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184FC" w14:textId="5D09D2E5" w:rsidR="00D75494" w:rsidRDefault="00E2621C" w:rsidP="002F6744">
      <w:pPr>
        <w:pStyle w:val="Heading1"/>
        <w:spacing w:before="0" w:after="240"/>
      </w:pPr>
      <w:bookmarkStart w:id="0" w:name="_GoBack"/>
      <w:bookmarkEnd w:id="0"/>
      <w:r>
        <w:t>Corporate Collective Investment Vehicle</w:t>
      </w:r>
      <w:r w:rsidR="00D4189B">
        <w:t>s</w:t>
      </w:r>
      <w:r w:rsidR="00D75494">
        <w:br/>
      </w:r>
      <w:bookmarkStart w:id="1" w:name="_Hlk80601108"/>
      <w:r w:rsidR="00295FBE">
        <w:rPr>
          <w:sz w:val="32"/>
          <w:szCs w:val="32"/>
        </w:rPr>
        <w:t>Summary of key changes in 2021 e</w:t>
      </w:r>
      <w:r w:rsidR="00D75494" w:rsidRPr="00484CA5">
        <w:rPr>
          <w:sz w:val="32"/>
          <w:szCs w:val="32"/>
        </w:rPr>
        <w:t xml:space="preserve">xposure draft </w:t>
      </w:r>
      <w:r w:rsidR="001E7A63">
        <w:rPr>
          <w:sz w:val="32"/>
          <w:szCs w:val="32"/>
        </w:rPr>
        <w:t>package</w:t>
      </w:r>
      <w:bookmarkEnd w:id="1"/>
      <w:r w:rsidR="00071406">
        <w:rPr>
          <w:sz w:val="32"/>
          <w:szCs w:val="32"/>
        </w:rPr>
        <w:t xml:space="preserve"> and consultation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EE6FF" w:themeFill="accent1" w:themeFillTint="33"/>
        <w:tblCellMar>
          <w:top w:w="113" w:type="dxa"/>
          <w:bottom w:w="113" w:type="dxa"/>
        </w:tblCellMar>
        <w:tblLook w:val="04A0" w:firstRow="1" w:lastRow="0" w:firstColumn="1" w:lastColumn="0" w:noHBand="0" w:noVBand="1"/>
      </w:tblPr>
      <w:tblGrid>
        <w:gridCol w:w="9638"/>
      </w:tblGrid>
      <w:tr w:rsidR="00D75494" w:rsidRPr="00D75494" w14:paraId="2C95D407" w14:textId="77777777" w:rsidTr="00257032">
        <w:tc>
          <w:tcPr>
            <w:tcW w:w="9751" w:type="dxa"/>
            <w:shd w:val="clear" w:color="auto" w:fill="BEE6FF" w:themeFill="accent1" w:themeFillTint="33"/>
            <w:tcMar>
              <w:top w:w="113" w:type="dxa"/>
              <w:bottom w:w="113" w:type="dxa"/>
            </w:tcMar>
          </w:tcPr>
          <w:p w14:paraId="1981D4AC" w14:textId="425CE058" w:rsidR="00295FBE" w:rsidRDefault="00295FBE" w:rsidP="00E036FA">
            <w:pPr>
              <w:pStyle w:val="Boldintroductiontext"/>
              <w:spacing w:after="120"/>
            </w:pPr>
            <w:bookmarkStart w:id="2" w:name="_Hlk80444854"/>
            <w:r>
              <w:t>The Government has committed to establishing a commercially viable regime for corporate collective investment vehicles (CCIVs) from 1 July 2022.</w:t>
            </w:r>
          </w:p>
          <w:p w14:paraId="5CDAAF5E" w14:textId="5D204F01" w:rsidR="00376B9B" w:rsidRDefault="00295FBE" w:rsidP="00484CA5">
            <w:pPr>
              <w:pStyle w:val="Boldintroductiontext"/>
              <w:spacing w:after="120"/>
            </w:pPr>
            <w:r>
              <w:t xml:space="preserve">A </w:t>
            </w:r>
            <w:r w:rsidR="00376B9B">
              <w:t xml:space="preserve">CCIV is an investment vehicle with a corporate structure – designed to be an alternative to a </w:t>
            </w:r>
            <w:r w:rsidR="000024A7">
              <w:t xml:space="preserve">trust-based </w:t>
            </w:r>
            <w:r w:rsidR="00376B9B">
              <w:t xml:space="preserve">managed investment scheme. The new </w:t>
            </w:r>
            <w:r w:rsidR="000024A7">
              <w:t xml:space="preserve">draft </w:t>
            </w:r>
            <w:r w:rsidR="00376B9B">
              <w:t>law includes:</w:t>
            </w:r>
          </w:p>
          <w:p w14:paraId="0BBF2DE1" w14:textId="5C3DE3F7" w:rsidR="00376B9B" w:rsidRDefault="000024A7" w:rsidP="00484CA5">
            <w:pPr>
              <w:pStyle w:val="Boldintroductiontext"/>
              <w:numPr>
                <w:ilvl w:val="0"/>
                <w:numId w:val="9"/>
              </w:numPr>
              <w:spacing w:after="0"/>
              <w:ind w:left="714" w:hanging="357"/>
            </w:pPr>
            <w:r>
              <w:t>a</w:t>
            </w:r>
            <w:r w:rsidR="00376B9B">
              <w:t xml:space="preserve"> new Chapter 8B in the </w:t>
            </w:r>
            <w:r w:rsidR="00376B9B" w:rsidRPr="002F6744">
              <w:rPr>
                <w:i/>
              </w:rPr>
              <w:t>Corporations Act 2001</w:t>
            </w:r>
            <w:r w:rsidR="00376B9B">
              <w:t>, containing the core provisions outlining the establishment of CCIVs and their regulatory requirements;</w:t>
            </w:r>
          </w:p>
          <w:p w14:paraId="291F845B" w14:textId="0F1E41BA" w:rsidR="00376B9B" w:rsidRDefault="00376B9B" w:rsidP="00484CA5">
            <w:pPr>
              <w:pStyle w:val="Boldintroductiontext"/>
              <w:numPr>
                <w:ilvl w:val="0"/>
                <w:numId w:val="9"/>
              </w:numPr>
              <w:spacing w:after="0"/>
              <w:ind w:left="714" w:hanging="357"/>
            </w:pPr>
            <w:r>
              <w:t xml:space="preserve">amendments to the </w:t>
            </w:r>
            <w:r w:rsidRPr="007D5D85">
              <w:t>income</w:t>
            </w:r>
            <w:r>
              <w:t xml:space="preserve"> tax law</w:t>
            </w:r>
            <w:r w:rsidR="00573C3B">
              <w:t xml:space="preserve">, which align the tax treatment of CCIVs to the existing treatment of attribution managed investment trusts (providing investors with the benefits of flow-through taxation); and </w:t>
            </w:r>
            <w:r>
              <w:t xml:space="preserve"> </w:t>
            </w:r>
          </w:p>
          <w:p w14:paraId="71EBBB39" w14:textId="61ED02E4" w:rsidR="004C0DC8" w:rsidRDefault="00376B9B" w:rsidP="00E036FA">
            <w:pPr>
              <w:pStyle w:val="Boldintroductiontext"/>
              <w:numPr>
                <w:ilvl w:val="0"/>
                <w:numId w:val="9"/>
              </w:numPr>
              <w:spacing w:after="120"/>
              <w:ind w:left="714" w:hanging="357"/>
            </w:pPr>
            <w:r>
              <w:t xml:space="preserve">amendments to other legislation to support the </w:t>
            </w:r>
            <w:r w:rsidR="00573C3B">
              <w:t xml:space="preserve">implementation of CCIVs (such as amendments to the </w:t>
            </w:r>
            <w:r w:rsidR="00573C3B" w:rsidRPr="001607C2">
              <w:rPr>
                <w:i/>
              </w:rPr>
              <w:t>Australian Securities and Investments Commission Act 2001</w:t>
            </w:r>
            <w:r w:rsidR="00573C3B">
              <w:t xml:space="preserve"> and the </w:t>
            </w:r>
            <w:r w:rsidR="00573C3B" w:rsidRPr="001607C2">
              <w:rPr>
                <w:i/>
              </w:rPr>
              <w:t>Personal Property Securities Act 2009</w:t>
            </w:r>
            <w:r w:rsidR="00573C3B" w:rsidRPr="00484CA5">
              <w:t>).</w:t>
            </w:r>
          </w:p>
          <w:p w14:paraId="194B3E53" w14:textId="5CE5C200" w:rsidR="00B362CC" w:rsidRDefault="00573C3B" w:rsidP="00E036FA">
            <w:pPr>
              <w:pStyle w:val="Boldintroductiontext"/>
              <w:spacing w:after="120"/>
            </w:pPr>
            <w:r>
              <w:t>The draft law for the CCIV regime was released for public consultation in several tranches in</w:t>
            </w:r>
            <w:r w:rsidR="00CD1059">
              <w:t> </w:t>
            </w:r>
            <w:r>
              <w:t xml:space="preserve">2018. In January and February 2019, a full exposure draft package </w:t>
            </w:r>
            <w:r w:rsidR="00B362CC">
              <w:t xml:space="preserve">of the regulatory and tax law </w:t>
            </w:r>
            <w:r>
              <w:t>was released for further public consultation</w:t>
            </w:r>
            <w:r w:rsidR="00B362CC">
              <w:t>.</w:t>
            </w:r>
          </w:p>
          <w:p w14:paraId="034E8625" w14:textId="5896D017" w:rsidR="00EE7AE7" w:rsidRDefault="00C42DD6" w:rsidP="00484CA5">
            <w:pPr>
              <w:pStyle w:val="Boldintroductiontext"/>
              <w:spacing w:after="120"/>
            </w:pPr>
            <w:r>
              <w:t xml:space="preserve">The core </w:t>
            </w:r>
            <w:r w:rsidR="00625045">
              <w:t>regulatory</w:t>
            </w:r>
            <w:r>
              <w:t xml:space="preserve"> </w:t>
            </w:r>
            <w:r w:rsidR="00625045">
              <w:t>framework and basic operational requirements</w:t>
            </w:r>
            <w:r>
              <w:t xml:space="preserve"> for CCIVs </w:t>
            </w:r>
            <w:r w:rsidR="00625045">
              <w:t>set out in the</w:t>
            </w:r>
            <w:r w:rsidR="00CD1059">
              <w:t> </w:t>
            </w:r>
            <w:r w:rsidR="00625045">
              <w:t xml:space="preserve">2019 exposure draft package has been </w:t>
            </w:r>
            <w:r w:rsidR="00625045" w:rsidRPr="00C47859">
              <w:t>maintained</w:t>
            </w:r>
            <w:r w:rsidR="00625045">
              <w:t xml:space="preserve">. </w:t>
            </w:r>
            <w:r w:rsidR="00484CA5">
              <w:t xml:space="preserve">In response to previous consultation, amendments </w:t>
            </w:r>
            <w:r w:rsidR="00625045">
              <w:t>have been made to some aspects of the regulatory framework to ensure a CCIV would offer an internationally recognisable investment product that would increase the competitiveness of Australia’s fund</w:t>
            </w:r>
            <w:r w:rsidR="00CD1059">
              <w:t>s</w:t>
            </w:r>
            <w:r w:rsidR="00625045">
              <w:t xml:space="preserve"> management industry. </w:t>
            </w:r>
            <w:r w:rsidR="004A68EF">
              <w:t>C</w:t>
            </w:r>
            <w:r w:rsidR="00EE7AE7">
              <w:t>hanges have been made to:</w:t>
            </w:r>
          </w:p>
          <w:p w14:paraId="10290A04" w14:textId="0CF41957" w:rsidR="005F0A7A" w:rsidRDefault="00917ED0" w:rsidP="00E036FA">
            <w:pPr>
              <w:pStyle w:val="Boldintroductiontext"/>
              <w:numPr>
                <w:ilvl w:val="0"/>
                <w:numId w:val="9"/>
              </w:numPr>
              <w:spacing w:after="0"/>
            </w:pPr>
            <w:r>
              <w:t xml:space="preserve">provide greater flexibility in the CCIV regime for the use of </w:t>
            </w:r>
            <w:r w:rsidR="005F0A7A">
              <w:t xml:space="preserve">custodian </w:t>
            </w:r>
            <w:r w:rsidR="00D3648E">
              <w:t>and</w:t>
            </w:r>
            <w:r w:rsidR="005F0A7A">
              <w:t xml:space="preserve"> depositary </w:t>
            </w:r>
            <w:r w:rsidR="00D3648E">
              <w:t>services</w:t>
            </w:r>
            <w:r w:rsidR="005F0A7A">
              <w:t xml:space="preserve">; </w:t>
            </w:r>
          </w:p>
          <w:p w14:paraId="07151827" w14:textId="6AC06016" w:rsidR="005F0A7A" w:rsidRDefault="005F0A7A" w:rsidP="00E036FA">
            <w:pPr>
              <w:pStyle w:val="Boldintroductiontext"/>
              <w:numPr>
                <w:ilvl w:val="0"/>
                <w:numId w:val="9"/>
              </w:numPr>
              <w:spacing w:after="0"/>
            </w:pPr>
            <w:r>
              <w:t>facilitate the listing of a retail CCIV with one sub-fund on a prescribed financial market in Australia; and</w:t>
            </w:r>
          </w:p>
          <w:p w14:paraId="3F5ED2E2" w14:textId="51FFB9AC" w:rsidR="00EE7AE7" w:rsidRDefault="00EE7AE7" w:rsidP="00E036FA">
            <w:pPr>
              <w:pStyle w:val="Boldintroductiontext"/>
              <w:numPr>
                <w:ilvl w:val="0"/>
                <w:numId w:val="9"/>
              </w:numPr>
              <w:spacing w:after="120"/>
              <w:ind w:left="714" w:hanging="357"/>
            </w:pPr>
            <w:r>
              <w:t>facilitate cross-investment between different sub-funds of a CCIV</w:t>
            </w:r>
            <w:r w:rsidR="005F0A7A">
              <w:t>.</w:t>
            </w:r>
          </w:p>
          <w:p w14:paraId="4B4B9CA3" w14:textId="781E1AF9" w:rsidR="00EE7AE7" w:rsidRDefault="001E7A63" w:rsidP="00E036FA">
            <w:pPr>
              <w:pStyle w:val="Boldintroductiontext"/>
              <w:spacing w:after="120"/>
            </w:pPr>
            <w:r>
              <w:t xml:space="preserve">The tax framework for CCIVs ensures the </w:t>
            </w:r>
            <w:r w:rsidRPr="001E7A63">
              <w:t xml:space="preserve">attribution flow-through taxation arrangements applying to </w:t>
            </w:r>
            <w:r>
              <w:t xml:space="preserve">attribution managed investment trusts </w:t>
            </w:r>
            <w:r w:rsidR="0061277B">
              <w:t>is</w:t>
            </w:r>
            <w:r w:rsidRPr="001E7A63">
              <w:t xml:space="preserve"> </w:t>
            </w:r>
            <w:r w:rsidR="005F6EE8">
              <w:t>available</w:t>
            </w:r>
            <w:r w:rsidR="005F6EE8" w:rsidRPr="001E7A63">
              <w:t xml:space="preserve"> </w:t>
            </w:r>
            <w:r w:rsidRPr="001E7A63">
              <w:t>to CCIVs, subject to meeting certain eligibility criteria</w:t>
            </w:r>
            <w:r>
              <w:t xml:space="preserve">. The draft </w:t>
            </w:r>
            <w:r w:rsidR="00780003">
              <w:t>law</w:t>
            </w:r>
            <w:r>
              <w:t xml:space="preserve"> has been streamlined and simplified to achieve this.</w:t>
            </w:r>
          </w:p>
          <w:p w14:paraId="49257CFC" w14:textId="77777777" w:rsidR="00892C9F" w:rsidRDefault="00295FBE" w:rsidP="00E036FA">
            <w:pPr>
              <w:pStyle w:val="Boldintroductiontext"/>
              <w:spacing w:after="120"/>
            </w:pPr>
            <w:r>
              <w:t>This document sets out a summary</w:t>
            </w:r>
            <w:r w:rsidR="00EE7AE7">
              <w:t xml:space="preserve"> of the core regulatory and tax framework for CCIVs and the key changes to the exposure draft package since February 2019.</w:t>
            </w:r>
            <w:r w:rsidR="00071406">
              <w:t xml:space="preserve"> </w:t>
            </w:r>
          </w:p>
          <w:p w14:paraId="0BFE0F18" w14:textId="65F2290F" w:rsidR="00D75494" w:rsidRPr="00D75494" w:rsidRDefault="0017076B" w:rsidP="00E036FA">
            <w:pPr>
              <w:pStyle w:val="Boldintroductiontext"/>
              <w:spacing w:after="120"/>
            </w:pPr>
            <w:r>
              <w:t>T</w:t>
            </w:r>
            <w:r w:rsidR="00676804">
              <w:t xml:space="preserve">reasury is </w:t>
            </w:r>
            <w:r w:rsidR="00AC381A">
              <w:t xml:space="preserve">particularly </w:t>
            </w:r>
            <w:r w:rsidR="00676804">
              <w:t xml:space="preserve">seeking </w:t>
            </w:r>
            <w:r w:rsidR="00892C9F">
              <w:t xml:space="preserve">stakeholder views on </w:t>
            </w:r>
            <w:r w:rsidR="00676804">
              <w:t>specific</w:t>
            </w:r>
            <w:r w:rsidR="00892C9F">
              <w:t xml:space="preserve"> aspects of the proposed cross</w:t>
            </w:r>
            <w:r w:rsidR="00892C9F">
              <w:noBreakHyphen/>
              <w:t>investment provisions (</w:t>
            </w:r>
            <w:r w:rsidR="009C0E9A">
              <w:t>outlined on</w:t>
            </w:r>
            <w:r w:rsidR="00892C9F">
              <w:t xml:space="preserve"> pages 4 and 5).</w:t>
            </w:r>
          </w:p>
        </w:tc>
      </w:tr>
    </w:tbl>
    <w:bookmarkEnd w:id="2"/>
    <w:p w14:paraId="0AF3CEE3" w14:textId="2890C460" w:rsidR="00D75494" w:rsidRPr="006F731C" w:rsidRDefault="00484CA5" w:rsidP="003778DD">
      <w:pPr>
        <w:rPr>
          <w:rFonts w:asciiTheme="majorHAnsi" w:eastAsiaTheme="majorEastAsia" w:hAnsiTheme="majorHAnsi" w:cstheme="majorBidi"/>
          <w:b/>
          <w:color w:val="16325C" w:themeColor="text2"/>
          <w:sz w:val="32"/>
          <w:szCs w:val="32"/>
        </w:rPr>
      </w:pPr>
      <w:r>
        <w:rPr>
          <w:rFonts w:asciiTheme="majorHAnsi" w:eastAsiaTheme="majorEastAsia" w:hAnsiTheme="majorHAnsi" w:cstheme="majorBidi"/>
          <w:b/>
          <w:bCs/>
          <w:color w:val="16325C" w:themeColor="text2"/>
          <w:sz w:val="32"/>
          <w:szCs w:val="32"/>
        </w:rPr>
        <w:br w:type="column"/>
      </w:r>
      <w:r w:rsidR="0061277B" w:rsidRPr="006F731C">
        <w:rPr>
          <w:rFonts w:asciiTheme="majorHAnsi" w:eastAsiaTheme="majorEastAsia" w:hAnsiTheme="majorHAnsi" w:cstheme="majorBidi"/>
          <w:b/>
          <w:color w:val="16325C" w:themeColor="text2"/>
          <w:sz w:val="32"/>
          <w:szCs w:val="32"/>
        </w:rPr>
        <w:lastRenderedPageBreak/>
        <w:t>The regulatory framework for CCIVs</w:t>
      </w:r>
    </w:p>
    <w:p w14:paraId="094BCA15" w14:textId="569C378F" w:rsidR="005F0A7A" w:rsidRDefault="005F0A7A" w:rsidP="00D75494">
      <w:r>
        <w:t xml:space="preserve">A CCIV is a new type of company limited by shares. </w:t>
      </w:r>
      <w:r w:rsidR="00F123D5">
        <w:t>Adopting t</w:t>
      </w:r>
      <w:r>
        <w:t xml:space="preserve">he corporate structure </w:t>
      </w:r>
      <w:r w:rsidR="00F123D5">
        <w:t>ensures</w:t>
      </w:r>
      <w:r>
        <w:t xml:space="preserve"> that CCIVs are recognisable to offshore investors and fund managers.</w:t>
      </w:r>
      <w:r w:rsidR="00595753">
        <w:t xml:space="preserve"> Many features of the managed investment scheme regime have been incorporated into the regulatory framework for CCIVs to ensure the </w:t>
      </w:r>
      <w:r w:rsidR="00595753" w:rsidRPr="005F0A7A">
        <w:t>efficient operation of the domestic funds management industry</w:t>
      </w:r>
      <w:r w:rsidR="00595753">
        <w:t xml:space="preserve"> and </w:t>
      </w:r>
      <w:r w:rsidR="00C943D8">
        <w:t xml:space="preserve">broadly </w:t>
      </w:r>
      <w:r w:rsidR="00595753">
        <w:t>consistent investor protections.</w:t>
      </w:r>
    </w:p>
    <w:p w14:paraId="7104FF09" w14:textId="77777777" w:rsidR="003C11BB" w:rsidRDefault="005F0A7A" w:rsidP="00D75494">
      <w:r>
        <w:t>The core regulatory framework and basic operational requirements for CCIVs previously consulted on in 2018 and 2019 have been maintained</w:t>
      </w:r>
      <w:r w:rsidRPr="003949C9">
        <w:t>. A</w:t>
      </w:r>
      <w:r w:rsidR="003C11BB" w:rsidRPr="003949C9">
        <w:t xml:space="preserve"> high level overview of this framework is set out in </w:t>
      </w:r>
      <w:r w:rsidR="003C11BB" w:rsidRPr="003949C9">
        <w:rPr>
          <w:b/>
        </w:rPr>
        <w:t>Attachment A</w:t>
      </w:r>
      <w:r w:rsidR="003C11BB" w:rsidRPr="003949C9">
        <w:t>.</w:t>
      </w:r>
      <w:r>
        <w:t xml:space="preserve"> </w:t>
      </w:r>
    </w:p>
    <w:p w14:paraId="20466FDF" w14:textId="1A1780D3" w:rsidR="003C11BB" w:rsidRDefault="003C11BB" w:rsidP="00D75494">
      <w:r>
        <w:t xml:space="preserve">Key changes have been made to the CCIVs regulatory framework to ensure </w:t>
      </w:r>
      <w:r w:rsidR="00C943D8">
        <w:t xml:space="preserve">it provides </w:t>
      </w:r>
      <w:r>
        <w:t>a commercially viable and internationally competitive regime. A summary of these changes is set out in the table below.</w:t>
      </w:r>
    </w:p>
    <w:p w14:paraId="43C6C762" w14:textId="2FD1A0EC" w:rsidR="00127EA6" w:rsidRDefault="003C11BB" w:rsidP="00D75494">
      <w:r>
        <w:t>In addition, some revisions to the draft regulatory framework have been made consistent with the implementation of corporate law reforms since early 2019</w:t>
      </w:r>
      <w:r w:rsidR="006B4D35">
        <w:t xml:space="preserve"> – also summarised </w:t>
      </w:r>
      <w:r w:rsidR="00DF1B64">
        <w:t xml:space="preserve">in the table </w:t>
      </w:r>
      <w:r w:rsidR="006B4D35">
        <w:t>below</w:t>
      </w:r>
      <w:r w:rsidR="00967B28">
        <w:t>.</w:t>
      </w:r>
      <w:r>
        <w:t xml:space="preserve"> </w:t>
      </w:r>
    </w:p>
    <w:p w14:paraId="4FA7999E" w14:textId="2B4C929F" w:rsidR="003C11BB" w:rsidRPr="006F731C" w:rsidRDefault="003C11BB" w:rsidP="00D75494">
      <w:pPr>
        <w:rPr>
          <w:rFonts w:asciiTheme="majorHAnsi" w:eastAsiaTheme="majorEastAsia" w:hAnsiTheme="majorHAnsi" w:cstheme="majorBidi"/>
          <w:b/>
          <w:color w:val="16325C" w:themeColor="text2"/>
          <w:sz w:val="24"/>
          <w:szCs w:val="24"/>
        </w:rPr>
      </w:pPr>
      <w:r w:rsidRPr="006F731C">
        <w:rPr>
          <w:rFonts w:asciiTheme="majorHAnsi" w:eastAsiaTheme="majorEastAsia" w:hAnsiTheme="majorHAnsi" w:cstheme="majorBidi"/>
          <w:b/>
          <w:color w:val="16325C" w:themeColor="text2"/>
          <w:sz w:val="24"/>
          <w:szCs w:val="24"/>
        </w:rPr>
        <w:t xml:space="preserve">Key changes to the CCIVs regulatory framework </w:t>
      </w:r>
    </w:p>
    <w:tbl>
      <w:tblPr>
        <w:tblStyle w:val="TableGrid"/>
        <w:tblW w:w="9642" w:type="dxa"/>
        <w:tblInd w:w="108" w:type="dxa"/>
        <w:tblBorders>
          <w:top w:val="single" w:sz="8" w:space="0" w:color="00ABBD" w:themeColor="accent6"/>
          <w:left w:val="single" w:sz="8" w:space="0" w:color="00ABBD" w:themeColor="accent6"/>
          <w:bottom w:val="single" w:sz="8" w:space="0" w:color="00ABBD" w:themeColor="accent6"/>
          <w:right w:val="single" w:sz="8" w:space="0" w:color="00ABBD" w:themeColor="accent6"/>
          <w:insideH w:val="single" w:sz="8" w:space="0" w:color="00ABBD" w:themeColor="accent6"/>
          <w:insideV w:val="single" w:sz="8" w:space="0" w:color="00ABBD" w:themeColor="accent6"/>
        </w:tblBorders>
        <w:tblLayout w:type="fixed"/>
        <w:tblLook w:val="04A0" w:firstRow="1" w:lastRow="0" w:firstColumn="1" w:lastColumn="0" w:noHBand="0" w:noVBand="1"/>
      </w:tblPr>
      <w:tblGrid>
        <w:gridCol w:w="3142"/>
        <w:gridCol w:w="3250"/>
        <w:gridCol w:w="3250"/>
      </w:tblGrid>
      <w:tr w:rsidR="004542C5" w:rsidRPr="00FC5CFB" w14:paraId="6E0633E9" w14:textId="77777777" w:rsidTr="00E5722A">
        <w:trPr>
          <w:trHeight w:val="340"/>
        </w:trPr>
        <w:tc>
          <w:tcPr>
            <w:tcW w:w="9642" w:type="dxa"/>
            <w:gridSpan w:val="3"/>
            <w:shd w:val="clear" w:color="auto" w:fill="007F8D" w:themeFill="accent6" w:themeFillShade="BF"/>
          </w:tcPr>
          <w:p w14:paraId="11726E82" w14:textId="688C2C8C" w:rsidR="004542C5" w:rsidRPr="008065A7" w:rsidRDefault="008065A7" w:rsidP="008065A7">
            <w:pPr>
              <w:keepNext/>
              <w:rPr>
                <w:b/>
                <w:color w:val="FFFFFF" w:themeColor="background1"/>
              </w:rPr>
            </w:pPr>
            <w:r w:rsidRPr="008065A7">
              <w:rPr>
                <w:b/>
                <w:color w:val="FFFFFF" w:themeColor="background1"/>
              </w:rPr>
              <w:t xml:space="preserve">Will CCIVs still be required to have an independent depositary? </w:t>
            </w:r>
          </w:p>
        </w:tc>
      </w:tr>
      <w:tr w:rsidR="008065A7" w:rsidRPr="00FC5CFB" w14:paraId="483CD5B5" w14:textId="77777777" w:rsidTr="00E5722A">
        <w:trPr>
          <w:trHeight w:val="340"/>
        </w:trPr>
        <w:tc>
          <w:tcPr>
            <w:tcW w:w="9642" w:type="dxa"/>
            <w:gridSpan w:val="3"/>
            <w:shd w:val="clear" w:color="auto" w:fill="auto"/>
          </w:tcPr>
          <w:p w14:paraId="1A6AEE2E" w14:textId="76A0CD5E" w:rsidR="008065A7" w:rsidRDefault="008065A7" w:rsidP="00CD68E4">
            <w:pPr>
              <w:keepNext/>
              <w:rPr>
                <w:rFonts w:asciiTheme="minorHAnsi" w:hAnsiTheme="minorHAnsi" w:cstheme="minorHAnsi"/>
              </w:rPr>
            </w:pPr>
            <w:r>
              <w:rPr>
                <w:rFonts w:asciiTheme="minorHAnsi" w:hAnsiTheme="minorHAnsi" w:cstheme="minorHAnsi"/>
              </w:rPr>
              <w:t>No, a</w:t>
            </w:r>
            <w:r w:rsidR="00682B40">
              <w:rPr>
                <w:rFonts w:asciiTheme="minorHAnsi" w:hAnsiTheme="minorHAnsi" w:cstheme="minorHAnsi"/>
              </w:rPr>
              <w:t>n independent</w:t>
            </w:r>
            <w:r>
              <w:rPr>
                <w:rFonts w:asciiTheme="minorHAnsi" w:hAnsiTheme="minorHAnsi" w:cstheme="minorHAnsi"/>
              </w:rPr>
              <w:t xml:space="preserve"> depositary is no longer required for </w:t>
            </w:r>
            <w:r w:rsidR="00F87CD1">
              <w:rPr>
                <w:rFonts w:asciiTheme="minorHAnsi" w:hAnsiTheme="minorHAnsi" w:cstheme="minorHAnsi"/>
              </w:rPr>
              <w:t>r</w:t>
            </w:r>
            <w:r>
              <w:rPr>
                <w:rFonts w:asciiTheme="minorHAnsi" w:hAnsiTheme="minorHAnsi" w:cstheme="minorHAnsi"/>
              </w:rPr>
              <w:t xml:space="preserve">etail CCIVs. </w:t>
            </w:r>
          </w:p>
          <w:p w14:paraId="13401E73" w14:textId="5BF89506" w:rsidR="008065A7" w:rsidRDefault="008065A7" w:rsidP="008065A7">
            <w:pPr>
              <w:keepNext/>
              <w:spacing w:before="120"/>
              <w:rPr>
                <w:rFonts w:asciiTheme="minorHAnsi" w:hAnsiTheme="minorHAnsi" w:cstheme="minorHAnsi"/>
              </w:rPr>
            </w:pPr>
            <w:r w:rsidRPr="00784EA9">
              <w:rPr>
                <w:rFonts w:asciiTheme="minorHAnsi" w:hAnsiTheme="minorHAnsi" w:cstheme="minorHAnsi"/>
              </w:rPr>
              <w:t xml:space="preserve">A depositary </w:t>
            </w:r>
            <w:r>
              <w:rPr>
                <w:rFonts w:asciiTheme="minorHAnsi" w:hAnsiTheme="minorHAnsi" w:cstheme="minorHAnsi"/>
              </w:rPr>
              <w:t>is a separate company that hold</w:t>
            </w:r>
            <w:r w:rsidR="00682B40">
              <w:rPr>
                <w:rFonts w:asciiTheme="minorHAnsi" w:hAnsiTheme="minorHAnsi" w:cstheme="minorHAnsi"/>
              </w:rPr>
              <w:t>s</w:t>
            </w:r>
            <w:r>
              <w:rPr>
                <w:rFonts w:asciiTheme="minorHAnsi" w:hAnsiTheme="minorHAnsi" w:cstheme="minorHAnsi"/>
              </w:rPr>
              <w:t xml:space="preserve"> assets of the CCIV on trust and oversee</w:t>
            </w:r>
            <w:r w:rsidR="00682B40">
              <w:rPr>
                <w:rFonts w:asciiTheme="minorHAnsi" w:hAnsiTheme="minorHAnsi" w:cstheme="minorHAnsi"/>
              </w:rPr>
              <w:t>s</w:t>
            </w:r>
            <w:r>
              <w:rPr>
                <w:rFonts w:asciiTheme="minorHAnsi" w:hAnsiTheme="minorHAnsi" w:cstheme="minorHAnsi"/>
              </w:rPr>
              <w:t xml:space="preserve"> the operation of </w:t>
            </w:r>
            <w:r w:rsidR="00682B40">
              <w:rPr>
                <w:rFonts w:asciiTheme="minorHAnsi" w:hAnsiTheme="minorHAnsi" w:cstheme="minorHAnsi"/>
              </w:rPr>
              <w:t xml:space="preserve">certain activities in relation to </w:t>
            </w:r>
            <w:r>
              <w:rPr>
                <w:rFonts w:asciiTheme="minorHAnsi" w:hAnsiTheme="minorHAnsi" w:cstheme="minorHAnsi"/>
              </w:rPr>
              <w:t xml:space="preserve">the CCIV. Some international regimes require a depositary (such as the </w:t>
            </w:r>
            <w:r w:rsidR="00897FA7" w:rsidRPr="009729BF">
              <w:rPr>
                <w:rFonts w:asciiTheme="minorHAnsi" w:hAnsiTheme="minorHAnsi" w:cstheme="minorHAnsi"/>
              </w:rPr>
              <w:t>UK’s Open-Ended Investment Vehicle</w:t>
            </w:r>
            <w:r>
              <w:rPr>
                <w:rFonts w:asciiTheme="minorHAnsi" w:hAnsiTheme="minorHAnsi" w:cstheme="minorHAnsi"/>
              </w:rPr>
              <w:t xml:space="preserve">) while others do not require a depositary and instead </w:t>
            </w:r>
            <w:r w:rsidR="00682B40">
              <w:rPr>
                <w:rFonts w:asciiTheme="minorHAnsi" w:hAnsiTheme="minorHAnsi" w:cstheme="minorHAnsi"/>
              </w:rPr>
              <w:t xml:space="preserve">adopt </w:t>
            </w:r>
            <w:r>
              <w:rPr>
                <w:rFonts w:asciiTheme="minorHAnsi" w:hAnsiTheme="minorHAnsi" w:cstheme="minorHAnsi"/>
              </w:rPr>
              <w:t>a custodian (such as Singapore’s Authorised V</w:t>
            </w:r>
            <w:r w:rsidR="00897FA7">
              <w:rPr>
                <w:rFonts w:asciiTheme="minorHAnsi" w:hAnsiTheme="minorHAnsi" w:cstheme="minorHAnsi"/>
              </w:rPr>
              <w:t xml:space="preserve">ariable </w:t>
            </w:r>
            <w:r>
              <w:rPr>
                <w:rFonts w:asciiTheme="minorHAnsi" w:hAnsiTheme="minorHAnsi" w:cstheme="minorHAnsi"/>
              </w:rPr>
              <w:t>C</w:t>
            </w:r>
            <w:r w:rsidR="00897FA7">
              <w:rPr>
                <w:rFonts w:asciiTheme="minorHAnsi" w:hAnsiTheme="minorHAnsi" w:cstheme="minorHAnsi"/>
              </w:rPr>
              <w:t xml:space="preserve">apital </w:t>
            </w:r>
            <w:r>
              <w:rPr>
                <w:rFonts w:asciiTheme="minorHAnsi" w:hAnsiTheme="minorHAnsi" w:cstheme="minorHAnsi"/>
              </w:rPr>
              <w:t>C</w:t>
            </w:r>
            <w:r w:rsidR="00897FA7">
              <w:rPr>
                <w:rFonts w:asciiTheme="minorHAnsi" w:hAnsiTheme="minorHAnsi" w:cstheme="minorHAnsi"/>
              </w:rPr>
              <w:t>ompany</w:t>
            </w:r>
            <w:r>
              <w:rPr>
                <w:rFonts w:asciiTheme="minorHAnsi" w:hAnsiTheme="minorHAnsi" w:cstheme="minorHAnsi"/>
              </w:rPr>
              <w:t>).</w:t>
            </w:r>
          </w:p>
          <w:p w14:paraId="7B6BE3ED" w14:textId="57582CE6" w:rsidR="0086315B" w:rsidRDefault="008065A7" w:rsidP="008065A7">
            <w:pPr>
              <w:keepNext/>
              <w:spacing w:before="120"/>
              <w:rPr>
                <w:rFonts w:asciiTheme="minorHAnsi" w:hAnsiTheme="minorHAnsi" w:cstheme="minorHAnsi"/>
              </w:rPr>
            </w:pPr>
            <w:r w:rsidRPr="00721223">
              <w:rPr>
                <w:rFonts w:asciiTheme="minorHAnsi" w:hAnsiTheme="minorHAnsi" w:cstheme="minorHAnsi"/>
              </w:rPr>
              <w:t xml:space="preserve">The previous </w:t>
            </w:r>
            <w:r>
              <w:rPr>
                <w:rFonts w:asciiTheme="minorHAnsi" w:hAnsiTheme="minorHAnsi" w:cstheme="minorHAnsi"/>
              </w:rPr>
              <w:t xml:space="preserve">draft of the CCIV regime included a requirement that all retail CCIVs must have an independent depositary and wholesale CCIVs had the option to utilise this feature. </w:t>
            </w:r>
            <w:r w:rsidR="00682B40">
              <w:rPr>
                <w:rFonts w:asciiTheme="minorHAnsi" w:hAnsiTheme="minorHAnsi" w:cstheme="minorHAnsi"/>
              </w:rPr>
              <w:t xml:space="preserve">The depositary could engage other third parties to hold the CCIV’s assets on its behalf (such as a custodian). </w:t>
            </w:r>
            <w:r w:rsidR="0087282C">
              <w:rPr>
                <w:rFonts w:asciiTheme="minorHAnsi" w:hAnsiTheme="minorHAnsi" w:cstheme="minorHAnsi"/>
              </w:rPr>
              <w:t>There is a variety of approaches for international regimes in requiring the use o</w:t>
            </w:r>
            <w:r w:rsidR="00860789">
              <w:rPr>
                <w:rFonts w:asciiTheme="minorHAnsi" w:hAnsiTheme="minorHAnsi" w:cstheme="minorHAnsi"/>
              </w:rPr>
              <w:t>f</w:t>
            </w:r>
            <w:r w:rsidR="0087282C">
              <w:rPr>
                <w:rFonts w:asciiTheme="minorHAnsi" w:hAnsiTheme="minorHAnsi" w:cstheme="minorHAnsi"/>
              </w:rPr>
              <w:t xml:space="preserve"> custodians or depositaries. In addition, the current </w:t>
            </w:r>
            <w:r w:rsidR="00512144">
              <w:rPr>
                <w:rFonts w:asciiTheme="minorHAnsi" w:hAnsiTheme="minorHAnsi" w:cstheme="minorHAnsi"/>
              </w:rPr>
              <w:t>m</w:t>
            </w:r>
            <w:r w:rsidR="00682B40">
              <w:rPr>
                <w:rFonts w:asciiTheme="minorHAnsi" w:hAnsiTheme="minorHAnsi" w:cstheme="minorHAnsi"/>
              </w:rPr>
              <w:t>anaged investment scheme</w:t>
            </w:r>
            <w:r w:rsidR="0087282C">
              <w:rPr>
                <w:rFonts w:asciiTheme="minorHAnsi" w:hAnsiTheme="minorHAnsi" w:cstheme="minorHAnsi"/>
              </w:rPr>
              <w:t xml:space="preserve"> regime does</w:t>
            </w:r>
            <w:r w:rsidR="00682B40">
              <w:rPr>
                <w:rFonts w:asciiTheme="minorHAnsi" w:hAnsiTheme="minorHAnsi" w:cstheme="minorHAnsi"/>
              </w:rPr>
              <w:t xml:space="preserve"> </w:t>
            </w:r>
            <w:r w:rsidR="0086315B">
              <w:rPr>
                <w:rFonts w:asciiTheme="minorHAnsi" w:hAnsiTheme="minorHAnsi" w:cstheme="minorHAnsi"/>
              </w:rPr>
              <w:t>not require a depositary for the scheme. In practice, and under licensing arrangements, a custodian is often appointed for the scheme.</w:t>
            </w:r>
          </w:p>
          <w:p w14:paraId="6914B26C" w14:textId="181744C5" w:rsidR="008C43DA" w:rsidRDefault="0086315B" w:rsidP="008065A7">
            <w:pPr>
              <w:keepNext/>
              <w:spacing w:before="120"/>
              <w:rPr>
                <w:rFonts w:asciiTheme="minorHAnsi" w:hAnsiTheme="minorHAnsi" w:cstheme="minorHAnsi"/>
              </w:rPr>
            </w:pPr>
            <w:r>
              <w:rPr>
                <w:rFonts w:asciiTheme="minorHAnsi" w:hAnsiTheme="minorHAnsi" w:cstheme="minorHAnsi"/>
              </w:rPr>
              <w:t xml:space="preserve">In response to previous consultation, changes have been made to align </w:t>
            </w:r>
            <w:r w:rsidRPr="0086315B">
              <w:rPr>
                <w:rFonts w:asciiTheme="minorHAnsi" w:hAnsiTheme="minorHAnsi" w:cstheme="minorHAnsi"/>
              </w:rPr>
              <w:t xml:space="preserve">the requirements for a custodian or a depositary in the CCIV regime </w:t>
            </w:r>
            <w:r w:rsidR="0087282C">
              <w:rPr>
                <w:rFonts w:asciiTheme="minorHAnsi" w:hAnsiTheme="minorHAnsi" w:cstheme="minorHAnsi"/>
              </w:rPr>
              <w:t>to provide greater flexibility and</w:t>
            </w:r>
            <w:r w:rsidR="00FE2CD2">
              <w:rPr>
                <w:rFonts w:asciiTheme="minorHAnsi" w:hAnsiTheme="minorHAnsi" w:cstheme="minorHAnsi"/>
              </w:rPr>
              <w:t xml:space="preserve"> are</w:t>
            </w:r>
            <w:r w:rsidR="0087282C">
              <w:rPr>
                <w:rFonts w:asciiTheme="minorHAnsi" w:hAnsiTheme="minorHAnsi" w:cstheme="minorHAnsi"/>
              </w:rPr>
              <w:t xml:space="preserve"> </w:t>
            </w:r>
            <w:r w:rsidR="00FE2CD2">
              <w:rPr>
                <w:rFonts w:asciiTheme="minorHAnsi" w:hAnsiTheme="minorHAnsi" w:cstheme="minorHAnsi"/>
              </w:rPr>
              <w:t xml:space="preserve">now </w:t>
            </w:r>
            <w:r w:rsidR="0087282C">
              <w:rPr>
                <w:rFonts w:asciiTheme="minorHAnsi" w:hAnsiTheme="minorHAnsi" w:cstheme="minorHAnsi"/>
              </w:rPr>
              <w:t>also</w:t>
            </w:r>
            <w:r w:rsidR="00FE2CD2">
              <w:rPr>
                <w:rFonts w:asciiTheme="minorHAnsi" w:hAnsiTheme="minorHAnsi" w:cstheme="minorHAnsi"/>
              </w:rPr>
              <w:t xml:space="preserve"> consistent</w:t>
            </w:r>
            <w:r w:rsidR="0087282C">
              <w:rPr>
                <w:rFonts w:asciiTheme="minorHAnsi" w:hAnsiTheme="minorHAnsi" w:cstheme="minorHAnsi"/>
              </w:rPr>
              <w:t xml:space="preserve"> </w:t>
            </w:r>
            <w:r w:rsidRPr="0086315B">
              <w:rPr>
                <w:rFonts w:asciiTheme="minorHAnsi" w:hAnsiTheme="minorHAnsi" w:cstheme="minorHAnsi"/>
              </w:rPr>
              <w:t>with the current requirements for managed investment schemes in Australia</w:t>
            </w:r>
            <w:r>
              <w:rPr>
                <w:rFonts w:asciiTheme="minorHAnsi" w:hAnsiTheme="minorHAnsi" w:cstheme="minorHAnsi"/>
              </w:rPr>
              <w:t>.</w:t>
            </w:r>
            <w:r w:rsidR="00AB29E1">
              <w:rPr>
                <w:rFonts w:asciiTheme="minorHAnsi" w:hAnsiTheme="minorHAnsi" w:cstheme="minorHAnsi"/>
              </w:rPr>
              <w:t xml:space="preserve"> A CCIV may choose to appoint a depositary or a custodian as a matter of commercial practice or </w:t>
            </w:r>
            <w:r w:rsidR="008C43DA">
              <w:rPr>
                <w:rFonts w:asciiTheme="minorHAnsi" w:hAnsiTheme="minorHAnsi" w:cstheme="minorHAnsi"/>
              </w:rPr>
              <w:t xml:space="preserve">in accordance with </w:t>
            </w:r>
            <w:r w:rsidR="00AB29E1">
              <w:rPr>
                <w:rFonts w:asciiTheme="minorHAnsi" w:hAnsiTheme="minorHAnsi" w:cstheme="minorHAnsi"/>
              </w:rPr>
              <w:t xml:space="preserve">other regulatory requirements (such as any </w:t>
            </w:r>
            <w:r w:rsidR="008C43DA">
              <w:rPr>
                <w:rFonts w:asciiTheme="minorHAnsi" w:hAnsiTheme="minorHAnsi" w:cstheme="minorHAnsi"/>
              </w:rPr>
              <w:t xml:space="preserve">similar Australian financial services </w:t>
            </w:r>
            <w:r w:rsidR="00AB29E1">
              <w:rPr>
                <w:rFonts w:asciiTheme="minorHAnsi" w:hAnsiTheme="minorHAnsi" w:cstheme="minorHAnsi"/>
              </w:rPr>
              <w:t xml:space="preserve">licensing </w:t>
            </w:r>
            <w:r w:rsidR="008C43DA">
              <w:rPr>
                <w:rFonts w:asciiTheme="minorHAnsi" w:hAnsiTheme="minorHAnsi" w:cstheme="minorHAnsi"/>
              </w:rPr>
              <w:t>arrangements for</w:t>
            </w:r>
            <w:r w:rsidR="00AB29E1">
              <w:rPr>
                <w:rFonts w:asciiTheme="minorHAnsi" w:hAnsiTheme="minorHAnsi" w:cstheme="minorHAnsi"/>
              </w:rPr>
              <w:t xml:space="preserve"> the corporate director</w:t>
            </w:r>
            <w:r w:rsidR="008C43DA">
              <w:rPr>
                <w:rFonts w:asciiTheme="minorHAnsi" w:hAnsiTheme="minorHAnsi" w:cstheme="minorHAnsi"/>
              </w:rPr>
              <w:t xml:space="preserve"> of the CCIV</w:t>
            </w:r>
            <w:r w:rsidR="00AB29E1">
              <w:rPr>
                <w:rFonts w:asciiTheme="minorHAnsi" w:hAnsiTheme="minorHAnsi" w:cstheme="minorHAnsi"/>
              </w:rPr>
              <w:t>).</w:t>
            </w:r>
          </w:p>
          <w:p w14:paraId="0D2464D4" w14:textId="4FB5F489" w:rsidR="008065A7" w:rsidRPr="00D77F13" w:rsidRDefault="008C43DA" w:rsidP="006F731C">
            <w:pPr>
              <w:keepNext/>
              <w:spacing w:before="120"/>
              <w:rPr>
                <w:rFonts w:asciiTheme="minorHAnsi" w:hAnsiTheme="minorHAnsi" w:cstheme="minorHAnsi"/>
                <w:highlight w:val="yellow"/>
              </w:rPr>
            </w:pPr>
            <w:r>
              <w:rPr>
                <w:rFonts w:asciiTheme="minorHAnsi" w:hAnsiTheme="minorHAnsi" w:cstheme="minorHAnsi"/>
              </w:rPr>
              <w:t xml:space="preserve">This change ensures the Australian funds management industry has </w:t>
            </w:r>
            <w:r w:rsidRPr="00B8193E">
              <w:rPr>
                <w:rFonts w:asciiTheme="minorHAnsi" w:hAnsiTheme="minorHAnsi" w:cstheme="minorHAnsi"/>
              </w:rPr>
              <w:t>sufficient flexibility to align their commercial models to particular</w:t>
            </w:r>
            <w:r>
              <w:rPr>
                <w:rFonts w:asciiTheme="minorHAnsi" w:hAnsiTheme="minorHAnsi" w:cstheme="minorHAnsi"/>
              </w:rPr>
              <w:t xml:space="preserve"> </w:t>
            </w:r>
            <w:r w:rsidRPr="00B8193E">
              <w:rPr>
                <w:rFonts w:asciiTheme="minorHAnsi" w:hAnsiTheme="minorHAnsi" w:cstheme="minorHAnsi"/>
              </w:rPr>
              <w:t>markets or investors</w:t>
            </w:r>
            <w:r>
              <w:rPr>
                <w:rFonts w:asciiTheme="minorHAnsi" w:hAnsiTheme="minorHAnsi" w:cstheme="minorHAnsi"/>
              </w:rPr>
              <w:t>,</w:t>
            </w:r>
            <w:r w:rsidRPr="00B8193E">
              <w:rPr>
                <w:rFonts w:asciiTheme="minorHAnsi" w:hAnsiTheme="minorHAnsi" w:cstheme="minorHAnsi"/>
              </w:rPr>
              <w:t xml:space="preserve"> as required</w:t>
            </w:r>
            <w:r>
              <w:rPr>
                <w:rFonts w:asciiTheme="minorHAnsi" w:hAnsiTheme="minorHAnsi" w:cstheme="minorHAnsi"/>
              </w:rPr>
              <w:t>. It ensures equivalent investor protections</w:t>
            </w:r>
            <w:r w:rsidR="00387EB9">
              <w:rPr>
                <w:rFonts w:asciiTheme="minorHAnsi" w:hAnsiTheme="minorHAnsi" w:cstheme="minorHAnsi"/>
              </w:rPr>
              <w:t xml:space="preserve"> and comparable levels of regulatory cost</w:t>
            </w:r>
            <w:r>
              <w:rPr>
                <w:rFonts w:asciiTheme="minorHAnsi" w:hAnsiTheme="minorHAnsi" w:cstheme="minorHAnsi"/>
              </w:rPr>
              <w:t xml:space="preserve"> across both the </w:t>
            </w:r>
            <w:r w:rsidR="00387EB9">
              <w:rPr>
                <w:rFonts w:asciiTheme="minorHAnsi" w:hAnsiTheme="minorHAnsi" w:cstheme="minorHAnsi"/>
              </w:rPr>
              <w:t>MIS</w:t>
            </w:r>
            <w:r>
              <w:rPr>
                <w:rFonts w:asciiTheme="minorHAnsi" w:hAnsiTheme="minorHAnsi" w:cstheme="minorHAnsi"/>
              </w:rPr>
              <w:t xml:space="preserve"> and CCIV regime</w:t>
            </w:r>
            <w:r w:rsidR="00387EB9">
              <w:rPr>
                <w:rFonts w:asciiTheme="minorHAnsi" w:hAnsiTheme="minorHAnsi" w:cstheme="minorHAnsi"/>
              </w:rPr>
              <w:t xml:space="preserve">. </w:t>
            </w:r>
          </w:p>
        </w:tc>
      </w:tr>
      <w:tr w:rsidR="008065A7" w:rsidRPr="00D77F13" w14:paraId="465B7D65" w14:textId="77777777" w:rsidTr="00E5722A">
        <w:trPr>
          <w:trHeight w:val="340"/>
        </w:trPr>
        <w:tc>
          <w:tcPr>
            <w:tcW w:w="3142" w:type="dxa"/>
            <w:shd w:val="clear" w:color="auto" w:fill="00ABBD" w:themeFill="accent6"/>
          </w:tcPr>
          <w:p w14:paraId="25B937DC" w14:textId="77777777" w:rsidR="008065A7" w:rsidRPr="00D77F13" w:rsidRDefault="008065A7" w:rsidP="001E7A63">
            <w:pPr>
              <w:rPr>
                <w:b/>
                <w:color w:val="FFFFFF" w:themeColor="background1"/>
              </w:rPr>
            </w:pPr>
            <w:r w:rsidRPr="00D77F13">
              <w:rPr>
                <w:b/>
                <w:color w:val="FFFFFF" w:themeColor="background1"/>
              </w:rPr>
              <w:t>Previous draft policy position</w:t>
            </w:r>
          </w:p>
        </w:tc>
        <w:tc>
          <w:tcPr>
            <w:tcW w:w="3250" w:type="dxa"/>
            <w:shd w:val="clear" w:color="auto" w:fill="00ABBD" w:themeFill="accent6"/>
          </w:tcPr>
          <w:p w14:paraId="4DA0BD66" w14:textId="77777777" w:rsidR="008065A7" w:rsidRPr="00D77F13" w:rsidRDefault="008065A7" w:rsidP="001E7A63">
            <w:pPr>
              <w:rPr>
                <w:b/>
                <w:color w:val="FFFFFF" w:themeColor="background1"/>
              </w:rPr>
            </w:pPr>
            <w:r w:rsidRPr="00D77F13">
              <w:rPr>
                <w:b/>
                <w:color w:val="FFFFFF" w:themeColor="background1"/>
              </w:rPr>
              <w:t>New policy position</w:t>
            </w:r>
          </w:p>
        </w:tc>
        <w:tc>
          <w:tcPr>
            <w:tcW w:w="3250" w:type="dxa"/>
            <w:shd w:val="clear" w:color="auto" w:fill="00ABBD" w:themeFill="accent6"/>
          </w:tcPr>
          <w:p w14:paraId="2A8EE106" w14:textId="77777777" w:rsidR="008065A7" w:rsidRPr="00D77F13" w:rsidRDefault="008065A7" w:rsidP="001E7A63">
            <w:pPr>
              <w:rPr>
                <w:b/>
                <w:color w:val="FFFFFF" w:themeColor="background1"/>
              </w:rPr>
            </w:pPr>
            <w:r w:rsidRPr="00D77F13">
              <w:rPr>
                <w:b/>
                <w:color w:val="FFFFFF" w:themeColor="background1"/>
              </w:rPr>
              <w:t>Further information</w:t>
            </w:r>
          </w:p>
        </w:tc>
      </w:tr>
      <w:tr w:rsidR="008065A7" w:rsidRPr="00FC5CFB" w14:paraId="07B6D50F" w14:textId="77777777" w:rsidTr="00E5722A">
        <w:trPr>
          <w:trHeight w:val="340"/>
        </w:trPr>
        <w:tc>
          <w:tcPr>
            <w:tcW w:w="3142" w:type="dxa"/>
            <w:shd w:val="clear" w:color="auto" w:fill="auto"/>
          </w:tcPr>
          <w:p w14:paraId="73CA5A82" w14:textId="653CB1B2" w:rsidR="008065A7" w:rsidRPr="00A43DB6" w:rsidRDefault="008065A7" w:rsidP="008065A7">
            <w:pPr>
              <w:pStyle w:val="Bullet"/>
              <w:numPr>
                <w:ilvl w:val="0"/>
                <w:numId w:val="0"/>
              </w:numPr>
              <w:spacing w:before="60" w:after="60"/>
              <w:rPr>
                <w:rFonts w:asciiTheme="minorHAnsi" w:hAnsiTheme="minorHAnsi" w:cstheme="minorHAnsi"/>
              </w:rPr>
            </w:pPr>
            <w:r w:rsidRPr="003C5FEA">
              <w:rPr>
                <w:rFonts w:asciiTheme="minorHAnsi" w:hAnsiTheme="minorHAnsi" w:cstheme="minorHAnsi"/>
              </w:rPr>
              <w:t>Retail CCIV</w:t>
            </w:r>
            <w:r>
              <w:rPr>
                <w:rFonts w:asciiTheme="minorHAnsi" w:hAnsiTheme="minorHAnsi" w:cstheme="minorHAnsi"/>
              </w:rPr>
              <w:t>s</w:t>
            </w:r>
            <w:r w:rsidRPr="003C5FEA">
              <w:rPr>
                <w:rFonts w:asciiTheme="minorHAnsi" w:hAnsiTheme="minorHAnsi" w:cstheme="minorHAnsi"/>
              </w:rPr>
              <w:t xml:space="preserve"> were required to have an independent depositary. Wholesale CCIV could choose to utilise a depositary</w:t>
            </w:r>
            <w:r>
              <w:rPr>
                <w:rFonts w:asciiTheme="minorHAnsi" w:hAnsiTheme="minorHAnsi" w:cstheme="minorHAnsi"/>
              </w:rPr>
              <w:t>.</w:t>
            </w:r>
          </w:p>
        </w:tc>
        <w:tc>
          <w:tcPr>
            <w:tcW w:w="3250" w:type="dxa"/>
            <w:shd w:val="clear" w:color="auto" w:fill="E1FBFF"/>
          </w:tcPr>
          <w:p w14:paraId="34FF100F" w14:textId="1B77468D" w:rsidR="008065A7" w:rsidRDefault="008065A7" w:rsidP="008065A7">
            <w:pPr>
              <w:rPr>
                <w:rFonts w:asciiTheme="minorHAnsi" w:hAnsiTheme="minorHAnsi" w:cstheme="minorHAnsi"/>
              </w:rPr>
            </w:pPr>
            <w:r w:rsidRPr="003C5FEA">
              <w:rPr>
                <w:rFonts w:asciiTheme="minorHAnsi" w:hAnsiTheme="minorHAnsi" w:cstheme="minorHAnsi"/>
              </w:rPr>
              <w:t>All CCIVs will have the option to utilise a depositary or custodian</w:t>
            </w:r>
            <w:r w:rsidDel="001323B0">
              <w:rPr>
                <w:rFonts w:asciiTheme="minorHAnsi" w:hAnsiTheme="minorHAnsi" w:cstheme="minorHAnsi"/>
              </w:rPr>
              <w:t xml:space="preserve"> </w:t>
            </w:r>
            <w:r w:rsidR="001323B0">
              <w:rPr>
                <w:rFonts w:asciiTheme="minorHAnsi" w:hAnsiTheme="minorHAnsi" w:cstheme="minorHAnsi"/>
              </w:rPr>
              <w:t>under commercial arrangements</w:t>
            </w:r>
            <w:r>
              <w:rPr>
                <w:rFonts w:asciiTheme="minorHAnsi" w:hAnsiTheme="minorHAnsi" w:cstheme="minorHAnsi"/>
              </w:rPr>
              <w:t>.</w:t>
            </w:r>
            <w:r w:rsidR="00C943D8">
              <w:rPr>
                <w:rFonts w:asciiTheme="minorHAnsi" w:hAnsiTheme="minorHAnsi" w:cstheme="minorHAnsi"/>
              </w:rPr>
              <w:t xml:space="preserve"> Retail CCIVs are no longer required to have an independent depositary.</w:t>
            </w:r>
          </w:p>
        </w:tc>
        <w:tc>
          <w:tcPr>
            <w:tcW w:w="3250" w:type="dxa"/>
            <w:shd w:val="clear" w:color="auto" w:fill="auto"/>
          </w:tcPr>
          <w:p w14:paraId="3817E4F1" w14:textId="6CA7463F" w:rsidR="008065A7" w:rsidRPr="006F731C" w:rsidRDefault="008065A7" w:rsidP="008065A7">
            <w:pPr>
              <w:rPr>
                <w:rFonts w:asciiTheme="minorHAnsi" w:hAnsiTheme="minorHAnsi" w:cstheme="minorHAnsi"/>
              </w:rPr>
            </w:pPr>
            <w:r>
              <w:rPr>
                <w:rFonts w:asciiTheme="minorHAnsi" w:hAnsiTheme="minorHAnsi" w:cstheme="minorHAnsi"/>
              </w:rPr>
              <w:t xml:space="preserve">Sections </w:t>
            </w:r>
            <w:r w:rsidRPr="003C5FEA">
              <w:rPr>
                <w:rFonts w:asciiTheme="minorHAnsi" w:hAnsiTheme="minorHAnsi" w:cstheme="minorHAnsi"/>
              </w:rPr>
              <w:t xml:space="preserve">1233Z &amp; 1233ZA allow for the assets of the CCIV to be held </w:t>
            </w:r>
            <w:r>
              <w:rPr>
                <w:rFonts w:asciiTheme="minorHAnsi" w:hAnsiTheme="minorHAnsi" w:cstheme="minorHAnsi"/>
              </w:rPr>
              <w:t xml:space="preserve">by another entity </w:t>
            </w:r>
            <w:r w:rsidRPr="003C5FEA">
              <w:rPr>
                <w:rFonts w:asciiTheme="minorHAnsi" w:hAnsiTheme="minorHAnsi" w:cstheme="minorHAnsi"/>
              </w:rPr>
              <w:t>on trust</w:t>
            </w:r>
            <w:r w:rsidR="001323B0">
              <w:rPr>
                <w:rFonts w:asciiTheme="minorHAnsi" w:hAnsiTheme="minorHAnsi" w:cstheme="minorHAnsi"/>
              </w:rPr>
              <w:t xml:space="preserve"> for the CCIV</w:t>
            </w:r>
            <w:r w:rsidRPr="003C5FEA">
              <w:rPr>
                <w:rFonts w:asciiTheme="minorHAnsi" w:hAnsiTheme="minorHAnsi" w:cstheme="minorHAnsi"/>
              </w:rPr>
              <w:t>.</w:t>
            </w:r>
            <w:r w:rsidR="00C943D8">
              <w:rPr>
                <w:rFonts w:asciiTheme="minorHAnsi" w:hAnsiTheme="minorHAnsi" w:cstheme="minorHAnsi"/>
              </w:rPr>
              <w:t xml:space="preserve"> Previous Division 4 of Part 8B.3 has been removed.</w:t>
            </w:r>
          </w:p>
        </w:tc>
      </w:tr>
      <w:tr w:rsidR="008065A7" w:rsidRPr="00FC5CFB" w14:paraId="2925199D" w14:textId="77777777" w:rsidTr="00E5722A">
        <w:trPr>
          <w:trHeight w:val="340"/>
        </w:trPr>
        <w:tc>
          <w:tcPr>
            <w:tcW w:w="9642" w:type="dxa"/>
            <w:gridSpan w:val="3"/>
            <w:shd w:val="clear" w:color="auto" w:fill="007F8D" w:themeFill="accent6" w:themeFillShade="BF"/>
          </w:tcPr>
          <w:p w14:paraId="6EE6D924" w14:textId="6972B160" w:rsidR="008065A7" w:rsidRPr="008065A7" w:rsidRDefault="008065A7" w:rsidP="008065A7">
            <w:pPr>
              <w:keepNext/>
              <w:rPr>
                <w:b/>
                <w:color w:val="FFFFFF" w:themeColor="background1"/>
              </w:rPr>
            </w:pPr>
            <w:r w:rsidRPr="008065A7">
              <w:rPr>
                <w:b/>
                <w:color w:val="FFFFFF" w:themeColor="background1"/>
              </w:rPr>
              <w:lastRenderedPageBreak/>
              <w:t xml:space="preserve">Will sub-funds in the same CCIV be able to undertake cross-investment? </w:t>
            </w:r>
          </w:p>
        </w:tc>
      </w:tr>
      <w:tr w:rsidR="008065A7" w:rsidRPr="00FC5CFB" w14:paraId="075C6AFF" w14:textId="77777777" w:rsidTr="00E5722A">
        <w:trPr>
          <w:trHeight w:val="340"/>
        </w:trPr>
        <w:tc>
          <w:tcPr>
            <w:tcW w:w="9642" w:type="dxa"/>
            <w:gridSpan w:val="3"/>
            <w:shd w:val="clear" w:color="auto" w:fill="auto"/>
          </w:tcPr>
          <w:p w14:paraId="04CCC9D6" w14:textId="127303BD" w:rsidR="008065A7" w:rsidRPr="00766A18" w:rsidRDefault="008065A7" w:rsidP="008065A7">
            <w:pPr>
              <w:spacing w:before="120"/>
              <w:rPr>
                <w:rFonts w:asciiTheme="minorHAnsi" w:hAnsiTheme="minorHAnsi" w:cstheme="minorHAnsi"/>
              </w:rPr>
            </w:pPr>
            <w:r w:rsidRPr="00683974">
              <w:rPr>
                <w:rFonts w:asciiTheme="minorHAnsi" w:hAnsiTheme="minorHAnsi" w:cstheme="minorHAnsi"/>
              </w:rPr>
              <w:t xml:space="preserve">Yes, </w:t>
            </w:r>
            <w:r w:rsidR="00F43A09" w:rsidRPr="00683974">
              <w:rPr>
                <w:rFonts w:asciiTheme="minorHAnsi" w:hAnsiTheme="minorHAnsi" w:cstheme="minorHAnsi"/>
              </w:rPr>
              <w:t>sub-funds in the sa</w:t>
            </w:r>
            <w:r w:rsidR="00F43A09" w:rsidRPr="00766A18">
              <w:rPr>
                <w:rFonts w:asciiTheme="minorHAnsi" w:hAnsiTheme="minorHAnsi" w:cstheme="minorHAnsi"/>
              </w:rPr>
              <w:t xml:space="preserve">me CCIV may cross-invest subject to any requirements or restrictions set out in the </w:t>
            </w:r>
            <w:r w:rsidR="00F43A09" w:rsidRPr="00BF2878">
              <w:rPr>
                <w:rFonts w:asciiTheme="minorHAnsi" w:hAnsiTheme="minorHAnsi" w:cstheme="minorHAnsi"/>
                <w:i/>
              </w:rPr>
              <w:t>Corporations Regulations 2001</w:t>
            </w:r>
            <w:r w:rsidR="00F43A09" w:rsidRPr="00683974">
              <w:rPr>
                <w:rFonts w:asciiTheme="minorHAnsi" w:hAnsiTheme="minorHAnsi" w:cstheme="minorHAnsi"/>
              </w:rPr>
              <w:t xml:space="preserve"> </w:t>
            </w:r>
            <w:r w:rsidR="00C64FED" w:rsidRPr="00683974">
              <w:rPr>
                <w:rFonts w:asciiTheme="minorHAnsi" w:hAnsiTheme="minorHAnsi" w:cstheme="minorHAnsi"/>
              </w:rPr>
              <w:t>(Regulations).</w:t>
            </w:r>
            <w:r w:rsidR="004709C0" w:rsidRPr="00766A18">
              <w:rPr>
                <w:rFonts w:asciiTheme="minorHAnsi" w:hAnsiTheme="minorHAnsi" w:cstheme="minorHAnsi"/>
              </w:rPr>
              <w:t xml:space="preserve"> </w:t>
            </w:r>
            <w:r w:rsidR="00766A18" w:rsidRPr="00766A18">
              <w:rPr>
                <w:rFonts w:asciiTheme="minorHAnsi" w:hAnsiTheme="minorHAnsi" w:cstheme="minorHAnsi"/>
              </w:rPr>
              <w:t xml:space="preserve">This change has been made in response to feedback in previous consultation and to </w:t>
            </w:r>
            <w:r w:rsidR="00A06822">
              <w:rPr>
                <w:rFonts w:asciiTheme="minorHAnsi" w:hAnsiTheme="minorHAnsi" w:cstheme="minorHAnsi"/>
              </w:rPr>
              <w:t>ensure</w:t>
            </w:r>
            <w:r w:rsidR="00766A18" w:rsidRPr="00683974">
              <w:rPr>
                <w:rFonts w:asciiTheme="minorHAnsi" w:hAnsiTheme="minorHAnsi" w:cstheme="minorHAnsi"/>
              </w:rPr>
              <w:t xml:space="preserve"> the competitiveness of the Australian </w:t>
            </w:r>
            <w:r w:rsidR="00766A18" w:rsidRPr="00766A18">
              <w:rPr>
                <w:rFonts w:asciiTheme="minorHAnsi" w:hAnsiTheme="minorHAnsi" w:cstheme="minorHAnsi"/>
              </w:rPr>
              <w:t>CCIV regime internationally</w:t>
            </w:r>
            <w:r w:rsidR="00A06822">
              <w:rPr>
                <w:rFonts w:asciiTheme="minorHAnsi" w:hAnsiTheme="minorHAnsi" w:cstheme="minorHAnsi"/>
              </w:rPr>
              <w:t xml:space="preserve"> (given the protected cells of other international vehicles are able to cross-invest)</w:t>
            </w:r>
            <w:r w:rsidR="00766A18" w:rsidRPr="00683974">
              <w:rPr>
                <w:rFonts w:asciiTheme="minorHAnsi" w:hAnsiTheme="minorHAnsi" w:cstheme="minorHAnsi"/>
              </w:rPr>
              <w:t xml:space="preserve">. </w:t>
            </w:r>
          </w:p>
          <w:p w14:paraId="3AC44237" w14:textId="61632693" w:rsidR="004709C0" w:rsidRPr="00766A18" w:rsidRDefault="00F43A09" w:rsidP="00C64FED">
            <w:pPr>
              <w:spacing w:before="120"/>
              <w:rPr>
                <w:rFonts w:asciiTheme="minorHAnsi" w:hAnsiTheme="minorHAnsi" w:cstheme="minorHAnsi"/>
              </w:rPr>
            </w:pPr>
            <w:r w:rsidRPr="00766A18">
              <w:rPr>
                <w:rFonts w:asciiTheme="minorHAnsi" w:hAnsiTheme="minorHAnsi" w:cstheme="minorHAnsi"/>
              </w:rPr>
              <w:t xml:space="preserve">To facilitate </w:t>
            </w:r>
            <w:r w:rsidR="00C85FE7">
              <w:rPr>
                <w:rFonts w:asciiTheme="minorHAnsi" w:hAnsiTheme="minorHAnsi" w:cstheme="minorHAnsi"/>
              </w:rPr>
              <w:t>cross-investment</w:t>
            </w:r>
            <w:r w:rsidRPr="00766A18">
              <w:rPr>
                <w:rFonts w:asciiTheme="minorHAnsi" w:hAnsiTheme="minorHAnsi" w:cstheme="minorHAnsi"/>
              </w:rPr>
              <w:t>, consistent with other international collective investment</w:t>
            </w:r>
            <w:r w:rsidR="00BF2878">
              <w:rPr>
                <w:rFonts w:asciiTheme="minorHAnsi" w:hAnsiTheme="minorHAnsi" w:cstheme="minorHAnsi"/>
              </w:rPr>
              <w:t xml:space="preserve"> vehicles</w:t>
            </w:r>
            <w:r w:rsidRPr="00766A18">
              <w:rPr>
                <w:rFonts w:asciiTheme="minorHAnsi" w:hAnsiTheme="minorHAnsi" w:cstheme="minorHAnsi"/>
              </w:rPr>
              <w:t xml:space="preserve">, a CCIV may acquire, in respect of one sub-fund, shares that are referable to another sub-fund of the CCIV. </w:t>
            </w:r>
            <w:r w:rsidR="00C64FED" w:rsidRPr="00766A18">
              <w:rPr>
                <w:rFonts w:asciiTheme="minorHAnsi" w:hAnsiTheme="minorHAnsi" w:cstheme="minorHAnsi"/>
              </w:rPr>
              <w:t>These shares are held as an asset for the first sub-fund. A</w:t>
            </w:r>
            <w:r w:rsidRPr="00766A18">
              <w:rPr>
                <w:rFonts w:asciiTheme="minorHAnsi" w:hAnsiTheme="minorHAnsi" w:cstheme="minorHAnsi"/>
              </w:rPr>
              <w:t xml:space="preserve"> CCIV </w:t>
            </w:r>
            <w:r w:rsidR="00C64FED" w:rsidRPr="00766A18">
              <w:rPr>
                <w:rFonts w:asciiTheme="minorHAnsi" w:hAnsiTheme="minorHAnsi" w:cstheme="minorHAnsi"/>
              </w:rPr>
              <w:t xml:space="preserve">also </w:t>
            </w:r>
            <w:r w:rsidRPr="00766A18">
              <w:rPr>
                <w:rFonts w:asciiTheme="minorHAnsi" w:hAnsiTheme="minorHAnsi" w:cstheme="minorHAnsi"/>
              </w:rPr>
              <w:t xml:space="preserve">acquires rights as a member of </w:t>
            </w:r>
            <w:r w:rsidR="00C64FED" w:rsidRPr="00766A18">
              <w:rPr>
                <w:rFonts w:asciiTheme="minorHAnsi" w:hAnsiTheme="minorHAnsi" w:cstheme="minorHAnsi"/>
              </w:rPr>
              <w:t xml:space="preserve">the second sub-fund of the CCIV. As a member, the CCIV </w:t>
            </w:r>
            <w:r w:rsidR="00ED4519">
              <w:rPr>
                <w:rFonts w:asciiTheme="minorHAnsi" w:hAnsiTheme="minorHAnsi" w:cstheme="minorHAnsi"/>
              </w:rPr>
              <w:t>is entitled to</w:t>
            </w:r>
            <w:r w:rsidR="00ED4519" w:rsidRPr="00766A18">
              <w:rPr>
                <w:rFonts w:asciiTheme="minorHAnsi" w:hAnsiTheme="minorHAnsi" w:cstheme="minorHAnsi"/>
              </w:rPr>
              <w:t xml:space="preserve"> </w:t>
            </w:r>
            <w:r w:rsidR="00C64FED" w:rsidRPr="00766A18">
              <w:rPr>
                <w:rFonts w:asciiTheme="minorHAnsi" w:hAnsiTheme="minorHAnsi" w:cstheme="minorHAnsi"/>
              </w:rPr>
              <w:t xml:space="preserve">vote on resolutions </w:t>
            </w:r>
            <w:r w:rsidR="00ED4519">
              <w:rPr>
                <w:rFonts w:asciiTheme="minorHAnsi" w:hAnsiTheme="minorHAnsi" w:cstheme="minorHAnsi"/>
              </w:rPr>
              <w:t>at a meeting of</w:t>
            </w:r>
            <w:r w:rsidR="00ED4519" w:rsidRPr="00766A18">
              <w:rPr>
                <w:rFonts w:asciiTheme="minorHAnsi" w:hAnsiTheme="minorHAnsi" w:cstheme="minorHAnsi"/>
              </w:rPr>
              <w:t xml:space="preserve"> </w:t>
            </w:r>
            <w:r w:rsidR="00C64FED" w:rsidRPr="00766A18">
              <w:rPr>
                <w:rFonts w:asciiTheme="minorHAnsi" w:hAnsiTheme="minorHAnsi" w:cstheme="minorHAnsi"/>
              </w:rPr>
              <w:t>the members of the second sub-fund</w:t>
            </w:r>
            <w:r w:rsidR="00ED4519">
              <w:rPr>
                <w:rFonts w:asciiTheme="minorHAnsi" w:hAnsiTheme="minorHAnsi" w:cstheme="minorHAnsi"/>
              </w:rPr>
              <w:t>,</w:t>
            </w:r>
            <w:r w:rsidR="00C64FED" w:rsidRPr="00766A18">
              <w:rPr>
                <w:rFonts w:asciiTheme="minorHAnsi" w:hAnsiTheme="minorHAnsi" w:cstheme="minorHAnsi"/>
              </w:rPr>
              <w:t xml:space="preserve"> subject to any requirements in the Regulations.</w:t>
            </w:r>
            <w:r w:rsidR="004709C0" w:rsidRPr="00766A18">
              <w:rPr>
                <w:rFonts w:asciiTheme="minorHAnsi" w:hAnsiTheme="minorHAnsi" w:cstheme="minorHAnsi"/>
              </w:rPr>
              <w:t xml:space="preserve"> However, the CCIV cannot vote on resolutions </w:t>
            </w:r>
            <w:r w:rsidR="00ED4519">
              <w:rPr>
                <w:rFonts w:asciiTheme="minorHAnsi" w:hAnsiTheme="minorHAnsi" w:cstheme="minorHAnsi"/>
              </w:rPr>
              <w:t>at a meeting of</w:t>
            </w:r>
            <w:r w:rsidR="00ED4519" w:rsidRPr="00766A18">
              <w:rPr>
                <w:rFonts w:asciiTheme="minorHAnsi" w:hAnsiTheme="minorHAnsi" w:cstheme="minorHAnsi"/>
              </w:rPr>
              <w:t xml:space="preserve"> </w:t>
            </w:r>
            <w:r w:rsidR="004709C0" w:rsidRPr="00766A18">
              <w:rPr>
                <w:rFonts w:asciiTheme="minorHAnsi" w:hAnsiTheme="minorHAnsi" w:cstheme="minorHAnsi"/>
              </w:rPr>
              <w:t xml:space="preserve">the members of the whole CCIV to </w:t>
            </w:r>
            <w:r w:rsidR="00766A18" w:rsidRPr="00766A18">
              <w:rPr>
                <w:rFonts w:asciiTheme="minorHAnsi" w:hAnsiTheme="minorHAnsi" w:cstheme="minorHAnsi"/>
              </w:rPr>
              <w:t>preserve</w:t>
            </w:r>
            <w:r w:rsidR="004709C0" w:rsidRPr="00766A18">
              <w:rPr>
                <w:rFonts w:asciiTheme="minorHAnsi" w:hAnsiTheme="minorHAnsi" w:cstheme="minorHAnsi"/>
              </w:rPr>
              <w:t xml:space="preserve"> the </w:t>
            </w:r>
            <w:r w:rsidR="00766A18" w:rsidRPr="00766A18">
              <w:rPr>
                <w:rFonts w:asciiTheme="minorHAnsi" w:hAnsiTheme="minorHAnsi" w:cstheme="minorHAnsi"/>
              </w:rPr>
              <w:t>voting power</w:t>
            </w:r>
            <w:r w:rsidR="004709C0" w:rsidRPr="00766A18">
              <w:rPr>
                <w:rFonts w:asciiTheme="minorHAnsi" w:hAnsiTheme="minorHAnsi" w:cstheme="minorHAnsi"/>
              </w:rPr>
              <w:t xml:space="preserve"> of other members in the CCIV. </w:t>
            </w:r>
          </w:p>
          <w:p w14:paraId="2362B416" w14:textId="2BEE6294" w:rsidR="00766A18" w:rsidRPr="00683974" w:rsidRDefault="004709C0" w:rsidP="008065A7">
            <w:pPr>
              <w:rPr>
                <w:rFonts w:asciiTheme="minorHAnsi" w:hAnsiTheme="minorHAnsi" w:cstheme="minorHAnsi"/>
              </w:rPr>
            </w:pPr>
            <w:r w:rsidRPr="00766A18">
              <w:rPr>
                <w:rFonts w:asciiTheme="minorHAnsi" w:hAnsiTheme="minorHAnsi" w:cstheme="minorHAnsi"/>
              </w:rPr>
              <w:t>Including any requirements or restrictions on cross-investment in the Regulations is consistent with the approach taken in other international jurisdictions and ensures the regime is responsive to the market as the CCIV regime becomes operational and matures</w:t>
            </w:r>
            <w:r w:rsidR="00A06822">
              <w:rPr>
                <w:rFonts w:asciiTheme="minorHAnsi" w:hAnsiTheme="minorHAnsi" w:cstheme="minorHAnsi"/>
              </w:rPr>
              <w:t xml:space="preserve"> over time</w:t>
            </w:r>
            <w:r w:rsidRPr="00683974">
              <w:rPr>
                <w:rFonts w:asciiTheme="minorHAnsi" w:hAnsiTheme="minorHAnsi" w:cstheme="minorHAnsi"/>
              </w:rPr>
              <w:t>. From establishment</w:t>
            </w:r>
            <w:r w:rsidRPr="00766A18">
              <w:rPr>
                <w:rFonts w:asciiTheme="minorHAnsi" w:hAnsiTheme="minorHAnsi" w:cstheme="minorHAnsi"/>
              </w:rPr>
              <w:t xml:space="preserve"> of the CCIV regime on 1 July 2022, </w:t>
            </w:r>
            <w:r w:rsidR="00ED4519">
              <w:rPr>
                <w:rFonts w:asciiTheme="minorHAnsi" w:hAnsiTheme="minorHAnsi" w:cstheme="minorHAnsi"/>
              </w:rPr>
              <w:t xml:space="preserve">a </w:t>
            </w:r>
            <w:r w:rsidRPr="00766A18">
              <w:rPr>
                <w:rFonts w:asciiTheme="minorHAnsi" w:hAnsiTheme="minorHAnsi" w:cstheme="minorHAnsi"/>
              </w:rPr>
              <w:t xml:space="preserve">restriction on circular investment </w:t>
            </w:r>
            <w:r w:rsidR="00ED4519">
              <w:rPr>
                <w:rFonts w:asciiTheme="minorHAnsi" w:hAnsiTheme="minorHAnsi" w:cstheme="minorHAnsi"/>
              </w:rPr>
              <w:t>is</w:t>
            </w:r>
            <w:r w:rsidR="00ED4519" w:rsidRPr="00766A18">
              <w:rPr>
                <w:rFonts w:asciiTheme="minorHAnsi" w:hAnsiTheme="minorHAnsi" w:cstheme="minorHAnsi"/>
              </w:rPr>
              <w:t xml:space="preserve"> </w:t>
            </w:r>
            <w:r w:rsidRPr="00766A18">
              <w:rPr>
                <w:rFonts w:asciiTheme="minorHAnsi" w:hAnsiTheme="minorHAnsi" w:cstheme="minorHAnsi"/>
              </w:rPr>
              <w:t>proposed to be set out in the Regulations</w:t>
            </w:r>
            <w:r w:rsidRPr="00683974">
              <w:rPr>
                <w:rFonts w:asciiTheme="minorHAnsi" w:hAnsiTheme="minorHAnsi" w:cstheme="minorHAnsi"/>
              </w:rPr>
              <w:t>.</w:t>
            </w:r>
          </w:p>
          <w:p w14:paraId="73DE05FE" w14:textId="77777777" w:rsidR="00766A18" w:rsidRPr="00766A18" w:rsidRDefault="00766A18" w:rsidP="00E033A9">
            <w:pPr>
              <w:spacing w:after="0"/>
              <w:rPr>
                <w:rFonts w:asciiTheme="minorHAnsi" w:hAnsiTheme="minorHAnsi" w:cstheme="minorHAnsi"/>
              </w:rPr>
            </w:pPr>
            <w:r w:rsidRPr="00766A18">
              <w:rPr>
                <w:rFonts w:asciiTheme="minorHAnsi" w:hAnsiTheme="minorHAnsi" w:cstheme="minorHAnsi"/>
              </w:rPr>
              <w:t>Further regulatory requirements are included in the draft law to ensure:</w:t>
            </w:r>
          </w:p>
          <w:p w14:paraId="41124F72" w14:textId="7996659F" w:rsidR="00766A18" w:rsidRPr="00766A18" w:rsidRDefault="00766A18" w:rsidP="00E033A9">
            <w:pPr>
              <w:pStyle w:val="ListParagraph"/>
              <w:numPr>
                <w:ilvl w:val="0"/>
                <w:numId w:val="9"/>
              </w:numPr>
              <w:ind w:left="714" w:hanging="357"/>
              <w:rPr>
                <w:rFonts w:asciiTheme="minorHAnsi" w:hAnsiTheme="minorHAnsi" w:cstheme="minorHAnsi"/>
              </w:rPr>
            </w:pPr>
            <w:bookmarkStart w:id="3" w:name="tempbookmark"/>
            <w:bookmarkEnd w:id="3"/>
            <w:r w:rsidRPr="00766A18">
              <w:rPr>
                <w:rFonts w:asciiTheme="minorHAnsi" w:hAnsiTheme="minorHAnsi" w:cstheme="minorHAnsi"/>
              </w:rPr>
              <w:t>the constitution of a retail CCIV makes adequate provision for cross-investment between its sub</w:t>
            </w:r>
            <w:r w:rsidRPr="00766A18">
              <w:rPr>
                <w:rFonts w:asciiTheme="minorHAnsi" w:hAnsiTheme="minorHAnsi" w:cstheme="minorHAnsi"/>
              </w:rPr>
              <w:noBreakHyphen/>
              <w:t>funds; and</w:t>
            </w:r>
          </w:p>
          <w:p w14:paraId="36EF6A0E" w14:textId="1AB156CB" w:rsidR="00B36387" w:rsidRPr="00BF2878" w:rsidRDefault="00766A18" w:rsidP="00E033A9">
            <w:pPr>
              <w:pStyle w:val="ListParagraph"/>
              <w:numPr>
                <w:ilvl w:val="0"/>
                <w:numId w:val="9"/>
              </w:numPr>
              <w:ind w:left="714" w:hanging="357"/>
              <w:rPr>
                <w:rFonts w:asciiTheme="minorHAnsi" w:hAnsiTheme="minorHAnsi" w:cstheme="minorHAnsi"/>
              </w:rPr>
            </w:pPr>
            <w:r w:rsidRPr="00BF2878">
              <w:rPr>
                <w:rFonts w:asciiTheme="minorHAnsi" w:hAnsiTheme="minorHAnsi" w:cstheme="minorHAnsi"/>
              </w:rPr>
              <w:t xml:space="preserve">the intention to cross-invest is appropriately addressed in any Product Disclosure Statement related to securities in a retail CCIV.  </w:t>
            </w:r>
          </w:p>
          <w:p w14:paraId="2F54B58A" w14:textId="75B88F48" w:rsidR="00F31C4C" w:rsidRDefault="00F31C4C" w:rsidP="00683974">
            <w:r>
              <w:t>These requirements ensure that members o</w:t>
            </w:r>
            <w:r w:rsidRPr="009702AF">
              <w:rPr>
                <w:rFonts w:asciiTheme="minorHAnsi" w:hAnsiTheme="minorHAnsi" w:cstheme="minorHAnsi"/>
              </w:rPr>
              <w:t>f a retail CCIV are</w:t>
            </w:r>
            <w:r w:rsidR="00F238F5">
              <w:rPr>
                <w:rFonts w:asciiTheme="minorHAnsi" w:hAnsiTheme="minorHAnsi" w:cstheme="minorHAnsi"/>
              </w:rPr>
              <w:t xml:space="preserve"> appropriately</w:t>
            </w:r>
            <w:r w:rsidRPr="009702AF">
              <w:rPr>
                <w:rFonts w:asciiTheme="minorHAnsi" w:hAnsiTheme="minorHAnsi" w:cstheme="minorHAnsi"/>
              </w:rPr>
              <w:t xml:space="preserve"> informed </w:t>
            </w:r>
            <w:r w:rsidR="00F238F5">
              <w:rPr>
                <w:rFonts w:asciiTheme="minorHAnsi" w:hAnsiTheme="minorHAnsi" w:cstheme="minorHAnsi"/>
              </w:rPr>
              <w:t>about any intention to cross-invest within a CCIV. Given the contractual nature of the CCIV’s constitution, members of a retail CCIV will obtain necessary protections</w:t>
            </w:r>
            <w:r w:rsidR="00683974">
              <w:rPr>
                <w:rFonts w:asciiTheme="minorHAnsi" w:hAnsiTheme="minorHAnsi" w:cstheme="minorHAnsi"/>
              </w:rPr>
              <w:t xml:space="preserve"> if any of the requirements that have been included </w:t>
            </w:r>
            <w:r w:rsidR="00C85FE7">
              <w:rPr>
                <w:rFonts w:asciiTheme="minorHAnsi" w:hAnsiTheme="minorHAnsi" w:cstheme="minorHAnsi"/>
              </w:rPr>
              <w:t xml:space="preserve">in the constitution </w:t>
            </w:r>
            <w:r w:rsidR="00683974">
              <w:rPr>
                <w:rFonts w:asciiTheme="minorHAnsi" w:hAnsiTheme="minorHAnsi" w:cstheme="minorHAnsi"/>
              </w:rPr>
              <w:t>are contravened.</w:t>
            </w:r>
            <w:r w:rsidR="00F238F5">
              <w:rPr>
                <w:rFonts w:asciiTheme="minorHAnsi" w:hAnsiTheme="minorHAnsi" w:cstheme="minorHAnsi"/>
              </w:rPr>
              <w:t xml:space="preserve"> </w:t>
            </w:r>
          </w:p>
          <w:p w14:paraId="404738D7" w14:textId="65E19724" w:rsidR="008065A7" w:rsidRPr="00BF2878" w:rsidRDefault="00C85FE7" w:rsidP="00683974">
            <w:r>
              <w:t>S</w:t>
            </w:r>
            <w:r w:rsidR="00A06822">
              <w:t xml:space="preserve">ome </w:t>
            </w:r>
            <w:r w:rsidR="000A7206">
              <w:t>revisions</w:t>
            </w:r>
            <w:r w:rsidR="00A06822">
              <w:t xml:space="preserve"> have been made to the statutory duties of the corporate director of a wholesale CCIV to ensure greater alignment with </w:t>
            </w:r>
            <w:r w:rsidR="000A7206">
              <w:t xml:space="preserve">the duties of a corporate trustee of a </w:t>
            </w:r>
            <w:r w:rsidR="00C54B38">
              <w:t xml:space="preserve">wholesale </w:t>
            </w:r>
            <w:r w:rsidR="000A7206">
              <w:t xml:space="preserve">managed investment scheme. Under the 2019 exposure draft, the corporate director of a wholesale CCIV owed directors’ duties to the CCIV as a whole (in the same way that other directors of companies do). Revisions have been made to ensure the corporate director of a wholesale CCIV owes duties to members – in greater alignment with the duties owed to members of a wholesale scheme. </w:t>
            </w:r>
            <w:r w:rsidR="00F31C4C">
              <w:t xml:space="preserve">This ensures members of a CCIV have direct investor protections under cross-investment – as members of a scheme do. </w:t>
            </w:r>
          </w:p>
        </w:tc>
      </w:tr>
      <w:tr w:rsidR="00AF01B5" w:rsidRPr="00D77F13" w14:paraId="4E4884CC" w14:textId="77777777" w:rsidTr="00E5722A">
        <w:trPr>
          <w:trHeight w:val="340"/>
        </w:trPr>
        <w:tc>
          <w:tcPr>
            <w:tcW w:w="3142" w:type="dxa"/>
            <w:shd w:val="clear" w:color="auto" w:fill="00ABBD" w:themeFill="accent6"/>
          </w:tcPr>
          <w:p w14:paraId="318EAABE" w14:textId="77777777" w:rsidR="00AF01B5" w:rsidRPr="00D77F13" w:rsidRDefault="00AF01B5" w:rsidP="001E7A63">
            <w:pPr>
              <w:rPr>
                <w:b/>
                <w:color w:val="FFFFFF" w:themeColor="background1"/>
              </w:rPr>
            </w:pPr>
            <w:r w:rsidRPr="00D77F13">
              <w:rPr>
                <w:b/>
                <w:color w:val="FFFFFF" w:themeColor="background1"/>
              </w:rPr>
              <w:t>Previous draft policy position</w:t>
            </w:r>
          </w:p>
        </w:tc>
        <w:tc>
          <w:tcPr>
            <w:tcW w:w="3250" w:type="dxa"/>
            <w:shd w:val="clear" w:color="auto" w:fill="00ABBD" w:themeFill="accent6"/>
          </w:tcPr>
          <w:p w14:paraId="49390E6B" w14:textId="77777777" w:rsidR="00AF01B5" w:rsidRPr="00D77F13" w:rsidRDefault="00AF01B5" w:rsidP="001E7A63">
            <w:pPr>
              <w:rPr>
                <w:b/>
                <w:color w:val="FFFFFF" w:themeColor="background1"/>
              </w:rPr>
            </w:pPr>
            <w:r w:rsidRPr="00D77F13">
              <w:rPr>
                <w:b/>
                <w:color w:val="FFFFFF" w:themeColor="background1"/>
              </w:rPr>
              <w:t>New policy position</w:t>
            </w:r>
          </w:p>
        </w:tc>
        <w:tc>
          <w:tcPr>
            <w:tcW w:w="3250" w:type="dxa"/>
            <w:shd w:val="clear" w:color="auto" w:fill="00ABBD" w:themeFill="accent6"/>
          </w:tcPr>
          <w:p w14:paraId="2CEAFF15" w14:textId="77777777" w:rsidR="00AF01B5" w:rsidRPr="00D77F13" w:rsidRDefault="00AF01B5" w:rsidP="001E7A63">
            <w:pPr>
              <w:rPr>
                <w:b/>
                <w:color w:val="FFFFFF" w:themeColor="background1"/>
              </w:rPr>
            </w:pPr>
            <w:r w:rsidRPr="00D77F13">
              <w:rPr>
                <w:b/>
                <w:color w:val="FFFFFF" w:themeColor="background1"/>
              </w:rPr>
              <w:t>Further information</w:t>
            </w:r>
          </w:p>
        </w:tc>
      </w:tr>
      <w:tr w:rsidR="00AF01B5" w:rsidRPr="00D77F13" w14:paraId="4D32148B" w14:textId="77777777" w:rsidTr="00E5722A">
        <w:trPr>
          <w:trHeight w:val="340"/>
        </w:trPr>
        <w:tc>
          <w:tcPr>
            <w:tcW w:w="3142" w:type="dxa"/>
            <w:shd w:val="clear" w:color="auto" w:fill="auto"/>
          </w:tcPr>
          <w:p w14:paraId="4F1B5A7A" w14:textId="1958B8D5" w:rsidR="00AF01B5" w:rsidRPr="00A43DB6" w:rsidRDefault="00AF01B5" w:rsidP="00AF01B5">
            <w:pPr>
              <w:pStyle w:val="Bullet"/>
              <w:numPr>
                <w:ilvl w:val="0"/>
                <w:numId w:val="0"/>
              </w:numPr>
              <w:spacing w:before="60" w:after="60"/>
              <w:rPr>
                <w:rFonts w:asciiTheme="minorHAnsi" w:hAnsiTheme="minorHAnsi" w:cstheme="minorHAnsi"/>
              </w:rPr>
            </w:pPr>
            <w:r>
              <w:rPr>
                <w:rFonts w:asciiTheme="minorHAnsi" w:hAnsiTheme="minorHAnsi" w:cstheme="minorHAnsi"/>
              </w:rPr>
              <w:t>Cross-investment between sub</w:t>
            </w:r>
            <w:r>
              <w:rPr>
                <w:rFonts w:asciiTheme="minorHAnsi" w:hAnsiTheme="minorHAnsi" w:cstheme="minorHAnsi"/>
              </w:rPr>
              <w:noBreakHyphen/>
              <w:t>funds in the same CCIV was prohibited.</w:t>
            </w:r>
          </w:p>
        </w:tc>
        <w:tc>
          <w:tcPr>
            <w:tcW w:w="3250" w:type="dxa"/>
            <w:shd w:val="clear" w:color="auto" w:fill="E1FBFF"/>
          </w:tcPr>
          <w:p w14:paraId="676AE863" w14:textId="3EFB8C0C" w:rsidR="00AF01B5" w:rsidRDefault="00683974" w:rsidP="00AF01B5">
            <w:pPr>
              <w:rPr>
                <w:rFonts w:asciiTheme="minorHAnsi" w:hAnsiTheme="minorHAnsi" w:cstheme="minorHAnsi"/>
              </w:rPr>
            </w:pPr>
            <w:r>
              <w:rPr>
                <w:rFonts w:asciiTheme="minorHAnsi" w:hAnsiTheme="minorHAnsi" w:cstheme="minorHAnsi"/>
              </w:rPr>
              <w:t>C</w:t>
            </w:r>
            <w:r w:rsidR="00AF01B5" w:rsidRPr="003C5FEA">
              <w:rPr>
                <w:rFonts w:asciiTheme="minorHAnsi" w:hAnsiTheme="minorHAnsi" w:cstheme="minorHAnsi"/>
              </w:rPr>
              <w:t>ross</w:t>
            </w:r>
            <w:r w:rsidR="00AF01B5" w:rsidRPr="003C5FEA">
              <w:rPr>
                <w:rFonts w:asciiTheme="minorHAnsi" w:hAnsiTheme="minorHAnsi" w:cstheme="minorHAnsi"/>
              </w:rPr>
              <w:noBreakHyphen/>
              <w:t xml:space="preserve">investment </w:t>
            </w:r>
            <w:r>
              <w:rPr>
                <w:rFonts w:asciiTheme="minorHAnsi" w:hAnsiTheme="minorHAnsi" w:cstheme="minorHAnsi"/>
              </w:rPr>
              <w:t xml:space="preserve">between the sub-funds of a CCIV is facilitated </w:t>
            </w:r>
            <w:r w:rsidR="00AF01B5">
              <w:rPr>
                <w:rFonts w:asciiTheme="minorHAnsi" w:hAnsiTheme="minorHAnsi" w:cstheme="minorHAnsi"/>
              </w:rPr>
              <w:t xml:space="preserve">subject </w:t>
            </w:r>
            <w:r w:rsidR="00DB621B">
              <w:rPr>
                <w:rFonts w:asciiTheme="minorHAnsi" w:hAnsiTheme="minorHAnsi" w:cstheme="minorHAnsi"/>
              </w:rPr>
              <w:t xml:space="preserve">to </w:t>
            </w:r>
            <w:r>
              <w:rPr>
                <w:rFonts w:asciiTheme="minorHAnsi" w:hAnsiTheme="minorHAnsi" w:cstheme="minorHAnsi"/>
              </w:rPr>
              <w:t xml:space="preserve">any requirements or </w:t>
            </w:r>
            <w:r w:rsidR="00AF01B5">
              <w:rPr>
                <w:rFonts w:asciiTheme="minorHAnsi" w:hAnsiTheme="minorHAnsi" w:cstheme="minorHAnsi"/>
              </w:rPr>
              <w:t xml:space="preserve">restrictions </w:t>
            </w:r>
            <w:r w:rsidR="00DB621B">
              <w:rPr>
                <w:rFonts w:asciiTheme="minorHAnsi" w:hAnsiTheme="minorHAnsi" w:cstheme="minorHAnsi"/>
              </w:rPr>
              <w:t xml:space="preserve">prescribed </w:t>
            </w:r>
            <w:r w:rsidR="00AF01B5">
              <w:rPr>
                <w:rFonts w:asciiTheme="minorHAnsi" w:hAnsiTheme="minorHAnsi" w:cstheme="minorHAnsi"/>
              </w:rPr>
              <w:t>in the Regulations.</w:t>
            </w:r>
          </w:p>
        </w:tc>
        <w:tc>
          <w:tcPr>
            <w:tcW w:w="3250" w:type="dxa"/>
            <w:shd w:val="clear" w:color="auto" w:fill="auto"/>
          </w:tcPr>
          <w:p w14:paraId="0E227D0A" w14:textId="533886C5" w:rsidR="007F6EA7" w:rsidRDefault="007F6EA7" w:rsidP="00AF01B5">
            <w:pPr>
              <w:rPr>
                <w:rFonts w:asciiTheme="minorHAnsi" w:hAnsiTheme="minorHAnsi" w:cstheme="minorHAnsi"/>
              </w:rPr>
            </w:pPr>
            <w:r>
              <w:rPr>
                <w:rFonts w:asciiTheme="minorHAnsi" w:hAnsiTheme="minorHAnsi" w:cstheme="minorHAnsi"/>
              </w:rPr>
              <w:t>Subdivision F</w:t>
            </w:r>
            <w:r w:rsidR="00DB621B">
              <w:rPr>
                <w:rFonts w:asciiTheme="minorHAnsi" w:hAnsiTheme="minorHAnsi" w:cstheme="minorHAnsi"/>
              </w:rPr>
              <w:t>,</w:t>
            </w:r>
            <w:r>
              <w:rPr>
                <w:rFonts w:asciiTheme="minorHAnsi" w:hAnsiTheme="minorHAnsi" w:cstheme="minorHAnsi"/>
              </w:rPr>
              <w:t xml:space="preserve"> Part 8B.4 </w:t>
            </w:r>
            <w:r w:rsidR="00DB621B">
              <w:rPr>
                <w:rFonts w:asciiTheme="minorHAnsi" w:hAnsiTheme="minorHAnsi" w:cstheme="minorHAnsi"/>
              </w:rPr>
              <w:t>(Shares)</w:t>
            </w:r>
          </w:p>
          <w:p w14:paraId="4C620171" w14:textId="4E89D6E1" w:rsidR="007F6EA7" w:rsidRDefault="007F6EA7" w:rsidP="00AF01B5">
            <w:pPr>
              <w:rPr>
                <w:rFonts w:asciiTheme="minorHAnsi" w:hAnsiTheme="minorHAnsi" w:cstheme="minorHAnsi"/>
              </w:rPr>
            </w:pPr>
            <w:r>
              <w:rPr>
                <w:rFonts w:asciiTheme="minorHAnsi" w:hAnsiTheme="minorHAnsi" w:cstheme="minorHAnsi"/>
              </w:rPr>
              <w:t>Section 1223G (Constitution)</w:t>
            </w:r>
          </w:p>
          <w:p w14:paraId="60863B99" w14:textId="04466E1A" w:rsidR="007F6EA7" w:rsidRDefault="007F6EA7" w:rsidP="00AF01B5">
            <w:pPr>
              <w:rPr>
                <w:rFonts w:asciiTheme="minorHAnsi" w:hAnsiTheme="minorHAnsi" w:cstheme="minorHAnsi"/>
              </w:rPr>
            </w:pPr>
            <w:r>
              <w:rPr>
                <w:rFonts w:asciiTheme="minorHAnsi" w:hAnsiTheme="minorHAnsi" w:cstheme="minorHAnsi"/>
              </w:rPr>
              <w:t>Section 1224D (Duties)</w:t>
            </w:r>
          </w:p>
          <w:p w14:paraId="0B6217A7" w14:textId="021FF096" w:rsidR="00AF01B5" w:rsidRPr="00D77F13" w:rsidRDefault="00DC76EB" w:rsidP="00AF01B5">
            <w:pPr>
              <w:rPr>
                <w:rFonts w:asciiTheme="minorHAnsi" w:hAnsiTheme="minorHAnsi" w:cstheme="minorHAnsi"/>
                <w:highlight w:val="yellow"/>
              </w:rPr>
            </w:pPr>
            <w:r>
              <w:rPr>
                <w:rFonts w:asciiTheme="minorHAnsi" w:hAnsiTheme="minorHAnsi" w:cstheme="minorHAnsi"/>
              </w:rPr>
              <w:t>Section 1244R (PDS)</w:t>
            </w:r>
            <w:r w:rsidR="007F6EA7">
              <w:rPr>
                <w:rFonts w:asciiTheme="minorHAnsi" w:hAnsiTheme="minorHAnsi" w:cstheme="minorHAnsi"/>
              </w:rPr>
              <w:t xml:space="preserve"> </w:t>
            </w:r>
          </w:p>
        </w:tc>
      </w:tr>
    </w:tbl>
    <w:p w14:paraId="415EE6DE" w14:textId="347FE1EF" w:rsidR="00E033A9" w:rsidRDefault="00E033A9"/>
    <w:p w14:paraId="290B4BCB" w14:textId="77777777" w:rsidR="00E033A9" w:rsidRDefault="00E033A9"/>
    <w:tbl>
      <w:tblPr>
        <w:tblStyle w:val="TableGrid"/>
        <w:tblW w:w="9642" w:type="dxa"/>
        <w:tblInd w:w="108" w:type="dxa"/>
        <w:tblBorders>
          <w:top w:val="single" w:sz="8" w:space="0" w:color="00ABBD" w:themeColor="accent6"/>
          <w:left w:val="single" w:sz="8" w:space="0" w:color="00ABBD" w:themeColor="accent6"/>
          <w:bottom w:val="single" w:sz="8" w:space="0" w:color="00ABBD" w:themeColor="accent6"/>
          <w:right w:val="single" w:sz="8" w:space="0" w:color="00ABBD" w:themeColor="accent6"/>
          <w:insideH w:val="single" w:sz="8" w:space="0" w:color="00ABBD" w:themeColor="accent6"/>
          <w:insideV w:val="single" w:sz="8" w:space="0" w:color="00ABBD" w:themeColor="accent6"/>
        </w:tblBorders>
        <w:tblLayout w:type="fixed"/>
        <w:tblLook w:val="04A0" w:firstRow="1" w:lastRow="0" w:firstColumn="1" w:lastColumn="0" w:noHBand="0" w:noVBand="1"/>
      </w:tblPr>
      <w:tblGrid>
        <w:gridCol w:w="3142"/>
        <w:gridCol w:w="3250"/>
        <w:gridCol w:w="3250"/>
      </w:tblGrid>
      <w:tr w:rsidR="00683974" w:rsidRPr="00683974" w14:paraId="4C058625" w14:textId="77777777" w:rsidTr="00E5722A">
        <w:trPr>
          <w:trHeight w:val="340"/>
        </w:trPr>
        <w:tc>
          <w:tcPr>
            <w:tcW w:w="9642" w:type="dxa"/>
            <w:gridSpan w:val="3"/>
            <w:shd w:val="clear" w:color="auto" w:fill="00ABBD" w:themeFill="accent6"/>
          </w:tcPr>
          <w:p w14:paraId="5CC9FD41" w14:textId="2D260A2B" w:rsidR="00683974" w:rsidRPr="00BF2878" w:rsidRDefault="00E036FA" w:rsidP="00E5722A">
            <w:pPr>
              <w:keepNext/>
              <w:rPr>
                <w:rFonts w:asciiTheme="minorHAnsi" w:hAnsiTheme="minorHAnsi" w:cstheme="minorHAnsi"/>
                <w:b/>
                <w:color w:val="FFFFFF" w:themeColor="background1"/>
              </w:rPr>
            </w:pPr>
            <w:r>
              <w:rPr>
                <w:rFonts w:asciiTheme="minorHAnsi" w:hAnsiTheme="minorHAnsi" w:cstheme="minorHAnsi"/>
                <w:b/>
                <w:bCs/>
                <w:color w:val="FFFFFF" w:themeColor="background1"/>
              </w:rPr>
              <w:lastRenderedPageBreak/>
              <w:t>Consultation question</w:t>
            </w:r>
            <w:r w:rsidR="00892C9F">
              <w:rPr>
                <w:rFonts w:asciiTheme="minorHAnsi" w:hAnsiTheme="minorHAnsi" w:cstheme="minorHAnsi"/>
                <w:b/>
                <w:bCs/>
                <w:color w:val="FFFFFF" w:themeColor="background1"/>
              </w:rPr>
              <w:t xml:space="preserve">s – </w:t>
            </w:r>
            <w:r w:rsidR="00CC3BE6">
              <w:rPr>
                <w:rFonts w:asciiTheme="minorHAnsi" w:hAnsiTheme="minorHAnsi" w:cstheme="minorHAnsi"/>
                <w:b/>
                <w:color w:val="FFFFFF" w:themeColor="background1"/>
              </w:rPr>
              <w:t>cross-investment</w:t>
            </w:r>
          </w:p>
        </w:tc>
      </w:tr>
      <w:tr w:rsidR="00683974" w:rsidRPr="00D77F13" w14:paraId="5FAED913" w14:textId="77777777" w:rsidTr="00E5722A">
        <w:trPr>
          <w:trHeight w:val="340"/>
        </w:trPr>
        <w:tc>
          <w:tcPr>
            <w:tcW w:w="9642" w:type="dxa"/>
            <w:gridSpan w:val="3"/>
            <w:shd w:val="clear" w:color="auto" w:fill="auto"/>
          </w:tcPr>
          <w:p w14:paraId="165821EB" w14:textId="2760D230" w:rsidR="00CC357C" w:rsidRDefault="00DB621B" w:rsidP="00AF01B5">
            <w:pPr>
              <w:rPr>
                <w:rFonts w:asciiTheme="minorHAnsi" w:hAnsiTheme="minorHAnsi" w:cstheme="minorHAnsi"/>
              </w:rPr>
            </w:pPr>
            <w:r>
              <w:rPr>
                <w:rFonts w:asciiTheme="minorHAnsi" w:hAnsiTheme="minorHAnsi" w:cstheme="minorHAnsi"/>
              </w:rPr>
              <w:t>Treasury is seeking s</w:t>
            </w:r>
            <w:r w:rsidR="002F3A00">
              <w:rPr>
                <w:rFonts w:asciiTheme="minorHAnsi" w:hAnsiTheme="minorHAnsi" w:cstheme="minorHAnsi"/>
              </w:rPr>
              <w:t xml:space="preserve">takeholder feedback on certain aspects of the cross-investment framework for CCIVs. This feedback will assist with the finalisation of the </w:t>
            </w:r>
            <w:r w:rsidR="00820BA0">
              <w:rPr>
                <w:rFonts w:asciiTheme="minorHAnsi" w:hAnsiTheme="minorHAnsi" w:cstheme="minorHAnsi"/>
              </w:rPr>
              <w:t xml:space="preserve">amendments to the Corporations Act </w:t>
            </w:r>
            <w:r w:rsidR="002F3A00">
              <w:rPr>
                <w:rFonts w:asciiTheme="minorHAnsi" w:hAnsiTheme="minorHAnsi" w:cstheme="minorHAnsi"/>
              </w:rPr>
              <w:t xml:space="preserve">and the </w:t>
            </w:r>
            <w:r>
              <w:rPr>
                <w:rFonts w:asciiTheme="minorHAnsi" w:hAnsiTheme="minorHAnsi" w:cstheme="minorHAnsi"/>
              </w:rPr>
              <w:t xml:space="preserve">initial </w:t>
            </w:r>
            <w:r w:rsidR="002F3A00">
              <w:rPr>
                <w:rFonts w:asciiTheme="minorHAnsi" w:hAnsiTheme="minorHAnsi" w:cstheme="minorHAnsi"/>
              </w:rPr>
              <w:t xml:space="preserve">development of the </w:t>
            </w:r>
            <w:r w:rsidR="00820BA0">
              <w:rPr>
                <w:rFonts w:asciiTheme="minorHAnsi" w:hAnsiTheme="minorHAnsi" w:cstheme="minorHAnsi"/>
              </w:rPr>
              <w:t xml:space="preserve">Corporations </w:t>
            </w:r>
            <w:r w:rsidR="002F3A00">
              <w:rPr>
                <w:rFonts w:asciiTheme="minorHAnsi" w:hAnsiTheme="minorHAnsi" w:cstheme="minorHAnsi"/>
              </w:rPr>
              <w:t xml:space="preserve">Regulations referred to above. </w:t>
            </w:r>
            <w:r>
              <w:rPr>
                <w:rFonts w:asciiTheme="minorHAnsi" w:hAnsiTheme="minorHAnsi" w:cstheme="minorHAnsi"/>
              </w:rPr>
              <w:t>Draft</w:t>
            </w:r>
            <w:r w:rsidR="002F3A00">
              <w:rPr>
                <w:rFonts w:asciiTheme="minorHAnsi" w:hAnsiTheme="minorHAnsi" w:cstheme="minorHAnsi"/>
              </w:rPr>
              <w:t xml:space="preserve"> Regulations will be subject to further consultation as part of the development and implementation of the CCIV regime.</w:t>
            </w:r>
          </w:p>
          <w:p w14:paraId="04D7B91F" w14:textId="00ED97AA" w:rsidR="002F3A00" w:rsidRDefault="00CC357C" w:rsidP="00AF01B5">
            <w:pPr>
              <w:rPr>
                <w:rFonts w:asciiTheme="minorHAnsi" w:hAnsiTheme="minorHAnsi" w:cstheme="minorHAnsi"/>
              </w:rPr>
            </w:pPr>
            <w:r>
              <w:rPr>
                <w:rFonts w:asciiTheme="minorHAnsi" w:hAnsiTheme="minorHAnsi" w:cstheme="minorHAnsi"/>
              </w:rPr>
              <w:t>Questions are set out on pages 60 and 123 of the explanatory materials that accompany the draft Bill</w:t>
            </w:r>
            <w:r w:rsidR="00742A90">
              <w:rPr>
                <w:rFonts w:asciiTheme="minorHAnsi" w:hAnsiTheme="minorHAnsi" w:cstheme="minorHAnsi"/>
              </w:rPr>
              <w:t xml:space="preserve"> and summarised below.</w:t>
            </w:r>
          </w:p>
          <w:p w14:paraId="1BAC2520" w14:textId="77777777" w:rsidR="002F3A00" w:rsidRPr="00E5722A" w:rsidRDefault="002F3A00" w:rsidP="00AF01B5">
            <w:pPr>
              <w:rPr>
                <w:rFonts w:asciiTheme="minorHAnsi" w:hAnsiTheme="minorHAnsi" w:cstheme="minorHAnsi"/>
                <w:b/>
                <w:bCs/>
              </w:rPr>
            </w:pPr>
            <w:r w:rsidRPr="00E5722A">
              <w:rPr>
                <w:rFonts w:asciiTheme="minorHAnsi" w:hAnsiTheme="minorHAnsi" w:cstheme="minorHAnsi"/>
                <w:b/>
                <w:bCs/>
              </w:rPr>
              <w:t xml:space="preserve">Requirements or restrictions on cross-investment within a CCIV </w:t>
            </w:r>
          </w:p>
          <w:p w14:paraId="6CEEE56B" w14:textId="6B04F0DC" w:rsidR="0072082F" w:rsidRPr="004A47F0" w:rsidRDefault="0072082F" w:rsidP="0072082F">
            <w:pPr>
              <w:rPr>
                <w:rFonts w:asciiTheme="minorHAnsi" w:hAnsiTheme="minorHAnsi" w:cstheme="minorHAnsi"/>
              </w:rPr>
            </w:pPr>
            <w:r>
              <w:rPr>
                <w:rFonts w:asciiTheme="minorHAnsi" w:hAnsiTheme="minorHAnsi" w:cstheme="minorHAnsi"/>
              </w:rPr>
              <w:t>Treasury is seeking feedback on the appropriate requirements or restrictions on cross-investment to be set out in the Regulations (discussed above).</w:t>
            </w:r>
          </w:p>
          <w:p w14:paraId="65898B67" w14:textId="36A68B98" w:rsidR="0072082F" w:rsidRDefault="0072082F" w:rsidP="00F629BE">
            <w:pPr>
              <w:pStyle w:val="ListParagraph"/>
              <w:numPr>
                <w:ilvl w:val="0"/>
                <w:numId w:val="14"/>
              </w:numPr>
              <w:ind w:left="360" w:hanging="357"/>
              <w:contextualSpacing w:val="0"/>
              <w:rPr>
                <w:rFonts w:asciiTheme="minorHAnsi" w:hAnsiTheme="minorHAnsi" w:cstheme="minorHAnsi"/>
              </w:rPr>
            </w:pPr>
            <w:r>
              <w:rPr>
                <w:rFonts w:asciiTheme="minorHAnsi" w:hAnsiTheme="minorHAnsi" w:cstheme="minorHAnsi"/>
              </w:rPr>
              <w:t xml:space="preserve">How should circular investment be </w:t>
            </w:r>
            <w:r w:rsidR="001C5CE5">
              <w:rPr>
                <w:rFonts w:asciiTheme="minorHAnsi" w:hAnsiTheme="minorHAnsi" w:cstheme="minorHAnsi"/>
              </w:rPr>
              <w:t xml:space="preserve">prevented </w:t>
            </w:r>
            <w:r>
              <w:rPr>
                <w:rFonts w:asciiTheme="minorHAnsi" w:hAnsiTheme="minorHAnsi" w:cstheme="minorHAnsi"/>
              </w:rPr>
              <w:t>in Regulations?</w:t>
            </w:r>
          </w:p>
          <w:p w14:paraId="2D5F1A82" w14:textId="77777777" w:rsidR="00D43470" w:rsidRDefault="0072082F" w:rsidP="00D500B7">
            <w:pPr>
              <w:pStyle w:val="ListParagraph"/>
              <w:numPr>
                <w:ilvl w:val="1"/>
                <w:numId w:val="14"/>
              </w:numPr>
              <w:spacing w:after="0"/>
              <w:ind w:left="720" w:hanging="357"/>
              <w:contextualSpacing w:val="0"/>
              <w:rPr>
                <w:rFonts w:asciiTheme="minorHAnsi" w:hAnsiTheme="minorHAnsi" w:cstheme="minorHAnsi"/>
              </w:rPr>
            </w:pPr>
            <w:r>
              <w:rPr>
                <w:rFonts w:asciiTheme="minorHAnsi" w:hAnsiTheme="minorHAnsi" w:cstheme="minorHAnsi"/>
              </w:rPr>
              <w:t xml:space="preserve">Some jurisdictions include requirements to prevent a sub-fund that has been cross-invested into by a sub-fund in the CCIV from cross-investing in another sub-fund of the CCIV. This effectively ensures there is only ‘one layer’ of cross-investment with </w:t>
            </w:r>
            <w:r w:rsidR="00BA1248">
              <w:rPr>
                <w:rFonts w:asciiTheme="minorHAnsi" w:hAnsiTheme="minorHAnsi" w:cstheme="minorHAnsi"/>
              </w:rPr>
              <w:t xml:space="preserve">the CCIV. </w:t>
            </w:r>
          </w:p>
          <w:p w14:paraId="0865963B" w14:textId="007BEDD1" w:rsidR="00BA1248" w:rsidRDefault="00BA1248" w:rsidP="000B621F">
            <w:pPr>
              <w:pStyle w:val="ListParagraph"/>
              <w:numPr>
                <w:ilvl w:val="1"/>
                <w:numId w:val="14"/>
              </w:numPr>
              <w:ind w:left="720" w:hanging="357"/>
              <w:contextualSpacing w:val="0"/>
              <w:rPr>
                <w:rFonts w:asciiTheme="minorHAnsi" w:hAnsiTheme="minorHAnsi" w:cstheme="minorHAnsi"/>
              </w:rPr>
            </w:pPr>
            <w:r>
              <w:rPr>
                <w:rFonts w:asciiTheme="minorHAnsi" w:hAnsiTheme="minorHAnsi" w:cstheme="minorHAnsi"/>
              </w:rPr>
              <w:t xml:space="preserve">Would similar restrictions be appropriate in the Australian context? </w:t>
            </w:r>
          </w:p>
          <w:p w14:paraId="60D6B878" w14:textId="77777777" w:rsidR="00437C12" w:rsidRDefault="00437C12" w:rsidP="00486897">
            <w:pPr>
              <w:pStyle w:val="ListParagraph"/>
              <w:numPr>
                <w:ilvl w:val="0"/>
                <w:numId w:val="14"/>
              </w:numPr>
              <w:ind w:left="360" w:hanging="357"/>
              <w:contextualSpacing w:val="0"/>
              <w:rPr>
                <w:rFonts w:asciiTheme="minorHAnsi" w:hAnsiTheme="minorHAnsi" w:cstheme="minorHAnsi"/>
              </w:rPr>
            </w:pPr>
            <w:r>
              <w:rPr>
                <w:rFonts w:asciiTheme="minorHAnsi" w:hAnsiTheme="minorHAnsi" w:cstheme="minorHAnsi"/>
              </w:rPr>
              <w:t xml:space="preserve">Should cross-investment be facilitated up to a certain level or limit? </w:t>
            </w:r>
          </w:p>
          <w:p w14:paraId="4F270CAF" w14:textId="3CA6DFF7" w:rsidR="00BA1248" w:rsidRPr="00F629BE" w:rsidRDefault="00BA1248" w:rsidP="00D500B7">
            <w:pPr>
              <w:pStyle w:val="ListParagraph"/>
              <w:numPr>
                <w:ilvl w:val="1"/>
                <w:numId w:val="14"/>
              </w:numPr>
              <w:spacing w:after="0"/>
              <w:ind w:left="720" w:hanging="357"/>
              <w:contextualSpacing w:val="0"/>
              <w:rPr>
                <w:rFonts w:asciiTheme="minorHAnsi" w:hAnsiTheme="minorHAnsi" w:cstheme="minorHAnsi"/>
              </w:rPr>
            </w:pPr>
            <w:r w:rsidRPr="00F629BE">
              <w:rPr>
                <w:rFonts w:asciiTheme="minorHAnsi" w:hAnsiTheme="minorHAnsi" w:cstheme="minorHAnsi"/>
              </w:rPr>
              <w:t xml:space="preserve">Some jurisdictions restrict cross-investment over certain levels or thresholds within the vehicle or within a protected cell. </w:t>
            </w:r>
            <w:r w:rsidR="00437C12" w:rsidRPr="00F629BE">
              <w:rPr>
                <w:rFonts w:asciiTheme="minorHAnsi" w:hAnsiTheme="minorHAnsi" w:cstheme="minorHAnsi"/>
              </w:rPr>
              <w:t>Should similar limits be included in the Australian context?</w:t>
            </w:r>
            <w:r w:rsidR="00DE43A6" w:rsidRPr="00F629BE">
              <w:rPr>
                <w:rFonts w:asciiTheme="minorHAnsi" w:hAnsiTheme="minorHAnsi" w:cstheme="minorHAnsi"/>
              </w:rPr>
              <w:t xml:space="preserve"> </w:t>
            </w:r>
          </w:p>
          <w:p w14:paraId="4C9940BA" w14:textId="03F4A08D" w:rsidR="0056564D" w:rsidRDefault="0056564D" w:rsidP="000B621F">
            <w:pPr>
              <w:pStyle w:val="ListParagraph"/>
              <w:numPr>
                <w:ilvl w:val="1"/>
                <w:numId w:val="14"/>
              </w:numPr>
              <w:ind w:left="720" w:hanging="357"/>
              <w:contextualSpacing w:val="0"/>
              <w:rPr>
                <w:rFonts w:asciiTheme="minorHAnsi" w:hAnsiTheme="minorHAnsi" w:cstheme="minorHAnsi"/>
              </w:rPr>
            </w:pPr>
            <w:r>
              <w:rPr>
                <w:rFonts w:asciiTheme="minorHAnsi" w:hAnsiTheme="minorHAnsi" w:cstheme="minorHAnsi"/>
              </w:rPr>
              <w:t xml:space="preserve">Should </w:t>
            </w:r>
            <w:r w:rsidR="00BA1248">
              <w:rPr>
                <w:rFonts w:asciiTheme="minorHAnsi" w:hAnsiTheme="minorHAnsi" w:cstheme="minorHAnsi"/>
              </w:rPr>
              <w:t xml:space="preserve">different </w:t>
            </w:r>
            <w:r>
              <w:rPr>
                <w:rFonts w:asciiTheme="minorHAnsi" w:hAnsiTheme="minorHAnsi" w:cstheme="minorHAnsi"/>
              </w:rPr>
              <w:t>limits</w:t>
            </w:r>
            <w:r w:rsidR="00BA1248">
              <w:rPr>
                <w:rFonts w:asciiTheme="minorHAnsi" w:hAnsiTheme="minorHAnsi" w:cstheme="minorHAnsi"/>
              </w:rPr>
              <w:t xml:space="preserve"> apply</w:t>
            </w:r>
            <w:r>
              <w:rPr>
                <w:rFonts w:asciiTheme="minorHAnsi" w:hAnsiTheme="minorHAnsi" w:cstheme="minorHAnsi"/>
              </w:rPr>
              <w:t xml:space="preserve"> depend</w:t>
            </w:r>
            <w:r w:rsidR="00BA1248">
              <w:rPr>
                <w:rFonts w:asciiTheme="minorHAnsi" w:hAnsiTheme="minorHAnsi" w:cstheme="minorHAnsi"/>
              </w:rPr>
              <w:t>ing</w:t>
            </w:r>
            <w:r>
              <w:rPr>
                <w:rFonts w:asciiTheme="minorHAnsi" w:hAnsiTheme="minorHAnsi" w:cstheme="minorHAnsi"/>
              </w:rPr>
              <w:t xml:space="preserve"> on whether a CCIV is a retail or wholesale CCIV?</w:t>
            </w:r>
          </w:p>
          <w:p w14:paraId="7A7F4BB5" w14:textId="73C4906B" w:rsidR="00DE43A6" w:rsidRDefault="007A0B01" w:rsidP="00486897">
            <w:pPr>
              <w:pStyle w:val="ListParagraph"/>
              <w:numPr>
                <w:ilvl w:val="0"/>
                <w:numId w:val="14"/>
              </w:numPr>
              <w:spacing w:before="120"/>
              <w:ind w:left="363" w:hanging="357"/>
              <w:contextualSpacing w:val="0"/>
              <w:rPr>
                <w:rFonts w:asciiTheme="minorHAnsi" w:hAnsiTheme="minorHAnsi" w:cstheme="minorHAnsi"/>
              </w:rPr>
            </w:pPr>
            <w:r w:rsidRPr="007A0B01">
              <w:rPr>
                <w:rFonts w:asciiTheme="minorHAnsi" w:hAnsiTheme="minorHAnsi" w:cstheme="minorHAnsi"/>
              </w:rPr>
              <w:t xml:space="preserve">How will the associated transactions relating to cross-investment be reflected in financial records </w:t>
            </w:r>
            <w:r w:rsidR="00BA1248">
              <w:rPr>
                <w:rFonts w:asciiTheme="minorHAnsi" w:hAnsiTheme="minorHAnsi" w:cstheme="minorHAnsi"/>
              </w:rPr>
              <w:t>and reports prepared for the CCIV</w:t>
            </w:r>
            <w:r w:rsidR="00437C12">
              <w:rPr>
                <w:rFonts w:asciiTheme="minorHAnsi" w:hAnsiTheme="minorHAnsi" w:cstheme="minorHAnsi"/>
              </w:rPr>
              <w:t>?</w:t>
            </w:r>
            <w:r w:rsidR="00BA1248">
              <w:rPr>
                <w:rFonts w:asciiTheme="minorHAnsi" w:hAnsiTheme="minorHAnsi" w:cstheme="minorHAnsi"/>
              </w:rPr>
              <w:t xml:space="preserve"> </w:t>
            </w:r>
          </w:p>
          <w:p w14:paraId="35AB4FE7" w14:textId="77777777" w:rsidR="00437C12" w:rsidRDefault="00DE43A6" w:rsidP="00D500B7">
            <w:pPr>
              <w:pStyle w:val="ListParagraph"/>
              <w:numPr>
                <w:ilvl w:val="1"/>
                <w:numId w:val="14"/>
              </w:numPr>
              <w:spacing w:after="0"/>
              <w:ind w:left="720" w:hanging="357"/>
              <w:contextualSpacing w:val="0"/>
              <w:rPr>
                <w:rFonts w:asciiTheme="minorHAnsi" w:hAnsiTheme="minorHAnsi" w:cstheme="minorHAnsi"/>
              </w:rPr>
            </w:pPr>
            <w:r>
              <w:rPr>
                <w:rFonts w:asciiTheme="minorHAnsi" w:hAnsiTheme="minorHAnsi" w:cstheme="minorHAnsi"/>
              </w:rPr>
              <w:t>How will these records and reports be audited and checked to ensure these transactions are appropriately reconciled?</w:t>
            </w:r>
          </w:p>
          <w:p w14:paraId="4A594EFE" w14:textId="4D533642" w:rsidR="001B3669" w:rsidRPr="00E5722A" w:rsidRDefault="00437C12" w:rsidP="000B621F">
            <w:pPr>
              <w:pStyle w:val="ListParagraph"/>
              <w:numPr>
                <w:ilvl w:val="1"/>
                <w:numId w:val="14"/>
              </w:numPr>
              <w:ind w:left="720" w:hanging="357"/>
              <w:contextualSpacing w:val="0"/>
              <w:rPr>
                <w:rFonts w:asciiTheme="minorHAnsi" w:hAnsiTheme="minorHAnsi" w:cstheme="minorHAnsi"/>
              </w:rPr>
            </w:pPr>
            <w:r>
              <w:rPr>
                <w:rFonts w:asciiTheme="minorHAnsi" w:hAnsiTheme="minorHAnsi" w:cstheme="minorHAnsi"/>
              </w:rPr>
              <w:t>How will these records and reports be made available to investors?</w:t>
            </w:r>
            <w:r w:rsidR="007A0B01" w:rsidRPr="007A0B01">
              <w:rPr>
                <w:rFonts w:asciiTheme="minorHAnsi" w:hAnsiTheme="minorHAnsi" w:cstheme="minorHAnsi"/>
              </w:rPr>
              <w:t xml:space="preserve"> </w:t>
            </w:r>
          </w:p>
          <w:p w14:paraId="48AC8591" w14:textId="514A15A8" w:rsidR="00323E0E" w:rsidRDefault="00323E0E" w:rsidP="00AF01B5">
            <w:pPr>
              <w:rPr>
                <w:rFonts w:asciiTheme="minorHAnsi" w:hAnsiTheme="minorHAnsi" w:cstheme="minorHAnsi"/>
                <w:b/>
                <w:bCs/>
              </w:rPr>
            </w:pPr>
            <w:r>
              <w:rPr>
                <w:rFonts w:asciiTheme="minorHAnsi" w:hAnsiTheme="minorHAnsi" w:cstheme="minorHAnsi"/>
                <w:b/>
                <w:bCs/>
              </w:rPr>
              <w:t xml:space="preserve">Material covered in Product Disclosure Statements and constitutions </w:t>
            </w:r>
          </w:p>
          <w:p w14:paraId="67E2F299" w14:textId="70E687F6" w:rsidR="00323E0E" w:rsidRPr="00A55FF0" w:rsidRDefault="00323E0E" w:rsidP="00A55FF0">
            <w:pPr>
              <w:pStyle w:val="ListParagraph"/>
              <w:numPr>
                <w:ilvl w:val="0"/>
                <w:numId w:val="14"/>
              </w:numPr>
              <w:ind w:left="360"/>
              <w:rPr>
                <w:rFonts w:asciiTheme="minorHAnsi" w:hAnsiTheme="minorHAnsi" w:cstheme="minorHAnsi"/>
                <w:b/>
                <w:bCs/>
              </w:rPr>
            </w:pPr>
            <w:r w:rsidRPr="0034325E">
              <w:rPr>
                <w:lang w:val="en-US"/>
              </w:rPr>
              <w:t>Are the requirements to</w:t>
            </w:r>
            <w:r w:rsidR="00CC357C">
              <w:rPr>
                <w:lang w:val="en-US"/>
              </w:rPr>
              <w:t xml:space="preserve"> ensure the constitution of a</w:t>
            </w:r>
            <w:r w:rsidRPr="0034325E">
              <w:rPr>
                <w:lang w:val="en-US"/>
              </w:rPr>
              <w:t xml:space="preserve"> retail CCIV</w:t>
            </w:r>
            <w:r w:rsidR="00CC357C">
              <w:rPr>
                <w:lang w:val="en-US"/>
              </w:rPr>
              <w:t xml:space="preserve"> and relevant Product Disclosure Statements contain material in relation to cross-investment appropriate and sufficient</w:t>
            </w:r>
            <w:r w:rsidRPr="0034325E">
              <w:rPr>
                <w:lang w:val="en-US"/>
              </w:rPr>
              <w:t>?</w:t>
            </w:r>
          </w:p>
          <w:p w14:paraId="013B3568" w14:textId="1FE25390" w:rsidR="002F3A00" w:rsidRPr="00E5722A" w:rsidRDefault="00CC3BE6" w:rsidP="00AF01B5">
            <w:pPr>
              <w:rPr>
                <w:rFonts w:asciiTheme="minorHAnsi" w:hAnsiTheme="minorHAnsi" w:cstheme="minorHAnsi"/>
                <w:b/>
                <w:bCs/>
              </w:rPr>
            </w:pPr>
            <w:r>
              <w:rPr>
                <w:rFonts w:asciiTheme="minorHAnsi" w:hAnsiTheme="minorHAnsi" w:cstheme="minorHAnsi"/>
                <w:b/>
                <w:bCs/>
              </w:rPr>
              <w:t>Membership rights</w:t>
            </w:r>
          </w:p>
          <w:p w14:paraId="10D81944" w14:textId="5E506AC4" w:rsidR="00643C97" w:rsidRDefault="00643C97" w:rsidP="00AF01B5">
            <w:pPr>
              <w:rPr>
                <w:rFonts w:asciiTheme="minorHAnsi" w:hAnsiTheme="minorHAnsi" w:cstheme="minorHAnsi"/>
              </w:rPr>
            </w:pPr>
            <w:r>
              <w:rPr>
                <w:rFonts w:asciiTheme="minorHAnsi" w:hAnsiTheme="minorHAnsi" w:cstheme="minorHAnsi"/>
              </w:rPr>
              <w:t xml:space="preserve">By acquiring shares that are referable to a sub-fund of the CCIV, the CCIV obtains rights as a member of that sub-fund and the CCIV. </w:t>
            </w:r>
            <w:r w:rsidR="00437C12">
              <w:rPr>
                <w:rFonts w:asciiTheme="minorHAnsi" w:hAnsiTheme="minorHAnsi" w:cstheme="minorHAnsi"/>
              </w:rPr>
              <w:t xml:space="preserve">Treasury is seeking feedback on </w:t>
            </w:r>
            <w:r>
              <w:rPr>
                <w:rFonts w:asciiTheme="minorHAnsi" w:hAnsiTheme="minorHAnsi" w:cstheme="minorHAnsi"/>
              </w:rPr>
              <w:t xml:space="preserve">the appropriate adjustments to the CCIV’s membership rights. </w:t>
            </w:r>
          </w:p>
          <w:p w14:paraId="7574F52C" w14:textId="1A8955D2" w:rsidR="00CC3BE6" w:rsidRDefault="00643C97" w:rsidP="00686E13">
            <w:pPr>
              <w:pStyle w:val="ListParagraph"/>
              <w:numPr>
                <w:ilvl w:val="0"/>
                <w:numId w:val="14"/>
              </w:numPr>
              <w:ind w:left="360" w:hanging="357"/>
              <w:contextualSpacing w:val="0"/>
              <w:rPr>
                <w:rFonts w:asciiTheme="minorHAnsi" w:hAnsiTheme="minorHAnsi" w:cstheme="minorHAnsi"/>
              </w:rPr>
            </w:pPr>
            <w:r>
              <w:rPr>
                <w:rFonts w:asciiTheme="minorHAnsi" w:hAnsiTheme="minorHAnsi" w:cstheme="minorHAnsi"/>
              </w:rPr>
              <w:t xml:space="preserve">As discussed above, a CCIV is entitled to vote on a resolution </w:t>
            </w:r>
            <w:r w:rsidR="00CC610E">
              <w:rPr>
                <w:rFonts w:asciiTheme="minorHAnsi" w:hAnsiTheme="minorHAnsi" w:cstheme="minorHAnsi"/>
              </w:rPr>
              <w:t xml:space="preserve">at a meeting of </w:t>
            </w:r>
            <w:r>
              <w:rPr>
                <w:rFonts w:asciiTheme="minorHAnsi" w:hAnsiTheme="minorHAnsi" w:cstheme="minorHAnsi"/>
              </w:rPr>
              <w:t>the members of the sub-fund. W</w:t>
            </w:r>
            <w:r w:rsidR="00601977">
              <w:rPr>
                <w:rFonts w:asciiTheme="minorHAnsi" w:hAnsiTheme="minorHAnsi" w:cstheme="minorHAnsi"/>
              </w:rPr>
              <w:t xml:space="preserve">hat </w:t>
            </w:r>
            <w:r>
              <w:rPr>
                <w:rFonts w:asciiTheme="minorHAnsi" w:hAnsiTheme="minorHAnsi" w:cstheme="minorHAnsi"/>
              </w:rPr>
              <w:t>is the</w:t>
            </w:r>
            <w:r w:rsidR="00601977">
              <w:rPr>
                <w:rFonts w:asciiTheme="minorHAnsi" w:hAnsiTheme="minorHAnsi" w:cstheme="minorHAnsi"/>
              </w:rPr>
              <w:t xml:space="preserve"> </w:t>
            </w:r>
            <w:r w:rsidR="00141C37">
              <w:rPr>
                <w:rFonts w:asciiTheme="minorHAnsi" w:hAnsiTheme="minorHAnsi" w:cstheme="minorHAnsi"/>
              </w:rPr>
              <w:t xml:space="preserve">appropriate </w:t>
            </w:r>
            <w:r w:rsidR="00CC3BE6">
              <w:rPr>
                <w:rFonts w:asciiTheme="minorHAnsi" w:hAnsiTheme="minorHAnsi" w:cstheme="minorHAnsi"/>
              </w:rPr>
              <w:t xml:space="preserve">mechanism to facilitate </w:t>
            </w:r>
            <w:r>
              <w:rPr>
                <w:rFonts w:asciiTheme="minorHAnsi" w:hAnsiTheme="minorHAnsi" w:cstheme="minorHAnsi"/>
              </w:rPr>
              <w:t xml:space="preserve">the CCIV’s vote?  </w:t>
            </w:r>
          </w:p>
          <w:p w14:paraId="120B11F3" w14:textId="126620FC" w:rsidR="00643C97" w:rsidRDefault="00093344" w:rsidP="00025A33">
            <w:pPr>
              <w:pStyle w:val="ListParagraph"/>
              <w:numPr>
                <w:ilvl w:val="1"/>
                <w:numId w:val="14"/>
              </w:numPr>
              <w:ind w:left="720" w:hanging="357"/>
              <w:contextualSpacing w:val="0"/>
              <w:rPr>
                <w:rFonts w:asciiTheme="minorHAnsi" w:hAnsiTheme="minorHAnsi" w:cstheme="minorHAnsi"/>
              </w:rPr>
            </w:pPr>
            <w:r>
              <w:rPr>
                <w:rFonts w:asciiTheme="minorHAnsi" w:hAnsiTheme="minorHAnsi" w:cstheme="minorHAnsi"/>
              </w:rPr>
              <w:t xml:space="preserve">Should the corporate director be able to exercise the vote on behalf of </w:t>
            </w:r>
            <w:r w:rsidR="00643C97">
              <w:rPr>
                <w:rFonts w:asciiTheme="minorHAnsi" w:hAnsiTheme="minorHAnsi" w:cstheme="minorHAnsi"/>
              </w:rPr>
              <w:t>CCIV</w:t>
            </w:r>
            <w:r>
              <w:rPr>
                <w:rFonts w:asciiTheme="minorHAnsi" w:hAnsiTheme="minorHAnsi" w:cstheme="minorHAnsi"/>
              </w:rPr>
              <w:t xml:space="preserve"> provided </w:t>
            </w:r>
            <w:r w:rsidR="00643C97">
              <w:rPr>
                <w:rFonts w:asciiTheme="minorHAnsi" w:hAnsiTheme="minorHAnsi" w:cstheme="minorHAnsi"/>
              </w:rPr>
              <w:t>it does not have a</w:t>
            </w:r>
            <w:r>
              <w:rPr>
                <w:rFonts w:asciiTheme="minorHAnsi" w:hAnsiTheme="minorHAnsi" w:cstheme="minorHAnsi"/>
              </w:rPr>
              <w:t xml:space="preserve"> conflict of interest</w:t>
            </w:r>
            <w:r w:rsidR="00643C97">
              <w:rPr>
                <w:rFonts w:asciiTheme="minorHAnsi" w:hAnsiTheme="minorHAnsi" w:cstheme="minorHAnsi"/>
              </w:rPr>
              <w:t>, and subject to its broader statutory duties to act in the interests of members</w:t>
            </w:r>
            <w:r>
              <w:rPr>
                <w:rFonts w:asciiTheme="minorHAnsi" w:hAnsiTheme="minorHAnsi" w:cstheme="minorHAnsi"/>
              </w:rPr>
              <w:t>?</w:t>
            </w:r>
          </w:p>
          <w:p w14:paraId="6D1ED481" w14:textId="67DA506B" w:rsidR="003A774C" w:rsidRDefault="00643C97" w:rsidP="00025A33">
            <w:pPr>
              <w:pStyle w:val="ListParagraph"/>
              <w:numPr>
                <w:ilvl w:val="1"/>
                <w:numId w:val="14"/>
              </w:numPr>
              <w:ind w:left="720" w:hanging="357"/>
              <w:contextualSpacing w:val="0"/>
              <w:rPr>
                <w:rFonts w:asciiTheme="minorHAnsi" w:hAnsiTheme="minorHAnsi" w:cstheme="minorHAnsi"/>
              </w:rPr>
            </w:pPr>
            <w:r>
              <w:rPr>
                <w:rFonts w:asciiTheme="minorHAnsi" w:hAnsiTheme="minorHAnsi" w:cstheme="minorHAnsi"/>
              </w:rPr>
              <w:t xml:space="preserve">If the </w:t>
            </w:r>
            <w:r w:rsidR="003A774C">
              <w:rPr>
                <w:rFonts w:asciiTheme="minorHAnsi" w:hAnsiTheme="minorHAnsi" w:cstheme="minorHAnsi"/>
              </w:rPr>
              <w:t>CCIV was the only member of the sub-fund (because, for example, it is a sub-fund in a master-feeder structure), and the corporate director was conflicted from exercising the vote, is another mechanism required to ensure the resolution can be obtained?</w:t>
            </w:r>
          </w:p>
          <w:p w14:paraId="333D144F" w14:textId="5B986587" w:rsidR="00CC6DF7" w:rsidRPr="00E5722A" w:rsidRDefault="00CC6DF7" w:rsidP="00CC6DF7">
            <w:pPr>
              <w:rPr>
                <w:rFonts w:asciiTheme="minorHAnsi" w:hAnsiTheme="minorHAnsi" w:cstheme="minorHAnsi"/>
                <w:b/>
                <w:bCs/>
              </w:rPr>
            </w:pPr>
            <w:r>
              <w:rPr>
                <w:rFonts w:asciiTheme="minorHAnsi" w:hAnsiTheme="minorHAnsi" w:cstheme="minorHAnsi"/>
                <w:b/>
                <w:bCs/>
              </w:rPr>
              <w:lastRenderedPageBreak/>
              <w:t>Membership rights (cont</w:t>
            </w:r>
            <w:r w:rsidR="00BE3763">
              <w:rPr>
                <w:rFonts w:asciiTheme="minorHAnsi" w:hAnsiTheme="minorHAnsi" w:cstheme="minorHAnsi"/>
                <w:b/>
                <w:bCs/>
              </w:rPr>
              <w:t>inued</w:t>
            </w:r>
            <w:r>
              <w:rPr>
                <w:rFonts w:asciiTheme="minorHAnsi" w:hAnsiTheme="minorHAnsi" w:cstheme="minorHAnsi"/>
                <w:b/>
                <w:bCs/>
              </w:rPr>
              <w:t>)</w:t>
            </w:r>
          </w:p>
          <w:p w14:paraId="2D93155C" w14:textId="09E0E804" w:rsidR="00D43470" w:rsidRDefault="003A774C" w:rsidP="00025A33">
            <w:pPr>
              <w:pStyle w:val="ListParagraph"/>
              <w:numPr>
                <w:ilvl w:val="1"/>
                <w:numId w:val="14"/>
              </w:numPr>
              <w:ind w:left="720" w:hanging="357"/>
              <w:contextualSpacing w:val="0"/>
              <w:rPr>
                <w:rFonts w:asciiTheme="minorHAnsi" w:hAnsiTheme="minorHAnsi" w:cstheme="minorHAnsi"/>
              </w:rPr>
            </w:pPr>
            <w:r>
              <w:rPr>
                <w:rFonts w:asciiTheme="minorHAnsi" w:hAnsiTheme="minorHAnsi" w:cstheme="minorHAnsi"/>
              </w:rPr>
              <w:t xml:space="preserve">Alternatively, should a mechanism be included in the Regulations that would allow the members of the investing sub-funds to exercise the CCIV’s vote? This approach would effectively involve ‘tracing through’ the CCIV’s interest to the interests of the relevant members of the </w:t>
            </w:r>
            <w:r w:rsidR="009E20CB">
              <w:rPr>
                <w:rFonts w:asciiTheme="minorHAnsi" w:hAnsiTheme="minorHAnsi" w:cstheme="minorHAnsi"/>
              </w:rPr>
              <w:t>sub</w:t>
            </w:r>
            <w:r w:rsidR="009E20CB">
              <w:rPr>
                <w:rFonts w:asciiTheme="minorHAnsi" w:hAnsiTheme="minorHAnsi" w:cstheme="minorHAnsi"/>
              </w:rPr>
              <w:noBreakHyphen/>
              <w:t>fund</w:t>
            </w:r>
            <w:r>
              <w:rPr>
                <w:rFonts w:asciiTheme="minorHAnsi" w:hAnsiTheme="minorHAnsi" w:cstheme="minorHAnsi"/>
              </w:rPr>
              <w:t xml:space="preserve">.  </w:t>
            </w:r>
          </w:p>
          <w:p w14:paraId="61443F05" w14:textId="19717949" w:rsidR="00093344" w:rsidRDefault="0048451C" w:rsidP="006B7D29">
            <w:pPr>
              <w:pStyle w:val="ListParagraph"/>
              <w:numPr>
                <w:ilvl w:val="0"/>
                <w:numId w:val="14"/>
              </w:numPr>
              <w:ind w:left="360"/>
              <w:contextualSpacing w:val="0"/>
              <w:rPr>
                <w:rFonts w:asciiTheme="minorHAnsi" w:hAnsiTheme="minorHAnsi" w:cstheme="minorHAnsi"/>
              </w:rPr>
            </w:pPr>
            <w:r>
              <w:rPr>
                <w:rFonts w:asciiTheme="minorHAnsi" w:hAnsiTheme="minorHAnsi" w:cstheme="minorHAnsi"/>
              </w:rPr>
              <w:t xml:space="preserve">Are any further adjustments required for any other membership rights the CCIV gains in its capacity as a member of the CCIV and sub-fund under cross-investment? </w:t>
            </w:r>
          </w:p>
          <w:p w14:paraId="1433073D" w14:textId="380F98B5" w:rsidR="002F3A00" w:rsidRPr="00E5722A" w:rsidRDefault="00CC3BE6" w:rsidP="00F629BE">
            <w:pPr>
              <w:rPr>
                <w:rFonts w:asciiTheme="minorHAnsi" w:hAnsiTheme="minorHAnsi" w:cstheme="minorHAnsi"/>
                <w:b/>
                <w:bCs/>
              </w:rPr>
            </w:pPr>
            <w:r w:rsidRPr="00E5722A">
              <w:rPr>
                <w:rFonts w:asciiTheme="minorHAnsi" w:hAnsiTheme="minorHAnsi" w:cstheme="minorHAnsi"/>
                <w:b/>
                <w:bCs/>
              </w:rPr>
              <w:t>Duties of the corporate director of a CCIV</w:t>
            </w:r>
          </w:p>
          <w:p w14:paraId="6B7DA488" w14:textId="690D2964" w:rsidR="003A774C" w:rsidRPr="00686E13" w:rsidRDefault="003A774C" w:rsidP="00AF01B5">
            <w:pPr>
              <w:rPr>
                <w:rFonts w:asciiTheme="minorHAnsi" w:hAnsiTheme="minorHAnsi" w:cstheme="minorHAnsi"/>
              </w:rPr>
            </w:pPr>
            <w:r w:rsidRPr="00686E13">
              <w:rPr>
                <w:rFonts w:asciiTheme="minorHAnsi" w:hAnsiTheme="minorHAnsi" w:cstheme="minorHAnsi"/>
              </w:rPr>
              <w:t>Cross</w:t>
            </w:r>
            <w:r>
              <w:rPr>
                <w:rFonts w:asciiTheme="minorHAnsi" w:hAnsiTheme="minorHAnsi" w:cstheme="minorHAnsi"/>
              </w:rPr>
              <w:t>-investment may give rise to circumstances where the corporate directo</w:t>
            </w:r>
            <w:r w:rsidR="004C0FC9">
              <w:rPr>
                <w:rFonts w:asciiTheme="minorHAnsi" w:hAnsiTheme="minorHAnsi" w:cstheme="minorHAnsi"/>
              </w:rPr>
              <w:t xml:space="preserve">r, in </w:t>
            </w:r>
            <w:r w:rsidR="00312412">
              <w:rPr>
                <w:rFonts w:asciiTheme="minorHAnsi" w:hAnsiTheme="minorHAnsi" w:cstheme="minorHAnsi"/>
              </w:rPr>
              <w:t>operating</w:t>
            </w:r>
            <w:r w:rsidR="004C0FC9">
              <w:rPr>
                <w:rFonts w:asciiTheme="minorHAnsi" w:hAnsiTheme="minorHAnsi" w:cstheme="minorHAnsi"/>
              </w:rPr>
              <w:t xml:space="preserve"> the CCIV, could preference the interests of the members of one sub-fund over the members of another sub</w:t>
            </w:r>
            <w:r w:rsidR="004C0FC9">
              <w:rPr>
                <w:rFonts w:asciiTheme="minorHAnsi" w:hAnsiTheme="minorHAnsi" w:cstheme="minorHAnsi"/>
              </w:rPr>
              <w:noBreakHyphen/>
              <w:t>fund of the CCIV.</w:t>
            </w:r>
            <w:r>
              <w:rPr>
                <w:rFonts w:asciiTheme="minorHAnsi" w:hAnsiTheme="minorHAnsi" w:cstheme="minorHAnsi"/>
              </w:rPr>
              <w:t xml:space="preserve"> </w:t>
            </w:r>
          </w:p>
          <w:p w14:paraId="598D1360" w14:textId="74E6EDFF" w:rsidR="00D43470" w:rsidRDefault="004C0FC9" w:rsidP="00686E13">
            <w:pPr>
              <w:pStyle w:val="ListParagraph"/>
              <w:numPr>
                <w:ilvl w:val="0"/>
                <w:numId w:val="14"/>
              </w:numPr>
              <w:ind w:left="357" w:hanging="357"/>
              <w:contextualSpacing w:val="0"/>
              <w:rPr>
                <w:rFonts w:asciiTheme="minorHAnsi" w:hAnsiTheme="minorHAnsi" w:cstheme="minorHAnsi"/>
              </w:rPr>
            </w:pPr>
            <w:r>
              <w:rPr>
                <w:rFonts w:asciiTheme="minorHAnsi" w:hAnsiTheme="minorHAnsi" w:cstheme="minorHAnsi"/>
              </w:rPr>
              <w:t xml:space="preserve">The corporate director of a retail CCIV is subject to </w:t>
            </w:r>
            <w:r w:rsidR="00312412">
              <w:rPr>
                <w:rFonts w:asciiTheme="minorHAnsi" w:hAnsiTheme="minorHAnsi" w:cstheme="minorHAnsi"/>
              </w:rPr>
              <w:t>general</w:t>
            </w:r>
            <w:r>
              <w:rPr>
                <w:rFonts w:asciiTheme="minorHAnsi" w:hAnsiTheme="minorHAnsi" w:cstheme="minorHAnsi"/>
              </w:rPr>
              <w:t xml:space="preserve"> duties as the director of the CCIV under Part</w:t>
            </w:r>
            <w:r w:rsidR="00F60875">
              <w:rPr>
                <w:rFonts w:asciiTheme="minorHAnsi" w:hAnsiTheme="minorHAnsi" w:cstheme="minorHAnsi"/>
              </w:rPr>
              <w:t> </w:t>
            </w:r>
            <w:r>
              <w:rPr>
                <w:rFonts w:asciiTheme="minorHAnsi" w:hAnsiTheme="minorHAnsi" w:cstheme="minorHAnsi"/>
              </w:rPr>
              <w:t xml:space="preserve">2D.1 of the Corporations Act, as well as additional duties that are based on those that the responsible entity of a registered scheme owes to members of the scheme under section 1224D of the draft bill. </w:t>
            </w:r>
            <w:r w:rsidR="00820BA0">
              <w:rPr>
                <w:rFonts w:asciiTheme="minorHAnsi" w:hAnsiTheme="minorHAnsi" w:cstheme="minorHAnsi"/>
              </w:rPr>
              <w:t xml:space="preserve">These additional duties prevail over the </w:t>
            </w:r>
            <w:r w:rsidR="00312412">
              <w:rPr>
                <w:rFonts w:asciiTheme="minorHAnsi" w:hAnsiTheme="minorHAnsi" w:cstheme="minorHAnsi"/>
              </w:rPr>
              <w:t>general</w:t>
            </w:r>
            <w:r w:rsidR="00820BA0">
              <w:rPr>
                <w:rFonts w:asciiTheme="minorHAnsi" w:hAnsiTheme="minorHAnsi" w:cstheme="minorHAnsi"/>
              </w:rPr>
              <w:t xml:space="preserve"> duties in the event of </w:t>
            </w:r>
            <w:r w:rsidR="00D16A03">
              <w:rPr>
                <w:rFonts w:asciiTheme="minorHAnsi" w:hAnsiTheme="minorHAnsi" w:cstheme="minorHAnsi"/>
              </w:rPr>
              <w:t>a</w:t>
            </w:r>
            <w:r w:rsidR="00820BA0">
              <w:rPr>
                <w:rFonts w:asciiTheme="minorHAnsi" w:hAnsiTheme="minorHAnsi" w:cstheme="minorHAnsi"/>
              </w:rPr>
              <w:t xml:space="preserve"> conflict between duties.</w:t>
            </w:r>
          </w:p>
          <w:p w14:paraId="74ADD977" w14:textId="2651F213" w:rsidR="00F60875" w:rsidRDefault="004C0FC9" w:rsidP="00686E13">
            <w:pPr>
              <w:pStyle w:val="ListParagraph"/>
              <w:numPr>
                <w:ilvl w:val="1"/>
                <w:numId w:val="14"/>
              </w:numPr>
              <w:ind w:left="720" w:hanging="357"/>
              <w:contextualSpacing w:val="0"/>
              <w:rPr>
                <w:rFonts w:asciiTheme="minorHAnsi" w:hAnsiTheme="minorHAnsi" w:cstheme="minorHAnsi"/>
              </w:rPr>
            </w:pPr>
            <w:r>
              <w:rPr>
                <w:rFonts w:asciiTheme="minorHAnsi" w:hAnsiTheme="minorHAnsi" w:cstheme="minorHAnsi"/>
              </w:rPr>
              <w:t>Are these duties appropriate and</w:t>
            </w:r>
            <w:r w:rsidR="00F60875">
              <w:rPr>
                <w:rFonts w:asciiTheme="minorHAnsi" w:hAnsiTheme="minorHAnsi" w:cstheme="minorHAnsi"/>
              </w:rPr>
              <w:t xml:space="preserve"> do they provide</w:t>
            </w:r>
            <w:r>
              <w:rPr>
                <w:rFonts w:asciiTheme="minorHAnsi" w:hAnsiTheme="minorHAnsi" w:cstheme="minorHAnsi"/>
              </w:rPr>
              <w:t xml:space="preserve"> </w:t>
            </w:r>
            <w:r w:rsidR="00F60875">
              <w:rPr>
                <w:rFonts w:asciiTheme="minorHAnsi" w:hAnsiTheme="minorHAnsi" w:cstheme="minorHAnsi"/>
              </w:rPr>
              <w:t>equivalent investor</w:t>
            </w:r>
            <w:r w:rsidR="001A1DD0">
              <w:rPr>
                <w:rFonts w:asciiTheme="minorHAnsi" w:hAnsiTheme="minorHAnsi" w:cstheme="minorHAnsi"/>
              </w:rPr>
              <w:t xml:space="preserve"> protections </w:t>
            </w:r>
            <w:r w:rsidR="00F60875">
              <w:rPr>
                <w:rFonts w:asciiTheme="minorHAnsi" w:hAnsiTheme="minorHAnsi" w:cstheme="minorHAnsi"/>
              </w:rPr>
              <w:t>for members of a CCIV as provided to members of a registered scheme</w:t>
            </w:r>
            <w:r w:rsidR="001A1DD0">
              <w:rPr>
                <w:rFonts w:asciiTheme="minorHAnsi" w:hAnsiTheme="minorHAnsi" w:cstheme="minorHAnsi"/>
              </w:rPr>
              <w:t>?</w:t>
            </w:r>
          </w:p>
          <w:p w14:paraId="723D2261" w14:textId="60265572" w:rsidR="00CC3BE6" w:rsidRDefault="00F60875" w:rsidP="00686E13">
            <w:pPr>
              <w:pStyle w:val="ListParagraph"/>
              <w:numPr>
                <w:ilvl w:val="1"/>
                <w:numId w:val="14"/>
              </w:numPr>
              <w:ind w:left="720" w:hanging="357"/>
              <w:contextualSpacing w:val="0"/>
              <w:rPr>
                <w:rFonts w:asciiTheme="minorHAnsi" w:hAnsiTheme="minorHAnsi" w:cstheme="minorHAnsi"/>
              </w:rPr>
            </w:pPr>
            <w:r>
              <w:rPr>
                <w:rFonts w:asciiTheme="minorHAnsi" w:hAnsiTheme="minorHAnsi" w:cstheme="minorHAnsi"/>
              </w:rPr>
              <w:t xml:space="preserve">Section 1224D </w:t>
            </w:r>
            <w:r w:rsidR="001C6C21">
              <w:rPr>
                <w:rFonts w:asciiTheme="minorHAnsi" w:hAnsiTheme="minorHAnsi" w:cstheme="minorHAnsi"/>
              </w:rPr>
              <w:t>generally</w:t>
            </w:r>
            <w:r>
              <w:rPr>
                <w:rFonts w:asciiTheme="minorHAnsi" w:hAnsiTheme="minorHAnsi" w:cstheme="minorHAnsi"/>
              </w:rPr>
              <w:t xml:space="preserve"> sets out duties in respect of the ‘members of the CCIV’ as whole and not the members of each sub-fund separately – given the CCIV is the overarching collective investment vehicle. Should any additional duties be set out in respect of members of each sub-fund of the CCIV?  </w:t>
            </w:r>
          </w:p>
          <w:p w14:paraId="0A09E0AD" w14:textId="7BCD554A" w:rsidR="00D43470" w:rsidRDefault="00F60875" w:rsidP="00686E13">
            <w:pPr>
              <w:pStyle w:val="ListParagraph"/>
              <w:numPr>
                <w:ilvl w:val="0"/>
                <w:numId w:val="14"/>
              </w:numPr>
              <w:ind w:left="357" w:hanging="357"/>
              <w:contextualSpacing w:val="0"/>
              <w:rPr>
                <w:rFonts w:asciiTheme="minorHAnsi" w:hAnsiTheme="minorHAnsi" w:cstheme="minorHAnsi"/>
              </w:rPr>
            </w:pPr>
            <w:r>
              <w:rPr>
                <w:rFonts w:asciiTheme="minorHAnsi" w:hAnsiTheme="minorHAnsi" w:cstheme="minorHAnsi"/>
              </w:rPr>
              <w:t xml:space="preserve">Under the 2019 draft bill, the corporate director of a wholesale CCIV was subject to duties as the director of the CCIV under Part 2D.1 of the Corporations Act </w:t>
            </w:r>
            <w:r w:rsidR="00736E35">
              <w:rPr>
                <w:rFonts w:asciiTheme="minorHAnsi" w:hAnsiTheme="minorHAnsi" w:cstheme="minorHAnsi"/>
              </w:rPr>
              <w:t>but no further duties that are comparable to those owed by a corporate trustee of a wholesale managed investment scheme</w:t>
            </w:r>
            <w:r>
              <w:rPr>
                <w:rFonts w:asciiTheme="minorHAnsi" w:hAnsiTheme="minorHAnsi" w:cstheme="minorHAnsi"/>
              </w:rPr>
              <w:t>.</w:t>
            </w:r>
            <w:r w:rsidR="00736E35">
              <w:rPr>
                <w:rFonts w:asciiTheme="minorHAnsi" w:hAnsiTheme="minorHAnsi" w:cstheme="minorHAnsi"/>
              </w:rPr>
              <w:t xml:space="preserve"> </w:t>
            </w:r>
            <w:r w:rsidR="00106783">
              <w:rPr>
                <w:rFonts w:asciiTheme="minorHAnsi" w:hAnsiTheme="minorHAnsi" w:cstheme="minorHAnsi"/>
              </w:rPr>
              <w:t>R</w:t>
            </w:r>
            <w:r w:rsidR="00736E35">
              <w:rPr>
                <w:rFonts w:asciiTheme="minorHAnsi" w:hAnsiTheme="minorHAnsi" w:cstheme="minorHAnsi"/>
              </w:rPr>
              <w:t xml:space="preserve">evisions have been made to ensure the corporate director of a wholesale CCIV owes comparable duties to </w:t>
            </w:r>
            <w:r w:rsidR="00D16A03">
              <w:rPr>
                <w:rFonts w:asciiTheme="minorHAnsi" w:hAnsiTheme="minorHAnsi" w:cstheme="minorHAnsi"/>
              </w:rPr>
              <w:t>its members</w:t>
            </w:r>
            <w:r w:rsidR="00736E35">
              <w:rPr>
                <w:rFonts w:asciiTheme="minorHAnsi" w:hAnsiTheme="minorHAnsi" w:cstheme="minorHAnsi"/>
              </w:rPr>
              <w:t xml:space="preserve"> – to ensure appropriate investor protections are provided given the facilitation of cross-investment</w:t>
            </w:r>
            <w:r w:rsidR="00D43470">
              <w:rPr>
                <w:rFonts w:asciiTheme="minorHAnsi" w:hAnsiTheme="minorHAnsi" w:cstheme="minorHAnsi"/>
              </w:rPr>
              <w:t xml:space="preserve"> (see section 1224D)</w:t>
            </w:r>
            <w:r w:rsidR="00736E35">
              <w:rPr>
                <w:rFonts w:asciiTheme="minorHAnsi" w:hAnsiTheme="minorHAnsi" w:cstheme="minorHAnsi"/>
              </w:rPr>
              <w:t xml:space="preserve">. </w:t>
            </w:r>
            <w:r w:rsidR="00820BA0">
              <w:rPr>
                <w:rFonts w:asciiTheme="minorHAnsi" w:hAnsiTheme="minorHAnsi" w:cstheme="minorHAnsi"/>
              </w:rPr>
              <w:t xml:space="preserve">These additional duties prevail over the </w:t>
            </w:r>
            <w:r w:rsidR="00D16A03">
              <w:rPr>
                <w:rFonts w:asciiTheme="minorHAnsi" w:hAnsiTheme="minorHAnsi" w:cstheme="minorHAnsi"/>
              </w:rPr>
              <w:t xml:space="preserve">general </w:t>
            </w:r>
            <w:r w:rsidR="00820BA0">
              <w:rPr>
                <w:rFonts w:asciiTheme="minorHAnsi" w:hAnsiTheme="minorHAnsi" w:cstheme="minorHAnsi"/>
              </w:rPr>
              <w:t xml:space="preserve">directors’ duties in the event of </w:t>
            </w:r>
            <w:r w:rsidR="00D16A03">
              <w:rPr>
                <w:rFonts w:asciiTheme="minorHAnsi" w:hAnsiTheme="minorHAnsi" w:cstheme="minorHAnsi"/>
              </w:rPr>
              <w:t>a</w:t>
            </w:r>
            <w:r w:rsidR="00820BA0">
              <w:rPr>
                <w:rFonts w:asciiTheme="minorHAnsi" w:hAnsiTheme="minorHAnsi" w:cstheme="minorHAnsi"/>
              </w:rPr>
              <w:t xml:space="preserve"> conflict between duties.</w:t>
            </w:r>
          </w:p>
          <w:p w14:paraId="7B0C47A3" w14:textId="49A319CC" w:rsidR="00736E35" w:rsidRDefault="00736E35" w:rsidP="00686E13">
            <w:pPr>
              <w:pStyle w:val="ListParagraph"/>
              <w:numPr>
                <w:ilvl w:val="1"/>
                <w:numId w:val="14"/>
              </w:numPr>
              <w:ind w:left="720" w:hanging="357"/>
              <w:contextualSpacing w:val="0"/>
              <w:rPr>
                <w:rFonts w:asciiTheme="minorHAnsi" w:hAnsiTheme="minorHAnsi" w:cstheme="minorHAnsi"/>
              </w:rPr>
            </w:pPr>
            <w:r>
              <w:rPr>
                <w:rFonts w:asciiTheme="minorHAnsi" w:hAnsiTheme="minorHAnsi" w:cstheme="minorHAnsi"/>
              </w:rPr>
              <w:t xml:space="preserve">Are the proposed duties appropriate and do they provide equivalent protections for members of a </w:t>
            </w:r>
            <w:r w:rsidR="002F29D7">
              <w:rPr>
                <w:rFonts w:asciiTheme="minorHAnsi" w:hAnsiTheme="minorHAnsi" w:cstheme="minorHAnsi"/>
              </w:rPr>
              <w:t xml:space="preserve">wholesale </w:t>
            </w:r>
            <w:r>
              <w:rPr>
                <w:rFonts w:asciiTheme="minorHAnsi" w:hAnsiTheme="minorHAnsi" w:cstheme="minorHAnsi"/>
              </w:rPr>
              <w:t>CCIV as provided to members of a wholesale scheme?</w:t>
            </w:r>
          </w:p>
          <w:p w14:paraId="6744EF8C" w14:textId="64560519" w:rsidR="00F60875" w:rsidRDefault="00736E35" w:rsidP="00686E13">
            <w:pPr>
              <w:pStyle w:val="ListParagraph"/>
              <w:numPr>
                <w:ilvl w:val="1"/>
                <w:numId w:val="14"/>
              </w:numPr>
              <w:ind w:left="720" w:hanging="357"/>
              <w:contextualSpacing w:val="0"/>
              <w:rPr>
                <w:rFonts w:asciiTheme="minorHAnsi" w:hAnsiTheme="minorHAnsi" w:cstheme="minorHAnsi"/>
              </w:rPr>
            </w:pPr>
            <w:r>
              <w:rPr>
                <w:rFonts w:asciiTheme="minorHAnsi" w:hAnsiTheme="minorHAnsi" w:cstheme="minorHAnsi"/>
              </w:rPr>
              <w:t xml:space="preserve">Similar considerations arise in respect of the duties owed to ‘members of the CCIV’ as whole </w:t>
            </w:r>
            <w:r w:rsidR="00D43470">
              <w:rPr>
                <w:rFonts w:asciiTheme="minorHAnsi" w:hAnsiTheme="minorHAnsi" w:cstheme="minorHAnsi"/>
              </w:rPr>
              <w:t xml:space="preserve">(see Question </w:t>
            </w:r>
            <w:r w:rsidR="00687176">
              <w:rPr>
                <w:rFonts w:asciiTheme="minorHAnsi" w:hAnsiTheme="minorHAnsi" w:cstheme="minorHAnsi"/>
              </w:rPr>
              <w:t>7</w:t>
            </w:r>
            <w:r w:rsidR="000C7D03">
              <w:rPr>
                <w:rFonts w:asciiTheme="minorHAnsi" w:hAnsiTheme="minorHAnsi" w:cstheme="minorHAnsi"/>
              </w:rPr>
              <w:t>b</w:t>
            </w:r>
            <w:r w:rsidR="00D43470">
              <w:rPr>
                <w:rFonts w:asciiTheme="minorHAnsi" w:hAnsiTheme="minorHAnsi" w:cstheme="minorHAnsi"/>
              </w:rPr>
              <w:t xml:space="preserve"> above)</w:t>
            </w:r>
            <w:r>
              <w:rPr>
                <w:rFonts w:asciiTheme="minorHAnsi" w:hAnsiTheme="minorHAnsi" w:cstheme="minorHAnsi"/>
              </w:rPr>
              <w:t xml:space="preserve">. </w:t>
            </w:r>
            <w:r w:rsidR="00D43470">
              <w:rPr>
                <w:rFonts w:asciiTheme="minorHAnsi" w:hAnsiTheme="minorHAnsi" w:cstheme="minorHAnsi"/>
              </w:rPr>
              <w:t>Should any additional duties be set out in respect of members of each sub</w:t>
            </w:r>
            <w:r w:rsidR="00C6515A">
              <w:rPr>
                <w:rFonts w:asciiTheme="minorHAnsi" w:hAnsiTheme="minorHAnsi" w:cstheme="minorHAnsi"/>
              </w:rPr>
              <w:noBreakHyphen/>
            </w:r>
            <w:r w:rsidR="00D43470">
              <w:rPr>
                <w:rFonts w:asciiTheme="minorHAnsi" w:hAnsiTheme="minorHAnsi" w:cstheme="minorHAnsi"/>
              </w:rPr>
              <w:t xml:space="preserve">fund of the CCIV?  </w:t>
            </w:r>
            <w:r>
              <w:rPr>
                <w:rFonts w:asciiTheme="minorHAnsi" w:hAnsiTheme="minorHAnsi" w:cstheme="minorHAnsi"/>
              </w:rPr>
              <w:t xml:space="preserve"> </w:t>
            </w:r>
          </w:p>
          <w:p w14:paraId="175F30ED" w14:textId="30291C0B" w:rsidR="00C35644" w:rsidRDefault="00C6515A" w:rsidP="00D43470">
            <w:pPr>
              <w:pStyle w:val="ListParagraph"/>
              <w:numPr>
                <w:ilvl w:val="0"/>
                <w:numId w:val="14"/>
              </w:numPr>
              <w:ind w:left="357" w:hanging="357"/>
              <w:contextualSpacing w:val="0"/>
              <w:rPr>
                <w:rFonts w:asciiTheme="minorHAnsi" w:hAnsiTheme="minorHAnsi" w:cstheme="minorHAnsi"/>
              </w:rPr>
            </w:pPr>
            <w:r>
              <w:rPr>
                <w:rFonts w:asciiTheme="minorHAnsi" w:hAnsiTheme="minorHAnsi" w:cstheme="minorHAnsi"/>
              </w:rPr>
              <w:t>Under draft section 1224D(2)(f), the corporate director of a retail CCIV is required to ensure the assets of a sub-fund of the CCIV are valued at regular intervals appropriate to the nature of the assets. This duty is based on an equivalent duty owed by the responsible entity of a registered scheme under section 601</w:t>
            </w:r>
            <w:r w:rsidR="00C35644">
              <w:rPr>
                <w:rFonts w:asciiTheme="minorHAnsi" w:hAnsiTheme="minorHAnsi" w:cstheme="minorHAnsi"/>
              </w:rPr>
              <w:t>FC(</w:t>
            </w:r>
            <w:r w:rsidR="00EC3DF9">
              <w:rPr>
                <w:rFonts w:asciiTheme="minorHAnsi" w:hAnsiTheme="minorHAnsi" w:cstheme="minorHAnsi"/>
              </w:rPr>
              <w:t>1)</w:t>
            </w:r>
            <w:r w:rsidR="00C35644">
              <w:rPr>
                <w:rFonts w:asciiTheme="minorHAnsi" w:hAnsiTheme="minorHAnsi" w:cstheme="minorHAnsi"/>
              </w:rPr>
              <w:t xml:space="preserve">(j). Treasury is considering whether further requirements should be in place to ensure these valuations are </w:t>
            </w:r>
            <w:r w:rsidR="00C35644" w:rsidRPr="000B621F">
              <w:rPr>
                <w:rFonts w:asciiTheme="minorHAnsi" w:hAnsiTheme="minorHAnsi" w:cstheme="minorHAnsi"/>
                <w:i/>
              </w:rPr>
              <w:t>independently</w:t>
            </w:r>
            <w:r w:rsidR="00C35644">
              <w:rPr>
                <w:rFonts w:asciiTheme="minorHAnsi" w:hAnsiTheme="minorHAnsi" w:cstheme="minorHAnsi"/>
              </w:rPr>
              <w:t xml:space="preserve"> reviewed or audited as an integrity measure.</w:t>
            </w:r>
          </w:p>
          <w:p w14:paraId="4727DF50" w14:textId="77A8ADC2" w:rsidR="00683974" w:rsidRPr="00473BC5" w:rsidRDefault="00C35644" w:rsidP="00686E13">
            <w:pPr>
              <w:pStyle w:val="ListParagraph"/>
              <w:numPr>
                <w:ilvl w:val="1"/>
                <w:numId w:val="14"/>
              </w:numPr>
              <w:ind w:left="720" w:hanging="357"/>
              <w:contextualSpacing w:val="0"/>
              <w:rPr>
                <w:rFonts w:asciiTheme="minorHAnsi" w:hAnsiTheme="minorHAnsi" w:cstheme="minorHAnsi"/>
              </w:rPr>
            </w:pPr>
            <w:r>
              <w:rPr>
                <w:rFonts w:asciiTheme="minorHAnsi" w:hAnsiTheme="minorHAnsi" w:cstheme="minorHAnsi"/>
              </w:rPr>
              <w:t xml:space="preserve">How would such a requirement be </w:t>
            </w:r>
            <w:r w:rsidR="00DD0A97">
              <w:rPr>
                <w:rFonts w:asciiTheme="minorHAnsi" w:hAnsiTheme="minorHAnsi" w:cstheme="minorHAnsi"/>
              </w:rPr>
              <w:t>implemented</w:t>
            </w:r>
            <w:r>
              <w:rPr>
                <w:rFonts w:asciiTheme="minorHAnsi" w:hAnsiTheme="minorHAnsi" w:cstheme="minorHAnsi"/>
              </w:rPr>
              <w:t xml:space="preserve"> in practice? Do any particular considerations need to be taken into account in settling these requirements?</w:t>
            </w:r>
          </w:p>
        </w:tc>
      </w:tr>
      <w:tr w:rsidR="00361826" w:rsidRPr="00FC5CFB" w14:paraId="61D150D3" w14:textId="77777777" w:rsidTr="00A854C8">
        <w:trPr>
          <w:trHeight w:val="340"/>
        </w:trPr>
        <w:tc>
          <w:tcPr>
            <w:tcW w:w="9642" w:type="dxa"/>
            <w:gridSpan w:val="3"/>
            <w:shd w:val="clear" w:color="auto" w:fill="007F8D" w:themeFill="accent6" w:themeFillShade="BF"/>
          </w:tcPr>
          <w:p w14:paraId="6C21A55A" w14:textId="77777777" w:rsidR="00361826" w:rsidRPr="008065A7" w:rsidRDefault="00361826" w:rsidP="00A854C8">
            <w:pPr>
              <w:keepNext/>
              <w:rPr>
                <w:rFonts w:asciiTheme="minorHAnsi" w:hAnsiTheme="minorHAnsi" w:cstheme="minorHAnsi"/>
                <w:b/>
                <w:bCs/>
              </w:rPr>
            </w:pPr>
            <w:r w:rsidRPr="008065A7">
              <w:rPr>
                <w:b/>
                <w:color w:val="FFFFFF" w:themeColor="background1"/>
              </w:rPr>
              <w:lastRenderedPageBreak/>
              <w:t>Will CCIVs be able to list on a prescribed financial market</w:t>
            </w:r>
            <w:r>
              <w:rPr>
                <w:b/>
                <w:color w:val="FFFFFF" w:themeColor="background1"/>
              </w:rPr>
              <w:t xml:space="preserve"> in Australia</w:t>
            </w:r>
            <w:r w:rsidRPr="008065A7">
              <w:rPr>
                <w:b/>
                <w:color w:val="FFFFFF" w:themeColor="background1"/>
              </w:rPr>
              <w:t>?</w:t>
            </w:r>
          </w:p>
        </w:tc>
      </w:tr>
      <w:tr w:rsidR="00361826" w:rsidRPr="00FC5CFB" w14:paraId="015DB523" w14:textId="77777777" w:rsidTr="00A854C8">
        <w:trPr>
          <w:trHeight w:val="340"/>
        </w:trPr>
        <w:tc>
          <w:tcPr>
            <w:tcW w:w="9642" w:type="dxa"/>
            <w:gridSpan w:val="3"/>
            <w:shd w:val="clear" w:color="auto" w:fill="auto"/>
          </w:tcPr>
          <w:p w14:paraId="3616947B" w14:textId="4D97FE8D" w:rsidR="00361826" w:rsidRPr="003F66A7" w:rsidRDefault="00361826" w:rsidP="00A854C8">
            <w:pPr>
              <w:keepNext/>
              <w:spacing w:before="120"/>
              <w:rPr>
                <w:rFonts w:asciiTheme="minorHAnsi" w:hAnsiTheme="minorHAnsi" w:cstheme="minorHAnsi"/>
                <w:b/>
                <w:bCs/>
              </w:rPr>
            </w:pPr>
            <w:r>
              <w:rPr>
                <w:rFonts w:asciiTheme="minorHAnsi" w:hAnsiTheme="minorHAnsi" w:cstheme="minorHAnsi"/>
              </w:rPr>
              <w:t xml:space="preserve">Yes, </w:t>
            </w:r>
            <w:r w:rsidR="00C53357">
              <w:rPr>
                <w:rFonts w:asciiTheme="minorHAnsi" w:hAnsiTheme="minorHAnsi" w:cstheme="minorHAnsi"/>
              </w:rPr>
              <w:t>retail</w:t>
            </w:r>
            <w:r>
              <w:rPr>
                <w:rFonts w:asciiTheme="minorHAnsi" w:hAnsiTheme="minorHAnsi" w:cstheme="minorHAnsi"/>
              </w:rPr>
              <w:t xml:space="preserve"> </w:t>
            </w:r>
            <w:r w:rsidRPr="003F66A7">
              <w:rPr>
                <w:rFonts w:asciiTheme="minorHAnsi" w:hAnsiTheme="minorHAnsi" w:cstheme="minorHAnsi"/>
              </w:rPr>
              <w:t>CCIVs with only one sub-fund will be able to be</w:t>
            </w:r>
            <w:r>
              <w:rPr>
                <w:rFonts w:asciiTheme="minorHAnsi" w:hAnsiTheme="minorHAnsi" w:cstheme="minorHAnsi"/>
              </w:rPr>
              <w:t xml:space="preserve"> listed </w:t>
            </w:r>
            <w:r w:rsidRPr="003F66A7">
              <w:rPr>
                <w:rFonts w:asciiTheme="minorHAnsi" w:hAnsiTheme="minorHAnsi" w:cstheme="minorHAnsi"/>
              </w:rPr>
              <w:t>on a prescribed financial market (</w:t>
            </w:r>
            <w:r>
              <w:rPr>
                <w:rFonts w:asciiTheme="minorHAnsi" w:hAnsiTheme="minorHAnsi" w:cstheme="minorHAnsi"/>
              </w:rPr>
              <w:t xml:space="preserve">such as </w:t>
            </w:r>
            <w:r w:rsidRPr="003F66A7">
              <w:rPr>
                <w:rFonts w:asciiTheme="minorHAnsi" w:hAnsiTheme="minorHAnsi" w:cstheme="minorHAnsi"/>
              </w:rPr>
              <w:t>listing platforms like the ASX).</w:t>
            </w:r>
          </w:p>
          <w:p w14:paraId="1B4B06C1" w14:textId="77777777" w:rsidR="00361826" w:rsidRDefault="00361826" w:rsidP="00A854C8">
            <w:pPr>
              <w:keepNext/>
              <w:spacing w:before="120"/>
              <w:rPr>
                <w:rFonts w:asciiTheme="minorHAnsi" w:hAnsiTheme="minorHAnsi" w:cstheme="minorHAnsi"/>
              </w:rPr>
            </w:pPr>
            <w:r w:rsidRPr="003F66A7">
              <w:rPr>
                <w:rFonts w:asciiTheme="minorHAnsi" w:hAnsiTheme="minorHAnsi" w:cstheme="minorHAnsi"/>
              </w:rPr>
              <w:t xml:space="preserve">Under the previously proposed regime, </w:t>
            </w:r>
            <w:r>
              <w:rPr>
                <w:rFonts w:asciiTheme="minorHAnsi" w:hAnsiTheme="minorHAnsi" w:cstheme="minorHAnsi"/>
              </w:rPr>
              <w:t xml:space="preserve">a </w:t>
            </w:r>
            <w:r w:rsidRPr="003F66A7">
              <w:rPr>
                <w:rFonts w:asciiTheme="minorHAnsi" w:hAnsiTheme="minorHAnsi" w:cstheme="minorHAnsi"/>
              </w:rPr>
              <w:t xml:space="preserve">CCIV (and sub-funds of a CCIV) </w:t>
            </w:r>
            <w:r>
              <w:rPr>
                <w:rFonts w:asciiTheme="minorHAnsi" w:hAnsiTheme="minorHAnsi" w:cstheme="minorHAnsi"/>
              </w:rPr>
              <w:t>we</w:t>
            </w:r>
            <w:r w:rsidRPr="003F66A7">
              <w:rPr>
                <w:rFonts w:asciiTheme="minorHAnsi" w:hAnsiTheme="minorHAnsi" w:cstheme="minorHAnsi"/>
              </w:rPr>
              <w:t>re prohibited from being listed. This prohibition d</w:t>
            </w:r>
            <w:r>
              <w:rPr>
                <w:rFonts w:asciiTheme="minorHAnsi" w:hAnsiTheme="minorHAnsi" w:cstheme="minorHAnsi"/>
              </w:rPr>
              <w:t xml:space="preserve">id </w:t>
            </w:r>
            <w:r w:rsidRPr="003F66A7">
              <w:rPr>
                <w:rFonts w:asciiTheme="minorHAnsi" w:hAnsiTheme="minorHAnsi" w:cstheme="minorHAnsi"/>
              </w:rPr>
              <w:t xml:space="preserve">not affect the ability </w:t>
            </w:r>
            <w:r>
              <w:rPr>
                <w:rFonts w:asciiTheme="minorHAnsi" w:hAnsiTheme="minorHAnsi" w:cstheme="minorHAnsi"/>
              </w:rPr>
              <w:t xml:space="preserve">to quote </w:t>
            </w:r>
            <w:r w:rsidRPr="003F66A7">
              <w:rPr>
                <w:rFonts w:asciiTheme="minorHAnsi" w:hAnsiTheme="minorHAnsi" w:cstheme="minorHAnsi"/>
              </w:rPr>
              <w:t xml:space="preserve">securities in a CCIV on other platforms (such as </w:t>
            </w:r>
            <w:r>
              <w:rPr>
                <w:rFonts w:asciiTheme="minorHAnsi" w:hAnsiTheme="minorHAnsi" w:cstheme="minorHAnsi"/>
              </w:rPr>
              <w:t xml:space="preserve">the ASX’s </w:t>
            </w:r>
            <w:r w:rsidRPr="003F66A7">
              <w:rPr>
                <w:rFonts w:asciiTheme="minorHAnsi" w:hAnsiTheme="minorHAnsi" w:cstheme="minorHAnsi"/>
              </w:rPr>
              <w:t>AQUA</w:t>
            </w:r>
            <w:r>
              <w:rPr>
                <w:rFonts w:asciiTheme="minorHAnsi" w:hAnsiTheme="minorHAnsi" w:cstheme="minorHAnsi"/>
              </w:rPr>
              <w:t xml:space="preserve"> </w:t>
            </w:r>
            <w:r w:rsidRPr="008B1747">
              <w:rPr>
                <w:rFonts w:asciiTheme="minorHAnsi" w:hAnsiTheme="minorHAnsi" w:cstheme="minorHAnsi"/>
              </w:rPr>
              <w:t>platform for managed funds and structured products</w:t>
            </w:r>
            <w:r w:rsidRPr="003F66A7">
              <w:rPr>
                <w:rFonts w:asciiTheme="minorHAnsi" w:hAnsiTheme="minorHAnsi" w:cstheme="minorHAnsi"/>
              </w:rPr>
              <w:t>).</w:t>
            </w:r>
            <w:r>
              <w:rPr>
                <w:rFonts w:asciiTheme="minorHAnsi" w:hAnsiTheme="minorHAnsi" w:cstheme="minorHAnsi"/>
              </w:rPr>
              <w:t xml:space="preserve"> In practice, these other platforms are restricted to CCIVs with liquid assets.</w:t>
            </w:r>
          </w:p>
          <w:p w14:paraId="284EEC50" w14:textId="530E6BB8" w:rsidR="00361826" w:rsidRDefault="00A46E78" w:rsidP="00A854C8">
            <w:pPr>
              <w:keepNext/>
              <w:spacing w:before="120"/>
              <w:rPr>
                <w:rFonts w:asciiTheme="minorHAnsi" w:hAnsiTheme="minorHAnsi" w:cstheme="minorHAnsi"/>
              </w:rPr>
            </w:pPr>
            <w:r>
              <w:rPr>
                <w:rFonts w:asciiTheme="minorHAnsi" w:hAnsiTheme="minorHAnsi" w:cstheme="minorHAnsi"/>
              </w:rPr>
              <w:t xml:space="preserve">As suggested by stakeholders in previous consultation, a staged approach to the listing of CCIVs has been adopted. </w:t>
            </w:r>
            <w:r w:rsidR="00F561CA">
              <w:rPr>
                <w:rFonts w:asciiTheme="minorHAnsi" w:hAnsiTheme="minorHAnsi" w:cstheme="minorHAnsi"/>
              </w:rPr>
              <w:t>This approach allows for t</w:t>
            </w:r>
            <w:r w:rsidR="00361826">
              <w:rPr>
                <w:rFonts w:asciiTheme="minorHAnsi" w:hAnsiTheme="minorHAnsi" w:cstheme="minorHAnsi"/>
              </w:rPr>
              <w:t>he listing of retail CCIVs with one sub-fund on a prescribed financial market in Australia (such as the ASX)</w:t>
            </w:r>
            <w:r w:rsidR="00F561CA">
              <w:rPr>
                <w:rFonts w:asciiTheme="minorHAnsi" w:hAnsiTheme="minorHAnsi" w:cstheme="minorHAnsi"/>
              </w:rPr>
              <w:t xml:space="preserve"> from 1 July 2022</w:t>
            </w:r>
            <w:r w:rsidR="00361826">
              <w:rPr>
                <w:rFonts w:asciiTheme="minorHAnsi" w:hAnsiTheme="minorHAnsi" w:cstheme="minorHAnsi"/>
              </w:rPr>
              <w:t xml:space="preserve">. This provides listed retail CCIVs with similar access to listing on a prescribed financial market as registered schemes. It also ensures CCIVs with illiquid assets </w:t>
            </w:r>
            <w:r w:rsidR="00075A7F">
              <w:rPr>
                <w:rFonts w:asciiTheme="minorHAnsi" w:hAnsiTheme="minorHAnsi" w:cstheme="minorHAnsi"/>
              </w:rPr>
              <w:t>can</w:t>
            </w:r>
            <w:r w:rsidR="00361826">
              <w:rPr>
                <w:rFonts w:asciiTheme="minorHAnsi" w:hAnsiTheme="minorHAnsi" w:cstheme="minorHAnsi"/>
              </w:rPr>
              <w:t xml:space="preserve"> access platforms on the financial market, enhancing the commercial viability of the CCIV regime.  </w:t>
            </w:r>
          </w:p>
          <w:p w14:paraId="76CC7680" w14:textId="77777777" w:rsidR="00361826" w:rsidRDefault="00361826" w:rsidP="00A854C8">
            <w:pPr>
              <w:keepNext/>
              <w:spacing w:before="120"/>
              <w:rPr>
                <w:rFonts w:asciiTheme="minorHAnsi" w:hAnsiTheme="minorHAnsi" w:cstheme="minorHAnsi"/>
              </w:rPr>
            </w:pPr>
            <w:r>
              <w:rPr>
                <w:rFonts w:asciiTheme="minorHAnsi" w:hAnsiTheme="minorHAnsi" w:cstheme="minorHAnsi"/>
              </w:rPr>
              <w:t xml:space="preserve">The ability to quote securities of a CCIV on other platforms (such as AQUA) is maintained and is not affected by the fact that listing of retail CCIVs is limited to CCIVs with one sub-fund. </w:t>
            </w:r>
          </w:p>
          <w:p w14:paraId="1CEB0A9B" w14:textId="6B47514D" w:rsidR="00361826" w:rsidRDefault="00361826" w:rsidP="00A854C8">
            <w:pPr>
              <w:keepNext/>
              <w:spacing w:before="120"/>
              <w:rPr>
                <w:rFonts w:asciiTheme="minorHAnsi" w:hAnsiTheme="minorHAnsi" w:cstheme="minorHAnsi"/>
              </w:rPr>
            </w:pPr>
            <w:r>
              <w:rPr>
                <w:rFonts w:asciiTheme="minorHAnsi" w:hAnsiTheme="minorHAnsi" w:cstheme="minorHAnsi"/>
              </w:rPr>
              <w:t>The listing of retail CCIVs with more than one sub-fund will be considered following the initial establishment of the CCIV regime.</w:t>
            </w:r>
            <w:r w:rsidR="00F561CA">
              <w:rPr>
                <w:rFonts w:asciiTheme="minorHAnsi" w:hAnsiTheme="minorHAnsi" w:cstheme="minorHAnsi"/>
              </w:rPr>
              <w:t xml:space="preserve"> The phased approach </w:t>
            </w:r>
            <w:r w:rsidR="00CC5693">
              <w:rPr>
                <w:rFonts w:asciiTheme="minorHAnsi" w:hAnsiTheme="minorHAnsi" w:cstheme="minorHAnsi"/>
              </w:rPr>
              <w:t>recognises</w:t>
            </w:r>
            <w:r w:rsidR="00F561CA">
              <w:rPr>
                <w:rFonts w:asciiTheme="minorHAnsi" w:hAnsiTheme="minorHAnsi" w:cstheme="minorHAnsi"/>
              </w:rPr>
              <w:t xml:space="preserve"> the </w:t>
            </w:r>
            <w:r w:rsidR="002B0E44">
              <w:rPr>
                <w:rFonts w:asciiTheme="minorHAnsi" w:hAnsiTheme="minorHAnsi" w:cstheme="minorHAnsi"/>
              </w:rPr>
              <w:t xml:space="preserve">complexities of facilitating the </w:t>
            </w:r>
            <w:r w:rsidR="00F561CA">
              <w:rPr>
                <w:rFonts w:asciiTheme="minorHAnsi" w:hAnsiTheme="minorHAnsi" w:cstheme="minorHAnsi"/>
              </w:rPr>
              <w:t xml:space="preserve">listing </w:t>
            </w:r>
            <w:r w:rsidR="006F7373">
              <w:rPr>
                <w:rFonts w:asciiTheme="minorHAnsi" w:hAnsiTheme="minorHAnsi" w:cstheme="minorHAnsi"/>
              </w:rPr>
              <w:t xml:space="preserve">of </w:t>
            </w:r>
            <w:r w:rsidR="00F561CA">
              <w:rPr>
                <w:rFonts w:asciiTheme="minorHAnsi" w:hAnsiTheme="minorHAnsi" w:cstheme="minorHAnsi"/>
              </w:rPr>
              <w:t>CCIVs with multiple sub-funds</w:t>
            </w:r>
            <w:r w:rsidR="00CC5693">
              <w:rPr>
                <w:rFonts w:asciiTheme="minorHAnsi" w:hAnsiTheme="minorHAnsi" w:cstheme="minorHAnsi"/>
              </w:rPr>
              <w:t>,</w:t>
            </w:r>
            <w:r w:rsidR="00F561CA">
              <w:rPr>
                <w:rFonts w:asciiTheme="minorHAnsi" w:hAnsiTheme="minorHAnsi" w:cstheme="minorHAnsi"/>
              </w:rPr>
              <w:t xml:space="preserve"> </w:t>
            </w:r>
            <w:r w:rsidR="00CC5693">
              <w:rPr>
                <w:rFonts w:asciiTheme="minorHAnsi" w:hAnsiTheme="minorHAnsi" w:cstheme="minorHAnsi"/>
              </w:rPr>
              <w:t>as this would</w:t>
            </w:r>
            <w:r w:rsidR="006F7373">
              <w:rPr>
                <w:rFonts w:asciiTheme="minorHAnsi" w:hAnsiTheme="minorHAnsi" w:cstheme="minorHAnsi"/>
              </w:rPr>
              <w:t xml:space="preserve"> involve applying different levels and type</w:t>
            </w:r>
            <w:r w:rsidR="003949C9">
              <w:rPr>
                <w:rFonts w:asciiTheme="minorHAnsi" w:hAnsiTheme="minorHAnsi" w:cstheme="minorHAnsi"/>
              </w:rPr>
              <w:t>s</w:t>
            </w:r>
            <w:r w:rsidR="006F7373">
              <w:rPr>
                <w:rFonts w:asciiTheme="minorHAnsi" w:hAnsiTheme="minorHAnsi" w:cstheme="minorHAnsi"/>
              </w:rPr>
              <w:t xml:space="preserve"> of regulatory requirements to part of a company (but not all). The listing of only one or a set of sub</w:t>
            </w:r>
            <w:r w:rsidR="006F7373">
              <w:rPr>
                <w:rFonts w:asciiTheme="minorHAnsi" w:hAnsiTheme="minorHAnsi" w:cstheme="minorHAnsi"/>
              </w:rPr>
              <w:noBreakHyphen/>
              <w:t>funds within a CCIV requires further development with stakeholders</w:t>
            </w:r>
            <w:r w:rsidR="00F561CA">
              <w:rPr>
                <w:rFonts w:asciiTheme="minorHAnsi" w:hAnsiTheme="minorHAnsi" w:cstheme="minorHAnsi"/>
              </w:rPr>
              <w:t xml:space="preserve">. </w:t>
            </w:r>
          </w:p>
          <w:p w14:paraId="0002AAC3" w14:textId="2A06E08C" w:rsidR="00361826" w:rsidRPr="00D77F13" w:rsidRDefault="00361826" w:rsidP="00A854C8">
            <w:pPr>
              <w:keepNext/>
              <w:spacing w:before="120"/>
              <w:rPr>
                <w:rFonts w:asciiTheme="minorHAnsi" w:hAnsiTheme="minorHAnsi" w:cstheme="minorHAnsi"/>
                <w:highlight w:val="yellow"/>
              </w:rPr>
            </w:pPr>
            <w:r>
              <w:rPr>
                <w:rFonts w:asciiTheme="minorHAnsi" w:hAnsiTheme="minorHAnsi" w:cstheme="minorHAnsi"/>
              </w:rPr>
              <w:t xml:space="preserve">Listed CCIVs are generally subject to the existing requirements for listed companies under the Corporations Act. Some modifications are made to ensure the CCIV regime appropriately aligns to the regime for managed investment schemes. In particular, listed CCIVs are subject to the takeovers rules in Chapters 6 to 6B of the Corporations Act in a manner that is consistent with listed registered schemes. </w:t>
            </w:r>
          </w:p>
        </w:tc>
      </w:tr>
      <w:tr w:rsidR="00361826" w:rsidRPr="00D77F13" w14:paraId="5E00079B" w14:textId="77777777" w:rsidTr="00A854C8">
        <w:trPr>
          <w:trHeight w:val="340"/>
        </w:trPr>
        <w:tc>
          <w:tcPr>
            <w:tcW w:w="3142" w:type="dxa"/>
            <w:shd w:val="clear" w:color="auto" w:fill="00ABBD" w:themeFill="accent6"/>
          </w:tcPr>
          <w:p w14:paraId="02FABF56" w14:textId="77777777" w:rsidR="00361826" w:rsidRPr="00D77F13" w:rsidRDefault="00361826" w:rsidP="00A854C8">
            <w:pPr>
              <w:rPr>
                <w:b/>
                <w:color w:val="FFFFFF" w:themeColor="background1"/>
              </w:rPr>
            </w:pPr>
            <w:r w:rsidRPr="00D77F13">
              <w:rPr>
                <w:b/>
                <w:color w:val="FFFFFF" w:themeColor="background1"/>
              </w:rPr>
              <w:t>Previous draft policy position</w:t>
            </w:r>
          </w:p>
        </w:tc>
        <w:tc>
          <w:tcPr>
            <w:tcW w:w="3250" w:type="dxa"/>
            <w:shd w:val="clear" w:color="auto" w:fill="00ABBD" w:themeFill="accent6"/>
          </w:tcPr>
          <w:p w14:paraId="688AE95B" w14:textId="77777777" w:rsidR="00361826" w:rsidRPr="00D77F13" w:rsidRDefault="00361826" w:rsidP="00A854C8">
            <w:pPr>
              <w:rPr>
                <w:b/>
                <w:color w:val="FFFFFF" w:themeColor="background1"/>
              </w:rPr>
            </w:pPr>
            <w:r w:rsidRPr="00D77F13">
              <w:rPr>
                <w:b/>
                <w:color w:val="FFFFFF" w:themeColor="background1"/>
              </w:rPr>
              <w:t>New policy position</w:t>
            </w:r>
          </w:p>
        </w:tc>
        <w:tc>
          <w:tcPr>
            <w:tcW w:w="3250" w:type="dxa"/>
            <w:shd w:val="clear" w:color="auto" w:fill="00ABBD" w:themeFill="accent6"/>
          </w:tcPr>
          <w:p w14:paraId="34272D42" w14:textId="77777777" w:rsidR="00361826" w:rsidRPr="00D77F13" w:rsidRDefault="00361826" w:rsidP="00A854C8">
            <w:pPr>
              <w:rPr>
                <w:b/>
                <w:color w:val="FFFFFF" w:themeColor="background1"/>
              </w:rPr>
            </w:pPr>
            <w:r w:rsidRPr="00D77F13">
              <w:rPr>
                <w:b/>
                <w:color w:val="FFFFFF" w:themeColor="background1"/>
              </w:rPr>
              <w:t>Further information</w:t>
            </w:r>
          </w:p>
        </w:tc>
      </w:tr>
      <w:tr w:rsidR="00361826" w:rsidRPr="00FC5CFB" w14:paraId="1E29827D" w14:textId="77777777" w:rsidTr="00A854C8">
        <w:trPr>
          <w:trHeight w:val="340"/>
        </w:trPr>
        <w:tc>
          <w:tcPr>
            <w:tcW w:w="3142" w:type="dxa"/>
            <w:shd w:val="clear" w:color="auto" w:fill="auto"/>
          </w:tcPr>
          <w:p w14:paraId="42309BDA" w14:textId="77777777" w:rsidR="00361826" w:rsidRPr="00A43DB6" w:rsidRDefault="00361826" w:rsidP="00A854C8">
            <w:pPr>
              <w:pStyle w:val="Bullet"/>
              <w:numPr>
                <w:ilvl w:val="0"/>
                <w:numId w:val="0"/>
              </w:numPr>
              <w:spacing w:before="60" w:after="60"/>
              <w:rPr>
                <w:rFonts w:asciiTheme="minorHAnsi" w:hAnsiTheme="minorHAnsi" w:cstheme="minorHAnsi"/>
              </w:rPr>
            </w:pPr>
            <w:r>
              <w:rPr>
                <w:rFonts w:asciiTheme="minorHAnsi" w:hAnsiTheme="minorHAnsi" w:cstheme="minorHAnsi"/>
              </w:rPr>
              <w:t xml:space="preserve">A </w:t>
            </w:r>
            <w:r w:rsidRPr="00C61F96">
              <w:rPr>
                <w:rFonts w:asciiTheme="minorHAnsi" w:hAnsiTheme="minorHAnsi" w:cstheme="minorHAnsi"/>
              </w:rPr>
              <w:t>CCIV</w:t>
            </w:r>
            <w:r>
              <w:rPr>
                <w:rFonts w:asciiTheme="minorHAnsi" w:hAnsiTheme="minorHAnsi" w:cstheme="minorHAnsi"/>
              </w:rPr>
              <w:t xml:space="preserve"> (and its sub-fund(s))</w:t>
            </w:r>
            <w:r w:rsidRPr="00C61F96">
              <w:rPr>
                <w:rFonts w:asciiTheme="minorHAnsi" w:hAnsiTheme="minorHAnsi" w:cstheme="minorHAnsi"/>
              </w:rPr>
              <w:t xml:space="preserve"> were prohibited from being listed on a prescribed financial market</w:t>
            </w:r>
            <w:r>
              <w:rPr>
                <w:rFonts w:asciiTheme="minorHAnsi" w:hAnsiTheme="minorHAnsi" w:cstheme="minorHAnsi"/>
              </w:rPr>
              <w:t xml:space="preserve"> in Australia.</w:t>
            </w:r>
          </w:p>
        </w:tc>
        <w:tc>
          <w:tcPr>
            <w:tcW w:w="3250" w:type="dxa"/>
            <w:shd w:val="clear" w:color="auto" w:fill="E1FBFF"/>
          </w:tcPr>
          <w:p w14:paraId="5DD7CC2A" w14:textId="528DF765" w:rsidR="00361826" w:rsidRDefault="005149E4" w:rsidP="00A854C8">
            <w:pPr>
              <w:rPr>
                <w:rFonts w:asciiTheme="minorHAnsi" w:hAnsiTheme="minorHAnsi" w:cstheme="minorHAnsi"/>
              </w:rPr>
            </w:pPr>
            <w:r>
              <w:rPr>
                <w:rFonts w:asciiTheme="minorHAnsi" w:hAnsiTheme="minorHAnsi" w:cstheme="minorHAnsi"/>
              </w:rPr>
              <w:t xml:space="preserve">Retail </w:t>
            </w:r>
            <w:r w:rsidR="00361826" w:rsidRPr="003C5FEA">
              <w:rPr>
                <w:rFonts w:asciiTheme="minorHAnsi" w:hAnsiTheme="minorHAnsi" w:cstheme="minorHAnsi"/>
              </w:rPr>
              <w:t>CCIVs with a single sub</w:t>
            </w:r>
            <w:r w:rsidR="00361826" w:rsidRPr="003C5FEA">
              <w:rPr>
                <w:rFonts w:asciiTheme="minorHAnsi" w:hAnsiTheme="minorHAnsi" w:cstheme="minorHAnsi"/>
              </w:rPr>
              <w:noBreakHyphen/>
              <w:t xml:space="preserve">fund </w:t>
            </w:r>
            <w:r w:rsidR="00361826">
              <w:rPr>
                <w:rFonts w:asciiTheme="minorHAnsi" w:hAnsiTheme="minorHAnsi" w:cstheme="minorHAnsi"/>
              </w:rPr>
              <w:t>may list on a prescribed financial market in Australia</w:t>
            </w:r>
            <w:r w:rsidR="00361826" w:rsidDel="008427A1">
              <w:rPr>
                <w:rFonts w:asciiTheme="minorHAnsi" w:hAnsiTheme="minorHAnsi" w:cstheme="minorHAnsi"/>
              </w:rPr>
              <w:t xml:space="preserve"> </w:t>
            </w:r>
            <w:r w:rsidR="00361826">
              <w:rPr>
                <w:rFonts w:asciiTheme="minorHAnsi" w:hAnsiTheme="minorHAnsi" w:cstheme="minorHAnsi"/>
              </w:rPr>
              <w:t>from commencement of the regime on 1 July 2022.</w:t>
            </w:r>
          </w:p>
        </w:tc>
        <w:tc>
          <w:tcPr>
            <w:tcW w:w="3250" w:type="dxa"/>
            <w:shd w:val="clear" w:color="auto" w:fill="auto"/>
          </w:tcPr>
          <w:p w14:paraId="3AC05C85" w14:textId="77777777" w:rsidR="00361826" w:rsidRDefault="00361826" w:rsidP="00A854C8">
            <w:pPr>
              <w:rPr>
                <w:rFonts w:asciiTheme="minorHAnsi" w:hAnsiTheme="minorHAnsi" w:cstheme="minorHAnsi"/>
              </w:rPr>
            </w:pPr>
            <w:r>
              <w:rPr>
                <w:rFonts w:asciiTheme="minorHAnsi" w:hAnsiTheme="minorHAnsi" w:cstheme="minorHAnsi"/>
              </w:rPr>
              <w:t>Section 1222N</w:t>
            </w:r>
          </w:p>
          <w:p w14:paraId="00AA3E6D" w14:textId="77777777" w:rsidR="00361826" w:rsidRPr="00D77F13" w:rsidRDefault="00361826" w:rsidP="00A854C8">
            <w:pPr>
              <w:rPr>
                <w:rFonts w:asciiTheme="minorHAnsi" w:hAnsiTheme="minorHAnsi" w:cstheme="minorHAnsi"/>
                <w:highlight w:val="yellow"/>
              </w:rPr>
            </w:pPr>
            <w:r>
              <w:rPr>
                <w:rFonts w:asciiTheme="minorHAnsi" w:hAnsiTheme="minorHAnsi" w:cstheme="minorHAnsi"/>
              </w:rPr>
              <w:t xml:space="preserve">Division 1 of Part 8B.7 (Application of takeovers rules) </w:t>
            </w:r>
          </w:p>
        </w:tc>
      </w:tr>
    </w:tbl>
    <w:p w14:paraId="2B85898A" w14:textId="5BA96651" w:rsidR="00E033A9" w:rsidRDefault="00E033A9"/>
    <w:p w14:paraId="44203770" w14:textId="77777777" w:rsidR="00643263" w:rsidRDefault="00643263">
      <w:pPr>
        <w:spacing w:after="0"/>
      </w:pPr>
      <w:r>
        <w:br w:type="page"/>
      </w:r>
    </w:p>
    <w:tbl>
      <w:tblPr>
        <w:tblStyle w:val="TableGrid"/>
        <w:tblW w:w="9642" w:type="dxa"/>
        <w:tblInd w:w="108" w:type="dxa"/>
        <w:tblBorders>
          <w:top w:val="single" w:sz="8" w:space="0" w:color="00ABBD" w:themeColor="accent6"/>
          <w:left w:val="single" w:sz="8" w:space="0" w:color="00ABBD" w:themeColor="accent6"/>
          <w:bottom w:val="single" w:sz="8" w:space="0" w:color="00ABBD" w:themeColor="accent6"/>
          <w:right w:val="single" w:sz="8" w:space="0" w:color="00ABBD" w:themeColor="accent6"/>
          <w:insideH w:val="single" w:sz="8" w:space="0" w:color="00ABBD" w:themeColor="accent6"/>
          <w:insideV w:val="single" w:sz="8" w:space="0" w:color="00ABBD" w:themeColor="accent6"/>
        </w:tblBorders>
        <w:tblLayout w:type="fixed"/>
        <w:tblLook w:val="04A0" w:firstRow="1" w:lastRow="0" w:firstColumn="1" w:lastColumn="0" w:noHBand="0" w:noVBand="1"/>
      </w:tblPr>
      <w:tblGrid>
        <w:gridCol w:w="9642"/>
      </w:tblGrid>
      <w:tr w:rsidR="007F6EA7" w:rsidRPr="00FC5CFB" w14:paraId="34DBC0D0" w14:textId="77777777" w:rsidTr="00E5722A">
        <w:trPr>
          <w:trHeight w:val="340"/>
        </w:trPr>
        <w:tc>
          <w:tcPr>
            <w:tcW w:w="9642" w:type="dxa"/>
            <w:shd w:val="clear" w:color="auto" w:fill="007F8D" w:themeFill="accent6" w:themeFillShade="BF"/>
          </w:tcPr>
          <w:p w14:paraId="747B2F8A" w14:textId="18CEDEAD" w:rsidR="007F6EA7" w:rsidRPr="008065A7" w:rsidRDefault="007F6EA7" w:rsidP="00DC6596">
            <w:pPr>
              <w:keepNext/>
              <w:rPr>
                <w:b/>
                <w:color w:val="FFFFFF" w:themeColor="background1"/>
              </w:rPr>
            </w:pPr>
            <w:r>
              <w:rPr>
                <w:b/>
                <w:color w:val="FFFFFF" w:themeColor="background1"/>
              </w:rPr>
              <w:lastRenderedPageBreak/>
              <w:t>How do</w:t>
            </w:r>
            <w:r w:rsidR="00A968A8">
              <w:rPr>
                <w:b/>
                <w:color w:val="FFFFFF" w:themeColor="background1"/>
              </w:rPr>
              <w:t xml:space="preserve"> the</w:t>
            </w:r>
            <w:r>
              <w:rPr>
                <w:b/>
                <w:color w:val="FFFFFF" w:themeColor="background1"/>
              </w:rPr>
              <w:t xml:space="preserve"> corporate law</w:t>
            </w:r>
            <w:r w:rsidRPr="008065A7">
              <w:rPr>
                <w:b/>
                <w:color w:val="FFFFFF" w:themeColor="background1"/>
              </w:rPr>
              <w:t xml:space="preserve"> </w:t>
            </w:r>
            <w:r>
              <w:rPr>
                <w:b/>
                <w:color w:val="FFFFFF" w:themeColor="background1"/>
              </w:rPr>
              <w:t xml:space="preserve">reforms </w:t>
            </w:r>
            <w:r w:rsidR="00A968A8">
              <w:rPr>
                <w:b/>
                <w:color w:val="FFFFFF" w:themeColor="background1"/>
              </w:rPr>
              <w:t>that have been implemented since 2019 apply to CCIVs?</w:t>
            </w:r>
          </w:p>
        </w:tc>
      </w:tr>
      <w:tr w:rsidR="007F6EA7" w:rsidRPr="00FC5CFB" w14:paraId="74C0D7F0" w14:textId="77777777" w:rsidTr="00E5722A">
        <w:trPr>
          <w:trHeight w:val="340"/>
        </w:trPr>
        <w:tc>
          <w:tcPr>
            <w:tcW w:w="9642" w:type="dxa"/>
            <w:shd w:val="clear" w:color="auto" w:fill="auto"/>
          </w:tcPr>
          <w:p w14:paraId="37D8CEF1" w14:textId="6E67EB9B" w:rsidR="00A968A8" w:rsidRDefault="00A968A8" w:rsidP="00DC6596">
            <w:pPr>
              <w:spacing w:before="120"/>
            </w:pPr>
            <w:r>
              <w:rPr>
                <w:rFonts w:asciiTheme="minorHAnsi" w:hAnsiTheme="minorHAnsi" w:cstheme="minorHAnsi"/>
              </w:rPr>
              <w:t xml:space="preserve">Being a type of company, the rules for companies generally apply to CCIVs unless provided for under the new law. As noted above, </w:t>
            </w:r>
            <w:r w:rsidR="002167E0">
              <w:rPr>
                <w:rFonts w:asciiTheme="minorHAnsi" w:hAnsiTheme="minorHAnsi" w:cstheme="minorHAnsi"/>
              </w:rPr>
              <w:t xml:space="preserve">many features of </w:t>
            </w:r>
            <w:r w:rsidR="002167E0">
              <w:t xml:space="preserve">the managed investment scheme regime have been incorporated into the regulatory framework for CCIVs to ensure the </w:t>
            </w:r>
            <w:r w:rsidR="002167E0" w:rsidRPr="005F0A7A">
              <w:t>efficient operation of the domestic funds management industry</w:t>
            </w:r>
            <w:r w:rsidR="002167E0">
              <w:t xml:space="preserve"> and consistent investor protections </w:t>
            </w:r>
            <w:r w:rsidR="00A22D1C">
              <w:t>apply</w:t>
            </w:r>
            <w:r w:rsidR="002167E0">
              <w:t xml:space="preserve"> across both regimes.</w:t>
            </w:r>
          </w:p>
          <w:p w14:paraId="1F1EC4E1" w14:textId="24C76D28" w:rsidR="002167E0" w:rsidRDefault="002167E0" w:rsidP="00D83F86">
            <w:pPr>
              <w:spacing w:before="120"/>
            </w:pPr>
            <w:r>
              <w:t>Since the full exposure draft package was last consulted on in January to February 2019, the Government has implemented a number of corporate law reforms. The following key reforms will apply to CCIVs as follows:</w:t>
            </w:r>
          </w:p>
          <w:p w14:paraId="0B87E530" w14:textId="07377CD4" w:rsidR="002167E0" w:rsidRDefault="00C162AA" w:rsidP="00720CC1">
            <w:pPr>
              <w:pStyle w:val="ListParagraph"/>
              <w:numPr>
                <w:ilvl w:val="0"/>
                <w:numId w:val="9"/>
              </w:numPr>
              <w:spacing w:before="120"/>
              <w:ind w:left="360"/>
              <w:contextualSpacing w:val="0"/>
              <w:rPr>
                <w:rFonts w:asciiTheme="minorHAnsi" w:hAnsiTheme="minorHAnsi" w:cstheme="minorHAnsi"/>
              </w:rPr>
            </w:pPr>
            <w:r>
              <w:rPr>
                <w:rFonts w:asciiTheme="minorHAnsi" w:hAnsiTheme="minorHAnsi" w:cstheme="minorHAnsi"/>
                <w:b/>
                <w:bCs/>
              </w:rPr>
              <w:t>Corporate i</w:t>
            </w:r>
            <w:r w:rsidR="002167E0" w:rsidRPr="00CA365D">
              <w:rPr>
                <w:rFonts w:asciiTheme="minorHAnsi" w:hAnsiTheme="minorHAnsi" w:cstheme="minorHAnsi"/>
                <w:b/>
              </w:rPr>
              <w:t>nsolvency law reforms</w:t>
            </w:r>
            <w:r w:rsidR="002167E0">
              <w:rPr>
                <w:rFonts w:asciiTheme="minorHAnsi" w:hAnsiTheme="minorHAnsi" w:cstheme="minorHAnsi"/>
              </w:rPr>
              <w:t>: the streamlined insolvency regime enacted for small businesses as part of the Government’s economic response to COVID-19 will not be available for CCIVs. The new law sets out a single insolvency regime for CCIVs that</w:t>
            </w:r>
            <w:r w:rsidR="00367B9D">
              <w:rPr>
                <w:rFonts w:asciiTheme="minorHAnsi" w:hAnsiTheme="minorHAnsi" w:cstheme="minorHAnsi"/>
              </w:rPr>
              <w:t xml:space="preserve"> applies on a sub-fund by sub-fund basis. As a protected cell, a sub-fund may enter into external administration and this does not affect the operation of each other sub-fund of the CCIV. Ensuring all CCIVs are subject to a single insolvency regime promotes greater certainty and consistency in respect to the external administration of sub-funds of the CCIV. </w:t>
            </w:r>
            <w:r w:rsidR="00643263">
              <w:rPr>
                <w:rFonts w:asciiTheme="minorHAnsi" w:hAnsiTheme="minorHAnsi" w:cstheme="minorHAnsi"/>
              </w:rPr>
              <w:t xml:space="preserve">See </w:t>
            </w:r>
            <w:r w:rsidR="00643263" w:rsidRPr="00025A33">
              <w:rPr>
                <w:rFonts w:asciiTheme="minorHAnsi" w:hAnsiTheme="minorHAnsi" w:cstheme="minorHAnsi"/>
              </w:rPr>
              <w:t>paragraph</w:t>
            </w:r>
            <w:r w:rsidR="00397776" w:rsidRPr="00025A33">
              <w:rPr>
                <w:rFonts w:asciiTheme="minorHAnsi" w:hAnsiTheme="minorHAnsi" w:cstheme="minorHAnsi"/>
              </w:rPr>
              <w:t>s 7.71 and</w:t>
            </w:r>
            <w:r w:rsidR="00643263" w:rsidRPr="00025A33">
              <w:rPr>
                <w:rFonts w:asciiTheme="minorHAnsi" w:hAnsiTheme="minorHAnsi" w:cstheme="minorHAnsi"/>
              </w:rPr>
              <w:t xml:space="preserve"> </w:t>
            </w:r>
            <w:r w:rsidR="00397776" w:rsidRPr="00025A33">
              <w:rPr>
                <w:rFonts w:asciiTheme="minorHAnsi" w:hAnsiTheme="minorHAnsi" w:cstheme="minorHAnsi"/>
              </w:rPr>
              <w:t>7.153</w:t>
            </w:r>
            <w:r w:rsidR="00643263" w:rsidRPr="00025A33">
              <w:rPr>
                <w:rFonts w:asciiTheme="minorHAnsi" w:hAnsiTheme="minorHAnsi" w:cstheme="minorHAnsi"/>
              </w:rPr>
              <w:t xml:space="preserve"> of the EM</w:t>
            </w:r>
            <w:r w:rsidR="00643263">
              <w:rPr>
                <w:rFonts w:asciiTheme="minorHAnsi" w:hAnsiTheme="minorHAnsi" w:cstheme="minorHAnsi"/>
              </w:rPr>
              <w:t>.</w:t>
            </w:r>
            <w:r w:rsidR="00367B9D">
              <w:rPr>
                <w:rFonts w:asciiTheme="minorHAnsi" w:hAnsiTheme="minorHAnsi" w:cstheme="minorHAnsi"/>
              </w:rPr>
              <w:t xml:space="preserve"> </w:t>
            </w:r>
          </w:p>
          <w:p w14:paraId="76F83A34" w14:textId="0B081D33" w:rsidR="00F323EB" w:rsidRDefault="00F323EB" w:rsidP="00720CC1">
            <w:pPr>
              <w:pStyle w:val="ListParagraph"/>
              <w:numPr>
                <w:ilvl w:val="0"/>
                <w:numId w:val="9"/>
              </w:numPr>
              <w:spacing w:before="120"/>
              <w:ind w:left="360"/>
              <w:contextualSpacing w:val="0"/>
              <w:rPr>
                <w:rFonts w:asciiTheme="minorHAnsi" w:hAnsiTheme="minorHAnsi" w:cstheme="minorHAnsi"/>
              </w:rPr>
            </w:pPr>
            <w:r w:rsidRPr="00CA365D">
              <w:rPr>
                <w:rFonts w:asciiTheme="minorHAnsi" w:hAnsiTheme="minorHAnsi" w:cstheme="minorHAnsi"/>
                <w:b/>
              </w:rPr>
              <w:t>Product intervention power</w:t>
            </w:r>
            <w:r w:rsidR="00656A4B">
              <w:rPr>
                <w:rFonts w:asciiTheme="minorHAnsi" w:hAnsiTheme="minorHAnsi" w:cstheme="minorHAnsi"/>
                <w:b/>
                <w:bCs/>
              </w:rPr>
              <w:t xml:space="preserve"> (PIP) reforms</w:t>
            </w:r>
            <w:r>
              <w:rPr>
                <w:rFonts w:asciiTheme="minorHAnsi" w:hAnsiTheme="minorHAnsi" w:cstheme="minorHAnsi"/>
              </w:rPr>
              <w:t>:</w:t>
            </w:r>
            <w:r w:rsidR="00656A4B">
              <w:rPr>
                <w:rFonts w:asciiTheme="minorHAnsi" w:hAnsiTheme="minorHAnsi" w:cstheme="minorHAnsi"/>
              </w:rPr>
              <w:t xml:space="preserve"> the PIP allows </w:t>
            </w:r>
            <w:r w:rsidR="000E5A60">
              <w:rPr>
                <w:rFonts w:asciiTheme="minorHAnsi" w:hAnsiTheme="minorHAnsi" w:cstheme="minorHAnsi"/>
              </w:rPr>
              <w:t xml:space="preserve">ASIC to proactively intervene in the market for financial products if it considers a product will (or is likely to) result in significant consumer detriment. The PIP will be extended to </w:t>
            </w:r>
            <w:r w:rsidR="003C733A">
              <w:rPr>
                <w:rFonts w:asciiTheme="minorHAnsi" w:hAnsiTheme="minorHAnsi" w:cstheme="minorHAnsi"/>
              </w:rPr>
              <w:t xml:space="preserve">securities that are </w:t>
            </w:r>
            <w:r w:rsidR="0021676C">
              <w:rPr>
                <w:rFonts w:asciiTheme="minorHAnsi" w:hAnsiTheme="minorHAnsi" w:cstheme="minorHAnsi"/>
              </w:rPr>
              <w:t xml:space="preserve">issued </w:t>
            </w:r>
            <w:r w:rsidR="003C733A">
              <w:rPr>
                <w:rFonts w:asciiTheme="minorHAnsi" w:hAnsiTheme="minorHAnsi" w:cstheme="minorHAnsi"/>
              </w:rPr>
              <w:t>or offered for sale</w:t>
            </w:r>
            <w:r w:rsidR="0021676C">
              <w:rPr>
                <w:rFonts w:asciiTheme="minorHAnsi" w:hAnsiTheme="minorHAnsi" w:cstheme="minorHAnsi"/>
              </w:rPr>
              <w:t xml:space="preserve"> by</w:t>
            </w:r>
            <w:r w:rsidR="000E5A60">
              <w:rPr>
                <w:rFonts w:asciiTheme="minorHAnsi" w:hAnsiTheme="minorHAnsi" w:cstheme="minorHAnsi"/>
              </w:rPr>
              <w:t xml:space="preserve"> retail CCIVs – consistent with the way the PIP currently applies to </w:t>
            </w:r>
            <w:r w:rsidR="00FA4F90">
              <w:rPr>
                <w:rFonts w:asciiTheme="minorHAnsi" w:hAnsiTheme="minorHAnsi" w:cstheme="minorHAnsi"/>
              </w:rPr>
              <w:t xml:space="preserve">interests in </w:t>
            </w:r>
            <w:r w:rsidR="000E5A60">
              <w:rPr>
                <w:rFonts w:asciiTheme="minorHAnsi" w:hAnsiTheme="minorHAnsi" w:cstheme="minorHAnsi"/>
              </w:rPr>
              <w:t>registered schemes.</w:t>
            </w:r>
            <w:r w:rsidR="00E659E2">
              <w:rPr>
                <w:rFonts w:asciiTheme="minorHAnsi" w:hAnsiTheme="minorHAnsi" w:cstheme="minorHAnsi"/>
              </w:rPr>
              <w:t xml:space="preserve"> </w:t>
            </w:r>
            <w:r w:rsidR="00643263">
              <w:rPr>
                <w:rFonts w:asciiTheme="minorHAnsi" w:hAnsiTheme="minorHAnsi" w:cstheme="minorHAnsi"/>
              </w:rPr>
              <w:t xml:space="preserve">See </w:t>
            </w:r>
            <w:r w:rsidR="00643263" w:rsidRPr="00025A33">
              <w:rPr>
                <w:rFonts w:asciiTheme="minorHAnsi" w:hAnsiTheme="minorHAnsi" w:cstheme="minorHAnsi"/>
              </w:rPr>
              <w:t>paragraph</w:t>
            </w:r>
            <w:r w:rsidR="001D4EC0" w:rsidRPr="00025A33">
              <w:rPr>
                <w:rFonts w:asciiTheme="minorHAnsi" w:hAnsiTheme="minorHAnsi" w:cstheme="minorHAnsi"/>
              </w:rPr>
              <w:t>s 9.53 to 9.55</w:t>
            </w:r>
            <w:r w:rsidR="00643263">
              <w:rPr>
                <w:rFonts w:asciiTheme="minorHAnsi" w:hAnsiTheme="minorHAnsi" w:cstheme="minorHAnsi"/>
              </w:rPr>
              <w:t xml:space="preserve"> of the EM.</w:t>
            </w:r>
          </w:p>
          <w:p w14:paraId="048A52C5" w14:textId="3D258359" w:rsidR="00F323EB" w:rsidRDefault="00F323EB" w:rsidP="00720CC1">
            <w:pPr>
              <w:pStyle w:val="ListParagraph"/>
              <w:numPr>
                <w:ilvl w:val="0"/>
                <w:numId w:val="9"/>
              </w:numPr>
              <w:spacing w:before="120"/>
              <w:ind w:left="360"/>
              <w:contextualSpacing w:val="0"/>
              <w:rPr>
                <w:rFonts w:asciiTheme="minorHAnsi" w:hAnsiTheme="minorHAnsi" w:cstheme="minorHAnsi"/>
              </w:rPr>
            </w:pPr>
            <w:r w:rsidRPr="00CA365D">
              <w:rPr>
                <w:rFonts w:asciiTheme="minorHAnsi" w:hAnsiTheme="minorHAnsi" w:cstheme="minorHAnsi"/>
                <w:b/>
              </w:rPr>
              <w:t>Design and distribution obligations</w:t>
            </w:r>
            <w:r w:rsidR="00656A4B">
              <w:rPr>
                <w:rFonts w:asciiTheme="minorHAnsi" w:hAnsiTheme="minorHAnsi" w:cstheme="minorHAnsi"/>
                <w:b/>
                <w:bCs/>
              </w:rPr>
              <w:t xml:space="preserve"> (DDO) reforms</w:t>
            </w:r>
            <w:r>
              <w:rPr>
                <w:rFonts w:asciiTheme="minorHAnsi" w:hAnsiTheme="minorHAnsi" w:cstheme="minorHAnsi"/>
              </w:rPr>
              <w:t>:</w:t>
            </w:r>
            <w:r w:rsidR="000E5A60">
              <w:rPr>
                <w:rFonts w:asciiTheme="minorHAnsi" w:hAnsiTheme="minorHAnsi" w:cstheme="minorHAnsi"/>
              </w:rPr>
              <w:t xml:space="preserve"> issuers and distributers of financial products </w:t>
            </w:r>
            <w:r w:rsidR="00BA3229">
              <w:rPr>
                <w:rFonts w:asciiTheme="minorHAnsi" w:hAnsiTheme="minorHAnsi" w:cstheme="minorHAnsi"/>
              </w:rPr>
              <w:t xml:space="preserve">that are required to prepare a disclosure document (such as a PDS) will generally be required to have an adequate governance framework in place to ensure products are targeted at appropriate clients. The regime will apply to retail CCIVs to ensure that its members obtain equivalent protections as other retail investors (including members of a registered scheme). </w:t>
            </w:r>
            <w:r w:rsidR="001D4EC0">
              <w:rPr>
                <w:rFonts w:asciiTheme="minorHAnsi" w:hAnsiTheme="minorHAnsi" w:cstheme="minorHAnsi"/>
              </w:rPr>
              <w:t xml:space="preserve">See </w:t>
            </w:r>
            <w:r w:rsidR="001D4EC0" w:rsidRPr="00025A33">
              <w:rPr>
                <w:rFonts w:asciiTheme="minorHAnsi" w:hAnsiTheme="minorHAnsi" w:cstheme="minorHAnsi"/>
              </w:rPr>
              <w:t>paragraphs 9.53 to 9.55</w:t>
            </w:r>
            <w:r w:rsidR="001D4EC0">
              <w:rPr>
                <w:rFonts w:asciiTheme="minorHAnsi" w:hAnsiTheme="minorHAnsi" w:cstheme="minorHAnsi"/>
              </w:rPr>
              <w:t xml:space="preserve"> of the EM.</w:t>
            </w:r>
            <w:r w:rsidR="00BA3229">
              <w:rPr>
                <w:rFonts w:asciiTheme="minorHAnsi" w:hAnsiTheme="minorHAnsi" w:cstheme="minorHAnsi"/>
              </w:rPr>
              <w:t xml:space="preserve"> </w:t>
            </w:r>
          </w:p>
          <w:p w14:paraId="514C9BF9" w14:textId="50EC7E5E" w:rsidR="00F323EB" w:rsidRDefault="00F323EB" w:rsidP="00720CC1">
            <w:pPr>
              <w:pStyle w:val="ListParagraph"/>
              <w:numPr>
                <w:ilvl w:val="0"/>
                <w:numId w:val="9"/>
              </w:numPr>
              <w:spacing w:before="120"/>
              <w:ind w:left="360"/>
              <w:contextualSpacing w:val="0"/>
              <w:rPr>
                <w:rFonts w:asciiTheme="minorHAnsi" w:hAnsiTheme="minorHAnsi" w:cstheme="minorHAnsi"/>
              </w:rPr>
            </w:pPr>
            <w:r w:rsidRPr="00CA365D">
              <w:rPr>
                <w:rFonts w:asciiTheme="minorHAnsi" w:hAnsiTheme="minorHAnsi" w:cstheme="minorHAnsi"/>
                <w:b/>
              </w:rPr>
              <w:t>Breach reporting</w:t>
            </w:r>
            <w:r w:rsidR="00656A4B">
              <w:rPr>
                <w:rFonts w:asciiTheme="minorHAnsi" w:hAnsiTheme="minorHAnsi" w:cstheme="minorHAnsi"/>
                <w:b/>
                <w:bCs/>
              </w:rPr>
              <w:t xml:space="preserve"> reforms</w:t>
            </w:r>
            <w:r>
              <w:rPr>
                <w:rFonts w:asciiTheme="minorHAnsi" w:hAnsiTheme="minorHAnsi" w:cstheme="minorHAnsi"/>
              </w:rPr>
              <w:t>:</w:t>
            </w:r>
            <w:r w:rsidR="00BA3229">
              <w:rPr>
                <w:rFonts w:asciiTheme="minorHAnsi" w:hAnsiTheme="minorHAnsi" w:cstheme="minorHAnsi"/>
              </w:rPr>
              <w:t xml:space="preserve"> </w:t>
            </w:r>
            <w:r w:rsidR="00CA2FC0">
              <w:rPr>
                <w:rFonts w:asciiTheme="minorHAnsi" w:hAnsiTheme="minorHAnsi" w:cstheme="minorHAnsi"/>
              </w:rPr>
              <w:t xml:space="preserve">the breach reporting requirements for the corporate director of a CCIV align </w:t>
            </w:r>
            <w:r w:rsidR="0021676C">
              <w:rPr>
                <w:rFonts w:asciiTheme="minorHAnsi" w:hAnsiTheme="minorHAnsi" w:cstheme="minorHAnsi"/>
              </w:rPr>
              <w:t xml:space="preserve">with </w:t>
            </w:r>
            <w:r w:rsidR="00CA2FC0">
              <w:rPr>
                <w:rFonts w:asciiTheme="minorHAnsi" w:hAnsiTheme="minorHAnsi" w:cstheme="minorHAnsi"/>
              </w:rPr>
              <w:t>the requirements for other financial services licen</w:t>
            </w:r>
            <w:r w:rsidR="0021676C">
              <w:rPr>
                <w:rFonts w:asciiTheme="minorHAnsi" w:hAnsiTheme="minorHAnsi" w:cstheme="minorHAnsi"/>
              </w:rPr>
              <w:t>sees</w:t>
            </w:r>
            <w:r w:rsidR="00CA2FC0">
              <w:rPr>
                <w:rFonts w:asciiTheme="minorHAnsi" w:hAnsiTheme="minorHAnsi" w:cstheme="minorHAnsi"/>
              </w:rPr>
              <w:t xml:space="preserve"> (including the responsible entity of a registered scheme)</w:t>
            </w:r>
            <w:r w:rsidR="0044541B">
              <w:rPr>
                <w:rFonts w:asciiTheme="minorHAnsi" w:hAnsiTheme="minorHAnsi" w:cstheme="minorHAnsi"/>
              </w:rPr>
              <w:t>. This i</w:t>
            </w:r>
            <w:r w:rsidR="00CA2FC0">
              <w:rPr>
                <w:rFonts w:asciiTheme="minorHAnsi" w:hAnsiTheme="minorHAnsi" w:cstheme="minorHAnsi"/>
              </w:rPr>
              <w:t>nclud</w:t>
            </w:r>
            <w:r w:rsidR="0044541B">
              <w:rPr>
                <w:rFonts w:asciiTheme="minorHAnsi" w:hAnsiTheme="minorHAnsi" w:cstheme="minorHAnsi"/>
              </w:rPr>
              <w:t>es</w:t>
            </w:r>
            <w:r w:rsidR="00CA2FC0">
              <w:rPr>
                <w:rFonts w:asciiTheme="minorHAnsi" w:hAnsiTheme="minorHAnsi" w:cstheme="minorHAnsi"/>
              </w:rPr>
              <w:t xml:space="preserve"> the reforms to the regime made as part of the Government’s response to the Financial Services Royal Commission. </w:t>
            </w:r>
            <w:r w:rsidR="001D4EC0">
              <w:rPr>
                <w:rFonts w:asciiTheme="minorHAnsi" w:hAnsiTheme="minorHAnsi" w:cstheme="minorHAnsi"/>
              </w:rPr>
              <w:t xml:space="preserve">See section 1244F of the draft Bill and </w:t>
            </w:r>
            <w:r w:rsidR="001D4EC0" w:rsidRPr="00025A33">
              <w:rPr>
                <w:rFonts w:asciiTheme="minorHAnsi" w:hAnsiTheme="minorHAnsi" w:cstheme="minorHAnsi"/>
              </w:rPr>
              <w:t>paragraph 9.21</w:t>
            </w:r>
            <w:r w:rsidR="001D4EC0">
              <w:rPr>
                <w:rFonts w:asciiTheme="minorHAnsi" w:hAnsiTheme="minorHAnsi" w:cstheme="minorHAnsi"/>
              </w:rPr>
              <w:t xml:space="preserve"> of the EM.</w:t>
            </w:r>
          </w:p>
          <w:p w14:paraId="230F527C" w14:textId="269AFBBC" w:rsidR="00F323EB" w:rsidRDefault="00F323EB" w:rsidP="00720CC1">
            <w:pPr>
              <w:pStyle w:val="ListParagraph"/>
              <w:numPr>
                <w:ilvl w:val="0"/>
                <w:numId w:val="9"/>
              </w:numPr>
              <w:spacing w:before="120"/>
              <w:ind w:left="360"/>
              <w:contextualSpacing w:val="0"/>
              <w:rPr>
                <w:rFonts w:asciiTheme="minorHAnsi" w:hAnsiTheme="minorHAnsi" w:cstheme="minorHAnsi"/>
              </w:rPr>
            </w:pPr>
            <w:r w:rsidRPr="00CA365D">
              <w:rPr>
                <w:rFonts w:asciiTheme="minorHAnsi" w:hAnsiTheme="minorHAnsi" w:cstheme="minorHAnsi"/>
                <w:b/>
              </w:rPr>
              <w:t>Enhanced corporate whistleblower protections</w:t>
            </w:r>
            <w:r w:rsidR="00656A4B">
              <w:rPr>
                <w:rFonts w:asciiTheme="minorHAnsi" w:hAnsiTheme="minorHAnsi" w:cstheme="minorHAnsi"/>
                <w:b/>
                <w:bCs/>
              </w:rPr>
              <w:t xml:space="preserve"> regime</w:t>
            </w:r>
            <w:r>
              <w:rPr>
                <w:rFonts w:asciiTheme="minorHAnsi" w:hAnsiTheme="minorHAnsi" w:cstheme="minorHAnsi"/>
              </w:rPr>
              <w:t>:</w:t>
            </w:r>
            <w:r w:rsidR="00CA2FC0">
              <w:rPr>
                <w:rFonts w:asciiTheme="minorHAnsi" w:hAnsiTheme="minorHAnsi" w:cstheme="minorHAnsi"/>
              </w:rPr>
              <w:t xml:space="preserve"> the regime has been reformed so that a single strengthened regime applies to the corporate, financial and credit sectors. Under the new law, protections </w:t>
            </w:r>
            <w:r w:rsidR="000A1E99">
              <w:rPr>
                <w:rFonts w:asciiTheme="minorHAnsi" w:hAnsiTheme="minorHAnsi" w:cstheme="minorHAnsi"/>
              </w:rPr>
              <w:t xml:space="preserve">in relation to a CCIV </w:t>
            </w:r>
            <w:r w:rsidR="00CA2FC0">
              <w:rPr>
                <w:rFonts w:asciiTheme="minorHAnsi" w:hAnsiTheme="minorHAnsi" w:cstheme="minorHAnsi"/>
              </w:rPr>
              <w:t xml:space="preserve">will be extended to the natural person </w:t>
            </w:r>
            <w:r w:rsidR="000A1E99">
              <w:rPr>
                <w:rFonts w:asciiTheme="minorHAnsi" w:hAnsiTheme="minorHAnsi" w:cstheme="minorHAnsi"/>
              </w:rPr>
              <w:t xml:space="preserve">officers and employees of the corporate director of a CCIV. This is consistent </w:t>
            </w:r>
            <w:r w:rsidR="009D563F">
              <w:rPr>
                <w:rFonts w:asciiTheme="minorHAnsi" w:hAnsiTheme="minorHAnsi" w:cstheme="minorHAnsi"/>
              </w:rPr>
              <w:t>with protections in place for officers and employees of a scheme.</w:t>
            </w:r>
            <w:r w:rsidR="00FB135D">
              <w:rPr>
                <w:rFonts w:asciiTheme="minorHAnsi" w:hAnsiTheme="minorHAnsi" w:cstheme="minorHAnsi"/>
              </w:rPr>
              <w:t xml:space="preserve"> </w:t>
            </w:r>
            <w:r w:rsidR="001D4EC0">
              <w:rPr>
                <w:rFonts w:asciiTheme="minorHAnsi" w:hAnsiTheme="minorHAnsi" w:cstheme="minorHAnsi"/>
              </w:rPr>
              <w:t xml:space="preserve">See section 1245D of the draft Bill and </w:t>
            </w:r>
            <w:r w:rsidR="001D4EC0" w:rsidRPr="00025A33">
              <w:rPr>
                <w:rFonts w:asciiTheme="minorHAnsi" w:hAnsiTheme="minorHAnsi" w:cstheme="minorHAnsi"/>
              </w:rPr>
              <w:t>paragraphs 11.1</w:t>
            </w:r>
            <w:r w:rsidR="00AB6BCB" w:rsidRPr="00025A33">
              <w:rPr>
                <w:rFonts w:asciiTheme="minorHAnsi" w:hAnsiTheme="minorHAnsi" w:cstheme="minorHAnsi"/>
              </w:rPr>
              <w:t>7</w:t>
            </w:r>
            <w:r w:rsidR="001D4EC0" w:rsidRPr="00025A33">
              <w:rPr>
                <w:rFonts w:asciiTheme="minorHAnsi" w:hAnsiTheme="minorHAnsi" w:cstheme="minorHAnsi"/>
              </w:rPr>
              <w:t xml:space="preserve"> to 11.</w:t>
            </w:r>
            <w:r w:rsidR="00AB6BCB" w:rsidRPr="00025A33">
              <w:rPr>
                <w:rFonts w:asciiTheme="minorHAnsi" w:hAnsiTheme="minorHAnsi" w:cstheme="minorHAnsi"/>
              </w:rPr>
              <w:t>20</w:t>
            </w:r>
            <w:r w:rsidR="001D4EC0">
              <w:rPr>
                <w:rFonts w:asciiTheme="minorHAnsi" w:hAnsiTheme="minorHAnsi" w:cstheme="minorHAnsi"/>
              </w:rPr>
              <w:t xml:space="preserve"> of the EM.</w:t>
            </w:r>
          </w:p>
          <w:p w14:paraId="323EC30E" w14:textId="734D0A11" w:rsidR="00F323EB" w:rsidRDefault="00F323EB" w:rsidP="00720CC1">
            <w:pPr>
              <w:pStyle w:val="ListParagraph"/>
              <w:numPr>
                <w:ilvl w:val="0"/>
                <w:numId w:val="9"/>
              </w:numPr>
              <w:spacing w:before="120"/>
              <w:ind w:left="360"/>
              <w:contextualSpacing w:val="0"/>
              <w:rPr>
                <w:rFonts w:asciiTheme="minorHAnsi" w:hAnsiTheme="minorHAnsi" w:cstheme="minorHAnsi"/>
              </w:rPr>
            </w:pPr>
            <w:r w:rsidRPr="00CA365D">
              <w:rPr>
                <w:rFonts w:asciiTheme="minorHAnsi" w:hAnsiTheme="minorHAnsi" w:cstheme="minorHAnsi"/>
                <w:b/>
              </w:rPr>
              <w:t>Continuous disclosure regime</w:t>
            </w:r>
            <w:r>
              <w:rPr>
                <w:rFonts w:asciiTheme="minorHAnsi" w:hAnsiTheme="minorHAnsi" w:cstheme="minorHAnsi"/>
              </w:rPr>
              <w:t>:</w:t>
            </w:r>
            <w:r w:rsidR="009D563F">
              <w:rPr>
                <w:rFonts w:asciiTheme="minorHAnsi" w:hAnsiTheme="minorHAnsi" w:cstheme="minorHAnsi"/>
              </w:rPr>
              <w:t xml:space="preserve"> the continuous disclosure regime applies to certain CCIVs that are disclosing entities or listed disclosing entities. Accordingly, the recent reforms to the regime will apply in relation to relevant CCIVs.</w:t>
            </w:r>
            <w:r w:rsidR="001D4EC0">
              <w:rPr>
                <w:rFonts w:asciiTheme="minorHAnsi" w:hAnsiTheme="minorHAnsi" w:cstheme="minorHAnsi"/>
              </w:rPr>
              <w:t xml:space="preserve"> See section 1243D of the draft Bill and </w:t>
            </w:r>
            <w:r w:rsidR="001D4EC0" w:rsidRPr="00025A33">
              <w:rPr>
                <w:rFonts w:asciiTheme="minorHAnsi" w:hAnsiTheme="minorHAnsi" w:cstheme="minorHAnsi"/>
              </w:rPr>
              <w:t>paragraphs 8.2</w:t>
            </w:r>
            <w:r w:rsidR="00AB6BCB" w:rsidRPr="00025A33">
              <w:rPr>
                <w:rFonts w:asciiTheme="minorHAnsi" w:hAnsiTheme="minorHAnsi" w:cstheme="minorHAnsi"/>
              </w:rPr>
              <w:t>3</w:t>
            </w:r>
            <w:r w:rsidR="001D4EC0" w:rsidRPr="00025A33">
              <w:rPr>
                <w:rFonts w:asciiTheme="minorHAnsi" w:hAnsiTheme="minorHAnsi" w:cstheme="minorHAnsi"/>
              </w:rPr>
              <w:t xml:space="preserve"> to 8.2</w:t>
            </w:r>
            <w:r w:rsidR="00AB6BCB" w:rsidRPr="00AB6BCB">
              <w:rPr>
                <w:rFonts w:asciiTheme="minorHAnsi" w:hAnsiTheme="minorHAnsi" w:cstheme="minorHAnsi"/>
              </w:rPr>
              <w:t>4</w:t>
            </w:r>
            <w:r w:rsidR="001D4EC0">
              <w:rPr>
                <w:rFonts w:asciiTheme="minorHAnsi" w:hAnsiTheme="minorHAnsi" w:cstheme="minorHAnsi"/>
              </w:rPr>
              <w:t xml:space="preserve"> of the EM.</w:t>
            </w:r>
          </w:p>
          <w:p w14:paraId="735A92DB" w14:textId="20ECCDEA" w:rsidR="007F6EA7" w:rsidRPr="00CA365D" w:rsidRDefault="00F323EB" w:rsidP="00720CC1">
            <w:pPr>
              <w:pStyle w:val="ListParagraph"/>
              <w:numPr>
                <w:ilvl w:val="0"/>
                <w:numId w:val="9"/>
              </w:numPr>
              <w:spacing w:before="120"/>
              <w:ind w:left="360"/>
              <w:contextualSpacing w:val="0"/>
              <w:rPr>
                <w:rFonts w:asciiTheme="minorHAnsi" w:hAnsiTheme="minorHAnsi" w:cstheme="minorHAnsi"/>
              </w:rPr>
            </w:pPr>
            <w:r w:rsidRPr="00CA365D">
              <w:rPr>
                <w:rFonts w:asciiTheme="minorHAnsi" w:hAnsiTheme="minorHAnsi" w:cstheme="minorHAnsi"/>
                <w:b/>
              </w:rPr>
              <w:t>Modernising business registries</w:t>
            </w:r>
            <w:r w:rsidR="00656A4B">
              <w:rPr>
                <w:rFonts w:asciiTheme="minorHAnsi" w:hAnsiTheme="minorHAnsi" w:cstheme="minorHAnsi"/>
                <w:b/>
                <w:bCs/>
              </w:rPr>
              <w:t xml:space="preserve"> reforms</w:t>
            </w:r>
            <w:r>
              <w:rPr>
                <w:rFonts w:asciiTheme="minorHAnsi" w:hAnsiTheme="minorHAnsi" w:cstheme="minorHAnsi"/>
              </w:rPr>
              <w:t xml:space="preserve">: </w:t>
            </w:r>
            <w:r w:rsidR="00D83F86">
              <w:rPr>
                <w:rFonts w:asciiTheme="minorHAnsi" w:hAnsiTheme="minorHAnsi" w:cstheme="minorHAnsi"/>
              </w:rPr>
              <w:t>the reforms to unify the Australian Business Registers will incorporate the registration of a CCIV (in the same way and as part of the same planned timeframes for the registration of other companies).</w:t>
            </w:r>
            <w:r w:rsidR="002E02EC">
              <w:rPr>
                <w:rFonts w:asciiTheme="minorHAnsi" w:hAnsiTheme="minorHAnsi" w:cstheme="minorHAnsi"/>
              </w:rPr>
              <w:t xml:space="preserve"> See paragraph 2.40 of the EM.</w:t>
            </w:r>
          </w:p>
        </w:tc>
      </w:tr>
    </w:tbl>
    <w:p w14:paraId="2150314A" w14:textId="73B8F880" w:rsidR="001721B6" w:rsidRPr="006F731C" w:rsidRDefault="00282970" w:rsidP="001721B6">
      <w:pPr>
        <w:rPr>
          <w:rFonts w:asciiTheme="majorHAnsi" w:eastAsiaTheme="majorEastAsia" w:hAnsiTheme="majorHAnsi" w:cstheme="majorBidi"/>
          <w:b/>
          <w:color w:val="16325C" w:themeColor="text2"/>
          <w:sz w:val="32"/>
          <w:szCs w:val="32"/>
        </w:rPr>
      </w:pPr>
      <w:r>
        <w:br w:type="column"/>
      </w:r>
      <w:bookmarkStart w:id="4" w:name="_Hlk80872239"/>
      <w:r w:rsidR="001721B6" w:rsidRPr="006F731C">
        <w:rPr>
          <w:rFonts w:asciiTheme="majorHAnsi" w:eastAsiaTheme="majorEastAsia" w:hAnsiTheme="majorHAnsi" w:cstheme="majorBidi"/>
          <w:b/>
          <w:color w:val="16325C" w:themeColor="text2"/>
          <w:sz w:val="32"/>
          <w:szCs w:val="32"/>
        </w:rPr>
        <w:lastRenderedPageBreak/>
        <w:t xml:space="preserve">The </w:t>
      </w:r>
      <w:r w:rsidR="001721B6">
        <w:rPr>
          <w:rFonts w:asciiTheme="majorHAnsi" w:eastAsiaTheme="majorEastAsia" w:hAnsiTheme="majorHAnsi" w:cstheme="majorBidi"/>
          <w:b/>
          <w:color w:val="16325C" w:themeColor="text2"/>
          <w:sz w:val="32"/>
          <w:szCs w:val="32"/>
        </w:rPr>
        <w:t>tax</w:t>
      </w:r>
      <w:r w:rsidR="001721B6" w:rsidRPr="006F731C">
        <w:rPr>
          <w:rFonts w:asciiTheme="majorHAnsi" w:eastAsiaTheme="majorEastAsia" w:hAnsiTheme="majorHAnsi" w:cstheme="majorBidi"/>
          <w:b/>
          <w:color w:val="16325C" w:themeColor="text2"/>
          <w:sz w:val="32"/>
          <w:szCs w:val="32"/>
        </w:rPr>
        <w:t xml:space="preserve"> framework for CCIVs</w:t>
      </w:r>
    </w:p>
    <w:p w14:paraId="07CC4754" w14:textId="29897723" w:rsidR="00E7218C" w:rsidRDefault="00CA4C78" w:rsidP="00E7218C">
      <w:pPr>
        <w:spacing w:after="0"/>
      </w:pPr>
      <w:r>
        <w:t>A</w:t>
      </w:r>
      <w:r w:rsidRPr="00CD68E4">
        <w:t xml:space="preserve"> </w:t>
      </w:r>
      <w:r w:rsidR="00E7218C" w:rsidRPr="00CD68E4">
        <w:t>CCIV is a new form of collective investment vehicle, intended to be a</w:t>
      </w:r>
      <w:r w:rsidR="009A1DEE" w:rsidRPr="00CD68E4">
        <w:t>n</w:t>
      </w:r>
      <w:r w:rsidR="008F658F" w:rsidRPr="00CD68E4">
        <w:t xml:space="preserve"> </w:t>
      </w:r>
      <w:r w:rsidR="00E7218C" w:rsidRPr="00CD68E4">
        <w:t xml:space="preserve">alternative to </w:t>
      </w:r>
      <w:r w:rsidR="003A61BA">
        <w:t>trust</w:t>
      </w:r>
      <w:r w:rsidR="003A61BA">
        <w:noBreakHyphen/>
        <w:t xml:space="preserve">based </w:t>
      </w:r>
      <w:r w:rsidR="0092077D">
        <w:t>managed investment schemes and be subject to flow-through tax treatment</w:t>
      </w:r>
      <w:r w:rsidR="00E7218C" w:rsidRPr="00CD68E4">
        <w:t xml:space="preserve">. </w:t>
      </w:r>
      <w:r w:rsidR="0092077D">
        <w:t>Rather than creating a bespoke tax regime, t</w:t>
      </w:r>
      <w:r w:rsidR="00E7218C" w:rsidRPr="00CD68E4">
        <w:t xml:space="preserve">he CCIV tax regime has been designed to align with existing </w:t>
      </w:r>
      <w:r w:rsidR="0092077D">
        <w:t xml:space="preserve">arrangements for the taxation of trusts, including access to the </w:t>
      </w:r>
      <w:r w:rsidR="00144D99" w:rsidRPr="00CD68E4">
        <w:t>attribution managed investment trust (AMIT)</w:t>
      </w:r>
      <w:r w:rsidR="00E7218C" w:rsidRPr="00CD68E4">
        <w:t xml:space="preserve"> </w:t>
      </w:r>
      <w:r w:rsidR="007E4CB4" w:rsidRPr="00CD68E4">
        <w:t xml:space="preserve">tax </w:t>
      </w:r>
      <w:r w:rsidR="00E7218C" w:rsidRPr="00CD68E4">
        <w:t>regime</w:t>
      </w:r>
      <w:r w:rsidR="0092077D">
        <w:t xml:space="preserve"> where the relevant criteria are met</w:t>
      </w:r>
      <w:r w:rsidR="00E04DE4">
        <w:t>. The intent is</w:t>
      </w:r>
      <w:r w:rsidR="00E7218C" w:rsidRPr="00CD68E4">
        <w:t xml:space="preserve"> that the tax outcomes for an investor in a sub-fund</w:t>
      </w:r>
      <w:r>
        <w:t xml:space="preserve"> of a CCIV</w:t>
      </w:r>
      <w:r w:rsidR="00E7218C" w:rsidRPr="00CD68E4">
        <w:t xml:space="preserve"> be the same as an investor in an AMIT.</w:t>
      </w:r>
    </w:p>
    <w:p w14:paraId="0D36FEF5" w14:textId="77777777" w:rsidR="00633C88" w:rsidRPr="00CD68E4" w:rsidRDefault="00633C88" w:rsidP="00E7218C">
      <w:pPr>
        <w:spacing w:after="0"/>
      </w:pPr>
    </w:p>
    <w:p w14:paraId="2EC618D2" w14:textId="750D342D" w:rsidR="001721B6" w:rsidRPr="00720CC1" w:rsidRDefault="001721B6" w:rsidP="00720CC1">
      <w:pPr>
        <w:rPr>
          <w:rFonts w:asciiTheme="majorHAnsi" w:eastAsiaTheme="majorEastAsia" w:hAnsiTheme="majorHAnsi" w:cstheme="majorBidi"/>
          <w:b/>
          <w:color w:val="16325C" w:themeColor="text2"/>
          <w:sz w:val="24"/>
          <w:szCs w:val="24"/>
        </w:rPr>
      </w:pPr>
      <w:r w:rsidRPr="006F731C">
        <w:rPr>
          <w:rFonts w:asciiTheme="majorHAnsi" w:eastAsiaTheme="majorEastAsia" w:hAnsiTheme="majorHAnsi" w:cstheme="majorBidi"/>
          <w:b/>
          <w:color w:val="16325C" w:themeColor="text2"/>
          <w:sz w:val="24"/>
          <w:szCs w:val="24"/>
        </w:rPr>
        <w:t xml:space="preserve">Key changes to the CCIVs </w:t>
      </w:r>
      <w:r>
        <w:rPr>
          <w:rFonts w:asciiTheme="majorHAnsi" w:eastAsiaTheme="majorEastAsia" w:hAnsiTheme="majorHAnsi" w:cstheme="majorBidi"/>
          <w:b/>
          <w:color w:val="16325C" w:themeColor="text2"/>
          <w:sz w:val="24"/>
          <w:szCs w:val="24"/>
        </w:rPr>
        <w:t>tax</w:t>
      </w:r>
      <w:r w:rsidRPr="006F731C">
        <w:rPr>
          <w:rFonts w:asciiTheme="majorHAnsi" w:eastAsiaTheme="majorEastAsia" w:hAnsiTheme="majorHAnsi" w:cstheme="majorBidi"/>
          <w:b/>
          <w:color w:val="16325C" w:themeColor="text2"/>
          <w:sz w:val="24"/>
          <w:szCs w:val="24"/>
        </w:rPr>
        <w:t xml:space="preserve"> framework </w:t>
      </w:r>
    </w:p>
    <w:tbl>
      <w:tblPr>
        <w:tblStyle w:val="TableGrid"/>
        <w:tblW w:w="9642" w:type="dxa"/>
        <w:tblInd w:w="108" w:type="dxa"/>
        <w:tblBorders>
          <w:top w:val="single" w:sz="8" w:space="0" w:color="00ABBD" w:themeColor="accent6"/>
          <w:left w:val="single" w:sz="8" w:space="0" w:color="00ABBD" w:themeColor="accent6"/>
          <w:bottom w:val="single" w:sz="8" w:space="0" w:color="00ABBD" w:themeColor="accent6"/>
          <w:right w:val="single" w:sz="8" w:space="0" w:color="00ABBD" w:themeColor="accent6"/>
          <w:insideH w:val="single" w:sz="8" w:space="0" w:color="00ABBD" w:themeColor="accent6"/>
          <w:insideV w:val="single" w:sz="8" w:space="0" w:color="00ABBD" w:themeColor="accent6"/>
        </w:tblBorders>
        <w:tblLayout w:type="fixed"/>
        <w:tblLook w:val="04A0" w:firstRow="1" w:lastRow="0" w:firstColumn="1" w:lastColumn="0" w:noHBand="0" w:noVBand="1"/>
      </w:tblPr>
      <w:tblGrid>
        <w:gridCol w:w="3142"/>
        <w:gridCol w:w="3250"/>
        <w:gridCol w:w="3250"/>
      </w:tblGrid>
      <w:tr w:rsidR="001721B6" w:rsidRPr="00FC5CFB" w14:paraId="7B417C4A" w14:textId="77777777" w:rsidTr="00273B2B">
        <w:trPr>
          <w:cantSplit/>
          <w:trHeight w:val="340"/>
          <w:tblHeader/>
        </w:trPr>
        <w:tc>
          <w:tcPr>
            <w:tcW w:w="9642" w:type="dxa"/>
            <w:gridSpan w:val="3"/>
            <w:shd w:val="clear" w:color="auto" w:fill="007F8D" w:themeFill="accent6" w:themeFillShade="BF"/>
            <w:vAlign w:val="center"/>
          </w:tcPr>
          <w:p w14:paraId="1C2CBC53" w14:textId="4580B36C" w:rsidR="001721B6" w:rsidRPr="00FC5CFB" w:rsidRDefault="001721B6" w:rsidP="00273B2B">
            <w:pPr>
              <w:keepNext/>
              <w:rPr>
                <w:b/>
                <w:color w:val="FFFFFF" w:themeColor="background1"/>
              </w:rPr>
            </w:pPr>
            <w:r>
              <w:rPr>
                <w:b/>
                <w:color w:val="FFFFFF" w:themeColor="background1"/>
              </w:rPr>
              <w:t xml:space="preserve">Will CCIVs be taxed the same as </w:t>
            </w:r>
            <w:r w:rsidRPr="008065A7">
              <w:rPr>
                <w:b/>
                <w:color w:val="FFFFFF" w:themeColor="background1"/>
              </w:rPr>
              <w:t>AMIT</w:t>
            </w:r>
            <w:r>
              <w:rPr>
                <w:b/>
                <w:color w:val="FFFFFF" w:themeColor="background1"/>
              </w:rPr>
              <w:t>s?</w:t>
            </w:r>
          </w:p>
        </w:tc>
      </w:tr>
      <w:tr w:rsidR="001721B6" w:rsidRPr="00E37145" w14:paraId="18C103E3" w14:textId="77777777" w:rsidTr="00273B2B">
        <w:trPr>
          <w:cantSplit/>
          <w:trHeight w:val="340"/>
          <w:tblHeader/>
        </w:trPr>
        <w:tc>
          <w:tcPr>
            <w:tcW w:w="9642" w:type="dxa"/>
            <w:gridSpan w:val="3"/>
            <w:shd w:val="clear" w:color="auto" w:fill="auto"/>
            <w:vAlign w:val="center"/>
          </w:tcPr>
          <w:p w14:paraId="1A4A0F4F" w14:textId="4D9F9CD0" w:rsidR="001721B6" w:rsidRDefault="001721B6" w:rsidP="00273B2B">
            <w:pPr>
              <w:rPr>
                <w:rFonts w:asciiTheme="minorHAnsi" w:hAnsiTheme="minorHAnsi" w:cstheme="minorHAnsi"/>
              </w:rPr>
            </w:pPr>
            <w:r>
              <w:rPr>
                <w:rFonts w:asciiTheme="minorHAnsi" w:hAnsiTheme="minorHAnsi" w:cstheme="minorHAnsi"/>
              </w:rPr>
              <w:t>Yes, t</w:t>
            </w:r>
            <w:r w:rsidRPr="00ED09D4">
              <w:rPr>
                <w:rFonts w:asciiTheme="minorHAnsi" w:hAnsiTheme="minorHAnsi" w:cstheme="minorHAnsi"/>
              </w:rPr>
              <w:t xml:space="preserve">he tax outcome for an investor in a CCIV sub-fund </w:t>
            </w:r>
            <w:r w:rsidR="00E34BAC" w:rsidRPr="005A1FE7">
              <w:rPr>
                <w:rFonts w:asciiTheme="minorHAnsi" w:hAnsiTheme="minorHAnsi" w:cstheme="minorHAnsi"/>
              </w:rPr>
              <w:t>will be</w:t>
            </w:r>
            <w:r w:rsidRPr="00ED09D4">
              <w:rPr>
                <w:rFonts w:asciiTheme="minorHAnsi" w:hAnsiTheme="minorHAnsi" w:cstheme="minorHAnsi"/>
              </w:rPr>
              <w:t xml:space="preserve"> the same as an investor in an AMIT</w:t>
            </w:r>
            <w:r w:rsidR="005F6EE8">
              <w:rPr>
                <w:rFonts w:asciiTheme="minorHAnsi" w:hAnsiTheme="minorHAnsi" w:cstheme="minorHAnsi"/>
              </w:rPr>
              <w:t>, subject to the sub-fund meeting the relevant criteria</w:t>
            </w:r>
            <w:r>
              <w:rPr>
                <w:rFonts w:asciiTheme="minorHAnsi" w:hAnsiTheme="minorHAnsi" w:cstheme="minorHAnsi"/>
              </w:rPr>
              <w:t xml:space="preserve">. </w:t>
            </w:r>
          </w:p>
          <w:p w14:paraId="586E53D7" w14:textId="18BFED42" w:rsidR="001721B6" w:rsidRDefault="001721B6" w:rsidP="00273B2B">
            <w:pPr>
              <w:rPr>
                <w:rFonts w:asciiTheme="minorHAnsi" w:hAnsiTheme="minorHAnsi" w:cstheme="minorHAnsi"/>
              </w:rPr>
            </w:pPr>
            <w:r>
              <w:rPr>
                <w:rFonts w:asciiTheme="minorHAnsi" w:hAnsiTheme="minorHAnsi" w:cstheme="minorHAnsi"/>
              </w:rPr>
              <w:t>To achieve this, a</w:t>
            </w:r>
            <w:r w:rsidRPr="00ED09D4">
              <w:rPr>
                <w:rFonts w:asciiTheme="minorHAnsi" w:hAnsiTheme="minorHAnsi" w:cstheme="minorHAnsi"/>
              </w:rPr>
              <w:t xml:space="preserve"> </w:t>
            </w:r>
            <w:r w:rsidR="0000224A">
              <w:rPr>
                <w:rFonts w:ascii="Segoe UI" w:hAnsi="Segoe UI" w:cs="Segoe UI"/>
                <w:color w:val="1A1A1A"/>
                <w:sz w:val="20"/>
              </w:rPr>
              <w:t xml:space="preserve">trust relationship is deemed to exist </w:t>
            </w:r>
            <w:r w:rsidR="00E34BAC" w:rsidRPr="005A1FE7">
              <w:rPr>
                <w:rFonts w:asciiTheme="minorHAnsi" w:hAnsiTheme="minorHAnsi" w:cstheme="minorHAnsi"/>
              </w:rPr>
              <w:t xml:space="preserve">between the CCIV and its investors </w:t>
            </w:r>
            <w:r w:rsidRPr="00ED09D4">
              <w:rPr>
                <w:rFonts w:asciiTheme="minorHAnsi" w:hAnsiTheme="minorHAnsi" w:cstheme="minorHAnsi"/>
              </w:rPr>
              <w:t>for the purposes of all taxation laws</w:t>
            </w:r>
            <w:r w:rsidR="00420E50">
              <w:rPr>
                <w:rFonts w:asciiTheme="minorHAnsi" w:hAnsiTheme="minorHAnsi" w:cstheme="minorHAnsi"/>
              </w:rPr>
              <w:t xml:space="preserve"> </w:t>
            </w:r>
            <w:r w:rsidR="00A753E2">
              <w:rPr>
                <w:rFonts w:asciiTheme="minorHAnsi" w:hAnsiTheme="minorHAnsi" w:cstheme="minorHAnsi"/>
              </w:rPr>
              <w:t>(</w:t>
            </w:r>
            <w:r w:rsidR="00420E50">
              <w:rPr>
                <w:rFonts w:asciiTheme="minorHAnsi" w:hAnsiTheme="minorHAnsi" w:cstheme="minorHAnsi"/>
              </w:rPr>
              <w:t>unless specifically excluded</w:t>
            </w:r>
            <w:r w:rsidR="00A753E2">
              <w:rPr>
                <w:rFonts w:asciiTheme="minorHAnsi" w:hAnsiTheme="minorHAnsi" w:cstheme="minorHAnsi"/>
              </w:rPr>
              <w:t>)</w:t>
            </w:r>
            <w:r>
              <w:rPr>
                <w:rFonts w:asciiTheme="minorHAnsi" w:hAnsiTheme="minorHAnsi" w:cstheme="minorHAnsi"/>
              </w:rPr>
              <w:t xml:space="preserve">. </w:t>
            </w:r>
            <w:r w:rsidRPr="00E036FA">
              <w:rPr>
                <w:rFonts w:asciiTheme="minorHAnsi" w:hAnsiTheme="minorHAnsi" w:cstheme="minorHAnsi"/>
              </w:rPr>
              <w:t xml:space="preserve">This has </w:t>
            </w:r>
            <w:r w:rsidR="000653C2" w:rsidRPr="00E036FA">
              <w:rPr>
                <w:rFonts w:asciiTheme="minorHAnsi" w:hAnsiTheme="minorHAnsi" w:cstheme="minorHAnsi"/>
              </w:rPr>
              <w:t xml:space="preserve">the </w:t>
            </w:r>
            <w:r w:rsidRPr="00E036FA">
              <w:rPr>
                <w:rFonts w:asciiTheme="minorHAnsi" w:hAnsiTheme="minorHAnsi" w:cstheme="minorHAnsi"/>
              </w:rPr>
              <w:t xml:space="preserve">effect that the assets, liabilities and business </w:t>
            </w:r>
            <w:r w:rsidR="00892B09" w:rsidRPr="00E036FA">
              <w:rPr>
                <w:rFonts w:asciiTheme="minorHAnsi" w:hAnsiTheme="minorHAnsi" w:cstheme="minorHAnsi"/>
              </w:rPr>
              <w:t xml:space="preserve">referable to </w:t>
            </w:r>
            <w:r w:rsidR="003820A5" w:rsidRPr="00E036FA">
              <w:rPr>
                <w:rFonts w:asciiTheme="minorHAnsi" w:hAnsiTheme="minorHAnsi" w:cstheme="minorHAnsi"/>
              </w:rPr>
              <w:t>a</w:t>
            </w:r>
            <w:r w:rsidRPr="00E036FA">
              <w:rPr>
                <w:rFonts w:asciiTheme="minorHAnsi" w:hAnsiTheme="minorHAnsi" w:cstheme="minorHAnsi"/>
              </w:rPr>
              <w:t xml:space="preserve"> sub-fund </w:t>
            </w:r>
            <w:r w:rsidR="000653C2" w:rsidRPr="00E036FA">
              <w:rPr>
                <w:rFonts w:asciiTheme="minorHAnsi" w:hAnsiTheme="minorHAnsi" w:cstheme="minorHAnsi"/>
              </w:rPr>
              <w:t>are</w:t>
            </w:r>
            <w:r w:rsidR="003820A5" w:rsidRPr="00E036FA">
              <w:rPr>
                <w:rFonts w:asciiTheme="minorHAnsi" w:hAnsiTheme="minorHAnsi" w:cstheme="minorHAnsi"/>
              </w:rPr>
              <w:t xml:space="preserve"> </w:t>
            </w:r>
            <w:r w:rsidRPr="00E036FA">
              <w:rPr>
                <w:rFonts w:asciiTheme="minorHAnsi" w:hAnsiTheme="minorHAnsi" w:cstheme="minorHAnsi"/>
              </w:rPr>
              <w:t xml:space="preserve">treated as </w:t>
            </w:r>
            <w:r w:rsidR="003820A5" w:rsidRPr="00E036FA">
              <w:rPr>
                <w:rFonts w:asciiTheme="minorHAnsi" w:hAnsiTheme="minorHAnsi" w:cstheme="minorHAnsi"/>
              </w:rPr>
              <w:t>the trust estate of a</w:t>
            </w:r>
            <w:r w:rsidRPr="00E036FA">
              <w:rPr>
                <w:rFonts w:asciiTheme="minorHAnsi" w:hAnsiTheme="minorHAnsi" w:cstheme="minorHAnsi"/>
              </w:rPr>
              <w:t xml:space="preserve"> separate trust</w:t>
            </w:r>
            <w:r w:rsidR="0099286F">
              <w:rPr>
                <w:rFonts w:asciiTheme="minorHAnsi" w:hAnsiTheme="minorHAnsi" w:cstheme="minorHAnsi"/>
              </w:rPr>
              <w:t>. Under the tax law this concept is referred to as the</w:t>
            </w:r>
            <w:r w:rsidR="003820A5" w:rsidRPr="00E036FA">
              <w:rPr>
                <w:rFonts w:asciiTheme="minorHAnsi" w:hAnsiTheme="minorHAnsi" w:cstheme="minorHAnsi"/>
              </w:rPr>
              <w:t xml:space="preserve"> </w:t>
            </w:r>
            <w:r w:rsidR="00A753E2">
              <w:rPr>
                <w:rFonts w:asciiTheme="minorHAnsi" w:hAnsiTheme="minorHAnsi" w:cstheme="minorHAnsi"/>
              </w:rPr>
              <w:t>‘</w:t>
            </w:r>
            <w:r w:rsidR="003820A5" w:rsidRPr="00E036FA">
              <w:rPr>
                <w:rFonts w:asciiTheme="minorHAnsi" w:hAnsiTheme="minorHAnsi" w:cstheme="minorHAnsi"/>
              </w:rPr>
              <w:t>CCIV sub-fund trust</w:t>
            </w:r>
            <w:r w:rsidR="00A753E2">
              <w:rPr>
                <w:rFonts w:asciiTheme="minorHAnsi" w:hAnsiTheme="minorHAnsi" w:cstheme="minorHAnsi"/>
              </w:rPr>
              <w:t>’</w:t>
            </w:r>
            <w:r w:rsidR="000653C2" w:rsidRPr="00E036FA">
              <w:rPr>
                <w:rFonts w:asciiTheme="minorHAnsi" w:hAnsiTheme="minorHAnsi" w:cstheme="minorHAnsi"/>
              </w:rPr>
              <w:t>:</w:t>
            </w:r>
            <w:r w:rsidR="0099286F">
              <w:rPr>
                <w:rFonts w:asciiTheme="minorHAnsi" w:hAnsiTheme="minorHAnsi" w:cstheme="minorHAnsi"/>
              </w:rPr>
              <w:t xml:space="preserve"> where</w:t>
            </w:r>
            <w:r w:rsidRPr="00E036FA">
              <w:rPr>
                <w:rFonts w:asciiTheme="minorHAnsi" w:hAnsiTheme="minorHAnsi" w:cstheme="minorHAnsi"/>
              </w:rPr>
              <w:t xml:space="preserve"> the CCIV is treated as </w:t>
            </w:r>
            <w:r w:rsidR="00566C64">
              <w:rPr>
                <w:rFonts w:asciiTheme="minorHAnsi" w:hAnsiTheme="minorHAnsi" w:cstheme="minorHAnsi"/>
              </w:rPr>
              <w:t xml:space="preserve">the </w:t>
            </w:r>
            <w:r w:rsidRPr="00E036FA">
              <w:rPr>
                <w:rFonts w:asciiTheme="minorHAnsi" w:hAnsiTheme="minorHAnsi" w:cstheme="minorHAnsi"/>
              </w:rPr>
              <w:t>trustee, and the members of the CCIV are treated as beneficiaries</w:t>
            </w:r>
            <w:r w:rsidR="00566C64">
              <w:rPr>
                <w:rFonts w:asciiTheme="minorHAnsi" w:hAnsiTheme="minorHAnsi" w:cstheme="minorHAnsi"/>
              </w:rPr>
              <w:t>.</w:t>
            </w:r>
          </w:p>
          <w:p w14:paraId="2639F6E2" w14:textId="6A965F83" w:rsidR="001721B6" w:rsidRPr="00E37145" w:rsidRDefault="00A753E2" w:rsidP="00273B2B">
            <w:pPr>
              <w:rPr>
                <w:rFonts w:asciiTheme="minorHAnsi" w:hAnsiTheme="minorHAnsi" w:cstheme="minorHAnsi"/>
              </w:rPr>
            </w:pPr>
            <w:r>
              <w:t>To be treated as an AMIT for tax purposes (and qualify for attribution tax status), passive investment requirements apply to the ‘CCIV sub-fund trust’.</w:t>
            </w:r>
          </w:p>
        </w:tc>
      </w:tr>
      <w:tr w:rsidR="001721B6" w:rsidRPr="00D77F13" w14:paraId="17006F87" w14:textId="77777777" w:rsidTr="00273B2B">
        <w:trPr>
          <w:cantSplit/>
          <w:trHeight w:val="340"/>
          <w:tblHeader/>
        </w:trPr>
        <w:tc>
          <w:tcPr>
            <w:tcW w:w="3142" w:type="dxa"/>
            <w:shd w:val="clear" w:color="auto" w:fill="00ABBD" w:themeFill="accent6"/>
          </w:tcPr>
          <w:p w14:paraId="3FBECF64" w14:textId="77777777" w:rsidR="001721B6" w:rsidRPr="00D77F13" w:rsidRDefault="001721B6" w:rsidP="00273B2B">
            <w:pPr>
              <w:rPr>
                <w:b/>
                <w:color w:val="FFFFFF" w:themeColor="background1"/>
              </w:rPr>
            </w:pPr>
            <w:r w:rsidRPr="00D77F13">
              <w:rPr>
                <w:b/>
                <w:color w:val="FFFFFF" w:themeColor="background1"/>
              </w:rPr>
              <w:t>Previous draft policy position</w:t>
            </w:r>
          </w:p>
        </w:tc>
        <w:tc>
          <w:tcPr>
            <w:tcW w:w="3250" w:type="dxa"/>
            <w:shd w:val="clear" w:color="auto" w:fill="00ABBD" w:themeFill="accent6"/>
          </w:tcPr>
          <w:p w14:paraId="16270473" w14:textId="77777777" w:rsidR="001721B6" w:rsidRPr="00D77F13" w:rsidRDefault="001721B6" w:rsidP="00273B2B">
            <w:pPr>
              <w:rPr>
                <w:b/>
                <w:color w:val="FFFFFF" w:themeColor="background1"/>
              </w:rPr>
            </w:pPr>
            <w:r w:rsidRPr="00D77F13">
              <w:rPr>
                <w:b/>
                <w:color w:val="FFFFFF" w:themeColor="background1"/>
              </w:rPr>
              <w:t>New policy position</w:t>
            </w:r>
          </w:p>
        </w:tc>
        <w:tc>
          <w:tcPr>
            <w:tcW w:w="3250" w:type="dxa"/>
            <w:shd w:val="clear" w:color="auto" w:fill="00ABBD" w:themeFill="accent6"/>
          </w:tcPr>
          <w:p w14:paraId="71E27070" w14:textId="77777777" w:rsidR="001721B6" w:rsidRPr="00D77F13" w:rsidRDefault="001721B6" w:rsidP="00273B2B">
            <w:pPr>
              <w:rPr>
                <w:b/>
                <w:color w:val="FFFFFF" w:themeColor="background1"/>
              </w:rPr>
            </w:pPr>
            <w:r w:rsidRPr="00D77F13">
              <w:rPr>
                <w:b/>
                <w:color w:val="FFFFFF" w:themeColor="background1"/>
              </w:rPr>
              <w:t>Further information</w:t>
            </w:r>
          </w:p>
        </w:tc>
      </w:tr>
      <w:tr w:rsidR="001721B6" w:rsidRPr="00D77F13" w14:paraId="43DE5384" w14:textId="77777777" w:rsidTr="00273B2B">
        <w:trPr>
          <w:cantSplit/>
          <w:trHeight w:val="340"/>
          <w:tblHeader/>
        </w:trPr>
        <w:tc>
          <w:tcPr>
            <w:tcW w:w="3142" w:type="dxa"/>
            <w:shd w:val="clear" w:color="auto" w:fill="auto"/>
          </w:tcPr>
          <w:p w14:paraId="06C344D2" w14:textId="77777777" w:rsidR="001721B6" w:rsidRPr="00A43DB6" w:rsidRDefault="001721B6" w:rsidP="00273B2B">
            <w:pPr>
              <w:pStyle w:val="Bullet"/>
              <w:numPr>
                <w:ilvl w:val="0"/>
                <w:numId w:val="0"/>
              </w:numPr>
              <w:spacing w:before="60" w:after="60"/>
              <w:rPr>
                <w:rFonts w:asciiTheme="minorHAnsi" w:hAnsiTheme="minorHAnsi" w:cstheme="minorHAnsi"/>
                <w:b/>
                <w:bCs/>
              </w:rPr>
            </w:pPr>
            <w:r w:rsidRPr="00A43DB6">
              <w:rPr>
                <w:rFonts w:asciiTheme="minorHAnsi" w:hAnsiTheme="minorHAnsi" w:cstheme="minorHAnsi"/>
              </w:rPr>
              <w:t>A CCIV is treated as if it were a separate company in relation to each sub-fund for the purposes of applying the taxation law.</w:t>
            </w:r>
          </w:p>
          <w:p w14:paraId="0C33D74D" w14:textId="77777777" w:rsidR="001721B6" w:rsidRPr="00D77F13" w:rsidRDefault="001721B6" w:rsidP="00273B2B">
            <w:pPr>
              <w:spacing w:before="120"/>
              <w:rPr>
                <w:rFonts w:asciiTheme="minorHAnsi" w:hAnsiTheme="minorHAnsi" w:cstheme="minorHAnsi"/>
                <w:b/>
                <w:bCs/>
              </w:rPr>
            </w:pPr>
          </w:p>
        </w:tc>
        <w:tc>
          <w:tcPr>
            <w:tcW w:w="3250" w:type="dxa"/>
            <w:shd w:val="clear" w:color="auto" w:fill="E1FBFF"/>
          </w:tcPr>
          <w:p w14:paraId="3BD7627D" w14:textId="343C5A34" w:rsidR="001721B6" w:rsidRPr="008065A7" w:rsidRDefault="001721B6" w:rsidP="00273B2B">
            <w:pPr>
              <w:rPr>
                <w:rFonts w:asciiTheme="minorHAnsi" w:hAnsiTheme="minorHAnsi" w:cstheme="minorHAnsi"/>
              </w:rPr>
            </w:pPr>
            <w:r>
              <w:rPr>
                <w:rFonts w:asciiTheme="minorHAnsi" w:hAnsiTheme="minorHAnsi" w:cstheme="minorHAnsi"/>
              </w:rPr>
              <w:t xml:space="preserve">A trust relationship is </w:t>
            </w:r>
            <w:r w:rsidR="000653C2">
              <w:rPr>
                <w:rFonts w:asciiTheme="minorHAnsi" w:hAnsiTheme="minorHAnsi" w:cstheme="minorHAnsi"/>
              </w:rPr>
              <w:t>deemed</w:t>
            </w:r>
            <w:r w:rsidRPr="00A43DB6">
              <w:rPr>
                <w:rFonts w:asciiTheme="minorHAnsi" w:hAnsiTheme="minorHAnsi" w:cstheme="minorHAnsi"/>
              </w:rPr>
              <w:t xml:space="preserve"> between a CCIV, the business, assets and liabilities </w:t>
            </w:r>
            <w:r w:rsidR="00892B09">
              <w:rPr>
                <w:rFonts w:asciiTheme="minorHAnsi" w:hAnsiTheme="minorHAnsi" w:cstheme="minorHAnsi"/>
              </w:rPr>
              <w:t>referable to</w:t>
            </w:r>
            <w:r w:rsidR="00892B09" w:rsidRPr="00A43DB6">
              <w:rPr>
                <w:rFonts w:asciiTheme="minorHAnsi" w:hAnsiTheme="minorHAnsi" w:cstheme="minorHAnsi"/>
              </w:rPr>
              <w:t xml:space="preserve"> </w:t>
            </w:r>
            <w:r w:rsidRPr="00A43DB6">
              <w:rPr>
                <w:rFonts w:asciiTheme="minorHAnsi" w:hAnsiTheme="minorHAnsi" w:cstheme="minorHAnsi"/>
              </w:rPr>
              <w:t>a sub-fund</w:t>
            </w:r>
            <w:r w:rsidR="000653C2">
              <w:rPr>
                <w:rFonts w:asciiTheme="minorHAnsi" w:hAnsiTheme="minorHAnsi" w:cstheme="minorHAnsi"/>
              </w:rPr>
              <w:t>,</w:t>
            </w:r>
            <w:r w:rsidRPr="00A43DB6">
              <w:rPr>
                <w:rFonts w:asciiTheme="minorHAnsi" w:hAnsiTheme="minorHAnsi" w:cstheme="minorHAnsi"/>
              </w:rPr>
              <w:t xml:space="preserve"> and the relevant class of members</w:t>
            </w:r>
            <w:r w:rsidR="000653C2">
              <w:rPr>
                <w:rFonts w:asciiTheme="minorHAnsi" w:hAnsiTheme="minorHAnsi" w:cstheme="minorHAnsi"/>
              </w:rPr>
              <w:t>,</w:t>
            </w:r>
            <w:r w:rsidRPr="00A43DB6">
              <w:rPr>
                <w:rFonts w:asciiTheme="minorHAnsi" w:hAnsiTheme="minorHAnsi" w:cstheme="minorHAnsi"/>
              </w:rPr>
              <w:t xml:space="preserve"> for the purposes of all taxation laws</w:t>
            </w:r>
            <w:r w:rsidR="000653C2">
              <w:rPr>
                <w:rFonts w:asciiTheme="minorHAnsi" w:hAnsiTheme="minorHAnsi" w:cstheme="minorHAnsi"/>
              </w:rPr>
              <w:t xml:space="preserve"> (unless specifically excluded)</w:t>
            </w:r>
            <w:r w:rsidRPr="00A43DB6">
              <w:rPr>
                <w:rFonts w:asciiTheme="minorHAnsi" w:hAnsiTheme="minorHAnsi" w:cstheme="minorHAnsi"/>
              </w:rPr>
              <w:t>. All taxation laws apply to the CCIV sub-fund trust rather than to the CCIV as a company</w:t>
            </w:r>
            <w:r>
              <w:rPr>
                <w:rFonts w:asciiTheme="minorHAnsi" w:hAnsiTheme="minorHAnsi" w:cstheme="minorHAnsi"/>
              </w:rPr>
              <w:t>.</w:t>
            </w:r>
          </w:p>
        </w:tc>
        <w:tc>
          <w:tcPr>
            <w:tcW w:w="3250" w:type="dxa"/>
            <w:shd w:val="clear" w:color="auto" w:fill="auto"/>
          </w:tcPr>
          <w:p w14:paraId="50EA341E" w14:textId="5566FCCC" w:rsidR="001721B6" w:rsidRPr="00E24267" w:rsidRDefault="00FD6D03" w:rsidP="00273B2B">
            <w:pPr>
              <w:rPr>
                <w:rFonts w:asciiTheme="minorHAnsi" w:hAnsiTheme="minorHAnsi" w:cstheme="minorHAnsi"/>
              </w:rPr>
            </w:pPr>
            <w:r w:rsidRPr="00E24267">
              <w:rPr>
                <w:rFonts w:asciiTheme="minorHAnsi" w:hAnsiTheme="minorHAnsi" w:cstheme="minorHAnsi"/>
              </w:rPr>
              <w:t>Exposure draft legislation and associated explanatory materials</w:t>
            </w:r>
            <w:r w:rsidR="00CC1F0C">
              <w:rPr>
                <w:rFonts w:asciiTheme="minorHAnsi" w:hAnsiTheme="minorHAnsi" w:cstheme="minorHAnsi"/>
              </w:rPr>
              <w:t>.</w:t>
            </w:r>
          </w:p>
        </w:tc>
      </w:tr>
      <w:tr w:rsidR="00653AB8" w:rsidRPr="00D77F13" w14:paraId="74A2AB55" w14:textId="77777777" w:rsidTr="00273B2B">
        <w:trPr>
          <w:cantSplit/>
          <w:trHeight w:val="340"/>
          <w:tblHeader/>
        </w:trPr>
        <w:tc>
          <w:tcPr>
            <w:tcW w:w="3142" w:type="dxa"/>
            <w:shd w:val="clear" w:color="auto" w:fill="auto"/>
          </w:tcPr>
          <w:p w14:paraId="586BEA5C" w14:textId="2E1B0E22" w:rsidR="00653AB8" w:rsidRDefault="000A0E09" w:rsidP="00653AB8">
            <w:pPr>
              <w:pStyle w:val="Bullet"/>
              <w:numPr>
                <w:ilvl w:val="0"/>
                <w:numId w:val="0"/>
              </w:numPr>
              <w:spacing w:before="60" w:after="60"/>
              <w:rPr>
                <w:szCs w:val="22"/>
              </w:rPr>
            </w:pPr>
            <w:r>
              <w:rPr>
                <w:szCs w:val="22"/>
              </w:rPr>
              <w:t xml:space="preserve">‘Unders’ and ‘Overs’ </w:t>
            </w:r>
            <w:r w:rsidR="00906BAE">
              <w:rPr>
                <w:szCs w:val="22"/>
              </w:rPr>
              <w:t xml:space="preserve">– </w:t>
            </w:r>
            <w:r w:rsidR="000E7F92">
              <w:rPr>
                <w:szCs w:val="22"/>
              </w:rPr>
              <w:t>p</w:t>
            </w:r>
            <w:r w:rsidR="00653AB8" w:rsidRPr="00D322BC">
              <w:rPr>
                <w:szCs w:val="22"/>
              </w:rPr>
              <w:t>enalty</w:t>
            </w:r>
          </w:p>
          <w:p w14:paraId="5EDA282C" w14:textId="445008AB" w:rsidR="00653AB8" w:rsidRPr="00A43DB6" w:rsidRDefault="00653AB8" w:rsidP="00653AB8">
            <w:pPr>
              <w:pStyle w:val="Bullet"/>
              <w:numPr>
                <w:ilvl w:val="0"/>
                <w:numId w:val="0"/>
              </w:numPr>
              <w:spacing w:before="60" w:after="60"/>
              <w:rPr>
                <w:rFonts w:asciiTheme="minorHAnsi" w:hAnsiTheme="minorHAnsi" w:cstheme="minorHAnsi"/>
              </w:rPr>
            </w:pPr>
            <w:r w:rsidRPr="00D322BC">
              <w:rPr>
                <w:szCs w:val="22"/>
              </w:rPr>
              <w:t>A</w:t>
            </w:r>
            <w:r w:rsidR="00C42D6F">
              <w:rPr>
                <w:szCs w:val="22"/>
              </w:rPr>
              <w:t xml:space="preserve"> specific </w:t>
            </w:r>
            <w:r w:rsidRPr="00D322BC">
              <w:rPr>
                <w:szCs w:val="22"/>
              </w:rPr>
              <w:t>administrative penalty for</w:t>
            </w:r>
            <w:r w:rsidR="00850F2B">
              <w:rPr>
                <w:szCs w:val="22"/>
              </w:rPr>
              <w:t xml:space="preserve"> </w:t>
            </w:r>
            <w:r w:rsidRPr="00D322BC">
              <w:rPr>
                <w:szCs w:val="22"/>
              </w:rPr>
              <w:t xml:space="preserve">AMITs and CCIVs resulting from failure to take reasonable care to comply with a taxation law. </w:t>
            </w:r>
          </w:p>
        </w:tc>
        <w:tc>
          <w:tcPr>
            <w:tcW w:w="3250" w:type="dxa"/>
            <w:shd w:val="clear" w:color="auto" w:fill="E1FBFF"/>
          </w:tcPr>
          <w:p w14:paraId="51101628" w14:textId="22F0C523" w:rsidR="0081302C" w:rsidRDefault="00653AB8" w:rsidP="00653AB8">
            <w:pPr>
              <w:rPr>
                <w:szCs w:val="22"/>
              </w:rPr>
            </w:pPr>
            <w:r>
              <w:rPr>
                <w:szCs w:val="22"/>
              </w:rPr>
              <w:t>Not applicable</w:t>
            </w:r>
            <w:r w:rsidR="007F6778">
              <w:rPr>
                <w:szCs w:val="22"/>
              </w:rPr>
              <w:t xml:space="preserve"> – the CCIV tax regime </w:t>
            </w:r>
            <w:r w:rsidR="007F6778" w:rsidRPr="007F6778">
              <w:rPr>
                <w:szCs w:val="22"/>
                <w:u w:val="single"/>
              </w:rPr>
              <w:t>does not</w:t>
            </w:r>
            <w:r w:rsidR="007F6778">
              <w:rPr>
                <w:szCs w:val="22"/>
              </w:rPr>
              <w:t xml:space="preserve"> introduce a</w:t>
            </w:r>
            <w:r w:rsidR="00C42D6F">
              <w:rPr>
                <w:szCs w:val="22"/>
              </w:rPr>
              <w:t xml:space="preserve"> specific </w:t>
            </w:r>
            <w:r w:rsidR="007F6778">
              <w:rPr>
                <w:szCs w:val="22"/>
              </w:rPr>
              <w:t xml:space="preserve">administrative penalty in relation to the </w:t>
            </w:r>
            <w:r w:rsidR="000A0E09">
              <w:rPr>
                <w:szCs w:val="22"/>
              </w:rPr>
              <w:t>‘</w:t>
            </w:r>
            <w:r w:rsidR="007F6778">
              <w:rPr>
                <w:szCs w:val="22"/>
              </w:rPr>
              <w:t>unders</w:t>
            </w:r>
            <w:r w:rsidR="000A0E09">
              <w:rPr>
                <w:szCs w:val="22"/>
              </w:rPr>
              <w:t>’</w:t>
            </w:r>
            <w:r w:rsidR="007F6778">
              <w:rPr>
                <w:szCs w:val="22"/>
              </w:rPr>
              <w:t xml:space="preserve"> and </w:t>
            </w:r>
            <w:r w:rsidR="000A0E09">
              <w:rPr>
                <w:szCs w:val="22"/>
              </w:rPr>
              <w:t>‘</w:t>
            </w:r>
            <w:r w:rsidR="007F6778">
              <w:rPr>
                <w:szCs w:val="22"/>
              </w:rPr>
              <w:t>overs</w:t>
            </w:r>
            <w:r w:rsidR="000A0E09">
              <w:rPr>
                <w:szCs w:val="22"/>
              </w:rPr>
              <w:t>’</w:t>
            </w:r>
            <w:r w:rsidR="007F6778">
              <w:rPr>
                <w:szCs w:val="22"/>
              </w:rPr>
              <w:t xml:space="preserve"> regime</w:t>
            </w:r>
            <w:r w:rsidR="0023588F">
              <w:rPr>
                <w:szCs w:val="22"/>
              </w:rPr>
              <w:t>.</w:t>
            </w:r>
            <w:r>
              <w:rPr>
                <w:szCs w:val="22"/>
              </w:rPr>
              <w:t xml:space="preserve"> </w:t>
            </w:r>
          </w:p>
          <w:p w14:paraId="724411F3" w14:textId="1D70F998" w:rsidR="00653AB8" w:rsidRDefault="00653AB8" w:rsidP="00653AB8">
            <w:pPr>
              <w:rPr>
                <w:rFonts w:asciiTheme="minorHAnsi" w:hAnsiTheme="minorHAnsi" w:cstheme="minorHAnsi"/>
              </w:rPr>
            </w:pPr>
          </w:p>
        </w:tc>
        <w:tc>
          <w:tcPr>
            <w:tcW w:w="3250" w:type="dxa"/>
            <w:shd w:val="clear" w:color="auto" w:fill="auto"/>
          </w:tcPr>
          <w:p w14:paraId="38717BAF" w14:textId="6E207C19" w:rsidR="00653AB8" w:rsidRPr="00E24267" w:rsidRDefault="00653AB8" w:rsidP="00653AB8">
            <w:pPr>
              <w:rPr>
                <w:rFonts w:asciiTheme="minorHAnsi" w:hAnsiTheme="minorHAnsi" w:cstheme="minorHAnsi"/>
              </w:rPr>
            </w:pPr>
            <w:r w:rsidRPr="00E24267">
              <w:rPr>
                <w:rFonts w:asciiTheme="minorHAnsi" w:hAnsiTheme="minorHAnsi" w:cstheme="minorHAnsi"/>
              </w:rPr>
              <w:t>Exposure draft legislation and associated explanatory materials</w:t>
            </w:r>
          </w:p>
        </w:tc>
      </w:tr>
      <w:bookmarkEnd w:id="4"/>
    </w:tbl>
    <w:p w14:paraId="332CA7B4" w14:textId="77777777" w:rsidR="001721B6" w:rsidRDefault="001721B6">
      <w:pPr>
        <w:spacing w:after="0"/>
        <w:rPr>
          <w:b/>
        </w:rPr>
      </w:pPr>
      <w:r>
        <w:rPr>
          <w:b/>
        </w:rPr>
        <w:br w:type="page"/>
      </w:r>
    </w:p>
    <w:p w14:paraId="4B7F79D6" w14:textId="2115E6A4" w:rsidR="00782473" w:rsidRPr="00E033A9" w:rsidRDefault="00282970" w:rsidP="00E033A9">
      <w:pPr>
        <w:spacing w:after="0"/>
        <w:rPr>
          <w:b/>
        </w:rPr>
      </w:pPr>
      <w:r w:rsidRPr="00E033A9">
        <w:rPr>
          <w:b/>
        </w:rPr>
        <w:lastRenderedPageBreak/>
        <w:t xml:space="preserve">Attachment A – Overview of the </w:t>
      </w:r>
      <w:r w:rsidR="00FA023F">
        <w:rPr>
          <w:b/>
        </w:rPr>
        <w:t>regulatory framework for CCIVs</w:t>
      </w:r>
    </w:p>
    <w:p w14:paraId="603DF7BE" w14:textId="44562FE1" w:rsidR="00FA023F" w:rsidRDefault="00FA023F" w:rsidP="00E033A9">
      <w:pPr>
        <w:spacing w:after="0"/>
        <w:rPr>
          <w:b/>
        </w:rPr>
      </w:pPr>
    </w:p>
    <w:p w14:paraId="794B871B" w14:textId="1F23A4D2" w:rsidR="00127B30" w:rsidRDefault="00FA023F" w:rsidP="00E033A9">
      <w:pPr>
        <w:spacing w:after="0"/>
        <w:rPr>
          <w:bCs/>
        </w:rPr>
      </w:pPr>
      <w:r>
        <w:rPr>
          <w:bCs/>
        </w:rPr>
        <w:t xml:space="preserve">This Attachment sets out an overview of the </w:t>
      </w:r>
      <w:r w:rsidR="00C67745">
        <w:rPr>
          <w:bCs/>
        </w:rPr>
        <w:t>key features of the</w:t>
      </w:r>
      <w:r>
        <w:rPr>
          <w:bCs/>
        </w:rPr>
        <w:t xml:space="preserve"> regulatory framework for CCIVs – including the basic operational requirements for CCIVs that have been consulted on</w:t>
      </w:r>
      <w:r w:rsidR="00127B30">
        <w:rPr>
          <w:bCs/>
        </w:rPr>
        <w:t xml:space="preserve"> in 2018 and 2019</w:t>
      </w:r>
      <w:r>
        <w:rPr>
          <w:bCs/>
        </w:rPr>
        <w:t>.</w:t>
      </w:r>
      <w:r w:rsidR="00127B30">
        <w:rPr>
          <w:bCs/>
        </w:rPr>
        <w:t xml:space="preserve"> </w:t>
      </w:r>
    </w:p>
    <w:p w14:paraId="2D527E9E" w14:textId="77777777" w:rsidR="00127B30" w:rsidRDefault="00127B30" w:rsidP="00E033A9">
      <w:pPr>
        <w:spacing w:after="0"/>
        <w:rPr>
          <w:bCs/>
        </w:rPr>
      </w:pPr>
    </w:p>
    <w:tbl>
      <w:tblPr>
        <w:tblStyle w:val="TableGrid"/>
        <w:tblW w:w="9750" w:type="dxa"/>
        <w:tblBorders>
          <w:top w:val="single" w:sz="8" w:space="0" w:color="00ABBD" w:themeColor="accent6"/>
          <w:left w:val="single" w:sz="8" w:space="0" w:color="00ABBD" w:themeColor="accent6"/>
          <w:bottom w:val="single" w:sz="8" w:space="0" w:color="00ABBD" w:themeColor="accent6"/>
          <w:right w:val="single" w:sz="8" w:space="0" w:color="00ABBD" w:themeColor="accent6"/>
          <w:insideH w:val="single" w:sz="8" w:space="0" w:color="00ABBD" w:themeColor="accent6"/>
          <w:insideV w:val="single" w:sz="8" w:space="0" w:color="00ABBD" w:themeColor="accent6"/>
        </w:tblBorders>
        <w:tblLayout w:type="fixed"/>
        <w:tblLook w:val="04A0" w:firstRow="1" w:lastRow="0" w:firstColumn="1" w:lastColumn="0" w:noHBand="0" w:noVBand="1"/>
      </w:tblPr>
      <w:tblGrid>
        <w:gridCol w:w="3510"/>
        <w:gridCol w:w="1134"/>
        <w:gridCol w:w="5106"/>
      </w:tblGrid>
      <w:tr w:rsidR="00127B30" w:rsidRPr="00FC5CFB" w14:paraId="4A860447" w14:textId="77777777" w:rsidTr="00127B30">
        <w:trPr>
          <w:cantSplit/>
          <w:trHeight w:val="340"/>
          <w:tblHeader/>
        </w:trPr>
        <w:tc>
          <w:tcPr>
            <w:tcW w:w="3510" w:type="dxa"/>
            <w:shd w:val="clear" w:color="auto" w:fill="00ABBD" w:themeFill="accent6"/>
            <w:vAlign w:val="center"/>
          </w:tcPr>
          <w:p w14:paraId="246CCDE2" w14:textId="77777777" w:rsidR="00127B30" w:rsidRPr="00FC5CFB" w:rsidRDefault="00127B30" w:rsidP="00127B30">
            <w:pPr>
              <w:rPr>
                <w:b/>
                <w:color w:val="FFFFFF" w:themeColor="background1"/>
              </w:rPr>
            </w:pPr>
            <w:r w:rsidRPr="00FC5CFB">
              <w:rPr>
                <w:b/>
                <w:color w:val="FFFFFF" w:themeColor="background1"/>
              </w:rPr>
              <w:t>Issue</w:t>
            </w:r>
          </w:p>
        </w:tc>
        <w:tc>
          <w:tcPr>
            <w:tcW w:w="1134" w:type="dxa"/>
            <w:shd w:val="clear" w:color="auto" w:fill="00ABBD" w:themeFill="accent6"/>
            <w:vAlign w:val="center"/>
          </w:tcPr>
          <w:p w14:paraId="7D232C11" w14:textId="77777777" w:rsidR="00127B30" w:rsidRPr="00FC5CFB" w:rsidRDefault="00127B30" w:rsidP="00127B30">
            <w:pPr>
              <w:rPr>
                <w:b/>
                <w:color w:val="FFFFFF" w:themeColor="background1"/>
              </w:rPr>
            </w:pPr>
            <w:r w:rsidRPr="00FC5CFB">
              <w:rPr>
                <w:b/>
                <w:color w:val="FFFFFF" w:themeColor="background1"/>
              </w:rPr>
              <w:t>Bill ref.</w:t>
            </w:r>
          </w:p>
        </w:tc>
        <w:tc>
          <w:tcPr>
            <w:tcW w:w="5106" w:type="dxa"/>
            <w:shd w:val="clear" w:color="auto" w:fill="00ABBD" w:themeFill="accent6"/>
            <w:vAlign w:val="center"/>
          </w:tcPr>
          <w:p w14:paraId="495E87A1" w14:textId="2C4133A5" w:rsidR="00127B30" w:rsidRPr="00FC5CFB" w:rsidRDefault="00EF1ABF" w:rsidP="00127B30">
            <w:pPr>
              <w:rPr>
                <w:b/>
                <w:color w:val="FFFFFF" w:themeColor="background1"/>
              </w:rPr>
            </w:pPr>
            <w:r>
              <w:rPr>
                <w:b/>
                <w:color w:val="FFFFFF" w:themeColor="background1"/>
              </w:rPr>
              <w:t>Overview</w:t>
            </w:r>
          </w:p>
        </w:tc>
      </w:tr>
      <w:tr w:rsidR="00127B30" w14:paraId="11F26D16" w14:textId="77777777" w:rsidTr="00127B30">
        <w:trPr>
          <w:cantSplit/>
        </w:trPr>
        <w:tc>
          <w:tcPr>
            <w:tcW w:w="4644" w:type="dxa"/>
            <w:gridSpan w:val="2"/>
          </w:tcPr>
          <w:p w14:paraId="125EFB00" w14:textId="77777777" w:rsidR="00127B30" w:rsidRPr="006C5237" w:rsidRDefault="00127B30" w:rsidP="00127B30">
            <w:pPr>
              <w:rPr>
                <w:b/>
              </w:rPr>
            </w:pPr>
            <w:r w:rsidRPr="006C5237">
              <w:rPr>
                <w:b/>
              </w:rPr>
              <w:t>What is a corporate collective investment vehicle (CCIV)?</w:t>
            </w:r>
          </w:p>
        </w:tc>
        <w:tc>
          <w:tcPr>
            <w:tcW w:w="5106" w:type="dxa"/>
            <w:vMerge w:val="restart"/>
          </w:tcPr>
          <w:p w14:paraId="60CFF55B" w14:textId="77777777" w:rsidR="00127B30" w:rsidRDefault="00127B30" w:rsidP="00127B30">
            <w:r>
              <w:t xml:space="preserve">A CCIV is a new type of company that is limited by shares and has as its director a public company with an </w:t>
            </w:r>
            <w:r w:rsidRPr="003C69FC">
              <w:t>AFSL</w:t>
            </w:r>
            <w:r>
              <w:t xml:space="preserve"> authorising it to operate the business and conduct the affairs of the CCIV (the corporate director).</w:t>
            </w:r>
          </w:p>
          <w:p w14:paraId="25049367" w14:textId="77777777" w:rsidR="00127B30" w:rsidRDefault="00127B30" w:rsidP="00127B30">
            <w:r>
              <w:t>A CCIV must have at least one sub-fund. The CCIV, and each sub-fund of the CCIV, must have at least one member.</w:t>
            </w:r>
          </w:p>
          <w:p w14:paraId="3B97AD1C" w14:textId="77777777" w:rsidR="00127B30" w:rsidRDefault="00127B30" w:rsidP="00127B30">
            <w:r>
              <w:t xml:space="preserve">A CCIV may either be retail or wholesale, with retail CCIVs subject to a comprehensive regulatory framework that encompasses protections that are necessary for retail investors. </w:t>
            </w:r>
          </w:p>
          <w:p w14:paraId="50BF4B49" w14:textId="6DFF5B76" w:rsidR="00127B30" w:rsidRDefault="00127B30" w:rsidP="00127B30">
            <w:r>
              <w:t xml:space="preserve">All CCIVs must have a constitution. The constitution of </w:t>
            </w:r>
            <w:r w:rsidRPr="00F611B9">
              <w:t>a CCIV is enforceable as a statutory contract between the following parties: the CCIV, the corporate director, and each member</w:t>
            </w:r>
            <w:r>
              <w:t>. The constitution of a retail CCIV must make adequate provision for certain matters</w:t>
            </w:r>
            <w:r w:rsidR="00BB74CC">
              <w:t>.</w:t>
            </w:r>
          </w:p>
          <w:p w14:paraId="55B8145F" w14:textId="77777777" w:rsidR="00127B30" w:rsidRDefault="00127B30" w:rsidP="00127B30">
            <w:r>
              <w:t xml:space="preserve">Refer to Chapter 2 of the explanatory materials for further information. </w:t>
            </w:r>
          </w:p>
        </w:tc>
      </w:tr>
      <w:tr w:rsidR="00127B30" w14:paraId="2ADC9A6D" w14:textId="77777777" w:rsidTr="00127B30">
        <w:trPr>
          <w:cantSplit/>
        </w:trPr>
        <w:tc>
          <w:tcPr>
            <w:tcW w:w="3510" w:type="dxa"/>
          </w:tcPr>
          <w:p w14:paraId="1C4FA00A" w14:textId="77777777" w:rsidR="00127B30" w:rsidRDefault="00127B30" w:rsidP="00127B30">
            <w:pPr>
              <w:pStyle w:val="Tabletextindent"/>
            </w:pPr>
            <w:r>
              <w:t xml:space="preserve">A CCIV as a </w:t>
            </w:r>
            <w:r w:rsidRPr="00333C08">
              <w:t>new</w:t>
            </w:r>
            <w:r>
              <w:t xml:space="preserve"> type of company that is limited by shares</w:t>
            </w:r>
          </w:p>
        </w:tc>
        <w:tc>
          <w:tcPr>
            <w:tcW w:w="1134" w:type="dxa"/>
          </w:tcPr>
          <w:p w14:paraId="35BB5834" w14:textId="0DB5F44E" w:rsidR="00127B30" w:rsidRDefault="00127B30" w:rsidP="00127B30">
            <w:r>
              <w:t>12</w:t>
            </w:r>
            <w:r w:rsidR="00BB74CC">
              <w:t>2</w:t>
            </w:r>
            <w:r>
              <w:t>1</w:t>
            </w:r>
          </w:p>
        </w:tc>
        <w:tc>
          <w:tcPr>
            <w:tcW w:w="5106" w:type="dxa"/>
            <w:vMerge/>
          </w:tcPr>
          <w:p w14:paraId="6F33A20C" w14:textId="77777777" w:rsidR="00127B30" w:rsidRDefault="00127B30" w:rsidP="00127B30"/>
        </w:tc>
      </w:tr>
      <w:tr w:rsidR="00127B30" w14:paraId="510040AF" w14:textId="77777777" w:rsidTr="00127B30">
        <w:trPr>
          <w:cantSplit/>
        </w:trPr>
        <w:tc>
          <w:tcPr>
            <w:tcW w:w="3510" w:type="dxa"/>
          </w:tcPr>
          <w:p w14:paraId="6C1D0902" w14:textId="0A299BAB" w:rsidR="00127B30" w:rsidRDefault="00BB74CC" w:rsidP="00127B30">
            <w:pPr>
              <w:pStyle w:val="Tabletextindent"/>
            </w:pPr>
            <w:r>
              <w:t>CCIV registration</w:t>
            </w:r>
            <w:r w:rsidR="00127B30">
              <w:t xml:space="preserve"> requirements </w:t>
            </w:r>
          </w:p>
        </w:tc>
        <w:tc>
          <w:tcPr>
            <w:tcW w:w="1134" w:type="dxa"/>
          </w:tcPr>
          <w:p w14:paraId="30EF8185" w14:textId="230C05D9" w:rsidR="00127B30" w:rsidRDefault="00BB74CC" w:rsidP="00127B30">
            <w:r>
              <w:t>1222 – 1222H</w:t>
            </w:r>
            <w:r w:rsidR="00127B30">
              <w:t xml:space="preserve"> </w:t>
            </w:r>
          </w:p>
        </w:tc>
        <w:tc>
          <w:tcPr>
            <w:tcW w:w="5106" w:type="dxa"/>
            <w:vMerge/>
          </w:tcPr>
          <w:p w14:paraId="6F48A574" w14:textId="77777777" w:rsidR="00127B30" w:rsidRDefault="00127B30" w:rsidP="00127B30"/>
        </w:tc>
      </w:tr>
      <w:tr w:rsidR="00127B30" w14:paraId="4E47E711" w14:textId="77777777" w:rsidTr="00127B30">
        <w:trPr>
          <w:cantSplit/>
        </w:trPr>
        <w:tc>
          <w:tcPr>
            <w:tcW w:w="3510" w:type="dxa"/>
          </w:tcPr>
          <w:p w14:paraId="11BE68FF" w14:textId="77777777" w:rsidR="00127B30" w:rsidRDefault="00127B30" w:rsidP="00127B30">
            <w:pPr>
              <w:pStyle w:val="Tabletextindent"/>
            </w:pPr>
            <w:r>
              <w:t>Difference between a retail CCIV and a wholesale CCIV</w:t>
            </w:r>
          </w:p>
        </w:tc>
        <w:tc>
          <w:tcPr>
            <w:tcW w:w="1134" w:type="dxa"/>
          </w:tcPr>
          <w:p w14:paraId="50CEB5EF" w14:textId="30DDB63F" w:rsidR="00127B30" w:rsidRDefault="00127B30" w:rsidP="00127B30">
            <w:r>
              <w:t>12</w:t>
            </w:r>
            <w:r w:rsidR="00BB74CC">
              <w:t>22J – 1222M</w:t>
            </w:r>
          </w:p>
        </w:tc>
        <w:tc>
          <w:tcPr>
            <w:tcW w:w="5106" w:type="dxa"/>
            <w:vMerge/>
          </w:tcPr>
          <w:p w14:paraId="25266D9D" w14:textId="77777777" w:rsidR="00127B30" w:rsidRDefault="00127B30" w:rsidP="00127B30"/>
        </w:tc>
      </w:tr>
      <w:tr w:rsidR="00127B30" w14:paraId="7FF45ADB" w14:textId="77777777" w:rsidTr="00127B30">
        <w:trPr>
          <w:cantSplit/>
        </w:trPr>
        <w:tc>
          <w:tcPr>
            <w:tcW w:w="3510" w:type="dxa"/>
          </w:tcPr>
          <w:p w14:paraId="6B7B2FDC" w14:textId="77777777" w:rsidR="00127B30" w:rsidRDefault="00127B30" w:rsidP="00127B30">
            <w:pPr>
              <w:pStyle w:val="Tabletextindent"/>
            </w:pPr>
            <w:r>
              <w:t>Requirements for a CCIV’s constitution</w:t>
            </w:r>
          </w:p>
        </w:tc>
        <w:tc>
          <w:tcPr>
            <w:tcW w:w="1134" w:type="dxa"/>
          </w:tcPr>
          <w:p w14:paraId="6FE80859" w14:textId="4D1F1BE1" w:rsidR="00127B30" w:rsidRDefault="00BB74CC" w:rsidP="00127B30">
            <w:r>
              <w:t>1223A – 1223H</w:t>
            </w:r>
          </w:p>
        </w:tc>
        <w:tc>
          <w:tcPr>
            <w:tcW w:w="5106" w:type="dxa"/>
            <w:vMerge/>
          </w:tcPr>
          <w:p w14:paraId="3395413C" w14:textId="77777777" w:rsidR="00127B30" w:rsidRDefault="00127B30" w:rsidP="00127B30"/>
        </w:tc>
      </w:tr>
      <w:tr w:rsidR="00127B30" w14:paraId="2760E89F" w14:textId="77777777" w:rsidTr="00127B30">
        <w:trPr>
          <w:cantSplit/>
        </w:trPr>
        <w:tc>
          <w:tcPr>
            <w:tcW w:w="4644" w:type="dxa"/>
            <w:gridSpan w:val="2"/>
          </w:tcPr>
          <w:p w14:paraId="3F4C5C7F" w14:textId="77777777" w:rsidR="00127B30" w:rsidRDefault="00127B30" w:rsidP="00127B30">
            <w:r>
              <w:rPr>
                <w:b/>
              </w:rPr>
              <w:t>What is a sub-fund of a CCIV?</w:t>
            </w:r>
          </w:p>
        </w:tc>
        <w:tc>
          <w:tcPr>
            <w:tcW w:w="5106" w:type="dxa"/>
            <w:vMerge w:val="restart"/>
          </w:tcPr>
          <w:p w14:paraId="6F8555C4" w14:textId="77777777" w:rsidR="00127B30" w:rsidRDefault="00127B30" w:rsidP="00127B30">
            <w:pPr>
              <w:keepNext/>
            </w:pPr>
            <w:r>
              <w:t>The business of a CCIV must be conducted through one or more sub-funds (that is, a CCIV must have at least one sub-fund). Each part of the CCIV’s business must relate to one (and only one) sub-fund and the business of all of the CCIV’s sub-funds must, together, constitute the entire business of the CCIV.</w:t>
            </w:r>
          </w:p>
          <w:p w14:paraId="6938340A" w14:textId="77777777" w:rsidR="00127B30" w:rsidRDefault="00127B30" w:rsidP="00127B30">
            <w:pPr>
              <w:rPr>
                <w:lang w:val="en-US"/>
              </w:rPr>
            </w:pPr>
            <w:r>
              <w:t>A sub-fund is established on registration by ASIC and</w:t>
            </w:r>
            <w:r w:rsidRPr="004A22E5">
              <w:rPr>
                <w:lang w:val="en-US"/>
              </w:rPr>
              <w:t xml:space="preserve"> </w:t>
            </w:r>
            <w:r>
              <w:rPr>
                <w:lang w:val="en-US"/>
              </w:rPr>
              <w:t>is identifiable by its unique name and ARFN</w:t>
            </w:r>
            <w:r>
              <w:t xml:space="preserve">. A </w:t>
            </w:r>
            <w:r w:rsidRPr="00C65B19">
              <w:t xml:space="preserve">sub-fund </w:t>
            </w:r>
            <w:r>
              <w:t>does not have</w:t>
            </w:r>
            <w:r w:rsidRPr="00A12385">
              <w:rPr>
                <w:lang w:val="en-US"/>
              </w:rPr>
              <w:t xml:space="preserve"> legal personality</w:t>
            </w:r>
            <w:r>
              <w:rPr>
                <w:lang w:val="en-US"/>
              </w:rPr>
              <w:t>.</w:t>
            </w:r>
          </w:p>
          <w:p w14:paraId="2C315CF1" w14:textId="77777777" w:rsidR="00127B30" w:rsidRDefault="00127B30" w:rsidP="00127B30">
            <w:pPr>
              <w:rPr>
                <w:lang w:val="en-US"/>
              </w:rPr>
            </w:pPr>
            <w:r>
              <w:rPr>
                <w:lang w:val="en-US"/>
              </w:rPr>
              <w:t xml:space="preserve">Each security that is issued by a CCIV must be referable to one (and only one) sub-fund. The </w:t>
            </w:r>
            <w:r>
              <w:rPr>
                <w:lang w:val="en-US"/>
              </w:rPr>
              <w:lastRenderedPageBreak/>
              <w:t>members of a CCIV who hold one or more shares that are referable to the same sub-fund form a class of shareholders. Shares that are referable to a sub-fund may be further divided into classes.</w:t>
            </w:r>
          </w:p>
          <w:p w14:paraId="7CC7664F" w14:textId="77777777" w:rsidR="00127B30" w:rsidRDefault="00127B30" w:rsidP="00127B30">
            <w:pPr>
              <w:rPr>
                <w:lang w:val="en-US"/>
              </w:rPr>
            </w:pPr>
            <w:r>
              <w:rPr>
                <w:lang w:val="en-US"/>
              </w:rPr>
              <w:t>Consistent with the requirement for strict segregation of the business of each sub-fund of a CCIV, each asset and liability of a CCIV must be allocated to a sub-fund.</w:t>
            </w:r>
          </w:p>
          <w:p w14:paraId="6B188C33" w14:textId="7C49ADE4" w:rsidR="00127B30" w:rsidRDefault="00BB74CC" w:rsidP="00127B30">
            <w:r>
              <w:rPr>
                <w:lang w:val="en-US"/>
              </w:rPr>
              <w:t>The assets of the CCIV (and each sub-fund of the CCIV) may be held by the CCIV or another entity on trust for the CCIV.</w:t>
            </w:r>
          </w:p>
          <w:p w14:paraId="27C76455" w14:textId="392DE757" w:rsidR="00127B30" w:rsidRDefault="00127B30" w:rsidP="00127B30">
            <w:r>
              <w:t xml:space="preserve">Refer to Chapter </w:t>
            </w:r>
            <w:r w:rsidR="00DA7B36">
              <w:t>6</w:t>
            </w:r>
            <w:r>
              <w:t xml:space="preserve"> of the explanatory materials for further information.</w:t>
            </w:r>
          </w:p>
        </w:tc>
      </w:tr>
      <w:tr w:rsidR="00127B30" w14:paraId="7E4C6895" w14:textId="77777777" w:rsidTr="00127B30">
        <w:trPr>
          <w:cantSplit/>
        </w:trPr>
        <w:tc>
          <w:tcPr>
            <w:tcW w:w="3510" w:type="dxa"/>
          </w:tcPr>
          <w:p w14:paraId="4BC8EA23" w14:textId="77777777" w:rsidR="00127B30" w:rsidRDefault="00127B30" w:rsidP="00127B30">
            <w:pPr>
              <w:pStyle w:val="Tabletextindent"/>
              <w:keepNext/>
            </w:pPr>
            <w:r>
              <w:t>Meaning of a sub-fund</w:t>
            </w:r>
          </w:p>
        </w:tc>
        <w:tc>
          <w:tcPr>
            <w:tcW w:w="1134" w:type="dxa"/>
          </w:tcPr>
          <w:p w14:paraId="75CB1A67" w14:textId="4167C9F2" w:rsidR="00127B30" w:rsidRDefault="00127B30" w:rsidP="00127B30">
            <w:r>
              <w:t>12</w:t>
            </w:r>
            <w:r w:rsidR="00BB74CC">
              <w:t>22Q</w:t>
            </w:r>
          </w:p>
        </w:tc>
        <w:tc>
          <w:tcPr>
            <w:tcW w:w="5106" w:type="dxa"/>
            <w:vMerge/>
          </w:tcPr>
          <w:p w14:paraId="0BC0CB85" w14:textId="77777777" w:rsidR="00127B30" w:rsidRDefault="00127B30" w:rsidP="00127B30"/>
        </w:tc>
      </w:tr>
      <w:tr w:rsidR="00127B30" w14:paraId="0C655397" w14:textId="77777777" w:rsidTr="00127B30">
        <w:trPr>
          <w:cantSplit/>
        </w:trPr>
        <w:tc>
          <w:tcPr>
            <w:tcW w:w="3510" w:type="dxa"/>
          </w:tcPr>
          <w:p w14:paraId="54550FF8" w14:textId="34C3FD44" w:rsidR="00127B30" w:rsidRDefault="00BB74CC" w:rsidP="00127B30">
            <w:pPr>
              <w:pStyle w:val="Tabletextindent"/>
            </w:pPr>
            <w:r>
              <w:t>Sub-fund registration requirements</w:t>
            </w:r>
          </w:p>
        </w:tc>
        <w:tc>
          <w:tcPr>
            <w:tcW w:w="1134" w:type="dxa"/>
          </w:tcPr>
          <w:p w14:paraId="5E52700A" w14:textId="5F89E698" w:rsidR="00127B30" w:rsidRDefault="00127B30" w:rsidP="00127B30">
            <w:r>
              <w:t>12</w:t>
            </w:r>
            <w:r w:rsidR="00BB74CC">
              <w:t xml:space="preserve">22R – 1222ZA </w:t>
            </w:r>
          </w:p>
        </w:tc>
        <w:tc>
          <w:tcPr>
            <w:tcW w:w="5106" w:type="dxa"/>
            <w:vMerge/>
          </w:tcPr>
          <w:p w14:paraId="1BA10C66" w14:textId="77777777" w:rsidR="00127B30" w:rsidRDefault="00127B30" w:rsidP="00127B30"/>
        </w:tc>
      </w:tr>
      <w:tr w:rsidR="00127B30" w14:paraId="6538C760" w14:textId="77777777" w:rsidTr="00127B30">
        <w:trPr>
          <w:cantSplit/>
        </w:trPr>
        <w:tc>
          <w:tcPr>
            <w:tcW w:w="3510" w:type="dxa"/>
          </w:tcPr>
          <w:p w14:paraId="2644739E" w14:textId="35B2D075" w:rsidR="00127B30" w:rsidRDefault="00BB74CC" w:rsidP="00127B30">
            <w:pPr>
              <w:pStyle w:val="Tabletextindent"/>
            </w:pPr>
            <w:r>
              <w:t>Separated operation of sub-funds</w:t>
            </w:r>
          </w:p>
        </w:tc>
        <w:tc>
          <w:tcPr>
            <w:tcW w:w="1134" w:type="dxa"/>
          </w:tcPr>
          <w:p w14:paraId="2B142ADF" w14:textId="77777777" w:rsidR="00127B30" w:rsidRDefault="00127B30" w:rsidP="00127B30">
            <w:r>
              <w:t>1233B</w:t>
            </w:r>
          </w:p>
        </w:tc>
        <w:tc>
          <w:tcPr>
            <w:tcW w:w="5106" w:type="dxa"/>
            <w:vMerge/>
          </w:tcPr>
          <w:p w14:paraId="3FBD88E0" w14:textId="77777777" w:rsidR="00127B30" w:rsidRDefault="00127B30" w:rsidP="00127B30"/>
        </w:tc>
      </w:tr>
      <w:tr w:rsidR="00127B30" w14:paraId="33CEF34D" w14:textId="77777777" w:rsidTr="00127B30">
        <w:trPr>
          <w:cantSplit/>
        </w:trPr>
        <w:tc>
          <w:tcPr>
            <w:tcW w:w="3510" w:type="dxa"/>
          </w:tcPr>
          <w:p w14:paraId="4E458B16" w14:textId="25B61110" w:rsidR="00127B30" w:rsidRDefault="00BB74CC" w:rsidP="00127B30">
            <w:pPr>
              <w:pStyle w:val="Tabletextindent"/>
            </w:pPr>
            <w:r>
              <w:t>Allocation of assets and liabilities to sub-funds</w:t>
            </w:r>
          </w:p>
        </w:tc>
        <w:tc>
          <w:tcPr>
            <w:tcW w:w="1134" w:type="dxa"/>
          </w:tcPr>
          <w:p w14:paraId="5CF5A355" w14:textId="1D5787C2" w:rsidR="00127B30" w:rsidRDefault="00127B30" w:rsidP="00127B30">
            <w:r>
              <w:t>1233C</w:t>
            </w:r>
            <w:r w:rsidR="00BB74CC">
              <w:t xml:space="preserve"> – 1233P</w:t>
            </w:r>
          </w:p>
        </w:tc>
        <w:tc>
          <w:tcPr>
            <w:tcW w:w="5106" w:type="dxa"/>
            <w:vMerge/>
          </w:tcPr>
          <w:p w14:paraId="5687D3A3" w14:textId="77777777" w:rsidR="00127B30" w:rsidRDefault="00127B30" w:rsidP="00127B30"/>
        </w:tc>
      </w:tr>
      <w:tr w:rsidR="00127B30" w14:paraId="16C72DF6" w14:textId="77777777" w:rsidTr="00127B30">
        <w:trPr>
          <w:cantSplit/>
        </w:trPr>
        <w:tc>
          <w:tcPr>
            <w:tcW w:w="3510" w:type="dxa"/>
          </w:tcPr>
          <w:p w14:paraId="255897B5" w14:textId="0FC47CEF" w:rsidR="00127B30" w:rsidRDefault="00BB74CC" w:rsidP="00127B30">
            <w:pPr>
              <w:pStyle w:val="Tabletextindent"/>
            </w:pPr>
            <w:r>
              <w:t>Purposes for which assets of a sub-fund may be applied</w:t>
            </w:r>
          </w:p>
        </w:tc>
        <w:tc>
          <w:tcPr>
            <w:tcW w:w="1134" w:type="dxa"/>
          </w:tcPr>
          <w:p w14:paraId="52C0C036" w14:textId="489CC041" w:rsidR="00127B30" w:rsidRDefault="00127B30" w:rsidP="00127B30">
            <w:r>
              <w:t>12</w:t>
            </w:r>
            <w:r w:rsidR="00BB74CC">
              <w:t>33R – 1233X</w:t>
            </w:r>
          </w:p>
        </w:tc>
        <w:tc>
          <w:tcPr>
            <w:tcW w:w="5106" w:type="dxa"/>
            <w:vMerge/>
          </w:tcPr>
          <w:p w14:paraId="479AC011" w14:textId="77777777" w:rsidR="00127B30" w:rsidRDefault="00127B30" w:rsidP="00127B30"/>
        </w:tc>
      </w:tr>
      <w:tr w:rsidR="00127B30" w14:paraId="3A5200F3" w14:textId="77777777" w:rsidTr="00127B30">
        <w:trPr>
          <w:cantSplit/>
        </w:trPr>
        <w:tc>
          <w:tcPr>
            <w:tcW w:w="3510" w:type="dxa"/>
          </w:tcPr>
          <w:p w14:paraId="723AEB6A" w14:textId="0A8F584B" w:rsidR="00127B30" w:rsidRDefault="00BB74CC" w:rsidP="00127B30">
            <w:pPr>
              <w:pStyle w:val="Tabletextindent"/>
            </w:pPr>
            <w:r>
              <w:lastRenderedPageBreak/>
              <w:t>How assets of a sub-fund must be held</w:t>
            </w:r>
          </w:p>
        </w:tc>
        <w:tc>
          <w:tcPr>
            <w:tcW w:w="1134" w:type="dxa"/>
          </w:tcPr>
          <w:p w14:paraId="5966326C" w14:textId="0E309104" w:rsidR="00127B30" w:rsidRDefault="00127B30" w:rsidP="00127B30">
            <w:r>
              <w:t>1233</w:t>
            </w:r>
            <w:r w:rsidR="00BB74CC">
              <w:t>Z – 1233ZD</w:t>
            </w:r>
          </w:p>
        </w:tc>
        <w:tc>
          <w:tcPr>
            <w:tcW w:w="5106" w:type="dxa"/>
            <w:vMerge/>
          </w:tcPr>
          <w:p w14:paraId="40A94F3F" w14:textId="77777777" w:rsidR="00127B30" w:rsidRDefault="00127B30" w:rsidP="00127B30"/>
        </w:tc>
      </w:tr>
      <w:tr w:rsidR="00127B30" w14:paraId="137E6E0E" w14:textId="77777777" w:rsidTr="00127B30">
        <w:trPr>
          <w:cantSplit/>
        </w:trPr>
        <w:tc>
          <w:tcPr>
            <w:tcW w:w="4644" w:type="dxa"/>
            <w:gridSpan w:val="2"/>
          </w:tcPr>
          <w:p w14:paraId="1CAA90D0" w14:textId="44D740C0" w:rsidR="00127B30" w:rsidRDefault="00127B30" w:rsidP="00127B30">
            <w:r>
              <w:rPr>
                <w:b/>
              </w:rPr>
              <w:t>What is the corporate director of a CCIV?</w:t>
            </w:r>
          </w:p>
        </w:tc>
        <w:tc>
          <w:tcPr>
            <w:tcW w:w="5106" w:type="dxa"/>
            <w:vMerge w:val="restart"/>
          </w:tcPr>
          <w:p w14:paraId="56823B40" w14:textId="77777777" w:rsidR="00127B30" w:rsidRDefault="00127B30" w:rsidP="00127B30">
            <w:r>
              <w:t xml:space="preserve">The CCIV must have, as its sole director, a public company that holds an AFSL authorising it to operate the business and conduct the affairs of the CCIV. </w:t>
            </w:r>
          </w:p>
          <w:p w14:paraId="5D27EF39" w14:textId="77777777" w:rsidR="00127B30" w:rsidRDefault="00127B30" w:rsidP="00127B30">
            <w:r>
              <w:t>The CCIV does not have any other officers or employees other than the corporate director. The primary exception to this is any liquidator, administrator or receiver appointed to the CCIV.</w:t>
            </w:r>
          </w:p>
          <w:p w14:paraId="601149E7" w14:textId="77777777" w:rsidR="00127B30" w:rsidRDefault="00127B30" w:rsidP="00127B30">
            <w:r>
              <w:t>The corporate director of a CCIV has an obligation to operate the business and conduct the affairs of the CCIV. The corporate director must also perform the functions conferred on it by the CCIV’s constitution and the Act, as well as ensure the CCIV complies with its constitution and the Act.</w:t>
            </w:r>
          </w:p>
          <w:p w14:paraId="124D07D9" w14:textId="77777777" w:rsidR="00127B30" w:rsidRDefault="00127B30" w:rsidP="00127B30">
            <w:r>
              <w:t xml:space="preserve">The corporate director of a CCIV may exercise all of the powers of the CCIV other than any power that must be exercised in a meeting of the members of the CCIV (or a sub-fund of the CCIV). </w:t>
            </w:r>
          </w:p>
          <w:p w14:paraId="3032DD02" w14:textId="6C85A885" w:rsidR="00127B30" w:rsidRDefault="00127B30" w:rsidP="00127B30">
            <w:r>
              <w:t>The corporate director of a CCIV also owes statutory duties to the CCIV under Part 2D.1 of Chapter 2D of the Act in its capacity as an officer of the CCIV</w:t>
            </w:r>
            <w:r w:rsidR="00C67745">
              <w:t>, and to members of a CCIV under section 1224D</w:t>
            </w:r>
            <w:r>
              <w:t>.</w:t>
            </w:r>
          </w:p>
          <w:p w14:paraId="413B1AC2" w14:textId="04BD52C1" w:rsidR="00127B30" w:rsidRDefault="00127B30" w:rsidP="00127B30">
            <w:r>
              <w:t xml:space="preserve">Refer to Chapter </w:t>
            </w:r>
            <w:r w:rsidR="00C67745">
              <w:t>3</w:t>
            </w:r>
            <w:r>
              <w:t xml:space="preserve"> of the explanatory materials for further detail.</w:t>
            </w:r>
          </w:p>
        </w:tc>
      </w:tr>
      <w:tr w:rsidR="00127B30" w14:paraId="5D05712F" w14:textId="77777777" w:rsidTr="00127B30">
        <w:trPr>
          <w:cantSplit/>
        </w:trPr>
        <w:tc>
          <w:tcPr>
            <w:tcW w:w="3510" w:type="dxa"/>
          </w:tcPr>
          <w:p w14:paraId="7450BFF0" w14:textId="77777777" w:rsidR="00127B30" w:rsidRDefault="00127B30" w:rsidP="00127B30">
            <w:pPr>
              <w:pStyle w:val="Tabletextindent"/>
            </w:pPr>
            <w:r>
              <w:t>Corporate director of the CCIV</w:t>
            </w:r>
          </w:p>
        </w:tc>
        <w:tc>
          <w:tcPr>
            <w:tcW w:w="1134" w:type="dxa"/>
          </w:tcPr>
          <w:p w14:paraId="58E04482" w14:textId="25A8EC4C" w:rsidR="00127B30" w:rsidRDefault="00DA7B36" w:rsidP="00127B30">
            <w:r>
              <w:t>1224; 1224F – 1224Q</w:t>
            </w:r>
          </w:p>
        </w:tc>
        <w:tc>
          <w:tcPr>
            <w:tcW w:w="5106" w:type="dxa"/>
            <w:vMerge/>
          </w:tcPr>
          <w:p w14:paraId="2EB125D7" w14:textId="77777777" w:rsidR="00127B30" w:rsidRDefault="00127B30" w:rsidP="00127B30"/>
        </w:tc>
      </w:tr>
      <w:tr w:rsidR="00127B30" w14:paraId="3467BA81" w14:textId="77777777" w:rsidTr="00127B30">
        <w:trPr>
          <w:cantSplit/>
        </w:trPr>
        <w:tc>
          <w:tcPr>
            <w:tcW w:w="3510" w:type="dxa"/>
          </w:tcPr>
          <w:p w14:paraId="64F8A851" w14:textId="77777777" w:rsidR="00127B30" w:rsidRDefault="00127B30" w:rsidP="00127B30">
            <w:pPr>
              <w:pStyle w:val="Tabletextindent"/>
            </w:pPr>
            <w:r>
              <w:t>Restriction on appointment of other officers and employees</w:t>
            </w:r>
          </w:p>
        </w:tc>
        <w:tc>
          <w:tcPr>
            <w:tcW w:w="1134" w:type="dxa"/>
          </w:tcPr>
          <w:p w14:paraId="325E0F62" w14:textId="73BCF012" w:rsidR="00127B30" w:rsidRDefault="00127B30" w:rsidP="00127B30">
            <w:r>
              <w:t>12</w:t>
            </w:r>
            <w:r w:rsidR="00DA7B36">
              <w:t>24A</w:t>
            </w:r>
          </w:p>
        </w:tc>
        <w:tc>
          <w:tcPr>
            <w:tcW w:w="5106" w:type="dxa"/>
            <w:vMerge/>
          </w:tcPr>
          <w:p w14:paraId="5D80E1EA" w14:textId="77777777" w:rsidR="00127B30" w:rsidRDefault="00127B30" w:rsidP="00127B30"/>
        </w:tc>
      </w:tr>
      <w:tr w:rsidR="00127B30" w14:paraId="4F8E20BD" w14:textId="77777777" w:rsidTr="00127B30">
        <w:trPr>
          <w:cantSplit/>
        </w:trPr>
        <w:tc>
          <w:tcPr>
            <w:tcW w:w="3510" w:type="dxa"/>
          </w:tcPr>
          <w:p w14:paraId="0A6AC14E" w14:textId="4C872C71" w:rsidR="00127B30" w:rsidRDefault="00127B30" w:rsidP="00127B30">
            <w:pPr>
              <w:pStyle w:val="Tabletextindent"/>
            </w:pPr>
            <w:r>
              <w:t xml:space="preserve">Additional statutory duties of the corporate director of a CCIV </w:t>
            </w:r>
          </w:p>
        </w:tc>
        <w:tc>
          <w:tcPr>
            <w:tcW w:w="1134" w:type="dxa"/>
          </w:tcPr>
          <w:p w14:paraId="3C868A07" w14:textId="32BD0A0E" w:rsidR="00127B30" w:rsidRDefault="00127B30" w:rsidP="00127B30">
            <w:r>
              <w:t>1</w:t>
            </w:r>
            <w:r w:rsidR="00DA7B36">
              <w:t>224D</w:t>
            </w:r>
          </w:p>
        </w:tc>
        <w:tc>
          <w:tcPr>
            <w:tcW w:w="5106" w:type="dxa"/>
            <w:vMerge/>
          </w:tcPr>
          <w:p w14:paraId="106A0D55" w14:textId="77777777" w:rsidR="00127B30" w:rsidRDefault="00127B30" w:rsidP="00127B30"/>
        </w:tc>
      </w:tr>
      <w:tr w:rsidR="00127B30" w14:paraId="49EE5D6D" w14:textId="77777777" w:rsidTr="00127B30">
        <w:trPr>
          <w:cantSplit/>
        </w:trPr>
        <w:tc>
          <w:tcPr>
            <w:tcW w:w="3510" w:type="dxa"/>
          </w:tcPr>
          <w:p w14:paraId="6182B36F" w14:textId="57FE398E" w:rsidR="00127B30" w:rsidRDefault="00DA7B36" w:rsidP="00127B30">
            <w:pPr>
              <w:pStyle w:val="Tabletextindent"/>
            </w:pPr>
            <w:r>
              <w:t>Overarching responsibility for operation of the CCIV</w:t>
            </w:r>
          </w:p>
        </w:tc>
        <w:tc>
          <w:tcPr>
            <w:tcW w:w="1134" w:type="dxa"/>
          </w:tcPr>
          <w:p w14:paraId="6E2AA674" w14:textId="560E0D46" w:rsidR="00127B30" w:rsidRDefault="00C67745" w:rsidP="00127B30">
            <w:r>
              <w:t>1228M; 1230D – 1230H</w:t>
            </w:r>
          </w:p>
        </w:tc>
        <w:tc>
          <w:tcPr>
            <w:tcW w:w="5106" w:type="dxa"/>
            <w:vMerge/>
          </w:tcPr>
          <w:p w14:paraId="75409704" w14:textId="77777777" w:rsidR="00127B30" w:rsidRDefault="00127B30" w:rsidP="00127B30"/>
        </w:tc>
      </w:tr>
      <w:tr w:rsidR="00127B30" w14:paraId="5A253C54" w14:textId="77777777" w:rsidTr="00127B30">
        <w:trPr>
          <w:cantSplit/>
        </w:trPr>
        <w:tc>
          <w:tcPr>
            <w:tcW w:w="4644" w:type="dxa"/>
            <w:gridSpan w:val="2"/>
          </w:tcPr>
          <w:p w14:paraId="372218EF" w14:textId="16D97036" w:rsidR="00127B30" w:rsidRDefault="00127B30" w:rsidP="00127B30">
            <w:pPr>
              <w:keepNext/>
            </w:pPr>
            <w:r>
              <w:rPr>
                <w:b/>
              </w:rPr>
              <w:lastRenderedPageBreak/>
              <w:t>What are the requirements for securities of a CCIV?</w:t>
            </w:r>
          </w:p>
        </w:tc>
        <w:tc>
          <w:tcPr>
            <w:tcW w:w="5106" w:type="dxa"/>
            <w:vMerge w:val="restart"/>
          </w:tcPr>
          <w:p w14:paraId="32235B9F" w14:textId="77777777" w:rsidR="00127B30" w:rsidRDefault="00127B30" w:rsidP="00127B30">
            <w:r>
              <w:t xml:space="preserve">A CCIV </w:t>
            </w:r>
            <w:r w:rsidRPr="0043564D">
              <w:t>may issue shares and debentures, provided that the security is referable to only one sub-fund.</w:t>
            </w:r>
            <w:r>
              <w:t xml:space="preserve"> </w:t>
            </w:r>
          </w:p>
          <w:p w14:paraId="117EB197" w14:textId="2EB28582" w:rsidR="00127B30" w:rsidRDefault="00127B30" w:rsidP="00127B30">
            <w:r>
              <w:t>The CCIV may issue ordinary shares which are liable to be redeemed (‘redeemable shares’). These shares can be redeemed if the redemption does not result in the sub-fund to which the shares are referable becoming insolvent and certain other conditions are satisfied.</w:t>
            </w:r>
          </w:p>
          <w:p w14:paraId="73FB6984" w14:textId="77777777" w:rsidR="00C67745" w:rsidRDefault="00127B30" w:rsidP="00127B30">
            <w:r w:rsidRPr="00052C7C">
              <w:t>CCIVs may pay dividends, redeem redeemable preference shares and reduce their share capital in a similar way to other companies. Some modifications have been made to these rules to apply them at the sub-fund level.</w:t>
            </w:r>
          </w:p>
          <w:p w14:paraId="446FA4A1" w14:textId="123CE3CD" w:rsidR="00127B30" w:rsidRDefault="00C67745" w:rsidP="00B45213">
            <w:pPr>
              <w:spacing w:after="0"/>
            </w:pPr>
            <w:r>
              <w:t>The sub-funds of a CCIV may cross-invest. That is, a CCIV may acquire, in respect of one sub-fund, shares that are referable to another sub-fund of the CCIV. A CCIV is generally prohibited from acquiring any other shares in itself.</w:t>
            </w:r>
          </w:p>
          <w:p w14:paraId="6892932E" w14:textId="6521803E" w:rsidR="00127B30" w:rsidRDefault="00127B30" w:rsidP="00B45213">
            <w:pPr>
              <w:spacing w:after="0"/>
            </w:pPr>
            <w:r>
              <w:t xml:space="preserve">Refer to Chapter </w:t>
            </w:r>
            <w:r w:rsidR="00C67745">
              <w:t>4</w:t>
            </w:r>
            <w:r>
              <w:t xml:space="preserve"> of the explanatory materials for further information.</w:t>
            </w:r>
          </w:p>
        </w:tc>
      </w:tr>
      <w:tr w:rsidR="00127B30" w14:paraId="39E371FD" w14:textId="77777777" w:rsidTr="00127B30">
        <w:trPr>
          <w:cantSplit/>
        </w:trPr>
        <w:tc>
          <w:tcPr>
            <w:tcW w:w="3510" w:type="dxa"/>
          </w:tcPr>
          <w:p w14:paraId="61883C94" w14:textId="4C910DBC" w:rsidR="00127B30" w:rsidRDefault="00127B30" w:rsidP="00127B30">
            <w:pPr>
              <w:pStyle w:val="Tabletextindent"/>
              <w:keepNext/>
            </w:pPr>
            <w:r>
              <w:t xml:space="preserve">Issuing shares </w:t>
            </w:r>
            <w:r w:rsidR="00485A0F">
              <w:t xml:space="preserve">and debentures </w:t>
            </w:r>
            <w:r>
              <w:t>in a CCIV</w:t>
            </w:r>
          </w:p>
        </w:tc>
        <w:tc>
          <w:tcPr>
            <w:tcW w:w="1134" w:type="dxa"/>
          </w:tcPr>
          <w:p w14:paraId="4288E058" w14:textId="5DB476B1" w:rsidR="00127B30" w:rsidRDefault="00127B30" w:rsidP="00127B30">
            <w:pPr>
              <w:keepNext/>
            </w:pPr>
            <w:r>
              <w:t>12</w:t>
            </w:r>
            <w:r w:rsidR="00485A0F">
              <w:t>31 – 1231C; 1231ZD</w:t>
            </w:r>
          </w:p>
        </w:tc>
        <w:tc>
          <w:tcPr>
            <w:tcW w:w="5106" w:type="dxa"/>
            <w:vMerge/>
          </w:tcPr>
          <w:p w14:paraId="18135CFF" w14:textId="77777777" w:rsidR="00127B30" w:rsidRDefault="00127B30" w:rsidP="00127B30"/>
        </w:tc>
      </w:tr>
      <w:tr w:rsidR="00127B30" w14:paraId="3D9C0164" w14:textId="77777777" w:rsidTr="00127B30">
        <w:trPr>
          <w:cantSplit/>
        </w:trPr>
        <w:tc>
          <w:tcPr>
            <w:tcW w:w="3510" w:type="dxa"/>
          </w:tcPr>
          <w:p w14:paraId="485C85E7" w14:textId="6E8443B5" w:rsidR="00127B30" w:rsidRDefault="00127B30" w:rsidP="00127B30">
            <w:pPr>
              <w:pStyle w:val="Tabletextindent"/>
            </w:pPr>
            <w:r>
              <w:t>Redemption of shares</w:t>
            </w:r>
          </w:p>
        </w:tc>
        <w:tc>
          <w:tcPr>
            <w:tcW w:w="1134" w:type="dxa"/>
          </w:tcPr>
          <w:p w14:paraId="2089C34A" w14:textId="2B704BC3" w:rsidR="00127B30" w:rsidRDefault="00485A0F" w:rsidP="00127B30">
            <w:r>
              <w:t>1231D – 1231K</w:t>
            </w:r>
          </w:p>
        </w:tc>
        <w:tc>
          <w:tcPr>
            <w:tcW w:w="5106" w:type="dxa"/>
            <w:vMerge/>
          </w:tcPr>
          <w:p w14:paraId="6015C10D" w14:textId="77777777" w:rsidR="00127B30" w:rsidRDefault="00127B30" w:rsidP="00127B30"/>
        </w:tc>
      </w:tr>
      <w:tr w:rsidR="00127B30" w14:paraId="209F9BB3" w14:textId="77777777" w:rsidTr="00127B30">
        <w:trPr>
          <w:cantSplit/>
        </w:trPr>
        <w:tc>
          <w:tcPr>
            <w:tcW w:w="3510" w:type="dxa"/>
          </w:tcPr>
          <w:p w14:paraId="25200B91" w14:textId="77777777" w:rsidR="00127B30" w:rsidRDefault="00127B30" w:rsidP="00127B30">
            <w:pPr>
              <w:pStyle w:val="Tabletextindent"/>
            </w:pPr>
            <w:r>
              <w:t xml:space="preserve">Circumstances in which a CCIV may pay dividends </w:t>
            </w:r>
          </w:p>
        </w:tc>
        <w:tc>
          <w:tcPr>
            <w:tcW w:w="1134" w:type="dxa"/>
          </w:tcPr>
          <w:p w14:paraId="5968886D" w14:textId="19673C9C" w:rsidR="00127B30" w:rsidRDefault="00485A0F" w:rsidP="00127B30">
            <w:r>
              <w:t>1231M</w:t>
            </w:r>
          </w:p>
        </w:tc>
        <w:tc>
          <w:tcPr>
            <w:tcW w:w="5106" w:type="dxa"/>
            <w:vMerge/>
          </w:tcPr>
          <w:p w14:paraId="1A4693C5" w14:textId="77777777" w:rsidR="00127B30" w:rsidRDefault="00127B30" w:rsidP="00127B30"/>
        </w:tc>
      </w:tr>
      <w:tr w:rsidR="00485A0F" w14:paraId="14BEA323" w14:textId="77777777" w:rsidTr="00127B30">
        <w:trPr>
          <w:cantSplit/>
          <w:trHeight w:val="684"/>
        </w:trPr>
        <w:tc>
          <w:tcPr>
            <w:tcW w:w="3510" w:type="dxa"/>
          </w:tcPr>
          <w:p w14:paraId="4024C2B9" w14:textId="5BDAE0AE" w:rsidR="00485A0F" w:rsidRDefault="00485A0F" w:rsidP="00127B30">
            <w:pPr>
              <w:pStyle w:val="Tabletextindent"/>
            </w:pPr>
            <w:r>
              <w:t>Cross-investment between sub-funds of a CCIV</w:t>
            </w:r>
          </w:p>
        </w:tc>
        <w:tc>
          <w:tcPr>
            <w:tcW w:w="1134" w:type="dxa"/>
          </w:tcPr>
          <w:p w14:paraId="5D4EFE49" w14:textId="616D1866" w:rsidR="00485A0F" w:rsidRDefault="00485A0F" w:rsidP="00127B30">
            <w:r>
              <w:t>1231PA – 1231PF</w:t>
            </w:r>
          </w:p>
        </w:tc>
        <w:tc>
          <w:tcPr>
            <w:tcW w:w="5106" w:type="dxa"/>
            <w:vMerge/>
          </w:tcPr>
          <w:p w14:paraId="3A7E2783" w14:textId="77777777" w:rsidR="00485A0F" w:rsidRDefault="00485A0F" w:rsidP="00127B30"/>
        </w:tc>
      </w:tr>
      <w:tr w:rsidR="00127B30" w14:paraId="228331C1" w14:textId="77777777" w:rsidTr="00127B30">
        <w:trPr>
          <w:cantSplit/>
          <w:trHeight w:val="684"/>
        </w:trPr>
        <w:tc>
          <w:tcPr>
            <w:tcW w:w="3510" w:type="dxa"/>
          </w:tcPr>
          <w:p w14:paraId="75FFCA5A" w14:textId="77777777" w:rsidR="00127B30" w:rsidRDefault="00127B30" w:rsidP="00127B30">
            <w:pPr>
              <w:pStyle w:val="Tabletextindent"/>
            </w:pPr>
            <w:r>
              <w:t>Reductions in share capital and share buy-backs</w:t>
            </w:r>
          </w:p>
        </w:tc>
        <w:tc>
          <w:tcPr>
            <w:tcW w:w="1134" w:type="dxa"/>
          </w:tcPr>
          <w:p w14:paraId="7102E424" w14:textId="57A8073E" w:rsidR="00127B30" w:rsidRDefault="00485A0F" w:rsidP="00127B30">
            <w:r>
              <w:t>1231Q – 1231Y</w:t>
            </w:r>
          </w:p>
        </w:tc>
        <w:tc>
          <w:tcPr>
            <w:tcW w:w="5106" w:type="dxa"/>
            <w:vMerge/>
          </w:tcPr>
          <w:p w14:paraId="16F72640" w14:textId="77777777" w:rsidR="00127B30" w:rsidRDefault="00127B30" w:rsidP="00127B30"/>
        </w:tc>
      </w:tr>
      <w:tr w:rsidR="00127B30" w14:paraId="6E0B7326" w14:textId="77777777" w:rsidTr="00127B30">
        <w:trPr>
          <w:cantSplit/>
          <w:trHeight w:val="93"/>
        </w:trPr>
        <w:tc>
          <w:tcPr>
            <w:tcW w:w="4644" w:type="dxa"/>
            <w:gridSpan w:val="2"/>
          </w:tcPr>
          <w:p w14:paraId="68B32B7D" w14:textId="77777777" w:rsidR="00127B30" w:rsidRPr="00F04F47" w:rsidRDefault="00127B30" w:rsidP="00127B30">
            <w:pPr>
              <w:pStyle w:val="Tabletext"/>
              <w:rPr>
                <w:b/>
              </w:rPr>
            </w:pPr>
            <w:r>
              <w:rPr>
                <w:b/>
              </w:rPr>
              <w:t>External administration and deregistration of a CCIV</w:t>
            </w:r>
          </w:p>
        </w:tc>
        <w:tc>
          <w:tcPr>
            <w:tcW w:w="5106" w:type="dxa"/>
            <w:vMerge w:val="restart"/>
          </w:tcPr>
          <w:p w14:paraId="25A91941" w14:textId="704EB0A1" w:rsidR="00127B30" w:rsidRDefault="00127B30" w:rsidP="00127B30">
            <w:pPr>
              <w:pStyle w:val="Tabletext"/>
            </w:pPr>
            <w:r w:rsidRPr="00200B97">
              <w:t xml:space="preserve">The </w:t>
            </w:r>
            <w:r w:rsidR="00457F4D">
              <w:t xml:space="preserve">corporate </w:t>
            </w:r>
            <w:r w:rsidR="00D776DB">
              <w:t>insolvency</w:t>
            </w:r>
            <w:r w:rsidR="00457F4D">
              <w:t xml:space="preserve"> law applies to CCIVs on a sub</w:t>
            </w:r>
            <w:r w:rsidR="00457F4D">
              <w:noBreakHyphen/>
              <w:t xml:space="preserve">fund by sub-fund basis. That is, only the relevant sub-fund enters external administration and is affected under the process. </w:t>
            </w:r>
            <w:r w:rsidRPr="00200B97">
              <w:t>This approach preserves the segregation of assets between sub</w:t>
            </w:r>
            <w:r w:rsidRPr="00200B97">
              <w:noBreakHyphen/>
              <w:t xml:space="preserve">funds. </w:t>
            </w:r>
          </w:p>
          <w:p w14:paraId="41409268" w14:textId="77777777" w:rsidR="00127B30" w:rsidRDefault="00457F4D" w:rsidP="00B45213">
            <w:pPr>
              <w:pStyle w:val="Tabletext"/>
              <w:keepLines/>
              <w:spacing w:after="0"/>
            </w:pPr>
            <w:r>
              <w:t>Once all of the sub-funds of a CCIV have been wound up and deregistered, the CCIV is deregistered.</w:t>
            </w:r>
          </w:p>
          <w:p w14:paraId="7822E72C" w14:textId="6124B913" w:rsidR="00127B30" w:rsidRPr="001F59A1" w:rsidRDefault="00457F4D" w:rsidP="00B45213">
            <w:pPr>
              <w:pStyle w:val="Tabletext"/>
              <w:spacing w:after="0"/>
              <w:rPr>
                <w:lang w:val="en-US"/>
              </w:rPr>
            </w:pPr>
            <w:r>
              <w:t>See Chapter 7 of the explanatory materials for further information.</w:t>
            </w:r>
          </w:p>
        </w:tc>
      </w:tr>
      <w:tr w:rsidR="00127B30" w14:paraId="7EA16A03" w14:textId="77777777" w:rsidTr="00127B30">
        <w:trPr>
          <w:cantSplit/>
          <w:trHeight w:val="93"/>
        </w:trPr>
        <w:tc>
          <w:tcPr>
            <w:tcW w:w="3510" w:type="dxa"/>
          </w:tcPr>
          <w:p w14:paraId="484D75DC" w14:textId="3D6F5A5B" w:rsidR="00127B30" w:rsidRDefault="005B6EB7" w:rsidP="00127B30">
            <w:pPr>
              <w:pStyle w:val="Tabletextindent"/>
            </w:pPr>
            <w:r>
              <w:t>Application of corporate insolvency law to sub-funds</w:t>
            </w:r>
          </w:p>
        </w:tc>
        <w:tc>
          <w:tcPr>
            <w:tcW w:w="1134" w:type="dxa"/>
          </w:tcPr>
          <w:p w14:paraId="5EAF58E7" w14:textId="790CE351" w:rsidR="00127B30" w:rsidRDefault="00127B30" w:rsidP="00127B30">
            <w:pPr>
              <w:pStyle w:val="Tabletext"/>
            </w:pPr>
            <w:r>
              <w:t>1</w:t>
            </w:r>
            <w:r w:rsidR="005B6EB7">
              <w:t>235; Part 8B.6</w:t>
            </w:r>
          </w:p>
        </w:tc>
        <w:tc>
          <w:tcPr>
            <w:tcW w:w="5106" w:type="dxa"/>
            <w:vMerge/>
          </w:tcPr>
          <w:p w14:paraId="07F289E9" w14:textId="77777777" w:rsidR="00127B30" w:rsidRDefault="00127B30" w:rsidP="00127B30">
            <w:pPr>
              <w:pStyle w:val="Tabletext"/>
            </w:pPr>
          </w:p>
        </w:tc>
      </w:tr>
      <w:tr w:rsidR="00457F4D" w14:paraId="4AF71099" w14:textId="77777777" w:rsidTr="00127B30">
        <w:trPr>
          <w:cantSplit/>
          <w:trHeight w:val="93"/>
        </w:trPr>
        <w:tc>
          <w:tcPr>
            <w:tcW w:w="3510" w:type="dxa"/>
          </w:tcPr>
          <w:p w14:paraId="2241FB3C" w14:textId="7705715E" w:rsidR="00457F4D" w:rsidRDefault="00457F4D" w:rsidP="00127B30">
            <w:pPr>
              <w:pStyle w:val="Tabletextindent"/>
            </w:pPr>
            <w:r>
              <w:t>Deregistration of sub-funds and CCIVs</w:t>
            </w:r>
          </w:p>
        </w:tc>
        <w:tc>
          <w:tcPr>
            <w:tcW w:w="1134" w:type="dxa"/>
          </w:tcPr>
          <w:p w14:paraId="584FF70D" w14:textId="6AE3092E" w:rsidR="00457F4D" w:rsidRDefault="00457F4D" w:rsidP="00127B30">
            <w:pPr>
              <w:pStyle w:val="Tabletext"/>
            </w:pPr>
            <w:r>
              <w:t>1242 – 1242N</w:t>
            </w:r>
          </w:p>
        </w:tc>
        <w:tc>
          <w:tcPr>
            <w:tcW w:w="5106" w:type="dxa"/>
            <w:vMerge/>
          </w:tcPr>
          <w:p w14:paraId="0EC587CA" w14:textId="77777777" w:rsidR="00457F4D" w:rsidRDefault="00457F4D" w:rsidP="00127B30">
            <w:pPr>
              <w:pStyle w:val="Tabletext"/>
            </w:pPr>
          </w:p>
        </w:tc>
      </w:tr>
      <w:tr w:rsidR="00127B30" w14:paraId="36422B5A" w14:textId="77777777" w:rsidTr="00127B30">
        <w:trPr>
          <w:cantSplit/>
          <w:trHeight w:val="93"/>
        </w:trPr>
        <w:tc>
          <w:tcPr>
            <w:tcW w:w="4644" w:type="dxa"/>
            <w:gridSpan w:val="2"/>
          </w:tcPr>
          <w:p w14:paraId="16E69F33" w14:textId="77777777" w:rsidR="00127B30" w:rsidRDefault="00127B30" w:rsidP="000A3951">
            <w:pPr>
              <w:pStyle w:val="Tabletext"/>
              <w:keepLines/>
            </w:pPr>
            <w:r>
              <w:rPr>
                <w:b/>
              </w:rPr>
              <w:t>Financial services and the AFSL regime</w:t>
            </w:r>
          </w:p>
        </w:tc>
        <w:tc>
          <w:tcPr>
            <w:tcW w:w="5106" w:type="dxa"/>
            <w:vMerge w:val="restart"/>
            <w:shd w:val="clear" w:color="auto" w:fill="auto"/>
          </w:tcPr>
          <w:p w14:paraId="327D4380" w14:textId="72F231BB" w:rsidR="00127B30" w:rsidRDefault="00887962" w:rsidP="000A3951">
            <w:pPr>
              <w:pStyle w:val="Tabletext"/>
              <w:keepLines/>
            </w:pPr>
            <w:r>
              <w:t>Any</w:t>
            </w:r>
            <w:r w:rsidR="00127B30" w:rsidRPr="00574209">
              <w:t xml:space="preserve"> action </w:t>
            </w:r>
            <w:r>
              <w:t>of</w:t>
            </w:r>
            <w:r w:rsidR="00127B30" w:rsidRPr="00574209">
              <w:t xml:space="preserve"> a CCIV relating to a financial service is deemed to also be undertaken by its corporate director. This ensures that a corporate director is required to hold an AFSL for the financial services provided in relation to the CCIV. A CCIV </w:t>
            </w:r>
            <w:r w:rsidR="00127B30">
              <w:t>is</w:t>
            </w:r>
            <w:r w:rsidR="00127B30" w:rsidRPr="00574209">
              <w:t xml:space="preserve"> always exempt from the requirement to hold an AFSL.</w:t>
            </w:r>
          </w:p>
          <w:p w14:paraId="56E60863" w14:textId="506AD3F6" w:rsidR="000A3951" w:rsidRDefault="000A3951" w:rsidP="00B45213">
            <w:pPr>
              <w:pStyle w:val="Tabletext"/>
              <w:keepLines/>
              <w:spacing w:after="0"/>
            </w:pPr>
            <w:r>
              <w:t>Consistent with the disclosure requirements for interests in registered schemes, securities in a CCIV are subject to the Product Disclosure Statement (PDS) regime. A CCIV is required to provide a PDS to retail clients who acquire a security in the CCIV.</w:t>
            </w:r>
          </w:p>
          <w:p w14:paraId="51B20A4E" w14:textId="288D1B5B" w:rsidR="00127B30" w:rsidRPr="00FC5CFB" w:rsidRDefault="000A3951" w:rsidP="00CD4BB7">
            <w:pPr>
              <w:pStyle w:val="Tabletext"/>
              <w:keepLines/>
              <w:spacing w:after="0"/>
            </w:pPr>
            <w:r>
              <w:t xml:space="preserve">See Chapter 9 of the explanatory materials for further information. </w:t>
            </w:r>
          </w:p>
        </w:tc>
      </w:tr>
      <w:tr w:rsidR="00127B30" w14:paraId="17573961" w14:textId="77777777" w:rsidTr="00127B30">
        <w:trPr>
          <w:cantSplit/>
          <w:trHeight w:val="93"/>
        </w:trPr>
        <w:tc>
          <w:tcPr>
            <w:tcW w:w="3510" w:type="dxa"/>
          </w:tcPr>
          <w:p w14:paraId="2385ED72" w14:textId="77777777" w:rsidR="00127B30" w:rsidRDefault="00127B30" w:rsidP="000A3951">
            <w:pPr>
              <w:pStyle w:val="Tabletextindent"/>
              <w:keepLines/>
            </w:pPr>
            <w:r>
              <w:t xml:space="preserve">Treatment of financial services provided by the CCIV </w:t>
            </w:r>
          </w:p>
        </w:tc>
        <w:tc>
          <w:tcPr>
            <w:tcW w:w="1134" w:type="dxa"/>
          </w:tcPr>
          <w:p w14:paraId="63F2E868" w14:textId="12E8EAA4" w:rsidR="00127B30" w:rsidRDefault="00127B30" w:rsidP="000A3951">
            <w:pPr>
              <w:pStyle w:val="Tabletext"/>
              <w:keepLines/>
            </w:pPr>
            <w:r>
              <w:t>12</w:t>
            </w:r>
            <w:r w:rsidR="00457F4D">
              <w:t>44A; 1244B</w:t>
            </w:r>
          </w:p>
        </w:tc>
        <w:tc>
          <w:tcPr>
            <w:tcW w:w="5106" w:type="dxa"/>
            <w:vMerge/>
            <w:shd w:val="clear" w:color="auto" w:fill="auto"/>
          </w:tcPr>
          <w:p w14:paraId="78CACE3F" w14:textId="77777777" w:rsidR="00127B30" w:rsidRPr="00FC5CFB" w:rsidRDefault="00127B30" w:rsidP="000A3951">
            <w:pPr>
              <w:pStyle w:val="Tabletext"/>
              <w:keepLines/>
            </w:pPr>
          </w:p>
        </w:tc>
      </w:tr>
      <w:tr w:rsidR="00127B30" w14:paraId="2595A4F3" w14:textId="77777777" w:rsidTr="00127B30">
        <w:trPr>
          <w:cantSplit/>
          <w:trHeight w:val="93"/>
        </w:trPr>
        <w:tc>
          <w:tcPr>
            <w:tcW w:w="3510" w:type="dxa"/>
          </w:tcPr>
          <w:p w14:paraId="084106B3" w14:textId="1F316408" w:rsidR="00127B30" w:rsidRPr="00814F30" w:rsidDel="00976B88" w:rsidRDefault="000A3951" w:rsidP="000A3951">
            <w:pPr>
              <w:pStyle w:val="Tabletextindent"/>
              <w:keepLines/>
              <w:rPr>
                <w:lang w:val="en-US"/>
              </w:rPr>
            </w:pPr>
            <w:r>
              <w:rPr>
                <w:lang w:val="en-US"/>
              </w:rPr>
              <w:t>Single AFSL for operation of a CCIV</w:t>
            </w:r>
          </w:p>
        </w:tc>
        <w:tc>
          <w:tcPr>
            <w:tcW w:w="1134" w:type="dxa"/>
          </w:tcPr>
          <w:p w14:paraId="41AAA6F1" w14:textId="58DB96AB" w:rsidR="00127B30" w:rsidRDefault="000A3951" w:rsidP="000A3951">
            <w:pPr>
              <w:pStyle w:val="Tabletext"/>
              <w:keepLines/>
            </w:pPr>
            <w:r>
              <w:t>1244F</w:t>
            </w:r>
          </w:p>
        </w:tc>
        <w:tc>
          <w:tcPr>
            <w:tcW w:w="5106" w:type="dxa"/>
            <w:vMerge/>
            <w:shd w:val="clear" w:color="auto" w:fill="auto"/>
          </w:tcPr>
          <w:p w14:paraId="4AD341F1" w14:textId="77777777" w:rsidR="00127B30" w:rsidRPr="00FC5CFB" w:rsidRDefault="00127B30" w:rsidP="000A3951">
            <w:pPr>
              <w:pStyle w:val="Tabletext"/>
              <w:keepLines/>
            </w:pPr>
          </w:p>
        </w:tc>
      </w:tr>
      <w:tr w:rsidR="00127B30" w14:paraId="55865CA0" w14:textId="77777777" w:rsidTr="00127B30">
        <w:trPr>
          <w:cantSplit/>
          <w:trHeight w:val="93"/>
        </w:trPr>
        <w:tc>
          <w:tcPr>
            <w:tcW w:w="3510" w:type="dxa"/>
          </w:tcPr>
          <w:p w14:paraId="78E5D56A" w14:textId="7D5B8D6E" w:rsidR="00127B30" w:rsidRDefault="000A3951" w:rsidP="00127B30">
            <w:pPr>
              <w:pStyle w:val="Tabletextindent"/>
            </w:pPr>
            <w:r>
              <w:t>Disclosure obligations</w:t>
            </w:r>
          </w:p>
        </w:tc>
        <w:tc>
          <w:tcPr>
            <w:tcW w:w="1134" w:type="dxa"/>
          </w:tcPr>
          <w:p w14:paraId="24394D3A" w14:textId="3F9122A1" w:rsidR="00127B30" w:rsidRDefault="00127B30" w:rsidP="00127B30">
            <w:pPr>
              <w:pStyle w:val="Tabletext"/>
            </w:pPr>
            <w:r>
              <w:t>12</w:t>
            </w:r>
            <w:r w:rsidR="000A3951">
              <w:t>44N – 1244Z</w:t>
            </w:r>
          </w:p>
        </w:tc>
        <w:tc>
          <w:tcPr>
            <w:tcW w:w="5106" w:type="dxa"/>
            <w:vMerge/>
            <w:shd w:val="clear" w:color="auto" w:fill="auto"/>
          </w:tcPr>
          <w:p w14:paraId="45547E84" w14:textId="77777777" w:rsidR="00127B30" w:rsidRPr="00FC5CFB" w:rsidRDefault="00127B30" w:rsidP="00127B30">
            <w:pPr>
              <w:pStyle w:val="Tabletext"/>
            </w:pPr>
          </w:p>
        </w:tc>
      </w:tr>
    </w:tbl>
    <w:p w14:paraId="6AD8F38C" w14:textId="3CF88C39" w:rsidR="00127EA6" w:rsidRPr="00C47859" w:rsidRDefault="00127EA6" w:rsidP="00B45213">
      <w:pPr>
        <w:pStyle w:val="Bullet"/>
        <w:numPr>
          <w:ilvl w:val="0"/>
          <w:numId w:val="0"/>
        </w:numPr>
        <w:spacing w:before="280" w:after="200"/>
      </w:pPr>
    </w:p>
    <w:sectPr w:rsidR="00127EA6" w:rsidRPr="00C47859" w:rsidSect="0024692E">
      <w:headerReference w:type="default" r:id="rId13"/>
      <w:footerReference w:type="default" r:id="rId14"/>
      <w:headerReference w:type="first" r:id="rId15"/>
      <w:footerReference w:type="first" r:id="rId16"/>
      <w:pgSz w:w="11906" w:h="16838"/>
      <w:pgMar w:top="2552"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BECE4" w14:textId="77777777" w:rsidR="003C0EF0" w:rsidRDefault="003C0EF0" w:rsidP="00D75494">
      <w:r>
        <w:separator/>
      </w:r>
    </w:p>
  </w:endnote>
  <w:endnote w:type="continuationSeparator" w:id="0">
    <w:p w14:paraId="27F49000" w14:textId="77777777" w:rsidR="003C0EF0" w:rsidRDefault="003C0EF0" w:rsidP="00D75494">
      <w:r>
        <w:continuationSeparator/>
      </w:r>
    </w:p>
  </w:endnote>
  <w:endnote w:type="continuationNotice" w:id="1">
    <w:p w14:paraId="326BE569" w14:textId="77777777" w:rsidR="003C0EF0" w:rsidRDefault="003C0E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88060" w14:textId="77777777" w:rsidR="003C0EF0" w:rsidRDefault="003C0EF0" w:rsidP="005E4C5E">
    <w:pPr>
      <w:pStyle w:val="Footer"/>
    </w:pPr>
    <w:r>
      <w:t xml:space="preserve">Page </w:t>
    </w: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572C5" w14:textId="77777777" w:rsidR="003C0EF0" w:rsidRDefault="003C0EF0">
    <w:pPr>
      <w:pStyle w:val="Footer"/>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7562F" w14:textId="77777777" w:rsidR="003C0EF0" w:rsidRDefault="003C0EF0" w:rsidP="00D75494">
      <w:r>
        <w:separator/>
      </w:r>
    </w:p>
  </w:footnote>
  <w:footnote w:type="continuationSeparator" w:id="0">
    <w:p w14:paraId="149FDD71" w14:textId="77777777" w:rsidR="003C0EF0" w:rsidRDefault="003C0EF0" w:rsidP="00D75494">
      <w:r>
        <w:continuationSeparator/>
      </w:r>
    </w:p>
  </w:footnote>
  <w:footnote w:type="continuationNotice" w:id="1">
    <w:p w14:paraId="7841ED52" w14:textId="77777777" w:rsidR="003C0EF0" w:rsidRDefault="003C0E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B4528" w14:textId="379D49A8" w:rsidR="003C0EF0" w:rsidRPr="005E4C5E" w:rsidRDefault="003C0EF0">
    <w:pPr>
      <w:pStyle w:val="Header"/>
      <w:rPr>
        <w:color w:val="004A80" w:themeColor="background2"/>
        <w:sz w:val="24"/>
      </w:rPr>
    </w:pPr>
    <w:r w:rsidRPr="005E4C5E">
      <w:rPr>
        <w:noProof/>
        <w:color w:val="004A80" w:themeColor="background2"/>
        <w:sz w:val="24"/>
        <w:lang w:eastAsia="en-AU"/>
      </w:rPr>
      <w:drawing>
        <wp:anchor distT="0" distB="0" distL="114300" distR="114300" simplePos="0" relativeHeight="251658240" behindDoc="1" locked="0" layoutInCell="1" allowOverlap="1" wp14:anchorId="725A3791" wp14:editId="627F7C8E">
          <wp:simplePos x="0" y="0"/>
          <wp:positionH relativeFrom="page">
            <wp:posOffset>10884</wp:posOffset>
          </wp:positionH>
          <wp:positionV relativeFrom="page">
            <wp:posOffset>0</wp:posOffset>
          </wp:positionV>
          <wp:extent cx="7560360" cy="15710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 Design Office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60" cy="1571040"/>
                  </a:xfrm>
                  <a:prstGeom prst="rect">
                    <a:avLst/>
                  </a:prstGeom>
                </pic:spPr>
              </pic:pic>
            </a:graphicData>
          </a:graphic>
          <wp14:sizeRelH relativeFrom="margin">
            <wp14:pctWidth>0</wp14:pctWidth>
          </wp14:sizeRelH>
          <wp14:sizeRelV relativeFrom="margin">
            <wp14:pctHeight>0</wp14:pctHeight>
          </wp14:sizeRelV>
        </wp:anchor>
      </w:drawing>
    </w:r>
    <w:r w:rsidRPr="005E4C5E">
      <w:rPr>
        <w:color w:val="004A80" w:themeColor="background2"/>
        <w:sz w:val="24"/>
      </w:rPr>
      <w:t xml:space="preserve">THE TREASURY: </w:t>
    </w:r>
    <w:r>
      <w:rPr>
        <w:color w:val="004A80" w:themeColor="background2"/>
        <w:sz w:val="24"/>
      </w:rPr>
      <w:t>Corporate Collective Investment Vehicles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A3E9E" w14:textId="320472D9" w:rsidR="003C0EF0" w:rsidRDefault="003C0EF0" w:rsidP="00484CA5">
    <w:pPr>
      <w:spacing w:after="0" w:line="480" w:lineRule="exact"/>
      <w:jc w:val="right"/>
    </w:pPr>
    <w:r>
      <w:rPr>
        <w:noProof/>
        <w:lang w:eastAsia="en-AU"/>
      </w:rPr>
      <w:drawing>
        <wp:anchor distT="0" distB="0" distL="114300" distR="114300" simplePos="0" relativeHeight="251658241" behindDoc="1" locked="0" layoutInCell="1" allowOverlap="1" wp14:anchorId="0B56C4CC" wp14:editId="5E4E9CAC">
          <wp:simplePos x="0" y="0"/>
          <wp:positionH relativeFrom="page">
            <wp:posOffset>-1237</wp:posOffset>
          </wp:positionH>
          <wp:positionV relativeFrom="page">
            <wp:posOffset>11298</wp:posOffset>
          </wp:positionV>
          <wp:extent cx="7560360" cy="1596240"/>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 Design Office_headercrest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60" cy="1596240"/>
                  </a:xfrm>
                  <a:prstGeom prst="rect">
                    <a:avLst/>
                  </a:prstGeom>
                </pic:spPr>
              </pic:pic>
            </a:graphicData>
          </a:graphic>
          <wp14:sizeRelH relativeFrom="margin">
            <wp14:pctWidth>0</wp14:pctWidth>
          </wp14:sizeRelH>
          <wp14:sizeRelV relativeFrom="margin">
            <wp14:pctHeight>0</wp14:pctHeight>
          </wp14:sizeRelV>
        </wp:anchor>
      </w:drawing>
    </w:r>
    <w:r w:rsidRPr="000505BE">
      <w:rPr>
        <w:color w:val="004A80" w:themeColor="background2"/>
        <w:sz w:val="40"/>
      </w:rPr>
      <w:t>THE TREASURY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32D5"/>
    <w:multiLevelType w:val="multilevel"/>
    <w:tmpl w:val="57085B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4AA0050"/>
    <w:multiLevelType w:val="hybridMultilevel"/>
    <w:tmpl w:val="C696EAE8"/>
    <w:lvl w:ilvl="0" w:tplc="4A86440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2553D8"/>
    <w:multiLevelType w:val="hybridMultilevel"/>
    <w:tmpl w:val="45F8A108"/>
    <w:lvl w:ilvl="0" w:tplc="21484128">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EB1B30"/>
    <w:multiLevelType w:val="multilevel"/>
    <w:tmpl w:val="D9D8D3D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1712E8"/>
    <w:multiLevelType w:val="hybridMultilevel"/>
    <w:tmpl w:val="FEA81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693800"/>
    <w:multiLevelType w:val="multilevel"/>
    <w:tmpl w:val="0D1645C2"/>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BC1F16"/>
    <w:multiLevelType w:val="hybridMultilevel"/>
    <w:tmpl w:val="67EC5EEE"/>
    <w:lvl w:ilvl="0" w:tplc="551EEAA2">
      <w:start w:val="1"/>
      <w:numFmt w:val="bullet"/>
      <w:lvlText w:val="•"/>
      <w:lvlJc w:val="left"/>
      <w:pPr>
        <w:tabs>
          <w:tab w:val="num" w:pos="720"/>
        </w:tabs>
        <w:ind w:left="720" w:hanging="360"/>
      </w:pPr>
      <w:rPr>
        <w:rFonts w:ascii="Arial" w:hAnsi="Arial" w:hint="default"/>
      </w:rPr>
    </w:lvl>
    <w:lvl w:ilvl="1" w:tplc="EE443524" w:tentative="1">
      <w:start w:val="1"/>
      <w:numFmt w:val="bullet"/>
      <w:lvlText w:val="•"/>
      <w:lvlJc w:val="left"/>
      <w:pPr>
        <w:tabs>
          <w:tab w:val="num" w:pos="1440"/>
        </w:tabs>
        <w:ind w:left="1440" w:hanging="360"/>
      </w:pPr>
      <w:rPr>
        <w:rFonts w:ascii="Arial" w:hAnsi="Arial" w:hint="default"/>
      </w:rPr>
    </w:lvl>
    <w:lvl w:ilvl="2" w:tplc="2A624FF8" w:tentative="1">
      <w:start w:val="1"/>
      <w:numFmt w:val="bullet"/>
      <w:lvlText w:val="•"/>
      <w:lvlJc w:val="left"/>
      <w:pPr>
        <w:tabs>
          <w:tab w:val="num" w:pos="2160"/>
        </w:tabs>
        <w:ind w:left="2160" w:hanging="360"/>
      </w:pPr>
      <w:rPr>
        <w:rFonts w:ascii="Arial" w:hAnsi="Arial" w:hint="default"/>
      </w:rPr>
    </w:lvl>
    <w:lvl w:ilvl="3" w:tplc="3916658C" w:tentative="1">
      <w:start w:val="1"/>
      <w:numFmt w:val="bullet"/>
      <w:lvlText w:val="•"/>
      <w:lvlJc w:val="left"/>
      <w:pPr>
        <w:tabs>
          <w:tab w:val="num" w:pos="2880"/>
        </w:tabs>
        <w:ind w:left="2880" w:hanging="360"/>
      </w:pPr>
      <w:rPr>
        <w:rFonts w:ascii="Arial" w:hAnsi="Arial" w:hint="default"/>
      </w:rPr>
    </w:lvl>
    <w:lvl w:ilvl="4" w:tplc="4120F17C" w:tentative="1">
      <w:start w:val="1"/>
      <w:numFmt w:val="bullet"/>
      <w:lvlText w:val="•"/>
      <w:lvlJc w:val="left"/>
      <w:pPr>
        <w:tabs>
          <w:tab w:val="num" w:pos="3600"/>
        </w:tabs>
        <w:ind w:left="3600" w:hanging="360"/>
      </w:pPr>
      <w:rPr>
        <w:rFonts w:ascii="Arial" w:hAnsi="Arial" w:hint="default"/>
      </w:rPr>
    </w:lvl>
    <w:lvl w:ilvl="5" w:tplc="EA123658" w:tentative="1">
      <w:start w:val="1"/>
      <w:numFmt w:val="bullet"/>
      <w:lvlText w:val="•"/>
      <w:lvlJc w:val="left"/>
      <w:pPr>
        <w:tabs>
          <w:tab w:val="num" w:pos="4320"/>
        </w:tabs>
        <w:ind w:left="4320" w:hanging="360"/>
      </w:pPr>
      <w:rPr>
        <w:rFonts w:ascii="Arial" w:hAnsi="Arial" w:hint="default"/>
      </w:rPr>
    </w:lvl>
    <w:lvl w:ilvl="6" w:tplc="524A4D5E" w:tentative="1">
      <w:start w:val="1"/>
      <w:numFmt w:val="bullet"/>
      <w:lvlText w:val="•"/>
      <w:lvlJc w:val="left"/>
      <w:pPr>
        <w:tabs>
          <w:tab w:val="num" w:pos="5040"/>
        </w:tabs>
        <w:ind w:left="5040" w:hanging="360"/>
      </w:pPr>
      <w:rPr>
        <w:rFonts w:ascii="Arial" w:hAnsi="Arial" w:hint="default"/>
      </w:rPr>
    </w:lvl>
    <w:lvl w:ilvl="7" w:tplc="8FFE91D4" w:tentative="1">
      <w:start w:val="1"/>
      <w:numFmt w:val="bullet"/>
      <w:lvlText w:val="•"/>
      <w:lvlJc w:val="left"/>
      <w:pPr>
        <w:tabs>
          <w:tab w:val="num" w:pos="5760"/>
        </w:tabs>
        <w:ind w:left="5760" w:hanging="360"/>
      </w:pPr>
      <w:rPr>
        <w:rFonts w:ascii="Arial" w:hAnsi="Arial" w:hint="default"/>
      </w:rPr>
    </w:lvl>
    <w:lvl w:ilvl="8" w:tplc="F6CEF91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277"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5856F29"/>
    <w:multiLevelType w:val="multilevel"/>
    <w:tmpl w:val="CCB82AC2"/>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5DF6494"/>
    <w:multiLevelType w:val="multilevel"/>
    <w:tmpl w:val="A316FE50"/>
    <w:numStyleLink w:val="ChapterList"/>
  </w:abstractNum>
  <w:abstractNum w:abstractNumId="11" w15:restartNumberingAfterBreak="0">
    <w:nsid w:val="73583E36"/>
    <w:multiLevelType w:val="multilevel"/>
    <w:tmpl w:val="A86A8BC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294727"/>
    <w:multiLevelType w:val="multilevel"/>
    <w:tmpl w:val="404069B2"/>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5"/>
  </w:num>
  <w:num w:numId="3">
    <w:abstractNumId w:val="0"/>
  </w:num>
  <w:num w:numId="4">
    <w:abstractNumId w:val="9"/>
  </w:num>
  <w:num w:numId="5">
    <w:abstractNumId w:val="4"/>
  </w:num>
  <w:num w:numId="6">
    <w:abstractNumId w:val="12"/>
  </w:num>
  <w:num w:numId="7">
    <w:abstractNumId w:val="6"/>
  </w:num>
  <w:num w:numId="8">
    <w:abstractNumId w:val="6"/>
  </w:num>
  <w:num w:numId="9">
    <w:abstractNumId w:val="2"/>
  </w:num>
  <w:num w:numId="10">
    <w:abstractNumId w:val="10"/>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b w:val="0"/>
          <w:bCs/>
          <w:i w:val="0"/>
          <w:iCs/>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36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abstractNumId w:val="8"/>
  </w:num>
  <w:num w:numId="12">
    <w:abstractNumId w:val="10"/>
    <w:lvlOverride w:ilvl="0">
      <w:lvl w:ilvl="0">
        <w:start w:val="1"/>
        <w:numFmt w:val="decimal"/>
        <w:lvlText w:val="Chapter %1"/>
        <w:lvlJc w:val="left"/>
        <w:pPr>
          <w:tabs>
            <w:tab w:val="num" w:pos="2978"/>
          </w:tabs>
          <w:ind w:left="1844" w:firstLine="0"/>
        </w:pPr>
        <w:rPr>
          <w:rFonts w:hint="default"/>
        </w:rPr>
      </w:lvl>
    </w:lvlOverride>
    <w:lvlOverride w:ilvl="1">
      <w:lvl w:ilvl="1">
        <w:start w:val="1"/>
        <w:numFmt w:val="decimal"/>
        <w:lvlText w:val="%1.%2"/>
        <w:lvlJc w:val="left"/>
        <w:pPr>
          <w:tabs>
            <w:tab w:val="num" w:pos="1985"/>
          </w:tabs>
          <w:ind w:left="1134" w:firstLine="0"/>
        </w:pPr>
        <w:rPr>
          <w:rFonts w:hint="default"/>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0"/>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b w:val="0"/>
          <w:bCs/>
          <w:i w:val="0"/>
          <w:iCs/>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abstractNumId w:val="3"/>
  </w:num>
  <w:num w:numId="15">
    <w:abstractNumId w:val="1"/>
  </w:num>
  <w:num w:numId="16">
    <w:abstractNumId w:val="7"/>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21C"/>
    <w:rsid w:val="000009FA"/>
    <w:rsid w:val="00001ACB"/>
    <w:rsid w:val="0000224A"/>
    <w:rsid w:val="000024A7"/>
    <w:rsid w:val="00003ECD"/>
    <w:rsid w:val="00010544"/>
    <w:rsid w:val="00010B35"/>
    <w:rsid w:val="000203A6"/>
    <w:rsid w:val="000244A2"/>
    <w:rsid w:val="00025A33"/>
    <w:rsid w:val="00027553"/>
    <w:rsid w:val="00027586"/>
    <w:rsid w:val="00030858"/>
    <w:rsid w:val="00036EA8"/>
    <w:rsid w:val="00037E07"/>
    <w:rsid w:val="00041410"/>
    <w:rsid w:val="000421F9"/>
    <w:rsid w:val="00044A1F"/>
    <w:rsid w:val="000465A0"/>
    <w:rsid w:val="000505BE"/>
    <w:rsid w:val="00052C7C"/>
    <w:rsid w:val="000653C2"/>
    <w:rsid w:val="00070E69"/>
    <w:rsid w:val="00071406"/>
    <w:rsid w:val="00075117"/>
    <w:rsid w:val="000751F0"/>
    <w:rsid w:val="00075A7F"/>
    <w:rsid w:val="00076DE0"/>
    <w:rsid w:val="0008086F"/>
    <w:rsid w:val="000825C0"/>
    <w:rsid w:val="00093344"/>
    <w:rsid w:val="00094E55"/>
    <w:rsid w:val="000A0E09"/>
    <w:rsid w:val="000A14AC"/>
    <w:rsid w:val="000A1E99"/>
    <w:rsid w:val="000A2E61"/>
    <w:rsid w:val="000A32C6"/>
    <w:rsid w:val="000A3951"/>
    <w:rsid w:val="000A7206"/>
    <w:rsid w:val="000B403A"/>
    <w:rsid w:val="000B621F"/>
    <w:rsid w:val="000C773D"/>
    <w:rsid w:val="000C7D03"/>
    <w:rsid w:val="000D34F8"/>
    <w:rsid w:val="000D372F"/>
    <w:rsid w:val="000D45F3"/>
    <w:rsid w:val="000D7538"/>
    <w:rsid w:val="000E22F7"/>
    <w:rsid w:val="000E5A60"/>
    <w:rsid w:val="000E6806"/>
    <w:rsid w:val="000E7F92"/>
    <w:rsid w:val="000F4FBC"/>
    <w:rsid w:val="00101BF6"/>
    <w:rsid w:val="0010656A"/>
    <w:rsid w:val="001065AE"/>
    <w:rsid w:val="00106783"/>
    <w:rsid w:val="001078AA"/>
    <w:rsid w:val="00113A5C"/>
    <w:rsid w:val="00114629"/>
    <w:rsid w:val="00115A47"/>
    <w:rsid w:val="00122C85"/>
    <w:rsid w:val="0012367D"/>
    <w:rsid w:val="00124F2C"/>
    <w:rsid w:val="00125527"/>
    <w:rsid w:val="0012645F"/>
    <w:rsid w:val="00126972"/>
    <w:rsid w:val="00127B30"/>
    <w:rsid w:val="00127EA6"/>
    <w:rsid w:val="0013195B"/>
    <w:rsid w:val="001323B0"/>
    <w:rsid w:val="00132608"/>
    <w:rsid w:val="001367ED"/>
    <w:rsid w:val="0014005E"/>
    <w:rsid w:val="00141C37"/>
    <w:rsid w:val="00144D99"/>
    <w:rsid w:val="00145146"/>
    <w:rsid w:val="001473F9"/>
    <w:rsid w:val="001520AA"/>
    <w:rsid w:val="00156D53"/>
    <w:rsid w:val="00157F7A"/>
    <w:rsid w:val="001607C2"/>
    <w:rsid w:val="00160D39"/>
    <w:rsid w:val="0016145E"/>
    <w:rsid w:val="0017076B"/>
    <w:rsid w:val="001721B6"/>
    <w:rsid w:val="00192B43"/>
    <w:rsid w:val="001A1DD0"/>
    <w:rsid w:val="001A3BBB"/>
    <w:rsid w:val="001A4B88"/>
    <w:rsid w:val="001B2555"/>
    <w:rsid w:val="001B3669"/>
    <w:rsid w:val="001B406B"/>
    <w:rsid w:val="001C0744"/>
    <w:rsid w:val="001C4D56"/>
    <w:rsid w:val="001C5CE5"/>
    <w:rsid w:val="001C6C21"/>
    <w:rsid w:val="001D1B5F"/>
    <w:rsid w:val="001D48B5"/>
    <w:rsid w:val="001D4EC0"/>
    <w:rsid w:val="001D6730"/>
    <w:rsid w:val="001E2A69"/>
    <w:rsid w:val="001E7A63"/>
    <w:rsid w:val="001E7ED2"/>
    <w:rsid w:val="001F1307"/>
    <w:rsid w:val="001F1F0A"/>
    <w:rsid w:val="001F424E"/>
    <w:rsid w:val="0020043C"/>
    <w:rsid w:val="002062FB"/>
    <w:rsid w:val="00210A4E"/>
    <w:rsid w:val="002119D4"/>
    <w:rsid w:val="002136E1"/>
    <w:rsid w:val="0021676C"/>
    <w:rsid w:val="002167E0"/>
    <w:rsid w:val="00220F44"/>
    <w:rsid w:val="002246F2"/>
    <w:rsid w:val="00225FFF"/>
    <w:rsid w:val="00232348"/>
    <w:rsid w:val="0023588F"/>
    <w:rsid w:val="002362D5"/>
    <w:rsid w:val="00236594"/>
    <w:rsid w:val="002379C1"/>
    <w:rsid w:val="002467C6"/>
    <w:rsid w:val="0024692E"/>
    <w:rsid w:val="00247235"/>
    <w:rsid w:val="00247F6F"/>
    <w:rsid w:val="0025104B"/>
    <w:rsid w:val="00251269"/>
    <w:rsid w:val="002566B7"/>
    <w:rsid w:val="00257032"/>
    <w:rsid w:val="002652FA"/>
    <w:rsid w:val="002654E3"/>
    <w:rsid w:val="002654EC"/>
    <w:rsid w:val="0026652F"/>
    <w:rsid w:val="00273B2B"/>
    <w:rsid w:val="00273EAC"/>
    <w:rsid w:val="002752BA"/>
    <w:rsid w:val="0028035F"/>
    <w:rsid w:val="00281BC5"/>
    <w:rsid w:val="00282970"/>
    <w:rsid w:val="00291082"/>
    <w:rsid w:val="00295F06"/>
    <w:rsid w:val="00295FBE"/>
    <w:rsid w:val="002A1EAC"/>
    <w:rsid w:val="002A2E13"/>
    <w:rsid w:val="002A3BD4"/>
    <w:rsid w:val="002A6833"/>
    <w:rsid w:val="002B0E44"/>
    <w:rsid w:val="002B387C"/>
    <w:rsid w:val="002B6923"/>
    <w:rsid w:val="002C0604"/>
    <w:rsid w:val="002C20CA"/>
    <w:rsid w:val="002E02EC"/>
    <w:rsid w:val="002E1444"/>
    <w:rsid w:val="002E329D"/>
    <w:rsid w:val="002E3517"/>
    <w:rsid w:val="002F29D7"/>
    <w:rsid w:val="002F2DA9"/>
    <w:rsid w:val="002F33B7"/>
    <w:rsid w:val="002F3A00"/>
    <w:rsid w:val="002F6744"/>
    <w:rsid w:val="00311502"/>
    <w:rsid w:val="00312412"/>
    <w:rsid w:val="00312532"/>
    <w:rsid w:val="00312928"/>
    <w:rsid w:val="00313C66"/>
    <w:rsid w:val="00322B48"/>
    <w:rsid w:val="00323E0E"/>
    <w:rsid w:val="00332636"/>
    <w:rsid w:val="00333C08"/>
    <w:rsid w:val="00334450"/>
    <w:rsid w:val="003360C3"/>
    <w:rsid w:val="003368B4"/>
    <w:rsid w:val="0033711A"/>
    <w:rsid w:val="00347CE4"/>
    <w:rsid w:val="00347FDB"/>
    <w:rsid w:val="003531D3"/>
    <w:rsid w:val="00353D0A"/>
    <w:rsid w:val="00356B41"/>
    <w:rsid w:val="00356CC7"/>
    <w:rsid w:val="00361826"/>
    <w:rsid w:val="003624A6"/>
    <w:rsid w:val="00367975"/>
    <w:rsid w:val="00367B9D"/>
    <w:rsid w:val="00374756"/>
    <w:rsid w:val="00376015"/>
    <w:rsid w:val="00376B9B"/>
    <w:rsid w:val="003778DD"/>
    <w:rsid w:val="003820A5"/>
    <w:rsid w:val="00387527"/>
    <w:rsid w:val="00387915"/>
    <w:rsid w:val="00387EB9"/>
    <w:rsid w:val="003949C9"/>
    <w:rsid w:val="00397776"/>
    <w:rsid w:val="003A61BA"/>
    <w:rsid w:val="003A774C"/>
    <w:rsid w:val="003B0410"/>
    <w:rsid w:val="003B545C"/>
    <w:rsid w:val="003C0EF0"/>
    <w:rsid w:val="003C11BB"/>
    <w:rsid w:val="003C733A"/>
    <w:rsid w:val="003D116E"/>
    <w:rsid w:val="003D30F5"/>
    <w:rsid w:val="003D6559"/>
    <w:rsid w:val="003E311F"/>
    <w:rsid w:val="003E3435"/>
    <w:rsid w:val="003E640D"/>
    <w:rsid w:val="003F367A"/>
    <w:rsid w:val="00401A25"/>
    <w:rsid w:val="00401DBE"/>
    <w:rsid w:val="0040359C"/>
    <w:rsid w:val="004059C5"/>
    <w:rsid w:val="00406E74"/>
    <w:rsid w:val="00413351"/>
    <w:rsid w:val="00414B10"/>
    <w:rsid w:val="00414DC9"/>
    <w:rsid w:val="00415BE9"/>
    <w:rsid w:val="00416BCC"/>
    <w:rsid w:val="004175A4"/>
    <w:rsid w:val="00420E50"/>
    <w:rsid w:val="00426F7E"/>
    <w:rsid w:val="00427188"/>
    <w:rsid w:val="00434545"/>
    <w:rsid w:val="00434591"/>
    <w:rsid w:val="004354B3"/>
    <w:rsid w:val="004355E9"/>
    <w:rsid w:val="0043564D"/>
    <w:rsid w:val="00437C12"/>
    <w:rsid w:val="00442E37"/>
    <w:rsid w:val="00443F09"/>
    <w:rsid w:val="0044541B"/>
    <w:rsid w:val="00445FFA"/>
    <w:rsid w:val="004542C5"/>
    <w:rsid w:val="00454A59"/>
    <w:rsid w:val="004565B4"/>
    <w:rsid w:val="0045746B"/>
    <w:rsid w:val="00457F4D"/>
    <w:rsid w:val="004615D6"/>
    <w:rsid w:val="004643DB"/>
    <w:rsid w:val="0046767E"/>
    <w:rsid w:val="004709C0"/>
    <w:rsid w:val="00473BC5"/>
    <w:rsid w:val="004744D4"/>
    <w:rsid w:val="0047552F"/>
    <w:rsid w:val="00482B59"/>
    <w:rsid w:val="0048451C"/>
    <w:rsid w:val="00484CA5"/>
    <w:rsid w:val="00485A0F"/>
    <w:rsid w:val="00486897"/>
    <w:rsid w:val="00486D1D"/>
    <w:rsid w:val="0049239D"/>
    <w:rsid w:val="004951BF"/>
    <w:rsid w:val="0049536D"/>
    <w:rsid w:val="004A10F7"/>
    <w:rsid w:val="004A47F0"/>
    <w:rsid w:val="004A68EF"/>
    <w:rsid w:val="004A6A9F"/>
    <w:rsid w:val="004A780D"/>
    <w:rsid w:val="004B20BD"/>
    <w:rsid w:val="004B225C"/>
    <w:rsid w:val="004C0DC8"/>
    <w:rsid w:val="004C0FC9"/>
    <w:rsid w:val="004C2202"/>
    <w:rsid w:val="004C2EBB"/>
    <w:rsid w:val="004D0E36"/>
    <w:rsid w:val="004D230D"/>
    <w:rsid w:val="004D6383"/>
    <w:rsid w:val="004E7523"/>
    <w:rsid w:val="004F05E5"/>
    <w:rsid w:val="004F0C2C"/>
    <w:rsid w:val="004F0C2E"/>
    <w:rsid w:val="004F5FDB"/>
    <w:rsid w:val="004F7F38"/>
    <w:rsid w:val="00501327"/>
    <w:rsid w:val="00505F6E"/>
    <w:rsid w:val="005072DF"/>
    <w:rsid w:val="00512144"/>
    <w:rsid w:val="005149E4"/>
    <w:rsid w:val="0052211E"/>
    <w:rsid w:val="00522BFD"/>
    <w:rsid w:val="00522FAA"/>
    <w:rsid w:val="00526231"/>
    <w:rsid w:val="00527928"/>
    <w:rsid w:val="00527D4E"/>
    <w:rsid w:val="00542B4E"/>
    <w:rsid w:val="00545690"/>
    <w:rsid w:val="0056564D"/>
    <w:rsid w:val="00566C64"/>
    <w:rsid w:val="00572432"/>
    <w:rsid w:val="005729CD"/>
    <w:rsid w:val="00573C3B"/>
    <w:rsid w:val="00574CCA"/>
    <w:rsid w:val="005757C1"/>
    <w:rsid w:val="00580524"/>
    <w:rsid w:val="00582901"/>
    <w:rsid w:val="00582F71"/>
    <w:rsid w:val="005842E5"/>
    <w:rsid w:val="00585B5E"/>
    <w:rsid w:val="0058649D"/>
    <w:rsid w:val="00592307"/>
    <w:rsid w:val="005953E2"/>
    <w:rsid w:val="00595753"/>
    <w:rsid w:val="00596857"/>
    <w:rsid w:val="00596D8B"/>
    <w:rsid w:val="005979C8"/>
    <w:rsid w:val="005A1FE7"/>
    <w:rsid w:val="005A778A"/>
    <w:rsid w:val="005B1D03"/>
    <w:rsid w:val="005B4CED"/>
    <w:rsid w:val="005B6EB7"/>
    <w:rsid w:val="005C101D"/>
    <w:rsid w:val="005C31A8"/>
    <w:rsid w:val="005D137F"/>
    <w:rsid w:val="005D39AE"/>
    <w:rsid w:val="005D4456"/>
    <w:rsid w:val="005D5220"/>
    <w:rsid w:val="005D596D"/>
    <w:rsid w:val="005E4C5E"/>
    <w:rsid w:val="005E4E14"/>
    <w:rsid w:val="005F0A7A"/>
    <w:rsid w:val="005F6EE8"/>
    <w:rsid w:val="005F7A5B"/>
    <w:rsid w:val="00601977"/>
    <w:rsid w:val="00601E81"/>
    <w:rsid w:val="006048E8"/>
    <w:rsid w:val="00610CEA"/>
    <w:rsid w:val="00610E41"/>
    <w:rsid w:val="00611C58"/>
    <w:rsid w:val="0061277B"/>
    <w:rsid w:val="00613707"/>
    <w:rsid w:val="006166D3"/>
    <w:rsid w:val="00617CF3"/>
    <w:rsid w:val="00622536"/>
    <w:rsid w:val="00623A9C"/>
    <w:rsid w:val="00623DD6"/>
    <w:rsid w:val="00625045"/>
    <w:rsid w:val="00625130"/>
    <w:rsid w:val="006261F0"/>
    <w:rsid w:val="00632979"/>
    <w:rsid w:val="006332F9"/>
    <w:rsid w:val="00633C88"/>
    <w:rsid w:val="0064135C"/>
    <w:rsid w:val="00643263"/>
    <w:rsid w:val="00643C97"/>
    <w:rsid w:val="00646F20"/>
    <w:rsid w:val="00647811"/>
    <w:rsid w:val="0065015D"/>
    <w:rsid w:val="00653AB8"/>
    <w:rsid w:val="00654E51"/>
    <w:rsid w:val="00655D43"/>
    <w:rsid w:val="00656A4B"/>
    <w:rsid w:val="00662DC5"/>
    <w:rsid w:val="00665D25"/>
    <w:rsid w:val="00676804"/>
    <w:rsid w:val="00682B40"/>
    <w:rsid w:val="0068366C"/>
    <w:rsid w:val="00683974"/>
    <w:rsid w:val="00684BF5"/>
    <w:rsid w:val="0068590A"/>
    <w:rsid w:val="00686E13"/>
    <w:rsid w:val="00687176"/>
    <w:rsid w:val="00691B99"/>
    <w:rsid w:val="006950A2"/>
    <w:rsid w:val="00697A99"/>
    <w:rsid w:val="006A53D3"/>
    <w:rsid w:val="006A5DEC"/>
    <w:rsid w:val="006B3182"/>
    <w:rsid w:val="006B4D35"/>
    <w:rsid w:val="006B7D29"/>
    <w:rsid w:val="006C5237"/>
    <w:rsid w:val="006C7852"/>
    <w:rsid w:val="006D0CBF"/>
    <w:rsid w:val="006D2AAC"/>
    <w:rsid w:val="006D7762"/>
    <w:rsid w:val="006E060C"/>
    <w:rsid w:val="006E0620"/>
    <w:rsid w:val="006E19E6"/>
    <w:rsid w:val="006E2B4C"/>
    <w:rsid w:val="006E3C58"/>
    <w:rsid w:val="006E4061"/>
    <w:rsid w:val="006E44EB"/>
    <w:rsid w:val="006E57CE"/>
    <w:rsid w:val="006F3F45"/>
    <w:rsid w:val="006F40B5"/>
    <w:rsid w:val="006F468C"/>
    <w:rsid w:val="006F731C"/>
    <w:rsid w:val="006F7373"/>
    <w:rsid w:val="00702AA9"/>
    <w:rsid w:val="00710DCF"/>
    <w:rsid w:val="0072082F"/>
    <w:rsid w:val="00720A14"/>
    <w:rsid w:val="00720CC1"/>
    <w:rsid w:val="00732172"/>
    <w:rsid w:val="00732243"/>
    <w:rsid w:val="00732611"/>
    <w:rsid w:val="007343F7"/>
    <w:rsid w:val="00734491"/>
    <w:rsid w:val="00736E35"/>
    <w:rsid w:val="00742A90"/>
    <w:rsid w:val="00747ADD"/>
    <w:rsid w:val="00750B5B"/>
    <w:rsid w:val="00754A00"/>
    <w:rsid w:val="0075608F"/>
    <w:rsid w:val="00756389"/>
    <w:rsid w:val="00766A18"/>
    <w:rsid w:val="00780003"/>
    <w:rsid w:val="00782473"/>
    <w:rsid w:val="00785648"/>
    <w:rsid w:val="00787D17"/>
    <w:rsid w:val="00795136"/>
    <w:rsid w:val="00795B30"/>
    <w:rsid w:val="007A0B01"/>
    <w:rsid w:val="007B07E2"/>
    <w:rsid w:val="007B3640"/>
    <w:rsid w:val="007B6ED9"/>
    <w:rsid w:val="007C71B8"/>
    <w:rsid w:val="007D2A8D"/>
    <w:rsid w:val="007D3584"/>
    <w:rsid w:val="007D5D85"/>
    <w:rsid w:val="007E4CB4"/>
    <w:rsid w:val="007E764F"/>
    <w:rsid w:val="007F6778"/>
    <w:rsid w:val="007F6EA7"/>
    <w:rsid w:val="00802E9E"/>
    <w:rsid w:val="00804D5C"/>
    <w:rsid w:val="00805299"/>
    <w:rsid w:val="008065A7"/>
    <w:rsid w:val="00807DB8"/>
    <w:rsid w:val="0081302C"/>
    <w:rsid w:val="008147D5"/>
    <w:rsid w:val="00820BA0"/>
    <w:rsid w:val="00825212"/>
    <w:rsid w:val="0082771E"/>
    <w:rsid w:val="008306F2"/>
    <w:rsid w:val="008312D5"/>
    <w:rsid w:val="00833ED8"/>
    <w:rsid w:val="00834108"/>
    <w:rsid w:val="00835AE9"/>
    <w:rsid w:val="0084117B"/>
    <w:rsid w:val="008427A1"/>
    <w:rsid w:val="008442A2"/>
    <w:rsid w:val="00850F2B"/>
    <w:rsid w:val="00853EDA"/>
    <w:rsid w:val="00860789"/>
    <w:rsid w:val="0086315B"/>
    <w:rsid w:val="00864F9D"/>
    <w:rsid w:val="0087282C"/>
    <w:rsid w:val="00872F22"/>
    <w:rsid w:val="0088288B"/>
    <w:rsid w:val="00886726"/>
    <w:rsid w:val="00887962"/>
    <w:rsid w:val="00892B09"/>
    <w:rsid w:val="00892C9F"/>
    <w:rsid w:val="008963EF"/>
    <w:rsid w:val="00897FA7"/>
    <w:rsid w:val="008A6530"/>
    <w:rsid w:val="008B15CA"/>
    <w:rsid w:val="008B4E1A"/>
    <w:rsid w:val="008B745F"/>
    <w:rsid w:val="008C0A7A"/>
    <w:rsid w:val="008C1150"/>
    <w:rsid w:val="008C24FF"/>
    <w:rsid w:val="008C43DA"/>
    <w:rsid w:val="008D193C"/>
    <w:rsid w:val="008D487E"/>
    <w:rsid w:val="008E2C04"/>
    <w:rsid w:val="008E3FE1"/>
    <w:rsid w:val="008F1EA2"/>
    <w:rsid w:val="008F658F"/>
    <w:rsid w:val="008F740C"/>
    <w:rsid w:val="009044FB"/>
    <w:rsid w:val="00906BAE"/>
    <w:rsid w:val="00907975"/>
    <w:rsid w:val="00911C34"/>
    <w:rsid w:val="00917ED0"/>
    <w:rsid w:val="0092077D"/>
    <w:rsid w:val="00930D84"/>
    <w:rsid w:val="00932EF8"/>
    <w:rsid w:val="00940D1F"/>
    <w:rsid w:val="00942F96"/>
    <w:rsid w:val="00943A5F"/>
    <w:rsid w:val="00944E50"/>
    <w:rsid w:val="00950EE2"/>
    <w:rsid w:val="009514D7"/>
    <w:rsid w:val="009518E7"/>
    <w:rsid w:val="0095243F"/>
    <w:rsid w:val="00952F1D"/>
    <w:rsid w:val="009534DD"/>
    <w:rsid w:val="00962A39"/>
    <w:rsid w:val="009633C6"/>
    <w:rsid w:val="00963675"/>
    <w:rsid w:val="00964338"/>
    <w:rsid w:val="00965B58"/>
    <w:rsid w:val="00967B28"/>
    <w:rsid w:val="0098185C"/>
    <w:rsid w:val="00985AB0"/>
    <w:rsid w:val="009868E5"/>
    <w:rsid w:val="0099010D"/>
    <w:rsid w:val="0099083E"/>
    <w:rsid w:val="0099286F"/>
    <w:rsid w:val="009952DA"/>
    <w:rsid w:val="009A1DEE"/>
    <w:rsid w:val="009A20B2"/>
    <w:rsid w:val="009A74DB"/>
    <w:rsid w:val="009B2C56"/>
    <w:rsid w:val="009B69F5"/>
    <w:rsid w:val="009C007F"/>
    <w:rsid w:val="009C0E9A"/>
    <w:rsid w:val="009D563F"/>
    <w:rsid w:val="009E20CB"/>
    <w:rsid w:val="009F462F"/>
    <w:rsid w:val="009F5E68"/>
    <w:rsid w:val="009F6392"/>
    <w:rsid w:val="00A00F22"/>
    <w:rsid w:val="00A0415D"/>
    <w:rsid w:val="00A06822"/>
    <w:rsid w:val="00A11AE4"/>
    <w:rsid w:val="00A12842"/>
    <w:rsid w:val="00A13446"/>
    <w:rsid w:val="00A21D70"/>
    <w:rsid w:val="00A222E3"/>
    <w:rsid w:val="00A22D1C"/>
    <w:rsid w:val="00A2463C"/>
    <w:rsid w:val="00A26D20"/>
    <w:rsid w:val="00A32CDE"/>
    <w:rsid w:val="00A34E7D"/>
    <w:rsid w:val="00A360D9"/>
    <w:rsid w:val="00A435D0"/>
    <w:rsid w:val="00A46E78"/>
    <w:rsid w:val="00A5223B"/>
    <w:rsid w:val="00A52BD4"/>
    <w:rsid w:val="00A5454D"/>
    <w:rsid w:val="00A54EAF"/>
    <w:rsid w:val="00A55FF0"/>
    <w:rsid w:val="00A56ADC"/>
    <w:rsid w:val="00A63DCB"/>
    <w:rsid w:val="00A64C93"/>
    <w:rsid w:val="00A65052"/>
    <w:rsid w:val="00A73AA7"/>
    <w:rsid w:val="00A73C60"/>
    <w:rsid w:val="00A753E2"/>
    <w:rsid w:val="00A81784"/>
    <w:rsid w:val="00A854C8"/>
    <w:rsid w:val="00A858B7"/>
    <w:rsid w:val="00A91023"/>
    <w:rsid w:val="00A94D5F"/>
    <w:rsid w:val="00A953AA"/>
    <w:rsid w:val="00A968A8"/>
    <w:rsid w:val="00AA1EA0"/>
    <w:rsid w:val="00AA3D87"/>
    <w:rsid w:val="00AB0074"/>
    <w:rsid w:val="00AB06A8"/>
    <w:rsid w:val="00AB1302"/>
    <w:rsid w:val="00AB29E1"/>
    <w:rsid w:val="00AB5981"/>
    <w:rsid w:val="00AB6BCB"/>
    <w:rsid w:val="00AC0316"/>
    <w:rsid w:val="00AC381A"/>
    <w:rsid w:val="00AC4DC5"/>
    <w:rsid w:val="00AC5D30"/>
    <w:rsid w:val="00AD1621"/>
    <w:rsid w:val="00AE03F8"/>
    <w:rsid w:val="00AE1773"/>
    <w:rsid w:val="00AE188B"/>
    <w:rsid w:val="00AE625F"/>
    <w:rsid w:val="00AE6C72"/>
    <w:rsid w:val="00AF01B5"/>
    <w:rsid w:val="00AF197D"/>
    <w:rsid w:val="00AF362A"/>
    <w:rsid w:val="00AF3918"/>
    <w:rsid w:val="00AF4EE4"/>
    <w:rsid w:val="00AF5D2F"/>
    <w:rsid w:val="00AF6299"/>
    <w:rsid w:val="00AF6C8C"/>
    <w:rsid w:val="00B13D34"/>
    <w:rsid w:val="00B2040E"/>
    <w:rsid w:val="00B206AC"/>
    <w:rsid w:val="00B228BE"/>
    <w:rsid w:val="00B2486B"/>
    <w:rsid w:val="00B25145"/>
    <w:rsid w:val="00B25FB3"/>
    <w:rsid w:val="00B26C9B"/>
    <w:rsid w:val="00B27297"/>
    <w:rsid w:val="00B30926"/>
    <w:rsid w:val="00B33DE2"/>
    <w:rsid w:val="00B362CC"/>
    <w:rsid w:val="00B36387"/>
    <w:rsid w:val="00B412FB"/>
    <w:rsid w:val="00B45213"/>
    <w:rsid w:val="00B46F86"/>
    <w:rsid w:val="00B5086B"/>
    <w:rsid w:val="00B567F7"/>
    <w:rsid w:val="00B64201"/>
    <w:rsid w:val="00B6678C"/>
    <w:rsid w:val="00B750D4"/>
    <w:rsid w:val="00B77244"/>
    <w:rsid w:val="00B77FC5"/>
    <w:rsid w:val="00B807EE"/>
    <w:rsid w:val="00B80B6D"/>
    <w:rsid w:val="00B859E4"/>
    <w:rsid w:val="00B91AD9"/>
    <w:rsid w:val="00B92398"/>
    <w:rsid w:val="00BA041C"/>
    <w:rsid w:val="00BA1248"/>
    <w:rsid w:val="00BA3229"/>
    <w:rsid w:val="00BA53BD"/>
    <w:rsid w:val="00BA566F"/>
    <w:rsid w:val="00BA7D68"/>
    <w:rsid w:val="00BB0382"/>
    <w:rsid w:val="00BB18C3"/>
    <w:rsid w:val="00BB3760"/>
    <w:rsid w:val="00BB52E3"/>
    <w:rsid w:val="00BB74CC"/>
    <w:rsid w:val="00BC28E6"/>
    <w:rsid w:val="00BC3637"/>
    <w:rsid w:val="00BC3E7E"/>
    <w:rsid w:val="00BD125E"/>
    <w:rsid w:val="00BD546B"/>
    <w:rsid w:val="00BD6D2C"/>
    <w:rsid w:val="00BE30A0"/>
    <w:rsid w:val="00BE3763"/>
    <w:rsid w:val="00BE677B"/>
    <w:rsid w:val="00BF084D"/>
    <w:rsid w:val="00BF0970"/>
    <w:rsid w:val="00BF0F54"/>
    <w:rsid w:val="00BF1B5D"/>
    <w:rsid w:val="00BF2878"/>
    <w:rsid w:val="00BF6445"/>
    <w:rsid w:val="00C00489"/>
    <w:rsid w:val="00C00592"/>
    <w:rsid w:val="00C00BC8"/>
    <w:rsid w:val="00C02C4B"/>
    <w:rsid w:val="00C02FD6"/>
    <w:rsid w:val="00C107BD"/>
    <w:rsid w:val="00C15359"/>
    <w:rsid w:val="00C162AA"/>
    <w:rsid w:val="00C16C07"/>
    <w:rsid w:val="00C1774E"/>
    <w:rsid w:val="00C22922"/>
    <w:rsid w:val="00C24820"/>
    <w:rsid w:val="00C26E75"/>
    <w:rsid w:val="00C2708E"/>
    <w:rsid w:val="00C27710"/>
    <w:rsid w:val="00C310F8"/>
    <w:rsid w:val="00C35644"/>
    <w:rsid w:val="00C37856"/>
    <w:rsid w:val="00C42C55"/>
    <w:rsid w:val="00C42D6F"/>
    <w:rsid w:val="00C42DD6"/>
    <w:rsid w:val="00C43B76"/>
    <w:rsid w:val="00C446D7"/>
    <w:rsid w:val="00C45732"/>
    <w:rsid w:val="00C47859"/>
    <w:rsid w:val="00C51D6D"/>
    <w:rsid w:val="00C53357"/>
    <w:rsid w:val="00C54B38"/>
    <w:rsid w:val="00C565FC"/>
    <w:rsid w:val="00C63EC4"/>
    <w:rsid w:val="00C64FED"/>
    <w:rsid w:val="00C6515A"/>
    <w:rsid w:val="00C659CE"/>
    <w:rsid w:val="00C65A80"/>
    <w:rsid w:val="00C67745"/>
    <w:rsid w:val="00C70CED"/>
    <w:rsid w:val="00C73A40"/>
    <w:rsid w:val="00C749F8"/>
    <w:rsid w:val="00C74F0C"/>
    <w:rsid w:val="00C831C8"/>
    <w:rsid w:val="00C834CC"/>
    <w:rsid w:val="00C85EDF"/>
    <w:rsid w:val="00C85FE7"/>
    <w:rsid w:val="00C87395"/>
    <w:rsid w:val="00C93A0E"/>
    <w:rsid w:val="00C943D8"/>
    <w:rsid w:val="00C95A6E"/>
    <w:rsid w:val="00C95ED7"/>
    <w:rsid w:val="00C97AE3"/>
    <w:rsid w:val="00CA2BF9"/>
    <w:rsid w:val="00CA2FC0"/>
    <w:rsid w:val="00CA365D"/>
    <w:rsid w:val="00CA4C78"/>
    <w:rsid w:val="00CB1246"/>
    <w:rsid w:val="00CB1EFA"/>
    <w:rsid w:val="00CB24BF"/>
    <w:rsid w:val="00CB3DBB"/>
    <w:rsid w:val="00CC1F0C"/>
    <w:rsid w:val="00CC25F6"/>
    <w:rsid w:val="00CC357C"/>
    <w:rsid w:val="00CC3BE6"/>
    <w:rsid w:val="00CC5693"/>
    <w:rsid w:val="00CC610E"/>
    <w:rsid w:val="00CC64DF"/>
    <w:rsid w:val="00CC6DF7"/>
    <w:rsid w:val="00CD1059"/>
    <w:rsid w:val="00CD4BB7"/>
    <w:rsid w:val="00CD68E4"/>
    <w:rsid w:val="00CE19A1"/>
    <w:rsid w:val="00CE2920"/>
    <w:rsid w:val="00CE56EC"/>
    <w:rsid w:val="00CF0F57"/>
    <w:rsid w:val="00CF2CA5"/>
    <w:rsid w:val="00CF670C"/>
    <w:rsid w:val="00CF6895"/>
    <w:rsid w:val="00CF7AD3"/>
    <w:rsid w:val="00CF7E25"/>
    <w:rsid w:val="00D00890"/>
    <w:rsid w:val="00D13ACC"/>
    <w:rsid w:val="00D16A03"/>
    <w:rsid w:val="00D20EE3"/>
    <w:rsid w:val="00D2150F"/>
    <w:rsid w:val="00D32BF4"/>
    <w:rsid w:val="00D3648E"/>
    <w:rsid w:val="00D37A1C"/>
    <w:rsid w:val="00D4189B"/>
    <w:rsid w:val="00D43470"/>
    <w:rsid w:val="00D461D3"/>
    <w:rsid w:val="00D500B7"/>
    <w:rsid w:val="00D54CCB"/>
    <w:rsid w:val="00D56AD7"/>
    <w:rsid w:val="00D57D2E"/>
    <w:rsid w:val="00D57F7F"/>
    <w:rsid w:val="00D62710"/>
    <w:rsid w:val="00D62BDA"/>
    <w:rsid w:val="00D72305"/>
    <w:rsid w:val="00D72F06"/>
    <w:rsid w:val="00D7524D"/>
    <w:rsid w:val="00D75494"/>
    <w:rsid w:val="00D776DB"/>
    <w:rsid w:val="00D77F13"/>
    <w:rsid w:val="00D83F86"/>
    <w:rsid w:val="00D85EEC"/>
    <w:rsid w:val="00D933A0"/>
    <w:rsid w:val="00DA7B36"/>
    <w:rsid w:val="00DB0935"/>
    <w:rsid w:val="00DB621B"/>
    <w:rsid w:val="00DB708F"/>
    <w:rsid w:val="00DC6596"/>
    <w:rsid w:val="00DC76EB"/>
    <w:rsid w:val="00DD0A97"/>
    <w:rsid w:val="00DD1C72"/>
    <w:rsid w:val="00DD21E8"/>
    <w:rsid w:val="00DD31DC"/>
    <w:rsid w:val="00DD3479"/>
    <w:rsid w:val="00DE43A6"/>
    <w:rsid w:val="00DE56AF"/>
    <w:rsid w:val="00DE5AC6"/>
    <w:rsid w:val="00DE766F"/>
    <w:rsid w:val="00DF00C9"/>
    <w:rsid w:val="00DF0285"/>
    <w:rsid w:val="00DF1B64"/>
    <w:rsid w:val="00DF490C"/>
    <w:rsid w:val="00E033A9"/>
    <w:rsid w:val="00E036FA"/>
    <w:rsid w:val="00E04DE4"/>
    <w:rsid w:val="00E06B2B"/>
    <w:rsid w:val="00E17506"/>
    <w:rsid w:val="00E22C66"/>
    <w:rsid w:val="00E23E18"/>
    <w:rsid w:val="00E24267"/>
    <w:rsid w:val="00E2621C"/>
    <w:rsid w:val="00E270D7"/>
    <w:rsid w:val="00E34BAC"/>
    <w:rsid w:val="00E37145"/>
    <w:rsid w:val="00E4470C"/>
    <w:rsid w:val="00E461E0"/>
    <w:rsid w:val="00E52844"/>
    <w:rsid w:val="00E534E5"/>
    <w:rsid w:val="00E53C39"/>
    <w:rsid w:val="00E54D92"/>
    <w:rsid w:val="00E55E74"/>
    <w:rsid w:val="00E5722A"/>
    <w:rsid w:val="00E659E2"/>
    <w:rsid w:val="00E66B50"/>
    <w:rsid w:val="00E7218C"/>
    <w:rsid w:val="00E816FE"/>
    <w:rsid w:val="00E93310"/>
    <w:rsid w:val="00E972DD"/>
    <w:rsid w:val="00EA4545"/>
    <w:rsid w:val="00EA69E7"/>
    <w:rsid w:val="00EC0336"/>
    <w:rsid w:val="00EC1959"/>
    <w:rsid w:val="00EC3DF9"/>
    <w:rsid w:val="00ED1449"/>
    <w:rsid w:val="00ED4519"/>
    <w:rsid w:val="00ED528B"/>
    <w:rsid w:val="00EE12CC"/>
    <w:rsid w:val="00EE2654"/>
    <w:rsid w:val="00EE6030"/>
    <w:rsid w:val="00EE7AE7"/>
    <w:rsid w:val="00EF13CA"/>
    <w:rsid w:val="00EF1ABF"/>
    <w:rsid w:val="00EF3FF9"/>
    <w:rsid w:val="00EF5E32"/>
    <w:rsid w:val="00EF793F"/>
    <w:rsid w:val="00F01421"/>
    <w:rsid w:val="00F01487"/>
    <w:rsid w:val="00F03013"/>
    <w:rsid w:val="00F03C36"/>
    <w:rsid w:val="00F123D5"/>
    <w:rsid w:val="00F1463A"/>
    <w:rsid w:val="00F17E6B"/>
    <w:rsid w:val="00F238F5"/>
    <w:rsid w:val="00F31C4C"/>
    <w:rsid w:val="00F323EB"/>
    <w:rsid w:val="00F335F9"/>
    <w:rsid w:val="00F35695"/>
    <w:rsid w:val="00F36C91"/>
    <w:rsid w:val="00F43A09"/>
    <w:rsid w:val="00F51821"/>
    <w:rsid w:val="00F5252F"/>
    <w:rsid w:val="00F52F80"/>
    <w:rsid w:val="00F53945"/>
    <w:rsid w:val="00F561CA"/>
    <w:rsid w:val="00F56225"/>
    <w:rsid w:val="00F56A0C"/>
    <w:rsid w:val="00F60875"/>
    <w:rsid w:val="00F611B9"/>
    <w:rsid w:val="00F629BE"/>
    <w:rsid w:val="00F75A24"/>
    <w:rsid w:val="00F767C6"/>
    <w:rsid w:val="00F84596"/>
    <w:rsid w:val="00F857FD"/>
    <w:rsid w:val="00F87CD1"/>
    <w:rsid w:val="00F92DEA"/>
    <w:rsid w:val="00F95A83"/>
    <w:rsid w:val="00FA023F"/>
    <w:rsid w:val="00FA298E"/>
    <w:rsid w:val="00FA4F90"/>
    <w:rsid w:val="00FA6165"/>
    <w:rsid w:val="00FA68EE"/>
    <w:rsid w:val="00FB08CF"/>
    <w:rsid w:val="00FB135D"/>
    <w:rsid w:val="00FB13F2"/>
    <w:rsid w:val="00FB3B5F"/>
    <w:rsid w:val="00FC0384"/>
    <w:rsid w:val="00FC0F1B"/>
    <w:rsid w:val="00FC1072"/>
    <w:rsid w:val="00FC1D0B"/>
    <w:rsid w:val="00FC4B4C"/>
    <w:rsid w:val="00FC5CFB"/>
    <w:rsid w:val="00FC7E53"/>
    <w:rsid w:val="00FD06B5"/>
    <w:rsid w:val="00FD20F2"/>
    <w:rsid w:val="00FD2C9E"/>
    <w:rsid w:val="00FD5D22"/>
    <w:rsid w:val="00FD6D03"/>
    <w:rsid w:val="00FD7205"/>
    <w:rsid w:val="00FE2CD2"/>
    <w:rsid w:val="00FE41BA"/>
    <w:rsid w:val="00FE71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C59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5A7"/>
    <w:pPr>
      <w:spacing w:after="120"/>
    </w:pPr>
    <w:rPr>
      <w:sz w:val="22"/>
    </w:rPr>
  </w:style>
  <w:style w:type="paragraph" w:styleId="Heading1">
    <w:name w:val="heading 1"/>
    <w:basedOn w:val="Normal"/>
    <w:next w:val="Normal"/>
    <w:link w:val="Heading1Char"/>
    <w:uiPriority w:val="9"/>
    <w:qFormat/>
    <w:rsid w:val="00D75494"/>
    <w:pPr>
      <w:keepNext/>
      <w:keepLines/>
      <w:spacing w:before="480" w:after="480"/>
      <w:outlineLvl w:val="0"/>
    </w:pPr>
    <w:rPr>
      <w:rFonts w:asciiTheme="majorHAnsi" w:eastAsiaTheme="majorEastAsia" w:hAnsiTheme="majorHAnsi" w:cstheme="majorBidi"/>
      <w:b/>
      <w:bCs/>
      <w:color w:val="16325C" w:themeColor="text2"/>
      <w:sz w:val="40"/>
      <w:szCs w:val="28"/>
    </w:rPr>
  </w:style>
  <w:style w:type="paragraph" w:styleId="Heading2">
    <w:name w:val="heading 2"/>
    <w:basedOn w:val="Normal"/>
    <w:next w:val="Normal"/>
    <w:link w:val="Heading2Char"/>
    <w:uiPriority w:val="9"/>
    <w:semiHidden/>
    <w:unhideWhenUsed/>
    <w:qFormat/>
    <w:rsid w:val="00D72305"/>
    <w:pPr>
      <w:keepNext/>
      <w:keepLines/>
      <w:spacing w:before="40" w:after="0"/>
      <w:outlineLvl w:val="1"/>
    </w:pPr>
    <w:rPr>
      <w:rFonts w:asciiTheme="majorHAnsi" w:eastAsiaTheme="majorEastAsia" w:hAnsiTheme="majorHAnsi" w:cstheme="majorBidi"/>
      <w:color w:val="00568D" w:themeColor="accent1" w:themeShade="BF"/>
      <w:sz w:val="26"/>
      <w:szCs w:val="26"/>
    </w:rPr>
  </w:style>
  <w:style w:type="paragraph" w:styleId="Heading3">
    <w:name w:val="heading 3"/>
    <w:basedOn w:val="Normal"/>
    <w:next w:val="Normal"/>
    <w:link w:val="Heading3Char"/>
    <w:uiPriority w:val="9"/>
    <w:semiHidden/>
    <w:unhideWhenUsed/>
    <w:qFormat/>
    <w:rsid w:val="00D56AD7"/>
    <w:pPr>
      <w:keepNext/>
      <w:keepLines/>
      <w:spacing w:before="40" w:after="0"/>
      <w:outlineLvl w:val="2"/>
    </w:pPr>
    <w:rPr>
      <w:rFonts w:asciiTheme="majorHAnsi" w:eastAsiaTheme="majorEastAsia" w:hAnsiTheme="majorHAnsi" w:cstheme="majorBidi"/>
      <w:color w:val="00395E" w:themeColor="accent1" w:themeShade="7F"/>
      <w:sz w:val="24"/>
      <w:szCs w:val="24"/>
    </w:rPr>
  </w:style>
  <w:style w:type="paragraph" w:styleId="Heading4">
    <w:name w:val="heading 4"/>
    <w:basedOn w:val="Normal"/>
    <w:next w:val="Normal"/>
    <w:link w:val="Heading4Char"/>
    <w:uiPriority w:val="9"/>
    <w:semiHidden/>
    <w:unhideWhenUsed/>
    <w:qFormat/>
    <w:rsid w:val="00D72305"/>
    <w:pPr>
      <w:keepNext/>
      <w:keepLines/>
      <w:spacing w:before="40" w:after="0"/>
      <w:outlineLvl w:val="3"/>
    </w:pPr>
    <w:rPr>
      <w:rFonts w:asciiTheme="majorHAnsi" w:eastAsiaTheme="majorEastAsia" w:hAnsiTheme="majorHAnsi" w:cstheme="majorBidi"/>
      <w:i/>
      <w:iCs/>
      <w:color w:val="00568D" w:themeColor="accent1" w:themeShade="BF"/>
    </w:rPr>
  </w:style>
  <w:style w:type="paragraph" w:styleId="Heading9">
    <w:name w:val="heading 9"/>
    <w:basedOn w:val="Normal"/>
    <w:next w:val="Normal"/>
    <w:link w:val="Heading9Char"/>
    <w:uiPriority w:val="9"/>
    <w:semiHidden/>
    <w:unhideWhenUsed/>
    <w:qFormat/>
    <w:rsid w:val="008E3FE1"/>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494"/>
    <w:pPr>
      <w:tabs>
        <w:tab w:val="center" w:pos="4513"/>
        <w:tab w:val="right" w:pos="9026"/>
      </w:tabs>
    </w:pPr>
  </w:style>
  <w:style w:type="character" w:customStyle="1" w:styleId="HeaderChar">
    <w:name w:val="Header Char"/>
    <w:basedOn w:val="DefaultParagraphFont"/>
    <w:link w:val="Header"/>
    <w:uiPriority w:val="99"/>
    <w:rsid w:val="00D75494"/>
  </w:style>
  <w:style w:type="paragraph" w:styleId="Footer">
    <w:name w:val="footer"/>
    <w:basedOn w:val="Normal"/>
    <w:link w:val="FooterChar"/>
    <w:uiPriority w:val="99"/>
    <w:unhideWhenUsed/>
    <w:rsid w:val="005E4C5E"/>
    <w:pPr>
      <w:tabs>
        <w:tab w:val="center" w:pos="4513"/>
        <w:tab w:val="right" w:pos="9026"/>
      </w:tabs>
      <w:jc w:val="right"/>
    </w:pPr>
    <w:rPr>
      <w:color w:val="004A80" w:themeColor="background2"/>
    </w:rPr>
  </w:style>
  <w:style w:type="character" w:customStyle="1" w:styleId="FooterChar">
    <w:name w:val="Footer Char"/>
    <w:basedOn w:val="DefaultParagraphFont"/>
    <w:link w:val="Footer"/>
    <w:uiPriority w:val="99"/>
    <w:rsid w:val="005E4C5E"/>
    <w:rPr>
      <w:color w:val="004A80" w:themeColor="background2"/>
      <w:sz w:val="22"/>
    </w:rPr>
  </w:style>
  <w:style w:type="paragraph" w:styleId="BalloonText">
    <w:name w:val="Balloon Text"/>
    <w:basedOn w:val="Normal"/>
    <w:link w:val="BalloonTextChar"/>
    <w:uiPriority w:val="99"/>
    <w:unhideWhenUsed/>
    <w:rsid w:val="00D75494"/>
    <w:rPr>
      <w:rFonts w:ascii="Tahoma" w:hAnsi="Tahoma" w:cs="Tahoma"/>
      <w:sz w:val="16"/>
      <w:szCs w:val="16"/>
    </w:rPr>
  </w:style>
  <w:style w:type="character" w:customStyle="1" w:styleId="BalloonTextChar">
    <w:name w:val="Balloon Text Char"/>
    <w:basedOn w:val="DefaultParagraphFont"/>
    <w:link w:val="BalloonText"/>
    <w:uiPriority w:val="99"/>
    <w:rsid w:val="00D75494"/>
    <w:rPr>
      <w:rFonts w:ascii="Tahoma" w:hAnsi="Tahoma" w:cs="Tahoma"/>
      <w:sz w:val="16"/>
      <w:szCs w:val="16"/>
    </w:rPr>
  </w:style>
  <w:style w:type="character" w:customStyle="1" w:styleId="Heading1Char">
    <w:name w:val="Heading 1 Char"/>
    <w:basedOn w:val="DefaultParagraphFont"/>
    <w:link w:val="Heading1"/>
    <w:uiPriority w:val="9"/>
    <w:rsid w:val="00D75494"/>
    <w:rPr>
      <w:rFonts w:asciiTheme="majorHAnsi" w:eastAsiaTheme="majorEastAsia" w:hAnsiTheme="majorHAnsi" w:cstheme="majorBidi"/>
      <w:b/>
      <w:bCs/>
      <w:color w:val="16325C" w:themeColor="text2"/>
      <w:sz w:val="40"/>
      <w:szCs w:val="28"/>
    </w:rPr>
  </w:style>
  <w:style w:type="table" w:styleId="TableGrid">
    <w:name w:val="Table Grid"/>
    <w:basedOn w:val="TableNormal"/>
    <w:uiPriority w:val="59"/>
    <w:rsid w:val="00D7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 text bold"/>
    <w:basedOn w:val="Normal"/>
    <w:qFormat/>
    <w:rsid w:val="00257032"/>
    <w:rPr>
      <w:b/>
    </w:rPr>
  </w:style>
  <w:style w:type="paragraph" w:customStyle="1" w:styleId="Tabletextindent">
    <w:name w:val="Table text indent"/>
    <w:basedOn w:val="Normal"/>
    <w:link w:val="TabletextindentChar"/>
    <w:qFormat/>
    <w:rsid w:val="00B6678C"/>
    <w:pPr>
      <w:ind w:left="284"/>
    </w:pPr>
  </w:style>
  <w:style w:type="paragraph" w:customStyle="1" w:styleId="Tabletext">
    <w:name w:val="Table text"/>
    <w:basedOn w:val="Normal"/>
    <w:link w:val="TabletextChar"/>
    <w:qFormat/>
    <w:rsid w:val="0014005E"/>
  </w:style>
  <w:style w:type="paragraph" w:customStyle="1" w:styleId="Tabletextbolditalic">
    <w:name w:val="Table text bold italic"/>
    <w:basedOn w:val="Tabletextbold"/>
    <w:qFormat/>
    <w:rsid w:val="00B6678C"/>
    <w:rPr>
      <w:i/>
    </w:rPr>
  </w:style>
  <w:style w:type="paragraph" w:customStyle="1" w:styleId="Boldintroductiontext">
    <w:name w:val="Bold introduction text"/>
    <w:basedOn w:val="Normal"/>
    <w:qFormat/>
    <w:rsid w:val="00C831C8"/>
    <w:pPr>
      <w:spacing w:after="240"/>
    </w:pPr>
    <w:rPr>
      <w:b/>
      <w:sz w:val="24"/>
      <w:szCs w:val="24"/>
    </w:r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145146"/>
    <w:pPr>
      <w:numPr>
        <w:numId w:val="1"/>
      </w:numPr>
    </w:pPr>
  </w:style>
  <w:style w:type="character" w:customStyle="1" w:styleId="TabletextindentChar">
    <w:name w:val="Table text indent Char"/>
    <w:basedOn w:val="DefaultParagraphFont"/>
    <w:link w:val="Tabletextindent"/>
    <w:rsid w:val="00145146"/>
    <w:rPr>
      <w:sz w:val="22"/>
    </w:rPr>
  </w:style>
  <w:style w:type="character" w:customStyle="1" w:styleId="BulletChar">
    <w:name w:val="Bullet Char"/>
    <w:aliases w:val="Body Char,Bulleted Para Char,Bullets Char,FooterText Char,L Char,List Paragraph Char,List Paragraph1 Char,List Paragraph11 Char,List Paragraph2 Char,Number Char,b + line Char,b + line Char Char,b Char,b Char Char,b1 Char,level 1 Char"/>
    <w:basedOn w:val="TabletextindentChar"/>
    <w:link w:val="Bullet"/>
    <w:qFormat/>
    <w:rsid w:val="00145146"/>
    <w:rPr>
      <w:sz w:val="22"/>
    </w:rPr>
  </w:style>
  <w:style w:type="paragraph" w:customStyle="1" w:styleId="Dash">
    <w:name w:val="Dash"/>
    <w:basedOn w:val="Normal"/>
    <w:link w:val="DashChar"/>
    <w:qFormat/>
    <w:rsid w:val="00145146"/>
    <w:pPr>
      <w:numPr>
        <w:ilvl w:val="1"/>
        <w:numId w:val="1"/>
      </w:numPr>
    </w:pPr>
  </w:style>
  <w:style w:type="character" w:customStyle="1" w:styleId="DashChar">
    <w:name w:val="Dash Char"/>
    <w:basedOn w:val="TabletextindentChar"/>
    <w:link w:val="Dash"/>
    <w:rsid w:val="00145146"/>
    <w:rPr>
      <w:sz w:val="22"/>
    </w:rPr>
  </w:style>
  <w:style w:type="paragraph" w:customStyle="1" w:styleId="DoubleDot">
    <w:name w:val="Double Dot"/>
    <w:basedOn w:val="Normal"/>
    <w:link w:val="DoubleDotChar"/>
    <w:qFormat/>
    <w:rsid w:val="00145146"/>
    <w:pPr>
      <w:numPr>
        <w:ilvl w:val="2"/>
        <w:numId w:val="1"/>
      </w:numPr>
    </w:pPr>
  </w:style>
  <w:style w:type="character" w:customStyle="1" w:styleId="DoubleDotChar">
    <w:name w:val="Double Dot Char"/>
    <w:basedOn w:val="TabletextindentChar"/>
    <w:link w:val="DoubleDot"/>
    <w:rsid w:val="00145146"/>
    <w:rPr>
      <w:sz w:val="22"/>
    </w:rPr>
  </w:style>
  <w:style w:type="character" w:customStyle="1" w:styleId="Heading9Char">
    <w:name w:val="Heading 9 Char"/>
    <w:basedOn w:val="DefaultParagraphFont"/>
    <w:link w:val="Heading9"/>
    <w:uiPriority w:val="9"/>
    <w:semiHidden/>
    <w:rsid w:val="008E3FE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8E3FE1"/>
    <w:rPr>
      <w:sz w:val="22"/>
    </w:rPr>
  </w:style>
  <w:style w:type="character" w:customStyle="1" w:styleId="TabletextChar">
    <w:name w:val="Table text Char"/>
    <w:basedOn w:val="DefaultParagraphFont"/>
    <w:link w:val="Tabletext"/>
    <w:rsid w:val="0014005E"/>
    <w:rPr>
      <w:sz w:val="22"/>
    </w:rPr>
  </w:style>
  <w:style w:type="character" w:styleId="CommentReference">
    <w:name w:val="annotation reference"/>
    <w:basedOn w:val="DefaultParagraphFont"/>
    <w:uiPriority w:val="99"/>
    <w:semiHidden/>
    <w:unhideWhenUsed/>
    <w:rsid w:val="001F1307"/>
    <w:rPr>
      <w:sz w:val="16"/>
      <w:szCs w:val="16"/>
    </w:rPr>
  </w:style>
  <w:style w:type="paragraph" w:styleId="CommentText">
    <w:name w:val="annotation text"/>
    <w:basedOn w:val="Normal"/>
    <w:link w:val="CommentTextChar"/>
    <w:uiPriority w:val="99"/>
    <w:semiHidden/>
    <w:unhideWhenUsed/>
    <w:rsid w:val="001F1307"/>
    <w:rPr>
      <w:sz w:val="20"/>
    </w:rPr>
  </w:style>
  <w:style w:type="character" w:customStyle="1" w:styleId="CommentTextChar">
    <w:name w:val="Comment Text Char"/>
    <w:basedOn w:val="DefaultParagraphFont"/>
    <w:link w:val="CommentText"/>
    <w:uiPriority w:val="99"/>
    <w:semiHidden/>
    <w:rsid w:val="001F1307"/>
  </w:style>
  <w:style w:type="paragraph" w:styleId="CommentSubject">
    <w:name w:val="annotation subject"/>
    <w:basedOn w:val="CommentText"/>
    <w:next w:val="CommentText"/>
    <w:link w:val="CommentSubjectChar"/>
    <w:uiPriority w:val="99"/>
    <w:semiHidden/>
    <w:unhideWhenUsed/>
    <w:rsid w:val="001F1307"/>
    <w:rPr>
      <w:b/>
      <w:bCs/>
    </w:rPr>
  </w:style>
  <w:style w:type="character" w:customStyle="1" w:styleId="CommentSubjectChar">
    <w:name w:val="Comment Subject Char"/>
    <w:basedOn w:val="CommentTextChar"/>
    <w:link w:val="CommentSubject"/>
    <w:uiPriority w:val="99"/>
    <w:semiHidden/>
    <w:rsid w:val="001F1307"/>
    <w:rPr>
      <w:b/>
      <w:bCs/>
    </w:rPr>
  </w:style>
  <w:style w:type="paragraph" w:customStyle="1" w:styleId="OutlineNumbered1">
    <w:name w:val="Outline Numbered 1"/>
    <w:basedOn w:val="Normal"/>
    <w:rsid w:val="00782473"/>
    <w:pPr>
      <w:numPr>
        <w:numId w:val="6"/>
      </w:numPr>
      <w:spacing w:after="200"/>
    </w:pPr>
    <w:rPr>
      <w:rFonts w:ascii="Times New Roman" w:eastAsia="Times New Roman" w:hAnsi="Times New Roman"/>
      <w:sz w:val="24"/>
      <w:lang w:eastAsia="en-AU"/>
    </w:rPr>
  </w:style>
  <w:style w:type="paragraph" w:customStyle="1" w:styleId="OutlineNumbered2">
    <w:name w:val="Outline Numbered 2"/>
    <w:basedOn w:val="Normal"/>
    <w:rsid w:val="00782473"/>
    <w:pPr>
      <w:numPr>
        <w:ilvl w:val="1"/>
        <w:numId w:val="6"/>
      </w:numPr>
      <w:spacing w:after="200"/>
    </w:pPr>
    <w:rPr>
      <w:rFonts w:ascii="Times New Roman" w:eastAsia="Times New Roman" w:hAnsi="Times New Roman"/>
      <w:sz w:val="24"/>
      <w:lang w:eastAsia="en-AU"/>
    </w:rPr>
  </w:style>
  <w:style w:type="paragraph" w:customStyle="1" w:styleId="OutlineNumbered3">
    <w:name w:val="Outline Numbered 3"/>
    <w:basedOn w:val="Normal"/>
    <w:rsid w:val="00782473"/>
    <w:pPr>
      <w:numPr>
        <w:ilvl w:val="2"/>
        <w:numId w:val="6"/>
      </w:numPr>
      <w:spacing w:after="200"/>
    </w:pPr>
    <w:rPr>
      <w:rFonts w:ascii="Times New Roman" w:eastAsia="Times New Roman" w:hAnsi="Times New Roman"/>
      <w:sz w:val="24"/>
      <w:lang w:eastAsia="en-AU"/>
    </w:rPr>
  </w:style>
  <w:style w:type="paragraph" w:styleId="ListParagraph">
    <w:name w:val="List Paragraph"/>
    <w:basedOn w:val="Normal"/>
    <w:uiPriority w:val="34"/>
    <w:qFormat/>
    <w:rsid w:val="002E1444"/>
    <w:pPr>
      <w:ind w:left="720"/>
      <w:contextualSpacing/>
    </w:pPr>
  </w:style>
  <w:style w:type="character" w:customStyle="1" w:styleId="Heading2Char">
    <w:name w:val="Heading 2 Char"/>
    <w:basedOn w:val="DefaultParagraphFont"/>
    <w:link w:val="Heading2"/>
    <w:uiPriority w:val="9"/>
    <w:semiHidden/>
    <w:rsid w:val="00D72305"/>
    <w:rPr>
      <w:rFonts w:asciiTheme="majorHAnsi" w:eastAsiaTheme="majorEastAsia" w:hAnsiTheme="majorHAnsi" w:cstheme="majorBidi"/>
      <w:color w:val="00568D" w:themeColor="accent1" w:themeShade="BF"/>
      <w:sz w:val="26"/>
      <w:szCs w:val="26"/>
    </w:rPr>
  </w:style>
  <w:style w:type="character" w:customStyle="1" w:styleId="Heading4Char">
    <w:name w:val="Heading 4 Char"/>
    <w:basedOn w:val="DefaultParagraphFont"/>
    <w:link w:val="Heading4"/>
    <w:uiPriority w:val="9"/>
    <w:semiHidden/>
    <w:rsid w:val="00D72305"/>
    <w:rPr>
      <w:rFonts w:asciiTheme="majorHAnsi" w:eastAsiaTheme="majorEastAsia" w:hAnsiTheme="majorHAnsi" w:cstheme="majorBidi"/>
      <w:i/>
      <w:iCs/>
      <w:color w:val="00568D" w:themeColor="accent1" w:themeShade="BF"/>
      <w:sz w:val="22"/>
    </w:rPr>
  </w:style>
  <w:style w:type="paragraph" w:customStyle="1" w:styleId="base-text-paragraph">
    <w:name w:val="base-text-paragraph"/>
    <w:basedOn w:val="Normal"/>
    <w:qFormat/>
    <w:rsid w:val="00445FFA"/>
    <w:pPr>
      <w:tabs>
        <w:tab w:val="num" w:pos="1985"/>
      </w:tabs>
      <w:spacing w:before="120"/>
      <w:ind w:left="1134"/>
    </w:pPr>
    <w:rPr>
      <w:rFonts w:ascii="Times New Roman" w:eastAsia="Times New Roman" w:hAnsi="Times New Roman"/>
      <w:lang w:eastAsia="en-AU"/>
    </w:rPr>
  </w:style>
  <w:style w:type="paragraph" w:customStyle="1" w:styleId="ChapterHeading">
    <w:name w:val="Chapter Heading"/>
    <w:next w:val="Heading2"/>
    <w:rsid w:val="00D72305"/>
    <w:pPr>
      <w:pBdr>
        <w:top w:val="single" w:sz="4" w:space="1" w:color="auto"/>
        <w:bottom w:val="single" w:sz="4" w:space="1" w:color="auto"/>
      </w:pBdr>
      <w:tabs>
        <w:tab w:val="num" w:pos="2978"/>
      </w:tabs>
      <w:spacing w:before="240" w:after="360" w:line="260" w:lineRule="atLeast"/>
    </w:pPr>
    <w:rPr>
      <w:rFonts w:ascii="Helvetica" w:eastAsia="Times New Roman" w:hAnsi="Helvetica"/>
      <w:b/>
      <w:i/>
      <w:sz w:val="38"/>
      <w:lang w:eastAsia="en-AU"/>
    </w:rPr>
  </w:style>
  <w:style w:type="numbering" w:customStyle="1" w:styleId="ChapterList">
    <w:name w:val="ChapterList"/>
    <w:uiPriority w:val="99"/>
    <w:rsid w:val="00D72305"/>
    <w:pPr>
      <w:numPr>
        <w:numId w:val="11"/>
      </w:numPr>
    </w:pPr>
  </w:style>
  <w:style w:type="paragraph" w:customStyle="1" w:styleId="Diagram">
    <w:name w:val="Diagram"/>
    <w:basedOn w:val="Normal"/>
    <w:next w:val="Normal"/>
    <w:rsid w:val="00445FFA"/>
    <w:pPr>
      <w:keepNext/>
      <w:spacing w:after="0"/>
      <w:ind w:left="1134"/>
    </w:pPr>
    <w:rPr>
      <w:rFonts w:ascii="Times New Roman" w:eastAsia="Times New Roman" w:hAnsi="Times New Roman"/>
      <w:b/>
      <w:lang w:eastAsia="en-AU"/>
    </w:rPr>
  </w:style>
  <w:style w:type="paragraph" w:customStyle="1" w:styleId="ExampleHeading">
    <w:name w:val="Example Heading"/>
    <w:basedOn w:val="Normal"/>
    <w:next w:val="Normal"/>
    <w:rsid w:val="00445FFA"/>
    <w:pPr>
      <w:keepNext/>
      <w:spacing w:before="120"/>
      <w:ind w:left="1134"/>
    </w:pPr>
    <w:rPr>
      <w:rFonts w:ascii="Times New Roman" w:eastAsia="Times New Roman" w:hAnsi="Times New Roman"/>
      <w:b/>
      <w:lang w:eastAsia="en-AU"/>
    </w:rPr>
  </w:style>
  <w:style w:type="paragraph" w:customStyle="1" w:styleId="tabletext0">
    <w:name w:val="table text"/>
    <w:basedOn w:val="Normal"/>
    <w:link w:val="tabletextChar0"/>
    <w:rsid w:val="00D72305"/>
    <w:pPr>
      <w:spacing w:before="40" w:after="40"/>
    </w:pPr>
    <w:rPr>
      <w:rFonts w:ascii="Times New Roman" w:eastAsia="Times New Roman" w:hAnsi="Times New Roman"/>
      <w:sz w:val="20"/>
      <w:lang w:eastAsia="en-AU"/>
    </w:rPr>
  </w:style>
  <w:style w:type="paragraph" w:customStyle="1" w:styleId="TableHeadingoutsidetable">
    <w:name w:val="Table Heading (outside table)"/>
    <w:basedOn w:val="Heading4"/>
    <w:rsid w:val="00D72305"/>
    <w:pPr>
      <w:keepLines w:val="0"/>
      <w:tabs>
        <w:tab w:val="num" w:pos="360"/>
      </w:tabs>
      <w:spacing w:before="120" w:after="200"/>
      <w:ind w:left="1277"/>
    </w:pPr>
    <w:rPr>
      <w:rFonts w:ascii="Times New Roman" w:eastAsia="Times New Roman" w:hAnsi="Times New Roman" w:cs="Times New Roman"/>
      <w:b/>
      <w:i w:val="0"/>
      <w:iCs w:val="0"/>
      <w:color w:val="auto"/>
      <w:lang w:eastAsia="en-AU"/>
    </w:rPr>
  </w:style>
  <w:style w:type="character" w:customStyle="1" w:styleId="tabletextChar0">
    <w:name w:val="table text Char"/>
    <w:basedOn w:val="DefaultParagraphFont"/>
    <w:link w:val="tabletext0"/>
    <w:rsid w:val="00D72305"/>
    <w:rPr>
      <w:rFonts w:ascii="Times New Roman" w:eastAsia="Times New Roman" w:hAnsi="Times New Roman"/>
      <w:lang w:eastAsia="en-AU"/>
    </w:rPr>
  </w:style>
  <w:style w:type="character" w:customStyle="1" w:styleId="Heading3Char">
    <w:name w:val="Heading 3 Char"/>
    <w:basedOn w:val="DefaultParagraphFont"/>
    <w:link w:val="Heading3"/>
    <w:uiPriority w:val="9"/>
    <w:semiHidden/>
    <w:rsid w:val="00D56AD7"/>
    <w:rPr>
      <w:rFonts w:asciiTheme="majorHAnsi" w:eastAsiaTheme="majorEastAsia" w:hAnsiTheme="majorHAnsi" w:cstheme="majorBidi"/>
      <w:color w:val="00395E" w:themeColor="accent1" w:themeShade="7F"/>
      <w:sz w:val="24"/>
      <w:szCs w:val="24"/>
    </w:rPr>
  </w:style>
  <w:style w:type="paragraph" w:customStyle="1" w:styleId="paragraph">
    <w:name w:val="paragraph"/>
    <w:aliases w:val="a"/>
    <w:basedOn w:val="Normal"/>
    <w:link w:val="paragraphChar"/>
    <w:rsid w:val="00623DD6"/>
    <w:pPr>
      <w:tabs>
        <w:tab w:val="right" w:pos="1531"/>
      </w:tabs>
      <w:spacing w:before="40" w:after="0"/>
      <w:ind w:left="1644" w:hanging="1644"/>
    </w:pPr>
    <w:rPr>
      <w:rFonts w:ascii="Times New Roman" w:eastAsia="Times New Roman" w:hAnsi="Times New Roman"/>
      <w:lang w:eastAsia="en-AU"/>
    </w:rPr>
  </w:style>
  <w:style w:type="character" w:customStyle="1" w:styleId="paragraphChar">
    <w:name w:val="paragraph Char"/>
    <w:aliases w:val="a Char"/>
    <w:link w:val="paragraph"/>
    <w:rsid w:val="00623DD6"/>
    <w:rPr>
      <w:rFonts w:ascii="Times New Roman" w:eastAsia="Times New Roman" w:hAnsi="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SYcorporate">
  <a:themeElements>
    <a:clrScheme name="Corporate">
      <a:dk1>
        <a:sysClr val="windowText" lastClr="000000"/>
      </a:dk1>
      <a:lt1>
        <a:sysClr val="window" lastClr="FFFFFF"/>
      </a:lt1>
      <a:dk2>
        <a:srgbClr val="16325C"/>
      </a:dk2>
      <a:lt2>
        <a:srgbClr val="004A80"/>
      </a:lt2>
      <a:accent1>
        <a:srgbClr val="0074BD"/>
      </a:accent1>
      <a:accent2>
        <a:srgbClr val="F06252"/>
      </a:accent2>
      <a:accent3>
        <a:srgbClr val="128E6D"/>
      </a:accent3>
      <a:accent4>
        <a:srgbClr val="404A8F"/>
      </a:accent4>
      <a:accent5>
        <a:srgbClr val="C8DD6B"/>
      </a:accent5>
      <a:accent6>
        <a:srgbClr val="00ABBD"/>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0f563589-9cf9-4143-b1eb-fb0534803d38">2021MG-1748039942-2024</_dlc_DocId>
    <TaxCatchAll xmlns="0f563589-9cf9-4143-b1eb-fb0534803d38">
      <Value>7</Value>
    </TaxCatchAll>
    <_dlc_DocIdUrl xmlns="0f563589-9cf9-4143-b1eb-fb0534803d38">
      <Url>http://tweb/sites/mg/ccpd/_layouts/15/DocIdRedir.aspx?ID=2021MG-1748039942-2024</Url>
      <Description>2021MG-1748039942-2024</Description>
    </_dlc_DocIdUrl>
    <SecurityClassification xmlns="d4dd4adf-ddb3-46a3-8d7c-fab3fb2a6b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04F5AB159D498D419BA23BA96E86E53F" ma:contentTypeVersion="40412" ma:contentTypeDescription="" ma:contentTypeScope="" ma:versionID="0a584d45d159dd4cc74ae18b2dcfb970">
  <xsd:schema xmlns:xsd="http://www.w3.org/2001/XMLSchema" xmlns:xs="http://www.w3.org/2001/XMLSchema" xmlns:p="http://schemas.microsoft.com/office/2006/metadata/properties" xmlns:ns1="http://schemas.microsoft.com/sharepoint/v3" xmlns:ns2="0f563589-9cf9-4143-b1eb-fb0534803d38" xmlns:ns3="d4dd4adf-ddb3-46a3-8d7c-fab3fb2a6bc7" targetNamespace="http://schemas.microsoft.com/office/2006/metadata/properties" ma:root="true" ma:fieldsID="2010ab89350e9e939e36ceb62d9065fb" ns1:_="" ns2:_="" ns3:_="">
    <xsd:import namespace="http://schemas.microsoft.com/sharepoint/v3"/>
    <xsd:import namespace="0f563589-9cf9-4143-b1eb-fb0534803d38"/>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6" nillable="true" ma:displayName="Security Classification" ma:internalName="SecurityClassific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D863A-14B0-462B-80C4-7E2C4019E0EE}">
  <ds:schemaRefs>
    <ds:schemaRef ds:uri="http://schemas.microsoft.com/sharepoint/events"/>
  </ds:schemaRefs>
</ds:datastoreItem>
</file>

<file path=customXml/itemProps2.xml><?xml version="1.0" encoding="utf-8"?>
<ds:datastoreItem xmlns:ds="http://schemas.openxmlformats.org/officeDocument/2006/customXml" ds:itemID="{4CFF929D-ABE6-422D-92DE-4BDC2ADB1E3D}">
  <ds:schemaRef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purl.org/dc/terms/"/>
    <ds:schemaRef ds:uri="d4dd4adf-ddb3-46a3-8d7c-fab3fb2a6bc7"/>
    <ds:schemaRef ds:uri="http://www.w3.org/XML/1998/namespace"/>
    <ds:schemaRef ds:uri="http://purl.org/dc/dcmitype/"/>
  </ds:schemaRefs>
</ds:datastoreItem>
</file>

<file path=customXml/itemProps3.xml><?xml version="1.0" encoding="utf-8"?>
<ds:datastoreItem xmlns:ds="http://schemas.openxmlformats.org/officeDocument/2006/customXml" ds:itemID="{F30BF8FF-F31A-43B2-B8A7-B3A19CC81FB0}">
  <ds:schemaRefs>
    <ds:schemaRef ds:uri="http://schemas.microsoft.com/sharepoint/v3/contenttype/forms"/>
  </ds:schemaRefs>
</ds:datastoreItem>
</file>

<file path=customXml/itemProps4.xml><?xml version="1.0" encoding="utf-8"?>
<ds:datastoreItem xmlns:ds="http://schemas.openxmlformats.org/officeDocument/2006/customXml" ds:itemID="{D4D6A003-327D-472F-944A-6496678BFDAB}">
  <ds:schemaRefs>
    <ds:schemaRef ds:uri="office.server.policy"/>
  </ds:schemaRefs>
</ds:datastoreItem>
</file>

<file path=customXml/itemProps5.xml><?xml version="1.0" encoding="utf-8"?>
<ds:datastoreItem xmlns:ds="http://schemas.openxmlformats.org/officeDocument/2006/customXml" ds:itemID="{866DD85E-0B49-4D61-A592-AE291052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16215A-CB87-4E88-BCB2-56E0E36F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4973</Words>
  <Characters>26107</Characters>
  <Application>Microsoft Office Word</Application>
  <DocSecurity>0</DocSecurity>
  <Lines>586</Lines>
  <Paragraphs>212</Paragraphs>
  <ScaleCrop>false</ScaleCrop>
  <HeadingPairs>
    <vt:vector size="2" baseType="variant">
      <vt:variant>
        <vt:lpstr>Title</vt:lpstr>
      </vt:variant>
      <vt:variant>
        <vt:i4>1</vt:i4>
      </vt:variant>
    </vt:vector>
  </HeadingPairs>
  <TitlesOfParts>
    <vt:vector size="1" baseType="lpstr">
      <vt:lpstr>Corporate Collective Investment Vehicle - Consultation cover note </vt:lpstr>
    </vt:vector>
  </TitlesOfParts>
  <Company/>
  <LinksUpToDate>false</LinksUpToDate>
  <CharactersWithSpaces>30959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Collective Investment Vehicle - Consultation cover note </dc:title>
  <dc:subject/>
  <dc:creator/>
  <cp:keywords/>
  <cp:lastModifiedBy/>
  <cp:revision>1</cp:revision>
  <dcterms:created xsi:type="dcterms:W3CDTF">2021-08-26T22:18:00Z</dcterms:created>
  <dcterms:modified xsi:type="dcterms:W3CDTF">2021-08-26T23:05:00Z</dcterms:modified>
</cp:coreProperties>
</file>