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4F6323" w:rsidTr="004F6323">
        <w:tc>
          <w:tcPr>
            <w:tcW w:w="5000" w:type="pct"/>
            <w:shd w:val="clear" w:color="auto" w:fill="auto"/>
          </w:tcPr>
          <w:p w:rsidR="004F6323" w:rsidRDefault="004F6323" w:rsidP="004F6323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4F6323" w:rsidRPr="004F6323" w:rsidRDefault="004F6323" w:rsidP="004F6323">
            <w:pPr>
              <w:rPr>
                <w:b/>
                <w:sz w:val="20"/>
              </w:rPr>
            </w:pPr>
          </w:p>
        </w:tc>
      </w:tr>
    </w:tbl>
    <w:p w:rsidR="004F6323" w:rsidRDefault="004F6323" w:rsidP="00064C82">
      <w:pPr>
        <w:rPr>
          <w:sz w:val="32"/>
          <w:szCs w:val="32"/>
        </w:rPr>
      </w:pPr>
    </w:p>
    <w:p w:rsidR="00664C63" w:rsidRPr="00932FA3" w:rsidRDefault="00664C63" w:rsidP="00064C82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B865B2" w:rsidP="00064C82">
      <w:pPr>
        <w:pStyle w:val="ShortT"/>
      </w:pPr>
      <w:r w:rsidRPr="00C87420">
        <w:t xml:space="preserve">Treasury Laws Amendment (Corporate Collective Investment Vehicle) Bill </w:t>
      </w:r>
      <w:r>
        <w:t>2021</w:t>
      </w:r>
      <w:r w:rsidR="00664C63">
        <w:t xml:space="preserve">: </w:t>
      </w:r>
      <w:r w:rsidRPr="00C87420">
        <w:t xml:space="preserve"> (Tax treatment)</w:t>
      </w:r>
    </w:p>
    <w:p w:rsidR="00664C63" w:rsidRDefault="00664C63" w:rsidP="00064C82">
      <w:pPr>
        <w:jc w:val="center"/>
      </w:pPr>
    </w:p>
    <w:p w:rsidR="000724DF" w:rsidRPr="00787F1B" w:rsidRDefault="000724DF" w:rsidP="000724D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0724DF" w:rsidRPr="00787F1B" w:rsidTr="001D017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Commencement information</w:t>
            </w:r>
          </w:p>
        </w:tc>
      </w:tr>
      <w:tr w:rsidR="000724DF" w:rsidRPr="00787F1B" w:rsidTr="001D017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Column 3</w:t>
            </w:r>
          </w:p>
        </w:tc>
      </w:tr>
      <w:tr w:rsidR="000724DF" w:rsidRPr="00787F1B" w:rsidTr="001D017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Heading"/>
            </w:pPr>
            <w:r w:rsidRPr="00787F1B">
              <w:t>Date/Details</w:t>
            </w:r>
          </w:p>
        </w:tc>
      </w:tr>
      <w:tr w:rsidR="000724DF" w:rsidRPr="00787F1B" w:rsidTr="001D017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4DF" w:rsidRPr="00787F1B" w:rsidRDefault="000724DF" w:rsidP="001D0178">
            <w:pPr>
              <w:pStyle w:val="Tabletext"/>
            </w:pPr>
            <w:r>
              <w:t>1</w:t>
            </w:r>
            <w:r w:rsidRPr="00787F1B">
              <w:t>.  Schedule</w:t>
            </w:r>
            <w:r>
              <w:t xml:space="preserve"> </w:t>
            </w:r>
            <w:r w:rsidR="007072DA">
              <w:t>4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4DF" w:rsidRPr="00692C73" w:rsidRDefault="000724DF" w:rsidP="001D0178">
            <w:pPr>
              <w:pStyle w:val="Tablea"/>
            </w:pPr>
            <w:r w:rsidRPr="00692C73">
              <w:t>1 July 2022.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4DF" w:rsidRPr="00692C73" w:rsidRDefault="000724DF" w:rsidP="001D0178">
            <w:pPr>
              <w:pStyle w:val="Tabletext"/>
            </w:pPr>
            <w:r w:rsidRPr="00692C73">
              <w:t>1 July 2022</w:t>
            </w:r>
          </w:p>
        </w:tc>
      </w:tr>
    </w:tbl>
    <w:p w:rsidR="00664C63" w:rsidRDefault="00664C63" w:rsidP="00064C82">
      <w:pPr>
        <w:pStyle w:val="Tabletext"/>
      </w:pPr>
    </w:p>
    <w:bookmarkStart w:id="1" w:name="_Toc77083658"/>
    <w:p w:rsidR="008428B0" w:rsidRDefault="007D3A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07CD">
        <w:rPr>
          <w:sz w:val="32"/>
        </w:rPr>
        <w:fldChar w:fldCharType="begin"/>
      </w:r>
      <w:r w:rsidRPr="008707CD">
        <w:rPr>
          <w:sz w:val="32"/>
        </w:rPr>
        <w:instrText xml:space="preserve"> TOC \o "1-9" </w:instrText>
      </w:r>
      <w:r w:rsidRPr="008707CD">
        <w:rPr>
          <w:sz w:val="32"/>
        </w:rPr>
        <w:fldChar w:fldCharType="separate"/>
      </w:r>
      <w:r w:rsidR="008428B0">
        <w:rPr>
          <w:noProof/>
        </w:rPr>
        <w:t>Schedule 4—Amendments of taxation laws</w:t>
      </w:r>
      <w:r w:rsidR="008428B0">
        <w:rPr>
          <w:noProof/>
        </w:rPr>
        <w:tab/>
      </w:r>
      <w:r w:rsidR="008428B0">
        <w:rPr>
          <w:noProof/>
        </w:rPr>
        <w:fldChar w:fldCharType="begin"/>
      </w:r>
      <w:r w:rsidR="008428B0">
        <w:rPr>
          <w:noProof/>
        </w:rPr>
        <w:instrText xml:space="preserve"> PAGEREF _Toc80625216 \h </w:instrText>
      </w:r>
      <w:r w:rsidR="008428B0">
        <w:rPr>
          <w:noProof/>
        </w:rPr>
      </w:r>
      <w:r w:rsidR="008428B0">
        <w:rPr>
          <w:noProof/>
        </w:rPr>
        <w:fldChar w:fldCharType="separate"/>
      </w:r>
      <w:r w:rsidR="0070734E">
        <w:rPr>
          <w:noProof/>
        </w:rPr>
        <w:t>2</w:t>
      </w:r>
      <w:r w:rsidR="008428B0">
        <w:rPr>
          <w:noProof/>
        </w:rPr>
        <w:fldChar w:fldCharType="end"/>
      </w:r>
    </w:p>
    <w:p w:rsidR="008428B0" w:rsidRDefault="008428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_Toc80625217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2</w:t>
      </w:r>
      <w:r>
        <w:rPr>
          <w:noProof/>
        </w:rPr>
        <w:fldChar w:fldCharType="end"/>
      </w:r>
    </w:p>
    <w:p w:rsidR="008428B0" w:rsidRDefault="008428B0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195</w:t>
      </w:r>
      <w:r>
        <w:rPr>
          <w:noProof/>
        </w:rPr>
        <w:noBreakHyphen/>
        <w:t>C—Corporate collective investment vehicles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_Toc80625218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2</w:t>
      </w:r>
      <w:r>
        <w:rPr>
          <w:noProof/>
        </w:rPr>
        <w:fldChar w:fldCharType="end"/>
      </w:r>
    </w:p>
    <w:p w:rsidR="008428B0" w:rsidRDefault="008428B0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Guide to Subdivision 195</w:t>
      </w:r>
      <w:r>
        <w:rPr>
          <w:noProof/>
        </w:rPr>
        <w:noBreakHyphen/>
        <w:t>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_Toc80625219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2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195-100  What this Subdivision is about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_Toc80625220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2</w:t>
      </w:r>
      <w:r>
        <w:rPr>
          <w:noProof/>
        </w:rPr>
        <w:fldChar w:fldCharType="end"/>
      </w:r>
    </w:p>
    <w:p w:rsidR="008428B0" w:rsidRDefault="008428B0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Operative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_Toc80625221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3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195-105  Effect of this Subdivision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_Toc80625222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3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195-110  Each sub</w:t>
      </w:r>
      <w:r>
        <w:rPr>
          <w:noProof/>
        </w:rPr>
        <w:noBreakHyphen/>
        <w:t>fund of a CCIV is taken to be a separate trust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_Toc80625223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3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195-115  A CCIV sub</w:t>
      </w:r>
      <w:r>
        <w:rPr>
          <w:noProof/>
        </w:rPr>
        <w:noBreakHyphen/>
        <w:t>fund trust is a unit trust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_Toc80625224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4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195-120  Beneficiary of a CCIV sub</w:t>
      </w:r>
      <w:r>
        <w:rPr>
          <w:noProof/>
        </w:rPr>
        <w:noBreakHyphen/>
        <w:t>fund trust has fixed entitlements to shares of income and capital of the trust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_Toc80625225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4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195-125  Beneficiary of a CCIV sub</w:t>
      </w:r>
      <w:r>
        <w:rPr>
          <w:noProof/>
        </w:rPr>
        <w:noBreakHyphen/>
        <w:t>fund trust is presently entitled to trust income represented by dividend received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_Toc80625226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5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195-130  Application of Division 275 (managed investment trusts) to a CCIV sub</w:t>
      </w:r>
      <w:r>
        <w:rPr>
          <w:noProof/>
        </w:rPr>
        <w:noBreakHyphen/>
        <w:t>fund trust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_Toc80625227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6</w:t>
      </w:r>
      <w:r>
        <w:rPr>
          <w:noProof/>
        </w:rPr>
        <w:fldChar w:fldCharType="end"/>
      </w:r>
    </w:p>
    <w:p w:rsidR="008428B0" w:rsidRDefault="008428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195-135  Application of Division 276 (AMITs) to a CCIV sub</w:t>
      </w:r>
      <w:r>
        <w:rPr>
          <w:noProof/>
        </w:rPr>
        <w:noBreakHyphen/>
        <w:t>fund trust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_Toc80625228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7</w:t>
      </w:r>
      <w:r>
        <w:rPr>
          <w:noProof/>
        </w:rPr>
        <w:fldChar w:fldCharType="end"/>
      </w:r>
    </w:p>
    <w:p w:rsidR="008428B0" w:rsidRDefault="008428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Tax Agreements Act 1953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_Toc80625229 \h </w:instrText>
      </w:r>
      <w:r>
        <w:rPr>
          <w:noProof/>
        </w:rPr>
      </w:r>
      <w:r>
        <w:rPr>
          <w:noProof/>
        </w:rPr>
        <w:fldChar w:fldCharType="separate"/>
      </w:r>
      <w:r w:rsidR="0070734E">
        <w:rPr>
          <w:noProof/>
        </w:rPr>
        <w:t>8</w:t>
      </w:r>
      <w:r>
        <w:rPr>
          <w:noProof/>
        </w:rPr>
        <w:fldChar w:fldCharType="end"/>
      </w:r>
    </w:p>
    <w:p w:rsidR="002F08AA" w:rsidRPr="006F2EF0" w:rsidRDefault="007D3A73" w:rsidP="00064C82">
      <w:pPr>
        <w:rPr>
          <w:sz w:val="32"/>
        </w:rPr>
      </w:pPr>
      <w:r w:rsidRPr="008707CD">
        <w:rPr>
          <w:sz w:val="32"/>
        </w:rPr>
        <w:fldChar w:fldCharType="end"/>
      </w:r>
    </w:p>
    <w:p w:rsidR="002D452B" w:rsidRPr="00C87420" w:rsidRDefault="002D452B" w:rsidP="00064C82">
      <w:pPr>
        <w:pStyle w:val="ActHead6"/>
        <w:pageBreakBefore/>
      </w:pPr>
      <w:bookmarkStart w:id="2" w:name="_Toc80625216"/>
      <w:r w:rsidRPr="004F6323">
        <w:rPr>
          <w:rStyle w:val="CharAmSchNo"/>
        </w:rPr>
        <w:lastRenderedPageBreak/>
        <w:t>Schedule </w:t>
      </w:r>
      <w:r w:rsidR="007072DA" w:rsidRPr="004F6323">
        <w:rPr>
          <w:rStyle w:val="CharAmSchNo"/>
        </w:rPr>
        <w:t>4</w:t>
      </w:r>
      <w:r w:rsidRPr="00C87420">
        <w:t>—</w:t>
      </w:r>
      <w:bookmarkEnd w:id="1"/>
      <w:r w:rsidR="00573B96" w:rsidRPr="004F6323">
        <w:rPr>
          <w:rStyle w:val="CharAmSchText"/>
        </w:rPr>
        <w:t>Amendments of taxation laws</w:t>
      </w:r>
      <w:bookmarkEnd w:id="2"/>
    </w:p>
    <w:p w:rsidR="002D452B" w:rsidRPr="004F6323" w:rsidRDefault="002D452B" w:rsidP="00064C82">
      <w:pPr>
        <w:pStyle w:val="Header"/>
      </w:pPr>
      <w:r w:rsidRPr="004F6323">
        <w:rPr>
          <w:rStyle w:val="CharAmPartNo"/>
        </w:rPr>
        <w:t xml:space="preserve"> </w:t>
      </w:r>
      <w:r w:rsidRPr="004F6323">
        <w:rPr>
          <w:rStyle w:val="CharAmPartText"/>
        </w:rPr>
        <w:t xml:space="preserve"> </w:t>
      </w:r>
    </w:p>
    <w:p w:rsidR="002D452B" w:rsidRPr="00C87420" w:rsidRDefault="002D452B" w:rsidP="00064C82">
      <w:pPr>
        <w:pStyle w:val="ActHead9"/>
        <w:rPr>
          <w:i w:val="0"/>
        </w:rPr>
      </w:pPr>
      <w:bookmarkStart w:id="3" w:name="_Toc77083659"/>
      <w:bookmarkStart w:id="4" w:name="_Toc80625217"/>
      <w:r w:rsidRPr="00C87420">
        <w:t>Income Tax Assessment Act 1997</w:t>
      </w:r>
      <w:bookmarkEnd w:id="3"/>
      <w:bookmarkEnd w:id="4"/>
    </w:p>
    <w:p w:rsidR="002D452B" w:rsidRPr="00C87420" w:rsidRDefault="00157D5F" w:rsidP="00064C82">
      <w:pPr>
        <w:pStyle w:val="ItemHead"/>
      </w:pPr>
      <w:r>
        <w:t>1</w:t>
      </w:r>
      <w:r w:rsidR="002D452B" w:rsidRPr="00C87420">
        <w:t xml:space="preserve">  At the end of Division 195</w:t>
      </w:r>
    </w:p>
    <w:p w:rsidR="002D452B" w:rsidRPr="00C87420" w:rsidRDefault="002D452B" w:rsidP="00064C82">
      <w:pPr>
        <w:pStyle w:val="Item"/>
      </w:pPr>
      <w:r w:rsidRPr="00C87420">
        <w:t>Add:</w:t>
      </w:r>
    </w:p>
    <w:p w:rsidR="002D452B" w:rsidRPr="00C87420" w:rsidRDefault="004A45CA" w:rsidP="00064C82">
      <w:pPr>
        <w:pStyle w:val="ActHead4"/>
      </w:pPr>
      <w:bookmarkStart w:id="5" w:name="_Toc66977401"/>
      <w:bookmarkStart w:id="6" w:name="_Toc77083660"/>
      <w:bookmarkStart w:id="7" w:name="_Toc80625218"/>
      <w:r w:rsidRPr="004F6323">
        <w:rPr>
          <w:rStyle w:val="CharSubdNo"/>
        </w:rPr>
        <w:t>Subdivision 1</w:t>
      </w:r>
      <w:r w:rsidR="002D452B" w:rsidRPr="004F6323">
        <w:rPr>
          <w:rStyle w:val="CharSubdNo"/>
        </w:rPr>
        <w:t>95</w:t>
      </w:r>
      <w:r w:rsidR="00064C82" w:rsidRPr="004F6323">
        <w:rPr>
          <w:rStyle w:val="CharSubdNo"/>
        </w:rPr>
        <w:noBreakHyphen/>
      </w:r>
      <w:r w:rsidR="002D452B" w:rsidRPr="004F6323">
        <w:rPr>
          <w:rStyle w:val="CharSubdNo"/>
        </w:rPr>
        <w:t>C</w:t>
      </w:r>
      <w:r w:rsidR="002D452B" w:rsidRPr="00C87420">
        <w:t>—</w:t>
      </w:r>
      <w:r w:rsidR="002D452B" w:rsidRPr="004F6323">
        <w:rPr>
          <w:rStyle w:val="CharSubdText"/>
        </w:rPr>
        <w:t>Corporate collective investment vehicles</w:t>
      </w:r>
      <w:bookmarkEnd w:id="5"/>
      <w:bookmarkEnd w:id="6"/>
      <w:bookmarkEnd w:id="7"/>
    </w:p>
    <w:p w:rsidR="002D452B" w:rsidRPr="00C87420" w:rsidRDefault="002D452B" w:rsidP="00064C82">
      <w:pPr>
        <w:pStyle w:val="ActHead4"/>
      </w:pPr>
      <w:bookmarkStart w:id="8" w:name="_Toc66977402"/>
      <w:bookmarkStart w:id="9" w:name="_Toc77083661"/>
      <w:bookmarkStart w:id="10" w:name="_Toc80625219"/>
      <w:r w:rsidRPr="00C87420">
        <w:t xml:space="preserve">Guide to </w:t>
      </w:r>
      <w:r w:rsidR="004A45CA">
        <w:t>Subdivision 1</w:t>
      </w:r>
      <w:r w:rsidRPr="00C87420">
        <w:t>95</w:t>
      </w:r>
      <w:r w:rsidR="00064C82">
        <w:noBreakHyphen/>
      </w:r>
      <w:r w:rsidRPr="00C87420">
        <w:t>C</w:t>
      </w:r>
      <w:bookmarkEnd w:id="8"/>
      <w:bookmarkEnd w:id="9"/>
      <w:bookmarkEnd w:id="10"/>
    </w:p>
    <w:p w:rsidR="002D452B" w:rsidRPr="00C87420" w:rsidRDefault="008A3D7A" w:rsidP="00064C82">
      <w:pPr>
        <w:pStyle w:val="ActHead5"/>
      </w:pPr>
      <w:bookmarkStart w:id="11" w:name="_Toc66977403"/>
      <w:bookmarkStart w:id="12" w:name="_Toc77083662"/>
      <w:bookmarkStart w:id="13" w:name="_Toc80625220"/>
      <w:r w:rsidRPr="004F6323">
        <w:rPr>
          <w:rStyle w:val="CharSectno"/>
        </w:rPr>
        <w:t>195-100</w:t>
      </w:r>
      <w:r w:rsidR="002D452B" w:rsidRPr="00C87420">
        <w:t xml:space="preserve">  What this Subdivision is about</w:t>
      </w:r>
      <w:bookmarkEnd w:id="11"/>
      <w:bookmarkEnd w:id="12"/>
      <w:bookmarkEnd w:id="13"/>
    </w:p>
    <w:p w:rsidR="002D452B" w:rsidRDefault="003670FD" w:rsidP="00064C82">
      <w:pPr>
        <w:pStyle w:val="SOText"/>
      </w:pPr>
      <w:r>
        <w:t>The business, assets and liabilities of each sub</w:t>
      </w:r>
      <w:r w:rsidR="00064C82">
        <w:noBreakHyphen/>
      </w:r>
      <w:r>
        <w:t xml:space="preserve">fund of a CCIV are taken to constitute </w:t>
      </w:r>
      <w:r w:rsidR="00467A8D">
        <w:t>the</w:t>
      </w:r>
      <w:r>
        <w:t xml:space="preserve"> trust estate</w:t>
      </w:r>
      <w:r w:rsidR="00467A8D">
        <w:t xml:space="preserve"> of a separate trust</w:t>
      </w:r>
      <w:r>
        <w:t>, of which the CCIV is the trustee and the members of the sub</w:t>
      </w:r>
      <w:r w:rsidR="00064C82">
        <w:noBreakHyphen/>
      </w:r>
      <w:r>
        <w:t>fund are the beneficiaries</w:t>
      </w:r>
      <w:r w:rsidR="002D452B" w:rsidRPr="00C87420">
        <w:t>.</w:t>
      </w:r>
    </w:p>
    <w:p w:rsidR="003670FD" w:rsidRDefault="003670FD" w:rsidP="00064C82">
      <w:pPr>
        <w:pStyle w:val="SOText"/>
      </w:pPr>
      <w:r>
        <w:t xml:space="preserve">This Subdivision includes additional rules to facilitate the </w:t>
      </w:r>
      <w:r w:rsidR="00351D01">
        <w:t xml:space="preserve">CCIV, and the </w:t>
      </w:r>
      <w:r>
        <w:t>sub</w:t>
      </w:r>
      <w:r w:rsidR="00064C82">
        <w:noBreakHyphen/>
      </w:r>
      <w:r>
        <w:t xml:space="preserve">fund </w:t>
      </w:r>
      <w:r w:rsidR="00351D01">
        <w:t xml:space="preserve">and its members, </w:t>
      </w:r>
      <w:r>
        <w:t xml:space="preserve">being taxed </w:t>
      </w:r>
      <w:r w:rsidR="00351D01">
        <w:t>on this basis.</w:t>
      </w:r>
    </w:p>
    <w:p w:rsidR="00351D01" w:rsidRPr="00C87420" w:rsidRDefault="00FD7091" w:rsidP="00064C82">
      <w:pPr>
        <w:pStyle w:val="SOText"/>
      </w:pPr>
      <w:r w:rsidRPr="00D82D60">
        <w:t>This includes modified rules for determining whether a trust is a managed investment trust or an attribution managed investment trust.</w:t>
      </w:r>
    </w:p>
    <w:p w:rsidR="002D452B" w:rsidRPr="00C87420" w:rsidRDefault="002D452B" w:rsidP="00064C82">
      <w:pPr>
        <w:pStyle w:val="TofSectsHeading"/>
      </w:pPr>
      <w:r w:rsidRPr="00C87420">
        <w:t>Table of sections</w:t>
      </w:r>
    </w:p>
    <w:p w:rsidR="00D2363F" w:rsidRPr="00C87420" w:rsidRDefault="00D2363F" w:rsidP="00D2363F">
      <w:pPr>
        <w:pStyle w:val="TofSectsGroupHeading"/>
      </w:pPr>
      <w:bookmarkStart w:id="14" w:name="_Toc66977404"/>
      <w:bookmarkStart w:id="15" w:name="_Toc77083663"/>
      <w:bookmarkStart w:id="16" w:name="_Hlk79831225"/>
      <w:r w:rsidRPr="00C87420">
        <w:t>Operative provisions</w:t>
      </w:r>
    </w:p>
    <w:p w:rsidR="00D2363F" w:rsidRPr="00C87420" w:rsidRDefault="00D2363F" w:rsidP="00D2363F">
      <w:pPr>
        <w:pStyle w:val="TofSectsSection"/>
      </w:pPr>
      <w:r w:rsidRPr="004F6323">
        <w:t>195-105</w:t>
      </w:r>
      <w:r>
        <w:tab/>
        <w:t>Effect of this Subdivision</w:t>
      </w:r>
    </w:p>
    <w:p w:rsidR="00D2363F" w:rsidRPr="00C87420" w:rsidRDefault="00D2363F" w:rsidP="00D2363F">
      <w:pPr>
        <w:pStyle w:val="TofSectsSection"/>
      </w:pPr>
      <w:r w:rsidRPr="004F6323">
        <w:t>195-110</w:t>
      </w:r>
      <w:r>
        <w:tab/>
        <w:t>E</w:t>
      </w:r>
      <w:r w:rsidRPr="00C87420">
        <w:t>ach sub</w:t>
      </w:r>
      <w:r>
        <w:noBreakHyphen/>
      </w:r>
      <w:r w:rsidRPr="00C87420">
        <w:t>fund</w:t>
      </w:r>
      <w:r>
        <w:t xml:space="preserve"> of a CCIV is taken to be a separate trust</w:t>
      </w:r>
    </w:p>
    <w:p w:rsidR="00D2363F" w:rsidRDefault="00D2363F" w:rsidP="00D2363F">
      <w:pPr>
        <w:pStyle w:val="TofSectsSection"/>
      </w:pPr>
      <w:r w:rsidRPr="004F6323">
        <w:t>195-115</w:t>
      </w:r>
      <w:r>
        <w:tab/>
        <w:t>A CCIV sub</w:t>
      </w:r>
      <w:r>
        <w:noBreakHyphen/>
        <w:t>fund trust is a unit trust</w:t>
      </w:r>
    </w:p>
    <w:p w:rsidR="00D2363F" w:rsidRDefault="00D2363F" w:rsidP="00D2363F">
      <w:pPr>
        <w:pStyle w:val="TofSectsSection"/>
      </w:pPr>
      <w:r w:rsidRPr="004F6323">
        <w:t>195-120</w:t>
      </w:r>
      <w:r>
        <w:tab/>
        <w:t>Beneficiary of a CCIV sub</w:t>
      </w:r>
      <w:r>
        <w:noBreakHyphen/>
        <w:t>fund trust has fixed entitlements to shares of income and capital of the trust</w:t>
      </w:r>
    </w:p>
    <w:p w:rsidR="00D2363F" w:rsidRDefault="00D2363F" w:rsidP="00D2363F">
      <w:pPr>
        <w:pStyle w:val="TofSectsSection"/>
      </w:pPr>
      <w:r w:rsidRPr="004F6323">
        <w:t>195-125</w:t>
      </w:r>
      <w:r>
        <w:tab/>
        <w:t>Beneficiary of a CCIV sub</w:t>
      </w:r>
      <w:r>
        <w:noBreakHyphen/>
        <w:t xml:space="preserve">fund trust is presently entitled to trust income represented by dividend received </w:t>
      </w:r>
    </w:p>
    <w:p w:rsidR="00D2363F" w:rsidRPr="00D82D60" w:rsidRDefault="00D2363F" w:rsidP="00D2363F">
      <w:pPr>
        <w:pStyle w:val="TofSectsSection"/>
      </w:pPr>
      <w:r w:rsidRPr="004F6323">
        <w:t>195-130</w:t>
      </w:r>
      <w:r>
        <w:tab/>
      </w:r>
      <w:r w:rsidRPr="00D82D60">
        <w:t xml:space="preserve">Application of </w:t>
      </w:r>
      <w:r>
        <w:t>Division 275</w:t>
      </w:r>
      <w:r w:rsidRPr="00D82D60">
        <w:t xml:space="preserve"> (managed investment trusts) to a CCIV sub</w:t>
      </w:r>
      <w:r>
        <w:noBreakHyphen/>
      </w:r>
      <w:r w:rsidRPr="00D82D60">
        <w:t>fund trust</w:t>
      </w:r>
    </w:p>
    <w:p w:rsidR="00D2363F" w:rsidRPr="00D82D60" w:rsidRDefault="00D2363F" w:rsidP="00D2363F">
      <w:pPr>
        <w:pStyle w:val="TofSectsSection"/>
      </w:pPr>
      <w:bookmarkStart w:id="17" w:name="Heading"/>
      <w:r w:rsidRPr="004F6323">
        <w:t>195-135</w:t>
      </w:r>
      <w:r>
        <w:tab/>
      </w:r>
      <w:r w:rsidRPr="00D82D60">
        <w:t xml:space="preserve">Application of </w:t>
      </w:r>
      <w:r>
        <w:t>Division 276</w:t>
      </w:r>
      <w:r w:rsidRPr="00D82D60">
        <w:t xml:space="preserve"> (AMITs) to a CCIV sub</w:t>
      </w:r>
      <w:r>
        <w:noBreakHyphen/>
      </w:r>
      <w:r w:rsidRPr="00D82D60">
        <w:t>fund trust</w:t>
      </w:r>
    </w:p>
    <w:p w:rsidR="002D452B" w:rsidRPr="00C87420" w:rsidRDefault="002D452B" w:rsidP="00064C82">
      <w:pPr>
        <w:pStyle w:val="ActHead4"/>
      </w:pPr>
      <w:bookmarkStart w:id="18" w:name="_Toc80625221"/>
      <w:bookmarkEnd w:id="17"/>
      <w:r w:rsidRPr="00C87420">
        <w:lastRenderedPageBreak/>
        <w:t>Operative provisions</w:t>
      </w:r>
      <w:bookmarkEnd w:id="14"/>
      <w:bookmarkEnd w:id="15"/>
      <w:bookmarkEnd w:id="18"/>
    </w:p>
    <w:p w:rsidR="002D452B" w:rsidRPr="00C87420" w:rsidRDefault="008A3D7A" w:rsidP="00064C82">
      <w:pPr>
        <w:pStyle w:val="ActHead5"/>
      </w:pPr>
      <w:bookmarkStart w:id="19" w:name="_Toc66977405"/>
      <w:bookmarkStart w:id="20" w:name="_Toc77083664"/>
      <w:bookmarkStart w:id="21" w:name="_Toc80625222"/>
      <w:bookmarkStart w:id="22" w:name="_Hlk77085113"/>
      <w:bookmarkEnd w:id="16"/>
      <w:r w:rsidRPr="004F6323">
        <w:rPr>
          <w:rStyle w:val="CharSectno"/>
        </w:rPr>
        <w:t>195-105</w:t>
      </w:r>
      <w:r w:rsidR="002D452B" w:rsidRPr="00C87420">
        <w:t xml:space="preserve">  </w:t>
      </w:r>
      <w:r w:rsidR="007D249A">
        <w:t>E</w:t>
      </w:r>
      <w:bookmarkEnd w:id="19"/>
      <w:bookmarkEnd w:id="20"/>
      <w:r w:rsidR="0084130A">
        <w:t>ffect of this Subdivision</w:t>
      </w:r>
      <w:bookmarkEnd w:id="21"/>
    </w:p>
    <w:bookmarkEnd w:id="22"/>
    <w:p w:rsidR="007D249A" w:rsidRDefault="007D249A" w:rsidP="00064C82">
      <w:pPr>
        <w:pStyle w:val="subsection"/>
      </w:pPr>
      <w:r>
        <w:tab/>
        <w:t>(1)</w:t>
      </w:r>
      <w:r>
        <w:tab/>
        <w:t xml:space="preserve">This </w:t>
      </w:r>
      <w:r w:rsidR="003401B1">
        <w:t>Subdivision</w:t>
      </w:r>
      <w:r>
        <w:t xml:space="preserve"> has effect for the purposes of </w:t>
      </w:r>
      <w:r w:rsidR="0086601F">
        <w:t>all</w:t>
      </w:r>
      <w:r>
        <w:t xml:space="preserve"> </w:t>
      </w:r>
      <w:r w:rsidR="00064C82" w:rsidRPr="00064C82">
        <w:rPr>
          <w:position w:val="6"/>
          <w:sz w:val="16"/>
        </w:rPr>
        <w:t>*</w:t>
      </w:r>
      <w:r>
        <w:t xml:space="preserve">taxation laws, to the exclusion of those laws as they would otherwise apply in relation to </w:t>
      </w:r>
      <w:r w:rsidR="00064C82" w:rsidRPr="00064C82">
        <w:rPr>
          <w:position w:val="6"/>
          <w:sz w:val="16"/>
        </w:rPr>
        <w:t>*</w:t>
      </w:r>
      <w:r>
        <w:t>CCIV</w:t>
      </w:r>
      <w:r w:rsidR="007F3E13">
        <w:t>s</w:t>
      </w:r>
      <w:r>
        <w:t xml:space="preserve"> and </w:t>
      </w:r>
      <w:r w:rsidR="007F3E13">
        <w:t>their</w:t>
      </w:r>
      <w:r>
        <w:t xml:space="preserve"> members (in their capacity as such).</w:t>
      </w:r>
    </w:p>
    <w:p w:rsidR="005D5624" w:rsidRDefault="005D5624" w:rsidP="00064C82">
      <w:pPr>
        <w:pStyle w:val="notetext"/>
      </w:pPr>
      <w:r>
        <w:t>Note:</w:t>
      </w:r>
      <w:r>
        <w:tab/>
      </w:r>
      <w:r w:rsidR="004A45CA">
        <w:t>Subsection (</w:t>
      </w:r>
      <w:r w:rsidR="009F68C8">
        <w:t>3</w:t>
      </w:r>
      <w:r>
        <w:t>) excludes some taxation laws from this subsection.</w:t>
      </w:r>
    </w:p>
    <w:p w:rsidR="0084130A" w:rsidRDefault="0084130A" w:rsidP="00064C82">
      <w:pPr>
        <w:pStyle w:val="subsection"/>
      </w:pPr>
      <w:r>
        <w:tab/>
        <w:t>(2)</w:t>
      </w:r>
      <w:r>
        <w:tab/>
        <w:t xml:space="preserve">Without limiting the generality of </w:t>
      </w:r>
      <w:r w:rsidR="00881F72">
        <w:t>subsection (</w:t>
      </w:r>
      <w:r>
        <w:t xml:space="preserve">1), the purposes referred to in that subsection include how </w:t>
      </w:r>
      <w:r w:rsidR="00064C82" w:rsidRPr="00064C82">
        <w:rPr>
          <w:position w:val="6"/>
          <w:sz w:val="16"/>
        </w:rPr>
        <w:t>*</w:t>
      </w:r>
      <w:r>
        <w:t xml:space="preserve">taxation laws apply in relation to other entities, in so far as that application is affected by the application of those laws in relation to </w:t>
      </w:r>
      <w:r w:rsidR="00064C82" w:rsidRPr="00064C82">
        <w:rPr>
          <w:position w:val="6"/>
          <w:sz w:val="16"/>
        </w:rPr>
        <w:t>*</w:t>
      </w:r>
      <w:r>
        <w:t>CCIVs and their members (in their capacity as such).</w:t>
      </w:r>
    </w:p>
    <w:p w:rsidR="0084130A" w:rsidRDefault="0084130A" w:rsidP="00064C82">
      <w:pPr>
        <w:pStyle w:val="notetext"/>
      </w:pPr>
      <w:r>
        <w:t>Note:</w:t>
      </w:r>
      <w:r>
        <w:tab/>
      </w:r>
      <w:r w:rsidR="009F68C8">
        <w:t xml:space="preserve">For example, </w:t>
      </w:r>
      <w:r w:rsidR="007D1408">
        <w:t>i</w:t>
      </w:r>
      <w:r w:rsidR="007D1408" w:rsidRPr="007D1408">
        <w:t xml:space="preserve">n applying </w:t>
      </w:r>
      <w:r w:rsidR="00064C82">
        <w:t>subsection 318</w:t>
      </w:r>
      <w:r w:rsidR="007D1408" w:rsidRPr="007D1408">
        <w:t xml:space="preserve">(1) </w:t>
      </w:r>
      <w:r w:rsidR="007D1408">
        <w:t xml:space="preserve">of the </w:t>
      </w:r>
      <w:r w:rsidR="007D1408">
        <w:rPr>
          <w:i/>
        </w:rPr>
        <w:t>Income Tax Assessment Act 1936</w:t>
      </w:r>
      <w:r w:rsidR="007D1408">
        <w:t xml:space="preserve"> </w:t>
      </w:r>
      <w:r w:rsidR="007D1408" w:rsidRPr="007D1408">
        <w:t xml:space="preserve">to determine whether a CCIV is an associate of a natural person for </w:t>
      </w:r>
      <w:r w:rsidR="007D1408">
        <w:t>the</w:t>
      </w:r>
      <w:r w:rsidR="007D1408" w:rsidRPr="007D1408">
        <w:t xml:space="preserve"> purpose</w:t>
      </w:r>
      <w:r w:rsidR="007D1408">
        <w:t>s of a provision affecting</w:t>
      </w:r>
      <w:r w:rsidR="007D1408" w:rsidRPr="007D1408">
        <w:t xml:space="preserve"> the income tax payable by that person, </w:t>
      </w:r>
      <w:r w:rsidR="00064C82">
        <w:t>paragraph 318</w:t>
      </w:r>
      <w:r w:rsidR="007D1408">
        <w:t>(1)(d) of that Act</w:t>
      </w:r>
      <w:r w:rsidR="007D1408" w:rsidRPr="007D1408">
        <w:t xml:space="preserve"> (</w:t>
      </w:r>
      <w:r w:rsidR="007D1408">
        <w:t>providing</w:t>
      </w:r>
      <w:r w:rsidR="007D1408" w:rsidRPr="007D1408">
        <w:t xml:space="preserve"> for when a trustee of a trust is an associate of the natural person) would apply to the exclusion of </w:t>
      </w:r>
      <w:r w:rsidR="00064C82">
        <w:t>paragraph 318</w:t>
      </w:r>
      <w:r w:rsidR="007D1408">
        <w:t>(1)(e) of that Act</w:t>
      </w:r>
      <w:r w:rsidR="007D1408" w:rsidRPr="007D1408">
        <w:t xml:space="preserve"> (</w:t>
      </w:r>
      <w:r w:rsidR="007D1408">
        <w:t>providing</w:t>
      </w:r>
      <w:r w:rsidR="007D1408" w:rsidRPr="007D1408">
        <w:t xml:space="preserve"> for when a </w:t>
      </w:r>
      <w:r w:rsidR="007D1408">
        <w:t>company</w:t>
      </w:r>
      <w:r w:rsidR="007D1408" w:rsidRPr="007D1408">
        <w:t xml:space="preserve"> is an associate of the natural person)</w:t>
      </w:r>
      <w:r>
        <w:t>.</w:t>
      </w:r>
    </w:p>
    <w:p w:rsidR="0084130A" w:rsidRDefault="0084130A" w:rsidP="00064C82">
      <w:pPr>
        <w:pStyle w:val="subsection"/>
      </w:pPr>
      <w:r>
        <w:tab/>
        <w:t>(3)</w:t>
      </w:r>
      <w:r>
        <w:tab/>
        <w:t xml:space="preserve">Subsections (1) and (2) do not apply to the following </w:t>
      </w:r>
      <w:r w:rsidR="00064C82" w:rsidRPr="00064C82">
        <w:rPr>
          <w:position w:val="6"/>
          <w:sz w:val="16"/>
        </w:rPr>
        <w:t>*</w:t>
      </w:r>
      <w:r>
        <w:t>taxation laws:</w:t>
      </w:r>
    </w:p>
    <w:p w:rsidR="0084130A" w:rsidRDefault="0084130A" w:rsidP="00064C82">
      <w:pPr>
        <w:pStyle w:val="paragraph"/>
      </w:pPr>
      <w:r>
        <w:tab/>
        <w:t>(a)</w:t>
      </w:r>
      <w:r>
        <w:tab/>
        <w:t xml:space="preserve">the </w:t>
      </w:r>
      <w:r>
        <w:rPr>
          <w:i/>
        </w:rPr>
        <w:t>Foreign Acquisitions and Takeovers Act 1975</w:t>
      </w:r>
      <w:r>
        <w:t>;</w:t>
      </w:r>
    </w:p>
    <w:p w:rsidR="0084130A" w:rsidRDefault="0084130A" w:rsidP="00064C82">
      <w:pPr>
        <w:pStyle w:val="paragraph"/>
      </w:pPr>
      <w:r>
        <w:tab/>
        <w:t>(b)</w:t>
      </w:r>
      <w:r>
        <w:tab/>
        <w:t>legislative instruments made under that Act</w:t>
      </w:r>
      <w:r w:rsidR="00CD27E6">
        <w:t>.</w:t>
      </w:r>
    </w:p>
    <w:p w:rsidR="00F97F9A" w:rsidRPr="00C87420" w:rsidRDefault="008A3D7A" w:rsidP="00064C82">
      <w:pPr>
        <w:pStyle w:val="ActHead5"/>
      </w:pPr>
      <w:bookmarkStart w:id="23" w:name="_Toc80625223"/>
      <w:bookmarkStart w:id="24" w:name="_Hlk80016128"/>
      <w:r w:rsidRPr="004F6323">
        <w:rPr>
          <w:rStyle w:val="CharSectno"/>
        </w:rPr>
        <w:t>195-110</w:t>
      </w:r>
      <w:r w:rsidR="00F97F9A" w:rsidRPr="00C87420">
        <w:t xml:space="preserve">  </w:t>
      </w:r>
      <w:r w:rsidR="00F97F9A">
        <w:t>E</w:t>
      </w:r>
      <w:r w:rsidR="00F97F9A" w:rsidRPr="00C87420">
        <w:t>ach sub</w:t>
      </w:r>
      <w:r w:rsidR="00064C82">
        <w:noBreakHyphen/>
      </w:r>
      <w:r w:rsidR="00F97F9A" w:rsidRPr="00C87420">
        <w:t>fund</w:t>
      </w:r>
      <w:r w:rsidR="00F97F9A">
        <w:t xml:space="preserve"> of a CCIV is taken to be a separate trust</w:t>
      </w:r>
      <w:bookmarkEnd w:id="23"/>
    </w:p>
    <w:bookmarkEnd w:id="24"/>
    <w:p w:rsidR="00440D93" w:rsidRDefault="00481A31" w:rsidP="00064C82">
      <w:pPr>
        <w:pStyle w:val="subsection"/>
      </w:pPr>
      <w:r>
        <w:tab/>
        <w:t>(</w:t>
      </w:r>
      <w:r w:rsidR="00440D93">
        <w:t>1</w:t>
      </w:r>
      <w:r>
        <w:t>)</w:t>
      </w:r>
      <w:r>
        <w:tab/>
      </w:r>
      <w:r w:rsidR="00B41664">
        <w:t>For each</w:t>
      </w:r>
      <w:r w:rsidR="00A1703F">
        <w:t xml:space="preserve"> </w:t>
      </w:r>
      <w:r w:rsidR="00064C82" w:rsidRPr="00064C82">
        <w:rPr>
          <w:position w:val="6"/>
          <w:sz w:val="16"/>
        </w:rPr>
        <w:t>*</w:t>
      </w:r>
      <w:r w:rsidR="00A1703F">
        <w:t>sub</w:t>
      </w:r>
      <w:r w:rsidR="00064C82">
        <w:noBreakHyphen/>
      </w:r>
      <w:r w:rsidR="00A1703F">
        <w:t xml:space="preserve">fund of a </w:t>
      </w:r>
      <w:r w:rsidR="00064C82" w:rsidRPr="00064C82">
        <w:rPr>
          <w:position w:val="6"/>
          <w:sz w:val="16"/>
        </w:rPr>
        <w:t>*</w:t>
      </w:r>
      <w:r w:rsidR="00A1703F">
        <w:t>CCIV</w:t>
      </w:r>
      <w:r w:rsidR="00B41664">
        <w:t xml:space="preserve">, the </w:t>
      </w:r>
      <w:r w:rsidR="0060526D">
        <w:t xml:space="preserve">business, </w:t>
      </w:r>
      <w:r w:rsidR="00064C82" w:rsidRPr="00064C82">
        <w:rPr>
          <w:position w:val="6"/>
          <w:sz w:val="16"/>
        </w:rPr>
        <w:t>*</w:t>
      </w:r>
      <w:r w:rsidR="0060526D">
        <w:t xml:space="preserve">assets and </w:t>
      </w:r>
      <w:r w:rsidR="00064C82" w:rsidRPr="00064C82">
        <w:rPr>
          <w:position w:val="6"/>
          <w:sz w:val="16"/>
        </w:rPr>
        <w:t>*</w:t>
      </w:r>
      <w:r w:rsidR="0060526D">
        <w:t>liabilities of the sub</w:t>
      </w:r>
      <w:r w:rsidR="00064C82">
        <w:noBreakHyphen/>
      </w:r>
      <w:r w:rsidR="0060526D">
        <w:t>fund</w:t>
      </w:r>
      <w:r w:rsidR="00A1703F">
        <w:t xml:space="preserve"> are taken to constitute </w:t>
      </w:r>
      <w:r w:rsidR="00D20EDA">
        <w:t>the</w:t>
      </w:r>
      <w:r w:rsidR="00B41664">
        <w:t xml:space="preserve"> </w:t>
      </w:r>
      <w:r w:rsidR="00A1703F">
        <w:t>trust estate</w:t>
      </w:r>
      <w:r w:rsidR="00822DA3">
        <w:t xml:space="preserve"> </w:t>
      </w:r>
      <w:r w:rsidR="00D20EDA">
        <w:t xml:space="preserve">of </w:t>
      </w:r>
      <w:r w:rsidR="00822DA3">
        <w:t>a separate</w:t>
      </w:r>
      <w:r w:rsidR="00D20EDA">
        <w:t xml:space="preserve"> trust</w:t>
      </w:r>
      <w:r w:rsidR="00B41664">
        <w:t>,</w:t>
      </w:r>
      <w:r w:rsidR="00A1703F">
        <w:t xml:space="preserve"> of which the CCIV is the trustee</w:t>
      </w:r>
      <w:r w:rsidR="00DF3E28">
        <w:t xml:space="preserve"> and the </w:t>
      </w:r>
      <w:r w:rsidR="00064C82" w:rsidRPr="00064C82">
        <w:rPr>
          <w:position w:val="6"/>
          <w:sz w:val="16"/>
        </w:rPr>
        <w:t>*</w:t>
      </w:r>
      <w:r w:rsidR="00DF3E28">
        <w:t>members of the sub</w:t>
      </w:r>
      <w:r w:rsidR="00064C82">
        <w:noBreakHyphen/>
      </w:r>
      <w:r w:rsidR="00DF3E28">
        <w:t>fund are the beneficiaries</w:t>
      </w:r>
      <w:r w:rsidR="0060526D">
        <w:t>.</w:t>
      </w:r>
    </w:p>
    <w:p w:rsidR="00B41664" w:rsidRDefault="00440D93" w:rsidP="00064C82">
      <w:pPr>
        <w:pStyle w:val="subsection"/>
      </w:pPr>
      <w:r>
        <w:tab/>
        <w:t>(2)</w:t>
      </w:r>
      <w:r>
        <w:tab/>
        <w:t>A</w:t>
      </w:r>
      <w:r w:rsidR="00E73091">
        <w:t xml:space="preserve"> trust that is taken to exist because of the application of </w:t>
      </w:r>
      <w:r w:rsidR="00881F72">
        <w:t>subsection (</w:t>
      </w:r>
      <w:r>
        <w:t xml:space="preserve">1) </w:t>
      </w:r>
      <w:r w:rsidR="00E73091">
        <w:t xml:space="preserve">to a </w:t>
      </w:r>
      <w:r w:rsidR="00064C82" w:rsidRPr="00064C82">
        <w:rPr>
          <w:position w:val="6"/>
          <w:sz w:val="16"/>
        </w:rPr>
        <w:t>*</w:t>
      </w:r>
      <w:r w:rsidR="00E73091">
        <w:t>sub</w:t>
      </w:r>
      <w:r w:rsidR="00064C82">
        <w:noBreakHyphen/>
      </w:r>
      <w:r w:rsidR="00E73091">
        <w:t xml:space="preserve">fund of </w:t>
      </w:r>
      <w:r>
        <w:t>a</w:t>
      </w:r>
      <w:r w:rsidR="00897605">
        <w:t xml:space="preserve"> </w:t>
      </w:r>
      <w:r w:rsidR="00064C82" w:rsidRPr="00064C82">
        <w:rPr>
          <w:position w:val="6"/>
          <w:sz w:val="16"/>
        </w:rPr>
        <w:t>*</w:t>
      </w:r>
      <w:r w:rsidR="00E73091">
        <w:t>CCIV</w:t>
      </w:r>
      <w:r w:rsidR="00897605">
        <w:t xml:space="preserve"> is a </w:t>
      </w:r>
      <w:r w:rsidR="00897605">
        <w:rPr>
          <w:b/>
          <w:i/>
        </w:rPr>
        <w:t>CCIV sub</w:t>
      </w:r>
      <w:r w:rsidR="00064C82">
        <w:rPr>
          <w:b/>
          <w:i/>
        </w:rPr>
        <w:noBreakHyphen/>
      </w:r>
      <w:r w:rsidR="00897605">
        <w:rPr>
          <w:b/>
          <w:i/>
        </w:rPr>
        <w:t>fund trust</w:t>
      </w:r>
      <w:r w:rsidR="00897605">
        <w:t>.</w:t>
      </w:r>
    </w:p>
    <w:p w:rsidR="002860D3" w:rsidRDefault="007D249A" w:rsidP="00064C82">
      <w:pPr>
        <w:pStyle w:val="notetext"/>
      </w:pPr>
      <w:r>
        <w:t>Note:</w:t>
      </w:r>
      <w:r>
        <w:tab/>
        <w:t xml:space="preserve">The combined effect of this section and </w:t>
      </w:r>
      <w:r w:rsidR="004A45CA">
        <w:t>subsections </w:t>
      </w:r>
      <w:r w:rsidR="00064C82">
        <w:t>960</w:t>
      </w:r>
      <w:r w:rsidR="00064C82">
        <w:noBreakHyphen/>
        <w:t>100</w:t>
      </w:r>
      <w:r w:rsidR="00316BAF">
        <w:t xml:space="preserve">(2) and (3) is that </w:t>
      </w:r>
      <w:r w:rsidR="00440D93">
        <w:t>a</w:t>
      </w:r>
      <w:r w:rsidR="00316BAF">
        <w:t xml:space="preserve"> CCIV is a different entity in its capacity as trustee of each </w:t>
      </w:r>
      <w:r w:rsidR="00897605">
        <w:t xml:space="preserve">of its CCIV </w:t>
      </w:r>
      <w:r w:rsidR="00316BAF">
        <w:t>sub</w:t>
      </w:r>
      <w:r w:rsidR="00064C82">
        <w:noBreakHyphen/>
      </w:r>
      <w:r w:rsidR="00316BAF">
        <w:t xml:space="preserve">fund </w:t>
      </w:r>
      <w:r w:rsidR="00897605">
        <w:t>trusts</w:t>
      </w:r>
      <w:r w:rsidR="00316BAF">
        <w:t>.</w:t>
      </w:r>
    </w:p>
    <w:p w:rsidR="007D249A" w:rsidRDefault="002860D3" w:rsidP="00064C82">
      <w:pPr>
        <w:pStyle w:val="notetext"/>
      </w:pPr>
      <w:r>
        <w:tab/>
      </w:r>
      <w:r w:rsidR="00316BAF">
        <w:t xml:space="preserve">Because of </w:t>
      </w:r>
      <w:r w:rsidR="004A45CA">
        <w:t>subsection </w:t>
      </w:r>
      <w:r w:rsidR="008A3D7A">
        <w:t>195-105</w:t>
      </w:r>
      <w:r w:rsidR="004A45CA">
        <w:t>(</w:t>
      </w:r>
      <w:r w:rsidR="00316BAF">
        <w:t>1), the tax treatment of the CCIV in those capacities excludes the tax treatment that would otherwise apply to the CCIV as a company</w:t>
      </w:r>
      <w:r>
        <w:t>.</w:t>
      </w:r>
      <w:r w:rsidR="00220599">
        <w:t xml:space="preserve"> Also, the tax treatment of members of the CCIV is based on them being treated as beneficiaries of </w:t>
      </w:r>
      <w:r w:rsidR="003B188D">
        <w:t>their respective CCIV sub</w:t>
      </w:r>
      <w:r w:rsidR="00064C82">
        <w:noBreakHyphen/>
      </w:r>
      <w:r w:rsidR="003B188D">
        <w:t>fund trusts</w:t>
      </w:r>
      <w:r w:rsidR="00220599">
        <w:t>, to the exclusion of the tax treatment that would otherwise apply to them as members of a company.</w:t>
      </w:r>
    </w:p>
    <w:p w:rsidR="00AF58A6" w:rsidRDefault="00523DCD" w:rsidP="00064C82">
      <w:pPr>
        <w:pStyle w:val="notetext"/>
      </w:pPr>
      <w:r>
        <w:lastRenderedPageBreak/>
        <w:t>Example</w:t>
      </w:r>
      <w:r w:rsidR="00AF58A6">
        <w:t xml:space="preserve"> 1</w:t>
      </w:r>
      <w:r>
        <w:t>:</w:t>
      </w:r>
      <w:r w:rsidR="002860D3">
        <w:tab/>
      </w:r>
      <w:r w:rsidR="00AF58A6">
        <w:t xml:space="preserve"> CCIV A has only one sub</w:t>
      </w:r>
      <w:r w:rsidR="00064C82">
        <w:noBreakHyphen/>
      </w:r>
      <w:r w:rsidR="00AF58A6">
        <w:t>fund (sub</w:t>
      </w:r>
      <w:r w:rsidR="00064C82">
        <w:noBreakHyphen/>
      </w:r>
      <w:r w:rsidR="00AF58A6">
        <w:t>fund A). CCIV B has only one sub</w:t>
      </w:r>
      <w:r w:rsidR="00064C82">
        <w:noBreakHyphen/>
      </w:r>
      <w:r w:rsidR="00AF58A6">
        <w:t>fund (sub</w:t>
      </w:r>
      <w:r w:rsidR="00064C82">
        <w:noBreakHyphen/>
      </w:r>
      <w:r w:rsidR="00AF58A6">
        <w:t>fund B).</w:t>
      </w:r>
    </w:p>
    <w:p w:rsidR="00AF58A6" w:rsidRDefault="00AF58A6" w:rsidP="00064C82">
      <w:pPr>
        <w:pStyle w:val="notetext"/>
      </w:pPr>
      <w:r>
        <w:tab/>
        <w:t>CCIV A holds shares in CCIV B. The shares are referable to sub</w:t>
      </w:r>
      <w:r w:rsidR="00064C82">
        <w:noBreakHyphen/>
      </w:r>
      <w:r>
        <w:t xml:space="preserve">fund B. They </w:t>
      </w:r>
      <w:r w:rsidR="00CC0D17">
        <w:t>are assets of sub</w:t>
      </w:r>
      <w:r w:rsidR="00064C82">
        <w:noBreakHyphen/>
      </w:r>
      <w:r w:rsidR="00CC0D17">
        <w:t>fund A.</w:t>
      </w:r>
    </w:p>
    <w:p w:rsidR="00CC0D17" w:rsidRDefault="00CC0D17" w:rsidP="00064C82">
      <w:pPr>
        <w:pStyle w:val="notetext"/>
      </w:pPr>
      <w:r>
        <w:tab/>
      </w:r>
      <w:r w:rsidR="000D1008">
        <w:t xml:space="preserve">In its capacity as trustee of the </w:t>
      </w:r>
      <w:r w:rsidR="003B188D">
        <w:t>CCIV sub</w:t>
      </w:r>
      <w:r w:rsidR="00064C82">
        <w:noBreakHyphen/>
      </w:r>
      <w:r w:rsidR="003B188D">
        <w:t xml:space="preserve">fund </w:t>
      </w:r>
      <w:r w:rsidR="000D1008">
        <w:t xml:space="preserve">trust </w:t>
      </w:r>
      <w:r w:rsidR="003B188D">
        <w:t>for</w:t>
      </w:r>
      <w:r w:rsidR="000D1008">
        <w:t xml:space="preserve"> sub</w:t>
      </w:r>
      <w:r w:rsidR="00064C82">
        <w:noBreakHyphen/>
      </w:r>
      <w:r w:rsidR="000D1008">
        <w:t xml:space="preserve">fund A, CCIV A is a beneficiary of the </w:t>
      </w:r>
      <w:r w:rsidR="003B188D">
        <w:t>CCIV sub</w:t>
      </w:r>
      <w:r w:rsidR="00064C82">
        <w:noBreakHyphen/>
      </w:r>
      <w:r w:rsidR="003B188D">
        <w:t xml:space="preserve">fund </w:t>
      </w:r>
      <w:r w:rsidR="000D1008">
        <w:t xml:space="preserve">trust </w:t>
      </w:r>
      <w:r w:rsidR="003B188D">
        <w:t>for</w:t>
      </w:r>
      <w:r w:rsidR="000D1008">
        <w:t xml:space="preserve"> sub</w:t>
      </w:r>
      <w:r w:rsidR="00064C82">
        <w:noBreakHyphen/>
      </w:r>
      <w:r w:rsidR="000D1008">
        <w:t>fund B.</w:t>
      </w:r>
    </w:p>
    <w:p w:rsidR="000D1008" w:rsidRDefault="00AF58A6" w:rsidP="00064C82">
      <w:pPr>
        <w:pStyle w:val="notetext"/>
      </w:pPr>
      <w:r>
        <w:t>Example 2:</w:t>
      </w:r>
      <w:r>
        <w:tab/>
        <w:t xml:space="preserve">A CCIV </w:t>
      </w:r>
      <w:r w:rsidR="000D1008">
        <w:t>has 2 sub</w:t>
      </w:r>
      <w:r w:rsidR="00064C82">
        <w:noBreakHyphen/>
      </w:r>
      <w:r w:rsidR="000D1008">
        <w:t>funds: sub</w:t>
      </w:r>
      <w:r w:rsidR="00064C82">
        <w:noBreakHyphen/>
      </w:r>
      <w:r w:rsidR="000D1008">
        <w:t>fund A and sub</w:t>
      </w:r>
      <w:r w:rsidR="00064C82">
        <w:noBreakHyphen/>
      </w:r>
      <w:r w:rsidR="000D1008">
        <w:t>fund B.</w:t>
      </w:r>
    </w:p>
    <w:p w:rsidR="000D1008" w:rsidRPr="000D1008" w:rsidRDefault="000D1008" w:rsidP="00064C82">
      <w:pPr>
        <w:pStyle w:val="notetext"/>
      </w:pPr>
      <w:r>
        <w:tab/>
        <w:t xml:space="preserve">As permitted by </w:t>
      </w:r>
      <w:r w:rsidR="00064C82">
        <w:t>section 1231PA</w:t>
      </w:r>
      <w:r>
        <w:t xml:space="preserve"> of the </w:t>
      </w:r>
      <w:r>
        <w:rPr>
          <w:i/>
        </w:rPr>
        <w:t>Corporations Act 2001</w:t>
      </w:r>
      <w:r>
        <w:t xml:space="preserve">, the CCIV </w:t>
      </w:r>
      <w:r w:rsidR="00B936B7">
        <w:t>acquires, in respect of sub</w:t>
      </w:r>
      <w:r w:rsidR="00064C82">
        <w:noBreakHyphen/>
      </w:r>
      <w:r w:rsidR="00B936B7">
        <w:t>fund A,</w:t>
      </w:r>
      <w:r>
        <w:t xml:space="preserve"> shares </w:t>
      </w:r>
      <w:r w:rsidR="00F53D7F">
        <w:t xml:space="preserve">that </w:t>
      </w:r>
      <w:r>
        <w:t>are referable to sub</w:t>
      </w:r>
      <w:r w:rsidR="00064C82">
        <w:noBreakHyphen/>
      </w:r>
      <w:r>
        <w:t xml:space="preserve">fund B. </w:t>
      </w:r>
      <w:r w:rsidR="00B936B7">
        <w:t>The shares</w:t>
      </w:r>
      <w:r>
        <w:t xml:space="preserve"> are assets of sub</w:t>
      </w:r>
      <w:r w:rsidR="00064C82">
        <w:noBreakHyphen/>
      </w:r>
      <w:r>
        <w:t>fund A.</w:t>
      </w:r>
    </w:p>
    <w:p w:rsidR="00AB2B4B" w:rsidRDefault="000D1008" w:rsidP="00064C82">
      <w:pPr>
        <w:pStyle w:val="notetext"/>
      </w:pPr>
      <w:r>
        <w:tab/>
      </w:r>
      <w:r w:rsidR="00AB2B4B">
        <w:t>In its capacity as trustee of the CCIV sub</w:t>
      </w:r>
      <w:r w:rsidR="00064C82">
        <w:noBreakHyphen/>
      </w:r>
      <w:r w:rsidR="00AB2B4B">
        <w:t>fund trust for sub</w:t>
      </w:r>
      <w:r w:rsidR="00064C82">
        <w:noBreakHyphen/>
      </w:r>
      <w:r w:rsidR="00AB2B4B">
        <w:t>fund A, the CCIV is a beneficiary of the CCIV sub</w:t>
      </w:r>
      <w:r w:rsidR="00064C82">
        <w:noBreakHyphen/>
      </w:r>
      <w:r w:rsidR="00AB2B4B">
        <w:t>fund trust for sub</w:t>
      </w:r>
      <w:r w:rsidR="00064C82">
        <w:noBreakHyphen/>
      </w:r>
      <w:r w:rsidR="00AB2B4B">
        <w:t>fund B.</w:t>
      </w:r>
    </w:p>
    <w:p w:rsidR="00947881" w:rsidRDefault="008A3D7A" w:rsidP="00064C82">
      <w:pPr>
        <w:pStyle w:val="ActHead5"/>
      </w:pPr>
      <w:bookmarkStart w:id="25" w:name="_Toc80625224"/>
      <w:bookmarkStart w:id="26" w:name="_Hlk79831226"/>
      <w:bookmarkStart w:id="27" w:name="_Hlk77932293"/>
      <w:r w:rsidRPr="004F6323">
        <w:rPr>
          <w:rStyle w:val="CharSectno"/>
        </w:rPr>
        <w:t>195-115</w:t>
      </w:r>
      <w:r w:rsidR="00947881" w:rsidRPr="00C87420">
        <w:t xml:space="preserve">  </w:t>
      </w:r>
      <w:r w:rsidR="00FA468F">
        <w:t xml:space="preserve">A </w:t>
      </w:r>
      <w:r w:rsidR="00C26CFD">
        <w:t>CCIV sub</w:t>
      </w:r>
      <w:r w:rsidR="00064C82">
        <w:noBreakHyphen/>
      </w:r>
      <w:r w:rsidR="00C26CFD">
        <w:t>fund trust</w:t>
      </w:r>
      <w:r w:rsidR="00FA468F">
        <w:t xml:space="preserve"> is a </w:t>
      </w:r>
      <w:r w:rsidR="005B29AB">
        <w:t>unit trust</w:t>
      </w:r>
      <w:bookmarkEnd w:id="25"/>
    </w:p>
    <w:bookmarkEnd w:id="26"/>
    <w:p w:rsidR="00060E89" w:rsidRDefault="005B29AB" w:rsidP="00064C82">
      <w:pPr>
        <w:pStyle w:val="subsection"/>
      </w:pPr>
      <w:r>
        <w:tab/>
      </w:r>
      <w:r w:rsidR="007F1600">
        <w:t>(1)</w:t>
      </w:r>
      <w:r>
        <w:tab/>
        <w:t xml:space="preserve">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>fund trust is taken to be a unit trust</w:t>
      </w:r>
      <w:r w:rsidR="00D74121">
        <w:t>.</w:t>
      </w:r>
    </w:p>
    <w:p w:rsidR="00060E89" w:rsidRDefault="00060E89" w:rsidP="00064C82">
      <w:pPr>
        <w:pStyle w:val="notetext"/>
      </w:pPr>
      <w:r>
        <w:t>Note:</w:t>
      </w:r>
      <w:r>
        <w:tab/>
        <w:t xml:space="preserve">One consequence of this </w:t>
      </w:r>
      <w:r w:rsidR="00C75C8F">
        <w:t>sub</w:t>
      </w:r>
      <w:r>
        <w:t>section is that a CCIV sub</w:t>
      </w:r>
      <w:r w:rsidR="00064C82">
        <w:noBreakHyphen/>
      </w:r>
      <w:r>
        <w:t>fund trust can be a public unit trust if it meets the</w:t>
      </w:r>
      <w:r w:rsidR="00492FE2">
        <w:t xml:space="preserve"> other</w:t>
      </w:r>
      <w:r>
        <w:t xml:space="preserve"> tests in </w:t>
      </w:r>
      <w:r w:rsidR="00064C82">
        <w:t>section 102P</w:t>
      </w:r>
      <w:r>
        <w:t xml:space="preserve"> of the </w:t>
      </w:r>
      <w:r>
        <w:rPr>
          <w:i/>
        </w:rPr>
        <w:t>Income Tax Assessment Act 1936</w:t>
      </w:r>
      <w:r>
        <w:t>.</w:t>
      </w:r>
    </w:p>
    <w:p w:rsidR="0017208D" w:rsidRDefault="00060E89" w:rsidP="00064C82">
      <w:pPr>
        <w:pStyle w:val="subsection"/>
      </w:pPr>
      <w:r>
        <w:tab/>
        <w:t>(2)</w:t>
      </w:r>
      <w:r>
        <w:tab/>
        <w:t>T</w:t>
      </w:r>
      <w:r w:rsidR="0017208D">
        <w:t xml:space="preserve">he </w:t>
      </w:r>
      <w:r w:rsidR="00064C82" w:rsidRPr="00064C82">
        <w:rPr>
          <w:position w:val="6"/>
          <w:sz w:val="16"/>
        </w:rPr>
        <w:t>*</w:t>
      </w:r>
      <w:r w:rsidR="0017208D" w:rsidRPr="00E37E35">
        <w:t xml:space="preserve">shares that </w:t>
      </w:r>
      <w:r w:rsidR="0017208D" w:rsidRPr="00A34209">
        <w:t xml:space="preserve">are </w:t>
      </w:r>
      <w:r w:rsidR="00064C82" w:rsidRPr="00064C82">
        <w:rPr>
          <w:position w:val="6"/>
          <w:sz w:val="16"/>
        </w:rPr>
        <w:t>*</w:t>
      </w:r>
      <w:r w:rsidR="0017208D" w:rsidRPr="00A34209">
        <w:t xml:space="preserve">referable to the </w:t>
      </w:r>
      <w:r w:rsidR="00064C82" w:rsidRPr="00064C82">
        <w:rPr>
          <w:position w:val="6"/>
          <w:sz w:val="16"/>
        </w:rPr>
        <w:t>*</w:t>
      </w:r>
      <w:r w:rsidR="0017208D" w:rsidRPr="00A34209">
        <w:t>sub</w:t>
      </w:r>
      <w:r w:rsidR="00064C82">
        <w:noBreakHyphen/>
      </w:r>
      <w:r w:rsidR="0017208D" w:rsidRPr="00A34209">
        <w:t>fund</w:t>
      </w:r>
      <w:r w:rsidR="0017208D">
        <w:t xml:space="preserve"> are taken to be the units in the trust.</w:t>
      </w:r>
    </w:p>
    <w:p w:rsidR="00060E89" w:rsidRDefault="00060E89" w:rsidP="00064C82">
      <w:pPr>
        <w:pStyle w:val="subsection"/>
      </w:pPr>
      <w:r>
        <w:tab/>
        <w:t>(3)</w:t>
      </w:r>
      <w:r>
        <w:tab/>
        <w:t>The rights</w:t>
      </w:r>
      <w:r w:rsidR="005D5624">
        <w:t>,</w:t>
      </w:r>
      <w:r>
        <w:t xml:space="preserve"> obligations </w:t>
      </w:r>
      <w:r w:rsidR="005D5624">
        <w:t xml:space="preserve">and other characteristics </w:t>
      </w:r>
      <w:r>
        <w:t>attaching to a unit in the trust are taken to be the same, as nearly as practicable, as the rights</w:t>
      </w:r>
      <w:r w:rsidR="005D5624">
        <w:t>,</w:t>
      </w:r>
      <w:r>
        <w:t xml:space="preserve"> obligations</w:t>
      </w:r>
      <w:r w:rsidR="005D5624">
        <w:t xml:space="preserve"> and other characteristics</w:t>
      </w:r>
      <w:r>
        <w:t xml:space="preserve"> attaching to the share that is taken to be that unit.</w:t>
      </w:r>
    </w:p>
    <w:bookmarkEnd w:id="27"/>
    <w:p w:rsidR="00CF08BA" w:rsidRDefault="005D5624" w:rsidP="00064C82">
      <w:pPr>
        <w:pStyle w:val="notetext"/>
      </w:pPr>
      <w:r>
        <w:t>Note:</w:t>
      </w:r>
      <w:r>
        <w:tab/>
        <w:t>One consequence of this section is that if shares that are referable to the sub</w:t>
      </w:r>
      <w:r w:rsidR="00064C82">
        <w:noBreakHyphen/>
      </w:r>
      <w:r>
        <w:t>fund are listed for quotation in the official list of a stock exchange, the units in the sub</w:t>
      </w:r>
      <w:r w:rsidR="00064C82">
        <w:noBreakHyphen/>
      </w:r>
      <w:r>
        <w:t>fund trust that those shares are taken to be will likewise be taken to be listed in that official list.</w:t>
      </w:r>
    </w:p>
    <w:p w:rsidR="005D5624" w:rsidRDefault="00CF08BA" w:rsidP="00064C82">
      <w:pPr>
        <w:pStyle w:val="notetext"/>
      </w:pPr>
      <w:r>
        <w:tab/>
      </w:r>
      <w:r w:rsidR="005D5624">
        <w:t xml:space="preserve">Examples of provisions to which this is relevant are </w:t>
      </w:r>
      <w:r w:rsidR="00064C82">
        <w:t>paragraph 275</w:t>
      </w:r>
      <w:r w:rsidR="00064C82">
        <w:noBreakHyphen/>
        <w:t>20</w:t>
      </w:r>
      <w:r w:rsidR="005D5624">
        <w:t>(2)(a) (widely</w:t>
      </w:r>
      <w:r w:rsidR="00064C82">
        <w:noBreakHyphen/>
      </w:r>
      <w:r w:rsidR="005D5624">
        <w:t xml:space="preserve">held requirement for managed investment trusts) of this Act and </w:t>
      </w:r>
      <w:r w:rsidR="004A45CA">
        <w:t>paragraph </w:t>
      </w:r>
      <w:r w:rsidR="00064C82">
        <w:t>102P</w:t>
      </w:r>
      <w:r w:rsidR="005D5624">
        <w:t xml:space="preserve">(1)(a) of the </w:t>
      </w:r>
      <w:r w:rsidR="005D5624">
        <w:rPr>
          <w:i/>
        </w:rPr>
        <w:t>Income Tax Assessment Act 1936</w:t>
      </w:r>
      <w:r w:rsidR="005D5624">
        <w:t xml:space="preserve"> (public unit trusts).</w:t>
      </w:r>
    </w:p>
    <w:p w:rsidR="005B29AB" w:rsidRDefault="008A3D7A" w:rsidP="00064C82">
      <w:pPr>
        <w:pStyle w:val="ActHead5"/>
      </w:pPr>
      <w:bookmarkStart w:id="28" w:name="_Toc80625225"/>
      <w:bookmarkStart w:id="29" w:name="_Hlk79831227"/>
      <w:r w:rsidRPr="004F6323">
        <w:rPr>
          <w:rStyle w:val="CharSectno"/>
        </w:rPr>
        <w:t>195-120</w:t>
      </w:r>
      <w:r w:rsidR="005B29AB" w:rsidRPr="00C87420">
        <w:t xml:space="preserve">  </w:t>
      </w:r>
      <w:r w:rsidR="00965C3B">
        <w:t>B</w:t>
      </w:r>
      <w:r w:rsidR="005B29AB">
        <w:t xml:space="preserve">eneficiary of </w:t>
      </w:r>
      <w:r w:rsidR="005A4426">
        <w:t xml:space="preserve">a </w:t>
      </w:r>
      <w:r w:rsidR="005B29AB">
        <w:t>CCIV sub</w:t>
      </w:r>
      <w:r w:rsidR="00064C82">
        <w:noBreakHyphen/>
      </w:r>
      <w:r w:rsidR="005B29AB">
        <w:t>fund trust</w:t>
      </w:r>
      <w:r w:rsidR="00965C3B">
        <w:t xml:space="preserve"> has fixed entitlements to shares of income and capital of the trust</w:t>
      </w:r>
      <w:bookmarkEnd w:id="28"/>
    </w:p>
    <w:bookmarkEnd w:id="29"/>
    <w:p w:rsidR="00970894" w:rsidRDefault="003401B1" w:rsidP="00064C82">
      <w:pPr>
        <w:pStyle w:val="subsection"/>
      </w:pPr>
      <w:r>
        <w:tab/>
        <w:t>(1)</w:t>
      </w:r>
      <w:r>
        <w:tab/>
        <w:t xml:space="preserve">A </w:t>
      </w:r>
      <w:r w:rsidR="00064C82" w:rsidRPr="00064C82">
        <w:rPr>
          <w:position w:val="6"/>
          <w:sz w:val="16"/>
        </w:rPr>
        <w:t>*</w:t>
      </w:r>
      <w:r>
        <w:t xml:space="preserve">beneficiary of 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 xml:space="preserve">fund trust is taken to have a </w:t>
      </w:r>
      <w:r>
        <w:rPr>
          <w:b/>
          <w:i/>
        </w:rPr>
        <w:t>fixed entitlement</w:t>
      </w:r>
      <w:r>
        <w:t xml:space="preserve"> to a share of income of the trust that the trust derives from time to time</w:t>
      </w:r>
      <w:r w:rsidR="00E37E35">
        <w:t xml:space="preserve">. </w:t>
      </w:r>
      <w:r w:rsidR="000F7BA1">
        <w:t>At a particular time, that</w:t>
      </w:r>
      <w:r w:rsidR="00E37E35">
        <w:t xml:space="preserve"> share is equal to the percentage worked out using the formula:</w:t>
      </w:r>
    </w:p>
    <w:p w:rsidR="00605F87" w:rsidRPr="00605F87" w:rsidRDefault="00605F87" w:rsidP="00605F87">
      <w:pPr>
        <w:pStyle w:val="subsection2"/>
      </w:pPr>
      <w:r w:rsidRPr="00605F87">
        <w:rPr>
          <w:position w:val="-32"/>
        </w:rPr>
        <w:object w:dxaOrig="24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8.25pt" o:ole="">
            <v:imagedata r:id="rId12" o:title=""/>
          </v:shape>
          <o:OLEObject Type="Embed" ProgID="Equation.DSMT4" ShapeID="_x0000_i1025" DrawAspect="Content" ObjectID="_1691560866" r:id="rId13"/>
        </w:object>
      </w:r>
    </w:p>
    <w:p w:rsidR="00970894" w:rsidRDefault="00A34209" w:rsidP="00064C82">
      <w:pPr>
        <w:pStyle w:val="subsection2"/>
      </w:pPr>
      <w:r>
        <w:t>where:</w:t>
      </w:r>
    </w:p>
    <w:p w:rsidR="00A34209" w:rsidRPr="00A34209" w:rsidRDefault="00CA45E9" w:rsidP="00064C82">
      <w:pPr>
        <w:pStyle w:val="Definition"/>
      </w:pPr>
      <w:r>
        <w:rPr>
          <w:b/>
          <w:i/>
        </w:rPr>
        <w:t>b</w:t>
      </w:r>
      <w:r w:rsidR="00A34209">
        <w:rPr>
          <w:b/>
          <w:i/>
        </w:rPr>
        <w:t>eneficiary dividends</w:t>
      </w:r>
      <w:r w:rsidR="00A34209">
        <w:t xml:space="preserve"> </w:t>
      </w:r>
      <w:r w:rsidR="00440D93">
        <w:t>is the total of the</w:t>
      </w:r>
      <w:r w:rsidR="00A34209">
        <w:t xml:space="preserve"> </w:t>
      </w:r>
      <w:r w:rsidR="00064C82" w:rsidRPr="00064C82">
        <w:rPr>
          <w:position w:val="6"/>
          <w:sz w:val="16"/>
        </w:rPr>
        <w:t>*</w:t>
      </w:r>
      <w:r w:rsidR="00A34209">
        <w:t xml:space="preserve">dividends that the </w:t>
      </w:r>
      <w:r w:rsidR="005E30AA" w:rsidRPr="00064C82">
        <w:rPr>
          <w:position w:val="6"/>
          <w:sz w:val="16"/>
        </w:rPr>
        <w:t>*</w:t>
      </w:r>
      <w:r w:rsidR="00A34209">
        <w:t xml:space="preserve">beneficiary has a right to receive because of </w:t>
      </w:r>
      <w:r w:rsidR="00064C82" w:rsidRPr="00064C82">
        <w:rPr>
          <w:position w:val="6"/>
          <w:sz w:val="16"/>
        </w:rPr>
        <w:t>*</w:t>
      </w:r>
      <w:r w:rsidR="00A34209" w:rsidRPr="00E37E35">
        <w:t>shares that the beneficiary holds</w:t>
      </w:r>
      <w:r w:rsidR="000F7BA1">
        <w:t xml:space="preserve"> at that time</w:t>
      </w:r>
      <w:r w:rsidR="00A34209">
        <w:t xml:space="preserve"> </w:t>
      </w:r>
      <w:r w:rsidR="00A34209" w:rsidRPr="00A34209">
        <w:t xml:space="preserve">and are </w:t>
      </w:r>
      <w:r w:rsidR="00064C82" w:rsidRPr="00064C82">
        <w:rPr>
          <w:position w:val="6"/>
          <w:sz w:val="16"/>
        </w:rPr>
        <w:t>*</w:t>
      </w:r>
      <w:r w:rsidR="00A34209" w:rsidRPr="00A34209">
        <w:t xml:space="preserve">referable to the </w:t>
      </w:r>
      <w:r w:rsidR="00064C82" w:rsidRPr="00064C82">
        <w:rPr>
          <w:position w:val="6"/>
          <w:sz w:val="16"/>
        </w:rPr>
        <w:t>*</w:t>
      </w:r>
      <w:r w:rsidR="00A34209" w:rsidRPr="00A34209">
        <w:t>sub</w:t>
      </w:r>
      <w:r w:rsidR="00064C82">
        <w:noBreakHyphen/>
      </w:r>
      <w:r w:rsidR="00A34209" w:rsidRPr="00A34209">
        <w:t>fund</w:t>
      </w:r>
      <w:r w:rsidR="00252930">
        <w:t>.</w:t>
      </w:r>
    </w:p>
    <w:p w:rsidR="00E37E35" w:rsidRDefault="00CA45E9" w:rsidP="00064C82">
      <w:pPr>
        <w:pStyle w:val="Definition"/>
      </w:pPr>
      <w:r>
        <w:rPr>
          <w:b/>
          <w:i/>
        </w:rPr>
        <w:t>t</w:t>
      </w:r>
      <w:r w:rsidR="00E37E35" w:rsidRPr="00A34209">
        <w:rPr>
          <w:b/>
          <w:i/>
        </w:rPr>
        <w:t>otal dividends</w:t>
      </w:r>
      <w:r w:rsidR="00E37E35">
        <w:t xml:space="preserve"> </w:t>
      </w:r>
      <w:r w:rsidR="00440D93">
        <w:t>is</w:t>
      </w:r>
      <w:r w:rsidR="00A34209">
        <w:t xml:space="preserve"> the total</w:t>
      </w:r>
      <w:r w:rsidR="00440D93">
        <w:t xml:space="preserve"> of all</w:t>
      </w:r>
      <w:r w:rsidR="00A34209">
        <w:t xml:space="preserve"> </w:t>
      </w:r>
      <w:r w:rsidR="00064C82" w:rsidRPr="00064C82">
        <w:rPr>
          <w:position w:val="6"/>
          <w:sz w:val="16"/>
        </w:rPr>
        <w:t>*</w:t>
      </w:r>
      <w:r w:rsidR="00A34209">
        <w:t xml:space="preserve">dividends that are </w:t>
      </w:r>
      <w:r w:rsidR="00E37E35">
        <w:t xml:space="preserve">payable on </w:t>
      </w:r>
      <w:r w:rsidR="00876B92">
        <w:t xml:space="preserve">all </w:t>
      </w:r>
      <w:r w:rsidR="00064C82" w:rsidRPr="00064C82">
        <w:rPr>
          <w:position w:val="6"/>
          <w:sz w:val="16"/>
        </w:rPr>
        <w:t>*</w:t>
      </w:r>
      <w:r w:rsidR="00E37E35">
        <w:t xml:space="preserve">shares that </w:t>
      </w:r>
      <w:r w:rsidR="000F7BA1">
        <w:t xml:space="preserve">are on issue at that time and </w:t>
      </w:r>
      <w:r w:rsidR="00E37E35">
        <w:t xml:space="preserve">are </w:t>
      </w:r>
      <w:r w:rsidR="00064C82" w:rsidRPr="00064C82">
        <w:rPr>
          <w:position w:val="6"/>
          <w:sz w:val="16"/>
        </w:rPr>
        <w:t>*</w:t>
      </w:r>
      <w:r w:rsidR="00E37E35">
        <w:t xml:space="preserve">referable to the </w:t>
      </w:r>
      <w:r w:rsidR="00064C82" w:rsidRPr="00064C82">
        <w:rPr>
          <w:position w:val="6"/>
          <w:sz w:val="16"/>
        </w:rPr>
        <w:t>*</w:t>
      </w:r>
      <w:r w:rsidR="00E37E35">
        <w:t>sub</w:t>
      </w:r>
      <w:r w:rsidR="00064C82">
        <w:noBreakHyphen/>
      </w:r>
      <w:r w:rsidR="00E37E35">
        <w:t>fund</w:t>
      </w:r>
      <w:r w:rsidR="00A34209">
        <w:t>.</w:t>
      </w:r>
    </w:p>
    <w:p w:rsidR="00E37E35" w:rsidRDefault="00E37E35" w:rsidP="00064C82">
      <w:pPr>
        <w:pStyle w:val="subsection"/>
      </w:pPr>
      <w:r>
        <w:tab/>
        <w:t>(2)</w:t>
      </w:r>
      <w:r>
        <w:tab/>
        <w:t xml:space="preserve">A </w:t>
      </w:r>
      <w:r w:rsidR="00064C82" w:rsidRPr="00064C82">
        <w:rPr>
          <w:position w:val="6"/>
          <w:sz w:val="16"/>
        </w:rPr>
        <w:t>*</w:t>
      </w:r>
      <w:r>
        <w:t xml:space="preserve">beneficiary of 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 xml:space="preserve">fund trust is taken to have a </w:t>
      </w:r>
      <w:r>
        <w:rPr>
          <w:b/>
          <w:i/>
        </w:rPr>
        <w:t>fixed entitlement</w:t>
      </w:r>
      <w:r>
        <w:t xml:space="preserve"> to a share of </w:t>
      </w:r>
      <w:r w:rsidR="00C02FF6">
        <w:t>the capital</w:t>
      </w:r>
      <w:r>
        <w:t xml:space="preserve"> of the trust </w:t>
      </w:r>
      <w:r w:rsidR="000F7BA1">
        <w:t xml:space="preserve">at a particular time </w:t>
      </w:r>
      <w:r>
        <w:t>equal to the percentage worked out using the formula:</w:t>
      </w:r>
    </w:p>
    <w:p w:rsidR="00A34209" w:rsidRPr="002F6766" w:rsidRDefault="00605F87" w:rsidP="00064C82">
      <w:pPr>
        <w:pStyle w:val="subsection2"/>
      </w:pPr>
      <w:r w:rsidRPr="00605F87">
        <w:rPr>
          <w:position w:val="-36"/>
        </w:rPr>
        <w:object w:dxaOrig="3159" w:dyaOrig="800">
          <v:shape id="_x0000_i1026" type="#_x0000_t75" style="width:157.5pt;height:40.5pt" o:ole="">
            <v:imagedata r:id="rId14" o:title=""/>
          </v:shape>
          <o:OLEObject Type="Embed" ProgID="Equation.DSMT4" ShapeID="_x0000_i1026" DrawAspect="Content" ObjectID="_1691560867" r:id="rId15"/>
        </w:object>
      </w:r>
    </w:p>
    <w:p w:rsidR="00A34209" w:rsidRDefault="00A34209" w:rsidP="00064C82">
      <w:pPr>
        <w:pStyle w:val="subsection2"/>
      </w:pPr>
      <w:r>
        <w:t>where:</w:t>
      </w:r>
    </w:p>
    <w:p w:rsidR="00A34209" w:rsidRPr="00A34209" w:rsidRDefault="00CA45E9" w:rsidP="00064C82">
      <w:pPr>
        <w:pStyle w:val="Definition"/>
      </w:pPr>
      <w:r>
        <w:rPr>
          <w:b/>
          <w:i/>
        </w:rPr>
        <w:t>b</w:t>
      </w:r>
      <w:r w:rsidR="00A34209">
        <w:rPr>
          <w:b/>
          <w:i/>
        </w:rPr>
        <w:t>eneficiary capital distribution</w:t>
      </w:r>
      <w:r w:rsidR="00A34209">
        <w:t xml:space="preserve"> </w:t>
      </w:r>
      <w:r>
        <w:t>is</w:t>
      </w:r>
      <w:r w:rsidR="00A34209">
        <w:t xml:space="preserve"> the amount of a distribution of paid</w:t>
      </w:r>
      <w:r w:rsidR="00064C82">
        <w:noBreakHyphen/>
      </w:r>
      <w:r w:rsidR="00A34209">
        <w:t xml:space="preserve">up capital (in the event of a return of capital) that the </w:t>
      </w:r>
      <w:r w:rsidR="005E30AA" w:rsidRPr="00064C82">
        <w:rPr>
          <w:position w:val="6"/>
          <w:sz w:val="16"/>
        </w:rPr>
        <w:t>*</w:t>
      </w:r>
      <w:r w:rsidR="00A34209">
        <w:t xml:space="preserve">beneficiary has a right to receive because of </w:t>
      </w:r>
      <w:r w:rsidR="00064C82" w:rsidRPr="00064C82">
        <w:rPr>
          <w:position w:val="6"/>
          <w:sz w:val="16"/>
        </w:rPr>
        <w:t>*</w:t>
      </w:r>
      <w:r w:rsidR="00A34209" w:rsidRPr="00E37E35">
        <w:t>shares that the beneficiary holds</w:t>
      </w:r>
      <w:r w:rsidR="000F7BA1">
        <w:t xml:space="preserve"> at that time</w:t>
      </w:r>
      <w:r w:rsidR="00A34209">
        <w:t xml:space="preserve"> </w:t>
      </w:r>
      <w:r w:rsidR="00A34209" w:rsidRPr="00A34209">
        <w:t xml:space="preserve">and are </w:t>
      </w:r>
      <w:r w:rsidR="00064C82" w:rsidRPr="00064C82">
        <w:rPr>
          <w:position w:val="6"/>
          <w:sz w:val="16"/>
        </w:rPr>
        <w:t>*</w:t>
      </w:r>
      <w:r w:rsidR="00A34209" w:rsidRPr="00A34209">
        <w:t xml:space="preserve">referable to the </w:t>
      </w:r>
      <w:r w:rsidR="00064C82" w:rsidRPr="00064C82">
        <w:rPr>
          <w:position w:val="6"/>
          <w:sz w:val="16"/>
        </w:rPr>
        <w:t>*</w:t>
      </w:r>
      <w:r w:rsidR="00A34209" w:rsidRPr="00A34209">
        <w:t>sub</w:t>
      </w:r>
      <w:r w:rsidR="00064C82">
        <w:noBreakHyphen/>
      </w:r>
      <w:r w:rsidR="00A34209" w:rsidRPr="00A34209">
        <w:t>fund</w:t>
      </w:r>
      <w:r w:rsidR="001A6AD9">
        <w:t>.</w:t>
      </w:r>
    </w:p>
    <w:p w:rsidR="00A34209" w:rsidRDefault="00CA45E9" w:rsidP="00064C82">
      <w:pPr>
        <w:pStyle w:val="Definition"/>
      </w:pPr>
      <w:r>
        <w:rPr>
          <w:b/>
          <w:i/>
        </w:rPr>
        <w:t>t</w:t>
      </w:r>
      <w:r w:rsidR="00A34209" w:rsidRPr="00A34209">
        <w:rPr>
          <w:b/>
          <w:i/>
        </w:rPr>
        <w:t xml:space="preserve">otal </w:t>
      </w:r>
      <w:r w:rsidR="00A34209">
        <w:rPr>
          <w:b/>
          <w:i/>
        </w:rPr>
        <w:t>capital distribution</w:t>
      </w:r>
      <w:r w:rsidR="00A34209">
        <w:t xml:space="preserve"> </w:t>
      </w:r>
      <w:r>
        <w:t>is</w:t>
      </w:r>
      <w:r w:rsidR="00A34209">
        <w:t xml:space="preserve"> the total distribution of paid</w:t>
      </w:r>
      <w:r w:rsidR="00064C82">
        <w:noBreakHyphen/>
      </w:r>
      <w:r w:rsidR="00A34209">
        <w:t xml:space="preserve">up capital (in that event) payable on all </w:t>
      </w:r>
      <w:r w:rsidR="00064C82" w:rsidRPr="00064C82">
        <w:rPr>
          <w:position w:val="6"/>
          <w:sz w:val="16"/>
        </w:rPr>
        <w:t>*</w:t>
      </w:r>
      <w:r w:rsidR="00A34209">
        <w:t xml:space="preserve">shares that </w:t>
      </w:r>
      <w:r w:rsidR="000F7BA1">
        <w:t xml:space="preserve">are on issue at that time and </w:t>
      </w:r>
      <w:r w:rsidR="00A34209">
        <w:t xml:space="preserve">are </w:t>
      </w:r>
      <w:r w:rsidR="00064C82" w:rsidRPr="00064C82">
        <w:rPr>
          <w:position w:val="6"/>
          <w:sz w:val="16"/>
        </w:rPr>
        <w:t>*</w:t>
      </w:r>
      <w:r w:rsidR="00A34209">
        <w:t xml:space="preserve">referable to the </w:t>
      </w:r>
      <w:r w:rsidR="00064C82" w:rsidRPr="00064C82">
        <w:rPr>
          <w:position w:val="6"/>
          <w:sz w:val="16"/>
        </w:rPr>
        <w:t>*</w:t>
      </w:r>
      <w:r w:rsidR="00A34209">
        <w:t>sub</w:t>
      </w:r>
      <w:r w:rsidR="00064C82">
        <w:noBreakHyphen/>
      </w:r>
      <w:r w:rsidR="00A34209">
        <w:t>fund.</w:t>
      </w:r>
    </w:p>
    <w:p w:rsidR="00965C3B" w:rsidRDefault="00965C3B" w:rsidP="00064C82">
      <w:pPr>
        <w:pStyle w:val="subsection"/>
      </w:pPr>
      <w:r>
        <w:tab/>
        <w:t>(3)</w:t>
      </w:r>
      <w:r>
        <w:tab/>
        <w:t xml:space="preserve">A fixed entitlement that exists because of this section is taken to be a fixed entitlement within the meaning given by </w:t>
      </w:r>
      <w:r w:rsidR="004A45CA">
        <w:t>sections </w:t>
      </w:r>
      <w:r w:rsidR="00064C82">
        <w:t>272</w:t>
      </w:r>
      <w:r w:rsidR="00064C82">
        <w:noBreakHyphen/>
        <w:t>5</w:t>
      </w:r>
      <w:r>
        <w:t>, 272</w:t>
      </w:r>
      <w:r w:rsidR="00064C82">
        <w:noBreakHyphen/>
      </w:r>
      <w:r>
        <w:t>10, 272</w:t>
      </w:r>
      <w:r w:rsidR="00064C82">
        <w:noBreakHyphen/>
      </w:r>
      <w:r>
        <w:t>15 and 272</w:t>
      </w:r>
      <w:r w:rsidR="00064C82">
        <w:noBreakHyphen/>
      </w:r>
      <w:r>
        <w:t xml:space="preserve">40 in </w:t>
      </w:r>
      <w:r w:rsidR="004A45CA">
        <w:t>Schedule 2</w:t>
      </w:r>
      <w:r>
        <w:t xml:space="preserve">F to the </w:t>
      </w:r>
      <w:r>
        <w:rPr>
          <w:i/>
        </w:rPr>
        <w:t>Income Tax Assessment Act 1936</w:t>
      </w:r>
      <w:r>
        <w:t>.</w:t>
      </w:r>
    </w:p>
    <w:p w:rsidR="000C1EC2" w:rsidRPr="00C55715" w:rsidRDefault="00C55715" w:rsidP="00064C82">
      <w:pPr>
        <w:pStyle w:val="notetext"/>
      </w:pPr>
      <w:r>
        <w:t>Note:</w:t>
      </w:r>
      <w:r>
        <w:tab/>
        <w:t xml:space="preserve">This is relevant to, for example, the definition of </w:t>
      </w:r>
      <w:r>
        <w:rPr>
          <w:b/>
          <w:i/>
        </w:rPr>
        <w:t>fixed entitlement</w:t>
      </w:r>
      <w:r>
        <w:t xml:space="preserve"> in </w:t>
      </w:r>
      <w:r w:rsidR="00064C82">
        <w:t>subsection 102UC</w:t>
      </w:r>
      <w:r>
        <w:t xml:space="preserve">(4) of the </w:t>
      </w:r>
      <w:r>
        <w:rPr>
          <w:i/>
        </w:rPr>
        <w:t>Income Tax Assessment Act 1936</w:t>
      </w:r>
      <w:r>
        <w:t>.</w:t>
      </w:r>
    </w:p>
    <w:p w:rsidR="00B32395" w:rsidRDefault="008A3D7A" w:rsidP="00064C82">
      <w:pPr>
        <w:pStyle w:val="ActHead5"/>
      </w:pPr>
      <w:bookmarkStart w:id="30" w:name="_Toc80625226"/>
      <w:bookmarkStart w:id="31" w:name="_Hlk79831228"/>
      <w:r w:rsidRPr="004F6323">
        <w:rPr>
          <w:rStyle w:val="CharSectno"/>
        </w:rPr>
        <w:t>195-125</w:t>
      </w:r>
      <w:r w:rsidR="00B32395" w:rsidRPr="00C87420">
        <w:t xml:space="preserve">  </w:t>
      </w:r>
      <w:r w:rsidR="005A4426">
        <w:t>B</w:t>
      </w:r>
      <w:r w:rsidR="00B32395">
        <w:t xml:space="preserve">eneficiary of </w:t>
      </w:r>
      <w:r w:rsidR="005A4426">
        <w:t xml:space="preserve">a </w:t>
      </w:r>
      <w:r w:rsidR="00B32395">
        <w:t>CCIV sub</w:t>
      </w:r>
      <w:r w:rsidR="00064C82">
        <w:noBreakHyphen/>
      </w:r>
      <w:r w:rsidR="00B32395">
        <w:t>fund trust</w:t>
      </w:r>
      <w:r w:rsidR="00525D42">
        <w:t xml:space="preserve"> is presently entitled to </w:t>
      </w:r>
      <w:r w:rsidR="005A4426">
        <w:t xml:space="preserve">trust </w:t>
      </w:r>
      <w:r w:rsidR="00525D42">
        <w:t xml:space="preserve">income </w:t>
      </w:r>
      <w:r w:rsidR="005A4426">
        <w:t>represented by dividend received</w:t>
      </w:r>
      <w:bookmarkEnd w:id="30"/>
      <w:r w:rsidR="00525D42">
        <w:t xml:space="preserve"> </w:t>
      </w:r>
    </w:p>
    <w:bookmarkEnd w:id="31"/>
    <w:p w:rsidR="00EA5408" w:rsidRDefault="000F7BA1" w:rsidP="00064C82">
      <w:pPr>
        <w:pStyle w:val="subsection"/>
      </w:pPr>
      <w:r>
        <w:tab/>
        <w:t>(</w:t>
      </w:r>
      <w:r w:rsidR="00525D42">
        <w:t>1</w:t>
      </w:r>
      <w:r>
        <w:t>)</w:t>
      </w:r>
      <w:r>
        <w:tab/>
      </w:r>
      <w:r w:rsidR="004A78C6">
        <w:t xml:space="preserve">A </w:t>
      </w:r>
      <w:r w:rsidR="00064C82" w:rsidRPr="00064C82">
        <w:rPr>
          <w:position w:val="6"/>
          <w:sz w:val="16"/>
        </w:rPr>
        <w:t>*</w:t>
      </w:r>
      <w:r w:rsidR="004A78C6">
        <w:t xml:space="preserve">beneficiary of a </w:t>
      </w:r>
      <w:r w:rsidR="00064C82" w:rsidRPr="00064C82">
        <w:rPr>
          <w:position w:val="6"/>
          <w:sz w:val="16"/>
        </w:rPr>
        <w:t>*</w:t>
      </w:r>
      <w:r w:rsidR="004A78C6">
        <w:t>CCIV sub</w:t>
      </w:r>
      <w:r w:rsidR="00064C82">
        <w:noBreakHyphen/>
      </w:r>
      <w:r w:rsidR="004A78C6">
        <w:t>fund trust</w:t>
      </w:r>
      <w:r w:rsidR="00344C1F">
        <w:t xml:space="preserve"> is taken to be </w:t>
      </w:r>
      <w:r w:rsidR="00344C1F" w:rsidRPr="00D00379">
        <w:t xml:space="preserve">presently entitled </w:t>
      </w:r>
      <w:r w:rsidR="00344C1F">
        <w:t xml:space="preserve">to a share of particular income of the trust estate. That share consists of so much of each </w:t>
      </w:r>
      <w:r w:rsidR="00064C82" w:rsidRPr="00064C82">
        <w:rPr>
          <w:position w:val="6"/>
          <w:sz w:val="16"/>
        </w:rPr>
        <w:t>*</w:t>
      </w:r>
      <w:r w:rsidR="00344C1F">
        <w:t xml:space="preserve">dividend (if any) that the </w:t>
      </w:r>
      <w:r w:rsidR="00064C82" w:rsidRPr="00064C82">
        <w:rPr>
          <w:position w:val="6"/>
          <w:sz w:val="16"/>
        </w:rPr>
        <w:t>*</w:t>
      </w:r>
      <w:r w:rsidR="00344C1F">
        <w:t>CCIV has paid to the beneficiary as represents any of that income.</w:t>
      </w:r>
    </w:p>
    <w:p w:rsidR="00EA5408" w:rsidRPr="00EA5408" w:rsidRDefault="00EA5408" w:rsidP="00064C82">
      <w:pPr>
        <w:pStyle w:val="notetext"/>
      </w:pPr>
      <w:r>
        <w:lastRenderedPageBreak/>
        <w:t>Note:</w:t>
      </w:r>
      <w:r>
        <w:tab/>
      </w:r>
      <w:r w:rsidR="00517B9F">
        <w:t>T</w:t>
      </w:r>
      <w:r>
        <w:t xml:space="preserve">o the extent that amounts representing income of the trust have not been paid as a dividend, </w:t>
      </w:r>
      <w:r w:rsidR="00353CF0">
        <w:t>that income</w:t>
      </w:r>
      <w:r>
        <w:t xml:space="preserve"> will be income to which no beneficiary is presently entitled. This </w:t>
      </w:r>
      <w:r w:rsidR="00962BCB">
        <w:t>can</w:t>
      </w:r>
      <w:r>
        <w:t xml:space="preserve"> have consequences under </w:t>
      </w:r>
      <w:r w:rsidR="004A45CA">
        <w:t>section </w:t>
      </w:r>
      <w:r w:rsidR="00064C82">
        <w:t>99</w:t>
      </w:r>
      <w:r>
        <w:t xml:space="preserve"> or 99A of </w:t>
      </w:r>
      <w:r w:rsidR="00941FB5">
        <w:t xml:space="preserve">the </w:t>
      </w:r>
      <w:r w:rsidR="00941FB5" w:rsidRPr="00941FB5">
        <w:rPr>
          <w:i/>
        </w:rPr>
        <w:t>Income Tax Assessment Act 1936</w:t>
      </w:r>
      <w:r w:rsidR="00941FB5">
        <w:t>.</w:t>
      </w:r>
    </w:p>
    <w:p w:rsidR="005E7130" w:rsidRDefault="005E7130" w:rsidP="00064C82">
      <w:pPr>
        <w:pStyle w:val="subsection"/>
      </w:pPr>
      <w:r>
        <w:tab/>
        <w:t>(</w:t>
      </w:r>
      <w:r w:rsidR="00525D42">
        <w:t>2</w:t>
      </w:r>
      <w:r>
        <w:t>)</w:t>
      </w:r>
      <w:r>
        <w:tab/>
        <w:t xml:space="preserve">A </w:t>
      </w:r>
      <w:r w:rsidR="00064C82" w:rsidRPr="00064C82">
        <w:rPr>
          <w:position w:val="6"/>
          <w:sz w:val="16"/>
        </w:rPr>
        <w:t>*</w:t>
      </w:r>
      <w:r>
        <w:t xml:space="preserve">beneficiary of 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>fund trust:</w:t>
      </w:r>
    </w:p>
    <w:p w:rsidR="000A6943" w:rsidRDefault="005E7130" w:rsidP="00064C82">
      <w:pPr>
        <w:pStyle w:val="paragraph"/>
      </w:pPr>
      <w:r>
        <w:tab/>
        <w:t>(a)</w:t>
      </w:r>
      <w:r>
        <w:tab/>
        <w:t xml:space="preserve">is taken to have an individual interest in </w:t>
      </w:r>
      <w:r w:rsidR="000A6943">
        <w:t>a</w:t>
      </w:r>
      <w:r w:rsidR="00172276">
        <w:t xml:space="preserve"> share of the </w:t>
      </w:r>
      <w:r>
        <w:t>exempt income of the trust</w:t>
      </w:r>
      <w:r w:rsidR="000A6943">
        <w:t xml:space="preserve"> estate</w:t>
      </w:r>
      <w:r w:rsidR="00172276">
        <w:t xml:space="preserve"> from time to time</w:t>
      </w:r>
      <w:r w:rsidR="000A6943">
        <w:t>; and</w:t>
      </w:r>
    </w:p>
    <w:p w:rsidR="000A6943" w:rsidRDefault="00172276" w:rsidP="00064C82">
      <w:pPr>
        <w:pStyle w:val="paragraph"/>
      </w:pPr>
      <w:r>
        <w:tab/>
        <w:t>(b)</w:t>
      </w:r>
      <w:r>
        <w:tab/>
        <w:t xml:space="preserve">is taken to have an individual interest in </w:t>
      </w:r>
      <w:r w:rsidR="000A6943">
        <w:t>a</w:t>
      </w:r>
      <w:r>
        <w:t xml:space="preserve"> share of the </w:t>
      </w:r>
      <w:r w:rsidR="00064C82" w:rsidRPr="00064C82">
        <w:rPr>
          <w:position w:val="6"/>
          <w:sz w:val="16"/>
        </w:rPr>
        <w:t>*</w:t>
      </w:r>
      <w:r>
        <w:t>non</w:t>
      </w:r>
      <w:r w:rsidR="00064C82">
        <w:noBreakHyphen/>
      </w:r>
      <w:r>
        <w:t>assessable non</w:t>
      </w:r>
      <w:r w:rsidR="00064C82">
        <w:noBreakHyphen/>
      </w:r>
      <w:r>
        <w:t>exempt income of the trust</w:t>
      </w:r>
      <w:r w:rsidR="000A6943">
        <w:t xml:space="preserve"> estate</w:t>
      </w:r>
      <w:r>
        <w:t xml:space="preserve"> from time to time</w:t>
      </w:r>
      <w:r w:rsidR="001F4022">
        <w:t>.</w:t>
      </w:r>
    </w:p>
    <w:p w:rsidR="00172276" w:rsidRDefault="000A6943" w:rsidP="00064C82">
      <w:pPr>
        <w:pStyle w:val="subsection2"/>
      </w:pPr>
      <w:r>
        <w:t xml:space="preserve">The share referred to in </w:t>
      </w:r>
      <w:r w:rsidR="004A45CA">
        <w:t>paragraph (</w:t>
      </w:r>
      <w:r>
        <w:t>a) or (b) of this subsection</w:t>
      </w:r>
      <w:r w:rsidR="00172276">
        <w:t xml:space="preserve"> is the same as the share </w:t>
      </w:r>
      <w:r>
        <w:t>(</w:t>
      </w:r>
      <w:r w:rsidR="00172276">
        <w:t>of income that the trust derives from time to time</w:t>
      </w:r>
      <w:r>
        <w:t>)</w:t>
      </w:r>
      <w:r w:rsidR="00172276">
        <w:t xml:space="preserve"> to which the beneficiary has a </w:t>
      </w:r>
      <w:r w:rsidR="00064C82" w:rsidRPr="00064C82">
        <w:rPr>
          <w:position w:val="6"/>
          <w:sz w:val="16"/>
        </w:rPr>
        <w:t>*</w:t>
      </w:r>
      <w:r w:rsidR="00172276">
        <w:t xml:space="preserve">fixed entitlement under </w:t>
      </w:r>
      <w:r w:rsidR="004A45CA">
        <w:t>subsection </w:t>
      </w:r>
      <w:r w:rsidR="008A3D7A">
        <w:t>195-120</w:t>
      </w:r>
      <w:r w:rsidR="00172276">
        <w:t>(1)</w:t>
      </w:r>
      <w:r>
        <w:t>.</w:t>
      </w:r>
    </w:p>
    <w:p w:rsidR="00344C1F" w:rsidRPr="00344C1F" w:rsidRDefault="00344C1F" w:rsidP="00064C82">
      <w:pPr>
        <w:pStyle w:val="subsection"/>
      </w:pPr>
      <w:r>
        <w:tab/>
        <w:t>(</w:t>
      </w:r>
      <w:r w:rsidR="00525D42">
        <w:t>3</w:t>
      </w:r>
      <w:r>
        <w:t>)</w:t>
      </w:r>
      <w:r>
        <w:tab/>
        <w:t xml:space="preserve">Except as provided in this section, a </w:t>
      </w:r>
      <w:r w:rsidR="00064C82" w:rsidRPr="00064C82">
        <w:rPr>
          <w:position w:val="6"/>
          <w:sz w:val="16"/>
        </w:rPr>
        <w:t>*</w:t>
      </w:r>
      <w:r>
        <w:t xml:space="preserve">beneficiary of 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 xml:space="preserve">fund trust is not taken to be presently entitled to a share of income of the trust estate, or to have an individual interest in a share of the exempt income, or </w:t>
      </w:r>
      <w:r w:rsidR="00064C82" w:rsidRPr="00064C82">
        <w:rPr>
          <w:position w:val="6"/>
          <w:sz w:val="16"/>
        </w:rPr>
        <w:t>*</w:t>
      </w:r>
      <w:r>
        <w:t>non</w:t>
      </w:r>
      <w:r w:rsidR="00064C82">
        <w:noBreakHyphen/>
      </w:r>
      <w:r>
        <w:t>assessable non</w:t>
      </w:r>
      <w:r w:rsidR="00064C82">
        <w:noBreakHyphen/>
      </w:r>
      <w:r>
        <w:t>exempt income, of the trust estate.</w:t>
      </w:r>
    </w:p>
    <w:p w:rsidR="00FD7091" w:rsidRPr="00D82D60" w:rsidRDefault="008A3D7A" w:rsidP="00064C82">
      <w:pPr>
        <w:pStyle w:val="ActHead5"/>
      </w:pPr>
      <w:bookmarkStart w:id="32" w:name="_Toc80625227"/>
      <w:bookmarkStart w:id="33" w:name="_Hlk80172547"/>
      <w:r w:rsidRPr="004F6323">
        <w:rPr>
          <w:rStyle w:val="CharSectno"/>
        </w:rPr>
        <w:t>195-130</w:t>
      </w:r>
      <w:r w:rsidR="00FD7091" w:rsidRPr="00D82D60">
        <w:t xml:space="preserve">  Application of </w:t>
      </w:r>
      <w:r w:rsidR="00064C82">
        <w:t>Division 275</w:t>
      </w:r>
      <w:r w:rsidR="00FD7091" w:rsidRPr="00D82D60">
        <w:t xml:space="preserve"> (managed investment trusts) to a CCIV sub</w:t>
      </w:r>
      <w:r w:rsidR="00064C82">
        <w:noBreakHyphen/>
      </w:r>
      <w:r w:rsidR="00FD7091" w:rsidRPr="00D82D60">
        <w:t>fund trust</w:t>
      </w:r>
      <w:bookmarkEnd w:id="32"/>
    </w:p>
    <w:bookmarkEnd w:id="33"/>
    <w:p w:rsidR="00FD7091" w:rsidRPr="00D82D60" w:rsidRDefault="00FD7091" w:rsidP="00064C82">
      <w:pPr>
        <w:pStyle w:val="subsection"/>
      </w:pPr>
      <w:r w:rsidRPr="00D82D60">
        <w:tab/>
        <w:t>(</w:t>
      </w:r>
      <w:r>
        <w:t>1</w:t>
      </w:r>
      <w:r w:rsidRPr="00D82D60">
        <w:t>)</w:t>
      </w:r>
      <w:r w:rsidRPr="00D82D60">
        <w:rPr>
          <w:i/>
        </w:rPr>
        <w:tab/>
      </w:r>
      <w:r w:rsidRPr="00D82D60">
        <w:t xml:space="preserve">This section sets out how to apply </w:t>
      </w:r>
      <w:r w:rsidR="00064C82">
        <w:t>Division 2</w:t>
      </w:r>
      <w:r w:rsidRPr="00D82D60">
        <w:t xml:space="preserve">75 to a trust that is a </w:t>
      </w:r>
      <w:r w:rsidR="00064C82" w:rsidRPr="00064C82">
        <w:rPr>
          <w:position w:val="6"/>
          <w:sz w:val="16"/>
        </w:rPr>
        <w:t>*</w:t>
      </w:r>
      <w:r w:rsidRPr="00D82D60">
        <w:t>CCIV sub</w:t>
      </w:r>
      <w:r w:rsidR="00064C82">
        <w:noBreakHyphen/>
      </w:r>
      <w:r w:rsidRPr="00D82D60">
        <w:t>fund trust.</w:t>
      </w:r>
    </w:p>
    <w:p w:rsidR="00FD7091" w:rsidRDefault="00FD7091" w:rsidP="00064C82">
      <w:pPr>
        <w:pStyle w:val="SubsectionHead"/>
      </w:pPr>
      <w:r w:rsidRPr="00D82D60">
        <w:t>Determining whether the trust is a managed investment trust</w:t>
      </w:r>
    </w:p>
    <w:p w:rsidR="00FD7091" w:rsidRPr="00D82D60" w:rsidRDefault="00FD7091" w:rsidP="00064C82">
      <w:pPr>
        <w:pStyle w:val="subsection"/>
      </w:pPr>
      <w:r w:rsidRPr="00D82D60">
        <w:tab/>
        <w:t>(</w:t>
      </w:r>
      <w:r>
        <w:t>2</w:t>
      </w:r>
      <w:r w:rsidRPr="00D82D60">
        <w:t>)</w:t>
      </w:r>
      <w:r w:rsidRPr="00D82D60">
        <w:tab/>
      </w:r>
      <w:r w:rsidR="00064C82">
        <w:t>Section 2</w:t>
      </w:r>
      <w:r w:rsidRPr="00D82D60">
        <w:t>75</w:t>
      </w:r>
      <w:r w:rsidR="00064C82">
        <w:noBreakHyphen/>
      </w:r>
      <w:r w:rsidRPr="00D82D60">
        <w:t xml:space="preserve">10 has effect in relation to the trust as if the following paragraph were substituted for </w:t>
      </w:r>
      <w:r w:rsidR="00064C82">
        <w:t>paragraph 275</w:t>
      </w:r>
      <w:r w:rsidR="00064C82">
        <w:noBreakHyphen/>
        <w:t>10</w:t>
      </w:r>
      <w:r w:rsidRPr="00D82D60">
        <w:t>(3)(</w:t>
      </w:r>
      <w:r>
        <w:t>c</w:t>
      </w:r>
      <w:r w:rsidRPr="00D82D60">
        <w:t>):</w:t>
      </w:r>
    </w:p>
    <w:p w:rsidR="00FD7091" w:rsidRDefault="00FD7091" w:rsidP="00064C82">
      <w:pPr>
        <w:pStyle w:val="paragraph"/>
      </w:pPr>
      <w:r>
        <w:tab/>
        <w:t>(c)</w:t>
      </w:r>
      <w:r>
        <w:tab/>
      </w:r>
      <w:r w:rsidRPr="00AD71ED">
        <w:t xml:space="preserve">at the time the payment is made, </w:t>
      </w:r>
      <w:r>
        <w:t xml:space="preserve">the </w:t>
      </w:r>
      <w:r w:rsidR="00064C82" w:rsidRPr="00064C82">
        <w:rPr>
          <w:position w:val="6"/>
          <w:sz w:val="16"/>
        </w:rPr>
        <w:t>*</w:t>
      </w:r>
      <w:r w:rsidRPr="00AD71ED">
        <w:t>sub</w:t>
      </w:r>
      <w:r w:rsidR="00064C82">
        <w:noBreakHyphen/>
      </w:r>
      <w:r w:rsidRPr="00AD71ED">
        <w:t>fund</w:t>
      </w:r>
      <w:r>
        <w:t xml:space="preserve"> is being </w:t>
      </w:r>
      <w:r w:rsidRPr="003D2C22">
        <w:t xml:space="preserve">used for collective investment by pooling the contributions of </w:t>
      </w:r>
      <w:r>
        <w:t xml:space="preserve">the </w:t>
      </w:r>
      <w:r w:rsidR="00064C82" w:rsidRPr="00064C82">
        <w:rPr>
          <w:position w:val="6"/>
          <w:sz w:val="16"/>
        </w:rPr>
        <w:t>*</w:t>
      </w:r>
      <w:r w:rsidRPr="003D2C22">
        <w:t>members</w:t>
      </w:r>
      <w:r>
        <w:t xml:space="preserve"> of the sub</w:t>
      </w:r>
      <w:r w:rsidR="00064C82">
        <w:noBreakHyphen/>
      </w:r>
      <w:r>
        <w:t xml:space="preserve">fund </w:t>
      </w:r>
      <w:r w:rsidRPr="003D2C22">
        <w:t xml:space="preserve">as consideration to acquire rights to </w:t>
      </w:r>
      <w:r w:rsidRPr="009E639F">
        <w:t xml:space="preserve">benefits produced from </w:t>
      </w:r>
      <w:r>
        <w:t>those contributions</w:t>
      </w:r>
      <w:r w:rsidRPr="009E639F">
        <w:t>;</w:t>
      </w:r>
      <w:r>
        <w:t xml:space="preserve"> and</w:t>
      </w:r>
    </w:p>
    <w:p w:rsidR="00FD7091" w:rsidRPr="00D82D60" w:rsidRDefault="00FD7091" w:rsidP="00064C82">
      <w:pPr>
        <w:pStyle w:val="subsection"/>
      </w:pPr>
      <w:r>
        <w:tab/>
      </w:r>
      <w:r w:rsidRPr="00D82D60">
        <w:t>(</w:t>
      </w:r>
      <w:r>
        <w:t>3</w:t>
      </w:r>
      <w:r w:rsidRPr="00D82D60">
        <w:t>)</w:t>
      </w:r>
      <w:r w:rsidRPr="00D82D60">
        <w:tab/>
        <w:t xml:space="preserve">In applying </w:t>
      </w:r>
      <w:r w:rsidR="00064C82">
        <w:t>section 275</w:t>
      </w:r>
      <w:r w:rsidR="00064C82">
        <w:noBreakHyphen/>
        <w:t>10</w:t>
      </w:r>
      <w:r w:rsidRPr="00D82D60">
        <w:t xml:space="preserve"> to the trust, disregard the following provisions:</w:t>
      </w:r>
    </w:p>
    <w:p w:rsidR="00FD7091" w:rsidRPr="00D82D60" w:rsidRDefault="00FD7091" w:rsidP="00064C82">
      <w:pPr>
        <w:pStyle w:val="paragraph"/>
      </w:pPr>
      <w:r w:rsidRPr="00D82D60">
        <w:tab/>
        <w:t>(</w:t>
      </w:r>
      <w:r>
        <w:t>a</w:t>
      </w:r>
      <w:r w:rsidRPr="00D82D60">
        <w:t>)</w:t>
      </w:r>
      <w:r w:rsidRPr="00D82D60">
        <w:tab/>
      </w:r>
      <w:r w:rsidR="00064C82">
        <w:t>paragraph 275</w:t>
      </w:r>
      <w:r w:rsidR="00064C82">
        <w:noBreakHyphen/>
        <w:t>10</w:t>
      </w:r>
      <w:r w:rsidRPr="00D82D60">
        <w:t>(3)(d);</w:t>
      </w:r>
    </w:p>
    <w:p w:rsidR="00FD7091" w:rsidRPr="00D82D60" w:rsidRDefault="00FD7091" w:rsidP="00064C82">
      <w:pPr>
        <w:pStyle w:val="paragraph"/>
      </w:pPr>
      <w:r w:rsidRPr="00D82D60">
        <w:tab/>
      </w:r>
      <w:r w:rsidRPr="00AD71ED">
        <w:t>(</w:t>
      </w:r>
      <w:r>
        <w:t>b</w:t>
      </w:r>
      <w:r w:rsidRPr="00AD71ED">
        <w:t>)</w:t>
      </w:r>
      <w:r w:rsidRPr="00AD71ED">
        <w:tab/>
      </w:r>
      <w:r w:rsidR="00064C82">
        <w:t>paragraph 275</w:t>
      </w:r>
      <w:r w:rsidR="00064C82">
        <w:noBreakHyphen/>
        <w:t>1</w:t>
      </w:r>
      <w:r w:rsidRPr="00AD71ED">
        <w:t>0(3)(g).</w:t>
      </w:r>
    </w:p>
    <w:p w:rsidR="00FD7091" w:rsidRPr="00D82D60" w:rsidRDefault="00FD7091" w:rsidP="00064C82">
      <w:pPr>
        <w:pStyle w:val="subsection"/>
      </w:pPr>
      <w:r w:rsidRPr="00D82D60">
        <w:tab/>
        <w:t>(</w:t>
      </w:r>
      <w:r>
        <w:t>4</w:t>
      </w:r>
      <w:r w:rsidRPr="00D82D60">
        <w:t>)</w:t>
      </w:r>
      <w:r w:rsidRPr="00D82D60">
        <w:tab/>
      </w:r>
      <w:r w:rsidR="00064C82">
        <w:t>Section 2</w:t>
      </w:r>
      <w:r w:rsidRPr="00D82D60">
        <w:t>75</w:t>
      </w:r>
      <w:r w:rsidR="00064C82">
        <w:noBreakHyphen/>
      </w:r>
      <w:r w:rsidRPr="00D82D60">
        <w:t xml:space="preserve">10 has effect in relation to the trust as if the following paragraph were substituted for </w:t>
      </w:r>
      <w:r w:rsidR="00064C82">
        <w:t>paragraph 275</w:t>
      </w:r>
      <w:r w:rsidR="00064C82">
        <w:noBreakHyphen/>
        <w:t>10</w:t>
      </w:r>
      <w:r w:rsidRPr="00D82D60">
        <w:t>(3)(e):</w:t>
      </w:r>
    </w:p>
    <w:p w:rsidR="00FD7091" w:rsidRPr="00D82D60" w:rsidRDefault="00FD7091" w:rsidP="00064C82">
      <w:pPr>
        <w:pStyle w:val="paragraph"/>
      </w:pPr>
      <w:r w:rsidRPr="00D82D60">
        <w:tab/>
        <w:t>(e)</w:t>
      </w:r>
      <w:r w:rsidRPr="00D82D60">
        <w:tab/>
        <w:t>the trust satisfies, in relation to the income year:</w:t>
      </w:r>
    </w:p>
    <w:p w:rsidR="00FD7091" w:rsidRPr="00D82D60" w:rsidRDefault="00FD7091" w:rsidP="00064C82">
      <w:pPr>
        <w:pStyle w:val="paragraphsub"/>
      </w:pPr>
      <w:r w:rsidRPr="00D82D60">
        <w:lastRenderedPageBreak/>
        <w:tab/>
        <w:t>(i)</w:t>
      </w:r>
      <w:r w:rsidRPr="00D82D60">
        <w:tab/>
        <w:t xml:space="preserve">if, at the time the payment is made, the trust is </w:t>
      </w:r>
      <w:r w:rsidRPr="00D82D60">
        <w:rPr>
          <w:i/>
        </w:rPr>
        <w:t>not</w:t>
      </w:r>
      <w:r w:rsidRPr="00D82D60">
        <w:t xml:space="preserve"> covered by </w:t>
      </w:r>
      <w:r w:rsidR="00064C82">
        <w:t>section 275</w:t>
      </w:r>
      <w:r w:rsidR="00064C82">
        <w:noBreakHyphen/>
        <w:t>15</w:t>
      </w:r>
      <w:r w:rsidRPr="00D82D60">
        <w:t>—either or both of the widely</w:t>
      </w:r>
      <w:r w:rsidR="00064C82">
        <w:noBreakHyphen/>
      </w:r>
      <w:r w:rsidRPr="00D82D60">
        <w:t>held requirements in subsections </w:t>
      </w:r>
      <w:r w:rsidR="00064C82">
        <w:t>275</w:t>
      </w:r>
      <w:r w:rsidR="00064C82">
        <w:noBreakHyphen/>
        <w:t>20</w:t>
      </w:r>
      <w:r w:rsidRPr="00D82D60">
        <w:t>(2) and 275</w:t>
      </w:r>
      <w:r w:rsidR="00064C82">
        <w:noBreakHyphen/>
      </w:r>
      <w:r w:rsidRPr="00D82D60">
        <w:t>25(1); or</w:t>
      </w:r>
    </w:p>
    <w:p w:rsidR="00FD7091" w:rsidRPr="00D82D60" w:rsidRDefault="00FD7091" w:rsidP="00064C82">
      <w:pPr>
        <w:pStyle w:val="paragraphsub"/>
      </w:pPr>
      <w:r w:rsidRPr="00D82D60">
        <w:tab/>
        <w:t>(ii)</w:t>
      </w:r>
      <w:r w:rsidRPr="00D82D60">
        <w:tab/>
        <w:t xml:space="preserve">if, at the time the payment is made, the trust is covered by </w:t>
      </w:r>
      <w:r w:rsidR="00064C82">
        <w:t>section 275</w:t>
      </w:r>
      <w:r w:rsidR="00064C82">
        <w:noBreakHyphen/>
        <w:t>15</w:t>
      </w:r>
      <w:r w:rsidRPr="00D82D60">
        <w:t>—the widely</w:t>
      </w:r>
      <w:r w:rsidR="00064C82">
        <w:noBreakHyphen/>
      </w:r>
      <w:r w:rsidRPr="00D82D60">
        <w:t>held requirements in sub</w:t>
      </w:r>
      <w:r w:rsidR="00064C82">
        <w:t>section 275</w:t>
      </w:r>
      <w:r w:rsidR="00064C82">
        <w:noBreakHyphen/>
        <w:t>20</w:t>
      </w:r>
      <w:r w:rsidRPr="00D82D60">
        <w:t>(1); and</w:t>
      </w:r>
    </w:p>
    <w:p w:rsidR="00FD7091" w:rsidRPr="00D82D60" w:rsidRDefault="00FD7091" w:rsidP="00064C82">
      <w:pPr>
        <w:pStyle w:val="SubsectionHead"/>
      </w:pPr>
      <w:r w:rsidRPr="00D82D60">
        <w:t>Determining whether the trust is a trust with wholesale membership</w:t>
      </w:r>
    </w:p>
    <w:p w:rsidR="00FD7091" w:rsidRPr="00D82D60" w:rsidRDefault="00FD7091" w:rsidP="00064C82">
      <w:pPr>
        <w:pStyle w:val="subsection"/>
      </w:pPr>
      <w:r w:rsidRPr="00D82D60">
        <w:tab/>
        <w:t>(</w:t>
      </w:r>
      <w:r>
        <w:t>5</w:t>
      </w:r>
      <w:r w:rsidRPr="00D82D60">
        <w:t>)</w:t>
      </w:r>
      <w:r w:rsidRPr="00D82D60">
        <w:tab/>
        <w:t xml:space="preserve">In applying </w:t>
      </w:r>
      <w:r w:rsidR="00064C82">
        <w:t>section 275</w:t>
      </w:r>
      <w:r w:rsidR="00064C82">
        <w:noBreakHyphen/>
        <w:t>15</w:t>
      </w:r>
      <w:r w:rsidRPr="00D82D60">
        <w:t xml:space="preserve"> to the trust, disregard </w:t>
      </w:r>
      <w:r w:rsidR="00064C82">
        <w:t>paragraph 275</w:t>
      </w:r>
      <w:r w:rsidR="00064C82">
        <w:noBreakHyphen/>
        <w:t>15</w:t>
      </w:r>
      <w:r w:rsidRPr="00D82D60">
        <w:t>(a).</w:t>
      </w:r>
    </w:p>
    <w:p w:rsidR="00FD7091" w:rsidRPr="00D82D60" w:rsidRDefault="00FD7091" w:rsidP="00064C82">
      <w:pPr>
        <w:pStyle w:val="SubsectionHead"/>
      </w:pPr>
      <w:r w:rsidRPr="00D82D60">
        <w:t>Determining whether the trust satisfies the widely</w:t>
      </w:r>
      <w:r w:rsidR="00064C82">
        <w:noBreakHyphen/>
      </w:r>
      <w:r w:rsidRPr="00D82D60">
        <w:t>held requirements</w:t>
      </w:r>
    </w:p>
    <w:p w:rsidR="00FD7091" w:rsidRDefault="00FD7091" w:rsidP="00064C82">
      <w:pPr>
        <w:pStyle w:val="subsection"/>
      </w:pPr>
      <w:r w:rsidRPr="00D82D60">
        <w:tab/>
        <w:t>(</w:t>
      </w:r>
      <w:r>
        <w:t>6</w:t>
      </w:r>
      <w:r w:rsidRPr="00D82D60">
        <w:t>)</w:t>
      </w:r>
      <w:r w:rsidRPr="00D82D60">
        <w:tab/>
        <w:t xml:space="preserve">In applying </w:t>
      </w:r>
      <w:r w:rsidR="00064C82">
        <w:t>section 275</w:t>
      </w:r>
      <w:r w:rsidR="00064C82">
        <w:noBreakHyphen/>
        <w:t>45</w:t>
      </w:r>
      <w:r w:rsidRPr="00D82D60">
        <w:t xml:space="preserve"> to the trust, disregard </w:t>
      </w:r>
      <w:r w:rsidR="00064C82">
        <w:t>paragraph 275</w:t>
      </w:r>
      <w:r w:rsidR="00064C82">
        <w:noBreakHyphen/>
        <w:t>45</w:t>
      </w:r>
      <w:r w:rsidRPr="00D82D60">
        <w:t>(1)(d).</w:t>
      </w:r>
    </w:p>
    <w:p w:rsidR="00FD7091" w:rsidRPr="00D82D60" w:rsidRDefault="008A3D7A" w:rsidP="00064C82">
      <w:pPr>
        <w:pStyle w:val="ActHead5"/>
      </w:pPr>
      <w:bookmarkStart w:id="34" w:name="_Toc80625228"/>
      <w:bookmarkStart w:id="35" w:name="_Hlk80172549"/>
      <w:r w:rsidRPr="004F6323">
        <w:rPr>
          <w:rStyle w:val="CharSectno"/>
        </w:rPr>
        <w:t>195-135</w:t>
      </w:r>
      <w:r w:rsidR="00FD7091" w:rsidRPr="00D82D60">
        <w:t xml:space="preserve">  Application of </w:t>
      </w:r>
      <w:r w:rsidR="00064C82">
        <w:t>Division 276</w:t>
      </w:r>
      <w:r w:rsidR="00FD7091" w:rsidRPr="00D82D60">
        <w:t xml:space="preserve"> (AMITs) to a CCIV sub</w:t>
      </w:r>
      <w:r w:rsidR="00064C82">
        <w:noBreakHyphen/>
      </w:r>
      <w:r w:rsidR="00FD7091" w:rsidRPr="00D82D60">
        <w:t>fund trust</w:t>
      </w:r>
      <w:bookmarkEnd w:id="34"/>
    </w:p>
    <w:bookmarkEnd w:id="35"/>
    <w:p w:rsidR="00FD7091" w:rsidRPr="00D82D60" w:rsidRDefault="00FD7091" w:rsidP="00064C82">
      <w:pPr>
        <w:pStyle w:val="subsection"/>
      </w:pPr>
      <w:r w:rsidRPr="00D82D60">
        <w:tab/>
        <w:t>(1)</w:t>
      </w:r>
      <w:r w:rsidRPr="00D82D60">
        <w:rPr>
          <w:i/>
        </w:rPr>
        <w:tab/>
      </w:r>
      <w:r w:rsidRPr="00D82D60">
        <w:t xml:space="preserve">This section sets out how to apply </w:t>
      </w:r>
      <w:r w:rsidR="00064C82">
        <w:t>Division 2</w:t>
      </w:r>
      <w:r w:rsidRPr="00D82D60">
        <w:t xml:space="preserve">76 to a trust that is a </w:t>
      </w:r>
      <w:r w:rsidR="00064C82" w:rsidRPr="00064C82">
        <w:rPr>
          <w:position w:val="6"/>
          <w:sz w:val="16"/>
        </w:rPr>
        <w:t>*</w:t>
      </w:r>
      <w:r w:rsidRPr="00D82D60">
        <w:t>CCIV sub</w:t>
      </w:r>
      <w:r w:rsidR="00064C82">
        <w:noBreakHyphen/>
      </w:r>
      <w:r w:rsidRPr="00D82D60">
        <w:t>fund trust.</w:t>
      </w:r>
    </w:p>
    <w:p w:rsidR="00FD7091" w:rsidRPr="00D82D60" w:rsidRDefault="00FD7091" w:rsidP="00064C82">
      <w:pPr>
        <w:pStyle w:val="SubsectionHead"/>
      </w:pPr>
      <w:r w:rsidRPr="00D82D60">
        <w:t>Determining whether</w:t>
      </w:r>
      <w:r w:rsidR="00DE655E">
        <w:t xml:space="preserve"> the</w:t>
      </w:r>
      <w:r w:rsidRPr="00D82D60">
        <w:t xml:space="preserve"> trust is an attribution managed investment trust (AMIT)</w:t>
      </w:r>
    </w:p>
    <w:p w:rsidR="00FD7091" w:rsidRDefault="00FD7091" w:rsidP="00064C82">
      <w:pPr>
        <w:pStyle w:val="subsection"/>
      </w:pPr>
      <w:r w:rsidRPr="00D82D60">
        <w:tab/>
        <w:t>(2)</w:t>
      </w:r>
      <w:r w:rsidRPr="00D82D60">
        <w:tab/>
        <w:t xml:space="preserve">In applying </w:t>
      </w:r>
      <w:r w:rsidR="00064C82">
        <w:t>section 276</w:t>
      </w:r>
      <w:r w:rsidR="00064C82">
        <w:noBreakHyphen/>
        <w:t>10</w:t>
      </w:r>
      <w:r w:rsidRPr="00D82D60">
        <w:t xml:space="preserve"> to the trust, disregard the following provisions</w:t>
      </w:r>
      <w:r>
        <w:t>:</w:t>
      </w:r>
    </w:p>
    <w:p w:rsidR="00FD7091" w:rsidRDefault="00FD7091" w:rsidP="00064C82">
      <w:pPr>
        <w:pStyle w:val="paragraph"/>
      </w:pPr>
      <w:r>
        <w:tab/>
        <w:t>(a)</w:t>
      </w:r>
      <w:r>
        <w:tab/>
      </w:r>
      <w:r w:rsidR="00064C82">
        <w:t>paragraph 276</w:t>
      </w:r>
      <w:r w:rsidR="00064C82">
        <w:noBreakHyphen/>
        <w:t>10</w:t>
      </w:r>
      <w:r w:rsidRPr="00D82D60">
        <w:t>(1)(b)</w:t>
      </w:r>
      <w:r>
        <w:t>;</w:t>
      </w:r>
    </w:p>
    <w:p w:rsidR="00FD7091" w:rsidRDefault="00FD7091" w:rsidP="00064C82">
      <w:pPr>
        <w:pStyle w:val="paragraph"/>
      </w:pPr>
      <w:r>
        <w:tab/>
        <w:t>(b)</w:t>
      </w:r>
      <w:r>
        <w:tab/>
      </w:r>
      <w:r w:rsidR="00064C82">
        <w:t>paragraph 276</w:t>
      </w:r>
      <w:r w:rsidR="00064C82">
        <w:noBreakHyphen/>
        <w:t>10</w:t>
      </w:r>
      <w:r w:rsidRPr="00D82D60">
        <w:t>(1)(</w:t>
      </w:r>
      <w:r>
        <w:t>e</w:t>
      </w:r>
      <w:r w:rsidRPr="00D82D60">
        <w:t>)</w:t>
      </w:r>
      <w:r>
        <w:t>.</w:t>
      </w:r>
    </w:p>
    <w:p w:rsidR="00FD7091" w:rsidRPr="00BC232A" w:rsidRDefault="00FD7091" w:rsidP="00064C82">
      <w:pPr>
        <w:pStyle w:val="notetext"/>
      </w:pPr>
      <w:r>
        <w:t>Note:</w:t>
      </w:r>
      <w:r>
        <w:tab/>
        <w:t xml:space="preserve">The effect of disregarding </w:t>
      </w:r>
      <w:r w:rsidR="00064C82">
        <w:t>paragraph 276</w:t>
      </w:r>
      <w:r w:rsidR="00064C82">
        <w:noBreakHyphen/>
        <w:t>10</w:t>
      </w:r>
      <w:r w:rsidRPr="00D82D60">
        <w:t>(1)(</w:t>
      </w:r>
      <w:r>
        <w:t>e</w:t>
      </w:r>
      <w:r w:rsidRPr="00D82D60">
        <w:t>)</w:t>
      </w:r>
      <w:r>
        <w:t xml:space="preserve"> is that the trustee of a </w:t>
      </w:r>
      <w:r w:rsidR="00064C82" w:rsidRPr="00064C82">
        <w:rPr>
          <w:position w:val="6"/>
          <w:sz w:val="16"/>
        </w:rPr>
        <w:t>*</w:t>
      </w:r>
      <w:r w:rsidRPr="00D82D60">
        <w:t>CCIV sub</w:t>
      </w:r>
      <w:r w:rsidR="00064C82">
        <w:noBreakHyphen/>
      </w:r>
      <w:r w:rsidRPr="00D82D60">
        <w:t>fund trust</w:t>
      </w:r>
      <w:r>
        <w:t xml:space="preserve"> does not have a choice as to whether the trust is a</w:t>
      </w:r>
      <w:r w:rsidR="00605F87">
        <w:t>n</w:t>
      </w:r>
      <w:r>
        <w:t xml:space="preserve"> AMIT.</w:t>
      </w:r>
    </w:p>
    <w:p w:rsidR="00BE6131" w:rsidRDefault="00157D5F" w:rsidP="00064C82">
      <w:pPr>
        <w:pStyle w:val="ItemHead"/>
      </w:pPr>
      <w:r>
        <w:t>2</w:t>
      </w:r>
      <w:r w:rsidR="00BE6131" w:rsidRPr="00C87420">
        <w:t xml:space="preserve">  Sub</w:t>
      </w:r>
      <w:r w:rsidR="004A45CA">
        <w:t>section </w:t>
      </w:r>
      <w:r w:rsidR="00064C82">
        <w:t>703</w:t>
      </w:r>
      <w:r w:rsidR="00064C82">
        <w:noBreakHyphen/>
        <w:t>20</w:t>
      </w:r>
      <w:r w:rsidR="00BE6131" w:rsidRPr="00C87420">
        <w:t>(</w:t>
      </w:r>
      <w:r w:rsidR="007D3A73">
        <w:t>2</w:t>
      </w:r>
      <w:r w:rsidR="00BE6131" w:rsidRPr="00C87420">
        <w:t>)</w:t>
      </w:r>
      <w:r w:rsidR="007D3A73">
        <w:t xml:space="preserve"> (after table </w:t>
      </w:r>
      <w:r w:rsidR="004A45CA">
        <w:t>item 3</w:t>
      </w:r>
      <w:r w:rsidR="007D3A73">
        <w:t>)</w:t>
      </w:r>
    </w:p>
    <w:p w:rsidR="007D3A73" w:rsidRDefault="007D3A73" w:rsidP="00064C82">
      <w:pPr>
        <w:pStyle w:val="Item"/>
      </w:pPr>
      <w:r>
        <w:t>Insert: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124"/>
        <w:gridCol w:w="4249"/>
      </w:tblGrid>
      <w:tr w:rsidR="007D3A73" w:rsidRPr="001C3C33" w:rsidTr="008F789F">
        <w:tc>
          <w:tcPr>
            <w:tcW w:w="714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>
              <w:t>4</w:t>
            </w:r>
          </w:p>
        </w:tc>
        <w:tc>
          <w:tcPr>
            <w:tcW w:w="2124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 w:rsidRPr="001C3C33">
              <w:t>A company</w:t>
            </w:r>
          </w:p>
        </w:tc>
        <w:tc>
          <w:tcPr>
            <w:tcW w:w="4249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 w:rsidRPr="001C3C33">
              <w:t xml:space="preserve">The company is a </w:t>
            </w:r>
            <w:r w:rsidR="00064C82" w:rsidRPr="00064C82">
              <w:rPr>
                <w:position w:val="6"/>
                <w:sz w:val="16"/>
              </w:rPr>
              <w:t>*</w:t>
            </w:r>
            <w:r>
              <w:t>CCIV at any time during the income year</w:t>
            </w:r>
          </w:p>
        </w:tc>
      </w:tr>
    </w:tbl>
    <w:p w:rsidR="007D3A73" w:rsidRDefault="00157D5F" w:rsidP="00064C82">
      <w:pPr>
        <w:pStyle w:val="ItemHead"/>
      </w:pPr>
      <w:r>
        <w:lastRenderedPageBreak/>
        <w:t>3</w:t>
      </w:r>
      <w:r w:rsidR="007D3A73" w:rsidRPr="00C87420">
        <w:t xml:space="preserve">  Sub</w:t>
      </w:r>
      <w:r w:rsidR="004A45CA">
        <w:t>section </w:t>
      </w:r>
      <w:r w:rsidR="00064C82">
        <w:t>703</w:t>
      </w:r>
      <w:r w:rsidR="00064C82">
        <w:noBreakHyphen/>
        <w:t>20</w:t>
      </w:r>
      <w:r w:rsidR="007D3A73" w:rsidRPr="00C87420">
        <w:t>(</w:t>
      </w:r>
      <w:r w:rsidR="007D3A73">
        <w:t>2</w:t>
      </w:r>
      <w:r w:rsidR="007D3A73" w:rsidRPr="00C87420">
        <w:t>)</w:t>
      </w:r>
      <w:r w:rsidR="007D3A73">
        <w:t xml:space="preserve"> (at the end of the table)</w:t>
      </w:r>
    </w:p>
    <w:p w:rsidR="007D3A73" w:rsidRDefault="007D3A73" w:rsidP="00064C82">
      <w:pPr>
        <w:pStyle w:val="Item"/>
      </w:pPr>
      <w:r>
        <w:t>Add: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124"/>
        <w:gridCol w:w="4249"/>
      </w:tblGrid>
      <w:tr w:rsidR="007D3A73" w:rsidRPr="001C3C33" w:rsidTr="008F789F">
        <w:tc>
          <w:tcPr>
            <w:tcW w:w="714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>
              <w:t>8</w:t>
            </w:r>
          </w:p>
        </w:tc>
        <w:tc>
          <w:tcPr>
            <w:tcW w:w="2124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 w:rsidRPr="001C3C33">
              <w:t xml:space="preserve">A </w:t>
            </w:r>
            <w:r>
              <w:t>trust</w:t>
            </w:r>
          </w:p>
        </w:tc>
        <w:tc>
          <w:tcPr>
            <w:tcW w:w="4249" w:type="dxa"/>
            <w:shd w:val="clear" w:color="auto" w:fill="auto"/>
          </w:tcPr>
          <w:p w:rsidR="007D3A73" w:rsidRPr="001C3C33" w:rsidRDefault="007D3A73" w:rsidP="00064C82">
            <w:pPr>
              <w:pStyle w:val="Tabletext"/>
            </w:pPr>
            <w:r w:rsidRPr="001C3C33">
              <w:t xml:space="preserve">The </w:t>
            </w:r>
            <w:r>
              <w:t>trust</w:t>
            </w:r>
            <w:r w:rsidRPr="001C3C33">
              <w:t xml:space="preserve"> is a </w:t>
            </w:r>
            <w:r w:rsidR="00064C82" w:rsidRPr="00064C82">
              <w:rPr>
                <w:position w:val="6"/>
                <w:sz w:val="16"/>
              </w:rPr>
              <w:t>*</w:t>
            </w:r>
            <w:r>
              <w:t>CCIV sub</w:t>
            </w:r>
            <w:r w:rsidR="00064C82">
              <w:noBreakHyphen/>
            </w:r>
            <w:r>
              <w:t>fund trust</w:t>
            </w:r>
          </w:p>
        </w:tc>
      </w:tr>
    </w:tbl>
    <w:p w:rsidR="007D3A73" w:rsidRDefault="00157D5F" w:rsidP="00064C82">
      <w:pPr>
        <w:pStyle w:val="ItemHead"/>
      </w:pPr>
      <w:r>
        <w:t>4</w:t>
      </w:r>
      <w:r w:rsidR="007D3A73" w:rsidRPr="00C87420">
        <w:t xml:space="preserve">  </w:t>
      </w:r>
      <w:r w:rsidR="006B1C99">
        <w:t xml:space="preserve">At the end of </w:t>
      </w:r>
      <w:r w:rsidR="004A45CA">
        <w:t>section </w:t>
      </w:r>
      <w:r w:rsidR="00064C82">
        <w:t>703</w:t>
      </w:r>
      <w:r w:rsidR="00064C82">
        <w:noBreakHyphen/>
        <w:t>20</w:t>
      </w:r>
    </w:p>
    <w:p w:rsidR="006B1C99" w:rsidRDefault="006B1C99" w:rsidP="00064C82">
      <w:pPr>
        <w:pStyle w:val="Item"/>
      </w:pPr>
      <w:r>
        <w:t>Add:</w:t>
      </w:r>
    </w:p>
    <w:p w:rsidR="006B1C99" w:rsidRPr="006B1C99" w:rsidRDefault="006B1C99" w:rsidP="00064C82">
      <w:pPr>
        <w:pStyle w:val="subsection"/>
      </w:pPr>
      <w:r>
        <w:tab/>
        <w:t>(3)</w:t>
      </w:r>
      <w:r>
        <w:tab/>
      </w:r>
      <w:r w:rsidR="004A45CA">
        <w:t>Item 8</w:t>
      </w:r>
      <w:r>
        <w:t xml:space="preserve"> of the table in </w:t>
      </w:r>
      <w:r w:rsidR="00881F72">
        <w:t>subsection (</w:t>
      </w:r>
      <w:r>
        <w:t xml:space="preserve">2) of this section has effect despite </w:t>
      </w:r>
      <w:r w:rsidR="004A45CA">
        <w:t>section </w:t>
      </w:r>
      <w:r w:rsidR="00064C82">
        <w:t>713</w:t>
      </w:r>
      <w:r w:rsidR="00064C82">
        <w:noBreakHyphen/>
        <w:t>130</w:t>
      </w:r>
      <w:r>
        <w:t xml:space="preserve"> (which enables a public trading trust to form a consolidated group).</w:t>
      </w:r>
    </w:p>
    <w:p w:rsidR="000363BE" w:rsidRPr="00C87420" w:rsidRDefault="00157D5F" w:rsidP="00064C82">
      <w:pPr>
        <w:pStyle w:val="ItemHead"/>
      </w:pPr>
      <w:r>
        <w:t>5</w:t>
      </w:r>
      <w:r w:rsidR="000363BE" w:rsidRPr="00C87420">
        <w:t xml:space="preserve">  Sub</w:t>
      </w:r>
      <w:r w:rsidR="004A45CA">
        <w:t>section </w:t>
      </w:r>
      <w:r w:rsidR="00064C82">
        <w:t>995</w:t>
      </w:r>
      <w:r w:rsidR="00064C82">
        <w:noBreakHyphen/>
        <w:t>1</w:t>
      </w:r>
      <w:r w:rsidR="000363BE" w:rsidRPr="00C87420">
        <w:t>(1)</w:t>
      </w:r>
    </w:p>
    <w:p w:rsidR="00BE6131" w:rsidRPr="00C87420" w:rsidRDefault="00BE6131" w:rsidP="00064C82">
      <w:pPr>
        <w:pStyle w:val="Item"/>
      </w:pPr>
      <w:r w:rsidRPr="00C87420">
        <w:t>Insert:</w:t>
      </w:r>
    </w:p>
    <w:p w:rsidR="00F7571F" w:rsidRPr="00F7571F" w:rsidRDefault="00F7571F" w:rsidP="00064C82">
      <w:pPr>
        <w:pStyle w:val="Definition"/>
      </w:pPr>
      <w:r>
        <w:rPr>
          <w:b/>
          <w:i/>
        </w:rPr>
        <w:t>asset</w:t>
      </w:r>
      <w:r w:rsidR="00B511E7">
        <w:t>,</w:t>
      </w:r>
      <w:r w:rsidRPr="00F7571F">
        <w:t xml:space="preserve"> </w:t>
      </w:r>
      <w:r>
        <w:t xml:space="preserve">of a </w:t>
      </w:r>
      <w:r w:rsidR="00064C82" w:rsidRPr="00064C82">
        <w:rPr>
          <w:position w:val="6"/>
          <w:sz w:val="16"/>
        </w:rPr>
        <w:t>*</w:t>
      </w:r>
      <w:r w:rsidRPr="00F7571F">
        <w:t>sub</w:t>
      </w:r>
      <w:r w:rsidR="00064C82">
        <w:noBreakHyphen/>
      </w:r>
      <w:r w:rsidRPr="00F7571F">
        <w:t>fund</w:t>
      </w:r>
      <w:r w:rsidRPr="00C87420">
        <w:t xml:space="preserve"> of a </w:t>
      </w:r>
      <w:r w:rsidR="00064C82" w:rsidRPr="00064C82">
        <w:rPr>
          <w:position w:val="6"/>
          <w:sz w:val="16"/>
        </w:rPr>
        <w:t>*</w:t>
      </w:r>
      <w:r w:rsidRPr="00C87420">
        <w:t>CCIV</w:t>
      </w:r>
      <w:r w:rsidR="00B511E7">
        <w:t>,</w:t>
      </w:r>
      <w:r>
        <w:t xml:space="preserve"> means any of the assets of the sub</w:t>
      </w:r>
      <w:r w:rsidR="00064C82">
        <w:noBreakHyphen/>
      </w:r>
      <w:r>
        <w:t xml:space="preserve">fund, ascertained in accordance with Subdivision B of </w:t>
      </w:r>
      <w:r w:rsidR="004A45CA">
        <w:t>Division 3</w:t>
      </w:r>
      <w:r>
        <w:t xml:space="preserve"> of </w:t>
      </w:r>
      <w:r w:rsidR="004A45CA">
        <w:t>Part 8</w:t>
      </w:r>
      <w:r>
        <w:t xml:space="preserve">B.5 of the </w:t>
      </w:r>
      <w:r>
        <w:rPr>
          <w:i/>
        </w:rPr>
        <w:t>Corporations Act 2001</w:t>
      </w:r>
      <w:r>
        <w:t>.</w:t>
      </w:r>
    </w:p>
    <w:p w:rsidR="00947881" w:rsidRPr="00947881" w:rsidRDefault="00947881" w:rsidP="00064C82">
      <w:pPr>
        <w:pStyle w:val="Definition"/>
      </w:pPr>
      <w:r>
        <w:rPr>
          <w:b/>
          <w:i/>
        </w:rPr>
        <w:t>beneficiary</w:t>
      </w:r>
      <w:r w:rsidR="00B511E7">
        <w:t>,</w:t>
      </w:r>
      <w:r>
        <w:t xml:space="preserve"> </w:t>
      </w:r>
      <w:r w:rsidR="00C26CFD">
        <w:t xml:space="preserve">of a </w:t>
      </w:r>
      <w:r w:rsidR="00064C82" w:rsidRPr="00064C82">
        <w:rPr>
          <w:position w:val="6"/>
          <w:sz w:val="16"/>
        </w:rPr>
        <w:t>*</w:t>
      </w:r>
      <w:r w:rsidR="00C26CFD">
        <w:t>CCIV sub</w:t>
      </w:r>
      <w:r w:rsidR="00064C82">
        <w:noBreakHyphen/>
      </w:r>
      <w:r w:rsidR="00C26CFD">
        <w:t>fund trust</w:t>
      </w:r>
      <w:r w:rsidR="00B511E7">
        <w:t>,</w:t>
      </w:r>
      <w:r>
        <w:t xml:space="preserve"> means a</w:t>
      </w:r>
      <w:r w:rsidR="00C26CFD">
        <w:t xml:space="preserve"> </w:t>
      </w:r>
      <w:r w:rsidR="00064C82" w:rsidRPr="00064C82">
        <w:rPr>
          <w:position w:val="6"/>
          <w:sz w:val="16"/>
        </w:rPr>
        <w:t>*</w:t>
      </w:r>
      <w:r w:rsidR="00C26CFD">
        <w:t xml:space="preserve">member of the </w:t>
      </w:r>
      <w:r w:rsidR="00064C82" w:rsidRPr="00064C82">
        <w:rPr>
          <w:position w:val="6"/>
          <w:sz w:val="16"/>
        </w:rPr>
        <w:t>*</w:t>
      </w:r>
      <w:r w:rsidR="00C26CFD">
        <w:t>sub</w:t>
      </w:r>
      <w:r w:rsidR="00064C82">
        <w:noBreakHyphen/>
      </w:r>
      <w:r w:rsidR="00C26CFD">
        <w:t>fund</w:t>
      </w:r>
      <w:r w:rsidR="004A78C6">
        <w:t xml:space="preserve"> who is taken because of </w:t>
      </w:r>
      <w:r w:rsidR="00064C82">
        <w:t>subsection 195</w:t>
      </w:r>
      <w:r w:rsidR="00064C82">
        <w:noBreakHyphen/>
        <w:t>1</w:t>
      </w:r>
      <w:r w:rsidR="00563125">
        <w:t>10</w:t>
      </w:r>
      <w:r w:rsidR="004A78C6">
        <w:t>(</w:t>
      </w:r>
      <w:r w:rsidR="00166156">
        <w:t>1</w:t>
      </w:r>
      <w:r w:rsidR="004A78C6">
        <w:t>) to be a beneficiary of the trust</w:t>
      </w:r>
      <w:r>
        <w:t>.</w:t>
      </w:r>
    </w:p>
    <w:p w:rsidR="00BE6131" w:rsidRPr="00C87420" w:rsidRDefault="00BE6131" w:rsidP="00064C82">
      <w:pPr>
        <w:pStyle w:val="Definition"/>
      </w:pPr>
      <w:r w:rsidRPr="00C87420">
        <w:rPr>
          <w:b/>
          <w:i/>
        </w:rPr>
        <w:t>CCIV</w:t>
      </w:r>
      <w:r w:rsidRPr="00C87420">
        <w:t xml:space="preserve">: see </w:t>
      </w:r>
      <w:r w:rsidRPr="00C87420">
        <w:rPr>
          <w:b/>
          <w:i/>
        </w:rPr>
        <w:t>corporate collective investment vehicle</w:t>
      </w:r>
      <w:r w:rsidRPr="00C87420">
        <w:t>.</w:t>
      </w:r>
    </w:p>
    <w:p w:rsidR="00947881" w:rsidRPr="00947881" w:rsidRDefault="00947881" w:rsidP="00064C82">
      <w:pPr>
        <w:pStyle w:val="Definition"/>
      </w:pPr>
      <w:r>
        <w:rPr>
          <w:b/>
          <w:i/>
        </w:rPr>
        <w:t>CCIV sub</w:t>
      </w:r>
      <w:r w:rsidR="00064C82">
        <w:rPr>
          <w:b/>
          <w:i/>
        </w:rPr>
        <w:noBreakHyphen/>
      </w:r>
      <w:r>
        <w:rPr>
          <w:b/>
          <w:i/>
        </w:rPr>
        <w:t>fund trust</w:t>
      </w:r>
      <w:r>
        <w:t xml:space="preserve"> </w:t>
      </w:r>
      <w:r w:rsidR="00897605">
        <w:t xml:space="preserve">has the meaning given by </w:t>
      </w:r>
      <w:r w:rsidR="004A45CA">
        <w:t>subsection </w:t>
      </w:r>
      <w:r w:rsidR="00064C82">
        <w:t>195</w:t>
      </w:r>
      <w:r w:rsidR="00064C82">
        <w:noBreakHyphen/>
        <w:t>1</w:t>
      </w:r>
      <w:r w:rsidR="00563125">
        <w:t>10</w:t>
      </w:r>
      <w:r w:rsidR="00897605">
        <w:t>(2)</w:t>
      </w:r>
      <w:r>
        <w:t>.</w:t>
      </w:r>
    </w:p>
    <w:p w:rsidR="00BE6131" w:rsidRPr="00C87420" w:rsidRDefault="00BE6131" w:rsidP="00064C82">
      <w:pPr>
        <w:pStyle w:val="Definition"/>
      </w:pPr>
      <w:r w:rsidRPr="00C87420">
        <w:rPr>
          <w:b/>
          <w:i/>
        </w:rPr>
        <w:t>corporate collective investment vehicle</w:t>
      </w:r>
      <w:r w:rsidRPr="00C87420">
        <w:t xml:space="preserve"> or </w:t>
      </w:r>
      <w:r w:rsidRPr="00C87420">
        <w:rPr>
          <w:b/>
          <w:i/>
        </w:rPr>
        <w:t>CCIV</w:t>
      </w:r>
      <w:r w:rsidRPr="00C87420">
        <w:t xml:space="preserve"> has the same meaning as in the </w:t>
      </w:r>
      <w:r w:rsidRPr="00C87420">
        <w:rPr>
          <w:i/>
        </w:rPr>
        <w:t>Corporations Act 2001</w:t>
      </w:r>
      <w:r w:rsidRPr="00C87420">
        <w:t>.</w:t>
      </w:r>
    </w:p>
    <w:p w:rsidR="000B0562" w:rsidRDefault="00157D5F" w:rsidP="00064C82">
      <w:pPr>
        <w:pStyle w:val="ItemHead"/>
      </w:pPr>
      <w:r>
        <w:t>6</w:t>
      </w:r>
      <w:r w:rsidR="000B0562" w:rsidRPr="00C87420">
        <w:t xml:space="preserve">  Sub</w:t>
      </w:r>
      <w:r w:rsidR="004A45CA">
        <w:t>section </w:t>
      </w:r>
      <w:r w:rsidR="00064C82">
        <w:t>995</w:t>
      </w:r>
      <w:r w:rsidR="00064C82">
        <w:noBreakHyphen/>
        <w:t>1</w:t>
      </w:r>
      <w:r w:rsidR="000B0562" w:rsidRPr="00C87420">
        <w:t xml:space="preserve">(1) (definition of </w:t>
      </w:r>
      <w:r w:rsidR="00965C3B">
        <w:rPr>
          <w:i/>
        </w:rPr>
        <w:t>fixed entitlement</w:t>
      </w:r>
      <w:r w:rsidR="000B0562" w:rsidRPr="00C87420">
        <w:t>)</w:t>
      </w:r>
    </w:p>
    <w:p w:rsidR="00965C3B" w:rsidRDefault="00965C3B" w:rsidP="00064C82">
      <w:pPr>
        <w:pStyle w:val="Item"/>
      </w:pPr>
      <w:r>
        <w:t>Repeal the definition, substitute:</w:t>
      </w:r>
    </w:p>
    <w:p w:rsidR="00965C3B" w:rsidRDefault="0031687A" w:rsidP="00064C82">
      <w:pPr>
        <w:pStyle w:val="Definition"/>
      </w:pPr>
      <w:r>
        <w:rPr>
          <w:b/>
          <w:i/>
        </w:rPr>
        <w:t>fixed entitlement</w:t>
      </w:r>
      <w:r>
        <w:t>:</w:t>
      </w:r>
    </w:p>
    <w:p w:rsidR="0031687A" w:rsidRDefault="0031687A" w:rsidP="00064C82">
      <w:pPr>
        <w:pStyle w:val="paragraph"/>
      </w:pPr>
      <w:r>
        <w:tab/>
        <w:t>(a)</w:t>
      </w:r>
      <w:r>
        <w:tab/>
        <w:t xml:space="preserve">an entity has a </w:t>
      </w:r>
      <w:r w:rsidRPr="0031687A">
        <w:rPr>
          <w:b/>
          <w:i/>
        </w:rPr>
        <w:t>fixed entitlement</w:t>
      </w:r>
      <w:r>
        <w:t xml:space="preserve"> to a share of the income or capital of a company, partnership or trust if the entity has a fixed entitlement to that share within the meaning of </w:t>
      </w:r>
      <w:r w:rsidR="00064C82">
        <w:t>Division 2</w:t>
      </w:r>
      <w:r>
        <w:t xml:space="preserve">72 in </w:t>
      </w:r>
      <w:r w:rsidR="004A45CA">
        <w:t>Schedule 2</w:t>
      </w:r>
      <w:r>
        <w:t xml:space="preserve">F to the </w:t>
      </w:r>
      <w:r w:rsidRPr="0031687A">
        <w:rPr>
          <w:i/>
        </w:rPr>
        <w:t>Income Tax Assessment Act 1936</w:t>
      </w:r>
      <w:r>
        <w:t>; and</w:t>
      </w:r>
    </w:p>
    <w:p w:rsidR="0031687A" w:rsidRPr="0031687A" w:rsidRDefault="0031687A" w:rsidP="00064C82">
      <w:pPr>
        <w:pStyle w:val="paragraph"/>
      </w:pPr>
      <w:r>
        <w:tab/>
        <w:t>(b)</w:t>
      </w:r>
      <w:r>
        <w:tab/>
        <w:t xml:space="preserve">despite </w:t>
      </w:r>
      <w:r w:rsidR="004A45CA">
        <w:t>paragraph (</w:t>
      </w:r>
      <w:r>
        <w:t xml:space="preserve">a) of this definition, a </w:t>
      </w:r>
      <w:r w:rsidR="00064C82" w:rsidRPr="00064C82">
        <w:rPr>
          <w:position w:val="6"/>
          <w:sz w:val="16"/>
        </w:rPr>
        <w:t>*</w:t>
      </w:r>
      <w:r>
        <w:t xml:space="preserve">beneficiary of a </w:t>
      </w:r>
      <w:r w:rsidR="00064C82" w:rsidRPr="00064C82">
        <w:rPr>
          <w:position w:val="6"/>
          <w:sz w:val="16"/>
        </w:rPr>
        <w:t>*</w:t>
      </w:r>
      <w:r>
        <w:t>CCIV sub</w:t>
      </w:r>
      <w:r w:rsidR="00064C82">
        <w:noBreakHyphen/>
      </w:r>
      <w:r>
        <w:t xml:space="preserve">fund trust is taken to have a </w:t>
      </w:r>
      <w:r>
        <w:rPr>
          <w:b/>
          <w:i/>
        </w:rPr>
        <w:t>fixed entitlement</w:t>
      </w:r>
      <w:r>
        <w:t xml:space="preserve"> to a share of the income or capital of the trust as provided by </w:t>
      </w:r>
      <w:r w:rsidR="004A45CA">
        <w:t>section </w:t>
      </w:r>
      <w:r w:rsidR="008A3D7A">
        <w:t>195-120</w:t>
      </w:r>
      <w:r>
        <w:t xml:space="preserve"> of this Act.</w:t>
      </w:r>
    </w:p>
    <w:p w:rsidR="003F21EC" w:rsidRDefault="003F21EC" w:rsidP="00064C82">
      <w:pPr>
        <w:pStyle w:val="notetext"/>
      </w:pPr>
      <w:r>
        <w:lastRenderedPageBreak/>
        <w:t>Note:</w:t>
      </w:r>
      <w:r>
        <w:tab/>
        <w:t>Section 165</w:t>
      </w:r>
      <w:r w:rsidR="00064C82">
        <w:noBreakHyphen/>
      </w:r>
      <w:r>
        <w:t>245 of this Act affects when an entity is taken to have held or had, directly or indirectly, a fixed entitlement to a share of income or capital of a company.</w:t>
      </w:r>
    </w:p>
    <w:p w:rsidR="00407CAB" w:rsidRPr="00C87420" w:rsidRDefault="00157D5F" w:rsidP="00407CAB">
      <w:pPr>
        <w:pStyle w:val="ItemHead"/>
      </w:pPr>
      <w:r>
        <w:t>7</w:t>
      </w:r>
      <w:r w:rsidR="00407CAB" w:rsidRPr="00C87420">
        <w:t xml:space="preserve">  Sub</w:t>
      </w:r>
      <w:r w:rsidR="00407CAB">
        <w:t>section 995</w:t>
      </w:r>
      <w:r w:rsidR="00407CAB">
        <w:noBreakHyphen/>
        <w:t>1</w:t>
      </w:r>
      <w:r w:rsidR="00407CAB" w:rsidRPr="00C87420">
        <w:t>(1)</w:t>
      </w:r>
    </w:p>
    <w:p w:rsidR="00407CAB" w:rsidRPr="00407CAB" w:rsidRDefault="00407CAB" w:rsidP="00407CAB">
      <w:pPr>
        <w:pStyle w:val="Item"/>
      </w:pPr>
      <w:r>
        <w:t>Insert:</w:t>
      </w:r>
    </w:p>
    <w:p w:rsidR="00407CAB" w:rsidRDefault="00407CAB" w:rsidP="00407CAB">
      <w:pPr>
        <w:pStyle w:val="Definition"/>
      </w:pPr>
      <w:r>
        <w:rPr>
          <w:b/>
          <w:i/>
        </w:rPr>
        <w:t>liability</w:t>
      </w:r>
      <w:r w:rsidR="007741E7">
        <w:t>,</w:t>
      </w:r>
      <w:r w:rsidRPr="00F7571F">
        <w:t xml:space="preserve"> </w:t>
      </w:r>
      <w:r>
        <w:t xml:space="preserve">of a </w:t>
      </w:r>
      <w:r w:rsidRPr="00064C82">
        <w:rPr>
          <w:position w:val="6"/>
          <w:sz w:val="16"/>
        </w:rPr>
        <w:t>*</w:t>
      </w:r>
      <w:r w:rsidRPr="00F7571F">
        <w:t>sub</w:t>
      </w:r>
      <w:r>
        <w:noBreakHyphen/>
      </w:r>
      <w:r w:rsidRPr="00F7571F">
        <w:t>fund</w:t>
      </w:r>
      <w:r w:rsidRPr="00C87420">
        <w:t xml:space="preserve"> of a </w:t>
      </w:r>
      <w:r w:rsidRPr="00064C82">
        <w:rPr>
          <w:position w:val="6"/>
          <w:sz w:val="16"/>
        </w:rPr>
        <w:t>*</w:t>
      </w:r>
      <w:r w:rsidRPr="00C87420">
        <w:t>CCIV</w:t>
      </w:r>
      <w:r w:rsidR="007741E7">
        <w:t>,</w:t>
      </w:r>
      <w:r>
        <w:t xml:space="preserve"> means any of the liabilities of the sub</w:t>
      </w:r>
      <w:r>
        <w:noBreakHyphen/>
        <w:t xml:space="preserve">fund, ascertained in accordance with Subdivision C of Division 3 of Part 8B.5 of the </w:t>
      </w:r>
      <w:r>
        <w:rPr>
          <w:i/>
        </w:rPr>
        <w:t>Corporations Act 2001</w:t>
      </w:r>
      <w:r>
        <w:t>.</w:t>
      </w:r>
    </w:p>
    <w:p w:rsidR="00965C3B" w:rsidRPr="00C87420" w:rsidRDefault="00157D5F" w:rsidP="00064C82">
      <w:pPr>
        <w:pStyle w:val="ItemHead"/>
      </w:pPr>
      <w:r>
        <w:t>8</w:t>
      </w:r>
      <w:r w:rsidR="00965C3B" w:rsidRPr="00C87420">
        <w:t xml:space="preserve">  Sub</w:t>
      </w:r>
      <w:r w:rsidR="004A45CA">
        <w:t>section </w:t>
      </w:r>
      <w:r w:rsidR="00064C82">
        <w:t>995</w:t>
      </w:r>
      <w:r w:rsidR="00064C82">
        <w:noBreakHyphen/>
        <w:t>1</w:t>
      </w:r>
      <w:r w:rsidR="00965C3B" w:rsidRPr="00C87420">
        <w:t xml:space="preserve">(1) (at the end of the definition of </w:t>
      </w:r>
      <w:r w:rsidR="00965C3B" w:rsidRPr="00C87420">
        <w:rPr>
          <w:i/>
        </w:rPr>
        <w:t>member</w:t>
      </w:r>
      <w:r w:rsidR="00965C3B" w:rsidRPr="00C87420">
        <w:t>)</w:t>
      </w:r>
    </w:p>
    <w:p w:rsidR="000B0562" w:rsidRPr="00C87420" w:rsidRDefault="000B0562" w:rsidP="00064C82">
      <w:pPr>
        <w:pStyle w:val="Item"/>
      </w:pPr>
      <w:r w:rsidRPr="00C87420">
        <w:t>Add:</w:t>
      </w:r>
    </w:p>
    <w:p w:rsidR="00BE6131" w:rsidRDefault="000B0562" w:rsidP="00064C82">
      <w:pPr>
        <w:pStyle w:val="paragraph"/>
      </w:pPr>
      <w:r w:rsidRPr="00C87420">
        <w:tab/>
        <w:t>; and (f)</w:t>
      </w:r>
      <w:r w:rsidRPr="00C87420">
        <w:tab/>
        <w:t xml:space="preserve">in relation to a </w:t>
      </w:r>
      <w:r w:rsidR="00064C82" w:rsidRPr="00064C82">
        <w:rPr>
          <w:position w:val="6"/>
          <w:sz w:val="16"/>
        </w:rPr>
        <w:t>*</w:t>
      </w:r>
      <w:r w:rsidRPr="00C87420">
        <w:t>sub</w:t>
      </w:r>
      <w:r w:rsidR="00064C82">
        <w:noBreakHyphen/>
      </w:r>
      <w:r w:rsidRPr="00C87420">
        <w:t xml:space="preserve">fund of a </w:t>
      </w:r>
      <w:r w:rsidR="00064C82" w:rsidRPr="00064C82">
        <w:rPr>
          <w:position w:val="6"/>
          <w:sz w:val="16"/>
        </w:rPr>
        <w:t>*</w:t>
      </w:r>
      <w:r w:rsidRPr="00C87420">
        <w:t xml:space="preserve">CCIV—means a person who is, under </w:t>
      </w:r>
      <w:r w:rsidR="00064C82">
        <w:t>subsection 1222Q</w:t>
      </w:r>
      <w:r w:rsidRPr="00C87420">
        <w:t xml:space="preserve">(3) of the </w:t>
      </w:r>
      <w:r w:rsidRPr="00C87420">
        <w:rPr>
          <w:i/>
        </w:rPr>
        <w:t>Corporations Act 2001</w:t>
      </w:r>
      <w:r w:rsidRPr="00C87420">
        <w:t>, a member of the sub</w:t>
      </w:r>
      <w:r w:rsidR="00064C82">
        <w:noBreakHyphen/>
      </w:r>
      <w:r w:rsidRPr="00C87420">
        <w:t>fund.</w:t>
      </w:r>
    </w:p>
    <w:p w:rsidR="003B39CD" w:rsidRPr="00C87420" w:rsidRDefault="00157D5F" w:rsidP="00064C82">
      <w:pPr>
        <w:pStyle w:val="ItemHead"/>
      </w:pPr>
      <w:r>
        <w:t>9</w:t>
      </w:r>
      <w:r w:rsidR="003B39CD" w:rsidRPr="00C87420">
        <w:t xml:space="preserve">  Sub</w:t>
      </w:r>
      <w:r w:rsidR="003B39CD">
        <w:t>section </w:t>
      </w:r>
      <w:r w:rsidR="00064C82">
        <w:t>995</w:t>
      </w:r>
      <w:r w:rsidR="00064C82">
        <w:noBreakHyphen/>
        <w:t>1</w:t>
      </w:r>
      <w:r w:rsidR="003B39CD" w:rsidRPr="00C87420">
        <w:t>(1)</w:t>
      </w:r>
    </w:p>
    <w:p w:rsidR="003B39CD" w:rsidRPr="00C87420" w:rsidRDefault="003B39CD" w:rsidP="00064C82">
      <w:pPr>
        <w:pStyle w:val="Item"/>
      </w:pPr>
      <w:r w:rsidRPr="00C87420">
        <w:t>Insert:</w:t>
      </w:r>
    </w:p>
    <w:p w:rsidR="003B39CD" w:rsidRPr="000B0562" w:rsidRDefault="003B39CD" w:rsidP="00064C82">
      <w:pPr>
        <w:pStyle w:val="Definition"/>
      </w:pPr>
      <w:r w:rsidRPr="00C87420">
        <w:rPr>
          <w:b/>
          <w:i/>
        </w:rPr>
        <w:t>referable</w:t>
      </w:r>
      <w:r w:rsidRPr="00C87420">
        <w:t>:</w:t>
      </w:r>
      <w:r>
        <w:t xml:space="preserve"> </w:t>
      </w:r>
      <w:r w:rsidRPr="00C87420">
        <w:t xml:space="preserve">a </w:t>
      </w:r>
      <w:r w:rsidR="00064C82" w:rsidRPr="00064C82">
        <w:rPr>
          <w:position w:val="6"/>
          <w:sz w:val="16"/>
        </w:rPr>
        <w:t>*</w:t>
      </w:r>
      <w:r w:rsidRPr="00C87420">
        <w:t xml:space="preserve">share in a </w:t>
      </w:r>
      <w:r w:rsidR="00064C82" w:rsidRPr="00064C82">
        <w:rPr>
          <w:position w:val="6"/>
          <w:sz w:val="16"/>
        </w:rPr>
        <w:t>*</w:t>
      </w:r>
      <w:r w:rsidRPr="00C87420">
        <w:t xml:space="preserve">CCIV is </w:t>
      </w:r>
      <w:r w:rsidRPr="00C87420">
        <w:rPr>
          <w:b/>
          <w:i/>
        </w:rPr>
        <w:t>referable</w:t>
      </w:r>
      <w:r w:rsidRPr="00C87420">
        <w:t xml:space="preserve"> to a </w:t>
      </w:r>
      <w:r w:rsidR="00064C82" w:rsidRPr="00064C82">
        <w:rPr>
          <w:position w:val="6"/>
          <w:sz w:val="16"/>
        </w:rPr>
        <w:t>*</w:t>
      </w:r>
      <w:r w:rsidRPr="00C87420">
        <w:t>sub</w:t>
      </w:r>
      <w:r w:rsidR="00064C82">
        <w:noBreakHyphen/>
      </w:r>
      <w:r w:rsidRPr="00C87420">
        <w:t xml:space="preserve">fund of the CCIV if it is so referable within the meaning of </w:t>
      </w:r>
      <w:r w:rsidR="00064C82">
        <w:t>section 1231</w:t>
      </w:r>
      <w:r w:rsidRPr="00C87420">
        <w:t xml:space="preserve"> of the </w:t>
      </w:r>
      <w:r w:rsidRPr="00C87420">
        <w:rPr>
          <w:i/>
        </w:rPr>
        <w:t>Corporations Act 2001</w:t>
      </w:r>
      <w:r>
        <w:t>.</w:t>
      </w:r>
    </w:p>
    <w:p w:rsidR="003B39CD" w:rsidRPr="00C87420" w:rsidRDefault="003B39CD" w:rsidP="00064C82">
      <w:pPr>
        <w:pStyle w:val="Definition"/>
      </w:pPr>
      <w:r w:rsidRPr="00C87420">
        <w:rPr>
          <w:b/>
          <w:i/>
        </w:rPr>
        <w:t>sub</w:t>
      </w:r>
      <w:r w:rsidR="00064C82">
        <w:rPr>
          <w:b/>
          <w:i/>
        </w:rPr>
        <w:noBreakHyphen/>
      </w:r>
      <w:r w:rsidRPr="00C87420">
        <w:rPr>
          <w:b/>
          <w:i/>
        </w:rPr>
        <w:t>fund</w:t>
      </w:r>
      <w:r w:rsidRPr="00C87420">
        <w:t xml:space="preserve">, of a </w:t>
      </w:r>
      <w:r w:rsidR="00064C82" w:rsidRPr="00064C82">
        <w:rPr>
          <w:position w:val="6"/>
          <w:sz w:val="16"/>
        </w:rPr>
        <w:t>*</w:t>
      </w:r>
      <w:r w:rsidRPr="00C87420">
        <w:t xml:space="preserve">CCIV, has the meaning given by </w:t>
      </w:r>
      <w:r w:rsidR="00064C82">
        <w:t>subsection 1222Q</w:t>
      </w:r>
      <w:r w:rsidRPr="00C87420">
        <w:t xml:space="preserve">(1) of the </w:t>
      </w:r>
      <w:r w:rsidRPr="00C87420">
        <w:rPr>
          <w:i/>
        </w:rPr>
        <w:t>Corporations Act 2001</w:t>
      </w:r>
      <w:r w:rsidRPr="00C87420">
        <w:t>.</w:t>
      </w:r>
    </w:p>
    <w:p w:rsidR="008D4497" w:rsidRDefault="008D4497" w:rsidP="00064C82">
      <w:pPr>
        <w:pStyle w:val="ActHead9"/>
      </w:pPr>
      <w:bookmarkStart w:id="36" w:name="_Toc80625229"/>
      <w:r>
        <w:t>International</w:t>
      </w:r>
      <w:r w:rsidRPr="00C87420">
        <w:t xml:space="preserve"> Tax </w:t>
      </w:r>
      <w:r>
        <w:t>Agreements</w:t>
      </w:r>
      <w:r w:rsidRPr="00C87420">
        <w:t xml:space="preserve"> Act </w:t>
      </w:r>
      <w:r w:rsidR="005172C6">
        <w:t>1953</w:t>
      </w:r>
      <w:bookmarkEnd w:id="36"/>
    </w:p>
    <w:p w:rsidR="005172C6" w:rsidRDefault="00157D5F" w:rsidP="00064C82">
      <w:pPr>
        <w:pStyle w:val="ItemHead"/>
      </w:pPr>
      <w:r>
        <w:t>10</w:t>
      </w:r>
      <w:r w:rsidR="005172C6">
        <w:t xml:space="preserve">  </w:t>
      </w:r>
      <w:r w:rsidR="004A45CA">
        <w:t>Subsection </w:t>
      </w:r>
      <w:r w:rsidR="00064C82">
        <w:t>4</w:t>
      </w:r>
      <w:r w:rsidR="005172C6">
        <w:t>(2)</w:t>
      </w:r>
    </w:p>
    <w:p w:rsidR="005172C6" w:rsidRDefault="005172C6" w:rsidP="00064C82">
      <w:pPr>
        <w:pStyle w:val="Item"/>
      </w:pPr>
      <w:r>
        <w:t>Omit “</w:t>
      </w:r>
      <w:r w:rsidR="004A45CA">
        <w:t>Part I</w:t>
      </w:r>
      <w:r>
        <w:t xml:space="preserve">VA of the </w:t>
      </w:r>
      <w:r>
        <w:rPr>
          <w:i/>
        </w:rPr>
        <w:t>Income Tax Assessment Act 1936</w:t>
      </w:r>
      <w:r>
        <w:t xml:space="preserve">”, substitute “the provisions covered by </w:t>
      </w:r>
      <w:r w:rsidR="00881F72">
        <w:t>subsection (</w:t>
      </w:r>
      <w:r>
        <w:t>3)”.</w:t>
      </w:r>
    </w:p>
    <w:p w:rsidR="005172C6" w:rsidRDefault="00157D5F" w:rsidP="00064C82">
      <w:pPr>
        <w:pStyle w:val="ItemHead"/>
      </w:pPr>
      <w:r>
        <w:t>11</w:t>
      </w:r>
      <w:r w:rsidR="005172C6">
        <w:t xml:space="preserve">  At the end of </w:t>
      </w:r>
      <w:r w:rsidR="004A45CA">
        <w:t>section </w:t>
      </w:r>
      <w:r w:rsidR="00064C82">
        <w:t>4</w:t>
      </w:r>
    </w:p>
    <w:p w:rsidR="005172C6" w:rsidRPr="005172C6" w:rsidRDefault="005172C6" w:rsidP="00064C82">
      <w:pPr>
        <w:pStyle w:val="Item"/>
      </w:pPr>
      <w:r>
        <w:t>Add:</w:t>
      </w:r>
    </w:p>
    <w:p w:rsidR="005172C6" w:rsidRPr="005172C6" w:rsidRDefault="005172C6" w:rsidP="00064C82">
      <w:pPr>
        <w:pStyle w:val="subsection"/>
      </w:pPr>
      <w:r>
        <w:tab/>
        <w:t>(3)</w:t>
      </w:r>
      <w:r>
        <w:tab/>
        <w:t>This subsection covers the following provisions:</w:t>
      </w:r>
    </w:p>
    <w:p w:rsidR="008D4497" w:rsidRDefault="005172C6" w:rsidP="00064C82">
      <w:pPr>
        <w:pStyle w:val="paragraph"/>
      </w:pPr>
      <w:r>
        <w:tab/>
        <w:t>(a)</w:t>
      </w:r>
      <w:r>
        <w:tab/>
      </w:r>
      <w:r w:rsidR="004A45CA">
        <w:t>Part I</w:t>
      </w:r>
      <w:r>
        <w:t xml:space="preserve">VA of the </w:t>
      </w:r>
      <w:r>
        <w:rPr>
          <w:i/>
        </w:rPr>
        <w:t>Income Tax Assessment Act 1936</w:t>
      </w:r>
      <w:r>
        <w:t>;</w:t>
      </w:r>
    </w:p>
    <w:p w:rsidR="005172C6" w:rsidRPr="005172C6" w:rsidRDefault="005172C6" w:rsidP="00064C82">
      <w:pPr>
        <w:pStyle w:val="paragraph"/>
      </w:pPr>
      <w:r>
        <w:tab/>
        <w:t>(b)</w:t>
      </w:r>
      <w:r>
        <w:tab/>
      </w:r>
      <w:r w:rsidR="004A45CA">
        <w:t>Subdivision 1</w:t>
      </w:r>
      <w:r>
        <w:t>95</w:t>
      </w:r>
      <w:r w:rsidR="00064C82">
        <w:noBreakHyphen/>
      </w:r>
      <w:r>
        <w:t>C</w:t>
      </w:r>
      <w:r w:rsidR="00112643">
        <w:t xml:space="preserve"> (</w:t>
      </w:r>
      <w:r w:rsidR="00112643">
        <w:rPr>
          <w:noProof/>
        </w:rPr>
        <w:t>Corporate collective investment vehicles)</w:t>
      </w:r>
      <w:r>
        <w:t xml:space="preserve"> of the </w:t>
      </w:r>
      <w:r>
        <w:rPr>
          <w:i/>
        </w:rPr>
        <w:t>Income Tax Assessment Act 1997</w:t>
      </w:r>
      <w:r>
        <w:t>.</w:t>
      </w:r>
    </w:p>
    <w:sectPr w:rsidR="005172C6" w:rsidRPr="005172C6" w:rsidSect="00064C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C82" w:rsidRDefault="00064C82" w:rsidP="00664C63">
      <w:pPr>
        <w:spacing w:line="240" w:lineRule="auto"/>
      </w:pPr>
      <w:r>
        <w:separator/>
      </w:r>
    </w:p>
  </w:endnote>
  <w:endnote w:type="continuationSeparator" w:id="0">
    <w:p w:rsidR="00064C82" w:rsidRDefault="00064C8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Pr="00BB4623" w:rsidRDefault="00064C82" w:rsidP="00064C82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B3ED93" wp14:editId="39AE0E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3ED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64C82" w:rsidRPr="00BB4623" w:rsidRDefault="00064C8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064C82" w:rsidRPr="00BB4623" w:rsidRDefault="00064C8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Default="00064C82" w:rsidP="00064C8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38C956" wp14:editId="7290C8F9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265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8C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265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064C82" w:rsidRPr="00B3608C" w:rsidTr="00BE6131">
      <w:trPr>
        <w:trHeight w:val="280"/>
      </w:trPr>
      <w:tc>
        <w:tcPr>
          <w:tcW w:w="7087" w:type="dxa"/>
        </w:tcPr>
        <w:p w:rsidR="00064C82" w:rsidRPr="00B3608C" w:rsidRDefault="00064C82" w:rsidP="00BE6131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064C82" w:rsidRPr="00B3608C" w:rsidTr="00BE6131">
      <w:tc>
        <w:tcPr>
          <w:tcW w:w="7087" w:type="dxa"/>
        </w:tcPr>
        <w:p w:rsidR="00064C82" w:rsidRPr="00B3608C" w:rsidRDefault="00064C82" w:rsidP="00BE6131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064C82" w:rsidRPr="00BB4623" w:rsidRDefault="00064C82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Pr="00BB4623" w:rsidRDefault="00064C82" w:rsidP="00064C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C82" w:rsidRDefault="00064C82" w:rsidP="00664C63">
      <w:pPr>
        <w:spacing w:line="240" w:lineRule="auto"/>
      </w:pPr>
      <w:r>
        <w:separator/>
      </w:r>
    </w:p>
  </w:footnote>
  <w:footnote w:type="continuationSeparator" w:id="0">
    <w:p w:rsidR="00064C82" w:rsidRDefault="00064C8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Pr="00BB4623" w:rsidRDefault="00064C82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64C82" w:rsidRPr="00BB4623" w:rsidRDefault="00064C8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Pr="00BB4623" w:rsidRDefault="00064C82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E265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E265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64C82" w:rsidRPr="00BB4623" w:rsidRDefault="00064C8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82" w:rsidRPr="00BB4623" w:rsidRDefault="00064C82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C82" w:rsidRPr="00D67311" w:rsidRDefault="00064C82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0734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:rsidR="00064C82" w:rsidRPr="00D67311" w:rsidRDefault="00064C82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0734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5B2"/>
    <w:rsid w:val="00001BA9"/>
    <w:rsid w:val="000136AF"/>
    <w:rsid w:val="00014B9A"/>
    <w:rsid w:val="00030561"/>
    <w:rsid w:val="000363BE"/>
    <w:rsid w:val="00042214"/>
    <w:rsid w:val="00042C96"/>
    <w:rsid w:val="00045EE0"/>
    <w:rsid w:val="00055D20"/>
    <w:rsid w:val="00060E89"/>
    <w:rsid w:val="000614BF"/>
    <w:rsid w:val="00064C82"/>
    <w:rsid w:val="000724DF"/>
    <w:rsid w:val="00073C5A"/>
    <w:rsid w:val="00074BD6"/>
    <w:rsid w:val="00087033"/>
    <w:rsid w:val="000A6943"/>
    <w:rsid w:val="000B0562"/>
    <w:rsid w:val="000B2DE1"/>
    <w:rsid w:val="000B4D20"/>
    <w:rsid w:val="000C1EC2"/>
    <w:rsid w:val="000C74F9"/>
    <w:rsid w:val="000D05EF"/>
    <w:rsid w:val="000D1008"/>
    <w:rsid w:val="000D3899"/>
    <w:rsid w:val="000F21C1"/>
    <w:rsid w:val="000F4126"/>
    <w:rsid w:val="000F7BA1"/>
    <w:rsid w:val="001016D1"/>
    <w:rsid w:val="0010240E"/>
    <w:rsid w:val="0010745C"/>
    <w:rsid w:val="0011206D"/>
    <w:rsid w:val="00112643"/>
    <w:rsid w:val="0014345E"/>
    <w:rsid w:val="00157D5F"/>
    <w:rsid w:val="00166156"/>
    <w:rsid w:val="00166C2F"/>
    <w:rsid w:val="0017208D"/>
    <w:rsid w:val="00172276"/>
    <w:rsid w:val="00175E76"/>
    <w:rsid w:val="00182C9A"/>
    <w:rsid w:val="0018435F"/>
    <w:rsid w:val="001939E1"/>
    <w:rsid w:val="00195382"/>
    <w:rsid w:val="001A6AD9"/>
    <w:rsid w:val="001B0F61"/>
    <w:rsid w:val="001B7E27"/>
    <w:rsid w:val="001C13F1"/>
    <w:rsid w:val="001C69C4"/>
    <w:rsid w:val="001E3590"/>
    <w:rsid w:val="001E7407"/>
    <w:rsid w:val="001F4022"/>
    <w:rsid w:val="001F5A43"/>
    <w:rsid w:val="002001EC"/>
    <w:rsid w:val="0020319B"/>
    <w:rsid w:val="0021250A"/>
    <w:rsid w:val="00220599"/>
    <w:rsid w:val="00220A1B"/>
    <w:rsid w:val="002277A0"/>
    <w:rsid w:val="00240749"/>
    <w:rsid w:val="00242D69"/>
    <w:rsid w:val="00243C60"/>
    <w:rsid w:val="00252930"/>
    <w:rsid w:val="002860D3"/>
    <w:rsid w:val="00294C14"/>
    <w:rsid w:val="00296415"/>
    <w:rsid w:val="00297ECB"/>
    <w:rsid w:val="002A58E3"/>
    <w:rsid w:val="002C085A"/>
    <w:rsid w:val="002D043A"/>
    <w:rsid w:val="002D11B8"/>
    <w:rsid w:val="002D452B"/>
    <w:rsid w:val="002F08AA"/>
    <w:rsid w:val="002F08B3"/>
    <w:rsid w:val="002F3CCC"/>
    <w:rsid w:val="002F5D9E"/>
    <w:rsid w:val="002F6766"/>
    <w:rsid w:val="00311953"/>
    <w:rsid w:val="00313C6F"/>
    <w:rsid w:val="0031687A"/>
    <w:rsid w:val="00316BAF"/>
    <w:rsid w:val="0033411C"/>
    <w:rsid w:val="00334771"/>
    <w:rsid w:val="003401B1"/>
    <w:rsid w:val="003415D3"/>
    <w:rsid w:val="00344C1F"/>
    <w:rsid w:val="00351D01"/>
    <w:rsid w:val="003523DE"/>
    <w:rsid w:val="00352B0F"/>
    <w:rsid w:val="00353CF0"/>
    <w:rsid w:val="003670FD"/>
    <w:rsid w:val="00372A0D"/>
    <w:rsid w:val="0038462E"/>
    <w:rsid w:val="0038674C"/>
    <w:rsid w:val="003B0F1E"/>
    <w:rsid w:val="003B188D"/>
    <w:rsid w:val="003B39CD"/>
    <w:rsid w:val="003D0317"/>
    <w:rsid w:val="003D0BFE"/>
    <w:rsid w:val="003D2D96"/>
    <w:rsid w:val="003D5700"/>
    <w:rsid w:val="003F21EC"/>
    <w:rsid w:val="003F60D2"/>
    <w:rsid w:val="00401263"/>
    <w:rsid w:val="00402376"/>
    <w:rsid w:val="004043EE"/>
    <w:rsid w:val="0040616D"/>
    <w:rsid w:val="00407CAB"/>
    <w:rsid w:val="004116CD"/>
    <w:rsid w:val="004168B4"/>
    <w:rsid w:val="00424CA9"/>
    <w:rsid w:val="00427D10"/>
    <w:rsid w:val="0043790F"/>
    <w:rsid w:val="00440D93"/>
    <w:rsid w:val="0044291A"/>
    <w:rsid w:val="00466BAC"/>
    <w:rsid w:val="00467A8D"/>
    <w:rsid w:val="00470F03"/>
    <w:rsid w:val="0047245C"/>
    <w:rsid w:val="00481A31"/>
    <w:rsid w:val="00492FE2"/>
    <w:rsid w:val="00496F97"/>
    <w:rsid w:val="004A45CA"/>
    <w:rsid w:val="004A7193"/>
    <w:rsid w:val="004A78C6"/>
    <w:rsid w:val="004E3680"/>
    <w:rsid w:val="004F6323"/>
    <w:rsid w:val="005015C1"/>
    <w:rsid w:val="00504FDD"/>
    <w:rsid w:val="005104CE"/>
    <w:rsid w:val="00516B8D"/>
    <w:rsid w:val="005172C6"/>
    <w:rsid w:val="00517B9F"/>
    <w:rsid w:val="00522E32"/>
    <w:rsid w:val="00523DCD"/>
    <w:rsid w:val="00524CDB"/>
    <w:rsid w:val="00525D42"/>
    <w:rsid w:val="00537FBC"/>
    <w:rsid w:val="00543850"/>
    <w:rsid w:val="00563125"/>
    <w:rsid w:val="005657C9"/>
    <w:rsid w:val="00573B96"/>
    <w:rsid w:val="00577F8F"/>
    <w:rsid w:val="00584052"/>
    <w:rsid w:val="00584811"/>
    <w:rsid w:val="00593AA6"/>
    <w:rsid w:val="00594161"/>
    <w:rsid w:val="00594749"/>
    <w:rsid w:val="005A4426"/>
    <w:rsid w:val="005A6F34"/>
    <w:rsid w:val="005B29AB"/>
    <w:rsid w:val="005B3BAA"/>
    <w:rsid w:val="005B4067"/>
    <w:rsid w:val="005C0962"/>
    <w:rsid w:val="005C2F9A"/>
    <w:rsid w:val="005C3F41"/>
    <w:rsid w:val="005C42F4"/>
    <w:rsid w:val="005C5800"/>
    <w:rsid w:val="005D4DEA"/>
    <w:rsid w:val="005D5624"/>
    <w:rsid w:val="005E30AA"/>
    <w:rsid w:val="005E7130"/>
    <w:rsid w:val="00600219"/>
    <w:rsid w:val="0060526D"/>
    <w:rsid w:val="00605F87"/>
    <w:rsid w:val="00611C2E"/>
    <w:rsid w:val="00627B09"/>
    <w:rsid w:val="006444FB"/>
    <w:rsid w:val="0064653B"/>
    <w:rsid w:val="00650E80"/>
    <w:rsid w:val="0065106B"/>
    <w:rsid w:val="006527A6"/>
    <w:rsid w:val="0065578B"/>
    <w:rsid w:val="00664C63"/>
    <w:rsid w:val="00677CC2"/>
    <w:rsid w:val="00681A4A"/>
    <w:rsid w:val="0069207B"/>
    <w:rsid w:val="00695F50"/>
    <w:rsid w:val="006B1C99"/>
    <w:rsid w:val="006B51F1"/>
    <w:rsid w:val="006C7F8C"/>
    <w:rsid w:val="006D3764"/>
    <w:rsid w:val="006D5F5C"/>
    <w:rsid w:val="006E426A"/>
    <w:rsid w:val="006E4AB2"/>
    <w:rsid w:val="006E7A8E"/>
    <w:rsid w:val="006F2EF0"/>
    <w:rsid w:val="00700B2C"/>
    <w:rsid w:val="007072DA"/>
    <w:rsid w:val="0070734E"/>
    <w:rsid w:val="00713084"/>
    <w:rsid w:val="007173B8"/>
    <w:rsid w:val="00731E00"/>
    <w:rsid w:val="00732A85"/>
    <w:rsid w:val="007440B7"/>
    <w:rsid w:val="0075226A"/>
    <w:rsid w:val="007627F4"/>
    <w:rsid w:val="007715C9"/>
    <w:rsid w:val="007741E7"/>
    <w:rsid w:val="00774EDD"/>
    <w:rsid w:val="007757EC"/>
    <w:rsid w:val="00780DA5"/>
    <w:rsid w:val="00780EB5"/>
    <w:rsid w:val="007845BF"/>
    <w:rsid w:val="0078651E"/>
    <w:rsid w:val="00795FCE"/>
    <w:rsid w:val="007A659A"/>
    <w:rsid w:val="007B081F"/>
    <w:rsid w:val="007C468B"/>
    <w:rsid w:val="007D1408"/>
    <w:rsid w:val="007D249A"/>
    <w:rsid w:val="007D3A73"/>
    <w:rsid w:val="007E4CC8"/>
    <w:rsid w:val="007F1600"/>
    <w:rsid w:val="007F3E13"/>
    <w:rsid w:val="007F5B13"/>
    <w:rsid w:val="0080309F"/>
    <w:rsid w:val="00806A2F"/>
    <w:rsid w:val="00822DA3"/>
    <w:rsid w:val="00830815"/>
    <w:rsid w:val="0084130A"/>
    <w:rsid w:val="008428B0"/>
    <w:rsid w:val="00845C2B"/>
    <w:rsid w:val="00850B72"/>
    <w:rsid w:val="00856A31"/>
    <w:rsid w:val="00864614"/>
    <w:rsid w:val="0086601F"/>
    <w:rsid w:val="008754D0"/>
    <w:rsid w:val="00876B92"/>
    <w:rsid w:val="00881F72"/>
    <w:rsid w:val="00883892"/>
    <w:rsid w:val="00897605"/>
    <w:rsid w:val="008A3D7A"/>
    <w:rsid w:val="008A5AC3"/>
    <w:rsid w:val="008A6470"/>
    <w:rsid w:val="008B470A"/>
    <w:rsid w:val="008C4415"/>
    <w:rsid w:val="008D0EE0"/>
    <w:rsid w:val="008D4497"/>
    <w:rsid w:val="008E05CA"/>
    <w:rsid w:val="008F789F"/>
    <w:rsid w:val="00932377"/>
    <w:rsid w:val="00932FA3"/>
    <w:rsid w:val="00941FB5"/>
    <w:rsid w:val="00947881"/>
    <w:rsid w:val="0095602D"/>
    <w:rsid w:val="009620C2"/>
    <w:rsid w:val="00962BCB"/>
    <w:rsid w:val="00965C3B"/>
    <w:rsid w:val="00970421"/>
    <w:rsid w:val="00970894"/>
    <w:rsid w:val="00984C67"/>
    <w:rsid w:val="009A3E8D"/>
    <w:rsid w:val="009A3EB4"/>
    <w:rsid w:val="009A6D34"/>
    <w:rsid w:val="009A6FAD"/>
    <w:rsid w:val="009F68C8"/>
    <w:rsid w:val="00A079BD"/>
    <w:rsid w:val="00A120DD"/>
    <w:rsid w:val="00A1703F"/>
    <w:rsid w:val="00A231E2"/>
    <w:rsid w:val="00A25627"/>
    <w:rsid w:val="00A26D28"/>
    <w:rsid w:val="00A34209"/>
    <w:rsid w:val="00A415B9"/>
    <w:rsid w:val="00A64846"/>
    <w:rsid w:val="00A64912"/>
    <w:rsid w:val="00A70A74"/>
    <w:rsid w:val="00AA5445"/>
    <w:rsid w:val="00AB2B4B"/>
    <w:rsid w:val="00AB5A90"/>
    <w:rsid w:val="00AD0644"/>
    <w:rsid w:val="00AD27B3"/>
    <w:rsid w:val="00AD5641"/>
    <w:rsid w:val="00AE59F7"/>
    <w:rsid w:val="00AE7BD7"/>
    <w:rsid w:val="00AF55E3"/>
    <w:rsid w:val="00AF58A6"/>
    <w:rsid w:val="00B0214D"/>
    <w:rsid w:val="00B05DED"/>
    <w:rsid w:val="00B11FD8"/>
    <w:rsid w:val="00B26413"/>
    <w:rsid w:val="00B30BBF"/>
    <w:rsid w:val="00B32395"/>
    <w:rsid w:val="00B33B3C"/>
    <w:rsid w:val="00B340B6"/>
    <w:rsid w:val="00B3608C"/>
    <w:rsid w:val="00B372A6"/>
    <w:rsid w:val="00B41664"/>
    <w:rsid w:val="00B422EF"/>
    <w:rsid w:val="00B429C2"/>
    <w:rsid w:val="00B44BDE"/>
    <w:rsid w:val="00B45394"/>
    <w:rsid w:val="00B511E7"/>
    <w:rsid w:val="00B61C25"/>
    <w:rsid w:val="00B70E56"/>
    <w:rsid w:val="00B72CA3"/>
    <w:rsid w:val="00B865B2"/>
    <w:rsid w:val="00B87362"/>
    <w:rsid w:val="00B936B7"/>
    <w:rsid w:val="00BB4AE7"/>
    <w:rsid w:val="00BC30F2"/>
    <w:rsid w:val="00BD0925"/>
    <w:rsid w:val="00BD1655"/>
    <w:rsid w:val="00BD29D9"/>
    <w:rsid w:val="00BD7FAD"/>
    <w:rsid w:val="00BE6131"/>
    <w:rsid w:val="00BE719A"/>
    <w:rsid w:val="00BE720A"/>
    <w:rsid w:val="00BF1654"/>
    <w:rsid w:val="00C028A4"/>
    <w:rsid w:val="00C02FF6"/>
    <w:rsid w:val="00C26CFD"/>
    <w:rsid w:val="00C42BF8"/>
    <w:rsid w:val="00C50043"/>
    <w:rsid w:val="00C53114"/>
    <w:rsid w:val="00C55715"/>
    <w:rsid w:val="00C62404"/>
    <w:rsid w:val="00C723B9"/>
    <w:rsid w:val="00C7573B"/>
    <w:rsid w:val="00C75C8F"/>
    <w:rsid w:val="00C77D10"/>
    <w:rsid w:val="00C87238"/>
    <w:rsid w:val="00CA45E9"/>
    <w:rsid w:val="00CB0EA8"/>
    <w:rsid w:val="00CB15D4"/>
    <w:rsid w:val="00CC0D17"/>
    <w:rsid w:val="00CC7A09"/>
    <w:rsid w:val="00CD27E6"/>
    <w:rsid w:val="00CE265E"/>
    <w:rsid w:val="00CF08BA"/>
    <w:rsid w:val="00CF0BB2"/>
    <w:rsid w:val="00CF4975"/>
    <w:rsid w:val="00D00379"/>
    <w:rsid w:val="00D13441"/>
    <w:rsid w:val="00D13806"/>
    <w:rsid w:val="00D20EDA"/>
    <w:rsid w:val="00D2363F"/>
    <w:rsid w:val="00D2463F"/>
    <w:rsid w:val="00D3213F"/>
    <w:rsid w:val="00D374CE"/>
    <w:rsid w:val="00D40252"/>
    <w:rsid w:val="00D4104C"/>
    <w:rsid w:val="00D467B9"/>
    <w:rsid w:val="00D610A4"/>
    <w:rsid w:val="00D67311"/>
    <w:rsid w:val="00D70DFB"/>
    <w:rsid w:val="00D7186F"/>
    <w:rsid w:val="00D74121"/>
    <w:rsid w:val="00D766DF"/>
    <w:rsid w:val="00D8424C"/>
    <w:rsid w:val="00D85DA6"/>
    <w:rsid w:val="00D86852"/>
    <w:rsid w:val="00D9284D"/>
    <w:rsid w:val="00DB5777"/>
    <w:rsid w:val="00DD314D"/>
    <w:rsid w:val="00DE655E"/>
    <w:rsid w:val="00DF3E28"/>
    <w:rsid w:val="00E05704"/>
    <w:rsid w:val="00E057A3"/>
    <w:rsid w:val="00E101EC"/>
    <w:rsid w:val="00E1363F"/>
    <w:rsid w:val="00E37E35"/>
    <w:rsid w:val="00E52E3F"/>
    <w:rsid w:val="00E54CAB"/>
    <w:rsid w:val="00E6791D"/>
    <w:rsid w:val="00E73091"/>
    <w:rsid w:val="00E74DC7"/>
    <w:rsid w:val="00E85AFB"/>
    <w:rsid w:val="00E85CB9"/>
    <w:rsid w:val="00E94998"/>
    <w:rsid w:val="00E97D05"/>
    <w:rsid w:val="00EA00F7"/>
    <w:rsid w:val="00EA5408"/>
    <w:rsid w:val="00EB66E9"/>
    <w:rsid w:val="00EC1A41"/>
    <w:rsid w:val="00EC520A"/>
    <w:rsid w:val="00ED1A6C"/>
    <w:rsid w:val="00ED4C8E"/>
    <w:rsid w:val="00EE25A8"/>
    <w:rsid w:val="00EE6DCC"/>
    <w:rsid w:val="00EF2E3A"/>
    <w:rsid w:val="00F0132A"/>
    <w:rsid w:val="00F02533"/>
    <w:rsid w:val="00F078DC"/>
    <w:rsid w:val="00F5076A"/>
    <w:rsid w:val="00F518D4"/>
    <w:rsid w:val="00F53D7F"/>
    <w:rsid w:val="00F71234"/>
    <w:rsid w:val="00F7571F"/>
    <w:rsid w:val="00F8103A"/>
    <w:rsid w:val="00F97F9A"/>
    <w:rsid w:val="00FA3991"/>
    <w:rsid w:val="00FA468F"/>
    <w:rsid w:val="00FB1E07"/>
    <w:rsid w:val="00FC104F"/>
    <w:rsid w:val="00FD7091"/>
    <w:rsid w:val="00FE1AA2"/>
    <w:rsid w:val="00FE52D7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C8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4C82"/>
  </w:style>
  <w:style w:type="paragraph" w:customStyle="1" w:styleId="OPCParaBase">
    <w:name w:val="OPCParaBase"/>
    <w:qFormat/>
    <w:rsid w:val="00064C8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4C8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4C8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4C8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4C8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064C8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4C8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4C8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4C8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4C8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4C8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4C82"/>
  </w:style>
  <w:style w:type="paragraph" w:customStyle="1" w:styleId="Blocks">
    <w:name w:val="Blocks"/>
    <w:aliases w:val="bb"/>
    <w:basedOn w:val="OPCParaBase"/>
    <w:qFormat/>
    <w:rsid w:val="00064C8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4C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4C8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4C82"/>
    <w:rPr>
      <w:i/>
    </w:rPr>
  </w:style>
  <w:style w:type="paragraph" w:customStyle="1" w:styleId="BoxList">
    <w:name w:val="BoxList"/>
    <w:aliases w:val="bl"/>
    <w:basedOn w:val="BoxText"/>
    <w:qFormat/>
    <w:rsid w:val="00064C8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4C8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4C8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4C82"/>
    <w:pPr>
      <w:ind w:left="1985" w:hanging="851"/>
    </w:pPr>
  </w:style>
  <w:style w:type="character" w:customStyle="1" w:styleId="CharAmPartNo">
    <w:name w:val="CharAmPartNo"/>
    <w:basedOn w:val="OPCCharBase"/>
    <w:qFormat/>
    <w:rsid w:val="00064C82"/>
  </w:style>
  <w:style w:type="character" w:customStyle="1" w:styleId="CharAmPartText">
    <w:name w:val="CharAmPartText"/>
    <w:basedOn w:val="OPCCharBase"/>
    <w:qFormat/>
    <w:rsid w:val="00064C82"/>
  </w:style>
  <w:style w:type="character" w:customStyle="1" w:styleId="CharAmSchNo">
    <w:name w:val="CharAmSchNo"/>
    <w:basedOn w:val="OPCCharBase"/>
    <w:qFormat/>
    <w:rsid w:val="00064C82"/>
  </w:style>
  <w:style w:type="character" w:customStyle="1" w:styleId="CharAmSchText">
    <w:name w:val="CharAmSchText"/>
    <w:basedOn w:val="OPCCharBase"/>
    <w:qFormat/>
    <w:rsid w:val="00064C82"/>
  </w:style>
  <w:style w:type="character" w:customStyle="1" w:styleId="CharBoldItalic">
    <w:name w:val="CharBoldItalic"/>
    <w:basedOn w:val="OPCCharBase"/>
    <w:uiPriority w:val="1"/>
    <w:qFormat/>
    <w:rsid w:val="00064C8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4C82"/>
  </w:style>
  <w:style w:type="character" w:customStyle="1" w:styleId="CharChapText">
    <w:name w:val="CharChapText"/>
    <w:basedOn w:val="OPCCharBase"/>
    <w:uiPriority w:val="1"/>
    <w:qFormat/>
    <w:rsid w:val="00064C82"/>
  </w:style>
  <w:style w:type="character" w:customStyle="1" w:styleId="CharDivNo">
    <w:name w:val="CharDivNo"/>
    <w:basedOn w:val="OPCCharBase"/>
    <w:uiPriority w:val="1"/>
    <w:qFormat/>
    <w:rsid w:val="00064C82"/>
  </w:style>
  <w:style w:type="character" w:customStyle="1" w:styleId="CharDivText">
    <w:name w:val="CharDivText"/>
    <w:basedOn w:val="OPCCharBase"/>
    <w:uiPriority w:val="1"/>
    <w:qFormat/>
    <w:rsid w:val="00064C82"/>
  </w:style>
  <w:style w:type="character" w:customStyle="1" w:styleId="CharItalic">
    <w:name w:val="CharItalic"/>
    <w:basedOn w:val="OPCCharBase"/>
    <w:uiPriority w:val="1"/>
    <w:qFormat/>
    <w:rsid w:val="00064C82"/>
    <w:rPr>
      <w:i/>
    </w:rPr>
  </w:style>
  <w:style w:type="character" w:customStyle="1" w:styleId="CharPartNo">
    <w:name w:val="CharPartNo"/>
    <w:basedOn w:val="OPCCharBase"/>
    <w:uiPriority w:val="1"/>
    <w:qFormat/>
    <w:rsid w:val="00064C82"/>
  </w:style>
  <w:style w:type="character" w:customStyle="1" w:styleId="CharPartText">
    <w:name w:val="CharPartText"/>
    <w:basedOn w:val="OPCCharBase"/>
    <w:uiPriority w:val="1"/>
    <w:qFormat/>
    <w:rsid w:val="00064C82"/>
  </w:style>
  <w:style w:type="character" w:customStyle="1" w:styleId="CharSectno">
    <w:name w:val="CharSectno"/>
    <w:basedOn w:val="OPCCharBase"/>
    <w:qFormat/>
    <w:rsid w:val="00064C82"/>
  </w:style>
  <w:style w:type="character" w:customStyle="1" w:styleId="CharSubdNo">
    <w:name w:val="CharSubdNo"/>
    <w:basedOn w:val="OPCCharBase"/>
    <w:uiPriority w:val="1"/>
    <w:qFormat/>
    <w:rsid w:val="00064C82"/>
  </w:style>
  <w:style w:type="character" w:customStyle="1" w:styleId="CharSubdText">
    <w:name w:val="CharSubdText"/>
    <w:basedOn w:val="OPCCharBase"/>
    <w:uiPriority w:val="1"/>
    <w:qFormat/>
    <w:rsid w:val="00064C82"/>
  </w:style>
  <w:style w:type="paragraph" w:customStyle="1" w:styleId="CTA--">
    <w:name w:val="CTA --"/>
    <w:basedOn w:val="OPCParaBase"/>
    <w:next w:val="Normal"/>
    <w:rsid w:val="00064C8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4C8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4C8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4C8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4C8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4C8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4C8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4C8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4C8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4C8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4C8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4C8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4C8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4C8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4C8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4C8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4C8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4C8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4C8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4C8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4C8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4C8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4C8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4C8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064C8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64C8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4C8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4C8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4C8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4C8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4C8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4C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4C8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4C8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4C8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64C8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4C8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4C8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4C8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4C8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4C8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4C8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4C8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4C8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4C8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4C8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4C8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4C8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4C8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4C8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064C8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4C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4C8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4C8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4C8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4C8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4C8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4C8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4C8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4C8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4C8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4C8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4C8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4C8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4C8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4C8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4C8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4C82"/>
    <w:rPr>
      <w:sz w:val="16"/>
    </w:rPr>
  </w:style>
  <w:style w:type="table" w:customStyle="1" w:styleId="CFlag">
    <w:name w:val="CFlag"/>
    <w:basedOn w:val="TableNormal"/>
    <w:uiPriority w:val="99"/>
    <w:rsid w:val="00064C82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064C8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4C82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4C82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064C8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64C8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4C8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4C8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4C8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4C8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4C8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4C8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4C8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4C8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4C82"/>
  </w:style>
  <w:style w:type="character" w:customStyle="1" w:styleId="CharSubPartNoCASA">
    <w:name w:val="CharSubPartNo(CASA)"/>
    <w:basedOn w:val="OPCCharBase"/>
    <w:uiPriority w:val="1"/>
    <w:rsid w:val="00064C82"/>
  </w:style>
  <w:style w:type="paragraph" w:customStyle="1" w:styleId="ENoteTTIndentHeadingSub">
    <w:name w:val="ENoteTTIndentHeadingSub"/>
    <w:aliases w:val="enTTHis"/>
    <w:basedOn w:val="OPCParaBase"/>
    <w:rsid w:val="00064C8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4C8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4C8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4C8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64C8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4C8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4C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4C82"/>
    <w:rPr>
      <w:sz w:val="22"/>
    </w:rPr>
  </w:style>
  <w:style w:type="paragraph" w:customStyle="1" w:styleId="SOTextNote">
    <w:name w:val="SO TextNote"/>
    <w:aliases w:val="sont"/>
    <w:basedOn w:val="SOText"/>
    <w:qFormat/>
    <w:rsid w:val="00064C8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4C8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4C82"/>
    <w:rPr>
      <w:sz w:val="22"/>
    </w:rPr>
  </w:style>
  <w:style w:type="paragraph" w:customStyle="1" w:styleId="FileName">
    <w:name w:val="FileName"/>
    <w:basedOn w:val="Normal"/>
    <w:rsid w:val="00064C82"/>
  </w:style>
  <w:style w:type="paragraph" w:customStyle="1" w:styleId="TableHeading">
    <w:name w:val="TableHeading"/>
    <w:aliases w:val="th"/>
    <w:basedOn w:val="OPCParaBase"/>
    <w:next w:val="Tabletext"/>
    <w:rsid w:val="00064C8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4C8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4C8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4C8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4C8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4C8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4C8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4C8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4C8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4C8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4C8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4C8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064C8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4C8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64C8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4C8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064C8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4C8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4C8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4C8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4C82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06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064C82"/>
  </w:style>
  <w:style w:type="character" w:customStyle="1" w:styleId="ItemHeadChar">
    <w:name w:val="ItemHead Char"/>
    <w:aliases w:val="ih Char"/>
    <w:basedOn w:val="DefaultParagraphFont"/>
    <w:link w:val="ItemHead"/>
    <w:rsid w:val="00BE613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BE613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BE613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2D452B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2D452B"/>
    <w:rPr>
      <w:rFonts w:eastAsia="Times New Roman" w:cs="Times New Roman"/>
      <w:b/>
      <w:kern w:val="28"/>
      <w:sz w:val="24"/>
      <w:lang w:eastAsia="en-AU"/>
    </w:rPr>
  </w:style>
  <w:style w:type="character" w:customStyle="1" w:styleId="ActHead4Char">
    <w:name w:val="ActHead 4 Char"/>
    <w:aliases w:val="sd Char"/>
    <w:link w:val="ActHead4"/>
    <w:rsid w:val="002D452B"/>
    <w:rPr>
      <w:rFonts w:eastAsia="Times New Roman" w:cs="Times New Roman"/>
      <w:b/>
      <w:kern w:val="28"/>
      <w:sz w:val="26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724DF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7</Value>
    </TaxCatchAll>
    <_dlc_DocId xmlns="0f563589-9cf9-4143-b1eb-fb0534803d38">2021MG-1748039942-2037</_dlc_DocId>
    <_dlc_DocIdUrl xmlns="0f563589-9cf9-4143-b1eb-fb0534803d38">
      <Url>http://tweb/sites/mg/ccpd/_layouts/15/DocIdRedir.aspx?ID=2021MG-1748039942-2037</Url>
      <Description>2021MG-1748039942-2037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SecurityClassification xmlns="d4dd4adf-ddb3-46a3-8d7c-fab3fb2a6bc7" xsi:nil="true"/>
  </documentManagement>
</p:properti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04F5AB159D498D419BA23BA96E86E53F" ma:contentTypeVersion="40412" ma:contentTypeDescription="" ma:contentTypeScope="" ma:versionID="0a584d45d159dd4cc74ae18b2dcfb97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2010ab89350e9e939e36ceb62d9065fb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6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B5CE61DA-2F5D-43B9-B937-FB50DBA2D6A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d4dd4adf-ddb3-46a3-8d7c-fab3fb2a6bc7"/>
    <ds:schemaRef ds:uri="http://schemas.microsoft.com/office/infopath/2007/PartnerControls"/>
    <ds:schemaRef ds:uri="http://schemas.microsoft.com/office/2006/documentManagement/types"/>
    <ds:schemaRef ds:uri="0f563589-9cf9-4143-b1eb-fb0534803d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BF639B-0681-4893-8610-D477AED6569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9284DBB-DEF2-4F34-850C-C1560A6E8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B2892-106D-4206-89A9-09B1FA271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2EA09-2B08-4146-A783-BB5663E527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9</Pages>
  <Words>2582</Words>
  <Characters>12626</Characters>
  <Application>Microsoft Office Word</Application>
  <DocSecurity>2</DocSecurity>
  <PresentationFormat/>
  <Lines>323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Collective Investment Vehicle - Tax Framework Bill</vt:lpstr>
    </vt:vector>
  </TitlesOfParts>
  <Manager/>
  <Company/>
  <LinksUpToDate>false</LinksUpToDate>
  <CharactersWithSpaces>15011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Collective Investment Vehicle - Tax Framework Bill</dc:title>
  <dc:subject/>
  <dc:creator/>
  <cp:keywords/>
  <dc:description/>
  <cp:lastModifiedBy/>
  <cp:revision>1</cp:revision>
  <cp:lastPrinted>2021-08-05T07:02:00Z</cp:lastPrinted>
  <dcterms:created xsi:type="dcterms:W3CDTF">2021-08-23T05:39:00Z</dcterms:created>
  <dcterms:modified xsi:type="dcterms:W3CDTF">2021-08-26T23:15:00Z</dcterms:modified>
  <cp:category/>
  <cp:contentStatus/>
  <dc:language/>
  <cp:version/>
</cp:coreProperties>
</file>