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rFonts w:eastAsia="Times New Roman" w:cs="Times New Roman"/>
          <w:b w:val="0"/>
          <w:color w:val="auto"/>
          <w:spacing w:val="0"/>
          <w:kern w:val="0"/>
          <w:sz w:val="22"/>
          <w:szCs w:val="20"/>
        </w:rPr>
        <w:id w:val="-385645642"/>
        <w:docPartObj>
          <w:docPartGallery w:val="Cover Pages"/>
          <w:docPartUnique/>
        </w:docPartObj>
      </w:sdtPr>
      <w:sdtEndPr>
        <w:rPr>
          <w:noProof/>
        </w:rPr>
      </w:sdtEndPr>
      <w:sdtContent>
        <w:p w14:paraId="0E4F6A41" w14:textId="61392575" w:rsidR="00016528" w:rsidRDefault="009A4F11" w:rsidP="00E9725D">
          <w:pPr>
            <w:pStyle w:val="Title"/>
          </w:pPr>
          <w:r>
            <w:rPr>
              <w:noProof/>
            </w:rPr>
            <w:drawing>
              <wp:anchor distT="0" distB="0" distL="114300" distR="114300" simplePos="0" relativeHeight="251658240" behindDoc="1" locked="0" layoutInCell="1" allowOverlap="1" wp14:anchorId="63811ECF" wp14:editId="6563C4FD">
                <wp:simplePos x="0" y="0"/>
                <wp:positionH relativeFrom="page">
                  <wp:align>left</wp:align>
                </wp:positionH>
                <wp:positionV relativeFrom="paragraph">
                  <wp:posOffset>-1404620</wp:posOffset>
                </wp:positionV>
                <wp:extent cx="7548533" cy="1067752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actsheet headers.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548533" cy="10677522"/>
                        </a:xfrm>
                        <a:prstGeom prst="rect">
                          <a:avLst/>
                        </a:prstGeom>
                      </pic:spPr>
                    </pic:pic>
                  </a:graphicData>
                </a:graphic>
                <wp14:sizeRelH relativeFrom="page">
                  <wp14:pctWidth>0</wp14:pctWidth>
                </wp14:sizeRelH>
                <wp14:sizeRelV relativeFrom="page">
                  <wp14:pctHeight>0</wp14:pctHeight>
                </wp14:sizeRelV>
              </wp:anchor>
            </w:drawing>
          </w:r>
          <w:r w:rsidR="007620E3">
            <w:t>A</w:t>
          </w:r>
          <w:r w:rsidR="00ED6250">
            <w:t>mendments to the d</w:t>
          </w:r>
          <w:r w:rsidR="00E9725D">
            <w:t xml:space="preserve">esign and distribution obligations </w:t>
          </w:r>
        </w:p>
        <w:p w14:paraId="214B310D" w14:textId="744FEB6A" w:rsidR="00ED6250" w:rsidRDefault="00ED6250" w:rsidP="00ED6250"/>
        <w:p w14:paraId="39073D24" w14:textId="77777777" w:rsidR="00ED6250" w:rsidRPr="00ED6250" w:rsidRDefault="00ED6250" w:rsidP="00ED6250"/>
        <w:p w14:paraId="6D19DBB8" w14:textId="77777777" w:rsidR="00E9725D" w:rsidRPr="00D609A2" w:rsidRDefault="00E9725D" w:rsidP="00E9725D">
          <w:r w:rsidRPr="00D609A2">
            <w:t>The Design and Distribution Obligations (DDO) are</w:t>
          </w:r>
          <w:r w:rsidRPr="00D609A2" w:rsidDel="00581AEF">
            <w:t xml:space="preserve"> </w:t>
          </w:r>
          <w:r w:rsidRPr="00D609A2">
            <w:t xml:space="preserve">intended to help consumers obtain appropriate financial products by </w:t>
          </w:r>
          <w:r w:rsidRPr="00D609A2" w:rsidDel="003449D8">
            <w:t xml:space="preserve">requiring </w:t>
          </w:r>
          <w:r w:rsidRPr="00D609A2">
            <w:t xml:space="preserve">issuers of financial products to determine an appropriate target market for these </w:t>
          </w:r>
          <w:proofErr w:type="gramStart"/>
          <w:r w:rsidRPr="00D609A2">
            <w:t>products, and</w:t>
          </w:r>
          <w:proofErr w:type="gramEnd"/>
          <w:r w:rsidRPr="00D609A2">
            <w:t xml:space="preserve"> requiring issuers and distributors to take reasonable steps to ensure that products are distributed accordingly. The obligations require issuers and distributors to develop and maintain effective product governance arrangements across the life cycle of financial products. This will</w:t>
          </w:r>
          <w:r w:rsidRPr="00D609A2" w:rsidDel="00581AEF">
            <w:t xml:space="preserve"> </w:t>
          </w:r>
          <w:r w:rsidRPr="00D609A2">
            <w:t xml:space="preserve">promote better provision of </w:t>
          </w:r>
          <w:r w:rsidRPr="00D609A2" w:rsidDel="00B96C2D">
            <w:t>products</w:t>
          </w:r>
          <w:r w:rsidRPr="00D609A2">
            <w:t xml:space="preserve"> to consumers that are likely to be appropriate for them.  </w:t>
          </w:r>
        </w:p>
        <w:p w14:paraId="140F15C3" w14:textId="77777777" w:rsidR="00E9725D" w:rsidRPr="00D609A2" w:rsidRDefault="00E9725D" w:rsidP="00E9725D">
          <w:r w:rsidRPr="00D609A2">
            <w:t>The DDO regime extends to most financial and credit products regulated by ASIC, except where they have been carved out explicitly under the legislation. The regime provides the Minister with a broad regulation-making power to exempt or include any financial product, and ASIC with exemption and modification powers to provide relief to specific persons or financial products, or a class of persons or financial products. These provide the flexibility necessary to future-proof the DDO regime to ensure its ongoing relevance and effectiveness.</w:t>
          </w:r>
        </w:p>
        <w:p w14:paraId="21C28D51" w14:textId="0218D7AB" w:rsidR="00E9725D" w:rsidRPr="00D609A2" w:rsidRDefault="00E9725D" w:rsidP="00E9725D">
          <w:r w:rsidRPr="00D609A2">
            <w:t>The DDO regime was recommend by the 2014 Financial System Inquiry and was further supported by the Financial Services Royal Commission, which recommended extending the regime to all financial and credit products within ASIC’s regulatory responsibility. Following the passage of legislation in April 2019, the regime was due to commence in April 2021. However</w:t>
          </w:r>
          <w:r w:rsidRPr="00D609A2" w:rsidDel="00FA7DAE">
            <w:t>,</w:t>
          </w:r>
          <w:r w:rsidRPr="00D609A2">
            <w:t xml:space="preserve"> ASIC deferred the commencement by a further 6 months to 5 October 2021, so industry participants could focus on immediate priorities and the needs of their customers, given the significant impact of COVID-19 on the Australian economy.  </w:t>
          </w:r>
        </w:p>
        <w:p w14:paraId="00039335" w14:textId="01E4CF8E" w:rsidR="00EE56A0" w:rsidRPr="00D609A2" w:rsidRDefault="00E9725D" w:rsidP="00E9725D">
          <w:r w:rsidRPr="00D609A2">
            <w:t xml:space="preserve">Treasury has received feedback from stakeholders as industry works towards implementing the requirements prior to the regime’s commencement. </w:t>
          </w:r>
          <w:proofErr w:type="gramStart"/>
          <w:r w:rsidRPr="00D609A2">
            <w:t>In light of</w:t>
          </w:r>
          <w:proofErr w:type="gramEnd"/>
          <w:r w:rsidRPr="00D609A2">
            <w:t xml:space="preserve"> feedback received from stakeholders, the Government </w:t>
          </w:r>
          <w:r w:rsidR="00220D87" w:rsidRPr="00D609A2">
            <w:t>intends to make a number of amendments to achieve its intended operation</w:t>
          </w:r>
          <w:r w:rsidR="00A13255" w:rsidRPr="00D609A2">
            <w:t xml:space="preserve"> of these reforms</w:t>
          </w:r>
          <w:r w:rsidR="00220D87" w:rsidRPr="00D609A2">
            <w:t xml:space="preserve">. These amendments are necessary to clarify the law, to ensure a consistent application of the law, and that the regime remains fit-for-purpose. </w:t>
          </w:r>
        </w:p>
        <w:p w14:paraId="3FB42E19" w14:textId="04FDBF1F" w:rsidR="00E9725D" w:rsidRPr="00D609A2" w:rsidRDefault="00E9725D" w:rsidP="00E9725D">
          <w:r w:rsidRPr="00D609A2">
            <w:t xml:space="preserve">The proposed changes </w:t>
          </w:r>
          <w:r w:rsidR="00220D87" w:rsidRPr="00D609A2">
            <w:t>will</w:t>
          </w:r>
          <w:r w:rsidR="00A13255" w:rsidRPr="00D609A2">
            <w:t xml:space="preserve"> seek to</w:t>
          </w:r>
          <w:r w:rsidRPr="00D609A2">
            <w:t>:</w:t>
          </w:r>
        </w:p>
        <w:p w14:paraId="7E594E78" w14:textId="02606BF1" w:rsidR="00E9725D" w:rsidRPr="00D609A2" w:rsidRDefault="00B81E10" w:rsidP="00E9725D">
          <w:pPr>
            <w:pStyle w:val="ListParagraph"/>
            <w:numPr>
              <w:ilvl w:val="0"/>
              <w:numId w:val="19"/>
            </w:numPr>
            <w:spacing w:after="120"/>
          </w:pPr>
          <w:r>
            <w:t>C</w:t>
          </w:r>
          <w:r w:rsidR="00E9725D" w:rsidRPr="00D609A2">
            <w:t>larify that margin lending to corporates is exempt from DDO obligations, consistent with the intention that all margin lending is to be exempt from DDO</w:t>
          </w:r>
          <w:r>
            <w:t>.</w:t>
          </w:r>
        </w:p>
        <w:p w14:paraId="1C4E44FF" w14:textId="38384B3E" w:rsidR="00E9725D" w:rsidRPr="00D609A2" w:rsidRDefault="00B81E10" w:rsidP="00F70C37">
          <w:pPr>
            <w:pStyle w:val="ListParagraph"/>
            <w:numPr>
              <w:ilvl w:val="0"/>
              <w:numId w:val="19"/>
            </w:numPr>
            <w:spacing w:after="120"/>
          </w:pPr>
          <w:r>
            <w:t>C</w:t>
          </w:r>
          <w:r w:rsidR="00E9725D" w:rsidRPr="00D609A2">
            <w:t>larify employees of licensees are not subject to their own separate set of DDO obligations – this was not an intended consequence of the regime</w:t>
          </w:r>
          <w:r>
            <w:t>.</w:t>
          </w:r>
        </w:p>
        <w:p w14:paraId="01B9A529" w14:textId="54629312" w:rsidR="00E9725D" w:rsidRPr="00D609A2" w:rsidRDefault="00B81E10" w:rsidP="00E9725D">
          <w:pPr>
            <w:pStyle w:val="ListParagraph"/>
            <w:numPr>
              <w:ilvl w:val="0"/>
              <w:numId w:val="19"/>
            </w:numPr>
            <w:spacing w:after="120"/>
          </w:pPr>
          <w:r>
            <w:t>E</w:t>
          </w:r>
          <w:r w:rsidR="00220D87" w:rsidRPr="00D609A2">
            <w:t xml:space="preserve">nsure </w:t>
          </w:r>
          <w:r w:rsidR="00E9725D" w:rsidRPr="00D609A2">
            <w:t>31-day term deposits fall within the DDO regime which is consistent with Government’s intention to capture all basic deposit products</w:t>
          </w:r>
          <w:r>
            <w:t>.</w:t>
          </w:r>
        </w:p>
        <w:p w14:paraId="4A01C40D" w14:textId="073AD19C" w:rsidR="00E9725D" w:rsidRPr="00D609A2" w:rsidRDefault="00B81E10" w:rsidP="00E9725D">
          <w:pPr>
            <w:pStyle w:val="ListParagraph"/>
            <w:numPr>
              <w:ilvl w:val="0"/>
              <w:numId w:val="19"/>
            </w:numPr>
            <w:spacing w:after="120"/>
          </w:pPr>
          <w:r>
            <w:t>P</w:t>
          </w:r>
          <w:r w:rsidR="00E9725D" w:rsidRPr="00D609A2">
            <w:t>rovid</w:t>
          </w:r>
          <w:r w:rsidR="00220D87" w:rsidRPr="00D609A2">
            <w:t>e</w:t>
          </w:r>
          <w:r w:rsidR="00E9725D" w:rsidRPr="00D609A2">
            <w:t xml:space="preserve"> consistency in the application of retail and wholesale investor definitions across the Corporations Act by ensuring it extends to the DDO regime</w:t>
          </w:r>
          <w:r>
            <w:t>.</w:t>
          </w:r>
        </w:p>
        <w:p w14:paraId="50A39E26" w14:textId="0459E48D" w:rsidR="00D50DB8" w:rsidRPr="00D609A2" w:rsidRDefault="00B81E10" w:rsidP="00D50DB8">
          <w:pPr>
            <w:pStyle w:val="ListParagraph"/>
            <w:numPr>
              <w:ilvl w:val="0"/>
              <w:numId w:val="19"/>
            </w:numPr>
            <w:spacing w:after="120"/>
          </w:pPr>
          <w:r>
            <w:lastRenderedPageBreak/>
            <w:t>E</w:t>
          </w:r>
          <w:r w:rsidR="00F70C37" w:rsidRPr="00D609A2">
            <w:t>xempt</w:t>
          </w:r>
          <w:r w:rsidR="00D50DB8" w:rsidRPr="00D609A2">
            <w:t xml:space="preserve"> foreign cash settled immediately from</w:t>
          </w:r>
          <w:r w:rsidR="00C50F65" w:rsidRPr="00D609A2">
            <w:t xml:space="preserve"> the</w:t>
          </w:r>
          <w:r w:rsidR="00D50DB8" w:rsidRPr="00D609A2">
            <w:t xml:space="preserve"> DDO</w:t>
          </w:r>
          <w:r w:rsidR="00C50F65" w:rsidRPr="00D609A2">
            <w:t xml:space="preserve"> regime</w:t>
          </w:r>
          <w:r w:rsidR="00D50DB8" w:rsidRPr="00D609A2">
            <w:t>,</w:t>
          </w:r>
          <w:r w:rsidR="00F70C37" w:rsidRPr="00D609A2">
            <w:t xml:space="preserve"> as the risk for consumers is relatively low</w:t>
          </w:r>
          <w:r>
            <w:t>.</w:t>
          </w:r>
          <w:r w:rsidR="00D50DB8" w:rsidRPr="00D609A2">
            <w:t xml:space="preserve"> </w:t>
          </w:r>
        </w:p>
        <w:p w14:paraId="40CAFC5E" w14:textId="19610BA6" w:rsidR="00E9725D" w:rsidRPr="00D609A2" w:rsidRDefault="00B81E10" w:rsidP="00E9725D">
          <w:pPr>
            <w:pStyle w:val="ListParagraph"/>
            <w:numPr>
              <w:ilvl w:val="0"/>
              <w:numId w:val="19"/>
            </w:numPr>
            <w:spacing w:after="120"/>
          </w:pPr>
          <w:r>
            <w:t>E</w:t>
          </w:r>
          <w:r w:rsidR="00E9725D" w:rsidRPr="00D609A2">
            <w:t>xempt non-cash-payment facilities (NCPFs) from the DDO regime except for certain facilities, specifically credit and debit card facilities and stored value facilities – broadly NCPFs are not standalone services and provide a facility for consumers to make non-cash payments, posing lesser risk to them.</w:t>
          </w:r>
        </w:p>
        <w:p w14:paraId="28D17ADA" w14:textId="7EE68C95" w:rsidR="00D609A2" w:rsidRDefault="004A7D29" w:rsidP="004A7D29">
          <w:r w:rsidRPr="00D609A2">
            <w:t xml:space="preserve">To provide certainty on the application of the DDO regime in the period prior to the Government making these amendments, ASIC, following a targeted consultation, will consider making </w:t>
          </w:r>
          <w:r w:rsidR="001F37E7">
            <w:t xml:space="preserve">short-term </w:t>
          </w:r>
          <w:r w:rsidRPr="00D609A2">
            <w:t xml:space="preserve">interim changes consistent with the Government’s policy intentions, using its modification and exemption powers under s994L of the Corporations Act. </w:t>
          </w:r>
          <w:r w:rsidR="001F37E7">
            <w:t xml:space="preserve">This will allow the Government time to make </w:t>
          </w:r>
          <w:r w:rsidR="009B7CFA">
            <w:t xml:space="preserve">these changes </w:t>
          </w:r>
          <w:r w:rsidR="001F37E7">
            <w:t>permanent</w:t>
          </w:r>
          <w:r w:rsidR="00F34F3E">
            <w:t xml:space="preserve"> and will avoid</w:t>
          </w:r>
          <w:r w:rsidR="00337EF4">
            <w:t xml:space="preserve"> </w:t>
          </w:r>
          <w:r w:rsidR="00F34F3E">
            <w:t>industry needing</w:t>
          </w:r>
          <w:r w:rsidR="00337EF4">
            <w:t xml:space="preserve"> to implement product governance arrangements</w:t>
          </w:r>
          <w:r w:rsidR="009B7CFA">
            <w:t>,</w:t>
          </w:r>
          <w:r w:rsidR="00337EF4">
            <w:t xml:space="preserve"> </w:t>
          </w:r>
          <w:r w:rsidR="000B5530">
            <w:t>ahead of commencement</w:t>
          </w:r>
          <w:r w:rsidR="009B7CFA">
            <w:t>,</w:t>
          </w:r>
          <w:r w:rsidR="00F34F3E">
            <w:t xml:space="preserve"> </w:t>
          </w:r>
          <w:r w:rsidR="00337EF4">
            <w:t xml:space="preserve">for products that </w:t>
          </w:r>
          <w:r w:rsidR="00F34F3E">
            <w:t>are ultimately</w:t>
          </w:r>
          <w:r w:rsidR="00337EF4">
            <w:t xml:space="preserve"> not intended to be caught</w:t>
          </w:r>
          <w:r w:rsidR="009B7CFA">
            <w:t xml:space="preserve"> by these reforms</w:t>
          </w:r>
          <w:r w:rsidR="00337EF4">
            <w:t xml:space="preserve">. </w:t>
          </w:r>
        </w:p>
        <w:p w14:paraId="3C80787D" w14:textId="095BFBA4" w:rsidR="004A7D29" w:rsidRPr="00D609A2" w:rsidRDefault="004A7D29" w:rsidP="004A7D29">
          <w:r w:rsidRPr="00D609A2">
            <w:t>Treasury will continue to engage with stakeholders leading up to the 5 October 2021 commencement and will consult with industry on the legislative amendments in due course.</w:t>
          </w:r>
        </w:p>
        <w:p w14:paraId="3E1A62AE" w14:textId="4E1285E4" w:rsidR="009A4F11" w:rsidRDefault="00EB4482" w:rsidP="00E9725D">
          <w:r w:rsidRPr="00EB4482">
            <w:t xml:space="preserve"> </w:t>
          </w:r>
        </w:p>
        <w:p w14:paraId="154872D2" w14:textId="77777777" w:rsidR="009A4F11" w:rsidRDefault="009A4F11">
          <w:pPr>
            <w:spacing w:before="0" w:after="160" w:line="259" w:lineRule="auto"/>
            <w:rPr>
              <w:noProof/>
            </w:rPr>
          </w:pPr>
        </w:p>
        <w:p w14:paraId="10A9F74E" w14:textId="4EEDC39E" w:rsidR="00016528" w:rsidRDefault="001D11F2" w:rsidP="004E5BC9">
          <w:pPr>
            <w:spacing w:before="0" w:after="160" w:line="259" w:lineRule="auto"/>
            <w:rPr>
              <w:noProof/>
            </w:rPr>
          </w:pPr>
        </w:p>
      </w:sdtContent>
    </w:sdt>
    <w:sectPr w:rsidR="00016528" w:rsidSect="00C472FE">
      <w:headerReference w:type="even" r:id="rId15"/>
      <w:headerReference w:type="default" r:id="rId16"/>
      <w:footerReference w:type="even" r:id="rId17"/>
      <w:footerReference w:type="default" r:id="rId18"/>
      <w:pgSz w:w="11906" w:h="16838" w:code="9"/>
      <w:pgMar w:top="2211" w:right="1418" w:bottom="1418" w:left="1418" w:header="45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58E6AA" w14:textId="77777777" w:rsidR="001D11F2" w:rsidRDefault="001D11F2">
      <w:pPr>
        <w:spacing w:before="0" w:after="0"/>
      </w:pPr>
      <w:r>
        <w:separator/>
      </w:r>
    </w:p>
  </w:endnote>
  <w:endnote w:type="continuationSeparator" w:id="0">
    <w:p w14:paraId="30059E66" w14:textId="77777777" w:rsidR="001D11F2" w:rsidRDefault="001D11F2">
      <w:pPr>
        <w:spacing w:before="0" w:after="0"/>
      </w:pPr>
      <w:r>
        <w:continuationSeparator/>
      </w:r>
    </w:p>
  </w:endnote>
  <w:endnote w:type="continuationNotice" w:id="1">
    <w:p w14:paraId="59C2760F" w14:textId="77777777" w:rsidR="001D11F2" w:rsidRDefault="001D11F2">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old">
    <w:panose1 w:val="00000000000000000000"/>
    <w:charset w:val="00"/>
    <w:family w:val="roman"/>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Rockwell">
    <w:panose1 w:val="02060603020205020403"/>
    <w:charset w:val="00"/>
    <w:family w:val="roman"/>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89A699" w14:textId="77777777" w:rsidR="00897C1E" w:rsidRPr="00E77C89" w:rsidRDefault="00897C1E" w:rsidP="00EE1447">
    <w:pPr>
      <w:pStyle w:val="FooterEven"/>
    </w:pPr>
    <w:r>
      <w:fldChar w:fldCharType="begin"/>
    </w:r>
    <w:r>
      <w:instrText xml:space="preserve"> PAGE  \* Arabic  \* MERGEFORMAT </w:instrText>
    </w:r>
    <w:r>
      <w:fldChar w:fldCharType="separate"/>
    </w:r>
    <w:r>
      <w:t>4</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65724131"/>
      <w:docPartObj>
        <w:docPartGallery w:val="Page Numbers (Bottom of Page)"/>
        <w:docPartUnique/>
      </w:docPartObj>
    </w:sdtPr>
    <w:sdtEndPr/>
    <w:sdtContent>
      <w:sdt>
        <w:sdtPr>
          <w:id w:val="-1769616900"/>
          <w:docPartObj>
            <w:docPartGallery w:val="Page Numbers (Top of Page)"/>
            <w:docPartUnique/>
          </w:docPartObj>
        </w:sdtPr>
        <w:sdtEndPr/>
        <w:sdtContent>
          <w:p w14:paraId="0CA90691" w14:textId="0BEAA2A4" w:rsidR="00897C1E" w:rsidRDefault="00897C1E" w:rsidP="008F6A18">
            <w:pPr>
              <w:pStyle w:val="Footer"/>
              <w:tabs>
                <w:tab w:val="clear" w:pos="4513"/>
                <w:tab w:val="center" w:pos="8931"/>
                <w:tab w:val="left" w:pos="9026"/>
              </w:tabs>
              <w:jc w:val="left"/>
            </w:pPr>
            <w:r>
              <w:t>treasury.gov.au</w:t>
            </w:r>
            <w:r>
              <w:tab/>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C9D619" w14:textId="77777777" w:rsidR="001D11F2" w:rsidRDefault="001D11F2">
      <w:pPr>
        <w:spacing w:before="0" w:after="0"/>
      </w:pPr>
      <w:r>
        <w:separator/>
      </w:r>
    </w:p>
  </w:footnote>
  <w:footnote w:type="continuationSeparator" w:id="0">
    <w:p w14:paraId="17CEA979" w14:textId="77777777" w:rsidR="001D11F2" w:rsidRDefault="001D11F2">
      <w:pPr>
        <w:spacing w:before="0" w:after="0"/>
      </w:pPr>
      <w:r>
        <w:continuationSeparator/>
      </w:r>
    </w:p>
  </w:footnote>
  <w:footnote w:type="continuationNotice" w:id="1">
    <w:p w14:paraId="65AE5235" w14:textId="77777777" w:rsidR="001D11F2" w:rsidRDefault="001D11F2">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00AB7B" w14:textId="77777777" w:rsidR="00897C1E" w:rsidRPr="001F3912" w:rsidRDefault="001D11F2" w:rsidP="00A12F62">
    <w:pPr>
      <w:pStyle w:val="HeaderEven"/>
    </w:pPr>
    <w:r>
      <w:fldChar w:fldCharType="begin"/>
    </w:r>
    <w:r>
      <w:instrText xml:space="preserve"> STYLEREF  Title  \* MERGEFORMAT </w:instrText>
    </w:r>
    <w:r>
      <w:fldChar w:fldCharType="separate"/>
    </w:r>
    <w:r w:rsidR="00897C1E">
      <w:rPr>
        <w:noProof/>
      </w:rPr>
      <w:t>Fact sheet</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D180F3" w14:textId="432B40DF" w:rsidR="00897C1E" w:rsidRPr="001F3912" w:rsidRDefault="00897C1E" w:rsidP="00A12F62">
    <w:pPr>
      <w:pStyle w:val="HeaderOdd"/>
    </w:pPr>
    <w:r w:rsidRPr="000E4466">
      <w:rPr>
        <w:b w:val="0"/>
        <w:bCs/>
        <w:noProof/>
        <w:color w:val="FFFFFF" w:themeColor="background1"/>
      </w:rPr>
      <w:drawing>
        <wp:anchor distT="0" distB="0" distL="114300" distR="114300" simplePos="0" relativeHeight="251658240" behindDoc="1" locked="0" layoutInCell="1" allowOverlap="1" wp14:anchorId="311BEA4D" wp14:editId="16F85987">
          <wp:simplePos x="0" y="0"/>
          <wp:positionH relativeFrom="page">
            <wp:align>right</wp:align>
          </wp:positionH>
          <wp:positionV relativeFrom="paragraph">
            <wp:posOffset>-288290</wp:posOffset>
          </wp:positionV>
          <wp:extent cx="7548533" cy="10677522"/>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actsheet headers2.png"/>
                  <pic:cNvPicPr/>
                </pic:nvPicPr>
                <pic:blipFill>
                  <a:blip r:embed="rId1">
                    <a:extLst>
                      <a:ext uri="{28A0092B-C50C-407E-A947-70E740481C1C}">
                        <a14:useLocalDpi xmlns:a14="http://schemas.microsoft.com/office/drawing/2010/main" val="0"/>
                      </a:ext>
                    </a:extLst>
                  </a:blip>
                  <a:stretch>
                    <a:fillRect/>
                  </a:stretch>
                </pic:blipFill>
                <pic:spPr>
                  <a:xfrm>
                    <a:off x="0" y="0"/>
                    <a:ext cx="7548533" cy="10677522"/>
                  </a:xfrm>
                  <a:prstGeom prst="rect">
                    <a:avLst/>
                  </a:prstGeom>
                </pic:spPr>
              </pic:pic>
            </a:graphicData>
          </a:graphic>
          <wp14:sizeRelH relativeFrom="page">
            <wp14:pctWidth>0</wp14:pctWidth>
          </wp14:sizeRelH>
          <wp14:sizeRelV relativeFrom="page">
            <wp14:pctHeight>0</wp14:pctHeight>
          </wp14:sizeRelV>
        </wp:anchor>
      </w:drawing>
    </w:r>
    <w:r w:rsidRPr="000E4466">
      <w:rPr>
        <w:b w:val="0"/>
        <w:bCs/>
        <w:color w:val="FFFFFF" w:themeColor="background1"/>
      </w:rPr>
      <w:t>The Treasury |</w:t>
    </w:r>
    <w:r>
      <w:t xml:space="preserve"> </w:t>
    </w:r>
    <w:r w:rsidR="001D11F2">
      <w:fldChar w:fldCharType="begin"/>
    </w:r>
    <w:r w:rsidR="001D11F2">
      <w:instrText xml:space="preserve"> STYLEREF  Title  \* MERGEFORMAT </w:instrText>
    </w:r>
    <w:r w:rsidR="001D11F2">
      <w:fldChar w:fldCharType="separate"/>
    </w:r>
    <w:r w:rsidR="0031604D">
      <w:rPr>
        <w:noProof/>
      </w:rPr>
      <w:t>Amendments to the design and distribution obligations</w:t>
    </w:r>
    <w:r w:rsidR="001D11F2">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ED3FC7"/>
    <w:multiLevelType w:val="multilevel"/>
    <w:tmpl w:val="79E48CD8"/>
    <w:styleLink w:val="BoxBulletedList"/>
    <w:lvl w:ilvl="0">
      <w:start w:val="1"/>
      <w:numFmt w:val="bullet"/>
      <w:lvlRestart w:val="0"/>
      <w:pStyle w:val="BoxBullet"/>
      <w:lvlText w:val="•"/>
      <w:lvlJc w:val="left"/>
      <w:pPr>
        <w:tabs>
          <w:tab w:val="num" w:pos="283"/>
        </w:tabs>
        <w:ind w:left="283" w:hanging="283"/>
      </w:pPr>
      <w:rPr>
        <w:rFonts w:ascii="Times New Roman" w:hAnsi="Times New Roman" w:cs="Times New Roman" w:hint="default"/>
        <w:b w:val="0"/>
        <w:i w:val="0"/>
        <w:sz w:val="20"/>
      </w:rPr>
    </w:lvl>
    <w:lvl w:ilvl="1">
      <w:start w:val="1"/>
      <w:numFmt w:val="bullet"/>
      <w:pStyle w:val="BoxDash"/>
      <w:lvlText w:val="–"/>
      <w:lvlJc w:val="left"/>
      <w:pPr>
        <w:tabs>
          <w:tab w:val="num" w:pos="567"/>
        </w:tabs>
        <w:ind w:left="567" w:hanging="284"/>
      </w:pPr>
      <w:rPr>
        <w:rFonts w:hint="default"/>
        <w:b w:val="0"/>
        <w:i w:val="0"/>
      </w:rPr>
    </w:lvl>
    <w:lvl w:ilvl="2">
      <w:start w:val="1"/>
      <w:numFmt w:val="bullet"/>
      <w:pStyle w:val="BoxDoubleDo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 w15:restartNumberingAfterBreak="0">
    <w:nsid w:val="0B8F13AF"/>
    <w:multiLevelType w:val="multilevel"/>
    <w:tmpl w:val="0C7091F8"/>
    <w:lvl w:ilvl="0">
      <w:start w:val="1"/>
      <w:numFmt w:val="lowerLetter"/>
      <w:lvlText w:val="%1."/>
      <w:lvlJc w:val="left"/>
      <w:pPr>
        <w:tabs>
          <w:tab w:val="num" w:pos="425"/>
        </w:tabs>
        <w:ind w:left="425" w:hanging="42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0653560"/>
    <w:multiLevelType w:val="multilevel"/>
    <w:tmpl w:val="72F8140E"/>
    <w:styleLink w:val="OutlineList"/>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6CC4E5D"/>
    <w:multiLevelType w:val="multilevel"/>
    <w:tmpl w:val="D10E9CF6"/>
    <w:numStyleLink w:val="OneLevelList"/>
  </w:abstractNum>
  <w:abstractNum w:abstractNumId="4" w15:restartNumberingAfterBreak="0">
    <w:nsid w:val="17DF7717"/>
    <w:multiLevelType w:val="multilevel"/>
    <w:tmpl w:val="B91AC3AC"/>
    <w:lvl w:ilvl="0">
      <w:start w:val="1"/>
      <w:numFmt w:val="decimal"/>
      <w:pStyle w:val="Heading1Numbered"/>
      <w:lvlText w:val="%1."/>
      <w:lvlJc w:val="left"/>
      <w:pPr>
        <w:ind w:left="360" w:hanging="360"/>
      </w:pPr>
      <w:rPr>
        <w:rFonts w:hint="default"/>
      </w:rPr>
    </w:lvl>
    <w:lvl w:ilvl="1">
      <w:start w:val="1"/>
      <w:numFmt w:val="decimal"/>
      <w:pStyle w:val="Heading2Numbered"/>
      <w:lvlText w:val="%1.%2"/>
      <w:lvlJc w:val="left"/>
      <w:pPr>
        <w:ind w:left="720" w:hanging="360"/>
      </w:pPr>
      <w:rPr>
        <w:rFonts w:hint="default"/>
      </w:rPr>
    </w:lvl>
    <w:lvl w:ilvl="2">
      <w:start w:val="1"/>
      <w:numFmt w:val="decimal"/>
      <w:pStyle w:val="Heading3Numbered"/>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7440C8B"/>
    <w:multiLevelType w:val="multilevel"/>
    <w:tmpl w:val="9AFC5FD2"/>
    <w:lvl w:ilvl="0">
      <w:start w:val="1"/>
      <w:numFmt w:val="bullet"/>
      <w:lvlRestart w:val="0"/>
      <w:lvlText w:val="•"/>
      <w:lvlJc w:val="left"/>
      <w:pPr>
        <w:tabs>
          <w:tab w:val="num" w:pos="283"/>
        </w:tabs>
        <w:ind w:left="283" w:hanging="283"/>
      </w:pPr>
      <w:rPr>
        <w:rFonts w:ascii="Times New Roman" w:hAnsi="Times New Roman" w:cs="Times New Roman"/>
        <w:b w:val="0"/>
        <w:i w:val="0"/>
      </w:rPr>
    </w:lvl>
    <w:lvl w:ilvl="1">
      <w:start w:val="1"/>
      <w:numFmt w:val="bullet"/>
      <w:lvlText w:val="–"/>
      <w:lvlJc w:val="left"/>
      <w:pPr>
        <w:tabs>
          <w:tab w:val="num" w:pos="567"/>
        </w:tabs>
        <w:ind w:left="567" w:hanging="284"/>
      </w:pPr>
      <w:rPr>
        <w:rFonts w:ascii="Times New Roman" w:hAnsi="Times New Roman" w:cs="Times New Roman"/>
        <w:b w:val="0"/>
        <w:i w:val="0"/>
      </w:rPr>
    </w:lvl>
    <w:lvl w:ilvl="2">
      <w:start w:val="1"/>
      <w:numFmt w:val="bulle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6" w15:restartNumberingAfterBreak="0">
    <w:nsid w:val="27826BF0"/>
    <w:multiLevelType w:val="multilevel"/>
    <w:tmpl w:val="6D0AA75C"/>
    <w:lvl w:ilvl="0">
      <w:start w:val="1"/>
      <w:numFmt w:val="lowerRoman"/>
      <w:pStyle w:val="Romannumeral"/>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08C2710"/>
    <w:multiLevelType w:val="multilevel"/>
    <w:tmpl w:val="0D723674"/>
    <w:styleLink w:val="BulletedList"/>
    <w:lvl w:ilvl="0">
      <w:start w:val="1"/>
      <w:numFmt w:val="bullet"/>
      <w:lvlRestart w:val="0"/>
      <w:pStyle w:val="Bullet"/>
      <w:lvlText w:val="•"/>
      <w:lvlJc w:val="left"/>
      <w:pPr>
        <w:tabs>
          <w:tab w:val="num" w:pos="283"/>
        </w:tabs>
        <w:ind w:left="283" w:hanging="283"/>
      </w:pPr>
      <w:rPr>
        <w:rFonts w:ascii="Times New Roman" w:hAnsi="Times New Roman" w:cs="Times New Roman" w:hint="default"/>
        <w:b w:val="0"/>
        <w:i w:val="0"/>
      </w:rPr>
    </w:lvl>
    <w:lvl w:ilvl="1">
      <w:start w:val="1"/>
      <w:numFmt w:val="bullet"/>
      <w:pStyle w:val="Dash"/>
      <w:lvlText w:val="–"/>
      <w:lvlJc w:val="left"/>
      <w:pPr>
        <w:tabs>
          <w:tab w:val="num" w:pos="567"/>
        </w:tabs>
        <w:ind w:left="567" w:hanging="284"/>
      </w:pPr>
      <w:rPr>
        <w:rFonts w:ascii="Times New Roman" w:hAnsi="Times New Roman" w:cs="Times New Roman" w:hint="default"/>
        <w:b w:val="0"/>
        <w:i w:val="0"/>
      </w:rPr>
    </w:lvl>
    <w:lvl w:ilvl="2">
      <w:start w:val="1"/>
      <w:numFmt w:val="bullet"/>
      <w:pStyle w:val="DoubleDo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8" w15:restartNumberingAfterBreak="0">
    <w:nsid w:val="3238442C"/>
    <w:multiLevelType w:val="multilevel"/>
    <w:tmpl w:val="20C6D62C"/>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30C16AD"/>
    <w:multiLevelType w:val="multilevel"/>
    <w:tmpl w:val="D10E9CF6"/>
    <w:styleLink w:val="OneLevelList"/>
    <w:lvl w:ilvl="0">
      <w:start w:val="1"/>
      <w:numFmt w:val="decimal"/>
      <w:pStyle w:val="OneLevelNumberedParagraph"/>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1132892"/>
    <w:multiLevelType w:val="hybridMultilevel"/>
    <w:tmpl w:val="B2D2B2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CE06931"/>
    <w:multiLevelType w:val="singleLevel"/>
    <w:tmpl w:val="36E09474"/>
    <w:lvl w:ilvl="0">
      <w:start w:val="1"/>
      <w:numFmt w:val="lowerLetter"/>
      <w:lvlText w:val="(%1)"/>
      <w:lvlJc w:val="left"/>
      <w:pPr>
        <w:ind w:left="360" w:hanging="360"/>
      </w:pPr>
      <w:rPr>
        <w:rFonts w:ascii="Arial" w:hAnsi="Arial" w:cs="Arial" w:hint="default"/>
        <w:b w:val="0"/>
        <w:i w:val="0"/>
        <w:sz w:val="16"/>
      </w:rPr>
    </w:lvl>
  </w:abstractNum>
  <w:abstractNum w:abstractNumId="12" w15:restartNumberingAfterBreak="0">
    <w:nsid w:val="510D2021"/>
    <w:multiLevelType w:val="multilevel"/>
    <w:tmpl w:val="72F8140E"/>
    <w:numStyleLink w:val="OutlineList"/>
  </w:abstractNum>
  <w:abstractNum w:abstractNumId="13" w15:restartNumberingAfterBreak="0">
    <w:nsid w:val="5EFF1E76"/>
    <w:multiLevelType w:val="multilevel"/>
    <w:tmpl w:val="D9FE9894"/>
    <w:lvl w:ilvl="0">
      <w:start w:val="1"/>
      <w:numFmt w:val="lowerRoman"/>
      <w:lvlText w:val="%1."/>
      <w:lvlJc w:val="right"/>
      <w:pPr>
        <w:tabs>
          <w:tab w:val="num" w:pos="567"/>
        </w:tabs>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77A70C5A"/>
    <w:multiLevelType w:val="multilevel"/>
    <w:tmpl w:val="34C489A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7EBF275E"/>
    <w:multiLevelType w:val="multilevel"/>
    <w:tmpl w:val="A6800B9E"/>
    <w:lvl w:ilvl="0">
      <w:start w:val="1"/>
      <w:numFmt w:val="decimal"/>
      <w:lvlRestart w:val="0"/>
      <w:lvlText w:val="%1."/>
      <w:lvlJc w:val="left"/>
      <w:pPr>
        <w:tabs>
          <w:tab w:val="num" w:pos="567"/>
        </w:tabs>
        <w:ind w:left="567" w:hanging="567"/>
      </w:pPr>
      <w:rPr>
        <w:rFonts w:hint="default"/>
        <w:b w:val="0"/>
        <w:i w:val="0"/>
      </w:rPr>
    </w:lvl>
    <w:lvl w:ilvl="1">
      <w:start w:val="1"/>
      <w:numFmt w:val="decimal"/>
      <w:lvlText w:val="%1.%2."/>
      <w:lvlJc w:val="left"/>
      <w:pPr>
        <w:tabs>
          <w:tab w:val="num" w:pos="1134"/>
        </w:tabs>
        <w:ind w:left="1134" w:hanging="567"/>
      </w:pPr>
      <w:rPr>
        <w:rFonts w:hint="default"/>
        <w:b w:val="0"/>
        <w:i w:val="0"/>
      </w:rPr>
    </w:lvl>
    <w:lvl w:ilvl="2">
      <w:start w:val="1"/>
      <w:numFmt w:val="decimal"/>
      <w:lvlText w:val="%1.%2.%3."/>
      <w:lvlJc w:val="left"/>
      <w:pPr>
        <w:tabs>
          <w:tab w:val="num" w:pos="1984"/>
        </w:tabs>
        <w:ind w:left="1984" w:hanging="850"/>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6" w15:restartNumberingAfterBreak="0">
    <w:nsid w:val="7F2E57A2"/>
    <w:multiLevelType w:val="multilevel"/>
    <w:tmpl w:val="D1ECFDF4"/>
    <w:lvl w:ilvl="0">
      <w:start w:val="1"/>
      <w:numFmt w:val="decimal"/>
      <w:lvlRestart w:val="0"/>
      <w:suff w:val="nothing"/>
      <w:lvlText w:val=""/>
      <w:lvlJc w:val="left"/>
      <w:pPr>
        <w:ind w:left="0" w:firstLine="0"/>
      </w:pPr>
      <w:rPr>
        <w:rFonts w:ascii="Arial" w:hAnsi="Arial" w:cs="Arial"/>
        <w:b/>
        <w:i w:val="0"/>
        <w:color w:val="000080"/>
        <w:sz w:val="24"/>
      </w:rPr>
    </w:lvl>
    <w:lvl w:ilvl="1">
      <w:start w:val="1"/>
      <w:numFmt w:val="lowerLetter"/>
      <w:lvlText w:val="(%2)"/>
      <w:lvlJc w:val="left"/>
      <w:pPr>
        <w:tabs>
          <w:tab w:val="num" w:pos="992"/>
        </w:tabs>
        <w:ind w:left="992" w:hanging="425"/>
      </w:pPr>
      <w:rPr>
        <w:rFonts w:ascii="Arial" w:hAnsi="Arial" w:cs="Arial"/>
        <w:b/>
        <w:i w:val="0"/>
        <w:color w:val="235292"/>
        <w:sz w:val="22"/>
      </w:rPr>
    </w:lvl>
    <w:lvl w:ilvl="2">
      <w:start w:val="1"/>
      <w:numFmt w:val="decimal"/>
      <w:lvlText w:val="%3"/>
      <w:lvlJc w:val="left"/>
      <w:pPr>
        <w:tabs>
          <w:tab w:val="num" w:pos="1418"/>
        </w:tabs>
        <w:ind w:left="1418" w:hanging="426"/>
      </w:pPr>
      <w:rPr>
        <w:rFonts w:ascii="Times New Roman" w:hAnsi="Times New Roman" w:cs="Times New Roman"/>
        <w:b w:val="0"/>
        <w:i w:val="0"/>
        <w:color w:val="000000"/>
      </w:rPr>
    </w:lvl>
    <w:lvl w:ilvl="3">
      <w:start w:val="1"/>
      <w:numFmt w:val="decimal"/>
      <w:lvlText w:val="%4"/>
      <w:lvlJc w:val="left"/>
      <w:pPr>
        <w:tabs>
          <w:tab w:val="num" w:pos="2268"/>
        </w:tabs>
        <w:ind w:left="2268" w:hanging="567"/>
      </w:pPr>
      <w:rPr>
        <w:rFonts w:ascii="Times New Roman" w:hAnsi="Times New Roman" w:cs="Times New Roman"/>
        <w:b w:val="0"/>
        <w:i w:val="0"/>
        <w:color w:val="000000"/>
      </w:rPr>
    </w:lvl>
    <w:lvl w:ilvl="4">
      <w:start w:val="1"/>
      <w:numFmt w:val="decimal"/>
      <w:lvlText w:val="%5"/>
      <w:lvlJc w:val="left"/>
      <w:pPr>
        <w:tabs>
          <w:tab w:val="num" w:pos="2835"/>
        </w:tabs>
        <w:ind w:left="2835" w:hanging="567"/>
      </w:pPr>
      <w:rPr>
        <w:rFonts w:ascii="Times New Roman" w:hAnsi="Times New Roman" w:cs="Times New Roman"/>
        <w:b w:val="0"/>
        <w:i w:val="0"/>
        <w:color w:val="000000"/>
      </w:rPr>
    </w:lvl>
    <w:lvl w:ilvl="5">
      <w:start w:val="1"/>
      <w:numFmt w:val="decimal"/>
      <w:lvlText w:val="%6"/>
      <w:lvlJc w:val="left"/>
      <w:pPr>
        <w:tabs>
          <w:tab w:val="num" w:pos="3402"/>
        </w:tabs>
        <w:ind w:left="3402" w:hanging="567"/>
      </w:pPr>
      <w:rPr>
        <w:rFonts w:ascii="Times New Roman" w:hAnsi="Times New Roman" w:cs="Times New Roman"/>
        <w:b w:val="0"/>
        <w:i w:val="0"/>
        <w:color w:val="000000"/>
      </w:rPr>
    </w:lvl>
    <w:lvl w:ilvl="6">
      <w:start w:val="1"/>
      <w:numFmt w:val="decimal"/>
      <w:lvlText w:val="%7"/>
      <w:lvlJc w:val="left"/>
      <w:pPr>
        <w:tabs>
          <w:tab w:val="num" w:pos="3969"/>
        </w:tabs>
        <w:ind w:left="3969" w:hanging="567"/>
      </w:pPr>
      <w:rPr>
        <w:rFonts w:ascii="Times New Roman" w:hAnsi="Times New Roman" w:cs="Times New Roman"/>
        <w:b w:val="0"/>
        <w:i w:val="0"/>
        <w:color w:val="000000"/>
      </w:rPr>
    </w:lvl>
    <w:lvl w:ilvl="7">
      <w:start w:val="1"/>
      <w:numFmt w:val="decimal"/>
      <w:lvlText w:val="%8"/>
      <w:lvlJc w:val="left"/>
      <w:pPr>
        <w:tabs>
          <w:tab w:val="num" w:pos="4536"/>
        </w:tabs>
        <w:ind w:left="4536" w:hanging="567"/>
      </w:pPr>
      <w:rPr>
        <w:rFonts w:ascii="Times New Roman" w:hAnsi="Times New Roman" w:cs="Times New Roman"/>
        <w:b w:val="0"/>
        <w:i w:val="0"/>
        <w:color w:val="000000"/>
      </w:rPr>
    </w:lvl>
    <w:lvl w:ilvl="8">
      <w:start w:val="1"/>
      <w:numFmt w:val="decimal"/>
      <w:lvlText w:val="%9"/>
      <w:lvlJc w:val="left"/>
      <w:pPr>
        <w:tabs>
          <w:tab w:val="num" w:pos="5103"/>
        </w:tabs>
        <w:ind w:left="5103" w:hanging="567"/>
      </w:pPr>
      <w:rPr>
        <w:rFonts w:ascii="Times New Roman" w:hAnsi="Times New Roman" w:cs="Times New Roman"/>
        <w:b w:val="0"/>
        <w:i w:val="0"/>
        <w:color w:val="000000"/>
      </w:rPr>
    </w:lvl>
  </w:abstractNum>
  <w:num w:numId="1">
    <w:abstractNumId w:val="7"/>
  </w:num>
  <w:num w:numId="2">
    <w:abstractNumId w:val="0"/>
  </w:num>
  <w:num w:numId="3">
    <w:abstractNumId w:val="9"/>
  </w:num>
  <w:num w:numId="4">
    <w:abstractNumId w:val="2"/>
  </w:num>
  <w:num w:numId="5">
    <w:abstractNumId w:val="3"/>
  </w:num>
  <w:num w:numId="6">
    <w:abstractNumId w:val="12"/>
  </w:num>
  <w:num w:numId="7">
    <w:abstractNumId w:val="8"/>
    <w:lvlOverride w:ilvl="0">
      <w:lvl w:ilvl="0">
        <w:start w:val="1"/>
        <w:numFmt w:val="lowerLetter"/>
        <w:pStyle w:val="ChartandTableFootnoteAlpha"/>
        <w:lvlText w:val="(%1)"/>
        <w:lvlJc w:val="left"/>
        <w:pPr>
          <w:ind w:left="360" w:hanging="360"/>
        </w:pPr>
        <w:rPr>
          <w:rFonts w:ascii="Calibri" w:hAnsi="Calibri" w:hint="default"/>
          <w:b w:val="0"/>
          <w:i w:val="0"/>
          <w:caps w:val="0"/>
          <w:strike w:val="0"/>
          <w:dstrike w:val="0"/>
          <w:vanish w:val="0"/>
          <w:sz w:val="18"/>
          <w:vertAlign w:val="baseline"/>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8">
    <w:abstractNumId w:val="4"/>
  </w:num>
  <w:num w:numId="9">
    <w:abstractNumId w:val="1"/>
  </w:num>
  <w:num w:numId="10">
    <w:abstractNumId w:val="6"/>
  </w:num>
  <w:num w:numId="11">
    <w:abstractNumId w:val="15"/>
  </w:num>
  <w:num w:numId="12">
    <w:abstractNumId w:val="12"/>
  </w:num>
  <w:num w:numId="13">
    <w:abstractNumId w:val="16"/>
  </w:num>
  <w:num w:numId="14">
    <w:abstractNumId w:val="11"/>
  </w:num>
  <w:num w:numId="15">
    <w:abstractNumId w:val="5"/>
  </w:num>
  <w:num w:numId="16">
    <w:abstractNumId w:val="13"/>
  </w:num>
  <w:num w:numId="17">
    <w:abstractNumId w:val="8"/>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proofState w:spelling="clean" w:grammar="clean"/>
  <w:attachedTemplate r:id="rId1"/>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25D"/>
    <w:rsid w:val="00004EAB"/>
    <w:rsid w:val="00011725"/>
    <w:rsid w:val="00012C62"/>
    <w:rsid w:val="0001396A"/>
    <w:rsid w:val="00016528"/>
    <w:rsid w:val="0002544D"/>
    <w:rsid w:val="00025495"/>
    <w:rsid w:val="0004274D"/>
    <w:rsid w:val="00043348"/>
    <w:rsid w:val="0004483F"/>
    <w:rsid w:val="0005138B"/>
    <w:rsid w:val="000522B7"/>
    <w:rsid w:val="00056880"/>
    <w:rsid w:val="000675D1"/>
    <w:rsid w:val="00073521"/>
    <w:rsid w:val="000775DE"/>
    <w:rsid w:val="00087FAF"/>
    <w:rsid w:val="000B5530"/>
    <w:rsid w:val="000C571D"/>
    <w:rsid w:val="000C5F40"/>
    <w:rsid w:val="000D4385"/>
    <w:rsid w:val="000E0B74"/>
    <w:rsid w:val="000E4466"/>
    <w:rsid w:val="000E7901"/>
    <w:rsid w:val="00111430"/>
    <w:rsid w:val="00131DC3"/>
    <w:rsid w:val="00135E4C"/>
    <w:rsid w:val="001373F5"/>
    <w:rsid w:val="001574C0"/>
    <w:rsid w:val="001602B6"/>
    <w:rsid w:val="001606CF"/>
    <w:rsid w:val="0016128D"/>
    <w:rsid w:val="0017089D"/>
    <w:rsid w:val="0019101A"/>
    <w:rsid w:val="001972D2"/>
    <w:rsid w:val="001C2253"/>
    <w:rsid w:val="001C358D"/>
    <w:rsid w:val="001D11F2"/>
    <w:rsid w:val="001F1B27"/>
    <w:rsid w:val="001F37E7"/>
    <w:rsid w:val="00220D87"/>
    <w:rsid w:val="00221EC0"/>
    <w:rsid w:val="00231049"/>
    <w:rsid w:val="002314D2"/>
    <w:rsid w:val="0023305C"/>
    <w:rsid w:val="00241881"/>
    <w:rsid w:val="0024294C"/>
    <w:rsid w:val="0025652F"/>
    <w:rsid w:val="00263B6C"/>
    <w:rsid w:val="00265421"/>
    <w:rsid w:val="00272939"/>
    <w:rsid w:val="0027590B"/>
    <w:rsid w:val="00285969"/>
    <w:rsid w:val="00291CA1"/>
    <w:rsid w:val="002A288F"/>
    <w:rsid w:val="002A74EF"/>
    <w:rsid w:val="002B3829"/>
    <w:rsid w:val="002C22EF"/>
    <w:rsid w:val="002E454C"/>
    <w:rsid w:val="002F617F"/>
    <w:rsid w:val="002F7883"/>
    <w:rsid w:val="00300109"/>
    <w:rsid w:val="00301755"/>
    <w:rsid w:val="0030665E"/>
    <w:rsid w:val="00306894"/>
    <w:rsid w:val="003122F4"/>
    <w:rsid w:val="0031604D"/>
    <w:rsid w:val="003203D0"/>
    <w:rsid w:val="003268D5"/>
    <w:rsid w:val="00337EF4"/>
    <w:rsid w:val="003448F6"/>
    <w:rsid w:val="00350759"/>
    <w:rsid w:val="00354D27"/>
    <w:rsid w:val="0035738A"/>
    <w:rsid w:val="003858A6"/>
    <w:rsid w:val="00392DCC"/>
    <w:rsid w:val="003A528C"/>
    <w:rsid w:val="003A5B36"/>
    <w:rsid w:val="003A6AFC"/>
    <w:rsid w:val="003C24B4"/>
    <w:rsid w:val="003E20D6"/>
    <w:rsid w:val="003E4D87"/>
    <w:rsid w:val="00401082"/>
    <w:rsid w:val="0041436E"/>
    <w:rsid w:val="00416762"/>
    <w:rsid w:val="00416E55"/>
    <w:rsid w:val="0042518A"/>
    <w:rsid w:val="004276A0"/>
    <w:rsid w:val="0044144B"/>
    <w:rsid w:val="00445265"/>
    <w:rsid w:val="004559CE"/>
    <w:rsid w:val="00460E1A"/>
    <w:rsid w:val="00463DF8"/>
    <w:rsid w:val="00464D63"/>
    <w:rsid w:val="00475085"/>
    <w:rsid w:val="00476CF6"/>
    <w:rsid w:val="00477AA8"/>
    <w:rsid w:val="00492FCB"/>
    <w:rsid w:val="004A0F11"/>
    <w:rsid w:val="004A3EAA"/>
    <w:rsid w:val="004A7D29"/>
    <w:rsid w:val="004A7D97"/>
    <w:rsid w:val="004B5133"/>
    <w:rsid w:val="004C41B6"/>
    <w:rsid w:val="004D6E37"/>
    <w:rsid w:val="004E00EA"/>
    <w:rsid w:val="004E5BC9"/>
    <w:rsid w:val="004F33BC"/>
    <w:rsid w:val="004F4B92"/>
    <w:rsid w:val="00516785"/>
    <w:rsid w:val="0052419D"/>
    <w:rsid w:val="005301F8"/>
    <w:rsid w:val="005312FC"/>
    <w:rsid w:val="0053569E"/>
    <w:rsid w:val="0053603D"/>
    <w:rsid w:val="0053742A"/>
    <w:rsid w:val="00537C85"/>
    <w:rsid w:val="00541D29"/>
    <w:rsid w:val="00555862"/>
    <w:rsid w:val="00562F17"/>
    <w:rsid w:val="0056582C"/>
    <w:rsid w:val="005868DE"/>
    <w:rsid w:val="005877AC"/>
    <w:rsid w:val="005966B7"/>
    <w:rsid w:val="005A64A6"/>
    <w:rsid w:val="005B5E2A"/>
    <w:rsid w:val="005C02A4"/>
    <w:rsid w:val="005C20D2"/>
    <w:rsid w:val="005C32FE"/>
    <w:rsid w:val="005C503A"/>
    <w:rsid w:val="005D024A"/>
    <w:rsid w:val="005D4FD4"/>
    <w:rsid w:val="005D6D64"/>
    <w:rsid w:val="00601650"/>
    <w:rsid w:val="00604EEF"/>
    <w:rsid w:val="00605AFD"/>
    <w:rsid w:val="00610394"/>
    <w:rsid w:val="006123D4"/>
    <w:rsid w:val="0061445B"/>
    <w:rsid w:val="00624C4B"/>
    <w:rsid w:val="006251F6"/>
    <w:rsid w:val="006564D3"/>
    <w:rsid w:val="0067622C"/>
    <w:rsid w:val="00685CF7"/>
    <w:rsid w:val="00686165"/>
    <w:rsid w:val="00691CB5"/>
    <w:rsid w:val="006923DF"/>
    <w:rsid w:val="006A37F5"/>
    <w:rsid w:val="006A7E0D"/>
    <w:rsid w:val="006B38FF"/>
    <w:rsid w:val="006C1892"/>
    <w:rsid w:val="006C5B73"/>
    <w:rsid w:val="006C645D"/>
    <w:rsid w:val="006D3C99"/>
    <w:rsid w:val="006E2D2A"/>
    <w:rsid w:val="006E3CC3"/>
    <w:rsid w:val="006E6F62"/>
    <w:rsid w:val="00705203"/>
    <w:rsid w:val="00706E8E"/>
    <w:rsid w:val="00722B53"/>
    <w:rsid w:val="007331C0"/>
    <w:rsid w:val="007509DD"/>
    <w:rsid w:val="007620E3"/>
    <w:rsid w:val="00763474"/>
    <w:rsid w:val="00784C0A"/>
    <w:rsid w:val="00794B40"/>
    <w:rsid w:val="007A1079"/>
    <w:rsid w:val="007B2677"/>
    <w:rsid w:val="007B76AB"/>
    <w:rsid w:val="007D592B"/>
    <w:rsid w:val="007D5AA6"/>
    <w:rsid w:val="007D7A91"/>
    <w:rsid w:val="007E5089"/>
    <w:rsid w:val="007E6456"/>
    <w:rsid w:val="00803682"/>
    <w:rsid w:val="00811943"/>
    <w:rsid w:val="00825F48"/>
    <w:rsid w:val="008311B8"/>
    <w:rsid w:val="00834243"/>
    <w:rsid w:val="00857969"/>
    <w:rsid w:val="00882CC4"/>
    <w:rsid w:val="008844AC"/>
    <w:rsid w:val="00897C1E"/>
    <w:rsid w:val="008A46FA"/>
    <w:rsid w:val="008C7F71"/>
    <w:rsid w:val="008D339F"/>
    <w:rsid w:val="008D4945"/>
    <w:rsid w:val="008E6292"/>
    <w:rsid w:val="008F23EB"/>
    <w:rsid w:val="008F6A18"/>
    <w:rsid w:val="00917E28"/>
    <w:rsid w:val="00925AA5"/>
    <w:rsid w:val="0093540D"/>
    <w:rsid w:val="0094019D"/>
    <w:rsid w:val="00942C11"/>
    <w:rsid w:val="0094351F"/>
    <w:rsid w:val="009547F8"/>
    <w:rsid w:val="0096210E"/>
    <w:rsid w:val="009729D4"/>
    <w:rsid w:val="00976FBD"/>
    <w:rsid w:val="00980759"/>
    <w:rsid w:val="009817B0"/>
    <w:rsid w:val="009821CE"/>
    <w:rsid w:val="009A277C"/>
    <w:rsid w:val="009A4F11"/>
    <w:rsid w:val="009A658F"/>
    <w:rsid w:val="009B7CFA"/>
    <w:rsid w:val="009E171B"/>
    <w:rsid w:val="00A015E8"/>
    <w:rsid w:val="00A07D47"/>
    <w:rsid w:val="00A12F62"/>
    <w:rsid w:val="00A13255"/>
    <w:rsid w:val="00A13AF1"/>
    <w:rsid w:val="00A14FE9"/>
    <w:rsid w:val="00A3749B"/>
    <w:rsid w:val="00A37D87"/>
    <w:rsid w:val="00A50D88"/>
    <w:rsid w:val="00A56923"/>
    <w:rsid w:val="00A62E42"/>
    <w:rsid w:val="00A64A71"/>
    <w:rsid w:val="00A72960"/>
    <w:rsid w:val="00A72D8F"/>
    <w:rsid w:val="00A93401"/>
    <w:rsid w:val="00AA6929"/>
    <w:rsid w:val="00AB0427"/>
    <w:rsid w:val="00AC3196"/>
    <w:rsid w:val="00AE2F90"/>
    <w:rsid w:val="00AE3CCB"/>
    <w:rsid w:val="00AF2495"/>
    <w:rsid w:val="00B00759"/>
    <w:rsid w:val="00B03DD6"/>
    <w:rsid w:val="00B3583B"/>
    <w:rsid w:val="00B36132"/>
    <w:rsid w:val="00B37A8F"/>
    <w:rsid w:val="00B6143C"/>
    <w:rsid w:val="00B65347"/>
    <w:rsid w:val="00B65DE1"/>
    <w:rsid w:val="00B81E10"/>
    <w:rsid w:val="00B87927"/>
    <w:rsid w:val="00BD26AA"/>
    <w:rsid w:val="00BD454F"/>
    <w:rsid w:val="00BF3F5F"/>
    <w:rsid w:val="00C01DCC"/>
    <w:rsid w:val="00C202B3"/>
    <w:rsid w:val="00C21EE0"/>
    <w:rsid w:val="00C30297"/>
    <w:rsid w:val="00C44CA8"/>
    <w:rsid w:val="00C472FE"/>
    <w:rsid w:val="00C50F65"/>
    <w:rsid w:val="00C67B0B"/>
    <w:rsid w:val="00C72318"/>
    <w:rsid w:val="00C724E6"/>
    <w:rsid w:val="00C747A5"/>
    <w:rsid w:val="00C85314"/>
    <w:rsid w:val="00C965FA"/>
    <w:rsid w:val="00CA0116"/>
    <w:rsid w:val="00CA4BC0"/>
    <w:rsid w:val="00CA5CA8"/>
    <w:rsid w:val="00CB0157"/>
    <w:rsid w:val="00CB5205"/>
    <w:rsid w:val="00CC559D"/>
    <w:rsid w:val="00CD654B"/>
    <w:rsid w:val="00CD6AF5"/>
    <w:rsid w:val="00CE223E"/>
    <w:rsid w:val="00CF3F0D"/>
    <w:rsid w:val="00D101F7"/>
    <w:rsid w:val="00D145F5"/>
    <w:rsid w:val="00D33D03"/>
    <w:rsid w:val="00D355F0"/>
    <w:rsid w:val="00D43AC8"/>
    <w:rsid w:val="00D50DB8"/>
    <w:rsid w:val="00D55679"/>
    <w:rsid w:val="00D56113"/>
    <w:rsid w:val="00D609A2"/>
    <w:rsid w:val="00D833D9"/>
    <w:rsid w:val="00D83483"/>
    <w:rsid w:val="00D83BD9"/>
    <w:rsid w:val="00D94DCF"/>
    <w:rsid w:val="00D94EAE"/>
    <w:rsid w:val="00D956B3"/>
    <w:rsid w:val="00DA2805"/>
    <w:rsid w:val="00DA586F"/>
    <w:rsid w:val="00DB08DA"/>
    <w:rsid w:val="00DB7F09"/>
    <w:rsid w:val="00DC00E8"/>
    <w:rsid w:val="00DC1C56"/>
    <w:rsid w:val="00DC4756"/>
    <w:rsid w:val="00DC6379"/>
    <w:rsid w:val="00DE3C77"/>
    <w:rsid w:val="00DF6F61"/>
    <w:rsid w:val="00E101C6"/>
    <w:rsid w:val="00E22D51"/>
    <w:rsid w:val="00E276F5"/>
    <w:rsid w:val="00E45976"/>
    <w:rsid w:val="00E50E7C"/>
    <w:rsid w:val="00E51545"/>
    <w:rsid w:val="00E51D9E"/>
    <w:rsid w:val="00E537D1"/>
    <w:rsid w:val="00E567E6"/>
    <w:rsid w:val="00E56971"/>
    <w:rsid w:val="00E61484"/>
    <w:rsid w:val="00E711D7"/>
    <w:rsid w:val="00E76053"/>
    <w:rsid w:val="00E815E1"/>
    <w:rsid w:val="00E902B0"/>
    <w:rsid w:val="00E902E8"/>
    <w:rsid w:val="00E96855"/>
    <w:rsid w:val="00E9725D"/>
    <w:rsid w:val="00EA23AC"/>
    <w:rsid w:val="00EA7C3D"/>
    <w:rsid w:val="00EB4482"/>
    <w:rsid w:val="00EB6878"/>
    <w:rsid w:val="00EC1E0E"/>
    <w:rsid w:val="00EC236D"/>
    <w:rsid w:val="00EC6B16"/>
    <w:rsid w:val="00ED6250"/>
    <w:rsid w:val="00EE1447"/>
    <w:rsid w:val="00EE56A0"/>
    <w:rsid w:val="00EF145E"/>
    <w:rsid w:val="00EF2BBB"/>
    <w:rsid w:val="00F0082D"/>
    <w:rsid w:val="00F015AB"/>
    <w:rsid w:val="00F07C90"/>
    <w:rsid w:val="00F229E7"/>
    <w:rsid w:val="00F33DB8"/>
    <w:rsid w:val="00F34F3E"/>
    <w:rsid w:val="00F53FD3"/>
    <w:rsid w:val="00F57BED"/>
    <w:rsid w:val="00F60198"/>
    <w:rsid w:val="00F70C37"/>
    <w:rsid w:val="00F7613A"/>
    <w:rsid w:val="00F82746"/>
    <w:rsid w:val="00F836F9"/>
    <w:rsid w:val="00F845D7"/>
    <w:rsid w:val="00F92279"/>
    <w:rsid w:val="00F9306F"/>
    <w:rsid w:val="00F93C00"/>
    <w:rsid w:val="00FB21A1"/>
    <w:rsid w:val="00FB4D21"/>
    <w:rsid w:val="00FB762B"/>
    <w:rsid w:val="00FC6ADA"/>
    <w:rsid w:val="00FF447A"/>
    <w:rsid w:val="00FF5664"/>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1B371F"/>
  <w15:docId w15:val="{677E2F5E-3095-4930-B15D-82CD6C5A2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26AA"/>
    <w:pPr>
      <w:spacing w:before="120" w:after="120" w:line="240" w:lineRule="auto"/>
    </w:pPr>
    <w:rPr>
      <w:rFonts w:ascii="Calibri" w:eastAsia="Times New Roman" w:hAnsi="Calibri" w:cs="Times New Roman"/>
      <w:szCs w:val="20"/>
      <w:lang w:eastAsia="en-AU"/>
    </w:rPr>
  </w:style>
  <w:style w:type="paragraph" w:styleId="Heading1">
    <w:name w:val="heading 1"/>
    <w:basedOn w:val="HeadingBase"/>
    <w:next w:val="Normal"/>
    <w:link w:val="Heading1Char"/>
    <w:qFormat/>
    <w:rsid w:val="00475085"/>
    <w:pPr>
      <w:spacing w:before="480"/>
      <w:outlineLvl w:val="0"/>
    </w:pPr>
    <w:rPr>
      <w:bCs w:val="0"/>
    </w:rPr>
  </w:style>
  <w:style w:type="paragraph" w:styleId="Heading2">
    <w:name w:val="heading 2"/>
    <w:basedOn w:val="HeadingBase"/>
    <w:next w:val="Normal"/>
    <w:link w:val="Heading2Char"/>
    <w:qFormat/>
    <w:rsid w:val="000E0B74"/>
    <w:pPr>
      <w:spacing w:before="360"/>
      <w:outlineLvl w:val="1"/>
    </w:pPr>
    <w:rPr>
      <w:bCs w:val="0"/>
      <w:iCs/>
      <w:sz w:val="36"/>
      <w:szCs w:val="28"/>
    </w:rPr>
  </w:style>
  <w:style w:type="paragraph" w:styleId="Heading3">
    <w:name w:val="heading 3"/>
    <w:basedOn w:val="HeadingBase"/>
    <w:next w:val="Normal"/>
    <w:link w:val="Heading3Char"/>
    <w:qFormat/>
    <w:rsid w:val="006564D3"/>
    <w:pPr>
      <w:spacing w:before="240"/>
      <w:outlineLvl w:val="2"/>
    </w:pPr>
    <w:rPr>
      <w:bCs w:val="0"/>
      <w:color w:val="3A6FAF" w:themeColor="accent2"/>
      <w:sz w:val="28"/>
      <w:szCs w:val="26"/>
    </w:rPr>
  </w:style>
  <w:style w:type="paragraph" w:styleId="Heading4">
    <w:name w:val="heading 4"/>
    <w:basedOn w:val="HeadingBase"/>
    <w:next w:val="Normal"/>
    <w:link w:val="Heading4Char"/>
    <w:qFormat/>
    <w:rsid w:val="006564D3"/>
    <w:pPr>
      <w:outlineLvl w:val="3"/>
    </w:pPr>
    <w:rPr>
      <w:bCs w:val="0"/>
      <w:color w:val="3A6FAF" w:themeColor="accent2"/>
      <w:sz w:val="26"/>
      <w:szCs w:val="26"/>
    </w:rPr>
  </w:style>
  <w:style w:type="paragraph" w:styleId="Heading5">
    <w:name w:val="heading 5"/>
    <w:basedOn w:val="HeadingBase"/>
    <w:next w:val="Normal"/>
    <w:link w:val="Heading5Char"/>
    <w:rsid w:val="001972D2"/>
    <w:pPr>
      <w:outlineLvl w:val="4"/>
    </w:pPr>
    <w:rPr>
      <w:b/>
      <w:bCs w:val="0"/>
      <w:iCs/>
      <w:sz w:val="22"/>
    </w:rPr>
  </w:style>
  <w:style w:type="paragraph" w:styleId="Heading6">
    <w:name w:val="heading 6"/>
    <w:basedOn w:val="HeadingBase"/>
    <w:next w:val="Normal"/>
    <w:link w:val="Heading6Char"/>
    <w:rsid w:val="001972D2"/>
    <w:pPr>
      <w:outlineLvl w:val="5"/>
    </w:pPr>
    <w:rPr>
      <w:bCs w:val="0"/>
      <w:sz w:val="22"/>
      <w:szCs w:val="22"/>
    </w:rPr>
  </w:style>
  <w:style w:type="paragraph" w:styleId="Heading7">
    <w:name w:val="heading 7"/>
    <w:basedOn w:val="Normal"/>
    <w:next w:val="Normal"/>
    <w:link w:val="Heading7Char"/>
    <w:uiPriority w:val="9"/>
    <w:semiHidden/>
    <w:unhideWhenUsed/>
    <w:rsid w:val="00464D63"/>
    <w:pPr>
      <w:keepNext/>
      <w:keepLines/>
      <w:spacing w:before="40" w:after="0"/>
      <w:outlineLvl w:val="6"/>
    </w:pPr>
    <w:rPr>
      <w:rFonts w:asciiTheme="majorHAnsi" w:eastAsiaTheme="majorEastAsia" w:hAnsiTheme="majorHAnsi" w:cstheme="majorBidi"/>
      <w:i/>
      <w:iCs/>
      <w:color w:val="00152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75085"/>
    <w:rPr>
      <w:rFonts w:ascii="Calibri" w:eastAsia="Times New Roman" w:hAnsi="Calibri" w:cs="Arial"/>
      <w:color w:val="004A7F"/>
      <w:kern w:val="32"/>
      <w:sz w:val="48"/>
      <w:szCs w:val="36"/>
      <w:lang w:eastAsia="en-AU"/>
    </w:rPr>
  </w:style>
  <w:style w:type="character" w:customStyle="1" w:styleId="Heading2Char">
    <w:name w:val="Heading 2 Char"/>
    <w:basedOn w:val="DefaultParagraphFont"/>
    <w:link w:val="Heading2"/>
    <w:rsid w:val="003E4D87"/>
    <w:rPr>
      <w:rFonts w:ascii="Calibri" w:eastAsia="Times New Roman" w:hAnsi="Calibri" w:cs="Arial"/>
      <w:iCs/>
      <w:color w:val="004A7F"/>
      <w:kern w:val="32"/>
      <w:sz w:val="36"/>
      <w:szCs w:val="28"/>
      <w:lang w:eastAsia="en-AU"/>
    </w:rPr>
  </w:style>
  <w:style w:type="character" w:customStyle="1" w:styleId="Heading3Char">
    <w:name w:val="Heading 3 Char"/>
    <w:basedOn w:val="DefaultParagraphFont"/>
    <w:link w:val="Heading3"/>
    <w:rsid w:val="006564D3"/>
    <w:rPr>
      <w:rFonts w:ascii="Calibri" w:eastAsia="Times New Roman" w:hAnsi="Calibri" w:cs="Arial"/>
      <w:color w:val="3A6FAF" w:themeColor="accent2"/>
      <w:kern w:val="32"/>
      <w:sz w:val="28"/>
      <w:szCs w:val="26"/>
      <w:lang w:eastAsia="en-AU"/>
    </w:rPr>
  </w:style>
  <w:style w:type="character" w:customStyle="1" w:styleId="Heading4Char">
    <w:name w:val="Heading 4 Char"/>
    <w:basedOn w:val="DefaultParagraphFont"/>
    <w:link w:val="Heading4"/>
    <w:rsid w:val="006564D3"/>
    <w:rPr>
      <w:rFonts w:ascii="Calibri" w:eastAsia="Times New Roman" w:hAnsi="Calibri" w:cs="Arial"/>
      <w:color w:val="3A6FAF" w:themeColor="accent2"/>
      <w:kern w:val="32"/>
      <w:sz w:val="26"/>
      <w:szCs w:val="26"/>
      <w:lang w:eastAsia="en-AU"/>
    </w:rPr>
  </w:style>
  <w:style w:type="character" w:customStyle="1" w:styleId="Heading5Char">
    <w:name w:val="Heading 5 Char"/>
    <w:basedOn w:val="DefaultParagraphFont"/>
    <w:link w:val="Heading5"/>
    <w:rsid w:val="001972D2"/>
    <w:rPr>
      <w:rFonts w:ascii="Calibri" w:eastAsia="Times New Roman" w:hAnsi="Calibri" w:cs="Arial"/>
      <w:b/>
      <w:iCs/>
      <w:color w:val="004A7F"/>
      <w:kern w:val="32"/>
      <w:szCs w:val="36"/>
      <w:lang w:eastAsia="en-AU"/>
    </w:rPr>
  </w:style>
  <w:style w:type="character" w:customStyle="1" w:styleId="Heading6Char">
    <w:name w:val="Heading 6 Char"/>
    <w:basedOn w:val="DefaultParagraphFont"/>
    <w:link w:val="Heading6"/>
    <w:rsid w:val="001972D2"/>
    <w:rPr>
      <w:rFonts w:ascii="Calibri" w:eastAsia="Times New Roman" w:hAnsi="Calibri" w:cs="Arial"/>
      <w:color w:val="004A7F"/>
      <w:kern w:val="32"/>
      <w:lang w:eastAsia="en-AU"/>
    </w:rPr>
  </w:style>
  <w:style w:type="paragraph" w:customStyle="1" w:styleId="ChartGraphic">
    <w:name w:val="Chart Graphic"/>
    <w:basedOn w:val="Normal"/>
    <w:next w:val="Normal"/>
    <w:rsid w:val="000E0B74"/>
    <w:pPr>
      <w:keepNext/>
      <w:spacing w:before="0" w:after="0"/>
      <w:jc w:val="center"/>
    </w:pPr>
    <w:rPr>
      <w:color w:val="004A7F"/>
      <w:sz w:val="20"/>
    </w:rPr>
  </w:style>
  <w:style w:type="paragraph" w:customStyle="1" w:styleId="AlphaParagraph">
    <w:name w:val="Alpha Paragraph"/>
    <w:basedOn w:val="Normal"/>
    <w:rsid w:val="000E0B74"/>
    <w:pPr>
      <w:numPr>
        <w:ilvl w:val="1"/>
        <w:numId w:val="10"/>
      </w:numPr>
      <w:spacing w:before="0"/>
    </w:pPr>
  </w:style>
  <w:style w:type="paragraph" w:customStyle="1" w:styleId="BoxBullet">
    <w:name w:val="Box Bullet"/>
    <w:basedOn w:val="Normal"/>
    <w:rsid w:val="000E0B74"/>
    <w:pPr>
      <w:numPr>
        <w:numId w:val="2"/>
      </w:numPr>
      <w:spacing w:before="0"/>
      <w:ind w:left="284" w:hanging="284"/>
    </w:pPr>
  </w:style>
  <w:style w:type="paragraph" w:customStyle="1" w:styleId="BoxDash">
    <w:name w:val="Box Dash"/>
    <w:basedOn w:val="Normal"/>
    <w:rsid w:val="000E0B74"/>
    <w:pPr>
      <w:numPr>
        <w:ilvl w:val="1"/>
        <w:numId w:val="2"/>
      </w:numPr>
      <w:spacing w:before="0"/>
      <w:ind w:left="568"/>
    </w:pPr>
  </w:style>
  <w:style w:type="paragraph" w:customStyle="1" w:styleId="BoxDoubleDot">
    <w:name w:val="Box Double Dot"/>
    <w:basedOn w:val="Normal"/>
    <w:rsid w:val="000E0B74"/>
    <w:pPr>
      <w:numPr>
        <w:ilvl w:val="2"/>
        <w:numId w:val="2"/>
      </w:numPr>
      <w:spacing w:before="0"/>
      <w:ind w:left="851" w:hanging="284"/>
    </w:pPr>
  </w:style>
  <w:style w:type="paragraph" w:customStyle="1" w:styleId="BoxHeading">
    <w:name w:val="Box Heading"/>
    <w:basedOn w:val="Normal"/>
    <w:next w:val="Normal"/>
    <w:rsid w:val="00F93C00"/>
    <w:pPr>
      <w:keepNext/>
      <w:spacing w:before="240"/>
    </w:pPr>
    <w:rPr>
      <w:b/>
      <w:color w:val="002C47" w:themeColor="accent1"/>
      <w:sz w:val="26"/>
      <w:szCs w:val="26"/>
    </w:rPr>
  </w:style>
  <w:style w:type="paragraph" w:customStyle="1" w:styleId="BoxText">
    <w:name w:val="Box Text"/>
    <w:basedOn w:val="Normal"/>
    <w:rsid w:val="000E0B74"/>
  </w:style>
  <w:style w:type="paragraph" w:customStyle="1" w:styleId="Bullet">
    <w:name w:val="Bullet"/>
    <w:basedOn w:val="Normal"/>
    <w:rsid w:val="000E0B74"/>
    <w:pPr>
      <w:numPr>
        <w:numId w:val="1"/>
      </w:numPr>
      <w:spacing w:before="0"/>
      <w:ind w:left="284" w:hanging="284"/>
    </w:pPr>
  </w:style>
  <w:style w:type="paragraph" w:customStyle="1" w:styleId="ChartandTableFootnoteAlpha">
    <w:name w:val="Chart and Table Footnote Alpha"/>
    <w:rsid w:val="0023305C"/>
    <w:pPr>
      <w:numPr>
        <w:numId w:val="7"/>
      </w:numPr>
      <w:tabs>
        <w:tab w:val="num" w:pos="284"/>
      </w:tabs>
      <w:spacing w:after="0" w:line="240" w:lineRule="auto"/>
      <w:ind w:left="284" w:hanging="284"/>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rsid w:val="006564D3"/>
    <w:pPr>
      <w:jc w:val="center"/>
    </w:pPr>
  </w:style>
  <w:style w:type="paragraph" w:customStyle="1" w:styleId="ChartorTableNote">
    <w:name w:val="Chart or Table Note"/>
    <w:next w:val="Normal"/>
    <w:rsid w:val="000E0B74"/>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6564D3"/>
    <w:pPr>
      <w:jc w:val="center"/>
    </w:pPr>
  </w:style>
  <w:style w:type="paragraph" w:customStyle="1" w:styleId="ReportDate">
    <w:name w:val="Report Date"/>
    <w:basedOn w:val="Normal"/>
    <w:link w:val="ReportDateChar"/>
    <w:rsid w:val="00CD6AF5"/>
    <w:pPr>
      <w:keepNext/>
      <w:spacing w:before="0" w:after="360"/>
    </w:pPr>
    <w:rPr>
      <w:color w:val="B5F7FF" w:themeColor="accent5" w:themeTint="33"/>
      <w:sz w:val="24"/>
    </w:rPr>
  </w:style>
  <w:style w:type="paragraph" w:customStyle="1" w:styleId="Dash">
    <w:name w:val="Dash"/>
    <w:basedOn w:val="Normal"/>
    <w:rsid w:val="000E0B74"/>
    <w:pPr>
      <w:numPr>
        <w:ilvl w:val="1"/>
        <w:numId w:val="1"/>
      </w:numPr>
      <w:spacing w:before="0"/>
      <w:ind w:left="568"/>
    </w:pPr>
  </w:style>
  <w:style w:type="paragraph" w:customStyle="1" w:styleId="DoubleDot">
    <w:name w:val="Double Dot"/>
    <w:basedOn w:val="Normal"/>
    <w:rsid w:val="000E0B74"/>
    <w:pPr>
      <w:numPr>
        <w:ilvl w:val="2"/>
        <w:numId w:val="1"/>
      </w:numPr>
      <w:spacing w:before="0"/>
      <w:ind w:left="851" w:hanging="284"/>
    </w:pPr>
  </w:style>
  <w:style w:type="paragraph" w:customStyle="1" w:styleId="TableMainHeading">
    <w:name w:val="Table Main Heading"/>
    <w:basedOn w:val="Heading3"/>
    <w:next w:val="Normal"/>
    <w:rsid w:val="000E0B74"/>
    <w:pPr>
      <w:spacing w:before="120" w:after="0"/>
    </w:pPr>
    <w:rPr>
      <w:b/>
    </w:rPr>
  </w:style>
  <w:style w:type="paragraph" w:customStyle="1" w:styleId="FooterEven">
    <w:name w:val="Footer Even"/>
    <w:basedOn w:val="Footer"/>
    <w:rsid w:val="00F60198"/>
    <w:pPr>
      <w:keepNext/>
      <w:tabs>
        <w:tab w:val="clear" w:pos="4513"/>
        <w:tab w:val="clear" w:pos="9026"/>
      </w:tabs>
      <w:jc w:val="left"/>
    </w:pPr>
    <w:rPr>
      <w:noProof/>
    </w:rPr>
  </w:style>
  <w:style w:type="paragraph" w:customStyle="1" w:styleId="FooterOdd">
    <w:name w:val="Footer Odd"/>
    <w:basedOn w:val="Footer"/>
    <w:rsid w:val="00F60198"/>
    <w:pPr>
      <w:keepNext/>
      <w:tabs>
        <w:tab w:val="clear" w:pos="4513"/>
        <w:tab w:val="clear" w:pos="9026"/>
      </w:tabs>
      <w:jc w:val="right"/>
    </w:pPr>
  </w:style>
  <w:style w:type="character" w:styleId="Hyperlink">
    <w:name w:val="Hyperlink"/>
    <w:basedOn w:val="DefaultParagraphFont"/>
    <w:uiPriority w:val="99"/>
    <w:rsid w:val="006564D3"/>
    <w:rPr>
      <w:color w:val="3A6FAF" w:themeColor="accent2"/>
      <w:u w:val="none"/>
    </w:rPr>
  </w:style>
  <w:style w:type="paragraph" w:customStyle="1" w:styleId="OutlineNumbered1">
    <w:name w:val="Outline Numbered 1"/>
    <w:basedOn w:val="Normal"/>
    <w:rsid w:val="000E0B74"/>
    <w:pPr>
      <w:numPr>
        <w:numId w:val="6"/>
      </w:numPr>
      <w:spacing w:before="0"/>
    </w:pPr>
  </w:style>
  <w:style w:type="paragraph" w:customStyle="1" w:styleId="OneLevelNumberedParagraph">
    <w:name w:val="One Level Numbered Paragraph"/>
    <w:basedOn w:val="Normal"/>
    <w:rsid w:val="000E0B74"/>
    <w:pPr>
      <w:numPr>
        <w:numId w:val="5"/>
      </w:numPr>
      <w:spacing w:before="0"/>
    </w:pPr>
  </w:style>
  <w:style w:type="paragraph" w:customStyle="1" w:styleId="OutlineNumbered2">
    <w:name w:val="Outline Numbered 2"/>
    <w:basedOn w:val="Normal"/>
    <w:rsid w:val="000E0B74"/>
    <w:pPr>
      <w:numPr>
        <w:ilvl w:val="1"/>
        <w:numId w:val="6"/>
      </w:numPr>
      <w:spacing w:before="0"/>
    </w:pPr>
  </w:style>
  <w:style w:type="paragraph" w:customStyle="1" w:styleId="OutlineNumbered3">
    <w:name w:val="Outline Numbered 3"/>
    <w:basedOn w:val="Normal"/>
    <w:rsid w:val="000E0B74"/>
    <w:pPr>
      <w:numPr>
        <w:ilvl w:val="2"/>
        <w:numId w:val="6"/>
      </w:numPr>
      <w:spacing w:before="0"/>
    </w:pPr>
  </w:style>
  <w:style w:type="paragraph" w:customStyle="1" w:styleId="Romannumeral">
    <w:name w:val="Roman numeral"/>
    <w:basedOn w:val="Normal"/>
    <w:rsid w:val="004F4B92"/>
    <w:pPr>
      <w:numPr>
        <w:numId w:val="10"/>
      </w:numPr>
      <w:tabs>
        <w:tab w:val="clear" w:pos="720"/>
        <w:tab w:val="num" w:pos="851"/>
      </w:tabs>
      <w:spacing w:before="0"/>
      <w:ind w:left="851" w:hanging="851"/>
    </w:pPr>
  </w:style>
  <w:style w:type="paragraph" w:customStyle="1" w:styleId="SingleParagraph">
    <w:name w:val="Single Paragraph"/>
    <w:basedOn w:val="Normal"/>
    <w:link w:val="SingleParagraphChar"/>
    <w:rsid w:val="000E0B74"/>
    <w:pPr>
      <w:spacing w:before="0" w:after="0"/>
    </w:pPr>
  </w:style>
  <w:style w:type="paragraph" w:customStyle="1" w:styleId="TableSecondHeading">
    <w:name w:val="Table Second Heading"/>
    <w:basedOn w:val="Normal"/>
    <w:next w:val="Normal"/>
    <w:rsid w:val="00464D63"/>
    <w:pPr>
      <w:keepNext/>
      <w:spacing w:before="0" w:after="20"/>
    </w:pPr>
    <w:rPr>
      <w:b/>
      <w:color w:val="3A6FAF" w:themeColor="accent2"/>
    </w:rPr>
  </w:style>
  <w:style w:type="paragraph" w:customStyle="1" w:styleId="TableColumnHeadingCentred">
    <w:name w:val="Table Column Heading Centred"/>
    <w:basedOn w:val="TableTextLeft"/>
    <w:rsid w:val="006564D3"/>
    <w:pPr>
      <w:jc w:val="center"/>
    </w:pPr>
    <w:rPr>
      <w:b/>
      <w:color w:val="002C47" w:themeColor="accent1"/>
      <w:sz w:val="20"/>
    </w:rPr>
  </w:style>
  <w:style w:type="paragraph" w:customStyle="1" w:styleId="TableColumnHeadingLeft">
    <w:name w:val="Table Column Heading Left"/>
    <w:basedOn w:val="TableTextLeft"/>
    <w:rsid w:val="006564D3"/>
    <w:rPr>
      <w:b/>
      <w:color w:val="002C47" w:themeColor="accent1"/>
      <w:sz w:val="20"/>
    </w:rPr>
  </w:style>
  <w:style w:type="paragraph" w:customStyle="1" w:styleId="TableColumnHeadingRight">
    <w:name w:val="Table Column Heading Right"/>
    <w:basedOn w:val="TableTextLeft"/>
    <w:rsid w:val="006564D3"/>
    <w:pPr>
      <w:jc w:val="right"/>
    </w:pPr>
    <w:rPr>
      <w:b/>
      <w:color w:val="002C47" w:themeColor="accent1"/>
      <w:sz w:val="20"/>
    </w:rPr>
  </w:style>
  <w:style w:type="table" w:styleId="TableGrid">
    <w:name w:val="Table Grid"/>
    <w:basedOn w:val="TableNormal"/>
    <w:rsid w:val="000E0B74"/>
    <w:pPr>
      <w:spacing w:after="240" w:line="260" w:lineRule="exact"/>
      <w:jc w:val="both"/>
    </w:pPr>
    <w:rPr>
      <w:rFonts w:ascii="Times New Roman" w:eastAsia="Times New Roman" w:hAnsi="Times New Roman" w:cs="Times New Roman"/>
      <w:sz w:val="20"/>
      <w:szCs w:val="20"/>
      <w:lang w:eastAsia="en-AU"/>
    </w:rPr>
    <w:tblPr/>
    <w:tcPr>
      <w:shd w:val="clear" w:color="auto" w:fill="E6E6E6"/>
    </w:tcPr>
  </w:style>
  <w:style w:type="paragraph" w:customStyle="1" w:styleId="TableTextCentered">
    <w:name w:val="Table Text Centered"/>
    <w:basedOn w:val="TableTextRight"/>
    <w:rsid w:val="001972D2"/>
    <w:pPr>
      <w:jc w:val="center"/>
    </w:pPr>
  </w:style>
  <w:style w:type="paragraph" w:customStyle="1" w:styleId="TableTextLeft">
    <w:name w:val="Table Text Left"/>
    <w:basedOn w:val="TableTextRight"/>
    <w:rsid w:val="000E0B74"/>
    <w:pPr>
      <w:jc w:val="left"/>
    </w:pPr>
  </w:style>
  <w:style w:type="paragraph" w:customStyle="1" w:styleId="TableTextRight">
    <w:name w:val="Table Text Right"/>
    <w:basedOn w:val="Normal"/>
    <w:rsid w:val="000E0B74"/>
    <w:pPr>
      <w:spacing w:before="40" w:after="40"/>
      <w:jc w:val="right"/>
    </w:pPr>
    <w:rPr>
      <w:color w:val="000000"/>
      <w:sz w:val="18"/>
    </w:rPr>
  </w:style>
  <w:style w:type="paragraph" w:styleId="TOC1">
    <w:name w:val="toc 1"/>
    <w:basedOn w:val="Normal"/>
    <w:next w:val="Normal"/>
    <w:uiPriority w:val="39"/>
    <w:rsid w:val="006564D3"/>
    <w:pPr>
      <w:keepNext/>
      <w:tabs>
        <w:tab w:val="right" w:leader="dot" w:pos="9072"/>
      </w:tabs>
      <w:spacing w:before="180" w:after="0"/>
      <w:ind w:right="-2"/>
    </w:pPr>
    <w:rPr>
      <w:b/>
      <w:noProof/>
      <w:color w:val="002C47" w:themeColor="accent1"/>
      <w:szCs w:val="22"/>
    </w:rPr>
  </w:style>
  <w:style w:type="paragraph" w:styleId="TOC2">
    <w:name w:val="toc 2"/>
    <w:basedOn w:val="Normal"/>
    <w:next w:val="Normal"/>
    <w:uiPriority w:val="39"/>
    <w:rsid w:val="006564D3"/>
    <w:pPr>
      <w:keepNext/>
      <w:tabs>
        <w:tab w:val="right" w:leader="dot" w:pos="9072"/>
      </w:tabs>
      <w:spacing w:before="40" w:after="20"/>
      <w:ind w:right="-2"/>
    </w:pPr>
    <w:rPr>
      <w:noProof/>
      <w:color w:val="002C47" w:themeColor="accent1"/>
    </w:rPr>
  </w:style>
  <w:style w:type="paragraph" w:styleId="TOC3">
    <w:name w:val="toc 3"/>
    <w:basedOn w:val="Normal"/>
    <w:next w:val="Normal"/>
    <w:uiPriority w:val="39"/>
    <w:rsid w:val="006564D3"/>
    <w:pPr>
      <w:tabs>
        <w:tab w:val="right" w:leader="dot" w:pos="9072"/>
      </w:tabs>
      <w:spacing w:before="20" w:after="0"/>
      <w:ind w:left="284" w:right="-2"/>
    </w:pPr>
    <w:rPr>
      <w:rFonts w:cs="Calibri"/>
      <w:noProof/>
      <w:color w:val="3A6FAF" w:themeColor="accent2"/>
    </w:rPr>
  </w:style>
  <w:style w:type="numbering" w:customStyle="1" w:styleId="OutlineList">
    <w:name w:val="OutlineList"/>
    <w:uiPriority w:val="99"/>
    <w:rsid w:val="000E0B74"/>
    <w:pPr>
      <w:numPr>
        <w:numId w:val="4"/>
      </w:numPr>
    </w:pPr>
  </w:style>
  <w:style w:type="numbering" w:customStyle="1" w:styleId="BulletedList">
    <w:name w:val="Bulleted List"/>
    <w:uiPriority w:val="99"/>
    <w:rsid w:val="000E0B74"/>
    <w:pPr>
      <w:numPr>
        <w:numId w:val="1"/>
      </w:numPr>
    </w:pPr>
  </w:style>
  <w:style w:type="numbering" w:customStyle="1" w:styleId="BoxBulletedList">
    <w:name w:val="Box Bulleted List"/>
    <w:uiPriority w:val="99"/>
    <w:rsid w:val="000E0B74"/>
    <w:pPr>
      <w:numPr>
        <w:numId w:val="2"/>
      </w:numPr>
    </w:pPr>
  </w:style>
  <w:style w:type="numbering" w:customStyle="1" w:styleId="OneLevelList">
    <w:name w:val="OneLevelList"/>
    <w:uiPriority w:val="99"/>
    <w:rsid w:val="000E0B74"/>
    <w:pPr>
      <w:numPr>
        <w:numId w:val="3"/>
      </w:numPr>
    </w:pPr>
  </w:style>
  <w:style w:type="numbering" w:customStyle="1" w:styleId="ChartandTableFootnoteAlphaList">
    <w:name w:val="ChartandTableFootnoteAlphaList"/>
    <w:uiPriority w:val="99"/>
    <w:rsid w:val="000E0B74"/>
    <w:pPr>
      <w:numPr>
        <w:numId w:val="17"/>
      </w:numPr>
    </w:pPr>
  </w:style>
  <w:style w:type="paragraph" w:customStyle="1" w:styleId="Crest">
    <w:name w:val="Crest"/>
    <w:basedOn w:val="Header"/>
    <w:rsid w:val="000E0B74"/>
    <w:pPr>
      <w:spacing w:after="480"/>
      <w:jc w:val="center"/>
    </w:pPr>
    <w:rPr>
      <w:color w:val="000000" w:themeColor="text1"/>
    </w:rPr>
  </w:style>
  <w:style w:type="paragraph" w:customStyle="1" w:styleId="Heading1Numbered">
    <w:name w:val="Heading 1 Numbered"/>
    <w:basedOn w:val="Heading1"/>
    <w:next w:val="Normal"/>
    <w:rsid w:val="000E0B74"/>
    <w:pPr>
      <w:numPr>
        <w:numId w:val="8"/>
      </w:numPr>
    </w:pPr>
  </w:style>
  <w:style w:type="character" w:customStyle="1" w:styleId="SingleParagraphChar">
    <w:name w:val="Single Paragraph Char"/>
    <w:basedOn w:val="DefaultParagraphFont"/>
    <w:link w:val="SingleParagraph"/>
    <w:rsid w:val="000E0B74"/>
    <w:rPr>
      <w:rFonts w:ascii="Calibri" w:eastAsia="Times New Roman" w:hAnsi="Calibri" w:cs="Times New Roman"/>
      <w:szCs w:val="20"/>
      <w:lang w:eastAsia="en-AU"/>
    </w:rPr>
  </w:style>
  <w:style w:type="paragraph" w:customStyle="1" w:styleId="Heading2Numbered">
    <w:name w:val="Heading 2 Numbered"/>
    <w:basedOn w:val="Heading2"/>
    <w:next w:val="Normal"/>
    <w:rsid w:val="000E0B74"/>
    <w:pPr>
      <w:numPr>
        <w:ilvl w:val="1"/>
        <w:numId w:val="8"/>
      </w:numPr>
      <w:ind w:left="284" w:hanging="284"/>
    </w:pPr>
  </w:style>
  <w:style w:type="paragraph" w:customStyle="1" w:styleId="Heading3Numbered">
    <w:name w:val="Heading 3 Numbered"/>
    <w:basedOn w:val="Heading3"/>
    <w:rsid w:val="000E0B74"/>
    <w:pPr>
      <w:numPr>
        <w:ilvl w:val="2"/>
        <w:numId w:val="8"/>
      </w:numPr>
      <w:ind w:left="284" w:hanging="284"/>
    </w:pPr>
  </w:style>
  <w:style w:type="paragraph" w:styleId="Title">
    <w:name w:val="Title"/>
    <w:basedOn w:val="Normal"/>
    <w:next w:val="Normal"/>
    <w:link w:val="TitleChar"/>
    <w:uiPriority w:val="10"/>
    <w:qFormat/>
    <w:rsid w:val="009A4F11"/>
    <w:pPr>
      <w:spacing w:before="0" w:after="300"/>
      <w:contextualSpacing/>
    </w:pPr>
    <w:rPr>
      <w:rFonts w:eastAsiaTheme="majorEastAsia" w:cstheme="majorBidi"/>
      <w:b/>
      <w:color w:val="FFFFFF" w:themeColor="background1"/>
      <w:spacing w:val="5"/>
      <w:kern w:val="28"/>
      <w:sz w:val="72"/>
      <w:szCs w:val="52"/>
    </w:rPr>
  </w:style>
  <w:style w:type="character" w:customStyle="1" w:styleId="TitleChar">
    <w:name w:val="Title Char"/>
    <w:basedOn w:val="DefaultParagraphFont"/>
    <w:link w:val="Title"/>
    <w:uiPriority w:val="10"/>
    <w:rsid w:val="009A4F11"/>
    <w:rPr>
      <w:rFonts w:ascii="Calibri" w:eastAsiaTheme="majorEastAsia" w:hAnsi="Calibri" w:cstheme="majorBidi"/>
      <w:b/>
      <w:color w:val="FFFFFF" w:themeColor="background1"/>
      <w:spacing w:val="5"/>
      <w:kern w:val="28"/>
      <w:sz w:val="72"/>
      <w:szCs w:val="52"/>
      <w:lang w:eastAsia="en-AU"/>
    </w:rPr>
  </w:style>
  <w:style w:type="paragraph" w:styleId="Subtitle">
    <w:name w:val="Subtitle"/>
    <w:basedOn w:val="Normal"/>
    <w:next w:val="Normal"/>
    <w:link w:val="SubtitleChar"/>
    <w:uiPriority w:val="11"/>
    <w:qFormat/>
    <w:rsid w:val="009A4F11"/>
    <w:pPr>
      <w:numPr>
        <w:ilvl w:val="1"/>
      </w:numPr>
    </w:pPr>
    <w:rPr>
      <w:rFonts w:eastAsiaTheme="majorEastAsia" w:cstheme="majorBidi"/>
      <w:iCs/>
      <w:color w:val="EAEAEA" w:themeColor="background2"/>
      <w:sz w:val="44"/>
      <w:szCs w:val="44"/>
    </w:rPr>
  </w:style>
  <w:style w:type="character" w:customStyle="1" w:styleId="SubtitleChar">
    <w:name w:val="Subtitle Char"/>
    <w:basedOn w:val="DefaultParagraphFont"/>
    <w:link w:val="Subtitle"/>
    <w:uiPriority w:val="11"/>
    <w:rsid w:val="009A4F11"/>
    <w:rPr>
      <w:rFonts w:ascii="Calibri" w:eastAsiaTheme="majorEastAsia" w:hAnsi="Calibri" w:cstheme="majorBidi"/>
      <w:iCs/>
      <w:color w:val="EAEAEA" w:themeColor="background2"/>
      <w:sz w:val="44"/>
      <w:szCs w:val="44"/>
      <w:lang w:eastAsia="en-AU"/>
    </w:rPr>
  </w:style>
  <w:style w:type="character" w:styleId="SubtleEmphasis">
    <w:name w:val="Subtle Emphasis"/>
    <w:basedOn w:val="DefaultParagraphFont"/>
    <w:uiPriority w:val="19"/>
    <w:rsid w:val="000E0B74"/>
    <w:rPr>
      <w:i/>
      <w:iCs/>
      <w:color w:val="808080" w:themeColor="text1" w:themeTint="7F"/>
    </w:rPr>
  </w:style>
  <w:style w:type="paragraph" w:styleId="Footer">
    <w:name w:val="footer"/>
    <w:basedOn w:val="Normal"/>
    <w:link w:val="FooterChar"/>
    <w:uiPriority w:val="99"/>
    <w:unhideWhenUsed/>
    <w:rsid w:val="00F60198"/>
    <w:pPr>
      <w:tabs>
        <w:tab w:val="center" w:pos="4513"/>
        <w:tab w:val="right" w:pos="9026"/>
      </w:tabs>
      <w:spacing w:before="0" w:after="0"/>
      <w:jc w:val="center"/>
    </w:pPr>
    <w:rPr>
      <w:color w:val="002C47"/>
      <w:sz w:val="20"/>
    </w:rPr>
  </w:style>
  <w:style w:type="character" w:customStyle="1" w:styleId="FooterChar">
    <w:name w:val="Footer Char"/>
    <w:basedOn w:val="DefaultParagraphFont"/>
    <w:link w:val="Footer"/>
    <w:uiPriority w:val="99"/>
    <w:rsid w:val="00F60198"/>
    <w:rPr>
      <w:rFonts w:ascii="Calibri" w:eastAsia="Times New Roman" w:hAnsi="Calibri" w:cs="Times New Roman"/>
      <w:color w:val="002C47"/>
      <w:sz w:val="20"/>
      <w:szCs w:val="20"/>
      <w:lang w:eastAsia="en-AU"/>
    </w:rPr>
  </w:style>
  <w:style w:type="paragraph" w:styleId="Header">
    <w:name w:val="header"/>
    <w:basedOn w:val="Normal"/>
    <w:link w:val="HeaderChar"/>
    <w:uiPriority w:val="99"/>
    <w:unhideWhenUsed/>
    <w:rsid w:val="001606CF"/>
    <w:pPr>
      <w:keepNext/>
      <w:spacing w:before="0" w:after="0"/>
      <w:jc w:val="right"/>
    </w:pPr>
    <w:rPr>
      <w:color w:val="004A7F"/>
      <w:sz w:val="20"/>
    </w:rPr>
  </w:style>
  <w:style w:type="character" w:customStyle="1" w:styleId="HeaderChar">
    <w:name w:val="Header Char"/>
    <w:basedOn w:val="DefaultParagraphFont"/>
    <w:link w:val="Header"/>
    <w:uiPriority w:val="99"/>
    <w:rsid w:val="001606CF"/>
    <w:rPr>
      <w:rFonts w:ascii="Calibri" w:eastAsia="Times New Roman" w:hAnsi="Calibri" w:cs="Times New Roman"/>
      <w:color w:val="004A7F"/>
      <w:sz w:val="20"/>
      <w:szCs w:val="20"/>
      <w:lang w:eastAsia="en-AU"/>
    </w:rPr>
  </w:style>
  <w:style w:type="character" w:styleId="PlaceholderText">
    <w:name w:val="Placeholder Text"/>
    <w:basedOn w:val="DefaultParagraphFont"/>
    <w:uiPriority w:val="99"/>
    <w:semiHidden/>
    <w:rsid w:val="00056880"/>
    <w:rPr>
      <w:color w:val="808080"/>
    </w:rPr>
  </w:style>
  <w:style w:type="paragraph" w:customStyle="1" w:styleId="AppendixHeading">
    <w:name w:val="Appendix Heading"/>
    <w:basedOn w:val="Normal"/>
    <w:next w:val="Normal"/>
    <w:rsid w:val="00285969"/>
    <w:pPr>
      <w:keepNext/>
      <w:spacing w:before="720" w:after="360"/>
    </w:pPr>
    <w:rPr>
      <w:rFonts w:ascii="Arial Bold" w:hAnsi="Arial Bold"/>
      <w:b/>
      <w:smallCaps/>
      <w:color w:val="004A7F"/>
      <w:sz w:val="36"/>
      <w:szCs w:val="36"/>
    </w:rPr>
  </w:style>
  <w:style w:type="paragraph" w:customStyle="1" w:styleId="HeadingBase">
    <w:name w:val="Heading Base"/>
    <w:rsid w:val="006564D3"/>
    <w:pPr>
      <w:keepNext/>
      <w:spacing w:after="120" w:line="240" w:lineRule="auto"/>
    </w:pPr>
    <w:rPr>
      <w:rFonts w:ascii="Calibri" w:eastAsia="Times New Roman" w:hAnsi="Calibri" w:cs="Arial"/>
      <w:bCs/>
      <w:color w:val="002C47" w:themeColor="accent1"/>
      <w:kern w:val="32"/>
      <w:sz w:val="48"/>
      <w:szCs w:val="36"/>
      <w:lang w:eastAsia="en-AU"/>
    </w:rPr>
  </w:style>
  <w:style w:type="character" w:customStyle="1" w:styleId="ReportDateChar">
    <w:name w:val="Report Date Char"/>
    <w:basedOn w:val="DefaultParagraphFont"/>
    <w:link w:val="ReportDate"/>
    <w:rsid w:val="00CD6AF5"/>
    <w:rPr>
      <w:rFonts w:ascii="Calibri" w:eastAsia="Times New Roman" w:hAnsi="Calibri" w:cs="Times New Roman"/>
      <w:color w:val="B5F7FF" w:themeColor="accent5" w:themeTint="33"/>
      <w:sz w:val="24"/>
      <w:szCs w:val="20"/>
      <w:lang w:eastAsia="en-AU"/>
    </w:rPr>
  </w:style>
  <w:style w:type="paragraph" w:customStyle="1" w:styleId="Disclaimer">
    <w:name w:val="Disclaimer"/>
    <w:basedOn w:val="ReportDate"/>
    <w:rsid w:val="002F617F"/>
    <w:pPr>
      <w:spacing w:after="1800"/>
      <w:ind w:right="142"/>
    </w:pPr>
    <w:rPr>
      <w:rFonts w:ascii="Century Gothic" w:hAnsi="Century Gothic"/>
      <w:b/>
      <w:bCs/>
      <w:color w:val="5F5F5F" w:themeColor="text2"/>
      <w:sz w:val="22"/>
    </w:rPr>
  </w:style>
  <w:style w:type="character" w:customStyle="1" w:styleId="Heading7Char">
    <w:name w:val="Heading 7 Char"/>
    <w:basedOn w:val="DefaultParagraphFont"/>
    <w:link w:val="Heading7"/>
    <w:uiPriority w:val="9"/>
    <w:semiHidden/>
    <w:rsid w:val="00464D63"/>
    <w:rPr>
      <w:rFonts w:asciiTheme="majorHAnsi" w:eastAsiaTheme="majorEastAsia" w:hAnsiTheme="majorHAnsi" w:cstheme="majorBidi"/>
      <w:i/>
      <w:iCs/>
      <w:color w:val="001523" w:themeColor="accent1" w:themeShade="7F"/>
      <w:szCs w:val="20"/>
      <w:lang w:eastAsia="en-AU"/>
    </w:rPr>
  </w:style>
  <w:style w:type="paragraph" w:customStyle="1" w:styleId="Divider">
    <w:name w:val="Divider"/>
    <w:basedOn w:val="ReportDate"/>
    <w:rsid w:val="002F617F"/>
    <w:pPr>
      <w:spacing w:after="1800"/>
    </w:pPr>
    <w:rPr>
      <w:rFonts w:ascii="Rockwell" w:hAnsi="Rockwell"/>
    </w:rPr>
  </w:style>
  <w:style w:type="character" w:customStyle="1" w:styleId="FramedFooter">
    <w:name w:val="Framed Footer"/>
    <w:rsid w:val="00F60198"/>
    <w:rPr>
      <w:rFonts w:ascii="Arial" w:hAnsi="Arial"/>
      <w:color w:val="002C47"/>
      <w:sz w:val="18"/>
    </w:rPr>
  </w:style>
  <w:style w:type="character" w:customStyle="1" w:styleId="FramedHeader">
    <w:name w:val="Framed Header"/>
    <w:basedOn w:val="DefaultParagraphFont"/>
    <w:rsid w:val="0027590B"/>
    <w:rPr>
      <w:rFonts w:ascii="Arial" w:hAnsi="Arial"/>
      <w:dstrike w:val="0"/>
      <w:color w:val="auto"/>
      <w:sz w:val="18"/>
      <w:vertAlign w:val="baseline"/>
    </w:rPr>
  </w:style>
  <w:style w:type="paragraph" w:customStyle="1" w:styleId="TableTextIndented">
    <w:name w:val="Table Text Indented"/>
    <w:basedOn w:val="TableTextLeft"/>
    <w:rsid w:val="008E6292"/>
    <w:pPr>
      <w:ind w:left="284"/>
    </w:pPr>
  </w:style>
  <w:style w:type="paragraph" w:customStyle="1" w:styleId="TableHeadingContinued">
    <w:name w:val="Table Heading Continued"/>
    <w:basedOn w:val="TableMainHeading"/>
    <w:next w:val="TableGraphic"/>
    <w:rsid w:val="009A277C"/>
  </w:style>
  <w:style w:type="paragraph" w:customStyle="1" w:styleId="TableGraphic">
    <w:name w:val="Table Graphic"/>
    <w:basedOn w:val="HeadingBase"/>
    <w:next w:val="Normal"/>
    <w:rsid w:val="008E6292"/>
    <w:pPr>
      <w:spacing w:after="0"/>
    </w:pPr>
  </w:style>
  <w:style w:type="paragraph" w:customStyle="1" w:styleId="HeaderEven">
    <w:name w:val="Header Even"/>
    <w:basedOn w:val="Header"/>
    <w:rsid w:val="00F60198"/>
    <w:pPr>
      <w:jc w:val="left"/>
    </w:pPr>
    <w:rPr>
      <w:color w:val="002C47"/>
    </w:rPr>
  </w:style>
  <w:style w:type="paragraph" w:customStyle="1" w:styleId="HeaderOdd">
    <w:name w:val="Header Odd"/>
    <w:basedOn w:val="Header"/>
    <w:qFormat/>
    <w:rsid w:val="000E4466"/>
    <w:rPr>
      <w:b/>
      <w:color w:val="B3FFEE" w:themeColor="accent3" w:themeTint="33"/>
    </w:rPr>
  </w:style>
  <w:style w:type="paragraph" w:styleId="FootnoteText">
    <w:name w:val="footnote text"/>
    <w:basedOn w:val="Normal"/>
    <w:link w:val="FootnoteTextChar"/>
    <w:uiPriority w:val="99"/>
    <w:rsid w:val="008C7F71"/>
    <w:pPr>
      <w:spacing w:before="0" w:after="0"/>
    </w:pPr>
    <w:rPr>
      <w:sz w:val="20"/>
    </w:rPr>
  </w:style>
  <w:style w:type="character" w:customStyle="1" w:styleId="FootnoteTextChar">
    <w:name w:val="Footnote Text Char"/>
    <w:basedOn w:val="DefaultParagraphFont"/>
    <w:link w:val="FootnoteText"/>
    <w:uiPriority w:val="99"/>
    <w:rsid w:val="008C7F71"/>
    <w:rPr>
      <w:rFonts w:ascii="Calibri" w:eastAsia="Times New Roman" w:hAnsi="Calibri" w:cs="Times New Roman"/>
      <w:sz w:val="20"/>
      <w:szCs w:val="20"/>
      <w:lang w:eastAsia="en-AU"/>
    </w:rPr>
  </w:style>
  <w:style w:type="character" w:styleId="FootnoteReference">
    <w:name w:val="footnote reference"/>
    <w:basedOn w:val="DefaultParagraphFont"/>
    <w:uiPriority w:val="99"/>
    <w:rsid w:val="004C41B6"/>
    <w:rPr>
      <w:rFonts w:ascii="Calibri" w:hAnsi="Calibri"/>
      <w:sz w:val="20"/>
      <w:vertAlign w:val="superscript"/>
    </w:rPr>
  </w:style>
  <w:style w:type="paragraph" w:styleId="BalloonText">
    <w:name w:val="Balloon Text"/>
    <w:basedOn w:val="Normal"/>
    <w:link w:val="BalloonTextChar"/>
    <w:uiPriority w:val="99"/>
    <w:semiHidden/>
    <w:unhideWhenUsed/>
    <w:rsid w:val="00C7231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2318"/>
    <w:rPr>
      <w:rFonts w:ascii="Tahoma" w:eastAsia="Times New Roman" w:hAnsi="Tahoma" w:cs="Tahoma"/>
      <w:sz w:val="16"/>
      <w:szCs w:val="16"/>
      <w:lang w:eastAsia="en-AU"/>
    </w:rPr>
  </w:style>
  <w:style w:type="paragraph" w:styleId="ListParagraph">
    <w:name w:val="List Paragraph"/>
    <w:basedOn w:val="Normal"/>
    <w:uiPriority w:val="34"/>
    <w:qFormat/>
    <w:rsid w:val="00E9725D"/>
    <w:pPr>
      <w:spacing w:before="0" w:after="0"/>
      <w:ind w:left="720"/>
    </w:pPr>
    <w:rPr>
      <w:rFonts w:eastAsiaTheme="minorHAnsi" w:cs="Calibri"/>
      <w:szCs w:val="22"/>
      <w:lang w:eastAsia="en-US"/>
    </w:rPr>
  </w:style>
  <w:style w:type="character" w:styleId="CommentReference">
    <w:name w:val="annotation reference"/>
    <w:basedOn w:val="DefaultParagraphFont"/>
    <w:uiPriority w:val="99"/>
    <w:semiHidden/>
    <w:unhideWhenUsed/>
    <w:rsid w:val="00E45976"/>
    <w:rPr>
      <w:sz w:val="16"/>
      <w:szCs w:val="16"/>
    </w:rPr>
  </w:style>
  <w:style w:type="paragraph" w:styleId="CommentText">
    <w:name w:val="annotation text"/>
    <w:basedOn w:val="Normal"/>
    <w:link w:val="CommentTextChar"/>
    <w:uiPriority w:val="99"/>
    <w:unhideWhenUsed/>
    <w:rsid w:val="00E45976"/>
    <w:rPr>
      <w:sz w:val="20"/>
    </w:rPr>
  </w:style>
  <w:style w:type="character" w:customStyle="1" w:styleId="CommentTextChar">
    <w:name w:val="Comment Text Char"/>
    <w:basedOn w:val="DefaultParagraphFont"/>
    <w:link w:val="CommentText"/>
    <w:uiPriority w:val="99"/>
    <w:rsid w:val="00E45976"/>
    <w:rPr>
      <w:rFonts w:ascii="Calibri" w:eastAsia="Times New Roman" w:hAnsi="Calibri"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E45976"/>
    <w:rPr>
      <w:b/>
      <w:bCs/>
    </w:rPr>
  </w:style>
  <w:style w:type="character" w:customStyle="1" w:styleId="CommentSubjectChar">
    <w:name w:val="Comment Subject Char"/>
    <w:basedOn w:val="CommentTextChar"/>
    <w:link w:val="CommentSubject"/>
    <w:uiPriority w:val="99"/>
    <w:semiHidden/>
    <w:rsid w:val="00E45976"/>
    <w:rPr>
      <w:rFonts w:ascii="Calibri" w:eastAsia="Times New Roman" w:hAnsi="Calibri" w:cs="Times New Roman"/>
      <w:b/>
      <w:bCs/>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1022649">
      <w:bodyDiv w:val="1"/>
      <w:marLeft w:val="0"/>
      <w:marRight w:val="0"/>
      <w:marTop w:val="0"/>
      <w:marBottom w:val="0"/>
      <w:divBdr>
        <w:top w:val="none" w:sz="0" w:space="0" w:color="auto"/>
        <w:left w:val="none" w:sz="0" w:space="0" w:color="auto"/>
        <w:bottom w:val="none" w:sz="0" w:space="0" w:color="auto"/>
        <w:right w:val="none" w:sz="0" w:space="0" w:color="auto"/>
      </w:divBdr>
    </w:div>
    <w:div w:id="977034076">
      <w:bodyDiv w:val="1"/>
      <w:marLeft w:val="0"/>
      <w:marRight w:val="0"/>
      <w:marTop w:val="0"/>
      <w:marBottom w:val="0"/>
      <w:divBdr>
        <w:top w:val="none" w:sz="0" w:space="0" w:color="auto"/>
        <w:left w:val="none" w:sz="0" w:space="0" w:color="auto"/>
        <w:bottom w:val="none" w:sz="0" w:space="0" w:color="auto"/>
        <w:right w:val="none" w:sz="0" w:space="0" w:color="auto"/>
      </w:divBdr>
    </w:div>
    <w:div w:id="1993439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Publications\Treasury%20Fact%20Sheet.dotm" TargetMode="External"/></Relationships>
</file>

<file path=word/theme/theme1.xml><?xml version="1.0" encoding="utf-8"?>
<a:theme xmlns:a="http://schemas.openxmlformats.org/drawingml/2006/main" name="TSY Corporate">
  <a:themeElements>
    <a:clrScheme name="TSY Corporate">
      <a:dk1>
        <a:sysClr val="windowText" lastClr="000000"/>
      </a:dk1>
      <a:lt1>
        <a:sysClr val="window" lastClr="FFFFFF"/>
      </a:lt1>
      <a:dk2>
        <a:srgbClr val="5F5F5F"/>
      </a:dk2>
      <a:lt2>
        <a:srgbClr val="EAEAEA"/>
      </a:lt2>
      <a:accent1>
        <a:srgbClr val="002C47"/>
      </a:accent1>
      <a:accent2>
        <a:srgbClr val="3A6FAF"/>
      </a:accent2>
      <a:accent3>
        <a:srgbClr val="008569"/>
      </a:accent3>
      <a:accent4>
        <a:srgbClr val="C45154"/>
      </a:accent4>
      <a:accent5>
        <a:srgbClr val="00818F"/>
      </a:accent5>
      <a:accent6>
        <a:srgbClr val="844D9E"/>
      </a:accent6>
      <a:hlink>
        <a:srgbClr val="3A6FAF"/>
      </a:hlink>
      <a:folHlink>
        <a:srgbClr val="E61E26"/>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p:Policy xmlns:p="office.server.policy" id="" local="true">
  <p:Name>Treasury Document</p:Name>
  <p:Description/>
  <p:Statement/>
  <p:PolicyItems>
    <p:PolicyItem featureId="Microsoft.Office.RecordsManagement.PolicyFeatures.PolicyAudit" staticId="0x010100E95D40E5DFEA714B90E88DB5CE07A6B5|-421390505" UniqueId="72a3b914-5376-4e08-a93a-e02e58e6045f">
      <p:Name>Auditing</p:Name>
      <p:Description>Audits user actions on documents and list items to the Audit Log.</p:Description>
      <p:CustomData>
        <Audit>
          <Update/>
          <DeleteRestore/>
        </Audit>
      </p:CustomData>
    </p:PolicyItem>
  </p:PolicyItems>
</p:Policy>
</file>

<file path=customXml/item2.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3.xml><?xml version="1.0" encoding="utf-8"?>
<ct:contentTypeSchema xmlns:ct="http://schemas.microsoft.com/office/2006/metadata/contentType" xmlns:ma="http://schemas.microsoft.com/office/2006/metadata/properties/metaAttributes" ct:_="" ma:_="" ma:contentTypeName="Treasury Document" ma:contentTypeID="0x010100E95D40E5DFEA714B90E88DB5CE07A6B500A4C39F1D50EC0F4EBD06D6A3817BE15D" ma:contentTypeVersion="39664" ma:contentTypeDescription=" " ma:contentTypeScope="" ma:versionID="c612e9e9b1b0349fd401561385ed52b9">
  <xsd:schema xmlns:xsd="http://www.w3.org/2001/XMLSchema" xmlns:xs="http://www.w3.org/2001/XMLSchema" xmlns:p="http://schemas.microsoft.com/office/2006/metadata/properties" xmlns:ns1="http://schemas.microsoft.com/sharepoint/v3" xmlns:ns2="0f563589-9cf9-4143-b1eb-fb0534803d38" xmlns:ns3="d4dd4adf-ddb3-46a3-8d7c-fab3fb2a6bc7" xmlns:ns5="http://schemas.microsoft.com/sharepoint/v4" targetNamespace="http://schemas.microsoft.com/office/2006/metadata/properties" ma:root="true" ma:fieldsID="93560ab40f7e531c24ae66ec3f0bf266" ns1:_="" ns2:_="" ns3:_="" ns5:_="">
    <xsd:import namespace="http://schemas.microsoft.com/sharepoint/v3"/>
    <xsd:import namespace="0f563589-9cf9-4143-b1eb-fb0534803d38"/>
    <xsd:import namespace="d4dd4adf-ddb3-46a3-8d7c-fab3fb2a6bc7"/>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5:IconOverlay" minOccurs="0"/>
                <xsd:element ref="ns1:_dlc_Exempt" minOccurs="0"/>
                <xsd:element ref="ns3: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7"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ab865bba-d958-40fe-b21d-a68aa7a39431}" ma:internalName="TaxCatchAll" ma:showField="CatchAllData"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865bba-d958-40fe-b21d-a68aa7a39431}" ma:internalName="TaxCatchAllLabel" ma:readOnly="true" ma:showField="CatchAllDataLabel" ma:web="d4dd4adf-ddb3-46a3-8d7c-fab3fb2a6b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4dd4adf-ddb3-46a3-8d7c-fab3fb2a6bc7"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7;#TSY RA-9072 - Retain as national archives|d71911a4-1e32-4fc6-834f-26c4fc33e217"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SecurityClassification" ma:index="18" nillable="true" ma:displayName="Security Classification" ma:internalName="SecurityClassifica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f563589-9cf9-4143-b1eb-fb0534803d38">
      <Value>7</Value>
    </TaxCatchAll>
    <SecurityClassification xmlns="d4dd4adf-ddb3-46a3-8d7c-fab3fb2a6bc7" xsi:nil="true"/>
    <IconOverlay xmlns="http://schemas.microsoft.com/sharepoint/v4" xsi:nil="true"/>
    <lb508a4dc5e84436a0fe496b536466aa xmlns="d4dd4adf-ddb3-46a3-8d7c-fab3fb2a6bc7">
      <Terms xmlns="http://schemas.microsoft.com/office/infopath/2007/PartnerControls">
        <TermInfo xmlns="http://schemas.microsoft.com/office/infopath/2007/PartnerControls">
          <TermName xmlns="http://schemas.microsoft.com/office/infopath/2007/PartnerControls">TSY RA-9072 - Retain as national archives</TermName>
          <TermId xmlns="http://schemas.microsoft.com/office/infopath/2007/PartnerControls">d71911a4-1e32-4fc6-834f-26c4fc33e217</TermId>
        </TermInfo>
      </Terms>
    </lb508a4dc5e84436a0fe496b536466aa>
    <_dlc_DocId xmlns="0f563589-9cf9-4143-b1eb-fb0534803d38">2021MG-93-38498</_dlc_DocId>
    <_dlc_DocIdUrl xmlns="0f563589-9cf9-4143-b1eb-fb0534803d38">
      <Url>http://tweb/sites/mg/fsd/_layouts/15/DocIdRedir.aspx?ID=2021MG-93-38498</Url>
      <Description>2021MG-93-38498</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pe:Receivers xmlns:spe="http://schemas.microsoft.com/sharepoint/events">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9CD502-BAA2-4183-A351-E531D917861F}">
  <ds:schemaRefs>
    <ds:schemaRef ds:uri="office.server.policy"/>
  </ds:schemaRefs>
</ds:datastoreItem>
</file>

<file path=customXml/itemProps2.xml><?xml version="1.0" encoding="utf-8"?>
<ds:datastoreItem xmlns:ds="http://schemas.openxmlformats.org/officeDocument/2006/customXml" ds:itemID="{D9D88EED-055B-42B4-8C8E-E9B36C01C801}">
  <ds:schemaRefs>
    <ds:schemaRef ds:uri="http://schemas.microsoft.com/sharepoint/events"/>
  </ds:schemaRefs>
</ds:datastoreItem>
</file>

<file path=customXml/itemProps3.xml><?xml version="1.0" encoding="utf-8"?>
<ds:datastoreItem xmlns:ds="http://schemas.openxmlformats.org/officeDocument/2006/customXml" ds:itemID="{9E6CAED2-ED54-4282-8E6F-D4C23FB039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d4dd4adf-ddb3-46a3-8d7c-fab3fb2a6bc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D6B550-4AAA-4E86-BC8F-37BD38EA958C}">
  <ds:schemaRefs>
    <ds:schemaRef ds:uri="http://schemas.microsoft.com/office/2006/metadata/properties"/>
    <ds:schemaRef ds:uri="http://schemas.microsoft.com/office/infopath/2007/PartnerControls"/>
    <ds:schemaRef ds:uri="0f563589-9cf9-4143-b1eb-fb0534803d38"/>
    <ds:schemaRef ds:uri="d4dd4adf-ddb3-46a3-8d7c-fab3fb2a6bc7"/>
    <ds:schemaRef ds:uri="http://schemas.microsoft.com/sharepoint/v4"/>
  </ds:schemaRefs>
</ds:datastoreItem>
</file>

<file path=customXml/itemProps5.xml><?xml version="1.0" encoding="utf-8"?>
<ds:datastoreItem xmlns:ds="http://schemas.openxmlformats.org/officeDocument/2006/customXml" ds:itemID="{E94E3830-BF6F-4E1F-9D38-EAAB708D7B10}">
  <ds:schemaRefs>
    <ds:schemaRef ds:uri="http://schemas.openxmlformats.org/officeDocument/2006/bibliography"/>
  </ds:schemaRefs>
</ds:datastoreItem>
</file>

<file path=customXml/itemProps6.xml><?xml version="1.0" encoding="utf-8"?>
<ds:datastoreItem xmlns:ds="http://schemas.openxmlformats.org/officeDocument/2006/customXml" ds:itemID="{B358A236-559E-43C7-9BBD-1329FF73465C}">
  <ds:schemaRefs>
    <ds:schemaRef ds:uri="http://schemas.microsoft.com/sharepoint/events"/>
  </ds:schemaRefs>
</ds:datastoreItem>
</file>

<file path=customXml/itemProps7.xml><?xml version="1.0" encoding="utf-8"?>
<ds:datastoreItem xmlns:ds="http://schemas.openxmlformats.org/officeDocument/2006/customXml" ds:itemID="{8409CF7C-D55D-4D25-B0D7-9EE21ACE88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Treasury Fact Sheet.dotm</Template>
  <TotalTime>105</TotalTime>
  <Pages>2</Pages>
  <Words>600</Words>
  <Characters>3439</Characters>
  <Application>Microsoft Office Word</Application>
  <DocSecurity>0</DocSecurity>
  <Lines>56</Lines>
  <Paragraphs>14</Paragraphs>
  <ScaleCrop>false</ScaleCrop>
  <HeadingPairs>
    <vt:vector size="2" baseType="variant">
      <vt:variant>
        <vt:lpstr>Title</vt:lpstr>
      </vt:variant>
      <vt:variant>
        <vt:i4>1</vt:i4>
      </vt:variant>
    </vt:vector>
  </HeadingPairs>
  <TitlesOfParts>
    <vt:vector size="1" baseType="lpstr">
      <vt:lpstr>Amendments to the design and distribution obligations</vt:lpstr>
    </vt:vector>
  </TitlesOfParts>
  <Company/>
  <LinksUpToDate>false</LinksUpToDate>
  <CharactersWithSpaces>4042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Amendments to the design and distribution obligations</dc:title>
  <dc:creator>Australian Government - The Treasury</dc:creator>
  <cp:keywords/>
  <cp:lastModifiedBy>Smith, Matthew</cp:lastModifiedBy>
  <cp:revision>3</cp:revision>
  <cp:lastPrinted>2019-05-17T02:37:00Z</cp:lastPrinted>
  <dcterms:created xsi:type="dcterms:W3CDTF">2021-07-28T01:04:00Z</dcterms:created>
  <dcterms:modified xsi:type="dcterms:W3CDTF">2021-08-05T00:32:00Z</dcterms:modified>
  <cp:category/>
</cp:coreProperties>
</file>