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E6BE59" w14:textId="50BE682B" w:rsidR="00F16C6C" w:rsidRDefault="00AB6BC4" w:rsidP="00AB6BC4">
      <w:pPr>
        <w:ind w:left="-1418" w:right="-1418"/>
      </w:pPr>
      <w:r>
        <w:rPr>
          <w:noProof/>
        </w:rPr>
        <w:drawing>
          <wp:anchor distT="0" distB="0" distL="114300" distR="114300" simplePos="0" relativeHeight="251658240" behindDoc="1" locked="0" layoutInCell="1" allowOverlap="1" wp14:anchorId="33AF13C3" wp14:editId="01B18895">
            <wp:simplePos x="0" y="0"/>
            <wp:positionH relativeFrom="page">
              <wp:align>right</wp:align>
            </wp:positionH>
            <wp:positionV relativeFrom="paragraph">
              <wp:posOffset>-900430</wp:posOffset>
            </wp:positionV>
            <wp:extent cx="7553325" cy="10684510"/>
            <wp:effectExtent l="0" t="0" r="9525" b="2540"/>
            <wp:wrapNone/>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R Energy Sector consultation paper COVER V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4510"/>
                    </a:xfrm>
                    <a:prstGeom prst="rect">
                      <a:avLst/>
                    </a:prstGeom>
                  </pic:spPr>
                </pic:pic>
              </a:graphicData>
            </a:graphic>
            <wp14:sizeRelH relativeFrom="margin">
              <wp14:pctWidth>0</wp14:pctWidth>
            </wp14:sizeRelH>
            <wp14:sizeRelV relativeFrom="margin">
              <wp14:pctHeight>0</wp14:pctHeight>
            </wp14:sizeRelV>
          </wp:anchor>
        </w:drawing>
      </w:r>
    </w:p>
    <w:p w14:paraId="1C2135A6" w14:textId="77777777" w:rsidR="00F16C6C" w:rsidRDefault="00F16C6C" w:rsidP="00F16C6C"/>
    <w:p w14:paraId="4113E890" w14:textId="6E1084E2" w:rsidR="00F16C6C" w:rsidRDefault="00F16C6C" w:rsidP="00F16C6C">
      <w:pPr>
        <w:sectPr w:rsidR="00F16C6C" w:rsidSect="00582C82">
          <w:footerReference w:type="default" r:id="rId9"/>
          <w:pgSz w:w="11906" w:h="16838" w:code="9"/>
          <w:pgMar w:top="1418" w:right="1418" w:bottom="1418" w:left="1418" w:header="709" w:footer="709" w:gutter="0"/>
          <w:pgNumType w:fmt="lowerRoman"/>
          <w:cols w:space="708"/>
          <w:titlePg/>
          <w:docGrid w:linePitch="360"/>
        </w:sectPr>
      </w:pPr>
    </w:p>
    <w:p w14:paraId="33CDAC30" w14:textId="77777777" w:rsidR="00F16C6C" w:rsidRPr="00A22553" w:rsidRDefault="00F16C6C" w:rsidP="00F16C6C">
      <w:pPr>
        <w:pStyle w:val="Heading1"/>
        <w:spacing w:after="120"/>
        <w:rPr>
          <w:color w:val="0D45D6"/>
        </w:rPr>
      </w:pPr>
      <w:bookmarkStart w:id="0" w:name="_Toc79424504"/>
      <w:r w:rsidRPr="00A22553">
        <w:rPr>
          <w:color w:val="0D45D6"/>
        </w:rPr>
        <w:lastRenderedPageBreak/>
        <w:t>Contents</w:t>
      </w:r>
      <w:bookmarkEnd w:id="0"/>
    </w:p>
    <w:p w14:paraId="6C031521" w14:textId="5F0E6E6F" w:rsidR="00490B39" w:rsidRDefault="00F16C6C">
      <w:pPr>
        <w:pStyle w:val="TOC1"/>
        <w:rPr>
          <w:rFonts w:asciiTheme="minorHAnsi" w:eastAsiaTheme="minorEastAsia" w:hAnsiTheme="minorHAnsi" w:cstheme="minorBidi"/>
          <w:b w:val="0"/>
          <w:color w:val="auto"/>
        </w:rPr>
      </w:pPr>
      <w:r>
        <w:rPr>
          <w:b w:val="0"/>
        </w:rPr>
        <w:fldChar w:fldCharType="begin"/>
      </w:r>
      <w:r>
        <w:rPr>
          <w:b w:val="0"/>
        </w:rPr>
        <w:instrText xml:space="preserve"> TOC \o "1-2" \h \z \t "Heading 3,3" </w:instrText>
      </w:r>
      <w:r>
        <w:rPr>
          <w:b w:val="0"/>
        </w:rPr>
        <w:fldChar w:fldCharType="separate"/>
      </w:r>
      <w:hyperlink w:anchor="_Toc79424504" w:history="1">
        <w:r w:rsidR="00490B39" w:rsidRPr="005566A4">
          <w:rPr>
            <w:rStyle w:val="Hyperlink"/>
          </w:rPr>
          <w:t>Contents</w:t>
        </w:r>
        <w:r w:rsidR="00490B39">
          <w:rPr>
            <w:webHidden/>
          </w:rPr>
          <w:tab/>
        </w:r>
        <w:r w:rsidR="00490B39">
          <w:rPr>
            <w:webHidden/>
          </w:rPr>
          <w:fldChar w:fldCharType="begin"/>
        </w:r>
        <w:r w:rsidR="00490B39">
          <w:rPr>
            <w:webHidden/>
          </w:rPr>
          <w:instrText xml:space="preserve"> PAGEREF _Toc79424504 \h </w:instrText>
        </w:r>
        <w:r w:rsidR="00490B39">
          <w:rPr>
            <w:webHidden/>
          </w:rPr>
        </w:r>
        <w:r w:rsidR="00490B39">
          <w:rPr>
            <w:webHidden/>
          </w:rPr>
          <w:fldChar w:fldCharType="separate"/>
        </w:r>
        <w:r w:rsidR="00490B39">
          <w:rPr>
            <w:webHidden/>
          </w:rPr>
          <w:t>i</w:t>
        </w:r>
        <w:r w:rsidR="00490B39">
          <w:rPr>
            <w:webHidden/>
          </w:rPr>
          <w:fldChar w:fldCharType="end"/>
        </w:r>
      </w:hyperlink>
    </w:p>
    <w:p w14:paraId="4D4E906B" w14:textId="56E942DF" w:rsidR="00490B39" w:rsidRDefault="00327C02">
      <w:pPr>
        <w:pStyle w:val="TOC1"/>
        <w:rPr>
          <w:rFonts w:asciiTheme="minorHAnsi" w:eastAsiaTheme="minorEastAsia" w:hAnsiTheme="minorHAnsi" w:cstheme="minorBidi"/>
          <w:b w:val="0"/>
          <w:color w:val="auto"/>
        </w:rPr>
      </w:pPr>
      <w:hyperlink w:anchor="_Toc79424505" w:history="1">
        <w:r w:rsidR="00490B39" w:rsidRPr="005566A4">
          <w:rPr>
            <w:rStyle w:val="Hyperlink"/>
          </w:rPr>
          <w:t>Consultation process</w:t>
        </w:r>
        <w:r w:rsidR="00490B39">
          <w:rPr>
            <w:webHidden/>
          </w:rPr>
          <w:tab/>
        </w:r>
        <w:r w:rsidR="00490B39">
          <w:rPr>
            <w:webHidden/>
          </w:rPr>
          <w:fldChar w:fldCharType="begin"/>
        </w:r>
        <w:r w:rsidR="00490B39">
          <w:rPr>
            <w:webHidden/>
          </w:rPr>
          <w:instrText xml:space="preserve"> PAGEREF _Toc79424505 \h </w:instrText>
        </w:r>
        <w:r w:rsidR="00490B39">
          <w:rPr>
            <w:webHidden/>
          </w:rPr>
        </w:r>
        <w:r w:rsidR="00490B39">
          <w:rPr>
            <w:webHidden/>
          </w:rPr>
          <w:fldChar w:fldCharType="separate"/>
        </w:r>
        <w:r w:rsidR="00490B39">
          <w:rPr>
            <w:webHidden/>
          </w:rPr>
          <w:t>1</w:t>
        </w:r>
        <w:r w:rsidR="00490B39">
          <w:rPr>
            <w:webHidden/>
          </w:rPr>
          <w:fldChar w:fldCharType="end"/>
        </w:r>
      </w:hyperlink>
    </w:p>
    <w:p w14:paraId="5A073568" w14:textId="147D3106" w:rsidR="00490B39" w:rsidRDefault="00327C02">
      <w:pPr>
        <w:pStyle w:val="TOC2"/>
        <w:rPr>
          <w:rFonts w:asciiTheme="minorHAnsi" w:eastAsiaTheme="minorEastAsia" w:hAnsiTheme="minorHAnsi" w:cstheme="minorBidi"/>
          <w:color w:val="auto"/>
          <w:szCs w:val="22"/>
        </w:rPr>
      </w:pPr>
      <w:hyperlink w:anchor="_Toc79424506" w:history="1">
        <w:r w:rsidR="00490B39" w:rsidRPr="005566A4">
          <w:rPr>
            <w:rStyle w:val="Hyperlink"/>
          </w:rPr>
          <w:t>Request for feedback and comments</w:t>
        </w:r>
        <w:r w:rsidR="00490B39">
          <w:rPr>
            <w:webHidden/>
          </w:rPr>
          <w:tab/>
        </w:r>
        <w:r w:rsidR="00490B39">
          <w:rPr>
            <w:webHidden/>
          </w:rPr>
          <w:fldChar w:fldCharType="begin"/>
        </w:r>
        <w:r w:rsidR="00490B39">
          <w:rPr>
            <w:webHidden/>
          </w:rPr>
          <w:instrText xml:space="preserve"> PAGEREF _Toc79424506 \h </w:instrText>
        </w:r>
        <w:r w:rsidR="00490B39">
          <w:rPr>
            <w:webHidden/>
          </w:rPr>
        </w:r>
        <w:r w:rsidR="00490B39">
          <w:rPr>
            <w:webHidden/>
          </w:rPr>
          <w:fldChar w:fldCharType="separate"/>
        </w:r>
        <w:r w:rsidR="00490B39">
          <w:rPr>
            <w:webHidden/>
          </w:rPr>
          <w:t>1</w:t>
        </w:r>
        <w:r w:rsidR="00490B39">
          <w:rPr>
            <w:webHidden/>
          </w:rPr>
          <w:fldChar w:fldCharType="end"/>
        </w:r>
      </w:hyperlink>
    </w:p>
    <w:p w14:paraId="6198BD22" w14:textId="15B05C5F" w:rsidR="00490B39" w:rsidRDefault="00327C02">
      <w:pPr>
        <w:pStyle w:val="TOC2"/>
        <w:rPr>
          <w:rFonts w:asciiTheme="minorHAnsi" w:eastAsiaTheme="minorEastAsia" w:hAnsiTheme="minorHAnsi" w:cstheme="minorBidi"/>
          <w:color w:val="auto"/>
          <w:szCs w:val="22"/>
        </w:rPr>
      </w:pPr>
      <w:hyperlink w:anchor="_Toc79424507" w:history="1">
        <w:r w:rsidR="00490B39" w:rsidRPr="005566A4">
          <w:rPr>
            <w:rStyle w:val="Hyperlink"/>
          </w:rPr>
          <w:t>Publication of submissions and confidentiality</w:t>
        </w:r>
        <w:r w:rsidR="00490B39">
          <w:rPr>
            <w:webHidden/>
          </w:rPr>
          <w:tab/>
        </w:r>
        <w:r w:rsidR="00490B39">
          <w:rPr>
            <w:webHidden/>
          </w:rPr>
          <w:fldChar w:fldCharType="begin"/>
        </w:r>
        <w:r w:rsidR="00490B39">
          <w:rPr>
            <w:webHidden/>
          </w:rPr>
          <w:instrText xml:space="preserve"> PAGEREF _Toc79424507 \h </w:instrText>
        </w:r>
        <w:r w:rsidR="00490B39">
          <w:rPr>
            <w:webHidden/>
          </w:rPr>
        </w:r>
        <w:r w:rsidR="00490B39">
          <w:rPr>
            <w:webHidden/>
          </w:rPr>
          <w:fldChar w:fldCharType="separate"/>
        </w:r>
        <w:r w:rsidR="00490B39">
          <w:rPr>
            <w:webHidden/>
          </w:rPr>
          <w:t>1</w:t>
        </w:r>
        <w:r w:rsidR="00490B39">
          <w:rPr>
            <w:webHidden/>
          </w:rPr>
          <w:fldChar w:fldCharType="end"/>
        </w:r>
      </w:hyperlink>
    </w:p>
    <w:p w14:paraId="3B9C9FD6" w14:textId="5352D5C6" w:rsidR="00490B39" w:rsidRDefault="00327C02">
      <w:pPr>
        <w:pStyle w:val="TOC1"/>
        <w:rPr>
          <w:rFonts w:asciiTheme="minorHAnsi" w:eastAsiaTheme="minorEastAsia" w:hAnsiTheme="minorHAnsi" w:cstheme="minorBidi"/>
          <w:b w:val="0"/>
          <w:color w:val="auto"/>
        </w:rPr>
      </w:pPr>
      <w:hyperlink w:anchor="_Toc79424508" w:history="1">
        <w:r w:rsidR="00490B39" w:rsidRPr="005566A4">
          <w:rPr>
            <w:rStyle w:val="Hyperlink"/>
          </w:rPr>
          <w:t xml:space="preserve">Consumer Data Right in the energy sector: </w:t>
        </w:r>
        <w:r w:rsidR="00490B39" w:rsidRPr="005566A4">
          <w:rPr>
            <w:rStyle w:val="Hyperlink"/>
            <w:i/>
            <w:iCs/>
          </w:rPr>
          <w:t>Proposals for further consultation</w:t>
        </w:r>
        <w:r w:rsidR="00490B39">
          <w:rPr>
            <w:webHidden/>
          </w:rPr>
          <w:tab/>
        </w:r>
        <w:r w:rsidR="00490B39">
          <w:rPr>
            <w:webHidden/>
          </w:rPr>
          <w:fldChar w:fldCharType="begin"/>
        </w:r>
        <w:r w:rsidR="00490B39">
          <w:rPr>
            <w:webHidden/>
          </w:rPr>
          <w:instrText xml:space="preserve"> PAGEREF _Toc79424508 \h </w:instrText>
        </w:r>
        <w:r w:rsidR="00490B39">
          <w:rPr>
            <w:webHidden/>
          </w:rPr>
        </w:r>
        <w:r w:rsidR="00490B39">
          <w:rPr>
            <w:webHidden/>
          </w:rPr>
          <w:fldChar w:fldCharType="separate"/>
        </w:r>
        <w:r w:rsidR="00490B39">
          <w:rPr>
            <w:webHidden/>
          </w:rPr>
          <w:t>2</w:t>
        </w:r>
        <w:r w:rsidR="00490B39">
          <w:rPr>
            <w:webHidden/>
          </w:rPr>
          <w:fldChar w:fldCharType="end"/>
        </w:r>
      </w:hyperlink>
    </w:p>
    <w:p w14:paraId="02ACB075" w14:textId="689D454F" w:rsidR="00490B39" w:rsidRDefault="00327C02">
      <w:pPr>
        <w:pStyle w:val="TOC2"/>
        <w:rPr>
          <w:rFonts w:asciiTheme="minorHAnsi" w:eastAsiaTheme="minorEastAsia" w:hAnsiTheme="minorHAnsi" w:cstheme="minorBidi"/>
          <w:color w:val="auto"/>
          <w:szCs w:val="22"/>
        </w:rPr>
      </w:pPr>
      <w:hyperlink w:anchor="_Toc79424509" w:history="1">
        <w:r w:rsidR="00490B39" w:rsidRPr="005566A4">
          <w:rPr>
            <w:rStyle w:val="Hyperlink"/>
          </w:rPr>
          <w:t>Introduction</w:t>
        </w:r>
        <w:r w:rsidR="00490B39">
          <w:rPr>
            <w:webHidden/>
          </w:rPr>
          <w:tab/>
        </w:r>
        <w:r w:rsidR="00490B39">
          <w:rPr>
            <w:webHidden/>
          </w:rPr>
          <w:fldChar w:fldCharType="begin"/>
        </w:r>
        <w:r w:rsidR="00490B39">
          <w:rPr>
            <w:webHidden/>
          </w:rPr>
          <w:instrText xml:space="preserve"> PAGEREF _Toc79424509 \h </w:instrText>
        </w:r>
        <w:r w:rsidR="00490B39">
          <w:rPr>
            <w:webHidden/>
          </w:rPr>
        </w:r>
        <w:r w:rsidR="00490B39">
          <w:rPr>
            <w:webHidden/>
          </w:rPr>
          <w:fldChar w:fldCharType="separate"/>
        </w:r>
        <w:r w:rsidR="00490B39">
          <w:rPr>
            <w:webHidden/>
          </w:rPr>
          <w:t>2</w:t>
        </w:r>
        <w:r w:rsidR="00490B39">
          <w:rPr>
            <w:webHidden/>
          </w:rPr>
          <w:fldChar w:fldCharType="end"/>
        </w:r>
      </w:hyperlink>
    </w:p>
    <w:p w14:paraId="35FA3892" w14:textId="2217EB0D" w:rsidR="00490B39" w:rsidRDefault="00327C02">
      <w:pPr>
        <w:pStyle w:val="TOC2"/>
        <w:rPr>
          <w:rFonts w:asciiTheme="minorHAnsi" w:eastAsiaTheme="minorEastAsia" w:hAnsiTheme="minorHAnsi" w:cstheme="minorBidi"/>
          <w:color w:val="auto"/>
          <w:szCs w:val="22"/>
        </w:rPr>
      </w:pPr>
      <w:hyperlink w:anchor="_Toc79424510" w:history="1">
        <w:r w:rsidR="00490B39" w:rsidRPr="005566A4">
          <w:rPr>
            <w:rStyle w:val="Hyperlink"/>
          </w:rPr>
          <w:t>Purpose</w:t>
        </w:r>
        <w:r w:rsidR="00490B39">
          <w:rPr>
            <w:webHidden/>
          </w:rPr>
          <w:tab/>
        </w:r>
        <w:r w:rsidR="00490B39">
          <w:rPr>
            <w:webHidden/>
          </w:rPr>
          <w:fldChar w:fldCharType="begin"/>
        </w:r>
        <w:r w:rsidR="00490B39">
          <w:rPr>
            <w:webHidden/>
          </w:rPr>
          <w:instrText xml:space="preserve"> PAGEREF _Toc79424510 \h </w:instrText>
        </w:r>
        <w:r w:rsidR="00490B39">
          <w:rPr>
            <w:webHidden/>
          </w:rPr>
        </w:r>
        <w:r w:rsidR="00490B39">
          <w:rPr>
            <w:webHidden/>
          </w:rPr>
          <w:fldChar w:fldCharType="separate"/>
        </w:r>
        <w:r w:rsidR="00490B39">
          <w:rPr>
            <w:webHidden/>
          </w:rPr>
          <w:t>2</w:t>
        </w:r>
        <w:r w:rsidR="00490B39">
          <w:rPr>
            <w:webHidden/>
          </w:rPr>
          <w:fldChar w:fldCharType="end"/>
        </w:r>
      </w:hyperlink>
    </w:p>
    <w:p w14:paraId="5B58F821" w14:textId="1D21D9C0" w:rsidR="00490B39" w:rsidRDefault="00327C02">
      <w:pPr>
        <w:pStyle w:val="TOC2"/>
        <w:rPr>
          <w:rFonts w:asciiTheme="minorHAnsi" w:eastAsiaTheme="minorEastAsia" w:hAnsiTheme="minorHAnsi" w:cstheme="minorBidi"/>
          <w:color w:val="auto"/>
          <w:szCs w:val="22"/>
        </w:rPr>
      </w:pPr>
      <w:hyperlink w:anchor="_Toc79424511" w:history="1">
        <w:r w:rsidR="00490B39" w:rsidRPr="005566A4">
          <w:rPr>
            <w:rStyle w:val="Hyperlink"/>
          </w:rPr>
          <w:t>Proposal 1: All NEM retail customers are eligible CDR consumers, irrespective of size</w:t>
        </w:r>
        <w:r w:rsidR="00490B39">
          <w:rPr>
            <w:webHidden/>
          </w:rPr>
          <w:tab/>
        </w:r>
        <w:r w:rsidR="00490B39">
          <w:rPr>
            <w:webHidden/>
          </w:rPr>
          <w:fldChar w:fldCharType="begin"/>
        </w:r>
        <w:r w:rsidR="00490B39">
          <w:rPr>
            <w:webHidden/>
          </w:rPr>
          <w:instrText xml:space="preserve"> PAGEREF _Toc79424511 \h </w:instrText>
        </w:r>
        <w:r w:rsidR="00490B39">
          <w:rPr>
            <w:webHidden/>
          </w:rPr>
        </w:r>
        <w:r w:rsidR="00490B39">
          <w:rPr>
            <w:webHidden/>
          </w:rPr>
          <w:fldChar w:fldCharType="separate"/>
        </w:r>
        <w:r w:rsidR="00490B39">
          <w:rPr>
            <w:webHidden/>
          </w:rPr>
          <w:t>3</w:t>
        </w:r>
        <w:r w:rsidR="00490B39">
          <w:rPr>
            <w:webHidden/>
          </w:rPr>
          <w:fldChar w:fldCharType="end"/>
        </w:r>
      </w:hyperlink>
    </w:p>
    <w:p w14:paraId="7F33F894" w14:textId="31E5D56F" w:rsidR="00490B39" w:rsidRDefault="00327C02">
      <w:pPr>
        <w:pStyle w:val="TOC2"/>
        <w:rPr>
          <w:rFonts w:asciiTheme="minorHAnsi" w:eastAsiaTheme="minorEastAsia" w:hAnsiTheme="minorHAnsi" w:cstheme="minorBidi"/>
          <w:color w:val="auto"/>
          <w:szCs w:val="22"/>
        </w:rPr>
      </w:pPr>
      <w:hyperlink w:anchor="_Toc79424512" w:history="1">
        <w:r w:rsidR="00490B39" w:rsidRPr="005566A4">
          <w:rPr>
            <w:rStyle w:val="Hyperlink"/>
          </w:rPr>
          <w:t>Proposal 2: Responding to correction requests for AEMO held CDR data</w:t>
        </w:r>
        <w:r w:rsidR="00490B39">
          <w:rPr>
            <w:webHidden/>
          </w:rPr>
          <w:tab/>
        </w:r>
        <w:r w:rsidR="00490B39">
          <w:rPr>
            <w:webHidden/>
          </w:rPr>
          <w:fldChar w:fldCharType="begin"/>
        </w:r>
        <w:r w:rsidR="00490B39">
          <w:rPr>
            <w:webHidden/>
          </w:rPr>
          <w:instrText xml:space="preserve"> PAGEREF _Toc79424512 \h </w:instrText>
        </w:r>
        <w:r w:rsidR="00490B39">
          <w:rPr>
            <w:webHidden/>
          </w:rPr>
        </w:r>
        <w:r w:rsidR="00490B39">
          <w:rPr>
            <w:webHidden/>
          </w:rPr>
          <w:fldChar w:fldCharType="separate"/>
        </w:r>
        <w:r w:rsidR="00490B39">
          <w:rPr>
            <w:webHidden/>
          </w:rPr>
          <w:t>3</w:t>
        </w:r>
        <w:r w:rsidR="00490B39">
          <w:rPr>
            <w:webHidden/>
          </w:rPr>
          <w:fldChar w:fldCharType="end"/>
        </w:r>
      </w:hyperlink>
    </w:p>
    <w:p w14:paraId="07D449DE" w14:textId="6B3E8F89" w:rsidR="00490B39" w:rsidRDefault="00327C02">
      <w:pPr>
        <w:pStyle w:val="TOC2"/>
        <w:rPr>
          <w:rFonts w:asciiTheme="minorHAnsi" w:eastAsiaTheme="minorEastAsia" w:hAnsiTheme="minorHAnsi" w:cstheme="minorBidi"/>
          <w:color w:val="auto"/>
          <w:szCs w:val="22"/>
        </w:rPr>
      </w:pPr>
      <w:hyperlink w:anchor="_Toc79424513" w:history="1">
        <w:r w:rsidR="00490B39" w:rsidRPr="005566A4">
          <w:rPr>
            <w:rStyle w:val="Hyperlink"/>
          </w:rPr>
          <w:t>Proposal 3: Staged application of rules to the energy sector</w:t>
        </w:r>
        <w:r w:rsidR="00490B39">
          <w:rPr>
            <w:webHidden/>
          </w:rPr>
          <w:tab/>
        </w:r>
        <w:r w:rsidR="00490B39">
          <w:rPr>
            <w:webHidden/>
          </w:rPr>
          <w:fldChar w:fldCharType="begin"/>
        </w:r>
        <w:r w:rsidR="00490B39">
          <w:rPr>
            <w:webHidden/>
          </w:rPr>
          <w:instrText xml:space="preserve"> PAGEREF _Toc79424513 \h </w:instrText>
        </w:r>
        <w:r w:rsidR="00490B39">
          <w:rPr>
            <w:webHidden/>
          </w:rPr>
        </w:r>
        <w:r w:rsidR="00490B39">
          <w:rPr>
            <w:webHidden/>
          </w:rPr>
          <w:fldChar w:fldCharType="separate"/>
        </w:r>
        <w:r w:rsidR="00490B39">
          <w:rPr>
            <w:webHidden/>
          </w:rPr>
          <w:t>4</w:t>
        </w:r>
        <w:r w:rsidR="00490B39">
          <w:rPr>
            <w:webHidden/>
          </w:rPr>
          <w:fldChar w:fldCharType="end"/>
        </w:r>
      </w:hyperlink>
    </w:p>
    <w:p w14:paraId="7622861D" w14:textId="0C2FBBFB" w:rsidR="00490B39" w:rsidRDefault="00327C02">
      <w:pPr>
        <w:pStyle w:val="TOC2"/>
        <w:rPr>
          <w:rFonts w:asciiTheme="minorHAnsi" w:eastAsiaTheme="minorEastAsia" w:hAnsiTheme="minorHAnsi" w:cstheme="minorBidi"/>
          <w:color w:val="auto"/>
          <w:szCs w:val="22"/>
        </w:rPr>
      </w:pPr>
      <w:hyperlink w:anchor="_Toc79424514" w:history="1">
        <w:r w:rsidR="00490B39" w:rsidRPr="005566A4">
          <w:rPr>
            <w:rStyle w:val="Hyperlink"/>
          </w:rPr>
          <w:t>Consultation questions</w:t>
        </w:r>
        <w:r w:rsidR="00490B39">
          <w:rPr>
            <w:webHidden/>
          </w:rPr>
          <w:tab/>
        </w:r>
        <w:r w:rsidR="00490B39">
          <w:rPr>
            <w:webHidden/>
          </w:rPr>
          <w:fldChar w:fldCharType="begin"/>
        </w:r>
        <w:r w:rsidR="00490B39">
          <w:rPr>
            <w:webHidden/>
          </w:rPr>
          <w:instrText xml:space="preserve"> PAGEREF _Toc79424514 \h </w:instrText>
        </w:r>
        <w:r w:rsidR="00490B39">
          <w:rPr>
            <w:webHidden/>
          </w:rPr>
        </w:r>
        <w:r w:rsidR="00490B39">
          <w:rPr>
            <w:webHidden/>
          </w:rPr>
          <w:fldChar w:fldCharType="separate"/>
        </w:r>
        <w:r w:rsidR="00490B39">
          <w:rPr>
            <w:webHidden/>
          </w:rPr>
          <w:t>5</w:t>
        </w:r>
        <w:r w:rsidR="00490B39">
          <w:rPr>
            <w:webHidden/>
          </w:rPr>
          <w:fldChar w:fldCharType="end"/>
        </w:r>
      </w:hyperlink>
    </w:p>
    <w:p w14:paraId="51246135" w14:textId="257FF6C8" w:rsidR="00F16C6C" w:rsidRDefault="00F16C6C" w:rsidP="00F16C6C">
      <w:pPr>
        <w:pStyle w:val="SingleParagraph"/>
        <w:tabs>
          <w:tab w:val="right" w:leader="dot" w:pos="9072"/>
        </w:tabs>
        <w:spacing w:before="240" w:after="120"/>
        <w:ind w:right="-2"/>
        <w:rPr>
          <w:b/>
          <w:noProof/>
          <w:color w:val="002760"/>
          <w:szCs w:val="22"/>
        </w:rPr>
      </w:pPr>
      <w:r>
        <w:rPr>
          <w:b/>
          <w:noProof/>
          <w:color w:val="002760"/>
          <w:szCs w:val="22"/>
        </w:rPr>
        <w:fldChar w:fldCharType="end"/>
      </w:r>
    </w:p>
    <w:p w14:paraId="6DFB12F0" w14:textId="77777777" w:rsidR="005731A8" w:rsidRPr="005731A8" w:rsidRDefault="005731A8" w:rsidP="005731A8">
      <w:pPr>
        <w:rPr>
          <w:lang w:eastAsia="en-AU"/>
        </w:rPr>
      </w:pPr>
    </w:p>
    <w:p w14:paraId="6487B03F" w14:textId="77777777" w:rsidR="005731A8" w:rsidRPr="005731A8" w:rsidRDefault="005731A8" w:rsidP="005731A8">
      <w:pPr>
        <w:rPr>
          <w:lang w:eastAsia="en-AU"/>
        </w:rPr>
      </w:pPr>
    </w:p>
    <w:p w14:paraId="2F65C456" w14:textId="77777777" w:rsidR="005731A8" w:rsidRPr="005731A8" w:rsidRDefault="005731A8" w:rsidP="005731A8">
      <w:pPr>
        <w:rPr>
          <w:lang w:eastAsia="en-AU"/>
        </w:rPr>
      </w:pPr>
    </w:p>
    <w:p w14:paraId="562191B1" w14:textId="77777777" w:rsidR="005731A8" w:rsidRPr="005731A8" w:rsidRDefault="005731A8" w:rsidP="005731A8">
      <w:pPr>
        <w:rPr>
          <w:lang w:eastAsia="en-AU"/>
        </w:rPr>
      </w:pPr>
    </w:p>
    <w:p w14:paraId="6C0741B5" w14:textId="77777777" w:rsidR="005731A8" w:rsidRPr="005731A8" w:rsidRDefault="005731A8" w:rsidP="005731A8">
      <w:pPr>
        <w:rPr>
          <w:lang w:eastAsia="en-AU"/>
        </w:rPr>
      </w:pPr>
    </w:p>
    <w:p w14:paraId="17982591" w14:textId="77777777" w:rsidR="005731A8" w:rsidRPr="005731A8" w:rsidRDefault="005731A8" w:rsidP="005731A8">
      <w:pPr>
        <w:rPr>
          <w:lang w:eastAsia="en-AU"/>
        </w:rPr>
      </w:pPr>
    </w:p>
    <w:p w14:paraId="0877E3CA" w14:textId="77777777" w:rsidR="005731A8" w:rsidRPr="005731A8" w:rsidRDefault="005731A8" w:rsidP="005731A8">
      <w:pPr>
        <w:rPr>
          <w:lang w:eastAsia="en-AU"/>
        </w:rPr>
      </w:pPr>
    </w:p>
    <w:p w14:paraId="6303FD8E" w14:textId="77777777" w:rsidR="005731A8" w:rsidRPr="005731A8" w:rsidRDefault="005731A8" w:rsidP="005731A8">
      <w:pPr>
        <w:rPr>
          <w:lang w:eastAsia="en-AU"/>
        </w:rPr>
      </w:pPr>
    </w:p>
    <w:p w14:paraId="7B8A3B4D" w14:textId="77777777" w:rsidR="005731A8" w:rsidRPr="005731A8" w:rsidRDefault="005731A8" w:rsidP="005731A8">
      <w:pPr>
        <w:rPr>
          <w:lang w:eastAsia="en-AU"/>
        </w:rPr>
      </w:pPr>
    </w:p>
    <w:p w14:paraId="260A6DB4" w14:textId="77777777" w:rsidR="005731A8" w:rsidRPr="005731A8" w:rsidRDefault="005731A8" w:rsidP="005731A8">
      <w:pPr>
        <w:rPr>
          <w:lang w:eastAsia="en-AU"/>
        </w:rPr>
      </w:pPr>
    </w:p>
    <w:p w14:paraId="44F55734" w14:textId="77777777" w:rsidR="005731A8" w:rsidRDefault="005731A8" w:rsidP="005731A8">
      <w:pPr>
        <w:rPr>
          <w:rFonts w:ascii="Calibri" w:eastAsia="Times New Roman" w:hAnsi="Calibri"/>
          <w:b/>
          <w:noProof/>
          <w:color w:val="002760"/>
          <w:lang w:eastAsia="en-AU"/>
        </w:rPr>
      </w:pPr>
    </w:p>
    <w:p w14:paraId="684A4816" w14:textId="53803F93" w:rsidR="005731A8" w:rsidRDefault="005731A8" w:rsidP="005731A8">
      <w:pPr>
        <w:tabs>
          <w:tab w:val="left" w:pos="2581"/>
        </w:tabs>
        <w:rPr>
          <w:rFonts w:ascii="Calibri" w:eastAsia="Times New Roman" w:hAnsi="Calibri"/>
          <w:b/>
          <w:noProof/>
          <w:color w:val="002760"/>
          <w:lang w:eastAsia="en-AU"/>
        </w:rPr>
      </w:pPr>
      <w:r>
        <w:rPr>
          <w:rFonts w:ascii="Calibri" w:eastAsia="Times New Roman" w:hAnsi="Calibri"/>
          <w:b/>
          <w:noProof/>
          <w:color w:val="002760"/>
          <w:lang w:eastAsia="en-AU"/>
        </w:rPr>
        <w:tab/>
      </w:r>
    </w:p>
    <w:p w14:paraId="2555C539" w14:textId="7EF9E2D7" w:rsidR="005731A8" w:rsidRPr="005731A8" w:rsidRDefault="005731A8" w:rsidP="005731A8">
      <w:pPr>
        <w:tabs>
          <w:tab w:val="left" w:pos="2581"/>
        </w:tabs>
        <w:rPr>
          <w:lang w:eastAsia="en-AU"/>
        </w:rPr>
        <w:sectPr w:rsidR="005731A8" w:rsidRPr="005731A8" w:rsidSect="00582C82">
          <w:footerReference w:type="first" r:id="rId10"/>
          <w:pgSz w:w="11906" w:h="16838" w:code="9"/>
          <w:pgMar w:top="1418" w:right="1418" w:bottom="1418" w:left="1418" w:header="709" w:footer="709" w:gutter="0"/>
          <w:pgNumType w:fmt="lowerRoman" w:start="1"/>
          <w:cols w:space="708"/>
          <w:titlePg/>
          <w:docGrid w:linePitch="360"/>
        </w:sectPr>
      </w:pPr>
      <w:r>
        <w:rPr>
          <w:lang w:eastAsia="en-AU"/>
        </w:rPr>
        <w:tab/>
      </w:r>
    </w:p>
    <w:p w14:paraId="667BEFC6" w14:textId="77777777" w:rsidR="00F16C6C" w:rsidRPr="00F85F51" w:rsidRDefault="00F16C6C" w:rsidP="00F16C6C">
      <w:pPr>
        <w:pStyle w:val="Heading1"/>
        <w:spacing w:after="120"/>
        <w:rPr>
          <w:color w:val="0D45D6"/>
        </w:rPr>
      </w:pPr>
      <w:bookmarkStart w:id="1" w:name="_Toc79424505"/>
      <w:r w:rsidRPr="00F85F51">
        <w:rPr>
          <w:color w:val="0D45D6"/>
        </w:rPr>
        <w:lastRenderedPageBreak/>
        <w:t xml:space="preserve">Consultation </w:t>
      </w:r>
      <w:r>
        <w:rPr>
          <w:color w:val="0D45D6"/>
        </w:rPr>
        <w:t>p</w:t>
      </w:r>
      <w:r w:rsidRPr="00F85F51">
        <w:rPr>
          <w:color w:val="0D45D6"/>
        </w:rPr>
        <w:t>rocess</w:t>
      </w:r>
      <w:bookmarkEnd w:id="1"/>
    </w:p>
    <w:p w14:paraId="3BAA777D" w14:textId="77777777" w:rsidR="00F16C6C" w:rsidRPr="003F29AE" w:rsidRDefault="00F16C6C" w:rsidP="00F16C6C">
      <w:pPr>
        <w:pStyle w:val="Heading2"/>
        <w:spacing w:before="240" w:after="120"/>
        <w:rPr>
          <w:color w:val="002760"/>
        </w:rPr>
      </w:pPr>
      <w:bookmarkStart w:id="2" w:name="_Toc79424506"/>
      <w:r w:rsidRPr="003F29AE">
        <w:rPr>
          <w:color w:val="002760"/>
        </w:rPr>
        <w:t>Request for feedback and comments</w:t>
      </w:r>
      <w:bookmarkEnd w:id="2"/>
    </w:p>
    <w:p w14:paraId="15B6DA38" w14:textId="29593CBB" w:rsidR="00F16C6C" w:rsidRPr="004C2CAA" w:rsidRDefault="00F16C6C" w:rsidP="00F16C6C">
      <w:pPr>
        <w:spacing w:before="240" w:after="120"/>
      </w:pPr>
      <w:r w:rsidRPr="00C17368">
        <w:t>Interested parties are invited to comment on the issues raised in this pape</w:t>
      </w:r>
      <w:r w:rsidRPr="004C2CAA">
        <w:t xml:space="preserve">r by </w:t>
      </w:r>
      <w:r w:rsidR="00AF2733" w:rsidRPr="004C2CAA">
        <w:t>13</w:t>
      </w:r>
      <w:r w:rsidRPr="004C2CAA">
        <w:t xml:space="preserve"> </w:t>
      </w:r>
      <w:r w:rsidR="00D705DA" w:rsidRPr="004C2CAA">
        <w:t>September</w:t>
      </w:r>
      <w:r w:rsidRPr="004C2CAA">
        <w:t xml:space="preserve"> 2021.</w:t>
      </w:r>
    </w:p>
    <w:p w14:paraId="22DE47B9" w14:textId="77777777" w:rsidR="00F16C6C" w:rsidRPr="004C2CAA" w:rsidRDefault="00F16C6C" w:rsidP="00F16C6C">
      <w:pPr>
        <w:spacing w:before="240" w:after="120"/>
      </w:pPr>
      <w:r w:rsidRPr="004C2CAA">
        <w:t>While submissions may be lodged electronically or by post, electronic lodgement is preferred. For accessibility reasons, please submit responses sent via email in a Word or RTF format. An additional PDF version may also be submitted.</w:t>
      </w:r>
    </w:p>
    <w:p w14:paraId="44725295" w14:textId="77777777" w:rsidR="00F16C6C" w:rsidRPr="004C2CAA" w:rsidRDefault="00F16C6C" w:rsidP="00F16C6C">
      <w:pPr>
        <w:pStyle w:val="Heading2"/>
        <w:spacing w:before="240" w:after="120"/>
        <w:rPr>
          <w:color w:val="002760"/>
        </w:rPr>
      </w:pPr>
      <w:bookmarkStart w:id="3" w:name="_Toc56603364"/>
      <w:bookmarkStart w:id="4" w:name="_Toc64298211"/>
      <w:bookmarkStart w:id="5" w:name="_Toc64983247"/>
      <w:bookmarkStart w:id="6" w:name="_Toc65075252"/>
      <w:bookmarkStart w:id="7" w:name="_Toc65141817"/>
      <w:bookmarkStart w:id="8" w:name="_Toc65163777"/>
      <w:bookmarkStart w:id="9" w:name="_Toc79424507"/>
      <w:r w:rsidRPr="004C2CAA">
        <w:rPr>
          <w:color w:val="002760"/>
        </w:rPr>
        <w:t>Publication of submissions and confidentiality</w:t>
      </w:r>
      <w:bookmarkEnd w:id="3"/>
      <w:bookmarkEnd w:id="4"/>
      <w:bookmarkEnd w:id="5"/>
      <w:bookmarkEnd w:id="6"/>
      <w:bookmarkEnd w:id="7"/>
      <w:bookmarkEnd w:id="8"/>
      <w:bookmarkEnd w:id="9"/>
      <w:r w:rsidRPr="004C2CAA">
        <w:rPr>
          <w:color w:val="002760"/>
        </w:rPr>
        <w:t xml:space="preserve"> </w:t>
      </w:r>
    </w:p>
    <w:p w14:paraId="70D6F7D1" w14:textId="77777777" w:rsidR="00F16C6C" w:rsidRPr="004C2CAA" w:rsidRDefault="00F16C6C" w:rsidP="00F16C6C">
      <w:pPr>
        <w:spacing w:before="240" w:after="120"/>
        <w:rPr>
          <w:rFonts w:cstheme="minorHAnsi"/>
        </w:rPr>
      </w:pPr>
      <w:r w:rsidRPr="004C2CAA">
        <w:rPr>
          <w:rFonts w:cstheme="minorHAnsi"/>
        </w:rPr>
        <w:t xml:space="preserve">All information (including name and address details) contained in formal submissions will be made available to the public on the Australian Treasury website, unless you indicate that you would like all or part of your submission to remain confidential. Automatically generated confidentiality statements in emails do not suffice for this purpose. Respondents who would like part of their submission to remain confidential should provide this information marked as such in a separate attachment. </w:t>
      </w:r>
    </w:p>
    <w:p w14:paraId="01EDF707" w14:textId="77777777" w:rsidR="00F16C6C" w:rsidRPr="004C2CAA" w:rsidRDefault="00F16C6C" w:rsidP="00F16C6C">
      <w:pPr>
        <w:spacing w:before="240" w:after="120"/>
        <w:rPr>
          <w:rFonts w:cstheme="minorHAnsi"/>
        </w:rPr>
      </w:pPr>
      <w:r w:rsidRPr="004C2CAA">
        <w:rPr>
          <w:rFonts w:cstheme="minorHAnsi"/>
        </w:rPr>
        <w:t xml:space="preserve">Legal requirements, such as those imposed by the </w:t>
      </w:r>
      <w:r w:rsidRPr="004C2CAA">
        <w:rPr>
          <w:rFonts w:cstheme="minorHAnsi"/>
          <w:i/>
        </w:rPr>
        <w:t>Freedom of Information Act 1982</w:t>
      </w:r>
      <w:r w:rsidRPr="004C2CAA">
        <w:rPr>
          <w:rFonts w:cstheme="minorHAnsi"/>
        </w:rPr>
        <w:t xml:space="preserve">, may affect the confidentiality of your submission. </w:t>
      </w:r>
    </w:p>
    <w:p w14:paraId="212A82D0" w14:textId="00701B8A" w:rsidR="00F16C6C" w:rsidRPr="00A22553" w:rsidRDefault="00F16C6C" w:rsidP="00F16C6C">
      <w:pPr>
        <w:keepNext/>
        <w:spacing w:before="240" w:after="120"/>
        <w:outlineLvl w:val="2"/>
        <w:rPr>
          <w:rFonts w:ascii="Calibri" w:eastAsia="Times New Roman" w:hAnsi="Calibri" w:cs="Calibri"/>
          <w:kern w:val="32"/>
          <w:sz w:val="28"/>
          <w:szCs w:val="26"/>
          <w:lang w:eastAsia="en-AU"/>
        </w:rPr>
      </w:pPr>
      <w:r w:rsidRPr="004C2CAA">
        <w:rPr>
          <w:rFonts w:ascii="Calibri" w:eastAsia="Times New Roman" w:hAnsi="Calibri" w:cs="Calibri"/>
          <w:kern w:val="32"/>
          <w:sz w:val="28"/>
          <w:szCs w:val="26"/>
          <w:lang w:eastAsia="en-AU"/>
        </w:rPr>
        <w:t xml:space="preserve">Closing date for submissions: </w:t>
      </w:r>
      <w:r w:rsidR="00AF2733" w:rsidRPr="004C2CAA">
        <w:rPr>
          <w:rFonts w:ascii="Calibri" w:eastAsia="Times New Roman" w:hAnsi="Calibri" w:cs="Calibri"/>
          <w:kern w:val="32"/>
          <w:sz w:val="28"/>
          <w:szCs w:val="26"/>
          <w:lang w:eastAsia="en-AU"/>
        </w:rPr>
        <w:t>13</w:t>
      </w:r>
      <w:r w:rsidRPr="004C2CAA">
        <w:rPr>
          <w:rFonts w:ascii="Calibri" w:eastAsia="Times New Roman" w:hAnsi="Calibri" w:cs="Calibri"/>
          <w:kern w:val="32"/>
          <w:sz w:val="28"/>
          <w:szCs w:val="26"/>
          <w:lang w:eastAsia="en-AU"/>
        </w:rPr>
        <w:t xml:space="preserve"> </w:t>
      </w:r>
      <w:r w:rsidR="00D705DA" w:rsidRPr="004C2CAA">
        <w:rPr>
          <w:rFonts w:ascii="Calibri" w:eastAsia="Times New Roman" w:hAnsi="Calibri" w:cs="Calibri"/>
          <w:kern w:val="32"/>
          <w:sz w:val="28"/>
          <w:szCs w:val="26"/>
          <w:lang w:eastAsia="en-AU"/>
        </w:rPr>
        <w:t>September</w:t>
      </w:r>
      <w:r w:rsidRPr="004C2CAA">
        <w:rPr>
          <w:rFonts w:ascii="Calibri" w:eastAsia="Times New Roman" w:hAnsi="Calibri" w:cs="Calibri"/>
          <w:kern w:val="32"/>
          <w:sz w:val="28"/>
          <w:szCs w:val="26"/>
          <w:lang w:eastAsia="en-AU"/>
        </w:rPr>
        <w:t xml:space="preserve"> 2021</w:t>
      </w:r>
    </w:p>
    <w:p w14:paraId="76E9330A" w14:textId="14EF520C" w:rsidR="00F16C6C" w:rsidRPr="00E74CDE" w:rsidRDefault="00F16C6C" w:rsidP="00F16C6C">
      <w:pPr>
        <w:spacing w:before="240" w:after="120"/>
        <w:rPr>
          <w:rFonts w:ascii="Calibri" w:eastAsia="Times New Roman" w:hAnsi="Calibri" w:cs="Calibri"/>
          <w:kern w:val="32"/>
          <w:lang w:eastAsia="en-AU"/>
        </w:rPr>
      </w:pPr>
      <w:r>
        <w:rPr>
          <w:rFonts w:ascii="Calibri" w:eastAsia="Times New Roman" w:hAnsi="Calibri" w:cs="Calibri"/>
          <w:kern w:val="32"/>
          <w:lang w:eastAsia="en-AU"/>
        </w:rPr>
        <w:t>Submissions and e</w:t>
      </w:r>
      <w:r w:rsidRPr="00E74CDE">
        <w:rPr>
          <w:rFonts w:ascii="Calibri" w:eastAsia="Times New Roman" w:hAnsi="Calibri" w:cs="Calibri"/>
          <w:kern w:val="32"/>
          <w:lang w:eastAsia="en-AU"/>
        </w:rPr>
        <w:t xml:space="preserve">nquiries can be directed to </w:t>
      </w:r>
      <w:hyperlink r:id="rId11" w:history="1">
        <w:r w:rsidRPr="00E74CDE">
          <w:rPr>
            <w:rStyle w:val="Hyperlink"/>
            <w:rFonts w:ascii="Calibri" w:eastAsia="Times New Roman" w:hAnsi="Calibri" w:cs="Calibri"/>
            <w:kern w:val="32"/>
            <w:lang w:eastAsia="en-AU"/>
          </w:rPr>
          <w:t>data@treasury.gov.au</w:t>
        </w:r>
      </w:hyperlink>
      <w:r w:rsidRPr="00E74CDE">
        <w:rPr>
          <w:rFonts w:ascii="Calibri" w:eastAsia="Times New Roman" w:hAnsi="Calibri" w:cs="Calibri"/>
          <w:kern w:val="32"/>
          <w:lang w:eastAsia="en-AU"/>
        </w:rPr>
        <w:t xml:space="preserve"> </w:t>
      </w:r>
    </w:p>
    <w:p w14:paraId="6B57F06E" w14:textId="77777777" w:rsidR="00F16C6C" w:rsidRDefault="00F16C6C" w:rsidP="00F16C6C">
      <w:pPr>
        <w:spacing w:before="240" w:after="120"/>
      </w:pPr>
    </w:p>
    <w:p w14:paraId="27AF9816" w14:textId="77777777" w:rsidR="00F16C6C" w:rsidRDefault="00F16C6C" w:rsidP="00F16C6C">
      <w:pPr>
        <w:spacing w:before="240" w:after="120"/>
      </w:pPr>
    </w:p>
    <w:p w14:paraId="166A3BAB" w14:textId="77777777" w:rsidR="00F16C6C" w:rsidRDefault="00F16C6C" w:rsidP="00F16C6C">
      <w:pPr>
        <w:spacing w:before="240" w:after="120" w:line="259" w:lineRule="auto"/>
      </w:pPr>
      <w:r>
        <w:br w:type="page"/>
      </w:r>
    </w:p>
    <w:p w14:paraId="047FC107" w14:textId="77777777" w:rsidR="00F16C6C" w:rsidRPr="00A45B01" w:rsidRDefault="00F16C6C" w:rsidP="00F16C6C">
      <w:pPr>
        <w:pStyle w:val="Heading1"/>
        <w:spacing w:after="120"/>
        <w:rPr>
          <w:color w:val="0D45D6"/>
        </w:rPr>
      </w:pPr>
      <w:bookmarkStart w:id="10" w:name="_Toc525555381"/>
      <w:bookmarkStart w:id="11" w:name="_Toc79424508"/>
      <w:r w:rsidRPr="00A45B01">
        <w:rPr>
          <w:color w:val="0D45D6"/>
        </w:rPr>
        <w:lastRenderedPageBreak/>
        <w:t xml:space="preserve">Consumer Data Right in the energy sector: </w:t>
      </w:r>
      <w:bookmarkEnd w:id="10"/>
      <w:r w:rsidRPr="00A45B01">
        <w:rPr>
          <w:i/>
          <w:iCs/>
          <w:color w:val="0D45D6"/>
        </w:rPr>
        <w:t>Proposals for further consultation</w:t>
      </w:r>
      <w:bookmarkEnd w:id="11"/>
    </w:p>
    <w:p w14:paraId="341CDBF9" w14:textId="77777777" w:rsidR="00F16C6C" w:rsidRPr="00A45B01" w:rsidRDefault="00F16C6C" w:rsidP="00F16C6C">
      <w:pPr>
        <w:pStyle w:val="Heading2"/>
        <w:spacing w:before="240" w:after="120"/>
        <w:rPr>
          <w:color w:val="002760"/>
        </w:rPr>
      </w:pPr>
      <w:bookmarkStart w:id="12" w:name="_Toc306887371"/>
      <w:bookmarkStart w:id="13" w:name="_Toc432064635"/>
      <w:bookmarkStart w:id="14" w:name="_Toc525555382"/>
      <w:bookmarkStart w:id="15" w:name="_Toc79424509"/>
      <w:r w:rsidRPr="00A45B01">
        <w:rPr>
          <w:color w:val="002760"/>
        </w:rPr>
        <w:t>Introduction</w:t>
      </w:r>
      <w:bookmarkEnd w:id="12"/>
      <w:bookmarkEnd w:id="13"/>
      <w:bookmarkEnd w:id="14"/>
      <w:bookmarkEnd w:id="15"/>
    </w:p>
    <w:p w14:paraId="522F9C4C" w14:textId="77777777" w:rsidR="00F16C6C" w:rsidRPr="00A45B01" w:rsidRDefault="00F16C6C" w:rsidP="00F16C6C">
      <w:pPr>
        <w:spacing w:before="240" w:after="120"/>
        <w:rPr>
          <w:rFonts w:cstheme="minorHAnsi"/>
        </w:rPr>
      </w:pPr>
      <w:bookmarkStart w:id="16" w:name="_Toc306887372"/>
      <w:bookmarkStart w:id="17" w:name="_Toc432064636"/>
      <w:r w:rsidRPr="00A45B01">
        <w:rPr>
          <w:rFonts w:cstheme="minorHAnsi"/>
        </w:rPr>
        <w:t>The Consumer Data Right (CDR) is an economy-wide regime which gives consumers access to and control over their data, and the ability to obtain products and services from accredited persons using CDR data.</w:t>
      </w:r>
      <w:r w:rsidRPr="00A45B01">
        <w:rPr>
          <w:rStyle w:val="CommentReference"/>
          <w:rFonts w:cstheme="minorHAnsi"/>
          <w:sz w:val="22"/>
          <w:szCs w:val="22"/>
        </w:rPr>
        <w:t xml:space="preserve"> </w:t>
      </w:r>
    </w:p>
    <w:p w14:paraId="078BFC56" w14:textId="42CF04E8" w:rsidR="00F16C6C" w:rsidRPr="00A45B01" w:rsidRDefault="00F16C6C" w:rsidP="00F16C6C">
      <w:pPr>
        <w:tabs>
          <w:tab w:val="left" w:pos="1418"/>
        </w:tabs>
        <w:spacing w:before="240" w:after="120"/>
        <w:rPr>
          <w:rFonts w:cstheme="minorHAnsi"/>
        </w:rPr>
      </w:pPr>
      <w:r w:rsidRPr="00A45B01">
        <w:rPr>
          <w:rFonts w:cstheme="minorHAnsi"/>
        </w:rPr>
        <w:t xml:space="preserve">The exposure draft of the </w:t>
      </w:r>
      <w:r w:rsidRPr="00A45B01">
        <w:rPr>
          <w:i/>
        </w:rPr>
        <w:t xml:space="preserve">Competition and Consumer (Consumer Data Right) Amendment Rules </w:t>
      </w:r>
      <w:r w:rsidRPr="00A45B01">
        <w:rPr>
          <w:i/>
        </w:rPr>
        <w:br/>
        <w:t xml:space="preserve">(No. 2) 2021 </w:t>
      </w:r>
      <w:r w:rsidRPr="00A45B01">
        <w:rPr>
          <w:rFonts w:cstheme="minorHAnsi"/>
        </w:rPr>
        <w:t>includes amendments that extend the CDR regime to the energy sector and other minor amendments</w:t>
      </w:r>
      <w:r w:rsidR="00AF587A" w:rsidRPr="00A45B01">
        <w:rPr>
          <w:rFonts w:cstheme="minorHAnsi"/>
        </w:rPr>
        <w:t xml:space="preserve"> </w:t>
      </w:r>
      <w:bookmarkStart w:id="18" w:name="_Hlk77068612"/>
      <w:r w:rsidR="00AF587A" w:rsidRPr="00A45B01">
        <w:rPr>
          <w:rFonts w:cstheme="minorHAnsi"/>
        </w:rPr>
        <w:t>(relevant amendments are shown in red mark-up)</w:t>
      </w:r>
      <w:bookmarkEnd w:id="18"/>
      <w:r w:rsidRPr="00A45B01">
        <w:rPr>
          <w:rFonts w:cstheme="minorHAnsi"/>
        </w:rPr>
        <w:t xml:space="preserve">. </w:t>
      </w:r>
    </w:p>
    <w:p w14:paraId="205C11DC" w14:textId="77777777" w:rsidR="00F16C6C" w:rsidRPr="00A45B01" w:rsidRDefault="00F16C6C" w:rsidP="00F16C6C">
      <w:pPr>
        <w:tabs>
          <w:tab w:val="left" w:pos="1418"/>
        </w:tabs>
        <w:spacing w:before="240" w:after="120"/>
        <w:rPr>
          <w:rFonts w:cstheme="minorHAnsi"/>
        </w:rPr>
      </w:pPr>
      <w:r w:rsidRPr="00A45B01">
        <w:rPr>
          <w:rFonts w:cstheme="minorHAnsi"/>
        </w:rPr>
        <w:t xml:space="preserve">Treasury is undertaking consultation on a number of discrete issues to incorporate stakeholder views into the finalised rules. </w:t>
      </w:r>
    </w:p>
    <w:p w14:paraId="0725FB9E" w14:textId="3C2B5201" w:rsidR="00F16C6C" w:rsidRPr="00A45B01" w:rsidRDefault="00F16C6C" w:rsidP="00F16C6C">
      <w:pPr>
        <w:tabs>
          <w:tab w:val="left" w:pos="1418"/>
        </w:tabs>
        <w:spacing w:before="240" w:after="120"/>
        <w:rPr>
          <w:rFonts w:cstheme="minorHAnsi"/>
        </w:rPr>
      </w:pPr>
      <w:r w:rsidRPr="00A45B01">
        <w:rPr>
          <w:rFonts w:cstheme="minorHAnsi"/>
        </w:rPr>
        <w:t xml:space="preserve">We are also seeking views on particular issues relating to regulatory impacts and costs of implementing the CDR in energy taking into account the settled policy position of the application the peer-to-peer model that was announced on </w:t>
      </w:r>
      <w:hyperlink r:id="rId12" w:history="1">
        <w:r w:rsidRPr="00A45B01">
          <w:rPr>
            <w:rStyle w:val="Hyperlink"/>
            <w:rFonts w:cstheme="minorHAnsi"/>
          </w:rPr>
          <w:t>30 April 2021</w:t>
        </w:r>
      </w:hyperlink>
      <w:r w:rsidRPr="00A45B01">
        <w:rPr>
          <w:rFonts w:cstheme="minorHAnsi"/>
        </w:rPr>
        <w:t xml:space="preserve">. </w:t>
      </w:r>
    </w:p>
    <w:p w14:paraId="573295F1" w14:textId="77777777" w:rsidR="00F16C6C" w:rsidRPr="00A45B01" w:rsidRDefault="00F16C6C" w:rsidP="00F16C6C">
      <w:pPr>
        <w:pStyle w:val="Heading2"/>
        <w:spacing w:before="240" w:after="120"/>
        <w:rPr>
          <w:color w:val="002760"/>
        </w:rPr>
      </w:pPr>
      <w:bookmarkStart w:id="19" w:name="_Toc525555383"/>
      <w:bookmarkStart w:id="20" w:name="_Toc79424510"/>
      <w:r w:rsidRPr="00A45B01">
        <w:rPr>
          <w:color w:val="002760"/>
        </w:rPr>
        <w:t>Purpose</w:t>
      </w:r>
      <w:bookmarkEnd w:id="16"/>
      <w:bookmarkEnd w:id="17"/>
      <w:bookmarkEnd w:id="19"/>
      <w:bookmarkEnd w:id="20"/>
    </w:p>
    <w:p w14:paraId="4AAF2B92" w14:textId="77777777" w:rsidR="00F16C6C" w:rsidRPr="00A45B01" w:rsidRDefault="00F16C6C" w:rsidP="00F16C6C">
      <w:pPr>
        <w:tabs>
          <w:tab w:val="left" w:pos="1418"/>
        </w:tabs>
        <w:spacing w:before="240" w:after="120"/>
        <w:rPr>
          <w:rFonts w:cstheme="minorHAnsi"/>
        </w:rPr>
      </w:pPr>
      <w:r w:rsidRPr="00A45B01">
        <w:rPr>
          <w:rFonts w:cstheme="minorHAnsi"/>
        </w:rPr>
        <w:t>The following measures have been proposed in the exposure draft rules:</w:t>
      </w:r>
    </w:p>
    <w:p w14:paraId="3D2764E5" w14:textId="2DA514C5" w:rsidR="00F16C6C" w:rsidRPr="00A45B01" w:rsidRDefault="00F16C6C" w:rsidP="00F16C6C">
      <w:pPr>
        <w:pStyle w:val="Bullet"/>
        <w:spacing w:before="120"/>
        <w:rPr>
          <w:rFonts w:asciiTheme="minorHAnsi" w:hAnsiTheme="minorHAnsi" w:cstheme="minorHAnsi"/>
          <w:sz w:val="22"/>
          <w:szCs w:val="22"/>
        </w:rPr>
      </w:pPr>
      <w:r w:rsidRPr="00A45B01">
        <w:rPr>
          <w:rFonts w:asciiTheme="minorHAnsi" w:hAnsiTheme="minorHAnsi" w:cstheme="minorHAnsi"/>
          <w:sz w:val="22"/>
          <w:szCs w:val="22"/>
        </w:rPr>
        <w:t xml:space="preserve">Proposal 1: </w:t>
      </w:r>
      <w:r w:rsidR="006C74BB" w:rsidRPr="00A45B01">
        <w:rPr>
          <w:rFonts w:asciiTheme="minorHAnsi" w:hAnsiTheme="minorHAnsi" w:cstheme="minorHAnsi"/>
          <w:sz w:val="22"/>
          <w:szCs w:val="22"/>
        </w:rPr>
        <w:t xml:space="preserve">all </w:t>
      </w:r>
      <w:r w:rsidR="00C8064E" w:rsidRPr="00A45B01">
        <w:rPr>
          <w:rFonts w:asciiTheme="minorHAnsi" w:hAnsiTheme="minorHAnsi" w:cstheme="minorHAnsi"/>
          <w:sz w:val="22"/>
          <w:szCs w:val="22"/>
        </w:rPr>
        <w:t>NEM</w:t>
      </w:r>
      <w:r w:rsidR="006C74BB" w:rsidRPr="00A45B01">
        <w:rPr>
          <w:rFonts w:asciiTheme="minorHAnsi" w:hAnsiTheme="minorHAnsi" w:cstheme="minorHAnsi"/>
          <w:sz w:val="22"/>
          <w:szCs w:val="22"/>
        </w:rPr>
        <w:t xml:space="preserve"> </w:t>
      </w:r>
      <w:r w:rsidR="0026674C" w:rsidRPr="00A45B01">
        <w:rPr>
          <w:rFonts w:asciiTheme="minorHAnsi" w:hAnsiTheme="minorHAnsi" w:cstheme="minorHAnsi"/>
          <w:sz w:val="22"/>
          <w:szCs w:val="22"/>
        </w:rPr>
        <w:t xml:space="preserve">retail customers </w:t>
      </w:r>
      <w:r w:rsidR="006C74BB" w:rsidRPr="00A45B01">
        <w:rPr>
          <w:rFonts w:asciiTheme="minorHAnsi" w:hAnsiTheme="minorHAnsi" w:cstheme="minorHAnsi"/>
          <w:sz w:val="22"/>
          <w:szCs w:val="22"/>
        </w:rPr>
        <w:t>are eligible CDR consumers</w:t>
      </w:r>
      <w:r w:rsidR="0026674C" w:rsidRPr="00A45B01">
        <w:rPr>
          <w:rFonts w:asciiTheme="minorHAnsi" w:hAnsiTheme="minorHAnsi" w:cstheme="minorHAnsi"/>
          <w:sz w:val="22"/>
          <w:szCs w:val="22"/>
        </w:rPr>
        <w:t>, irrespective of size</w:t>
      </w:r>
    </w:p>
    <w:p w14:paraId="2B566B67" w14:textId="26767809" w:rsidR="00F16C6C" w:rsidRPr="00A45B01" w:rsidRDefault="00F16C6C" w:rsidP="00F16C6C">
      <w:pPr>
        <w:pStyle w:val="Dash"/>
        <w:spacing w:before="120"/>
        <w:rPr>
          <w:rFonts w:asciiTheme="minorHAnsi" w:hAnsiTheme="minorHAnsi" w:cstheme="minorHAnsi"/>
          <w:sz w:val="22"/>
          <w:szCs w:val="22"/>
        </w:rPr>
      </w:pPr>
      <w:r w:rsidRPr="00A45B01">
        <w:rPr>
          <w:rFonts w:asciiTheme="minorHAnsi" w:hAnsiTheme="minorHAnsi" w:cstheme="minorHAnsi"/>
          <w:sz w:val="22"/>
          <w:szCs w:val="22"/>
        </w:rPr>
        <w:t>The rules</w:t>
      </w:r>
      <w:r w:rsidR="006C74BB" w:rsidRPr="00A45B01">
        <w:rPr>
          <w:rFonts w:asciiTheme="minorHAnsi" w:hAnsiTheme="minorHAnsi" w:cstheme="minorHAnsi"/>
          <w:sz w:val="22"/>
          <w:szCs w:val="22"/>
        </w:rPr>
        <w:t xml:space="preserve"> </w:t>
      </w:r>
      <w:r w:rsidR="00F96891" w:rsidRPr="00A45B01">
        <w:rPr>
          <w:rFonts w:asciiTheme="minorHAnsi" w:hAnsiTheme="minorHAnsi" w:cstheme="minorHAnsi"/>
          <w:sz w:val="22"/>
          <w:szCs w:val="22"/>
        </w:rPr>
        <w:t>require</w:t>
      </w:r>
      <w:r w:rsidR="006C74BB" w:rsidRPr="00A45B01">
        <w:rPr>
          <w:rFonts w:asciiTheme="minorHAnsi" w:hAnsiTheme="minorHAnsi" w:cstheme="minorHAnsi"/>
          <w:sz w:val="22"/>
          <w:szCs w:val="22"/>
        </w:rPr>
        <w:t xml:space="preserve"> data holders to share </w:t>
      </w:r>
      <w:r w:rsidR="00F96891" w:rsidRPr="00A45B01">
        <w:rPr>
          <w:rFonts w:asciiTheme="minorHAnsi" w:hAnsiTheme="minorHAnsi" w:cstheme="minorHAnsi"/>
          <w:sz w:val="22"/>
          <w:szCs w:val="22"/>
        </w:rPr>
        <w:t xml:space="preserve">energy </w:t>
      </w:r>
      <w:r w:rsidR="00AF73E1" w:rsidRPr="00A45B01">
        <w:rPr>
          <w:rFonts w:asciiTheme="minorHAnsi" w:hAnsiTheme="minorHAnsi" w:cstheme="minorHAnsi"/>
          <w:sz w:val="22"/>
          <w:szCs w:val="22"/>
        </w:rPr>
        <w:t>CDR</w:t>
      </w:r>
      <w:r w:rsidR="00F96891" w:rsidRPr="00A45B01">
        <w:rPr>
          <w:rFonts w:asciiTheme="minorHAnsi" w:hAnsiTheme="minorHAnsi" w:cstheme="minorHAnsi"/>
          <w:sz w:val="22"/>
          <w:szCs w:val="22"/>
        </w:rPr>
        <w:t xml:space="preserve"> data </w:t>
      </w:r>
      <w:r w:rsidR="006C74BB" w:rsidRPr="00A45B01">
        <w:rPr>
          <w:rFonts w:asciiTheme="minorHAnsi" w:hAnsiTheme="minorHAnsi" w:cstheme="minorHAnsi"/>
          <w:sz w:val="22"/>
          <w:szCs w:val="22"/>
        </w:rPr>
        <w:t xml:space="preserve">in relation to </w:t>
      </w:r>
      <w:r w:rsidR="0026674C" w:rsidRPr="00A45B01">
        <w:rPr>
          <w:rFonts w:asciiTheme="minorHAnsi" w:hAnsiTheme="minorHAnsi" w:cstheme="minorHAnsi"/>
          <w:sz w:val="22"/>
          <w:szCs w:val="22"/>
        </w:rPr>
        <w:t xml:space="preserve">all retail </w:t>
      </w:r>
      <w:r w:rsidR="00865003" w:rsidRPr="00A45B01">
        <w:rPr>
          <w:rFonts w:asciiTheme="minorHAnsi" w:hAnsiTheme="minorHAnsi" w:cstheme="minorHAnsi"/>
          <w:sz w:val="22"/>
          <w:szCs w:val="22"/>
        </w:rPr>
        <w:t xml:space="preserve">customers </w:t>
      </w:r>
      <w:r w:rsidR="006C74BB" w:rsidRPr="00A45B01">
        <w:rPr>
          <w:rFonts w:asciiTheme="minorHAnsi" w:hAnsiTheme="minorHAnsi" w:cstheme="minorHAnsi"/>
          <w:sz w:val="22"/>
          <w:szCs w:val="22"/>
        </w:rPr>
        <w:t>in the National Electricity Market</w:t>
      </w:r>
      <w:r w:rsidR="00970E4B" w:rsidRPr="00A45B01">
        <w:rPr>
          <w:rFonts w:asciiTheme="minorHAnsi" w:hAnsiTheme="minorHAnsi" w:cstheme="minorHAnsi"/>
          <w:sz w:val="22"/>
          <w:szCs w:val="22"/>
        </w:rPr>
        <w:t xml:space="preserve"> (NEM)</w:t>
      </w:r>
      <w:r w:rsidR="00F96891" w:rsidRPr="00A45B01">
        <w:rPr>
          <w:rFonts w:asciiTheme="minorHAnsi" w:hAnsiTheme="minorHAnsi" w:cstheme="minorHAnsi"/>
          <w:sz w:val="22"/>
          <w:szCs w:val="22"/>
        </w:rPr>
        <w:t xml:space="preserve">, irrespective of </w:t>
      </w:r>
      <w:r w:rsidR="00A1675D" w:rsidRPr="00A45B01">
        <w:rPr>
          <w:rFonts w:asciiTheme="minorHAnsi" w:hAnsiTheme="minorHAnsi" w:cstheme="minorHAnsi"/>
          <w:sz w:val="22"/>
          <w:szCs w:val="22"/>
        </w:rPr>
        <w:t>their level of consumption</w:t>
      </w:r>
      <w:r w:rsidR="006C74BB" w:rsidRPr="00A45B01">
        <w:rPr>
          <w:rFonts w:asciiTheme="minorHAnsi" w:hAnsiTheme="minorHAnsi" w:cstheme="minorHAnsi"/>
          <w:sz w:val="22"/>
          <w:szCs w:val="22"/>
        </w:rPr>
        <w:t>.</w:t>
      </w:r>
      <w:r w:rsidR="00E94E60" w:rsidRPr="00A45B01">
        <w:rPr>
          <w:rStyle w:val="FootnoteReference"/>
          <w:rFonts w:asciiTheme="minorHAnsi" w:hAnsiTheme="minorHAnsi" w:cstheme="minorHAnsi"/>
          <w:sz w:val="22"/>
          <w:szCs w:val="22"/>
        </w:rPr>
        <w:footnoteReference w:id="2"/>
      </w:r>
      <w:r w:rsidR="00423A25" w:rsidRPr="00A45B01">
        <w:rPr>
          <w:rFonts w:asciiTheme="minorHAnsi" w:hAnsiTheme="minorHAnsi" w:cstheme="minorHAnsi"/>
          <w:sz w:val="22"/>
          <w:szCs w:val="22"/>
        </w:rPr>
        <w:t xml:space="preserve"> </w:t>
      </w:r>
      <w:r w:rsidR="00970E4B" w:rsidRPr="00A45B01">
        <w:rPr>
          <w:rFonts w:asciiTheme="minorHAnsi" w:hAnsiTheme="minorHAnsi" w:cstheme="minorHAnsi"/>
          <w:sz w:val="22"/>
          <w:szCs w:val="22"/>
        </w:rPr>
        <w:t xml:space="preserve"> </w:t>
      </w:r>
    </w:p>
    <w:p w14:paraId="2D630977" w14:textId="77777777" w:rsidR="00F16C6C" w:rsidRPr="00A45B01" w:rsidRDefault="00F16C6C" w:rsidP="00F16C6C">
      <w:pPr>
        <w:pStyle w:val="Bullet"/>
        <w:spacing w:before="120"/>
        <w:rPr>
          <w:rFonts w:asciiTheme="minorHAnsi" w:hAnsiTheme="minorHAnsi" w:cstheme="minorHAnsi"/>
          <w:sz w:val="22"/>
          <w:szCs w:val="22"/>
        </w:rPr>
      </w:pPr>
      <w:r w:rsidRPr="00A45B01">
        <w:rPr>
          <w:rFonts w:asciiTheme="minorHAnsi" w:hAnsiTheme="minorHAnsi" w:cstheme="minorHAnsi"/>
          <w:sz w:val="22"/>
          <w:szCs w:val="22"/>
        </w:rPr>
        <w:t>Proposal 2: process for responding to correction requests for AEMO-held CDR data</w:t>
      </w:r>
    </w:p>
    <w:p w14:paraId="4B6ED2CD" w14:textId="77777777" w:rsidR="00F16C6C" w:rsidRPr="00A45B01" w:rsidRDefault="00F16C6C" w:rsidP="00F16C6C">
      <w:pPr>
        <w:pStyle w:val="Dash"/>
        <w:spacing w:before="120"/>
        <w:rPr>
          <w:rFonts w:asciiTheme="minorHAnsi" w:hAnsiTheme="minorHAnsi" w:cstheme="minorHAnsi"/>
          <w:sz w:val="22"/>
          <w:szCs w:val="22"/>
        </w:rPr>
      </w:pPr>
      <w:r w:rsidRPr="00A45B01">
        <w:rPr>
          <w:rFonts w:asciiTheme="minorHAnsi" w:hAnsiTheme="minorHAnsi" w:cstheme="minorHAnsi"/>
          <w:sz w:val="22"/>
          <w:szCs w:val="22"/>
        </w:rPr>
        <w:t xml:space="preserve">The rules provide a process for the correction of AEMO-held CDR data that utilises existing data correction processes in the National Electricity Rules for NMI standing data and metering data, and requires retailers to initiate correction of distributed energy resources (DER) register data with the relevant distributor. </w:t>
      </w:r>
    </w:p>
    <w:p w14:paraId="7599E1A1" w14:textId="77777777" w:rsidR="00F16C6C" w:rsidRPr="00A45B01" w:rsidRDefault="00F16C6C" w:rsidP="00F16C6C">
      <w:pPr>
        <w:pStyle w:val="Bullet"/>
        <w:spacing w:before="120"/>
        <w:rPr>
          <w:rFonts w:asciiTheme="minorHAnsi" w:hAnsiTheme="minorHAnsi" w:cstheme="minorHAnsi"/>
          <w:sz w:val="22"/>
          <w:szCs w:val="22"/>
        </w:rPr>
      </w:pPr>
      <w:r w:rsidRPr="00A45B01">
        <w:rPr>
          <w:rFonts w:asciiTheme="minorHAnsi" w:hAnsiTheme="minorHAnsi" w:cstheme="minorHAnsi"/>
          <w:sz w:val="22"/>
          <w:szCs w:val="22"/>
        </w:rPr>
        <w:t>Proposal 3: staged application of rules to the energy sector</w:t>
      </w:r>
    </w:p>
    <w:p w14:paraId="2B71D18E" w14:textId="77777777" w:rsidR="00F16C6C" w:rsidRPr="00A45B01" w:rsidRDefault="00F16C6C" w:rsidP="00F16C6C">
      <w:pPr>
        <w:pStyle w:val="Dash"/>
        <w:spacing w:before="120"/>
        <w:rPr>
          <w:rFonts w:asciiTheme="minorHAnsi" w:hAnsiTheme="minorHAnsi" w:cstheme="minorHAnsi"/>
          <w:sz w:val="22"/>
          <w:szCs w:val="22"/>
        </w:rPr>
      </w:pPr>
      <w:r w:rsidRPr="00A45B01">
        <w:rPr>
          <w:rFonts w:asciiTheme="minorHAnsi" w:hAnsiTheme="minorHAnsi" w:cstheme="minorHAnsi"/>
          <w:sz w:val="22"/>
          <w:szCs w:val="22"/>
        </w:rPr>
        <w:t>The rules provide a staged implementation of CDR obligations in the energy sector in two tranches.</w:t>
      </w:r>
    </w:p>
    <w:p w14:paraId="4880F600" w14:textId="050BD4E6" w:rsidR="00757F65" w:rsidRPr="00A45B01" w:rsidRDefault="00F16C6C" w:rsidP="00F16C6C">
      <w:pPr>
        <w:pStyle w:val="Dash"/>
        <w:numPr>
          <w:ilvl w:val="0"/>
          <w:numId w:val="0"/>
        </w:numPr>
        <w:rPr>
          <w:rFonts w:asciiTheme="minorHAnsi" w:hAnsiTheme="minorHAnsi" w:cstheme="minorHAnsi"/>
          <w:sz w:val="22"/>
          <w:szCs w:val="22"/>
        </w:rPr>
      </w:pPr>
      <w:r w:rsidRPr="00A45B01">
        <w:rPr>
          <w:rFonts w:asciiTheme="minorHAnsi" w:hAnsiTheme="minorHAnsi" w:cstheme="minorHAnsi"/>
          <w:sz w:val="22"/>
          <w:szCs w:val="22"/>
        </w:rPr>
        <w:t xml:space="preserve">Treasury also seeks submissions on the regulatory impact and costs of the CDR in energy as proposed to be implemented in the exposure draft rules and regulations. </w:t>
      </w:r>
    </w:p>
    <w:p w14:paraId="1F290E07" w14:textId="59CD6D3E" w:rsidR="00F16C6C" w:rsidRPr="00A45B01" w:rsidRDefault="00757F65" w:rsidP="00757F65">
      <w:pPr>
        <w:spacing w:before="0" w:after="160" w:line="259" w:lineRule="auto"/>
        <w:rPr>
          <w:rFonts w:eastAsia="Times New Roman" w:cstheme="minorHAnsi"/>
          <w:lang w:eastAsia="en-AU"/>
        </w:rPr>
      </w:pPr>
      <w:r w:rsidRPr="00A45B01">
        <w:rPr>
          <w:rFonts w:cstheme="minorHAnsi"/>
        </w:rPr>
        <w:br w:type="page"/>
      </w:r>
    </w:p>
    <w:p w14:paraId="166A276F" w14:textId="37BB9764" w:rsidR="00F16C6C" w:rsidRPr="00A45B01" w:rsidRDefault="00F16C6C" w:rsidP="00F16C6C">
      <w:pPr>
        <w:pStyle w:val="Heading2"/>
        <w:spacing w:before="240" w:after="120"/>
        <w:rPr>
          <w:color w:val="002760"/>
        </w:rPr>
      </w:pPr>
      <w:bookmarkStart w:id="21" w:name="_Toc525555384"/>
      <w:bookmarkStart w:id="22" w:name="_Toc79424511"/>
      <w:r w:rsidRPr="00A45B01">
        <w:rPr>
          <w:color w:val="002760"/>
        </w:rPr>
        <w:lastRenderedPageBreak/>
        <w:t xml:space="preserve">Proposal 1: </w:t>
      </w:r>
      <w:bookmarkEnd w:id="21"/>
      <w:r w:rsidR="006C74BB" w:rsidRPr="00A45B01">
        <w:rPr>
          <w:color w:val="002760"/>
        </w:rPr>
        <w:t xml:space="preserve">All </w:t>
      </w:r>
      <w:r w:rsidR="00352402" w:rsidRPr="00A45B01">
        <w:rPr>
          <w:color w:val="002760"/>
        </w:rPr>
        <w:t>NEM</w:t>
      </w:r>
      <w:r w:rsidR="0026674C" w:rsidRPr="00A45B01">
        <w:rPr>
          <w:color w:val="002760"/>
        </w:rPr>
        <w:t xml:space="preserve"> retail customers are eligible CDR consumers, irrespective of size</w:t>
      </w:r>
      <w:bookmarkEnd w:id="22"/>
      <w:r w:rsidRPr="00A45B01">
        <w:rPr>
          <w:color w:val="002760"/>
        </w:rPr>
        <w:t xml:space="preserve"> </w:t>
      </w:r>
    </w:p>
    <w:p w14:paraId="41681EB8" w14:textId="214CA72B" w:rsidR="00EC47B5" w:rsidRPr="00A45B01" w:rsidRDefault="00EC47B5" w:rsidP="00EC47B5">
      <w:pPr>
        <w:pStyle w:val="base-text-paragraph"/>
        <w:keepNext/>
        <w:spacing w:before="240"/>
        <w:ind w:left="0"/>
        <w:rPr>
          <w:rFonts w:asciiTheme="minorHAnsi" w:hAnsiTheme="minorHAnsi" w:cstheme="minorHAnsi"/>
          <w:i/>
          <w:iCs/>
          <w:sz w:val="22"/>
          <w:szCs w:val="22"/>
        </w:rPr>
      </w:pPr>
      <w:r w:rsidRPr="00A45B01">
        <w:rPr>
          <w:rFonts w:asciiTheme="minorHAnsi" w:hAnsiTheme="minorHAnsi" w:cstheme="minorHAnsi"/>
          <w:i/>
          <w:iCs/>
          <w:sz w:val="22"/>
          <w:szCs w:val="22"/>
        </w:rPr>
        <w:t xml:space="preserve">Relevant rules: Rule 1.10B and Schedule 4, Part 2 </w:t>
      </w:r>
    </w:p>
    <w:p w14:paraId="0852D9D8" w14:textId="77777777" w:rsidR="00F96891" w:rsidRPr="00A45B01" w:rsidRDefault="00F16C6C" w:rsidP="00F16C6C">
      <w:pPr>
        <w:keepNext/>
        <w:spacing w:before="240" w:after="120"/>
        <w:rPr>
          <w:rFonts w:cstheme="minorHAnsi"/>
        </w:rPr>
      </w:pPr>
      <w:r w:rsidRPr="00A45B01">
        <w:rPr>
          <w:rFonts w:cstheme="minorHAnsi"/>
        </w:rPr>
        <w:t xml:space="preserve">In order to be able to share energy CDR data, a CDR consumer must be an ‘eligible’ CDR consumer by meeting several eligibility criteria as set out in the rules. </w:t>
      </w:r>
    </w:p>
    <w:p w14:paraId="09CCAE66" w14:textId="69807C55" w:rsidR="00F16C6C" w:rsidRPr="00A45B01" w:rsidRDefault="00865003" w:rsidP="002570ED">
      <w:pPr>
        <w:keepNext/>
        <w:spacing w:before="240" w:after="120"/>
        <w:rPr>
          <w:rFonts w:cstheme="minorHAnsi"/>
        </w:rPr>
      </w:pPr>
      <w:r w:rsidRPr="00A45B01">
        <w:rPr>
          <w:rFonts w:cstheme="minorHAnsi"/>
        </w:rPr>
        <w:t xml:space="preserve">The rules </w:t>
      </w:r>
      <w:r w:rsidR="007820B6" w:rsidRPr="00A45B01">
        <w:rPr>
          <w:rFonts w:cstheme="minorHAnsi"/>
        </w:rPr>
        <w:t>enable</w:t>
      </w:r>
      <w:r w:rsidR="00F91770" w:rsidRPr="00A45B01">
        <w:rPr>
          <w:rFonts w:cstheme="minorHAnsi"/>
        </w:rPr>
        <w:t xml:space="preserve"> retail</w:t>
      </w:r>
      <w:r w:rsidR="007820B6" w:rsidRPr="00A45B01">
        <w:rPr>
          <w:rFonts w:cstheme="minorHAnsi"/>
        </w:rPr>
        <w:t xml:space="preserve"> </w:t>
      </w:r>
      <w:r w:rsidR="00F91770" w:rsidRPr="00A45B01">
        <w:rPr>
          <w:rFonts w:cstheme="minorHAnsi"/>
        </w:rPr>
        <w:t>customers</w:t>
      </w:r>
      <w:r w:rsidR="007820B6" w:rsidRPr="00A45B01">
        <w:rPr>
          <w:rFonts w:cstheme="minorHAnsi"/>
        </w:rPr>
        <w:t xml:space="preserve"> </w:t>
      </w:r>
      <w:r w:rsidR="00FF636A" w:rsidRPr="00A45B01">
        <w:rPr>
          <w:rFonts w:cstheme="minorHAnsi"/>
        </w:rPr>
        <w:t xml:space="preserve">in the energy sector </w:t>
      </w:r>
      <w:r w:rsidR="007820B6" w:rsidRPr="00A45B01">
        <w:rPr>
          <w:rFonts w:cstheme="minorHAnsi"/>
        </w:rPr>
        <w:t>to share their energy CDR data, irrespective of</w:t>
      </w:r>
      <w:r w:rsidR="00F96891" w:rsidRPr="00A45B01">
        <w:rPr>
          <w:rFonts w:cstheme="minorHAnsi"/>
        </w:rPr>
        <w:t xml:space="preserve"> their</w:t>
      </w:r>
      <w:r w:rsidR="007820B6" w:rsidRPr="00A45B01">
        <w:rPr>
          <w:rFonts w:cstheme="minorHAnsi"/>
        </w:rPr>
        <w:t xml:space="preserve"> size. </w:t>
      </w:r>
      <w:r w:rsidR="007820B6" w:rsidRPr="00A45B01">
        <w:t>To enable this, the rules do not specify energy sector-specific eligibility requirement</w:t>
      </w:r>
      <w:r w:rsidR="00FF636A" w:rsidRPr="00A45B01">
        <w:t>s</w:t>
      </w:r>
      <w:r w:rsidR="007820B6" w:rsidRPr="00A45B01">
        <w:t xml:space="preserve"> relating to an electricity consumer’s level of consumption, nor do the rules amend which data sets are</w:t>
      </w:r>
      <w:r w:rsidR="00CE3E27" w:rsidRPr="00A45B01">
        <w:t xml:space="preserve"> required</w:t>
      </w:r>
      <w:r w:rsidR="007820B6" w:rsidRPr="00A45B01">
        <w:t xml:space="preserve"> to be shared based on the consumption level of the </w:t>
      </w:r>
      <w:r w:rsidR="008D2AC9" w:rsidRPr="00A45B01">
        <w:t>consumer</w:t>
      </w:r>
      <w:r w:rsidR="007820B6" w:rsidRPr="00A45B01">
        <w:t>.</w:t>
      </w:r>
      <w:r w:rsidR="007820B6" w:rsidRPr="00A45B01" w:rsidDel="007820B6">
        <w:rPr>
          <w:rFonts w:cstheme="minorHAnsi"/>
        </w:rPr>
        <w:t xml:space="preserve"> </w:t>
      </w:r>
      <w:r w:rsidR="00CE3E27" w:rsidRPr="00A45B01">
        <w:rPr>
          <w:rFonts w:cstheme="minorHAnsi"/>
        </w:rPr>
        <w:t>The rules</w:t>
      </w:r>
      <w:r w:rsidR="007820B6" w:rsidRPr="00A45B01">
        <w:t xml:space="preserve"> ensure that all </w:t>
      </w:r>
      <w:r w:rsidR="00983EF4" w:rsidRPr="00A45B01">
        <w:t xml:space="preserve">retail </w:t>
      </w:r>
      <w:r w:rsidR="007820B6" w:rsidRPr="00A45B01">
        <w:t>customers</w:t>
      </w:r>
      <w:r w:rsidR="00983EF4" w:rsidRPr="00A45B01">
        <w:t xml:space="preserve"> in the NEM</w:t>
      </w:r>
      <w:r w:rsidR="007820B6" w:rsidRPr="00A45B01">
        <w:t xml:space="preserve"> are able to benefit from CDR data sharing in the energy sector, </w:t>
      </w:r>
      <w:r w:rsidR="00F91770" w:rsidRPr="00A45B01">
        <w:t xml:space="preserve">irrespective </w:t>
      </w:r>
      <w:r w:rsidR="007820B6" w:rsidRPr="00A45B01">
        <w:t xml:space="preserve">of the </w:t>
      </w:r>
      <w:r w:rsidR="00F91770" w:rsidRPr="00A45B01">
        <w:t xml:space="preserve">size </w:t>
      </w:r>
      <w:r w:rsidR="007820B6" w:rsidRPr="00A45B01">
        <w:t>of the customer or existing data access arrangements.</w:t>
      </w:r>
      <w:r w:rsidR="00F16C6C" w:rsidRPr="00A45B01">
        <w:rPr>
          <w:rFonts w:cstheme="minorHAnsi"/>
        </w:rPr>
        <w:t xml:space="preserve"> </w:t>
      </w:r>
    </w:p>
    <w:p w14:paraId="3C121AC0" w14:textId="789C3DCE" w:rsidR="00F16C6C" w:rsidRPr="00A45B01" w:rsidRDefault="007820B6" w:rsidP="00F96891">
      <w:pPr>
        <w:spacing w:before="240" w:after="120"/>
        <w:rPr>
          <w:rFonts w:cstheme="minorHAnsi"/>
        </w:rPr>
      </w:pPr>
      <w:r w:rsidRPr="00A45B01">
        <w:t xml:space="preserve">Treasury seeks feedback on whether the </w:t>
      </w:r>
      <w:r w:rsidR="00484B91" w:rsidRPr="00A45B01">
        <w:t xml:space="preserve">proposed </w:t>
      </w:r>
      <w:r w:rsidRPr="00A45B01">
        <w:t xml:space="preserve">inclusion of all customers is appropriate and, if not, </w:t>
      </w:r>
      <w:r w:rsidR="00FF636A" w:rsidRPr="00A45B01">
        <w:t xml:space="preserve">detailed </w:t>
      </w:r>
      <w:r w:rsidRPr="00A45B01">
        <w:t xml:space="preserve">reasoning </w:t>
      </w:r>
      <w:r w:rsidR="00484B91" w:rsidRPr="00A45B01">
        <w:t xml:space="preserve">(including supporting costings) </w:t>
      </w:r>
      <w:r w:rsidRPr="00A45B01">
        <w:t>for alternative approaches (e.g. the use of a consumption threshold to delineate between eligible and non-eligible CDR consumers).</w:t>
      </w:r>
    </w:p>
    <w:p w14:paraId="1D9913B0" w14:textId="7C5CD03D" w:rsidR="00F16C6C" w:rsidRPr="00A45B01" w:rsidRDefault="00F16C6C" w:rsidP="00F16C6C">
      <w:pPr>
        <w:pStyle w:val="Heading2"/>
        <w:spacing w:before="240" w:after="120"/>
        <w:rPr>
          <w:color w:val="002760"/>
        </w:rPr>
      </w:pPr>
      <w:bookmarkStart w:id="23" w:name="_Toc525302748"/>
      <w:bookmarkStart w:id="24" w:name="_Toc525555385"/>
      <w:bookmarkStart w:id="25" w:name="_Toc79424512"/>
      <w:r w:rsidRPr="00A45B01">
        <w:rPr>
          <w:color w:val="002760"/>
        </w:rPr>
        <w:t xml:space="preserve">Proposal 2: </w:t>
      </w:r>
      <w:bookmarkEnd w:id="23"/>
      <w:bookmarkEnd w:id="24"/>
      <w:r w:rsidRPr="00A45B01">
        <w:rPr>
          <w:color w:val="002760"/>
        </w:rPr>
        <w:t>Responding to correction requests for AEMO held CDR data</w:t>
      </w:r>
      <w:bookmarkEnd w:id="25"/>
      <w:r w:rsidRPr="00A45B01">
        <w:rPr>
          <w:color w:val="002760"/>
        </w:rPr>
        <w:t xml:space="preserve"> </w:t>
      </w:r>
    </w:p>
    <w:p w14:paraId="14951BE9" w14:textId="77777777" w:rsidR="00F16C6C" w:rsidRPr="00A45B01" w:rsidRDefault="00F16C6C" w:rsidP="00F16C6C">
      <w:pPr>
        <w:pStyle w:val="base-text-paragraph"/>
        <w:keepNext/>
        <w:spacing w:before="240"/>
        <w:ind w:left="0"/>
        <w:rPr>
          <w:rFonts w:asciiTheme="minorHAnsi" w:hAnsiTheme="minorHAnsi" w:cstheme="minorHAnsi"/>
          <w:i/>
          <w:iCs/>
          <w:sz w:val="22"/>
          <w:szCs w:val="22"/>
        </w:rPr>
      </w:pPr>
      <w:r w:rsidRPr="00A45B01">
        <w:rPr>
          <w:rFonts w:asciiTheme="minorHAnsi" w:hAnsiTheme="minorHAnsi" w:cstheme="minorHAnsi"/>
          <w:i/>
          <w:iCs/>
          <w:sz w:val="22"/>
          <w:szCs w:val="22"/>
        </w:rPr>
        <w:t>Relevant rules: Schedule 4, Part 6</w:t>
      </w:r>
    </w:p>
    <w:p w14:paraId="375C6C5F" w14:textId="77777777" w:rsidR="00F16C6C" w:rsidRPr="00A45B01" w:rsidRDefault="00F16C6C" w:rsidP="00F16C6C">
      <w:pPr>
        <w:keepNext/>
        <w:tabs>
          <w:tab w:val="left" w:pos="1987"/>
        </w:tabs>
        <w:spacing w:before="240" w:after="120"/>
        <w:rPr>
          <w:rFonts w:cstheme="minorHAnsi"/>
          <w:i/>
        </w:rPr>
      </w:pPr>
      <w:r w:rsidRPr="00A45B01">
        <w:rPr>
          <w:rFonts w:eastAsia="Times New Roman" w:cstheme="minorHAnsi"/>
          <w:i/>
          <w:iCs/>
          <w:lang w:eastAsia="en-AU"/>
        </w:rPr>
        <w:t>Relevant documents: exposure draft regulations</w:t>
      </w:r>
    </w:p>
    <w:p w14:paraId="6FB65139" w14:textId="77777777" w:rsidR="00F16C6C" w:rsidRPr="00A45B01" w:rsidRDefault="00F16C6C" w:rsidP="00F16C6C">
      <w:pPr>
        <w:spacing w:before="240" w:after="120"/>
        <w:rPr>
          <w:rFonts w:cstheme="minorHAnsi"/>
        </w:rPr>
      </w:pPr>
      <w:r w:rsidRPr="00A45B01">
        <w:rPr>
          <w:rFonts w:cstheme="minorHAnsi"/>
        </w:rPr>
        <w:t>AEMO’s role in CDR is unique due to the nature of AEMO as an organisation and its role in the Australian energy market. AEMO does not generate the data that it holds in the same way that a bank or a retailer does; they instead act as a central repository of data that they receive from a myriad of third parties. AEMO has developed detailed procedures that govern the integrity of the data that it holds, and correction of this data is undertaken by market participants under procedures made under the National Energy Rules (</w:t>
      </w:r>
      <w:r w:rsidRPr="00A45B01">
        <w:rPr>
          <w:rFonts w:cstheme="minorHAnsi"/>
          <w:b/>
        </w:rPr>
        <w:t>NER</w:t>
      </w:r>
      <w:r w:rsidRPr="00A45B01">
        <w:rPr>
          <w:rFonts w:cstheme="minorHAnsi"/>
        </w:rPr>
        <w:t xml:space="preserve">). In these circumstances, several Privacy Safeguards in the </w:t>
      </w:r>
      <w:r w:rsidRPr="00A45B01">
        <w:rPr>
          <w:i/>
          <w:iCs/>
        </w:rPr>
        <w:t xml:space="preserve">Competition and Consumer Act 2010 </w:t>
      </w:r>
      <w:r w:rsidRPr="00A45B01">
        <w:rPr>
          <w:rFonts w:cstheme="minorHAnsi"/>
        </w:rPr>
        <w:t xml:space="preserve">that apply to data holders are not appropriate for application to AEMO. These changes are outlined in the Exposure Draft Explanatory Materials for the draft regulations.  </w:t>
      </w:r>
    </w:p>
    <w:p w14:paraId="4056FA4F" w14:textId="0BDC1A43" w:rsidR="00F16C6C" w:rsidRPr="00A45B01" w:rsidRDefault="00F16C6C" w:rsidP="00F16C6C">
      <w:pPr>
        <w:spacing w:before="240" w:after="120"/>
        <w:rPr>
          <w:rFonts w:cstheme="minorHAnsi"/>
        </w:rPr>
      </w:pPr>
      <w:r w:rsidRPr="00A45B01">
        <w:rPr>
          <w:rFonts w:cstheme="minorHAnsi"/>
        </w:rPr>
        <w:t xml:space="preserve">The draft regulations clarify the operation of these privacy safeguards with respect to </w:t>
      </w:r>
      <w:r w:rsidR="002570ED" w:rsidRPr="00A45B01">
        <w:rPr>
          <w:rFonts w:cstheme="minorHAnsi"/>
        </w:rPr>
        <w:t>AEMO and</w:t>
      </w:r>
      <w:r w:rsidRPr="00A45B01">
        <w:rPr>
          <w:rFonts w:cstheme="minorHAnsi"/>
        </w:rPr>
        <w:t xml:space="preserve"> change their application in the energy sector by removing requirements that should not apply to </w:t>
      </w:r>
      <w:proofErr w:type="gramStart"/>
      <w:r w:rsidRPr="00A45B01">
        <w:rPr>
          <w:rFonts w:cstheme="minorHAnsi"/>
        </w:rPr>
        <w:t>AEMO, and</w:t>
      </w:r>
      <w:proofErr w:type="gramEnd"/>
      <w:r w:rsidRPr="00A45B01">
        <w:rPr>
          <w:rFonts w:cstheme="minorHAnsi"/>
        </w:rPr>
        <w:t xml:space="preserve"> ensuring that consumer-facing requirements are allocated to retailers.</w:t>
      </w:r>
    </w:p>
    <w:p w14:paraId="63CD7340" w14:textId="77777777" w:rsidR="00F16C6C" w:rsidRPr="00A45B01" w:rsidRDefault="00F16C6C" w:rsidP="00F16C6C">
      <w:pPr>
        <w:spacing w:before="240" w:after="120"/>
        <w:rPr>
          <w:rFonts w:cstheme="minorHAnsi"/>
        </w:rPr>
      </w:pPr>
      <w:r w:rsidRPr="00A45B01">
        <w:rPr>
          <w:rFonts w:cstheme="minorHAnsi"/>
        </w:rPr>
        <w:t xml:space="preserve">As outlined in Schedule 2 of the Exposure Draft Explanatory Materials, the draft rules complement these regulations, by specifying the steps that a retailer must take in response to a correction request from a CDR consumer for AEMO held data. Due to the unique nature of the existing data correction process in the energy sector and AEMO’s proposed role in CDR, the proposed rules are included in the Schedule to the CDR rules that contains provisions specific to the energy sector. </w:t>
      </w:r>
    </w:p>
    <w:p w14:paraId="5BCB5430" w14:textId="77777777" w:rsidR="00F16C6C" w:rsidRPr="00A45B01" w:rsidRDefault="00F16C6C" w:rsidP="00F16C6C">
      <w:pPr>
        <w:spacing w:before="240" w:after="120"/>
        <w:rPr>
          <w:rFonts w:cstheme="minorHAnsi"/>
        </w:rPr>
      </w:pPr>
      <w:bookmarkStart w:id="26" w:name="_Hlk72331771"/>
      <w:r w:rsidRPr="00A45B01">
        <w:rPr>
          <w:rFonts w:cstheme="minorHAnsi"/>
        </w:rPr>
        <w:t xml:space="preserve">The Rules require the retailer to initiate the relevant correction process under the NER for NMI standing data or metering data and refer any correction request to the relevant electricity distributor to action for DER register data. In addition to initiating the relevant correction request, the retailer is required to provide the CDR consumer with an adequate level of information to </w:t>
      </w:r>
      <w:r w:rsidRPr="00A45B01">
        <w:rPr>
          <w:rFonts w:cstheme="minorHAnsi"/>
        </w:rPr>
        <w:lastRenderedPageBreak/>
        <w:t>explain what the retailer has done in response to the correction request</w:t>
      </w:r>
      <w:bookmarkEnd w:id="26"/>
      <w:r w:rsidRPr="00A45B01">
        <w:rPr>
          <w:rFonts w:cstheme="minorHAnsi"/>
        </w:rPr>
        <w:t>. If it was not possible or appropriate for the retailer to take such actions, the retailer must explain why it was not possible or appropriate and outline the complaint mechanisms available to the CDR consumer.</w:t>
      </w:r>
    </w:p>
    <w:p w14:paraId="22698B88" w14:textId="77777777" w:rsidR="00F16C6C" w:rsidRPr="00A45B01" w:rsidRDefault="00F16C6C" w:rsidP="00F16C6C">
      <w:pPr>
        <w:pStyle w:val="Heading2"/>
        <w:spacing w:before="240" w:after="120"/>
        <w:rPr>
          <w:color w:val="002760"/>
        </w:rPr>
      </w:pPr>
      <w:bookmarkStart w:id="27" w:name="_Toc525302750"/>
      <w:bookmarkStart w:id="28" w:name="_Toc525555386"/>
      <w:bookmarkStart w:id="29" w:name="_Toc79424513"/>
      <w:r w:rsidRPr="00A45B01">
        <w:rPr>
          <w:color w:val="002760"/>
        </w:rPr>
        <w:t xml:space="preserve">Proposal 3: </w:t>
      </w:r>
      <w:bookmarkEnd w:id="27"/>
      <w:bookmarkEnd w:id="28"/>
      <w:r w:rsidRPr="00A45B01">
        <w:rPr>
          <w:color w:val="002760"/>
        </w:rPr>
        <w:t>Staged application of rules to the energy sector</w:t>
      </w:r>
      <w:bookmarkEnd w:id="29"/>
    </w:p>
    <w:p w14:paraId="461AAEEE" w14:textId="77777777" w:rsidR="00F16C6C" w:rsidRPr="00A45B01" w:rsidRDefault="00F16C6C" w:rsidP="00F16C6C">
      <w:pPr>
        <w:keepNext/>
        <w:tabs>
          <w:tab w:val="left" w:pos="1987"/>
        </w:tabs>
        <w:spacing w:before="240" w:after="120"/>
        <w:rPr>
          <w:rFonts w:eastAsia="Times New Roman" w:cstheme="minorHAnsi"/>
          <w:i/>
          <w:lang w:eastAsia="en-AU"/>
        </w:rPr>
      </w:pPr>
      <w:r w:rsidRPr="00A45B01">
        <w:rPr>
          <w:rFonts w:eastAsia="Times New Roman" w:cstheme="minorHAnsi"/>
          <w:i/>
          <w:lang w:eastAsia="en-AU"/>
        </w:rPr>
        <w:t>Relevant rules: Schedule 4, Part 8</w:t>
      </w:r>
    </w:p>
    <w:p w14:paraId="08B5C817" w14:textId="77777777" w:rsidR="00F16C6C" w:rsidRPr="00A45B01" w:rsidRDefault="00F16C6C" w:rsidP="00F16C6C">
      <w:pPr>
        <w:tabs>
          <w:tab w:val="left" w:pos="1987"/>
        </w:tabs>
        <w:spacing w:before="240" w:after="120"/>
        <w:rPr>
          <w:rFonts w:eastAsia="Times New Roman" w:cstheme="minorHAnsi"/>
          <w:lang w:eastAsia="en-AU"/>
        </w:rPr>
      </w:pPr>
      <w:r w:rsidRPr="00A45B01">
        <w:rPr>
          <w:rFonts w:eastAsia="Times New Roman" w:cstheme="minorHAnsi"/>
          <w:lang w:eastAsia="en-AU"/>
        </w:rPr>
        <w:t xml:space="preserve">Consistent with the implementation of CDR in the banking sector, the draft rules provide for a staged application of the rules to the energy sector. The proposed approach, summarised at Table 1, aims to ensure that CDR obligations first commence with participants that will provide the greatest coverage to enable consumers to benefit from CDR data sharing. </w:t>
      </w:r>
    </w:p>
    <w:p w14:paraId="40C9D5D9" w14:textId="77777777" w:rsidR="00F16C6C" w:rsidRPr="00A45B01" w:rsidRDefault="00F16C6C" w:rsidP="00F16C6C">
      <w:pPr>
        <w:keepNext/>
        <w:spacing w:before="240" w:after="120"/>
        <w:rPr>
          <w:rFonts w:eastAsia="Times New Roman" w:cstheme="minorHAnsi"/>
          <w:b/>
          <w:lang w:eastAsia="en-AU"/>
        </w:rPr>
      </w:pPr>
      <w:r w:rsidRPr="00A45B01">
        <w:rPr>
          <w:rFonts w:eastAsia="Times New Roman" w:cstheme="minorHAnsi"/>
          <w:b/>
          <w:lang w:eastAsia="en-AU"/>
        </w:rPr>
        <w:t>Table 1: proposed staged approach and timetable for CDR in energy implementation</w:t>
      </w:r>
    </w:p>
    <w:tbl>
      <w:tblPr>
        <w:tblW w:w="0" w:type="auto"/>
        <w:tblCellMar>
          <w:left w:w="0" w:type="dxa"/>
          <w:right w:w="0" w:type="dxa"/>
        </w:tblCellMar>
        <w:tblLook w:val="04A0" w:firstRow="1" w:lastRow="0" w:firstColumn="1" w:lastColumn="0" w:noHBand="0" w:noVBand="1"/>
      </w:tblPr>
      <w:tblGrid>
        <w:gridCol w:w="1266"/>
        <w:gridCol w:w="1700"/>
        <w:gridCol w:w="3197"/>
        <w:gridCol w:w="2843"/>
      </w:tblGrid>
      <w:tr w:rsidR="00F16C6C" w:rsidRPr="00A45B01" w14:paraId="49DBE62F" w14:textId="77777777" w:rsidTr="00423A25">
        <w:trPr>
          <w:trHeight w:val="395"/>
        </w:trPr>
        <w:tc>
          <w:tcPr>
            <w:tcW w:w="1266" w:type="dxa"/>
            <w:tcBorders>
              <w:top w:val="single" w:sz="8" w:space="0" w:color="auto"/>
              <w:left w:val="single" w:sz="8" w:space="0" w:color="auto"/>
              <w:bottom w:val="single" w:sz="8" w:space="0" w:color="auto"/>
              <w:right w:val="single" w:sz="8" w:space="0" w:color="auto"/>
            </w:tcBorders>
            <w:shd w:val="clear" w:color="auto" w:fill="002760"/>
            <w:tcMar>
              <w:top w:w="0" w:type="dxa"/>
              <w:left w:w="108" w:type="dxa"/>
              <w:bottom w:w="0" w:type="dxa"/>
              <w:right w:w="108" w:type="dxa"/>
            </w:tcMar>
            <w:hideMark/>
          </w:tcPr>
          <w:p w14:paraId="1A1DC837" w14:textId="77777777" w:rsidR="00F16C6C" w:rsidRPr="00A45B01" w:rsidRDefault="00F16C6C" w:rsidP="00423A25">
            <w:pPr>
              <w:keepNext/>
              <w:spacing w:before="240" w:after="120"/>
              <w:rPr>
                <w:rFonts w:eastAsia="Times New Roman" w:cstheme="minorHAnsi"/>
                <w:b/>
                <w:lang w:eastAsia="en-AU"/>
              </w:rPr>
            </w:pPr>
            <w:r w:rsidRPr="00A45B01">
              <w:rPr>
                <w:rFonts w:eastAsia="Times New Roman" w:cstheme="minorHAnsi"/>
                <w:b/>
                <w:lang w:eastAsia="en-AU"/>
              </w:rPr>
              <w:t>Tranche</w:t>
            </w:r>
          </w:p>
        </w:tc>
        <w:tc>
          <w:tcPr>
            <w:tcW w:w="1599" w:type="dxa"/>
            <w:tcBorders>
              <w:top w:val="single" w:sz="8" w:space="0" w:color="auto"/>
              <w:left w:val="nil"/>
              <w:bottom w:val="single" w:sz="8" w:space="0" w:color="auto"/>
              <w:right w:val="single" w:sz="8" w:space="0" w:color="auto"/>
            </w:tcBorders>
            <w:shd w:val="clear" w:color="auto" w:fill="002760"/>
            <w:tcMar>
              <w:top w:w="0" w:type="dxa"/>
              <w:left w:w="108" w:type="dxa"/>
              <w:bottom w:w="0" w:type="dxa"/>
              <w:right w:w="108" w:type="dxa"/>
            </w:tcMar>
            <w:hideMark/>
          </w:tcPr>
          <w:p w14:paraId="0396AC6B" w14:textId="77777777" w:rsidR="00F16C6C" w:rsidRPr="00A45B01" w:rsidRDefault="00F16C6C" w:rsidP="00423A25">
            <w:pPr>
              <w:keepNext/>
              <w:spacing w:before="240" w:after="120"/>
              <w:rPr>
                <w:rFonts w:eastAsia="Times New Roman" w:cstheme="minorHAnsi"/>
                <w:b/>
                <w:lang w:eastAsia="en-AU"/>
              </w:rPr>
            </w:pPr>
            <w:r w:rsidRPr="00A45B01">
              <w:rPr>
                <w:rFonts w:eastAsia="Times New Roman" w:cstheme="minorHAnsi"/>
                <w:b/>
                <w:lang w:eastAsia="en-AU"/>
              </w:rPr>
              <w:t>Proposed commencement date</w:t>
            </w:r>
          </w:p>
        </w:tc>
        <w:tc>
          <w:tcPr>
            <w:tcW w:w="0" w:type="auto"/>
            <w:tcBorders>
              <w:top w:val="single" w:sz="8" w:space="0" w:color="auto"/>
              <w:left w:val="nil"/>
              <w:bottom w:val="single" w:sz="8" w:space="0" w:color="auto"/>
              <w:right w:val="single" w:sz="8" w:space="0" w:color="auto"/>
            </w:tcBorders>
            <w:shd w:val="clear" w:color="auto" w:fill="002760"/>
            <w:tcMar>
              <w:top w:w="0" w:type="dxa"/>
              <w:left w:w="108" w:type="dxa"/>
              <w:bottom w:w="0" w:type="dxa"/>
              <w:right w:w="108" w:type="dxa"/>
            </w:tcMar>
            <w:hideMark/>
          </w:tcPr>
          <w:p w14:paraId="46612E75" w14:textId="77777777" w:rsidR="00F16C6C" w:rsidRPr="00A45B01" w:rsidRDefault="00F16C6C" w:rsidP="00423A25">
            <w:pPr>
              <w:keepNext/>
              <w:spacing w:before="240" w:after="120"/>
              <w:rPr>
                <w:rFonts w:eastAsia="Times New Roman" w:cstheme="minorHAnsi"/>
                <w:b/>
                <w:lang w:eastAsia="en-AU"/>
              </w:rPr>
            </w:pPr>
            <w:r w:rsidRPr="00A45B01">
              <w:rPr>
                <w:rFonts w:eastAsia="Times New Roman" w:cstheme="minorHAnsi"/>
                <w:b/>
                <w:lang w:eastAsia="en-AU"/>
              </w:rPr>
              <w:t>Participants</w:t>
            </w:r>
          </w:p>
        </w:tc>
        <w:tc>
          <w:tcPr>
            <w:tcW w:w="0" w:type="auto"/>
            <w:tcBorders>
              <w:top w:val="single" w:sz="8" w:space="0" w:color="auto"/>
              <w:left w:val="nil"/>
              <w:bottom w:val="single" w:sz="8" w:space="0" w:color="auto"/>
              <w:right w:val="single" w:sz="8" w:space="0" w:color="auto"/>
            </w:tcBorders>
            <w:shd w:val="clear" w:color="auto" w:fill="002760"/>
            <w:tcMar>
              <w:top w:w="0" w:type="dxa"/>
              <w:left w:w="108" w:type="dxa"/>
              <w:bottom w:w="0" w:type="dxa"/>
              <w:right w:w="108" w:type="dxa"/>
            </w:tcMar>
            <w:hideMark/>
          </w:tcPr>
          <w:p w14:paraId="19401114" w14:textId="77777777" w:rsidR="00F16C6C" w:rsidRPr="00A45B01" w:rsidRDefault="00F16C6C" w:rsidP="00423A25">
            <w:pPr>
              <w:keepNext/>
              <w:spacing w:before="240" w:after="120"/>
              <w:rPr>
                <w:rFonts w:eastAsia="Times New Roman" w:cstheme="minorHAnsi"/>
                <w:b/>
                <w:lang w:eastAsia="en-AU"/>
              </w:rPr>
            </w:pPr>
            <w:r w:rsidRPr="00A45B01">
              <w:rPr>
                <w:rFonts w:eastAsia="Times New Roman" w:cstheme="minorHAnsi"/>
                <w:b/>
                <w:lang w:eastAsia="en-AU"/>
              </w:rPr>
              <w:t>Data that will be able to be shared</w:t>
            </w:r>
          </w:p>
        </w:tc>
      </w:tr>
      <w:tr w:rsidR="00F16C6C" w:rsidRPr="00A45B01" w14:paraId="754D7D7A" w14:textId="77777777" w:rsidTr="00423A25">
        <w:tc>
          <w:tcPr>
            <w:tcW w:w="1266" w:type="dxa"/>
            <w:tcBorders>
              <w:top w:val="single" w:sz="8" w:space="0" w:color="auto"/>
              <w:left w:val="single" w:sz="8" w:space="0" w:color="auto"/>
              <w:right w:val="single" w:sz="8" w:space="0" w:color="auto"/>
            </w:tcBorders>
            <w:tcMar>
              <w:top w:w="0" w:type="dxa"/>
              <w:left w:w="108" w:type="dxa"/>
              <w:bottom w:w="0" w:type="dxa"/>
              <w:right w:w="108" w:type="dxa"/>
            </w:tcMar>
            <w:hideMark/>
          </w:tcPr>
          <w:p w14:paraId="141A8294" w14:textId="77777777" w:rsidR="00F16C6C" w:rsidRPr="00A45B01" w:rsidRDefault="00F16C6C" w:rsidP="00423A25">
            <w:pPr>
              <w:spacing w:before="240" w:after="120"/>
              <w:rPr>
                <w:rFonts w:eastAsia="Times New Roman" w:cstheme="minorHAnsi"/>
                <w:b/>
                <w:lang w:eastAsia="en-AU"/>
              </w:rPr>
            </w:pPr>
            <w:r w:rsidRPr="00A45B01">
              <w:rPr>
                <w:rFonts w:eastAsia="Times New Roman" w:cstheme="minorHAnsi"/>
                <w:b/>
                <w:lang w:eastAsia="en-AU"/>
              </w:rPr>
              <w:t>Tranche 1</w:t>
            </w:r>
          </w:p>
        </w:tc>
        <w:tc>
          <w:tcPr>
            <w:tcW w:w="1599" w:type="dxa"/>
            <w:tcBorders>
              <w:top w:val="single" w:sz="8" w:space="0" w:color="auto"/>
              <w:left w:val="nil"/>
              <w:right w:val="single" w:sz="8" w:space="0" w:color="auto"/>
            </w:tcBorders>
            <w:tcMar>
              <w:top w:w="0" w:type="dxa"/>
              <w:left w:w="108" w:type="dxa"/>
              <w:bottom w:w="0" w:type="dxa"/>
              <w:right w:w="108" w:type="dxa"/>
            </w:tcMar>
          </w:tcPr>
          <w:p w14:paraId="581011A6" w14:textId="77777777" w:rsidR="00F16C6C" w:rsidRPr="00A45B01" w:rsidRDefault="00F16C6C" w:rsidP="00423A25">
            <w:pPr>
              <w:spacing w:before="240" w:after="120"/>
              <w:rPr>
                <w:rFonts w:eastAsia="Times New Roman" w:cstheme="minorHAnsi"/>
                <w:lang w:eastAsia="en-AU"/>
              </w:rPr>
            </w:pPr>
            <w:r w:rsidRPr="00A45B01">
              <w:rPr>
                <w:rFonts w:eastAsia="Times New Roman" w:cstheme="minorHAnsi"/>
                <w:lang w:eastAsia="en-AU"/>
              </w:rPr>
              <w:t xml:space="preserve">1 October 2022 </w:t>
            </w:r>
            <w:r w:rsidRPr="00A45B01">
              <w:rPr>
                <w:rFonts w:eastAsia="Times New Roman" w:cstheme="minorHAnsi"/>
                <w:lang w:eastAsia="en-AU"/>
              </w:rPr>
              <w:br/>
            </w:r>
          </w:p>
          <w:p w14:paraId="7B81FBBF" w14:textId="77777777" w:rsidR="00F16C6C" w:rsidRPr="00A45B01" w:rsidRDefault="00F16C6C" w:rsidP="00423A25">
            <w:pPr>
              <w:spacing w:before="240" w:after="120"/>
              <w:rPr>
                <w:rFonts w:eastAsia="Times New Roman" w:cstheme="minorHAnsi"/>
                <w:lang w:eastAsia="en-AU"/>
              </w:rPr>
            </w:pPr>
          </w:p>
        </w:tc>
        <w:tc>
          <w:tcPr>
            <w:tcW w:w="0" w:type="auto"/>
            <w:tcBorders>
              <w:top w:val="single" w:sz="8" w:space="0" w:color="auto"/>
              <w:left w:val="nil"/>
              <w:right w:val="single" w:sz="8" w:space="0" w:color="auto"/>
            </w:tcBorders>
            <w:tcMar>
              <w:top w:w="0" w:type="dxa"/>
              <w:left w:w="108" w:type="dxa"/>
              <w:bottom w:w="0" w:type="dxa"/>
              <w:right w:w="108" w:type="dxa"/>
            </w:tcMar>
            <w:hideMark/>
          </w:tcPr>
          <w:p w14:paraId="44A3C48C" w14:textId="77777777" w:rsidR="00F16C6C" w:rsidRPr="00A45B01" w:rsidRDefault="00F16C6C" w:rsidP="00423A25">
            <w:pPr>
              <w:numPr>
                <w:ilvl w:val="0"/>
                <w:numId w:val="2"/>
              </w:numPr>
              <w:spacing w:before="240" w:after="120"/>
              <w:rPr>
                <w:rFonts w:eastAsia="Times New Roman" w:cstheme="minorHAnsi"/>
              </w:rPr>
            </w:pPr>
            <w:r w:rsidRPr="00A45B01">
              <w:rPr>
                <w:rFonts w:eastAsia="Times New Roman" w:cstheme="minorHAnsi"/>
              </w:rPr>
              <w:t>Australian Energy Regulator</w:t>
            </w:r>
          </w:p>
          <w:p w14:paraId="59B819EE" w14:textId="77777777" w:rsidR="00F16C6C" w:rsidRPr="00A45B01" w:rsidRDefault="00F16C6C" w:rsidP="00423A25">
            <w:pPr>
              <w:numPr>
                <w:ilvl w:val="0"/>
                <w:numId w:val="2"/>
              </w:numPr>
              <w:spacing w:before="240" w:after="120"/>
              <w:rPr>
                <w:rFonts w:eastAsia="Times New Roman" w:cstheme="minorHAnsi"/>
              </w:rPr>
            </w:pPr>
            <w:r w:rsidRPr="00A45B01">
              <w:rPr>
                <w:rFonts w:eastAsia="Times New Roman" w:cstheme="minorHAnsi"/>
              </w:rPr>
              <w:t>AEMO</w:t>
            </w:r>
          </w:p>
          <w:p w14:paraId="06C7AEF5" w14:textId="77777777" w:rsidR="00F16C6C" w:rsidRPr="00A45B01" w:rsidRDefault="00F16C6C" w:rsidP="00423A25">
            <w:pPr>
              <w:numPr>
                <w:ilvl w:val="0"/>
                <w:numId w:val="2"/>
              </w:numPr>
              <w:spacing w:before="240" w:after="120"/>
              <w:rPr>
                <w:rFonts w:eastAsia="Times New Roman" w:cstheme="minorHAnsi"/>
              </w:rPr>
            </w:pPr>
            <w:r w:rsidRPr="00A45B01">
              <w:rPr>
                <w:rFonts w:eastAsia="Times New Roman" w:cstheme="minorHAnsi"/>
              </w:rPr>
              <w:t xml:space="preserve">Three largest retailers: Origin Energy, AGL Energy and </w:t>
            </w:r>
            <w:proofErr w:type="spellStart"/>
            <w:r w:rsidRPr="00A45B01">
              <w:rPr>
                <w:rFonts w:eastAsia="Times New Roman" w:cstheme="minorHAnsi"/>
              </w:rPr>
              <w:t>EnergyAustralia</w:t>
            </w:r>
            <w:proofErr w:type="spellEnd"/>
          </w:p>
          <w:p w14:paraId="358FAB45" w14:textId="77777777" w:rsidR="00F16C6C" w:rsidRPr="00A45B01" w:rsidRDefault="00F16C6C" w:rsidP="00423A25">
            <w:pPr>
              <w:spacing w:before="240" w:after="120"/>
              <w:rPr>
                <w:rFonts w:eastAsia="Times New Roman" w:cstheme="minorHAnsi"/>
                <w:lang w:eastAsia="en-AU"/>
              </w:rPr>
            </w:pPr>
          </w:p>
        </w:tc>
        <w:tc>
          <w:tcPr>
            <w:tcW w:w="0" w:type="auto"/>
            <w:tcBorders>
              <w:top w:val="single" w:sz="8" w:space="0" w:color="auto"/>
              <w:left w:val="nil"/>
              <w:right w:val="single" w:sz="8" w:space="0" w:color="auto"/>
            </w:tcBorders>
            <w:tcMar>
              <w:top w:w="0" w:type="dxa"/>
              <w:left w:w="108" w:type="dxa"/>
              <w:bottom w:w="0" w:type="dxa"/>
              <w:right w:w="108" w:type="dxa"/>
            </w:tcMar>
            <w:hideMark/>
          </w:tcPr>
          <w:p w14:paraId="63AA4DBB" w14:textId="77777777" w:rsidR="00F16C6C" w:rsidRPr="00A45B01" w:rsidRDefault="00F16C6C" w:rsidP="00423A25">
            <w:pPr>
              <w:spacing w:before="240" w:after="120"/>
              <w:rPr>
                <w:rFonts w:eastAsia="Times New Roman" w:cstheme="minorHAnsi"/>
                <w:lang w:eastAsia="en-AU"/>
              </w:rPr>
            </w:pPr>
            <w:r w:rsidRPr="00A45B01">
              <w:rPr>
                <w:rFonts w:eastAsia="Times New Roman" w:cstheme="minorHAnsi"/>
                <w:lang w:eastAsia="en-AU"/>
              </w:rPr>
              <w:t>Product reference data for energy plans in the National Electricity Market (excluding Victoria)</w:t>
            </w:r>
          </w:p>
          <w:p w14:paraId="1774ECB5" w14:textId="77777777" w:rsidR="00F16C6C" w:rsidRPr="00A45B01" w:rsidRDefault="00F16C6C" w:rsidP="00423A25">
            <w:pPr>
              <w:spacing w:before="240" w:after="120"/>
              <w:rPr>
                <w:rFonts w:eastAsia="Times New Roman" w:cstheme="minorHAnsi"/>
                <w:lang w:eastAsia="en-AU"/>
              </w:rPr>
            </w:pPr>
            <w:r w:rsidRPr="00A45B01">
              <w:rPr>
                <w:rFonts w:eastAsia="Times New Roman" w:cstheme="minorHAnsi"/>
                <w:lang w:eastAsia="en-AU"/>
              </w:rPr>
              <w:t>Consumer data held by the three largest retailers</w:t>
            </w:r>
          </w:p>
          <w:p w14:paraId="7BA99333" w14:textId="77777777" w:rsidR="00F16C6C" w:rsidRPr="00A45B01" w:rsidRDefault="00F16C6C" w:rsidP="00423A25">
            <w:pPr>
              <w:spacing w:before="240" w:after="120"/>
            </w:pPr>
            <w:r w:rsidRPr="00A45B01">
              <w:t>Consumer data held by AEMO relating to customers of the three largest retailers</w:t>
            </w:r>
          </w:p>
          <w:p w14:paraId="3380F541" w14:textId="77777777" w:rsidR="00F16C6C" w:rsidRPr="00A45B01" w:rsidRDefault="00F16C6C" w:rsidP="00423A25">
            <w:pPr>
              <w:spacing w:before="240" w:after="120"/>
              <w:rPr>
                <w:rFonts w:eastAsia="Calibri" w:cstheme="minorHAnsi"/>
                <w:lang w:eastAsia="en-AU"/>
              </w:rPr>
            </w:pPr>
          </w:p>
        </w:tc>
      </w:tr>
      <w:tr w:rsidR="00F16C6C" w:rsidRPr="00A45B01" w14:paraId="3BC9D27C" w14:textId="77777777" w:rsidTr="00423A25">
        <w:tc>
          <w:tcPr>
            <w:tcW w:w="1266" w:type="dxa"/>
            <w:tcBorders>
              <w:left w:val="single" w:sz="8" w:space="0" w:color="auto"/>
              <w:bottom w:val="single" w:sz="8" w:space="0" w:color="auto"/>
              <w:right w:val="single" w:sz="8" w:space="0" w:color="auto"/>
            </w:tcBorders>
            <w:tcMar>
              <w:top w:w="0" w:type="dxa"/>
              <w:left w:w="108" w:type="dxa"/>
              <w:bottom w:w="0" w:type="dxa"/>
              <w:right w:w="108" w:type="dxa"/>
            </w:tcMar>
          </w:tcPr>
          <w:p w14:paraId="38D39A5F" w14:textId="77777777" w:rsidR="00F16C6C" w:rsidRPr="00A45B01" w:rsidRDefault="00F16C6C" w:rsidP="00423A25">
            <w:pPr>
              <w:spacing w:before="240" w:after="120"/>
              <w:rPr>
                <w:rFonts w:eastAsia="Times New Roman" w:cstheme="minorHAnsi"/>
                <w:b/>
                <w:lang w:eastAsia="en-AU"/>
              </w:rPr>
            </w:pPr>
          </w:p>
        </w:tc>
        <w:tc>
          <w:tcPr>
            <w:tcW w:w="1599" w:type="dxa"/>
            <w:tcBorders>
              <w:left w:val="nil"/>
              <w:bottom w:val="single" w:sz="8" w:space="0" w:color="auto"/>
              <w:right w:val="single" w:sz="8" w:space="0" w:color="auto"/>
            </w:tcBorders>
            <w:tcMar>
              <w:top w:w="0" w:type="dxa"/>
              <w:left w:w="108" w:type="dxa"/>
              <w:bottom w:w="0" w:type="dxa"/>
              <w:right w:w="108" w:type="dxa"/>
            </w:tcMar>
          </w:tcPr>
          <w:p w14:paraId="28D5FB77" w14:textId="77777777" w:rsidR="00F16C6C" w:rsidRPr="00A45B01" w:rsidRDefault="00F16C6C" w:rsidP="00423A25">
            <w:pPr>
              <w:spacing w:before="240" w:after="120"/>
              <w:rPr>
                <w:rFonts w:eastAsia="Times New Roman" w:cstheme="minorHAnsi"/>
                <w:lang w:eastAsia="en-AU"/>
              </w:rPr>
            </w:pPr>
            <w:r w:rsidRPr="00A45B01">
              <w:rPr>
                <w:rFonts w:eastAsia="Times New Roman" w:cstheme="minorHAnsi"/>
                <w:lang w:eastAsia="en-AU"/>
              </w:rPr>
              <w:t>Date to be set by notifiable instrument</w:t>
            </w:r>
          </w:p>
        </w:tc>
        <w:tc>
          <w:tcPr>
            <w:tcW w:w="0" w:type="auto"/>
            <w:tcBorders>
              <w:left w:val="nil"/>
              <w:bottom w:val="single" w:sz="8" w:space="0" w:color="auto"/>
              <w:right w:val="single" w:sz="8" w:space="0" w:color="auto"/>
            </w:tcBorders>
            <w:tcMar>
              <w:top w:w="0" w:type="dxa"/>
              <w:left w:w="108" w:type="dxa"/>
              <w:bottom w:w="0" w:type="dxa"/>
              <w:right w:w="108" w:type="dxa"/>
            </w:tcMar>
          </w:tcPr>
          <w:p w14:paraId="341CCC9D" w14:textId="77777777" w:rsidR="00F16C6C" w:rsidRPr="00A45B01" w:rsidRDefault="00F16C6C" w:rsidP="00423A25">
            <w:pPr>
              <w:numPr>
                <w:ilvl w:val="0"/>
                <w:numId w:val="2"/>
              </w:numPr>
              <w:spacing w:before="240" w:after="120"/>
              <w:rPr>
                <w:rFonts w:eastAsia="Times New Roman" w:cstheme="minorHAnsi"/>
              </w:rPr>
            </w:pPr>
            <w:r w:rsidRPr="00A45B01">
              <w:rPr>
                <w:rFonts w:eastAsia="Times New Roman" w:cstheme="minorHAnsi"/>
              </w:rPr>
              <w:t>Victorian Department of Environment, Land, Water and Planning (DELWP)*</w:t>
            </w:r>
          </w:p>
        </w:tc>
        <w:tc>
          <w:tcPr>
            <w:tcW w:w="0" w:type="auto"/>
            <w:tcBorders>
              <w:left w:val="nil"/>
              <w:bottom w:val="single" w:sz="8" w:space="0" w:color="auto"/>
              <w:right w:val="single" w:sz="8" w:space="0" w:color="auto"/>
            </w:tcBorders>
            <w:tcMar>
              <w:top w:w="0" w:type="dxa"/>
              <w:left w:w="108" w:type="dxa"/>
              <w:bottom w:w="0" w:type="dxa"/>
              <w:right w:w="108" w:type="dxa"/>
            </w:tcMar>
          </w:tcPr>
          <w:p w14:paraId="4FE26858" w14:textId="77777777" w:rsidR="00F16C6C" w:rsidRPr="00A45B01" w:rsidRDefault="00F16C6C" w:rsidP="00423A25">
            <w:pPr>
              <w:spacing w:before="240" w:after="120"/>
              <w:rPr>
                <w:rFonts w:eastAsia="Times New Roman" w:cstheme="minorHAnsi"/>
                <w:lang w:eastAsia="en-AU"/>
              </w:rPr>
            </w:pPr>
            <w:r w:rsidRPr="00A45B01">
              <w:rPr>
                <w:rFonts w:eastAsia="Times New Roman" w:cstheme="minorHAnsi"/>
                <w:lang w:eastAsia="en-AU"/>
              </w:rPr>
              <w:t>Product reference data for energy plans in Victoria</w:t>
            </w:r>
          </w:p>
        </w:tc>
      </w:tr>
      <w:tr w:rsidR="00F16C6C" w:rsidRPr="00A45B01" w14:paraId="454676DA" w14:textId="77777777" w:rsidTr="00423A25">
        <w:tc>
          <w:tcPr>
            <w:tcW w:w="1266"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489CA2B5" w14:textId="77777777" w:rsidR="00F16C6C" w:rsidRPr="00A45B01" w:rsidRDefault="00F16C6C" w:rsidP="00423A25">
            <w:pPr>
              <w:spacing w:before="240" w:after="120"/>
              <w:rPr>
                <w:rFonts w:eastAsia="Times New Roman" w:cstheme="minorHAnsi"/>
                <w:b/>
                <w:lang w:eastAsia="en-AU"/>
              </w:rPr>
            </w:pPr>
            <w:r w:rsidRPr="00A45B01">
              <w:rPr>
                <w:rFonts w:eastAsia="Times New Roman" w:cstheme="minorHAnsi"/>
                <w:b/>
                <w:color w:val="000000"/>
                <w:lang w:eastAsia="en-AU"/>
              </w:rPr>
              <w:t>Tranche 2</w:t>
            </w:r>
          </w:p>
        </w:tc>
        <w:tc>
          <w:tcPr>
            <w:tcW w:w="159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3C1AD46B" w14:textId="77777777" w:rsidR="00F16C6C" w:rsidRPr="00A45B01" w:rsidRDefault="00F16C6C" w:rsidP="00423A25">
            <w:pPr>
              <w:spacing w:before="240" w:after="120"/>
              <w:rPr>
                <w:rFonts w:eastAsia="Times New Roman" w:cstheme="minorHAnsi"/>
                <w:lang w:eastAsia="en-AU"/>
              </w:rPr>
            </w:pPr>
            <w:r w:rsidRPr="00A45B01">
              <w:rPr>
                <w:rFonts w:eastAsia="Times New Roman" w:cstheme="minorHAnsi"/>
                <w:color w:val="000000"/>
                <w:lang w:eastAsia="en-AU"/>
              </w:rPr>
              <w:t xml:space="preserve">1 October 2023 </w:t>
            </w:r>
          </w:p>
        </w:tc>
        <w:tc>
          <w:tcPr>
            <w:tcW w:w="0" w:type="auto"/>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6C53DE77" w14:textId="77777777" w:rsidR="00F16C6C" w:rsidRPr="00A45B01" w:rsidRDefault="00F16C6C" w:rsidP="00423A25">
            <w:pPr>
              <w:spacing w:before="240" w:after="120"/>
              <w:rPr>
                <w:rFonts w:eastAsia="Times New Roman" w:cstheme="minorHAnsi"/>
                <w:lang w:eastAsia="en-AU"/>
              </w:rPr>
            </w:pPr>
            <w:r w:rsidRPr="00A45B01">
              <w:rPr>
                <w:rFonts w:eastAsia="Times New Roman" w:cstheme="minorHAnsi"/>
                <w:color w:val="000000"/>
                <w:lang w:eastAsia="en-AU"/>
              </w:rPr>
              <w:t>All other retailers</w:t>
            </w:r>
          </w:p>
        </w:tc>
        <w:tc>
          <w:tcPr>
            <w:tcW w:w="0" w:type="auto"/>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688A7403" w14:textId="77777777" w:rsidR="00F16C6C" w:rsidRPr="00A45B01" w:rsidRDefault="00F16C6C" w:rsidP="00423A25">
            <w:pPr>
              <w:spacing w:before="240" w:after="120"/>
              <w:rPr>
                <w:rFonts w:eastAsia="Times New Roman" w:cstheme="minorHAnsi"/>
                <w:color w:val="000000"/>
                <w:lang w:eastAsia="en-AU"/>
              </w:rPr>
            </w:pPr>
            <w:r w:rsidRPr="00A45B01">
              <w:rPr>
                <w:rFonts w:eastAsia="Times New Roman" w:cstheme="minorHAnsi"/>
                <w:color w:val="000000"/>
                <w:lang w:eastAsia="en-AU"/>
              </w:rPr>
              <w:t>Consumer data held by all other retailers</w:t>
            </w:r>
          </w:p>
          <w:p w14:paraId="22918FCD" w14:textId="77777777" w:rsidR="00F16C6C" w:rsidRPr="00A45B01" w:rsidRDefault="00F16C6C" w:rsidP="00423A25">
            <w:pPr>
              <w:spacing w:before="240" w:after="120"/>
              <w:rPr>
                <w:rFonts w:eastAsia="Times New Roman" w:cstheme="minorHAnsi"/>
                <w:lang w:eastAsia="en-AU"/>
              </w:rPr>
            </w:pPr>
            <w:r w:rsidRPr="00A45B01">
              <w:rPr>
                <w:rFonts w:eastAsia="Times New Roman" w:cstheme="minorHAnsi"/>
                <w:color w:val="000000"/>
                <w:lang w:eastAsia="en-AU"/>
              </w:rPr>
              <w:t>Consumer data held by AEMO relating to customers of all other retailers</w:t>
            </w:r>
          </w:p>
        </w:tc>
      </w:tr>
    </w:tbl>
    <w:p w14:paraId="3B4A58B2" w14:textId="77777777" w:rsidR="00F16C6C" w:rsidRPr="00A45B01" w:rsidRDefault="00F16C6C" w:rsidP="00F16C6C">
      <w:pPr>
        <w:tabs>
          <w:tab w:val="left" w:pos="1987"/>
        </w:tabs>
        <w:spacing w:before="240" w:after="120"/>
        <w:rPr>
          <w:rStyle w:val="SubtleEmphasis"/>
          <w:sz w:val="20"/>
          <w:szCs w:val="20"/>
        </w:rPr>
      </w:pPr>
      <w:r w:rsidRPr="00A45B01">
        <w:rPr>
          <w:rStyle w:val="SubtleEmphasis"/>
          <w:sz w:val="20"/>
          <w:szCs w:val="20"/>
        </w:rPr>
        <w:t>*Subject to agreement with the Victorian Government.</w:t>
      </w:r>
    </w:p>
    <w:p w14:paraId="2E3973CA" w14:textId="77777777" w:rsidR="00F16C6C" w:rsidRPr="00A45B01" w:rsidRDefault="00F16C6C" w:rsidP="00F16C6C">
      <w:pPr>
        <w:tabs>
          <w:tab w:val="left" w:pos="1987"/>
        </w:tabs>
        <w:spacing w:before="240" w:after="120"/>
        <w:rPr>
          <w:rFonts w:eastAsia="Times New Roman" w:cstheme="minorHAnsi"/>
          <w:lang w:eastAsia="en-AU"/>
        </w:rPr>
      </w:pPr>
      <w:r w:rsidRPr="00A45B01">
        <w:rPr>
          <w:rFonts w:eastAsia="Times New Roman" w:cstheme="minorHAnsi"/>
          <w:lang w:eastAsia="en-AU"/>
        </w:rPr>
        <w:t>Treasury seeks views on the proposed staged implementation approach and commencement dates for the two tranches.</w:t>
      </w:r>
    </w:p>
    <w:p w14:paraId="6D1BDF07" w14:textId="77777777" w:rsidR="00F16C6C" w:rsidRPr="00A45B01" w:rsidRDefault="00F16C6C" w:rsidP="00F16C6C">
      <w:pPr>
        <w:keepNext/>
        <w:tabs>
          <w:tab w:val="left" w:pos="1987"/>
        </w:tabs>
        <w:spacing w:before="240" w:after="120"/>
        <w:rPr>
          <w:rFonts w:eastAsia="Times New Roman" w:cstheme="minorHAnsi"/>
          <w:b/>
          <w:lang w:eastAsia="en-AU"/>
        </w:rPr>
      </w:pPr>
      <w:r w:rsidRPr="00A45B01">
        <w:rPr>
          <w:rFonts w:eastAsia="Times New Roman" w:cstheme="minorHAnsi"/>
          <w:b/>
          <w:lang w:eastAsia="en-AU"/>
        </w:rPr>
        <w:lastRenderedPageBreak/>
        <w:t>Regulatory impact and costs</w:t>
      </w:r>
    </w:p>
    <w:p w14:paraId="6147F6CB" w14:textId="77777777" w:rsidR="00F16C6C" w:rsidRPr="00A45B01" w:rsidRDefault="00F16C6C" w:rsidP="00F16C6C">
      <w:pPr>
        <w:keepNext/>
        <w:tabs>
          <w:tab w:val="left" w:pos="1987"/>
        </w:tabs>
        <w:spacing w:before="240" w:after="120"/>
        <w:rPr>
          <w:rFonts w:eastAsia="Times New Roman" w:cstheme="minorHAnsi"/>
          <w:i/>
          <w:lang w:eastAsia="en-AU"/>
        </w:rPr>
      </w:pPr>
      <w:r w:rsidRPr="00A45B01">
        <w:rPr>
          <w:rFonts w:eastAsia="Times New Roman" w:cstheme="minorHAnsi"/>
          <w:i/>
          <w:lang w:eastAsia="en-AU"/>
        </w:rPr>
        <w:t>Relevant documents</w:t>
      </w:r>
      <w:r w:rsidRPr="00A45B01">
        <w:rPr>
          <w:rFonts w:eastAsia="Times New Roman" w:cstheme="minorHAnsi"/>
          <w:i/>
          <w:iCs/>
          <w:lang w:eastAsia="en-AU"/>
        </w:rPr>
        <w:t>: exposure draft rules; exposure draft regulations</w:t>
      </w:r>
    </w:p>
    <w:p w14:paraId="20D3AF47" w14:textId="77777777" w:rsidR="00F16C6C" w:rsidRPr="00A45B01" w:rsidRDefault="00F16C6C" w:rsidP="00F16C6C">
      <w:r w:rsidRPr="00A45B01">
        <w:t>In accordance with the Office of Best Practice Regulation’s requirements, Treasury seeks stakeholder views on the regulatory impact and costs associated with CDR in energy. In particular, we seek views regarding the readiness of your business to implement the peer-to-peer data access model and the proposed CDR obligations required by the regulations, as per the consultation questions below.</w:t>
      </w:r>
    </w:p>
    <w:p w14:paraId="73F7EEFD" w14:textId="77777777" w:rsidR="00F16C6C" w:rsidRPr="00A45B01" w:rsidRDefault="00F16C6C" w:rsidP="00F16C6C">
      <w:pPr>
        <w:pStyle w:val="Heading2"/>
        <w:spacing w:before="240" w:after="120"/>
        <w:rPr>
          <w:color w:val="002760"/>
        </w:rPr>
      </w:pPr>
      <w:bookmarkStart w:id="30" w:name="_Toc79424514"/>
      <w:r w:rsidRPr="00A45B01">
        <w:rPr>
          <w:color w:val="002760"/>
        </w:rPr>
        <w:t>Consultation questions</w:t>
      </w:r>
      <w:bookmarkEnd w:id="30"/>
    </w:p>
    <w:tbl>
      <w:tblPr>
        <w:tblStyle w:val="TableGrid"/>
        <w:tblW w:w="0" w:type="auto"/>
        <w:tblLook w:val="04A0" w:firstRow="1" w:lastRow="0" w:firstColumn="1" w:lastColumn="0" w:noHBand="0" w:noVBand="1"/>
      </w:tblPr>
      <w:tblGrid>
        <w:gridCol w:w="8980"/>
      </w:tblGrid>
      <w:tr w:rsidR="00F16C6C" w:rsidRPr="005C0EF6" w14:paraId="6FF8FA07" w14:textId="77777777" w:rsidTr="00423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0" w:type="dxa"/>
            <w:tcBorders>
              <w:top w:val="single" w:sz="18" w:space="0" w:color="002760"/>
              <w:left w:val="single" w:sz="18" w:space="0" w:color="002760"/>
              <w:bottom w:val="single" w:sz="18" w:space="0" w:color="002760"/>
              <w:right w:val="single" w:sz="18" w:space="0" w:color="002760"/>
            </w:tcBorders>
          </w:tcPr>
          <w:p w14:paraId="09984298" w14:textId="1CFC0A70" w:rsidR="00F16C6C" w:rsidRPr="00A45B01" w:rsidRDefault="00323AA7" w:rsidP="00423A25">
            <w:pPr>
              <w:numPr>
                <w:ilvl w:val="0"/>
                <w:numId w:val="3"/>
              </w:numPr>
              <w:spacing w:before="240" w:after="120"/>
              <w:rPr>
                <w:rFonts w:asciiTheme="minorHAnsi" w:hAnsiTheme="minorHAnsi" w:cstheme="minorHAnsi"/>
                <w:b w:val="0"/>
                <w:bCs/>
                <w:sz w:val="22"/>
              </w:rPr>
            </w:pPr>
            <w:bookmarkStart w:id="31" w:name="_Hlk76726155"/>
            <w:bookmarkStart w:id="32" w:name="_Hlk76728946"/>
            <w:r w:rsidRPr="00A45B01">
              <w:rPr>
                <w:rFonts w:asciiTheme="minorHAnsi" w:hAnsiTheme="minorHAnsi" w:cstheme="minorHAnsi"/>
                <w:b w:val="0"/>
                <w:bCs/>
                <w:sz w:val="22"/>
              </w:rPr>
              <w:t xml:space="preserve">Do you consider </w:t>
            </w:r>
            <w:r w:rsidR="00F16C6C" w:rsidRPr="00A45B01">
              <w:rPr>
                <w:rFonts w:asciiTheme="minorHAnsi" w:hAnsiTheme="minorHAnsi" w:cstheme="minorHAnsi"/>
                <w:b w:val="0"/>
                <w:bCs/>
                <w:sz w:val="22"/>
              </w:rPr>
              <w:t xml:space="preserve">the proposed </w:t>
            </w:r>
            <w:r w:rsidR="000A43FF" w:rsidRPr="00A45B01">
              <w:rPr>
                <w:rFonts w:asciiTheme="minorHAnsi" w:hAnsiTheme="minorHAnsi" w:cstheme="minorHAnsi"/>
                <w:b w:val="0"/>
                <w:bCs/>
                <w:sz w:val="22"/>
              </w:rPr>
              <w:t xml:space="preserve">inclusion of </w:t>
            </w:r>
            <w:r w:rsidR="00983313" w:rsidRPr="00A45B01">
              <w:rPr>
                <w:rFonts w:asciiTheme="minorHAnsi" w:hAnsiTheme="minorHAnsi" w:cstheme="minorHAnsi"/>
                <w:b w:val="0"/>
                <w:bCs/>
                <w:sz w:val="22"/>
              </w:rPr>
              <w:t xml:space="preserve">all </w:t>
            </w:r>
            <w:r w:rsidR="00983EF4" w:rsidRPr="00A45B01">
              <w:rPr>
                <w:rFonts w:asciiTheme="minorHAnsi" w:hAnsiTheme="minorHAnsi" w:cstheme="minorHAnsi"/>
                <w:b w:val="0"/>
                <w:bCs/>
                <w:sz w:val="22"/>
              </w:rPr>
              <w:t xml:space="preserve">NEM retail </w:t>
            </w:r>
            <w:r w:rsidR="00F16C6C" w:rsidRPr="00A45B01">
              <w:rPr>
                <w:rFonts w:asciiTheme="minorHAnsi" w:hAnsiTheme="minorHAnsi" w:cstheme="minorHAnsi"/>
                <w:b w:val="0"/>
                <w:bCs/>
                <w:sz w:val="22"/>
              </w:rPr>
              <w:t>customers</w:t>
            </w:r>
            <w:r w:rsidRPr="00A45B01">
              <w:rPr>
                <w:rFonts w:asciiTheme="minorHAnsi" w:hAnsiTheme="minorHAnsi" w:cstheme="minorHAnsi"/>
                <w:b w:val="0"/>
                <w:bCs/>
                <w:sz w:val="22"/>
              </w:rPr>
              <w:t>,</w:t>
            </w:r>
            <w:r w:rsidR="00983313" w:rsidRPr="00A45B01">
              <w:rPr>
                <w:rFonts w:asciiTheme="minorHAnsi" w:hAnsiTheme="minorHAnsi" w:cstheme="minorHAnsi"/>
                <w:b w:val="0"/>
                <w:bCs/>
                <w:sz w:val="22"/>
              </w:rPr>
              <w:t xml:space="preserve"> for all data sets</w:t>
            </w:r>
            <w:r w:rsidR="00FF636A" w:rsidRPr="00A45B01">
              <w:rPr>
                <w:rFonts w:asciiTheme="minorHAnsi" w:hAnsiTheme="minorHAnsi" w:cstheme="minorHAnsi"/>
                <w:b w:val="0"/>
                <w:bCs/>
                <w:sz w:val="22"/>
              </w:rPr>
              <w:t xml:space="preserve">, </w:t>
            </w:r>
            <w:r w:rsidR="000A43FF" w:rsidRPr="00A45B01">
              <w:rPr>
                <w:rFonts w:asciiTheme="minorHAnsi" w:hAnsiTheme="minorHAnsi" w:cstheme="minorHAnsi"/>
                <w:b w:val="0"/>
                <w:bCs/>
                <w:sz w:val="22"/>
              </w:rPr>
              <w:t>is</w:t>
            </w:r>
            <w:r w:rsidR="00F16C6C" w:rsidRPr="00A45B01">
              <w:rPr>
                <w:rFonts w:asciiTheme="minorHAnsi" w:hAnsiTheme="minorHAnsi" w:cstheme="minorHAnsi"/>
                <w:b w:val="0"/>
                <w:bCs/>
                <w:sz w:val="22"/>
              </w:rPr>
              <w:t xml:space="preserve"> appropriate? Are there alternative</w:t>
            </w:r>
            <w:r w:rsidR="000A43FF" w:rsidRPr="00A45B01">
              <w:rPr>
                <w:rFonts w:asciiTheme="minorHAnsi" w:hAnsiTheme="minorHAnsi" w:cstheme="minorHAnsi"/>
                <w:b w:val="0"/>
                <w:bCs/>
                <w:sz w:val="22"/>
              </w:rPr>
              <w:t xml:space="preserve"> eligibility requirement</w:t>
            </w:r>
            <w:r w:rsidR="00F16C6C" w:rsidRPr="00A45B01">
              <w:rPr>
                <w:rFonts w:asciiTheme="minorHAnsi" w:hAnsiTheme="minorHAnsi" w:cstheme="minorHAnsi"/>
                <w:b w:val="0"/>
                <w:bCs/>
                <w:sz w:val="22"/>
              </w:rPr>
              <w:t xml:space="preserve">s </w:t>
            </w:r>
            <w:r w:rsidR="00983313" w:rsidRPr="00A45B01">
              <w:rPr>
                <w:rFonts w:asciiTheme="minorHAnsi" w:hAnsiTheme="minorHAnsi" w:cstheme="minorHAnsi"/>
                <w:b w:val="0"/>
                <w:bCs/>
                <w:sz w:val="22"/>
              </w:rPr>
              <w:t>that</w:t>
            </w:r>
            <w:r w:rsidR="00F16C6C" w:rsidRPr="00A45B01">
              <w:rPr>
                <w:rFonts w:asciiTheme="minorHAnsi" w:hAnsiTheme="minorHAnsi" w:cstheme="minorHAnsi"/>
                <w:b w:val="0"/>
                <w:bCs/>
                <w:sz w:val="22"/>
              </w:rPr>
              <w:t xml:space="preserve"> you consider would be more appropriate?</w:t>
            </w:r>
            <w:r w:rsidR="00983313" w:rsidRPr="00A45B01">
              <w:rPr>
                <w:rFonts w:asciiTheme="minorHAnsi" w:hAnsiTheme="minorHAnsi" w:cstheme="minorHAnsi"/>
                <w:b w:val="0"/>
                <w:bCs/>
                <w:sz w:val="22"/>
              </w:rPr>
              <w:t xml:space="preserve"> If yes, please provide detailed reasoning as to why</w:t>
            </w:r>
            <w:r w:rsidR="000A43FF" w:rsidRPr="00A45B01">
              <w:rPr>
                <w:rFonts w:asciiTheme="minorHAnsi" w:hAnsiTheme="minorHAnsi" w:cstheme="minorHAnsi"/>
                <w:b w:val="0"/>
                <w:bCs/>
                <w:sz w:val="22"/>
              </w:rPr>
              <w:t xml:space="preserve">, including </w:t>
            </w:r>
            <w:r w:rsidR="00484B91" w:rsidRPr="00A45B01">
              <w:rPr>
                <w:rFonts w:asciiTheme="minorHAnsi" w:hAnsiTheme="minorHAnsi" w:cstheme="minorHAnsi"/>
                <w:b w:val="0"/>
                <w:bCs/>
                <w:sz w:val="22"/>
              </w:rPr>
              <w:t>supporting information in relation to compliance costs</w:t>
            </w:r>
            <w:r w:rsidR="000A43FF" w:rsidRPr="00A45B01">
              <w:rPr>
                <w:rFonts w:asciiTheme="minorHAnsi" w:hAnsiTheme="minorHAnsi" w:cstheme="minorHAnsi"/>
                <w:b w:val="0"/>
                <w:bCs/>
                <w:sz w:val="22"/>
              </w:rPr>
              <w:t xml:space="preserve"> if relevant</w:t>
            </w:r>
            <w:r w:rsidR="00983313" w:rsidRPr="00A45B01">
              <w:rPr>
                <w:rFonts w:asciiTheme="minorHAnsi" w:hAnsiTheme="minorHAnsi" w:cstheme="minorHAnsi"/>
                <w:b w:val="0"/>
                <w:bCs/>
                <w:sz w:val="22"/>
              </w:rPr>
              <w:t>.</w:t>
            </w:r>
          </w:p>
          <w:p w14:paraId="313F7D3D" w14:textId="77777777" w:rsidR="00F16C6C" w:rsidRPr="00A45B01" w:rsidRDefault="00F16C6C" w:rsidP="00423A25">
            <w:pPr>
              <w:numPr>
                <w:ilvl w:val="0"/>
                <w:numId w:val="3"/>
              </w:numPr>
              <w:spacing w:before="240" w:after="120"/>
              <w:rPr>
                <w:rFonts w:asciiTheme="minorHAnsi" w:hAnsiTheme="minorHAnsi" w:cstheme="minorHAnsi"/>
                <w:b w:val="0"/>
                <w:bCs/>
                <w:sz w:val="22"/>
              </w:rPr>
            </w:pPr>
            <w:r w:rsidRPr="00A45B01">
              <w:rPr>
                <w:rFonts w:asciiTheme="minorHAnsi" w:hAnsiTheme="minorHAnsi" w:cstheme="minorHAnsi"/>
                <w:b w:val="0"/>
                <w:bCs/>
                <w:sz w:val="22"/>
              </w:rPr>
              <w:t>Do you consider the proposed mechanisms for correction of AEMO-held data provide an effective way to ensure data accuracy? Are there opportunities to improve the proposed mechanism, in a manner that is compatible with current National Electricity Market processes?</w:t>
            </w:r>
          </w:p>
          <w:p w14:paraId="6BB45397" w14:textId="77777777" w:rsidR="00F16C6C" w:rsidRPr="00A45B01" w:rsidRDefault="00F16C6C" w:rsidP="00423A25">
            <w:pPr>
              <w:numPr>
                <w:ilvl w:val="0"/>
                <w:numId w:val="3"/>
              </w:numPr>
              <w:spacing w:before="240" w:after="120"/>
              <w:rPr>
                <w:rFonts w:asciiTheme="minorHAnsi" w:hAnsiTheme="minorHAnsi" w:cstheme="minorHAnsi"/>
                <w:b w:val="0"/>
                <w:bCs/>
                <w:sz w:val="22"/>
              </w:rPr>
            </w:pPr>
            <w:r w:rsidRPr="00A45B01">
              <w:rPr>
                <w:rFonts w:asciiTheme="minorHAnsi" w:hAnsiTheme="minorHAnsi" w:cstheme="minorHAnsi"/>
                <w:b w:val="0"/>
                <w:bCs/>
                <w:sz w:val="22"/>
              </w:rPr>
              <w:t>Does the staged implementation approach provide sufficient time to implement the CDR while meeting the intent to facilitate consumer access to their data?</w:t>
            </w:r>
          </w:p>
          <w:p w14:paraId="7FF7BE2A" w14:textId="77777777" w:rsidR="00F16C6C" w:rsidRPr="00A45B01" w:rsidRDefault="00F16C6C" w:rsidP="00423A25">
            <w:pPr>
              <w:numPr>
                <w:ilvl w:val="0"/>
                <w:numId w:val="3"/>
              </w:numPr>
              <w:spacing w:before="240" w:after="120"/>
              <w:rPr>
                <w:rFonts w:asciiTheme="minorHAnsi" w:hAnsiTheme="minorHAnsi" w:cstheme="minorHAnsi"/>
                <w:b w:val="0"/>
                <w:bCs/>
                <w:sz w:val="22"/>
              </w:rPr>
            </w:pPr>
            <w:r w:rsidRPr="00A45B01">
              <w:rPr>
                <w:rFonts w:asciiTheme="minorHAnsi" w:hAnsiTheme="minorHAnsi" w:cstheme="minorHAnsi"/>
                <w:b w:val="0"/>
                <w:bCs/>
                <w:sz w:val="22"/>
              </w:rPr>
              <w:t xml:space="preserve">Are you able, at this point, to identify your potential costs and timing to be ready to implement the CDR, and the implication these have for your business? </w:t>
            </w:r>
          </w:p>
          <w:p w14:paraId="5E474A44" w14:textId="77777777" w:rsidR="00F16C6C" w:rsidRPr="00A45B01" w:rsidRDefault="00F16C6C" w:rsidP="00423A25">
            <w:pPr>
              <w:numPr>
                <w:ilvl w:val="0"/>
                <w:numId w:val="3"/>
              </w:numPr>
              <w:spacing w:before="240" w:after="120"/>
              <w:rPr>
                <w:rStyle w:val="Heading2Char"/>
                <w:rFonts w:ascii="Trebuchet MS" w:eastAsiaTheme="minorHAnsi" w:hAnsi="Trebuchet MS" w:cstheme="minorBidi"/>
                <w:b w:val="0"/>
                <w:color w:val="auto"/>
                <w:sz w:val="20"/>
                <w:szCs w:val="22"/>
              </w:rPr>
            </w:pPr>
            <w:r w:rsidRPr="00A45B01">
              <w:rPr>
                <w:rFonts w:asciiTheme="minorHAnsi" w:hAnsiTheme="minorHAnsi" w:cstheme="minorHAnsi"/>
                <w:b w:val="0"/>
                <w:bCs/>
                <w:sz w:val="22"/>
              </w:rPr>
              <w:t xml:space="preserve">Are you able to identify any requirements of the draft rules that will make compliance with CDR more challenging? </w:t>
            </w:r>
            <w:bookmarkEnd w:id="31"/>
          </w:p>
        </w:tc>
      </w:tr>
      <w:bookmarkEnd w:id="32"/>
    </w:tbl>
    <w:p w14:paraId="0C1BA822" w14:textId="1C0DC4C5" w:rsidR="00A22553" w:rsidRPr="00F16C6C" w:rsidRDefault="00A22553" w:rsidP="00F16C6C"/>
    <w:sectPr w:rsidR="00A22553" w:rsidRPr="00F16C6C" w:rsidSect="00582C82">
      <w:footerReference w:type="default" r:id="rId1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B5E75" w14:textId="77777777" w:rsidR="009927AE" w:rsidRDefault="009927AE" w:rsidP="00E43B2B">
      <w:pPr>
        <w:spacing w:before="0"/>
      </w:pPr>
      <w:r>
        <w:separator/>
      </w:r>
    </w:p>
  </w:endnote>
  <w:endnote w:type="continuationSeparator" w:id="0">
    <w:p w14:paraId="2C60993C" w14:textId="77777777" w:rsidR="009927AE" w:rsidRDefault="009927AE" w:rsidP="00E43B2B">
      <w:pPr>
        <w:spacing w:before="0"/>
      </w:pPr>
      <w:r>
        <w:continuationSeparator/>
      </w:r>
    </w:p>
  </w:endnote>
  <w:endnote w:type="continuationNotice" w:id="1">
    <w:p w14:paraId="7D085AB3" w14:textId="77777777" w:rsidR="009927AE" w:rsidRDefault="009927A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9811663"/>
      <w:docPartObj>
        <w:docPartGallery w:val="Page Numbers (Bottom of Page)"/>
        <w:docPartUnique/>
      </w:docPartObj>
    </w:sdtPr>
    <w:sdtEndPr>
      <w:rPr>
        <w:noProof/>
      </w:rPr>
    </w:sdtEndPr>
    <w:sdtContent>
      <w:p w14:paraId="3AAC95C8" w14:textId="77777777" w:rsidR="009927AE" w:rsidRDefault="009927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FAE3C4" w14:textId="77777777" w:rsidR="009927AE" w:rsidRDefault="00992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F66C3" w14:textId="77777777" w:rsidR="009927AE" w:rsidRDefault="009927AE" w:rsidP="000E2F1E">
    <w:pPr>
      <w:pStyle w:val="SecurityClassificationFooter"/>
    </w:pPr>
  </w:p>
  <w:sdt>
    <w:sdtPr>
      <w:id w:val="1181555732"/>
      <w:docPartObj>
        <w:docPartGallery w:val="Page Numbers (Bottom of Page)"/>
        <w:docPartUnique/>
      </w:docPartObj>
    </w:sdtPr>
    <w:sdtEndPr>
      <w:rPr>
        <w:noProof/>
      </w:rPr>
    </w:sdtEndPr>
    <w:sdtContent>
      <w:p w14:paraId="2F362D1E" w14:textId="77777777" w:rsidR="009927AE" w:rsidRDefault="009927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6DAF6A" w14:textId="77777777" w:rsidR="009927AE" w:rsidRDefault="009927AE" w:rsidP="000E2F1E">
    <w:pPr>
      <w:pStyle w:val="SecurityClassification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6149061"/>
      <w:docPartObj>
        <w:docPartGallery w:val="Page Numbers (Bottom of Page)"/>
        <w:docPartUnique/>
      </w:docPartObj>
    </w:sdtPr>
    <w:sdtEndPr>
      <w:rPr>
        <w:noProof/>
      </w:rPr>
    </w:sdtEndPr>
    <w:sdtContent>
      <w:p w14:paraId="543BFCFE" w14:textId="77777777" w:rsidR="009927AE" w:rsidRDefault="009927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6584F3" w14:textId="77777777" w:rsidR="009927AE" w:rsidRDefault="00992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6686C" w14:textId="77777777" w:rsidR="009927AE" w:rsidRDefault="009927AE" w:rsidP="00E43B2B">
      <w:pPr>
        <w:spacing w:before="0"/>
      </w:pPr>
      <w:r>
        <w:separator/>
      </w:r>
    </w:p>
  </w:footnote>
  <w:footnote w:type="continuationSeparator" w:id="0">
    <w:p w14:paraId="44EFB69D" w14:textId="77777777" w:rsidR="009927AE" w:rsidRDefault="009927AE" w:rsidP="00E43B2B">
      <w:pPr>
        <w:spacing w:before="0"/>
      </w:pPr>
      <w:r>
        <w:continuationSeparator/>
      </w:r>
    </w:p>
  </w:footnote>
  <w:footnote w:type="continuationNotice" w:id="1">
    <w:p w14:paraId="3FEBB80D" w14:textId="77777777" w:rsidR="009927AE" w:rsidRDefault="009927AE">
      <w:pPr>
        <w:spacing w:before="0"/>
      </w:pPr>
    </w:p>
  </w:footnote>
  <w:footnote w:id="2">
    <w:p w14:paraId="1F0471B7" w14:textId="7B214041" w:rsidR="00E94E60" w:rsidRDefault="00E94E60" w:rsidP="002570ED">
      <w:pPr>
        <w:pStyle w:val="FootnoteText"/>
        <w:ind w:left="567" w:hanging="567"/>
      </w:pPr>
      <w:r>
        <w:rPr>
          <w:rStyle w:val="FootnoteReference"/>
        </w:rPr>
        <w:footnoteRef/>
      </w:r>
      <w:r>
        <w:t xml:space="preserve"> </w:t>
      </w:r>
      <w:r>
        <w:tab/>
      </w:r>
      <w:r w:rsidRPr="00A45B01">
        <w:t>A retail customer is in the NEM when there is a retailer that is financially responsible for the customer in the wholesale market, so customers that purchase from an embedded network are not eligible consumers, unless they have chosen to go ‘on market’ in the NEM.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C611F4F"/>
    <w:multiLevelType w:val="hybridMultilevel"/>
    <w:tmpl w:val="C24466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D2542B"/>
    <w:multiLevelType w:val="hybridMultilevel"/>
    <w:tmpl w:val="7C60E1FC"/>
    <w:lvl w:ilvl="0" w:tplc="021E8868">
      <w:start w:val="1"/>
      <w:numFmt w:val="decimal"/>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71B2B49"/>
    <w:multiLevelType w:val="hybridMultilevel"/>
    <w:tmpl w:val="8C729C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4CFE0190"/>
    <w:multiLevelType w:val="hybridMultilevel"/>
    <w:tmpl w:val="314A629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7A43C0B"/>
    <w:multiLevelType w:val="multilevel"/>
    <w:tmpl w:val="A4F4C24A"/>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66F5DC1"/>
    <w:multiLevelType w:val="hybridMultilevel"/>
    <w:tmpl w:val="90A696C8"/>
    <w:lvl w:ilvl="0" w:tplc="A9F6C6EE">
      <w:start w:val="1"/>
      <w:numFmt w:val="decimal"/>
      <w:lvlText w:val="%1."/>
      <w:lvlJc w:val="left"/>
      <w:pPr>
        <w:ind w:left="360" w:hanging="360"/>
      </w:pPr>
      <w:rPr>
        <w:b w:val="0"/>
        <w:i w:val="0"/>
      </w:rPr>
    </w:lvl>
    <w:lvl w:ilvl="1" w:tplc="0C090001">
      <w:start w:val="1"/>
      <w:numFmt w:val="bullet"/>
      <w:lvlText w:val=""/>
      <w:lvlJc w:val="left"/>
      <w:pPr>
        <w:ind w:left="1080" w:hanging="360"/>
      </w:pPr>
      <w:rPr>
        <w:rFonts w:ascii="Symbol" w:hAnsi="Symbol" w:hint="default"/>
        <w:b w:val="0"/>
        <w:i w:val="0"/>
      </w:rPr>
    </w:lvl>
    <w:lvl w:ilvl="2" w:tplc="F3F237C2">
      <w:start w:val="1"/>
      <w:numFmt w:val="lowerRoman"/>
      <w:lvlText w:val="%3."/>
      <w:lvlJc w:val="right"/>
      <w:pPr>
        <w:ind w:left="1800" w:hanging="180"/>
      </w:pPr>
      <w:rPr>
        <w:b w:val="0"/>
        <w:i w:val="0"/>
      </w:rPr>
    </w:lvl>
    <w:lvl w:ilvl="3" w:tplc="4BCAEFF4">
      <w:start w:val="19"/>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15:restartNumberingAfterBreak="0">
    <w:nsid w:val="7C1E6E96"/>
    <w:multiLevelType w:val="hybridMultilevel"/>
    <w:tmpl w:val="16CAA6EA"/>
    <w:lvl w:ilvl="0" w:tplc="4CC8EA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6"/>
  </w:num>
  <w:num w:numId="6">
    <w:abstractNumId w:val="4"/>
  </w:num>
  <w:num w:numId="7">
    <w:abstractNumId w:val="7"/>
  </w:num>
  <w:num w:numId="8">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defaultTabStop w:val="720"/>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A22553"/>
    <w:rsid w:val="00003A7F"/>
    <w:rsid w:val="0001669E"/>
    <w:rsid w:val="00017700"/>
    <w:rsid w:val="00017FD3"/>
    <w:rsid w:val="0002643E"/>
    <w:rsid w:val="00026A9B"/>
    <w:rsid w:val="0005017F"/>
    <w:rsid w:val="000515EE"/>
    <w:rsid w:val="00053DDD"/>
    <w:rsid w:val="00063389"/>
    <w:rsid w:val="0006760D"/>
    <w:rsid w:val="00071E72"/>
    <w:rsid w:val="0007293F"/>
    <w:rsid w:val="00072FE9"/>
    <w:rsid w:val="0007633E"/>
    <w:rsid w:val="000904CD"/>
    <w:rsid w:val="000911B5"/>
    <w:rsid w:val="000920DC"/>
    <w:rsid w:val="000A108C"/>
    <w:rsid w:val="000A43FF"/>
    <w:rsid w:val="000B1478"/>
    <w:rsid w:val="000B1C6D"/>
    <w:rsid w:val="000C2533"/>
    <w:rsid w:val="000E2F1E"/>
    <w:rsid w:val="000F33EA"/>
    <w:rsid w:val="001001F7"/>
    <w:rsid w:val="001157B1"/>
    <w:rsid w:val="00115CE1"/>
    <w:rsid w:val="001221A3"/>
    <w:rsid w:val="00130E59"/>
    <w:rsid w:val="00133B0E"/>
    <w:rsid w:val="00133D00"/>
    <w:rsid w:val="00134865"/>
    <w:rsid w:val="00141531"/>
    <w:rsid w:val="00164D4D"/>
    <w:rsid w:val="001817E2"/>
    <w:rsid w:val="00185DFB"/>
    <w:rsid w:val="00190583"/>
    <w:rsid w:val="001933AA"/>
    <w:rsid w:val="00197991"/>
    <w:rsid w:val="001B1094"/>
    <w:rsid w:val="001C0C02"/>
    <w:rsid w:val="001C3ADD"/>
    <w:rsid w:val="001C5C52"/>
    <w:rsid w:val="001C5E45"/>
    <w:rsid w:val="001F0C9E"/>
    <w:rsid w:val="00213D13"/>
    <w:rsid w:val="00213E39"/>
    <w:rsid w:val="00217383"/>
    <w:rsid w:val="00220084"/>
    <w:rsid w:val="00220B07"/>
    <w:rsid w:val="0022302A"/>
    <w:rsid w:val="0022362A"/>
    <w:rsid w:val="00224E65"/>
    <w:rsid w:val="002264AB"/>
    <w:rsid w:val="00230A02"/>
    <w:rsid w:val="00244231"/>
    <w:rsid w:val="00244E4B"/>
    <w:rsid w:val="002473F1"/>
    <w:rsid w:val="002570ED"/>
    <w:rsid w:val="002579C8"/>
    <w:rsid w:val="00262991"/>
    <w:rsid w:val="0026674C"/>
    <w:rsid w:val="00267994"/>
    <w:rsid w:val="00267C27"/>
    <w:rsid w:val="00270147"/>
    <w:rsid w:val="00275AE6"/>
    <w:rsid w:val="0028464E"/>
    <w:rsid w:val="00285254"/>
    <w:rsid w:val="002864B2"/>
    <w:rsid w:val="002901CB"/>
    <w:rsid w:val="002A0590"/>
    <w:rsid w:val="002A5A1E"/>
    <w:rsid w:val="002C447F"/>
    <w:rsid w:val="002C6FD6"/>
    <w:rsid w:val="002C77CA"/>
    <w:rsid w:val="002D265B"/>
    <w:rsid w:val="002D3B1E"/>
    <w:rsid w:val="002D5C85"/>
    <w:rsid w:val="002E4B9D"/>
    <w:rsid w:val="002E55C5"/>
    <w:rsid w:val="00311524"/>
    <w:rsid w:val="00320CAA"/>
    <w:rsid w:val="00323AA7"/>
    <w:rsid w:val="00327C02"/>
    <w:rsid w:val="003443B2"/>
    <w:rsid w:val="00351F45"/>
    <w:rsid w:val="00352402"/>
    <w:rsid w:val="0036122E"/>
    <w:rsid w:val="00367607"/>
    <w:rsid w:val="00370814"/>
    <w:rsid w:val="00373C10"/>
    <w:rsid w:val="00376A0F"/>
    <w:rsid w:val="00385FE8"/>
    <w:rsid w:val="003B7372"/>
    <w:rsid w:val="003C7DAD"/>
    <w:rsid w:val="003F29AE"/>
    <w:rsid w:val="003F42AE"/>
    <w:rsid w:val="003F60C7"/>
    <w:rsid w:val="00406281"/>
    <w:rsid w:val="00410121"/>
    <w:rsid w:val="004168B2"/>
    <w:rsid w:val="0042218B"/>
    <w:rsid w:val="00423A25"/>
    <w:rsid w:val="00432C48"/>
    <w:rsid w:val="00440202"/>
    <w:rsid w:val="00441655"/>
    <w:rsid w:val="00442DF2"/>
    <w:rsid w:val="0045258E"/>
    <w:rsid w:val="00464DBD"/>
    <w:rsid w:val="004716B2"/>
    <w:rsid w:val="004770EB"/>
    <w:rsid w:val="00480776"/>
    <w:rsid w:val="00482B9A"/>
    <w:rsid w:val="00484B91"/>
    <w:rsid w:val="00490777"/>
    <w:rsid w:val="00490B39"/>
    <w:rsid w:val="00491ECE"/>
    <w:rsid w:val="00494664"/>
    <w:rsid w:val="00495A8E"/>
    <w:rsid w:val="004A5261"/>
    <w:rsid w:val="004C2CAA"/>
    <w:rsid w:val="004C3654"/>
    <w:rsid w:val="004F2F7D"/>
    <w:rsid w:val="004F50C8"/>
    <w:rsid w:val="00513B0A"/>
    <w:rsid w:val="00515A2A"/>
    <w:rsid w:val="00524440"/>
    <w:rsid w:val="0052770C"/>
    <w:rsid w:val="005370DD"/>
    <w:rsid w:val="00553EDE"/>
    <w:rsid w:val="00556CE9"/>
    <w:rsid w:val="00565AB8"/>
    <w:rsid w:val="005731A8"/>
    <w:rsid w:val="00574CA2"/>
    <w:rsid w:val="00582C82"/>
    <w:rsid w:val="005958AB"/>
    <w:rsid w:val="005B7428"/>
    <w:rsid w:val="005C0EF6"/>
    <w:rsid w:val="005C152C"/>
    <w:rsid w:val="005D1E16"/>
    <w:rsid w:val="005D3D17"/>
    <w:rsid w:val="005D3EB3"/>
    <w:rsid w:val="005D56ED"/>
    <w:rsid w:val="005D689E"/>
    <w:rsid w:val="005F08C2"/>
    <w:rsid w:val="0060036E"/>
    <w:rsid w:val="00602367"/>
    <w:rsid w:val="006163AE"/>
    <w:rsid w:val="00616BE3"/>
    <w:rsid w:val="00617BF4"/>
    <w:rsid w:val="006309BB"/>
    <w:rsid w:val="00633155"/>
    <w:rsid w:val="00636899"/>
    <w:rsid w:val="006379ED"/>
    <w:rsid w:val="006419FF"/>
    <w:rsid w:val="00643A46"/>
    <w:rsid w:val="006547B1"/>
    <w:rsid w:val="00654BB8"/>
    <w:rsid w:val="00665336"/>
    <w:rsid w:val="0066659B"/>
    <w:rsid w:val="0067312F"/>
    <w:rsid w:val="006924A3"/>
    <w:rsid w:val="00697BAE"/>
    <w:rsid w:val="006B024B"/>
    <w:rsid w:val="006B05B9"/>
    <w:rsid w:val="006B0A50"/>
    <w:rsid w:val="006C74BB"/>
    <w:rsid w:val="006D3D84"/>
    <w:rsid w:val="006E1753"/>
    <w:rsid w:val="006E74EA"/>
    <w:rsid w:val="006F67EA"/>
    <w:rsid w:val="00720971"/>
    <w:rsid w:val="00730403"/>
    <w:rsid w:val="00735E0B"/>
    <w:rsid w:val="007416BC"/>
    <w:rsid w:val="00744F45"/>
    <w:rsid w:val="00751891"/>
    <w:rsid w:val="00757F65"/>
    <w:rsid w:val="00760E21"/>
    <w:rsid w:val="00775F33"/>
    <w:rsid w:val="007820B6"/>
    <w:rsid w:val="00784909"/>
    <w:rsid w:val="00784C50"/>
    <w:rsid w:val="007940EA"/>
    <w:rsid w:val="007A6F46"/>
    <w:rsid w:val="007B2912"/>
    <w:rsid w:val="007D749A"/>
    <w:rsid w:val="007E27D4"/>
    <w:rsid w:val="007E529A"/>
    <w:rsid w:val="008004B1"/>
    <w:rsid w:val="0080651F"/>
    <w:rsid w:val="00810AF1"/>
    <w:rsid w:val="00815B88"/>
    <w:rsid w:val="00824EDE"/>
    <w:rsid w:val="008250F5"/>
    <w:rsid w:val="008339ED"/>
    <w:rsid w:val="0083645B"/>
    <w:rsid w:val="00844BC8"/>
    <w:rsid w:val="00865003"/>
    <w:rsid w:val="00881650"/>
    <w:rsid w:val="00886A1F"/>
    <w:rsid w:val="0088739D"/>
    <w:rsid w:val="00896980"/>
    <w:rsid w:val="008A5571"/>
    <w:rsid w:val="008B574D"/>
    <w:rsid w:val="008C011F"/>
    <w:rsid w:val="008C1901"/>
    <w:rsid w:val="008C798D"/>
    <w:rsid w:val="008D2AC9"/>
    <w:rsid w:val="008D6CA3"/>
    <w:rsid w:val="008E2225"/>
    <w:rsid w:val="008F0433"/>
    <w:rsid w:val="008F2AA6"/>
    <w:rsid w:val="0091773A"/>
    <w:rsid w:val="00917D8E"/>
    <w:rsid w:val="00925433"/>
    <w:rsid w:val="00931068"/>
    <w:rsid w:val="00970E4B"/>
    <w:rsid w:val="00983313"/>
    <w:rsid w:val="00983EF4"/>
    <w:rsid w:val="009927AE"/>
    <w:rsid w:val="00994C07"/>
    <w:rsid w:val="0099626D"/>
    <w:rsid w:val="009C09E4"/>
    <w:rsid w:val="009D4FAA"/>
    <w:rsid w:val="00A12064"/>
    <w:rsid w:val="00A1675D"/>
    <w:rsid w:val="00A20F3D"/>
    <w:rsid w:val="00A21D9B"/>
    <w:rsid w:val="00A22553"/>
    <w:rsid w:val="00A22B9E"/>
    <w:rsid w:val="00A2775E"/>
    <w:rsid w:val="00A359C5"/>
    <w:rsid w:val="00A44021"/>
    <w:rsid w:val="00A45B01"/>
    <w:rsid w:val="00A627A7"/>
    <w:rsid w:val="00A62E4B"/>
    <w:rsid w:val="00A65037"/>
    <w:rsid w:val="00A67BBF"/>
    <w:rsid w:val="00A71500"/>
    <w:rsid w:val="00A744BB"/>
    <w:rsid w:val="00A842AB"/>
    <w:rsid w:val="00A91900"/>
    <w:rsid w:val="00A93524"/>
    <w:rsid w:val="00AB22CF"/>
    <w:rsid w:val="00AB6BC4"/>
    <w:rsid w:val="00AF2733"/>
    <w:rsid w:val="00AF27E8"/>
    <w:rsid w:val="00AF3EDF"/>
    <w:rsid w:val="00AF587A"/>
    <w:rsid w:val="00AF6C97"/>
    <w:rsid w:val="00AF73E1"/>
    <w:rsid w:val="00B015A7"/>
    <w:rsid w:val="00B04516"/>
    <w:rsid w:val="00B15EA8"/>
    <w:rsid w:val="00B219D3"/>
    <w:rsid w:val="00B40836"/>
    <w:rsid w:val="00B625E7"/>
    <w:rsid w:val="00B709CC"/>
    <w:rsid w:val="00B7553A"/>
    <w:rsid w:val="00B90A8D"/>
    <w:rsid w:val="00B911BC"/>
    <w:rsid w:val="00B94D9D"/>
    <w:rsid w:val="00B95B92"/>
    <w:rsid w:val="00BA1610"/>
    <w:rsid w:val="00BA6DFD"/>
    <w:rsid w:val="00BB0B09"/>
    <w:rsid w:val="00BC610A"/>
    <w:rsid w:val="00BE038E"/>
    <w:rsid w:val="00BE5AB6"/>
    <w:rsid w:val="00BE6EB6"/>
    <w:rsid w:val="00C01B55"/>
    <w:rsid w:val="00C036F7"/>
    <w:rsid w:val="00C17368"/>
    <w:rsid w:val="00C23622"/>
    <w:rsid w:val="00C24280"/>
    <w:rsid w:val="00C30673"/>
    <w:rsid w:val="00C34B3B"/>
    <w:rsid w:val="00C6039C"/>
    <w:rsid w:val="00C62089"/>
    <w:rsid w:val="00C66D63"/>
    <w:rsid w:val="00C679B1"/>
    <w:rsid w:val="00C714CE"/>
    <w:rsid w:val="00C765EF"/>
    <w:rsid w:val="00C8064E"/>
    <w:rsid w:val="00C820E3"/>
    <w:rsid w:val="00C82445"/>
    <w:rsid w:val="00C905BC"/>
    <w:rsid w:val="00CA51F7"/>
    <w:rsid w:val="00CB28DD"/>
    <w:rsid w:val="00CD08DB"/>
    <w:rsid w:val="00CE2889"/>
    <w:rsid w:val="00CE3E27"/>
    <w:rsid w:val="00CE6E00"/>
    <w:rsid w:val="00D01DA6"/>
    <w:rsid w:val="00D13AC0"/>
    <w:rsid w:val="00D15472"/>
    <w:rsid w:val="00D2194B"/>
    <w:rsid w:val="00D3411F"/>
    <w:rsid w:val="00D473C5"/>
    <w:rsid w:val="00D578C5"/>
    <w:rsid w:val="00D705DA"/>
    <w:rsid w:val="00D87836"/>
    <w:rsid w:val="00D901A0"/>
    <w:rsid w:val="00D948D0"/>
    <w:rsid w:val="00DA038A"/>
    <w:rsid w:val="00DA3D72"/>
    <w:rsid w:val="00DA41EF"/>
    <w:rsid w:val="00DA5DDF"/>
    <w:rsid w:val="00DB1BD5"/>
    <w:rsid w:val="00DB6FF3"/>
    <w:rsid w:val="00DC6447"/>
    <w:rsid w:val="00DE2077"/>
    <w:rsid w:val="00E011E6"/>
    <w:rsid w:val="00E2526B"/>
    <w:rsid w:val="00E3217C"/>
    <w:rsid w:val="00E3424C"/>
    <w:rsid w:val="00E35795"/>
    <w:rsid w:val="00E43B2B"/>
    <w:rsid w:val="00E52AD0"/>
    <w:rsid w:val="00E70905"/>
    <w:rsid w:val="00E725C0"/>
    <w:rsid w:val="00E738A7"/>
    <w:rsid w:val="00E74CDE"/>
    <w:rsid w:val="00E86057"/>
    <w:rsid w:val="00E923A6"/>
    <w:rsid w:val="00E94E60"/>
    <w:rsid w:val="00E9695A"/>
    <w:rsid w:val="00EA3391"/>
    <w:rsid w:val="00EA517F"/>
    <w:rsid w:val="00EC47B5"/>
    <w:rsid w:val="00ED5602"/>
    <w:rsid w:val="00EE03F7"/>
    <w:rsid w:val="00EE2692"/>
    <w:rsid w:val="00EE53AF"/>
    <w:rsid w:val="00EF07F6"/>
    <w:rsid w:val="00F16C6C"/>
    <w:rsid w:val="00F232B6"/>
    <w:rsid w:val="00F2421E"/>
    <w:rsid w:val="00F452B5"/>
    <w:rsid w:val="00F513E5"/>
    <w:rsid w:val="00F5206A"/>
    <w:rsid w:val="00F54368"/>
    <w:rsid w:val="00F7674B"/>
    <w:rsid w:val="00F85F51"/>
    <w:rsid w:val="00F91770"/>
    <w:rsid w:val="00F958AF"/>
    <w:rsid w:val="00F967B5"/>
    <w:rsid w:val="00F96891"/>
    <w:rsid w:val="00F97E94"/>
    <w:rsid w:val="00FA2428"/>
    <w:rsid w:val="00FA44B2"/>
    <w:rsid w:val="00FA5338"/>
    <w:rsid w:val="00FA651C"/>
    <w:rsid w:val="00FA7E26"/>
    <w:rsid w:val="00FB38CC"/>
    <w:rsid w:val="00FB49C5"/>
    <w:rsid w:val="00FB562B"/>
    <w:rsid w:val="00FC6CE3"/>
    <w:rsid w:val="00FD4B54"/>
    <w:rsid w:val="00FD5DD8"/>
    <w:rsid w:val="00FE0AA0"/>
    <w:rsid w:val="00FE53E0"/>
    <w:rsid w:val="00FF4AC8"/>
    <w:rsid w:val="00FF56CA"/>
    <w:rsid w:val="00FF63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80AA3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553"/>
    <w:pPr>
      <w:spacing w:before="200" w:after="0" w:line="240" w:lineRule="auto"/>
    </w:pPr>
  </w:style>
  <w:style w:type="paragraph" w:styleId="Heading1">
    <w:name w:val="heading 1"/>
    <w:basedOn w:val="Normal"/>
    <w:next w:val="Normal"/>
    <w:link w:val="Heading1Char"/>
    <w:uiPriority w:val="9"/>
    <w:qFormat/>
    <w:rsid w:val="00A22553"/>
    <w:pPr>
      <w:keepNext/>
      <w:keepLines/>
      <w:spacing w:before="240" w:line="259" w:lineRule="auto"/>
      <w:outlineLvl w:val="0"/>
    </w:pPr>
    <w:rPr>
      <w:rFonts w:ascii="Calibri" w:eastAsiaTheme="majorEastAsia" w:hAnsi="Calibri" w:cstheme="majorBidi"/>
      <w:color w:val="002C47"/>
      <w:sz w:val="48"/>
      <w:szCs w:val="32"/>
    </w:rPr>
  </w:style>
  <w:style w:type="paragraph" w:styleId="Heading2">
    <w:name w:val="heading 2"/>
    <w:basedOn w:val="Normal"/>
    <w:next w:val="Normal"/>
    <w:link w:val="Heading2Char"/>
    <w:uiPriority w:val="9"/>
    <w:unhideWhenUsed/>
    <w:qFormat/>
    <w:rsid w:val="00A22553"/>
    <w:pPr>
      <w:keepNext/>
      <w:keepLines/>
      <w:spacing w:before="40" w:line="259" w:lineRule="auto"/>
      <w:outlineLvl w:val="1"/>
    </w:pPr>
    <w:rPr>
      <w:rFonts w:ascii="Calibri" w:eastAsiaTheme="majorEastAsia" w:hAnsi="Calibri" w:cstheme="majorBidi"/>
      <w:color w:val="002C47"/>
      <w:sz w:val="36"/>
      <w:szCs w:val="26"/>
    </w:rPr>
  </w:style>
  <w:style w:type="paragraph" w:styleId="Heading3">
    <w:name w:val="heading 3"/>
    <w:basedOn w:val="Normal"/>
    <w:next w:val="Normal"/>
    <w:link w:val="Heading3Char"/>
    <w:uiPriority w:val="9"/>
    <w:semiHidden/>
    <w:unhideWhenUsed/>
    <w:qFormat/>
    <w:rsid w:val="00A2255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CCC Table"/>
    <w:basedOn w:val="TableNormal"/>
    <w:uiPriority w:val="59"/>
    <w:rsid w:val="00A22553"/>
    <w:pPr>
      <w:spacing w:before="60" w:after="60" w:line="240" w:lineRule="auto"/>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character" w:styleId="CommentReference">
    <w:name w:val="annotation reference"/>
    <w:basedOn w:val="DefaultParagraphFont"/>
    <w:uiPriority w:val="99"/>
    <w:unhideWhenUsed/>
    <w:rsid w:val="00A22553"/>
    <w:rPr>
      <w:sz w:val="16"/>
      <w:szCs w:val="16"/>
    </w:rPr>
  </w:style>
  <w:style w:type="paragraph" w:styleId="CommentText">
    <w:name w:val="annotation text"/>
    <w:basedOn w:val="Normal"/>
    <w:link w:val="CommentTextChar"/>
    <w:uiPriority w:val="99"/>
    <w:unhideWhenUsed/>
    <w:rsid w:val="00A22553"/>
    <w:rPr>
      <w:sz w:val="20"/>
      <w:szCs w:val="20"/>
    </w:rPr>
  </w:style>
  <w:style w:type="character" w:customStyle="1" w:styleId="CommentTextChar">
    <w:name w:val="Comment Text Char"/>
    <w:basedOn w:val="DefaultParagraphFont"/>
    <w:link w:val="CommentText"/>
    <w:uiPriority w:val="99"/>
    <w:rsid w:val="00A22553"/>
    <w:rPr>
      <w:rFonts w:ascii="Trebuchet MS" w:hAnsi="Trebuchet MS"/>
      <w:sz w:val="20"/>
      <w:szCs w:val="20"/>
    </w:rPr>
  </w:style>
  <w:style w:type="paragraph" w:customStyle="1" w:styleId="CoverDate">
    <w:name w:val="Cover Date"/>
    <w:rsid w:val="00A22553"/>
    <w:pPr>
      <w:spacing w:before="200" w:after="0" w:line="240" w:lineRule="auto"/>
    </w:pPr>
    <w:rPr>
      <w:rFonts w:ascii="Trebuchet MS" w:hAnsi="Trebuchet MS"/>
      <w:color w:val="4472C4" w:themeColor="accent1"/>
      <w:sz w:val="24"/>
      <w:szCs w:val="24"/>
    </w:rPr>
  </w:style>
  <w:style w:type="paragraph" w:styleId="Subtitle">
    <w:name w:val="Subtitle"/>
    <w:next w:val="Normal"/>
    <w:link w:val="SubtitleChar"/>
    <w:uiPriority w:val="11"/>
    <w:qFormat/>
    <w:rsid w:val="00A22553"/>
    <w:pPr>
      <w:spacing w:before="360" w:after="120" w:line="240" w:lineRule="auto"/>
    </w:pPr>
    <w:rPr>
      <w:rFonts w:ascii="Trebuchet MS" w:hAnsi="Trebuchet MS"/>
      <w:color w:val="002760"/>
      <w:sz w:val="52"/>
      <w:szCs w:val="52"/>
    </w:rPr>
  </w:style>
  <w:style w:type="character" w:customStyle="1" w:styleId="SubtitleChar">
    <w:name w:val="Subtitle Char"/>
    <w:basedOn w:val="DefaultParagraphFont"/>
    <w:link w:val="Subtitle"/>
    <w:uiPriority w:val="11"/>
    <w:rsid w:val="00A22553"/>
    <w:rPr>
      <w:rFonts w:ascii="Trebuchet MS" w:hAnsi="Trebuchet MS"/>
      <w:color w:val="002760"/>
      <w:sz w:val="52"/>
      <w:szCs w:val="52"/>
    </w:rPr>
  </w:style>
  <w:style w:type="paragraph" w:styleId="Title">
    <w:name w:val="Title"/>
    <w:basedOn w:val="Normal"/>
    <w:next w:val="Normal"/>
    <w:link w:val="TitleChar"/>
    <w:uiPriority w:val="10"/>
    <w:qFormat/>
    <w:rsid w:val="00A22553"/>
    <w:pPr>
      <w:spacing w:before="720" w:after="120"/>
      <w:contextualSpacing/>
      <w:outlineLvl w:val="0"/>
    </w:pPr>
    <w:rPr>
      <w:rFonts w:eastAsiaTheme="majorEastAsia" w:cstheme="majorBidi"/>
      <w:b/>
      <w:color w:val="0D45D6"/>
      <w:spacing w:val="5"/>
      <w:kern w:val="28"/>
      <w:sz w:val="72"/>
      <w:szCs w:val="52"/>
    </w:rPr>
  </w:style>
  <w:style w:type="character" w:customStyle="1" w:styleId="TitleChar">
    <w:name w:val="Title Char"/>
    <w:basedOn w:val="DefaultParagraphFont"/>
    <w:link w:val="Title"/>
    <w:uiPriority w:val="10"/>
    <w:rsid w:val="00A22553"/>
    <w:rPr>
      <w:rFonts w:ascii="Trebuchet MS" w:eastAsiaTheme="majorEastAsia" w:hAnsi="Trebuchet MS" w:cstheme="majorBidi"/>
      <w:b/>
      <w:color w:val="0D45D6"/>
      <w:spacing w:val="5"/>
      <w:kern w:val="28"/>
      <w:sz w:val="72"/>
      <w:szCs w:val="52"/>
    </w:rPr>
  </w:style>
  <w:style w:type="paragraph" w:styleId="BalloonText">
    <w:name w:val="Balloon Text"/>
    <w:basedOn w:val="Normal"/>
    <w:link w:val="BalloonTextChar"/>
    <w:uiPriority w:val="99"/>
    <w:semiHidden/>
    <w:unhideWhenUsed/>
    <w:rsid w:val="00A2255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553"/>
    <w:rPr>
      <w:rFonts w:ascii="Segoe UI" w:hAnsi="Segoe UI" w:cs="Segoe UI"/>
      <w:sz w:val="18"/>
      <w:szCs w:val="18"/>
    </w:rPr>
  </w:style>
  <w:style w:type="character" w:customStyle="1" w:styleId="Heading1Char">
    <w:name w:val="Heading 1 Char"/>
    <w:basedOn w:val="DefaultParagraphFont"/>
    <w:link w:val="Heading1"/>
    <w:uiPriority w:val="9"/>
    <w:rsid w:val="00A22553"/>
    <w:rPr>
      <w:rFonts w:ascii="Calibri" w:eastAsiaTheme="majorEastAsia" w:hAnsi="Calibri" w:cstheme="majorBidi"/>
      <w:color w:val="002C47"/>
      <w:sz w:val="48"/>
      <w:szCs w:val="32"/>
    </w:rPr>
  </w:style>
  <w:style w:type="character" w:customStyle="1" w:styleId="Heading2Char">
    <w:name w:val="Heading 2 Char"/>
    <w:basedOn w:val="DefaultParagraphFont"/>
    <w:link w:val="Heading2"/>
    <w:uiPriority w:val="9"/>
    <w:rsid w:val="00A22553"/>
    <w:rPr>
      <w:rFonts w:ascii="Calibri" w:eastAsiaTheme="majorEastAsia" w:hAnsi="Calibri" w:cstheme="majorBidi"/>
      <w:color w:val="002C47"/>
      <w:sz w:val="36"/>
      <w:szCs w:val="26"/>
    </w:rPr>
  </w:style>
  <w:style w:type="character" w:styleId="Hyperlink">
    <w:name w:val="Hyperlink"/>
    <w:basedOn w:val="DefaultParagraphFont"/>
    <w:uiPriority w:val="99"/>
    <w:unhideWhenUsed/>
    <w:rsid w:val="00A22553"/>
    <w:rPr>
      <w:color w:val="0000FF"/>
      <w:u w:val="single"/>
    </w:rPr>
  </w:style>
  <w:style w:type="paragraph" w:customStyle="1" w:styleId="SingleParagraph">
    <w:name w:val="Single Paragraph"/>
    <w:basedOn w:val="Normal"/>
    <w:link w:val="SingleParagraphChar"/>
    <w:rsid w:val="00A22553"/>
    <w:pPr>
      <w:spacing w:before="0"/>
    </w:pPr>
    <w:rPr>
      <w:rFonts w:ascii="Calibri" w:eastAsia="Times New Roman" w:hAnsi="Calibri"/>
      <w:szCs w:val="20"/>
      <w:lang w:eastAsia="en-AU"/>
    </w:rPr>
  </w:style>
  <w:style w:type="character" w:customStyle="1" w:styleId="SingleParagraphChar">
    <w:name w:val="Single Paragraph Char"/>
    <w:basedOn w:val="DefaultParagraphFont"/>
    <w:link w:val="SingleParagraph"/>
    <w:rsid w:val="00A22553"/>
    <w:rPr>
      <w:rFonts w:ascii="Calibri" w:eastAsia="Times New Roman" w:hAnsi="Calibri" w:cs="Times New Roman"/>
      <w:szCs w:val="20"/>
      <w:lang w:eastAsia="en-AU"/>
    </w:rPr>
  </w:style>
  <w:style w:type="paragraph" w:styleId="TOC1">
    <w:name w:val="toc 1"/>
    <w:basedOn w:val="Normal"/>
    <w:next w:val="Normal"/>
    <w:uiPriority w:val="39"/>
    <w:qFormat/>
    <w:rsid w:val="00E725C0"/>
    <w:pPr>
      <w:keepNext/>
      <w:tabs>
        <w:tab w:val="right" w:leader="dot" w:pos="9072"/>
      </w:tabs>
      <w:spacing w:before="180"/>
      <w:ind w:right="-2"/>
    </w:pPr>
    <w:rPr>
      <w:rFonts w:ascii="Calibri" w:eastAsia="Times New Roman" w:hAnsi="Calibri"/>
      <w:b/>
      <w:noProof/>
      <w:color w:val="002760"/>
      <w:lang w:eastAsia="en-AU"/>
    </w:rPr>
  </w:style>
  <w:style w:type="paragraph" w:styleId="TOC2">
    <w:name w:val="toc 2"/>
    <w:basedOn w:val="Normal"/>
    <w:next w:val="Normal"/>
    <w:uiPriority w:val="39"/>
    <w:qFormat/>
    <w:rsid w:val="00E725C0"/>
    <w:pPr>
      <w:keepNext/>
      <w:tabs>
        <w:tab w:val="right" w:leader="dot" w:pos="9072"/>
      </w:tabs>
      <w:spacing w:before="40" w:after="20"/>
      <w:ind w:right="-2"/>
    </w:pPr>
    <w:rPr>
      <w:rFonts w:ascii="Calibri" w:eastAsia="Times New Roman" w:hAnsi="Calibri"/>
      <w:noProof/>
      <w:color w:val="002760"/>
      <w:szCs w:val="20"/>
      <w:lang w:eastAsia="en-AU"/>
    </w:rPr>
  </w:style>
  <w:style w:type="paragraph" w:styleId="TOC3">
    <w:name w:val="toc 3"/>
    <w:basedOn w:val="Normal"/>
    <w:next w:val="Normal"/>
    <w:autoRedefine/>
    <w:uiPriority w:val="39"/>
    <w:unhideWhenUsed/>
    <w:rsid w:val="00A22553"/>
    <w:pPr>
      <w:tabs>
        <w:tab w:val="right" w:leader="dot" w:pos="9060"/>
      </w:tabs>
      <w:spacing w:before="0" w:after="100" w:line="259" w:lineRule="auto"/>
      <w:ind w:left="440"/>
    </w:pPr>
  </w:style>
  <w:style w:type="character" w:customStyle="1" w:styleId="Heading3Char">
    <w:name w:val="Heading 3 Char"/>
    <w:basedOn w:val="DefaultParagraphFont"/>
    <w:link w:val="Heading3"/>
    <w:uiPriority w:val="9"/>
    <w:semiHidden/>
    <w:rsid w:val="00A22553"/>
    <w:rPr>
      <w:rFonts w:asciiTheme="majorHAnsi" w:eastAsiaTheme="majorEastAsia" w:hAnsiTheme="majorHAnsi" w:cstheme="majorBidi"/>
      <w:color w:val="1F3763" w:themeColor="accent1" w:themeShade="7F"/>
      <w:sz w:val="24"/>
      <w:szCs w:val="24"/>
    </w:rPr>
  </w:style>
  <w:style w:type="table" w:customStyle="1" w:styleId="ACCCTable1">
    <w:name w:val="ACCC Table1"/>
    <w:basedOn w:val="TableNormal"/>
    <w:next w:val="TableGrid"/>
    <w:rsid w:val="00A22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85F51"/>
    <w:rPr>
      <w:b/>
      <w:bCs/>
    </w:rPr>
  </w:style>
  <w:style w:type="character" w:customStyle="1" w:styleId="CommentSubjectChar">
    <w:name w:val="Comment Subject Char"/>
    <w:basedOn w:val="CommentTextChar"/>
    <w:link w:val="CommentSubject"/>
    <w:uiPriority w:val="99"/>
    <w:semiHidden/>
    <w:rsid w:val="00F85F51"/>
    <w:rPr>
      <w:rFonts w:ascii="Trebuchet MS" w:hAnsi="Trebuchet MS"/>
      <w:b/>
      <w:bCs/>
      <w:sz w:val="20"/>
      <w:szCs w:val="20"/>
    </w:rPr>
  </w:style>
  <w:style w:type="paragraph" w:customStyle="1" w:styleId="Bullet">
    <w:name w:val="Bullet"/>
    <w:basedOn w:val="Normal"/>
    <w:link w:val="BulletChar"/>
    <w:rsid w:val="00F85F51"/>
    <w:pPr>
      <w:numPr>
        <w:numId w:val="1"/>
      </w:numPr>
      <w:spacing w:before="240" w:after="120"/>
    </w:pPr>
    <w:rPr>
      <w:rFonts w:ascii="Times New Roman" w:eastAsia="Times New Roman" w:hAnsi="Times New Roman"/>
      <w:sz w:val="24"/>
      <w:szCs w:val="23"/>
      <w:lang w:eastAsia="en-AU"/>
    </w:rPr>
  </w:style>
  <w:style w:type="character" w:customStyle="1" w:styleId="BulletChar">
    <w:name w:val="Bullet Char"/>
    <w:basedOn w:val="DefaultParagraphFont"/>
    <w:link w:val="Bullet"/>
    <w:rsid w:val="00F85F51"/>
    <w:rPr>
      <w:rFonts w:ascii="Times New Roman" w:eastAsia="Times New Roman" w:hAnsi="Times New Roman" w:cs="Times New Roman"/>
      <w:sz w:val="24"/>
      <w:szCs w:val="23"/>
      <w:lang w:eastAsia="en-AU"/>
    </w:rPr>
  </w:style>
  <w:style w:type="paragraph" w:customStyle="1" w:styleId="Dash">
    <w:name w:val="Dash"/>
    <w:basedOn w:val="Normal"/>
    <w:link w:val="DashChar"/>
    <w:rsid w:val="00F85F51"/>
    <w:pPr>
      <w:numPr>
        <w:ilvl w:val="1"/>
        <w:numId w:val="1"/>
      </w:numPr>
      <w:spacing w:before="240" w:after="120"/>
    </w:pPr>
    <w:rPr>
      <w:rFonts w:ascii="Times New Roman" w:eastAsia="Times New Roman" w:hAnsi="Times New Roman"/>
      <w:sz w:val="24"/>
      <w:szCs w:val="23"/>
      <w:lang w:eastAsia="en-AU"/>
    </w:rPr>
  </w:style>
  <w:style w:type="paragraph" w:customStyle="1" w:styleId="DoubleDot">
    <w:name w:val="Double Dot"/>
    <w:basedOn w:val="Normal"/>
    <w:rsid w:val="00F85F51"/>
    <w:pPr>
      <w:numPr>
        <w:ilvl w:val="2"/>
        <w:numId w:val="1"/>
      </w:numPr>
      <w:spacing w:before="240" w:after="120"/>
    </w:pPr>
    <w:rPr>
      <w:rFonts w:ascii="Times New Roman" w:eastAsia="Times New Roman" w:hAnsi="Times New Roman"/>
      <w:sz w:val="24"/>
      <w:szCs w:val="23"/>
      <w:lang w:eastAsia="en-AU"/>
    </w:rPr>
  </w:style>
  <w:style w:type="character" w:customStyle="1" w:styleId="DashChar">
    <w:name w:val="Dash Char"/>
    <w:basedOn w:val="DefaultParagraphFont"/>
    <w:link w:val="Dash"/>
    <w:rsid w:val="00553EDE"/>
    <w:rPr>
      <w:rFonts w:ascii="Times New Roman" w:eastAsia="Times New Roman" w:hAnsi="Times New Roman" w:cs="Times New Roman"/>
      <w:sz w:val="24"/>
      <w:szCs w:val="23"/>
      <w:lang w:eastAsia="en-AU"/>
    </w:rPr>
  </w:style>
  <w:style w:type="paragraph" w:customStyle="1" w:styleId="base-text-paragraph">
    <w:name w:val="base-text-paragraph"/>
    <w:rsid w:val="00553EDE"/>
    <w:pPr>
      <w:tabs>
        <w:tab w:val="left" w:pos="1987"/>
      </w:tabs>
      <w:spacing w:before="120" w:after="120" w:line="240" w:lineRule="auto"/>
      <w:ind w:left="1140"/>
    </w:pPr>
    <w:rPr>
      <w:rFonts w:ascii="Times New Roman" w:eastAsia="Times New Roman" w:hAnsi="Times New Roman"/>
      <w:sz w:val="24"/>
      <w:szCs w:val="20"/>
      <w:lang w:eastAsia="en-AU"/>
    </w:rPr>
  </w:style>
  <w:style w:type="paragraph" w:styleId="ListParagraph">
    <w:name w:val="List Paragraph"/>
    <w:basedOn w:val="Normal"/>
    <w:uiPriority w:val="34"/>
    <w:qFormat/>
    <w:rsid w:val="00633155"/>
    <w:pPr>
      <w:ind w:left="720"/>
      <w:contextualSpacing/>
    </w:pPr>
  </w:style>
  <w:style w:type="paragraph" w:styleId="Header">
    <w:name w:val="header"/>
    <w:basedOn w:val="Normal"/>
    <w:link w:val="HeaderChar"/>
    <w:uiPriority w:val="99"/>
    <w:unhideWhenUsed/>
    <w:rsid w:val="00E43B2B"/>
    <w:pPr>
      <w:tabs>
        <w:tab w:val="center" w:pos="4513"/>
        <w:tab w:val="right" w:pos="9026"/>
      </w:tabs>
      <w:spacing w:before="0"/>
    </w:pPr>
  </w:style>
  <w:style w:type="character" w:customStyle="1" w:styleId="HeaderChar">
    <w:name w:val="Header Char"/>
    <w:basedOn w:val="DefaultParagraphFont"/>
    <w:link w:val="Header"/>
    <w:uiPriority w:val="99"/>
    <w:rsid w:val="00E43B2B"/>
    <w:rPr>
      <w:rFonts w:ascii="Trebuchet MS" w:hAnsi="Trebuchet MS"/>
    </w:rPr>
  </w:style>
  <w:style w:type="paragraph" w:styleId="Footer">
    <w:name w:val="footer"/>
    <w:basedOn w:val="Normal"/>
    <w:link w:val="FooterChar"/>
    <w:uiPriority w:val="99"/>
    <w:unhideWhenUsed/>
    <w:rsid w:val="00E43B2B"/>
    <w:pPr>
      <w:tabs>
        <w:tab w:val="center" w:pos="4513"/>
        <w:tab w:val="right" w:pos="9026"/>
      </w:tabs>
      <w:spacing w:before="0"/>
    </w:pPr>
  </w:style>
  <w:style w:type="character" w:customStyle="1" w:styleId="FooterChar">
    <w:name w:val="Footer Char"/>
    <w:basedOn w:val="DefaultParagraphFont"/>
    <w:link w:val="Footer"/>
    <w:uiPriority w:val="99"/>
    <w:rsid w:val="00E43B2B"/>
    <w:rPr>
      <w:rFonts w:ascii="Trebuchet MS" w:hAnsi="Trebuchet MS"/>
    </w:rPr>
  </w:style>
  <w:style w:type="paragraph" w:customStyle="1" w:styleId="SecurityClassificationHeader">
    <w:name w:val="Security Classification Header"/>
    <w:link w:val="SecurityClassificationHeaderChar"/>
    <w:rsid w:val="000E2F1E"/>
    <w:pPr>
      <w:spacing w:before="240" w:after="60"/>
      <w:jc w:val="center"/>
    </w:pPr>
    <w:rPr>
      <w:rFonts w:ascii="Calibri" w:hAnsi="Calibri" w:cs="Calibri"/>
      <w:b/>
      <w:caps/>
      <w:sz w:val="24"/>
    </w:rPr>
  </w:style>
  <w:style w:type="character" w:customStyle="1" w:styleId="SecurityClassificationHeaderChar">
    <w:name w:val="Security Classification Header Char"/>
    <w:basedOn w:val="HeaderChar"/>
    <w:link w:val="SecurityClassificationHeader"/>
    <w:rsid w:val="000E2F1E"/>
    <w:rPr>
      <w:rFonts w:ascii="Calibri" w:hAnsi="Calibri" w:cs="Calibri"/>
      <w:b/>
      <w:caps/>
      <w:sz w:val="24"/>
    </w:rPr>
  </w:style>
  <w:style w:type="paragraph" w:customStyle="1" w:styleId="SecurityClassificationFooter">
    <w:name w:val="Security Classification Footer"/>
    <w:link w:val="SecurityClassificationFooterChar"/>
    <w:rsid w:val="000E2F1E"/>
    <w:pPr>
      <w:spacing w:before="60" w:after="240"/>
      <w:jc w:val="center"/>
    </w:pPr>
    <w:rPr>
      <w:rFonts w:ascii="Calibri" w:hAnsi="Calibri" w:cs="Calibri"/>
      <w:b/>
      <w:caps/>
      <w:sz w:val="24"/>
    </w:rPr>
  </w:style>
  <w:style w:type="character" w:customStyle="1" w:styleId="SecurityClassificationFooterChar">
    <w:name w:val="Security Classification Footer Char"/>
    <w:basedOn w:val="HeaderChar"/>
    <w:link w:val="SecurityClassificationFooter"/>
    <w:rsid w:val="000E2F1E"/>
    <w:rPr>
      <w:rFonts w:ascii="Calibri" w:hAnsi="Calibri" w:cs="Calibri"/>
      <w:b/>
      <w:caps/>
      <w:sz w:val="24"/>
    </w:rPr>
  </w:style>
  <w:style w:type="paragraph" w:customStyle="1" w:styleId="DLMSecurityHeader">
    <w:name w:val="DLM Security Header"/>
    <w:link w:val="DLMSecurityHeaderChar"/>
    <w:rsid w:val="000E2F1E"/>
    <w:pPr>
      <w:spacing w:before="60" w:after="240"/>
      <w:jc w:val="center"/>
    </w:pPr>
    <w:rPr>
      <w:rFonts w:ascii="Calibri" w:hAnsi="Calibri" w:cs="Calibri"/>
      <w:b/>
      <w:caps/>
      <w:sz w:val="24"/>
    </w:rPr>
  </w:style>
  <w:style w:type="character" w:customStyle="1" w:styleId="DLMSecurityHeaderChar">
    <w:name w:val="DLM Security Header Char"/>
    <w:basedOn w:val="HeaderChar"/>
    <w:link w:val="DLMSecurityHeader"/>
    <w:rsid w:val="000E2F1E"/>
    <w:rPr>
      <w:rFonts w:ascii="Calibri" w:hAnsi="Calibri" w:cs="Calibri"/>
      <w:b/>
      <w:caps/>
      <w:sz w:val="24"/>
    </w:rPr>
  </w:style>
  <w:style w:type="paragraph" w:customStyle="1" w:styleId="DLMSecurityFooter">
    <w:name w:val="DLM Security Footer"/>
    <w:link w:val="DLMSecurityFooterChar"/>
    <w:rsid w:val="000E2F1E"/>
    <w:pPr>
      <w:spacing w:before="240" w:after="60"/>
      <w:jc w:val="center"/>
    </w:pPr>
    <w:rPr>
      <w:rFonts w:ascii="Calibri" w:hAnsi="Calibri" w:cs="Calibri"/>
      <w:b/>
      <w:caps/>
      <w:sz w:val="24"/>
    </w:rPr>
  </w:style>
  <w:style w:type="character" w:customStyle="1" w:styleId="DLMSecurityFooterChar">
    <w:name w:val="DLM Security Footer Char"/>
    <w:basedOn w:val="HeaderChar"/>
    <w:link w:val="DLMSecurityFooter"/>
    <w:rsid w:val="000E2F1E"/>
    <w:rPr>
      <w:rFonts w:ascii="Calibri" w:hAnsi="Calibri" w:cs="Calibri"/>
      <w:b/>
      <w:caps/>
      <w:sz w:val="24"/>
    </w:rPr>
  </w:style>
  <w:style w:type="character" w:styleId="UnresolvedMention">
    <w:name w:val="Unresolved Mention"/>
    <w:basedOn w:val="DefaultParagraphFont"/>
    <w:uiPriority w:val="99"/>
    <w:semiHidden/>
    <w:unhideWhenUsed/>
    <w:rsid w:val="00C34B3B"/>
    <w:rPr>
      <w:color w:val="605E5C"/>
      <w:shd w:val="clear" w:color="auto" w:fill="E1DFDD"/>
    </w:rPr>
  </w:style>
  <w:style w:type="paragraph" w:styleId="FootnoteText">
    <w:name w:val="footnote text"/>
    <w:basedOn w:val="Normal"/>
    <w:link w:val="FootnoteTextChar"/>
    <w:uiPriority w:val="99"/>
    <w:semiHidden/>
    <w:unhideWhenUsed/>
    <w:rsid w:val="00FA5338"/>
    <w:pPr>
      <w:spacing w:before="0"/>
    </w:pPr>
    <w:rPr>
      <w:sz w:val="20"/>
      <w:szCs w:val="20"/>
    </w:rPr>
  </w:style>
  <w:style w:type="character" w:customStyle="1" w:styleId="FootnoteTextChar">
    <w:name w:val="Footnote Text Char"/>
    <w:basedOn w:val="DefaultParagraphFont"/>
    <w:link w:val="FootnoteText"/>
    <w:uiPriority w:val="99"/>
    <w:semiHidden/>
    <w:rsid w:val="00FA5338"/>
    <w:rPr>
      <w:rFonts w:ascii="Trebuchet MS" w:hAnsi="Trebuchet MS"/>
      <w:sz w:val="20"/>
      <w:szCs w:val="20"/>
    </w:rPr>
  </w:style>
  <w:style w:type="character" w:styleId="FootnoteReference">
    <w:name w:val="footnote reference"/>
    <w:basedOn w:val="DefaultParagraphFont"/>
    <w:uiPriority w:val="99"/>
    <w:semiHidden/>
    <w:unhideWhenUsed/>
    <w:rsid w:val="00FA5338"/>
    <w:rPr>
      <w:vertAlign w:val="superscript"/>
    </w:rPr>
  </w:style>
  <w:style w:type="paragraph" w:styleId="Revision">
    <w:name w:val="Revision"/>
    <w:hidden/>
    <w:uiPriority w:val="99"/>
    <w:semiHidden/>
    <w:rsid w:val="00C714CE"/>
    <w:pPr>
      <w:spacing w:after="0" w:line="240" w:lineRule="auto"/>
    </w:pPr>
    <w:rPr>
      <w:rFonts w:ascii="Trebuchet MS" w:hAnsi="Trebuchet MS"/>
    </w:rPr>
  </w:style>
  <w:style w:type="character" w:styleId="SubtleEmphasis">
    <w:name w:val="Subtle Emphasis"/>
    <w:basedOn w:val="DefaultParagraphFont"/>
    <w:uiPriority w:val="19"/>
    <w:qFormat/>
    <w:rsid w:val="008F2AA6"/>
    <w:rPr>
      <w:i/>
      <w:iCs/>
      <w:color w:val="404040" w:themeColor="text1" w:themeTint="BF"/>
    </w:rPr>
  </w:style>
  <w:style w:type="character" w:styleId="FollowedHyperlink">
    <w:name w:val="FollowedHyperlink"/>
    <w:basedOn w:val="DefaultParagraphFont"/>
    <w:uiPriority w:val="99"/>
    <w:semiHidden/>
    <w:unhideWhenUsed/>
    <w:rsid w:val="000904CD"/>
    <w:rPr>
      <w:color w:val="954F72" w:themeColor="followedHyperlink"/>
      <w:u w:val="single"/>
    </w:rPr>
  </w:style>
  <w:style w:type="paragraph" w:styleId="EndnoteText">
    <w:name w:val="endnote text"/>
    <w:basedOn w:val="Normal"/>
    <w:link w:val="EndnoteTextChar"/>
    <w:uiPriority w:val="99"/>
    <w:semiHidden/>
    <w:unhideWhenUsed/>
    <w:rsid w:val="00423A25"/>
    <w:pPr>
      <w:spacing w:before="0"/>
    </w:pPr>
    <w:rPr>
      <w:sz w:val="20"/>
      <w:szCs w:val="20"/>
    </w:rPr>
  </w:style>
  <w:style w:type="character" w:customStyle="1" w:styleId="EndnoteTextChar">
    <w:name w:val="Endnote Text Char"/>
    <w:basedOn w:val="DefaultParagraphFont"/>
    <w:link w:val="EndnoteText"/>
    <w:uiPriority w:val="99"/>
    <w:semiHidden/>
    <w:rsid w:val="00423A25"/>
    <w:rPr>
      <w:sz w:val="20"/>
      <w:szCs w:val="20"/>
    </w:rPr>
  </w:style>
  <w:style w:type="character" w:styleId="EndnoteReference">
    <w:name w:val="endnote reference"/>
    <w:basedOn w:val="DefaultParagraphFont"/>
    <w:uiPriority w:val="99"/>
    <w:semiHidden/>
    <w:unhideWhenUsed/>
    <w:rsid w:val="00423A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6889539">
      <w:bodyDiv w:val="1"/>
      <w:marLeft w:val="0"/>
      <w:marRight w:val="0"/>
      <w:marTop w:val="0"/>
      <w:marBottom w:val="0"/>
      <w:divBdr>
        <w:top w:val="none" w:sz="0" w:space="0" w:color="auto"/>
        <w:left w:val="none" w:sz="0" w:space="0" w:color="auto"/>
        <w:bottom w:val="none" w:sz="0" w:space="0" w:color="auto"/>
        <w:right w:val="none" w:sz="0" w:space="0" w:color="auto"/>
      </w:divBdr>
    </w:div>
    <w:div w:id="158841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easury.gov.au/media-release/developments-australias-consumer-data-right-response-community-feedbac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a@treasury.gov.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8F1B8-7EBC-4C85-8559-0B2FDCD54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1657</Words>
  <Characters>9450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Proposal for further consultation</vt:lpstr>
    </vt:vector>
  </TitlesOfParts>
  <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further consultation</dc:title>
  <dc:subject/>
  <dc:creator/>
  <cp:keywords/>
  <dc:description/>
  <cp:lastModifiedBy/>
  <cp:revision>1</cp:revision>
  <dcterms:created xsi:type="dcterms:W3CDTF">2021-08-16T11:28:00Z</dcterms:created>
  <dcterms:modified xsi:type="dcterms:W3CDTF">2021-08-16T11:28:00Z</dcterms:modified>
</cp:coreProperties>
</file>