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E6C16" w:rsidRPr="003F7FA3" w:rsidRDefault="00B31876" w:rsidP="00F17AC7">
      <w:pPr>
        <w:pStyle w:val="Title"/>
        <w:tabs>
          <w:tab w:val="left" w:pos="2552"/>
        </w:tabs>
        <w:rPr>
          <w:b/>
          <w:noProof/>
          <w:lang w:eastAsia="en-AU"/>
        </w:rPr>
      </w:pPr>
      <w:r w:rsidRPr="003F7FA3">
        <w:rPr>
          <w:b/>
          <w:noProof/>
          <w:lang w:eastAsia="en-AU"/>
        </w:rPr>
        <w:t>Government Response</w:t>
      </w:r>
      <w:r w:rsidRPr="003F7FA3">
        <w:rPr>
          <w:b/>
          <w:noProof/>
          <w:lang w:eastAsia="en-AU"/>
        </w:rPr>
        <w:br/>
        <w:t>to the Small Business</w:t>
      </w:r>
      <w:r w:rsidRPr="003F7FA3">
        <w:rPr>
          <w:b/>
          <w:noProof/>
          <w:lang w:eastAsia="en-AU"/>
        </w:rPr>
        <w:br/>
        <w:t>Digital Taskforce</w:t>
      </w:r>
    </w:p>
    <w:p w:rsidR="00EE6C16" w:rsidRPr="003F7FA3" w:rsidRDefault="003F7FA3" w:rsidP="003F7FA3">
      <w:pPr>
        <w:rPr>
          <w:color w:val="FFFFFF" w:themeColor="background1"/>
          <w:lang w:eastAsia="en-AU"/>
        </w:rPr>
      </w:pPr>
      <w:r>
        <w:rPr>
          <w:color w:val="FFFFFF" w:themeColor="background1"/>
          <w:lang w:eastAsia="en-AU"/>
        </w:rPr>
        <w:t>December 2018</w:t>
      </w:r>
    </w:p>
    <w:p w:rsidR="00B31876" w:rsidRDefault="00B31876" w:rsidP="00B31876">
      <w:pPr>
        <w:pStyle w:val="Heading2"/>
      </w:pPr>
      <w:r>
        <w:lastRenderedPageBreak/>
        <w:t>Contents</w:t>
      </w:r>
    </w:p>
    <w:p w:rsidR="00B31876" w:rsidRDefault="00B31876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r>
        <w:fldChar w:fldCharType="begin"/>
      </w:r>
      <w:r>
        <w:instrText xml:space="preserve"> TOC \h \z \u \t "Heading 2,1,TOC Heading,1" </w:instrText>
      </w:r>
      <w:r>
        <w:fldChar w:fldCharType="separate"/>
      </w:r>
      <w:hyperlink w:anchor="_Toc533156718" w:history="1">
        <w:r w:rsidRPr="00493120">
          <w:rPr>
            <w:rStyle w:val="Hyperlink"/>
            <w:noProof/>
          </w:rPr>
          <w:t>Government Response to the Small Business Digital Taskforce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_Toc533156718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31876" w:rsidRDefault="00B22C8F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533156719" w:history="1">
        <w:r w:rsidR="00B31876" w:rsidRPr="00493120">
          <w:rPr>
            <w:rStyle w:val="Hyperlink"/>
            <w:noProof/>
          </w:rPr>
          <w:t>Taskforce Recommendation 1: A non-government organisation (NGO)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_Toc533156719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4</w:t>
        </w:r>
        <w:r w:rsidR="00B31876">
          <w:rPr>
            <w:noProof/>
            <w:webHidden/>
          </w:rPr>
          <w:fldChar w:fldCharType="end"/>
        </w:r>
      </w:hyperlink>
    </w:p>
    <w:p w:rsidR="00B31876" w:rsidRDefault="00B22C8F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533156720" w:history="1">
        <w:r w:rsidR="00B31876" w:rsidRPr="00493120">
          <w:rPr>
            <w:rStyle w:val="Hyperlink"/>
            <w:noProof/>
          </w:rPr>
          <w:t>Taskforce Recommendation 2: Annual event for small business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_Toc533156720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6</w:t>
        </w:r>
        <w:r w:rsidR="00B31876">
          <w:rPr>
            <w:noProof/>
            <w:webHidden/>
          </w:rPr>
          <w:fldChar w:fldCharType="end"/>
        </w:r>
      </w:hyperlink>
    </w:p>
    <w:p w:rsidR="00B31876" w:rsidRDefault="00B22C8F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533156721" w:history="1">
        <w:r w:rsidR="00B31876" w:rsidRPr="00493120">
          <w:rPr>
            <w:rStyle w:val="Hyperlink"/>
            <w:noProof/>
          </w:rPr>
          <w:t>Taskforce Recommendation 3: Small Business Awards program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_Toc533156721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7</w:t>
        </w:r>
        <w:r w:rsidR="00B31876">
          <w:rPr>
            <w:noProof/>
            <w:webHidden/>
          </w:rPr>
          <w:fldChar w:fldCharType="end"/>
        </w:r>
      </w:hyperlink>
    </w:p>
    <w:p w:rsidR="00B31876" w:rsidRDefault="00B22C8F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533156722" w:history="1">
        <w:r w:rsidR="00B31876" w:rsidRPr="00493120">
          <w:rPr>
            <w:rStyle w:val="Hyperlink"/>
            <w:noProof/>
          </w:rPr>
          <w:t>Taskforce Recommendation 4: Video and audio case studies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_Toc533156722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8</w:t>
        </w:r>
        <w:r w:rsidR="00B31876">
          <w:rPr>
            <w:noProof/>
            <w:webHidden/>
          </w:rPr>
          <w:fldChar w:fldCharType="end"/>
        </w:r>
      </w:hyperlink>
    </w:p>
    <w:p w:rsidR="00B31876" w:rsidRDefault="00B22C8F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533156723" w:history="1">
        <w:r w:rsidR="00B31876" w:rsidRPr="00493120">
          <w:rPr>
            <w:rStyle w:val="Hyperlink"/>
            <w:noProof/>
          </w:rPr>
          <w:t>Taskforce Recommendation 5: University student-based connection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_Toc533156723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9</w:t>
        </w:r>
        <w:r w:rsidR="00B31876">
          <w:rPr>
            <w:noProof/>
            <w:webHidden/>
          </w:rPr>
          <w:fldChar w:fldCharType="end"/>
        </w:r>
      </w:hyperlink>
    </w:p>
    <w:p w:rsidR="00B31876" w:rsidRDefault="00B22C8F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533156724" w:history="1">
        <w:r w:rsidR="00B31876" w:rsidRPr="00493120">
          <w:rPr>
            <w:rStyle w:val="Hyperlink"/>
            <w:noProof/>
          </w:rPr>
          <w:t>Taskforce Recommendation 6: Awareness and communications campaign tools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_Toc533156724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10</w:t>
        </w:r>
        <w:r w:rsidR="00B31876">
          <w:rPr>
            <w:noProof/>
            <w:webHidden/>
          </w:rPr>
          <w:fldChar w:fldCharType="end"/>
        </w:r>
      </w:hyperlink>
    </w:p>
    <w:p w:rsidR="00B31876" w:rsidRDefault="00B22C8F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533156725" w:history="1">
        <w:r w:rsidR="00B31876" w:rsidRPr="00493120">
          <w:rPr>
            <w:rStyle w:val="Hyperlink"/>
            <w:noProof/>
          </w:rPr>
          <w:t>Taskforce Recommendation 7: Digital capability of industry associations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_Toc533156725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11</w:t>
        </w:r>
        <w:r w:rsidR="00B31876">
          <w:rPr>
            <w:noProof/>
            <w:webHidden/>
          </w:rPr>
          <w:fldChar w:fldCharType="end"/>
        </w:r>
      </w:hyperlink>
    </w:p>
    <w:p w:rsidR="00B31876" w:rsidRDefault="00B22C8F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AU"/>
        </w:rPr>
      </w:pPr>
      <w:hyperlink w:anchor="_Toc533156726" w:history="1">
        <w:r w:rsidR="00B31876" w:rsidRPr="00493120">
          <w:rPr>
            <w:rStyle w:val="Hyperlink"/>
            <w:noProof/>
          </w:rPr>
          <w:t xml:space="preserve">Taskforce Recommendation 8: Exploring scaling the Queensland Local Digital </w:t>
        </w:r>
        <w:r w:rsidR="00B31876">
          <w:rPr>
            <w:rStyle w:val="Hyperlink"/>
            <w:noProof/>
          </w:rPr>
          <w:br/>
        </w:r>
        <w:r w:rsidR="00B31876" w:rsidRPr="00493120">
          <w:rPr>
            <w:rStyle w:val="Hyperlink"/>
            <w:noProof/>
          </w:rPr>
          <w:t>Champions program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_Toc533156726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12</w:t>
        </w:r>
        <w:r w:rsidR="00B31876">
          <w:rPr>
            <w:noProof/>
            <w:webHidden/>
          </w:rPr>
          <w:fldChar w:fldCharType="end"/>
        </w:r>
      </w:hyperlink>
    </w:p>
    <w:p w:rsidR="00B31876" w:rsidRDefault="00B22C8F">
      <w:pPr>
        <w:pStyle w:val="TOC1"/>
        <w:tabs>
          <w:tab w:val="right" w:leader="dot" w:pos="9016"/>
        </w:tabs>
        <w:rPr>
          <w:rStyle w:val="Hyperlink"/>
          <w:noProof/>
        </w:rPr>
      </w:pPr>
      <w:hyperlink w:anchor="_Toc533156727" w:history="1">
        <w:r w:rsidR="00B31876" w:rsidRPr="00493120">
          <w:rPr>
            <w:rStyle w:val="Hyperlink"/>
            <w:noProof/>
          </w:rPr>
          <w:t>Taskforce Recommendation 9: Digital roadshows for regional communities</w:t>
        </w:r>
        <w:r w:rsidR="00B31876">
          <w:rPr>
            <w:noProof/>
            <w:webHidden/>
          </w:rPr>
          <w:tab/>
        </w:r>
        <w:r w:rsidR="00B31876">
          <w:rPr>
            <w:noProof/>
            <w:webHidden/>
          </w:rPr>
          <w:fldChar w:fldCharType="begin"/>
        </w:r>
        <w:r w:rsidR="00B31876">
          <w:rPr>
            <w:noProof/>
            <w:webHidden/>
          </w:rPr>
          <w:instrText xml:space="preserve"> PAGEREF _Toc533156727 \h </w:instrText>
        </w:r>
        <w:r w:rsidR="00B31876">
          <w:rPr>
            <w:noProof/>
            <w:webHidden/>
          </w:rPr>
        </w:r>
        <w:r w:rsidR="00B31876">
          <w:rPr>
            <w:noProof/>
            <w:webHidden/>
          </w:rPr>
          <w:fldChar w:fldCharType="separate"/>
        </w:r>
        <w:r w:rsidR="00B31876">
          <w:rPr>
            <w:noProof/>
            <w:webHidden/>
          </w:rPr>
          <w:t>13</w:t>
        </w:r>
        <w:r w:rsidR="00B31876">
          <w:rPr>
            <w:noProof/>
            <w:webHidden/>
          </w:rPr>
          <w:fldChar w:fldCharType="end"/>
        </w:r>
      </w:hyperlink>
    </w:p>
    <w:p w:rsidR="003F7FA3" w:rsidRDefault="00B31876" w:rsidP="008172C3">
      <w:pPr>
        <w:spacing w:before="7000" w:after="160" w:line="259" w:lineRule="auto"/>
      </w:pPr>
      <w:r>
        <w:fldChar w:fldCharType="end"/>
      </w:r>
      <w:r w:rsidR="003F7FA3">
        <w:rPr>
          <w:i/>
          <w:iCs/>
          <w:sz w:val="15"/>
          <w:szCs w:val="15"/>
        </w:rPr>
        <w:t>Cover image: Getty Images, JulieanneBirch</w:t>
      </w:r>
      <w:r w:rsidR="003F7FA3">
        <w:br w:type="page"/>
      </w:r>
    </w:p>
    <w:p w:rsidR="00A0398A" w:rsidRPr="00A0398A" w:rsidRDefault="00A0398A" w:rsidP="00A0398A">
      <w:pPr>
        <w:pStyle w:val="Heading2"/>
      </w:pPr>
      <w:bookmarkStart w:id="0" w:name="_Toc533156718"/>
      <w:r w:rsidRPr="00A0398A">
        <w:lastRenderedPageBreak/>
        <w:t>Government Response to the Small Business Digital Taskforce</w:t>
      </w:r>
      <w:bookmarkEnd w:id="0"/>
    </w:p>
    <w:p w:rsidR="00A0398A" w:rsidRPr="00A0398A" w:rsidRDefault="00A0398A" w:rsidP="00A0398A">
      <w:r w:rsidRPr="00A0398A">
        <w:t>The Australian Government is committed to supporting small businesses to help them create jobs, harness digital</w:t>
      </w:r>
      <w:r>
        <w:t xml:space="preserve"> </w:t>
      </w:r>
      <w:r w:rsidRPr="00A0398A">
        <w:t>opportunities and grow in the digital economy.</w:t>
      </w:r>
    </w:p>
    <w:p w:rsidR="00A0398A" w:rsidRPr="00A0398A" w:rsidRDefault="00A0398A" w:rsidP="00A0398A">
      <w:r w:rsidRPr="00A0398A">
        <w:t>The nearly 3.3 million small businesses in Australia are an essential driver of the Australian economy. They represent</w:t>
      </w:r>
      <w:r>
        <w:t xml:space="preserve"> </w:t>
      </w:r>
      <w:r w:rsidRPr="00A0398A">
        <w:t>99 per cent of businesses, employ around 50 per cent of Australia’s workforce and contribute 33 per cent of Australia’s</w:t>
      </w:r>
      <w:r>
        <w:t xml:space="preserve"> </w:t>
      </w:r>
      <w:r w:rsidRPr="00A0398A">
        <w:t>GDP. Many small businesses, however, are not realising the full potential of digital technologies.</w:t>
      </w:r>
      <w:r>
        <w:rPr>
          <w:rStyle w:val="FootnoteReference"/>
        </w:rPr>
        <w:footnoteReference w:id="1"/>
      </w:r>
    </w:p>
    <w:p w:rsidR="00A0398A" w:rsidRPr="00A0398A" w:rsidRDefault="00A0398A" w:rsidP="00A0398A">
      <w:r w:rsidRPr="00A0398A">
        <w:t>Research shows that using digital tools saves small businesses 10 hours per week and boosts revenue by 27 per cent.</w:t>
      </w:r>
      <w:r>
        <w:t xml:space="preserve"> </w:t>
      </w:r>
      <w:r w:rsidRPr="00A0398A">
        <w:t>Collectively, this amounts to 22 million hours saved per week and an additional $385 billion per year in revenue across all</w:t>
      </w:r>
      <w:r>
        <w:t xml:space="preserve"> </w:t>
      </w:r>
      <w:r w:rsidRPr="00A0398A">
        <w:t>Australian small businesses.</w:t>
      </w:r>
      <w:r>
        <w:rPr>
          <w:rStyle w:val="FootnoteReference"/>
        </w:rPr>
        <w:footnoteReference w:id="2"/>
      </w:r>
    </w:p>
    <w:p w:rsidR="00A0398A" w:rsidRPr="00A0398A" w:rsidRDefault="00A0398A" w:rsidP="00A0398A">
      <w:r w:rsidRPr="00A0398A">
        <w:t>The Government announced the Small Business Digital Taskforce (led by Mark Bouris AM) on 20 November 2017 to</w:t>
      </w:r>
      <w:r>
        <w:t xml:space="preserve"> </w:t>
      </w:r>
      <w:r w:rsidRPr="00A0398A">
        <w:t>increase awareness among Australian small businesses of the value of using digital technology. The Taskforce provided a</w:t>
      </w:r>
      <w:r>
        <w:t xml:space="preserve"> </w:t>
      </w:r>
      <w:r w:rsidRPr="00A0398A">
        <w:t>final report to Government in March 2018 with nine recommendations on how to best accelerate small business digital</w:t>
      </w:r>
      <w:r>
        <w:t xml:space="preserve"> </w:t>
      </w:r>
      <w:r w:rsidRPr="00A0398A">
        <w:t>adoption.</w:t>
      </w:r>
    </w:p>
    <w:p w:rsidR="00A0398A" w:rsidRDefault="00A0398A" w:rsidP="00A0398A">
      <w:r w:rsidRPr="00A0398A">
        <w:t>In 2018, the Government consulted with representatives from technology companies, financial institutions, small business</w:t>
      </w:r>
      <w:r>
        <w:t xml:space="preserve"> </w:t>
      </w:r>
      <w:r w:rsidRPr="00A0398A">
        <w:t>and industry associations, and federal, state and territory governments on each Taskforce recommendation.</w:t>
      </w:r>
      <w:r>
        <w:t xml:space="preserve"> </w:t>
      </w:r>
    </w:p>
    <w:p w:rsidR="00A0398A" w:rsidRPr="00A0398A" w:rsidRDefault="00A0398A" w:rsidP="00A0398A">
      <w:r w:rsidRPr="00A0398A">
        <w:t>Acknowledging the Taskforce’s finding that the ecosystem for providing small businesses with digital information and</w:t>
      </w:r>
      <w:r>
        <w:t xml:space="preserve"> </w:t>
      </w:r>
      <w:r w:rsidRPr="00A0398A">
        <w:t>advice is disjointed and in need of repair, the Government supports the report’s primary recommendation to establish a</w:t>
      </w:r>
      <w:r>
        <w:t xml:space="preserve"> </w:t>
      </w:r>
      <w:r w:rsidRPr="00A0398A">
        <w:t>new independent body to coordinate digital information and advice for small businesses, lift their digital capability and</w:t>
      </w:r>
      <w:r>
        <w:t xml:space="preserve"> </w:t>
      </w:r>
      <w:r w:rsidRPr="00A0398A">
        <w:t>help them to grow.</w:t>
      </w:r>
    </w:p>
    <w:p w:rsidR="00A0398A" w:rsidRPr="00A0398A" w:rsidRDefault="00A0398A" w:rsidP="00A0398A">
      <w:r w:rsidRPr="00A0398A">
        <w:t>The Government continues to build on the Taskforce’s recommendations and existing programs to ensure Australian</w:t>
      </w:r>
      <w:r>
        <w:t xml:space="preserve"> </w:t>
      </w:r>
      <w:r w:rsidRPr="00A0398A">
        <w:t>small businesses can take advantage of rapid and global technological changes and opportunities.</w:t>
      </w:r>
    </w:p>
    <w:p w:rsidR="00A0398A" w:rsidRPr="00A0398A" w:rsidRDefault="00A0398A" w:rsidP="00A0398A">
      <w:pPr>
        <w:pStyle w:val="Heading2"/>
      </w:pPr>
      <w:bookmarkStart w:id="1" w:name="_Toc533156719"/>
      <w:r w:rsidRPr="00A0398A">
        <w:t>Taskforce Recommendation 1: A non-government organisation (NGO)</w:t>
      </w:r>
      <w:bookmarkEnd w:id="1"/>
    </w:p>
    <w:p w:rsidR="00A0398A" w:rsidRPr="00A0398A" w:rsidRDefault="00A0398A" w:rsidP="00A0398A">
      <w:r w:rsidRPr="00A0398A">
        <w:t>A central, national point for information and advice on digital opportunities for small businesses and their advisors.The NGO would:</w:t>
      </w:r>
    </w:p>
    <w:p w:rsidR="00A0398A" w:rsidRPr="00A0398A" w:rsidRDefault="00A0398A" w:rsidP="00A0398A">
      <w:pPr>
        <w:pStyle w:val="ListParagraph"/>
        <w:numPr>
          <w:ilvl w:val="0"/>
          <w:numId w:val="16"/>
        </w:numPr>
      </w:pPr>
      <w:r w:rsidRPr="00A0398A">
        <w:t>consolidate, disseminate and simplify information and advice on digital options provided by the public and</w:t>
      </w:r>
      <w:r>
        <w:t xml:space="preserve"> </w:t>
      </w:r>
      <w:r w:rsidRPr="00A0398A">
        <w:t>private sector</w:t>
      </w:r>
    </w:p>
    <w:p w:rsidR="00A0398A" w:rsidRPr="00A0398A" w:rsidRDefault="00A0398A" w:rsidP="00A0398A">
      <w:pPr>
        <w:pStyle w:val="ListParagraph"/>
        <w:numPr>
          <w:ilvl w:val="0"/>
          <w:numId w:val="16"/>
        </w:numPr>
      </w:pPr>
      <w:r w:rsidRPr="00A0398A">
        <w:t>establish a two-way flow of information between the NGO and industry associations and Small Business</w:t>
      </w:r>
      <w:r>
        <w:t xml:space="preserve"> </w:t>
      </w:r>
      <w:r w:rsidRPr="00A0398A">
        <w:t>Commissioners</w:t>
      </w:r>
    </w:p>
    <w:p w:rsidR="00A0398A" w:rsidRPr="00A0398A" w:rsidRDefault="00A0398A" w:rsidP="00A0398A">
      <w:pPr>
        <w:pStyle w:val="ListParagraph"/>
        <w:numPr>
          <w:ilvl w:val="0"/>
          <w:numId w:val="16"/>
        </w:numPr>
      </w:pPr>
      <w:r w:rsidRPr="00A0398A">
        <w:t>provide a multi-channel approach to address diversity of small business digital needs</w:t>
      </w:r>
    </w:p>
    <w:p w:rsidR="00A0398A" w:rsidRPr="00A0398A" w:rsidRDefault="00A0398A" w:rsidP="00A0398A">
      <w:pPr>
        <w:pStyle w:val="ListParagraph"/>
        <w:numPr>
          <w:ilvl w:val="0"/>
          <w:numId w:val="16"/>
        </w:numPr>
      </w:pPr>
      <w:r w:rsidRPr="00A0398A">
        <w:t>be the main vehicle through which the federal government will promote awareness of the benefits of digital</w:t>
      </w:r>
      <w:r>
        <w:t xml:space="preserve"> </w:t>
      </w:r>
      <w:r w:rsidRPr="00A0398A">
        <w:t>adoption for small business</w:t>
      </w:r>
    </w:p>
    <w:p w:rsidR="00A0398A" w:rsidRPr="00A0398A" w:rsidRDefault="00A0398A" w:rsidP="00A0398A">
      <w:pPr>
        <w:pStyle w:val="ListParagraph"/>
        <w:numPr>
          <w:ilvl w:val="0"/>
          <w:numId w:val="16"/>
        </w:numPr>
      </w:pPr>
      <w:r w:rsidRPr="00A0398A">
        <w:t>establish and enhance business-to-business information sharing and best practice</w:t>
      </w:r>
    </w:p>
    <w:p w:rsidR="00A0398A" w:rsidRPr="00A0398A" w:rsidRDefault="00A0398A" w:rsidP="00A0398A">
      <w:pPr>
        <w:pStyle w:val="ListParagraph"/>
        <w:numPr>
          <w:ilvl w:val="0"/>
          <w:numId w:val="16"/>
        </w:numPr>
      </w:pPr>
      <w:r w:rsidRPr="00A0398A">
        <w:t>develop and deliver business benchmarking tools to assess the ‘digital health’ of a business</w:t>
      </w:r>
    </w:p>
    <w:p w:rsidR="00A0398A" w:rsidRPr="00A0398A" w:rsidRDefault="00A0398A" w:rsidP="00A0398A">
      <w:pPr>
        <w:pStyle w:val="ListParagraph"/>
        <w:numPr>
          <w:ilvl w:val="0"/>
          <w:numId w:val="16"/>
        </w:numPr>
      </w:pPr>
      <w:r w:rsidRPr="00A0398A">
        <w:t>promote and coordinate awareness campaigns on digital issues of concern to small business.</w:t>
      </w:r>
    </w:p>
    <w:p w:rsidR="00A0398A" w:rsidRPr="00A0398A" w:rsidRDefault="00A0398A" w:rsidP="00A0398A">
      <w:pPr>
        <w:pStyle w:val="Heading3"/>
      </w:pPr>
      <w:r w:rsidRPr="00A0398A">
        <w:t>The Government supports this recommendation.</w:t>
      </w:r>
    </w:p>
    <w:p w:rsidR="00A0398A" w:rsidRPr="00A0398A" w:rsidRDefault="00A0398A" w:rsidP="00A0398A">
      <w:r w:rsidRPr="00A0398A">
        <w:t>The Government supports the Taskforce’s recommendation to coordinate information, advice and resources on digital</w:t>
      </w:r>
      <w:r>
        <w:t xml:space="preserve"> </w:t>
      </w:r>
      <w:r w:rsidRPr="00A0398A">
        <w:t>opportunities for small businesses and their trusted advisers.</w:t>
      </w:r>
    </w:p>
    <w:p w:rsidR="00A0398A" w:rsidRPr="00A0398A" w:rsidRDefault="00A0398A" w:rsidP="00A0398A">
      <w:r w:rsidRPr="00A0398A">
        <w:t>The Taskforce found that Australian small businesses are diverse and their digital needs may vary depending on the</w:t>
      </w:r>
      <w:r>
        <w:t xml:space="preserve"> </w:t>
      </w:r>
      <w:r w:rsidRPr="00A0398A">
        <w:t>sector in which they operate, the mindset of the owner, and their stage of development. The Taskforce reinforced the</w:t>
      </w:r>
      <w:r>
        <w:t xml:space="preserve"> </w:t>
      </w:r>
      <w:r w:rsidRPr="00A0398A">
        <w:t>importance for small businesses to have access to a trusted and coordinated source of up-to-date digital information and</w:t>
      </w:r>
      <w:r>
        <w:t xml:space="preserve"> </w:t>
      </w:r>
      <w:r w:rsidRPr="00A0398A">
        <w:t>advice, tailored to their needs.</w:t>
      </w:r>
    </w:p>
    <w:p w:rsidR="00A0398A" w:rsidRPr="00A0398A" w:rsidRDefault="00A0398A" w:rsidP="00A0398A">
      <w:r w:rsidRPr="00A0398A">
        <w:t>The Taskforce concluded that the ecosystem that provides small businesses and their advisers with information and</w:t>
      </w:r>
      <w:r>
        <w:t xml:space="preserve"> </w:t>
      </w:r>
      <w:r w:rsidRPr="00A0398A">
        <w:t>advice about ‘going digital’ is disjointed. Small businesses can quickly become overwhelmed by the amount of</w:t>
      </w:r>
      <w:r>
        <w:t xml:space="preserve"> </w:t>
      </w:r>
      <w:r w:rsidRPr="00A0398A">
        <w:t>information they receive online and often find it difficult to know what information to trust.</w:t>
      </w:r>
    </w:p>
    <w:p w:rsidR="00A0398A" w:rsidRPr="00A0398A" w:rsidRDefault="00A0398A" w:rsidP="00A0398A">
      <w:r w:rsidRPr="00A0398A">
        <w:t>The Government will support the establishment of an NGO to build and enhance small business digital awareness and</w:t>
      </w:r>
      <w:r>
        <w:t xml:space="preserve"> </w:t>
      </w:r>
      <w:r w:rsidRPr="00A0398A">
        <w:t>capability. It will provide seed funding to support the establishment or expansion of an independent digital organisation</w:t>
      </w:r>
      <w:r>
        <w:t xml:space="preserve"> </w:t>
      </w:r>
      <w:r w:rsidRPr="00A0398A">
        <w:t>through an open, competitive grant process. The grant process will seek matched funding and drive an ongoing</w:t>
      </w:r>
      <w:r>
        <w:t xml:space="preserve"> </w:t>
      </w:r>
      <w:r w:rsidRPr="00A0398A">
        <w:t>sustainable self-funding model for the NGO.</w:t>
      </w:r>
    </w:p>
    <w:p w:rsidR="00B31876" w:rsidRDefault="00A0398A" w:rsidP="00B31876">
      <w:r w:rsidRPr="00A0398A">
        <w:t>The NGO will be expected to leverage business.gov.au as the well-established, trusted point of information for Australian</w:t>
      </w:r>
      <w:r>
        <w:t xml:space="preserve"> </w:t>
      </w:r>
      <w:r w:rsidRPr="00A0398A">
        <w:t>business. Business.gov.au is a one-stop shop that provides practical information and tools for business including</w:t>
      </w:r>
      <w:r>
        <w:t xml:space="preserve"> </w:t>
      </w:r>
      <w:r w:rsidRPr="00A0398A">
        <w:t>registrations and licencing, grant opportunities, events and adviser information. The Government will continue to expand</w:t>
      </w:r>
      <w:r>
        <w:t xml:space="preserve"> </w:t>
      </w:r>
      <w:r w:rsidRPr="00A0398A">
        <w:t>the relevance and usability of business.gov.au for small business, including through the business.gov.au Advisory Group.</w:t>
      </w:r>
      <w:r w:rsidR="00B31876">
        <w:br w:type="page"/>
      </w:r>
    </w:p>
    <w:p w:rsidR="00A0398A" w:rsidRPr="00A0398A" w:rsidRDefault="00A0398A" w:rsidP="00A0398A">
      <w:pPr>
        <w:pStyle w:val="Heading2"/>
      </w:pPr>
      <w:bookmarkStart w:id="2" w:name="_Toc533156720"/>
      <w:r w:rsidRPr="00A0398A">
        <w:t>Taskforce Recommendation 2: Annual event for small business</w:t>
      </w:r>
      <w:bookmarkEnd w:id="2"/>
    </w:p>
    <w:p w:rsidR="00A0398A" w:rsidRPr="00A0398A" w:rsidRDefault="00A0398A" w:rsidP="00A0398A">
      <w:r w:rsidRPr="00A0398A">
        <w:t>To highlight and explore emerging digital technology developments and issues impacting small businesses. The</w:t>
      </w:r>
      <w:r>
        <w:t xml:space="preserve"> </w:t>
      </w:r>
      <w:r w:rsidRPr="00A0398A">
        <w:t>event would include a marketplace to enable vendors and suppliers to showcase new applications and services.</w:t>
      </w:r>
    </w:p>
    <w:p w:rsidR="00A0398A" w:rsidRPr="00A0398A" w:rsidRDefault="00A0398A" w:rsidP="00A0398A">
      <w:pPr>
        <w:pStyle w:val="Heading3"/>
      </w:pPr>
      <w:r w:rsidRPr="00A0398A">
        <w:t>The Government supports in principle this recommendation.</w:t>
      </w:r>
    </w:p>
    <w:p w:rsidR="00A0398A" w:rsidRPr="00A0398A" w:rsidRDefault="00A0398A" w:rsidP="00A0398A">
      <w:r w:rsidRPr="00A0398A">
        <w:t>The Government’s preferred approach is to support, coordinate and promote existing events that highlight and explore</w:t>
      </w:r>
      <w:r>
        <w:t xml:space="preserve"> </w:t>
      </w:r>
      <w:r w:rsidRPr="00A0398A">
        <w:t>emerging digital technology developments and issues impacting small businesses, in partnership with industry</w:t>
      </w:r>
      <w:r>
        <w:t xml:space="preserve"> </w:t>
      </w:r>
      <w:r w:rsidRPr="00A0398A">
        <w:t>associations and the private sector.</w:t>
      </w:r>
    </w:p>
    <w:p w:rsidR="00A0398A" w:rsidRPr="00A0398A" w:rsidRDefault="00A0398A" w:rsidP="00A0398A">
      <w:r w:rsidRPr="00A0398A">
        <w:t>There are already a variety of annual events for small business, ranging from festivals and conferences to marketplaces</w:t>
      </w:r>
      <w:r>
        <w:t xml:space="preserve"> </w:t>
      </w:r>
      <w:r w:rsidRPr="00A0398A">
        <w:t>and workshops. Distributed throughout each state and territory, and supported by local, state and federal governments,</w:t>
      </w:r>
      <w:r>
        <w:t xml:space="preserve"> </w:t>
      </w:r>
      <w:r w:rsidRPr="00A0398A">
        <w:t>the options for small business are far reaching. These include the Council of Small Business Australia (COSBOA) Small</w:t>
      </w:r>
      <w:r>
        <w:t xml:space="preserve"> </w:t>
      </w:r>
      <w:r w:rsidRPr="00A0398A">
        <w:t>Business Summit and the Family Business Australia Conference.</w:t>
      </w:r>
    </w:p>
    <w:p w:rsidR="00A0398A" w:rsidRPr="00A0398A" w:rsidRDefault="00A0398A" w:rsidP="00A0398A">
      <w:r w:rsidRPr="00A0398A">
        <w:t>The Government provides coordinated information on small business events on business.gov.au. The website helps</w:t>
      </w:r>
      <w:r>
        <w:t xml:space="preserve"> </w:t>
      </w:r>
      <w:r w:rsidRPr="00A0398A">
        <w:t>businesses to find events across Australia, searchable by event type, location and business stage with relevant links to</w:t>
      </w:r>
      <w:r>
        <w:t xml:space="preserve"> </w:t>
      </w:r>
      <w:r w:rsidRPr="00A0398A">
        <w:t>information and registration. Other Commonwealth agencies offer similar assistance, such as the Australian Taxation</w:t>
      </w:r>
      <w:r>
        <w:t xml:space="preserve"> </w:t>
      </w:r>
      <w:r w:rsidRPr="00A0398A">
        <w:t>Office’s ‘Let’s Talk’ seminars which provide small businesses with relevant information on taxation topics.</w:t>
      </w:r>
    </w:p>
    <w:p w:rsidR="00B31876" w:rsidRDefault="00A0398A" w:rsidP="00B31876">
      <w:r w:rsidRPr="00A0398A">
        <w:t>The Government sees value in building or extending existing events to incorporate digital themes, rather than</w:t>
      </w:r>
      <w:r>
        <w:t xml:space="preserve"> </w:t>
      </w:r>
      <w:r w:rsidRPr="00A0398A">
        <w:t>establishing new events.</w:t>
      </w:r>
      <w:r w:rsidR="00B31876">
        <w:br w:type="page"/>
      </w:r>
    </w:p>
    <w:p w:rsidR="00A0398A" w:rsidRPr="00A0398A" w:rsidRDefault="00A0398A" w:rsidP="00A0398A">
      <w:pPr>
        <w:pStyle w:val="Heading2"/>
      </w:pPr>
      <w:bookmarkStart w:id="3" w:name="_Toc533156721"/>
      <w:r w:rsidRPr="00A0398A">
        <w:t>Taskforce Recommendation 3: Small Business Awards program</w:t>
      </w:r>
      <w:bookmarkEnd w:id="3"/>
    </w:p>
    <w:p w:rsidR="00A0398A" w:rsidRPr="00A0398A" w:rsidRDefault="00A0398A" w:rsidP="00A0398A">
      <w:r w:rsidRPr="00A0398A">
        <w:t>Sponsored by industry to complement existing business awards. Would highlight ‘unsung’ small business owners</w:t>
      </w:r>
      <w:r>
        <w:t xml:space="preserve"> </w:t>
      </w:r>
      <w:r w:rsidRPr="00A0398A">
        <w:t>who are loved by their customers or those that use technology to enhance their customer experience. The awards</w:t>
      </w:r>
      <w:r>
        <w:t xml:space="preserve"> </w:t>
      </w:r>
      <w:r w:rsidRPr="00A0398A">
        <w:t>would form part of the annual event.</w:t>
      </w:r>
    </w:p>
    <w:p w:rsidR="00A0398A" w:rsidRPr="00A0398A" w:rsidRDefault="00A0398A" w:rsidP="00A0398A">
      <w:pPr>
        <w:pStyle w:val="Heading3"/>
      </w:pPr>
      <w:r w:rsidRPr="00A0398A">
        <w:t>The Government supports in principle this recommendation.</w:t>
      </w:r>
    </w:p>
    <w:p w:rsidR="00A0398A" w:rsidRPr="00A0398A" w:rsidRDefault="00A0398A" w:rsidP="00A0398A">
      <w:r w:rsidRPr="00A0398A">
        <w:t>Small business award programs are provided by a range of organisations across the telecommunications, information</w:t>
      </w:r>
      <w:r>
        <w:t xml:space="preserve"> </w:t>
      </w:r>
      <w:r w:rsidRPr="00A0398A">
        <w:t>technology and accounting sectors as well as by various chambers of commerce, industry associations and local councils.</w:t>
      </w:r>
      <w:r>
        <w:t xml:space="preserve"> </w:t>
      </w:r>
      <w:r w:rsidRPr="00A0398A">
        <w:t>Award categories and criteria are expansive and cater for businesses of different sizes, stages and industries.</w:t>
      </w:r>
    </w:p>
    <w:p w:rsidR="00A0398A" w:rsidRPr="00A0398A" w:rsidRDefault="00A0398A" w:rsidP="00A0398A">
      <w:r w:rsidRPr="00A0398A">
        <w:t>The Government considers that the Taskforce’s recommendation for industry to sponsor a small business awards</w:t>
      </w:r>
      <w:r>
        <w:t xml:space="preserve"> </w:t>
      </w:r>
      <w:r w:rsidRPr="00A0398A">
        <w:t>program as part of an annual small business event could duplicate existing events.</w:t>
      </w:r>
    </w:p>
    <w:p w:rsidR="00A0398A" w:rsidRPr="00A0398A" w:rsidRDefault="00A0398A" w:rsidP="00A0398A">
      <w:r w:rsidRPr="00A0398A">
        <w:t>While primarily a matter for industry, the Government acknowledges that small businesses incur both costs and time in</w:t>
      </w:r>
      <w:r>
        <w:t xml:space="preserve"> </w:t>
      </w:r>
      <w:r w:rsidRPr="00A0398A">
        <w:t>applying for business awards which may not lead to a significant change in business behaviour towards digital adoption.</w:t>
      </w:r>
    </w:p>
    <w:p w:rsidR="00B31876" w:rsidRDefault="00A0398A" w:rsidP="00B31876">
      <w:r w:rsidRPr="00A0398A">
        <w:t>Assisting small businesses to overcome perceived barriers to digital adoption through better access to coordinated</w:t>
      </w:r>
      <w:r>
        <w:t xml:space="preserve"> </w:t>
      </w:r>
      <w:r w:rsidRPr="00A0398A">
        <w:t>information and advice is the Government’s preferred mechanism for supporting them to build their digital knowledge</w:t>
      </w:r>
      <w:r>
        <w:t xml:space="preserve"> </w:t>
      </w:r>
      <w:r w:rsidR="00B31876">
        <w:t>and capability.</w:t>
      </w:r>
      <w:r w:rsidR="00B31876">
        <w:br w:type="page"/>
      </w:r>
    </w:p>
    <w:p w:rsidR="00A0398A" w:rsidRPr="00A0398A" w:rsidRDefault="00A0398A" w:rsidP="00A0398A">
      <w:pPr>
        <w:pStyle w:val="Heading2"/>
      </w:pPr>
      <w:bookmarkStart w:id="4" w:name="_Toc533156722"/>
      <w:r w:rsidRPr="00A0398A">
        <w:t>Taskforce Recommendation 4: Video and audio case studies</w:t>
      </w:r>
      <w:bookmarkEnd w:id="4"/>
    </w:p>
    <w:p w:rsidR="00A0398A" w:rsidRPr="00A0398A" w:rsidRDefault="00A0398A" w:rsidP="00A0398A">
      <w:r w:rsidRPr="00A0398A">
        <w:t>Develop and distribute case studies and success stories of small businesses that have gone digital. Work with digital</w:t>
      </w:r>
      <w:r>
        <w:t xml:space="preserve"> </w:t>
      </w:r>
      <w:r w:rsidRPr="00A0398A">
        <w:t>platforms and peer-to-peer services to identify small businesses using these services to grow and scale their</w:t>
      </w:r>
      <w:r>
        <w:t xml:space="preserve"> </w:t>
      </w:r>
      <w:r w:rsidRPr="00A0398A">
        <w:t>business.</w:t>
      </w:r>
    </w:p>
    <w:p w:rsidR="00A0398A" w:rsidRPr="00A0398A" w:rsidRDefault="00A0398A" w:rsidP="00A0398A">
      <w:pPr>
        <w:pStyle w:val="Heading3"/>
      </w:pPr>
      <w:r w:rsidRPr="00A0398A">
        <w:t>The Government supports this recommendation.</w:t>
      </w:r>
    </w:p>
    <w:p w:rsidR="00A0398A" w:rsidRPr="00A0398A" w:rsidRDefault="00A0398A" w:rsidP="00A0398A">
      <w:r w:rsidRPr="00A0398A">
        <w:t>The Government supports the development of case studies of small business who have ‘gone digital’ as part of the Small</w:t>
      </w:r>
      <w:r>
        <w:t xml:space="preserve"> </w:t>
      </w:r>
      <w:r w:rsidRPr="00A0398A">
        <w:t>Business Digital Champions initiative. The program will assist selected small businesses to transform their operations</w:t>
      </w:r>
      <w:r>
        <w:t xml:space="preserve"> </w:t>
      </w:r>
      <w:r w:rsidRPr="00A0398A">
        <w:t>using hardware, software and digital training. Case studies of ‘Digital Champions’ and their mentors, will also document</w:t>
      </w:r>
      <w:r>
        <w:t xml:space="preserve"> </w:t>
      </w:r>
      <w:r w:rsidRPr="00A0398A">
        <w:t>and showcase their digital transformation to inspire and help other small businesses to ‘go digital’.</w:t>
      </w:r>
    </w:p>
    <w:p w:rsidR="00A0398A" w:rsidRPr="00A0398A" w:rsidRDefault="00A0398A" w:rsidP="00A0398A">
      <w:r w:rsidRPr="00A0398A">
        <w:t>The Government notes there are currently many useful case studies regarding digital adoption available online. Case</w:t>
      </w:r>
      <w:r>
        <w:t xml:space="preserve"> </w:t>
      </w:r>
      <w:r w:rsidRPr="00A0398A">
        <w:t>studies are a valuable mechanism of disseminating information to small businesses as they not only provide motivation</w:t>
      </w:r>
    </w:p>
    <w:p w:rsidR="00A0398A" w:rsidRPr="00A0398A" w:rsidRDefault="00A0398A" w:rsidP="00A0398A">
      <w:r w:rsidRPr="00A0398A">
        <w:t>and inspiration, but a relatable medium for communicating with small businesses. Industry consultation supported the</w:t>
      </w:r>
      <w:r>
        <w:t xml:space="preserve"> </w:t>
      </w:r>
      <w:r w:rsidRPr="00A0398A">
        <w:t>curation of existing case studies and success stories to identify gaps where small businesses could be further supported.</w:t>
      </w:r>
    </w:p>
    <w:p w:rsidR="00A0398A" w:rsidRPr="00A0398A" w:rsidRDefault="00A0398A" w:rsidP="00A0398A">
      <w:r w:rsidRPr="00A0398A">
        <w:t>Recent user research</w:t>
      </w:r>
      <w:r>
        <w:rPr>
          <w:rStyle w:val="FootnoteReference"/>
        </w:rPr>
        <w:footnoteReference w:id="3"/>
      </w:r>
      <w:r w:rsidRPr="00A0398A">
        <w:t xml:space="preserve"> incorporating the views of over 75 small businesses, recommends that for case studies to resonate</w:t>
      </w:r>
      <w:r>
        <w:t xml:space="preserve"> </w:t>
      </w:r>
      <w:r w:rsidRPr="00A0398A">
        <w:t>with small businesses, they need to provide content that is tailored, relatable and inspirational. They should be delivered</w:t>
      </w:r>
      <w:r>
        <w:t xml:space="preserve"> </w:t>
      </w:r>
      <w:r w:rsidRPr="00A0398A">
        <w:t>by a trusted provider and ideally, provide links to a practical action plan. Involving stakeholders in co-design will also</w:t>
      </w:r>
      <w:r>
        <w:t xml:space="preserve"> </w:t>
      </w:r>
      <w:r w:rsidRPr="00A0398A">
        <w:t>foster further use and support.</w:t>
      </w:r>
    </w:p>
    <w:p w:rsidR="00B31876" w:rsidRDefault="00A0398A" w:rsidP="00B31876">
      <w:r w:rsidRPr="00A0398A">
        <w:t>The Government considers the most useful case studies for small business are those that are concise yet provide</w:t>
      </w:r>
      <w:r>
        <w:t xml:space="preserve"> </w:t>
      </w:r>
      <w:r w:rsidRPr="00A0398A">
        <w:t>sufficient detail outlining how the nominated small business was able to achieve their desired outcome so that others can</w:t>
      </w:r>
      <w:r>
        <w:t xml:space="preserve"> </w:t>
      </w:r>
      <w:r w:rsidRPr="00A0398A">
        <w:t>replicate similar forms of success.</w:t>
      </w:r>
      <w:r w:rsidR="00B31876">
        <w:br w:type="page"/>
      </w:r>
    </w:p>
    <w:p w:rsidR="00A0398A" w:rsidRPr="00A0398A" w:rsidRDefault="00A0398A" w:rsidP="00A0398A">
      <w:pPr>
        <w:pStyle w:val="Heading2"/>
      </w:pPr>
      <w:bookmarkStart w:id="5" w:name="_Toc533156723"/>
      <w:r w:rsidRPr="00A0398A">
        <w:t>Taskforce Recommendation 5: University student-based connection</w:t>
      </w:r>
      <w:bookmarkEnd w:id="5"/>
    </w:p>
    <w:p w:rsidR="00A0398A" w:rsidRPr="00A0398A" w:rsidRDefault="00A0398A" w:rsidP="00A0398A">
      <w:r w:rsidRPr="00A0398A">
        <w:t>Utilise university students studying IT, marketing, business and related fields for short term and project work to help</w:t>
      </w:r>
      <w:r>
        <w:t xml:space="preserve"> </w:t>
      </w:r>
      <w:r w:rsidRPr="00A0398A">
        <w:t>raise the digital capability of businesses and make students more job ready.</w:t>
      </w:r>
    </w:p>
    <w:p w:rsidR="00A0398A" w:rsidRPr="00A0398A" w:rsidRDefault="00A0398A" w:rsidP="00A0398A">
      <w:pPr>
        <w:pStyle w:val="Heading3"/>
      </w:pPr>
      <w:r w:rsidRPr="00A0398A">
        <w:t>The Government supports this recommendation.</w:t>
      </w:r>
    </w:p>
    <w:p w:rsidR="00A0398A" w:rsidRPr="00A0398A" w:rsidRDefault="00A0398A" w:rsidP="00A0398A">
      <w:r w:rsidRPr="00A0398A">
        <w:t>The Government supports the utilisation and promotion of the Researchers in Business (RIBIT) initiative to facilitate this</w:t>
      </w:r>
      <w:r>
        <w:t xml:space="preserve"> </w:t>
      </w:r>
      <w:r w:rsidRPr="00A0398A">
        <w:t>recommendation. Recent government research</w:t>
      </w:r>
      <w:r>
        <w:rPr>
          <w:rStyle w:val="FootnoteReference"/>
        </w:rPr>
        <w:footnoteReference w:id="4"/>
      </w:r>
      <w:r w:rsidRPr="00A0398A">
        <w:t xml:space="preserve"> identified the value in further leveraging the RIBIT platform and</w:t>
      </w:r>
      <w:r>
        <w:t xml:space="preserve"> </w:t>
      </w:r>
      <w:r w:rsidRPr="00A0398A">
        <w:t>expanding its remit.</w:t>
      </w:r>
    </w:p>
    <w:p w:rsidR="00B31876" w:rsidRDefault="00A0398A" w:rsidP="00B31876">
      <w:r w:rsidRPr="00A0398A">
        <w:t>The RIBIT platform, developed by the CSIRO and Data61, pairs university students with Australian career-related work</w:t>
      </w:r>
      <w:r>
        <w:t xml:space="preserve"> </w:t>
      </w:r>
      <w:r w:rsidRPr="00A0398A">
        <w:t>opportunities while they complete their university studies. The initiative provides a platform for improved engagement</w:t>
      </w:r>
      <w:r>
        <w:t xml:space="preserve"> </w:t>
      </w:r>
      <w:r w:rsidRPr="00A0398A">
        <w:t>between industry and the higher education sector.</w:t>
      </w:r>
      <w:r w:rsidR="00B31876">
        <w:br w:type="page"/>
      </w:r>
    </w:p>
    <w:p w:rsidR="00A0398A" w:rsidRPr="00A0398A" w:rsidRDefault="00A0398A" w:rsidP="00A0398A">
      <w:pPr>
        <w:pStyle w:val="Heading2"/>
      </w:pPr>
      <w:bookmarkStart w:id="6" w:name="_Toc533156724"/>
      <w:r w:rsidRPr="00A0398A">
        <w:t>Taskforce Recommendation 6: Awareness and communications campaign tools</w:t>
      </w:r>
      <w:bookmarkEnd w:id="6"/>
    </w:p>
    <w:p w:rsidR="00A0398A" w:rsidRPr="00A0398A" w:rsidRDefault="00A0398A" w:rsidP="00A0398A">
      <w:r w:rsidRPr="00A0398A">
        <w:t>Leverage trusted advisors of small business (accountants, industry associations, banks). Provide a digital health</w:t>
      </w:r>
      <w:r>
        <w:t xml:space="preserve"> </w:t>
      </w:r>
      <w:r w:rsidRPr="00A0398A">
        <w:t>check tool to assess the level of digital maturity of a business, where they rank among peers, and receive advice</w:t>
      </w:r>
      <w:r>
        <w:t xml:space="preserve"> </w:t>
      </w:r>
      <w:r w:rsidRPr="00A0398A">
        <w:t>and resources to raise their digital sophistication.</w:t>
      </w:r>
    </w:p>
    <w:p w:rsidR="00A0398A" w:rsidRPr="00A0398A" w:rsidRDefault="00A0398A" w:rsidP="00A0398A">
      <w:pPr>
        <w:pStyle w:val="Heading3"/>
      </w:pPr>
      <w:r w:rsidRPr="00A0398A">
        <w:t>The Government supports in principle this recommendation.</w:t>
      </w:r>
    </w:p>
    <w:p w:rsidR="00A0398A" w:rsidRPr="00A0398A" w:rsidRDefault="00A0398A" w:rsidP="00A0398A">
      <w:r w:rsidRPr="00A0398A">
        <w:t>The Government supports in principle the Taskforce’s finding that the best way to accelerate the rate of small business</w:t>
      </w:r>
      <w:r>
        <w:t xml:space="preserve"> </w:t>
      </w:r>
      <w:r w:rsidRPr="00A0398A">
        <w:t>digital use is to equip their trusted adviser (their accountant, industry association or financial institution) with the right</w:t>
      </w:r>
      <w:r>
        <w:t xml:space="preserve"> </w:t>
      </w:r>
      <w:r w:rsidRPr="00A0398A">
        <w:t>tools, information and skills so they can expertly assist the small businesses they engage with.</w:t>
      </w:r>
    </w:p>
    <w:p w:rsidR="00A0398A" w:rsidRPr="00A0398A" w:rsidRDefault="00A0398A" w:rsidP="00A0398A">
      <w:r w:rsidRPr="00A0398A">
        <w:t>Research shows that at least 40 per cent of small businesses with medium to advanced digital uptake engaged a</w:t>
      </w:r>
      <w:r>
        <w:t xml:space="preserve"> </w:t>
      </w:r>
      <w:r w:rsidRPr="00A0398A">
        <w:t>professional for advice on digital adoption.</w:t>
      </w:r>
      <w:r>
        <w:rPr>
          <w:rStyle w:val="FootnoteReference"/>
        </w:rPr>
        <w:footnoteReference w:id="5"/>
      </w:r>
      <w:r w:rsidRPr="00A0398A">
        <w:t xml:space="preserve"> Often, it is the trusted adviser who gives small business advice on what</w:t>
      </w:r>
      <w:r>
        <w:t xml:space="preserve"> </w:t>
      </w:r>
      <w:r w:rsidRPr="00A0398A">
        <w:t>technology to use, where to purcha</w:t>
      </w:r>
      <w:r>
        <w:t>se it, and how to implement it.</w:t>
      </w:r>
    </w:p>
    <w:p w:rsidR="00B31876" w:rsidRDefault="00A0398A" w:rsidP="00B31876">
      <w:r w:rsidRPr="00A0398A">
        <w:t>While small businesses trust their accountants’ advice on digital issues, the profession lacks a central, authoritative</w:t>
      </w:r>
      <w:r>
        <w:t xml:space="preserve"> </w:t>
      </w:r>
      <w:r w:rsidRPr="00A0398A">
        <w:t>reference point to source information and advice. This shortfall will be addressed through the NGO (Recommendation 1)</w:t>
      </w:r>
      <w:r>
        <w:t xml:space="preserve"> </w:t>
      </w:r>
      <w:r w:rsidRPr="00A0398A">
        <w:t>which will provide a coordinated, online platform of digital information and advice for small businesses and their trusted</w:t>
      </w:r>
      <w:r>
        <w:t xml:space="preserve"> </w:t>
      </w:r>
      <w:r w:rsidRPr="00A0398A">
        <w:t>advisors. The NGO will also be expected to establish a two-way flow of information between the NGO and industry</w:t>
      </w:r>
      <w:r>
        <w:t xml:space="preserve"> </w:t>
      </w:r>
      <w:r w:rsidRPr="00A0398A">
        <w:t>associations and Small Business Commissioners.</w:t>
      </w:r>
      <w:r w:rsidR="00B31876">
        <w:br w:type="page"/>
      </w:r>
    </w:p>
    <w:p w:rsidR="00A0398A" w:rsidRPr="00A0398A" w:rsidRDefault="00A0398A" w:rsidP="00A0398A">
      <w:pPr>
        <w:pStyle w:val="Heading2"/>
      </w:pPr>
      <w:bookmarkStart w:id="7" w:name="_Toc533156725"/>
      <w:r w:rsidRPr="00A0398A">
        <w:t>Taskforce Recommendation 7: Digital capability of industry associations</w:t>
      </w:r>
      <w:bookmarkEnd w:id="7"/>
    </w:p>
    <w:p w:rsidR="00A0398A" w:rsidRPr="00A0398A" w:rsidRDefault="00A0398A" w:rsidP="00A0398A">
      <w:r w:rsidRPr="00A0398A">
        <w:t>Work with industry associations to develop specific digital playbooks or best practice guides for their specific</w:t>
      </w:r>
      <w:r>
        <w:t xml:space="preserve"> </w:t>
      </w:r>
      <w:r w:rsidRPr="00A0398A">
        <w:t>business sector. Initially pilot industries with low levels of digital uptake.</w:t>
      </w:r>
    </w:p>
    <w:p w:rsidR="00A0398A" w:rsidRPr="00A0398A" w:rsidRDefault="00A0398A" w:rsidP="00A0398A">
      <w:pPr>
        <w:pStyle w:val="Heading3"/>
      </w:pPr>
      <w:r w:rsidRPr="00A0398A">
        <w:t>The Government supports in principle this recommendation.</w:t>
      </w:r>
    </w:p>
    <w:p w:rsidR="00A0398A" w:rsidRPr="00A0398A" w:rsidRDefault="00A0398A" w:rsidP="00A0398A">
      <w:r w:rsidRPr="00A0398A">
        <w:t>The Government supports in principle the recommendation to work with industry associations to tailor advice to specific</w:t>
      </w:r>
      <w:r>
        <w:t xml:space="preserve"> </w:t>
      </w:r>
      <w:r w:rsidRPr="00A0398A">
        <w:t>industry sectors and to develop best practice guides as a tool for small businesses to determine appropriate questions to</w:t>
      </w:r>
      <w:r>
        <w:t xml:space="preserve"> </w:t>
      </w:r>
      <w:r w:rsidRPr="00A0398A">
        <w:t>ask their trusted advisor.</w:t>
      </w:r>
    </w:p>
    <w:p w:rsidR="00A0398A" w:rsidRPr="00A0398A" w:rsidRDefault="00A0398A" w:rsidP="00A0398A">
      <w:r w:rsidRPr="00A0398A">
        <w:t>The Government would expect the NGO to establish and build relationships with industry associations to improve digital</w:t>
      </w:r>
      <w:r>
        <w:t xml:space="preserve"> </w:t>
      </w:r>
      <w:r w:rsidRPr="00A0398A">
        <w:t>awareness among small businesses and develop industry specific digital best practice guides.</w:t>
      </w:r>
    </w:p>
    <w:p w:rsidR="00A0398A" w:rsidRPr="00A0398A" w:rsidRDefault="00A0398A" w:rsidP="00A0398A">
      <w:r w:rsidRPr="00A0398A">
        <w:t>The Government’s Small Business Digital Champions initiative will provide small businesses with practical and relatable</w:t>
      </w:r>
      <w:r>
        <w:t xml:space="preserve"> </w:t>
      </w:r>
      <w:r w:rsidRPr="00A0398A">
        <w:t>advice through the development of targeted case studies. The NGO, industry associations and small business</w:t>
      </w:r>
      <w:r>
        <w:t xml:space="preserve"> </w:t>
      </w:r>
      <w:r w:rsidRPr="00A0398A">
        <w:t>commissioners provide the ideal platform to promote these case studies to small business.</w:t>
      </w:r>
    </w:p>
    <w:p w:rsidR="00B31876" w:rsidRDefault="00A0398A" w:rsidP="00B31876">
      <w:r w:rsidRPr="00A0398A">
        <w:t>Through the program, the Government will also enhance the capacity of industry associations to provide sector-specific</w:t>
      </w:r>
      <w:r>
        <w:t xml:space="preserve"> </w:t>
      </w:r>
      <w:r w:rsidRPr="00A0398A">
        <w:t xml:space="preserve">digital </w:t>
      </w:r>
      <w:r w:rsidR="00B31876" w:rsidRPr="00A0398A">
        <w:t>advice</w:t>
      </w:r>
      <w:r w:rsidRPr="00A0398A">
        <w:t xml:space="preserve"> to the Digital Champions and more broadly to the associations’ membership.</w:t>
      </w:r>
      <w:r w:rsidR="00B31876">
        <w:br w:type="page"/>
      </w:r>
    </w:p>
    <w:p w:rsidR="00B31876" w:rsidRDefault="00A0398A" w:rsidP="00B31876">
      <w:pPr>
        <w:pStyle w:val="Heading2"/>
      </w:pPr>
      <w:bookmarkStart w:id="8" w:name="_Toc533156726"/>
      <w:r w:rsidRPr="00A0398A">
        <w:t>Taskforce Recommendation 8: Exploring scaling the Queensland Local Digital</w:t>
      </w:r>
      <w:r w:rsidR="00B31876">
        <w:t xml:space="preserve"> </w:t>
      </w:r>
      <w:r w:rsidRPr="00A0398A">
        <w:t>Champions program</w:t>
      </w:r>
      <w:bookmarkEnd w:id="8"/>
    </w:p>
    <w:p w:rsidR="00A0398A" w:rsidRPr="00A0398A" w:rsidRDefault="00A0398A" w:rsidP="00A0398A">
      <w:r w:rsidRPr="00A0398A">
        <w:t>Establish and promote local digital champions as a touchpoint for information and advice to help local businesses</w:t>
      </w:r>
      <w:r w:rsidR="00B31876">
        <w:t xml:space="preserve"> </w:t>
      </w:r>
      <w:r w:rsidRPr="00A0398A">
        <w:t>use digital technologies more effectively.</w:t>
      </w:r>
    </w:p>
    <w:p w:rsidR="00A0398A" w:rsidRPr="00A0398A" w:rsidRDefault="00A0398A" w:rsidP="00B31876">
      <w:pPr>
        <w:pStyle w:val="Heading3"/>
      </w:pPr>
      <w:r w:rsidRPr="00A0398A">
        <w:t>The Government supports this recommendation.</w:t>
      </w:r>
    </w:p>
    <w:p w:rsidR="00A0398A" w:rsidRPr="00A0398A" w:rsidRDefault="00A0398A" w:rsidP="00A0398A">
      <w:r w:rsidRPr="00A0398A">
        <w:t>The Advance Queensland Community Digital Champions program aims to support digital advocates from industry,</w:t>
      </w:r>
      <w:r w:rsidR="00B31876">
        <w:t xml:space="preserve"> </w:t>
      </w:r>
      <w:r w:rsidRPr="00A0398A">
        <w:t>community and all demographic groups to give back to their communities by encouraging others to benefit from digital</w:t>
      </w:r>
      <w:r w:rsidR="00B31876">
        <w:t xml:space="preserve"> </w:t>
      </w:r>
      <w:r w:rsidRPr="00A0398A">
        <w:t>adoption.</w:t>
      </w:r>
    </w:p>
    <w:p w:rsidR="00A0398A" w:rsidRPr="00A0398A" w:rsidRDefault="00A0398A" w:rsidP="00A0398A">
      <w:r w:rsidRPr="00A0398A">
        <w:t>The Government supports the Taskforce’s recommendation to explore scaling this program nationally. Face-to-face local</w:t>
      </w:r>
      <w:r w:rsidR="00B31876">
        <w:t xml:space="preserve"> </w:t>
      </w:r>
      <w:r w:rsidRPr="00A0398A">
        <w:t>support for small businesses has been identified as being useful in assisting small businesses to understand the benefits</w:t>
      </w:r>
      <w:r w:rsidR="00B31876">
        <w:t xml:space="preserve"> </w:t>
      </w:r>
      <w:r w:rsidRPr="00A0398A">
        <w:t>of digital technology.</w:t>
      </w:r>
    </w:p>
    <w:p w:rsidR="00A0398A" w:rsidRPr="00A0398A" w:rsidRDefault="00A0398A" w:rsidP="00A0398A">
      <w:r w:rsidRPr="00A0398A">
        <w:t>The Small Business Digital Champions initiative will provide a tangible demonstration of the benefit of adopting digital</w:t>
      </w:r>
      <w:r w:rsidR="00B31876">
        <w:t xml:space="preserve"> </w:t>
      </w:r>
      <w:r w:rsidRPr="00A0398A">
        <w:t>technology to the broader small business community. It will also support the Government’s digital economy strategy by</w:t>
      </w:r>
      <w:r w:rsidR="00B31876">
        <w:t xml:space="preserve"> </w:t>
      </w:r>
      <w:r w:rsidRPr="00A0398A">
        <w:t>helping small businesses begin their digital journey by facilitating their access to digital tools.</w:t>
      </w:r>
    </w:p>
    <w:p w:rsidR="00B31876" w:rsidRDefault="00A0398A" w:rsidP="00B31876">
      <w:r w:rsidRPr="00A0398A">
        <w:t>The program will support nominated ‘Digital Champions’ to receive mentoring from high-profile business leaders, and</w:t>
      </w:r>
      <w:r w:rsidR="00B31876">
        <w:t xml:space="preserve"> </w:t>
      </w:r>
      <w:r w:rsidRPr="00A0398A">
        <w:t>funding to undergo a digital makeover of their business. Digital Champions will have their progress documented and</w:t>
      </w:r>
      <w:r w:rsidR="00B31876">
        <w:t xml:space="preserve"> </w:t>
      </w:r>
      <w:r w:rsidRPr="00A0398A">
        <w:t>publicised through various online and media channels.</w:t>
      </w:r>
      <w:r w:rsidR="00B31876">
        <w:br w:type="page"/>
      </w:r>
    </w:p>
    <w:p w:rsidR="00A0398A" w:rsidRPr="00A0398A" w:rsidRDefault="00A0398A" w:rsidP="00B31876">
      <w:pPr>
        <w:pStyle w:val="Heading2"/>
      </w:pPr>
      <w:bookmarkStart w:id="9" w:name="_Toc533156727"/>
      <w:r w:rsidRPr="00A0398A">
        <w:t>Taskforce Recommendation 9: Digital roadshows for regional communities</w:t>
      </w:r>
      <w:bookmarkEnd w:id="9"/>
    </w:p>
    <w:p w:rsidR="00A0398A" w:rsidRPr="00A0398A" w:rsidRDefault="00A0398A" w:rsidP="00A0398A">
      <w:r w:rsidRPr="00A0398A">
        <w:t>Explore existing roadshow models and public-private partnerships to create ‘pop-ups’, travelling ‘fix-it’ squads and</w:t>
      </w:r>
      <w:r w:rsidR="00B31876">
        <w:t xml:space="preserve"> </w:t>
      </w:r>
      <w:r w:rsidRPr="00A0398A">
        <w:t>digital business experts to travel where businesses are.</w:t>
      </w:r>
    </w:p>
    <w:p w:rsidR="00A0398A" w:rsidRPr="00A0398A" w:rsidRDefault="00A0398A" w:rsidP="00B31876">
      <w:pPr>
        <w:pStyle w:val="Heading3"/>
      </w:pPr>
      <w:r w:rsidRPr="00A0398A">
        <w:t>The Government supports in principle this recommendation.</w:t>
      </w:r>
    </w:p>
    <w:p w:rsidR="00B31876" w:rsidRDefault="00A0398A" w:rsidP="00A0398A">
      <w:r w:rsidRPr="00A0398A">
        <w:t>Acknowledging the success of recent roadshows particularly for small businesses located in regional and rural areas, the</w:t>
      </w:r>
      <w:r w:rsidR="00B31876">
        <w:t xml:space="preserve"> </w:t>
      </w:r>
      <w:r w:rsidRPr="00A0398A">
        <w:t>Government supports in principle the Taskforce’s recommendation to explore existing roadshow models and</w:t>
      </w:r>
      <w:r w:rsidR="00B31876">
        <w:t xml:space="preserve"> </w:t>
      </w:r>
      <w:r w:rsidRPr="00A0398A">
        <w:t>partnerships between public and private industries.</w:t>
      </w:r>
      <w:r w:rsidR="00B31876">
        <w:t xml:space="preserve"> </w:t>
      </w:r>
    </w:p>
    <w:p w:rsidR="00A0398A" w:rsidRPr="00A0398A" w:rsidRDefault="00A0398A" w:rsidP="00A0398A">
      <w:r w:rsidRPr="00A0398A">
        <w:t>User research conducted by the Government also strongly recommended the use of roadshows to facilitate awareness</w:t>
      </w:r>
      <w:r w:rsidR="00B31876">
        <w:t xml:space="preserve"> </w:t>
      </w:r>
      <w:r w:rsidRPr="00A0398A">
        <w:t>among small businesses of the benefits of adopting digital technologies and as a means of providing personalised</w:t>
      </w:r>
      <w:r w:rsidR="00B31876">
        <w:t xml:space="preserve"> </w:t>
      </w:r>
      <w:r w:rsidRPr="00A0398A">
        <w:t>support. Research confirmed that small businesses who are less confident using digital tools require face-to-face advice</w:t>
      </w:r>
      <w:r w:rsidR="00B31876">
        <w:t xml:space="preserve"> </w:t>
      </w:r>
      <w:r w:rsidRPr="00A0398A">
        <w:t>to support them when learning about digital technologies.</w:t>
      </w:r>
    </w:p>
    <w:p w:rsidR="00B31876" w:rsidRDefault="00A0398A" w:rsidP="00A0398A">
      <w:r w:rsidRPr="00A0398A">
        <w:t>It also identified that the key barriers to the successful implementation of digital roadshows were largely in relation to</w:t>
      </w:r>
      <w:r w:rsidR="00B31876">
        <w:t xml:space="preserve"> </w:t>
      </w:r>
      <w:r w:rsidRPr="00A0398A">
        <w:t>connectivity and geographical challenges faced in rural and remote areas, associated costs, and scale.</w:t>
      </w:r>
      <w:r w:rsidR="00B31876">
        <w:rPr>
          <w:rStyle w:val="FootnoteReference"/>
        </w:rPr>
        <w:footnoteReference w:id="6"/>
      </w:r>
    </w:p>
    <w:p w:rsidR="00A0398A" w:rsidRPr="00A0398A" w:rsidRDefault="00A0398A" w:rsidP="00A0398A">
      <w:r w:rsidRPr="00A0398A">
        <w:t>Mapping current roadshow offerings and identifying gaps where small businesses may require further assistance will</w:t>
      </w:r>
      <w:r w:rsidR="00B31876">
        <w:t xml:space="preserve"> </w:t>
      </w:r>
      <w:r w:rsidRPr="00A0398A">
        <w:t>ensure roadshows remain targeted and assist small business.</w:t>
      </w:r>
    </w:p>
    <w:p w:rsidR="004C6042" w:rsidRPr="00A0398A" w:rsidRDefault="00A0398A" w:rsidP="00A0398A">
      <w:r w:rsidRPr="00A0398A">
        <w:t>Government initiatives such as the National Broadband Network and the Mobile Black Spot Program strive to ensure all</w:t>
      </w:r>
      <w:r w:rsidR="00B31876">
        <w:t xml:space="preserve"> </w:t>
      </w:r>
      <w:r w:rsidRPr="00A0398A">
        <w:t>Australians have access to basic digital services regardless of their geographical location. The Australian Small Business</w:t>
      </w:r>
      <w:r w:rsidR="00B31876">
        <w:t xml:space="preserve"> </w:t>
      </w:r>
      <w:r w:rsidRPr="00A0398A">
        <w:t>Advisory Services also offers low cost, high-quality and tailored advice and support to build sustainable and productive</w:t>
      </w:r>
      <w:r w:rsidR="00B31876">
        <w:t xml:space="preserve"> </w:t>
      </w:r>
      <w:r w:rsidRPr="00A0398A">
        <w:t>businesse</w:t>
      </w:r>
      <w:r w:rsidR="00B31876">
        <w:t>s in regional areas.</w:t>
      </w:r>
    </w:p>
    <w:sectPr w:rsidR="004C6042" w:rsidRPr="00A0398A" w:rsidSect="007240FE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0398A" w:rsidRDefault="00A0398A" w:rsidP="007240FE">
      <w:pPr>
        <w:spacing w:before="0" w:after="0" w:line="240" w:lineRule="auto"/>
      </w:pPr>
      <w:r>
        <w:separator/>
      </w:r>
    </w:p>
  </w:endnote>
  <w:endnote w:type="continuationSeparator" w:id="0">
    <w:p w:rsidR="00A0398A" w:rsidRDefault="00A0398A" w:rsidP="007240F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C2356" w:rsidRDefault="003F7FA3" w:rsidP="003F7FA3">
    <w:pPr>
      <w:pStyle w:val="Footer"/>
      <w:tabs>
        <w:tab w:val="clear" w:pos="4513"/>
        <w:tab w:val="center" w:pos="6946"/>
      </w:tabs>
      <w:jc w:val="right"/>
    </w:pPr>
    <w:r>
      <w:t>Government Response to the Small Business Digital Taskforce</w:t>
    </w:r>
    <w:r>
      <w:tab/>
    </w:r>
    <w:r w:rsidR="00DE3D00">
      <w:t>industry.gov.au</w:t>
    </w:r>
    <w:r w:rsidR="00DE3D00">
      <w:tab/>
    </w:r>
    <w:sdt>
      <w:sdtPr>
        <w:id w:val="-44314593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E3D00">
          <w:fldChar w:fldCharType="begin"/>
        </w:r>
        <w:r w:rsidR="00DE3D00">
          <w:instrText xml:space="preserve"> PAGE   \* MERGEFORMAT </w:instrText>
        </w:r>
        <w:r w:rsidR="00DE3D00">
          <w:fldChar w:fldCharType="separate"/>
        </w:r>
        <w:r w:rsidR="00BD663D">
          <w:rPr>
            <w:noProof/>
          </w:rPr>
          <w:t>3</w:t>
        </w:r>
        <w:r w:rsidR="00DE3D00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3D00" w:rsidRDefault="000834DF" w:rsidP="009A0014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1AD19E" wp14:editId="66E885D8">
              <wp:simplePos x="0" y="0"/>
              <wp:positionH relativeFrom="page">
                <wp:posOffset>-619125</wp:posOffset>
              </wp:positionH>
              <wp:positionV relativeFrom="paragraph">
                <wp:posOffset>-2025015</wp:posOffset>
              </wp:positionV>
              <wp:extent cx="9515475" cy="2085975"/>
              <wp:effectExtent l="0" t="0" r="28575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15475" cy="2085975"/>
                      </a:xfrm>
                      <a:prstGeom prst="rect">
                        <a:avLst/>
                      </a:prstGeom>
                      <a:solidFill>
                        <a:schemeClr val="tx1">
                          <a:alpha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541879" id="Rectangle 4" o:spid="_x0000_s1026" style="position:absolute;margin-left:-48.75pt;margin-top:-159.45pt;width:749.25pt;height:164.2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" fillcolor="black [3213]" strokecolor="#002a3b [1604]" strokeweight="1pt">
              <v:fill opacity="32896f"/>
              <w10:wrap anchorx="page"/>
            </v:rect>
          </w:pict>
        </mc:Fallback>
      </mc:AlternateContent>
    </w:r>
  </w:p>
  <w:p w:rsidR="005C2356" w:rsidRDefault="005C23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0398A" w:rsidRDefault="00A0398A" w:rsidP="007240FE">
      <w:pPr>
        <w:spacing w:before="0" w:after="0" w:line="240" w:lineRule="auto"/>
      </w:pPr>
      <w:r>
        <w:separator/>
      </w:r>
    </w:p>
  </w:footnote>
  <w:footnote w:type="continuationSeparator" w:id="0">
    <w:p w:rsidR="00A0398A" w:rsidRDefault="00A0398A" w:rsidP="007240FE">
      <w:pPr>
        <w:spacing w:before="0" w:after="0" w:line="240" w:lineRule="auto"/>
      </w:pPr>
      <w:r>
        <w:continuationSeparator/>
      </w:r>
    </w:p>
  </w:footnote>
  <w:footnote w:id="1">
    <w:p w:rsidR="00A0398A" w:rsidRDefault="00A039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0398A">
        <w:t>Small Business Digital Create Report, Department of Industry, Innovation and Science, February 2018.</w:t>
      </w:r>
    </w:p>
  </w:footnote>
  <w:footnote w:id="2">
    <w:p w:rsidR="00A0398A" w:rsidRDefault="00A039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0398A">
        <w:t>ANZ, The Digital Economy: Transforming Australian Businesses, August 2018.</w:t>
      </w:r>
    </w:p>
  </w:footnote>
  <w:footnote w:id="3">
    <w:p w:rsidR="00A0398A" w:rsidRDefault="00A039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0398A">
        <w:t>Small Business Digital Create Report, Department of Industry, Innovation and Science, February 2018.</w:t>
      </w:r>
    </w:p>
  </w:footnote>
  <w:footnote w:id="4">
    <w:p w:rsidR="00A0398A" w:rsidRDefault="00A039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0398A">
        <w:t>Small Business Digital Create Report, Department of Industry, Innovation and Science, February 2018.</w:t>
      </w:r>
    </w:p>
  </w:footnote>
  <w:footnote w:id="5">
    <w:p w:rsidR="00A0398A" w:rsidRDefault="00A039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0398A">
        <w:t>ANZ, The Digital Economy: Transforming Australian Businesses, August 2018.</w:t>
      </w:r>
    </w:p>
  </w:footnote>
  <w:footnote w:id="6">
    <w:p w:rsidR="00B31876" w:rsidRDefault="00B3187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31876">
        <w:t>Small Business Digital Create Report, Department of Industry, Innovation and Science, February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240FE" w:rsidRDefault="00B22C8F" w:rsidP="00CA6AD7">
    <w:pPr>
      <w:pStyle w:val="Header"/>
      <w:tabs>
        <w:tab w:val="clear" w:pos="4513"/>
        <w:tab w:val="clear" w:pos="9026"/>
        <w:tab w:val="left" w:pos="870"/>
      </w:tabs>
      <w:spacing w:after="24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71.25pt;margin-top:-34.6pt;width:594.15pt;height:839.9pt;z-index:-251658240;mso-position-horizontal-relative:text;mso-position-vertical-relative:text;mso-width-relative:page;mso-height-relative:page">
          <v:imagedata r:id="rId1" o:title="18-COM13227 SBDTF cov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72C7D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9AEB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B4C9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19AE2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0AED9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4E19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F053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803066"/>
    <w:lvl w:ilvl="0">
      <w:start w:val="1"/>
      <w:numFmt w:val="bullet"/>
      <w:pStyle w:val="ListBullet2"/>
      <w:lvlText w:val="-"/>
      <w:lvlJc w:val="left"/>
      <w:pPr>
        <w:ind w:left="643" w:hanging="360"/>
      </w:pPr>
      <w:rPr>
        <w:rFonts w:ascii="Courier New" w:hAnsi="Courier New" w:hint="default"/>
        <w:color w:val="005677" w:themeColor="accent1"/>
      </w:rPr>
    </w:lvl>
  </w:abstractNum>
  <w:abstractNum w:abstractNumId="8" w15:restartNumberingAfterBreak="0">
    <w:nsid w:val="FFFFFF88"/>
    <w:multiLevelType w:val="singleLevel"/>
    <w:tmpl w:val="85082DC6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9" w15:restartNumberingAfterBreak="0">
    <w:nsid w:val="FFFFFF89"/>
    <w:multiLevelType w:val="singleLevel"/>
    <w:tmpl w:val="F2D2F0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5677" w:themeColor="accent1"/>
      </w:rPr>
    </w:lvl>
  </w:abstractNum>
  <w:abstractNum w:abstractNumId="10" w15:restartNumberingAfterBreak="0">
    <w:nsid w:val="1F4E2756"/>
    <w:multiLevelType w:val="hybridMultilevel"/>
    <w:tmpl w:val="85F0EABE"/>
    <w:lvl w:ilvl="0" w:tplc="03B0D284">
      <w:start w:val="1"/>
      <w:numFmt w:val="decimal"/>
      <w:pStyle w:val="ListNumb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A2DAB"/>
    <w:multiLevelType w:val="hybridMultilevel"/>
    <w:tmpl w:val="630C32AA"/>
    <w:lvl w:ilvl="0" w:tplc="68E6D72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05677" w:themeColor="accent1"/>
      </w:rPr>
    </w:lvl>
    <w:lvl w:ilvl="1" w:tplc="21E8437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05677" w:themeColor="accent1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E65D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59366B4"/>
    <w:multiLevelType w:val="hybridMultilevel"/>
    <w:tmpl w:val="8690D4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03F08"/>
    <w:multiLevelType w:val="hybridMultilevel"/>
    <w:tmpl w:val="8D6E56C6"/>
    <w:lvl w:ilvl="0" w:tplc="19BE00B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5677" w:themeColor="accent1"/>
      </w:rPr>
    </w:lvl>
    <w:lvl w:ilvl="1" w:tplc="21E8437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005677" w:themeColor="accent1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C49BA"/>
    <w:multiLevelType w:val="hybridMultilevel"/>
    <w:tmpl w:val="55CE273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  <w:num w:numId="14">
    <w:abstractNumId w:val="11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formatting="1" w:enforcement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98A"/>
    <w:rsid w:val="00010B83"/>
    <w:rsid w:val="00040232"/>
    <w:rsid w:val="000834DF"/>
    <w:rsid w:val="00157609"/>
    <w:rsid w:val="001768A9"/>
    <w:rsid w:val="001A09CA"/>
    <w:rsid w:val="00214F5E"/>
    <w:rsid w:val="003F6AD9"/>
    <w:rsid w:val="003F7FA3"/>
    <w:rsid w:val="004C3712"/>
    <w:rsid w:val="004C6042"/>
    <w:rsid w:val="004E13B2"/>
    <w:rsid w:val="00527E00"/>
    <w:rsid w:val="005C2356"/>
    <w:rsid w:val="006302E4"/>
    <w:rsid w:val="00654790"/>
    <w:rsid w:val="007240FE"/>
    <w:rsid w:val="007610DD"/>
    <w:rsid w:val="00790F12"/>
    <w:rsid w:val="007D13AC"/>
    <w:rsid w:val="008172C3"/>
    <w:rsid w:val="00860A87"/>
    <w:rsid w:val="009A0014"/>
    <w:rsid w:val="00A0398A"/>
    <w:rsid w:val="00AA6A43"/>
    <w:rsid w:val="00AE4CAE"/>
    <w:rsid w:val="00B07610"/>
    <w:rsid w:val="00B22C8F"/>
    <w:rsid w:val="00B31876"/>
    <w:rsid w:val="00B32E71"/>
    <w:rsid w:val="00B46DBD"/>
    <w:rsid w:val="00BD663D"/>
    <w:rsid w:val="00BF2B33"/>
    <w:rsid w:val="00CA6AD7"/>
    <w:rsid w:val="00DE3D00"/>
    <w:rsid w:val="00EE6C16"/>
    <w:rsid w:val="00F17AC7"/>
    <w:rsid w:val="00FB3843"/>
    <w:rsid w:val="00FF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C16"/>
    <w:pPr>
      <w:spacing w:before="240" w:after="240" w:line="30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16"/>
    <w:pPr>
      <w:keepNext/>
      <w:keepLines/>
      <w:spacing w:after="0"/>
      <w:outlineLvl w:val="0"/>
    </w:pPr>
    <w:rPr>
      <w:rFonts w:eastAsiaTheme="majorEastAsia" w:cstheme="majorBidi"/>
      <w:color w:val="00283E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6C16"/>
    <w:pPr>
      <w:keepNext/>
      <w:keepLines/>
      <w:spacing w:before="40" w:after="0"/>
      <w:outlineLvl w:val="1"/>
    </w:pPr>
    <w:rPr>
      <w:rFonts w:eastAsiaTheme="majorEastAsia" w:cstheme="majorBidi"/>
      <w:color w:val="00283E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68A9"/>
    <w:pPr>
      <w:keepNext/>
      <w:keepLines/>
      <w:spacing w:before="40" w:after="0"/>
      <w:outlineLvl w:val="2"/>
    </w:pPr>
    <w:rPr>
      <w:rFonts w:eastAsiaTheme="majorEastAsia" w:cstheme="majorBidi"/>
      <w:color w:val="00283E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68A9"/>
    <w:pPr>
      <w:keepNext/>
      <w:keepLines/>
      <w:spacing w:before="40" w:after="0"/>
      <w:outlineLvl w:val="3"/>
    </w:pPr>
    <w:rPr>
      <w:rFonts w:eastAsiaTheme="majorEastAsia" w:cstheme="majorBidi"/>
      <w:iCs/>
      <w:color w:val="00283E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768A9"/>
    <w:pPr>
      <w:keepNext/>
      <w:keepLines/>
      <w:spacing w:before="40" w:after="0"/>
      <w:outlineLvl w:val="4"/>
    </w:pPr>
    <w:rPr>
      <w:rFonts w:eastAsiaTheme="majorEastAsia" w:cstheme="majorBidi"/>
      <w:b/>
      <w:color w:val="00283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4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0FE"/>
  </w:style>
  <w:style w:type="paragraph" w:styleId="Footer">
    <w:name w:val="footer"/>
    <w:basedOn w:val="Normal"/>
    <w:link w:val="FooterChar"/>
    <w:uiPriority w:val="99"/>
    <w:unhideWhenUsed/>
    <w:rsid w:val="005C2356"/>
    <w:pPr>
      <w:tabs>
        <w:tab w:val="center" w:pos="4513"/>
        <w:tab w:val="right" w:pos="9026"/>
      </w:tabs>
      <w:spacing w:after="0" w:line="240" w:lineRule="auto"/>
    </w:pPr>
    <w:rPr>
      <w:color w:val="58595B" w:themeColor="text2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2356"/>
    <w:rPr>
      <w:rFonts w:ascii="Arial" w:hAnsi="Arial"/>
      <w:color w:val="58595B" w:themeColor="text2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834DF"/>
    <w:pPr>
      <w:spacing w:before="10760" w:after="600" w:line="240" w:lineRule="auto"/>
      <w:contextualSpacing/>
    </w:pPr>
    <w:rPr>
      <w:rFonts w:eastAsiaTheme="majorEastAsia" w:cstheme="majorBidi"/>
      <w:color w:val="FFFFFF" w:themeColor="background1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34DF"/>
    <w:rPr>
      <w:rFonts w:ascii="Arial" w:eastAsiaTheme="majorEastAsia" w:hAnsi="Arial" w:cstheme="majorBidi"/>
      <w:color w:val="FFFFFF" w:themeColor="background1"/>
      <w:spacing w:val="-10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6C16"/>
    <w:rPr>
      <w:rFonts w:ascii="Arial" w:eastAsiaTheme="majorEastAsia" w:hAnsi="Arial" w:cstheme="majorBidi"/>
      <w:color w:val="00283E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6C16"/>
    <w:rPr>
      <w:rFonts w:ascii="Arial" w:eastAsiaTheme="majorEastAsia" w:hAnsi="Arial" w:cstheme="majorBidi"/>
      <w:color w:val="00283E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68A9"/>
    <w:rPr>
      <w:rFonts w:ascii="Arial" w:eastAsiaTheme="majorEastAsia" w:hAnsi="Arial" w:cstheme="majorBidi"/>
      <w:color w:val="00283E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768A9"/>
    <w:rPr>
      <w:rFonts w:ascii="Arial" w:eastAsiaTheme="majorEastAsia" w:hAnsi="Arial" w:cstheme="majorBidi"/>
      <w:iCs/>
      <w:color w:val="00283E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768A9"/>
    <w:rPr>
      <w:rFonts w:ascii="Arial" w:eastAsiaTheme="majorEastAsia" w:hAnsi="Arial" w:cstheme="majorBidi"/>
      <w:b/>
      <w:color w:val="00283E"/>
    </w:rPr>
  </w:style>
  <w:style w:type="paragraph" w:styleId="ListParagraph">
    <w:name w:val="List Paragraph"/>
    <w:basedOn w:val="Normal"/>
    <w:uiPriority w:val="34"/>
    <w:qFormat/>
    <w:rsid w:val="00527E00"/>
    <w:pPr>
      <w:numPr>
        <w:numId w:val="1"/>
      </w:numPr>
      <w:ind w:left="284" w:hanging="284"/>
      <w:contextualSpacing/>
    </w:pPr>
  </w:style>
  <w:style w:type="paragraph" w:styleId="ListBullet">
    <w:name w:val="List Bullet"/>
    <w:basedOn w:val="ListParagraph"/>
    <w:uiPriority w:val="99"/>
    <w:unhideWhenUsed/>
    <w:rsid w:val="00DE3D00"/>
    <w:pPr>
      <w:numPr>
        <w:numId w:val="14"/>
      </w:numPr>
    </w:pPr>
  </w:style>
  <w:style w:type="paragraph" w:styleId="ListBullet2">
    <w:name w:val="List Bullet 2"/>
    <w:basedOn w:val="Normal"/>
    <w:uiPriority w:val="99"/>
    <w:unhideWhenUsed/>
    <w:rsid w:val="00040232"/>
    <w:pPr>
      <w:numPr>
        <w:numId w:val="4"/>
      </w:numPr>
      <w:spacing w:before="120"/>
      <w:ind w:left="641" w:hanging="357"/>
      <w:contextualSpacing/>
    </w:pPr>
  </w:style>
  <w:style w:type="paragraph" w:styleId="ListNumber">
    <w:name w:val="List Number"/>
    <w:basedOn w:val="ListParagraph"/>
    <w:uiPriority w:val="99"/>
    <w:unhideWhenUsed/>
    <w:rsid w:val="00DE3D00"/>
    <w:pPr>
      <w:numPr>
        <w:numId w:val="15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AE4CAE"/>
    <w:pPr>
      <w:pBdr>
        <w:top w:val="single" w:sz="4" w:space="1" w:color="58595B" w:themeColor="text2"/>
        <w:bottom w:val="single" w:sz="4" w:space="1" w:color="58595B" w:themeColor="text2"/>
      </w:pBdr>
      <w:spacing w:before="360" w:after="360" w:line="360" w:lineRule="auto"/>
      <w:ind w:left="862" w:right="862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4CAE"/>
    <w:rPr>
      <w:rFonts w:ascii="Arial" w:hAnsi="Arial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5C2356"/>
    <w:rPr>
      <w:color w:val="0070AE" w:themeColor="accent2" w:themeTint="BF"/>
      <w:u w:val="single"/>
    </w:rPr>
  </w:style>
  <w:style w:type="table" w:styleId="TableGrid">
    <w:name w:val="Table Grid"/>
    <w:basedOn w:val="TableNormal"/>
    <w:uiPriority w:val="39"/>
    <w:rsid w:val="005C2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654790"/>
    <w:pPr>
      <w:spacing w:after="0" w:line="240" w:lineRule="auto"/>
    </w:pPr>
    <w:tblPr>
      <w:tblStyleRowBandSize w:val="1"/>
      <w:tblStyleColBandSize w:val="1"/>
      <w:tblBorders>
        <w:top w:val="single" w:sz="4" w:space="0" w:color="C3E8EC" w:themeColor="accent5" w:themeTint="99"/>
        <w:left w:val="single" w:sz="4" w:space="0" w:color="C3E8EC" w:themeColor="accent5" w:themeTint="99"/>
        <w:bottom w:val="single" w:sz="4" w:space="0" w:color="C3E8EC" w:themeColor="accent5" w:themeTint="99"/>
        <w:right w:val="single" w:sz="4" w:space="0" w:color="C3E8EC" w:themeColor="accent5" w:themeTint="99"/>
        <w:insideH w:val="single" w:sz="4" w:space="0" w:color="C3E8EC" w:themeColor="accent5" w:themeTint="99"/>
        <w:insideV w:val="single" w:sz="4" w:space="0" w:color="C3E8E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D9E0" w:themeColor="accent5"/>
          <w:left w:val="single" w:sz="4" w:space="0" w:color="9CD9E0" w:themeColor="accent5"/>
          <w:bottom w:val="single" w:sz="4" w:space="0" w:color="9CD9E0" w:themeColor="accent5"/>
          <w:right w:val="single" w:sz="4" w:space="0" w:color="9CD9E0" w:themeColor="accent5"/>
          <w:insideH w:val="nil"/>
          <w:insideV w:val="nil"/>
        </w:tcBorders>
        <w:shd w:val="clear" w:color="auto" w:fill="9CD9E0" w:themeFill="accent5"/>
      </w:tcPr>
    </w:tblStylePr>
    <w:tblStylePr w:type="lastRow">
      <w:rPr>
        <w:b/>
        <w:bCs/>
      </w:rPr>
      <w:tblPr/>
      <w:tcPr>
        <w:tcBorders>
          <w:top w:val="double" w:sz="4" w:space="0" w:color="9CD9E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8" w:themeFill="accent5" w:themeFillTint="33"/>
      </w:tcPr>
    </w:tblStylePr>
    <w:tblStylePr w:type="band1Horz">
      <w:tblPr/>
      <w:tcPr>
        <w:shd w:val="clear" w:color="auto" w:fill="EBF7F8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6547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D9E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D9E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D9E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D9E0" w:themeFill="accent5"/>
      </w:tcPr>
    </w:tblStylePr>
    <w:tblStylePr w:type="band1Vert">
      <w:tblPr/>
      <w:tcPr>
        <w:shd w:val="clear" w:color="auto" w:fill="D7EFF2" w:themeFill="accent5" w:themeFillTint="66"/>
      </w:tcPr>
    </w:tblStylePr>
    <w:tblStylePr w:type="band1Horz">
      <w:tblPr/>
      <w:tcPr>
        <w:shd w:val="clear" w:color="auto" w:fill="D7EFF2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B07610"/>
    <w:pPr>
      <w:spacing w:after="0" w:line="240" w:lineRule="auto"/>
    </w:pPr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0E9FF" w:themeFill="accent1" w:themeFillTint="33"/>
    </w:tcPr>
    <w:tblStylePr w:type="firstRow">
      <w:pPr>
        <w:wordWrap/>
        <w:spacing w:beforeLines="0" w:before="120" w:beforeAutospacing="0" w:afterLines="0" w:after="120" w:afterAutospacing="0"/>
        <w:jc w:val="center"/>
      </w:pPr>
      <w:rPr>
        <w:rFonts w:ascii="Arial" w:hAnsi="Arial"/>
        <w:b w:val="0"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677" w:themeFill="accent1"/>
        <w:vAlign w:val="center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677" w:themeFill="accent1"/>
      </w:tcPr>
    </w:tblStylePr>
    <w:tblStylePr w:type="firstCol">
      <w:pPr>
        <w:jc w:val="left"/>
      </w:pPr>
      <w:rPr>
        <w:rFonts w:ascii="Arial" w:hAnsi="Arial"/>
        <w:b w:val="0"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677" w:themeFill="accent1"/>
        <w:vAlign w:val="center"/>
      </w:tcPr>
    </w:tblStylePr>
    <w:tblStylePr w:type="lastCol">
      <w:pPr>
        <w:wordWrap/>
        <w:jc w:val="center"/>
      </w:pPr>
      <w:rPr>
        <w:rFonts w:ascii="Arial" w:hAnsi="Arial"/>
        <w:b w:val="0"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677" w:themeFill="accent1"/>
        <w:vAlign w:val="center"/>
      </w:tcPr>
    </w:tblStylePr>
    <w:tblStylePr w:type="band1Vert">
      <w:tblPr/>
      <w:tcPr>
        <w:shd w:val="clear" w:color="auto" w:fill="62D3FF" w:themeFill="accent1" w:themeFillTint="66"/>
      </w:tcPr>
    </w:tblStylePr>
    <w:tblStylePr w:type="band1Horz">
      <w:pPr>
        <w:jc w:val="center"/>
      </w:pPr>
      <w:tblPr/>
      <w:tcPr>
        <w:shd w:val="clear" w:color="auto" w:fill="62D3FF" w:themeFill="accent1" w:themeFillTint="66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AE4CAE"/>
    <w:pPr>
      <w:keepNext/>
      <w:spacing w:before="0" w:after="200" w:line="240" w:lineRule="auto"/>
    </w:pPr>
    <w:rPr>
      <w:i/>
      <w:iCs/>
      <w:color w:val="2C2C2D" w:themeColor="text2" w:themeShade="80"/>
      <w:szCs w:val="18"/>
    </w:rPr>
  </w:style>
  <w:style w:type="character" w:styleId="Emphasis">
    <w:name w:val="Emphasis"/>
    <w:basedOn w:val="DefaultParagraphFont"/>
    <w:uiPriority w:val="20"/>
    <w:qFormat/>
    <w:rsid w:val="00DE3D00"/>
    <w:rPr>
      <w:i/>
      <w:iCs/>
    </w:rPr>
  </w:style>
  <w:style w:type="character" w:styleId="Strong">
    <w:name w:val="Strong"/>
    <w:basedOn w:val="DefaultParagraphFont"/>
    <w:uiPriority w:val="22"/>
    <w:qFormat/>
    <w:rsid w:val="00DE3D00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EE6C16"/>
  </w:style>
  <w:style w:type="paragraph" w:styleId="TOC1">
    <w:name w:val="toc 1"/>
    <w:basedOn w:val="Normal"/>
    <w:next w:val="Normal"/>
    <w:autoRedefine/>
    <w:uiPriority w:val="39"/>
    <w:unhideWhenUsed/>
    <w:rsid w:val="00EE6C1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E6C1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E6C16"/>
    <w:pPr>
      <w:spacing w:after="100"/>
      <w:ind w:left="440"/>
    </w:pPr>
  </w:style>
  <w:style w:type="paragraph" w:styleId="Subtitle">
    <w:name w:val="Subtitle"/>
    <w:basedOn w:val="Title"/>
    <w:next w:val="Normal"/>
    <w:link w:val="SubtitleChar"/>
    <w:uiPriority w:val="11"/>
    <w:qFormat/>
    <w:rsid w:val="00EE6C16"/>
    <w:pPr>
      <w:spacing w:before="240" w:after="240"/>
      <w:contextualSpacing w:val="0"/>
    </w:pPr>
    <w:rPr>
      <w:color w:val="7F7F7F" w:themeColor="text1" w:themeTint="8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EE6C16"/>
    <w:rPr>
      <w:rFonts w:ascii="Arial" w:eastAsiaTheme="majorEastAsia" w:hAnsi="Arial" w:cstheme="majorBidi"/>
      <w:color w:val="7F7F7F" w:themeColor="text1" w:themeTint="80"/>
      <w:spacing w:val="-10"/>
      <w:kern w:val="28"/>
      <w:sz w:val="40"/>
      <w:szCs w:val="5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398A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398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39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epartment">
      <a:dk1>
        <a:sysClr val="windowText" lastClr="000000"/>
      </a:dk1>
      <a:lt1>
        <a:sysClr val="window" lastClr="FFFFFF"/>
      </a:lt1>
      <a:dk2>
        <a:srgbClr val="58595B"/>
      </a:dk2>
      <a:lt2>
        <a:srgbClr val="E7E6E6"/>
      </a:lt2>
      <a:accent1>
        <a:srgbClr val="005677"/>
      </a:accent1>
      <a:accent2>
        <a:srgbClr val="00283E"/>
      </a:accent2>
      <a:accent3>
        <a:srgbClr val="1B9590"/>
      </a:accent3>
      <a:accent4>
        <a:srgbClr val="61C6C6"/>
      </a:accent4>
      <a:accent5>
        <a:srgbClr val="9CD9E0"/>
      </a:accent5>
      <a:accent6>
        <a:srgbClr val="C973AF"/>
      </a:accent6>
      <a:hlink>
        <a:srgbClr val="0070C0"/>
      </a:hlink>
      <a:folHlink>
        <a:srgbClr val="7030A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42098-5271-46E0-BAB7-096BC4EE4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2702</Words>
  <Characters>15405</Characters>
  <Application>Microsoft Office Word</Application>
  <DocSecurity>4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Government Response to the Small Business Digital Taskforce</dc:title>
  <dc:subject/>
  <dc:creator/>
  <cp:keywords/>
  <dc:description/>
  <cp:lastModifiedBy/>
  <cp:revision>1</cp:revision>
  <dcterms:created xsi:type="dcterms:W3CDTF">2021-07-21T00:38:00Z</dcterms:created>
  <dcterms:modified xsi:type="dcterms:W3CDTF">2021-07-21T00:38:00Z</dcterms:modified>
</cp:coreProperties>
</file>