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939E7" w14:textId="55D3A610" w:rsidR="00D06BD8" w:rsidRDefault="00D06BD8" w:rsidP="00D06BD8">
      <w:pPr>
        <w:pStyle w:val="Heading1"/>
      </w:pPr>
      <w:bookmarkStart w:id="0" w:name="_GoBack"/>
      <w:bookmarkEnd w:id="0"/>
      <w:r>
        <w:t>Data sharing scenarios</w:t>
      </w:r>
      <w:r w:rsidR="003E1878">
        <w:t xml:space="preserve"> under the proposed rules</w:t>
      </w:r>
    </w:p>
    <w:p w14:paraId="5AC2B9C2" w14:textId="77777777" w:rsidR="00D06BD8" w:rsidRPr="00D06BD8" w:rsidRDefault="00D06BD8" w:rsidP="00D06BD8"/>
    <w:p w14:paraId="306E5C1E" w14:textId="1E7C56C3" w:rsidR="005D3D32" w:rsidRPr="00D95145" w:rsidRDefault="005D3D32" w:rsidP="005D3D32">
      <w:pPr>
        <w:rPr>
          <w:b/>
          <w:bCs/>
          <w:sz w:val="23"/>
          <w:szCs w:val="23"/>
        </w:rPr>
      </w:pPr>
      <w:r w:rsidRPr="00D95145">
        <w:rPr>
          <w:b/>
          <w:bCs/>
          <w:sz w:val="23"/>
          <w:szCs w:val="23"/>
        </w:rPr>
        <w:t xml:space="preserve">Joint account data sharing </w:t>
      </w:r>
    </w:p>
    <w:p w14:paraId="14D0B202" w14:textId="7A611219" w:rsidR="005D3D32" w:rsidRPr="00D95145" w:rsidRDefault="005D3D32" w:rsidP="005D3D32">
      <w:pPr>
        <w:pStyle w:val="Default"/>
        <w:spacing w:after="178"/>
        <w:rPr>
          <w:rFonts w:eastAsia="Times New Roman"/>
          <w:color w:val="auto"/>
          <w:sz w:val="23"/>
          <w:szCs w:val="23"/>
        </w:rPr>
      </w:pPr>
      <w:r w:rsidRPr="00D95145">
        <w:rPr>
          <w:rFonts w:eastAsia="Times New Roman"/>
          <w:color w:val="auto"/>
          <w:sz w:val="23"/>
          <w:szCs w:val="23"/>
        </w:rPr>
        <w:t xml:space="preserve">Jenny and </w:t>
      </w:r>
      <w:proofErr w:type="spellStart"/>
      <w:r w:rsidR="00DF3EEC" w:rsidRPr="00D95145">
        <w:rPr>
          <w:rFonts w:eastAsia="Times New Roman"/>
          <w:color w:val="auto"/>
          <w:sz w:val="23"/>
          <w:szCs w:val="23"/>
        </w:rPr>
        <w:t>Yussuf</w:t>
      </w:r>
      <w:proofErr w:type="spellEnd"/>
      <w:r w:rsidR="00DF3EEC" w:rsidRPr="00D95145">
        <w:rPr>
          <w:rFonts w:eastAsia="Times New Roman"/>
          <w:color w:val="auto"/>
          <w:sz w:val="23"/>
          <w:szCs w:val="23"/>
        </w:rPr>
        <w:t xml:space="preserve"> </w:t>
      </w:r>
      <w:r w:rsidRPr="00D95145">
        <w:rPr>
          <w:rFonts w:eastAsia="Times New Roman"/>
          <w:color w:val="auto"/>
          <w:sz w:val="23"/>
          <w:szCs w:val="23"/>
        </w:rPr>
        <w:t xml:space="preserve">are looking to refinance their home loan with a principal of $500,000. </w:t>
      </w:r>
      <w:r w:rsidR="00DF3EEC" w:rsidRPr="00D95145">
        <w:rPr>
          <w:rFonts w:eastAsia="Times New Roman"/>
          <w:color w:val="auto"/>
          <w:sz w:val="23"/>
          <w:szCs w:val="23"/>
        </w:rPr>
        <w:t xml:space="preserve">Because of </w:t>
      </w:r>
      <w:r w:rsidRPr="00D95145">
        <w:rPr>
          <w:rFonts w:eastAsia="Times New Roman"/>
          <w:color w:val="auto"/>
          <w:sz w:val="23"/>
          <w:szCs w:val="23"/>
        </w:rPr>
        <w:t xml:space="preserve">the CDR, Jenny </w:t>
      </w:r>
      <w:r w:rsidR="00DF3EEC" w:rsidRPr="00D95145">
        <w:rPr>
          <w:rFonts w:eastAsia="Times New Roman"/>
          <w:color w:val="auto"/>
          <w:sz w:val="23"/>
          <w:szCs w:val="23"/>
        </w:rPr>
        <w:t xml:space="preserve">can </w:t>
      </w:r>
      <w:r w:rsidRPr="00D95145">
        <w:rPr>
          <w:rFonts w:eastAsia="Times New Roman"/>
          <w:color w:val="auto"/>
          <w:sz w:val="23"/>
          <w:szCs w:val="23"/>
        </w:rPr>
        <w:t xml:space="preserve">share their joint banking data with an accredited comparison site, allowing her to instantly see recommendations </w:t>
      </w:r>
      <w:r w:rsidRPr="00D95145">
        <w:rPr>
          <w:rFonts w:eastAsia="Times New Roman"/>
          <w:sz w:val="23"/>
          <w:szCs w:val="23"/>
        </w:rPr>
        <w:t xml:space="preserve">for new home loans that are personalised to their individual circumstances. As </w:t>
      </w:r>
      <w:r w:rsidR="00F97171" w:rsidRPr="00D95145">
        <w:rPr>
          <w:rFonts w:eastAsia="Times New Roman"/>
          <w:sz w:val="23"/>
          <w:szCs w:val="23"/>
        </w:rPr>
        <w:t>they have a joint account</w:t>
      </w:r>
      <w:r w:rsidRPr="00D95145">
        <w:rPr>
          <w:rFonts w:eastAsia="Times New Roman"/>
          <w:sz w:val="23"/>
          <w:szCs w:val="23"/>
        </w:rPr>
        <w:t xml:space="preserve">, </w:t>
      </w:r>
      <w:proofErr w:type="spellStart"/>
      <w:r w:rsidR="00DF3EEC" w:rsidRPr="00D95145">
        <w:rPr>
          <w:rFonts w:eastAsia="Times New Roman"/>
          <w:color w:val="auto"/>
          <w:sz w:val="23"/>
          <w:szCs w:val="23"/>
        </w:rPr>
        <w:t>Yussuf</w:t>
      </w:r>
      <w:proofErr w:type="spellEnd"/>
      <w:r w:rsidR="00DF3EEC" w:rsidRPr="00D95145">
        <w:rPr>
          <w:rFonts w:eastAsia="Times New Roman"/>
          <w:color w:val="auto"/>
          <w:sz w:val="23"/>
          <w:szCs w:val="23"/>
        </w:rPr>
        <w:t xml:space="preserve"> </w:t>
      </w:r>
      <w:r w:rsidRPr="00D95145">
        <w:rPr>
          <w:rFonts w:eastAsia="Times New Roman"/>
          <w:color w:val="auto"/>
          <w:sz w:val="23"/>
          <w:szCs w:val="23"/>
        </w:rPr>
        <w:t>gets a notification letting him know Jenny</w:t>
      </w:r>
      <w:r w:rsidR="00DF3EEC" w:rsidRPr="00D95145">
        <w:rPr>
          <w:rFonts w:eastAsia="Times New Roman"/>
          <w:color w:val="auto"/>
          <w:sz w:val="23"/>
          <w:szCs w:val="23"/>
        </w:rPr>
        <w:t xml:space="preserve">’s </w:t>
      </w:r>
      <w:r w:rsidRPr="00D95145">
        <w:rPr>
          <w:rFonts w:eastAsia="Times New Roman"/>
          <w:color w:val="auto"/>
          <w:sz w:val="23"/>
          <w:szCs w:val="23"/>
        </w:rPr>
        <w:t xml:space="preserve">shared their account data with the comparison site. </w:t>
      </w:r>
      <w:r w:rsidR="00DF3EEC" w:rsidRPr="00D95145">
        <w:rPr>
          <w:rFonts w:eastAsia="Times New Roman"/>
          <w:color w:val="auto"/>
          <w:sz w:val="23"/>
          <w:szCs w:val="23"/>
        </w:rPr>
        <w:t xml:space="preserve">With </w:t>
      </w:r>
      <w:r w:rsidRPr="00D95145">
        <w:rPr>
          <w:rFonts w:eastAsia="Times New Roman"/>
          <w:color w:val="auto"/>
          <w:sz w:val="23"/>
          <w:szCs w:val="23"/>
        </w:rPr>
        <w:t xml:space="preserve">this service, Jenny finds a new variable-rate home loan with a lower </w:t>
      </w:r>
      <w:r w:rsidR="00905E23" w:rsidRPr="00D95145">
        <w:rPr>
          <w:rFonts w:eastAsia="Times New Roman"/>
          <w:sz w:val="23"/>
          <w:szCs w:val="23"/>
        </w:rPr>
        <w:t xml:space="preserve">interest </w:t>
      </w:r>
      <w:r w:rsidRPr="00D95145">
        <w:rPr>
          <w:rFonts w:eastAsia="Times New Roman"/>
          <w:sz w:val="23"/>
          <w:szCs w:val="23"/>
        </w:rPr>
        <w:t xml:space="preserve">rate. Jenny and </w:t>
      </w:r>
      <w:proofErr w:type="spellStart"/>
      <w:r w:rsidR="00DF3EEC" w:rsidRPr="00D95145">
        <w:rPr>
          <w:rFonts w:eastAsia="Times New Roman"/>
          <w:sz w:val="23"/>
          <w:szCs w:val="23"/>
        </w:rPr>
        <w:t>Yussuf</w:t>
      </w:r>
      <w:proofErr w:type="spellEnd"/>
      <w:r w:rsidR="00DF3EEC" w:rsidRPr="00D95145">
        <w:rPr>
          <w:rFonts w:eastAsia="Times New Roman"/>
          <w:sz w:val="23"/>
          <w:szCs w:val="23"/>
        </w:rPr>
        <w:t xml:space="preserve"> </w:t>
      </w:r>
      <w:r w:rsidRPr="00D95145">
        <w:rPr>
          <w:rFonts w:eastAsia="Times New Roman"/>
          <w:sz w:val="23"/>
          <w:szCs w:val="23"/>
        </w:rPr>
        <w:t xml:space="preserve">decide to refinance and </w:t>
      </w:r>
      <w:r w:rsidR="00905E23" w:rsidRPr="00D95145">
        <w:rPr>
          <w:rFonts w:eastAsia="Times New Roman"/>
          <w:sz w:val="23"/>
          <w:szCs w:val="23"/>
        </w:rPr>
        <w:t xml:space="preserve">save </w:t>
      </w:r>
      <w:r w:rsidRPr="00D95145">
        <w:rPr>
          <w:rFonts w:eastAsia="Times New Roman"/>
          <w:sz w:val="23"/>
          <w:szCs w:val="23"/>
        </w:rPr>
        <w:t xml:space="preserve">over $2,000 per </w:t>
      </w:r>
      <w:r w:rsidRPr="00D95145">
        <w:rPr>
          <w:rFonts w:eastAsia="Times New Roman"/>
          <w:color w:val="auto"/>
          <w:sz w:val="23"/>
          <w:szCs w:val="23"/>
        </w:rPr>
        <w:t>year.</w:t>
      </w:r>
    </w:p>
    <w:p w14:paraId="2549B8AA" w14:textId="6923B675" w:rsidR="005D3D32" w:rsidRPr="00D95145" w:rsidRDefault="005D3D32" w:rsidP="005D3D32">
      <w:pPr>
        <w:rPr>
          <w:b/>
          <w:bCs/>
          <w:sz w:val="23"/>
          <w:szCs w:val="23"/>
        </w:rPr>
      </w:pPr>
      <w:r w:rsidRPr="00D95145">
        <w:rPr>
          <w:b/>
          <w:bCs/>
          <w:sz w:val="23"/>
          <w:szCs w:val="23"/>
        </w:rPr>
        <w:t>Insight data sharing</w:t>
      </w:r>
    </w:p>
    <w:p w14:paraId="183E259B" w14:textId="3D1F775B" w:rsidR="005D3D32" w:rsidRPr="00D95145" w:rsidRDefault="005D3D32" w:rsidP="005D3D32">
      <w:pPr>
        <w:rPr>
          <w:rFonts w:eastAsia="Times New Roman"/>
          <w:sz w:val="23"/>
          <w:szCs w:val="23"/>
        </w:rPr>
      </w:pPr>
      <w:r w:rsidRPr="00D95145">
        <w:rPr>
          <w:rFonts w:eastAsia="Times New Roman"/>
          <w:sz w:val="23"/>
          <w:szCs w:val="23"/>
        </w:rPr>
        <w:t>Ale</w:t>
      </w:r>
      <w:r w:rsidR="00DF3EEC" w:rsidRPr="00D95145">
        <w:rPr>
          <w:rFonts w:eastAsia="Times New Roman"/>
          <w:sz w:val="23"/>
          <w:szCs w:val="23"/>
        </w:rPr>
        <w:t>ks</w:t>
      </w:r>
      <w:r w:rsidRPr="00D95145">
        <w:rPr>
          <w:rFonts w:eastAsia="Times New Roman"/>
          <w:sz w:val="23"/>
          <w:szCs w:val="23"/>
        </w:rPr>
        <w:t xml:space="preserve"> is a member of a local gym. He consents to an accredited data recipient sharing limited </w:t>
      </w:r>
      <w:r w:rsidR="00FC3235" w:rsidRPr="00D95145">
        <w:rPr>
          <w:rFonts w:eastAsia="Times New Roman"/>
          <w:sz w:val="23"/>
          <w:szCs w:val="23"/>
        </w:rPr>
        <w:t xml:space="preserve">CDR </w:t>
      </w:r>
      <w:r w:rsidRPr="00D95145">
        <w:rPr>
          <w:rFonts w:eastAsia="Times New Roman"/>
          <w:sz w:val="23"/>
          <w:szCs w:val="23"/>
        </w:rPr>
        <w:t xml:space="preserve">insights about the balance of one of his bank accounts with the gym to notify them if his balance falls below the fee required for his quarterly subscription. </w:t>
      </w:r>
      <w:r w:rsidR="00D37934" w:rsidRPr="00D95145">
        <w:rPr>
          <w:rFonts w:eastAsia="Times New Roman"/>
          <w:sz w:val="23"/>
          <w:szCs w:val="23"/>
        </w:rPr>
        <w:t>O</w:t>
      </w:r>
      <w:r w:rsidRPr="00D95145">
        <w:rPr>
          <w:rFonts w:eastAsia="Times New Roman"/>
          <w:sz w:val="23"/>
          <w:szCs w:val="23"/>
        </w:rPr>
        <w:t xml:space="preserve">n </w:t>
      </w:r>
      <w:r w:rsidR="00FC3235" w:rsidRPr="00D95145">
        <w:rPr>
          <w:rFonts w:eastAsia="Times New Roman"/>
          <w:sz w:val="23"/>
          <w:szCs w:val="23"/>
        </w:rPr>
        <w:t>receiving a CDR insight notifying them</w:t>
      </w:r>
      <w:r w:rsidRPr="00D95145">
        <w:rPr>
          <w:rFonts w:eastAsia="Times New Roman"/>
          <w:sz w:val="23"/>
          <w:szCs w:val="23"/>
        </w:rPr>
        <w:t xml:space="preserve"> that Ale</w:t>
      </w:r>
      <w:r w:rsidR="00DF3EEC" w:rsidRPr="00D95145">
        <w:rPr>
          <w:rFonts w:eastAsia="Times New Roman"/>
          <w:sz w:val="23"/>
          <w:szCs w:val="23"/>
        </w:rPr>
        <w:t>ks</w:t>
      </w:r>
      <w:r w:rsidRPr="00D95145">
        <w:rPr>
          <w:rFonts w:eastAsia="Times New Roman"/>
          <w:sz w:val="23"/>
          <w:szCs w:val="23"/>
        </w:rPr>
        <w:t xml:space="preserve"> does not have the required money in his account</w:t>
      </w:r>
      <w:r w:rsidR="00651C1E" w:rsidRPr="00D95145">
        <w:rPr>
          <w:rFonts w:eastAsia="Times New Roman"/>
          <w:sz w:val="23"/>
          <w:szCs w:val="23"/>
        </w:rPr>
        <w:t xml:space="preserve">, </w:t>
      </w:r>
      <w:r w:rsidRPr="00D95145">
        <w:rPr>
          <w:rFonts w:eastAsia="Times New Roman"/>
          <w:sz w:val="23"/>
          <w:szCs w:val="23"/>
        </w:rPr>
        <w:t>the gym prompts Ale</w:t>
      </w:r>
      <w:r w:rsidR="00DF3EEC" w:rsidRPr="00D95145">
        <w:rPr>
          <w:rFonts w:eastAsia="Times New Roman"/>
          <w:sz w:val="23"/>
          <w:szCs w:val="23"/>
        </w:rPr>
        <w:t>ks</w:t>
      </w:r>
      <w:r w:rsidRPr="00D95145">
        <w:rPr>
          <w:rFonts w:eastAsia="Times New Roman"/>
          <w:sz w:val="23"/>
          <w:szCs w:val="23"/>
        </w:rPr>
        <w:t xml:space="preserve"> to </w:t>
      </w:r>
      <w:r w:rsidR="002D7CFF" w:rsidRPr="00D95145">
        <w:rPr>
          <w:rFonts w:eastAsia="Times New Roman"/>
          <w:sz w:val="23"/>
          <w:szCs w:val="23"/>
        </w:rPr>
        <w:t xml:space="preserve">transfer </w:t>
      </w:r>
      <w:r w:rsidR="00651C1E" w:rsidRPr="00D95145">
        <w:rPr>
          <w:rFonts w:eastAsia="Times New Roman"/>
          <w:sz w:val="23"/>
          <w:szCs w:val="23"/>
        </w:rPr>
        <w:t>money to</w:t>
      </w:r>
      <w:r w:rsidRPr="00D95145">
        <w:rPr>
          <w:rFonts w:eastAsia="Times New Roman"/>
          <w:sz w:val="23"/>
          <w:szCs w:val="23"/>
        </w:rPr>
        <w:t xml:space="preserve"> </w:t>
      </w:r>
      <w:r w:rsidR="002D7CFF" w:rsidRPr="00D95145">
        <w:rPr>
          <w:rFonts w:eastAsia="Times New Roman"/>
          <w:sz w:val="23"/>
          <w:szCs w:val="23"/>
        </w:rPr>
        <w:t xml:space="preserve">his </w:t>
      </w:r>
      <w:r w:rsidR="004E53DF" w:rsidRPr="00D95145">
        <w:rPr>
          <w:rFonts w:eastAsia="Times New Roman"/>
          <w:sz w:val="23"/>
          <w:szCs w:val="23"/>
        </w:rPr>
        <w:t xml:space="preserve">account to </w:t>
      </w:r>
      <w:r w:rsidRPr="00D95145">
        <w:rPr>
          <w:rFonts w:eastAsia="Times New Roman"/>
          <w:sz w:val="23"/>
          <w:szCs w:val="23"/>
        </w:rPr>
        <w:t xml:space="preserve">avoid </w:t>
      </w:r>
      <w:r w:rsidR="00F14216" w:rsidRPr="00D95145">
        <w:rPr>
          <w:rFonts w:eastAsia="Times New Roman"/>
          <w:sz w:val="23"/>
          <w:szCs w:val="23"/>
        </w:rPr>
        <w:t>paying</w:t>
      </w:r>
      <w:r w:rsidRPr="00D95145">
        <w:rPr>
          <w:rFonts w:eastAsia="Times New Roman"/>
          <w:sz w:val="23"/>
          <w:szCs w:val="23"/>
        </w:rPr>
        <w:t xml:space="preserve"> a late fee. </w:t>
      </w:r>
    </w:p>
    <w:p w14:paraId="08F27655" w14:textId="77777777" w:rsidR="004E53DF" w:rsidRPr="00D95145" w:rsidRDefault="004E53DF" w:rsidP="005D3D32">
      <w:pPr>
        <w:rPr>
          <w:rFonts w:eastAsia="Times New Roman"/>
          <w:sz w:val="23"/>
          <w:szCs w:val="23"/>
        </w:rPr>
      </w:pPr>
    </w:p>
    <w:p w14:paraId="52FAA5C0" w14:textId="3A591047" w:rsidR="005D3D32" w:rsidRPr="00D95145" w:rsidRDefault="004E53DF" w:rsidP="005D3D32">
      <w:pPr>
        <w:rPr>
          <w:b/>
          <w:bCs/>
          <w:sz w:val="23"/>
          <w:szCs w:val="23"/>
        </w:rPr>
      </w:pPr>
      <w:r w:rsidRPr="00D95145">
        <w:rPr>
          <w:b/>
          <w:bCs/>
          <w:sz w:val="23"/>
          <w:szCs w:val="23"/>
        </w:rPr>
        <w:t>Sharing data</w:t>
      </w:r>
      <w:r w:rsidR="005D3D32" w:rsidRPr="00D95145">
        <w:rPr>
          <w:b/>
          <w:bCs/>
          <w:sz w:val="23"/>
          <w:szCs w:val="23"/>
        </w:rPr>
        <w:t xml:space="preserve"> with a financial counsellor</w:t>
      </w:r>
    </w:p>
    <w:p w14:paraId="74B58D5D" w14:textId="1505A481" w:rsidR="005D3D32" w:rsidRPr="00D95145" w:rsidRDefault="005D3D32" w:rsidP="005D3D32">
      <w:pPr>
        <w:rPr>
          <w:rFonts w:eastAsia="Times New Roman"/>
          <w:sz w:val="23"/>
          <w:szCs w:val="23"/>
        </w:rPr>
      </w:pPr>
      <w:r w:rsidRPr="00D95145">
        <w:rPr>
          <w:rFonts w:eastAsia="Times New Roman"/>
          <w:sz w:val="23"/>
          <w:szCs w:val="23"/>
        </w:rPr>
        <w:t>Mike was recently made redundant and is struggling to find work. While look</w:t>
      </w:r>
      <w:r w:rsidR="009046C3" w:rsidRPr="00D95145">
        <w:rPr>
          <w:rFonts w:eastAsia="Times New Roman"/>
          <w:sz w:val="23"/>
          <w:szCs w:val="23"/>
        </w:rPr>
        <w:t>ing</w:t>
      </w:r>
      <w:r w:rsidRPr="00D95145">
        <w:rPr>
          <w:rFonts w:eastAsia="Times New Roman"/>
          <w:sz w:val="23"/>
          <w:szCs w:val="23"/>
        </w:rPr>
        <w:t xml:space="preserve"> for a new job, he worrie</w:t>
      </w:r>
      <w:r w:rsidR="009046C3" w:rsidRPr="00D95145">
        <w:rPr>
          <w:rFonts w:eastAsia="Times New Roman"/>
          <w:sz w:val="23"/>
          <w:szCs w:val="23"/>
        </w:rPr>
        <w:t>s</w:t>
      </w:r>
      <w:r w:rsidRPr="00D95145">
        <w:rPr>
          <w:rFonts w:eastAsia="Times New Roman"/>
          <w:sz w:val="23"/>
          <w:szCs w:val="23"/>
        </w:rPr>
        <w:t xml:space="preserve"> about </w:t>
      </w:r>
      <w:r w:rsidR="00BA0EBD" w:rsidRPr="00D95145">
        <w:rPr>
          <w:rFonts w:eastAsia="Times New Roman"/>
          <w:sz w:val="23"/>
          <w:szCs w:val="23"/>
        </w:rPr>
        <w:t>paying</w:t>
      </w:r>
      <w:r w:rsidRPr="00D95145">
        <w:rPr>
          <w:rFonts w:eastAsia="Times New Roman"/>
          <w:sz w:val="23"/>
          <w:szCs w:val="23"/>
        </w:rPr>
        <w:t xml:space="preserve"> </w:t>
      </w:r>
      <w:r w:rsidR="00BA0EBD" w:rsidRPr="00D95145">
        <w:rPr>
          <w:rFonts w:eastAsia="Times New Roman"/>
          <w:sz w:val="23"/>
          <w:szCs w:val="23"/>
        </w:rPr>
        <w:t xml:space="preserve">his </w:t>
      </w:r>
      <w:r w:rsidRPr="00D95145">
        <w:rPr>
          <w:rFonts w:eastAsia="Times New Roman"/>
          <w:sz w:val="23"/>
          <w:szCs w:val="23"/>
        </w:rPr>
        <w:t>rent and</w:t>
      </w:r>
      <w:r w:rsidR="00BA0EBD" w:rsidRPr="00D95145">
        <w:rPr>
          <w:rFonts w:eastAsia="Times New Roman"/>
          <w:sz w:val="23"/>
          <w:szCs w:val="23"/>
        </w:rPr>
        <w:t xml:space="preserve"> other</w:t>
      </w:r>
      <w:r w:rsidRPr="00D95145">
        <w:rPr>
          <w:rFonts w:eastAsia="Times New Roman"/>
          <w:sz w:val="23"/>
          <w:szCs w:val="23"/>
        </w:rPr>
        <w:t xml:space="preserve"> bill</w:t>
      </w:r>
      <w:r w:rsidR="00BA0EBD" w:rsidRPr="00D95145">
        <w:rPr>
          <w:rFonts w:eastAsia="Times New Roman"/>
          <w:sz w:val="23"/>
          <w:szCs w:val="23"/>
        </w:rPr>
        <w:t>s</w:t>
      </w:r>
      <w:r w:rsidR="009046C3" w:rsidRPr="00D95145">
        <w:rPr>
          <w:rFonts w:eastAsia="Times New Roman"/>
          <w:sz w:val="23"/>
          <w:szCs w:val="23"/>
        </w:rPr>
        <w:t xml:space="preserve"> in the meantime</w:t>
      </w:r>
      <w:r w:rsidRPr="00D95145">
        <w:rPr>
          <w:rFonts w:eastAsia="Times New Roman"/>
          <w:sz w:val="23"/>
          <w:szCs w:val="23"/>
        </w:rPr>
        <w:t>. Mike goes to a local drop-in financial counselling service</w:t>
      </w:r>
      <w:r w:rsidR="00D37934" w:rsidRPr="00D95145">
        <w:rPr>
          <w:rFonts w:eastAsia="Times New Roman"/>
          <w:sz w:val="23"/>
          <w:szCs w:val="23"/>
        </w:rPr>
        <w:t>, where</w:t>
      </w:r>
      <w:r w:rsidR="009046C3" w:rsidRPr="00D95145">
        <w:rPr>
          <w:rFonts w:eastAsia="Times New Roman"/>
          <w:sz w:val="23"/>
          <w:szCs w:val="23"/>
        </w:rPr>
        <w:t>,</w:t>
      </w:r>
      <w:r w:rsidRPr="00D95145">
        <w:rPr>
          <w:rFonts w:eastAsia="Times New Roman"/>
          <w:sz w:val="23"/>
          <w:szCs w:val="23"/>
        </w:rPr>
        <w:t xml:space="preserve"> his counsellor, </w:t>
      </w:r>
      <w:r w:rsidR="003A681C">
        <w:rPr>
          <w:rFonts w:eastAsia="Times New Roman"/>
          <w:sz w:val="23"/>
          <w:szCs w:val="23"/>
        </w:rPr>
        <w:t>Sandy</w:t>
      </w:r>
      <w:r w:rsidRPr="00D95145">
        <w:rPr>
          <w:rFonts w:eastAsia="Times New Roman"/>
          <w:sz w:val="23"/>
          <w:szCs w:val="23"/>
        </w:rPr>
        <w:t>, shows him a tablet</w:t>
      </w:r>
      <w:r w:rsidR="00D37934" w:rsidRPr="00D95145">
        <w:rPr>
          <w:rFonts w:eastAsia="Times New Roman"/>
          <w:sz w:val="23"/>
          <w:szCs w:val="23"/>
        </w:rPr>
        <w:t>.</w:t>
      </w:r>
      <w:r w:rsidRPr="00D95145">
        <w:rPr>
          <w:rFonts w:eastAsia="Times New Roman"/>
          <w:sz w:val="23"/>
          <w:szCs w:val="23"/>
        </w:rPr>
        <w:t xml:space="preserve"> </w:t>
      </w:r>
      <w:r w:rsidR="00D37934" w:rsidRPr="00D95145">
        <w:rPr>
          <w:rFonts w:eastAsia="Times New Roman"/>
          <w:sz w:val="23"/>
          <w:szCs w:val="23"/>
        </w:rPr>
        <w:t>This is where</w:t>
      </w:r>
      <w:r w:rsidRPr="00D95145">
        <w:rPr>
          <w:rFonts w:eastAsia="Times New Roman"/>
          <w:sz w:val="23"/>
          <w:szCs w:val="23"/>
        </w:rPr>
        <w:t xml:space="preserve"> he gives consent to an </w:t>
      </w:r>
      <w:r w:rsidR="00BA0EBD" w:rsidRPr="00D95145">
        <w:rPr>
          <w:rFonts w:eastAsia="Times New Roman"/>
          <w:sz w:val="23"/>
          <w:szCs w:val="23"/>
        </w:rPr>
        <w:t>accredited data recipient</w:t>
      </w:r>
      <w:r w:rsidR="00D37934" w:rsidRPr="00D95145">
        <w:rPr>
          <w:rFonts w:eastAsia="Times New Roman"/>
          <w:sz w:val="23"/>
          <w:szCs w:val="23"/>
        </w:rPr>
        <w:t xml:space="preserve"> to</w:t>
      </w:r>
      <w:r w:rsidRPr="00D95145">
        <w:rPr>
          <w:rFonts w:eastAsia="Times New Roman"/>
          <w:sz w:val="23"/>
          <w:szCs w:val="23"/>
        </w:rPr>
        <w:t xml:space="preserve"> collect and us</w:t>
      </w:r>
      <w:r w:rsidR="00D37934" w:rsidRPr="00D95145">
        <w:rPr>
          <w:rFonts w:eastAsia="Times New Roman"/>
          <w:sz w:val="23"/>
          <w:szCs w:val="23"/>
        </w:rPr>
        <w:t>e</w:t>
      </w:r>
      <w:r w:rsidRPr="00D95145">
        <w:rPr>
          <w:rFonts w:eastAsia="Times New Roman"/>
          <w:sz w:val="23"/>
          <w:szCs w:val="23"/>
        </w:rPr>
        <w:t xml:space="preserve"> his banking data through the CDR</w:t>
      </w:r>
      <w:r w:rsidR="00D37934" w:rsidRPr="00D95145">
        <w:rPr>
          <w:rFonts w:eastAsia="Times New Roman"/>
          <w:sz w:val="23"/>
          <w:szCs w:val="23"/>
        </w:rPr>
        <w:t xml:space="preserve">, which can then be </w:t>
      </w:r>
      <w:r w:rsidRPr="00D95145">
        <w:rPr>
          <w:rFonts w:eastAsia="Times New Roman"/>
          <w:sz w:val="23"/>
          <w:szCs w:val="23"/>
        </w:rPr>
        <w:t>disclos</w:t>
      </w:r>
      <w:r w:rsidR="00D37934" w:rsidRPr="00D95145">
        <w:rPr>
          <w:rFonts w:eastAsia="Times New Roman"/>
          <w:sz w:val="23"/>
          <w:szCs w:val="23"/>
        </w:rPr>
        <w:t>ed</w:t>
      </w:r>
      <w:r w:rsidRPr="00D95145">
        <w:rPr>
          <w:rFonts w:eastAsia="Times New Roman"/>
          <w:sz w:val="23"/>
          <w:szCs w:val="23"/>
        </w:rPr>
        <w:t xml:space="preserve"> to </w:t>
      </w:r>
      <w:r w:rsidR="003A681C">
        <w:rPr>
          <w:rFonts w:eastAsia="Times New Roman"/>
          <w:sz w:val="23"/>
          <w:szCs w:val="23"/>
        </w:rPr>
        <w:t>Sandy</w:t>
      </w:r>
      <w:r w:rsidRPr="00D95145">
        <w:rPr>
          <w:rFonts w:eastAsia="Times New Roman"/>
          <w:sz w:val="23"/>
          <w:szCs w:val="23"/>
        </w:rPr>
        <w:t>. </w:t>
      </w:r>
      <w:r w:rsidR="003E627E">
        <w:rPr>
          <w:rFonts w:eastAsia="Times New Roman"/>
          <w:sz w:val="23"/>
          <w:szCs w:val="23"/>
        </w:rPr>
        <w:t>Sandy</w:t>
      </w:r>
      <w:r w:rsidRPr="00D95145">
        <w:rPr>
          <w:rFonts w:eastAsia="Times New Roman"/>
          <w:sz w:val="23"/>
          <w:szCs w:val="23"/>
        </w:rPr>
        <w:t xml:space="preserve"> </w:t>
      </w:r>
      <w:r w:rsidR="009046C3" w:rsidRPr="00D95145">
        <w:rPr>
          <w:rFonts w:eastAsia="Times New Roman"/>
          <w:sz w:val="23"/>
          <w:szCs w:val="23"/>
        </w:rPr>
        <w:t xml:space="preserve">can </w:t>
      </w:r>
      <w:r w:rsidRPr="00D95145">
        <w:rPr>
          <w:rFonts w:eastAsia="Times New Roman"/>
          <w:sz w:val="23"/>
          <w:szCs w:val="23"/>
        </w:rPr>
        <w:t xml:space="preserve">then see a breakdown of Mike’s spending, savings and upcoming </w:t>
      </w:r>
      <w:r w:rsidR="00C5396A" w:rsidRPr="00D95145">
        <w:rPr>
          <w:rFonts w:eastAsia="Times New Roman"/>
          <w:sz w:val="23"/>
          <w:szCs w:val="23"/>
        </w:rPr>
        <w:t>bills</w:t>
      </w:r>
      <w:r w:rsidRPr="00D95145">
        <w:rPr>
          <w:rFonts w:eastAsia="Times New Roman"/>
          <w:sz w:val="23"/>
          <w:szCs w:val="23"/>
        </w:rPr>
        <w:t xml:space="preserve">, and </w:t>
      </w:r>
      <w:r w:rsidR="00793504" w:rsidRPr="00D95145">
        <w:rPr>
          <w:rFonts w:eastAsia="Times New Roman"/>
          <w:sz w:val="23"/>
          <w:szCs w:val="23"/>
        </w:rPr>
        <w:t>works with</w:t>
      </w:r>
      <w:r w:rsidRPr="00D95145">
        <w:rPr>
          <w:rFonts w:eastAsia="Times New Roman"/>
          <w:sz w:val="23"/>
          <w:szCs w:val="23"/>
        </w:rPr>
        <w:t xml:space="preserve"> Mike </w:t>
      </w:r>
      <w:r w:rsidR="00793504" w:rsidRPr="00D95145">
        <w:rPr>
          <w:rFonts w:eastAsia="Times New Roman"/>
          <w:sz w:val="23"/>
          <w:szCs w:val="23"/>
        </w:rPr>
        <w:t xml:space="preserve">to plan </w:t>
      </w:r>
      <w:r w:rsidRPr="00D95145">
        <w:rPr>
          <w:rFonts w:eastAsia="Times New Roman"/>
          <w:sz w:val="23"/>
          <w:szCs w:val="23"/>
        </w:rPr>
        <w:t xml:space="preserve">how </w:t>
      </w:r>
      <w:r w:rsidR="009046C3" w:rsidRPr="00D95145">
        <w:rPr>
          <w:rFonts w:eastAsia="Times New Roman"/>
          <w:sz w:val="23"/>
          <w:szCs w:val="23"/>
        </w:rPr>
        <w:t>to</w:t>
      </w:r>
      <w:r w:rsidR="00BA0EBD" w:rsidRPr="00D95145">
        <w:rPr>
          <w:rFonts w:eastAsia="Times New Roman"/>
          <w:sz w:val="23"/>
          <w:szCs w:val="23"/>
        </w:rPr>
        <w:t xml:space="preserve"> </w:t>
      </w:r>
      <w:r w:rsidRPr="00D95145">
        <w:rPr>
          <w:rFonts w:eastAsia="Times New Roman"/>
          <w:sz w:val="23"/>
          <w:szCs w:val="23"/>
        </w:rPr>
        <w:t>meet his</w:t>
      </w:r>
      <w:r w:rsidR="00C5396A" w:rsidRPr="00D95145">
        <w:rPr>
          <w:rFonts w:eastAsia="Times New Roman"/>
          <w:sz w:val="23"/>
          <w:szCs w:val="23"/>
        </w:rPr>
        <w:t xml:space="preserve"> upcoming bills</w:t>
      </w:r>
      <w:r w:rsidRPr="00D95145">
        <w:rPr>
          <w:rFonts w:eastAsia="Times New Roman"/>
          <w:sz w:val="23"/>
          <w:szCs w:val="23"/>
        </w:rPr>
        <w:t xml:space="preserve">. </w:t>
      </w:r>
    </w:p>
    <w:p w14:paraId="73FD2816" w14:textId="77777777" w:rsidR="005D3D32" w:rsidRPr="00D95145" w:rsidRDefault="005D3D32" w:rsidP="005D3D32">
      <w:pPr>
        <w:ind w:left="720"/>
        <w:rPr>
          <w:sz w:val="23"/>
          <w:szCs w:val="23"/>
        </w:rPr>
      </w:pPr>
    </w:p>
    <w:p w14:paraId="29556DC7" w14:textId="477F795A" w:rsidR="005D3D32" w:rsidRPr="00D95145" w:rsidRDefault="004E53DF" w:rsidP="00C5396A">
      <w:pPr>
        <w:rPr>
          <w:b/>
          <w:bCs/>
          <w:sz w:val="23"/>
          <w:szCs w:val="23"/>
        </w:rPr>
      </w:pPr>
      <w:r w:rsidRPr="00D95145">
        <w:rPr>
          <w:b/>
          <w:bCs/>
          <w:sz w:val="23"/>
          <w:szCs w:val="23"/>
        </w:rPr>
        <w:t>S</w:t>
      </w:r>
      <w:r w:rsidR="00C5396A" w:rsidRPr="00D95145">
        <w:rPr>
          <w:b/>
          <w:bCs/>
          <w:sz w:val="23"/>
          <w:szCs w:val="23"/>
        </w:rPr>
        <w:t xml:space="preserve">haring data with an accountant </w:t>
      </w:r>
    </w:p>
    <w:p w14:paraId="1911CC4F" w14:textId="09C74F7E" w:rsidR="0019609E" w:rsidRPr="00D95145" w:rsidRDefault="00DF3EEC" w:rsidP="005D3D32">
      <w:pPr>
        <w:rPr>
          <w:rFonts w:eastAsia="Times New Roman"/>
          <w:sz w:val="23"/>
          <w:szCs w:val="23"/>
        </w:rPr>
      </w:pPr>
      <w:r w:rsidRPr="00D95145">
        <w:rPr>
          <w:rFonts w:eastAsia="Times New Roman"/>
          <w:sz w:val="23"/>
          <w:szCs w:val="23"/>
        </w:rPr>
        <w:t xml:space="preserve">Malika </w:t>
      </w:r>
      <w:r w:rsidR="005D3D32" w:rsidRPr="00D95145">
        <w:rPr>
          <w:rFonts w:eastAsia="Times New Roman"/>
          <w:sz w:val="23"/>
          <w:szCs w:val="23"/>
        </w:rPr>
        <w:t xml:space="preserve">is a sole trader electrician. Managing finances has never been </w:t>
      </w:r>
      <w:r w:rsidR="00D37934" w:rsidRPr="00D95145">
        <w:rPr>
          <w:rFonts w:eastAsia="Times New Roman"/>
          <w:sz w:val="23"/>
          <w:szCs w:val="23"/>
        </w:rPr>
        <w:t>her</w:t>
      </w:r>
      <w:r w:rsidRPr="00D95145">
        <w:rPr>
          <w:rFonts w:eastAsia="Times New Roman"/>
          <w:sz w:val="23"/>
          <w:szCs w:val="23"/>
        </w:rPr>
        <w:t xml:space="preserve"> </w:t>
      </w:r>
      <w:r w:rsidR="005D3D32" w:rsidRPr="00D95145">
        <w:rPr>
          <w:rFonts w:eastAsia="Times New Roman"/>
          <w:sz w:val="23"/>
          <w:szCs w:val="23"/>
        </w:rPr>
        <w:t xml:space="preserve">strength, </w:t>
      </w:r>
      <w:r w:rsidR="00D37934" w:rsidRPr="00D95145">
        <w:rPr>
          <w:rFonts w:eastAsia="Times New Roman"/>
          <w:sz w:val="23"/>
          <w:szCs w:val="23"/>
        </w:rPr>
        <w:t xml:space="preserve">so </w:t>
      </w:r>
      <w:r w:rsidR="005D3D32" w:rsidRPr="00D95145">
        <w:rPr>
          <w:rFonts w:eastAsia="Times New Roman"/>
          <w:sz w:val="23"/>
          <w:szCs w:val="23"/>
        </w:rPr>
        <w:t>she outsources management of her business finances to her accountant</w:t>
      </w:r>
      <w:r w:rsidR="00D37934" w:rsidRPr="00D95145">
        <w:rPr>
          <w:rFonts w:eastAsia="Times New Roman"/>
          <w:sz w:val="23"/>
          <w:szCs w:val="23"/>
        </w:rPr>
        <w:t xml:space="preserve">, </w:t>
      </w:r>
      <w:r w:rsidR="005D3D32" w:rsidRPr="00D95145">
        <w:rPr>
          <w:rFonts w:eastAsia="Times New Roman"/>
          <w:sz w:val="23"/>
          <w:szCs w:val="23"/>
        </w:rPr>
        <w:t xml:space="preserve">Jackie. Jackie uses an accounting platform to help her manage her clients’ finances. </w:t>
      </w:r>
      <w:r w:rsidR="00D37934" w:rsidRPr="00D95145">
        <w:rPr>
          <w:rFonts w:eastAsia="Times New Roman"/>
          <w:sz w:val="23"/>
          <w:szCs w:val="23"/>
        </w:rPr>
        <w:t xml:space="preserve">Malika </w:t>
      </w:r>
      <w:r w:rsidR="005D3D32" w:rsidRPr="00D95145">
        <w:rPr>
          <w:rFonts w:eastAsia="Times New Roman"/>
          <w:sz w:val="23"/>
          <w:szCs w:val="23"/>
        </w:rPr>
        <w:t>gives the accounting platform consent to collect and use her data under the CDR, and consent</w:t>
      </w:r>
      <w:r w:rsidR="00C5396A" w:rsidRPr="00D95145">
        <w:rPr>
          <w:rFonts w:eastAsia="Times New Roman"/>
          <w:sz w:val="23"/>
          <w:szCs w:val="23"/>
        </w:rPr>
        <w:t>s</w:t>
      </w:r>
      <w:r w:rsidR="005D3D32" w:rsidRPr="00D95145">
        <w:rPr>
          <w:rFonts w:eastAsia="Times New Roman"/>
          <w:sz w:val="23"/>
          <w:szCs w:val="23"/>
        </w:rPr>
        <w:t xml:space="preserve"> to disclose that data to Jackie. Through this, Jackie can help manage the </w:t>
      </w:r>
      <w:r w:rsidR="00793504" w:rsidRPr="00D95145">
        <w:rPr>
          <w:rFonts w:eastAsia="Times New Roman"/>
          <w:sz w:val="23"/>
          <w:szCs w:val="23"/>
        </w:rPr>
        <w:t>business’</w:t>
      </w:r>
      <w:r w:rsidR="005D3D32" w:rsidRPr="00D95145">
        <w:rPr>
          <w:rFonts w:eastAsia="Times New Roman"/>
          <w:sz w:val="23"/>
          <w:szCs w:val="23"/>
        </w:rPr>
        <w:t xml:space="preserve"> finances, letting </w:t>
      </w:r>
      <w:r w:rsidR="009046C3" w:rsidRPr="00D95145">
        <w:rPr>
          <w:rFonts w:eastAsia="Times New Roman"/>
          <w:sz w:val="23"/>
          <w:szCs w:val="23"/>
        </w:rPr>
        <w:t xml:space="preserve">Malika </w:t>
      </w:r>
      <w:r w:rsidR="005D3D32" w:rsidRPr="00D95145">
        <w:rPr>
          <w:rFonts w:eastAsia="Times New Roman"/>
          <w:sz w:val="23"/>
          <w:szCs w:val="23"/>
        </w:rPr>
        <w:t>focus on running her business.</w:t>
      </w:r>
    </w:p>
    <w:p w14:paraId="73BB7B4A" w14:textId="7A75B00E" w:rsidR="00317C49" w:rsidRPr="00D95145" w:rsidRDefault="00317C49" w:rsidP="005D3D32">
      <w:pPr>
        <w:rPr>
          <w:rFonts w:eastAsia="Times New Roman"/>
          <w:sz w:val="23"/>
          <w:szCs w:val="23"/>
        </w:rPr>
      </w:pPr>
    </w:p>
    <w:p w14:paraId="3A3E9AC8" w14:textId="200F3A02" w:rsidR="00514F28" w:rsidRPr="00D95145" w:rsidRDefault="00A24251" w:rsidP="005D3D32">
      <w:pPr>
        <w:rPr>
          <w:b/>
          <w:bCs/>
          <w:sz w:val="23"/>
          <w:szCs w:val="23"/>
        </w:rPr>
      </w:pPr>
      <w:bookmarkStart w:id="1" w:name="_Hlk76041470"/>
      <w:r w:rsidRPr="00D95145">
        <w:rPr>
          <w:b/>
          <w:bCs/>
          <w:sz w:val="23"/>
          <w:szCs w:val="23"/>
        </w:rPr>
        <w:t>Using sponsored accreditation to offer CDR services to consumers</w:t>
      </w:r>
    </w:p>
    <w:p w14:paraId="7FF6B12F" w14:textId="1484AA21" w:rsidR="007A6121" w:rsidRPr="003E627E" w:rsidRDefault="00514F28" w:rsidP="003E627E">
      <w:pPr>
        <w:rPr>
          <w:sz w:val="23"/>
          <w:szCs w:val="23"/>
        </w:rPr>
      </w:pPr>
      <w:proofErr w:type="spellStart"/>
      <w:r w:rsidRPr="00D95145">
        <w:rPr>
          <w:sz w:val="23"/>
          <w:szCs w:val="23"/>
        </w:rPr>
        <w:t>iAggregate</w:t>
      </w:r>
      <w:proofErr w:type="spellEnd"/>
      <w:r w:rsidRPr="00D95145">
        <w:rPr>
          <w:sz w:val="23"/>
          <w:szCs w:val="23"/>
        </w:rPr>
        <w:t xml:space="preserve">, </w:t>
      </w:r>
      <w:r w:rsidR="00144B44" w:rsidRPr="00D95145">
        <w:rPr>
          <w:sz w:val="23"/>
          <w:szCs w:val="23"/>
        </w:rPr>
        <w:t>a small-to-medium enterprise</w:t>
      </w:r>
      <w:r w:rsidRPr="00D95145">
        <w:rPr>
          <w:sz w:val="23"/>
          <w:szCs w:val="23"/>
        </w:rPr>
        <w:t>, wants to provide an account aggregation service to customers using CDR data and applies for accreditation at the sponsored level.</w:t>
      </w:r>
      <w:r w:rsidR="00CF2CA1" w:rsidRPr="00D95145">
        <w:rPr>
          <w:sz w:val="23"/>
          <w:szCs w:val="23"/>
        </w:rPr>
        <w:t xml:space="preserve"> The sponsored level suits </w:t>
      </w:r>
      <w:proofErr w:type="spellStart"/>
      <w:r w:rsidR="00CF2CA1" w:rsidRPr="00D95145">
        <w:rPr>
          <w:sz w:val="23"/>
          <w:szCs w:val="23"/>
        </w:rPr>
        <w:t>iAggregate</w:t>
      </w:r>
      <w:proofErr w:type="spellEnd"/>
      <w:r w:rsidR="00CF2CA1" w:rsidRPr="00D95145">
        <w:rPr>
          <w:sz w:val="23"/>
          <w:szCs w:val="23"/>
        </w:rPr>
        <w:t xml:space="preserve"> because it seeks to rely on another accredited person to collect CDR data on its behalf, and as a small business, wants to scale its CDR offering before it considers applying for unrestricted accreditation at a later date.</w:t>
      </w:r>
      <w:r w:rsidRPr="00D95145">
        <w:rPr>
          <w:sz w:val="23"/>
          <w:szCs w:val="23"/>
        </w:rPr>
        <w:t xml:space="preserve"> Best Bank is accredited to the unrestricted level and enters into a</w:t>
      </w:r>
      <w:r w:rsidRPr="00D95145" w:rsidDel="00144B44">
        <w:rPr>
          <w:sz w:val="23"/>
          <w:szCs w:val="23"/>
        </w:rPr>
        <w:t xml:space="preserve"> sponsorship </w:t>
      </w:r>
      <w:r w:rsidRPr="00D95145">
        <w:rPr>
          <w:sz w:val="23"/>
          <w:szCs w:val="23"/>
        </w:rPr>
        <w:t xml:space="preserve">agreement to sponsor </w:t>
      </w:r>
      <w:proofErr w:type="spellStart"/>
      <w:r w:rsidRPr="00D95145">
        <w:rPr>
          <w:sz w:val="23"/>
          <w:szCs w:val="23"/>
        </w:rPr>
        <w:t>iAggregate</w:t>
      </w:r>
      <w:proofErr w:type="spellEnd"/>
      <w:r w:rsidRPr="00D95145">
        <w:rPr>
          <w:sz w:val="23"/>
          <w:szCs w:val="23"/>
        </w:rPr>
        <w:t xml:space="preserve"> as its affiliate in the CDR</w:t>
      </w:r>
      <w:r w:rsidR="00144B44" w:rsidRPr="00D95145">
        <w:rPr>
          <w:sz w:val="23"/>
          <w:szCs w:val="23"/>
        </w:rPr>
        <w:t xml:space="preserve">. This makes it possible for </w:t>
      </w:r>
      <w:proofErr w:type="spellStart"/>
      <w:r w:rsidRPr="00D95145">
        <w:rPr>
          <w:sz w:val="23"/>
          <w:szCs w:val="23"/>
        </w:rPr>
        <w:t>iAggregate</w:t>
      </w:r>
      <w:proofErr w:type="spellEnd"/>
      <w:r w:rsidRPr="00D95145">
        <w:rPr>
          <w:sz w:val="23"/>
          <w:szCs w:val="23"/>
        </w:rPr>
        <w:t xml:space="preserve"> to use CDR data for the new service. </w:t>
      </w:r>
      <w:r w:rsidR="00CF2CA1" w:rsidRPr="00D95145">
        <w:rPr>
          <w:sz w:val="23"/>
          <w:szCs w:val="23"/>
        </w:rPr>
        <w:t xml:space="preserve"> Best Bank collects CDR data which </w:t>
      </w:r>
      <w:proofErr w:type="spellStart"/>
      <w:r w:rsidR="00CF2CA1" w:rsidRPr="00D95145">
        <w:rPr>
          <w:sz w:val="23"/>
          <w:szCs w:val="23"/>
        </w:rPr>
        <w:t>iAggregate</w:t>
      </w:r>
      <w:proofErr w:type="spellEnd"/>
      <w:r w:rsidR="00CF2CA1" w:rsidRPr="00D95145">
        <w:rPr>
          <w:sz w:val="23"/>
          <w:szCs w:val="23"/>
        </w:rPr>
        <w:t xml:space="preserve"> displays to consumers on its app. </w:t>
      </w:r>
      <w:r w:rsidRPr="00D95145">
        <w:rPr>
          <w:sz w:val="23"/>
          <w:szCs w:val="23"/>
        </w:rPr>
        <w:t xml:space="preserve">Best Bank takes steps to ensure </w:t>
      </w:r>
      <w:proofErr w:type="spellStart"/>
      <w:r w:rsidRPr="00D95145">
        <w:rPr>
          <w:sz w:val="23"/>
          <w:szCs w:val="23"/>
        </w:rPr>
        <w:t>iAggregate’s</w:t>
      </w:r>
      <w:proofErr w:type="spellEnd"/>
      <w:r w:rsidRPr="00D95145">
        <w:rPr>
          <w:sz w:val="23"/>
          <w:szCs w:val="23"/>
        </w:rPr>
        <w:t xml:space="preserve"> information security is adequate by assisting </w:t>
      </w:r>
      <w:proofErr w:type="spellStart"/>
      <w:r w:rsidRPr="00D95145">
        <w:rPr>
          <w:sz w:val="23"/>
          <w:szCs w:val="23"/>
        </w:rPr>
        <w:t>iAggregate</w:t>
      </w:r>
      <w:proofErr w:type="spellEnd"/>
      <w:r w:rsidRPr="00D95145">
        <w:rPr>
          <w:sz w:val="23"/>
          <w:szCs w:val="23"/>
        </w:rPr>
        <w:t xml:space="preserve"> with tailored technical advice and assistance, both before </w:t>
      </w:r>
      <w:proofErr w:type="gramStart"/>
      <w:r w:rsidRPr="00D95145">
        <w:rPr>
          <w:sz w:val="23"/>
          <w:szCs w:val="23"/>
        </w:rPr>
        <w:t>entering into</w:t>
      </w:r>
      <w:proofErr w:type="gramEnd"/>
      <w:r w:rsidRPr="00D95145">
        <w:rPr>
          <w:sz w:val="23"/>
          <w:szCs w:val="23"/>
        </w:rPr>
        <w:t xml:space="preserve"> the sponsorship arrangement and on an ongoing basis.</w:t>
      </w:r>
      <w:bookmarkEnd w:id="1"/>
      <w:r w:rsidR="007A6121" w:rsidRPr="00D95145">
        <w:rPr>
          <w:b/>
          <w:bCs/>
          <w:sz w:val="23"/>
          <w:szCs w:val="23"/>
        </w:rPr>
        <w:br w:type="page"/>
      </w:r>
    </w:p>
    <w:p w14:paraId="695A605A" w14:textId="621F0A1D" w:rsidR="00AB3D37" w:rsidRPr="00D95145" w:rsidRDefault="00BF38A4" w:rsidP="00AB3D37">
      <w:pPr>
        <w:spacing w:after="160" w:line="259" w:lineRule="auto"/>
        <w:rPr>
          <w:b/>
          <w:bCs/>
          <w:sz w:val="23"/>
          <w:szCs w:val="23"/>
        </w:rPr>
      </w:pPr>
      <w:bookmarkStart w:id="2" w:name="_Hlk76042525"/>
      <w:r w:rsidRPr="00D95145">
        <w:rPr>
          <w:b/>
          <w:bCs/>
          <w:sz w:val="23"/>
          <w:szCs w:val="23"/>
        </w:rPr>
        <w:lastRenderedPageBreak/>
        <w:t>Bank A partners with Fintech A as its CDR representative</w:t>
      </w:r>
      <w:r w:rsidR="007A6121" w:rsidRPr="00D95145">
        <w:rPr>
          <w:b/>
          <w:bCs/>
          <w:sz w:val="23"/>
          <w:szCs w:val="23"/>
        </w:rPr>
        <w:br/>
      </w:r>
      <w:r w:rsidR="00AB3D37" w:rsidRPr="00D95145">
        <w:rPr>
          <w:sz w:val="23"/>
          <w:szCs w:val="23"/>
        </w:rPr>
        <w:t xml:space="preserve">Bank A is an unrestricted accredited person. It provides </w:t>
      </w:r>
      <w:r w:rsidR="0007524F" w:rsidRPr="00D95145">
        <w:rPr>
          <w:sz w:val="23"/>
          <w:szCs w:val="23"/>
        </w:rPr>
        <w:t>products</w:t>
      </w:r>
      <w:r w:rsidR="00B10470" w:rsidRPr="00D95145">
        <w:rPr>
          <w:sz w:val="23"/>
          <w:szCs w:val="23"/>
        </w:rPr>
        <w:t xml:space="preserve"> </w:t>
      </w:r>
      <w:r w:rsidR="00AB3D37" w:rsidRPr="00D95145">
        <w:rPr>
          <w:sz w:val="23"/>
          <w:szCs w:val="23"/>
        </w:rPr>
        <w:t xml:space="preserve">directly to consumers under its Bank A brand. However, to grow its deposit base, Bank A is willing to take on liability for third parties that </w:t>
      </w:r>
      <w:r w:rsidRPr="00D95145">
        <w:rPr>
          <w:sz w:val="23"/>
          <w:szCs w:val="23"/>
        </w:rPr>
        <w:t>offer white-labelled banking products to</w:t>
      </w:r>
      <w:r w:rsidR="00AB3D37" w:rsidRPr="00D95145">
        <w:rPr>
          <w:sz w:val="23"/>
          <w:szCs w:val="23"/>
        </w:rPr>
        <w:t xml:space="preserve"> consumers that also have added features that use CDR data.  </w:t>
      </w:r>
    </w:p>
    <w:p w14:paraId="7222195A" w14:textId="7579D078" w:rsidR="00317C49" w:rsidRPr="00F97171" w:rsidRDefault="00AB3D37" w:rsidP="00E75320">
      <w:pPr>
        <w:spacing w:after="160" w:line="259" w:lineRule="auto"/>
      </w:pPr>
      <w:r w:rsidRPr="00D95145">
        <w:rPr>
          <w:sz w:val="23"/>
          <w:szCs w:val="23"/>
        </w:rPr>
        <w:t>Bank A partners with Fintech B</w:t>
      </w:r>
      <w:r w:rsidR="00BF38A4" w:rsidRPr="00D95145">
        <w:rPr>
          <w:sz w:val="23"/>
          <w:szCs w:val="23"/>
        </w:rPr>
        <w:t xml:space="preserve"> as its CDR representative</w:t>
      </w:r>
      <w:r w:rsidRPr="00D95145">
        <w:rPr>
          <w:sz w:val="23"/>
          <w:szCs w:val="23"/>
        </w:rPr>
        <w:t xml:space="preserve">. Fintech B markets a service to consumers where they can open a Fintech B branded bank account which is white labelled by Bank </w:t>
      </w:r>
      <w:proofErr w:type="gramStart"/>
      <w:r w:rsidRPr="00D95145">
        <w:rPr>
          <w:sz w:val="23"/>
          <w:szCs w:val="23"/>
        </w:rPr>
        <w:t>A, and</w:t>
      </w:r>
      <w:proofErr w:type="gramEnd"/>
      <w:r w:rsidRPr="00D95145">
        <w:rPr>
          <w:sz w:val="23"/>
          <w:szCs w:val="23"/>
        </w:rPr>
        <w:t xml:space="preserve"> see all their existing bank account balances in their Fintech B app (including from other banks). Bank A collects CDR data </w:t>
      </w:r>
      <w:proofErr w:type="gramStart"/>
      <w:r w:rsidRPr="00D95145">
        <w:rPr>
          <w:sz w:val="23"/>
          <w:szCs w:val="23"/>
        </w:rPr>
        <w:t>in order for</w:t>
      </w:r>
      <w:proofErr w:type="gramEnd"/>
      <w:r w:rsidRPr="00D95145">
        <w:rPr>
          <w:sz w:val="23"/>
          <w:szCs w:val="23"/>
        </w:rPr>
        <w:t xml:space="preserve"> Fintech B to display the aggregated accounts and balances. Bank A assumes full liability for Fintech B’s use of CDR data</w:t>
      </w:r>
      <w:r w:rsidRPr="00F97171">
        <w:t>.</w:t>
      </w:r>
      <w:r w:rsidRPr="00F97171">
        <w:rPr>
          <w:b/>
          <w:bCs/>
        </w:rPr>
        <w:t xml:space="preserve">  </w:t>
      </w:r>
      <w:bookmarkEnd w:id="2"/>
    </w:p>
    <w:sectPr w:rsidR="00317C49" w:rsidRPr="00F97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90AD" w14:textId="77777777" w:rsidR="00E11843" w:rsidRDefault="00E11843" w:rsidP="0098009B">
      <w:r>
        <w:separator/>
      </w:r>
    </w:p>
  </w:endnote>
  <w:endnote w:type="continuationSeparator" w:id="0">
    <w:p w14:paraId="3DC76E2C" w14:textId="77777777" w:rsidR="00E11843" w:rsidRDefault="00E11843" w:rsidP="0098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6C27C" w14:textId="77777777" w:rsidR="00E11843" w:rsidRDefault="00E11843" w:rsidP="0098009B">
      <w:r>
        <w:separator/>
      </w:r>
    </w:p>
  </w:footnote>
  <w:footnote w:type="continuationSeparator" w:id="0">
    <w:p w14:paraId="2F44E951" w14:textId="77777777" w:rsidR="00E11843" w:rsidRDefault="00E11843" w:rsidP="0098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42253"/>
    <w:multiLevelType w:val="hybridMultilevel"/>
    <w:tmpl w:val="3B2E9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E7C11"/>
    <w:multiLevelType w:val="hybridMultilevel"/>
    <w:tmpl w:val="12D6F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32"/>
    <w:rsid w:val="0007524F"/>
    <w:rsid w:val="00094D68"/>
    <w:rsid w:val="000A359D"/>
    <w:rsid w:val="00144B44"/>
    <w:rsid w:val="00173CE6"/>
    <w:rsid w:val="00185A20"/>
    <w:rsid w:val="0019609E"/>
    <w:rsid w:val="0022010B"/>
    <w:rsid w:val="00256980"/>
    <w:rsid w:val="00297223"/>
    <w:rsid w:val="002D7CFF"/>
    <w:rsid w:val="00317C49"/>
    <w:rsid w:val="003A681C"/>
    <w:rsid w:val="003E1878"/>
    <w:rsid w:val="003E627E"/>
    <w:rsid w:val="00415068"/>
    <w:rsid w:val="0042779D"/>
    <w:rsid w:val="004826DF"/>
    <w:rsid w:val="004E53DF"/>
    <w:rsid w:val="00514F28"/>
    <w:rsid w:val="005D3D32"/>
    <w:rsid w:val="005F5A1C"/>
    <w:rsid w:val="00651C1E"/>
    <w:rsid w:val="006C1F09"/>
    <w:rsid w:val="006D3D9B"/>
    <w:rsid w:val="00742F45"/>
    <w:rsid w:val="00793504"/>
    <w:rsid w:val="007A4EA2"/>
    <w:rsid w:val="007A6121"/>
    <w:rsid w:val="007C2005"/>
    <w:rsid w:val="00834703"/>
    <w:rsid w:val="009046C3"/>
    <w:rsid w:val="00905E23"/>
    <w:rsid w:val="00930B4F"/>
    <w:rsid w:val="00961EE7"/>
    <w:rsid w:val="0098009B"/>
    <w:rsid w:val="00996737"/>
    <w:rsid w:val="009C6835"/>
    <w:rsid w:val="00A24251"/>
    <w:rsid w:val="00A6369D"/>
    <w:rsid w:val="00A67687"/>
    <w:rsid w:val="00AB3D37"/>
    <w:rsid w:val="00B10470"/>
    <w:rsid w:val="00B10D65"/>
    <w:rsid w:val="00B14F71"/>
    <w:rsid w:val="00BA0EBD"/>
    <w:rsid w:val="00BE09A3"/>
    <w:rsid w:val="00BE3E8B"/>
    <w:rsid w:val="00BF38A4"/>
    <w:rsid w:val="00C5396A"/>
    <w:rsid w:val="00CB425D"/>
    <w:rsid w:val="00CE1244"/>
    <w:rsid w:val="00CF2CA1"/>
    <w:rsid w:val="00D04B4A"/>
    <w:rsid w:val="00D06BD8"/>
    <w:rsid w:val="00D37934"/>
    <w:rsid w:val="00D95145"/>
    <w:rsid w:val="00DA1DD8"/>
    <w:rsid w:val="00DC5805"/>
    <w:rsid w:val="00DF3EEC"/>
    <w:rsid w:val="00E02DC4"/>
    <w:rsid w:val="00E11843"/>
    <w:rsid w:val="00E209C3"/>
    <w:rsid w:val="00E75320"/>
    <w:rsid w:val="00E842B5"/>
    <w:rsid w:val="00F14216"/>
    <w:rsid w:val="00F66B6B"/>
    <w:rsid w:val="00F70276"/>
    <w:rsid w:val="00F77F0A"/>
    <w:rsid w:val="00F97171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C743"/>
  <w15:chartTrackingRefBased/>
  <w15:docId w15:val="{57971D2C-7173-4454-B0AE-A5AA9482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3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32"/>
    <w:pPr>
      <w:ind w:left="720"/>
    </w:pPr>
  </w:style>
  <w:style w:type="paragraph" w:customStyle="1" w:styleId="Default">
    <w:name w:val="Default"/>
    <w:basedOn w:val="Normal"/>
    <w:rsid w:val="005D3D32"/>
    <w:pPr>
      <w:autoSpaceDE w:val="0"/>
      <w:autoSpaceDN w:val="0"/>
    </w:pPr>
    <w:rPr>
      <w:color w:val="000000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06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D6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6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5805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80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09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0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0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39155" ma:contentTypeDescription="" ma:contentTypeScope="" ma:versionID="b52dc9278f4f6f7efcf00ed2858ff7e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8186ca62135d0617e18e5c71277486f5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2:TaxKeywordTaxHTField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20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4dd4adf-ddb3-46a3-8d7c-fab3fb2a6bc7" xsi:nil="true"/>
    <IconOverlay xmlns="http://schemas.microsoft.com/sharepoint/v4" xsi:nil="true"/>
    <TaxCatchAll xmlns="0f563589-9cf9-4143-b1eb-fb0534803d38">
      <Value>2</Value>
    </TaxCatchAll>
    <TaxKeywordTaxHTField xmlns="0f563589-9cf9-4143-b1eb-fb0534803d38">
      <Terms xmlns="http://schemas.microsoft.com/office/infopath/2007/PartnerControls"/>
    </TaxKeywordTaxHTField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2021MG-133-52802</_dlc_DocId>
    <_dlc_DocIdUrl xmlns="0f563589-9cf9-4143-b1eb-fb0534803d38">
      <Url>http://tweb/sites/mg/sbccpd/_layouts/15/DocIdRedir.aspx?ID=2021MG-133-52802</Url>
      <Description>2021MG-133-52802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E8D6CE17-E186-4CCF-991B-F7AA9563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F4D82-0EE1-43C7-958A-B30E0182A79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4dd4adf-ddb3-46a3-8d7c-fab3fb2a6bc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0f563589-9cf9-4143-b1eb-fb0534803d3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E36C1A-BA48-443D-B667-5363E4977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4B152-D309-4605-AD54-4CA7F50B6AD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F39D24A-3D68-47FB-984F-042CFFADAD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sharing scenarios under the proposed rules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sharing scenarios under the proposed rules</dc:title>
  <dc:subject/>
  <dc:creator>Treasury</dc:creator>
  <cp:keywords/>
  <dc:description/>
  <cp:lastModifiedBy>Hill, Christine</cp:lastModifiedBy>
  <cp:revision>3</cp:revision>
  <dcterms:created xsi:type="dcterms:W3CDTF">2021-07-05T23:52:00Z</dcterms:created>
  <dcterms:modified xsi:type="dcterms:W3CDTF">2021-07-06T00:46:00Z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0x010100E95D40E5DFEA714B90E88DB5CE07A6B500DDAFF7E1A29DE64F981B4EA50562BA75</vt:lpwstr>
  </property>
  <property fmtid="{D5CDD505-2E9C-101B-9397-08002B2CF9AE}" pid="3" name="TaxKeyword">
    <vt:lpwstr/>
  </property>
  <property fmtid="{D5CDD505-2E9C-101B-9397-08002B2CF9AE}" pid="4" name="TSYRecordClass">
    <vt:lpwstr>2;#TSY RA-9081 - Retain as national archives|bbf0bcde-1687-4ff2-bc57-f31b5d545d4b</vt:lpwstr>
  </property>
  <property fmtid="{D5CDD505-2E9C-101B-9397-08002B2CF9AE}" pid="5" name="_dlc_DocIdItemGuid">
    <vt:lpwstr>a591bef2-e6d3-4f96-bdaa-3c45a9ce9854</vt:lpwstr>
  </property>
</Properties>
</file>