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10708" w14:textId="77777777" w:rsidR="00D83A6D" w:rsidRPr="00143037" w:rsidRDefault="00D83A6D" w:rsidP="00D83A6D">
      <w:pPr>
        <w:tabs>
          <w:tab w:val="left" w:pos="2835"/>
        </w:tabs>
        <w:spacing w:after="0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Exposure Draft Legislation Q&amp;A – Financial Accountability Regime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AU"/>
        </w:rPr>
        <w:id w:val="-1560929258"/>
        <w:docPartObj>
          <w:docPartGallery w:val="Table of Contents"/>
          <w:docPartUnique/>
        </w:docPartObj>
      </w:sdtPr>
      <w:sdtEndPr>
        <w:rPr>
          <w:bCs/>
          <w:noProof/>
          <w:sz w:val="24"/>
        </w:rPr>
      </w:sdtEndPr>
      <w:sdtContent>
        <w:p w14:paraId="16B7ACE1" w14:textId="77777777" w:rsidR="00D83A6D" w:rsidRDefault="00D83A6D" w:rsidP="00D83A6D">
          <w:pPr>
            <w:pStyle w:val="TOCHeading"/>
          </w:pPr>
          <w:r>
            <w:t>Contents</w:t>
          </w:r>
        </w:p>
        <w:p w14:paraId="2C6D8917" w14:textId="1A587174" w:rsidR="006511EA" w:rsidRDefault="00D83A6D">
          <w:pPr>
            <w:pStyle w:val="TOC1"/>
            <w:rPr>
              <w:rFonts w:eastAsiaTheme="minorEastAsia"/>
              <w:noProof/>
              <w:sz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7229920" w:history="1">
            <w:r w:rsidR="006511EA" w:rsidRPr="00C05D94">
              <w:rPr>
                <w:rStyle w:val="Hyperlink"/>
                <w:rFonts w:eastAsia="Times New Roman"/>
                <w:noProof/>
                <w:lang w:eastAsia="en-AU"/>
              </w:rPr>
              <w:t>Timing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_Toc77229920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2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0130F374" w14:textId="57F6514C" w:rsidR="006511EA" w:rsidRDefault="009E4D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77229921" w:history="1">
            <w:r w:rsidR="006511EA" w:rsidRPr="00C05D94">
              <w:rPr>
                <w:rStyle w:val="Hyperlink"/>
                <w:noProof/>
              </w:rPr>
              <w:t>When will the FAR legislation be introduced?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_Toc77229921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2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4DF8502E" w14:textId="73A95A31" w:rsidR="006511EA" w:rsidRDefault="009E4D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77229922" w:history="1">
            <w:r w:rsidR="006511EA" w:rsidRPr="00C05D94">
              <w:rPr>
                <w:rStyle w:val="Hyperlink"/>
                <w:noProof/>
              </w:rPr>
              <w:t>When will the FAR commence for accountable entities?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_Toc77229922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2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4A28C08A" w14:textId="06717517" w:rsidR="006511EA" w:rsidRDefault="009E4D47">
          <w:pPr>
            <w:pStyle w:val="TOC1"/>
            <w:rPr>
              <w:rFonts w:eastAsiaTheme="minorEastAsia"/>
              <w:noProof/>
              <w:sz w:val="22"/>
              <w:lang w:eastAsia="en-AU"/>
            </w:rPr>
          </w:pPr>
          <w:hyperlink w:anchor="_Toc77229923" w:history="1">
            <w:r w:rsidR="006511EA" w:rsidRPr="00C05D94">
              <w:rPr>
                <w:rStyle w:val="Hyperlink"/>
                <w:rFonts w:eastAsia="Times New Roman"/>
                <w:noProof/>
                <w:lang w:eastAsia="en-AU"/>
              </w:rPr>
              <w:t>Enhanced notification threshold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_Toc77229923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2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186F4C8C" w14:textId="21066FB1" w:rsidR="006511EA" w:rsidRDefault="009E4D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77229924" w:history="1">
            <w:r w:rsidR="006511EA" w:rsidRPr="00C05D94">
              <w:rPr>
                <w:rStyle w:val="Hyperlink"/>
                <w:noProof/>
              </w:rPr>
              <w:t>Who will determine the metrics used to determine enhanced compliance thresholds?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_Toc77229924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2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00D8453F" w14:textId="6410579F" w:rsidR="006511EA" w:rsidRDefault="009E4D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77229925" w:history="1">
            <w:r w:rsidR="006511EA" w:rsidRPr="00C05D94">
              <w:rPr>
                <w:rStyle w:val="Hyperlink"/>
                <w:noProof/>
              </w:rPr>
              <w:t>What metric and thresholds are set for non-operating holding companies?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_Toc77229925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2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03E51FB6" w14:textId="094CCB90" w:rsidR="006511EA" w:rsidRDefault="009E4D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77229926" w:history="1">
            <w:r w:rsidR="006511EA" w:rsidRPr="00C05D94">
              <w:rPr>
                <w:rStyle w:val="Hyperlink"/>
                <w:noProof/>
              </w:rPr>
              <w:t>How will accountable entities within a corporate group be classified?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_Toc77229926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3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07FE47D6" w14:textId="31594F83" w:rsidR="006511EA" w:rsidRDefault="009E4D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77229927" w:history="1">
            <w:r w:rsidR="006511EA" w:rsidRPr="00C05D94">
              <w:rPr>
                <w:rStyle w:val="Hyperlink"/>
                <w:noProof/>
              </w:rPr>
              <w:t>Will the metric and thresholds change?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_Toc77229927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3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41169CFD" w14:textId="51648D1C" w:rsidR="006511EA" w:rsidRDefault="009E4D47">
          <w:pPr>
            <w:pStyle w:val="TOC1"/>
            <w:rPr>
              <w:rFonts w:eastAsiaTheme="minorEastAsia"/>
              <w:noProof/>
              <w:sz w:val="22"/>
              <w:lang w:eastAsia="en-AU"/>
            </w:rPr>
          </w:pPr>
          <w:hyperlink w:anchor="_Toc77229928" w:history="1">
            <w:r w:rsidR="006511EA" w:rsidRPr="00C05D94">
              <w:rPr>
                <w:rStyle w:val="Hyperlink"/>
                <w:rFonts w:eastAsia="Times New Roman"/>
                <w:noProof/>
                <w:lang w:eastAsia="en-AU"/>
              </w:rPr>
              <w:t>Group obligations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_Toc77229928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3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1B9171FB" w14:textId="4B31E6DE" w:rsidR="006511EA" w:rsidRDefault="009E4D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77229929" w:history="1">
            <w:r w:rsidR="006511EA" w:rsidRPr="00C05D94">
              <w:rPr>
                <w:rStyle w:val="Hyperlink"/>
                <w:noProof/>
              </w:rPr>
              <w:t>What are groups expected to submit in terms of accountability maps and statements?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_Toc77229929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3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35CE6E98" w14:textId="7300F617" w:rsidR="006511EA" w:rsidRDefault="009E4D47">
          <w:pPr>
            <w:pStyle w:val="TOC1"/>
            <w:rPr>
              <w:rFonts w:eastAsiaTheme="minorEastAsia"/>
              <w:noProof/>
              <w:sz w:val="22"/>
              <w:lang w:eastAsia="en-AU"/>
            </w:rPr>
          </w:pPr>
          <w:hyperlink w:anchor="_Toc77229930" w:history="1">
            <w:r w:rsidR="006511EA" w:rsidRPr="00C05D94">
              <w:rPr>
                <w:rStyle w:val="Hyperlink"/>
                <w:noProof/>
              </w:rPr>
              <w:t>Transitional and consequential provisions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_Toc77229930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3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4B7590D7" w14:textId="354CA042" w:rsidR="006511EA" w:rsidRDefault="009E4D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77229931" w:history="1">
            <w:r w:rsidR="006511EA" w:rsidRPr="00C05D94">
              <w:rPr>
                <w:rStyle w:val="Hyperlink"/>
                <w:noProof/>
              </w:rPr>
              <w:t>When will the transitional and consequential provisions be consulted on?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_Toc77229931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3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784256DA" w14:textId="28AA5CEC" w:rsidR="006511EA" w:rsidRDefault="009E4D47">
          <w:pPr>
            <w:pStyle w:val="TOC1"/>
            <w:rPr>
              <w:rFonts w:eastAsiaTheme="minorEastAsia"/>
              <w:noProof/>
              <w:sz w:val="22"/>
              <w:lang w:eastAsia="en-AU"/>
            </w:rPr>
          </w:pPr>
          <w:hyperlink w:anchor="_Toc77229932" w:history="1">
            <w:r w:rsidR="006511EA" w:rsidRPr="00C05D94">
              <w:rPr>
                <w:rStyle w:val="Hyperlink"/>
                <w:noProof/>
              </w:rPr>
              <w:t>Minister rules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_Toc77229932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3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240AE5BA" w14:textId="334E3FD4" w:rsidR="006511EA" w:rsidRDefault="009E4D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77229933" w:history="1">
            <w:r w:rsidR="006511EA" w:rsidRPr="00C05D94">
              <w:rPr>
                <w:rStyle w:val="Hyperlink"/>
                <w:noProof/>
              </w:rPr>
              <w:t>When will the Minister rules be consulted on?</w:t>
            </w:r>
            <w:r w:rsidR="006511EA">
              <w:rPr>
                <w:noProof/>
                <w:webHidden/>
              </w:rPr>
              <w:tab/>
            </w:r>
            <w:r w:rsidR="006511EA">
              <w:rPr>
                <w:noProof/>
                <w:webHidden/>
              </w:rPr>
              <w:fldChar w:fldCharType="begin"/>
            </w:r>
            <w:r w:rsidR="006511EA">
              <w:rPr>
                <w:noProof/>
                <w:webHidden/>
              </w:rPr>
              <w:instrText xml:space="preserve"> PAGEREF _Toc77229933 \h </w:instrText>
            </w:r>
            <w:r w:rsidR="006511EA">
              <w:rPr>
                <w:noProof/>
                <w:webHidden/>
              </w:rPr>
            </w:r>
            <w:r w:rsidR="006511EA">
              <w:rPr>
                <w:noProof/>
                <w:webHidden/>
              </w:rPr>
              <w:fldChar w:fldCharType="separate"/>
            </w:r>
            <w:r w:rsidR="006511EA">
              <w:rPr>
                <w:noProof/>
                <w:webHidden/>
              </w:rPr>
              <w:t>3</w:t>
            </w:r>
            <w:r w:rsidR="006511EA">
              <w:rPr>
                <w:noProof/>
                <w:webHidden/>
              </w:rPr>
              <w:fldChar w:fldCharType="end"/>
            </w:r>
          </w:hyperlink>
        </w:p>
        <w:p w14:paraId="595E0E95" w14:textId="511BE636" w:rsidR="00D83A6D" w:rsidRPr="006557F6" w:rsidRDefault="00D83A6D" w:rsidP="00D83A6D">
          <w:pPr>
            <w:rPr>
              <w:rFonts w:eastAsia="Times New Roman" w:cstheme="minorHAnsi"/>
              <w:szCs w:val="24"/>
              <w:lang w:eastAsia="en-AU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DA8074D" w14:textId="77777777" w:rsidR="007D1959" w:rsidRDefault="007D1959">
      <w:pPr>
        <w:rPr>
          <w:rFonts w:asciiTheme="majorHAnsi" w:eastAsia="Times New Roman" w:hAnsiTheme="majorHAnsi" w:cs="Times New Roman"/>
          <w:bCs/>
          <w:color w:val="2E74B5" w:themeColor="accent1" w:themeShade="BF"/>
          <w:sz w:val="28"/>
          <w:szCs w:val="36"/>
          <w:highlight w:val="yellow"/>
          <w:lang w:eastAsia="en-AU"/>
        </w:rPr>
      </w:pPr>
      <w:bookmarkStart w:id="0" w:name="_Toc70418650"/>
      <w:r>
        <w:rPr>
          <w:highlight w:val="yellow"/>
        </w:rPr>
        <w:br w:type="page"/>
      </w:r>
    </w:p>
    <w:p w14:paraId="488FD34E" w14:textId="3FDC79BA" w:rsidR="00F533B4" w:rsidRPr="006557F6" w:rsidRDefault="00F533B4" w:rsidP="00F533B4">
      <w:pPr>
        <w:pStyle w:val="Heading1"/>
        <w:rPr>
          <w:rFonts w:eastAsia="Times New Roman"/>
          <w:lang w:eastAsia="en-AU"/>
        </w:rPr>
      </w:pPr>
      <w:bookmarkStart w:id="1" w:name="_Toc70418660"/>
      <w:bookmarkStart w:id="2" w:name="_Toc70429076"/>
      <w:bookmarkStart w:id="3" w:name="_Toc70432103"/>
      <w:bookmarkStart w:id="4" w:name="_Toc70434589"/>
      <w:bookmarkStart w:id="5" w:name="_Toc77229920"/>
      <w:bookmarkStart w:id="6" w:name="_Toc70418654"/>
      <w:bookmarkStart w:id="7" w:name="_Toc70429065"/>
      <w:bookmarkEnd w:id="0"/>
      <w:r>
        <w:rPr>
          <w:rFonts w:eastAsia="Times New Roman"/>
          <w:lang w:eastAsia="en-AU"/>
        </w:rPr>
        <w:lastRenderedPageBreak/>
        <w:t>Timing</w:t>
      </w:r>
      <w:bookmarkEnd w:id="1"/>
      <w:bookmarkEnd w:id="2"/>
      <w:bookmarkEnd w:id="3"/>
      <w:bookmarkEnd w:id="4"/>
      <w:bookmarkEnd w:id="5"/>
    </w:p>
    <w:p w14:paraId="50AA3718" w14:textId="0E2EBC9D" w:rsidR="00F533B4" w:rsidRDefault="00F533B4" w:rsidP="00F533B4">
      <w:pPr>
        <w:pStyle w:val="Heading2"/>
      </w:pPr>
      <w:bookmarkStart w:id="8" w:name="_Toc70418661"/>
      <w:bookmarkStart w:id="9" w:name="_Toc70429077"/>
      <w:bookmarkStart w:id="10" w:name="_Toc70432104"/>
      <w:bookmarkStart w:id="11" w:name="_Toc70434590"/>
      <w:bookmarkStart w:id="12" w:name="_Toc77229921"/>
      <w:r>
        <w:t>When will the FAR legislation be introduced?</w:t>
      </w:r>
      <w:bookmarkEnd w:id="8"/>
      <w:bookmarkEnd w:id="9"/>
      <w:bookmarkEnd w:id="10"/>
      <w:bookmarkEnd w:id="11"/>
      <w:bookmarkEnd w:id="12"/>
    </w:p>
    <w:p w14:paraId="2D1072CE" w14:textId="2E97F3D7" w:rsidR="00F533B4" w:rsidRDefault="00D02540" w:rsidP="00F533B4">
      <w:r>
        <w:t xml:space="preserve">The FAR legislation is being prepared for introduction and passage in the </w:t>
      </w:r>
      <w:r w:rsidR="00C47651">
        <w:t>2021</w:t>
      </w:r>
      <w:r w:rsidR="00154A47">
        <w:t xml:space="preserve"> Spring sitting</w:t>
      </w:r>
      <w:r w:rsidR="00287A4D">
        <w:t>s</w:t>
      </w:r>
      <w:r w:rsidR="00154A47">
        <w:t xml:space="preserve"> of Parliament</w:t>
      </w:r>
      <w:r w:rsidR="00F533B4">
        <w:t>.</w:t>
      </w:r>
    </w:p>
    <w:p w14:paraId="6B110F91" w14:textId="77777777" w:rsidR="00F533B4" w:rsidRDefault="00F533B4" w:rsidP="00F533B4">
      <w:pPr>
        <w:pStyle w:val="Heading2"/>
      </w:pPr>
      <w:bookmarkStart w:id="13" w:name="_Toc70418662"/>
      <w:bookmarkStart w:id="14" w:name="_Toc70429078"/>
      <w:bookmarkStart w:id="15" w:name="_Toc70432105"/>
      <w:bookmarkStart w:id="16" w:name="_Toc70434591"/>
      <w:bookmarkStart w:id="17" w:name="_Toc77229922"/>
      <w:r>
        <w:t>When will the FAR commence for accountable entities?</w:t>
      </w:r>
      <w:bookmarkEnd w:id="13"/>
      <w:bookmarkEnd w:id="14"/>
      <w:bookmarkEnd w:id="15"/>
      <w:bookmarkEnd w:id="16"/>
      <w:bookmarkEnd w:id="17"/>
    </w:p>
    <w:p w14:paraId="74D205A9" w14:textId="7F644C3B" w:rsidR="00F533B4" w:rsidRDefault="009B7DAF" w:rsidP="00D02540">
      <w:r>
        <w:t xml:space="preserve">Authorised deposit-taking institutions (ADIs) </w:t>
      </w:r>
      <w:r w:rsidR="00F533B4">
        <w:t>will be the first industry to be</w:t>
      </w:r>
      <w:r w:rsidR="0044423A">
        <w:t xml:space="preserve"> subject to </w:t>
      </w:r>
      <w:r w:rsidR="00F533B4">
        <w:t xml:space="preserve">the FAR as these entities will have existing mechanisms and processes in place from the Banking Executive Accountability Regime that provide a foundation for transition. </w:t>
      </w:r>
      <w:r w:rsidR="00843542">
        <w:t xml:space="preserve">For </w:t>
      </w:r>
      <w:r>
        <w:t>ADIs and their licensed non-operating holding companies (NOHCs), the FAR will apply from the later of 1 July 2022 or 6 months after the commencement of the FAR.</w:t>
      </w:r>
    </w:p>
    <w:p w14:paraId="360F3EE8" w14:textId="40FEAA7F" w:rsidR="00F533B4" w:rsidRDefault="006A559E" w:rsidP="00922C82">
      <w:r>
        <w:t xml:space="preserve">It is intended that </w:t>
      </w:r>
      <w:r w:rsidR="00CC1778">
        <w:t xml:space="preserve">the FAR will commence for insurers, their licensed NOHCs and registrable </w:t>
      </w:r>
      <w:r w:rsidR="00963A5A">
        <w:t>superannuation entity (RSE) licensees from the later of 1 July 2023 or 18 months after the commencement of the FAR.</w:t>
      </w:r>
    </w:p>
    <w:p w14:paraId="2BC02B38" w14:textId="0E8ADE88" w:rsidR="00905752" w:rsidRDefault="00DD09EF" w:rsidP="00905752">
      <w:pPr>
        <w:pStyle w:val="Heading1"/>
        <w:rPr>
          <w:rFonts w:eastAsia="Times New Roman"/>
          <w:lang w:eastAsia="en-AU"/>
        </w:rPr>
      </w:pPr>
      <w:bookmarkStart w:id="18" w:name="_Toc70434592"/>
      <w:bookmarkStart w:id="19" w:name="_Toc77229923"/>
      <w:r>
        <w:rPr>
          <w:rFonts w:eastAsia="Times New Roman"/>
          <w:lang w:eastAsia="en-AU"/>
        </w:rPr>
        <w:t>Enhanced notification threshold</w:t>
      </w:r>
      <w:bookmarkEnd w:id="6"/>
      <w:bookmarkEnd w:id="7"/>
      <w:bookmarkEnd w:id="18"/>
      <w:bookmarkEnd w:id="19"/>
    </w:p>
    <w:p w14:paraId="0646BFD1" w14:textId="24AEBEC3" w:rsidR="00905752" w:rsidRDefault="00905752" w:rsidP="00905752">
      <w:pPr>
        <w:pStyle w:val="Heading2"/>
      </w:pPr>
      <w:bookmarkStart w:id="20" w:name="_Toc70418655"/>
      <w:bookmarkStart w:id="21" w:name="_Toc70429066"/>
      <w:bookmarkStart w:id="22" w:name="_Toc70434593"/>
      <w:bookmarkStart w:id="23" w:name="_Toc77229924"/>
      <w:r>
        <w:t>Who will determine the</w:t>
      </w:r>
      <w:r w:rsidR="003D1049">
        <w:t xml:space="preserve"> metrics used to determine enhanced compliance</w:t>
      </w:r>
      <w:r>
        <w:t xml:space="preserve"> </w:t>
      </w:r>
      <w:r w:rsidR="00DD09EF">
        <w:t>thresholds</w:t>
      </w:r>
      <w:r>
        <w:t>?</w:t>
      </w:r>
      <w:bookmarkEnd w:id="20"/>
      <w:bookmarkEnd w:id="21"/>
      <w:bookmarkEnd w:id="22"/>
      <w:bookmarkEnd w:id="23"/>
    </w:p>
    <w:p w14:paraId="343BF1F4" w14:textId="2684A8D9" w:rsidR="00963042" w:rsidRDefault="00944893">
      <w:r>
        <w:t>The Minister will</w:t>
      </w:r>
      <w:r w:rsidR="00DD09EF">
        <w:t xml:space="preserve"> have the power to</w:t>
      </w:r>
      <w:r w:rsidR="00FB5837">
        <w:t xml:space="preserve"> set out the rules to</w:t>
      </w:r>
      <w:r w:rsidR="00DD09EF">
        <w:t xml:space="preserve"> determine </w:t>
      </w:r>
      <w:r w:rsidR="00827E50">
        <w:t xml:space="preserve">the </w:t>
      </w:r>
      <w:r w:rsidR="00FB5837">
        <w:t>enhanced notification</w:t>
      </w:r>
      <w:r w:rsidR="00DD09EF">
        <w:t xml:space="preserve"> thresholds</w:t>
      </w:r>
      <w:r w:rsidR="00FB5837">
        <w:t>.</w:t>
      </w:r>
      <w:r>
        <w:t xml:space="preserve"> </w:t>
      </w:r>
      <w:r w:rsidR="003D1049">
        <w:t>Only enhanced compliance entities will be required to submit accountability maps and statement to APRA and ASIC</w:t>
      </w:r>
      <w:r w:rsidR="000B4380">
        <w:t>.</w:t>
      </w:r>
    </w:p>
    <w:p w14:paraId="28C92E58" w14:textId="294AC388" w:rsidR="000C2329" w:rsidRDefault="000C2329" w:rsidP="000C2329">
      <w:r>
        <w:t>The</w:t>
      </w:r>
      <w:r w:rsidR="00446952">
        <w:t xml:space="preserve"> current proposed metric and thresholds are outlined in the table below.</w:t>
      </w:r>
      <w:r>
        <w:t xml:space="preserve"> 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3911"/>
        <w:gridCol w:w="5101"/>
      </w:tblGrid>
      <w:tr w:rsidR="00BA6ECF" w:rsidRPr="003C6F05" w14:paraId="66C5A830" w14:textId="77777777" w:rsidTr="00BA6ECF">
        <w:trPr>
          <w:tblHeader/>
        </w:trPr>
        <w:tc>
          <w:tcPr>
            <w:tcW w:w="2170" w:type="pct"/>
            <w:shd w:val="clear" w:color="auto" w:fill="E6E6E6"/>
          </w:tcPr>
          <w:p w14:paraId="27349124" w14:textId="77777777" w:rsidR="000C2329" w:rsidRPr="003C6F05" w:rsidRDefault="000C2329" w:rsidP="000C2329">
            <w:pPr>
              <w:spacing w:before="40" w:after="40"/>
              <w:rPr>
                <w:b/>
              </w:rPr>
            </w:pPr>
            <w:r w:rsidRPr="003C6F05">
              <w:rPr>
                <w:b/>
              </w:rPr>
              <w:t>Entity type</w:t>
            </w:r>
          </w:p>
        </w:tc>
        <w:tc>
          <w:tcPr>
            <w:tcW w:w="2830" w:type="pct"/>
            <w:shd w:val="clear" w:color="auto" w:fill="E6E6E6"/>
          </w:tcPr>
          <w:p w14:paraId="26B0C6C1" w14:textId="787A31CE" w:rsidR="000C2329" w:rsidRPr="003C6F05" w:rsidRDefault="000C2329" w:rsidP="00004D2B">
            <w:pPr>
              <w:spacing w:before="40" w:after="40"/>
            </w:pPr>
            <w:r w:rsidRPr="003C6F05">
              <w:rPr>
                <w:b/>
              </w:rPr>
              <w:t xml:space="preserve">Metric used to determine </w:t>
            </w:r>
            <w:r w:rsidR="00004D2B">
              <w:rPr>
                <w:b/>
              </w:rPr>
              <w:t>e</w:t>
            </w:r>
            <w:r w:rsidRPr="003C6F05">
              <w:rPr>
                <w:b/>
              </w:rPr>
              <w:t xml:space="preserve">nhanced </w:t>
            </w:r>
            <w:r w:rsidR="00004D2B">
              <w:rPr>
                <w:b/>
              </w:rPr>
              <w:t>notification threshold</w:t>
            </w:r>
          </w:p>
        </w:tc>
      </w:tr>
      <w:tr w:rsidR="00BA6ECF" w14:paraId="08EF2F89" w14:textId="77777777" w:rsidTr="00BA6ECF">
        <w:tc>
          <w:tcPr>
            <w:tcW w:w="2170" w:type="pct"/>
            <w:shd w:val="clear" w:color="auto" w:fill="auto"/>
          </w:tcPr>
          <w:p w14:paraId="47D21D9E" w14:textId="58504B2B" w:rsidR="000C2329" w:rsidRDefault="00963A5A" w:rsidP="00446952">
            <w:pPr>
              <w:spacing w:before="40" w:after="40"/>
            </w:pPr>
            <w:r>
              <w:t>ADIs</w:t>
            </w:r>
          </w:p>
        </w:tc>
        <w:tc>
          <w:tcPr>
            <w:tcW w:w="2830" w:type="pct"/>
            <w:shd w:val="clear" w:color="auto" w:fill="auto"/>
          </w:tcPr>
          <w:p w14:paraId="62C70A9E" w14:textId="77777777" w:rsidR="000C2329" w:rsidRDefault="000C2329" w:rsidP="000C2329">
            <w:pPr>
              <w:spacing w:before="40" w:after="40"/>
            </w:pPr>
            <w:r>
              <w:t>Total assets &gt; $10b</w:t>
            </w:r>
          </w:p>
        </w:tc>
      </w:tr>
      <w:tr w:rsidR="00BA6ECF" w14:paraId="496202D3" w14:textId="77777777" w:rsidTr="00BA6ECF">
        <w:tc>
          <w:tcPr>
            <w:tcW w:w="2170" w:type="pct"/>
            <w:shd w:val="clear" w:color="auto" w:fill="auto"/>
          </w:tcPr>
          <w:p w14:paraId="5AFF4FF8" w14:textId="0D4B6C96" w:rsidR="000C2329" w:rsidRDefault="000C2329" w:rsidP="00800B29">
            <w:pPr>
              <w:spacing w:before="40" w:after="40"/>
            </w:pPr>
            <w:r>
              <w:t xml:space="preserve">General </w:t>
            </w:r>
            <w:r w:rsidR="00800B29">
              <w:t>insurers</w:t>
            </w:r>
          </w:p>
        </w:tc>
        <w:tc>
          <w:tcPr>
            <w:tcW w:w="2830" w:type="pct"/>
            <w:shd w:val="clear" w:color="auto" w:fill="auto"/>
          </w:tcPr>
          <w:p w14:paraId="0FABB596" w14:textId="77777777" w:rsidR="000C2329" w:rsidRDefault="000C2329" w:rsidP="000C2329">
            <w:pPr>
              <w:spacing w:before="40" w:after="40"/>
            </w:pPr>
            <w:r>
              <w:t>Total assets &gt; $2b</w:t>
            </w:r>
          </w:p>
        </w:tc>
      </w:tr>
      <w:tr w:rsidR="00BA6ECF" w14:paraId="482FAC2D" w14:textId="77777777" w:rsidTr="00BA6ECF">
        <w:tc>
          <w:tcPr>
            <w:tcW w:w="2170" w:type="pct"/>
            <w:shd w:val="clear" w:color="auto" w:fill="auto"/>
          </w:tcPr>
          <w:p w14:paraId="50132F7E" w14:textId="62105808" w:rsidR="000C2329" w:rsidRDefault="000C2329" w:rsidP="000C2329">
            <w:pPr>
              <w:spacing w:before="40" w:after="40"/>
            </w:pPr>
            <w:r>
              <w:t>Life insur</w:t>
            </w:r>
            <w:r w:rsidR="00800B29">
              <w:t>ers</w:t>
            </w:r>
          </w:p>
        </w:tc>
        <w:tc>
          <w:tcPr>
            <w:tcW w:w="2830" w:type="pct"/>
            <w:shd w:val="clear" w:color="auto" w:fill="auto"/>
          </w:tcPr>
          <w:p w14:paraId="0B11E29F" w14:textId="77777777" w:rsidR="000C2329" w:rsidRDefault="000C2329" w:rsidP="000C2329">
            <w:pPr>
              <w:spacing w:before="40" w:after="40"/>
            </w:pPr>
            <w:r>
              <w:t>Total assets &gt; $4b</w:t>
            </w:r>
          </w:p>
        </w:tc>
      </w:tr>
      <w:tr w:rsidR="00BA6ECF" w14:paraId="17DFC766" w14:textId="77777777" w:rsidTr="00BA6ECF">
        <w:tc>
          <w:tcPr>
            <w:tcW w:w="2170" w:type="pct"/>
            <w:shd w:val="clear" w:color="auto" w:fill="auto"/>
          </w:tcPr>
          <w:p w14:paraId="67ED1FF3" w14:textId="77777777" w:rsidR="000C2329" w:rsidRDefault="000C2329" w:rsidP="000C2329">
            <w:pPr>
              <w:spacing w:before="40" w:after="40"/>
            </w:pPr>
            <w:r>
              <w:t>Private health insurers</w:t>
            </w:r>
          </w:p>
        </w:tc>
        <w:tc>
          <w:tcPr>
            <w:tcW w:w="2830" w:type="pct"/>
            <w:shd w:val="clear" w:color="auto" w:fill="auto"/>
          </w:tcPr>
          <w:p w14:paraId="0EEF92CF" w14:textId="77777777" w:rsidR="000C2329" w:rsidRDefault="000C2329" w:rsidP="000C2329">
            <w:pPr>
              <w:spacing w:before="40" w:after="40"/>
            </w:pPr>
            <w:r>
              <w:t>Total assets &gt; $2b</w:t>
            </w:r>
          </w:p>
        </w:tc>
      </w:tr>
      <w:tr w:rsidR="00BA6ECF" w14:paraId="7E01EDC0" w14:textId="77777777" w:rsidTr="00BA6ECF">
        <w:tc>
          <w:tcPr>
            <w:tcW w:w="2170" w:type="pct"/>
            <w:shd w:val="clear" w:color="auto" w:fill="auto"/>
          </w:tcPr>
          <w:p w14:paraId="7EF1505E" w14:textId="745EC7A0" w:rsidR="000C2329" w:rsidRDefault="00F42B7E" w:rsidP="00BC2996">
            <w:pPr>
              <w:spacing w:before="40" w:after="40"/>
            </w:pPr>
            <w:r>
              <w:t xml:space="preserve">RSE </w:t>
            </w:r>
            <w:r w:rsidR="000C2329">
              <w:t>licensees</w:t>
            </w:r>
          </w:p>
        </w:tc>
        <w:tc>
          <w:tcPr>
            <w:tcW w:w="2830" w:type="pct"/>
            <w:shd w:val="clear" w:color="auto" w:fill="auto"/>
          </w:tcPr>
          <w:p w14:paraId="02D13EAD" w14:textId="77777777" w:rsidR="00800B29" w:rsidRDefault="000C2329" w:rsidP="000C2329">
            <w:pPr>
              <w:spacing w:before="40" w:after="40"/>
            </w:pPr>
            <w:r>
              <w:t>Total assets &gt; $10b</w:t>
            </w:r>
          </w:p>
          <w:p w14:paraId="0AA52ED2" w14:textId="15E90FFE" w:rsidR="000C2329" w:rsidRDefault="00F42B7E" w:rsidP="000C2329">
            <w:pPr>
              <w:spacing w:before="40" w:after="40"/>
            </w:pPr>
            <w:r>
              <w:t>(</w:t>
            </w:r>
            <w:r w:rsidR="000C2329">
              <w:t>This refers to combined total assets of all RSEs under the trusteeship of a given RSE licensee.</w:t>
            </w:r>
            <w:r>
              <w:t>)</w:t>
            </w:r>
          </w:p>
        </w:tc>
      </w:tr>
    </w:tbl>
    <w:p w14:paraId="6D6F0BE4" w14:textId="731D4134" w:rsidR="0046603F" w:rsidRPr="00905752" w:rsidRDefault="0028534F" w:rsidP="00D903E1">
      <w:pPr>
        <w:pStyle w:val="Heading2"/>
        <w:keepNext/>
      </w:pPr>
      <w:bookmarkStart w:id="24" w:name="_Toc77229925"/>
      <w:r>
        <w:t>What metric</w:t>
      </w:r>
      <w:r w:rsidR="00F22D52">
        <w:t xml:space="preserve"> and thresholds </w:t>
      </w:r>
      <w:r>
        <w:t>are set for non-operating holding companies?</w:t>
      </w:r>
      <w:bookmarkEnd w:id="24"/>
    </w:p>
    <w:p w14:paraId="16C19F2D" w14:textId="65FEB8EB" w:rsidR="0046603F" w:rsidRDefault="001F71A6" w:rsidP="00E178D8">
      <w:r>
        <w:t xml:space="preserve">No </w:t>
      </w:r>
      <w:r w:rsidR="00213488">
        <w:t xml:space="preserve">metrics and </w:t>
      </w:r>
      <w:r>
        <w:t>threshold</w:t>
      </w:r>
      <w:r w:rsidR="00213488">
        <w:t>s will be specified for</w:t>
      </w:r>
      <w:r w:rsidR="0046603F">
        <w:t xml:space="preserve"> </w:t>
      </w:r>
      <w:r w:rsidR="007464D2">
        <w:t>NOHC</w:t>
      </w:r>
      <w:r>
        <w:t>s</w:t>
      </w:r>
      <w:r w:rsidR="00213488">
        <w:t>.</w:t>
      </w:r>
      <w:r>
        <w:t xml:space="preserve"> Please refer to the response to the next question regarding how licensed NOHCs will be classified</w:t>
      </w:r>
      <w:r w:rsidR="0046603F">
        <w:rPr>
          <w:lang w:eastAsia="en-AU"/>
        </w:rPr>
        <w:t>.</w:t>
      </w:r>
      <w:r w:rsidR="0046603F">
        <w:t xml:space="preserve"> </w:t>
      </w:r>
    </w:p>
    <w:p w14:paraId="1C2196FC" w14:textId="4348E536" w:rsidR="007464D2" w:rsidRPr="00905752" w:rsidRDefault="007464D2" w:rsidP="007464D2">
      <w:pPr>
        <w:pStyle w:val="Heading2"/>
      </w:pPr>
      <w:bookmarkStart w:id="25" w:name="_Toc70418657"/>
      <w:bookmarkStart w:id="26" w:name="_Toc70429068"/>
      <w:bookmarkStart w:id="27" w:name="_Toc70434595"/>
      <w:bookmarkStart w:id="28" w:name="_Toc77229926"/>
      <w:r>
        <w:lastRenderedPageBreak/>
        <w:t xml:space="preserve">How will </w:t>
      </w:r>
      <w:r w:rsidR="00F559CA">
        <w:t>accountable entities within a corporate group</w:t>
      </w:r>
      <w:r>
        <w:t xml:space="preserve"> be classified?</w:t>
      </w:r>
      <w:bookmarkEnd w:id="25"/>
      <w:bookmarkEnd w:id="26"/>
      <w:bookmarkEnd w:id="27"/>
      <w:bookmarkEnd w:id="28"/>
    </w:p>
    <w:p w14:paraId="0CDA741A" w14:textId="184F220B" w:rsidR="007464D2" w:rsidRPr="00F559CA" w:rsidRDefault="00F559CA" w:rsidP="00E178D8">
      <w:r>
        <w:t xml:space="preserve">Where an accountable entity within a corporate group meets </w:t>
      </w:r>
      <w:r w:rsidR="00612E1B">
        <w:t>the enhanced notification threshold, all other accountable entities within that corporation group</w:t>
      </w:r>
      <w:r w:rsidR="001F71A6">
        <w:t xml:space="preserve"> including any licensed NOHCs</w:t>
      </w:r>
      <w:r w:rsidR="00612E1B">
        <w:t xml:space="preserve"> would need to comply with the </w:t>
      </w:r>
      <w:r w:rsidR="007464D2" w:rsidRPr="00F559CA">
        <w:t>enhanced notification obligations</w:t>
      </w:r>
      <w:r w:rsidR="00E256FE">
        <w:t xml:space="preserve"> irrespective of whether they meet the enhanced notification threshold</w:t>
      </w:r>
      <w:r w:rsidR="007464D2" w:rsidRPr="00F559CA">
        <w:t>.</w:t>
      </w:r>
    </w:p>
    <w:p w14:paraId="2A02C4A3" w14:textId="6E142AFA" w:rsidR="00905752" w:rsidRPr="00905752" w:rsidRDefault="00905752" w:rsidP="0046603F">
      <w:pPr>
        <w:pStyle w:val="Heading2"/>
      </w:pPr>
      <w:bookmarkStart w:id="29" w:name="_Toc70418658"/>
      <w:bookmarkStart w:id="30" w:name="_Toc70429069"/>
      <w:bookmarkStart w:id="31" w:name="_Toc70434596"/>
      <w:bookmarkStart w:id="32" w:name="_Toc77229927"/>
      <w:r>
        <w:t>Will the metric</w:t>
      </w:r>
      <w:r w:rsidR="002A5449">
        <w:t xml:space="preserve"> and threshold</w:t>
      </w:r>
      <w:r>
        <w:t>s change?</w:t>
      </w:r>
      <w:bookmarkEnd w:id="29"/>
      <w:bookmarkEnd w:id="30"/>
      <w:bookmarkEnd w:id="31"/>
      <w:bookmarkEnd w:id="32"/>
    </w:p>
    <w:p w14:paraId="5B692528" w14:textId="463EDE55" w:rsidR="0046603F" w:rsidRDefault="002A5449" w:rsidP="002C35AD">
      <w:pPr>
        <w:rPr>
          <w:lang w:eastAsia="en-AU"/>
        </w:rPr>
      </w:pPr>
      <w:r>
        <w:rPr>
          <w:lang w:eastAsia="en-AU"/>
        </w:rPr>
        <w:t xml:space="preserve">The Minister will </w:t>
      </w:r>
      <w:r w:rsidR="008C0FAE">
        <w:rPr>
          <w:lang w:eastAsia="en-AU"/>
        </w:rPr>
        <w:t xml:space="preserve">have </w:t>
      </w:r>
      <w:r>
        <w:rPr>
          <w:lang w:eastAsia="en-AU"/>
        </w:rPr>
        <w:t xml:space="preserve">the power to </w:t>
      </w:r>
      <w:r w:rsidR="008C0FAE">
        <w:rPr>
          <w:lang w:eastAsia="en-AU"/>
        </w:rPr>
        <w:t>change the metric and thresholds for the purposes of</w:t>
      </w:r>
      <w:r w:rsidR="000B4380">
        <w:rPr>
          <w:lang w:eastAsia="en-AU"/>
        </w:rPr>
        <w:t xml:space="preserve"> determining enhanced compliance. The metric and thresholds will be</w:t>
      </w:r>
      <w:r w:rsidR="00F01B3D">
        <w:rPr>
          <w:lang w:eastAsia="en-AU"/>
        </w:rPr>
        <w:t xml:space="preserve"> regularly</w:t>
      </w:r>
      <w:r w:rsidR="000B4380">
        <w:rPr>
          <w:lang w:eastAsia="en-AU"/>
        </w:rPr>
        <w:t xml:space="preserve"> reviewed </w:t>
      </w:r>
      <w:r w:rsidR="00F412FE">
        <w:rPr>
          <w:lang w:eastAsia="en-AU"/>
        </w:rPr>
        <w:t xml:space="preserve">for their appropriateness. </w:t>
      </w:r>
    </w:p>
    <w:p w14:paraId="76BFCD7E" w14:textId="77777777" w:rsidR="00341525" w:rsidRDefault="00341525" w:rsidP="00341525">
      <w:pPr>
        <w:pStyle w:val="Heading1"/>
        <w:rPr>
          <w:rFonts w:eastAsia="Times New Roman"/>
          <w:lang w:eastAsia="en-AU"/>
        </w:rPr>
      </w:pPr>
      <w:bookmarkStart w:id="33" w:name="_Toc70434597"/>
      <w:bookmarkStart w:id="34" w:name="_Toc77229928"/>
      <w:r>
        <w:rPr>
          <w:rFonts w:eastAsia="Times New Roman"/>
          <w:lang w:eastAsia="en-AU"/>
        </w:rPr>
        <w:t>Group obligations</w:t>
      </w:r>
      <w:bookmarkEnd w:id="33"/>
      <w:bookmarkEnd w:id="34"/>
    </w:p>
    <w:p w14:paraId="373B5309" w14:textId="77777777" w:rsidR="00341525" w:rsidRDefault="00341525" w:rsidP="00341525">
      <w:pPr>
        <w:pStyle w:val="Heading2"/>
      </w:pPr>
      <w:bookmarkStart w:id="35" w:name="_Toc70434598"/>
      <w:bookmarkStart w:id="36" w:name="_Toc77229929"/>
      <w:r>
        <w:t>What are groups expected to submit in terms of accountability maps and statements?</w:t>
      </w:r>
      <w:bookmarkEnd w:id="35"/>
      <w:bookmarkEnd w:id="36"/>
    </w:p>
    <w:p w14:paraId="79ED4846" w14:textId="36DE0A4C" w:rsidR="00341525" w:rsidRPr="00FF6FBF" w:rsidRDefault="00341525" w:rsidP="00341525">
      <w:pPr>
        <w:rPr>
          <w:lang w:eastAsia="en-AU"/>
        </w:rPr>
      </w:pPr>
      <w:r w:rsidRPr="00FF6FBF">
        <w:rPr>
          <w:lang w:eastAsia="en-AU"/>
        </w:rPr>
        <w:t xml:space="preserve">Senior executives of corporate groups could hold multiple </w:t>
      </w:r>
      <w:r>
        <w:rPr>
          <w:lang w:eastAsia="en-AU"/>
        </w:rPr>
        <w:t xml:space="preserve">accountable </w:t>
      </w:r>
      <w:r w:rsidRPr="00FF6FBF">
        <w:rPr>
          <w:lang w:eastAsia="en-AU"/>
        </w:rPr>
        <w:t>person</w:t>
      </w:r>
      <w:r>
        <w:rPr>
          <w:lang w:eastAsia="en-AU"/>
        </w:rPr>
        <w:t xml:space="preserve"> roles across multiple accountable entities within the same group</w:t>
      </w:r>
      <w:r w:rsidRPr="00FF6FBF">
        <w:rPr>
          <w:lang w:eastAsia="en-AU"/>
        </w:rPr>
        <w:t>. These</w:t>
      </w:r>
      <w:r>
        <w:rPr>
          <w:lang w:eastAsia="en-AU"/>
        </w:rPr>
        <w:t xml:space="preserve"> accountable </w:t>
      </w:r>
      <w:r w:rsidRPr="00FF6FBF">
        <w:rPr>
          <w:lang w:eastAsia="en-AU"/>
        </w:rPr>
        <w:t>entities will be able to submit one accountability statement covering all the group executive's areas of responsibilities.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r>
        <w:rPr>
          <w:lang w:eastAsia="en-AU"/>
        </w:rPr>
        <w:t xml:space="preserve">Similarly, groups will be able to submit one accountability map that covers </w:t>
      </w:r>
      <w:r w:rsidR="001F5FE4">
        <w:rPr>
          <w:lang w:eastAsia="en-AU"/>
        </w:rPr>
        <w:t xml:space="preserve">all accountable entities within </w:t>
      </w:r>
      <w:r>
        <w:rPr>
          <w:lang w:eastAsia="en-AU"/>
        </w:rPr>
        <w:t xml:space="preserve">the group. </w:t>
      </w:r>
    </w:p>
    <w:p w14:paraId="0CE681B5" w14:textId="580F308A" w:rsidR="00856465" w:rsidRDefault="00856465" w:rsidP="00856465">
      <w:pPr>
        <w:pStyle w:val="Heading1"/>
      </w:pPr>
      <w:bookmarkStart w:id="37" w:name="_Toc77229930"/>
      <w:r>
        <w:t>Transitional and consequential provisions</w:t>
      </w:r>
      <w:bookmarkEnd w:id="37"/>
    </w:p>
    <w:p w14:paraId="3FBCA6BD" w14:textId="5B555DDA" w:rsidR="00856465" w:rsidRDefault="00856465" w:rsidP="004C30BD">
      <w:pPr>
        <w:pStyle w:val="Heading2"/>
      </w:pPr>
      <w:bookmarkStart w:id="38" w:name="_Toc77229931"/>
      <w:r>
        <w:t xml:space="preserve">When will the transitional and consequential provisions be </w:t>
      </w:r>
      <w:r w:rsidR="00940EC0">
        <w:t>consulted on?</w:t>
      </w:r>
      <w:bookmarkStart w:id="39" w:name="_Toc70418659"/>
      <w:bookmarkEnd w:id="38"/>
    </w:p>
    <w:p w14:paraId="6B83A9DB" w14:textId="02FACF79" w:rsidR="00856465" w:rsidRDefault="00940EC0" w:rsidP="00856465">
      <w:r>
        <w:t>P</w:t>
      </w:r>
      <w:r w:rsidR="004C30BD">
        <w:t xml:space="preserve">ublic consultation </w:t>
      </w:r>
      <w:r>
        <w:t xml:space="preserve">on the transitional and consequential </w:t>
      </w:r>
      <w:r w:rsidR="004C30BD">
        <w:t>provisions is expected to commence in August/September.</w:t>
      </w:r>
    </w:p>
    <w:p w14:paraId="6AF5FBB1" w14:textId="2D99E992" w:rsidR="0014184A" w:rsidRDefault="0014184A" w:rsidP="0014184A">
      <w:pPr>
        <w:pStyle w:val="Heading1"/>
      </w:pPr>
      <w:bookmarkStart w:id="40" w:name="_Toc77229932"/>
      <w:r>
        <w:t>Minister rules</w:t>
      </w:r>
      <w:bookmarkEnd w:id="40"/>
    </w:p>
    <w:p w14:paraId="04A260C8" w14:textId="4E4CFA87" w:rsidR="0014184A" w:rsidRDefault="0014184A" w:rsidP="0014184A">
      <w:pPr>
        <w:pStyle w:val="Heading2"/>
      </w:pPr>
      <w:bookmarkStart w:id="41" w:name="_Toc77229933"/>
      <w:r>
        <w:t>When will the Minister rules be consulted on?</w:t>
      </w:r>
      <w:bookmarkEnd w:id="41"/>
    </w:p>
    <w:p w14:paraId="7A33F9B0" w14:textId="29231BC2" w:rsidR="0014184A" w:rsidRDefault="0014184A" w:rsidP="00856465">
      <w:r>
        <w:t>Public consultation on the Minister rules in relation to the list of prescribed responsibilities and positions and the enhanced notification thresholds is expected to commence in September/October.</w:t>
      </w:r>
    </w:p>
    <w:p w14:paraId="42ECB0AD" w14:textId="77777777" w:rsidR="0014184A" w:rsidRPr="00856465" w:rsidRDefault="0014184A" w:rsidP="00856465"/>
    <w:bookmarkEnd w:id="39"/>
    <w:sectPr w:rsidR="0014184A" w:rsidRPr="00856465" w:rsidSect="007464D2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DA0A8" w14:textId="77777777" w:rsidR="009E5E0E" w:rsidRDefault="009E5E0E" w:rsidP="00D83A6D">
      <w:pPr>
        <w:spacing w:after="0" w:line="240" w:lineRule="auto"/>
      </w:pPr>
      <w:r>
        <w:separator/>
      </w:r>
    </w:p>
  </w:endnote>
  <w:endnote w:type="continuationSeparator" w:id="0">
    <w:p w14:paraId="021799B1" w14:textId="77777777" w:rsidR="009E5E0E" w:rsidRDefault="009E5E0E" w:rsidP="00D83A6D">
      <w:pPr>
        <w:spacing w:after="0" w:line="240" w:lineRule="auto"/>
      </w:pPr>
      <w:r>
        <w:continuationSeparator/>
      </w:r>
    </w:p>
  </w:endnote>
  <w:endnote w:type="continuationNotice" w:id="1">
    <w:p w14:paraId="7F31DE6F" w14:textId="77777777" w:rsidR="009E5E0E" w:rsidRDefault="009E5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3351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9290A" w14:textId="54DD2564" w:rsidR="009E5E0E" w:rsidRDefault="009E5E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9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282766" w14:textId="77777777" w:rsidR="009E5E0E" w:rsidRDefault="009E5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AB475" w14:textId="77777777" w:rsidR="009E5E0E" w:rsidRDefault="009E5E0E" w:rsidP="00D83A6D">
      <w:pPr>
        <w:spacing w:after="0" w:line="240" w:lineRule="auto"/>
      </w:pPr>
      <w:r>
        <w:separator/>
      </w:r>
    </w:p>
  </w:footnote>
  <w:footnote w:type="continuationSeparator" w:id="0">
    <w:p w14:paraId="28FDAA27" w14:textId="77777777" w:rsidR="009E5E0E" w:rsidRDefault="009E5E0E" w:rsidP="00D83A6D">
      <w:pPr>
        <w:spacing w:after="0" w:line="240" w:lineRule="auto"/>
      </w:pPr>
      <w:r>
        <w:continuationSeparator/>
      </w:r>
    </w:p>
  </w:footnote>
  <w:footnote w:type="continuationNotice" w:id="1">
    <w:p w14:paraId="02FEA1C1" w14:textId="77777777" w:rsidR="009E5E0E" w:rsidRDefault="009E5E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E3FBB"/>
    <w:multiLevelType w:val="hybridMultilevel"/>
    <w:tmpl w:val="33FEEB9E"/>
    <w:lvl w:ilvl="0" w:tplc="1F7E9A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1CC8"/>
    <w:multiLevelType w:val="hybridMultilevel"/>
    <w:tmpl w:val="5E92A0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819E8"/>
    <w:multiLevelType w:val="hybridMultilevel"/>
    <w:tmpl w:val="382EB4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178"/>
    <w:multiLevelType w:val="multilevel"/>
    <w:tmpl w:val="D29AF8A0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20131E"/>
    <w:multiLevelType w:val="hybridMultilevel"/>
    <w:tmpl w:val="48041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018CD"/>
    <w:multiLevelType w:val="hybridMultilevel"/>
    <w:tmpl w:val="C4E05D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45868"/>
    <w:multiLevelType w:val="hybridMultilevel"/>
    <w:tmpl w:val="0076EC3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F0293C"/>
    <w:multiLevelType w:val="hybridMultilevel"/>
    <w:tmpl w:val="5E92A0D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4424"/>
    <w:multiLevelType w:val="hybridMultilevel"/>
    <w:tmpl w:val="C5D89F8C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441711A"/>
    <w:multiLevelType w:val="hybridMultilevel"/>
    <w:tmpl w:val="9578BE9C"/>
    <w:lvl w:ilvl="0" w:tplc="7B529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A2ABD"/>
    <w:multiLevelType w:val="hybridMultilevel"/>
    <w:tmpl w:val="9058F5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950960"/>
    <w:multiLevelType w:val="multilevel"/>
    <w:tmpl w:val="AD1C7528"/>
    <w:name w:val="DotPointList"/>
    <w:lvl w:ilvl="0">
      <w:start w:val="1"/>
      <w:numFmt w:val="bullet"/>
      <w:pStyle w:val="dotpoint"/>
      <w:lvlText w:val="•"/>
      <w:lvlJc w:val="left"/>
      <w:pPr>
        <w:tabs>
          <w:tab w:val="num" w:pos="2695"/>
        </w:tabs>
        <w:ind w:left="2695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2" w15:restartNumberingAfterBreak="0">
    <w:nsid w:val="429C1676"/>
    <w:multiLevelType w:val="hybridMultilevel"/>
    <w:tmpl w:val="5E92A0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D2293"/>
    <w:multiLevelType w:val="hybridMultilevel"/>
    <w:tmpl w:val="C12E78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216C81"/>
    <w:multiLevelType w:val="hybridMultilevel"/>
    <w:tmpl w:val="90FA57B8"/>
    <w:lvl w:ilvl="0" w:tplc="D27EA932">
      <w:start w:val="16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36D97"/>
    <w:multiLevelType w:val="hybridMultilevel"/>
    <w:tmpl w:val="0C0229EC"/>
    <w:lvl w:ilvl="0" w:tplc="14CAF9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4677A"/>
    <w:multiLevelType w:val="hybridMultilevel"/>
    <w:tmpl w:val="DF36B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92D2D"/>
    <w:multiLevelType w:val="hybridMultilevel"/>
    <w:tmpl w:val="47A02D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2A736C"/>
    <w:multiLevelType w:val="hybridMultilevel"/>
    <w:tmpl w:val="9F54D4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5F25B3"/>
    <w:multiLevelType w:val="hybridMultilevel"/>
    <w:tmpl w:val="F9002D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8C3715"/>
    <w:multiLevelType w:val="hybridMultilevel"/>
    <w:tmpl w:val="AF04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843B3"/>
    <w:multiLevelType w:val="multilevel"/>
    <w:tmpl w:val="44B4091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631FEF"/>
    <w:multiLevelType w:val="hybridMultilevel"/>
    <w:tmpl w:val="5F8CF60C"/>
    <w:lvl w:ilvl="0" w:tplc="03CAB53C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2"/>
  </w:num>
  <w:num w:numId="5">
    <w:abstractNumId w:val="14"/>
  </w:num>
  <w:num w:numId="6">
    <w:abstractNumId w:val="16"/>
  </w:num>
  <w:num w:numId="7">
    <w:abstractNumId w:val="20"/>
  </w:num>
  <w:num w:numId="8">
    <w:abstractNumId w:val="3"/>
  </w:num>
  <w:num w:numId="9">
    <w:abstractNumId w:val="7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9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0"/>
  </w:num>
  <w:num w:numId="20">
    <w:abstractNumId w:val="17"/>
  </w:num>
  <w:num w:numId="21">
    <w:abstractNumId w:val="9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6D"/>
    <w:rsid w:val="00002571"/>
    <w:rsid w:val="00004D2B"/>
    <w:rsid w:val="00060B5A"/>
    <w:rsid w:val="000765AE"/>
    <w:rsid w:val="000B3F26"/>
    <w:rsid w:val="000B4380"/>
    <w:rsid w:val="000C2329"/>
    <w:rsid w:val="000C363F"/>
    <w:rsid w:val="000C68F2"/>
    <w:rsid w:val="000D2964"/>
    <w:rsid w:val="000D6572"/>
    <w:rsid w:val="00103239"/>
    <w:rsid w:val="0014184A"/>
    <w:rsid w:val="001513E0"/>
    <w:rsid w:val="00154A47"/>
    <w:rsid w:val="00172D6D"/>
    <w:rsid w:val="00194599"/>
    <w:rsid w:val="001A7334"/>
    <w:rsid w:val="001C3BD1"/>
    <w:rsid w:val="001D4B25"/>
    <w:rsid w:val="001F5B1A"/>
    <w:rsid w:val="001F5FE4"/>
    <w:rsid w:val="001F71A6"/>
    <w:rsid w:val="00213488"/>
    <w:rsid w:val="00220737"/>
    <w:rsid w:val="00220CB6"/>
    <w:rsid w:val="00237282"/>
    <w:rsid w:val="0025469C"/>
    <w:rsid w:val="0026171F"/>
    <w:rsid w:val="00272F3C"/>
    <w:rsid w:val="0028534F"/>
    <w:rsid w:val="00287A4D"/>
    <w:rsid w:val="002A5449"/>
    <w:rsid w:val="002C0158"/>
    <w:rsid w:val="002C35AD"/>
    <w:rsid w:val="002C71CD"/>
    <w:rsid w:val="002E2B4E"/>
    <w:rsid w:val="002F4031"/>
    <w:rsid w:val="002F54EF"/>
    <w:rsid w:val="00303A6A"/>
    <w:rsid w:val="00304EE3"/>
    <w:rsid w:val="00341525"/>
    <w:rsid w:val="003551C5"/>
    <w:rsid w:val="00356C55"/>
    <w:rsid w:val="00386E69"/>
    <w:rsid w:val="003A10E2"/>
    <w:rsid w:val="003A1A78"/>
    <w:rsid w:val="003B248F"/>
    <w:rsid w:val="003B741D"/>
    <w:rsid w:val="003D1049"/>
    <w:rsid w:val="003D7558"/>
    <w:rsid w:val="00416426"/>
    <w:rsid w:val="004279F5"/>
    <w:rsid w:val="00430B40"/>
    <w:rsid w:val="004409FC"/>
    <w:rsid w:val="0044423A"/>
    <w:rsid w:val="00446952"/>
    <w:rsid w:val="00452996"/>
    <w:rsid w:val="004622E1"/>
    <w:rsid w:val="0046603F"/>
    <w:rsid w:val="00466C56"/>
    <w:rsid w:val="00475703"/>
    <w:rsid w:val="00490525"/>
    <w:rsid w:val="004A14F7"/>
    <w:rsid w:val="004C0552"/>
    <w:rsid w:val="004C30BD"/>
    <w:rsid w:val="004C37B8"/>
    <w:rsid w:val="004D423C"/>
    <w:rsid w:val="004D70CF"/>
    <w:rsid w:val="004F68E6"/>
    <w:rsid w:val="00501448"/>
    <w:rsid w:val="00502F3E"/>
    <w:rsid w:val="00515360"/>
    <w:rsid w:val="00552E51"/>
    <w:rsid w:val="005D31F6"/>
    <w:rsid w:val="006030DA"/>
    <w:rsid w:val="00612E1B"/>
    <w:rsid w:val="00614C8D"/>
    <w:rsid w:val="00640499"/>
    <w:rsid w:val="006430DF"/>
    <w:rsid w:val="006511EA"/>
    <w:rsid w:val="0065749F"/>
    <w:rsid w:val="00683D5B"/>
    <w:rsid w:val="006A055A"/>
    <w:rsid w:val="006A559E"/>
    <w:rsid w:val="006D2BC6"/>
    <w:rsid w:val="0071446F"/>
    <w:rsid w:val="007464D2"/>
    <w:rsid w:val="007828F6"/>
    <w:rsid w:val="00784E3A"/>
    <w:rsid w:val="007D1959"/>
    <w:rsid w:val="007F6FAD"/>
    <w:rsid w:val="00800B29"/>
    <w:rsid w:val="00801FF7"/>
    <w:rsid w:val="0081748B"/>
    <w:rsid w:val="00821016"/>
    <w:rsid w:val="00827E50"/>
    <w:rsid w:val="00843542"/>
    <w:rsid w:val="00856465"/>
    <w:rsid w:val="00894586"/>
    <w:rsid w:val="00897A2B"/>
    <w:rsid w:val="008B333F"/>
    <w:rsid w:val="008B3D7B"/>
    <w:rsid w:val="008C0FAE"/>
    <w:rsid w:val="008D35E1"/>
    <w:rsid w:val="008D3E08"/>
    <w:rsid w:val="008F746C"/>
    <w:rsid w:val="00902572"/>
    <w:rsid w:val="00905752"/>
    <w:rsid w:val="00905B56"/>
    <w:rsid w:val="0091302E"/>
    <w:rsid w:val="00915D78"/>
    <w:rsid w:val="009206EB"/>
    <w:rsid w:val="00922C82"/>
    <w:rsid w:val="00923321"/>
    <w:rsid w:val="00926F7B"/>
    <w:rsid w:val="00933AAA"/>
    <w:rsid w:val="00940EC0"/>
    <w:rsid w:val="00944893"/>
    <w:rsid w:val="009552C1"/>
    <w:rsid w:val="00955F40"/>
    <w:rsid w:val="00961C65"/>
    <w:rsid w:val="00963042"/>
    <w:rsid w:val="00963302"/>
    <w:rsid w:val="00963721"/>
    <w:rsid w:val="00963A5A"/>
    <w:rsid w:val="00975236"/>
    <w:rsid w:val="0097768C"/>
    <w:rsid w:val="0098527D"/>
    <w:rsid w:val="009B7DAF"/>
    <w:rsid w:val="009C67C4"/>
    <w:rsid w:val="009E4D47"/>
    <w:rsid w:val="009E5E0E"/>
    <w:rsid w:val="009F5E39"/>
    <w:rsid w:val="00A4708D"/>
    <w:rsid w:val="00A50F58"/>
    <w:rsid w:val="00A520C8"/>
    <w:rsid w:val="00A71947"/>
    <w:rsid w:val="00A92A48"/>
    <w:rsid w:val="00AA43E6"/>
    <w:rsid w:val="00AD3696"/>
    <w:rsid w:val="00AF207B"/>
    <w:rsid w:val="00B2647E"/>
    <w:rsid w:val="00B30C85"/>
    <w:rsid w:val="00B31CB7"/>
    <w:rsid w:val="00B35BC5"/>
    <w:rsid w:val="00B6589C"/>
    <w:rsid w:val="00B7627D"/>
    <w:rsid w:val="00BA4C5F"/>
    <w:rsid w:val="00BA6ECF"/>
    <w:rsid w:val="00BB2F01"/>
    <w:rsid w:val="00BC2996"/>
    <w:rsid w:val="00BD2961"/>
    <w:rsid w:val="00BE35EB"/>
    <w:rsid w:val="00C0339B"/>
    <w:rsid w:val="00C47651"/>
    <w:rsid w:val="00C62125"/>
    <w:rsid w:val="00C67030"/>
    <w:rsid w:val="00C74FE1"/>
    <w:rsid w:val="00CA1E73"/>
    <w:rsid w:val="00CA2F36"/>
    <w:rsid w:val="00CC1778"/>
    <w:rsid w:val="00CE53E6"/>
    <w:rsid w:val="00CE689C"/>
    <w:rsid w:val="00CF165A"/>
    <w:rsid w:val="00D02540"/>
    <w:rsid w:val="00D07EB8"/>
    <w:rsid w:val="00D2026A"/>
    <w:rsid w:val="00D22E3A"/>
    <w:rsid w:val="00D36442"/>
    <w:rsid w:val="00D42E0F"/>
    <w:rsid w:val="00D47F90"/>
    <w:rsid w:val="00D83A6D"/>
    <w:rsid w:val="00D903E1"/>
    <w:rsid w:val="00D9102B"/>
    <w:rsid w:val="00DB0F4C"/>
    <w:rsid w:val="00DC7D3A"/>
    <w:rsid w:val="00DD09EF"/>
    <w:rsid w:val="00DD1CED"/>
    <w:rsid w:val="00E0121D"/>
    <w:rsid w:val="00E10C3A"/>
    <w:rsid w:val="00E16DBA"/>
    <w:rsid w:val="00E177F9"/>
    <w:rsid w:val="00E178D8"/>
    <w:rsid w:val="00E256FE"/>
    <w:rsid w:val="00E377A3"/>
    <w:rsid w:val="00E47B0E"/>
    <w:rsid w:val="00E646BF"/>
    <w:rsid w:val="00E94E11"/>
    <w:rsid w:val="00EB7317"/>
    <w:rsid w:val="00EC2066"/>
    <w:rsid w:val="00ED0CC8"/>
    <w:rsid w:val="00ED5AC5"/>
    <w:rsid w:val="00EE1B78"/>
    <w:rsid w:val="00EE3069"/>
    <w:rsid w:val="00F01B3D"/>
    <w:rsid w:val="00F22D52"/>
    <w:rsid w:val="00F3182E"/>
    <w:rsid w:val="00F412FE"/>
    <w:rsid w:val="00F42B7E"/>
    <w:rsid w:val="00F533B4"/>
    <w:rsid w:val="00F540CA"/>
    <w:rsid w:val="00F559CA"/>
    <w:rsid w:val="00F64778"/>
    <w:rsid w:val="00F74063"/>
    <w:rsid w:val="00F9065C"/>
    <w:rsid w:val="00F94B86"/>
    <w:rsid w:val="00FA2EB5"/>
    <w:rsid w:val="00FA4BB1"/>
    <w:rsid w:val="00FA5BCC"/>
    <w:rsid w:val="00FB5837"/>
    <w:rsid w:val="00FB6989"/>
    <w:rsid w:val="00FB6B44"/>
    <w:rsid w:val="00FC65DB"/>
    <w:rsid w:val="00FC72D2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D5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A6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A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3A6D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Cs/>
      <w:color w:val="2E74B5" w:themeColor="accent1" w:themeShade="BF"/>
      <w:sz w:val="28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A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A6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3A6D"/>
    <w:rPr>
      <w:rFonts w:asciiTheme="majorHAnsi" w:eastAsia="Times New Roman" w:hAnsiTheme="majorHAnsi" w:cs="Times New Roman"/>
      <w:bCs/>
      <w:color w:val="2E74B5" w:themeColor="accent1" w:themeShade="BF"/>
      <w:sz w:val="28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83A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83A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83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A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6D"/>
    <w:rPr>
      <w:rFonts w:ascii="Segoe UI" w:hAnsi="Segoe UI" w:cs="Segoe UI"/>
      <w:sz w:val="18"/>
      <w:szCs w:val="18"/>
    </w:rPr>
  </w:style>
  <w:style w:type="paragraph" w:customStyle="1" w:styleId="Bullet">
    <w:name w:val="Bullet"/>
    <w:basedOn w:val="Normal"/>
    <w:link w:val="BulletChar"/>
    <w:rsid w:val="00D83A6D"/>
    <w:pPr>
      <w:numPr>
        <w:numId w:val="1"/>
      </w:numPr>
      <w:spacing w:after="0" w:line="240" w:lineRule="auto"/>
    </w:pPr>
    <w:rPr>
      <w:rFonts w:eastAsia="Times New Roman" w:cstheme="minorHAnsi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3A6D"/>
    <w:rPr>
      <w:sz w:val="24"/>
    </w:rPr>
  </w:style>
  <w:style w:type="character" w:customStyle="1" w:styleId="BulletChar">
    <w:name w:val="Bullet Char"/>
    <w:basedOn w:val="ListParagraphChar"/>
    <w:link w:val="Bullet"/>
    <w:rsid w:val="00D83A6D"/>
    <w:rPr>
      <w:rFonts w:eastAsia="Times New Roman" w:cstheme="minorHAnsi"/>
      <w:sz w:val="24"/>
      <w:szCs w:val="24"/>
      <w:lang w:eastAsia="en-AU"/>
    </w:rPr>
  </w:style>
  <w:style w:type="paragraph" w:customStyle="1" w:styleId="Dash">
    <w:name w:val="Dash"/>
    <w:basedOn w:val="Normal"/>
    <w:link w:val="DashChar"/>
    <w:rsid w:val="00D83A6D"/>
    <w:pPr>
      <w:numPr>
        <w:ilvl w:val="1"/>
        <w:numId w:val="1"/>
      </w:numPr>
      <w:spacing w:after="0" w:line="240" w:lineRule="auto"/>
    </w:pPr>
    <w:rPr>
      <w:rFonts w:eastAsia="Times New Roman" w:cstheme="minorHAnsi"/>
      <w:szCs w:val="24"/>
      <w:lang w:eastAsia="en-AU"/>
    </w:rPr>
  </w:style>
  <w:style w:type="character" w:customStyle="1" w:styleId="DashChar">
    <w:name w:val="Dash Char"/>
    <w:basedOn w:val="ListParagraphChar"/>
    <w:link w:val="Dash"/>
    <w:rsid w:val="00D83A6D"/>
    <w:rPr>
      <w:rFonts w:eastAsia="Times New Roman" w:cstheme="minorHAnsi"/>
      <w:sz w:val="24"/>
      <w:szCs w:val="24"/>
      <w:lang w:eastAsia="en-AU"/>
    </w:rPr>
  </w:style>
  <w:style w:type="paragraph" w:customStyle="1" w:styleId="DoubleDot">
    <w:name w:val="Double Dot"/>
    <w:basedOn w:val="Normal"/>
    <w:link w:val="DoubleDotChar"/>
    <w:rsid w:val="00D83A6D"/>
    <w:pPr>
      <w:numPr>
        <w:ilvl w:val="2"/>
        <w:numId w:val="1"/>
      </w:numPr>
      <w:spacing w:after="0" w:line="240" w:lineRule="auto"/>
    </w:pPr>
    <w:rPr>
      <w:rFonts w:eastAsia="Times New Roman" w:cstheme="minorHAnsi"/>
      <w:szCs w:val="24"/>
      <w:lang w:eastAsia="en-AU"/>
    </w:rPr>
  </w:style>
  <w:style w:type="character" w:customStyle="1" w:styleId="DoubleDotChar">
    <w:name w:val="Double Dot Char"/>
    <w:basedOn w:val="ListParagraphChar"/>
    <w:link w:val="DoubleDot"/>
    <w:rsid w:val="00D83A6D"/>
    <w:rPr>
      <w:rFonts w:eastAsia="Times New Roman" w:cstheme="minorHAnsi"/>
      <w:sz w:val="24"/>
      <w:szCs w:val="24"/>
      <w:lang w:eastAsia="en-AU"/>
    </w:rPr>
  </w:style>
  <w:style w:type="paragraph" w:customStyle="1" w:styleId="dotpoint">
    <w:name w:val="dot point"/>
    <w:basedOn w:val="Normal"/>
    <w:rsid w:val="00D83A6D"/>
    <w:pPr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D83A6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A6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83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A6D"/>
    <w:rPr>
      <w:sz w:val="24"/>
    </w:rPr>
  </w:style>
  <w:style w:type="paragraph" w:styleId="Revision">
    <w:name w:val="Revision"/>
    <w:hidden/>
    <w:uiPriority w:val="99"/>
    <w:semiHidden/>
    <w:rsid w:val="00D83A6D"/>
    <w:pPr>
      <w:spacing w:after="0" w:line="240" w:lineRule="auto"/>
    </w:pPr>
  </w:style>
  <w:style w:type="table" w:styleId="TableGrid">
    <w:name w:val="Table Grid"/>
    <w:basedOn w:val="TableNormal"/>
    <w:uiPriority w:val="59"/>
    <w:rsid w:val="00D8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83A6D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83A6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178D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83A6D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3A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3A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3A6D"/>
    <w:rPr>
      <w:vertAlign w:val="superscript"/>
    </w:rPr>
  </w:style>
  <w:style w:type="paragraph" w:customStyle="1" w:styleId="TableTextBase">
    <w:name w:val="Table Text Base"/>
    <w:rsid w:val="00D83A6D"/>
    <w:pPr>
      <w:spacing w:before="40" w:after="40" w:line="240" w:lineRule="auto"/>
    </w:pPr>
    <w:rPr>
      <w:rFonts w:ascii="Arial" w:eastAsia="Times New Roman" w:hAnsi="Arial" w:cs="Times New Roman"/>
      <w:color w:val="000000"/>
      <w:sz w:val="16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F6B1-A703-4676-B652-25C392C5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Legislation Q&amp;A – Financial Accountability Regime</vt:lpstr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Legislation Q&amp;A – Financial Accountability Regime</dc:title>
  <dc:subject/>
  <dc:creator/>
  <cp:keywords/>
  <dc:description/>
  <cp:lastModifiedBy/>
  <cp:revision>1</cp:revision>
  <dcterms:created xsi:type="dcterms:W3CDTF">2021-07-15T03:49:00Z</dcterms:created>
  <dcterms:modified xsi:type="dcterms:W3CDTF">2021-07-15T03:49:00Z</dcterms:modified>
</cp:coreProperties>
</file>