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1D0996" w14:textId="77777777" w:rsidR="00F70507" w:rsidRPr="00F75F49" w:rsidRDefault="00F70507" w:rsidP="00CA306D">
      <w:pPr>
        <w:pStyle w:val="Title"/>
        <w:tabs>
          <w:tab w:val="left" w:pos="3047"/>
        </w:tabs>
        <w:spacing w:after="240" w:line="360" w:lineRule="auto"/>
        <w:contextualSpacing w:val="0"/>
        <w:jc w:val="both"/>
      </w:pPr>
    </w:p>
    <w:p w14:paraId="3F1D0997" w14:textId="77777777" w:rsidR="00CA306D" w:rsidRDefault="00CA306D" w:rsidP="00CA306D">
      <w:pPr>
        <w:pStyle w:val="Title"/>
      </w:pPr>
    </w:p>
    <w:p w14:paraId="3F1D0998" w14:textId="77777777" w:rsidR="00CA306D" w:rsidRDefault="11FF59B9" w:rsidP="00CA306D">
      <w:pPr>
        <w:pStyle w:val="Title"/>
      </w:pPr>
      <w:r>
        <w:t>Regulation Impact Statement</w:t>
      </w:r>
    </w:p>
    <w:p w14:paraId="3F1D0999" w14:textId="77777777" w:rsidR="00CA306D" w:rsidRDefault="00CA306D" w:rsidP="00CA306D"/>
    <w:p w14:paraId="3F1D099A" w14:textId="77777777" w:rsidR="00CA306D" w:rsidRDefault="11FF59B9" w:rsidP="11FF59B9">
      <w:pPr>
        <w:pStyle w:val="Heading1"/>
        <w:spacing w:before="360" w:after="360" w:line="240" w:lineRule="auto"/>
        <w:rPr>
          <w:color w:val="005677"/>
        </w:rPr>
      </w:pPr>
      <w:bookmarkStart w:id="0" w:name="_Toc529345736"/>
      <w:bookmarkStart w:id="1" w:name="_Toc529891237"/>
      <w:bookmarkStart w:id="2" w:name="_Toc529891255"/>
      <w:bookmarkStart w:id="3" w:name="_Toc530493122"/>
      <w:bookmarkStart w:id="4" w:name="_Toc530493177"/>
      <w:bookmarkStart w:id="5" w:name="_Toc530563043"/>
      <w:bookmarkStart w:id="6" w:name="_Toc20489932"/>
      <w:r w:rsidRPr="11FF59B9">
        <w:rPr>
          <w:color w:val="005677"/>
        </w:rPr>
        <w:t>Franchise relationships between car manufacturers and new car dealers</w:t>
      </w:r>
      <w:bookmarkEnd w:id="0"/>
      <w:bookmarkEnd w:id="1"/>
      <w:bookmarkEnd w:id="2"/>
      <w:bookmarkEnd w:id="3"/>
      <w:bookmarkEnd w:id="4"/>
      <w:bookmarkEnd w:id="5"/>
      <w:bookmarkEnd w:id="6"/>
    </w:p>
    <w:p w14:paraId="3F1D099B" w14:textId="77777777" w:rsidR="00ED261F" w:rsidRDefault="00ED261F" w:rsidP="00ED261F"/>
    <w:p w14:paraId="3F1D099C" w14:textId="77777777" w:rsidR="00ED261F" w:rsidRDefault="00ED261F" w:rsidP="00ED261F"/>
    <w:p w14:paraId="3F1D099D" w14:textId="77777777" w:rsidR="00ED261F" w:rsidRDefault="00ED261F" w:rsidP="00ED261F"/>
    <w:p w14:paraId="3F1D099E" w14:textId="77777777" w:rsidR="00ED261F" w:rsidRDefault="001A6DE0" w:rsidP="001A6DE0">
      <w:pPr>
        <w:tabs>
          <w:tab w:val="left" w:pos="5000"/>
        </w:tabs>
      </w:pPr>
      <w:r>
        <w:tab/>
      </w:r>
    </w:p>
    <w:p w14:paraId="3F1D099F" w14:textId="77777777" w:rsidR="00ED261F" w:rsidRDefault="00ED261F" w:rsidP="00ED261F"/>
    <w:p w14:paraId="3F1D09A1" w14:textId="77777777" w:rsidR="00D836A4" w:rsidRPr="00B15071" w:rsidRDefault="00D836A4">
      <w:pPr>
        <w:rPr>
          <w:rFonts w:ascii="Arial" w:hAnsi="Arial"/>
          <w:color w:val="005677"/>
          <w:sz w:val="52"/>
          <w:szCs w:val="52"/>
        </w:rPr>
      </w:pPr>
      <w:r>
        <w:rPr>
          <w:rFonts w:ascii="Arial" w:hAnsi="Arial"/>
          <w:color w:val="005677"/>
          <w:sz w:val="52"/>
          <w:szCs w:val="52"/>
        </w:rPr>
        <w:br w:type="page"/>
      </w:r>
    </w:p>
    <w:p w14:paraId="3F1D09A2" w14:textId="77777777" w:rsidR="00B16AB7" w:rsidRPr="004944B5" w:rsidRDefault="11FF59B9" w:rsidP="11FF59B9">
      <w:pPr>
        <w:rPr>
          <w:rFonts w:ascii="Arial" w:hAnsi="Arial" w:cs="Arial"/>
          <w:b/>
          <w:bCs/>
        </w:rPr>
      </w:pPr>
      <w:r w:rsidRPr="11FF59B9">
        <w:rPr>
          <w:rFonts w:ascii="Arial" w:hAnsi="Arial" w:cs="Arial"/>
          <w:b/>
          <w:bCs/>
        </w:rPr>
        <w:lastRenderedPageBreak/>
        <w:t>Disclaimer:</w:t>
      </w:r>
    </w:p>
    <w:p w14:paraId="3F1D09A3" w14:textId="6C41EE93" w:rsidR="00B16AB7" w:rsidRPr="004944B5" w:rsidRDefault="11FF59B9" w:rsidP="11FF59B9">
      <w:pPr>
        <w:rPr>
          <w:rFonts w:ascii="Arial" w:hAnsi="Arial" w:cs="Arial"/>
        </w:rPr>
      </w:pPr>
      <w:r w:rsidRPr="11FF59B9">
        <w:rPr>
          <w:rFonts w:ascii="Arial" w:hAnsi="Arial" w:cs="Arial"/>
        </w:rPr>
        <w:t xml:space="preserve">The Australian Government as represented by the </w:t>
      </w:r>
      <w:r w:rsidR="006E73BB">
        <w:rPr>
          <w:rFonts w:ascii="Arial" w:hAnsi="Arial" w:cs="Arial"/>
        </w:rPr>
        <w:t>Department of Industry, Science, Energy and Resources</w:t>
      </w:r>
      <w:r w:rsidRPr="11FF59B9">
        <w:rPr>
          <w:rFonts w:ascii="Arial" w:hAnsi="Arial" w:cs="Arial"/>
        </w:rPr>
        <w:t xml:space="preserve"> has exercised due care and skill in the preparation and compilation of the information and data in this publication.</w:t>
      </w:r>
    </w:p>
    <w:p w14:paraId="3F1D09A4" w14:textId="77777777" w:rsidR="00B16AB7" w:rsidRPr="004944B5" w:rsidRDefault="11FF59B9" w:rsidP="11FF59B9">
      <w:pPr>
        <w:rPr>
          <w:rFonts w:ascii="Arial" w:hAnsi="Arial" w:cs="Arial"/>
          <w:b/>
          <w:bCs/>
        </w:rPr>
      </w:pPr>
      <w:r w:rsidRPr="11FF59B9">
        <w:rPr>
          <w:rFonts w:ascii="Arial" w:hAnsi="Arial" w:cs="Arial"/>
        </w:rPr>
        <w:t>Notwithstanding, the Commonwealth of Australia, its officers, employees, or agents disclaim any liability, including liability for negligence, loss howsoever caused, damage, injury, expense or cost incurred by any person as a result of accessing, using or relying upon any of the information or data in this publication to the maximum extent permitted by law. No representation expressed or implied is made as to the currency, accuracy, reliability or completeness of the information contained in this publication. The reader should rely on their own inquiries to independently confirm the information and comment on which they intend to act. This publication does not indicate commitment by the Australian Government to a particular course of action.</w:t>
      </w:r>
    </w:p>
    <w:p w14:paraId="3F1D09A5" w14:textId="77777777" w:rsidR="0015557E" w:rsidRPr="00DC2537" w:rsidRDefault="0015557E" w:rsidP="0015557E">
      <w:pPr>
        <w:rPr>
          <w:color w:val="005677"/>
          <w:highlight w:val="yellow"/>
        </w:rPr>
      </w:pPr>
    </w:p>
    <w:p w14:paraId="3F1D09A6" w14:textId="77777777" w:rsidR="0015557E" w:rsidRPr="00DC2537" w:rsidRDefault="0015557E" w:rsidP="0015557E">
      <w:pPr>
        <w:rPr>
          <w:color w:val="005677"/>
          <w:highlight w:val="yellow"/>
        </w:rPr>
      </w:pPr>
    </w:p>
    <w:p w14:paraId="3F1D09A7" w14:textId="77777777" w:rsidR="0015557E" w:rsidRPr="00DC2537" w:rsidRDefault="0015557E" w:rsidP="0015557E">
      <w:pPr>
        <w:rPr>
          <w:color w:val="005677"/>
          <w:highlight w:val="yellow"/>
        </w:rPr>
      </w:pPr>
    </w:p>
    <w:p w14:paraId="3F1D09A8" w14:textId="77777777" w:rsidR="0015557E" w:rsidRPr="00DC2537" w:rsidRDefault="0015557E" w:rsidP="0015557E">
      <w:pPr>
        <w:rPr>
          <w:color w:val="005677"/>
          <w:highlight w:val="yellow"/>
        </w:rPr>
      </w:pPr>
    </w:p>
    <w:p w14:paraId="3F1D09A9" w14:textId="77777777" w:rsidR="0015557E" w:rsidRPr="00DC2537" w:rsidRDefault="0015557E" w:rsidP="0015557E">
      <w:pPr>
        <w:rPr>
          <w:color w:val="005677"/>
          <w:highlight w:val="yellow"/>
        </w:rPr>
      </w:pPr>
    </w:p>
    <w:p w14:paraId="3F1D09AA" w14:textId="72ADA333" w:rsidR="0015557E" w:rsidRPr="005866B6" w:rsidRDefault="11FF59B9" w:rsidP="11FF59B9">
      <w:pPr>
        <w:rPr>
          <w:rFonts w:ascii="Arial" w:hAnsi="Arial" w:cs="Arial"/>
          <w:lang w:val="en"/>
        </w:rPr>
      </w:pPr>
      <w:r w:rsidRPr="11FF59B9">
        <w:rPr>
          <w:rFonts w:ascii="Arial" w:hAnsi="Arial" w:cs="Arial"/>
          <w:lang w:val="en"/>
        </w:rPr>
        <w:t>© Commonwealth of Australia 20</w:t>
      </w:r>
      <w:r w:rsidR="006E73BB">
        <w:rPr>
          <w:rFonts w:ascii="Arial" w:hAnsi="Arial" w:cs="Arial"/>
          <w:lang w:val="en"/>
        </w:rPr>
        <w:t>2</w:t>
      </w:r>
      <w:r w:rsidR="00F84647">
        <w:rPr>
          <w:rFonts w:ascii="Arial" w:hAnsi="Arial" w:cs="Arial"/>
          <w:lang w:val="en"/>
        </w:rPr>
        <w:t>0</w:t>
      </w:r>
      <w:bookmarkStart w:id="7" w:name="_GoBack"/>
      <w:bookmarkEnd w:id="7"/>
    </w:p>
    <w:p w14:paraId="3F1D09AB" w14:textId="77777777" w:rsidR="0015557E" w:rsidRPr="005866B6" w:rsidRDefault="11FF59B9" w:rsidP="11FF59B9">
      <w:pPr>
        <w:rPr>
          <w:rFonts w:ascii="Arial" w:hAnsi="Arial" w:cs="Arial"/>
          <w:lang w:val="en"/>
        </w:rPr>
      </w:pPr>
      <w:r w:rsidRPr="11FF59B9">
        <w:rPr>
          <w:rFonts w:ascii="Arial" w:hAnsi="Arial" w:cs="Arial"/>
          <w:lang w:val="en"/>
        </w:rPr>
        <w:t>Ownership of intellectual property rights</w:t>
      </w:r>
    </w:p>
    <w:p w14:paraId="3F1D09AC" w14:textId="77777777" w:rsidR="0015557E" w:rsidRPr="005866B6" w:rsidRDefault="11FF59B9" w:rsidP="11FF59B9">
      <w:pPr>
        <w:rPr>
          <w:rFonts w:ascii="Arial" w:hAnsi="Arial" w:cs="Arial"/>
          <w:lang w:val="en"/>
        </w:rPr>
      </w:pPr>
      <w:r w:rsidRPr="11FF59B9">
        <w:rPr>
          <w:rFonts w:ascii="Arial" w:hAnsi="Arial" w:cs="Arial"/>
          <w:lang w:val="en"/>
        </w:rPr>
        <w:t>Unless otherwise noted, copyright (and any other intellectual property rights, if any) in this publication is owned by the Commonwealth of Australia.</w:t>
      </w:r>
    </w:p>
    <w:p w14:paraId="3F1D09AE" w14:textId="28F8E353" w:rsidR="0015557E" w:rsidRPr="005866B6" w:rsidRDefault="0015557E" w:rsidP="11FF59B9">
      <w:pPr>
        <w:rPr>
          <w:rFonts w:ascii="Arial" w:hAnsi="Arial" w:cs="Arial"/>
          <w:lang w:val="en"/>
        </w:rPr>
      </w:pPr>
      <w:r>
        <w:rPr>
          <w:noProof/>
          <w:lang w:eastAsia="en-AU"/>
        </w:rPr>
        <w:drawing>
          <wp:inline distT="0" distB="0" distL="0" distR="0" wp14:anchorId="3F1D0BDF" wp14:editId="3F1D0BE0">
            <wp:extent cx="840105" cy="297815"/>
            <wp:effectExtent l="0" t="0" r="0" b="6985"/>
            <wp:docPr id="2030274931" name="picture" title="CC F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2">
                      <a:extLst>
                        <a:ext uri="{28A0092B-C50C-407E-A947-70E740481C1C}">
                          <a14:useLocalDpi xmlns:a14="http://schemas.microsoft.com/office/drawing/2010/main" val="0"/>
                        </a:ext>
                      </a:extLst>
                    </a:blip>
                    <a:stretch>
                      <a:fillRect/>
                    </a:stretch>
                  </pic:blipFill>
                  <pic:spPr>
                    <a:xfrm>
                      <a:off x="0" y="0"/>
                      <a:ext cx="840105" cy="297815"/>
                    </a:xfrm>
                    <a:prstGeom prst="rect">
                      <a:avLst/>
                    </a:prstGeom>
                  </pic:spPr>
                </pic:pic>
              </a:graphicData>
            </a:graphic>
          </wp:inline>
        </w:drawing>
      </w:r>
      <w:r w:rsidR="11FF59B9" w:rsidRPr="11FF59B9">
        <w:rPr>
          <w:rFonts w:ascii="Arial" w:hAnsi="Arial" w:cs="Arial"/>
          <w:lang w:val="en"/>
        </w:rPr>
        <w:t> Creative Commons licence</w:t>
      </w:r>
      <w:r>
        <w:br/>
      </w:r>
      <w:r w:rsidR="11FF59B9" w:rsidRPr="11FF59B9">
        <w:rPr>
          <w:rFonts w:ascii="Arial" w:hAnsi="Arial" w:cs="Arial"/>
          <w:lang w:val="en"/>
        </w:rPr>
        <w:t>All material in this publication is licensed under a Creative Commons Attribution 3.0 Australia Licence, save for content supplied by third parties, logos, any material protected by trademark or otherwise noted in this publication, and the Commonwealth Coat of Arms.</w:t>
      </w:r>
    </w:p>
    <w:p w14:paraId="3F1D09AF" w14:textId="77777777" w:rsidR="0015557E" w:rsidRPr="005866B6" w:rsidRDefault="11FF59B9" w:rsidP="11FF59B9">
      <w:pPr>
        <w:rPr>
          <w:rFonts w:ascii="Arial" w:hAnsi="Arial" w:cs="Arial"/>
          <w:color w:val="005677"/>
          <w:lang w:val="en"/>
        </w:rPr>
      </w:pPr>
      <w:r w:rsidRPr="11FF59B9">
        <w:rPr>
          <w:rFonts w:ascii="Arial" w:hAnsi="Arial" w:cs="Arial"/>
          <w:lang w:val="en"/>
        </w:rPr>
        <w:t xml:space="preserve">Creative Commons Attribution 3.0 Australia Licence is a standard form licence agreement that allows you to copy, distribute, transmit and adapt this publication provided you attribute the work. A summary of the licence terms is available from </w:t>
      </w:r>
      <w:hyperlink r:id="rId13">
        <w:r w:rsidRPr="11FF59B9">
          <w:rPr>
            <w:rStyle w:val="Hyperlink"/>
            <w:rFonts w:ascii="Arial" w:hAnsi="Arial" w:cs="Arial"/>
            <w:lang w:val="en"/>
          </w:rPr>
          <w:t>http://creativecommons.org/licenses/by/3.0/au/</w:t>
        </w:r>
      </w:hyperlink>
      <w:r w:rsidRPr="11FF59B9">
        <w:rPr>
          <w:rFonts w:ascii="Arial" w:hAnsi="Arial" w:cs="Arial"/>
          <w:lang w:val="en"/>
        </w:rPr>
        <w:t xml:space="preserve">. The full licence terms are available from </w:t>
      </w:r>
      <w:hyperlink r:id="rId14">
        <w:r w:rsidRPr="11FF59B9">
          <w:rPr>
            <w:rStyle w:val="Hyperlink"/>
            <w:rFonts w:ascii="Arial" w:hAnsi="Arial" w:cs="Arial"/>
            <w:lang w:val="en"/>
          </w:rPr>
          <w:t>http://creativecommons.org/licenses/by/3.0/au/legalcode</w:t>
        </w:r>
      </w:hyperlink>
      <w:r w:rsidRPr="11FF59B9">
        <w:rPr>
          <w:rFonts w:ascii="Arial" w:hAnsi="Arial" w:cs="Arial"/>
          <w:color w:val="005677"/>
          <w:lang w:val="en"/>
        </w:rPr>
        <w:t>.</w:t>
      </w:r>
    </w:p>
    <w:p w14:paraId="3F1D09B0" w14:textId="6767603B" w:rsidR="0015557E" w:rsidRPr="002803BC" w:rsidRDefault="11FF59B9" w:rsidP="11FF59B9">
      <w:pPr>
        <w:rPr>
          <w:rFonts w:ascii="Arial" w:hAnsi="Arial" w:cs="Arial"/>
          <w:lang w:val="en"/>
        </w:rPr>
      </w:pPr>
      <w:r w:rsidRPr="002803BC">
        <w:rPr>
          <w:rFonts w:ascii="Arial" w:hAnsi="Arial" w:cs="Arial"/>
          <w:lang w:val="en"/>
        </w:rPr>
        <w:t xml:space="preserve">Content contained herein should be attributed as </w:t>
      </w:r>
      <w:r w:rsidR="006E73BB">
        <w:rPr>
          <w:rFonts w:ascii="Arial" w:hAnsi="Arial" w:cs="Arial"/>
          <w:lang w:val="en"/>
        </w:rPr>
        <w:t>Department of Industry, Science, Energy and Resources</w:t>
      </w:r>
      <w:r w:rsidRPr="002803BC">
        <w:rPr>
          <w:rFonts w:ascii="Arial" w:hAnsi="Arial" w:cs="Arial"/>
          <w:lang w:val="en"/>
        </w:rPr>
        <w:t xml:space="preserve"> 20</w:t>
      </w:r>
      <w:r w:rsidR="006E73BB">
        <w:rPr>
          <w:rFonts w:ascii="Arial" w:hAnsi="Arial" w:cs="Arial"/>
          <w:lang w:val="en"/>
        </w:rPr>
        <w:t>20</w:t>
      </w:r>
      <w:r w:rsidRPr="002803BC">
        <w:rPr>
          <w:rFonts w:ascii="Arial" w:hAnsi="Arial" w:cs="Arial"/>
          <w:lang w:val="en"/>
        </w:rPr>
        <w:t xml:space="preserve">, </w:t>
      </w:r>
      <w:r w:rsidRPr="0040566B">
        <w:rPr>
          <w:rFonts w:ascii="Arial" w:hAnsi="Arial" w:cs="Arial"/>
          <w:i/>
          <w:iCs/>
          <w:lang w:val="en"/>
        </w:rPr>
        <w:t>Regulation Impact Statement: Franchise relationships between distributors and new car dealers</w:t>
      </w:r>
      <w:r w:rsidRPr="002803BC">
        <w:rPr>
          <w:rFonts w:ascii="Arial" w:hAnsi="Arial" w:cs="Arial"/>
          <w:lang w:val="en"/>
        </w:rPr>
        <w:t xml:space="preserve">, </w:t>
      </w:r>
      <w:r w:rsidR="006E73BB">
        <w:rPr>
          <w:rFonts w:ascii="Arial" w:hAnsi="Arial" w:cs="Arial"/>
          <w:lang w:val="en"/>
        </w:rPr>
        <w:t>February 2020</w:t>
      </w:r>
      <w:r w:rsidRPr="002803BC">
        <w:rPr>
          <w:rFonts w:ascii="Arial" w:hAnsi="Arial" w:cs="Arial"/>
          <w:lang w:val="en"/>
        </w:rPr>
        <w:t xml:space="preserve">, </w:t>
      </w:r>
      <w:r w:rsidR="006E73BB">
        <w:rPr>
          <w:rFonts w:ascii="Arial" w:hAnsi="Arial" w:cs="Arial"/>
          <w:lang w:val="en"/>
        </w:rPr>
        <w:t>DISER</w:t>
      </w:r>
      <w:r w:rsidRPr="002803BC">
        <w:rPr>
          <w:rFonts w:ascii="Arial" w:hAnsi="Arial" w:cs="Arial"/>
          <w:lang w:val="en"/>
        </w:rPr>
        <w:t>.</w:t>
      </w:r>
    </w:p>
    <w:p w14:paraId="3F1D09B1" w14:textId="04F7A603" w:rsidR="007308E7" w:rsidRPr="005866B6" w:rsidRDefault="11FF59B9" w:rsidP="11FF59B9">
      <w:pPr>
        <w:rPr>
          <w:lang w:val="en"/>
        </w:rPr>
      </w:pPr>
      <w:r w:rsidRPr="11FF59B9">
        <w:rPr>
          <w:rFonts w:ascii="Arial" w:hAnsi="Arial" w:cs="Arial"/>
          <w:lang w:val="en"/>
        </w:rPr>
        <w:t>This notice excludes the Commonwealth Coat of Arms, any logos and any material protected by trade mark or otherwise noted in the publication, from the application of the Creative Commons licence. These are all forms of property which the Commonwealth cannot or usually would not licence others to use.</w:t>
      </w:r>
      <w:r w:rsidRPr="11FF59B9">
        <w:rPr>
          <w:lang w:val="en"/>
        </w:rPr>
        <w:t xml:space="preserve"> </w:t>
      </w:r>
    </w:p>
    <w:p w14:paraId="3F1D09B2" w14:textId="77777777" w:rsidR="00131EAC" w:rsidRDefault="007308E7" w:rsidP="00131EAC">
      <w:pPr>
        <w:pStyle w:val="FrontMatter"/>
      </w:pPr>
      <w:r w:rsidRPr="11FF59B9">
        <w:rPr>
          <w:highlight w:val="yellow"/>
        </w:rPr>
        <w:br w:type="page"/>
      </w:r>
      <w:bookmarkStart w:id="8" w:name="_Toc20489933"/>
      <w:r w:rsidR="00863621">
        <w:lastRenderedPageBreak/>
        <w:t>Preface</w:t>
      </w:r>
      <w:bookmarkEnd w:id="8"/>
    </w:p>
    <w:p w14:paraId="3F1D09CD" w14:textId="77777777" w:rsidR="002E5FF1" w:rsidRPr="002E5FF1" w:rsidRDefault="002E5FF1" w:rsidP="002E5FF1">
      <w:pPr>
        <w:rPr>
          <w:rFonts w:ascii="Arial" w:hAnsi="Arial" w:cs="Arial"/>
          <w:highlight w:val="yellow"/>
        </w:rPr>
      </w:pPr>
    </w:p>
    <w:sdt>
      <w:sdtPr>
        <w:rPr>
          <w:rFonts w:asciiTheme="minorHAnsi" w:eastAsiaTheme="minorHAnsi" w:hAnsiTheme="minorHAnsi" w:cstheme="minorBidi"/>
          <w:color w:val="auto"/>
          <w:sz w:val="22"/>
          <w:szCs w:val="22"/>
          <w:lang w:val="en-AU"/>
        </w:rPr>
        <w:id w:val="917377990"/>
        <w:docPartObj>
          <w:docPartGallery w:val="Table of Contents"/>
          <w:docPartUnique/>
        </w:docPartObj>
      </w:sdtPr>
      <w:sdtEndPr>
        <w:rPr>
          <w:b/>
          <w:bCs/>
          <w:noProof/>
        </w:rPr>
      </w:sdtEndPr>
      <w:sdtContent>
        <w:p w14:paraId="3F1D09CE" w14:textId="77777777" w:rsidR="002E5FF1" w:rsidRPr="002E5FF1" w:rsidRDefault="002E5FF1">
          <w:pPr>
            <w:pStyle w:val="TOCHeading"/>
            <w:rPr>
              <w:rFonts w:ascii="Arial" w:hAnsi="Arial" w:cs="Arial"/>
              <w:sz w:val="52"/>
            </w:rPr>
          </w:pPr>
          <w:r w:rsidRPr="002E5FF1">
            <w:rPr>
              <w:rFonts w:ascii="Arial" w:hAnsi="Arial" w:cs="Arial"/>
              <w:sz w:val="52"/>
            </w:rPr>
            <w:t>Contents</w:t>
          </w:r>
        </w:p>
        <w:p w14:paraId="46515D0A" w14:textId="77777777" w:rsidR="00920280" w:rsidRPr="00612C3B" w:rsidRDefault="002E5FF1">
          <w:pPr>
            <w:pStyle w:val="TOC1"/>
            <w:tabs>
              <w:tab w:val="right" w:leader="dot" w:pos="9016"/>
            </w:tabs>
            <w:rPr>
              <w:rFonts w:ascii="Arial" w:eastAsiaTheme="minorEastAsia" w:hAnsi="Arial" w:cs="Arial"/>
              <w:noProof/>
              <w:lang w:eastAsia="en-AU"/>
            </w:rPr>
          </w:pPr>
          <w:r>
            <w:rPr>
              <w:b/>
              <w:bCs/>
              <w:noProof/>
            </w:rPr>
            <w:fldChar w:fldCharType="begin"/>
          </w:r>
          <w:r>
            <w:rPr>
              <w:b/>
              <w:bCs/>
              <w:noProof/>
            </w:rPr>
            <w:instrText xml:space="preserve"> TOC \o "1-3" \h \z \u </w:instrText>
          </w:r>
          <w:r>
            <w:rPr>
              <w:b/>
              <w:bCs/>
              <w:noProof/>
            </w:rPr>
            <w:fldChar w:fldCharType="separate"/>
          </w:r>
          <w:hyperlink w:anchor="_Toc20489932" w:history="1">
            <w:r w:rsidR="00920280" w:rsidRPr="00612C3B">
              <w:rPr>
                <w:rStyle w:val="Hyperlink"/>
                <w:rFonts w:ascii="Arial" w:hAnsi="Arial" w:cs="Arial"/>
                <w:noProof/>
              </w:rPr>
              <w:t>Franchise relationships between car manufacturers and new car dealers</w:t>
            </w:r>
            <w:r w:rsidR="00920280" w:rsidRPr="00612C3B">
              <w:rPr>
                <w:rFonts w:ascii="Arial" w:hAnsi="Arial" w:cs="Arial"/>
                <w:noProof/>
                <w:webHidden/>
              </w:rPr>
              <w:tab/>
            </w:r>
            <w:r w:rsidR="00920280" w:rsidRPr="00612C3B">
              <w:rPr>
                <w:rFonts w:ascii="Arial" w:hAnsi="Arial" w:cs="Arial"/>
                <w:noProof/>
                <w:webHidden/>
              </w:rPr>
              <w:fldChar w:fldCharType="begin"/>
            </w:r>
            <w:r w:rsidR="00920280" w:rsidRPr="00612C3B">
              <w:rPr>
                <w:rFonts w:ascii="Arial" w:hAnsi="Arial" w:cs="Arial"/>
                <w:noProof/>
                <w:webHidden/>
              </w:rPr>
              <w:instrText xml:space="preserve"> PAGEREF _Toc20489932 \h </w:instrText>
            </w:r>
            <w:r w:rsidR="00920280" w:rsidRPr="00612C3B">
              <w:rPr>
                <w:rFonts w:ascii="Arial" w:hAnsi="Arial" w:cs="Arial"/>
                <w:noProof/>
                <w:webHidden/>
              </w:rPr>
            </w:r>
            <w:r w:rsidR="00920280" w:rsidRPr="00612C3B">
              <w:rPr>
                <w:rFonts w:ascii="Arial" w:hAnsi="Arial" w:cs="Arial"/>
                <w:noProof/>
                <w:webHidden/>
              </w:rPr>
              <w:fldChar w:fldCharType="separate"/>
            </w:r>
            <w:r w:rsidR="00EA3759">
              <w:rPr>
                <w:rFonts w:ascii="Arial" w:hAnsi="Arial" w:cs="Arial"/>
                <w:noProof/>
                <w:webHidden/>
              </w:rPr>
              <w:t>1</w:t>
            </w:r>
            <w:r w:rsidR="00920280" w:rsidRPr="00612C3B">
              <w:rPr>
                <w:rFonts w:ascii="Arial" w:hAnsi="Arial" w:cs="Arial"/>
                <w:noProof/>
                <w:webHidden/>
              </w:rPr>
              <w:fldChar w:fldCharType="end"/>
            </w:r>
          </w:hyperlink>
        </w:p>
        <w:p w14:paraId="3A6B2C37" w14:textId="77777777" w:rsidR="00920280" w:rsidRPr="00612C3B" w:rsidRDefault="00F84647">
          <w:pPr>
            <w:pStyle w:val="TOC1"/>
            <w:tabs>
              <w:tab w:val="right" w:leader="dot" w:pos="9016"/>
            </w:tabs>
            <w:rPr>
              <w:rFonts w:ascii="Arial" w:eastAsiaTheme="minorEastAsia" w:hAnsi="Arial" w:cs="Arial"/>
              <w:noProof/>
              <w:lang w:eastAsia="en-AU"/>
            </w:rPr>
          </w:pPr>
          <w:hyperlink w:anchor="_Toc20489933" w:history="1">
            <w:r w:rsidR="00920280" w:rsidRPr="00612C3B">
              <w:rPr>
                <w:rStyle w:val="Hyperlink"/>
                <w:rFonts w:ascii="Arial" w:hAnsi="Arial" w:cs="Arial"/>
                <w:noProof/>
              </w:rPr>
              <w:t>Preface</w:t>
            </w:r>
            <w:r w:rsidR="00920280" w:rsidRPr="00612C3B">
              <w:rPr>
                <w:rFonts w:ascii="Arial" w:hAnsi="Arial" w:cs="Arial"/>
                <w:noProof/>
                <w:webHidden/>
              </w:rPr>
              <w:tab/>
            </w:r>
            <w:r w:rsidR="00920280" w:rsidRPr="00612C3B">
              <w:rPr>
                <w:rFonts w:ascii="Arial" w:hAnsi="Arial" w:cs="Arial"/>
                <w:noProof/>
                <w:webHidden/>
              </w:rPr>
              <w:fldChar w:fldCharType="begin"/>
            </w:r>
            <w:r w:rsidR="00920280" w:rsidRPr="00612C3B">
              <w:rPr>
                <w:rFonts w:ascii="Arial" w:hAnsi="Arial" w:cs="Arial"/>
                <w:noProof/>
                <w:webHidden/>
              </w:rPr>
              <w:instrText xml:space="preserve"> PAGEREF _Toc20489933 \h </w:instrText>
            </w:r>
            <w:r w:rsidR="00920280" w:rsidRPr="00612C3B">
              <w:rPr>
                <w:rFonts w:ascii="Arial" w:hAnsi="Arial" w:cs="Arial"/>
                <w:noProof/>
                <w:webHidden/>
              </w:rPr>
            </w:r>
            <w:r w:rsidR="00920280" w:rsidRPr="00612C3B">
              <w:rPr>
                <w:rFonts w:ascii="Arial" w:hAnsi="Arial" w:cs="Arial"/>
                <w:noProof/>
                <w:webHidden/>
              </w:rPr>
              <w:fldChar w:fldCharType="separate"/>
            </w:r>
            <w:r w:rsidR="00EA3759">
              <w:rPr>
                <w:rFonts w:ascii="Arial" w:hAnsi="Arial" w:cs="Arial"/>
                <w:noProof/>
                <w:webHidden/>
              </w:rPr>
              <w:t>3</w:t>
            </w:r>
            <w:r w:rsidR="00920280" w:rsidRPr="00612C3B">
              <w:rPr>
                <w:rFonts w:ascii="Arial" w:hAnsi="Arial" w:cs="Arial"/>
                <w:noProof/>
                <w:webHidden/>
              </w:rPr>
              <w:fldChar w:fldCharType="end"/>
            </w:r>
          </w:hyperlink>
        </w:p>
        <w:p w14:paraId="3C8BFCD1" w14:textId="77777777" w:rsidR="00920280" w:rsidRPr="00612C3B" w:rsidRDefault="00F84647">
          <w:pPr>
            <w:pStyle w:val="TOC1"/>
            <w:tabs>
              <w:tab w:val="left" w:pos="440"/>
              <w:tab w:val="right" w:leader="dot" w:pos="9016"/>
            </w:tabs>
            <w:rPr>
              <w:rFonts w:ascii="Arial" w:eastAsiaTheme="minorEastAsia" w:hAnsi="Arial" w:cs="Arial"/>
              <w:noProof/>
              <w:lang w:eastAsia="en-AU"/>
            </w:rPr>
          </w:pPr>
          <w:hyperlink w:anchor="_Toc20489934" w:history="1">
            <w:r w:rsidR="00920280" w:rsidRPr="00612C3B">
              <w:rPr>
                <w:rStyle w:val="Hyperlink"/>
                <w:rFonts w:ascii="Arial" w:hAnsi="Arial" w:cs="Arial"/>
                <w:noProof/>
              </w:rPr>
              <w:t>1.</w:t>
            </w:r>
            <w:r w:rsidR="00920280" w:rsidRPr="00612C3B">
              <w:rPr>
                <w:rFonts w:ascii="Arial" w:eastAsiaTheme="minorEastAsia" w:hAnsi="Arial" w:cs="Arial"/>
                <w:noProof/>
                <w:lang w:eastAsia="en-AU"/>
              </w:rPr>
              <w:tab/>
            </w:r>
            <w:r w:rsidR="00920280" w:rsidRPr="00612C3B">
              <w:rPr>
                <w:rStyle w:val="Hyperlink"/>
                <w:rFonts w:ascii="Arial" w:hAnsi="Arial" w:cs="Arial"/>
                <w:noProof/>
              </w:rPr>
              <w:t>Introduction</w:t>
            </w:r>
            <w:r w:rsidR="00920280" w:rsidRPr="00612C3B">
              <w:rPr>
                <w:rFonts w:ascii="Arial" w:hAnsi="Arial" w:cs="Arial"/>
                <w:noProof/>
                <w:webHidden/>
              </w:rPr>
              <w:tab/>
            </w:r>
            <w:r w:rsidR="00920280" w:rsidRPr="00612C3B">
              <w:rPr>
                <w:rFonts w:ascii="Arial" w:hAnsi="Arial" w:cs="Arial"/>
                <w:noProof/>
                <w:webHidden/>
              </w:rPr>
              <w:fldChar w:fldCharType="begin"/>
            </w:r>
            <w:r w:rsidR="00920280" w:rsidRPr="00612C3B">
              <w:rPr>
                <w:rFonts w:ascii="Arial" w:hAnsi="Arial" w:cs="Arial"/>
                <w:noProof/>
                <w:webHidden/>
              </w:rPr>
              <w:instrText xml:space="preserve"> PAGEREF _Toc20489934 \h </w:instrText>
            </w:r>
            <w:r w:rsidR="00920280" w:rsidRPr="00612C3B">
              <w:rPr>
                <w:rFonts w:ascii="Arial" w:hAnsi="Arial" w:cs="Arial"/>
                <w:noProof/>
                <w:webHidden/>
              </w:rPr>
            </w:r>
            <w:r w:rsidR="00920280" w:rsidRPr="00612C3B">
              <w:rPr>
                <w:rFonts w:ascii="Arial" w:hAnsi="Arial" w:cs="Arial"/>
                <w:noProof/>
                <w:webHidden/>
              </w:rPr>
              <w:fldChar w:fldCharType="separate"/>
            </w:r>
            <w:r w:rsidR="00EA3759">
              <w:rPr>
                <w:rFonts w:ascii="Arial" w:hAnsi="Arial" w:cs="Arial"/>
                <w:noProof/>
                <w:webHidden/>
              </w:rPr>
              <w:t>4</w:t>
            </w:r>
            <w:r w:rsidR="00920280" w:rsidRPr="00612C3B">
              <w:rPr>
                <w:rFonts w:ascii="Arial" w:hAnsi="Arial" w:cs="Arial"/>
                <w:noProof/>
                <w:webHidden/>
              </w:rPr>
              <w:fldChar w:fldCharType="end"/>
            </w:r>
          </w:hyperlink>
        </w:p>
        <w:p w14:paraId="616EB8AA" w14:textId="77777777" w:rsidR="00920280" w:rsidRPr="00612C3B" w:rsidRDefault="00F84647">
          <w:pPr>
            <w:pStyle w:val="TOC1"/>
            <w:tabs>
              <w:tab w:val="left" w:pos="440"/>
              <w:tab w:val="right" w:leader="dot" w:pos="9016"/>
            </w:tabs>
            <w:rPr>
              <w:rFonts w:ascii="Arial" w:eastAsiaTheme="minorEastAsia" w:hAnsi="Arial" w:cs="Arial"/>
              <w:noProof/>
              <w:lang w:eastAsia="en-AU"/>
            </w:rPr>
          </w:pPr>
          <w:hyperlink w:anchor="_Toc20489935" w:history="1">
            <w:r w:rsidR="00920280" w:rsidRPr="00612C3B">
              <w:rPr>
                <w:rStyle w:val="Hyperlink"/>
                <w:rFonts w:ascii="Arial" w:hAnsi="Arial" w:cs="Arial"/>
                <w:noProof/>
              </w:rPr>
              <w:t>2.</w:t>
            </w:r>
            <w:r w:rsidR="00920280" w:rsidRPr="00612C3B">
              <w:rPr>
                <w:rFonts w:ascii="Arial" w:eastAsiaTheme="minorEastAsia" w:hAnsi="Arial" w:cs="Arial"/>
                <w:noProof/>
                <w:lang w:eastAsia="en-AU"/>
              </w:rPr>
              <w:tab/>
            </w:r>
            <w:r w:rsidR="00920280" w:rsidRPr="00612C3B">
              <w:rPr>
                <w:rStyle w:val="Hyperlink"/>
                <w:rFonts w:ascii="Arial" w:hAnsi="Arial" w:cs="Arial"/>
                <w:noProof/>
              </w:rPr>
              <w:t>Overview of this Regulation Impact Statement</w:t>
            </w:r>
            <w:r w:rsidR="00920280" w:rsidRPr="00612C3B">
              <w:rPr>
                <w:rFonts w:ascii="Arial" w:hAnsi="Arial" w:cs="Arial"/>
                <w:noProof/>
                <w:webHidden/>
              </w:rPr>
              <w:tab/>
            </w:r>
            <w:r w:rsidR="00920280" w:rsidRPr="00612C3B">
              <w:rPr>
                <w:rFonts w:ascii="Arial" w:hAnsi="Arial" w:cs="Arial"/>
                <w:noProof/>
                <w:webHidden/>
              </w:rPr>
              <w:fldChar w:fldCharType="begin"/>
            </w:r>
            <w:r w:rsidR="00920280" w:rsidRPr="00612C3B">
              <w:rPr>
                <w:rFonts w:ascii="Arial" w:hAnsi="Arial" w:cs="Arial"/>
                <w:noProof/>
                <w:webHidden/>
              </w:rPr>
              <w:instrText xml:space="preserve"> PAGEREF _Toc20489935 \h </w:instrText>
            </w:r>
            <w:r w:rsidR="00920280" w:rsidRPr="00612C3B">
              <w:rPr>
                <w:rFonts w:ascii="Arial" w:hAnsi="Arial" w:cs="Arial"/>
                <w:noProof/>
                <w:webHidden/>
              </w:rPr>
            </w:r>
            <w:r w:rsidR="00920280" w:rsidRPr="00612C3B">
              <w:rPr>
                <w:rFonts w:ascii="Arial" w:hAnsi="Arial" w:cs="Arial"/>
                <w:noProof/>
                <w:webHidden/>
              </w:rPr>
              <w:fldChar w:fldCharType="separate"/>
            </w:r>
            <w:r w:rsidR="00EA3759">
              <w:rPr>
                <w:rFonts w:ascii="Arial" w:hAnsi="Arial" w:cs="Arial"/>
                <w:noProof/>
                <w:webHidden/>
              </w:rPr>
              <w:t>6</w:t>
            </w:r>
            <w:r w:rsidR="00920280" w:rsidRPr="00612C3B">
              <w:rPr>
                <w:rFonts w:ascii="Arial" w:hAnsi="Arial" w:cs="Arial"/>
                <w:noProof/>
                <w:webHidden/>
              </w:rPr>
              <w:fldChar w:fldCharType="end"/>
            </w:r>
          </w:hyperlink>
        </w:p>
        <w:p w14:paraId="6FAF2A52" w14:textId="77777777" w:rsidR="00920280" w:rsidRPr="00612C3B" w:rsidRDefault="00F84647">
          <w:pPr>
            <w:pStyle w:val="TOC1"/>
            <w:tabs>
              <w:tab w:val="left" w:pos="440"/>
              <w:tab w:val="right" w:leader="dot" w:pos="9016"/>
            </w:tabs>
            <w:rPr>
              <w:rFonts w:ascii="Arial" w:eastAsiaTheme="minorEastAsia" w:hAnsi="Arial" w:cs="Arial"/>
              <w:noProof/>
              <w:lang w:eastAsia="en-AU"/>
            </w:rPr>
          </w:pPr>
          <w:hyperlink w:anchor="_Toc20489936" w:history="1">
            <w:r w:rsidR="00920280" w:rsidRPr="00612C3B">
              <w:rPr>
                <w:rStyle w:val="Hyperlink"/>
                <w:rFonts w:ascii="Arial" w:hAnsi="Arial" w:cs="Arial"/>
                <w:noProof/>
              </w:rPr>
              <w:t>3.</w:t>
            </w:r>
            <w:r w:rsidR="00920280" w:rsidRPr="00612C3B">
              <w:rPr>
                <w:rFonts w:ascii="Arial" w:eastAsiaTheme="minorEastAsia" w:hAnsi="Arial" w:cs="Arial"/>
                <w:noProof/>
                <w:lang w:eastAsia="en-AU"/>
              </w:rPr>
              <w:tab/>
            </w:r>
            <w:r w:rsidR="00920280" w:rsidRPr="00612C3B">
              <w:rPr>
                <w:rStyle w:val="Hyperlink"/>
                <w:rFonts w:ascii="Arial" w:hAnsi="Arial" w:cs="Arial"/>
                <w:noProof/>
              </w:rPr>
              <w:t>Background</w:t>
            </w:r>
            <w:r w:rsidR="00920280" w:rsidRPr="00612C3B">
              <w:rPr>
                <w:rFonts w:ascii="Arial" w:hAnsi="Arial" w:cs="Arial"/>
                <w:noProof/>
                <w:webHidden/>
              </w:rPr>
              <w:tab/>
            </w:r>
            <w:r w:rsidR="00920280" w:rsidRPr="00612C3B">
              <w:rPr>
                <w:rFonts w:ascii="Arial" w:hAnsi="Arial" w:cs="Arial"/>
                <w:noProof/>
                <w:webHidden/>
              </w:rPr>
              <w:fldChar w:fldCharType="begin"/>
            </w:r>
            <w:r w:rsidR="00920280" w:rsidRPr="00612C3B">
              <w:rPr>
                <w:rFonts w:ascii="Arial" w:hAnsi="Arial" w:cs="Arial"/>
                <w:noProof/>
                <w:webHidden/>
              </w:rPr>
              <w:instrText xml:space="preserve"> PAGEREF _Toc20489936 \h </w:instrText>
            </w:r>
            <w:r w:rsidR="00920280" w:rsidRPr="00612C3B">
              <w:rPr>
                <w:rFonts w:ascii="Arial" w:hAnsi="Arial" w:cs="Arial"/>
                <w:noProof/>
                <w:webHidden/>
              </w:rPr>
            </w:r>
            <w:r w:rsidR="00920280" w:rsidRPr="00612C3B">
              <w:rPr>
                <w:rFonts w:ascii="Arial" w:hAnsi="Arial" w:cs="Arial"/>
                <w:noProof/>
                <w:webHidden/>
              </w:rPr>
              <w:fldChar w:fldCharType="separate"/>
            </w:r>
            <w:r w:rsidR="00EA3759">
              <w:rPr>
                <w:rFonts w:ascii="Arial" w:hAnsi="Arial" w:cs="Arial"/>
                <w:noProof/>
                <w:webHidden/>
              </w:rPr>
              <w:t>7</w:t>
            </w:r>
            <w:r w:rsidR="00920280" w:rsidRPr="00612C3B">
              <w:rPr>
                <w:rFonts w:ascii="Arial" w:hAnsi="Arial" w:cs="Arial"/>
                <w:noProof/>
                <w:webHidden/>
              </w:rPr>
              <w:fldChar w:fldCharType="end"/>
            </w:r>
          </w:hyperlink>
        </w:p>
        <w:p w14:paraId="2DF78074" w14:textId="77777777" w:rsidR="00920280" w:rsidRPr="00612C3B" w:rsidRDefault="00F84647">
          <w:pPr>
            <w:pStyle w:val="TOC1"/>
            <w:tabs>
              <w:tab w:val="left" w:pos="440"/>
              <w:tab w:val="right" w:leader="dot" w:pos="9016"/>
            </w:tabs>
            <w:rPr>
              <w:rFonts w:ascii="Arial" w:eastAsiaTheme="minorEastAsia" w:hAnsi="Arial" w:cs="Arial"/>
              <w:noProof/>
              <w:lang w:eastAsia="en-AU"/>
            </w:rPr>
          </w:pPr>
          <w:hyperlink w:anchor="_Toc20489937" w:history="1">
            <w:r w:rsidR="00920280" w:rsidRPr="00612C3B">
              <w:rPr>
                <w:rStyle w:val="Hyperlink"/>
                <w:rFonts w:ascii="Arial" w:hAnsi="Arial" w:cs="Arial"/>
                <w:noProof/>
              </w:rPr>
              <w:t>4.</w:t>
            </w:r>
            <w:r w:rsidR="00920280" w:rsidRPr="00612C3B">
              <w:rPr>
                <w:rFonts w:ascii="Arial" w:eastAsiaTheme="minorEastAsia" w:hAnsi="Arial" w:cs="Arial"/>
                <w:noProof/>
                <w:lang w:eastAsia="en-AU"/>
              </w:rPr>
              <w:tab/>
            </w:r>
            <w:r w:rsidR="00920280" w:rsidRPr="00612C3B">
              <w:rPr>
                <w:rStyle w:val="Hyperlink"/>
                <w:rFonts w:ascii="Arial" w:hAnsi="Arial" w:cs="Arial"/>
                <w:noProof/>
              </w:rPr>
              <w:t>What is the problem?</w:t>
            </w:r>
            <w:r w:rsidR="00920280" w:rsidRPr="00612C3B">
              <w:rPr>
                <w:rFonts w:ascii="Arial" w:hAnsi="Arial" w:cs="Arial"/>
                <w:noProof/>
                <w:webHidden/>
              </w:rPr>
              <w:tab/>
            </w:r>
            <w:r w:rsidR="00920280" w:rsidRPr="00612C3B">
              <w:rPr>
                <w:rFonts w:ascii="Arial" w:hAnsi="Arial" w:cs="Arial"/>
                <w:noProof/>
                <w:webHidden/>
              </w:rPr>
              <w:fldChar w:fldCharType="begin"/>
            </w:r>
            <w:r w:rsidR="00920280" w:rsidRPr="00612C3B">
              <w:rPr>
                <w:rFonts w:ascii="Arial" w:hAnsi="Arial" w:cs="Arial"/>
                <w:noProof/>
                <w:webHidden/>
              </w:rPr>
              <w:instrText xml:space="preserve"> PAGEREF _Toc20489937 \h </w:instrText>
            </w:r>
            <w:r w:rsidR="00920280" w:rsidRPr="00612C3B">
              <w:rPr>
                <w:rFonts w:ascii="Arial" w:hAnsi="Arial" w:cs="Arial"/>
                <w:noProof/>
                <w:webHidden/>
              </w:rPr>
            </w:r>
            <w:r w:rsidR="00920280" w:rsidRPr="00612C3B">
              <w:rPr>
                <w:rFonts w:ascii="Arial" w:hAnsi="Arial" w:cs="Arial"/>
                <w:noProof/>
                <w:webHidden/>
              </w:rPr>
              <w:fldChar w:fldCharType="separate"/>
            </w:r>
            <w:r w:rsidR="00EA3759">
              <w:rPr>
                <w:rFonts w:ascii="Arial" w:hAnsi="Arial" w:cs="Arial"/>
                <w:noProof/>
                <w:webHidden/>
              </w:rPr>
              <w:t>12</w:t>
            </w:r>
            <w:r w:rsidR="00920280" w:rsidRPr="00612C3B">
              <w:rPr>
                <w:rFonts w:ascii="Arial" w:hAnsi="Arial" w:cs="Arial"/>
                <w:noProof/>
                <w:webHidden/>
              </w:rPr>
              <w:fldChar w:fldCharType="end"/>
            </w:r>
          </w:hyperlink>
        </w:p>
        <w:p w14:paraId="0B07B4F1" w14:textId="77777777" w:rsidR="00920280" w:rsidRPr="00612C3B" w:rsidRDefault="00F84647">
          <w:pPr>
            <w:pStyle w:val="TOC1"/>
            <w:tabs>
              <w:tab w:val="left" w:pos="440"/>
              <w:tab w:val="right" w:leader="dot" w:pos="9016"/>
            </w:tabs>
            <w:rPr>
              <w:rFonts w:ascii="Arial" w:eastAsiaTheme="minorEastAsia" w:hAnsi="Arial" w:cs="Arial"/>
              <w:noProof/>
              <w:lang w:eastAsia="en-AU"/>
            </w:rPr>
          </w:pPr>
          <w:hyperlink w:anchor="_Toc20489938" w:history="1">
            <w:r w:rsidR="00920280" w:rsidRPr="00612C3B">
              <w:rPr>
                <w:rStyle w:val="Hyperlink"/>
                <w:rFonts w:ascii="Arial" w:hAnsi="Arial" w:cs="Arial"/>
                <w:noProof/>
              </w:rPr>
              <w:t>5.</w:t>
            </w:r>
            <w:r w:rsidR="00920280" w:rsidRPr="00612C3B">
              <w:rPr>
                <w:rFonts w:ascii="Arial" w:eastAsiaTheme="minorEastAsia" w:hAnsi="Arial" w:cs="Arial"/>
                <w:noProof/>
                <w:lang w:eastAsia="en-AU"/>
              </w:rPr>
              <w:tab/>
            </w:r>
            <w:r w:rsidR="00920280" w:rsidRPr="00612C3B">
              <w:rPr>
                <w:rStyle w:val="Hyperlink"/>
                <w:rFonts w:ascii="Arial" w:hAnsi="Arial" w:cs="Arial"/>
                <w:noProof/>
              </w:rPr>
              <w:t>Why is Government Action needed?</w:t>
            </w:r>
            <w:r w:rsidR="00920280" w:rsidRPr="00612C3B">
              <w:rPr>
                <w:rFonts w:ascii="Arial" w:hAnsi="Arial" w:cs="Arial"/>
                <w:noProof/>
                <w:webHidden/>
              </w:rPr>
              <w:tab/>
            </w:r>
            <w:r w:rsidR="00920280" w:rsidRPr="00612C3B">
              <w:rPr>
                <w:rFonts w:ascii="Arial" w:hAnsi="Arial" w:cs="Arial"/>
                <w:noProof/>
                <w:webHidden/>
              </w:rPr>
              <w:fldChar w:fldCharType="begin"/>
            </w:r>
            <w:r w:rsidR="00920280" w:rsidRPr="00612C3B">
              <w:rPr>
                <w:rFonts w:ascii="Arial" w:hAnsi="Arial" w:cs="Arial"/>
                <w:noProof/>
                <w:webHidden/>
              </w:rPr>
              <w:instrText xml:space="preserve"> PAGEREF _Toc20489938 \h </w:instrText>
            </w:r>
            <w:r w:rsidR="00920280" w:rsidRPr="00612C3B">
              <w:rPr>
                <w:rFonts w:ascii="Arial" w:hAnsi="Arial" w:cs="Arial"/>
                <w:noProof/>
                <w:webHidden/>
              </w:rPr>
            </w:r>
            <w:r w:rsidR="00920280" w:rsidRPr="00612C3B">
              <w:rPr>
                <w:rFonts w:ascii="Arial" w:hAnsi="Arial" w:cs="Arial"/>
                <w:noProof/>
                <w:webHidden/>
              </w:rPr>
              <w:fldChar w:fldCharType="separate"/>
            </w:r>
            <w:r w:rsidR="00EA3759">
              <w:rPr>
                <w:rFonts w:ascii="Arial" w:hAnsi="Arial" w:cs="Arial"/>
                <w:noProof/>
                <w:webHidden/>
              </w:rPr>
              <w:t>18</w:t>
            </w:r>
            <w:r w:rsidR="00920280" w:rsidRPr="00612C3B">
              <w:rPr>
                <w:rFonts w:ascii="Arial" w:hAnsi="Arial" w:cs="Arial"/>
                <w:noProof/>
                <w:webHidden/>
              </w:rPr>
              <w:fldChar w:fldCharType="end"/>
            </w:r>
          </w:hyperlink>
        </w:p>
        <w:p w14:paraId="41B52A03" w14:textId="77777777" w:rsidR="00920280" w:rsidRPr="00612C3B" w:rsidRDefault="00F84647">
          <w:pPr>
            <w:pStyle w:val="TOC2"/>
            <w:rPr>
              <w:rFonts w:ascii="Arial" w:eastAsiaTheme="minorEastAsia" w:hAnsi="Arial" w:cs="Arial"/>
              <w:noProof/>
              <w:lang w:eastAsia="en-AU"/>
            </w:rPr>
          </w:pPr>
          <w:hyperlink w:anchor="_Toc20489939" w:history="1">
            <w:r w:rsidR="00920280" w:rsidRPr="00612C3B">
              <w:rPr>
                <w:rStyle w:val="Hyperlink"/>
                <w:rFonts w:ascii="Arial" w:hAnsi="Arial" w:cs="Arial"/>
                <w:noProof/>
              </w:rPr>
              <w:t>Existing coverage of motor vehicle dealers by franchising regulation</w:t>
            </w:r>
            <w:r w:rsidR="00920280" w:rsidRPr="00612C3B">
              <w:rPr>
                <w:rFonts w:ascii="Arial" w:hAnsi="Arial" w:cs="Arial"/>
                <w:noProof/>
                <w:webHidden/>
              </w:rPr>
              <w:tab/>
            </w:r>
            <w:r w:rsidR="00920280" w:rsidRPr="00612C3B">
              <w:rPr>
                <w:rFonts w:ascii="Arial" w:hAnsi="Arial" w:cs="Arial"/>
                <w:noProof/>
                <w:webHidden/>
              </w:rPr>
              <w:fldChar w:fldCharType="begin"/>
            </w:r>
            <w:r w:rsidR="00920280" w:rsidRPr="00612C3B">
              <w:rPr>
                <w:rFonts w:ascii="Arial" w:hAnsi="Arial" w:cs="Arial"/>
                <w:noProof/>
                <w:webHidden/>
              </w:rPr>
              <w:instrText xml:space="preserve"> PAGEREF _Toc20489939 \h </w:instrText>
            </w:r>
            <w:r w:rsidR="00920280" w:rsidRPr="00612C3B">
              <w:rPr>
                <w:rFonts w:ascii="Arial" w:hAnsi="Arial" w:cs="Arial"/>
                <w:noProof/>
                <w:webHidden/>
              </w:rPr>
            </w:r>
            <w:r w:rsidR="00920280" w:rsidRPr="00612C3B">
              <w:rPr>
                <w:rFonts w:ascii="Arial" w:hAnsi="Arial" w:cs="Arial"/>
                <w:noProof/>
                <w:webHidden/>
              </w:rPr>
              <w:fldChar w:fldCharType="separate"/>
            </w:r>
            <w:r w:rsidR="00EA3759">
              <w:rPr>
                <w:rFonts w:ascii="Arial" w:hAnsi="Arial" w:cs="Arial"/>
                <w:noProof/>
                <w:webHidden/>
              </w:rPr>
              <w:t>18</w:t>
            </w:r>
            <w:r w:rsidR="00920280" w:rsidRPr="00612C3B">
              <w:rPr>
                <w:rFonts w:ascii="Arial" w:hAnsi="Arial" w:cs="Arial"/>
                <w:noProof/>
                <w:webHidden/>
              </w:rPr>
              <w:fldChar w:fldCharType="end"/>
            </w:r>
          </w:hyperlink>
        </w:p>
        <w:p w14:paraId="5E199239" w14:textId="77777777" w:rsidR="00920280" w:rsidRPr="00612C3B" w:rsidRDefault="00F84647">
          <w:pPr>
            <w:pStyle w:val="TOC2"/>
            <w:rPr>
              <w:rFonts w:ascii="Arial" w:eastAsiaTheme="minorEastAsia" w:hAnsi="Arial" w:cs="Arial"/>
              <w:noProof/>
              <w:lang w:eastAsia="en-AU"/>
            </w:rPr>
          </w:pPr>
          <w:hyperlink w:anchor="_Toc20489940" w:history="1">
            <w:r w:rsidR="00920280" w:rsidRPr="00612C3B">
              <w:rPr>
                <w:rStyle w:val="Hyperlink"/>
                <w:rFonts w:ascii="Arial" w:hAnsi="Arial" w:cs="Arial"/>
                <w:noProof/>
              </w:rPr>
              <w:t>Ongoing issues for car dealers</w:t>
            </w:r>
            <w:r w:rsidR="00920280" w:rsidRPr="00612C3B">
              <w:rPr>
                <w:rFonts w:ascii="Arial" w:hAnsi="Arial" w:cs="Arial"/>
                <w:noProof/>
                <w:webHidden/>
              </w:rPr>
              <w:tab/>
            </w:r>
            <w:r w:rsidR="00920280" w:rsidRPr="00612C3B">
              <w:rPr>
                <w:rFonts w:ascii="Arial" w:hAnsi="Arial" w:cs="Arial"/>
                <w:noProof/>
                <w:webHidden/>
              </w:rPr>
              <w:fldChar w:fldCharType="begin"/>
            </w:r>
            <w:r w:rsidR="00920280" w:rsidRPr="00612C3B">
              <w:rPr>
                <w:rFonts w:ascii="Arial" w:hAnsi="Arial" w:cs="Arial"/>
                <w:noProof/>
                <w:webHidden/>
              </w:rPr>
              <w:instrText xml:space="preserve"> PAGEREF _Toc20489940 \h </w:instrText>
            </w:r>
            <w:r w:rsidR="00920280" w:rsidRPr="00612C3B">
              <w:rPr>
                <w:rFonts w:ascii="Arial" w:hAnsi="Arial" w:cs="Arial"/>
                <w:noProof/>
                <w:webHidden/>
              </w:rPr>
            </w:r>
            <w:r w:rsidR="00920280" w:rsidRPr="00612C3B">
              <w:rPr>
                <w:rFonts w:ascii="Arial" w:hAnsi="Arial" w:cs="Arial"/>
                <w:noProof/>
                <w:webHidden/>
              </w:rPr>
              <w:fldChar w:fldCharType="separate"/>
            </w:r>
            <w:r w:rsidR="00EA3759">
              <w:rPr>
                <w:rFonts w:ascii="Arial" w:hAnsi="Arial" w:cs="Arial"/>
                <w:noProof/>
                <w:webHidden/>
              </w:rPr>
              <w:t>19</w:t>
            </w:r>
            <w:r w:rsidR="00920280" w:rsidRPr="00612C3B">
              <w:rPr>
                <w:rFonts w:ascii="Arial" w:hAnsi="Arial" w:cs="Arial"/>
                <w:noProof/>
                <w:webHidden/>
              </w:rPr>
              <w:fldChar w:fldCharType="end"/>
            </w:r>
          </w:hyperlink>
        </w:p>
        <w:p w14:paraId="160B8C72" w14:textId="77777777" w:rsidR="00920280" w:rsidRPr="00612C3B" w:rsidRDefault="00F84647">
          <w:pPr>
            <w:pStyle w:val="TOC2"/>
            <w:rPr>
              <w:rFonts w:ascii="Arial" w:eastAsiaTheme="minorEastAsia" w:hAnsi="Arial" w:cs="Arial"/>
              <w:noProof/>
              <w:lang w:eastAsia="en-AU"/>
            </w:rPr>
          </w:pPr>
          <w:hyperlink w:anchor="_Toc20489941" w:history="1">
            <w:r w:rsidR="00920280" w:rsidRPr="00612C3B">
              <w:rPr>
                <w:rStyle w:val="Hyperlink"/>
                <w:rFonts w:ascii="Arial" w:hAnsi="Arial" w:cs="Arial"/>
                <w:noProof/>
              </w:rPr>
              <w:t>Objective in implementing the RIS reforms</w:t>
            </w:r>
            <w:r w:rsidR="00920280" w:rsidRPr="00612C3B">
              <w:rPr>
                <w:rFonts w:ascii="Arial" w:hAnsi="Arial" w:cs="Arial"/>
                <w:noProof/>
                <w:webHidden/>
              </w:rPr>
              <w:tab/>
            </w:r>
            <w:r w:rsidR="00920280" w:rsidRPr="00612C3B">
              <w:rPr>
                <w:rFonts w:ascii="Arial" w:hAnsi="Arial" w:cs="Arial"/>
                <w:noProof/>
                <w:webHidden/>
              </w:rPr>
              <w:fldChar w:fldCharType="begin"/>
            </w:r>
            <w:r w:rsidR="00920280" w:rsidRPr="00612C3B">
              <w:rPr>
                <w:rFonts w:ascii="Arial" w:hAnsi="Arial" w:cs="Arial"/>
                <w:noProof/>
                <w:webHidden/>
              </w:rPr>
              <w:instrText xml:space="preserve"> PAGEREF _Toc20489941 \h </w:instrText>
            </w:r>
            <w:r w:rsidR="00920280" w:rsidRPr="00612C3B">
              <w:rPr>
                <w:rFonts w:ascii="Arial" w:hAnsi="Arial" w:cs="Arial"/>
                <w:noProof/>
                <w:webHidden/>
              </w:rPr>
            </w:r>
            <w:r w:rsidR="00920280" w:rsidRPr="00612C3B">
              <w:rPr>
                <w:rFonts w:ascii="Arial" w:hAnsi="Arial" w:cs="Arial"/>
                <w:noProof/>
                <w:webHidden/>
              </w:rPr>
              <w:fldChar w:fldCharType="separate"/>
            </w:r>
            <w:r w:rsidR="00EA3759">
              <w:rPr>
                <w:rFonts w:ascii="Arial" w:hAnsi="Arial" w:cs="Arial"/>
                <w:noProof/>
                <w:webHidden/>
              </w:rPr>
              <w:t>20</w:t>
            </w:r>
            <w:r w:rsidR="00920280" w:rsidRPr="00612C3B">
              <w:rPr>
                <w:rFonts w:ascii="Arial" w:hAnsi="Arial" w:cs="Arial"/>
                <w:noProof/>
                <w:webHidden/>
              </w:rPr>
              <w:fldChar w:fldCharType="end"/>
            </w:r>
          </w:hyperlink>
        </w:p>
        <w:p w14:paraId="5417AEEE" w14:textId="77777777" w:rsidR="00920280" w:rsidRPr="00612C3B" w:rsidRDefault="00F84647">
          <w:pPr>
            <w:pStyle w:val="TOC1"/>
            <w:tabs>
              <w:tab w:val="left" w:pos="440"/>
              <w:tab w:val="right" w:leader="dot" w:pos="9016"/>
            </w:tabs>
            <w:rPr>
              <w:rFonts w:ascii="Arial" w:eastAsiaTheme="minorEastAsia" w:hAnsi="Arial" w:cs="Arial"/>
              <w:noProof/>
              <w:lang w:eastAsia="en-AU"/>
            </w:rPr>
          </w:pPr>
          <w:hyperlink w:anchor="_Toc20489942" w:history="1">
            <w:r w:rsidR="00920280" w:rsidRPr="00612C3B">
              <w:rPr>
                <w:rStyle w:val="Hyperlink"/>
                <w:rFonts w:ascii="Arial" w:hAnsi="Arial" w:cs="Arial"/>
                <w:noProof/>
              </w:rPr>
              <w:t>6.</w:t>
            </w:r>
            <w:r w:rsidR="00920280" w:rsidRPr="00612C3B">
              <w:rPr>
                <w:rFonts w:ascii="Arial" w:eastAsiaTheme="minorEastAsia" w:hAnsi="Arial" w:cs="Arial"/>
                <w:noProof/>
                <w:lang w:eastAsia="en-AU"/>
              </w:rPr>
              <w:tab/>
            </w:r>
            <w:r w:rsidR="00920280" w:rsidRPr="00612C3B">
              <w:rPr>
                <w:rStyle w:val="Hyperlink"/>
                <w:rFonts w:ascii="Arial" w:hAnsi="Arial" w:cs="Arial"/>
                <w:noProof/>
              </w:rPr>
              <w:t>Options</w:t>
            </w:r>
            <w:r w:rsidR="00920280" w:rsidRPr="00612C3B">
              <w:rPr>
                <w:rFonts w:ascii="Arial" w:hAnsi="Arial" w:cs="Arial"/>
                <w:noProof/>
                <w:webHidden/>
              </w:rPr>
              <w:tab/>
            </w:r>
            <w:r w:rsidR="00920280" w:rsidRPr="00612C3B">
              <w:rPr>
                <w:rFonts w:ascii="Arial" w:hAnsi="Arial" w:cs="Arial"/>
                <w:noProof/>
                <w:webHidden/>
              </w:rPr>
              <w:fldChar w:fldCharType="begin"/>
            </w:r>
            <w:r w:rsidR="00920280" w:rsidRPr="00612C3B">
              <w:rPr>
                <w:rFonts w:ascii="Arial" w:hAnsi="Arial" w:cs="Arial"/>
                <w:noProof/>
                <w:webHidden/>
              </w:rPr>
              <w:instrText xml:space="preserve"> PAGEREF _Toc20489942 \h </w:instrText>
            </w:r>
            <w:r w:rsidR="00920280" w:rsidRPr="00612C3B">
              <w:rPr>
                <w:rFonts w:ascii="Arial" w:hAnsi="Arial" w:cs="Arial"/>
                <w:noProof/>
                <w:webHidden/>
              </w:rPr>
            </w:r>
            <w:r w:rsidR="00920280" w:rsidRPr="00612C3B">
              <w:rPr>
                <w:rFonts w:ascii="Arial" w:hAnsi="Arial" w:cs="Arial"/>
                <w:noProof/>
                <w:webHidden/>
              </w:rPr>
              <w:fldChar w:fldCharType="separate"/>
            </w:r>
            <w:r w:rsidR="00EA3759">
              <w:rPr>
                <w:rFonts w:ascii="Arial" w:hAnsi="Arial" w:cs="Arial"/>
                <w:noProof/>
                <w:webHidden/>
              </w:rPr>
              <w:t>20</w:t>
            </w:r>
            <w:r w:rsidR="00920280" w:rsidRPr="00612C3B">
              <w:rPr>
                <w:rFonts w:ascii="Arial" w:hAnsi="Arial" w:cs="Arial"/>
                <w:noProof/>
                <w:webHidden/>
              </w:rPr>
              <w:fldChar w:fldCharType="end"/>
            </w:r>
          </w:hyperlink>
        </w:p>
        <w:p w14:paraId="2B9EBF2C" w14:textId="77777777" w:rsidR="00920280" w:rsidRPr="00612C3B" w:rsidRDefault="00F84647">
          <w:pPr>
            <w:pStyle w:val="TOC2"/>
            <w:rPr>
              <w:rFonts w:ascii="Arial" w:eastAsiaTheme="minorEastAsia" w:hAnsi="Arial" w:cs="Arial"/>
              <w:noProof/>
              <w:lang w:eastAsia="en-AU"/>
            </w:rPr>
          </w:pPr>
          <w:hyperlink w:anchor="_Toc20489943" w:history="1">
            <w:r w:rsidR="00920280" w:rsidRPr="00612C3B">
              <w:rPr>
                <w:rStyle w:val="Hyperlink"/>
                <w:rFonts w:ascii="Arial" w:hAnsi="Arial" w:cs="Arial"/>
                <w:noProof/>
              </w:rPr>
              <w:t>1 – Status Quo</w:t>
            </w:r>
            <w:r w:rsidR="00920280" w:rsidRPr="00612C3B">
              <w:rPr>
                <w:rFonts w:ascii="Arial" w:hAnsi="Arial" w:cs="Arial"/>
                <w:noProof/>
                <w:webHidden/>
              </w:rPr>
              <w:tab/>
            </w:r>
            <w:r w:rsidR="00920280" w:rsidRPr="00612C3B">
              <w:rPr>
                <w:rFonts w:ascii="Arial" w:hAnsi="Arial" w:cs="Arial"/>
                <w:noProof/>
                <w:webHidden/>
              </w:rPr>
              <w:fldChar w:fldCharType="begin"/>
            </w:r>
            <w:r w:rsidR="00920280" w:rsidRPr="00612C3B">
              <w:rPr>
                <w:rFonts w:ascii="Arial" w:hAnsi="Arial" w:cs="Arial"/>
                <w:noProof/>
                <w:webHidden/>
              </w:rPr>
              <w:instrText xml:space="preserve"> PAGEREF _Toc20489943 \h </w:instrText>
            </w:r>
            <w:r w:rsidR="00920280" w:rsidRPr="00612C3B">
              <w:rPr>
                <w:rFonts w:ascii="Arial" w:hAnsi="Arial" w:cs="Arial"/>
                <w:noProof/>
                <w:webHidden/>
              </w:rPr>
            </w:r>
            <w:r w:rsidR="00920280" w:rsidRPr="00612C3B">
              <w:rPr>
                <w:rFonts w:ascii="Arial" w:hAnsi="Arial" w:cs="Arial"/>
                <w:noProof/>
                <w:webHidden/>
              </w:rPr>
              <w:fldChar w:fldCharType="separate"/>
            </w:r>
            <w:r w:rsidR="00EA3759">
              <w:rPr>
                <w:rFonts w:ascii="Arial" w:hAnsi="Arial" w:cs="Arial"/>
                <w:noProof/>
                <w:webHidden/>
              </w:rPr>
              <w:t>20</w:t>
            </w:r>
            <w:r w:rsidR="00920280" w:rsidRPr="00612C3B">
              <w:rPr>
                <w:rFonts w:ascii="Arial" w:hAnsi="Arial" w:cs="Arial"/>
                <w:noProof/>
                <w:webHidden/>
              </w:rPr>
              <w:fldChar w:fldCharType="end"/>
            </w:r>
          </w:hyperlink>
        </w:p>
        <w:p w14:paraId="0418C53E" w14:textId="77777777" w:rsidR="00920280" w:rsidRPr="00612C3B" w:rsidRDefault="00F84647">
          <w:pPr>
            <w:pStyle w:val="TOC2"/>
            <w:tabs>
              <w:tab w:val="left" w:pos="660"/>
            </w:tabs>
            <w:rPr>
              <w:rFonts w:ascii="Arial" w:eastAsiaTheme="minorEastAsia" w:hAnsi="Arial" w:cs="Arial"/>
              <w:noProof/>
              <w:lang w:eastAsia="en-AU"/>
            </w:rPr>
          </w:pPr>
          <w:hyperlink w:anchor="_Toc20489944" w:history="1">
            <w:r w:rsidR="00920280" w:rsidRPr="00612C3B">
              <w:rPr>
                <w:rStyle w:val="Hyperlink"/>
                <w:rFonts w:ascii="Arial" w:hAnsi="Arial" w:cs="Arial"/>
                <w:noProof/>
              </w:rPr>
              <w:t>2</w:t>
            </w:r>
            <w:r w:rsidR="00920280" w:rsidRPr="00612C3B">
              <w:rPr>
                <w:rFonts w:ascii="Arial" w:eastAsiaTheme="minorEastAsia" w:hAnsi="Arial" w:cs="Arial"/>
                <w:noProof/>
                <w:lang w:eastAsia="en-AU"/>
              </w:rPr>
              <w:tab/>
            </w:r>
            <w:r w:rsidR="00920280" w:rsidRPr="00612C3B">
              <w:rPr>
                <w:rStyle w:val="Hyperlink"/>
                <w:rFonts w:ascii="Arial" w:hAnsi="Arial" w:cs="Arial"/>
                <w:noProof/>
              </w:rPr>
              <w:t>– Regulatory Intervention</w:t>
            </w:r>
            <w:r w:rsidR="00920280" w:rsidRPr="00612C3B">
              <w:rPr>
                <w:rFonts w:ascii="Arial" w:hAnsi="Arial" w:cs="Arial"/>
                <w:noProof/>
                <w:webHidden/>
              </w:rPr>
              <w:tab/>
            </w:r>
            <w:r w:rsidR="00920280" w:rsidRPr="00612C3B">
              <w:rPr>
                <w:rFonts w:ascii="Arial" w:hAnsi="Arial" w:cs="Arial"/>
                <w:noProof/>
                <w:webHidden/>
              </w:rPr>
              <w:fldChar w:fldCharType="begin"/>
            </w:r>
            <w:r w:rsidR="00920280" w:rsidRPr="00612C3B">
              <w:rPr>
                <w:rFonts w:ascii="Arial" w:hAnsi="Arial" w:cs="Arial"/>
                <w:noProof/>
                <w:webHidden/>
              </w:rPr>
              <w:instrText xml:space="preserve"> PAGEREF _Toc20489944 \h </w:instrText>
            </w:r>
            <w:r w:rsidR="00920280" w:rsidRPr="00612C3B">
              <w:rPr>
                <w:rFonts w:ascii="Arial" w:hAnsi="Arial" w:cs="Arial"/>
                <w:noProof/>
                <w:webHidden/>
              </w:rPr>
            </w:r>
            <w:r w:rsidR="00920280" w:rsidRPr="00612C3B">
              <w:rPr>
                <w:rFonts w:ascii="Arial" w:hAnsi="Arial" w:cs="Arial"/>
                <w:noProof/>
                <w:webHidden/>
              </w:rPr>
              <w:fldChar w:fldCharType="separate"/>
            </w:r>
            <w:r w:rsidR="00EA3759">
              <w:rPr>
                <w:rFonts w:ascii="Arial" w:hAnsi="Arial" w:cs="Arial"/>
                <w:noProof/>
                <w:webHidden/>
              </w:rPr>
              <w:t>21</w:t>
            </w:r>
            <w:r w:rsidR="00920280" w:rsidRPr="00612C3B">
              <w:rPr>
                <w:rFonts w:ascii="Arial" w:hAnsi="Arial" w:cs="Arial"/>
                <w:noProof/>
                <w:webHidden/>
              </w:rPr>
              <w:fldChar w:fldCharType="end"/>
            </w:r>
          </w:hyperlink>
        </w:p>
        <w:p w14:paraId="45538F39" w14:textId="77777777" w:rsidR="00920280" w:rsidRPr="00612C3B" w:rsidRDefault="00F84647">
          <w:pPr>
            <w:pStyle w:val="TOC2"/>
            <w:rPr>
              <w:rFonts w:ascii="Arial" w:eastAsiaTheme="minorEastAsia" w:hAnsi="Arial" w:cs="Arial"/>
              <w:noProof/>
              <w:lang w:eastAsia="en-AU"/>
            </w:rPr>
          </w:pPr>
          <w:hyperlink w:anchor="_Toc20489945" w:history="1">
            <w:r w:rsidR="00920280" w:rsidRPr="00612C3B">
              <w:rPr>
                <w:rStyle w:val="Hyperlink"/>
                <w:rFonts w:ascii="Arial" w:hAnsi="Arial" w:cs="Arial"/>
                <w:noProof/>
              </w:rPr>
              <w:t>3 – Voluntary Code of Conduct</w:t>
            </w:r>
            <w:r w:rsidR="00920280" w:rsidRPr="00612C3B">
              <w:rPr>
                <w:rFonts w:ascii="Arial" w:hAnsi="Arial" w:cs="Arial"/>
                <w:noProof/>
                <w:webHidden/>
              </w:rPr>
              <w:tab/>
            </w:r>
            <w:r w:rsidR="00920280" w:rsidRPr="00612C3B">
              <w:rPr>
                <w:rFonts w:ascii="Arial" w:hAnsi="Arial" w:cs="Arial"/>
                <w:noProof/>
                <w:webHidden/>
              </w:rPr>
              <w:fldChar w:fldCharType="begin"/>
            </w:r>
            <w:r w:rsidR="00920280" w:rsidRPr="00612C3B">
              <w:rPr>
                <w:rFonts w:ascii="Arial" w:hAnsi="Arial" w:cs="Arial"/>
                <w:noProof/>
                <w:webHidden/>
              </w:rPr>
              <w:instrText xml:space="preserve"> PAGEREF _Toc20489945 \h </w:instrText>
            </w:r>
            <w:r w:rsidR="00920280" w:rsidRPr="00612C3B">
              <w:rPr>
                <w:rFonts w:ascii="Arial" w:hAnsi="Arial" w:cs="Arial"/>
                <w:noProof/>
                <w:webHidden/>
              </w:rPr>
            </w:r>
            <w:r w:rsidR="00920280" w:rsidRPr="00612C3B">
              <w:rPr>
                <w:rFonts w:ascii="Arial" w:hAnsi="Arial" w:cs="Arial"/>
                <w:noProof/>
                <w:webHidden/>
              </w:rPr>
              <w:fldChar w:fldCharType="separate"/>
            </w:r>
            <w:r w:rsidR="00EA3759">
              <w:rPr>
                <w:rFonts w:ascii="Arial" w:hAnsi="Arial" w:cs="Arial"/>
                <w:noProof/>
                <w:webHidden/>
              </w:rPr>
              <w:t>42</w:t>
            </w:r>
            <w:r w:rsidR="00920280" w:rsidRPr="00612C3B">
              <w:rPr>
                <w:rFonts w:ascii="Arial" w:hAnsi="Arial" w:cs="Arial"/>
                <w:noProof/>
                <w:webHidden/>
              </w:rPr>
              <w:fldChar w:fldCharType="end"/>
            </w:r>
          </w:hyperlink>
        </w:p>
        <w:p w14:paraId="31AA6449" w14:textId="77777777" w:rsidR="00920280" w:rsidRPr="00612C3B" w:rsidRDefault="00F84647">
          <w:pPr>
            <w:pStyle w:val="TOC3"/>
            <w:tabs>
              <w:tab w:val="right" w:leader="dot" w:pos="9016"/>
            </w:tabs>
            <w:rPr>
              <w:rFonts w:ascii="Arial" w:eastAsiaTheme="minorEastAsia" w:hAnsi="Arial" w:cs="Arial"/>
              <w:noProof/>
              <w:lang w:eastAsia="en-AU"/>
            </w:rPr>
          </w:pPr>
          <w:hyperlink w:anchor="_Toc20489946" w:history="1">
            <w:r w:rsidR="00920280" w:rsidRPr="00612C3B">
              <w:rPr>
                <w:rStyle w:val="Hyperlink"/>
                <w:rFonts w:ascii="Arial" w:hAnsi="Arial" w:cs="Arial"/>
                <w:noProof/>
              </w:rPr>
              <w:t>Regulatory burden summary table</w:t>
            </w:r>
            <w:r w:rsidR="00920280" w:rsidRPr="00612C3B">
              <w:rPr>
                <w:rFonts w:ascii="Arial" w:hAnsi="Arial" w:cs="Arial"/>
                <w:noProof/>
                <w:webHidden/>
              </w:rPr>
              <w:tab/>
            </w:r>
            <w:r w:rsidR="00920280" w:rsidRPr="00612C3B">
              <w:rPr>
                <w:rFonts w:ascii="Arial" w:hAnsi="Arial" w:cs="Arial"/>
                <w:noProof/>
                <w:webHidden/>
              </w:rPr>
              <w:fldChar w:fldCharType="begin"/>
            </w:r>
            <w:r w:rsidR="00920280" w:rsidRPr="00612C3B">
              <w:rPr>
                <w:rFonts w:ascii="Arial" w:hAnsi="Arial" w:cs="Arial"/>
                <w:noProof/>
                <w:webHidden/>
              </w:rPr>
              <w:instrText xml:space="preserve"> PAGEREF _Toc20489946 \h </w:instrText>
            </w:r>
            <w:r w:rsidR="00920280" w:rsidRPr="00612C3B">
              <w:rPr>
                <w:rFonts w:ascii="Arial" w:hAnsi="Arial" w:cs="Arial"/>
                <w:noProof/>
                <w:webHidden/>
              </w:rPr>
            </w:r>
            <w:r w:rsidR="00920280" w:rsidRPr="00612C3B">
              <w:rPr>
                <w:rFonts w:ascii="Arial" w:hAnsi="Arial" w:cs="Arial"/>
                <w:noProof/>
                <w:webHidden/>
              </w:rPr>
              <w:fldChar w:fldCharType="separate"/>
            </w:r>
            <w:r w:rsidR="00EA3759">
              <w:rPr>
                <w:rFonts w:ascii="Arial" w:hAnsi="Arial" w:cs="Arial"/>
                <w:noProof/>
                <w:webHidden/>
              </w:rPr>
              <w:t>44</w:t>
            </w:r>
            <w:r w:rsidR="00920280" w:rsidRPr="00612C3B">
              <w:rPr>
                <w:rFonts w:ascii="Arial" w:hAnsi="Arial" w:cs="Arial"/>
                <w:noProof/>
                <w:webHidden/>
              </w:rPr>
              <w:fldChar w:fldCharType="end"/>
            </w:r>
          </w:hyperlink>
        </w:p>
        <w:p w14:paraId="70D6118B" w14:textId="77777777" w:rsidR="00920280" w:rsidRPr="00612C3B" w:rsidRDefault="00F84647">
          <w:pPr>
            <w:pStyle w:val="TOC2"/>
            <w:rPr>
              <w:rFonts w:ascii="Arial" w:eastAsiaTheme="minorEastAsia" w:hAnsi="Arial" w:cs="Arial"/>
              <w:noProof/>
              <w:lang w:eastAsia="en-AU"/>
            </w:rPr>
          </w:pPr>
          <w:hyperlink w:anchor="_Toc20489947" w:history="1">
            <w:r w:rsidR="00920280" w:rsidRPr="00612C3B">
              <w:rPr>
                <w:rStyle w:val="Hyperlink"/>
                <w:rFonts w:ascii="Arial" w:hAnsi="Arial" w:cs="Arial"/>
                <w:noProof/>
              </w:rPr>
              <w:t>Preferred option</w:t>
            </w:r>
            <w:r w:rsidR="00920280" w:rsidRPr="00612C3B">
              <w:rPr>
                <w:rFonts w:ascii="Arial" w:hAnsi="Arial" w:cs="Arial"/>
                <w:noProof/>
                <w:webHidden/>
              </w:rPr>
              <w:tab/>
            </w:r>
            <w:r w:rsidR="00920280" w:rsidRPr="00612C3B">
              <w:rPr>
                <w:rFonts w:ascii="Arial" w:hAnsi="Arial" w:cs="Arial"/>
                <w:noProof/>
                <w:webHidden/>
              </w:rPr>
              <w:fldChar w:fldCharType="begin"/>
            </w:r>
            <w:r w:rsidR="00920280" w:rsidRPr="00612C3B">
              <w:rPr>
                <w:rFonts w:ascii="Arial" w:hAnsi="Arial" w:cs="Arial"/>
                <w:noProof/>
                <w:webHidden/>
              </w:rPr>
              <w:instrText xml:space="preserve"> PAGEREF _Toc20489947 \h </w:instrText>
            </w:r>
            <w:r w:rsidR="00920280" w:rsidRPr="00612C3B">
              <w:rPr>
                <w:rFonts w:ascii="Arial" w:hAnsi="Arial" w:cs="Arial"/>
                <w:noProof/>
                <w:webHidden/>
              </w:rPr>
            </w:r>
            <w:r w:rsidR="00920280" w:rsidRPr="00612C3B">
              <w:rPr>
                <w:rFonts w:ascii="Arial" w:hAnsi="Arial" w:cs="Arial"/>
                <w:noProof/>
                <w:webHidden/>
              </w:rPr>
              <w:fldChar w:fldCharType="separate"/>
            </w:r>
            <w:r w:rsidR="00EA3759">
              <w:rPr>
                <w:rFonts w:ascii="Arial" w:hAnsi="Arial" w:cs="Arial"/>
                <w:noProof/>
                <w:webHidden/>
              </w:rPr>
              <w:t>45</w:t>
            </w:r>
            <w:r w:rsidR="00920280" w:rsidRPr="00612C3B">
              <w:rPr>
                <w:rFonts w:ascii="Arial" w:hAnsi="Arial" w:cs="Arial"/>
                <w:noProof/>
                <w:webHidden/>
              </w:rPr>
              <w:fldChar w:fldCharType="end"/>
            </w:r>
          </w:hyperlink>
        </w:p>
        <w:p w14:paraId="5F6BF735" w14:textId="77777777" w:rsidR="00920280" w:rsidRPr="00612C3B" w:rsidRDefault="00F84647">
          <w:pPr>
            <w:pStyle w:val="TOC1"/>
            <w:tabs>
              <w:tab w:val="left" w:pos="440"/>
              <w:tab w:val="right" w:leader="dot" w:pos="9016"/>
            </w:tabs>
            <w:rPr>
              <w:rFonts w:ascii="Arial" w:eastAsiaTheme="minorEastAsia" w:hAnsi="Arial" w:cs="Arial"/>
              <w:noProof/>
              <w:lang w:eastAsia="en-AU"/>
            </w:rPr>
          </w:pPr>
          <w:hyperlink w:anchor="_Toc20489948" w:history="1">
            <w:r w:rsidR="00920280" w:rsidRPr="00612C3B">
              <w:rPr>
                <w:rStyle w:val="Hyperlink"/>
                <w:rFonts w:ascii="Arial" w:hAnsi="Arial" w:cs="Arial"/>
                <w:noProof/>
              </w:rPr>
              <w:t>7.</w:t>
            </w:r>
            <w:r w:rsidR="00920280" w:rsidRPr="00612C3B">
              <w:rPr>
                <w:rFonts w:ascii="Arial" w:eastAsiaTheme="minorEastAsia" w:hAnsi="Arial" w:cs="Arial"/>
                <w:noProof/>
                <w:lang w:eastAsia="en-AU"/>
              </w:rPr>
              <w:tab/>
            </w:r>
            <w:r w:rsidR="00920280" w:rsidRPr="00612C3B">
              <w:rPr>
                <w:rStyle w:val="Hyperlink"/>
                <w:rFonts w:ascii="Arial" w:hAnsi="Arial" w:cs="Arial"/>
                <w:noProof/>
              </w:rPr>
              <w:t>Implementation</w:t>
            </w:r>
            <w:r w:rsidR="00920280" w:rsidRPr="00612C3B">
              <w:rPr>
                <w:rFonts w:ascii="Arial" w:hAnsi="Arial" w:cs="Arial"/>
                <w:noProof/>
                <w:webHidden/>
              </w:rPr>
              <w:tab/>
            </w:r>
            <w:r w:rsidR="00920280" w:rsidRPr="00612C3B">
              <w:rPr>
                <w:rFonts w:ascii="Arial" w:hAnsi="Arial" w:cs="Arial"/>
                <w:noProof/>
                <w:webHidden/>
              </w:rPr>
              <w:fldChar w:fldCharType="begin"/>
            </w:r>
            <w:r w:rsidR="00920280" w:rsidRPr="00612C3B">
              <w:rPr>
                <w:rFonts w:ascii="Arial" w:hAnsi="Arial" w:cs="Arial"/>
                <w:noProof/>
                <w:webHidden/>
              </w:rPr>
              <w:instrText xml:space="preserve"> PAGEREF _Toc20489948 \h </w:instrText>
            </w:r>
            <w:r w:rsidR="00920280" w:rsidRPr="00612C3B">
              <w:rPr>
                <w:rFonts w:ascii="Arial" w:hAnsi="Arial" w:cs="Arial"/>
                <w:noProof/>
                <w:webHidden/>
              </w:rPr>
            </w:r>
            <w:r w:rsidR="00920280" w:rsidRPr="00612C3B">
              <w:rPr>
                <w:rFonts w:ascii="Arial" w:hAnsi="Arial" w:cs="Arial"/>
                <w:noProof/>
                <w:webHidden/>
              </w:rPr>
              <w:fldChar w:fldCharType="separate"/>
            </w:r>
            <w:r w:rsidR="00EA3759">
              <w:rPr>
                <w:rFonts w:ascii="Arial" w:hAnsi="Arial" w:cs="Arial"/>
                <w:noProof/>
                <w:webHidden/>
              </w:rPr>
              <w:t>47</w:t>
            </w:r>
            <w:r w:rsidR="00920280" w:rsidRPr="00612C3B">
              <w:rPr>
                <w:rFonts w:ascii="Arial" w:hAnsi="Arial" w:cs="Arial"/>
                <w:noProof/>
                <w:webHidden/>
              </w:rPr>
              <w:fldChar w:fldCharType="end"/>
            </w:r>
          </w:hyperlink>
        </w:p>
        <w:p w14:paraId="4BF793E1" w14:textId="77777777" w:rsidR="00920280" w:rsidRPr="00612C3B" w:rsidRDefault="00F84647">
          <w:pPr>
            <w:pStyle w:val="TOC1"/>
            <w:tabs>
              <w:tab w:val="left" w:pos="440"/>
              <w:tab w:val="right" w:leader="dot" w:pos="9016"/>
            </w:tabs>
            <w:rPr>
              <w:rFonts w:ascii="Arial" w:eastAsiaTheme="minorEastAsia" w:hAnsi="Arial" w:cs="Arial"/>
              <w:noProof/>
              <w:lang w:eastAsia="en-AU"/>
            </w:rPr>
          </w:pPr>
          <w:hyperlink w:anchor="_Toc20489949" w:history="1">
            <w:r w:rsidR="00920280" w:rsidRPr="00612C3B">
              <w:rPr>
                <w:rStyle w:val="Hyperlink"/>
                <w:rFonts w:ascii="Arial" w:hAnsi="Arial" w:cs="Arial"/>
                <w:noProof/>
              </w:rPr>
              <w:t>8.</w:t>
            </w:r>
            <w:r w:rsidR="00920280" w:rsidRPr="00612C3B">
              <w:rPr>
                <w:rFonts w:ascii="Arial" w:eastAsiaTheme="minorEastAsia" w:hAnsi="Arial" w:cs="Arial"/>
                <w:noProof/>
                <w:lang w:eastAsia="en-AU"/>
              </w:rPr>
              <w:tab/>
            </w:r>
            <w:r w:rsidR="00920280" w:rsidRPr="00612C3B">
              <w:rPr>
                <w:rStyle w:val="Hyperlink"/>
                <w:rFonts w:ascii="Arial" w:hAnsi="Arial" w:cs="Arial"/>
                <w:noProof/>
              </w:rPr>
              <w:t>Consultation</w:t>
            </w:r>
            <w:r w:rsidR="00920280" w:rsidRPr="00612C3B">
              <w:rPr>
                <w:rFonts w:ascii="Arial" w:hAnsi="Arial" w:cs="Arial"/>
                <w:noProof/>
                <w:webHidden/>
              </w:rPr>
              <w:tab/>
            </w:r>
            <w:r w:rsidR="00920280" w:rsidRPr="00612C3B">
              <w:rPr>
                <w:rFonts w:ascii="Arial" w:hAnsi="Arial" w:cs="Arial"/>
                <w:noProof/>
                <w:webHidden/>
              </w:rPr>
              <w:fldChar w:fldCharType="begin"/>
            </w:r>
            <w:r w:rsidR="00920280" w:rsidRPr="00612C3B">
              <w:rPr>
                <w:rFonts w:ascii="Arial" w:hAnsi="Arial" w:cs="Arial"/>
                <w:noProof/>
                <w:webHidden/>
              </w:rPr>
              <w:instrText xml:space="preserve"> PAGEREF _Toc20489949 \h </w:instrText>
            </w:r>
            <w:r w:rsidR="00920280" w:rsidRPr="00612C3B">
              <w:rPr>
                <w:rFonts w:ascii="Arial" w:hAnsi="Arial" w:cs="Arial"/>
                <w:noProof/>
                <w:webHidden/>
              </w:rPr>
            </w:r>
            <w:r w:rsidR="00920280" w:rsidRPr="00612C3B">
              <w:rPr>
                <w:rFonts w:ascii="Arial" w:hAnsi="Arial" w:cs="Arial"/>
                <w:noProof/>
                <w:webHidden/>
              </w:rPr>
              <w:fldChar w:fldCharType="separate"/>
            </w:r>
            <w:r w:rsidR="00EA3759">
              <w:rPr>
                <w:rFonts w:ascii="Arial" w:hAnsi="Arial" w:cs="Arial"/>
                <w:noProof/>
                <w:webHidden/>
              </w:rPr>
              <w:t>48</w:t>
            </w:r>
            <w:r w:rsidR="00920280" w:rsidRPr="00612C3B">
              <w:rPr>
                <w:rFonts w:ascii="Arial" w:hAnsi="Arial" w:cs="Arial"/>
                <w:noProof/>
                <w:webHidden/>
              </w:rPr>
              <w:fldChar w:fldCharType="end"/>
            </w:r>
          </w:hyperlink>
        </w:p>
        <w:p w14:paraId="73F10097" w14:textId="77777777" w:rsidR="00920280" w:rsidRPr="00612C3B" w:rsidRDefault="00F84647">
          <w:pPr>
            <w:pStyle w:val="TOC1"/>
            <w:tabs>
              <w:tab w:val="left" w:pos="440"/>
              <w:tab w:val="right" w:leader="dot" w:pos="9016"/>
            </w:tabs>
            <w:rPr>
              <w:rFonts w:ascii="Arial" w:eastAsiaTheme="minorEastAsia" w:hAnsi="Arial" w:cs="Arial"/>
              <w:noProof/>
              <w:lang w:eastAsia="en-AU"/>
            </w:rPr>
          </w:pPr>
          <w:hyperlink w:anchor="_Toc20489950" w:history="1">
            <w:r w:rsidR="00920280" w:rsidRPr="00612C3B">
              <w:rPr>
                <w:rStyle w:val="Hyperlink"/>
                <w:rFonts w:ascii="Arial" w:hAnsi="Arial" w:cs="Arial"/>
                <w:noProof/>
              </w:rPr>
              <w:t>9.</w:t>
            </w:r>
            <w:r w:rsidR="00920280" w:rsidRPr="00612C3B">
              <w:rPr>
                <w:rFonts w:ascii="Arial" w:eastAsiaTheme="minorEastAsia" w:hAnsi="Arial" w:cs="Arial"/>
                <w:noProof/>
                <w:lang w:eastAsia="en-AU"/>
              </w:rPr>
              <w:tab/>
            </w:r>
            <w:r w:rsidR="00920280" w:rsidRPr="00612C3B">
              <w:rPr>
                <w:rStyle w:val="Hyperlink"/>
                <w:rFonts w:ascii="Arial" w:hAnsi="Arial" w:cs="Arial"/>
                <w:noProof/>
              </w:rPr>
              <w:t>Evaluation</w:t>
            </w:r>
            <w:r w:rsidR="00920280" w:rsidRPr="00612C3B">
              <w:rPr>
                <w:rFonts w:ascii="Arial" w:hAnsi="Arial" w:cs="Arial"/>
                <w:noProof/>
                <w:webHidden/>
              </w:rPr>
              <w:tab/>
            </w:r>
            <w:r w:rsidR="00920280" w:rsidRPr="00612C3B">
              <w:rPr>
                <w:rFonts w:ascii="Arial" w:hAnsi="Arial" w:cs="Arial"/>
                <w:noProof/>
                <w:webHidden/>
              </w:rPr>
              <w:fldChar w:fldCharType="begin"/>
            </w:r>
            <w:r w:rsidR="00920280" w:rsidRPr="00612C3B">
              <w:rPr>
                <w:rFonts w:ascii="Arial" w:hAnsi="Arial" w:cs="Arial"/>
                <w:noProof/>
                <w:webHidden/>
              </w:rPr>
              <w:instrText xml:space="preserve"> PAGEREF _Toc20489950 \h </w:instrText>
            </w:r>
            <w:r w:rsidR="00920280" w:rsidRPr="00612C3B">
              <w:rPr>
                <w:rFonts w:ascii="Arial" w:hAnsi="Arial" w:cs="Arial"/>
                <w:noProof/>
                <w:webHidden/>
              </w:rPr>
            </w:r>
            <w:r w:rsidR="00920280" w:rsidRPr="00612C3B">
              <w:rPr>
                <w:rFonts w:ascii="Arial" w:hAnsi="Arial" w:cs="Arial"/>
                <w:noProof/>
                <w:webHidden/>
              </w:rPr>
              <w:fldChar w:fldCharType="separate"/>
            </w:r>
            <w:r w:rsidR="00EA3759">
              <w:rPr>
                <w:rFonts w:ascii="Arial" w:hAnsi="Arial" w:cs="Arial"/>
                <w:noProof/>
                <w:webHidden/>
              </w:rPr>
              <w:t>49</w:t>
            </w:r>
            <w:r w:rsidR="00920280" w:rsidRPr="00612C3B">
              <w:rPr>
                <w:rFonts w:ascii="Arial" w:hAnsi="Arial" w:cs="Arial"/>
                <w:noProof/>
                <w:webHidden/>
              </w:rPr>
              <w:fldChar w:fldCharType="end"/>
            </w:r>
          </w:hyperlink>
        </w:p>
        <w:p w14:paraId="7FB0A999" w14:textId="77777777" w:rsidR="00920280" w:rsidRPr="00612C3B" w:rsidRDefault="00F84647">
          <w:pPr>
            <w:pStyle w:val="TOC1"/>
            <w:tabs>
              <w:tab w:val="right" w:leader="dot" w:pos="9016"/>
            </w:tabs>
            <w:rPr>
              <w:rFonts w:ascii="Arial" w:eastAsiaTheme="minorEastAsia" w:hAnsi="Arial" w:cs="Arial"/>
              <w:noProof/>
              <w:lang w:eastAsia="en-AU"/>
            </w:rPr>
          </w:pPr>
          <w:hyperlink w:anchor="_Toc20489951" w:history="1">
            <w:r w:rsidR="00920280" w:rsidRPr="00612C3B">
              <w:rPr>
                <w:rStyle w:val="Hyperlink"/>
                <w:rFonts w:ascii="Arial" w:hAnsi="Arial" w:cs="Arial"/>
                <w:noProof/>
              </w:rPr>
              <w:t>Appendix 1: Australian retail automotive industry</w:t>
            </w:r>
            <w:r w:rsidR="00920280" w:rsidRPr="00612C3B">
              <w:rPr>
                <w:rFonts w:ascii="Arial" w:hAnsi="Arial" w:cs="Arial"/>
                <w:noProof/>
                <w:webHidden/>
              </w:rPr>
              <w:tab/>
            </w:r>
            <w:r w:rsidR="00920280" w:rsidRPr="00612C3B">
              <w:rPr>
                <w:rFonts w:ascii="Arial" w:hAnsi="Arial" w:cs="Arial"/>
                <w:noProof/>
                <w:webHidden/>
              </w:rPr>
              <w:fldChar w:fldCharType="begin"/>
            </w:r>
            <w:r w:rsidR="00920280" w:rsidRPr="00612C3B">
              <w:rPr>
                <w:rFonts w:ascii="Arial" w:hAnsi="Arial" w:cs="Arial"/>
                <w:noProof/>
                <w:webHidden/>
              </w:rPr>
              <w:instrText xml:space="preserve"> PAGEREF _Toc20489951 \h </w:instrText>
            </w:r>
            <w:r w:rsidR="00920280" w:rsidRPr="00612C3B">
              <w:rPr>
                <w:rFonts w:ascii="Arial" w:hAnsi="Arial" w:cs="Arial"/>
                <w:noProof/>
                <w:webHidden/>
              </w:rPr>
            </w:r>
            <w:r w:rsidR="00920280" w:rsidRPr="00612C3B">
              <w:rPr>
                <w:rFonts w:ascii="Arial" w:hAnsi="Arial" w:cs="Arial"/>
                <w:noProof/>
                <w:webHidden/>
              </w:rPr>
              <w:fldChar w:fldCharType="separate"/>
            </w:r>
            <w:r w:rsidR="00EA3759">
              <w:rPr>
                <w:rFonts w:ascii="Arial" w:hAnsi="Arial" w:cs="Arial"/>
                <w:noProof/>
                <w:webHidden/>
              </w:rPr>
              <w:t>50</w:t>
            </w:r>
            <w:r w:rsidR="00920280" w:rsidRPr="00612C3B">
              <w:rPr>
                <w:rFonts w:ascii="Arial" w:hAnsi="Arial" w:cs="Arial"/>
                <w:noProof/>
                <w:webHidden/>
              </w:rPr>
              <w:fldChar w:fldCharType="end"/>
            </w:r>
          </w:hyperlink>
        </w:p>
        <w:p w14:paraId="37673F74" w14:textId="77777777" w:rsidR="00920280" w:rsidRDefault="00F84647">
          <w:pPr>
            <w:pStyle w:val="TOC1"/>
            <w:tabs>
              <w:tab w:val="right" w:leader="dot" w:pos="9016"/>
            </w:tabs>
            <w:rPr>
              <w:rFonts w:eastAsiaTheme="minorEastAsia"/>
              <w:noProof/>
              <w:lang w:eastAsia="en-AU"/>
            </w:rPr>
          </w:pPr>
          <w:hyperlink w:anchor="_Toc20489952" w:history="1">
            <w:r w:rsidR="00920280" w:rsidRPr="00612C3B">
              <w:rPr>
                <w:rStyle w:val="Hyperlink"/>
                <w:rFonts w:ascii="Arial" w:hAnsi="Arial" w:cs="Arial"/>
                <w:noProof/>
              </w:rPr>
              <w:t>Appendix 2: Franchising Code obligations</w:t>
            </w:r>
            <w:r w:rsidR="00920280" w:rsidRPr="00612C3B">
              <w:rPr>
                <w:rFonts w:ascii="Arial" w:hAnsi="Arial" w:cs="Arial"/>
                <w:noProof/>
                <w:webHidden/>
              </w:rPr>
              <w:tab/>
            </w:r>
            <w:r w:rsidR="00920280" w:rsidRPr="00612C3B">
              <w:rPr>
                <w:rFonts w:ascii="Arial" w:hAnsi="Arial" w:cs="Arial"/>
                <w:noProof/>
                <w:webHidden/>
              </w:rPr>
              <w:fldChar w:fldCharType="begin"/>
            </w:r>
            <w:r w:rsidR="00920280" w:rsidRPr="00612C3B">
              <w:rPr>
                <w:rFonts w:ascii="Arial" w:hAnsi="Arial" w:cs="Arial"/>
                <w:noProof/>
                <w:webHidden/>
              </w:rPr>
              <w:instrText xml:space="preserve"> PAGEREF _Toc20489952 \h </w:instrText>
            </w:r>
            <w:r w:rsidR="00920280" w:rsidRPr="00612C3B">
              <w:rPr>
                <w:rFonts w:ascii="Arial" w:hAnsi="Arial" w:cs="Arial"/>
                <w:noProof/>
                <w:webHidden/>
              </w:rPr>
            </w:r>
            <w:r w:rsidR="00920280" w:rsidRPr="00612C3B">
              <w:rPr>
                <w:rFonts w:ascii="Arial" w:hAnsi="Arial" w:cs="Arial"/>
                <w:noProof/>
                <w:webHidden/>
              </w:rPr>
              <w:fldChar w:fldCharType="separate"/>
            </w:r>
            <w:r w:rsidR="00EA3759">
              <w:rPr>
                <w:rFonts w:ascii="Arial" w:hAnsi="Arial" w:cs="Arial"/>
                <w:noProof/>
                <w:webHidden/>
              </w:rPr>
              <w:t>53</w:t>
            </w:r>
            <w:r w:rsidR="00920280" w:rsidRPr="00612C3B">
              <w:rPr>
                <w:rFonts w:ascii="Arial" w:hAnsi="Arial" w:cs="Arial"/>
                <w:noProof/>
                <w:webHidden/>
              </w:rPr>
              <w:fldChar w:fldCharType="end"/>
            </w:r>
          </w:hyperlink>
        </w:p>
        <w:p w14:paraId="3F1D09E0" w14:textId="77777777" w:rsidR="002E5FF1" w:rsidRDefault="002E5FF1" w:rsidP="002E5FF1">
          <w:pPr>
            <w:rPr>
              <w:b/>
              <w:bCs/>
              <w:noProof/>
            </w:rPr>
          </w:pPr>
          <w:r>
            <w:rPr>
              <w:b/>
              <w:bCs/>
              <w:noProof/>
            </w:rPr>
            <w:fldChar w:fldCharType="end"/>
          </w:r>
        </w:p>
      </w:sdtContent>
    </w:sdt>
    <w:p w14:paraId="3F1D09E1" w14:textId="77777777" w:rsidR="009D437B" w:rsidRDefault="000442FD" w:rsidP="002E5FF1">
      <w:r>
        <w:br w:type="page"/>
      </w:r>
    </w:p>
    <w:p w14:paraId="3F1D09E2" w14:textId="77777777" w:rsidR="00F070D2" w:rsidRDefault="11FF59B9" w:rsidP="00090804">
      <w:pPr>
        <w:pStyle w:val="Heading1"/>
        <w:numPr>
          <w:ilvl w:val="0"/>
          <w:numId w:val="1"/>
        </w:numPr>
        <w:rPr>
          <w:color w:val="005677"/>
        </w:rPr>
      </w:pPr>
      <w:bookmarkStart w:id="9" w:name="_Toc529891238"/>
      <w:bookmarkStart w:id="10" w:name="_Toc529891256"/>
      <w:bookmarkStart w:id="11" w:name="_Toc530493123"/>
      <w:bookmarkStart w:id="12" w:name="_Toc530493178"/>
      <w:bookmarkStart w:id="13" w:name="_Toc530563044"/>
      <w:bookmarkStart w:id="14" w:name="_Toc20489934"/>
      <w:r w:rsidRPr="11FF59B9">
        <w:rPr>
          <w:color w:val="005677"/>
        </w:rPr>
        <w:lastRenderedPageBreak/>
        <w:t>Introduction</w:t>
      </w:r>
      <w:bookmarkEnd w:id="9"/>
      <w:bookmarkEnd w:id="10"/>
      <w:bookmarkEnd w:id="11"/>
      <w:bookmarkEnd w:id="12"/>
      <w:bookmarkEnd w:id="13"/>
      <w:bookmarkEnd w:id="14"/>
    </w:p>
    <w:p w14:paraId="3F1D09E3" w14:textId="69232F48" w:rsidR="003521E4" w:rsidRDefault="11FF59B9" w:rsidP="11FF59B9">
      <w:pPr>
        <w:spacing w:before="240" w:line="360" w:lineRule="auto"/>
        <w:jc w:val="both"/>
        <w:rPr>
          <w:rFonts w:ascii="Arial" w:hAnsi="Arial" w:cs="Arial"/>
        </w:rPr>
      </w:pPr>
      <w:r w:rsidRPr="11FF59B9">
        <w:rPr>
          <w:rFonts w:ascii="Arial" w:hAnsi="Arial" w:cs="Arial"/>
        </w:rPr>
        <w:t xml:space="preserve">In </w:t>
      </w:r>
      <w:r w:rsidR="00D916BE">
        <w:rPr>
          <w:rFonts w:ascii="Arial" w:hAnsi="Arial" w:cs="Arial"/>
        </w:rPr>
        <w:t>its</w:t>
      </w:r>
      <w:r w:rsidRPr="11FF59B9">
        <w:rPr>
          <w:rFonts w:ascii="Arial" w:hAnsi="Arial" w:cs="Arial"/>
        </w:rPr>
        <w:t xml:space="preserve"> 2017 market study of new car retailing (market study), the </w:t>
      </w:r>
      <w:r w:rsidR="00D916BE">
        <w:rPr>
          <w:rFonts w:ascii="Arial" w:hAnsi="Arial" w:cs="Arial"/>
        </w:rPr>
        <w:t>Australian Competition and Consumer Commission</w:t>
      </w:r>
      <w:r w:rsidRPr="11FF59B9">
        <w:rPr>
          <w:rFonts w:ascii="Arial" w:hAnsi="Arial" w:cs="Arial"/>
        </w:rPr>
        <w:t xml:space="preserve"> </w:t>
      </w:r>
      <w:r w:rsidR="000365C7">
        <w:rPr>
          <w:rFonts w:ascii="Arial" w:hAnsi="Arial" w:cs="Arial"/>
        </w:rPr>
        <w:t>(ACCC)</w:t>
      </w:r>
      <w:bookmarkStart w:id="15" w:name="_Ref529871249"/>
      <w:r w:rsidR="00CF56B4">
        <w:rPr>
          <w:rStyle w:val="FootnoteReference"/>
          <w:rFonts w:ascii="Arial" w:hAnsi="Arial" w:cs="Arial"/>
        </w:rPr>
        <w:footnoteReference w:id="2"/>
      </w:r>
      <w:bookmarkEnd w:id="15"/>
      <w:r w:rsidR="000365C7">
        <w:rPr>
          <w:rFonts w:ascii="Arial" w:hAnsi="Arial" w:cs="Arial"/>
        </w:rPr>
        <w:t xml:space="preserve"> </w:t>
      </w:r>
      <w:r w:rsidRPr="11FF59B9">
        <w:rPr>
          <w:rFonts w:ascii="Arial" w:hAnsi="Arial" w:cs="Arial"/>
        </w:rPr>
        <w:t>made a number of recommendations aimed at addressing concerns within the new car retailing market which were leading to suboptimal outcomes for consumers and hindering effective competition.</w:t>
      </w:r>
    </w:p>
    <w:p w14:paraId="3F1D09E4" w14:textId="03EA7240" w:rsidR="00495064" w:rsidRPr="00495064" w:rsidRDefault="11FF59B9" w:rsidP="11FF59B9">
      <w:pPr>
        <w:spacing w:before="240" w:line="360" w:lineRule="auto"/>
        <w:jc w:val="both"/>
        <w:rPr>
          <w:rFonts w:ascii="Arial" w:hAnsi="Arial" w:cs="Arial"/>
        </w:rPr>
      </w:pPr>
      <w:r w:rsidRPr="11FF59B9">
        <w:rPr>
          <w:rFonts w:ascii="Arial" w:hAnsi="Arial" w:cs="Arial"/>
        </w:rPr>
        <w:t>As part of its market study, the ACCC examined the inter</w:t>
      </w:r>
      <w:r w:rsidR="009C3398">
        <w:rPr>
          <w:rFonts w:ascii="Arial" w:hAnsi="Arial" w:cs="Arial"/>
        </w:rPr>
        <w:t>-</w:t>
      </w:r>
      <w:r w:rsidRPr="11FF59B9">
        <w:rPr>
          <w:rFonts w:ascii="Arial" w:hAnsi="Arial" w:cs="Arial"/>
        </w:rPr>
        <w:t>relationships between the three key groups of entities in the car retailing supply chain – large multi-national car manufacturers (who are often represented by locally based distributors); new car dealers</w:t>
      </w:r>
      <w:r w:rsidR="00F75F49">
        <w:rPr>
          <w:rFonts w:ascii="Arial" w:hAnsi="Arial" w:cs="Arial"/>
        </w:rPr>
        <w:t>;</w:t>
      </w:r>
      <w:r w:rsidRPr="11FF59B9">
        <w:rPr>
          <w:rFonts w:ascii="Arial" w:hAnsi="Arial" w:cs="Arial"/>
        </w:rPr>
        <w:t xml:space="preserve"> and independent businesses that service and repair cars</w:t>
      </w:r>
      <w:r w:rsidR="00664AFF">
        <w:rPr>
          <w:rFonts w:ascii="Arial" w:hAnsi="Arial" w:cs="Arial"/>
        </w:rPr>
        <w:t xml:space="preserve"> </w:t>
      </w:r>
      <w:r w:rsidR="00664AFF" w:rsidRPr="008C4A31">
        <w:rPr>
          <w:rFonts w:ascii="Arial" w:hAnsi="Arial" w:cs="Arial"/>
        </w:rPr>
        <w:t xml:space="preserve">(the Australian car retailing industry is </w:t>
      </w:r>
      <w:r w:rsidR="00A739D5" w:rsidRPr="008C4A31">
        <w:rPr>
          <w:rFonts w:ascii="Arial" w:hAnsi="Arial" w:cs="Arial"/>
        </w:rPr>
        <w:t xml:space="preserve">further discussed </w:t>
      </w:r>
      <w:r w:rsidR="00664AFF" w:rsidRPr="008C4A31">
        <w:rPr>
          <w:rFonts w:ascii="Arial" w:hAnsi="Arial" w:cs="Arial"/>
        </w:rPr>
        <w:t>at Appendix 1)</w:t>
      </w:r>
      <w:r w:rsidRPr="008C4A31">
        <w:rPr>
          <w:rFonts w:ascii="Arial" w:hAnsi="Arial" w:cs="Arial"/>
        </w:rPr>
        <w:t>.</w:t>
      </w:r>
      <w:r w:rsidR="00CF56B4" w:rsidRPr="008C4A31">
        <w:rPr>
          <w:rStyle w:val="FootnoteReference"/>
          <w:rFonts w:ascii="Arial" w:hAnsi="Arial" w:cs="Arial"/>
        </w:rPr>
        <w:footnoteReference w:id="3"/>
      </w:r>
      <w:r w:rsidRPr="008C4A31">
        <w:rPr>
          <w:rFonts w:ascii="Arial" w:hAnsi="Arial" w:cs="Arial"/>
        </w:rPr>
        <w:t xml:space="preserve"> The ACCC noted that</w:t>
      </w:r>
      <w:r w:rsidRPr="11FF59B9">
        <w:rPr>
          <w:rFonts w:ascii="Arial" w:hAnsi="Arial" w:cs="Arial"/>
        </w:rPr>
        <w:t xml:space="preserve"> some of the competition concerns within the new car retailing market stem from the power imbalance in the commercial relationships between the large car manufacturers and the other two groups of entities – new car dealers and independent repairers.</w:t>
      </w:r>
      <w:r w:rsidR="00D15CA2">
        <w:rPr>
          <w:rStyle w:val="FootnoteReference"/>
          <w:rFonts w:ascii="Arial" w:hAnsi="Arial" w:cs="Arial"/>
        </w:rPr>
        <w:footnoteReference w:id="4"/>
      </w:r>
      <w:r w:rsidRPr="11FF59B9">
        <w:rPr>
          <w:rFonts w:ascii="Arial" w:hAnsi="Arial" w:cs="Arial"/>
        </w:rPr>
        <w:t xml:space="preserve"> </w:t>
      </w:r>
    </w:p>
    <w:p w14:paraId="3F1D09E5" w14:textId="77777777" w:rsidR="00495064" w:rsidRPr="00495064" w:rsidRDefault="11FF59B9" w:rsidP="11FF59B9">
      <w:pPr>
        <w:spacing w:before="240" w:line="360" w:lineRule="auto"/>
        <w:jc w:val="both"/>
        <w:rPr>
          <w:rFonts w:ascii="Arial" w:hAnsi="Arial" w:cs="Arial"/>
        </w:rPr>
      </w:pPr>
      <w:r w:rsidRPr="11FF59B9">
        <w:rPr>
          <w:rFonts w:ascii="Arial" w:hAnsi="Arial" w:cs="Arial"/>
        </w:rPr>
        <w:t>Firstly, while voluntary commitments had been made by car manufacturers to provide independent repairers with the same technical information to repair and service new cars that they provide to their dealers, there are problems with the breadth, depth and timeliness of the information offered.</w:t>
      </w:r>
      <w:r w:rsidR="004968F7">
        <w:rPr>
          <w:rStyle w:val="FootnoteReference"/>
          <w:rFonts w:ascii="Arial" w:hAnsi="Arial" w:cs="Arial"/>
        </w:rPr>
        <w:footnoteReference w:id="5"/>
      </w:r>
      <w:r w:rsidRPr="11FF59B9">
        <w:rPr>
          <w:rFonts w:ascii="Arial" w:hAnsi="Arial" w:cs="Arial"/>
        </w:rPr>
        <w:t xml:space="preserve"> Given this, the ACCC supported a mandatory scheme to compel car manufacturers to provide independent repairers equivalent service and repair information (mandatory information sharing).</w:t>
      </w:r>
      <w:r w:rsidR="00AE195F">
        <w:rPr>
          <w:rStyle w:val="FootnoteReference"/>
          <w:rFonts w:ascii="Arial" w:hAnsi="Arial" w:cs="Arial"/>
        </w:rPr>
        <w:footnoteReference w:id="6"/>
      </w:r>
      <w:r w:rsidRPr="11FF59B9">
        <w:rPr>
          <w:rFonts w:ascii="Arial" w:hAnsi="Arial" w:cs="Arial"/>
        </w:rPr>
        <w:t xml:space="preserve"> </w:t>
      </w:r>
    </w:p>
    <w:p w14:paraId="3F1D09E6" w14:textId="08B7655E" w:rsidR="001B585A" w:rsidRDefault="11FF59B9" w:rsidP="11FF59B9">
      <w:pPr>
        <w:spacing w:before="240" w:line="360" w:lineRule="auto"/>
        <w:jc w:val="both"/>
        <w:rPr>
          <w:rFonts w:ascii="Arial" w:hAnsi="Arial" w:cs="Arial"/>
        </w:rPr>
      </w:pPr>
      <w:r w:rsidRPr="11FF59B9">
        <w:rPr>
          <w:rFonts w:ascii="Arial" w:hAnsi="Arial" w:cs="Arial"/>
        </w:rPr>
        <w:t>Secondly, while the Australian Consumer Law (ACL) provides protections to consumers through the consumer guarantees provisions, there are a number of systemic problems in the new car industry preventing consumers from obtaining the remedies to which they are entitled.</w:t>
      </w:r>
      <w:r w:rsidR="005E5163">
        <w:rPr>
          <w:rStyle w:val="FootnoteReference"/>
          <w:rFonts w:ascii="Arial" w:hAnsi="Arial" w:cs="Arial"/>
        </w:rPr>
        <w:footnoteReference w:id="7"/>
      </w:r>
      <w:r w:rsidRPr="11FF59B9">
        <w:rPr>
          <w:rFonts w:ascii="Arial" w:hAnsi="Arial" w:cs="Arial"/>
        </w:rPr>
        <w:t xml:space="preserve"> One of which is the power imbalance between car manufacturers and their dealers</w:t>
      </w:r>
      <w:r w:rsidR="00B5273B">
        <w:rPr>
          <w:rFonts w:ascii="Arial" w:hAnsi="Arial" w:cs="Arial"/>
        </w:rPr>
        <w:t>,</w:t>
      </w:r>
      <w:r w:rsidRPr="11FF59B9">
        <w:rPr>
          <w:rFonts w:ascii="Arial" w:hAnsi="Arial" w:cs="Arial"/>
        </w:rPr>
        <w:t xml:space="preserve"> in favour of the car manufacturer</w:t>
      </w:r>
      <w:r w:rsidR="00B5273B">
        <w:rPr>
          <w:rFonts w:ascii="Arial" w:hAnsi="Arial" w:cs="Arial"/>
        </w:rPr>
        <w:t>,</w:t>
      </w:r>
      <w:r w:rsidRPr="11FF59B9">
        <w:rPr>
          <w:rFonts w:ascii="Arial" w:hAnsi="Arial" w:cs="Arial"/>
        </w:rPr>
        <w:t xml:space="preserve"> which means that car manufacturers are able to impose commercial terms on dealers which make it difficult for dealers to provide satisfactory outcomes for consumers</w:t>
      </w:r>
      <w:r w:rsidR="005A2582">
        <w:rPr>
          <w:rFonts w:ascii="Arial" w:hAnsi="Arial" w:cs="Arial"/>
        </w:rPr>
        <w:t xml:space="preserve"> (more information is provided at Box 1)</w:t>
      </w:r>
      <w:r w:rsidRPr="11FF59B9">
        <w:rPr>
          <w:rFonts w:ascii="Arial" w:hAnsi="Arial" w:cs="Arial"/>
        </w:rPr>
        <w:t>.</w:t>
      </w:r>
      <w:r w:rsidR="00A37AC1">
        <w:rPr>
          <w:rStyle w:val="FootnoteReference"/>
          <w:rFonts w:ascii="Arial" w:hAnsi="Arial" w:cs="Arial"/>
        </w:rPr>
        <w:footnoteReference w:id="8"/>
      </w:r>
      <w:r w:rsidRPr="11FF59B9">
        <w:rPr>
          <w:rFonts w:ascii="Arial" w:hAnsi="Arial" w:cs="Arial"/>
        </w:rPr>
        <w:t xml:space="preserve"> The ACCC also recommended that other issues raised by dealers relating to the imbalance of power in their </w:t>
      </w:r>
      <w:r w:rsidRPr="11FF59B9">
        <w:rPr>
          <w:rFonts w:ascii="Arial" w:hAnsi="Arial" w:cs="Arial"/>
        </w:rPr>
        <w:lastRenderedPageBreak/>
        <w:t>commercial arrangements with manufacturers, such as insecure tenure and significant capital outlays expected of dealers, be examined further.</w:t>
      </w:r>
      <w:r w:rsidR="0078764D">
        <w:rPr>
          <w:rStyle w:val="FootnoteReference"/>
          <w:rFonts w:ascii="Arial" w:hAnsi="Arial" w:cs="Arial"/>
        </w:rPr>
        <w:footnoteReference w:id="9"/>
      </w:r>
    </w:p>
    <w:p w14:paraId="3F1D09E7" w14:textId="6EBC4B85" w:rsidR="00A671C6" w:rsidRDefault="11FF59B9" w:rsidP="11FF59B9">
      <w:pPr>
        <w:spacing w:before="240" w:line="360" w:lineRule="auto"/>
        <w:jc w:val="both"/>
        <w:rPr>
          <w:rFonts w:ascii="Arial" w:hAnsi="Arial" w:cs="Arial"/>
        </w:rPr>
      </w:pPr>
      <w:r w:rsidRPr="11FF59B9">
        <w:rPr>
          <w:rFonts w:ascii="Arial" w:hAnsi="Arial" w:cs="Arial"/>
        </w:rPr>
        <w:t xml:space="preserve">In line with the ACCC’s findings, </w:t>
      </w:r>
      <w:r w:rsidR="00795C15">
        <w:rPr>
          <w:rFonts w:ascii="Arial" w:hAnsi="Arial" w:cs="Arial"/>
        </w:rPr>
        <w:t xml:space="preserve">in 2018 </w:t>
      </w:r>
      <w:r w:rsidRPr="11FF59B9">
        <w:rPr>
          <w:rFonts w:ascii="Arial" w:hAnsi="Arial" w:cs="Arial"/>
        </w:rPr>
        <w:t xml:space="preserve">the Government committed to </w:t>
      </w:r>
      <w:r w:rsidR="001A6563">
        <w:rPr>
          <w:rFonts w:ascii="Arial" w:hAnsi="Arial" w:cs="Arial"/>
        </w:rPr>
        <w:t xml:space="preserve">a </w:t>
      </w:r>
      <w:r w:rsidRPr="11FF59B9">
        <w:rPr>
          <w:rFonts w:ascii="Arial" w:hAnsi="Arial" w:cs="Arial"/>
        </w:rPr>
        <w:t>mandatory information sharing</w:t>
      </w:r>
      <w:r w:rsidR="00817D5E">
        <w:rPr>
          <w:rFonts w:ascii="Arial" w:hAnsi="Arial" w:cs="Arial"/>
        </w:rPr>
        <w:t xml:space="preserve"> scheme</w:t>
      </w:r>
      <w:r w:rsidRPr="11FF59B9">
        <w:rPr>
          <w:rFonts w:ascii="Arial" w:hAnsi="Arial" w:cs="Arial"/>
        </w:rPr>
        <w:t xml:space="preserve"> between car manufacturers and independent repairers.</w:t>
      </w:r>
      <w:r w:rsidR="001A6563">
        <w:rPr>
          <w:rFonts w:ascii="Arial" w:hAnsi="Arial" w:cs="Arial"/>
        </w:rPr>
        <w:t xml:space="preserve"> </w:t>
      </w:r>
      <w:r w:rsidR="00795C15">
        <w:rPr>
          <w:rFonts w:ascii="Arial" w:hAnsi="Arial" w:cs="Arial"/>
        </w:rPr>
        <w:t>In August 2019, t</w:t>
      </w:r>
      <w:r w:rsidRPr="11FF59B9">
        <w:rPr>
          <w:rFonts w:ascii="Arial" w:hAnsi="Arial" w:cs="Arial"/>
        </w:rPr>
        <w:t xml:space="preserve">he Government </w:t>
      </w:r>
      <w:r w:rsidR="00795C15">
        <w:rPr>
          <w:rFonts w:ascii="Arial" w:hAnsi="Arial" w:cs="Arial"/>
        </w:rPr>
        <w:t>announced</w:t>
      </w:r>
      <w:r w:rsidR="004D1C72">
        <w:rPr>
          <w:rFonts w:ascii="Arial" w:hAnsi="Arial" w:cs="Arial"/>
        </w:rPr>
        <w:t xml:space="preserve"> that it</w:t>
      </w:r>
      <w:r w:rsidR="003E09A4">
        <w:rPr>
          <w:rFonts w:ascii="Arial" w:hAnsi="Arial" w:cs="Arial"/>
        </w:rPr>
        <w:t xml:space="preserve"> would</w:t>
      </w:r>
      <w:r w:rsidR="004D1C72">
        <w:rPr>
          <w:rFonts w:ascii="Arial" w:hAnsi="Arial" w:cs="Arial"/>
        </w:rPr>
        <w:t xml:space="preserve"> </w:t>
      </w:r>
      <w:r w:rsidR="003E09A4">
        <w:rPr>
          <w:rFonts w:ascii="Arial" w:hAnsi="Arial" w:cs="Arial"/>
        </w:rPr>
        <w:t>pursue regulatory</w:t>
      </w:r>
      <w:r w:rsidR="00795C15">
        <w:rPr>
          <w:rFonts w:ascii="Arial" w:hAnsi="Arial" w:cs="Arial"/>
        </w:rPr>
        <w:t xml:space="preserve"> reforms to </w:t>
      </w:r>
      <w:r w:rsidRPr="11FF59B9">
        <w:rPr>
          <w:rFonts w:ascii="Arial" w:hAnsi="Arial" w:cs="Arial"/>
        </w:rPr>
        <w:t xml:space="preserve">address concerns </w:t>
      </w:r>
      <w:r w:rsidR="001968AD">
        <w:rPr>
          <w:rFonts w:ascii="Arial" w:hAnsi="Arial" w:cs="Arial"/>
        </w:rPr>
        <w:t>about</w:t>
      </w:r>
      <w:r w:rsidR="001968AD" w:rsidRPr="11FF59B9">
        <w:rPr>
          <w:rFonts w:ascii="Arial" w:hAnsi="Arial" w:cs="Arial"/>
        </w:rPr>
        <w:t xml:space="preserve"> </w:t>
      </w:r>
      <w:r w:rsidRPr="11FF59B9">
        <w:rPr>
          <w:rFonts w:ascii="Arial" w:hAnsi="Arial" w:cs="Arial"/>
        </w:rPr>
        <w:t>the commercial relationships between car manufacturers, as franchisors and new car dealers, as franchisees. While there are other franchise arrangements in the automotive sector, for example, some service and repair brands operate under franchise arrangements, only the arrangements between new car dealers and manufacturers are being considered in this Regulation Impact Statement</w:t>
      </w:r>
      <w:r w:rsidR="00664AFF">
        <w:rPr>
          <w:rFonts w:ascii="Arial" w:hAnsi="Arial" w:cs="Arial"/>
        </w:rPr>
        <w:t xml:space="preserve"> (RIS)</w:t>
      </w:r>
      <w:r w:rsidRPr="11FF59B9">
        <w:rPr>
          <w:rFonts w:ascii="Arial" w:hAnsi="Arial" w:cs="Arial"/>
        </w:rPr>
        <w:t xml:space="preserve">. </w:t>
      </w:r>
    </w:p>
    <w:p w14:paraId="3F1D09E8" w14:textId="4E3485FC" w:rsidR="00A671C6" w:rsidRPr="008F2BAE" w:rsidRDefault="11FF59B9" w:rsidP="11FF59B9">
      <w:pPr>
        <w:spacing w:before="240" w:line="360" w:lineRule="auto"/>
        <w:jc w:val="both"/>
        <w:rPr>
          <w:rFonts w:ascii="Arial" w:hAnsi="Arial" w:cs="Arial"/>
        </w:rPr>
      </w:pPr>
      <w:r w:rsidRPr="11FF59B9">
        <w:rPr>
          <w:rFonts w:ascii="Arial" w:hAnsi="Arial" w:cs="Arial"/>
        </w:rPr>
        <w:t>The franchising relationship between car manufacturers and dealers is subject to the Franchising Code</w:t>
      </w:r>
      <w:bookmarkStart w:id="16" w:name="_Ref530473299"/>
      <w:r w:rsidR="00AD7C59">
        <w:rPr>
          <w:rStyle w:val="FootnoteReference"/>
          <w:rFonts w:ascii="Arial" w:hAnsi="Arial" w:cs="Arial"/>
        </w:rPr>
        <w:footnoteReference w:id="10"/>
      </w:r>
      <w:bookmarkEnd w:id="16"/>
      <w:r w:rsidRPr="11FF59B9">
        <w:rPr>
          <w:rFonts w:ascii="Arial" w:hAnsi="Arial" w:cs="Arial"/>
        </w:rPr>
        <w:t xml:space="preserve">, a mandatory code under the </w:t>
      </w:r>
      <w:r w:rsidRPr="5996C6E7">
        <w:rPr>
          <w:rFonts w:ascii="Arial" w:hAnsi="Arial" w:cs="Arial"/>
          <w:i/>
          <w:iCs/>
        </w:rPr>
        <w:t>Competition and Consumer Act 2010</w:t>
      </w:r>
      <w:r w:rsidR="004A6C2B" w:rsidRPr="5996C6E7">
        <w:rPr>
          <w:rFonts w:ascii="Arial" w:hAnsi="Arial" w:cs="Arial"/>
          <w:i/>
          <w:iCs/>
        </w:rPr>
        <w:t xml:space="preserve"> </w:t>
      </w:r>
      <w:r w:rsidR="004A6C2B" w:rsidRPr="0040566B">
        <w:rPr>
          <w:rFonts w:ascii="Arial" w:hAnsi="Arial" w:cs="Arial"/>
        </w:rPr>
        <w:t>(CCA)</w:t>
      </w:r>
      <w:r w:rsidRPr="11FF59B9">
        <w:rPr>
          <w:rFonts w:ascii="Arial" w:hAnsi="Arial" w:cs="Arial"/>
        </w:rPr>
        <w:t xml:space="preserve">. </w:t>
      </w:r>
      <w:r w:rsidRPr="00F82BBA">
        <w:rPr>
          <w:rFonts w:ascii="Arial" w:hAnsi="Arial" w:cs="Arial"/>
        </w:rPr>
        <w:t>The Parliamentary Joint Committee on Corporations and Financial Services</w:t>
      </w:r>
      <w:r w:rsidR="00E74465">
        <w:rPr>
          <w:rFonts w:ascii="Arial" w:hAnsi="Arial" w:cs="Arial"/>
        </w:rPr>
        <w:t xml:space="preserve"> completed its Inquiry </w:t>
      </w:r>
      <w:r w:rsidR="008A0D13">
        <w:rPr>
          <w:rFonts w:ascii="Arial" w:hAnsi="Arial" w:cs="Arial"/>
        </w:rPr>
        <w:t xml:space="preserve">into the </w:t>
      </w:r>
      <w:r w:rsidR="00170F1A">
        <w:rPr>
          <w:rFonts w:ascii="Arial" w:hAnsi="Arial" w:cs="Arial"/>
        </w:rPr>
        <w:t>operation and effectiveness of the Franchising Code of Conduct (PJC Inquiry) and</w:t>
      </w:r>
      <w:r w:rsidRPr="00F82BBA">
        <w:rPr>
          <w:rFonts w:ascii="Arial" w:hAnsi="Arial" w:cs="Arial"/>
        </w:rPr>
        <w:t xml:space="preserve"> </w:t>
      </w:r>
      <w:r w:rsidR="002643CC">
        <w:rPr>
          <w:rFonts w:ascii="Arial" w:hAnsi="Arial" w:cs="Arial"/>
        </w:rPr>
        <w:t xml:space="preserve">released its </w:t>
      </w:r>
      <w:r w:rsidR="00170F1A">
        <w:rPr>
          <w:rFonts w:ascii="Arial" w:hAnsi="Arial" w:cs="Arial"/>
        </w:rPr>
        <w:t>r</w:t>
      </w:r>
      <w:r w:rsidR="002643CC">
        <w:rPr>
          <w:rFonts w:ascii="Arial" w:hAnsi="Arial" w:cs="Arial"/>
        </w:rPr>
        <w:t>eport ‘</w:t>
      </w:r>
      <w:r w:rsidR="002643CC">
        <w:rPr>
          <w:rFonts w:ascii="Arial" w:hAnsi="Arial" w:cs="Arial"/>
          <w:i/>
        </w:rPr>
        <w:t xml:space="preserve">Fairness in </w:t>
      </w:r>
      <w:r w:rsidR="002643CC" w:rsidRPr="00950D66">
        <w:rPr>
          <w:rFonts w:ascii="Arial" w:hAnsi="Arial" w:cs="Arial"/>
          <w:i/>
        </w:rPr>
        <w:t>Franchising</w:t>
      </w:r>
      <w:r w:rsidR="002643CC">
        <w:rPr>
          <w:rFonts w:ascii="Arial" w:hAnsi="Arial" w:cs="Arial"/>
        </w:rPr>
        <w:t xml:space="preserve">’ on </w:t>
      </w:r>
      <w:r w:rsidR="001F501A" w:rsidRPr="00F82BBA">
        <w:rPr>
          <w:rFonts w:ascii="Arial" w:hAnsi="Arial" w:cs="Arial"/>
        </w:rPr>
        <w:t xml:space="preserve">14 </w:t>
      </w:r>
      <w:r w:rsidR="00F82BBA" w:rsidRPr="008F2BAE">
        <w:rPr>
          <w:rFonts w:ascii="Arial" w:hAnsi="Arial" w:cs="Arial"/>
        </w:rPr>
        <w:t>March</w:t>
      </w:r>
      <w:r w:rsidR="00F82BBA" w:rsidRPr="00F82BBA">
        <w:rPr>
          <w:rFonts w:ascii="Arial" w:hAnsi="Arial" w:cs="Arial"/>
        </w:rPr>
        <w:t xml:space="preserve"> </w:t>
      </w:r>
      <w:r w:rsidR="001F501A" w:rsidRPr="00F82BBA">
        <w:rPr>
          <w:rFonts w:ascii="Arial" w:hAnsi="Arial" w:cs="Arial"/>
        </w:rPr>
        <w:t>2019</w:t>
      </w:r>
      <w:r w:rsidR="00E03D69" w:rsidRPr="00F82BBA">
        <w:rPr>
          <w:rFonts w:ascii="Arial" w:hAnsi="Arial" w:cs="Arial"/>
        </w:rPr>
        <w:t xml:space="preserve"> (PJC </w:t>
      </w:r>
      <w:r w:rsidR="002643CC">
        <w:rPr>
          <w:rFonts w:ascii="Arial" w:hAnsi="Arial" w:cs="Arial"/>
        </w:rPr>
        <w:t>Report</w:t>
      </w:r>
      <w:r w:rsidR="00E03D69" w:rsidRPr="00F82BBA">
        <w:rPr>
          <w:rFonts w:ascii="Arial" w:hAnsi="Arial" w:cs="Arial"/>
        </w:rPr>
        <w:t>)</w:t>
      </w:r>
      <w:r w:rsidR="004D0831" w:rsidRPr="00F82BBA">
        <w:rPr>
          <w:rFonts w:ascii="Arial" w:hAnsi="Arial" w:cs="Arial"/>
        </w:rPr>
        <w:t>.</w:t>
      </w:r>
      <w:r w:rsidRPr="00F82BBA">
        <w:rPr>
          <w:rFonts w:ascii="Arial" w:hAnsi="Arial" w:cs="Arial"/>
        </w:rPr>
        <w:t xml:space="preserve"> </w:t>
      </w:r>
      <w:r w:rsidR="00251AD5">
        <w:rPr>
          <w:rFonts w:ascii="Arial" w:hAnsi="Arial" w:cs="Arial"/>
        </w:rPr>
        <w:t>The PJC report examined the existing regulatory framework</w:t>
      </w:r>
      <w:r w:rsidR="001465C6">
        <w:rPr>
          <w:rFonts w:ascii="Arial" w:hAnsi="Arial" w:cs="Arial"/>
        </w:rPr>
        <w:t xml:space="preserve"> for franchises</w:t>
      </w:r>
      <w:r w:rsidR="00251AD5">
        <w:rPr>
          <w:rFonts w:ascii="Arial" w:hAnsi="Arial" w:cs="Arial"/>
        </w:rPr>
        <w:t xml:space="preserve"> and the </w:t>
      </w:r>
      <w:r w:rsidR="001465C6">
        <w:rPr>
          <w:rFonts w:ascii="Arial" w:hAnsi="Arial" w:cs="Arial"/>
        </w:rPr>
        <w:t>suitability of the protections provided to franchisees.</w:t>
      </w:r>
      <w:r w:rsidR="00251AD5">
        <w:rPr>
          <w:rFonts w:ascii="Arial" w:hAnsi="Arial" w:cs="Arial"/>
        </w:rPr>
        <w:t xml:space="preserve"> </w:t>
      </w:r>
      <w:r w:rsidRPr="00F82BBA">
        <w:rPr>
          <w:rFonts w:ascii="Arial" w:hAnsi="Arial" w:cs="Arial"/>
        </w:rPr>
        <w:t xml:space="preserve">The </w:t>
      </w:r>
      <w:r w:rsidR="00980334">
        <w:rPr>
          <w:rFonts w:ascii="Arial" w:hAnsi="Arial" w:cs="Arial"/>
        </w:rPr>
        <w:t xml:space="preserve">PJC Report made a number of recommendations for franchising </w:t>
      </w:r>
      <w:r w:rsidR="009B0190">
        <w:rPr>
          <w:rFonts w:ascii="Arial" w:hAnsi="Arial" w:cs="Arial"/>
        </w:rPr>
        <w:t>general</w:t>
      </w:r>
      <w:r w:rsidR="00980334">
        <w:rPr>
          <w:rFonts w:ascii="Arial" w:hAnsi="Arial" w:cs="Arial"/>
        </w:rPr>
        <w:t>ly</w:t>
      </w:r>
      <w:r w:rsidR="008A683E">
        <w:rPr>
          <w:rFonts w:ascii="Arial" w:hAnsi="Arial" w:cs="Arial"/>
        </w:rPr>
        <w:t xml:space="preserve">, with two </w:t>
      </w:r>
      <w:r w:rsidR="00EE55A3">
        <w:rPr>
          <w:rFonts w:ascii="Arial" w:hAnsi="Arial" w:cs="Arial"/>
        </w:rPr>
        <w:t xml:space="preserve">directly </w:t>
      </w:r>
      <w:r w:rsidR="008A683E">
        <w:rPr>
          <w:rFonts w:ascii="Arial" w:hAnsi="Arial" w:cs="Arial"/>
        </w:rPr>
        <w:t>relevant to the automotive in</w:t>
      </w:r>
      <w:r w:rsidR="00D11BCF">
        <w:rPr>
          <w:rFonts w:ascii="Arial" w:hAnsi="Arial" w:cs="Arial"/>
        </w:rPr>
        <w:t>dustry</w:t>
      </w:r>
      <w:r w:rsidR="009617E5">
        <w:rPr>
          <w:rFonts w:ascii="Arial" w:hAnsi="Arial" w:cs="Arial"/>
        </w:rPr>
        <w:t>.</w:t>
      </w:r>
      <w:r w:rsidR="003179F6">
        <w:rPr>
          <w:rFonts w:ascii="Arial" w:hAnsi="Arial" w:cs="Arial"/>
        </w:rPr>
        <w:t xml:space="preserve"> </w:t>
      </w:r>
      <w:r w:rsidR="00797084">
        <w:rPr>
          <w:rFonts w:ascii="Arial" w:hAnsi="Arial" w:cs="Arial"/>
        </w:rPr>
        <w:t xml:space="preserve">The </w:t>
      </w:r>
      <w:r w:rsidR="00882E6B">
        <w:rPr>
          <w:rFonts w:ascii="Arial" w:hAnsi="Arial" w:cs="Arial"/>
        </w:rPr>
        <w:t xml:space="preserve">Government’s </w:t>
      </w:r>
      <w:r w:rsidR="00797084">
        <w:rPr>
          <w:rFonts w:ascii="Arial" w:hAnsi="Arial" w:cs="Arial"/>
        </w:rPr>
        <w:t xml:space="preserve">Franchising Taskforce </w:t>
      </w:r>
      <w:r w:rsidR="00882E6B">
        <w:rPr>
          <w:rFonts w:ascii="Arial" w:hAnsi="Arial" w:cs="Arial"/>
        </w:rPr>
        <w:t xml:space="preserve">is </w:t>
      </w:r>
      <w:r w:rsidR="00E9002F">
        <w:rPr>
          <w:rFonts w:ascii="Arial" w:hAnsi="Arial" w:cs="Arial"/>
        </w:rPr>
        <w:t xml:space="preserve">considering </w:t>
      </w:r>
      <w:r w:rsidR="00797084">
        <w:rPr>
          <w:rFonts w:ascii="Arial" w:hAnsi="Arial" w:cs="Arial"/>
        </w:rPr>
        <w:t xml:space="preserve">the general recommendations </w:t>
      </w:r>
      <w:r w:rsidR="007006E6">
        <w:rPr>
          <w:rFonts w:ascii="Arial" w:hAnsi="Arial" w:cs="Arial"/>
        </w:rPr>
        <w:t xml:space="preserve">though a separate process </w:t>
      </w:r>
      <w:r w:rsidR="00797084">
        <w:rPr>
          <w:rFonts w:ascii="Arial" w:hAnsi="Arial" w:cs="Arial"/>
        </w:rPr>
        <w:t xml:space="preserve">and </w:t>
      </w:r>
      <w:r w:rsidR="008332EB">
        <w:rPr>
          <w:rFonts w:ascii="Arial" w:hAnsi="Arial" w:cs="Arial"/>
        </w:rPr>
        <w:t xml:space="preserve">they </w:t>
      </w:r>
      <w:r w:rsidR="00797084">
        <w:rPr>
          <w:rFonts w:ascii="Arial" w:hAnsi="Arial" w:cs="Arial"/>
        </w:rPr>
        <w:t>are outside the scope of this RIS.</w:t>
      </w:r>
      <w:r w:rsidR="009617E5">
        <w:rPr>
          <w:rFonts w:ascii="Arial" w:hAnsi="Arial" w:cs="Arial"/>
        </w:rPr>
        <w:t xml:space="preserve"> The</w:t>
      </w:r>
      <w:r w:rsidR="008E1E34">
        <w:rPr>
          <w:rFonts w:ascii="Arial" w:hAnsi="Arial" w:cs="Arial"/>
        </w:rPr>
        <w:t xml:space="preserve"> recommendations</w:t>
      </w:r>
      <w:r w:rsidR="00A2186A">
        <w:rPr>
          <w:rFonts w:ascii="Arial" w:hAnsi="Arial" w:cs="Arial"/>
        </w:rPr>
        <w:t xml:space="preserve"> </w:t>
      </w:r>
      <w:r w:rsidR="003179F6">
        <w:rPr>
          <w:rFonts w:ascii="Arial" w:hAnsi="Arial" w:cs="Arial"/>
        </w:rPr>
        <w:t xml:space="preserve">regarding the automotive industry </w:t>
      </w:r>
      <w:r w:rsidR="00A2186A">
        <w:rPr>
          <w:rFonts w:ascii="Arial" w:hAnsi="Arial" w:cs="Arial"/>
        </w:rPr>
        <w:t>broadly align with the</w:t>
      </w:r>
      <w:r w:rsidR="008A683E">
        <w:rPr>
          <w:rFonts w:ascii="Arial" w:hAnsi="Arial" w:cs="Arial"/>
        </w:rPr>
        <w:t xml:space="preserve"> </w:t>
      </w:r>
      <w:r w:rsidR="00A2186A">
        <w:rPr>
          <w:rFonts w:ascii="Arial" w:hAnsi="Arial" w:cs="Arial"/>
        </w:rPr>
        <w:t>options supported in this RIS</w:t>
      </w:r>
      <w:r w:rsidR="00860716">
        <w:rPr>
          <w:rFonts w:ascii="Arial" w:hAnsi="Arial" w:cs="Arial"/>
        </w:rPr>
        <w:t xml:space="preserve"> and are discussed within the an</w:t>
      </w:r>
      <w:r w:rsidR="00B10352">
        <w:rPr>
          <w:rFonts w:ascii="Arial" w:hAnsi="Arial" w:cs="Arial"/>
        </w:rPr>
        <w:t>alysis</w:t>
      </w:r>
      <w:r w:rsidR="00860716">
        <w:rPr>
          <w:rFonts w:ascii="Arial" w:hAnsi="Arial" w:cs="Arial"/>
        </w:rPr>
        <w:t xml:space="preserve"> of each option</w:t>
      </w:r>
      <w:r w:rsidR="00A2186A">
        <w:rPr>
          <w:rFonts w:ascii="Arial" w:hAnsi="Arial" w:cs="Arial"/>
        </w:rPr>
        <w:t>.</w:t>
      </w:r>
      <w:r w:rsidR="005072DD">
        <w:rPr>
          <w:rFonts w:ascii="Arial" w:hAnsi="Arial" w:cs="Arial"/>
        </w:rPr>
        <w:t xml:space="preserve"> </w:t>
      </w:r>
      <w:r w:rsidR="00EE55A3">
        <w:rPr>
          <w:rFonts w:ascii="Arial" w:hAnsi="Arial" w:cs="Arial"/>
        </w:rPr>
        <w:t>T</w:t>
      </w:r>
      <w:r w:rsidR="008E1E34">
        <w:rPr>
          <w:rFonts w:ascii="Arial" w:hAnsi="Arial" w:cs="Arial"/>
        </w:rPr>
        <w:t>he PJC Report</w:t>
      </w:r>
      <w:r w:rsidR="00124963">
        <w:rPr>
          <w:rFonts w:ascii="Arial" w:hAnsi="Arial" w:cs="Arial"/>
        </w:rPr>
        <w:t xml:space="preserve"> also</w:t>
      </w:r>
      <w:r w:rsidR="008E1E34">
        <w:rPr>
          <w:rFonts w:ascii="Arial" w:hAnsi="Arial" w:cs="Arial"/>
        </w:rPr>
        <w:t xml:space="preserve"> recommended</w:t>
      </w:r>
      <w:r w:rsidR="008E1E34">
        <w:rPr>
          <w:rStyle w:val="FootnoteReference"/>
          <w:rFonts w:ascii="Arial" w:hAnsi="Arial" w:cs="Arial"/>
        </w:rPr>
        <w:footnoteReference w:id="11"/>
      </w:r>
      <w:r w:rsidR="008E1E34">
        <w:rPr>
          <w:rFonts w:ascii="Arial" w:hAnsi="Arial" w:cs="Arial"/>
        </w:rPr>
        <w:t xml:space="preserve"> </w:t>
      </w:r>
      <w:r w:rsidR="00DC280E">
        <w:rPr>
          <w:rFonts w:ascii="Arial" w:hAnsi="Arial" w:cs="Arial"/>
        </w:rPr>
        <w:t xml:space="preserve">that the Government </w:t>
      </w:r>
      <w:r w:rsidR="00B67A67">
        <w:rPr>
          <w:rFonts w:ascii="Arial" w:hAnsi="Arial" w:cs="Arial"/>
        </w:rPr>
        <w:t xml:space="preserve">consider </w:t>
      </w:r>
      <w:r w:rsidR="008B2726">
        <w:rPr>
          <w:rFonts w:ascii="Arial" w:hAnsi="Arial" w:cs="Arial"/>
        </w:rPr>
        <w:t>‘</w:t>
      </w:r>
      <w:r w:rsidR="00B67A67">
        <w:rPr>
          <w:rFonts w:ascii="Arial" w:hAnsi="Arial" w:cs="Arial"/>
        </w:rPr>
        <w:t xml:space="preserve">establishing a core franchising code </w:t>
      </w:r>
      <w:r w:rsidR="008B2726">
        <w:rPr>
          <w:rFonts w:ascii="Arial" w:hAnsi="Arial" w:cs="Arial"/>
        </w:rPr>
        <w:t>that applies generally, with industry-specific aspects in schedules or sub-codes</w:t>
      </w:r>
      <w:r w:rsidR="00EE55A3">
        <w:rPr>
          <w:rFonts w:ascii="Arial" w:hAnsi="Arial" w:cs="Arial"/>
        </w:rPr>
        <w:t>’, noting that the issues raised are not unique to the auto industry and addressing through the Franchising Code is appropriate.</w:t>
      </w:r>
      <w:r w:rsidR="00A2186A">
        <w:rPr>
          <w:rFonts w:ascii="Arial" w:hAnsi="Arial" w:cs="Arial"/>
        </w:rPr>
        <w:t xml:space="preserve"> </w:t>
      </w:r>
      <w:r w:rsidR="005F6E6F">
        <w:rPr>
          <w:rFonts w:ascii="Arial" w:hAnsi="Arial" w:cs="Arial"/>
        </w:rPr>
        <w:t xml:space="preserve">The </w:t>
      </w:r>
      <w:r w:rsidR="006E73BB">
        <w:rPr>
          <w:rFonts w:ascii="Arial" w:hAnsi="Arial" w:cs="Arial"/>
        </w:rPr>
        <w:t>Department of Industry, Science, Energy and Resources</w:t>
      </w:r>
      <w:r w:rsidR="005F6E6F">
        <w:rPr>
          <w:rFonts w:ascii="Arial" w:hAnsi="Arial" w:cs="Arial"/>
        </w:rPr>
        <w:t xml:space="preserve"> (</w:t>
      </w:r>
      <w:r w:rsidR="006E73BB">
        <w:rPr>
          <w:rFonts w:ascii="Arial" w:hAnsi="Arial" w:cs="Arial"/>
        </w:rPr>
        <w:t>DISER</w:t>
      </w:r>
      <w:r w:rsidR="005F6E6F">
        <w:rPr>
          <w:rFonts w:ascii="Arial" w:hAnsi="Arial" w:cs="Arial"/>
        </w:rPr>
        <w:t>)</w:t>
      </w:r>
      <w:r w:rsidR="00213050">
        <w:rPr>
          <w:rFonts w:ascii="Arial" w:hAnsi="Arial" w:cs="Arial"/>
        </w:rPr>
        <w:t xml:space="preserve"> consulted stakeholders on the different implementation options, such as a standalone code, amending the Franchising Code and a voluntary code. </w:t>
      </w:r>
      <w:r w:rsidR="00B91139" w:rsidRPr="00AC7726">
        <w:rPr>
          <w:rFonts w:ascii="Arial" w:hAnsi="Arial" w:cs="Arial"/>
        </w:rPr>
        <w:t xml:space="preserve">In consideration of </w:t>
      </w:r>
      <w:r w:rsidR="00EE55A3">
        <w:rPr>
          <w:rFonts w:ascii="Arial" w:hAnsi="Arial" w:cs="Arial"/>
        </w:rPr>
        <w:t>the PJC findings</w:t>
      </w:r>
      <w:r w:rsidR="00B91139" w:rsidRPr="00AC7726">
        <w:rPr>
          <w:rFonts w:ascii="Arial" w:hAnsi="Arial" w:cs="Arial"/>
        </w:rPr>
        <w:t xml:space="preserve"> and feedback received from stakeholders during the RIS consultation, the RIS supports implementation of the reforms through </w:t>
      </w:r>
      <w:r w:rsidR="007677F5">
        <w:rPr>
          <w:rFonts w:ascii="Arial" w:hAnsi="Arial" w:cs="Arial"/>
        </w:rPr>
        <w:t xml:space="preserve">industry specific amendments </w:t>
      </w:r>
      <w:r w:rsidR="00882E6B">
        <w:rPr>
          <w:rFonts w:ascii="Arial" w:hAnsi="Arial" w:cs="Arial"/>
        </w:rPr>
        <w:t>to</w:t>
      </w:r>
      <w:r w:rsidR="009E3A3D">
        <w:rPr>
          <w:rFonts w:ascii="Arial" w:hAnsi="Arial" w:cs="Arial"/>
        </w:rPr>
        <w:t xml:space="preserve"> the Franchising Code</w:t>
      </w:r>
      <w:r w:rsidR="00882E6B">
        <w:rPr>
          <w:rFonts w:ascii="Arial" w:hAnsi="Arial" w:cs="Arial"/>
        </w:rPr>
        <w:t xml:space="preserve"> in line with the PJC recommendations. </w:t>
      </w:r>
      <w:r w:rsidR="00860716">
        <w:rPr>
          <w:rFonts w:ascii="Arial" w:hAnsi="Arial" w:cs="Arial"/>
        </w:rPr>
        <w:t xml:space="preserve">This is discussed in greater detail at Chapter </w:t>
      </w:r>
      <w:r w:rsidR="00EE55A3">
        <w:rPr>
          <w:rFonts w:ascii="Arial" w:hAnsi="Arial" w:cs="Arial"/>
        </w:rPr>
        <w:t>7</w:t>
      </w:r>
      <w:r w:rsidR="00860716">
        <w:rPr>
          <w:rFonts w:ascii="Arial" w:hAnsi="Arial" w:cs="Arial"/>
        </w:rPr>
        <w:t xml:space="preserve"> – Implementation.</w:t>
      </w:r>
      <w:r w:rsidR="006F23E6">
        <w:rPr>
          <w:rFonts w:ascii="Arial" w:hAnsi="Arial" w:cs="Arial"/>
        </w:rPr>
        <w:t xml:space="preserve"> </w:t>
      </w:r>
    </w:p>
    <w:p w14:paraId="3F1D09EA" w14:textId="6D0D8EA3" w:rsidR="00E06330" w:rsidRDefault="00EA4A48" w:rsidP="11FF59B9">
      <w:pPr>
        <w:spacing w:before="240" w:line="360" w:lineRule="auto"/>
        <w:jc w:val="both"/>
        <w:rPr>
          <w:rFonts w:ascii="Arial" w:hAnsi="Arial" w:cs="Arial"/>
        </w:rPr>
      </w:pPr>
      <w:r>
        <w:rPr>
          <w:rFonts w:ascii="Arial" w:hAnsi="Arial" w:cs="Arial"/>
        </w:rPr>
        <w:lastRenderedPageBreak/>
        <w:t xml:space="preserve">This RIS identifies </w:t>
      </w:r>
      <w:r w:rsidR="00293795">
        <w:rPr>
          <w:rFonts w:ascii="Arial" w:hAnsi="Arial" w:cs="Arial"/>
        </w:rPr>
        <w:t xml:space="preserve">four options for regulatory intervention which </w:t>
      </w:r>
      <w:r w:rsidR="00B375CA">
        <w:rPr>
          <w:rFonts w:ascii="Arial" w:hAnsi="Arial" w:cs="Arial"/>
        </w:rPr>
        <w:t>w</w:t>
      </w:r>
      <w:r w:rsidR="000B2BD7">
        <w:rPr>
          <w:rFonts w:ascii="Arial" w:hAnsi="Arial" w:cs="Arial"/>
        </w:rPr>
        <w:t>ill</w:t>
      </w:r>
      <w:r>
        <w:rPr>
          <w:rFonts w:ascii="Arial" w:hAnsi="Arial" w:cs="Arial"/>
        </w:rPr>
        <w:t xml:space="preserve"> hav</w:t>
      </w:r>
      <w:r w:rsidR="000B2BD7">
        <w:rPr>
          <w:rFonts w:ascii="Arial" w:hAnsi="Arial" w:cs="Arial"/>
        </w:rPr>
        <w:t>e</w:t>
      </w:r>
      <w:r>
        <w:rPr>
          <w:rFonts w:ascii="Arial" w:hAnsi="Arial" w:cs="Arial"/>
        </w:rPr>
        <w:t xml:space="preserve"> a positive net benefit</w:t>
      </w:r>
      <w:r w:rsidR="00A639A9">
        <w:rPr>
          <w:rFonts w:ascii="Arial" w:hAnsi="Arial" w:cs="Arial"/>
        </w:rPr>
        <w:t>.</w:t>
      </w:r>
      <w:r w:rsidR="00976888">
        <w:rPr>
          <w:rFonts w:ascii="Arial" w:hAnsi="Arial" w:cs="Arial"/>
        </w:rPr>
        <w:t xml:space="preserve"> </w:t>
      </w:r>
      <w:r w:rsidR="00A639A9">
        <w:rPr>
          <w:rFonts w:ascii="Arial" w:hAnsi="Arial" w:cs="Arial"/>
        </w:rPr>
        <w:t>T</w:t>
      </w:r>
      <w:r w:rsidR="00976888">
        <w:rPr>
          <w:rFonts w:ascii="Arial" w:hAnsi="Arial" w:cs="Arial"/>
        </w:rPr>
        <w:t>ogether</w:t>
      </w:r>
      <w:r w:rsidR="00A639A9">
        <w:rPr>
          <w:rFonts w:ascii="Arial" w:hAnsi="Arial" w:cs="Arial"/>
        </w:rPr>
        <w:t xml:space="preserve"> these options</w:t>
      </w:r>
      <w:r w:rsidR="00976888">
        <w:rPr>
          <w:rFonts w:ascii="Arial" w:hAnsi="Arial" w:cs="Arial"/>
        </w:rPr>
        <w:t xml:space="preserve"> </w:t>
      </w:r>
      <w:r w:rsidR="00B81D47">
        <w:rPr>
          <w:rFonts w:ascii="Arial" w:hAnsi="Arial" w:cs="Arial"/>
        </w:rPr>
        <w:t>seek to</w:t>
      </w:r>
      <w:r w:rsidR="00976888">
        <w:rPr>
          <w:rFonts w:ascii="Arial" w:hAnsi="Arial" w:cs="Arial"/>
        </w:rPr>
        <w:t xml:space="preserve"> address the identified problems in the new car retailing sector</w:t>
      </w:r>
      <w:r w:rsidR="00293795">
        <w:rPr>
          <w:rFonts w:ascii="Arial" w:hAnsi="Arial" w:cs="Arial"/>
        </w:rPr>
        <w:t xml:space="preserve"> in scope for this RIS</w:t>
      </w:r>
      <w:r>
        <w:rPr>
          <w:rFonts w:ascii="Arial" w:hAnsi="Arial" w:cs="Arial"/>
        </w:rPr>
        <w:t>:</w:t>
      </w:r>
    </w:p>
    <w:p w14:paraId="3F1D09EB" w14:textId="3106321E" w:rsidR="00EA4A48" w:rsidRPr="006E6C4F" w:rsidDel="00E06330" w:rsidRDefault="00EA4A48" w:rsidP="006461DD">
      <w:pPr>
        <w:pStyle w:val="ListParagraph"/>
        <w:numPr>
          <w:ilvl w:val="0"/>
          <w:numId w:val="9"/>
        </w:numPr>
        <w:spacing w:before="240" w:line="360" w:lineRule="auto"/>
        <w:jc w:val="both"/>
        <w:rPr>
          <w:rFonts w:ascii="Arial" w:hAnsi="Arial" w:cs="Arial"/>
        </w:rPr>
      </w:pPr>
      <w:r w:rsidRPr="006E6C4F" w:rsidDel="00E06330">
        <w:rPr>
          <w:rFonts w:ascii="Arial" w:hAnsi="Arial" w:cs="Arial"/>
        </w:rPr>
        <w:t xml:space="preserve">Option 2A – requiring manufacturers </w:t>
      </w:r>
      <w:r w:rsidR="00B81D47">
        <w:rPr>
          <w:rFonts w:ascii="Arial" w:hAnsi="Arial" w:cs="Arial"/>
        </w:rPr>
        <w:t xml:space="preserve">and dealers </w:t>
      </w:r>
      <w:r w:rsidRPr="006E6C4F" w:rsidDel="00E06330">
        <w:rPr>
          <w:rFonts w:ascii="Arial" w:hAnsi="Arial" w:cs="Arial"/>
        </w:rPr>
        <w:t>to provide at least 12 months’ notice when not renewing a dealer agreement</w:t>
      </w:r>
      <w:r w:rsidR="00976888" w:rsidRPr="006E6C4F" w:rsidDel="00E06330">
        <w:rPr>
          <w:rFonts w:ascii="Arial" w:hAnsi="Arial" w:cs="Arial"/>
        </w:rPr>
        <w:t>.</w:t>
      </w:r>
      <w:r w:rsidR="00A468FC">
        <w:rPr>
          <w:rFonts w:ascii="Arial" w:hAnsi="Arial" w:cs="Arial"/>
        </w:rPr>
        <w:t xml:space="preserve"> It will also require </w:t>
      </w:r>
      <w:r w:rsidR="003623D0">
        <w:rPr>
          <w:rFonts w:ascii="Arial" w:hAnsi="Arial" w:cs="Arial"/>
        </w:rPr>
        <w:t>manu</w:t>
      </w:r>
      <w:r w:rsidR="00234C72">
        <w:rPr>
          <w:rFonts w:ascii="Arial" w:hAnsi="Arial" w:cs="Arial"/>
        </w:rPr>
        <w:t>facturers and dealers to discuss</w:t>
      </w:r>
      <w:r w:rsidR="00293795">
        <w:rPr>
          <w:rFonts w:ascii="Arial" w:hAnsi="Arial" w:cs="Arial"/>
        </w:rPr>
        <w:t>,</w:t>
      </w:r>
      <w:r w:rsidR="00234C72">
        <w:rPr>
          <w:rFonts w:ascii="Arial" w:hAnsi="Arial" w:cs="Arial"/>
        </w:rPr>
        <w:t xml:space="preserve"> plan</w:t>
      </w:r>
      <w:r w:rsidR="003623D0">
        <w:rPr>
          <w:rFonts w:ascii="Arial" w:hAnsi="Arial" w:cs="Arial"/>
        </w:rPr>
        <w:t xml:space="preserve"> </w:t>
      </w:r>
      <w:r w:rsidR="00293795">
        <w:rPr>
          <w:rFonts w:ascii="Arial" w:hAnsi="Arial" w:cs="Arial"/>
        </w:rPr>
        <w:t xml:space="preserve">and agree </w:t>
      </w:r>
      <w:r w:rsidR="003623D0">
        <w:rPr>
          <w:rFonts w:ascii="Arial" w:hAnsi="Arial" w:cs="Arial"/>
        </w:rPr>
        <w:t>end of term arrangements when not renewing an agreement.</w:t>
      </w:r>
    </w:p>
    <w:p w14:paraId="3F1D09EC" w14:textId="43A70A9F" w:rsidR="00DA49CB" w:rsidRDefault="00EA4A48" w:rsidP="006461DD">
      <w:pPr>
        <w:pStyle w:val="ListParagraph"/>
        <w:numPr>
          <w:ilvl w:val="0"/>
          <w:numId w:val="9"/>
        </w:numPr>
        <w:spacing w:before="240" w:line="360" w:lineRule="auto"/>
        <w:jc w:val="both"/>
        <w:rPr>
          <w:rFonts w:ascii="Arial" w:hAnsi="Arial" w:cs="Arial"/>
        </w:rPr>
      </w:pPr>
      <w:r w:rsidRPr="006E6C4F" w:rsidDel="00E06330">
        <w:rPr>
          <w:rFonts w:ascii="Arial" w:hAnsi="Arial" w:cs="Arial"/>
        </w:rPr>
        <w:t xml:space="preserve">Option 2B – requiring manufacturers </w:t>
      </w:r>
      <w:r w:rsidR="00B81D47">
        <w:rPr>
          <w:rFonts w:ascii="Arial" w:hAnsi="Arial" w:cs="Arial"/>
        </w:rPr>
        <w:t xml:space="preserve">and dealers </w:t>
      </w:r>
      <w:r w:rsidRPr="006E6C4F" w:rsidDel="00E06330">
        <w:rPr>
          <w:rFonts w:ascii="Arial" w:hAnsi="Arial" w:cs="Arial"/>
        </w:rPr>
        <w:t xml:space="preserve">to provide a statement to </w:t>
      </w:r>
      <w:r w:rsidR="00A25F9D">
        <w:rPr>
          <w:rFonts w:ascii="Arial" w:hAnsi="Arial" w:cs="Arial"/>
        </w:rPr>
        <w:t>the other party</w:t>
      </w:r>
      <w:r w:rsidRPr="006E6C4F" w:rsidDel="00E06330">
        <w:rPr>
          <w:rFonts w:ascii="Arial" w:hAnsi="Arial" w:cs="Arial"/>
        </w:rPr>
        <w:t xml:space="preserve"> outlining why</w:t>
      </w:r>
      <w:r w:rsidRPr="006E6C4F" w:rsidDel="00A25F9D">
        <w:rPr>
          <w:rFonts w:ascii="Arial" w:hAnsi="Arial" w:cs="Arial"/>
        </w:rPr>
        <w:t xml:space="preserve"> </w:t>
      </w:r>
      <w:r w:rsidR="00A25F9D">
        <w:rPr>
          <w:rFonts w:ascii="Arial" w:hAnsi="Arial" w:cs="Arial"/>
        </w:rPr>
        <w:t>a dealer</w:t>
      </w:r>
      <w:r w:rsidRPr="006E6C4F" w:rsidDel="00E06330">
        <w:rPr>
          <w:rFonts w:ascii="Arial" w:hAnsi="Arial" w:cs="Arial"/>
        </w:rPr>
        <w:t xml:space="preserve"> agreement is not being renewed</w:t>
      </w:r>
      <w:r w:rsidR="00976888" w:rsidRPr="006E6C4F" w:rsidDel="00E06330">
        <w:rPr>
          <w:rFonts w:ascii="Arial" w:hAnsi="Arial" w:cs="Arial"/>
        </w:rPr>
        <w:t>.</w:t>
      </w:r>
    </w:p>
    <w:p w14:paraId="3F1D09ED" w14:textId="77777777" w:rsidR="00DA49CB" w:rsidRPr="006E6C4F" w:rsidRDefault="00EA4A48" w:rsidP="006461DD">
      <w:pPr>
        <w:pStyle w:val="ListParagraph"/>
        <w:numPr>
          <w:ilvl w:val="0"/>
          <w:numId w:val="9"/>
        </w:numPr>
        <w:spacing w:before="240" w:line="360" w:lineRule="auto"/>
        <w:jc w:val="both"/>
        <w:rPr>
          <w:rFonts w:ascii="Arial" w:hAnsi="Arial" w:cs="Arial"/>
        </w:rPr>
      </w:pPr>
      <w:r w:rsidRPr="006E6C4F" w:rsidDel="00E06330">
        <w:rPr>
          <w:rFonts w:ascii="Arial" w:hAnsi="Arial" w:cs="Arial"/>
        </w:rPr>
        <w:t xml:space="preserve">Option </w:t>
      </w:r>
      <w:r w:rsidR="00C318E3" w:rsidRPr="006E6C4F">
        <w:rPr>
          <w:rFonts w:ascii="Arial" w:hAnsi="Arial" w:cs="Arial"/>
        </w:rPr>
        <w:t>2D</w:t>
      </w:r>
      <w:r w:rsidRPr="006E6C4F" w:rsidDel="00E06330">
        <w:rPr>
          <w:rFonts w:ascii="Arial" w:hAnsi="Arial" w:cs="Arial"/>
        </w:rPr>
        <w:t xml:space="preserve"> – requiring pre-contractual disclosure of significant capital expenditure to have a greater degree of specificity</w:t>
      </w:r>
      <w:r w:rsidR="00976888" w:rsidRPr="006E6C4F" w:rsidDel="00E06330">
        <w:rPr>
          <w:rFonts w:ascii="Arial" w:hAnsi="Arial" w:cs="Arial"/>
        </w:rPr>
        <w:t>.</w:t>
      </w:r>
    </w:p>
    <w:p w14:paraId="3F1D09EE" w14:textId="32BD1295" w:rsidR="00EA4A48" w:rsidRPr="006E6C4F" w:rsidRDefault="00EA4A48" w:rsidP="006461DD">
      <w:pPr>
        <w:pStyle w:val="ListParagraph"/>
        <w:numPr>
          <w:ilvl w:val="0"/>
          <w:numId w:val="9"/>
        </w:numPr>
        <w:spacing w:before="240" w:line="360" w:lineRule="auto"/>
        <w:jc w:val="both"/>
        <w:rPr>
          <w:rFonts w:ascii="Arial" w:hAnsi="Arial" w:cs="Arial"/>
        </w:rPr>
      </w:pPr>
      <w:r w:rsidRPr="006E6C4F" w:rsidDel="00E06330">
        <w:rPr>
          <w:rFonts w:ascii="Arial" w:hAnsi="Arial" w:cs="Arial"/>
        </w:rPr>
        <w:t xml:space="preserve">Option </w:t>
      </w:r>
      <w:r w:rsidR="00C318E3" w:rsidRPr="006E6C4F">
        <w:rPr>
          <w:rFonts w:ascii="Arial" w:hAnsi="Arial" w:cs="Arial"/>
        </w:rPr>
        <w:t>2F</w:t>
      </w:r>
      <w:r w:rsidRPr="006E6C4F" w:rsidDel="00E06330">
        <w:rPr>
          <w:rFonts w:ascii="Arial" w:hAnsi="Arial" w:cs="Arial"/>
        </w:rPr>
        <w:t xml:space="preserve"> – enabling multi</w:t>
      </w:r>
      <w:r w:rsidR="005752F3">
        <w:rPr>
          <w:rFonts w:ascii="Arial" w:hAnsi="Arial" w:cs="Arial"/>
        </w:rPr>
        <w:t>-</w:t>
      </w:r>
      <w:r w:rsidRPr="006E6C4F" w:rsidDel="00E06330">
        <w:rPr>
          <w:rFonts w:ascii="Arial" w:hAnsi="Arial" w:cs="Arial"/>
        </w:rPr>
        <w:t>franchise</w:t>
      </w:r>
      <w:r w:rsidR="00F81A04">
        <w:rPr>
          <w:rFonts w:ascii="Arial" w:hAnsi="Arial" w:cs="Arial"/>
        </w:rPr>
        <w:t>e</w:t>
      </w:r>
      <w:r w:rsidRPr="006E6C4F" w:rsidDel="00E06330">
        <w:rPr>
          <w:rFonts w:ascii="Arial" w:hAnsi="Arial" w:cs="Arial"/>
        </w:rPr>
        <w:t xml:space="preserve"> mediation.</w:t>
      </w:r>
    </w:p>
    <w:p w14:paraId="3F1D09EF" w14:textId="03D859DA" w:rsidR="00DA49CB" w:rsidRPr="006E6C4F" w:rsidDel="00E06330" w:rsidRDefault="00DA49CB" w:rsidP="00DA49CB">
      <w:pPr>
        <w:spacing w:before="240" w:line="360" w:lineRule="auto"/>
        <w:jc w:val="both"/>
        <w:rPr>
          <w:rFonts w:ascii="Arial" w:hAnsi="Arial" w:cs="Arial"/>
        </w:rPr>
      </w:pPr>
      <w:r w:rsidRPr="006E6C4F">
        <w:rPr>
          <w:rFonts w:ascii="Arial" w:hAnsi="Arial" w:cs="Arial"/>
        </w:rPr>
        <w:t xml:space="preserve">The cumulative </w:t>
      </w:r>
      <w:r w:rsidR="005726E0" w:rsidRPr="006E6C4F">
        <w:rPr>
          <w:rFonts w:ascii="Arial" w:hAnsi="Arial" w:cs="Arial"/>
        </w:rPr>
        <w:t xml:space="preserve">average annual </w:t>
      </w:r>
      <w:r w:rsidRPr="006E6C4F">
        <w:rPr>
          <w:rFonts w:ascii="Arial" w:hAnsi="Arial" w:cs="Arial"/>
        </w:rPr>
        <w:t xml:space="preserve">regulatory burden for the above four recommended </w:t>
      </w:r>
      <w:r w:rsidR="0072723A">
        <w:rPr>
          <w:rFonts w:ascii="Arial" w:hAnsi="Arial" w:cs="Arial"/>
        </w:rPr>
        <w:t>sub</w:t>
      </w:r>
      <w:r w:rsidR="00AD75E2">
        <w:rPr>
          <w:rFonts w:ascii="Arial" w:hAnsi="Arial" w:cs="Arial"/>
        </w:rPr>
        <w:noBreakHyphen/>
      </w:r>
      <w:r w:rsidRPr="006E6C4F">
        <w:rPr>
          <w:rFonts w:ascii="Arial" w:hAnsi="Arial" w:cs="Arial"/>
        </w:rPr>
        <w:t xml:space="preserve">options is </w:t>
      </w:r>
      <w:r w:rsidR="003A7584" w:rsidRPr="008332EB">
        <w:rPr>
          <w:rFonts w:ascii="Arial" w:hAnsi="Arial" w:cs="Arial"/>
        </w:rPr>
        <w:t>about $</w:t>
      </w:r>
      <w:r w:rsidR="00F95E27" w:rsidRPr="008332EB">
        <w:rPr>
          <w:rFonts w:ascii="Arial" w:hAnsi="Arial" w:cs="Arial"/>
        </w:rPr>
        <w:t>4.</w:t>
      </w:r>
      <w:r w:rsidR="007D5F9D" w:rsidRPr="008332EB">
        <w:rPr>
          <w:rFonts w:ascii="Arial" w:hAnsi="Arial" w:cs="Arial"/>
        </w:rPr>
        <w:t>575</w:t>
      </w:r>
      <w:r w:rsidRPr="008332EB">
        <w:rPr>
          <w:rFonts w:ascii="Arial" w:hAnsi="Arial" w:cs="Arial"/>
        </w:rPr>
        <w:t xml:space="preserve"> million</w:t>
      </w:r>
      <w:r w:rsidR="00D92096" w:rsidRPr="008332EB">
        <w:rPr>
          <w:rFonts w:ascii="Arial" w:hAnsi="Arial" w:cs="Arial"/>
        </w:rPr>
        <w:t xml:space="preserve"> identified in the table on pa</w:t>
      </w:r>
      <w:r w:rsidR="5996C6E7" w:rsidRPr="008332EB">
        <w:rPr>
          <w:rFonts w:ascii="Arial" w:hAnsi="Arial" w:cs="Arial"/>
        </w:rPr>
        <w:t>ge 4</w:t>
      </w:r>
      <w:r w:rsidR="000C2AA4" w:rsidRPr="008332EB">
        <w:rPr>
          <w:rFonts w:ascii="Arial" w:hAnsi="Arial" w:cs="Arial"/>
        </w:rPr>
        <w:t>4</w:t>
      </w:r>
      <w:r w:rsidR="00D92096" w:rsidRPr="008332EB">
        <w:rPr>
          <w:rFonts w:ascii="Arial" w:hAnsi="Arial" w:cs="Arial"/>
        </w:rPr>
        <w:t>.</w:t>
      </w:r>
    </w:p>
    <w:p w14:paraId="3F1D09F0" w14:textId="6121A77D" w:rsidR="00EA4A48" w:rsidRPr="006E6C4F" w:rsidRDefault="00EA4A48" w:rsidP="00EA4A48">
      <w:pPr>
        <w:spacing w:before="240" w:line="360" w:lineRule="auto"/>
        <w:jc w:val="both"/>
        <w:rPr>
          <w:rFonts w:ascii="Arial" w:hAnsi="Arial" w:cs="Arial"/>
        </w:rPr>
      </w:pPr>
      <w:r w:rsidRPr="006E6C4F">
        <w:rPr>
          <w:rFonts w:ascii="Arial" w:hAnsi="Arial" w:cs="Arial"/>
        </w:rPr>
        <w:t xml:space="preserve">Other options which are also </w:t>
      </w:r>
      <w:r w:rsidR="00663E3C">
        <w:rPr>
          <w:rFonts w:ascii="Arial" w:hAnsi="Arial" w:cs="Arial"/>
        </w:rPr>
        <w:t xml:space="preserve">considered </w:t>
      </w:r>
      <w:r w:rsidR="00E93E52">
        <w:rPr>
          <w:rFonts w:ascii="Arial" w:hAnsi="Arial" w:cs="Arial"/>
        </w:rPr>
        <w:t>include</w:t>
      </w:r>
      <w:r w:rsidR="00976888" w:rsidRPr="006E6C4F">
        <w:rPr>
          <w:rFonts w:ascii="Arial" w:hAnsi="Arial" w:cs="Arial"/>
        </w:rPr>
        <w:t>:</w:t>
      </w:r>
    </w:p>
    <w:p w14:paraId="3F1D09F1" w14:textId="77777777" w:rsidR="00C318E3" w:rsidRDefault="00C318E3" w:rsidP="00EA5AAB">
      <w:pPr>
        <w:pStyle w:val="ListParagraph"/>
        <w:numPr>
          <w:ilvl w:val="0"/>
          <w:numId w:val="10"/>
        </w:numPr>
        <w:spacing w:before="240" w:line="360" w:lineRule="auto"/>
        <w:jc w:val="both"/>
        <w:rPr>
          <w:rFonts w:ascii="Arial" w:hAnsi="Arial" w:cs="Arial"/>
        </w:rPr>
      </w:pPr>
      <w:r w:rsidRPr="006E6C4F">
        <w:rPr>
          <w:rFonts w:ascii="Arial" w:hAnsi="Arial" w:cs="Arial"/>
        </w:rPr>
        <w:t>Option 1 – Maintaining the status quo.</w:t>
      </w:r>
    </w:p>
    <w:p w14:paraId="55FF9A52" w14:textId="599E8942" w:rsidR="00F82BBA" w:rsidRPr="006E6C4F" w:rsidRDefault="005C2D94" w:rsidP="00EA5AAB">
      <w:pPr>
        <w:pStyle w:val="ListParagraph"/>
        <w:numPr>
          <w:ilvl w:val="0"/>
          <w:numId w:val="10"/>
        </w:numPr>
        <w:spacing w:before="240" w:line="360" w:lineRule="auto"/>
        <w:jc w:val="both"/>
        <w:rPr>
          <w:rFonts w:ascii="Arial" w:hAnsi="Arial" w:cs="Arial"/>
        </w:rPr>
      </w:pPr>
      <w:r>
        <w:rPr>
          <w:rFonts w:ascii="Arial" w:hAnsi="Arial" w:cs="Arial"/>
        </w:rPr>
        <w:t>Sub-o</w:t>
      </w:r>
      <w:r w:rsidR="00F82BBA" w:rsidRPr="006E6C4F">
        <w:rPr>
          <w:rFonts w:ascii="Arial" w:hAnsi="Arial" w:cs="Arial"/>
        </w:rPr>
        <w:t>ption 2C – Mandating that manufacturers buy back stock when an agreement is not renewed.</w:t>
      </w:r>
    </w:p>
    <w:p w14:paraId="3F1D09F3" w14:textId="32047C73" w:rsidR="00976888" w:rsidRPr="006E6C4F" w:rsidRDefault="005C2D94" w:rsidP="00EA5AAB">
      <w:pPr>
        <w:pStyle w:val="ListParagraph"/>
        <w:numPr>
          <w:ilvl w:val="0"/>
          <w:numId w:val="10"/>
        </w:numPr>
        <w:spacing w:before="240" w:line="360" w:lineRule="auto"/>
        <w:jc w:val="both"/>
        <w:rPr>
          <w:rFonts w:ascii="Arial" w:hAnsi="Arial" w:cs="Arial"/>
        </w:rPr>
      </w:pPr>
      <w:r>
        <w:rPr>
          <w:rFonts w:ascii="Arial" w:hAnsi="Arial" w:cs="Arial"/>
        </w:rPr>
        <w:t>Sub-o</w:t>
      </w:r>
      <w:r w:rsidR="00976888" w:rsidRPr="006E6C4F">
        <w:rPr>
          <w:rFonts w:ascii="Arial" w:hAnsi="Arial" w:cs="Arial"/>
        </w:rPr>
        <w:t xml:space="preserve">ption </w:t>
      </w:r>
      <w:r w:rsidR="00F82BBA">
        <w:rPr>
          <w:rFonts w:ascii="Arial" w:hAnsi="Arial" w:cs="Arial"/>
        </w:rPr>
        <w:t>2E</w:t>
      </w:r>
      <w:r w:rsidR="00976888" w:rsidRPr="006E6C4F">
        <w:rPr>
          <w:rFonts w:ascii="Arial" w:hAnsi="Arial" w:cs="Arial"/>
        </w:rPr>
        <w:t xml:space="preserve"> – Minimum five year terms with right of renewal.</w:t>
      </w:r>
    </w:p>
    <w:p w14:paraId="3F1D09F4" w14:textId="71270896" w:rsidR="00C318E3" w:rsidRPr="006E6C4F" w:rsidRDefault="00C318E3" w:rsidP="00EA5AAB">
      <w:pPr>
        <w:pStyle w:val="ListParagraph"/>
        <w:numPr>
          <w:ilvl w:val="0"/>
          <w:numId w:val="10"/>
        </w:numPr>
        <w:spacing w:before="240" w:line="360" w:lineRule="auto"/>
        <w:jc w:val="both"/>
        <w:rPr>
          <w:rFonts w:ascii="Arial" w:hAnsi="Arial" w:cs="Arial"/>
        </w:rPr>
      </w:pPr>
      <w:r w:rsidRPr="006E6C4F">
        <w:rPr>
          <w:rFonts w:ascii="Arial" w:hAnsi="Arial" w:cs="Arial"/>
        </w:rPr>
        <w:t xml:space="preserve">Option </w:t>
      </w:r>
      <w:r w:rsidR="00B51B51">
        <w:rPr>
          <w:rFonts w:ascii="Arial" w:hAnsi="Arial" w:cs="Arial"/>
        </w:rPr>
        <w:t>3</w:t>
      </w:r>
      <w:r w:rsidRPr="006E6C4F">
        <w:rPr>
          <w:rFonts w:ascii="Arial" w:hAnsi="Arial" w:cs="Arial"/>
        </w:rPr>
        <w:t xml:space="preserve"> – Voluntary Code of Conduct.</w:t>
      </w:r>
    </w:p>
    <w:p w14:paraId="3F1D09F5" w14:textId="77777777" w:rsidR="00833928" w:rsidRDefault="11FF59B9" w:rsidP="00EA5AAB">
      <w:pPr>
        <w:pStyle w:val="Heading1"/>
        <w:numPr>
          <w:ilvl w:val="0"/>
          <w:numId w:val="1"/>
        </w:numPr>
        <w:rPr>
          <w:color w:val="005677"/>
        </w:rPr>
      </w:pPr>
      <w:bookmarkStart w:id="17" w:name="_Toc529891239"/>
      <w:bookmarkStart w:id="18" w:name="_Toc529891257"/>
      <w:bookmarkStart w:id="19" w:name="_Toc530493124"/>
      <w:bookmarkStart w:id="20" w:name="_Toc530493179"/>
      <w:bookmarkStart w:id="21" w:name="_Toc530563045"/>
      <w:bookmarkStart w:id="22" w:name="_Toc20489935"/>
      <w:r w:rsidRPr="11FF59B9">
        <w:rPr>
          <w:color w:val="005677"/>
        </w:rPr>
        <w:t>Overview of this Regulation Impact Statement</w:t>
      </w:r>
      <w:bookmarkEnd w:id="17"/>
      <w:bookmarkEnd w:id="18"/>
      <w:bookmarkEnd w:id="19"/>
      <w:bookmarkEnd w:id="20"/>
      <w:bookmarkEnd w:id="21"/>
      <w:bookmarkEnd w:id="22"/>
    </w:p>
    <w:p w14:paraId="3F1D09F6" w14:textId="77777777" w:rsidR="00F87C4E" w:rsidRDefault="11FF59B9" w:rsidP="11FF59B9">
      <w:pPr>
        <w:spacing w:before="240" w:line="360" w:lineRule="auto"/>
        <w:jc w:val="both"/>
        <w:rPr>
          <w:rFonts w:ascii="Arial" w:hAnsi="Arial" w:cs="Arial"/>
        </w:rPr>
      </w:pPr>
      <w:r w:rsidRPr="11FF59B9">
        <w:rPr>
          <w:rFonts w:ascii="Arial" w:hAnsi="Arial" w:cs="Arial"/>
        </w:rPr>
        <w:t xml:space="preserve">This RIS has been developed to </w:t>
      </w:r>
      <w:r w:rsidR="007025E9">
        <w:rPr>
          <w:rFonts w:ascii="Arial" w:hAnsi="Arial" w:cs="Arial"/>
        </w:rPr>
        <w:t xml:space="preserve">inform Government decision </w:t>
      </w:r>
      <w:r w:rsidR="005C24D8">
        <w:rPr>
          <w:rFonts w:ascii="Arial" w:hAnsi="Arial" w:cs="Arial"/>
        </w:rPr>
        <w:t>making and</w:t>
      </w:r>
      <w:r w:rsidR="007025E9">
        <w:rPr>
          <w:rFonts w:ascii="Arial" w:hAnsi="Arial" w:cs="Arial"/>
        </w:rPr>
        <w:t xml:space="preserve"> provide an evidence base. This is consistent with</w:t>
      </w:r>
      <w:r w:rsidRPr="11FF59B9">
        <w:rPr>
          <w:rFonts w:ascii="Arial" w:hAnsi="Arial" w:cs="Arial"/>
        </w:rPr>
        <w:t xml:space="preserve"> the Government’s commitment to improving the quality of regulation, including minimising the burden of regulation on businesses, community organisations and individuals. The Government’s regulatory policy frameworks assist in keeping the Australian economy as efficient, flexible and responsive as possible. Under the Government’s Regulatory Impact Analysis system, every policy proposal designed to introduce or abolish regulation must be accompanied by a RIS. </w:t>
      </w:r>
    </w:p>
    <w:p w14:paraId="0F544E8B" w14:textId="4C223FB4" w:rsidR="00FE0AD4" w:rsidRPr="00DF3194" w:rsidRDefault="00966B28" w:rsidP="00FE0AD4">
      <w:pPr>
        <w:spacing w:before="240" w:line="360" w:lineRule="auto"/>
        <w:jc w:val="both"/>
        <w:rPr>
          <w:rFonts w:ascii="Arial" w:hAnsi="Arial" w:cs="Arial"/>
        </w:rPr>
      </w:pPr>
      <w:r>
        <w:rPr>
          <w:rFonts w:ascii="Arial" w:hAnsi="Arial" w:cs="Arial"/>
        </w:rPr>
        <w:lastRenderedPageBreak/>
        <w:t>W</w:t>
      </w:r>
      <w:r w:rsidR="11FF59B9" w:rsidRPr="11FF59B9">
        <w:rPr>
          <w:rFonts w:ascii="Arial" w:hAnsi="Arial" w:cs="Arial"/>
        </w:rPr>
        <w:t>hile the ACCC noted new car dealers’ concerns with the power imbalance in their franchising relationship with new car manufacturers, it recommended Government further consider dealers’ specific concerns.</w:t>
      </w:r>
      <w:r w:rsidR="00D645F3">
        <w:rPr>
          <w:rStyle w:val="FootnoteReference"/>
          <w:rFonts w:ascii="Arial" w:hAnsi="Arial" w:cs="Arial"/>
        </w:rPr>
        <w:footnoteReference w:id="12"/>
      </w:r>
      <w:r w:rsidR="11FF59B9" w:rsidRPr="11FF59B9">
        <w:rPr>
          <w:rFonts w:ascii="Arial" w:hAnsi="Arial" w:cs="Arial"/>
        </w:rPr>
        <w:t xml:space="preserve"> In addition, industry submissions to the PJC </w:t>
      </w:r>
      <w:r w:rsidR="00E03D69">
        <w:rPr>
          <w:rFonts w:ascii="Arial" w:hAnsi="Arial" w:cs="Arial"/>
        </w:rPr>
        <w:t>I</w:t>
      </w:r>
      <w:r w:rsidR="11FF59B9" w:rsidRPr="11FF59B9">
        <w:rPr>
          <w:rFonts w:ascii="Arial" w:hAnsi="Arial" w:cs="Arial"/>
        </w:rPr>
        <w:t xml:space="preserve">nquiry </w:t>
      </w:r>
      <w:r w:rsidR="00D50F6C">
        <w:rPr>
          <w:rFonts w:ascii="Arial" w:hAnsi="Arial" w:cs="Arial"/>
        </w:rPr>
        <w:t xml:space="preserve">and to </w:t>
      </w:r>
      <w:r w:rsidR="00735392">
        <w:rPr>
          <w:rFonts w:ascii="Arial" w:hAnsi="Arial" w:cs="Arial"/>
        </w:rPr>
        <w:t>the</w:t>
      </w:r>
      <w:r w:rsidR="00D50F6C">
        <w:rPr>
          <w:rFonts w:ascii="Arial" w:hAnsi="Arial" w:cs="Arial"/>
        </w:rPr>
        <w:t xml:space="preserve"> earlier</w:t>
      </w:r>
      <w:r w:rsidR="00735392">
        <w:rPr>
          <w:rFonts w:ascii="Arial" w:hAnsi="Arial" w:cs="Arial"/>
        </w:rPr>
        <w:t xml:space="preserve"> consultation version of this</w:t>
      </w:r>
      <w:r w:rsidR="00D50F6C">
        <w:rPr>
          <w:rFonts w:ascii="Arial" w:hAnsi="Arial" w:cs="Arial"/>
        </w:rPr>
        <w:t xml:space="preserve"> RIS</w:t>
      </w:r>
      <w:r w:rsidR="00735392">
        <w:rPr>
          <w:rFonts w:ascii="Arial" w:hAnsi="Arial" w:cs="Arial"/>
        </w:rPr>
        <w:t xml:space="preserve"> </w:t>
      </w:r>
      <w:r w:rsidR="11FF59B9" w:rsidRPr="11FF59B9">
        <w:rPr>
          <w:rFonts w:ascii="Arial" w:hAnsi="Arial" w:cs="Arial"/>
        </w:rPr>
        <w:t>indicate</w:t>
      </w:r>
      <w:r w:rsidR="006D580D">
        <w:rPr>
          <w:rFonts w:ascii="Arial" w:hAnsi="Arial" w:cs="Arial"/>
        </w:rPr>
        <w:t>d</w:t>
      </w:r>
      <w:r w:rsidR="11FF59B9" w:rsidRPr="11FF59B9">
        <w:rPr>
          <w:rFonts w:ascii="Arial" w:hAnsi="Arial" w:cs="Arial"/>
        </w:rPr>
        <w:t xml:space="preserve"> that while there may be some agreement on key concerns for dealers, as franchisees, in their dealings with car manufacturers, as franchisors, there is no firm agreement on the best way to address dealers’ concerns – whether through amendments to the Franchising Code</w:t>
      </w:r>
      <w:r w:rsidR="008A0A46">
        <w:rPr>
          <w:rFonts w:ascii="Arial" w:hAnsi="Arial" w:cs="Arial"/>
        </w:rPr>
        <w:t>,</w:t>
      </w:r>
      <w:r w:rsidR="008A0A46" w:rsidRPr="11FF59B9">
        <w:rPr>
          <w:rFonts w:ascii="Arial" w:hAnsi="Arial" w:cs="Arial"/>
        </w:rPr>
        <w:t xml:space="preserve"> specific</w:t>
      </w:r>
      <w:r w:rsidR="11FF59B9" w:rsidRPr="11FF59B9">
        <w:rPr>
          <w:rFonts w:ascii="Arial" w:hAnsi="Arial" w:cs="Arial"/>
        </w:rPr>
        <w:t xml:space="preserve"> provisions within </w:t>
      </w:r>
      <w:r w:rsidR="001A6563">
        <w:rPr>
          <w:rFonts w:ascii="Arial" w:hAnsi="Arial" w:cs="Arial"/>
        </w:rPr>
        <w:t>a standalone</w:t>
      </w:r>
      <w:r w:rsidR="001A6563" w:rsidRPr="11FF59B9">
        <w:rPr>
          <w:rFonts w:ascii="Arial" w:hAnsi="Arial" w:cs="Arial"/>
        </w:rPr>
        <w:t xml:space="preserve"> </w:t>
      </w:r>
      <w:r w:rsidR="11FF59B9" w:rsidRPr="11FF59B9">
        <w:rPr>
          <w:rFonts w:ascii="Arial" w:hAnsi="Arial" w:cs="Arial"/>
        </w:rPr>
        <w:t>Automotive Code</w:t>
      </w:r>
      <w:r w:rsidR="00D1045D">
        <w:rPr>
          <w:rFonts w:ascii="Arial" w:hAnsi="Arial" w:cs="Arial"/>
        </w:rPr>
        <w:t xml:space="preserve"> or a voluntary code of conduct</w:t>
      </w:r>
      <w:r w:rsidR="11FF59B9" w:rsidRPr="11FF59B9">
        <w:rPr>
          <w:rFonts w:ascii="Arial" w:hAnsi="Arial" w:cs="Arial"/>
        </w:rPr>
        <w:t xml:space="preserve">. </w:t>
      </w:r>
      <w:r w:rsidR="00293795">
        <w:rPr>
          <w:rFonts w:ascii="Arial" w:hAnsi="Arial" w:cs="Arial"/>
        </w:rPr>
        <w:t>T</w:t>
      </w:r>
      <w:r w:rsidR="11FF59B9" w:rsidRPr="11FF59B9">
        <w:rPr>
          <w:rFonts w:ascii="Arial" w:hAnsi="Arial" w:cs="Arial"/>
        </w:rPr>
        <w:t>his RIS define</w:t>
      </w:r>
      <w:r w:rsidR="00293795">
        <w:rPr>
          <w:rFonts w:ascii="Arial" w:hAnsi="Arial" w:cs="Arial"/>
        </w:rPr>
        <w:t>s</w:t>
      </w:r>
      <w:r w:rsidR="11FF59B9" w:rsidRPr="11FF59B9">
        <w:rPr>
          <w:rFonts w:ascii="Arial" w:hAnsi="Arial" w:cs="Arial"/>
        </w:rPr>
        <w:t xml:space="preserve"> the policy problems to be addressed and canvass</w:t>
      </w:r>
      <w:r w:rsidR="008C270E">
        <w:rPr>
          <w:rFonts w:ascii="Arial" w:hAnsi="Arial" w:cs="Arial"/>
        </w:rPr>
        <w:t>es</w:t>
      </w:r>
      <w:r w:rsidR="11FF59B9" w:rsidRPr="11FF59B9">
        <w:rPr>
          <w:rFonts w:ascii="Arial" w:hAnsi="Arial" w:cs="Arial"/>
        </w:rPr>
        <w:t xml:space="preserve"> </w:t>
      </w:r>
      <w:r w:rsidR="00086172">
        <w:rPr>
          <w:rFonts w:ascii="Arial" w:hAnsi="Arial" w:cs="Arial"/>
        </w:rPr>
        <w:t>the policy solutions</w:t>
      </w:r>
      <w:r w:rsidR="0058226F">
        <w:rPr>
          <w:rFonts w:ascii="Arial" w:hAnsi="Arial" w:cs="Arial"/>
        </w:rPr>
        <w:t xml:space="preserve">. It provides an assessment of </w:t>
      </w:r>
      <w:r w:rsidR="007C14F7">
        <w:rPr>
          <w:rFonts w:ascii="Arial" w:hAnsi="Arial" w:cs="Arial"/>
        </w:rPr>
        <w:t xml:space="preserve">the </w:t>
      </w:r>
      <w:r w:rsidR="0058226F">
        <w:rPr>
          <w:rFonts w:ascii="Arial" w:hAnsi="Arial" w:cs="Arial"/>
        </w:rPr>
        <w:t>costs</w:t>
      </w:r>
      <w:r w:rsidR="007C14F7">
        <w:rPr>
          <w:rFonts w:ascii="Arial" w:hAnsi="Arial" w:cs="Arial"/>
        </w:rPr>
        <w:t xml:space="preserve"> and </w:t>
      </w:r>
      <w:r w:rsidR="0058226F">
        <w:rPr>
          <w:rFonts w:ascii="Arial" w:hAnsi="Arial" w:cs="Arial"/>
        </w:rPr>
        <w:t xml:space="preserve">benefits of policy responses, and </w:t>
      </w:r>
      <w:r w:rsidR="007C14F7">
        <w:rPr>
          <w:rFonts w:ascii="Arial" w:hAnsi="Arial" w:cs="Arial"/>
        </w:rPr>
        <w:t>identifies the most effective method of implementation</w:t>
      </w:r>
      <w:r w:rsidR="0058226F">
        <w:rPr>
          <w:rFonts w:ascii="Arial" w:hAnsi="Arial" w:cs="Arial"/>
        </w:rPr>
        <w:t xml:space="preserve">. </w:t>
      </w:r>
      <w:r w:rsidR="0071760F">
        <w:rPr>
          <w:rFonts w:ascii="Arial" w:hAnsi="Arial" w:cs="Arial"/>
        </w:rPr>
        <w:t>T</w:t>
      </w:r>
      <w:r w:rsidR="00FE0AD4" w:rsidRPr="11FF59B9">
        <w:rPr>
          <w:rFonts w:ascii="Arial" w:hAnsi="Arial" w:cs="Arial"/>
        </w:rPr>
        <w:t xml:space="preserve">his RIS </w:t>
      </w:r>
      <w:r w:rsidR="0071760F">
        <w:rPr>
          <w:rFonts w:ascii="Arial" w:hAnsi="Arial" w:cs="Arial"/>
        </w:rPr>
        <w:t xml:space="preserve">categorises </w:t>
      </w:r>
      <w:r w:rsidR="00FE0AD4" w:rsidRPr="11FF59B9">
        <w:rPr>
          <w:rFonts w:ascii="Arial" w:hAnsi="Arial" w:cs="Arial"/>
        </w:rPr>
        <w:t>dealer concerns into three themes as follows:</w:t>
      </w:r>
    </w:p>
    <w:p w14:paraId="3055F62D" w14:textId="77777777" w:rsidR="00FE0AD4" w:rsidRDefault="00FE0AD4" w:rsidP="00FE0AD4">
      <w:pPr>
        <w:pStyle w:val="CABNETParagraph"/>
        <w:numPr>
          <w:ilvl w:val="0"/>
          <w:numId w:val="7"/>
        </w:numPr>
        <w:rPr>
          <w:rFonts w:cs="Arial"/>
        </w:rPr>
      </w:pPr>
      <w:r w:rsidRPr="11FF59B9">
        <w:rPr>
          <w:rFonts w:cs="Arial"/>
        </w:rPr>
        <w:t xml:space="preserve">End of term arrangements </w:t>
      </w:r>
      <w:r>
        <w:rPr>
          <w:rFonts w:cs="Arial"/>
        </w:rPr>
        <w:t>contained in dealership agreements including:</w:t>
      </w:r>
      <w:r w:rsidRPr="11FF59B9">
        <w:rPr>
          <w:rFonts w:cs="Arial"/>
        </w:rPr>
        <w:t xml:space="preserve"> </w:t>
      </w:r>
    </w:p>
    <w:p w14:paraId="6CD1E15B" w14:textId="77777777" w:rsidR="00FE0AD4" w:rsidRDefault="00FE0AD4" w:rsidP="00FE0AD4">
      <w:pPr>
        <w:pStyle w:val="CABNETParagraph"/>
        <w:numPr>
          <w:ilvl w:val="1"/>
          <w:numId w:val="7"/>
        </w:numPr>
        <w:rPr>
          <w:rFonts w:cs="Arial"/>
        </w:rPr>
      </w:pPr>
      <w:r w:rsidRPr="11FF59B9">
        <w:rPr>
          <w:rFonts w:cs="Arial"/>
        </w:rPr>
        <w:t>Insufficient notice periods</w:t>
      </w:r>
      <w:r>
        <w:rPr>
          <w:rFonts w:cs="Arial"/>
        </w:rPr>
        <w:t xml:space="preserve"> for non-renewal of dealership agreements</w:t>
      </w:r>
      <w:r w:rsidRPr="11FF59B9">
        <w:rPr>
          <w:rFonts w:cs="Arial"/>
        </w:rPr>
        <w:t xml:space="preserve">; </w:t>
      </w:r>
    </w:p>
    <w:p w14:paraId="4ABF4510" w14:textId="77777777" w:rsidR="00FE0AD4" w:rsidRPr="00A23C20" w:rsidRDefault="00FE0AD4" w:rsidP="00FE0AD4">
      <w:pPr>
        <w:pStyle w:val="CABNETParagraph"/>
        <w:numPr>
          <w:ilvl w:val="1"/>
          <w:numId w:val="7"/>
        </w:numPr>
        <w:rPr>
          <w:rFonts w:cs="Arial"/>
        </w:rPr>
      </w:pPr>
      <w:r>
        <w:rPr>
          <w:rFonts w:cs="Arial"/>
        </w:rPr>
        <w:t xml:space="preserve">Providing reasons for non-renewal; </w:t>
      </w:r>
      <w:r w:rsidRPr="11FF59B9">
        <w:rPr>
          <w:rFonts w:cs="Arial"/>
        </w:rPr>
        <w:t xml:space="preserve">and </w:t>
      </w:r>
    </w:p>
    <w:p w14:paraId="26C94AF5" w14:textId="77777777" w:rsidR="00FE0AD4" w:rsidRPr="00F070D2" w:rsidRDefault="00FE0AD4" w:rsidP="00FE0AD4">
      <w:pPr>
        <w:pStyle w:val="CABNETParagraph"/>
        <w:numPr>
          <w:ilvl w:val="1"/>
          <w:numId w:val="7"/>
        </w:numPr>
        <w:rPr>
          <w:rFonts w:cs="Arial"/>
        </w:rPr>
      </w:pPr>
      <w:r w:rsidRPr="11FF59B9">
        <w:rPr>
          <w:rFonts w:cs="Arial"/>
        </w:rPr>
        <w:t xml:space="preserve">Stock </w:t>
      </w:r>
      <w:r>
        <w:rPr>
          <w:rFonts w:cs="Arial"/>
        </w:rPr>
        <w:t>buy-back arrangements</w:t>
      </w:r>
      <w:r w:rsidRPr="11FF59B9">
        <w:rPr>
          <w:rFonts w:cs="Arial"/>
        </w:rPr>
        <w:t xml:space="preserve"> when dealership agreements</w:t>
      </w:r>
      <w:r>
        <w:rPr>
          <w:rFonts w:cs="Arial"/>
        </w:rPr>
        <w:t xml:space="preserve"> are not renewed</w:t>
      </w:r>
      <w:r w:rsidRPr="11FF59B9">
        <w:rPr>
          <w:rFonts w:cs="Arial"/>
        </w:rPr>
        <w:t xml:space="preserve">; </w:t>
      </w:r>
    </w:p>
    <w:p w14:paraId="134D722C" w14:textId="77777777" w:rsidR="00FE0AD4" w:rsidRDefault="00FE0AD4" w:rsidP="00FE0AD4">
      <w:pPr>
        <w:pStyle w:val="CABNETParagraph"/>
        <w:numPr>
          <w:ilvl w:val="0"/>
          <w:numId w:val="7"/>
        </w:numPr>
        <w:rPr>
          <w:rFonts w:cs="Arial"/>
        </w:rPr>
      </w:pPr>
      <w:r>
        <w:rPr>
          <w:rFonts w:cs="Arial"/>
        </w:rPr>
        <w:t>Ability to recoup c</w:t>
      </w:r>
      <w:r w:rsidRPr="11FF59B9">
        <w:rPr>
          <w:rFonts w:cs="Arial"/>
        </w:rPr>
        <w:t>apital expenditure during the term of the dealership agreement</w:t>
      </w:r>
      <w:r>
        <w:rPr>
          <w:rFonts w:cs="Arial"/>
        </w:rPr>
        <w:t>:</w:t>
      </w:r>
    </w:p>
    <w:p w14:paraId="1D21BB4F" w14:textId="77777777" w:rsidR="00FE0AD4" w:rsidRDefault="00FE0AD4" w:rsidP="00FE0AD4">
      <w:pPr>
        <w:pStyle w:val="CABNETParagraph"/>
        <w:numPr>
          <w:ilvl w:val="1"/>
          <w:numId w:val="7"/>
        </w:numPr>
        <w:rPr>
          <w:rFonts w:cs="Arial"/>
        </w:rPr>
      </w:pPr>
      <w:r>
        <w:rPr>
          <w:rFonts w:cs="Arial"/>
        </w:rPr>
        <w:t>enhanced disclosure requirements;</w:t>
      </w:r>
    </w:p>
    <w:p w14:paraId="321B7774" w14:textId="77777777" w:rsidR="00FE0AD4" w:rsidRDefault="00FE0AD4" w:rsidP="00FE0AD4">
      <w:pPr>
        <w:pStyle w:val="CABNETParagraph"/>
        <w:numPr>
          <w:ilvl w:val="1"/>
          <w:numId w:val="7"/>
        </w:numPr>
        <w:rPr>
          <w:rFonts w:cs="Arial"/>
        </w:rPr>
      </w:pPr>
      <w:r>
        <w:rPr>
          <w:rFonts w:cs="Arial"/>
        </w:rPr>
        <w:t>minimum tenure with right of renewal for the dealer; and</w:t>
      </w:r>
    </w:p>
    <w:p w14:paraId="62C267FE" w14:textId="4EC7F228" w:rsidR="00FE0AD4" w:rsidRPr="00F070D2" w:rsidRDefault="00FE0AD4" w:rsidP="00FE0AD4">
      <w:pPr>
        <w:pStyle w:val="CABNETParagraph"/>
        <w:numPr>
          <w:ilvl w:val="0"/>
          <w:numId w:val="7"/>
        </w:numPr>
        <w:rPr>
          <w:rFonts w:cs="Arial"/>
        </w:rPr>
      </w:pPr>
      <w:r>
        <w:rPr>
          <w:rFonts w:cs="Arial"/>
        </w:rPr>
        <w:t>Improving the effectiveness of dispute resolution.</w:t>
      </w:r>
    </w:p>
    <w:p w14:paraId="36E0414A" w14:textId="7627174F" w:rsidR="006F2372" w:rsidRPr="00090804" w:rsidRDefault="00741980" w:rsidP="004B57C9">
      <w:pPr>
        <w:spacing w:before="240" w:line="360" w:lineRule="auto"/>
        <w:jc w:val="both"/>
        <w:rPr>
          <w:rFonts w:cs="Arial"/>
        </w:rPr>
      </w:pPr>
      <w:r>
        <w:rPr>
          <w:rFonts w:ascii="Arial" w:hAnsi="Arial" w:cs="Arial"/>
        </w:rPr>
        <w:t>T</w:t>
      </w:r>
      <w:r w:rsidR="11FF59B9" w:rsidRPr="11FF59B9">
        <w:rPr>
          <w:rFonts w:ascii="Arial" w:hAnsi="Arial" w:cs="Arial"/>
        </w:rPr>
        <w:t xml:space="preserve">he Motor Trades Association of Australia (MTAA) and the Australian Automotive Dealer Association (AADA), </w:t>
      </w:r>
      <w:r>
        <w:rPr>
          <w:rFonts w:ascii="Arial" w:hAnsi="Arial" w:cs="Arial"/>
        </w:rPr>
        <w:t xml:space="preserve">in their submission to the PJC Inquiry and other representations to Government have raised </w:t>
      </w:r>
      <w:r w:rsidR="11FF59B9" w:rsidRPr="11FF59B9">
        <w:rPr>
          <w:rFonts w:ascii="Arial" w:hAnsi="Arial" w:cs="Arial"/>
        </w:rPr>
        <w:t>issues which are being considered as part of other Government processes or are the subject of ACCC action</w:t>
      </w:r>
      <w:r>
        <w:rPr>
          <w:rFonts w:ascii="Arial" w:hAnsi="Arial" w:cs="Arial"/>
        </w:rPr>
        <w:t>. These include</w:t>
      </w:r>
      <w:r w:rsidR="00EE2988">
        <w:rPr>
          <w:rFonts w:ascii="Arial" w:hAnsi="Arial" w:cs="Arial"/>
        </w:rPr>
        <w:t xml:space="preserve"> </w:t>
      </w:r>
      <w:r w:rsidR="11FF59B9" w:rsidRPr="11FF59B9">
        <w:rPr>
          <w:rFonts w:ascii="Arial" w:hAnsi="Arial" w:cs="Arial"/>
        </w:rPr>
        <w:t xml:space="preserve">unfair contract terms, indemnification of dealers for consumer warranty claims and the mandatory information sharing provisions. </w:t>
      </w:r>
      <w:r w:rsidR="00294B4A">
        <w:rPr>
          <w:rFonts w:ascii="Arial" w:hAnsi="Arial" w:cs="Arial"/>
        </w:rPr>
        <w:t>The PJC Report</w:t>
      </w:r>
      <w:r w:rsidR="00D65964">
        <w:rPr>
          <w:rFonts w:ascii="Arial" w:hAnsi="Arial" w:cs="Arial"/>
        </w:rPr>
        <w:t xml:space="preserve"> also made a recommendation for a class exemption to make it lawful for all franchisees to collectively bargain with their franchisor regardless of their size or other characteristic.</w:t>
      </w:r>
      <w:r w:rsidR="00D65964" w:rsidRPr="004B57C9">
        <w:rPr>
          <w:vertAlign w:val="superscript"/>
        </w:rPr>
        <w:footnoteReference w:id="13"/>
      </w:r>
      <w:r w:rsidR="00D65964" w:rsidRPr="004B57C9">
        <w:rPr>
          <w:rFonts w:ascii="Arial" w:hAnsi="Arial" w:cs="Arial"/>
          <w:vertAlign w:val="superscript"/>
        </w:rPr>
        <w:t xml:space="preserve"> </w:t>
      </w:r>
      <w:r w:rsidR="11FF59B9" w:rsidRPr="11FF59B9">
        <w:rPr>
          <w:rFonts w:ascii="Arial" w:hAnsi="Arial" w:cs="Arial"/>
        </w:rPr>
        <w:t xml:space="preserve">These matters are </w:t>
      </w:r>
      <w:r w:rsidR="00E93E52">
        <w:rPr>
          <w:rFonts w:ascii="Arial" w:hAnsi="Arial" w:cs="Arial"/>
        </w:rPr>
        <w:t>highlighted</w:t>
      </w:r>
      <w:r w:rsidR="00E93E52" w:rsidRPr="11FF59B9">
        <w:rPr>
          <w:rFonts w:ascii="Arial" w:hAnsi="Arial" w:cs="Arial"/>
        </w:rPr>
        <w:t xml:space="preserve"> </w:t>
      </w:r>
      <w:r w:rsidR="11FF59B9" w:rsidRPr="11FF59B9">
        <w:rPr>
          <w:rFonts w:ascii="Arial" w:hAnsi="Arial" w:cs="Arial"/>
        </w:rPr>
        <w:t xml:space="preserve">at </w:t>
      </w:r>
      <w:r w:rsidR="11FF59B9" w:rsidRPr="00205F94">
        <w:rPr>
          <w:rFonts w:ascii="Arial" w:hAnsi="Arial" w:cs="Arial"/>
        </w:rPr>
        <w:t>Box 1</w:t>
      </w:r>
      <w:r w:rsidR="11FF59B9" w:rsidRPr="11FF59B9">
        <w:rPr>
          <w:rFonts w:ascii="Arial" w:hAnsi="Arial" w:cs="Arial"/>
        </w:rPr>
        <w:t xml:space="preserve"> below </w:t>
      </w:r>
      <w:r w:rsidR="00774469">
        <w:rPr>
          <w:rFonts w:ascii="Arial" w:hAnsi="Arial" w:cs="Arial"/>
        </w:rPr>
        <w:t>and are being considered separately</w:t>
      </w:r>
      <w:r w:rsidR="00C47657">
        <w:rPr>
          <w:rFonts w:ascii="Arial" w:hAnsi="Arial" w:cs="Arial"/>
        </w:rPr>
        <w:t xml:space="preserve"> as they are governed by different legislation </w:t>
      </w:r>
      <w:r w:rsidR="00B01B72">
        <w:rPr>
          <w:rFonts w:ascii="Arial" w:hAnsi="Arial" w:cs="Arial"/>
        </w:rPr>
        <w:t>and not</w:t>
      </w:r>
      <w:r w:rsidR="00C47657">
        <w:rPr>
          <w:rFonts w:ascii="Arial" w:hAnsi="Arial" w:cs="Arial"/>
        </w:rPr>
        <w:t xml:space="preserve"> the Franchising Code</w:t>
      </w:r>
      <w:r w:rsidR="00E93E52">
        <w:rPr>
          <w:rFonts w:ascii="Arial" w:hAnsi="Arial" w:cs="Arial"/>
        </w:rPr>
        <w:t>.</w:t>
      </w:r>
      <w:r w:rsidR="11FF59B9" w:rsidRPr="11FF59B9">
        <w:rPr>
          <w:rFonts w:ascii="Arial" w:hAnsi="Arial" w:cs="Arial"/>
        </w:rPr>
        <w:t xml:space="preserve"> </w:t>
      </w:r>
    </w:p>
    <w:p w14:paraId="3F1D0A01" w14:textId="77777777" w:rsidR="00C9284A" w:rsidRDefault="11FF59B9" w:rsidP="004B57C9">
      <w:pPr>
        <w:pStyle w:val="Heading1"/>
        <w:numPr>
          <w:ilvl w:val="0"/>
          <w:numId w:val="1"/>
        </w:numPr>
        <w:rPr>
          <w:color w:val="005677"/>
        </w:rPr>
      </w:pPr>
      <w:bookmarkStart w:id="23" w:name="_Toc529891240"/>
      <w:bookmarkStart w:id="24" w:name="_Toc529891258"/>
      <w:bookmarkStart w:id="25" w:name="_Toc530493125"/>
      <w:bookmarkStart w:id="26" w:name="_Toc530493180"/>
      <w:bookmarkStart w:id="27" w:name="_Toc530563046"/>
      <w:bookmarkStart w:id="28" w:name="_Toc20489936"/>
      <w:r w:rsidRPr="11FF59B9">
        <w:rPr>
          <w:color w:val="005677"/>
        </w:rPr>
        <w:t>Background</w:t>
      </w:r>
      <w:bookmarkEnd w:id="23"/>
      <w:bookmarkEnd w:id="24"/>
      <w:bookmarkEnd w:id="25"/>
      <w:bookmarkEnd w:id="26"/>
      <w:bookmarkEnd w:id="27"/>
      <w:bookmarkEnd w:id="28"/>
    </w:p>
    <w:p w14:paraId="3F1D0A02" w14:textId="77777777" w:rsidR="000407AA" w:rsidRPr="00EE3CA3" w:rsidRDefault="11FF59B9" w:rsidP="11FF59B9">
      <w:pPr>
        <w:spacing w:before="240" w:line="360" w:lineRule="auto"/>
        <w:jc w:val="both"/>
        <w:rPr>
          <w:rFonts w:ascii="Arial" w:hAnsi="Arial" w:cs="Arial"/>
          <w:b/>
          <w:bCs/>
        </w:rPr>
      </w:pPr>
      <w:r w:rsidRPr="11FF59B9">
        <w:rPr>
          <w:rFonts w:ascii="Arial" w:hAnsi="Arial" w:cs="Arial"/>
          <w:b/>
          <w:bCs/>
        </w:rPr>
        <w:t>Business model: car dealerships</w:t>
      </w:r>
    </w:p>
    <w:p w14:paraId="3F1D0A03" w14:textId="77777777" w:rsidR="000407AA" w:rsidRDefault="000407AA" w:rsidP="11FF59B9">
      <w:pPr>
        <w:spacing w:before="240" w:line="360" w:lineRule="auto"/>
        <w:jc w:val="both"/>
        <w:rPr>
          <w:rFonts w:ascii="Arial" w:hAnsi="Arial" w:cs="Arial"/>
        </w:rPr>
      </w:pPr>
      <w:r>
        <w:rPr>
          <w:rFonts w:ascii="Arial" w:hAnsi="Arial" w:cs="Arial"/>
        </w:rPr>
        <w:lastRenderedPageBreak/>
        <w:t xml:space="preserve">The main revenue streams for dealers include the </w:t>
      </w:r>
      <w:r w:rsidRPr="00B25C44">
        <w:rPr>
          <w:rFonts w:ascii="Arial" w:hAnsi="Arial" w:cs="Arial"/>
        </w:rPr>
        <w:t>new car department, used car department; parts, accessory and aftermarket sales; service workshop sales; and fina</w:t>
      </w:r>
      <w:r>
        <w:rPr>
          <w:rFonts w:ascii="Arial" w:hAnsi="Arial" w:cs="Arial"/>
        </w:rPr>
        <w:t>nce and insurance commissions. Estimated gross profit margins from the revenue streams vary but industry estimates place gross profit margins from the new car department at around 7 per</w:t>
      </w:r>
      <w:r w:rsidR="004145B9">
        <w:rPr>
          <w:rFonts w:ascii="Arial" w:hAnsi="Arial" w:cs="Arial"/>
        </w:rPr>
        <w:t xml:space="preserve"> </w:t>
      </w:r>
      <w:r>
        <w:rPr>
          <w:rFonts w:ascii="Arial" w:hAnsi="Arial" w:cs="Arial"/>
        </w:rPr>
        <w:t>cent while gross profit margin from the service departmen</w:t>
      </w:r>
      <w:r w:rsidR="002F629A">
        <w:rPr>
          <w:rFonts w:ascii="Arial" w:hAnsi="Arial" w:cs="Arial"/>
        </w:rPr>
        <w:t>t is estimated at around 64 per</w:t>
      </w:r>
      <w:r w:rsidR="004145B9">
        <w:rPr>
          <w:rFonts w:ascii="Arial" w:hAnsi="Arial" w:cs="Arial"/>
        </w:rPr>
        <w:t xml:space="preserve"> </w:t>
      </w:r>
      <w:r>
        <w:rPr>
          <w:rFonts w:ascii="Arial" w:hAnsi="Arial" w:cs="Arial"/>
        </w:rPr>
        <w:t>cent.</w:t>
      </w:r>
      <w:r>
        <w:rPr>
          <w:rStyle w:val="FootnoteReference"/>
          <w:rFonts w:ascii="Arial" w:hAnsi="Arial" w:cs="Arial"/>
        </w:rPr>
        <w:footnoteReference w:id="14"/>
      </w:r>
    </w:p>
    <w:p w14:paraId="3F1D0A04" w14:textId="77777777" w:rsidR="006A0DF2" w:rsidRDefault="00711799" w:rsidP="11FF59B9">
      <w:pPr>
        <w:spacing w:before="240" w:line="360" w:lineRule="auto"/>
        <w:jc w:val="both"/>
      </w:pPr>
      <w:r>
        <w:rPr>
          <w:rFonts w:ascii="Arial" w:hAnsi="Arial" w:cs="Arial"/>
        </w:rPr>
        <w:t>Traditionally</w:t>
      </w:r>
      <w:r w:rsidR="000407AA">
        <w:rPr>
          <w:rFonts w:ascii="Arial" w:hAnsi="Arial" w:cs="Arial"/>
        </w:rPr>
        <w:t xml:space="preserve">, </w:t>
      </w:r>
      <w:r w:rsidR="000407AA" w:rsidRPr="00993032">
        <w:rPr>
          <w:rFonts w:ascii="Arial" w:hAnsi="Arial" w:cs="Arial"/>
        </w:rPr>
        <w:t xml:space="preserve">motor vehicle dealership agreements were </w:t>
      </w:r>
      <w:r w:rsidR="000407AA">
        <w:rPr>
          <w:rFonts w:ascii="Arial" w:hAnsi="Arial" w:cs="Arial"/>
        </w:rPr>
        <w:t xml:space="preserve">often </w:t>
      </w:r>
      <w:r w:rsidR="000407AA" w:rsidRPr="00993032">
        <w:rPr>
          <w:rFonts w:ascii="Arial" w:hAnsi="Arial" w:cs="Arial"/>
        </w:rPr>
        <w:t>evergreen</w:t>
      </w:r>
      <w:r w:rsidR="000407AA">
        <w:rPr>
          <w:rFonts w:ascii="Arial" w:hAnsi="Arial" w:cs="Arial"/>
        </w:rPr>
        <w:t xml:space="preserve"> with </w:t>
      </w:r>
      <w:r w:rsidR="000407AA" w:rsidRPr="00993032">
        <w:rPr>
          <w:rFonts w:ascii="Arial" w:hAnsi="Arial" w:cs="Arial"/>
        </w:rPr>
        <w:t>no fixed terms</w:t>
      </w:r>
      <w:r w:rsidR="000407AA">
        <w:rPr>
          <w:rFonts w:ascii="Arial" w:hAnsi="Arial" w:cs="Arial"/>
        </w:rPr>
        <w:t xml:space="preserve">, but </w:t>
      </w:r>
      <w:r w:rsidR="000407AA" w:rsidRPr="00993032">
        <w:rPr>
          <w:rFonts w:ascii="Arial" w:hAnsi="Arial" w:cs="Arial"/>
        </w:rPr>
        <w:t>over time these agreements have been replaced with fixed term agreements, some of which are as short as 12 months in duration</w:t>
      </w:r>
      <w:r w:rsidR="000407AA">
        <w:rPr>
          <w:rFonts w:ascii="Arial" w:hAnsi="Arial" w:cs="Arial"/>
        </w:rPr>
        <w:t>.</w:t>
      </w:r>
      <w:bookmarkStart w:id="29" w:name="_Ref530485791"/>
      <w:r w:rsidR="000407AA">
        <w:rPr>
          <w:rStyle w:val="FootnoteReference"/>
          <w:rFonts w:ascii="Arial" w:hAnsi="Arial" w:cs="Arial"/>
        </w:rPr>
        <w:footnoteReference w:id="15"/>
      </w:r>
      <w:bookmarkEnd w:id="29"/>
      <w:r w:rsidR="000407AA">
        <w:rPr>
          <w:rFonts w:ascii="Arial" w:hAnsi="Arial" w:cs="Arial"/>
        </w:rPr>
        <w:t xml:space="preserve"> It has been suggested that o</w:t>
      </w:r>
      <w:r w:rsidR="000407AA" w:rsidRPr="00760C32">
        <w:rPr>
          <w:rFonts w:ascii="Arial" w:hAnsi="Arial" w:cs="Arial"/>
        </w:rPr>
        <w:t xml:space="preserve">n average, around 50 per cent of total dealer margin is now paid in the form of post-facto bonuses tied to a combination of key performance indicators but always with a heavy emphasis on </w:t>
      </w:r>
      <w:r w:rsidR="000407AA">
        <w:rPr>
          <w:rFonts w:ascii="Arial" w:hAnsi="Arial" w:cs="Arial"/>
        </w:rPr>
        <w:t>the Consumer Satisfaction Index</w:t>
      </w:r>
      <w:r w:rsidR="000407AA" w:rsidRPr="00760C32">
        <w:rPr>
          <w:rFonts w:ascii="Arial" w:hAnsi="Arial" w:cs="Arial"/>
        </w:rPr>
        <w:t>.</w:t>
      </w:r>
      <w:bookmarkStart w:id="30" w:name="_Ref530485920"/>
      <w:r w:rsidR="000407AA">
        <w:rPr>
          <w:rStyle w:val="FootnoteReference"/>
          <w:rFonts w:ascii="Arial" w:hAnsi="Arial" w:cs="Arial"/>
        </w:rPr>
        <w:footnoteReference w:id="16"/>
      </w:r>
      <w:bookmarkEnd w:id="30"/>
      <w:r w:rsidR="000407AA" w:rsidRPr="00760C32">
        <w:rPr>
          <w:rFonts w:ascii="Arial" w:hAnsi="Arial" w:cs="Arial"/>
        </w:rPr>
        <w:t xml:space="preserve"> </w:t>
      </w:r>
      <w:r w:rsidR="0081784B">
        <w:rPr>
          <w:rFonts w:ascii="Arial" w:hAnsi="Arial" w:cs="Arial"/>
        </w:rPr>
        <w:t>Deloitte profit benchmarks suggest that for a profitable dealership, incentive payments are equal to around 20 per cent of gross profit.</w:t>
      </w:r>
      <w:r w:rsidR="0081784B">
        <w:rPr>
          <w:rStyle w:val="FootnoteReference"/>
          <w:rFonts w:ascii="Arial" w:hAnsi="Arial" w:cs="Arial"/>
        </w:rPr>
        <w:footnoteReference w:id="17"/>
      </w:r>
      <w:r w:rsidR="0081784B">
        <w:rPr>
          <w:rFonts w:ascii="Arial" w:hAnsi="Arial" w:cs="Arial"/>
        </w:rPr>
        <w:t xml:space="preserve"> </w:t>
      </w:r>
      <w:r w:rsidR="000407AA">
        <w:rPr>
          <w:rFonts w:ascii="Arial" w:hAnsi="Arial" w:cs="Arial"/>
        </w:rPr>
        <w:t>The AADA has submitted that competitive pressures for new car dealers have</w:t>
      </w:r>
      <w:r w:rsidR="000407AA" w:rsidRPr="00760C32">
        <w:rPr>
          <w:rFonts w:ascii="Arial" w:hAnsi="Arial" w:cs="Arial"/>
        </w:rPr>
        <w:t xml:space="preserve"> increased significantly over time</w:t>
      </w:r>
      <w:r w:rsidR="000407AA">
        <w:rPr>
          <w:rFonts w:ascii="Arial" w:hAnsi="Arial" w:cs="Arial"/>
        </w:rPr>
        <w:t>,</w:t>
      </w:r>
      <w:r w:rsidR="000407AA" w:rsidRPr="00760C32">
        <w:rPr>
          <w:rFonts w:ascii="Arial" w:hAnsi="Arial" w:cs="Arial"/>
        </w:rPr>
        <w:t xml:space="preserve"> challenging all aspects of a dealership’s revenue streams.</w:t>
      </w:r>
      <w:r w:rsidR="000407AA" w:rsidRPr="001D5E43">
        <w:t xml:space="preserve"> </w:t>
      </w:r>
    </w:p>
    <w:p w14:paraId="3F1D0A05" w14:textId="4F333993" w:rsidR="000407AA" w:rsidRPr="005B139E" w:rsidRDefault="006A0DF2" w:rsidP="11FF59B9">
      <w:pPr>
        <w:spacing w:before="240" w:line="360" w:lineRule="auto"/>
        <w:jc w:val="both"/>
        <w:rPr>
          <w:rFonts w:ascii="Arial" w:hAnsi="Arial" w:cs="Arial"/>
        </w:rPr>
      </w:pPr>
      <w:r w:rsidRPr="005B139E">
        <w:rPr>
          <w:rFonts w:ascii="Arial" w:hAnsi="Arial" w:cs="Arial"/>
        </w:rPr>
        <w:t>Recent regulatory action by the Australian Securities and Investments Commission to address flex commissions and add on insurance practices has also placed downward pressure on car dealer revenue.</w:t>
      </w:r>
      <w:r w:rsidRPr="005B139E">
        <w:rPr>
          <w:rStyle w:val="FootnoteReference"/>
          <w:rFonts w:ascii="Arial" w:hAnsi="Arial" w:cs="Arial"/>
        </w:rPr>
        <w:footnoteReference w:id="18"/>
      </w:r>
      <w:r w:rsidRPr="005B139E">
        <w:rPr>
          <w:rFonts w:ascii="Arial" w:hAnsi="Arial" w:cs="Arial"/>
        </w:rPr>
        <w:t xml:space="preserve"> Analysis prepared by </w:t>
      </w:r>
      <w:r w:rsidR="00143979">
        <w:rPr>
          <w:rFonts w:ascii="Arial" w:hAnsi="Arial" w:cs="Arial"/>
        </w:rPr>
        <w:t xml:space="preserve">the advisory firm </w:t>
      </w:r>
      <w:r w:rsidRPr="005B139E">
        <w:rPr>
          <w:rFonts w:ascii="Arial" w:hAnsi="Arial" w:cs="Arial"/>
        </w:rPr>
        <w:t xml:space="preserve">BDO </w:t>
      </w:r>
      <w:r w:rsidR="007025E9">
        <w:rPr>
          <w:rFonts w:ascii="Arial" w:hAnsi="Arial" w:cs="Arial"/>
        </w:rPr>
        <w:t xml:space="preserve">for the </w:t>
      </w:r>
      <w:r w:rsidR="00E227A4">
        <w:rPr>
          <w:rFonts w:ascii="Arial" w:hAnsi="Arial" w:cs="Arial"/>
        </w:rPr>
        <w:t>AADA</w:t>
      </w:r>
      <w:r w:rsidR="007025E9">
        <w:rPr>
          <w:rFonts w:ascii="Arial" w:hAnsi="Arial" w:cs="Arial"/>
        </w:rPr>
        <w:t xml:space="preserve"> </w:t>
      </w:r>
      <w:r w:rsidRPr="005B139E">
        <w:rPr>
          <w:rFonts w:ascii="Arial" w:hAnsi="Arial" w:cs="Arial"/>
        </w:rPr>
        <w:t>suggests that over time, once the market adjusts, additional revenue will be found to replace the missing finance and insurance income, however, it is not clear whether this will come from increase</w:t>
      </w:r>
      <w:r w:rsidR="00F75F49">
        <w:rPr>
          <w:rFonts w:ascii="Arial" w:hAnsi="Arial" w:cs="Arial"/>
        </w:rPr>
        <w:t>d</w:t>
      </w:r>
      <w:r w:rsidRPr="005B139E">
        <w:rPr>
          <w:rFonts w:ascii="Arial" w:hAnsi="Arial" w:cs="Arial"/>
        </w:rPr>
        <w:t xml:space="preserve"> margins on new vehicle sales or increased incentive based income or another source entirely.</w:t>
      </w:r>
      <w:r w:rsidRPr="005B139E">
        <w:rPr>
          <w:rStyle w:val="FootnoteReference"/>
          <w:rFonts w:ascii="Arial" w:hAnsi="Arial" w:cs="Arial"/>
        </w:rPr>
        <w:footnoteReference w:id="19"/>
      </w:r>
      <w:r w:rsidRPr="005B139E">
        <w:rPr>
          <w:rFonts w:ascii="Arial" w:hAnsi="Arial" w:cs="Arial"/>
        </w:rPr>
        <w:t xml:space="preserve"> </w:t>
      </w:r>
    </w:p>
    <w:p w14:paraId="3F1D0A06" w14:textId="77777777" w:rsidR="00B13090" w:rsidRPr="00116D01" w:rsidRDefault="11FF59B9" w:rsidP="00956EF8">
      <w:pPr>
        <w:keepNext/>
        <w:spacing w:before="240" w:line="360" w:lineRule="auto"/>
        <w:jc w:val="both"/>
        <w:rPr>
          <w:rFonts w:ascii="Arial" w:hAnsi="Arial" w:cs="Arial"/>
          <w:b/>
          <w:bCs/>
        </w:rPr>
      </w:pPr>
      <w:r w:rsidRPr="11FF59B9">
        <w:rPr>
          <w:rFonts w:ascii="Arial" w:hAnsi="Arial" w:cs="Arial"/>
          <w:b/>
          <w:bCs/>
        </w:rPr>
        <w:t>What is franchising?</w:t>
      </w:r>
    </w:p>
    <w:p w14:paraId="3F1D0A07" w14:textId="77777777" w:rsidR="00B13090" w:rsidRDefault="00B13090" w:rsidP="11FF59B9">
      <w:pPr>
        <w:spacing w:before="240" w:line="360" w:lineRule="auto"/>
        <w:jc w:val="both"/>
        <w:rPr>
          <w:rFonts w:ascii="Arial" w:hAnsi="Arial" w:cs="Arial"/>
        </w:rPr>
      </w:pPr>
      <w:r w:rsidRPr="0067009C">
        <w:rPr>
          <w:rFonts w:ascii="Arial" w:hAnsi="Arial" w:cs="Arial"/>
        </w:rPr>
        <w:t>Franchising is a relationship between two</w:t>
      </w:r>
      <w:r>
        <w:rPr>
          <w:rFonts w:ascii="Arial" w:hAnsi="Arial" w:cs="Arial"/>
        </w:rPr>
        <w:t xml:space="preserve"> separate commercial parties, a </w:t>
      </w:r>
      <w:r w:rsidRPr="0067009C">
        <w:rPr>
          <w:rFonts w:ascii="Arial" w:hAnsi="Arial" w:cs="Arial"/>
        </w:rPr>
        <w:t>franchisor and a franchisee</w:t>
      </w:r>
      <w:r w:rsidR="00A835A2">
        <w:rPr>
          <w:rFonts w:ascii="Arial" w:hAnsi="Arial" w:cs="Arial"/>
        </w:rPr>
        <w:t>, for</w:t>
      </w:r>
      <w:r w:rsidR="006723C0">
        <w:rPr>
          <w:rFonts w:ascii="Arial" w:hAnsi="Arial" w:cs="Arial"/>
        </w:rPr>
        <w:t xml:space="preserve"> a defined</w:t>
      </w:r>
      <w:r w:rsidR="00A835A2">
        <w:rPr>
          <w:rFonts w:ascii="Arial" w:hAnsi="Arial" w:cs="Arial"/>
        </w:rPr>
        <w:t xml:space="preserve"> </w:t>
      </w:r>
      <w:r w:rsidR="006723C0">
        <w:rPr>
          <w:rFonts w:ascii="Arial" w:hAnsi="Arial" w:cs="Arial"/>
        </w:rPr>
        <w:t>t</w:t>
      </w:r>
      <w:r w:rsidR="00A835A2">
        <w:rPr>
          <w:rFonts w:ascii="Arial" w:hAnsi="Arial" w:cs="Arial"/>
        </w:rPr>
        <w:t xml:space="preserve">erm </w:t>
      </w:r>
      <w:r w:rsidR="006723C0">
        <w:rPr>
          <w:rFonts w:ascii="Arial" w:hAnsi="Arial" w:cs="Arial"/>
        </w:rPr>
        <w:t>as outlined in their franchise agreement</w:t>
      </w:r>
      <w:r w:rsidRPr="0067009C">
        <w:rPr>
          <w:rFonts w:ascii="Arial" w:hAnsi="Arial" w:cs="Arial"/>
        </w:rPr>
        <w:t>. The franchising relationship is</w:t>
      </w:r>
      <w:r>
        <w:rPr>
          <w:rFonts w:ascii="Arial" w:hAnsi="Arial" w:cs="Arial"/>
        </w:rPr>
        <w:t xml:space="preserve"> based on a prescribed </w:t>
      </w:r>
      <w:r w:rsidRPr="0067009C">
        <w:rPr>
          <w:rFonts w:ascii="Arial" w:hAnsi="Arial" w:cs="Arial"/>
        </w:rPr>
        <w:t>business model which is offered by the franchisor and c</w:t>
      </w:r>
      <w:r>
        <w:rPr>
          <w:rFonts w:ascii="Arial" w:hAnsi="Arial" w:cs="Arial"/>
        </w:rPr>
        <w:t xml:space="preserve">arried out under their guidance </w:t>
      </w:r>
      <w:r w:rsidRPr="0067009C">
        <w:rPr>
          <w:rFonts w:ascii="Arial" w:hAnsi="Arial" w:cs="Arial"/>
        </w:rPr>
        <w:t xml:space="preserve">and oversight by franchise owners (franchisees). </w:t>
      </w:r>
      <w:r w:rsidRPr="00EC05C8">
        <w:rPr>
          <w:rFonts w:ascii="Arial" w:hAnsi="Arial" w:cs="Arial"/>
        </w:rPr>
        <w:t>For franchisees, the appeal of a franchise is the potenti</w:t>
      </w:r>
      <w:r>
        <w:rPr>
          <w:rFonts w:ascii="Arial" w:hAnsi="Arial" w:cs="Arial"/>
        </w:rPr>
        <w:t xml:space="preserve">al benefits of being able </w:t>
      </w:r>
      <w:r w:rsidRPr="00EC05C8">
        <w:rPr>
          <w:rFonts w:ascii="Arial" w:hAnsi="Arial" w:cs="Arial"/>
        </w:rPr>
        <w:t xml:space="preserve">to conduct a </w:t>
      </w:r>
      <w:r w:rsidRPr="00EC05C8">
        <w:rPr>
          <w:rFonts w:ascii="Arial" w:hAnsi="Arial" w:cs="Arial"/>
        </w:rPr>
        <w:lastRenderedPageBreak/>
        <w:t>business under an established bran</w:t>
      </w:r>
      <w:r>
        <w:rPr>
          <w:rFonts w:ascii="Arial" w:hAnsi="Arial" w:cs="Arial"/>
        </w:rPr>
        <w:t xml:space="preserve">d name using tested operational </w:t>
      </w:r>
      <w:r w:rsidRPr="00EC05C8">
        <w:rPr>
          <w:rFonts w:ascii="Arial" w:hAnsi="Arial" w:cs="Arial"/>
        </w:rPr>
        <w:t>systems.</w:t>
      </w:r>
      <w:bookmarkStart w:id="31" w:name="_Ref529871878"/>
      <w:r>
        <w:rPr>
          <w:rStyle w:val="FootnoteReference"/>
          <w:rFonts w:ascii="Arial" w:hAnsi="Arial" w:cs="Arial"/>
        </w:rPr>
        <w:footnoteReference w:id="20"/>
      </w:r>
      <w:bookmarkEnd w:id="31"/>
      <w:r w:rsidRPr="00EC05C8">
        <w:rPr>
          <w:rFonts w:ascii="Arial" w:hAnsi="Arial" w:cs="Arial"/>
        </w:rPr>
        <w:t xml:space="preserve"> In turn, franchisors are able to grow their bus</w:t>
      </w:r>
      <w:r>
        <w:rPr>
          <w:rFonts w:ascii="Arial" w:hAnsi="Arial" w:cs="Arial"/>
        </w:rPr>
        <w:t xml:space="preserve">iness by allowing others to use </w:t>
      </w:r>
      <w:r w:rsidRPr="00EC05C8">
        <w:rPr>
          <w:rFonts w:ascii="Arial" w:hAnsi="Arial" w:cs="Arial"/>
        </w:rPr>
        <w:t xml:space="preserve">the model they have developed, within an agreement that allows </w:t>
      </w:r>
      <w:r>
        <w:rPr>
          <w:rFonts w:ascii="Arial" w:hAnsi="Arial" w:cs="Arial"/>
        </w:rPr>
        <w:t xml:space="preserve">them to retain </w:t>
      </w:r>
      <w:r w:rsidRPr="00EC05C8">
        <w:rPr>
          <w:rFonts w:ascii="Arial" w:hAnsi="Arial" w:cs="Arial"/>
        </w:rPr>
        <w:t>substantial control over its use but without the financi</w:t>
      </w:r>
      <w:r>
        <w:rPr>
          <w:rFonts w:ascii="Arial" w:hAnsi="Arial" w:cs="Arial"/>
        </w:rPr>
        <w:t xml:space="preserve">al risks of significant capital </w:t>
      </w:r>
      <w:r w:rsidRPr="00EC05C8">
        <w:rPr>
          <w:rFonts w:ascii="Arial" w:hAnsi="Arial" w:cs="Arial"/>
        </w:rPr>
        <w:t>expenditure.</w:t>
      </w:r>
      <w:r>
        <w:rPr>
          <w:rStyle w:val="FootnoteReference"/>
          <w:rFonts w:ascii="Arial" w:hAnsi="Arial" w:cs="Arial"/>
        </w:rPr>
        <w:footnoteReference w:id="21"/>
      </w:r>
    </w:p>
    <w:p w14:paraId="3F1D0A08" w14:textId="77777777" w:rsidR="00B13090" w:rsidRDefault="00B13090" w:rsidP="11FF59B9">
      <w:pPr>
        <w:spacing w:before="240" w:line="360" w:lineRule="auto"/>
        <w:jc w:val="both"/>
        <w:rPr>
          <w:rFonts w:ascii="Arial" w:hAnsi="Arial" w:cs="Arial"/>
        </w:rPr>
      </w:pPr>
      <w:r w:rsidRPr="00BD0C6A">
        <w:rPr>
          <w:rFonts w:ascii="Arial" w:hAnsi="Arial" w:cs="Arial"/>
        </w:rPr>
        <w:t>Franchisors are expected to offer a</w:t>
      </w:r>
      <w:r>
        <w:rPr>
          <w:rFonts w:ascii="Arial" w:hAnsi="Arial" w:cs="Arial"/>
        </w:rPr>
        <w:t xml:space="preserve">n appropriate level of support, </w:t>
      </w:r>
      <w:r w:rsidRPr="00BD0C6A">
        <w:rPr>
          <w:rFonts w:ascii="Arial" w:hAnsi="Arial" w:cs="Arial"/>
        </w:rPr>
        <w:t>guidance and advice to franchisees on using their b</w:t>
      </w:r>
      <w:r>
        <w:rPr>
          <w:rFonts w:ascii="Arial" w:hAnsi="Arial" w:cs="Arial"/>
        </w:rPr>
        <w:t xml:space="preserve">usiness model; maintain support </w:t>
      </w:r>
      <w:r w:rsidRPr="00BD0C6A">
        <w:rPr>
          <w:rFonts w:ascii="Arial" w:hAnsi="Arial" w:cs="Arial"/>
        </w:rPr>
        <w:t>through advertising and marketing; provide inputs a</w:t>
      </w:r>
      <w:r>
        <w:rPr>
          <w:rFonts w:ascii="Arial" w:hAnsi="Arial" w:cs="Arial"/>
        </w:rPr>
        <w:t xml:space="preserve">nd equipment of an agreed </w:t>
      </w:r>
      <w:r w:rsidRPr="00BD0C6A">
        <w:rPr>
          <w:rFonts w:ascii="Arial" w:hAnsi="Arial" w:cs="Arial"/>
        </w:rPr>
        <w:t>standard; and update the model when business c</w:t>
      </w:r>
      <w:r>
        <w:rPr>
          <w:rFonts w:ascii="Arial" w:hAnsi="Arial" w:cs="Arial"/>
        </w:rPr>
        <w:t>onditions demand it.</w:t>
      </w:r>
      <w:r>
        <w:rPr>
          <w:rStyle w:val="FootnoteReference"/>
          <w:rFonts w:ascii="Arial" w:hAnsi="Arial" w:cs="Arial"/>
        </w:rPr>
        <w:footnoteReference w:id="22"/>
      </w:r>
      <w:r>
        <w:rPr>
          <w:rFonts w:ascii="Arial" w:hAnsi="Arial" w:cs="Arial"/>
        </w:rPr>
        <w:t xml:space="preserve"> In return, </w:t>
      </w:r>
      <w:r w:rsidRPr="00BD0C6A">
        <w:rPr>
          <w:rFonts w:ascii="Arial" w:hAnsi="Arial" w:cs="Arial"/>
        </w:rPr>
        <w:t>franchisees are expected to pay agreed fees and royalties and execute the business</w:t>
      </w:r>
      <w:r>
        <w:rPr>
          <w:rFonts w:ascii="Arial" w:hAnsi="Arial" w:cs="Arial"/>
        </w:rPr>
        <w:t xml:space="preserve"> </w:t>
      </w:r>
      <w:r w:rsidRPr="00BD0C6A">
        <w:rPr>
          <w:rFonts w:ascii="Arial" w:hAnsi="Arial" w:cs="Arial"/>
        </w:rPr>
        <w:t>model as prescribed by the franchisor, to a standard that maintains the reputation of</w:t>
      </w:r>
      <w:r>
        <w:rPr>
          <w:rFonts w:ascii="Arial" w:hAnsi="Arial" w:cs="Arial"/>
        </w:rPr>
        <w:t xml:space="preserve"> </w:t>
      </w:r>
      <w:r w:rsidRPr="00BD0C6A">
        <w:rPr>
          <w:rFonts w:ascii="Arial" w:hAnsi="Arial" w:cs="Arial"/>
        </w:rPr>
        <w:t>the franchise network as a whole.</w:t>
      </w:r>
      <w:r>
        <w:rPr>
          <w:rStyle w:val="FootnoteReference"/>
          <w:rFonts w:ascii="Arial" w:hAnsi="Arial" w:cs="Arial"/>
        </w:rPr>
        <w:footnoteReference w:id="23"/>
      </w:r>
      <w:r w:rsidRPr="00BD0C6A">
        <w:rPr>
          <w:rFonts w:ascii="Arial" w:hAnsi="Arial" w:cs="Arial"/>
        </w:rPr>
        <w:t xml:space="preserve"> The success of a</w:t>
      </w:r>
      <w:r>
        <w:rPr>
          <w:rFonts w:ascii="Arial" w:hAnsi="Arial" w:cs="Arial"/>
        </w:rPr>
        <w:t xml:space="preserve"> franchise model depends on the </w:t>
      </w:r>
      <w:r w:rsidRPr="00BD0C6A">
        <w:rPr>
          <w:rFonts w:ascii="Arial" w:hAnsi="Arial" w:cs="Arial"/>
        </w:rPr>
        <w:t>provision of a consistent, quality product or service t</w:t>
      </w:r>
      <w:r>
        <w:rPr>
          <w:rFonts w:ascii="Arial" w:hAnsi="Arial" w:cs="Arial"/>
        </w:rPr>
        <w:t xml:space="preserve">o consumers, who generally view </w:t>
      </w:r>
      <w:r w:rsidRPr="00BD0C6A">
        <w:rPr>
          <w:rFonts w:ascii="Arial" w:hAnsi="Arial" w:cs="Arial"/>
        </w:rPr>
        <w:t>the brand as a homogenous entity and exercise their spending preferences accordingly.</w:t>
      </w:r>
      <w:r>
        <w:rPr>
          <w:rStyle w:val="FootnoteReference"/>
          <w:rFonts w:ascii="Arial" w:hAnsi="Arial" w:cs="Arial"/>
        </w:rPr>
        <w:footnoteReference w:id="24"/>
      </w:r>
    </w:p>
    <w:p w14:paraId="3F1D0A09" w14:textId="77777777" w:rsidR="00B13090" w:rsidRDefault="00B13090" w:rsidP="11FF59B9">
      <w:pPr>
        <w:spacing w:before="240" w:line="360" w:lineRule="auto"/>
        <w:jc w:val="both"/>
        <w:rPr>
          <w:rFonts w:ascii="Arial" w:hAnsi="Arial" w:cs="Arial"/>
        </w:rPr>
      </w:pPr>
      <w:r>
        <w:rPr>
          <w:rFonts w:ascii="Arial" w:hAnsi="Arial" w:cs="Arial"/>
        </w:rPr>
        <w:t xml:space="preserve">The franchising </w:t>
      </w:r>
      <w:r w:rsidRPr="008E469D">
        <w:rPr>
          <w:rFonts w:ascii="Arial" w:hAnsi="Arial" w:cs="Arial"/>
        </w:rPr>
        <w:t>model is necessarily predicated on franchisor contr</w:t>
      </w:r>
      <w:r>
        <w:rPr>
          <w:rFonts w:ascii="Arial" w:hAnsi="Arial" w:cs="Arial"/>
        </w:rPr>
        <w:t xml:space="preserve">ol over the use of </w:t>
      </w:r>
      <w:r w:rsidR="00F75F49">
        <w:rPr>
          <w:rFonts w:ascii="Arial" w:hAnsi="Arial" w:cs="Arial"/>
        </w:rPr>
        <w:t xml:space="preserve">its </w:t>
      </w:r>
      <w:r>
        <w:rPr>
          <w:rFonts w:ascii="Arial" w:hAnsi="Arial" w:cs="Arial"/>
        </w:rPr>
        <w:t xml:space="preserve">brand, </w:t>
      </w:r>
      <w:r w:rsidRPr="008E469D">
        <w:rPr>
          <w:rFonts w:ascii="Arial" w:hAnsi="Arial" w:cs="Arial"/>
        </w:rPr>
        <w:t xml:space="preserve">allowing </w:t>
      </w:r>
      <w:r w:rsidR="00F75F49">
        <w:rPr>
          <w:rFonts w:ascii="Arial" w:hAnsi="Arial" w:cs="Arial"/>
        </w:rPr>
        <w:t>it</w:t>
      </w:r>
      <w:r w:rsidRPr="008E469D">
        <w:rPr>
          <w:rFonts w:ascii="Arial" w:hAnsi="Arial" w:cs="Arial"/>
        </w:rPr>
        <w:t xml:space="preserve"> to impose terms and conditions</w:t>
      </w:r>
      <w:r>
        <w:rPr>
          <w:rFonts w:ascii="Arial" w:hAnsi="Arial" w:cs="Arial"/>
        </w:rPr>
        <w:t xml:space="preserve"> on the way franchisees operate </w:t>
      </w:r>
      <w:r w:rsidRPr="008E469D">
        <w:rPr>
          <w:rFonts w:ascii="Arial" w:hAnsi="Arial" w:cs="Arial"/>
        </w:rPr>
        <w:t>their franchise business.</w:t>
      </w:r>
      <w:r>
        <w:rPr>
          <w:rStyle w:val="FootnoteReference"/>
          <w:rFonts w:ascii="Arial" w:hAnsi="Arial" w:cs="Arial"/>
        </w:rPr>
        <w:footnoteReference w:id="25"/>
      </w:r>
      <w:r w:rsidRPr="00EA3360">
        <w:rPr>
          <w:rFonts w:ascii="Arial" w:hAnsi="Arial" w:cs="Arial"/>
        </w:rPr>
        <w:t xml:space="preserve"> </w:t>
      </w:r>
      <w:r>
        <w:rPr>
          <w:rFonts w:ascii="Arial" w:hAnsi="Arial" w:cs="Arial"/>
        </w:rPr>
        <w:t xml:space="preserve">Standard form contracts specify </w:t>
      </w:r>
      <w:r w:rsidRPr="008E469D">
        <w:rPr>
          <w:rFonts w:ascii="Arial" w:hAnsi="Arial" w:cs="Arial"/>
        </w:rPr>
        <w:t xml:space="preserve">the beginning of </w:t>
      </w:r>
      <w:r>
        <w:rPr>
          <w:rFonts w:ascii="Arial" w:hAnsi="Arial" w:cs="Arial"/>
        </w:rPr>
        <w:t xml:space="preserve">a franchising relationship but, as allowed for in the contracts, the </w:t>
      </w:r>
      <w:r w:rsidRPr="008E469D">
        <w:rPr>
          <w:rFonts w:ascii="Arial" w:hAnsi="Arial" w:cs="Arial"/>
        </w:rPr>
        <w:t>operations manual and other communications or dire</w:t>
      </w:r>
      <w:r>
        <w:rPr>
          <w:rFonts w:ascii="Arial" w:hAnsi="Arial" w:cs="Arial"/>
        </w:rPr>
        <w:t xml:space="preserve">ctions from the franchisor form </w:t>
      </w:r>
      <w:r w:rsidRPr="008E469D">
        <w:rPr>
          <w:rFonts w:ascii="Arial" w:hAnsi="Arial" w:cs="Arial"/>
        </w:rPr>
        <w:t>the basis of daily operations.</w:t>
      </w:r>
      <w:r>
        <w:rPr>
          <w:rStyle w:val="FootnoteReference"/>
          <w:rFonts w:ascii="Arial" w:hAnsi="Arial" w:cs="Arial"/>
        </w:rPr>
        <w:footnoteReference w:id="26"/>
      </w:r>
      <w:r w:rsidRPr="008E469D">
        <w:rPr>
          <w:rFonts w:ascii="Arial" w:hAnsi="Arial" w:cs="Arial"/>
        </w:rPr>
        <w:t xml:space="preserve"> </w:t>
      </w:r>
    </w:p>
    <w:p w14:paraId="3F1D0A0A" w14:textId="77777777" w:rsidR="004848E6" w:rsidRDefault="004848E6" w:rsidP="004848E6">
      <w:pPr>
        <w:spacing w:before="240" w:line="360" w:lineRule="auto"/>
        <w:jc w:val="both"/>
        <w:rPr>
          <w:rFonts w:ascii="Arial" w:hAnsi="Arial" w:cs="Arial"/>
        </w:rPr>
      </w:pPr>
      <w:r>
        <w:rPr>
          <w:rFonts w:ascii="Arial" w:hAnsi="Arial" w:cs="Arial"/>
        </w:rPr>
        <w:t xml:space="preserve">Unlike other </w:t>
      </w:r>
      <w:r w:rsidRPr="004848E6">
        <w:rPr>
          <w:rFonts w:ascii="Arial" w:hAnsi="Arial" w:cs="Arial"/>
        </w:rPr>
        <w:t>commercial relationships</w:t>
      </w:r>
      <w:r>
        <w:rPr>
          <w:rFonts w:ascii="Arial" w:hAnsi="Arial" w:cs="Arial"/>
        </w:rPr>
        <w:t>,</w:t>
      </w:r>
      <w:r w:rsidRPr="004848E6">
        <w:rPr>
          <w:rFonts w:ascii="Arial" w:hAnsi="Arial" w:cs="Arial"/>
        </w:rPr>
        <w:t xml:space="preserve"> </w:t>
      </w:r>
      <w:r>
        <w:rPr>
          <w:rFonts w:ascii="Arial" w:hAnsi="Arial" w:cs="Arial"/>
        </w:rPr>
        <w:t xml:space="preserve">the franchising parties’ </w:t>
      </w:r>
      <w:r w:rsidRPr="004848E6">
        <w:rPr>
          <w:rFonts w:ascii="Arial" w:hAnsi="Arial" w:cs="Arial"/>
        </w:rPr>
        <w:t>contractual oblig</w:t>
      </w:r>
      <w:r>
        <w:rPr>
          <w:rFonts w:ascii="Arial" w:hAnsi="Arial" w:cs="Arial"/>
        </w:rPr>
        <w:t xml:space="preserve">ations are variable and based on a </w:t>
      </w:r>
      <w:r w:rsidRPr="004848E6">
        <w:rPr>
          <w:rFonts w:ascii="Arial" w:hAnsi="Arial" w:cs="Arial"/>
        </w:rPr>
        <w:t>symbiotic</w:t>
      </w:r>
      <w:r>
        <w:rPr>
          <w:rFonts w:ascii="Arial" w:hAnsi="Arial" w:cs="Arial"/>
        </w:rPr>
        <w:t xml:space="preserve"> </w:t>
      </w:r>
      <w:r w:rsidRPr="004848E6">
        <w:rPr>
          <w:rFonts w:ascii="Arial" w:hAnsi="Arial" w:cs="Arial"/>
        </w:rPr>
        <w:t>relationship.</w:t>
      </w:r>
      <w:bookmarkStart w:id="32" w:name="_Ref530471234"/>
      <w:r w:rsidR="004E17B1">
        <w:rPr>
          <w:rStyle w:val="FootnoteReference"/>
          <w:rFonts w:ascii="Arial" w:hAnsi="Arial" w:cs="Arial"/>
        </w:rPr>
        <w:footnoteReference w:id="27"/>
      </w:r>
      <w:bookmarkEnd w:id="32"/>
      <w:r w:rsidR="004E17B1" w:rsidRPr="008E469D">
        <w:rPr>
          <w:rFonts w:ascii="Arial" w:hAnsi="Arial" w:cs="Arial"/>
        </w:rPr>
        <w:t xml:space="preserve"> </w:t>
      </w:r>
      <w:r>
        <w:rPr>
          <w:rFonts w:ascii="Arial" w:hAnsi="Arial" w:cs="Arial"/>
        </w:rPr>
        <w:t xml:space="preserve">The obligations do not involve </w:t>
      </w:r>
      <w:r w:rsidRPr="004848E6">
        <w:rPr>
          <w:rFonts w:ascii="Arial" w:hAnsi="Arial" w:cs="Arial"/>
        </w:rPr>
        <w:t xml:space="preserve">discrete, </w:t>
      </w:r>
      <w:r>
        <w:rPr>
          <w:rFonts w:ascii="Arial" w:hAnsi="Arial" w:cs="Arial"/>
        </w:rPr>
        <w:t xml:space="preserve">one-off </w:t>
      </w:r>
      <w:r w:rsidRPr="004848E6">
        <w:rPr>
          <w:rFonts w:ascii="Arial" w:hAnsi="Arial" w:cs="Arial"/>
        </w:rPr>
        <w:t>exchanges between parties on clearly defined t</w:t>
      </w:r>
      <w:r>
        <w:rPr>
          <w:rFonts w:ascii="Arial" w:hAnsi="Arial" w:cs="Arial"/>
        </w:rPr>
        <w:t xml:space="preserve">erms that characterise ordinary </w:t>
      </w:r>
      <w:r w:rsidR="00FB0110">
        <w:rPr>
          <w:rFonts w:ascii="Arial" w:hAnsi="Arial" w:cs="Arial"/>
        </w:rPr>
        <w:t>contractual agreements.</w:t>
      </w:r>
      <w:r w:rsidR="004E17B1">
        <w:rPr>
          <w:rStyle w:val="FootnoteReference"/>
          <w:rFonts w:ascii="Arial" w:hAnsi="Arial" w:cs="Arial"/>
        </w:rPr>
        <w:footnoteReference w:id="28"/>
      </w:r>
      <w:r w:rsidR="004E17B1" w:rsidRPr="008E469D">
        <w:rPr>
          <w:rFonts w:ascii="Arial" w:hAnsi="Arial" w:cs="Arial"/>
        </w:rPr>
        <w:t xml:space="preserve"> </w:t>
      </w:r>
      <w:r w:rsidR="00730CBA">
        <w:rPr>
          <w:rFonts w:ascii="Arial" w:hAnsi="Arial" w:cs="Arial"/>
        </w:rPr>
        <w:t xml:space="preserve">Franchising agreements are drafted to allow </w:t>
      </w:r>
      <w:r w:rsidRPr="004848E6">
        <w:rPr>
          <w:rFonts w:ascii="Arial" w:hAnsi="Arial" w:cs="Arial"/>
        </w:rPr>
        <w:t>flexibility of</w:t>
      </w:r>
      <w:r w:rsidR="00730CBA">
        <w:rPr>
          <w:rFonts w:ascii="Arial" w:hAnsi="Arial" w:cs="Arial"/>
        </w:rPr>
        <w:t xml:space="preserve"> </w:t>
      </w:r>
      <w:r w:rsidRPr="004848E6">
        <w:rPr>
          <w:rFonts w:ascii="Arial" w:hAnsi="Arial" w:cs="Arial"/>
        </w:rPr>
        <w:t xml:space="preserve">terms </w:t>
      </w:r>
      <w:r w:rsidR="00730CBA">
        <w:rPr>
          <w:rFonts w:ascii="Arial" w:hAnsi="Arial" w:cs="Arial"/>
        </w:rPr>
        <w:t xml:space="preserve">so that the franchise system is able </w:t>
      </w:r>
      <w:r w:rsidRPr="004848E6">
        <w:rPr>
          <w:rFonts w:ascii="Arial" w:hAnsi="Arial" w:cs="Arial"/>
        </w:rPr>
        <w:t>to adapt to constantly changing business conditions.</w:t>
      </w:r>
      <w:r w:rsidR="004E17B1">
        <w:rPr>
          <w:rStyle w:val="FootnoteReference"/>
          <w:rFonts w:ascii="Arial" w:hAnsi="Arial" w:cs="Arial"/>
        </w:rPr>
        <w:footnoteReference w:id="29"/>
      </w:r>
      <w:r w:rsidR="004E17B1" w:rsidRPr="008E469D">
        <w:rPr>
          <w:rFonts w:ascii="Arial" w:hAnsi="Arial" w:cs="Arial"/>
        </w:rPr>
        <w:t xml:space="preserve"> </w:t>
      </w:r>
      <w:r w:rsidRPr="004848E6">
        <w:rPr>
          <w:rFonts w:ascii="Arial" w:hAnsi="Arial" w:cs="Arial"/>
        </w:rPr>
        <w:t xml:space="preserve"> Contracts between</w:t>
      </w:r>
      <w:r w:rsidR="00730CBA">
        <w:rPr>
          <w:rFonts w:ascii="Arial" w:hAnsi="Arial" w:cs="Arial"/>
        </w:rPr>
        <w:t xml:space="preserve"> </w:t>
      </w:r>
      <w:r w:rsidRPr="004848E6">
        <w:rPr>
          <w:rFonts w:ascii="Arial" w:hAnsi="Arial" w:cs="Arial"/>
        </w:rPr>
        <w:t>franchisees and franchisors therefore need continuing cooperation and agreement</w:t>
      </w:r>
      <w:r w:rsidR="003825B8">
        <w:rPr>
          <w:rFonts w:ascii="Arial" w:hAnsi="Arial" w:cs="Arial"/>
        </w:rPr>
        <w:t>.</w:t>
      </w:r>
      <w:r w:rsidR="004E17B1">
        <w:rPr>
          <w:rStyle w:val="FootnoteReference"/>
          <w:rFonts w:ascii="Arial" w:hAnsi="Arial" w:cs="Arial"/>
        </w:rPr>
        <w:footnoteReference w:id="30"/>
      </w:r>
      <w:r w:rsidR="004E17B1" w:rsidRPr="008E469D">
        <w:rPr>
          <w:rFonts w:ascii="Arial" w:hAnsi="Arial" w:cs="Arial"/>
        </w:rPr>
        <w:t xml:space="preserve"> </w:t>
      </w:r>
      <w:r w:rsidR="003825B8">
        <w:rPr>
          <w:rFonts w:ascii="Arial" w:hAnsi="Arial" w:cs="Arial"/>
        </w:rPr>
        <w:t xml:space="preserve"> </w:t>
      </w:r>
    </w:p>
    <w:p w14:paraId="3F1D0A0B" w14:textId="77777777" w:rsidR="00176F65" w:rsidRDefault="11FF59B9" w:rsidP="11FF59B9">
      <w:pPr>
        <w:spacing w:before="240" w:line="360" w:lineRule="auto"/>
        <w:jc w:val="both"/>
        <w:rPr>
          <w:rFonts w:ascii="Arial" w:hAnsi="Arial" w:cs="Arial"/>
        </w:rPr>
      </w:pPr>
      <w:r w:rsidRPr="11FF59B9">
        <w:rPr>
          <w:rFonts w:ascii="Arial" w:hAnsi="Arial" w:cs="Arial"/>
        </w:rPr>
        <w:t xml:space="preserve">In line with the Government’s Policy Guidelines for Codes of Conduct, the Franchising Code does not seek to restrict competition or unduly interfere with </w:t>
      </w:r>
      <w:r w:rsidR="00670FF9">
        <w:rPr>
          <w:rFonts w:ascii="Arial" w:hAnsi="Arial" w:cs="Arial"/>
        </w:rPr>
        <w:t xml:space="preserve">the </w:t>
      </w:r>
      <w:r w:rsidRPr="11FF59B9">
        <w:rPr>
          <w:rFonts w:ascii="Arial" w:hAnsi="Arial" w:cs="Arial"/>
        </w:rPr>
        <w:t xml:space="preserve">two commercial parties’ </w:t>
      </w:r>
      <w:r w:rsidRPr="11FF59B9">
        <w:rPr>
          <w:rFonts w:ascii="Arial" w:hAnsi="Arial" w:cs="Arial"/>
        </w:rPr>
        <w:lastRenderedPageBreak/>
        <w:t>freedom to contract. Rather, in recognition of the information asymmetry that can exist between franchisors</w:t>
      </w:r>
      <w:r w:rsidR="00670FF9">
        <w:rPr>
          <w:rFonts w:ascii="Arial" w:hAnsi="Arial" w:cs="Arial"/>
        </w:rPr>
        <w:t xml:space="preserve"> </w:t>
      </w:r>
      <w:r w:rsidRPr="11FF59B9">
        <w:rPr>
          <w:rFonts w:ascii="Arial" w:hAnsi="Arial" w:cs="Arial"/>
        </w:rPr>
        <w:t xml:space="preserve">and franchisees, the Franchising Code requires that a disclosure statement be provided to prospective franchisees so they can make a reasonably informed decision about entering into a franchise agreement. </w:t>
      </w:r>
    </w:p>
    <w:p w14:paraId="3F1D0A0C" w14:textId="77777777" w:rsidR="000407AA" w:rsidRPr="000407AA" w:rsidRDefault="11FF59B9" w:rsidP="11FF59B9">
      <w:pPr>
        <w:keepNext/>
        <w:spacing w:before="240" w:line="360" w:lineRule="auto"/>
        <w:jc w:val="both"/>
        <w:rPr>
          <w:rFonts w:ascii="Arial" w:hAnsi="Arial" w:cs="Arial"/>
          <w:b/>
          <w:bCs/>
        </w:rPr>
      </w:pPr>
      <w:r w:rsidRPr="11FF59B9">
        <w:rPr>
          <w:rFonts w:ascii="Arial" w:hAnsi="Arial" w:cs="Arial"/>
          <w:b/>
          <w:bCs/>
        </w:rPr>
        <w:t>Automotive franchising agreements</w:t>
      </w:r>
    </w:p>
    <w:p w14:paraId="3F1D0A0D" w14:textId="77777777" w:rsidR="00176F65" w:rsidRDefault="11FF59B9" w:rsidP="11FF59B9">
      <w:pPr>
        <w:spacing w:before="240" w:line="360" w:lineRule="auto"/>
        <w:jc w:val="both"/>
        <w:rPr>
          <w:rFonts w:ascii="Arial" w:hAnsi="Arial" w:cs="Arial"/>
        </w:rPr>
      </w:pPr>
      <w:r w:rsidRPr="11FF59B9">
        <w:rPr>
          <w:rFonts w:ascii="Arial" w:hAnsi="Arial" w:cs="Arial"/>
        </w:rPr>
        <w:t xml:space="preserve">Franchising arrangements between car manufacturer franchisors, as represented by distributors within Australia, and Australian car dealerships, as franchisees, are subject to the Franchising Code. </w:t>
      </w:r>
      <w:r w:rsidRPr="002B0D33">
        <w:rPr>
          <w:rFonts w:ascii="Arial" w:hAnsi="Arial" w:cs="Arial"/>
        </w:rPr>
        <w:t>However, automotive franchise agreements tend to differ from typical franchise agreements in two key ways</w:t>
      </w:r>
      <w:r w:rsidRPr="11FF59B9">
        <w:rPr>
          <w:rFonts w:ascii="Arial" w:hAnsi="Arial" w:cs="Arial"/>
        </w:rPr>
        <w:t>:</w:t>
      </w:r>
    </w:p>
    <w:p w14:paraId="57CF741B" w14:textId="5037AE12" w:rsidR="00CF05D3" w:rsidRDefault="00176F65">
      <w:pPr>
        <w:pStyle w:val="ListParagraph"/>
        <w:numPr>
          <w:ilvl w:val="0"/>
          <w:numId w:val="4"/>
        </w:numPr>
        <w:spacing w:before="240" w:line="360" w:lineRule="auto"/>
        <w:jc w:val="both"/>
        <w:rPr>
          <w:rFonts w:ascii="Arial" w:hAnsi="Arial" w:cs="Arial"/>
        </w:rPr>
      </w:pPr>
      <w:r>
        <w:rPr>
          <w:rFonts w:ascii="Arial" w:hAnsi="Arial" w:cs="Arial"/>
        </w:rPr>
        <w:t xml:space="preserve">New car dealers do not pay fees or royalties to car </w:t>
      </w:r>
      <w:r w:rsidR="004605BE">
        <w:rPr>
          <w:rFonts w:ascii="Arial" w:hAnsi="Arial" w:cs="Arial"/>
        </w:rPr>
        <w:t>manufacturers</w:t>
      </w:r>
      <w:r>
        <w:rPr>
          <w:rFonts w:ascii="Arial" w:hAnsi="Arial" w:cs="Arial"/>
        </w:rPr>
        <w:t xml:space="preserve"> for the use of their brand.</w:t>
      </w:r>
      <w:r w:rsidR="002A5FC9">
        <w:rPr>
          <w:rStyle w:val="FootnoteReference"/>
          <w:rFonts w:ascii="Arial" w:hAnsi="Arial" w:cs="Arial"/>
        </w:rPr>
        <w:footnoteReference w:id="31"/>
      </w:r>
      <w:r>
        <w:rPr>
          <w:rFonts w:ascii="Arial" w:hAnsi="Arial" w:cs="Arial"/>
        </w:rPr>
        <w:t xml:space="preserve"> </w:t>
      </w:r>
      <w:r w:rsidR="00CF05D3">
        <w:rPr>
          <w:rFonts w:ascii="Arial" w:hAnsi="Arial" w:cs="Arial"/>
        </w:rPr>
        <w:t>However, c</w:t>
      </w:r>
      <w:r>
        <w:rPr>
          <w:rFonts w:ascii="Arial" w:hAnsi="Arial" w:cs="Arial"/>
        </w:rPr>
        <w:t xml:space="preserve">ar dealers </w:t>
      </w:r>
      <w:r w:rsidR="00CF05D3">
        <w:rPr>
          <w:rFonts w:ascii="Arial" w:hAnsi="Arial" w:cs="Arial"/>
        </w:rPr>
        <w:t xml:space="preserve">do </w:t>
      </w:r>
      <w:r>
        <w:rPr>
          <w:rFonts w:ascii="Arial" w:hAnsi="Arial" w:cs="Arial"/>
        </w:rPr>
        <w:t xml:space="preserve">make </w:t>
      </w:r>
      <w:r w:rsidR="00CF05D3">
        <w:rPr>
          <w:rFonts w:ascii="Arial" w:hAnsi="Arial" w:cs="Arial"/>
        </w:rPr>
        <w:t>payments to manufacturers for a range of other matters, such as:</w:t>
      </w:r>
    </w:p>
    <w:p w14:paraId="6DC84AA4" w14:textId="09F9BC16" w:rsidR="00CF05D3" w:rsidRDefault="00176F65">
      <w:pPr>
        <w:pStyle w:val="ListParagraph"/>
        <w:numPr>
          <w:ilvl w:val="1"/>
          <w:numId w:val="4"/>
        </w:numPr>
        <w:spacing w:before="240" w:line="360" w:lineRule="auto"/>
        <w:jc w:val="both"/>
        <w:rPr>
          <w:rFonts w:ascii="Arial" w:hAnsi="Arial" w:cs="Arial"/>
        </w:rPr>
      </w:pPr>
      <w:r>
        <w:rPr>
          <w:rFonts w:ascii="Arial" w:hAnsi="Arial" w:cs="Arial"/>
        </w:rPr>
        <w:t>contributions to co-operative marketing funds</w:t>
      </w:r>
      <w:r w:rsidR="00CF05D3">
        <w:rPr>
          <w:rFonts w:ascii="Arial" w:hAnsi="Arial" w:cs="Arial"/>
        </w:rPr>
        <w:t>;</w:t>
      </w:r>
    </w:p>
    <w:p w14:paraId="7005D372" w14:textId="77777777" w:rsidR="00CF05D3" w:rsidRDefault="00176F65">
      <w:pPr>
        <w:pStyle w:val="ListParagraph"/>
        <w:numPr>
          <w:ilvl w:val="1"/>
          <w:numId w:val="4"/>
        </w:numPr>
        <w:spacing w:before="240" w:line="360" w:lineRule="auto"/>
        <w:jc w:val="both"/>
        <w:rPr>
          <w:rFonts w:ascii="Arial" w:hAnsi="Arial" w:cs="Arial"/>
        </w:rPr>
      </w:pPr>
      <w:r>
        <w:rPr>
          <w:rFonts w:ascii="Arial" w:hAnsi="Arial" w:cs="Arial"/>
        </w:rPr>
        <w:t xml:space="preserve">payments for </w:t>
      </w:r>
      <w:r w:rsidR="00CF05D3">
        <w:rPr>
          <w:rFonts w:ascii="Arial" w:hAnsi="Arial" w:cs="Arial"/>
        </w:rPr>
        <w:t>training;</w:t>
      </w:r>
    </w:p>
    <w:p w14:paraId="4A1D62D1" w14:textId="77777777" w:rsidR="00CF05D3" w:rsidRDefault="00CF05D3">
      <w:pPr>
        <w:pStyle w:val="ListParagraph"/>
        <w:numPr>
          <w:ilvl w:val="1"/>
          <w:numId w:val="4"/>
        </w:numPr>
        <w:spacing w:before="240" w:line="360" w:lineRule="auto"/>
        <w:jc w:val="both"/>
        <w:rPr>
          <w:rFonts w:ascii="Arial" w:hAnsi="Arial" w:cs="Arial"/>
        </w:rPr>
      </w:pPr>
      <w:r>
        <w:rPr>
          <w:rFonts w:ascii="Arial" w:hAnsi="Arial" w:cs="Arial"/>
        </w:rPr>
        <w:t xml:space="preserve">payments for services provided (such ICT platforms); and </w:t>
      </w:r>
    </w:p>
    <w:p w14:paraId="3F1D0A0E" w14:textId="0945DEE7" w:rsidR="00176F65" w:rsidRDefault="00CF05D3">
      <w:pPr>
        <w:pStyle w:val="ListParagraph"/>
        <w:numPr>
          <w:ilvl w:val="1"/>
          <w:numId w:val="4"/>
        </w:numPr>
        <w:spacing w:before="240" w:line="360" w:lineRule="auto"/>
        <w:jc w:val="both"/>
        <w:rPr>
          <w:rFonts w:ascii="Arial" w:hAnsi="Arial" w:cs="Arial"/>
        </w:rPr>
      </w:pPr>
      <w:r>
        <w:rPr>
          <w:rFonts w:ascii="Arial" w:hAnsi="Arial" w:cs="Arial"/>
        </w:rPr>
        <w:t xml:space="preserve">payments for </w:t>
      </w:r>
      <w:r w:rsidR="00176F65">
        <w:rPr>
          <w:rFonts w:ascii="Arial" w:hAnsi="Arial" w:cs="Arial"/>
        </w:rPr>
        <w:t xml:space="preserve">purchasing </w:t>
      </w:r>
      <w:r w:rsidR="00C63FD0">
        <w:rPr>
          <w:rFonts w:ascii="Arial" w:hAnsi="Arial" w:cs="Arial"/>
        </w:rPr>
        <w:t>vehicles</w:t>
      </w:r>
      <w:r w:rsidR="00176F65">
        <w:rPr>
          <w:rFonts w:ascii="Arial" w:hAnsi="Arial" w:cs="Arial"/>
        </w:rPr>
        <w:t xml:space="preserve">, parts, accessories and tools. </w:t>
      </w:r>
    </w:p>
    <w:p w14:paraId="3F1D0A0F" w14:textId="38991317" w:rsidR="00176F65" w:rsidRDefault="00176F65">
      <w:pPr>
        <w:pStyle w:val="ListParagraph"/>
        <w:numPr>
          <w:ilvl w:val="0"/>
          <w:numId w:val="4"/>
        </w:numPr>
        <w:spacing w:before="240" w:line="360" w:lineRule="auto"/>
        <w:jc w:val="both"/>
        <w:rPr>
          <w:rFonts w:ascii="Arial" w:hAnsi="Arial" w:cs="Arial"/>
        </w:rPr>
      </w:pPr>
      <w:r>
        <w:rPr>
          <w:rFonts w:ascii="Arial" w:hAnsi="Arial" w:cs="Arial"/>
        </w:rPr>
        <w:t xml:space="preserve">New car dealers </w:t>
      </w:r>
      <w:r w:rsidR="00B5192D">
        <w:rPr>
          <w:rFonts w:ascii="Arial" w:hAnsi="Arial" w:cs="Arial"/>
        </w:rPr>
        <w:t xml:space="preserve">often </w:t>
      </w:r>
      <w:r>
        <w:rPr>
          <w:rFonts w:ascii="Arial" w:hAnsi="Arial" w:cs="Arial"/>
        </w:rPr>
        <w:t>control the location of the franchise and many own the land on which the dealership is located.</w:t>
      </w:r>
      <w:r w:rsidR="00AE564C">
        <w:rPr>
          <w:rStyle w:val="FootnoteReference"/>
          <w:rFonts w:ascii="Arial" w:hAnsi="Arial" w:cs="Arial"/>
        </w:rPr>
        <w:footnoteReference w:id="32"/>
      </w:r>
      <w:r>
        <w:rPr>
          <w:rFonts w:ascii="Arial" w:hAnsi="Arial" w:cs="Arial"/>
        </w:rPr>
        <w:t xml:space="preserve"> In other franchise systems, it is more common for the franchisor to control the location of the franchisee</w:t>
      </w:r>
      <w:r w:rsidR="00C21575">
        <w:rPr>
          <w:rFonts w:ascii="Arial" w:hAnsi="Arial" w:cs="Arial"/>
        </w:rPr>
        <w:t>. For example, it is common in other franchise systems for the franchisor to control the lease or own the property.</w:t>
      </w:r>
    </w:p>
    <w:p w14:paraId="3F1D0A10" w14:textId="45D9AB80" w:rsidR="0095124D" w:rsidRDefault="0095124D" w:rsidP="0095124D">
      <w:pPr>
        <w:pStyle w:val="Box"/>
      </w:pPr>
      <w:r w:rsidRPr="00763A68">
        <w:t xml:space="preserve">Box </w:t>
      </w:r>
      <w:r w:rsidRPr="0040566B">
        <w:fldChar w:fldCharType="begin"/>
      </w:r>
      <w:r w:rsidRPr="00763A68">
        <w:rPr>
          <w:noProof/>
        </w:rPr>
        <w:instrText xml:space="preserve"> SEQ Box \* ARABIC \s 1  </w:instrText>
      </w:r>
      <w:r w:rsidRPr="0040566B">
        <w:rPr>
          <w:noProof/>
        </w:rPr>
        <w:fldChar w:fldCharType="separate"/>
      </w:r>
      <w:r w:rsidR="00EA3759">
        <w:rPr>
          <w:noProof/>
        </w:rPr>
        <w:t>1</w:t>
      </w:r>
      <w:r w:rsidRPr="0040566B">
        <w:fldChar w:fldCharType="end"/>
      </w:r>
      <w:r w:rsidRPr="00763A68">
        <w:t xml:space="preserve">: </w:t>
      </w:r>
      <w:r>
        <w:t>Related Government processes</w:t>
      </w:r>
      <w:r w:rsidR="00CF05D3">
        <w:t xml:space="preserve"> </w:t>
      </w:r>
    </w:p>
    <w:p w14:paraId="15454EBE" w14:textId="2904874A" w:rsidR="00AB3604" w:rsidRDefault="00AB3604" w:rsidP="0017005C">
      <w:pPr>
        <w:pStyle w:val="ListParagraph"/>
        <w:spacing w:before="240" w:line="360" w:lineRule="auto"/>
        <w:ind w:left="357"/>
        <w:jc w:val="both"/>
        <w:rPr>
          <w:rFonts w:ascii="Arial" w:hAnsi="Arial" w:cs="Arial"/>
          <w:b/>
          <w:sz w:val="20"/>
        </w:rPr>
      </w:pPr>
      <w:r>
        <w:rPr>
          <w:rFonts w:ascii="Arial" w:hAnsi="Arial" w:cs="Arial"/>
          <w:b/>
          <w:sz w:val="20"/>
        </w:rPr>
        <w:t>Franchising Taskforce</w:t>
      </w:r>
    </w:p>
    <w:p w14:paraId="62B3DBCF" w14:textId="0287C6B6" w:rsidR="00AB3604" w:rsidRDefault="005900E6" w:rsidP="005900E6">
      <w:pPr>
        <w:pStyle w:val="ListParagraph"/>
        <w:spacing w:before="240" w:line="360" w:lineRule="auto"/>
        <w:ind w:left="357"/>
        <w:jc w:val="both"/>
        <w:rPr>
          <w:rFonts w:ascii="Arial" w:hAnsi="Arial" w:cs="Arial"/>
          <w:bCs/>
          <w:sz w:val="20"/>
          <w:szCs w:val="20"/>
        </w:rPr>
      </w:pPr>
      <w:r w:rsidRPr="005900E6">
        <w:rPr>
          <w:rFonts w:ascii="Arial" w:hAnsi="Arial" w:cs="Arial"/>
          <w:bCs/>
          <w:sz w:val="20"/>
          <w:szCs w:val="20"/>
        </w:rPr>
        <w:t xml:space="preserve">In accordance with the </w:t>
      </w:r>
      <w:r w:rsidR="002170B4">
        <w:rPr>
          <w:rFonts w:ascii="Arial" w:hAnsi="Arial" w:cs="Arial"/>
          <w:bCs/>
          <w:sz w:val="20"/>
          <w:szCs w:val="20"/>
        </w:rPr>
        <w:t>PJC Report</w:t>
      </w:r>
      <w:r w:rsidRPr="005900E6">
        <w:rPr>
          <w:rFonts w:ascii="Arial" w:hAnsi="Arial" w:cs="Arial"/>
          <w:bCs/>
          <w:sz w:val="20"/>
          <w:szCs w:val="20"/>
        </w:rPr>
        <w:t xml:space="preserve">’s first recommendation, an inter-agency Franchising Taskforce (the Taskforce) </w:t>
      </w:r>
      <w:r w:rsidR="008E5227">
        <w:rPr>
          <w:rFonts w:ascii="Arial" w:hAnsi="Arial" w:cs="Arial"/>
          <w:bCs/>
          <w:sz w:val="20"/>
          <w:szCs w:val="20"/>
        </w:rPr>
        <w:t>has been</w:t>
      </w:r>
      <w:r w:rsidRPr="005900E6">
        <w:rPr>
          <w:rFonts w:ascii="Arial" w:hAnsi="Arial" w:cs="Arial"/>
          <w:bCs/>
          <w:sz w:val="20"/>
          <w:szCs w:val="20"/>
        </w:rPr>
        <w:t xml:space="preserve"> established. The Taskforce is made up of senior officers from the Department of Employment, Skills, Small and Family Business, the Treasury and the Department of the Prime Minister and Cabinet. It is co</w:t>
      </w:r>
      <w:r w:rsidRPr="005900E6">
        <w:rPr>
          <w:rFonts w:ascii="Arial" w:hAnsi="Arial" w:cs="Arial"/>
          <w:bCs/>
          <w:sz w:val="20"/>
          <w:szCs w:val="20"/>
        </w:rPr>
        <w:noBreakHyphen/>
        <w:t>chaired by the Department of Employment and the Treasury.</w:t>
      </w:r>
    </w:p>
    <w:p w14:paraId="7A43B929" w14:textId="77777777" w:rsidR="002170B4" w:rsidRDefault="002170B4" w:rsidP="005900E6">
      <w:pPr>
        <w:pStyle w:val="ListParagraph"/>
        <w:spacing w:before="240" w:line="360" w:lineRule="auto"/>
        <w:ind w:left="357"/>
        <w:jc w:val="both"/>
        <w:rPr>
          <w:rFonts w:ascii="Arial" w:hAnsi="Arial" w:cs="Arial"/>
          <w:bCs/>
          <w:sz w:val="20"/>
          <w:szCs w:val="20"/>
        </w:rPr>
      </w:pPr>
    </w:p>
    <w:p w14:paraId="0053F24C" w14:textId="61BBEC2C" w:rsidR="002170B4" w:rsidRDefault="002170B4" w:rsidP="005900E6">
      <w:pPr>
        <w:pStyle w:val="ListParagraph"/>
        <w:spacing w:before="240" w:line="360" w:lineRule="auto"/>
        <w:ind w:left="357"/>
        <w:jc w:val="both"/>
        <w:rPr>
          <w:rFonts w:ascii="Arial" w:hAnsi="Arial" w:cs="Arial"/>
          <w:bCs/>
          <w:sz w:val="20"/>
          <w:szCs w:val="20"/>
        </w:rPr>
      </w:pPr>
      <w:r>
        <w:rPr>
          <w:rFonts w:ascii="Arial" w:hAnsi="Arial" w:cs="Arial"/>
          <w:bCs/>
          <w:sz w:val="20"/>
          <w:szCs w:val="20"/>
        </w:rPr>
        <w:t xml:space="preserve">The Taskforce released an Issues </w:t>
      </w:r>
      <w:r w:rsidR="008E5227">
        <w:rPr>
          <w:rFonts w:ascii="Arial" w:hAnsi="Arial" w:cs="Arial"/>
          <w:bCs/>
          <w:sz w:val="20"/>
          <w:szCs w:val="20"/>
        </w:rPr>
        <w:t>P</w:t>
      </w:r>
      <w:r>
        <w:rPr>
          <w:rFonts w:ascii="Arial" w:hAnsi="Arial" w:cs="Arial"/>
          <w:bCs/>
          <w:sz w:val="20"/>
          <w:szCs w:val="20"/>
        </w:rPr>
        <w:t>aper on 23 August 2019 for public consultation</w:t>
      </w:r>
      <w:r w:rsidR="00056D08">
        <w:rPr>
          <w:rFonts w:ascii="Arial" w:hAnsi="Arial" w:cs="Arial"/>
          <w:bCs/>
          <w:sz w:val="20"/>
          <w:szCs w:val="20"/>
        </w:rPr>
        <w:t xml:space="preserve">. The feedback received on the </w:t>
      </w:r>
      <w:r w:rsidR="00F72563">
        <w:rPr>
          <w:rFonts w:ascii="Arial" w:hAnsi="Arial" w:cs="Arial"/>
          <w:bCs/>
          <w:sz w:val="20"/>
          <w:szCs w:val="20"/>
        </w:rPr>
        <w:t>I</w:t>
      </w:r>
      <w:r w:rsidR="00056D08">
        <w:rPr>
          <w:rFonts w:ascii="Arial" w:hAnsi="Arial" w:cs="Arial"/>
          <w:bCs/>
          <w:sz w:val="20"/>
          <w:szCs w:val="20"/>
        </w:rPr>
        <w:t xml:space="preserve">ssues </w:t>
      </w:r>
      <w:r w:rsidR="008E5227">
        <w:rPr>
          <w:rFonts w:ascii="Arial" w:hAnsi="Arial" w:cs="Arial"/>
          <w:bCs/>
          <w:sz w:val="20"/>
          <w:szCs w:val="20"/>
        </w:rPr>
        <w:t>P</w:t>
      </w:r>
      <w:r w:rsidR="00056D08">
        <w:rPr>
          <w:rFonts w:ascii="Arial" w:hAnsi="Arial" w:cs="Arial"/>
          <w:bCs/>
          <w:sz w:val="20"/>
          <w:szCs w:val="20"/>
        </w:rPr>
        <w:t xml:space="preserve">aper </w:t>
      </w:r>
      <w:r w:rsidR="000E4F41">
        <w:rPr>
          <w:rFonts w:ascii="Arial" w:hAnsi="Arial" w:cs="Arial"/>
          <w:bCs/>
          <w:sz w:val="20"/>
          <w:szCs w:val="20"/>
        </w:rPr>
        <w:t xml:space="preserve">will inform its RIS and advice to Government on its response to the </w:t>
      </w:r>
      <w:r w:rsidR="007D7899">
        <w:rPr>
          <w:rFonts w:ascii="Arial" w:hAnsi="Arial" w:cs="Arial"/>
          <w:bCs/>
          <w:sz w:val="20"/>
          <w:szCs w:val="20"/>
        </w:rPr>
        <w:t>broader recommendations of the PJC Report.</w:t>
      </w:r>
      <w:r w:rsidR="009F69F7">
        <w:rPr>
          <w:rFonts w:ascii="Arial" w:hAnsi="Arial" w:cs="Arial"/>
          <w:bCs/>
          <w:sz w:val="20"/>
          <w:szCs w:val="20"/>
        </w:rPr>
        <w:t xml:space="preserve"> </w:t>
      </w:r>
      <w:r w:rsidR="00527017">
        <w:rPr>
          <w:rFonts w:ascii="Arial" w:hAnsi="Arial" w:cs="Arial"/>
          <w:bCs/>
          <w:sz w:val="20"/>
          <w:szCs w:val="20"/>
        </w:rPr>
        <w:t xml:space="preserve">The </w:t>
      </w:r>
      <w:r w:rsidR="004B5C67">
        <w:rPr>
          <w:rFonts w:ascii="Arial" w:hAnsi="Arial" w:cs="Arial"/>
          <w:bCs/>
          <w:sz w:val="20"/>
          <w:szCs w:val="20"/>
        </w:rPr>
        <w:t>Taskforce</w:t>
      </w:r>
      <w:r w:rsidR="00527017">
        <w:rPr>
          <w:rFonts w:ascii="Arial" w:hAnsi="Arial" w:cs="Arial"/>
          <w:bCs/>
          <w:sz w:val="20"/>
          <w:szCs w:val="20"/>
        </w:rPr>
        <w:t xml:space="preserve"> is not considering recommendations that are</w:t>
      </w:r>
      <w:r w:rsidR="00FB29DD">
        <w:rPr>
          <w:rFonts w:ascii="Arial" w:hAnsi="Arial" w:cs="Arial"/>
          <w:bCs/>
          <w:sz w:val="20"/>
          <w:szCs w:val="20"/>
        </w:rPr>
        <w:t xml:space="preserve"> subject to other government processes, including those addressed here relating to franchising in the automotive sector.</w:t>
      </w:r>
    </w:p>
    <w:p w14:paraId="5206A3AB" w14:textId="77777777" w:rsidR="005900E6" w:rsidRPr="005900E6" w:rsidRDefault="005900E6" w:rsidP="005900E6">
      <w:pPr>
        <w:pStyle w:val="ListParagraph"/>
        <w:spacing w:before="240" w:line="360" w:lineRule="auto"/>
        <w:ind w:left="357"/>
        <w:jc w:val="both"/>
        <w:rPr>
          <w:rFonts w:ascii="Arial" w:hAnsi="Arial" w:cs="Arial"/>
          <w:bCs/>
          <w:sz w:val="20"/>
          <w:szCs w:val="20"/>
        </w:rPr>
      </w:pPr>
    </w:p>
    <w:p w14:paraId="3F1D0A13" w14:textId="072AC22E" w:rsidR="00901A90" w:rsidRPr="00AB16FC" w:rsidRDefault="00AB16FC" w:rsidP="0017005C">
      <w:pPr>
        <w:pStyle w:val="ListParagraph"/>
        <w:spacing w:before="240" w:line="360" w:lineRule="auto"/>
        <w:ind w:left="357"/>
        <w:jc w:val="both"/>
        <w:rPr>
          <w:rFonts w:ascii="Arial" w:hAnsi="Arial" w:cs="Arial"/>
          <w:b/>
          <w:sz w:val="18"/>
          <w:szCs w:val="20"/>
        </w:rPr>
      </w:pPr>
      <w:r w:rsidRPr="00AB16FC">
        <w:rPr>
          <w:rFonts w:ascii="Arial" w:hAnsi="Arial" w:cs="Arial"/>
          <w:b/>
          <w:sz w:val="20"/>
        </w:rPr>
        <w:t xml:space="preserve">Collective </w:t>
      </w:r>
      <w:r>
        <w:rPr>
          <w:rFonts w:ascii="Arial" w:hAnsi="Arial" w:cs="Arial"/>
          <w:b/>
          <w:sz w:val="20"/>
        </w:rPr>
        <w:t>bargaining</w:t>
      </w:r>
    </w:p>
    <w:p w14:paraId="0823DB6E" w14:textId="54F3D2F2" w:rsidR="0017005C" w:rsidRDefault="00A911A6" w:rsidP="0040566B">
      <w:pPr>
        <w:pStyle w:val="ListParagraph"/>
        <w:spacing w:before="240" w:line="360" w:lineRule="auto"/>
        <w:ind w:left="357"/>
        <w:jc w:val="both"/>
        <w:rPr>
          <w:rFonts w:ascii="Arial" w:hAnsi="Arial" w:cs="Arial"/>
          <w:bCs/>
          <w:sz w:val="20"/>
          <w:szCs w:val="20"/>
        </w:rPr>
      </w:pPr>
      <w:r>
        <w:rPr>
          <w:rFonts w:ascii="Arial" w:hAnsi="Arial" w:cs="Arial"/>
          <w:bCs/>
          <w:sz w:val="20"/>
          <w:szCs w:val="20"/>
        </w:rPr>
        <w:t>The ACCC proposes to develop a ‘class exemption’ that would provide legal protection</w:t>
      </w:r>
      <w:r w:rsidR="00C11227">
        <w:rPr>
          <w:rFonts w:ascii="Arial" w:hAnsi="Arial" w:cs="Arial"/>
          <w:bCs/>
          <w:sz w:val="20"/>
          <w:szCs w:val="20"/>
        </w:rPr>
        <w:t xml:space="preserve"> for:</w:t>
      </w:r>
    </w:p>
    <w:p w14:paraId="5AFA315B" w14:textId="696DB50C" w:rsidR="00C11227" w:rsidRDefault="00EF1BC7">
      <w:pPr>
        <w:pStyle w:val="ListParagraph"/>
        <w:numPr>
          <w:ilvl w:val="0"/>
          <w:numId w:val="14"/>
        </w:numPr>
        <w:spacing w:before="240" w:line="360" w:lineRule="auto"/>
        <w:jc w:val="both"/>
        <w:rPr>
          <w:rFonts w:ascii="Arial" w:hAnsi="Arial" w:cs="Arial"/>
          <w:bCs/>
          <w:sz w:val="20"/>
          <w:szCs w:val="20"/>
        </w:rPr>
      </w:pPr>
      <w:r>
        <w:rPr>
          <w:rFonts w:ascii="Arial" w:hAnsi="Arial" w:cs="Arial"/>
          <w:bCs/>
          <w:sz w:val="20"/>
          <w:szCs w:val="20"/>
        </w:rPr>
        <w:t>businesses</w:t>
      </w:r>
      <w:r w:rsidR="00C11227">
        <w:rPr>
          <w:rFonts w:ascii="Arial" w:hAnsi="Arial" w:cs="Arial"/>
          <w:bCs/>
          <w:sz w:val="20"/>
          <w:szCs w:val="20"/>
        </w:rPr>
        <w:t xml:space="preserve"> with an annual turnover of less than $10 million </w:t>
      </w:r>
      <w:r>
        <w:rPr>
          <w:rFonts w:ascii="Arial" w:hAnsi="Arial" w:cs="Arial"/>
          <w:bCs/>
          <w:sz w:val="20"/>
          <w:szCs w:val="20"/>
        </w:rPr>
        <w:t>in the preceding financial year to collectively barg</w:t>
      </w:r>
      <w:r w:rsidR="005059E3">
        <w:rPr>
          <w:rFonts w:ascii="Arial" w:hAnsi="Arial" w:cs="Arial"/>
          <w:bCs/>
          <w:sz w:val="20"/>
          <w:szCs w:val="20"/>
        </w:rPr>
        <w:t>ain with customers or suppliers;</w:t>
      </w:r>
      <w:r>
        <w:rPr>
          <w:rFonts w:ascii="Arial" w:hAnsi="Arial" w:cs="Arial"/>
          <w:bCs/>
          <w:sz w:val="20"/>
          <w:szCs w:val="20"/>
        </w:rPr>
        <w:t xml:space="preserve"> and</w:t>
      </w:r>
    </w:p>
    <w:p w14:paraId="488F0DEA" w14:textId="65E71034" w:rsidR="005059E3" w:rsidRPr="0084019A" w:rsidRDefault="00EF1BC7">
      <w:pPr>
        <w:pStyle w:val="ListParagraph"/>
        <w:numPr>
          <w:ilvl w:val="0"/>
          <w:numId w:val="14"/>
        </w:numPr>
        <w:spacing w:before="240" w:line="360" w:lineRule="auto"/>
        <w:jc w:val="both"/>
        <w:rPr>
          <w:rFonts w:ascii="Arial" w:hAnsi="Arial" w:cs="Arial"/>
          <w:sz w:val="20"/>
          <w:szCs w:val="20"/>
        </w:rPr>
      </w:pPr>
      <w:r>
        <w:rPr>
          <w:rFonts w:ascii="Arial" w:hAnsi="Arial" w:cs="Arial"/>
          <w:bCs/>
          <w:sz w:val="20"/>
          <w:szCs w:val="20"/>
        </w:rPr>
        <w:t xml:space="preserve">all </w:t>
      </w:r>
      <w:r w:rsidR="007F3FE2">
        <w:rPr>
          <w:rFonts w:ascii="Arial" w:hAnsi="Arial" w:cs="Arial"/>
          <w:bCs/>
          <w:sz w:val="20"/>
          <w:szCs w:val="20"/>
        </w:rPr>
        <w:t xml:space="preserve">franchisees to collectively bargain with their </w:t>
      </w:r>
      <w:r w:rsidR="005059E3">
        <w:rPr>
          <w:rFonts w:ascii="Arial" w:hAnsi="Arial" w:cs="Arial"/>
          <w:bCs/>
          <w:sz w:val="20"/>
          <w:szCs w:val="20"/>
        </w:rPr>
        <w:t>franchisor regardless of their size or other characteristics,</w:t>
      </w:r>
      <w:r w:rsidR="0083296B">
        <w:rPr>
          <w:rFonts w:ascii="Arial" w:hAnsi="Arial" w:cs="Arial"/>
          <w:bCs/>
          <w:sz w:val="20"/>
          <w:szCs w:val="20"/>
        </w:rPr>
        <w:t xml:space="preserve"> </w:t>
      </w:r>
      <w:r w:rsidR="005059E3" w:rsidRPr="0084019A">
        <w:rPr>
          <w:rFonts w:ascii="Arial" w:hAnsi="Arial" w:cs="Arial"/>
          <w:sz w:val="20"/>
          <w:szCs w:val="20"/>
        </w:rPr>
        <w:t>without them having to apply to the ACCC.</w:t>
      </w:r>
      <w:r w:rsidR="005059E3">
        <w:rPr>
          <w:rStyle w:val="FootnoteReference"/>
          <w:rFonts w:ascii="Arial" w:hAnsi="Arial" w:cs="Arial"/>
          <w:bCs/>
          <w:sz w:val="20"/>
          <w:szCs w:val="20"/>
        </w:rPr>
        <w:footnoteReference w:id="33"/>
      </w:r>
    </w:p>
    <w:p w14:paraId="476EEDE9" w14:textId="17D8F4E4" w:rsidR="009D4A72" w:rsidRDefault="003E15C3" w:rsidP="0040566B">
      <w:pPr>
        <w:pStyle w:val="ListParagraph"/>
        <w:spacing w:before="240" w:line="360" w:lineRule="auto"/>
        <w:ind w:left="357"/>
        <w:jc w:val="both"/>
        <w:rPr>
          <w:rFonts w:ascii="Arial" w:hAnsi="Arial" w:cs="Arial"/>
          <w:bCs/>
          <w:sz w:val="20"/>
          <w:szCs w:val="20"/>
        </w:rPr>
      </w:pPr>
      <w:r>
        <w:rPr>
          <w:rFonts w:ascii="Arial" w:hAnsi="Arial" w:cs="Arial"/>
          <w:bCs/>
          <w:sz w:val="20"/>
          <w:szCs w:val="20"/>
        </w:rPr>
        <w:t>In June 2019, the ACCC released a draft version of the class exemption, and associated documents, for public consultation.</w:t>
      </w:r>
      <w:r w:rsidR="00442786">
        <w:rPr>
          <w:rFonts w:ascii="Arial" w:hAnsi="Arial" w:cs="Arial"/>
          <w:bCs/>
          <w:sz w:val="20"/>
          <w:szCs w:val="20"/>
        </w:rPr>
        <w:t xml:space="preserve"> </w:t>
      </w:r>
      <w:r w:rsidR="00BF65BB">
        <w:rPr>
          <w:rFonts w:ascii="Arial" w:hAnsi="Arial" w:cs="Arial"/>
          <w:bCs/>
          <w:sz w:val="20"/>
          <w:szCs w:val="20"/>
        </w:rPr>
        <w:t>The ACCC is considering the results of the consultation</w:t>
      </w:r>
      <w:r w:rsidR="00A535A0">
        <w:rPr>
          <w:rFonts w:ascii="Arial" w:hAnsi="Arial" w:cs="Arial"/>
          <w:bCs/>
          <w:sz w:val="20"/>
          <w:szCs w:val="20"/>
        </w:rPr>
        <w:t xml:space="preserve"> with the view to making a final decision about the class exemption</w:t>
      </w:r>
      <w:r w:rsidR="00BF65BB">
        <w:rPr>
          <w:rFonts w:ascii="Arial" w:hAnsi="Arial" w:cs="Arial"/>
          <w:bCs/>
          <w:sz w:val="20"/>
          <w:szCs w:val="20"/>
        </w:rPr>
        <w:t>.</w:t>
      </w:r>
    </w:p>
    <w:p w14:paraId="67F44728" w14:textId="77777777" w:rsidR="003E15C3" w:rsidRPr="009D4A72" w:rsidRDefault="003E15C3" w:rsidP="0040566B">
      <w:pPr>
        <w:pStyle w:val="ListParagraph"/>
        <w:spacing w:before="240" w:line="360" w:lineRule="auto"/>
        <w:ind w:left="357"/>
        <w:jc w:val="both"/>
        <w:rPr>
          <w:rFonts w:ascii="Arial" w:hAnsi="Arial" w:cs="Arial"/>
          <w:bCs/>
          <w:sz w:val="20"/>
          <w:szCs w:val="20"/>
        </w:rPr>
      </w:pPr>
    </w:p>
    <w:p w14:paraId="3F1D0A14" w14:textId="77777777" w:rsidR="00901A90" w:rsidRPr="0040566B" w:rsidRDefault="00901A90" w:rsidP="0040566B">
      <w:pPr>
        <w:pStyle w:val="ListParagraph"/>
        <w:spacing w:before="240" w:line="360" w:lineRule="auto"/>
        <w:ind w:left="357"/>
        <w:jc w:val="both"/>
        <w:rPr>
          <w:rFonts w:ascii="Arial" w:hAnsi="Arial" w:cs="Arial"/>
          <w:b/>
          <w:bCs/>
          <w:sz w:val="20"/>
          <w:szCs w:val="20"/>
        </w:rPr>
      </w:pPr>
      <w:r w:rsidRPr="0040566B">
        <w:rPr>
          <w:rFonts w:ascii="Arial" w:hAnsi="Arial" w:cs="Arial"/>
          <w:b/>
          <w:bCs/>
          <w:sz w:val="20"/>
          <w:szCs w:val="20"/>
        </w:rPr>
        <w:t>Supplier indemnification</w:t>
      </w:r>
    </w:p>
    <w:p w14:paraId="3F1D0A15" w14:textId="56F57614" w:rsidR="00901A90" w:rsidRPr="004301B0" w:rsidRDefault="00901A90" w:rsidP="00901A90">
      <w:pPr>
        <w:pStyle w:val="ListParagraph"/>
        <w:spacing w:before="240" w:line="360" w:lineRule="auto"/>
        <w:ind w:left="357"/>
        <w:jc w:val="both"/>
        <w:rPr>
          <w:rFonts w:ascii="Arial" w:hAnsi="Arial" w:cs="Arial"/>
          <w:sz w:val="20"/>
          <w:szCs w:val="20"/>
        </w:rPr>
      </w:pPr>
      <w:r w:rsidRPr="004301B0">
        <w:rPr>
          <w:rFonts w:ascii="Arial" w:hAnsi="Arial" w:cs="Arial"/>
          <w:sz w:val="20"/>
          <w:szCs w:val="20"/>
        </w:rPr>
        <w:t xml:space="preserve">In its market study, the ACCC identified that dealers were encountering difficulties with claiming the costs associated with remedying manufacturing defects to which they are entitled. The ACCC has taken a range of enforcement actions against car manufacturers to improve their compliance with the ACL and called for manufacturers to review their dealer agreements, policies and procedures to ensure that these commercial arrangements do not contain terms that go beyond what is reasonably necessary to protect their legitimate interests. </w:t>
      </w:r>
    </w:p>
    <w:p w14:paraId="3F1D0A16" w14:textId="77777777" w:rsidR="0095124D" w:rsidRDefault="0095124D" w:rsidP="00901A90">
      <w:pPr>
        <w:pStyle w:val="ListParagraph"/>
        <w:spacing w:before="240" w:line="360" w:lineRule="auto"/>
        <w:ind w:left="357"/>
        <w:jc w:val="both"/>
        <w:rPr>
          <w:rFonts w:ascii="Arial" w:hAnsi="Arial" w:cs="Arial"/>
          <w:sz w:val="20"/>
          <w:szCs w:val="20"/>
        </w:rPr>
      </w:pPr>
    </w:p>
    <w:p w14:paraId="36D06E69" w14:textId="68AC16C1" w:rsidR="00F54704" w:rsidRDefault="00901A90" w:rsidP="00901A90">
      <w:pPr>
        <w:pStyle w:val="ListParagraph"/>
        <w:spacing w:before="240" w:line="360" w:lineRule="auto"/>
        <w:ind w:left="357"/>
        <w:jc w:val="both"/>
        <w:rPr>
          <w:rFonts w:ascii="Arial" w:hAnsi="Arial" w:cs="Arial"/>
          <w:sz w:val="20"/>
          <w:szCs w:val="20"/>
        </w:rPr>
      </w:pPr>
      <w:r w:rsidRPr="004301B0">
        <w:rPr>
          <w:rFonts w:ascii="Arial" w:hAnsi="Arial" w:cs="Arial"/>
          <w:sz w:val="20"/>
          <w:szCs w:val="20"/>
        </w:rPr>
        <w:t xml:space="preserve">At the October 2018 </w:t>
      </w:r>
      <w:r w:rsidR="0008609A">
        <w:rPr>
          <w:rFonts w:ascii="Arial" w:hAnsi="Arial" w:cs="Arial"/>
          <w:sz w:val="20"/>
          <w:szCs w:val="20"/>
        </w:rPr>
        <w:t xml:space="preserve">Legislative and Governance Forum on Consumer Affairs (CAF) </w:t>
      </w:r>
      <w:r w:rsidRPr="004301B0">
        <w:rPr>
          <w:rFonts w:ascii="Arial" w:hAnsi="Arial" w:cs="Arial"/>
          <w:sz w:val="20"/>
          <w:szCs w:val="20"/>
        </w:rPr>
        <w:t xml:space="preserve">meeting, Ministers directed officials to undertake work on improving the supplier indemnification provisions in the ACL. This work will go towards ensuring that suppliers are supported by </w:t>
      </w:r>
      <w:r w:rsidRPr="00E955ED">
        <w:rPr>
          <w:rFonts w:ascii="Arial" w:hAnsi="Arial" w:cs="Arial"/>
          <w:sz w:val="20"/>
          <w:szCs w:val="20"/>
        </w:rPr>
        <w:t>manufacturers in carrying out their refund obligations.</w:t>
      </w:r>
      <w:r w:rsidR="001111B8">
        <w:rPr>
          <w:rFonts w:ascii="Arial" w:hAnsi="Arial" w:cs="Arial"/>
          <w:sz w:val="20"/>
          <w:szCs w:val="20"/>
        </w:rPr>
        <w:t xml:space="preserve"> </w:t>
      </w:r>
    </w:p>
    <w:p w14:paraId="2CAF3554" w14:textId="77777777" w:rsidR="00F54704" w:rsidRDefault="00F54704" w:rsidP="00901A90">
      <w:pPr>
        <w:pStyle w:val="ListParagraph"/>
        <w:spacing w:before="240" w:line="360" w:lineRule="auto"/>
        <w:ind w:left="357"/>
        <w:jc w:val="both"/>
        <w:rPr>
          <w:rFonts w:ascii="Arial" w:hAnsi="Arial" w:cs="Arial"/>
          <w:sz w:val="20"/>
          <w:szCs w:val="20"/>
          <w:lang w:val="en-US"/>
        </w:rPr>
      </w:pPr>
    </w:p>
    <w:p w14:paraId="3F1D0A17" w14:textId="5C5055A8" w:rsidR="00901A90" w:rsidRPr="00E955ED" w:rsidRDefault="00F54704" w:rsidP="00901A90">
      <w:pPr>
        <w:pStyle w:val="ListParagraph"/>
        <w:spacing w:before="240" w:line="360" w:lineRule="auto"/>
        <w:ind w:left="357"/>
        <w:jc w:val="both"/>
        <w:rPr>
          <w:rFonts w:ascii="Arial" w:hAnsi="Arial" w:cs="Arial"/>
          <w:sz w:val="20"/>
          <w:szCs w:val="20"/>
        </w:rPr>
      </w:pPr>
      <w:r>
        <w:rPr>
          <w:rFonts w:ascii="Arial" w:hAnsi="Arial" w:cs="Arial"/>
          <w:sz w:val="20"/>
          <w:szCs w:val="20"/>
          <w:lang w:val="en-US"/>
        </w:rPr>
        <w:t xml:space="preserve">At the August 2019 CAF meeting, </w:t>
      </w:r>
      <w:r w:rsidRPr="00F54704">
        <w:rPr>
          <w:rFonts w:ascii="Arial" w:hAnsi="Arial" w:cs="Arial"/>
          <w:sz w:val="20"/>
          <w:szCs w:val="20"/>
          <w:lang w:val="en-US"/>
        </w:rPr>
        <w:t>Ministers endorsed actions to help ensure suppliers are supported by manufacturers in carrying out their consumer guarantee obligations. Officials will develop an education campaign for business and strengthen guidance material. Ministers also supported a public regulatory impact assessment of proposals to prohibit manufacturers from failing to indemnify suppliers and prohibit retribution by manufacturers against suppliers who seek compensation under the indemnification provisions.</w:t>
      </w:r>
    </w:p>
    <w:p w14:paraId="3F1D0A18" w14:textId="77777777" w:rsidR="00901A90" w:rsidRPr="00E955ED" w:rsidRDefault="00901A90" w:rsidP="00901A90">
      <w:pPr>
        <w:pStyle w:val="ListParagraph"/>
        <w:spacing w:before="240" w:line="360" w:lineRule="auto"/>
        <w:ind w:left="357"/>
        <w:jc w:val="both"/>
        <w:rPr>
          <w:rFonts w:ascii="Arial" w:hAnsi="Arial" w:cs="Arial"/>
          <w:sz w:val="20"/>
          <w:szCs w:val="20"/>
        </w:rPr>
      </w:pPr>
    </w:p>
    <w:p w14:paraId="3F1D0A19" w14:textId="77777777" w:rsidR="00901A90" w:rsidRPr="0040566B" w:rsidRDefault="00901A90" w:rsidP="0040566B">
      <w:pPr>
        <w:pStyle w:val="ListParagraph"/>
        <w:keepNext/>
        <w:spacing w:before="240" w:line="360" w:lineRule="auto"/>
        <w:ind w:left="357"/>
        <w:jc w:val="both"/>
        <w:rPr>
          <w:rFonts w:ascii="Arial" w:hAnsi="Arial" w:cs="Arial"/>
          <w:b/>
          <w:bCs/>
          <w:sz w:val="20"/>
          <w:szCs w:val="20"/>
        </w:rPr>
      </w:pPr>
      <w:r w:rsidRPr="0040566B">
        <w:rPr>
          <w:rFonts w:ascii="Arial" w:hAnsi="Arial" w:cs="Arial"/>
          <w:b/>
          <w:bCs/>
          <w:sz w:val="20"/>
          <w:szCs w:val="20"/>
        </w:rPr>
        <w:t>Unfair Contract Terms Review</w:t>
      </w:r>
    </w:p>
    <w:p w14:paraId="50D232F5" w14:textId="71DA7348" w:rsidR="00715D13" w:rsidRDefault="00DB7278" w:rsidP="00901A90">
      <w:pPr>
        <w:pStyle w:val="ListParagraph"/>
        <w:spacing w:before="240" w:line="360" w:lineRule="auto"/>
        <w:ind w:left="357"/>
        <w:jc w:val="both"/>
        <w:rPr>
          <w:rFonts w:ascii="Arial" w:hAnsi="Arial" w:cs="Arial"/>
          <w:sz w:val="20"/>
          <w:szCs w:val="20"/>
        </w:rPr>
      </w:pPr>
      <w:r>
        <w:rPr>
          <w:rFonts w:ascii="Arial" w:hAnsi="Arial" w:cs="Arial"/>
          <w:sz w:val="20"/>
          <w:szCs w:val="20"/>
        </w:rPr>
        <w:t xml:space="preserve">The </w:t>
      </w:r>
      <w:r w:rsidR="00715D13" w:rsidRPr="00AB3604">
        <w:rPr>
          <w:rFonts w:ascii="Arial" w:hAnsi="Arial" w:cs="Arial"/>
          <w:sz w:val="20"/>
          <w:szCs w:val="20"/>
        </w:rPr>
        <w:t xml:space="preserve">Treasury reviewed the unfair contract term protections for small business in late 2018. In light of the findings, the Government has committed to consult on options to strengthen the protections through a Regulation Impact Statement process. One of the options </w:t>
      </w:r>
      <w:r w:rsidR="003E492E">
        <w:rPr>
          <w:rFonts w:ascii="Arial" w:hAnsi="Arial" w:cs="Arial"/>
          <w:sz w:val="20"/>
          <w:szCs w:val="20"/>
        </w:rPr>
        <w:t xml:space="preserve">being considered </w:t>
      </w:r>
      <w:r w:rsidR="00715D13" w:rsidRPr="00AB3604">
        <w:rPr>
          <w:rFonts w:ascii="Arial" w:hAnsi="Arial" w:cs="Arial"/>
          <w:sz w:val="20"/>
          <w:szCs w:val="20"/>
        </w:rPr>
        <w:t>is to broaden the coverage of the protections for businesses. This work may have an impact on the ability of manufacturers to unilaterally vary aspects of the dealership agreement.</w:t>
      </w:r>
    </w:p>
    <w:p w14:paraId="3F1D0A1B" w14:textId="77777777" w:rsidR="00901A90" w:rsidRPr="0040566B" w:rsidRDefault="00901A90" w:rsidP="00901A90">
      <w:pPr>
        <w:pStyle w:val="ListParagraph"/>
        <w:spacing w:before="240" w:line="360" w:lineRule="auto"/>
        <w:ind w:left="357"/>
        <w:jc w:val="both"/>
        <w:rPr>
          <w:rFonts w:ascii="Arial" w:hAnsi="Arial" w:cs="Arial"/>
          <w:sz w:val="20"/>
          <w:szCs w:val="20"/>
        </w:rPr>
      </w:pPr>
    </w:p>
    <w:p w14:paraId="3F1D0A1C" w14:textId="77777777" w:rsidR="00901A90" w:rsidRDefault="00901A90" w:rsidP="00901A90">
      <w:pPr>
        <w:pStyle w:val="ListParagraph"/>
        <w:spacing w:before="240" w:line="360" w:lineRule="auto"/>
        <w:ind w:left="357"/>
        <w:jc w:val="both"/>
        <w:rPr>
          <w:rFonts w:ascii="Arial" w:hAnsi="Arial" w:cs="Arial"/>
          <w:sz w:val="20"/>
          <w:szCs w:val="20"/>
        </w:rPr>
      </w:pPr>
      <w:r w:rsidRPr="0040566B">
        <w:rPr>
          <w:rFonts w:ascii="Arial" w:hAnsi="Arial" w:cs="Arial"/>
          <w:sz w:val="20"/>
          <w:szCs w:val="20"/>
        </w:rPr>
        <w:lastRenderedPageBreak/>
        <w:t>The law sets out examples of terms that may be unfair, including: terms that enable one party (but not another) to avoid or limit their obligations under the contract; terms that enable one party (but not another) to terminate the contract; terms that penalise one party (but not another) for breaching or terminating the contract; terms that enable one party (but not another) to vary the terms of the contract. Such contract terms are not prohibited outright. However, if a court or tribunal finds that a term is ‘unfair’, the term will be void – this means it is not binding on the parties. The rest of the contract will continue to bind the parties to the extent it is capable of operating without the unfair term.</w:t>
      </w:r>
    </w:p>
    <w:p w14:paraId="1FF48C89" w14:textId="77777777" w:rsidR="00285965" w:rsidRDefault="00285965" w:rsidP="00901A90">
      <w:pPr>
        <w:pStyle w:val="ListParagraph"/>
        <w:spacing w:before="240" w:line="360" w:lineRule="auto"/>
        <w:ind w:left="357"/>
        <w:jc w:val="both"/>
        <w:rPr>
          <w:rFonts w:ascii="Arial" w:hAnsi="Arial" w:cs="Arial"/>
          <w:sz w:val="20"/>
          <w:szCs w:val="20"/>
        </w:rPr>
      </w:pPr>
    </w:p>
    <w:p w14:paraId="5569B094" w14:textId="04DF8BEB" w:rsidR="00285965" w:rsidRPr="004301B0" w:rsidRDefault="00285965" w:rsidP="00901A90">
      <w:pPr>
        <w:pStyle w:val="ListParagraph"/>
        <w:spacing w:before="240" w:line="360" w:lineRule="auto"/>
        <w:ind w:left="357"/>
        <w:jc w:val="both"/>
        <w:rPr>
          <w:rFonts w:ascii="Arial" w:hAnsi="Arial" w:cs="Arial"/>
          <w:sz w:val="20"/>
          <w:szCs w:val="20"/>
        </w:rPr>
      </w:pPr>
      <w:r>
        <w:rPr>
          <w:rFonts w:ascii="Arial" w:hAnsi="Arial" w:cs="Arial"/>
          <w:sz w:val="20"/>
          <w:szCs w:val="20"/>
        </w:rPr>
        <w:t>In August 2019,</w:t>
      </w:r>
      <w:r w:rsidR="002E2625">
        <w:rPr>
          <w:rFonts w:ascii="Arial" w:hAnsi="Arial" w:cs="Arial"/>
          <w:sz w:val="20"/>
          <w:szCs w:val="20"/>
        </w:rPr>
        <w:t xml:space="preserve"> CAF</w:t>
      </w:r>
      <w:r>
        <w:rPr>
          <w:rFonts w:ascii="Arial" w:hAnsi="Arial" w:cs="Arial"/>
          <w:sz w:val="20"/>
          <w:szCs w:val="20"/>
        </w:rPr>
        <w:t xml:space="preserve"> Ministers noted the Government’s announcement that it would consult on options to strengthen unfair contract term protection for small business.</w:t>
      </w:r>
    </w:p>
    <w:p w14:paraId="3F1D0A22" w14:textId="77777777" w:rsidR="00D836A4" w:rsidRDefault="11FF59B9" w:rsidP="006647E7">
      <w:pPr>
        <w:pStyle w:val="Heading1"/>
        <w:numPr>
          <w:ilvl w:val="0"/>
          <w:numId w:val="1"/>
        </w:numPr>
        <w:rPr>
          <w:color w:val="005677"/>
        </w:rPr>
      </w:pPr>
      <w:bookmarkStart w:id="33" w:name="_Toc529891241"/>
      <w:bookmarkStart w:id="34" w:name="_Toc529891259"/>
      <w:bookmarkStart w:id="35" w:name="_Toc530493126"/>
      <w:bookmarkStart w:id="36" w:name="_Toc530493181"/>
      <w:bookmarkStart w:id="37" w:name="_Toc530563047"/>
      <w:bookmarkStart w:id="38" w:name="_Toc20489937"/>
      <w:r w:rsidRPr="11FF59B9">
        <w:rPr>
          <w:color w:val="005677"/>
        </w:rPr>
        <w:t>What is the problem?</w:t>
      </w:r>
      <w:bookmarkEnd w:id="33"/>
      <w:bookmarkEnd w:id="34"/>
      <w:bookmarkEnd w:id="35"/>
      <w:bookmarkEnd w:id="36"/>
      <w:bookmarkEnd w:id="37"/>
      <w:bookmarkEnd w:id="38"/>
    </w:p>
    <w:p w14:paraId="3DFC050D" w14:textId="6376E060" w:rsidR="00867A17" w:rsidRDefault="009759F5" w:rsidP="00867A17">
      <w:pPr>
        <w:autoSpaceDE w:val="0"/>
        <w:autoSpaceDN w:val="0"/>
        <w:adjustRightInd w:val="0"/>
        <w:spacing w:before="240" w:line="360" w:lineRule="auto"/>
        <w:jc w:val="both"/>
        <w:rPr>
          <w:rFonts w:ascii="Arial" w:hAnsi="Arial" w:cs="Arial"/>
        </w:rPr>
      </w:pPr>
      <w:r>
        <w:rPr>
          <w:rFonts w:ascii="Arial" w:hAnsi="Arial" w:cs="Arial"/>
        </w:rPr>
        <w:t xml:space="preserve">In franchising there is typically a power imbalance between franchisees and franchisors, this is also true for </w:t>
      </w:r>
      <w:r w:rsidR="00E07244">
        <w:rPr>
          <w:rFonts w:ascii="Arial" w:hAnsi="Arial" w:cs="Arial"/>
        </w:rPr>
        <w:t xml:space="preserve">dealings between car dealers, as franchisees and car manufacturers, as franchisors, within </w:t>
      </w:r>
      <w:r w:rsidR="009932E8">
        <w:rPr>
          <w:rFonts w:ascii="Arial" w:hAnsi="Arial" w:cs="Arial"/>
        </w:rPr>
        <w:t>new car</w:t>
      </w:r>
      <w:r>
        <w:rPr>
          <w:rFonts w:ascii="Arial" w:hAnsi="Arial" w:cs="Arial"/>
        </w:rPr>
        <w:t xml:space="preserve"> retailing. </w:t>
      </w:r>
      <w:r w:rsidR="001A6D0B" w:rsidRPr="001A6D0B">
        <w:rPr>
          <w:rFonts w:ascii="Arial" w:hAnsi="Arial" w:cs="Arial"/>
        </w:rPr>
        <w:t xml:space="preserve">Motor </w:t>
      </w:r>
      <w:r w:rsidR="001A6D0B">
        <w:rPr>
          <w:rFonts w:ascii="Arial" w:hAnsi="Arial" w:cs="Arial"/>
        </w:rPr>
        <w:t>vehicle dealerships are highly fragmented with m</w:t>
      </w:r>
      <w:r w:rsidR="001A6D0B" w:rsidRPr="001A6D0B">
        <w:rPr>
          <w:rFonts w:ascii="Arial" w:hAnsi="Arial" w:cs="Arial"/>
        </w:rPr>
        <w:t xml:space="preserve">any privately owned and </w:t>
      </w:r>
      <w:r w:rsidR="001A6D0B">
        <w:rPr>
          <w:rFonts w:ascii="Arial" w:hAnsi="Arial" w:cs="Arial"/>
        </w:rPr>
        <w:t xml:space="preserve">operating only a single </w:t>
      </w:r>
      <w:r w:rsidR="001A6D0B" w:rsidRPr="001A6D0B">
        <w:rPr>
          <w:rFonts w:ascii="Arial" w:hAnsi="Arial" w:cs="Arial"/>
        </w:rPr>
        <w:t>dealership.</w:t>
      </w:r>
      <w:bookmarkStart w:id="39" w:name="_Ref530471788"/>
      <w:r w:rsidR="001A6D0B">
        <w:rPr>
          <w:rStyle w:val="FootnoteReference"/>
          <w:rFonts w:ascii="Arial" w:hAnsi="Arial" w:cs="Arial"/>
        </w:rPr>
        <w:footnoteReference w:id="34"/>
      </w:r>
      <w:bookmarkEnd w:id="39"/>
      <w:r w:rsidR="001A6D0B" w:rsidRPr="001A6D0B">
        <w:rPr>
          <w:rFonts w:ascii="Arial" w:hAnsi="Arial" w:cs="Arial"/>
        </w:rPr>
        <w:t xml:space="preserve"> </w:t>
      </w:r>
      <w:r w:rsidR="00E41CE8">
        <w:rPr>
          <w:rFonts w:ascii="Arial" w:hAnsi="Arial" w:cs="Arial"/>
        </w:rPr>
        <w:t>The industry has a couple of major players with t</w:t>
      </w:r>
      <w:r w:rsidR="00E41CE8" w:rsidRPr="001A6D0B">
        <w:rPr>
          <w:rFonts w:ascii="Arial" w:hAnsi="Arial" w:cs="Arial"/>
        </w:rPr>
        <w:t>he Automotive Holdings Group Limited (AHG)</w:t>
      </w:r>
      <w:r w:rsidR="00E41CE8">
        <w:rPr>
          <w:rFonts w:ascii="Arial" w:hAnsi="Arial" w:cs="Arial"/>
        </w:rPr>
        <w:t xml:space="preserve"> and </w:t>
      </w:r>
      <w:r w:rsidR="00E41CE8" w:rsidRPr="001A6D0B">
        <w:rPr>
          <w:rFonts w:ascii="Arial" w:hAnsi="Arial" w:cs="Arial"/>
        </w:rPr>
        <w:t>AP Eagers Limited</w:t>
      </w:r>
      <w:r w:rsidR="00E41CE8">
        <w:rPr>
          <w:rFonts w:ascii="Arial" w:hAnsi="Arial" w:cs="Arial"/>
        </w:rPr>
        <w:t xml:space="preserve">, Australian publicly listed companies, </w:t>
      </w:r>
      <w:r w:rsidR="00C21575">
        <w:rPr>
          <w:rFonts w:ascii="Arial" w:hAnsi="Arial" w:cs="Arial"/>
        </w:rPr>
        <w:t xml:space="preserve">having </w:t>
      </w:r>
      <w:r w:rsidR="00D80D8D">
        <w:rPr>
          <w:rFonts w:ascii="Arial" w:hAnsi="Arial" w:cs="Arial"/>
        </w:rPr>
        <w:t xml:space="preserve">over </w:t>
      </w:r>
      <w:r w:rsidR="00C21575">
        <w:rPr>
          <w:rFonts w:ascii="Arial" w:hAnsi="Arial" w:cs="Arial"/>
        </w:rPr>
        <w:t>$6 and $2 billion in revenue in 2017-18</w:t>
      </w:r>
      <w:r w:rsidR="00D1045D">
        <w:rPr>
          <w:rFonts w:ascii="Arial" w:hAnsi="Arial" w:cs="Arial"/>
        </w:rPr>
        <w:t xml:space="preserve"> respectively</w:t>
      </w:r>
      <w:r w:rsidR="00C21575">
        <w:rPr>
          <w:rFonts w:ascii="Arial" w:hAnsi="Arial" w:cs="Arial"/>
        </w:rPr>
        <w:t>.</w:t>
      </w:r>
      <w:r w:rsidR="00C21575">
        <w:rPr>
          <w:rStyle w:val="FootnoteReference"/>
          <w:rFonts w:ascii="Arial" w:hAnsi="Arial" w:cs="Arial"/>
        </w:rPr>
        <w:footnoteReference w:id="35"/>
      </w:r>
      <w:r w:rsidR="00CE3988">
        <w:rPr>
          <w:rFonts w:ascii="Arial" w:hAnsi="Arial" w:cs="Arial"/>
        </w:rPr>
        <w:t xml:space="preserve"> </w:t>
      </w:r>
      <w:r w:rsidR="009C4413">
        <w:rPr>
          <w:rFonts w:ascii="Arial" w:hAnsi="Arial" w:cs="Arial"/>
        </w:rPr>
        <w:t xml:space="preserve">The estimated market shares for AHG and AP Eagers Limited are </w:t>
      </w:r>
      <w:r w:rsidR="00C754A3">
        <w:rPr>
          <w:rFonts w:ascii="Arial" w:hAnsi="Arial" w:cs="Arial"/>
        </w:rPr>
        <w:t>respectively around 7 per cent and 5 per cent.</w:t>
      </w:r>
      <w:r w:rsidR="00C754A3">
        <w:rPr>
          <w:rStyle w:val="FootnoteReference"/>
          <w:rFonts w:ascii="Arial" w:hAnsi="Arial" w:cs="Arial"/>
        </w:rPr>
        <w:footnoteReference w:id="36"/>
      </w:r>
      <w:r w:rsidR="00C754A3">
        <w:rPr>
          <w:rFonts w:ascii="Arial" w:hAnsi="Arial" w:cs="Arial"/>
        </w:rPr>
        <w:t xml:space="preserve"> The proposed acquisition of AHG by AP Eagers would result in the merged entity havin</w:t>
      </w:r>
      <w:r w:rsidR="00D26801">
        <w:rPr>
          <w:rFonts w:ascii="Arial" w:hAnsi="Arial" w:cs="Arial"/>
        </w:rPr>
        <w:t>g around 12 </w:t>
      </w:r>
      <w:r w:rsidR="00C754A3">
        <w:rPr>
          <w:rFonts w:ascii="Arial" w:hAnsi="Arial" w:cs="Arial"/>
        </w:rPr>
        <w:t>per cent market share.</w:t>
      </w:r>
      <w:r w:rsidR="00A504E7">
        <w:rPr>
          <w:rStyle w:val="FootnoteReference"/>
          <w:rFonts w:ascii="Arial" w:hAnsi="Arial" w:cs="Arial"/>
        </w:rPr>
        <w:footnoteReference w:id="37"/>
      </w:r>
      <w:r w:rsidR="00B41E20">
        <w:rPr>
          <w:rFonts w:ascii="Arial" w:hAnsi="Arial" w:cs="Arial"/>
        </w:rPr>
        <w:t xml:space="preserve"> </w:t>
      </w:r>
      <w:r w:rsidR="005B27FE">
        <w:rPr>
          <w:rFonts w:ascii="Arial" w:hAnsi="Arial" w:cs="Arial"/>
        </w:rPr>
        <w:t xml:space="preserve">The AADA in its submission to the </w:t>
      </w:r>
      <w:r w:rsidR="0013598F">
        <w:rPr>
          <w:rFonts w:ascii="Arial" w:hAnsi="Arial" w:cs="Arial"/>
        </w:rPr>
        <w:t xml:space="preserve">PJC Inquiry states that around 85 per cent of dealerships </w:t>
      </w:r>
      <w:r w:rsidR="00A31DB9">
        <w:rPr>
          <w:rFonts w:ascii="Arial" w:hAnsi="Arial" w:cs="Arial"/>
        </w:rPr>
        <w:t>or about 1275</w:t>
      </w:r>
      <w:r w:rsidR="0013598F" w:rsidRPr="001A6D0B">
        <w:rPr>
          <w:rFonts w:ascii="Arial" w:hAnsi="Arial" w:cs="Arial"/>
        </w:rPr>
        <w:t xml:space="preserve"> </w:t>
      </w:r>
      <w:r w:rsidR="0013598F">
        <w:rPr>
          <w:rFonts w:ascii="Arial" w:hAnsi="Arial" w:cs="Arial"/>
        </w:rPr>
        <w:t xml:space="preserve">are owned and </w:t>
      </w:r>
      <w:r w:rsidR="0013598F" w:rsidRPr="0013598F">
        <w:rPr>
          <w:rFonts w:ascii="Arial" w:hAnsi="Arial" w:cs="Arial"/>
        </w:rPr>
        <w:t>operat</w:t>
      </w:r>
      <w:r w:rsidR="0013598F">
        <w:rPr>
          <w:rFonts w:ascii="Arial" w:hAnsi="Arial" w:cs="Arial"/>
        </w:rPr>
        <w:t xml:space="preserve">ed by individuals or are family </w:t>
      </w:r>
      <w:r w:rsidR="0013598F" w:rsidRPr="0013598F">
        <w:rPr>
          <w:rFonts w:ascii="Arial" w:hAnsi="Arial" w:cs="Arial"/>
        </w:rPr>
        <w:t>businesses</w:t>
      </w:r>
      <w:r w:rsidR="00B81D47" w:rsidRPr="001A6D0B">
        <w:rPr>
          <w:rStyle w:val="FootnoteReference"/>
          <w:rFonts w:ascii="Arial" w:hAnsi="Arial" w:cs="Arial"/>
        </w:rPr>
        <w:footnoteReference w:id="38"/>
      </w:r>
      <w:r w:rsidR="00D1045D">
        <w:rPr>
          <w:rFonts w:ascii="Arial" w:hAnsi="Arial" w:cs="Arial"/>
        </w:rPr>
        <w:t>, although being a family owned business does not necessarily mean that the business is a small business</w:t>
      </w:r>
      <w:r w:rsidR="0013598F" w:rsidRPr="001A6D0B">
        <w:rPr>
          <w:rFonts w:ascii="Arial" w:hAnsi="Arial" w:cs="Arial"/>
        </w:rPr>
        <w:t>.</w:t>
      </w:r>
      <w:r w:rsidR="00867A17">
        <w:rPr>
          <w:rFonts w:ascii="Arial" w:hAnsi="Arial" w:cs="Arial"/>
        </w:rPr>
        <w:t xml:space="preserve"> The FCAI in its submission to the ACCC on AP Eager </w:t>
      </w:r>
      <w:r w:rsidR="004B5C67">
        <w:rPr>
          <w:rFonts w:ascii="Arial" w:hAnsi="Arial" w:cs="Arial"/>
        </w:rPr>
        <w:t>L</w:t>
      </w:r>
      <w:r w:rsidR="00DE6387">
        <w:rPr>
          <w:rFonts w:ascii="Arial" w:hAnsi="Arial" w:cs="Arial"/>
        </w:rPr>
        <w:t>imi</w:t>
      </w:r>
      <w:r w:rsidR="004B5C67">
        <w:rPr>
          <w:rFonts w:ascii="Arial" w:hAnsi="Arial" w:cs="Arial"/>
        </w:rPr>
        <w:t>t</w:t>
      </w:r>
      <w:r w:rsidR="00DE6387">
        <w:rPr>
          <w:rFonts w:ascii="Arial" w:hAnsi="Arial" w:cs="Arial"/>
        </w:rPr>
        <w:t>ed</w:t>
      </w:r>
      <w:r w:rsidR="004B5C67">
        <w:rPr>
          <w:rFonts w:ascii="Arial" w:hAnsi="Arial" w:cs="Arial"/>
        </w:rPr>
        <w:t>’s</w:t>
      </w:r>
      <w:r w:rsidR="00867A17">
        <w:rPr>
          <w:rFonts w:ascii="Arial" w:hAnsi="Arial" w:cs="Arial"/>
        </w:rPr>
        <w:t xml:space="preserve"> merger application notes ‘should the acquisition proceed, it further challenges the notion of a perceived power imbalance between </w:t>
      </w:r>
      <w:r w:rsidR="00867A17">
        <w:rPr>
          <w:rFonts w:ascii="Arial" w:hAnsi="Arial" w:cs="Arial"/>
        </w:rPr>
        <w:lastRenderedPageBreak/>
        <w:t>automotive dealers and their suppliers, many of whom are considerably smaller than the two above-mentioned dealer groups.’</w:t>
      </w:r>
      <w:r w:rsidR="00867A17">
        <w:rPr>
          <w:rStyle w:val="FootnoteReference"/>
          <w:rFonts w:ascii="Arial" w:hAnsi="Arial" w:cs="Arial"/>
        </w:rPr>
        <w:footnoteReference w:id="39"/>
      </w:r>
    </w:p>
    <w:p w14:paraId="50C90513" w14:textId="37648EB5" w:rsidR="005D6DE2" w:rsidRDefault="005D6DE2" w:rsidP="00A81259">
      <w:pPr>
        <w:autoSpaceDE w:val="0"/>
        <w:autoSpaceDN w:val="0"/>
        <w:adjustRightInd w:val="0"/>
        <w:spacing w:before="240" w:line="360" w:lineRule="auto"/>
        <w:jc w:val="both"/>
        <w:rPr>
          <w:rFonts w:ascii="Arial" w:hAnsi="Arial" w:cs="Arial"/>
        </w:rPr>
      </w:pPr>
      <w:r>
        <w:rPr>
          <w:rFonts w:ascii="Arial" w:hAnsi="Arial" w:cs="Arial"/>
        </w:rPr>
        <w:t>During consultation, views differed on the extent to which there is a power imbalance between new car dealers and manufacturers. Manufacturers generally considered that there is no power imbalance, given that dealers are typically large and sophisticated businesses</w:t>
      </w:r>
      <w:r w:rsidR="00C505FC">
        <w:rPr>
          <w:rFonts w:ascii="Arial" w:hAnsi="Arial" w:cs="Arial"/>
        </w:rPr>
        <w:t xml:space="preserve"> who control access to prime real estate to showcase manufacturers’ products</w:t>
      </w:r>
      <w:r>
        <w:rPr>
          <w:rFonts w:ascii="Arial" w:hAnsi="Arial" w:cs="Arial"/>
        </w:rPr>
        <w:t>. On the other hand, dealers and the ACCC are of the view there is a power imbalance in the favour of manufacturers, given that dealers are presented with agreements on a take or leave it basis, renewal of the agreement is at the discretion of the manufacturer</w:t>
      </w:r>
      <w:r w:rsidR="009942A6">
        <w:rPr>
          <w:rFonts w:ascii="Arial" w:hAnsi="Arial" w:cs="Arial"/>
        </w:rPr>
        <w:t>,</w:t>
      </w:r>
      <w:r>
        <w:rPr>
          <w:rFonts w:ascii="Arial" w:hAnsi="Arial" w:cs="Arial"/>
        </w:rPr>
        <w:t xml:space="preserve"> and that </w:t>
      </w:r>
      <w:r w:rsidR="004B526D">
        <w:rPr>
          <w:rFonts w:ascii="Arial" w:hAnsi="Arial" w:cs="Arial"/>
        </w:rPr>
        <w:t>dealers are required to undertake significant capital expenditure, the costs of which may not be able to be recouped during the term of a single agreement</w:t>
      </w:r>
      <w:r>
        <w:rPr>
          <w:rFonts w:ascii="Arial" w:hAnsi="Arial" w:cs="Arial"/>
        </w:rPr>
        <w:t>.</w:t>
      </w:r>
      <w:r>
        <w:rPr>
          <w:rStyle w:val="FootnoteReference"/>
          <w:rFonts w:ascii="Arial" w:hAnsi="Arial" w:cs="Arial"/>
        </w:rPr>
        <w:footnoteReference w:id="40"/>
      </w:r>
      <w:r>
        <w:rPr>
          <w:rFonts w:ascii="Arial" w:hAnsi="Arial" w:cs="Arial"/>
        </w:rPr>
        <w:t xml:space="preserve"> </w:t>
      </w:r>
    </w:p>
    <w:p w14:paraId="23B61243" w14:textId="1C0C17B3" w:rsidR="00436CB8" w:rsidRDefault="00500DE3" w:rsidP="00A81259">
      <w:pPr>
        <w:autoSpaceDE w:val="0"/>
        <w:autoSpaceDN w:val="0"/>
        <w:adjustRightInd w:val="0"/>
        <w:spacing w:before="240" w:line="360" w:lineRule="auto"/>
        <w:jc w:val="both"/>
        <w:rPr>
          <w:rFonts w:ascii="Arial" w:hAnsi="Arial" w:cs="Arial"/>
        </w:rPr>
      </w:pPr>
      <w:r>
        <w:rPr>
          <w:rFonts w:ascii="Arial" w:hAnsi="Arial" w:cs="Arial"/>
        </w:rPr>
        <w:t>Australia has one of the most open and</w:t>
      </w:r>
      <w:r w:rsidRPr="00500DE3">
        <w:rPr>
          <w:rFonts w:ascii="Arial" w:hAnsi="Arial" w:cs="Arial"/>
        </w:rPr>
        <w:t xml:space="preserve"> competitive</w:t>
      </w:r>
      <w:r>
        <w:rPr>
          <w:rFonts w:ascii="Arial" w:hAnsi="Arial" w:cs="Arial"/>
        </w:rPr>
        <w:t xml:space="preserve"> car retailing markets</w:t>
      </w:r>
      <w:r w:rsidR="00676078">
        <w:rPr>
          <w:rFonts w:ascii="Arial" w:hAnsi="Arial" w:cs="Arial"/>
        </w:rPr>
        <w:t xml:space="preserve"> with strong </w:t>
      </w:r>
      <w:r w:rsidR="008B3197">
        <w:rPr>
          <w:rFonts w:ascii="Arial" w:hAnsi="Arial" w:cs="Arial"/>
        </w:rPr>
        <w:t xml:space="preserve">price </w:t>
      </w:r>
      <w:r w:rsidR="00676078">
        <w:rPr>
          <w:rFonts w:ascii="Arial" w:hAnsi="Arial" w:cs="Arial"/>
        </w:rPr>
        <w:t>competition across all levels of the supply chain, wholesaling and retailing</w:t>
      </w:r>
      <w:r w:rsidR="00F75F49">
        <w:rPr>
          <w:rFonts w:ascii="Arial" w:hAnsi="Arial" w:cs="Arial"/>
        </w:rPr>
        <w:t>,</w:t>
      </w:r>
      <w:r w:rsidR="008B3197">
        <w:rPr>
          <w:rFonts w:ascii="Arial" w:hAnsi="Arial" w:cs="Arial"/>
        </w:rPr>
        <w:t xml:space="preserve"> with decreased profit margins over the past five years</w:t>
      </w:r>
      <w:r w:rsidR="00676078">
        <w:rPr>
          <w:rFonts w:ascii="Arial" w:hAnsi="Arial" w:cs="Arial"/>
        </w:rPr>
        <w:t>.</w:t>
      </w:r>
      <w:r w:rsidR="008B3197">
        <w:rPr>
          <w:rStyle w:val="FootnoteReference"/>
          <w:rFonts w:ascii="Arial" w:hAnsi="Arial" w:cs="Arial"/>
        </w:rPr>
        <w:footnoteReference w:id="41"/>
      </w:r>
      <w:r w:rsidR="008B3197">
        <w:rPr>
          <w:rFonts w:ascii="Arial" w:hAnsi="Arial" w:cs="Arial"/>
        </w:rPr>
        <w:t xml:space="preserve"> </w:t>
      </w:r>
    </w:p>
    <w:p w14:paraId="0041AF24" w14:textId="73BEADAD" w:rsidR="00436CB8" w:rsidRDefault="00436CB8" w:rsidP="00A81259">
      <w:pPr>
        <w:autoSpaceDE w:val="0"/>
        <w:autoSpaceDN w:val="0"/>
        <w:adjustRightInd w:val="0"/>
        <w:spacing w:before="240" w:line="360" w:lineRule="auto"/>
        <w:jc w:val="both"/>
        <w:rPr>
          <w:rFonts w:ascii="Arial" w:hAnsi="Arial" w:cs="Arial"/>
        </w:rPr>
      </w:pPr>
      <w:r>
        <w:rPr>
          <w:rFonts w:ascii="Arial" w:hAnsi="Arial" w:cs="Arial"/>
        </w:rPr>
        <w:t xml:space="preserve">Consultation indicates the Australian new car retailing industry is currently going through a period of significant change, as the sector adapts to the closure of local vehicle manufacturing, changes in technology (such as electric vehicles) and changes in consumer preferences. </w:t>
      </w:r>
      <w:r w:rsidR="004A4748">
        <w:rPr>
          <w:rFonts w:ascii="Arial" w:hAnsi="Arial" w:cs="Arial"/>
        </w:rPr>
        <w:t>T</w:t>
      </w:r>
      <w:r>
        <w:rPr>
          <w:rFonts w:ascii="Arial" w:hAnsi="Arial" w:cs="Arial"/>
        </w:rPr>
        <w:t>here has been consolidation in the dealership sector, with larger dealer groups taking over smaller, independent dealers to take advantage of economies of scale.</w:t>
      </w:r>
      <w:r w:rsidR="00BD1AAB">
        <w:rPr>
          <w:rFonts w:ascii="Arial" w:hAnsi="Arial" w:cs="Arial"/>
        </w:rPr>
        <w:t xml:space="preserve"> This is </w:t>
      </w:r>
      <w:r w:rsidR="00564983">
        <w:rPr>
          <w:rFonts w:ascii="Arial" w:hAnsi="Arial" w:cs="Arial"/>
        </w:rPr>
        <w:t>expected</w:t>
      </w:r>
      <w:r w:rsidR="00BD1AAB">
        <w:rPr>
          <w:rFonts w:ascii="Arial" w:hAnsi="Arial" w:cs="Arial"/>
        </w:rPr>
        <w:t xml:space="preserve"> to continue</w:t>
      </w:r>
      <w:r w:rsidR="005E3B77">
        <w:rPr>
          <w:rFonts w:ascii="Arial" w:hAnsi="Arial" w:cs="Arial"/>
        </w:rPr>
        <w:t>.</w:t>
      </w:r>
      <w:r w:rsidR="00D26801">
        <w:rPr>
          <w:rFonts w:ascii="Arial" w:hAnsi="Arial" w:cs="Arial"/>
        </w:rPr>
        <w:t xml:space="preserve"> </w:t>
      </w:r>
    </w:p>
    <w:p w14:paraId="3F1D0A24" w14:textId="14059AC6" w:rsidR="00D438EF" w:rsidRDefault="00DC79D9" w:rsidP="00A81259">
      <w:pPr>
        <w:autoSpaceDE w:val="0"/>
        <w:autoSpaceDN w:val="0"/>
        <w:adjustRightInd w:val="0"/>
        <w:spacing w:before="240" w:line="360" w:lineRule="auto"/>
        <w:jc w:val="both"/>
        <w:rPr>
          <w:rFonts w:ascii="Arial" w:hAnsi="Arial" w:cs="Arial"/>
        </w:rPr>
      </w:pPr>
      <w:r>
        <w:rPr>
          <w:rFonts w:ascii="Arial" w:hAnsi="Arial" w:cs="Arial"/>
        </w:rPr>
        <w:t xml:space="preserve">Some </w:t>
      </w:r>
      <w:r w:rsidR="00711B2B">
        <w:rPr>
          <w:rFonts w:ascii="Arial" w:hAnsi="Arial" w:cs="Arial"/>
        </w:rPr>
        <w:t xml:space="preserve">car manufacturers </w:t>
      </w:r>
      <w:r w:rsidR="00E330A9" w:rsidRPr="00E330A9">
        <w:rPr>
          <w:rFonts w:ascii="Arial" w:hAnsi="Arial" w:cs="Arial"/>
        </w:rPr>
        <w:t>have made the decision to reduce their footprint in some areas of Australia</w:t>
      </w:r>
      <w:r w:rsidR="00436CB8">
        <w:rPr>
          <w:rFonts w:ascii="Arial" w:hAnsi="Arial" w:cs="Arial"/>
        </w:rPr>
        <w:t>,</w:t>
      </w:r>
      <w:r w:rsidR="00A56814">
        <w:rPr>
          <w:rFonts w:ascii="Arial" w:hAnsi="Arial" w:cs="Arial"/>
        </w:rPr>
        <w:t xml:space="preserve"> </w:t>
      </w:r>
      <w:r w:rsidR="00AD3984">
        <w:rPr>
          <w:rFonts w:ascii="Arial" w:hAnsi="Arial" w:cs="Arial"/>
        </w:rPr>
        <w:t xml:space="preserve">with </w:t>
      </w:r>
      <w:r w:rsidR="00A56814">
        <w:rPr>
          <w:rFonts w:ascii="Arial" w:hAnsi="Arial" w:cs="Arial"/>
        </w:rPr>
        <w:t xml:space="preserve">regional </w:t>
      </w:r>
      <w:r w:rsidR="00AD3984">
        <w:rPr>
          <w:rFonts w:ascii="Arial" w:hAnsi="Arial" w:cs="Arial"/>
        </w:rPr>
        <w:t xml:space="preserve">areas particularly </w:t>
      </w:r>
      <w:r w:rsidR="00F75F49">
        <w:rPr>
          <w:rFonts w:ascii="Arial" w:hAnsi="Arial" w:cs="Arial"/>
        </w:rPr>
        <w:t>affected</w:t>
      </w:r>
      <w:r w:rsidR="00E330A9" w:rsidRPr="00E330A9">
        <w:rPr>
          <w:rFonts w:ascii="Arial" w:hAnsi="Arial" w:cs="Arial"/>
        </w:rPr>
        <w:t xml:space="preserve">. </w:t>
      </w:r>
      <w:r w:rsidR="00A56814">
        <w:rPr>
          <w:rFonts w:ascii="Arial" w:hAnsi="Arial" w:cs="Arial"/>
        </w:rPr>
        <w:t>N</w:t>
      </w:r>
      <w:r w:rsidR="00E330A9" w:rsidRPr="00E330A9">
        <w:rPr>
          <w:rFonts w:ascii="Arial" w:hAnsi="Arial" w:cs="Arial"/>
        </w:rPr>
        <w:t>on-renewal</w:t>
      </w:r>
      <w:r w:rsidR="005A30EC">
        <w:rPr>
          <w:rStyle w:val="FootnoteReference"/>
          <w:rFonts w:ascii="Arial" w:hAnsi="Arial" w:cs="Arial"/>
        </w:rPr>
        <w:footnoteReference w:id="42"/>
      </w:r>
      <w:r w:rsidR="00E330A9" w:rsidRPr="00E330A9">
        <w:rPr>
          <w:rFonts w:ascii="Arial" w:hAnsi="Arial" w:cs="Arial"/>
        </w:rPr>
        <w:t xml:space="preserve"> </w:t>
      </w:r>
      <w:r w:rsidR="00931A24">
        <w:rPr>
          <w:rFonts w:ascii="Arial" w:hAnsi="Arial" w:cs="Arial"/>
        </w:rPr>
        <w:t xml:space="preserve">(not termination) </w:t>
      </w:r>
      <w:r w:rsidR="00E330A9" w:rsidRPr="00E330A9">
        <w:rPr>
          <w:rFonts w:ascii="Arial" w:hAnsi="Arial" w:cs="Arial"/>
        </w:rPr>
        <w:t>of dealership agreements</w:t>
      </w:r>
      <w:r w:rsidR="00A56814">
        <w:rPr>
          <w:rFonts w:ascii="Arial" w:hAnsi="Arial" w:cs="Arial"/>
        </w:rPr>
        <w:t xml:space="preserve"> in regional areas </w:t>
      </w:r>
      <w:r w:rsidR="006212FB">
        <w:rPr>
          <w:rFonts w:ascii="Arial" w:hAnsi="Arial" w:cs="Arial"/>
        </w:rPr>
        <w:t xml:space="preserve">has meant consumers </w:t>
      </w:r>
      <w:r w:rsidR="00931A24">
        <w:rPr>
          <w:rFonts w:ascii="Arial" w:hAnsi="Arial" w:cs="Arial"/>
        </w:rPr>
        <w:t>may</w:t>
      </w:r>
      <w:r w:rsidR="006212FB">
        <w:rPr>
          <w:rFonts w:ascii="Arial" w:hAnsi="Arial" w:cs="Arial"/>
        </w:rPr>
        <w:t xml:space="preserve"> not be able to have their car serviced locally or </w:t>
      </w:r>
      <w:r w:rsidR="00931A24">
        <w:rPr>
          <w:rFonts w:ascii="Arial" w:hAnsi="Arial" w:cs="Arial"/>
        </w:rPr>
        <w:t xml:space="preserve">may </w:t>
      </w:r>
      <w:r w:rsidR="006212FB">
        <w:rPr>
          <w:rFonts w:ascii="Arial" w:hAnsi="Arial" w:cs="Arial"/>
        </w:rPr>
        <w:t>need to travel further to buy a new car</w:t>
      </w:r>
      <w:r w:rsidR="00E330A9" w:rsidRPr="00E330A9">
        <w:rPr>
          <w:rFonts w:ascii="Arial" w:hAnsi="Arial" w:cs="Arial"/>
        </w:rPr>
        <w:t>.</w:t>
      </w:r>
      <w:bookmarkStart w:id="40" w:name="_Ref530473871"/>
      <w:r w:rsidR="001F4C0C">
        <w:rPr>
          <w:rStyle w:val="FootnoteReference"/>
          <w:rFonts w:ascii="Arial" w:hAnsi="Arial" w:cs="Arial"/>
        </w:rPr>
        <w:footnoteReference w:id="43"/>
      </w:r>
      <w:bookmarkEnd w:id="40"/>
      <w:r w:rsidR="00E330A9" w:rsidRPr="00E330A9">
        <w:rPr>
          <w:rFonts w:ascii="Arial" w:hAnsi="Arial" w:cs="Arial"/>
        </w:rPr>
        <w:t xml:space="preserve"> </w:t>
      </w:r>
      <w:r w:rsidR="00684E09">
        <w:rPr>
          <w:rFonts w:ascii="Arial" w:hAnsi="Arial" w:cs="Arial"/>
        </w:rPr>
        <w:t xml:space="preserve">While larger players within the industry have been able to benefit through acquiring existing dealerships, these </w:t>
      </w:r>
      <w:r w:rsidR="00E83A34">
        <w:rPr>
          <w:rFonts w:ascii="Arial" w:hAnsi="Arial" w:cs="Arial"/>
        </w:rPr>
        <w:lastRenderedPageBreak/>
        <w:t xml:space="preserve">acquisitions </w:t>
      </w:r>
      <w:r w:rsidR="005E3B77">
        <w:rPr>
          <w:rFonts w:ascii="Arial" w:hAnsi="Arial" w:cs="Arial"/>
        </w:rPr>
        <w:t xml:space="preserve">have </w:t>
      </w:r>
      <w:r w:rsidR="00684E09">
        <w:rPr>
          <w:rFonts w:ascii="Arial" w:hAnsi="Arial" w:cs="Arial"/>
        </w:rPr>
        <w:t>tend</w:t>
      </w:r>
      <w:r w:rsidR="005E3B77">
        <w:rPr>
          <w:rFonts w:ascii="Arial" w:hAnsi="Arial" w:cs="Arial"/>
        </w:rPr>
        <w:t>ed</w:t>
      </w:r>
      <w:r w:rsidR="00684E09">
        <w:rPr>
          <w:rFonts w:ascii="Arial" w:hAnsi="Arial" w:cs="Arial"/>
        </w:rPr>
        <w:t xml:space="preserve"> to </w:t>
      </w:r>
      <w:r w:rsidR="005E3B77">
        <w:rPr>
          <w:rFonts w:ascii="Arial" w:hAnsi="Arial" w:cs="Arial"/>
        </w:rPr>
        <w:t xml:space="preserve">occur </w:t>
      </w:r>
      <w:r w:rsidR="00684E09">
        <w:rPr>
          <w:rFonts w:ascii="Arial" w:hAnsi="Arial" w:cs="Arial"/>
        </w:rPr>
        <w:t>in larger regional hubs or cities.</w:t>
      </w:r>
      <w:r w:rsidR="00725690">
        <w:rPr>
          <w:rStyle w:val="FootnoteReference"/>
          <w:rFonts w:ascii="Arial" w:hAnsi="Arial" w:cs="Arial"/>
        </w:rPr>
        <w:footnoteReference w:id="44"/>
      </w:r>
      <w:r w:rsidR="00684E09">
        <w:rPr>
          <w:rFonts w:ascii="Arial" w:hAnsi="Arial" w:cs="Arial"/>
        </w:rPr>
        <w:t xml:space="preserve"> </w:t>
      </w:r>
      <w:r w:rsidR="00D438EF">
        <w:rPr>
          <w:rFonts w:ascii="Arial" w:hAnsi="Arial" w:cs="Arial"/>
        </w:rPr>
        <w:t>Further background on the new car re</w:t>
      </w:r>
      <w:r w:rsidR="00AD3984">
        <w:rPr>
          <w:rFonts w:ascii="Arial" w:hAnsi="Arial" w:cs="Arial"/>
        </w:rPr>
        <w:t xml:space="preserve">tailing industry is at Appendix </w:t>
      </w:r>
      <w:r w:rsidR="00D438EF">
        <w:rPr>
          <w:rFonts w:ascii="Arial" w:hAnsi="Arial" w:cs="Arial"/>
        </w:rPr>
        <w:t>1.</w:t>
      </w:r>
    </w:p>
    <w:p w14:paraId="3F1D0A25" w14:textId="77777777" w:rsidR="00DA1E59" w:rsidRPr="0040566B" w:rsidRDefault="00DA1E59" w:rsidP="0040566B">
      <w:pPr>
        <w:autoSpaceDE w:val="0"/>
        <w:autoSpaceDN w:val="0"/>
        <w:adjustRightInd w:val="0"/>
        <w:spacing w:before="240" w:line="360" w:lineRule="auto"/>
        <w:rPr>
          <w:rFonts w:ascii="Arial" w:hAnsi="Arial" w:cs="Arial"/>
          <w:i/>
          <w:iCs/>
        </w:rPr>
      </w:pPr>
      <w:r w:rsidRPr="0040566B">
        <w:rPr>
          <w:rFonts w:ascii="Arial" w:hAnsi="Arial" w:cs="Arial"/>
          <w:i/>
          <w:iCs/>
        </w:rPr>
        <w:t>Franchising power imbalance and new car dealers</w:t>
      </w:r>
    </w:p>
    <w:p w14:paraId="3F1D0A26" w14:textId="1F085FDC" w:rsidR="00442D03" w:rsidRDefault="00442D03" w:rsidP="00A81259">
      <w:pPr>
        <w:autoSpaceDE w:val="0"/>
        <w:autoSpaceDN w:val="0"/>
        <w:adjustRightInd w:val="0"/>
        <w:spacing w:before="240" w:line="360" w:lineRule="auto"/>
        <w:jc w:val="both"/>
        <w:rPr>
          <w:rFonts w:ascii="Arial" w:hAnsi="Arial" w:cs="Arial"/>
        </w:rPr>
      </w:pPr>
      <w:r w:rsidRPr="00442D03">
        <w:rPr>
          <w:rFonts w:ascii="Arial" w:hAnsi="Arial" w:cs="Arial"/>
        </w:rPr>
        <w:t>A franchisee invests in the business and bears the majority of the risk associated with the operation of a particular outlet, while the franchisor maintains control over the design of the overall system and the quality of the output</w:t>
      </w:r>
      <w:r w:rsidR="00E6300B">
        <w:rPr>
          <w:rFonts w:ascii="Arial" w:hAnsi="Arial" w:cs="Arial"/>
        </w:rPr>
        <w:t>.</w:t>
      </w:r>
      <w:r w:rsidR="00F52106">
        <w:rPr>
          <w:rFonts w:ascii="Arial" w:hAnsi="Arial" w:cs="Arial"/>
        </w:rPr>
        <w:t xml:space="preserve"> </w:t>
      </w:r>
      <w:r w:rsidR="00931A24">
        <w:rPr>
          <w:rFonts w:ascii="Arial" w:hAnsi="Arial" w:cs="Arial"/>
        </w:rPr>
        <w:t>T</w:t>
      </w:r>
      <w:r w:rsidRPr="00442D03">
        <w:rPr>
          <w:rFonts w:ascii="Arial" w:hAnsi="Arial" w:cs="Arial"/>
        </w:rPr>
        <w:t>here can be an information imbalance since the franchisor has full access to information pertinent to the operation of the entire franchise system and controls its disclosure to franchisees.</w:t>
      </w:r>
    </w:p>
    <w:p w14:paraId="3F1D0A27" w14:textId="11BEE153" w:rsidR="00234ED1" w:rsidRDefault="00A167DC" w:rsidP="00C73CDC">
      <w:pPr>
        <w:spacing w:before="240" w:line="360" w:lineRule="auto"/>
        <w:jc w:val="both"/>
        <w:rPr>
          <w:rFonts w:ascii="Arial" w:hAnsi="Arial" w:cs="Arial"/>
        </w:rPr>
      </w:pPr>
      <w:r>
        <w:rPr>
          <w:rFonts w:ascii="Arial" w:hAnsi="Arial" w:cs="Arial"/>
        </w:rPr>
        <w:t>In line with the on-going, variable and symbiotic nature of the franchising relationship, the Franchising Code provides that</w:t>
      </w:r>
      <w:r w:rsidR="00442D03" w:rsidRPr="11FF59B9">
        <w:rPr>
          <w:rFonts w:ascii="Arial" w:hAnsi="Arial" w:cs="Arial"/>
        </w:rPr>
        <w:t xml:space="preserve"> parties to a franchising agreement must act in good faith towards one another.</w:t>
      </w:r>
      <w:r w:rsidR="0019133C">
        <w:rPr>
          <w:rStyle w:val="FootnoteReference"/>
          <w:rFonts w:ascii="Arial" w:hAnsi="Arial" w:cs="Arial"/>
        </w:rPr>
        <w:footnoteReference w:id="45"/>
      </w:r>
      <w:r w:rsidR="00442D03" w:rsidRPr="11FF59B9">
        <w:rPr>
          <w:rFonts w:ascii="Arial" w:hAnsi="Arial" w:cs="Arial"/>
        </w:rPr>
        <w:t xml:space="preserve"> As such, although car dealers enter into agreements that provide substantial power to the manufacturer, they have a reasonable expectation that the manufa</w:t>
      </w:r>
      <w:r>
        <w:rPr>
          <w:rFonts w:ascii="Arial" w:hAnsi="Arial" w:cs="Arial"/>
        </w:rPr>
        <w:t>cturer will have regard to the</w:t>
      </w:r>
      <w:r w:rsidR="00442D03" w:rsidRPr="11FF59B9">
        <w:rPr>
          <w:rFonts w:ascii="Arial" w:hAnsi="Arial" w:cs="Arial"/>
        </w:rPr>
        <w:t xml:space="preserve"> legitimate interests </w:t>
      </w:r>
      <w:r>
        <w:rPr>
          <w:rFonts w:ascii="Arial" w:hAnsi="Arial" w:cs="Arial"/>
        </w:rPr>
        <w:t>of franchisees</w:t>
      </w:r>
      <w:r w:rsidR="00EC3BBB">
        <w:rPr>
          <w:rFonts w:ascii="Arial" w:hAnsi="Arial" w:cs="Arial"/>
        </w:rPr>
        <w:t xml:space="preserve"> and the franchise system</w:t>
      </w:r>
      <w:r>
        <w:rPr>
          <w:rFonts w:ascii="Arial" w:hAnsi="Arial" w:cs="Arial"/>
        </w:rPr>
        <w:t xml:space="preserve"> </w:t>
      </w:r>
      <w:r w:rsidR="00442D03" w:rsidRPr="11FF59B9">
        <w:rPr>
          <w:rFonts w:ascii="Arial" w:hAnsi="Arial" w:cs="Arial"/>
        </w:rPr>
        <w:t xml:space="preserve">when exercising their rights under the agreement. </w:t>
      </w:r>
      <w:r w:rsidR="00B70343">
        <w:rPr>
          <w:rFonts w:ascii="Arial" w:hAnsi="Arial" w:cs="Arial"/>
        </w:rPr>
        <w:t>It should be noted that while good faith requires a party to have due regard to the rights and interests of the other party, it does not require a party to act in the interests of the other party.</w:t>
      </w:r>
      <w:bookmarkStart w:id="41" w:name="_Ref530580157"/>
      <w:r w:rsidR="007307C7">
        <w:rPr>
          <w:rStyle w:val="FootnoteReference"/>
          <w:rFonts w:ascii="Arial" w:hAnsi="Arial" w:cs="Arial"/>
        </w:rPr>
        <w:footnoteReference w:id="46"/>
      </w:r>
      <w:bookmarkEnd w:id="41"/>
      <w:r w:rsidR="00B70343">
        <w:rPr>
          <w:rFonts w:ascii="Arial" w:hAnsi="Arial" w:cs="Arial"/>
        </w:rPr>
        <w:t xml:space="preserve"> Neither does it</w:t>
      </w:r>
      <w:r w:rsidR="00234ED1">
        <w:rPr>
          <w:rFonts w:ascii="Arial" w:hAnsi="Arial" w:cs="Arial"/>
        </w:rPr>
        <w:t xml:space="preserve"> prevent </w:t>
      </w:r>
      <w:r w:rsidR="00C7729E">
        <w:rPr>
          <w:rFonts w:ascii="Arial" w:hAnsi="Arial" w:cs="Arial"/>
        </w:rPr>
        <w:t xml:space="preserve">either a </w:t>
      </w:r>
      <w:r w:rsidR="00931A24">
        <w:rPr>
          <w:rFonts w:ascii="Arial" w:hAnsi="Arial" w:cs="Arial"/>
        </w:rPr>
        <w:t xml:space="preserve">party </w:t>
      </w:r>
      <w:r w:rsidR="00234ED1">
        <w:rPr>
          <w:rFonts w:ascii="Arial" w:hAnsi="Arial" w:cs="Arial"/>
        </w:rPr>
        <w:t xml:space="preserve">from acting </w:t>
      </w:r>
      <w:r w:rsidR="00B70343">
        <w:rPr>
          <w:rFonts w:ascii="Arial" w:hAnsi="Arial" w:cs="Arial"/>
        </w:rPr>
        <w:t>in their own legitimate commercial interests.</w:t>
      </w:r>
      <w:r w:rsidR="007307C7">
        <w:rPr>
          <w:rStyle w:val="FootnoteReference"/>
          <w:rFonts w:ascii="Arial" w:hAnsi="Arial" w:cs="Arial"/>
        </w:rPr>
        <w:footnoteReference w:id="47"/>
      </w:r>
    </w:p>
    <w:p w14:paraId="3F1D0A28" w14:textId="6BC954A3" w:rsidR="00442D03" w:rsidRDefault="00450309" w:rsidP="00C73CDC">
      <w:pPr>
        <w:spacing w:before="240" w:line="360" w:lineRule="auto"/>
        <w:jc w:val="both"/>
        <w:rPr>
          <w:rFonts w:ascii="Arial" w:hAnsi="Arial" w:cs="Arial"/>
        </w:rPr>
      </w:pPr>
      <w:r>
        <w:rPr>
          <w:rFonts w:ascii="Arial" w:hAnsi="Arial" w:cs="Arial"/>
        </w:rPr>
        <w:t xml:space="preserve">The good faith obligations are </w:t>
      </w:r>
      <w:r w:rsidR="005B5608">
        <w:rPr>
          <w:rFonts w:ascii="Arial" w:hAnsi="Arial" w:cs="Arial"/>
        </w:rPr>
        <w:t xml:space="preserve">relevant to </w:t>
      </w:r>
      <w:r w:rsidR="00127075">
        <w:rPr>
          <w:rFonts w:ascii="Arial" w:hAnsi="Arial" w:cs="Arial"/>
        </w:rPr>
        <w:t xml:space="preserve">car dealers </w:t>
      </w:r>
      <w:r w:rsidR="005B5608">
        <w:rPr>
          <w:rFonts w:ascii="Arial" w:hAnsi="Arial" w:cs="Arial"/>
        </w:rPr>
        <w:t xml:space="preserve">who </w:t>
      </w:r>
      <w:r w:rsidR="00127075">
        <w:rPr>
          <w:rFonts w:ascii="Arial" w:hAnsi="Arial" w:cs="Arial"/>
        </w:rPr>
        <w:t xml:space="preserve">make significant capital outlays on shop fit-outs and equipment towards the end of a franchise agreement. </w:t>
      </w:r>
      <w:r w:rsidR="006E73BB">
        <w:rPr>
          <w:rFonts w:ascii="Arial" w:hAnsi="Arial" w:cs="Arial"/>
        </w:rPr>
        <w:t>DISER</w:t>
      </w:r>
      <w:r w:rsidR="00127075">
        <w:rPr>
          <w:rFonts w:ascii="Arial" w:hAnsi="Arial" w:cs="Arial"/>
        </w:rPr>
        <w:t xml:space="preserve"> consultation</w:t>
      </w:r>
      <w:r w:rsidR="00F75F49">
        <w:rPr>
          <w:rFonts w:ascii="Arial" w:hAnsi="Arial" w:cs="Arial"/>
        </w:rPr>
        <w:t>s</w:t>
      </w:r>
      <w:r w:rsidR="00127075">
        <w:rPr>
          <w:rFonts w:ascii="Arial" w:hAnsi="Arial" w:cs="Arial"/>
        </w:rPr>
        <w:t xml:space="preserve"> with industry stakeholde</w:t>
      </w:r>
      <w:r w:rsidR="00852596">
        <w:rPr>
          <w:rFonts w:ascii="Arial" w:hAnsi="Arial" w:cs="Arial"/>
        </w:rPr>
        <w:t>rs</w:t>
      </w:r>
      <w:r w:rsidR="009C7F40">
        <w:rPr>
          <w:rFonts w:ascii="Arial" w:hAnsi="Arial" w:cs="Arial"/>
        </w:rPr>
        <w:t>,</w:t>
      </w:r>
      <w:r w:rsidR="00852596" w:rsidDel="009C7F40">
        <w:rPr>
          <w:rFonts w:ascii="Arial" w:hAnsi="Arial" w:cs="Arial"/>
        </w:rPr>
        <w:t xml:space="preserve"> </w:t>
      </w:r>
      <w:r w:rsidR="00852596">
        <w:rPr>
          <w:rFonts w:ascii="Arial" w:hAnsi="Arial" w:cs="Arial"/>
        </w:rPr>
        <w:t xml:space="preserve">submissions to the </w:t>
      </w:r>
      <w:r w:rsidR="004225AB" w:rsidRPr="004225AB">
        <w:rPr>
          <w:rFonts w:ascii="Arial" w:hAnsi="Arial" w:cs="Arial"/>
        </w:rPr>
        <w:t>2013</w:t>
      </w:r>
      <w:r w:rsidR="00852596">
        <w:rPr>
          <w:rFonts w:ascii="Arial" w:hAnsi="Arial" w:cs="Arial"/>
        </w:rPr>
        <w:t xml:space="preserve"> R</w:t>
      </w:r>
      <w:r w:rsidR="00127075">
        <w:rPr>
          <w:rFonts w:ascii="Arial" w:hAnsi="Arial" w:cs="Arial"/>
        </w:rPr>
        <w:t>eview</w:t>
      </w:r>
      <w:r w:rsidR="004225AB" w:rsidRPr="004225AB">
        <w:rPr>
          <w:rFonts w:ascii="Arial" w:hAnsi="Arial" w:cs="Arial"/>
        </w:rPr>
        <w:t xml:space="preserve"> of the Franchising Code of Conduct</w:t>
      </w:r>
      <w:r w:rsidR="00063AEA">
        <w:rPr>
          <w:rFonts w:ascii="Arial" w:hAnsi="Arial" w:cs="Arial"/>
        </w:rPr>
        <w:t xml:space="preserve"> conducted by Mr Alan </w:t>
      </w:r>
      <w:r w:rsidR="00852596">
        <w:rPr>
          <w:rFonts w:ascii="Arial" w:hAnsi="Arial" w:cs="Arial"/>
        </w:rPr>
        <w:t>Wein</w:t>
      </w:r>
      <w:r w:rsidR="00127075">
        <w:rPr>
          <w:rFonts w:ascii="Arial" w:hAnsi="Arial" w:cs="Arial"/>
        </w:rPr>
        <w:t xml:space="preserve"> </w:t>
      </w:r>
      <w:r w:rsidR="009E28BA">
        <w:rPr>
          <w:rFonts w:ascii="Arial" w:hAnsi="Arial" w:cs="Arial"/>
        </w:rPr>
        <w:t>(Wein Review)</w:t>
      </w:r>
      <w:r w:rsidR="00F75F49">
        <w:rPr>
          <w:rFonts w:ascii="Arial" w:hAnsi="Arial" w:cs="Arial"/>
        </w:rPr>
        <w:t>,</w:t>
      </w:r>
      <w:r w:rsidR="00852596">
        <w:rPr>
          <w:rFonts w:ascii="Arial" w:hAnsi="Arial" w:cs="Arial"/>
        </w:rPr>
        <w:t xml:space="preserve"> </w:t>
      </w:r>
      <w:r w:rsidR="00127075">
        <w:rPr>
          <w:rFonts w:ascii="Arial" w:hAnsi="Arial" w:cs="Arial"/>
        </w:rPr>
        <w:t xml:space="preserve">and the </w:t>
      </w:r>
      <w:r w:rsidR="00BE1256">
        <w:rPr>
          <w:rFonts w:ascii="Arial" w:hAnsi="Arial" w:cs="Arial"/>
        </w:rPr>
        <w:t>recent</w:t>
      </w:r>
      <w:r w:rsidR="004D0831">
        <w:rPr>
          <w:rFonts w:ascii="Arial" w:hAnsi="Arial" w:cs="Arial"/>
        </w:rPr>
        <w:t xml:space="preserve"> PJC</w:t>
      </w:r>
      <w:r w:rsidR="00127075">
        <w:rPr>
          <w:rFonts w:ascii="Arial" w:hAnsi="Arial" w:cs="Arial"/>
        </w:rPr>
        <w:t xml:space="preserve"> Inquiry </w:t>
      </w:r>
      <w:r w:rsidR="008D413D">
        <w:rPr>
          <w:rFonts w:ascii="Arial" w:hAnsi="Arial" w:cs="Arial"/>
        </w:rPr>
        <w:t>indicate</w:t>
      </w:r>
      <w:r w:rsidR="00931A24">
        <w:rPr>
          <w:rFonts w:ascii="Arial" w:hAnsi="Arial" w:cs="Arial"/>
        </w:rPr>
        <w:t>s</w:t>
      </w:r>
      <w:r w:rsidR="00127075">
        <w:rPr>
          <w:rFonts w:ascii="Arial" w:hAnsi="Arial" w:cs="Arial"/>
        </w:rPr>
        <w:t xml:space="preserve"> dealers </w:t>
      </w:r>
      <w:r w:rsidR="00931A24">
        <w:rPr>
          <w:rFonts w:ascii="Arial" w:hAnsi="Arial" w:cs="Arial"/>
        </w:rPr>
        <w:t xml:space="preserve">generally </w:t>
      </w:r>
      <w:r w:rsidR="00127075">
        <w:rPr>
          <w:rFonts w:ascii="Arial" w:hAnsi="Arial" w:cs="Arial"/>
        </w:rPr>
        <w:t>undertak</w:t>
      </w:r>
      <w:r w:rsidR="00931A24">
        <w:rPr>
          <w:rFonts w:ascii="Arial" w:hAnsi="Arial" w:cs="Arial"/>
        </w:rPr>
        <w:t>e</w:t>
      </w:r>
      <w:r w:rsidR="00127075">
        <w:rPr>
          <w:rFonts w:ascii="Arial" w:hAnsi="Arial" w:cs="Arial"/>
        </w:rPr>
        <w:t xml:space="preserve"> those investments with the expectation of renewal of the dealership agreement.</w:t>
      </w:r>
      <w:r w:rsidR="001E5B3C">
        <w:rPr>
          <w:rFonts w:ascii="Arial" w:hAnsi="Arial" w:cs="Arial"/>
        </w:rPr>
        <w:t xml:space="preserve"> The extent of this issue occurring </w:t>
      </w:r>
      <w:r w:rsidR="00B81D47">
        <w:rPr>
          <w:rFonts w:ascii="Arial" w:hAnsi="Arial" w:cs="Arial"/>
        </w:rPr>
        <w:t>h</w:t>
      </w:r>
      <w:r w:rsidR="00326C9D">
        <w:rPr>
          <w:rFonts w:ascii="Arial" w:hAnsi="Arial" w:cs="Arial"/>
        </w:rPr>
        <w:t xml:space="preserve">as not </w:t>
      </w:r>
      <w:r w:rsidR="00B81D47">
        <w:rPr>
          <w:rFonts w:ascii="Arial" w:hAnsi="Arial" w:cs="Arial"/>
        </w:rPr>
        <w:t>been quantified</w:t>
      </w:r>
      <w:r w:rsidR="00326C9D">
        <w:rPr>
          <w:rFonts w:ascii="Arial" w:hAnsi="Arial" w:cs="Arial"/>
        </w:rPr>
        <w:t xml:space="preserve">, but during consultations </w:t>
      </w:r>
      <w:r w:rsidR="00760CF7">
        <w:rPr>
          <w:rFonts w:ascii="Arial" w:hAnsi="Arial" w:cs="Arial"/>
        </w:rPr>
        <w:t>there was a</w:t>
      </w:r>
      <w:r w:rsidR="00326C9D">
        <w:rPr>
          <w:rFonts w:ascii="Arial" w:hAnsi="Arial" w:cs="Arial"/>
        </w:rPr>
        <w:t xml:space="preserve"> view from dealers that t</w:t>
      </w:r>
      <w:r w:rsidR="00326C9D" w:rsidRPr="00326C9D">
        <w:rPr>
          <w:rFonts w:ascii="Arial" w:hAnsi="Arial" w:cs="Arial"/>
        </w:rPr>
        <w:t>h</w:t>
      </w:r>
      <w:r w:rsidR="00B81D47">
        <w:rPr>
          <w:rFonts w:ascii="Arial" w:hAnsi="Arial" w:cs="Arial"/>
        </w:rPr>
        <w:t>is</w:t>
      </w:r>
      <w:r w:rsidR="00326C9D" w:rsidRPr="00326C9D">
        <w:rPr>
          <w:rFonts w:ascii="Arial" w:hAnsi="Arial" w:cs="Arial"/>
        </w:rPr>
        <w:t xml:space="preserve"> </w:t>
      </w:r>
      <w:r w:rsidR="00326C9D">
        <w:rPr>
          <w:rFonts w:ascii="Arial" w:hAnsi="Arial" w:cs="Arial"/>
        </w:rPr>
        <w:t xml:space="preserve">expectation exists. </w:t>
      </w:r>
    </w:p>
    <w:p w14:paraId="3F1D0A29" w14:textId="7E382E9B" w:rsidR="00DD14F2" w:rsidRDefault="00E147A1" w:rsidP="00DD14F2">
      <w:pPr>
        <w:spacing w:before="240" w:line="360" w:lineRule="auto"/>
        <w:jc w:val="both"/>
        <w:rPr>
          <w:rFonts w:ascii="Arial" w:hAnsi="Arial" w:cs="Arial"/>
        </w:rPr>
      </w:pPr>
      <w:r>
        <w:rPr>
          <w:rFonts w:ascii="Arial" w:hAnsi="Arial" w:cs="Arial"/>
        </w:rPr>
        <w:t xml:space="preserve">A </w:t>
      </w:r>
      <w:r w:rsidR="00931A24">
        <w:rPr>
          <w:rFonts w:ascii="Arial" w:hAnsi="Arial" w:cs="Arial"/>
        </w:rPr>
        <w:t xml:space="preserve">decision to not renew a dealer agreement </w:t>
      </w:r>
      <w:r>
        <w:rPr>
          <w:rFonts w:ascii="Arial" w:hAnsi="Arial" w:cs="Arial"/>
        </w:rPr>
        <w:t>can have a particularly large impact on new car dealers, given the scale of investment required to operate a new car dealership</w:t>
      </w:r>
      <w:r w:rsidR="00DD14F2">
        <w:rPr>
          <w:rFonts w:ascii="Arial" w:hAnsi="Arial" w:cs="Arial"/>
        </w:rPr>
        <w:t xml:space="preserve">, </w:t>
      </w:r>
      <w:r w:rsidR="00DD14F2" w:rsidRPr="008308C0">
        <w:rPr>
          <w:rFonts w:ascii="Arial" w:hAnsi="Arial" w:cs="Arial"/>
        </w:rPr>
        <w:t>with estimates provided in the range of $6 to $20 million, depending on the size and location of the dealership.</w:t>
      </w:r>
      <w:r w:rsidR="00DD14F2">
        <w:rPr>
          <w:rStyle w:val="FootnoteReference"/>
          <w:rFonts w:ascii="Arial" w:hAnsi="Arial" w:cs="Arial"/>
        </w:rPr>
        <w:footnoteReference w:id="48"/>
      </w:r>
      <w:r w:rsidR="00DD14F2" w:rsidRPr="008308C0">
        <w:rPr>
          <w:rFonts w:ascii="Arial" w:hAnsi="Arial" w:cs="Arial"/>
        </w:rPr>
        <w:t xml:space="preserve"> </w:t>
      </w:r>
      <w:r w:rsidR="00DD14F2">
        <w:rPr>
          <w:rFonts w:ascii="Arial" w:hAnsi="Arial" w:cs="Arial"/>
        </w:rPr>
        <w:t xml:space="preserve">A break down in a franchising relationship can </w:t>
      </w:r>
      <w:r w:rsidR="00F75F49">
        <w:rPr>
          <w:rFonts w:ascii="Arial" w:hAnsi="Arial" w:cs="Arial"/>
        </w:rPr>
        <w:t xml:space="preserve">have </w:t>
      </w:r>
      <w:r w:rsidR="00DD14F2">
        <w:rPr>
          <w:rFonts w:ascii="Arial" w:hAnsi="Arial" w:cs="Arial"/>
        </w:rPr>
        <w:t xml:space="preserve">negative impacts not only </w:t>
      </w:r>
      <w:r w:rsidR="00DD14F2">
        <w:rPr>
          <w:rFonts w:ascii="Arial" w:hAnsi="Arial" w:cs="Arial"/>
        </w:rPr>
        <w:lastRenderedPageBreak/>
        <w:t>on the dealer, but also on staff, who may lose their jobs</w:t>
      </w:r>
      <w:r w:rsidR="00F75F49">
        <w:rPr>
          <w:rFonts w:ascii="Arial" w:hAnsi="Arial" w:cs="Arial"/>
        </w:rPr>
        <w:t>,</w:t>
      </w:r>
      <w:r w:rsidR="00DD14F2">
        <w:rPr>
          <w:rFonts w:ascii="Arial" w:hAnsi="Arial" w:cs="Arial"/>
        </w:rPr>
        <w:t xml:space="preserve"> and consumers, who may no longer be able to return to the dealership to have their car serviced.</w:t>
      </w:r>
    </w:p>
    <w:p w14:paraId="3F1D0A2B" w14:textId="59BD54E9" w:rsidR="00124902" w:rsidRDefault="00D02F56" w:rsidP="00CE1E18">
      <w:pPr>
        <w:spacing w:before="240" w:line="360" w:lineRule="auto"/>
        <w:jc w:val="both"/>
        <w:rPr>
          <w:rFonts w:ascii="Arial" w:hAnsi="Arial" w:cs="Arial"/>
        </w:rPr>
      </w:pPr>
      <w:r>
        <w:rPr>
          <w:rFonts w:ascii="Arial" w:hAnsi="Arial" w:cs="Arial"/>
        </w:rPr>
        <w:t xml:space="preserve">Consistent anecdotal evidence indicates there are three main problems </w:t>
      </w:r>
      <w:r w:rsidR="00AD3D06">
        <w:rPr>
          <w:rFonts w:ascii="Arial" w:hAnsi="Arial" w:cs="Arial"/>
        </w:rPr>
        <w:t>in the context of dealer agreements</w:t>
      </w:r>
      <w:r w:rsidR="00124902">
        <w:rPr>
          <w:rFonts w:ascii="Arial" w:hAnsi="Arial" w:cs="Arial"/>
        </w:rPr>
        <w:t xml:space="preserve"> – </w:t>
      </w:r>
      <w:r w:rsidR="002062E7">
        <w:rPr>
          <w:rFonts w:ascii="Arial" w:hAnsi="Arial" w:cs="Arial"/>
        </w:rPr>
        <w:t xml:space="preserve">negotiating </w:t>
      </w:r>
      <w:r w:rsidR="00124902">
        <w:rPr>
          <w:rFonts w:ascii="Arial" w:hAnsi="Arial" w:cs="Arial"/>
        </w:rPr>
        <w:t xml:space="preserve">end of term arrangements, </w:t>
      </w:r>
      <w:r w:rsidR="002062E7">
        <w:rPr>
          <w:rFonts w:ascii="Arial" w:hAnsi="Arial" w:cs="Arial"/>
        </w:rPr>
        <w:t xml:space="preserve">the capacity to recoup </w:t>
      </w:r>
      <w:r w:rsidR="00124902">
        <w:rPr>
          <w:rFonts w:ascii="Arial" w:hAnsi="Arial" w:cs="Arial"/>
        </w:rPr>
        <w:t>capital expenditure and dispute resolution.</w:t>
      </w:r>
      <w:r w:rsidR="008E08F9">
        <w:rPr>
          <w:rStyle w:val="FootnoteReference"/>
          <w:rFonts w:ascii="Arial" w:hAnsi="Arial" w:cs="Arial"/>
        </w:rPr>
        <w:footnoteReference w:id="49"/>
      </w:r>
      <w:r w:rsidR="00124902">
        <w:rPr>
          <w:rFonts w:ascii="Arial" w:hAnsi="Arial" w:cs="Arial"/>
        </w:rPr>
        <w:t xml:space="preserve"> An important factor that drives these problems in the new car retailing industry is the significant upfront capital investment involved in establis</w:t>
      </w:r>
      <w:r w:rsidR="00124902" w:rsidRPr="008308C0">
        <w:rPr>
          <w:rFonts w:ascii="Arial" w:hAnsi="Arial" w:cs="Arial"/>
        </w:rPr>
        <w:t>hing new dealership facilities</w:t>
      </w:r>
      <w:r w:rsidR="003D16EF">
        <w:rPr>
          <w:rFonts w:ascii="Arial" w:hAnsi="Arial" w:cs="Arial"/>
        </w:rPr>
        <w:t xml:space="preserve"> and the value of stock holdings</w:t>
      </w:r>
      <w:r w:rsidR="00FF04B6">
        <w:rPr>
          <w:rFonts w:ascii="Arial" w:hAnsi="Arial" w:cs="Arial"/>
        </w:rPr>
        <w:t>.</w:t>
      </w:r>
      <w:r w:rsidR="00124902" w:rsidRPr="008308C0">
        <w:rPr>
          <w:rFonts w:ascii="Arial" w:hAnsi="Arial" w:cs="Arial"/>
        </w:rPr>
        <w:t xml:space="preserve"> </w:t>
      </w:r>
    </w:p>
    <w:p w14:paraId="3F1D0A2C" w14:textId="77777777" w:rsidR="00AD3D06" w:rsidRPr="0040566B" w:rsidRDefault="00AD3D06" w:rsidP="0040566B">
      <w:pPr>
        <w:spacing w:before="240" w:line="360" w:lineRule="auto"/>
        <w:jc w:val="both"/>
        <w:rPr>
          <w:rFonts w:ascii="Arial" w:hAnsi="Arial" w:cs="Arial"/>
          <w:i/>
          <w:iCs/>
        </w:rPr>
      </w:pPr>
      <w:r w:rsidRPr="0040566B">
        <w:rPr>
          <w:rFonts w:ascii="Arial" w:hAnsi="Arial" w:cs="Arial"/>
          <w:i/>
          <w:iCs/>
        </w:rPr>
        <w:t>End of term arrangements</w:t>
      </w:r>
    </w:p>
    <w:p w14:paraId="3F1D0A2E" w14:textId="3E7507EE" w:rsidR="00D02F56" w:rsidRDefault="00647D36" w:rsidP="00CE1E18">
      <w:pPr>
        <w:spacing w:before="240" w:line="360" w:lineRule="auto"/>
        <w:jc w:val="both"/>
        <w:rPr>
          <w:rFonts w:ascii="Arial" w:hAnsi="Arial" w:cs="Arial"/>
        </w:rPr>
      </w:pPr>
      <w:r>
        <w:rPr>
          <w:rFonts w:ascii="Arial" w:hAnsi="Arial" w:cs="Arial"/>
        </w:rPr>
        <w:t xml:space="preserve">Under the Franchising Code, a franchisor must provide at least six months’ notice if </w:t>
      </w:r>
      <w:r w:rsidR="00F75F49">
        <w:rPr>
          <w:rFonts w:ascii="Arial" w:hAnsi="Arial" w:cs="Arial"/>
        </w:rPr>
        <w:t xml:space="preserve">it </w:t>
      </w:r>
      <w:r>
        <w:rPr>
          <w:rFonts w:ascii="Arial" w:hAnsi="Arial" w:cs="Arial"/>
        </w:rPr>
        <w:t>intend</w:t>
      </w:r>
      <w:r w:rsidR="00F75F49">
        <w:rPr>
          <w:rFonts w:ascii="Arial" w:hAnsi="Arial" w:cs="Arial"/>
        </w:rPr>
        <w:t>s</w:t>
      </w:r>
      <w:r>
        <w:rPr>
          <w:rFonts w:ascii="Arial" w:hAnsi="Arial" w:cs="Arial"/>
        </w:rPr>
        <w:t xml:space="preserve"> to not renew the agreement. </w:t>
      </w:r>
      <w:r w:rsidR="00124902">
        <w:rPr>
          <w:rFonts w:ascii="Arial" w:hAnsi="Arial" w:cs="Arial"/>
        </w:rPr>
        <w:t xml:space="preserve">Given the scale of investment involved in establishing a dealership, </w:t>
      </w:r>
      <w:r w:rsidR="000923CE">
        <w:rPr>
          <w:rFonts w:ascii="Arial" w:hAnsi="Arial" w:cs="Arial"/>
        </w:rPr>
        <w:t>12 months’ notice is suggested by dealer representatives</w:t>
      </w:r>
      <w:r w:rsidR="00F53B20">
        <w:rPr>
          <w:rFonts w:ascii="Arial" w:hAnsi="Arial" w:cs="Arial"/>
        </w:rPr>
        <w:t xml:space="preserve"> (and recommended in the PJC Report</w:t>
      </w:r>
      <w:r w:rsidR="00F53B20">
        <w:rPr>
          <w:rStyle w:val="FootnoteReference"/>
          <w:rFonts w:ascii="Arial" w:hAnsi="Arial" w:cs="Arial"/>
        </w:rPr>
        <w:footnoteReference w:id="50"/>
      </w:r>
      <w:r w:rsidR="00F53B20">
        <w:rPr>
          <w:rFonts w:ascii="Arial" w:hAnsi="Arial" w:cs="Arial"/>
        </w:rPr>
        <w:t>)</w:t>
      </w:r>
      <w:r w:rsidR="000923CE">
        <w:rPr>
          <w:rFonts w:ascii="Arial" w:hAnsi="Arial" w:cs="Arial"/>
        </w:rPr>
        <w:t xml:space="preserve"> as a more adequate period of notice</w:t>
      </w:r>
      <w:r w:rsidR="00616293">
        <w:rPr>
          <w:rStyle w:val="FootnoteReference"/>
          <w:rFonts w:ascii="Arial" w:hAnsi="Arial" w:cs="Arial"/>
        </w:rPr>
        <w:footnoteReference w:id="51"/>
      </w:r>
      <w:r w:rsidR="00124902">
        <w:rPr>
          <w:rFonts w:ascii="Arial" w:hAnsi="Arial" w:cs="Arial"/>
        </w:rPr>
        <w:t xml:space="preserve"> for a car dealer to manage the non-renewal of </w:t>
      </w:r>
      <w:r w:rsidR="00F75F49">
        <w:rPr>
          <w:rFonts w:ascii="Arial" w:hAnsi="Arial" w:cs="Arial"/>
        </w:rPr>
        <w:t xml:space="preserve">its </w:t>
      </w:r>
      <w:r w:rsidR="00124902">
        <w:rPr>
          <w:rFonts w:ascii="Arial" w:hAnsi="Arial" w:cs="Arial"/>
        </w:rPr>
        <w:t xml:space="preserve">agreement. For example, a </w:t>
      </w:r>
      <w:r w:rsidR="005C1B80">
        <w:rPr>
          <w:rFonts w:ascii="Arial" w:hAnsi="Arial" w:cs="Arial"/>
        </w:rPr>
        <w:t xml:space="preserve">longer notice period may assist dealers to </w:t>
      </w:r>
      <w:r w:rsidR="00124902">
        <w:rPr>
          <w:rFonts w:ascii="Arial" w:hAnsi="Arial" w:cs="Arial"/>
        </w:rPr>
        <w:t>repurpose facilities</w:t>
      </w:r>
      <w:r w:rsidR="00BE4D5E">
        <w:rPr>
          <w:rFonts w:ascii="Arial" w:hAnsi="Arial" w:cs="Arial"/>
        </w:rPr>
        <w:t>,</w:t>
      </w:r>
      <w:r w:rsidR="00124902">
        <w:rPr>
          <w:rFonts w:ascii="Arial" w:hAnsi="Arial" w:cs="Arial"/>
        </w:rPr>
        <w:t xml:space="preserve"> find an alternate franchise</w:t>
      </w:r>
      <w:r w:rsidR="00BE4D5E">
        <w:rPr>
          <w:rFonts w:ascii="Arial" w:hAnsi="Arial" w:cs="Arial"/>
        </w:rPr>
        <w:t>, or manage down its stock levels</w:t>
      </w:r>
      <w:r w:rsidR="00BE4D5E">
        <w:rPr>
          <w:rStyle w:val="FootnoteReference"/>
          <w:rFonts w:ascii="Arial" w:hAnsi="Arial" w:cs="Arial"/>
        </w:rPr>
        <w:footnoteReference w:id="52"/>
      </w:r>
      <w:r w:rsidR="00124902">
        <w:rPr>
          <w:rFonts w:ascii="Arial" w:hAnsi="Arial" w:cs="Arial"/>
        </w:rPr>
        <w:t>.</w:t>
      </w:r>
      <w:r w:rsidR="0086078C">
        <w:rPr>
          <w:rFonts w:ascii="Arial" w:hAnsi="Arial" w:cs="Arial"/>
        </w:rPr>
        <w:t xml:space="preserve"> </w:t>
      </w:r>
      <w:r w:rsidR="005C1B80">
        <w:rPr>
          <w:rFonts w:ascii="Arial" w:hAnsi="Arial" w:cs="Arial"/>
        </w:rPr>
        <w:t>S</w:t>
      </w:r>
      <w:r w:rsidR="00D02F56">
        <w:rPr>
          <w:rFonts w:ascii="Arial" w:hAnsi="Arial" w:cs="Arial"/>
        </w:rPr>
        <w:t xml:space="preserve">tatistics on the number of agreements </w:t>
      </w:r>
      <w:r w:rsidR="00060043">
        <w:rPr>
          <w:rFonts w:ascii="Arial" w:hAnsi="Arial" w:cs="Arial"/>
        </w:rPr>
        <w:t>no</w:t>
      </w:r>
      <w:r w:rsidR="00C832C1">
        <w:rPr>
          <w:rFonts w:ascii="Arial" w:hAnsi="Arial" w:cs="Arial"/>
        </w:rPr>
        <w:t xml:space="preserve">t being </w:t>
      </w:r>
      <w:r w:rsidR="00060043">
        <w:rPr>
          <w:rFonts w:ascii="Arial" w:hAnsi="Arial" w:cs="Arial"/>
        </w:rPr>
        <w:t xml:space="preserve">renewed </w:t>
      </w:r>
      <w:r w:rsidR="00DE7F8B">
        <w:rPr>
          <w:rFonts w:ascii="Arial" w:hAnsi="Arial" w:cs="Arial"/>
        </w:rPr>
        <w:t xml:space="preserve">have not been provided to </w:t>
      </w:r>
      <w:r w:rsidR="006E73BB">
        <w:rPr>
          <w:rFonts w:ascii="Arial" w:hAnsi="Arial" w:cs="Arial"/>
        </w:rPr>
        <w:t>DISER</w:t>
      </w:r>
      <w:r w:rsidR="00DE7F8B">
        <w:rPr>
          <w:rFonts w:ascii="Arial" w:hAnsi="Arial" w:cs="Arial"/>
        </w:rPr>
        <w:t xml:space="preserve">, however </w:t>
      </w:r>
      <w:r w:rsidR="00060043">
        <w:rPr>
          <w:rFonts w:ascii="Arial" w:hAnsi="Arial" w:cs="Arial"/>
        </w:rPr>
        <w:t xml:space="preserve"> media reporting of Holden’s decision to not renew up to 30 dealer agreements</w:t>
      </w:r>
      <w:r w:rsidR="00DF4065">
        <w:rPr>
          <w:rFonts w:ascii="Arial" w:hAnsi="Arial" w:cs="Arial"/>
        </w:rPr>
        <w:t xml:space="preserve"> in 2018 </w:t>
      </w:r>
      <w:r w:rsidR="00060043">
        <w:rPr>
          <w:rFonts w:ascii="Arial" w:hAnsi="Arial" w:cs="Arial"/>
        </w:rPr>
        <w:t xml:space="preserve"> </w:t>
      </w:r>
      <w:r w:rsidR="007025E9">
        <w:rPr>
          <w:rFonts w:ascii="Arial" w:hAnsi="Arial" w:cs="Arial"/>
        </w:rPr>
        <w:t xml:space="preserve">suggests that not renewing 30 agreements </w:t>
      </w:r>
      <w:r w:rsidR="0044611B">
        <w:rPr>
          <w:rFonts w:ascii="Arial" w:hAnsi="Arial" w:cs="Arial"/>
        </w:rPr>
        <w:t xml:space="preserve">is not a regular occurrence and tends to be precipitated by strategic reviews undertaken by car manufacturers. </w:t>
      </w:r>
      <w:r w:rsidR="00DF4065">
        <w:rPr>
          <w:rFonts w:ascii="Arial" w:hAnsi="Arial" w:cs="Arial"/>
        </w:rPr>
        <w:t xml:space="preserve">Further, we heard anecdotally during consultations that </w:t>
      </w:r>
      <w:r w:rsidR="00060043">
        <w:rPr>
          <w:rFonts w:ascii="Arial" w:hAnsi="Arial" w:cs="Arial"/>
        </w:rPr>
        <w:t>the number of dealer agr</w:t>
      </w:r>
      <w:r w:rsidR="00A42595">
        <w:rPr>
          <w:rFonts w:ascii="Arial" w:hAnsi="Arial" w:cs="Arial"/>
        </w:rPr>
        <w:t>eements not renewed annually is</w:t>
      </w:r>
      <w:r w:rsidR="00060043">
        <w:rPr>
          <w:rFonts w:ascii="Arial" w:hAnsi="Arial" w:cs="Arial"/>
        </w:rPr>
        <w:t xml:space="preserve"> low (noting there are over </w:t>
      </w:r>
      <w:r w:rsidR="0021542A">
        <w:rPr>
          <w:rFonts w:ascii="Arial" w:hAnsi="Arial" w:cs="Arial"/>
        </w:rPr>
        <w:t>1</w:t>
      </w:r>
      <w:r w:rsidR="00060043">
        <w:rPr>
          <w:rFonts w:ascii="Arial" w:hAnsi="Arial" w:cs="Arial"/>
        </w:rPr>
        <w:t>500 car dealers in Australia).</w:t>
      </w:r>
      <w:r w:rsidR="00060043">
        <w:rPr>
          <w:rStyle w:val="FootnoteReference"/>
          <w:rFonts w:ascii="Arial" w:hAnsi="Arial" w:cs="Arial"/>
        </w:rPr>
        <w:footnoteReference w:id="53"/>
      </w:r>
      <w:r w:rsidR="00060043">
        <w:rPr>
          <w:rFonts w:ascii="Arial" w:hAnsi="Arial" w:cs="Arial"/>
        </w:rPr>
        <w:t xml:space="preserve"> </w:t>
      </w:r>
      <w:r w:rsidR="006E73BB">
        <w:rPr>
          <w:rFonts w:ascii="Arial" w:hAnsi="Arial" w:cs="Arial"/>
        </w:rPr>
        <w:t>DISER</w:t>
      </w:r>
      <w:r w:rsidR="00414272">
        <w:rPr>
          <w:rFonts w:ascii="Arial" w:hAnsi="Arial" w:cs="Arial"/>
        </w:rPr>
        <w:t xml:space="preserve">’s consultation confirms this. </w:t>
      </w:r>
      <w:r w:rsidR="00BD1AAB">
        <w:rPr>
          <w:rFonts w:ascii="Arial" w:hAnsi="Arial" w:cs="Arial"/>
        </w:rPr>
        <w:t>Buy-sells</w:t>
      </w:r>
      <w:r w:rsidR="00D1045D">
        <w:rPr>
          <w:rFonts w:ascii="Arial" w:hAnsi="Arial" w:cs="Arial"/>
        </w:rPr>
        <w:t>,</w:t>
      </w:r>
      <w:r w:rsidR="00BD1AAB">
        <w:rPr>
          <w:rFonts w:ascii="Arial" w:hAnsi="Arial" w:cs="Arial"/>
        </w:rPr>
        <w:t xml:space="preserve"> where the dealer sells the business to another entity subject to approval by the manufacturer</w:t>
      </w:r>
      <w:r w:rsidR="00D1045D">
        <w:rPr>
          <w:rFonts w:ascii="Arial" w:hAnsi="Arial" w:cs="Arial"/>
        </w:rPr>
        <w:t>,</w:t>
      </w:r>
      <w:r w:rsidR="00BD1AAB">
        <w:rPr>
          <w:rFonts w:ascii="Arial" w:hAnsi="Arial" w:cs="Arial"/>
        </w:rPr>
        <w:t xml:space="preserve"> tend to be more common and vary depending on the brand</w:t>
      </w:r>
      <w:r w:rsidR="00564983">
        <w:rPr>
          <w:rFonts w:ascii="Arial" w:hAnsi="Arial" w:cs="Arial"/>
        </w:rPr>
        <w:t>,</w:t>
      </w:r>
      <w:r w:rsidR="00BD1AAB">
        <w:rPr>
          <w:rFonts w:ascii="Arial" w:hAnsi="Arial" w:cs="Arial"/>
        </w:rPr>
        <w:t xml:space="preserve"> with larger brands noting less than 10 buy-sells annually. </w:t>
      </w:r>
      <w:r w:rsidR="00060043">
        <w:rPr>
          <w:rFonts w:ascii="Arial" w:hAnsi="Arial" w:cs="Arial"/>
        </w:rPr>
        <w:t>However, whilst the number of agreement</w:t>
      </w:r>
      <w:r w:rsidR="00A42CF0">
        <w:rPr>
          <w:rFonts w:ascii="Arial" w:hAnsi="Arial" w:cs="Arial"/>
        </w:rPr>
        <w:t>s</w:t>
      </w:r>
      <w:r w:rsidR="00060043">
        <w:rPr>
          <w:rFonts w:ascii="Arial" w:hAnsi="Arial" w:cs="Arial"/>
        </w:rPr>
        <w:t xml:space="preserve"> not renewed may be low, the impact on those dealers whose agreements are not renewed </w:t>
      </w:r>
      <w:r w:rsidR="000604D2">
        <w:rPr>
          <w:rFonts w:ascii="Arial" w:hAnsi="Arial" w:cs="Arial"/>
        </w:rPr>
        <w:t>can be</w:t>
      </w:r>
      <w:r w:rsidR="00060043">
        <w:rPr>
          <w:rFonts w:ascii="Arial" w:hAnsi="Arial" w:cs="Arial"/>
        </w:rPr>
        <w:t xml:space="preserve"> </w:t>
      </w:r>
      <w:r w:rsidR="00291D32">
        <w:rPr>
          <w:rFonts w:ascii="Arial" w:hAnsi="Arial" w:cs="Arial"/>
        </w:rPr>
        <w:t>significant</w:t>
      </w:r>
      <w:r w:rsidR="00060043">
        <w:rPr>
          <w:rFonts w:ascii="Arial" w:hAnsi="Arial" w:cs="Arial"/>
        </w:rPr>
        <w:t>.</w:t>
      </w:r>
      <w:r w:rsidR="00F26B48">
        <w:rPr>
          <w:rFonts w:ascii="Arial" w:hAnsi="Arial" w:cs="Arial"/>
        </w:rPr>
        <w:t xml:space="preserve"> </w:t>
      </w:r>
      <w:r w:rsidR="0044611B">
        <w:rPr>
          <w:rFonts w:ascii="Arial" w:hAnsi="Arial" w:cs="Arial"/>
        </w:rPr>
        <w:t xml:space="preserve">There are also significant impacts within </w:t>
      </w:r>
      <w:r w:rsidR="00F26B48">
        <w:rPr>
          <w:rFonts w:ascii="Arial" w:hAnsi="Arial" w:cs="Arial"/>
        </w:rPr>
        <w:t xml:space="preserve">regional areas where dealerships contribute to employment and </w:t>
      </w:r>
      <w:r w:rsidR="0004416A">
        <w:rPr>
          <w:rFonts w:ascii="Arial" w:hAnsi="Arial" w:cs="Arial"/>
        </w:rPr>
        <w:t xml:space="preserve">ensure </w:t>
      </w:r>
      <w:r w:rsidR="00F26B48">
        <w:rPr>
          <w:rFonts w:ascii="Arial" w:hAnsi="Arial" w:cs="Arial"/>
        </w:rPr>
        <w:t>consumers</w:t>
      </w:r>
      <w:r w:rsidR="0004416A">
        <w:rPr>
          <w:rFonts w:ascii="Arial" w:hAnsi="Arial" w:cs="Arial"/>
        </w:rPr>
        <w:t>’</w:t>
      </w:r>
      <w:r w:rsidR="00F26B48">
        <w:rPr>
          <w:rFonts w:ascii="Arial" w:hAnsi="Arial" w:cs="Arial"/>
        </w:rPr>
        <w:t xml:space="preserve"> access </w:t>
      </w:r>
      <w:r w:rsidR="0004416A">
        <w:rPr>
          <w:rFonts w:ascii="Arial" w:hAnsi="Arial" w:cs="Arial"/>
        </w:rPr>
        <w:t>to local services</w:t>
      </w:r>
      <w:r w:rsidR="00F26B48">
        <w:rPr>
          <w:rFonts w:ascii="Arial" w:hAnsi="Arial" w:cs="Arial"/>
        </w:rPr>
        <w:t>.</w:t>
      </w:r>
    </w:p>
    <w:p w14:paraId="2C4FE145" w14:textId="59041E8F" w:rsidR="00D1045D" w:rsidRPr="00AC06BC" w:rsidRDefault="00D80D8D" w:rsidP="00CE1E18">
      <w:pPr>
        <w:spacing w:before="240" w:line="360" w:lineRule="auto"/>
        <w:jc w:val="both"/>
        <w:rPr>
          <w:rFonts w:ascii="Arial" w:hAnsi="Arial" w:cs="Arial"/>
        </w:rPr>
      </w:pPr>
      <w:r w:rsidRPr="00AC06BC">
        <w:rPr>
          <w:rFonts w:ascii="Arial" w:hAnsi="Arial" w:cs="Arial"/>
        </w:rPr>
        <w:lastRenderedPageBreak/>
        <w:t xml:space="preserve">Feedback </w:t>
      </w:r>
      <w:r w:rsidR="00D1045D" w:rsidRPr="00AC06BC">
        <w:rPr>
          <w:rFonts w:ascii="Arial" w:hAnsi="Arial" w:cs="Arial"/>
        </w:rPr>
        <w:t xml:space="preserve">provided during consultation </w:t>
      </w:r>
      <w:r w:rsidR="00CC7E88">
        <w:rPr>
          <w:rFonts w:ascii="Arial" w:hAnsi="Arial" w:cs="Arial"/>
        </w:rPr>
        <w:t>varied in relation to whether dealers have prior knowledge of the intent to not renew an agreement</w:t>
      </w:r>
      <w:r w:rsidR="0038515E">
        <w:rPr>
          <w:rFonts w:ascii="Arial" w:hAnsi="Arial" w:cs="Arial"/>
        </w:rPr>
        <w:t xml:space="preserve">. </w:t>
      </w:r>
      <w:r w:rsidR="00D1045D" w:rsidRPr="00AC06BC">
        <w:rPr>
          <w:rFonts w:ascii="Arial" w:hAnsi="Arial" w:cs="Arial"/>
        </w:rPr>
        <w:t xml:space="preserve">Manufacturers indicated that non-renewals take place over a long period and the issuance of a non-renewal notice </w:t>
      </w:r>
      <w:r w:rsidR="0038515E">
        <w:rPr>
          <w:rFonts w:ascii="Arial" w:hAnsi="Arial" w:cs="Arial"/>
        </w:rPr>
        <w:t>w</w:t>
      </w:r>
      <w:r w:rsidR="00D1045D" w:rsidRPr="00AC06BC">
        <w:rPr>
          <w:rFonts w:ascii="Arial" w:hAnsi="Arial" w:cs="Arial"/>
        </w:rPr>
        <w:t xml:space="preserve">ould not </w:t>
      </w:r>
      <w:r w:rsidR="0038515E">
        <w:rPr>
          <w:rFonts w:ascii="Arial" w:hAnsi="Arial" w:cs="Arial"/>
        </w:rPr>
        <w:t xml:space="preserve">be </w:t>
      </w:r>
      <w:r w:rsidR="00D1045D" w:rsidRPr="00AC06BC">
        <w:rPr>
          <w:rFonts w:ascii="Arial" w:hAnsi="Arial" w:cs="Arial"/>
        </w:rPr>
        <w:t xml:space="preserve">a surprise. On the other hand, dealers (including those who </w:t>
      </w:r>
      <w:r w:rsidR="0038515E">
        <w:rPr>
          <w:rFonts w:ascii="Arial" w:hAnsi="Arial" w:cs="Arial"/>
        </w:rPr>
        <w:t xml:space="preserve">have been </w:t>
      </w:r>
      <w:r w:rsidR="00D1045D" w:rsidRPr="00AC06BC">
        <w:rPr>
          <w:rFonts w:ascii="Arial" w:hAnsi="Arial" w:cs="Arial"/>
        </w:rPr>
        <w:t xml:space="preserve">issued non-renewal notices) consider that the issuance of a non-renewal notice typically </w:t>
      </w:r>
      <w:r w:rsidR="00966A2E">
        <w:rPr>
          <w:rFonts w:ascii="Arial" w:hAnsi="Arial" w:cs="Arial"/>
        </w:rPr>
        <w:t>is</w:t>
      </w:r>
      <w:r w:rsidR="00D1045D" w:rsidRPr="00AC06BC">
        <w:rPr>
          <w:rFonts w:ascii="Arial" w:hAnsi="Arial" w:cs="Arial"/>
        </w:rPr>
        <w:t xml:space="preserve"> a surprise to the dealer and is not an event that is planned for.</w:t>
      </w:r>
    </w:p>
    <w:p w14:paraId="3F1D0A2F" w14:textId="10D0AE19" w:rsidR="00DD1FDD" w:rsidRPr="00DD1FDD" w:rsidDel="000D41F9" w:rsidRDefault="00715F3F" w:rsidP="00CE1E18">
      <w:pPr>
        <w:spacing w:before="240" w:line="360" w:lineRule="auto"/>
        <w:jc w:val="both"/>
        <w:rPr>
          <w:rFonts w:ascii="Arial" w:hAnsi="Arial" w:cs="Arial"/>
        </w:rPr>
      </w:pPr>
      <w:r w:rsidRPr="00DD1FDD" w:rsidDel="000D41F9">
        <w:rPr>
          <w:rFonts w:ascii="Arial" w:hAnsi="Arial" w:cs="Arial"/>
        </w:rPr>
        <w:t xml:space="preserve">Unlike termination for breach, a manufacturer is not required by the Franchising Code to provide a dealer with reasons for issuing a non-renewal notice. </w:t>
      </w:r>
      <w:r w:rsidDel="000D41F9">
        <w:rPr>
          <w:rFonts w:ascii="Arial" w:hAnsi="Arial" w:cs="Arial"/>
        </w:rPr>
        <w:t xml:space="preserve">Non-renewal without cause is of particular concern for dealers who have undertaken capital expenditure towards the end of a franchise agreement. Non-renewal without being provided </w:t>
      </w:r>
      <w:r w:rsidR="00010A83" w:rsidDel="000D41F9">
        <w:rPr>
          <w:rFonts w:ascii="Arial" w:hAnsi="Arial" w:cs="Arial"/>
        </w:rPr>
        <w:t xml:space="preserve">a reason </w:t>
      </w:r>
      <w:r w:rsidRPr="00715F3F" w:rsidDel="000D41F9">
        <w:rPr>
          <w:rFonts w:ascii="Arial" w:hAnsi="Arial" w:cs="Arial"/>
        </w:rPr>
        <w:t xml:space="preserve">makes it </w:t>
      </w:r>
      <w:r w:rsidR="00010A83" w:rsidDel="000D41F9">
        <w:rPr>
          <w:rFonts w:ascii="Arial" w:hAnsi="Arial" w:cs="Arial"/>
        </w:rPr>
        <w:t xml:space="preserve">more </w:t>
      </w:r>
      <w:r w:rsidRPr="00715F3F" w:rsidDel="000D41F9">
        <w:rPr>
          <w:rFonts w:ascii="Arial" w:hAnsi="Arial" w:cs="Arial"/>
        </w:rPr>
        <w:t>difficult for a dealer to assess whether the manufacturer has exercised its right to issue a non-renewal notice in good faith, as required by the Franchising Code.</w:t>
      </w:r>
    </w:p>
    <w:p w14:paraId="3F1D0A30" w14:textId="77777777" w:rsidR="00AD3D06" w:rsidRPr="0040566B" w:rsidRDefault="00AD3D06" w:rsidP="0040566B">
      <w:pPr>
        <w:keepNext/>
        <w:spacing w:before="240" w:line="360" w:lineRule="auto"/>
        <w:jc w:val="both"/>
        <w:rPr>
          <w:rFonts w:ascii="Arial" w:hAnsi="Arial" w:cs="Arial"/>
          <w:i/>
          <w:iCs/>
        </w:rPr>
      </w:pPr>
      <w:r w:rsidRPr="0040566B">
        <w:rPr>
          <w:rFonts w:ascii="Arial" w:hAnsi="Arial" w:cs="Arial"/>
          <w:i/>
          <w:iCs/>
        </w:rPr>
        <w:t>Capital expenditure</w:t>
      </w:r>
    </w:p>
    <w:p w14:paraId="3F1D0A31" w14:textId="77777777" w:rsidR="00F9062E" w:rsidRDefault="00F9062E" w:rsidP="00FF4312">
      <w:pPr>
        <w:keepNext/>
        <w:spacing w:before="240" w:line="360" w:lineRule="auto"/>
        <w:jc w:val="both"/>
        <w:rPr>
          <w:rFonts w:ascii="Arial" w:hAnsi="Arial" w:cs="Arial"/>
        </w:rPr>
      </w:pPr>
      <w:r>
        <w:rPr>
          <w:rFonts w:ascii="Arial" w:hAnsi="Arial" w:cs="Arial"/>
        </w:rPr>
        <w:t xml:space="preserve">The Franchising Code places restrictions on when a franchisor can require a franchisee to undertake significant capital expenditure. </w:t>
      </w:r>
      <w:r w:rsidR="00C832C1">
        <w:rPr>
          <w:rFonts w:ascii="Arial" w:hAnsi="Arial" w:cs="Arial"/>
        </w:rPr>
        <w:t xml:space="preserve">Capital expenditure </w:t>
      </w:r>
      <w:r>
        <w:rPr>
          <w:rFonts w:ascii="Arial" w:hAnsi="Arial" w:cs="Arial"/>
        </w:rPr>
        <w:t>can only be required of franchisees if:</w:t>
      </w:r>
    </w:p>
    <w:p w14:paraId="3F1D0A32" w14:textId="05B5D33D" w:rsidR="00F9062E" w:rsidRDefault="00F9062E" w:rsidP="006647E7">
      <w:pPr>
        <w:pStyle w:val="ListParagraph"/>
        <w:numPr>
          <w:ilvl w:val="0"/>
          <w:numId w:val="8"/>
        </w:numPr>
        <w:spacing w:before="240" w:line="360" w:lineRule="auto"/>
        <w:jc w:val="both"/>
        <w:rPr>
          <w:rFonts w:ascii="Arial" w:hAnsi="Arial" w:cs="Arial"/>
        </w:rPr>
      </w:pPr>
      <w:r w:rsidRPr="00F9062E">
        <w:rPr>
          <w:rFonts w:ascii="Arial" w:hAnsi="Arial" w:cs="Arial"/>
        </w:rPr>
        <w:t>it is disclosed through the regular disclosure process</w:t>
      </w:r>
      <w:r w:rsidR="0038515E">
        <w:rPr>
          <w:rFonts w:ascii="Arial" w:hAnsi="Arial" w:cs="Arial"/>
        </w:rPr>
        <w:t xml:space="preserve"> prior to agreement</w:t>
      </w:r>
      <w:r w:rsidRPr="00F9062E">
        <w:rPr>
          <w:rFonts w:ascii="Arial" w:hAnsi="Arial" w:cs="Arial"/>
        </w:rPr>
        <w:t xml:space="preserve">; </w:t>
      </w:r>
    </w:p>
    <w:p w14:paraId="3F1D0A33" w14:textId="77777777" w:rsidR="00F9062E" w:rsidRDefault="00F9062E" w:rsidP="006647E7">
      <w:pPr>
        <w:pStyle w:val="ListParagraph"/>
        <w:numPr>
          <w:ilvl w:val="0"/>
          <w:numId w:val="8"/>
        </w:numPr>
        <w:spacing w:before="240" w:line="360" w:lineRule="auto"/>
        <w:jc w:val="both"/>
        <w:rPr>
          <w:rFonts w:ascii="Arial" w:hAnsi="Arial" w:cs="Arial"/>
        </w:rPr>
      </w:pPr>
      <w:r w:rsidRPr="00F9062E">
        <w:rPr>
          <w:rFonts w:ascii="Arial" w:hAnsi="Arial" w:cs="Arial"/>
        </w:rPr>
        <w:t>if it is agreed to, or approved by, the majority of franchisees;</w:t>
      </w:r>
    </w:p>
    <w:p w14:paraId="72B8AB85" w14:textId="77777777" w:rsidR="00274EA6" w:rsidRDefault="00F9062E" w:rsidP="006647E7">
      <w:pPr>
        <w:pStyle w:val="ListParagraph"/>
        <w:numPr>
          <w:ilvl w:val="0"/>
          <w:numId w:val="8"/>
        </w:numPr>
        <w:spacing w:before="240" w:line="360" w:lineRule="auto"/>
        <w:jc w:val="both"/>
        <w:rPr>
          <w:rFonts w:ascii="Arial" w:hAnsi="Arial" w:cs="Arial"/>
        </w:rPr>
      </w:pPr>
      <w:r w:rsidRPr="00F9062E">
        <w:rPr>
          <w:rFonts w:ascii="Arial" w:hAnsi="Arial" w:cs="Arial"/>
        </w:rPr>
        <w:t xml:space="preserve">the expenditure is required to comply with legal obligations; </w:t>
      </w:r>
    </w:p>
    <w:p w14:paraId="3F1D0A34" w14:textId="56F091B5" w:rsidR="00F9062E" w:rsidRDefault="00EE0D32" w:rsidP="006647E7">
      <w:pPr>
        <w:pStyle w:val="ListParagraph"/>
        <w:numPr>
          <w:ilvl w:val="0"/>
          <w:numId w:val="8"/>
        </w:numPr>
        <w:spacing w:before="240" w:line="360" w:lineRule="auto"/>
        <w:jc w:val="both"/>
        <w:rPr>
          <w:rFonts w:ascii="Arial" w:hAnsi="Arial" w:cs="Arial"/>
        </w:rPr>
      </w:pPr>
      <w:r>
        <w:rPr>
          <w:rFonts w:ascii="Arial" w:hAnsi="Arial" w:cs="Arial"/>
        </w:rPr>
        <w:t>i</w:t>
      </w:r>
      <w:r w:rsidR="00274EA6">
        <w:rPr>
          <w:rFonts w:ascii="Arial" w:hAnsi="Arial" w:cs="Arial"/>
        </w:rPr>
        <w:t xml:space="preserve">t is agreed to by the franchisee; </w:t>
      </w:r>
      <w:r w:rsidR="00F9062E" w:rsidRPr="00F9062E">
        <w:rPr>
          <w:rFonts w:ascii="Arial" w:hAnsi="Arial" w:cs="Arial"/>
        </w:rPr>
        <w:t>or</w:t>
      </w:r>
    </w:p>
    <w:p w14:paraId="3F1D0A35" w14:textId="77777777" w:rsidR="00F9062E" w:rsidRDefault="00F9062E" w:rsidP="006647E7">
      <w:pPr>
        <w:pStyle w:val="ListParagraph"/>
        <w:numPr>
          <w:ilvl w:val="0"/>
          <w:numId w:val="8"/>
        </w:numPr>
        <w:spacing w:before="240" w:line="360" w:lineRule="auto"/>
        <w:jc w:val="both"/>
        <w:rPr>
          <w:rFonts w:ascii="Arial" w:hAnsi="Arial" w:cs="Arial"/>
        </w:rPr>
      </w:pPr>
      <w:r w:rsidRPr="00F9062E">
        <w:rPr>
          <w:rFonts w:ascii="Arial" w:hAnsi="Arial" w:cs="Arial"/>
        </w:rPr>
        <w:t>the franchisor considers the expenditure necessary and can be justified by a rationale for the investment, an explanation of the amount of the expenditure, the anticipated outcomes and benefits and the expected risks for making the investment.</w:t>
      </w:r>
      <w:r w:rsidR="00AE3EA4" w:rsidRPr="00F9062E">
        <w:rPr>
          <w:rFonts w:ascii="Arial" w:hAnsi="Arial" w:cs="Arial"/>
        </w:rPr>
        <w:t xml:space="preserve"> </w:t>
      </w:r>
    </w:p>
    <w:p w14:paraId="6E77CD02" w14:textId="5C17F4AC" w:rsidR="00935D6D" w:rsidDel="00935D6D" w:rsidRDefault="005701E2" w:rsidP="00935D6D">
      <w:pPr>
        <w:spacing w:before="240" w:line="360" w:lineRule="auto"/>
        <w:jc w:val="both"/>
        <w:rPr>
          <w:rFonts w:ascii="Arial" w:hAnsi="Arial" w:cs="Arial"/>
        </w:rPr>
      </w:pPr>
      <w:r>
        <w:rPr>
          <w:rFonts w:ascii="Arial" w:hAnsi="Arial" w:cs="Arial"/>
        </w:rPr>
        <w:t>Dealers’ concerns with disclosure of capital expenditure is twofold</w:t>
      </w:r>
      <w:r w:rsidR="00DE1753">
        <w:rPr>
          <w:rFonts w:ascii="Arial" w:hAnsi="Arial" w:cs="Arial"/>
        </w:rPr>
        <w:t>. F</w:t>
      </w:r>
      <w:r>
        <w:rPr>
          <w:rFonts w:ascii="Arial" w:hAnsi="Arial" w:cs="Arial"/>
        </w:rPr>
        <w:t>irstly,</w:t>
      </w:r>
      <w:r w:rsidR="00A53764">
        <w:rPr>
          <w:rFonts w:ascii="Arial" w:hAnsi="Arial" w:cs="Arial"/>
        </w:rPr>
        <w:t xml:space="preserve"> </w:t>
      </w:r>
      <w:r w:rsidR="00560873">
        <w:rPr>
          <w:rFonts w:ascii="Arial" w:hAnsi="Arial" w:cs="Arial"/>
        </w:rPr>
        <w:t>as noted by the ACCC in its submission to the PJC</w:t>
      </w:r>
      <w:r w:rsidR="00E80075">
        <w:rPr>
          <w:rFonts w:ascii="Arial" w:hAnsi="Arial" w:cs="Arial"/>
        </w:rPr>
        <w:t xml:space="preserve"> Inquiry</w:t>
      </w:r>
      <w:r w:rsidR="005A71B7">
        <w:rPr>
          <w:rStyle w:val="FootnoteReference"/>
          <w:rFonts w:ascii="Arial" w:hAnsi="Arial" w:cs="Arial"/>
        </w:rPr>
        <w:footnoteReference w:id="54"/>
      </w:r>
      <w:r w:rsidR="00E80075">
        <w:rPr>
          <w:rFonts w:ascii="Arial" w:hAnsi="Arial" w:cs="Arial"/>
        </w:rPr>
        <w:t>,</w:t>
      </w:r>
      <w:r w:rsidR="00560873">
        <w:rPr>
          <w:rFonts w:ascii="Arial" w:hAnsi="Arial" w:cs="Arial"/>
        </w:rPr>
        <w:t xml:space="preserve"> </w:t>
      </w:r>
      <w:r w:rsidR="005A71B7">
        <w:rPr>
          <w:rFonts w:ascii="Arial" w:hAnsi="Arial" w:cs="Arial"/>
        </w:rPr>
        <w:t>franchisors</w:t>
      </w:r>
      <w:r w:rsidR="00A53764">
        <w:rPr>
          <w:rFonts w:ascii="Arial" w:hAnsi="Arial" w:cs="Arial"/>
        </w:rPr>
        <w:t xml:space="preserve"> typically disclose very broad ranges of estimated significant capital expenditure</w:t>
      </w:r>
      <w:r w:rsidR="007041DD">
        <w:rPr>
          <w:rFonts w:ascii="Arial" w:hAnsi="Arial" w:cs="Arial"/>
        </w:rPr>
        <w:t>. This is problematic because</w:t>
      </w:r>
      <w:r w:rsidR="00A53764">
        <w:rPr>
          <w:rFonts w:ascii="Arial" w:hAnsi="Arial" w:cs="Arial"/>
        </w:rPr>
        <w:t xml:space="preserve"> the costs </w:t>
      </w:r>
      <w:r w:rsidR="00935D6D">
        <w:rPr>
          <w:rFonts w:ascii="Arial" w:hAnsi="Arial" w:cs="Arial"/>
        </w:rPr>
        <w:t>of upgrading a facility in a metro</w:t>
      </w:r>
      <w:r w:rsidR="007041DD">
        <w:rPr>
          <w:rFonts w:ascii="Arial" w:hAnsi="Arial" w:cs="Arial"/>
        </w:rPr>
        <w:t>politan area compared with a</w:t>
      </w:r>
      <w:r w:rsidR="00935D6D">
        <w:rPr>
          <w:rFonts w:ascii="Arial" w:hAnsi="Arial" w:cs="Arial"/>
        </w:rPr>
        <w:t xml:space="preserve"> rural area can vary considerabl</w:t>
      </w:r>
      <w:r w:rsidR="007041DD">
        <w:rPr>
          <w:rFonts w:ascii="Arial" w:hAnsi="Arial" w:cs="Arial"/>
        </w:rPr>
        <w:t>y</w:t>
      </w:r>
      <w:r w:rsidR="00935D6D">
        <w:rPr>
          <w:rFonts w:ascii="Arial" w:hAnsi="Arial" w:cs="Arial"/>
        </w:rPr>
        <w:t>.</w:t>
      </w:r>
      <w:r w:rsidR="00935D6D" w:rsidDel="00935D6D">
        <w:rPr>
          <w:rFonts w:ascii="Arial" w:hAnsi="Arial" w:cs="Arial"/>
        </w:rPr>
        <w:t xml:space="preserve"> </w:t>
      </w:r>
    </w:p>
    <w:p w14:paraId="3F1D0A36" w14:textId="23F0BD23" w:rsidR="00197E3B" w:rsidRDefault="00197E3B" w:rsidP="00197E3B">
      <w:pPr>
        <w:spacing w:before="240" w:line="360" w:lineRule="auto"/>
        <w:jc w:val="both"/>
        <w:rPr>
          <w:rFonts w:ascii="Arial" w:hAnsi="Arial" w:cs="Arial"/>
        </w:rPr>
      </w:pPr>
      <w:r>
        <w:rPr>
          <w:rFonts w:ascii="Arial" w:hAnsi="Arial" w:cs="Arial"/>
        </w:rPr>
        <w:t>Secondly, as noted in the AADA’s submission</w:t>
      </w:r>
      <w:r w:rsidR="00F6645F">
        <w:rPr>
          <w:rFonts w:ascii="Arial" w:hAnsi="Arial" w:cs="Arial"/>
        </w:rPr>
        <w:t>s</w:t>
      </w:r>
      <w:r>
        <w:rPr>
          <w:rFonts w:ascii="Arial" w:hAnsi="Arial" w:cs="Arial"/>
        </w:rPr>
        <w:t xml:space="preserve">, </w:t>
      </w:r>
      <w:r w:rsidR="00177ADC">
        <w:rPr>
          <w:rFonts w:ascii="Arial" w:hAnsi="Arial" w:cs="Arial"/>
        </w:rPr>
        <w:t>dealers have a propensity to accede to car manufacturers’ request to undertake capital expenditure even if there is doubt as to whether that outlay can be recouped during the term of a dealership a</w:t>
      </w:r>
      <w:r w:rsidR="004B7749">
        <w:rPr>
          <w:rFonts w:ascii="Arial" w:hAnsi="Arial" w:cs="Arial"/>
        </w:rPr>
        <w:t>greement because of</w:t>
      </w:r>
      <w:r w:rsidR="00601D7A">
        <w:rPr>
          <w:rFonts w:ascii="Arial" w:hAnsi="Arial" w:cs="Arial"/>
        </w:rPr>
        <w:t xml:space="preserve"> an exp</w:t>
      </w:r>
      <w:r w:rsidR="004B7749">
        <w:rPr>
          <w:rFonts w:ascii="Arial" w:hAnsi="Arial" w:cs="Arial"/>
        </w:rPr>
        <w:t xml:space="preserve">ectation that the dealer may be offered another term. </w:t>
      </w:r>
      <w:r w:rsidR="00601D7A">
        <w:rPr>
          <w:rFonts w:ascii="Arial" w:hAnsi="Arial" w:cs="Arial"/>
        </w:rPr>
        <w:t xml:space="preserve">This expectation may also arise given </w:t>
      </w:r>
      <w:r w:rsidR="00601D7A">
        <w:rPr>
          <w:rFonts w:ascii="Arial" w:hAnsi="Arial" w:cs="Arial"/>
        </w:rPr>
        <w:lastRenderedPageBreak/>
        <w:t>the relational and ongoing nature of the franchising relationship</w:t>
      </w:r>
      <w:r w:rsidR="00D17FF8">
        <w:rPr>
          <w:rFonts w:ascii="Arial" w:hAnsi="Arial" w:cs="Arial"/>
        </w:rPr>
        <w:t>.</w:t>
      </w:r>
      <w:r w:rsidR="00601D7A">
        <w:rPr>
          <w:rFonts w:ascii="Arial" w:hAnsi="Arial" w:cs="Arial"/>
        </w:rPr>
        <w:t xml:space="preserve"> </w:t>
      </w:r>
      <w:r w:rsidR="004B7749">
        <w:rPr>
          <w:rFonts w:ascii="Arial" w:hAnsi="Arial" w:cs="Arial"/>
        </w:rPr>
        <w:t>The ACCC in its submission to the Wein Review outlined a scenario where a franchisee may undertake an expensive shop fit-out towards the end of a dealership agreement in the expectation of renewal</w:t>
      </w:r>
      <w:r w:rsidR="00601D7A">
        <w:rPr>
          <w:rFonts w:ascii="Arial" w:hAnsi="Arial" w:cs="Arial"/>
        </w:rPr>
        <w:t xml:space="preserve"> but the agreement is then not renewed</w:t>
      </w:r>
      <w:r w:rsidR="004B7749">
        <w:rPr>
          <w:rFonts w:ascii="Arial" w:hAnsi="Arial" w:cs="Arial"/>
        </w:rPr>
        <w:t>.</w:t>
      </w:r>
      <w:r w:rsidR="00D17341">
        <w:rPr>
          <w:rStyle w:val="FootnoteReference"/>
          <w:rFonts w:ascii="Arial" w:hAnsi="Arial" w:cs="Arial"/>
        </w:rPr>
        <w:footnoteReference w:id="55"/>
      </w:r>
      <w:r w:rsidR="004B7749">
        <w:rPr>
          <w:rFonts w:ascii="Arial" w:hAnsi="Arial" w:cs="Arial"/>
        </w:rPr>
        <w:t xml:space="preserve"> While there </w:t>
      </w:r>
      <w:r w:rsidR="00601D7A">
        <w:rPr>
          <w:rFonts w:ascii="Arial" w:hAnsi="Arial" w:cs="Arial"/>
        </w:rPr>
        <w:t xml:space="preserve">are </w:t>
      </w:r>
      <w:r w:rsidR="004B7749">
        <w:rPr>
          <w:rFonts w:ascii="Arial" w:hAnsi="Arial" w:cs="Arial"/>
        </w:rPr>
        <w:t>existing</w:t>
      </w:r>
      <w:r w:rsidR="00601D7A">
        <w:rPr>
          <w:rFonts w:ascii="Arial" w:hAnsi="Arial" w:cs="Arial"/>
        </w:rPr>
        <w:t xml:space="preserve"> provisions within the CCA to which the franchisee may have recourse, such as unconscionable conduct, pursuing a remedy through dispute resolution or litigation </w:t>
      </w:r>
      <w:r w:rsidR="00CC6186">
        <w:rPr>
          <w:rFonts w:ascii="Arial" w:hAnsi="Arial" w:cs="Arial"/>
        </w:rPr>
        <w:t>can be</w:t>
      </w:r>
      <w:r w:rsidR="008C4A31">
        <w:rPr>
          <w:rFonts w:ascii="Arial" w:hAnsi="Arial" w:cs="Arial"/>
        </w:rPr>
        <w:t xml:space="preserve"> </w:t>
      </w:r>
      <w:r w:rsidR="00601D7A">
        <w:rPr>
          <w:rFonts w:ascii="Arial" w:hAnsi="Arial" w:cs="Arial"/>
        </w:rPr>
        <w:t xml:space="preserve">expensive. </w:t>
      </w:r>
    </w:p>
    <w:p w14:paraId="3F1D0A37" w14:textId="77777777" w:rsidR="00AD3D06" w:rsidRPr="0040566B" w:rsidRDefault="00AD3D06" w:rsidP="0040566B">
      <w:pPr>
        <w:keepNext/>
        <w:spacing w:before="240" w:line="360" w:lineRule="auto"/>
        <w:jc w:val="both"/>
        <w:rPr>
          <w:rFonts w:ascii="Arial" w:hAnsi="Arial" w:cs="Arial"/>
          <w:i/>
          <w:iCs/>
        </w:rPr>
      </w:pPr>
      <w:r w:rsidRPr="0040566B">
        <w:rPr>
          <w:rFonts w:ascii="Arial" w:hAnsi="Arial" w:cs="Arial"/>
          <w:i/>
          <w:iCs/>
        </w:rPr>
        <w:t>Dispute resolution</w:t>
      </w:r>
    </w:p>
    <w:p w14:paraId="42F10F4D" w14:textId="77777777" w:rsidR="0060394B" w:rsidRDefault="0048709C" w:rsidP="00CE1E18">
      <w:pPr>
        <w:spacing w:before="240" w:line="360" w:lineRule="auto"/>
        <w:jc w:val="both"/>
        <w:rPr>
          <w:rFonts w:ascii="Arial" w:hAnsi="Arial" w:cs="Arial"/>
        </w:rPr>
      </w:pPr>
      <w:r w:rsidRPr="0048709C">
        <w:rPr>
          <w:rFonts w:ascii="Arial" w:hAnsi="Arial" w:cs="Arial"/>
        </w:rPr>
        <w:t xml:space="preserve">The Franchising Code enables either party to an agreement to initiate mediation, which is </w:t>
      </w:r>
      <w:r w:rsidR="00434ACB">
        <w:rPr>
          <w:rFonts w:ascii="Arial" w:hAnsi="Arial" w:cs="Arial"/>
        </w:rPr>
        <w:t xml:space="preserve">an </w:t>
      </w:r>
      <w:r w:rsidRPr="0048709C">
        <w:rPr>
          <w:rFonts w:ascii="Arial" w:hAnsi="Arial" w:cs="Arial"/>
        </w:rPr>
        <w:t xml:space="preserve">informal dispute resolution mechanism. While this mechanism is available, some dealers are hesitant to utilise these provisions for fear of commercial retaliation by car manufacturers. </w:t>
      </w:r>
      <w:r>
        <w:rPr>
          <w:rFonts w:ascii="Arial" w:hAnsi="Arial" w:cs="Arial"/>
        </w:rPr>
        <w:t xml:space="preserve">For example, </w:t>
      </w:r>
      <w:r w:rsidR="004A6C2B">
        <w:rPr>
          <w:rFonts w:ascii="Arial" w:hAnsi="Arial" w:cs="Arial"/>
        </w:rPr>
        <w:t>t</w:t>
      </w:r>
      <w:r w:rsidRPr="0048709C">
        <w:rPr>
          <w:rFonts w:ascii="Arial" w:hAnsi="Arial" w:cs="Arial"/>
        </w:rPr>
        <w:t>he Office of the NSW Small Business Commissioner (OSBC)</w:t>
      </w:r>
      <w:r w:rsidRPr="0048709C">
        <w:rPr>
          <w:rStyle w:val="FootnoteReference"/>
          <w:rFonts w:ascii="Arial" w:hAnsi="Arial" w:cs="Arial"/>
        </w:rPr>
        <w:footnoteReference w:id="56"/>
      </w:r>
      <w:r w:rsidRPr="0048709C">
        <w:rPr>
          <w:rFonts w:ascii="Arial" w:hAnsi="Arial" w:cs="Arial"/>
        </w:rPr>
        <w:t xml:space="preserve">, has stated that </w:t>
      </w:r>
    </w:p>
    <w:p w14:paraId="65CC64FB" w14:textId="15504198" w:rsidR="0060394B" w:rsidRPr="006F27E8" w:rsidRDefault="0048709C" w:rsidP="006F27E8">
      <w:pPr>
        <w:spacing w:before="240" w:line="360" w:lineRule="auto"/>
        <w:ind w:left="720"/>
        <w:jc w:val="both"/>
        <w:rPr>
          <w:rFonts w:ascii="Arial" w:hAnsi="Arial" w:cs="Arial"/>
          <w:sz w:val="20"/>
        </w:rPr>
      </w:pPr>
      <w:r w:rsidRPr="006F27E8">
        <w:rPr>
          <w:rFonts w:ascii="Arial" w:hAnsi="Arial" w:cs="Arial"/>
          <w:sz w:val="20"/>
        </w:rPr>
        <w:t xml:space="preserve">‘[f]ear of retaliatory action has been cited…by many dealers as a deterrent in proceeding to formalise their complaints and seek remedies for unfair contracts and unjust conduct in relation to manufacturers’ supply contracts under the’ </w:t>
      </w:r>
      <w:r w:rsidRPr="006F27E8">
        <w:rPr>
          <w:rFonts w:ascii="Arial" w:hAnsi="Arial" w:cs="Arial"/>
          <w:i/>
          <w:iCs/>
          <w:sz w:val="20"/>
        </w:rPr>
        <w:t xml:space="preserve">Motor Dealers and Repairers Act 2013 </w:t>
      </w:r>
      <w:r w:rsidRPr="006F27E8">
        <w:rPr>
          <w:rFonts w:ascii="Arial" w:hAnsi="Arial" w:cs="Arial"/>
          <w:sz w:val="20"/>
        </w:rPr>
        <w:t xml:space="preserve">(NSW) (MDRA). </w:t>
      </w:r>
    </w:p>
    <w:p w14:paraId="3F1D0A38" w14:textId="35CE5FF1" w:rsidR="0048709C" w:rsidRDefault="0048709C" w:rsidP="00CE1E18">
      <w:pPr>
        <w:spacing w:before="240" w:line="360" w:lineRule="auto"/>
        <w:jc w:val="both"/>
        <w:rPr>
          <w:rFonts w:ascii="Arial" w:hAnsi="Arial" w:cs="Arial"/>
        </w:rPr>
      </w:pPr>
      <w:r w:rsidRPr="0048709C">
        <w:rPr>
          <w:rFonts w:ascii="Arial" w:hAnsi="Arial" w:cs="Arial"/>
        </w:rPr>
        <w:t xml:space="preserve">This fear would similarly apply to </w:t>
      </w:r>
      <w:r w:rsidR="0060394B">
        <w:rPr>
          <w:rFonts w:ascii="Arial" w:hAnsi="Arial" w:cs="Arial"/>
        </w:rPr>
        <w:t xml:space="preserve">dispute resolution processes </w:t>
      </w:r>
      <w:r w:rsidRPr="0048709C">
        <w:rPr>
          <w:rFonts w:ascii="Arial" w:hAnsi="Arial" w:cs="Arial"/>
        </w:rPr>
        <w:t>under the Franchising Code.</w:t>
      </w:r>
    </w:p>
    <w:p w14:paraId="3F1D0A39" w14:textId="2F7634F9" w:rsidR="00E147A1" w:rsidRDefault="007041DD" w:rsidP="00560873">
      <w:pPr>
        <w:spacing w:before="240" w:line="360" w:lineRule="auto"/>
        <w:jc w:val="both"/>
        <w:rPr>
          <w:rFonts w:ascii="Arial" w:hAnsi="Arial" w:cs="Arial"/>
        </w:rPr>
      </w:pPr>
      <w:r>
        <w:rPr>
          <w:rFonts w:ascii="Arial" w:hAnsi="Arial" w:cs="Arial"/>
        </w:rPr>
        <w:t>At present, multi</w:t>
      </w:r>
      <w:r w:rsidR="00A41088">
        <w:rPr>
          <w:rFonts w:ascii="Arial" w:hAnsi="Arial" w:cs="Arial"/>
        </w:rPr>
        <w:t>-</w:t>
      </w:r>
      <w:r>
        <w:rPr>
          <w:rFonts w:ascii="Arial" w:hAnsi="Arial" w:cs="Arial"/>
        </w:rPr>
        <w:t xml:space="preserve">franchisee </w:t>
      </w:r>
      <w:r w:rsidRPr="0007527F">
        <w:rPr>
          <w:rFonts w:ascii="Arial" w:hAnsi="Arial" w:cs="Arial"/>
        </w:rPr>
        <w:t>mediation is possible under the Franchising Code with the agreement of the franchisor – unless this woul</w:t>
      </w:r>
      <w:r>
        <w:rPr>
          <w:rFonts w:ascii="Arial" w:hAnsi="Arial" w:cs="Arial"/>
        </w:rPr>
        <w:t xml:space="preserve">d be seen to be anti-competitive. However, the </w:t>
      </w:r>
      <w:r w:rsidR="006C2654">
        <w:rPr>
          <w:rFonts w:ascii="Arial" w:hAnsi="Arial" w:cs="Arial"/>
        </w:rPr>
        <w:t>Franchising Code does not expressly state that multi</w:t>
      </w:r>
      <w:r w:rsidR="004A6C2B">
        <w:rPr>
          <w:rFonts w:ascii="Arial" w:hAnsi="Arial" w:cs="Arial"/>
        </w:rPr>
        <w:t>-</w:t>
      </w:r>
      <w:r w:rsidR="006C2654">
        <w:rPr>
          <w:rFonts w:ascii="Arial" w:hAnsi="Arial" w:cs="Arial"/>
        </w:rPr>
        <w:t>franchisee mediation</w:t>
      </w:r>
      <w:r w:rsidR="009E5FFA">
        <w:rPr>
          <w:rFonts w:ascii="Arial" w:hAnsi="Arial" w:cs="Arial"/>
        </w:rPr>
        <w:t xml:space="preserve"> can be undertaken</w:t>
      </w:r>
      <w:r w:rsidR="006C2654">
        <w:rPr>
          <w:rFonts w:ascii="Arial" w:hAnsi="Arial" w:cs="Arial"/>
        </w:rPr>
        <w:t xml:space="preserve"> when disputes of a similar nature arise within a franchise system. </w:t>
      </w:r>
      <w:r w:rsidR="0007527F">
        <w:rPr>
          <w:rFonts w:ascii="Arial" w:hAnsi="Arial" w:cs="Arial"/>
        </w:rPr>
        <w:t xml:space="preserve">A lack of an express statement within the Franchising Code allowing multi-franchisee mediation </w:t>
      </w:r>
      <w:r w:rsidR="006C2654">
        <w:rPr>
          <w:rFonts w:ascii="Arial" w:hAnsi="Arial" w:cs="Arial"/>
        </w:rPr>
        <w:t xml:space="preserve">could be limiting car </w:t>
      </w:r>
      <w:r w:rsidR="00D02F56">
        <w:rPr>
          <w:rFonts w:ascii="Arial" w:hAnsi="Arial" w:cs="Arial"/>
        </w:rPr>
        <w:t>dealers’</w:t>
      </w:r>
      <w:r w:rsidR="006C2654">
        <w:rPr>
          <w:rFonts w:ascii="Arial" w:hAnsi="Arial" w:cs="Arial"/>
        </w:rPr>
        <w:t xml:space="preserve"> ability to collectively initiate mediation with car manufacturers</w:t>
      </w:r>
      <w:r w:rsidR="00D91DD2">
        <w:rPr>
          <w:rFonts w:ascii="Arial" w:hAnsi="Arial" w:cs="Arial"/>
        </w:rPr>
        <w:t>. Multi-franchisee mediation may</w:t>
      </w:r>
      <w:r w:rsidR="006C2654">
        <w:rPr>
          <w:rFonts w:ascii="Arial" w:hAnsi="Arial" w:cs="Arial"/>
        </w:rPr>
        <w:t xml:space="preserve"> limit the impacts of the power imbalance between dealers and manufacturers </w:t>
      </w:r>
      <w:r w:rsidR="00D91DD2">
        <w:rPr>
          <w:rFonts w:ascii="Arial" w:hAnsi="Arial" w:cs="Arial"/>
        </w:rPr>
        <w:t>by allowing dealers to join their resources</w:t>
      </w:r>
      <w:r w:rsidR="004A6B56">
        <w:rPr>
          <w:rFonts w:ascii="Arial" w:hAnsi="Arial" w:cs="Arial"/>
        </w:rPr>
        <w:t xml:space="preserve"> and build confidence in numbers</w:t>
      </w:r>
      <w:r w:rsidR="006C2654">
        <w:rPr>
          <w:rFonts w:ascii="Arial" w:hAnsi="Arial" w:cs="Arial"/>
        </w:rPr>
        <w:t>.</w:t>
      </w:r>
      <w:r w:rsidR="0079484F">
        <w:rPr>
          <w:rFonts w:ascii="Arial" w:hAnsi="Arial" w:cs="Arial"/>
        </w:rPr>
        <w:t xml:space="preserve"> </w:t>
      </w:r>
      <w:r w:rsidR="00560873">
        <w:rPr>
          <w:rFonts w:ascii="Arial" w:hAnsi="Arial" w:cs="Arial"/>
        </w:rPr>
        <w:t xml:space="preserve">The ACCC in its feedback on this RIS proposal also referred </w:t>
      </w:r>
      <w:r w:rsidR="006E73BB">
        <w:rPr>
          <w:rFonts w:ascii="Arial" w:hAnsi="Arial" w:cs="Arial"/>
        </w:rPr>
        <w:t>DISER</w:t>
      </w:r>
      <w:r w:rsidR="00560873">
        <w:rPr>
          <w:rFonts w:ascii="Arial" w:hAnsi="Arial" w:cs="Arial"/>
        </w:rPr>
        <w:t xml:space="preserve"> to its proposal </w:t>
      </w:r>
      <w:r w:rsidR="00560873" w:rsidRPr="00560873">
        <w:rPr>
          <w:rFonts w:ascii="Arial" w:hAnsi="Arial" w:cs="Arial"/>
        </w:rPr>
        <w:t>to develop a ‘class exemption’ that woul</w:t>
      </w:r>
      <w:r w:rsidR="00560873">
        <w:rPr>
          <w:rFonts w:ascii="Arial" w:hAnsi="Arial" w:cs="Arial"/>
        </w:rPr>
        <w:t>d provide legal protection for</w:t>
      </w:r>
      <w:r w:rsidR="004543AB">
        <w:rPr>
          <w:rFonts w:ascii="Arial" w:hAnsi="Arial" w:cs="Arial"/>
        </w:rPr>
        <w:t xml:space="preserve"> collective bargaining </w:t>
      </w:r>
      <w:r w:rsidR="002C69A8">
        <w:rPr>
          <w:rFonts w:ascii="Arial" w:hAnsi="Arial" w:cs="Arial"/>
        </w:rPr>
        <w:t xml:space="preserve">by franchisees with their franchisor </w:t>
      </w:r>
      <w:r w:rsidR="004543AB">
        <w:rPr>
          <w:rFonts w:ascii="Arial" w:hAnsi="Arial" w:cs="Arial"/>
        </w:rPr>
        <w:t>and</w:t>
      </w:r>
      <w:r w:rsidR="00560873">
        <w:rPr>
          <w:rFonts w:ascii="Arial" w:hAnsi="Arial" w:cs="Arial"/>
        </w:rPr>
        <w:t xml:space="preserve"> </w:t>
      </w:r>
      <w:r w:rsidR="00560873" w:rsidRPr="00560873">
        <w:rPr>
          <w:rFonts w:ascii="Arial" w:hAnsi="Arial" w:cs="Arial"/>
        </w:rPr>
        <w:t>businesses with an annual turnover of less than $10 million in the preceding financial year to collectively bargain with customers or suppliers</w:t>
      </w:r>
      <w:r w:rsidR="00560873">
        <w:rPr>
          <w:rFonts w:ascii="Arial" w:hAnsi="Arial" w:cs="Arial"/>
        </w:rPr>
        <w:t xml:space="preserve"> on common </w:t>
      </w:r>
      <w:r w:rsidR="0032013A">
        <w:rPr>
          <w:rFonts w:ascii="Arial" w:hAnsi="Arial" w:cs="Arial"/>
        </w:rPr>
        <w:t>issues</w:t>
      </w:r>
      <w:r w:rsidR="00560873">
        <w:rPr>
          <w:rFonts w:ascii="Arial" w:hAnsi="Arial" w:cs="Arial"/>
        </w:rPr>
        <w:t>.</w:t>
      </w:r>
      <w:r w:rsidR="0032013A">
        <w:rPr>
          <w:rStyle w:val="FootnoteReference"/>
          <w:rFonts w:ascii="Arial" w:hAnsi="Arial" w:cs="Arial"/>
        </w:rPr>
        <w:footnoteReference w:id="57"/>
      </w:r>
      <w:r w:rsidR="0032013A">
        <w:rPr>
          <w:rFonts w:ascii="Arial" w:hAnsi="Arial" w:cs="Arial"/>
        </w:rPr>
        <w:t xml:space="preserve"> Th</w:t>
      </w:r>
      <w:r>
        <w:rPr>
          <w:rFonts w:ascii="Arial" w:hAnsi="Arial" w:cs="Arial"/>
        </w:rPr>
        <w:t>e</w:t>
      </w:r>
      <w:r w:rsidR="0032013A">
        <w:rPr>
          <w:rFonts w:ascii="Arial" w:hAnsi="Arial" w:cs="Arial"/>
        </w:rPr>
        <w:t xml:space="preserve"> RIS proposal </w:t>
      </w:r>
      <w:r>
        <w:rPr>
          <w:rFonts w:ascii="Arial" w:hAnsi="Arial" w:cs="Arial"/>
        </w:rPr>
        <w:t xml:space="preserve">for multi-franchisee mediation </w:t>
      </w:r>
      <w:r w:rsidR="0032013A">
        <w:rPr>
          <w:rFonts w:ascii="Arial" w:hAnsi="Arial" w:cs="Arial"/>
        </w:rPr>
        <w:t>complement</w:t>
      </w:r>
      <w:r w:rsidR="006E4A3F">
        <w:rPr>
          <w:rFonts w:ascii="Arial" w:hAnsi="Arial" w:cs="Arial"/>
        </w:rPr>
        <w:t>s</w:t>
      </w:r>
      <w:r w:rsidR="0032013A">
        <w:rPr>
          <w:rFonts w:ascii="Arial" w:hAnsi="Arial" w:cs="Arial"/>
        </w:rPr>
        <w:t xml:space="preserve"> the ACCC’s class exemption.</w:t>
      </w:r>
      <w:r w:rsidR="00560873">
        <w:rPr>
          <w:rFonts w:ascii="Arial" w:hAnsi="Arial" w:cs="Arial"/>
        </w:rPr>
        <w:t xml:space="preserve"> </w:t>
      </w:r>
      <w:r w:rsidR="00BD1AAB">
        <w:rPr>
          <w:rFonts w:ascii="Arial" w:hAnsi="Arial" w:cs="Arial"/>
        </w:rPr>
        <w:t xml:space="preserve">During its consultation </w:t>
      </w:r>
      <w:r w:rsidR="006E73BB">
        <w:rPr>
          <w:rFonts w:ascii="Arial" w:hAnsi="Arial" w:cs="Arial"/>
        </w:rPr>
        <w:t>DISER</w:t>
      </w:r>
      <w:r w:rsidR="00BD1AAB">
        <w:rPr>
          <w:rFonts w:ascii="Arial" w:hAnsi="Arial" w:cs="Arial"/>
        </w:rPr>
        <w:t xml:space="preserve"> received feedback that multi-</w:t>
      </w:r>
      <w:r w:rsidR="006137A6">
        <w:rPr>
          <w:rFonts w:ascii="Arial" w:hAnsi="Arial" w:cs="Arial"/>
        </w:rPr>
        <w:t>franchisee</w:t>
      </w:r>
      <w:r w:rsidR="00BD1AAB">
        <w:rPr>
          <w:rFonts w:ascii="Arial" w:hAnsi="Arial" w:cs="Arial"/>
        </w:rPr>
        <w:t xml:space="preserve"> dispute resolution </w:t>
      </w:r>
      <w:r w:rsidR="004254D5">
        <w:rPr>
          <w:rFonts w:ascii="Arial" w:hAnsi="Arial" w:cs="Arial"/>
        </w:rPr>
        <w:t>has</w:t>
      </w:r>
      <w:r w:rsidR="00BD1AAB">
        <w:rPr>
          <w:rFonts w:ascii="Arial" w:hAnsi="Arial" w:cs="Arial"/>
        </w:rPr>
        <w:t xml:space="preserve"> assist</w:t>
      </w:r>
      <w:r w:rsidR="004254D5">
        <w:rPr>
          <w:rFonts w:ascii="Arial" w:hAnsi="Arial" w:cs="Arial"/>
        </w:rPr>
        <w:t>ed</w:t>
      </w:r>
      <w:r w:rsidR="00BD1AAB">
        <w:rPr>
          <w:rFonts w:ascii="Arial" w:hAnsi="Arial" w:cs="Arial"/>
        </w:rPr>
        <w:t xml:space="preserve"> </w:t>
      </w:r>
      <w:r w:rsidR="004254D5">
        <w:rPr>
          <w:rFonts w:ascii="Arial" w:hAnsi="Arial" w:cs="Arial"/>
        </w:rPr>
        <w:t>parties</w:t>
      </w:r>
      <w:r w:rsidR="00BD1AAB">
        <w:rPr>
          <w:rFonts w:ascii="Arial" w:hAnsi="Arial" w:cs="Arial"/>
        </w:rPr>
        <w:t xml:space="preserve"> to reach </w:t>
      </w:r>
      <w:r w:rsidR="00BD1AAB">
        <w:rPr>
          <w:rFonts w:ascii="Arial" w:hAnsi="Arial" w:cs="Arial"/>
        </w:rPr>
        <w:lastRenderedPageBreak/>
        <w:t>settlement</w:t>
      </w:r>
      <w:r w:rsidR="004254D5">
        <w:rPr>
          <w:rFonts w:ascii="Arial" w:hAnsi="Arial" w:cs="Arial"/>
        </w:rPr>
        <w:t>s in the new car retailing industry</w:t>
      </w:r>
      <w:r w:rsidR="00BD1AAB">
        <w:rPr>
          <w:rFonts w:ascii="Arial" w:hAnsi="Arial" w:cs="Arial"/>
        </w:rPr>
        <w:t xml:space="preserve">. </w:t>
      </w:r>
      <w:r w:rsidR="006137A6">
        <w:rPr>
          <w:rFonts w:ascii="Arial" w:hAnsi="Arial" w:cs="Arial"/>
        </w:rPr>
        <w:t>The PJC Report also supported expressly providing for multi-franchisee</w:t>
      </w:r>
      <w:r w:rsidR="007316E3">
        <w:rPr>
          <w:rFonts w:ascii="Arial" w:hAnsi="Arial" w:cs="Arial"/>
        </w:rPr>
        <w:t xml:space="preserve"> mediation.</w:t>
      </w:r>
      <w:r w:rsidR="007316E3">
        <w:rPr>
          <w:rStyle w:val="FootnoteReference"/>
          <w:rFonts w:ascii="Arial" w:hAnsi="Arial" w:cs="Arial"/>
        </w:rPr>
        <w:footnoteReference w:id="58"/>
      </w:r>
      <w:r w:rsidR="002C69A8">
        <w:rPr>
          <w:rFonts w:ascii="Arial" w:hAnsi="Arial" w:cs="Arial"/>
        </w:rPr>
        <w:t xml:space="preserve"> In particular, the PJC recommended that </w:t>
      </w:r>
      <w:r w:rsidR="002C69A8" w:rsidRPr="002C69A8">
        <w:rPr>
          <w:rFonts w:ascii="Arial" w:hAnsi="Arial" w:cs="Arial"/>
        </w:rPr>
        <w:t>the dispute resolution scheme under the Franchising Code remain manda</w:t>
      </w:r>
      <w:r w:rsidR="002C69A8">
        <w:rPr>
          <w:rFonts w:ascii="Arial" w:hAnsi="Arial" w:cs="Arial"/>
        </w:rPr>
        <w:t>tory and be enhanced to include the capacity for a mediator to undertake multi-franchisee resolutions when disputes relating to similar issues arise.</w:t>
      </w:r>
    </w:p>
    <w:p w14:paraId="3F1D0A3A" w14:textId="77777777" w:rsidR="003C7FB8" w:rsidRDefault="11FF59B9" w:rsidP="006647E7">
      <w:pPr>
        <w:pStyle w:val="Heading1"/>
        <w:numPr>
          <w:ilvl w:val="0"/>
          <w:numId w:val="1"/>
        </w:numPr>
        <w:rPr>
          <w:color w:val="005677"/>
        </w:rPr>
      </w:pPr>
      <w:bookmarkStart w:id="42" w:name="_Toc529891242"/>
      <w:bookmarkStart w:id="43" w:name="_Toc529891260"/>
      <w:bookmarkStart w:id="44" w:name="_Toc530493127"/>
      <w:bookmarkStart w:id="45" w:name="_Toc530493182"/>
      <w:bookmarkStart w:id="46" w:name="_Toc530563048"/>
      <w:bookmarkStart w:id="47" w:name="_Toc20489938"/>
      <w:r w:rsidRPr="11FF59B9">
        <w:rPr>
          <w:color w:val="005677"/>
        </w:rPr>
        <w:t>Why is Government Action needed?</w:t>
      </w:r>
      <w:bookmarkEnd w:id="42"/>
      <w:bookmarkEnd w:id="43"/>
      <w:bookmarkEnd w:id="44"/>
      <w:bookmarkEnd w:id="45"/>
      <w:bookmarkEnd w:id="46"/>
      <w:bookmarkEnd w:id="47"/>
    </w:p>
    <w:p w14:paraId="3F1D0A3B" w14:textId="77777777" w:rsidR="00975FD8" w:rsidRPr="00975FD8" w:rsidRDefault="0021660A" w:rsidP="00975FD8">
      <w:pPr>
        <w:pStyle w:val="Heading2"/>
        <w:rPr>
          <w:rFonts w:ascii="Arial" w:hAnsi="Arial" w:cs="Arial"/>
          <w:sz w:val="28"/>
          <w:szCs w:val="28"/>
        </w:rPr>
      </w:pPr>
      <w:bookmarkStart w:id="48" w:name="_Toc529891243"/>
      <w:bookmarkStart w:id="49" w:name="_Toc529891261"/>
      <w:bookmarkStart w:id="50" w:name="_Toc530493128"/>
      <w:bookmarkStart w:id="51" w:name="_Toc530493183"/>
      <w:bookmarkStart w:id="52" w:name="_Toc530563049"/>
      <w:bookmarkStart w:id="53" w:name="_Toc20489939"/>
      <w:r>
        <w:rPr>
          <w:rFonts w:ascii="Arial" w:hAnsi="Arial" w:cs="Arial"/>
          <w:sz w:val="28"/>
          <w:szCs w:val="28"/>
        </w:rPr>
        <w:t>Existing coverage of motor vehicle dealers by f</w:t>
      </w:r>
      <w:r w:rsidR="00975FD8">
        <w:rPr>
          <w:rFonts w:ascii="Arial" w:hAnsi="Arial" w:cs="Arial"/>
          <w:sz w:val="28"/>
          <w:szCs w:val="28"/>
        </w:rPr>
        <w:t xml:space="preserve">ranchising </w:t>
      </w:r>
      <w:r>
        <w:rPr>
          <w:rFonts w:ascii="Arial" w:hAnsi="Arial" w:cs="Arial"/>
          <w:sz w:val="28"/>
          <w:szCs w:val="28"/>
        </w:rPr>
        <w:t>r</w:t>
      </w:r>
      <w:r w:rsidR="00975FD8">
        <w:rPr>
          <w:rFonts w:ascii="Arial" w:hAnsi="Arial" w:cs="Arial"/>
          <w:sz w:val="28"/>
          <w:szCs w:val="28"/>
        </w:rPr>
        <w:t>egulation</w:t>
      </w:r>
      <w:bookmarkEnd w:id="48"/>
      <w:bookmarkEnd w:id="49"/>
      <w:bookmarkEnd w:id="50"/>
      <w:bookmarkEnd w:id="51"/>
      <w:bookmarkEnd w:id="52"/>
      <w:bookmarkEnd w:id="53"/>
    </w:p>
    <w:p w14:paraId="3F1D0A3C" w14:textId="3FE9750E" w:rsidR="006F52DF" w:rsidRDefault="0089539F" w:rsidP="00F375DC">
      <w:pPr>
        <w:spacing w:before="240" w:line="360" w:lineRule="auto"/>
        <w:jc w:val="both"/>
        <w:rPr>
          <w:rFonts w:ascii="Arial" w:hAnsi="Arial" w:cs="Arial"/>
        </w:rPr>
      </w:pPr>
      <w:r>
        <w:rPr>
          <w:rFonts w:ascii="Arial" w:hAnsi="Arial" w:cs="Arial"/>
        </w:rPr>
        <w:t xml:space="preserve">The operation of the franchising sector and the </w:t>
      </w:r>
      <w:r w:rsidR="009F12A6">
        <w:rPr>
          <w:rFonts w:ascii="Arial" w:hAnsi="Arial" w:cs="Arial"/>
        </w:rPr>
        <w:t xml:space="preserve">high </w:t>
      </w:r>
      <w:r>
        <w:rPr>
          <w:rFonts w:ascii="Arial" w:hAnsi="Arial" w:cs="Arial"/>
        </w:rPr>
        <w:t xml:space="preserve">level of </w:t>
      </w:r>
      <w:r w:rsidRPr="0089539F">
        <w:rPr>
          <w:rFonts w:ascii="Arial" w:hAnsi="Arial" w:cs="Arial"/>
        </w:rPr>
        <w:t xml:space="preserve">disputation between the parties </w:t>
      </w:r>
      <w:r>
        <w:rPr>
          <w:rFonts w:ascii="Arial" w:hAnsi="Arial" w:cs="Arial"/>
        </w:rPr>
        <w:t>to a franchise agreement ha</w:t>
      </w:r>
      <w:r w:rsidR="00C73CDC">
        <w:rPr>
          <w:rFonts w:ascii="Arial" w:hAnsi="Arial" w:cs="Arial"/>
        </w:rPr>
        <w:t>s</w:t>
      </w:r>
      <w:r>
        <w:rPr>
          <w:rFonts w:ascii="Arial" w:hAnsi="Arial" w:cs="Arial"/>
        </w:rPr>
        <w:t xml:space="preserve"> been a </w:t>
      </w:r>
      <w:r w:rsidR="00F375DC">
        <w:rPr>
          <w:rFonts w:ascii="Arial" w:hAnsi="Arial" w:cs="Arial"/>
        </w:rPr>
        <w:t xml:space="preserve">concern for </w:t>
      </w:r>
      <w:r w:rsidR="00C73CDC">
        <w:rPr>
          <w:rFonts w:ascii="Arial" w:hAnsi="Arial" w:cs="Arial"/>
        </w:rPr>
        <w:t xml:space="preserve">successive </w:t>
      </w:r>
      <w:r w:rsidR="00F375DC">
        <w:rPr>
          <w:rFonts w:ascii="Arial" w:hAnsi="Arial" w:cs="Arial"/>
        </w:rPr>
        <w:t>Government</w:t>
      </w:r>
      <w:r w:rsidR="00C73CDC">
        <w:rPr>
          <w:rFonts w:ascii="Arial" w:hAnsi="Arial" w:cs="Arial"/>
        </w:rPr>
        <w:t>s</w:t>
      </w:r>
      <w:r w:rsidR="00F375DC">
        <w:rPr>
          <w:rFonts w:ascii="Arial" w:hAnsi="Arial" w:cs="Arial"/>
        </w:rPr>
        <w:t xml:space="preserve"> </w:t>
      </w:r>
      <w:r w:rsidRPr="0089539F">
        <w:rPr>
          <w:rFonts w:ascii="Arial" w:hAnsi="Arial" w:cs="Arial"/>
        </w:rPr>
        <w:t>since the mid</w:t>
      </w:r>
      <w:r w:rsidR="00C73CDC">
        <w:rPr>
          <w:rFonts w:ascii="Arial" w:hAnsi="Arial" w:cs="Arial"/>
        </w:rPr>
        <w:noBreakHyphen/>
      </w:r>
      <w:r w:rsidRPr="0089539F">
        <w:rPr>
          <w:rFonts w:ascii="Arial" w:hAnsi="Arial" w:cs="Arial"/>
        </w:rPr>
        <w:t>1970's</w:t>
      </w:r>
      <w:r w:rsidR="00665003">
        <w:rPr>
          <w:rFonts w:ascii="Arial" w:hAnsi="Arial" w:cs="Arial"/>
        </w:rPr>
        <w:t xml:space="preserve">. </w:t>
      </w:r>
      <w:r w:rsidR="00FA715B">
        <w:rPr>
          <w:rFonts w:ascii="Arial" w:hAnsi="Arial" w:cs="Arial"/>
        </w:rPr>
        <w:t xml:space="preserve">The Franchising Australia </w:t>
      </w:r>
      <w:r w:rsidR="00F62DB7">
        <w:rPr>
          <w:rFonts w:ascii="Arial" w:hAnsi="Arial" w:cs="Arial"/>
        </w:rPr>
        <w:t xml:space="preserve">2016 Report suggests that 25 percent of franchisors </w:t>
      </w:r>
      <w:r w:rsidR="00B33BFA">
        <w:rPr>
          <w:rFonts w:ascii="Arial" w:hAnsi="Arial" w:cs="Arial"/>
        </w:rPr>
        <w:t>are involved in a dispute with their franchisee/s.</w:t>
      </w:r>
      <w:r w:rsidR="00504571">
        <w:rPr>
          <w:rStyle w:val="FootnoteReference"/>
          <w:rFonts w:ascii="Arial" w:hAnsi="Arial" w:cs="Arial"/>
        </w:rPr>
        <w:footnoteReference w:id="59"/>
      </w:r>
    </w:p>
    <w:p w14:paraId="3F1D0A3D" w14:textId="77777777" w:rsidR="00867AD9" w:rsidRDefault="009F12A6" w:rsidP="00F375DC">
      <w:pPr>
        <w:spacing w:before="240" w:line="360" w:lineRule="auto"/>
        <w:jc w:val="both"/>
        <w:rPr>
          <w:rFonts w:ascii="Arial" w:hAnsi="Arial" w:cs="Arial"/>
        </w:rPr>
      </w:pPr>
      <w:r>
        <w:rPr>
          <w:rFonts w:ascii="Arial" w:hAnsi="Arial" w:cs="Arial"/>
        </w:rPr>
        <w:t>In 1998, t</w:t>
      </w:r>
      <w:r w:rsidR="00F375DC">
        <w:rPr>
          <w:rFonts w:ascii="Arial" w:hAnsi="Arial" w:cs="Arial"/>
        </w:rPr>
        <w:t>he Government introduced t</w:t>
      </w:r>
      <w:r w:rsidR="00F375DC" w:rsidRPr="00F375DC">
        <w:rPr>
          <w:rFonts w:ascii="Arial" w:hAnsi="Arial" w:cs="Arial"/>
        </w:rPr>
        <w:t xml:space="preserve">he Franchising Code of Conduct </w:t>
      </w:r>
      <w:r w:rsidR="00F375DC">
        <w:rPr>
          <w:rFonts w:ascii="Arial" w:hAnsi="Arial" w:cs="Arial"/>
        </w:rPr>
        <w:t xml:space="preserve">as a mandatory </w:t>
      </w:r>
      <w:r w:rsidR="00F375DC" w:rsidRPr="00F375DC">
        <w:rPr>
          <w:rFonts w:ascii="Arial" w:hAnsi="Arial" w:cs="Arial"/>
        </w:rPr>
        <w:t xml:space="preserve">code, enforceable under the </w:t>
      </w:r>
      <w:r w:rsidR="00F375DC">
        <w:rPr>
          <w:rFonts w:ascii="Arial" w:hAnsi="Arial" w:cs="Arial"/>
        </w:rPr>
        <w:t xml:space="preserve">then </w:t>
      </w:r>
      <w:r w:rsidR="00F375DC" w:rsidRPr="006647E7">
        <w:rPr>
          <w:rFonts w:ascii="Arial" w:hAnsi="Arial" w:cs="Arial"/>
          <w:iCs/>
        </w:rPr>
        <w:t>Trade</w:t>
      </w:r>
      <w:r w:rsidR="00F375DC" w:rsidRPr="0040566B">
        <w:rPr>
          <w:rFonts w:ascii="Arial" w:hAnsi="Arial" w:cs="Arial"/>
          <w:i/>
          <w:iCs/>
        </w:rPr>
        <w:t xml:space="preserve"> Practices Act 1974</w:t>
      </w:r>
      <w:r w:rsidR="00F375DC">
        <w:rPr>
          <w:rFonts w:ascii="Arial" w:hAnsi="Arial" w:cs="Arial"/>
        </w:rPr>
        <w:t xml:space="preserve"> (now the </w:t>
      </w:r>
      <w:r w:rsidR="00F375DC" w:rsidRPr="0040566B">
        <w:rPr>
          <w:rFonts w:ascii="Arial" w:hAnsi="Arial" w:cs="Arial"/>
          <w:i/>
          <w:iCs/>
        </w:rPr>
        <w:t>Competition and Consumer Act 2010</w:t>
      </w:r>
      <w:r w:rsidR="00F375DC">
        <w:rPr>
          <w:rFonts w:ascii="Arial" w:hAnsi="Arial" w:cs="Arial"/>
        </w:rPr>
        <w:t xml:space="preserve">). </w:t>
      </w:r>
      <w:r w:rsidR="00772984">
        <w:rPr>
          <w:rFonts w:ascii="Arial" w:hAnsi="Arial" w:cs="Arial"/>
        </w:rPr>
        <w:t xml:space="preserve">In introducing the Franchising Code, </w:t>
      </w:r>
      <w:r w:rsidR="00BF2C69">
        <w:rPr>
          <w:rFonts w:ascii="Arial" w:hAnsi="Arial" w:cs="Arial"/>
        </w:rPr>
        <w:t xml:space="preserve">it was noted </w:t>
      </w:r>
      <w:r w:rsidR="00772984">
        <w:rPr>
          <w:rFonts w:ascii="Arial" w:hAnsi="Arial" w:cs="Arial"/>
        </w:rPr>
        <w:t>that t</w:t>
      </w:r>
      <w:r w:rsidR="0089539F" w:rsidRPr="0089539F">
        <w:rPr>
          <w:rFonts w:ascii="Arial" w:hAnsi="Arial" w:cs="Arial"/>
        </w:rPr>
        <w:t xml:space="preserve">he high levels of disputation and litigation in the sector arise from the fundamental nature of franchising arrangements, which differ significantly from other business ventures. </w:t>
      </w:r>
      <w:r w:rsidR="00002633">
        <w:rPr>
          <w:rFonts w:ascii="Arial" w:hAnsi="Arial" w:cs="Arial"/>
        </w:rPr>
        <w:t xml:space="preserve">As discussed above, the nature of franchising means that the power imbalance favours the franchisor, as does the information </w:t>
      </w:r>
      <w:r w:rsidR="0058150B">
        <w:rPr>
          <w:rFonts w:ascii="Arial" w:hAnsi="Arial" w:cs="Arial"/>
        </w:rPr>
        <w:t>asymmetry</w:t>
      </w:r>
      <w:r w:rsidR="00002633">
        <w:rPr>
          <w:rFonts w:ascii="Arial" w:hAnsi="Arial" w:cs="Arial"/>
        </w:rPr>
        <w:t xml:space="preserve">. </w:t>
      </w:r>
    </w:p>
    <w:p w14:paraId="3F1D0A3E" w14:textId="77777777" w:rsidR="00DA4E4C" w:rsidRDefault="00273F62" w:rsidP="00F375DC">
      <w:pPr>
        <w:spacing w:before="240" w:line="360" w:lineRule="auto"/>
        <w:jc w:val="both"/>
        <w:rPr>
          <w:rFonts w:ascii="Arial" w:hAnsi="Arial" w:cs="Arial"/>
        </w:rPr>
      </w:pPr>
      <w:r>
        <w:rPr>
          <w:rFonts w:ascii="Arial" w:hAnsi="Arial" w:cs="Arial"/>
        </w:rPr>
        <w:t xml:space="preserve">While some common features of franchising may be missing within automotive franchising, such as payment of royalties, motor vehicle dealers are covered by the Franchising Code since it </w:t>
      </w:r>
      <w:r w:rsidR="003929E5">
        <w:rPr>
          <w:rFonts w:ascii="Arial" w:hAnsi="Arial" w:cs="Arial"/>
        </w:rPr>
        <w:t xml:space="preserve">is </w:t>
      </w:r>
      <w:r>
        <w:rPr>
          <w:rFonts w:ascii="Arial" w:hAnsi="Arial" w:cs="Arial"/>
        </w:rPr>
        <w:t xml:space="preserve">recognised that dealership </w:t>
      </w:r>
      <w:r w:rsidR="00DA4E4C">
        <w:rPr>
          <w:rFonts w:ascii="Arial" w:hAnsi="Arial" w:cs="Arial"/>
        </w:rPr>
        <w:t xml:space="preserve">agreements </w:t>
      </w:r>
      <w:r>
        <w:rPr>
          <w:rFonts w:ascii="Arial" w:hAnsi="Arial" w:cs="Arial"/>
        </w:rPr>
        <w:t xml:space="preserve">and the relationship between dealers and car manufacturers </w:t>
      </w:r>
      <w:r w:rsidR="00DA4E4C">
        <w:rPr>
          <w:rFonts w:ascii="Arial" w:hAnsi="Arial" w:cs="Arial"/>
        </w:rPr>
        <w:t xml:space="preserve">were </w:t>
      </w:r>
      <w:r>
        <w:rPr>
          <w:rFonts w:ascii="Arial" w:hAnsi="Arial" w:cs="Arial"/>
        </w:rPr>
        <w:t>characterised by other features common within franchising, namely the power imbalance and information asymmetry</w:t>
      </w:r>
      <w:r w:rsidRPr="00273F62">
        <w:rPr>
          <w:rFonts w:ascii="Arial" w:hAnsi="Arial" w:cs="Arial"/>
        </w:rPr>
        <w:t xml:space="preserve"> </w:t>
      </w:r>
      <w:r>
        <w:rPr>
          <w:rFonts w:ascii="Arial" w:hAnsi="Arial" w:cs="Arial"/>
        </w:rPr>
        <w:t>which favours franchisors</w:t>
      </w:r>
      <w:r w:rsidR="00DA4E4C">
        <w:rPr>
          <w:rFonts w:ascii="Arial" w:hAnsi="Arial" w:cs="Arial"/>
        </w:rPr>
        <w:t>.</w:t>
      </w:r>
      <w:r w:rsidR="00DA4E4C">
        <w:rPr>
          <w:rStyle w:val="FootnoteReference"/>
          <w:rFonts w:ascii="Arial" w:hAnsi="Arial" w:cs="Arial"/>
        </w:rPr>
        <w:footnoteReference w:id="60"/>
      </w:r>
    </w:p>
    <w:p w14:paraId="3F1D0A3F" w14:textId="04879C68" w:rsidR="00641597" w:rsidRDefault="00962AA8" w:rsidP="11FF59B9">
      <w:pPr>
        <w:spacing w:before="240" w:line="360" w:lineRule="auto"/>
        <w:jc w:val="both"/>
        <w:rPr>
          <w:rFonts w:ascii="Arial" w:hAnsi="Arial" w:cs="Arial"/>
        </w:rPr>
      </w:pPr>
      <w:r>
        <w:rPr>
          <w:rFonts w:ascii="Arial" w:hAnsi="Arial" w:cs="Arial"/>
        </w:rPr>
        <w:t>Car manufacturers are able to stipulate capital outlays, for example shop fit-out requirements and equipment to be held by car dealers. In addition, t</w:t>
      </w:r>
      <w:r w:rsidR="11FF59B9" w:rsidRPr="11FF59B9">
        <w:rPr>
          <w:rFonts w:ascii="Arial" w:hAnsi="Arial" w:cs="Arial"/>
        </w:rPr>
        <w:t>here are information asymmetries between car ma</w:t>
      </w:r>
      <w:r w:rsidR="00480D5F">
        <w:rPr>
          <w:rFonts w:ascii="Arial" w:hAnsi="Arial" w:cs="Arial"/>
        </w:rPr>
        <w:t xml:space="preserve">nufacturers and new car dealers with </w:t>
      </w:r>
      <w:r w:rsidR="11FF59B9" w:rsidRPr="11FF59B9">
        <w:rPr>
          <w:rFonts w:ascii="Arial" w:hAnsi="Arial" w:cs="Arial"/>
        </w:rPr>
        <w:t xml:space="preserve">car manufacturers typically </w:t>
      </w:r>
      <w:r w:rsidR="00480D5F">
        <w:rPr>
          <w:rFonts w:ascii="Arial" w:hAnsi="Arial" w:cs="Arial"/>
        </w:rPr>
        <w:t xml:space="preserve">holding </w:t>
      </w:r>
      <w:r w:rsidR="11FF59B9" w:rsidRPr="11FF59B9">
        <w:rPr>
          <w:rFonts w:ascii="Arial" w:hAnsi="Arial" w:cs="Arial"/>
        </w:rPr>
        <w:t xml:space="preserve">greater information about the long term strategy for the brand and the overall health of the </w:t>
      </w:r>
      <w:r w:rsidR="11FF59B9" w:rsidRPr="11FF59B9">
        <w:rPr>
          <w:rFonts w:ascii="Arial" w:hAnsi="Arial" w:cs="Arial"/>
        </w:rPr>
        <w:lastRenderedPageBreak/>
        <w:t xml:space="preserve">entire dealer network. For example, an individual dealer may consider that </w:t>
      </w:r>
      <w:r w:rsidR="00F75F49">
        <w:rPr>
          <w:rFonts w:ascii="Arial" w:hAnsi="Arial" w:cs="Arial"/>
        </w:rPr>
        <w:t>its</w:t>
      </w:r>
      <w:r w:rsidR="00F75F49" w:rsidRPr="11FF59B9">
        <w:rPr>
          <w:rFonts w:ascii="Arial" w:hAnsi="Arial" w:cs="Arial"/>
        </w:rPr>
        <w:t xml:space="preserve"> </w:t>
      </w:r>
      <w:r w:rsidR="11FF59B9" w:rsidRPr="11FF59B9">
        <w:rPr>
          <w:rFonts w:ascii="Arial" w:hAnsi="Arial" w:cs="Arial"/>
        </w:rPr>
        <w:t>performance is sound, but from the manufacturer</w:t>
      </w:r>
      <w:r w:rsidR="001F2763">
        <w:rPr>
          <w:rFonts w:ascii="Arial" w:hAnsi="Arial" w:cs="Arial"/>
        </w:rPr>
        <w:t>’</w:t>
      </w:r>
      <w:r w:rsidR="11FF59B9" w:rsidRPr="11FF59B9">
        <w:rPr>
          <w:rFonts w:ascii="Arial" w:hAnsi="Arial" w:cs="Arial"/>
        </w:rPr>
        <w:t xml:space="preserve">s perspective, the dealer may be the weakest link in </w:t>
      </w:r>
      <w:r w:rsidR="006F0759">
        <w:rPr>
          <w:rFonts w:ascii="Arial" w:hAnsi="Arial" w:cs="Arial"/>
        </w:rPr>
        <w:t>the</w:t>
      </w:r>
      <w:r w:rsidR="11FF59B9" w:rsidRPr="11FF59B9">
        <w:rPr>
          <w:rFonts w:ascii="Arial" w:hAnsi="Arial" w:cs="Arial"/>
        </w:rPr>
        <w:t xml:space="preserve"> market </w:t>
      </w:r>
      <w:r w:rsidR="006F0759">
        <w:rPr>
          <w:rFonts w:ascii="Arial" w:hAnsi="Arial" w:cs="Arial"/>
        </w:rPr>
        <w:t>and</w:t>
      </w:r>
      <w:r w:rsidR="11FF59B9" w:rsidRPr="11FF59B9">
        <w:rPr>
          <w:rFonts w:ascii="Arial" w:hAnsi="Arial" w:cs="Arial"/>
        </w:rPr>
        <w:t xml:space="preserve"> may require downsizing in order to ensure the health of the overall network. This information asymmetry can have adverse effects on dealers, particularly when they undertake significant capital expenditure</w:t>
      </w:r>
      <w:r w:rsidR="00F6019E">
        <w:rPr>
          <w:rFonts w:ascii="Arial" w:hAnsi="Arial" w:cs="Arial"/>
        </w:rPr>
        <w:t>,</w:t>
      </w:r>
      <w:r w:rsidR="11FF59B9" w:rsidRPr="11FF59B9">
        <w:rPr>
          <w:rFonts w:ascii="Arial" w:hAnsi="Arial" w:cs="Arial"/>
        </w:rPr>
        <w:t xml:space="preserve"> such as purpose built facilities to showcase cars in line with the manufacturer</w:t>
      </w:r>
      <w:r w:rsidR="00F75F49">
        <w:rPr>
          <w:rFonts w:ascii="Arial" w:hAnsi="Arial" w:cs="Arial"/>
        </w:rPr>
        <w:t>’</w:t>
      </w:r>
      <w:r w:rsidR="11FF59B9" w:rsidRPr="11FF59B9">
        <w:rPr>
          <w:rFonts w:ascii="Arial" w:hAnsi="Arial" w:cs="Arial"/>
        </w:rPr>
        <w:t xml:space="preserve">s preference. </w:t>
      </w:r>
    </w:p>
    <w:p w14:paraId="3F1D0A40" w14:textId="77777777" w:rsidR="00F33CB2" w:rsidRPr="00F33CB2" w:rsidRDefault="00F33CB2" w:rsidP="00F33CB2">
      <w:pPr>
        <w:pStyle w:val="Heading2"/>
        <w:rPr>
          <w:rFonts w:ascii="Arial" w:hAnsi="Arial" w:cs="Arial"/>
          <w:sz w:val="28"/>
          <w:szCs w:val="28"/>
        </w:rPr>
      </w:pPr>
      <w:bookmarkStart w:id="54" w:name="_Toc529891244"/>
      <w:bookmarkStart w:id="55" w:name="_Toc529891262"/>
      <w:bookmarkStart w:id="56" w:name="_Toc530493129"/>
      <w:bookmarkStart w:id="57" w:name="_Toc530493184"/>
      <w:bookmarkStart w:id="58" w:name="_Toc530563050"/>
      <w:bookmarkStart w:id="59" w:name="_Toc20489940"/>
      <w:r w:rsidRPr="00F33CB2">
        <w:rPr>
          <w:rFonts w:ascii="Arial" w:hAnsi="Arial" w:cs="Arial"/>
          <w:sz w:val="28"/>
          <w:szCs w:val="28"/>
        </w:rPr>
        <w:t>Ongoing issues for car dealers</w:t>
      </w:r>
      <w:bookmarkEnd w:id="54"/>
      <w:bookmarkEnd w:id="55"/>
      <w:bookmarkEnd w:id="56"/>
      <w:bookmarkEnd w:id="57"/>
      <w:bookmarkEnd w:id="58"/>
      <w:bookmarkEnd w:id="59"/>
    </w:p>
    <w:p w14:paraId="3F1D0A41" w14:textId="0253EFF8" w:rsidR="00720B5A" w:rsidRDefault="11FF59B9" w:rsidP="11FF59B9">
      <w:pPr>
        <w:spacing w:before="240" w:line="360" w:lineRule="auto"/>
        <w:jc w:val="both"/>
        <w:rPr>
          <w:rFonts w:ascii="Arial" w:hAnsi="Arial" w:cs="Arial"/>
        </w:rPr>
      </w:pPr>
      <w:r w:rsidRPr="11FF59B9">
        <w:rPr>
          <w:rFonts w:ascii="Arial" w:hAnsi="Arial" w:cs="Arial"/>
        </w:rPr>
        <w:t xml:space="preserve">Although it has been a longstanding intent of the Franchising Code to address issues in automotive franchising, many of the problems identified </w:t>
      </w:r>
      <w:r w:rsidR="00FE3C4F">
        <w:rPr>
          <w:rFonts w:ascii="Arial" w:hAnsi="Arial" w:cs="Arial"/>
        </w:rPr>
        <w:t xml:space="preserve">within </w:t>
      </w:r>
      <w:r w:rsidRPr="11FF59B9">
        <w:rPr>
          <w:rFonts w:ascii="Arial" w:hAnsi="Arial" w:cs="Arial"/>
        </w:rPr>
        <w:t xml:space="preserve">the 1997 Report are </w:t>
      </w:r>
      <w:r w:rsidR="00FE3C4F">
        <w:rPr>
          <w:rFonts w:ascii="Arial" w:hAnsi="Arial" w:cs="Arial"/>
        </w:rPr>
        <w:t xml:space="preserve">recurrent in subsequent </w:t>
      </w:r>
      <w:r w:rsidR="00713260">
        <w:rPr>
          <w:rFonts w:ascii="Arial" w:hAnsi="Arial" w:cs="Arial"/>
        </w:rPr>
        <w:t>i</w:t>
      </w:r>
      <w:r w:rsidR="00FE3C4F">
        <w:rPr>
          <w:rFonts w:ascii="Arial" w:hAnsi="Arial" w:cs="Arial"/>
        </w:rPr>
        <w:t>nquiries. The</w:t>
      </w:r>
      <w:r w:rsidR="00DA614F">
        <w:rPr>
          <w:rFonts w:ascii="Arial" w:hAnsi="Arial" w:cs="Arial"/>
        </w:rPr>
        <w:t xml:space="preserve"> Wein </w:t>
      </w:r>
      <w:r w:rsidR="009E28BA">
        <w:rPr>
          <w:rFonts w:ascii="Arial" w:hAnsi="Arial" w:cs="Arial"/>
        </w:rPr>
        <w:t>Review</w:t>
      </w:r>
      <w:r w:rsidR="00DA614F">
        <w:rPr>
          <w:rFonts w:ascii="Arial" w:hAnsi="Arial" w:cs="Arial"/>
        </w:rPr>
        <w:t xml:space="preserve"> specifically canvassed franchising </w:t>
      </w:r>
      <w:r w:rsidR="00FE3C4F">
        <w:rPr>
          <w:rFonts w:ascii="Arial" w:hAnsi="Arial" w:cs="Arial"/>
        </w:rPr>
        <w:t>issues for automotive dealers</w:t>
      </w:r>
      <w:r w:rsidR="00B967D4">
        <w:rPr>
          <w:rFonts w:ascii="Arial" w:hAnsi="Arial" w:cs="Arial"/>
        </w:rPr>
        <w:t xml:space="preserve"> and recommended a</w:t>
      </w:r>
      <w:r w:rsidR="00B967D4" w:rsidRPr="00B967D4">
        <w:rPr>
          <w:rFonts w:ascii="Arial" w:hAnsi="Arial" w:cs="Arial"/>
        </w:rPr>
        <w:t xml:space="preserve">n analysis of the impact of a minimum term and standard contractual terms for motor vehicle agreements prior to a future review of the </w:t>
      </w:r>
      <w:r w:rsidR="00B967D4">
        <w:rPr>
          <w:rFonts w:ascii="Arial" w:hAnsi="Arial" w:cs="Arial"/>
        </w:rPr>
        <w:t xml:space="preserve">Franchising </w:t>
      </w:r>
      <w:r w:rsidR="00B967D4" w:rsidRPr="00B967D4">
        <w:rPr>
          <w:rFonts w:ascii="Arial" w:hAnsi="Arial" w:cs="Arial"/>
        </w:rPr>
        <w:t>Code.</w:t>
      </w:r>
      <w:r w:rsidR="00F90082">
        <w:rPr>
          <w:rFonts w:ascii="Arial" w:hAnsi="Arial" w:cs="Arial"/>
        </w:rPr>
        <w:t xml:space="preserve"> The ACCC in its market study also recommended </w:t>
      </w:r>
      <w:r w:rsidR="00000A13" w:rsidRPr="00000A13">
        <w:rPr>
          <w:rFonts w:ascii="Arial" w:hAnsi="Arial" w:cs="Arial"/>
        </w:rPr>
        <w:t>issues raised by dealers relating to the imbalance of power in their commercial arrangements with manufacturers, such as insecure tenure and significant capital outlays expected of dealers, be examined further</w:t>
      </w:r>
      <w:r w:rsidR="00000A13">
        <w:rPr>
          <w:rFonts w:ascii="Arial" w:hAnsi="Arial" w:cs="Arial"/>
        </w:rPr>
        <w:t>.</w:t>
      </w:r>
      <w:r w:rsidR="00C605FA">
        <w:rPr>
          <w:rFonts w:ascii="Arial" w:hAnsi="Arial" w:cs="Arial"/>
        </w:rPr>
        <w:t xml:space="preserve"> </w:t>
      </w:r>
      <w:r w:rsidR="00227F8F">
        <w:rPr>
          <w:rFonts w:ascii="Arial" w:hAnsi="Arial" w:cs="Arial"/>
        </w:rPr>
        <w:t>The recent PJC Report</w:t>
      </w:r>
      <w:r w:rsidR="00827B1D">
        <w:rPr>
          <w:rFonts w:ascii="Arial" w:hAnsi="Arial" w:cs="Arial"/>
        </w:rPr>
        <w:t xml:space="preserve"> </w:t>
      </w:r>
      <w:r w:rsidR="00F214B8">
        <w:rPr>
          <w:rFonts w:ascii="Arial" w:hAnsi="Arial" w:cs="Arial"/>
        </w:rPr>
        <w:t xml:space="preserve">also examined franchising issues experienced by new car dealers and </w:t>
      </w:r>
      <w:r w:rsidR="00411B02">
        <w:rPr>
          <w:rFonts w:ascii="Arial" w:hAnsi="Arial" w:cs="Arial"/>
        </w:rPr>
        <w:t xml:space="preserve">made two recommendations directed at automotive franchising. </w:t>
      </w:r>
    </w:p>
    <w:p w14:paraId="5871F476" w14:textId="5CBDA755" w:rsidR="007F2F67" w:rsidRPr="007F2F67" w:rsidRDefault="007F2F67" w:rsidP="007F2F67">
      <w:pPr>
        <w:spacing w:before="240" w:line="360" w:lineRule="auto"/>
        <w:jc w:val="both"/>
        <w:rPr>
          <w:rFonts w:ascii="Arial" w:hAnsi="Arial" w:cs="Arial"/>
        </w:rPr>
      </w:pPr>
      <w:r w:rsidRPr="007F2F67">
        <w:rPr>
          <w:rFonts w:ascii="Arial" w:hAnsi="Arial" w:cs="Arial"/>
        </w:rPr>
        <w:t xml:space="preserve">Stakeholders consider the Franchising Code </w:t>
      </w:r>
      <w:r w:rsidR="005E33BE">
        <w:rPr>
          <w:rFonts w:ascii="Arial" w:hAnsi="Arial" w:cs="Arial"/>
        </w:rPr>
        <w:t>requires additional consideration</w:t>
      </w:r>
      <w:r w:rsidRPr="007F2F67">
        <w:rPr>
          <w:rFonts w:ascii="Arial" w:hAnsi="Arial" w:cs="Arial"/>
        </w:rPr>
        <w:t xml:space="preserve"> for the new car retailing sector. The high-value products supplied by new car dealers, commonly representing the second largest outlay and ongoing expense for a household apart from housing costs, along with the high outlay of capital by dealers to showcase car manufacturers’ products is unique to the sector. The large portion of franchisees are small retail outlets who provide fast moving consumable goods. The Franchising Code is designed to suit these types of businesses. In most franchise arrangements, the franchisor has very close control over the operation of their franchisees with goods, services and staffing levels identical between sites. This is not always the case with car dealerships and the power imbalance can vary depending on the circumstances. </w:t>
      </w:r>
    </w:p>
    <w:p w14:paraId="109C99B4" w14:textId="6F48BC8E" w:rsidR="007F2F67" w:rsidRDefault="007F2F67" w:rsidP="007F2F67">
      <w:pPr>
        <w:spacing w:before="240" w:line="360" w:lineRule="auto"/>
        <w:jc w:val="both"/>
        <w:rPr>
          <w:rFonts w:ascii="Arial" w:hAnsi="Arial" w:cs="Arial"/>
        </w:rPr>
      </w:pPr>
      <w:r w:rsidRPr="007F2F67">
        <w:rPr>
          <w:rFonts w:ascii="Arial" w:hAnsi="Arial" w:cs="Arial"/>
        </w:rPr>
        <w:t>The limitations of the Franchising Code have in some instances, resulted in car dealers being provided with insufficient notice when an agreement is not being renewed and inadequate capital expenditure disclosure. Whilst these issues do not aris</w:t>
      </w:r>
      <w:r w:rsidR="007041DD">
        <w:rPr>
          <w:rFonts w:ascii="Arial" w:hAnsi="Arial" w:cs="Arial"/>
        </w:rPr>
        <w:t>e</w:t>
      </w:r>
      <w:r w:rsidRPr="007F2F67">
        <w:rPr>
          <w:rFonts w:ascii="Arial" w:hAnsi="Arial" w:cs="Arial"/>
        </w:rPr>
        <w:t xml:space="preserve"> in most instances, where they do occur</w:t>
      </w:r>
      <w:r w:rsidR="007939DB">
        <w:rPr>
          <w:rFonts w:ascii="Arial" w:hAnsi="Arial" w:cs="Arial"/>
        </w:rPr>
        <w:t>,</w:t>
      </w:r>
      <w:r w:rsidRPr="007F2F67">
        <w:rPr>
          <w:rFonts w:ascii="Arial" w:hAnsi="Arial" w:cs="Arial"/>
        </w:rPr>
        <w:t xml:space="preserve"> the impact on the dealer can be considerable.</w:t>
      </w:r>
    </w:p>
    <w:p w14:paraId="29A851E4" w14:textId="3F78F10B" w:rsidR="00500B98" w:rsidRDefault="00E417E6" w:rsidP="007F2F67">
      <w:pPr>
        <w:spacing w:before="240" w:line="360" w:lineRule="auto"/>
        <w:jc w:val="both"/>
        <w:rPr>
          <w:rFonts w:ascii="Arial" w:hAnsi="Arial" w:cs="Arial"/>
        </w:rPr>
      </w:pPr>
      <w:r>
        <w:rPr>
          <w:rFonts w:ascii="Arial" w:hAnsi="Arial" w:cs="Arial"/>
        </w:rPr>
        <w:t xml:space="preserve">For example, </w:t>
      </w:r>
      <w:r w:rsidR="00684059">
        <w:rPr>
          <w:rFonts w:ascii="Arial" w:hAnsi="Arial" w:cs="Arial"/>
        </w:rPr>
        <w:t xml:space="preserve">during consultation </w:t>
      </w:r>
      <w:r w:rsidR="006E73BB">
        <w:rPr>
          <w:rFonts w:ascii="Arial" w:hAnsi="Arial" w:cs="Arial"/>
        </w:rPr>
        <w:t>DISER</w:t>
      </w:r>
      <w:r w:rsidR="00684059">
        <w:rPr>
          <w:rFonts w:ascii="Arial" w:hAnsi="Arial" w:cs="Arial"/>
        </w:rPr>
        <w:t xml:space="preserve"> </w:t>
      </w:r>
      <w:r w:rsidR="003B4D5A">
        <w:rPr>
          <w:rFonts w:ascii="Arial" w:hAnsi="Arial" w:cs="Arial"/>
        </w:rPr>
        <w:t xml:space="preserve">heard </w:t>
      </w:r>
      <w:r w:rsidR="00DF1B4B">
        <w:rPr>
          <w:rFonts w:ascii="Arial" w:hAnsi="Arial" w:cs="Arial"/>
        </w:rPr>
        <w:t>experiences where</w:t>
      </w:r>
      <w:r w:rsidR="00FE7615">
        <w:rPr>
          <w:rFonts w:ascii="Arial" w:hAnsi="Arial" w:cs="Arial"/>
        </w:rPr>
        <w:t xml:space="preserve"> some stakeholders were</w:t>
      </w:r>
      <w:r w:rsidR="003B4D5A">
        <w:rPr>
          <w:rFonts w:ascii="Arial" w:hAnsi="Arial" w:cs="Arial"/>
        </w:rPr>
        <w:t xml:space="preserve"> provided with a notice of non-renewal </w:t>
      </w:r>
      <w:r w:rsidR="00DF1B4B">
        <w:rPr>
          <w:rFonts w:ascii="Arial" w:hAnsi="Arial" w:cs="Arial"/>
        </w:rPr>
        <w:t xml:space="preserve">and </w:t>
      </w:r>
      <w:r w:rsidR="00556E8B">
        <w:rPr>
          <w:rFonts w:ascii="Arial" w:hAnsi="Arial" w:cs="Arial"/>
        </w:rPr>
        <w:t>incurred significant business losses</w:t>
      </w:r>
      <w:r w:rsidR="00DF1B4B">
        <w:rPr>
          <w:rFonts w:ascii="Arial" w:hAnsi="Arial" w:cs="Arial"/>
        </w:rPr>
        <w:t xml:space="preserve">. </w:t>
      </w:r>
      <w:r w:rsidR="00556E8B">
        <w:rPr>
          <w:rFonts w:ascii="Arial" w:hAnsi="Arial" w:cs="Arial"/>
        </w:rPr>
        <w:t xml:space="preserve">Some dealers were able to mitigate their losses by opening new dealerships with a different brand on the </w:t>
      </w:r>
      <w:r w:rsidR="00556E8B">
        <w:rPr>
          <w:rFonts w:ascii="Arial" w:hAnsi="Arial" w:cs="Arial"/>
        </w:rPr>
        <w:lastRenderedPageBreak/>
        <w:t xml:space="preserve">same site </w:t>
      </w:r>
      <w:r w:rsidR="00AE6EE1">
        <w:rPr>
          <w:rFonts w:ascii="Arial" w:hAnsi="Arial" w:cs="Arial"/>
        </w:rPr>
        <w:t xml:space="preserve">or open new businesses. </w:t>
      </w:r>
      <w:r w:rsidR="00500B98">
        <w:rPr>
          <w:rFonts w:ascii="Arial" w:hAnsi="Arial" w:cs="Arial"/>
        </w:rPr>
        <w:t>However, significant costs were still incurred in the redevelopment</w:t>
      </w:r>
      <w:r w:rsidR="00576CA0">
        <w:rPr>
          <w:rFonts w:ascii="Arial" w:hAnsi="Arial" w:cs="Arial"/>
        </w:rPr>
        <w:t xml:space="preserve"> and not all sites were able to be repurposed</w:t>
      </w:r>
      <w:r w:rsidR="00500B98">
        <w:rPr>
          <w:rFonts w:ascii="Arial" w:hAnsi="Arial" w:cs="Arial"/>
        </w:rPr>
        <w:t>.</w:t>
      </w:r>
      <w:r w:rsidR="00B06C9B">
        <w:rPr>
          <w:rFonts w:ascii="Arial" w:hAnsi="Arial" w:cs="Arial"/>
        </w:rPr>
        <w:t xml:space="preserve"> The measures </w:t>
      </w:r>
      <w:r w:rsidR="005C195D">
        <w:rPr>
          <w:rFonts w:ascii="Arial" w:hAnsi="Arial" w:cs="Arial"/>
        </w:rPr>
        <w:t xml:space="preserve">that are detailed below in this RIS, such as extending the notice period and requiring parties to discuss and agree to a </w:t>
      </w:r>
      <w:r w:rsidR="0046431A">
        <w:rPr>
          <w:rFonts w:ascii="Arial" w:hAnsi="Arial" w:cs="Arial"/>
        </w:rPr>
        <w:t xml:space="preserve">plan to wind down the business, </w:t>
      </w:r>
      <w:r w:rsidR="00CB10D4">
        <w:rPr>
          <w:rFonts w:ascii="Arial" w:hAnsi="Arial" w:cs="Arial"/>
        </w:rPr>
        <w:t xml:space="preserve">may </w:t>
      </w:r>
      <w:r w:rsidR="0046431A">
        <w:rPr>
          <w:rFonts w:ascii="Arial" w:hAnsi="Arial" w:cs="Arial"/>
        </w:rPr>
        <w:t>assist in mitigating any disadvantage to the dealer whilst balancing the need of the manufac</w:t>
      </w:r>
      <w:r w:rsidR="009E0533">
        <w:rPr>
          <w:rFonts w:ascii="Arial" w:hAnsi="Arial" w:cs="Arial"/>
        </w:rPr>
        <w:t>turer in</w:t>
      </w:r>
      <w:r w:rsidR="0046431A">
        <w:rPr>
          <w:rFonts w:ascii="Arial" w:hAnsi="Arial" w:cs="Arial"/>
        </w:rPr>
        <w:t xml:space="preserve"> </w:t>
      </w:r>
      <w:r w:rsidR="009A3C39">
        <w:rPr>
          <w:rFonts w:ascii="Arial" w:hAnsi="Arial" w:cs="Arial"/>
        </w:rPr>
        <w:t>maintain</w:t>
      </w:r>
      <w:r w:rsidR="009E0533">
        <w:rPr>
          <w:rFonts w:ascii="Arial" w:hAnsi="Arial" w:cs="Arial"/>
        </w:rPr>
        <w:t>ing</w:t>
      </w:r>
      <w:r w:rsidR="009A3C39">
        <w:rPr>
          <w:rFonts w:ascii="Arial" w:hAnsi="Arial" w:cs="Arial"/>
        </w:rPr>
        <w:t xml:space="preserve"> control of its network.</w:t>
      </w:r>
    </w:p>
    <w:p w14:paraId="45C33DAE" w14:textId="77777777" w:rsidR="00D9330E" w:rsidRPr="00D9330E" w:rsidRDefault="00D9330E" w:rsidP="00D9330E">
      <w:pPr>
        <w:pStyle w:val="Heading2"/>
        <w:rPr>
          <w:rFonts w:ascii="Arial" w:hAnsi="Arial" w:cs="Arial"/>
          <w:sz w:val="28"/>
          <w:szCs w:val="28"/>
        </w:rPr>
      </w:pPr>
      <w:bookmarkStart w:id="60" w:name="_Toc20489941"/>
      <w:r w:rsidRPr="00D9330E">
        <w:rPr>
          <w:rFonts w:ascii="Arial" w:hAnsi="Arial" w:cs="Arial"/>
          <w:sz w:val="28"/>
          <w:szCs w:val="28"/>
        </w:rPr>
        <w:t>Objective in implementing the RIS reforms</w:t>
      </w:r>
      <w:bookmarkEnd w:id="60"/>
    </w:p>
    <w:p w14:paraId="6E222435" w14:textId="77777777" w:rsidR="00D9330E" w:rsidRPr="00312053" w:rsidRDefault="00D9330E" w:rsidP="00D9330E">
      <w:pPr>
        <w:spacing w:before="240" w:line="360" w:lineRule="auto"/>
        <w:jc w:val="both"/>
        <w:rPr>
          <w:rFonts w:ascii="Arial" w:hAnsi="Arial" w:cs="Arial"/>
        </w:rPr>
      </w:pPr>
      <w:r>
        <w:rPr>
          <w:rFonts w:ascii="Arial" w:hAnsi="Arial" w:cs="Arial"/>
        </w:rPr>
        <w:t>The overarching objective in implementing these reforms is t</w:t>
      </w:r>
      <w:r w:rsidRPr="004355E6">
        <w:rPr>
          <w:rFonts w:ascii="Arial" w:hAnsi="Arial" w:cs="Arial"/>
        </w:rPr>
        <w:t>o support appropriate commercial dealing and competition in the new car retail supply chain.</w:t>
      </w:r>
      <w:r>
        <w:rPr>
          <w:rFonts w:ascii="Arial" w:hAnsi="Arial" w:cs="Arial"/>
        </w:rPr>
        <w:t xml:space="preserve"> </w:t>
      </w:r>
    </w:p>
    <w:p w14:paraId="3020CEC3" w14:textId="77777777" w:rsidR="00F434A4" w:rsidRDefault="00F434A4" w:rsidP="00F434A4">
      <w:pPr>
        <w:spacing w:before="240" w:line="360" w:lineRule="auto"/>
        <w:jc w:val="both"/>
        <w:rPr>
          <w:rFonts w:ascii="Arial" w:hAnsi="Arial" w:cs="Arial"/>
        </w:rPr>
      </w:pPr>
      <w:r w:rsidRPr="004355E6">
        <w:rPr>
          <w:rFonts w:ascii="Arial" w:hAnsi="Arial" w:cs="Arial"/>
          <w:i/>
        </w:rPr>
        <w:t>What will success look like</w:t>
      </w:r>
      <w:r>
        <w:rPr>
          <w:rFonts w:ascii="Arial" w:hAnsi="Arial" w:cs="Arial"/>
          <w:i/>
        </w:rPr>
        <w:t>?</w:t>
      </w:r>
    </w:p>
    <w:p w14:paraId="75A8D921" w14:textId="77777777" w:rsidR="00F434A4" w:rsidRDefault="00F434A4" w:rsidP="00F434A4">
      <w:pPr>
        <w:spacing w:before="240" w:line="360" w:lineRule="auto"/>
        <w:jc w:val="both"/>
        <w:rPr>
          <w:rFonts w:ascii="Arial" w:hAnsi="Arial" w:cs="Arial"/>
        </w:rPr>
      </w:pPr>
      <w:r>
        <w:rPr>
          <w:rFonts w:ascii="Arial" w:hAnsi="Arial" w:cs="Arial"/>
        </w:rPr>
        <w:t>The proposal will have succeeded if:</w:t>
      </w:r>
    </w:p>
    <w:p w14:paraId="699EB7B7" w14:textId="77777777" w:rsidR="00F434A4" w:rsidRPr="004355E6" w:rsidRDefault="00F434A4" w:rsidP="00F434A4">
      <w:pPr>
        <w:pStyle w:val="ListParagraph"/>
        <w:numPr>
          <w:ilvl w:val="0"/>
          <w:numId w:val="9"/>
        </w:numPr>
        <w:spacing w:before="240" w:line="360" w:lineRule="auto"/>
        <w:jc w:val="both"/>
        <w:rPr>
          <w:rFonts w:ascii="Arial" w:hAnsi="Arial" w:cs="Arial"/>
        </w:rPr>
      </w:pPr>
      <w:r>
        <w:rPr>
          <w:rFonts w:ascii="Arial" w:hAnsi="Arial" w:cs="Arial"/>
        </w:rPr>
        <w:t>there are i</w:t>
      </w:r>
      <w:r w:rsidRPr="004355E6">
        <w:rPr>
          <w:rFonts w:ascii="Arial" w:hAnsi="Arial" w:cs="Arial"/>
        </w:rPr>
        <w:t>mproved and reciprocal practices when agreements are not</w:t>
      </w:r>
      <w:r>
        <w:rPr>
          <w:rFonts w:ascii="Arial" w:hAnsi="Arial" w:cs="Arial"/>
        </w:rPr>
        <w:t xml:space="preserve"> renewed;</w:t>
      </w:r>
      <w:r w:rsidRPr="004355E6">
        <w:rPr>
          <w:rFonts w:ascii="Arial" w:hAnsi="Arial" w:cs="Arial"/>
        </w:rPr>
        <w:t xml:space="preserve"> </w:t>
      </w:r>
    </w:p>
    <w:p w14:paraId="08FADF4B" w14:textId="77777777" w:rsidR="00F434A4" w:rsidRPr="004355E6" w:rsidRDefault="00F434A4" w:rsidP="00F434A4">
      <w:pPr>
        <w:pStyle w:val="ListParagraph"/>
        <w:numPr>
          <w:ilvl w:val="0"/>
          <w:numId w:val="9"/>
        </w:numPr>
        <w:spacing w:before="240" w:line="360" w:lineRule="auto"/>
        <w:jc w:val="both"/>
        <w:rPr>
          <w:rFonts w:ascii="Arial" w:hAnsi="Arial" w:cs="Arial"/>
        </w:rPr>
      </w:pPr>
      <w:r>
        <w:rPr>
          <w:rFonts w:ascii="Arial" w:hAnsi="Arial" w:cs="Arial"/>
        </w:rPr>
        <w:t>c</w:t>
      </w:r>
      <w:r w:rsidRPr="004355E6">
        <w:rPr>
          <w:rFonts w:ascii="Arial" w:hAnsi="Arial" w:cs="Arial"/>
        </w:rPr>
        <w:t>lear reasons and grounds are provide</w:t>
      </w:r>
      <w:r>
        <w:rPr>
          <w:rFonts w:ascii="Arial" w:hAnsi="Arial" w:cs="Arial"/>
        </w:rPr>
        <w:t>d for non-renewal of agreements;</w:t>
      </w:r>
      <w:r w:rsidRPr="004355E6">
        <w:rPr>
          <w:rFonts w:ascii="Arial" w:hAnsi="Arial" w:cs="Arial"/>
        </w:rPr>
        <w:t xml:space="preserve"> </w:t>
      </w:r>
    </w:p>
    <w:p w14:paraId="1B5504BC" w14:textId="77777777" w:rsidR="00F434A4" w:rsidRPr="004355E6" w:rsidRDefault="00F434A4" w:rsidP="00F434A4">
      <w:pPr>
        <w:pStyle w:val="ListParagraph"/>
        <w:numPr>
          <w:ilvl w:val="0"/>
          <w:numId w:val="9"/>
        </w:numPr>
        <w:spacing w:before="240" w:line="360" w:lineRule="auto"/>
        <w:jc w:val="both"/>
        <w:rPr>
          <w:rFonts w:ascii="Arial" w:hAnsi="Arial" w:cs="Arial"/>
        </w:rPr>
      </w:pPr>
      <w:r>
        <w:rPr>
          <w:rFonts w:ascii="Arial" w:hAnsi="Arial" w:cs="Arial"/>
        </w:rPr>
        <w:t>t</w:t>
      </w:r>
      <w:r w:rsidRPr="004355E6">
        <w:rPr>
          <w:rFonts w:ascii="Arial" w:hAnsi="Arial" w:cs="Arial"/>
        </w:rPr>
        <w:t>here is sufficient flexibility in commercial dealings for future challenges (</w:t>
      </w:r>
      <w:r w:rsidRPr="00BF72EA">
        <w:rPr>
          <w:rFonts w:ascii="Arial" w:hAnsi="Arial" w:cs="Arial"/>
        </w:rPr>
        <w:t>for example, industry’s ability to adapt to technological advancements and changing business models);</w:t>
      </w:r>
    </w:p>
    <w:p w14:paraId="27A35486" w14:textId="77777777" w:rsidR="00F434A4" w:rsidRPr="004355E6" w:rsidRDefault="00F434A4" w:rsidP="00F434A4">
      <w:pPr>
        <w:pStyle w:val="ListParagraph"/>
        <w:numPr>
          <w:ilvl w:val="0"/>
          <w:numId w:val="9"/>
        </w:numPr>
        <w:spacing w:before="240" w:line="360" w:lineRule="auto"/>
        <w:jc w:val="both"/>
        <w:rPr>
          <w:rFonts w:ascii="Arial" w:hAnsi="Arial" w:cs="Arial"/>
        </w:rPr>
      </w:pPr>
      <w:r>
        <w:rPr>
          <w:rFonts w:ascii="Arial" w:hAnsi="Arial" w:cs="Arial"/>
        </w:rPr>
        <w:t>t</w:t>
      </w:r>
      <w:r w:rsidRPr="004355E6">
        <w:rPr>
          <w:rFonts w:ascii="Arial" w:hAnsi="Arial" w:cs="Arial"/>
        </w:rPr>
        <w:t>here is a more equitable power balance between dealers and manufacturers</w:t>
      </w:r>
      <w:r>
        <w:rPr>
          <w:rFonts w:ascii="Arial" w:hAnsi="Arial" w:cs="Arial"/>
        </w:rPr>
        <w:t>, particularly in relation to capital expenditure disclosure;</w:t>
      </w:r>
      <w:r w:rsidRPr="004355E6">
        <w:rPr>
          <w:rFonts w:ascii="Arial" w:hAnsi="Arial" w:cs="Arial"/>
        </w:rPr>
        <w:t xml:space="preserve"> </w:t>
      </w:r>
      <w:r>
        <w:rPr>
          <w:rFonts w:ascii="Arial" w:hAnsi="Arial" w:cs="Arial"/>
        </w:rPr>
        <w:t>and</w:t>
      </w:r>
    </w:p>
    <w:p w14:paraId="5F79676C" w14:textId="3FEE634F" w:rsidR="00D9330E" w:rsidRPr="00650811" w:rsidRDefault="00F434A4" w:rsidP="00650811">
      <w:pPr>
        <w:pStyle w:val="ListParagraph"/>
        <w:numPr>
          <w:ilvl w:val="0"/>
          <w:numId w:val="9"/>
        </w:numPr>
        <w:spacing w:before="240" w:line="360" w:lineRule="auto"/>
        <w:jc w:val="both"/>
        <w:rPr>
          <w:rFonts w:ascii="Arial" w:hAnsi="Arial" w:cs="Arial"/>
        </w:rPr>
      </w:pPr>
      <w:r w:rsidRPr="00650811">
        <w:rPr>
          <w:rFonts w:ascii="Arial" w:hAnsi="Arial" w:cs="Arial"/>
        </w:rPr>
        <w:t>parties are aware of and make increased use of multiple-franchisee mediation mechanisms.</w:t>
      </w:r>
    </w:p>
    <w:p w14:paraId="3F1D0A43" w14:textId="77777777" w:rsidR="003C7FB8" w:rsidRDefault="11FF59B9" w:rsidP="006647E7">
      <w:pPr>
        <w:pStyle w:val="Heading1"/>
        <w:numPr>
          <w:ilvl w:val="0"/>
          <w:numId w:val="1"/>
        </w:numPr>
        <w:rPr>
          <w:color w:val="005677"/>
        </w:rPr>
      </w:pPr>
      <w:bookmarkStart w:id="61" w:name="_Toc529891245"/>
      <w:bookmarkStart w:id="62" w:name="_Toc529891263"/>
      <w:bookmarkStart w:id="63" w:name="_Toc530493130"/>
      <w:bookmarkStart w:id="64" w:name="_Toc530493185"/>
      <w:bookmarkStart w:id="65" w:name="_Toc530563051"/>
      <w:bookmarkStart w:id="66" w:name="_Toc20489942"/>
      <w:r w:rsidRPr="11FF59B9">
        <w:rPr>
          <w:color w:val="005677"/>
        </w:rPr>
        <w:t>Options</w:t>
      </w:r>
      <w:bookmarkEnd w:id="61"/>
      <w:bookmarkEnd w:id="62"/>
      <w:bookmarkEnd w:id="63"/>
      <w:bookmarkEnd w:id="64"/>
      <w:bookmarkEnd w:id="65"/>
      <w:bookmarkEnd w:id="66"/>
    </w:p>
    <w:p w14:paraId="3F1D0A44" w14:textId="77777777" w:rsidR="005B6A58" w:rsidRPr="00BA11D3" w:rsidRDefault="11FF59B9" w:rsidP="11FF59B9">
      <w:pPr>
        <w:pStyle w:val="Heading2"/>
        <w:rPr>
          <w:rFonts w:ascii="Arial" w:hAnsi="Arial" w:cs="Arial"/>
          <w:sz w:val="36"/>
          <w:szCs w:val="36"/>
        </w:rPr>
      </w:pPr>
      <w:bookmarkStart w:id="67" w:name="_Toc529891246"/>
      <w:bookmarkStart w:id="68" w:name="_Toc529891264"/>
      <w:bookmarkStart w:id="69" w:name="_Toc530493131"/>
      <w:bookmarkStart w:id="70" w:name="_Toc530493186"/>
      <w:bookmarkStart w:id="71" w:name="_Toc530563052"/>
      <w:bookmarkStart w:id="72" w:name="_Toc20489943"/>
      <w:r w:rsidRPr="00BA11D3">
        <w:rPr>
          <w:rFonts w:ascii="Arial" w:hAnsi="Arial" w:cs="Arial"/>
          <w:sz w:val="36"/>
          <w:szCs w:val="36"/>
        </w:rPr>
        <w:t>1 – Status Quo</w:t>
      </w:r>
      <w:bookmarkEnd w:id="67"/>
      <w:bookmarkEnd w:id="68"/>
      <w:bookmarkEnd w:id="69"/>
      <w:bookmarkEnd w:id="70"/>
      <w:bookmarkEnd w:id="71"/>
      <w:bookmarkEnd w:id="72"/>
    </w:p>
    <w:p w14:paraId="3F1D0A45" w14:textId="2DE63769" w:rsidR="00BC0EBD" w:rsidRPr="00F9581D" w:rsidRDefault="11FF59B9" w:rsidP="11FF59B9">
      <w:pPr>
        <w:spacing w:before="240" w:line="360" w:lineRule="auto"/>
        <w:jc w:val="both"/>
        <w:rPr>
          <w:rFonts w:ascii="Arial" w:hAnsi="Arial" w:cs="Arial"/>
        </w:rPr>
      </w:pPr>
      <w:r w:rsidRPr="11FF59B9">
        <w:rPr>
          <w:rFonts w:ascii="Arial" w:hAnsi="Arial" w:cs="Arial"/>
        </w:rPr>
        <w:t xml:space="preserve">Under this option, no regulatory changes would be made and new car dealers and car manufacturers would continue to be subject to the existing provisions in the Franchising Code (which are summarised in Appendix 2). If any amendments were made to the Franchising Code in response to the </w:t>
      </w:r>
      <w:r w:rsidR="004D0831">
        <w:rPr>
          <w:rFonts w:ascii="Arial" w:hAnsi="Arial" w:cs="Arial"/>
        </w:rPr>
        <w:t>PJC</w:t>
      </w:r>
      <w:r w:rsidR="00275498" w:rsidRPr="11FF59B9">
        <w:rPr>
          <w:rFonts w:ascii="Arial" w:hAnsi="Arial" w:cs="Arial"/>
        </w:rPr>
        <w:t xml:space="preserve"> </w:t>
      </w:r>
      <w:r w:rsidR="00B635F7">
        <w:rPr>
          <w:rFonts w:ascii="Arial" w:hAnsi="Arial" w:cs="Arial"/>
        </w:rPr>
        <w:t>Report</w:t>
      </w:r>
      <w:r w:rsidRPr="11FF59B9">
        <w:rPr>
          <w:rFonts w:ascii="Arial" w:hAnsi="Arial" w:cs="Arial"/>
        </w:rPr>
        <w:t xml:space="preserve">, those amendments </w:t>
      </w:r>
      <w:r w:rsidR="002834CB">
        <w:rPr>
          <w:rFonts w:ascii="Arial" w:hAnsi="Arial" w:cs="Arial"/>
        </w:rPr>
        <w:t>c</w:t>
      </w:r>
      <w:r w:rsidRPr="11FF59B9">
        <w:rPr>
          <w:rFonts w:ascii="Arial" w:hAnsi="Arial" w:cs="Arial"/>
        </w:rPr>
        <w:t xml:space="preserve">ould also apply to dealer agreements. </w:t>
      </w:r>
    </w:p>
    <w:p w14:paraId="3F1D0A46" w14:textId="6744CFCD" w:rsidR="00F9581D" w:rsidRDefault="00E5374F" w:rsidP="11FF59B9">
      <w:pPr>
        <w:spacing w:before="240" w:line="360" w:lineRule="auto"/>
        <w:jc w:val="both"/>
        <w:rPr>
          <w:rFonts w:ascii="Arial" w:hAnsi="Arial" w:cs="Arial"/>
        </w:rPr>
      </w:pPr>
      <w:r>
        <w:rPr>
          <w:rFonts w:ascii="Arial" w:hAnsi="Arial" w:cs="Arial"/>
        </w:rPr>
        <w:t>The</w:t>
      </w:r>
      <w:r w:rsidR="00B20A88">
        <w:rPr>
          <w:rFonts w:ascii="Arial" w:hAnsi="Arial" w:cs="Arial"/>
        </w:rPr>
        <w:t xml:space="preserve"> PJC Report made several recommendations for the broader franchising sector as well as specific</w:t>
      </w:r>
      <w:r w:rsidR="0099088E">
        <w:rPr>
          <w:rFonts w:ascii="Arial" w:hAnsi="Arial" w:cs="Arial"/>
        </w:rPr>
        <w:t xml:space="preserve">ally for the automotive sector. </w:t>
      </w:r>
      <w:r w:rsidR="001A4A50">
        <w:rPr>
          <w:rFonts w:ascii="Arial" w:hAnsi="Arial" w:cs="Arial"/>
        </w:rPr>
        <w:t>While s</w:t>
      </w:r>
      <w:r w:rsidR="0099088E">
        <w:rPr>
          <w:rFonts w:ascii="Arial" w:hAnsi="Arial" w:cs="Arial"/>
        </w:rPr>
        <w:t>ome of these recom</w:t>
      </w:r>
      <w:r w:rsidR="006C7610">
        <w:rPr>
          <w:rFonts w:ascii="Arial" w:hAnsi="Arial" w:cs="Arial"/>
        </w:rPr>
        <w:t>mendations address concerns raised by new car dealers</w:t>
      </w:r>
      <w:r w:rsidR="001A4A50">
        <w:rPr>
          <w:rFonts w:ascii="Arial" w:hAnsi="Arial" w:cs="Arial"/>
        </w:rPr>
        <w:t xml:space="preserve">, they do </w:t>
      </w:r>
      <w:r w:rsidR="006C7610">
        <w:rPr>
          <w:rFonts w:ascii="Arial" w:hAnsi="Arial" w:cs="Arial"/>
        </w:rPr>
        <w:t xml:space="preserve">not </w:t>
      </w:r>
      <w:r w:rsidR="006E15AD">
        <w:rPr>
          <w:rFonts w:ascii="Arial" w:hAnsi="Arial" w:cs="Arial"/>
        </w:rPr>
        <w:t>a</w:t>
      </w:r>
      <w:r w:rsidR="00F249EA">
        <w:rPr>
          <w:rFonts w:ascii="Arial" w:hAnsi="Arial" w:cs="Arial"/>
        </w:rPr>
        <w:t>ddress the full range of concerns</w:t>
      </w:r>
      <w:r w:rsidR="006E15AD">
        <w:rPr>
          <w:rFonts w:ascii="Arial" w:hAnsi="Arial" w:cs="Arial"/>
        </w:rPr>
        <w:t xml:space="preserve">. </w:t>
      </w:r>
      <w:r w:rsidR="009A4559">
        <w:rPr>
          <w:rFonts w:ascii="Arial" w:hAnsi="Arial" w:cs="Arial"/>
        </w:rPr>
        <w:t xml:space="preserve">For example, </w:t>
      </w:r>
      <w:r w:rsidR="00485249">
        <w:rPr>
          <w:rFonts w:ascii="Arial" w:hAnsi="Arial" w:cs="Arial"/>
        </w:rPr>
        <w:t>the RIS recommends requiring reasons for non-renewal</w:t>
      </w:r>
      <w:r w:rsidR="00C54266">
        <w:rPr>
          <w:rFonts w:ascii="Arial" w:hAnsi="Arial" w:cs="Arial"/>
        </w:rPr>
        <w:t>, in the case of a dealer receiving the notice</w:t>
      </w:r>
      <w:r w:rsidR="00AA5A52">
        <w:rPr>
          <w:rFonts w:ascii="Arial" w:hAnsi="Arial" w:cs="Arial"/>
        </w:rPr>
        <w:t>,</w:t>
      </w:r>
      <w:r w:rsidR="00EE0D32">
        <w:rPr>
          <w:rFonts w:ascii="Arial" w:hAnsi="Arial" w:cs="Arial"/>
        </w:rPr>
        <w:t xml:space="preserve"> </w:t>
      </w:r>
      <w:r w:rsidR="003D7F61">
        <w:rPr>
          <w:rFonts w:ascii="Arial" w:hAnsi="Arial" w:cs="Arial"/>
        </w:rPr>
        <w:t>to allow a better assessment of their options</w:t>
      </w:r>
      <w:r w:rsidR="00591F76">
        <w:rPr>
          <w:rFonts w:ascii="Arial" w:hAnsi="Arial" w:cs="Arial"/>
        </w:rPr>
        <w:t>.</w:t>
      </w:r>
      <w:r w:rsidR="00B907CD">
        <w:rPr>
          <w:rFonts w:ascii="Arial" w:hAnsi="Arial" w:cs="Arial"/>
        </w:rPr>
        <w:t xml:space="preserve"> </w:t>
      </w:r>
      <w:r w:rsidR="00235F63">
        <w:rPr>
          <w:rFonts w:ascii="Arial" w:hAnsi="Arial" w:cs="Arial"/>
        </w:rPr>
        <w:t>W</w:t>
      </w:r>
      <w:r w:rsidR="00917767">
        <w:rPr>
          <w:rFonts w:ascii="Arial" w:hAnsi="Arial" w:cs="Arial"/>
        </w:rPr>
        <w:t xml:space="preserve">ithout further action </w:t>
      </w:r>
      <w:r w:rsidR="00F33CB2">
        <w:rPr>
          <w:rFonts w:ascii="Arial" w:hAnsi="Arial" w:cs="Arial"/>
        </w:rPr>
        <w:t>c</w:t>
      </w:r>
      <w:r w:rsidR="11FF59B9" w:rsidRPr="11FF59B9">
        <w:rPr>
          <w:rFonts w:ascii="Arial" w:hAnsi="Arial" w:cs="Arial"/>
        </w:rPr>
        <w:t xml:space="preserve">ar </w:t>
      </w:r>
      <w:r w:rsidR="11FF59B9" w:rsidRPr="11FF59B9">
        <w:rPr>
          <w:rFonts w:ascii="Arial" w:hAnsi="Arial" w:cs="Arial"/>
        </w:rPr>
        <w:lastRenderedPageBreak/>
        <w:t xml:space="preserve">dealers </w:t>
      </w:r>
      <w:r w:rsidR="002834CB">
        <w:rPr>
          <w:rFonts w:ascii="Arial" w:hAnsi="Arial" w:cs="Arial"/>
        </w:rPr>
        <w:t>c</w:t>
      </w:r>
      <w:r w:rsidR="11FF59B9" w:rsidRPr="11FF59B9">
        <w:rPr>
          <w:rFonts w:ascii="Arial" w:hAnsi="Arial" w:cs="Arial"/>
        </w:rPr>
        <w:t>ould continue to</w:t>
      </w:r>
      <w:r w:rsidR="00F33CB2">
        <w:rPr>
          <w:rFonts w:ascii="Arial" w:hAnsi="Arial" w:cs="Arial"/>
        </w:rPr>
        <w:t xml:space="preserve"> face problems </w:t>
      </w:r>
      <w:r w:rsidR="00F33CB2" w:rsidRPr="00F33CB2">
        <w:rPr>
          <w:rFonts w:ascii="Arial" w:hAnsi="Arial" w:cs="Arial"/>
        </w:rPr>
        <w:t xml:space="preserve">negotiating end of term arrangements, </w:t>
      </w:r>
      <w:r w:rsidR="00F33CB2">
        <w:rPr>
          <w:rFonts w:ascii="Arial" w:hAnsi="Arial" w:cs="Arial"/>
        </w:rPr>
        <w:t>in</w:t>
      </w:r>
      <w:r w:rsidR="00362F3F">
        <w:rPr>
          <w:rFonts w:ascii="Arial" w:hAnsi="Arial" w:cs="Arial"/>
        </w:rPr>
        <w:t xml:space="preserve"> gaining meaningful disclosure on, and</w:t>
      </w:r>
      <w:r w:rsidR="00F33CB2">
        <w:rPr>
          <w:rFonts w:ascii="Arial" w:hAnsi="Arial" w:cs="Arial"/>
        </w:rPr>
        <w:t xml:space="preserve"> </w:t>
      </w:r>
      <w:r w:rsidR="00F33CB2" w:rsidRPr="00F33CB2">
        <w:rPr>
          <w:rFonts w:ascii="Arial" w:hAnsi="Arial" w:cs="Arial"/>
        </w:rPr>
        <w:t>recoup</w:t>
      </w:r>
      <w:r w:rsidR="00F33CB2">
        <w:rPr>
          <w:rFonts w:ascii="Arial" w:hAnsi="Arial" w:cs="Arial"/>
        </w:rPr>
        <w:t>ing</w:t>
      </w:r>
      <w:r w:rsidR="00362F3F">
        <w:rPr>
          <w:rFonts w:ascii="Arial" w:hAnsi="Arial" w:cs="Arial"/>
        </w:rPr>
        <w:t xml:space="preserve">, </w:t>
      </w:r>
      <w:r w:rsidR="00F33CB2" w:rsidRPr="00F33CB2">
        <w:rPr>
          <w:rFonts w:ascii="Arial" w:hAnsi="Arial" w:cs="Arial"/>
        </w:rPr>
        <w:t>capital expenditure</w:t>
      </w:r>
      <w:r w:rsidR="00362F3F">
        <w:rPr>
          <w:rFonts w:ascii="Arial" w:hAnsi="Arial" w:cs="Arial"/>
        </w:rPr>
        <w:t>.</w:t>
      </w:r>
    </w:p>
    <w:p w14:paraId="3F1D0A47" w14:textId="77777777" w:rsidR="007645B4" w:rsidRPr="0040566B" w:rsidRDefault="11FF59B9" w:rsidP="5996C6E7">
      <w:pPr>
        <w:keepNext/>
        <w:spacing w:before="240" w:after="0" w:line="360" w:lineRule="auto"/>
        <w:jc w:val="both"/>
        <w:rPr>
          <w:rFonts w:ascii="Arial" w:hAnsi="Arial" w:cs="Arial"/>
          <w:i/>
          <w:iCs/>
        </w:rPr>
      </w:pPr>
      <w:r w:rsidRPr="5996C6E7">
        <w:rPr>
          <w:rFonts w:ascii="Arial" w:hAnsi="Arial" w:cs="Arial"/>
          <w:i/>
          <w:iCs/>
        </w:rPr>
        <w:t>Net benefits</w:t>
      </w:r>
    </w:p>
    <w:p w14:paraId="3F1D0A48" w14:textId="5D3CF723" w:rsidR="007645B4" w:rsidRDefault="11FF59B9" w:rsidP="11FF59B9">
      <w:pPr>
        <w:spacing w:before="120" w:line="360" w:lineRule="auto"/>
        <w:jc w:val="both"/>
        <w:rPr>
          <w:rFonts w:ascii="Arial" w:hAnsi="Arial" w:cs="Arial"/>
        </w:rPr>
      </w:pPr>
      <w:r w:rsidRPr="11FF59B9">
        <w:rPr>
          <w:rFonts w:ascii="Arial" w:hAnsi="Arial" w:cs="Arial"/>
        </w:rPr>
        <w:t xml:space="preserve">While this option </w:t>
      </w:r>
      <w:r w:rsidR="002834CB">
        <w:rPr>
          <w:rFonts w:ascii="Arial" w:hAnsi="Arial" w:cs="Arial"/>
        </w:rPr>
        <w:t>c</w:t>
      </w:r>
      <w:r w:rsidRPr="11FF59B9">
        <w:rPr>
          <w:rFonts w:ascii="Arial" w:hAnsi="Arial" w:cs="Arial"/>
        </w:rPr>
        <w:t>ould have no regulatory impact, it is not the preferred option as it would not address the problems identified in this RIS.</w:t>
      </w:r>
    </w:p>
    <w:p w14:paraId="3F1D0A49" w14:textId="76D3D33C" w:rsidR="00CF77B6" w:rsidRPr="0040566B" w:rsidRDefault="11FF59B9" w:rsidP="006647E7">
      <w:pPr>
        <w:pStyle w:val="Heading2"/>
        <w:numPr>
          <w:ilvl w:val="0"/>
          <w:numId w:val="12"/>
        </w:numPr>
        <w:rPr>
          <w:rFonts w:ascii="Arial" w:hAnsi="Arial" w:cs="Arial"/>
          <w:sz w:val="36"/>
          <w:szCs w:val="36"/>
        </w:rPr>
      </w:pPr>
      <w:bookmarkStart w:id="73" w:name="_Toc529891247"/>
      <w:bookmarkStart w:id="74" w:name="_Toc529891265"/>
      <w:bookmarkStart w:id="75" w:name="_Toc530493132"/>
      <w:bookmarkStart w:id="76" w:name="_Toc530493187"/>
      <w:bookmarkStart w:id="77" w:name="_Toc530563053"/>
      <w:bookmarkStart w:id="78" w:name="_Toc20489944"/>
      <w:r w:rsidRPr="00BA11D3">
        <w:rPr>
          <w:rFonts w:ascii="Arial" w:hAnsi="Arial" w:cs="Arial"/>
          <w:sz w:val="36"/>
          <w:szCs w:val="36"/>
        </w:rPr>
        <w:t xml:space="preserve">– </w:t>
      </w:r>
      <w:bookmarkEnd w:id="73"/>
      <w:bookmarkEnd w:id="74"/>
      <w:r w:rsidR="00BA11D3">
        <w:rPr>
          <w:rFonts w:ascii="Arial" w:hAnsi="Arial" w:cs="Arial"/>
          <w:sz w:val="36"/>
          <w:szCs w:val="36"/>
        </w:rPr>
        <w:t>Regulatory Intervention</w:t>
      </w:r>
      <w:bookmarkEnd w:id="75"/>
      <w:bookmarkEnd w:id="76"/>
      <w:bookmarkEnd w:id="77"/>
      <w:bookmarkEnd w:id="78"/>
    </w:p>
    <w:p w14:paraId="400C3B45" w14:textId="286BD567" w:rsidR="00DF6B83" w:rsidRDefault="007025E9" w:rsidP="00DF6B83">
      <w:pPr>
        <w:spacing w:before="240" w:line="360" w:lineRule="auto"/>
        <w:jc w:val="both"/>
        <w:rPr>
          <w:rFonts w:ascii="Arial" w:hAnsi="Arial" w:cs="Arial"/>
        </w:rPr>
      </w:pPr>
      <w:r w:rsidRPr="00FF4312">
        <w:rPr>
          <w:rFonts w:ascii="Arial" w:hAnsi="Arial" w:cs="Arial"/>
        </w:rPr>
        <w:t xml:space="preserve">Under this option, the Government would make regulatory changes to address the issues identified in the problem section of the RIS. The </w:t>
      </w:r>
      <w:r w:rsidR="004465CB">
        <w:rPr>
          <w:rFonts w:ascii="Arial" w:hAnsi="Arial" w:cs="Arial"/>
        </w:rPr>
        <w:t xml:space="preserve">reforms </w:t>
      </w:r>
      <w:r w:rsidR="002834CB">
        <w:rPr>
          <w:rFonts w:ascii="Arial" w:hAnsi="Arial" w:cs="Arial"/>
        </w:rPr>
        <w:t>c</w:t>
      </w:r>
      <w:r w:rsidR="004465CB">
        <w:rPr>
          <w:rFonts w:ascii="Arial" w:hAnsi="Arial" w:cs="Arial"/>
        </w:rPr>
        <w:t xml:space="preserve">ould be implemented by </w:t>
      </w:r>
      <w:r w:rsidR="006E47F1">
        <w:rPr>
          <w:rFonts w:ascii="Arial" w:hAnsi="Arial" w:cs="Arial"/>
        </w:rPr>
        <w:t>amending the Franchising Code to incorporate additional obligations which only apply to dealership agreements</w:t>
      </w:r>
      <w:r w:rsidR="00E667D5">
        <w:rPr>
          <w:rFonts w:ascii="Arial" w:hAnsi="Arial" w:cs="Arial"/>
        </w:rPr>
        <w:t>.</w:t>
      </w:r>
      <w:r w:rsidR="00EE1316">
        <w:rPr>
          <w:rFonts w:ascii="Arial" w:hAnsi="Arial" w:cs="Arial"/>
        </w:rPr>
        <w:t xml:space="preserve"> </w:t>
      </w:r>
      <w:r w:rsidR="00DF6B83">
        <w:rPr>
          <w:rFonts w:ascii="Arial" w:hAnsi="Arial" w:cs="Arial"/>
        </w:rPr>
        <w:t xml:space="preserve">This chapter includes a number of sub-options, each of which are considered individually, but if chosen, </w:t>
      </w:r>
      <w:r w:rsidR="002834CB">
        <w:rPr>
          <w:rFonts w:ascii="Arial" w:hAnsi="Arial" w:cs="Arial"/>
        </w:rPr>
        <w:t>c</w:t>
      </w:r>
      <w:r w:rsidR="00DF6B83">
        <w:rPr>
          <w:rFonts w:ascii="Arial" w:hAnsi="Arial" w:cs="Arial"/>
        </w:rPr>
        <w:t xml:space="preserve">ould be implemented </w:t>
      </w:r>
      <w:r w:rsidR="001A4A50">
        <w:rPr>
          <w:rFonts w:ascii="Arial" w:hAnsi="Arial" w:cs="Arial"/>
        </w:rPr>
        <w:t xml:space="preserve">as a </w:t>
      </w:r>
      <w:r w:rsidR="000D3A12">
        <w:rPr>
          <w:rFonts w:ascii="Arial" w:hAnsi="Arial" w:cs="Arial"/>
        </w:rPr>
        <w:t>group of amendments</w:t>
      </w:r>
      <w:r w:rsidR="00DF6B83">
        <w:rPr>
          <w:rFonts w:ascii="Arial" w:hAnsi="Arial" w:cs="Arial"/>
        </w:rPr>
        <w:t xml:space="preserve">. </w:t>
      </w:r>
    </w:p>
    <w:p w14:paraId="41A21911" w14:textId="5310AAFB" w:rsidR="00816E86" w:rsidRPr="0040566B" w:rsidRDefault="004254D5" w:rsidP="0040566B">
      <w:pPr>
        <w:keepNext/>
        <w:rPr>
          <w:rFonts w:ascii="Arial" w:hAnsi="Arial" w:cs="Arial"/>
          <w:i/>
          <w:iCs/>
        </w:rPr>
      </w:pPr>
      <w:r w:rsidRPr="0040566B">
        <w:rPr>
          <w:rFonts w:ascii="Arial" w:hAnsi="Arial" w:cs="Arial"/>
          <w:i/>
          <w:iCs/>
        </w:rPr>
        <w:t>Regulatory burden</w:t>
      </w:r>
    </w:p>
    <w:tbl>
      <w:tblPr>
        <w:tblStyle w:val="LightGrid-Accent2"/>
        <w:tblW w:w="9464" w:type="dxa"/>
        <w:tblLook w:val="04A0" w:firstRow="1" w:lastRow="0" w:firstColumn="1" w:lastColumn="0" w:noHBand="0" w:noVBand="1"/>
        <w:tblCaption w:val="Regulatory burden estimate table"/>
        <w:tblDescription w:val="Average annual regulatory costs for option 2. Total change in cost is Nil."/>
      </w:tblPr>
      <w:tblGrid>
        <w:gridCol w:w="2128"/>
        <w:gridCol w:w="1646"/>
        <w:gridCol w:w="2170"/>
        <w:gridCol w:w="1946"/>
        <w:gridCol w:w="1574"/>
      </w:tblGrid>
      <w:tr w:rsidR="00816E86" w:rsidRPr="003F1308" w14:paraId="5570910C" w14:textId="77777777" w:rsidTr="0040566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9464" w:type="dxa"/>
            <w:gridSpan w:val="5"/>
            <w:noWrap/>
          </w:tcPr>
          <w:p w14:paraId="14352246" w14:textId="5EB63150" w:rsidR="00816E86" w:rsidRPr="003F1308" w:rsidRDefault="00816E86" w:rsidP="00816E86">
            <w:pPr>
              <w:rPr>
                <w:rFonts w:ascii="Arial" w:hAnsi="Arial" w:cs="Arial"/>
                <w:sz w:val="20"/>
                <w:szCs w:val="20"/>
              </w:rPr>
            </w:pPr>
            <w:r w:rsidRPr="003F1308">
              <w:rPr>
                <w:rFonts w:ascii="Arial" w:hAnsi="Arial" w:cs="Arial"/>
                <w:sz w:val="20"/>
                <w:szCs w:val="20"/>
              </w:rPr>
              <w:t>Total Option 2 Costs - Average annual regulatory costs (ten years)</w:t>
            </w:r>
          </w:p>
        </w:tc>
      </w:tr>
      <w:tr w:rsidR="00816E86" w:rsidRPr="003F1308" w14:paraId="48677959" w14:textId="77777777" w:rsidTr="0040566B">
        <w:trPr>
          <w:trHeight w:val="300"/>
        </w:trPr>
        <w:tc>
          <w:tcPr>
            <w:cnfStyle w:val="001000000000" w:firstRow="0" w:lastRow="0" w:firstColumn="1" w:lastColumn="0" w:oddVBand="0" w:evenVBand="0" w:oddHBand="0" w:evenHBand="0" w:firstRowFirstColumn="0" w:firstRowLastColumn="0" w:lastRowFirstColumn="0" w:lastRowLastColumn="0"/>
            <w:tcW w:w="2128" w:type="dxa"/>
            <w:noWrap/>
          </w:tcPr>
          <w:p w14:paraId="5A796D59" w14:textId="77777777" w:rsidR="00816E86" w:rsidRPr="0040566B" w:rsidRDefault="00816E86">
            <w:pPr>
              <w:pStyle w:val="TableText"/>
              <w:rPr>
                <w:b w:val="0"/>
              </w:rPr>
            </w:pPr>
            <w:r w:rsidRPr="003F1308">
              <w:t>Change in costs</w:t>
            </w:r>
            <w:r w:rsidRPr="0040566B">
              <w:rPr>
                <w:rFonts w:cs="Calibri"/>
              </w:rPr>
              <w:t xml:space="preserve"> ($ million)</w:t>
            </w:r>
          </w:p>
        </w:tc>
        <w:tc>
          <w:tcPr>
            <w:tcW w:w="1646" w:type="dxa"/>
            <w:noWrap/>
          </w:tcPr>
          <w:p w14:paraId="7F64D010" w14:textId="77777777" w:rsidR="00816E86" w:rsidRPr="003F1308" w:rsidRDefault="00816E86" w:rsidP="5996C6E7">
            <w:pPr>
              <w:pStyle w:val="TableText"/>
              <w:cnfStyle w:val="000000000000" w:firstRow="0" w:lastRow="0" w:firstColumn="0" w:lastColumn="0" w:oddVBand="0" w:evenVBand="0" w:oddHBand="0" w:evenHBand="0" w:firstRowFirstColumn="0" w:firstRowLastColumn="0" w:lastRowFirstColumn="0" w:lastRowLastColumn="0"/>
            </w:pPr>
            <w:r w:rsidRPr="003F1308">
              <w:t>Business</w:t>
            </w:r>
          </w:p>
        </w:tc>
        <w:tc>
          <w:tcPr>
            <w:tcW w:w="2170" w:type="dxa"/>
            <w:noWrap/>
          </w:tcPr>
          <w:p w14:paraId="598EE2C2" w14:textId="77777777" w:rsidR="00816E86" w:rsidRPr="003F1308" w:rsidRDefault="00816E86" w:rsidP="5996C6E7">
            <w:pPr>
              <w:pStyle w:val="TableText"/>
              <w:cnfStyle w:val="000000000000" w:firstRow="0" w:lastRow="0" w:firstColumn="0" w:lastColumn="0" w:oddVBand="0" w:evenVBand="0" w:oddHBand="0" w:evenHBand="0" w:firstRowFirstColumn="0" w:firstRowLastColumn="0" w:lastRowFirstColumn="0" w:lastRowLastColumn="0"/>
            </w:pPr>
            <w:r w:rsidRPr="0040566B">
              <w:rPr>
                <w:rFonts w:cs="Calibri"/>
              </w:rPr>
              <w:t>Community organisations</w:t>
            </w:r>
          </w:p>
        </w:tc>
        <w:tc>
          <w:tcPr>
            <w:tcW w:w="1946" w:type="dxa"/>
            <w:noWrap/>
          </w:tcPr>
          <w:p w14:paraId="599E0A83" w14:textId="77777777" w:rsidR="00816E86" w:rsidRPr="003F1308" w:rsidRDefault="00816E86" w:rsidP="5996C6E7">
            <w:pPr>
              <w:pStyle w:val="TableText"/>
              <w:cnfStyle w:val="000000000000" w:firstRow="0" w:lastRow="0" w:firstColumn="0" w:lastColumn="0" w:oddVBand="0" w:evenVBand="0" w:oddHBand="0" w:evenHBand="0" w:firstRowFirstColumn="0" w:firstRowLastColumn="0" w:lastRowFirstColumn="0" w:lastRowLastColumn="0"/>
            </w:pPr>
            <w:r w:rsidRPr="003F1308">
              <w:t>Individuals</w:t>
            </w:r>
          </w:p>
        </w:tc>
        <w:tc>
          <w:tcPr>
            <w:tcW w:w="1574" w:type="dxa"/>
            <w:noWrap/>
          </w:tcPr>
          <w:p w14:paraId="1F061BDC" w14:textId="77777777" w:rsidR="00816E86" w:rsidRPr="003F1308" w:rsidRDefault="00816E86" w:rsidP="5996C6E7">
            <w:pPr>
              <w:pStyle w:val="TableText"/>
              <w:cnfStyle w:val="000000000000" w:firstRow="0" w:lastRow="0" w:firstColumn="0" w:lastColumn="0" w:oddVBand="0" w:evenVBand="0" w:oddHBand="0" w:evenHBand="0" w:firstRowFirstColumn="0" w:firstRowLastColumn="0" w:lastRowFirstColumn="0" w:lastRowLastColumn="0"/>
            </w:pPr>
            <w:r w:rsidRPr="0040566B">
              <w:rPr>
                <w:rFonts w:cs="Calibri"/>
              </w:rPr>
              <w:t>Total change in cost</w:t>
            </w:r>
          </w:p>
        </w:tc>
      </w:tr>
      <w:tr w:rsidR="00816E86" w:rsidRPr="003F1308" w14:paraId="753C5A0B" w14:textId="77777777" w:rsidTr="0040566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8" w:type="dxa"/>
            <w:noWrap/>
          </w:tcPr>
          <w:p w14:paraId="44A72E8A" w14:textId="77777777" w:rsidR="00816E86" w:rsidRPr="0040566B" w:rsidRDefault="00816E86">
            <w:pPr>
              <w:pStyle w:val="TableText"/>
              <w:rPr>
                <w:b w:val="0"/>
              </w:rPr>
            </w:pPr>
            <w:r w:rsidRPr="003F1308">
              <w:t>Total, by sector</w:t>
            </w:r>
          </w:p>
        </w:tc>
        <w:tc>
          <w:tcPr>
            <w:tcW w:w="1646" w:type="dxa"/>
            <w:noWrap/>
          </w:tcPr>
          <w:p w14:paraId="5CB12A7D" w14:textId="220F103C" w:rsidR="00816E86" w:rsidRPr="0040566B" w:rsidRDefault="00683921" w:rsidP="008D48A8">
            <w:pPr>
              <w:pStyle w:val="TableText"/>
              <w:cnfStyle w:val="000000010000" w:firstRow="0" w:lastRow="0" w:firstColumn="0" w:lastColumn="0" w:oddVBand="0" w:evenVBand="0" w:oddHBand="0" w:evenHBand="1" w:firstRowFirstColumn="0" w:firstRowLastColumn="0" w:lastRowFirstColumn="0" w:lastRowLastColumn="0"/>
              <w:rPr>
                <w:rFonts w:cs="Calibri"/>
              </w:rPr>
            </w:pPr>
            <w:r>
              <w:rPr>
                <w:rFonts w:cs="Calibri"/>
              </w:rPr>
              <w:t>Nil</w:t>
            </w:r>
          </w:p>
        </w:tc>
        <w:tc>
          <w:tcPr>
            <w:tcW w:w="2170" w:type="dxa"/>
            <w:noWrap/>
          </w:tcPr>
          <w:p w14:paraId="13B7ECC2" w14:textId="77777777" w:rsidR="00816E86" w:rsidRPr="003F1308" w:rsidRDefault="00816E86" w:rsidP="000D41F9">
            <w:pPr>
              <w:pStyle w:val="TableText"/>
              <w:cnfStyle w:val="000000010000" w:firstRow="0" w:lastRow="0" w:firstColumn="0" w:lastColumn="0" w:oddVBand="0" w:evenVBand="0" w:oddHBand="0" w:evenHBand="1" w:firstRowFirstColumn="0" w:firstRowLastColumn="0" w:lastRowFirstColumn="0" w:lastRowLastColumn="0"/>
              <w:rPr>
                <w:rFonts w:cs="Calibri"/>
                <w:iCs/>
              </w:rPr>
            </w:pPr>
          </w:p>
        </w:tc>
        <w:tc>
          <w:tcPr>
            <w:tcW w:w="1946" w:type="dxa"/>
            <w:noWrap/>
          </w:tcPr>
          <w:p w14:paraId="12027ECF" w14:textId="77777777" w:rsidR="00816E86" w:rsidRPr="003F1308" w:rsidRDefault="00816E86" w:rsidP="000D41F9">
            <w:pPr>
              <w:pStyle w:val="TableText"/>
              <w:cnfStyle w:val="000000010000" w:firstRow="0" w:lastRow="0" w:firstColumn="0" w:lastColumn="0" w:oddVBand="0" w:evenVBand="0" w:oddHBand="0" w:evenHBand="1" w:firstRowFirstColumn="0" w:firstRowLastColumn="0" w:lastRowFirstColumn="0" w:lastRowLastColumn="0"/>
              <w:rPr>
                <w:rFonts w:cs="Calibri"/>
                <w:iCs/>
              </w:rPr>
            </w:pPr>
          </w:p>
        </w:tc>
        <w:tc>
          <w:tcPr>
            <w:tcW w:w="1574" w:type="dxa"/>
            <w:noWrap/>
          </w:tcPr>
          <w:p w14:paraId="04C784C0" w14:textId="5EB2BD88" w:rsidR="00816E86" w:rsidRPr="0040566B" w:rsidRDefault="00683921" w:rsidP="008D48A8">
            <w:pPr>
              <w:pStyle w:val="TableText"/>
              <w:cnfStyle w:val="000000010000" w:firstRow="0" w:lastRow="0" w:firstColumn="0" w:lastColumn="0" w:oddVBand="0" w:evenVBand="0" w:oddHBand="0" w:evenHBand="1" w:firstRowFirstColumn="0" w:firstRowLastColumn="0" w:lastRowFirstColumn="0" w:lastRowLastColumn="0"/>
              <w:rPr>
                <w:rFonts w:cs="Calibri"/>
              </w:rPr>
            </w:pPr>
            <w:r>
              <w:rPr>
                <w:rFonts w:cs="Calibri"/>
              </w:rPr>
              <w:t>Nil</w:t>
            </w:r>
          </w:p>
        </w:tc>
      </w:tr>
    </w:tbl>
    <w:p w14:paraId="33387A08" w14:textId="77777777" w:rsidR="00DD01B2" w:rsidRDefault="00DD01B2" w:rsidP="11FF59B9">
      <w:pPr>
        <w:keepNext/>
        <w:rPr>
          <w:rFonts w:ascii="Arial" w:hAnsi="Arial" w:cs="Arial"/>
        </w:rPr>
      </w:pPr>
    </w:p>
    <w:p w14:paraId="3EACB458" w14:textId="7779FF35" w:rsidR="00DD01B2" w:rsidRDefault="00474444" w:rsidP="006647E7">
      <w:pPr>
        <w:spacing w:before="240" w:line="360" w:lineRule="auto"/>
        <w:jc w:val="both"/>
        <w:rPr>
          <w:rFonts w:ascii="Arial" w:hAnsi="Arial" w:cs="Arial"/>
        </w:rPr>
      </w:pPr>
      <w:r>
        <w:rPr>
          <w:rFonts w:ascii="Arial" w:hAnsi="Arial" w:cs="Arial"/>
        </w:rPr>
        <w:t>The above ‘Nil’ costing reflects that the c</w:t>
      </w:r>
      <w:r w:rsidR="00B9749B" w:rsidRPr="00D4355F">
        <w:rPr>
          <w:rFonts w:ascii="Arial" w:hAnsi="Arial" w:cs="Arial"/>
        </w:rPr>
        <w:t>hanges</w:t>
      </w:r>
      <w:r w:rsidR="00B9749B">
        <w:rPr>
          <w:rFonts w:ascii="Arial" w:hAnsi="Arial" w:cs="Arial"/>
        </w:rPr>
        <w:t xml:space="preserve"> to the Franchising Code of Conduct</w:t>
      </w:r>
      <w:r w:rsidR="003E3E49">
        <w:rPr>
          <w:rFonts w:ascii="Arial" w:hAnsi="Arial" w:cs="Arial"/>
        </w:rPr>
        <w:t>,</w:t>
      </w:r>
      <w:r w:rsidR="00B9749B" w:rsidRPr="00D4355F">
        <w:rPr>
          <w:rFonts w:ascii="Arial" w:hAnsi="Arial" w:cs="Arial"/>
        </w:rPr>
        <w:t xml:space="preserve"> </w:t>
      </w:r>
      <w:r>
        <w:rPr>
          <w:rFonts w:ascii="Arial" w:hAnsi="Arial" w:cs="Arial"/>
        </w:rPr>
        <w:t>proposed by this RIS</w:t>
      </w:r>
      <w:r w:rsidR="003E3E49">
        <w:rPr>
          <w:rFonts w:ascii="Arial" w:hAnsi="Arial" w:cs="Arial"/>
        </w:rPr>
        <w:t>,</w:t>
      </w:r>
      <w:r>
        <w:rPr>
          <w:rFonts w:ascii="Arial" w:hAnsi="Arial" w:cs="Arial"/>
        </w:rPr>
        <w:t xml:space="preserve"> </w:t>
      </w:r>
      <w:r w:rsidR="00B9749B">
        <w:rPr>
          <w:rFonts w:ascii="Arial" w:hAnsi="Arial" w:cs="Arial"/>
        </w:rPr>
        <w:t>are not expected to extend beyond what are included in the Options below, and thereby costed, in the regulatory options.</w:t>
      </w:r>
      <w:r w:rsidR="003E3E49">
        <w:rPr>
          <w:rFonts w:ascii="Arial" w:hAnsi="Arial" w:cs="Arial"/>
        </w:rPr>
        <w:t xml:space="preserve"> </w:t>
      </w:r>
    </w:p>
    <w:p w14:paraId="3F1D0A4B" w14:textId="77777777" w:rsidR="00CF77B6" w:rsidRPr="006766C7" w:rsidRDefault="005726E0" w:rsidP="11FF59B9">
      <w:pPr>
        <w:keepNext/>
        <w:rPr>
          <w:rFonts w:ascii="Arial" w:hAnsi="Arial" w:cs="Arial"/>
          <w:b/>
          <w:bCs/>
        </w:rPr>
      </w:pPr>
      <w:r>
        <w:rPr>
          <w:rFonts w:ascii="Arial" w:hAnsi="Arial" w:cs="Arial"/>
          <w:b/>
          <w:bCs/>
        </w:rPr>
        <w:t>Option</w:t>
      </w:r>
      <w:r w:rsidR="001A6DE0">
        <w:rPr>
          <w:rFonts w:ascii="Arial" w:hAnsi="Arial" w:cs="Arial"/>
          <w:b/>
          <w:bCs/>
        </w:rPr>
        <w:t xml:space="preserve"> 2</w:t>
      </w:r>
      <w:r w:rsidR="11FF59B9" w:rsidRPr="11FF59B9">
        <w:rPr>
          <w:rFonts w:ascii="Arial" w:hAnsi="Arial" w:cs="Arial"/>
          <w:b/>
          <w:bCs/>
        </w:rPr>
        <w:t>A – 12 month notice periods</w:t>
      </w:r>
    </w:p>
    <w:p w14:paraId="3F1D0A4C" w14:textId="77777777" w:rsidR="00CF77B6" w:rsidRPr="00DF1B77" w:rsidRDefault="11FF59B9" w:rsidP="11FF59B9">
      <w:pPr>
        <w:spacing w:before="240" w:line="360" w:lineRule="auto"/>
        <w:jc w:val="both"/>
        <w:rPr>
          <w:rFonts w:ascii="Arial" w:hAnsi="Arial" w:cs="Arial"/>
        </w:rPr>
      </w:pPr>
      <w:r w:rsidRPr="11FF59B9">
        <w:rPr>
          <w:rFonts w:ascii="Arial" w:hAnsi="Arial" w:cs="Arial"/>
        </w:rPr>
        <w:t>Under the Franchising Code, if a franchisee intends to not renew the agreement they must provide the franchisee notice of their intention to not renew at least six months prior to the end of the agreement.</w:t>
      </w:r>
    </w:p>
    <w:p w14:paraId="3F1D0A4D" w14:textId="4E4170DE" w:rsidR="00CF77B6" w:rsidRDefault="11FF59B9" w:rsidP="11FF59B9">
      <w:pPr>
        <w:spacing w:before="240" w:line="360" w:lineRule="auto"/>
        <w:jc w:val="both"/>
        <w:rPr>
          <w:rFonts w:ascii="Arial" w:hAnsi="Arial" w:cs="Arial"/>
        </w:rPr>
      </w:pPr>
      <w:r w:rsidRPr="11FF59B9">
        <w:rPr>
          <w:rFonts w:ascii="Arial" w:hAnsi="Arial" w:cs="Arial"/>
        </w:rPr>
        <w:t xml:space="preserve">To provide new car dealers with </w:t>
      </w:r>
      <w:r w:rsidR="001A4A50">
        <w:rPr>
          <w:rFonts w:ascii="Arial" w:hAnsi="Arial" w:cs="Arial"/>
        </w:rPr>
        <w:t xml:space="preserve">more </w:t>
      </w:r>
      <w:r w:rsidRPr="11FF59B9">
        <w:rPr>
          <w:rFonts w:ascii="Arial" w:hAnsi="Arial" w:cs="Arial"/>
        </w:rPr>
        <w:t>time to consider how to manage their affairs at the end of their agreement, this option</w:t>
      </w:r>
      <w:r w:rsidR="006B76E6">
        <w:rPr>
          <w:rFonts w:ascii="Arial" w:hAnsi="Arial" w:cs="Arial"/>
        </w:rPr>
        <w:t>, as supported in the PJC Report</w:t>
      </w:r>
      <w:r w:rsidR="006B76E6">
        <w:rPr>
          <w:rStyle w:val="FootnoteReference"/>
          <w:rFonts w:ascii="Arial" w:hAnsi="Arial" w:cs="Arial"/>
        </w:rPr>
        <w:footnoteReference w:id="61"/>
      </w:r>
      <w:r w:rsidR="006B76E6">
        <w:rPr>
          <w:rFonts w:ascii="Arial" w:hAnsi="Arial" w:cs="Arial"/>
        </w:rPr>
        <w:t>,</w:t>
      </w:r>
      <w:r w:rsidRPr="11FF59B9">
        <w:rPr>
          <w:rFonts w:ascii="Arial" w:hAnsi="Arial" w:cs="Arial"/>
        </w:rPr>
        <w:t xml:space="preserve"> would require 12 months’ notice be provided, rather than six months. The new obligation would only apply to </w:t>
      </w:r>
      <w:r w:rsidR="008766C9">
        <w:rPr>
          <w:rFonts w:ascii="Arial" w:hAnsi="Arial" w:cs="Arial"/>
        </w:rPr>
        <w:t xml:space="preserve">an </w:t>
      </w:r>
      <w:r w:rsidRPr="11FF59B9">
        <w:rPr>
          <w:rFonts w:ascii="Arial" w:hAnsi="Arial" w:cs="Arial"/>
        </w:rPr>
        <w:t xml:space="preserve">agreement with a term greater than </w:t>
      </w:r>
      <w:r w:rsidR="001F6C1B">
        <w:rPr>
          <w:rFonts w:ascii="Arial" w:hAnsi="Arial" w:cs="Arial"/>
        </w:rPr>
        <w:t>12</w:t>
      </w:r>
      <w:r w:rsidR="001F6C1B" w:rsidRPr="11FF59B9">
        <w:rPr>
          <w:rFonts w:ascii="Arial" w:hAnsi="Arial" w:cs="Arial"/>
        </w:rPr>
        <w:t xml:space="preserve"> </w:t>
      </w:r>
      <w:r w:rsidRPr="11FF59B9">
        <w:rPr>
          <w:rFonts w:ascii="Arial" w:hAnsi="Arial" w:cs="Arial"/>
        </w:rPr>
        <w:t xml:space="preserve">months. </w:t>
      </w:r>
      <w:r w:rsidR="004C44B4">
        <w:rPr>
          <w:rFonts w:ascii="Arial" w:hAnsi="Arial" w:cs="Arial"/>
        </w:rPr>
        <w:t>The obligation would also apply to car dealers, to provide manufacturers with time to find a new car dealer in a particular area.</w:t>
      </w:r>
    </w:p>
    <w:p w14:paraId="279C4668" w14:textId="7AD9727D" w:rsidR="004C4868" w:rsidRPr="0040566B" w:rsidRDefault="004465CB" w:rsidP="0040566B">
      <w:pPr>
        <w:spacing w:before="240" w:line="360" w:lineRule="auto"/>
        <w:jc w:val="both"/>
        <w:rPr>
          <w:rFonts w:ascii="Arial" w:hAnsi="Arial" w:cs="Arial"/>
        </w:rPr>
      </w:pPr>
      <w:r w:rsidRPr="0040566B">
        <w:rPr>
          <w:rFonts w:ascii="Arial" w:hAnsi="Arial" w:cs="Arial"/>
        </w:rPr>
        <w:lastRenderedPageBreak/>
        <w:t xml:space="preserve">When the non-renewal notice is given, the manufacturer and the dealer would be required to develop </w:t>
      </w:r>
      <w:r w:rsidR="001A4A50">
        <w:rPr>
          <w:rFonts w:ascii="Arial" w:hAnsi="Arial" w:cs="Arial"/>
        </w:rPr>
        <w:t xml:space="preserve">and agree </w:t>
      </w:r>
      <w:r w:rsidRPr="0040566B">
        <w:rPr>
          <w:rFonts w:ascii="Arial" w:hAnsi="Arial" w:cs="Arial"/>
        </w:rPr>
        <w:t xml:space="preserve">a plan, with milestones, to end their agreement. This would include how stock levels </w:t>
      </w:r>
      <w:r w:rsidR="009375E6">
        <w:rPr>
          <w:rFonts w:ascii="Arial" w:hAnsi="Arial" w:cs="Arial"/>
        </w:rPr>
        <w:t xml:space="preserve">(including new vehicles, spare parts and service and repair equipment) </w:t>
      </w:r>
      <w:r w:rsidRPr="0040566B">
        <w:rPr>
          <w:rFonts w:ascii="Arial" w:hAnsi="Arial" w:cs="Arial"/>
        </w:rPr>
        <w:t>will be managed a</w:t>
      </w:r>
      <w:r w:rsidR="00C63AD7">
        <w:rPr>
          <w:rFonts w:ascii="Arial" w:hAnsi="Arial" w:cs="Arial"/>
        </w:rPr>
        <w:t>fter the non-renewal notice is issued</w:t>
      </w:r>
      <w:r w:rsidRPr="0040566B">
        <w:rPr>
          <w:rFonts w:ascii="Arial" w:hAnsi="Arial" w:cs="Arial"/>
        </w:rPr>
        <w:t>. An obligation w</w:t>
      </w:r>
      <w:r>
        <w:rPr>
          <w:rFonts w:ascii="Arial" w:hAnsi="Arial" w:cs="Arial"/>
        </w:rPr>
        <w:t>ould also be</w:t>
      </w:r>
      <w:r w:rsidRPr="0040566B">
        <w:rPr>
          <w:rFonts w:ascii="Arial" w:hAnsi="Arial" w:cs="Arial"/>
        </w:rPr>
        <w:t xml:space="preserve"> placed on both parties to work co-operatively to reduce stock holdings as the agreement draws to an end. </w:t>
      </w:r>
    </w:p>
    <w:p w14:paraId="1E79E324" w14:textId="144A5FE3" w:rsidR="00205006" w:rsidRPr="0040566B" w:rsidRDefault="001A4A50" w:rsidP="0040566B">
      <w:pPr>
        <w:spacing w:before="240" w:line="360" w:lineRule="auto"/>
        <w:jc w:val="both"/>
        <w:rPr>
          <w:rFonts w:ascii="Arial" w:hAnsi="Arial" w:cs="Arial"/>
        </w:rPr>
      </w:pPr>
      <w:r>
        <w:rPr>
          <w:rFonts w:ascii="Arial" w:hAnsi="Arial" w:cs="Arial"/>
        </w:rPr>
        <w:t>C</w:t>
      </w:r>
      <w:r w:rsidR="00205006">
        <w:rPr>
          <w:rFonts w:ascii="Arial" w:hAnsi="Arial" w:cs="Arial"/>
        </w:rPr>
        <w:t xml:space="preserve">onsultation </w:t>
      </w:r>
      <w:r>
        <w:rPr>
          <w:rFonts w:ascii="Arial" w:hAnsi="Arial" w:cs="Arial"/>
        </w:rPr>
        <w:t xml:space="preserve">feedback </w:t>
      </w:r>
      <w:r w:rsidR="00205006">
        <w:rPr>
          <w:rFonts w:ascii="Arial" w:hAnsi="Arial" w:cs="Arial"/>
        </w:rPr>
        <w:t xml:space="preserve">indicated </w:t>
      </w:r>
      <w:r w:rsidR="00205006" w:rsidRPr="00205006">
        <w:rPr>
          <w:rFonts w:ascii="Arial" w:hAnsi="Arial" w:cs="Arial"/>
        </w:rPr>
        <w:t xml:space="preserve">some dealers </w:t>
      </w:r>
      <w:r w:rsidR="00E4405B">
        <w:rPr>
          <w:rFonts w:ascii="Arial" w:hAnsi="Arial" w:cs="Arial"/>
        </w:rPr>
        <w:t xml:space="preserve">are </w:t>
      </w:r>
      <w:r w:rsidR="00AC2A35">
        <w:rPr>
          <w:rFonts w:ascii="Arial" w:hAnsi="Arial" w:cs="Arial"/>
        </w:rPr>
        <w:t xml:space="preserve">subject to targets </w:t>
      </w:r>
      <w:r>
        <w:rPr>
          <w:rFonts w:ascii="Arial" w:hAnsi="Arial" w:cs="Arial"/>
        </w:rPr>
        <w:t xml:space="preserve">for the level of stock holdings </w:t>
      </w:r>
      <w:r w:rsidR="00AC2A35">
        <w:rPr>
          <w:rFonts w:ascii="Arial" w:hAnsi="Arial" w:cs="Arial"/>
        </w:rPr>
        <w:t>set by the m</w:t>
      </w:r>
      <w:r w:rsidR="00205006" w:rsidRPr="00205006">
        <w:rPr>
          <w:rFonts w:ascii="Arial" w:hAnsi="Arial" w:cs="Arial"/>
        </w:rPr>
        <w:t xml:space="preserve">anufacturer. </w:t>
      </w:r>
      <w:r>
        <w:rPr>
          <w:rFonts w:ascii="Arial" w:hAnsi="Arial" w:cs="Arial"/>
        </w:rPr>
        <w:t>A</w:t>
      </w:r>
      <w:r w:rsidR="00205006" w:rsidRPr="00205006">
        <w:rPr>
          <w:rFonts w:ascii="Arial" w:hAnsi="Arial" w:cs="Arial"/>
        </w:rPr>
        <w:t xml:space="preserve"> longer notice period </w:t>
      </w:r>
      <w:r>
        <w:rPr>
          <w:rFonts w:ascii="Arial" w:hAnsi="Arial" w:cs="Arial"/>
        </w:rPr>
        <w:t>and an obligation to work cooperatively c</w:t>
      </w:r>
      <w:r w:rsidR="00B81D47">
        <w:rPr>
          <w:rFonts w:ascii="Arial" w:hAnsi="Arial" w:cs="Arial"/>
        </w:rPr>
        <w:t xml:space="preserve">ould </w:t>
      </w:r>
      <w:r w:rsidR="00C85B9D">
        <w:rPr>
          <w:rFonts w:ascii="Arial" w:hAnsi="Arial" w:cs="Arial"/>
        </w:rPr>
        <w:t>provide</w:t>
      </w:r>
      <w:r w:rsidR="00205006" w:rsidRPr="00205006">
        <w:rPr>
          <w:rFonts w:ascii="Arial" w:hAnsi="Arial" w:cs="Arial"/>
        </w:rPr>
        <w:t xml:space="preserve"> dealers with an </w:t>
      </w:r>
      <w:r>
        <w:rPr>
          <w:rFonts w:ascii="Arial" w:hAnsi="Arial" w:cs="Arial"/>
        </w:rPr>
        <w:t xml:space="preserve">opportunity to reduce the costs associated with large stock holding when the agreement ends. </w:t>
      </w:r>
    </w:p>
    <w:p w14:paraId="07005B99" w14:textId="044D4788" w:rsidR="00205006" w:rsidRDefault="001A4A50" w:rsidP="0040566B">
      <w:pPr>
        <w:spacing w:before="240" w:line="360" w:lineRule="auto"/>
        <w:jc w:val="both"/>
        <w:rPr>
          <w:rFonts w:ascii="Arial" w:hAnsi="Arial" w:cs="Arial"/>
        </w:rPr>
      </w:pPr>
      <w:r>
        <w:rPr>
          <w:rFonts w:ascii="Arial" w:hAnsi="Arial" w:cs="Arial"/>
        </w:rPr>
        <w:t>F</w:t>
      </w:r>
      <w:r w:rsidR="00C63AD7">
        <w:rPr>
          <w:rFonts w:ascii="Arial" w:hAnsi="Arial" w:cs="Arial"/>
        </w:rPr>
        <w:t>eedback provided by manufacturers during the consultation process indicate</w:t>
      </w:r>
      <w:r w:rsidR="00F82EC6">
        <w:rPr>
          <w:rFonts w:ascii="Arial" w:hAnsi="Arial" w:cs="Arial"/>
        </w:rPr>
        <w:t>d</w:t>
      </w:r>
      <w:r w:rsidR="00C63AD7">
        <w:rPr>
          <w:rFonts w:ascii="Arial" w:hAnsi="Arial" w:cs="Arial"/>
        </w:rPr>
        <w:t xml:space="preserve"> </w:t>
      </w:r>
      <w:r w:rsidR="004C4868">
        <w:rPr>
          <w:rFonts w:ascii="Arial" w:hAnsi="Arial" w:cs="Arial"/>
        </w:rPr>
        <w:t xml:space="preserve">that generally manufacturers would provide more than </w:t>
      </w:r>
      <w:r w:rsidR="00C10785">
        <w:rPr>
          <w:rFonts w:ascii="Arial" w:hAnsi="Arial" w:cs="Arial"/>
        </w:rPr>
        <w:t>six</w:t>
      </w:r>
      <w:r w:rsidR="004C4868">
        <w:rPr>
          <w:rFonts w:ascii="Arial" w:hAnsi="Arial" w:cs="Arial"/>
        </w:rPr>
        <w:t xml:space="preserve"> months’ notice. </w:t>
      </w:r>
      <w:r w:rsidR="006F081A">
        <w:rPr>
          <w:rFonts w:ascii="Arial" w:hAnsi="Arial" w:cs="Arial"/>
        </w:rPr>
        <w:t>The feedback</w:t>
      </w:r>
      <w:r w:rsidR="00495D23">
        <w:rPr>
          <w:rFonts w:ascii="Arial" w:hAnsi="Arial" w:cs="Arial"/>
        </w:rPr>
        <w:t xml:space="preserve"> indicated </w:t>
      </w:r>
      <w:r w:rsidR="0084700B">
        <w:rPr>
          <w:rFonts w:ascii="Arial" w:hAnsi="Arial" w:cs="Arial"/>
        </w:rPr>
        <w:t xml:space="preserve">some manufacturers </w:t>
      </w:r>
      <w:r w:rsidR="00E4405B">
        <w:rPr>
          <w:rFonts w:ascii="Arial" w:hAnsi="Arial" w:cs="Arial"/>
        </w:rPr>
        <w:t>begin</w:t>
      </w:r>
      <w:r w:rsidR="0084700B">
        <w:rPr>
          <w:rFonts w:ascii="Arial" w:hAnsi="Arial" w:cs="Arial"/>
        </w:rPr>
        <w:t xml:space="preserve"> discussions 18 months prior to the end of an agreement, though </w:t>
      </w:r>
      <w:r w:rsidR="00E4405B">
        <w:rPr>
          <w:rFonts w:ascii="Arial" w:hAnsi="Arial" w:cs="Arial"/>
        </w:rPr>
        <w:t xml:space="preserve">nine to </w:t>
      </w:r>
      <w:r w:rsidR="0084700B">
        <w:rPr>
          <w:rFonts w:ascii="Arial" w:hAnsi="Arial" w:cs="Arial"/>
        </w:rPr>
        <w:t xml:space="preserve">12 months was </w:t>
      </w:r>
      <w:r w:rsidR="00E4405B">
        <w:rPr>
          <w:rFonts w:ascii="Arial" w:hAnsi="Arial" w:cs="Arial"/>
        </w:rPr>
        <w:t>more</w:t>
      </w:r>
      <w:r w:rsidR="0084700B">
        <w:rPr>
          <w:rFonts w:ascii="Arial" w:hAnsi="Arial" w:cs="Arial"/>
        </w:rPr>
        <w:t xml:space="preserve"> common. </w:t>
      </w:r>
    </w:p>
    <w:p w14:paraId="3D496932" w14:textId="7903B281" w:rsidR="004D0226" w:rsidRPr="0040566B" w:rsidRDefault="004C4868" w:rsidP="0040566B">
      <w:pPr>
        <w:spacing w:before="240" w:line="360" w:lineRule="auto"/>
        <w:jc w:val="both"/>
        <w:rPr>
          <w:rFonts w:ascii="Arial" w:hAnsi="Arial" w:cs="Arial"/>
        </w:rPr>
      </w:pPr>
      <w:r>
        <w:rPr>
          <w:rFonts w:ascii="Arial" w:hAnsi="Arial" w:cs="Arial"/>
        </w:rPr>
        <w:t xml:space="preserve">In addition, </w:t>
      </w:r>
      <w:r w:rsidR="006C7A40">
        <w:rPr>
          <w:rFonts w:ascii="Arial" w:hAnsi="Arial" w:cs="Arial"/>
        </w:rPr>
        <w:t xml:space="preserve">though not always the case, </w:t>
      </w:r>
      <w:r w:rsidR="00E4405B">
        <w:rPr>
          <w:rFonts w:ascii="Arial" w:hAnsi="Arial" w:cs="Arial"/>
        </w:rPr>
        <w:t xml:space="preserve">consultation indicated </w:t>
      </w:r>
      <w:r w:rsidR="00C63AD7">
        <w:rPr>
          <w:rFonts w:ascii="Arial" w:hAnsi="Arial" w:cs="Arial"/>
        </w:rPr>
        <w:t xml:space="preserve">manufacturers </w:t>
      </w:r>
      <w:r w:rsidR="006C7A40">
        <w:rPr>
          <w:rFonts w:ascii="Arial" w:hAnsi="Arial" w:cs="Arial"/>
        </w:rPr>
        <w:t xml:space="preserve">generally </w:t>
      </w:r>
      <w:r w:rsidR="00C63AD7">
        <w:rPr>
          <w:rFonts w:ascii="Arial" w:hAnsi="Arial" w:cs="Arial"/>
        </w:rPr>
        <w:t>work with dealers to co</w:t>
      </w:r>
      <w:r w:rsidR="00E4405B">
        <w:rPr>
          <w:rFonts w:ascii="Arial" w:hAnsi="Arial" w:cs="Arial"/>
        </w:rPr>
        <w:noBreakHyphen/>
      </w:r>
      <w:r w:rsidR="00C63AD7">
        <w:rPr>
          <w:rFonts w:ascii="Arial" w:hAnsi="Arial" w:cs="Arial"/>
        </w:rPr>
        <w:t>operatively manage stock levels after a non</w:t>
      </w:r>
      <w:r w:rsidR="00C63AD7">
        <w:rPr>
          <w:rFonts w:ascii="Arial" w:hAnsi="Arial" w:cs="Arial"/>
        </w:rPr>
        <w:noBreakHyphen/>
        <w:t xml:space="preserve">renewal notice is issued </w:t>
      </w:r>
      <w:r w:rsidR="006C7A40">
        <w:rPr>
          <w:rFonts w:ascii="Arial" w:hAnsi="Arial" w:cs="Arial"/>
        </w:rPr>
        <w:t xml:space="preserve">because </w:t>
      </w:r>
      <w:r w:rsidR="006C7A40" w:rsidRPr="00DD1A2B">
        <w:rPr>
          <w:rFonts w:ascii="Arial" w:hAnsi="Arial" w:cs="Arial"/>
        </w:rPr>
        <w:t>it is in both parties</w:t>
      </w:r>
      <w:r w:rsidR="00C01B50">
        <w:rPr>
          <w:rFonts w:ascii="Arial" w:hAnsi="Arial" w:cs="Arial"/>
        </w:rPr>
        <w:t>’</w:t>
      </w:r>
      <w:r w:rsidR="006C7A40" w:rsidRPr="00DD1A2B">
        <w:rPr>
          <w:rFonts w:ascii="Arial" w:hAnsi="Arial" w:cs="Arial"/>
        </w:rPr>
        <w:t xml:space="preserve"> interest to avoid a fire sale of </w:t>
      </w:r>
      <w:r w:rsidR="00544CFD" w:rsidRPr="00DD1A2B">
        <w:rPr>
          <w:rFonts w:ascii="Arial" w:hAnsi="Arial" w:cs="Arial"/>
        </w:rPr>
        <w:t xml:space="preserve">excess </w:t>
      </w:r>
      <w:r w:rsidR="006C7A40" w:rsidRPr="00DD1A2B">
        <w:rPr>
          <w:rFonts w:ascii="Arial" w:hAnsi="Arial" w:cs="Arial"/>
        </w:rPr>
        <w:t>stock</w:t>
      </w:r>
      <w:r w:rsidR="00544CFD" w:rsidRPr="00DD1A2B">
        <w:rPr>
          <w:rFonts w:ascii="Arial" w:hAnsi="Arial" w:cs="Arial"/>
        </w:rPr>
        <w:t xml:space="preserve"> by the dealer</w:t>
      </w:r>
      <w:r w:rsidR="006C7A40" w:rsidRPr="00DD1A2B">
        <w:rPr>
          <w:rFonts w:ascii="Arial" w:hAnsi="Arial" w:cs="Arial"/>
        </w:rPr>
        <w:t xml:space="preserve"> at the end of an agreement</w:t>
      </w:r>
      <w:r w:rsidR="00544CFD">
        <w:rPr>
          <w:rFonts w:ascii="Arial" w:hAnsi="Arial" w:cs="Arial"/>
        </w:rPr>
        <w:t xml:space="preserve"> </w:t>
      </w:r>
      <w:r w:rsidR="000024E2">
        <w:rPr>
          <w:rFonts w:ascii="Arial" w:hAnsi="Arial" w:cs="Arial"/>
        </w:rPr>
        <w:t xml:space="preserve">potentially </w:t>
      </w:r>
      <w:r w:rsidR="00544CFD">
        <w:rPr>
          <w:rFonts w:ascii="Arial" w:hAnsi="Arial" w:cs="Arial"/>
        </w:rPr>
        <w:t xml:space="preserve">resulting </w:t>
      </w:r>
      <w:r w:rsidR="000024E2">
        <w:rPr>
          <w:rFonts w:ascii="Arial" w:hAnsi="Arial" w:cs="Arial"/>
        </w:rPr>
        <w:t xml:space="preserve">in </w:t>
      </w:r>
      <w:r w:rsidR="00544CFD">
        <w:rPr>
          <w:rFonts w:ascii="Arial" w:hAnsi="Arial" w:cs="Arial"/>
        </w:rPr>
        <w:t>brand damage and devaluation of existing customers’ cars</w:t>
      </w:r>
      <w:r w:rsidR="006C7A40">
        <w:rPr>
          <w:rFonts w:ascii="Arial" w:hAnsi="Arial" w:cs="Arial"/>
        </w:rPr>
        <w:t>. A</w:t>
      </w:r>
      <w:r w:rsidR="00C63AD7">
        <w:rPr>
          <w:rFonts w:ascii="Arial" w:hAnsi="Arial" w:cs="Arial"/>
        </w:rPr>
        <w:t xml:space="preserve">s such, this element of Option 2A is consistent with industry best practice. </w:t>
      </w:r>
      <w:r w:rsidR="004D0226">
        <w:rPr>
          <w:rFonts w:ascii="Arial" w:hAnsi="Arial" w:cs="Arial"/>
        </w:rPr>
        <w:t xml:space="preserve">The notice period </w:t>
      </w:r>
      <w:r>
        <w:rPr>
          <w:rFonts w:ascii="Arial" w:hAnsi="Arial" w:cs="Arial"/>
        </w:rPr>
        <w:t>could</w:t>
      </w:r>
      <w:r w:rsidR="004D0226">
        <w:rPr>
          <w:rFonts w:ascii="Arial" w:hAnsi="Arial" w:cs="Arial"/>
        </w:rPr>
        <w:t xml:space="preserve"> be shortened by mutual agreement of the parties. For example,</w:t>
      </w:r>
      <w:r w:rsidR="00F12FF3">
        <w:rPr>
          <w:rFonts w:ascii="Arial" w:hAnsi="Arial" w:cs="Arial"/>
        </w:rPr>
        <w:t xml:space="preserve"> both parties </w:t>
      </w:r>
      <w:r>
        <w:rPr>
          <w:rFonts w:ascii="Arial" w:hAnsi="Arial" w:cs="Arial"/>
        </w:rPr>
        <w:t xml:space="preserve">could </w:t>
      </w:r>
      <w:r w:rsidR="00F12FF3">
        <w:rPr>
          <w:rFonts w:ascii="Arial" w:hAnsi="Arial" w:cs="Arial"/>
        </w:rPr>
        <w:t>mutually agree to end their relationship in 90 days instead</w:t>
      </w:r>
      <w:r>
        <w:rPr>
          <w:rFonts w:ascii="Arial" w:hAnsi="Arial" w:cs="Arial"/>
        </w:rPr>
        <w:t xml:space="preserve"> of waiting 12 months</w:t>
      </w:r>
      <w:r w:rsidR="00F12FF3">
        <w:rPr>
          <w:rFonts w:ascii="Arial" w:hAnsi="Arial" w:cs="Arial"/>
        </w:rPr>
        <w:t>.</w:t>
      </w:r>
    </w:p>
    <w:p w14:paraId="3F1D0A4E" w14:textId="77777777" w:rsidR="00CF77B6" w:rsidRPr="0040566B" w:rsidRDefault="11FF59B9" w:rsidP="5996C6E7">
      <w:pPr>
        <w:keepNext/>
        <w:rPr>
          <w:rFonts w:ascii="Arial" w:hAnsi="Arial" w:cs="Arial"/>
          <w:i/>
          <w:iCs/>
        </w:rPr>
      </w:pPr>
      <w:r w:rsidRPr="5996C6E7">
        <w:rPr>
          <w:rFonts w:ascii="Arial" w:hAnsi="Arial" w:cs="Arial"/>
          <w:i/>
          <w:iCs/>
        </w:rPr>
        <w:t>Impact on car dealers</w:t>
      </w:r>
    </w:p>
    <w:p w14:paraId="3F1D0A4F" w14:textId="77777777" w:rsidR="00CF77B6" w:rsidRPr="007C6EAE" w:rsidRDefault="11FF59B9" w:rsidP="11FF59B9">
      <w:pPr>
        <w:spacing w:before="240" w:line="360" w:lineRule="auto"/>
        <w:jc w:val="both"/>
        <w:rPr>
          <w:rFonts w:ascii="Arial" w:hAnsi="Arial" w:cs="Arial"/>
        </w:rPr>
      </w:pPr>
      <w:r w:rsidRPr="11FF59B9">
        <w:rPr>
          <w:rFonts w:ascii="Arial" w:hAnsi="Arial" w:cs="Arial"/>
        </w:rPr>
        <w:t>Requiring longer notice periods for non-renewal w</w:t>
      </w:r>
      <w:r w:rsidR="00F6019E">
        <w:rPr>
          <w:rFonts w:ascii="Arial" w:hAnsi="Arial" w:cs="Arial"/>
        </w:rPr>
        <w:t>ou</w:t>
      </w:r>
      <w:r w:rsidRPr="11FF59B9">
        <w:rPr>
          <w:rFonts w:ascii="Arial" w:hAnsi="Arial" w:cs="Arial"/>
        </w:rPr>
        <w:t>l</w:t>
      </w:r>
      <w:r w:rsidR="00F6019E">
        <w:rPr>
          <w:rFonts w:ascii="Arial" w:hAnsi="Arial" w:cs="Arial"/>
        </w:rPr>
        <w:t>d</w:t>
      </w:r>
      <w:r w:rsidRPr="11FF59B9">
        <w:rPr>
          <w:rFonts w:ascii="Arial" w:hAnsi="Arial" w:cs="Arial"/>
        </w:rPr>
        <w:t xml:space="preserve"> provide car d</w:t>
      </w:r>
      <w:r w:rsidR="00A2552B">
        <w:rPr>
          <w:rFonts w:ascii="Arial" w:hAnsi="Arial" w:cs="Arial"/>
        </w:rPr>
        <w:t>ealers with more time to arrange</w:t>
      </w:r>
      <w:r w:rsidRPr="11FF59B9">
        <w:rPr>
          <w:rFonts w:ascii="Arial" w:hAnsi="Arial" w:cs="Arial"/>
        </w:rPr>
        <w:t xml:space="preserve"> their affairs in the event their agreement is no</w:t>
      </w:r>
      <w:r w:rsidR="00F6019E">
        <w:rPr>
          <w:rFonts w:ascii="Arial" w:hAnsi="Arial" w:cs="Arial"/>
        </w:rPr>
        <w:t>t</w:t>
      </w:r>
      <w:r w:rsidRPr="11FF59B9">
        <w:rPr>
          <w:rFonts w:ascii="Arial" w:hAnsi="Arial" w:cs="Arial"/>
        </w:rPr>
        <w:t xml:space="preserve"> renewed. For example, it would provide dealers with additional time to:</w:t>
      </w:r>
    </w:p>
    <w:p w14:paraId="3F1D0A50" w14:textId="77777777" w:rsidR="00CF77B6" w:rsidRPr="007C6EAE" w:rsidRDefault="11FF59B9" w:rsidP="006647E7">
      <w:pPr>
        <w:pStyle w:val="ListParagraph"/>
        <w:numPr>
          <w:ilvl w:val="0"/>
          <w:numId w:val="4"/>
        </w:numPr>
        <w:spacing w:before="240" w:line="360" w:lineRule="auto"/>
        <w:jc w:val="both"/>
        <w:rPr>
          <w:rFonts w:ascii="Arial" w:hAnsi="Arial" w:cs="Arial"/>
        </w:rPr>
      </w:pPr>
      <w:r w:rsidRPr="11FF59B9">
        <w:rPr>
          <w:rFonts w:ascii="Arial" w:hAnsi="Arial" w:cs="Arial"/>
        </w:rPr>
        <w:t>search for a new franchisor;</w:t>
      </w:r>
    </w:p>
    <w:p w14:paraId="3F1D0A51" w14:textId="77777777" w:rsidR="00CF77B6" w:rsidRPr="007C6EAE" w:rsidRDefault="11FF59B9" w:rsidP="006647E7">
      <w:pPr>
        <w:pStyle w:val="ListParagraph"/>
        <w:numPr>
          <w:ilvl w:val="0"/>
          <w:numId w:val="4"/>
        </w:numPr>
        <w:spacing w:before="240" w:line="360" w:lineRule="auto"/>
        <w:jc w:val="both"/>
        <w:rPr>
          <w:rFonts w:ascii="Arial" w:hAnsi="Arial" w:cs="Arial"/>
        </w:rPr>
      </w:pPr>
      <w:r w:rsidRPr="11FF59B9">
        <w:rPr>
          <w:rFonts w:ascii="Arial" w:hAnsi="Arial" w:cs="Arial"/>
        </w:rPr>
        <w:t>sell the site; or</w:t>
      </w:r>
    </w:p>
    <w:p w14:paraId="3F1D0A52" w14:textId="2C41AA8A" w:rsidR="00CF77B6" w:rsidRPr="007C6EAE" w:rsidRDefault="009E28BA" w:rsidP="006647E7">
      <w:pPr>
        <w:pStyle w:val="ListParagraph"/>
        <w:numPr>
          <w:ilvl w:val="0"/>
          <w:numId w:val="4"/>
        </w:numPr>
        <w:spacing w:before="240" w:line="360" w:lineRule="auto"/>
        <w:jc w:val="both"/>
        <w:rPr>
          <w:rFonts w:ascii="Arial" w:hAnsi="Arial" w:cs="Arial"/>
        </w:rPr>
      </w:pPr>
      <w:r>
        <w:rPr>
          <w:rFonts w:ascii="Arial" w:hAnsi="Arial" w:cs="Arial"/>
        </w:rPr>
        <w:t>w</w:t>
      </w:r>
      <w:r w:rsidR="11FF59B9" w:rsidRPr="11FF59B9">
        <w:rPr>
          <w:rFonts w:ascii="Arial" w:hAnsi="Arial" w:cs="Arial"/>
        </w:rPr>
        <w:t>here they operate multi</w:t>
      </w:r>
      <w:r w:rsidR="00681AF9">
        <w:rPr>
          <w:rFonts w:ascii="Arial" w:hAnsi="Arial" w:cs="Arial"/>
        </w:rPr>
        <w:t>-</w:t>
      </w:r>
      <w:r w:rsidR="11FF59B9" w:rsidRPr="11FF59B9">
        <w:rPr>
          <w:rFonts w:ascii="Arial" w:hAnsi="Arial" w:cs="Arial"/>
        </w:rPr>
        <w:t>franchise arrangements, re</w:t>
      </w:r>
      <w:r w:rsidR="005D31BD">
        <w:rPr>
          <w:rFonts w:ascii="Arial" w:hAnsi="Arial" w:cs="Arial"/>
        </w:rPr>
        <w:t>-</w:t>
      </w:r>
      <w:r w:rsidR="11FF59B9" w:rsidRPr="11FF59B9">
        <w:rPr>
          <w:rFonts w:ascii="Arial" w:hAnsi="Arial" w:cs="Arial"/>
        </w:rPr>
        <w:t>configure their site to focus on their remaining brands after the agreement expires.</w:t>
      </w:r>
    </w:p>
    <w:p w14:paraId="3F1D0A53" w14:textId="0A1B0E4D" w:rsidR="0090545D" w:rsidRDefault="0090545D" w:rsidP="11FF59B9">
      <w:pPr>
        <w:spacing w:before="240" w:line="360" w:lineRule="auto"/>
        <w:jc w:val="both"/>
        <w:rPr>
          <w:rFonts w:ascii="Arial" w:hAnsi="Arial" w:cs="Arial"/>
        </w:rPr>
      </w:pPr>
      <w:r>
        <w:rPr>
          <w:rFonts w:ascii="Arial" w:hAnsi="Arial" w:cs="Arial"/>
        </w:rPr>
        <w:t xml:space="preserve">It </w:t>
      </w:r>
      <w:r w:rsidR="00D119CE">
        <w:rPr>
          <w:rFonts w:ascii="Arial" w:hAnsi="Arial" w:cs="Arial"/>
        </w:rPr>
        <w:t>c</w:t>
      </w:r>
      <w:r>
        <w:rPr>
          <w:rFonts w:ascii="Arial" w:hAnsi="Arial" w:cs="Arial"/>
        </w:rPr>
        <w:t>ould also provide staff opportunities to look for alternat</w:t>
      </w:r>
      <w:r w:rsidR="003F3BF9">
        <w:rPr>
          <w:rFonts w:ascii="Arial" w:hAnsi="Arial" w:cs="Arial"/>
        </w:rPr>
        <w:t>iv</w:t>
      </w:r>
      <w:r>
        <w:rPr>
          <w:rFonts w:ascii="Arial" w:hAnsi="Arial" w:cs="Arial"/>
        </w:rPr>
        <w:t xml:space="preserve">e sources </w:t>
      </w:r>
      <w:r w:rsidR="008D2071">
        <w:rPr>
          <w:rFonts w:ascii="Arial" w:hAnsi="Arial" w:cs="Arial"/>
        </w:rPr>
        <w:t>of</w:t>
      </w:r>
      <w:r>
        <w:rPr>
          <w:rFonts w:ascii="Arial" w:hAnsi="Arial" w:cs="Arial"/>
        </w:rPr>
        <w:t xml:space="preserve"> employment and provide time for consumers to </w:t>
      </w:r>
      <w:r w:rsidR="00B43B88">
        <w:rPr>
          <w:rFonts w:ascii="Arial" w:hAnsi="Arial" w:cs="Arial"/>
        </w:rPr>
        <w:t>make alternate a</w:t>
      </w:r>
      <w:r w:rsidR="00AD5F5C">
        <w:rPr>
          <w:rFonts w:ascii="Arial" w:hAnsi="Arial" w:cs="Arial"/>
        </w:rPr>
        <w:t xml:space="preserve">rrangements for servicing if relevant. </w:t>
      </w:r>
      <w:r w:rsidR="00544CFD">
        <w:rPr>
          <w:rFonts w:ascii="Arial" w:hAnsi="Arial" w:cs="Arial"/>
        </w:rPr>
        <w:t xml:space="preserve">While staff might be able to benefit from being able to </w:t>
      </w:r>
      <w:r w:rsidR="00681AF9">
        <w:rPr>
          <w:rFonts w:ascii="Arial" w:hAnsi="Arial" w:cs="Arial"/>
        </w:rPr>
        <w:t xml:space="preserve">find </w:t>
      </w:r>
      <w:r w:rsidR="00544CFD">
        <w:rPr>
          <w:rFonts w:ascii="Arial" w:hAnsi="Arial" w:cs="Arial"/>
        </w:rPr>
        <w:t xml:space="preserve">alternative employment, both dealers and manufacturers noted concerns that a longer notice period might result in a faster loss of service staff which is why this option allows shorter notice periods to be negotiated by parties. </w:t>
      </w:r>
    </w:p>
    <w:p w14:paraId="3F1D0A54" w14:textId="4B0051A6" w:rsidR="00CF77B6" w:rsidRDefault="00FF5463" w:rsidP="002333AF">
      <w:pPr>
        <w:spacing w:before="240" w:line="360" w:lineRule="auto"/>
        <w:jc w:val="both"/>
        <w:rPr>
          <w:rFonts w:ascii="Arial" w:hAnsi="Arial" w:cs="Arial"/>
        </w:rPr>
      </w:pPr>
      <w:r>
        <w:rPr>
          <w:rFonts w:ascii="Arial" w:hAnsi="Arial" w:cs="Arial"/>
        </w:rPr>
        <w:lastRenderedPageBreak/>
        <w:t>H</w:t>
      </w:r>
      <w:r w:rsidR="11FF59B9" w:rsidRPr="11FF59B9">
        <w:rPr>
          <w:rFonts w:ascii="Arial" w:hAnsi="Arial" w:cs="Arial"/>
        </w:rPr>
        <w:t xml:space="preserve">aving longer notice periods </w:t>
      </w:r>
      <w:r w:rsidR="00CB10D4">
        <w:rPr>
          <w:rFonts w:ascii="Arial" w:hAnsi="Arial" w:cs="Arial"/>
        </w:rPr>
        <w:t>may</w:t>
      </w:r>
      <w:r w:rsidR="00CB10D4" w:rsidRPr="11FF59B9">
        <w:rPr>
          <w:rFonts w:ascii="Arial" w:hAnsi="Arial" w:cs="Arial"/>
        </w:rPr>
        <w:t xml:space="preserve"> </w:t>
      </w:r>
      <w:r w:rsidR="11FF59B9" w:rsidRPr="11FF59B9">
        <w:rPr>
          <w:rFonts w:ascii="Arial" w:hAnsi="Arial" w:cs="Arial"/>
        </w:rPr>
        <w:t xml:space="preserve">also reduce the likelihood that dealers will </w:t>
      </w:r>
      <w:r w:rsidR="007C7C1A">
        <w:rPr>
          <w:rFonts w:ascii="Arial" w:hAnsi="Arial" w:cs="Arial"/>
        </w:rPr>
        <w:t xml:space="preserve">agree to </w:t>
      </w:r>
      <w:r w:rsidR="11FF59B9" w:rsidRPr="11FF59B9">
        <w:rPr>
          <w:rFonts w:ascii="Arial" w:hAnsi="Arial" w:cs="Arial"/>
        </w:rPr>
        <w:t xml:space="preserve">undertake capital expenditure that they are unable to recoup, as a car dealer is unlikely to undertake capital expenditure during the 12 month period where they know the agreement will not be renewed. Alternatively, where a dealer </w:t>
      </w:r>
      <w:r w:rsidR="00A43A36">
        <w:rPr>
          <w:rFonts w:ascii="Arial" w:hAnsi="Arial" w:cs="Arial"/>
        </w:rPr>
        <w:t>decides</w:t>
      </w:r>
      <w:r w:rsidR="11FF59B9" w:rsidRPr="11FF59B9">
        <w:rPr>
          <w:rFonts w:ascii="Arial" w:hAnsi="Arial" w:cs="Arial"/>
        </w:rPr>
        <w:t xml:space="preserve"> </w:t>
      </w:r>
      <w:r w:rsidR="00A43A36">
        <w:rPr>
          <w:rFonts w:ascii="Arial" w:hAnsi="Arial" w:cs="Arial"/>
        </w:rPr>
        <w:t>upon receiving the notice of non-renewal</w:t>
      </w:r>
      <w:r w:rsidR="00A43A36" w:rsidRPr="11FF59B9">
        <w:rPr>
          <w:rFonts w:ascii="Arial" w:hAnsi="Arial" w:cs="Arial"/>
        </w:rPr>
        <w:t xml:space="preserve"> </w:t>
      </w:r>
      <w:r w:rsidR="11FF59B9" w:rsidRPr="11FF59B9">
        <w:rPr>
          <w:rFonts w:ascii="Arial" w:hAnsi="Arial" w:cs="Arial"/>
        </w:rPr>
        <w:t xml:space="preserve">to switch to another franchise at the end of the agreement, they may be able to undertake the capital expenditure in a way that means that the new facilities can be </w:t>
      </w:r>
      <w:r w:rsidR="00F6019E">
        <w:rPr>
          <w:rFonts w:ascii="Arial" w:hAnsi="Arial" w:cs="Arial"/>
        </w:rPr>
        <w:t>more</w:t>
      </w:r>
      <w:r w:rsidR="11FF59B9" w:rsidRPr="11FF59B9">
        <w:rPr>
          <w:rFonts w:ascii="Arial" w:hAnsi="Arial" w:cs="Arial"/>
        </w:rPr>
        <w:t xml:space="preserve"> easily re</w:t>
      </w:r>
      <w:r w:rsidR="005D31BD">
        <w:rPr>
          <w:rFonts w:ascii="Arial" w:hAnsi="Arial" w:cs="Arial"/>
        </w:rPr>
        <w:t>-</w:t>
      </w:r>
      <w:r w:rsidR="11FF59B9" w:rsidRPr="11FF59B9">
        <w:rPr>
          <w:rFonts w:ascii="Arial" w:hAnsi="Arial" w:cs="Arial"/>
        </w:rPr>
        <w:t>purposed to be used for another brand.</w:t>
      </w:r>
    </w:p>
    <w:p w14:paraId="3F1D0A55" w14:textId="77777777" w:rsidR="00FF5463" w:rsidRDefault="00FF5463" w:rsidP="002333AF">
      <w:pPr>
        <w:spacing w:before="240" w:line="360" w:lineRule="auto"/>
        <w:jc w:val="both"/>
        <w:rPr>
          <w:rFonts w:ascii="Arial" w:hAnsi="Arial" w:cs="Arial"/>
        </w:rPr>
      </w:pPr>
      <w:r>
        <w:rPr>
          <w:rFonts w:ascii="Arial" w:hAnsi="Arial" w:cs="Arial"/>
        </w:rPr>
        <w:t>More broadly,</w:t>
      </w:r>
      <w:r w:rsidRPr="002333AF">
        <w:rPr>
          <w:rFonts w:ascii="Arial" w:hAnsi="Arial" w:cs="Arial"/>
        </w:rPr>
        <w:t xml:space="preserve"> </w:t>
      </w:r>
      <w:r>
        <w:rPr>
          <w:rFonts w:ascii="Arial" w:hAnsi="Arial" w:cs="Arial"/>
        </w:rPr>
        <w:t xml:space="preserve">even if an agreement is eventually renewed, the uncertainty inherent in short notice periods for non-renewal could affect the decision making of new car dealers in running their business. For example, </w:t>
      </w:r>
      <w:r w:rsidR="00F071AD">
        <w:rPr>
          <w:rFonts w:ascii="Arial" w:hAnsi="Arial" w:cs="Arial"/>
        </w:rPr>
        <w:t xml:space="preserve">a car dealer may choose to invest further in the business if it </w:t>
      </w:r>
      <w:r w:rsidR="0004416A">
        <w:rPr>
          <w:rFonts w:ascii="Arial" w:hAnsi="Arial" w:cs="Arial"/>
        </w:rPr>
        <w:t>has certainty</w:t>
      </w:r>
      <w:r w:rsidR="00F071AD">
        <w:rPr>
          <w:rFonts w:ascii="Arial" w:hAnsi="Arial" w:cs="Arial"/>
        </w:rPr>
        <w:t xml:space="preserve"> that the car manufacturer </w:t>
      </w:r>
      <w:r w:rsidR="0004416A">
        <w:rPr>
          <w:rFonts w:ascii="Arial" w:hAnsi="Arial" w:cs="Arial"/>
        </w:rPr>
        <w:t>will not issue a non-renewal notice six months after a major outlay of capital.</w:t>
      </w:r>
      <w:r>
        <w:rPr>
          <w:rFonts w:ascii="Arial" w:hAnsi="Arial" w:cs="Arial"/>
        </w:rPr>
        <w:t xml:space="preserve"> </w:t>
      </w:r>
    </w:p>
    <w:p w14:paraId="2419FEA0" w14:textId="6B022FFA" w:rsidR="00F92C46" w:rsidRDefault="00F92C46" w:rsidP="002333AF">
      <w:pPr>
        <w:spacing w:before="240" w:line="360" w:lineRule="auto"/>
        <w:jc w:val="both"/>
        <w:rPr>
          <w:rFonts w:ascii="Arial" w:hAnsi="Arial" w:cs="Arial"/>
        </w:rPr>
      </w:pPr>
      <w:r>
        <w:rPr>
          <w:rFonts w:ascii="Arial" w:hAnsi="Arial" w:cs="Arial"/>
        </w:rPr>
        <w:t xml:space="preserve">Recognising that both parties play a role in </w:t>
      </w:r>
      <w:r w:rsidR="0055606B">
        <w:rPr>
          <w:rFonts w:ascii="Arial" w:hAnsi="Arial" w:cs="Arial"/>
        </w:rPr>
        <w:t>reducing</w:t>
      </w:r>
      <w:r>
        <w:rPr>
          <w:rFonts w:ascii="Arial" w:hAnsi="Arial" w:cs="Arial"/>
        </w:rPr>
        <w:t xml:space="preserve"> the level of new vehicle stock that dealers hold</w:t>
      </w:r>
      <w:r w:rsidR="0055606B">
        <w:rPr>
          <w:rFonts w:ascii="Arial" w:hAnsi="Arial" w:cs="Arial"/>
        </w:rPr>
        <w:t xml:space="preserve"> at the end of an agreement</w:t>
      </w:r>
      <w:r>
        <w:rPr>
          <w:rFonts w:ascii="Arial" w:hAnsi="Arial" w:cs="Arial"/>
        </w:rPr>
        <w:t xml:space="preserve">, this option </w:t>
      </w:r>
      <w:r w:rsidR="000E66C3">
        <w:rPr>
          <w:rFonts w:ascii="Arial" w:hAnsi="Arial" w:cs="Arial"/>
        </w:rPr>
        <w:t xml:space="preserve">would require both parties to co-operate to appropriately manage stock in a way that is fair to both the manufacturer and the dealer. </w:t>
      </w:r>
    </w:p>
    <w:p w14:paraId="3F1D0A56" w14:textId="77777777" w:rsidR="00CF77B6" w:rsidRPr="0040566B" w:rsidRDefault="11FF59B9" w:rsidP="5996C6E7">
      <w:pPr>
        <w:keepNext/>
        <w:spacing w:before="240" w:line="360" w:lineRule="auto"/>
        <w:jc w:val="both"/>
        <w:rPr>
          <w:rFonts w:ascii="Arial" w:hAnsi="Arial" w:cs="Arial"/>
          <w:i/>
          <w:iCs/>
        </w:rPr>
      </w:pPr>
      <w:r w:rsidRPr="5996C6E7">
        <w:rPr>
          <w:rFonts w:ascii="Arial" w:hAnsi="Arial" w:cs="Arial"/>
          <w:i/>
          <w:iCs/>
        </w:rPr>
        <w:t>Impact on manufacturers</w:t>
      </w:r>
    </w:p>
    <w:p w14:paraId="3F1D0A57" w14:textId="700A07C9" w:rsidR="00CF77B6" w:rsidRDefault="11FF59B9" w:rsidP="11FF59B9">
      <w:pPr>
        <w:spacing w:before="240" w:line="360" w:lineRule="auto"/>
        <w:jc w:val="both"/>
        <w:rPr>
          <w:rFonts w:ascii="Arial" w:hAnsi="Arial" w:cs="Arial"/>
        </w:rPr>
      </w:pPr>
      <w:r w:rsidRPr="11FF59B9">
        <w:rPr>
          <w:rFonts w:ascii="Arial" w:hAnsi="Arial" w:cs="Arial"/>
        </w:rPr>
        <w:t xml:space="preserve">Having longer notice periods will require manufacturers to </w:t>
      </w:r>
      <w:r w:rsidR="00AD5F5C">
        <w:rPr>
          <w:rFonts w:ascii="Arial" w:hAnsi="Arial" w:cs="Arial"/>
        </w:rPr>
        <w:t xml:space="preserve">communicate </w:t>
      </w:r>
      <w:r w:rsidRPr="11FF59B9">
        <w:rPr>
          <w:rFonts w:ascii="Arial" w:hAnsi="Arial" w:cs="Arial"/>
        </w:rPr>
        <w:t xml:space="preserve">decisions regarding whether to renew an agreement earlier, potentially reducing their flexibility to </w:t>
      </w:r>
      <w:r w:rsidR="00024B16">
        <w:rPr>
          <w:rFonts w:ascii="Arial" w:hAnsi="Arial" w:cs="Arial"/>
        </w:rPr>
        <w:t>not renew</w:t>
      </w:r>
      <w:r w:rsidRPr="11FF59B9">
        <w:rPr>
          <w:rFonts w:ascii="Arial" w:hAnsi="Arial" w:cs="Arial"/>
        </w:rPr>
        <w:t xml:space="preserve"> an agreement. Manufacturers </w:t>
      </w:r>
      <w:r w:rsidR="00AD5F5C">
        <w:rPr>
          <w:rFonts w:ascii="Arial" w:hAnsi="Arial" w:cs="Arial"/>
        </w:rPr>
        <w:t>may</w:t>
      </w:r>
      <w:r w:rsidRPr="11FF59B9">
        <w:rPr>
          <w:rFonts w:ascii="Arial" w:hAnsi="Arial" w:cs="Arial"/>
        </w:rPr>
        <w:t xml:space="preserve"> also find it more difficult to require a dealer to undertake capital expenditure during the period between 12 months and </w:t>
      </w:r>
      <w:r w:rsidR="009E28BA">
        <w:rPr>
          <w:rFonts w:ascii="Arial" w:hAnsi="Arial" w:cs="Arial"/>
        </w:rPr>
        <w:t>six</w:t>
      </w:r>
      <w:r w:rsidRPr="11FF59B9">
        <w:rPr>
          <w:rFonts w:ascii="Arial" w:hAnsi="Arial" w:cs="Arial"/>
        </w:rPr>
        <w:t xml:space="preserve"> months out from the end of the agreement when they intend </w:t>
      </w:r>
      <w:r w:rsidR="00F75F49">
        <w:rPr>
          <w:rFonts w:ascii="Arial" w:hAnsi="Arial" w:cs="Arial"/>
        </w:rPr>
        <w:t>not to</w:t>
      </w:r>
      <w:r w:rsidRPr="11FF59B9">
        <w:rPr>
          <w:rFonts w:ascii="Arial" w:hAnsi="Arial" w:cs="Arial"/>
        </w:rPr>
        <w:t xml:space="preserve"> renew the agreement</w:t>
      </w:r>
      <w:r w:rsidRPr="003D2400">
        <w:rPr>
          <w:rFonts w:ascii="Arial" w:hAnsi="Arial" w:cs="Arial"/>
        </w:rPr>
        <w:t xml:space="preserve">. </w:t>
      </w:r>
      <w:r w:rsidRPr="11FF59B9">
        <w:rPr>
          <w:rFonts w:ascii="Arial" w:hAnsi="Arial" w:cs="Arial"/>
        </w:rPr>
        <w:t xml:space="preserve">Manufacturers would still </w:t>
      </w:r>
      <w:r w:rsidR="005D20BF">
        <w:rPr>
          <w:rFonts w:ascii="Arial" w:hAnsi="Arial" w:cs="Arial"/>
        </w:rPr>
        <w:t>retain the right</w:t>
      </w:r>
      <w:r w:rsidRPr="11FF59B9">
        <w:rPr>
          <w:rFonts w:ascii="Arial" w:hAnsi="Arial" w:cs="Arial"/>
        </w:rPr>
        <w:t xml:space="preserve"> </w:t>
      </w:r>
      <w:r w:rsidR="00F6019E">
        <w:rPr>
          <w:rFonts w:ascii="Arial" w:hAnsi="Arial" w:cs="Arial"/>
        </w:rPr>
        <w:t xml:space="preserve">to </w:t>
      </w:r>
      <w:r w:rsidR="00EE77D1">
        <w:rPr>
          <w:rFonts w:ascii="Arial" w:hAnsi="Arial" w:cs="Arial"/>
        </w:rPr>
        <w:t>renew</w:t>
      </w:r>
      <w:r w:rsidR="005D20BF">
        <w:rPr>
          <w:rFonts w:ascii="Arial" w:hAnsi="Arial" w:cs="Arial"/>
        </w:rPr>
        <w:t xml:space="preserve">, or not </w:t>
      </w:r>
      <w:r w:rsidR="00EE77D1">
        <w:rPr>
          <w:rFonts w:ascii="Arial" w:hAnsi="Arial" w:cs="Arial"/>
        </w:rPr>
        <w:t>renew</w:t>
      </w:r>
      <w:r w:rsidR="005D20BF">
        <w:rPr>
          <w:rFonts w:ascii="Arial" w:hAnsi="Arial" w:cs="Arial"/>
        </w:rPr>
        <w:t>,</w:t>
      </w:r>
      <w:r w:rsidR="00F6019E">
        <w:rPr>
          <w:rFonts w:ascii="Arial" w:hAnsi="Arial" w:cs="Arial"/>
        </w:rPr>
        <w:t xml:space="preserve"> a</w:t>
      </w:r>
      <w:r w:rsidR="00EE77D1">
        <w:rPr>
          <w:rFonts w:ascii="Arial" w:hAnsi="Arial" w:cs="Arial"/>
        </w:rPr>
        <w:t>n</w:t>
      </w:r>
      <w:r w:rsidR="00F6019E">
        <w:rPr>
          <w:rFonts w:ascii="Arial" w:hAnsi="Arial" w:cs="Arial"/>
        </w:rPr>
        <w:t xml:space="preserve"> agreement</w:t>
      </w:r>
      <w:r w:rsidRPr="11FF59B9">
        <w:rPr>
          <w:rFonts w:ascii="Arial" w:hAnsi="Arial" w:cs="Arial"/>
        </w:rPr>
        <w:t>.</w:t>
      </w:r>
    </w:p>
    <w:p w14:paraId="1327C4CC" w14:textId="055FE3EB" w:rsidR="003427ED" w:rsidRDefault="00EC1C31" w:rsidP="11FF59B9">
      <w:pPr>
        <w:spacing w:before="240" w:line="360" w:lineRule="auto"/>
        <w:jc w:val="both"/>
        <w:rPr>
          <w:rFonts w:ascii="Arial" w:hAnsi="Arial" w:cs="Arial"/>
        </w:rPr>
      </w:pPr>
      <w:r>
        <w:rPr>
          <w:rFonts w:ascii="Arial" w:hAnsi="Arial" w:cs="Arial"/>
        </w:rPr>
        <w:t>However</w:t>
      </w:r>
      <w:r w:rsidR="005045B7">
        <w:rPr>
          <w:rFonts w:ascii="Arial" w:hAnsi="Arial" w:cs="Arial"/>
        </w:rPr>
        <w:t xml:space="preserve">, </w:t>
      </w:r>
      <w:r w:rsidR="003427ED">
        <w:rPr>
          <w:rFonts w:ascii="Arial" w:hAnsi="Arial" w:cs="Arial"/>
        </w:rPr>
        <w:t xml:space="preserve">most manufacturers indicated </w:t>
      </w:r>
      <w:r>
        <w:rPr>
          <w:rFonts w:ascii="Arial" w:hAnsi="Arial" w:cs="Arial"/>
        </w:rPr>
        <w:t xml:space="preserve">as part of the consultation process that </w:t>
      </w:r>
      <w:r w:rsidR="003427ED">
        <w:rPr>
          <w:rFonts w:ascii="Arial" w:hAnsi="Arial" w:cs="Arial"/>
        </w:rPr>
        <w:t xml:space="preserve">the non-renewal process would generally take place over an extended period of time and ordinarily </w:t>
      </w:r>
      <w:r w:rsidR="001C24F3">
        <w:rPr>
          <w:rFonts w:ascii="Arial" w:hAnsi="Arial" w:cs="Arial"/>
        </w:rPr>
        <w:t>around 12</w:t>
      </w:r>
      <w:r w:rsidR="003427ED">
        <w:rPr>
          <w:rFonts w:ascii="Arial" w:hAnsi="Arial" w:cs="Arial"/>
        </w:rPr>
        <w:t xml:space="preserve"> months’ notice would be given when an agreement is not renewed.</w:t>
      </w:r>
      <w:r w:rsidR="005045B7">
        <w:rPr>
          <w:rFonts w:ascii="Arial" w:hAnsi="Arial" w:cs="Arial"/>
        </w:rPr>
        <w:t xml:space="preserve"> As a result mandating a 12 months’ notice period is not expected to create a significant obligation above what is currently considered to be best practice.</w:t>
      </w:r>
    </w:p>
    <w:p w14:paraId="66B3C50A" w14:textId="6D8432D7" w:rsidR="00EE7E2A" w:rsidRDefault="00EE7E2A" w:rsidP="11FF59B9">
      <w:pPr>
        <w:spacing w:before="240" w:line="360" w:lineRule="auto"/>
        <w:jc w:val="both"/>
        <w:rPr>
          <w:rFonts w:ascii="Arial" w:hAnsi="Arial" w:cs="Arial"/>
        </w:rPr>
      </w:pPr>
      <w:r>
        <w:rPr>
          <w:rFonts w:ascii="Arial" w:hAnsi="Arial" w:cs="Arial"/>
        </w:rPr>
        <w:t>Requiring dealers to provide 12 months’ notice of an intention to not continue in the agreement would provide manufacturers with time to find another dealer if they wish to maintain a presence in a particular area.</w:t>
      </w:r>
    </w:p>
    <w:p w14:paraId="5018532E" w14:textId="31275ABA" w:rsidR="000E66C3" w:rsidRDefault="000E66C3" w:rsidP="11FF59B9">
      <w:pPr>
        <w:spacing w:before="240" w:line="360" w:lineRule="auto"/>
        <w:jc w:val="both"/>
        <w:rPr>
          <w:rFonts w:ascii="Arial" w:hAnsi="Arial" w:cs="Arial"/>
        </w:rPr>
      </w:pPr>
      <w:r>
        <w:rPr>
          <w:rFonts w:ascii="Arial" w:hAnsi="Arial" w:cs="Arial"/>
        </w:rPr>
        <w:t>Manufacturers will also be required to work co-operatively with dealers to manage stock as an agreement draws to an end</w:t>
      </w:r>
      <w:r w:rsidR="005045B7">
        <w:rPr>
          <w:rFonts w:ascii="Arial" w:hAnsi="Arial" w:cs="Arial"/>
        </w:rPr>
        <w:t xml:space="preserve"> to meet the needs of both parties and allow them to balance the </w:t>
      </w:r>
      <w:r w:rsidR="005045B7">
        <w:rPr>
          <w:rFonts w:ascii="Arial" w:hAnsi="Arial" w:cs="Arial"/>
        </w:rPr>
        <w:lastRenderedPageBreak/>
        <w:t xml:space="preserve">requirement of meeting customer needs with avoiding a dealer holding </w:t>
      </w:r>
      <w:r>
        <w:rPr>
          <w:rFonts w:ascii="Arial" w:hAnsi="Arial" w:cs="Arial"/>
        </w:rPr>
        <w:t xml:space="preserve">very high levels of stock </w:t>
      </w:r>
      <w:r w:rsidR="005045B7">
        <w:rPr>
          <w:rFonts w:ascii="Arial" w:hAnsi="Arial" w:cs="Arial"/>
        </w:rPr>
        <w:t>at the end of an agreement</w:t>
      </w:r>
      <w:r>
        <w:rPr>
          <w:rFonts w:ascii="Arial" w:hAnsi="Arial" w:cs="Arial"/>
        </w:rPr>
        <w:t xml:space="preserve">. </w:t>
      </w:r>
    </w:p>
    <w:p w14:paraId="3F1D0A58" w14:textId="77777777" w:rsidR="00CF77B6" w:rsidRPr="0040566B" w:rsidRDefault="11FF59B9" w:rsidP="5996C6E7">
      <w:pPr>
        <w:spacing w:before="240" w:line="360" w:lineRule="auto"/>
        <w:jc w:val="both"/>
        <w:rPr>
          <w:rFonts w:ascii="Arial" w:hAnsi="Arial" w:cs="Arial"/>
          <w:i/>
          <w:iCs/>
        </w:rPr>
      </w:pPr>
      <w:r w:rsidRPr="5996C6E7">
        <w:rPr>
          <w:rFonts w:ascii="Arial" w:hAnsi="Arial" w:cs="Arial"/>
          <w:i/>
          <w:iCs/>
        </w:rPr>
        <w:t>Net benefit</w:t>
      </w:r>
    </w:p>
    <w:p w14:paraId="28F58878" w14:textId="7065C7F9" w:rsidR="00AD5F5C" w:rsidRDefault="00AD5F5C" w:rsidP="00AD5F5C">
      <w:pPr>
        <w:spacing w:before="240" w:line="360" w:lineRule="auto"/>
        <w:jc w:val="both"/>
        <w:rPr>
          <w:rFonts w:ascii="Arial" w:hAnsi="Arial" w:cs="Arial"/>
        </w:rPr>
      </w:pPr>
      <w:r>
        <w:rPr>
          <w:rFonts w:ascii="Arial" w:hAnsi="Arial" w:cs="Arial"/>
        </w:rPr>
        <w:t>Consultation indicates current arrangements in place to manage unsold parts and service and repair equipment generally work well. However, there are differing views on the effectiveness of current arrangements for the treatment of remaining new vehicle stock. Dealers consider that manufacturers are ‘dumping’ stock on dealers at the end of agreements and that dealers have little say over how much stock they hold.</w:t>
      </w:r>
      <w:r>
        <w:rPr>
          <w:rStyle w:val="FootnoteReference"/>
          <w:rFonts w:ascii="Arial" w:hAnsi="Arial" w:cs="Arial"/>
        </w:rPr>
        <w:footnoteReference w:id="62"/>
      </w:r>
      <w:r>
        <w:rPr>
          <w:rFonts w:ascii="Arial" w:hAnsi="Arial" w:cs="Arial"/>
        </w:rPr>
        <w:t xml:space="preserve"> In contrast, manufacturers claim that dealers are responsible for ordering stock and that they can run down their stock holdings as an agreement draws to an end. </w:t>
      </w:r>
    </w:p>
    <w:p w14:paraId="65B6DC6E" w14:textId="77C5BF01" w:rsidR="00544CFD" w:rsidRDefault="00544CFD" w:rsidP="00544CFD">
      <w:pPr>
        <w:spacing w:before="240" w:line="360" w:lineRule="auto"/>
        <w:jc w:val="both"/>
        <w:rPr>
          <w:rFonts w:ascii="Arial" w:hAnsi="Arial" w:cs="Arial"/>
        </w:rPr>
      </w:pPr>
      <w:r>
        <w:rPr>
          <w:rFonts w:ascii="Arial" w:hAnsi="Arial" w:cs="Arial"/>
        </w:rPr>
        <w:t>Requiring both parties to develop a plan and work co-operatively to wind down stock levels as the agreement draws to an end will help to ensure th</w:t>
      </w:r>
      <w:r w:rsidR="00AD5F5C">
        <w:rPr>
          <w:rFonts w:ascii="Arial" w:hAnsi="Arial" w:cs="Arial"/>
        </w:rPr>
        <w:t xml:space="preserve">e </w:t>
      </w:r>
      <w:r>
        <w:rPr>
          <w:rFonts w:ascii="Arial" w:hAnsi="Arial" w:cs="Arial"/>
        </w:rPr>
        <w:t>risk is shared</w:t>
      </w:r>
      <w:r w:rsidR="00AD5F5C">
        <w:rPr>
          <w:rFonts w:ascii="Arial" w:hAnsi="Arial" w:cs="Arial"/>
        </w:rPr>
        <w:t>.</w:t>
      </w:r>
      <w:r>
        <w:rPr>
          <w:rFonts w:ascii="Arial" w:hAnsi="Arial" w:cs="Arial"/>
        </w:rPr>
        <w:t xml:space="preserve"> </w:t>
      </w:r>
    </w:p>
    <w:p w14:paraId="3F1D0A59" w14:textId="22C032D0" w:rsidR="00CF77B6" w:rsidRDefault="11FF59B9" w:rsidP="11FF59B9">
      <w:pPr>
        <w:spacing w:before="240" w:line="360" w:lineRule="auto"/>
        <w:jc w:val="both"/>
        <w:rPr>
          <w:rFonts w:ascii="Arial" w:hAnsi="Arial" w:cs="Arial"/>
        </w:rPr>
      </w:pPr>
      <w:r w:rsidRPr="11FF59B9">
        <w:rPr>
          <w:rFonts w:ascii="Arial" w:hAnsi="Arial" w:cs="Arial"/>
        </w:rPr>
        <w:t xml:space="preserve">This option </w:t>
      </w:r>
      <w:r w:rsidR="00D119CE">
        <w:rPr>
          <w:rFonts w:ascii="Arial" w:hAnsi="Arial" w:cs="Arial"/>
        </w:rPr>
        <w:t>c</w:t>
      </w:r>
      <w:r w:rsidRPr="11FF59B9">
        <w:rPr>
          <w:rFonts w:ascii="Arial" w:hAnsi="Arial" w:cs="Arial"/>
        </w:rPr>
        <w:t>ould provide car dealers with additional certainty and, where an agreement is not being renewed, provide them w</w:t>
      </w:r>
      <w:r w:rsidR="0015009D">
        <w:rPr>
          <w:rFonts w:ascii="Arial" w:hAnsi="Arial" w:cs="Arial"/>
        </w:rPr>
        <w:t>ith</w:t>
      </w:r>
      <w:r w:rsidR="00A2552B">
        <w:rPr>
          <w:rFonts w:ascii="Arial" w:hAnsi="Arial" w:cs="Arial"/>
        </w:rPr>
        <w:t xml:space="preserve"> more </w:t>
      </w:r>
      <w:r w:rsidRPr="11FF59B9">
        <w:rPr>
          <w:rFonts w:ascii="Arial" w:hAnsi="Arial" w:cs="Arial"/>
        </w:rPr>
        <w:t xml:space="preserve">time to prepare for the end of the agreement. </w:t>
      </w:r>
      <w:r w:rsidR="003072E9">
        <w:rPr>
          <w:rFonts w:ascii="Arial" w:hAnsi="Arial" w:cs="Arial"/>
        </w:rPr>
        <w:t>W</w:t>
      </w:r>
      <w:r w:rsidR="003072E9" w:rsidRPr="11FF59B9">
        <w:rPr>
          <w:rFonts w:ascii="Arial" w:hAnsi="Arial" w:cs="Arial"/>
        </w:rPr>
        <w:t>hilst</w:t>
      </w:r>
      <w:r w:rsidRPr="11FF59B9">
        <w:rPr>
          <w:rFonts w:ascii="Arial" w:hAnsi="Arial" w:cs="Arial"/>
        </w:rPr>
        <w:t xml:space="preserve"> car manufacturers would have less flexibility and have to </w:t>
      </w:r>
      <w:r w:rsidR="00AD5F5C">
        <w:rPr>
          <w:rFonts w:ascii="Arial" w:hAnsi="Arial" w:cs="Arial"/>
        </w:rPr>
        <w:t xml:space="preserve">communicate </w:t>
      </w:r>
      <w:r w:rsidRPr="11FF59B9">
        <w:rPr>
          <w:rFonts w:ascii="Arial" w:hAnsi="Arial" w:cs="Arial"/>
        </w:rPr>
        <w:t>decisions earlier, they still</w:t>
      </w:r>
      <w:r w:rsidR="00C95D95">
        <w:rPr>
          <w:rFonts w:ascii="Arial" w:hAnsi="Arial" w:cs="Arial"/>
        </w:rPr>
        <w:t xml:space="preserve"> retain the right not to </w:t>
      </w:r>
      <w:r w:rsidRPr="11FF59B9">
        <w:rPr>
          <w:rFonts w:ascii="Arial" w:hAnsi="Arial" w:cs="Arial"/>
        </w:rPr>
        <w:t>renew an agreement.</w:t>
      </w:r>
      <w:r w:rsidR="0015009D">
        <w:rPr>
          <w:rFonts w:ascii="Arial" w:hAnsi="Arial" w:cs="Arial"/>
        </w:rPr>
        <w:t xml:space="preserve"> </w:t>
      </w:r>
      <w:r w:rsidR="008D017D">
        <w:rPr>
          <w:rFonts w:ascii="Arial" w:hAnsi="Arial" w:cs="Arial"/>
        </w:rPr>
        <w:t>T</w:t>
      </w:r>
      <w:r w:rsidR="0015009D">
        <w:rPr>
          <w:rFonts w:ascii="Arial" w:hAnsi="Arial" w:cs="Arial"/>
        </w:rPr>
        <w:t xml:space="preserve">he cost incurred by new car dealers, in terms of winding down a business or negotiating a new dealership agreement (particularly if there is a gap between agreements), </w:t>
      </w:r>
      <w:r w:rsidR="00D119CE">
        <w:rPr>
          <w:rFonts w:ascii="Arial" w:hAnsi="Arial" w:cs="Arial"/>
        </w:rPr>
        <w:t>c</w:t>
      </w:r>
      <w:r w:rsidR="00507639">
        <w:rPr>
          <w:rFonts w:ascii="Arial" w:hAnsi="Arial" w:cs="Arial"/>
        </w:rPr>
        <w:t xml:space="preserve">ould </w:t>
      </w:r>
      <w:r w:rsidR="008D017D">
        <w:rPr>
          <w:rFonts w:ascii="Arial" w:hAnsi="Arial" w:cs="Arial"/>
        </w:rPr>
        <w:t>outweigh the business costs incurred by car manufacturers</w:t>
      </w:r>
      <w:r w:rsidR="0015009D">
        <w:rPr>
          <w:rFonts w:ascii="Arial" w:hAnsi="Arial" w:cs="Arial"/>
        </w:rPr>
        <w:t>.</w:t>
      </w:r>
      <w:r w:rsidR="003072E9">
        <w:rPr>
          <w:rFonts w:ascii="Arial" w:hAnsi="Arial" w:cs="Arial"/>
        </w:rPr>
        <w:t xml:space="preserve"> Both car dealers and car manufacturers generally support the introduction of 12 month notice periods. </w:t>
      </w:r>
      <w:r w:rsidRPr="11FF59B9">
        <w:rPr>
          <w:rFonts w:ascii="Arial" w:hAnsi="Arial" w:cs="Arial"/>
        </w:rPr>
        <w:t>As such, this option is expected to have a positive net benefit.</w:t>
      </w:r>
    </w:p>
    <w:p w14:paraId="3F1D0A5A" w14:textId="77777777" w:rsidR="007F7F96" w:rsidRPr="0040566B" w:rsidRDefault="007F7F96" w:rsidP="00DD2858">
      <w:pPr>
        <w:keepNext/>
        <w:spacing w:before="240" w:line="360" w:lineRule="auto"/>
        <w:jc w:val="both"/>
        <w:rPr>
          <w:rFonts w:ascii="Arial" w:hAnsi="Arial" w:cs="Arial"/>
          <w:i/>
          <w:iCs/>
        </w:rPr>
      </w:pPr>
      <w:r w:rsidRPr="0040566B">
        <w:rPr>
          <w:rFonts w:ascii="Arial" w:hAnsi="Arial" w:cs="Arial"/>
          <w:i/>
          <w:iCs/>
        </w:rPr>
        <w:t>Regulatory burden</w:t>
      </w:r>
    </w:p>
    <w:tbl>
      <w:tblPr>
        <w:tblStyle w:val="LightGrid-Accent2"/>
        <w:tblW w:w="9464" w:type="dxa"/>
        <w:tblLook w:val="04A0" w:firstRow="1" w:lastRow="0" w:firstColumn="1" w:lastColumn="0" w:noHBand="0" w:noVBand="1"/>
        <w:tblCaption w:val="Regulatory burden estimate table"/>
        <w:tblDescription w:val="Average annual regulatory costs for option 2A. Total average annual regulatory cost to business is $2.46 million."/>
      </w:tblPr>
      <w:tblGrid>
        <w:gridCol w:w="2128"/>
        <w:gridCol w:w="1646"/>
        <w:gridCol w:w="2170"/>
        <w:gridCol w:w="1946"/>
        <w:gridCol w:w="1574"/>
      </w:tblGrid>
      <w:tr w:rsidR="007F7F96" w:rsidRPr="00F326A7" w14:paraId="3F1D0A5C" w14:textId="77777777" w:rsidTr="0040566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9464" w:type="dxa"/>
            <w:gridSpan w:val="5"/>
            <w:noWrap/>
          </w:tcPr>
          <w:p w14:paraId="3F1D0A5B" w14:textId="77777777" w:rsidR="007F7F96" w:rsidRPr="00F326A7" w:rsidRDefault="007F7F96" w:rsidP="007F7F96">
            <w:pPr>
              <w:rPr>
                <w:rFonts w:ascii="Arial" w:hAnsi="Arial" w:cs="Arial"/>
                <w:sz w:val="20"/>
                <w:szCs w:val="20"/>
              </w:rPr>
            </w:pPr>
            <w:r w:rsidRPr="00F326A7">
              <w:rPr>
                <w:rFonts w:ascii="Arial" w:hAnsi="Arial" w:cs="Arial"/>
                <w:sz w:val="20"/>
                <w:szCs w:val="20"/>
              </w:rPr>
              <w:t>Total Option 2</w:t>
            </w:r>
            <w:r w:rsidR="003A4A6D" w:rsidRPr="00F326A7">
              <w:rPr>
                <w:rFonts w:ascii="Arial" w:hAnsi="Arial" w:cs="Arial"/>
                <w:sz w:val="20"/>
                <w:szCs w:val="20"/>
              </w:rPr>
              <w:t>A</w:t>
            </w:r>
            <w:r w:rsidRPr="00F326A7">
              <w:rPr>
                <w:rFonts w:ascii="Arial" w:hAnsi="Arial" w:cs="Arial"/>
                <w:sz w:val="20"/>
                <w:szCs w:val="20"/>
              </w:rPr>
              <w:t xml:space="preserve"> Costs - Average annual regulatory costs (ten years)</w:t>
            </w:r>
          </w:p>
        </w:tc>
      </w:tr>
      <w:tr w:rsidR="007F7F96" w:rsidRPr="00F326A7" w14:paraId="3F1D0A62" w14:textId="77777777" w:rsidTr="0040566B">
        <w:trPr>
          <w:trHeight w:val="300"/>
        </w:trPr>
        <w:tc>
          <w:tcPr>
            <w:cnfStyle w:val="001000000000" w:firstRow="0" w:lastRow="0" w:firstColumn="1" w:lastColumn="0" w:oddVBand="0" w:evenVBand="0" w:oddHBand="0" w:evenHBand="0" w:firstRowFirstColumn="0" w:firstRowLastColumn="0" w:lastRowFirstColumn="0" w:lastRowLastColumn="0"/>
            <w:tcW w:w="2128" w:type="dxa"/>
            <w:noWrap/>
          </w:tcPr>
          <w:p w14:paraId="3F1D0A5D" w14:textId="77777777" w:rsidR="007F7F96" w:rsidRPr="0040566B" w:rsidRDefault="007F7F96">
            <w:pPr>
              <w:pStyle w:val="TableText"/>
              <w:rPr>
                <w:b w:val="0"/>
              </w:rPr>
            </w:pPr>
            <w:r w:rsidRPr="00F326A7">
              <w:t>Change in costs</w:t>
            </w:r>
            <w:r w:rsidRPr="0040566B">
              <w:rPr>
                <w:rFonts w:cs="Calibri"/>
              </w:rPr>
              <w:t xml:space="preserve"> ($ million)</w:t>
            </w:r>
          </w:p>
        </w:tc>
        <w:tc>
          <w:tcPr>
            <w:tcW w:w="1646" w:type="dxa"/>
            <w:noWrap/>
          </w:tcPr>
          <w:p w14:paraId="3F1D0A5E" w14:textId="77777777" w:rsidR="007F7F96" w:rsidRPr="00F326A7" w:rsidRDefault="007F7F96" w:rsidP="007F7F96">
            <w:pPr>
              <w:pStyle w:val="TableText"/>
              <w:cnfStyle w:val="000000000000" w:firstRow="0" w:lastRow="0" w:firstColumn="0" w:lastColumn="0" w:oddVBand="0" w:evenVBand="0" w:oddHBand="0" w:evenHBand="0" w:firstRowFirstColumn="0" w:firstRowLastColumn="0" w:lastRowFirstColumn="0" w:lastRowLastColumn="0"/>
            </w:pPr>
            <w:r w:rsidRPr="00F326A7">
              <w:t>Business</w:t>
            </w:r>
          </w:p>
        </w:tc>
        <w:tc>
          <w:tcPr>
            <w:tcW w:w="2170" w:type="dxa"/>
            <w:noWrap/>
          </w:tcPr>
          <w:p w14:paraId="3F1D0A5F" w14:textId="77777777" w:rsidR="007F7F96" w:rsidRPr="00F326A7" w:rsidRDefault="007F7F96" w:rsidP="007F7F96">
            <w:pPr>
              <w:pStyle w:val="TableText"/>
              <w:cnfStyle w:val="000000000000" w:firstRow="0" w:lastRow="0" w:firstColumn="0" w:lastColumn="0" w:oddVBand="0" w:evenVBand="0" w:oddHBand="0" w:evenHBand="0" w:firstRowFirstColumn="0" w:firstRowLastColumn="0" w:lastRowFirstColumn="0" w:lastRowLastColumn="0"/>
            </w:pPr>
            <w:r w:rsidRPr="0040566B">
              <w:rPr>
                <w:rFonts w:cs="Calibri"/>
              </w:rPr>
              <w:t>Community organisations</w:t>
            </w:r>
          </w:p>
        </w:tc>
        <w:tc>
          <w:tcPr>
            <w:tcW w:w="1946" w:type="dxa"/>
            <w:noWrap/>
          </w:tcPr>
          <w:p w14:paraId="3F1D0A60" w14:textId="77777777" w:rsidR="007F7F96" w:rsidRPr="00F326A7" w:rsidRDefault="007F7F96" w:rsidP="007F7F96">
            <w:pPr>
              <w:pStyle w:val="TableText"/>
              <w:cnfStyle w:val="000000000000" w:firstRow="0" w:lastRow="0" w:firstColumn="0" w:lastColumn="0" w:oddVBand="0" w:evenVBand="0" w:oddHBand="0" w:evenHBand="0" w:firstRowFirstColumn="0" w:firstRowLastColumn="0" w:lastRowFirstColumn="0" w:lastRowLastColumn="0"/>
            </w:pPr>
            <w:r w:rsidRPr="00F326A7">
              <w:t>Individuals</w:t>
            </w:r>
          </w:p>
        </w:tc>
        <w:tc>
          <w:tcPr>
            <w:tcW w:w="1574" w:type="dxa"/>
            <w:noWrap/>
          </w:tcPr>
          <w:p w14:paraId="3F1D0A61" w14:textId="77777777" w:rsidR="007F7F96" w:rsidRPr="00F326A7" w:rsidRDefault="007F7F96" w:rsidP="007F7F96">
            <w:pPr>
              <w:pStyle w:val="TableText"/>
              <w:cnfStyle w:val="000000000000" w:firstRow="0" w:lastRow="0" w:firstColumn="0" w:lastColumn="0" w:oddVBand="0" w:evenVBand="0" w:oddHBand="0" w:evenHBand="0" w:firstRowFirstColumn="0" w:firstRowLastColumn="0" w:lastRowFirstColumn="0" w:lastRowLastColumn="0"/>
            </w:pPr>
            <w:r w:rsidRPr="0040566B">
              <w:rPr>
                <w:rFonts w:cs="Calibri"/>
              </w:rPr>
              <w:t>Total change in cost</w:t>
            </w:r>
          </w:p>
        </w:tc>
      </w:tr>
      <w:tr w:rsidR="007F7F96" w:rsidRPr="00F326A7" w14:paraId="3F1D0A68" w14:textId="77777777" w:rsidTr="0040566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8" w:type="dxa"/>
            <w:noWrap/>
          </w:tcPr>
          <w:p w14:paraId="3F1D0A63" w14:textId="77777777" w:rsidR="007F7F96" w:rsidRPr="0040566B" w:rsidRDefault="007F7F96">
            <w:pPr>
              <w:pStyle w:val="TableText"/>
              <w:rPr>
                <w:b w:val="0"/>
              </w:rPr>
            </w:pPr>
            <w:r w:rsidRPr="00F326A7">
              <w:t>Total, by sector</w:t>
            </w:r>
          </w:p>
        </w:tc>
        <w:tc>
          <w:tcPr>
            <w:tcW w:w="1646" w:type="dxa"/>
            <w:noWrap/>
          </w:tcPr>
          <w:p w14:paraId="3F1D0A64" w14:textId="79337DA5" w:rsidR="007F7F96" w:rsidRPr="0040566B" w:rsidRDefault="007F7F96">
            <w:pPr>
              <w:pStyle w:val="TableText"/>
              <w:cnfStyle w:val="000000010000" w:firstRow="0" w:lastRow="0" w:firstColumn="0" w:lastColumn="0" w:oddVBand="0" w:evenVBand="0" w:oddHBand="0" w:evenHBand="1" w:firstRowFirstColumn="0" w:firstRowLastColumn="0" w:lastRowFirstColumn="0" w:lastRowLastColumn="0"/>
              <w:rPr>
                <w:rFonts w:cs="Calibri"/>
              </w:rPr>
            </w:pPr>
            <w:r w:rsidRPr="0040566B">
              <w:rPr>
                <w:rFonts w:cs="Calibri"/>
              </w:rPr>
              <w:t>$</w:t>
            </w:r>
            <w:r w:rsidR="004D5E63" w:rsidRPr="0040566B">
              <w:rPr>
                <w:rFonts w:cs="Calibri"/>
              </w:rPr>
              <w:t>2.46</w:t>
            </w:r>
          </w:p>
        </w:tc>
        <w:tc>
          <w:tcPr>
            <w:tcW w:w="2170" w:type="dxa"/>
            <w:noWrap/>
          </w:tcPr>
          <w:p w14:paraId="3F1D0A65" w14:textId="77777777" w:rsidR="007F7F96" w:rsidRPr="00F326A7" w:rsidRDefault="007F7F96" w:rsidP="007F7F96">
            <w:pPr>
              <w:pStyle w:val="TableText"/>
              <w:cnfStyle w:val="000000010000" w:firstRow="0" w:lastRow="0" w:firstColumn="0" w:lastColumn="0" w:oddVBand="0" w:evenVBand="0" w:oddHBand="0" w:evenHBand="1" w:firstRowFirstColumn="0" w:firstRowLastColumn="0" w:lastRowFirstColumn="0" w:lastRowLastColumn="0"/>
              <w:rPr>
                <w:rFonts w:cs="Calibri"/>
                <w:iCs/>
              </w:rPr>
            </w:pPr>
          </w:p>
        </w:tc>
        <w:tc>
          <w:tcPr>
            <w:tcW w:w="1946" w:type="dxa"/>
            <w:noWrap/>
          </w:tcPr>
          <w:p w14:paraId="3F1D0A66" w14:textId="77777777" w:rsidR="007F7F96" w:rsidRPr="00F326A7" w:rsidRDefault="007F7F96" w:rsidP="007F7F96">
            <w:pPr>
              <w:pStyle w:val="TableText"/>
              <w:cnfStyle w:val="000000010000" w:firstRow="0" w:lastRow="0" w:firstColumn="0" w:lastColumn="0" w:oddVBand="0" w:evenVBand="0" w:oddHBand="0" w:evenHBand="1" w:firstRowFirstColumn="0" w:firstRowLastColumn="0" w:lastRowFirstColumn="0" w:lastRowLastColumn="0"/>
              <w:rPr>
                <w:rFonts w:cs="Calibri"/>
                <w:iCs/>
              </w:rPr>
            </w:pPr>
          </w:p>
        </w:tc>
        <w:tc>
          <w:tcPr>
            <w:tcW w:w="1574" w:type="dxa"/>
            <w:noWrap/>
          </w:tcPr>
          <w:p w14:paraId="3F1D0A67" w14:textId="614D0CE7" w:rsidR="007F7F96" w:rsidRPr="0040566B" w:rsidRDefault="007F7F96">
            <w:pPr>
              <w:pStyle w:val="TableText"/>
              <w:cnfStyle w:val="000000010000" w:firstRow="0" w:lastRow="0" w:firstColumn="0" w:lastColumn="0" w:oddVBand="0" w:evenVBand="0" w:oddHBand="0" w:evenHBand="1" w:firstRowFirstColumn="0" w:firstRowLastColumn="0" w:lastRowFirstColumn="0" w:lastRowLastColumn="0"/>
              <w:rPr>
                <w:rFonts w:cs="Calibri"/>
              </w:rPr>
            </w:pPr>
            <w:r w:rsidRPr="0040566B">
              <w:rPr>
                <w:rFonts w:cs="Calibri"/>
              </w:rPr>
              <w:t>$</w:t>
            </w:r>
            <w:r w:rsidR="004D5E63" w:rsidRPr="0040566B">
              <w:rPr>
                <w:rFonts w:cs="Calibri"/>
              </w:rPr>
              <w:t>2.46</w:t>
            </w:r>
          </w:p>
        </w:tc>
      </w:tr>
    </w:tbl>
    <w:p w14:paraId="3F1D0A69" w14:textId="7C548E5C" w:rsidR="007F7F96" w:rsidRPr="00F326A7" w:rsidRDefault="007F7F96" w:rsidP="007F7F96">
      <w:pPr>
        <w:spacing w:before="240" w:line="360" w:lineRule="auto"/>
        <w:jc w:val="both"/>
        <w:rPr>
          <w:rFonts w:ascii="Arial" w:hAnsi="Arial" w:cs="Arial"/>
        </w:rPr>
      </w:pPr>
      <w:r w:rsidRPr="00F326A7">
        <w:rPr>
          <w:rFonts w:ascii="Arial" w:hAnsi="Arial" w:cs="Arial"/>
        </w:rPr>
        <w:t xml:space="preserve">Regulatory burden would be incurred by </w:t>
      </w:r>
      <w:r w:rsidR="00E2100B" w:rsidRPr="00F326A7">
        <w:rPr>
          <w:rFonts w:ascii="Arial" w:hAnsi="Arial" w:cs="Arial"/>
        </w:rPr>
        <w:t xml:space="preserve">manufacturers </w:t>
      </w:r>
      <w:r w:rsidR="00F326A7" w:rsidRPr="0040566B">
        <w:rPr>
          <w:rFonts w:ascii="Arial" w:hAnsi="Arial" w:cs="Arial"/>
        </w:rPr>
        <w:t xml:space="preserve">and dealers </w:t>
      </w:r>
      <w:r w:rsidR="00E2100B" w:rsidRPr="00F326A7">
        <w:rPr>
          <w:rFonts w:ascii="Arial" w:hAnsi="Arial" w:cs="Arial"/>
        </w:rPr>
        <w:t xml:space="preserve">who would need to draft </w:t>
      </w:r>
      <w:r w:rsidR="00F326A7" w:rsidRPr="0040566B">
        <w:rPr>
          <w:rFonts w:ascii="Arial" w:hAnsi="Arial" w:cs="Arial"/>
        </w:rPr>
        <w:t>a business plan after the non-renewal notice is issued and send staff to attend a meeting to discuss the plan.</w:t>
      </w:r>
    </w:p>
    <w:p w14:paraId="150EE19B" w14:textId="426A1D45" w:rsidR="008D7915" w:rsidRDefault="00652B90" w:rsidP="00DD2858">
      <w:pPr>
        <w:spacing w:before="240" w:line="360" w:lineRule="auto"/>
        <w:jc w:val="both"/>
        <w:rPr>
          <w:rFonts w:ascii="Arial" w:hAnsi="Arial" w:cs="Arial"/>
        </w:rPr>
      </w:pPr>
      <w:r w:rsidRPr="00F326A7">
        <w:rPr>
          <w:rFonts w:ascii="Arial" w:hAnsi="Arial" w:cs="Arial"/>
        </w:rPr>
        <w:t xml:space="preserve">The regulatory burden calculation assumes it would take a </w:t>
      </w:r>
      <w:r w:rsidR="00F326A7" w:rsidRPr="0040566B">
        <w:rPr>
          <w:rFonts w:ascii="Arial" w:hAnsi="Arial" w:cs="Arial"/>
        </w:rPr>
        <w:t xml:space="preserve">staff member from the manufacturer and dealership </w:t>
      </w:r>
      <w:r w:rsidR="00974660">
        <w:rPr>
          <w:rFonts w:ascii="Arial" w:hAnsi="Arial" w:cs="Arial"/>
        </w:rPr>
        <w:t>four</w:t>
      </w:r>
      <w:r w:rsidR="00F326A7" w:rsidRPr="0040566B">
        <w:rPr>
          <w:rFonts w:ascii="Arial" w:hAnsi="Arial" w:cs="Arial"/>
        </w:rPr>
        <w:t xml:space="preserve"> week</w:t>
      </w:r>
      <w:r w:rsidR="00974660">
        <w:rPr>
          <w:rFonts w:ascii="Arial" w:hAnsi="Arial" w:cs="Arial"/>
        </w:rPr>
        <w:t>s</w:t>
      </w:r>
      <w:r w:rsidR="00F326A7" w:rsidRPr="0040566B">
        <w:rPr>
          <w:rFonts w:ascii="Arial" w:hAnsi="Arial" w:cs="Arial"/>
        </w:rPr>
        <w:t xml:space="preserve"> to jointly prepare a plan. It is also assumed that two </w:t>
      </w:r>
      <w:r w:rsidR="00F326A7" w:rsidRPr="0040566B">
        <w:rPr>
          <w:rFonts w:ascii="Arial" w:hAnsi="Arial" w:cs="Arial"/>
        </w:rPr>
        <w:lastRenderedPageBreak/>
        <w:t xml:space="preserve">staff from the dealership and from the manufacturer would attend a </w:t>
      </w:r>
      <w:r w:rsidR="00230CE6">
        <w:rPr>
          <w:rFonts w:ascii="Arial" w:hAnsi="Arial" w:cs="Arial"/>
        </w:rPr>
        <w:t>two</w:t>
      </w:r>
      <w:r w:rsidR="00F326A7" w:rsidRPr="0040566B">
        <w:rPr>
          <w:rFonts w:ascii="Arial" w:hAnsi="Arial" w:cs="Arial"/>
        </w:rPr>
        <w:t xml:space="preserve"> hour meeting to discuss the plan. It is assumed that all of these staff would earn </w:t>
      </w:r>
      <w:r w:rsidRPr="00F326A7">
        <w:rPr>
          <w:rFonts w:ascii="Arial" w:hAnsi="Arial" w:cs="Arial"/>
        </w:rPr>
        <w:t xml:space="preserve">$500 per hour. This cost would be incurred </w:t>
      </w:r>
      <w:r w:rsidR="00F326A7" w:rsidRPr="0040566B">
        <w:rPr>
          <w:rFonts w:ascii="Arial" w:hAnsi="Arial" w:cs="Arial"/>
        </w:rPr>
        <w:t>each time an agreement is not renewed and it is assumed that</w:t>
      </w:r>
      <w:r w:rsidR="001C24F3">
        <w:rPr>
          <w:rFonts w:ascii="Arial" w:hAnsi="Arial" w:cs="Arial"/>
        </w:rPr>
        <w:t xml:space="preserve"> </w:t>
      </w:r>
      <w:r w:rsidR="00230CE6">
        <w:rPr>
          <w:rFonts w:ascii="Arial" w:hAnsi="Arial" w:cs="Arial"/>
        </w:rPr>
        <w:t>15</w:t>
      </w:r>
      <w:r w:rsidR="004D5E63">
        <w:rPr>
          <w:rFonts w:ascii="Arial" w:hAnsi="Arial" w:cs="Arial"/>
        </w:rPr>
        <w:t xml:space="preserve"> </w:t>
      </w:r>
      <w:r w:rsidR="00F326A7" w:rsidRPr="0040566B">
        <w:rPr>
          <w:rFonts w:ascii="Arial" w:hAnsi="Arial" w:cs="Arial"/>
        </w:rPr>
        <w:t>agreements are not renewed each year.</w:t>
      </w:r>
    </w:p>
    <w:p w14:paraId="4DA5C4EA" w14:textId="50597C6D" w:rsidR="00935BAF" w:rsidRDefault="008D7915" w:rsidP="008522F8">
      <w:pPr>
        <w:spacing w:before="240" w:line="360" w:lineRule="auto"/>
        <w:jc w:val="both"/>
        <w:rPr>
          <w:rFonts w:ascii="Arial" w:hAnsi="Arial" w:cs="Arial"/>
        </w:rPr>
      </w:pPr>
      <w:r>
        <w:rPr>
          <w:rFonts w:ascii="Arial" w:hAnsi="Arial" w:cs="Arial"/>
        </w:rPr>
        <w:t xml:space="preserve">The quantitative benefits should exceed the regulatory burden of $2.46 million to </w:t>
      </w:r>
      <w:r w:rsidR="00D7145D">
        <w:rPr>
          <w:rFonts w:ascii="Arial" w:hAnsi="Arial" w:cs="Arial"/>
        </w:rPr>
        <w:t xml:space="preserve">justify implementing </w:t>
      </w:r>
      <w:r>
        <w:rPr>
          <w:rFonts w:ascii="Arial" w:hAnsi="Arial" w:cs="Arial"/>
        </w:rPr>
        <w:t>this option. To assess wh</w:t>
      </w:r>
      <w:r w:rsidR="00D7145D">
        <w:rPr>
          <w:rFonts w:ascii="Arial" w:hAnsi="Arial" w:cs="Arial"/>
        </w:rPr>
        <w:t xml:space="preserve">ether this is </w:t>
      </w:r>
      <w:r w:rsidR="00117ADD">
        <w:rPr>
          <w:rFonts w:ascii="Arial" w:hAnsi="Arial" w:cs="Arial"/>
        </w:rPr>
        <w:t>realistic</w:t>
      </w:r>
      <w:r w:rsidR="00C95D95">
        <w:rPr>
          <w:rFonts w:ascii="Arial" w:hAnsi="Arial" w:cs="Arial"/>
        </w:rPr>
        <w:t>,</w:t>
      </w:r>
      <w:r w:rsidR="00117ADD">
        <w:rPr>
          <w:rFonts w:ascii="Arial" w:hAnsi="Arial" w:cs="Arial"/>
        </w:rPr>
        <w:t xml:space="preserve"> several assumptions </w:t>
      </w:r>
      <w:r w:rsidR="0091579F">
        <w:rPr>
          <w:rFonts w:ascii="Arial" w:hAnsi="Arial" w:cs="Arial"/>
        </w:rPr>
        <w:t>have been</w:t>
      </w:r>
      <w:r w:rsidR="00117ADD">
        <w:rPr>
          <w:rFonts w:ascii="Arial" w:hAnsi="Arial" w:cs="Arial"/>
        </w:rPr>
        <w:t xml:space="preserve"> made</w:t>
      </w:r>
      <w:r w:rsidR="00D41176">
        <w:rPr>
          <w:rFonts w:ascii="Arial" w:hAnsi="Arial" w:cs="Arial"/>
        </w:rPr>
        <w:t>.</w:t>
      </w:r>
      <w:r w:rsidR="006E158C">
        <w:rPr>
          <w:rFonts w:ascii="Arial" w:hAnsi="Arial" w:cs="Arial"/>
        </w:rPr>
        <w:t xml:space="preserve"> </w:t>
      </w:r>
      <w:r w:rsidR="00C95D95">
        <w:rPr>
          <w:rFonts w:ascii="Arial" w:hAnsi="Arial" w:cs="Arial"/>
        </w:rPr>
        <w:t>I</w:t>
      </w:r>
      <w:r>
        <w:rPr>
          <w:rFonts w:ascii="Arial" w:hAnsi="Arial" w:cs="Arial"/>
        </w:rPr>
        <w:t xml:space="preserve">t is </w:t>
      </w:r>
      <w:r w:rsidRPr="00A37301">
        <w:rPr>
          <w:rFonts w:ascii="Arial" w:hAnsi="Arial" w:cs="Arial"/>
        </w:rPr>
        <w:t>assume</w:t>
      </w:r>
      <w:r w:rsidR="00D7145D">
        <w:rPr>
          <w:rFonts w:ascii="Arial" w:hAnsi="Arial" w:cs="Arial"/>
        </w:rPr>
        <w:t>d</w:t>
      </w:r>
      <w:r w:rsidRPr="00A37301">
        <w:rPr>
          <w:rFonts w:ascii="Arial" w:hAnsi="Arial" w:cs="Arial"/>
        </w:rPr>
        <w:t xml:space="preserve"> that</w:t>
      </w:r>
      <w:r>
        <w:rPr>
          <w:rFonts w:ascii="Arial" w:hAnsi="Arial" w:cs="Arial"/>
        </w:rPr>
        <w:t xml:space="preserve"> </w:t>
      </w:r>
      <w:r w:rsidRPr="00A37301">
        <w:rPr>
          <w:rFonts w:ascii="Arial" w:hAnsi="Arial" w:cs="Arial"/>
        </w:rPr>
        <w:t>the average dealership has around $2.1 million in stock and equipment remaining at the end of an agreement</w:t>
      </w:r>
      <w:r>
        <w:rPr>
          <w:rFonts w:ascii="Arial" w:hAnsi="Arial" w:cs="Arial"/>
        </w:rPr>
        <w:t>;</w:t>
      </w:r>
      <w:r w:rsidRPr="00A37301">
        <w:rPr>
          <w:rStyle w:val="FootnoteReference"/>
          <w:rFonts w:ascii="Arial" w:hAnsi="Arial" w:cs="Arial"/>
        </w:rPr>
        <w:footnoteReference w:id="63"/>
      </w:r>
      <w:r>
        <w:rPr>
          <w:rFonts w:ascii="Arial" w:hAnsi="Arial" w:cs="Arial"/>
        </w:rPr>
        <w:t xml:space="preserve"> and that 15 agreements are not renewed each year.</w:t>
      </w:r>
      <w:r w:rsidR="00D7145D">
        <w:rPr>
          <w:rFonts w:ascii="Arial" w:hAnsi="Arial" w:cs="Arial"/>
        </w:rPr>
        <w:t xml:space="preserve"> Thus, total stock for the 15 dea</w:t>
      </w:r>
      <w:r w:rsidR="00D03DDF">
        <w:rPr>
          <w:rFonts w:ascii="Arial" w:hAnsi="Arial" w:cs="Arial"/>
        </w:rPr>
        <w:t xml:space="preserve">lers is almost $32 million. </w:t>
      </w:r>
      <w:r w:rsidR="008A345E">
        <w:rPr>
          <w:rFonts w:ascii="Arial" w:hAnsi="Arial" w:cs="Arial"/>
        </w:rPr>
        <w:t>Dividin</w:t>
      </w:r>
      <w:r w:rsidR="00D03DDF">
        <w:rPr>
          <w:rFonts w:ascii="Arial" w:hAnsi="Arial" w:cs="Arial"/>
        </w:rPr>
        <w:t xml:space="preserve">g the regulatory burden </w:t>
      </w:r>
      <w:r w:rsidR="008A345E">
        <w:rPr>
          <w:rFonts w:ascii="Arial" w:hAnsi="Arial" w:cs="Arial"/>
        </w:rPr>
        <w:t xml:space="preserve">cost </w:t>
      </w:r>
      <w:r w:rsidR="00DD2858">
        <w:rPr>
          <w:rFonts w:ascii="Arial" w:hAnsi="Arial" w:cs="Arial"/>
        </w:rPr>
        <w:t xml:space="preserve">by </w:t>
      </w:r>
      <w:r w:rsidR="00D03DDF">
        <w:rPr>
          <w:rFonts w:ascii="Arial" w:hAnsi="Arial" w:cs="Arial"/>
        </w:rPr>
        <w:t>the stock</w:t>
      </w:r>
      <w:r w:rsidR="008A345E">
        <w:rPr>
          <w:rFonts w:ascii="Arial" w:hAnsi="Arial" w:cs="Arial"/>
        </w:rPr>
        <w:t xml:space="preserve"> value</w:t>
      </w:r>
      <w:r w:rsidR="00D03DDF">
        <w:rPr>
          <w:rFonts w:ascii="Arial" w:hAnsi="Arial" w:cs="Arial"/>
        </w:rPr>
        <w:t xml:space="preserve"> </w:t>
      </w:r>
      <w:r w:rsidR="008A345E">
        <w:rPr>
          <w:rFonts w:ascii="Arial" w:hAnsi="Arial" w:cs="Arial"/>
        </w:rPr>
        <w:t>suggests</w:t>
      </w:r>
      <w:r w:rsidR="00D03DDF">
        <w:rPr>
          <w:rFonts w:ascii="Arial" w:hAnsi="Arial" w:cs="Arial"/>
        </w:rPr>
        <w:t xml:space="preserve"> that</w:t>
      </w:r>
      <w:r w:rsidR="00D7145D">
        <w:rPr>
          <w:rFonts w:ascii="Arial" w:hAnsi="Arial" w:cs="Arial"/>
        </w:rPr>
        <w:t xml:space="preserve"> an 8 per cent improve</w:t>
      </w:r>
      <w:r w:rsidR="00D03DDF">
        <w:rPr>
          <w:rFonts w:ascii="Arial" w:hAnsi="Arial" w:cs="Arial"/>
        </w:rPr>
        <w:t>d outcome</w:t>
      </w:r>
      <w:r w:rsidR="00D7145D">
        <w:rPr>
          <w:rFonts w:ascii="Arial" w:hAnsi="Arial" w:cs="Arial"/>
        </w:rPr>
        <w:t xml:space="preserve"> on the management of stock </w:t>
      </w:r>
      <w:r w:rsidR="00D03DDF">
        <w:rPr>
          <w:rFonts w:ascii="Arial" w:hAnsi="Arial" w:cs="Arial"/>
        </w:rPr>
        <w:t>would</w:t>
      </w:r>
      <w:r w:rsidR="00D7145D">
        <w:rPr>
          <w:rFonts w:ascii="Arial" w:hAnsi="Arial" w:cs="Arial"/>
        </w:rPr>
        <w:t xml:space="preserve"> </w:t>
      </w:r>
      <w:r w:rsidR="00DD2858">
        <w:rPr>
          <w:rFonts w:ascii="Arial" w:hAnsi="Arial" w:cs="Arial"/>
        </w:rPr>
        <w:t>create a positive net</w:t>
      </w:r>
      <w:r w:rsidR="00D7145D">
        <w:rPr>
          <w:rFonts w:ascii="Arial" w:hAnsi="Arial" w:cs="Arial"/>
        </w:rPr>
        <w:t xml:space="preserve"> benefi</w:t>
      </w:r>
      <w:r w:rsidR="00DD2858">
        <w:rPr>
          <w:rFonts w:ascii="Arial" w:hAnsi="Arial" w:cs="Arial"/>
        </w:rPr>
        <w:t>t</w:t>
      </w:r>
      <w:r w:rsidR="00D7145D">
        <w:rPr>
          <w:rFonts w:ascii="Arial" w:hAnsi="Arial" w:cs="Arial"/>
        </w:rPr>
        <w:t>.</w:t>
      </w:r>
      <w:r w:rsidR="007C3D8A">
        <w:rPr>
          <w:rStyle w:val="FootnoteReference"/>
          <w:rFonts w:ascii="Arial" w:hAnsi="Arial" w:cs="Arial"/>
        </w:rPr>
        <w:footnoteReference w:id="64"/>
      </w:r>
      <w:r w:rsidR="00D7145D">
        <w:rPr>
          <w:rFonts w:ascii="Arial" w:hAnsi="Arial" w:cs="Arial"/>
        </w:rPr>
        <w:t xml:space="preserve"> </w:t>
      </w:r>
      <w:r w:rsidR="00D03DDF">
        <w:rPr>
          <w:rFonts w:ascii="Arial" w:hAnsi="Arial" w:cs="Arial"/>
        </w:rPr>
        <w:t xml:space="preserve">To put this another way, each dealership </w:t>
      </w:r>
      <w:r w:rsidR="00B81D47">
        <w:rPr>
          <w:rFonts w:ascii="Arial" w:hAnsi="Arial" w:cs="Arial"/>
        </w:rPr>
        <w:t xml:space="preserve">that is not renewed </w:t>
      </w:r>
      <w:r w:rsidR="00D03DDF">
        <w:rPr>
          <w:rFonts w:ascii="Arial" w:hAnsi="Arial" w:cs="Arial"/>
        </w:rPr>
        <w:t xml:space="preserve">would </w:t>
      </w:r>
      <w:r w:rsidR="00B81D47">
        <w:rPr>
          <w:rFonts w:ascii="Arial" w:hAnsi="Arial" w:cs="Arial"/>
        </w:rPr>
        <w:t xml:space="preserve">have </w:t>
      </w:r>
      <w:r w:rsidR="00D03DDF">
        <w:rPr>
          <w:rFonts w:ascii="Arial" w:hAnsi="Arial" w:cs="Arial"/>
        </w:rPr>
        <w:t xml:space="preserve">to reduce </w:t>
      </w:r>
      <w:r w:rsidR="00B81D47">
        <w:rPr>
          <w:rFonts w:ascii="Arial" w:hAnsi="Arial" w:cs="Arial"/>
        </w:rPr>
        <w:t xml:space="preserve">its stock </w:t>
      </w:r>
      <w:r w:rsidR="00D03DDF">
        <w:rPr>
          <w:rFonts w:ascii="Arial" w:hAnsi="Arial" w:cs="Arial"/>
        </w:rPr>
        <w:t>liabilities by about $200,000</w:t>
      </w:r>
      <w:r w:rsidR="00B81D47">
        <w:rPr>
          <w:rFonts w:ascii="Arial" w:hAnsi="Arial" w:cs="Arial"/>
        </w:rPr>
        <w:t xml:space="preserve"> compared with existing liabilit</w:t>
      </w:r>
      <w:r w:rsidR="00F213A3">
        <w:rPr>
          <w:rFonts w:ascii="Arial" w:hAnsi="Arial" w:cs="Arial"/>
        </w:rPr>
        <w:t>ies</w:t>
      </w:r>
      <w:r w:rsidR="0055511F">
        <w:rPr>
          <w:rFonts w:ascii="Arial" w:hAnsi="Arial" w:cs="Arial"/>
        </w:rPr>
        <w:t xml:space="preserve"> on implementation of this option</w:t>
      </w:r>
      <w:r w:rsidR="008A345E">
        <w:rPr>
          <w:rFonts w:ascii="Arial" w:hAnsi="Arial" w:cs="Arial"/>
        </w:rPr>
        <w:t xml:space="preserve"> </w:t>
      </w:r>
      <w:r w:rsidR="0055511F">
        <w:rPr>
          <w:rFonts w:ascii="Arial" w:hAnsi="Arial" w:cs="Arial"/>
        </w:rPr>
        <w:t>for it to be considered to have a positive net benefit</w:t>
      </w:r>
      <w:r w:rsidR="00D03DDF">
        <w:rPr>
          <w:rFonts w:ascii="Arial" w:hAnsi="Arial" w:cs="Arial"/>
        </w:rPr>
        <w:t>.</w:t>
      </w:r>
      <w:r w:rsidR="008A345E">
        <w:rPr>
          <w:rFonts w:ascii="Arial" w:hAnsi="Arial" w:cs="Arial"/>
        </w:rPr>
        <w:t xml:space="preserve"> </w:t>
      </w:r>
      <w:r w:rsidR="0055511F">
        <w:rPr>
          <w:rFonts w:ascii="Arial" w:hAnsi="Arial" w:cs="Arial"/>
        </w:rPr>
        <w:t xml:space="preserve">It is reasonable to expect this outcome </w:t>
      </w:r>
      <w:r w:rsidR="00D119CE">
        <w:rPr>
          <w:rFonts w:ascii="Arial" w:hAnsi="Arial" w:cs="Arial"/>
        </w:rPr>
        <w:t>c</w:t>
      </w:r>
      <w:r w:rsidR="0055511F">
        <w:rPr>
          <w:rFonts w:ascii="Arial" w:hAnsi="Arial" w:cs="Arial"/>
        </w:rPr>
        <w:t>ould be</w:t>
      </w:r>
      <w:r w:rsidR="00D03DDF">
        <w:rPr>
          <w:rFonts w:ascii="Arial" w:hAnsi="Arial" w:cs="Arial"/>
        </w:rPr>
        <w:t xml:space="preserve"> achieved by </w:t>
      </w:r>
      <w:r w:rsidR="00DD2858">
        <w:rPr>
          <w:rFonts w:ascii="Arial" w:hAnsi="Arial" w:cs="Arial"/>
        </w:rPr>
        <w:t xml:space="preserve">developing a co-operative </w:t>
      </w:r>
      <w:r w:rsidR="00117ADD">
        <w:rPr>
          <w:rFonts w:ascii="Arial" w:hAnsi="Arial" w:cs="Arial"/>
        </w:rPr>
        <w:t xml:space="preserve">strategy for </w:t>
      </w:r>
      <w:r w:rsidR="0055511F">
        <w:rPr>
          <w:rFonts w:ascii="Arial" w:hAnsi="Arial" w:cs="Arial"/>
        </w:rPr>
        <w:t>winding up a dealership agreement</w:t>
      </w:r>
      <w:r w:rsidR="00117ADD">
        <w:rPr>
          <w:rFonts w:ascii="Arial" w:hAnsi="Arial" w:cs="Arial"/>
        </w:rPr>
        <w:t>.</w:t>
      </w:r>
    </w:p>
    <w:p w14:paraId="66171D57" w14:textId="3A7F46CC" w:rsidR="008D7915" w:rsidRPr="00F326A7" w:rsidRDefault="007C3D8A" w:rsidP="008522F8">
      <w:pPr>
        <w:spacing w:before="240" w:line="360" w:lineRule="auto"/>
        <w:jc w:val="both"/>
        <w:rPr>
          <w:rFonts w:ascii="Arial" w:hAnsi="Arial" w:cs="Arial"/>
        </w:rPr>
      </w:pPr>
      <w:r>
        <w:rPr>
          <w:rFonts w:ascii="Arial" w:hAnsi="Arial" w:cs="Arial"/>
        </w:rPr>
        <w:t>It could</w:t>
      </w:r>
      <w:r w:rsidR="0055511F">
        <w:rPr>
          <w:rFonts w:ascii="Arial" w:hAnsi="Arial" w:cs="Arial"/>
        </w:rPr>
        <w:t xml:space="preserve"> also</w:t>
      </w:r>
      <w:r>
        <w:rPr>
          <w:rFonts w:ascii="Arial" w:hAnsi="Arial" w:cs="Arial"/>
        </w:rPr>
        <w:t xml:space="preserve"> be argued that some of the 15 agreements which </w:t>
      </w:r>
      <w:r w:rsidR="0055511F">
        <w:rPr>
          <w:rFonts w:ascii="Arial" w:hAnsi="Arial" w:cs="Arial"/>
        </w:rPr>
        <w:t xml:space="preserve">are </w:t>
      </w:r>
      <w:r>
        <w:rPr>
          <w:rFonts w:ascii="Arial" w:hAnsi="Arial" w:cs="Arial"/>
        </w:rPr>
        <w:t xml:space="preserve">not renewed </w:t>
      </w:r>
      <w:r w:rsidR="00D119CE">
        <w:rPr>
          <w:rFonts w:ascii="Arial" w:hAnsi="Arial" w:cs="Arial"/>
        </w:rPr>
        <w:t>c</w:t>
      </w:r>
      <w:r>
        <w:rPr>
          <w:rFonts w:ascii="Arial" w:hAnsi="Arial" w:cs="Arial"/>
        </w:rPr>
        <w:t xml:space="preserve">ould </w:t>
      </w:r>
      <w:r w:rsidR="0055511F">
        <w:rPr>
          <w:rFonts w:ascii="Arial" w:hAnsi="Arial" w:cs="Arial"/>
        </w:rPr>
        <w:t>be</w:t>
      </w:r>
      <w:r>
        <w:rPr>
          <w:rFonts w:ascii="Arial" w:hAnsi="Arial" w:cs="Arial"/>
        </w:rPr>
        <w:t xml:space="preserve"> settled in a manner similar to how the option proposes, that is, working co</w:t>
      </w:r>
      <w:r w:rsidR="002E65DE">
        <w:rPr>
          <w:rFonts w:ascii="Arial" w:hAnsi="Arial" w:cs="Arial"/>
        </w:rPr>
        <w:t>-</w:t>
      </w:r>
      <w:r>
        <w:rPr>
          <w:rFonts w:ascii="Arial" w:hAnsi="Arial" w:cs="Arial"/>
        </w:rPr>
        <w:t xml:space="preserve">operatively </w:t>
      </w:r>
      <w:r w:rsidR="0055511F">
        <w:rPr>
          <w:rFonts w:ascii="Arial" w:hAnsi="Arial" w:cs="Arial"/>
        </w:rPr>
        <w:t xml:space="preserve">to develop a plan </w:t>
      </w:r>
      <w:r>
        <w:rPr>
          <w:rFonts w:ascii="Arial" w:hAnsi="Arial" w:cs="Arial"/>
        </w:rPr>
        <w:t xml:space="preserve">and </w:t>
      </w:r>
      <w:r w:rsidR="0055511F">
        <w:rPr>
          <w:rFonts w:ascii="Arial" w:hAnsi="Arial" w:cs="Arial"/>
        </w:rPr>
        <w:t xml:space="preserve">giving </w:t>
      </w:r>
      <w:r>
        <w:rPr>
          <w:rFonts w:ascii="Arial" w:hAnsi="Arial" w:cs="Arial"/>
        </w:rPr>
        <w:t>12 months</w:t>
      </w:r>
      <w:r w:rsidR="002E65DE">
        <w:rPr>
          <w:rFonts w:ascii="Arial" w:hAnsi="Arial" w:cs="Arial"/>
        </w:rPr>
        <w:t>’ notice</w:t>
      </w:r>
      <w:r>
        <w:rPr>
          <w:rFonts w:ascii="Arial" w:hAnsi="Arial" w:cs="Arial"/>
        </w:rPr>
        <w:t xml:space="preserve">. If that is the case, then the regulatory burden </w:t>
      </w:r>
      <w:r w:rsidR="00D119CE">
        <w:rPr>
          <w:rFonts w:ascii="Arial" w:hAnsi="Arial" w:cs="Arial"/>
        </w:rPr>
        <w:t>c</w:t>
      </w:r>
      <w:r>
        <w:rPr>
          <w:rFonts w:ascii="Arial" w:hAnsi="Arial" w:cs="Arial"/>
        </w:rPr>
        <w:t xml:space="preserve">ould decrease proportionally, resulting only in a marginally larger return required for the remaining dealers. </w:t>
      </w:r>
    </w:p>
    <w:p w14:paraId="3F1D0A75" w14:textId="5F4A64BA" w:rsidR="003D2400" w:rsidRPr="00DD1FDD" w:rsidRDefault="003D297F" w:rsidP="004C651F">
      <w:pPr>
        <w:keepNext/>
        <w:spacing w:before="240" w:line="360" w:lineRule="auto"/>
        <w:jc w:val="both"/>
        <w:rPr>
          <w:rFonts w:ascii="Arial" w:hAnsi="Arial" w:cs="Arial"/>
          <w:b/>
          <w:bCs/>
        </w:rPr>
      </w:pPr>
      <w:r w:rsidRPr="0040566B">
        <w:rPr>
          <w:rFonts w:ascii="Arial" w:hAnsi="Arial" w:cs="Arial"/>
          <w:b/>
          <w:bCs/>
        </w:rPr>
        <w:t xml:space="preserve">Option 2B – </w:t>
      </w:r>
      <w:r w:rsidR="003F4A26" w:rsidRPr="0040566B">
        <w:rPr>
          <w:rFonts w:ascii="Arial" w:hAnsi="Arial" w:cs="Arial"/>
          <w:b/>
          <w:bCs/>
        </w:rPr>
        <w:t>R</w:t>
      </w:r>
      <w:r w:rsidRPr="0040566B">
        <w:rPr>
          <w:rFonts w:ascii="Arial" w:hAnsi="Arial" w:cs="Arial"/>
          <w:b/>
          <w:bCs/>
        </w:rPr>
        <w:t>easons for non-renewa</w:t>
      </w:r>
      <w:r w:rsidR="003D2400" w:rsidRPr="0040566B">
        <w:rPr>
          <w:rFonts w:ascii="Arial" w:hAnsi="Arial" w:cs="Arial"/>
          <w:b/>
          <w:bCs/>
        </w:rPr>
        <w:t>l</w:t>
      </w:r>
    </w:p>
    <w:p w14:paraId="3F1D0A76" w14:textId="7B82781A" w:rsidR="00010A83" w:rsidRDefault="00DD1FDD" w:rsidP="00DD1FDD">
      <w:pPr>
        <w:spacing w:before="240" w:line="360" w:lineRule="auto"/>
        <w:jc w:val="both"/>
        <w:rPr>
          <w:rFonts w:ascii="Arial" w:hAnsi="Arial" w:cs="Arial"/>
        </w:rPr>
      </w:pPr>
      <w:r w:rsidRPr="00DD1FDD">
        <w:rPr>
          <w:rFonts w:ascii="Arial" w:hAnsi="Arial" w:cs="Arial"/>
        </w:rPr>
        <w:t xml:space="preserve">Unlike termination for breach, a manufacturer is not required by the Franchising Code to provide a dealer with reasons for issuing a non-renewal notice. </w:t>
      </w:r>
      <w:r w:rsidR="00010A83">
        <w:rPr>
          <w:rFonts w:ascii="Arial" w:hAnsi="Arial" w:cs="Arial"/>
        </w:rPr>
        <w:t xml:space="preserve">To support the existing obligation for parties to </w:t>
      </w:r>
      <w:r w:rsidR="003F4A26">
        <w:rPr>
          <w:rFonts w:ascii="Arial" w:hAnsi="Arial" w:cs="Arial"/>
        </w:rPr>
        <w:t>act</w:t>
      </w:r>
      <w:r w:rsidR="002E65DE">
        <w:rPr>
          <w:rFonts w:ascii="Arial" w:hAnsi="Arial" w:cs="Arial"/>
        </w:rPr>
        <w:t xml:space="preserve"> in</w:t>
      </w:r>
      <w:r w:rsidR="00010A83">
        <w:rPr>
          <w:rFonts w:ascii="Arial" w:hAnsi="Arial" w:cs="Arial"/>
        </w:rPr>
        <w:t xml:space="preserve"> good faith, this option would </w:t>
      </w:r>
      <w:r w:rsidR="003F4A26">
        <w:rPr>
          <w:rFonts w:ascii="Arial" w:hAnsi="Arial" w:cs="Arial"/>
        </w:rPr>
        <w:t>require the party that is not renewing an agreement to provide a statement of reasons to the other party explaining their decision</w:t>
      </w:r>
      <w:r w:rsidR="00010A83">
        <w:rPr>
          <w:rFonts w:ascii="Arial" w:hAnsi="Arial" w:cs="Arial"/>
        </w:rPr>
        <w:t xml:space="preserve">. </w:t>
      </w:r>
    </w:p>
    <w:p w14:paraId="3F1D0A77" w14:textId="77777777" w:rsidR="003D2400" w:rsidRPr="0040566B" w:rsidRDefault="003D2400" w:rsidP="0040566B">
      <w:pPr>
        <w:spacing w:before="240" w:line="360" w:lineRule="auto"/>
        <w:jc w:val="both"/>
        <w:rPr>
          <w:rFonts w:ascii="Arial" w:hAnsi="Arial" w:cs="Arial"/>
          <w:i/>
          <w:iCs/>
        </w:rPr>
      </w:pPr>
      <w:r w:rsidRPr="0040566B">
        <w:rPr>
          <w:rFonts w:ascii="Arial" w:hAnsi="Arial" w:cs="Arial"/>
          <w:i/>
          <w:iCs/>
        </w:rPr>
        <w:t>Impact on car dealers</w:t>
      </w:r>
    </w:p>
    <w:p w14:paraId="3F1D0A78" w14:textId="3FCBD8AD" w:rsidR="003D2400" w:rsidRDefault="00010A83" w:rsidP="00010A83">
      <w:pPr>
        <w:spacing w:before="240" w:line="360" w:lineRule="auto"/>
        <w:jc w:val="both"/>
        <w:rPr>
          <w:rFonts w:ascii="Arial" w:hAnsi="Arial" w:cs="Arial"/>
        </w:rPr>
      </w:pPr>
      <w:r>
        <w:rPr>
          <w:rFonts w:ascii="Arial" w:hAnsi="Arial" w:cs="Arial"/>
        </w:rPr>
        <w:t xml:space="preserve">This option </w:t>
      </w:r>
      <w:r w:rsidR="00D119CE">
        <w:rPr>
          <w:rFonts w:ascii="Arial" w:hAnsi="Arial" w:cs="Arial"/>
        </w:rPr>
        <w:t>c</w:t>
      </w:r>
      <w:r>
        <w:rPr>
          <w:rFonts w:ascii="Arial" w:hAnsi="Arial" w:cs="Arial"/>
        </w:rPr>
        <w:t xml:space="preserve">ould make it easier for a </w:t>
      </w:r>
      <w:r w:rsidRPr="00010A83">
        <w:rPr>
          <w:rFonts w:ascii="Arial" w:hAnsi="Arial" w:cs="Arial"/>
        </w:rPr>
        <w:t>dealer to assess whether the manufacturer has exercised its right to issue a n</w:t>
      </w:r>
      <w:r>
        <w:rPr>
          <w:rFonts w:ascii="Arial" w:hAnsi="Arial" w:cs="Arial"/>
        </w:rPr>
        <w:t xml:space="preserve">on-renewal notice in good faith, with a duty of good faith being an existing requirement under </w:t>
      </w:r>
      <w:r w:rsidRPr="00010A83">
        <w:rPr>
          <w:rFonts w:ascii="Arial" w:hAnsi="Arial" w:cs="Arial"/>
        </w:rPr>
        <w:t xml:space="preserve">the Franchising Code. </w:t>
      </w:r>
    </w:p>
    <w:p w14:paraId="3F1D0A79" w14:textId="28859D6F" w:rsidR="00010A83" w:rsidRDefault="00010A83" w:rsidP="00010A83">
      <w:pPr>
        <w:spacing w:before="240" w:line="360" w:lineRule="auto"/>
        <w:jc w:val="both"/>
        <w:rPr>
          <w:rFonts w:ascii="Arial" w:hAnsi="Arial" w:cs="Arial"/>
        </w:rPr>
      </w:pPr>
      <w:r>
        <w:rPr>
          <w:rFonts w:ascii="Arial" w:hAnsi="Arial" w:cs="Arial"/>
        </w:rPr>
        <w:lastRenderedPageBreak/>
        <w:t xml:space="preserve">While this option by itself would not address the other issues faced by dealers upon non-renewal, such as organising their affairs and looking for alternative dealership agreements, it </w:t>
      </w:r>
      <w:r w:rsidR="00134EA3">
        <w:rPr>
          <w:rFonts w:ascii="Arial" w:hAnsi="Arial" w:cs="Arial"/>
        </w:rPr>
        <w:t>c</w:t>
      </w:r>
      <w:r>
        <w:rPr>
          <w:rFonts w:ascii="Arial" w:hAnsi="Arial" w:cs="Arial"/>
        </w:rPr>
        <w:t xml:space="preserve">ould be conducive to building a better dialogue between the parties to the franchise agreement to enable dispute resolution on end of term arrangements. </w:t>
      </w:r>
    </w:p>
    <w:p w14:paraId="48C21AEE" w14:textId="04F9B30C" w:rsidR="009369E8" w:rsidRPr="00DD1FDD" w:rsidRDefault="004F344E" w:rsidP="00010A83">
      <w:pPr>
        <w:spacing w:before="240" w:line="360" w:lineRule="auto"/>
        <w:jc w:val="both"/>
        <w:rPr>
          <w:rFonts w:ascii="Arial" w:hAnsi="Arial" w:cs="Arial"/>
        </w:rPr>
      </w:pPr>
      <w:r>
        <w:rPr>
          <w:rFonts w:ascii="Arial" w:hAnsi="Arial" w:cs="Arial"/>
        </w:rPr>
        <w:t>During consultation, c</w:t>
      </w:r>
      <w:r w:rsidR="009369E8">
        <w:rPr>
          <w:rFonts w:ascii="Arial" w:hAnsi="Arial" w:cs="Arial"/>
        </w:rPr>
        <w:t>ar dealers were generally supportive of this option.</w:t>
      </w:r>
    </w:p>
    <w:p w14:paraId="3F1D0A7A" w14:textId="77777777" w:rsidR="003D2400" w:rsidRPr="0040566B" w:rsidRDefault="003D2400" w:rsidP="0040566B">
      <w:pPr>
        <w:spacing w:before="240" w:line="360" w:lineRule="auto"/>
        <w:jc w:val="both"/>
        <w:rPr>
          <w:rFonts w:ascii="Arial" w:hAnsi="Arial" w:cs="Arial"/>
          <w:i/>
          <w:iCs/>
        </w:rPr>
      </w:pPr>
      <w:r w:rsidRPr="0040566B">
        <w:rPr>
          <w:rFonts w:ascii="Arial" w:hAnsi="Arial" w:cs="Arial"/>
          <w:i/>
          <w:iCs/>
        </w:rPr>
        <w:t>Impact on manufacturers</w:t>
      </w:r>
    </w:p>
    <w:p w14:paraId="3F1D0A7B" w14:textId="05152F8F" w:rsidR="003D2400" w:rsidRDefault="00010A83" w:rsidP="00DD1FDD">
      <w:pPr>
        <w:spacing w:before="240" w:line="360" w:lineRule="auto"/>
        <w:jc w:val="both"/>
        <w:rPr>
          <w:rFonts w:ascii="Arial" w:hAnsi="Arial" w:cs="Arial"/>
        </w:rPr>
      </w:pPr>
      <w:r>
        <w:rPr>
          <w:rFonts w:ascii="Arial" w:hAnsi="Arial" w:cs="Arial"/>
        </w:rPr>
        <w:t xml:space="preserve">This option </w:t>
      </w:r>
      <w:r w:rsidR="00134EA3">
        <w:rPr>
          <w:rFonts w:ascii="Arial" w:hAnsi="Arial" w:cs="Arial"/>
        </w:rPr>
        <w:t>c</w:t>
      </w:r>
      <w:r>
        <w:rPr>
          <w:rFonts w:ascii="Arial" w:hAnsi="Arial" w:cs="Arial"/>
        </w:rPr>
        <w:t>ould hold m</w:t>
      </w:r>
      <w:r w:rsidR="003D2400" w:rsidRPr="00DD1FDD">
        <w:rPr>
          <w:rFonts w:ascii="Arial" w:hAnsi="Arial" w:cs="Arial"/>
        </w:rPr>
        <w:t xml:space="preserve">anufacturers </w:t>
      </w:r>
      <w:r>
        <w:rPr>
          <w:rFonts w:ascii="Arial" w:hAnsi="Arial" w:cs="Arial"/>
        </w:rPr>
        <w:t xml:space="preserve">to greater </w:t>
      </w:r>
      <w:r w:rsidR="00507639">
        <w:rPr>
          <w:rFonts w:ascii="Arial" w:hAnsi="Arial" w:cs="Arial"/>
        </w:rPr>
        <w:t xml:space="preserve">legal </w:t>
      </w:r>
      <w:r>
        <w:rPr>
          <w:rFonts w:ascii="Arial" w:hAnsi="Arial" w:cs="Arial"/>
        </w:rPr>
        <w:t>account o</w:t>
      </w:r>
      <w:r w:rsidR="00EA0457">
        <w:rPr>
          <w:rFonts w:ascii="Arial" w:hAnsi="Arial" w:cs="Arial"/>
        </w:rPr>
        <w:t>f</w:t>
      </w:r>
      <w:r>
        <w:rPr>
          <w:rFonts w:ascii="Arial" w:hAnsi="Arial" w:cs="Arial"/>
        </w:rPr>
        <w:t xml:space="preserve"> their decision to not renew franchise agreements</w:t>
      </w:r>
      <w:r w:rsidR="007D457C">
        <w:rPr>
          <w:rFonts w:ascii="Arial" w:hAnsi="Arial" w:cs="Arial"/>
        </w:rPr>
        <w:t>, which may lead them to incur compliance costs</w:t>
      </w:r>
      <w:r w:rsidR="00507639">
        <w:rPr>
          <w:rFonts w:ascii="Arial" w:hAnsi="Arial" w:cs="Arial"/>
        </w:rPr>
        <w:t xml:space="preserve"> if they are found to be acting contrary to their legal obligations</w:t>
      </w:r>
      <w:r w:rsidR="007D457C">
        <w:rPr>
          <w:rFonts w:ascii="Arial" w:hAnsi="Arial" w:cs="Arial"/>
        </w:rPr>
        <w:t>.</w:t>
      </w:r>
      <w:r w:rsidR="003051DA">
        <w:rPr>
          <w:rFonts w:ascii="Arial" w:hAnsi="Arial" w:cs="Arial"/>
        </w:rPr>
        <w:t xml:space="preserve"> </w:t>
      </w:r>
      <w:r w:rsidR="007D457C">
        <w:rPr>
          <w:rFonts w:ascii="Arial" w:hAnsi="Arial" w:cs="Arial"/>
        </w:rPr>
        <w:t xml:space="preserve">However, providing </w:t>
      </w:r>
      <w:r w:rsidR="001C0179">
        <w:rPr>
          <w:rFonts w:ascii="Arial" w:hAnsi="Arial" w:cs="Arial"/>
        </w:rPr>
        <w:t>reasons</w:t>
      </w:r>
      <w:r>
        <w:rPr>
          <w:rFonts w:ascii="Arial" w:hAnsi="Arial" w:cs="Arial"/>
        </w:rPr>
        <w:t xml:space="preserve"> may also benefit them if it results in speedier dispute resolution through a better dialogue with their franchisees. </w:t>
      </w:r>
      <w:r w:rsidR="003051DA">
        <w:rPr>
          <w:rFonts w:ascii="Arial" w:hAnsi="Arial" w:cs="Arial"/>
        </w:rPr>
        <w:t>Some manufacturers noted they will need to give careful consideration to the exact nature of information provided as part of their statement of reasons to ensure that commercial in-confidence information is not revealed.</w:t>
      </w:r>
    </w:p>
    <w:p w14:paraId="3EA34584" w14:textId="16EE649A" w:rsidR="003F4A26" w:rsidRDefault="003F4A26" w:rsidP="00DD1FDD">
      <w:pPr>
        <w:spacing w:before="240" w:line="360" w:lineRule="auto"/>
        <w:jc w:val="both"/>
        <w:rPr>
          <w:rFonts w:ascii="Arial" w:hAnsi="Arial" w:cs="Arial"/>
        </w:rPr>
      </w:pPr>
      <w:r>
        <w:rPr>
          <w:rFonts w:ascii="Arial" w:hAnsi="Arial" w:cs="Arial"/>
        </w:rPr>
        <w:t>This option</w:t>
      </w:r>
      <w:r w:rsidR="00925517">
        <w:rPr>
          <w:rFonts w:ascii="Arial" w:hAnsi="Arial" w:cs="Arial"/>
        </w:rPr>
        <w:t xml:space="preserve"> would place reciprocal obligations on dealers so manufacturers would get </w:t>
      </w:r>
      <w:r>
        <w:rPr>
          <w:rFonts w:ascii="Arial" w:hAnsi="Arial" w:cs="Arial"/>
        </w:rPr>
        <w:t>useful feedback as to why a dealer is not renewing an agreement, when the dealer decides to end the relationship with the manufacturer.</w:t>
      </w:r>
      <w:r w:rsidR="00643690">
        <w:rPr>
          <w:rFonts w:ascii="Arial" w:hAnsi="Arial" w:cs="Arial"/>
        </w:rPr>
        <w:t xml:space="preserve"> At present there is no minimum notice period that needs to be provided by </w:t>
      </w:r>
      <w:r w:rsidR="00D22AC3">
        <w:rPr>
          <w:rFonts w:ascii="Arial" w:hAnsi="Arial" w:cs="Arial"/>
        </w:rPr>
        <w:t xml:space="preserve">a </w:t>
      </w:r>
      <w:r w:rsidR="00643690">
        <w:rPr>
          <w:rFonts w:ascii="Arial" w:hAnsi="Arial" w:cs="Arial"/>
        </w:rPr>
        <w:t xml:space="preserve">dealers to </w:t>
      </w:r>
      <w:r w:rsidR="00D22AC3">
        <w:rPr>
          <w:rFonts w:ascii="Arial" w:hAnsi="Arial" w:cs="Arial"/>
        </w:rPr>
        <w:t>a manufacturer</w:t>
      </w:r>
      <w:r w:rsidR="00643690">
        <w:rPr>
          <w:rFonts w:ascii="Arial" w:hAnsi="Arial" w:cs="Arial"/>
        </w:rPr>
        <w:t xml:space="preserve"> under the Franchising Code when a dealer decides to relinquish an agreement</w:t>
      </w:r>
      <w:r w:rsidR="00D22AC3">
        <w:rPr>
          <w:rFonts w:ascii="Arial" w:hAnsi="Arial" w:cs="Arial"/>
        </w:rPr>
        <w:t>, which can take place at any time during the term of an agreement.</w:t>
      </w:r>
    </w:p>
    <w:p w14:paraId="5D4C712F" w14:textId="616F37FE" w:rsidR="009369E8" w:rsidRPr="00DD1FDD" w:rsidRDefault="004F344E" w:rsidP="00DD1FDD">
      <w:pPr>
        <w:spacing w:before="240" w:line="360" w:lineRule="auto"/>
        <w:jc w:val="both"/>
        <w:rPr>
          <w:rFonts w:ascii="Arial" w:hAnsi="Arial" w:cs="Arial"/>
        </w:rPr>
      </w:pPr>
      <w:r>
        <w:rPr>
          <w:rFonts w:ascii="Arial" w:hAnsi="Arial" w:cs="Arial"/>
        </w:rPr>
        <w:t>During consultation, c</w:t>
      </w:r>
      <w:r w:rsidR="009369E8">
        <w:rPr>
          <w:rFonts w:ascii="Arial" w:hAnsi="Arial" w:cs="Arial"/>
        </w:rPr>
        <w:t>ar manufacturers were generally supportive of this option.</w:t>
      </w:r>
    </w:p>
    <w:p w14:paraId="3F1D0A7C" w14:textId="77777777" w:rsidR="003D2400" w:rsidRPr="0040566B" w:rsidRDefault="003D2400" w:rsidP="0040566B">
      <w:pPr>
        <w:keepNext/>
        <w:spacing w:before="240" w:line="360" w:lineRule="auto"/>
        <w:jc w:val="both"/>
        <w:rPr>
          <w:rFonts w:ascii="Arial" w:hAnsi="Arial" w:cs="Arial"/>
          <w:i/>
          <w:iCs/>
        </w:rPr>
      </w:pPr>
      <w:r w:rsidRPr="0040566B">
        <w:rPr>
          <w:rFonts w:ascii="Arial" w:hAnsi="Arial" w:cs="Arial"/>
          <w:i/>
          <w:iCs/>
        </w:rPr>
        <w:t>Net benefit</w:t>
      </w:r>
    </w:p>
    <w:p w14:paraId="3F1D0A7D" w14:textId="55F4FAAD" w:rsidR="003D2400" w:rsidRDefault="003D2400" w:rsidP="00DD1FDD">
      <w:pPr>
        <w:spacing w:before="240" w:line="360" w:lineRule="auto"/>
        <w:jc w:val="both"/>
        <w:rPr>
          <w:rFonts w:ascii="Arial" w:hAnsi="Arial" w:cs="Arial"/>
        </w:rPr>
      </w:pPr>
      <w:r w:rsidRPr="00DD1FDD">
        <w:rPr>
          <w:rFonts w:ascii="Arial" w:hAnsi="Arial" w:cs="Arial"/>
        </w:rPr>
        <w:t xml:space="preserve">This option </w:t>
      </w:r>
      <w:r w:rsidR="00134EA3">
        <w:rPr>
          <w:rFonts w:ascii="Arial" w:hAnsi="Arial" w:cs="Arial"/>
        </w:rPr>
        <w:t>c</w:t>
      </w:r>
      <w:r w:rsidRPr="00DD1FDD">
        <w:rPr>
          <w:rFonts w:ascii="Arial" w:hAnsi="Arial" w:cs="Arial"/>
        </w:rPr>
        <w:t xml:space="preserve">ould provide car dealers </w:t>
      </w:r>
      <w:r w:rsidR="0055511F">
        <w:rPr>
          <w:rFonts w:ascii="Arial" w:hAnsi="Arial" w:cs="Arial"/>
        </w:rPr>
        <w:t xml:space="preserve">and manufacturers </w:t>
      </w:r>
      <w:r w:rsidRPr="00DD1FDD">
        <w:rPr>
          <w:rFonts w:ascii="Arial" w:hAnsi="Arial" w:cs="Arial"/>
        </w:rPr>
        <w:t>with additional certainty</w:t>
      </w:r>
      <w:r w:rsidR="00BA2DBB">
        <w:rPr>
          <w:rFonts w:ascii="Arial" w:hAnsi="Arial" w:cs="Arial"/>
        </w:rPr>
        <w:t xml:space="preserve"> about good faith dealings by their franchisors and could assist with dispute resolution</w:t>
      </w:r>
      <w:r w:rsidRPr="00DD1FDD">
        <w:rPr>
          <w:rFonts w:ascii="Arial" w:hAnsi="Arial" w:cs="Arial"/>
        </w:rPr>
        <w:t xml:space="preserve"> where an agreement is not being renewed. </w:t>
      </w:r>
      <w:r w:rsidR="00CD7B60">
        <w:rPr>
          <w:rFonts w:ascii="Arial" w:hAnsi="Arial" w:cs="Arial"/>
        </w:rPr>
        <w:t>C</w:t>
      </w:r>
      <w:r w:rsidRPr="00DD1FDD">
        <w:rPr>
          <w:rFonts w:ascii="Arial" w:hAnsi="Arial" w:cs="Arial"/>
        </w:rPr>
        <w:t>ar manufacturers</w:t>
      </w:r>
      <w:r w:rsidR="00BA2DBB">
        <w:rPr>
          <w:rFonts w:ascii="Arial" w:hAnsi="Arial" w:cs="Arial"/>
        </w:rPr>
        <w:t xml:space="preserve"> </w:t>
      </w:r>
      <w:r w:rsidR="00134EA3">
        <w:rPr>
          <w:rFonts w:ascii="Arial" w:hAnsi="Arial" w:cs="Arial"/>
        </w:rPr>
        <w:t>c</w:t>
      </w:r>
      <w:r w:rsidR="00BA2DBB">
        <w:rPr>
          <w:rFonts w:ascii="Arial" w:hAnsi="Arial" w:cs="Arial"/>
        </w:rPr>
        <w:t>ould be held to greater</w:t>
      </w:r>
      <w:r w:rsidR="0007294E">
        <w:rPr>
          <w:rFonts w:ascii="Arial" w:hAnsi="Arial" w:cs="Arial"/>
        </w:rPr>
        <w:t xml:space="preserve"> </w:t>
      </w:r>
      <w:r w:rsidR="00CD7B60">
        <w:rPr>
          <w:rFonts w:ascii="Arial" w:hAnsi="Arial" w:cs="Arial"/>
        </w:rPr>
        <w:t xml:space="preserve">legal </w:t>
      </w:r>
      <w:r w:rsidR="00BA2DBB">
        <w:rPr>
          <w:rFonts w:ascii="Arial" w:hAnsi="Arial" w:cs="Arial"/>
        </w:rPr>
        <w:t>account and</w:t>
      </w:r>
      <w:r w:rsidR="00CD7B60">
        <w:rPr>
          <w:rFonts w:ascii="Arial" w:hAnsi="Arial" w:cs="Arial"/>
        </w:rPr>
        <w:t xml:space="preserve"> would</w:t>
      </w:r>
      <w:r w:rsidR="00BA2DBB">
        <w:rPr>
          <w:rFonts w:ascii="Arial" w:hAnsi="Arial" w:cs="Arial"/>
        </w:rPr>
        <w:t xml:space="preserve"> need to take time</w:t>
      </w:r>
      <w:r w:rsidR="00CD7B60">
        <w:rPr>
          <w:rFonts w:ascii="Arial" w:hAnsi="Arial" w:cs="Arial"/>
        </w:rPr>
        <w:t xml:space="preserve">, and incur costs, </w:t>
      </w:r>
      <w:r w:rsidR="00BA2DBB">
        <w:rPr>
          <w:rFonts w:ascii="Arial" w:hAnsi="Arial" w:cs="Arial"/>
        </w:rPr>
        <w:t>to provide reasons for non-renewal</w:t>
      </w:r>
      <w:r w:rsidR="00CD7B60">
        <w:rPr>
          <w:rFonts w:ascii="Arial" w:hAnsi="Arial" w:cs="Arial"/>
        </w:rPr>
        <w:t>.</w:t>
      </w:r>
      <w:r w:rsidR="0007294E">
        <w:rPr>
          <w:rFonts w:ascii="Arial" w:hAnsi="Arial" w:cs="Arial"/>
        </w:rPr>
        <w:t xml:space="preserve"> </w:t>
      </w:r>
      <w:r w:rsidR="00CD7B60">
        <w:rPr>
          <w:rFonts w:ascii="Arial" w:hAnsi="Arial" w:cs="Arial"/>
        </w:rPr>
        <w:t xml:space="preserve">However, a manufacturer </w:t>
      </w:r>
      <w:r w:rsidR="00A16AC6">
        <w:rPr>
          <w:rFonts w:ascii="Arial" w:hAnsi="Arial" w:cs="Arial"/>
        </w:rPr>
        <w:t xml:space="preserve">retains the right </w:t>
      </w:r>
      <w:r w:rsidR="00CD7B60">
        <w:rPr>
          <w:rFonts w:ascii="Arial" w:hAnsi="Arial" w:cs="Arial"/>
        </w:rPr>
        <w:t xml:space="preserve">not </w:t>
      </w:r>
      <w:r w:rsidR="00A16AC6">
        <w:rPr>
          <w:rFonts w:ascii="Arial" w:hAnsi="Arial" w:cs="Arial"/>
        </w:rPr>
        <w:t xml:space="preserve">to </w:t>
      </w:r>
      <w:r w:rsidR="00CD7B60">
        <w:rPr>
          <w:rFonts w:ascii="Arial" w:hAnsi="Arial" w:cs="Arial"/>
        </w:rPr>
        <w:t>renew a contract</w:t>
      </w:r>
      <w:r w:rsidR="00A16AC6">
        <w:rPr>
          <w:rFonts w:ascii="Arial" w:hAnsi="Arial" w:cs="Arial"/>
        </w:rPr>
        <w:t>,</w:t>
      </w:r>
      <w:r w:rsidR="00CD7B60">
        <w:rPr>
          <w:rFonts w:ascii="Arial" w:hAnsi="Arial" w:cs="Arial"/>
        </w:rPr>
        <w:t xml:space="preserve"> and the benefit to the car dealer in </w:t>
      </w:r>
      <w:r w:rsidR="00507639">
        <w:rPr>
          <w:rFonts w:ascii="Arial" w:hAnsi="Arial" w:cs="Arial"/>
        </w:rPr>
        <w:t xml:space="preserve">gaining assurance </w:t>
      </w:r>
      <w:r w:rsidR="00CD7B60">
        <w:rPr>
          <w:rFonts w:ascii="Arial" w:hAnsi="Arial" w:cs="Arial"/>
        </w:rPr>
        <w:t xml:space="preserve">that the car manufacturer has exercised its decision in good faith </w:t>
      </w:r>
      <w:r w:rsidR="00480881">
        <w:rPr>
          <w:rFonts w:ascii="Arial" w:hAnsi="Arial" w:cs="Arial"/>
        </w:rPr>
        <w:t>c</w:t>
      </w:r>
      <w:r w:rsidR="00CD7B60">
        <w:rPr>
          <w:rFonts w:ascii="Arial" w:hAnsi="Arial" w:cs="Arial"/>
        </w:rPr>
        <w:t xml:space="preserve">ould </w:t>
      </w:r>
      <w:r w:rsidR="00507639">
        <w:rPr>
          <w:rFonts w:ascii="Arial" w:hAnsi="Arial" w:cs="Arial"/>
        </w:rPr>
        <w:t xml:space="preserve">likely </w:t>
      </w:r>
      <w:r w:rsidR="00CD7B60">
        <w:rPr>
          <w:rFonts w:ascii="Arial" w:hAnsi="Arial" w:cs="Arial"/>
        </w:rPr>
        <w:t xml:space="preserve">outweigh the possible detriment to the manufacturer. </w:t>
      </w:r>
      <w:r w:rsidR="006D65BA">
        <w:rPr>
          <w:rFonts w:ascii="Arial" w:hAnsi="Arial" w:cs="Arial"/>
        </w:rPr>
        <w:t>Both car dealers and manufacturers generally support</w:t>
      </w:r>
      <w:r w:rsidR="00202E12">
        <w:rPr>
          <w:rFonts w:ascii="Arial" w:hAnsi="Arial" w:cs="Arial"/>
        </w:rPr>
        <w:t>ed</w:t>
      </w:r>
      <w:r w:rsidR="006D65BA">
        <w:rPr>
          <w:rFonts w:ascii="Arial" w:hAnsi="Arial" w:cs="Arial"/>
        </w:rPr>
        <w:t xml:space="preserve"> this option</w:t>
      </w:r>
      <w:r w:rsidR="000B523C">
        <w:rPr>
          <w:rFonts w:ascii="Arial" w:hAnsi="Arial" w:cs="Arial"/>
        </w:rPr>
        <w:t xml:space="preserve"> and during the consultation, it was suggested that</w:t>
      </w:r>
      <w:r w:rsidR="000B523C" w:rsidRPr="000B523C">
        <w:rPr>
          <w:rFonts w:ascii="Arial" w:hAnsi="Arial" w:cs="Arial"/>
        </w:rPr>
        <w:t xml:space="preserve"> manufacturers are doing this </w:t>
      </w:r>
      <w:r w:rsidR="000B523C">
        <w:rPr>
          <w:rFonts w:ascii="Arial" w:hAnsi="Arial" w:cs="Arial"/>
        </w:rPr>
        <w:t>currently, though less</w:t>
      </w:r>
      <w:r w:rsidR="000B523C" w:rsidRPr="000B523C">
        <w:rPr>
          <w:rFonts w:ascii="Arial" w:hAnsi="Arial" w:cs="Arial"/>
        </w:rPr>
        <w:t xml:space="preserve"> formally</w:t>
      </w:r>
      <w:r w:rsidR="006D65BA">
        <w:rPr>
          <w:rFonts w:ascii="Arial" w:hAnsi="Arial" w:cs="Arial"/>
        </w:rPr>
        <w:t xml:space="preserve">. </w:t>
      </w:r>
      <w:r w:rsidRPr="00DD1FDD">
        <w:rPr>
          <w:rFonts w:ascii="Arial" w:hAnsi="Arial" w:cs="Arial"/>
        </w:rPr>
        <w:t>As such, this option is expected to have a positive net benefit.</w:t>
      </w:r>
    </w:p>
    <w:p w14:paraId="3F1D0A7E" w14:textId="77777777" w:rsidR="005B7BC5" w:rsidRPr="0040566B" w:rsidRDefault="005B7BC5" w:rsidP="0040566B">
      <w:pPr>
        <w:keepNext/>
        <w:spacing w:before="240" w:line="360" w:lineRule="auto"/>
        <w:jc w:val="both"/>
        <w:rPr>
          <w:rFonts w:ascii="Arial" w:hAnsi="Arial" w:cs="Arial"/>
          <w:i/>
          <w:iCs/>
        </w:rPr>
      </w:pPr>
      <w:r w:rsidRPr="0040566B">
        <w:rPr>
          <w:rFonts w:ascii="Arial" w:hAnsi="Arial" w:cs="Arial"/>
          <w:i/>
          <w:iCs/>
        </w:rPr>
        <w:lastRenderedPageBreak/>
        <w:t>Regulatory burden</w:t>
      </w:r>
    </w:p>
    <w:tbl>
      <w:tblPr>
        <w:tblStyle w:val="LightGrid-Accent2"/>
        <w:tblW w:w="9464" w:type="dxa"/>
        <w:tblLook w:val="04A0" w:firstRow="1" w:lastRow="0" w:firstColumn="1" w:lastColumn="0" w:noHBand="0" w:noVBand="1"/>
        <w:tblCaption w:val="Regulatory burden estimate table"/>
        <w:tblDescription w:val="Average annual regulatory costs for option 2B. Total average annual regulatory cost to business is $0.015 million."/>
      </w:tblPr>
      <w:tblGrid>
        <w:gridCol w:w="2128"/>
        <w:gridCol w:w="1646"/>
        <w:gridCol w:w="2170"/>
        <w:gridCol w:w="1946"/>
        <w:gridCol w:w="1574"/>
      </w:tblGrid>
      <w:tr w:rsidR="005B7BC5" w:rsidRPr="00F53B7D" w14:paraId="3F1D0A80" w14:textId="77777777" w:rsidTr="0040566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9464" w:type="dxa"/>
            <w:gridSpan w:val="5"/>
            <w:noWrap/>
          </w:tcPr>
          <w:p w14:paraId="3F1D0A7F" w14:textId="77777777" w:rsidR="005B7BC5" w:rsidRPr="00F53B7D" w:rsidRDefault="005B7BC5" w:rsidP="001D6842">
            <w:pPr>
              <w:keepNext/>
              <w:rPr>
                <w:rFonts w:ascii="Arial" w:hAnsi="Arial" w:cs="Arial"/>
                <w:sz w:val="20"/>
                <w:szCs w:val="20"/>
              </w:rPr>
            </w:pPr>
            <w:r w:rsidRPr="00F53B7D">
              <w:rPr>
                <w:rFonts w:ascii="Arial" w:hAnsi="Arial" w:cs="Arial"/>
                <w:sz w:val="20"/>
                <w:szCs w:val="20"/>
              </w:rPr>
              <w:t>Total Option 2</w:t>
            </w:r>
            <w:r w:rsidR="003A4A6D" w:rsidRPr="00F53B7D">
              <w:rPr>
                <w:rFonts w:ascii="Arial" w:hAnsi="Arial" w:cs="Arial"/>
                <w:sz w:val="20"/>
                <w:szCs w:val="20"/>
              </w:rPr>
              <w:t>B</w:t>
            </w:r>
            <w:r w:rsidRPr="00F53B7D">
              <w:rPr>
                <w:rFonts w:ascii="Arial" w:hAnsi="Arial" w:cs="Arial"/>
                <w:sz w:val="20"/>
                <w:szCs w:val="20"/>
              </w:rPr>
              <w:t xml:space="preserve"> Costs - Average annual regulatory costs (ten years)</w:t>
            </w:r>
          </w:p>
        </w:tc>
      </w:tr>
      <w:tr w:rsidR="005B7BC5" w:rsidRPr="00F53B7D" w14:paraId="3F1D0A86" w14:textId="77777777" w:rsidTr="0040566B">
        <w:trPr>
          <w:trHeight w:val="300"/>
        </w:trPr>
        <w:tc>
          <w:tcPr>
            <w:cnfStyle w:val="001000000000" w:firstRow="0" w:lastRow="0" w:firstColumn="1" w:lastColumn="0" w:oddVBand="0" w:evenVBand="0" w:oddHBand="0" w:evenHBand="0" w:firstRowFirstColumn="0" w:firstRowLastColumn="0" w:lastRowFirstColumn="0" w:lastRowLastColumn="0"/>
            <w:tcW w:w="2128" w:type="dxa"/>
            <w:noWrap/>
          </w:tcPr>
          <w:p w14:paraId="3F1D0A81" w14:textId="77777777" w:rsidR="005B7BC5" w:rsidRPr="0040566B" w:rsidRDefault="005B7BC5">
            <w:pPr>
              <w:pStyle w:val="TableText"/>
              <w:keepNext/>
              <w:rPr>
                <w:b w:val="0"/>
              </w:rPr>
            </w:pPr>
            <w:r w:rsidRPr="00F53B7D">
              <w:t>Change in costs</w:t>
            </w:r>
            <w:r w:rsidRPr="0040566B">
              <w:rPr>
                <w:rFonts w:cs="Calibri"/>
              </w:rPr>
              <w:t xml:space="preserve"> ($ million)</w:t>
            </w:r>
          </w:p>
        </w:tc>
        <w:tc>
          <w:tcPr>
            <w:tcW w:w="1646" w:type="dxa"/>
            <w:noWrap/>
          </w:tcPr>
          <w:p w14:paraId="3F1D0A82" w14:textId="77777777" w:rsidR="005B7BC5" w:rsidRPr="00F53B7D" w:rsidRDefault="005B7BC5" w:rsidP="001D6842">
            <w:pPr>
              <w:pStyle w:val="TableText"/>
              <w:keepNext/>
              <w:cnfStyle w:val="000000000000" w:firstRow="0" w:lastRow="0" w:firstColumn="0" w:lastColumn="0" w:oddVBand="0" w:evenVBand="0" w:oddHBand="0" w:evenHBand="0" w:firstRowFirstColumn="0" w:firstRowLastColumn="0" w:lastRowFirstColumn="0" w:lastRowLastColumn="0"/>
            </w:pPr>
            <w:r w:rsidRPr="00F53B7D">
              <w:t>Business</w:t>
            </w:r>
          </w:p>
        </w:tc>
        <w:tc>
          <w:tcPr>
            <w:tcW w:w="2170" w:type="dxa"/>
            <w:noWrap/>
          </w:tcPr>
          <w:p w14:paraId="3F1D0A83" w14:textId="77777777" w:rsidR="005B7BC5" w:rsidRPr="00F53B7D" w:rsidRDefault="005B7BC5" w:rsidP="001D6842">
            <w:pPr>
              <w:pStyle w:val="TableText"/>
              <w:keepNext/>
              <w:cnfStyle w:val="000000000000" w:firstRow="0" w:lastRow="0" w:firstColumn="0" w:lastColumn="0" w:oddVBand="0" w:evenVBand="0" w:oddHBand="0" w:evenHBand="0" w:firstRowFirstColumn="0" w:firstRowLastColumn="0" w:lastRowFirstColumn="0" w:lastRowLastColumn="0"/>
            </w:pPr>
            <w:r w:rsidRPr="0040566B">
              <w:rPr>
                <w:rFonts w:cs="Calibri"/>
              </w:rPr>
              <w:t>Community organisations</w:t>
            </w:r>
          </w:p>
        </w:tc>
        <w:tc>
          <w:tcPr>
            <w:tcW w:w="1946" w:type="dxa"/>
            <w:noWrap/>
          </w:tcPr>
          <w:p w14:paraId="3F1D0A84" w14:textId="77777777" w:rsidR="005B7BC5" w:rsidRPr="00F53B7D" w:rsidRDefault="005B7BC5" w:rsidP="001D6842">
            <w:pPr>
              <w:pStyle w:val="TableText"/>
              <w:keepNext/>
              <w:cnfStyle w:val="000000000000" w:firstRow="0" w:lastRow="0" w:firstColumn="0" w:lastColumn="0" w:oddVBand="0" w:evenVBand="0" w:oddHBand="0" w:evenHBand="0" w:firstRowFirstColumn="0" w:firstRowLastColumn="0" w:lastRowFirstColumn="0" w:lastRowLastColumn="0"/>
            </w:pPr>
            <w:r w:rsidRPr="00F53B7D">
              <w:t>Individuals</w:t>
            </w:r>
          </w:p>
        </w:tc>
        <w:tc>
          <w:tcPr>
            <w:tcW w:w="1574" w:type="dxa"/>
            <w:noWrap/>
          </w:tcPr>
          <w:p w14:paraId="3F1D0A85" w14:textId="77777777" w:rsidR="005B7BC5" w:rsidRPr="00F53B7D" w:rsidRDefault="005B7BC5" w:rsidP="001D6842">
            <w:pPr>
              <w:pStyle w:val="TableText"/>
              <w:keepNext/>
              <w:cnfStyle w:val="000000000000" w:firstRow="0" w:lastRow="0" w:firstColumn="0" w:lastColumn="0" w:oddVBand="0" w:evenVBand="0" w:oddHBand="0" w:evenHBand="0" w:firstRowFirstColumn="0" w:firstRowLastColumn="0" w:lastRowFirstColumn="0" w:lastRowLastColumn="0"/>
            </w:pPr>
            <w:r w:rsidRPr="0040566B">
              <w:rPr>
                <w:rFonts w:cs="Calibri"/>
              </w:rPr>
              <w:t>Total change in cost</w:t>
            </w:r>
          </w:p>
        </w:tc>
      </w:tr>
      <w:tr w:rsidR="005B7BC5" w:rsidRPr="00F53B7D" w14:paraId="3F1D0A8C" w14:textId="77777777" w:rsidTr="0040566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8" w:type="dxa"/>
            <w:noWrap/>
          </w:tcPr>
          <w:p w14:paraId="3F1D0A87" w14:textId="77777777" w:rsidR="005B7BC5" w:rsidRPr="0040566B" w:rsidRDefault="005B7BC5">
            <w:pPr>
              <w:pStyle w:val="TableText"/>
              <w:keepNext/>
              <w:rPr>
                <w:b w:val="0"/>
              </w:rPr>
            </w:pPr>
            <w:r w:rsidRPr="00F53B7D">
              <w:t>Total, by sector</w:t>
            </w:r>
          </w:p>
        </w:tc>
        <w:tc>
          <w:tcPr>
            <w:tcW w:w="1646" w:type="dxa"/>
            <w:noWrap/>
          </w:tcPr>
          <w:p w14:paraId="3F1D0A88" w14:textId="4398814F" w:rsidR="005B7BC5" w:rsidRPr="0040566B" w:rsidRDefault="005B7BC5">
            <w:pPr>
              <w:pStyle w:val="TableText"/>
              <w:keepNext/>
              <w:cnfStyle w:val="000000010000" w:firstRow="0" w:lastRow="0" w:firstColumn="0" w:lastColumn="0" w:oddVBand="0" w:evenVBand="0" w:oddHBand="0" w:evenHBand="1" w:firstRowFirstColumn="0" w:firstRowLastColumn="0" w:lastRowFirstColumn="0" w:lastRowLastColumn="0"/>
              <w:rPr>
                <w:rFonts w:cs="Calibri"/>
              </w:rPr>
            </w:pPr>
            <w:r w:rsidRPr="0040566B">
              <w:rPr>
                <w:rFonts w:cs="Calibri"/>
              </w:rPr>
              <w:t>$0.</w:t>
            </w:r>
            <w:r w:rsidR="0007609B">
              <w:rPr>
                <w:rFonts w:cs="Calibri"/>
              </w:rPr>
              <w:t>0</w:t>
            </w:r>
            <w:r w:rsidR="004D5E63" w:rsidRPr="0040566B">
              <w:rPr>
                <w:rFonts w:cs="Calibri"/>
              </w:rPr>
              <w:t>15</w:t>
            </w:r>
          </w:p>
        </w:tc>
        <w:tc>
          <w:tcPr>
            <w:tcW w:w="2170" w:type="dxa"/>
            <w:noWrap/>
          </w:tcPr>
          <w:p w14:paraId="3F1D0A89" w14:textId="77777777" w:rsidR="005B7BC5" w:rsidRPr="00F53B7D" w:rsidRDefault="005B7BC5" w:rsidP="001D6842">
            <w:pPr>
              <w:pStyle w:val="TableText"/>
              <w:keepNext/>
              <w:cnfStyle w:val="000000010000" w:firstRow="0" w:lastRow="0" w:firstColumn="0" w:lastColumn="0" w:oddVBand="0" w:evenVBand="0" w:oddHBand="0" w:evenHBand="1" w:firstRowFirstColumn="0" w:firstRowLastColumn="0" w:lastRowFirstColumn="0" w:lastRowLastColumn="0"/>
              <w:rPr>
                <w:rFonts w:cs="Calibri"/>
                <w:iCs/>
              </w:rPr>
            </w:pPr>
          </w:p>
        </w:tc>
        <w:tc>
          <w:tcPr>
            <w:tcW w:w="1946" w:type="dxa"/>
            <w:noWrap/>
          </w:tcPr>
          <w:p w14:paraId="3F1D0A8A" w14:textId="77777777" w:rsidR="005B7BC5" w:rsidRPr="00F53B7D" w:rsidRDefault="005B7BC5" w:rsidP="001D6842">
            <w:pPr>
              <w:pStyle w:val="TableText"/>
              <w:keepNext/>
              <w:cnfStyle w:val="000000010000" w:firstRow="0" w:lastRow="0" w:firstColumn="0" w:lastColumn="0" w:oddVBand="0" w:evenVBand="0" w:oddHBand="0" w:evenHBand="1" w:firstRowFirstColumn="0" w:firstRowLastColumn="0" w:lastRowFirstColumn="0" w:lastRowLastColumn="0"/>
              <w:rPr>
                <w:rFonts w:cs="Calibri"/>
                <w:iCs/>
              </w:rPr>
            </w:pPr>
          </w:p>
        </w:tc>
        <w:tc>
          <w:tcPr>
            <w:tcW w:w="1574" w:type="dxa"/>
            <w:noWrap/>
          </w:tcPr>
          <w:p w14:paraId="3F1D0A8B" w14:textId="1EADD15C" w:rsidR="005B7BC5" w:rsidRPr="0040566B" w:rsidRDefault="005B7BC5">
            <w:pPr>
              <w:pStyle w:val="TableText"/>
              <w:keepNext/>
              <w:cnfStyle w:val="000000010000" w:firstRow="0" w:lastRow="0" w:firstColumn="0" w:lastColumn="0" w:oddVBand="0" w:evenVBand="0" w:oddHBand="0" w:evenHBand="1" w:firstRowFirstColumn="0" w:firstRowLastColumn="0" w:lastRowFirstColumn="0" w:lastRowLastColumn="0"/>
              <w:rPr>
                <w:rFonts w:cs="Calibri"/>
              </w:rPr>
            </w:pPr>
            <w:r w:rsidRPr="0040566B">
              <w:rPr>
                <w:rFonts w:cs="Calibri"/>
              </w:rPr>
              <w:t>$0.</w:t>
            </w:r>
            <w:r w:rsidR="0007609B">
              <w:rPr>
                <w:rFonts w:cs="Calibri"/>
              </w:rPr>
              <w:t>0</w:t>
            </w:r>
            <w:r w:rsidR="004D5E63" w:rsidRPr="0040566B">
              <w:rPr>
                <w:rFonts w:cs="Calibri"/>
              </w:rPr>
              <w:t>15</w:t>
            </w:r>
          </w:p>
        </w:tc>
      </w:tr>
    </w:tbl>
    <w:p w14:paraId="3F1D0A8E" w14:textId="54CD3065" w:rsidR="007F7F96" w:rsidRPr="00F53B7D" w:rsidRDefault="003D2400" w:rsidP="001D6842">
      <w:pPr>
        <w:keepNext/>
        <w:spacing w:before="240" w:line="360" w:lineRule="auto"/>
        <w:jc w:val="both"/>
        <w:rPr>
          <w:rFonts w:ascii="Arial" w:hAnsi="Arial" w:cs="Arial"/>
        </w:rPr>
      </w:pPr>
      <w:r w:rsidRPr="00C558A5">
        <w:rPr>
          <w:rFonts w:ascii="Arial" w:hAnsi="Arial" w:cs="Arial"/>
        </w:rPr>
        <w:t>Regulatory</w:t>
      </w:r>
      <w:r w:rsidRPr="00F53B7D">
        <w:rPr>
          <w:rFonts w:ascii="Arial" w:hAnsi="Arial" w:cs="Arial"/>
        </w:rPr>
        <w:t xml:space="preserve"> burden would be incurred by manufacturers </w:t>
      </w:r>
      <w:r w:rsidR="00F53B7D">
        <w:rPr>
          <w:rFonts w:ascii="Arial" w:hAnsi="Arial" w:cs="Arial"/>
        </w:rPr>
        <w:t xml:space="preserve">and dealers </w:t>
      </w:r>
      <w:r w:rsidRPr="00F53B7D">
        <w:rPr>
          <w:rFonts w:ascii="Arial" w:hAnsi="Arial" w:cs="Arial"/>
        </w:rPr>
        <w:t xml:space="preserve">who would need to </w:t>
      </w:r>
      <w:r w:rsidR="005B7BC5" w:rsidRPr="00F53B7D">
        <w:rPr>
          <w:rFonts w:ascii="Arial" w:hAnsi="Arial" w:cs="Arial"/>
        </w:rPr>
        <w:t xml:space="preserve">allocate time and communicate through writing to </w:t>
      </w:r>
      <w:r w:rsidR="00F53B7D">
        <w:rPr>
          <w:rFonts w:ascii="Arial" w:hAnsi="Arial" w:cs="Arial"/>
        </w:rPr>
        <w:t>the other party</w:t>
      </w:r>
      <w:r w:rsidR="005B7BC5" w:rsidRPr="00F53B7D">
        <w:rPr>
          <w:rFonts w:ascii="Arial" w:hAnsi="Arial" w:cs="Arial"/>
        </w:rPr>
        <w:t xml:space="preserve"> on reasons for non-renewal</w:t>
      </w:r>
      <w:r w:rsidRPr="00F53B7D">
        <w:rPr>
          <w:rFonts w:ascii="Arial" w:hAnsi="Arial" w:cs="Arial"/>
        </w:rPr>
        <w:t>.</w:t>
      </w:r>
    </w:p>
    <w:p w14:paraId="3F1D0A8F" w14:textId="77777777" w:rsidR="008522F8" w:rsidRPr="00F53B7D" w:rsidRDefault="00652B90" w:rsidP="00652B90">
      <w:pPr>
        <w:spacing w:before="240" w:line="360" w:lineRule="auto"/>
        <w:jc w:val="both"/>
        <w:rPr>
          <w:rFonts w:ascii="Arial" w:hAnsi="Arial" w:cs="Arial"/>
        </w:rPr>
      </w:pPr>
      <w:r w:rsidRPr="00F53B7D">
        <w:rPr>
          <w:rFonts w:ascii="Arial" w:hAnsi="Arial" w:cs="Arial"/>
        </w:rPr>
        <w:t>The regulatory burden calculation assumes that</w:t>
      </w:r>
      <w:r w:rsidR="008522F8" w:rsidRPr="00F53B7D">
        <w:rPr>
          <w:rFonts w:ascii="Arial" w:hAnsi="Arial" w:cs="Arial"/>
        </w:rPr>
        <w:t>:</w:t>
      </w:r>
    </w:p>
    <w:p w14:paraId="3F1D0A90" w14:textId="0C056D11" w:rsidR="008522F8" w:rsidRPr="00F53B7D" w:rsidRDefault="00652B90" w:rsidP="006647E7">
      <w:pPr>
        <w:pStyle w:val="ListParagraph"/>
        <w:numPr>
          <w:ilvl w:val="0"/>
          <w:numId w:val="11"/>
        </w:numPr>
        <w:spacing w:before="240" w:line="360" w:lineRule="auto"/>
        <w:jc w:val="both"/>
        <w:rPr>
          <w:rFonts w:ascii="Arial" w:hAnsi="Arial" w:cs="Arial"/>
        </w:rPr>
      </w:pPr>
      <w:r w:rsidRPr="00F53B7D">
        <w:rPr>
          <w:rFonts w:ascii="Arial" w:hAnsi="Arial" w:cs="Arial"/>
        </w:rPr>
        <w:t>it would take a lawyer two hour</w:t>
      </w:r>
      <w:r w:rsidR="008522F8" w:rsidRPr="00F53B7D">
        <w:rPr>
          <w:rFonts w:ascii="Arial" w:hAnsi="Arial" w:cs="Arial"/>
        </w:rPr>
        <w:t>s</w:t>
      </w:r>
      <w:r w:rsidRPr="00F53B7D">
        <w:rPr>
          <w:rFonts w:ascii="Arial" w:hAnsi="Arial" w:cs="Arial"/>
        </w:rPr>
        <w:t xml:space="preserve"> to draft a </w:t>
      </w:r>
      <w:r w:rsidR="008522F8" w:rsidRPr="00F53B7D">
        <w:rPr>
          <w:rFonts w:ascii="Arial" w:hAnsi="Arial" w:cs="Arial"/>
        </w:rPr>
        <w:t xml:space="preserve">non-renewal notice each time an agreement is not renewed </w:t>
      </w:r>
      <w:r w:rsidRPr="00F53B7D">
        <w:rPr>
          <w:rFonts w:ascii="Arial" w:hAnsi="Arial" w:cs="Arial"/>
        </w:rPr>
        <w:t>at</w:t>
      </w:r>
      <w:r w:rsidR="00202E12">
        <w:rPr>
          <w:rFonts w:ascii="Arial" w:hAnsi="Arial" w:cs="Arial"/>
        </w:rPr>
        <w:t xml:space="preserve"> a</w:t>
      </w:r>
      <w:r w:rsidRPr="00F53B7D">
        <w:rPr>
          <w:rFonts w:ascii="Arial" w:hAnsi="Arial" w:cs="Arial"/>
        </w:rPr>
        <w:t xml:space="preserve"> cost of $500 per hour</w:t>
      </w:r>
      <w:r w:rsidR="008522F8" w:rsidRPr="00F53B7D">
        <w:rPr>
          <w:rFonts w:ascii="Arial" w:hAnsi="Arial" w:cs="Arial"/>
        </w:rPr>
        <w:t>;</w:t>
      </w:r>
      <w:r w:rsidR="00202E12">
        <w:rPr>
          <w:rFonts w:ascii="Arial" w:hAnsi="Arial" w:cs="Arial"/>
        </w:rPr>
        <w:t xml:space="preserve"> and</w:t>
      </w:r>
    </w:p>
    <w:p w14:paraId="20B42B22" w14:textId="23E30997" w:rsidR="00BD11EF" w:rsidRPr="00202E12" w:rsidRDefault="008522F8" w:rsidP="006647E7">
      <w:pPr>
        <w:pStyle w:val="ListParagraph"/>
        <w:numPr>
          <w:ilvl w:val="0"/>
          <w:numId w:val="11"/>
        </w:numPr>
        <w:rPr>
          <w:rFonts w:ascii="Arial" w:hAnsi="Arial" w:cs="Arial"/>
        </w:rPr>
      </w:pPr>
      <w:r w:rsidRPr="00202E12">
        <w:rPr>
          <w:rFonts w:ascii="Arial" w:hAnsi="Arial" w:cs="Arial"/>
        </w:rPr>
        <w:t xml:space="preserve">that </w:t>
      </w:r>
      <w:r w:rsidR="00141418">
        <w:rPr>
          <w:rFonts w:ascii="Arial" w:hAnsi="Arial" w:cs="Arial"/>
        </w:rPr>
        <w:t>15</w:t>
      </w:r>
      <w:r w:rsidRPr="00202E12">
        <w:rPr>
          <w:rFonts w:ascii="Arial" w:hAnsi="Arial" w:cs="Arial"/>
        </w:rPr>
        <w:t xml:space="preserve"> agreements are not renewed</w:t>
      </w:r>
      <w:r w:rsidR="004D5E63" w:rsidRPr="00202E12">
        <w:rPr>
          <w:rFonts w:ascii="Arial" w:hAnsi="Arial" w:cs="Arial"/>
        </w:rPr>
        <w:t>.</w:t>
      </w:r>
    </w:p>
    <w:p w14:paraId="3F1D0A96" w14:textId="593F21A2" w:rsidR="001A6DE0" w:rsidRPr="00B54F3D" w:rsidRDefault="00BD11EF" w:rsidP="00B54F3D">
      <w:pPr>
        <w:spacing w:before="240" w:line="360" w:lineRule="auto"/>
        <w:jc w:val="both"/>
        <w:rPr>
          <w:rFonts w:ascii="Arial" w:hAnsi="Arial" w:cs="Arial"/>
        </w:rPr>
      </w:pPr>
      <w:r>
        <w:rPr>
          <w:rFonts w:ascii="Arial" w:hAnsi="Arial" w:cs="Arial"/>
        </w:rPr>
        <w:t>Quantifying the benefit is difficult. However, it is noted that the actions taken by dealers currently to ascertain the reasons for non-renewal would simply have to exceed $1000 per firm to justify implementing this option. This could be met by any number of actions by the dealers, including simply making an effort to ascertain this information from the manufacturer. For this reason, this option is determined to be beneficial.</w:t>
      </w:r>
    </w:p>
    <w:p w14:paraId="3F1D0A97" w14:textId="77777777" w:rsidR="00CF77B6" w:rsidRPr="0040566B" w:rsidRDefault="0092502D" w:rsidP="0040566B">
      <w:pPr>
        <w:keepNext/>
        <w:rPr>
          <w:rFonts w:ascii="Arial" w:hAnsi="Arial" w:cs="Arial"/>
          <w:b/>
          <w:bCs/>
        </w:rPr>
      </w:pPr>
      <w:r>
        <w:rPr>
          <w:rFonts w:ascii="Arial" w:hAnsi="Arial" w:cs="Arial"/>
          <w:b/>
          <w:bCs/>
        </w:rPr>
        <w:t>Option 2</w:t>
      </w:r>
      <w:r w:rsidR="003D297F">
        <w:rPr>
          <w:rFonts w:ascii="Arial" w:hAnsi="Arial" w:cs="Arial"/>
          <w:b/>
          <w:bCs/>
        </w:rPr>
        <w:t>C</w:t>
      </w:r>
      <w:r w:rsidR="11FF59B9" w:rsidRPr="11FF59B9">
        <w:rPr>
          <w:rFonts w:ascii="Arial" w:hAnsi="Arial" w:cs="Arial"/>
          <w:b/>
          <w:bCs/>
        </w:rPr>
        <w:t xml:space="preserve"> – Stock buy-backs</w:t>
      </w:r>
    </w:p>
    <w:p w14:paraId="4B3E0F2E" w14:textId="324192B2" w:rsidR="00050790" w:rsidRDefault="11FF59B9" w:rsidP="11FF59B9">
      <w:pPr>
        <w:spacing w:before="240" w:line="360" w:lineRule="auto"/>
        <w:jc w:val="both"/>
        <w:rPr>
          <w:rFonts w:ascii="Arial" w:hAnsi="Arial" w:cs="Arial"/>
        </w:rPr>
      </w:pPr>
      <w:r w:rsidRPr="11FF59B9">
        <w:rPr>
          <w:rFonts w:ascii="Arial" w:hAnsi="Arial" w:cs="Arial"/>
        </w:rPr>
        <w:t>Under this option</w:t>
      </w:r>
      <w:r w:rsidR="001A5830">
        <w:rPr>
          <w:rFonts w:ascii="Arial" w:hAnsi="Arial" w:cs="Arial"/>
        </w:rPr>
        <w:t xml:space="preserve"> dealer agreements would be required to include a </w:t>
      </w:r>
      <w:r w:rsidRPr="11FF59B9">
        <w:rPr>
          <w:rFonts w:ascii="Arial" w:hAnsi="Arial" w:cs="Arial"/>
        </w:rPr>
        <w:t xml:space="preserve">stock </w:t>
      </w:r>
      <w:r w:rsidR="001A5830">
        <w:rPr>
          <w:rFonts w:ascii="Arial" w:hAnsi="Arial" w:cs="Arial"/>
        </w:rPr>
        <w:t>buy-back provision</w:t>
      </w:r>
      <w:r w:rsidR="00C93DC5">
        <w:rPr>
          <w:rFonts w:ascii="Arial" w:hAnsi="Arial" w:cs="Arial"/>
        </w:rPr>
        <w:t xml:space="preserve"> in the context of non-renewal of dealer agreements</w:t>
      </w:r>
      <w:r w:rsidRPr="11FF59B9">
        <w:rPr>
          <w:rFonts w:ascii="Arial" w:hAnsi="Arial" w:cs="Arial"/>
        </w:rPr>
        <w:t>. The</w:t>
      </w:r>
      <w:r w:rsidR="00736A6B">
        <w:rPr>
          <w:rFonts w:ascii="Arial" w:hAnsi="Arial" w:cs="Arial"/>
        </w:rPr>
        <w:t xml:space="preserve"> </w:t>
      </w:r>
      <w:r w:rsidR="006738D1">
        <w:rPr>
          <w:rFonts w:ascii="Arial" w:hAnsi="Arial" w:cs="Arial"/>
        </w:rPr>
        <w:t xml:space="preserve">provision would provide the </w:t>
      </w:r>
      <w:r w:rsidR="00736A6B">
        <w:rPr>
          <w:rFonts w:ascii="Arial" w:hAnsi="Arial" w:cs="Arial"/>
        </w:rPr>
        <w:t>price of the stock would, in the first instance, be agreed between the manufacturer and the new car dealer.</w:t>
      </w:r>
      <w:r w:rsidR="0031153D">
        <w:rPr>
          <w:rFonts w:ascii="Arial" w:hAnsi="Arial" w:cs="Arial"/>
        </w:rPr>
        <w:t xml:space="preserve"> </w:t>
      </w:r>
      <w:r w:rsidR="006F3D18">
        <w:rPr>
          <w:rFonts w:ascii="Arial" w:hAnsi="Arial" w:cs="Arial"/>
        </w:rPr>
        <w:t>It is intended that the price of the stock would be negotiated by the parties after the notice of non-renewal is served.</w:t>
      </w:r>
      <w:r w:rsidR="0031153D">
        <w:rPr>
          <w:rFonts w:ascii="Arial" w:hAnsi="Arial" w:cs="Arial"/>
        </w:rPr>
        <w:t xml:space="preserve"> Noting that parties would still be obliged to </w:t>
      </w:r>
      <w:r w:rsidR="006738D1">
        <w:rPr>
          <w:rFonts w:ascii="Arial" w:hAnsi="Arial" w:cs="Arial"/>
        </w:rPr>
        <w:t>act in good faith during negotiations.</w:t>
      </w:r>
      <w:r w:rsidR="00736A6B">
        <w:rPr>
          <w:rFonts w:ascii="Arial" w:hAnsi="Arial" w:cs="Arial"/>
        </w:rPr>
        <w:t xml:space="preserve"> If an agreed price cannot be reached, then the value will be determined by a</w:t>
      </w:r>
      <w:r w:rsidR="00A16AC6">
        <w:rPr>
          <w:rFonts w:ascii="Arial" w:hAnsi="Arial" w:cs="Arial"/>
        </w:rPr>
        <w:t>n independent</w:t>
      </w:r>
      <w:r w:rsidR="00736A6B">
        <w:rPr>
          <w:rFonts w:ascii="Arial" w:hAnsi="Arial" w:cs="Arial"/>
        </w:rPr>
        <w:t xml:space="preserve"> valuer, </w:t>
      </w:r>
      <w:r w:rsidR="00226230">
        <w:rPr>
          <w:rFonts w:ascii="Arial" w:hAnsi="Arial" w:cs="Arial"/>
        </w:rPr>
        <w:t>appointed</w:t>
      </w:r>
      <w:r w:rsidR="00736A6B">
        <w:rPr>
          <w:rFonts w:ascii="Arial" w:hAnsi="Arial" w:cs="Arial"/>
        </w:rPr>
        <w:t xml:space="preserve"> by the parties.</w:t>
      </w:r>
    </w:p>
    <w:p w14:paraId="3F1D0A98" w14:textId="680D78DD" w:rsidR="00CF77B6" w:rsidRPr="005F4088" w:rsidRDefault="00AD5F5C" w:rsidP="11FF59B9">
      <w:pPr>
        <w:spacing w:before="240" w:line="360" w:lineRule="auto"/>
        <w:jc w:val="both"/>
        <w:rPr>
          <w:rFonts w:ascii="Arial" w:hAnsi="Arial" w:cs="Arial"/>
        </w:rPr>
      </w:pPr>
      <w:r>
        <w:rPr>
          <w:rFonts w:ascii="Arial" w:hAnsi="Arial" w:cs="Arial"/>
        </w:rPr>
        <w:t xml:space="preserve">The </w:t>
      </w:r>
      <w:r w:rsidR="00745B44">
        <w:rPr>
          <w:rFonts w:ascii="Arial" w:hAnsi="Arial" w:cs="Arial"/>
        </w:rPr>
        <w:t xml:space="preserve">PJC Report </w:t>
      </w:r>
      <w:r w:rsidR="00EC13BE">
        <w:rPr>
          <w:rFonts w:ascii="Arial" w:hAnsi="Arial" w:cs="Arial"/>
        </w:rPr>
        <w:t xml:space="preserve">recommended that </w:t>
      </w:r>
      <w:r w:rsidR="001C49DF">
        <w:rPr>
          <w:rFonts w:ascii="Arial" w:hAnsi="Arial" w:cs="Arial"/>
        </w:rPr>
        <w:t xml:space="preserve">it be mandated that the ‘franchisor buy-back at cost price all vehicle parts </w:t>
      </w:r>
      <w:r w:rsidR="002273DF">
        <w:rPr>
          <w:rFonts w:ascii="Arial" w:hAnsi="Arial" w:cs="Arial"/>
        </w:rPr>
        <w:t xml:space="preserve">up to </w:t>
      </w:r>
      <w:r w:rsidR="0075172C">
        <w:rPr>
          <w:rFonts w:ascii="Arial" w:hAnsi="Arial" w:cs="Arial"/>
        </w:rPr>
        <w:t>three years old, with the cost of any independent valuation of stock to be split evenly between the franchisor and franchisee.’</w:t>
      </w:r>
      <w:r w:rsidR="00140781">
        <w:rPr>
          <w:rStyle w:val="FootnoteReference"/>
          <w:rFonts w:ascii="Arial" w:hAnsi="Arial" w:cs="Arial"/>
        </w:rPr>
        <w:footnoteReference w:id="65"/>
      </w:r>
      <w:r w:rsidR="0075172C">
        <w:rPr>
          <w:rFonts w:ascii="Arial" w:hAnsi="Arial" w:cs="Arial"/>
        </w:rPr>
        <w:t xml:space="preserve"> </w:t>
      </w:r>
    </w:p>
    <w:p w14:paraId="24FAE6E3" w14:textId="2E35FF35" w:rsidR="00830CC3" w:rsidRDefault="00830CC3" w:rsidP="00830CC3">
      <w:pPr>
        <w:spacing w:before="240" w:line="360" w:lineRule="auto"/>
        <w:jc w:val="both"/>
        <w:rPr>
          <w:rFonts w:ascii="Arial" w:hAnsi="Arial" w:cs="Arial"/>
        </w:rPr>
      </w:pPr>
      <w:r w:rsidRPr="11FF59B9">
        <w:rPr>
          <w:rFonts w:ascii="Arial" w:hAnsi="Arial" w:cs="Arial"/>
        </w:rPr>
        <w:t xml:space="preserve">Currently, the Franchising Code does not specify the end of term arrangements that should apply between dealers and car manufacturers. In line with the general principles of contract </w:t>
      </w:r>
      <w:r w:rsidRPr="11FF59B9">
        <w:rPr>
          <w:rFonts w:ascii="Arial" w:hAnsi="Arial" w:cs="Arial"/>
        </w:rPr>
        <w:lastRenderedPageBreak/>
        <w:t>law, the Franchising Code allows distributors and dealers to negotiate terms that best suit their circumstances. This includes making provisions for the buy-back of stock.</w:t>
      </w:r>
    </w:p>
    <w:p w14:paraId="48785B85" w14:textId="51121EC7" w:rsidR="00830CC3" w:rsidRDefault="00830CC3" w:rsidP="00830CC3">
      <w:pPr>
        <w:spacing w:before="240" w:line="360" w:lineRule="auto"/>
        <w:jc w:val="both"/>
        <w:rPr>
          <w:rFonts w:ascii="Arial" w:hAnsi="Arial" w:cs="Arial"/>
        </w:rPr>
      </w:pPr>
      <w:r w:rsidRPr="005B7BC5">
        <w:rPr>
          <w:rFonts w:ascii="Arial" w:hAnsi="Arial" w:cs="Arial"/>
        </w:rPr>
        <w:t>Some existing dealer agreements do require manufacturers to buy back stock when an agreement expires o</w:t>
      </w:r>
      <w:r w:rsidR="00CF71D7">
        <w:rPr>
          <w:rFonts w:ascii="Arial" w:hAnsi="Arial" w:cs="Arial"/>
        </w:rPr>
        <w:t>r</w:t>
      </w:r>
      <w:r w:rsidRPr="005B7BC5">
        <w:rPr>
          <w:rFonts w:ascii="Arial" w:hAnsi="Arial" w:cs="Arial"/>
        </w:rPr>
        <w:t xml:space="preserve"> terminates, however, not all agreements contain these provisions.</w:t>
      </w:r>
      <w:r>
        <w:rPr>
          <w:rFonts w:ascii="Arial" w:hAnsi="Arial" w:cs="Arial"/>
        </w:rPr>
        <w:t xml:space="preserve"> According to the AADA, typically the manufacturer has discretion as to whether these buy back provisions are exercised.</w:t>
      </w:r>
      <w:r>
        <w:rPr>
          <w:rStyle w:val="FootnoteReference"/>
          <w:rFonts w:ascii="Arial" w:hAnsi="Arial" w:cs="Arial"/>
        </w:rPr>
        <w:footnoteReference w:id="66"/>
      </w:r>
      <w:r w:rsidR="00D22AC3" w:rsidRPr="00D22AC3">
        <w:rPr>
          <w:rFonts w:ascii="Arial" w:hAnsi="Arial" w:cs="Arial"/>
        </w:rPr>
        <w:t xml:space="preserve"> </w:t>
      </w:r>
      <w:r w:rsidR="00D22AC3">
        <w:rPr>
          <w:rFonts w:ascii="Arial" w:hAnsi="Arial" w:cs="Arial"/>
        </w:rPr>
        <w:t xml:space="preserve">As discussed above in relation </w:t>
      </w:r>
      <w:r w:rsidR="00B65607">
        <w:rPr>
          <w:rFonts w:ascii="Arial" w:hAnsi="Arial" w:cs="Arial"/>
        </w:rPr>
        <w:t>to</w:t>
      </w:r>
      <w:r w:rsidR="00D22AC3">
        <w:rPr>
          <w:rFonts w:ascii="Arial" w:hAnsi="Arial" w:cs="Arial"/>
        </w:rPr>
        <w:t xml:space="preserve"> end of term negotiations and notice periods, while industry practice varies, both parties can work together to reduce stock levels as an agreement draws to an end so the implications of buy-back provisions will also tend to vary accordingly.</w:t>
      </w:r>
    </w:p>
    <w:p w14:paraId="1D0E18EE" w14:textId="4BB4B12E" w:rsidR="00D22AC3" w:rsidRDefault="00735919" w:rsidP="11FF59B9">
      <w:pPr>
        <w:spacing w:before="240" w:line="360" w:lineRule="auto"/>
        <w:jc w:val="both"/>
        <w:rPr>
          <w:rFonts w:ascii="Arial" w:hAnsi="Arial" w:cs="Arial"/>
        </w:rPr>
      </w:pPr>
      <w:r>
        <w:rPr>
          <w:rFonts w:ascii="Arial" w:hAnsi="Arial" w:cs="Arial"/>
        </w:rPr>
        <w:t xml:space="preserve">Feedback received during consultation regarding car dealers’ ability to control their stock levels as an agreement draws to an end varies. Manufacturers set targets, which often involve levels of </w:t>
      </w:r>
      <w:r w:rsidR="004C4C6E">
        <w:rPr>
          <w:rFonts w:ascii="Arial" w:hAnsi="Arial" w:cs="Arial"/>
        </w:rPr>
        <w:t>stock, which</w:t>
      </w:r>
      <w:r>
        <w:rPr>
          <w:rFonts w:ascii="Arial" w:hAnsi="Arial" w:cs="Arial"/>
        </w:rPr>
        <w:t xml:space="preserve"> car dealers need to meet in order to receive </w:t>
      </w:r>
      <w:r w:rsidR="00A37301">
        <w:rPr>
          <w:rFonts w:ascii="Arial" w:hAnsi="Arial" w:cs="Arial"/>
        </w:rPr>
        <w:t>incentive</w:t>
      </w:r>
      <w:r>
        <w:rPr>
          <w:rFonts w:ascii="Arial" w:hAnsi="Arial" w:cs="Arial"/>
        </w:rPr>
        <w:t xml:space="preserve"> payments. Dealers can also be contractually obliged to hold certain levels of stock. </w:t>
      </w:r>
    </w:p>
    <w:p w14:paraId="49411BC6" w14:textId="3F339B80" w:rsidR="00830CC3" w:rsidRDefault="00D173B5" w:rsidP="11FF59B9">
      <w:pPr>
        <w:spacing w:before="240" w:line="360" w:lineRule="auto"/>
        <w:jc w:val="both"/>
        <w:rPr>
          <w:rFonts w:ascii="Arial" w:hAnsi="Arial" w:cs="Arial"/>
        </w:rPr>
      </w:pPr>
      <w:r>
        <w:rPr>
          <w:rFonts w:ascii="Arial" w:hAnsi="Arial" w:cs="Arial"/>
        </w:rPr>
        <w:t>F</w:t>
      </w:r>
      <w:r w:rsidRPr="00D173B5">
        <w:rPr>
          <w:rFonts w:ascii="Arial" w:hAnsi="Arial" w:cs="Arial"/>
        </w:rPr>
        <w:t xml:space="preserve">loorplan or bailment financing arrangements </w:t>
      </w:r>
      <w:r>
        <w:rPr>
          <w:rFonts w:ascii="Arial" w:hAnsi="Arial" w:cs="Arial"/>
        </w:rPr>
        <w:t xml:space="preserve">are </w:t>
      </w:r>
      <w:r w:rsidRPr="00D173B5">
        <w:rPr>
          <w:rFonts w:ascii="Arial" w:hAnsi="Arial" w:cs="Arial"/>
        </w:rPr>
        <w:t xml:space="preserve">typically used by dealerships </w:t>
      </w:r>
      <w:r>
        <w:rPr>
          <w:rFonts w:ascii="Arial" w:hAnsi="Arial" w:cs="Arial"/>
        </w:rPr>
        <w:t xml:space="preserve">which </w:t>
      </w:r>
      <w:r w:rsidRPr="00D173B5">
        <w:rPr>
          <w:rFonts w:ascii="Arial" w:hAnsi="Arial" w:cs="Arial"/>
        </w:rPr>
        <w:t>involve dealers taking possession, but not ownership of showroom vehicles and the financier retains ownership of the motor vehicle until sold.</w:t>
      </w:r>
      <w:r>
        <w:rPr>
          <w:rFonts w:ascii="Arial" w:hAnsi="Arial" w:cs="Arial"/>
        </w:rPr>
        <w:t xml:space="preserve"> Dealers can be subject to an ‘automatic release floor plan facility’ where they have to accept stock as it is received. </w:t>
      </w:r>
      <w:r w:rsidR="002A4E56">
        <w:rPr>
          <w:rFonts w:ascii="Arial" w:hAnsi="Arial" w:cs="Arial"/>
        </w:rPr>
        <w:t xml:space="preserve">However, </w:t>
      </w:r>
      <w:r w:rsidR="0055511F">
        <w:rPr>
          <w:rFonts w:ascii="Arial" w:hAnsi="Arial" w:cs="Arial"/>
        </w:rPr>
        <w:t xml:space="preserve">in some circumstances </w:t>
      </w:r>
      <w:r w:rsidR="002A4E56">
        <w:rPr>
          <w:rFonts w:ascii="Arial" w:hAnsi="Arial" w:cs="Arial"/>
        </w:rPr>
        <w:t xml:space="preserve">dealers </w:t>
      </w:r>
      <w:r w:rsidR="00DF6B83">
        <w:rPr>
          <w:rFonts w:ascii="Arial" w:hAnsi="Arial" w:cs="Arial"/>
        </w:rPr>
        <w:t>can</w:t>
      </w:r>
      <w:r w:rsidR="002A4E56">
        <w:rPr>
          <w:rFonts w:ascii="Arial" w:hAnsi="Arial" w:cs="Arial"/>
        </w:rPr>
        <w:t xml:space="preserve"> </w:t>
      </w:r>
      <w:r w:rsidR="00D22AC3">
        <w:rPr>
          <w:rFonts w:ascii="Arial" w:hAnsi="Arial" w:cs="Arial"/>
        </w:rPr>
        <w:t xml:space="preserve">also </w:t>
      </w:r>
      <w:r w:rsidR="002A4E56">
        <w:rPr>
          <w:rFonts w:ascii="Arial" w:hAnsi="Arial" w:cs="Arial"/>
        </w:rPr>
        <w:t>manually determine how much stock they order.</w:t>
      </w:r>
    </w:p>
    <w:p w14:paraId="3F1D0A9D" w14:textId="77777777" w:rsidR="00CF77B6" w:rsidRPr="0040566B" w:rsidRDefault="11FF59B9" w:rsidP="5996C6E7">
      <w:pPr>
        <w:keepNext/>
        <w:spacing w:before="240" w:line="360" w:lineRule="auto"/>
        <w:jc w:val="both"/>
        <w:rPr>
          <w:rFonts w:ascii="Arial" w:hAnsi="Arial" w:cs="Arial"/>
          <w:i/>
          <w:iCs/>
        </w:rPr>
      </w:pPr>
      <w:r w:rsidRPr="5996C6E7">
        <w:rPr>
          <w:rFonts w:ascii="Arial" w:hAnsi="Arial" w:cs="Arial"/>
          <w:i/>
          <w:iCs/>
        </w:rPr>
        <w:t>Impact on car dealers</w:t>
      </w:r>
    </w:p>
    <w:p w14:paraId="3F1D0A9E" w14:textId="39AE7C95" w:rsidR="00CF77B6" w:rsidRDefault="11FF59B9" w:rsidP="11FF59B9">
      <w:pPr>
        <w:spacing w:before="240" w:line="360" w:lineRule="auto"/>
        <w:jc w:val="both"/>
        <w:rPr>
          <w:rFonts w:ascii="Arial" w:hAnsi="Arial" w:cs="Arial"/>
        </w:rPr>
      </w:pPr>
      <w:r w:rsidRPr="11FF59B9">
        <w:rPr>
          <w:rFonts w:ascii="Arial" w:hAnsi="Arial" w:cs="Arial"/>
        </w:rPr>
        <w:t xml:space="preserve">This option </w:t>
      </w:r>
      <w:r w:rsidR="00AD5F5C">
        <w:rPr>
          <w:rFonts w:ascii="Arial" w:hAnsi="Arial" w:cs="Arial"/>
        </w:rPr>
        <w:t>c</w:t>
      </w:r>
      <w:r w:rsidRPr="11FF59B9">
        <w:rPr>
          <w:rFonts w:ascii="Arial" w:hAnsi="Arial" w:cs="Arial"/>
        </w:rPr>
        <w:t xml:space="preserve">ould reduce </w:t>
      </w:r>
      <w:r w:rsidR="006B7E11">
        <w:rPr>
          <w:rFonts w:ascii="Arial" w:hAnsi="Arial" w:cs="Arial"/>
        </w:rPr>
        <w:t>the costs to car dealers of an agreement expiring</w:t>
      </w:r>
      <w:r w:rsidR="00A37301">
        <w:rPr>
          <w:rFonts w:ascii="Arial" w:hAnsi="Arial" w:cs="Arial"/>
        </w:rPr>
        <w:t>,</w:t>
      </w:r>
      <w:r w:rsidR="006B7E11">
        <w:rPr>
          <w:rFonts w:ascii="Arial" w:hAnsi="Arial" w:cs="Arial"/>
        </w:rPr>
        <w:t xml:space="preserve"> potentially increasing their bargaining power with </w:t>
      </w:r>
      <w:r w:rsidRPr="11FF59B9">
        <w:rPr>
          <w:rFonts w:ascii="Arial" w:hAnsi="Arial" w:cs="Arial"/>
        </w:rPr>
        <w:t>manufacturers</w:t>
      </w:r>
      <w:r w:rsidRPr="11FF59B9" w:rsidDel="006B7E11">
        <w:rPr>
          <w:rFonts w:ascii="Arial" w:hAnsi="Arial" w:cs="Arial"/>
        </w:rPr>
        <w:t>.</w:t>
      </w:r>
      <w:r w:rsidR="00C21E33">
        <w:rPr>
          <w:rFonts w:ascii="Arial" w:hAnsi="Arial" w:cs="Arial"/>
        </w:rPr>
        <w:t xml:space="preserve"> </w:t>
      </w:r>
    </w:p>
    <w:p w14:paraId="3F1D0A9F" w14:textId="0E75E1CB" w:rsidR="00CF77B6" w:rsidRPr="005F4088" w:rsidRDefault="00CF77B6" w:rsidP="11FF59B9">
      <w:pPr>
        <w:spacing w:before="240" w:line="360" w:lineRule="auto"/>
        <w:jc w:val="both"/>
        <w:rPr>
          <w:rFonts w:ascii="Arial" w:hAnsi="Arial" w:cs="Arial"/>
        </w:rPr>
      </w:pPr>
      <w:r w:rsidRPr="005F4088">
        <w:rPr>
          <w:rFonts w:ascii="Arial" w:hAnsi="Arial" w:cs="Arial"/>
        </w:rPr>
        <w:t>For example</w:t>
      </w:r>
      <w:r w:rsidR="00A37301">
        <w:rPr>
          <w:rFonts w:ascii="Arial" w:hAnsi="Arial" w:cs="Arial"/>
        </w:rPr>
        <w:t>,</w:t>
      </w:r>
      <w:r w:rsidRPr="005F4088">
        <w:rPr>
          <w:rFonts w:ascii="Arial" w:hAnsi="Arial" w:cs="Arial"/>
        </w:rPr>
        <w:t xml:space="preserve"> the MTAA</w:t>
      </w:r>
      <w:bookmarkStart w:id="79" w:name="_Ref530483953"/>
      <w:r w:rsidRPr="005F4088">
        <w:rPr>
          <w:vertAlign w:val="superscript"/>
        </w:rPr>
        <w:footnoteReference w:id="67"/>
      </w:r>
      <w:bookmarkEnd w:id="79"/>
      <w:r w:rsidRPr="005F4088">
        <w:rPr>
          <w:rFonts w:ascii="Arial" w:hAnsi="Arial" w:cs="Arial"/>
          <w:vertAlign w:val="superscript"/>
        </w:rPr>
        <w:t xml:space="preserve"> </w:t>
      </w:r>
      <w:r w:rsidRPr="005F4088">
        <w:rPr>
          <w:rFonts w:ascii="Arial" w:hAnsi="Arial" w:cs="Arial"/>
        </w:rPr>
        <w:t>asserts that, even when ami</w:t>
      </w:r>
      <w:r w:rsidR="00A2552B">
        <w:rPr>
          <w:rFonts w:ascii="Arial" w:hAnsi="Arial" w:cs="Arial"/>
        </w:rPr>
        <w:t>c</w:t>
      </w:r>
      <w:r w:rsidRPr="005F4088">
        <w:rPr>
          <w:rFonts w:ascii="Arial" w:hAnsi="Arial" w:cs="Arial"/>
        </w:rPr>
        <w:t>able, end of contract events can result in significant disadvantage to new car dealers which impact closing profits across new car dealership operations.</w:t>
      </w:r>
      <w:r w:rsidR="00761697">
        <w:rPr>
          <w:rFonts w:ascii="Arial" w:hAnsi="Arial" w:cs="Arial"/>
        </w:rPr>
        <w:t xml:space="preserve"> Aside from its vehicles,</w:t>
      </w:r>
      <w:r w:rsidRPr="005F4088">
        <w:rPr>
          <w:rFonts w:ascii="Arial" w:hAnsi="Arial" w:cs="Arial"/>
        </w:rPr>
        <w:t xml:space="preserve"> </w:t>
      </w:r>
      <w:r w:rsidR="00761697">
        <w:rPr>
          <w:rFonts w:ascii="Arial" w:hAnsi="Arial" w:cs="Arial"/>
        </w:rPr>
        <w:t>t</w:t>
      </w:r>
      <w:r w:rsidRPr="005F4088">
        <w:rPr>
          <w:rFonts w:ascii="Arial" w:hAnsi="Arial" w:cs="Arial"/>
        </w:rPr>
        <w:t>he MTAA</w:t>
      </w:r>
      <w:r w:rsidRPr="005F4088">
        <w:rPr>
          <w:vertAlign w:val="superscript"/>
        </w:rPr>
        <w:footnoteReference w:id="68"/>
      </w:r>
      <w:r w:rsidRPr="005F4088">
        <w:rPr>
          <w:rFonts w:ascii="Arial" w:hAnsi="Arial" w:cs="Arial"/>
          <w:vertAlign w:val="superscript"/>
        </w:rPr>
        <w:t xml:space="preserve"> </w:t>
      </w:r>
      <w:r w:rsidR="001A5830">
        <w:rPr>
          <w:rFonts w:ascii="Arial" w:hAnsi="Arial" w:cs="Arial"/>
        </w:rPr>
        <w:t xml:space="preserve">noted </w:t>
      </w:r>
      <w:r w:rsidRPr="005F4088">
        <w:rPr>
          <w:rFonts w:ascii="Arial" w:hAnsi="Arial" w:cs="Arial"/>
        </w:rPr>
        <w:t>that a dealer may have over a million dollars of parts in stock</w:t>
      </w:r>
      <w:r w:rsidR="001A5830">
        <w:rPr>
          <w:rFonts w:ascii="Arial" w:hAnsi="Arial" w:cs="Arial"/>
        </w:rPr>
        <w:t>, which are</w:t>
      </w:r>
      <w:r w:rsidRPr="005F4088">
        <w:rPr>
          <w:rFonts w:ascii="Arial" w:hAnsi="Arial" w:cs="Arial"/>
        </w:rPr>
        <w:t xml:space="preserve"> needed for: counter sales to members of the public</w:t>
      </w:r>
      <w:r w:rsidR="00F75F49">
        <w:rPr>
          <w:rFonts w:ascii="Arial" w:hAnsi="Arial" w:cs="Arial"/>
        </w:rPr>
        <w:t>;</w:t>
      </w:r>
      <w:r w:rsidRPr="005F4088">
        <w:rPr>
          <w:rFonts w:ascii="Arial" w:hAnsi="Arial" w:cs="Arial"/>
        </w:rPr>
        <w:t xml:space="preserve"> account sales (to, for example, independent repairers)</w:t>
      </w:r>
      <w:r w:rsidR="00F75F49">
        <w:rPr>
          <w:rFonts w:ascii="Arial" w:hAnsi="Arial" w:cs="Arial"/>
        </w:rPr>
        <w:t>;</w:t>
      </w:r>
      <w:r w:rsidRPr="005F4088">
        <w:rPr>
          <w:rFonts w:ascii="Arial" w:hAnsi="Arial" w:cs="Arial"/>
        </w:rPr>
        <w:t xml:space="preserve"> and workshop/service stock. The MTAA</w:t>
      </w:r>
      <w:r w:rsidRPr="005F4088">
        <w:rPr>
          <w:vertAlign w:val="superscript"/>
        </w:rPr>
        <w:footnoteReference w:id="69"/>
      </w:r>
      <w:r w:rsidRPr="005F4088">
        <w:rPr>
          <w:rFonts w:ascii="Arial" w:hAnsi="Arial" w:cs="Arial"/>
          <w:vertAlign w:val="superscript"/>
        </w:rPr>
        <w:t xml:space="preserve"> </w:t>
      </w:r>
      <w:r w:rsidRPr="005F4088">
        <w:rPr>
          <w:rFonts w:ascii="Arial" w:hAnsi="Arial" w:cs="Arial"/>
        </w:rPr>
        <w:t xml:space="preserve">also identifies that larger dealerships </w:t>
      </w:r>
      <w:r w:rsidR="00CF71D7">
        <w:rPr>
          <w:rFonts w:ascii="Arial" w:hAnsi="Arial" w:cs="Arial"/>
        </w:rPr>
        <w:t xml:space="preserve">typically </w:t>
      </w:r>
      <w:r w:rsidRPr="005F4088">
        <w:rPr>
          <w:rFonts w:ascii="Arial" w:hAnsi="Arial" w:cs="Arial"/>
        </w:rPr>
        <w:t xml:space="preserve">will have much larger stock holdings, and may also </w:t>
      </w:r>
      <w:r>
        <w:rPr>
          <w:rFonts w:ascii="Arial" w:hAnsi="Arial" w:cs="Arial"/>
        </w:rPr>
        <w:t>supply</w:t>
      </w:r>
      <w:r w:rsidRPr="005F4088">
        <w:rPr>
          <w:rFonts w:ascii="Arial" w:hAnsi="Arial" w:cs="Arial"/>
        </w:rPr>
        <w:t xml:space="preserve"> parts to smaller dealerships.</w:t>
      </w:r>
    </w:p>
    <w:p w14:paraId="3F1D0AA0" w14:textId="77777777" w:rsidR="00CF77B6" w:rsidRDefault="00CF77B6" w:rsidP="11FF59B9">
      <w:pPr>
        <w:spacing w:before="240" w:line="360" w:lineRule="auto"/>
        <w:jc w:val="both"/>
        <w:rPr>
          <w:rFonts w:ascii="Arial" w:hAnsi="Arial" w:cs="Arial"/>
        </w:rPr>
      </w:pPr>
      <w:r w:rsidRPr="005F4088">
        <w:rPr>
          <w:rFonts w:ascii="Arial" w:hAnsi="Arial" w:cs="Arial"/>
        </w:rPr>
        <w:lastRenderedPageBreak/>
        <w:t>The MTAA</w:t>
      </w:r>
      <w:r w:rsidRPr="005F4088">
        <w:rPr>
          <w:vertAlign w:val="superscript"/>
        </w:rPr>
        <w:footnoteReference w:id="70"/>
      </w:r>
      <w:r w:rsidRPr="005F4088">
        <w:rPr>
          <w:rFonts w:ascii="Arial" w:hAnsi="Arial" w:cs="Arial"/>
          <w:vertAlign w:val="superscript"/>
        </w:rPr>
        <w:t xml:space="preserve"> </w:t>
      </w:r>
      <w:r w:rsidRPr="005F4088">
        <w:rPr>
          <w:rFonts w:ascii="Arial" w:hAnsi="Arial" w:cs="Arial"/>
        </w:rPr>
        <w:t>also explain</w:t>
      </w:r>
      <w:r w:rsidR="001A5830">
        <w:rPr>
          <w:rFonts w:ascii="Arial" w:hAnsi="Arial" w:cs="Arial"/>
        </w:rPr>
        <w:t>ed</w:t>
      </w:r>
      <w:r w:rsidRPr="005F4088">
        <w:rPr>
          <w:rFonts w:ascii="Arial" w:hAnsi="Arial" w:cs="Arial"/>
        </w:rPr>
        <w:t xml:space="preserve"> that in the servicing area of the business, the dealer is required to purchase a range of specialist equipment and tools as specified by the car manufacturer. In particular, car dealers in regional areas will be affected as many may not need to use the specialist equipment due to the type of cars typically sold in those areas.</w:t>
      </w:r>
      <w:r w:rsidRPr="005F4088">
        <w:rPr>
          <w:vertAlign w:val="superscript"/>
        </w:rPr>
        <w:footnoteReference w:id="71"/>
      </w:r>
      <w:r w:rsidRPr="005F4088">
        <w:rPr>
          <w:rFonts w:ascii="Arial" w:hAnsi="Arial" w:cs="Arial"/>
          <w:vertAlign w:val="superscript"/>
        </w:rPr>
        <w:t xml:space="preserve"> </w:t>
      </w:r>
      <w:r w:rsidRPr="005F4088">
        <w:rPr>
          <w:rFonts w:ascii="Arial" w:hAnsi="Arial" w:cs="Arial"/>
        </w:rPr>
        <w:t>As these tools are owned by the dealer, they are usually not part of end of term arrangements.</w:t>
      </w:r>
      <w:r w:rsidRPr="005F4088">
        <w:rPr>
          <w:vertAlign w:val="superscript"/>
        </w:rPr>
        <w:footnoteReference w:id="72"/>
      </w:r>
    </w:p>
    <w:p w14:paraId="3F1D0AA1" w14:textId="77777777" w:rsidR="00CF77B6" w:rsidRPr="0040566B" w:rsidRDefault="11FF59B9" w:rsidP="5996C6E7">
      <w:pPr>
        <w:keepNext/>
        <w:spacing w:before="240" w:line="360" w:lineRule="auto"/>
        <w:jc w:val="both"/>
        <w:rPr>
          <w:rFonts w:ascii="Arial" w:hAnsi="Arial" w:cs="Arial"/>
          <w:i/>
          <w:iCs/>
        </w:rPr>
      </w:pPr>
      <w:r w:rsidRPr="5996C6E7">
        <w:rPr>
          <w:rFonts w:ascii="Arial" w:hAnsi="Arial" w:cs="Arial"/>
          <w:i/>
          <w:iCs/>
        </w:rPr>
        <w:t>Impact on car manufacturers</w:t>
      </w:r>
    </w:p>
    <w:p w14:paraId="1F2FF050" w14:textId="2A0AF31E" w:rsidR="004B5D39" w:rsidRDefault="004B5D39" w:rsidP="11FF59B9">
      <w:pPr>
        <w:spacing w:before="240" w:line="360" w:lineRule="auto"/>
        <w:jc w:val="both"/>
        <w:rPr>
          <w:rFonts w:ascii="Arial" w:hAnsi="Arial" w:cs="Arial"/>
        </w:rPr>
      </w:pPr>
      <w:r>
        <w:rPr>
          <w:rFonts w:ascii="Arial" w:hAnsi="Arial" w:cs="Arial"/>
        </w:rPr>
        <w:t>Mandating stock buy</w:t>
      </w:r>
      <w:r w:rsidR="000B3C6C">
        <w:rPr>
          <w:rFonts w:ascii="Arial" w:hAnsi="Arial" w:cs="Arial"/>
        </w:rPr>
        <w:t>-</w:t>
      </w:r>
      <w:r>
        <w:rPr>
          <w:rFonts w:ascii="Arial" w:hAnsi="Arial" w:cs="Arial"/>
        </w:rPr>
        <w:t xml:space="preserve">backs </w:t>
      </w:r>
      <w:r w:rsidR="00480881">
        <w:rPr>
          <w:rFonts w:ascii="Arial" w:hAnsi="Arial" w:cs="Arial"/>
        </w:rPr>
        <w:t>c</w:t>
      </w:r>
      <w:r>
        <w:rPr>
          <w:rFonts w:ascii="Arial" w:hAnsi="Arial" w:cs="Arial"/>
        </w:rPr>
        <w:t>ould shift the risk of there being excess stock remaining at the end of an agreement</w:t>
      </w:r>
      <w:r w:rsidR="00CF71D7">
        <w:rPr>
          <w:rFonts w:ascii="Arial" w:hAnsi="Arial" w:cs="Arial"/>
        </w:rPr>
        <w:t>.</w:t>
      </w:r>
      <w:r>
        <w:rPr>
          <w:rFonts w:ascii="Arial" w:hAnsi="Arial" w:cs="Arial"/>
        </w:rPr>
        <w:t xml:space="preserve"> </w:t>
      </w:r>
    </w:p>
    <w:p w14:paraId="1984D1FC" w14:textId="3F1777C1" w:rsidR="00DE34A0" w:rsidRDefault="00DE34A0" w:rsidP="11FF59B9">
      <w:pPr>
        <w:spacing w:before="240" w:line="360" w:lineRule="auto"/>
        <w:jc w:val="both"/>
        <w:rPr>
          <w:rFonts w:ascii="Arial" w:hAnsi="Arial" w:cs="Arial"/>
        </w:rPr>
      </w:pPr>
      <w:r>
        <w:rPr>
          <w:rFonts w:ascii="Arial" w:hAnsi="Arial" w:cs="Arial"/>
        </w:rPr>
        <w:t xml:space="preserve">Car manufacturers indicated during consultation that they generally </w:t>
      </w:r>
      <w:r w:rsidR="00DA363D">
        <w:rPr>
          <w:rFonts w:ascii="Arial" w:hAnsi="Arial" w:cs="Arial"/>
        </w:rPr>
        <w:t xml:space="preserve">work with dealers to manage </w:t>
      </w:r>
      <w:r>
        <w:rPr>
          <w:rFonts w:ascii="Arial" w:hAnsi="Arial" w:cs="Arial"/>
        </w:rPr>
        <w:t xml:space="preserve">stock </w:t>
      </w:r>
      <w:r w:rsidR="00DA363D">
        <w:rPr>
          <w:rFonts w:ascii="Arial" w:hAnsi="Arial" w:cs="Arial"/>
        </w:rPr>
        <w:t xml:space="preserve">levels </w:t>
      </w:r>
      <w:r>
        <w:rPr>
          <w:rFonts w:ascii="Arial" w:hAnsi="Arial" w:cs="Arial"/>
        </w:rPr>
        <w:t>at the end of a</w:t>
      </w:r>
      <w:r w:rsidR="006D4BCA">
        <w:rPr>
          <w:rFonts w:ascii="Arial" w:hAnsi="Arial" w:cs="Arial"/>
        </w:rPr>
        <w:t>n</w:t>
      </w:r>
      <w:r>
        <w:rPr>
          <w:rFonts w:ascii="Arial" w:hAnsi="Arial" w:cs="Arial"/>
        </w:rPr>
        <w:t xml:space="preserve"> agreement to avoid fire sales of new vehicles. As such, mandating stock buy</w:t>
      </w:r>
      <w:r w:rsidR="00DB1B68">
        <w:rPr>
          <w:rFonts w:ascii="Arial" w:hAnsi="Arial" w:cs="Arial"/>
        </w:rPr>
        <w:t>-</w:t>
      </w:r>
      <w:r>
        <w:rPr>
          <w:rFonts w:ascii="Arial" w:hAnsi="Arial" w:cs="Arial"/>
        </w:rPr>
        <w:t xml:space="preserve">backs </w:t>
      </w:r>
      <w:r w:rsidR="005045B7">
        <w:rPr>
          <w:rFonts w:ascii="Arial" w:hAnsi="Arial" w:cs="Arial"/>
        </w:rPr>
        <w:t xml:space="preserve">is only likely to have a significant </w:t>
      </w:r>
      <w:r>
        <w:rPr>
          <w:rFonts w:ascii="Arial" w:hAnsi="Arial" w:cs="Arial"/>
        </w:rPr>
        <w:t xml:space="preserve">impact on manufacturers that do not adhere to this practice. </w:t>
      </w:r>
    </w:p>
    <w:p w14:paraId="3F1D0AA3" w14:textId="59791CCD" w:rsidR="00EE298F" w:rsidRDefault="11FF59B9" w:rsidP="11FF59B9">
      <w:pPr>
        <w:spacing w:before="240" w:line="360" w:lineRule="auto"/>
        <w:jc w:val="both"/>
        <w:rPr>
          <w:rFonts w:ascii="Arial" w:hAnsi="Arial" w:cs="Arial"/>
        </w:rPr>
      </w:pPr>
      <w:r w:rsidRPr="11FF59B9">
        <w:rPr>
          <w:rFonts w:ascii="Arial" w:hAnsi="Arial" w:cs="Arial"/>
        </w:rPr>
        <w:t xml:space="preserve">While there would be costs associated with buying back stock, this would be </w:t>
      </w:r>
      <w:r w:rsidR="00A37301">
        <w:rPr>
          <w:rFonts w:ascii="Arial" w:hAnsi="Arial" w:cs="Arial"/>
        </w:rPr>
        <w:t xml:space="preserve">partly </w:t>
      </w:r>
      <w:r w:rsidRPr="11FF59B9">
        <w:rPr>
          <w:rFonts w:ascii="Arial" w:hAnsi="Arial" w:cs="Arial"/>
        </w:rPr>
        <w:t>offset by manufacturers</w:t>
      </w:r>
      <w:r w:rsidR="00BA191E">
        <w:rPr>
          <w:rFonts w:ascii="Arial" w:hAnsi="Arial" w:cs="Arial"/>
        </w:rPr>
        <w:t>’ ability</w:t>
      </w:r>
      <w:r w:rsidRPr="11FF59B9" w:rsidDel="00BA191E">
        <w:rPr>
          <w:rFonts w:ascii="Arial" w:hAnsi="Arial" w:cs="Arial"/>
        </w:rPr>
        <w:t xml:space="preserve"> </w:t>
      </w:r>
      <w:r w:rsidRPr="11FF59B9">
        <w:rPr>
          <w:rFonts w:ascii="Arial" w:hAnsi="Arial" w:cs="Arial"/>
        </w:rPr>
        <w:t>to re-sell the stock. Given that the majority of the stock would be new vehicles that have not yet been driven, if the manufacturer were to re</w:t>
      </w:r>
      <w:r w:rsidR="00CD2366">
        <w:rPr>
          <w:rFonts w:ascii="Arial" w:hAnsi="Arial" w:cs="Arial"/>
        </w:rPr>
        <w:t>-</w:t>
      </w:r>
      <w:r w:rsidRPr="11FF59B9">
        <w:rPr>
          <w:rFonts w:ascii="Arial" w:hAnsi="Arial" w:cs="Arial"/>
        </w:rPr>
        <w:t xml:space="preserve">purchase the stock at the price paid by the dealer, they </w:t>
      </w:r>
      <w:r w:rsidR="00480881">
        <w:rPr>
          <w:rFonts w:ascii="Arial" w:hAnsi="Arial" w:cs="Arial"/>
        </w:rPr>
        <w:t>c</w:t>
      </w:r>
      <w:r w:rsidRPr="11FF59B9">
        <w:rPr>
          <w:rFonts w:ascii="Arial" w:hAnsi="Arial" w:cs="Arial"/>
        </w:rPr>
        <w:t xml:space="preserve">ould likely be able to sell the stock for </w:t>
      </w:r>
      <w:r w:rsidR="00A37301">
        <w:rPr>
          <w:rFonts w:ascii="Arial" w:hAnsi="Arial" w:cs="Arial"/>
        </w:rPr>
        <w:t>a similar</w:t>
      </w:r>
      <w:r w:rsidRPr="11FF59B9">
        <w:rPr>
          <w:rFonts w:ascii="Arial" w:hAnsi="Arial" w:cs="Arial"/>
        </w:rPr>
        <w:t xml:space="preserve"> price to another dealership</w:t>
      </w:r>
      <w:r w:rsidR="00595967">
        <w:rPr>
          <w:rFonts w:ascii="Arial" w:hAnsi="Arial" w:cs="Arial"/>
        </w:rPr>
        <w:t xml:space="preserve"> or to fleet buyers</w:t>
      </w:r>
      <w:r w:rsidR="00F213A3">
        <w:rPr>
          <w:rFonts w:ascii="Arial" w:hAnsi="Arial" w:cs="Arial"/>
        </w:rPr>
        <w:t xml:space="preserve"> though</w:t>
      </w:r>
      <w:r w:rsidR="0055511F">
        <w:rPr>
          <w:rFonts w:ascii="Arial" w:hAnsi="Arial" w:cs="Arial"/>
        </w:rPr>
        <w:t xml:space="preserve"> this </w:t>
      </w:r>
      <w:r w:rsidR="00480881">
        <w:rPr>
          <w:rFonts w:ascii="Arial" w:hAnsi="Arial" w:cs="Arial"/>
        </w:rPr>
        <w:t>c</w:t>
      </w:r>
      <w:r w:rsidR="0055511F">
        <w:rPr>
          <w:rFonts w:ascii="Arial" w:hAnsi="Arial" w:cs="Arial"/>
        </w:rPr>
        <w:t>ould depend on the length of time the vehicle had been held by the dealer</w:t>
      </w:r>
      <w:r w:rsidRPr="11FF59B9">
        <w:rPr>
          <w:rFonts w:ascii="Arial" w:hAnsi="Arial" w:cs="Arial"/>
        </w:rPr>
        <w:t>.</w:t>
      </w:r>
      <w:r w:rsidR="006B4166">
        <w:rPr>
          <w:rFonts w:ascii="Arial" w:hAnsi="Arial" w:cs="Arial"/>
        </w:rPr>
        <w:t xml:space="preserve"> </w:t>
      </w:r>
      <w:r w:rsidR="0055511F">
        <w:rPr>
          <w:rFonts w:ascii="Arial" w:hAnsi="Arial" w:cs="Arial"/>
        </w:rPr>
        <w:t>T</w:t>
      </w:r>
      <w:r w:rsidR="00A37301">
        <w:rPr>
          <w:rFonts w:ascii="Arial" w:hAnsi="Arial" w:cs="Arial"/>
        </w:rPr>
        <w:t xml:space="preserve">he manufacturer </w:t>
      </w:r>
      <w:r w:rsidR="00480881">
        <w:rPr>
          <w:rFonts w:ascii="Arial" w:hAnsi="Arial" w:cs="Arial"/>
        </w:rPr>
        <w:t>c</w:t>
      </w:r>
      <w:r w:rsidR="00A37301">
        <w:rPr>
          <w:rFonts w:ascii="Arial" w:hAnsi="Arial" w:cs="Arial"/>
        </w:rPr>
        <w:t xml:space="preserve">ould </w:t>
      </w:r>
      <w:r w:rsidR="0055511F">
        <w:rPr>
          <w:rFonts w:ascii="Arial" w:hAnsi="Arial" w:cs="Arial"/>
        </w:rPr>
        <w:t xml:space="preserve">also </w:t>
      </w:r>
      <w:r w:rsidR="00A37301">
        <w:rPr>
          <w:rFonts w:ascii="Arial" w:hAnsi="Arial" w:cs="Arial"/>
        </w:rPr>
        <w:t>incur costs associated with storing and transporting the vehicles.</w:t>
      </w:r>
    </w:p>
    <w:p w14:paraId="46795F12" w14:textId="68B4FBA3" w:rsidR="00C01816" w:rsidRPr="00AD3984" w:rsidRDefault="00C01816" w:rsidP="11FF59B9">
      <w:pPr>
        <w:spacing w:before="240" w:line="360" w:lineRule="auto"/>
        <w:jc w:val="both"/>
        <w:rPr>
          <w:rFonts w:ascii="Arial" w:hAnsi="Arial" w:cs="Arial"/>
        </w:rPr>
      </w:pPr>
      <w:r>
        <w:rPr>
          <w:rFonts w:ascii="Arial" w:hAnsi="Arial" w:cs="Arial"/>
        </w:rPr>
        <w:t xml:space="preserve">In </w:t>
      </w:r>
      <w:r w:rsidR="000A4645">
        <w:rPr>
          <w:rFonts w:ascii="Arial" w:hAnsi="Arial" w:cs="Arial"/>
        </w:rPr>
        <w:t xml:space="preserve">regards to </w:t>
      </w:r>
      <w:r w:rsidR="000D2F27">
        <w:rPr>
          <w:rFonts w:ascii="Arial" w:hAnsi="Arial" w:cs="Arial"/>
        </w:rPr>
        <w:t xml:space="preserve">buying back parts, as recommended in the PJC Report, </w:t>
      </w:r>
      <w:r w:rsidR="00BB65CC">
        <w:rPr>
          <w:rFonts w:ascii="Arial" w:hAnsi="Arial" w:cs="Arial"/>
        </w:rPr>
        <w:t xml:space="preserve">the cost to the manufacturer </w:t>
      </w:r>
      <w:r w:rsidR="00480881">
        <w:rPr>
          <w:rFonts w:ascii="Arial" w:hAnsi="Arial" w:cs="Arial"/>
        </w:rPr>
        <w:t>c</w:t>
      </w:r>
      <w:r w:rsidR="00BB65CC">
        <w:rPr>
          <w:rFonts w:ascii="Arial" w:hAnsi="Arial" w:cs="Arial"/>
        </w:rPr>
        <w:t xml:space="preserve">ould again be partly offset by the </w:t>
      </w:r>
      <w:r w:rsidR="00947DB4">
        <w:rPr>
          <w:rFonts w:ascii="Arial" w:hAnsi="Arial" w:cs="Arial"/>
        </w:rPr>
        <w:t>manufacturers’ ability to re-sell the stock. However, if the manufacturer were to purchase</w:t>
      </w:r>
      <w:r w:rsidR="000D2F27">
        <w:rPr>
          <w:rFonts w:ascii="Arial" w:hAnsi="Arial" w:cs="Arial"/>
        </w:rPr>
        <w:t xml:space="preserve"> </w:t>
      </w:r>
      <w:r w:rsidR="00947DB4">
        <w:rPr>
          <w:rFonts w:ascii="Arial" w:hAnsi="Arial" w:cs="Arial"/>
        </w:rPr>
        <w:t>parts up to three years old</w:t>
      </w:r>
      <w:r w:rsidR="00044C21">
        <w:rPr>
          <w:rFonts w:ascii="Arial" w:hAnsi="Arial" w:cs="Arial"/>
        </w:rPr>
        <w:t xml:space="preserve"> at cost price they may be unable to sell the parts or recoup the price of the parts at </w:t>
      </w:r>
      <w:r w:rsidR="00744C69">
        <w:rPr>
          <w:rFonts w:ascii="Arial" w:hAnsi="Arial" w:cs="Arial"/>
        </w:rPr>
        <w:t>a similar price</w:t>
      </w:r>
      <w:r w:rsidR="00A872AA">
        <w:rPr>
          <w:rFonts w:ascii="Arial" w:hAnsi="Arial" w:cs="Arial"/>
        </w:rPr>
        <w:t xml:space="preserve"> due to the devaluing of parts overtime</w:t>
      </w:r>
      <w:r w:rsidR="00044C21">
        <w:rPr>
          <w:rFonts w:ascii="Arial" w:hAnsi="Arial" w:cs="Arial"/>
        </w:rPr>
        <w:t>.</w:t>
      </w:r>
      <w:r w:rsidR="00E17076">
        <w:rPr>
          <w:rFonts w:ascii="Arial" w:hAnsi="Arial" w:cs="Arial"/>
        </w:rPr>
        <w:t xml:space="preserve"> </w:t>
      </w:r>
      <w:r w:rsidR="00BF6C94">
        <w:rPr>
          <w:rFonts w:ascii="Arial" w:hAnsi="Arial" w:cs="Arial"/>
        </w:rPr>
        <w:t xml:space="preserve">As the retailer, it is the dealer who has the </w:t>
      </w:r>
      <w:r w:rsidR="00BB1593">
        <w:rPr>
          <w:rFonts w:ascii="Arial" w:hAnsi="Arial" w:cs="Arial"/>
        </w:rPr>
        <w:t xml:space="preserve">community </w:t>
      </w:r>
      <w:r w:rsidR="00BF6C94">
        <w:rPr>
          <w:rFonts w:ascii="Arial" w:hAnsi="Arial" w:cs="Arial"/>
        </w:rPr>
        <w:t xml:space="preserve">connections to the public and other business </w:t>
      </w:r>
      <w:r w:rsidR="005649F4">
        <w:rPr>
          <w:rFonts w:ascii="Arial" w:hAnsi="Arial" w:cs="Arial"/>
        </w:rPr>
        <w:t xml:space="preserve">(for example, independent repairers) </w:t>
      </w:r>
      <w:r w:rsidR="00BF6C94">
        <w:rPr>
          <w:rFonts w:ascii="Arial" w:hAnsi="Arial" w:cs="Arial"/>
        </w:rPr>
        <w:t xml:space="preserve">to more readily sell the parts </w:t>
      </w:r>
      <w:r w:rsidR="005649F4">
        <w:rPr>
          <w:rFonts w:ascii="Arial" w:hAnsi="Arial" w:cs="Arial"/>
        </w:rPr>
        <w:t xml:space="preserve">and mitigate loss. </w:t>
      </w:r>
    </w:p>
    <w:p w14:paraId="3F1D0AA4" w14:textId="77777777" w:rsidR="00CF77B6" w:rsidRPr="0040566B" w:rsidRDefault="11FF59B9" w:rsidP="5996C6E7">
      <w:pPr>
        <w:spacing w:before="240" w:line="360" w:lineRule="auto"/>
        <w:jc w:val="both"/>
        <w:rPr>
          <w:rFonts w:ascii="Arial" w:hAnsi="Arial" w:cs="Arial"/>
          <w:i/>
          <w:iCs/>
        </w:rPr>
      </w:pPr>
      <w:r w:rsidRPr="5996C6E7">
        <w:rPr>
          <w:rFonts w:ascii="Arial" w:hAnsi="Arial" w:cs="Arial"/>
          <w:i/>
          <w:iCs/>
        </w:rPr>
        <w:t>Net benefit</w:t>
      </w:r>
    </w:p>
    <w:p w14:paraId="53961EF6" w14:textId="4FC7B29F" w:rsidR="00717718" w:rsidRDefault="00717718" w:rsidP="11FF59B9">
      <w:pPr>
        <w:spacing w:before="240" w:line="360" w:lineRule="auto"/>
        <w:jc w:val="both"/>
        <w:rPr>
          <w:rFonts w:ascii="Arial" w:hAnsi="Arial" w:cs="Arial"/>
        </w:rPr>
      </w:pPr>
      <w:r>
        <w:rPr>
          <w:rFonts w:ascii="Arial" w:hAnsi="Arial" w:cs="Arial"/>
        </w:rPr>
        <w:t>This option would provid</w:t>
      </w:r>
      <w:r w:rsidR="00F145BE">
        <w:rPr>
          <w:rFonts w:ascii="Arial" w:hAnsi="Arial" w:cs="Arial"/>
        </w:rPr>
        <w:t>e</w:t>
      </w:r>
      <w:r>
        <w:rPr>
          <w:rFonts w:ascii="Arial" w:hAnsi="Arial" w:cs="Arial"/>
        </w:rPr>
        <w:t xml:space="preserve"> manufacturers with an incentive to work with dealers to appropriately manage stock.</w:t>
      </w:r>
      <w:r w:rsidR="004B5D39">
        <w:rPr>
          <w:rFonts w:ascii="Arial" w:hAnsi="Arial" w:cs="Arial"/>
        </w:rPr>
        <w:t xml:space="preserve"> However, it would not provide dealers’ with an incentive to appropriately manage stock, as they would know that the manufacturer will simply buy back </w:t>
      </w:r>
      <w:r w:rsidR="004B5D39">
        <w:rPr>
          <w:rFonts w:ascii="Arial" w:hAnsi="Arial" w:cs="Arial"/>
        </w:rPr>
        <w:lastRenderedPageBreak/>
        <w:t>the stock if they order an excessive amount of vehicles</w:t>
      </w:r>
      <w:r w:rsidR="00644265">
        <w:rPr>
          <w:rFonts w:ascii="Arial" w:hAnsi="Arial" w:cs="Arial"/>
        </w:rPr>
        <w:t>, although they would still be responsible for meeting the costs of holding the stock</w:t>
      </w:r>
      <w:r w:rsidR="004B5D39">
        <w:rPr>
          <w:rFonts w:ascii="Arial" w:hAnsi="Arial" w:cs="Arial"/>
        </w:rPr>
        <w:t>.</w:t>
      </w:r>
    </w:p>
    <w:p w14:paraId="3F1D0AA5" w14:textId="3B1C5547" w:rsidR="00A2552B" w:rsidRDefault="00717718" w:rsidP="11FF59B9">
      <w:pPr>
        <w:spacing w:before="240" w:line="360" w:lineRule="auto"/>
        <w:jc w:val="both"/>
        <w:rPr>
          <w:rFonts w:ascii="Arial" w:hAnsi="Arial" w:cs="Arial"/>
        </w:rPr>
      </w:pPr>
      <w:r>
        <w:rPr>
          <w:rFonts w:ascii="Arial" w:hAnsi="Arial" w:cs="Arial"/>
        </w:rPr>
        <w:t xml:space="preserve">During consultation car manufacturers also indicated that </w:t>
      </w:r>
      <w:r w:rsidR="00DA363D">
        <w:rPr>
          <w:rFonts w:ascii="Arial" w:hAnsi="Arial" w:cs="Arial"/>
        </w:rPr>
        <w:t xml:space="preserve">in some cases </w:t>
      </w:r>
      <w:r>
        <w:rPr>
          <w:rFonts w:ascii="Arial" w:hAnsi="Arial" w:cs="Arial"/>
        </w:rPr>
        <w:t xml:space="preserve">they work proactively with dealers to manage stock and they would buy back vehicles even where there are no buy back provisions in the contract. </w:t>
      </w:r>
    </w:p>
    <w:p w14:paraId="61783BAC" w14:textId="776C98BC" w:rsidR="004B5D39" w:rsidRDefault="00DA363D" w:rsidP="004B5D39">
      <w:pPr>
        <w:spacing w:before="240" w:line="360" w:lineRule="auto"/>
        <w:jc w:val="both"/>
        <w:rPr>
          <w:rFonts w:ascii="Arial" w:hAnsi="Arial" w:cs="Arial"/>
        </w:rPr>
      </w:pPr>
      <w:r>
        <w:rPr>
          <w:rFonts w:ascii="Arial" w:hAnsi="Arial" w:cs="Arial"/>
        </w:rPr>
        <w:t>Without specific provisions in agreements for buy-backs</w:t>
      </w:r>
      <w:r w:rsidR="004B5D39">
        <w:rPr>
          <w:rFonts w:ascii="Arial" w:hAnsi="Arial" w:cs="Arial"/>
        </w:rPr>
        <w:t xml:space="preserve">, the risks associated with there being excess new car stock at the end of an agreement primarily rest with the dealer. This option would shift that risk to the manufacturer. Given that </w:t>
      </w:r>
      <w:r w:rsidR="00505114">
        <w:rPr>
          <w:rFonts w:ascii="Arial" w:hAnsi="Arial" w:cs="Arial"/>
        </w:rPr>
        <w:t xml:space="preserve">both parties </w:t>
      </w:r>
      <w:r w:rsidR="00F145BE">
        <w:rPr>
          <w:rFonts w:ascii="Arial" w:hAnsi="Arial" w:cs="Arial"/>
        </w:rPr>
        <w:t xml:space="preserve">should </w:t>
      </w:r>
      <w:r w:rsidR="00505114">
        <w:rPr>
          <w:rFonts w:ascii="Arial" w:hAnsi="Arial" w:cs="Arial"/>
        </w:rPr>
        <w:t>play a role in determining the level of stock that a dealer holds as an agreement draws to an end, Option</w:t>
      </w:r>
      <w:r w:rsidR="00DE40D3">
        <w:rPr>
          <w:rFonts w:ascii="Arial" w:hAnsi="Arial" w:cs="Arial"/>
        </w:rPr>
        <w:t> </w:t>
      </w:r>
      <w:r w:rsidR="00505114">
        <w:rPr>
          <w:rFonts w:ascii="Arial" w:hAnsi="Arial" w:cs="Arial"/>
        </w:rPr>
        <w:t>2A, which would require both parties to work co</w:t>
      </w:r>
      <w:r w:rsidR="000E0350">
        <w:rPr>
          <w:rFonts w:ascii="Arial" w:hAnsi="Arial" w:cs="Arial"/>
        </w:rPr>
        <w:t>-</w:t>
      </w:r>
      <w:r w:rsidR="00505114">
        <w:rPr>
          <w:rFonts w:ascii="Arial" w:hAnsi="Arial" w:cs="Arial"/>
        </w:rPr>
        <w:t>operatively to wind down stock levels when a non-renewal notice is issued, is the preferred option.</w:t>
      </w:r>
    </w:p>
    <w:p w14:paraId="3F1D0AA8" w14:textId="77777777" w:rsidR="007F7F96" w:rsidRPr="0040566B" w:rsidRDefault="007F7F96" w:rsidP="0040566B">
      <w:pPr>
        <w:spacing w:before="240" w:line="360" w:lineRule="auto"/>
        <w:jc w:val="both"/>
        <w:rPr>
          <w:rFonts w:ascii="Arial" w:hAnsi="Arial" w:cs="Arial"/>
          <w:i/>
          <w:iCs/>
        </w:rPr>
      </w:pPr>
      <w:r w:rsidRPr="0040566B">
        <w:rPr>
          <w:rFonts w:ascii="Arial" w:hAnsi="Arial" w:cs="Arial"/>
          <w:i/>
          <w:iCs/>
        </w:rPr>
        <w:t>Regulatory burden</w:t>
      </w:r>
    </w:p>
    <w:tbl>
      <w:tblPr>
        <w:tblStyle w:val="LightGrid-Accent2"/>
        <w:tblW w:w="9464" w:type="dxa"/>
        <w:tblLook w:val="04A0" w:firstRow="1" w:lastRow="0" w:firstColumn="1" w:lastColumn="0" w:noHBand="0" w:noVBand="1"/>
        <w:tblCaption w:val="Regulatory burden estimate table"/>
        <w:tblDescription w:val="Average annual regulatory costs for option 2C. Total average annual regulatory cost to business is $31.6 million."/>
      </w:tblPr>
      <w:tblGrid>
        <w:gridCol w:w="2128"/>
        <w:gridCol w:w="1646"/>
        <w:gridCol w:w="2170"/>
        <w:gridCol w:w="1946"/>
        <w:gridCol w:w="1574"/>
      </w:tblGrid>
      <w:tr w:rsidR="007F7F96" w:rsidRPr="00A37301" w14:paraId="3F1D0AAA" w14:textId="77777777" w:rsidTr="0040566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9464" w:type="dxa"/>
            <w:gridSpan w:val="5"/>
            <w:noWrap/>
          </w:tcPr>
          <w:p w14:paraId="3F1D0AA9" w14:textId="77777777" w:rsidR="007F7F96" w:rsidRPr="00A37301" w:rsidRDefault="007F7F96" w:rsidP="007F7F96">
            <w:pPr>
              <w:rPr>
                <w:rFonts w:ascii="Arial" w:hAnsi="Arial" w:cs="Arial"/>
                <w:sz w:val="20"/>
                <w:szCs w:val="20"/>
              </w:rPr>
            </w:pPr>
            <w:r w:rsidRPr="00A37301">
              <w:rPr>
                <w:rFonts w:ascii="Arial" w:hAnsi="Arial" w:cs="Arial"/>
                <w:sz w:val="20"/>
                <w:szCs w:val="20"/>
              </w:rPr>
              <w:t>Total Option 2</w:t>
            </w:r>
            <w:r w:rsidR="003A4A6D" w:rsidRPr="00A37301">
              <w:rPr>
                <w:rFonts w:ascii="Arial" w:hAnsi="Arial" w:cs="Arial"/>
                <w:sz w:val="20"/>
                <w:szCs w:val="20"/>
              </w:rPr>
              <w:t>C</w:t>
            </w:r>
            <w:r w:rsidRPr="00A37301">
              <w:rPr>
                <w:rFonts w:ascii="Arial" w:hAnsi="Arial" w:cs="Arial"/>
                <w:sz w:val="20"/>
                <w:szCs w:val="20"/>
              </w:rPr>
              <w:t xml:space="preserve"> Costs - Average annual regulatory costs (ten years)</w:t>
            </w:r>
          </w:p>
        </w:tc>
      </w:tr>
      <w:tr w:rsidR="007F7F96" w:rsidRPr="00A37301" w14:paraId="3F1D0AB0" w14:textId="77777777" w:rsidTr="0040566B">
        <w:trPr>
          <w:trHeight w:val="300"/>
        </w:trPr>
        <w:tc>
          <w:tcPr>
            <w:cnfStyle w:val="001000000000" w:firstRow="0" w:lastRow="0" w:firstColumn="1" w:lastColumn="0" w:oddVBand="0" w:evenVBand="0" w:oddHBand="0" w:evenHBand="0" w:firstRowFirstColumn="0" w:firstRowLastColumn="0" w:lastRowFirstColumn="0" w:lastRowLastColumn="0"/>
            <w:tcW w:w="2128" w:type="dxa"/>
            <w:noWrap/>
          </w:tcPr>
          <w:p w14:paraId="3F1D0AAB" w14:textId="77777777" w:rsidR="007F7F96" w:rsidRPr="0040566B" w:rsidRDefault="007F7F96">
            <w:pPr>
              <w:pStyle w:val="TableText"/>
              <w:rPr>
                <w:b w:val="0"/>
              </w:rPr>
            </w:pPr>
            <w:r w:rsidRPr="00A37301">
              <w:t>Change in costs</w:t>
            </w:r>
            <w:r w:rsidRPr="0040566B">
              <w:rPr>
                <w:rFonts w:cs="Calibri"/>
              </w:rPr>
              <w:t xml:space="preserve"> ($ million)</w:t>
            </w:r>
          </w:p>
        </w:tc>
        <w:tc>
          <w:tcPr>
            <w:tcW w:w="1646" w:type="dxa"/>
            <w:noWrap/>
          </w:tcPr>
          <w:p w14:paraId="3F1D0AAC" w14:textId="77777777" w:rsidR="007F7F96" w:rsidRPr="00A37301" w:rsidRDefault="007F7F96" w:rsidP="007F7F96">
            <w:pPr>
              <w:pStyle w:val="TableText"/>
              <w:cnfStyle w:val="000000000000" w:firstRow="0" w:lastRow="0" w:firstColumn="0" w:lastColumn="0" w:oddVBand="0" w:evenVBand="0" w:oddHBand="0" w:evenHBand="0" w:firstRowFirstColumn="0" w:firstRowLastColumn="0" w:lastRowFirstColumn="0" w:lastRowLastColumn="0"/>
            </w:pPr>
            <w:r w:rsidRPr="00A37301">
              <w:t>Business</w:t>
            </w:r>
          </w:p>
        </w:tc>
        <w:tc>
          <w:tcPr>
            <w:tcW w:w="2170" w:type="dxa"/>
            <w:noWrap/>
          </w:tcPr>
          <w:p w14:paraId="3F1D0AAD" w14:textId="77777777" w:rsidR="007F7F96" w:rsidRPr="00A37301" w:rsidRDefault="007F7F96" w:rsidP="007F7F96">
            <w:pPr>
              <w:pStyle w:val="TableText"/>
              <w:cnfStyle w:val="000000000000" w:firstRow="0" w:lastRow="0" w:firstColumn="0" w:lastColumn="0" w:oddVBand="0" w:evenVBand="0" w:oddHBand="0" w:evenHBand="0" w:firstRowFirstColumn="0" w:firstRowLastColumn="0" w:lastRowFirstColumn="0" w:lastRowLastColumn="0"/>
            </w:pPr>
            <w:r w:rsidRPr="0040566B">
              <w:rPr>
                <w:rFonts w:cs="Calibri"/>
              </w:rPr>
              <w:t>Community organisations</w:t>
            </w:r>
          </w:p>
        </w:tc>
        <w:tc>
          <w:tcPr>
            <w:tcW w:w="1946" w:type="dxa"/>
            <w:noWrap/>
          </w:tcPr>
          <w:p w14:paraId="3F1D0AAE" w14:textId="77777777" w:rsidR="007F7F96" w:rsidRPr="00A37301" w:rsidRDefault="007F7F96" w:rsidP="007F7F96">
            <w:pPr>
              <w:pStyle w:val="TableText"/>
              <w:cnfStyle w:val="000000000000" w:firstRow="0" w:lastRow="0" w:firstColumn="0" w:lastColumn="0" w:oddVBand="0" w:evenVBand="0" w:oddHBand="0" w:evenHBand="0" w:firstRowFirstColumn="0" w:firstRowLastColumn="0" w:lastRowFirstColumn="0" w:lastRowLastColumn="0"/>
            </w:pPr>
            <w:r w:rsidRPr="00A37301">
              <w:t>Individuals</w:t>
            </w:r>
          </w:p>
        </w:tc>
        <w:tc>
          <w:tcPr>
            <w:tcW w:w="1574" w:type="dxa"/>
            <w:noWrap/>
          </w:tcPr>
          <w:p w14:paraId="3F1D0AAF" w14:textId="77777777" w:rsidR="007F7F96" w:rsidRPr="00A37301" w:rsidRDefault="007F7F96" w:rsidP="007F7F96">
            <w:pPr>
              <w:pStyle w:val="TableText"/>
              <w:cnfStyle w:val="000000000000" w:firstRow="0" w:lastRow="0" w:firstColumn="0" w:lastColumn="0" w:oddVBand="0" w:evenVBand="0" w:oddHBand="0" w:evenHBand="0" w:firstRowFirstColumn="0" w:firstRowLastColumn="0" w:lastRowFirstColumn="0" w:lastRowLastColumn="0"/>
            </w:pPr>
            <w:r w:rsidRPr="0040566B">
              <w:rPr>
                <w:rFonts w:cs="Calibri"/>
              </w:rPr>
              <w:t>Total change in cost</w:t>
            </w:r>
          </w:p>
        </w:tc>
      </w:tr>
      <w:tr w:rsidR="007F7F96" w:rsidRPr="00A37301" w14:paraId="3F1D0AB6" w14:textId="77777777" w:rsidTr="0040566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8" w:type="dxa"/>
            <w:noWrap/>
          </w:tcPr>
          <w:p w14:paraId="3F1D0AB1" w14:textId="77777777" w:rsidR="007F7F96" w:rsidRPr="0040566B" w:rsidRDefault="007F7F96">
            <w:pPr>
              <w:pStyle w:val="TableText"/>
              <w:rPr>
                <w:b w:val="0"/>
              </w:rPr>
            </w:pPr>
            <w:r w:rsidRPr="00A37301">
              <w:t>Total, by sector</w:t>
            </w:r>
          </w:p>
        </w:tc>
        <w:tc>
          <w:tcPr>
            <w:tcW w:w="1646" w:type="dxa"/>
            <w:noWrap/>
          </w:tcPr>
          <w:p w14:paraId="3F1D0AB2" w14:textId="40B66DAB" w:rsidR="007F7F96" w:rsidRPr="0040566B" w:rsidRDefault="009B0B10">
            <w:pPr>
              <w:pStyle w:val="TableText"/>
              <w:cnfStyle w:val="000000010000" w:firstRow="0" w:lastRow="0" w:firstColumn="0" w:lastColumn="0" w:oddVBand="0" w:evenVBand="0" w:oddHBand="0" w:evenHBand="1" w:firstRowFirstColumn="0" w:firstRowLastColumn="0" w:lastRowFirstColumn="0" w:lastRowLastColumn="0"/>
              <w:rPr>
                <w:rFonts w:cs="Calibri"/>
              </w:rPr>
            </w:pPr>
            <w:r w:rsidRPr="0040566B">
              <w:rPr>
                <w:rFonts w:cs="Calibri"/>
              </w:rPr>
              <w:t>$</w:t>
            </w:r>
            <w:r w:rsidR="00197EA9" w:rsidRPr="0040566B">
              <w:rPr>
                <w:rFonts w:cs="Calibri"/>
              </w:rPr>
              <w:t>31.6</w:t>
            </w:r>
          </w:p>
        </w:tc>
        <w:tc>
          <w:tcPr>
            <w:tcW w:w="2170" w:type="dxa"/>
            <w:noWrap/>
          </w:tcPr>
          <w:p w14:paraId="3F1D0AB3" w14:textId="77777777" w:rsidR="007F7F96" w:rsidRPr="00A37301" w:rsidRDefault="007F7F96" w:rsidP="007F7F96">
            <w:pPr>
              <w:pStyle w:val="TableText"/>
              <w:cnfStyle w:val="000000010000" w:firstRow="0" w:lastRow="0" w:firstColumn="0" w:lastColumn="0" w:oddVBand="0" w:evenVBand="0" w:oddHBand="0" w:evenHBand="1" w:firstRowFirstColumn="0" w:firstRowLastColumn="0" w:lastRowFirstColumn="0" w:lastRowLastColumn="0"/>
              <w:rPr>
                <w:rFonts w:cs="Calibri"/>
                <w:iCs/>
              </w:rPr>
            </w:pPr>
          </w:p>
        </w:tc>
        <w:tc>
          <w:tcPr>
            <w:tcW w:w="1946" w:type="dxa"/>
            <w:noWrap/>
          </w:tcPr>
          <w:p w14:paraId="3F1D0AB4" w14:textId="77777777" w:rsidR="007F7F96" w:rsidRPr="00A37301" w:rsidRDefault="007F7F96" w:rsidP="007F7F96">
            <w:pPr>
              <w:pStyle w:val="TableText"/>
              <w:cnfStyle w:val="000000010000" w:firstRow="0" w:lastRow="0" w:firstColumn="0" w:lastColumn="0" w:oddVBand="0" w:evenVBand="0" w:oddHBand="0" w:evenHBand="1" w:firstRowFirstColumn="0" w:firstRowLastColumn="0" w:lastRowFirstColumn="0" w:lastRowLastColumn="0"/>
              <w:rPr>
                <w:rFonts w:cs="Calibri"/>
                <w:iCs/>
              </w:rPr>
            </w:pPr>
          </w:p>
        </w:tc>
        <w:tc>
          <w:tcPr>
            <w:tcW w:w="1574" w:type="dxa"/>
            <w:noWrap/>
          </w:tcPr>
          <w:p w14:paraId="3F1D0AB5" w14:textId="319A1296" w:rsidR="007F7F96" w:rsidRPr="0040566B" w:rsidRDefault="009B0B10">
            <w:pPr>
              <w:pStyle w:val="TableText"/>
              <w:cnfStyle w:val="000000010000" w:firstRow="0" w:lastRow="0" w:firstColumn="0" w:lastColumn="0" w:oddVBand="0" w:evenVBand="0" w:oddHBand="0" w:evenHBand="1" w:firstRowFirstColumn="0" w:firstRowLastColumn="0" w:lastRowFirstColumn="0" w:lastRowLastColumn="0"/>
              <w:rPr>
                <w:rFonts w:cs="Calibri"/>
              </w:rPr>
            </w:pPr>
            <w:r w:rsidRPr="0040566B">
              <w:rPr>
                <w:rFonts w:cs="Calibri"/>
              </w:rPr>
              <w:t>$</w:t>
            </w:r>
            <w:r w:rsidR="00197EA9" w:rsidRPr="0040566B">
              <w:rPr>
                <w:rFonts w:cs="Calibri"/>
              </w:rPr>
              <w:t>31.6</w:t>
            </w:r>
          </w:p>
        </w:tc>
      </w:tr>
    </w:tbl>
    <w:p w14:paraId="3F1D0AB7" w14:textId="022679BB" w:rsidR="007F7F96" w:rsidRPr="00A37301" w:rsidRDefault="007F7F96" w:rsidP="007F7F96">
      <w:pPr>
        <w:spacing w:before="240" w:line="360" w:lineRule="auto"/>
        <w:jc w:val="both"/>
        <w:rPr>
          <w:rFonts w:ascii="Arial" w:hAnsi="Arial" w:cs="Arial"/>
        </w:rPr>
      </w:pPr>
      <w:r w:rsidRPr="00A37301">
        <w:rPr>
          <w:rFonts w:ascii="Arial" w:hAnsi="Arial" w:cs="Arial"/>
        </w:rPr>
        <w:t>Regulatory burden would be</w:t>
      </w:r>
      <w:r w:rsidR="00686ED4" w:rsidRPr="00A37301">
        <w:rPr>
          <w:rFonts w:ascii="Arial" w:hAnsi="Arial" w:cs="Arial"/>
        </w:rPr>
        <w:t xml:space="preserve"> incurred</w:t>
      </w:r>
      <w:r w:rsidRPr="00A37301">
        <w:rPr>
          <w:rFonts w:ascii="Arial" w:hAnsi="Arial" w:cs="Arial"/>
        </w:rPr>
        <w:t xml:space="preserve"> by car manufacturers who would be required to buy back stock they would not otherwise be required to purchase.</w:t>
      </w:r>
      <w:r w:rsidR="00E2100B" w:rsidRPr="00A37301">
        <w:rPr>
          <w:rFonts w:ascii="Arial" w:hAnsi="Arial" w:cs="Arial"/>
        </w:rPr>
        <w:t xml:space="preserve"> In practice</w:t>
      </w:r>
      <w:r w:rsidR="006B5CBA" w:rsidRPr="00A37301">
        <w:rPr>
          <w:rFonts w:ascii="Arial" w:hAnsi="Arial" w:cs="Arial"/>
        </w:rPr>
        <w:t>,</w:t>
      </w:r>
      <w:r w:rsidR="00E2100B" w:rsidRPr="00A37301">
        <w:rPr>
          <w:rFonts w:ascii="Arial" w:hAnsi="Arial" w:cs="Arial"/>
        </w:rPr>
        <w:t xml:space="preserve"> some of this burden </w:t>
      </w:r>
      <w:r w:rsidR="00D8754C">
        <w:rPr>
          <w:rFonts w:ascii="Arial" w:hAnsi="Arial" w:cs="Arial"/>
        </w:rPr>
        <w:t>c</w:t>
      </w:r>
      <w:r w:rsidR="00D8754C" w:rsidRPr="00A37301">
        <w:rPr>
          <w:rFonts w:ascii="Arial" w:hAnsi="Arial" w:cs="Arial"/>
        </w:rPr>
        <w:t xml:space="preserve">ould </w:t>
      </w:r>
      <w:r w:rsidR="00E2100B" w:rsidRPr="00A37301">
        <w:rPr>
          <w:rFonts w:ascii="Arial" w:hAnsi="Arial" w:cs="Arial"/>
        </w:rPr>
        <w:t xml:space="preserve">be offset to the extent that the manufacturer is able to re-sell the stock </w:t>
      </w:r>
      <w:r w:rsidR="00F75F49" w:rsidRPr="00A37301">
        <w:rPr>
          <w:rFonts w:ascii="Arial" w:hAnsi="Arial" w:cs="Arial"/>
        </w:rPr>
        <w:t xml:space="preserve">it has </w:t>
      </w:r>
      <w:r w:rsidR="00E2100B" w:rsidRPr="00A37301">
        <w:rPr>
          <w:rFonts w:ascii="Arial" w:hAnsi="Arial" w:cs="Arial"/>
        </w:rPr>
        <w:t>bought from the dealer. This offset has not been included when calculating the regulatory burden.</w:t>
      </w:r>
      <w:r w:rsidRPr="00A37301">
        <w:rPr>
          <w:rFonts w:ascii="Arial" w:hAnsi="Arial" w:cs="Arial"/>
        </w:rPr>
        <w:t xml:space="preserve"> </w:t>
      </w:r>
    </w:p>
    <w:p w14:paraId="3F1D0AB8" w14:textId="77777777" w:rsidR="008522F8" w:rsidRPr="00A37301" w:rsidRDefault="008522F8" w:rsidP="008522F8">
      <w:pPr>
        <w:spacing w:before="240" w:line="360" w:lineRule="auto"/>
        <w:jc w:val="both"/>
        <w:rPr>
          <w:rFonts w:ascii="Arial" w:hAnsi="Arial" w:cs="Arial"/>
        </w:rPr>
      </w:pPr>
      <w:r w:rsidRPr="00A37301">
        <w:rPr>
          <w:rFonts w:ascii="Arial" w:hAnsi="Arial" w:cs="Arial"/>
        </w:rPr>
        <w:t>The regulatory burden calculation assumes that:</w:t>
      </w:r>
    </w:p>
    <w:p w14:paraId="3F1D0AB9" w14:textId="22BDFCD1" w:rsidR="008522F8" w:rsidRDefault="008522F8" w:rsidP="006647E7">
      <w:pPr>
        <w:pStyle w:val="ListParagraph"/>
        <w:numPr>
          <w:ilvl w:val="0"/>
          <w:numId w:val="11"/>
        </w:numPr>
        <w:spacing w:before="240" w:line="360" w:lineRule="auto"/>
        <w:jc w:val="both"/>
        <w:rPr>
          <w:rFonts w:ascii="Arial" w:hAnsi="Arial" w:cs="Arial"/>
        </w:rPr>
      </w:pPr>
      <w:r w:rsidRPr="00A37301">
        <w:rPr>
          <w:rFonts w:ascii="Arial" w:hAnsi="Arial" w:cs="Arial"/>
        </w:rPr>
        <w:t xml:space="preserve">the average dealership </w:t>
      </w:r>
      <w:r w:rsidR="00D63092" w:rsidRPr="00A37301">
        <w:rPr>
          <w:rFonts w:ascii="Arial" w:hAnsi="Arial" w:cs="Arial"/>
        </w:rPr>
        <w:t>h</w:t>
      </w:r>
      <w:r w:rsidRPr="00A37301">
        <w:rPr>
          <w:rFonts w:ascii="Arial" w:hAnsi="Arial" w:cs="Arial"/>
        </w:rPr>
        <w:t>as around $2</w:t>
      </w:r>
      <w:r w:rsidR="003310B6" w:rsidRPr="00A37301">
        <w:rPr>
          <w:rFonts w:ascii="Arial" w:hAnsi="Arial" w:cs="Arial"/>
        </w:rPr>
        <w:t>.1</w:t>
      </w:r>
      <w:r w:rsidRPr="00A37301">
        <w:rPr>
          <w:rFonts w:ascii="Arial" w:hAnsi="Arial" w:cs="Arial"/>
        </w:rPr>
        <w:t xml:space="preserve"> million in stock </w:t>
      </w:r>
      <w:r w:rsidR="00D63092" w:rsidRPr="00A37301">
        <w:rPr>
          <w:rFonts w:ascii="Arial" w:hAnsi="Arial" w:cs="Arial"/>
        </w:rPr>
        <w:t xml:space="preserve">and equipment </w:t>
      </w:r>
      <w:r w:rsidRPr="00A37301">
        <w:rPr>
          <w:rFonts w:ascii="Arial" w:hAnsi="Arial" w:cs="Arial"/>
        </w:rPr>
        <w:t>remaining at the end of an agreement</w:t>
      </w:r>
      <w:r w:rsidR="00850C25">
        <w:rPr>
          <w:rFonts w:ascii="Arial" w:hAnsi="Arial" w:cs="Arial"/>
        </w:rPr>
        <w:t>;</w:t>
      </w:r>
      <w:r w:rsidR="00FF48CE" w:rsidRPr="00A37301">
        <w:rPr>
          <w:rStyle w:val="FootnoteReference"/>
          <w:rFonts w:ascii="Arial" w:hAnsi="Arial" w:cs="Arial"/>
        </w:rPr>
        <w:footnoteReference w:id="73"/>
      </w:r>
      <w:r w:rsidR="00850C25">
        <w:rPr>
          <w:rFonts w:ascii="Arial" w:hAnsi="Arial" w:cs="Arial"/>
        </w:rPr>
        <w:t xml:space="preserve"> and</w:t>
      </w:r>
    </w:p>
    <w:p w14:paraId="57017696" w14:textId="283D1E8C" w:rsidR="00850C25" w:rsidRPr="00A37301" w:rsidRDefault="00850C25" w:rsidP="006647E7">
      <w:pPr>
        <w:pStyle w:val="ListParagraph"/>
        <w:numPr>
          <w:ilvl w:val="0"/>
          <w:numId w:val="11"/>
        </w:numPr>
        <w:spacing w:before="240" w:line="360" w:lineRule="auto"/>
        <w:jc w:val="both"/>
        <w:rPr>
          <w:rFonts w:ascii="Arial" w:hAnsi="Arial" w:cs="Arial"/>
        </w:rPr>
      </w:pPr>
      <w:r>
        <w:rPr>
          <w:rFonts w:ascii="Arial" w:hAnsi="Arial" w:cs="Arial"/>
        </w:rPr>
        <w:t>that 15 agreements are not renewed each year.</w:t>
      </w:r>
    </w:p>
    <w:p w14:paraId="1A9B8598" w14:textId="23E1CB38" w:rsidR="00DE61D7" w:rsidRPr="000D27FF" w:rsidRDefault="000D27FF" w:rsidP="000D27FF">
      <w:pPr>
        <w:spacing w:before="240" w:line="360" w:lineRule="auto"/>
        <w:jc w:val="both"/>
        <w:rPr>
          <w:rFonts w:ascii="Arial" w:hAnsi="Arial" w:cs="Arial"/>
        </w:rPr>
      </w:pPr>
      <w:r w:rsidRPr="000D27FF">
        <w:rPr>
          <w:rFonts w:ascii="Arial" w:hAnsi="Arial" w:cs="Arial"/>
        </w:rPr>
        <w:t xml:space="preserve">In determining whether this is a </w:t>
      </w:r>
      <w:r>
        <w:rPr>
          <w:rFonts w:ascii="Arial" w:hAnsi="Arial" w:cs="Arial"/>
        </w:rPr>
        <w:t xml:space="preserve">quantitatively beneficial option, it is worth noting that </w:t>
      </w:r>
      <w:r w:rsidR="003147EB">
        <w:rPr>
          <w:rFonts w:ascii="Arial" w:hAnsi="Arial" w:cs="Arial"/>
        </w:rPr>
        <w:t>e</w:t>
      </w:r>
      <w:r>
        <w:rPr>
          <w:rFonts w:ascii="Arial" w:hAnsi="Arial" w:cs="Arial"/>
        </w:rPr>
        <w:t xml:space="preserve">ffectively, the benefit to the dealer balances out the cost to the manufacturer. Thus, the argument to support or reject this option does not arise from a cost-benefit argument. Rather, it comes down to the arguments presented earlier, which suggests that placing an obligation on either party to be responsible for the stock at the end of the agreement should not be </w:t>
      </w:r>
      <w:r>
        <w:rPr>
          <w:rFonts w:ascii="Arial" w:hAnsi="Arial" w:cs="Arial"/>
        </w:rPr>
        <w:lastRenderedPageBreak/>
        <w:t>predetermined between parties. And as discussed elsewhere, preferentially the management of stock at the end of an agreement should be done in a co</w:t>
      </w:r>
      <w:r w:rsidR="00C82110">
        <w:rPr>
          <w:rFonts w:ascii="Arial" w:hAnsi="Arial" w:cs="Arial"/>
        </w:rPr>
        <w:t>-</w:t>
      </w:r>
      <w:r>
        <w:rPr>
          <w:rFonts w:ascii="Arial" w:hAnsi="Arial" w:cs="Arial"/>
        </w:rPr>
        <w:t>operative manner.</w:t>
      </w:r>
    </w:p>
    <w:p w14:paraId="3F1D0AC2" w14:textId="77777777" w:rsidR="00DF07F7" w:rsidRPr="0040566B" w:rsidRDefault="11FF59B9" w:rsidP="00B54F3D">
      <w:pPr>
        <w:keepNext/>
        <w:rPr>
          <w:rFonts w:ascii="Arial" w:hAnsi="Arial" w:cs="Arial"/>
          <w:b/>
          <w:bCs/>
        </w:rPr>
      </w:pPr>
      <w:r w:rsidRPr="11FF59B9">
        <w:rPr>
          <w:rFonts w:ascii="Arial" w:hAnsi="Arial" w:cs="Arial"/>
          <w:b/>
          <w:bCs/>
        </w:rPr>
        <w:t xml:space="preserve">Option </w:t>
      </w:r>
      <w:r w:rsidR="00BA11D3">
        <w:rPr>
          <w:rFonts w:ascii="Arial" w:hAnsi="Arial" w:cs="Arial"/>
          <w:b/>
          <w:bCs/>
        </w:rPr>
        <w:t>2D</w:t>
      </w:r>
      <w:r w:rsidRPr="11FF59B9">
        <w:rPr>
          <w:rFonts w:ascii="Arial" w:hAnsi="Arial" w:cs="Arial"/>
          <w:b/>
          <w:bCs/>
        </w:rPr>
        <w:t xml:space="preserve"> – Enhanced capital expenditure disclosure</w:t>
      </w:r>
    </w:p>
    <w:p w14:paraId="3F1D0AC3" w14:textId="073867E1" w:rsidR="00BA11D3" w:rsidRDefault="00BA11D3" w:rsidP="00B54F3D">
      <w:pPr>
        <w:keepNext/>
        <w:spacing w:before="240" w:line="360" w:lineRule="auto"/>
        <w:jc w:val="both"/>
        <w:rPr>
          <w:rFonts w:ascii="Arial" w:hAnsi="Arial" w:cs="Arial"/>
        </w:rPr>
      </w:pPr>
      <w:r w:rsidRPr="11FF59B9">
        <w:rPr>
          <w:rFonts w:ascii="Arial" w:hAnsi="Arial" w:cs="Arial"/>
        </w:rPr>
        <w:t>Under the Franchising Code, a franchisor is only able to require a franchisee to undertake significant capital expenditure in limited circumstances. One of those circumstances is where the expenditure was disclosed prior to entering into the franchise agreement</w:t>
      </w:r>
      <w:r w:rsidR="00657D3E">
        <w:rPr>
          <w:rFonts w:ascii="Arial" w:hAnsi="Arial" w:cs="Arial"/>
        </w:rPr>
        <w:t xml:space="preserve"> (see Appendix 2 for a complete list of circumstances)</w:t>
      </w:r>
      <w:r w:rsidRPr="11FF59B9">
        <w:rPr>
          <w:rFonts w:ascii="Arial" w:hAnsi="Arial" w:cs="Arial"/>
        </w:rPr>
        <w:t xml:space="preserve">. </w:t>
      </w:r>
      <w:r w:rsidR="006E73BB">
        <w:rPr>
          <w:rFonts w:ascii="Arial" w:hAnsi="Arial" w:cs="Arial"/>
        </w:rPr>
        <w:t>DISER</w:t>
      </w:r>
      <w:r w:rsidR="00EE298F">
        <w:rPr>
          <w:rFonts w:ascii="Arial" w:hAnsi="Arial" w:cs="Arial"/>
        </w:rPr>
        <w:t xml:space="preserve"> </w:t>
      </w:r>
      <w:r w:rsidR="00F75F49">
        <w:rPr>
          <w:rFonts w:ascii="Arial" w:hAnsi="Arial" w:cs="Arial"/>
        </w:rPr>
        <w:t>has</w:t>
      </w:r>
      <w:r w:rsidR="00EE298F">
        <w:rPr>
          <w:rFonts w:ascii="Arial" w:hAnsi="Arial" w:cs="Arial"/>
        </w:rPr>
        <w:t xml:space="preserve"> heard that s</w:t>
      </w:r>
      <w:r w:rsidRPr="11FF59B9">
        <w:rPr>
          <w:rFonts w:ascii="Arial" w:hAnsi="Arial" w:cs="Arial"/>
        </w:rPr>
        <w:t xml:space="preserve">ome manufacturers </w:t>
      </w:r>
      <w:r w:rsidR="00EE298F">
        <w:rPr>
          <w:rFonts w:ascii="Arial" w:hAnsi="Arial" w:cs="Arial"/>
        </w:rPr>
        <w:t xml:space="preserve">can </w:t>
      </w:r>
      <w:r w:rsidRPr="11FF59B9">
        <w:rPr>
          <w:rFonts w:ascii="Arial" w:hAnsi="Arial" w:cs="Arial"/>
        </w:rPr>
        <w:t>disclose extreme ranges of capital expenditure that may be required (</w:t>
      </w:r>
      <w:r w:rsidR="006A7295">
        <w:rPr>
          <w:rFonts w:ascii="Arial" w:hAnsi="Arial" w:cs="Arial"/>
        </w:rPr>
        <w:t>for example,</w:t>
      </w:r>
      <w:r w:rsidRPr="11FF59B9">
        <w:rPr>
          <w:rFonts w:ascii="Arial" w:hAnsi="Arial" w:cs="Arial"/>
        </w:rPr>
        <w:t xml:space="preserve"> </w:t>
      </w:r>
      <w:r>
        <w:rPr>
          <w:rFonts w:ascii="Arial" w:hAnsi="Arial" w:cs="Arial"/>
        </w:rPr>
        <w:t>$50 thousand to $50 million in establishment costs)</w:t>
      </w:r>
      <w:r w:rsidRPr="11FF59B9">
        <w:rPr>
          <w:rFonts w:ascii="Arial" w:hAnsi="Arial" w:cs="Arial"/>
        </w:rPr>
        <w:t>, making the disclosure effectively meaningless.</w:t>
      </w:r>
    </w:p>
    <w:p w14:paraId="0DD37109" w14:textId="09ABB0B0" w:rsidR="00164B78" w:rsidRPr="002F23A3" w:rsidRDefault="00B26E91" w:rsidP="00B54F3D">
      <w:pPr>
        <w:keepNext/>
        <w:spacing w:before="240" w:line="360" w:lineRule="auto"/>
        <w:jc w:val="both"/>
        <w:rPr>
          <w:rFonts w:ascii="Arial" w:hAnsi="Arial" w:cs="Arial"/>
        </w:rPr>
      </w:pPr>
      <w:r w:rsidRPr="00945B7D">
        <w:rPr>
          <w:rFonts w:ascii="Arial" w:hAnsi="Arial" w:cs="Arial"/>
        </w:rPr>
        <w:t xml:space="preserve">The PJC Report recommended dealers not be compelled to upgrade </w:t>
      </w:r>
      <w:r w:rsidR="000E1335" w:rsidRPr="00945B7D">
        <w:rPr>
          <w:rFonts w:ascii="Arial" w:hAnsi="Arial" w:cs="Arial"/>
        </w:rPr>
        <w:t xml:space="preserve">the dealership after notice of non-renewal </w:t>
      </w:r>
      <w:r w:rsidR="00FF2DD8" w:rsidRPr="00945B7D">
        <w:rPr>
          <w:rFonts w:ascii="Arial" w:hAnsi="Arial" w:cs="Arial"/>
        </w:rPr>
        <w:t xml:space="preserve">or </w:t>
      </w:r>
      <w:r w:rsidR="000E1335" w:rsidRPr="00945B7D">
        <w:rPr>
          <w:rFonts w:ascii="Arial" w:hAnsi="Arial" w:cs="Arial"/>
        </w:rPr>
        <w:t>termination has been given to the dealer.</w:t>
      </w:r>
      <w:r w:rsidR="00140781" w:rsidRPr="00945B7D">
        <w:rPr>
          <w:rStyle w:val="FootnoteReference"/>
          <w:rFonts w:ascii="Arial" w:hAnsi="Arial" w:cs="Arial"/>
        </w:rPr>
        <w:footnoteReference w:id="74"/>
      </w:r>
      <w:r w:rsidR="000E1335" w:rsidRPr="00945B7D">
        <w:rPr>
          <w:rFonts w:ascii="Arial" w:hAnsi="Arial" w:cs="Arial"/>
        </w:rPr>
        <w:t xml:space="preserve"> </w:t>
      </w:r>
      <w:r w:rsidR="002A1F5C" w:rsidRPr="00945B7D">
        <w:rPr>
          <w:rFonts w:ascii="Arial" w:hAnsi="Arial" w:cs="Arial"/>
        </w:rPr>
        <w:t xml:space="preserve">During consultation, </w:t>
      </w:r>
      <w:r w:rsidR="006E73BB">
        <w:rPr>
          <w:rFonts w:ascii="Arial" w:hAnsi="Arial" w:cs="Arial"/>
        </w:rPr>
        <w:t>DISER</w:t>
      </w:r>
      <w:r w:rsidR="002A1F5C" w:rsidRPr="00945B7D">
        <w:rPr>
          <w:rFonts w:ascii="Arial" w:hAnsi="Arial" w:cs="Arial"/>
        </w:rPr>
        <w:t xml:space="preserve"> heard that rather than being compelled to </w:t>
      </w:r>
      <w:r w:rsidR="00597680" w:rsidRPr="00945B7D">
        <w:rPr>
          <w:rFonts w:ascii="Arial" w:hAnsi="Arial" w:cs="Arial"/>
        </w:rPr>
        <w:t xml:space="preserve">upgrade the dealership after a notice of non-renewal was </w:t>
      </w:r>
      <w:r w:rsidR="00301A57" w:rsidRPr="00945B7D">
        <w:rPr>
          <w:rFonts w:ascii="Arial" w:hAnsi="Arial" w:cs="Arial"/>
        </w:rPr>
        <w:t xml:space="preserve">provided, a dealer was being compelled to </w:t>
      </w:r>
      <w:r w:rsidR="00FA07E0" w:rsidRPr="00945B7D">
        <w:rPr>
          <w:rFonts w:ascii="Arial" w:hAnsi="Arial" w:cs="Arial"/>
        </w:rPr>
        <w:t xml:space="preserve">upgrade a dealership prior to a notice being provided. </w:t>
      </w:r>
      <w:r w:rsidR="00FF1286" w:rsidRPr="00945B7D">
        <w:rPr>
          <w:rFonts w:ascii="Arial" w:hAnsi="Arial" w:cs="Arial"/>
        </w:rPr>
        <w:t xml:space="preserve">This change in timing </w:t>
      </w:r>
      <w:r w:rsidR="00C2695D" w:rsidRPr="00945B7D">
        <w:rPr>
          <w:rFonts w:ascii="Arial" w:hAnsi="Arial" w:cs="Arial"/>
        </w:rPr>
        <w:t>means</w:t>
      </w:r>
      <w:r w:rsidR="004840F3" w:rsidRPr="00945B7D">
        <w:rPr>
          <w:rFonts w:ascii="Arial" w:hAnsi="Arial" w:cs="Arial"/>
        </w:rPr>
        <w:t xml:space="preserve"> </w:t>
      </w:r>
      <w:r w:rsidR="00945B7D" w:rsidRPr="00945B7D">
        <w:rPr>
          <w:rFonts w:ascii="Arial" w:hAnsi="Arial" w:cs="Arial"/>
        </w:rPr>
        <w:t xml:space="preserve">that </w:t>
      </w:r>
      <w:r w:rsidR="004840F3" w:rsidRPr="00945B7D">
        <w:rPr>
          <w:rFonts w:ascii="Arial" w:hAnsi="Arial" w:cs="Arial"/>
        </w:rPr>
        <w:t xml:space="preserve">in the first scenario, a dealer </w:t>
      </w:r>
      <w:r w:rsidR="00D8754C">
        <w:rPr>
          <w:rFonts w:ascii="Arial" w:hAnsi="Arial" w:cs="Arial"/>
        </w:rPr>
        <w:t>c</w:t>
      </w:r>
      <w:r w:rsidR="004840F3" w:rsidRPr="00945B7D">
        <w:rPr>
          <w:rFonts w:ascii="Arial" w:hAnsi="Arial" w:cs="Arial"/>
        </w:rPr>
        <w:t xml:space="preserve">ould be able to assess </w:t>
      </w:r>
      <w:r w:rsidR="00494775" w:rsidRPr="00945B7D">
        <w:rPr>
          <w:rFonts w:ascii="Arial" w:hAnsi="Arial" w:cs="Arial"/>
        </w:rPr>
        <w:t xml:space="preserve">whether or not to undertake the capital expenditure in light of the non-renewal. </w:t>
      </w:r>
      <w:r w:rsidR="002D2954" w:rsidRPr="00945B7D">
        <w:rPr>
          <w:rFonts w:ascii="Arial" w:hAnsi="Arial" w:cs="Arial"/>
        </w:rPr>
        <w:t xml:space="preserve">Whereas in the latter scenario the dealer is </w:t>
      </w:r>
      <w:r w:rsidR="00B40FB9" w:rsidRPr="00945B7D">
        <w:rPr>
          <w:rFonts w:ascii="Arial" w:hAnsi="Arial" w:cs="Arial"/>
        </w:rPr>
        <w:t>unaware of the non-renewal and therefore more likely to feel compelled to undertake the capital expenditure for fear of non-renewal.</w:t>
      </w:r>
    </w:p>
    <w:p w14:paraId="3F1D0AC4" w14:textId="17019B17" w:rsidR="00050DF1" w:rsidRDefault="00DF6D69" w:rsidP="11FF59B9">
      <w:pPr>
        <w:spacing w:before="240" w:line="360" w:lineRule="auto"/>
        <w:jc w:val="both"/>
        <w:rPr>
          <w:rFonts w:ascii="Arial" w:hAnsi="Arial" w:cs="Arial"/>
        </w:rPr>
      </w:pPr>
      <w:r>
        <w:rPr>
          <w:rFonts w:ascii="Arial" w:hAnsi="Arial" w:cs="Arial"/>
        </w:rPr>
        <w:t>To address this concern</w:t>
      </w:r>
      <w:r w:rsidR="005A544B">
        <w:rPr>
          <w:rFonts w:ascii="Arial" w:hAnsi="Arial" w:cs="Arial"/>
        </w:rPr>
        <w:t xml:space="preserve"> this option proposes </w:t>
      </w:r>
      <w:r w:rsidR="11FF59B9" w:rsidRPr="11FF59B9">
        <w:rPr>
          <w:rFonts w:ascii="Arial" w:hAnsi="Arial" w:cs="Arial"/>
        </w:rPr>
        <w:t xml:space="preserve">automotive franchisors would only be able to require significant capital expenditure to be undertaken when that expenditure is disclosed with a high degree of specificity regarding the timing </w:t>
      </w:r>
      <w:r w:rsidR="00A37301">
        <w:rPr>
          <w:rFonts w:ascii="Arial" w:hAnsi="Arial" w:cs="Arial"/>
        </w:rPr>
        <w:t>and nature of the expenditure</w:t>
      </w:r>
      <w:r w:rsidR="005A544B">
        <w:rPr>
          <w:rFonts w:ascii="Arial" w:hAnsi="Arial" w:cs="Arial"/>
        </w:rPr>
        <w:t xml:space="preserve"> and consideration of ability to recoup</w:t>
      </w:r>
      <w:r w:rsidR="11FF59B9" w:rsidRPr="11FF59B9">
        <w:rPr>
          <w:rFonts w:ascii="Arial" w:hAnsi="Arial" w:cs="Arial"/>
        </w:rPr>
        <w:t>.</w:t>
      </w:r>
      <w:r w:rsidR="00A37301">
        <w:rPr>
          <w:rFonts w:ascii="Arial" w:hAnsi="Arial" w:cs="Arial"/>
        </w:rPr>
        <w:t xml:space="preserve"> This would require the manufacturer to disclose any relevant information they have, such as indicative per square met</w:t>
      </w:r>
      <w:r w:rsidR="003D5652">
        <w:rPr>
          <w:rFonts w:ascii="Arial" w:hAnsi="Arial" w:cs="Arial"/>
        </w:rPr>
        <w:t>re</w:t>
      </w:r>
      <w:r w:rsidR="00A37301">
        <w:rPr>
          <w:rFonts w:ascii="Arial" w:hAnsi="Arial" w:cs="Arial"/>
        </w:rPr>
        <w:t xml:space="preserve"> costs for building materials, an overview of the type of upgrades that will be required</w:t>
      </w:r>
      <w:r w:rsidR="002D791E">
        <w:rPr>
          <w:rFonts w:ascii="Arial" w:hAnsi="Arial" w:cs="Arial"/>
        </w:rPr>
        <w:t>,</w:t>
      </w:r>
      <w:r w:rsidR="00A37301">
        <w:rPr>
          <w:rFonts w:ascii="Arial" w:hAnsi="Arial" w:cs="Arial"/>
        </w:rPr>
        <w:t xml:space="preserve"> or plans to significantly change the corporate identity of the brand during the term of the agreement. </w:t>
      </w:r>
      <w:r w:rsidR="003C4483">
        <w:rPr>
          <w:rFonts w:ascii="Arial" w:hAnsi="Arial" w:cs="Arial"/>
        </w:rPr>
        <w:t>The disclosure would also need to be tailored either to the dealer or to similar groups of dealers (such as metro or rural dealers).</w:t>
      </w:r>
    </w:p>
    <w:p w14:paraId="406E6F28" w14:textId="14A1D4BC" w:rsidR="006D65BA" w:rsidRDefault="006D65BA" w:rsidP="11FF59B9">
      <w:pPr>
        <w:spacing w:before="240" w:line="360" w:lineRule="auto"/>
        <w:jc w:val="both"/>
        <w:rPr>
          <w:rFonts w:ascii="Arial" w:hAnsi="Arial" w:cs="Arial"/>
        </w:rPr>
      </w:pPr>
      <w:r>
        <w:rPr>
          <w:rFonts w:ascii="Arial" w:hAnsi="Arial" w:cs="Arial"/>
        </w:rPr>
        <w:t>During consultation manufacturers indicated that while they often know the types of upgrades they will require the dealer to undertake, the precise costs are not known as it is the dealer who engages the builder and who has the best information about the size and layout of their dealership. This option would not require a manufacturer to precisely disclose information that they do not have, but would require them to disclose relevant information, such as the nature of the potential upgrades.</w:t>
      </w:r>
    </w:p>
    <w:p w14:paraId="1383860E" w14:textId="602E5A59" w:rsidR="00E40EC6" w:rsidRDefault="00A37301" w:rsidP="11FF59B9">
      <w:pPr>
        <w:spacing w:before="240" w:line="360" w:lineRule="auto"/>
        <w:jc w:val="both"/>
        <w:rPr>
          <w:rFonts w:ascii="Arial" w:hAnsi="Arial" w:cs="Arial"/>
        </w:rPr>
      </w:pPr>
      <w:r>
        <w:rPr>
          <w:rFonts w:ascii="Arial" w:hAnsi="Arial" w:cs="Arial"/>
        </w:rPr>
        <w:lastRenderedPageBreak/>
        <w:t>The manufacturer and the dealer would be required to meet and discuss the disclosure, including under what circumstances the dealer is likely to recoup the costs of their investment</w:t>
      </w:r>
      <w:r w:rsidR="001E1126">
        <w:rPr>
          <w:rFonts w:ascii="Arial" w:hAnsi="Arial" w:cs="Arial"/>
        </w:rPr>
        <w:t xml:space="preserve"> and their prime market areas</w:t>
      </w:r>
      <w:r>
        <w:rPr>
          <w:rFonts w:ascii="Arial" w:hAnsi="Arial" w:cs="Arial"/>
        </w:rPr>
        <w:t>. This is not intended to provide the dealer a guarantee that they will recoup their costs, as there is always an element of risk</w:t>
      </w:r>
      <w:r w:rsidR="0007420F">
        <w:rPr>
          <w:rFonts w:ascii="Arial" w:hAnsi="Arial" w:cs="Arial"/>
        </w:rPr>
        <w:t xml:space="preserve"> inherent in any commercial decision</w:t>
      </w:r>
      <w:r w:rsidR="00E40EC6">
        <w:rPr>
          <w:rFonts w:ascii="Arial" w:hAnsi="Arial" w:cs="Arial"/>
        </w:rPr>
        <w:t>.</w:t>
      </w:r>
      <w:r w:rsidR="00DA363D">
        <w:rPr>
          <w:rFonts w:ascii="Arial" w:hAnsi="Arial" w:cs="Arial"/>
        </w:rPr>
        <w:t xml:space="preserve"> This option will provide dealers with more precise disclosure so they can make a clearer assessment of whether they are able to recoup the size of their capital outlay during the term offered.</w:t>
      </w:r>
    </w:p>
    <w:p w14:paraId="029415FA" w14:textId="399C6609" w:rsidR="00A37301" w:rsidRDefault="00E40EC6" w:rsidP="11FF59B9">
      <w:pPr>
        <w:spacing w:before="240" w:line="360" w:lineRule="auto"/>
        <w:jc w:val="both"/>
        <w:rPr>
          <w:rFonts w:ascii="Arial" w:hAnsi="Arial" w:cs="Arial"/>
        </w:rPr>
      </w:pPr>
      <w:r>
        <w:rPr>
          <w:rFonts w:ascii="Arial" w:hAnsi="Arial" w:cs="Arial"/>
        </w:rPr>
        <w:t xml:space="preserve">Manufacturers would also be unable to force a dealer to undertake any significant capital investment apart from that which is disclosed prior to </w:t>
      </w:r>
      <w:r w:rsidR="0007420F">
        <w:rPr>
          <w:rFonts w:ascii="Arial" w:hAnsi="Arial" w:cs="Arial"/>
        </w:rPr>
        <w:t xml:space="preserve">entry into </w:t>
      </w:r>
      <w:r>
        <w:rPr>
          <w:rFonts w:ascii="Arial" w:hAnsi="Arial" w:cs="Arial"/>
        </w:rPr>
        <w:t xml:space="preserve">the agreement. </w:t>
      </w:r>
      <w:r w:rsidR="00DA363D">
        <w:rPr>
          <w:rFonts w:ascii="Arial" w:hAnsi="Arial" w:cs="Arial"/>
        </w:rPr>
        <w:t xml:space="preserve">It will act as a limitation on further expenditure that can be required of dealers following a significant capital outlay. </w:t>
      </w:r>
      <w:r>
        <w:rPr>
          <w:rFonts w:ascii="Arial" w:hAnsi="Arial" w:cs="Arial"/>
        </w:rPr>
        <w:t xml:space="preserve">Dealers could still undertake significant capital investment where both parties mutually agree that it would be beneficial to do </w:t>
      </w:r>
      <w:r w:rsidRPr="00614040">
        <w:rPr>
          <w:rFonts w:ascii="Arial" w:hAnsi="Arial" w:cs="Arial"/>
        </w:rPr>
        <w:t>so</w:t>
      </w:r>
      <w:r w:rsidR="0007420F" w:rsidRPr="00614040">
        <w:rPr>
          <w:rFonts w:ascii="Arial" w:hAnsi="Arial" w:cs="Arial"/>
        </w:rPr>
        <w:t xml:space="preserve"> part way through the agreement</w:t>
      </w:r>
      <w:r w:rsidR="002E37A8">
        <w:rPr>
          <w:rFonts w:ascii="Arial" w:hAnsi="Arial" w:cs="Arial"/>
        </w:rPr>
        <w:t>, where expenditure is to be incurred by all or a majority of franchisees – expenditure approved by a majority of those franchisees,</w:t>
      </w:r>
      <w:r w:rsidR="008028B4">
        <w:rPr>
          <w:rFonts w:ascii="Arial" w:hAnsi="Arial" w:cs="Arial"/>
        </w:rPr>
        <w:t xml:space="preserve"> or where expenditure is incurred by the franchisee to comply with legislative obligations</w:t>
      </w:r>
      <w:r w:rsidR="00795431">
        <w:rPr>
          <w:rFonts w:ascii="Arial" w:hAnsi="Arial" w:cs="Arial"/>
        </w:rPr>
        <w:t>.</w:t>
      </w:r>
    </w:p>
    <w:p w14:paraId="3F1D0AC5" w14:textId="77777777" w:rsidR="006766C7" w:rsidRDefault="001F2008" w:rsidP="001F2008">
      <w:pPr>
        <w:spacing w:before="240" w:line="360" w:lineRule="auto"/>
        <w:jc w:val="both"/>
        <w:rPr>
          <w:rFonts w:ascii="Arial" w:hAnsi="Arial" w:cs="Arial"/>
        </w:rPr>
      </w:pPr>
      <w:r w:rsidRPr="001F2008">
        <w:rPr>
          <w:rFonts w:ascii="Arial" w:hAnsi="Arial" w:cs="Arial"/>
        </w:rPr>
        <w:t>As discussed above, there exists an information asymmetry between car manufacturers and new car dealers with car manufacturers typically holding greater information about the long term strategy for the brand and the overall health of the entire dealer network. This information asymmetry has resulted in a market failure leading to sub-o</w:t>
      </w:r>
      <w:r w:rsidR="0032740B">
        <w:rPr>
          <w:rFonts w:ascii="Arial" w:hAnsi="Arial" w:cs="Arial"/>
        </w:rPr>
        <w:t>ptimal outcome</w:t>
      </w:r>
      <w:r w:rsidR="0032740B" w:rsidRPr="0032740B">
        <w:rPr>
          <w:rFonts w:ascii="Arial" w:hAnsi="Arial" w:cs="Arial"/>
        </w:rPr>
        <w:t>s for car dealers,</w:t>
      </w:r>
      <w:r w:rsidRPr="0032740B">
        <w:rPr>
          <w:rFonts w:ascii="Arial" w:hAnsi="Arial" w:cs="Arial"/>
        </w:rPr>
        <w:t xml:space="preserve"> particularly when they undertake significant capital expenditure, such as purpose built facilities to showcase cars in line with the manufacturers’ preference</w:t>
      </w:r>
      <w:r w:rsidRPr="00D52DC9">
        <w:rPr>
          <w:rFonts w:ascii="Arial" w:hAnsi="Arial" w:cs="Arial"/>
        </w:rPr>
        <w:t>. Disclosure of capital expenditure is not specific enough and there is insufficient regard for capital outlays undertaken by dealers which cannot be recouped during the term of the existing dealership agreement.</w:t>
      </w:r>
    </w:p>
    <w:p w14:paraId="343EC614" w14:textId="5E413F19" w:rsidR="009E5DF2" w:rsidRPr="00A81259" w:rsidRDefault="009E5DF2" w:rsidP="001F2008">
      <w:pPr>
        <w:spacing w:before="240" w:line="360" w:lineRule="auto"/>
        <w:jc w:val="both"/>
        <w:rPr>
          <w:rFonts w:ascii="Arial" w:hAnsi="Arial" w:cs="Arial"/>
        </w:rPr>
      </w:pPr>
      <w:r w:rsidRPr="00A81259">
        <w:rPr>
          <w:rFonts w:ascii="Arial" w:hAnsi="Arial" w:cs="Arial"/>
        </w:rPr>
        <w:t xml:space="preserve">It is acknowledged that this measure does not remove the potential for manufacturers to exert pressure on dealers. However, it provides additional transparency to assist the market to operate efficiently </w:t>
      </w:r>
      <w:r w:rsidR="00847FF3" w:rsidRPr="00A81259">
        <w:rPr>
          <w:rFonts w:ascii="Arial" w:hAnsi="Arial" w:cs="Arial"/>
        </w:rPr>
        <w:t>and enable</w:t>
      </w:r>
      <w:r w:rsidR="00783A5A" w:rsidRPr="00A81259">
        <w:rPr>
          <w:rFonts w:ascii="Arial" w:hAnsi="Arial" w:cs="Arial"/>
        </w:rPr>
        <w:t>s</w:t>
      </w:r>
      <w:r w:rsidR="00847FF3" w:rsidRPr="00A81259">
        <w:rPr>
          <w:rFonts w:ascii="Arial" w:hAnsi="Arial" w:cs="Arial"/>
        </w:rPr>
        <w:t xml:space="preserve"> </w:t>
      </w:r>
      <w:r w:rsidR="00783A5A" w:rsidRPr="00A81259">
        <w:rPr>
          <w:rFonts w:ascii="Arial" w:hAnsi="Arial" w:cs="Arial"/>
        </w:rPr>
        <w:t>dealer</w:t>
      </w:r>
      <w:r w:rsidR="00EC4310" w:rsidRPr="00A81259">
        <w:rPr>
          <w:rFonts w:ascii="Arial" w:hAnsi="Arial" w:cs="Arial"/>
        </w:rPr>
        <w:t>s</w:t>
      </w:r>
      <w:r w:rsidR="00783A5A" w:rsidRPr="00A81259">
        <w:rPr>
          <w:rFonts w:ascii="Arial" w:hAnsi="Arial" w:cs="Arial"/>
        </w:rPr>
        <w:t xml:space="preserve"> to make a clearer assessment of whether the manufacturer is acting in good faith </w:t>
      </w:r>
      <w:r w:rsidR="001D1D32" w:rsidRPr="00A81259">
        <w:rPr>
          <w:rFonts w:ascii="Arial" w:hAnsi="Arial" w:cs="Arial"/>
        </w:rPr>
        <w:t xml:space="preserve">when requesting capital investments, </w:t>
      </w:r>
      <w:r w:rsidR="00783A5A" w:rsidRPr="00A81259">
        <w:rPr>
          <w:rFonts w:ascii="Arial" w:hAnsi="Arial" w:cs="Arial"/>
        </w:rPr>
        <w:t>thereby assisting the dealer in assessing their commercial and legal options</w:t>
      </w:r>
      <w:r w:rsidRPr="00A81259">
        <w:rPr>
          <w:rFonts w:ascii="Arial" w:hAnsi="Arial" w:cs="Arial"/>
        </w:rPr>
        <w:t xml:space="preserve">. </w:t>
      </w:r>
    </w:p>
    <w:p w14:paraId="3F1D0AC6" w14:textId="77777777" w:rsidR="006766C7" w:rsidRPr="0040566B" w:rsidRDefault="11FF59B9" w:rsidP="5996C6E7">
      <w:pPr>
        <w:keepNext/>
        <w:rPr>
          <w:rFonts w:ascii="Arial" w:hAnsi="Arial" w:cs="Arial"/>
          <w:i/>
          <w:iCs/>
        </w:rPr>
      </w:pPr>
      <w:r w:rsidRPr="5996C6E7">
        <w:rPr>
          <w:rFonts w:ascii="Arial" w:hAnsi="Arial" w:cs="Arial"/>
          <w:i/>
          <w:iCs/>
        </w:rPr>
        <w:t>Impact on car dealers</w:t>
      </w:r>
    </w:p>
    <w:p w14:paraId="3F1D0AC7" w14:textId="77777777" w:rsidR="006766C7" w:rsidRPr="002F23A3" w:rsidRDefault="11FF59B9" w:rsidP="00FF4312">
      <w:pPr>
        <w:keepNext/>
        <w:spacing w:before="240" w:line="360" w:lineRule="auto"/>
        <w:jc w:val="both"/>
        <w:rPr>
          <w:rFonts w:ascii="Arial" w:hAnsi="Arial" w:cs="Arial"/>
        </w:rPr>
      </w:pPr>
      <w:r w:rsidRPr="11FF59B9">
        <w:rPr>
          <w:rFonts w:ascii="Arial" w:hAnsi="Arial" w:cs="Arial"/>
        </w:rPr>
        <w:t xml:space="preserve">Short and uncertain tenure and poor disclosure practices provide manufacturers with the ability to apply commercial pressure to new car dealers to incur significant capital expenditure </w:t>
      </w:r>
      <w:r w:rsidRPr="11FF59B9">
        <w:rPr>
          <w:rFonts w:ascii="Arial" w:hAnsi="Arial" w:cs="Arial"/>
        </w:rPr>
        <w:lastRenderedPageBreak/>
        <w:t>in the form of refurbishments, building new premises or relocating premises, the costs of which may not be able to be recouped during the life of the agreement.</w:t>
      </w:r>
    </w:p>
    <w:p w14:paraId="3F1D0AC8" w14:textId="57E633C5" w:rsidR="006766C7" w:rsidRPr="002F23A3" w:rsidRDefault="00FD6071" w:rsidP="11FF59B9">
      <w:pPr>
        <w:spacing w:before="240" w:line="360" w:lineRule="auto"/>
        <w:jc w:val="both"/>
        <w:rPr>
          <w:rFonts w:ascii="Arial" w:hAnsi="Arial" w:cs="Arial"/>
        </w:rPr>
      </w:pPr>
      <w:r>
        <w:rPr>
          <w:rFonts w:ascii="Arial" w:hAnsi="Arial" w:cs="Arial"/>
        </w:rPr>
        <w:t>Limiting</w:t>
      </w:r>
      <w:r w:rsidRPr="11FF59B9">
        <w:rPr>
          <w:rFonts w:ascii="Arial" w:hAnsi="Arial" w:cs="Arial"/>
        </w:rPr>
        <w:t xml:space="preserve"> </w:t>
      </w:r>
      <w:r w:rsidR="11FF59B9" w:rsidRPr="11FF59B9">
        <w:rPr>
          <w:rFonts w:ascii="Arial" w:hAnsi="Arial" w:cs="Arial"/>
        </w:rPr>
        <w:t>car manufacturers</w:t>
      </w:r>
      <w:r w:rsidR="009B4D8A">
        <w:rPr>
          <w:rFonts w:ascii="Arial" w:hAnsi="Arial" w:cs="Arial"/>
        </w:rPr>
        <w:t>’</w:t>
      </w:r>
      <w:r w:rsidR="11FF59B9" w:rsidRPr="11FF59B9">
        <w:rPr>
          <w:rFonts w:ascii="Arial" w:hAnsi="Arial" w:cs="Arial"/>
        </w:rPr>
        <w:t xml:space="preserve"> </w:t>
      </w:r>
      <w:r>
        <w:rPr>
          <w:rFonts w:ascii="Arial" w:hAnsi="Arial" w:cs="Arial"/>
        </w:rPr>
        <w:t>ability</w:t>
      </w:r>
      <w:r w:rsidR="11FF59B9" w:rsidRPr="11FF59B9">
        <w:rPr>
          <w:rFonts w:ascii="Arial" w:hAnsi="Arial" w:cs="Arial"/>
        </w:rPr>
        <w:t xml:space="preserve"> to require a dealer to undertake </w:t>
      </w:r>
      <w:r w:rsidR="0055511F">
        <w:rPr>
          <w:rFonts w:ascii="Arial" w:hAnsi="Arial" w:cs="Arial"/>
        </w:rPr>
        <w:t xml:space="preserve">significant </w:t>
      </w:r>
      <w:r w:rsidR="11FF59B9" w:rsidRPr="11FF59B9">
        <w:rPr>
          <w:rFonts w:ascii="Arial" w:hAnsi="Arial" w:cs="Arial"/>
        </w:rPr>
        <w:t>capital expenditure unless disclosed prior to entering into the arrangement</w:t>
      </w:r>
      <w:r w:rsidR="0094477E">
        <w:rPr>
          <w:rFonts w:ascii="Arial" w:hAnsi="Arial" w:cs="Arial"/>
        </w:rPr>
        <w:t xml:space="preserve"> with greater specificity and</w:t>
      </w:r>
      <w:r w:rsidR="11FF59B9" w:rsidRPr="11FF59B9">
        <w:rPr>
          <w:rFonts w:ascii="Arial" w:hAnsi="Arial" w:cs="Arial"/>
        </w:rPr>
        <w:t xml:space="preserve"> </w:t>
      </w:r>
      <w:r w:rsidR="0094477E" w:rsidRPr="11FF59B9">
        <w:rPr>
          <w:rFonts w:ascii="Arial" w:hAnsi="Arial" w:cs="Arial"/>
        </w:rPr>
        <w:t xml:space="preserve">agreed to by the dealer </w:t>
      </w:r>
      <w:r w:rsidR="11FF59B9" w:rsidRPr="11FF59B9">
        <w:rPr>
          <w:rFonts w:ascii="Arial" w:hAnsi="Arial" w:cs="Arial"/>
        </w:rPr>
        <w:t>will help to ensure that dealers only undertake capital expenditure that they consider to be in their interests. It will also encourage manufacturers to work with their dealer networks to develop capital expenditure plans that both parties support.</w:t>
      </w:r>
      <w:r w:rsidR="00EB2427">
        <w:rPr>
          <w:rFonts w:ascii="Arial" w:hAnsi="Arial" w:cs="Arial"/>
        </w:rPr>
        <w:t xml:space="preserve"> During consultation manufacturers indicated they work with dealers on capital investment plans over a long period and that in order for investment to be undertaken, both parties need to agree that it is mutually beneficial to do so.</w:t>
      </w:r>
    </w:p>
    <w:p w14:paraId="3F1D0ACA" w14:textId="77777777" w:rsidR="006766C7" w:rsidRPr="0040566B" w:rsidRDefault="11FF59B9" w:rsidP="5996C6E7">
      <w:pPr>
        <w:keepNext/>
        <w:rPr>
          <w:rFonts w:ascii="Arial" w:hAnsi="Arial" w:cs="Arial"/>
          <w:i/>
          <w:iCs/>
        </w:rPr>
      </w:pPr>
      <w:r w:rsidRPr="5996C6E7">
        <w:rPr>
          <w:rFonts w:ascii="Arial" w:hAnsi="Arial" w:cs="Arial"/>
          <w:i/>
          <w:iCs/>
        </w:rPr>
        <w:t>Impact on manufacturers</w:t>
      </w:r>
    </w:p>
    <w:p w14:paraId="3F1D0ACB" w14:textId="1393FC23" w:rsidR="006766C7" w:rsidRPr="002F23A3" w:rsidRDefault="11FF59B9" w:rsidP="11FF59B9">
      <w:pPr>
        <w:spacing w:before="240" w:line="360" w:lineRule="auto"/>
        <w:jc w:val="both"/>
        <w:rPr>
          <w:rFonts w:ascii="Arial" w:hAnsi="Arial" w:cs="Arial"/>
        </w:rPr>
      </w:pPr>
      <w:r w:rsidRPr="11FF59B9">
        <w:rPr>
          <w:rFonts w:ascii="Arial" w:hAnsi="Arial" w:cs="Arial"/>
        </w:rPr>
        <w:t xml:space="preserve">Manufacturers </w:t>
      </w:r>
      <w:r w:rsidR="00657D3E">
        <w:rPr>
          <w:rFonts w:ascii="Arial" w:hAnsi="Arial" w:cs="Arial"/>
        </w:rPr>
        <w:t xml:space="preserve">would have reduced flexibility and </w:t>
      </w:r>
      <w:r w:rsidR="00AD3984">
        <w:rPr>
          <w:rFonts w:ascii="Arial" w:hAnsi="Arial" w:cs="Arial"/>
        </w:rPr>
        <w:t xml:space="preserve">requiring </w:t>
      </w:r>
      <w:r w:rsidR="00AD3984" w:rsidRPr="11FF59B9">
        <w:rPr>
          <w:rFonts w:ascii="Arial" w:hAnsi="Arial" w:cs="Arial"/>
        </w:rPr>
        <w:t>car</w:t>
      </w:r>
      <w:r w:rsidRPr="11FF59B9">
        <w:rPr>
          <w:rFonts w:ascii="Arial" w:hAnsi="Arial" w:cs="Arial"/>
        </w:rPr>
        <w:t xml:space="preserve"> dealers to undertake significant capital expenditure</w:t>
      </w:r>
      <w:r w:rsidR="00657D3E">
        <w:rPr>
          <w:rFonts w:ascii="Arial" w:hAnsi="Arial" w:cs="Arial"/>
        </w:rPr>
        <w:t xml:space="preserve"> </w:t>
      </w:r>
      <w:r w:rsidR="0055511F">
        <w:rPr>
          <w:rFonts w:ascii="Arial" w:hAnsi="Arial" w:cs="Arial"/>
        </w:rPr>
        <w:t xml:space="preserve">and </w:t>
      </w:r>
      <w:r w:rsidR="00657D3E">
        <w:rPr>
          <w:rFonts w:ascii="Arial" w:hAnsi="Arial" w:cs="Arial"/>
        </w:rPr>
        <w:t>would require better planning</w:t>
      </w:r>
      <w:r w:rsidR="00183689">
        <w:rPr>
          <w:rFonts w:ascii="Arial" w:hAnsi="Arial" w:cs="Arial"/>
        </w:rPr>
        <w:t xml:space="preserve">, as they will have </w:t>
      </w:r>
      <w:r w:rsidR="0094477E">
        <w:rPr>
          <w:rFonts w:ascii="Arial" w:hAnsi="Arial" w:cs="Arial"/>
        </w:rPr>
        <w:t xml:space="preserve">to provide </w:t>
      </w:r>
      <w:r w:rsidR="00EB2427">
        <w:rPr>
          <w:rFonts w:ascii="Arial" w:hAnsi="Arial" w:cs="Arial"/>
        </w:rPr>
        <w:t>more detail regarding the</w:t>
      </w:r>
      <w:r w:rsidR="0094477E">
        <w:rPr>
          <w:rFonts w:ascii="Arial" w:hAnsi="Arial" w:cs="Arial"/>
        </w:rPr>
        <w:t xml:space="preserve"> capital expenditure</w:t>
      </w:r>
      <w:r w:rsidR="00EB2427">
        <w:rPr>
          <w:rFonts w:ascii="Arial" w:hAnsi="Arial" w:cs="Arial"/>
        </w:rPr>
        <w:t xml:space="preserve"> than is currently the case</w:t>
      </w:r>
      <w:r w:rsidR="0094477E">
        <w:rPr>
          <w:rFonts w:ascii="Arial" w:hAnsi="Arial" w:cs="Arial"/>
        </w:rPr>
        <w:t xml:space="preserve">. </w:t>
      </w:r>
      <w:r w:rsidRPr="11FF59B9">
        <w:rPr>
          <w:rFonts w:ascii="Arial" w:hAnsi="Arial" w:cs="Arial"/>
        </w:rPr>
        <w:t>Under th</w:t>
      </w:r>
      <w:r w:rsidR="00183689">
        <w:rPr>
          <w:rFonts w:ascii="Arial" w:hAnsi="Arial" w:cs="Arial"/>
        </w:rPr>
        <w:t>is option</w:t>
      </w:r>
      <w:r w:rsidRPr="11FF59B9">
        <w:rPr>
          <w:rFonts w:ascii="Arial" w:hAnsi="Arial" w:cs="Arial"/>
        </w:rPr>
        <w:t>, manufacturers may need to plan significant capital expenditure programs either well in advance (so that they can be included in the relevant disclosure material) or in a way that gains dealers support for the proposed expenditure.</w:t>
      </w:r>
    </w:p>
    <w:p w14:paraId="3F1D0ACC" w14:textId="77777777" w:rsidR="0094477E" w:rsidRPr="002F23A3" w:rsidRDefault="11FF59B9" w:rsidP="11FF59B9">
      <w:pPr>
        <w:spacing w:before="240" w:line="360" w:lineRule="auto"/>
        <w:jc w:val="both"/>
        <w:rPr>
          <w:rFonts w:ascii="Arial" w:hAnsi="Arial" w:cs="Arial"/>
        </w:rPr>
      </w:pPr>
      <w:r w:rsidRPr="11FF59B9">
        <w:rPr>
          <w:rFonts w:ascii="Arial" w:hAnsi="Arial" w:cs="Arial"/>
        </w:rPr>
        <w:t xml:space="preserve">Importantly, </w:t>
      </w:r>
      <w:r w:rsidR="00183689">
        <w:rPr>
          <w:rFonts w:ascii="Arial" w:hAnsi="Arial" w:cs="Arial"/>
        </w:rPr>
        <w:t xml:space="preserve">as currently allowed under the Franchising Code, </w:t>
      </w:r>
      <w:r w:rsidR="00657D3E">
        <w:rPr>
          <w:rFonts w:ascii="Arial" w:hAnsi="Arial" w:cs="Arial"/>
        </w:rPr>
        <w:t xml:space="preserve">even where the expenditure is not disclosed, </w:t>
      </w:r>
      <w:r w:rsidRPr="11FF59B9">
        <w:rPr>
          <w:rFonts w:ascii="Arial" w:hAnsi="Arial" w:cs="Arial"/>
        </w:rPr>
        <w:t xml:space="preserve">manufacturers would still be able to require significant capital expenditure to be undertaken where the expenditure will be incurred by a majority of franchisees and a majority of franchisees approve the expense. As such, </w:t>
      </w:r>
      <w:r w:rsidR="0078230A">
        <w:rPr>
          <w:rFonts w:ascii="Arial" w:hAnsi="Arial" w:cs="Arial"/>
        </w:rPr>
        <w:t>a</w:t>
      </w:r>
      <w:r w:rsidRPr="11FF59B9">
        <w:rPr>
          <w:rFonts w:ascii="Arial" w:hAnsi="Arial" w:cs="Arial"/>
        </w:rPr>
        <w:t xml:space="preserve"> </w:t>
      </w:r>
      <w:r w:rsidR="00183689">
        <w:rPr>
          <w:rFonts w:ascii="Arial" w:hAnsi="Arial" w:cs="Arial"/>
        </w:rPr>
        <w:t>minority group</w:t>
      </w:r>
      <w:r w:rsidRPr="11FF59B9">
        <w:rPr>
          <w:rFonts w:ascii="Arial" w:hAnsi="Arial" w:cs="Arial"/>
        </w:rPr>
        <w:t xml:space="preserve"> of dealers will not be able to prevent expenditure that has the support of the majority of the dealer network. </w:t>
      </w:r>
    </w:p>
    <w:p w14:paraId="3F1D0ACD" w14:textId="77777777" w:rsidR="006766C7" w:rsidRPr="0040566B" w:rsidRDefault="11FF59B9" w:rsidP="5996C6E7">
      <w:pPr>
        <w:rPr>
          <w:rFonts w:ascii="Arial" w:hAnsi="Arial" w:cs="Arial"/>
          <w:i/>
          <w:iCs/>
        </w:rPr>
      </w:pPr>
      <w:r w:rsidRPr="5996C6E7">
        <w:rPr>
          <w:rFonts w:ascii="Arial" w:hAnsi="Arial" w:cs="Arial"/>
          <w:i/>
          <w:iCs/>
        </w:rPr>
        <w:t>Net benefit</w:t>
      </w:r>
    </w:p>
    <w:p w14:paraId="3F1D0ACE" w14:textId="3FA6C612" w:rsidR="006766C7" w:rsidRDefault="11FF59B9" w:rsidP="11FF59B9">
      <w:pPr>
        <w:spacing w:before="240" w:line="360" w:lineRule="auto"/>
        <w:jc w:val="both"/>
        <w:rPr>
          <w:rFonts w:ascii="Arial" w:hAnsi="Arial" w:cs="Arial"/>
        </w:rPr>
      </w:pPr>
      <w:r w:rsidRPr="11FF59B9">
        <w:rPr>
          <w:rFonts w:ascii="Arial" w:hAnsi="Arial" w:cs="Arial"/>
        </w:rPr>
        <w:t xml:space="preserve">This option </w:t>
      </w:r>
      <w:r w:rsidR="002A7C9A">
        <w:rPr>
          <w:rFonts w:ascii="Arial" w:hAnsi="Arial" w:cs="Arial"/>
        </w:rPr>
        <w:t>c</w:t>
      </w:r>
      <w:r w:rsidRPr="11FF59B9">
        <w:rPr>
          <w:rFonts w:ascii="Arial" w:hAnsi="Arial" w:cs="Arial"/>
        </w:rPr>
        <w:t xml:space="preserve">ould benefit car dealers by reducing the likelihood that they will be required to incur significant capital expenditure </w:t>
      </w:r>
      <w:r w:rsidR="00657D3E">
        <w:rPr>
          <w:rFonts w:ascii="Arial" w:hAnsi="Arial" w:cs="Arial"/>
        </w:rPr>
        <w:t>for which they have not planned</w:t>
      </w:r>
      <w:r w:rsidRPr="11FF59B9">
        <w:rPr>
          <w:rFonts w:ascii="Arial" w:hAnsi="Arial" w:cs="Arial"/>
        </w:rPr>
        <w:t>. While manufacturers would find it more difficult to compel dealers to undertake significant capital expenditure</w:t>
      </w:r>
      <w:r w:rsidR="00883911">
        <w:rPr>
          <w:rFonts w:ascii="Arial" w:hAnsi="Arial" w:cs="Arial"/>
        </w:rPr>
        <w:t xml:space="preserve"> through prior disclosure</w:t>
      </w:r>
      <w:r w:rsidRPr="11FF59B9">
        <w:rPr>
          <w:rFonts w:ascii="Arial" w:hAnsi="Arial" w:cs="Arial"/>
        </w:rPr>
        <w:t>, they would still have a number of avenues to do so:</w:t>
      </w:r>
    </w:p>
    <w:p w14:paraId="3F1D0ACF" w14:textId="77777777" w:rsidR="006766C7" w:rsidRPr="00EB4634" w:rsidRDefault="11FF59B9" w:rsidP="006647E7">
      <w:pPr>
        <w:pStyle w:val="ListParagraph"/>
        <w:numPr>
          <w:ilvl w:val="0"/>
          <w:numId w:val="6"/>
        </w:numPr>
        <w:spacing w:before="240" w:line="360" w:lineRule="auto"/>
        <w:jc w:val="both"/>
        <w:rPr>
          <w:rFonts w:ascii="Arial" w:hAnsi="Arial" w:cs="Arial"/>
        </w:rPr>
      </w:pPr>
      <w:r w:rsidRPr="11FF59B9">
        <w:rPr>
          <w:rFonts w:ascii="Arial" w:hAnsi="Arial" w:cs="Arial"/>
        </w:rPr>
        <w:t>the manufacturer could gain the dealer’s support for the expenditure;</w:t>
      </w:r>
    </w:p>
    <w:p w14:paraId="3F1D0AD0" w14:textId="77777777" w:rsidR="006766C7" w:rsidRPr="00EB4634" w:rsidRDefault="11FF59B9" w:rsidP="006647E7">
      <w:pPr>
        <w:pStyle w:val="ListParagraph"/>
        <w:numPr>
          <w:ilvl w:val="0"/>
          <w:numId w:val="6"/>
        </w:numPr>
        <w:spacing w:before="240" w:line="360" w:lineRule="auto"/>
        <w:jc w:val="both"/>
        <w:rPr>
          <w:rFonts w:ascii="Arial" w:hAnsi="Arial" w:cs="Arial"/>
        </w:rPr>
      </w:pPr>
      <w:r w:rsidRPr="11FF59B9">
        <w:rPr>
          <w:rFonts w:ascii="Arial" w:hAnsi="Arial" w:cs="Arial"/>
        </w:rPr>
        <w:t>the manufacturer could include the detailed disclosure when the agreement is renewed and require the expenditure to be undertaken early in the agreement; or</w:t>
      </w:r>
    </w:p>
    <w:p w14:paraId="3F1D0AD1" w14:textId="77777777" w:rsidR="006766C7" w:rsidRPr="00EB4634" w:rsidRDefault="00EE298F" w:rsidP="006647E7">
      <w:pPr>
        <w:pStyle w:val="ListParagraph"/>
        <w:numPr>
          <w:ilvl w:val="0"/>
          <w:numId w:val="6"/>
        </w:numPr>
        <w:spacing w:before="240" w:line="360" w:lineRule="auto"/>
        <w:jc w:val="both"/>
        <w:rPr>
          <w:rFonts w:ascii="Arial" w:hAnsi="Arial" w:cs="Arial"/>
          <w:sz w:val="24"/>
          <w:szCs w:val="24"/>
        </w:rPr>
      </w:pPr>
      <w:r>
        <w:rPr>
          <w:rFonts w:ascii="Arial" w:hAnsi="Arial" w:cs="Arial"/>
        </w:rPr>
        <w:t>i</w:t>
      </w:r>
      <w:r w:rsidR="11FF59B9" w:rsidRPr="11FF59B9">
        <w:rPr>
          <w:rFonts w:ascii="Arial" w:hAnsi="Arial" w:cs="Arial"/>
        </w:rPr>
        <w:t>f all franchisees are being required to undertake the expenditure, the manufacturer could seek to gain the support of the majority of franchisees.</w:t>
      </w:r>
    </w:p>
    <w:p w14:paraId="3F1D0AD2" w14:textId="60B404D5" w:rsidR="006766C7" w:rsidRPr="00EB4634" w:rsidRDefault="11FF59B9" w:rsidP="11FF59B9">
      <w:pPr>
        <w:spacing w:before="240" w:line="360" w:lineRule="auto"/>
        <w:jc w:val="both"/>
        <w:rPr>
          <w:rFonts w:ascii="Arial" w:hAnsi="Arial" w:cs="Arial"/>
        </w:rPr>
      </w:pPr>
      <w:r w:rsidRPr="11FF59B9">
        <w:rPr>
          <w:rFonts w:ascii="Arial" w:hAnsi="Arial" w:cs="Arial"/>
        </w:rPr>
        <w:lastRenderedPageBreak/>
        <w:t xml:space="preserve">Given that this option </w:t>
      </w:r>
      <w:r w:rsidR="002A7C9A">
        <w:rPr>
          <w:rFonts w:ascii="Arial" w:hAnsi="Arial" w:cs="Arial"/>
        </w:rPr>
        <w:t>c</w:t>
      </w:r>
      <w:r w:rsidRPr="11FF59B9">
        <w:rPr>
          <w:rFonts w:ascii="Arial" w:hAnsi="Arial" w:cs="Arial"/>
        </w:rPr>
        <w:t xml:space="preserve">ould benefit dealers but still provide a range of mechanisms via which manufacturers can require significant capital expenditure to be undertaken that they consider necessary, this option is likely to have a positive net benefit. </w:t>
      </w:r>
    </w:p>
    <w:p w14:paraId="3F1D0AD3" w14:textId="77777777" w:rsidR="00686ED4" w:rsidRPr="0040566B" w:rsidRDefault="00686ED4" w:rsidP="0040566B">
      <w:pPr>
        <w:keepNext/>
        <w:spacing w:before="240" w:line="360" w:lineRule="auto"/>
        <w:jc w:val="both"/>
        <w:rPr>
          <w:rFonts w:ascii="Arial" w:hAnsi="Arial" w:cs="Arial"/>
          <w:i/>
          <w:iCs/>
        </w:rPr>
      </w:pPr>
      <w:r w:rsidRPr="0040566B">
        <w:rPr>
          <w:rFonts w:ascii="Arial" w:hAnsi="Arial" w:cs="Arial"/>
          <w:i/>
          <w:iCs/>
        </w:rPr>
        <w:t>Regulatory burden</w:t>
      </w:r>
    </w:p>
    <w:tbl>
      <w:tblPr>
        <w:tblStyle w:val="LightGrid-Accent2"/>
        <w:tblW w:w="9464" w:type="dxa"/>
        <w:tblLook w:val="04A0" w:firstRow="1" w:lastRow="0" w:firstColumn="1" w:lastColumn="0" w:noHBand="0" w:noVBand="1"/>
        <w:tblCaption w:val="Regulatory burden estimate table"/>
        <w:tblDescription w:val="Average annual regulatory costs for option 2D. Total average annual regulatory cost to business is $2.1 million."/>
      </w:tblPr>
      <w:tblGrid>
        <w:gridCol w:w="2128"/>
        <w:gridCol w:w="1646"/>
        <w:gridCol w:w="2170"/>
        <w:gridCol w:w="1946"/>
        <w:gridCol w:w="1574"/>
      </w:tblGrid>
      <w:tr w:rsidR="00686ED4" w:rsidRPr="003635FD" w14:paraId="3F1D0AD5" w14:textId="77777777" w:rsidTr="0040566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9464" w:type="dxa"/>
            <w:gridSpan w:val="5"/>
            <w:noWrap/>
          </w:tcPr>
          <w:p w14:paraId="3F1D0AD4" w14:textId="77777777" w:rsidR="00686ED4" w:rsidRPr="003635FD" w:rsidRDefault="00686ED4" w:rsidP="00E2100B">
            <w:pPr>
              <w:rPr>
                <w:rFonts w:ascii="Arial" w:hAnsi="Arial" w:cs="Arial"/>
                <w:sz w:val="20"/>
                <w:szCs w:val="20"/>
              </w:rPr>
            </w:pPr>
            <w:r w:rsidRPr="003635FD">
              <w:rPr>
                <w:rFonts w:ascii="Arial" w:hAnsi="Arial" w:cs="Arial"/>
                <w:sz w:val="20"/>
                <w:szCs w:val="20"/>
              </w:rPr>
              <w:t xml:space="preserve">Total Option </w:t>
            </w:r>
            <w:r w:rsidR="00276895" w:rsidRPr="003635FD">
              <w:rPr>
                <w:rFonts w:ascii="Arial" w:hAnsi="Arial" w:cs="Arial"/>
                <w:sz w:val="20"/>
                <w:szCs w:val="20"/>
              </w:rPr>
              <w:t>2D</w:t>
            </w:r>
            <w:r w:rsidR="003A4A6D" w:rsidRPr="003635FD">
              <w:rPr>
                <w:rFonts w:ascii="Arial" w:hAnsi="Arial" w:cs="Arial"/>
                <w:sz w:val="20"/>
                <w:szCs w:val="20"/>
              </w:rPr>
              <w:t xml:space="preserve"> </w:t>
            </w:r>
            <w:r w:rsidRPr="003635FD">
              <w:rPr>
                <w:rFonts w:ascii="Arial" w:hAnsi="Arial" w:cs="Arial"/>
                <w:sz w:val="20"/>
                <w:szCs w:val="20"/>
              </w:rPr>
              <w:t>Costs - Average annual regulatory costs (ten years)</w:t>
            </w:r>
          </w:p>
        </w:tc>
      </w:tr>
      <w:tr w:rsidR="00686ED4" w:rsidRPr="003635FD" w14:paraId="3F1D0ADB" w14:textId="77777777" w:rsidTr="0040566B">
        <w:trPr>
          <w:trHeight w:val="300"/>
        </w:trPr>
        <w:tc>
          <w:tcPr>
            <w:cnfStyle w:val="001000000000" w:firstRow="0" w:lastRow="0" w:firstColumn="1" w:lastColumn="0" w:oddVBand="0" w:evenVBand="0" w:oddHBand="0" w:evenHBand="0" w:firstRowFirstColumn="0" w:firstRowLastColumn="0" w:lastRowFirstColumn="0" w:lastRowLastColumn="0"/>
            <w:tcW w:w="2128" w:type="dxa"/>
            <w:noWrap/>
          </w:tcPr>
          <w:p w14:paraId="3F1D0AD6" w14:textId="77777777" w:rsidR="00686ED4" w:rsidRPr="0040566B" w:rsidRDefault="00686ED4">
            <w:pPr>
              <w:pStyle w:val="TableText"/>
              <w:rPr>
                <w:b w:val="0"/>
              </w:rPr>
            </w:pPr>
            <w:r w:rsidRPr="003635FD">
              <w:t>Change in costs</w:t>
            </w:r>
            <w:r w:rsidRPr="0040566B">
              <w:rPr>
                <w:rFonts w:cs="Calibri"/>
              </w:rPr>
              <w:t xml:space="preserve"> ($ million)</w:t>
            </w:r>
          </w:p>
        </w:tc>
        <w:tc>
          <w:tcPr>
            <w:tcW w:w="1646" w:type="dxa"/>
            <w:noWrap/>
          </w:tcPr>
          <w:p w14:paraId="3F1D0AD7" w14:textId="77777777" w:rsidR="00686ED4" w:rsidRPr="003635FD" w:rsidRDefault="00686ED4" w:rsidP="00E2100B">
            <w:pPr>
              <w:pStyle w:val="TableText"/>
              <w:cnfStyle w:val="000000000000" w:firstRow="0" w:lastRow="0" w:firstColumn="0" w:lastColumn="0" w:oddVBand="0" w:evenVBand="0" w:oddHBand="0" w:evenHBand="0" w:firstRowFirstColumn="0" w:firstRowLastColumn="0" w:lastRowFirstColumn="0" w:lastRowLastColumn="0"/>
            </w:pPr>
            <w:r w:rsidRPr="003635FD">
              <w:t>Business</w:t>
            </w:r>
          </w:p>
        </w:tc>
        <w:tc>
          <w:tcPr>
            <w:tcW w:w="2170" w:type="dxa"/>
            <w:noWrap/>
          </w:tcPr>
          <w:p w14:paraId="3F1D0AD8" w14:textId="77777777" w:rsidR="00686ED4" w:rsidRPr="003635FD" w:rsidRDefault="00686ED4" w:rsidP="00E2100B">
            <w:pPr>
              <w:pStyle w:val="TableText"/>
              <w:cnfStyle w:val="000000000000" w:firstRow="0" w:lastRow="0" w:firstColumn="0" w:lastColumn="0" w:oddVBand="0" w:evenVBand="0" w:oddHBand="0" w:evenHBand="0" w:firstRowFirstColumn="0" w:firstRowLastColumn="0" w:lastRowFirstColumn="0" w:lastRowLastColumn="0"/>
            </w:pPr>
            <w:r w:rsidRPr="0040566B">
              <w:rPr>
                <w:rFonts w:cs="Calibri"/>
              </w:rPr>
              <w:t>Community organisations</w:t>
            </w:r>
          </w:p>
        </w:tc>
        <w:tc>
          <w:tcPr>
            <w:tcW w:w="1946" w:type="dxa"/>
            <w:noWrap/>
          </w:tcPr>
          <w:p w14:paraId="3F1D0AD9" w14:textId="77777777" w:rsidR="00686ED4" w:rsidRPr="003635FD" w:rsidRDefault="00686ED4" w:rsidP="00E2100B">
            <w:pPr>
              <w:pStyle w:val="TableText"/>
              <w:cnfStyle w:val="000000000000" w:firstRow="0" w:lastRow="0" w:firstColumn="0" w:lastColumn="0" w:oddVBand="0" w:evenVBand="0" w:oddHBand="0" w:evenHBand="0" w:firstRowFirstColumn="0" w:firstRowLastColumn="0" w:lastRowFirstColumn="0" w:lastRowLastColumn="0"/>
            </w:pPr>
            <w:r w:rsidRPr="003635FD">
              <w:t>Individuals</w:t>
            </w:r>
          </w:p>
        </w:tc>
        <w:tc>
          <w:tcPr>
            <w:tcW w:w="1574" w:type="dxa"/>
            <w:noWrap/>
          </w:tcPr>
          <w:p w14:paraId="3F1D0ADA" w14:textId="77777777" w:rsidR="00686ED4" w:rsidRPr="003635FD" w:rsidRDefault="00686ED4" w:rsidP="00E2100B">
            <w:pPr>
              <w:pStyle w:val="TableText"/>
              <w:cnfStyle w:val="000000000000" w:firstRow="0" w:lastRow="0" w:firstColumn="0" w:lastColumn="0" w:oddVBand="0" w:evenVBand="0" w:oddHBand="0" w:evenHBand="0" w:firstRowFirstColumn="0" w:firstRowLastColumn="0" w:lastRowFirstColumn="0" w:lastRowLastColumn="0"/>
            </w:pPr>
            <w:r w:rsidRPr="0040566B">
              <w:rPr>
                <w:rFonts w:cs="Calibri"/>
              </w:rPr>
              <w:t>Total change in cost</w:t>
            </w:r>
          </w:p>
        </w:tc>
      </w:tr>
      <w:tr w:rsidR="00686ED4" w:rsidRPr="003635FD" w14:paraId="3F1D0AE1" w14:textId="77777777" w:rsidTr="0040566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8" w:type="dxa"/>
            <w:noWrap/>
          </w:tcPr>
          <w:p w14:paraId="3F1D0ADC" w14:textId="77777777" w:rsidR="00686ED4" w:rsidRPr="0040566B" w:rsidRDefault="00686ED4">
            <w:pPr>
              <w:pStyle w:val="TableText"/>
              <w:rPr>
                <w:b w:val="0"/>
              </w:rPr>
            </w:pPr>
            <w:r w:rsidRPr="003635FD">
              <w:t>Total, by sector</w:t>
            </w:r>
          </w:p>
        </w:tc>
        <w:tc>
          <w:tcPr>
            <w:tcW w:w="1646" w:type="dxa"/>
            <w:noWrap/>
          </w:tcPr>
          <w:p w14:paraId="3F1D0ADD" w14:textId="6C537EBB" w:rsidR="00686ED4" w:rsidRPr="0040566B" w:rsidRDefault="00686ED4">
            <w:pPr>
              <w:pStyle w:val="TableText"/>
              <w:cnfStyle w:val="000000010000" w:firstRow="0" w:lastRow="0" w:firstColumn="0" w:lastColumn="0" w:oddVBand="0" w:evenVBand="0" w:oddHBand="0" w:evenHBand="1" w:firstRowFirstColumn="0" w:firstRowLastColumn="0" w:lastRowFirstColumn="0" w:lastRowLastColumn="0"/>
              <w:rPr>
                <w:rFonts w:cs="Calibri"/>
              </w:rPr>
            </w:pPr>
            <w:r w:rsidRPr="0040566B">
              <w:rPr>
                <w:rFonts w:cs="Calibri"/>
              </w:rPr>
              <w:t>$</w:t>
            </w:r>
            <w:r w:rsidR="00197EA9" w:rsidRPr="0040566B">
              <w:rPr>
                <w:rFonts w:cs="Calibri"/>
              </w:rPr>
              <w:t>2.1</w:t>
            </w:r>
          </w:p>
        </w:tc>
        <w:tc>
          <w:tcPr>
            <w:tcW w:w="2170" w:type="dxa"/>
            <w:noWrap/>
          </w:tcPr>
          <w:p w14:paraId="3F1D0ADE" w14:textId="77777777" w:rsidR="00686ED4" w:rsidRPr="003635FD" w:rsidRDefault="00686ED4" w:rsidP="00E2100B">
            <w:pPr>
              <w:pStyle w:val="TableText"/>
              <w:cnfStyle w:val="000000010000" w:firstRow="0" w:lastRow="0" w:firstColumn="0" w:lastColumn="0" w:oddVBand="0" w:evenVBand="0" w:oddHBand="0" w:evenHBand="1" w:firstRowFirstColumn="0" w:firstRowLastColumn="0" w:lastRowFirstColumn="0" w:lastRowLastColumn="0"/>
              <w:rPr>
                <w:rFonts w:cs="Calibri"/>
                <w:iCs/>
              </w:rPr>
            </w:pPr>
          </w:p>
        </w:tc>
        <w:tc>
          <w:tcPr>
            <w:tcW w:w="1946" w:type="dxa"/>
            <w:noWrap/>
          </w:tcPr>
          <w:p w14:paraId="3F1D0ADF" w14:textId="77777777" w:rsidR="00686ED4" w:rsidRPr="003635FD" w:rsidRDefault="00686ED4" w:rsidP="00E2100B">
            <w:pPr>
              <w:pStyle w:val="TableText"/>
              <w:cnfStyle w:val="000000010000" w:firstRow="0" w:lastRow="0" w:firstColumn="0" w:lastColumn="0" w:oddVBand="0" w:evenVBand="0" w:oddHBand="0" w:evenHBand="1" w:firstRowFirstColumn="0" w:firstRowLastColumn="0" w:lastRowFirstColumn="0" w:lastRowLastColumn="0"/>
              <w:rPr>
                <w:rFonts w:cs="Calibri"/>
                <w:iCs/>
              </w:rPr>
            </w:pPr>
          </w:p>
        </w:tc>
        <w:tc>
          <w:tcPr>
            <w:tcW w:w="1574" w:type="dxa"/>
            <w:noWrap/>
          </w:tcPr>
          <w:p w14:paraId="3F1D0AE0" w14:textId="5C255B48" w:rsidR="00686ED4" w:rsidRPr="0040566B" w:rsidRDefault="00686ED4">
            <w:pPr>
              <w:pStyle w:val="TableText"/>
              <w:cnfStyle w:val="000000010000" w:firstRow="0" w:lastRow="0" w:firstColumn="0" w:lastColumn="0" w:oddVBand="0" w:evenVBand="0" w:oddHBand="0" w:evenHBand="1" w:firstRowFirstColumn="0" w:firstRowLastColumn="0" w:lastRowFirstColumn="0" w:lastRowLastColumn="0"/>
              <w:rPr>
                <w:rFonts w:cs="Calibri"/>
              </w:rPr>
            </w:pPr>
            <w:r w:rsidRPr="0040566B">
              <w:rPr>
                <w:rFonts w:cs="Calibri"/>
              </w:rPr>
              <w:t>$</w:t>
            </w:r>
            <w:r w:rsidR="00197EA9" w:rsidRPr="0040566B">
              <w:rPr>
                <w:rFonts w:cs="Calibri"/>
              </w:rPr>
              <w:t>2.1</w:t>
            </w:r>
          </w:p>
        </w:tc>
      </w:tr>
    </w:tbl>
    <w:p w14:paraId="3F1D0AE2" w14:textId="50A7AB3C" w:rsidR="00686ED4" w:rsidRPr="003635FD" w:rsidRDefault="00686ED4" w:rsidP="00686ED4">
      <w:pPr>
        <w:spacing w:before="240" w:line="360" w:lineRule="auto"/>
        <w:jc w:val="both"/>
        <w:rPr>
          <w:rFonts w:ascii="Arial" w:hAnsi="Arial" w:cs="Arial"/>
        </w:rPr>
      </w:pPr>
      <w:r w:rsidRPr="003635FD">
        <w:rPr>
          <w:rFonts w:ascii="Arial" w:hAnsi="Arial" w:cs="Arial"/>
        </w:rPr>
        <w:t xml:space="preserve">Regulatory burden would be incurred by firms as new terms in dealership agreements would need to be drafted when dealership agreements are renewed. </w:t>
      </w:r>
      <w:r w:rsidR="003635FD" w:rsidRPr="0040566B">
        <w:rPr>
          <w:rFonts w:ascii="Arial" w:hAnsi="Arial" w:cs="Arial"/>
        </w:rPr>
        <w:t xml:space="preserve">Costs would also be incurred by the staff who would attend the meeting to discuss the significant capital expenditure disclosure. </w:t>
      </w:r>
      <w:r w:rsidRPr="003635FD">
        <w:rPr>
          <w:rFonts w:ascii="Arial" w:hAnsi="Arial" w:cs="Arial"/>
        </w:rPr>
        <w:t>The regulatory impact would be incurred each time a dealer agreement is renewed, as required capital expenditure is likely to vary for each agreement.</w:t>
      </w:r>
    </w:p>
    <w:p w14:paraId="3F1D0AE3" w14:textId="77777777" w:rsidR="008522F8" w:rsidRPr="003635FD" w:rsidRDefault="008522F8" w:rsidP="008522F8">
      <w:pPr>
        <w:spacing w:before="240" w:line="360" w:lineRule="auto"/>
        <w:jc w:val="both"/>
        <w:rPr>
          <w:rFonts w:ascii="Arial" w:hAnsi="Arial" w:cs="Arial"/>
        </w:rPr>
      </w:pPr>
      <w:r w:rsidRPr="003635FD">
        <w:rPr>
          <w:rFonts w:ascii="Arial" w:hAnsi="Arial" w:cs="Arial"/>
        </w:rPr>
        <w:t>The regulatory burden calculation assumes that:</w:t>
      </w:r>
    </w:p>
    <w:p w14:paraId="3F1D0AE4" w14:textId="6047246E" w:rsidR="008522F8" w:rsidRPr="003635FD" w:rsidRDefault="008522F8" w:rsidP="006647E7">
      <w:pPr>
        <w:pStyle w:val="ListParagraph"/>
        <w:numPr>
          <w:ilvl w:val="0"/>
          <w:numId w:val="11"/>
        </w:numPr>
        <w:spacing w:before="240" w:line="360" w:lineRule="auto"/>
        <w:jc w:val="both"/>
        <w:rPr>
          <w:rFonts w:ascii="Arial" w:hAnsi="Arial" w:cs="Arial"/>
        </w:rPr>
      </w:pPr>
      <w:r w:rsidRPr="003635FD">
        <w:rPr>
          <w:rFonts w:ascii="Arial" w:hAnsi="Arial" w:cs="Arial"/>
        </w:rPr>
        <w:t>it would take a lawyer two hours to draft the capital expenditure disclosure part of an agreement each time an agreement is renewed</w:t>
      </w:r>
      <w:r w:rsidR="00197EA9">
        <w:rPr>
          <w:rFonts w:ascii="Arial" w:hAnsi="Arial" w:cs="Arial"/>
        </w:rPr>
        <w:t xml:space="preserve"> (twice over </w:t>
      </w:r>
      <w:r w:rsidR="001D1D32">
        <w:rPr>
          <w:rFonts w:ascii="Arial" w:hAnsi="Arial" w:cs="Arial"/>
        </w:rPr>
        <w:t xml:space="preserve">10 year </w:t>
      </w:r>
      <w:r w:rsidR="00197EA9">
        <w:rPr>
          <w:rFonts w:ascii="Arial" w:hAnsi="Arial" w:cs="Arial"/>
        </w:rPr>
        <w:t>period)</w:t>
      </w:r>
      <w:r w:rsidR="003412DB">
        <w:rPr>
          <w:rFonts w:ascii="Arial" w:hAnsi="Arial" w:cs="Arial"/>
        </w:rPr>
        <w:t xml:space="preserve"> at a cost of $500 per hour;</w:t>
      </w:r>
    </w:p>
    <w:p w14:paraId="3F1D0AE5" w14:textId="752A3E63" w:rsidR="008522F8" w:rsidRPr="0040566B" w:rsidRDefault="00CF05CB" w:rsidP="006647E7">
      <w:pPr>
        <w:pStyle w:val="ListParagraph"/>
        <w:numPr>
          <w:ilvl w:val="0"/>
          <w:numId w:val="11"/>
        </w:numPr>
        <w:spacing w:before="240" w:line="360" w:lineRule="auto"/>
        <w:jc w:val="both"/>
        <w:rPr>
          <w:rFonts w:ascii="Arial" w:hAnsi="Arial" w:cs="Arial"/>
        </w:rPr>
      </w:pPr>
      <w:r w:rsidRPr="003635FD">
        <w:rPr>
          <w:rFonts w:ascii="Arial" w:hAnsi="Arial" w:cs="Arial"/>
        </w:rPr>
        <w:t>that on average dealership agreements last for five years (so all 3500 agreements would need to be renewed twice over a 10 year period)</w:t>
      </w:r>
      <w:r w:rsidR="003635FD" w:rsidRPr="0040566B">
        <w:rPr>
          <w:rFonts w:ascii="Arial" w:hAnsi="Arial" w:cs="Arial"/>
        </w:rPr>
        <w:t>; and</w:t>
      </w:r>
    </w:p>
    <w:p w14:paraId="1D2348DB" w14:textId="62F1159E" w:rsidR="003635FD" w:rsidRDefault="003635FD" w:rsidP="006647E7">
      <w:pPr>
        <w:pStyle w:val="ListParagraph"/>
        <w:numPr>
          <w:ilvl w:val="0"/>
          <w:numId w:val="11"/>
        </w:numPr>
        <w:spacing w:before="240" w:line="360" w:lineRule="auto"/>
        <w:jc w:val="both"/>
        <w:rPr>
          <w:rFonts w:ascii="Arial" w:hAnsi="Arial" w:cs="Arial"/>
        </w:rPr>
      </w:pPr>
      <w:r w:rsidRPr="0040566B">
        <w:rPr>
          <w:rFonts w:ascii="Arial" w:hAnsi="Arial" w:cs="Arial"/>
        </w:rPr>
        <w:t xml:space="preserve">that two staff members would attend </w:t>
      </w:r>
      <w:r w:rsidR="00197EA9">
        <w:rPr>
          <w:rFonts w:ascii="Arial" w:hAnsi="Arial" w:cs="Arial"/>
        </w:rPr>
        <w:t>a one hour</w:t>
      </w:r>
      <w:r w:rsidRPr="0040566B">
        <w:rPr>
          <w:rFonts w:ascii="Arial" w:hAnsi="Arial" w:cs="Arial"/>
        </w:rPr>
        <w:t xml:space="preserve"> meeting from the dealership and the manufacturer</w:t>
      </w:r>
      <w:r w:rsidR="00197EA9">
        <w:rPr>
          <w:rFonts w:ascii="Arial" w:hAnsi="Arial" w:cs="Arial"/>
        </w:rPr>
        <w:t xml:space="preserve"> (which would occur twice over </w:t>
      </w:r>
      <w:r w:rsidR="00015A4B">
        <w:rPr>
          <w:rFonts w:ascii="Arial" w:hAnsi="Arial" w:cs="Arial"/>
        </w:rPr>
        <w:t xml:space="preserve">a </w:t>
      </w:r>
      <w:r w:rsidR="00197EA9">
        <w:rPr>
          <w:rFonts w:ascii="Arial" w:hAnsi="Arial" w:cs="Arial"/>
        </w:rPr>
        <w:t>10 year period)</w:t>
      </w:r>
      <w:r w:rsidRPr="0040566B">
        <w:rPr>
          <w:rFonts w:ascii="Arial" w:hAnsi="Arial" w:cs="Arial"/>
        </w:rPr>
        <w:t xml:space="preserve">. </w:t>
      </w:r>
    </w:p>
    <w:p w14:paraId="21427566" w14:textId="68AAE77D" w:rsidR="0086669F" w:rsidRPr="00B54F3D" w:rsidRDefault="0086669F" w:rsidP="00B54F3D">
      <w:pPr>
        <w:spacing w:before="240" w:line="360" w:lineRule="auto"/>
        <w:jc w:val="both"/>
        <w:rPr>
          <w:rFonts w:ascii="Arial" w:hAnsi="Arial" w:cs="Arial"/>
        </w:rPr>
      </w:pPr>
      <w:r w:rsidRPr="00B54F3D">
        <w:rPr>
          <w:rFonts w:ascii="Arial" w:hAnsi="Arial" w:cs="Arial"/>
        </w:rPr>
        <w:t>For there to be a quantitative benefit</w:t>
      </w:r>
      <w:r w:rsidR="009C5CFA" w:rsidRPr="00B54F3D">
        <w:rPr>
          <w:rFonts w:ascii="Arial" w:hAnsi="Arial" w:cs="Arial"/>
        </w:rPr>
        <w:t xml:space="preserve">, the 3500 dealerships would need to benefit by more than $2.1 million a year, or $10.5 million over the course of the agreement. This implies that each dealership should be $3000 better off due to the change. Alternatively, if only 10% of the dealerships benefit, they would need to be $30,000 better off. Assume that any change would be at least in that order of magnitude, then it is reasonable to conclude that the benefit to dealerships </w:t>
      </w:r>
      <w:r w:rsidR="002A7C9A">
        <w:rPr>
          <w:rFonts w:ascii="Arial" w:hAnsi="Arial" w:cs="Arial"/>
        </w:rPr>
        <w:t>c</w:t>
      </w:r>
      <w:r w:rsidR="009C5CFA" w:rsidRPr="00B54F3D">
        <w:rPr>
          <w:rFonts w:ascii="Arial" w:hAnsi="Arial" w:cs="Arial"/>
        </w:rPr>
        <w:t>ould exceed the regulatory burden.</w:t>
      </w:r>
    </w:p>
    <w:p w14:paraId="3F1D0AEE" w14:textId="77777777" w:rsidR="00DF07F7" w:rsidRPr="006766C7" w:rsidRDefault="11FF59B9" w:rsidP="00D75EE6">
      <w:pPr>
        <w:keepNext/>
        <w:rPr>
          <w:rFonts w:ascii="Arial" w:hAnsi="Arial" w:cs="Arial"/>
          <w:b/>
          <w:bCs/>
        </w:rPr>
      </w:pPr>
      <w:r w:rsidRPr="11FF59B9">
        <w:rPr>
          <w:rFonts w:ascii="Arial" w:hAnsi="Arial" w:cs="Arial"/>
          <w:b/>
          <w:bCs/>
        </w:rPr>
        <w:t xml:space="preserve">Option </w:t>
      </w:r>
      <w:r w:rsidR="00BA11D3">
        <w:rPr>
          <w:rFonts w:ascii="Arial" w:hAnsi="Arial" w:cs="Arial"/>
          <w:b/>
          <w:bCs/>
        </w:rPr>
        <w:t>2E</w:t>
      </w:r>
      <w:r w:rsidRPr="11FF59B9">
        <w:rPr>
          <w:rFonts w:ascii="Arial" w:hAnsi="Arial" w:cs="Arial"/>
          <w:b/>
          <w:bCs/>
        </w:rPr>
        <w:t xml:space="preserve"> – Minimum five year terms with right of renewal</w:t>
      </w:r>
    </w:p>
    <w:p w14:paraId="3F1D0AEF" w14:textId="09C936F0" w:rsidR="00DF07F7" w:rsidRPr="00321FC9" w:rsidRDefault="11FF59B9" w:rsidP="11FF59B9">
      <w:pPr>
        <w:spacing w:before="240" w:line="360" w:lineRule="auto"/>
        <w:jc w:val="both"/>
        <w:rPr>
          <w:rFonts w:ascii="Arial" w:hAnsi="Arial" w:cs="Arial"/>
        </w:rPr>
      </w:pPr>
      <w:r w:rsidRPr="11FF59B9">
        <w:rPr>
          <w:rFonts w:ascii="Arial" w:hAnsi="Arial" w:cs="Arial"/>
        </w:rPr>
        <w:t xml:space="preserve">Under this option all </w:t>
      </w:r>
      <w:r w:rsidR="00DF78CC">
        <w:rPr>
          <w:rFonts w:ascii="Arial" w:hAnsi="Arial" w:cs="Arial"/>
        </w:rPr>
        <w:t xml:space="preserve">dealer </w:t>
      </w:r>
      <w:r w:rsidRPr="11FF59B9">
        <w:rPr>
          <w:rFonts w:ascii="Arial" w:hAnsi="Arial" w:cs="Arial"/>
        </w:rPr>
        <w:t xml:space="preserve">agreements would be required to have a minimum term of five years, with the </w:t>
      </w:r>
      <w:r w:rsidR="00DF78CC">
        <w:rPr>
          <w:rFonts w:ascii="Arial" w:hAnsi="Arial" w:cs="Arial"/>
        </w:rPr>
        <w:t xml:space="preserve">dealer </w:t>
      </w:r>
      <w:r w:rsidRPr="11FF59B9">
        <w:rPr>
          <w:rFonts w:ascii="Arial" w:hAnsi="Arial" w:cs="Arial"/>
        </w:rPr>
        <w:t>having the option to extend the term of the agreement by an additional five years, provided they meet the requirements outlined in the agreement.</w:t>
      </w:r>
    </w:p>
    <w:p w14:paraId="3F1D0AF0" w14:textId="77777777" w:rsidR="00DF07F7" w:rsidRDefault="11FF59B9" w:rsidP="11FF59B9">
      <w:pPr>
        <w:spacing w:before="240" w:line="360" w:lineRule="auto"/>
        <w:jc w:val="both"/>
        <w:rPr>
          <w:rFonts w:ascii="Arial" w:hAnsi="Arial" w:cs="Arial"/>
        </w:rPr>
      </w:pPr>
      <w:r w:rsidRPr="11FF59B9">
        <w:rPr>
          <w:rFonts w:ascii="Arial" w:hAnsi="Arial" w:cs="Arial"/>
        </w:rPr>
        <w:lastRenderedPageBreak/>
        <w:t>The intent of this option would be to provide car dealers with sufficient time to recoup significant capital investments they are required to undertake.</w:t>
      </w:r>
    </w:p>
    <w:p w14:paraId="3F1D0AF1" w14:textId="3CACBF20" w:rsidR="00DF07F7" w:rsidRPr="00321FC9" w:rsidRDefault="11FF59B9" w:rsidP="11FF59B9">
      <w:pPr>
        <w:spacing w:before="240" w:line="360" w:lineRule="auto"/>
        <w:jc w:val="both"/>
        <w:rPr>
          <w:rFonts w:ascii="Arial" w:hAnsi="Arial" w:cs="Arial"/>
        </w:rPr>
      </w:pPr>
      <w:r w:rsidRPr="11FF59B9">
        <w:rPr>
          <w:rFonts w:ascii="Arial" w:hAnsi="Arial" w:cs="Arial"/>
        </w:rPr>
        <w:t xml:space="preserve">Stakeholder feedback indicates that the majority of dealer agreements currently have five year terms with the franchisor having the option to renew </w:t>
      </w:r>
      <w:r w:rsidR="00B53D89">
        <w:rPr>
          <w:rFonts w:ascii="Arial" w:hAnsi="Arial" w:cs="Arial"/>
        </w:rPr>
        <w:t>the agreement</w:t>
      </w:r>
      <w:r w:rsidRPr="11FF59B9">
        <w:rPr>
          <w:rFonts w:ascii="Arial" w:hAnsi="Arial" w:cs="Arial"/>
        </w:rPr>
        <w:t>.</w:t>
      </w:r>
      <w:r w:rsidR="00B53D89">
        <w:rPr>
          <w:rStyle w:val="FootnoteReference"/>
          <w:rFonts w:ascii="Arial" w:hAnsi="Arial" w:cs="Arial"/>
        </w:rPr>
        <w:footnoteReference w:id="75"/>
      </w:r>
      <w:r w:rsidRPr="11FF59B9">
        <w:rPr>
          <w:rFonts w:ascii="Arial" w:hAnsi="Arial" w:cs="Arial"/>
        </w:rPr>
        <w:t xml:space="preserve"> This option would be broadly consistent with current industry practice, but would provide the </w:t>
      </w:r>
      <w:r w:rsidR="00DF78CC">
        <w:rPr>
          <w:rFonts w:ascii="Arial" w:hAnsi="Arial" w:cs="Arial"/>
        </w:rPr>
        <w:t>dealer</w:t>
      </w:r>
      <w:r w:rsidR="00DF78CC" w:rsidRPr="11FF59B9">
        <w:rPr>
          <w:rFonts w:ascii="Arial" w:hAnsi="Arial" w:cs="Arial"/>
        </w:rPr>
        <w:t xml:space="preserve"> </w:t>
      </w:r>
      <w:r w:rsidRPr="11FF59B9">
        <w:rPr>
          <w:rFonts w:ascii="Arial" w:hAnsi="Arial" w:cs="Arial"/>
        </w:rPr>
        <w:t xml:space="preserve">with the option to renew, rather than the </w:t>
      </w:r>
      <w:r w:rsidR="00DF78CC">
        <w:rPr>
          <w:rFonts w:ascii="Arial" w:hAnsi="Arial" w:cs="Arial"/>
        </w:rPr>
        <w:t>manufacturer</w:t>
      </w:r>
      <w:r w:rsidRPr="11FF59B9">
        <w:rPr>
          <w:rFonts w:ascii="Arial" w:hAnsi="Arial" w:cs="Arial"/>
        </w:rPr>
        <w:t>.</w:t>
      </w:r>
      <w:r w:rsidR="0078230A">
        <w:rPr>
          <w:rFonts w:ascii="Arial" w:hAnsi="Arial" w:cs="Arial"/>
        </w:rPr>
        <w:t xml:space="preserve"> </w:t>
      </w:r>
    </w:p>
    <w:p w14:paraId="3F1D0AF3" w14:textId="77777777" w:rsidR="00DF07F7" w:rsidRPr="0040566B" w:rsidRDefault="11FF59B9" w:rsidP="5996C6E7">
      <w:pPr>
        <w:rPr>
          <w:rFonts w:ascii="Arial" w:hAnsi="Arial" w:cs="Arial"/>
          <w:i/>
          <w:iCs/>
        </w:rPr>
      </w:pPr>
      <w:r w:rsidRPr="5996C6E7">
        <w:rPr>
          <w:rFonts w:ascii="Arial" w:hAnsi="Arial" w:cs="Arial"/>
          <w:i/>
          <w:iCs/>
        </w:rPr>
        <w:t>Impact on car dealers</w:t>
      </w:r>
    </w:p>
    <w:p w14:paraId="3F1D0AF4" w14:textId="6A9CAD6E" w:rsidR="00DF07F7" w:rsidRPr="00321FC9" w:rsidRDefault="11FF59B9" w:rsidP="11FF59B9">
      <w:pPr>
        <w:spacing w:before="240" w:line="360" w:lineRule="auto"/>
        <w:jc w:val="both"/>
        <w:rPr>
          <w:rFonts w:ascii="Arial" w:hAnsi="Arial" w:cs="Arial"/>
        </w:rPr>
      </w:pPr>
      <w:r w:rsidRPr="11FF59B9">
        <w:rPr>
          <w:rFonts w:ascii="Arial" w:hAnsi="Arial" w:cs="Arial"/>
        </w:rPr>
        <w:t>This o</w:t>
      </w:r>
      <w:r w:rsidR="00476958">
        <w:rPr>
          <w:rFonts w:ascii="Arial" w:hAnsi="Arial" w:cs="Arial"/>
        </w:rPr>
        <w:t xml:space="preserve">ption </w:t>
      </w:r>
      <w:r w:rsidR="002A7C9A">
        <w:rPr>
          <w:rFonts w:ascii="Arial" w:hAnsi="Arial" w:cs="Arial"/>
        </w:rPr>
        <w:t>c</w:t>
      </w:r>
      <w:r w:rsidR="00476958">
        <w:rPr>
          <w:rFonts w:ascii="Arial" w:hAnsi="Arial" w:cs="Arial"/>
        </w:rPr>
        <w:t xml:space="preserve">ould reduce </w:t>
      </w:r>
      <w:r w:rsidR="001E6F52">
        <w:rPr>
          <w:rFonts w:ascii="Arial" w:hAnsi="Arial" w:cs="Arial"/>
        </w:rPr>
        <w:t xml:space="preserve">the pressure felt by car dealers </w:t>
      </w:r>
      <w:r w:rsidRPr="11FF59B9">
        <w:rPr>
          <w:rFonts w:ascii="Arial" w:hAnsi="Arial" w:cs="Arial"/>
        </w:rPr>
        <w:t xml:space="preserve">to undertake capital investment </w:t>
      </w:r>
      <w:r w:rsidR="00AB4A66">
        <w:rPr>
          <w:rFonts w:ascii="Arial" w:hAnsi="Arial" w:cs="Arial"/>
        </w:rPr>
        <w:t>due to fear of non-renewal of their dealership agreement. Further</w:t>
      </w:r>
      <w:r w:rsidRPr="11FF59B9">
        <w:rPr>
          <w:rFonts w:ascii="Arial" w:hAnsi="Arial" w:cs="Arial"/>
        </w:rPr>
        <w:t xml:space="preserve">, where capital investment is undertaken, </w:t>
      </w:r>
      <w:r w:rsidR="00AB4A66">
        <w:rPr>
          <w:rFonts w:ascii="Arial" w:hAnsi="Arial" w:cs="Arial"/>
        </w:rPr>
        <w:t xml:space="preserve">this option </w:t>
      </w:r>
      <w:r w:rsidR="002A7C9A">
        <w:rPr>
          <w:rFonts w:ascii="Arial" w:hAnsi="Arial" w:cs="Arial"/>
        </w:rPr>
        <w:t>c</w:t>
      </w:r>
      <w:r w:rsidRPr="11FF59B9">
        <w:rPr>
          <w:rFonts w:ascii="Arial" w:hAnsi="Arial" w:cs="Arial"/>
        </w:rPr>
        <w:t>ould provide car dealers with more opportunities to recoup their investments.</w:t>
      </w:r>
      <w:r w:rsidR="00CD3D3B">
        <w:rPr>
          <w:rFonts w:ascii="Arial" w:hAnsi="Arial" w:cs="Arial"/>
        </w:rPr>
        <w:t xml:space="preserve"> Providing greater certainty of tenure </w:t>
      </w:r>
      <w:r w:rsidR="002A7C9A">
        <w:rPr>
          <w:rFonts w:ascii="Arial" w:hAnsi="Arial" w:cs="Arial"/>
        </w:rPr>
        <w:t>c</w:t>
      </w:r>
      <w:r w:rsidR="00CD3D3B">
        <w:rPr>
          <w:rFonts w:ascii="Arial" w:hAnsi="Arial" w:cs="Arial"/>
        </w:rPr>
        <w:t xml:space="preserve">ould also assist dealers </w:t>
      </w:r>
      <w:r w:rsidR="008707FC">
        <w:rPr>
          <w:rFonts w:ascii="Arial" w:hAnsi="Arial" w:cs="Arial"/>
        </w:rPr>
        <w:t xml:space="preserve">to </w:t>
      </w:r>
      <w:r w:rsidR="00CD3D3B">
        <w:rPr>
          <w:rFonts w:ascii="Arial" w:hAnsi="Arial" w:cs="Arial"/>
        </w:rPr>
        <w:t xml:space="preserve">make informed decisions as to whether to undertake capital expenditure, as they could make an assessment regarding whether they </w:t>
      </w:r>
      <w:r w:rsidR="00CB10D4">
        <w:rPr>
          <w:rFonts w:ascii="Arial" w:hAnsi="Arial" w:cs="Arial"/>
        </w:rPr>
        <w:t xml:space="preserve">may </w:t>
      </w:r>
      <w:r w:rsidR="00CD3D3B">
        <w:rPr>
          <w:rFonts w:ascii="Arial" w:hAnsi="Arial" w:cs="Arial"/>
        </w:rPr>
        <w:t>be able to recoup their investments during the term of the agreement.</w:t>
      </w:r>
    </w:p>
    <w:p w14:paraId="3F1D0AF5" w14:textId="6965A4B8" w:rsidR="00DF07F7" w:rsidRDefault="11FF59B9" w:rsidP="11FF59B9">
      <w:pPr>
        <w:spacing w:before="240" w:line="360" w:lineRule="auto"/>
        <w:jc w:val="both"/>
        <w:rPr>
          <w:rFonts w:ascii="Arial" w:hAnsi="Arial" w:cs="Arial"/>
        </w:rPr>
      </w:pPr>
      <w:r w:rsidRPr="11FF59B9">
        <w:rPr>
          <w:rFonts w:ascii="Arial" w:hAnsi="Arial" w:cs="Arial"/>
        </w:rPr>
        <w:t xml:space="preserve">Providing longer tenure and a right of renewal </w:t>
      </w:r>
      <w:r w:rsidR="002A7C9A">
        <w:rPr>
          <w:rFonts w:ascii="Arial" w:hAnsi="Arial" w:cs="Arial"/>
        </w:rPr>
        <w:t>c</w:t>
      </w:r>
      <w:r w:rsidRPr="11FF59B9">
        <w:rPr>
          <w:rFonts w:ascii="Arial" w:hAnsi="Arial" w:cs="Arial"/>
        </w:rPr>
        <w:t>ould also lessen the commercial pressure on new car dealers to put the interests of manufacturers ahead of consumers in order to maximise the likelihood that their dealer agreement will be renewed.</w:t>
      </w:r>
    </w:p>
    <w:p w14:paraId="3F1D0AF6" w14:textId="77777777" w:rsidR="00155B11" w:rsidRPr="00321FC9" w:rsidRDefault="00155B11" w:rsidP="11FF59B9">
      <w:pPr>
        <w:spacing w:before="240" w:line="360" w:lineRule="auto"/>
        <w:jc w:val="both"/>
        <w:rPr>
          <w:rFonts w:ascii="Arial" w:hAnsi="Arial" w:cs="Arial"/>
        </w:rPr>
      </w:pPr>
      <w:r>
        <w:rPr>
          <w:rFonts w:ascii="Arial" w:hAnsi="Arial" w:cs="Arial"/>
        </w:rPr>
        <w:t>Although having minimum five year terms with an automatic right of renewal would increase certainty for dealers, it would also lock them into a particular way of doing business. This could result in dealers being required to continue to stock a brand that is no</w:t>
      </w:r>
      <w:r w:rsidR="0027759B">
        <w:rPr>
          <w:rFonts w:ascii="Arial" w:hAnsi="Arial" w:cs="Arial"/>
        </w:rPr>
        <w:t>t</w:t>
      </w:r>
      <w:r>
        <w:rPr>
          <w:rFonts w:ascii="Arial" w:hAnsi="Arial" w:cs="Arial"/>
        </w:rPr>
        <w:t xml:space="preserve"> in demand due to changes in </w:t>
      </w:r>
      <w:r w:rsidR="0027759B">
        <w:rPr>
          <w:rFonts w:ascii="Arial" w:hAnsi="Arial" w:cs="Arial"/>
        </w:rPr>
        <w:t xml:space="preserve">consumer </w:t>
      </w:r>
      <w:r>
        <w:rPr>
          <w:rFonts w:ascii="Arial" w:hAnsi="Arial" w:cs="Arial"/>
        </w:rPr>
        <w:t>preferences or technology and may reduce dealers’ ability to innovate.</w:t>
      </w:r>
    </w:p>
    <w:p w14:paraId="3F1D0AF7" w14:textId="6151F07F" w:rsidR="00DF07F7" w:rsidRPr="00321FC9" w:rsidRDefault="11FF59B9" w:rsidP="11FF59B9">
      <w:pPr>
        <w:spacing w:before="240" w:line="360" w:lineRule="auto"/>
        <w:jc w:val="both"/>
        <w:rPr>
          <w:rFonts w:ascii="Arial" w:hAnsi="Arial" w:cs="Arial"/>
        </w:rPr>
      </w:pPr>
      <w:r w:rsidRPr="11FF59B9">
        <w:rPr>
          <w:rFonts w:ascii="Arial" w:hAnsi="Arial" w:cs="Arial"/>
        </w:rPr>
        <w:t xml:space="preserve">While having minimum tenure requirements may assist car dealers during the term of their agreement, in the transition to </w:t>
      </w:r>
      <w:r w:rsidR="0078230A">
        <w:rPr>
          <w:rFonts w:ascii="Arial" w:hAnsi="Arial" w:cs="Arial"/>
        </w:rPr>
        <w:t>implement this option</w:t>
      </w:r>
      <w:r w:rsidRPr="11FF59B9">
        <w:rPr>
          <w:rFonts w:ascii="Arial" w:hAnsi="Arial" w:cs="Arial"/>
        </w:rPr>
        <w:t xml:space="preserve">, some manufacturers may elect not to renew an agreement rather than be locked into a 10 year agreement. </w:t>
      </w:r>
      <w:r w:rsidR="00561D14">
        <w:rPr>
          <w:rFonts w:ascii="Arial" w:hAnsi="Arial" w:cs="Arial"/>
        </w:rPr>
        <w:t>Manufacture</w:t>
      </w:r>
      <w:r w:rsidR="00582D91">
        <w:rPr>
          <w:rFonts w:ascii="Arial" w:hAnsi="Arial" w:cs="Arial"/>
        </w:rPr>
        <w:t>r</w:t>
      </w:r>
      <w:r w:rsidR="00561D14">
        <w:rPr>
          <w:rFonts w:ascii="Arial" w:hAnsi="Arial" w:cs="Arial"/>
        </w:rPr>
        <w:t>s may also reconsider the entire dealer model (for example, by exploring direct manufacturer to consumer sales models), rather than be locked into a 10 year relationship.</w:t>
      </w:r>
      <w:r w:rsidR="00582D91">
        <w:rPr>
          <w:rFonts w:ascii="Arial" w:hAnsi="Arial" w:cs="Arial"/>
        </w:rPr>
        <w:t xml:space="preserve"> </w:t>
      </w:r>
    </w:p>
    <w:p w14:paraId="3F1D0AF8" w14:textId="77777777" w:rsidR="0094477E" w:rsidRPr="00F9581D" w:rsidRDefault="11FF59B9" w:rsidP="11FF59B9">
      <w:pPr>
        <w:spacing w:before="240" w:line="360" w:lineRule="auto"/>
        <w:jc w:val="both"/>
        <w:rPr>
          <w:rFonts w:ascii="Arial" w:hAnsi="Arial" w:cs="Arial"/>
        </w:rPr>
      </w:pPr>
      <w:r w:rsidRPr="11FF59B9">
        <w:rPr>
          <w:rFonts w:ascii="Arial" w:hAnsi="Arial" w:cs="Arial"/>
        </w:rPr>
        <w:t xml:space="preserve">For example, a manufacturer that was uncertain about the prospects of a particular dealership may have previously decided to enter into a three year agreement with the intention of reassessing the viability </w:t>
      </w:r>
      <w:r w:rsidR="001E6F52">
        <w:rPr>
          <w:rFonts w:ascii="Arial" w:hAnsi="Arial" w:cs="Arial"/>
        </w:rPr>
        <w:t>of the</w:t>
      </w:r>
      <w:r w:rsidRPr="11FF59B9">
        <w:rPr>
          <w:rFonts w:ascii="Arial" w:hAnsi="Arial" w:cs="Arial"/>
        </w:rPr>
        <w:t xml:space="preserve"> dealership at the end of the term. Instead such a manufacturer may decide to not renew an agreement, rather than be locked into what could potentially be a 10 year agreement. </w:t>
      </w:r>
    </w:p>
    <w:p w14:paraId="3F1D0AF9" w14:textId="77777777" w:rsidR="00DF07F7" w:rsidRPr="0040566B" w:rsidRDefault="11FF59B9" w:rsidP="00B54F3D">
      <w:pPr>
        <w:keepNext/>
        <w:rPr>
          <w:rFonts w:ascii="Arial" w:hAnsi="Arial" w:cs="Arial"/>
          <w:i/>
          <w:iCs/>
        </w:rPr>
      </w:pPr>
      <w:r w:rsidRPr="5996C6E7">
        <w:rPr>
          <w:rFonts w:ascii="Arial" w:hAnsi="Arial" w:cs="Arial"/>
          <w:i/>
          <w:iCs/>
        </w:rPr>
        <w:lastRenderedPageBreak/>
        <w:t>Impact on manufacturers</w:t>
      </w:r>
    </w:p>
    <w:p w14:paraId="3F1D0AFA" w14:textId="77777777" w:rsidR="00DF07F7" w:rsidRPr="00321FC9" w:rsidRDefault="11FF59B9" w:rsidP="00B54F3D">
      <w:pPr>
        <w:keepNext/>
        <w:spacing w:before="240" w:line="360" w:lineRule="auto"/>
        <w:jc w:val="both"/>
        <w:rPr>
          <w:rFonts w:ascii="Arial" w:hAnsi="Arial" w:cs="Arial"/>
        </w:rPr>
      </w:pPr>
      <w:r w:rsidRPr="11FF59B9">
        <w:rPr>
          <w:rFonts w:ascii="Arial" w:hAnsi="Arial" w:cs="Arial"/>
        </w:rPr>
        <w:t xml:space="preserve">As outlined previously, the franchising model is predicated on franchisor control over the use of </w:t>
      </w:r>
      <w:r w:rsidR="00211B7D">
        <w:rPr>
          <w:rFonts w:ascii="Arial" w:hAnsi="Arial" w:cs="Arial"/>
        </w:rPr>
        <w:t>its</w:t>
      </w:r>
      <w:r w:rsidR="00211B7D" w:rsidRPr="11FF59B9">
        <w:rPr>
          <w:rFonts w:ascii="Arial" w:hAnsi="Arial" w:cs="Arial"/>
        </w:rPr>
        <w:t xml:space="preserve"> </w:t>
      </w:r>
      <w:r w:rsidRPr="11FF59B9">
        <w:rPr>
          <w:rFonts w:ascii="Arial" w:hAnsi="Arial" w:cs="Arial"/>
        </w:rPr>
        <w:t xml:space="preserve">brand, including the geographic footprint of the brand. Having minimum five year tenure with an automatic right of renewal would curtail a manufacturer’s ability to manage </w:t>
      </w:r>
      <w:r w:rsidR="00211B7D">
        <w:rPr>
          <w:rFonts w:ascii="Arial" w:hAnsi="Arial" w:cs="Arial"/>
        </w:rPr>
        <w:t>its</w:t>
      </w:r>
      <w:r w:rsidRPr="11FF59B9">
        <w:rPr>
          <w:rFonts w:ascii="Arial" w:hAnsi="Arial" w:cs="Arial"/>
        </w:rPr>
        <w:t xml:space="preserve"> network to maximise overall profitability of the brand and dealer network. </w:t>
      </w:r>
    </w:p>
    <w:p w14:paraId="3F1D0AFB" w14:textId="525557A2" w:rsidR="00DF07F7" w:rsidRPr="00321FC9" w:rsidRDefault="00DF07F7" w:rsidP="11FF59B9">
      <w:pPr>
        <w:spacing w:before="240" w:line="360" w:lineRule="auto"/>
        <w:jc w:val="both"/>
        <w:rPr>
          <w:rFonts w:ascii="Arial" w:hAnsi="Arial" w:cs="Arial"/>
        </w:rPr>
      </w:pPr>
      <w:r w:rsidRPr="00321FC9">
        <w:rPr>
          <w:rFonts w:ascii="Arial" w:hAnsi="Arial" w:cs="Arial"/>
        </w:rPr>
        <w:t xml:space="preserve">According to the </w:t>
      </w:r>
      <w:r w:rsidR="00CF05CB">
        <w:rPr>
          <w:rFonts w:ascii="Arial" w:hAnsi="Arial" w:cs="Arial"/>
        </w:rPr>
        <w:t>Federal Chamber of Automotive Industries</w:t>
      </w:r>
      <w:r w:rsidR="00B27E74">
        <w:rPr>
          <w:rFonts w:ascii="Arial" w:hAnsi="Arial" w:cs="Arial"/>
        </w:rPr>
        <w:t xml:space="preserve"> (FCAI)</w:t>
      </w:r>
      <w:r w:rsidRPr="00321FC9">
        <w:rPr>
          <w:rFonts w:ascii="Arial" w:hAnsi="Arial" w:cs="Arial"/>
        </w:rPr>
        <w:t>, the flexibility to manage the size of the overall network plays an important role in securing the health of the overall dealer network and the brands: ‘The ability of the Distributor to manage the overall brand footprint in the market is a key to the health of all dealerships and the brand more broadly’.</w:t>
      </w:r>
      <w:r w:rsidRPr="00321FC9">
        <w:rPr>
          <w:rFonts w:ascii="Arial" w:hAnsi="Arial" w:cs="Arial"/>
          <w:vertAlign w:val="superscript"/>
        </w:rPr>
        <w:footnoteReference w:id="76"/>
      </w:r>
    </w:p>
    <w:p w14:paraId="3F1D0AFC" w14:textId="7DCB3B29" w:rsidR="00DF07F7" w:rsidRPr="00321FC9" w:rsidRDefault="11FF59B9" w:rsidP="11FF59B9">
      <w:pPr>
        <w:spacing w:before="240" w:line="360" w:lineRule="auto"/>
        <w:jc w:val="both"/>
        <w:rPr>
          <w:rFonts w:ascii="Arial" w:hAnsi="Arial" w:cs="Arial"/>
        </w:rPr>
      </w:pPr>
      <w:r w:rsidRPr="11FF59B9">
        <w:rPr>
          <w:rFonts w:ascii="Arial" w:hAnsi="Arial" w:cs="Arial"/>
        </w:rPr>
        <w:t xml:space="preserve">For example, </w:t>
      </w:r>
      <w:r w:rsidR="00A64F3F">
        <w:rPr>
          <w:rFonts w:ascii="Arial" w:hAnsi="Arial" w:cs="Arial"/>
        </w:rPr>
        <w:t>it is unlikely to be sustainable for a manufacturer whose market share halves over a 10 year period to maintain the same sized dealer network in year 1 and year 10 (assuming that initially the brand had an appropriately sized dealer network).</w:t>
      </w:r>
      <w:r w:rsidRPr="11FF59B9">
        <w:rPr>
          <w:rFonts w:ascii="Arial" w:hAnsi="Arial" w:cs="Arial"/>
        </w:rPr>
        <w:t xml:space="preserve"> In order to ensure the profitability of the brand and the entire dealer</w:t>
      </w:r>
      <w:r w:rsidR="00A64F3F">
        <w:rPr>
          <w:rFonts w:ascii="Arial" w:hAnsi="Arial" w:cs="Arial"/>
        </w:rPr>
        <w:t xml:space="preserve"> network</w:t>
      </w:r>
      <w:r w:rsidRPr="11FF59B9">
        <w:rPr>
          <w:rFonts w:ascii="Arial" w:hAnsi="Arial" w:cs="Arial"/>
        </w:rPr>
        <w:t xml:space="preserve">, the manufacturer may seek to reduce </w:t>
      </w:r>
      <w:r w:rsidR="00A64F3F">
        <w:rPr>
          <w:rFonts w:ascii="Arial" w:hAnsi="Arial" w:cs="Arial"/>
        </w:rPr>
        <w:t xml:space="preserve">the size of </w:t>
      </w:r>
      <w:r w:rsidR="005804DD">
        <w:rPr>
          <w:rFonts w:ascii="Arial" w:hAnsi="Arial" w:cs="Arial"/>
        </w:rPr>
        <w:t xml:space="preserve">their </w:t>
      </w:r>
      <w:r w:rsidR="00A64F3F">
        <w:rPr>
          <w:rFonts w:ascii="Arial" w:hAnsi="Arial" w:cs="Arial"/>
        </w:rPr>
        <w:t>dealer footprint</w:t>
      </w:r>
      <w:r w:rsidRPr="11FF59B9">
        <w:rPr>
          <w:rFonts w:ascii="Arial" w:hAnsi="Arial" w:cs="Arial"/>
        </w:rPr>
        <w:t xml:space="preserve">. </w:t>
      </w:r>
    </w:p>
    <w:p w14:paraId="3F1D0AFD" w14:textId="7B6D26D1" w:rsidR="00DF07F7" w:rsidRDefault="11FF59B9" w:rsidP="11FF59B9">
      <w:pPr>
        <w:spacing w:before="240" w:line="360" w:lineRule="auto"/>
        <w:jc w:val="both"/>
        <w:rPr>
          <w:rFonts w:ascii="Arial" w:hAnsi="Arial" w:cs="Arial"/>
        </w:rPr>
      </w:pPr>
      <w:r w:rsidRPr="11FF59B9">
        <w:rPr>
          <w:rFonts w:ascii="Arial" w:hAnsi="Arial" w:cs="Arial"/>
        </w:rPr>
        <w:t xml:space="preserve">The ability to have flexibility in managing networks and in managing relationships with dealers will become increasingly important in the coming years as the new car retailing sector adapts in response to technological improvements and changes in consumer preferences. Having what could effectively be 10 year terms could lock in particular ways of doing business at a time when innovation and change </w:t>
      </w:r>
      <w:r w:rsidR="00CB10D4">
        <w:rPr>
          <w:rFonts w:ascii="Arial" w:hAnsi="Arial" w:cs="Arial"/>
        </w:rPr>
        <w:t>may</w:t>
      </w:r>
      <w:r w:rsidR="00CB10D4" w:rsidRPr="11FF59B9">
        <w:rPr>
          <w:rFonts w:ascii="Arial" w:hAnsi="Arial" w:cs="Arial"/>
        </w:rPr>
        <w:t xml:space="preserve"> </w:t>
      </w:r>
      <w:r w:rsidRPr="11FF59B9">
        <w:rPr>
          <w:rFonts w:ascii="Arial" w:hAnsi="Arial" w:cs="Arial"/>
        </w:rPr>
        <w:t>be required to adjust to chang</w:t>
      </w:r>
      <w:r w:rsidR="0027759B">
        <w:rPr>
          <w:rFonts w:ascii="Arial" w:hAnsi="Arial" w:cs="Arial"/>
        </w:rPr>
        <w:t>ing business conditions</w:t>
      </w:r>
      <w:r w:rsidRPr="11FF59B9">
        <w:rPr>
          <w:rFonts w:ascii="Arial" w:hAnsi="Arial" w:cs="Arial"/>
        </w:rPr>
        <w:t xml:space="preserve">. </w:t>
      </w:r>
    </w:p>
    <w:p w14:paraId="3F1D0AFE" w14:textId="57D42F52" w:rsidR="00DF07F7" w:rsidRPr="00321FC9" w:rsidRDefault="00A502B9" w:rsidP="11FF59B9">
      <w:pPr>
        <w:spacing w:before="240" w:line="360" w:lineRule="auto"/>
        <w:jc w:val="both"/>
        <w:rPr>
          <w:rFonts w:ascii="Arial" w:hAnsi="Arial" w:cs="Arial"/>
        </w:rPr>
      </w:pPr>
      <w:r>
        <w:rPr>
          <w:rFonts w:ascii="Arial" w:hAnsi="Arial" w:cs="Arial"/>
        </w:rPr>
        <w:t xml:space="preserve">This option </w:t>
      </w:r>
      <w:r w:rsidR="002A7C9A">
        <w:rPr>
          <w:rFonts w:ascii="Arial" w:hAnsi="Arial" w:cs="Arial"/>
        </w:rPr>
        <w:t>c</w:t>
      </w:r>
      <w:r>
        <w:rPr>
          <w:rFonts w:ascii="Arial" w:hAnsi="Arial" w:cs="Arial"/>
        </w:rPr>
        <w:t xml:space="preserve">ould </w:t>
      </w:r>
      <w:r w:rsidR="009C21C0">
        <w:rPr>
          <w:rFonts w:ascii="Arial" w:hAnsi="Arial" w:cs="Arial"/>
        </w:rPr>
        <w:t xml:space="preserve">also </w:t>
      </w:r>
      <w:r>
        <w:rPr>
          <w:rFonts w:ascii="Arial" w:hAnsi="Arial" w:cs="Arial"/>
        </w:rPr>
        <w:t xml:space="preserve">represent a barrier to entry for new car manufacturers looking to enter the Australian market. Industry consultation suggests that it is common for new entrants to initially have relatively short agreements (one to two years) as they test the Australian market. Minimum tenure </w:t>
      </w:r>
      <w:r w:rsidR="002A7C9A">
        <w:rPr>
          <w:rFonts w:ascii="Arial" w:hAnsi="Arial" w:cs="Arial"/>
        </w:rPr>
        <w:t>c</w:t>
      </w:r>
      <w:r>
        <w:rPr>
          <w:rFonts w:ascii="Arial" w:hAnsi="Arial" w:cs="Arial"/>
        </w:rPr>
        <w:t xml:space="preserve">ould prohibit this practice and may restrict </w:t>
      </w:r>
      <w:r w:rsidR="009C21C0">
        <w:rPr>
          <w:rFonts w:ascii="Arial" w:hAnsi="Arial" w:cs="Arial"/>
        </w:rPr>
        <w:t>manufacturers’</w:t>
      </w:r>
      <w:r>
        <w:rPr>
          <w:rFonts w:ascii="Arial" w:hAnsi="Arial" w:cs="Arial"/>
        </w:rPr>
        <w:t xml:space="preserve"> ability to enter into the Australian market, particularly as dealers may be unwilling to sign a five year agreement with an untested brand.</w:t>
      </w:r>
    </w:p>
    <w:p w14:paraId="3F1D0AFF" w14:textId="77777777" w:rsidR="00DF07F7" w:rsidRPr="0040566B" w:rsidRDefault="11FF59B9">
      <w:pPr>
        <w:rPr>
          <w:rFonts w:ascii="Arial" w:hAnsi="Arial" w:cs="Arial"/>
          <w:i/>
          <w:iCs/>
        </w:rPr>
      </w:pPr>
      <w:r w:rsidRPr="5996C6E7">
        <w:rPr>
          <w:rFonts w:ascii="Arial" w:hAnsi="Arial" w:cs="Arial"/>
          <w:i/>
          <w:iCs/>
        </w:rPr>
        <w:t>Net benefit</w:t>
      </w:r>
    </w:p>
    <w:p w14:paraId="3F1D0B00" w14:textId="7E5BA48A" w:rsidR="00DF07F7" w:rsidRPr="00321FC9" w:rsidRDefault="11FF59B9" w:rsidP="11FF59B9">
      <w:pPr>
        <w:spacing w:before="240" w:line="360" w:lineRule="auto"/>
        <w:jc w:val="both"/>
        <w:rPr>
          <w:rFonts w:ascii="Arial" w:hAnsi="Arial" w:cs="Arial"/>
        </w:rPr>
      </w:pPr>
      <w:r w:rsidRPr="11FF59B9">
        <w:rPr>
          <w:rFonts w:ascii="Arial" w:hAnsi="Arial" w:cs="Arial"/>
        </w:rPr>
        <w:t>Although this option would reduce the commercial pressure on new car dealers</w:t>
      </w:r>
      <w:r w:rsidR="0094477E">
        <w:rPr>
          <w:rFonts w:ascii="Arial" w:hAnsi="Arial" w:cs="Arial"/>
        </w:rPr>
        <w:t xml:space="preserve">, it </w:t>
      </w:r>
      <w:r w:rsidR="002A7C9A">
        <w:rPr>
          <w:rFonts w:ascii="Arial" w:hAnsi="Arial" w:cs="Arial"/>
        </w:rPr>
        <w:t>c</w:t>
      </w:r>
      <w:r w:rsidR="0094477E">
        <w:rPr>
          <w:rFonts w:ascii="Arial" w:hAnsi="Arial" w:cs="Arial"/>
        </w:rPr>
        <w:t xml:space="preserve">ould </w:t>
      </w:r>
      <w:r w:rsidRPr="11FF59B9">
        <w:rPr>
          <w:rFonts w:ascii="Arial" w:hAnsi="Arial" w:cs="Arial"/>
        </w:rPr>
        <w:t xml:space="preserve">restrict manufacturers’ ability to control the size and location of its dealer networks. It </w:t>
      </w:r>
      <w:r w:rsidR="002A7C9A">
        <w:rPr>
          <w:rFonts w:ascii="Arial" w:hAnsi="Arial" w:cs="Arial"/>
        </w:rPr>
        <w:t>c</w:t>
      </w:r>
      <w:r w:rsidRPr="11FF59B9">
        <w:rPr>
          <w:rFonts w:ascii="Arial" w:hAnsi="Arial" w:cs="Arial"/>
        </w:rPr>
        <w:t xml:space="preserve">ould also restrict both parties to enter into contracts with terms that meet their needs. </w:t>
      </w:r>
      <w:r w:rsidR="00B14681">
        <w:rPr>
          <w:rFonts w:ascii="Arial" w:hAnsi="Arial" w:cs="Arial"/>
        </w:rPr>
        <w:t>In relation to the autom</w:t>
      </w:r>
      <w:r w:rsidR="00213E96">
        <w:rPr>
          <w:rFonts w:ascii="Arial" w:hAnsi="Arial" w:cs="Arial"/>
        </w:rPr>
        <w:t>atic</w:t>
      </w:r>
      <w:r w:rsidR="00B14681">
        <w:rPr>
          <w:rFonts w:ascii="Arial" w:hAnsi="Arial" w:cs="Arial"/>
        </w:rPr>
        <w:t xml:space="preserve"> right to renewal, this option could also force unwilling parties to enter into a commercial relationship</w:t>
      </w:r>
      <w:r w:rsidR="0027759B">
        <w:rPr>
          <w:rFonts w:ascii="Arial" w:hAnsi="Arial" w:cs="Arial"/>
        </w:rPr>
        <w:t>, contrary to the existing principles of the Franchising Code and the CCA</w:t>
      </w:r>
      <w:r w:rsidR="00B14681">
        <w:rPr>
          <w:rFonts w:ascii="Arial" w:hAnsi="Arial" w:cs="Arial"/>
        </w:rPr>
        <w:t xml:space="preserve">. </w:t>
      </w:r>
      <w:r w:rsidR="008503C6">
        <w:rPr>
          <w:rFonts w:ascii="Arial" w:hAnsi="Arial" w:cs="Arial"/>
        </w:rPr>
        <w:t xml:space="preserve">This option could </w:t>
      </w:r>
      <w:r w:rsidR="00D806CD">
        <w:rPr>
          <w:rFonts w:ascii="Arial" w:hAnsi="Arial" w:cs="Arial"/>
        </w:rPr>
        <w:t xml:space="preserve">adversely impact consumers by reducing </w:t>
      </w:r>
      <w:r w:rsidR="00454889">
        <w:rPr>
          <w:rFonts w:ascii="Arial" w:hAnsi="Arial" w:cs="Arial"/>
        </w:rPr>
        <w:t xml:space="preserve">choice and the benefits of </w:t>
      </w:r>
      <w:r w:rsidR="00D806CD">
        <w:rPr>
          <w:rFonts w:ascii="Arial" w:hAnsi="Arial" w:cs="Arial"/>
        </w:rPr>
        <w:lastRenderedPageBreak/>
        <w:t>pric</w:t>
      </w:r>
      <w:r w:rsidR="00454889">
        <w:rPr>
          <w:rFonts w:ascii="Arial" w:hAnsi="Arial" w:cs="Arial"/>
        </w:rPr>
        <w:t>e</w:t>
      </w:r>
      <w:r w:rsidR="00D806CD">
        <w:rPr>
          <w:rFonts w:ascii="Arial" w:hAnsi="Arial" w:cs="Arial"/>
        </w:rPr>
        <w:t xml:space="preserve"> competition.</w:t>
      </w:r>
      <w:r w:rsidR="008503C6">
        <w:rPr>
          <w:rFonts w:ascii="Arial" w:hAnsi="Arial" w:cs="Arial"/>
        </w:rPr>
        <w:t xml:space="preserve"> </w:t>
      </w:r>
      <w:r w:rsidR="0078230A">
        <w:rPr>
          <w:rFonts w:ascii="Arial" w:hAnsi="Arial" w:cs="Arial"/>
        </w:rPr>
        <w:t xml:space="preserve">Given that option </w:t>
      </w:r>
      <w:r w:rsidR="00B62B7F">
        <w:rPr>
          <w:rFonts w:ascii="Arial" w:hAnsi="Arial" w:cs="Arial"/>
        </w:rPr>
        <w:t xml:space="preserve">2D </w:t>
      </w:r>
      <w:r w:rsidR="0078230A">
        <w:rPr>
          <w:rFonts w:ascii="Arial" w:hAnsi="Arial" w:cs="Arial"/>
        </w:rPr>
        <w:t xml:space="preserve">is expected to address much of the harm associated with car dealers being required to undertake significant capital expenditure without many of the downsides associated with having minimum tenure, option </w:t>
      </w:r>
      <w:r w:rsidR="00B62B7F">
        <w:rPr>
          <w:rFonts w:ascii="Arial" w:hAnsi="Arial" w:cs="Arial"/>
        </w:rPr>
        <w:t xml:space="preserve">2E </w:t>
      </w:r>
      <w:r w:rsidR="0078230A">
        <w:rPr>
          <w:rFonts w:ascii="Arial" w:hAnsi="Arial" w:cs="Arial"/>
        </w:rPr>
        <w:t>does not have the highest net benefit and is therefore not a recommended option.</w:t>
      </w:r>
      <w:r w:rsidRPr="11FF59B9">
        <w:rPr>
          <w:rFonts w:ascii="Arial" w:hAnsi="Arial" w:cs="Arial"/>
        </w:rPr>
        <w:t xml:space="preserve"> </w:t>
      </w:r>
    </w:p>
    <w:p w14:paraId="3F1D0B01" w14:textId="77777777" w:rsidR="00686ED4" w:rsidRPr="0040566B" w:rsidRDefault="00686ED4" w:rsidP="0040566B">
      <w:pPr>
        <w:spacing w:before="240" w:line="360" w:lineRule="auto"/>
        <w:jc w:val="both"/>
        <w:rPr>
          <w:rFonts w:ascii="Arial" w:hAnsi="Arial" w:cs="Arial"/>
          <w:i/>
          <w:iCs/>
        </w:rPr>
      </w:pPr>
      <w:r w:rsidRPr="0040566B">
        <w:rPr>
          <w:rFonts w:ascii="Arial" w:hAnsi="Arial" w:cs="Arial"/>
          <w:i/>
          <w:iCs/>
        </w:rPr>
        <w:t>Regulatory burden</w:t>
      </w:r>
    </w:p>
    <w:tbl>
      <w:tblPr>
        <w:tblStyle w:val="LightGrid-Accent2"/>
        <w:tblW w:w="9464" w:type="dxa"/>
        <w:tblLook w:val="04A0" w:firstRow="1" w:lastRow="0" w:firstColumn="1" w:lastColumn="0" w:noHBand="0" w:noVBand="1"/>
        <w:tblCaption w:val="Regulatory burden estimate table"/>
        <w:tblDescription w:val="Average annual regulatory costs for option 2E. Total average annual regulatory cost to business is $0.175 million."/>
      </w:tblPr>
      <w:tblGrid>
        <w:gridCol w:w="2128"/>
        <w:gridCol w:w="1646"/>
        <w:gridCol w:w="2170"/>
        <w:gridCol w:w="1946"/>
        <w:gridCol w:w="1574"/>
      </w:tblGrid>
      <w:tr w:rsidR="00686ED4" w:rsidRPr="009C21C0" w14:paraId="3F1D0B03" w14:textId="77777777" w:rsidTr="0040566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9464" w:type="dxa"/>
            <w:gridSpan w:val="5"/>
            <w:noWrap/>
          </w:tcPr>
          <w:p w14:paraId="3F1D0B02" w14:textId="77777777" w:rsidR="00686ED4" w:rsidRPr="009C21C0" w:rsidRDefault="00686ED4" w:rsidP="00E2100B">
            <w:pPr>
              <w:rPr>
                <w:rFonts w:ascii="Arial" w:hAnsi="Arial" w:cs="Arial"/>
                <w:sz w:val="20"/>
                <w:szCs w:val="20"/>
              </w:rPr>
            </w:pPr>
            <w:r w:rsidRPr="009C21C0">
              <w:rPr>
                <w:rFonts w:ascii="Arial" w:hAnsi="Arial" w:cs="Arial"/>
                <w:sz w:val="20"/>
                <w:szCs w:val="20"/>
              </w:rPr>
              <w:t xml:space="preserve">Total Option </w:t>
            </w:r>
            <w:r w:rsidR="00276895" w:rsidRPr="009C21C0">
              <w:rPr>
                <w:rFonts w:ascii="Arial" w:hAnsi="Arial" w:cs="Arial"/>
                <w:sz w:val="20"/>
                <w:szCs w:val="20"/>
              </w:rPr>
              <w:t>2E</w:t>
            </w:r>
            <w:r w:rsidRPr="009C21C0">
              <w:rPr>
                <w:rFonts w:ascii="Arial" w:hAnsi="Arial" w:cs="Arial"/>
                <w:sz w:val="20"/>
                <w:szCs w:val="20"/>
              </w:rPr>
              <w:t xml:space="preserve"> Costs - Average annual regulatory costs (ten years)</w:t>
            </w:r>
          </w:p>
        </w:tc>
      </w:tr>
      <w:tr w:rsidR="00686ED4" w:rsidRPr="009C21C0" w14:paraId="3F1D0B09" w14:textId="77777777" w:rsidTr="0040566B">
        <w:trPr>
          <w:trHeight w:val="300"/>
        </w:trPr>
        <w:tc>
          <w:tcPr>
            <w:cnfStyle w:val="001000000000" w:firstRow="0" w:lastRow="0" w:firstColumn="1" w:lastColumn="0" w:oddVBand="0" w:evenVBand="0" w:oddHBand="0" w:evenHBand="0" w:firstRowFirstColumn="0" w:firstRowLastColumn="0" w:lastRowFirstColumn="0" w:lastRowLastColumn="0"/>
            <w:tcW w:w="2128" w:type="dxa"/>
            <w:noWrap/>
          </w:tcPr>
          <w:p w14:paraId="3F1D0B04" w14:textId="77777777" w:rsidR="00686ED4" w:rsidRPr="0040566B" w:rsidRDefault="00686ED4">
            <w:pPr>
              <w:pStyle w:val="TableText"/>
              <w:rPr>
                <w:b w:val="0"/>
              </w:rPr>
            </w:pPr>
            <w:r w:rsidRPr="009C21C0">
              <w:t>Change in costs</w:t>
            </w:r>
            <w:r w:rsidRPr="0040566B">
              <w:rPr>
                <w:rFonts w:cs="Calibri"/>
              </w:rPr>
              <w:t xml:space="preserve"> ($ million)</w:t>
            </w:r>
          </w:p>
        </w:tc>
        <w:tc>
          <w:tcPr>
            <w:tcW w:w="1646" w:type="dxa"/>
            <w:noWrap/>
          </w:tcPr>
          <w:p w14:paraId="3F1D0B05" w14:textId="77777777" w:rsidR="00686ED4" w:rsidRPr="009C21C0" w:rsidRDefault="00686ED4" w:rsidP="00E2100B">
            <w:pPr>
              <w:pStyle w:val="TableText"/>
              <w:cnfStyle w:val="000000000000" w:firstRow="0" w:lastRow="0" w:firstColumn="0" w:lastColumn="0" w:oddVBand="0" w:evenVBand="0" w:oddHBand="0" w:evenHBand="0" w:firstRowFirstColumn="0" w:firstRowLastColumn="0" w:lastRowFirstColumn="0" w:lastRowLastColumn="0"/>
            </w:pPr>
            <w:r w:rsidRPr="009C21C0">
              <w:t>Business</w:t>
            </w:r>
          </w:p>
        </w:tc>
        <w:tc>
          <w:tcPr>
            <w:tcW w:w="2170" w:type="dxa"/>
            <w:noWrap/>
          </w:tcPr>
          <w:p w14:paraId="3F1D0B06" w14:textId="77777777" w:rsidR="00686ED4" w:rsidRPr="009C21C0" w:rsidRDefault="00686ED4" w:rsidP="00E2100B">
            <w:pPr>
              <w:pStyle w:val="TableText"/>
              <w:cnfStyle w:val="000000000000" w:firstRow="0" w:lastRow="0" w:firstColumn="0" w:lastColumn="0" w:oddVBand="0" w:evenVBand="0" w:oddHBand="0" w:evenHBand="0" w:firstRowFirstColumn="0" w:firstRowLastColumn="0" w:lastRowFirstColumn="0" w:lastRowLastColumn="0"/>
            </w:pPr>
            <w:r w:rsidRPr="0040566B">
              <w:rPr>
                <w:rFonts w:cs="Calibri"/>
              </w:rPr>
              <w:t>Community organisations</w:t>
            </w:r>
          </w:p>
        </w:tc>
        <w:tc>
          <w:tcPr>
            <w:tcW w:w="1946" w:type="dxa"/>
            <w:noWrap/>
          </w:tcPr>
          <w:p w14:paraId="3F1D0B07" w14:textId="77777777" w:rsidR="00686ED4" w:rsidRPr="009C21C0" w:rsidRDefault="00686ED4" w:rsidP="00E2100B">
            <w:pPr>
              <w:pStyle w:val="TableText"/>
              <w:cnfStyle w:val="000000000000" w:firstRow="0" w:lastRow="0" w:firstColumn="0" w:lastColumn="0" w:oddVBand="0" w:evenVBand="0" w:oddHBand="0" w:evenHBand="0" w:firstRowFirstColumn="0" w:firstRowLastColumn="0" w:lastRowFirstColumn="0" w:lastRowLastColumn="0"/>
            </w:pPr>
            <w:r w:rsidRPr="009C21C0">
              <w:t>Individuals</w:t>
            </w:r>
          </w:p>
        </w:tc>
        <w:tc>
          <w:tcPr>
            <w:tcW w:w="1574" w:type="dxa"/>
            <w:noWrap/>
          </w:tcPr>
          <w:p w14:paraId="3F1D0B08" w14:textId="77777777" w:rsidR="00686ED4" w:rsidRPr="009C21C0" w:rsidRDefault="00686ED4" w:rsidP="00E2100B">
            <w:pPr>
              <w:pStyle w:val="TableText"/>
              <w:cnfStyle w:val="000000000000" w:firstRow="0" w:lastRow="0" w:firstColumn="0" w:lastColumn="0" w:oddVBand="0" w:evenVBand="0" w:oddHBand="0" w:evenHBand="0" w:firstRowFirstColumn="0" w:firstRowLastColumn="0" w:lastRowFirstColumn="0" w:lastRowLastColumn="0"/>
            </w:pPr>
            <w:r w:rsidRPr="0040566B">
              <w:rPr>
                <w:rFonts w:cs="Calibri"/>
              </w:rPr>
              <w:t>Total change in cost</w:t>
            </w:r>
          </w:p>
        </w:tc>
      </w:tr>
      <w:tr w:rsidR="00686ED4" w:rsidRPr="009C21C0" w14:paraId="3F1D0B0F" w14:textId="77777777" w:rsidTr="0040566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8" w:type="dxa"/>
            <w:noWrap/>
          </w:tcPr>
          <w:p w14:paraId="3F1D0B0A" w14:textId="77777777" w:rsidR="00686ED4" w:rsidRPr="0040566B" w:rsidRDefault="00686ED4">
            <w:pPr>
              <w:pStyle w:val="TableText"/>
              <w:rPr>
                <w:b w:val="0"/>
              </w:rPr>
            </w:pPr>
            <w:r w:rsidRPr="009C21C0">
              <w:t>Total, by sector</w:t>
            </w:r>
          </w:p>
        </w:tc>
        <w:tc>
          <w:tcPr>
            <w:tcW w:w="1646" w:type="dxa"/>
            <w:noWrap/>
          </w:tcPr>
          <w:p w14:paraId="3F1D0B0B" w14:textId="400334AC" w:rsidR="00686ED4" w:rsidRPr="0040566B" w:rsidRDefault="00686ED4">
            <w:pPr>
              <w:pStyle w:val="TableText"/>
              <w:cnfStyle w:val="000000010000" w:firstRow="0" w:lastRow="0" w:firstColumn="0" w:lastColumn="0" w:oddVBand="0" w:evenVBand="0" w:oddHBand="0" w:evenHBand="1" w:firstRowFirstColumn="0" w:firstRowLastColumn="0" w:lastRowFirstColumn="0" w:lastRowLastColumn="0"/>
              <w:rPr>
                <w:rFonts w:cs="Calibri"/>
              </w:rPr>
            </w:pPr>
            <w:r w:rsidRPr="0040566B">
              <w:rPr>
                <w:rFonts w:cs="Calibri"/>
              </w:rPr>
              <w:t>$0.</w:t>
            </w:r>
            <w:r w:rsidR="0019015C">
              <w:rPr>
                <w:rFonts w:cs="Calibri"/>
              </w:rPr>
              <w:t>175</w:t>
            </w:r>
          </w:p>
        </w:tc>
        <w:tc>
          <w:tcPr>
            <w:tcW w:w="2170" w:type="dxa"/>
            <w:noWrap/>
          </w:tcPr>
          <w:p w14:paraId="3F1D0B0C" w14:textId="77777777" w:rsidR="00686ED4" w:rsidRPr="009C21C0" w:rsidRDefault="00686ED4" w:rsidP="00E2100B">
            <w:pPr>
              <w:pStyle w:val="TableText"/>
              <w:cnfStyle w:val="000000010000" w:firstRow="0" w:lastRow="0" w:firstColumn="0" w:lastColumn="0" w:oddVBand="0" w:evenVBand="0" w:oddHBand="0" w:evenHBand="1" w:firstRowFirstColumn="0" w:firstRowLastColumn="0" w:lastRowFirstColumn="0" w:lastRowLastColumn="0"/>
              <w:rPr>
                <w:rFonts w:cs="Calibri"/>
                <w:iCs/>
              </w:rPr>
            </w:pPr>
          </w:p>
        </w:tc>
        <w:tc>
          <w:tcPr>
            <w:tcW w:w="1946" w:type="dxa"/>
            <w:noWrap/>
          </w:tcPr>
          <w:p w14:paraId="3F1D0B0D" w14:textId="77777777" w:rsidR="00686ED4" w:rsidRPr="009C21C0" w:rsidRDefault="00686ED4" w:rsidP="00E2100B">
            <w:pPr>
              <w:pStyle w:val="TableText"/>
              <w:cnfStyle w:val="000000010000" w:firstRow="0" w:lastRow="0" w:firstColumn="0" w:lastColumn="0" w:oddVBand="0" w:evenVBand="0" w:oddHBand="0" w:evenHBand="1" w:firstRowFirstColumn="0" w:firstRowLastColumn="0" w:lastRowFirstColumn="0" w:lastRowLastColumn="0"/>
              <w:rPr>
                <w:rFonts w:cs="Calibri"/>
                <w:iCs/>
              </w:rPr>
            </w:pPr>
          </w:p>
        </w:tc>
        <w:tc>
          <w:tcPr>
            <w:tcW w:w="1574" w:type="dxa"/>
            <w:noWrap/>
          </w:tcPr>
          <w:p w14:paraId="3F1D0B0E" w14:textId="56087650" w:rsidR="00686ED4" w:rsidRPr="0040566B" w:rsidRDefault="00686ED4" w:rsidP="0019015C">
            <w:pPr>
              <w:pStyle w:val="TableText"/>
              <w:cnfStyle w:val="000000010000" w:firstRow="0" w:lastRow="0" w:firstColumn="0" w:lastColumn="0" w:oddVBand="0" w:evenVBand="0" w:oddHBand="0" w:evenHBand="1" w:firstRowFirstColumn="0" w:firstRowLastColumn="0" w:lastRowFirstColumn="0" w:lastRowLastColumn="0"/>
              <w:rPr>
                <w:rFonts w:cs="Calibri"/>
              </w:rPr>
            </w:pPr>
            <w:r w:rsidRPr="0040566B">
              <w:rPr>
                <w:rFonts w:cs="Calibri"/>
              </w:rPr>
              <w:t>$0.</w:t>
            </w:r>
            <w:r w:rsidR="0019015C">
              <w:rPr>
                <w:rFonts w:cs="Calibri"/>
              </w:rPr>
              <w:t>175</w:t>
            </w:r>
          </w:p>
        </w:tc>
      </w:tr>
    </w:tbl>
    <w:p w14:paraId="6E9D6BC2" w14:textId="3E811F35" w:rsidR="00DE61D7" w:rsidRDefault="00261CD8" w:rsidP="0040566B">
      <w:pPr>
        <w:spacing w:before="240" w:line="360" w:lineRule="auto"/>
        <w:jc w:val="both"/>
        <w:rPr>
          <w:rFonts w:ascii="Arial" w:hAnsi="Arial" w:cs="Arial"/>
        </w:rPr>
      </w:pPr>
      <w:r w:rsidRPr="009C21C0">
        <w:rPr>
          <w:rFonts w:ascii="Arial" w:hAnsi="Arial" w:cs="Arial"/>
        </w:rPr>
        <w:t>This option has a relatively low regulatory burden</w:t>
      </w:r>
      <w:r w:rsidR="0094477E" w:rsidRPr="009C21C0">
        <w:rPr>
          <w:rFonts w:ascii="Arial" w:hAnsi="Arial" w:cs="Arial"/>
        </w:rPr>
        <w:t xml:space="preserve"> but potentially has significant economic ramifications</w:t>
      </w:r>
      <w:r w:rsidRPr="009C21C0">
        <w:rPr>
          <w:rFonts w:ascii="Arial" w:hAnsi="Arial" w:cs="Arial"/>
        </w:rPr>
        <w:t xml:space="preserve">. </w:t>
      </w:r>
      <w:r w:rsidR="000007AB">
        <w:rPr>
          <w:rFonts w:ascii="Arial" w:hAnsi="Arial" w:cs="Arial"/>
        </w:rPr>
        <w:t xml:space="preserve">Specifically the lack of flexibility for manufacturers in changing market conditions could result in substantial costs, and a requirement for such long fixed terms could alter the decisions of manufacturers to enter </w:t>
      </w:r>
      <w:r w:rsidR="0011279F">
        <w:rPr>
          <w:rFonts w:ascii="Arial" w:hAnsi="Arial" w:cs="Arial"/>
        </w:rPr>
        <w:t xml:space="preserve">into </w:t>
      </w:r>
      <w:r w:rsidR="000007AB">
        <w:rPr>
          <w:rFonts w:ascii="Arial" w:hAnsi="Arial" w:cs="Arial"/>
        </w:rPr>
        <w:t xml:space="preserve">dealership agreements or, in the case of new entrants, the Australian market. </w:t>
      </w:r>
    </w:p>
    <w:p w14:paraId="06F5833F" w14:textId="342E93AB" w:rsidR="001249DE" w:rsidRDefault="001249DE" w:rsidP="001249DE">
      <w:pPr>
        <w:spacing w:before="240" w:line="360" w:lineRule="auto"/>
        <w:jc w:val="both"/>
        <w:rPr>
          <w:rFonts w:ascii="Arial" w:hAnsi="Arial" w:cs="Arial"/>
        </w:rPr>
      </w:pPr>
      <w:r>
        <w:rPr>
          <w:rFonts w:ascii="Arial" w:hAnsi="Arial" w:cs="Arial"/>
        </w:rPr>
        <w:t>The regulatory burden incurred by manufacturers</w:t>
      </w:r>
      <w:r w:rsidR="00D828E9">
        <w:rPr>
          <w:rFonts w:ascii="Arial" w:hAnsi="Arial" w:cs="Arial"/>
        </w:rPr>
        <w:t xml:space="preserve"> </w:t>
      </w:r>
      <w:r>
        <w:rPr>
          <w:rFonts w:ascii="Arial" w:hAnsi="Arial" w:cs="Arial"/>
        </w:rPr>
        <w:t>has been calculated to assume:</w:t>
      </w:r>
    </w:p>
    <w:p w14:paraId="13B8C674" w14:textId="77777777" w:rsidR="001249DE" w:rsidRDefault="001249DE" w:rsidP="006647E7">
      <w:pPr>
        <w:pStyle w:val="ListParagraph"/>
        <w:numPr>
          <w:ilvl w:val="0"/>
          <w:numId w:val="16"/>
        </w:numPr>
        <w:spacing w:before="240" w:line="360" w:lineRule="auto"/>
        <w:jc w:val="both"/>
        <w:rPr>
          <w:rFonts w:ascii="Arial" w:hAnsi="Arial" w:cs="Arial"/>
        </w:rPr>
      </w:pPr>
      <w:r>
        <w:rPr>
          <w:rFonts w:ascii="Arial" w:hAnsi="Arial" w:cs="Arial"/>
        </w:rPr>
        <w:t>it would take a lawyer one hour to draft the new term in their agreements at a cost of $500 per hour; and</w:t>
      </w:r>
    </w:p>
    <w:p w14:paraId="32A21D51" w14:textId="77777777" w:rsidR="001249DE" w:rsidRDefault="001249DE" w:rsidP="006647E7">
      <w:pPr>
        <w:pStyle w:val="ListParagraph"/>
        <w:numPr>
          <w:ilvl w:val="0"/>
          <w:numId w:val="16"/>
        </w:numPr>
        <w:spacing w:before="240" w:line="360" w:lineRule="auto"/>
        <w:jc w:val="both"/>
        <w:rPr>
          <w:rFonts w:ascii="Arial" w:hAnsi="Arial" w:cs="Arial"/>
        </w:rPr>
      </w:pPr>
      <w:r>
        <w:rPr>
          <w:rFonts w:ascii="Arial" w:hAnsi="Arial" w:cs="Arial"/>
        </w:rPr>
        <w:t>an estimated 3500 agreements (the estimated existing number of franchisees) would be entered into following the end of the previous dealership agreement;</w:t>
      </w:r>
    </w:p>
    <w:p w14:paraId="104B89B7" w14:textId="77777777" w:rsidR="001249DE" w:rsidRDefault="001249DE" w:rsidP="006647E7">
      <w:pPr>
        <w:pStyle w:val="ListParagraph"/>
        <w:numPr>
          <w:ilvl w:val="0"/>
          <w:numId w:val="16"/>
        </w:numPr>
        <w:spacing w:before="240" w:line="360" w:lineRule="auto"/>
        <w:jc w:val="both"/>
        <w:rPr>
          <w:rFonts w:ascii="Arial" w:hAnsi="Arial" w:cs="Arial"/>
        </w:rPr>
      </w:pPr>
      <w:r>
        <w:rPr>
          <w:rFonts w:ascii="Arial" w:hAnsi="Arial" w:cs="Arial"/>
        </w:rPr>
        <w:t>the cost would be incurred over a 10 year period.</w:t>
      </w:r>
    </w:p>
    <w:p w14:paraId="02F293C3" w14:textId="3CEEEA6D" w:rsidR="001249DE" w:rsidRDefault="001249DE" w:rsidP="001249DE">
      <w:pPr>
        <w:spacing w:before="240" w:line="360" w:lineRule="auto"/>
        <w:jc w:val="both"/>
        <w:rPr>
          <w:rFonts w:ascii="Arial" w:hAnsi="Arial" w:cs="Arial"/>
        </w:rPr>
      </w:pPr>
      <w:r>
        <w:rPr>
          <w:rFonts w:ascii="Arial" w:hAnsi="Arial" w:cs="Arial"/>
        </w:rPr>
        <w:t>The cost as listed in the ‘non supported regulatory options’ table above is the expected cost in one year of the 10 year period.</w:t>
      </w:r>
    </w:p>
    <w:p w14:paraId="3F1D0B1A" w14:textId="52F6F995" w:rsidR="00BA11D3" w:rsidRPr="00BA11D3" w:rsidRDefault="0092502D" w:rsidP="00BA11D3">
      <w:pPr>
        <w:keepNext/>
        <w:rPr>
          <w:rFonts w:ascii="Arial" w:hAnsi="Arial" w:cs="Arial"/>
          <w:b/>
          <w:bCs/>
        </w:rPr>
      </w:pPr>
      <w:r>
        <w:rPr>
          <w:rFonts w:ascii="Arial" w:hAnsi="Arial" w:cs="Arial"/>
          <w:b/>
          <w:bCs/>
        </w:rPr>
        <w:t>Option 2</w:t>
      </w:r>
      <w:r w:rsidR="00BA11D3" w:rsidRPr="00BA11D3">
        <w:rPr>
          <w:rFonts w:ascii="Arial" w:hAnsi="Arial" w:cs="Arial"/>
          <w:b/>
          <w:bCs/>
        </w:rPr>
        <w:t xml:space="preserve">F – </w:t>
      </w:r>
      <w:r w:rsidR="00911FFA">
        <w:rPr>
          <w:rFonts w:ascii="Arial" w:hAnsi="Arial" w:cs="Arial"/>
          <w:b/>
          <w:bCs/>
        </w:rPr>
        <w:t>Multi-</w:t>
      </w:r>
      <w:r w:rsidR="000161B9">
        <w:rPr>
          <w:rFonts w:ascii="Arial" w:hAnsi="Arial" w:cs="Arial"/>
          <w:b/>
          <w:bCs/>
        </w:rPr>
        <w:t>franchisee</w:t>
      </w:r>
      <w:r w:rsidR="00911FFA">
        <w:rPr>
          <w:rFonts w:ascii="Arial" w:hAnsi="Arial" w:cs="Arial"/>
          <w:b/>
          <w:bCs/>
        </w:rPr>
        <w:t xml:space="preserve"> dispute resolution</w:t>
      </w:r>
    </w:p>
    <w:p w14:paraId="56979E42" w14:textId="77777777" w:rsidR="007825F7" w:rsidRDefault="11FF59B9" w:rsidP="00A81259">
      <w:pPr>
        <w:spacing w:before="240" w:line="360" w:lineRule="auto"/>
        <w:jc w:val="both"/>
        <w:rPr>
          <w:rFonts w:ascii="Arial" w:hAnsi="Arial" w:cs="Arial"/>
        </w:rPr>
      </w:pPr>
      <w:r w:rsidRPr="11FF59B9">
        <w:rPr>
          <w:rFonts w:ascii="Arial" w:hAnsi="Arial" w:cs="Arial"/>
        </w:rPr>
        <w:t xml:space="preserve">This option would </w:t>
      </w:r>
      <w:r w:rsidR="0084420C">
        <w:rPr>
          <w:rFonts w:ascii="Arial" w:hAnsi="Arial" w:cs="Arial"/>
        </w:rPr>
        <w:t xml:space="preserve">explicitly allow franchisees </w:t>
      </w:r>
      <w:r w:rsidR="00BD0FE8">
        <w:rPr>
          <w:rFonts w:ascii="Arial" w:hAnsi="Arial" w:cs="Arial"/>
        </w:rPr>
        <w:t>to request multi-</w:t>
      </w:r>
      <w:r w:rsidR="000161B9">
        <w:rPr>
          <w:rFonts w:ascii="Arial" w:hAnsi="Arial" w:cs="Arial"/>
        </w:rPr>
        <w:t>franchisee</w:t>
      </w:r>
      <w:r w:rsidR="00BD0FE8">
        <w:rPr>
          <w:rFonts w:ascii="Arial" w:hAnsi="Arial" w:cs="Arial"/>
        </w:rPr>
        <w:t xml:space="preserve"> mediation to dispute similar issues with a franchisor</w:t>
      </w:r>
      <w:r w:rsidRPr="11FF59B9">
        <w:rPr>
          <w:rFonts w:ascii="Arial" w:hAnsi="Arial" w:cs="Arial"/>
        </w:rPr>
        <w:t xml:space="preserve">. </w:t>
      </w:r>
    </w:p>
    <w:p w14:paraId="25D6EFEF" w14:textId="5DD162E7" w:rsidR="007825F7" w:rsidRPr="000457FD" w:rsidRDefault="003F1308" w:rsidP="00A81259">
      <w:pPr>
        <w:spacing w:before="240" w:line="360" w:lineRule="auto"/>
        <w:jc w:val="both"/>
        <w:rPr>
          <w:rFonts w:ascii="Arial" w:hAnsi="Arial" w:cs="Arial"/>
        </w:rPr>
      </w:pPr>
      <w:r>
        <w:rPr>
          <w:rFonts w:ascii="Arial" w:hAnsi="Arial" w:cs="Arial"/>
        </w:rPr>
        <w:t>It would not force a manufacturer to accept multi-</w:t>
      </w:r>
      <w:r w:rsidR="000161B9">
        <w:rPr>
          <w:rFonts w:ascii="Arial" w:hAnsi="Arial" w:cs="Arial"/>
        </w:rPr>
        <w:t>franchisee</w:t>
      </w:r>
      <w:r>
        <w:rPr>
          <w:rFonts w:ascii="Arial" w:hAnsi="Arial" w:cs="Arial"/>
        </w:rPr>
        <w:t xml:space="preserve"> mediation, but would simply allow it to be requested. </w:t>
      </w:r>
      <w:r w:rsidR="007825F7" w:rsidRPr="00195E9D">
        <w:rPr>
          <w:rFonts w:ascii="Arial" w:hAnsi="Arial" w:cs="Arial"/>
        </w:rPr>
        <w:t>This would avoid the risk of anti-competitive behaviour arising from collective bargaining through multi-franchisee mediation. As dealerships vary greatly in size from large publicly listed companies to small family run businesses there is a risk of larger companies accessing this avenue and tipping the balance of power too far in favour of new car dealers. Consequently limiting the ability of manufacturers to effectively manage its dealer network, which may negatively affect smaller dealers.</w:t>
      </w:r>
      <w:r w:rsidR="007E1025">
        <w:rPr>
          <w:rFonts w:ascii="Arial" w:hAnsi="Arial" w:cs="Arial"/>
        </w:rPr>
        <w:t xml:space="preserve"> This is consistent with the ACCC’s </w:t>
      </w:r>
      <w:r w:rsidR="007E1025">
        <w:rPr>
          <w:rFonts w:ascii="Arial" w:hAnsi="Arial" w:cs="Arial"/>
        </w:rPr>
        <w:lastRenderedPageBreak/>
        <w:t xml:space="preserve">proposed </w:t>
      </w:r>
      <w:r w:rsidR="001E0AB7">
        <w:rPr>
          <w:rFonts w:ascii="Arial" w:hAnsi="Arial" w:cs="Arial"/>
        </w:rPr>
        <w:t xml:space="preserve">class exemption providing legal protection for all franchisees to collectively bargain </w:t>
      </w:r>
      <w:r w:rsidR="008E0659">
        <w:rPr>
          <w:rFonts w:ascii="Arial" w:hAnsi="Arial" w:cs="Arial"/>
        </w:rPr>
        <w:t xml:space="preserve">with their franchisor regardless of their </w:t>
      </w:r>
      <w:r w:rsidR="00EE3F58">
        <w:rPr>
          <w:rFonts w:ascii="Arial" w:hAnsi="Arial" w:cs="Arial"/>
        </w:rPr>
        <w:t>size or other characteristics.</w:t>
      </w:r>
    </w:p>
    <w:p w14:paraId="3F1D0B1C" w14:textId="559765FA" w:rsidR="005C56E4" w:rsidRDefault="11FF59B9" w:rsidP="00A81259">
      <w:pPr>
        <w:spacing w:before="240" w:line="360" w:lineRule="auto"/>
        <w:jc w:val="both"/>
        <w:rPr>
          <w:rFonts w:ascii="Arial" w:hAnsi="Arial" w:cs="Arial"/>
        </w:rPr>
      </w:pPr>
      <w:r w:rsidRPr="11FF59B9">
        <w:rPr>
          <w:rFonts w:ascii="Arial" w:hAnsi="Arial" w:cs="Arial"/>
        </w:rPr>
        <w:t>Currently, the Franchising Code provides mechanisms for parties to a</w:t>
      </w:r>
      <w:r w:rsidR="00632B8E">
        <w:rPr>
          <w:rFonts w:ascii="Arial" w:hAnsi="Arial" w:cs="Arial"/>
        </w:rPr>
        <w:t xml:space="preserve"> dealership</w:t>
      </w:r>
      <w:r w:rsidRPr="11FF59B9">
        <w:rPr>
          <w:rFonts w:ascii="Arial" w:hAnsi="Arial" w:cs="Arial"/>
        </w:rPr>
        <w:t xml:space="preserve"> agreement to try and resolve disputes in a timely and cost effective manner</w:t>
      </w:r>
      <w:r w:rsidR="00BE44A5">
        <w:rPr>
          <w:rFonts w:ascii="Arial" w:hAnsi="Arial" w:cs="Arial"/>
        </w:rPr>
        <w:t>;</w:t>
      </w:r>
      <w:r w:rsidRPr="11FF59B9">
        <w:rPr>
          <w:rFonts w:ascii="Arial" w:hAnsi="Arial" w:cs="Arial"/>
        </w:rPr>
        <w:t xml:space="preserve"> however, it does not expressly state that </w:t>
      </w:r>
      <w:r w:rsidR="00C519A5">
        <w:rPr>
          <w:rFonts w:ascii="Arial" w:hAnsi="Arial" w:cs="Arial"/>
        </w:rPr>
        <w:t>parties</w:t>
      </w:r>
      <w:r w:rsidR="00C519A5" w:rsidRPr="11FF59B9">
        <w:rPr>
          <w:rFonts w:ascii="Arial" w:hAnsi="Arial" w:cs="Arial"/>
        </w:rPr>
        <w:t xml:space="preserve"> </w:t>
      </w:r>
      <w:r w:rsidRPr="11FF59B9">
        <w:rPr>
          <w:rFonts w:ascii="Arial" w:hAnsi="Arial" w:cs="Arial"/>
        </w:rPr>
        <w:t>may undertake multi</w:t>
      </w:r>
      <w:r w:rsidR="00E11766">
        <w:rPr>
          <w:rFonts w:ascii="Arial" w:hAnsi="Arial" w:cs="Arial"/>
        </w:rPr>
        <w:t>-</w:t>
      </w:r>
      <w:r w:rsidRPr="11FF59B9">
        <w:rPr>
          <w:rFonts w:ascii="Arial" w:hAnsi="Arial" w:cs="Arial"/>
        </w:rPr>
        <w:t>franchisee mediation when disputes of a similar nature arise within a franchise system</w:t>
      </w:r>
      <w:r w:rsidR="00DA363D">
        <w:rPr>
          <w:rFonts w:ascii="Arial" w:hAnsi="Arial" w:cs="Arial"/>
        </w:rPr>
        <w:t xml:space="preserve"> nor does it prevent it</w:t>
      </w:r>
      <w:r w:rsidRPr="11FF59B9">
        <w:rPr>
          <w:rFonts w:ascii="Arial" w:hAnsi="Arial" w:cs="Arial"/>
        </w:rPr>
        <w:t xml:space="preserve">. </w:t>
      </w:r>
    </w:p>
    <w:p w14:paraId="3F1D0B1D" w14:textId="77777777" w:rsidR="00E15E2E" w:rsidRPr="000457FD" w:rsidRDefault="00E15E2E" w:rsidP="11FF59B9">
      <w:pPr>
        <w:spacing w:before="240" w:line="360" w:lineRule="auto"/>
        <w:rPr>
          <w:rFonts w:ascii="Arial" w:hAnsi="Arial" w:cs="Arial"/>
        </w:rPr>
      </w:pPr>
      <w:r w:rsidRPr="000457FD">
        <w:rPr>
          <w:rFonts w:ascii="Arial" w:hAnsi="Arial" w:cs="Arial"/>
        </w:rPr>
        <w:t xml:space="preserve">The two dispute resolution mechanisms in the </w:t>
      </w:r>
      <w:r w:rsidR="005C56E4">
        <w:rPr>
          <w:rFonts w:ascii="Arial" w:hAnsi="Arial" w:cs="Arial"/>
        </w:rPr>
        <w:t>Franchising C</w:t>
      </w:r>
      <w:r w:rsidRPr="000457FD">
        <w:rPr>
          <w:rFonts w:ascii="Arial" w:hAnsi="Arial" w:cs="Arial"/>
        </w:rPr>
        <w:t>ode are that:</w:t>
      </w:r>
      <w:r w:rsidRPr="000457FD">
        <w:rPr>
          <w:rFonts w:ascii="Arial" w:hAnsi="Arial" w:cs="Arial"/>
          <w:vertAlign w:val="superscript"/>
        </w:rPr>
        <w:footnoteReference w:id="77"/>
      </w:r>
    </w:p>
    <w:p w14:paraId="3F1D0B1E" w14:textId="77777777" w:rsidR="00E15E2E" w:rsidRPr="000457FD" w:rsidRDefault="11FF59B9" w:rsidP="006647E7">
      <w:pPr>
        <w:numPr>
          <w:ilvl w:val="0"/>
          <w:numId w:val="6"/>
        </w:numPr>
        <w:spacing w:before="240" w:line="360" w:lineRule="auto"/>
        <w:contextualSpacing/>
        <w:jc w:val="both"/>
        <w:rPr>
          <w:rFonts w:ascii="Arial" w:hAnsi="Arial" w:cs="Arial"/>
        </w:rPr>
      </w:pPr>
      <w:r w:rsidRPr="11FF59B9">
        <w:rPr>
          <w:rFonts w:ascii="Arial" w:hAnsi="Arial" w:cs="Arial"/>
        </w:rPr>
        <w:t>franchisors must have an internal procedure for handling complaints that meets certain standards set out in the code; and</w:t>
      </w:r>
    </w:p>
    <w:p w14:paraId="3F1D0B1F" w14:textId="77777777" w:rsidR="00E15E2E" w:rsidRPr="000457FD" w:rsidRDefault="11FF59B9" w:rsidP="006647E7">
      <w:pPr>
        <w:numPr>
          <w:ilvl w:val="0"/>
          <w:numId w:val="6"/>
        </w:numPr>
        <w:spacing w:before="240" w:line="360" w:lineRule="auto"/>
        <w:contextualSpacing/>
        <w:jc w:val="both"/>
        <w:rPr>
          <w:rFonts w:ascii="Arial" w:hAnsi="Arial" w:cs="Arial"/>
        </w:rPr>
      </w:pPr>
      <w:r w:rsidRPr="11FF59B9">
        <w:rPr>
          <w:rFonts w:ascii="Arial" w:hAnsi="Arial" w:cs="Arial"/>
        </w:rPr>
        <w:t>either party can request mediation which, once requested, becomes mandatory for both parties to attend and genuinely attempt to resolve the dispute.</w:t>
      </w:r>
    </w:p>
    <w:p w14:paraId="3F1D0B20" w14:textId="77777777" w:rsidR="00615EBF" w:rsidRDefault="11FF59B9" w:rsidP="00A81259">
      <w:pPr>
        <w:spacing w:before="240" w:line="360" w:lineRule="auto"/>
        <w:jc w:val="both"/>
        <w:rPr>
          <w:rFonts w:ascii="Arial" w:hAnsi="Arial" w:cs="Arial"/>
        </w:rPr>
      </w:pPr>
      <w:r w:rsidRPr="11FF59B9">
        <w:rPr>
          <w:rFonts w:ascii="Arial" w:hAnsi="Arial" w:cs="Arial"/>
        </w:rPr>
        <w:t>The mechanisms in the code are a way to bring the two parties together to resolve the dispute in an informal manner</w:t>
      </w:r>
      <w:r w:rsidR="009C0076">
        <w:rPr>
          <w:rFonts w:ascii="Arial" w:hAnsi="Arial" w:cs="Arial"/>
        </w:rPr>
        <w:t>.</w:t>
      </w:r>
      <w:r w:rsidRPr="11FF59B9">
        <w:rPr>
          <w:rFonts w:ascii="Arial" w:hAnsi="Arial" w:cs="Arial"/>
        </w:rPr>
        <w:t xml:space="preserve"> </w:t>
      </w:r>
      <w:r w:rsidR="00BE44A5">
        <w:rPr>
          <w:rFonts w:ascii="Arial" w:hAnsi="Arial" w:cs="Arial"/>
        </w:rPr>
        <w:t>T</w:t>
      </w:r>
      <w:r w:rsidRPr="11FF59B9">
        <w:rPr>
          <w:rFonts w:ascii="Arial" w:hAnsi="Arial" w:cs="Arial"/>
        </w:rPr>
        <w:t xml:space="preserve">hey are not a way to reach a binding solution and they do not affect a party’s right to take legal action over a franchising dispute. </w:t>
      </w:r>
    </w:p>
    <w:p w14:paraId="3F1D0B21" w14:textId="2C300C4D" w:rsidR="00E15E2E" w:rsidRDefault="00615EBF" w:rsidP="00A81259">
      <w:pPr>
        <w:spacing w:before="240" w:line="360" w:lineRule="auto"/>
        <w:jc w:val="both"/>
        <w:rPr>
          <w:rFonts w:ascii="Arial" w:hAnsi="Arial" w:cs="Arial"/>
        </w:rPr>
      </w:pPr>
      <w:r w:rsidRPr="00615EBF">
        <w:rPr>
          <w:rFonts w:ascii="Arial" w:hAnsi="Arial" w:cs="Arial"/>
        </w:rPr>
        <w:t xml:space="preserve">The </w:t>
      </w:r>
      <w:r w:rsidR="006866DA">
        <w:rPr>
          <w:rFonts w:ascii="Arial" w:hAnsi="Arial" w:cs="Arial"/>
        </w:rPr>
        <w:t xml:space="preserve">former </w:t>
      </w:r>
      <w:r w:rsidRPr="00615EBF">
        <w:rPr>
          <w:rFonts w:ascii="Arial" w:hAnsi="Arial" w:cs="Arial"/>
        </w:rPr>
        <w:t xml:space="preserve">Office of the Franchising Mediation Adviser (OFMA) reported that </w:t>
      </w:r>
      <w:r w:rsidR="00BE44A5">
        <w:rPr>
          <w:rFonts w:ascii="Arial" w:hAnsi="Arial" w:cs="Arial"/>
        </w:rPr>
        <w:t>in</w:t>
      </w:r>
      <w:r w:rsidR="00BE44A5" w:rsidRPr="00615EBF">
        <w:rPr>
          <w:rFonts w:ascii="Arial" w:hAnsi="Arial" w:cs="Arial"/>
        </w:rPr>
        <w:t xml:space="preserve"> </w:t>
      </w:r>
      <w:r w:rsidRPr="00615EBF">
        <w:rPr>
          <w:rFonts w:ascii="Arial" w:hAnsi="Arial" w:cs="Arial"/>
        </w:rPr>
        <w:t xml:space="preserve">the period from </w:t>
      </w:r>
      <w:r w:rsidR="00211B7D" w:rsidRPr="00615EBF">
        <w:rPr>
          <w:rFonts w:ascii="Arial" w:hAnsi="Arial" w:cs="Arial"/>
        </w:rPr>
        <w:t>1</w:t>
      </w:r>
      <w:r w:rsidR="00211B7D">
        <w:rPr>
          <w:rFonts w:ascii="Arial" w:hAnsi="Arial" w:cs="Arial"/>
        </w:rPr>
        <w:t> </w:t>
      </w:r>
      <w:r w:rsidRPr="00615EBF">
        <w:rPr>
          <w:rFonts w:ascii="Arial" w:hAnsi="Arial" w:cs="Arial"/>
        </w:rPr>
        <w:t xml:space="preserve">January 2017 to 31 December 2017 there were a total of 288 requests for mediation filed with OFMA for which the Adviser appointed a mediator.  Of these, mediation had begun in 266 matters and reports had been provided for 180 of these matters that had been completed during this period.  In 149 of these matters, </w:t>
      </w:r>
      <w:r w:rsidR="003643E4">
        <w:rPr>
          <w:rFonts w:ascii="Arial" w:hAnsi="Arial" w:cs="Arial"/>
        </w:rPr>
        <w:t>m</w:t>
      </w:r>
      <w:r w:rsidRPr="00615EBF">
        <w:rPr>
          <w:rFonts w:ascii="Arial" w:hAnsi="Arial" w:cs="Arial"/>
        </w:rPr>
        <w:t>ediators reported that they conducted a mediation, of which 119 were resolved at mediation.</w:t>
      </w:r>
    </w:p>
    <w:p w14:paraId="48025484" w14:textId="0A7F51DC" w:rsidR="00DC6D3D" w:rsidRPr="00DC6D3D" w:rsidRDefault="00DC6D3D">
      <w:pPr>
        <w:spacing w:before="240" w:line="360" w:lineRule="auto"/>
        <w:jc w:val="both"/>
        <w:rPr>
          <w:rFonts w:ascii="Arial" w:hAnsi="Arial" w:cs="Arial"/>
        </w:rPr>
      </w:pPr>
      <w:r w:rsidRPr="00195E9D">
        <w:rPr>
          <w:rFonts w:ascii="Arial" w:hAnsi="Arial" w:cs="Arial"/>
        </w:rPr>
        <w:t>The office of the Australian Small Business and Family Enterprise Ombudsman (ASBFEO) currently administers the day-to-day functions of the Mediation Adviser, including fielding enquiries and advertising the availability of the service. Between starting to administer the adviser functions, between December 2018 and May 2019, ASBFEO has taken 187 enquiries relating to the Franchising Code of Conduct and acted on 100 cases relating to the Franchising Code of Conduct. Of these cases, 37 were referred to mediation, with five of the 37 cases not resulting in a negotiated outcome.</w:t>
      </w:r>
    </w:p>
    <w:p w14:paraId="62851766" w14:textId="2DBC872E" w:rsidR="00436D12" w:rsidRPr="00436D12" w:rsidRDefault="00615EBF" w:rsidP="00A81259">
      <w:pPr>
        <w:spacing w:before="240" w:line="360" w:lineRule="auto"/>
        <w:jc w:val="both"/>
        <w:rPr>
          <w:rFonts w:ascii="Arial" w:hAnsi="Arial" w:cs="Arial"/>
        </w:rPr>
      </w:pPr>
      <w:r>
        <w:rPr>
          <w:rFonts w:ascii="Arial" w:hAnsi="Arial" w:cs="Arial"/>
        </w:rPr>
        <w:t>As</w:t>
      </w:r>
      <w:r w:rsidR="00C93A97" w:rsidRPr="008B0A77">
        <w:rPr>
          <w:rFonts w:ascii="Arial" w:hAnsi="Arial" w:cs="Arial"/>
        </w:rPr>
        <w:t xml:space="preserve"> stated previously, the O</w:t>
      </w:r>
      <w:r w:rsidR="005A544B">
        <w:rPr>
          <w:rFonts w:ascii="Arial" w:hAnsi="Arial" w:cs="Arial"/>
        </w:rPr>
        <w:t>ffice of the Small Business Commissioner in NSW</w:t>
      </w:r>
      <w:r w:rsidR="00C93A97" w:rsidRPr="00436D12">
        <w:rPr>
          <w:vertAlign w:val="superscript"/>
        </w:rPr>
        <w:footnoteReference w:id="78"/>
      </w:r>
      <w:r w:rsidR="00860138" w:rsidRPr="008B0A77">
        <w:rPr>
          <w:rFonts w:ascii="Arial" w:hAnsi="Arial" w:cs="Arial"/>
        </w:rPr>
        <w:t>, has identified</w:t>
      </w:r>
      <w:r w:rsidR="00C93A97" w:rsidRPr="008B0A77">
        <w:rPr>
          <w:rFonts w:ascii="Arial" w:hAnsi="Arial" w:cs="Arial"/>
        </w:rPr>
        <w:t xml:space="preserve"> that </w:t>
      </w:r>
      <w:r w:rsidR="00860138" w:rsidRPr="008B0A77">
        <w:rPr>
          <w:rFonts w:ascii="Arial" w:hAnsi="Arial" w:cs="Arial"/>
        </w:rPr>
        <w:t xml:space="preserve">dealers are reluctant to commence legal proceedings against a manufacturer due </w:t>
      </w:r>
      <w:r w:rsidR="00BE44A5">
        <w:rPr>
          <w:rFonts w:ascii="Arial" w:hAnsi="Arial" w:cs="Arial"/>
        </w:rPr>
        <w:t xml:space="preserve">to </w:t>
      </w:r>
      <w:r w:rsidR="00BD0FE8" w:rsidRPr="008B0A77">
        <w:rPr>
          <w:rFonts w:ascii="Arial" w:hAnsi="Arial" w:cs="Arial"/>
        </w:rPr>
        <w:t xml:space="preserve">concerns that doing so </w:t>
      </w:r>
      <w:r w:rsidR="0066687E">
        <w:rPr>
          <w:rFonts w:ascii="Arial" w:hAnsi="Arial" w:cs="Arial"/>
        </w:rPr>
        <w:t>c</w:t>
      </w:r>
      <w:r w:rsidR="00BD0FE8" w:rsidRPr="008B0A77">
        <w:rPr>
          <w:rFonts w:ascii="Arial" w:hAnsi="Arial" w:cs="Arial"/>
        </w:rPr>
        <w:t xml:space="preserve">ould cause </w:t>
      </w:r>
      <w:r w:rsidR="00860138" w:rsidRPr="008B0A77">
        <w:rPr>
          <w:rFonts w:ascii="Arial" w:hAnsi="Arial" w:cs="Arial"/>
        </w:rPr>
        <w:t xml:space="preserve">irreparable damage to their </w:t>
      </w:r>
      <w:r w:rsidR="002F6F3E" w:rsidRPr="008B0A77">
        <w:rPr>
          <w:rFonts w:ascii="Arial" w:hAnsi="Arial" w:cs="Arial"/>
        </w:rPr>
        <w:t xml:space="preserve">commercial relationship, which </w:t>
      </w:r>
      <w:r w:rsidR="002F6F3E" w:rsidRPr="008B0A77">
        <w:rPr>
          <w:rFonts w:ascii="Arial" w:hAnsi="Arial" w:cs="Arial"/>
        </w:rPr>
        <w:lastRenderedPageBreak/>
        <w:t>is the paramount concern for the dealer.</w:t>
      </w:r>
      <w:r w:rsidR="002F6F3E" w:rsidRPr="00436D12">
        <w:rPr>
          <w:vertAlign w:val="superscript"/>
        </w:rPr>
        <w:footnoteReference w:id="79"/>
      </w:r>
      <w:r w:rsidR="00C93A97" w:rsidRPr="008B0A77">
        <w:rPr>
          <w:rFonts w:ascii="Arial" w:hAnsi="Arial" w:cs="Arial"/>
        </w:rPr>
        <w:t xml:space="preserve"> </w:t>
      </w:r>
      <w:r w:rsidR="00436D12">
        <w:rPr>
          <w:rFonts w:ascii="Arial" w:hAnsi="Arial" w:cs="Arial"/>
        </w:rPr>
        <w:t xml:space="preserve">Furthermore, the OSBC received </w:t>
      </w:r>
      <w:r w:rsidR="00436D12" w:rsidRPr="00436D12">
        <w:rPr>
          <w:rFonts w:ascii="Arial" w:hAnsi="Arial" w:cs="Arial"/>
        </w:rPr>
        <w:t>20 dispute applications between July 2014 and December 2018 relating to dealer-manufacturer franchise agreements. A small number of additional dealerships approached the office to express concerns and raise complaints regarding their franchising agreement, without a view to initiating a dispute resolution.</w:t>
      </w:r>
    </w:p>
    <w:p w14:paraId="26DF9EF0" w14:textId="7B09A0BE" w:rsidR="00436D12" w:rsidRPr="00436D12" w:rsidRDefault="00436D12" w:rsidP="00A81259">
      <w:pPr>
        <w:spacing w:before="240" w:line="360" w:lineRule="auto"/>
        <w:jc w:val="both"/>
        <w:rPr>
          <w:rFonts w:ascii="Arial" w:hAnsi="Arial" w:cs="Arial"/>
        </w:rPr>
      </w:pPr>
      <w:r w:rsidRPr="00436D12">
        <w:rPr>
          <w:rFonts w:ascii="Arial" w:hAnsi="Arial" w:cs="Arial"/>
        </w:rPr>
        <w:t>Car dealers have</w:t>
      </w:r>
      <w:r>
        <w:rPr>
          <w:rFonts w:ascii="Arial" w:hAnsi="Arial" w:cs="Arial"/>
        </w:rPr>
        <w:t xml:space="preserve"> also</w:t>
      </w:r>
      <w:r w:rsidRPr="00436D12">
        <w:rPr>
          <w:rFonts w:ascii="Arial" w:hAnsi="Arial" w:cs="Arial"/>
        </w:rPr>
        <w:t xml:space="preserve"> cited fear of retribution as a barrier to accessing assistance through a dispute resolution process. As a result, most dealers report concerns when the agreement has already been terminated or not renewed with the dealer applying for assista</w:t>
      </w:r>
      <w:r w:rsidR="00E870BB">
        <w:rPr>
          <w:rFonts w:ascii="Arial" w:hAnsi="Arial" w:cs="Arial"/>
        </w:rPr>
        <w:t>nce with mediation as a result.</w:t>
      </w:r>
    </w:p>
    <w:p w14:paraId="3F1D0B22" w14:textId="7788E9A8" w:rsidR="00C93A97" w:rsidRPr="008B0A77" w:rsidRDefault="00C93A97" w:rsidP="00C93A97">
      <w:pPr>
        <w:spacing w:before="240" w:line="360" w:lineRule="auto"/>
        <w:jc w:val="both"/>
        <w:rPr>
          <w:rFonts w:ascii="Arial" w:hAnsi="Arial" w:cs="Arial"/>
        </w:rPr>
      </w:pPr>
      <w:r w:rsidRPr="008B0A77">
        <w:rPr>
          <w:rFonts w:ascii="Arial" w:hAnsi="Arial" w:cs="Arial"/>
        </w:rPr>
        <w:t>By explicitly allowing for multi-franchisee mediation, it could empower new car dealers</w:t>
      </w:r>
      <w:r w:rsidR="00FD5241" w:rsidRPr="008B0A77">
        <w:rPr>
          <w:rFonts w:ascii="Arial" w:hAnsi="Arial" w:cs="Arial"/>
        </w:rPr>
        <w:t>, through strength in numbers,</w:t>
      </w:r>
      <w:r w:rsidRPr="008B0A77">
        <w:rPr>
          <w:rFonts w:ascii="Arial" w:hAnsi="Arial" w:cs="Arial"/>
        </w:rPr>
        <w:t xml:space="preserve"> to formalise their complaint and seek a resolution (particularly if the problem is systemic). </w:t>
      </w:r>
    </w:p>
    <w:p w14:paraId="3F1D0B23" w14:textId="6F00CA7A" w:rsidR="005E4A44" w:rsidRDefault="005E4A44" w:rsidP="00C93A97">
      <w:pPr>
        <w:spacing w:before="240" w:line="360" w:lineRule="auto"/>
        <w:jc w:val="both"/>
        <w:rPr>
          <w:rFonts w:ascii="Arial" w:hAnsi="Arial" w:cs="Arial"/>
        </w:rPr>
      </w:pPr>
      <w:r w:rsidRPr="008B0A77">
        <w:rPr>
          <w:rFonts w:ascii="Arial" w:hAnsi="Arial" w:cs="Arial"/>
        </w:rPr>
        <w:t xml:space="preserve">The </w:t>
      </w:r>
      <w:r w:rsidR="008B0A77" w:rsidRPr="008B0A77">
        <w:rPr>
          <w:rFonts w:ascii="Arial" w:hAnsi="Arial" w:cs="Arial"/>
        </w:rPr>
        <w:t>Victorian Automobile Chamber of Commerce (V</w:t>
      </w:r>
      <w:r w:rsidRPr="008B0A77">
        <w:rPr>
          <w:rFonts w:ascii="Arial" w:hAnsi="Arial" w:cs="Arial"/>
        </w:rPr>
        <w:t>ACC</w:t>
      </w:r>
      <w:r w:rsidR="008B0A77" w:rsidRPr="008B0A77">
        <w:rPr>
          <w:rFonts w:ascii="Arial" w:hAnsi="Arial" w:cs="Arial"/>
        </w:rPr>
        <w:t>)</w:t>
      </w:r>
      <w:r w:rsidRPr="008B0A77">
        <w:rPr>
          <w:rFonts w:ascii="Arial" w:hAnsi="Arial" w:cs="Arial"/>
        </w:rPr>
        <w:t xml:space="preserve"> </w:t>
      </w:r>
      <w:r w:rsidR="00F2298D">
        <w:rPr>
          <w:rFonts w:ascii="Arial" w:hAnsi="Arial" w:cs="Arial"/>
        </w:rPr>
        <w:t xml:space="preserve">in its submission to the PJC Inquiry stated </w:t>
      </w:r>
      <w:r w:rsidR="00BB15B9" w:rsidRPr="008B0A77">
        <w:rPr>
          <w:rFonts w:ascii="Arial" w:hAnsi="Arial" w:cs="Arial"/>
        </w:rPr>
        <w:t xml:space="preserve">that there </w:t>
      </w:r>
      <w:r w:rsidR="00E86C18" w:rsidRPr="008B0A77">
        <w:rPr>
          <w:rFonts w:ascii="Arial" w:hAnsi="Arial" w:cs="Arial"/>
        </w:rPr>
        <w:t>‘</w:t>
      </w:r>
      <w:r w:rsidR="00BB15B9" w:rsidRPr="008B0A77">
        <w:rPr>
          <w:rFonts w:ascii="Arial" w:hAnsi="Arial" w:cs="Arial"/>
        </w:rPr>
        <w:t>is a perception in the automotive industry that all regulators</w:t>
      </w:r>
      <w:r w:rsidR="00E86C18" w:rsidRPr="008B0A77">
        <w:rPr>
          <w:rFonts w:ascii="Arial" w:hAnsi="Arial" w:cs="Arial"/>
        </w:rPr>
        <w:t xml:space="preserve"> are powerless or lack the resources to assist franchisees in disputes against </w:t>
      </w:r>
      <w:r w:rsidR="003F14CF" w:rsidRPr="008B0A77">
        <w:rPr>
          <w:rFonts w:ascii="Arial" w:hAnsi="Arial" w:cs="Arial"/>
        </w:rPr>
        <w:t>large multinational franchisors</w:t>
      </w:r>
      <w:r w:rsidR="00951CD5" w:rsidRPr="008B0A77">
        <w:rPr>
          <w:rFonts w:ascii="Arial" w:hAnsi="Arial" w:cs="Arial"/>
        </w:rPr>
        <w:t>.</w:t>
      </w:r>
      <w:r w:rsidR="00E86C18" w:rsidRPr="008B0A77">
        <w:rPr>
          <w:rFonts w:ascii="Arial" w:hAnsi="Arial" w:cs="Arial"/>
        </w:rPr>
        <w:t>’</w:t>
      </w:r>
      <w:r w:rsidR="00E86C18" w:rsidRPr="008B0A77">
        <w:rPr>
          <w:rStyle w:val="FootnoteReference"/>
          <w:rFonts w:ascii="Arial" w:hAnsi="Arial" w:cs="Arial"/>
        </w:rPr>
        <w:footnoteReference w:id="80"/>
      </w:r>
      <w:r w:rsidR="00E86C18" w:rsidRPr="008B0A77">
        <w:rPr>
          <w:rFonts w:ascii="Arial" w:hAnsi="Arial" w:cs="Arial"/>
        </w:rPr>
        <w:t xml:space="preserve"> </w:t>
      </w:r>
      <w:r w:rsidR="00A02B07" w:rsidRPr="008B0A77">
        <w:rPr>
          <w:rFonts w:ascii="Arial" w:hAnsi="Arial" w:cs="Arial"/>
        </w:rPr>
        <w:t xml:space="preserve">Multi-franchisee mediation may </w:t>
      </w:r>
      <w:r w:rsidR="003F14CF" w:rsidRPr="008B0A77">
        <w:rPr>
          <w:rFonts w:ascii="Arial" w:hAnsi="Arial" w:cs="Arial"/>
        </w:rPr>
        <w:t>increas</w:t>
      </w:r>
      <w:r w:rsidR="00B41E71">
        <w:rPr>
          <w:rFonts w:ascii="Arial" w:hAnsi="Arial" w:cs="Arial"/>
        </w:rPr>
        <w:t xml:space="preserve">e </w:t>
      </w:r>
      <w:r w:rsidR="003F14CF" w:rsidRPr="008B0A77">
        <w:rPr>
          <w:rFonts w:ascii="Arial" w:hAnsi="Arial" w:cs="Arial"/>
        </w:rPr>
        <w:t xml:space="preserve">the pool of resources </w:t>
      </w:r>
      <w:r w:rsidR="00951CD5" w:rsidRPr="008B0A77">
        <w:rPr>
          <w:rFonts w:ascii="Arial" w:hAnsi="Arial" w:cs="Arial"/>
        </w:rPr>
        <w:t xml:space="preserve">available to franchisees and thereby increase their perception of the potential success of </w:t>
      </w:r>
      <w:r w:rsidR="005773AD" w:rsidRPr="008B0A77">
        <w:rPr>
          <w:rFonts w:ascii="Arial" w:hAnsi="Arial" w:cs="Arial"/>
        </w:rPr>
        <w:t>mediation.</w:t>
      </w:r>
    </w:p>
    <w:p w14:paraId="3A209E10" w14:textId="6D709017" w:rsidR="00DA363D" w:rsidRPr="008B0A77" w:rsidRDefault="00DA363D" w:rsidP="00C93A97">
      <w:pPr>
        <w:spacing w:before="240" w:line="360" w:lineRule="auto"/>
        <w:jc w:val="both"/>
        <w:rPr>
          <w:rFonts w:ascii="Arial" w:hAnsi="Arial" w:cs="Arial"/>
        </w:rPr>
      </w:pPr>
      <w:r>
        <w:rPr>
          <w:rFonts w:ascii="Arial" w:hAnsi="Arial" w:cs="Arial"/>
        </w:rPr>
        <w:t xml:space="preserve">National Dealer Councils </w:t>
      </w:r>
      <w:r w:rsidR="00C20368">
        <w:rPr>
          <w:rFonts w:ascii="Arial" w:hAnsi="Arial" w:cs="Arial"/>
        </w:rPr>
        <w:t xml:space="preserve">(NDCs) </w:t>
      </w:r>
      <w:r>
        <w:rPr>
          <w:rFonts w:ascii="Arial" w:hAnsi="Arial" w:cs="Arial"/>
        </w:rPr>
        <w:t>exist as a mechanism for when concerns common to dealers within a franchise system can be raised with the</w:t>
      </w:r>
      <w:r w:rsidR="00C20368">
        <w:rPr>
          <w:rFonts w:ascii="Arial" w:hAnsi="Arial" w:cs="Arial"/>
        </w:rPr>
        <w:t>ir</w:t>
      </w:r>
      <w:r>
        <w:rPr>
          <w:rFonts w:ascii="Arial" w:hAnsi="Arial" w:cs="Arial"/>
        </w:rPr>
        <w:t xml:space="preserve"> </w:t>
      </w:r>
      <w:r w:rsidR="00C20368">
        <w:rPr>
          <w:rFonts w:ascii="Arial" w:hAnsi="Arial" w:cs="Arial"/>
        </w:rPr>
        <w:t xml:space="preserve">manufacturer. Feedback to </w:t>
      </w:r>
      <w:r w:rsidR="006E73BB">
        <w:rPr>
          <w:rFonts w:ascii="Arial" w:hAnsi="Arial" w:cs="Arial"/>
        </w:rPr>
        <w:t>DISER</w:t>
      </w:r>
      <w:r w:rsidR="00C20368">
        <w:rPr>
          <w:rFonts w:ascii="Arial" w:hAnsi="Arial" w:cs="Arial"/>
        </w:rPr>
        <w:t xml:space="preserve"> suggests that the effectiveness of the NDCs as an informal forum to raise any concerns with the manufacturer tends to vary depending on the issue in question.</w:t>
      </w:r>
    </w:p>
    <w:p w14:paraId="3F1D0B24" w14:textId="77777777" w:rsidR="00E15E2E" w:rsidRPr="0040566B" w:rsidRDefault="11FF59B9" w:rsidP="5996C6E7">
      <w:pPr>
        <w:spacing w:before="240" w:line="360" w:lineRule="auto"/>
        <w:jc w:val="both"/>
        <w:rPr>
          <w:rFonts w:ascii="Arial" w:hAnsi="Arial" w:cs="Arial"/>
          <w:i/>
          <w:iCs/>
        </w:rPr>
      </w:pPr>
      <w:r w:rsidRPr="5996C6E7">
        <w:rPr>
          <w:rFonts w:ascii="Arial" w:hAnsi="Arial" w:cs="Arial"/>
          <w:i/>
          <w:iCs/>
        </w:rPr>
        <w:t>Impact on car dealers</w:t>
      </w:r>
    </w:p>
    <w:p w14:paraId="3F1D0B25" w14:textId="0A563E81" w:rsidR="00AD3D98" w:rsidRDefault="11FF59B9" w:rsidP="00AD3D98">
      <w:pPr>
        <w:spacing w:before="240" w:line="360" w:lineRule="auto"/>
        <w:jc w:val="both"/>
        <w:rPr>
          <w:rFonts w:ascii="Arial" w:hAnsi="Arial" w:cs="Arial"/>
        </w:rPr>
      </w:pPr>
      <w:r w:rsidRPr="11FF59B9">
        <w:rPr>
          <w:rFonts w:ascii="Arial" w:hAnsi="Arial" w:cs="Arial"/>
        </w:rPr>
        <w:t xml:space="preserve">This option is likely to </w:t>
      </w:r>
      <w:r w:rsidR="002D560D">
        <w:rPr>
          <w:rFonts w:ascii="Arial" w:hAnsi="Arial" w:cs="Arial"/>
        </w:rPr>
        <w:t>benefit</w:t>
      </w:r>
      <w:r w:rsidRPr="11FF59B9">
        <w:rPr>
          <w:rFonts w:ascii="Arial" w:hAnsi="Arial" w:cs="Arial"/>
        </w:rPr>
        <w:t xml:space="preserve"> new car dealers because it </w:t>
      </w:r>
      <w:r w:rsidR="00CB10D4">
        <w:rPr>
          <w:rFonts w:ascii="Arial" w:hAnsi="Arial" w:cs="Arial"/>
        </w:rPr>
        <w:t>may</w:t>
      </w:r>
      <w:r w:rsidR="00CB10D4" w:rsidRPr="11FF59B9">
        <w:rPr>
          <w:rFonts w:ascii="Arial" w:hAnsi="Arial" w:cs="Arial"/>
        </w:rPr>
        <w:t xml:space="preserve"> </w:t>
      </w:r>
      <w:r w:rsidRPr="11FF59B9">
        <w:rPr>
          <w:rFonts w:ascii="Arial" w:hAnsi="Arial" w:cs="Arial"/>
        </w:rPr>
        <w:t>assist in equalising the imbalance of bargaining power between car manufacturers and new car dealers when resolving disputes and create a more efficient process and use of resources.</w:t>
      </w:r>
      <w:r w:rsidR="00AD3D98">
        <w:rPr>
          <w:rFonts w:ascii="Arial" w:hAnsi="Arial" w:cs="Arial"/>
        </w:rPr>
        <w:t xml:space="preserve"> The </w:t>
      </w:r>
      <w:r w:rsidR="005A544B">
        <w:rPr>
          <w:rFonts w:ascii="Arial" w:hAnsi="Arial" w:cs="Arial"/>
        </w:rPr>
        <w:t xml:space="preserve">increased </w:t>
      </w:r>
      <w:r w:rsidR="00CC3134">
        <w:rPr>
          <w:rFonts w:ascii="Arial" w:hAnsi="Arial" w:cs="Arial"/>
        </w:rPr>
        <w:t>awareness</w:t>
      </w:r>
      <w:r w:rsidR="005A544B">
        <w:rPr>
          <w:rFonts w:ascii="Arial" w:hAnsi="Arial" w:cs="Arial"/>
        </w:rPr>
        <w:t xml:space="preserve"> of </w:t>
      </w:r>
      <w:r w:rsidR="00AD3D98">
        <w:rPr>
          <w:rFonts w:ascii="Arial" w:hAnsi="Arial" w:cs="Arial"/>
        </w:rPr>
        <w:t>multi</w:t>
      </w:r>
      <w:r w:rsidR="00BE44A5">
        <w:rPr>
          <w:rFonts w:ascii="Arial" w:hAnsi="Arial" w:cs="Arial"/>
        </w:rPr>
        <w:t>-</w:t>
      </w:r>
      <w:r w:rsidR="00AD3D98">
        <w:rPr>
          <w:rFonts w:ascii="Arial" w:hAnsi="Arial" w:cs="Arial"/>
        </w:rPr>
        <w:t>franchise</w:t>
      </w:r>
      <w:r w:rsidR="00C0160E">
        <w:rPr>
          <w:rFonts w:ascii="Arial" w:hAnsi="Arial" w:cs="Arial"/>
        </w:rPr>
        <w:t>e</w:t>
      </w:r>
      <w:r w:rsidR="00AD3D98">
        <w:rPr>
          <w:rFonts w:ascii="Arial" w:hAnsi="Arial" w:cs="Arial"/>
        </w:rPr>
        <w:t xml:space="preserve"> dispute resolution </w:t>
      </w:r>
      <w:r w:rsidR="0066687E">
        <w:rPr>
          <w:rFonts w:ascii="Arial" w:hAnsi="Arial" w:cs="Arial"/>
        </w:rPr>
        <w:t>c</w:t>
      </w:r>
      <w:r w:rsidR="00AD3D98">
        <w:rPr>
          <w:rFonts w:ascii="Arial" w:hAnsi="Arial" w:cs="Arial"/>
        </w:rPr>
        <w:t xml:space="preserve">ould also assist groups of dealers that are being consolidated due to the franchisor changing their geographic footprint. </w:t>
      </w:r>
    </w:p>
    <w:p w14:paraId="3F1D0B26" w14:textId="77777777" w:rsidR="00E15E2E" w:rsidRDefault="11FF59B9" w:rsidP="11FF59B9">
      <w:pPr>
        <w:spacing w:before="240" w:line="360" w:lineRule="auto"/>
        <w:jc w:val="both"/>
        <w:rPr>
          <w:rFonts w:ascii="Arial" w:hAnsi="Arial" w:cs="Arial"/>
        </w:rPr>
      </w:pPr>
      <w:r w:rsidRPr="11FF59B9">
        <w:rPr>
          <w:rFonts w:ascii="Arial" w:hAnsi="Arial" w:cs="Arial"/>
        </w:rPr>
        <w:t xml:space="preserve">Industry stakeholders representing new car dealers have suggested that the dispute resolution procedures set out in the Franchising Code are not working as intended. Industry stakeholders have noted that taking legal action to resolve a dispute can be costly and time consuming and </w:t>
      </w:r>
      <w:r w:rsidRPr="11FF59B9">
        <w:rPr>
          <w:rFonts w:ascii="Arial" w:hAnsi="Arial" w:cs="Arial"/>
        </w:rPr>
        <w:lastRenderedPageBreak/>
        <w:t>often puts the franchisee at a disadvantage, given the greater resources of the franchisor. Stakeholders note that the costs associated with taking legal action can mean that franchisees do not have access to justice, particularly when the franchisor is unwilling to reach a solution that works for both parties.</w:t>
      </w:r>
    </w:p>
    <w:p w14:paraId="3F1D0B27" w14:textId="29A87ED5" w:rsidR="00E15E2E" w:rsidRDefault="11FF59B9" w:rsidP="11FF59B9">
      <w:pPr>
        <w:spacing w:before="240" w:line="360" w:lineRule="auto"/>
        <w:jc w:val="both"/>
        <w:rPr>
          <w:rFonts w:ascii="Arial" w:hAnsi="Arial" w:cs="Arial"/>
        </w:rPr>
      </w:pPr>
      <w:r w:rsidRPr="11FF59B9">
        <w:rPr>
          <w:rFonts w:ascii="Arial" w:hAnsi="Arial" w:cs="Arial"/>
        </w:rPr>
        <w:t>Through undertaking multi-franchis</w:t>
      </w:r>
      <w:r w:rsidR="00C0160E">
        <w:rPr>
          <w:rFonts w:ascii="Arial" w:hAnsi="Arial" w:cs="Arial"/>
        </w:rPr>
        <w:t>ee</w:t>
      </w:r>
      <w:r w:rsidRPr="11FF59B9">
        <w:rPr>
          <w:rFonts w:ascii="Arial" w:hAnsi="Arial" w:cs="Arial"/>
        </w:rPr>
        <w:t xml:space="preserve"> mediation, new car dealers will be able to share resourcing and distribute the costs involved in undertaking the mediation. This </w:t>
      </w:r>
      <w:r w:rsidR="00CB10D4">
        <w:rPr>
          <w:rFonts w:ascii="Arial" w:hAnsi="Arial" w:cs="Arial"/>
        </w:rPr>
        <w:t>may</w:t>
      </w:r>
      <w:r w:rsidR="00CB10D4" w:rsidRPr="11FF59B9">
        <w:rPr>
          <w:rFonts w:ascii="Arial" w:hAnsi="Arial" w:cs="Arial"/>
        </w:rPr>
        <w:t xml:space="preserve"> </w:t>
      </w:r>
      <w:r w:rsidRPr="11FF59B9">
        <w:rPr>
          <w:rFonts w:ascii="Arial" w:hAnsi="Arial" w:cs="Arial"/>
        </w:rPr>
        <w:t xml:space="preserve">assist in making the dispute resolution process more cost effective and accessible, particularly to smaller dealers in regional areas. </w:t>
      </w:r>
    </w:p>
    <w:p w14:paraId="3F1D0B28" w14:textId="77777777" w:rsidR="00E15E2E" w:rsidRDefault="11FF59B9" w:rsidP="11FF59B9">
      <w:pPr>
        <w:spacing w:before="240" w:line="360" w:lineRule="auto"/>
        <w:jc w:val="both"/>
        <w:rPr>
          <w:rFonts w:ascii="Arial" w:hAnsi="Arial" w:cs="Arial"/>
        </w:rPr>
      </w:pPr>
      <w:r w:rsidRPr="5996C6E7">
        <w:rPr>
          <w:rFonts w:ascii="Arial" w:hAnsi="Arial" w:cs="Arial"/>
          <w:i/>
          <w:iCs/>
        </w:rPr>
        <w:t>Impact on manufacturers</w:t>
      </w:r>
    </w:p>
    <w:p w14:paraId="3F1D0B29" w14:textId="4A54AFB4" w:rsidR="00E15E2E" w:rsidRDefault="11FF59B9" w:rsidP="11FF59B9">
      <w:pPr>
        <w:spacing w:before="240" w:line="360" w:lineRule="auto"/>
        <w:jc w:val="both"/>
        <w:rPr>
          <w:rFonts w:ascii="Arial" w:hAnsi="Arial" w:cs="Arial"/>
        </w:rPr>
      </w:pPr>
      <w:r w:rsidRPr="11FF59B9">
        <w:rPr>
          <w:rFonts w:ascii="Arial" w:hAnsi="Arial" w:cs="Arial"/>
        </w:rPr>
        <w:t>By addressing issues in the one mediation process, it could potentially reduce legal costs and time spent mediating an outcome for car manufacturers. By not undertaking multi-</w:t>
      </w:r>
      <w:r w:rsidR="00D364E8">
        <w:rPr>
          <w:rFonts w:ascii="Arial" w:hAnsi="Arial" w:cs="Arial"/>
        </w:rPr>
        <w:t>franchisee</w:t>
      </w:r>
      <w:r w:rsidRPr="11FF59B9">
        <w:rPr>
          <w:rFonts w:ascii="Arial" w:hAnsi="Arial" w:cs="Arial"/>
        </w:rPr>
        <w:t xml:space="preserve"> mediation a car manufacturer would be required to separately resolve each issue with each new car dealer thereby increasing time and costs. </w:t>
      </w:r>
    </w:p>
    <w:p w14:paraId="3F1D0B2A" w14:textId="77777777" w:rsidR="00E15E2E" w:rsidRDefault="11FF59B9" w:rsidP="11FF59B9">
      <w:pPr>
        <w:spacing w:before="240" w:line="360" w:lineRule="auto"/>
        <w:jc w:val="both"/>
        <w:rPr>
          <w:rFonts w:ascii="Arial" w:hAnsi="Arial" w:cs="Arial"/>
        </w:rPr>
      </w:pPr>
      <w:r w:rsidRPr="11FF59B9">
        <w:rPr>
          <w:rFonts w:ascii="Arial" w:hAnsi="Arial" w:cs="Arial"/>
        </w:rPr>
        <w:t>However by increasing the accessibility of dispute resolution, it could increase the number of car dealers becoming involved in mediation which could potentially increase costs (associated with implementing outcomes from the mediation) for car manufacturers.</w:t>
      </w:r>
    </w:p>
    <w:p w14:paraId="3F1D0B2B" w14:textId="77777777" w:rsidR="00E15E2E" w:rsidRPr="0040566B" w:rsidRDefault="11FF59B9" w:rsidP="5996C6E7">
      <w:pPr>
        <w:spacing w:before="240" w:line="360" w:lineRule="auto"/>
        <w:jc w:val="both"/>
        <w:rPr>
          <w:rFonts w:ascii="Arial" w:hAnsi="Arial" w:cs="Arial"/>
          <w:i/>
          <w:iCs/>
        </w:rPr>
      </w:pPr>
      <w:r w:rsidRPr="5996C6E7">
        <w:rPr>
          <w:rFonts w:ascii="Arial" w:hAnsi="Arial" w:cs="Arial"/>
          <w:i/>
          <w:iCs/>
        </w:rPr>
        <w:t>Net benefit</w:t>
      </w:r>
    </w:p>
    <w:p w14:paraId="3F1D0B2C" w14:textId="3183E077" w:rsidR="00FE51B8" w:rsidRDefault="11FF59B9" w:rsidP="11FF59B9">
      <w:pPr>
        <w:spacing w:before="240" w:line="360" w:lineRule="auto"/>
        <w:jc w:val="both"/>
        <w:rPr>
          <w:rFonts w:ascii="Arial" w:hAnsi="Arial" w:cs="Arial"/>
        </w:rPr>
      </w:pPr>
      <w:r w:rsidRPr="11FF59B9">
        <w:rPr>
          <w:rFonts w:ascii="Arial" w:hAnsi="Arial" w:cs="Arial"/>
        </w:rPr>
        <w:t xml:space="preserve">This option </w:t>
      </w:r>
      <w:r w:rsidR="0066687E">
        <w:rPr>
          <w:rFonts w:ascii="Arial" w:hAnsi="Arial" w:cs="Arial"/>
        </w:rPr>
        <w:t>c</w:t>
      </w:r>
      <w:r w:rsidRPr="11FF59B9">
        <w:rPr>
          <w:rFonts w:ascii="Arial" w:hAnsi="Arial" w:cs="Arial"/>
        </w:rPr>
        <w:t xml:space="preserve">ould create benefits for both new car dealers and car manufacturers. </w:t>
      </w:r>
      <w:r w:rsidRPr="00BD0AAD">
        <w:rPr>
          <w:rFonts w:ascii="Arial" w:hAnsi="Arial" w:cs="Arial"/>
        </w:rPr>
        <w:t xml:space="preserve">It </w:t>
      </w:r>
      <w:r w:rsidR="0066687E">
        <w:rPr>
          <w:rFonts w:ascii="Arial" w:hAnsi="Arial" w:cs="Arial"/>
        </w:rPr>
        <w:t>c</w:t>
      </w:r>
      <w:r w:rsidRPr="00BD0AAD">
        <w:rPr>
          <w:rFonts w:ascii="Arial" w:hAnsi="Arial" w:cs="Arial"/>
        </w:rPr>
        <w:t xml:space="preserve">ould </w:t>
      </w:r>
      <w:r w:rsidR="00C93A97" w:rsidRPr="00BD0AAD">
        <w:rPr>
          <w:rFonts w:ascii="Arial" w:hAnsi="Arial" w:cs="Arial"/>
        </w:rPr>
        <w:t>empower car dealers and</w:t>
      </w:r>
      <w:r w:rsidR="00C93A97">
        <w:rPr>
          <w:rFonts w:ascii="Arial" w:hAnsi="Arial" w:cs="Arial"/>
        </w:rPr>
        <w:t xml:space="preserve"> </w:t>
      </w:r>
      <w:r w:rsidRPr="11FF59B9">
        <w:rPr>
          <w:rFonts w:ascii="Arial" w:hAnsi="Arial" w:cs="Arial"/>
        </w:rPr>
        <w:t xml:space="preserve">allow </w:t>
      </w:r>
      <w:r w:rsidR="00C93A97">
        <w:rPr>
          <w:rFonts w:ascii="Arial" w:hAnsi="Arial" w:cs="Arial"/>
        </w:rPr>
        <w:t>them</w:t>
      </w:r>
      <w:r w:rsidRPr="11FF59B9">
        <w:rPr>
          <w:rFonts w:ascii="Arial" w:hAnsi="Arial" w:cs="Arial"/>
        </w:rPr>
        <w:t xml:space="preserve"> to share costs and resources, whilst car manufacturers </w:t>
      </w:r>
      <w:r w:rsidR="0066687E">
        <w:rPr>
          <w:rFonts w:ascii="Arial" w:hAnsi="Arial" w:cs="Arial"/>
        </w:rPr>
        <w:t>c</w:t>
      </w:r>
      <w:r w:rsidRPr="11FF59B9">
        <w:rPr>
          <w:rFonts w:ascii="Arial" w:hAnsi="Arial" w:cs="Arial"/>
        </w:rPr>
        <w:t>ould also have cost and time savings. Any increase in cost to the car manufacturer would be outweighed by the cost and resource saving</w:t>
      </w:r>
      <w:r w:rsidR="00211B7D">
        <w:rPr>
          <w:rFonts w:ascii="Arial" w:hAnsi="Arial" w:cs="Arial"/>
        </w:rPr>
        <w:t>s</w:t>
      </w:r>
      <w:r w:rsidRPr="11FF59B9">
        <w:rPr>
          <w:rFonts w:ascii="Arial" w:hAnsi="Arial" w:cs="Arial"/>
        </w:rPr>
        <w:t xml:space="preserve"> experienced by the car dealer that is now able to access mediation.</w:t>
      </w:r>
    </w:p>
    <w:p w14:paraId="3F1D0B2D" w14:textId="77777777" w:rsidR="00686ED4" w:rsidRPr="0040566B" w:rsidRDefault="00686ED4" w:rsidP="0040566B">
      <w:pPr>
        <w:keepNext/>
        <w:spacing w:before="240" w:line="360" w:lineRule="auto"/>
        <w:jc w:val="both"/>
        <w:rPr>
          <w:rFonts w:ascii="Arial" w:hAnsi="Arial" w:cs="Arial"/>
          <w:i/>
          <w:iCs/>
        </w:rPr>
      </w:pPr>
      <w:r w:rsidRPr="0040566B">
        <w:rPr>
          <w:rFonts w:ascii="Arial" w:hAnsi="Arial" w:cs="Arial"/>
          <w:i/>
          <w:iCs/>
        </w:rPr>
        <w:t>Regulatory burden</w:t>
      </w:r>
    </w:p>
    <w:tbl>
      <w:tblPr>
        <w:tblStyle w:val="LightGrid-Accent2"/>
        <w:tblW w:w="9464" w:type="dxa"/>
        <w:tblLook w:val="04A0" w:firstRow="1" w:lastRow="0" w:firstColumn="1" w:lastColumn="0" w:noHBand="0" w:noVBand="1"/>
        <w:tblCaption w:val="Regulatory burden estimate table"/>
        <w:tblDescription w:val="Average annual regulatory costs for option 2F. Total average annual regulatory cost to business is Nil."/>
      </w:tblPr>
      <w:tblGrid>
        <w:gridCol w:w="2128"/>
        <w:gridCol w:w="1646"/>
        <w:gridCol w:w="2170"/>
        <w:gridCol w:w="1946"/>
        <w:gridCol w:w="1574"/>
      </w:tblGrid>
      <w:tr w:rsidR="00686ED4" w:rsidRPr="003F1308" w14:paraId="3F1D0B2F" w14:textId="77777777" w:rsidTr="0040566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9464" w:type="dxa"/>
            <w:gridSpan w:val="5"/>
            <w:noWrap/>
          </w:tcPr>
          <w:p w14:paraId="3F1D0B2E" w14:textId="77777777" w:rsidR="00686ED4" w:rsidRPr="0040566B" w:rsidRDefault="00686ED4" w:rsidP="0040566B">
            <w:pPr>
              <w:keepNext/>
              <w:rPr>
                <w:rFonts w:ascii="Arial" w:hAnsi="Arial" w:cs="Arial"/>
                <w:sz w:val="20"/>
                <w:szCs w:val="20"/>
              </w:rPr>
            </w:pPr>
            <w:r w:rsidRPr="003F1308">
              <w:rPr>
                <w:rFonts w:ascii="Arial" w:hAnsi="Arial" w:cs="Arial"/>
                <w:sz w:val="20"/>
                <w:szCs w:val="20"/>
              </w:rPr>
              <w:t xml:space="preserve">Total Option </w:t>
            </w:r>
            <w:r w:rsidR="00276895" w:rsidRPr="003F1308">
              <w:rPr>
                <w:rFonts w:ascii="Arial" w:hAnsi="Arial" w:cs="Arial"/>
                <w:sz w:val="20"/>
                <w:szCs w:val="20"/>
              </w:rPr>
              <w:t>2F</w:t>
            </w:r>
            <w:r w:rsidR="003A4A6D" w:rsidRPr="003F1308">
              <w:rPr>
                <w:rFonts w:ascii="Arial" w:hAnsi="Arial" w:cs="Arial"/>
                <w:sz w:val="20"/>
                <w:szCs w:val="20"/>
              </w:rPr>
              <w:t xml:space="preserve"> </w:t>
            </w:r>
            <w:r w:rsidRPr="003F1308">
              <w:rPr>
                <w:rFonts w:ascii="Arial" w:hAnsi="Arial" w:cs="Arial"/>
                <w:sz w:val="20"/>
                <w:szCs w:val="20"/>
              </w:rPr>
              <w:t>Costs - Average annual regulatory costs (ten years)</w:t>
            </w:r>
          </w:p>
        </w:tc>
      </w:tr>
      <w:tr w:rsidR="00686ED4" w:rsidRPr="003F1308" w14:paraId="3F1D0B35" w14:textId="77777777" w:rsidTr="0040566B">
        <w:trPr>
          <w:trHeight w:val="300"/>
        </w:trPr>
        <w:tc>
          <w:tcPr>
            <w:cnfStyle w:val="001000000000" w:firstRow="0" w:lastRow="0" w:firstColumn="1" w:lastColumn="0" w:oddVBand="0" w:evenVBand="0" w:oddHBand="0" w:evenHBand="0" w:firstRowFirstColumn="0" w:firstRowLastColumn="0" w:lastRowFirstColumn="0" w:lastRowLastColumn="0"/>
            <w:tcW w:w="2128" w:type="dxa"/>
            <w:noWrap/>
          </w:tcPr>
          <w:p w14:paraId="3F1D0B30" w14:textId="77777777" w:rsidR="00686ED4" w:rsidRPr="003F1308" w:rsidRDefault="00686ED4" w:rsidP="0040566B">
            <w:pPr>
              <w:pStyle w:val="TableText"/>
              <w:keepNext/>
              <w:rPr>
                <w:b w:val="0"/>
              </w:rPr>
            </w:pPr>
            <w:r w:rsidRPr="003F1308">
              <w:t>Change in costs</w:t>
            </w:r>
            <w:r w:rsidRPr="0040566B">
              <w:rPr>
                <w:rFonts w:cs="Calibri"/>
              </w:rPr>
              <w:t xml:space="preserve"> ($ million)</w:t>
            </w:r>
          </w:p>
        </w:tc>
        <w:tc>
          <w:tcPr>
            <w:tcW w:w="1646" w:type="dxa"/>
            <w:noWrap/>
          </w:tcPr>
          <w:p w14:paraId="3F1D0B31" w14:textId="77777777" w:rsidR="00686ED4" w:rsidRPr="003F1308" w:rsidRDefault="00686ED4" w:rsidP="0040566B">
            <w:pPr>
              <w:pStyle w:val="TableText"/>
              <w:keepNext/>
              <w:cnfStyle w:val="000000000000" w:firstRow="0" w:lastRow="0" w:firstColumn="0" w:lastColumn="0" w:oddVBand="0" w:evenVBand="0" w:oddHBand="0" w:evenHBand="0" w:firstRowFirstColumn="0" w:firstRowLastColumn="0" w:lastRowFirstColumn="0" w:lastRowLastColumn="0"/>
            </w:pPr>
            <w:r w:rsidRPr="003F1308">
              <w:t>Business</w:t>
            </w:r>
          </w:p>
        </w:tc>
        <w:tc>
          <w:tcPr>
            <w:tcW w:w="2170" w:type="dxa"/>
            <w:noWrap/>
          </w:tcPr>
          <w:p w14:paraId="3F1D0B32" w14:textId="77777777" w:rsidR="00686ED4" w:rsidRPr="003F1308" w:rsidRDefault="00686ED4" w:rsidP="0040566B">
            <w:pPr>
              <w:pStyle w:val="TableText"/>
              <w:keepNext/>
              <w:cnfStyle w:val="000000000000" w:firstRow="0" w:lastRow="0" w:firstColumn="0" w:lastColumn="0" w:oddVBand="0" w:evenVBand="0" w:oddHBand="0" w:evenHBand="0" w:firstRowFirstColumn="0" w:firstRowLastColumn="0" w:lastRowFirstColumn="0" w:lastRowLastColumn="0"/>
            </w:pPr>
            <w:r w:rsidRPr="0040566B">
              <w:rPr>
                <w:rFonts w:cs="Calibri"/>
              </w:rPr>
              <w:t>Community organisations</w:t>
            </w:r>
          </w:p>
        </w:tc>
        <w:tc>
          <w:tcPr>
            <w:tcW w:w="1946" w:type="dxa"/>
            <w:noWrap/>
          </w:tcPr>
          <w:p w14:paraId="3F1D0B33" w14:textId="77777777" w:rsidR="00686ED4" w:rsidRPr="003F1308" w:rsidRDefault="00686ED4" w:rsidP="0040566B">
            <w:pPr>
              <w:pStyle w:val="TableText"/>
              <w:keepNext/>
              <w:cnfStyle w:val="000000000000" w:firstRow="0" w:lastRow="0" w:firstColumn="0" w:lastColumn="0" w:oddVBand="0" w:evenVBand="0" w:oddHBand="0" w:evenHBand="0" w:firstRowFirstColumn="0" w:firstRowLastColumn="0" w:lastRowFirstColumn="0" w:lastRowLastColumn="0"/>
            </w:pPr>
            <w:r w:rsidRPr="003F1308">
              <w:t>Individuals</w:t>
            </w:r>
          </w:p>
        </w:tc>
        <w:tc>
          <w:tcPr>
            <w:tcW w:w="1574" w:type="dxa"/>
            <w:noWrap/>
          </w:tcPr>
          <w:p w14:paraId="3F1D0B34" w14:textId="77777777" w:rsidR="00686ED4" w:rsidRPr="003F1308" w:rsidRDefault="00686ED4" w:rsidP="0040566B">
            <w:pPr>
              <w:pStyle w:val="TableText"/>
              <w:keepNext/>
              <w:cnfStyle w:val="000000000000" w:firstRow="0" w:lastRow="0" w:firstColumn="0" w:lastColumn="0" w:oddVBand="0" w:evenVBand="0" w:oddHBand="0" w:evenHBand="0" w:firstRowFirstColumn="0" w:firstRowLastColumn="0" w:lastRowFirstColumn="0" w:lastRowLastColumn="0"/>
            </w:pPr>
            <w:r w:rsidRPr="0040566B">
              <w:rPr>
                <w:rFonts w:cs="Calibri"/>
              </w:rPr>
              <w:t>Total change in cost</w:t>
            </w:r>
          </w:p>
        </w:tc>
      </w:tr>
      <w:tr w:rsidR="00686ED4" w:rsidRPr="003F1308" w14:paraId="3F1D0B3B" w14:textId="77777777" w:rsidTr="0040566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8" w:type="dxa"/>
            <w:noWrap/>
          </w:tcPr>
          <w:p w14:paraId="3F1D0B36" w14:textId="77777777" w:rsidR="00686ED4" w:rsidRPr="003F1308" w:rsidRDefault="00686ED4" w:rsidP="0040566B">
            <w:pPr>
              <w:pStyle w:val="TableText"/>
              <w:keepNext/>
              <w:rPr>
                <w:b w:val="0"/>
              </w:rPr>
            </w:pPr>
            <w:r w:rsidRPr="003F1308">
              <w:t>Total, by sector</w:t>
            </w:r>
          </w:p>
        </w:tc>
        <w:tc>
          <w:tcPr>
            <w:tcW w:w="1646" w:type="dxa"/>
            <w:noWrap/>
          </w:tcPr>
          <w:p w14:paraId="3F1D0B37" w14:textId="77777777" w:rsidR="00686ED4" w:rsidRPr="0040566B" w:rsidRDefault="000C07AF" w:rsidP="0040566B">
            <w:pPr>
              <w:pStyle w:val="TableText"/>
              <w:keepNext/>
              <w:cnfStyle w:val="000000010000" w:firstRow="0" w:lastRow="0" w:firstColumn="0" w:lastColumn="0" w:oddVBand="0" w:evenVBand="0" w:oddHBand="0" w:evenHBand="1" w:firstRowFirstColumn="0" w:firstRowLastColumn="0" w:lastRowFirstColumn="0" w:lastRowLastColumn="0"/>
              <w:rPr>
                <w:rFonts w:cs="Calibri"/>
              </w:rPr>
            </w:pPr>
            <w:r w:rsidRPr="0040566B">
              <w:rPr>
                <w:rFonts w:cs="Calibri"/>
              </w:rPr>
              <w:t>Nil</w:t>
            </w:r>
          </w:p>
        </w:tc>
        <w:tc>
          <w:tcPr>
            <w:tcW w:w="2170" w:type="dxa"/>
            <w:noWrap/>
          </w:tcPr>
          <w:p w14:paraId="3F1D0B38" w14:textId="77777777" w:rsidR="00686ED4" w:rsidRPr="003F1308" w:rsidRDefault="00686ED4" w:rsidP="0040566B">
            <w:pPr>
              <w:pStyle w:val="TableText"/>
              <w:keepNext/>
              <w:cnfStyle w:val="000000010000" w:firstRow="0" w:lastRow="0" w:firstColumn="0" w:lastColumn="0" w:oddVBand="0" w:evenVBand="0" w:oddHBand="0" w:evenHBand="1" w:firstRowFirstColumn="0" w:firstRowLastColumn="0" w:lastRowFirstColumn="0" w:lastRowLastColumn="0"/>
              <w:rPr>
                <w:rFonts w:cs="Calibri"/>
                <w:iCs/>
              </w:rPr>
            </w:pPr>
          </w:p>
        </w:tc>
        <w:tc>
          <w:tcPr>
            <w:tcW w:w="1946" w:type="dxa"/>
            <w:noWrap/>
          </w:tcPr>
          <w:p w14:paraId="3F1D0B39" w14:textId="77777777" w:rsidR="00686ED4" w:rsidRPr="003F1308" w:rsidRDefault="00686ED4" w:rsidP="0040566B">
            <w:pPr>
              <w:pStyle w:val="TableText"/>
              <w:keepNext/>
              <w:cnfStyle w:val="000000010000" w:firstRow="0" w:lastRow="0" w:firstColumn="0" w:lastColumn="0" w:oddVBand="0" w:evenVBand="0" w:oddHBand="0" w:evenHBand="1" w:firstRowFirstColumn="0" w:firstRowLastColumn="0" w:lastRowFirstColumn="0" w:lastRowLastColumn="0"/>
              <w:rPr>
                <w:rFonts w:cs="Calibri"/>
                <w:iCs/>
              </w:rPr>
            </w:pPr>
          </w:p>
        </w:tc>
        <w:tc>
          <w:tcPr>
            <w:tcW w:w="1574" w:type="dxa"/>
            <w:noWrap/>
          </w:tcPr>
          <w:p w14:paraId="3F1D0B3A" w14:textId="77777777" w:rsidR="00686ED4" w:rsidRPr="0040566B" w:rsidRDefault="00504533" w:rsidP="0040566B">
            <w:pPr>
              <w:pStyle w:val="TableText"/>
              <w:keepNext/>
              <w:cnfStyle w:val="000000010000" w:firstRow="0" w:lastRow="0" w:firstColumn="0" w:lastColumn="0" w:oddVBand="0" w:evenVBand="0" w:oddHBand="0" w:evenHBand="1" w:firstRowFirstColumn="0" w:firstRowLastColumn="0" w:lastRowFirstColumn="0" w:lastRowLastColumn="0"/>
              <w:rPr>
                <w:rFonts w:cs="Calibri"/>
              </w:rPr>
            </w:pPr>
            <w:r w:rsidRPr="0040566B">
              <w:rPr>
                <w:rFonts w:cs="Calibri"/>
              </w:rPr>
              <w:t>Nil</w:t>
            </w:r>
          </w:p>
        </w:tc>
      </w:tr>
    </w:tbl>
    <w:p w14:paraId="3F1D0B3C" w14:textId="77777777" w:rsidR="00CF05CB" w:rsidRDefault="009F4385" w:rsidP="009F4385">
      <w:pPr>
        <w:spacing w:before="240" w:line="360" w:lineRule="auto"/>
        <w:jc w:val="both"/>
        <w:rPr>
          <w:rFonts w:ascii="Arial" w:hAnsi="Arial" w:cs="Arial"/>
        </w:rPr>
      </w:pPr>
      <w:r w:rsidRPr="003F1308">
        <w:rPr>
          <w:rFonts w:ascii="Arial" w:hAnsi="Arial" w:cs="Arial"/>
        </w:rPr>
        <w:t>Since this option involves a regulatory amendment to clarify the existing ability for franchisees to undertake multi-franchisee mediation, it is anticipated that there is no r</w:t>
      </w:r>
      <w:r w:rsidR="00261CD8" w:rsidRPr="003F1308">
        <w:rPr>
          <w:rFonts w:ascii="Arial" w:hAnsi="Arial" w:cs="Arial"/>
        </w:rPr>
        <w:t xml:space="preserve">egulatory burden </w:t>
      </w:r>
      <w:r w:rsidRPr="003F1308">
        <w:rPr>
          <w:rFonts w:ascii="Arial" w:hAnsi="Arial" w:cs="Arial"/>
        </w:rPr>
        <w:t>resulting from this change.</w:t>
      </w:r>
      <w:r>
        <w:rPr>
          <w:rFonts w:ascii="Arial" w:hAnsi="Arial" w:cs="Arial"/>
        </w:rPr>
        <w:t xml:space="preserve"> </w:t>
      </w:r>
    </w:p>
    <w:p w14:paraId="6BCA1032" w14:textId="5CDB80C2" w:rsidR="00DE61D7" w:rsidRPr="0040566B" w:rsidRDefault="003144E5" w:rsidP="00F63B7B">
      <w:pPr>
        <w:spacing w:before="240" w:line="360" w:lineRule="auto"/>
        <w:jc w:val="both"/>
        <w:rPr>
          <w:rFonts w:ascii="Arial" w:eastAsiaTheme="majorEastAsia" w:hAnsi="Arial" w:cs="Arial"/>
          <w:color w:val="2E74B5" w:themeColor="accent1" w:themeShade="BF"/>
          <w:sz w:val="36"/>
          <w:szCs w:val="36"/>
        </w:rPr>
      </w:pPr>
      <w:r>
        <w:rPr>
          <w:rFonts w:ascii="Arial" w:hAnsi="Arial" w:cs="Arial"/>
        </w:rPr>
        <w:lastRenderedPageBreak/>
        <w:t>As noted above, a benefit of this option is that it potentially equalises the imbalance between dealers and manufacturers. From a costing perspective, the negotiated benefit gained by dealers would equal the losses incurred by the manufacturers. However, both parties may have reduced legal costs due to efficiencies gained from conducting multi-franchis</w:t>
      </w:r>
      <w:r w:rsidR="00A6122C">
        <w:rPr>
          <w:rFonts w:ascii="Arial" w:hAnsi="Arial" w:cs="Arial"/>
        </w:rPr>
        <w:t>ee</w:t>
      </w:r>
      <w:r>
        <w:rPr>
          <w:rFonts w:ascii="Arial" w:hAnsi="Arial" w:cs="Arial"/>
        </w:rPr>
        <w:t xml:space="preserve"> </w:t>
      </w:r>
      <w:r w:rsidR="00D33C8D">
        <w:rPr>
          <w:rFonts w:ascii="Arial" w:hAnsi="Arial" w:cs="Arial"/>
        </w:rPr>
        <w:t>mediat</w:t>
      </w:r>
      <w:r w:rsidR="00604E41">
        <w:rPr>
          <w:rFonts w:ascii="Arial" w:hAnsi="Arial" w:cs="Arial"/>
        </w:rPr>
        <w:t>i</w:t>
      </w:r>
      <w:r w:rsidR="00AA0A1D">
        <w:rPr>
          <w:rFonts w:ascii="Arial" w:hAnsi="Arial" w:cs="Arial"/>
        </w:rPr>
        <w:t>on</w:t>
      </w:r>
      <w:r>
        <w:rPr>
          <w:rFonts w:ascii="Arial" w:hAnsi="Arial" w:cs="Arial"/>
        </w:rPr>
        <w:t xml:space="preserve">, which have been costed elsewhere at $500/hr. </w:t>
      </w:r>
      <w:bookmarkStart w:id="80" w:name="_Toc530493133"/>
      <w:bookmarkStart w:id="81" w:name="_Toc530493188"/>
      <w:bookmarkStart w:id="82" w:name="_Toc530563054"/>
      <w:bookmarkStart w:id="83" w:name="_Toc529891250"/>
      <w:bookmarkStart w:id="84" w:name="_Toc529891268"/>
      <w:r w:rsidR="00DE61D7">
        <w:rPr>
          <w:rFonts w:ascii="Arial" w:hAnsi="Arial" w:cs="Arial"/>
          <w:sz w:val="36"/>
          <w:szCs w:val="36"/>
        </w:rPr>
        <w:br w:type="page"/>
      </w:r>
    </w:p>
    <w:p w14:paraId="3F1D0B40" w14:textId="6ED490F6" w:rsidR="00BA11D3" w:rsidRDefault="00BA11D3" w:rsidP="00BA11D3">
      <w:pPr>
        <w:pStyle w:val="Heading2"/>
        <w:rPr>
          <w:rFonts w:ascii="Arial" w:hAnsi="Arial" w:cs="Arial"/>
          <w:sz w:val="36"/>
          <w:szCs w:val="36"/>
        </w:rPr>
      </w:pPr>
      <w:bookmarkStart w:id="85" w:name="_Toc20489945"/>
      <w:r>
        <w:rPr>
          <w:rFonts w:ascii="Arial" w:hAnsi="Arial" w:cs="Arial"/>
          <w:sz w:val="36"/>
          <w:szCs w:val="36"/>
        </w:rPr>
        <w:lastRenderedPageBreak/>
        <w:t>3</w:t>
      </w:r>
      <w:r w:rsidRPr="00BA11D3">
        <w:rPr>
          <w:rFonts w:ascii="Arial" w:hAnsi="Arial" w:cs="Arial"/>
          <w:sz w:val="36"/>
          <w:szCs w:val="36"/>
        </w:rPr>
        <w:t xml:space="preserve"> – </w:t>
      </w:r>
      <w:r>
        <w:rPr>
          <w:rFonts w:ascii="Arial" w:hAnsi="Arial" w:cs="Arial"/>
          <w:sz w:val="36"/>
          <w:szCs w:val="36"/>
        </w:rPr>
        <w:t>Voluntary Code of Conduct</w:t>
      </w:r>
      <w:bookmarkEnd w:id="80"/>
      <w:bookmarkEnd w:id="81"/>
      <w:bookmarkEnd w:id="82"/>
      <w:bookmarkEnd w:id="85"/>
    </w:p>
    <w:p w14:paraId="3F1D0B41" w14:textId="1307EA01" w:rsidR="001B2D2A" w:rsidRPr="00B61A16" w:rsidRDefault="00BA11D3" w:rsidP="00B61A16">
      <w:pPr>
        <w:spacing w:before="240" w:line="360" w:lineRule="auto"/>
        <w:jc w:val="both"/>
        <w:rPr>
          <w:rFonts w:ascii="Arial" w:hAnsi="Arial" w:cs="Arial"/>
        </w:rPr>
      </w:pPr>
      <w:r w:rsidRPr="00B61A16">
        <w:rPr>
          <w:rFonts w:ascii="Arial" w:hAnsi="Arial" w:cs="Arial"/>
        </w:rPr>
        <w:t xml:space="preserve">Under this option, the preferred proposals in </w:t>
      </w:r>
      <w:r w:rsidR="00276895">
        <w:rPr>
          <w:rFonts w:ascii="Arial" w:hAnsi="Arial" w:cs="Arial"/>
        </w:rPr>
        <w:t>o</w:t>
      </w:r>
      <w:r w:rsidRPr="00B61A16">
        <w:rPr>
          <w:rFonts w:ascii="Arial" w:hAnsi="Arial" w:cs="Arial"/>
        </w:rPr>
        <w:t xml:space="preserve">ption 2 would be implemented through a voluntary industry code of conduct, rather than by amending </w:t>
      </w:r>
      <w:r w:rsidR="001B2D2A" w:rsidRPr="00B61A16">
        <w:rPr>
          <w:rFonts w:ascii="Arial" w:hAnsi="Arial" w:cs="Arial"/>
        </w:rPr>
        <w:t>the existing Franchising Code.</w:t>
      </w:r>
    </w:p>
    <w:p w14:paraId="3F1D0B42" w14:textId="77777777" w:rsidR="001B2D2A" w:rsidRPr="00B61A16" w:rsidRDefault="001B2D2A" w:rsidP="00B61A16">
      <w:pPr>
        <w:spacing w:before="240" w:line="360" w:lineRule="auto"/>
        <w:jc w:val="both"/>
        <w:rPr>
          <w:rFonts w:ascii="Arial" w:hAnsi="Arial" w:cs="Arial"/>
        </w:rPr>
      </w:pPr>
      <w:r w:rsidRPr="00B61A16">
        <w:rPr>
          <w:rFonts w:ascii="Arial" w:hAnsi="Arial" w:cs="Arial"/>
        </w:rPr>
        <w:t xml:space="preserve">As outlined in the </w:t>
      </w:r>
      <w:r w:rsidR="00895390">
        <w:rPr>
          <w:rFonts w:ascii="Arial" w:hAnsi="Arial" w:cs="Arial"/>
        </w:rPr>
        <w:t>Final Report of the Taskforce on Industry Self-Regulation</w:t>
      </w:r>
      <w:r w:rsidRPr="00B61A16">
        <w:rPr>
          <w:rFonts w:ascii="Arial" w:hAnsi="Arial" w:cs="Arial"/>
        </w:rPr>
        <w:t>:</w:t>
      </w:r>
    </w:p>
    <w:p w14:paraId="3F1D0B43" w14:textId="77777777" w:rsidR="001B2D2A" w:rsidRPr="00B61A16" w:rsidRDefault="001B2D2A" w:rsidP="00B61A16">
      <w:pPr>
        <w:spacing w:before="240" w:line="360" w:lineRule="auto"/>
        <w:ind w:left="720"/>
        <w:jc w:val="both"/>
        <w:rPr>
          <w:rFonts w:ascii="Arial" w:hAnsi="Arial" w:cs="Arial"/>
        </w:rPr>
      </w:pPr>
      <w:r w:rsidRPr="00B61A16">
        <w:rPr>
          <w:rFonts w:ascii="Arial" w:hAnsi="Arial" w:cs="Arial"/>
        </w:rPr>
        <w:t>“Self-regulatory schemes tend to promote good practice and target specific problems within industries, impose lower compliance costs on business, and offer quick, low cost dispute resolution procedures. Effective self-regulation can also avoid the often overly prescriptive nature of regulation and allow industry the flexibility to provide greater choice for consumers and to be more responsive to changing consumer expectations.”</w:t>
      </w:r>
      <w:r w:rsidR="00F4631F">
        <w:rPr>
          <w:rStyle w:val="FootnoteReference"/>
          <w:rFonts w:ascii="Arial" w:hAnsi="Arial" w:cs="Arial"/>
        </w:rPr>
        <w:footnoteReference w:id="81"/>
      </w:r>
    </w:p>
    <w:p w14:paraId="3F1D0B44" w14:textId="16ABC8FE" w:rsidR="00B91C0B" w:rsidRPr="00B61A16" w:rsidRDefault="001B2D2A" w:rsidP="00B61A16">
      <w:pPr>
        <w:spacing w:before="240" w:line="360" w:lineRule="auto"/>
        <w:jc w:val="both"/>
        <w:rPr>
          <w:rFonts w:ascii="Arial" w:hAnsi="Arial" w:cs="Arial"/>
        </w:rPr>
      </w:pPr>
      <w:r w:rsidRPr="00B61A16">
        <w:rPr>
          <w:rFonts w:ascii="Arial" w:hAnsi="Arial" w:cs="Arial"/>
        </w:rPr>
        <w:t xml:space="preserve">However, the benefits of self-regulation can only be realised where it is effective at changing the behaviour of industry participants. </w:t>
      </w:r>
      <w:r w:rsidR="00483E11">
        <w:rPr>
          <w:rFonts w:ascii="Arial" w:hAnsi="Arial" w:cs="Arial"/>
        </w:rPr>
        <w:t>The limited effectiveness of the voluntary Heads of Agreement on Access to Repair Information for Motor Vehicles, as identified by the ACCC in its market study, suggests that a voluntary code of conduct without a penalty regime is unlikely to change behaviour of participants in the new car retailing sector.</w:t>
      </w:r>
    </w:p>
    <w:p w14:paraId="3F1D0B45" w14:textId="4B2FC057" w:rsidR="00B91C0B" w:rsidRDefault="001D6842" w:rsidP="00B61A16">
      <w:pPr>
        <w:spacing w:before="240" w:line="360" w:lineRule="auto"/>
        <w:jc w:val="both"/>
        <w:rPr>
          <w:rFonts w:ascii="Arial" w:hAnsi="Arial" w:cs="Arial"/>
        </w:rPr>
      </w:pPr>
      <w:r>
        <w:rPr>
          <w:rFonts w:ascii="Arial" w:hAnsi="Arial" w:cs="Arial"/>
        </w:rPr>
        <w:t>T</w:t>
      </w:r>
      <w:r w:rsidR="00B91C0B" w:rsidRPr="00B61A16">
        <w:rPr>
          <w:rFonts w:ascii="Arial" w:hAnsi="Arial" w:cs="Arial"/>
        </w:rPr>
        <w:t>he mandatory Franchising Code already has provisions dealing with end of term arrangements, capital expenditure and dispute resolution – the three key problems identified in this RIS. Despite the Franchising Code being mandatory and seeking to resolve these problems, the issues continues to persist</w:t>
      </w:r>
      <w:r>
        <w:rPr>
          <w:rFonts w:ascii="Arial" w:hAnsi="Arial" w:cs="Arial"/>
        </w:rPr>
        <w:t xml:space="preserve"> with particularly significant impact on car dealers</w:t>
      </w:r>
      <w:r w:rsidR="00B91C0B" w:rsidRPr="00B61A16">
        <w:rPr>
          <w:rFonts w:ascii="Arial" w:hAnsi="Arial" w:cs="Arial"/>
        </w:rPr>
        <w:t>. Given this, it is unlikely that a voluntary code of conduct would be effective.</w:t>
      </w:r>
    </w:p>
    <w:p w14:paraId="522A5264" w14:textId="6E6D226D" w:rsidR="00736989" w:rsidRDefault="00736989" w:rsidP="00B61A16">
      <w:pPr>
        <w:spacing w:before="240" w:line="360" w:lineRule="auto"/>
        <w:jc w:val="both"/>
        <w:rPr>
          <w:rFonts w:ascii="Arial" w:hAnsi="Arial" w:cs="Arial"/>
        </w:rPr>
      </w:pPr>
      <w:r>
        <w:rPr>
          <w:rFonts w:ascii="Arial" w:hAnsi="Arial" w:cs="Arial"/>
        </w:rPr>
        <w:t>In their submission to the RIS, the ACCC agreed with this assessment, noting that:</w:t>
      </w:r>
    </w:p>
    <w:p w14:paraId="3C1066F2" w14:textId="05EC9496" w:rsidR="00736989" w:rsidRPr="0040566B" w:rsidRDefault="00736989" w:rsidP="0040566B">
      <w:pPr>
        <w:spacing w:before="240" w:line="360" w:lineRule="auto"/>
        <w:ind w:left="720"/>
        <w:jc w:val="both"/>
        <w:rPr>
          <w:rFonts w:ascii="Arial" w:hAnsi="Arial" w:cs="Arial"/>
        </w:rPr>
      </w:pPr>
      <w:r w:rsidRPr="0040566B">
        <w:rPr>
          <w:rFonts w:ascii="Arial" w:hAnsi="Arial" w:cs="Arial"/>
        </w:rPr>
        <w:t xml:space="preserve">“The ACCC considers that mandatory solutions are required to overcome entrenched conduct in the new car retailing industry. A voluntary code is unlikely to resolve issues when there is a significant imbalance in power between parties. For example, as noted in our market study, we consider the earlier attempt to encourage car manufacturers to voluntarily share technical information has failed. </w:t>
      </w:r>
    </w:p>
    <w:p w14:paraId="6516B314" w14:textId="6F0D306B" w:rsidR="00736989" w:rsidRPr="0040566B" w:rsidRDefault="00736989" w:rsidP="0040566B">
      <w:pPr>
        <w:spacing w:before="240" w:line="360" w:lineRule="auto"/>
        <w:ind w:left="720"/>
        <w:jc w:val="both"/>
        <w:rPr>
          <w:rFonts w:ascii="Arial" w:hAnsi="Arial" w:cs="Arial"/>
        </w:rPr>
      </w:pPr>
      <w:r w:rsidRPr="0040566B">
        <w:rPr>
          <w:rFonts w:ascii="Arial" w:hAnsi="Arial" w:cs="Arial"/>
        </w:rPr>
        <w:t>The ACCC agrees with the views expressed in the RIS that given voluntary approaches to franchising regulation failed, it appears unlikely that Option 3 would effectively address the identified problems.</w:t>
      </w:r>
      <w:r>
        <w:rPr>
          <w:rStyle w:val="FootnoteReference"/>
          <w:rFonts w:ascii="Arial" w:hAnsi="Arial" w:cs="Arial"/>
        </w:rPr>
        <w:footnoteReference w:id="82"/>
      </w:r>
    </w:p>
    <w:p w14:paraId="3F1D0B46" w14:textId="77777777" w:rsidR="00B61A16" w:rsidRPr="0040566B" w:rsidRDefault="00B61A16" w:rsidP="0040566B">
      <w:pPr>
        <w:autoSpaceDE w:val="0"/>
        <w:autoSpaceDN w:val="0"/>
        <w:adjustRightInd w:val="0"/>
        <w:spacing w:line="240" w:lineRule="auto"/>
        <w:rPr>
          <w:rFonts w:ascii="Arial" w:hAnsi="Arial" w:cs="Arial"/>
          <w:i/>
          <w:iCs/>
        </w:rPr>
      </w:pPr>
      <w:r w:rsidRPr="0040566B">
        <w:rPr>
          <w:rFonts w:ascii="Arial" w:hAnsi="Arial" w:cs="Arial"/>
          <w:i/>
          <w:iCs/>
        </w:rPr>
        <w:lastRenderedPageBreak/>
        <w:t>Net benefit</w:t>
      </w:r>
    </w:p>
    <w:p w14:paraId="3F1D0B49" w14:textId="6D1EC7DC" w:rsidR="00BA11D3" w:rsidRPr="00B54F3D" w:rsidRDefault="00B61A16" w:rsidP="00A81259">
      <w:pPr>
        <w:spacing w:line="360" w:lineRule="auto"/>
        <w:jc w:val="both"/>
        <w:rPr>
          <w:rFonts w:ascii="Arial" w:hAnsi="Arial" w:cs="Arial"/>
        </w:rPr>
      </w:pPr>
      <w:r w:rsidRPr="0040566B">
        <w:rPr>
          <w:rFonts w:ascii="Arial" w:hAnsi="Arial" w:cs="Arial"/>
        </w:rPr>
        <w:t>While this options would have a lower regulatory impact than option 2, due to being self</w:t>
      </w:r>
      <w:r w:rsidR="004747BF">
        <w:rPr>
          <w:rFonts w:ascii="Arial" w:hAnsi="Arial" w:cs="Arial"/>
        </w:rPr>
        <w:noBreakHyphen/>
      </w:r>
      <w:r w:rsidRPr="0040566B">
        <w:rPr>
          <w:rFonts w:ascii="Arial" w:hAnsi="Arial" w:cs="Arial"/>
        </w:rPr>
        <w:t xml:space="preserve">regulatory, given past experience with </w:t>
      </w:r>
      <w:r w:rsidR="001D6842" w:rsidRPr="0040566B">
        <w:rPr>
          <w:rFonts w:ascii="Arial" w:hAnsi="Arial" w:cs="Arial"/>
        </w:rPr>
        <w:t>voluntary approaches to f</w:t>
      </w:r>
      <w:r w:rsidRPr="0040566B">
        <w:rPr>
          <w:rFonts w:ascii="Arial" w:hAnsi="Arial" w:cs="Arial"/>
        </w:rPr>
        <w:t xml:space="preserve">ranchising </w:t>
      </w:r>
      <w:r w:rsidR="001D6842" w:rsidRPr="0040566B">
        <w:rPr>
          <w:rFonts w:ascii="Arial" w:hAnsi="Arial" w:cs="Arial"/>
        </w:rPr>
        <w:t xml:space="preserve">regulation failing, </w:t>
      </w:r>
      <w:r w:rsidRPr="0040566B">
        <w:rPr>
          <w:rFonts w:ascii="Arial" w:hAnsi="Arial" w:cs="Arial"/>
        </w:rPr>
        <w:t>it appears unlikely that Option 3 would effectively address the identified problems.</w:t>
      </w:r>
      <w:r w:rsidR="00BA11D3" w:rsidRPr="0040566B">
        <w:rPr>
          <w:i/>
          <w:iCs/>
        </w:rPr>
        <w:br w:type="page"/>
      </w:r>
    </w:p>
    <w:p w14:paraId="3F1D0B4A" w14:textId="77777777" w:rsidR="00BA11D3" w:rsidRPr="00BA11D3" w:rsidRDefault="00BA11D3" w:rsidP="00BA11D3"/>
    <w:p w14:paraId="3F1D0B4B" w14:textId="77777777" w:rsidR="003A4A6D" w:rsidRDefault="003A4A6D" w:rsidP="00103B9B">
      <w:pPr>
        <w:pStyle w:val="Heading3"/>
      </w:pPr>
      <w:bookmarkStart w:id="86" w:name="_Toc530493134"/>
      <w:bookmarkStart w:id="87" w:name="_Toc530493189"/>
      <w:bookmarkStart w:id="88" w:name="_Toc530563055"/>
      <w:bookmarkStart w:id="89" w:name="_Toc20489946"/>
      <w:r w:rsidRPr="007C346A">
        <w:t>Regulatory burden summary table</w:t>
      </w:r>
      <w:bookmarkEnd w:id="83"/>
      <w:bookmarkEnd w:id="84"/>
      <w:bookmarkEnd w:id="86"/>
      <w:bookmarkEnd w:id="87"/>
      <w:bookmarkEnd w:id="88"/>
      <w:bookmarkEnd w:id="89"/>
    </w:p>
    <w:p w14:paraId="265ED77B" w14:textId="77777777" w:rsidR="00F0754D" w:rsidRDefault="00F0754D" w:rsidP="00F0754D">
      <w:pPr>
        <w:keepNext/>
        <w:rPr>
          <w:rFonts w:ascii="Arial" w:hAnsi="Arial" w:cs="Arial"/>
          <w:b/>
          <w:bCs/>
        </w:rPr>
      </w:pPr>
    </w:p>
    <w:p w14:paraId="7067AD00" w14:textId="1F7D58A9" w:rsidR="000068C2" w:rsidRPr="00F0754D" w:rsidRDefault="000068C2" w:rsidP="00F0754D">
      <w:pPr>
        <w:keepNext/>
        <w:rPr>
          <w:rFonts w:ascii="Arial" w:hAnsi="Arial" w:cs="Arial"/>
          <w:b/>
          <w:bCs/>
        </w:rPr>
      </w:pPr>
      <w:r w:rsidRPr="00F0754D">
        <w:rPr>
          <w:rFonts w:ascii="Arial" w:hAnsi="Arial" w:cs="Arial"/>
          <w:b/>
          <w:bCs/>
        </w:rPr>
        <w:t xml:space="preserve">Supported Options </w:t>
      </w:r>
    </w:p>
    <w:tbl>
      <w:tblPr>
        <w:tblStyle w:val="LightGrid-Accent2"/>
        <w:tblW w:w="9464" w:type="dxa"/>
        <w:tblLook w:val="04A0" w:firstRow="1" w:lastRow="0" w:firstColumn="1" w:lastColumn="0" w:noHBand="0" w:noVBand="1"/>
        <w:tblCaption w:val="Regulatory burden estimate table"/>
        <w:tblDescription w:val="The total average annual regulatory cost to business for the supported options is $4.575 million."/>
      </w:tblPr>
      <w:tblGrid>
        <w:gridCol w:w="2128"/>
        <w:gridCol w:w="1646"/>
        <w:gridCol w:w="2170"/>
        <w:gridCol w:w="1946"/>
        <w:gridCol w:w="1574"/>
      </w:tblGrid>
      <w:tr w:rsidR="003A4A6D" w:rsidRPr="007C346A" w14:paraId="3F1D0B4D" w14:textId="77777777" w:rsidTr="0040566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9464" w:type="dxa"/>
            <w:gridSpan w:val="5"/>
            <w:noWrap/>
          </w:tcPr>
          <w:p w14:paraId="3F1D0B4C" w14:textId="77777777" w:rsidR="003A4A6D" w:rsidRPr="007C346A" w:rsidRDefault="003A4A6D" w:rsidP="005840B5">
            <w:pPr>
              <w:rPr>
                <w:rFonts w:ascii="Arial" w:hAnsi="Arial" w:cs="Arial"/>
                <w:sz w:val="20"/>
                <w:szCs w:val="20"/>
              </w:rPr>
            </w:pPr>
            <w:r w:rsidRPr="007C346A">
              <w:rPr>
                <w:rFonts w:ascii="Arial" w:hAnsi="Arial" w:cs="Arial"/>
                <w:sz w:val="20"/>
                <w:szCs w:val="20"/>
              </w:rPr>
              <w:t>Average annual regulatory costs (ten years)</w:t>
            </w:r>
          </w:p>
        </w:tc>
      </w:tr>
      <w:tr w:rsidR="003A4A6D" w:rsidRPr="007C346A" w14:paraId="3F1D0B53" w14:textId="77777777" w:rsidTr="0040566B">
        <w:trPr>
          <w:trHeight w:val="300"/>
        </w:trPr>
        <w:tc>
          <w:tcPr>
            <w:cnfStyle w:val="001000000000" w:firstRow="0" w:lastRow="0" w:firstColumn="1" w:lastColumn="0" w:oddVBand="0" w:evenVBand="0" w:oddHBand="0" w:evenHBand="0" w:firstRowFirstColumn="0" w:firstRowLastColumn="0" w:lastRowFirstColumn="0" w:lastRowLastColumn="0"/>
            <w:tcW w:w="2128" w:type="dxa"/>
            <w:noWrap/>
          </w:tcPr>
          <w:p w14:paraId="3F1D0B4E" w14:textId="77777777" w:rsidR="003A4A6D" w:rsidRPr="0040566B" w:rsidRDefault="003A4A6D">
            <w:pPr>
              <w:pStyle w:val="TableText"/>
              <w:rPr>
                <w:b w:val="0"/>
              </w:rPr>
            </w:pPr>
            <w:r w:rsidRPr="007C346A">
              <w:t>Change in costs</w:t>
            </w:r>
            <w:r w:rsidRPr="0040566B">
              <w:rPr>
                <w:rFonts w:cs="Calibri"/>
              </w:rPr>
              <w:t xml:space="preserve"> ($ million)</w:t>
            </w:r>
          </w:p>
        </w:tc>
        <w:tc>
          <w:tcPr>
            <w:tcW w:w="1646" w:type="dxa"/>
            <w:noWrap/>
          </w:tcPr>
          <w:p w14:paraId="3F1D0B4F" w14:textId="77777777" w:rsidR="003A4A6D" w:rsidRPr="007C346A" w:rsidRDefault="003A4A6D" w:rsidP="005840B5">
            <w:pPr>
              <w:pStyle w:val="TableText"/>
              <w:cnfStyle w:val="000000000000" w:firstRow="0" w:lastRow="0" w:firstColumn="0" w:lastColumn="0" w:oddVBand="0" w:evenVBand="0" w:oddHBand="0" w:evenHBand="0" w:firstRowFirstColumn="0" w:firstRowLastColumn="0" w:lastRowFirstColumn="0" w:lastRowLastColumn="0"/>
            </w:pPr>
            <w:r w:rsidRPr="007C346A">
              <w:t>Business</w:t>
            </w:r>
          </w:p>
        </w:tc>
        <w:tc>
          <w:tcPr>
            <w:tcW w:w="2170" w:type="dxa"/>
            <w:noWrap/>
          </w:tcPr>
          <w:p w14:paraId="3F1D0B50" w14:textId="77777777" w:rsidR="003A4A6D" w:rsidRPr="007C346A" w:rsidRDefault="003A4A6D" w:rsidP="005840B5">
            <w:pPr>
              <w:pStyle w:val="TableText"/>
              <w:cnfStyle w:val="000000000000" w:firstRow="0" w:lastRow="0" w:firstColumn="0" w:lastColumn="0" w:oddVBand="0" w:evenVBand="0" w:oddHBand="0" w:evenHBand="0" w:firstRowFirstColumn="0" w:firstRowLastColumn="0" w:lastRowFirstColumn="0" w:lastRowLastColumn="0"/>
            </w:pPr>
            <w:r w:rsidRPr="0040566B">
              <w:rPr>
                <w:rFonts w:cs="Calibri"/>
              </w:rPr>
              <w:t>Community organisations</w:t>
            </w:r>
          </w:p>
        </w:tc>
        <w:tc>
          <w:tcPr>
            <w:tcW w:w="1946" w:type="dxa"/>
            <w:noWrap/>
          </w:tcPr>
          <w:p w14:paraId="3F1D0B51" w14:textId="77777777" w:rsidR="003A4A6D" w:rsidRPr="007C346A" w:rsidRDefault="003A4A6D" w:rsidP="005840B5">
            <w:pPr>
              <w:pStyle w:val="TableText"/>
              <w:cnfStyle w:val="000000000000" w:firstRow="0" w:lastRow="0" w:firstColumn="0" w:lastColumn="0" w:oddVBand="0" w:evenVBand="0" w:oddHBand="0" w:evenHBand="0" w:firstRowFirstColumn="0" w:firstRowLastColumn="0" w:lastRowFirstColumn="0" w:lastRowLastColumn="0"/>
            </w:pPr>
            <w:r w:rsidRPr="007C346A">
              <w:t>Individuals</w:t>
            </w:r>
          </w:p>
        </w:tc>
        <w:tc>
          <w:tcPr>
            <w:tcW w:w="1574" w:type="dxa"/>
            <w:noWrap/>
          </w:tcPr>
          <w:p w14:paraId="3F1D0B52" w14:textId="6B9C3B56" w:rsidR="003A4A6D" w:rsidRPr="007C346A" w:rsidRDefault="003A4A6D" w:rsidP="005840B5">
            <w:pPr>
              <w:pStyle w:val="TableText"/>
              <w:cnfStyle w:val="000000000000" w:firstRow="0" w:lastRow="0" w:firstColumn="0" w:lastColumn="0" w:oddVBand="0" w:evenVBand="0" w:oddHBand="0" w:evenHBand="0" w:firstRowFirstColumn="0" w:firstRowLastColumn="0" w:lastRowFirstColumn="0" w:lastRowLastColumn="0"/>
            </w:pPr>
            <w:r w:rsidRPr="0040566B">
              <w:rPr>
                <w:rFonts w:cs="Calibri"/>
              </w:rPr>
              <w:t>Total change in cost</w:t>
            </w:r>
            <w:r w:rsidR="005003C7">
              <w:rPr>
                <w:rFonts w:cs="Calibri"/>
              </w:rPr>
              <w:t xml:space="preserve"> (million)</w:t>
            </w:r>
          </w:p>
        </w:tc>
      </w:tr>
      <w:tr w:rsidR="007C346A" w:rsidRPr="007C346A" w14:paraId="3C03DF53" w14:textId="77777777" w:rsidTr="0040566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8" w:type="dxa"/>
            <w:noWrap/>
          </w:tcPr>
          <w:p w14:paraId="0D0BBA07" w14:textId="2DE55C0A" w:rsidR="007C346A" w:rsidRPr="007C346A" w:rsidRDefault="007C346A" w:rsidP="5996C6E7">
            <w:pPr>
              <w:pStyle w:val="TableText"/>
            </w:pPr>
            <w:r>
              <w:t xml:space="preserve">Option 2: </w:t>
            </w:r>
            <w:r w:rsidR="001A33B9">
              <w:t>Franchising Code</w:t>
            </w:r>
          </w:p>
        </w:tc>
        <w:tc>
          <w:tcPr>
            <w:tcW w:w="1646" w:type="dxa"/>
            <w:noWrap/>
          </w:tcPr>
          <w:p w14:paraId="15EC68E0" w14:textId="13081F12" w:rsidR="007C346A" w:rsidRPr="007C346A" w:rsidRDefault="001A33B9" w:rsidP="005003C7">
            <w:pPr>
              <w:pStyle w:val="TableText"/>
              <w:cnfStyle w:val="000000010000" w:firstRow="0" w:lastRow="0" w:firstColumn="0" w:lastColumn="0" w:oddVBand="0" w:evenVBand="0" w:oddHBand="0" w:evenHBand="1" w:firstRowFirstColumn="0" w:firstRowLastColumn="0" w:lastRowFirstColumn="0" w:lastRowLastColumn="0"/>
            </w:pPr>
            <w:r>
              <w:t>Nil</w:t>
            </w:r>
          </w:p>
        </w:tc>
        <w:tc>
          <w:tcPr>
            <w:tcW w:w="2170" w:type="dxa"/>
            <w:noWrap/>
          </w:tcPr>
          <w:p w14:paraId="2980140C" w14:textId="77777777" w:rsidR="007C346A" w:rsidRPr="007C346A" w:rsidRDefault="007C346A" w:rsidP="005840B5">
            <w:pPr>
              <w:pStyle w:val="TableText"/>
              <w:cnfStyle w:val="000000010000" w:firstRow="0" w:lastRow="0" w:firstColumn="0" w:lastColumn="0" w:oddVBand="0" w:evenVBand="0" w:oddHBand="0" w:evenHBand="1" w:firstRowFirstColumn="0" w:firstRowLastColumn="0" w:lastRowFirstColumn="0" w:lastRowLastColumn="0"/>
              <w:rPr>
                <w:rFonts w:cs="Calibri"/>
                <w:iCs/>
              </w:rPr>
            </w:pPr>
          </w:p>
        </w:tc>
        <w:tc>
          <w:tcPr>
            <w:tcW w:w="1946" w:type="dxa"/>
            <w:noWrap/>
          </w:tcPr>
          <w:p w14:paraId="318DCC74" w14:textId="77777777" w:rsidR="007C346A" w:rsidRPr="007C346A" w:rsidRDefault="007C346A" w:rsidP="005840B5">
            <w:pPr>
              <w:pStyle w:val="TableText"/>
              <w:cnfStyle w:val="000000010000" w:firstRow="0" w:lastRow="0" w:firstColumn="0" w:lastColumn="0" w:oddVBand="0" w:evenVBand="0" w:oddHBand="0" w:evenHBand="1" w:firstRowFirstColumn="0" w:firstRowLastColumn="0" w:lastRowFirstColumn="0" w:lastRowLastColumn="0"/>
            </w:pPr>
          </w:p>
        </w:tc>
        <w:tc>
          <w:tcPr>
            <w:tcW w:w="1574" w:type="dxa"/>
            <w:noWrap/>
          </w:tcPr>
          <w:p w14:paraId="27E94B8B" w14:textId="4C2C17AF" w:rsidR="007C346A" w:rsidRPr="0040566B" w:rsidRDefault="001A33B9" w:rsidP="005003C7">
            <w:pPr>
              <w:pStyle w:val="TableText"/>
              <w:cnfStyle w:val="000000010000" w:firstRow="0" w:lastRow="0" w:firstColumn="0" w:lastColumn="0" w:oddVBand="0" w:evenVBand="0" w:oddHBand="0" w:evenHBand="1" w:firstRowFirstColumn="0" w:firstRowLastColumn="0" w:lastRowFirstColumn="0" w:lastRowLastColumn="0"/>
              <w:rPr>
                <w:rFonts w:cs="Calibri"/>
              </w:rPr>
            </w:pPr>
            <w:r>
              <w:rPr>
                <w:rFonts w:cs="Calibri"/>
              </w:rPr>
              <w:t>Nil</w:t>
            </w:r>
          </w:p>
        </w:tc>
      </w:tr>
      <w:tr w:rsidR="003A4A6D" w:rsidRPr="007C346A" w14:paraId="3F1D0B59" w14:textId="77777777" w:rsidTr="0040566B">
        <w:trPr>
          <w:trHeight w:val="300"/>
        </w:trPr>
        <w:tc>
          <w:tcPr>
            <w:cnfStyle w:val="001000000000" w:firstRow="0" w:lastRow="0" w:firstColumn="1" w:lastColumn="0" w:oddVBand="0" w:evenVBand="0" w:oddHBand="0" w:evenHBand="0" w:firstRowFirstColumn="0" w:firstRowLastColumn="0" w:lastRowFirstColumn="0" w:lastRowLastColumn="0"/>
            <w:tcW w:w="2128" w:type="dxa"/>
            <w:noWrap/>
          </w:tcPr>
          <w:p w14:paraId="3F1D0B54" w14:textId="77777777" w:rsidR="003A4A6D" w:rsidRPr="0040566B" w:rsidRDefault="003A4A6D">
            <w:pPr>
              <w:pStyle w:val="TableText"/>
              <w:rPr>
                <w:b w:val="0"/>
              </w:rPr>
            </w:pPr>
            <w:r w:rsidRPr="007C346A">
              <w:t>Option 2A: 12 month notice period</w:t>
            </w:r>
          </w:p>
        </w:tc>
        <w:tc>
          <w:tcPr>
            <w:tcW w:w="1646" w:type="dxa"/>
            <w:noWrap/>
          </w:tcPr>
          <w:p w14:paraId="3F1D0B55" w14:textId="79A6DFFE" w:rsidR="003A4A6D" w:rsidRPr="0040566B" w:rsidRDefault="003A4A6D">
            <w:pPr>
              <w:pStyle w:val="TableText"/>
              <w:cnfStyle w:val="000000000000" w:firstRow="0" w:lastRow="0" w:firstColumn="0" w:lastColumn="0" w:oddVBand="0" w:evenVBand="0" w:oddHBand="0" w:evenHBand="0" w:firstRowFirstColumn="0" w:firstRowLastColumn="0" w:lastRowFirstColumn="0" w:lastRowLastColumn="0"/>
              <w:rPr>
                <w:rFonts w:cs="Calibri"/>
              </w:rPr>
            </w:pPr>
            <w:r w:rsidRPr="0040566B">
              <w:rPr>
                <w:rFonts w:cs="Calibri"/>
              </w:rPr>
              <w:t>$</w:t>
            </w:r>
            <w:r w:rsidR="00346A61" w:rsidRPr="0040566B">
              <w:rPr>
                <w:rFonts w:cs="Calibri"/>
              </w:rPr>
              <w:t>2.46</w:t>
            </w:r>
          </w:p>
        </w:tc>
        <w:tc>
          <w:tcPr>
            <w:tcW w:w="2170" w:type="dxa"/>
            <w:noWrap/>
          </w:tcPr>
          <w:p w14:paraId="3F1D0B56" w14:textId="77777777" w:rsidR="003A4A6D" w:rsidRPr="007C346A" w:rsidRDefault="003A4A6D" w:rsidP="005840B5">
            <w:pPr>
              <w:pStyle w:val="TableText"/>
              <w:cnfStyle w:val="000000000000" w:firstRow="0" w:lastRow="0" w:firstColumn="0" w:lastColumn="0" w:oddVBand="0" w:evenVBand="0" w:oddHBand="0" w:evenHBand="0" w:firstRowFirstColumn="0" w:firstRowLastColumn="0" w:lastRowFirstColumn="0" w:lastRowLastColumn="0"/>
              <w:rPr>
                <w:rFonts w:cs="Calibri"/>
                <w:iCs/>
              </w:rPr>
            </w:pPr>
          </w:p>
        </w:tc>
        <w:tc>
          <w:tcPr>
            <w:tcW w:w="1946" w:type="dxa"/>
            <w:noWrap/>
          </w:tcPr>
          <w:p w14:paraId="3F1D0B57" w14:textId="77777777" w:rsidR="003A4A6D" w:rsidRPr="007C346A" w:rsidRDefault="003A4A6D" w:rsidP="005840B5">
            <w:pPr>
              <w:pStyle w:val="TableText"/>
              <w:cnfStyle w:val="000000000000" w:firstRow="0" w:lastRow="0" w:firstColumn="0" w:lastColumn="0" w:oddVBand="0" w:evenVBand="0" w:oddHBand="0" w:evenHBand="0" w:firstRowFirstColumn="0" w:firstRowLastColumn="0" w:lastRowFirstColumn="0" w:lastRowLastColumn="0"/>
              <w:rPr>
                <w:rFonts w:cs="Calibri"/>
                <w:iCs/>
              </w:rPr>
            </w:pPr>
          </w:p>
        </w:tc>
        <w:tc>
          <w:tcPr>
            <w:tcW w:w="1574" w:type="dxa"/>
            <w:noWrap/>
          </w:tcPr>
          <w:p w14:paraId="3F1D0B58" w14:textId="38112E4E" w:rsidR="003A4A6D" w:rsidRPr="0040566B" w:rsidRDefault="003A4A6D">
            <w:pPr>
              <w:pStyle w:val="TableText"/>
              <w:cnfStyle w:val="000000000000" w:firstRow="0" w:lastRow="0" w:firstColumn="0" w:lastColumn="0" w:oddVBand="0" w:evenVBand="0" w:oddHBand="0" w:evenHBand="0" w:firstRowFirstColumn="0" w:firstRowLastColumn="0" w:lastRowFirstColumn="0" w:lastRowLastColumn="0"/>
              <w:rPr>
                <w:rFonts w:cs="Calibri"/>
              </w:rPr>
            </w:pPr>
            <w:r w:rsidRPr="0040566B">
              <w:rPr>
                <w:rFonts w:cs="Calibri"/>
              </w:rPr>
              <w:t>$</w:t>
            </w:r>
            <w:r w:rsidR="00346A61" w:rsidRPr="0040566B">
              <w:rPr>
                <w:rFonts w:cs="Calibri"/>
              </w:rPr>
              <w:t>2.46</w:t>
            </w:r>
          </w:p>
        </w:tc>
      </w:tr>
      <w:tr w:rsidR="003A4A6D" w:rsidRPr="007C346A" w14:paraId="3F1D0B5F" w14:textId="77777777" w:rsidTr="0040566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8" w:type="dxa"/>
            <w:noWrap/>
          </w:tcPr>
          <w:p w14:paraId="3F1D0B5A" w14:textId="77777777" w:rsidR="003A4A6D" w:rsidRPr="007C346A" w:rsidRDefault="003A4A6D">
            <w:pPr>
              <w:pStyle w:val="TableText"/>
              <w:rPr>
                <w:b w:val="0"/>
              </w:rPr>
            </w:pPr>
            <w:r w:rsidRPr="007C346A">
              <w:t>Option 2B: Non</w:t>
            </w:r>
            <w:r w:rsidRPr="007C346A">
              <w:noBreakHyphen/>
              <w:t>renewal notice</w:t>
            </w:r>
          </w:p>
        </w:tc>
        <w:tc>
          <w:tcPr>
            <w:tcW w:w="1646" w:type="dxa"/>
            <w:noWrap/>
          </w:tcPr>
          <w:p w14:paraId="3F1D0B5B" w14:textId="6D6F71B4" w:rsidR="003A4A6D" w:rsidRPr="0040566B" w:rsidRDefault="003A4A6D">
            <w:pPr>
              <w:pStyle w:val="TableText"/>
              <w:cnfStyle w:val="000000010000" w:firstRow="0" w:lastRow="0" w:firstColumn="0" w:lastColumn="0" w:oddVBand="0" w:evenVBand="0" w:oddHBand="0" w:evenHBand="1" w:firstRowFirstColumn="0" w:firstRowLastColumn="0" w:lastRowFirstColumn="0" w:lastRowLastColumn="0"/>
              <w:rPr>
                <w:rFonts w:cs="Calibri"/>
              </w:rPr>
            </w:pPr>
            <w:r w:rsidRPr="0040566B">
              <w:rPr>
                <w:rFonts w:cs="Calibri"/>
              </w:rPr>
              <w:t>$0.</w:t>
            </w:r>
            <w:r w:rsidR="0007609B">
              <w:rPr>
                <w:rFonts w:cs="Calibri"/>
              </w:rPr>
              <w:t>0</w:t>
            </w:r>
            <w:r w:rsidR="00346A61" w:rsidRPr="0040566B">
              <w:rPr>
                <w:rFonts w:cs="Calibri"/>
              </w:rPr>
              <w:t>15</w:t>
            </w:r>
          </w:p>
        </w:tc>
        <w:tc>
          <w:tcPr>
            <w:tcW w:w="2170" w:type="dxa"/>
            <w:noWrap/>
          </w:tcPr>
          <w:p w14:paraId="3F1D0B5C" w14:textId="77777777" w:rsidR="003A4A6D" w:rsidRPr="007C346A" w:rsidRDefault="003A4A6D" w:rsidP="005840B5">
            <w:pPr>
              <w:pStyle w:val="TableText"/>
              <w:cnfStyle w:val="000000010000" w:firstRow="0" w:lastRow="0" w:firstColumn="0" w:lastColumn="0" w:oddVBand="0" w:evenVBand="0" w:oddHBand="0" w:evenHBand="1" w:firstRowFirstColumn="0" w:firstRowLastColumn="0" w:lastRowFirstColumn="0" w:lastRowLastColumn="0"/>
              <w:rPr>
                <w:rFonts w:cs="Calibri"/>
                <w:iCs/>
              </w:rPr>
            </w:pPr>
          </w:p>
        </w:tc>
        <w:tc>
          <w:tcPr>
            <w:tcW w:w="1946" w:type="dxa"/>
            <w:noWrap/>
          </w:tcPr>
          <w:p w14:paraId="3F1D0B5D" w14:textId="77777777" w:rsidR="003A4A6D" w:rsidRPr="007C346A" w:rsidRDefault="003A4A6D" w:rsidP="005840B5">
            <w:pPr>
              <w:pStyle w:val="TableText"/>
              <w:cnfStyle w:val="000000010000" w:firstRow="0" w:lastRow="0" w:firstColumn="0" w:lastColumn="0" w:oddVBand="0" w:evenVBand="0" w:oddHBand="0" w:evenHBand="1" w:firstRowFirstColumn="0" w:firstRowLastColumn="0" w:lastRowFirstColumn="0" w:lastRowLastColumn="0"/>
              <w:rPr>
                <w:rFonts w:cs="Calibri"/>
                <w:iCs/>
              </w:rPr>
            </w:pPr>
          </w:p>
        </w:tc>
        <w:tc>
          <w:tcPr>
            <w:tcW w:w="1574" w:type="dxa"/>
            <w:noWrap/>
          </w:tcPr>
          <w:p w14:paraId="3F1D0B5E" w14:textId="5058BC4D" w:rsidR="003A4A6D" w:rsidRPr="0040566B" w:rsidRDefault="003A4A6D">
            <w:pPr>
              <w:pStyle w:val="TableText"/>
              <w:cnfStyle w:val="000000010000" w:firstRow="0" w:lastRow="0" w:firstColumn="0" w:lastColumn="0" w:oddVBand="0" w:evenVBand="0" w:oddHBand="0" w:evenHBand="1" w:firstRowFirstColumn="0" w:firstRowLastColumn="0" w:lastRowFirstColumn="0" w:lastRowLastColumn="0"/>
              <w:rPr>
                <w:rFonts w:cs="Calibri"/>
              </w:rPr>
            </w:pPr>
            <w:r w:rsidRPr="0040566B">
              <w:rPr>
                <w:rFonts w:cs="Calibri"/>
              </w:rPr>
              <w:t>$0.</w:t>
            </w:r>
            <w:r w:rsidR="0007609B">
              <w:rPr>
                <w:rFonts w:cs="Calibri"/>
              </w:rPr>
              <w:t>0</w:t>
            </w:r>
            <w:r w:rsidR="00346A61" w:rsidRPr="0040566B">
              <w:rPr>
                <w:rFonts w:cs="Calibri"/>
              </w:rPr>
              <w:t>15</w:t>
            </w:r>
          </w:p>
        </w:tc>
      </w:tr>
      <w:tr w:rsidR="003A4A6D" w:rsidRPr="007C346A" w14:paraId="3F1D0B6B" w14:textId="77777777" w:rsidTr="0040566B">
        <w:trPr>
          <w:trHeight w:val="300"/>
        </w:trPr>
        <w:tc>
          <w:tcPr>
            <w:cnfStyle w:val="001000000000" w:firstRow="0" w:lastRow="0" w:firstColumn="1" w:lastColumn="0" w:oddVBand="0" w:evenVBand="0" w:oddHBand="0" w:evenHBand="0" w:firstRowFirstColumn="0" w:firstRowLastColumn="0" w:lastRowFirstColumn="0" w:lastRowLastColumn="0"/>
            <w:tcW w:w="2128" w:type="dxa"/>
            <w:noWrap/>
          </w:tcPr>
          <w:p w14:paraId="3F1D0B66" w14:textId="77777777" w:rsidR="003A4A6D" w:rsidRPr="007C346A" w:rsidRDefault="003A4A6D" w:rsidP="003A4A6D">
            <w:pPr>
              <w:pStyle w:val="TableText"/>
              <w:rPr>
                <w:b w:val="0"/>
              </w:rPr>
            </w:pPr>
            <w:r w:rsidRPr="007C346A">
              <w:t xml:space="preserve">Option </w:t>
            </w:r>
            <w:r w:rsidR="00276895" w:rsidRPr="007C346A">
              <w:t>2D</w:t>
            </w:r>
            <w:r w:rsidRPr="007C346A">
              <w:t xml:space="preserve"> – Significant capital expenditure disclosure</w:t>
            </w:r>
          </w:p>
        </w:tc>
        <w:tc>
          <w:tcPr>
            <w:tcW w:w="1646" w:type="dxa"/>
            <w:noWrap/>
          </w:tcPr>
          <w:p w14:paraId="3F1D0B67" w14:textId="26E7623D" w:rsidR="003A4A6D" w:rsidRPr="0040566B" w:rsidRDefault="003A4A6D">
            <w:pPr>
              <w:pStyle w:val="TableText"/>
              <w:cnfStyle w:val="000000000000" w:firstRow="0" w:lastRow="0" w:firstColumn="0" w:lastColumn="0" w:oddVBand="0" w:evenVBand="0" w:oddHBand="0" w:evenHBand="0" w:firstRowFirstColumn="0" w:firstRowLastColumn="0" w:lastRowFirstColumn="0" w:lastRowLastColumn="0"/>
              <w:rPr>
                <w:rFonts w:cs="Calibri"/>
              </w:rPr>
            </w:pPr>
            <w:r w:rsidRPr="0040566B">
              <w:rPr>
                <w:rFonts w:cs="Calibri"/>
              </w:rPr>
              <w:t>$</w:t>
            </w:r>
            <w:r w:rsidR="007C346A" w:rsidRPr="0040566B">
              <w:rPr>
                <w:rFonts w:cs="Calibri"/>
              </w:rPr>
              <w:t>2.10</w:t>
            </w:r>
          </w:p>
        </w:tc>
        <w:tc>
          <w:tcPr>
            <w:tcW w:w="2170" w:type="dxa"/>
            <w:noWrap/>
          </w:tcPr>
          <w:p w14:paraId="3F1D0B68" w14:textId="77777777" w:rsidR="003A4A6D" w:rsidRPr="007C346A" w:rsidRDefault="003A4A6D" w:rsidP="005840B5">
            <w:pPr>
              <w:pStyle w:val="TableText"/>
              <w:cnfStyle w:val="000000000000" w:firstRow="0" w:lastRow="0" w:firstColumn="0" w:lastColumn="0" w:oddVBand="0" w:evenVBand="0" w:oddHBand="0" w:evenHBand="0" w:firstRowFirstColumn="0" w:firstRowLastColumn="0" w:lastRowFirstColumn="0" w:lastRowLastColumn="0"/>
              <w:rPr>
                <w:rFonts w:cs="Calibri"/>
                <w:iCs/>
              </w:rPr>
            </w:pPr>
          </w:p>
        </w:tc>
        <w:tc>
          <w:tcPr>
            <w:tcW w:w="1946" w:type="dxa"/>
            <w:noWrap/>
          </w:tcPr>
          <w:p w14:paraId="3F1D0B69" w14:textId="77777777" w:rsidR="003A4A6D" w:rsidRPr="007C346A" w:rsidRDefault="003A4A6D" w:rsidP="005840B5">
            <w:pPr>
              <w:pStyle w:val="TableText"/>
              <w:cnfStyle w:val="000000000000" w:firstRow="0" w:lastRow="0" w:firstColumn="0" w:lastColumn="0" w:oddVBand="0" w:evenVBand="0" w:oddHBand="0" w:evenHBand="0" w:firstRowFirstColumn="0" w:firstRowLastColumn="0" w:lastRowFirstColumn="0" w:lastRowLastColumn="0"/>
              <w:rPr>
                <w:rFonts w:cs="Calibri"/>
                <w:iCs/>
              </w:rPr>
            </w:pPr>
          </w:p>
        </w:tc>
        <w:tc>
          <w:tcPr>
            <w:tcW w:w="1574" w:type="dxa"/>
            <w:noWrap/>
          </w:tcPr>
          <w:p w14:paraId="3F1D0B6A" w14:textId="15B0728A" w:rsidR="003A4A6D" w:rsidRPr="0040566B" w:rsidRDefault="003A4A6D">
            <w:pPr>
              <w:pStyle w:val="TableText"/>
              <w:cnfStyle w:val="000000000000" w:firstRow="0" w:lastRow="0" w:firstColumn="0" w:lastColumn="0" w:oddVBand="0" w:evenVBand="0" w:oddHBand="0" w:evenHBand="0" w:firstRowFirstColumn="0" w:firstRowLastColumn="0" w:lastRowFirstColumn="0" w:lastRowLastColumn="0"/>
              <w:rPr>
                <w:rFonts w:cs="Calibri"/>
              </w:rPr>
            </w:pPr>
            <w:r w:rsidRPr="0040566B">
              <w:rPr>
                <w:rFonts w:cs="Calibri"/>
              </w:rPr>
              <w:t>$</w:t>
            </w:r>
            <w:r w:rsidR="007C346A" w:rsidRPr="0040566B">
              <w:rPr>
                <w:rFonts w:cs="Calibri"/>
              </w:rPr>
              <w:t>2.10</w:t>
            </w:r>
          </w:p>
        </w:tc>
      </w:tr>
      <w:tr w:rsidR="003A4A6D" w:rsidRPr="007C346A" w14:paraId="3F1D0B77" w14:textId="77777777" w:rsidTr="0040566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8" w:type="dxa"/>
            <w:noWrap/>
          </w:tcPr>
          <w:p w14:paraId="3F1D0B72" w14:textId="77777777" w:rsidR="003A4A6D" w:rsidRPr="007C346A" w:rsidRDefault="003A4A6D" w:rsidP="003A4A6D">
            <w:pPr>
              <w:pStyle w:val="TableText"/>
              <w:rPr>
                <w:b w:val="0"/>
              </w:rPr>
            </w:pPr>
            <w:r w:rsidRPr="007C346A">
              <w:t xml:space="preserve">Option </w:t>
            </w:r>
            <w:r w:rsidR="00276895" w:rsidRPr="007C346A">
              <w:t>2F</w:t>
            </w:r>
            <w:r w:rsidRPr="007C346A">
              <w:t xml:space="preserve"> – multi party dispute resolution</w:t>
            </w:r>
          </w:p>
        </w:tc>
        <w:tc>
          <w:tcPr>
            <w:tcW w:w="1646" w:type="dxa"/>
            <w:noWrap/>
          </w:tcPr>
          <w:p w14:paraId="3F1D0B73" w14:textId="77777777" w:rsidR="003A4A6D" w:rsidRPr="0040566B" w:rsidRDefault="004138FF">
            <w:pPr>
              <w:pStyle w:val="TableText"/>
              <w:cnfStyle w:val="000000010000" w:firstRow="0" w:lastRow="0" w:firstColumn="0" w:lastColumn="0" w:oddVBand="0" w:evenVBand="0" w:oddHBand="0" w:evenHBand="1" w:firstRowFirstColumn="0" w:firstRowLastColumn="0" w:lastRowFirstColumn="0" w:lastRowLastColumn="0"/>
              <w:rPr>
                <w:rFonts w:cs="Calibri"/>
              </w:rPr>
            </w:pPr>
            <w:r w:rsidRPr="0040566B">
              <w:rPr>
                <w:rFonts w:cs="Calibri"/>
              </w:rPr>
              <w:t>Nil</w:t>
            </w:r>
          </w:p>
        </w:tc>
        <w:tc>
          <w:tcPr>
            <w:tcW w:w="2170" w:type="dxa"/>
            <w:noWrap/>
          </w:tcPr>
          <w:p w14:paraId="3F1D0B74" w14:textId="77777777" w:rsidR="003A4A6D" w:rsidRPr="007C346A" w:rsidRDefault="003A4A6D" w:rsidP="005840B5">
            <w:pPr>
              <w:pStyle w:val="TableText"/>
              <w:cnfStyle w:val="000000010000" w:firstRow="0" w:lastRow="0" w:firstColumn="0" w:lastColumn="0" w:oddVBand="0" w:evenVBand="0" w:oddHBand="0" w:evenHBand="1" w:firstRowFirstColumn="0" w:firstRowLastColumn="0" w:lastRowFirstColumn="0" w:lastRowLastColumn="0"/>
              <w:rPr>
                <w:rFonts w:cs="Calibri"/>
                <w:iCs/>
              </w:rPr>
            </w:pPr>
          </w:p>
        </w:tc>
        <w:tc>
          <w:tcPr>
            <w:tcW w:w="1946" w:type="dxa"/>
            <w:noWrap/>
          </w:tcPr>
          <w:p w14:paraId="3F1D0B75" w14:textId="77777777" w:rsidR="003A4A6D" w:rsidRPr="007C346A" w:rsidRDefault="003A4A6D" w:rsidP="005840B5">
            <w:pPr>
              <w:pStyle w:val="TableText"/>
              <w:cnfStyle w:val="000000010000" w:firstRow="0" w:lastRow="0" w:firstColumn="0" w:lastColumn="0" w:oddVBand="0" w:evenVBand="0" w:oddHBand="0" w:evenHBand="1" w:firstRowFirstColumn="0" w:firstRowLastColumn="0" w:lastRowFirstColumn="0" w:lastRowLastColumn="0"/>
              <w:rPr>
                <w:rFonts w:cs="Calibri"/>
                <w:iCs/>
              </w:rPr>
            </w:pPr>
          </w:p>
        </w:tc>
        <w:tc>
          <w:tcPr>
            <w:tcW w:w="1574" w:type="dxa"/>
            <w:noWrap/>
          </w:tcPr>
          <w:p w14:paraId="3F1D0B76" w14:textId="77777777" w:rsidR="003A4A6D" w:rsidRPr="0040566B" w:rsidRDefault="004138FF">
            <w:pPr>
              <w:pStyle w:val="TableText"/>
              <w:cnfStyle w:val="000000010000" w:firstRow="0" w:lastRow="0" w:firstColumn="0" w:lastColumn="0" w:oddVBand="0" w:evenVBand="0" w:oddHBand="0" w:evenHBand="1" w:firstRowFirstColumn="0" w:firstRowLastColumn="0" w:lastRowFirstColumn="0" w:lastRowLastColumn="0"/>
              <w:rPr>
                <w:rFonts w:cs="Calibri"/>
              </w:rPr>
            </w:pPr>
            <w:r w:rsidRPr="0040566B">
              <w:rPr>
                <w:rFonts w:cs="Calibri"/>
              </w:rPr>
              <w:t>Nil</w:t>
            </w:r>
          </w:p>
        </w:tc>
      </w:tr>
      <w:tr w:rsidR="000068C2" w:rsidRPr="007C346A" w14:paraId="0DE4CD55" w14:textId="77777777" w:rsidTr="0040566B">
        <w:trPr>
          <w:trHeight w:val="300"/>
        </w:trPr>
        <w:tc>
          <w:tcPr>
            <w:cnfStyle w:val="001000000000" w:firstRow="0" w:lastRow="0" w:firstColumn="1" w:lastColumn="0" w:oddVBand="0" w:evenVBand="0" w:oddHBand="0" w:evenHBand="0" w:firstRowFirstColumn="0" w:firstRowLastColumn="0" w:lastRowFirstColumn="0" w:lastRowLastColumn="0"/>
            <w:tcW w:w="2128" w:type="dxa"/>
            <w:noWrap/>
          </w:tcPr>
          <w:p w14:paraId="6B3172A2" w14:textId="313FF33A" w:rsidR="000068C2" w:rsidRPr="007C346A" w:rsidRDefault="000068C2" w:rsidP="003A4A6D">
            <w:pPr>
              <w:pStyle w:val="TableText"/>
            </w:pPr>
            <w:r>
              <w:t xml:space="preserve">TOTAL </w:t>
            </w:r>
          </w:p>
        </w:tc>
        <w:tc>
          <w:tcPr>
            <w:tcW w:w="1646" w:type="dxa"/>
            <w:noWrap/>
          </w:tcPr>
          <w:p w14:paraId="6307B10D" w14:textId="77777777" w:rsidR="000068C2" w:rsidRPr="0040566B" w:rsidRDefault="000068C2">
            <w:pPr>
              <w:pStyle w:val="TableText"/>
              <w:cnfStyle w:val="000000000000" w:firstRow="0" w:lastRow="0" w:firstColumn="0" w:lastColumn="0" w:oddVBand="0" w:evenVBand="0" w:oddHBand="0" w:evenHBand="0" w:firstRowFirstColumn="0" w:firstRowLastColumn="0" w:lastRowFirstColumn="0" w:lastRowLastColumn="0"/>
              <w:rPr>
                <w:rFonts w:cs="Calibri"/>
              </w:rPr>
            </w:pPr>
          </w:p>
        </w:tc>
        <w:tc>
          <w:tcPr>
            <w:tcW w:w="2170" w:type="dxa"/>
            <w:noWrap/>
          </w:tcPr>
          <w:p w14:paraId="392037D5" w14:textId="77777777" w:rsidR="000068C2" w:rsidRPr="007C346A" w:rsidRDefault="000068C2" w:rsidP="005840B5">
            <w:pPr>
              <w:pStyle w:val="TableText"/>
              <w:cnfStyle w:val="000000000000" w:firstRow="0" w:lastRow="0" w:firstColumn="0" w:lastColumn="0" w:oddVBand="0" w:evenVBand="0" w:oddHBand="0" w:evenHBand="0" w:firstRowFirstColumn="0" w:firstRowLastColumn="0" w:lastRowFirstColumn="0" w:lastRowLastColumn="0"/>
              <w:rPr>
                <w:rFonts w:cs="Calibri"/>
                <w:iCs/>
              </w:rPr>
            </w:pPr>
          </w:p>
        </w:tc>
        <w:tc>
          <w:tcPr>
            <w:tcW w:w="1946" w:type="dxa"/>
            <w:noWrap/>
          </w:tcPr>
          <w:p w14:paraId="240AC6BD" w14:textId="77777777" w:rsidR="000068C2" w:rsidRPr="007C346A" w:rsidRDefault="000068C2" w:rsidP="005840B5">
            <w:pPr>
              <w:pStyle w:val="TableText"/>
              <w:cnfStyle w:val="000000000000" w:firstRow="0" w:lastRow="0" w:firstColumn="0" w:lastColumn="0" w:oddVBand="0" w:evenVBand="0" w:oddHBand="0" w:evenHBand="0" w:firstRowFirstColumn="0" w:firstRowLastColumn="0" w:lastRowFirstColumn="0" w:lastRowLastColumn="0"/>
              <w:rPr>
                <w:rFonts w:cs="Calibri"/>
                <w:iCs/>
              </w:rPr>
            </w:pPr>
          </w:p>
        </w:tc>
        <w:tc>
          <w:tcPr>
            <w:tcW w:w="1574" w:type="dxa"/>
            <w:noWrap/>
          </w:tcPr>
          <w:p w14:paraId="4C770AC4" w14:textId="52956259" w:rsidR="000068C2" w:rsidRPr="0040566B" w:rsidRDefault="000068C2" w:rsidP="005003C7">
            <w:pPr>
              <w:pStyle w:val="TableText"/>
              <w:cnfStyle w:val="000000000000" w:firstRow="0" w:lastRow="0" w:firstColumn="0" w:lastColumn="0" w:oddVBand="0" w:evenVBand="0" w:oddHBand="0" w:evenHBand="0" w:firstRowFirstColumn="0" w:firstRowLastColumn="0" w:lastRowFirstColumn="0" w:lastRowLastColumn="0"/>
              <w:rPr>
                <w:rFonts w:cs="Calibri"/>
              </w:rPr>
            </w:pPr>
            <w:r>
              <w:rPr>
                <w:rFonts w:cs="Calibri"/>
              </w:rPr>
              <w:t>$</w:t>
            </w:r>
            <w:r w:rsidR="008D48A8">
              <w:rPr>
                <w:rFonts w:cs="Calibri"/>
              </w:rPr>
              <w:t>4.</w:t>
            </w:r>
            <w:r w:rsidR="001A33B9">
              <w:rPr>
                <w:rFonts w:cs="Calibri"/>
              </w:rPr>
              <w:t>575</w:t>
            </w:r>
          </w:p>
        </w:tc>
      </w:tr>
    </w:tbl>
    <w:p w14:paraId="4DA272EC" w14:textId="5A6F640F" w:rsidR="000068C2" w:rsidRDefault="000068C2" w:rsidP="00261CD8">
      <w:pPr>
        <w:spacing w:before="240" w:line="360" w:lineRule="auto"/>
        <w:jc w:val="both"/>
        <w:rPr>
          <w:rFonts w:ascii="Arial" w:hAnsi="Arial" w:cs="Arial"/>
        </w:rPr>
      </w:pPr>
    </w:p>
    <w:p w14:paraId="7E67707C" w14:textId="16E1FAEB" w:rsidR="000068C2" w:rsidRPr="00F0754D" w:rsidRDefault="000068C2" w:rsidP="00F0754D">
      <w:pPr>
        <w:keepNext/>
        <w:rPr>
          <w:rFonts w:ascii="Arial" w:hAnsi="Arial" w:cs="Arial"/>
          <w:b/>
          <w:bCs/>
        </w:rPr>
      </w:pPr>
      <w:r w:rsidRPr="00F0754D">
        <w:rPr>
          <w:rFonts w:ascii="Arial" w:hAnsi="Arial" w:cs="Arial"/>
          <w:b/>
          <w:bCs/>
        </w:rPr>
        <w:t xml:space="preserve">Non supported options </w:t>
      </w:r>
    </w:p>
    <w:tbl>
      <w:tblPr>
        <w:tblStyle w:val="LightGrid-Accent2"/>
        <w:tblW w:w="9464" w:type="dxa"/>
        <w:tblLook w:val="04A0" w:firstRow="1" w:lastRow="0" w:firstColumn="1" w:lastColumn="0" w:noHBand="0" w:noVBand="1"/>
        <w:tblCaption w:val="Regulatory burden estimate table"/>
        <w:tblDescription w:val="The total average annual regulatory cost to business for the non supported options is $31.775 million."/>
      </w:tblPr>
      <w:tblGrid>
        <w:gridCol w:w="2128"/>
        <w:gridCol w:w="1646"/>
        <w:gridCol w:w="2170"/>
        <w:gridCol w:w="1946"/>
        <w:gridCol w:w="1574"/>
      </w:tblGrid>
      <w:tr w:rsidR="000068C2" w:rsidRPr="007C346A" w14:paraId="1BD95AF8" w14:textId="77777777" w:rsidTr="00775555">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9464" w:type="dxa"/>
            <w:gridSpan w:val="5"/>
            <w:noWrap/>
          </w:tcPr>
          <w:p w14:paraId="68B250F9" w14:textId="77777777" w:rsidR="000068C2" w:rsidRPr="007C346A" w:rsidRDefault="000068C2" w:rsidP="00775555">
            <w:pPr>
              <w:rPr>
                <w:rFonts w:ascii="Arial" w:hAnsi="Arial" w:cs="Arial"/>
                <w:sz w:val="20"/>
                <w:szCs w:val="20"/>
              </w:rPr>
            </w:pPr>
            <w:r w:rsidRPr="007C346A">
              <w:rPr>
                <w:rFonts w:ascii="Arial" w:hAnsi="Arial" w:cs="Arial"/>
                <w:sz w:val="20"/>
                <w:szCs w:val="20"/>
              </w:rPr>
              <w:t>Average annual regulatory costs (ten years)</w:t>
            </w:r>
          </w:p>
        </w:tc>
      </w:tr>
      <w:tr w:rsidR="000068C2" w:rsidRPr="007C346A" w14:paraId="5F870D36" w14:textId="77777777" w:rsidTr="00775555">
        <w:trPr>
          <w:trHeight w:val="300"/>
        </w:trPr>
        <w:tc>
          <w:tcPr>
            <w:cnfStyle w:val="001000000000" w:firstRow="0" w:lastRow="0" w:firstColumn="1" w:lastColumn="0" w:oddVBand="0" w:evenVBand="0" w:oddHBand="0" w:evenHBand="0" w:firstRowFirstColumn="0" w:firstRowLastColumn="0" w:lastRowFirstColumn="0" w:lastRowLastColumn="0"/>
            <w:tcW w:w="2128" w:type="dxa"/>
            <w:noWrap/>
          </w:tcPr>
          <w:p w14:paraId="7C838EE4" w14:textId="77777777" w:rsidR="000068C2" w:rsidRPr="0040566B" w:rsidRDefault="000068C2" w:rsidP="00775555">
            <w:pPr>
              <w:pStyle w:val="TableText"/>
              <w:rPr>
                <w:b w:val="0"/>
              </w:rPr>
            </w:pPr>
            <w:r w:rsidRPr="007C346A">
              <w:t>Change in costs</w:t>
            </w:r>
            <w:r w:rsidRPr="0040566B">
              <w:rPr>
                <w:rFonts w:cs="Calibri"/>
              </w:rPr>
              <w:t xml:space="preserve"> ($ million)</w:t>
            </w:r>
          </w:p>
        </w:tc>
        <w:tc>
          <w:tcPr>
            <w:tcW w:w="1646" w:type="dxa"/>
            <w:noWrap/>
          </w:tcPr>
          <w:p w14:paraId="5E0DC6E0" w14:textId="77777777" w:rsidR="000068C2" w:rsidRPr="007C346A" w:rsidRDefault="000068C2" w:rsidP="00775555">
            <w:pPr>
              <w:pStyle w:val="TableText"/>
              <w:cnfStyle w:val="000000000000" w:firstRow="0" w:lastRow="0" w:firstColumn="0" w:lastColumn="0" w:oddVBand="0" w:evenVBand="0" w:oddHBand="0" w:evenHBand="0" w:firstRowFirstColumn="0" w:firstRowLastColumn="0" w:lastRowFirstColumn="0" w:lastRowLastColumn="0"/>
            </w:pPr>
            <w:r w:rsidRPr="007C346A">
              <w:t>Business</w:t>
            </w:r>
          </w:p>
        </w:tc>
        <w:tc>
          <w:tcPr>
            <w:tcW w:w="2170" w:type="dxa"/>
            <w:noWrap/>
          </w:tcPr>
          <w:p w14:paraId="51935791" w14:textId="77777777" w:rsidR="000068C2" w:rsidRPr="007C346A" w:rsidRDefault="000068C2" w:rsidP="00775555">
            <w:pPr>
              <w:pStyle w:val="TableText"/>
              <w:cnfStyle w:val="000000000000" w:firstRow="0" w:lastRow="0" w:firstColumn="0" w:lastColumn="0" w:oddVBand="0" w:evenVBand="0" w:oddHBand="0" w:evenHBand="0" w:firstRowFirstColumn="0" w:firstRowLastColumn="0" w:lastRowFirstColumn="0" w:lastRowLastColumn="0"/>
            </w:pPr>
            <w:r w:rsidRPr="0040566B">
              <w:rPr>
                <w:rFonts w:cs="Calibri"/>
              </w:rPr>
              <w:t>Community organisations</w:t>
            </w:r>
          </w:p>
        </w:tc>
        <w:tc>
          <w:tcPr>
            <w:tcW w:w="1946" w:type="dxa"/>
            <w:noWrap/>
          </w:tcPr>
          <w:p w14:paraId="1C932780" w14:textId="77777777" w:rsidR="000068C2" w:rsidRPr="007C346A" w:rsidRDefault="000068C2" w:rsidP="00775555">
            <w:pPr>
              <w:pStyle w:val="TableText"/>
              <w:cnfStyle w:val="000000000000" w:firstRow="0" w:lastRow="0" w:firstColumn="0" w:lastColumn="0" w:oddVBand="0" w:evenVBand="0" w:oddHBand="0" w:evenHBand="0" w:firstRowFirstColumn="0" w:firstRowLastColumn="0" w:lastRowFirstColumn="0" w:lastRowLastColumn="0"/>
            </w:pPr>
            <w:r w:rsidRPr="007C346A">
              <w:t>Individuals</w:t>
            </w:r>
          </w:p>
        </w:tc>
        <w:tc>
          <w:tcPr>
            <w:tcW w:w="1574" w:type="dxa"/>
            <w:noWrap/>
          </w:tcPr>
          <w:p w14:paraId="545F1A76" w14:textId="20DC2731" w:rsidR="000068C2" w:rsidRPr="007C346A" w:rsidRDefault="000068C2" w:rsidP="00775555">
            <w:pPr>
              <w:pStyle w:val="TableText"/>
              <w:cnfStyle w:val="000000000000" w:firstRow="0" w:lastRow="0" w:firstColumn="0" w:lastColumn="0" w:oddVBand="0" w:evenVBand="0" w:oddHBand="0" w:evenHBand="0" w:firstRowFirstColumn="0" w:firstRowLastColumn="0" w:lastRowFirstColumn="0" w:lastRowLastColumn="0"/>
            </w:pPr>
            <w:r w:rsidRPr="0040566B">
              <w:rPr>
                <w:rFonts w:cs="Calibri"/>
              </w:rPr>
              <w:t>Total change in cost</w:t>
            </w:r>
            <w:r w:rsidR="005003C7">
              <w:rPr>
                <w:rFonts w:cs="Calibri"/>
              </w:rPr>
              <w:t xml:space="preserve"> (million)</w:t>
            </w:r>
          </w:p>
        </w:tc>
      </w:tr>
      <w:tr w:rsidR="000068C2" w:rsidRPr="007C346A" w14:paraId="570C43E8" w14:textId="77777777" w:rsidTr="0077555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8" w:type="dxa"/>
            <w:noWrap/>
          </w:tcPr>
          <w:p w14:paraId="5B12C37B" w14:textId="289BBADC" w:rsidR="000068C2" w:rsidRPr="007C346A" w:rsidRDefault="000068C2" w:rsidP="00775555">
            <w:pPr>
              <w:pStyle w:val="TableText"/>
            </w:pPr>
            <w:r>
              <w:t>Option 2C Stock buy-ba</w:t>
            </w:r>
            <w:r w:rsidR="00BB790A">
              <w:t>c</w:t>
            </w:r>
            <w:r>
              <w:t>ks</w:t>
            </w:r>
          </w:p>
        </w:tc>
        <w:tc>
          <w:tcPr>
            <w:tcW w:w="1646" w:type="dxa"/>
            <w:noWrap/>
          </w:tcPr>
          <w:p w14:paraId="79E230FA" w14:textId="7C477CAB" w:rsidR="000068C2" w:rsidRPr="007C346A" w:rsidRDefault="000068C2" w:rsidP="00775555">
            <w:pPr>
              <w:pStyle w:val="TableText"/>
              <w:cnfStyle w:val="000000010000" w:firstRow="0" w:lastRow="0" w:firstColumn="0" w:lastColumn="0" w:oddVBand="0" w:evenVBand="0" w:oddHBand="0" w:evenHBand="1" w:firstRowFirstColumn="0" w:firstRowLastColumn="0" w:lastRowFirstColumn="0" w:lastRowLastColumn="0"/>
            </w:pPr>
            <w:r>
              <w:t>$31.6</w:t>
            </w:r>
          </w:p>
        </w:tc>
        <w:tc>
          <w:tcPr>
            <w:tcW w:w="2170" w:type="dxa"/>
            <w:noWrap/>
          </w:tcPr>
          <w:p w14:paraId="757DEB37" w14:textId="77777777" w:rsidR="000068C2" w:rsidRPr="007C346A" w:rsidRDefault="000068C2" w:rsidP="00775555">
            <w:pPr>
              <w:pStyle w:val="TableText"/>
              <w:cnfStyle w:val="000000010000" w:firstRow="0" w:lastRow="0" w:firstColumn="0" w:lastColumn="0" w:oddVBand="0" w:evenVBand="0" w:oddHBand="0" w:evenHBand="1" w:firstRowFirstColumn="0" w:firstRowLastColumn="0" w:lastRowFirstColumn="0" w:lastRowLastColumn="0"/>
              <w:rPr>
                <w:rFonts w:cs="Calibri"/>
                <w:iCs/>
              </w:rPr>
            </w:pPr>
          </w:p>
        </w:tc>
        <w:tc>
          <w:tcPr>
            <w:tcW w:w="1946" w:type="dxa"/>
            <w:noWrap/>
          </w:tcPr>
          <w:p w14:paraId="7AB59BAE" w14:textId="77777777" w:rsidR="000068C2" w:rsidRPr="007C346A" w:rsidRDefault="000068C2" w:rsidP="00775555">
            <w:pPr>
              <w:pStyle w:val="TableText"/>
              <w:cnfStyle w:val="000000010000" w:firstRow="0" w:lastRow="0" w:firstColumn="0" w:lastColumn="0" w:oddVBand="0" w:evenVBand="0" w:oddHBand="0" w:evenHBand="1" w:firstRowFirstColumn="0" w:firstRowLastColumn="0" w:lastRowFirstColumn="0" w:lastRowLastColumn="0"/>
            </w:pPr>
          </w:p>
        </w:tc>
        <w:tc>
          <w:tcPr>
            <w:tcW w:w="1574" w:type="dxa"/>
            <w:noWrap/>
          </w:tcPr>
          <w:p w14:paraId="24226869" w14:textId="7DA89B52" w:rsidR="000068C2" w:rsidRPr="0040566B" w:rsidRDefault="000068C2" w:rsidP="00775555">
            <w:pPr>
              <w:pStyle w:val="TableText"/>
              <w:cnfStyle w:val="000000010000" w:firstRow="0" w:lastRow="0" w:firstColumn="0" w:lastColumn="0" w:oddVBand="0" w:evenVBand="0" w:oddHBand="0" w:evenHBand="1" w:firstRowFirstColumn="0" w:firstRowLastColumn="0" w:lastRowFirstColumn="0" w:lastRowLastColumn="0"/>
              <w:rPr>
                <w:rFonts w:cs="Calibri"/>
              </w:rPr>
            </w:pPr>
            <w:r>
              <w:rPr>
                <w:rFonts w:cs="Calibri"/>
              </w:rPr>
              <w:t>$31.6</w:t>
            </w:r>
          </w:p>
        </w:tc>
      </w:tr>
      <w:tr w:rsidR="000068C2" w:rsidRPr="007C346A" w14:paraId="0C1E9FFA" w14:textId="77777777" w:rsidTr="00775555">
        <w:trPr>
          <w:trHeight w:val="300"/>
        </w:trPr>
        <w:tc>
          <w:tcPr>
            <w:cnfStyle w:val="001000000000" w:firstRow="0" w:lastRow="0" w:firstColumn="1" w:lastColumn="0" w:oddVBand="0" w:evenVBand="0" w:oddHBand="0" w:evenHBand="0" w:firstRowFirstColumn="0" w:firstRowLastColumn="0" w:lastRowFirstColumn="0" w:lastRowLastColumn="0"/>
            <w:tcW w:w="2128" w:type="dxa"/>
            <w:noWrap/>
          </w:tcPr>
          <w:p w14:paraId="0C960B3A" w14:textId="387FD507" w:rsidR="000068C2" w:rsidRPr="0040566B" w:rsidRDefault="000068C2" w:rsidP="000068C2">
            <w:pPr>
              <w:pStyle w:val="TableText"/>
              <w:rPr>
                <w:b w:val="0"/>
              </w:rPr>
            </w:pPr>
            <w:r w:rsidRPr="007C346A">
              <w:t>Option 2</w:t>
            </w:r>
            <w:r>
              <w:t xml:space="preserve">E – Minimum terms </w:t>
            </w:r>
          </w:p>
        </w:tc>
        <w:tc>
          <w:tcPr>
            <w:tcW w:w="1646" w:type="dxa"/>
            <w:noWrap/>
          </w:tcPr>
          <w:p w14:paraId="733971C8" w14:textId="1879E7B5" w:rsidR="000068C2" w:rsidRPr="0040566B" w:rsidRDefault="001A33B9" w:rsidP="000068C2">
            <w:pPr>
              <w:pStyle w:val="TableText"/>
              <w:cnfStyle w:val="000000000000" w:firstRow="0" w:lastRow="0" w:firstColumn="0" w:lastColumn="0" w:oddVBand="0" w:evenVBand="0" w:oddHBand="0" w:evenHBand="0" w:firstRowFirstColumn="0" w:firstRowLastColumn="0" w:lastRowFirstColumn="0" w:lastRowLastColumn="0"/>
              <w:rPr>
                <w:rFonts w:cs="Calibri"/>
              </w:rPr>
            </w:pPr>
            <w:r>
              <w:rPr>
                <w:rFonts w:cs="Calibri"/>
              </w:rPr>
              <w:t>$0.175</w:t>
            </w:r>
          </w:p>
        </w:tc>
        <w:tc>
          <w:tcPr>
            <w:tcW w:w="2170" w:type="dxa"/>
            <w:noWrap/>
          </w:tcPr>
          <w:p w14:paraId="7DCEEAF5" w14:textId="77777777" w:rsidR="000068C2" w:rsidRPr="007C346A" w:rsidRDefault="000068C2" w:rsidP="00775555">
            <w:pPr>
              <w:pStyle w:val="TableText"/>
              <w:cnfStyle w:val="000000000000" w:firstRow="0" w:lastRow="0" w:firstColumn="0" w:lastColumn="0" w:oddVBand="0" w:evenVBand="0" w:oddHBand="0" w:evenHBand="0" w:firstRowFirstColumn="0" w:firstRowLastColumn="0" w:lastRowFirstColumn="0" w:lastRowLastColumn="0"/>
              <w:rPr>
                <w:rFonts w:cs="Calibri"/>
                <w:iCs/>
              </w:rPr>
            </w:pPr>
          </w:p>
        </w:tc>
        <w:tc>
          <w:tcPr>
            <w:tcW w:w="1946" w:type="dxa"/>
            <w:noWrap/>
          </w:tcPr>
          <w:p w14:paraId="0618A907" w14:textId="77777777" w:rsidR="000068C2" w:rsidRPr="007C346A" w:rsidRDefault="000068C2" w:rsidP="00775555">
            <w:pPr>
              <w:pStyle w:val="TableText"/>
              <w:cnfStyle w:val="000000000000" w:firstRow="0" w:lastRow="0" w:firstColumn="0" w:lastColumn="0" w:oddVBand="0" w:evenVBand="0" w:oddHBand="0" w:evenHBand="0" w:firstRowFirstColumn="0" w:firstRowLastColumn="0" w:lastRowFirstColumn="0" w:lastRowLastColumn="0"/>
              <w:rPr>
                <w:rFonts w:cs="Calibri"/>
                <w:iCs/>
              </w:rPr>
            </w:pPr>
          </w:p>
        </w:tc>
        <w:tc>
          <w:tcPr>
            <w:tcW w:w="1574" w:type="dxa"/>
            <w:noWrap/>
          </w:tcPr>
          <w:p w14:paraId="7B1913EF" w14:textId="0F754CB7" w:rsidR="000068C2" w:rsidRPr="0040566B" w:rsidRDefault="001A33B9" w:rsidP="00CE4135">
            <w:pPr>
              <w:pStyle w:val="TableText"/>
              <w:cnfStyle w:val="000000000000" w:firstRow="0" w:lastRow="0" w:firstColumn="0" w:lastColumn="0" w:oddVBand="0" w:evenVBand="0" w:oddHBand="0" w:evenHBand="0" w:firstRowFirstColumn="0" w:firstRowLastColumn="0" w:lastRowFirstColumn="0" w:lastRowLastColumn="0"/>
              <w:rPr>
                <w:rFonts w:cs="Calibri"/>
              </w:rPr>
            </w:pPr>
            <w:r>
              <w:rPr>
                <w:rFonts w:cs="Calibri"/>
              </w:rPr>
              <w:t>$0.175</w:t>
            </w:r>
          </w:p>
        </w:tc>
      </w:tr>
      <w:tr w:rsidR="000068C2" w:rsidRPr="007C346A" w14:paraId="3BC34529" w14:textId="77777777" w:rsidTr="0077555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8" w:type="dxa"/>
            <w:noWrap/>
          </w:tcPr>
          <w:p w14:paraId="0DEBFFE2" w14:textId="7968EA7D" w:rsidR="000068C2" w:rsidRPr="00DE7F8D" w:rsidRDefault="000068C2" w:rsidP="00775555">
            <w:pPr>
              <w:pStyle w:val="TableText"/>
            </w:pPr>
            <w:r w:rsidRPr="00DE7F8D">
              <w:t xml:space="preserve">TOTAL </w:t>
            </w:r>
          </w:p>
        </w:tc>
        <w:tc>
          <w:tcPr>
            <w:tcW w:w="1646" w:type="dxa"/>
            <w:noWrap/>
          </w:tcPr>
          <w:p w14:paraId="31C42E36" w14:textId="2B458B83" w:rsidR="000068C2" w:rsidRPr="0040566B" w:rsidRDefault="000068C2" w:rsidP="00775555">
            <w:pPr>
              <w:pStyle w:val="TableText"/>
              <w:cnfStyle w:val="000000010000" w:firstRow="0" w:lastRow="0" w:firstColumn="0" w:lastColumn="0" w:oddVBand="0" w:evenVBand="0" w:oddHBand="0" w:evenHBand="1" w:firstRowFirstColumn="0" w:firstRowLastColumn="0" w:lastRowFirstColumn="0" w:lastRowLastColumn="0"/>
              <w:rPr>
                <w:rFonts w:cs="Calibri"/>
              </w:rPr>
            </w:pPr>
          </w:p>
        </w:tc>
        <w:tc>
          <w:tcPr>
            <w:tcW w:w="2170" w:type="dxa"/>
            <w:noWrap/>
          </w:tcPr>
          <w:p w14:paraId="4E2D8E6E" w14:textId="77777777" w:rsidR="000068C2" w:rsidRPr="007C346A" w:rsidRDefault="000068C2" w:rsidP="00775555">
            <w:pPr>
              <w:pStyle w:val="TableText"/>
              <w:cnfStyle w:val="000000010000" w:firstRow="0" w:lastRow="0" w:firstColumn="0" w:lastColumn="0" w:oddVBand="0" w:evenVBand="0" w:oddHBand="0" w:evenHBand="1" w:firstRowFirstColumn="0" w:firstRowLastColumn="0" w:lastRowFirstColumn="0" w:lastRowLastColumn="0"/>
              <w:rPr>
                <w:rFonts w:cs="Calibri"/>
                <w:iCs/>
              </w:rPr>
            </w:pPr>
          </w:p>
        </w:tc>
        <w:tc>
          <w:tcPr>
            <w:tcW w:w="1946" w:type="dxa"/>
            <w:noWrap/>
          </w:tcPr>
          <w:p w14:paraId="44BDF05F" w14:textId="77777777" w:rsidR="000068C2" w:rsidRPr="007C346A" w:rsidRDefault="000068C2" w:rsidP="00775555">
            <w:pPr>
              <w:pStyle w:val="TableText"/>
              <w:cnfStyle w:val="000000010000" w:firstRow="0" w:lastRow="0" w:firstColumn="0" w:lastColumn="0" w:oddVBand="0" w:evenVBand="0" w:oddHBand="0" w:evenHBand="1" w:firstRowFirstColumn="0" w:firstRowLastColumn="0" w:lastRowFirstColumn="0" w:lastRowLastColumn="0"/>
              <w:rPr>
                <w:rFonts w:cs="Calibri"/>
                <w:iCs/>
              </w:rPr>
            </w:pPr>
          </w:p>
        </w:tc>
        <w:tc>
          <w:tcPr>
            <w:tcW w:w="1574" w:type="dxa"/>
            <w:noWrap/>
          </w:tcPr>
          <w:p w14:paraId="45BB4141" w14:textId="17BAC307" w:rsidR="000068C2" w:rsidRPr="0040566B" w:rsidRDefault="000068C2" w:rsidP="001A33B9">
            <w:pPr>
              <w:pStyle w:val="TableText"/>
              <w:cnfStyle w:val="000000010000" w:firstRow="0" w:lastRow="0" w:firstColumn="0" w:lastColumn="0" w:oddVBand="0" w:evenVBand="0" w:oddHBand="0" w:evenHBand="1" w:firstRowFirstColumn="0" w:firstRowLastColumn="0" w:lastRowFirstColumn="0" w:lastRowLastColumn="0"/>
              <w:rPr>
                <w:rFonts w:cs="Calibri"/>
              </w:rPr>
            </w:pPr>
            <w:r>
              <w:rPr>
                <w:rFonts w:cs="Calibri"/>
              </w:rPr>
              <w:t>$31.</w:t>
            </w:r>
            <w:r w:rsidR="001A33B9">
              <w:rPr>
                <w:rFonts w:cs="Calibri"/>
              </w:rPr>
              <w:t>775</w:t>
            </w:r>
          </w:p>
        </w:tc>
      </w:tr>
    </w:tbl>
    <w:p w14:paraId="58D87ED0" w14:textId="77777777" w:rsidR="000068C2" w:rsidRDefault="000068C2" w:rsidP="00261CD8">
      <w:pPr>
        <w:spacing w:before="240" w:line="360" w:lineRule="auto"/>
        <w:jc w:val="both"/>
        <w:rPr>
          <w:rFonts w:ascii="Arial" w:hAnsi="Arial" w:cs="Arial"/>
        </w:rPr>
      </w:pPr>
    </w:p>
    <w:p w14:paraId="605DEC3A" w14:textId="77777777" w:rsidR="000068C2" w:rsidRDefault="000068C2" w:rsidP="00261CD8">
      <w:pPr>
        <w:spacing w:before="240" w:line="360" w:lineRule="auto"/>
        <w:jc w:val="both"/>
        <w:rPr>
          <w:rFonts w:ascii="Arial" w:hAnsi="Arial" w:cs="Arial"/>
        </w:rPr>
      </w:pPr>
    </w:p>
    <w:p w14:paraId="4496EC20" w14:textId="77777777" w:rsidR="000068C2" w:rsidRDefault="000068C2" w:rsidP="00261CD8">
      <w:pPr>
        <w:spacing w:before="240" w:line="360" w:lineRule="auto"/>
        <w:jc w:val="both"/>
        <w:rPr>
          <w:rFonts w:ascii="Arial" w:hAnsi="Arial" w:cs="Arial"/>
        </w:rPr>
      </w:pPr>
    </w:p>
    <w:p w14:paraId="3F1D0B78" w14:textId="77777777" w:rsidR="00CF05CB" w:rsidRDefault="003A4A6D" w:rsidP="00261CD8">
      <w:pPr>
        <w:spacing w:before="240" w:line="360" w:lineRule="auto"/>
        <w:jc w:val="both"/>
        <w:rPr>
          <w:rFonts w:ascii="Arial" w:hAnsi="Arial" w:cs="Arial"/>
        </w:rPr>
      </w:pPr>
      <w:r w:rsidRPr="007C346A">
        <w:rPr>
          <w:rFonts w:ascii="Arial" w:hAnsi="Arial" w:cs="Arial"/>
        </w:rPr>
        <w:lastRenderedPageBreak/>
        <w:t xml:space="preserve">The </w:t>
      </w:r>
      <w:r w:rsidR="009F4385" w:rsidRPr="007C346A">
        <w:rPr>
          <w:rFonts w:ascii="Arial" w:hAnsi="Arial" w:cs="Arial"/>
        </w:rPr>
        <w:t>r</w:t>
      </w:r>
      <w:r w:rsidRPr="007C346A">
        <w:rPr>
          <w:rFonts w:ascii="Arial" w:hAnsi="Arial" w:cs="Arial"/>
        </w:rPr>
        <w:t xml:space="preserve">egulatory burden estimates only consider the costs associated with complying with the reform option and do not include opportunity costs. For example, the regulatory costs for Option </w:t>
      </w:r>
      <w:r w:rsidR="00276895" w:rsidRPr="007C346A">
        <w:rPr>
          <w:rFonts w:ascii="Arial" w:hAnsi="Arial" w:cs="Arial"/>
        </w:rPr>
        <w:t>2E</w:t>
      </w:r>
      <w:r w:rsidRPr="007C346A">
        <w:rPr>
          <w:rFonts w:ascii="Arial" w:hAnsi="Arial" w:cs="Arial"/>
        </w:rPr>
        <w:t xml:space="preserve"> account for the costs of updating dealer agreement</w:t>
      </w:r>
      <w:r w:rsidR="00276895" w:rsidRPr="007C346A">
        <w:rPr>
          <w:rFonts w:ascii="Arial" w:hAnsi="Arial" w:cs="Arial"/>
        </w:rPr>
        <w:t>s</w:t>
      </w:r>
      <w:r w:rsidRPr="007C346A">
        <w:rPr>
          <w:rFonts w:ascii="Arial" w:hAnsi="Arial" w:cs="Arial"/>
        </w:rPr>
        <w:t>, but do not include estimates of the costs for manufacturers associated with lost opportunities as a result of an inability to restructure dealer networks. These broader costs and benefits, which are excluded from the regulatory burden estimate, underpin the assessment as to which options are preferred and which are not.</w:t>
      </w:r>
    </w:p>
    <w:p w14:paraId="68329086" w14:textId="7D7657F6" w:rsidR="007846A8" w:rsidRPr="007C346A" w:rsidRDefault="009B5944" w:rsidP="00261CD8">
      <w:pPr>
        <w:spacing w:before="240" w:line="360" w:lineRule="auto"/>
        <w:jc w:val="both"/>
        <w:rPr>
          <w:rFonts w:ascii="Arial" w:hAnsi="Arial" w:cs="Arial"/>
        </w:rPr>
      </w:pPr>
      <w:r>
        <w:rPr>
          <w:rFonts w:ascii="Arial" w:hAnsi="Arial" w:cs="Arial"/>
        </w:rPr>
        <w:t>T</w:t>
      </w:r>
      <w:r w:rsidR="00933E81">
        <w:rPr>
          <w:rFonts w:ascii="Arial" w:hAnsi="Arial" w:cs="Arial"/>
        </w:rPr>
        <w:t xml:space="preserve">here are </w:t>
      </w:r>
      <w:r>
        <w:rPr>
          <w:rFonts w:ascii="Arial" w:hAnsi="Arial" w:cs="Arial"/>
        </w:rPr>
        <w:t xml:space="preserve">also </w:t>
      </w:r>
      <w:r w:rsidR="00933E81">
        <w:rPr>
          <w:rFonts w:ascii="Arial" w:hAnsi="Arial" w:cs="Arial"/>
        </w:rPr>
        <w:t>expected to</w:t>
      </w:r>
      <w:r w:rsidR="00F061AE">
        <w:rPr>
          <w:rFonts w:ascii="Arial" w:hAnsi="Arial" w:cs="Arial"/>
        </w:rPr>
        <w:t xml:space="preserve"> be</w:t>
      </w:r>
      <w:r w:rsidR="00A3484A">
        <w:rPr>
          <w:rFonts w:ascii="Arial" w:hAnsi="Arial" w:cs="Arial"/>
        </w:rPr>
        <w:t xml:space="preserve"> enforcement, education and</w:t>
      </w:r>
      <w:r w:rsidR="00933E81">
        <w:rPr>
          <w:rFonts w:ascii="Arial" w:hAnsi="Arial" w:cs="Arial"/>
        </w:rPr>
        <w:t xml:space="preserve"> compliance costs </w:t>
      </w:r>
      <w:r w:rsidR="005003C7">
        <w:rPr>
          <w:rFonts w:ascii="Arial" w:hAnsi="Arial" w:cs="Arial"/>
        </w:rPr>
        <w:t>involved with</w:t>
      </w:r>
      <w:r w:rsidR="00A3484A" w:rsidRPr="00A3484A">
        <w:rPr>
          <w:rFonts w:ascii="Arial" w:hAnsi="Arial" w:cs="Arial"/>
        </w:rPr>
        <w:t xml:space="preserve"> the </w:t>
      </w:r>
      <w:r w:rsidR="005003C7">
        <w:rPr>
          <w:rFonts w:ascii="Arial" w:hAnsi="Arial" w:cs="Arial"/>
        </w:rPr>
        <w:t>proposed changes</w:t>
      </w:r>
      <w:r w:rsidR="00A6399D">
        <w:rPr>
          <w:rFonts w:ascii="Arial" w:hAnsi="Arial" w:cs="Arial"/>
        </w:rPr>
        <w:t>. These costs are not considered as part of the regulatory burden costings but will be considered separately in consultation with the ACCC.</w:t>
      </w:r>
    </w:p>
    <w:p w14:paraId="1FEAA9F4" w14:textId="5477027A" w:rsidR="00AB6A68" w:rsidRPr="0040566B" w:rsidRDefault="00AB6A68" w:rsidP="0040566B">
      <w:pPr>
        <w:pStyle w:val="Heading2"/>
        <w:rPr>
          <w:rFonts w:ascii="Arial" w:hAnsi="Arial" w:cs="Arial"/>
          <w:sz w:val="36"/>
          <w:szCs w:val="36"/>
        </w:rPr>
      </w:pPr>
      <w:bookmarkStart w:id="90" w:name="_Toc20489947"/>
      <w:r w:rsidRPr="0040566B">
        <w:rPr>
          <w:rFonts w:ascii="Arial" w:hAnsi="Arial" w:cs="Arial"/>
          <w:sz w:val="36"/>
          <w:szCs w:val="36"/>
        </w:rPr>
        <w:t>Preferred option</w:t>
      </w:r>
      <w:bookmarkEnd w:id="90"/>
    </w:p>
    <w:p w14:paraId="23822FF8" w14:textId="47E56966" w:rsidR="00AB6A68" w:rsidRPr="0040566B" w:rsidRDefault="00AB6A68" w:rsidP="00A81259">
      <w:pPr>
        <w:spacing w:before="120" w:line="360" w:lineRule="auto"/>
        <w:jc w:val="both"/>
        <w:rPr>
          <w:rFonts w:ascii="Arial" w:hAnsi="Arial" w:cs="Arial"/>
        </w:rPr>
      </w:pPr>
      <w:r w:rsidRPr="0040566B">
        <w:rPr>
          <w:rFonts w:ascii="Arial" w:hAnsi="Arial" w:cs="Arial"/>
        </w:rPr>
        <w:t xml:space="preserve">Option 2, </w:t>
      </w:r>
      <w:r w:rsidR="00FB07AB">
        <w:rPr>
          <w:rFonts w:ascii="Arial" w:hAnsi="Arial" w:cs="Arial"/>
        </w:rPr>
        <w:t xml:space="preserve">regulatory intervention through amending the </w:t>
      </w:r>
      <w:r w:rsidR="005003C7">
        <w:rPr>
          <w:rFonts w:ascii="Arial" w:hAnsi="Arial" w:cs="Arial"/>
        </w:rPr>
        <w:t>Franchising</w:t>
      </w:r>
      <w:r w:rsidRPr="0040566B">
        <w:rPr>
          <w:rFonts w:ascii="Arial" w:hAnsi="Arial" w:cs="Arial"/>
        </w:rPr>
        <w:t xml:space="preserve"> Code, is the preferred option as it is anticipated to have the highest overall net benefit. </w:t>
      </w:r>
      <w:r>
        <w:rPr>
          <w:rFonts w:ascii="Arial" w:hAnsi="Arial" w:cs="Arial"/>
        </w:rPr>
        <w:t xml:space="preserve">While maintaining the status quo or establishing a voluntary code of conduct would have a lower regulatory impact, neither option is likely to be effective at addressing the </w:t>
      </w:r>
      <w:r w:rsidRPr="008332EB">
        <w:rPr>
          <w:rFonts w:ascii="Arial" w:hAnsi="Arial" w:cs="Arial"/>
        </w:rPr>
        <w:t>problems identified in the new car retailing sector.</w:t>
      </w:r>
      <w:r w:rsidR="00C363C3" w:rsidRPr="008332EB">
        <w:rPr>
          <w:rFonts w:ascii="Arial" w:hAnsi="Arial" w:cs="Arial"/>
        </w:rPr>
        <w:t xml:space="preserve"> </w:t>
      </w:r>
      <w:r w:rsidR="00850C25" w:rsidRPr="008332EB">
        <w:rPr>
          <w:rFonts w:ascii="Arial" w:hAnsi="Arial" w:cs="Arial"/>
        </w:rPr>
        <w:t xml:space="preserve">The preferred option would have a regulatory impact of </w:t>
      </w:r>
      <w:r w:rsidR="0007609B" w:rsidRPr="008332EB">
        <w:rPr>
          <w:rStyle w:val="FootnoteReference"/>
          <w:rFonts w:ascii="Arial" w:hAnsi="Arial" w:cs="Arial"/>
        </w:rPr>
        <w:footnoteReference w:id="83"/>
      </w:r>
      <w:r w:rsidR="00850C25" w:rsidRPr="008332EB">
        <w:rPr>
          <w:rFonts w:ascii="Arial" w:hAnsi="Arial" w:cs="Arial"/>
        </w:rPr>
        <w:t>$</w:t>
      </w:r>
      <w:r w:rsidR="005003C7" w:rsidRPr="008332EB">
        <w:rPr>
          <w:rFonts w:ascii="Arial" w:hAnsi="Arial" w:cs="Arial"/>
        </w:rPr>
        <w:t>4.</w:t>
      </w:r>
      <w:r w:rsidR="001A33B9" w:rsidRPr="008332EB">
        <w:rPr>
          <w:rFonts w:ascii="Arial" w:hAnsi="Arial" w:cs="Arial"/>
        </w:rPr>
        <w:t>575</w:t>
      </w:r>
      <w:r w:rsidR="00850C25" w:rsidRPr="008332EB">
        <w:rPr>
          <w:rFonts w:ascii="Arial" w:hAnsi="Arial" w:cs="Arial"/>
        </w:rPr>
        <w:t xml:space="preserve"> million per annum.</w:t>
      </w:r>
    </w:p>
    <w:p w14:paraId="2B75E5D0" w14:textId="18C1BCDE" w:rsidR="00AB6A68" w:rsidRPr="0040566B" w:rsidRDefault="00AB6A68" w:rsidP="00A81259">
      <w:pPr>
        <w:spacing w:before="120" w:line="360" w:lineRule="auto"/>
        <w:jc w:val="both"/>
        <w:rPr>
          <w:rFonts w:ascii="Arial" w:hAnsi="Arial" w:cs="Arial"/>
        </w:rPr>
      </w:pPr>
      <w:r>
        <w:rPr>
          <w:rFonts w:ascii="Arial" w:hAnsi="Arial" w:cs="Arial"/>
        </w:rPr>
        <w:t xml:space="preserve">In regard to the elements of the </w:t>
      </w:r>
      <w:r w:rsidR="00807B1E">
        <w:rPr>
          <w:rFonts w:ascii="Arial" w:hAnsi="Arial" w:cs="Arial"/>
        </w:rPr>
        <w:t>regulatory intervention</w:t>
      </w:r>
      <w:r>
        <w:rPr>
          <w:rFonts w:ascii="Arial" w:hAnsi="Arial" w:cs="Arial"/>
        </w:rPr>
        <w:t xml:space="preserve">, options 2A, 2B, 2D and 2F are the preferred options. </w:t>
      </w:r>
      <w:r w:rsidR="005003C7">
        <w:rPr>
          <w:rFonts w:ascii="Arial" w:hAnsi="Arial" w:cs="Arial"/>
        </w:rPr>
        <w:t>Including</w:t>
      </w:r>
      <w:r>
        <w:rPr>
          <w:rFonts w:ascii="Arial" w:hAnsi="Arial" w:cs="Arial"/>
        </w:rPr>
        <w:t xml:space="preserve"> the </w:t>
      </w:r>
      <w:r w:rsidR="005003C7">
        <w:rPr>
          <w:rFonts w:ascii="Arial" w:hAnsi="Arial" w:cs="Arial"/>
        </w:rPr>
        <w:t>existing</w:t>
      </w:r>
      <w:r>
        <w:rPr>
          <w:rFonts w:ascii="Arial" w:hAnsi="Arial" w:cs="Arial"/>
        </w:rPr>
        <w:t xml:space="preserve"> elements of the Franchising Code will result in the components</w:t>
      </w:r>
      <w:r w:rsidR="005179C4">
        <w:rPr>
          <w:rFonts w:ascii="Arial" w:hAnsi="Arial" w:cs="Arial"/>
        </w:rPr>
        <w:t xml:space="preserve"> described below</w:t>
      </w:r>
      <w:r w:rsidR="00D328C1">
        <w:rPr>
          <w:rFonts w:ascii="Arial" w:hAnsi="Arial" w:cs="Arial"/>
        </w:rPr>
        <w:t>:</w:t>
      </w:r>
    </w:p>
    <w:p w14:paraId="4240D977" w14:textId="05659A05" w:rsidR="005179C4" w:rsidRPr="0040566B" w:rsidRDefault="005003C7" w:rsidP="006647E7">
      <w:pPr>
        <w:numPr>
          <w:ilvl w:val="0"/>
          <w:numId w:val="6"/>
        </w:numPr>
        <w:spacing w:before="240" w:line="360" w:lineRule="auto"/>
        <w:contextualSpacing/>
        <w:jc w:val="both"/>
        <w:rPr>
          <w:rFonts w:ascii="Arial" w:hAnsi="Arial" w:cs="Arial"/>
        </w:rPr>
      </w:pPr>
      <w:r>
        <w:rPr>
          <w:rFonts w:ascii="Arial" w:hAnsi="Arial" w:cs="Arial"/>
        </w:rPr>
        <w:t>It</w:t>
      </w:r>
      <w:r w:rsidR="00AA3286">
        <w:rPr>
          <w:rFonts w:ascii="Arial" w:hAnsi="Arial" w:cs="Arial"/>
        </w:rPr>
        <w:t xml:space="preserve"> </w:t>
      </w:r>
      <w:r>
        <w:rPr>
          <w:rFonts w:ascii="Arial" w:hAnsi="Arial" w:cs="Arial"/>
        </w:rPr>
        <w:t>will</w:t>
      </w:r>
      <w:r w:rsidR="00AA3286">
        <w:rPr>
          <w:rFonts w:ascii="Arial" w:hAnsi="Arial" w:cs="Arial"/>
        </w:rPr>
        <w:t xml:space="preserve"> w</w:t>
      </w:r>
      <w:r w:rsidR="00CA1A76">
        <w:rPr>
          <w:rFonts w:ascii="Arial" w:hAnsi="Arial" w:cs="Arial"/>
        </w:rPr>
        <w:t>ork effectively for the sector</w:t>
      </w:r>
      <w:r w:rsidR="00C558A5">
        <w:rPr>
          <w:rFonts w:ascii="Arial" w:hAnsi="Arial" w:cs="Arial"/>
        </w:rPr>
        <w:t>,</w:t>
      </w:r>
      <w:r w:rsidR="00CA1A76">
        <w:rPr>
          <w:rFonts w:ascii="Arial" w:hAnsi="Arial" w:cs="Arial"/>
        </w:rPr>
        <w:t xml:space="preserve"> including the </w:t>
      </w:r>
      <w:r w:rsidR="005179C4" w:rsidRPr="0040566B">
        <w:rPr>
          <w:rFonts w:ascii="Arial" w:hAnsi="Arial" w:cs="Arial"/>
        </w:rPr>
        <w:t xml:space="preserve">requirement to act in good faith </w:t>
      </w:r>
      <w:r w:rsidR="00CA1A76">
        <w:rPr>
          <w:rFonts w:ascii="Arial" w:hAnsi="Arial" w:cs="Arial"/>
        </w:rPr>
        <w:t>and</w:t>
      </w:r>
      <w:r w:rsidR="00CA1A76" w:rsidRPr="00CA1A76" w:rsidDel="00CA1A76">
        <w:rPr>
          <w:rFonts w:ascii="Arial" w:hAnsi="Arial" w:cs="Arial"/>
        </w:rPr>
        <w:t xml:space="preserve"> </w:t>
      </w:r>
      <w:r w:rsidR="00CA1A76">
        <w:rPr>
          <w:rFonts w:ascii="Arial" w:hAnsi="Arial" w:cs="Arial"/>
        </w:rPr>
        <w:t>man</w:t>
      </w:r>
      <w:r w:rsidR="005179C4" w:rsidRPr="0040566B">
        <w:rPr>
          <w:rFonts w:ascii="Arial" w:hAnsi="Arial" w:cs="Arial"/>
        </w:rPr>
        <w:t xml:space="preserve">ufacturers’ obligations in the case of transfer or termination of an agreement. </w:t>
      </w:r>
    </w:p>
    <w:p w14:paraId="3A9D7024" w14:textId="6EAA1BC3" w:rsidR="005179C4" w:rsidRPr="0040566B" w:rsidRDefault="00CA1A76" w:rsidP="006647E7">
      <w:pPr>
        <w:numPr>
          <w:ilvl w:val="0"/>
          <w:numId w:val="6"/>
        </w:numPr>
        <w:spacing w:before="240" w:line="360" w:lineRule="auto"/>
        <w:ind w:left="357" w:hanging="357"/>
        <w:jc w:val="both"/>
        <w:rPr>
          <w:rFonts w:ascii="Arial" w:hAnsi="Arial" w:cs="Arial"/>
        </w:rPr>
      </w:pPr>
      <w:r>
        <w:rPr>
          <w:rFonts w:ascii="Arial" w:hAnsi="Arial" w:cs="Arial"/>
        </w:rPr>
        <w:t xml:space="preserve">Underpinned by the existing penalty and compliance regime for industry codes of conduct. </w:t>
      </w:r>
    </w:p>
    <w:p w14:paraId="50DE063C" w14:textId="2E24BCBE" w:rsidR="005179C4" w:rsidRPr="000A2928" w:rsidRDefault="00571AA6" w:rsidP="0040566B">
      <w:pPr>
        <w:spacing w:before="120" w:line="360" w:lineRule="auto"/>
        <w:rPr>
          <w:rFonts w:ascii="Arial" w:hAnsi="Arial" w:cs="Arial"/>
          <w:i/>
        </w:rPr>
      </w:pPr>
      <w:r>
        <w:rPr>
          <w:rFonts w:ascii="Arial" w:hAnsi="Arial" w:cs="Arial"/>
          <w:i/>
        </w:rPr>
        <w:t>Regulatory changes</w:t>
      </w:r>
    </w:p>
    <w:p w14:paraId="44CB4FC2" w14:textId="10AE25D4" w:rsidR="005179C4" w:rsidRPr="0040566B" w:rsidRDefault="005179C4" w:rsidP="006647E7">
      <w:pPr>
        <w:numPr>
          <w:ilvl w:val="0"/>
          <w:numId w:val="6"/>
        </w:numPr>
        <w:spacing w:before="240" w:line="360" w:lineRule="auto"/>
        <w:contextualSpacing/>
        <w:jc w:val="both"/>
        <w:rPr>
          <w:rFonts w:ascii="Arial" w:hAnsi="Arial" w:cs="Arial"/>
        </w:rPr>
      </w:pPr>
      <w:r w:rsidRPr="0040566B">
        <w:rPr>
          <w:rFonts w:ascii="Arial" w:hAnsi="Arial" w:cs="Arial"/>
        </w:rPr>
        <w:t>Require manufacturers and dealers to provide 12 months’ notice prior to non-renewing an agreement.</w:t>
      </w:r>
      <w:r>
        <w:rPr>
          <w:rFonts w:ascii="Arial" w:hAnsi="Arial" w:cs="Arial"/>
        </w:rPr>
        <w:t xml:space="preserve"> (Option 2A)</w:t>
      </w:r>
      <w:r w:rsidRPr="0040566B">
        <w:rPr>
          <w:rFonts w:ascii="Arial" w:hAnsi="Arial" w:cs="Arial"/>
        </w:rPr>
        <w:t xml:space="preserve">  </w:t>
      </w:r>
    </w:p>
    <w:p w14:paraId="46BFA589" w14:textId="63FDA84B" w:rsidR="005179C4" w:rsidRPr="0040566B" w:rsidRDefault="005179C4" w:rsidP="006647E7">
      <w:pPr>
        <w:numPr>
          <w:ilvl w:val="1"/>
          <w:numId w:val="6"/>
        </w:numPr>
        <w:spacing w:before="240" w:line="360" w:lineRule="auto"/>
        <w:contextualSpacing/>
        <w:jc w:val="both"/>
        <w:rPr>
          <w:rFonts w:ascii="Arial" w:hAnsi="Arial" w:cs="Arial"/>
        </w:rPr>
      </w:pPr>
      <w:r w:rsidRPr="0040566B">
        <w:rPr>
          <w:rFonts w:ascii="Arial" w:hAnsi="Arial" w:cs="Arial"/>
        </w:rPr>
        <w:t>When a non-renewal notice is issued, the manufacturers and dealer would be required to develop a plan</w:t>
      </w:r>
      <w:r w:rsidR="00E72473">
        <w:rPr>
          <w:rFonts w:ascii="Arial" w:hAnsi="Arial" w:cs="Arial"/>
        </w:rPr>
        <w:t xml:space="preserve"> and agree</w:t>
      </w:r>
      <w:r w:rsidRPr="0040566B">
        <w:rPr>
          <w:rFonts w:ascii="Arial" w:hAnsi="Arial" w:cs="Arial"/>
        </w:rPr>
        <w:t xml:space="preserve">, with milestones, to end their agreement with an obligation on both parties to work co-operatively to settle arrangements.  </w:t>
      </w:r>
    </w:p>
    <w:p w14:paraId="413E4D5D" w14:textId="048AAD82" w:rsidR="005179C4" w:rsidRPr="0040566B" w:rsidRDefault="005179C4" w:rsidP="006647E7">
      <w:pPr>
        <w:numPr>
          <w:ilvl w:val="1"/>
          <w:numId w:val="6"/>
        </w:numPr>
        <w:spacing w:before="240" w:line="360" w:lineRule="auto"/>
        <w:contextualSpacing/>
        <w:jc w:val="both"/>
        <w:rPr>
          <w:rFonts w:ascii="Arial" w:hAnsi="Arial" w:cs="Arial"/>
        </w:rPr>
      </w:pPr>
      <w:r w:rsidRPr="0040566B">
        <w:rPr>
          <w:rFonts w:ascii="Arial" w:hAnsi="Arial" w:cs="Arial"/>
        </w:rPr>
        <w:t xml:space="preserve">The plan would need to address how stock levels (including spare parts, service equipment and new vehicles) will be managed.  </w:t>
      </w:r>
    </w:p>
    <w:p w14:paraId="49BCA80F" w14:textId="77777777" w:rsidR="005179C4" w:rsidRPr="0040566B" w:rsidRDefault="005179C4" w:rsidP="006647E7">
      <w:pPr>
        <w:numPr>
          <w:ilvl w:val="1"/>
          <w:numId w:val="6"/>
        </w:numPr>
        <w:spacing w:before="240" w:line="360" w:lineRule="auto"/>
        <w:contextualSpacing/>
        <w:jc w:val="both"/>
        <w:rPr>
          <w:rFonts w:ascii="Arial" w:hAnsi="Arial" w:cs="Arial"/>
        </w:rPr>
      </w:pPr>
      <w:r w:rsidRPr="002F249D">
        <w:rPr>
          <w:rFonts w:ascii="Arial" w:hAnsi="Arial" w:cs="Arial"/>
        </w:rPr>
        <w:t xml:space="preserve">Both parties may agree in writing to vary the notice period. </w:t>
      </w:r>
    </w:p>
    <w:p w14:paraId="0E2AC566" w14:textId="03EE01FF" w:rsidR="005179C4" w:rsidRPr="0040566B" w:rsidRDefault="005179C4" w:rsidP="006647E7">
      <w:pPr>
        <w:numPr>
          <w:ilvl w:val="0"/>
          <w:numId w:val="6"/>
        </w:numPr>
        <w:spacing w:before="240" w:line="360" w:lineRule="auto"/>
        <w:contextualSpacing/>
        <w:jc w:val="both"/>
        <w:rPr>
          <w:rFonts w:ascii="Arial" w:hAnsi="Arial" w:cs="Arial"/>
        </w:rPr>
      </w:pPr>
      <w:r w:rsidRPr="0040566B">
        <w:rPr>
          <w:rFonts w:ascii="Arial" w:hAnsi="Arial" w:cs="Arial"/>
        </w:rPr>
        <w:lastRenderedPageBreak/>
        <w:t xml:space="preserve">The party not renewing the agreement would be required to provide a statement to the other party outlining why the agreement is not being renewed. </w:t>
      </w:r>
      <w:r>
        <w:rPr>
          <w:rFonts w:ascii="Arial" w:hAnsi="Arial" w:cs="Arial"/>
        </w:rPr>
        <w:t>(Option 2B)</w:t>
      </w:r>
    </w:p>
    <w:p w14:paraId="68F7A03A" w14:textId="3AF773B7" w:rsidR="005179C4" w:rsidRPr="0040566B" w:rsidRDefault="005179C4" w:rsidP="006647E7">
      <w:pPr>
        <w:numPr>
          <w:ilvl w:val="0"/>
          <w:numId w:val="6"/>
        </w:numPr>
        <w:spacing w:before="240" w:line="360" w:lineRule="auto"/>
        <w:contextualSpacing/>
        <w:jc w:val="both"/>
        <w:rPr>
          <w:rFonts w:ascii="Arial" w:hAnsi="Arial" w:cs="Arial"/>
        </w:rPr>
      </w:pPr>
      <w:r w:rsidRPr="0040566B">
        <w:rPr>
          <w:rFonts w:ascii="Arial" w:hAnsi="Arial" w:cs="Arial"/>
        </w:rPr>
        <w:t>Capital expenditure disclosure obligations would seek to ensure dealers have</w:t>
      </w:r>
      <w:r w:rsidR="007D26BD">
        <w:rPr>
          <w:rFonts w:ascii="Arial" w:hAnsi="Arial" w:cs="Arial"/>
        </w:rPr>
        <w:t xml:space="preserve"> sufficient information available to make an informed decision about the investment required and be clear on </w:t>
      </w:r>
      <w:r w:rsidRPr="0040566B">
        <w:rPr>
          <w:rFonts w:ascii="Arial" w:hAnsi="Arial" w:cs="Arial"/>
        </w:rPr>
        <w:t xml:space="preserve">opportunity to recoup the investments. </w:t>
      </w:r>
      <w:r>
        <w:rPr>
          <w:rFonts w:ascii="Arial" w:hAnsi="Arial" w:cs="Arial"/>
        </w:rPr>
        <w:t xml:space="preserve">(Option 2D) </w:t>
      </w:r>
      <w:r w:rsidRPr="0040566B">
        <w:rPr>
          <w:rFonts w:ascii="Arial" w:hAnsi="Arial" w:cs="Arial"/>
        </w:rPr>
        <w:t xml:space="preserve">This would include: </w:t>
      </w:r>
    </w:p>
    <w:p w14:paraId="7ECAB3F9" w14:textId="2AA1ABE0" w:rsidR="005179C4" w:rsidRPr="0040566B" w:rsidRDefault="005179C4" w:rsidP="006647E7">
      <w:pPr>
        <w:numPr>
          <w:ilvl w:val="1"/>
          <w:numId w:val="6"/>
        </w:numPr>
        <w:spacing w:before="240" w:line="360" w:lineRule="auto"/>
        <w:contextualSpacing/>
        <w:jc w:val="both"/>
        <w:rPr>
          <w:rFonts w:ascii="Arial" w:hAnsi="Arial" w:cs="Arial"/>
        </w:rPr>
      </w:pPr>
      <w:r w:rsidRPr="0040566B">
        <w:rPr>
          <w:rFonts w:ascii="Arial" w:hAnsi="Arial" w:cs="Arial"/>
        </w:rPr>
        <w:t xml:space="preserve">Manufacturers providing tailored disclosure in advance about the likely significant capital expenditure required during the term of the agreement.  </w:t>
      </w:r>
    </w:p>
    <w:p w14:paraId="41674EAB" w14:textId="2A4E390F" w:rsidR="005179C4" w:rsidRPr="0040566B" w:rsidRDefault="005179C4" w:rsidP="006647E7">
      <w:pPr>
        <w:numPr>
          <w:ilvl w:val="1"/>
          <w:numId w:val="6"/>
        </w:numPr>
        <w:spacing w:before="240" w:line="360" w:lineRule="auto"/>
        <w:contextualSpacing/>
        <w:jc w:val="both"/>
        <w:rPr>
          <w:rFonts w:ascii="Arial" w:hAnsi="Arial" w:cs="Arial"/>
        </w:rPr>
      </w:pPr>
      <w:r w:rsidRPr="0040566B">
        <w:rPr>
          <w:rFonts w:ascii="Arial" w:hAnsi="Arial" w:cs="Arial"/>
        </w:rPr>
        <w:t xml:space="preserve">Manufacturers would be obliged to disclose all available information necessary for the dealer to make an informed decision.  </w:t>
      </w:r>
    </w:p>
    <w:p w14:paraId="3341CFA9" w14:textId="421F1304" w:rsidR="005179C4" w:rsidRPr="0040566B" w:rsidRDefault="005179C4" w:rsidP="006647E7">
      <w:pPr>
        <w:numPr>
          <w:ilvl w:val="1"/>
          <w:numId w:val="6"/>
        </w:numPr>
        <w:spacing w:before="240" w:line="360" w:lineRule="auto"/>
        <w:contextualSpacing/>
        <w:jc w:val="both"/>
        <w:rPr>
          <w:rFonts w:ascii="Arial" w:hAnsi="Arial" w:cs="Arial"/>
        </w:rPr>
      </w:pPr>
      <w:r w:rsidRPr="0040566B">
        <w:rPr>
          <w:rFonts w:ascii="Arial" w:hAnsi="Arial" w:cs="Arial"/>
        </w:rPr>
        <w:t>This disclosure could include indicative per square met</w:t>
      </w:r>
      <w:r w:rsidR="007D26BD">
        <w:rPr>
          <w:rFonts w:ascii="Arial" w:hAnsi="Arial" w:cs="Arial"/>
        </w:rPr>
        <w:t>re</w:t>
      </w:r>
      <w:r w:rsidRPr="0040566B">
        <w:rPr>
          <w:rFonts w:ascii="Arial" w:hAnsi="Arial" w:cs="Arial"/>
        </w:rPr>
        <w:t xml:space="preserve"> costs for materials and a general overview of the type of upgrades required. </w:t>
      </w:r>
    </w:p>
    <w:p w14:paraId="7EC8628E" w14:textId="583A7F9C" w:rsidR="005179C4" w:rsidRPr="0040566B" w:rsidRDefault="005179C4" w:rsidP="006647E7">
      <w:pPr>
        <w:numPr>
          <w:ilvl w:val="1"/>
          <w:numId w:val="6"/>
        </w:numPr>
        <w:spacing w:before="240" w:line="360" w:lineRule="auto"/>
        <w:contextualSpacing/>
        <w:jc w:val="both"/>
        <w:rPr>
          <w:rFonts w:ascii="Arial" w:hAnsi="Arial" w:cs="Arial"/>
        </w:rPr>
      </w:pPr>
      <w:r w:rsidRPr="0040566B">
        <w:rPr>
          <w:rFonts w:ascii="Arial" w:hAnsi="Arial" w:cs="Arial"/>
        </w:rPr>
        <w:t xml:space="preserve">The manufacturer and dealers discussing capital expenditure in detail, including how the costs of investment may be recouped during the agreement on offer. </w:t>
      </w:r>
    </w:p>
    <w:p w14:paraId="237F3AAC" w14:textId="2C466379" w:rsidR="005179C4" w:rsidRDefault="005179C4" w:rsidP="006647E7">
      <w:pPr>
        <w:numPr>
          <w:ilvl w:val="1"/>
          <w:numId w:val="6"/>
        </w:numPr>
        <w:spacing w:before="240" w:line="360" w:lineRule="auto"/>
        <w:contextualSpacing/>
        <w:jc w:val="both"/>
        <w:rPr>
          <w:rFonts w:ascii="Arial" w:hAnsi="Arial" w:cs="Arial"/>
        </w:rPr>
      </w:pPr>
      <w:r w:rsidRPr="0040566B">
        <w:rPr>
          <w:rFonts w:ascii="Arial" w:hAnsi="Arial" w:cs="Arial"/>
        </w:rPr>
        <w:t xml:space="preserve">Limiting the ability of manufacturers to direct dealers to undertake significant capital expenditure that was not disclosed. </w:t>
      </w:r>
    </w:p>
    <w:p w14:paraId="7F65B8CE" w14:textId="0E32498F" w:rsidR="00920007" w:rsidRPr="0040566B" w:rsidRDefault="00571AA6" w:rsidP="00920007">
      <w:pPr>
        <w:numPr>
          <w:ilvl w:val="0"/>
          <w:numId w:val="6"/>
        </w:numPr>
        <w:spacing w:before="240" w:line="360" w:lineRule="auto"/>
        <w:contextualSpacing/>
        <w:jc w:val="both"/>
        <w:rPr>
          <w:rFonts w:ascii="Arial" w:hAnsi="Arial" w:cs="Arial"/>
        </w:rPr>
      </w:pPr>
      <w:r>
        <w:rPr>
          <w:rFonts w:ascii="Arial" w:hAnsi="Arial" w:cs="Arial"/>
        </w:rPr>
        <w:t>Explicitly allow for franchisees to request multi-franchisee mediation to dispute similar issues with a franchisor.</w:t>
      </w:r>
    </w:p>
    <w:p w14:paraId="29D32446" w14:textId="77777777" w:rsidR="005179C4" w:rsidRPr="00AB6A68" w:rsidRDefault="005179C4" w:rsidP="0040566B">
      <w:pPr>
        <w:spacing w:before="120" w:line="360" w:lineRule="auto"/>
        <w:rPr>
          <w:rFonts w:ascii="Arial" w:hAnsi="Arial" w:cs="Arial"/>
        </w:rPr>
      </w:pPr>
    </w:p>
    <w:p w14:paraId="3F1D0B7C" w14:textId="77777777" w:rsidR="00686ED4" w:rsidRDefault="00686ED4" w:rsidP="00686ED4">
      <w:pPr>
        <w:rPr>
          <w:rFonts w:ascii="Arial" w:hAnsi="Arial" w:cs="Arial"/>
          <w:b/>
          <w:bCs/>
        </w:rPr>
      </w:pPr>
    </w:p>
    <w:p w14:paraId="3F1D0B7D" w14:textId="77777777" w:rsidR="003107BF" w:rsidRPr="00FE51B8" w:rsidRDefault="00FE51B8" w:rsidP="11FF59B9">
      <w:pPr>
        <w:spacing w:before="240" w:line="360" w:lineRule="auto"/>
        <w:jc w:val="both"/>
        <w:rPr>
          <w:rFonts w:ascii="Arial" w:hAnsi="Arial" w:cs="Arial"/>
        </w:rPr>
      </w:pPr>
      <w:r w:rsidRPr="11FF59B9">
        <w:rPr>
          <w:color w:val="005677"/>
        </w:rPr>
        <w:br w:type="page"/>
      </w:r>
    </w:p>
    <w:p w14:paraId="2B316611" w14:textId="77777777" w:rsidR="00920007" w:rsidRDefault="00920007" w:rsidP="00920007">
      <w:pPr>
        <w:pStyle w:val="Heading1"/>
        <w:numPr>
          <w:ilvl w:val="0"/>
          <w:numId w:val="1"/>
        </w:numPr>
        <w:rPr>
          <w:color w:val="005677"/>
        </w:rPr>
      </w:pPr>
      <w:bookmarkStart w:id="91" w:name="_Toc20489948"/>
      <w:bookmarkStart w:id="92" w:name="_Toc529891251"/>
      <w:bookmarkStart w:id="93" w:name="_Toc529891269"/>
      <w:bookmarkStart w:id="94" w:name="_Toc530493135"/>
      <w:bookmarkStart w:id="95" w:name="_Toc530493190"/>
      <w:bookmarkStart w:id="96" w:name="_Toc530563056"/>
      <w:r w:rsidRPr="11FF59B9">
        <w:rPr>
          <w:color w:val="005677"/>
        </w:rPr>
        <w:lastRenderedPageBreak/>
        <w:t>Implementation</w:t>
      </w:r>
      <w:bookmarkEnd w:id="91"/>
    </w:p>
    <w:p w14:paraId="2125725F" w14:textId="5FA745AE" w:rsidR="00920007" w:rsidRDefault="00920007" w:rsidP="00920007">
      <w:pPr>
        <w:spacing w:before="240" w:line="360" w:lineRule="auto"/>
        <w:jc w:val="both"/>
        <w:rPr>
          <w:rFonts w:ascii="Arial" w:hAnsi="Arial" w:cs="Arial"/>
        </w:rPr>
      </w:pPr>
      <w:r>
        <w:rPr>
          <w:rFonts w:ascii="Arial" w:hAnsi="Arial" w:cs="Arial"/>
        </w:rPr>
        <w:t xml:space="preserve">If agreed to, the reforms would be implemented by amending the Franchising Code to incorporate additional obligations which only apply to dealership agreements. </w:t>
      </w:r>
      <w:r w:rsidR="00C1285E">
        <w:rPr>
          <w:rFonts w:ascii="Arial" w:hAnsi="Arial" w:cs="Arial"/>
        </w:rPr>
        <w:t>This is in line with the findings of the PJC report</w:t>
      </w:r>
      <w:r w:rsidR="000B283B">
        <w:rPr>
          <w:rFonts w:ascii="Arial" w:hAnsi="Arial" w:cs="Arial"/>
        </w:rPr>
        <w:t xml:space="preserve"> and will provide for timely implementation and alignment with</w:t>
      </w:r>
      <w:r w:rsidR="009A4A93">
        <w:rPr>
          <w:rFonts w:ascii="Arial" w:hAnsi="Arial" w:cs="Arial"/>
        </w:rPr>
        <w:t xml:space="preserve"> the</w:t>
      </w:r>
      <w:r w:rsidR="000B283B">
        <w:rPr>
          <w:rFonts w:ascii="Arial" w:hAnsi="Arial" w:cs="Arial"/>
        </w:rPr>
        <w:t xml:space="preserve"> Franchising Code overtime</w:t>
      </w:r>
      <w:r w:rsidR="00C1285E">
        <w:rPr>
          <w:rFonts w:ascii="Arial" w:hAnsi="Arial" w:cs="Arial"/>
        </w:rPr>
        <w:t>.</w:t>
      </w:r>
    </w:p>
    <w:p w14:paraId="34A1605B" w14:textId="5EB37195" w:rsidR="00920007" w:rsidRDefault="006E73BB" w:rsidP="00920007">
      <w:pPr>
        <w:spacing w:before="240" w:line="360" w:lineRule="auto"/>
        <w:jc w:val="both"/>
        <w:rPr>
          <w:rFonts w:ascii="Arial" w:hAnsi="Arial" w:cs="Arial"/>
        </w:rPr>
      </w:pPr>
      <w:r>
        <w:rPr>
          <w:rFonts w:ascii="Arial" w:hAnsi="Arial" w:cs="Arial"/>
        </w:rPr>
        <w:t>DISER</w:t>
      </w:r>
      <w:r w:rsidR="00920007">
        <w:rPr>
          <w:rFonts w:ascii="Arial" w:hAnsi="Arial" w:cs="Arial"/>
        </w:rPr>
        <w:t xml:space="preserve"> notes that the PJC Report made several recommendations for the broader franchising sector as well as specifically for the automotive sector. Some of these recommendations address concerns raised by new car dealers but may not address the full range of concerns. For example, to address concerns regarding end of term arrangements, the RIS and the PJC Report recommend extending the notice period for non-renewal to 12 months’ however the RIS also recommends requiring reasons for non-renewal, in the case of a dealer receiving the notice, to allow a better assessment of their options. Therefore, </w:t>
      </w:r>
      <w:r>
        <w:rPr>
          <w:rFonts w:ascii="Arial" w:hAnsi="Arial" w:cs="Arial"/>
        </w:rPr>
        <w:t>DISER</w:t>
      </w:r>
      <w:r w:rsidR="00920007">
        <w:rPr>
          <w:rFonts w:ascii="Arial" w:hAnsi="Arial" w:cs="Arial"/>
        </w:rPr>
        <w:t xml:space="preserve"> has sought to build upon the recommendations in the PJC Report to further address concerns’ raised by dealers.</w:t>
      </w:r>
    </w:p>
    <w:p w14:paraId="2DFA6597" w14:textId="55E95764" w:rsidR="00920007" w:rsidRDefault="006E73BB" w:rsidP="00920007">
      <w:pPr>
        <w:spacing w:before="240" w:line="360" w:lineRule="auto"/>
        <w:jc w:val="both"/>
        <w:rPr>
          <w:rFonts w:ascii="Arial" w:hAnsi="Arial" w:cs="Arial"/>
        </w:rPr>
      </w:pPr>
      <w:r>
        <w:rPr>
          <w:rFonts w:ascii="Arial" w:hAnsi="Arial" w:cs="Arial"/>
        </w:rPr>
        <w:t>DISER</w:t>
      </w:r>
      <w:r w:rsidR="00920007">
        <w:rPr>
          <w:rFonts w:ascii="Arial" w:hAnsi="Arial" w:cs="Arial"/>
        </w:rPr>
        <w:t xml:space="preserve"> recommends implementing these reforms through amending the Franchising Code to incorporate additional obligations which only apply to dealership agreements. This will allow for tailoring specific clauses for the automotive industry while allowing those that are compatible to standard franchise arrangements to remain consistent.</w:t>
      </w:r>
      <w:r w:rsidR="00FA6D37">
        <w:rPr>
          <w:rFonts w:ascii="Arial" w:hAnsi="Arial" w:cs="Arial"/>
        </w:rPr>
        <w:t xml:space="preserve"> This approach would have no practical difference </w:t>
      </w:r>
      <w:r w:rsidR="001A1D99">
        <w:rPr>
          <w:rFonts w:ascii="Arial" w:hAnsi="Arial" w:cs="Arial"/>
        </w:rPr>
        <w:t xml:space="preserve">to implementing the </w:t>
      </w:r>
      <w:r w:rsidR="00D00E87">
        <w:rPr>
          <w:rFonts w:ascii="Arial" w:hAnsi="Arial" w:cs="Arial"/>
        </w:rPr>
        <w:t>RIS</w:t>
      </w:r>
      <w:r w:rsidR="001A1D99">
        <w:rPr>
          <w:rFonts w:ascii="Arial" w:hAnsi="Arial" w:cs="Arial"/>
        </w:rPr>
        <w:t xml:space="preserve"> options through a </w:t>
      </w:r>
      <w:r w:rsidR="00497EEB">
        <w:rPr>
          <w:rFonts w:ascii="Arial" w:hAnsi="Arial" w:cs="Arial"/>
        </w:rPr>
        <w:t>separate Automotive C</w:t>
      </w:r>
      <w:r w:rsidR="001A1D99">
        <w:rPr>
          <w:rFonts w:ascii="Arial" w:hAnsi="Arial" w:cs="Arial"/>
        </w:rPr>
        <w:t xml:space="preserve">ode. </w:t>
      </w:r>
      <w:r w:rsidR="00920007">
        <w:rPr>
          <w:rFonts w:ascii="Arial" w:hAnsi="Arial" w:cs="Arial"/>
        </w:rPr>
        <w:t xml:space="preserve"> </w:t>
      </w:r>
    </w:p>
    <w:p w14:paraId="66B23145" w14:textId="53BA51AD" w:rsidR="00822602" w:rsidRDefault="00920007">
      <w:pPr>
        <w:spacing w:before="240" w:line="360" w:lineRule="auto"/>
        <w:jc w:val="both"/>
        <w:rPr>
          <w:rFonts w:ascii="Arial" w:hAnsi="Arial" w:cs="Arial"/>
        </w:rPr>
      </w:pPr>
      <w:r>
        <w:rPr>
          <w:rFonts w:ascii="Arial" w:hAnsi="Arial" w:cs="Arial"/>
        </w:rPr>
        <w:t>Further, i</w:t>
      </w:r>
      <w:r w:rsidRPr="00273A31">
        <w:rPr>
          <w:rFonts w:ascii="Arial" w:hAnsi="Arial" w:cs="Arial"/>
        </w:rPr>
        <w:t>mplementing the RIS options as amendments to the Franchising Code would provide for future consistency with the Franchising Code. For example, following the outcome of the Wein Review,</w:t>
      </w:r>
      <w:r w:rsidRPr="00273A31">
        <w:rPr>
          <w:rFonts w:ascii="Arial" w:hAnsi="Arial" w:cs="Arial"/>
          <w:vertAlign w:val="superscript"/>
        </w:rPr>
        <w:footnoteReference w:id="84"/>
      </w:r>
      <w:r w:rsidRPr="00273A31">
        <w:rPr>
          <w:rFonts w:ascii="Arial" w:hAnsi="Arial" w:cs="Arial"/>
        </w:rPr>
        <w:t xml:space="preserve"> the Franchising Code was amended to introduce civil pecuniary penalties for breaching certain provisions of the Franchising Code, such as the then newly introduced good faith provision.</w:t>
      </w:r>
      <w:r w:rsidRPr="00273A31">
        <w:rPr>
          <w:rFonts w:ascii="Arial" w:hAnsi="Arial" w:cs="Arial"/>
          <w:vertAlign w:val="superscript"/>
        </w:rPr>
        <w:footnoteReference w:id="85"/>
      </w:r>
      <w:r w:rsidRPr="00273A31">
        <w:rPr>
          <w:rFonts w:ascii="Arial" w:hAnsi="Arial" w:cs="Arial"/>
        </w:rPr>
        <w:t xml:space="preserve"> However these reforms were not implemented in the Oil Code, creating inconsistency between the two Codes. </w:t>
      </w:r>
      <w:r w:rsidR="0042510B">
        <w:rPr>
          <w:rFonts w:ascii="Arial" w:hAnsi="Arial" w:cs="Arial"/>
        </w:rPr>
        <w:t xml:space="preserve">This would also be a significant risk for </w:t>
      </w:r>
      <w:r w:rsidR="00D00E87">
        <w:rPr>
          <w:rFonts w:ascii="Arial" w:hAnsi="Arial" w:cs="Arial"/>
        </w:rPr>
        <w:t>new car dealers if the RIS</w:t>
      </w:r>
      <w:r w:rsidR="0042510B">
        <w:rPr>
          <w:rFonts w:ascii="Arial" w:hAnsi="Arial" w:cs="Arial"/>
        </w:rPr>
        <w:t xml:space="preserve"> options were implemented </w:t>
      </w:r>
      <w:r w:rsidR="00497EEB">
        <w:rPr>
          <w:rFonts w:ascii="Arial" w:hAnsi="Arial" w:cs="Arial"/>
        </w:rPr>
        <w:t>through a separate Automotive Code.</w:t>
      </w:r>
    </w:p>
    <w:p w14:paraId="05DD53D2" w14:textId="23FCB2DA" w:rsidR="00CA6A19" w:rsidRDefault="00CA6A19" w:rsidP="00920007">
      <w:pPr>
        <w:spacing w:before="240" w:line="360" w:lineRule="auto"/>
        <w:jc w:val="both"/>
        <w:rPr>
          <w:rFonts w:ascii="Arial" w:hAnsi="Arial" w:cs="Arial"/>
        </w:rPr>
      </w:pPr>
      <w:r>
        <w:rPr>
          <w:rFonts w:ascii="Arial" w:hAnsi="Arial" w:cs="Arial"/>
        </w:rPr>
        <w:t xml:space="preserve">In addition, implementing the RIS options through amendments to the Franchising Code will be timelier than implementing the RIS options through a separate Automotive Code. Implementation through a separate Automotive Code will trigger a review of the broader provisions of the Franchising Code that would be brought over </w:t>
      </w:r>
      <w:r w:rsidR="000265B6">
        <w:rPr>
          <w:rFonts w:ascii="Arial" w:hAnsi="Arial" w:cs="Arial"/>
        </w:rPr>
        <w:t>into the Automotive Code</w:t>
      </w:r>
      <w:r>
        <w:rPr>
          <w:rFonts w:ascii="Arial" w:hAnsi="Arial" w:cs="Arial"/>
        </w:rPr>
        <w:t>.</w:t>
      </w:r>
    </w:p>
    <w:p w14:paraId="2CCB13B1" w14:textId="3AB75586" w:rsidR="00920007" w:rsidRDefault="009B2250" w:rsidP="00920007">
      <w:pPr>
        <w:spacing w:before="240" w:line="360" w:lineRule="auto"/>
        <w:jc w:val="both"/>
        <w:rPr>
          <w:rFonts w:ascii="Arial" w:hAnsi="Arial" w:cs="Arial"/>
        </w:rPr>
      </w:pPr>
      <w:r>
        <w:rPr>
          <w:rFonts w:ascii="Arial" w:hAnsi="Arial" w:cs="Arial"/>
        </w:rPr>
        <w:lastRenderedPageBreak/>
        <w:t>Whereas, t</w:t>
      </w:r>
      <w:r w:rsidR="00920007">
        <w:rPr>
          <w:rFonts w:ascii="Arial" w:hAnsi="Arial" w:cs="Arial"/>
        </w:rPr>
        <w:t xml:space="preserve">he implementation of the reforms proposed in this RIS </w:t>
      </w:r>
      <w:r>
        <w:rPr>
          <w:rFonts w:ascii="Arial" w:hAnsi="Arial" w:cs="Arial"/>
        </w:rPr>
        <w:t>through amending the Franchising Code</w:t>
      </w:r>
      <w:r w:rsidR="00920007">
        <w:rPr>
          <w:rFonts w:ascii="Arial" w:hAnsi="Arial" w:cs="Arial"/>
        </w:rPr>
        <w:t xml:space="preserve"> will be implemented ahead of the Franchising Taskforce’s work in considering the broader recommendations in the PJC Report</w:t>
      </w:r>
      <w:r w:rsidR="00D949A4">
        <w:rPr>
          <w:rFonts w:ascii="Arial" w:hAnsi="Arial" w:cs="Arial"/>
        </w:rPr>
        <w:t xml:space="preserve"> (including for the new car retailing sector)</w:t>
      </w:r>
      <w:r w:rsidR="00920007">
        <w:rPr>
          <w:rFonts w:ascii="Arial" w:hAnsi="Arial" w:cs="Arial"/>
        </w:rPr>
        <w:t xml:space="preserve">. Further, </w:t>
      </w:r>
      <w:r w:rsidR="006E73BB">
        <w:rPr>
          <w:rFonts w:ascii="Arial" w:hAnsi="Arial" w:cs="Arial"/>
        </w:rPr>
        <w:t>DISER</w:t>
      </w:r>
      <w:r w:rsidR="00920007">
        <w:rPr>
          <w:rFonts w:ascii="Arial" w:hAnsi="Arial" w:cs="Arial"/>
        </w:rPr>
        <w:t xml:space="preserve"> is working closely with the Franchising Taskforce to ensure alignment of our work.</w:t>
      </w:r>
    </w:p>
    <w:p w14:paraId="40A7D7D2" w14:textId="0BB8A81E" w:rsidR="00766327" w:rsidRDefault="00766327" w:rsidP="00920007">
      <w:pPr>
        <w:spacing w:before="240" w:line="360" w:lineRule="auto"/>
        <w:jc w:val="both"/>
        <w:rPr>
          <w:rFonts w:ascii="Arial" w:hAnsi="Arial" w:cs="Arial"/>
        </w:rPr>
      </w:pPr>
      <w:r w:rsidRPr="00AA2E9F">
        <w:rPr>
          <w:rFonts w:ascii="Arial" w:hAnsi="Arial" w:cs="Arial"/>
        </w:rPr>
        <w:t xml:space="preserve">The </w:t>
      </w:r>
      <w:r>
        <w:rPr>
          <w:rFonts w:ascii="Arial" w:hAnsi="Arial" w:cs="Arial"/>
        </w:rPr>
        <w:t>changes</w:t>
      </w:r>
      <w:r w:rsidRPr="00AA2E9F">
        <w:rPr>
          <w:rFonts w:ascii="Arial" w:hAnsi="Arial" w:cs="Arial"/>
        </w:rPr>
        <w:t xml:space="preserve"> would apply t</w:t>
      </w:r>
      <w:r>
        <w:rPr>
          <w:rFonts w:ascii="Arial" w:hAnsi="Arial" w:cs="Arial"/>
        </w:rPr>
        <w:t>o new dealer agreements entered after a specified period of time</w:t>
      </w:r>
      <w:r w:rsidRPr="00AA2E9F">
        <w:rPr>
          <w:rFonts w:ascii="Arial" w:hAnsi="Arial" w:cs="Arial"/>
        </w:rPr>
        <w:t xml:space="preserve"> after </w:t>
      </w:r>
      <w:r>
        <w:rPr>
          <w:rFonts w:ascii="Arial" w:hAnsi="Arial" w:cs="Arial"/>
        </w:rPr>
        <w:t>the Regulation is made</w:t>
      </w:r>
      <w:r w:rsidRPr="00AA2E9F">
        <w:rPr>
          <w:rFonts w:ascii="Arial" w:hAnsi="Arial" w:cs="Arial"/>
        </w:rPr>
        <w:t xml:space="preserve">. Existing agreements would continue to be subject to the Franchising Code until they are </w:t>
      </w:r>
      <w:r>
        <w:rPr>
          <w:rFonts w:ascii="Arial" w:hAnsi="Arial" w:cs="Arial"/>
        </w:rPr>
        <w:t>extended</w:t>
      </w:r>
      <w:r w:rsidRPr="00AA2E9F">
        <w:rPr>
          <w:rFonts w:ascii="Arial" w:hAnsi="Arial" w:cs="Arial"/>
        </w:rPr>
        <w:t>.</w:t>
      </w:r>
      <w:r w:rsidRPr="0044482E">
        <w:rPr>
          <w:rFonts w:ascii="Arial" w:hAnsi="Arial" w:cs="Arial"/>
        </w:rPr>
        <w:t xml:space="preserve"> </w:t>
      </w:r>
    </w:p>
    <w:p w14:paraId="3F1D0B7E" w14:textId="77777777" w:rsidR="003A6B79" w:rsidRPr="003A6B79" w:rsidRDefault="11FF59B9" w:rsidP="006647E7">
      <w:pPr>
        <w:pStyle w:val="Heading1"/>
        <w:numPr>
          <w:ilvl w:val="0"/>
          <w:numId w:val="1"/>
        </w:numPr>
        <w:rPr>
          <w:color w:val="005677"/>
        </w:rPr>
      </w:pPr>
      <w:bookmarkStart w:id="97" w:name="_Toc20489949"/>
      <w:r w:rsidRPr="11FF59B9">
        <w:rPr>
          <w:color w:val="005677"/>
        </w:rPr>
        <w:t>Consultation</w:t>
      </w:r>
      <w:bookmarkEnd w:id="92"/>
      <w:bookmarkEnd w:id="93"/>
      <w:bookmarkEnd w:id="94"/>
      <w:bookmarkEnd w:id="95"/>
      <w:bookmarkEnd w:id="96"/>
      <w:bookmarkEnd w:id="97"/>
    </w:p>
    <w:p w14:paraId="3F1D0B7F" w14:textId="15A1629B" w:rsidR="003107BF" w:rsidRDefault="006E73BB" w:rsidP="11FF59B9">
      <w:pPr>
        <w:spacing w:before="240" w:line="360" w:lineRule="auto"/>
        <w:jc w:val="both"/>
        <w:rPr>
          <w:rFonts w:ascii="Arial" w:hAnsi="Arial" w:cs="Arial"/>
        </w:rPr>
      </w:pPr>
      <w:r>
        <w:rPr>
          <w:rFonts w:ascii="Arial" w:hAnsi="Arial" w:cs="Arial"/>
        </w:rPr>
        <w:t>DISER</w:t>
      </w:r>
      <w:r w:rsidR="001825FA">
        <w:rPr>
          <w:rFonts w:ascii="Arial" w:hAnsi="Arial" w:cs="Arial"/>
        </w:rPr>
        <w:t xml:space="preserve"> </w:t>
      </w:r>
      <w:r w:rsidR="11FF59B9" w:rsidRPr="11FF59B9">
        <w:rPr>
          <w:rFonts w:ascii="Arial" w:hAnsi="Arial" w:cs="Arial"/>
        </w:rPr>
        <w:t>undert</w:t>
      </w:r>
      <w:r w:rsidR="00897F8B">
        <w:rPr>
          <w:rFonts w:ascii="Arial" w:hAnsi="Arial" w:cs="Arial"/>
        </w:rPr>
        <w:t>oo</w:t>
      </w:r>
      <w:r w:rsidR="11FF59B9" w:rsidRPr="11FF59B9">
        <w:rPr>
          <w:rFonts w:ascii="Arial" w:hAnsi="Arial" w:cs="Arial"/>
        </w:rPr>
        <w:t xml:space="preserve">k public consultation </w:t>
      </w:r>
      <w:r w:rsidR="005E46D6">
        <w:rPr>
          <w:rFonts w:ascii="Arial" w:hAnsi="Arial" w:cs="Arial"/>
        </w:rPr>
        <w:t>on a draft RIS, the feedback of which has informed this updated RIS</w:t>
      </w:r>
      <w:r w:rsidR="11FF59B9" w:rsidRPr="11FF59B9">
        <w:rPr>
          <w:rFonts w:ascii="Arial" w:hAnsi="Arial" w:cs="Arial"/>
        </w:rPr>
        <w:t xml:space="preserve">. </w:t>
      </w:r>
      <w:r>
        <w:rPr>
          <w:rFonts w:ascii="Arial" w:hAnsi="Arial" w:cs="Arial"/>
        </w:rPr>
        <w:t>DISER</w:t>
      </w:r>
      <w:r w:rsidR="005E46D6">
        <w:rPr>
          <w:rFonts w:ascii="Arial" w:hAnsi="Arial" w:cs="Arial"/>
        </w:rPr>
        <w:t xml:space="preserve"> met one</w:t>
      </w:r>
      <w:r w:rsidR="00B07BD4">
        <w:rPr>
          <w:rFonts w:ascii="Arial" w:hAnsi="Arial" w:cs="Arial"/>
        </w:rPr>
        <w:t>-</w:t>
      </w:r>
      <w:r w:rsidR="005E46D6">
        <w:rPr>
          <w:rFonts w:ascii="Arial" w:hAnsi="Arial" w:cs="Arial"/>
        </w:rPr>
        <w:t>on</w:t>
      </w:r>
      <w:r w:rsidR="00B07BD4">
        <w:rPr>
          <w:rFonts w:ascii="Arial" w:hAnsi="Arial" w:cs="Arial"/>
        </w:rPr>
        <w:t>-</w:t>
      </w:r>
      <w:r w:rsidR="005E46D6">
        <w:rPr>
          <w:rFonts w:ascii="Arial" w:hAnsi="Arial" w:cs="Arial"/>
        </w:rPr>
        <w:t xml:space="preserve">one with </w:t>
      </w:r>
      <w:r w:rsidR="0082712F">
        <w:rPr>
          <w:rFonts w:ascii="Arial" w:hAnsi="Arial" w:cs="Arial"/>
        </w:rPr>
        <w:t>21</w:t>
      </w:r>
      <w:r w:rsidR="005E46D6">
        <w:rPr>
          <w:rFonts w:ascii="Arial" w:hAnsi="Arial" w:cs="Arial"/>
        </w:rPr>
        <w:t xml:space="preserve"> stakeholders and received </w:t>
      </w:r>
      <w:r w:rsidR="00E01CA7">
        <w:rPr>
          <w:rFonts w:ascii="Arial" w:hAnsi="Arial" w:cs="Arial"/>
        </w:rPr>
        <w:t>15</w:t>
      </w:r>
      <w:r w:rsidR="004747BF">
        <w:rPr>
          <w:rFonts w:ascii="Arial" w:hAnsi="Arial" w:cs="Arial"/>
        </w:rPr>
        <w:t> </w:t>
      </w:r>
      <w:r w:rsidR="005E46D6">
        <w:rPr>
          <w:rFonts w:ascii="Arial" w:hAnsi="Arial" w:cs="Arial"/>
        </w:rPr>
        <w:t>submissions. Meetings were held with a wide range of stakeholders, including industry associations, small rural dealerships, larger dealers and car manufacturers.</w:t>
      </w:r>
      <w:r w:rsidR="005970F1">
        <w:rPr>
          <w:rFonts w:ascii="Arial" w:hAnsi="Arial" w:cs="Arial"/>
        </w:rPr>
        <w:t xml:space="preserve"> An industry roundtable was also held on </w:t>
      </w:r>
      <w:r w:rsidR="0082712F">
        <w:rPr>
          <w:rFonts w:ascii="Arial" w:hAnsi="Arial" w:cs="Arial"/>
        </w:rPr>
        <w:t>8</w:t>
      </w:r>
      <w:r w:rsidR="005970F1">
        <w:rPr>
          <w:rFonts w:ascii="Arial" w:hAnsi="Arial" w:cs="Arial"/>
        </w:rPr>
        <w:t xml:space="preserve"> February 2019.</w:t>
      </w:r>
    </w:p>
    <w:p w14:paraId="1DADD93A" w14:textId="357CCBD6" w:rsidR="001B0EB1" w:rsidRDefault="001B0EB1" w:rsidP="001B0EB1">
      <w:pPr>
        <w:spacing w:before="240" w:line="360" w:lineRule="auto"/>
        <w:jc w:val="both"/>
        <w:rPr>
          <w:rFonts w:ascii="Arial" w:hAnsi="Arial" w:cs="Arial"/>
        </w:rPr>
      </w:pPr>
      <w:r>
        <w:rPr>
          <w:rFonts w:ascii="Arial" w:hAnsi="Arial" w:cs="Arial"/>
        </w:rPr>
        <w:t>Generally, stakeholders w</w:t>
      </w:r>
      <w:r w:rsidR="004747BF">
        <w:rPr>
          <w:rFonts w:ascii="Arial" w:hAnsi="Arial" w:cs="Arial"/>
        </w:rPr>
        <w:t>ere</w:t>
      </w:r>
      <w:r>
        <w:rPr>
          <w:rFonts w:ascii="Arial" w:hAnsi="Arial" w:cs="Arial"/>
        </w:rPr>
        <w:t xml:space="preserve"> </w:t>
      </w:r>
      <w:r w:rsidR="004747BF">
        <w:rPr>
          <w:rFonts w:ascii="Arial" w:hAnsi="Arial" w:cs="Arial"/>
        </w:rPr>
        <w:t xml:space="preserve">in </w:t>
      </w:r>
      <w:r>
        <w:rPr>
          <w:rFonts w:ascii="Arial" w:hAnsi="Arial" w:cs="Arial"/>
        </w:rPr>
        <w:t>favour of the proposed amendments. However, stakeholder feedback indicated:</w:t>
      </w:r>
    </w:p>
    <w:p w14:paraId="59A78390" w14:textId="77777777" w:rsidR="004825E7" w:rsidRDefault="001B0EB1" w:rsidP="004825E7">
      <w:pPr>
        <w:pStyle w:val="ListParagraph"/>
        <w:numPr>
          <w:ilvl w:val="0"/>
          <w:numId w:val="35"/>
        </w:numPr>
        <w:spacing w:before="240" w:line="360" w:lineRule="auto"/>
        <w:jc w:val="both"/>
        <w:rPr>
          <w:rFonts w:ascii="Arial" w:hAnsi="Arial" w:cs="Arial"/>
        </w:rPr>
      </w:pPr>
      <w:r>
        <w:rPr>
          <w:rFonts w:ascii="Arial" w:hAnsi="Arial" w:cs="Arial"/>
        </w:rPr>
        <w:t>it would be beneficial to manufacturers to also receive notice</w:t>
      </w:r>
      <w:r w:rsidR="00510B98">
        <w:rPr>
          <w:rFonts w:ascii="Arial" w:hAnsi="Arial" w:cs="Arial"/>
        </w:rPr>
        <w:t xml:space="preserve"> of </w:t>
      </w:r>
      <w:r>
        <w:rPr>
          <w:rFonts w:ascii="Arial" w:hAnsi="Arial" w:cs="Arial"/>
        </w:rPr>
        <w:t>non-renewal so as to facilitate management of its dealer network and ensure that consumers have access t</w:t>
      </w:r>
      <w:r w:rsidR="00647703">
        <w:rPr>
          <w:rFonts w:ascii="Arial" w:hAnsi="Arial" w:cs="Arial"/>
        </w:rPr>
        <w:t>o service and repair facilities;</w:t>
      </w:r>
    </w:p>
    <w:p w14:paraId="63CD781E" w14:textId="0A6F19FC" w:rsidR="004825E7" w:rsidRPr="004825E7" w:rsidRDefault="000B055C" w:rsidP="004825E7">
      <w:pPr>
        <w:pStyle w:val="ListParagraph"/>
        <w:numPr>
          <w:ilvl w:val="0"/>
          <w:numId w:val="35"/>
        </w:numPr>
        <w:spacing w:before="240" w:line="360" w:lineRule="auto"/>
        <w:jc w:val="both"/>
        <w:rPr>
          <w:rFonts w:ascii="Arial" w:hAnsi="Arial" w:cs="Arial"/>
        </w:rPr>
      </w:pPr>
      <w:r w:rsidRPr="004825E7">
        <w:rPr>
          <w:rFonts w:ascii="Arial" w:hAnsi="Arial" w:cs="Arial"/>
        </w:rPr>
        <w:t xml:space="preserve">some dealers are subject to targets set by the manufacturer, which involve levels of stock which must be held by a dealer and generally, but not always, manufacturers would work with </w:t>
      </w:r>
      <w:r w:rsidR="00F95C0D" w:rsidRPr="004825E7">
        <w:rPr>
          <w:rFonts w:ascii="Arial" w:hAnsi="Arial" w:cs="Arial"/>
        </w:rPr>
        <w:t>dealers to manage down stock at the end of an agreement; and</w:t>
      </w:r>
    </w:p>
    <w:p w14:paraId="41DD4774" w14:textId="5C8613F4" w:rsidR="004825E7" w:rsidRPr="004825E7" w:rsidRDefault="00C87350" w:rsidP="00527017">
      <w:pPr>
        <w:pStyle w:val="ListParagraph"/>
        <w:numPr>
          <w:ilvl w:val="0"/>
          <w:numId w:val="35"/>
        </w:numPr>
        <w:spacing w:before="240" w:line="360" w:lineRule="auto"/>
        <w:jc w:val="both"/>
        <w:rPr>
          <w:rFonts w:ascii="Arial" w:hAnsi="Arial" w:cs="Arial"/>
        </w:rPr>
      </w:pPr>
      <w:r w:rsidRPr="004825E7">
        <w:rPr>
          <w:rFonts w:ascii="Arial" w:hAnsi="Arial" w:cs="Arial"/>
        </w:rPr>
        <w:t xml:space="preserve">interest in linking the amount of capital expenditure required in a dealership agreement to </w:t>
      </w:r>
      <w:r w:rsidR="007130B6" w:rsidRPr="004825E7">
        <w:rPr>
          <w:rFonts w:ascii="Arial" w:hAnsi="Arial" w:cs="Arial"/>
        </w:rPr>
        <w:t xml:space="preserve">the </w:t>
      </w:r>
      <w:r w:rsidRPr="004825E7">
        <w:rPr>
          <w:rFonts w:ascii="Arial" w:hAnsi="Arial" w:cs="Arial"/>
        </w:rPr>
        <w:t>tenure allocated in the dealership agreement.</w:t>
      </w:r>
    </w:p>
    <w:p w14:paraId="57260362" w14:textId="0EA656F7" w:rsidR="001D3FD7" w:rsidRDefault="001D3FD7" w:rsidP="11FF59B9">
      <w:pPr>
        <w:spacing w:before="240" w:line="360" w:lineRule="auto"/>
        <w:jc w:val="both"/>
        <w:rPr>
          <w:rFonts w:ascii="Arial" w:hAnsi="Arial" w:cs="Arial"/>
        </w:rPr>
      </w:pPr>
      <w:r>
        <w:rPr>
          <w:rFonts w:ascii="Arial" w:hAnsi="Arial" w:cs="Arial"/>
        </w:rPr>
        <w:t>Based on feedback from consultation</w:t>
      </w:r>
      <w:r w:rsidR="0069286C">
        <w:rPr>
          <w:rFonts w:ascii="Arial" w:hAnsi="Arial" w:cs="Arial"/>
        </w:rPr>
        <w:t xml:space="preserve"> and the recommendation </w:t>
      </w:r>
      <w:r w:rsidR="00395FAD">
        <w:rPr>
          <w:rFonts w:ascii="Arial" w:hAnsi="Arial" w:cs="Arial"/>
        </w:rPr>
        <w:t>made by the PJC report</w:t>
      </w:r>
      <w:r w:rsidR="009A761E">
        <w:rPr>
          <w:rFonts w:ascii="Arial" w:hAnsi="Arial" w:cs="Arial"/>
        </w:rPr>
        <w:t>,</w:t>
      </w:r>
      <w:r>
        <w:rPr>
          <w:rFonts w:ascii="Arial" w:hAnsi="Arial" w:cs="Arial"/>
        </w:rPr>
        <w:t xml:space="preserve"> </w:t>
      </w:r>
      <w:r w:rsidR="006E73BB">
        <w:rPr>
          <w:rFonts w:ascii="Arial" w:hAnsi="Arial" w:cs="Arial"/>
        </w:rPr>
        <w:t>DISER</w:t>
      </w:r>
      <w:r>
        <w:rPr>
          <w:rFonts w:ascii="Arial" w:hAnsi="Arial" w:cs="Arial"/>
        </w:rPr>
        <w:t xml:space="preserve"> recommends that the preferre</w:t>
      </w:r>
      <w:r w:rsidR="005003C7">
        <w:rPr>
          <w:rFonts w:ascii="Arial" w:hAnsi="Arial" w:cs="Arial"/>
        </w:rPr>
        <w:t>d outcomes be implemented</w:t>
      </w:r>
      <w:r w:rsidR="00AB68E3">
        <w:rPr>
          <w:rFonts w:ascii="Arial" w:hAnsi="Arial" w:cs="Arial"/>
        </w:rPr>
        <w:t xml:space="preserve"> by</w:t>
      </w:r>
      <w:r w:rsidR="005003C7">
        <w:rPr>
          <w:rFonts w:ascii="Arial" w:hAnsi="Arial" w:cs="Arial"/>
        </w:rPr>
        <w:t xml:space="preserve"> </w:t>
      </w:r>
      <w:r w:rsidR="00EB3308">
        <w:rPr>
          <w:rFonts w:ascii="Arial" w:hAnsi="Arial" w:cs="Arial"/>
        </w:rPr>
        <w:t xml:space="preserve">amending the Franchising Code </w:t>
      </w:r>
      <w:r>
        <w:rPr>
          <w:rFonts w:ascii="Arial" w:hAnsi="Arial" w:cs="Arial"/>
        </w:rPr>
        <w:t xml:space="preserve">as referred to in the Implementation section. </w:t>
      </w:r>
      <w:r w:rsidR="00B470E7">
        <w:rPr>
          <w:rFonts w:ascii="Arial" w:hAnsi="Arial" w:cs="Arial"/>
        </w:rPr>
        <w:t>More specifically, the options have changed to</w:t>
      </w:r>
      <w:r w:rsidR="00CA57A9">
        <w:rPr>
          <w:rFonts w:ascii="Arial" w:hAnsi="Arial" w:cs="Arial"/>
        </w:rPr>
        <w:t>:</w:t>
      </w:r>
    </w:p>
    <w:p w14:paraId="56406214" w14:textId="2DE4810A" w:rsidR="00CA57A9" w:rsidRDefault="007E7715" w:rsidP="006647E7">
      <w:pPr>
        <w:pStyle w:val="ListParagraph"/>
        <w:numPr>
          <w:ilvl w:val="0"/>
          <w:numId w:val="13"/>
        </w:numPr>
        <w:spacing w:before="240" w:line="360" w:lineRule="auto"/>
        <w:jc w:val="both"/>
        <w:rPr>
          <w:rFonts w:ascii="Arial" w:hAnsi="Arial" w:cs="Arial"/>
        </w:rPr>
      </w:pPr>
      <w:r>
        <w:rPr>
          <w:rFonts w:ascii="Arial" w:hAnsi="Arial" w:cs="Arial"/>
        </w:rPr>
        <w:t>e</w:t>
      </w:r>
      <w:r w:rsidR="003275FE">
        <w:rPr>
          <w:rFonts w:ascii="Arial" w:hAnsi="Arial" w:cs="Arial"/>
        </w:rPr>
        <w:t>xtend</w:t>
      </w:r>
      <w:r w:rsidR="00CA57A9">
        <w:rPr>
          <w:rFonts w:ascii="Arial" w:hAnsi="Arial" w:cs="Arial"/>
        </w:rPr>
        <w:t xml:space="preserve"> the obligation to provide 12 months’ notice when not renewing an agreement to dealers as well as manufacturers;</w:t>
      </w:r>
      <w:r w:rsidR="001D2307">
        <w:rPr>
          <w:rFonts w:ascii="Arial" w:hAnsi="Arial" w:cs="Arial"/>
        </w:rPr>
        <w:t xml:space="preserve"> </w:t>
      </w:r>
    </w:p>
    <w:p w14:paraId="75D7E8CD" w14:textId="716BA800" w:rsidR="001D2307" w:rsidRDefault="007E7715" w:rsidP="006647E7">
      <w:pPr>
        <w:pStyle w:val="ListParagraph"/>
        <w:numPr>
          <w:ilvl w:val="0"/>
          <w:numId w:val="13"/>
        </w:numPr>
        <w:spacing w:before="240" w:line="360" w:lineRule="auto"/>
        <w:jc w:val="both"/>
        <w:rPr>
          <w:rFonts w:ascii="Arial" w:hAnsi="Arial" w:cs="Arial"/>
        </w:rPr>
      </w:pPr>
      <w:r>
        <w:rPr>
          <w:rFonts w:ascii="Arial" w:hAnsi="Arial" w:cs="Arial"/>
        </w:rPr>
        <w:t>r</w:t>
      </w:r>
      <w:r w:rsidR="00CA57A9">
        <w:rPr>
          <w:rFonts w:ascii="Arial" w:hAnsi="Arial" w:cs="Arial"/>
        </w:rPr>
        <w:t>equire parties to develop and agree to a plan to end the dealership agreement (including a requirement for the parties to work co-operatively to manage stock</w:t>
      </w:r>
      <w:r w:rsidR="006E3D61">
        <w:rPr>
          <w:rFonts w:ascii="Arial" w:hAnsi="Arial" w:cs="Arial"/>
        </w:rPr>
        <w:t>)</w:t>
      </w:r>
      <w:r w:rsidR="003275FE">
        <w:rPr>
          <w:rFonts w:ascii="Arial" w:hAnsi="Arial" w:cs="Arial"/>
        </w:rPr>
        <w:t>;</w:t>
      </w:r>
      <w:r w:rsidR="0065575D" w:rsidRPr="0065575D">
        <w:rPr>
          <w:rFonts w:ascii="Arial" w:hAnsi="Arial" w:cs="Arial"/>
        </w:rPr>
        <w:t xml:space="preserve"> </w:t>
      </w:r>
    </w:p>
    <w:p w14:paraId="62AA6D3C" w14:textId="4A18F193" w:rsidR="003275FE" w:rsidRDefault="007E7715" w:rsidP="006647E7">
      <w:pPr>
        <w:pStyle w:val="ListParagraph"/>
        <w:numPr>
          <w:ilvl w:val="0"/>
          <w:numId w:val="13"/>
        </w:numPr>
        <w:spacing w:before="240" w:line="360" w:lineRule="auto"/>
        <w:jc w:val="both"/>
        <w:rPr>
          <w:rFonts w:ascii="Arial" w:hAnsi="Arial" w:cs="Arial"/>
        </w:rPr>
      </w:pPr>
      <w:r>
        <w:rPr>
          <w:rFonts w:ascii="Arial" w:hAnsi="Arial" w:cs="Arial"/>
        </w:rPr>
        <w:lastRenderedPageBreak/>
        <w:t>e</w:t>
      </w:r>
      <w:r w:rsidR="003275FE">
        <w:rPr>
          <w:rFonts w:ascii="Arial" w:hAnsi="Arial" w:cs="Arial"/>
        </w:rPr>
        <w:t>xtend the obligation to provide a statement of reasons for non-renewal to d</w:t>
      </w:r>
      <w:r w:rsidR="00616A77">
        <w:rPr>
          <w:rFonts w:ascii="Arial" w:hAnsi="Arial" w:cs="Arial"/>
        </w:rPr>
        <w:t>ealers as well as manufacturers</w:t>
      </w:r>
      <w:r w:rsidR="006E32EE">
        <w:rPr>
          <w:rFonts w:ascii="Arial" w:hAnsi="Arial" w:cs="Arial"/>
        </w:rPr>
        <w:t>;</w:t>
      </w:r>
      <w:r w:rsidR="00616A77">
        <w:rPr>
          <w:rFonts w:ascii="Arial" w:hAnsi="Arial" w:cs="Arial"/>
        </w:rPr>
        <w:t xml:space="preserve"> </w:t>
      </w:r>
      <w:r w:rsidR="006E32EE">
        <w:rPr>
          <w:rFonts w:ascii="Arial" w:hAnsi="Arial" w:cs="Arial"/>
        </w:rPr>
        <w:t>and</w:t>
      </w:r>
    </w:p>
    <w:p w14:paraId="20A6DAFB" w14:textId="01F887A0" w:rsidR="006E32EE" w:rsidRDefault="006E32EE" w:rsidP="006647E7">
      <w:pPr>
        <w:pStyle w:val="ListParagraph"/>
        <w:numPr>
          <w:ilvl w:val="0"/>
          <w:numId w:val="13"/>
        </w:numPr>
        <w:spacing w:before="240" w:line="360" w:lineRule="auto"/>
        <w:jc w:val="both"/>
        <w:rPr>
          <w:rFonts w:ascii="Arial" w:hAnsi="Arial" w:cs="Arial"/>
        </w:rPr>
      </w:pPr>
      <w:r>
        <w:rPr>
          <w:rFonts w:ascii="Arial" w:hAnsi="Arial" w:cs="Arial"/>
        </w:rPr>
        <w:t>extend the obligation</w:t>
      </w:r>
      <w:r w:rsidR="005443C6">
        <w:rPr>
          <w:rFonts w:ascii="Arial" w:hAnsi="Arial" w:cs="Arial"/>
        </w:rPr>
        <w:t xml:space="preserve"> for pre-contractual</w:t>
      </w:r>
      <w:r>
        <w:rPr>
          <w:rFonts w:ascii="Arial" w:hAnsi="Arial" w:cs="Arial"/>
        </w:rPr>
        <w:t xml:space="preserve"> </w:t>
      </w:r>
      <w:r w:rsidR="005443C6">
        <w:rPr>
          <w:rFonts w:ascii="Arial" w:hAnsi="Arial" w:cs="Arial"/>
        </w:rPr>
        <w:t xml:space="preserve">disclosure of significant capital expenditure </w:t>
      </w:r>
      <w:r>
        <w:rPr>
          <w:rFonts w:ascii="Arial" w:hAnsi="Arial" w:cs="Arial"/>
        </w:rPr>
        <w:t>to include discussions about under what circumstances the dealer is likely to recoup the costs of their investment.</w:t>
      </w:r>
    </w:p>
    <w:p w14:paraId="4AC21E25" w14:textId="582EA3DA" w:rsidR="00604164" w:rsidRDefault="006E73BB" w:rsidP="00604164">
      <w:pPr>
        <w:spacing w:before="240" w:line="360" w:lineRule="auto"/>
        <w:jc w:val="both"/>
        <w:rPr>
          <w:rFonts w:ascii="Arial" w:hAnsi="Arial" w:cs="Arial"/>
        </w:rPr>
      </w:pPr>
      <w:r>
        <w:rPr>
          <w:rFonts w:ascii="Arial" w:hAnsi="Arial" w:cs="Arial"/>
        </w:rPr>
        <w:t>DISER</w:t>
      </w:r>
      <w:r w:rsidR="00604164" w:rsidRPr="00604164">
        <w:rPr>
          <w:rFonts w:ascii="Arial" w:hAnsi="Arial" w:cs="Arial"/>
        </w:rPr>
        <w:t xml:space="preserve"> also conducted further </w:t>
      </w:r>
      <w:r w:rsidR="004E6AE4">
        <w:rPr>
          <w:rFonts w:ascii="Arial" w:hAnsi="Arial" w:cs="Arial"/>
        </w:rPr>
        <w:t>consultation with the AADA, MTAA and FCAI to obtain their feedback on the preferred implementation method and above identified changes to the options.</w:t>
      </w:r>
    </w:p>
    <w:p w14:paraId="5D83ACF8" w14:textId="064A1FED" w:rsidR="004E6AE4" w:rsidRDefault="006E73BB" w:rsidP="00604164">
      <w:pPr>
        <w:spacing w:before="240" w:line="360" w:lineRule="auto"/>
        <w:jc w:val="both"/>
        <w:rPr>
          <w:rFonts w:ascii="Arial" w:hAnsi="Arial" w:cs="Arial"/>
        </w:rPr>
      </w:pPr>
      <w:r>
        <w:rPr>
          <w:rFonts w:ascii="Arial" w:hAnsi="Arial" w:cs="Arial"/>
        </w:rPr>
        <w:t>DISER</w:t>
      </w:r>
      <w:r w:rsidR="002C15D4">
        <w:rPr>
          <w:rFonts w:ascii="Arial" w:hAnsi="Arial" w:cs="Arial"/>
        </w:rPr>
        <w:t xml:space="preserve"> received the following feedback:</w:t>
      </w:r>
    </w:p>
    <w:p w14:paraId="66F9414A" w14:textId="7600F6D5" w:rsidR="002410AC" w:rsidRDefault="007E4E34" w:rsidP="002C15D4">
      <w:pPr>
        <w:pStyle w:val="ListParagraph"/>
        <w:numPr>
          <w:ilvl w:val="0"/>
          <w:numId w:val="37"/>
        </w:numPr>
        <w:spacing w:before="240" w:line="360" w:lineRule="auto"/>
        <w:jc w:val="both"/>
        <w:rPr>
          <w:rFonts w:ascii="Arial" w:hAnsi="Arial" w:cs="Arial"/>
        </w:rPr>
      </w:pPr>
      <w:r>
        <w:rPr>
          <w:rFonts w:ascii="Arial" w:hAnsi="Arial" w:cs="Arial"/>
        </w:rPr>
        <w:t>c</w:t>
      </w:r>
      <w:r w:rsidR="000C3C17">
        <w:rPr>
          <w:rFonts w:ascii="Arial" w:hAnsi="Arial" w:cs="Arial"/>
        </w:rPr>
        <w:t>oncern w</w:t>
      </w:r>
      <w:r w:rsidR="001B3CF4">
        <w:rPr>
          <w:rFonts w:ascii="Arial" w:hAnsi="Arial" w:cs="Arial"/>
        </w:rPr>
        <w:t>as</w:t>
      </w:r>
      <w:r w:rsidR="000C3C17">
        <w:rPr>
          <w:rFonts w:ascii="Arial" w:hAnsi="Arial" w:cs="Arial"/>
        </w:rPr>
        <w:t xml:space="preserve"> raised</w:t>
      </w:r>
      <w:r w:rsidR="00C857B6">
        <w:rPr>
          <w:rFonts w:ascii="Arial" w:hAnsi="Arial" w:cs="Arial"/>
        </w:rPr>
        <w:t xml:space="preserve"> that dealers can experience </w:t>
      </w:r>
      <w:r w:rsidR="00FE28D6">
        <w:rPr>
          <w:rFonts w:ascii="Arial" w:hAnsi="Arial" w:cs="Arial"/>
        </w:rPr>
        <w:t xml:space="preserve">sudden </w:t>
      </w:r>
      <w:r w:rsidR="00C857B6">
        <w:rPr>
          <w:rFonts w:ascii="Arial" w:hAnsi="Arial" w:cs="Arial"/>
        </w:rPr>
        <w:t xml:space="preserve">economic </w:t>
      </w:r>
      <w:r w:rsidR="00FE28D6">
        <w:rPr>
          <w:rFonts w:ascii="Arial" w:hAnsi="Arial" w:cs="Arial"/>
        </w:rPr>
        <w:t>challenges</w:t>
      </w:r>
      <w:r w:rsidR="002410AC">
        <w:rPr>
          <w:rFonts w:ascii="Arial" w:hAnsi="Arial" w:cs="Arial"/>
        </w:rPr>
        <w:t>,</w:t>
      </w:r>
      <w:r w:rsidR="00FE28D6">
        <w:rPr>
          <w:rFonts w:ascii="Arial" w:hAnsi="Arial" w:cs="Arial"/>
        </w:rPr>
        <w:t xml:space="preserve"> such as low quarterly sales</w:t>
      </w:r>
      <w:r>
        <w:rPr>
          <w:rFonts w:ascii="Arial" w:hAnsi="Arial" w:cs="Arial"/>
        </w:rPr>
        <w:t xml:space="preserve"> which can impact timing of providing notice</w:t>
      </w:r>
      <w:r w:rsidR="00FE28D6">
        <w:rPr>
          <w:rFonts w:ascii="Arial" w:hAnsi="Arial" w:cs="Arial"/>
        </w:rPr>
        <w:t>. However, it was also acknowledged that</w:t>
      </w:r>
      <w:r w:rsidR="000C3C17">
        <w:rPr>
          <w:rFonts w:ascii="Arial" w:hAnsi="Arial" w:cs="Arial"/>
        </w:rPr>
        <w:t xml:space="preserve"> </w:t>
      </w:r>
      <w:r w:rsidR="00FE28D6">
        <w:rPr>
          <w:rFonts w:ascii="Arial" w:hAnsi="Arial" w:cs="Arial"/>
        </w:rPr>
        <w:t>n</w:t>
      </w:r>
      <w:r w:rsidR="006E03FA">
        <w:rPr>
          <w:rFonts w:ascii="Arial" w:hAnsi="Arial" w:cs="Arial"/>
        </w:rPr>
        <w:t xml:space="preserve">egotiations on </w:t>
      </w:r>
      <w:r w:rsidR="00442351">
        <w:rPr>
          <w:rFonts w:ascii="Arial" w:hAnsi="Arial" w:cs="Arial"/>
        </w:rPr>
        <w:t>renewal</w:t>
      </w:r>
      <w:r w:rsidR="00DE0C61">
        <w:rPr>
          <w:rFonts w:ascii="Arial" w:hAnsi="Arial" w:cs="Arial"/>
        </w:rPr>
        <w:t xml:space="preserve">s of dealership agreements often begin more than a year in advance </w:t>
      </w:r>
      <w:r w:rsidR="000C3C17">
        <w:rPr>
          <w:rFonts w:ascii="Arial" w:hAnsi="Arial" w:cs="Arial"/>
        </w:rPr>
        <w:t>and it is in the best interest of the dealer to provide notice as early as possible in order to facilitate an orderly exit</w:t>
      </w:r>
      <w:r w:rsidR="00AE0CAB">
        <w:rPr>
          <w:rFonts w:ascii="Arial" w:hAnsi="Arial" w:cs="Arial"/>
        </w:rPr>
        <w:t>;</w:t>
      </w:r>
    </w:p>
    <w:p w14:paraId="14F65DCC" w14:textId="55BA562A" w:rsidR="002C15D4" w:rsidRDefault="00AE0CAB" w:rsidP="002C15D4">
      <w:pPr>
        <w:pStyle w:val="ListParagraph"/>
        <w:numPr>
          <w:ilvl w:val="0"/>
          <w:numId w:val="37"/>
        </w:numPr>
        <w:spacing w:before="240" w:line="360" w:lineRule="auto"/>
        <w:jc w:val="both"/>
        <w:rPr>
          <w:rFonts w:ascii="Arial" w:hAnsi="Arial" w:cs="Arial"/>
        </w:rPr>
      </w:pPr>
      <w:r>
        <w:rPr>
          <w:rFonts w:ascii="Arial" w:hAnsi="Arial" w:cs="Arial"/>
        </w:rPr>
        <w:t xml:space="preserve">extending the obligation to provide a statement of reasons for non-renewal to dealers was supported by all </w:t>
      </w:r>
      <w:r w:rsidR="002C5F77">
        <w:rPr>
          <w:rFonts w:ascii="Arial" w:hAnsi="Arial" w:cs="Arial"/>
        </w:rPr>
        <w:t>stakeholders</w:t>
      </w:r>
      <w:r>
        <w:rPr>
          <w:rFonts w:ascii="Arial" w:hAnsi="Arial" w:cs="Arial"/>
        </w:rPr>
        <w:t>; and</w:t>
      </w:r>
    </w:p>
    <w:p w14:paraId="1E0A4995" w14:textId="7A8C35C7" w:rsidR="00AE0CAB" w:rsidRPr="002C15D4" w:rsidRDefault="008B4CDE" w:rsidP="002C15D4">
      <w:pPr>
        <w:pStyle w:val="ListParagraph"/>
        <w:numPr>
          <w:ilvl w:val="0"/>
          <w:numId w:val="37"/>
        </w:numPr>
        <w:spacing w:before="240" w:line="360" w:lineRule="auto"/>
        <w:jc w:val="both"/>
        <w:rPr>
          <w:rFonts w:ascii="Arial" w:hAnsi="Arial" w:cs="Arial"/>
        </w:rPr>
      </w:pPr>
      <w:r>
        <w:rPr>
          <w:rFonts w:ascii="Arial" w:hAnsi="Arial" w:cs="Arial"/>
        </w:rPr>
        <w:t xml:space="preserve">concern was raised that </w:t>
      </w:r>
      <w:r w:rsidR="009230E8">
        <w:rPr>
          <w:rFonts w:ascii="Arial" w:hAnsi="Arial" w:cs="Arial"/>
        </w:rPr>
        <w:t>discussion of how a deal</w:t>
      </w:r>
      <w:r w:rsidR="00E502D1">
        <w:rPr>
          <w:rFonts w:ascii="Arial" w:hAnsi="Arial" w:cs="Arial"/>
        </w:rPr>
        <w:t>er could recoup the costs of</w:t>
      </w:r>
      <w:r w:rsidR="009230E8">
        <w:rPr>
          <w:rFonts w:ascii="Arial" w:hAnsi="Arial" w:cs="Arial"/>
        </w:rPr>
        <w:t xml:space="preserve"> capital expenditure </w:t>
      </w:r>
      <w:r w:rsidR="00E502D1">
        <w:rPr>
          <w:rFonts w:ascii="Arial" w:hAnsi="Arial" w:cs="Arial"/>
        </w:rPr>
        <w:t xml:space="preserve">over the term of an agreement </w:t>
      </w:r>
      <w:r w:rsidR="00B33D78">
        <w:rPr>
          <w:rFonts w:ascii="Arial" w:hAnsi="Arial" w:cs="Arial"/>
        </w:rPr>
        <w:t>would</w:t>
      </w:r>
      <w:r w:rsidR="00E502D1">
        <w:rPr>
          <w:rFonts w:ascii="Arial" w:hAnsi="Arial" w:cs="Arial"/>
        </w:rPr>
        <w:t xml:space="preserve"> not </w:t>
      </w:r>
      <w:r w:rsidR="00B33D78">
        <w:rPr>
          <w:rFonts w:ascii="Arial" w:hAnsi="Arial" w:cs="Arial"/>
        </w:rPr>
        <w:t>go far enough. However, this change was either supported or supported in principle.</w:t>
      </w:r>
    </w:p>
    <w:p w14:paraId="41C20531" w14:textId="7B3BCCA4" w:rsidR="00FD3830" w:rsidRPr="002C15D4" w:rsidRDefault="000A4879" w:rsidP="002C15D4">
      <w:pPr>
        <w:pStyle w:val="ListParagraph"/>
        <w:numPr>
          <w:ilvl w:val="0"/>
          <w:numId w:val="37"/>
        </w:numPr>
        <w:spacing w:before="240" w:line="360" w:lineRule="auto"/>
        <w:jc w:val="both"/>
        <w:rPr>
          <w:rFonts w:ascii="Arial" w:hAnsi="Arial" w:cs="Arial"/>
        </w:rPr>
      </w:pPr>
      <w:r>
        <w:rPr>
          <w:rFonts w:ascii="Arial" w:hAnsi="Arial" w:cs="Arial"/>
        </w:rPr>
        <w:t>FCAI considered that the most appropriate implementation m</w:t>
      </w:r>
      <w:r w:rsidR="00FE5856">
        <w:rPr>
          <w:rFonts w:ascii="Arial" w:hAnsi="Arial" w:cs="Arial"/>
        </w:rPr>
        <w:t>ethod would be through amending</w:t>
      </w:r>
      <w:r>
        <w:rPr>
          <w:rFonts w:ascii="Arial" w:hAnsi="Arial" w:cs="Arial"/>
        </w:rPr>
        <w:t xml:space="preserve"> the Franchising Code, whilst the MTAA and the AADA prefer</w:t>
      </w:r>
      <w:r w:rsidR="00FE5856">
        <w:rPr>
          <w:rFonts w:ascii="Arial" w:hAnsi="Arial" w:cs="Arial"/>
        </w:rPr>
        <w:t>red</w:t>
      </w:r>
      <w:r>
        <w:rPr>
          <w:rFonts w:ascii="Arial" w:hAnsi="Arial" w:cs="Arial"/>
        </w:rPr>
        <w:t xml:space="preserve"> </w:t>
      </w:r>
      <w:r w:rsidR="00FE5856">
        <w:rPr>
          <w:rFonts w:ascii="Arial" w:hAnsi="Arial" w:cs="Arial"/>
        </w:rPr>
        <w:t>implementing the RIS options through a standalone Automotive Code.</w:t>
      </w:r>
    </w:p>
    <w:p w14:paraId="3F1D0B86" w14:textId="6D22B3DE" w:rsidR="003107BF" w:rsidRDefault="001D2307" w:rsidP="11FF59B9">
      <w:pPr>
        <w:spacing w:before="240" w:line="360" w:lineRule="auto"/>
        <w:jc w:val="both"/>
        <w:rPr>
          <w:rFonts w:ascii="Arial" w:hAnsi="Arial" w:cs="Arial"/>
        </w:rPr>
      </w:pPr>
      <w:r>
        <w:rPr>
          <w:rFonts w:ascii="Arial" w:hAnsi="Arial" w:cs="Arial"/>
        </w:rPr>
        <w:t xml:space="preserve">Feedback provided by stakeholders which </w:t>
      </w:r>
      <w:r w:rsidR="006E73BB">
        <w:rPr>
          <w:rFonts w:ascii="Arial" w:hAnsi="Arial" w:cs="Arial"/>
        </w:rPr>
        <w:t>DISER</w:t>
      </w:r>
      <w:r w:rsidR="009A761E">
        <w:rPr>
          <w:rFonts w:ascii="Arial" w:hAnsi="Arial" w:cs="Arial"/>
        </w:rPr>
        <w:t xml:space="preserve"> has not recommended to implement has been included for discussion in our analysis of the options</w:t>
      </w:r>
      <w:r w:rsidR="00F65DE4">
        <w:rPr>
          <w:rFonts w:ascii="Arial" w:hAnsi="Arial" w:cs="Arial"/>
        </w:rPr>
        <w:t xml:space="preserve"> and the implementation method</w:t>
      </w:r>
      <w:r w:rsidR="009A761E">
        <w:rPr>
          <w:rFonts w:ascii="Arial" w:hAnsi="Arial" w:cs="Arial"/>
        </w:rPr>
        <w:t>.</w:t>
      </w:r>
      <w:r>
        <w:rPr>
          <w:rFonts w:ascii="Arial" w:hAnsi="Arial" w:cs="Arial"/>
        </w:rPr>
        <w:t xml:space="preserve"> </w:t>
      </w:r>
      <w:r w:rsidR="00E033C2">
        <w:rPr>
          <w:rFonts w:ascii="Arial" w:hAnsi="Arial" w:cs="Arial"/>
        </w:rPr>
        <w:t>Further consultation will be undertaken on exposure draft legislation, prior to a Regulation being made.</w:t>
      </w:r>
    </w:p>
    <w:p w14:paraId="73B1B32D" w14:textId="20AE5E18" w:rsidR="00843CC0" w:rsidRPr="004E79C5" w:rsidRDefault="00843CC0" w:rsidP="00843CC0">
      <w:pPr>
        <w:pStyle w:val="Heading1"/>
        <w:numPr>
          <w:ilvl w:val="0"/>
          <w:numId w:val="1"/>
        </w:numPr>
        <w:rPr>
          <w:color w:val="005677"/>
        </w:rPr>
      </w:pPr>
      <w:bookmarkStart w:id="98" w:name="_Toc20489950"/>
      <w:r w:rsidRPr="004E79C5">
        <w:rPr>
          <w:color w:val="005677"/>
        </w:rPr>
        <w:t>Evaluation</w:t>
      </w:r>
      <w:bookmarkEnd w:id="98"/>
    </w:p>
    <w:p w14:paraId="3F1D0B94" w14:textId="670AA71A" w:rsidR="00960ECE" w:rsidRPr="004355E6" w:rsidRDefault="00135EAA" w:rsidP="008A4190">
      <w:pPr>
        <w:spacing w:line="360" w:lineRule="auto"/>
        <w:jc w:val="both"/>
      </w:pPr>
      <w:r>
        <w:rPr>
          <w:rFonts w:ascii="Arial" w:hAnsi="Arial" w:cs="Arial"/>
        </w:rPr>
        <w:t xml:space="preserve">The amendments proposed in this RIS will be subject to </w:t>
      </w:r>
      <w:r w:rsidR="004E79C5">
        <w:rPr>
          <w:rFonts w:ascii="Arial" w:hAnsi="Arial" w:cs="Arial"/>
        </w:rPr>
        <w:t>any future reviews of the Franchising Code</w:t>
      </w:r>
      <w:r w:rsidR="008A4190">
        <w:rPr>
          <w:rFonts w:ascii="Arial" w:hAnsi="Arial" w:cs="Arial"/>
        </w:rPr>
        <w:t xml:space="preserve">. Future review processes </w:t>
      </w:r>
      <w:r w:rsidR="006920BB">
        <w:rPr>
          <w:rFonts w:ascii="Arial" w:hAnsi="Arial" w:cs="Arial"/>
        </w:rPr>
        <w:t xml:space="preserve">of the Franchising Code </w:t>
      </w:r>
      <w:r w:rsidR="008A4190">
        <w:rPr>
          <w:rFonts w:ascii="Arial" w:hAnsi="Arial" w:cs="Arial"/>
        </w:rPr>
        <w:t>will be determined as part of the broader changes to the Franchising Code being undertaken by the Franchising Taskforce.</w:t>
      </w:r>
      <w:r w:rsidR="00960ECE">
        <w:br w:type="page"/>
      </w:r>
    </w:p>
    <w:p w14:paraId="3F1D0B95" w14:textId="77777777" w:rsidR="002F2857" w:rsidRPr="00E63F77" w:rsidRDefault="11FF59B9" w:rsidP="11FF59B9">
      <w:pPr>
        <w:pStyle w:val="Heading1"/>
        <w:rPr>
          <w:color w:val="005677"/>
        </w:rPr>
      </w:pPr>
      <w:bookmarkStart w:id="99" w:name="_Toc529891253"/>
      <w:bookmarkStart w:id="100" w:name="_Toc529891271"/>
      <w:bookmarkStart w:id="101" w:name="_Toc530493137"/>
      <w:bookmarkStart w:id="102" w:name="_Toc530493192"/>
      <w:bookmarkStart w:id="103" w:name="_Toc530563058"/>
      <w:bookmarkStart w:id="104" w:name="_Toc20489951"/>
      <w:r w:rsidRPr="11FF59B9">
        <w:rPr>
          <w:color w:val="005677"/>
        </w:rPr>
        <w:lastRenderedPageBreak/>
        <w:t>Appendix 1: Australian retail automotive industry</w:t>
      </w:r>
      <w:bookmarkEnd w:id="99"/>
      <w:bookmarkEnd w:id="100"/>
      <w:bookmarkEnd w:id="101"/>
      <w:bookmarkEnd w:id="102"/>
      <w:bookmarkEnd w:id="103"/>
      <w:bookmarkEnd w:id="104"/>
    </w:p>
    <w:p w14:paraId="3F1D0B96" w14:textId="77777777" w:rsidR="00E63F77" w:rsidRDefault="11FF59B9" w:rsidP="11FF59B9">
      <w:pPr>
        <w:spacing w:before="240" w:line="360" w:lineRule="auto"/>
        <w:jc w:val="both"/>
        <w:rPr>
          <w:rFonts w:ascii="Arial" w:hAnsi="Arial" w:cs="Arial"/>
        </w:rPr>
      </w:pPr>
      <w:r w:rsidRPr="11FF59B9">
        <w:rPr>
          <w:rFonts w:ascii="Arial" w:hAnsi="Arial" w:cs="Arial"/>
        </w:rPr>
        <w:t>The Australian car industry consists of three main sectors:</w:t>
      </w:r>
    </w:p>
    <w:p w14:paraId="3F1D0B97" w14:textId="77777777" w:rsidR="00E63F77" w:rsidRPr="00AC3CDB" w:rsidRDefault="11FF59B9" w:rsidP="006647E7">
      <w:pPr>
        <w:pStyle w:val="ListParagraph"/>
        <w:numPr>
          <w:ilvl w:val="0"/>
          <w:numId w:val="3"/>
        </w:numPr>
        <w:spacing w:before="240" w:line="360" w:lineRule="auto"/>
        <w:jc w:val="both"/>
        <w:rPr>
          <w:rFonts w:ascii="Arial" w:hAnsi="Arial" w:cs="Arial"/>
        </w:rPr>
      </w:pPr>
      <w:r w:rsidRPr="11FF59B9">
        <w:rPr>
          <w:rFonts w:ascii="Arial" w:hAnsi="Arial" w:cs="Arial"/>
        </w:rPr>
        <w:t xml:space="preserve">Manufacturers </w:t>
      </w:r>
      <w:r w:rsidRPr="002803BC">
        <w:rPr>
          <w:rFonts w:ascii="Arial" w:hAnsi="Arial" w:cs="Arial"/>
        </w:rPr>
        <w:t>(represented by distributors)</w:t>
      </w:r>
      <w:r w:rsidRPr="11FF59B9">
        <w:rPr>
          <w:rFonts w:ascii="Arial" w:hAnsi="Arial" w:cs="Arial"/>
        </w:rPr>
        <w:t xml:space="preserve"> – import vehicles to distribute to dealers and commercial fleet buyers. Distributors are typically wholly owned subsidiaries of foreign car manufacturers and act as links between foreign manufacturers and Australian dealer networks.</w:t>
      </w:r>
    </w:p>
    <w:p w14:paraId="3F1D0B98" w14:textId="77777777" w:rsidR="00E63F77" w:rsidRPr="00AC3CDB" w:rsidRDefault="11FF59B9" w:rsidP="006647E7">
      <w:pPr>
        <w:pStyle w:val="ListParagraph"/>
        <w:numPr>
          <w:ilvl w:val="0"/>
          <w:numId w:val="3"/>
        </w:numPr>
        <w:spacing w:before="240" w:line="360" w:lineRule="auto"/>
        <w:jc w:val="both"/>
        <w:rPr>
          <w:rFonts w:ascii="Arial" w:hAnsi="Arial" w:cs="Arial"/>
        </w:rPr>
      </w:pPr>
      <w:r w:rsidRPr="11FF59B9">
        <w:rPr>
          <w:rFonts w:ascii="Arial" w:hAnsi="Arial" w:cs="Arial"/>
        </w:rPr>
        <w:t>Dealers – sell new and used cars to consumers and businesses. While large businesses often purchase cars directly from distributors, smaller businesses typically purchase vehicles from dealers. Dealers also provide a range of other services, including servicing and repair, aftermarket sales and finance and insurance services.</w:t>
      </w:r>
    </w:p>
    <w:p w14:paraId="3F1D0B99" w14:textId="77777777" w:rsidR="00E63F77" w:rsidRDefault="11FF59B9" w:rsidP="006647E7">
      <w:pPr>
        <w:pStyle w:val="ListParagraph"/>
        <w:numPr>
          <w:ilvl w:val="0"/>
          <w:numId w:val="3"/>
        </w:numPr>
        <w:spacing w:before="240" w:line="360" w:lineRule="auto"/>
        <w:jc w:val="both"/>
        <w:rPr>
          <w:rFonts w:ascii="Arial" w:hAnsi="Arial" w:cs="Arial"/>
        </w:rPr>
      </w:pPr>
      <w:r w:rsidRPr="11FF59B9">
        <w:rPr>
          <w:rFonts w:ascii="Arial" w:hAnsi="Arial" w:cs="Arial"/>
        </w:rPr>
        <w:t xml:space="preserve">Independent repairers – typically small, independent establishments that service a local area.  </w:t>
      </w:r>
    </w:p>
    <w:p w14:paraId="3F1D0B9A" w14:textId="77777777" w:rsidR="00E63F77" w:rsidRDefault="00E63F77" w:rsidP="11FF59B9">
      <w:pPr>
        <w:spacing w:before="240" w:line="360" w:lineRule="auto"/>
        <w:jc w:val="both"/>
        <w:rPr>
          <w:rFonts w:ascii="Arial" w:hAnsi="Arial" w:cs="Arial"/>
        </w:rPr>
      </w:pPr>
      <w:r>
        <w:rPr>
          <w:rFonts w:ascii="Arial" w:hAnsi="Arial" w:cs="Arial"/>
        </w:rPr>
        <w:t>Figure 1 shows the supply chain for new car retailing in Australia.</w:t>
      </w:r>
      <w:r w:rsidRPr="000D5A2C">
        <w:rPr>
          <w:rFonts w:ascii="Arial" w:hAnsi="Arial" w:cs="Arial"/>
        </w:rPr>
        <w:t xml:space="preserve"> </w:t>
      </w:r>
      <w:r>
        <w:rPr>
          <w:rFonts w:ascii="Arial" w:hAnsi="Arial" w:cs="Arial"/>
        </w:rPr>
        <w:t>Around 1.2</w:t>
      </w:r>
      <w:r w:rsidRPr="71921285">
        <w:rPr>
          <w:rFonts w:ascii="Arial" w:hAnsi="Arial" w:cs="Arial"/>
        </w:rPr>
        <w:t xml:space="preserve"> million new cars were sold during 2016–17, including at more than 1500 new car dealers operating more than 3500 retail outlets. </w:t>
      </w:r>
      <w:r>
        <w:rPr>
          <w:rFonts w:ascii="Arial" w:hAnsi="Arial" w:cs="Arial"/>
        </w:rPr>
        <w:t>The Australian market contains 72 brands and 400 models.</w:t>
      </w:r>
      <w:r>
        <w:rPr>
          <w:rStyle w:val="FootnoteReference"/>
          <w:rFonts w:ascii="Arial" w:hAnsi="Arial" w:cs="Arial"/>
        </w:rPr>
        <w:footnoteReference w:id="86"/>
      </w:r>
      <w:r>
        <w:rPr>
          <w:rFonts w:ascii="Arial" w:hAnsi="Arial" w:cs="Arial"/>
        </w:rPr>
        <w:t xml:space="preserve"> </w:t>
      </w:r>
      <w:r w:rsidRPr="71921285">
        <w:rPr>
          <w:rFonts w:ascii="Arial" w:hAnsi="Arial" w:cs="Arial"/>
        </w:rPr>
        <w:t xml:space="preserve">Car dealer revenues in 2016–17 are estimated at $64 billion. </w:t>
      </w:r>
      <w:r>
        <w:rPr>
          <w:rFonts w:ascii="Arial" w:hAnsi="Arial" w:cs="Arial"/>
        </w:rPr>
        <w:t xml:space="preserve">Australia is one of the most open, competitive and deregulated </w:t>
      </w:r>
      <w:r w:rsidRPr="00A54765">
        <w:rPr>
          <w:rFonts w:ascii="Arial" w:hAnsi="Arial" w:cs="Arial"/>
        </w:rPr>
        <w:t>c</w:t>
      </w:r>
      <w:r>
        <w:rPr>
          <w:rFonts w:ascii="Arial" w:hAnsi="Arial" w:cs="Arial"/>
        </w:rPr>
        <w:t>ar markets in the world.</w:t>
      </w:r>
      <w:r>
        <w:rPr>
          <w:rStyle w:val="FootnoteReference"/>
          <w:rFonts w:ascii="Arial" w:hAnsi="Arial" w:cs="Arial"/>
        </w:rPr>
        <w:footnoteReference w:id="87"/>
      </w:r>
      <w:r>
        <w:rPr>
          <w:rFonts w:ascii="Arial" w:hAnsi="Arial" w:cs="Arial"/>
        </w:rPr>
        <w:t xml:space="preserve"> Industry participants face barriers to entry by way of access to capital, infrastructure and having a dealership agreement in place in the case of dealers but they are not generally restricted on the sales channels they employ.</w:t>
      </w:r>
    </w:p>
    <w:p w14:paraId="3F1D0B9B" w14:textId="77777777" w:rsidR="00E63F77" w:rsidRDefault="00F84647" w:rsidP="00E63F77">
      <w:pPr>
        <w:spacing w:before="240" w:after="0" w:line="240" w:lineRule="auto"/>
      </w:pPr>
      <w:r>
        <w:rPr>
          <w:rFonts w:ascii="Arial" w:hAnsi="Arial" w:cs="Arial"/>
          <w:noProof/>
          <w:sz w:val="16"/>
          <w:szCs w:val="16"/>
          <w:lang w:eastAsia="en-AU"/>
        </w:rPr>
        <w:lastRenderedPageBreak/>
        <w:object w:dxaOrig="1440" w:dyaOrig="1440" w14:anchorId="3F1D0B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alt="Figure 1 is a diagram of the new car supply chain. It includes distributors, dealers, private customers, business, government and others." style="position:absolute;margin-left:2pt;margin-top:.4pt;width:446.95pt;height:278.65pt;z-index:251658240;mso-position-horizontal:absolute;mso-position-horizontal-relative:text;mso-position-vertical:absolute;mso-position-vertical-relative:text;mso-width-relative:page;mso-height-relative:page">
            <v:imagedata r:id="rId15" o:title=""/>
            <w10:wrap type="topAndBottom"/>
          </v:shape>
          <o:OLEObject Type="Embed" ProgID="Visio.Drawing.15" ShapeID="_x0000_s1031" DrawAspect="Content" ObjectID="_1643177394" r:id="rId16"/>
        </w:object>
      </w:r>
      <w:r w:rsidR="00E63F77" w:rsidRPr="71921285">
        <w:rPr>
          <w:rFonts w:ascii="Arial" w:hAnsi="Arial" w:cs="Arial"/>
          <w:color w:val="44546A" w:themeColor="text2"/>
          <w:sz w:val="18"/>
          <w:szCs w:val="18"/>
        </w:rPr>
        <w:t xml:space="preserve">Figure </w:t>
      </w:r>
      <w:r w:rsidR="00E63F77" w:rsidRPr="71921285">
        <w:fldChar w:fldCharType="begin"/>
      </w:r>
      <w:r w:rsidR="00E63F77" w:rsidRPr="006F38E3">
        <w:rPr>
          <w:rFonts w:ascii="Arial" w:hAnsi="Arial" w:cs="Arial"/>
          <w:iCs/>
          <w:color w:val="44546A" w:themeColor="text2"/>
          <w:sz w:val="18"/>
          <w:szCs w:val="18"/>
        </w:rPr>
        <w:instrText xml:space="preserve"> SEQ Figure \* ARABIC </w:instrText>
      </w:r>
      <w:r w:rsidR="00E63F77" w:rsidRPr="71921285">
        <w:rPr>
          <w:rFonts w:ascii="Arial" w:hAnsi="Arial" w:cs="Arial"/>
          <w:iCs/>
          <w:color w:val="44546A" w:themeColor="text2"/>
          <w:sz w:val="18"/>
          <w:szCs w:val="18"/>
        </w:rPr>
        <w:fldChar w:fldCharType="separate"/>
      </w:r>
      <w:r w:rsidR="00EA3759">
        <w:rPr>
          <w:rFonts w:ascii="Arial" w:hAnsi="Arial" w:cs="Arial"/>
          <w:iCs/>
          <w:noProof/>
          <w:color w:val="44546A" w:themeColor="text2"/>
          <w:sz w:val="18"/>
          <w:szCs w:val="18"/>
        </w:rPr>
        <w:t>1</w:t>
      </w:r>
      <w:r w:rsidR="00E63F77" w:rsidRPr="71921285">
        <w:fldChar w:fldCharType="end"/>
      </w:r>
      <w:r w:rsidR="00E63F77" w:rsidRPr="71921285">
        <w:rPr>
          <w:rFonts w:ascii="Arial" w:hAnsi="Arial" w:cs="Arial"/>
          <w:color w:val="44546A" w:themeColor="text2"/>
          <w:sz w:val="18"/>
          <w:szCs w:val="18"/>
        </w:rPr>
        <w:t>: New Car Supply Chain.</w:t>
      </w:r>
      <w:r w:rsidR="00E63F77" w:rsidRPr="006F38E3">
        <w:rPr>
          <w:rFonts w:ascii="Arial" w:hAnsi="Arial" w:cs="Arial"/>
          <w:iCs/>
          <w:color w:val="44546A" w:themeColor="text2"/>
          <w:sz w:val="18"/>
          <w:szCs w:val="18"/>
        </w:rPr>
        <w:br/>
      </w:r>
      <w:r w:rsidR="00E63F77" w:rsidRPr="71921285">
        <w:rPr>
          <w:rFonts w:ascii="Arial" w:hAnsi="Arial" w:cs="Arial"/>
          <w:color w:val="44546A" w:themeColor="text2"/>
          <w:sz w:val="18"/>
          <w:szCs w:val="18"/>
        </w:rPr>
        <w:t>Source: FCAI (VFACTS) motor vehicle sales data (as at December 2017); IBISWorld Industry Report F3501</w:t>
      </w:r>
    </w:p>
    <w:p w14:paraId="3F1D0B9C" w14:textId="77777777" w:rsidR="00E63F77" w:rsidRPr="00003B74" w:rsidRDefault="11FF59B9" w:rsidP="11FF59B9">
      <w:pPr>
        <w:pStyle w:val="Caption"/>
        <w:rPr>
          <w:rFonts w:ascii="Arial" w:hAnsi="Arial" w:cs="Arial"/>
        </w:rPr>
      </w:pPr>
      <w:r w:rsidRPr="5996C6E7">
        <w:rPr>
          <w:rFonts w:ascii="Arial" w:hAnsi="Arial" w:cs="Arial"/>
          <w:i w:val="0"/>
          <w:iCs w:val="0"/>
        </w:rPr>
        <w:t xml:space="preserve">Motor Vehicle Wholesaling in Australia, May 2018; </w:t>
      </w:r>
      <w:r w:rsidRPr="11FF59B9">
        <w:rPr>
          <w:rFonts w:ascii="Arial" w:hAnsi="Arial" w:cs="Arial"/>
        </w:rPr>
        <w:t xml:space="preserve">IBISWorld Industry Report G3911 </w:t>
      </w:r>
      <w:r w:rsidRPr="5996C6E7">
        <w:rPr>
          <w:rFonts w:ascii="Arial" w:hAnsi="Arial" w:cs="Arial"/>
          <w:i w:val="0"/>
          <w:iCs w:val="0"/>
        </w:rPr>
        <w:t>Motor Vehicle Dealers in Australia, April 2018.</w:t>
      </w:r>
    </w:p>
    <w:p w14:paraId="3F1D0B9D" w14:textId="77777777" w:rsidR="00E63F77" w:rsidRDefault="00E63F77" w:rsidP="11FF59B9">
      <w:pPr>
        <w:spacing w:before="240" w:line="360" w:lineRule="auto"/>
        <w:jc w:val="both"/>
        <w:rPr>
          <w:rFonts w:ascii="Arial" w:hAnsi="Arial" w:cs="Arial"/>
        </w:rPr>
      </w:pPr>
      <w:r>
        <w:rPr>
          <w:rFonts w:ascii="Arial" w:hAnsi="Arial" w:cs="Arial"/>
        </w:rPr>
        <w:t>Industry analysts predict a</w:t>
      </w:r>
      <w:r w:rsidRPr="00EE3CA3">
        <w:rPr>
          <w:rFonts w:ascii="Arial" w:hAnsi="Arial" w:cs="Arial"/>
        </w:rPr>
        <w:t xml:space="preserve">utomotive retail </w:t>
      </w:r>
      <w:r>
        <w:rPr>
          <w:rFonts w:ascii="Arial" w:hAnsi="Arial" w:cs="Arial"/>
        </w:rPr>
        <w:t xml:space="preserve">will </w:t>
      </w:r>
      <w:r w:rsidRPr="00EE3CA3">
        <w:rPr>
          <w:rFonts w:ascii="Arial" w:hAnsi="Arial" w:cs="Arial"/>
        </w:rPr>
        <w:t>shift from being product-driven to a customer</w:t>
      </w:r>
      <w:r>
        <w:rPr>
          <w:rFonts w:ascii="Arial" w:hAnsi="Arial" w:cs="Arial"/>
        </w:rPr>
        <w:noBreakHyphen/>
      </w:r>
      <w:r w:rsidRPr="00EE3CA3">
        <w:rPr>
          <w:rFonts w:ascii="Arial" w:hAnsi="Arial" w:cs="Arial"/>
        </w:rPr>
        <w:t xml:space="preserve">centric approach with key supply chain participants </w:t>
      </w:r>
      <w:r>
        <w:rPr>
          <w:rFonts w:ascii="Arial" w:hAnsi="Arial" w:cs="Arial"/>
        </w:rPr>
        <w:t>(</w:t>
      </w:r>
      <w:r w:rsidR="00530969">
        <w:rPr>
          <w:rFonts w:ascii="Arial" w:hAnsi="Arial" w:cs="Arial"/>
        </w:rPr>
        <w:t>manufacture</w:t>
      </w:r>
      <w:r w:rsidRPr="00EE3CA3">
        <w:rPr>
          <w:rFonts w:ascii="Arial" w:hAnsi="Arial" w:cs="Arial"/>
        </w:rPr>
        <w:t xml:space="preserve">rs, dealers and independent </w:t>
      </w:r>
      <w:r>
        <w:rPr>
          <w:rFonts w:ascii="Arial" w:hAnsi="Arial" w:cs="Arial"/>
        </w:rPr>
        <w:t xml:space="preserve">repairers) garnering </w:t>
      </w:r>
      <w:r w:rsidRPr="00EE3CA3">
        <w:rPr>
          <w:rFonts w:ascii="Arial" w:hAnsi="Arial" w:cs="Arial"/>
        </w:rPr>
        <w:t>consumer loyalty through responding to consumer behaviour and expectations.</w:t>
      </w:r>
      <w:r>
        <w:rPr>
          <w:rStyle w:val="FootnoteReference"/>
          <w:rFonts w:ascii="Arial" w:hAnsi="Arial" w:cs="Arial"/>
        </w:rPr>
        <w:footnoteReference w:id="88"/>
      </w:r>
      <w:r>
        <w:rPr>
          <w:rFonts w:ascii="Arial" w:hAnsi="Arial" w:cs="Arial"/>
        </w:rPr>
        <w:t xml:space="preserve"> The move of Toyota New Zealand away from a traditional dealership to an agency model is illustrative of this shift (</w:t>
      </w:r>
      <w:r w:rsidRPr="0040566B">
        <w:rPr>
          <w:rFonts w:ascii="Arial" w:hAnsi="Arial" w:cs="Arial"/>
          <w:b/>
          <w:bCs/>
        </w:rPr>
        <w:t xml:space="preserve">Box </w:t>
      </w:r>
      <w:r w:rsidR="00134D57" w:rsidRPr="0040566B">
        <w:rPr>
          <w:rFonts w:ascii="Arial" w:hAnsi="Arial" w:cs="Arial"/>
          <w:b/>
          <w:bCs/>
        </w:rPr>
        <w:t>2</w:t>
      </w:r>
      <w:r>
        <w:rPr>
          <w:rFonts w:ascii="Arial" w:hAnsi="Arial" w:cs="Arial"/>
        </w:rPr>
        <w:t xml:space="preserve"> refers).</w:t>
      </w:r>
      <w:r>
        <w:rPr>
          <w:rStyle w:val="FootnoteReference"/>
          <w:rFonts w:ascii="Arial" w:hAnsi="Arial" w:cs="Arial"/>
        </w:rPr>
        <w:footnoteReference w:id="89"/>
      </w:r>
    </w:p>
    <w:p w14:paraId="3F1D0B9E" w14:textId="77777777" w:rsidR="00E63F77" w:rsidRPr="00760C32" w:rsidRDefault="00E63F77" w:rsidP="11FF59B9">
      <w:pPr>
        <w:spacing w:before="240" w:line="360" w:lineRule="auto"/>
        <w:jc w:val="both"/>
        <w:rPr>
          <w:rFonts w:ascii="Arial" w:hAnsi="Arial" w:cs="Arial"/>
        </w:rPr>
      </w:pPr>
      <w:r>
        <w:rPr>
          <w:rFonts w:ascii="Arial" w:hAnsi="Arial" w:cs="Arial"/>
        </w:rPr>
        <w:t>S</w:t>
      </w:r>
      <w:r w:rsidRPr="00FE2BE8">
        <w:rPr>
          <w:rFonts w:ascii="Arial" w:hAnsi="Arial" w:cs="Arial"/>
        </w:rPr>
        <w:t xml:space="preserve">ubstantial change </w:t>
      </w:r>
      <w:r>
        <w:rPr>
          <w:rFonts w:ascii="Arial" w:hAnsi="Arial" w:cs="Arial"/>
        </w:rPr>
        <w:t xml:space="preserve">is currently underway </w:t>
      </w:r>
      <w:r w:rsidRPr="00FE2BE8">
        <w:rPr>
          <w:rFonts w:ascii="Arial" w:hAnsi="Arial" w:cs="Arial"/>
        </w:rPr>
        <w:t>globally</w:t>
      </w:r>
      <w:r>
        <w:rPr>
          <w:rFonts w:ascii="Arial" w:hAnsi="Arial" w:cs="Arial"/>
        </w:rPr>
        <w:t xml:space="preserve"> and locally, and further change driven by the following factors is predicted.</w:t>
      </w:r>
      <w:r>
        <w:rPr>
          <w:rStyle w:val="FootnoteReference"/>
          <w:rFonts w:ascii="Arial" w:hAnsi="Arial" w:cs="Arial"/>
        </w:rPr>
        <w:footnoteReference w:id="90"/>
      </w:r>
    </w:p>
    <w:p w14:paraId="3F1D0B9F" w14:textId="77777777" w:rsidR="00E63F77" w:rsidRDefault="11FF59B9" w:rsidP="006647E7">
      <w:pPr>
        <w:pStyle w:val="ListParagraph"/>
        <w:numPr>
          <w:ilvl w:val="0"/>
          <w:numId w:val="2"/>
        </w:numPr>
        <w:spacing w:after="0" w:line="360" w:lineRule="auto"/>
        <w:ind w:left="357" w:hanging="357"/>
        <w:contextualSpacing w:val="0"/>
        <w:jc w:val="both"/>
        <w:rPr>
          <w:rFonts w:ascii="Arial" w:hAnsi="Arial" w:cs="Arial"/>
        </w:rPr>
      </w:pPr>
      <w:r w:rsidRPr="11FF59B9">
        <w:rPr>
          <w:rFonts w:ascii="Arial" w:hAnsi="Arial" w:cs="Arial"/>
        </w:rPr>
        <w:t>Shifting consumer mobility preferences, such as increased demand for car-sharing services.</w:t>
      </w:r>
    </w:p>
    <w:p w14:paraId="3F1D0BA0" w14:textId="77777777" w:rsidR="00E63F77" w:rsidRDefault="11FF59B9" w:rsidP="006647E7">
      <w:pPr>
        <w:pStyle w:val="ListParagraph"/>
        <w:numPr>
          <w:ilvl w:val="0"/>
          <w:numId w:val="2"/>
        </w:numPr>
        <w:spacing w:after="0" w:line="360" w:lineRule="auto"/>
        <w:ind w:left="357" w:hanging="357"/>
        <w:contextualSpacing w:val="0"/>
        <w:jc w:val="both"/>
        <w:rPr>
          <w:rFonts w:ascii="Arial" w:hAnsi="Arial" w:cs="Arial"/>
        </w:rPr>
      </w:pPr>
      <w:r w:rsidRPr="11FF59B9">
        <w:rPr>
          <w:rFonts w:ascii="Arial" w:hAnsi="Arial" w:cs="Arial"/>
        </w:rPr>
        <w:t>Increased digitalisation, which is changing the way consumers purchase vehicles. Even where a vehicle is purchased at a dealership, much of the consumer’s research is taking place online.</w:t>
      </w:r>
    </w:p>
    <w:p w14:paraId="3F1D0BA1" w14:textId="77777777" w:rsidR="00E63F77" w:rsidRDefault="11FF59B9" w:rsidP="006647E7">
      <w:pPr>
        <w:pStyle w:val="ListParagraph"/>
        <w:numPr>
          <w:ilvl w:val="0"/>
          <w:numId w:val="2"/>
        </w:numPr>
        <w:spacing w:before="120" w:line="360" w:lineRule="auto"/>
        <w:ind w:left="357" w:hanging="357"/>
        <w:jc w:val="both"/>
        <w:rPr>
          <w:rFonts w:ascii="Arial" w:hAnsi="Arial" w:cs="Arial"/>
        </w:rPr>
      </w:pPr>
      <w:r w:rsidRPr="11FF59B9">
        <w:rPr>
          <w:rFonts w:ascii="Arial" w:hAnsi="Arial" w:cs="Arial"/>
        </w:rPr>
        <w:t>Increased use of data analytics enabling car manufacturers and dealers to respond to changes in demand.</w:t>
      </w:r>
    </w:p>
    <w:p w14:paraId="3F1D0BA2" w14:textId="77777777" w:rsidR="00E63F77" w:rsidRDefault="11FF59B9" w:rsidP="006647E7">
      <w:pPr>
        <w:pStyle w:val="ListParagraph"/>
        <w:numPr>
          <w:ilvl w:val="0"/>
          <w:numId w:val="2"/>
        </w:numPr>
        <w:spacing w:before="240" w:line="360" w:lineRule="auto"/>
        <w:jc w:val="both"/>
        <w:rPr>
          <w:rFonts w:ascii="Arial" w:hAnsi="Arial" w:cs="Arial"/>
        </w:rPr>
      </w:pPr>
      <w:r w:rsidRPr="11FF59B9">
        <w:rPr>
          <w:rFonts w:ascii="Arial" w:hAnsi="Arial" w:cs="Arial"/>
        </w:rPr>
        <w:lastRenderedPageBreak/>
        <w:t>Altered supply chains resulting from the cessation of motor vehicle manufacturing in Australia in 2017 and new free trade agreements.</w:t>
      </w:r>
    </w:p>
    <w:p w14:paraId="3F1D0BA3" w14:textId="77777777" w:rsidR="00E63F77" w:rsidRDefault="11FF59B9" w:rsidP="006647E7">
      <w:pPr>
        <w:pStyle w:val="ListParagraph"/>
        <w:numPr>
          <w:ilvl w:val="0"/>
          <w:numId w:val="2"/>
        </w:numPr>
        <w:spacing w:before="240" w:line="360" w:lineRule="auto"/>
        <w:jc w:val="both"/>
        <w:rPr>
          <w:rFonts w:ascii="Arial" w:hAnsi="Arial" w:cs="Arial"/>
        </w:rPr>
      </w:pPr>
      <w:r w:rsidRPr="11FF59B9">
        <w:rPr>
          <w:rFonts w:ascii="Arial" w:hAnsi="Arial" w:cs="Arial"/>
        </w:rPr>
        <w:t>An increased consumer preference for automated, electric/hybrid vehicles and downsizing of internal combustion engines (ICEs) and increased use of complex computer systems which will change consumer servicing needs. Specialised equipment and new skills are required to service cars with complex computer systems and electric cars have fewer fluids and moving parts and require less servicing.</w:t>
      </w:r>
    </w:p>
    <w:p w14:paraId="3F1D0BA4" w14:textId="77777777" w:rsidR="00E63F77" w:rsidRDefault="00E63F77" w:rsidP="11FF59B9">
      <w:pPr>
        <w:spacing w:before="240" w:line="360" w:lineRule="auto"/>
        <w:jc w:val="both"/>
        <w:rPr>
          <w:rFonts w:ascii="Arial" w:hAnsi="Arial" w:cs="Arial"/>
        </w:rPr>
      </w:pPr>
      <w:r>
        <w:rPr>
          <w:rFonts w:ascii="Arial" w:hAnsi="Arial" w:cs="Arial"/>
        </w:rPr>
        <w:t>The MTAA, the national peak body for Australian automotive retail, service, repair and recycling industry states:</w:t>
      </w:r>
      <w:r>
        <w:rPr>
          <w:rStyle w:val="FootnoteReference"/>
          <w:rFonts w:ascii="Arial" w:hAnsi="Arial" w:cs="Arial"/>
        </w:rPr>
        <w:footnoteReference w:id="91"/>
      </w:r>
    </w:p>
    <w:p w14:paraId="3F1D0BA5" w14:textId="77777777" w:rsidR="0095124D" w:rsidRDefault="00E63F77" w:rsidP="0095124D">
      <w:pPr>
        <w:spacing w:before="240" w:line="360" w:lineRule="auto"/>
        <w:ind w:left="720"/>
        <w:jc w:val="both"/>
        <w:rPr>
          <w:rFonts w:ascii="Arial" w:hAnsi="Arial" w:cs="Arial"/>
        </w:rPr>
      </w:pPr>
      <w:r w:rsidRPr="5996C6E7">
        <w:rPr>
          <w:rFonts w:ascii="Arial" w:hAnsi="Arial" w:cs="Arial"/>
          <w:i/>
          <w:iCs/>
        </w:rPr>
        <w:t>‘The retail, service, repair and recycling sectors of the Australian automotive industry are expected to face significant adjustment, or complete restructure, in the short to medium</w:t>
      </w:r>
      <w:r w:rsidRPr="5996C6E7">
        <w:rPr>
          <w:rFonts w:ascii="Cambria Math" w:hAnsi="Cambria Math" w:cs="Cambria Math"/>
          <w:i/>
          <w:iCs/>
        </w:rPr>
        <w:t>‑</w:t>
      </w:r>
      <w:r w:rsidRPr="5996C6E7">
        <w:rPr>
          <w:rFonts w:ascii="Arial" w:hAnsi="Arial" w:cs="Arial"/>
          <w:i/>
          <w:iCs/>
        </w:rPr>
        <w:t>term. This will profoundly reshape business models, products and service provision and consumer/stakeholder relationships. As a result of this adjustment, some businesses will be forced to exit the industry, while others will need to adapt to seize opportunities for growth and long</w:t>
      </w:r>
      <w:r w:rsidRPr="5996C6E7">
        <w:rPr>
          <w:rFonts w:ascii="Cambria Math" w:hAnsi="Cambria Math" w:cs="Cambria Math"/>
          <w:i/>
          <w:iCs/>
        </w:rPr>
        <w:t>‑</w:t>
      </w:r>
      <w:r w:rsidRPr="5996C6E7">
        <w:rPr>
          <w:rFonts w:ascii="Arial" w:hAnsi="Arial" w:cs="Arial"/>
          <w:i/>
          <w:iCs/>
        </w:rPr>
        <w:t>term sustainability.’</w:t>
      </w:r>
    </w:p>
    <w:p w14:paraId="3F1D0BA6" w14:textId="77777777" w:rsidR="0095124D" w:rsidRDefault="0095124D" w:rsidP="0095124D">
      <w:pPr>
        <w:pStyle w:val="Box"/>
      </w:pPr>
      <w:r w:rsidRPr="00763A68">
        <w:t xml:space="preserve">Box </w:t>
      </w:r>
      <w:r>
        <w:rPr>
          <w:noProof/>
        </w:rPr>
        <w:t>2</w:t>
      </w:r>
      <w:r w:rsidRPr="00763A68">
        <w:t xml:space="preserve">: </w:t>
      </w:r>
      <w:r>
        <w:t>Toyota New Zealand (NZ) agency model</w:t>
      </w:r>
    </w:p>
    <w:p w14:paraId="3F1D0BA7" w14:textId="77777777" w:rsidR="004301B0" w:rsidRPr="004301B0" w:rsidRDefault="004301B0" w:rsidP="00B244D1">
      <w:pPr>
        <w:spacing w:before="120" w:after="120" w:line="360" w:lineRule="auto"/>
        <w:jc w:val="both"/>
        <w:rPr>
          <w:rFonts w:ascii="Arial" w:hAnsi="Arial" w:cs="Arial"/>
          <w:sz w:val="20"/>
          <w:szCs w:val="20"/>
        </w:rPr>
      </w:pPr>
      <w:r w:rsidRPr="004301B0">
        <w:rPr>
          <w:rFonts w:ascii="Arial" w:hAnsi="Arial" w:cs="Arial"/>
          <w:sz w:val="20"/>
          <w:szCs w:val="20"/>
        </w:rPr>
        <w:t>In March 2018 Toyota NZ announced moves away from a dealership model to an agency model where dealers are to become Toyota agents - called Stores - and they will be paid a fee to deal with customers. Vehicles will not carry recommended retail prices, which means there will no longer be any negotiation between dealers and consumers over price. Staff will be salaried product specialists and not commission-focussed sales people.</w:t>
      </w:r>
    </w:p>
    <w:p w14:paraId="3F1D0BA8" w14:textId="77777777" w:rsidR="004301B0" w:rsidRPr="004301B0" w:rsidRDefault="004301B0" w:rsidP="00B244D1">
      <w:pPr>
        <w:spacing w:before="120" w:after="120" w:line="360" w:lineRule="auto"/>
        <w:jc w:val="both"/>
        <w:rPr>
          <w:rFonts w:ascii="Arial" w:hAnsi="Arial" w:cs="Arial"/>
          <w:sz w:val="20"/>
          <w:szCs w:val="20"/>
        </w:rPr>
      </w:pPr>
      <w:r w:rsidRPr="004301B0">
        <w:rPr>
          <w:rFonts w:ascii="Arial" w:hAnsi="Arial" w:cs="Arial"/>
          <w:sz w:val="20"/>
          <w:szCs w:val="20"/>
        </w:rPr>
        <w:t>Toyota NZ intends to also continue to sell cars from dealerships and actually double the number of vehicles on yards but the stock at the stores will be demonstrators, and all cars purchased will then be delivered from one of its three hubs. Toyota states that the move was customer driven – customers can be assured about price transparency, do not have to feel like they have to bargain to get the best deal, recognises that most customers do on-line research before buying cars and expect the widest availability of choice and customisation.</w:t>
      </w:r>
    </w:p>
    <w:p w14:paraId="3F1D0BA9" w14:textId="4D9A307D" w:rsidR="00B244D1" w:rsidRPr="00B244D1" w:rsidRDefault="00E63F77" w:rsidP="00B244D1">
      <w:pPr>
        <w:spacing w:before="120" w:after="120" w:line="360" w:lineRule="auto"/>
        <w:jc w:val="both"/>
        <w:rPr>
          <w:sz w:val="4"/>
          <w:szCs w:val="4"/>
        </w:rPr>
      </w:pPr>
      <w:r w:rsidRPr="004301B0">
        <w:rPr>
          <w:rFonts w:ascii="Arial" w:hAnsi="Arial" w:cs="Arial"/>
          <w:sz w:val="20"/>
          <w:szCs w:val="20"/>
        </w:rPr>
        <w:t xml:space="preserve">Recent media coverage, submissions to the </w:t>
      </w:r>
      <w:r w:rsidR="004D0831" w:rsidRPr="004301B0">
        <w:rPr>
          <w:rFonts w:ascii="Arial" w:hAnsi="Arial" w:cs="Arial"/>
          <w:sz w:val="20"/>
          <w:szCs w:val="20"/>
        </w:rPr>
        <w:t>PJC</w:t>
      </w:r>
      <w:r w:rsidRPr="004301B0">
        <w:rPr>
          <w:rFonts w:ascii="Arial" w:hAnsi="Arial" w:cs="Arial"/>
          <w:sz w:val="20"/>
          <w:szCs w:val="20"/>
        </w:rPr>
        <w:t xml:space="preserve"> Inquiry, and anecdotal evidence presented to </w:t>
      </w:r>
      <w:r w:rsidR="006E73BB">
        <w:rPr>
          <w:rFonts w:ascii="Arial" w:hAnsi="Arial" w:cs="Arial"/>
          <w:sz w:val="20"/>
          <w:szCs w:val="20"/>
        </w:rPr>
        <w:t>DISER</w:t>
      </w:r>
      <w:r w:rsidRPr="004301B0">
        <w:rPr>
          <w:rFonts w:ascii="Arial" w:hAnsi="Arial" w:cs="Arial"/>
          <w:sz w:val="20"/>
          <w:szCs w:val="20"/>
        </w:rPr>
        <w:t xml:space="preserve"> in its one on one consultations has suggested that in response to increased competition distributors have made the decision to reduce their footprint in some areas of Australia. This has necessarily resulted in non-renewal of dealership agreements.</w:t>
      </w:r>
      <w:r w:rsidRPr="004301B0">
        <w:rPr>
          <w:rStyle w:val="FootnoteReference"/>
          <w:rFonts w:ascii="Arial" w:hAnsi="Arial" w:cs="Arial"/>
          <w:sz w:val="20"/>
          <w:szCs w:val="20"/>
        </w:rPr>
        <w:footnoteReference w:id="92"/>
      </w:r>
      <w:r w:rsidR="00B244D1" w:rsidRPr="00B244D1">
        <w:rPr>
          <w:sz w:val="4"/>
          <w:szCs w:val="4"/>
        </w:rPr>
        <w:t xml:space="preserve"> </w:t>
      </w:r>
    </w:p>
    <w:p w14:paraId="3F1D0BAA" w14:textId="77777777" w:rsidR="00960ECE" w:rsidRPr="00E63F77" w:rsidRDefault="11FF59B9" w:rsidP="11FF59B9">
      <w:pPr>
        <w:pStyle w:val="Heading1"/>
        <w:rPr>
          <w:color w:val="005677"/>
        </w:rPr>
      </w:pPr>
      <w:bookmarkStart w:id="105" w:name="_Toc529891254"/>
      <w:bookmarkStart w:id="106" w:name="_Toc529891272"/>
      <w:bookmarkStart w:id="107" w:name="_Toc530493138"/>
      <w:bookmarkStart w:id="108" w:name="_Toc530493193"/>
      <w:bookmarkStart w:id="109" w:name="_Toc530563059"/>
      <w:bookmarkStart w:id="110" w:name="_Toc20489952"/>
      <w:r w:rsidRPr="11FF59B9">
        <w:rPr>
          <w:color w:val="005677"/>
        </w:rPr>
        <w:lastRenderedPageBreak/>
        <w:t>Appendix 2: Franchising Code obligations</w:t>
      </w:r>
      <w:bookmarkEnd w:id="105"/>
      <w:bookmarkEnd w:id="106"/>
      <w:bookmarkEnd w:id="107"/>
      <w:bookmarkEnd w:id="108"/>
      <w:bookmarkEnd w:id="109"/>
      <w:bookmarkEnd w:id="110"/>
    </w:p>
    <w:p w14:paraId="3F1D0BAB" w14:textId="77777777" w:rsidR="00E63F77" w:rsidRPr="00F9581D" w:rsidRDefault="11FF59B9" w:rsidP="11FF59B9">
      <w:pPr>
        <w:keepNext/>
        <w:spacing w:before="240" w:line="360" w:lineRule="auto"/>
        <w:jc w:val="both"/>
        <w:rPr>
          <w:rFonts w:ascii="Arial" w:hAnsi="Arial" w:cs="Arial"/>
          <w:b/>
          <w:bCs/>
        </w:rPr>
      </w:pPr>
      <w:r w:rsidRPr="11FF59B9">
        <w:rPr>
          <w:rFonts w:ascii="Arial" w:hAnsi="Arial" w:cs="Arial"/>
          <w:b/>
          <w:bCs/>
        </w:rPr>
        <w:t>Rights and obligations of parties under the Franchising Code</w:t>
      </w:r>
    </w:p>
    <w:p w14:paraId="3F1D0BAC" w14:textId="77777777" w:rsidR="00E63F77" w:rsidRPr="0040566B" w:rsidRDefault="11FF59B9" w:rsidP="5996C6E7">
      <w:pPr>
        <w:rPr>
          <w:rFonts w:ascii="Arial" w:hAnsi="Arial" w:cs="Arial"/>
          <w:b/>
          <w:bCs/>
          <w:i/>
          <w:iCs/>
        </w:rPr>
      </w:pPr>
      <w:r w:rsidRPr="5996C6E7">
        <w:rPr>
          <w:rFonts w:ascii="Arial" w:hAnsi="Arial" w:cs="Arial"/>
          <w:b/>
          <w:bCs/>
          <w:i/>
          <w:iCs/>
        </w:rPr>
        <w:t>Pre-contractual rights</w:t>
      </w:r>
    </w:p>
    <w:p w14:paraId="3F1D0BAD" w14:textId="77777777" w:rsidR="00E63F77" w:rsidRPr="0040566B" w:rsidRDefault="11FF59B9" w:rsidP="5996C6E7">
      <w:pPr>
        <w:rPr>
          <w:rFonts w:ascii="Arial" w:hAnsi="Arial" w:cs="Arial"/>
          <w:i/>
          <w:iCs/>
        </w:rPr>
      </w:pPr>
      <w:r w:rsidRPr="5996C6E7">
        <w:rPr>
          <w:rFonts w:ascii="Arial" w:hAnsi="Arial" w:cs="Arial"/>
          <w:i/>
          <w:iCs/>
        </w:rPr>
        <w:t>Disclosure</w:t>
      </w:r>
    </w:p>
    <w:p w14:paraId="3F1D0BAE" w14:textId="333ABD95" w:rsidR="00E63F77" w:rsidRPr="00F9581D" w:rsidRDefault="11FF59B9" w:rsidP="11FF59B9">
      <w:pPr>
        <w:spacing w:before="240" w:line="360" w:lineRule="auto"/>
        <w:jc w:val="both"/>
        <w:rPr>
          <w:rFonts w:ascii="Arial" w:hAnsi="Arial" w:cs="Arial"/>
        </w:rPr>
      </w:pPr>
      <w:r w:rsidRPr="11FF59B9">
        <w:rPr>
          <w:rFonts w:ascii="Arial" w:hAnsi="Arial" w:cs="Arial"/>
        </w:rPr>
        <w:t>Franchisors are required to disclose certain information and provide specific documents to prospective franchisees. These documents include</w:t>
      </w:r>
      <w:r w:rsidR="002142B3">
        <w:rPr>
          <w:rStyle w:val="FootnoteReference"/>
          <w:rFonts w:ascii="Arial" w:hAnsi="Arial" w:cs="Arial"/>
        </w:rPr>
        <w:footnoteReference w:id="93"/>
      </w:r>
      <w:r w:rsidRPr="11FF59B9">
        <w:rPr>
          <w:rFonts w:ascii="Arial" w:hAnsi="Arial" w:cs="Arial"/>
        </w:rPr>
        <w:t>:</w:t>
      </w:r>
    </w:p>
    <w:p w14:paraId="3F1D0BAF" w14:textId="532AFD0D" w:rsidR="00E63F77" w:rsidRPr="00F9581D" w:rsidRDefault="11FF59B9" w:rsidP="006647E7">
      <w:pPr>
        <w:pStyle w:val="ListParagraph"/>
        <w:numPr>
          <w:ilvl w:val="0"/>
          <w:numId w:val="4"/>
        </w:numPr>
        <w:spacing w:before="240" w:line="360" w:lineRule="auto"/>
        <w:jc w:val="both"/>
        <w:rPr>
          <w:rFonts w:ascii="Arial" w:hAnsi="Arial" w:cs="Arial"/>
        </w:rPr>
      </w:pPr>
      <w:r w:rsidRPr="11FF59B9">
        <w:rPr>
          <w:rFonts w:ascii="Arial" w:hAnsi="Arial" w:cs="Arial"/>
        </w:rPr>
        <w:t xml:space="preserve">an information statement on the risks and rewards of franchising; </w:t>
      </w:r>
    </w:p>
    <w:p w14:paraId="3F1D0BB0" w14:textId="77777777" w:rsidR="00E63F77" w:rsidRPr="00F9581D" w:rsidRDefault="11FF59B9" w:rsidP="006647E7">
      <w:pPr>
        <w:pStyle w:val="ListParagraph"/>
        <w:numPr>
          <w:ilvl w:val="0"/>
          <w:numId w:val="4"/>
        </w:numPr>
        <w:spacing w:before="240" w:line="360" w:lineRule="auto"/>
        <w:jc w:val="both"/>
        <w:rPr>
          <w:rFonts w:ascii="Arial" w:hAnsi="Arial" w:cs="Arial"/>
        </w:rPr>
      </w:pPr>
      <w:r w:rsidRPr="11FF59B9">
        <w:rPr>
          <w:rFonts w:ascii="Arial" w:hAnsi="Arial" w:cs="Arial"/>
        </w:rPr>
        <w:t>a copy of the Franchising Code</w:t>
      </w:r>
      <w:r w:rsidR="00216A5D">
        <w:rPr>
          <w:rFonts w:ascii="Arial" w:hAnsi="Arial" w:cs="Arial"/>
        </w:rPr>
        <w:t>;</w:t>
      </w:r>
    </w:p>
    <w:p w14:paraId="3F1D0BB1" w14:textId="77777777" w:rsidR="00E63F77" w:rsidRPr="00F9581D" w:rsidRDefault="11FF59B9" w:rsidP="006647E7">
      <w:pPr>
        <w:pStyle w:val="ListParagraph"/>
        <w:numPr>
          <w:ilvl w:val="0"/>
          <w:numId w:val="4"/>
        </w:numPr>
        <w:spacing w:before="240" w:line="360" w:lineRule="auto"/>
        <w:jc w:val="both"/>
        <w:rPr>
          <w:rFonts w:ascii="Arial" w:hAnsi="Arial" w:cs="Arial"/>
        </w:rPr>
      </w:pPr>
      <w:r w:rsidRPr="11FF59B9">
        <w:rPr>
          <w:rFonts w:ascii="Arial" w:hAnsi="Arial" w:cs="Arial"/>
        </w:rPr>
        <w:t>a disclosure document</w:t>
      </w:r>
      <w:r w:rsidR="00216A5D">
        <w:rPr>
          <w:rFonts w:ascii="Arial" w:hAnsi="Arial" w:cs="Arial"/>
        </w:rPr>
        <w:t>;</w:t>
      </w:r>
      <w:r w:rsidRPr="11FF59B9">
        <w:rPr>
          <w:rFonts w:ascii="Arial" w:hAnsi="Arial" w:cs="Arial"/>
        </w:rPr>
        <w:t xml:space="preserve"> and</w:t>
      </w:r>
    </w:p>
    <w:p w14:paraId="3F1D0BB2" w14:textId="77777777" w:rsidR="00E63F77" w:rsidRPr="00F9581D" w:rsidRDefault="00482E2C" w:rsidP="006647E7">
      <w:pPr>
        <w:pStyle w:val="ListParagraph"/>
        <w:numPr>
          <w:ilvl w:val="0"/>
          <w:numId w:val="4"/>
        </w:numPr>
        <w:spacing w:before="240" w:line="360" w:lineRule="auto"/>
        <w:jc w:val="both"/>
        <w:rPr>
          <w:rFonts w:ascii="Arial" w:hAnsi="Arial" w:cs="Arial"/>
        </w:rPr>
      </w:pPr>
      <w:r>
        <w:rPr>
          <w:rFonts w:ascii="Arial" w:hAnsi="Arial" w:cs="Arial"/>
        </w:rPr>
        <w:t>a</w:t>
      </w:r>
      <w:r w:rsidR="11FF59B9" w:rsidRPr="11FF59B9">
        <w:rPr>
          <w:rFonts w:ascii="Arial" w:hAnsi="Arial" w:cs="Arial"/>
        </w:rPr>
        <w:t xml:space="preserve"> copy of the franchise agreement in its final form.</w:t>
      </w:r>
    </w:p>
    <w:p w14:paraId="3F1D0BB3" w14:textId="77777777" w:rsidR="00E63F77" w:rsidRPr="0040566B" w:rsidRDefault="11FF59B9" w:rsidP="5996C6E7">
      <w:pPr>
        <w:rPr>
          <w:rFonts w:ascii="Arial" w:hAnsi="Arial" w:cs="Arial"/>
          <w:i/>
          <w:iCs/>
        </w:rPr>
      </w:pPr>
      <w:r w:rsidRPr="5996C6E7">
        <w:rPr>
          <w:rFonts w:ascii="Arial" w:hAnsi="Arial" w:cs="Arial"/>
          <w:i/>
          <w:iCs/>
        </w:rPr>
        <w:t>Cooling off</w:t>
      </w:r>
    </w:p>
    <w:p w14:paraId="3F1D0BB4" w14:textId="2E8FDD0C" w:rsidR="00E63F77" w:rsidRPr="00F9581D" w:rsidRDefault="11FF59B9" w:rsidP="11FF59B9">
      <w:pPr>
        <w:spacing w:before="240" w:line="360" w:lineRule="auto"/>
        <w:jc w:val="both"/>
        <w:rPr>
          <w:rFonts w:ascii="Arial" w:hAnsi="Arial" w:cs="Arial"/>
        </w:rPr>
      </w:pPr>
      <w:r w:rsidRPr="11FF59B9">
        <w:rPr>
          <w:rFonts w:ascii="Arial" w:hAnsi="Arial" w:cs="Arial"/>
        </w:rPr>
        <w:t>A prospective franchisee is entitle</w:t>
      </w:r>
      <w:r w:rsidR="00280CF3">
        <w:rPr>
          <w:rFonts w:ascii="Arial" w:hAnsi="Arial" w:cs="Arial"/>
        </w:rPr>
        <w:t>d</w:t>
      </w:r>
      <w:r w:rsidRPr="11FF59B9">
        <w:rPr>
          <w:rFonts w:ascii="Arial" w:hAnsi="Arial" w:cs="Arial"/>
        </w:rPr>
        <w:t xml:space="preserve"> to a seven day cooling off period after entering into a new agreement or making any payment under the agreement, whichever occurs earlier. The cooling off period does not apply to transfers, renewals or extensions of an existing agreement.</w:t>
      </w:r>
      <w:r w:rsidR="00231456">
        <w:rPr>
          <w:rStyle w:val="FootnoteReference"/>
          <w:rFonts w:ascii="Arial" w:hAnsi="Arial" w:cs="Arial"/>
        </w:rPr>
        <w:footnoteReference w:id="94"/>
      </w:r>
      <w:r w:rsidRPr="11FF59B9">
        <w:rPr>
          <w:rFonts w:ascii="Arial" w:hAnsi="Arial" w:cs="Arial"/>
        </w:rPr>
        <w:t xml:space="preserve"> </w:t>
      </w:r>
    </w:p>
    <w:p w14:paraId="3F1D0BB5" w14:textId="14B041E9" w:rsidR="00E63F77" w:rsidRPr="0040566B" w:rsidRDefault="11FF59B9" w:rsidP="5996C6E7">
      <w:pPr>
        <w:rPr>
          <w:rFonts w:ascii="Arial" w:hAnsi="Arial" w:cs="Arial"/>
          <w:i/>
          <w:iCs/>
        </w:rPr>
      </w:pPr>
      <w:r w:rsidRPr="5996C6E7">
        <w:rPr>
          <w:rFonts w:ascii="Arial" w:hAnsi="Arial" w:cs="Arial"/>
          <w:i/>
          <w:iCs/>
        </w:rPr>
        <w:t>General obligation to act in good faith</w:t>
      </w:r>
      <w:r w:rsidR="00231456">
        <w:rPr>
          <w:rStyle w:val="FootnoteReference"/>
          <w:rFonts w:ascii="Arial" w:hAnsi="Arial" w:cs="Arial"/>
          <w:i/>
          <w:iCs/>
        </w:rPr>
        <w:footnoteReference w:id="95"/>
      </w:r>
    </w:p>
    <w:p w14:paraId="3F1D0BB6" w14:textId="77777777" w:rsidR="00E63F77" w:rsidRPr="00F9581D" w:rsidRDefault="11FF59B9" w:rsidP="11FF59B9">
      <w:pPr>
        <w:spacing w:before="240" w:line="360" w:lineRule="auto"/>
        <w:jc w:val="both"/>
        <w:rPr>
          <w:rFonts w:ascii="Arial" w:hAnsi="Arial" w:cs="Arial"/>
        </w:rPr>
      </w:pPr>
      <w:r w:rsidRPr="11FF59B9">
        <w:rPr>
          <w:rFonts w:ascii="Arial" w:hAnsi="Arial" w:cs="Arial"/>
        </w:rPr>
        <w:t>The Franchising Code contains an obligation for all parties to a franchise agreement to act in good faith towards one another in respect of any matter relating to their agreement or the Franchising Code.</w:t>
      </w:r>
    </w:p>
    <w:p w14:paraId="3F1D0BB7" w14:textId="77777777" w:rsidR="00E63F77" w:rsidRPr="00F9581D" w:rsidRDefault="11FF59B9" w:rsidP="11FF59B9">
      <w:pPr>
        <w:spacing w:before="240" w:line="360" w:lineRule="auto"/>
        <w:jc w:val="both"/>
        <w:rPr>
          <w:rFonts w:ascii="Arial" w:hAnsi="Arial" w:cs="Arial"/>
        </w:rPr>
      </w:pPr>
      <w:r w:rsidRPr="11FF59B9">
        <w:rPr>
          <w:rFonts w:ascii="Arial" w:hAnsi="Arial" w:cs="Arial"/>
        </w:rPr>
        <w:t>The obligation to act in good faith also applies to parties who propose to enter into a franchise agreement.</w:t>
      </w:r>
    </w:p>
    <w:p w14:paraId="3F1D0BB8" w14:textId="77777777" w:rsidR="00E63F77" w:rsidRPr="0040566B" w:rsidRDefault="11FF59B9" w:rsidP="5996C6E7">
      <w:pPr>
        <w:keepNext/>
        <w:rPr>
          <w:rFonts w:ascii="Arial" w:hAnsi="Arial" w:cs="Arial"/>
          <w:b/>
          <w:bCs/>
          <w:i/>
          <w:iCs/>
        </w:rPr>
      </w:pPr>
      <w:r w:rsidRPr="5996C6E7">
        <w:rPr>
          <w:rFonts w:ascii="Arial" w:hAnsi="Arial" w:cs="Arial"/>
          <w:b/>
          <w:bCs/>
          <w:i/>
          <w:iCs/>
        </w:rPr>
        <w:lastRenderedPageBreak/>
        <w:t>Rights and obligations during the agreement</w:t>
      </w:r>
    </w:p>
    <w:p w14:paraId="3F1D0BB9" w14:textId="0F8095A1" w:rsidR="00E63F77" w:rsidRPr="0040566B" w:rsidRDefault="11FF59B9" w:rsidP="5996C6E7">
      <w:pPr>
        <w:keepNext/>
        <w:rPr>
          <w:rFonts w:ascii="Arial" w:hAnsi="Arial" w:cs="Arial"/>
          <w:i/>
          <w:iCs/>
        </w:rPr>
      </w:pPr>
      <w:r w:rsidRPr="5996C6E7">
        <w:rPr>
          <w:rFonts w:ascii="Arial" w:hAnsi="Arial" w:cs="Arial"/>
          <w:i/>
          <w:iCs/>
        </w:rPr>
        <w:t>Marketing fund</w:t>
      </w:r>
      <w:r w:rsidR="00E02BD7">
        <w:rPr>
          <w:rStyle w:val="FootnoteReference"/>
          <w:rFonts w:ascii="Arial" w:hAnsi="Arial" w:cs="Arial"/>
          <w:i/>
          <w:iCs/>
        </w:rPr>
        <w:footnoteReference w:id="96"/>
      </w:r>
      <w:r w:rsidRPr="5996C6E7">
        <w:rPr>
          <w:rFonts w:ascii="Arial" w:hAnsi="Arial" w:cs="Arial"/>
          <w:i/>
          <w:iCs/>
        </w:rPr>
        <w:t xml:space="preserve"> </w:t>
      </w:r>
    </w:p>
    <w:p w14:paraId="3F1D0BBA" w14:textId="77777777" w:rsidR="00E63F77" w:rsidRPr="00F9581D" w:rsidRDefault="11FF59B9" w:rsidP="11FF59B9">
      <w:pPr>
        <w:spacing w:before="240" w:line="360" w:lineRule="auto"/>
        <w:jc w:val="both"/>
        <w:rPr>
          <w:rFonts w:ascii="Arial" w:hAnsi="Arial" w:cs="Arial"/>
        </w:rPr>
      </w:pPr>
      <w:r w:rsidRPr="11FF59B9">
        <w:rPr>
          <w:rFonts w:ascii="Arial" w:hAnsi="Arial" w:cs="Arial"/>
        </w:rPr>
        <w:t>If the franchisor operates a marketing fund, the franchisor must maintain a separate bank account for the fund and contribute to the fund on the same basis as other franchisees for each company owned store that a franchisor operates. Marketing and advertising fees may only be used to meet certain expenses.</w:t>
      </w:r>
    </w:p>
    <w:p w14:paraId="3F1D0BBB" w14:textId="77777777" w:rsidR="00E63F77" w:rsidRPr="00F9581D" w:rsidRDefault="11FF59B9" w:rsidP="11FF59B9">
      <w:pPr>
        <w:spacing w:before="240" w:line="360" w:lineRule="auto"/>
        <w:jc w:val="both"/>
        <w:rPr>
          <w:rFonts w:ascii="Arial" w:hAnsi="Arial" w:cs="Arial"/>
        </w:rPr>
      </w:pPr>
      <w:r w:rsidRPr="11FF59B9">
        <w:rPr>
          <w:rFonts w:ascii="Arial" w:hAnsi="Arial" w:cs="Arial"/>
        </w:rPr>
        <w:t xml:space="preserve">If a marketing fund is used, the franchisor must prepare an annual financial statement for the fund. The annual financial statement must set out meaningful information about sources of income and items of expenditure. </w:t>
      </w:r>
    </w:p>
    <w:p w14:paraId="3F1D0BBC" w14:textId="77777777" w:rsidR="00E63F77" w:rsidRPr="00F9581D" w:rsidRDefault="11FF59B9" w:rsidP="11FF59B9">
      <w:pPr>
        <w:spacing w:before="240" w:line="360" w:lineRule="auto"/>
        <w:jc w:val="both"/>
        <w:rPr>
          <w:rFonts w:ascii="Arial" w:hAnsi="Arial" w:cs="Arial"/>
        </w:rPr>
      </w:pPr>
      <w:r w:rsidRPr="11FF59B9">
        <w:rPr>
          <w:rFonts w:ascii="Arial" w:hAnsi="Arial" w:cs="Arial"/>
        </w:rPr>
        <w:t>The annual financial statement must also be audited by a registered company auditor, unless 75 per cent of the franchisees that contribute to the fund vote not to do so.</w:t>
      </w:r>
    </w:p>
    <w:p w14:paraId="3F1D0BBD" w14:textId="77777777" w:rsidR="00E63F77" w:rsidRPr="0040566B" w:rsidRDefault="11FF59B9" w:rsidP="5996C6E7">
      <w:pPr>
        <w:rPr>
          <w:rFonts w:ascii="Arial" w:hAnsi="Arial" w:cs="Arial"/>
          <w:i/>
          <w:iCs/>
        </w:rPr>
      </w:pPr>
      <w:r w:rsidRPr="5996C6E7">
        <w:rPr>
          <w:rFonts w:ascii="Arial" w:hAnsi="Arial" w:cs="Arial"/>
          <w:i/>
          <w:iCs/>
        </w:rPr>
        <w:t>General release</w:t>
      </w:r>
    </w:p>
    <w:p w14:paraId="3F1D0BBE" w14:textId="091EF462" w:rsidR="00E63F77" w:rsidRPr="00F9581D" w:rsidRDefault="11FF59B9" w:rsidP="11FF59B9">
      <w:pPr>
        <w:spacing w:before="240" w:line="360" w:lineRule="auto"/>
        <w:jc w:val="both"/>
        <w:rPr>
          <w:rFonts w:ascii="Arial" w:hAnsi="Arial" w:cs="Arial"/>
        </w:rPr>
      </w:pPr>
      <w:r w:rsidRPr="11FF59B9">
        <w:rPr>
          <w:rFonts w:ascii="Arial" w:hAnsi="Arial" w:cs="Arial"/>
        </w:rPr>
        <w:t>A franchise agreement must not require a franchisee to sign a general re</w:t>
      </w:r>
      <w:r w:rsidR="003772E0">
        <w:rPr>
          <w:rFonts w:ascii="Arial" w:hAnsi="Arial" w:cs="Arial"/>
        </w:rPr>
        <w:t>lease</w:t>
      </w:r>
      <w:r w:rsidRPr="11FF59B9">
        <w:rPr>
          <w:rFonts w:ascii="Arial" w:hAnsi="Arial" w:cs="Arial"/>
        </w:rPr>
        <w:t xml:space="preserve"> of the franchisor from liability towards the franchisee.</w:t>
      </w:r>
      <w:r w:rsidR="003772E0">
        <w:rPr>
          <w:rStyle w:val="FootnoteReference"/>
          <w:rFonts w:ascii="Arial" w:hAnsi="Arial" w:cs="Arial"/>
        </w:rPr>
        <w:footnoteReference w:id="97"/>
      </w:r>
    </w:p>
    <w:p w14:paraId="3F1D0BBF" w14:textId="56245C36" w:rsidR="00E63F77" w:rsidRPr="0040566B" w:rsidRDefault="11FF59B9" w:rsidP="5996C6E7">
      <w:pPr>
        <w:rPr>
          <w:rFonts w:ascii="Arial" w:hAnsi="Arial" w:cs="Arial"/>
          <w:i/>
          <w:iCs/>
        </w:rPr>
      </w:pPr>
      <w:r w:rsidRPr="5996C6E7">
        <w:rPr>
          <w:rFonts w:ascii="Arial" w:hAnsi="Arial" w:cs="Arial"/>
          <w:i/>
          <w:iCs/>
        </w:rPr>
        <w:t>Transfer</w:t>
      </w:r>
      <w:r w:rsidR="00E37B71">
        <w:rPr>
          <w:rStyle w:val="FootnoteReference"/>
          <w:rFonts w:ascii="Arial" w:hAnsi="Arial" w:cs="Arial"/>
        </w:rPr>
        <w:footnoteReference w:id="98"/>
      </w:r>
    </w:p>
    <w:p w14:paraId="3F1D0BC0" w14:textId="2BFE4EDE" w:rsidR="00E63F77" w:rsidRPr="00F9581D" w:rsidRDefault="11FF59B9" w:rsidP="11FF59B9">
      <w:pPr>
        <w:spacing w:before="240" w:line="360" w:lineRule="auto"/>
        <w:jc w:val="both"/>
        <w:rPr>
          <w:rFonts w:ascii="Arial" w:hAnsi="Arial" w:cs="Arial"/>
        </w:rPr>
      </w:pPr>
      <w:r w:rsidRPr="11FF59B9">
        <w:rPr>
          <w:rFonts w:ascii="Arial" w:hAnsi="Arial" w:cs="Arial"/>
        </w:rPr>
        <w:t>A franchisee that wants to transfer an agreement must seek the franchisors consent in writing. A franchisor must not unreasonably withhold their consent. The Franchising Code contains a non</w:t>
      </w:r>
      <w:r w:rsidR="005B7BC5">
        <w:rPr>
          <w:rFonts w:ascii="Arial" w:hAnsi="Arial" w:cs="Arial"/>
        </w:rPr>
        <w:t>-</w:t>
      </w:r>
      <w:r w:rsidRPr="11FF59B9">
        <w:rPr>
          <w:rFonts w:ascii="Arial" w:hAnsi="Arial" w:cs="Arial"/>
        </w:rPr>
        <w:t>exhaustive list of circumstances in which it would be reasonable for a franchisor to without consent.</w:t>
      </w:r>
    </w:p>
    <w:p w14:paraId="3F1D0BC1" w14:textId="77777777" w:rsidR="00E63F77" w:rsidRPr="00F9581D" w:rsidRDefault="11FF59B9" w:rsidP="11FF59B9">
      <w:pPr>
        <w:spacing w:before="240" w:line="360" w:lineRule="auto"/>
        <w:jc w:val="both"/>
        <w:rPr>
          <w:rFonts w:ascii="Arial" w:hAnsi="Arial" w:cs="Arial"/>
        </w:rPr>
      </w:pPr>
      <w:r w:rsidRPr="11FF59B9">
        <w:rPr>
          <w:rFonts w:ascii="Arial" w:hAnsi="Arial" w:cs="Arial"/>
        </w:rPr>
        <w:t xml:space="preserve">Consent is assumed to be given by the franchisor after 42 days unless the franchisor advises the franchisee in writing that they do not consent. </w:t>
      </w:r>
    </w:p>
    <w:p w14:paraId="3F1D0BC2" w14:textId="3467F2FD" w:rsidR="00E63F77" w:rsidRPr="0040566B" w:rsidRDefault="11FF59B9" w:rsidP="5996C6E7">
      <w:pPr>
        <w:rPr>
          <w:rFonts w:ascii="Arial" w:hAnsi="Arial" w:cs="Arial"/>
          <w:i/>
          <w:iCs/>
        </w:rPr>
      </w:pPr>
      <w:r w:rsidRPr="5996C6E7">
        <w:rPr>
          <w:rFonts w:ascii="Arial" w:hAnsi="Arial" w:cs="Arial"/>
          <w:i/>
          <w:iCs/>
        </w:rPr>
        <w:t>Restraint of trade</w:t>
      </w:r>
      <w:r w:rsidR="00233505">
        <w:rPr>
          <w:rStyle w:val="FootnoteReference"/>
          <w:rFonts w:ascii="Arial" w:hAnsi="Arial" w:cs="Arial"/>
          <w:i/>
          <w:iCs/>
        </w:rPr>
        <w:footnoteReference w:id="99"/>
      </w:r>
    </w:p>
    <w:p w14:paraId="3F1D0BC3" w14:textId="77777777" w:rsidR="00E63F77" w:rsidRPr="00F9581D" w:rsidRDefault="11FF59B9" w:rsidP="11FF59B9">
      <w:pPr>
        <w:spacing w:before="240" w:line="360" w:lineRule="auto"/>
        <w:jc w:val="both"/>
        <w:rPr>
          <w:rFonts w:ascii="Arial" w:hAnsi="Arial" w:cs="Arial"/>
        </w:rPr>
      </w:pPr>
      <w:r w:rsidRPr="11FF59B9">
        <w:rPr>
          <w:rFonts w:ascii="Arial" w:hAnsi="Arial" w:cs="Arial"/>
        </w:rPr>
        <w:t>A restraint of trade clause in a franchise agreement will have no effect when a franchisee has sought to extend their agreement and the franchisor does not agreement and the franchisee:</w:t>
      </w:r>
    </w:p>
    <w:p w14:paraId="3F1D0BC4" w14:textId="77777777" w:rsidR="00E63F77" w:rsidRPr="00F9581D" w:rsidRDefault="11FF59B9" w:rsidP="006647E7">
      <w:pPr>
        <w:pStyle w:val="ListParagraph"/>
        <w:numPr>
          <w:ilvl w:val="0"/>
          <w:numId w:val="5"/>
        </w:numPr>
        <w:spacing w:line="360" w:lineRule="auto"/>
        <w:ind w:left="714" w:hanging="357"/>
        <w:rPr>
          <w:rFonts w:ascii="Arial" w:hAnsi="Arial" w:cs="Arial"/>
        </w:rPr>
      </w:pPr>
      <w:r w:rsidRPr="11FF59B9">
        <w:rPr>
          <w:rFonts w:ascii="Arial" w:hAnsi="Arial" w:cs="Arial"/>
        </w:rPr>
        <w:t>had sought to extend the agreement on substantially the same terms as those contained in the franchisors current agreement that applies to other franchisees or would apply to a prospective franchisee; and</w:t>
      </w:r>
    </w:p>
    <w:p w14:paraId="3F1D0BC5" w14:textId="77777777" w:rsidR="00E63F77" w:rsidRPr="00F9581D" w:rsidRDefault="11FF59B9" w:rsidP="006647E7">
      <w:pPr>
        <w:pStyle w:val="ListParagraph"/>
        <w:numPr>
          <w:ilvl w:val="0"/>
          <w:numId w:val="5"/>
        </w:numPr>
        <w:spacing w:line="360" w:lineRule="auto"/>
        <w:ind w:left="714" w:hanging="357"/>
        <w:rPr>
          <w:rFonts w:ascii="Arial" w:hAnsi="Arial" w:cs="Arial"/>
        </w:rPr>
      </w:pPr>
      <w:r w:rsidRPr="11FF59B9">
        <w:rPr>
          <w:rFonts w:ascii="Arial" w:hAnsi="Arial" w:cs="Arial"/>
        </w:rPr>
        <w:t>was not in breach of their agreement or any related agreement; and</w:t>
      </w:r>
    </w:p>
    <w:p w14:paraId="3F1D0BC6" w14:textId="77777777" w:rsidR="00E63F77" w:rsidRPr="00F9581D" w:rsidRDefault="11FF59B9" w:rsidP="006647E7">
      <w:pPr>
        <w:pStyle w:val="ListParagraph"/>
        <w:numPr>
          <w:ilvl w:val="0"/>
          <w:numId w:val="5"/>
        </w:numPr>
        <w:spacing w:line="360" w:lineRule="auto"/>
        <w:ind w:left="714" w:hanging="357"/>
        <w:rPr>
          <w:rFonts w:ascii="Arial" w:hAnsi="Arial" w:cs="Arial"/>
        </w:rPr>
      </w:pPr>
      <w:r w:rsidRPr="11FF59B9">
        <w:rPr>
          <w:rFonts w:ascii="Arial" w:hAnsi="Arial" w:cs="Arial"/>
        </w:rPr>
        <w:lastRenderedPageBreak/>
        <w:t xml:space="preserve">had not infringed the intellectual property of the franchisor or breached any confidentiality agreements; and </w:t>
      </w:r>
    </w:p>
    <w:p w14:paraId="3F1D0BC7" w14:textId="77777777" w:rsidR="00E63F77" w:rsidRPr="00F9581D" w:rsidRDefault="11FF59B9" w:rsidP="006647E7">
      <w:pPr>
        <w:pStyle w:val="ListParagraph"/>
        <w:numPr>
          <w:ilvl w:val="0"/>
          <w:numId w:val="5"/>
        </w:numPr>
        <w:spacing w:line="360" w:lineRule="auto"/>
        <w:ind w:left="714" w:hanging="357"/>
        <w:rPr>
          <w:rFonts w:ascii="Arial" w:hAnsi="Arial" w:cs="Arial"/>
        </w:rPr>
      </w:pPr>
      <w:r w:rsidRPr="11FF59B9">
        <w:rPr>
          <w:rFonts w:ascii="Arial" w:hAnsi="Arial" w:cs="Arial"/>
        </w:rPr>
        <w:t>received only nominal, and not genuine, compensation for goodwill; or</w:t>
      </w:r>
    </w:p>
    <w:p w14:paraId="3F1D0BC8" w14:textId="77777777" w:rsidR="00E63F77" w:rsidRPr="00F9581D" w:rsidRDefault="11FF59B9" w:rsidP="006647E7">
      <w:pPr>
        <w:pStyle w:val="ListParagraph"/>
        <w:numPr>
          <w:ilvl w:val="0"/>
          <w:numId w:val="5"/>
        </w:numPr>
        <w:spacing w:line="360" w:lineRule="auto"/>
        <w:ind w:left="714" w:hanging="357"/>
        <w:rPr>
          <w:rFonts w:ascii="Arial" w:hAnsi="Arial" w:cs="Arial"/>
        </w:rPr>
      </w:pPr>
      <w:r w:rsidRPr="11FF59B9">
        <w:rPr>
          <w:rFonts w:ascii="Arial" w:hAnsi="Arial" w:cs="Arial"/>
        </w:rPr>
        <w:t>the agreement provided no avenue by which to claim compensation in the event it was not extended.</w:t>
      </w:r>
    </w:p>
    <w:p w14:paraId="3F1D0BC9" w14:textId="1B01C2B3" w:rsidR="00E63F77" w:rsidRPr="0040566B" w:rsidRDefault="11FF59B9" w:rsidP="5996C6E7">
      <w:pPr>
        <w:keepNext/>
        <w:rPr>
          <w:rFonts w:ascii="Arial" w:hAnsi="Arial" w:cs="Arial"/>
          <w:i/>
          <w:iCs/>
        </w:rPr>
      </w:pPr>
      <w:r w:rsidRPr="5996C6E7">
        <w:rPr>
          <w:rFonts w:ascii="Arial" w:hAnsi="Arial" w:cs="Arial"/>
          <w:i/>
          <w:iCs/>
        </w:rPr>
        <w:t>Dispute resolution</w:t>
      </w:r>
      <w:r w:rsidR="00231988">
        <w:rPr>
          <w:rStyle w:val="FootnoteReference"/>
          <w:rFonts w:ascii="Arial" w:hAnsi="Arial" w:cs="Arial"/>
          <w:i/>
          <w:iCs/>
        </w:rPr>
        <w:footnoteReference w:id="100"/>
      </w:r>
    </w:p>
    <w:p w14:paraId="3F1D0BCA" w14:textId="77777777" w:rsidR="00E63F77" w:rsidRPr="00F9581D" w:rsidRDefault="11FF59B9" w:rsidP="11FF59B9">
      <w:pPr>
        <w:spacing w:before="240" w:line="360" w:lineRule="auto"/>
        <w:jc w:val="both"/>
        <w:rPr>
          <w:rFonts w:ascii="Arial" w:hAnsi="Arial" w:cs="Arial"/>
        </w:rPr>
      </w:pPr>
      <w:r w:rsidRPr="11FF59B9">
        <w:rPr>
          <w:rFonts w:ascii="Arial" w:hAnsi="Arial" w:cs="Arial"/>
        </w:rPr>
        <w:t xml:space="preserve">The Franchising Code provides mechanisms for parties to a franchise agreement to try and resolve disputes in a timely and cost effective manner. The two dispute resolution mechanisms in the code are that: </w:t>
      </w:r>
    </w:p>
    <w:p w14:paraId="3F1D0BCB" w14:textId="77777777" w:rsidR="00E63F77" w:rsidRPr="00F9581D" w:rsidRDefault="11FF59B9" w:rsidP="006647E7">
      <w:pPr>
        <w:pStyle w:val="ListParagraph"/>
        <w:numPr>
          <w:ilvl w:val="0"/>
          <w:numId w:val="5"/>
        </w:numPr>
        <w:spacing w:line="360" w:lineRule="auto"/>
        <w:ind w:left="714" w:hanging="357"/>
        <w:rPr>
          <w:rFonts w:ascii="Arial" w:hAnsi="Arial" w:cs="Arial"/>
        </w:rPr>
      </w:pPr>
      <w:r w:rsidRPr="11FF59B9">
        <w:rPr>
          <w:rFonts w:ascii="Arial" w:hAnsi="Arial" w:cs="Arial"/>
        </w:rPr>
        <w:t>franchisors must have an internal procedure for handling complaints that meets certain standards set out in the code; and</w:t>
      </w:r>
    </w:p>
    <w:p w14:paraId="3F1D0BCC" w14:textId="77777777" w:rsidR="00E63F77" w:rsidRPr="00F9581D" w:rsidRDefault="11FF59B9" w:rsidP="006647E7">
      <w:pPr>
        <w:pStyle w:val="ListParagraph"/>
        <w:numPr>
          <w:ilvl w:val="0"/>
          <w:numId w:val="5"/>
        </w:numPr>
        <w:spacing w:line="360" w:lineRule="auto"/>
        <w:ind w:left="714" w:hanging="357"/>
        <w:rPr>
          <w:rFonts w:ascii="Arial" w:hAnsi="Arial" w:cs="Arial"/>
        </w:rPr>
      </w:pPr>
      <w:r w:rsidRPr="11FF59B9">
        <w:rPr>
          <w:rFonts w:ascii="Arial" w:hAnsi="Arial" w:cs="Arial"/>
        </w:rPr>
        <w:t>either party can request mediation which, once requested, becomes mandatory for both parties to attend and genuinely attempt to resolve the dispute.</w:t>
      </w:r>
    </w:p>
    <w:p w14:paraId="3F1D0BCD" w14:textId="77777777" w:rsidR="00E63F77" w:rsidRPr="00F9581D" w:rsidRDefault="11FF59B9" w:rsidP="11FF59B9">
      <w:pPr>
        <w:spacing w:before="240" w:line="360" w:lineRule="auto"/>
        <w:jc w:val="both"/>
        <w:rPr>
          <w:rFonts w:ascii="Arial" w:hAnsi="Arial" w:cs="Arial"/>
        </w:rPr>
      </w:pPr>
      <w:r w:rsidRPr="11FF59B9">
        <w:rPr>
          <w:rFonts w:ascii="Arial" w:hAnsi="Arial" w:cs="Arial"/>
        </w:rPr>
        <w:t xml:space="preserve">The mechanisms in the code are a way to bring the two parties together to resolve the dispute in an informal manner, they are not a way to reach a binding solution and they do not affect a party’s right to take legal action over a franchising dispute. </w:t>
      </w:r>
    </w:p>
    <w:p w14:paraId="3F1D0BCE" w14:textId="77777777" w:rsidR="00E63F77" w:rsidRPr="00F9581D" w:rsidRDefault="11FF59B9" w:rsidP="11FF59B9">
      <w:pPr>
        <w:spacing w:before="240" w:line="360" w:lineRule="auto"/>
        <w:jc w:val="both"/>
        <w:rPr>
          <w:rFonts w:ascii="Arial" w:hAnsi="Arial" w:cs="Arial"/>
        </w:rPr>
      </w:pPr>
      <w:r w:rsidRPr="11FF59B9">
        <w:rPr>
          <w:rFonts w:ascii="Arial" w:hAnsi="Arial" w:cs="Arial"/>
        </w:rPr>
        <w:t>Parties must pay their own mediation costs and parties split the costs of the mediator equally.</w:t>
      </w:r>
    </w:p>
    <w:p w14:paraId="3F1D0BCF" w14:textId="76A2C4B7" w:rsidR="00E63F77" w:rsidRPr="0040566B" w:rsidRDefault="11FF59B9" w:rsidP="5996C6E7">
      <w:pPr>
        <w:rPr>
          <w:rFonts w:ascii="Arial" w:hAnsi="Arial" w:cs="Arial"/>
          <w:i/>
          <w:iCs/>
        </w:rPr>
      </w:pPr>
      <w:r w:rsidRPr="5996C6E7">
        <w:rPr>
          <w:rFonts w:ascii="Arial" w:hAnsi="Arial" w:cs="Arial"/>
          <w:i/>
          <w:iCs/>
        </w:rPr>
        <w:t>Significant capital expenditure</w:t>
      </w:r>
      <w:r w:rsidR="00D47D94">
        <w:rPr>
          <w:rStyle w:val="FootnoteReference"/>
          <w:rFonts w:ascii="Arial" w:hAnsi="Arial" w:cs="Arial"/>
          <w:i/>
          <w:iCs/>
        </w:rPr>
        <w:footnoteReference w:id="101"/>
      </w:r>
    </w:p>
    <w:p w14:paraId="3F1D0BD0" w14:textId="77777777" w:rsidR="00E63F77" w:rsidRPr="00F9581D" w:rsidRDefault="11FF59B9" w:rsidP="11FF59B9">
      <w:pPr>
        <w:spacing w:before="240" w:line="360" w:lineRule="auto"/>
        <w:jc w:val="both"/>
        <w:rPr>
          <w:rFonts w:ascii="Arial" w:hAnsi="Arial" w:cs="Arial"/>
        </w:rPr>
      </w:pPr>
      <w:r w:rsidRPr="11FF59B9">
        <w:rPr>
          <w:rFonts w:ascii="Arial" w:hAnsi="Arial" w:cs="Arial"/>
        </w:rPr>
        <w:t>A franchisor must not require a franchisee to undertake significant capital expenditure, which is not defined in the Franchising Code. However a franchisor can require franchisees to incur significant capital expenditure where the expenditure:</w:t>
      </w:r>
    </w:p>
    <w:p w14:paraId="3F1D0BD1" w14:textId="77777777" w:rsidR="00E63F77" w:rsidRPr="00F9581D" w:rsidRDefault="11FF59B9" w:rsidP="006647E7">
      <w:pPr>
        <w:pStyle w:val="ListParagraph"/>
        <w:numPr>
          <w:ilvl w:val="0"/>
          <w:numId w:val="5"/>
        </w:numPr>
        <w:spacing w:line="360" w:lineRule="auto"/>
        <w:ind w:left="714" w:hanging="357"/>
        <w:rPr>
          <w:rFonts w:ascii="Arial" w:hAnsi="Arial" w:cs="Arial"/>
        </w:rPr>
      </w:pPr>
      <w:r w:rsidRPr="11FF59B9">
        <w:rPr>
          <w:rFonts w:ascii="Arial" w:hAnsi="Arial" w:cs="Arial"/>
        </w:rPr>
        <w:t>was disclosed to the franchise in the disclosure document; or</w:t>
      </w:r>
    </w:p>
    <w:p w14:paraId="3F1D0BD2" w14:textId="77777777" w:rsidR="00E63F77" w:rsidRPr="00F9581D" w:rsidRDefault="11FF59B9" w:rsidP="006647E7">
      <w:pPr>
        <w:pStyle w:val="ListParagraph"/>
        <w:numPr>
          <w:ilvl w:val="0"/>
          <w:numId w:val="5"/>
        </w:numPr>
        <w:spacing w:line="360" w:lineRule="auto"/>
        <w:ind w:left="714" w:hanging="357"/>
        <w:rPr>
          <w:rFonts w:ascii="Arial" w:hAnsi="Arial" w:cs="Arial"/>
        </w:rPr>
      </w:pPr>
      <w:r w:rsidRPr="11FF59B9">
        <w:rPr>
          <w:rFonts w:ascii="Arial" w:hAnsi="Arial" w:cs="Arial"/>
        </w:rPr>
        <w:t>will be incurred by a majority of franchisees and a majority of franchisees approve the expense; or</w:t>
      </w:r>
    </w:p>
    <w:p w14:paraId="3F1D0BD3" w14:textId="77777777" w:rsidR="00E63F77" w:rsidRPr="00F9581D" w:rsidRDefault="11FF59B9" w:rsidP="006647E7">
      <w:pPr>
        <w:pStyle w:val="ListParagraph"/>
        <w:numPr>
          <w:ilvl w:val="0"/>
          <w:numId w:val="5"/>
        </w:numPr>
        <w:spacing w:line="360" w:lineRule="auto"/>
        <w:ind w:left="714" w:hanging="357"/>
        <w:rPr>
          <w:rFonts w:ascii="Arial" w:hAnsi="Arial" w:cs="Arial"/>
        </w:rPr>
      </w:pPr>
      <w:r w:rsidRPr="11FF59B9">
        <w:rPr>
          <w:rFonts w:ascii="Arial" w:hAnsi="Arial" w:cs="Arial"/>
        </w:rPr>
        <w:t>is necessary to comply with legislative obligations; or</w:t>
      </w:r>
    </w:p>
    <w:p w14:paraId="3F1D0BD4" w14:textId="77777777" w:rsidR="00E63F77" w:rsidRPr="00F9581D" w:rsidRDefault="11FF59B9" w:rsidP="006647E7">
      <w:pPr>
        <w:pStyle w:val="ListParagraph"/>
        <w:numPr>
          <w:ilvl w:val="0"/>
          <w:numId w:val="5"/>
        </w:numPr>
        <w:spacing w:line="360" w:lineRule="auto"/>
        <w:ind w:left="714" w:hanging="357"/>
        <w:rPr>
          <w:rFonts w:ascii="Arial" w:hAnsi="Arial" w:cs="Arial"/>
        </w:rPr>
      </w:pPr>
      <w:r w:rsidRPr="11FF59B9">
        <w:rPr>
          <w:rFonts w:ascii="Arial" w:hAnsi="Arial" w:cs="Arial"/>
        </w:rPr>
        <w:t>has been agreed to by the franchisee; or</w:t>
      </w:r>
    </w:p>
    <w:p w14:paraId="3F1D0BD5" w14:textId="77777777" w:rsidR="00E63F77" w:rsidRPr="00F9581D" w:rsidRDefault="11FF59B9" w:rsidP="006647E7">
      <w:pPr>
        <w:pStyle w:val="ListParagraph"/>
        <w:numPr>
          <w:ilvl w:val="0"/>
          <w:numId w:val="5"/>
        </w:numPr>
        <w:spacing w:line="360" w:lineRule="auto"/>
        <w:ind w:left="714" w:hanging="357"/>
        <w:rPr>
          <w:rFonts w:ascii="Arial" w:hAnsi="Arial" w:cs="Arial"/>
        </w:rPr>
      </w:pPr>
      <w:r w:rsidRPr="11FF59B9">
        <w:rPr>
          <w:rFonts w:ascii="Arial" w:hAnsi="Arial" w:cs="Arial"/>
        </w:rPr>
        <w:t>is considered necessary by the franchisee as a capital investment in the business, justified by a statement which sets out the:</w:t>
      </w:r>
    </w:p>
    <w:p w14:paraId="3F1D0BD6" w14:textId="77777777" w:rsidR="00E63F77" w:rsidRPr="00F9581D" w:rsidRDefault="11FF59B9" w:rsidP="006647E7">
      <w:pPr>
        <w:pStyle w:val="ListParagraph"/>
        <w:numPr>
          <w:ilvl w:val="1"/>
          <w:numId w:val="5"/>
        </w:numPr>
        <w:spacing w:line="360" w:lineRule="auto"/>
        <w:rPr>
          <w:rFonts w:ascii="Arial" w:hAnsi="Arial" w:cs="Arial"/>
        </w:rPr>
      </w:pPr>
      <w:r w:rsidRPr="11FF59B9">
        <w:rPr>
          <w:rFonts w:ascii="Arial" w:hAnsi="Arial" w:cs="Arial"/>
        </w:rPr>
        <w:t>rationale for making the investment;</w:t>
      </w:r>
    </w:p>
    <w:p w14:paraId="3F1D0BD7" w14:textId="77777777" w:rsidR="00E63F77" w:rsidRPr="00F9581D" w:rsidRDefault="11FF59B9" w:rsidP="006647E7">
      <w:pPr>
        <w:pStyle w:val="ListParagraph"/>
        <w:numPr>
          <w:ilvl w:val="1"/>
          <w:numId w:val="5"/>
        </w:numPr>
        <w:spacing w:line="360" w:lineRule="auto"/>
        <w:rPr>
          <w:rFonts w:ascii="Arial" w:hAnsi="Arial" w:cs="Arial"/>
        </w:rPr>
      </w:pPr>
      <w:r w:rsidRPr="11FF59B9">
        <w:rPr>
          <w:rFonts w:ascii="Arial" w:hAnsi="Arial" w:cs="Arial"/>
        </w:rPr>
        <w:t>amount of capital expenditure required</w:t>
      </w:r>
    </w:p>
    <w:p w14:paraId="3F1D0BD8" w14:textId="77777777" w:rsidR="00E63F77" w:rsidRPr="00F9581D" w:rsidRDefault="11FF59B9" w:rsidP="006647E7">
      <w:pPr>
        <w:pStyle w:val="ListParagraph"/>
        <w:numPr>
          <w:ilvl w:val="1"/>
          <w:numId w:val="5"/>
        </w:numPr>
        <w:spacing w:line="360" w:lineRule="auto"/>
        <w:rPr>
          <w:rFonts w:ascii="Arial" w:hAnsi="Arial" w:cs="Arial"/>
        </w:rPr>
      </w:pPr>
      <w:r w:rsidRPr="11FF59B9">
        <w:rPr>
          <w:rFonts w:ascii="Arial" w:hAnsi="Arial" w:cs="Arial"/>
        </w:rPr>
        <w:t xml:space="preserve">anticipated outcomes and benefits; and </w:t>
      </w:r>
    </w:p>
    <w:p w14:paraId="3F1D0BD9" w14:textId="77777777" w:rsidR="00E63F77" w:rsidRPr="00F9581D" w:rsidRDefault="11FF59B9" w:rsidP="006647E7">
      <w:pPr>
        <w:pStyle w:val="ListParagraph"/>
        <w:numPr>
          <w:ilvl w:val="1"/>
          <w:numId w:val="5"/>
        </w:numPr>
        <w:spacing w:line="360" w:lineRule="auto"/>
        <w:rPr>
          <w:rFonts w:ascii="Arial" w:hAnsi="Arial" w:cs="Arial"/>
        </w:rPr>
      </w:pPr>
      <w:r w:rsidRPr="11FF59B9">
        <w:rPr>
          <w:rFonts w:ascii="Arial" w:hAnsi="Arial" w:cs="Arial"/>
        </w:rPr>
        <w:lastRenderedPageBreak/>
        <w:t>expected risks associated with the investment.</w:t>
      </w:r>
    </w:p>
    <w:p w14:paraId="3F1D0BDA" w14:textId="61F45ED9" w:rsidR="00E63F77" w:rsidRPr="0040566B" w:rsidRDefault="11FF59B9" w:rsidP="5996C6E7">
      <w:pPr>
        <w:spacing w:before="240" w:line="360" w:lineRule="auto"/>
        <w:jc w:val="both"/>
        <w:rPr>
          <w:rFonts w:ascii="Arial" w:hAnsi="Arial" w:cs="Arial"/>
          <w:i/>
          <w:iCs/>
        </w:rPr>
      </w:pPr>
      <w:r w:rsidRPr="5996C6E7">
        <w:rPr>
          <w:rFonts w:ascii="Arial" w:hAnsi="Arial" w:cs="Arial"/>
          <w:i/>
          <w:iCs/>
        </w:rPr>
        <w:t>Non-renewal</w:t>
      </w:r>
      <w:r w:rsidR="00D47D94">
        <w:rPr>
          <w:rStyle w:val="FootnoteReference"/>
          <w:rFonts w:ascii="Arial" w:hAnsi="Arial" w:cs="Arial"/>
          <w:i/>
          <w:iCs/>
        </w:rPr>
        <w:footnoteReference w:id="102"/>
      </w:r>
    </w:p>
    <w:p w14:paraId="3F1D0BDB" w14:textId="77777777" w:rsidR="00E63F77" w:rsidRPr="002D532E" w:rsidRDefault="11FF59B9" w:rsidP="11FF59B9">
      <w:pPr>
        <w:spacing w:before="240" w:line="360" w:lineRule="auto"/>
        <w:jc w:val="both"/>
        <w:rPr>
          <w:rFonts w:ascii="Arial" w:hAnsi="Arial" w:cs="Arial"/>
        </w:rPr>
      </w:pPr>
      <w:r w:rsidRPr="11FF59B9">
        <w:rPr>
          <w:rFonts w:ascii="Arial" w:hAnsi="Arial" w:cs="Arial"/>
        </w:rPr>
        <w:t>The Franchising Code does not require franchisors to renew a franchise agreement once it expires. However, if the term of the agreement is six months or longer, the franchisor must notify the franchisee at least six months before the end of the term of the agreement whether they intend to:</w:t>
      </w:r>
    </w:p>
    <w:p w14:paraId="3F1D0BDC" w14:textId="77777777" w:rsidR="00E63F77" w:rsidRDefault="11FF59B9" w:rsidP="006647E7">
      <w:pPr>
        <w:pStyle w:val="ListParagraph"/>
        <w:numPr>
          <w:ilvl w:val="0"/>
          <w:numId w:val="5"/>
        </w:numPr>
        <w:spacing w:line="360" w:lineRule="auto"/>
        <w:ind w:left="714" w:hanging="357"/>
        <w:rPr>
          <w:rFonts w:ascii="Arial" w:hAnsi="Arial" w:cs="Arial"/>
        </w:rPr>
      </w:pPr>
      <w:r w:rsidRPr="11FF59B9">
        <w:rPr>
          <w:rFonts w:ascii="Arial" w:hAnsi="Arial" w:cs="Arial"/>
        </w:rPr>
        <w:t>renew or not renew the franchise agreement; or</w:t>
      </w:r>
    </w:p>
    <w:p w14:paraId="3F1D0BDD" w14:textId="77777777" w:rsidR="00E63F77" w:rsidRDefault="11FF59B9" w:rsidP="002E02E7">
      <w:pPr>
        <w:pStyle w:val="ListParagraph"/>
        <w:numPr>
          <w:ilvl w:val="0"/>
          <w:numId w:val="5"/>
        </w:numPr>
        <w:spacing w:line="360" w:lineRule="auto"/>
      </w:pPr>
      <w:r w:rsidRPr="00292220">
        <w:rPr>
          <w:rFonts w:ascii="Arial" w:hAnsi="Arial" w:cs="Arial"/>
        </w:rPr>
        <w:t>enter into a new agreement.</w:t>
      </w:r>
    </w:p>
    <w:p w14:paraId="3F1D0BDE" w14:textId="77777777" w:rsidR="00960ECE" w:rsidRPr="002F2857" w:rsidRDefault="00960ECE" w:rsidP="002F2857"/>
    <w:sectPr w:rsidR="00960ECE" w:rsidRPr="002F2857" w:rsidSect="0040566B">
      <w:footerReference w:type="default" r:id="rId17"/>
      <w:headerReference w:type="first" r:id="rId18"/>
      <w:type w:val="continuous"/>
      <w:pgSz w:w="11906" w:h="16838"/>
      <w:pgMar w:top="1560" w:right="1440" w:bottom="85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34ACD3" w14:textId="77777777" w:rsidR="00E3214D" w:rsidRDefault="00E3214D" w:rsidP="00CA306D">
      <w:pPr>
        <w:spacing w:after="0" w:line="240" w:lineRule="auto"/>
      </w:pPr>
      <w:r>
        <w:separator/>
      </w:r>
    </w:p>
  </w:endnote>
  <w:endnote w:type="continuationSeparator" w:id="0">
    <w:p w14:paraId="69928544" w14:textId="77777777" w:rsidR="00E3214D" w:rsidRDefault="00E3214D" w:rsidP="00CA306D">
      <w:pPr>
        <w:spacing w:after="0" w:line="240" w:lineRule="auto"/>
      </w:pPr>
      <w:r>
        <w:continuationSeparator/>
      </w:r>
    </w:p>
  </w:endnote>
  <w:endnote w:type="continuationNotice" w:id="1">
    <w:p w14:paraId="2E1A1CEA" w14:textId="77777777" w:rsidR="00E3214D" w:rsidRDefault="00E321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4365719"/>
      <w:docPartObj>
        <w:docPartGallery w:val="Page Numbers (Bottom of Page)"/>
        <w:docPartUnique/>
      </w:docPartObj>
    </w:sdtPr>
    <w:sdtEndPr>
      <w:rPr>
        <w:rFonts w:ascii="Arial" w:hAnsi="Arial" w:cs="Arial"/>
        <w:sz w:val="20"/>
        <w:szCs w:val="20"/>
      </w:rPr>
    </w:sdtEndPr>
    <w:sdtContent>
      <w:p w14:paraId="3F1D0BE8" w14:textId="5AC9D8FE" w:rsidR="00E3214D" w:rsidRPr="00500B81" w:rsidRDefault="00E3214D">
        <w:pPr>
          <w:pStyle w:val="Footer"/>
          <w:jc w:val="right"/>
          <w:rPr>
            <w:rFonts w:ascii="Arial" w:hAnsi="Arial" w:cs="Arial"/>
            <w:sz w:val="20"/>
            <w:szCs w:val="20"/>
          </w:rPr>
        </w:pPr>
        <w:r w:rsidRPr="00500B81">
          <w:rPr>
            <w:rFonts w:ascii="Arial" w:hAnsi="Arial" w:cs="Arial"/>
            <w:sz w:val="20"/>
            <w:szCs w:val="20"/>
          </w:rPr>
          <w:fldChar w:fldCharType="begin"/>
        </w:r>
        <w:r w:rsidRPr="00500B81">
          <w:rPr>
            <w:rFonts w:ascii="Arial" w:hAnsi="Arial" w:cs="Arial"/>
            <w:sz w:val="20"/>
            <w:szCs w:val="20"/>
          </w:rPr>
          <w:instrText xml:space="preserve"> PAGE   \* MERGEFORMAT </w:instrText>
        </w:r>
        <w:r w:rsidRPr="00500B81">
          <w:rPr>
            <w:rFonts w:ascii="Arial" w:hAnsi="Arial" w:cs="Arial"/>
            <w:sz w:val="20"/>
            <w:szCs w:val="20"/>
          </w:rPr>
          <w:fldChar w:fldCharType="separate"/>
        </w:r>
        <w:r w:rsidR="00F84647">
          <w:rPr>
            <w:rFonts w:ascii="Arial" w:hAnsi="Arial" w:cs="Arial"/>
            <w:noProof/>
            <w:sz w:val="20"/>
            <w:szCs w:val="20"/>
          </w:rPr>
          <w:t>22</w:t>
        </w:r>
        <w:r w:rsidRPr="00500B81">
          <w:rPr>
            <w:rFonts w:ascii="Arial" w:hAnsi="Arial" w:cs="Arial"/>
            <w:sz w:val="20"/>
            <w:szCs w:val="20"/>
          </w:rPr>
          <w:fldChar w:fldCharType="end"/>
        </w:r>
      </w:p>
    </w:sdtContent>
  </w:sdt>
  <w:p w14:paraId="3F1D0BE9" w14:textId="77777777" w:rsidR="00E3214D" w:rsidRDefault="00E321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6DA33E" w14:textId="77777777" w:rsidR="00E3214D" w:rsidRDefault="00E3214D" w:rsidP="00CA306D">
      <w:pPr>
        <w:spacing w:after="0" w:line="240" w:lineRule="auto"/>
      </w:pPr>
      <w:r>
        <w:separator/>
      </w:r>
    </w:p>
  </w:footnote>
  <w:footnote w:type="continuationSeparator" w:id="0">
    <w:p w14:paraId="2839F5D1" w14:textId="77777777" w:rsidR="00E3214D" w:rsidRDefault="00E3214D" w:rsidP="00CA306D">
      <w:pPr>
        <w:spacing w:after="0" w:line="240" w:lineRule="auto"/>
      </w:pPr>
      <w:r>
        <w:continuationSeparator/>
      </w:r>
    </w:p>
  </w:footnote>
  <w:footnote w:type="continuationNotice" w:id="1">
    <w:p w14:paraId="322B3630" w14:textId="77777777" w:rsidR="00E3214D" w:rsidRDefault="00E3214D">
      <w:pPr>
        <w:spacing w:after="0" w:line="240" w:lineRule="auto"/>
      </w:pPr>
    </w:p>
  </w:footnote>
  <w:footnote w:id="2">
    <w:p w14:paraId="3F1D0BED" w14:textId="1444D9E9" w:rsidR="00E3214D" w:rsidRPr="007A7CC7" w:rsidRDefault="00E3214D">
      <w:pPr>
        <w:pStyle w:val="FootnoteText"/>
        <w:rPr>
          <w:rFonts w:ascii="Arial" w:hAnsi="Arial" w:cs="Arial"/>
          <w:sz w:val="18"/>
          <w:szCs w:val="18"/>
        </w:rPr>
      </w:pPr>
      <w:r w:rsidRPr="007A7CC7">
        <w:rPr>
          <w:rStyle w:val="FootnoteReference"/>
          <w:rFonts w:ascii="Arial" w:hAnsi="Arial" w:cs="Arial"/>
          <w:sz w:val="18"/>
          <w:szCs w:val="18"/>
        </w:rPr>
        <w:footnoteRef/>
      </w:r>
      <w:r w:rsidRPr="007A7CC7">
        <w:rPr>
          <w:rFonts w:ascii="Arial" w:hAnsi="Arial" w:cs="Arial"/>
          <w:sz w:val="18"/>
          <w:szCs w:val="18"/>
        </w:rPr>
        <w:t xml:space="preserve"> Australian Competition and Consumer Commission, </w:t>
      </w:r>
      <w:hyperlink r:id="rId1" w:history="1">
        <w:r w:rsidRPr="0040566B">
          <w:rPr>
            <w:rStyle w:val="Hyperlink"/>
            <w:rFonts w:ascii="Arial" w:hAnsi="Arial" w:cs="Arial"/>
            <w:i/>
            <w:iCs/>
            <w:sz w:val="18"/>
            <w:szCs w:val="18"/>
          </w:rPr>
          <w:t>New car retailing industry market study</w:t>
        </w:r>
        <w:r w:rsidRPr="007A7CC7">
          <w:rPr>
            <w:rStyle w:val="Hyperlink"/>
            <w:rFonts w:ascii="Arial" w:hAnsi="Arial" w:cs="Arial"/>
            <w:sz w:val="18"/>
            <w:szCs w:val="18"/>
          </w:rPr>
          <w:t xml:space="preserve"> - final report</w:t>
        </w:r>
      </w:hyperlink>
      <w:r w:rsidRPr="007A7CC7">
        <w:rPr>
          <w:rStyle w:val="Hyperlink"/>
          <w:rFonts w:ascii="Arial" w:hAnsi="Arial" w:cs="Arial"/>
          <w:color w:val="auto"/>
          <w:sz w:val="18"/>
          <w:szCs w:val="18"/>
          <w:u w:val="none"/>
        </w:rPr>
        <w:t xml:space="preserve">, </w:t>
      </w:r>
      <w:r>
        <w:rPr>
          <w:rStyle w:val="Hyperlink"/>
          <w:rFonts w:ascii="Arial" w:hAnsi="Arial" w:cs="Arial"/>
          <w:color w:val="auto"/>
          <w:sz w:val="18"/>
          <w:szCs w:val="18"/>
          <w:u w:val="none"/>
        </w:rPr>
        <w:t xml:space="preserve">2017, </w:t>
      </w:r>
      <w:r w:rsidRPr="007A7CC7">
        <w:rPr>
          <w:rStyle w:val="Hyperlink"/>
          <w:rFonts w:ascii="Arial" w:hAnsi="Arial" w:cs="Arial"/>
          <w:color w:val="auto"/>
          <w:sz w:val="18"/>
          <w:szCs w:val="18"/>
          <w:u w:val="none"/>
        </w:rPr>
        <w:t>ACCC.</w:t>
      </w:r>
    </w:p>
  </w:footnote>
  <w:footnote w:id="3">
    <w:p w14:paraId="3F1D0BEE" w14:textId="1DAC2E9A" w:rsidR="00E3214D" w:rsidRPr="007A7CC7" w:rsidRDefault="00E3214D">
      <w:pPr>
        <w:pStyle w:val="FootnoteText"/>
        <w:rPr>
          <w:rFonts w:ascii="Arial" w:hAnsi="Arial" w:cs="Arial"/>
          <w:sz w:val="18"/>
          <w:szCs w:val="18"/>
        </w:rPr>
      </w:pPr>
      <w:r w:rsidRPr="007A7CC7">
        <w:rPr>
          <w:rStyle w:val="FootnoteReference"/>
          <w:rFonts w:ascii="Arial" w:hAnsi="Arial" w:cs="Arial"/>
          <w:sz w:val="18"/>
          <w:szCs w:val="18"/>
        </w:rPr>
        <w:footnoteRef/>
      </w:r>
      <w:r w:rsidRPr="007A7CC7">
        <w:rPr>
          <w:rFonts w:ascii="Arial" w:hAnsi="Arial" w:cs="Arial"/>
          <w:sz w:val="18"/>
          <w:szCs w:val="18"/>
        </w:rPr>
        <w:t xml:space="preserve"> ACCC</w:t>
      </w:r>
      <w:r>
        <w:rPr>
          <w:rFonts w:ascii="Arial" w:hAnsi="Arial" w:cs="Arial"/>
          <w:sz w:val="18"/>
          <w:szCs w:val="18"/>
        </w:rPr>
        <w:t xml:space="preserve"> 2017</w:t>
      </w:r>
      <w:r w:rsidRPr="007A7CC7">
        <w:rPr>
          <w:rFonts w:ascii="Arial" w:hAnsi="Arial" w:cs="Arial"/>
          <w:sz w:val="18"/>
          <w:szCs w:val="18"/>
        </w:rPr>
        <w:t xml:space="preserve"> (Ibid footnote </w:t>
      </w:r>
      <w:r w:rsidRPr="0040566B">
        <w:fldChar w:fldCharType="begin"/>
      </w:r>
      <w:r w:rsidRPr="007A7CC7">
        <w:rPr>
          <w:rFonts w:ascii="Arial" w:hAnsi="Arial" w:cs="Arial"/>
          <w:sz w:val="18"/>
          <w:szCs w:val="18"/>
        </w:rPr>
        <w:instrText xml:space="preserve"> NOTEREF _Ref529871249 \h </w:instrText>
      </w:r>
      <w:r>
        <w:rPr>
          <w:rFonts w:ascii="Arial" w:hAnsi="Arial" w:cs="Arial"/>
          <w:sz w:val="18"/>
          <w:szCs w:val="18"/>
        </w:rPr>
        <w:instrText xml:space="preserve"> \* MERGEFORMAT </w:instrText>
      </w:r>
      <w:r w:rsidRPr="0040566B">
        <w:rPr>
          <w:rFonts w:ascii="Arial" w:hAnsi="Arial" w:cs="Arial"/>
          <w:sz w:val="18"/>
          <w:szCs w:val="18"/>
        </w:rPr>
        <w:fldChar w:fldCharType="separate"/>
      </w:r>
      <w:r w:rsidR="00EA3759">
        <w:rPr>
          <w:rFonts w:ascii="Arial" w:hAnsi="Arial" w:cs="Arial"/>
          <w:sz w:val="18"/>
          <w:szCs w:val="18"/>
        </w:rPr>
        <w:t>1</w:t>
      </w:r>
      <w:r w:rsidRPr="0040566B">
        <w:fldChar w:fldCharType="end"/>
      </w:r>
      <w:r w:rsidRPr="007A7CC7">
        <w:rPr>
          <w:rFonts w:ascii="Arial" w:hAnsi="Arial" w:cs="Arial"/>
          <w:sz w:val="18"/>
          <w:szCs w:val="18"/>
        </w:rPr>
        <w:t>).</w:t>
      </w:r>
    </w:p>
  </w:footnote>
  <w:footnote w:id="4">
    <w:p w14:paraId="3F1D0BEF" w14:textId="44A58433" w:rsidR="00E3214D" w:rsidRPr="007A7CC7" w:rsidRDefault="00E3214D">
      <w:pPr>
        <w:pStyle w:val="FootnoteText"/>
        <w:rPr>
          <w:rFonts w:ascii="Arial" w:hAnsi="Arial" w:cs="Arial"/>
          <w:sz w:val="18"/>
          <w:szCs w:val="18"/>
        </w:rPr>
      </w:pPr>
      <w:r w:rsidRPr="007A7CC7">
        <w:rPr>
          <w:rStyle w:val="FootnoteReference"/>
          <w:rFonts w:ascii="Arial" w:hAnsi="Arial" w:cs="Arial"/>
          <w:sz w:val="18"/>
          <w:szCs w:val="18"/>
        </w:rPr>
        <w:footnoteRef/>
      </w:r>
      <w:r w:rsidRPr="007A7CC7">
        <w:rPr>
          <w:rFonts w:ascii="Arial" w:hAnsi="Arial" w:cs="Arial"/>
          <w:sz w:val="18"/>
          <w:szCs w:val="18"/>
        </w:rPr>
        <w:t xml:space="preserve"> ACCC</w:t>
      </w:r>
      <w:r>
        <w:rPr>
          <w:rFonts w:ascii="Arial" w:hAnsi="Arial" w:cs="Arial"/>
          <w:sz w:val="18"/>
          <w:szCs w:val="18"/>
        </w:rPr>
        <w:t xml:space="preserve"> 2017</w:t>
      </w:r>
      <w:r w:rsidRPr="007A7CC7">
        <w:rPr>
          <w:rFonts w:ascii="Arial" w:hAnsi="Arial" w:cs="Arial"/>
          <w:sz w:val="18"/>
          <w:szCs w:val="18"/>
        </w:rPr>
        <w:t xml:space="preserve"> (Ibid footnote </w:t>
      </w:r>
      <w:r w:rsidRPr="0040566B">
        <w:fldChar w:fldCharType="begin"/>
      </w:r>
      <w:r>
        <w:rPr>
          <w:rFonts w:ascii="Arial" w:hAnsi="Arial" w:cs="Arial"/>
          <w:sz w:val="18"/>
          <w:szCs w:val="18"/>
        </w:rPr>
        <w:instrText xml:space="preserve"> NOTEREF _Ref529871249 \h </w:instrText>
      </w:r>
      <w:r w:rsidRPr="0040566B">
        <w:rPr>
          <w:rFonts w:ascii="Arial" w:hAnsi="Arial" w:cs="Arial"/>
          <w:sz w:val="18"/>
          <w:szCs w:val="18"/>
        </w:rPr>
        <w:fldChar w:fldCharType="separate"/>
      </w:r>
      <w:r w:rsidR="00EA3759">
        <w:rPr>
          <w:rFonts w:ascii="Arial" w:hAnsi="Arial" w:cs="Arial"/>
          <w:sz w:val="18"/>
          <w:szCs w:val="18"/>
        </w:rPr>
        <w:t>1</w:t>
      </w:r>
      <w:r w:rsidRPr="0040566B">
        <w:fldChar w:fldCharType="end"/>
      </w:r>
      <w:r w:rsidRPr="007A7CC7">
        <w:rPr>
          <w:rFonts w:ascii="Arial" w:hAnsi="Arial" w:cs="Arial"/>
          <w:sz w:val="18"/>
          <w:szCs w:val="18"/>
        </w:rPr>
        <w:t>).</w:t>
      </w:r>
    </w:p>
  </w:footnote>
  <w:footnote w:id="5">
    <w:p w14:paraId="3F1D0BF0" w14:textId="620033A3" w:rsidR="00E3214D" w:rsidRPr="007A7CC7" w:rsidRDefault="00E3214D">
      <w:pPr>
        <w:pStyle w:val="FootnoteText"/>
        <w:rPr>
          <w:rFonts w:ascii="Arial" w:hAnsi="Arial" w:cs="Arial"/>
          <w:sz w:val="18"/>
          <w:szCs w:val="18"/>
        </w:rPr>
      </w:pPr>
      <w:r w:rsidRPr="007A7CC7">
        <w:rPr>
          <w:rStyle w:val="FootnoteReference"/>
          <w:rFonts w:ascii="Arial" w:hAnsi="Arial" w:cs="Arial"/>
          <w:sz w:val="18"/>
          <w:szCs w:val="18"/>
        </w:rPr>
        <w:footnoteRef/>
      </w:r>
      <w:r w:rsidRPr="007A7CC7">
        <w:rPr>
          <w:rFonts w:ascii="Arial" w:hAnsi="Arial" w:cs="Arial"/>
          <w:sz w:val="18"/>
          <w:szCs w:val="18"/>
        </w:rPr>
        <w:t xml:space="preserve"> ACCC</w:t>
      </w:r>
      <w:r>
        <w:rPr>
          <w:rFonts w:ascii="Arial" w:hAnsi="Arial" w:cs="Arial"/>
          <w:sz w:val="18"/>
          <w:szCs w:val="18"/>
        </w:rPr>
        <w:t xml:space="preserve"> 2017</w:t>
      </w:r>
      <w:r w:rsidRPr="007A7CC7">
        <w:rPr>
          <w:rFonts w:ascii="Arial" w:hAnsi="Arial" w:cs="Arial"/>
          <w:sz w:val="18"/>
          <w:szCs w:val="18"/>
        </w:rPr>
        <w:t xml:space="preserve">, p. 10 (Ibid footnote </w:t>
      </w:r>
      <w:r w:rsidRPr="0040566B">
        <w:fldChar w:fldCharType="begin"/>
      </w:r>
      <w:r>
        <w:rPr>
          <w:rFonts w:ascii="Arial" w:hAnsi="Arial" w:cs="Arial"/>
          <w:sz w:val="18"/>
          <w:szCs w:val="18"/>
        </w:rPr>
        <w:instrText xml:space="preserve"> NOTEREF _Ref529871249 \h </w:instrText>
      </w:r>
      <w:r w:rsidRPr="0040566B">
        <w:rPr>
          <w:rFonts w:ascii="Arial" w:hAnsi="Arial" w:cs="Arial"/>
          <w:sz w:val="18"/>
          <w:szCs w:val="18"/>
        </w:rPr>
        <w:fldChar w:fldCharType="separate"/>
      </w:r>
      <w:r w:rsidR="00EA3759">
        <w:rPr>
          <w:rFonts w:ascii="Arial" w:hAnsi="Arial" w:cs="Arial"/>
          <w:sz w:val="18"/>
          <w:szCs w:val="18"/>
        </w:rPr>
        <w:t>1</w:t>
      </w:r>
      <w:r w:rsidRPr="0040566B">
        <w:fldChar w:fldCharType="end"/>
      </w:r>
      <w:r w:rsidRPr="007A7CC7">
        <w:rPr>
          <w:rFonts w:ascii="Arial" w:hAnsi="Arial" w:cs="Arial"/>
          <w:sz w:val="18"/>
          <w:szCs w:val="18"/>
        </w:rPr>
        <w:t>).</w:t>
      </w:r>
    </w:p>
  </w:footnote>
  <w:footnote w:id="6">
    <w:p w14:paraId="3F1D0BF1" w14:textId="3CC9E5E2" w:rsidR="00E3214D" w:rsidRPr="007A7CC7" w:rsidRDefault="00E3214D">
      <w:pPr>
        <w:pStyle w:val="FootnoteText"/>
        <w:rPr>
          <w:rFonts w:ascii="Arial" w:hAnsi="Arial" w:cs="Arial"/>
          <w:sz w:val="18"/>
          <w:szCs w:val="18"/>
        </w:rPr>
      </w:pPr>
      <w:r w:rsidRPr="007A7CC7">
        <w:rPr>
          <w:rStyle w:val="FootnoteReference"/>
          <w:rFonts w:ascii="Arial" w:hAnsi="Arial" w:cs="Arial"/>
          <w:sz w:val="18"/>
          <w:szCs w:val="18"/>
        </w:rPr>
        <w:footnoteRef/>
      </w:r>
      <w:r w:rsidRPr="007A7CC7">
        <w:rPr>
          <w:rFonts w:ascii="Arial" w:hAnsi="Arial" w:cs="Arial"/>
          <w:sz w:val="18"/>
          <w:szCs w:val="18"/>
        </w:rPr>
        <w:t xml:space="preserve"> ACCC</w:t>
      </w:r>
      <w:r>
        <w:rPr>
          <w:rFonts w:ascii="Arial" w:hAnsi="Arial" w:cs="Arial"/>
          <w:sz w:val="18"/>
          <w:szCs w:val="18"/>
        </w:rPr>
        <w:t xml:space="preserve"> 2017</w:t>
      </w:r>
      <w:r w:rsidRPr="007A7CC7">
        <w:rPr>
          <w:rFonts w:ascii="Arial" w:hAnsi="Arial" w:cs="Arial"/>
          <w:sz w:val="18"/>
          <w:szCs w:val="18"/>
        </w:rPr>
        <w:t xml:space="preserve">, p. 12 (Ibid footnote </w:t>
      </w:r>
      <w:r w:rsidRPr="0040566B">
        <w:fldChar w:fldCharType="begin"/>
      </w:r>
      <w:r>
        <w:rPr>
          <w:rFonts w:ascii="Arial" w:hAnsi="Arial" w:cs="Arial"/>
          <w:sz w:val="18"/>
          <w:szCs w:val="18"/>
        </w:rPr>
        <w:instrText xml:space="preserve"> NOTEREF _Ref529871249 \h </w:instrText>
      </w:r>
      <w:r w:rsidRPr="0040566B">
        <w:rPr>
          <w:rFonts w:ascii="Arial" w:hAnsi="Arial" w:cs="Arial"/>
          <w:sz w:val="18"/>
          <w:szCs w:val="18"/>
        </w:rPr>
        <w:fldChar w:fldCharType="separate"/>
      </w:r>
      <w:r w:rsidR="00EA3759">
        <w:rPr>
          <w:rFonts w:ascii="Arial" w:hAnsi="Arial" w:cs="Arial"/>
          <w:sz w:val="18"/>
          <w:szCs w:val="18"/>
        </w:rPr>
        <w:t>1</w:t>
      </w:r>
      <w:r w:rsidRPr="0040566B">
        <w:fldChar w:fldCharType="end"/>
      </w:r>
      <w:r w:rsidRPr="007A7CC7">
        <w:rPr>
          <w:rFonts w:ascii="Arial" w:hAnsi="Arial" w:cs="Arial"/>
          <w:sz w:val="18"/>
          <w:szCs w:val="18"/>
        </w:rPr>
        <w:t>).</w:t>
      </w:r>
    </w:p>
  </w:footnote>
  <w:footnote w:id="7">
    <w:p w14:paraId="3F1D0BF2" w14:textId="4788B178" w:rsidR="00E3214D" w:rsidRPr="007A7CC7" w:rsidRDefault="00E3214D">
      <w:pPr>
        <w:pStyle w:val="FootnoteText"/>
        <w:rPr>
          <w:rFonts w:ascii="Arial" w:hAnsi="Arial" w:cs="Arial"/>
          <w:sz w:val="18"/>
          <w:szCs w:val="18"/>
        </w:rPr>
      </w:pPr>
      <w:r w:rsidRPr="007A7CC7">
        <w:rPr>
          <w:rStyle w:val="FootnoteReference"/>
          <w:rFonts w:ascii="Arial" w:hAnsi="Arial" w:cs="Arial"/>
          <w:sz w:val="18"/>
          <w:szCs w:val="18"/>
        </w:rPr>
        <w:footnoteRef/>
      </w:r>
      <w:r w:rsidRPr="007A7CC7">
        <w:rPr>
          <w:rFonts w:ascii="Arial" w:hAnsi="Arial" w:cs="Arial"/>
          <w:sz w:val="18"/>
          <w:szCs w:val="18"/>
        </w:rPr>
        <w:t xml:space="preserve"> ACCC</w:t>
      </w:r>
      <w:r>
        <w:rPr>
          <w:rFonts w:ascii="Arial" w:hAnsi="Arial" w:cs="Arial"/>
          <w:sz w:val="18"/>
          <w:szCs w:val="18"/>
        </w:rPr>
        <w:t xml:space="preserve"> 2017</w:t>
      </w:r>
      <w:r w:rsidRPr="007A7CC7">
        <w:rPr>
          <w:rFonts w:ascii="Arial" w:hAnsi="Arial" w:cs="Arial"/>
          <w:sz w:val="18"/>
          <w:szCs w:val="18"/>
        </w:rPr>
        <w:t xml:space="preserve">, pp. 4-9 (Ibid footnote </w:t>
      </w:r>
      <w:r w:rsidRPr="0040566B">
        <w:fldChar w:fldCharType="begin"/>
      </w:r>
      <w:r>
        <w:rPr>
          <w:rFonts w:ascii="Arial" w:hAnsi="Arial" w:cs="Arial"/>
          <w:sz w:val="18"/>
          <w:szCs w:val="18"/>
        </w:rPr>
        <w:instrText xml:space="preserve"> NOTEREF _Ref529871249 \h </w:instrText>
      </w:r>
      <w:r w:rsidRPr="0040566B">
        <w:rPr>
          <w:rFonts w:ascii="Arial" w:hAnsi="Arial" w:cs="Arial"/>
          <w:sz w:val="18"/>
          <w:szCs w:val="18"/>
        </w:rPr>
        <w:fldChar w:fldCharType="separate"/>
      </w:r>
      <w:r w:rsidR="00EA3759">
        <w:rPr>
          <w:rFonts w:ascii="Arial" w:hAnsi="Arial" w:cs="Arial"/>
          <w:sz w:val="18"/>
          <w:szCs w:val="18"/>
        </w:rPr>
        <w:t>1</w:t>
      </w:r>
      <w:r w:rsidRPr="0040566B">
        <w:fldChar w:fldCharType="end"/>
      </w:r>
      <w:r w:rsidRPr="007A7CC7">
        <w:rPr>
          <w:rFonts w:ascii="Arial" w:hAnsi="Arial" w:cs="Arial"/>
          <w:sz w:val="18"/>
          <w:szCs w:val="18"/>
        </w:rPr>
        <w:t>).</w:t>
      </w:r>
    </w:p>
  </w:footnote>
  <w:footnote w:id="8">
    <w:p w14:paraId="3F1D0BF3" w14:textId="620D1C36" w:rsidR="00E3214D" w:rsidRDefault="00E3214D">
      <w:pPr>
        <w:pStyle w:val="FootnoteText"/>
      </w:pPr>
      <w:r w:rsidRPr="007A7CC7">
        <w:rPr>
          <w:rStyle w:val="FootnoteReference"/>
          <w:rFonts w:ascii="Arial" w:hAnsi="Arial" w:cs="Arial"/>
          <w:sz w:val="18"/>
          <w:szCs w:val="18"/>
        </w:rPr>
        <w:footnoteRef/>
      </w:r>
      <w:r w:rsidRPr="007A7CC7">
        <w:rPr>
          <w:rFonts w:ascii="Arial" w:hAnsi="Arial" w:cs="Arial"/>
          <w:sz w:val="18"/>
          <w:szCs w:val="18"/>
        </w:rPr>
        <w:t xml:space="preserve"> ACCC</w:t>
      </w:r>
      <w:r>
        <w:rPr>
          <w:rFonts w:ascii="Arial" w:hAnsi="Arial" w:cs="Arial"/>
          <w:sz w:val="18"/>
          <w:szCs w:val="18"/>
        </w:rPr>
        <w:t xml:space="preserve"> 2017</w:t>
      </w:r>
      <w:r w:rsidRPr="007A7CC7">
        <w:rPr>
          <w:rFonts w:ascii="Arial" w:hAnsi="Arial" w:cs="Arial"/>
          <w:sz w:val="18"/>
          <w:szCs w:val="18"/>
        </w:rPr>
        <w:t xml:space="preserve">, p. 8 (Ibid footnote </w:t>
      </w:r>
      <w:r w:rsidRPr="0040566B">
        <w:fldChar w:fldCharType="begin"/>
      </w:r>
      <w:r>
        <w:rPr>
          <w:rFonts w:ascii="Arial" w:hAnsi="Arial" w:cs="Arial"/>
          <w:sz w:val="18"/>
          <w:szCs w:val="18"/>
        </w:rPr>
        <w:instrText xml:space="preserve"> NOTEREF _Ref529871249 \h </w:instrText>
      </w:r>
      <w:r w:rsidRPr="0040566B">
        <w:rPr>
          <w:rFonts w:ascii="Arial" w:hAnsi="Arial" w:cs="Arial"/>
          <w:sz w:val="18"/>
          <w:szCs w:val="18"/>
        </w:rPr>
        <w:fldChar w:fldCharType="separate"/>
      </w:r>
      <w:r w:rsidR="00EA3759">
        <w:rPr>
          <w:rFonts w:ascii="Arial" w:hAnsi="Arial" w:cs="Arial"/>
          <w:sz w:val="18"/>
          <w:szCs w:val="18"/>
        </w:rPr>
        <w:t>1</w:t>
      </w:r>
      <w:r w:rsidRPr="0040566B">
        <w:fldChar w:fldCharType="end"/>
      </w:r>
      <w:r w:rsidRPr="007A7CC7">
        <w:rPr>
          <w:rFonts w:ascii="Arial" w:hAnsi="Arial" w:cs="Arial"/>
          <w:sz w:val="18"/>
          <w:szCs w:val="18"/>
        </w:rPr>
        <w:t>).</w:t>
      </w:r>
    </w:p>
  </w:footnote>
  <w:footnote w:id="9">
    <w:p w14:paraId="3F1D0BF4" w14:textId="2C0038BB" w:rsidR="00E3214D" w:rsidRPr="0040566B" w:rsidRDefault="00E3214D">
      <w:pPr>
        <w:pStyle w:val="FootnoteText"/>
        <w:rPr>
          <w:rFonts w:ascii="Arial" w:hAnsi="Arial" w:cs="Arial"/>
          <w:sz w:val="18"/>
          <w:szCs w:val="18"/>
        </w:rPr>
      </w:pPr>
      <w:r w:rsidRPr="0040566B">
        <w:rPr>
          <w:rStyle w:val="FootnoteReference"/>
          <w:rFonts w:ascii="Arial" w:hAnsi="Arial" w:cs="Arial"/>
          <w:sz w:val="18"/>
          <w:szCs w:val="18"/>
        </w:rPr>
        <w:footnoteRef/>
      </w:r>
      <w:r w:rsidRPr="0040566B">
        <w:rPr>
          <w:rFonts w:ascii="Arial" w:hAnsi="Arial" w:cs="Arial"/>
          <w:sz w:val="18"/>
          <w:szCs w:val="18"/>
        </w:rPr>
        <w:t xml:space="preserve"> ACCC</w:t>
      </w:r>
      <w:r>
        <w:rPr>
          <w:rFonts w:ascii="Arial" w:hAnsi="Arial" w:cs="Arial"/>
          <w:sz w:val="18"/>
          <w:szCs w:val="18"/>
        </w:rPr>
        <w:t xml:space="preserve"> 2017</w:t>
      </w:r>
      <w:r w:rsidRPr="0040566B">
        <w:rPr>
          <w:rFonts w:ascii="Arial" w:hAnsi="Arial" w:cs="Arial"/>
          <w:sz w:val="18"/>
          <w:szCs w:val="18"/>
        </w:rPr>
        <w:t xml:space="preserve">, p. 9 (Ibid footnote </w:t>
      </w:r>
      <w:r w:rsidRPr="0040566B">
        <w:fldChar w:fldCharType="begin"/>
      </w:r>
      <w:r>
        <w:rPr>
          <w:rFonts w:ascii="Arial" w:hAnsi="Arial" w:cs="Arial"/>
          <w:sz w:val="18"/>
        </w:rPr>
        <w:instrText xml:space="preserve"> NOTEREF _Ref529871249 \h </w:instrText>
      </w:r>
      <w:r w:rsidRPr="0040566B">
        <w:rPr>
          <w:rFonts w:ascii="Arial" w:hAnsi="Arial" w:cs="Arial"/>
          <w:sz w:val="18"/>
        </w:rPr>
        <w:fldChar w:fldCharType="separate"/>
      </w:r>
      <w:r w:rsidR="00EA3759">
        <w:rPr>
          <w:rFonts w:ascii="Arial" w:hAnsi="Arial" w:cs="Arial"/>
          <w:sz w:val="18"/>
        </w:rPr>
        <w:t>1</w:t>
      </w:r>
      <w:r w:rsidRPr="0040566B">
        <w:fldChar w:fldCharType="end"/>
      </w:r>
      <w:r w:rsidRPr="0040566B">
        <w:rPr>
          <w:rFonts w:ascii="Arial" w:hAnsi="Arial" w:cs="Arial"/>
          <w:sz w:val="18"/>
          <w:szCs w:val="18"/>
        </w:rPr>
        <w:t>).</w:t>
      </w:r>
    </w:p>
  </w:footnote>
  <w:footnote w:id="10">
    <w:p w14:paraId="3F1D0BF5" w14:textId="77777777" w:rsidR="00E3214D" w:rsidRPr="00AD7C59" w:rsidRDefault="00E3214D">
      <w:pPr>
        <w:pStyle w:val="FootnoteText"/>
        <w:rPr>
          <w:rFonts w:ascii="Arial" w:hAnsi="Arial" w:cs="Arial"/>
        </w:rPr>
      </w:pPr>
      <w:r w:rsidRPr="0040566B">
        <w:rPr>
          <w:rStyle w:val="FootnoteReference"/>
          <w:rFonts w:ascii="Arial" w:hAnsi="Arial" w:cs="Arial"/>
          <w:sz w:val="18"/>
          <w:szCs w:val="18"/>
        </w:rPr>
        <w:footnoteRef/>
      </w:r>
      <w:r w:rsidRPr="0040566B">
        <w:rPr>
          <w:rFonts w:ascii="Arial" w:hAnsi="Arial" w:cs="Arial"/>
          <w:sz w:val="18"/>
          <w:szCs w:val="18"/>
        </w:rPr>
        <w:t xml:space="preserve"> </w:t>
      </w:r>
      <w:r w:rsidRPr="0040566B">
        <w:rPr>
          <w:rFonts w:ascii="Arial" w:hAnsi="Arial" w:cs="Arial"/>
          <w:i/>
          <w:iCs/>
          <w:sz w:val="18"/>
          <w:szCs w:val="18"/>
        </w:rPr>
        <w:t>Competition and Consumer (Industry Codes—Franchising) Regulation 2014</w:t>
      </w:r>
      <w:r w:rsidRPr="0040566B">
        <w:rPr>
          <w:rFonts w:ascii="Arial" w:hAnsi="Arial" w:cs="Arial"/>
          <w:sz w:val="18"/>
          <w:szCs w:val="18"/>
        </w:rPr>
        <w:t>, Schedule 1.</w:t>
      </w:r>
    </w:p>
  </w:footnote>
  <w:footnote w:id="11">
    <w:p w14:paraId="6F6563CC" w14:textId="0DE20E1E" w:rsidR="00E3214D" w:rsidRPr="00B10352" w:rsidRDefault="00E3214D">
      <w:pPr>
        <w:pStyle w:val="FootnoteText"/>
        <w:rPr>
          <w:rFonts w:ascii="Arial" w:hAnsi="Arial" w:cs="Arial"/>
        </w:rPr>
      </w:pPr>
      <w:r w:rsidRPr="00B10352">
        <w:rPr>
          <w:rStyle w:val="FootnoteReference"/>
          <w:rFonts w:ascii="Arial" w:hAnsi="Arial" w:cs="Arial"/>
          <w:sz w:val="18"/>
        </w:rPr>
        <w:footnoteRef/>
      </w:r>
      <w:r w:rsidRPr="00B10352">
        <w:rPr>
          <w:rFonts w:ascii="Arial" w:hAnsi="Arial" w:cs="Arial"/>
          <w:sz w:val="18"/>
        </w:rPr>
        <w:t xml:space="preserve"> Recommendation 17.2, Parliamentary Joint Committee on Corporations and Financial Services 2019, Fairness in Franchising, March 2019, pp. 235.</w:t>
      </w:r>
    </w:p>
  </w:footnote>
  <w:footnote w:id="12">
    <w:p w14:paraId="3F1D0BF6" w14:textId="7109620C" w:rsidR="00E3214D" w:rsidRPr="007A7CC7" w:rsidRDefault="00E3214D">
      <w:pPr>
        <w:pStyle w:val="FootnoteText"/>
        <w:rPr>
          <w:rFonts w:ascii="Arial" w:hAnsi="Arial" w:cs="Arial"/>
        </w:rPr>
      </w:pPr>
      <w:r w:rsidRPr="0040566B">
        <w:rPr>
          <w:rStyle w:val="FootnoteReference"/>
          <w:rFonts w:ascii="Arial" w:hAnsi="Arial" w:cs="Arial"/>
          <w:sz w:val="18"/>
          <w:szCs w:val="18"/>
        </w:rPr>
        <w:footnoteRef/>
      </w:r>
      <w:r w:rsidRPr="0040566B">
        <w:rPr>
          <w:rFonts w:ascii="Arial" w:hAnsi="Arial" w:cs="Arial"/>
          <w:sz w:val="18"/>
          <w:szCs w:val="18"/>
        </w:rPr>
        <w:t xml:space="preserve"> ACCC</w:t>
      </w:r>
      <w:r>
        <w:rPr>
          <w:rFonts w:ascii="Arial" w:hAnsi="Arial" w:cs="Arial"/>
          <w:sz w:val="18"/>
          <w:szCs w:val="18"/>
        </w:rPr>
        <w:t xml:space="preserve"> 2017</w:t>
      </w:r>
      <w:r w:rsidRPr="0040566B">
        <w:rPr>
          <w:rFonts w:ascii="Arial" w:hAnsi="Arial" w:cs="Arial"/>
          <w:sz w:val="18"/>
          <w:szCs w:val="18"/>
        </w:rPr>
        <w:t xml:space="preserve">, p. 9 (Ibid footnote </w:t>
      </w:r>
      <w:r w:rsidRPr="0040566B">
        <w:fldChar w:fldCharType="begin"/>
      </w:r>
      <w:r>
        <w:rPr>
          <w:rFonts w:ascii="Arial" w:hAnsi="Arial" w:cs="Arial"/>
          <w:sz w:val="18"/>
        </w:rPr>
        <w:instrText xml:space="preserve"> NOTEREF _Ref529871249 \h </w:instrText>
      </w:r>
      <w:r w:rsidRPr="0040566B">
        <w:rPr>
          <w:rFonts w:ascii="Arial" w:hAnsi="Arial" w:cs="Arial"/>
          <w:sz w:val="18"/>
        </w:rPr>
        <w:fldChar w:fldCharType="separate"/>
      </w:r>
      <w:r w:rsidR="00EA3759">
        <w:rPr>
          <w:rFonts w:ascii="Arial" w:hAnsi="Arial" w:cs="Arial"/>
          <w:sz w:val="18"/>
        </w:rPr>
        <w:t>1</w:t>
      </w:r>
      <w:r w:rsidRPr="0040566B">
        <w:fldChar w:fldCharType="end"/>
      </w:r>
      <w:r w:rsidRPr="0040566B">
        <w:rPr>
          <w:rFonts w:ascii="Arial" w:hAnsi="Arial" w:cs="Arial"/>
          <w:sz w:val="18"/>
          <w:szCs w:val="18"/>
        </w:rPr>
        <w:t>).</w:t>
      </w:r>
    </w:p>
  </w:footnote>
  <w:footnote w:id="13">
    <w:p w14:paraId="64E4BF4A" w14:textId="2B2BA5EC" w:rsidR="00E3214D" w:rsidRPr="007F5A24" w:rsidRDefault="00E3214D">
      <w:pPr>
        <w:pStyle w:val="FootnoteText"/>
        <w:rPr>
          <w:rFonts w:ascii="Arial" w:hAnsi="Arial" w:cs="Arial"/>
          <w:sz w:val="18"/>
          <w:szCs w:val="18"/>
        </w:rPr>
      </w:pPr>
      <w:r w:rsidRPr="007F5A24">
        <w:rPr>
          <w:rStyle w:val="FootnoteReference"/>
          <w:rFonts w:ascii="Arial" w:hAnsi="Arial" w:cs="Arial"/>
          <w:sz w:val="18"/>
          <w:szCs w:val="18"/>
        </w:rPr>
        <w:footnoteRef/>
      </w:r>
      <w:r w:rsidRPr="007F5A24">
        <w:rPr>
          <w:rFonts w:ascii="Arial" w:hAnsi="Arial" w:cs="Arial"/>
          <w:sz w:val="18"/>
          <w:szCs w:val="18"/>
        </w:rPr>
        <w:t xml:space="preserve"> Recommendation 14.1, Parliamentary Joint Committee on Corporations and Financial Services 2019, p. 2</w:t>
      </w:r>
      <w:r>
        <w:rPr>
          <w:rFonts w:ascii="Arial" w:hAnsi="Arial" w:cs="Arial"/>
          <w:sz w:val="18"/>
          <w:szCs w:val="18"/>
        </w:rPr>
        <w:t>02</w:t>
      </w:r>
      <w:r w:rsidRPr="007F5A24">
        <w:rPr>
          <w:rFonts w:ascii="Arial" w:hAnsi="Arial" w:cs="Arial"/>
          <w:sz w:val="18"/>
          <w:szCs w:val="18"/>
        </w:rPr>
        <w:t xml:space="preserve"> (Ibid footnote 10).</w:t>
      </w:r>
    </w:p>
  </w:footnote>
  <w:footnote w:id="14">
    <w:p w14:paraId="3F1D0BF7" w14:textId="4E3A7C17" w:rsidR="00E3214D" w:rsidRPr="00CE53D8" w:rsidRDefault="00E3214D" w:rsidP="000407AA">
      <w:pPr>
        <w:pStyle w:val="FootnoteText"/>
        <w:rPr>
          <w:rFonts w:ascii="Arial" w:hAnsi="Arial" w:cs="Arial"/>
          <w:sz w:val="18"/>
          <w:szCs w:val="18"/>
          <w:lang w:val="en-US"/>
        </w:rPr>
      </w:pPr>
      <w:r w:rsidRPr="00CE53D8">
        <w:rPr>
          <w:rStyle w:val="FootnoteReference"/>
          <w:rFonts w:ascii="Arial" w:hAnsi="Arial" w:cs="Arial"/>
          <w:sz w:val="18"/>
          <w:szCs w:val="18"/>
        </w:rPr>
        <w:footnoteRef/>
      </w:r>
      <w:r w:rsidRPr="00CE53D8">
        <w:rPr>
          <w:rFonts w:ascii="Arial" w:hAnsi="Arial" w:cs="Arial"/>
          <w:sz w:val="18"/>
          <w:szCs w:val="18"/>
        </w:rPr>
        <w:t xml:space="preserve"> </w:t>
      </w:r>
      <w:r>
        <w:rPr>
          <w:rFonts w:ascii="Arial" w:hAnsi="Arial" w:cs="Arial"/>
          <w:sz w:val="18"/>
          <w:szCs w:val="18"/>
        </w:rPr>
        <w:t xml:space="preserve">ACCC 2017, p. 34 (Ibid footnote </w:t>
      </w:r>
      <w:r w:rsidRPr="0040566B">
        <w:fldChar w:fldCharType="begin"/>
      </w:r>
      <w:r>
        <w:rPr>
          <w:rFonts w:ascii="Arial" w:hAnsi="Arial" w:cs="Arial"/>
          <w:sz w:val="18"/>
          <w:szCs w:val="18"/>
        </w:rPr>
        <w:instrText xml:space="preserve"> NOTEREF _Ref529871249 \h </w:instrText>
      </w:r>
      <w:r w:rsidRPr="0040566B">
        <w:rPr>
          <w:rFonts w:ascii="Arial" w:hAnsi="Arial" w:cs="Arial"/>
          <w:sz w:val="18"/>
          <w:szCs w:val="18"/>
        </w:rPr>
        <w:fldChar w:fldCharType="separate"/>
      </w:r>
      <w:r w:rsidR="00EA3759">
        <w:rPr>
          <w:rFonts w:ascii="Arial" w:hAnsi="Arial" w:cs="Arial"/>
          <w:sz w:val="18"/>
          <w:szCs w:val="18"/>
        </w:rPr>
        <w:t>1</w:t>
      </w:r>
      <w:r w:rsidRPr="0040566B">
        <w:fldChar w:fldCharType="end"/>
      </w:r>
      <w:r>
        <w:rPr>
          <w:rFonts w:ascii="Arial" w:hAnsi="Arial" w:cs="Arial"/>
          <w:sz w:val="18"/>
          <w:szCs w:val="18"/>
        </w:rPr>
        <w:t>).</w:t>
      </w:r>
    </w:p>
  </w:footnote>
  <w:footnote w:id="15">
    <w:p w14:paraId="3F1D0BF8" w14:textId="77777777" w:rsidR="00E3214D" w:rsidRPr="00CE53D8" w:rsidRDefault="00E3214D" w:rsidP="000407AA">
      <w:pPr>
        <w:pStyle w:val="FootnoteText"/>
        <w:rPr>
          <w:rFonts w:ascii="Arial" w:hAnsi="Arial" w:cs="Arial"/>
          <w:sz w:val="18"/>
          <w:szCs w:val="18"/>
        </w:rPr>
      </w:pPr>
      <w:r w:rsidRPr="00CE53D8">
        <w:rPr>
          <w:rStyle w:val="FootnoteReference"/>
          <w:rFonts w:ascii="Arial" w:hAnsi="Arial" w:cs="Arial"/>
          <w:sz w:val="18"/>
          <w:szCs w:val="18"/>
        </w:rPr>
        <w:footnoteRef/>
      </w:r>
      <w:r w:rsidRPr="00CE53D8">
        <w:rPr>
          <w:rFonts w:ascii="Arial" w:hAnsi="Arial" w:cs="Arial"/>
          <w:sz w:val="18"/>
          <w:szCs w:val="18"/>
        </w:rPr>
        <w:t xml:space="preserve"> Mr Alan Wein, </w:t>
      </w:r>
      <w:hyperlink r:id="rId2" w:history="1">
        <w:r w:rsidRPr="00B77666">
          <w:rPr>
            <w:rStyle w:val="Hyperlink"/>
            <w:rFonts w:ascii="Arial" w:hAnsi="Arial" w:cs="Arial"/>
            <w:sz w:val="18"/>
            <w:szCs w:val="18"/>
          </w:rPr>
          <w:t>Review of the Franchising Code of Conduct: Report to the Hon Gary Gray AO MP, Minister for Small Business, and the Hon Bernie Ripoll MP, Parliamentary Secretary for Small Business</w:t>
        </w:r>
      </w:hyperlink>
      <w:r w:rsidRPr="00CE53D8">
        <w:rPr>
          <w:rFonts w:ascii="Arial" w:hAnsi="Arial" w:cs="Arial"/>
          <w:sz w:val="18"/>
          <w:szCs w:val="18"/>
        </w:rPr>
        <w:t xml:space="preserve">, 30 April 2013, </w:t>
      </w:r>
      <w:r>
        <w:rPr>
          <w:rFonts w:ascii="Arial" w:hAnsi="Arial" w:cs="Arial"/>
          <w:sz w:val="18"/>
          <w:szCs w:val="18"/>
        </w:rPr>
        <w:br/>
      </w:r>
      <w:r w:rsidRPr="00CE53D8">
        <w:rPr>
          <w:rFonts w:ascii="Arial" w:hAnsi="Arial" w:cs="Arial"/>
          <w:sz w:val="18"/>
          <w:szCs w:val="18"/>
        </w:rPr>
        <w:t>p</w:t>
      </w:r>
      <w:r>
        <w:rPr>
          <w:rFonts w:ascii="Arial" w:hAnsi="Arial" w:cs="Arial"/>
          <w:sz w:val="18"/>
          <w:szCs w:val="18"/>
        </w:rPr>
        <w:t>.</w:t>
      </w:r>
      <w:r w:rsidRPr="00CE53D8">
        <w:rPr>
          <w:rFonts w:ascii="Arial" w:hAnsi="Arial" w:cs="Arial"/>
          <w:sz w:val="18"/>
          <w:szCs w:val="18"/>
        </w:rPr>
        <w:t xml:space="preserve"> 152</w:t>
      </w:r>
      <w:r w:rsidRPr="003E4C6D">
        <w:rPr>
          <w:rStyle w:val="Hyperlink"/>
          <w:rFonts w:ascii="Arial" w:hAnsi="Arial" w:cs="Arial"/>
          <w:color w:val="auto"/>
          <w:sz w:val="18"/>
          <w:szCs w:val="18"/>
          <w:u w:val="none"/>
        </w:rPr>
        <w:t>.</w:t>
      </w:r>
    </w:p>
  </w:footnote>
  <w:footnote w:id="16">
    <w:p w14:paraId="3F1D0BF9" w14:textId="77777777" w:rsidR="00E3214D" w:rsidRPr="007A7CC7" w:rsidRDefault="00E3214D" w:rsidP="000407AA">
      <w:pPr>
        <w:pStyle w:val="FootnoteText"/>
        <w:rPr>
          <w:rFonts w:ascii="Arial" w:hAnsi="Arial" w:cs="Arial"/>
          <w:sz w:val="18"/>
          <w:szCs w:val="18"/>
        </w:rPr>
      </w:pPr>
      <w:r w:rsidRPr="00CE53D8">
        <w:rPr>
          <w:rStyle w:val="FootnoteReference"/>
          <w:rFonts w:ascii="Arial" w:hAnsi="Arial" w:cs="Arial"/>
          <w:sz w:val="18"/>
          <w:szCs w:val="18"/>
        </w:rPr>
        <w:footnoteRef/>
      </w:r>
      <w:r w:rsidRPr="00CE53D8">
        <w:rPr>
          <w:rFonts w:ascii="Arial" w:hAnsi="Arial" w:cs="Arial"/>
          <w:sz w:val="18"/>
          <w:szCs w:val="18"/>
        </w:rPr>
        <w:t xml:space="preserve"> </w:t>
      </w:r>
      <w:r>
        <w:rPr>
          <w:rFonts w:ascii="Arial" w:hAnsi="Arial" w:cs="Arial"/>
          <w:sz w:val="18"/>
          <w:szCs w:val="18"/>
        </w:rPr>
        <w:t xml:space="preserve">Australian Automotive Dealer Association, </w:t>
      </w:r>
      <w:hyperlink r:id="rId3" w:history="1">
        <w:r w:rsidRPr="00CE53D8">
          <w:rPr>
            <w:rStyle w:val="Hyperlink"/>
            <w:rFonts w:ascii="Arial" w:hAnsi="Arial" w:cs="Arial"/>
            <w:sz w:val="18"/>
            <w:szCs w:val="18"/>
          </w:rPr>
          <w:t>AADA 2017-18 Pre-budget Submission</w:t>
        </w:r>
      </w:hyperlink>
      <w:r w:rsidRPr="00CE53D8">
        <w:rPr>
          <w:rFonts w:ascii="Arial" w:hAnsi="Arial" w:cs="Arial"/>
          <w:sz w:val="18"/>
          <w:szCs w:val="18"/>
        </w:rPr>
        <w:t>,</w:t>
      </w:r>
      <w:r>
        <w:rPr>
          <w:rFonts w:ascii="Arial" w:hAnsi="Arial" w:cs="Arial"/>
          <w:sz w:val="18"/>
          <w:szCs w:val="18"/>
        </w:rPr>
        <w:t xml:space="preserve"> AADA, 19 January 2017,</w:t>
      </w:r>
      <w:r w:rsidRPr="00CE53D8">
        <w:rPr>
          <w:rFonts w:ascii="Arial" w:hAnsi="Arial" w:cs="Arial"/>
          <w:sz w:val="18"/>
          <w:szCs w:val="18"/>
        </w:rPr>
        <w:t xml:space="preserve"> </w:t>
      </w:r>
      <w:r>
        <w:rPr>
          <w:rFonts w:ascii="Arial" w:hAnsi="Arial" w:cs="Arial"/>
          <w:sz w:val="18"/>
          <w:szCs w:val="18"/>
        </w:rPr>
        <w:br/>
      </w:r>
      <w:r w:rsidRPr="00CE53D8">
        <w:rPr>
          <w:rFonts w:ascii="Arial" w:hAnsi="Arial" w:cs="Arial"/>
          <w:sz w:val="18"/>
          <w:szCs w:val="18"/>
        </w:rPr>
        <w:t xml:space="preserve">p </w:t>
      </w:r>
      <w:r>
        <w:rPr>
          <w:rFonts w:ascii="Arial" w:hAnsi="Arial" w:cs="Arial"/>
          <w:sz w:val="18"/>
          <w:szCs w:val="18"/>
        </w:rPr>
        <w:t>4.</w:t>
      </w:r>
      <w:r w:rsidRPr="007A7CC7">
        <w:rPr>
          <w:rFonts w:ascii="Arial" w:hAnsi="Arial" w:cs="Arial"/>
          <w:sz w:val="18"/>
          <w:szCs w:val="18"/>
        </w:rPr>
        <w:t xml:space="preserve"> </w:t>
      </w:r>
    </w:p>
  </w:footnote>
  <w:footnote w:id="17">
    <w:p w14:paraId="3F1D0BFA" w14:textId="77777777" w:rsidR="00E3214D" w:rsidRPr="007A7CC7" w:rsidRDefault="00E3214D">
      <w:pPr>
        <w:pStyle w:val="FootnoteText"/>
        <w:rPr>
          <w:rFonts w:ascii="Arial" w:hAnsi="Arial" w:cs="Arial"/>
          <w:sz w:val="18"/>
          <w:szCs w:val="18"/>
        </w:rPr>
      </w:pPr>
      <w:r w:rsidRPr="007A7CC7">
        <w:rPr>
          <w:rStyle w:val="FootnoteReference"/>
          <w:rFonts w:ascii="Arial" w:hAnsi="Arial" w:cs="Arial"/>
          <w:sz w:val="18"/>
          <w:szCs w:val="18"/>
        </w:rPr>
        <w:footnoteRef/>
      </w:r>
      <w:r>
        <w:rPr>
          <w:rFonts w:ascii="Arial" w:hAnsi="Arial" w:cs="Arial"/>
          <w:sz w:val="18"/>
          <w:szCs w:val="18"/>
        </w:rPr>
        <w:t xml:space="preserve"> Deloitte,</w:t>
      </w:r>
      <w:r w:rsidRPr="006D6395">
        <w:rPr>
          <w:rFonts w:ascii="Arial" w:hAnsi="Arial" w:cs="Arial"/>
          <w:sz w:val="18"/>
          <w:szCs w:val="18"/>
        </w:rPr>
        <w:t xml:space="preserve"> </w:t>
      </w:r>
      <w:hyperlink r:id="rId4" w:history="1">
        <w:r w:rsidRPr="00750E0C">
          <w:rPr>
            <w:rStyle w:val="Hyperlink"/>
            <w:rFonts w:ascii="Arial" w:hAnsi="Arial" w:cs="Arial"/>
            <w:sz w:val="18"/>
            <w:szCs w:val="18"/>
          </w:rPr>
          <w:t>2018 Dealership Benchmarks: Motor Industry Services</w:t>
        </w:r>
      </w:hyperlink>
      <w:r>
        <w:rPr>
          <w:rFonts w:ascii="Arial" w:hAnsi="Arial" w:cs="Arial"/>
          <w:sz w:val="18"/>
          <w:szCs w:val="18"/>
        </w:rPr>
        <w:t>, 2018, pp. 4, 14 and 24</w:t>
      </w:r>
      <w:r w:rsidRPr="006D6395">
        <w:rPr>
          <w:rFonts w:ascii="Arial" w:hAnsi="Arial" w:cs="Arial"/>
          <w:sz w:val="18"/>
          <w:szCs w:val="18"/>
        </w:rPr>
        <w:t>.</w:t>
      </w:r>
    </w:p>
  </w:footnote>
  <w:footnote w:id="18">
    <w:p w14:paraId="3F1D0BFB" w14:textId="77777777" w:rsidR="00E3214D" w:rsidRPr="007A7CC7" w:rsidRDefault="00E3214D">
      <w:pPr>
        <w:pStyle w:val="FootnoteText"/>
        <w:rPr>
          <w:rFonts w:ascii="Arial" w:hAnsi="Arial" w:cs="Arial"/>
          <w:sz w:val="18"/>
          <w:szCs w:val="18"/>
        </w:rPr>
      </w:pPr>
      <w:r w:rsidRPr="007A7CC7">
        <w:rPr>
          <w:rStyle w:val="FootnoteReference"/>
          <w:rFonts w:ascii="Arial" w:hAnsi="Arial" w:cs="Arial"/>
          <w:sz w:val="18"/>
          <w:szCs w:val="18"/>
        </w:rPr>
        <w:footnoteRef/>
      </w:r>
      <w:r>
        <w:rPr>
          <w:rFonts w:ascii="Arial" w:hAnsi="Arial" w:cs="Arial"/>
          <w:sz w:val="18"/>
          <w:szCs w:val="18"/>
        </w:rPr>
        <w:t xml:space="preserve"> Acting ASIC Chairman, Peter Kell, </w:t>
      </w:r>
      <w:hyperlink r:id="rId5" w:history="1">
        <w:r w:rsidRPr="00855CDA">
          <w:rPr>
            <w:rStyle w:val="Hyperlink"/>
            <w:rFonts w:ascii="Arial" w:hAnsi="Arial" w:cs="Arial"/>
            <w:sz w:val="18"/>
            <w:szCs w:val="18"/>
          </w:rPr>
          <w:t>Add-on insurance and flex commission practices</w:t>
        </w:r>
      </w:hyperlink>
      <w:r>
        <w:rPr>
          <w:rFonts w:ascii="Arial" w:hAnsi="Arial" w:cs="Arial"/>
          <w:sz w:val="18"/>
          <w:szCs w:val="18"/>
        </w:rPr>
        <w:t>, Australian Securities &amp; Investments Commissions.</w:t>
      </w:r>
    </w:p>
  </w:footnote>
  <w:footnote w:id="19">
    <w:p w14:paraId="3F1D0BFC" w14:textId="77777777" w:rsidR="00E3214D" w:rsidRDefault="00E3214D">
      <w:pPr>
        <w:pStyle w:val="FootnoteText"/>
      </w:pPr>
      <w:r w:rsidRPr="007A7CC7">
        <w:rPr>
          <w:rStyle w:val="FootnoteReference"/>
          <w:rFonts w:ascii="Arial" w:hAnsi="Arial" w:cs="Arial"/>
          <w:sz w:val="18"/>
          <w:szCs w:val="18"/>
        </w:rPr>
        <w:footnoteRef/>
      </w:r>
      <w:r w:rsidRPr="007A7CC7">
        <w:rPr>
          <w:rFonts w:ascii="Arial" w:hAnsi="Arial" w:cs="Arial"/>
          <w:sz w:val="18"/>
          <w:szCs w:val="18"/>
        </w:rPr>
        <w:t xml:space="preserve"> </w:t>
      </w:r>
      <w:r>
        <w:rPr>
          <w:rFonts w:ascii="Arial" w:hAnsi="Arial" w:cs="Arial"/>
          <w:sz w:val="18"/>
          <w:szCs w:val="18"/>
        </w:rPr>
        <w:t xml:space="preserve">Matthew Cutt, </w:t>
      </w:r>
      <w:hyperlink r:id="rId6" w:history="1">
        <w:r w:rsidRPr="00855CDA">
          <w:rPr>
            <w:rStyle w:val="Hyperlink"/>
            <w:rFonts w:ascii="Arial" w:hAnsi="Arial" w:cs="Arial"/>
            <w:sz w:val="18"/>
            <w:szCs w:val="18"/>
          </w:rPr>
          <w:t>The Changing Landscape of an Automotive Dealership’s Profitability</w:t>
        </w:r>
      </w:hyperlink>
      <w:r>
        <w:rPr>
          <w:rFonts w:ascii="Arial" w:hAnsi="Arial" w:cs="Arial"/>
          <w:sz w:val="18"/>
          <w:szCs w:val="18"/>
        </w:rPr>
        <w:t>, Automotive Dealer Magazine: The Official Publication of the AADA.</w:t>
      </w:r>
      <w:r>
        <w:t xml:space="preserve"> </w:t>
      </w:r>
    </w:p>
  </w:footnote>
  <w:footnote w:id="20">
    <w:p w14:paraId="3F1D0BFD" w14:textId="77777777" w:rsidR="00E3214D" w:rsidRPr="00C005AB" w:rsidRDefault="00E3214D" w:rsidP="00B13090">
      <w:pPr>
        <w:pStyle w:val="FootnoteText"/>
        <w:tabs>
          <w:tab w:val="left" w:pos="1055"/>
        </w:tabs>
        <w:rPr>
          <w:rFonts w:ascii="Arial" w:hAnsi="Arial" w:cs="Arial"/>
          <w:sz w:val="18"/>
          <w:szCs w:val="18"/>
        </w:rPr>
      </w:pPr>
      <w:r w:rsidRPr="00ED2763">
        <w:rPr>
          <w:rStyle w:val="FootnoteReference"/>
          <w:rFonts w:ascii="Arial" w:hAnsi="Arial" w:cs="Arial"/>
          <w:sz w:val="18"/>
          <w:szCs w:val="18"/>
        </w:rPr>
        <w:footnoteRef/>
      </w:r>
      <w:r w:rsidRPr="00ED2763">
        <w:rPr>
          <w:rFonts w:ascii="Arial" w:hAnsi="Arial" w:cs="Arial"/>
          <w:sz w:val="18"/>
          <w:szCs w:val="18"/>
        </w:rPr>
        <w:t xml:space="preserve"> </w:t>
      </w:r>
      <w:r>
        <w:rPr>
          <w:rFonts w:ascii="Arial" w:hAnsi="Arial" w:cs="Arial"/>
          <w:sz w:val="18"/>
          <w:szCs w:val="18"/>
        </w:rPr>
        <w:t>Parliamentary Joint Committee on Corporations and Financial Services 2008</w:t>
      </w:r>
      <w:r w:rsidRPr="00C005AB">
        <w:rPr>
          <w:rFonts w:ascii="Arial" w:hAnsi="Arial" w:cs="Arial"/>
          <w:sz w:val="18"/>
          <w:szCs w:val="18"/>
          <w:lang w:val="en-US"/>
        </w:rPr>
        <w:t>,</w:t>
      </w:r>
      <w:r>
        <w:rPr>
          <w:rFonts w:ascii="Arial" w:hAnsi="Arial" w:cs="Arial"/>
          <w:sz w:val="18"/>
          <w:szCs w:val="18"/>
          <w:lang w:val="en-US"/>
        </w:rPr>
        <w:t xml:space="preserve"> </w:t>
      </w:r>
      <w:hyperlink r:id="rId7" w:history="1">
        <w:r w:rsidRPr="00823E1D">
          <w:rPr>
            <w:rStyle w:val="Hyperlink"/>
            <w:rFonts w:ascii="Arial" w:hAnsi="Arial" w:cs="Arial"/>
            <w:sz w:val="18"/>
            <w:szCs w:val="18"/>
            <w:lang w:val="en-US"/>
          </w:rPr>
          <w:t>Opportunity not opportunism: improving conduct in Australian franchising</w:t>
        </w:r>
      </w:hyperlink>
      <w:r>
        <w:rPr>
          <w:rFonts w:ascii="Arial" w:hAnsi="Arial" w:cs="Arial"/>
          <w:sz w:val="18"/>
          <w:szCs w:val="18"/>
          <w:lang w:val="en-US"/>
        </w:rPr>
        <w:t>, December 2008,</w:t>
      </w:r>
      <w:r w:rsidRPr="00C005AB">
        <w:rPr>
          <w:rFonts w:ascii="Arial" w:hAnsi="Arial" w:cs="Arial"/>
          <w:sz w:val="18"/>
          <w:szCs w:val="18"/>
          <w:lang w:val="en-US"/>
        </w:rPr>
        <w:t xml:space="preserve"> pp 5-</w:t>
      </w:r>
      <w:r>
        <w:rPr>
          <w:rFonts w:ascii="Arial" w:hAnsi="Arial" w:cs="Arial"/>
          <w:sz w:val="18"/>
          <w:szCs w:val="18"/>
          <w:lang w:val="en-US"/>
        </w:rPr>
        <w:t>7</w:t>
      </w:r>
      <w:r w:rsidRPr="00C005AB">
        <w:rPr>
          <w:rFonts w:ascii="Arial" w:hAnsi="Arial" w:cs="Arial"/>
          <w:sz w:val="18"/>
          <w:szCs w:val="18"/>
          <w:lang w:val="en-US"/>
        </w:rPr>
        <w:t>.</w:t>
      </w:r>
    </w:p>
  </w:footnote>
  <w:footnote w:id="21">
    <w:p w14:paraId="3F1D0BFE" w14:textId="30183AEB" w:rsidR="00E3214D" w:rsidRPr="00C005AB" w:rsidRDefault="00E3214D" w:rsidP="00B13090">
      <w:pPr>
        <w:pStyle w:val="FootnoteText"/>
        <w:tabs>
          <w:tab w:val="left" w:pos="1055"/>
        </w:tabs>
        <w:rPr>
          <w:rFonts w:ascii="Arial" w:hAnsi="Arial" w:cs="Arial"/>
          <w:sz w:val="18"/>
          <w:szCs w:val="18"/>
          <w:lang w:val="en-US"/>
        </w:rPr>
      </w:pPr>
      <w:r w:rsidRPr="00C005AB">
        <w:rPr>
          <w:rStyle w:val="FootnoteReference"/>
          <w:rFonts w:ascii="Arial" w:hAnsi="Arial" w:cs="Arial"/>
          <w:sz w:val="18"/>
          <w:szCs w:val="18"/>
        </w:rPr>
        <w:footnoteRef/>
      </w:r>
      <w:r w:rsidRPr="00C005AB">
        <w:rPr>
          <w:rFonts w:ascii="Arial" w:hAnsi="Arial" w:cs="Arial"/>
          <w:sz w:val="18"/>
          <w:szCs w:val="18"/>
        </w:rPr>
        <w:t xml:space="preserve"> Parliamentary Joint Committee on Corporations and Financial Services</w:t>
      </w:r>
      <w:r>
        <w:rPr>
          <w:rFonts w:ascii="Arial" w:hAnsi="Arial" w:cs="Arial"/>
          <w:sz w:val="18"/>
          <w:szCs w:val="18"/>
        </w:rPr>
        <w:t xml:space="preserve"> 2008</w:t>
      </w:r>
      <w:r w:rsidRPr="00C005AB">
        <w:rPr>
          <w:rFonts w:ascii="Arial" w:hAnsi="Arial" w:cs="Arial"/>
          <w:sz w:val="18"/>
          <w:szCs w:val="18"/>
        </w:rPr>
        <w:t xml:space="preserve"> (Ibid footnote </w:t>
      </w:r>
      <w:r w:rsidRPr="0040566B">
        <w:fldChar w:fldCharType="begin"/>
      </w:r>
      <w:r>
        <w:rPr>
          <w:rFonts w:ascii="Arial" w:hAnsi="Arial" w:cs="Arial"/>
          <w:sz w:val="18"/>
          <w:szCs w:val="18"/>
        </w:rPr>
        <w:instrText xml:space="preserve"> NOTEREF _Ref529871878 \h </w:instrText>
      </w:r>
      <w:r w:rsidRPr="0040566B">
        <w:rPr>
          <w:rFonts w:ascii="Arial" w:hAnsi="Arial" w:cs="Arial"/>
          <w:sz w:val="18"/>
          <w:szCs w:val="18"/>
        </w:rPr>
        <w:fldChar w:fldCharType="separate"/>
      </w:r>
      <w:r w:rsidR="00EA3759">
        <w:rPr>
          <w:rFonts w:ascii="Arial" w:hAnsi="Arial" w:cs="Arial"/>
          <w:sz w:val="18"/>
          <w:szCs w:val="18"/>
        </w:rPr>
        <w:t>19</w:t>
      </w:r>
      <w:r w:rsidRPr="0040566B">
        <w:fldChar w:fldCharType="end"/>
      </w:r>
      <w:r w:rsidRPr="00C005AB">
        <w:rPr>
          <w:rFonts w:ascii="Arial" w:hAnsi="Arial" w:cs="Arial"/>
          <w:sz w:val="18"/>
          <w:szCs w:val="18"/>
        </w:rPr>
        <w:t>)</w:t>
      </w:r>
      <w:r>
        <w:rPr>
          <w:rFonts w:ascii="Arial" w:hAnsi="Arial" w:cs="Arial"/>
          <w:sz w:val="18"/>
          <w:szCs w:val="18"/>
        </w:rPr>
        <w:t>.</w:t>
      </w:r>
    </w:p>
  </w:footnote>
  <w:footnote w:id="22">
    <w:p w14:paraId="3F1D0BFF" w14:textId="6CBCCCEB" w:rsidR="00E3214D" w:rsidRPr="00C005AB" w:rsidRDefault="00E3214D" w:rsidP="00B13090">
      <w:pPr>
        <w:pStyle w:val="FootnoteText"/>
        <w:tabs>
          <w:tab w:val="left" w:pos="1055"/>
        </w:tabs>
        <w:rPr>
          <w:rFonts w:ascii="Arial" w:hAnsi="Arial" w:cs="Arial"/>
          <w:sz w:val="18"/>
          <w:szCs w:val="18"/>
          <w:lang w:val="en-US"/>
        </w:rPr>
      </w:pPr>
      <w:r w:rsidRPr="00C005AB">
        <w:rPr>
          <w:rStyle w:val="FootnoteReference"/>
          <w:rFonts w:ascii="Arial" w:hAnsi="Arial" w:cs="Arial"/>
          <w:sz w:val="18"/>
          <w:szCs w:val="18"/>
        </w:rPr>
        <w:footnoteRef/>
      </w:r>
      <w:r w:rsidRPr="00C005AB">
        <w:rPr>
          <w:rFonts w:ascii="Arial" w:hAnsi="Arial" w:cs="Arial"/>
          <w:sz w:val="18"/>
          <w:szCs w:val="18"/>
        </w:rPr>
        <w:t xml:space="preserve"> Parliamentary Joint Committee on Corporations and Financial Services</w:t>
      </w:r>
      <w:r>
        <w:rPr>
          <w:rFonts w:ascii="Arial" w:hAnsi="Arial" w:cs="Arial"/>
          <w:sz w:val="18"/>
          <w:szCs w:val="18"/>
        </w:rPr>
        <w:t xml:space="preserve"> 2008</w:t>
      </w:r>
      <w:r w:rsidRPr="00C005AB">
        <w:rPr>
          <w:rFonts w:ascii="Arial" w:hAnsi="Arial" w:cs="Arial"/>
          <w:sz w:val="18"/>
          <w:szCs w:val="18"/>
        </w:rPr>
        <w:t xml:space="preserve"> (Ibid footnote </w:t>
      </w:r>
      <w:r w:rsidRPr="0040566B">
        <w:fldChar w:fldCharType="begin"/>
      </w:r>
      <w:r>
        <w:rPr>
          <w:rFonts w:ascii="Arial" w:hAnsi="Arial" w:cs="Arial"/>
          <w:sz w:val="18"/>
          <w:szCs w:val="18"/>
        </w:rPr>
        <w:instrText xml:space="preserve"> NOTEREF _Ref529871878 \h </w:instrText>
      </w:r>
      <w:r w:rsidRPr="0040566B">
        <w:rPr>
          <w:rFonts w:ascii="Arial" w:hAnsi="Arial" w:cs="Arial"/>
          <w:sz w:val="18"/>
          <w:szCs w:val="18"/>
        </w:rPr>
        <w:fldChar w:fldCharType="separate"/>
      </w:r>
      <w:r w:rsidR="00EA3759">
        <w:rPr>
          <w:rFonts w:ascii="Arial" w:hAnsi="Arial" w:cs="Arial"/>
          <w:sz w:val="18"/>
          <w:szCs w:val="18"/>
        </w:rPr>
        <w:t>19</w:t>
      </w:r>
      <w:r w:rsidRPr="0040566B">
        <w:fldChar w:fldCharType="end"/>
      </w:r>
      <w:r w:rsidRPr="00C005AB">
        <w:rPr>
          <w:rFonts w:ascii="Arial" w:hAnsi="Arial" w:cs="Arial"/>
          <w:sz w:val="18"/>
          <w:szCs w:val="18"/>
        </w:rPr>
        <w:t>)</w:t>
      </w:r>
      <w:r>
        <w:rPr>
          <w:rFonts w:ascii="Arial" w:hAnsi="Arial" w:cs="Arial"/>
          <w:sz w:val="18"/>
          <w:szCs w:val="18"/>
        </w:rPr>
        <w:t>.</w:t>
      </w:r>
    </w:p>
  </w:footnote>
  <w:footnote w:id="23">
    <w:p w14:paraId="3F1D0C00" w14:textId="220E3EE5" w:rsidR="00E3214D" w:rsidRPr="00C005AB" w:rsidRDefault="00E3214D" w:rsidP="00B13090">
      <w:pPr>
        <w:pStyle w:val="FootnoteText"/>
        <w:rPr>
          <w:rFonts w:ascii="Arial" w:hAnsi="Arial" w:cs="Arial"/>
          <w:sz w:val="18"/>
          <w:szCs w:val="18"/>
          <w:lang w:val="en-US"/>
        </w:rPr>
      </w:pPr>
      <w:r w:rsidRPr="00C005AB">
        <w:rPr>
          <w:rStyle w:val="FootnoteReference"/>
          <w:rFonts w:ascii="Arial" w:hAnsi="Arial" w:cs="Arial"/>
          <w:sz w:val="18"/>
          <w:szCs w:val="18"/>
        </w:rPr>
        <w:footnoteRef/>
      </w:r>
      <w:r w:rsidRPr="00C005AB">
        <w:rPr>
          <w:rFonts w:ascii="Arial" w:hAnsi="Arial" w:cs="Arial"/>
          <w:sz w:val="18"/>
          <w:szCs w:val="18"/>
        </w:rPr>
        <w:t xml:space="preserve"> Parliamentary Joint Committee on Corporations and Financial Services </w:t>
      </w:r>
      <w:r>
        <w:rPr>
          <w:rFonts w:ascii="Arial" w:hAnsi="Arial" w:cs="Arial"/>
          <w:sz w:val="18"/>
          <w:szCs w:val="18"/>
        </w:rPr>
        <w:t xml:space="preserve">2008 </w:t>
      </w:r>
      <w:r w:rsidRPr="00C005AB">
        <w:rPr>
          <w:rFonts w:ascii="Arial" w:hAnsi="Arial" w:cs="Arial"/>
          <w:sz w:val="18"/>
          <w:szCs w:val="18"/>
        </w:rPr>
        <w:t xml:space="preserve">(Ibid footnote </w:t>
      </w:r>
      <w:r w:rsidRPr="0040566B">
        <w:fldChar w:fldCharType="begin"/>
      </w:r>
      <w:r>
        <w:rPr>
          <w:rFonts w:ascii="Arial" w:hAnsi="Arial" w:cs="Arial"/>
          <w:sz w:val="18"/>
          <w:szCs w:val="18"/>
        </w:rPr>
        <w:instrText xml:space="preserve"> NOTEREF _Ref529871878 \h </w:instrText>
      </w:r>
      <w:r w:rsidRPr="0040566B">
        <w:rPr>
          <w:rFonts w:ascii="Arial" w:hAnsi="Arial" w:cs="Arial"/>
          <w:sz w:val="18"/>
          <w:szCs w:val="18"/>
        </w:rPr>
        <w:fldChar w:fldCharType="separate"/>
      </w:r>
      <w:r w:rsidR="00EA3759">
        <w:rPr>
          <w:rFonts w:ascii="Arial" w:hAnsi="Arial" w:cs="Arial"/>
          <w:sz w:val="18"/>
          <w:szCs w:val="18"/>
        </w:rPr>
        <w:t>19</w:t>
      </w:r>
      <w:r w:rsidRPr="0040566B">
        <w:fldChar w:fldCharType="end"/>
      </w:r>
      <w:r w:rsidRPr="00C005AB">
        <w:rPr>
          <w:rFonts w:ascii="Arial" w:hAnsi="Arial" w:cs="Arial"/>
          <w:sz w:val="18"/>
          <w:szCs w:val="18"/>
        </w:rPr>
        <w:t>)</w:t>
      </w:r>
      <w:r>
        <w:rPr>
          <w:rFonts w:ascii="Arial" w:hAnsi="Arial" w:cs="Arial"/>
          <w:sz w:val="18"/>
          <w:szCs w:val="18"/>
        </w:rPr>
        <w:t>.</w:t>
      </w:r>
    </w:p>
  </w:footnote>
  <w:footnote w:id="24">
    <w:p w14:paraId="3F1D0C01" w14:textId="178FA3D9" w:rsidR="00E3214D" w:rsidRPr="00C005AB" w:rsidRDefault="00E3214D" w:rsidP="00B13090">
      <w:pPr>
        <w:pStyle w:val="FootnoteText"/>
        <w:rPr>
          <w:rFonts w:ascii="Arial" w:hAnsi="Arial" w:cs="Arial"/>
          <w:sz w:val="18"/>
          <w:szCs w:val="18"/>
          <w:lang w:val="en-US"/>
        </w:rPr>
      </w:pPr>
      <w:r w:rsidRPr="00C005AB">
        <w:rPr>
          <w:rStyle w:val="FootnoteReference"/>
          <w:rFonts w:ascii="Arial" w:hAnsi="Arial" w:cs="Arial"/>
          <w:sz w:val="18"/>
          <w:szCs w:val="18"/>
        </w:rPr>
        <w:footnoteRef/>
      </w:r>
      <w:r w:rsidRPr="00C005AB">
        <w:rPr>
          <w:rFonts w:ascii="Arial" w:hAnsi="Arial" w:cs="Arial"/>
          <w:sz w:val="18"/>
          <w:szCs w:val="18"/>
        </w:rPr>
        <w:t xml:space="preserve"> Parliamentary Joint Committee on Corporations and Financial Services</w:t>
      </w:r>
      <w:r>
        <w:rPr>
          <w:rFonts w:ascii="Arial" w:hAnsi="Arial" w:cs="Arial"/>
          <w:sz w:val="18"/>
          <w:szCs w:val="18"/>
        </w:rPr>
        <w:t xml:space="preserve"> 2008</w:t>
      </w:r>
      <w:r w:rsidRPr="00C005AB">
        <w:rPr>
          <w:rFonts w:ascii="Arial" w:hAnsi="Arial" w:cs="Arial"/>
          <w:sz w:val="18"/>
          <w:szCs w:val="18"/>
        </w:rPr>
        <w:t xml:space="preserve"> (Ibid footnote </w:t>
      </w:r>
      <w:r w:rsidRPr="0040566B">
        <w:fldChar w:fldCharType="begin"/>
      </w:r>
      <w:r>
        <w:rPr>
          <w:rFonts w:ascii="Arial" w:hAnsi="Arial" w:cs="Arial"/>
          <w:sz w:val="18"/>
          <w:szCs w:val="18"/>
        </w:rPr>
        <w:instrText xml:space="preserve"> NOTEREF _Ref529871878 \h </w:instrText>
      </w:r>
      <w:r w:rsidRPr="0040566B">
        <w:rPr>
          <w:rFonts w:ascii="Arial" w:hAnsi="Arial" w:cs="Arial"/>
          <w:sz w:val="18"/>
          <w:szCs w:val="18"/>
        </w:rPr>
        <w:fldChar w:fldCharType="separate"/>
      </w:r>
      <w:r w:rsidR="00EA3759">
        <w:rPr>
          <w:rFonts w:ascii="Arial" w:hAnsi="Arial" w:cs="Arial"/>
          <w:sz w:val="18"/>
          <w:szCs w:val="18"/>
        </w:rPr>
        <w:t>19</w:t>
      </w:r>
      <w:r w:rsidRPr="0040566B">
        <w:fldChar w:fldCharType="end"/>
      </w:r>
      <w:r w:rsidRPr="00C005AB">
        <w:rPr>
          <w:rFonts w:ascii="Arial" w:hAnsi="Arial" w:cs="Arial"/>
          <w:sz w:val="18"/>
          <w:szCs w:val="18"/>
        </w:rPr>
        <w:t>)</w:t>
      </w:r>
      <w:r>
        <w:rPr>
          <w:rFonts w:ascii="Arial" w:hAnsi="Arial" w:cs="Arial"/>
          <w:sz w:val="18"/>
          <w:szCs w:val="18"/>
        </w:rPr>
        <w:t>.</w:t>
      </w:r>
    </w:p>
  </w:footnote>
  <w:footnote w:id="25">
    <w:p w14:paraId="3F1D0C02" w14:textId="034CDD29" w:rsidR="00E3214D" w:rsidRPr="00C005AB" w:rsidRDefault="00E3214D" w:rsidP="00B13090">
      <w:pPr>
        <w:pStyle w:val="FootnoteText"/>
        <w:rPr>
          <w:rFonts w:ascii="Arial" w:hAnsi="Arial" w:cs="Arial"/>
          <w:sz w:val="18"/>
          <w:szCs w:val="18"/>
          <w:lang w:val="en-US"/>
        </w:rPr>
      </w:pPr>
      <w:r w:rsidRPr="00C005AB">
        <w:rPr>
          <w:rStyle w:val="FootnoteReference"/>
          <w:rFonts w:ascii="Arial" w:hAnsi="Arial" w:cs="Arial"/>
          <w:sz w:val="18"/>
          <w:szCs w:val="18"/>
        </w:rPr>
        <w:footnoteRef/>
      </w:r>
      <w:r w:rsidRPr="00C005AB">
        <w:rPr>
          <w:rFonts w:ascii="Arial" w:hAnsi="Arial" w:cs="Arial"/>
          <w:sz w:val="18"/>
          <w:szCs w:val="18"/>
        </w:rPr>
        <w:t xml:space="preserve"> Parliamentary Joint Committee on Corporations and Financial Services</w:t>
      </w:r>
      <w:r>
        <w:rPr>
          <w:rFonts w:ascii="Arial" w:hAnsi="Arial" w:cs="Arial"/>
          <w:sz w:val="18"/>
          <w:szCs w:val="18"/>
        </w:rPr>
        <w:t xml:space="preserve"> 2008</w:t>
      </w:r>
      <w:r w:rsidRPr="00C005AB">
        <w:rPr>
          <w:rFonts w:ascii="Arial" w:hAnsi="Arial" w:cs="Arial"/>
          <w:sz w:val="18"/>
          <w:szCs w:val="18"/>
        </w:rPr>
        <w:t xml:space="preserve"> (Ibid footnote </w:t>
      </w:r>
      <w:r w:rsidRPr="0040566B">
        <w:fldChar w:fldCharType="begin"/>
      </w:r>
      <w:r>
        <w:rPr>
          <w:rFonts w:ascii="Arial" w:hAnsi="Arial" w:cs="Arial"/>
          <w:sz w:val="18"/>
          <w:szCs w:val="18"/>
        </w:rPr>
        <w:instrText xml:space="preserve"> NOTEREF _Ref529871878 \h </w:instrText>
      </w:r>
      <w:r w:rsidRPr="0040566B">
        <w:rPr>
          <w:rFonts w:ascii="Arial" w:hAnsi="Arial" w:cs="Arial"/>
          <w:sz w:val="18"/>
          <w:szCs w:val="18"/>
        </w:rPr>
        <w:fldChar w:fldCharType="separate"/>
      </w:r>
      <w:r w:rsidR="00EA3759">
        <w:rPr>
          <w:rFonts w:ascii="Arial" w:hAnsi="Arial" w:cs="Arial"/>
          <w:sz w:val="18"/>
          <w:szCs w:val="18"/>
        </w:rPr>
        <w:t>19</w:t>
      </w:r>
      <w:r w:rsidRPr="0040566B">
        <w:fldChar w:fldCharType="end"/>
      </w:r>
      <w:r w:rsidRPr="00C005AB">
        <w:rPr>
          <w:rFonts w:ascii="Arial" w:hAnsi="Arial" w:cs="Arial"/>
          <w:sz w:val="18"/>
          <w:szCs w:val="18"/>
        </w:rPr>
        <w:t>)</w:t>
      </w:r>
      <w:r>
        <w:rPr>
          <w:rFonts w:ascii="Arial" w:hAnsi="Arial" w:cs="Arial"/>
          <w:sz w:val="18"/>
          <w:szCs w:val="18"/>
        </w:rPr>
        <w:t>.</w:t>
      </w:r>
    </w:p>
  </w:footnote>
  <w:footnote w:id="26">
    <w:p w14:paraId="3F1D0C03" w14:textId="36CD23C5" w:rsidR="00E3214D" w:rsidRPr="008C532E" w:rsidRDefault="00E3214D" w:rsidP="00B13090">
      <w:pPr>
        <w:pStyle w:val="FootnoteText"/>
        <w:rPr>
          <w:lang w:val="en-US"/>
        </w:rPr>
      </w:pPr>
      <w:r w:rsidRPr="00C005AB">
        <w:rPr>
          <w:rStyle w:val="FootnoteReference"/>
          <w:rFonts w:ascii="Arial" w:hAnsi="Arial" w:cs="Arial"/>
          <w:sz w:val="18"/>
          <w:szCs w:val="18"/>
        </w:rPr>
        <w:footnoteRef/>
      </w:r>
      <w:r w:rsidRPr="00C005AB">
        <w:rPr>
          <w:rFonts w:ascii="Arial" w:hAnsi="Arial" w:cs="Arial"/>
          <w:sz w:val="18"/>
          <w:szCs w:val="18"/>
        </w:rPr>
        <w:t xml:space="preserve"> Parliamentary Joint Committee on Corporations and Financial Services </w:t>
      </w:r>
      <w:r>
        <w:rPr>
          <w:rFonts w:ascii="Arial" w:hAnsi="Arial" w:cs="Arial"/>
          <w:sz w:val="18"/>
          <w:szCs w:val="18"/>
        </w:rPr>
        <w:t xml:space="preserve">2008 </w:t>
      </w:r>
      <w:r w:rsidRPr="00C005AB">
        <w:rPr>
          <w:rFonts w:ascii="Arial" w:hAnsi="Arial" w:cs="Arial"/>
          <w:sz w:val="18"/>
          <w:szCs w:val="18"/>
        </w:rPr>
        <w:t xml:space="preserve">(Ibid footnote </w:t>
      </w:r>
      <w:r w:rsidRPr="0040566B">
        <w:fldChar w:fldCharType="begin"/>
      </w:r>
      <w:r>
        <w:rPr>
          <w:rFonts w:ascii="Arial" w:hAnsi="Arial" w:cs="Arial"/>
          <w:sz w:val="18"/>
          <w:szCs w:val="18"/>
        </w:rPr>
        <w:instrText xml:space="preserve"> NOTEREF _Ref529871878 \h </w:instrText>
      </w:r>
      <w:r w:rsidRPr="0040566B">
        <w:rPr>
          <w:rFonts w:ascii="Arial" w:hAnsi="Arial" w:cs="Arial"/>
          <w:sz w:val="18"/>
          <w:szCs w:val="18"/>
        </w:rPr>
        <w:fldChar w:fldCharType="separate"/>
      </w:r>
      <w:r w:rsidR="00EA3759">
        <w:rPr>
          <w:rFonts w:ascii="Arial" w:hAnsi="Arial" w:cs="Arial"/>
          <w:sz w:val="18"/>
          <w:szCs w:val="18"/>
        </w:rPr>
        <w:t>19</w:t>
      </w:r>
      <w:r w:rsidRPr="0040566B">
        <w:fldChar w:fldCharType="end"/>
      </w:r>
      <w:r w:rsidRPr="00C005AB">
        <w:rPr>
          <w:rFonts w:ascii="Arial" w:hAnsi="Arial" w:cs="Arial"/>
          <w:sz w:val="18"/>
          <w:szCs w:val="18"/>
        </w:rPr>
        <w:t>)</w:t>
      </w:r>
      <w:r>
        <w:rPr>
          <w:rFonts w:ascii="Arial" w:hAnsi="Arial" w:cs="Arial"/>
          <w:sz w:val="18"/>
          <w:szCs w:val="18"/>
        </w:rPr>
        <w:t>.</w:t>
      </w:r>
    </w:p>
  </w:footnote>
  <w:footnote w:id="27">
    <w:p w14:paraId="3F1D0C04" w14:textId="3C25AE80" w:rsidR="00E3214D" w:rsidRPr="008C532E" w:rsidRDefault="00E3214D" w:rsidP="004E17B1">
      <w:pPr>
        <w:pStyle w:val="FootnoteText"/>
        <w:rPr>
          <w:lang w:val="en-US"/>
        </w:rPr>
      </w:pPr>
      <w:r w:rsidRPr="00C005AB">
        <w:rPr>
          <w:rStyle w:val="FootnoteReference"/>
          <w:rFonts w:ascii="Arial" w:hAnsi="Arial" w:cs="Arial"/>
          <w:sz w:val="18"/>
          <w:szCs w:val="18"/>
        </w:rPr>
        <w:footnoteRef/>
      </w:r>
      <w:r w:rsidRPr="00C005AB">
        <w:rPr>
          <w:rFonts w:ascii="Arial" w:hAnsi="Arial" w:cs="Arial"/>
          <w:sz w:val="18"/>
          <w:szCs w:val="18"/>
        </w:rPr>
        <w:t xml:space="preserve"> Parliamentary Joint Committee on Corporations and Financial Services</w:t>
      </w:r>
      <w:r>
        <w:rPr>
          <w:rFonts w:ascii="Arial" w:hAnsi="Arial" w:cs="Arial"/>
          <w:sz w:val="18"/>
          <w:szCs w:val="18"/>
        </w:rPr>
        <w:t xml:space="preserve"> 2008</w:t>
      </w:r>
      <w:r w:rsidRPr="00C005AB">
        <w:rPr>
          <w:rFonts w:ascii="Arial" w:hAnsi="Arial" w:cs="Arial"/>
          <w:sz w:val="18"/>
          <w:szCs w:val="18"/>
        </w:rPr>
        <w:t xml:space="preserve"> (Ibid footnote </w:t>
      </w:r>
      <w:r w:rsidRPr="0040566B">
        <w:fldChar w:fldCharType="begin"/>
      </w:r>
      <w:r>
        <w:rPr>
          <w:rFonts w:ascii="Arial" w:hAnsi="Arial" w:cs="Arial"/>
          <w:sz w:val="18"/>
          <w:szCs w:val="18"/>
        </w:rPr>
        <w:instrText xml:space="preserve"> NOTEREF _Ref529871878 \h </w:instrText>
      </w:r>
      <w:r w:rsidRPr="0040566B">
        <w:rPr>
          <w:rFonts w:ascii="Arial" w:hAnsi="Arial" w:cs="Arial"/>
          <w:sz w:val="18"/>
          <w:szCs w:val="18"/>
        </w:rPr>
        <w:fldChar w:fldCharType="separate"/>
      </w:r>
      <w:r w:rsidR="00EA3759">
        <w:rPr>
          <w:rFonts w:ascii="Arial" w:hAnsi="Arial" w:cs="Arial"/>
          <w:sz w:val="18"/>
          <w:szCs w:val="18"/>
        </w:rPr>
        <w:t>19</w:t>
      </w:r>
      <w:r w:rsidRPr="0040566B">
        <w:fldChar w:fldCharType="end"/>
      </w:r>
      <w:r w:rsidRPr="00C005AB">
        <w:rPr>
          <w:rFonts w:ascii="Arial" w:hAnsi="Arial" w:cs="Arial"/>
          <w:sz w:val="18"/>
          <w:szCs w:val="18"/>
        </w:rPr>
        <w:t>)</w:t>
      </w:r>
      <w:r>
        <w:rPr>
          <w:rFonts w:ascii="Arial" w:hAnsi="Arial" w:cs="Arial"/>
          <w:sz w:val="18"/>
          <w:szCs w:val="18"/>
        </w:rPr>
        <w:t xml:space="preserve">; </w:t>
      </w:r>
      <w:r w:rsidRPr="00D63092">
        <w:rPr>
          <w:rFonts w:ascii="Arial" w:hAnsi="Arial" w:cs="Arial"/>
          <w:sz w:val="18"/>
          <w:szCs w:val="18"/>
          <w:lang w:val="en-US"/>
        </w:rPr>
        <w:t>F</w:t>
      </w:r>
      <w:r>
        <w:rPr>
          <w:rFonts w:ascii="Arial" w:hAnsi="Arial" w:cs="Arial"/>
          <w:sz w:val="18"/>
          <w:szCs w:val="18"/>
          <w:lang w:val="en-US"/>
        </w:rPr>
        <w:t xml:space="preserve">ederal </w:t>
      </w:r>
      <w:r w:rsidRPr="00D63092">
        <w:rPr>
          <w:rFonts w:ascii="Arial" w:hAnsi="Arial" w:cs="Arial"/>
          <w:sz w:val="18"/>
          <w:szCs w:val="18"/>
          <w:lang w:val="en-US"/>
        </w:rPr>
        <w:t>C</w:t>
      </w:r>
      <w:r>
        <w:rPr>
          <w:rFonts w:ascii="Arial" w:hAnsi="Arial" w:cs="Arial"/>
          <w:sz w:val="18"/>
          <w:szCs w:val="18"/>
          <w:lang w:val="en-US"/>
        </w:rPr>
        <w:t xml:space="preserve">hamber of </w:t>
      </w:r>
      <w:r w:rsidRPr="00D63092">
        <w:rPr>
          <w:rFonts w:ascii="Arial" w:hAnsi="Arial" w:cs="Arial"/>
          <w:sz w:val="18"/>
          <w:szCs w:val="18"/>
          <w:lang w:val="en-US"/>
        </w:rPr>
        <w:t>A</w:t>
      </w:r>
      <w:r>
        <w:rPr>
          <w:rFonts w:ascii="Arial" w:hAnsi="Arial" w:cs="Arial"/>
          <w:sz w:val="18"/>
          <w:szCs w:val="18"/>
          <w:lang w:val="en-US"/>
        </w:rPr>
        <w:t xml:space="preserve">utomotive </w:t>
      </w:r>
      <w:r w:rsidRPr="00D63092">
        <w:rPr>
          <w:rFonts w:ascii="Arial" w:hAnsi="Arial" w:cs="Arial"/>
          <w:sz w:val="18"/>
          <w:szCs w:val="18"/>
          <w:lang w:val="en-US"/>
        </w:rPr>
        <w:t>I</w:t>
      </w:r>
      <w:r>
        <w:rPr>
          <w:rFonts w:ascii="Arial" w:hAnsi="Arial" w:cs="Arial"/>
          <w:sz w:val="18"/>
          <w:szCs w:val="18"/>
          <w:lang w:val="en-US"/>
        </w:rPr>
        <w:t>ndustries 2018,</w:t>
      </w:r>
      <w:r w:rsidRPr="00D63092">
        <w:rPr>
          <w:rFonts w:ascii="Arial" w:hAnsi="Arial" w:cs="Arial"/>
          <w:sz w:val="18"/>
          <w:szCs w:val="18"/>
          <w:lang w:val="en-US"/>
        </w:rPr>
        <w:t xml:space="preserve"> Submission to </w:t>
      </w:r>
      <w:r>
        <w:rPr>
          <w:rFonts w:ascii="Arial" w:hAnsi="Arial" w:cs="Arial"/>
          <w:sz w:val="18"/>
          <w:szCs w:val="18"/>
          <w:lang w:val="en-US"/>
        </w:rPr>
        <w:t>Parliamentary Joint Committee on the operation and effectiveness of the Franchising Code of Conduct, FCAI, May 2018, p. 5</w:t>
      </w:r>
      <w:r>
        <w:rPr>
          <w:rFonts w:ascii="Arial" w:hAnsi="Arial" w:cs="Arial"/>
          <w:sz w:val="18"/>
          <w:szCs w:val="18"/>
        </w:rPr>
        <w:t>.</w:t>
      </w:r>
    </w:p>
  </w:footnote>
  <w:footnote w:id="28">
    <w:p w14:paraId="3F1D0C05" w14:textId="4C4E7CAE" w:rsidR="00E3214D" w:rsidRPr="008C532E" w:rsidRDefault="00E3214D" w:rsidP="004E17B1">
      <w:pPr>
        <w:pStyle w:val="FootnoteText"/>
        <w:rPr>
          <w:lang w:val="en-US"/>
        </w:rPr>
      </w:pPr>
      <w:r w:rsidRPr="00C005AB">
        <w:rPr>
          <w:rStyle w:val="FootnoteReference"/>
          <w:rFonts w:ascii="Arial" w:hAnsi="Arial" w:cs="Arial"/>
          <w:sz w:val="18"/>
          <w:szCs w:val="18"/>
        </w:rPr>
        <w:footnoteRef/>
      </w:r>
      <w:r w:rsidRPr="00C005AB">
        <w:rPr>
          <w:rFonts w:ascii="Arial" w:hAnsi="Arial" w:cs="Arial"/>
          <w:sz w:val="18"/>
          <w:szCs w:val="18"/>
        </w:rPr>
        <w:t xml:space="preserve"> Parliamentary Joint Committee on Corporations and Financial Services</w:t>
      </w:r>
      <w:r>
        <w:rPr>
          <w:rFonts w:ascii="Arial" w:hAnsi="Arial" w:cs="Arial"/>
          <w:sz w:val="18"/>
          <w:szCs w:val="18"/>
        </w:rPr>
        <w:t xml:space="preserve"> 2008</w:t>
      </w:r>
      <w:r w:rsidRPr="00C005AB">
        <w:rPr>
          <w:rFonts w:ascii="Arial" w:hAnsi="Arial" w:cs="Arial"/>
          <w:sz w:val="18"/>
          <w:szCs w:val="18"/>
        </w:rPr>
        <w:t xml:space="preserve"> (Ibid footnote </w:t>
      </w:r>
      <w:r w:rsidRPr="0040566B">
        <w:fldChar w:fldCharType="begin"/>
      </w:r>
      <w:r>
        <w:rPr>
          <w:rFonts w:ascii="Arial" w:hAnsi="Arial" w:cs="Arial"/>
          <w:sz w:val="18"/>
          <w:szCs w:val="18"/>
        </w:rPr>
        <w:instrText xml:space="preserve"> NOTEREF _Ref529871878 \h </w:instrText>
      </w:r>
      <w:r w:rsidRPr="0040566B">
        <w:rPr>
          <w:rFonts w:ascii="Arial" w:hAnsi="Arial" w:cs="Arial"/>
          <w:sz w:val="18"/>
          <w:szCs w:val="18"/>
        </w:rPr>
        <w:fldChar w:fldCharType="separate"/>
      </w:r>
      <w:r w:rsidR="00EA3759">
        <w:rPr>
          <w:rFonts w:ascii="Arial" w:hAnsi="Arial" w:cs="Arial"/>
          <w:sz w:val="18"/>
          <w:szCs w:val="18"/>
        </w:rPr>
        <w:t>19</w:t>
      </w:r>
      <w:r w:rsidRPr="0040566B">
        <w:fldChar w:fldCharType="end"/>
      </w:r>
      <w:r w:rsidRPr="00C005AB">
        <w:rPr>
          <w:rFonts w:ascii="Arial" w:hAnsi="Arial" w:cs="Arial"/>
          <w:sz w:val="18"/>
          <w:szCs w:val="18"/>
        </w:rPr>
        <w:t>)</w:t>
      </w:r>
      <w:r>
        <w:rPr>
          <w:rFonts w:ascii="Arial" w:hAnsi="Arial" w:cs="Arial"/>
          <w:sz w:val="18"/>
          <w:szCs w:val="18"/>
        </w:rPr>
        <w:t>.</w:t>
      </w:r>
    </w:p>
  </w:footnote>
  <w:footnote w:id="29">
    <w:p w14:paraId="3F1D0C06" w14:textId="7A120197" w:rsidR="00E3214D" w:rsidRPr="008C532E" w:rsidRDefault="00E3214D" w:rsidP="004E17B1">
      <w:pPr>
        <w:pStyle w:val="FootnoteText"/>
        <w:rPr>
          <w:lang w:val="en-US"/>
        </w:rPr>
      </w:pPr>
      <w:r w:rsidRPr="00C005AB">
        <w:rPr>
          <w:rStyle w:val="FootnoteReference"/>
          <w:rFonts w:ascii="Arial" w:hAnsi="Arial" w:cs="Arial"/>
          <w:sz w:val="18"/>
          <w:szCs w:val="18"/>
        </w:rPr>
        <w:footnoteRef/>
      </w:r>
      <w:r w:rsidRPr="00C005AB">
        <w:rPr>
          <w:rFonts w:ascii="Arial" w:hAnsi="Arial" w:cs="Arial"/>
          <w:sz w:val="18"/>
          <w:szCs w:val="18"/>
        </w:rPr>
        <w:t xml:space="preserve"> Parliamentary Joint Committee on Corporations and Financial Services </w:t>
      </w:r>
      <w:r>
        <w:rPr>
          <w:rFonts w:ascii="Arial" w:hAnsi="Arial" w:cs="Arial"/>
          <w:sz w:val="18"/>
          <w:szCs w:val="18"/>
        </w:rPr>
        <w:t xml:space="preserve">2008 </w:t>
      </w:r>
      <w:r w:rsidRPr="00C005AB">
        <w:rPr>
          <w:rFonts w:ascii="Arial" w:hAnsi="Arial" w:cs="Arial"/>
          <w:sz w:val="18"/>
          <w:szCs w:val="18"/>
        </w:rPr>
        <w:t xml:space="preserve">(Ibid footnote </w:t>
      </w:r>
      <w:r w:rsidRPr="0040566B">
        <w:fldChar w:fldCharType="begin"/>
      </w:r>
      <w:r>
        <w:rPr>
          <w:rFonts w:ascii="Arial" w:hAnsi="Arial" w:cs="Arial"/>
          <w:sz w:val="18"/>
          <w:szCs w:val="18"/>
        </w:rPr>
        <w:instrText xml:space="preserve"> NOTEREF _Ref529871878 \h </w:instrText>
      </w:r>
      <w:r w:rsidRPr="0040566B">
        <w:rPr>
          <w:rFonts w:ascii="Arial" w:hAnsi="Arial" w:cs="Arial"/>
          <w:sz w:val="18"/>
          <w:szCs w:val="18"/>
        </w:rPr>
        <w:fldChar w:fldCharType="separate"/>
      </w:r>
      <w:r w:rsidR="00EA3759">
        <w:rPr>
          <w:rFonts w:ascii="Arial" w:hAnsi="Arial" w:cs="Arial"/>
          <w:sz w:val="18"/>
          <w:szCs w:val="18"/>
        </w:rPr>
        <w:t>19</w:t>
      </w:r>
      <w:r w:rsidRPr="0040566B">
        <w:fldChar w:fldCharType="end"/>
      </w:r>
      <w:r w:rsidRPr="00C005AB">
        <w:rPr>
          <w:rFonts w:ascii="Arial" w:hAnsi="Arial" w:cs="Arial"/>
          <w:sz w:val="18"/>
          <w:szCs w:val="18"/>
        </w:rPr>
        <w:t>)</w:t>
      </w:r>
      <w:r>
        <w:rPr>
          <w:rFonts w:ascii="Arial" w:hAnsi="Arial" w:cs="Arial"/>
          <w:sz w:val="18"/>
          <w:szCs w:val="18"/>
        </w:rPr>
        <w:t>.</w:t>
      </w:r>
    </w:p>
  </w:footnote>
  <w:footnote w:id="30">
    <w:p w14:paraId="3F1D0C07" w14:textId="1FD3EAA7" w:rsidR="00E3214D" w:rsidRPr="008C532E" w:rsidRDefault="00E3214D" w:rsidP="004E17B1">
      <w:pPr>
        <w:pStyle w:val="FootnoteText"/>
        <w:rPr>
          <w:lang w:val="en-US"/>
        </w:rPr>
      </w:pPr>
      <w:r w:rsidRPr="00C005AB">
        <w:rPr>
          <w:rStyle w:val="FootnoteReference"/>
          <w:rFonts w:ascii="Arial" w:hAnsi="Arial" w:cs="Arial"/>
          <w:sz w:val="18"/>
          <w:szCs w:val="18"/>
        </w:rPr>
        <w:footnoteRef/>
      </w:r>
      <w:r w:rsidRPr="00C005AB">
        <w:rPr>
          <w:rFonts w:ascii="Arial" w:hAnsi="Arial" w:cs="Arial"/>
          <w:sz w:val="18"/>
          <w:szCs w:val="18"/>
        </w:rPr>
        <w:t xml:space="preserve"> Parliamentary Joint Committee on Corporations and Financial Services </w:t>
      </w:r>
      <w:r>
        <w:rPr>
          <w:rFonts w:ascii="Arial" w:hAnsi="Arial" w:cs="Arial"/>
          <w:sz w:val="18"/>
          <w:szCs w:val="18"/>
        </w:rPr>
        <w:t xml:space="preserve">2008 </w:t>
      </w:r>
      <w:r w:rsidRPr="00C005AB">
        <w:rPr>
          <w:rFonts w:ascii="Arial" w:hAnsi="Arial" w:cs="Arial"/>
          <w:sz w:val="18"/>
          <w:szCs w:val="18"/>
        </w:rPr>
        <w:t xml:space="preserve">(Ibid footnote </w:t>
      </w:r>
      <w:r w:rsidRPr="0040566B">
        <w:fldChar w:fldCharType="begin"/>
      </w:r>
      <w:r>
        <w:rPr>
          <w:rFonts w:ascii="Arial" w:hAnsi="Arial" w:cs="Arial"/>
          <w:sz w:val="18"/>
          <w:szCs w:val="18"/>
        </w:rPr>
        <w:instrText xml:space="preserve"> NOTEREF _Ref529871878 \h </w:instrText>
      </w:r>
      <w:r w:rsidRPr="0040566B">
        <w:rPr>
          <w:rFonts w:ascii="Arial" w:hAnsi="Arial" w:cs="Arial"/>
          <w:sz w:val="18"/>
          <w:szCs w:val="18"/>
        </w:rPr>
        <w:fldChar w:fldCharType="separate"/>
      </w:r>
      <w:r w:rsidR="00EA3759">
        <w:rPr>
          <w:rFonts w:ascii="Arial" w:hAnsi="Arial" w:cs="Arial"/>
          <w:sz w:val="18"/>
          <w:szCs w:val="18"/>
        </w:rPr>
        <w:t>19</w:t>
      </w:r>
      <w:r w:rsidRPr="0040566B">
        <w:fldChar w:fldCharType="end"/>
      </w:r>
      <w:r w:rsidRPr="00C005AB">
        <w:rPr>
          <w:rFonts w:ascii="Arial" w:hAnsi="Arial" w:cs="Arial"/>
          <w:sz w:val="18"/>
          <w:szCs w:val="18"/>
        </w:rPr>
        <w:t>)</w:t>
      </w:r>
      <w:r>
        <w:rPr>
          <w:rFonts w:ascii="Arial" w:hAnsi="Arial" w:cs="Arial"/>
          <w:sz w:val="18"/>
          <w:szCs w:val="18"/>
        </w:rPr>
        <w:t>.</w:t>
      </w:r>
    </w:p>
  </w:footnote>
  <w:footnote w:id="31">
    <w:p w14:paraId="3F1D0C08" w14:textId="77777777" w:rsidR="00E3214D" w:rsidRPr="004F3E1C" w:rsidRDefault="00E3214D">
      <w:pPr>
        <w:pStyle w:val="FootnoteText"/>
        <w:rPr>
          <w:rFonts w:ascii="Arial" w:hAnsi="Arial" w:cs="Arial"/>
          <w:sz w:val="18"/>
          <w:szCs w:val="18"/>
        </w:rPr>
      </w:pPr>
      <w:r w:rsidRPr="004F3E1C">
        <w:rPr>
          <w:rStyle w:val="FootnoteReference"/>
          <w:rFonts w:ascii="Arial" w:hAnsi="Arial" w:cs="Arial"/>
          <w:sz w:val="18"/>
          <w:szCs w:val="18"/>
        </w:rPr>
        <w:footnoteRef/>
      </w:r>
      <w:r w:rsidRPr="004F3E1C">
        <w:rPr>
          <w:rFonts w:ascii="Arial" w:hAnsi="Arial" w:cs="Arial"/>
          <w:sz w:val="18"/>
          <w:szCs w:val="18"/>
        </w:rPr>
        <w:t xml:space="preserve"> </w:t>
      </w:r>
      <w:r w:rsidRPr="004F3E1C">
        <w:rPr>
          <w:rFonts w:ascii="Arial" w:hAnsi="Arial" w:cs="Arial"/>
          <w:sz w:val="18"/>
          <w:szCs w:val="18"/>
          <w:lang w:val="en-US"/>
        </w:rPr>
        <w:t>F</w:t>
      </w:r>
      <w:r>
        <w:rPr>
          <w:rFonts w:ascii="Arial" w:hAnsi="Arial" w:cs="Arial"/>
          <w:sz w:val="18"/>
          <w:szCs w:val="18"/>
          <w:lang w:val="en-US"/>
        </w:rPr>
        <w:t>CAI 2018, p. 3</w:t>
      </w:r>
      <w:r w:rsidRPr="004F3E1C">
        <w:rPr>
          <w:rFonts w:ascii="Arial" w:hAnsi="Arial" w:cs="Arial"/>
          <w:sz w:val="18"/>
          <w:szCs w:val="18"/>
          <w:lang w:val="en-US"/>
        </w:rPr>
        <w:t xml:space="preserve"> </w:t>
      </w:r>
      <w:r>
        <w:rPr>
          <w:rFonts w:ascii="Arial" w:hAnsi="Arial" w:cs="Arial"/>
          <w:sz w:val="18"/>
          <w:szCs w:val="18"/>
          <w:lang w:val="en-US"/>
        </w:rPr>
        <w:t xml:space="preserve">(Ibid footnote </w:t>
      </w:r>
      <w:r w:rsidRPr="0040566B">
        <w:fldChar w:fldCharType="begin"/>
      </w:r>
      <w:r>
        <w:rPr>
          <w:rFonts w:ascii="Arial" w:hAnsi="Arial" w:cs="Arial"/>
          <w:sz w:val="18"/>
          <w:szCs w:val="18"/>
          <w:lang w:val="en-US"/>
        </w:rPr>
        <w:instrText xml:space="preserve"> NOTEREF _Ref530471234 \h </w:instrText>
      </w:r>
      <w:r w:rsidRPr="0040566B">
        <w:rPr>
          <w:rFonts w:ascii="Arial" w:hAnsi="Arial" w:cs="Arial"/>
          <w:sz w:val="18"/>
          <w:szCs w:val="18"/>
          <w:lang w:val="en-US"/>
        </w:rPr>
        <w:fldChar w:fldCharType="separate"/>
      </w:r>
      <w:r w:rsidR="00EA3759">
        <w:rPr>
          <w:rFonts w:ascii="Arial" w:hAnsi="Arial" w:cs="Arial"/>
          <w:sz w:val="18"/>
          <w:szCs w:val="18"/>
          <w:lang w:val="en-US"/>
        </w:rPr>
        <w:t>26</w:t>
      </w:r>
      <w:r w:rsidRPr="0040566B">
        <w:fldChar w:fldCharType="end"/>
      </w:r>
      <w:r>
        <w:rPr>
          <w:rFonts w:ascii="Arial" w:hAnsi="Arial" w:cs="Arial"/>
          <w:sz w:val="18"/>
          <w:szCs w:val="18"/>
          <w:lang w:val="en-US"/>
        </w:rPr>
        <w:t>).</w:t>
      </w:r>
    </w:p>
  </w:footnote>
  <w:footnote w:id="32">
    <w:p w14:paraId="3F1D0C09" w14:textId="77777777" w:rsidR="00E3214D" w:rsidRDefault="00E3214D">
      <w:pPr>
        <w:pStyle w:val="FootnoteText"/>
      </w:pPr>
      <w:r w:rsidRPr="004F3E1C">
        <w:rPr>
          <w:rStyle w:val="FootnoteReference"/>
          <w:rFonts w:ascii="Arial" w:hAnsi="Arial" w:cs="Arial"/>
          <w:sz w:val="18"/>
          <w:szCs w:val="18"/>
        </w:rPr>
        <w:footnoteRef/>
      </w:r>
      <w:r w:rsidRPr="004F3E1C">
        <w:rPr>
          <w:rFonts w:ascii="Arial" w:hAnsi="Arial" w:cs="Arial"/>
          <w:sz w:val="18"/>
          <w:szCs w:val="18"/>
        </w:rPr>
        <w:t xml:space="preserve"> </w:t>
      </w:r>
      <w:r w:rsidRPr="004F3E1C">
        <w:rPr>
          <w:rFonts w:ascii="Arial" w:hAnsi="Arial" w:cs="Arial"/>
          <w:sz w:val="18"/>
          <w:szCs w:val="18"/>
          <w:lang w:val="en-US"/>
        </w:rPr>
        <w:t>F</w:t>
      </w:r>
      <w:r>
        <w:rPr>
          <w:rFonts w:ascii="Arial" w:hAnsi="Arial" w:cs="Arial"/>
          <w:sz w:val="18"/>
          <w:szCs w:val="18"/>
          <w:lang w:val="en-US"/>
        </w:rPr>
        <w:t>CAI 2018, p. 4</w:t>
      </w:r>
      <w:r w:rsidRPr="004F3E1C">
        <w:rPr>
          <w:rFonts w:ascii="Arial" w:hAnsi="Arial" w:cs="Arial"/>
          <w:sz w:val="18"/>
          <w:szCs w:val="18"/>
          <w:lang w:val="en-US"/>
        </w:rPr>
        <w:t xml:space="preserve"> </w:t>
      </w:r>
      <w:r>
        <w:rPr>
          <w:rFonts w:ascii="Arial" w:hAnsi="Arial" w:cs="Arial"/>
          <w:sz w:val="18"/>
          <w:szCs w:val="18"/>
          <w:lang w:val="en-US"/>
        </w:rPr>
        <w:t xml:space="preserve">(Ibid footnote </w:t>
      </w:r>
      <w:r w:rsidRPr="0040566B">
        <w:fldChar w:fldCharType="begin"/>
      </w:r>
      <w:r>
        <w:rPr>
          <w:rFonts w:ascii="Arial" w:hAnsi="Arial" w:cs="Arial"/>
          <w:sz w:val="18"/>
          <w:szCs w:val="18"/>
          <w:lang w:val="en-US"/>
        </w:rPr>
        <w:instrText xml:space="preserve"> NOTEREF _Ref530471234 \h </w:instrText>
      </w:r>
      <w:r w:rsidRPr="0040566B">
        <w:rPr>
          <w:rFonts w:ascii="Arial" w:hAnsi="Arial" w:cs="Arial"/>
          <w:sz w:val="18"/>
          <w:szCs w:val="18"/>
          <w:lang w:val="en-US"/>
        </w:rPr>
        <w:fldChar w:fldCharType="separate"/>
      </w:r>
      <w:r w:rsidR="00EA3759">
        <w:rPr>
          <w:rFonts w:ascii="Arial" w:hAnsi="Arial" w:cs="Arial"/>
          <w:sz w:val="18"/>
          <w:szCs w:val="18"/>
          <w:lang w:val="en-US"/>
        </w:rPr>
        <w:t>26</w:t>
      </w:r>
      <w:r w:rsidRPr="0040566B">
        <w:fldChar w:fldCharType="end"/>
      </w:r>
      <w:r>
        <w:rPr>
          <w:rFonts w:ascii="Arial" w:hAnsi="Arial" w:cs="Arial"/>
          <w:sz w:val="18"/>
          <w:szCs w:val="18"/>
          <w:lang w:val="en-US"/>
        </w:rPr>
        <w:t>).</w:t>
      </w:r>
    </w:p>
  </w:footnote>
  <w:footnote w:id="33">
    <w:p w14:paraId="305A0D36" w14:textId="2C8DB586" w:rsidR="00E3214D" w:rsidRPr="00AE28F3" w:rsidRDefault="00E3214D">
      <w:pPr>
        <w:pStyle w:val="FootnoteText"/>
        <w:rPr>
          <w:rFonts w:ascii="Arial" w:hAnsi="Arial" w:cs="Arial"/>
        </w:rPr>
      </w:pPr>
      <w:r w:rsidRPr="00224C37">
        <w:rPr>
          <w:rStyle w:val="FootnoteReference"/>
          <w:rFonts w:ascii="Arial" w:hAnsi="Arial" w:cs="Arial"/>
          <w:sz w:val="18"/>
        </w:rPr>
        <w:footnoteRef/>
      </w:r>
      <w:r w:rsidRPr="00224C37">
        <w:rPr>
          <w:rFonts w:ascii="Arial" w:hAnsi="Arial" w:cs="Arial"/>
          <w:sz w:val="18"/>
        </w:rPr>
        <w:t xml:space="preserve"> </w:t>
      </w:r>
      <w:r>
        <w:rPr>
          <w:rFonts w:ascii="Arial" w:hAnsi="Arial" w:cs="Arial"/>
          <w:sz w:val="18"/>
        </w:rPr>
        <w:t>Collective bargaining class exemption, viewed 27 September 2019 &lt;</w:t>
      </w:r>
      <w:hyperlink r:id="rId8" w:history="1">
        <w:r w:rsidRPr="00224C37">
          <w:rPr>
            <w:rStyle w:val="Hyperlink"/>
            <w:rFonts w:ascii="Arial" w:hAnsi="Arial" w:cs="Arial"/>
            <w:sz w:val="18"/>
          </w:rPr>
          <w:t>https://www.accc.gov.au/public-registers/class-exemptions-register/collective-bargaining-class-exemption</w:t>
        </w:r>
      </w:hyperlink>
      <w:r w:rsidRPr="00AE28F3">
        <w:rPr>
          <w:rStyle w:val="Hyperlink"/>
          <w:rFonts w:ascii="Arial" w:hAnsi="Arial" w:cs="Arial"/>
          <w:color w:val="auto"/>
          <w:sz w:val="18"/>
          <w:u w:val="none"/>
        </w:rPr>
        <w:t>&gt;</w:t>
      </w:r>
    </w:p>
  </w:footnote>
  <w:footnote w:id="34">
    <w:p w14:paraId="3F1D0C0A" w14:textId="77777777" w:rsidR="00E3214D" w:rsidRPr="00F46444" w:rsidRDefault="00E3214D">
      <w:pPr>
        <w:pStyle w:val="FootnoteText"/>
        <w:rPr>
          <w:rFonts w:ascii="Arial" w:hAnsi="Arial" w:cs="Arial"/>
          <w:sz w:val="18"/>
          <w:szCs w:val="18"/>
          <w:lang w:val="en-US"/>
        </w:rPr>
      </w:pPr>
      <w:r w:rsidRPr="00F46444">
        <w:rPr>
          <w:rStyle w:val="FootnoteReference"/>
          <w:rFonts w:ascii="Arial" w:hAnsi="Arial" w:cs="Arial"/>
          <w:sz w:val="18"/>
          <w:szCs w:val="18"/>
        </w:rPr>
        <w:footnoteRef/>
      </w:r>
      <w:r w:rsidRPr="00F46444">
        <w:rPr>
          <w:rFonts w:ascii="Arial" w:hAnsi="Arial" w:cs="Arial"/>
          <w:sz w:val="18"/>
          <w:szCs w:val="18"/>
        </w:rPr>
        <w:t xml:space="preserve"> IBISWorld Industry Report G3911, </w:t>
      </w:r>
      <w:r w:rsidRPr="00F46444">
        <w:rPr>
          <w:rFonts w:ascii="Arial" w:hAnsi="Arial" w:cs="Arial"/>
          <w:i/>
          <w:iCs/>
          <w:sz w:val="18"/>
          <w:szCs w:val="18"/>
          <w:lang w:val="en-US"/>
        </w:rPr>
        <w:t>Motor Vehicle Dealers in Australia</w:t>
      </w:r>
      <w:r w:rsidRPr="00F46444">
        <w:rPr>
          <w:rFonts w:ascii="Arial" w:hAnsi="Arial" w:cs="Arial"/>
          <w:sz w:val="18"/>
          <w:szCs w:val="18"/>
          <w:lang w:val="en-US"/>
        </w:rPr>
        <w:t>, April 2018, p. 24.</w:t>
      </w:r>
    </w:p>
  </w:footnote>
  <w:footnote w:id="35">
    <w:p w14:paraId="029C1A51" w14:textId="0E32F224" w:rsidR="00E3214D" w:rsidRPr="006647E7" w:rsidRDefault="00E3214D">
      <w:pPr>
        <w:pStyle w:val="FootnoteText"/>
        <w:rPr>
          <w:rFonts w:ascii="Arial" w:hAnsi="Arial" w:cs="Arial"/>
          <w:sz w:val="18"/>
          <w:szCs w:val="18"/>
        </w:rPr>
      </w:pPr>
      <w:r w:rsidRPr="006647E7">
        <w:rPr>
          <w:rStyle w:val="FootnoteReference"/>
          <w:rFonts w:ascii="Arial" w:hAnsi="Arial" w:cs="Arial"/>
          <w:sz w:val="18"/>
          <w:szCs w:val="18"/>
        </w:rPr>
        <w:footnoteRef/>
      </w:r>
      <w:r w:rsidRPr="006647E7">
        <w:rPr>
          <w:rFonts w:ascii="Arial" w:hAnsi="Arial" w:cs="Arial"/>
          <w:sz w:val="18"/>
          <w:szCs w:val="18"/>
        </w:rPr>
        <w:t xml:space="preserve"> </w:t>
      </w:r>
      <w:r w:rsidRPr="00F46444">
        <w:rPr>
          <w:rFonts w:ascii="Arial" w:hAnsi="Arial" w:cs="Arial"/>
          <w:sz w:val="18"/>
          <w:szCs w:val="18"/>
        </w:rPr>
        <w:t>AADA submission to RIS</w:t>
      </w:r>
      <w:r>
        <w:rPr>
          <w:rFonts w:ascii="Arial" w:hAnsi="Arial" w:cs="Arial"/>
          <w:sz w:val="18"/>
          <w:szCs w:val="18"/>
        </w:rPr>
        <w:t>, p.</w:t>
      </w:r>
      <w:r w:rsidRPr="00F46444">
        <w:rPr>
          <w:rFonts w:ascii="Arial" w:hAnsi="Arial" w:cs="Arial"/>
          <w:sz w:val="18"/>
          <w:szCs w:val="18"/>
        </w:rPr>
        <w:t xml:space="preserve"> 6.</w:t>
      </w:r>
    </w:p>
  </w:footnote>
  <w:footnote w:id="36">
    <w:p w14:paraId="4E238A8E" w14:textId="21638A5B" w:rsidR="00E3214D" w:rsidRPr="006647E7" w:rsidRDefault="00E3214D" w:rsidP="00C754A3">
      <w:pPr>
        <w:pStyle w:val="FootnoteText"/>
        <w:rPr>
          <w:rFonts w:ascii="Arial" w:hAnsi="Arial" w:cs="Arial"/>
          <w:sz w:val="18"/>
          <w:szCs w:val="18"/>
        </w:rPr>
      </w:pPr>
      <w:r w:rsidRPr="006647E7">
        <w:rPr>
          <w:rStyle w:val="FootnoteReference"/>
          <w:rFonts w:ascii="Arial" w:hAnsi="Arial" w:cs="Arial"/>
          <w:sz w:val="18"/>
          <w:szCs w:val="18"/>
        </w:rPr>
        <w:footnoteRef/>
      </w:r>
      <w:r w:rsidRPr="00F46444">
        <w:rPr>
          <w:rFonts w:ascii="Arial" w:hAnsi="Arial" w:cs="Arial"/>
          <w:sz w:val="18"/>
          <w:szCs w:val="18"/>
        </w:rPr>
        <w:t xml:space="preserve"> AP Eagers merg</w:t>
      </w:r>
      <w:r>
        <w:rPr>
          <w:rFonts w:ascii="Arial" w:hAnsi="Arial" w:cs="Arial"/>
          <w:sz w:val="18"/>
          <w:szCs w:val="18"/>
        </w:rPr>
        <w:t>er application to the ACCC, p.</w:t>
      </w:r>
      <w:r w:rsidRPr="00F46444">
        <w:rPr>
          <w:rFonts w:ascii="Arial" w:hAnsi="Arial" w:cs="Arial"/>
          <w:sz w:val="18"/>
          <w:szCs w:val="18"/>
        </w:rPr>
        <w:t xml:space="preserve"> 7, viewed 21 June 2019, &lt;https://www.accc.gov.au/public-registers/mergers-registers/merger-authorisations-register/ap-eagers-limited-proposed-acquisition-of-automotive-holdings-group-limited&gt;</w:t>
      </w:r>
    </w:p>
  </w:footnote>
  <w:footnote w:id="37">
    <w:p w14:paraId="11B36280" w14:textId="54D1DB6A" w:rsidR="00E3214D" w:rsidRDefault="00E3214D">
      <w:pPr>
        <w:pStyle w:val="FootnoteText"/>
      </w:pPr>
      <w:r w:rsidRPr="00E5408C">
        <w:rPr>
          <w:rStyle w:val="FootnoteReference"/>
          <w:rFonts w:ascii="Arial" w:hAnsi="Arial" w:cs="Arial"/>
          <w:sz w:val="18"/>
          <w:szCs w:val="18"/>
        </w:rPr>
        <w:footnoteRef/>
      </w:r>
      <w:r w:rsidRPr="00E5408C">
        <w:rPr>
          <w:rFonts w:ascii="Arial" w:hAnsi="Arial" w:cs="Arial"/>
          <w:sz w:val="18"/>
          <w:szCs w:val="18"/>
        </w:rPr>
        <w:t xml:space="preserve"> We note</w:t>
      </w:r>
      <w:r>
        <w:rPr>
          <w:rFonts w:ascii="Arial" w:hAnsi="Arial" w:cs="Arial"/>
          <w:sz w:val="18"/>
          <w:szCs w:val="18"/>
        </w:rPr>
        <w:t xml:space="preserve"> that on 25 July 2019 the ACCC issued a determination granting conditional authorisation of the proposed acquisition for 12 months until 16 August 2020 &lt;</w:t>
      </w:r>
      <w:r w:rsidRPr="00081E67">
        <w:rPr>
          <w:rFonts w:ascii="Arial" w:hAnsi="Arial" w:cs="Arial"/>
          <w:sz w:val="18"/>
          <w:szCs w:val="18"/>
        </w:rPr>
        <w:t>https://www.accc.gov.au/public-registers/mergers-registers/merger-authorisations-register/ap-eagers-limited-proposed-acquisition-of-automotive-holdings-group-limited</w:t>
      </w:r>
      <w:r>
        <w:rPr>
          <w:rFonts w:ascii="Arial" w:hAnsi="Arial" w:cs="Arial"/>
          <w:sz w:val="18"/>
          <w:szCs w:val="18"/>
        </w:rPr>
        <w:t>&gt;</w:t>
      </w:r>
    </w:p>
  </w:footnote>
  <w:footnote w:id="38">
    <w:p w14:paraId="05F46E09" w14:textId="77777777" w:rsidR="00E3214D" w:rsidRPr="00F46444" w:rsidRDefault="00E3214D" w:rsidP="00B81D47">
      <w:pPr>
        <w:pStyle w:val="FootnoteText"/>
        <w:rPr>
          <w:rFonts w:ascii="Arial" w:hAnsi="Arial" w:cs="Arial"/>
          <w:sz w:val="18"/>
          <w:szCs w:val="18"/>
          <w:lang w:val="en-US"/>
        </w:rPr>
      </w:pPr>
      <w:r w:rsidRPr="00F46444">
        <w:rPr>
          <w:rStyle w:val="FootnoteReference"/>
          <w:rFonts w:ascii="Arial" w:hAnsi="Arial" w:cs="Arial"/>
          <w:sz w:val="18"/>
          <w:szCs w:val="18"/>
        </w:rPr>
        <w:footnoteRef/>
      </w:r>
      <w:r w:rsidRPr="00F46444">
        <w:rPr>
          <w:rFonts w:ascii="Arial" w:hAnsi="Arial" w:cs="Arial"/>
          <w:sz w:val="18"/>
          <w:szCs w:val="18"/>
        </w:rPr>
        <w:t xml:space="preserve"> AADA 2018, Inquiry into the operation &amp; effectiveness of the Franchising Code of Conduct, AADA, May 2018, </w:t>
      </w:r>
      <w:r w:rsidRPr="00F46444">
        <w:rPr>
          <w:rFonts w:ascii="Arial" w:hAnsi="Arial" w:cs="Arial"/>
          <w:sz w:val="18"/>
          <w:szCs w:val="18"/>
          <w:lang w:val="en-US"/>
        </w:rPr>
        <w:t>p. 7.</w:t>
      </w:r>
    </w:p>
  </w:footnote>
  <w:footnote w:id="39">
    <w:p w14:paraId="085AABE0" w14:textId="77777777" w:rsidR="00E3214D" w:rsidRDefault="00E3214D" w:rsidP="00867A17">
      <w:pPr>
        <w:pStyle w:val="FootnoteText"/>
      </w:pPr>
      <w:r w:rsidRPr="006647E7">
        <w:rPr>
          <w:rStyle w:val="FootnoteReference"/>
          <w:rFonts w:ascii="Arial" w:hAnsi="Arial" w:cs="Arial"/>
          <w:sz w:val="18"/>
          <w:szCs w:val="18"/>
        </w:rPr>
        <w:footnoteRef/>
      </w:r>
      <w:r w:rsidRPr="00F46444">
        <w:rPr>
          <w:rFonts w:ascii="Arial" w:hAnsi="Arial" w:cs="Arial"/>
          <w:sz w:val="18"/>
          <w:szCs w:val="18"/>
        </w:rPr>
        <w:t xml:space="preserve"> ACCC merger authorisations register, accessed 21 June 2019, &lt;https://www.accc.gov.au/public-registers/mergers-registers/merger-authorisations-register/ap-eagers-limited-proposed-acquisition-of-automotive-holdings-group-limited&gt;</w:t>
      </w:r>
    </w:p>
  </w:footnote>
  <w:footnote w:id="40">
    <w:p w14:paraId="40B9F7A1" w14:textId="1A209849" w:rsidR="00E3214D" w:rsidRPr="0040566B" w:rsidRDefault="00E3214D">
      <w:pPr>
        <w:pStyle w:val="FootnoteText"/>
        <w:rPr>
          <w:lang w:val="en-US"/>
        </w:rPr>
      </w:pPr>
      <w:r w:rsidRPr="00655499">
        <w:rPr>
          <w:rStyle w:val="FootnoteReference"/>
          <w:rFonts w:ascii="Arial" w:hAnsi="Arial" w:cs="Arial"/>
          <w:sz w:val="18"/>
        </w:rPr>
        <w:footnoteRef/>
      </w:r>
      <w:r w:rsidRPr="00655499">
        <w:rPr>
          <w:rFonts w:ascii="Arial" w:hAnsi="Arial" w:cs="Arial"/>
          <w:sz w:val="18"/>
        </w:rPr>
        <w:t xml:space="preserve"> </w:t>
      </w:r>
      <w:r w:rsidRPr="0040566B">
        <w:rPr>
          <w:rFonts w:ascii="Arial" w:hAnsi="Arial" w:cs="Arial"/>
          <w:sz w:val="18"/>
          <w:szCs w:val="18"/>
        </w:rPr>
        <w:t>See AADA, MTAA and ACCC submissions.</w:t>
      </w:r>
    </w:p>
  </w:footnote>
  <w:footnote w:id="41">
    <w:p w14:paraId="3F1D0C0D" w14:textId="77777777" w:rsidR="00E3214D" w:rsidRPr="001604E7" w:rsidRDefault="00E3214D">
      <w:pPr>
        <w:pStyle w:val="FootnoteText"/>
        <w:rPr>
          <w:rFonts w:ascii="Arial" w:hAnsi="Arial" w:cs="Arial"/>
          <w:sz w:val="18"/>
          <w:szCs w:val="18"/>
          <w:lang w:val="af-ZA"/>
        </w:rPr>
      </w:pPr>
      <w:r w:rsidRPr="001604E7">
        <w:rPr>
          <w:rStyle w:val="FootnoteReference"/>
          <w:rFonts w:ascii="Arial" w:hAnsi="Arial" w:cs="Arial"/>
          <w:sz w:val="18"/>
          <w:szCs w:val="18"/>
        </w:rPr>
        <w:footnoteRef/>
      </w:r>
      <w:r w:rsidRPr="001604E7">
        <w:rPr>
          <w:rFonts w:ascii="Arial" w:hAnsi="Arial" w:cs="Arial"/>
          <w:sz w:val="18"/>
          <w:szCs w:val="18"/>
        </w:rPr>
        <w:t xml:space="preserve"> </w:t>
      </w:r>
      <w:r>
        <w:rPr>
          <w:rFonts w:ascii="Arial" w:hAnsi="Arial" w:cs="Arial"/>
          <w:sz w:val="18"/>
          <w:szCs w:val="18"/>
        </w:rPr>
        <w:t>IBISWorld Industry Report</w:t>
      </w:r>
      <w:r w:rsidRPr="001604E7">
        <w:rPr>
          <w:rFonts w:ascii="Arial" w:hAnsi="Arial" w:cs="Arial"/>
          <w:sz w:val="18"/>
          <w:szCs w:val="18"/>
        </w:rPr>
        <w:t>, p. 7</w:t>
      </w:r>
      <w:r>
        <w:rPr>
          <w:rFonts w:ascii="Arial" w:hAnsi="Arial" w:cs="Arial"/>
          <w:sz w:val="18"/>
          <w:szCs w:val="18"/>
        </w:rPr>
        <w:t xml:space="preserve"> (Ibid footnote </w:t>
      </w:r>
      <w:r w:rsidRPr="0040566B">
        <w:fldChar w:fldCharType="begin"/>
      </w:r>
      <w:r>
        <w:rPr>
          <w:rFonts w:ascii="Arial" w:hAnsi="Arial" w:cs="Arial"/>
          <w:sz w:val="18"/>
          <w:szCs w:val="18"/>
        </w:rPr>
        <w:instrText xml:space="preserve"> NOTEREF _Ref530471788 \h </w:instrText>
      </w:r>
      <w:r w:rsidRPr="0040566B">
        <w:rPr>
          <w:rFonts w:ascii="Arial" w:hAnsi="Arial" w:cs="Arial"/>
          <w:sz w:val="18"/>
          <w:szCs w:val="18"/>
        </w:rPr>
        <w:fldChar w:fldCharType="separate"/>
      </w:r>
      <w:r w:rsidR="00EA3759">
        <w:rPr>
          <w:rFonts w:ascii="Arial" w:hAnsi="Arial" w:cs="Arial"/>
          <w:sz w:val="18"/>
          <w:szCs w:val="18"/>
        </w:rPr>
        <w:t>33</w:t>
      </w:r>
      <w:r w:rsidRPr="0040566B">
        <w:fldChar w:fldCharType="end"/>
      </w:r>
      <w:r>
        <w:rPr>
          <w:rFonts w:ascii="Arial" w:hAnsi="Arial" w:cs="Arial"/>
          <w:sz w:val="18"/>
          <w:szCs w:val="18"/>
        </w:rPr>
        <w:t>).</w:t>
      </w:r>
    </w:p>
  </w:footnote>
  <w:footnote w:id="42">
    <w:p w14:paraId="1753FBA0" w14:textId="00E2D8FF" w:rsidR="00E3214D" w:rsidRDefault="00E3214D" w:rsidP="005A30EC">
      <w:pPr>
        <w:pStyle w:val="FootnoteText"/>
      </w:pPr>
      <w:r w:rsidRPr="008A7D01">
        <w:rPr>
          <w:rStyle w:val="FootnoteReference"/>
          <w:rFonts w:ascii="Arial" w:hAnsi="Arial" w:cs="Arial"/>
          <w:sz w:val="18"/>
        </w:rPr>
        <w:footnoteRef/>
      </w:r>
      <w:r w:rsidRPr="008A7D01">
        <w:rPr>
          <w:rFonts w:ascii="Arial" w:hAnsi="Arial" w:cs="Arial"/>
          <w:sz w:val="18"/>
        </w:rPr>
        <w:t xml:space="preserve"> </w:t>
      </w:r>
      <w:r w:rsidRPr="0019322A">
        <w:rPr>
          <w:rFonts w:ascii="Arial" w:hAnsi="Arial" w:cs="Arial"/>
          <w:sz w:val="18"/>
        </w:rPr>
        <w:t>T</w:t>
      </w:r>
      <w:r>
        <w:rPr>
          <w:rFonts w:ascii="Arial" w:hAnsi="Arial" w:cs="Arial"/>
          <w:sz w:val="18"/>
        </w:rPr>
        <w:t>his refers to a situation where a manufacturer intends to not extend an agreement or enter into a new agreement following the end of an existing agreement. This does not refer to termination of an agreement which occurs when an agreement is ended by a party prior to the set end date.</w:t>
      </w:r>
    </w:p>
  </w:footnote>
  <w:footnote w:id="43">
    <w:p w14:paraId="3F1D0C0E" w14:textId="5AF5503C" w:rsidR="00E3214D" w:rsidRPr="001604E7" w:rsidRDefault="00E3214D">
      <w:pPr>
        <w:pStyle w:val="FootnoteText"/>
        <w:rPr>
          <w:rFonts w:ascii="Arial" w:hAnsi="Arial" w:cs="Arial"/>
          <w:sz w:val="18"/>
          <w:szCs w:val="18"/>
          <w:lang w:val="af-ZA"/>
        </w:rPr>
      </w:pPr>
      <w:r w:rsidRPr="001604E7">
        <w:rPr>
          <w:rStyle w:val="FootnoteReference"/>
          <w:rFonts w:ascii="Arial" w:hAnsi="Arial" w:cs="Arial"/>
          <w:sz w:val="18"/>
          <w:szCs w:val="18"/>
        </w:rPr>
        <w:footnoteRef/>
      </w:r>
      <w:r w:rsidRPr="001604E7">
        <w:rPr>
          <w:rFonts w:ascii="Arial" w:hAnsi="Arial" w:cs="Arial"/>
          <w:sz w:val="18"/>
          <w:szCs w:val="18"/>
        </w:rPr>
        <w:t xml:space="preserve"> </w:t>
      </w:r>
      <w:r>
        <w:rPr>
          <w:rFonts w:ascii="Arial" w:hAnsi="Arial" w:cs="Arial"/>
          <w:sz w:val="18"/>
          <w:szCs w:val="18"/>
        </w:rPr>
        <w:t xml:space="preserve">Turnbull, Samantha, MacKenzie, Bruce, Shoebridge, Joanne 2017, </w:t>
      </w:r>
      <w:hyperlink r:id="rId9" w:history="1">
        <w:r w:rsidRPr="0016204F">
          <w:rPr>
            <w:rStyle w:val="Hyperlink"/>
            <w:rFonts w:ascii="Arial" w:hAnsi="Arial" w:cs="Arial"/>
            <w:sz w:val="18"/>
            <w:szCs w:val="18"/>
          </w:rPr>
          <w:t>Holden cuts dealership franchises across Australia</w:t>
        </w:r>
      </w:hyperlink>
      <w:r>
        <w:rPr>
          <w:rFonts w:ascii="Arial" w:hAnsi="Arial" w:cs="Arial"/>
          <w:sz w:val="18"/>
          <w:szCs w:val="18"/>
        </w:rPr>
        <w:t>, ABC, 17 August 2017.</w:t>
      </w:r>
      <w:r w:rsidRPr="001604E7">
        <w:rPr>
          <w:rFonts w:ascii="Arial" w:hAnsi="Arial" w:cs="Arial"/>
          <w:sz w:val="18"/>
          <w:szCs w:val="18"/>
        </w:rPr>
        <w:t xml:space="preserve"> </w:t>
      </w:r>
    </w:p>
  </w:footnote>
  <w:footnote w:id="44">
    <w:p w14:paraId="3F1D0C0F" w14:textId="77777777" w:rsidR="00E3214D" w:rsidRPr="00725690" w:rsidRDefault="00E3214D">
      <w:pPr>
        <w:pStyle w:val="FootnoteText"/>
        <w:rPr>
          <w:lang w:val="af-ZA"/>
        </w:rPr>
      </w:pPr>
      <w:r w:rsidRPr="001604E7">
        <w:rPr>
          <w:rStyle w:val="FootnoteReference"/>
          <w:rFonts w:ascii="Arial" w:hAnsi="Arial" w:cs="Arial"/>
          <w:sz w:val="18"/>
          <w:szCs w:val="18"/>
        </w:rPr>
        <w:footnoteRef/>
      </w:r>
      <w:r w:rsidRPr="001604E7">
        <w:rPr>
          <w:rFonts w:ascii="Arial" w:hAnsi="Arial" w:cs="Arial"/>
          <w:sz w:val="18"/>
          <w:szCs w:val="18"/>
        </w:rPr>
        <w:t xml:space="preserve"> </w:t>
      </w:r>
      <w:r>
        <w:rPr>
          <w:rFonts w:ascii="Arial" w:hAnsi="Arial" w:cs="Arial"/>
          <w:sz w:val="18"/>
          <w:szCs w:val="18"/>
        </w:rPr>
        <w:t xml:space="preserve">AP Eagers, </w:t>
      </w:r>
      <w:r w:rsidRPr="0040566B">
        <w:rPr>
          <w:rFonts w:ascii="Arial" w:hAnsi="Arial" w:cs="Arial"/>
          <w:i/>
          <w:iCs/>
          <w:sz w:val="18"/>
          <w:szCs w:val="18"/>
        </w:rPr>
        <w:t>About Us</w:t>
      </w:r>
      <w:r>
        <w:rPr>
          <w:rFonts w:ascii="Arial" w:hAnsi="Arial" w:cs="Arial"/>
          <w:sz w:val="18"/>
          <w:szCs w:val="18"/>
        </w:rPr>
        <w:t>, AP Eagers, viewed 19 November 2018, &lt;</w:t>
      </w:r>
      <w:hyperlink r:id="rId10" w:history="1">
        <w:r w:rsidRPr="001604E7">
          <w:rPr>
            <w:rStyle w:val="Hyperlink"/>
            <w:rFonts w:ascii="Arial" w:hAnsi="Arial" w:cs="Arial"/>
            <w:sz w:val="18"/>
            <w:szCs w:val="18"/>
          </w:rPr>
          <w:t>https://www.apeagers.com.au/apeagers-company-info/</w:t>
        </w:r>
      </w:hyperlink>
      <w:r>
        <w:t>&gt;</w:t>
      </w:r>
    </w:p>
  </w:footnote>
  <w:footnote w:id="45">
    <w:p w14:paraId="3F1D0C10" w14:textId="77777777" w:rsidR="00E3214D" w:rsidRPr="007D0F5C" w:rsidRDefault="00E3214D">
      <w:pPr>
        <w:pStyle w:val="FootnoteText"/>
        <w:rPr>
          <w:rFonts w:ascii="Arial" w:hAnsi="Arial" w:cs="Arial"/>
          <w:sz w:val="18"/>
          <w:szCs w:val="18"/>
        </w:rPr>
      </w:pPr>
      <w:r w:rsidRPr="007D0F5C">
        <w:rPr>
          <w:rStyle w:val="FootnoteReference"/>
          <w:rFonts w:ascii="Arial" w:hAnsi="Arial" w:cs="Arial"/>
          <w:sz w:val="18"/>
          <w:szCs w:val="18"/>
        </w:rPr>
        <w:footnoteRef/>
      </w:r>
      <w:r w:rsidRPr="007D0F5C">
        <w:rPr>
          <w:rFonts w:ascii="Arial" w:hAnsi="Arial" w:cs="Arial"/>
          <w:sz w:val="18"/>
          <w:szCs w:val="18"/>
        </w:rPr>
        <w:t xml:space="preserve"> </w:t>
      </w:r>
      <w:r w:rsidRPr="0040566B">
        <w:rPr>
          <w:rFonts w:ascii="Arial" w:hAnsi="Arial" w:cs="Arial"/>
          <w:i/>
          <w:iCs/>
          <w:sz w:val="18"/>
          <w:szCs w:val="18"/>
        </w:rPr>
        <w:t>Competition and Consumer (Industry Codes—Franchising) Regulation 2014</w:t>
      </w:r>
      <w:r w:rsidRPr="0040566B">
        <w:rPr>
          <w:rFonts w:ascii="Arial" w:hAnsi="Arial" w:cs="Arial"/>
          <w:sz w:val="18"/>
          <w:szCs w:val="18"/>
        </w:rPr>
        <w:t xml:space="preserve">, clause 6 (Ibid footnote </w:t>
      </w:r>
      <w:r w:rsidRPr="0040566B">
        <w:fldChar w:fldCharType="begin"/>
      </w:r>
      <w:r>
        <w:rPr>
          <w:rFonts w:ascii="Arial" w:hAnsi="Arial" w:cs="Arial"/>
          <w:sz w:val="18"/>
        </w:rPr>
        <w:instrText xml:space="preserve"> NOTEREF _Ref530473299 \h </w:instrText>
      </w:r>
      <w:r w:rsidRPr="0040566B">
        <w:rPr>
          <w:rFonts w:ascii="Arial" w:hAnsi="Arial" w:cs="Arial"/>
          <w:sz w:val="18"/>
        </w:rPr>
        <w:fldChar w:fldCharType="separate"/>
      </w:r>
      <w:r w:rsidR="00EA3759">
        <w:rPr>
          <w:rFonts w:ascii="Arial" w:hAnsi="Arial" w:cs="Arial"/>
          <w:sz w:val="18"/>
        </w:rPr>
        <w:t>9</w:t>
      </w:r>
      <w:r w:rsidRPr="0040566B">
        <w:fldChar w:fldCharType="end"/>
      </w:r>
      <w:r w:rsidRPr="0040566B">
        <w:rPr>
          <w:rFonts w:ascii="Arial" w:hAnsi="Arial" w:cs="Arial"/>
          <w:sz w:val="18"/>
          <w:szCs w:val="18"/>
        </w:rPr>
        <w:t>).</w:t>
      </w:r>
    </w:p>
  </w:footnote>
  <w:footnote w:id="46">
    <w:p w14:paraId="3F1D0C11" w14:textId="77777777" w:rsidR="00E3214D" w:rsidRPr="0040566B" w:rsidRDefault="00E3214D">
      <w:pPr>
        <w:pStyle w:val="FootnoteText"/>
        <w:rPr>
          <w:rFonts w:ascii="Arial" w:hAnsi="Arial" w:cs="Arial"/>
          <w:i/>
          <w:iCs/>
        </w:rPr>
      </w:pPr>
      <w:r w:rsidRPr="0040566B">
        <w:rPr>
          <w:rStyle w:val="FootnoteReference"/>
          <w:rFonts w:ascii="Arial" w:hAnsi="Arial" w:cs="Arial"/>
          <w:sz w:val="18"/>
          <w:szCs w:val="18"/>
        </w:rPr>
        <w:footnoteRef/>
      </w:r>
      <w:r w:rsidRPr="0040566B">
        <w:rPr>
          <w:rFonts w:ascii="Arial" w:hAnsi="Arial" w:cs="Arial"/>
          <w:sz w:val="18"/>
          <w:szCs w:val="18"/>
        </w:rPr>
        <w:t xml:space="preserve"> Australian Competition and Consumer Commission, </w:t>
      </w:r>
      <w:r w:rsidRPr="0040566B">
        <w:rPr>
          <w:rFonts w:ascii="Arial" w:hAnsi="Arial" w:cs="Arial"/>
          <w:i/>
          <w:iCs/>
          <w:sz w:val="18"/>
          <w:szCs w:val="18"/>
        </w:rPr>
        <w:t xml:space="preserve">Acting in good faith, </w:t>
      </w:r>
      <w:r w:rsidRPr="0040566B">
        <w:rPr>
          <w:rFonts w:ascii="Arial" w:hAnsi="Arial" w:cs="Arial"/>
          <w:sz w:val="18"/>
          <w:szCs w:val="18"/>
        </w:rPr>
        <w:t>accessed 21 November 2018 &lt;</w:t>
      </w:r>
      <w:hyperlink r:id="rId11" w:history="1">
        <w:r w:rsidRPr="0040566B">
          <w:rPr>
            <w:rStyle w:val="Hyperlink"/>
            <w:rFonts w:ascii="Arial" w:hAnsi="Arial" w:cs="Arial"/>
            <w:sz w:val="18"/>
            <w:szCs w:val="18"/>
          </w:rPr>
          <w:t>https://www.accc.gov.au/business/industry-codes/franchising-code-of-conduct/acting-in-good-faith</w:t>
        </w:r>
      </w:hyperlink>
      <w:r w:rsidRPr="0040566B">
        <w:rPr>
          <w:rFonts w:ascii="Arial" w:hAnsi="Arial" w:cs="Arial"/>
          <w:sz w:val="18"/>
          <w:szCs w:val="18"/>
        </w:rPr>
        <w:t xml:space="preserve">&gt; </w:t>
      </w:r>
    </w:p>
  </w:footnote>
  <w:footnote w:id="47">
    <w:p w14:paraId="3F1D0C12" w14:textId="6FDEEDBA" w:rsidR="00E3214D" w:rsidRPr="007307C7" w:rsidRDefault="00E3214D">
      <w:pPr>
        <w:pStyle w:val="FootnoteText"/>
        <w:rPr>
          <w:rFonts w:ascii="Arial" w:hAnsi="Arial" w:cs="Arial"/>
        </w:rPr>
      </w:pPr>
      <w:r w:rsidRPr="0040566B">
        <w:rPr>
          <w:rStyle w:val="FootnoteReference"/>
          <w:rFonts w:ascii="Arial" w:hAnsi="Arial" w:cs="Arial"/>
          <w:sz w:val="18"/>
          <w:szCs w:val="18"/>
        </w:rPr>
        <w:footnoteRef/>
      </w:r>
      <w:r w:rsidRPr="0040566B">
        <w:rPr>
          <w:rFonts w:ascii="Arial" w:hAnsi="Arial" w:cs="Arial"/>
          <w:sz w:val="18"/>
          <w:szCs w:val="18"/>
        </w:rPr>
        <w:t xml:space="preserve"> ACCC (Ibid footnote</w:t>
      </w:r>
      <w:r>
        <w:rPr>
          <w:rFonts w:ascii="Arial" w:hAnsi="Arial" w:cs="Arial"/>
          <w:sz w:val="18"/>
          <w:szCs w:val="18"/>
        </w:rPr>
        <w:t xml:space="preserve"> 45</w:t>
      </w:r>
      <w:r w:rsidRPr="0040566B">
        <w:rPr>
          <w:rFonts w:ascii="Arial" w:hAnsi="Arial" w:cs="Arial"/>
          <w:sz w:val="18"/>
          <w:szCs w:val="18"/>
        </w:rPr>
        <w:t>).</w:t>
      </w:r>
    </w:p>
  </w:footnote>
  <w:footnote w:id="48">
    <w:p w14:paraId="3F1D0C13" w14:textId="6B7611CF" w:rsidR="00E3214D" w:rsidRPr="004F3E1C" w:rsidRDefault="00E3214D" w:rsidP="00DD14F2">
      <w:pPr>
        <w:pStyle w:val="FootnoteText"/>
        <w:rPr>
          <w:rFonts w:ascii="Arial" w:hAnsi="Arial" w:cs="Arial"/>
          <w:sz w:val="18"/>
          <w:szCs w:val="18"/>
          <w:lang w:val="en-US"/>
        </w:rPr>
      </w:pPr>
      <w:r w:rsidRPr="007D0F5C">
        <w:rPr>
          <w:rStyle w:val="FootnoteReference"/>
          <w:rFonts w:ascii="Arial" w:hAnsi="Arial" w:cs="Arial"/>
          <w:sz w:val="18"/>
          <w:szCs w:val="18"/>
        </w:rPr>
        <w:footnoteRef/>
      </w:r>
      <w:r w:rsidRPr="007D0F5C">
        <w:rPr>
          <w:rFonts w:ascii="Arial" w:hAnsi="Arial" w:cs="Arial"/>
          <w:sz w:val="18"/>
          <w:szCs w:val="18"/>
        </w:rPr>
        <w:t xml:space="preserve"> </w:t>
      </w:r>
      <w:r w:rsidRPr="007D0F5C" w:rsidDel="009C7F40">
        <w:rPr>
          <w:rFonts w:ascii="Arial" w:hAnsi="Arial" w:cs="Arial"/>
          <w:sz w:val="18"/>
          <w:szCs w:val="18"/>
        </w:rPr>
        <w:t>ACCC</w:t>
      </w:r>
      <w:r>
        <w:rPr>
          <w:rFonts w:ascii="Arial" w:hAnsi="Arial" w:cs="Arial"/>
          <w:sz w:val="18"/>
          <w:szCs w:val="18"/>
        </w:rPr>
        <w:t xml:space="preserve"> 2017</w:t>
      </w:r>
      <w:r w:rsidRPr="007D0F5C">
        <w:rPr>
          <w:rFonts w:ascii="Arial" w:hAnsi="Arial" w:cs="Arial"/>
          <w:sz w:val="18"/>
          <w:szCs w:val="18"/>
        </w:rPr>
        <w:t>, p. 79</w:t>
      </w:r>
      <w:r w:rsidRPr="007D0F5C" w:rsidDel="009C7F40">
        <w:rPr>
          <w:rFonts w:ascii="Arial" w:hAnsi="Arial" w:cs="Arial"/>
          <w:sz w:val="18"/>
          <w:szCs w:val="18"/>
        </w:rPr>
        <w:t xml:space="preserve"> </w:t>
      </w:r>
      <w:r w:rsidRPr="007D0F5C">
        <w:rPr>
          <w:rFonts w:ascii="Arial" w:hAnsi="Arial" w:cs="Arial"/>
          <w:sz w:val="18"/>
          <w:szCs w:val="18"/>
        </w:rPr>
        <w:t xml:space="preserve">(Ibid footnote </w:t>
      </w:r>
      <w:r w:rsidRPr="0040566B">
        <w:fldChar w:fldCharType="begin"/>
      </w:r>
      <w:r w:rsidRPr="007D0F5C">
        <w:rPr>
          <w:rFonts w:ascii="Arial" w:hAnsi="Arial" w:cs="Arial"/>
          <w:sz w:val="18"/>
          <w:szCs w:val="18"/>
        </w:rPr>
        <w:instrText xml:space="preserve"> NOTEREF _Ref529871249 \h  \* MERGEFORMAT </w:instrText>
      </w:r>
      <w:r w:rsidRPr="0040566B">
        <w:rPr>
          <w:rFonts w:ascii="Arial" w:hAnsi="Arial" w:cs="Arial"/>
          <w:sz w:val="18"/>
          <w:szCs w:val="18"/>
        </w:rPr>
        <w:fldChar w:fldCharType="separate"/>
      </w:r>
      <w:r w:rsidR="00EA3759">
        <w:rPr>
          <w:rFonts w:ascii="Arial" w:hAnsi="Arial" w:cs="Arial"/>
          <w:sz w:val="18"/>
          <w:szCs w:val="18"/>
        </w:rPr>
        <w:t>1</w:t>
      </w:r>
      <w:r w:rsidRPr="0040566B">
        <w:fldChar w:fldCharType="end"/>
      </w:r>
      <w:r w:rsidRPr="007D0F5C">
        <w:rPr>
          <w:rFonts w:ascii="Arial" w:hAnsi="Arial" w:cs="Arial"/>
          <w:sz w:val="18"/>
          <w:szCs w:val="18"/>
        </w:rPr>
        <w:t>)</w:t>
      </w:r>
      <w:r>
        <w:rPr>
          <w:rFonts w:ascii="Arial" w:hAnsi="Arial" w:cs="Arial"/>
          <w:sz w:val="18"/>
          <w:szCs w:val="18"/>
        </w:rPr>
        <w:t>, (note – the ACCC references a February 2017 IBIS World and a submission by Fennessys. The estimates have been confirmed by dealers spoken to in the consultation process)</w:t>
      </w:r>
      <w:r w:rsidRPr="007D0F5C">
        <w:rPr>
          <w:rFonts w:ascii="Arial" w:hAnsi="Arial" w:cs="Arial"/>
          <w:sz w:val="18"/>
          <w:szCs w:val="18"/>
        </w:rPr>
        <w:t>.</w:t>
      </w:r>
    </w:p>
  </w:footnote>
  <w:footnote w:id="49">
    <w:p w14:paraId="45BAAA83" w14:textId="0E1F0BE3" w:rsidR="00E3214D" w:rsidRPr="00E5408C" w:rsidRDefault="00E3214D">
      <w:pPr>
        <w:pStyle w:val="FootnoteText"/>
        <w:rPr>
          <w:rFonts w:ascii="Arial" w:hAnsi="Arial" w:cs="Arial"/>
          <w:sz w:val="18"/>
          <w:szCs w:val="18"/>
        </w:rPr>
      </w:pPr>
      <w:r w:rsidRPr="00E5408C">
        <w:rPr>
          <w:rStyle w:val="FootnoteReference"/>
          <w:rFonts w:ascii="Arial" w:hAnsi="Arial" w:cs="Arial"/>
          <w:sz w:val="18"/>
          <w:szCs w:val="18"/>
        </w:rPr>
        <w:footnoteRef/>
      </w:r>
      <w:r w:rsidRPr="00E5408C">
        <w:rPr>
          <w:rFonts w:ascii="Arial" w:hAnsi="Arial" w:cs="Arial"/>
          <w:sz w:val="18"/>
          <w:szCs w:val="18"/>
        </w:rPr>
        <w:t xml:space="preserve"> We note that </w:t>
      </w:r>
      <w:r w:rsidRPr="0010552F">
        <w:rPr>
          <w:rFonts w:ascii="Arial" w:hAnsi="Arial" w:cs="Arial"/>
          <w:sz w:val="18"/>
          <w:szCs w:val="18"/>
        </w:rPr>
        <w:t>there are 72 car brands in the Australian market</w:t>
      </w:r>
      <w:r>
        <w:rPr>
          <w:rFonts w:ascii="Arial" w:hAnsi="Arial" w:cs="Arial"/>
          <w:sz w:val="18"/>
          <w:szCs w:val="18"/>
        </w:rPr>
        <w:t xml:space="preserve"> and there is no single common data collection point for details about commercial contracts</w:t>
      </w:r>
      <w:r w:rsidRPr="0010552F">
        <w:rPr>
          <w:rFonts w:ascii="Arial" w:hAnsi="Arial" w:cs="Arial"/>
          <w:sz w:val="18"/>
          <w:szCs w:val="18"/>
        </w:rPr>
        <w:t xml:space="preserve">. The broad spread of brands in the market </w:t>
      </w:r>
      <w:r>
        <w:rPr>
          <w:rFonts w:ascii="Arial" w:hAnsi="Arial" w:cs="Arial"/>
          <w:sz w:val="18"/>
          <w:szCs w:val="18"/>
        </w:rPr>
        <w:t>(</w:t>
      </w:r>
      <w:r w:rsidRPr="002B1510">
        <w:rPr>
          <w:rFonts w:ascii="Arial" w:hAnsi="Arial" w:cs="Arial"/>
          <w:sz w:val="18"/>
          <w:szCs w:val="18"/>
        </w:rPr>
        <w:t>and the sensitivity inherent in commercial arrangements</w:t>
      </w:r>
      <w:r>
        <w:rPr>
          <w:rFonts w:ascii="Arial" w:hAnsi="Arial" w:cs="Arial"/>
          <w:sz w:val="18"/>
          <w:szCs w:val="18"/>
        </w:rPr>
        <w:t xml:space="preserve">) </w:t>
      </w:r>
      <w:r w:rsidRPr="0010552F">
        <w:rPr>
          <w:rFonts w:ascii="Arial" w:hAnsi="Arial" w:cs="Arial"/>
          <w:sz w:val="18"/>
          <w:szCs w:val="18"/>
        </w:rPr>
        <w:t>creates difficulties in quantifying</w:t>
      </w:r>
      <w:r>
        <w:rPr>
          <w:rFonts w:ascii="Arial" w:hAnsi="Arial" w:cs="Arial"/>
          <w:sz w:val="18"/>
          <w:szCs w:val="18"/>
        </w:rPr>
        <w:t xml:space="preserve"> the occurrence of</w:t>
      </w:r>
      <w:r w:rsidRPr="0010552F">
        <w:rPr>
          <w:rFonts w:ascii="Arial" w:hAnsi="Arial" w:cs="Arial"/>
          <w:sz w:val="18"/>
          <w:szCs w:val="18"/>
        </w:rPr>
        <w:t xml:space="preserve"> the problems </w:t>
      </w:r>
      <w:r>
        <w:rPr>
          <w:rFonts w:ascii="Arial" w:hAnsi="Arial" w:cs="Arial"/>
          <w:sz w:val="18"/>
          <w:szCs w:val="18"/>
        </w:rPr>
        <w:t>identified in this RIS. However, we note that when these problems do arise (as shown in the anecdotal evidence) the effects on the dealer and the community (particularly in regional areas) can be significant and require addressing.</w:t>
      </w:r>
    </w:p>
  </w:footnote>
  <w:footnote w:id="50">
    <w:p w14:paraId="55816D7D" w14:textId="54989A56" w:rsidR="00E3214D" w:rsidRPr="00E5408C" w:rsidRDefault="00E3214D">
      <w:pPr>
        <w:pStyle w:val="FootnoteText"/>
        <w:rPr>
          <w:rFonts w:ascii="Arial" w:hAnsi="Arial" w:cs="Arial"/>
          <w:sz w:val="18"/>
          <w:szCs w:val="18"/>
        </w:rPr>
      </w:pPr>
      <w:r w:rsidRPr="00E5408C">
        <w:rPr>
          <w:rStyle w:val="FootnoteReference"/>
          <w:rFonts w:ascii="Arial" w:hAnsi="Arial" w:cs="Arial"/>
          <w:sz w:val="18"/>
          <w:szCs w:val="18"/>
        </w:rPr>
        <w:footnoteRef/>
      </w:r>
      <w:r w:rsidRPr="00E5408C">
        <w:rPr>
          <w:rFonts w:ascii="Arial" w:hAnsi="Arial" w:cs="Arial"/>
          <w:sz w:val="18"/>
          <w:szCs w:val="18"/>
        </w:rPr>
        <w:t xml:space="preserve"> Recommendation 17.1, Parliamentary Joint Committee on Corporations and Financial Services 2019, p. 234 (Ibid footnote 10).</w:t>
      </w:r>
    </w:p>
  </w:footnote>
  <w:footnote w:id="51">
    <w:p w14:paraId="3F1D0C14" w14:textId="09EC5FD9" w:rsidR="00E3214D" w:rsidRPr="0010552F" w:rsidRDefault="00E3214D">
      <w:pPr>
        <w:pStyle w:val="FootnoteText"/>
        <w:rPr>
          <w:rFonts w:ascii="Arial" w:hAnsi="Arial" w:cs="Arial"/>
          <w:sz w:val="18"/>
          <w:szCs w:val="18"/>
        </w:rPr>
      </w:pPr>
      <w:r w:rsidRPr="0010552F">
        <w:rPr>
          <w:rStyle w:val="FootnoteReference"/>
          <w:rFonts w:ascii="Arial" w:hAnsi="Arial" w:cs="Arial"/>
          <w:sz w:val="18"/>
          <w:szCs w:val="18"/>
        </w:rPr>
        <w:footnoteRef/>
      </w:r>
      <w:r w:rsidRPr="0010552F">
        <w:rPr>
          <w:rFonts w:ascii="Arial" w:hAnsi="Arial" w:cs="Arial"/>
          <w:sz w:val="18"/>
          <w:szCs w:val="18"/>
        </w:rPr>
        <w:t xml:space="preserve"> </w:t>
      </w:r>
      <w:r w:rsidRPr="00080643">
        <w:rPr>
          <w:rFonts w:ascii="Arial" w:hAnsi="Arial" w:cs="Arial"/>
          <w:sz w:val="18"/>
          <w:szCs w:val="18"/>
        </w:rPr>
        <w:t>AADA 2018, p. 4 (Ibid footnote 37</w:t>
      </w:r>
      <w:r>
        <w:rPr>
          <w:rFonts w:ascii="Arial" w:hAnsi="Arial" w:cs="Arial"/>
          <w:sz w:val="18"/>
          <w:szCs w:val="18"/>
        </w:rPr>
        <w:t>);</w:t>
      </w:r>
      <w:r w:rsidRPr="0010552F">
        <w:rPr>
          <w:rFonts w:ascii="Arial" w:hAnsi="Arial" w:cs="Arial"/>
          <w:sz w:val="18"/>
          <w:szCs w:val="18"/>
        </w:rPr>
        <w:t xml:space="preserve"> </w:t>
      </w:r>
      <w:r w:rsidRPr="00B642DC">
        <w:rPr>
          <w:rFonts w:ascii="Arial" w:hAnsi="Arial" w:cs="Arial"/>
          <w:sz w:val="18"/>
          <w:szCs w:val="18"/>
        </w:rPr>
        <w:t xml:space="preserve">Motor Trades Association of Australia 2018, </w:t>
      </w:r>
      <w:r w:rsidRPr="00B642DC">
        <w:rPr>
          <w:rFonts w:ascii="Arial" w:hAnsi="Arial" w:cs="Arial"/>
          <w:i/>
          <w:iCs/>
          <w:sz w:val="18"/>
          <w:szCs w:val="18"/>
        </w:rPr>
        <w:t>MTAA Limited Submission to the Parliamentary Joint Committee on Corporations and Financial Services on the operation and effectiveness of the Franchising Code of Conduct</w:t>
      </w:r>
      <w:r>
        <w:rPr>
          <w:rFonts w:ascii="Arial" w:hAnsi="Arial" w:cs="Arial"/>
          <w:sz w:val="18"/>
          <w:szCs w:val="18"/>
        </w:rPr>
        <w:t>, May, MTAA, p 19</w:t>
      </w:r>
      <w:r w:rsidRPr="00B642DC">
        <w:rPr>
          <w:rFonts w:ascii="Arial" w:hAnsi="Arial" w:cs="Arial"/>
          <w:sz w:val="18"/>
          <w:szCs w:val="18"/>
        </w:rPr>
        <w:t>.</w:t>
      </w:r>
    </w:p>
  </w:footnote>
  <w:footnote w:id="52">
    <w:p w14:paraId="78ADDA17" w14:textId="11B5CABD" w:rsidR="00E3214D" w:rsidRPr="00E5408C" w:rsidRDefault="00E3214D">
      <w:pPr>
        <w:pStyle w:val="FootnoteText"/>
        <w:rPr>
          <w:rFonts w:ascii="Arial" w:hAnsi="Arial" w:cs="Arial"/>
          <w:sz w:val="18"/>
          <w:szCs w:val="18"/>
        </w:rPr>
      </w:pPr>
      <w:r w:rsidRPr="00E5408C">
        <w:rPr>
          <w:rStyle w:val="FootnoteReference"/>
          <w:rFonts w:ascii="Arial" w:hAnsi="Arial" w:cs="Arial"/>
          <w:sz w:val="18"/>
          <w:szCs w:val="18"/>
        </w:rPr>
        <w:footnoteRef/>
      </w:r>
      <w:r w:rsidRPr="00E5408C">
        <w:rPr>
          <w:rFonts w:ascii="Arial" w:hAnsi="Arial" w:cs="Arial"/>
          <w:sz w:val="18"/>
          <w:szCs w:val="18"/>
        </w:rPr>
        <w:t xml:space="preserve"> For more detailed discussion regarding purchasing arrangements for stock, tools and equipment, please see discussion at Options 2A and Option 2C.</w:t>
      </w:r>
    </w:p>
  </w:footnote>
  <w:footnote w:id="53">
    <w:p w14:paraId="3F1D0C15" w14:textId="3BDD4E49" w:rsidR="00E3214D" w:rsidRPr="007A7CC7" w:rsidRDefault="00E3214D">
      <w:pPr>
        <w:pStyle w:val="FootnoteText"/>
        <w:rPr>
          <w:rFonts w:ascii="Arial" w:hAnsi="Arial" w:cs="Arial"/>
          <w:sz w:val="18"/>
          <w:szCs w:val="18"/>
        </w:rPr>
      </w:pPr>
      <w:r w:rsidRPr="0010552F">
        <w:rPr>
          <w:rStyle w:val="FootnoteReference"/>
          <w:rFonts w:ascii="Arial" w:hAnsi="Arial" w:cs="Arial"/>
          <w:sz w:val="18"/>
          <w:szCs w:val="18"/>
        </w:rPr>
        <w:footnoteRef/>
      </w:r>
      <w:r>
        <w:rPr>
          <w:rFonts w:ascii="Arial" w:hAnsi="Arial" w:cs="Arial"/>
          <w:sz w:val="18"/>
          <w:szCs w:val="18"/>
        </w:rPr>
        <w:t xml:space="preserve"> Turnbull, Samantha; MacK</w:t>
      </w:r>
      <w:r w:rsidRPr="0010552F">
        <w:rPr>
          <w:rFonts w:ascii="Arial" w:hAnsi="Arial" w:cs="Arial"/>
          <w:sz w:val="18"/>
          <w:szCs w:val="18"/>
        </w:rPr>
        <w:t xml:space="preserve">enzie, Bruce; Shoebridge, Joanne (Ibid footnote </w:t>
      </w:r>
      <w:r w:rsidRPr="00E5408C">
        <w:rPr>
          <w:rFonts w:ascii="Arial" w:hAnsi="Arial" w:cs="Arial"/>
          <w:sz w:val="18"/>
          <w:szCs w:val="18"/>
        </w:rPr>
        <w:fldChar w:fldCharType="begin"/>
      </w:r>
      <w:r w:rsidRPr="0010552F">
        <w:rPr>
          <w:rFonts w:ascii="Arial" w:hAnsi="Arial" w:cs="Arial"/>
          <w:sz w:val="18"/>
          <w:szCs w:val="18"/>
        </w:rPr>
        <w:instrText xml:space="preserve"> NOTEREF _Ref530473871 \h </w:instrText>
      </w:r>
      <w:r w:rsidRPr="00E5408C">
        <w:rPr>
          <w:rFonts w:ascii="Arial" w:hAnsi="Arial" w:cs="Arial"/>
          <w:sz w:val="18"/>
          <w:szCs w:val="18"/>
        </w:rPr>
        <w:instrText xml:space="preserve"> \* MERGEFORMAT </w:instrText>
      </w:r>
      <w:r w:rsidRPr="00E5408C">
        <w:rPr>
          <w:rFonts w:ascii="Arial" w:hAnsi="Arial" w:cs="Arial"/>
          <w:sz w:val="18"/>
          <w:szCs w:val="18"/>
        </w:rPr>
      </w:r>
      <w:r w:rsidRPr="00E5408C">
        <w:rPr>
          <w:rFonts w:ascii="Arial" w:hAnsi="Arial" w:cs="Arial"/>
          <w:sz w:val="18"/>
          <w:szCs w:val="18"/>
        </w:rPr>
        <w:fldChar w:fldCharType="separate"/>
      </w:r>
      <w:r w:rsidR="00EA3759">
        <w:rPr>
          <w:rFonts w:ascii="Arial" w:hAnsi="Arial" w:cs="Arial"/>
          <w:sz w:val="18"/>
          <w:szCs w:val="18"/>
        </w:rPr>
        <w:t>42</w:t>
      </w:r>
      <w:r w:rsidRPr="00E5408C">
        <w:rPr>
          <w:rFonts w:ascii="Arial" w:hAnsi="Arial" w:cs="Arial"/>
          <w:sz w:val="18"/>
          <w:szCs w:val="18"/>
        </w:rPr>
        <w:fldChar w:fldCharType="end"/>
      </w:r>
      <w:r w:rsidRPr="0010552F">
        <w:rPr>
          <w:rFonts w:ascii="Arial" w:hAnsi="Arial" w:cs="Arial"/>
          <w:sz w:val="18"/>
          <w:szCs w:val="18"/>
        </w:rPr>
        <w:t xml:space="preserve">); </w:t>
      </w:r>
      <w:r w:rsidRPr="00F06DF9">
        <w:rPr>
          <w:rFonts w:ascii="Arial" w:hAnsi="Arial" w:cs="Arial"/>
          <w:sz w:val="18"/>
          <w:szCs w:val="18"/>
        </w:rPr>
        <w:t>AADA 2018, p. 3 (Ibid footnote 37).</w:t>
      </w:r>
    </w:p>
  </w:footnote>
  <w:footnote w:id="54">
    <w:p w14:paraId="6010C40B" w14:textId="0E21FC96" w:rsidR="00E3214D" w:rsidRDefault="00E3214D">
      <w:pPr>
        <w:pStyle w:val="FootnoteText"/>
      </w:pPr>
      <w:r>
        <w:rPr>
          <w:rStyle w:val="FootnoteReference"/>
        </w:rPr>
        <w:footnoteRef/>
      </w:r>
      <w:r>
        <w:t xml:space="preserve"> </w:t>
      </w:r>
      <w:r w:rsidRPr="0040566B">
        <w:rPr>
          <w:rFonts w:ascii="Arial" w:hAnsi="Arial" w:cs="Arial"/>
          <w:sz w:val="18"/>
          <w:szCs w:val="18"/>
        </w:rPr>
        <w:t xml:space="preserve">Australian Competition and Consumer Commission, </w:t>
      </w:r>
      <w:r>
        <w:rPr>
          <w:rFonts w:ascii="Arial" w:hAnsi="Arial" w:cs="Arial"/>
          <w:i/>
          <w:iCs/>
          <w:sz w:val="18"/>
          <w:szCs w:val="18"/>
        </w:rPr>
        <w:t>Inquiry into the operation and effectiveness of the Franchising Code of Conduct: ACCC Submission</w:t>
      </w:r>
      <w:r w:rsidRPr="006647E7">
        <w:rPr>
          <w:rFonts w:ascii="Arial" w:hAnsi="Arial" w:cs="Arial"/>
          <w:iCs/>
          <w:sz w:val="18"/>
          <w:szCs w:val="18"/>
        </w:rPr>
        <w:t>, ACCC,</w:t>
      </w:r>
      <w:r>
        <w:rPr>
          <w:rFonts w:ascii="Arial" w:hAnsi="Arial" w:cs="Arial"/>
          <w:i/>
          <w:iCs/>
          <w:sz w:val="18"/>
          <w:szCs w:val="18"/>
        </w:rPr>
        <w:t xml:space="preserve"> </w:t>
      </w:r>
      <w:r>
        <w:rPr>
          <w:rFonts w:ascii="Arial" w:hAnsi="Arial" w:cs="Arial"/>
          <w:sz w:val="18"/>
          <w:szCs w:val="18"/>
        </w:rPr>
        <w:t>p. 9.</w:t>
      </w:r>
    </w:p>
  </w:footnote>
  <w:footnote w:id="55">
    <w:p w14:paraId="3F1D0C18" w14:textId="77777777" w:rsidR="00E3214D" w:rsidRPr="00C677A7" w:rsidRDefault="00E3214D">
      <w:pPr>
        <w:pStyle w:val="FootnoteText"/>
        <w:rPr>
          <w:rFonts w:ascii="Arial" w:hAnsi="Arial" w:cs="Arial"/>
          <w:sz w:val="18"/>
          <w:szCs w:val="18"/>
        </w:rPr>
      </w:pPr>
      <w:r w:rsidRPr="00C677A7">
        <w:rPr>
          <w:rStyle w:val="FootnoteReference"/>
          <w:rFonts w:ascii="Arial" w:hAnsi="Arial" w:cs="Arial"/>
          <w:sz w:val="18"/>
          <w:szCs w:val="18"/>
        </w:rPr>
        <w:footnoteRef/>
      </w:r>
      <w:r w:rsidRPr="00C677A7">
        <w:rPr>
          <w:rFonts w:ascii="Arial" w:hAnsi="Arial" w:cs="Arial"/>
          <w:sz w:val="18"/>
          <w:szCs w:val="18"/>
        </w:rPr>
        <w:t xml:space="preserve"> Australian Competition and Consumer Commission 2013, </w:t>
      </w:r>
      <w:hyperlink r:id="rId12" w:history="1">
        <w:r w:rsidRPr="0040566B">
          <w:rPr>
            <w:rStyle w:val="Hyperlink"/>
            <w:rFonts w:ascii="Arial" w:hAnsi="Arial" w:cs="Arial"/>
            <w:i/>
            <w:iCs/>
            <w:sz w:val="18"/>
            <w:szCs w:val="18"/>
          </w:rPr>
          <w:t>2013 Review of the Franchising Code of Conduct: Supplementary information to ACCC submission</w:t>
        </w:r>
      </w:hyperlink>
      <w:r w:rsidRPr="00C677A7">
        <w:rPr>
          <w:rFonts w:ascii="Arial" w:hAnsi="Arial" w:cs="Arial"/>
          <w:sz w:val="18"/>
          <w:szCs w:val="18"/>
        </w:rPr>
        <w:t>, 8 March 2013, p. 2.</w:t>
      </w:r>
    </w:p>
  </w:footnote>
  <w:footnote w:id="56">
    <w:p w14:paraId="3F1D0C19" w14:textId="77777777" w:rsidR="00E3214D" w:rsidRPr="007A7CC7" w:rsidRDefault="00E3214D" w:rsidP="0048709C">
      <w:pPr>
        <w:pStyle w:val="FootnoteText"/>
        <w:rPr>
          <w:rFonts w:ascii="Arial" w:hAnsi="Arial" w:cs="Arial"/>
          <w:sz w:val="18"/>
          <w:szCs w:val="18"/>
        </w:rPr>
      </w:pPr>
      <w:r w:rsidRPr="007A7CC7">
        <w:rPr>
          <w:rStyle w:val="FootnoteReference"/>
          <w:rFonts w:ascii="Arial" w:hAnsi="Arial" w:cs="Arial"/>
          <w:sz w:val="18"/>
          <w:szCs w:val="18"/>
        </w:rPr>
        <w:footnoteRef/>
      </w:r>
      <w:r w:rsidRPr="007A7CC7">
        <w:rPr>
          <w:rFonts w:ascii="Arial" w:hAnsi="Arial" w:cs="Arial"/>
          <w:sz w:val="18"/>
          <w:szCs w:val="18"/>
        </w:rPr>
        <w:t xml:space="preserve"> Office of the NSW Small Business Commissioner 2016, </w:t>
      </w:r>
      <w:hyperlink r:id="rId13" w:history="1">
        <w:r w:rsidRPr="0040566B">
          <w:rPr>
            <w:rStyle w:val="Hyperlink"/>
            <w:rFonts w:ascii="Arial" w:hAnsi="Arial" w:cs="Arial"/>
            <w:i/>
            <w:iCs/>
            <w:sz w:val="18"/>
            <w:szCs w:val="18"/>
          </w:rPr>
          <w:t>Submission to the ACCC’s October 2016 New Car Retailing Industry Market Study (Issues Paper)</w:t>
        </w:r>
      </w:hyperlink>
      <w:r w:rsidRPr="007A7CC7">
        <w:rPr>
          <w:rFonts w:ascii="Arial" w:hAnsi="Arial" w:cs="Arial"/>
          <w:sz w:val="18"/>
          <w:szCs w:val="18"/>
        </w:rPr>
        <w:t>,</w:t>
      </w:r>
      <w:r>
        <w:rPr>
          <w:rFonts w:ascii="Arial" w:hAnsi="Arial" w:cs="Arial"/>
          <w:sz w:val="18"/>
          <w:szCs w:val="18"/>
        </w:rPr>
        <w:t xml:space="preserve"> OSBC, 22 November 2016,</w:t>
      </w:r>
      <w:r w:rsidRPr="007A7CC7">
        <w:rPr>
          <w:rFonts w:ascii="Arial" w:hAnsi="Arial" w:cs="Arial"/>
          <w:sz w:val="18"/>
          <w:szCs w:val="18"/>
        </w:rPr>
        <w:t xml:space="preserve"> p. 1.</w:t>
      </w:r>
    </w:p>
  </w:footnote>
  <w:footnote w:id="57">
    <w:p w14:paraId="4EBD07E0" w14:textId="22D5F487" w:rsidR="00E3214D" w:rsidRPr="00121D84" w:rsidRDefault="00E3214D">
      <w:pPr>
        <w:pStyle w:val="FootnoteText"/>
        <w:rPr>
          <w:rFonts w:ascii="Arial" w:hAnsi="Arial" w:cs="Arial"/>
          <w:sz w:val="18"/>
          <w:szCs w:val="18"/>
          <w:lang w:val="af-ZA"/>
        </w:rPr>
      </w:pPr>
      <w:r w:rsidRPr="00121D84">
        <w:rPr>
          <w:rStyle w:val="FootnoteReference"/>
          <w:rFonts w:ascii="Arial" w:hAnsi="Arial" w:cs="Arial"/>
          <w:sz w:val="18"/>
          <w:szCs w:val="18"/>
        </w:rPr>
        <w:footnoteRef/>
      </w:r>
      <w:r w:rsidRPr="00121D84">
        <w:rPr>
          <w:rFonts w:ascii="Arial" w:hAnsi="Arial" w:cs="Arial"/>
          <w:sz w:val="18"/>
          <w:szCs w:val="18"/>
        </w:rPr>
        <w:t xml:space="preserve"> ACCC (Ibid footnote 32).</w:t>
      </w:r>
    </w:p>
  </w:footnote>
  <w:footnote w:id="58">
    <w:p w14:paraId="20CEC3A6" w14:textId="128422FE" w:rsidR="00E3214D" w:rsidRPr="00C204E6" w:rsidRDefault="00E3214D">
      <w:pPr>
        <w:pStyle w:val="FootnoteText"/>
        <w:rPr>
          <w:rFonts w:ascii="Arial" w:hAnsi="Arial" w:cs="Arial"/>
          <w:sz w:val="18"/>
          <w:szCs w:val="18"/>
        </w:rPr>
      </w:pPr>
      <w:r w:rsidRPr="00C204E6">
        <w:rPr>
          <w:rStyle w:val="FootnoteReference"/>
          <w:rFonts w:ascii="Arial" w:hAnsi="Arial" w:cs="Arial"/>
          <w:sz w:val="18"/>
          <w:szCs w:val="18"/>
        </w:rPr>
        <w:footnoteRef/>
      </w:r>
      <w:r w:rsidRPr="00C204E6">
        <w:rPr>
          <w:rFonts w:ascii="Arial" w:hAnsi="Arial" w:cs="Arial"/>
          <w:sz w:val="18"/>
          <w:szCs w:val="18"/>
        </w:rPr>
        <w:t xml:space="preserve"> Recommendation 15.2, Parliamentary Joint Committee on Corporations and Financial Services 2019, p. 217 (Ibid footnote 10).</w:t>
      </w:r>
    </w:p>
  </w:footnote>
  <w:footnote w:id="59">
    <w:p w14:paraId="14EE74C5" w14:textId="4C6AAE95" w:rsidR="00E3214D" w:rsidRPr="00C204E6" w:rsidRDefault="00E3214D">
      <w:pPr>
        <w:pStyle w:val="FootnoteText"/>
        <w:rPr>
          <w:rFonts w:ascii="Arial" w:hAnsi="Arial" w:cs="Arial"/>
          <w:sz w:val="18"/>
          <w:szCs w:val="18"/>
        </w:rPr>
      </w:pPr>
      <w:r w:rsidRPr="00C204E6">
        <w:rPr>
          <w:rStyle w:val="FootnoteReference"/>
          <w:rFonts w:ascii="Arial" w:hAnsi="Arial" w:cs="Arial"/>
          <w:sz w:val="18"/>
          <w:szCs w:val="18"/>
        </w:rPr>
        <w:footnoteRef/>
      </w:r>
      <w:r w:rsidRPr="00C204E6">
        <w:rPr>
          <w:rFonts w:ascii="Arial" w:hAnsi="Arial" w:cs="Arial"/>
          <w:sz w:val="18"/>
          <w:szCs w:val="18"/>
        </w:rPr>
        <w:t xml:space="preserve"> Frazer, Lorelle, Weaven, Scott, Grace, Anthony, Selvanathan, Selva, </w:t>
      </w:r>
      <w:hyperlink r:id="rId14" w:history="1">
        <w:r w:rsidRPr="00C204E6">
          <w:rPr>
            <w:rStyle w:val="Hyperlink"/>
            <w:rFonts w:ascii="Arial" w:hAnsi="Arial" w:cs="Arial"/>
            <w:i/>
            <w:sz w:val="18"/>
            <w:szCs w:val="18"/>
          </w:rPr>
          <w:t>Franchising Australia 2016</w:t>
        </w:r>
      </w:hyperlink>
      <w:r w:rsidRPr="00C204E6">
        <w:rPr>
          <w:rFonts w:ascii="Arial" w:hAnsi="Arial" w:cs="Arial"/>
          <w:sz w:val="18"/>
          <w:szCs w:val="18"/>
        </w:rPr>
        <w:t>, p. 7.</w:t>
      </w:r>
    </w:p>
  </w:footnote>
  <w:footnote w:id="60">
    <w:p w14:paraId="3F1D0C1A" w14:textId="77777777" w:rsidR="00E3214D" w:rsidRPr="005621CC" w:rsidRDefault="00E3214D" w:rsidP="00DA4E4C">
      <w:pPr>
        <w:pStyle w:val="FootnoteText"/>
        <w:rPr>
          <w:rFonts w:ascii="Arial" w:hAnsi="Arial" w:cs="Arial"/>
          <w:sz w:val="18"/>
          <w:szCs w:val="18"/>
        </w:rPr>
      </w:pPr>
      <w:r w:rsidRPr="00C204E6">
        <w:rPr>
          <w:rStyle w:val="FootnoteReference"/>
          <w:rFonts w:ascii="Arial" w:hAnsi="Arial" w:cs="Arial"/>
          <w:sz w:val="18"/>
          <w:szCs w:val="18"/>
        </w:rPr>
        <w:footnoteRef/>
      </w:r>
      <w:r w:rsidRPr="00C204E6">
        <w:rPr>
          <w:rFonts w:ascii="Arial" w:hAnsi="Arial" w:cs="Arial"/>
          <w:sz w:val="18"/>
          <w:szCs w:val="18"/>
        </w:rPr>
        <w:t xml:space="preserve"> See the House Standing Committee on Industry, Science and Resources, </w:t>
      </w:r>
      <w:r w:rsidRPr="00C204E6">
        <w:rPr>
          <w:rFonts w:ascii="Arial" w:hAnsi="Arial" w:cs="Arial"/>
          <w:i/>
          <w:iCs/>
          <w:sz w:val="18"/>
          <w:szCs w:val="18"/>
        </w:rPr>
        <w:t xml:space="preserve">Finding a balance: Towards fair trading in Australia, </w:t>
      </w:r>
      <w:r w:rsidRPr="00C204E6">
        <w:rPr>
          <w:rFonts w:ascii="Arial" w:hAnsi="Arial" w:cs="Arial"/>
          <w:sz w:val="18"/>
          <w:szCs w:val="18"/>
        </w:rPr>
        <w:t>May 1997.</w:t>
      </w:r>
    </w:p>
  </w:footnote>
  <w:footnote w:id="61">
    <w:p w14:paraId="602FB9A4" w14:textId="04442772" w:rsidR="00E3214D" w:rsidRPr="0039434F" w:rsidRDefault="00E3214D">
      <w:pPr>
        <w:pStyle w:val="FootnoteText"/>
        <w:rPr>
          <w:rFonts w:ascii="Arial" w:hAnsi="Arial" w:cs="Arial"/>
        </w:rPr>
      </w:pPr>
      <w:r w:rsidRPr="0039434F">
        <w:rPr>
          <w:rStyle w:val="FootnoteReference"/>
          <w:rFonts w:ascii="Arial" w:hAnsi="Arial" w:cs="Arial"/>
          <w:sz w:val="18"/>
        </w:rPr>
        <w:footnoteRef/>
      </w:r>
      <w:r w:rsidRPr="0039434F">
        <w:rPr>
          <w:rFonts w:ascii="Arial" w:hAnsi="Arial" w:cs="Arial"/>
          <w:sz w:val="18"/>
        </w:rPr>
        <w:t xml:space="preserve"> Recommendation </w:t>
      </w:r>
      <w:r>
        <w:rPr>
          <w:rFonts w:ascii="Arial" w:hAnsi="Arial" w:cs="Arial"/>
          <w:sz w:val="18"/>
        </w:rPr>
        <w:t>17.1</w:t>
      </w:r>
      <w:r w:rsidRPr="0039434F">
        <w:rPr>
          <w:rFonts w:ascii="Arial" w:hAnsi="Arial" w:cs="Arial"/>
          <w:sz w:val="18"/>
        </w:rPr>
        <w:t>, Parliamentary Joint Committee on Corporations and Financial Services 2019, p. 2</w:t>
      </w:r>
      <w:r>
        <w:rPr>
          <w:rFonts w:ascii="Arial" w:hAnsi="Arial" w:cs="Arial"/>
          <w:sz w:val="18"/>
        </w:rPr>
        <w:t>34</w:t>
      </w:r>
      <w:r w:rsidRPr="0039434F">
        <w:rPr>
          <w:rFonts w:ascii="Arial" w:hAnsi="Arial" w:cs="Arial"/>
          <w:sz w:val="18"/>
        </w:rPr>
        <w:t xml:space="preserve"> (Ibid footnote 10).</w:t>
      </w:r>
    </w:p>
  </w:footnote>
  <w:footnote w:id="62">
    <w:p w14:paraId="6E812E72" w14:textId="225C8BA2" w:rsidR="00E3214D" w:rsidRPr="00373CD9" w:rsidRDefault="00E3214D" w:rsidP="00AD5F5C">
      <w:pPr>
        <w:pStyle w:val="FootnoteText"/>
        <w:rPr>
          <w:rFonts w:ascii="Arial" w:hAnsi="Arial" w:cs="Arial"/>
          <w:sz w:val="18"/>
          <w:szCs w:val="18"/>
        </w:rPr>
      </w:pPr>
      <w:r w:rsidRPr="00373CD9">
        <w:rPr>
          <w:rStyle w:val="FootnoteReference"/>
          <w:rFonts w:ascii="Arial" w:hAnsi="Arial" w:cs="Arial"/>
          <w:sz w:val="18"/>
          <w:szCs w:val="18"/>
        </w:rPr>
        <w:footnoteRef/>
      </w:r>
      <w:r>
        <w:rPr>
          <w:rFonts w:ascii="Arial" w:hAnsi="Arial" w:cs="Arial"/>
          <w:sz w:val="18"/>
          <w:szCs w:val="18"/>
        </w:rPr>
        <w:t xml:space="preserve"> See MTAA submission to RIS, p.</w:t>
      </w:r>
      <w:r w:rsidRPr="00373CD9">
        <w:rPr>
          <w:rFonts w:ascii="Arial" w:hAnsi="Arial" w:cs="Arial"/>
          <w:sz w:val="18"/>
          <w:szCs w:val="18"/>
        </w:rPr>
        <w:t xml:space="preserve"> 16.</w:t>
      </w:r>
    </w:p>
  </w:footnote>
  <w:footnote w:id="63">
    <w:p w14:paraId="52EE820C" w14:textId="77777777" w:rsidR="00E3214D" w:rsidRPr="00471C44" w:rsidRDefault="00E3214D" w:rsidP="008D7915">
      <w:pPr>
        <w:pStyle w:val="FootnoteText"/>
        <w:rPr>
          <w:rFonts w:ascii="Arial" w:hAnsi="Arial" w:cs="Arial"/>
          <w:sz w:val="18"/>
          <w:szCs w:val="18"/>
          <w:lang w:val="en-US"/>
        </w:rPr>
      </w:pPr>
      <w:r w:rsidRPr="00471C44">
        <w:rPr>
          <w:rStyle w:val="FootnoteReference"/>
          <w:rFonts w:ascii="Arial" w:hAnsi="Arial" w:cs="Arial"/>
          <w:sz w:val="18"/>
          <w:szCs w:val="18"/>
        </w:rPr>
        <w:footnoteRef/>
      </w:r>
      <w:r w:rsidRPr="00471C44">
        <w:rPr>
          <w:rFonts w:ascii="Arial" w:hAnsi="Arial" w:cs="Arial"/>
          <w:sz w:val="18"/>
          <w:szCs w:val="18"/>
        </w:rPr>
        <w:t xml:space="preserve"> </w:t>
      </w:r>
      <w:r w:rsidRPr="00471C44">
        <w:rPr>
          <w:rFonts w:ascii="Arial" w:hAnsi="Arial" w:cs="Arial"/>
          <w:sz w:val="18"/>
          <w:szCs w:val="18"/>
          <w:lang w:val="en-US"/>
        </w:rPr>
        <w:t xml:space="preserve">Estimate based on new car sales data provided by FCAI, industry stakeholder estimates of 65 as the average number of days new car stock is held and 3500 dealerships. </w:t>
      </w:r>
    </w:p>
  </w:footnote>
  <w:footnote w:id="64">
    <w:p w14:paraId="4A9CE805" w14:textId="1617A682" w:rsidR="00E3214D" w:rsidRPr="00471C44" w:rsidRDefault="00E3214D">
      <w:pPr>
        <w:pStyle w:val="FootnoteText"/>
        <w:rPr>
          <w:sz w:val="18"/>
          <w:szCs w:val="18"/>
        </w:rPr>
      </w:pPr>
      <w:r w:rsidRPr="00471C44">
        <w:rPr>
          <w:rStyle w:val="FootnoteReference"/>
          <w:rFonts w:ascii="Arial" w:hAnsi="Arial" w:cs="Arial"/>
          <w:sz w:val="18"/>
          <w:szCs w:val="18"/>
        </w:rPr>
        <w:footnoteRef/>
      </w:r>
      <w:r w:rsidRPr="00471C44">
        <w:rPr>
          <w:rFonts w:ascii="Arial" w:hAnsi="Arial" w:cs="Arial"/>
          <w:sz w:val="18"/>
          <w:szCs w:val="18"/>
        </w:rPr>
        <w:t xml:space="preserve"> 2.46 million /31.6 million = 8%</w:t>
      </w:r>
    </w:p>
  </w:footnote>
  <w:footnote w:id="65">
    <w:p w14:paraId="7BC69C81" w14:textId="5F1E3CE7" w:rsidR="00E3214D" w:rsidRDefault="00E3214D">
      <w:pPr>
        <w:pStyle w:val="FootnoteText"/>
      </w:pPr>
      <w:r>
        <w:rPr>
          <w:rStyle w:val="FootnoteReference"/>
        </w:rPr>
        <w:footnoteRef/>
      </w:r>
      <w:r>
        <w:t xml:space="preserve"> </w:t>
      </w:r>
      <w:r w:rsidRPr="0039434F">
        <w:rPr>
          <w:rFonts w:ascii="Arial" w:hAnsi="Arial" w:cs="Arial"/>
          <w:sz w:val="18"/>
        </w:rPr>
        <w:t xml:space="preserve">Recommendation </w:t>
      </w:r>
      <w:r>
        <w:rPr>
          <w:rFonts w:ascii="Arial" w:hAnsi="Arial" w:cs="Arial"/>
          <w:sz w:val="18"/>
        </w:rPr>
        <w:t>17.1</w:t>
      </w:r>
      <w:r w:rsidRPr="0039434F">
        <w:rPr>
          <w:rFonts w:ascii="Arial" w:hAnsi="Arial" w:cs="Arial"/>
          <w:sz w:val="18"/>
        </w:rPr>
        <w:t>, Parliamentary Joint Committee on Corporations and Financial Services 2019, p. 2</w:t>
      </w:r>
      <w:r>
        <w:rPr>
          <w:rFonts w:ascii="Arial" w:hAnsi="Arial" w:cs="Arial"/>
          <w:sz w:val="18"/>
        </w:rPr>
        <w:t>34</w:t>
      </w:r>
      <w:r w:rsidRPr="0039434F">
        <w:rPr>
          <w:rFonts w:ascii="Arial" w:hAnsi="Arial" w:cs="Arial"/>
          <w:sz w:val="18"/>
        </w:rPr>
        <w:t xml:space="preserve"> (Ibid footnote 10).</w:t>
      </w:r>
    </w:p>
  </w:footnote>
  <w:footnote w:id="66">
    <w:p w14:paraId="4C5BDAFA" w14:textId="77777777" w:rsidR="00E3214D" w:rsidRPr="00110025" w:rsidRDefault="00E3214D" w:rsidP="00830CC3">
      <w:pPr>
        <w:pStyle w:val="FootnoteText"/>
        <w:rPr>
          <w:rFonts w:ascii="Arial" w:hAnsi="Arial" w:cs="Arial"/>
          <w:sz w:val="18"/>
          <w:szCs w:val="18"/>
        </w:rPr>
      </w:pPr>
      <w:r w:rsidRPr="00110025">
        <w:rPr>
          <w:rStyle w:val="FootnoteReference"/>
          <w:rFonts w:ascii="Arial" w:hAnsi="Arial" w:cs="Arial"/>
          <w:sz w:val="18"/>
          <w:szCs w:val="18"/>
        </w:rPr>
        <w:footnoteRef/>
      </w:r>
      <w:r w:rsidRPr="00110025">
        <w:rPr>
          <w:rFonts w:ascii="Arial" w:hAnsi="Arial" w:cs="Arial"/>
          <w:sz w:val="18"/>
          <w:szCs w:val="18"/>
        </w:rPr>
        <w:t xml:space="preserve"> </w:t>
      </w:r>
      <w:r w:rsidRPr="0040566B">
        <w:rPr>
          <w:rFonts w:ascii="Arial" w:hAnsi="Arial" w:cs="Arial"/>
          <w:sz w:val="18"/>
          <w:szCs w:val="18"/>
        </w:rPr>
        <w:t xml:space="preserve">AADA 2017, </w:t>
      </w:r>
      <w:hyperlink r:id="rId15" w:history="1">
        <w:r w:rsidRPr="0040566B">
          <w:rPr>
            <w:rStyle w:val="Hyperlink"/>
            <w:rFonts w:ascii="Arial" w:hAnsi="Arial" w:cs="Arial"/>
            <w:sz w:val="18"/>
            <w:szCs w:val="18"/>
          </w:rPr>
          <w:t>Australian Automotive Dealer Association submission to the ACCC issues paper</w:t>
        </w:r>
      </w:hyperlink>
      <w:r w:rsidRPr="0040566B">
        <w:rPr>
          <w:rFonts w:ascii="Arial" w:hAnsi="Arial" w:cs="Arial"/>
          <w:sz w:val="18"/>
          <w:szCs w:val="18"/>
        </w:rPr>
        <w:t xml:space="preserve">, AADA, 19 October 2017, </w:t>
      </w:r>
      <w:r>
        <w:rPr>
          <w:rFonts w:ascii="Arial" w:hAnsi="Arial" w:cs="Arial"/>
          <w:sz w:val="18"/>
          <w:szCs w:val="18"/>
        </w:rPr>
        <w:t>p. 3.</w:t>
      </w:r>
    </w:p>
  </w:footnote>
  <w:footnote w:id="67">
    <w:p w14:paraId="3F1D0C1C" w14:textId="3403B57F" w:rsidR="00E3214D" w:rsidRPr="00A37F71" w:rsidRDefault="00E3214D" w:rsidP="00CF77B6">
      <w:pPr>
        <w:pStyle w:val="FootnoteText"/>
        <w:rPr>
          <w:rFonts w:ascii="Arial" w:hAnsi="Arial" w:cs="Arial"/>
          <w:sz w:val="18"/>
          <w:szCs w:val="18"/>
          <w:lang w:val="en-US"/>
        </w:rPr>
      </w:pPr>
      <w:r w:rsidRPr="00A37F71">
        <w:rPr>
          <w:rStyle w:val="FootnoteReference"/>
          <w:rFonts w:ascii="Arial" w:hAnsi="Arial" w:cs="Arial"/>
          <w:sz w:val="18"/>
          <w:szCs w:val="18"/>
        </w:rPr>
        <w:footnoteRef/>
      </w:r>
      <w:r w:rsidRPr="00A37F71">
        <w:rPr>
          <w:rFonts w:ascii="Arial" w:hAnsi="Arial" w:cs="Arial"/>
          <w:sz w:val="18"/>
          <w:szCs w:val="18"/>
        </w:rPr>
        <w:t xml:space="preserve"> MTAA 2018, p. 18 (Ibid footnote 50).</w:t>
      </w:r>
    </w:p>
  </w:footnote>
  <w:footnote w:id="68">
    <w:p w14:paraId="3F1D0C1D" w14:textId="665180AE" w:rsidR="00E3214D" w:rsidRPr="00A37F71" w:rsidRDefault="00E3214D" w:rsidP="00CF77B6">
      <w:pPr>
        <w:pStyle w:val="FootnoteText"/>
        <w:rPr>
          <w:rFonts w:ascii="Arial" w:hAnsi="Arial" w:cs="Arial"/>
          <w:sz w:val="18"/>
          <w:szCs w:val="18"/>
          <w:lang w:val="en-US"/>
        </w:rPr>
      </w:pPr>
      <w:r w:rsidRPr="00A37F71">
        <w:rPr>
          <w:rStyle w:val="FootnoteReference"/>
          <w:rFonts w:ascii="Arial" w:hAnsi="Arial" w:cs="Arial"/>
          <w:sz w:val="18"/>
          <w:szCs w:val="18"/>
        </w:rPr>
        <w:footnoteRef/>
      </w:r>
      <w:r w:rsidRPr="00A37F71">
        <w:rPr>
          <w:rFonts w:ascii="Arial" w:hAnsi="Arial" w:cs="Arial"/>
          <w:sz w:val="18"/>
          <w:szCs w:val="18"/>
        </w:rPr>
        <w:t xml:space="preserve"> MTAA 2018, p. 18 (Ibid footnote 50).</w:t>
      </w:r>
    </w:p>
  </w:footnote>
  <w:footnote w:id="69">
    <w:p w14:paraId="3F1D0C1E" w14:textId="72E21521" w:rsidR="00E3214D" w:rsidRPr="008C64EE" w:rsidRDefault="00E3214D" w:rsidP="00CF77B6">
      <w:pPr>
        <w:pStyle w:val="FootnoteText"/>
        <w:rPr>
          <w:rFonts w:ascii="Arial" w:hAnsi="Arial" w:cs="Arial"/>
          <w:sz w:val="18"/>
          <w:szCs w:val="18"/>
          <w:highlight w:val="yellow"/>
          <w:lang w:val="en-US"/>
        </w:rPr>
      </w:pPr>
      <w:r w:rsidRPr="00A37F71">
        <w:rPr>
          <w:rStyle w:val="FootnoteReference"/>
          <w:rFonts w:ascii="Arial" w:hAnsi="Arial" w:cs="Arial"/>
          <w:sz w:val="18"/>
          <w:szCs w:val="18"/>
        </w:rPr>
        <w:footnoteRef/>
      </w:r>
      <w:r w:rsidRPr="00A37F71">
        <w:rPr>
          <w:rFonts w:ascii="Arial" w:hAnsi="Arial" w:cs="Arial"/>
          <w:sz w:val="18"/>
          <w:szCs w:val="18"/>
        </w:rPr>
        <w:t xml:space="preserve"> MTAA 2018, p. 18 (Ibid footnote 50).</w:t>
      </w:r>
    </w:p>
  </w:footnote>
  <w:footnote w:id="70">
    <w:p w14:paraId="3F1D0C1F" w14:textId="6E13A8D5" w:rsidR="00E3214D" w:rsidRPr="00E61440" w:rsidRDefault="00E3214D" w:rsidP="00CF77B6">
      <w:pPr>
        <w:pStyle w:val="FootnoteText"/>
        <w:rPr>
          <w:lang w:val="en-US"/>
        </w:rPr>
      </w:pPr>
      <w:r w:rsidRPr="00E61440">
        <w:rPr>
          <w:rStyle w:val="FootnoteReference"/>
          <w:rFonts w:ascii="Arial" w:hAnsi="Arial" w:cs="Arial"/>
          <w:sz w:val="18"/>
          <w:szCs w:val="18"/>
        </w:rPr>
        <w:footnoteRef/>
      </w:r>
      <w:r w:rsidRPr="00E61440">
        <w:rPr>
          <w:rFonts w:ascii="Arial" w:hAnsi="Arial" w:cs="Arial"/>
          <w:sz w:val="18"/>
          <w:szCs w:val="18"/>
        </w:rPr>
        <w:t xml:space="preserve"> MTAA 2018, p. 18 (Ibid footnote 50).</w:t>
      </w:r>
    </w:p>
  </w:footnote>
  <w:footnote w:id="71">
    <w:p w14:paraId="3F1D0C20" w14:textId="3730F50B" w:rsidR="00E3214D" w:rsidRPr="00E61440" w:rsidRDefault="00E3214D" w:rsidP="00CF77B6">
      <w:pPr>
        <w:pStyle w:val="FootnoteText"/>
        <w:rPr>
          <w:rFonts w:ascii="Arial" w:hAnsi="Arial" w:cs="Arial"/>
          <w:sz w:val="18"/>
          <w:szCs w:val="18"/>
          <w:lang w:val="en-US"/>
        </w:rPr>
      </w:pPr>
      <w:r w:rsidRPr="00E61440">
        <w:rPr>
          <w:rStyle w:val="FootnoteReference"/>
          <w:rFonts w:ascii="Arial" w:hAnsi="Arial" w:cs="Arial"/>
          <w:sz w:val="18"/>
          <w:szCs w:val="18"/>
        </w:rPr>
        <w:footnoteRef/>
      </w:r>
      <w:r w:rsidRPr="00E61440">
        <w:rPr>
          <w:rFonts w:ascii="Arial" w:hAnsi="Arial" w:cs="Arial"/>
          <w:sz w:val="18"/>
          <w:szCs w:val="18"/>
        </w:rPr>
        <w:t xml:space="preserve"> MTAA 2018, p. 18 (Ibid footnote 50).</w:t>
      </w:r>
    </w:p>
  </w:footnote>
  <w:footnote w:id="72">
    <w:p w14:paraId="3F1D0C21" w14:textId="58A5858E" w:rsidR="00E3214D" w:rsidRPr="007F35DE" w:rsidRDefault="00E3214D" w:rsidP="00CF77B6">
      <w:pPr>
        <w:pStyle w:val="FootnoteText"/>
        <w:rPr>
          <w:rFonts w:ascii="Arial" w:hAnsi="Arial" w:cs="Arial"/>
          <w:sz w:val="18"/>
          <w:szCs w:val="18"/>
          <w:lang w:val="en-US"/>
        </w:rPr>
      </w:pPr>
      <w:r w:rsidRPr="00E61440">
        <w:rPr>
          <w:rStyle w:val="FootnoteReference"/>
          <w:rFonts w:ascii="Arial" w:hAnsi="Arial" w:cs="Arial"/>
          <w:sz w:val="18"/>
          <w:szCs w:val="18"/>
        </w:rPr>
        <w:footnoteRef/>
      </w:r>
      <w:r w:rsidRPr="00E61440">
        <w:rPr>
          <w:rFonts w:ascii="Arial" w:hAnsi="Arial" w:cs="Arial"/>
          <w:sz w:val="18"/>
          <w:szCs w:val="18"/>
        </w:rPr>
        <w:t xml:space="preserve"> MTAA 2018, p. 18 (Ibid footnote 50).</w:t>
      </w:r>
    </w:p>
  </w:footnote>
  <w:footnote w:id="73">
    <w:p w14:paraId="3F1D0C22" w14:textId="77777777" w:rsidR="00E3214D" w:rsidRPr="00AF6C99" w:rsidRDefault="00E3214D">
      <w:pPr>
        <w:pStyle w:val="FootnoteText"/>
        <w:rPr>
          <w:rFonts w:ascii="Arial" w:hAnsi="Arial" w:cs="Arial"/>
          <w:sz w:val="18"/>
          <w:szCs w:val="18"/>
          <w:lang w:val="en-US"/>
        </w:rPr>
      </w:pPr>
      <w:r w:rsidRPr="00AF6C99">
        <w:rPr>
          <w:rStyle w:val="FootnoteReference"/>
          <w:rFonts w:ascii="Arial" w:hAnsi="Arial" w:cs="Arial"/>
          <w:sz w:val="18"/>
          <w:szCs w:val="18"/>
        </w:rPr>
        <w:footnoteRef/>
      </w:r>
      <w:r w:rsidRPr="00AF6C99">
        <w:rPr>
          <w:rFonts w:ascii="Arial" w:hAnsi="Arial" w:cs="Arial"/>
          <w:sz w:val="18"/>
          <w:szCs w:val="18"/>
        </w:rPr>
        <w:t xml:space="preserve"> </w:t>
      </w:r>
      <w:r w:rsidRPr="00AF6C99">
        <w:rPr>
          <w:rFonts w:ascii="Arial" w:hAnsi="Arial" w:cs="Arial"/>
          <w:sz w:val="18"/>
          <w:szCs w:val="18"/>
          <w:lang w:val="en-US"/>
        </w:rPr>
        <w:t xml:space="preserve">Estimate based on new car sales data provided by FCAI, industry stakeholder estimates of 65 as the average number of days new car stock is held and 3500 dealerships. </w:t>
      </w:r>
    </w:p>
  </w:footnote>
  <w:footnote w:id="74">
    <w:p w14:paraId="6040A274" w14:textId="26135EE2" w:rsidR="00E3214D" w:rsidRDefault="00E3214D">
      <w:pPr>
        <w:pStyle w:val="FootnoteText"/>
      </w:pPr>
      <w:r>
        <w:rPr>
          <w:rStyle w:val="FootnoteReference"/>
        </w:rPr>
        <w:footnoteRef/>
      </w:r>
      <w:r>
        <w:t xml:space="preserve"> </w:t>
      </w:r>
      <w:r w:rsidRPr="0039434F">
        <w:rPr>
          <w:rFonts w:ascii="Arial" w:hAnsi="Arial" w:cs="Arial"/>
          <w:sz w:val="18"/>
        </w:rPr>
        <w:t xml:space="preserve">Recommendation </w:t>
      </w:r>
      <w:r>
        <w:rPr>
          <w:rFonts w:ascii="Arial" w:hAnsi="Arial" w:cs="Arial"/>
          <w:sz w:val="18"/>
        </w:rPr>
        <w:t>17.1</w:t>
      </w:r>
      <w:r w:rsidRPr="0039434F">
        <w:rPr>
          <w:rFonts w:ascii="Arial" w:hAnsi="Arial" w:cs="Arial"/>
          <w:sz w:val="18"/>
        </w:rPr>
        <w:t>, Parliamentary Joint Committee on Corporations and Financial Services 2019, p. 2</w:t>
      </w:r>
      <w:r>
        <w:rPr>
          <w:rFonts w:ascii="Arial" w:hAnsi="Arial" w:cs="Arial"/>
          <w:sz w:val="18"/>
        </w:rPr>
        <w:t>34</w:t>
      </w:r>
      <w:r w:rsidRPr="0039434F">
        <w:rPr>
          <w:rFonts w:ascii="Arial" w:hAnsi="Arial" w:cs="Arial"/>
          <w:sz w:val="18"/>
        </w:rPr>
        <w:t xml:space="preserve"> (Ibid footnote 10).</w:t>
      </w:r>
    </w:p>
  </w:footnote>
  <w:footnote w:id="75">
    <w:p w14:paraId="3F1D0C23" w14:textId="5E3ACF41" w:rsidR="00E3214D" w:rsidRPr="00330DD3" w:rsidRDefault="00E3214D">
      <w:pPr>
        <w:pStyle w:val="FootnoteText"/>
        <w:rPr>
          <w:rFonts w:ascii="Arial" w:hAnsi="Arial" w:cs="Arial"/>
          <w:sz w:val="18"/>
          <w:szCs w:val="18"/>
        </w:rPr>
      </w:pPr>
      <w:r w:rsidRPr="00787BD5">
        <w:rPr>
          <w:rStyle w:val="FootnoteReference"/>
          <w:rFonts w:ascii="Arial" w:hAnsi="Arial" w:cs="Arial"/>
          <w:sz w:val="18"/>
          <w:szCs w:val="18"/>
        </w:rPr>
        <w:footnoteRef/>
      </w:r>
      <w:r w:rsidRPr="00787BD5">
        <w:rPr>
          <w:rFonts w:ascii="Arial" w:hAnsi="Arial" w:cs="Arial"/>
          <w:sz w:val="18"/>
          <w:szCs w:val="18"/>
        </w:rPr>
        <w:t xml:space="preserve"> AADA 2017, p. 2 (Ibid footnote 65).</w:t>
      </w:r>
    </w:p>
  </w:footnote>
  <w:footnote w:id="76">
    <w:p w14:paraId="3F1D0C24" w14:textId="77777777" w:rsidR="00E3214D" w:rsidRPr="007A7CC7" w:rsidRDefault="00E3214D" w:rsidP="00DF07F7">
      <w:pPr>
        <w:pStyle w:val="FootnoteText"/>
        <w:rPr>
          <w:rFonts w:ascii="Arial" w:hAnsi="Arial" w:cs="Arial"/>
        </w:rPr>
      </w:pPr>
      <w:r w:rsidRPr="0040566B">
        <w:rPr>
          <w:rStyle w:val="FootnoteReference"/>
          <w:rFonts w:ascii="Arial" w:hAnsi="Arial" w:cs="Arial"/>
          <w:sz w:val="18"/>
          <w:szCs w:val="18"/>
        </w:rPr>
        <w:footnoteRef/>
      </w:r>
      <w:r w:rsidRPr="0040566B">
        <w:rPr>
          <w:rFonts w:ascii="Arial" w:hAnsi="Arial" w:cs="Arial"/>
          <w:sz w:val="18"/>
          <w:szCs w:val="18"/>
        </w:rPr>
        <w:t xml:space="preserve"> </w:t>
      </w:r>
      <w:r w:rsidRPr="004F3E1C">
        <w:rPr>
          <w:rFonts w:ascii="Arial" w:hAnsi="Arial" w:cs="Arial"/>
          <w:sz w:val="18"/>
          <w:szCs w:val="18"/>
          <w:lang w:val="en-US"/>
        </w:rPr>
        <w:t>F</w:t>
      </w:r>
      <w:r>
        <w:rPr>
          <w:rFonts w:ascii="Arial" w:hAnsi="Arial" w:cs="Arial"/>
          <w:sz w:val="18"/>
          <w:szCs w:val="18"/>
          <w:lang w:val="en-US"/>
        </w:rPr>
        <w:t>CAI 2018, p. 3</w:t>
      </w:r>
      <w:r w:rsidRPr="004F3E1C">
        <w:rPr>
          <w:rFonts w:ascii="Arial" w:hAnsi="Arial" w:cs="Arial"/>
          <w:sz w:val="18"/>
          <w:szCs w:val="18"/>
          <w:lang w:val="en-US"/>
        </w:rPr>
        <w:t xml:space="preserve"> </w:t>
      </w:r>
      <w:r>
        <w:rPr>
          <w:rFonts w:ascii="Arial" w:hAnsi="Arial" w:cs="Arial"/>
          <w:sz w:val="18"/>
          <w:szCs w:val="18"/>
          <w:lang w:val="en-US"/>
        </w:rPr>
        <w:t xml:space="preserve">(Ibid footnote </w:t>
      </w:r>
      <w:r w:rsidRPr="0040566B">
        <w:fldChar w:fldCharType="begin"/>
      </w:r>
      <w:r>
        <w:rPr>
          <w:rFonts w:ascii="Arial" w:hAnsi="Arial" w:cs="Arial"/>
          <w:sz w:val="18"/>
          <w:szCs w:val="18"/>
          <w:lang w:val="en-US"/>
        </w:rPr>
        <w:instrText xml:space="preserve"> NOTEREF _Ref530471234 \h </w:instrText>
      </w:r>
      <w:r w:rsidRPr="0040566B">
        <w:rPr>
          <w:rFonts w:ascii="Arial" w:hAnsi="Arial" w:cs="Arial"/>
          <w:sz w:val="18"/>
          <w:szCs w:val="18"/>
          <w:lang w:val="en-US"/>
        </w:rPr>
        <w:fldChar w:fldCharType="separate"/>
      </w:r>
      <w:r w:rsidR="00EA3759">
        <w:rPr>
          <w:rFonts w:ascii="Arial" w:hAnsi="Arial" w:cs="Arial"/>
          <w:sz w:val="18"/>
          <w:szCs w:val="18"/>
          <w:lang w:val="en-US"/>
        </w:rPr>
        <w:t>26</w:t>
      </w:r>
      <w:r w:rsidRPr="0040566B">
        <w:fldChar w:fldCharType="end"/>
      </w:r>
      <w:r>
        <w:rPr>
          <w:rFonts w:ascii="Arial" w:hAnsi="Arial" w:cs="Arial"/>
          <w:sz w:val="18"/>
          <w:szCs w:val="18"/>
          <w:lang w:val="en-US"/>
        </w:rPr>
        <w:t>).</w:t>
      </w:r>
    </w:p>
  </w:footnote>
  <w:footnote w:id="77">
    <w:p w14:paraId="3F1D0C25" w14:textId="77777777" w:rsidR="00E3214D" w:rsidRPr="00144083" w:rsidRDefault="00E3214D">
      <w:pPr>
        <w:pStyle w:val="FootnoteText"/>
        <w:rPr>
          <w:rFonts w:ascii="Arial" w:hAnsi="Arial" w:cs="Arial"/>
          <w:sz w:val="22"/>
          <w:szCs w:val="22"/>
          <w:highlight w:val="yellow"/>
        </w:rPr>
      </w:pPr>
      <w:r w:rsidRPr="0072630F">
        <w:rPr>
          <w:rStyle w:val="FootnoteReference"/>
          <w:rFonts w:ascii="Arial" w:hAnsi="Arial" w:cs="Arial"/>
          <w:sz w:val="18"/>
          <w:szCs w:val="18"/>
        </w:rPr>
        <w:footnoteRef/>
      </w:r>
      <w:r w:rsidRPr="0072630F">
        <w:rPr>
          <w:rFonts w:ascii="Arial" w:hAnsi="Arial" w:cs="Arial"/>
          <w:sz w:val="18"/>
          <w:szCs w:val="18"/>
        </w:rPr>
        <w:t xml:space="preserve"> </w:t>
      </w:r>
      <w:r w:rsidRPr="0072630F">
        <w:rPr>
          <w:rFonts w:ascii="Arial" w:hAnsi="Arial" w:cs="Arial"/>
          <w:i/>
          <w:iCs/>
          <w:sz w:val="18"/>
          <w:szCs w:val="18"/>
          <w:lang w:val="en-US"/>
        </w:rPr>
        <w:t>Competition and Consumer (Industry Codes—Franchising) Regulation 2014,</w:t>
      </w:r>
      <w:r w:rsidRPr="0072630F">
        <w:rPr>
          <w:rFonts w:ascii="Arial" w:hAnsi="Arial" w:cs="Arial"/>
          <w:sz w:val="18"/>
          <w:szCs w:val="18"/>
          <w:lang w:val="en-US"/>
        </w:rPr>
        <w:t xml:space="preserve"> Part 4.</w:t>
      </w:r>
    </w:p>
  </w:footnote>
  <w:footnote w:id="78">
    <w:p w14:paraId="3F1D0C26" w14:textId="77777777" w:rsidR="00E3214D" w:rsidRPr="0040566B" w:rsidRDefault="00E3214D">
      <w:pPr>
        <w:pStyle w:val="FootnoteText"/>
        <w:rPr>
          <w:rFonts w:ascii="Arial" w:hAnsi="Arial" w:cs="Arial"/>
          <w:sz w:val="18"/>
          <w:szCs w:val="18"/>
        </w:rPr>
      </w:pPr>
      <w:r w:rsidRPr="00506BE6">
        <w:rPr>
          <w:rStyle w:val="FootnoteReference"/>
          <w:rFonts w:ascii="Arial" w:hAnsi="Arial" w:cs="Arial"/>
          <w:sz w:val="18"/>
          <w:szCs w:val="18"/>
        </w:rPr>
        <w:footnoteRef/>
      </w:r>
      <w:r w:rsidRPr="00506BE6">
        <w:rPr>
          <w:rFonts w:ascii="Arial" w:hAnsi="Arial" w:cs="Arial"/>
          <w:sz w:val="18"/>
          <w:szCs w:val="18"/>
        </w:rPr>
        <w:t xml:space="preserve"> Office of the NSW Small Business Commissioner 2017, </w:t>
      </w:r>
      <w:hyperlink r:id="rId16" w:history="1">
        <w:r w:rsidRPr="00506BE6">
          <w:rPr>
            <w:rStyle w:val="Hyperlink"/>
            <w:rFonts w:ascii="Arial" w:hAnsi="Arial" w:cs="Arial"/>
            <w:sz w:val="18"/>
            <w:szCs w:val="18"/>
          </w:rPr>
          <w:t>Submission on the draft report of the New Car Retailing Industry Market Study</w:t>
        </w:r>
      </w:hyperlink>
      <w:r w:rsidRPr="00506BE6">
        <w:rPr>
          <w:rFonts w:ascii="Arial" w:hAnsi="Arial" w:cs="Arial"/>
          <w:sz w:val="18"/>
          <w:szCs w:val="18"/>
        </w:rPr>
        <w:t>, OSBC, 6 September 2017, p. 2.</w:t>
      </w:r>
    </w:p>
  </w:footnote>
  <w:footnote w:id="79">
    <w:p w14:paraId="3F1D0C27" w14:textId="77777777" w:rsidR="00E3214D" w:rsidRDefault="00E3214D">
      <w:pPr>
        <w:pStyle w:val="FootnoteText"/>
      </w:pPr>
      <w:r w:rsidRPr="0040566B">
        <w:rPr>
          <w:rStyle w:val="FootnoteReference"/>
          <w:rFonts w:ascii="Arial" w:hAnsi="Arial" w:cs="Arial"/>
          <w:sz w:val="18"/>
          <w:szCs w:val="18"/>
        </w:rPr>
        <w:footnoteRef/>
      </w:r>
      <w:r w:rsidRPr="0040566B">
        <w:rPr>
          <w:rFonts w:ascii="Arial" w:hAnsi="Arial" w:cs="Arial"/>
          <w:sz w:val="18"/>
          <w:szCs w:val="18"/>
        </w:rPr>
        <w:t xml:space="preserve"> ACCC 2017, p. 87 (Ibid footnote </w:t>
      </w:r>
      <w:r w:rsidRPr="0040566B">
        <w:fldChar w:fldCharType="begin"/>
      </w:r>
      <w:r>
        <w:rPr>
          <w:rFonts w:ascii="Arial" w:hAnsi="Arial" w:cs="Arial"/>
          <w:sz w:val="18"/>
        </w:rPr>
        <w:instrText xml:space="preserve"> NOTEREF _Ref529871249 \h </w:instrText>
      </w:r>
      <w:r w:rsidRPr="0040566B">
        <w:rPr>
          <w:rFonts w:ascii="Arial" w:hAnsi="Arial" w:cs="Arial"/>
          <w:sz w:val="18"/>
        </w:rPr>
        <w:fldChar w:fldCharType="separate"/>
      </w:r>
      <w:r w:rsidR="00EA3759">
        <w:rPr>
          <w:rFonts w:ascii="Arial" w:hAnsi="Arial" w:cs="Arial"/>
          <w:sz w:val="18"/>
        </w:rPr>
        <w:t>1</w:t>
      </w:r>
      <w:r w:rsidRPr="0040566B">
        <w:fldChar w:fldCharType="end"/>
      </w:r>
      <w:r w:rsidRPr="0040566B">
        <w:rPr>
          <w:rFonts w:ascii="Arial" w:hAnsi="Arial" w:cs="Arial"/>
          <w:sz w:val="18"/>
          <w:szCs w:val="18"/>
        </w:rPr>
        <w:t>).</w:t>
      </w:r>
    </w:p>
  </w:footnote>
  <w:footnote w:id="80">
    <w:p w14:paraId="3F1D0C28" w14:textId="77777777" w:rsidR="00E3214D" w:rsidRPr="00C9453A" w:rsidRDefault="00E3214D" w:rsidP="00E86C18">
      <w:pPr>
        <w:pStyle w:val="FootnoteText"/>
        <w:rPr>
          <w:rFonts w:ascii="Arial" w:hAnsi="Arial" w:cs="Arial"/>
        </w:rPr>
      </w:pPr>
      <w:r w:rsidRPr="0040566B">
        <w:rPr>
          <w:rStyle w:val="FootnoteReference"/>
          <w:rFonts w:ascii="Arial" w:hAnsi="Arial" w:cs="Arial"/>
          <w:sz w:val="18"/>
          <w:szCs w:val="18"/>
        </w:rPr>
        <w:footnoteRef/>
      </w:r>
      <w:r w:rsidRPr="0040566B">
        <w:rPr>
          <w:rFonts w:ascii="Arial" w:hAnsi="Arial" w:cs="Arial"/>
          <w:sz w:val="18"/>
          <w:szCs w:val="18"/>
        </w:rPr>
        <w:t xml:space="preserve"> Victorian Automotive Chamber of Commerce 2018, Submission to Parliamentary Inquiry into the Operation and Effectiveness of the Franchising Code of Conduct, VACC,</w:t>
      </w:r>
      <w:r w:rsidRPr="0040566B">
        <w:rPr>
          <w:rFonts w:ascii="Arial" w:hAnsi="Arial" w:cs="Arial"/>
          <w:i/>
          <w:iCs/>
          <w:sz w:val="18"/>
          <w:szCs w:val="18"/>
        </w:rPr>
        <w:t xml:space="preserve"> </w:t>
      </w:r>
      <w:r w:rsidRPr="0040566B">
        <w:rPr>
          <w:rFonts w:ascii="Arial" w:hAnsi="Arial" w:cs="Arial"/>
          <w:sz w:val="18"/>
          <w:szCs w:val="18"/>
        </w:rPr>
        <w:t>4 May 2018, p. 10.</w:t>
      </w:r>
    </w:p>
  </w:footnote>
  <w:footnote w:id="81">
    <w:p w14:paraId="3F1D0C29" w14:textId="77777777" w:rsidR="00E3214D" w:rsidRPr="008A5B3B" w:rsidRDefault="00E3214D" w:rsidP="00F4631F">
      <w:pPr>
        <w:pStyle w:val="FootnoteText"/>
        <w:rPr>
          <w:rFonts w:ascii="Arial" w:hAnsi="Arial" w:cs="Arial"/>
        </w:rPr>
      </w:pPr>
      <w:r w:rsidRPr="0040566B">
        <w:rPr>
          <w:rStyle w:val="FootnoteReference"/>
          <w:rFonts w:ascii="Arial" w:hAnsi="Arial" w:cs="Arial"/>
          <w:sz w:val="18"/>
          <w:szCs w:val="18"/>
        </w:rPr>
        <w:footnoteRef/>
      </w:r>
      <w:r w:rsidRPr="0040566B">
        <w:rPr>
          <w:rFonts w:ascii="Arial" w:hAnsi="Arial" w:cs="Arial"/>
          <w:sz w:val="18"/>
          <w:szCs w:val="18"/>
        </w:rPr>
        <w:t xml:space="preserve"> The Treasury 2000, </w:t>
      </w:r>
      <w:hyperlink r:id="rId17" w:history="1">
        <w:r w:rsidRPr="0040566B">
          <w:rPr>
            <w:rStyle w:val="Hyperlink"/>
            <w:rFonts w:ascii="Arial" w:hAnsi="Arial" w:cs="Arial"/>
            <w:i/>
            <w:iCs/>
            <w:sz w:val="18"/>
            <w:szCs w:val="18"/>
          </w:rPr>
          <w:t>Industry Self-Regulation in Consumer Markets – Report prepared by the Taskforce on Industry Self-Regulation – Final Report</w:t>
        </w:r>
      </w:hyperlink>
      <w:r w:rsidRPr="0040566B">
        <w:rPr>
          <w:rFonts w:ascii="Arial" w:hAnsi="Arial" w:cs="Arial"/>
          <w:sz w:val="18"/>
          <w:szCs w:val="18"/>
        </w:rPr>
        <w:t>, August 2000, p. 1.</w:t>
      </w:r>
    </w:p>
  </w:footnote>
  <w:footnote w:id="82">
    <w:p w14:paraId="680760CB" w14:textId="1491BD5F" w:rsidR="00E3214D" w:rsidRPr="00A70150" w:rsidRDefault="00E3214D">
      <w:pPr>
        <w:pStyle w:val="FootnoteText"/>
        <w:rPr>
          <w:rFonts w:ascii="Arial" w:hAnsi="Arial" w:cs="Arial"/>
          <w:sz w:val="18"/>
          <w:szCs w:val="18"/>
          <w:lang w:val="en-US"/>
        </w:rPr>
      </w:pPr>
      <w:r w:rsidRPr="00A70150">
        <w:rPr>
          <w:rStyle w:val="FootnoteReference"/>
          <w:rFonts w:ascii="Arial" w:hAnsi="Arial" w:cs="Arial"/>
          <w:sz w:val="18"/>
          <w:szCs w:val="18"/>
        </w:rPr>
        <w:footnoteRef/>
      </w:r>
      <w:r w:rsidRPr="00A70150">
        <w:rPr>
          <w:rFonts w:ascii="Arial" w:hAnsi="Arial" w:cs="Arial"/>
          <w:sz w:val="18"/>
          <w:szCs w:val="18"/>
        </w:rPr>
        <w:t xml:space="preserve"> </w:t>
      </w:r>
      <w:r>
        <w:rPr>
          <w:rFonts w:ascii="Arial" w:hAnsi="Arial" w:cs="Arial"/>
          <w:sz w:val="18"/>
          <w:szCs w:val="18"/>
          <w:lang w:val="en-US"/>
        </w:rPr>
        <w:t>ACCC submission to the RIS, p.</w:t>
      </w:r>
      <w:r w:rsidRPr="00A70150">
        <w:rPr>
          <w:rFonts w:ascii="Arial" w:hAnsi="Arial" w:cs="Arial"/>
          <w:sz w:val="18"/>
          <w:szCs w:val="18"/>
          <w:lang w:val="en-US"/>
        </w:rPr>
        <w:t xml:space="preserve"> 6.</w:t>
      </w:r>
    </w:p>
  </w:footnote>
  <w:footnote w:id="83">
    <w:p w14:paraId="43F6F356" w14:textId="4693D14A" w:rsidR="00E3214D" w:rsidRPr="000A2928" w:rsidRDefault="00E3214D">
      <w:pPr>
        <w:pStyle w:val="FootnoteText"/>
        <w:rPr>
          <w:rFonts w:ascii="Arial" w:hAnsi="Arial" w:cs="Arial"/>
        </w:rPr>
      </w:pPr>
      <w:r w:rsidRPr="000A2928">
        <w:rPr>
          <w:rStyle w:val="FootnoteReference"/>
          <w:rFonts w:ascii="Arial" w:hAnsi="Arial" w:cs="Arial"/>
          <w:sz w:val="18"/>
        </w:rPr>
        <w:footnoteRef/>
      </w:r>
      <w:r w:rsidRPr="000A2928">
        <w:rPr>
          <w:rFonts w:ascii="Arial" w:hAnsi="Arial" w:cs="Arial"/>
          <w:sz w:val="18"/>
        </w:rPr>
        <w:t xml:space="preserve"> This total is derived from </w:t>
      </w:r>
      <w:r>
        <w:rPr>
          <w:rFonts w:ascii="Arial" w:hAnsi="Arial" w:cs="Arial"/>
          <w:sz w:val="18"/>
        </w:rPr>
        <w:t>3</w:t>
      </w:r>
      <w:r w:rsidRPr="000A2928">
        <w:rPr>
          <w:rFonts w:ascii="Arial" w:hAnsi="Arial" w:cs="Arial"/>
          <w:sz w:val="18"/>
        </w:rPr>
        <w:t xml:space="preserve"> components: 12 months’ notice period; non-renewal notice and capital expenditure disclosure. </w:t>
      </w:r>
    </w:p>
  </w:footnote>
  <w:footnote w:id="84">
    <w:p w14:paraId="05BF2726" w14:textId="361A97CA" w:rsidR="00E3214D" w:rsidRDefault="00E3214D" w:rsidP="00920007">
      <w:pPr>
        <w:pStyle w:val="FootnoteText"/>
        <w:rPr>
          <w:rFonts w:ascii="Arial" w:hAnsi="Arial" w:cs="Arial"/>
          <w:sz w:val="18"/>
          <w:szCs w:val="18"/>
        </w:rPr>
      </w:pPr>
      <w:r>
        <w:rPr>
          <w:rStyle w:val="FootnoteReference"/>
          <w:rFonts w:ascii="Arial" w:hAnsi="Arial" w:cs="Arial"/>
          <w:sz w:val="18"/>
          <w:szCs w:val="18"/>
        </w:rPr>
        <w:footnoteRef/>
      </w:r>
      <w:r>
        <w:rPr>
          <w:rFonts w:ascii="Arial" w:hAnsi="Arial" w:cs="Arial"/>
          <w:sz w:val="18"/>
          <w:szCs w:val="18"/>
        </w:rPr>
        <w:t xml:space="preserve"> Mr Alan Wein 2013, (Ibid footnote </w:t>
      </w:r>
      <w:r>
        <w:rPr>
          <w:rFonts w:ascii="Arial" w:hAnsi="Arial" w:cs="Arial"/>
          <w:sz w:val="18"/>
          <w:szCs w:val="18"/>
        </w:rPr>
        <w:fldChar w:fldCharType="begin"/>
      </w:r>
      <w:r>
        <w:rPr>
          <w:rFonts w:ascii="Arial" w:hAnsi="Arial" w:cs="Arial"/>
          <w:sz w:val="18"/>
          <w:szCs w:val="18"/>
        </w:rPr>
        <w:instrText xml:space="preserve"> NOTEREF _Ref530485791 \h </w:instrText>
      </w:r>
      <w:r>
        <w:rPr>
          <w:rFonts w:ascii="Arial" w:hAnsi="Arial" w:cs="Arial"/>
          <w:sz w:val="18"/>
          <w:szCs w:val="18"/>
        </w:rPr>
      </w:r>
      <w:r>
        <w:rPr>
          <w:rFonts w:ascii="Arial" w:hAnsi="Arial" w:cs="Arial"/>
          <w:sz w:val="18"/>
          <w:szCs w:val="18"/>
        </w:rPr>
        <w:fldChar w:fldCharType="separate"/>
      </w:r>
      <w:r w:rsidR="00EA3759">
        <w:rPr>
          <w:rFonts w:ascii="Arial" w:hAnsi="Arial" w:cs="Arial"/>
          <w:sz w:val="18"/>
          <w:szCs w:val="18"/>
        </w:rPr>
        <w:t>14</w:t>
      </w:r>
      <w:r>
        <w:rPr>
          <w:rFonts w:ascii="Arial" w:hAnsi="Arial" w:cs="Arial"/>
          <w:sz w:val="18"/>
          <w:szCs w:val="18"/>
        </w:rPr>
        <w:fldChar w:fldCharType="end"/>
      </w:r>
      <w:r>
        <w:rPr>
          <w:rFonts w:ascii="Arial" w:hAnsi="Arial" w:cs="Arial"/>
          <w:sz w:val="18"/>
          <w:szCs w:val="18"/>
        </w:rPr>
        <w:t>).</w:t>
      </w:r>
    </w:p>
  </w:footnote>
  <w:footnote w:id="85">
    <w:p w14:paraId="114D98FA" w14:textId="77777777" w:rsidR="00E3214D" w:rsidRDefault="00E3214D" w:rsidP="00920007">
      <w:pPr>
        <w:pStyle w:val="FootnoteText"/>
        <w:rPr>
          <w:rFonts w:ascii="Arial" w:hAnsi="Arial" w:cs="Arial"/>
          <w:sz w:val="18"/>
          <w:szCs w:val="18"/>
        </w:rPr>
      </w:pPr>
      <w:r>
        <w:rPr>
          <w:rStyle w:val="FootnoteReference"/>
          <w:rFonts w:ascii="Arial" w:hAnsi="Arial" w:cs="Arial"/>
          <w:sz w:val="18"/>
          <w:szCs w:val="18"/>
        </w:rPr>
        <w:footnoteRef/>
      </w:r>
      <w:r>
        <w:rPr>
          <w:rFonts w:ascii="Arial" w:hAnsi="Arial" w:cs="Arial"/>
          <w:sz w:val="18"/>
          <w:szCs w:val="18"/>
        </w:rPr>
        <w:t xml:space="preserve"> </w:t>
      </w:r>
      <w:hyperlink r:id="rId18" w:anchor="_ftn7" w:history="1">
        <w:r>
          <w:rPr>
            <w:rStyle w:val="Hyperlink"/>
            <w:rFonts w:ascii="Arial" w:hAnsi="Arial" w:cs="Arial"/>
            <w:sz w:val="18"/>
            <w:szCs w:val="18"/>
          </w:rPr>
          <w:t>Explanatory Statement</w:t>
        </w:r>
      </w:hyperlink>
      <w:r>
        <w:rPr>
          <w:rFonts w:ascii="Arial" w:hAnsi="Arial" w:cs="Arial"/>
          <w:sz w:val="18"/>
          <w:szCs w:val="18"/>
        </w:rPr>
        <w:t>, Competition and Consumer (Industry Codes—Franchising) Regulation 2014.</w:t>
      </w:r>
    </w:p>
  </w:footnote>
  <w:footnote w:id="86">
    <w:p w14:paraId="3F1D0C30" w14:textId="30B6543E" w:rsidR="00E3214D" w:rsidRPr="00E676E0" w:rsidRDefault="00E3214D" w:rsidP="00E63F77">
      <w:pPr>
        <w:pStyle w:val="FootnoteText"/>
        <w:rPr>
          <w:rFonts w:ascii="Arial" w:hAnsi="Arial" w:cs="Arial"/>
          <w:sz w:val="18"/>
          <w:szCs w:val="18"/>
        </w:rPr>
      </w:pPr>
      <w:r w:rsidRPr="00797EB5">
        <w:rPr>
          <w:rStyle w:val="FootnoteReference"/>
          <w:rFonts w:ascii="Arial" w:hAnsi="Arial" w:cs="Arial"/>
          <w:sz w:val="18"/>
          <w:szCs w:val="18"/>
        </w:rPr>
        <w:footnoteRef/>
      </w:r>
      <w:r w:rsidRPr="00797EB5">
        <w:rPr>
          <w:rFonts w:ascii="Arial" w:hAnsi="Arial" w:cs="Arial"/>
          <w:sz w:val="18"/>
          <w:szCs w:val="18"/>
        </w:rPr>
        <w:t xml:space="preserve"> AADA 2018, pp. 4-5 (Ibid footnote 37).</w:t>
      </w:r>
    </w:p>
  </w:footnote>
  <w:footnote w:id="87">
    <w:p w14:paraId="3F1D0C31" w14:textId="77777777" w:rsidR="00E3214D" w:rsidRDefault="00E3214D" w:rsidP="00E63F77">
      <w:pPr>
        <w:pStyle w:val="FootnoteText"/>
      </w:pPr>
      <w:r w:rsidRPr="007A7CC7">
        <w:rPr>
          <w:rStyle w:val="FootnoteReference"/>
          <w:rFonts w:ascii="Arial" w:hAnsi="Arial" w:cs="Arial"/>
          <w:sz w:val="18"/>
          <w:szCs w:val="18"/>
        </w:rPr>
        <w:footnoteRef/>
      </w:r>
      <w:r w:rsidRPr="007A7CC7">
        <w:rPr>
          <w:rFonts w:ascii="Arial" w:hAnsi="Arial" w:cs="Arial"/>
          <w:sz w:val="18"/>
          <w:szCs w:val="18"/>
        </w:rPr>
        <w:t xml:space="preserve"> IBISWorld Industry Report F3501 Motor Vehicle Wholesaling in Australia, May 2018, p</w:t>
      </w:r>
      <w:r>
        <w:rPr>
          <w:rFonts w:ascii="Arial" w:hAnsi="Arial" w:cs="Arial"/>
          <w:sz w:val="18"/>
          <w:szCs w:val="18"/>
        </w:rPr>
        <w:t xml:space="preserve">. </w:t>
      </w:r>
      <w:r w:rsidRPr="007A7CC7">
        <w:rPr>
          <w:rFonts w:ascii="Arial" w:hAnsi="Arial" w:cs="Arial"/>
          <w:sz w:val="18"/>
          <w:szCs w:val="18"/>
        </w:rPr>
        <w:t>30</w:t>
      </w:r>
      <w:r>
        <w:rPr>
          <w:rFonts w:ascii="Arial" w:hAnsi="Arial" w:cs="Arial"/>
          <w:sz w:val="18"/>
          <w:szCs w:val="18"/>
        </w:rPr>
        <w:t>.</w:t>
      </w:r>
    </w:p>
  </w:footnote>
  <w:footnote w:id="88">
    <w:p w14:paraId="3F1D0C32" w14:textId="77777777" w:rsidR="00E3214D" w:rsidRPr="0040566B" w:rsidRDefault="00E3214D">
      <w:pPr>
        <w:pStyle w:val="FootnoteText"/>
        <w:rPr>
          <w:rStyle w:val="Hyperlink"/>
          <w:rFonts w:ascii="Arial" w:hAnsi="Arial" w:cs="Arial"/>
          <w:sz w:val="18"/>
          <w:szCs w:val="18"/>
          <w:lang w:val="en-US"/>
        </w:rPr>
      </w:pPr>
      <w:r w:rsidRPr="0040566B">
        <w:rPr>
          <w:rStyle w:val="FootnoteReference"/>
          <w:rFonts w:ascii="Arial" w:hAnsi="Arial" w:cs="Arial"/>
          <w:sz w:val="18"/>
          <w:szCs w:val="18"/>
        </w:rPr>
        <w:footnoteRef/>
      </w:r>
      <w:r w:rsidRPr="0040566B">
        <w:rPr>
          <w:rFonts w:ascii="Arial" w:hAnsi="Arial" w:cs="Arial"/>
          <w:sz w:val="18"/>
          <w:szCs w:val="18"/>
        </w:rPr>
        <w:t xml:space="preserve"> </w:t>
      </w:r>
      <w:r w:rsidRPr="0040566B">
        <w:fldChar w:fldCharType="begin"/>
      </w:r>
      <w:r w:rsidRPr="00CE53D8">
        <w:rPr>
          <w:rFonts w:ascii="Arial" w:hAnsi="Arial" w:cs="Arial"/>
          <w:sz w:val="18"/>
          <w:lang w:val="en-US"/>
        </w:rPr>
        <w:instrText xml:space="preserve"> HYPERLINK "https://www.mckinsey.com/industries/automotive-and-assembly/our-insights/innovating-automotive-retail" </w:instrText>
      </w:r>
      <w:r w:rsidRPr="0040566B">
        <w:rPr>
          <w:rFonts w:ascii="Arial" w:hAnsi="Arial" w:cs="Arial"/>
          <w:sz w:val="18"/>
          <w:lang w:val="en-US"/>
        </w:rPr>
        <w:fldChar w:fldCharType="separate"/>
      </w:r>
      <w:r w:rsidRPr="0040566B">
        <w:rPr>
          <w:rStyle w:val="Hyperlink"/>
          <w:rFonts w:ascii="Arial" w:hAnsi="Arial" w:cs="Arial"/>
          <w:sz w:val="18"/>
          <w:szCs w:val="18"/>
          <w:lang w:val="en-US"/>
        </w:rPr>
        <w:t>Innovating automotive retail, Journey towards a customer-centric, multi-format sales</w:t>
      </w:r>
    </w:p>
    <w:p w14:paraId="3F1D0C33" w14:textId="77777777" w:rsidR="00E3214D" w:rsidRPr="0040566B" w:rsidRDefault="00E3214D">
      <w:pPr>
        <w:pStyle w:val="FootnoteText"/>
        <w:rPr>
          <w:rFonts w:ascii="Arial" w:hAnsi="Arial" w:cs="Arial"/>
          <w:sz w:val="18"/>
          <w:szCs w:val="18"/>
          <w:lang w:val="en-US"/>
        </w:rPr>
      </w:pPr>
      <w:r w:rsidRPr="0040566B">
        <w:rPr>
          <w:rStyle w:val="Hyperlink"/>
          <w:rFonts w:ascii="Arial" w:hAnsi="Arial" w:cs="Arial"/>
          <w:sz w:val="18"/>
          <w:szCs w:val="18"/>
          <w:lang w:val="en-US"/>
        </w:rPr>
        <w:t>and service network</w:t>
      </w:r>
      <w:r w:rsidRPr="0040566B">
        <w:fldChar w:fldCharType="end"/>
      </w:r>
      <w:r w:rsidRPr="0040566B">
        <w:rPr>
          <w:rFonts w:ascii="Arial" w:hAnsi="Arial" w:cs="Arial"/>
          <w:sz w:val="18"/>
          <w:szCs w:val="18"/>
          <w:lang w:val="en-US"/>
        </w:rPr>
        <w:t xml:space="preserve">, McKinsey, 2013; </w:t>
      </w:r>
      <w:hyperlink r:id="rId19" w:history="1">
        <w:r w:rsidRPr="0040566B">
          <w:rPr>
            <w:rStyle w:val="Hyperlink"/>
            <w:rFonts w:ascii="Arial" w:hAnsi="Arial" w:cs="Arial"/>
            <w:sz w:val="18"/>
            <w:szCs w:val="18"/>
            <w:lang w:val="en-US"/>
          </w:rPr>
          <w:t>Future of automotive retail</w:t>
        </w:r>
      </w:hyperlink>
      <w:r w:rsidRPr="0040566B">
        <w:rPr>
          <w:rFonts w:ascii="Arial" w:hAnsi="Arial" w:cs="Arial"/>
          <w:sz w:val="18"/>
          <w:szCs w:val="18"/>
          <w:lang w:val="en-US"/>
        </w:rPr>
        <w:t>, Ernst &amp; Young, 2015.</w:t>
      </w:r>
    </w:p>
  </w:footnote>
  <w:footnote w:id="89">
    <w:p w14:paraId="3F1D0C34" w14:textId="77777777" w:rsidR="00E3214D" w:rsidRPr="0040566B" w:rsidRDefault="00E3214D">
      <w:pPr>
        <w:pStyle w:val="FootnoteText"/>
        <w:rPr>
          <w:rFonts w:ascii="Arial" w:hAnsi="Arial" w:cs="Arial"/>
          <w:sz w:val="18"/>
          <w:szCs w:val="18"/>
          <w:lang w:val="en-US"/>
        </w:rPr>
      </w:pPr>
      <w:r w:rsidRPr="0040566B">
        <w:rPr>
          <w:rStyle w:val="FootnoteReference"/>
          <w:rFonts w:ascii="Arial" w:hAnsi="Arial" w:cs="Arial"/>
          <w:sz w:val="18"/>
          <w:szCs w:val="18"/>
        </w:rPr>
        <w:footnoteRef/>
      </w:r>
      <w:r w:rsidRPr="0040566B">
        <w:rPr>
          <w:rFonts w:ascii="Arial" w:hAnsi="Arial" w:cs="Arial"/>
          <w:sz w:val="18"/>
          <w:szCs w:val="18"/>
        </w:rPr>
        <w:t xml:space="preserve"> Maetzig, Rob 2018, </w:t>
      </w:r>
      <w:hyperlink r:id="rId20" w:history="1">
        <w:r w:rsidRPr="0040566B">
          <w:rPr>
            <w:rStyle w:val="Hyperlink"/>
            <w:rFonts w:ascii="Arial" w:hAnsi="Arial" w:cs="Arial"/>
            <w:sz w:val="18"/>
            <w:szCs w:val="18"/>
          </w:rPr>
          <w:t>Toyota NZ ditches ‘dealerships’ for ‘stores’ in big changes to sales methods</w:t>
        </w:r>
      </w:hyperlink>
      <w:r w:rsidRPr="0040566B">
        <w:rPr>
          <w:rFonts w:ascii="Arial" w:hAnsi="Arial" w:cs="Arial"/>
          <w:sz w:val="18"/>
          <w:szCs w:val="18"/>
        </w:rPr>
        <w:t>, Stuff, 29 March 2018.</w:t>
      </w:r>
    </w:p>
  </w:footnote>
  <w:footnote w:id="90">
    <w:p w14:paraId="3F1D0C35" w14:textId="77777777" w:rsidR="00E3214D" w:rsidRPr="00BA2022" w:rsidRDefault="00E3214D" w:rsidP="00E63F77">
      <w:pPr>
        <w:pStyle w:val="FootnoteText"/>
        <w:rPr>
          <w:lang w:val="en-US"/>
        </w:rPr>
      </w:pPr>
      <w:r w:rsidRPr="0040566B">
        <w:rPr>
          <w:rStyle w:val="FootnoteReference"/>
          <w:rFonts w:ascii="Arial" w:hAnsi="Arial" w:cs="Arial"/>
          <w:sz w:val="18"/>
          <w:szCs w:val="18"/>
        </w:rPr>
        <w:footnoteRef/>
      </w:r>
      <w:r w:rsidRPr="0040566B">
        <w:rPr>
          <w:rFonts w:ascii="Arial" w:hAnsi="Arial" w:cs="Arial"/>
          <w:sz w:val="18"/>
          <w:szCs w:val="18"/>
        </w:rPr>
        <w:t xml:space="preserve"> AADA 2017 p. 4 (Ibid footnote </w:t>
      </w:r>
      <w:r w:rsidRPr="0040566B">
        <w:fldChar w:fldCharType="begin"/>
      </w:r>
      <w:r>
        <w:rPr>
          <w:rFonts w:ascii="Arial" w:hAnsi="Arial" w:cs="Arial"/>
          <w:sz w:val="18"/>
        </w:rPr>
        <w:instrText xml:space="preserve"> NOTEREF _Ref530485920 \h </w:instrText>
      </w:r>
      <w:r w:rsidRPr="0040566B">
        <w:rPr>
          <w:rFonts w:ascii="Arial" w:hAnsi="Arial" w:cs="Arial"/>
          <w:sz w:val="18"/>
        </w:rPr>
        <w:fldChar w:fldCharType="separate"/>
      </w:r>
      <w:r w:rsidR="00EA3759">
        <w:rPr>
          <w:rFonts w:ascii="Arial" w:hAnsi="Arial" w:cs="Arial"/>
          <w:sz w:val="18"/>
        </w:rPr>
        <w:t>15</w:t>
      </w:r>
      <w:r w:rsidRPr="0040566B">
        <w:fldChar w:fldCharType="end"/>
      </w:r>
      <w:r w:rsidRPr="0040566B">
        <w:rPr>
          <w:rFonts w:ascii="Arial" w:hAnsi="Arial" w:cs="Arial"/>
          <w:sz w:val="18"/>
          <w:szCs w:val="18"/>
        </w:rPr>
        <w:t>).</w:t>
      </w:r>
    </w:p>
  </w:footnote>
  <w:footnote w:id="91">
    <w:p w14:paraId="3F1D0C36" w14:textId="77777777" w:rsidR="00E3214D" w:rsidRPr="0040566B" w:rsidRDefault="00E3214D">
      <w:pPr>
        <w:pStyle w:val="FootnoteText"/>
        <w:rPr>
          <w:rFonts w:ascii="Arial" w:hAnsi="Arial" w:cs="Arial"/>
          <w:sz w:val="18"/>
          <w:szCs w:val="18"/>
          <w:lang w:val="en-US"/>
        </w:rPr>
      </w:pPr>
      <w:r w:rsidRPr="0040566B">
        <w:rPr>
          <w:rStyle w:val="FootnoteReference"/>
          <w:rFonts w:ascii="Arial" w:hAnsi="Arial" w:cs="Arial"/>
          <w:sz w:val="18"/>
          <w:szCs w:val="18"/>
        </w:rPr>
        <w:footnoteRef/>
      </w:r>
      <w:r w:rsidRPr="0040566B">
        <w:rPr>
          <w:rFonts w:ascii="Arial" w:hAnsi="Arial" w:cs="Arial"/>
          <w:sz w:val="18"/>
          <w:szCs w:val="18"/>
        </w:rPr>
        <w:t xml:space="preserve"> MTAA 2018, </w:t>
      </w:r>
      <w:hyperlink r:id="rId21" w:history="1">
        <w:r w:rsidRPr="0040566B">
          <w:rPr>
            <w:rStyle w:val="Hyperlink"/>
            <w:rFonts w:ascii="Arial" w:hAnsi="Arial" w:cs="Arial"/>
            <w:sz w:val="18"/>
            <w:szCs w:val="18"/>
          </w:rPr>
          <w:t>An industry at crossroads: Automotive 2018</w:t>
        </w:r>
      </w:hyperlink>
      <w:r w:rsidRPr="0040566B">
        <w:rPr>
          <w:rFonts w:ascii="Arial" w:hAnsi="Arial" w:cs="Arial"/>
          <w:sz w:val="18"/>
          <w:szCs w:val="18"/>
        </w:rPr>
        <w:t xml:space="preserve">, MTAA, p. 2. </w:t>
      </w:r>
    </w:p>
  </w:footnote>
  <w:footnote w:id="92">
    <w:p w14:paraId="3F1D0C37" w14:textId="1DFE9ECD" w:rsidR="00E3214D" w:rsidRPr="0040566B" w:rsidRDefault="00E3214D">
      <w:pPr>
        <w:pStyle w:val="FootnoteText"/>
        <w:rPr>
          <w:rFonts w:ascii="Arial" w:hAnsi="Arial" w:cs="Arial"/>
          <w:sz w:val="18"/>
          <w:szCs w:val="18"/>
          <w:lang w:val="en-US"/>
        </w:rPr>
      </w:pPr>
      <w:r w:rsidRPr="0040566B">
        <w:rPr>
          <w:rStyle w:val="FootnoteReference"/>
          <w:rFonts w:ascii="Arial" w:hAnsi="Arial" w:cs="Arial"/>
          <w:sz w:val="18"/>
          <w:szCs w:val="18"/>
        </w:rPr>
        <w:footnoteRef/>
      </w:r>
      <w:r w:rsidRPr="0040566B">
        <w:rPr>
          <w:rFonts w:ascii="Arial" w:hAnsi="Arial" w:cs="Arial"/>
          <w:sz w:val="18"/>
          <w:szCs w:val="18"/>
        </w:rPr>
        <w:t xml:space="preserve"> </w:t>
      </w:r>
      <w:r>
        <w:rPr>
          <w:rFonts w:ascii="Arial" w:hAnsi="Arial" w:cs="Arial"/>
          <w:sz w:val="18"/>
          <w:szCs w:val="18"/>
        </w:rPr>
        <w:t>Turnbull, Samantha; MacKenzie, Bruce; Shoebridge, Joanne 2017,</w:t>
      </w:r>
      <w:r w:rsidRPr="0040566B">
        <w:rPr>
          <w:rFonts w:ascii="Arial" w:hAnsi="Arial" w:cs="Arial"/>
          <w:sz w:val="18"/>
          <w:szCs w:val="18"/>
        </w:rPr>
        <w:t xml:space="preserve"> (Ibid footnote </w:t>
      </w:r>
      <w:r w:rsidRPr="0040566B">
        <w:fldChar w:fldCharType="begin"/>
      </w:r>
      <w:r>
        <w:rPr>
          <w:rFonts w:ascii="Arial" w:hAnsi="Arial" w:cs="Arial"/>
          <w:sz w:val="18"/>
        </w:rPr>
        <w:instrText xml:space="preserve"> NOTEREF _Ref530473871 \h </w:instrText>
      </w:r>
      <w:r w:rsidRPr="0040566B">
        <w:rPr>
          <w:rFonts w:ascii="Arial" w:hAnsi="Arial" w:cs="Arial"/>
          <w:sz w:val="18"/>
        </w:rPr>
        <w:fldChar w:fldCharType="separate"/>
      </w:r>
      <w:r w:rsidR="00EA3759">
        <w:rPr>
          <w:rFonts w:ascii="Arial" w:hAnsi="Arial" w:cs="Arial"/>
          <w:sz w:val="18"/>
        </w:rPr>
        <w:t>42</w:t>
      </w:r>
      <w:r w:rsidRPr="0040566B">
        <w:fldChar w:fldCharType="end"/>
      </w:r>
      <w:r w:rsidRPr="0040566B">
        <w:rPr>
          <w:rFonts w:ascii="Arial" w:hAnsi="Arial" w:cs="Arial"/>
          <w:sz w:val="18"/>
          <w:szCs w:val="18"/>
        </w:rPr>
        <w:t xml:space="preserve">); MTAA 2018 p. 5 (Ibid footnote </w:t>
      </w:r>
      <w:r w:rsidRPr="0040566B">
        <w:fldChar w:fldCharType="begin"/>
      </w:r>
      <w:r>
        <w:rPr>
          <w:rFonts w:ascii="Arial" w:hAnsi="Arial" w:cs="Arial"/>
          <w:sz w:val="18"/>
        </w:rPr>
        <w:instrText xml:space="preserve"> NOTEREF _Ref530483953 \h </w:instrText>
      </w:r>
      <w:r w:rsidRPr="0040566B">
        <w:rPr>
          <w:rFonts w:ascii="Arial" w:hAnsi="Arial" w:cs="Arial"/>
          <w:sz w:val="18"/>
        </w:rPr>
        <w:fldChar w:fldCharType="separate"/>
      </w:r>
      <w:r w:rsidR="00EA3759">
        <w:rPr>
          <w:rFonts w:ascii="Arial" w:hAnsi="Arial" w:cs="Arial"/>
          <w:sz w:val="18"/>
        </w:rPr>
        <w:t>66</w:t>
      </w:r>
      <w:r w:rsidRPr="0040566B">
        <w:fldChar w:fldCharType="end"/>
      </w:r>
      <w:r w:rsidRPr="0040566B">
        <w:rPr>
          <w:rFonts w:ascii="Arial" w:hAnsi="Arial" w:cs="Arial"/>
          <w:sz w:val="18"/>
          <w:szCs w:val="18"/>
        </w:rPr>
        <w:t>).</w:t>
      </w:r>
    </w:p>
  </w:footnote>
  <w:footnote w:id="93">
    <w:p w14:paraId="6F87B925" w14:textId="20E6A199" w:rsidR="00E3214D" w:rsidRDefault="00E3214D">
      <w:pPr>
        <w:pStyle w:val="FootnoteText"/>
      </w:pPr>
      <w:r>
        <w:rPr>
          <w:rStyle w:val="FootnoteReference"/>
        </w:rPr>
        <w:footnoteRef/>
      </w:r>
      <w:r>
        <w:t xml:space="preserve"> </w:t>
      </w:r>
      <w:r w:rsidRPr="0040566B">
        <w:rPr>
          <w:rFonts w:ascii="Arial" w:hAnsi="Arial" w:cs="Arial"/>
          <w:i/>
          <w:iCs/>
          <w:sz w:val="18"/>
          <w:szCs w:val="18"/>
        </w:rPr>
        <w:t>Competition and Consumer (Industry Codes—Franchising) Regulation 2014</w:t>
      </w:r>
      <w:r w:rsidRPr="0040566B">
        <w:rPr>
          <w:rFonts w:ascii="Arial" w:hAnsi="Arial" w:cs="Arial"/>
          <w:sz w:val="18"/>
          <w:szCs w:val="18"/>
        </w:rPr>
        <w:t>,</w:t>
      </w:r>
      <w:r>
        <w:rPr>
          <w:rFonts w:ascii="Arial" w:hAnsi="Arial" w:cs="Arial"/>
          <w:sz w:val="18"/>
          <w:szCs w:val="18"/>
        </w:rPr>
        <w:t xml:space="preserve"> Schedule 1, see clauses 9, 11.</w:t>
      </w:r>
    </w:p>
  </w:footnote>
  <w:footnote w:id="94">
    <w:p w14:paraId="0C82F16C" w14:textId="6A4FDBCD" w:rsidR="00E3214D" w:rsidRDefault="00E3214D">
      <w:pPr>
        <w:pStyle w:val="FootnoteText"/>
      </w:pPr>
      <w:r>
        <w:rPr>
          <w:rStyle w:val="FootnoteReference"/>
        </w:rPr>
        <w:footnoteRef/>
      </w:r>
      <w:r>
        <w:t xml:space="preserve"> </w:t>
      </w:r>
      <w:r w:rsidRPr="0040566B">
        <w:rPr>
          <w:rFonts w:ascii="Arial" w:hAnsi="Arial" w:cs="Arial"/>
          <w:i/>
          <w:iCs/>
          <w:sz w:val="18"/>
          <w:szCs w:val="18"/>
        </w:rPr>
        <w:t>Competition and Consumer (Industry Codes—Franchising) Regulation 2014</w:t>
      </w:r>
      <w:r w:rsidRPr="0040566B">
        <w:rPr>
          <w:rFonts w:ascii="Arial" w:hAnsi="Arial" w:cs="Arial"/>
          <w:sz w:val="18"/>
          <w:szCs w:val="18"/>
        </w:rPr>
        <w:t>,</w:t>
      </w:r>
      <w:r>
        <w:rPr>
          <w:rFonts w:ascii="Arial" w:hAnsi="Arial" w:cs="Arial"/>
          <w:sz w:val="18"/>
          <w:szCs w:val="18"/>
        </w:rPr>
        <w:t xml:space="preserve"> Schedule 1, see clause 26.</w:t>
      </w:r>
    </w:p>
  </w:footnote>
  <w:footnote w:id="95">
    <w:p w14:paraId="48DD337A" w14:textId="6A504E63" w:rsidR="00E3214D" w:rsidRDefault="00E3214D">
      <w:pPr>
        <w:pStyle w:val="FootnoteText"/>
      </w:pPr>
      <w:r>
        <w:rPr>
          <w:rStyle w:val="FootnoteReference"/>
        </w:rPr>
        <w:footnoteRef/>
      </w:r>
      <w:r>
        <w:t xml:space="preserve"> </w:t>
      </w:r>
      <w:r w:rsidRPr="0040566B">
        <w:rPr>
          <w:rFonts w:ascii="Arial" w:hAnsi="Arial" w:cs="Arial"/>
          <w:i/>
          <w:iCs/>
          <w:sz w:val="18"/>
          <w:szCs w:val="18"/>
        </w:rPr>
        <w:t>Competition and Consumer (Industry Codes—Franchising) Regulation 2014</w:t>
      </w:r>
      <w:r w:rsidRPr="0040566B">
        <w:rPr>
          <w:rFonts w:ascii="Arial" w:hAnsi="Arial" w:cs="Arial"/>
          <w:sz w:val="18"/>
          <w:szCs w:val="18"/>
        </w:rPr>
        <w:t>,</w:t>
      </w:r>
      <w:r>
        <w:rPr>
          <w:rFonts w:ascii="Arial" w:hAnsi="Arial" w:cs="Arial"/>
          <w:sz w:val="18"/>
          <w:szCs w:val="18"/>
        </w:rPr>
        <w:t xml:space="preserve"> Schedule 1, see clause 6.</w:t>
      </w:r>
    </w:p>
  </w:footnote>
  <w:footnote w:id="96">
    <w:p w14:paraId="52F8ED65" w14:textId="480171FF" w:rsidR="00E3214D" w:rsidRDefault="00E3214D">
      <w:pPr>
        <w:pStyle w:val="FootnoteText"/>
      </w:pPr>
      <w:r>
        <w:rPr>
          <w:rStyle w:val="FootnoteReference"/>
        </w:rPr>
        <w:footnoteRef/>
      </w:r>
      <w:r>
        <w:t xml:space="preserve"> </w:t>
      </w:r>
      <w:r w:rsidRPr="0040566B">
        <w:rPr>
          <w:rFonts w:ascii="Arial" w:hAnsi="Arial" w:cs="Arial"/>
          <w:i/>
          <w:iCs/>
          <w:sz w:val="18"/>
          <w:szCs w:val="18"/>
        </w:rPr>
        <w:t>Competition and Consumer (Industry Codes—Franchising) Regulation 2014</w:t>
      </w:r>
      <w:r w:rsidRPr="0040566B">
        <w:rPr>
          <w:rFonts w:ascii="Arial" w:hAnsi="Arial" w:cs="Arial"/>
          <w:sz w:val="18"/>
          <w:szCs w:val="18"/>
        </w:rPr>
        <w:t>,</w:t>
      </w:r>
      <w:r>
        <w:rPr>
          <w:rFonts w:ascii="Arial" w:hAnsi="Arial" w:cs="Arial"/>
          <w:sz w:val="18"/>
          <w:szCs w:val="18"/>
        </w:rPr>
        <w:t xml:space="preserve"> Schedule 1, see clauses 15 and 31.</w:t>
      </w:r>
    </w:p>
  </w:footnote>
  <w:footnote w:id="97">
    <w:p w14:paraId="40867364" w14:textId="775644C8" w:rsidR="00E3214D" w:rsidRDefault="00E3214D">
      <w:pPr>
        <w:pStyle w:val="FootnoteText"/>
      </w:pPr>
      <w:r>
        <w:rPr>
          <w:rStyle w:val="FootnoteReference"/>
        </w:rPr>
        <w:footnoteRef/>
      </w:r>
      <w:r>
        <w:t xml:space="preserve"> </w:t>
      </w:r>
      <w:r w:rsidRPr="0040566B">
        <w:rPr>
          <w:rFonts w:ascii="Arial" w:hAnsi="Arial" w:cs="Arial"/>
          <w:i/>
          <w:iCs/>
          <w:sz w:val="18"/>
          <w:szCs w:val="18"/>
        </w:rPr>
        <w:t>Competition and Consumer (Industry Codes—Franchising) Regulation 2014</w:t>
      </w:r>
      <w:r w:rsidRPr="0040566B">
        <w:rPr>
          <w:rFonts w:ascii="Arial" w:hAnsi="Arial" w:cs="Arial"/>
          <w:sz w:val="18"/>
          <w:szCs w:val="18"/>
        </w:rPr>
        <w:t>,</w:t>
      </w:r>
      <w:r>
        <w:rPr>
          <w:rFonts w:ascii="Arial" w:hAnsi="Arial" w:cs="Arial"/>
          <w:sz w:val="18"/>
          <w:szCs w:val="18"/>
        </w:rPr>
        <w:t xml:space="preserve"> Schedule 1, see clause 20.</w:t>
      </w:r>
    </w:p>
  </w:footnote>
  <w:footnote w:id="98">
    <w:p w14:paraId="4BF25AFC" w14:textId="77777777" w:rsidR="00E3214D" w:rsidRDefault="00E3214D" w:rsidP="00E37B71">
      <w:pPr>
        <w:pStyle w:val="FootnoteText"/>
      </w:pPr>
      <w:r>
        <w:rPr>
          <w:rStyle w:val="FootnoteReference"/>
        </w:rPr>
        <w:footnoteRef/>
      </w:r>
      <w:r>
        <w:t xml:space="preserve"> </w:t>
      </w:r>
      <w:r w:rsidRPr="0040566B">
        <w:rPr>
          <w:rFonts w:ascii="Arial" w:hAnsi="Arial" w:cs="Arial"/>
          <w:i/>
          <w:iCs/>
          <w:sz w:val="18"/>
          <w:szCs w:val="18"/>
        </w:rPr>
        <w:t>Competition and Consumer (Industry Codes—Franchising) Regulation 2014</w:t>
      </w:r>
      <w:r w:rsidRPr="0040566B">
        <w:rPr>
          <w:rFonts w:ascii="Arial" w:hAnsi="Arial" w:cs="Arial"/>
          <w:sz w:val="18"/>
          <w:szCs w:val="18"/>
        </w:rPr>
        <w:t>,</w:t>
      </w:r>
      <w:r>
        <w:rPr>
          <w:rFonts w:ascii="Arial" w:hAnsi="Arial" w:cs="Arial"/>
          <w:sz w:val="18"/>
          <w:szCs w:val="18"/>
        </w:rPr>
        <w:t xml:space="preserve"> Schedule 1, see clause 24.</w:t>
      </w:r>
    </w:p>
  </w:footnote>
  <w:footnote w:id="99">
    <w:p w14:paraId="12E19F84" w14:textId="7DCD99F0" w:rsidR="00E3214D" w:rsidRDefault="00E3214D">
      <w:pPr>
        <w:pStyle w:val="FootnoteText"/>
      </w:pPr>
      <w:r>
        <w:rPr>
          <w:rStyle w:val="FootnoteReference"/>
        </w:rPr>
        <w:footnoteRef/>
      </w:r>
      <w:r>
        <w:t xml:space="preserve"> </w:t>
      </w:r>
      <w:r w:rsidRPr="0040566B">
        <w:rPr>
          <w:rFonts w:ascii="Arial" w:hAnsi="Arial" w:cs="Arial"/>
          <w:i/>
          <w:iCs/>
          <w:sz w:val="18"/>
          <w:szCs w:val="18"/>
        </w:rPr>
        <w:t>Competition and Consumer (Industry Codes—Franchising) Regulation 2014</w:t>
      </w:r>
      <w:r w:rsidRPr="0040566B">
        <w:rPr>
          <w:rFonts w:ascii="Arial" w:hAnsi="Arial" w:cs="Arial"/>
          <w:sz w:val="18"/>
          <w:szCs w:val="18"/>
        </w:rPr>
        <w:t>,</w:t>
      </w:r>
      <w:r>
        <w:rPr>
          <w:rFonts w:ascii="Arial" w:hAnsi="Arial" w:cs="Arial"/>
          <w:sz w:val="18"/>
          <w:szCs w:val="18"/>
        </w:rPr>
        <w:t xml:space="preserve"> Schedule 1, see clause 23.</w:t>
      </w:r>
    </w:p>
  </w:footnote>
  <w:footnote w:id="100">
    <w:p w14:paraId="2D9717BB" w14:textId="7EF66D25" w:rsidR="00E3214D" w:rsidRDefault="00E3214D">
      <w:pPr>
        <w:pStyle w:val="FootnoteText"/>
      </w:pPr>
      <w:r>
        <w:rPr>
          <w:rStyle w:val="FootnoteReference"/>
        </w:rPr>
        <w:footnoteRef/>
      </w:r>
      <w:r>
        <w:t xml:space="preserve"> </w:t>
      </w:r>
      <w:r w:rsidRPr="0040566B">
        <w:rPr>
          <w:rFonts w:ascii="Arial" w:hAnsi="Arial" w:cs="Arial"/>
          <w:i/>
          <w:iCs/>
          <w:sz w:val="18"/>
          <w:szCs w:val="18"/>
        </w:rPr>
        <w:t>Competition and Consumer (Industry Codes—Franchising) Regulation 2014</w:t>
      </w:r>
      <w:r w:rsidRPr="0040566B">
        <w:rPr>
          <w:rFonts w:ascii="Arial" w:hAnsi="Arial" w:cs="Arial"/>
          <w:sz w:val="18"/>
          <w:szCs w:val="18"/>
        </w:rPr>
        <w:t>,</w:t>
      </w:r>
      <w:r>
        <w:rPr>
          <w:rFonts w:ascii="Arial" w:hAnsi="Arial" w:cs="Arial"/>
          <w:sz w:val="18"/>
          <w:szCs w:val="18"/>
        </w:rPr>
        <w:t xml:space="preserve"> Schedule 1, see Part 4.</w:t>
      </w:r>
    </w:p>
  </w:footnote>
  <w:footnote w:id="101">
    <w:p w14:paraId="5D618D80" w14:textId="7DEC0122" w:rsidR="00E3214D" w:rsidRDefault="00E3214D">
      <w:pPr>
        <w:pStyle w:val="FootnoteText"/>
      </w:pPr>
      <w:r>
        <w:rPr>
          <w:rStyle w:val="FootnoteReference"/>
        </w:rPr>
        <w:footnoteRef/>
      </w:r>
      <w:r>
        <w:t xml:space="preserve"> </w:t>
      </w:r>
      <w:r w:rsidRPr="0040566B">
        <w:rPr>
          <w:rFonts w:ascii="Arial" w:hAnsi="Arial" w:cs="Arial"/>
          <w:i/>
          <w:iCs/>
          <w:sz w:val="18"/>
          <w:szCs w:val="18"/>
        </w:rPr>
        <w:t>Competition and Consumer (Industry Codes—Franchising) Regulation 2014</w:t>
      </w:r>
      <w:r w:rsidRPr="0040566B">
        <w:rPr>
          <w:rFonts w:ascii="Arial" w:hAnsi="Arial" w:cs="Arial"/>
          <w:sz w:val="18"/>
          <w:szCs w:val="18"/>
        </w:rPr>
        <w:t>,</w:t>
      </w:r>
      <w:r>
        <w:rPr>
          <w:rFonts w:ascii="Arial" w:hAnsi="Arial" w:cs="Arial"/>
          <w:sz w:val="18"/>
          <w:szCs w:val="18"/>
        </w:rPr>
        <w:t xml:space="preserve"> Schedule 1, see clause 30.</w:t>
      </w:r>
    </w:p>
  </w:footnote>
  <w:footnote w:id="102">
    <w:p w14:paraId="76E7A171" w14:textId="088C3F41" w:rsidR="00E3214D" w:rsidRDefault="00E3214D">
      <w:pPr>
        <w:pStyle w:val="FootnoteText"/>
      </w:pPr>
      <w:r>
        <w:rPr>
          <w:rStyle w:val="FootnoteReference"/>
        </w:rPr>
        <w:footnoteRef/>
      </w:r>
      <w:r>
        <w:t xml:space="preserve"> </w:t>
      </w:r>
      <w:r w:rsidRPr="0040566B">
        <w:rPr>
          <w:rFonts w:ascii="Arial" w:hAnsi="Arial" w:cs="Arial"/>
          <w:i/>
          <w:iCs/>
          <w:sz w:val="18"/>
          <w:szCs w:val="18"/>
        </w:rPr>
        <w:t>Competition and Consumer (Industry Codes—Franchising) Regulation 2014</w:t>
      </w:r>
      <w:r w:rsidRPr="0040566B">
        <w:rPr>
          <w:rFonts w:ascii="Arial" w:hAnsi="Arial" w:cs="Arial"/>
          <w:sz w:val="18"/>
          <w:szCs w:val="18"/>
        </w:rPr>
        <w:t>,</w:t>
      </w:r>
      <w:r>
        <w:rPr>
          <w:rFonts w:ascii="Arial" w:hAnsi="Arial" w:cs="Arial"/>
          <w:sz w:val="18"/>
          <w:szCs w:val="18"/>
        </w:rPr>
        <w:t xml:space="preserve"> Schedule 1, see clause 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1D0BEA" w14:textId="77777777" w:rsidR="00E3214D" w:rsidRPr="00C349D4" w:rsidRDefault="00E3214D" w:rsidP="00C349D4">
    <w:pPr>
      <w:pStyle w:val="ProtectiveMarking"/>
      <w:rPr>
        <w:rFonts w:eastAsia="Arial" w:cs="Times New Roman"/>
        <w:noProof/>
        <w:lang w:val="en-US"/>
      </w:rPr>
    </w:pPr>
    <w:r w:rsidRPr="00C349D4">
      <w:rPr>
        <w:rFonts w:eastAsia="Arial" w:cs="Times New Roman"/>
        <w:b w:val="0"/>
        <w:noProof/>
        <w:lang w:val="en-US"/>
      </w:rPr>
      <w:t xml:space="preserve"> </w:t>
    </w:r>
    <w:r w:rsidRPr="00C349D4">
      <w:rPr>
        <w:rFonts w:eastAsia="Arial" w:cs="Times New Roman"/>
        <w:noProof/>
        <w:lang w:val="en-US"/>
      </w:rPr>
      <w:t>PROTECTED</w:t>
    </w:r>
  </w:p>
  <w:p w14:paraId="3F1D0BEB" w14:textId="77777777" w:rsidR="00E3214D" w:rsidRPr="00C349D4" w:rsidRDefault="00E3214D" w:rsidP="00C349D4">
    <w:pPr>
      <w:spacing w:after="0" w:line="240" w:lineRule="auto"/>
      <w:jc w:val="center"/>
      <w:rPr>
        <w:rFonts w:ascii="Arial" w:eastAsia="Arial" w:hAnsi="Arial" w:cs="Times New Roman"/>
        <w:b/>
        <w:color w:val="FF0000"/>
        <w:sz w:val="30"/>
      </w:rPr>
    </w:pPr>
    <w:r w:rsidRPr="00C349D4">
      <w:rPr>
        <w:rFonts w:ascii="Arial" w:eastAsia="Arial" w:hAnsi="Arial" w:cs="Times New Roman"/>
        <w:b/>
        <w:noProof/>
        <w:color w:val="FF0000"/>
        <w:sz w:val="30"/>
        <w:lang w:val="en-US"/>
      </w:rPr>
      <w:t>Sensitive: Cabinet</w:t>
    </w:r>
  </w:p>
  <w:p w14:paraId="3F1D0BEC" w14:textId="77777777" w:rsidR="00E3214D" w:rsidRDefault="00E321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B2AD1"/>
    <w:multiLevelType w:val="multilevel"/>
    <w:tmpl w:val="BD3658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05034C"/>
    <w:multiLevelType w:val="hybridMultilevel"/>
    <w:tmpl w:val="321A8E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1B2E0A"/>
    <w:multiLevelType w:val="hybridMultilevel"/>
    <w:tmpl w:val="062642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9E306C"/>
    <w:multiLevelType w:val="hybridMultilevel"/>
    <w:tmpl w:val="B4662F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E50697"/>
    <w:multiLevelType w:val="hybridMultilevel"/>
    <w:tmpl w:val="752ED7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8577E3B"/>
    <w:multiLevelType w:val="hybridMultilevel"/>
    <w:tmpl w:val="9A16EC9A"/>
    <w:lvl w:ilvl="0" w:tplc="3B50CB2A">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AC072E5"/>
    <w:multiLevelType w:val="hybridMultilevel"/>
    <w:tmpl w:val="218E9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DC5057"/>
    <w:multiLevelType w:val="hybridMultilevel"/>
    <w:tmpl w:val="A51CCB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1474857"/>
    <w:multiLevelType w:val="hybridMultilevel"/>
    <w:tmpl w:val="6CF4381C"/>
    <w:lvl w:ilvl="0" w:tplc="73CCE290">
      <w:start w:val="1"/>
      <w:numFmt w:val="decimal"/>
      <w:lvlText w:val="(%1)"/>
      <w:lvlJc w:val="left"/>
      <w:pPr>
        <w:ind w:left="360" w:hanging="360"/>
      </w:pPr>
      <w:rPr>
        <w:rFonts w:ascii="Arial" w:eastAsiaTheme="minorHAnsi" w:hAnsi="Arial" w:cs="Arial"/>
      </w:rPr>
    </w:lvl>
    <w:lvl w:ilvl="1" w:tplc="80B08616">
      <w:start w:val="1"/>
      <w:numFmt w:val="lowerLetter"/>
      <w:lvlText w:val="(%2)"/>
      <w:lvlJc w:val="left"/>
      <w:pPr>
        <w:ind w:left="1080" w:hanging="360"/>
      </w:pPr>
      <w:rPr>
        <w:rFonts w:ascii="Arial" w:eastAsiaTheme="minorHAnsi" w:hAnsi="Arial" w:cs="Arial"/>
      </w:rPr>
    </w:lvl>
    <w:lvl w:ilvl="2" w:tplc="F844D198">
      <w:start w:val="1"/>
      <w:numFmt w:val="lowerLetter"/>
      <w:lvlText w:val="%3)"/>
      <w:lvlJc w:val="left"/>
      <w:pPr>
        <w:ind w:left="2160" w:hanging="720"/>
      </w:pPr>
      <w:rPr>
        <w:rFont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2E9757F"/>
    <w:multiLevelType w:val="hybridMultilevel"/>
    <w:tmpl w:val="A7D631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3D60B0"/>
    <w:multiLevelType w:val="hybridMultilevel"/>
    <w:tmpl w:val="147640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DF70D5E"/>
    <w:multiLevelType w:val="hybridMultilevel"/>
    <w:tmpl w:val="012A24FC"/>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12" w15:restartNumberingAfterBreak="0">
    <w:nsid w:val="387E6BDA"/>
    <w:multiLevelType w:val="hybridMultilevel"/>
    <w:tmpl w:val="98F43B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BA43DFE"/>
    <w:multiLevelType w:val="hybridMultilevel"/>
    <w:tmpl w:val="EEB8CE6C"/>
    <w:lvl w:ilvl="0" w:tplc="FB3EFC7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ACE5774"/>
    <w:multiLevelType w:val="hybridMultilevel"/>
    <w:tmpl w:val="AF9EB7B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211649D"/>
    <w:multiLevelType w:val="hybridMultilevel"/>
    <w:tmpl w:val="340E5F9E"/>
    <w:lvl w:ilvl="0" w:tplc="0C090001">
      <w:start w:val="1"/>
      <w:numFmt w:val="bullet"/>
      <w:lvlText w:val=""/>
      <w:lvlJc w:val="left"/>
      <w:pPr>
        <w:ind w:left="1077" w:hanging="360"/>
      </w:pPr>
      <w:rPr>
        <w:rFonts w:ascii="Symbol" w:hAnsi="Symbol" w:hint="default"/>
      </w:rPr>
    </w:lvl>
    <w:lvl w:ilvl="1" w:tplc="0C090003">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6" w15:restartNumberingAfterBreak="0">
    <w:nsid w:val="656B195E"/>
    <w:multiLevelType w:val="hybridMultilevel"/>
    <w:tmpl w:val="672A4D42"/>
    <w:lvl w:ilvl="0" w:tplc="DBA28380">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705C5C30"/>
    <w:multiLevelType w:val="hybridMultilevel"/>
    <w:tmpl w:val="B61CE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3612C17"/>
    <w:multiLevelType w:val="hybridMultilevel"/>
    <w:tmpl w:val="39586F02"/>
    <w:lvl w:ilvl="0" w:tplc="35A2136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3F72E2D"/>
    <w:multiLevelType w:val="multilevel"/>
    <w:tmpl w:val="717C35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753D6AC2"/>
    <w:multiLevelType w:val="hybridMultilevel"/>
    <w:tmpl w:val="71E84D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6"/>
  </w:num>
  <w:num w:numId="2">
    <w:abstractNumId w:val="10"/>
  </w:num>
  <w:num w:numId="3">
    <w:abstractNumId w:val="4"/>
  </w:num>
  <w:num w:numId="4">
    <w:abstractNumId w:val="18"/>
  </w:num>
  <w:num w:numId="5">
    <w:abstractNumId w:val="1"/>
  </w:num>
  <w:num w:numId="6">
    <w:abstractNumId w:val="14"/>
  </w:num>
  <w:num w:numId="7">
    <w:abstractNumId w:val="8"/>
  </w:num>
  <w:num w:numId="8">
    <w:abstractNumId w:val="7"/>
  </w:num>
  <w:num w:numId="9">
    <w:abstractNumId w:val="2"/>
  </w:num>
  <w:num w:numId="10">
    <w:abstractNumId w:val="9"/>
  </w:num>
  <w:num w:numId="11">
    <w:abstractNumId w:val="20"/>
  </w:num>
  <w:num w:numId="12">
    <w:abstractNumId w:val="5"/>
  </w:num>
  <w:num w:numId="13">
    <w:abstractNumId w:val="17"/>
  </w:num>
  <w:num w:numId="14">
    <w:abstractNumId w:val="15"/>
  </w:num>
  <w:num w:numId="15">
    <w:abstractNumId w:val="13"/>
  </w:num>
  <w:num w:numId="16">
    <w:abstractNumId w:val="3"/>
  </w:num>
  <w:num w:numId="17">
    <w:abstractNumId w:val="19"/>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12"/>
  </w:num>
  <w:num w:numId="37">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20"/>
  <w:characterSpacingControl w:val="doNotCompress"/>
  <w:hdrShapeDefaults>
    <o:shapedefaults v:ext="edit" spidmax="1740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F36"/>
    <w:rsid w:val="00000021"/>
    <w:rsid w:val="00000052"/>
    <w:rsid w:val="00000714"/>
    <w:rsid w:val="000007AB"/>
    <w:rsid w:val="000007D6"/>
    <w:rsid w:val="00000A13"/>
    <w:rsid w:val="00000B83"/>
    <w:rsid w:val="0000160F"/>
    <w:rsid w:val="000018A4"/>
    <w:rsid w:val="000023D9"/>
    <w:rsid w:val="000024E2"/>
    <w:rsid w:val="00002633"/>
    <w:rsid w:val="000028DB"/>
    <w:rsid w:val="00003B74"/>
    <w:rsid w:val="00004030"/>
    <w:rsid w:val="00004A77"/>
    <w:rsid w:val="00004EF4"/>
    <w:rsid w:val="00005248"/>
    <w:rsid w:val="000056E9"/>
    <w:rsid w:val="00005DFB"/>
    <w:rsid w:val="00005F8B"/>
    <w:rsid w:val="000065AF"/>
    <w:rsid w:val="000068C2"/>
    <w:rsid w:val="00007C84"/>
    <w:rsid w:val="000102F8"/>
    <w:rsid w:val="00010598"/>
    <w:rsid w:val="0001091D"/>
    <w:rsid w:val="00010A83"/>
    <w:rsid w:val="00011657"/>
    <w:rsid w:val="00011EE4"/>
    <w:rsid w:val="0001225F"/>
    <w:rsid w:val="000124F6"/>
    <w:rsid w:val="000126A6"/>
    <w:rsid w:val="00012BCD"/>
    <w:rsid w:val="00013CDB"/>
    <w:rsid w:val="000141C0"/>
    <w:rsid w:val="000142F2"/>
    <w:rsid w:val="0001483B"/>
    <w:rsid w:val="00014A33"/>
    <w:rsid w:val="00014C87"/>
    <w:rsid w:val="00015A4B"/>
    <w:rsid w:val="000161B9"/>
    <w:rsid w:val="00016935"/>
    <w:rsid w:val="0001697C"/>
    <w:rsid w:val="000179CB"/>
    <w:rsid w:val="00017AA9"/>
    <w:rsid w:val="00017B85"/>
    <w:rsid w:val="000206DA"/>
    <w:rsid w:val="00021E95"/>
    <w:rsid w:val="00022223"/>
    <w:rsid w:val="00022CA7"/>
    <w:rsid w:val="000236D8"/>
    <w:rsid w:val="0002387B"/>
    <w:rsid w:val="00023A03"/>
    <w:rsid w:val="00023E94"/>
    <w:rsid w:val="00024122"/>
    <w:rsid w:val="00024758"/>
    <w:rsid w:val="00024B01"/>
    <w:rsid w:val="00024B16"/>
    <w:rsid w:val="00024C0F"/>
    <w:rsid w:val="00024C6D"/>
    <w:rsid w:val="00025157"/>
    <w:rsid w:val="00025288"/>
    <w:rsid w:val="0002537F"/>
    <w:rsid w:val="00025555"/>
    <w:rsid w:val="00025645"/>
    <w:rsid w:val="000257A4"/>
    <w:rsid w:val="000257D3"/>
    <w:rsid w:val="00025CA1"/>
    <w:rsid w:val="000260A7"/>
    <w:rsid w:val="000265B6"/>
    <w:rsid w:val="00026793"/>
    <w:rsid w:val="000268A4"/>
    <w:rsid w:val="00027B50"/>
    <w:rsid w:val="00027B63"/>
    <w:rsid w:val="0003081E"/>
    <w:rsid w:val="00030D3A"/>
    <w:rsid w:val="00030D8F"/>
    <w:rsid w:val="000313D3"/>
    <w:rsid w:val="00032200"/>
    <w:rsid w:val="00032D1F"/>
    <w:rsid w:val="000331BF"/>
    <w:rsid w:val="00033997"/>
    <w:rsid w:val="00034508"/>
    <w:rsid w:val="00034776"/>
    <w:rsid w:val="0003518A"/>
    <w:rsid w:val="000365C7"/>
    <w:rsid w:val="00036BC1"/>
    <w:rsid w:val="00037073"/>
    <w:rsid w:val="00037330"/>
    <w:rsid w:val="000373ED"/>
    <w:rsid w:val="00037500"/>
    <w:rsid w:val="00037501"/>
    <w:rsid w:val="0003762C"/>
    <w:rsid w:val="00037784"/>
    <w:rsid w:val="00037D6F"/>
    <w:rsid w:val="00037E39"/>
    <w:rsid w:val="00037F7C"/>
    <w:rsid w:val="00040384"/>
    <w:rsid w:val="000407AA"/>
    <w:rsid w:val="00042CFA"/>
    <w:rsid w:val="00043412"/>
    <w:rsid w:val="00043883"/>
    <w:rsid w:val="000440B1"/>
    <w:rsid w:val="0004416A"/>
    <w:rsid w:val="000442FD"/>
    <w:rsid w:val="000443D0"/>
    <w:rsid w:val="000445A8"/>
    <w:rsid w:val="0004467A"/>
    <w:rsid w:val="00044763"/>
    <w:rsid w:val="00044A81"/>
    <w:rsid w:val="00044C21"/>
    <w:rsid w:val="00044F7D"/>
    <w:rsid w:val="000452CA"/>
    <w:rsid w:val="000452D4"/>
    <w:rsid w:val="0004559B"/>
    <w:rsid w:val="000456B6"/>
    <w:rsid w:val="000456E2"/>
    <w:rsid w:val="00045AA7"/>
    <w:rsid w:val="00047635"/>
    <w:rsid w:val="00047796"/>
    <w:rsid w:val="000478BF"/>
    <w:rsid w:val="00047915"/>
    <w:rsid w:val="00047987"/>
    <w:rsid w:val="000501D2"/>
    <w:rsid w:val="00050790"/>
    <w:rsid w:val="00050AEC"/>
    <w:rsid w:val="00050C0E"/>
    <w:rsid w:val="00050DF1"/>
    <w:rsid w:val="00050F89"/>
    <w:rsid w:val="000511D5"/>
    <w:rsid w:val="00051380"/>
    <w:rsid w:val="00051696"/>
    <w:rsid w:val="00052AAE"/>
    <w:rsid w:val="00052EBD"/>
    <w:rsid w:val="000530C6"/>
    <w:rsid w:val="00053D80"/>
    <w:rsid w:val="00053D9F"/>
    <w:rsid w:val="00053DBE"/>
    <w:rsid w:val="000540FE"/>
    <w:rsid w:val="00054F9E"/>
    <w:rsid w:val="000550D8"/>
    <w:rsid w:val="00055326"/>
    <w:rsid w:val="00055A06"/>
    <w:rsid w:val="00055E6B"/>
    <w:rsid w:val="00055F48"/>
    <w:rsid w:val="0005660A"/>
    <w:rsid w:val="00056D08"/>
    <w:rsid w:val="00057758"/>
    <w:rsid w:val="00057994"/>
    <w:rsid w:val="00057CF1"/>
    <w:rsid w:val="00057EF2"/>
    <w:rsid w:val="00060043"/>
    <w:rsid w:val="000604D2"/>
    <w:rsid w:val="00060D0D"/>
    <w:rsid w:val="0006124A"/>
    <w:rsid w:val="00061A1D"/>
    <w:rsid w:val="000620CE"/>
    <w:rsid w:val="00062217"/>
    <w:rsid w:val="000626E7"/>
    <w:rsid w:val="000628CE"/>
    <w:rsid w:val="00062D97"/>
    <w:rsid w:val="00063267"/>
    <w:rsid w:val="00063AD8"/>
    <w:rsid w:val="00063AEA"/>
    <w:rsid w:val="00064B3D"/>
    <w:rsid w:val="00065823"/>
    <w:rsid w:val="0006590A"/>
    <w:rsid w:val="00065A24"/>
    <w:rsid w:val="00065B78"/>
    <w:rsid w:val="00065EF2"/>
    <w:rsid w:val="000662D7"/>
    <w:rsid w:val="00067335"/>
    <w:rsid w:val="00067CA2"/>
    <w:rsid w:val="00067E34"/>
    <w:rsid w:val="00070101"/>
    <w:rsid w:val="0007012A"/>
    <w:rsid w:val="00071687"/>
    <w:rsid w:val="00071F89"/>
    <w:rsid w:val="000720BE"/>
    <w:rsid w:val="000724A4"/>
    <w:rsid w:val="000727C7"/>
    <w:rsid w:val="0007294E"/>
    <w:rsid w:val="00072B39"/>
    <w:rsid w:val="00072B70"/>
    <w:rsid w:val="00072C36"/>
    <w:rsid w:val="00072C62"/>
    <w:rsid w:val="00073989"/>
    <w:rsid w:val="0007403C"/>
    <w:rsid w:val="0007420F"/>
    <w:rsid w:val="000744B3"/>
    <w:rsid w:val="00074AFE"/>
    <w:rsid w:val="000750FA"/>
    <w:rsid w:val="0007527F"/>
    <w:rsid w:val="000755AF"/>
    <w:rsid w:val="00075CFE"/>
    <w:rsid w:val="00075FEF"/>
    <w:rsid w:val="0007609B"/>
    <w:rsid w:val="0007617D"/>
    <w:rsid w:val="00076534"/>
    <w:rsid w:val="00076781"/>
    <w:rsid w:val="000767C7"/>
    <w:rsid w:val="0007698D"/>
    <w:rsid w:val="00076E78"/>
    <w:rsid w:val="00077232"/>
    <w:rsid w:val="00077398"/>
    <w:rsid w:val="00077796"/>
    <w:rsid w:val="000778CD"/>
    <w:rsid w:val="00077B93"/>
    <w:rsid w:val="00077D77"/>
    <w:rsid w:val="0008010F"/>
    <w:rsid w:val="00080643"/>
    <w:rsid w:val="0008074B"/>
    <w:rsid w:val="00080E06"/>
    <w:rsid w:val="00081E67"/>
    <w:rsid w:val="00081F29"/>
    <w:rsid w:val="000820FB"/>
    <w:rsid w:val="000821FA"/>
    <w:rsid w:val="00082569"/>
    <w:rsid w:val="00082C2D"/>
    <w:rsid w:val="00083751"/>
    <w:rsid w:val="0008391C"/>
    <w:rsid w:val="000839E3"/>
    <w:rsid w:val="00084117"/>
    <w:rsid w:val="00084775"/>
    <w:rsid w:val="000854B0"/>
    <w:rsid w:val="000858B4"/>
    <w:rsid w:val="00085F2F"/>
    <w:rsid w:val="00085F65"/>
    <w:rsid w:val="0008609A"/>
    <w:rsid w:val="00086172"/>
    <w:rsid w:val="000863F2"/>
    <w:rsid w:val="00086494"/>
    <w:rsid w:val="00086521"/>
    <w:rsid w:val="00086955"/>
    <w:rsid w:val="00086D4E"/>
    <w:rsid w:val="000873B8"/>
    <w:rsid w:val="000877BD"/>
    <w:rsid w:val="00087901"/>
    <w:rsid w:val="0009004D"/>
    <w:rsid w:val="0009054B"/>
    <w:rsid w:val="00090804"/>
    <w:rsid w:val="00090AAB"/>
    <w:rsid w:val="00090C84"/>
    <w:rsid w:val="000913F6"/>
    <w:rsid w:val="00091C55"/>
    <w:rsid w:val="00091C56"/>
    <w:rsid w:val="000923CE"/>
    <w:rsid w:val="0009260E"/>
    <w:rsid w:val="00093267"/>
    <w:rsid w:val="000936AB"/>
    <w:rsid w:val="00094F67"/>
    <w:rsid w:val="00094FD8"/>
    <w:rsid w:val="000951A4"/>
    <w:rsid w:val="000951FA"/>
    <w:rsid w:val="000966C2"/>
    <w:rsid w:val="00096917"/>
    <w:rsid w:val="00096C5D"/>
    <w:rsid w:val="00096D81"/>
    <w:rsid w:val="00097A0D"/>
    <w:rsid w:val="000A011C"/>
    <w:rsid w:val="000A03B2"/>
    <w:rsid w:val="000A088A"/>
    <w:rsid w:val="000A12D0"/>
    <w:rsid w:val="000A1D73"/>
    <w:rsid w:val="000A1FE0"/>
    <w:rsid w:val="000A2699"/>
    <w:rsid w:val="000A283E"/>
    <w:rsid w:val="000A2928"/>
    <w:rsid w:val="000A2C18"/>
    <w:rsid w:val="000A3810"/>
    <w:rsid w:val="000A4273"/>
    <w:rsid w:val="000A4645"/>
    <w:rsid w:val="000A46B2"/>
    <w:rsid w:val="000A4879"/>
    <w:rsid w:val="000A4BBE"/>
    <w:rsid w:val="000A4BCD"/>
    <w:rsid w:val="000A4C4F"/>
    <w:rsid w:val="000A5100"/>
    <w:rsid w:val="000A60D7"/>
    <w:rsid w:val="000A66A5"/>
    <w:rsid w:val="000A68F6"/>
    <w:rsid w:val="000A7FC5"/>
    <w:rsid w:val="000B0289"/>
    <w:rsid w:val="000B0423"/>
    <w:rsid w:val="000B055C"/>
    <w:rsid w:val="000B0CF6"/>
    <w:rsid w:val="000B101F"/>
    <w:rsid w:val="000B1175"/>
    <w:rsid w:val="000B1303"/>
    <w:rsid w:val="000B162F"/>
    <w:rsid w:val="000B186C"/>
    <w:rsid w:val="000B283B"/>
    <w:rsid w:val="000B2AAA"/>
    <w:rsid w:val="000B2BD7"/>
    <w:rsid w:val="000B3C6C"/>
    <w:rsid w:val="000B3D05"/>
    <w:rsid w:val="000B414B"/>
    <w:rsid w:val="000B44D8"/>
    <w:rsid w:val="000B4D1D"/>
    <w:rsid w:val="000B523C"/>
    <w:rsid w:val="000B54CD"/>
    <w:rsid w:val="000B56AE"/>
    <w:rsid w:val="000B5E0B"/>
    <w:rsid w:val="000B718A"/>
    <w:rsid w:val="000C027A"/>
    <w:rsid w:val="000C02B2"/>
    <w:rsid w:val="000C0372"/>
    <w:rsid w:val="000C0786"/>
    <w:rsid w:val="000C07AF"/>
    <w:rsid w:val="000C0AF9"/>
    <w:rsid w:val="000C0E72"/>
    <w:rsid w:val="000C1184"/>
    <w:rsid w:val="000C163E"/>
    <w:rsid w:val="000C21F9"/>
    <w:rsid w:val="000C2AA4"/>
    <w:rsid w:val="000C2EBA"/>
    <w:rsid w:val="000C38D2"/>
    <w:rsid w:val="000C3BAC"/>
    <w:rsid w:val="000C3C17"/>
    <w:rsid w:val="000C4755"/>
    <w:rsid w:val="000C569F"/>
    <w:rsid w:val="000C6123"/>
    <w:rsid w:val="000C6321"/>
    <w:rsid w:val="000C65B3"/>
    <w:rsid w:val="000C6832"/>
    <w:rsid w:val="000C6F12"/>
    <w:rsid w:val="000C7D93"/>
    <w:rsid w:val="000C7E0A"/>
    <w:rsid w:val="000D01E7"/>
    <w:rsid w:val="000D02C7"/>
    <w:rsid w:val="000D0CF3"/>
    <w:rsid w:val="000D1074"/>
    <w:rsid w:val="000D1244"/>
    <w:rsid w:val="000D27FF"/>
    <w:rsid w:val="000D28DB"/>
    <w:rsid w:val="000D2C19"/>
    <w:rsid w:val="000D2F27"/>
    <w:rsid w:val="000D2FBF"/>
    <w:rsid w:val="000D3237"/>
    <w:rsid w:val="000D32D5"/>
    <w:rsid w:val="000D38AD"/>
    <w:rsid w:val="000D3A12"/>
    <w:rsid w:val="000D3A15"/>
    <w:rsid w:val="000D41F9"/>
    <w:rsid w:val="000D4212"/>
    <w:rsid w:val="000D5503"/>
    <w:rsid w:val="000D5850"/>
    <w:rsid w:val="000D5A2C"/>
    <w:rsid w:val="000D6537"/>
    <w:rsid w:val="000D6AFA"/>
    <w:rsid w:val="000D71E5"/>
    <w:rsid w:val="000D77C5"/>
    <w:rsid w:val="000E0350"/>
    <w:rsid w:val="000E04A3"/>
    <w:rsid w:val="000E04F7"/>
    <w:rsid w:val="000E0E09"/>
    <w:rsid w:val="000E1134"/>
    <w:rsid w:val="000E1335"/>
    <w:rsid w:val="000E19ED"/>
    <w:rsid w:val="000E1EC8"/>
    <w:rsid w:val="000E1EDF"/>
    <w:rsid w:val="000E2891"/>
    <w:rsid w:val="000E29FB"/>
    <w:rsid w:val="000E323B"/>
    <w:rsid w:val="000E38BD"/>
    <w:rsid w:val="000E3B83"/>
    <w:rsid w:val="000E3D04"/>
    <w:rsid w:val="000E41C2"/>
    <w:rsid w:val="000E4548"/>
    <w:rsid w:val="000E458A"/>
    <w:rsid w:val="000E4DB0"/>
    <w:rsid w:val="000E4F41"/>
    <w:rsid w:val="000E59B2"/>
    <w:rsid w:val="000E5F34"/>
    <w:rsid w:val="000E638F"/>
    <w:rsid w:val="000E66C3"/>
    <w:rsid w:val="000E6894"/>
    <w:rsid w:val="000E7079"/>
    <w:rsid w:val="000E754D"/>
    <w:rsid w:val="000E7738"/>
    <w:rsid w:val="000F02B7"/>
    <w:rsid w:val="000F0359"/>
    <w:rsid w:val="000F0573"/>
    <w:rsid w:val="000F09FC"/>
    <w:rsid w:val="000F13C6"/>
    <w:rsid w:val="000F21DD"/>
    <w:rsid w:val="000F21F6"/>
    <w:rsid w:val="000F2818"/>
    <w:rsid w:val="000F2840"/>
    <w:rsid w:val="000F2DE8"/>
    <w:rsid w:val="000F3185"/>
    <w:rsid w:val="000F36AC"/>
    <w:rsid w:val="000F42AD"/>
    <w:rsid w:val="000F49E8"/>
    <w:rsid w:val="000F53CE"/>
    <w:rsid w:val="000F6138"/>
    <w:rsid w:val="000F64C0"/>
    <w:rsid w:val="000F6F19"/>
    <w:rsid w:val="000F7115"/>
    <w:rsid w:val="000F7E25"/>
    <w:rsid w:val="000F7E95"/>
    <w:rsid w:val="00100BB3"/>
    <w:rsid w:val="00100BB6"/>
    <w:rsid w:val="00101561"/>
    <w:rsid w:val="001017C6"/>
    <w:rsid w:val="001023C6"/>
    <w:rsid w:val="00102609"/>
    <w:rsid w:val="00102A36"/>
    <w:rsid w:val="00103120"/>
    <w:rsid w:val="00103401"/>
    <w:rsid w:val="00103609"/>
    <w:rsid w:val="00103B9B"/>
    <w:rsid w:val="00103E94"/>
    <w:rsid w:val="00104ABE"/>
    <w:rsid w:val="0010552F"/>
    <w:rsid w:val="00105885"/>
    <w:rsid w:val="00105F2E"/>
    <w:rsid w:val="00107702"/>
    <w:rsid w:val="00107842"/>
    <w:rsid w:val="00107978"/>
    <w:rsid w:val="00110025"/>
    <w:rsid w:val="00110BBB"/>
    <w:rsid w:val="001111B8"/>
    <w:rsid w:val="0011279F"/>
    <w:rsid w:val="001127EC"/>
    <w:rsid w:val="00113411"/>
    <w:rsid w:val="001145C6"/>
    <w:rsid w:val="00114720"/>
    <w:rsid w:val="00114BB7"/>
    <w:rsid w:val="00114E0C"/>
    <w:rsid w:val="0011511D"/>
    <w:rsid w:val="00115500"/>
    <w:rsid w:val="00116341"/>
    <w:rsid w:val="00116703"/>
    <w:rsid w:val="00116BB1"/>
    <w:rsid w:val="00116D01"/>
    <w:rsid w:val="001174A4"/>
    <w:rsid w:val="00117508"/>
    <w:rsid w:val="0011785E"/>
    <w:rsid w:val="00117ADD"/>
    <w:rsid w:val="00117C45"/>
    <w:rsid w:val="00117E5E"/>
    <w:rsid w:val="00117EC9"/>
    <w:rsid w:val="00120140"/>
    <w:rsid w:val="0012027A"/>
    <w:rsid w:val="00120F6D"/>
    <w:rsid w:val="0012124D"/>
    <w:rsid w:val="00121302"/>
    <w:rsid w:val="00121383"/>
    <w:rsid w:val="00121A22"/>
    <w:rsid w:val="00121D84"/>
    <w:rsid w:val="0012200D"/>
    <w:rsid w:val="00122F68"/>
    <w:rsid w:val="00123777"/>
    <w:rsid w:val="00123D62"/>
    <w:rsid w:val="001243D9"/>
    <w:rsid w:val="001248CE"/>
    <w:rsid w:val="00124902"/>
    <w:rsid w:val="00124963"/>
    <w:rsid w:val="001249DE"/>
    <w:rsid w:val="00124B4F"/>
    <w:rsid w:val="00125514"/>
    <w:rsid w:val="00125639"/>
    <w:rsid w:val="00125AAE"/>
    <w:rsid w:val="00125B00"/>
    <w:rsid w:val="00126002"/>
    <w:rsid w:val="00126FC8"/>
    <w:rsid w:val="00127075"/>
    <w:rsid w:val="001272CF"/>
    <w:rsid w:val="0012767C"/>
    <w:rsid w:val="00127785"/>
    <w:rsid w:val="00131127"/>
    <w:rsid w:val="00131186"/>
    <w:rsid w:val="001312CF"/>
    <w:rsid w:val="00131B7E"/>
    <w:rsid w:val="00131EAC"/>
    <w:rsid w:val="00131EFA"/>
    <w:rsid w:val="00132BA5"/>
    <w:rsid w:val="00132E8B"/>
    <w:rsid w:val="001333D8"/>
    <w:rsid w:val="00133880"/>
    <w:rsid w:val="001338D9"/>
    <w:rsid w:val="001345BD"/>
    <w:rsid w:val="00134AB4"/>
    <w:rsid w:val="00134D57"/>
    <w:rsid w:val="00134EA3"/>
    <w:rsid w:val="00135412"/>
    <w:rsid w:val="00135522"/>
    <w:rsid w:val="00135851"/>
    <w:rsid w:val="001358FA"/>
    <w:rsid w:val="0013591D"/>
    <w:rsid w:val="0013598F"/>
    <w:rsid w:val="00135E66"/>
    <w:rsid w:val="00135EAA"/>
    <w:rsid w:val="0013621F"/>
    <w:rsid w:val="00136D91"/>
    <w:rsid w:val="00136DDB"/>
    <w:rsid w:val="00137367"/>
    <w:rsid w:val="0013777E"/>
    <w:rsid w:val="00137D6A"/>
    <w:rsid w:val="00140781"/>
    <w:rsid w:val="00140ACE"/>
    <w:rsid w:val="00141394"/>
    <w:rsid w:val="00141418"/>
    <w:rsid w:val="00141B7A"/>
    <w:rsid w:val="00142107"/>
    <w:rsid w:val="001429EB"/>
    <w:rsid w:val="0014366E"/>
    <w:rsid w:val="00143979"/>
    <w:rsid w:val="00143F09"/>
    <w:rsid w:val="00144083"/>
    <w:rsid w:val="001460CB"/>
    <w:rsid w:val="001465C6"/>
    <w:rsid w:val="001468A7"/>
    <w:rsid w:val="001468AA"/>
    <w:rsid w:val="001468BB"/>
    <w:rsid w:val="00147285"/>
    <w:rsid w:val="00147792"/>
    <w:rsid w:val="0015009D"/>
    <w:rsid w:val="001502FE"/>
    <w:rsid w:val="00150F18"/>
    <w:rsid w:val="00151008"/>
    <w:rsid w:val="0015155F"/>
    <w:rsid w:val="0015168D"/>
    <w:rsid w:val="00151CE4"/>
    <w:rsid w:val="00151EC8"/>
    <w:rsid w:val="00152279"/>
    <w:rsid w:val="00152B4E"/>
    <w:rsid w:val="00152F28"/>
    <w:rsid w:val="001532D6"/>
    <w:rsid w:val="00153D30"/>
    <w:rsid w:val="00153F72"/>
    <w:rsid w:val="0015448E"/>
    <w:rsid w:val="00154541"/>
    <w:rsid w:val="00154A1F"/>
    <w:rsid w:val="00154EDD"/>
    <w:rsid w:val="0015501A"/>
    <w:rsid w:val="001551A7"/>
    <w:rsid w:val="0015557E"/>
    <w:rsid w:val="00155ACD"/>
    <w:rsid w:val="00155B11"/>
    <w:rsid w:val="00155CDC"/>
    <w:rsid w:val="001560B9"/>
    <w:rsid w:val="001570D4"/>
    <w:rsid w:val="0015743C"/>
    <w:rsid w:val="00157D22"/>
    <w:rsid w:val="00157D98"/>
    <w:rsid w:val="00157FF1"/>
    <w:rsid w:val="00160099"/>
    <w:rsid w:val="001604E7"/>
    <w:rsid w:val="00160507"/>
    <w:rsid w:val="0016204F"/>
    <w:rsid w:val="00162DF4"/>
    <w:rsid w:val="00163104"/>
    <w:rsid w:val="00163A83"/>
    <w:rsid w:val="00163F36"/>
    <w:rsid w:val="0016441C"/>
    <w:rsid w:val="001644E1"/>
    <w:rsid w:val="00164B78"/>
    <w:rsid w:val="00164D23"/>
    <w:rsid w:val="00164F1A"/>
    <w:rsid w:val="00165804"/>
    <w:rsid w:val="00165AC3"/>
    <w:rsid w:val="00166345"/>
    <w:rsid w:val="001663B5"/>
    <w:rsid w:val="00166B5E"/>
    <w:rsid w:val="00166BAF"/>
    <w:rsid w:val="00166EEC"/>
    <w:rsid w:val="00167543"/>
    <w:rsid w:val="0017005C"/>
    <w:rsid w:val="00170F1A"/>
    <w:rsid w:val="00171889"/>
    <w:rsid w:val="00171D9F"/>
    <w:rsid w:val="001722C1"/>
    <w:rsid w:val="00172586"/>
    <w:rsid w:val="0017392F"/>
    <w:rsid w:val="0017397E"/>
    <w:rsid w:val="001741B7"/>
    <w:rsid w:val="00174BAD"/>
    <w:rsid w:val="00175310"/>
    <w:rsid w:val="001754CB"/>
    <w:rsid w:val="001755C1"/>
    <w:rsid w:val="00175990"/>
    <w:rsid w:val="001767FE"/>
    <w:rsid w:val="00176F65"/>
    <w:rsid w:val="00177140"/>
    <w:rsid w:val="00177ADC"/>
    <w:rsid w:val="00180537"/>
    <w:rsid w:val="001806F7"/>
    <w:rsid w:val="001808F3"/>
    <w:rsid w:val="00180A4C"/>
    <w:rsid w:val="00181795"/>
    <w:rsid w:val="00181B4D"/>
    <w:rsid w:val="00181C6A"/>
    <w:rsid w:val="00181C9A"/>
    <w:rsid w:val="00181F77"/>
    <w:rsid w:val="001823A9"/>
    <w:rsid w:val="001824C6"/>
    <w:rsid w:val="001825FA"/>
    <w:rsid w:val="00182931"/>
    <w:rsid w:val="00182A39"/>
    <w:rsid w:val="00182C5E"/>
    <w:rsid w:val="00183689"/>
    <w:rsid w:val="00184A0C"/>
    <w:rsid w:val="001856C6"/>
    <w:rsid w:val="00185758"/>
    <w:rsid w:val="0018647D"/>
    <w:rsid w:val="0018751B"/>
    <w:rsid w:val="00187945"/>
    <w:rsid w:val="001879D3"/>
    <w:rsid w:val="0019015C"/>
    <w:rsid w:val="00190731"/>
    <w:rsid w:val="001907A7"/>
    <w:rsid w:val="00190B62"/>
    <w:rsid w:val="0019133C"/>
    <w:rsid w:val="00191615"/>
    <w:rsid w:val="00191857"/>
    <w:rsid w:val="00191C92"/>
    <w:rsid w:val="00191D0F"/>
    <w:rsid w:val="00191EBB"/>
    <w:rsid w:val="00192ED1"/>
    <w:rsid w:val="0019322A"/>
    <w:rsid w:val="00193D07"/>
    <w:rsid w:val="00194043"/>
    <w:rsid w:val="00194818"/>
    <w:rsid w:val="00194B02"/>
    <w:rsid w:val="00194FDF"/>
    <w:rsid w:val="001955EE"/>
    <w:rsid w:val="00195B29"/>
    <w:rsid w:val="00195CE9"/>
    <w:rsid w:val="00195E9D"/>
    <w:rsid w:val="00196483"/>
    <w:rsid w:val="001968AD"/>
    <w:rsid w:val="0019748C"/>
    <w:rsid w:val="00197C34"/>
    <w:rsid w:val="00197D75"/>
    <w:rsid w:val="00197E3B"/>
    <w:rsid w:val="00197EA9"/>
    <w:rsid w:val="001A0DD0"/>
    <w:rsid w:val="001A18A1"/>
    <w:rsid w:val="001A1D99"/>
    <w:rsid w:val="001A240F"/>
    <w:rsid w:val="001A2981"/>
    <w:rsid w:val="001A333C"/>
    <w:rsid w:val="001A33B8"/>
    <w:rsid w:val="001A33B9"/>
    <w:rsid w:val="001A3BA9"/>
    <w:rsid w:val="001A3C9B"/>
    <w:rsid w:val="001A4903"/>
    <w:rsid w:val="001A4A50"/>
    <w:rsid w:val="001A51F0"/>
    <w:rsid w:val="001A54D7"/>
    <w:rsid w:val="001A569E"/>
    <w:rsid w:val="001A5830"/>
    <w:rsid w:val="001A5A7E"/>
    <w:rsid w:val="001A5BBA"/>
    <w:rsid w:val="001A5E31"/>
    <w:rsid w:val="001A61A9"/>
    <w:rsid w:val="001A6563"/>
    <w:rsid w:val="001A6647"/>
    <w:rsid w:val="001A6C32"/>
    <w:rsid w:val="001A6C3F"/>
    <w:rsid w:val="001A6D0B"/>
    <w:rsid w:val="001A6DE0"/>
    <w:rsid w:val="001A713D"/>
    <w:rsid w:val="001A7774"/>
    <w:rsid w:val="001A7A0C"/>
    <w:rsid w:val="001B0319"/>
    <w:rsid w:val="001B03FF"/>
    <w:rsid w:val="001B0A3A"/>
    <w:rsid w:val="001B0EB1"/>
    <w:rsid w:val="001B1004"/>
    <w:rsid w:val="001B1896"/>
    <w:rsid w:val="001B225E"/>
    <w:rsid w:val="001B2985"/>
    <w:rsid w:val="001B29E1"/>
    <w:rsid w:val="001B2D2A"/>
    <w:rsid w:val="001B3CF4"/>
    <w:rsid w:val="001B413A"/>
    <w:rsid w:val="001B441B"/>
    <w:rsid w:val="001B4856"/>
    <w:rsid w:val="001B4A2E"/>
    <w:rsid w:val="001B4EF3"/>
    <w:rsid w:val="001B5153"/>
    <w:rsid w:val="001B5227"/>
    <w:rsid w:val="001B585A"/>
    <w:rsid w:val="001B595A"/>
    <w:rsid w:val="001B5BAE"/>
    <w:rsid w:val="001B6703"/>
    <w:rsid w:val="001B6E89"/>
    <w:rsid w:val="001B7C65"/>
    <w:rsid w:val="001C0179"/>
    <w:rsid w:val="001C18F2"/>
    <w:rsid w:val="001C2407"/>
    <w:rsid w:val="001C24F3"/>
    <w:rsid w:val="001C29E3"/>
    <w:rsid w:val="001C355F"/>
    <w:rsid w:val="001C401B"/>
    <w:rsid w:val="001C410A"/>
    <w:rsid w:val="001C4406"/>
    <w:rsid w:val="001C49DF"/>
    <w:rsid w:val="001C5118"/>
    <w:rsid w:val="001C5C19"/>
    <w:rsid w:val="001C669D"/>
    <w:rsid w:val="001C687B"/>
    <w:rsid w:val="001C7F48"/>
    <w:rsid w:val="001D0945"/>
    <w:rsid w:val="001D1D32"/>
    <w:rsid w:val="001D1FDC"/>
    <w:rsid w:val="001D2307"/>
    <w:rsid w:val="001D26C4"/>
    <w:rsid w:val="001D2A63"/>
    <w:rsid w:val="001D32A2"/>
    <w:rsid w:val="001D3C02"/>
    <w:rsid w:val="001D3FD7"/>
    <w:rsid w:val="001D42AD"/>
    <w:rsid w:val="001D4B6B"/>
    <w:rsid w:val="001D5111"/>
    <w:rsid w:val="001D5E43"/>
    <w:rsid w:val="001D6313"/>
    <w:rsid w:val="001D6842"/>
    <w:rsid w:val="001D7350"/>
    <w:rsid w:val="001D739A"/>
    <w:rsid w:val="001D7453"/>
    <w:rsid w:val="001D7505"/>
    <w:rsid w:val="001D7824"/>
    <w:rsid w:val="001E06CA"/>
    <w:rsid w:val="001E0719"/>
    <w:rsid w:val="001E0871"/>
    <w:rsid w:val="001E0AB7"/>
    <w:rsid w:val="001E0AF7"/>
    <w:rsid w:val="001E0EF5"/>
    <w:rsid w:val="001E0FD0"/>
    <w:rsid w:val="001E1126"/>
    <w:rsid w:val="001E1F78"/>
    <w:rsid w:val="001E22BC"/>
    <w:rsid w:val="001E2A8F"/>
    <w:rsid w:val="001E32B4"/>
    <w:rsid w:val="001E3568"/>
    <w:rsid w:val="001E3CAF"/>
    <w:rsid w:val="001E3D6A"/>
    <w:rsid w:val="001E3FBD"/>
    <w:rsid w:val="001E4323"/>
    <w:rsid w:val="001E4408"/>
    <w:rsid w:val="001E452D"/>
    <w:rsid w:val="001E4FA6"/>
    <w:rsid w:val="001E5570"/>
    <w:rsid w:val="001E5B3C"/>
    <w:rsid w:val="001E698E"/>
    <w:rsid w:val="001E6C3F"/>
    <w:rsid w:val="001E6E57"/>
    <w:rsid w:val="001E6F52"/>
    <w:rsid w:val="001E766F"/>
    <w:rsid w:val="001E7C02"/>
    <w:rsid w:val="001F00E0"/>
    <w:rsid w:val="001F0197"/>
    <w:rsid w:val="001F04DD"/>
    <w:rsid w:val="001F0534"/>
    <w:rsid w:val="001F0620"/>
    <w:rsid w:val="001F0739"/>
    <w:rsid w:val="001F0F96"/>
    <w:rsid w:val="001F1417"/>
    <w:rsid w:val="001F1956"/>
    <w:rsid w:val="001F1F12"/>
    <w:rsid w:val="001F1F7D"/>
    <w:rsid w:val="001F2008"/>
    <w:rsid w:val="001F2763"/>
    <w:rsid w:val="001F27AE"/>
    <w:rsid w:val="001F294F"/>
    <w:rsid w:val="001F29A4"/>
    <w:rsid w:val="001F2B76"/>
    <w:rsid w:val="001F2E99"/>
    <w:rsid w:val="001F3115"/>
    <w:rsid w:val="001F34E2"/>
    <w:rsid w:val="001F358C"/>
    <w:rsid w:val="001F4095"/>
    <w:rsid w:val="001F4344"/>
    <w:rsid w:val="001F4C0C"/>
    <w:rsid w:val="001F501A"/>
    <w:rsid w:val="001F504C"/>
    <w:rsid w:val="001F532C"/>
    <w:rsid w:val="001F56BC"/>
    <w:rsid w:val="001F5957"/>
    <w:rsid w:val="001F59F0"/>
    <w:rsid w:val="001F66B9"/>
    <w:rsid w:val="001F6C1B"/>
    <w:rsid w:val="001F6D4D"/>
    <w:rsid w:val="001F6E1F"/>
    <w:rsid w:val="001F7A01"/>
    <w:rsid w:val="001F7D4D"/>
    <w:rsid w:val="001F7F51"/>
    <w:rsid w:val="002000F6"/>
    <w:rsid w:val="002004C1"/>
    <w:rsid w:val="00200807"/>
    <w:rsid w:val="00200D2B"/>
    <w:rsid w:val="0020104D"/>
    <w:rsid w:val="00201522"/>
    <w:rsid w:val="002015BC"/>
    <w:rsid w:val="002017B7"/>
    <w:rsid w:val="00201E0A"/>
    <w:rsid w:val="002025A0"/>
    <w:rsid w:val="0020278D"/>
    <w:rsid w:val="00202C34"/>
    <w:rsid w:val="00202E12"/>
    <w:rsid w:val="00203DA0"/>
    <w:rsid w:val="0020484C"/>
    <w:rsid w:val="00204943"/>
    <w:rsid w:val="00205006"/>
    <w:rsid w:val="00205109"/>
    <w:rsid w:val="0020592F"/>
    <w:rsid w:val="00205B40"/>
    <w:rsid w:val="00205F94"/>
    <w:rsid w:val="002062E7"/>
    <w:rsid w:val="002063CB"/>
    <w:rsid w:val="0020648D"/>
    <w:rsid w:val="00206E62"/>
    <w:rsid w:val="0020705E"/>
    <w:rsid w:val="00207728"/>
    <w:rsid w:val="00207EA4"/>
    <w:rsid w:val="00210C7A"/>
    <w:rsid w:val="002111C8"/>
    <w:rsid w:val="00211223"/>
    <w:rsid w:val="002115A9"/>
    <w:rsid w:val="00211B7D"/>
    <w:rsid w:val="00211F6B"/>
    <w:rsid w:val="002129DC"/>
    <w:rsid w:val="00212BF3"/>
    <w:rsid w:val="00212C63"/>
    <w:rsid w:val="00212FEC"/>
    <w:rsid w:val="00213050"/>
    <w:rsid w:val="00213635"/>
    <w:rsid w:val="00213AEC"/>
    <w:rsid w:val="00213DE4"/>
    <w:rsid w:val="00213E96"/>
    <w:rsid w:val="00213F70"/>
    <w:rsid w:val="002142B3"/>
    <w:rsid w:val="002142F3"/>
    <w:rsid w:val="00214C0C"/>
    <w:rsid w:val="0021542A"/>
    <w:rsid w:val="00215AEA"/>
    <w:rsid w:val="0021660A"/>
    <w:rsid w:val="00216A5D"/>
    <w:rsid w:val="002170B4"/>
    <w:rsid w:val="00217A70"/>
    <w:rsid w:val="00217A7C"/>
    <w:rsid w:val="00217BA2"/>
    <w:rsid w:val="002202D7"/>
    <w:rsid w:val="002202E8"/>
    <w:rsid w:val="0022037F"/>
    <w:rsid w:val="0022154F"/>
    <w:rsid w:val="00221598"/>
    <w:rsid w:val="00221CBB"/>
    <w:rsid w:val="00221E9F"/>
    <w:rsid w:val="00221F9F"/>
    <w:rsid w:val="0022353B"/>
    <w:rsid w:val="00223677"/>
    <w:rsid w:val="00223909"/>
    <w:rsid w:val="00223CD7"/>
    <w:rsid w:val="0022423D"/>
    <w:rsid w:val="00224C37"/>
    <w:rsid w:val="00225CB6"/>
    <w:rsid w:val="00225E1B"/>
    <w:rsid w:val="00226230"/>
    <w:rsid w:val="002262D6"/>
    <w:rsid w:val="002268E8"/>
    <w:rsid w:val="00226ACB"/>
    <w:rsid w:val="002273DF"/>
    <w:rsid w:val="002275A4"/>
    <w:rsid w:val="002277EB"/>
    <w:rsid w:val="00227DD8"/>
    <w:rsid w:val="00227DE5"/>
    <w:rsid w:val="00227F8F"/>
    <w:rsid w:val="00230722"/>
    <w:rsid w:val="00230934"/>
    <w:rsid w:val="00230CE6"/>
    <w:rsid w:val="00230DDA"/>
    <w:rsid w:val="00231456"/>
    <w:rsid w:val="00231988"/>
    <w:rsid w:val="00231DD3"/>
    <w:rsid w:val="002322EA"/>
    <w:rsid w:val="002326B1"/>
    <w:rsid w:val="00232CDD"/>
    <w:rsid w:val="00232DFC"/>
    <w:rsid w:val="00233235"/>
    <w:rsid w:val="002333AF"/>
    <w:rsid w:val="00233505"/>
    <w:rsid w:val="002337BA"/>
    <w:rsid w:val="0023393A"/>
    <w:rsid w:val="00233B54"/>
    <w:rsid w:val="00233C09"/>
    <w:rsid w:val="00234897"/>
    <w:rsid w:val="00234C72"/>
    <w:rsid w:val="00234ED1"/>
    <w:rsid w:val="0023519E"/>
    <w:rsid w:val="00235506"/>
    <w:rsid w:val="00235520"/>
    <w:rsid w:val="00235C57"/>
    <w:rsid w:val="00235C75"/>
    <w:rsid w:val="00235D30"/>
    <w:rsid w:val="00235F63"/>
    <w:rsid w:val="00236368"/>
    <w:rsid w:val="0023650B"/>
    <w:rsid w:val="00236EC7"/>
    <w:rsid w:val="00237592"/>
    <w:rsid w:val="002378F3"/>
    <w:rsid w:val="0023796E"/>
    <w:rsid w:val="00237C39"/>
    <w:rsid w:val="00240092"/>
    <w:rsid w:val="002400EE"/>
    <w:rsid w:val="00240555"/>
    <w:rsid w:val="002409FC"/>
    <w:rsid w:val="00240B12"/>
    <w:rsid w:val="00240D8A"/>
    <w:rsid w:val="00240DD1"/>
    <w:rsid w:val="002410AC"/>
    <w:rsid w:val="00241766"/>
    <w:rsid w:val="002423D7"/>
    <w:rsid w:val="002432F0"/>
    <w:rsid w:val="00243424"/>
    <w:rsid w:val="00243B9C"/>
    <w:rsid w:val="00244225"/>
    <w:rsid w:val="002446D6"/>
    <w:rsid w:val="00244B81"/>
    <w:rsid w:val="00244CBA"/>
    <w:rsid w:val="0024526D"/>
    <w:rsid w:val="002452CC"/>
    <w:rsid w:val="002454AF"/>
    <w:rsid w:val="002459F8"/>
    <w:rsid w:val="00245C70"/>
    <w:rsid w:val="00245EB7"/>
    <w:rsid w:val="00245EEE"/>
    <w:rsid w:val="002461A9"/>
    <w:rsid w:val="00246967"/>
    <w:rsid w:val="00246E41"/>
    <w:rsid w:val="0025024F"/>
    <w:rsid w:val="002507AA"/>
    <w:rsid w:val="00251AD5"/>
    <w:rsid w:val="00253330"/>
    <w:rsid w:val="002533A1"/>
    <w:rsid w:val="00253EAA"/>
    <w:rsid w:val="00254815"/>
    <w:rsid w:val="00254E60"/>
    <w:rsid w:val="002558C3"/>
    <w:rsid w:val="00255C88"/>
    <w:rsid w:val="00256021"/>
    <w:rsid w:val="0025670D"/>
    <w:rsid w:val="00256899"/>
    <w:rsid w:val="00256A02"/>
    <w:rsid w:val="00257999"/>
    <w:rsid w:val="00257D91"/>
    <w:rsid w:val="00257F2D"/>
    <w:rsid w:val="0026048C"/>
    <w:rsid w:val="002604B7"/>
    <w:rsid w:val="002605C2"/>
    <w:rsid w:val="00260A31"/>
    <w:rsid w:val="00260A96"/>
    <w:rsid w:val="00261146"/>
    <w:rsid w:val="002612C4"/>
    <w:rsid w:val="002614F5"/>
    <w:rsid w:val="00261944"/>
    <w:rsid w:val="00261AB2"/>
    <w:rsid w:val="00261CD8"/>
    <w:rsid w:val="00263079"/>
    <w:rsid w:val="00263104"/>
    <w:rsid w:val="0026403B"/>
    <w:rsid w:val="00264300"/>
    <w:rsid w:val="002643CC"/>
    <w:rsid w:val="0026472F"/>
    <w:rsid w:val="002648B6"/>
    <w:rsid w:val="00265B70"/>
    <w:rsid w:val="00265D49"/>
    <w:rsid w:val="00265DB4"/>
    <w:rsid w:val="00266051"/>
    <w:rsid w:val="0026699D"/>
    <w:rsid w:val="00266D28"/>
    <w:rsid w:val="00267692"/>
    <w:rsid w:val="0027024D"/>
    <w:rsid w:val="00270312"/>
    <w:rsid w:val="0027057D"/>
    <w:rsid w:val="002707AB"/>
    <w:rsid w:val="002713E7"/>
    <w:rsid w:val="002716C2"/>
    <w:rsid w:val="00271961"/>
    <w:rsid w:val="0027198C"/>
    <w:rsid w:val="002719F5"/>
    <w:rsid w:val="00271A57"/>
    <w:rsid w:val="00271D31"/>
    <w:rsid w:val="00271FFA"/>
    <w:rsid w:val="00272354"/>
    <w:rsid w:val="002725B4"/>
    <w:rsid w:val="00272910"/>
    <w:rsid w:val="00272EB8"/>
    <w:rsid w:val="002735ED"/>
    <w:rsid w:val="00273A31"/>
    <w:rsid w:val="00273B60"/>
    <w:rsid w:val="00273D18"/>
    <w:rsid w:val="00273F62"/>
    <w:rsid w:val="00274AB7"/>
    <w:rsid w:val="00274C10"/>
    <w:rsid w:val="00274CE6"/>
    <w:rsid w:val="00274EA6"/>
    <w:rsid w:val="00275154"/>
    <w:rsid w:val="00275498"/>
    <w:rsid w:val="0027555F"/>
    <w:rsid w:val="002757D7"/>
    <w:rsid w:val="00275B43"/>
    <w:rsid w:val="00275D4A"/>
    <w:rsid w:val="002765BA"/>
    <w:rsid w:val="00276895"/>
    <w:rsid w:val="00276DBD"/>
    <w:rsid w:val="00277312"/>
    <w:rsid w:val="00277411"/>
    <w:rsid w:val="0027759B"/>
    <w:rsid w:val="00277EF1"/>
    <w:rsid w:val="00277F00"/>
    <w:rsid w:val="0028001C"/>
    <w:rsid w:val="002800C0"/>
    <w:rsid w:val="0028021B"/>
    <w:rsid w:val="002802B2"/>
    <w:rsid w:val="002803BC"/>
    <w:rsid w:val="00280593"/>
    <w:rsid w:val="00280A6F"/>
    <w:rsid w:val="00280CF3"/>
    <w:rsid w:val="00283325"/>
    <w:rsid w:val="002834CB"/>
    <w:rsid w:val="00283C6A"/>
    <w:rsid w:val="0028427C"/>
    <w:rsid w:val="0028446F"/>
    <w:rsid w:val="002849DC"/>
    <w:rsid w:val="002857A5"/>
    <w:rsid w:val="00285965"/>
    <w:rsid w:val="00285A93"/>
    <w:rsid w:val="00285CF3"/>
    <w:rsid w:val="002863FF"/>
    <w:rsid w:val="0028662E"/>
    <w:rsid w:val="00286A5A"/>
    <w:rsid w:val="0028733E"/>
    <w:rsid w:val="002876F6"/>
    <w:rsid w:val="00287C26"/>
    <w:rsid w:val="00287DE9"/>
    <w:rsid w:val="002906C4"/>
    <w:rsid w:val="0029102E"/>
    <w:rsid w:val="00291C0A"/>
    <w:rsid w:val="00291D32"/>
    <w:rsid w:val="00291F71"/>
    <w:rsid w:val="00292220"/>
    <w:rsid w:val="00292733"/>
    <w:rsid w:val="002931BB"/>
    <w:rsid w:val="0029331B"/>
    <w:rsid w:val="00293795"/>
    <w:rsid w:val="002937FE"/>
    <w:rsid w:val="00294057"/>
    <w:rsid w:val="00294280"/>
    <w:rsid w:val="002946E3"/>
    <w:rsid w:val="00294B4A"/>
    <w:rsid w:val="00294C87"/>
    <w:rsid w:val="00294F75"/>
    <w:rsid w:val="0029508D"/>
    <w:rsid w:val="00295247"/>
    <w:rsid w:val="00295398"/>
    <w:rsid w:val="002958D1"/>
    <w:rsid w:val="00295C1D"/>
    <w:rsid w:val="00295DA9"/>
    <w:rsid w:val="00296800"/>
    <w:rsid w:val="00296AA8"/>
    <w:rsid w:val="002975D8"/>
    <w:rsid w:val="00297ACE"/>
    <w:rsid w:val="00297B56"/>
    <w:rsid w:val="00297D97"/>
    <w:rsid w:val="00297DAB"/>
    <w:rsid w:val="002A157E"/>
    <w:rsid w:val="002A1F5C"/>
    <w:rsid w:val="002A2223"/>
    <w:rsid w:val="002A2521"/>
    <w:rsid w:val="002A26FE"/>
    <w:rsid w:val="002A2A5B"/>
    <w:rsid w:val="002A39AE"/>
    <w:rsid w:val="002A4E56"/>
    <w:rsid w:val="002A5497"/>
    <w:rsid w:val="002A5526"/>
    <w:rsid w:val="002A55EA"/>
    <w:rsid w:val="002A5FC9"/>
    <w:rsid w:val="002A60C7"/>
    <w:rsid w:val="002A6122"/>
    <w:rsid w:val="002A61B2"/>
    <w:rsid w:val="002A62D8"/>
    <w:rsid w:val="002A6BFB"/>
    <w:rsid w:val="002A6DB1"/>
    <w:rsid w:val="002A723C"/>
    <w:rsid w:val="002A73E6"/>
    <w:rsid w:val="002A7C9A"/>
    <w:rsid w:val="002A7F50"/>
    <w:rsid w:val="002B0AF1"/>
    <w:rsid w:val="002B0D33"/>
    <w:rsid w:val="002B1337"/>
    <w:rsid w:val="002B1510"/>
    <w:rsid w:val="002B1541"/>
    <w:rsid w:val="002B1E11"/>
    <w:rsid w:val="002B1F2B"/>
    <w:rsid w:val="002B2054"/>
    <w:rsid w:val="002B33A7"/>
    <w:rsid w:val="002B3E96"/>
    <w:rsid w:val="002B3FBB"/>
    <w:rsid w:val="002B5DAF"/>
    <w:rsid w:val="002B6065"/>
    <w:rsid w:val="002B65E5"/>
    <w:rsid w:val="002B780C"/>
    <w:rsid w:val="002C0434"/>
    <w:rsid w:val="002C09F5"/>
    <w:rsid w:val="002C15D4"/>
    <w:rsid w:val="002C1883"/>
    <w:rsid w:val="002C1F7F"/>
    <w:rsid w:val="002C2190"/>
    <w:rsid w:val="002C2307"/>
    <w:rsid w:val="002C293A"/>
    <w:rsid w:val="002C2951"/>
    <w:rsid w:val="002C2E4D"/>
    <w:rsid w:val="002C3883"/>
    <w:rsid w:val="002C40BA"/>
    <w:rsid w:val="002C487D"/>
    <w:rsid w:val="002C4D61"/>
    <w:rsid w:val="002C4D7F"/>
    <w:rsid w:val="002C5838"/>
    <w:rsid w:val="002C5F77"/>
    <w:rsid w:val="002C6396"/>
    <w:rsid w:val="002C65CC"/>
    <w:rsid w:val="002C683A"/>
    <w:rsid w:val="002C69A8"/>
    <w:rsid w:val="002C6E6F"/>
    <w:rsid w:val="002D0674"/>
    <w:rsid w:val="002D1216"/>
    <w:rsid w:val="002D14C5"/>
    <w:rsid w:val="002D17DC"/>
    <w:rsid w:val="002D1997"/>
    <w:rsid w:val="002D1A61"/>
    <w:rsid w:val="002D1DD0"/>
    <w:rsid w:val="002D1DE8"/>
    <w:rsid w:val="002D1E07"/>
    <w:rsid w:val="002D24FC"/>
    <w:rsid w:val="002D2954"/>
    <w:rsid w:val="002D2D7F"/>
    <w:rsid w:val="002D3810"/>
    <w:rsid w:val="002D3A72"/>
    <w:rsid w:val="002D3D69"/>
    <w:rsid w:val="002D4BDF"/>
    <w:rsid w:val="002D5035"/>
    <w:rsid w:val="002D532E"/>
    <w:rsid w:val="002D560D"/>
    <w:rsid w:val="002D5860"/>
    <w:rsid w:val="002D5A1A"/>
    <w:rsid w:val="002D5C7B"/>
    <w:rsid w:val="002D5E2F"/>
    <w:rsid w:val="002D6BDF"/>
    <w:rsid w:val="002D791E"/>
    <w:rsid w:val="002E02E7"/>
    <w:rsid w:val="002E0748"/>
    <w:rsid w:val="002E0D3E"/>
    <w:rsid w:val="002E1185"/>
    <w:rsid w:val="002E1818"/>
    <w:rsid w:val="002E1868"/>
    <w:rsid w:val="002E1CD0"/>
    <w:rsid w:val="002E2625"/>
    <w:rsid w:val="002E2A15"/>
    <w:rsid w:val="002E3568"/>
    <w:rsid w:val="002E372A"/>
    <w:rsid w:val="002E37A8"/>
    <w:rsid w:val="002E3EC9"/>
    <w:rsid w:val="002E4648"/>
    <w:rsid w:val="002E4EAE"/>
    <w:rsid w:val="002E5040"/>
    <w:rsid w:val="002E542B"/>
    <w:rsid w:val="002E56C7"/>
    <w:rsid w:val="002E5AEF"/>
    <w:rsid w:val="002E5B26"/>
    <w:rsid w:val="002E5B61"/>
    <w:rsid w:val="002E5B94"/>
    <w:rsid w:val="002E5DB0"/>
    <w:rsid w:val="002E5F06"/>
    <w:rsid w:val="002E5FF1"/>
    <w:rsid w:val="002E6359"/>
    <w:rsid w:val="002E65DE"/>
    <w:rsid w:val="002E6C11"/>
    <w:rsid w:val="002E6CE9"/>
    <w:rsid w:val="002E7312"/>
    <w:rsid w:val="002E7561"/>
    <w:rsid w:val="002E791C"/>
    <w:rsid w:val="002E7CDC"/>
    <w:rsid w:val="002E7E5B"/>
    <w:rsid w:val="002E7E9D"/>
    <w:rsid w:val="002F0DBD"/>
    <w:rsid w:val="002F0E08"/>
    <w:rsid w:val="002F0FC7"/>
    <w:rsid w:val="002F1433"/>
    <w:rsid w:val="002F1CC0"/>
    <w:rsid w:val="002F1D04"/>
    <w:rsid w:val="002F23A3"/>
    <w:rsid w:val="002F2556"/>
    <w:rsid w:val="002F281C"/>
    <w:rsid w:val="002F2857"/>
    <w:rsid w:val="002F3020"/>
    <w:rsid w:val="002F3297"/>
    <w:rsid w:val="002F3C7D"/>
    <w:rsid w:val="002F3DE8"/>
    <w:rsid w:val="002F4144"/>
    <w:rsid w:val="002F437D"/>
    <w:rsid w:val="002F4C48"/>
    <w:rsid w:val="002F51A6"/>
    <w:rsid w:val="002F51C6"/>
    <w:rsid w:val="002F590C"/>
    <w:rsid w:val="002F59F1"/>
    <w:rsid w:val="002F61AA"/>
    <w:rsid w:val="002F629A"/>
    <w:rsid w:val="002F64B9"/>
    <w:rsid w:val="002F66BB"/>
    <w:rsid w:val="002F67CE"/>
    <w:rsid w:val="002F683D"/>
    <w:rsid w:val="002F6F3E"/>
    <w:rsid w:val="002F7312"/>
    <w:rsid w:val="002F76D0"/>
    <w:rsid w:val="002F7AFA"/>
    <w:rsid w:val="00300A90"/>
    <w:rsid w:val="00300C19"/>
    <w:rsid w:val="00300D7E"/>
    <w:rsid w:val="00301743"/>
    <w:rsid w:val="003017B6"/>
    <w:rsid w:val="00301A57"/>
    <w:rsid w:val="003021F9"/>
    <w:rsid w:val="0030229F"/>
    <w:rsid w:val="00303259"/>
    <w:rsid w:val="003042CE"/>
    <w:rsid w:val="003045AD"/>
    <w:rsid w:val="00304F05"/>
    <w:rsid w:val="003051DA"/>
    <w:rsid w:val="00305C24"/>
    <w:rsid w:val="003066AB"/>
    <w:rsid w:val="00306869"/>
    <w:rsid w:val="003070AD"/>
    <w:rsid w:val="003072E9"/>
    <w:rsid w:val="003079E5"/>
    <w:rsid w:val="00310469"/>
    <w:rsid w:val="003107BF"/>
    <w:rsid w:val="0031153D"/>
    <w:rsid w:val="003119F1"/>
    <w:rsid w:val="00311BC1"/>
    <w:rsid w:val="00311C17"/>
    <w:rsid w:val="00311E33"/>
    <w:rsid w:val="003129A5"/>
    <w:rsid w:val="00312BE8"/>
    <w:rsid w:val="00313C0C"/>
    <w:rsid w:val="00313D17"/>
    <w:rsid w:val="003144E5"/>
    <w:rsid w:val="003147EB"/>
    <w:rsid w:val="00314915"/>
    <w:rsid w:val="00314919"/>
    <w:rsid w:val="00314FCA"/>
    <w:rsid w:val="00315333"/>
    <w:rsid w:val="00315700"/>
    <w:rsid w:val="00315DF5"/>
    <w:rsid w:val="0031625D"/>
    <w:rsid w:val="00316832"/>
    <w:rsid w:val="00316D8A"/>
    <w:rsid w:val="003171C2"/>
    <w:rsid w:val="0031738B"/>
    <w:rsid w:val="003179F6"/>
    <w:rsid w:val="0032013A"/>
    <w:rsid w:val="003201A4"/>
    <w:rsid w:val="00320242"/>
    <w:rsid w:val="0032028D"/>
    <w:rsid w:val="003207A3"/>
    <w:rsid w:val="003208A5"/>
    <w:rsid w:val="0032107B"/>
    <w:rsid w:val="003213E8"/>
    <w:rsid w:val="00321FC9"/>
    <w:rsid w:val="00321FDA"/>
    <w:rsid w:val="003226AA"/>
    <w:rsid w:val="00322B09"/>
    <w:rsid w:val="00323414"/>
    <w:rsid w:val="00323925"/>
    <w:rsid w:val="00323E4E"/>
    <w:rsid w:val="003244C0"/>
    <w:rsid w:val="003252C2"/>
    <w:rsid w:val="00325749"/>
    <w:rsid w:val="00325C6D"/>
    <w:rsid w:val="003261E1"/>
    <w:rsid w:val="003264F1"/>
    <w:rsid w:val="00326C9D"/>
    <w:rsid w:val="0032730B"/>
    <w:rsid w:val="003273A8"/>
    <w:rsid w:val="0032740B"/>
    <w:rsid w:val="003275FE"/>
    <w:rsid w:val="00327C1F"/>
    <w:rsid w:val="00330A79"/>
    <w:rsid w:val="00330DD3"/>
    <w:rsid w:val="003310B6"/>
    <w:rsid w:val="003315E3"/>
    <w:rsid w:val="003317CC"/>
    <w:rsid w:val="00332313"/>
    <w:rsid w:val="003329D3"/>
    <w:rsid w:val="00332A59"/>
    <w:rsid w:val="00332D41"/>
    <w:rsid w:val="00332EB1"/>
    <w:rsid w:val="0033487A"/>
    <w:rsid w:val="00334C0B"/>
    <w:rsid w:val="0033516F"/>
    <w:rsid w:val="003354AC"/>
    <w:rsid w:val="00335731"/>
    <w:rsid w:val="003359BD"/>
    <w:rsid w:val="00335A64"/>
    <w:rsid w:val="00335B20"/>
    <w:rsid w:val="00337C1B"/>
    <w:rsid w:val="00337C28"/>
    <w:rsid w:val="003400D9"/>
    <w:rsid w:val="003412DB"/>
    <w:rsid w:val="00341317"/>
    <w:rsid w:val="00341ACE"/>
    <w:rsid w:val="00341E55"/>
    <w:rsid w:val="0034220E"/>
    <w:rsid w:val="00342340"/>
    <w:rsid w:val="00342644"/>
    <w:rsid w:val="003427ED"/>
    <w:rsid w:val="003431F4"/>
    <w:rsid w:val="00343CBC"/>
    <w:rsid w:val="003442E4"/>
    <w:rsid w:val="00344AE5"/>
    <w:rsid w:val="0034521F"/>
    <w:rsid w:val="0034524F"/>
    <w:rsid w:val="003455B5"/>
    <w:rsid w:val="00345C10"/>
    <w:rsid w:val="003465BC"/>
    <w:rsid w:val="003468D1"/>
    <w:rsid w:val="003469C0"/>
    <w:rsid w:val="00346A61"/>
    <w:rsid w:val="003470B2"/>
    <w:rsid w:val="0034794B"/>
    <w:rsid w:val="00350101"/>
    <w:rsid w:val="00350FB8"/>
    <w:rsid w:val="0035112C"/>
    <w:rsid w:val="00351751"/>
    <w:rsid w:val="00351E50"/>
    <w:rsid w:val="00352000"/>
    <w:rsid w:val="003521E4"/>
    <w:rsid w:val="003529F1"/>
    <w:rsid w:val="00352F63"/>
    <w:rsid w:val="00353154"/>
    <w:rsid w:val="003547F7"/>
    <w:rsid w:val="0035480A"/>
    <w:rsid w:val="003548C1"/>
    <w:rsid w:val="003549C8"/>
    <w:rsid w:val="00354AD9"/>
    <w:rsid w:val="00354E75"/>
    <w:rsid w:val="003552F1"/>
    <w:rsid w:val="00355B90"/>
    <w:rsid w:val="00356C24"/>
    <w:rsid w:val="00357D94"/>
    <w:rsid w:val="003605E1"/>
    <w:rsid w:val="00360C37"/>
    <w:rsid w:val="00360CA1"/>
    <w:rsid w:val="00361023"/>
    <w:rsid w:val="00361504"/>
    <w:rsid w:val="003616DF"/>
    <w:rsid w:val="003622FF"/>
    <w:rsid w:val="003623D0"/>
    <w:rsid w:val="00362A8C"/>
    <w:rsid w:val="00362AEF"/>
    <w:rsid w:val="00362F3F"/>
    <w:rsid w:val="00363571"/>
    <w:rsid w:val="003635FD"/>
    <w:rsid w:val="0036369C"/>
    <w:rsid w:val="00363B66"/>
    <w:rsid w:val="00363E9B"/>
    <w:rsid w:val="003643E4"/>
    <w:rsid w:val="00364D01"/>
    <w:rsid w:val="00364F4F"/>
    <w:rsid w:val="003650D5"/>
    <w:rsid w:val="00365C7B"/>
    <w:rsid w:val="00365C86"/>
    <w:rsid w:val="00365C9C"/>
    <w:rsid w:val="00366887"/>
    <w:rsid w:val="00366C2F"/>
    <w:rsid w:val="00367022"/>
    <w:rsid w:val="0036714D"/>
    <w:rsid w:val="0036781E"/>
    <w:rsid w:val="00367B0C"/>
    <w:rsid w:val="0037016A"/>
    <w:rsid w:val="003702E7"/>
    <w:rsid w:val="00371390"/>
    <w:rsid w:val="00371524"/>
    <w:rsid w:val="0037191B"/>
    <w:rsid w:val="00372444"/>
    <w:rsid w:val="00372A92"/>
    <w:rsid w:val="00372BFA"/>
    <w:rsid w:val="00372D11"/>
    <w:rsid w:val="0037366B"/>
    <w:rsid w:val="003738A6"/>
    <w:rsid w:val="003738F9"/>
    <w:rsid w:val="00373CD9"/>
    <w:rsid w:val="00374104"/>
    <w:rsid w:val="003746A4"/>
    <w:rsid w:val="00374827"/>
    <w:rsid w:val="00374DFA"/>
    <w:rsid w:val="00375061"/>
    <w:rsid w:val="0037547E"/>
    <w:rsid w:val="00375868"/>
    <w:rsid w:val="003766EE"/>
    <w:rsid w:val="0037724F"/>
    <w:rsid w:val="003772E0"/>
    <w:rsid w:val="00377E9F"/>
    <w:rsid w:val="00380220"/>
    <w:rsid w:val="00380804"/>
    <w:rsid w:val="00380B24"/>
    <w:rsid w:val="00380E0D"/>
    <w:rsid w:val="00380F8F"/>
    <w:rsid w:val="00381798"/>
    <w:rsid w:val="003825B8"/>
    <w:rsid w:val="00382D94"/>
    <w:rsid w:val="00382F2E"/>
    <w:rsid w:val="0038346B"/>
    <w:rsid w:val="0038352B"/>
    <w:rsid w:val="00383BEC"/>
    <w:rsid w:val="00384144"/>
    <w:rsid w:val="0038470E"/>
    <w:rsid w:val="0038477D"/>
    <w:rsid w:val="00384AAE"/>
    <w:rsid w:val="0038515E"/>
    <w:rsid w:val="00385495"/>
    <w:rsid w:val="00386CC5"/>
    <w:rsid w:val="00386DD5"/>
    <w:rsid w:val="00386F18"/>
    <w:rsid w:val="003872CA"/>
    <w:rsid w:val="00387C46"/>
    <w:rsid w:val="0039009A"/>
    <w:rsid w:val="003908AC"/>
    <w:rsid w:val="0039097C"/>
    <w:rsid w:val="00390D47"/>
    <w:rsid w:val="0039156C"/>
    <w:rsid w:val="00391AEE"/>
    <w:rsid w:val="0039220C"/>
    <w:rsid w:val="003926B4"/>
    <w:rsid w:val="003929E5"/>
    <w:rsid w:val="00392A48"/>
    <w:rsid w:val="00392CA7"/>
    <w:rsid w:val="003931E8"/>
    <w:rsid w:val="003937E1"/>
    <w:rsid w:val="003939FE"/>
    <w:rsid w:val="00393E0B"/>
    <w:rsid w:val="00394221"/>
    <w:rsid w:val="0039434F"/>
    <w:rsid w:val="00395446"/>
    <w:rsid w:val="003956E6"/>
    <w:rsid w:val="0039587E"/>
    <w:rsid w:val="00395D6B"/>
    <w:rsid w:val="00395F5D"/>
    <w:rsid w:val="00395FAD"/>
    <w:rsid w:val="00396342"/>
    <w:rsid w:val="00396D39"/>
    <w:rsid w:val="0039719C"/>
    <w:rsid w:val="00397480"/>
    <w:rsid w:val="00397652"/>
    <w:rsid w:val="003978DC"/>
    <w:rsid w:val="00397C7E"/>
    <w:rsid w:val="00397CAB"/>
    <w:rsid w:val="003A0C89"/>
    <w:rsid w:val="003A0D43"/>
    <w:rsid w:val="003A18A8"/>
    <w:rsid w:val="003A1B14"/>
    <w:rsid w:val="003A1FDD"/>
    <w:rsid w:val="003A25F4"/>
    <w:rsid w:val="003A2A2C"/>
    <w:rsid w:val="003A2D92"/>
    <w:rsid w:val="003A2DE4"/>
    <w:rsid w:val="003A33C2"/>
    <w:rsid w:val="003A34A1"/>
    <w:rsid w:val="003A34FD"/>
    <w:rsid w:val="003A3A56"/>
    <w:rsid w:val="003A3FCF"/>
    <w:rsid w:val="003A4381"/>
    <w:rsid w:val="003A43B4"/>
    <w:rsid w:val="003A47D8"/>
    <w:rsid w:val="003A4A6D"/>
    <w:rsid w:val="003A4BB6"/>
    <w:rsid w:val="003A4E1C"/>
    <w:rsid w:val="003A559D"/>
    <w:rsid w:val="003A5CF8"/>
    <w:rsid w:val="003A6B79"/>
    <w:rsid w:val="003A743C"/>
    <w:rsid w:val="003A7584"/>
    <w:rsid w:val="003A7F48"/>
    <w:rsid w:val="003B0333"/>
    <w:rsid w:val="003B11AF"/>
    <w:rsid w:val="003B1B55"/>
    <w:rsid w:val="003B2CCB"/>
    <w:rsid w:val="003B35C6"/>
    <w:rsid w:val="003B374C"/>
    <w:rsid w:val="003B3760"/>
    <w:rsid w:val="003B3806"/>
    <w:rsid w:val="003B3AAA"/>
    <w:rsid w:val="003B3C59"/>
    <w:rsid w:val="003B3CEB"/>
    <w:rsid w:val="003B3E05"/>
    <w:rsid w:val="003B3F8E"/>
    <w:rsid w:val="003B3FEF"/>
    <w:rsid w:val="003B42CE"/>
    <w:rsid w:val="003B42E3"/>
    <w:rsid w:val="003B4302"/>
    <w:rsid w:val="003B4D5A"/>
    <w:rsid w:val="003B6C20"/>
    <w:rsid w:val="003C0606"/>
    <w:rsid w:val="003C18DB"/>
    <w:rsid w:val="003C1D31"/>
    <w:rsid w:val="003C286D"/>
    <w:rsid w:val="003C2B4B"/>
    <w:rsid w:val="003C3F04"/>
    <w:rsid w:val="003C42F8"/>
    <w:rsid w:val="003C4483"/>
    <w:rsid w:val="003C4DB0"/>
    <w:rsid w:val="003C537E"/>
    <w:rsid w:val="003C5758"/>
    <w:rsid w:val="003C5810"/>
    <w:rsid w:val="003C5B31"/>
    <w:rsid w:val="003C5B74"/>
    <w:rsid w:val="003C5D03"/>
    <w:rsid w:val="003C5E28"/>
    <w:rsid w:val="003C6D09"/>
    <w:rsid w:val="003C7ABD"/>
    <w:rsid w:val="003C7D47"/>
    <w:rsid w:val="003C7FB8"/>
    <w:rsid w:val="003D0AFC"/>
    <w:rsid w:val="003D0DE8"/>
    <w:rsid w:val="003D16EF"/>
    <w:rsid w:val="003D17C9"/>
    <w:rsid w:val="003D1876"/>
    <w:rsid w:val="003D21A4"/>
    <w:rsid w:val="003D2400"/>
    <w:rsid w:val="003D295C"/>
    <w:rsid w:val="003D297F"/>
    <w:rsid w:val="003D2B29"/>
    <w:rsid w:val="003D31C1"/>
    <w:rsid w:val="003D3709"/>
    <w:rsid w:val="003D38F6"/>
    <w:rsid w:val="003D3E55"/>
    <w:rsid w:val="003D4045"/>
    <w:rsid w:val="003D4AA7"/>
    <w:rsid w:val="003D4D24"/>
    <w:rsid w:val="003D4EFC"/>
    <w:rsid w:val="003D54EC"/>
    <w:rsid w:val="003D5652"/>
    <w:rsid w:val="003D5A14"/>
    <w:rsid w:val="003D770C"/>
    <w:rsid w:val="003D7837"/>
    <w:rsid w:val="003D7B42"/>
    <w:rsid w:val="003D7BAE"/>
    <w:rsid w:val="003D7C70"/>
    <w:rsid w:val="003D7E32"/>
    <w:rsid w:val="003D7F61"/>
    <w:rsid w:val="003E0215"/>
    <w:rsid w:val="003E057E"/>
    <w:rsid w:val="003E05F3"/>
    <w:rsid w:val="003E0785"/>
    <w:rsid w:val="003E09A4"/>
    <w:rsid w:val="003E0B89"/>
    <w:rsid w:val="003E0EB6"/>
    <w:rsid w:val="003E0FF9"/>
    <w:rsid w:val="003E113E"/>
    <w:rsid w:val="003E11F2"/>
    <w:rsid w:val="003E132C"/>
    <w:rsid w:val="003E15C1"/>
    <w:rsid w:val="003E15C3"/>
    <w:rsid w:val="003E1B15"/>
    <w:rsid w:val="003E2727"/>
    <w:rsid w:val="003E27D8"/>
    <w:rsid w:val="003E29E6"/>
    <w:rsid w:val="003E354C"/>
    <w:rsid w:val="003E359B"/>
    <w:rsid w:val="003E3E49"/>
    <w:rsid w:val="003E3EE9"/>
    <w:rsid w:val="003E41E5"/>
    <w:rsid w:val="003E48C4"/>
    <w:rsid w:val="003E492E"/>
    <w:rsid w:val="003E4B96"/>
    <w:rsid w:val="003E4C6D"/>
    <w:rsid w:val="003E5753"/>
    <w:rsid w:val="003E6247"/>
    <w:rsid w:val="003E707C"/>
    <w:rsid w:val="003E7112"/>
    <w:rsid w:val="003E7220"/>
    <w:rsid w:val="003E7388"/>
    <w:rsid w:val="003E75BB"/>
    <w:rsid w:val="003E77C4"/>
    <w:rsid w:val="003F112A"/>
    <w:rsid w:val="003F1308"/>
    <w:rsid w:val="003F14CF"/>
    <w:rsid w:val="003F1CE8"/>
    <w:rsid w:val="003F2024"/>
    <w:rsid w:val="003F2D78"/>
    <w:rsid w:val="003F2E13"/>
    <w:rsid w:val="003F33EA"/>
    <w:rsid w:val="003F3BF9"/>
    <w:rsid w:val="003F3C9D"/>
    <w:rsid w:val="003F3F70"/>
    <w:rsid w:val="003F4A26"/>
    <w:rsid w:val="003F4FA1"/>
    <w:rsid w:val="003F7038"/>
    <w:rsid w:val="003F7110"/>
    <w:rsid w:val="003F7893"/>
    <w:rsid w:val="003F7E14"/>
    <w:rsid w:val="0040017F"/>
    <w:rsid w:val="004002F2"/>
    <w:rsid w:val="00400AB2"/>
    <w:rsid w:val="00401A49"/>
    <w:rsid w:val="00401C8D"/>
    <w:rsid w:val="00402200"/>
    <w:rsid w:val="004032B9"/>
    <w:rsid w:val="00404549"/>
    <w:rsid w:val="0040507C"/>
    <w:rsid w:val="004052EB"/>
    <w:rsid w:val="004053CF"/>
    <w:rsid w:val="00405578"/>
    <w:rsid w:val="0040566B"/>
    <w:rsid w:val="00405756"/>
    <w:rsid w:val="00405F46"/>
    <w:rsid w:val="00405FD2"/>
    <w:rsid w:val="004063BE"/>
    <w:rsid w:val="00406BFF"/>
    <w:rsid w:val="00406C27"/>
    <w:rsid w:val="00406E29"/>
    <w:rsid w:val="004072E9"/>
    <w:rsid w:val="00407489"/>
    <w:rsid w:val="004075AB"/>
    <w:rsid w:val="004077CB"/>
    <w:rsid w:val="00410A69"/>
    <w:rsid w:val="00410EA1"/>
    <w:rsid w:val="00410F43"/>
    <w:rsid w:val="00411069"/>
    <w:rsid w:val="00411B02"/>
    <w:rsid w:val="00411C9E"/>
    <w:rsid w:val="00412068"/>
    <w:rsid w:val="004120C0"/>
    <w:rsid w:val="0041251A"/>
    <w:rsid w:val="00412E8E"/>
    <w:rsid w:val="004130D2"/>
    <w:rsid w:val="00413227"/>
    <w:rsid w:val="004138FF"/>
    <w:rsid w:val="004139F1"/>
    <w:rsid w:val="00414272"/>
    <w:rsid w:val="004145B9"/>
    <w:rsid w:val="0041467A"/>
    <w:rsid w:val="00414EF5"/>
    <w:rsid w:val="00414F7B"/>
    <w:rsid w:val="00415C36"/>
    <w:rsid w:val="00415CA5"/>
    <w:rsid w:val="00416263"/>
    <w:rsid w:val="00416AC1"/>
    <w:rsid w:val="00416BB5"/>
    <w:rsid w:val="00416D8A"/>
    <w:rsid w:val="0041784F"/>
    <w:rsid w:val="00417CA6"/>
    <w:rsid w:val="00417D22"/>
    <w:rsid w:val="00417F5E"/>
    <w:rsid w:val="00420492"/>
    <w:rsid w:val="00420D1E"/>
    <w:rsid w:val="00421103"/>
    <w:rsid w:val="00421538"/>
    <w:rsid w:val="004219CA"/>
    <w:rsid w:val="00421E16"/>
    <w:rsid w:val="00422229"/>
    <w:rsid w:val="004225AB"/>
    <w:rsid w:val="00422C23"/>
    <w:rsid w:val="004234F2"/>
    <w:rsid w:val="00423677"/>
    <w:rsid w:val="00423688"/>
    <w:rsid w:val="0042374E"/>
    <w:rsid w:val="00423A46"/>
    <w:rsid w:val="00423CEC"/>
    <w:rsid w:val="0042442D"/>
    <w:rsid w:val="0042460D"/>
    <w:rsid w:val="00424B04"/>
    <w:rsid w:val="00424B35"/>
    <w:rsid w:val="00424D68"/>
    <w:rsid w:val="004250CE"/>
    <w:rsid w:val="0042510B"/>
    <w:rsid w:val="004251F2"/>
    <w:rsid w:val="004254D5"/>
    <w:rsid w:val="00425C8A"/>
    <w:rsid w:val="00425F02"/>
    <w:rsid w:val="00426097"/>
    <w:rsid w:val="004260D1"/>
    <w:rsid w:val="00426353"/>
    <w:rsid w:val="004264C8"/>
    <w:rsid w:val="00426521"/>
    <w:rsid w:val="00426D87"/>
    <w:rsid w:val="00430020"/>
    <w:rsid w:val="0043012F"/>
    <w:rsid w:val="004301B0"/>
    <w:rsid w:val="00430764"/>
    <w:rsid w:val="0043093A"/>
    <w:rsid w:val="00431127"/>
    <w:rsid w:val="00431781"/>
    <w:rsid w:val="0043183C"/>
    <w:rsid w:val="004322E0"/>
    <w:rsid w:val="004328AD"/>
    <w:rsid w:val="00432EF4"/>
    <w:rsid w:val="0043424D"/>
    <w:rsid w:val="004342E0"/>
    <w:rsid w:val="00434A7A"/>
    <w:rsid w:val="00434ACB"/>
    <w:rsid w:val="00434BD0"/>
    <w:rsid w:val="004355E6"/>
    <w:rsid w:val="00435643"/>
    <w:rsid w:val="00435B5D"/>
    <w:rsid w:val="00435D63"/>
    <w:rsid w:val="00436089"/>
    <w:rsid w:val="004360F2"/>
    <w:rsid w:val="004365D7"/>
    <w:rsid w:val="00436CB8"/>
    <w:rsid w:val="00436D12"/>
    <w:rsid w:val="00437140"/>
    <w:rsid w:val="0044073F"/>
    <w:rsid w:val="004411E8"/>
    <w:rsid w:val="00441602"/>
    <w:rsid w:val="00441C1E"/>
    <w:rsid w:val="00442351"/>
    <w:rsid w:val="00442786"/>
    <w:rsid w:val="0044294A"/>
    <w:rsid w:val="00442B66"/>
    <w:rsid w:val="00442D03"/>
    <w:rsid w:val="0044346B"/>
    <w:rsid w:val="004437A6"/>
    <w:rsid w:val="00443837"/>
    <w:rsid w:val="0044388D"/>
    <w:rsid w:val="00443BF5"/>
    <w:rsid w:val="00443E9F"/>
    <w:rsid w:val="0044420D"/>
    <w:rsid w:val="0044482E"/>
    <w:rsid w:val="00444A93"/>
    <w:rsid w:val="00444AAD"/>
    <w:rsid w:val="00445AAC"/>
    <w:rsid w:val="00445C33"/>
    <w:rsid w:val="00445CB4"/>
    <w:rsid w:val="0044611B"/>
    <w:rsid w:val="004465CB"/>
    <w:rsid w:val="00446A7A"/>
    <w:rsid w:val="00446EF1"/>
    <w:rsid w:val="004471B1"/>
    <w:rsid w:val="0044743C"/>
    <w:rsid w:val="00447445"/>
    <w:rsid w:val="004477C5"/>
    <w:rsid w:val="00447849"/>
    <w:rsid w:val="00447BDB"/>
    <w:rsid w:val="004501A9"/>
    <w:rsid w:val="00450309"/>
    <w:rsid w:val="004504DD"/>
    <w:rsid w:val="00450C83"/>
    <w:rsid w:val="00451A90"/>
    <w:rsid w:val="00451CBC"/>
    <w:rsid w:val="00451D55"/>
    <w:rsid w:val="00452503"/>
    <w:rsid w:val="00453643"/>
    <w:rsid w:val="004541AB"/>
    <w:rsid w:val="004543AB"/>
    <w:rsid w:val="00454889"/>
    <w:rsid w:val="00454B75"/>
    <w:rsid w:val="00454EB8"/>
    <w:rsid w:val="004559B0"/>
    <w:rsid w:val="00455D7B"/>
    <w:rsid w:val="00455F9F"/>
    <w:rsid w:val="0045648E"/>
    <w:rsid w:val="00456955"/>
    <w:rsid w:val="00456FD9"/>
    <w:rsid w:val="00457410"/>
    <w:rsid w:val="00457E65"/>
    <w:rsid w:val="004605BE"/>
    <w:rsid w:val="00460C5D"/>
    <w:rsid w:val="00461349"/>
    <w:rsid w:val="0046252D"/>
    <w:rsid w:val="0046256F"/>
    <w:rsid w:val="00462A1E"/>
    <w:rsid w:val="00462E3D"/>
    <w:rsid w:val="0046344A"/>
    <w:rsid w:val="00463B4B"/>
    <w:rsid w:val="00463E60"/>
    <w:rsid w:val="0046431A"/>
    <w:rsid w:val="00464D3C"/>
    <w:rsid w:val="0046588C"/>
    <w:rsid w:val="00465B38"/>
    <w:rsid w:val="004664B0"/>
    <w:rsid w:val="00466753"/>
    <w:rsid w:val="00466AC4"/>
    <w:rsid w:val="00467102"/>
    <w:rsid w:val="00470891"/>
    <w:rsid w:val="00470F8B"/>
    <w:rsid w:val="0047162D"/>
    <w:rsid w:val="0047180B"/>
    <w:rsid w:val="00471A18"/>
    <w:rsid w:val="00471B1A"/>
    <w:rsid w:val="00471C44"/>
    <w:rsid w:val="004721B1"/>
    <w:rsid w:val="004727A1"/>
    <w:rsid w:val="004727EF"/>
    <w:rsid w:val="00472AF9"/>
    <w:rsid w:val="00472C7B"/>
    <w:rsid w:val="00473796"/>
    <w:rsid w:val="00473C21"/>
    <w:rsid w:val="00473C39"/>
    <w:rsid w:val="00474444"/>
    <w:rsid w:val="004747BF"/>
    <w:rsid w:val="0047499C"/>
    <w:rsid w:val="00475488"/>
    <w:rsid w:val="00475967"/>
    <w:rsid w:val="00475BC8"/>
    <w:rsid w:val="00476958"/>
    <w:rsid w:val="00477510"/>
    <w:rsid w:val="0047768F"/>
    <w:rsid w:val="004776D5"/>
    <w:rsid w:val="004777AF"/>
    <w:rsid w:val="00477BD3"/>
    <w:rsid w:val="004805AE"/>
    <w:rsid w:val="00480881"/>
    <w:rsid w:val="00480D5F"/>
    <w:rsid w:val="004811F8"/>
    <w:rsid w:val="004813BC"/>
    <w:rsid w:val="00481907"/>
    <w:rsid w:val="0048194A"/>
    <w:rsid w:val="00481DA1"/>
    <w:rsid w:val="00482027"/>
    <w:rsid w:val="00482182"/>
    <w:rsid w:val="0048231C"/>
    <w:rsid w:val="004825E7"/>
    <w:rsid w:val="004829A6"/>
    <w:rsid w:val="00482E2C"/>
    <w:rsid w:val="00483416"/>
    <w:rsid w:val="004834E2"/>
    <w:rsid w:val="004835CE"/>
    <w:rsid w:val="00483E11"/>
    <w:rsid w:val="004840F3"/>
    <w:rsid w:val="004843E1"/>
    <w:rsid w:val="00484715"/>
    <w:rsid w:val="004848E6"/>
    <w:rsid w:val="00484DD3"/>
    <w:rsid w:val="00484ECB"/>
    <w:rsid w:val="00485249"/>
    <w:rsid w:val="004852AB"/>
    <w:rsid w:val="00485D7E"/>
    <w:rsid w:val="00485E7E"/>
    <w:rsid w:val="0048688E"/>
    <w:rsid w:val="00486B27"/>
    <w:rsid w:val="00486CBA"/>
    <w:rsid w:val="00486D39"/>
    <w:rsid w:val="0048709C"/>
    <w:rsid w:val="004870D7"/>
    <w:rsid w:val="00487196"/>
    <w:rsid w:val="004872E2"/>
    <w:rsid w:val="004874F3"/>
    <w:rsid w:val="004877EC"/>
    <w:rsid w:val="00487ABF"/>
    <w:rsid w:val="00487D27"/>
    <w:rsid w:val="00487F2A"/>
    <w:rsid w:val="0049048A"/>
    <w:rsid w:val="004908A9"/>
    <w:rsid w:val="00491461"/>
    <w:rsid w:val="004915C1"/>
    <w:rsid w:val="004919D8"/>
    <w:rsid w:val="004926AF"/>
    <w:rsid w:val="004928A8"/>
    <w:rsid w:val="00492F19"/>
    <w:rsid w:val="004944B5"/>
    <w:rsid w:val="00494763"/>
    <w:rsid w:val="00494775"/>
    <w:rsid w:val="00495064"/>
    <w:rsid w:val="00495D23"/>
    <w:rsid w:val="00496584"/>
    <w:rsid w:val="004968F7"/>
    <w:rsid w:val="00496B21"/>
    <w:rsid w:val="00496EBB"/>
    <w:rsid w:val="00497185"/>
    <w:rsid w:val="004973A6"/>
    <w:rsid w:val="0049746D"/>
    <w:rsid w:val="00497D7A"/>
    <w:rsid w:val="00497E1F"/>
    <w:rsid w:val="00497EEB"/>
    <w:rsid w:val="004A00D6"/>
    <w:rsid w:val="004A01F3"/>
    <w:rsid w:val="004A0A85"/>
    <w:rsid w:val="004A1B0B"/>
    <w:rsid w:val="004A2267"/>
    <w:rsid w:val="004A2347"/>
    <w:rsid w:val="004A3807"/>
    <w:rsid w:val="004A38A2"/>
    <w:rsid w:val="004A3ACD"/>
    <w:rsid w:val="004A3ED4"/>
    <w:rsid w:val="004A3F71"/>
    <w:rsid w:val="004A4748"/>
    <w:rsid w:val="004A5A41"/>
    <w:rsid w:val="004A5D59"/>
    <w:rsid w:val="004A6433"/>
    <w:rsid w:val="004A6732"/>
    <w:rsid w:val="004A6AAB"/>
    <w:rsid w:val="004A6B56"/>
    <w:rsid w:val="004A6C2B"/>
    <w:rsid w:val="004A6C43"/>
    <w:rsid w:val="004A7412"/>
    <w:rsid w:val="004A7ADE"/>
    <w:rsid w:val="004A7D13"/>
    <w:rsid w:val="004B0762"/>
    <w:rsid w:val="004B1673"/>
    <w:rsid w:val="004B199C"/>
    <w:rsid w:val="004B2070"/>
    <w:rsid w:val="004B2473"/>
    <w:rsid w:val="004B30CE"/>
    <w:rsid w:val="004B34F3"/>
    <w:rsid w:val="004B3897"/>
    <w:rsid w:val="004B4076"/>
    <w:rsid w:val="004B4AC4"/>
    <w:rsid w:val="004B5255"/>
    <w:rsid w:val="004B526D"/>
    <w:rsid w:val="004B559F"/>
    <w:rsid w:val="004B57C9"/>
    <w:rsid w:val="004B59E9"/>
    <w:rsid w:val="004B5C67"/>
    <w:rsid w:val="004B5D39"/>
    <w:rsid w:val="004B5DD5"/>
    <w:rsid w:val="004B5E25"/>
    <w:rsid w:val="004B5F23"/>
    <w:rsid w:val="004B638C"/>
    <w:rsid w:val="004B6533"/>
    <w:rsid w:val="004B6634"/>
    <w:rsid w:val="004B669F"/>
    <w:rsid w:val="004B7097"/>
    <w:rsid w:val="004B7749"/>
    <w:rsid w:val="004B78E9"/>
    <w:rsid w:val="004B7A50"/>
    <w:rsid w:val="004B7C86"/>
    <w:rsid w:val="004C00C0"/>
    <w:rsid w:val="004C01AE"/>
    <w:rsid w:val="004C033F"/>
    <w:rsid w:val="004C06E1"/>
    <w:rsid w:val="004C07A0"/>
    <w:rsid w:val="004C0AFC"/>
    <w:rsid w:val="004C0B5B"/>
    <w:rsid w:val="004C121F"/>
    <w:rsid w:val="004C167E"/>
    <w:rsid w:val="004C2323"/>
    <w:rsid w:val="004C2379"/>
    <w:rsid w:val="004C277A"/>
    <w:rsid w:val="004C2FAD"/>
    <w:rsid w:val="004C32EA"/>
    <w:rsid w:val="004C39E0"/>
    <w:rsid w:val="004C3A27"/>
    <w:rsid w:val="004C3AFA"/>
    <w:rsid w:val="004C3E7A"/>
    <w:rsid w:val="004C3ED7"/>
    <w:rsid w:val="004C44B4"/>
    <w:rsid w:val="004C4868"/>
    <w:rsid w:val="004C4C6E"/>
    <w:rsid w:val="004C5F01"/>
    <w:rsid w:val="004C61F0"/>
    <w:rsid w:val="004C64EF"/>
    <w:rsid w:val="004C651F"/>
    <w:rsid w:val="004C67D1"/>
    <w:rsid w:val="004C68F6"/>
    <w:rsid w:val="004C6C18"/>
    <w:rsid w:val="004C6C9A"/>
    <w:rsid w:val="004C6ED8"/>
    <w:rsid w:val="004C75BB"/>
    <w:rsid w:val="004C7D23"/>
    <w:rsid w:val="004C7E5C"/>
    <w:rsid w:val="004D0070"/>
    <w:rsid w:val="004D0226"/>
    <w:rsid w:val="004D080D"/>
    <w:rsid w:val="004D0831"/>
    <w:rsid w:val="004D123B"/>
    <w:rsid w:val="004D1C72"/>
    <w:rsid w:val="004D1E74"/>
    <w:rsid w:val="004D2406"/>
    <w:rsid w:val="004D3298"/>
    <w:rsid w:val="004D3D9F"/>
    <w:rsid w:val="004D40F2"/>
    <w:rsid w:val="004D4138"/>
    <w:rsid w:val="004D42C5"/>
    <w:rsid w:val="004D454A"/>
    <w:rsid w:val="004D4AFC"/>
    <w:rsid w:val="004D4D50"/>
    <w:rsid w:val="004D5DA8"/>
    <w:rsid w:val="004D5E63"/>
    <w:rsid w:val="004D5E92"/>
    <w:rsid w:val="004D6331"/>
    <w:rsid w:val="004D6717"/>
    <w:rsid w:val="004D6756"/>
    <w:rsid w:val="004D67A5"/>
    <w:rsid w:val="004D6E86"/>
    <w:rsid w:val="004D7B5B"/>
    <w:rsid w:val="004D7CE7"/>
    <w:rsid w:val="004D7D23"/>
    <w:rsid w:val="004D7FBB"/>
    <w:rsid w:val="004E0222"/>
    <w:rsid w:val="004E03F3"/>
    <w:rsid w:val="004E061C"/>
    <w:rsid w:val="004E09C7"/>
    <w:rsid w:val="004E0CF0"/>
    <w:rsid w:val="004E17B1"/>
    <w:rsid w:val="004E1EE4"/>
    <w:rsid w:val="004E2697"/>
    <w:rsid w:val="004E2C98"/>
    <w:rsid w:val="004E2F34"/>
    <w:rsid w:val="004E306D"/>
    <w:rsid w:val="004E404F"/>
    <w:rsid w:val="004E44EE"/>
    <w:rsid w:val="004E4528"/>
    <w:rsid w:val="004E478D"/>
    <w:rsid w:val="004E4BD6"/>
    <w:rsid w:val="004E4C61"/>
    <w:rsid w:val="004E4E79"/>
    <w:rsid w:val="004E4F5F"/>
    <w:rsid w:val="004E5B81"/>
    <w:rsid w:val="004E5CA6"/>
    <w:rsid w:val="004E6309"/>
    <w:rsid w:val="004E648C"/>
    <w:rsid w:val="004E668E"/>
    <w:rsid w:val="004E6AE4"/>
    <w:rsid w:val="004E6BD5"/>
    <w:rsid w:val="004E6BE8"/>
    <w:rsid w:val="004E6CD2"/>
    <w:rsid w:val="004E7000"/>
    <w:rsid w:val="004E707D"/>
    <w:rsid w:val="004E7376"/>
    <w:rsid w:val="004E79C5"/>
    <w:rsid w:val="004F0CC4"/>
    <w:rsid w:val="004F163B"/>
    <w:rsid w:val="004F16DD"/>
    <w:rsid w:val="004F2077"/>
    <w:rsid w:val="004F24B1"/>
    <w:rsid w:val="004F2D92"/>
    <w:rsid w:val="004F344E"/>
    <w:rsid w:val="004F3DDD"/>
    <w:rsid w:val="004F3E1C"/>
    <w:rsid w:val="004F4BBA"/>
    <w:rsid w:val="004F529B"/>
    <w:rsid w:val="004F5321"/>
    <w:rsid w:val="004F572C"/>
    <w:rsid w:val="004F5C12"/>
    <w:rsid w:val="004F5DEE"/>
    <w:rsid w:val="004F616C"/>
    <w:rsid w:val="004F6C64"/>
    <w:rsid w:val="004F6CA2"/>
    <w:rsid w:val="004F7365"/>
    <w:rsid w:val="004F78CE"/>
    <w:rsid w:val="004F7C17"/>
    <w:rsid w:val="00500035"/>
    <w:rsid w:val="005002D5"/>
    <w:rsid w:val="005003C7"/>
    <w:rsid w:val="00500788"/>
    <w:rsid w:val="00500B81"/>
    <w:rsid w:val="00500B98"/>
    <w:rsid w:val="00500DE3"/>
    <w:rsid w:val="0050135B"/>
    <w:rsid w:val="0050193E"/>
    <w:rsid w:val="00501AE0"/>
    <w:rsid w:val="005028AD"/>
    <w:rsid w:val="00502DD2"/>
    <w:rsid w:val="00502E63"/>
    <w:rsid w:val="0050312E"/>
    <w:rsid w:val="0050356C"/>
    <w:rsid w:val="0050360C"/>
    <w:rsid w:val="00503A6C"/>
    <w:rsid w:val="00504533"/>
    <w:rsid w:val="00504571"/>
    <w:rsid w:val="005045B7"/>
    <w:rsid w:val="00505114"/>
    <w:rsid w:val="00505587"/>
    <w:rsid w:val="005059E3"/>
    <w:rsid w:val="00505C90"/>
    <w:rsid w:val="00505DD4"/>
    <w:rsid w:val="005063CF"/>
    <w:rsid w:val="00506442"/>
    <w:rsid w:val="00506927"/>
    <w:rsid w:val="00506935"/>
    <w:rsid w:val="00506BA4"/>
    <w:rsid w:val="00506BE6"/>
    <w:rsid w:val="0050722A"/>
    <w:rsid w:val="005072DD"/>
    <w:rsid w:val="005075BF"/>
    <w:rsid w:val="00507639"/>
    <w:rsid w:val="00510814"/>
    <w:rsid w:val="005108A7"/>
    <w:rsid w:val="005108D1"/>
    <w:rsid w:val="00510B98"/>
    <w:rsid w:val="00511A98"/>
    <w:rsid w:val="0051216D"/>
    <w:rsid w:val="00512492"/>
    <w:rsid w:val="00512585"/>
    <w:rsid w:val="005126ED"/>
    <w:rsid w:val="005128F9"/>
    <w:rsid w:val="005131F2"/>
    <w:rsid w:val="005133D9"/>
    <w:rsid w:val="0051377E"/>
    <w:rsid w:val="005147F9"/>
    <w:rsid w:val="00515468"/>
    <w:rsid w:val="00515605"/>
    <w:rsid w:val="005157F4"/>
    <w:rsid w:val="00515A71"/>
    <w:rsid w:val="00515F79"/>
    <w:rsid w:val="0051636F"/>
    <w:rsid w:val="0051648D"/>
    <w:rsid w:val="005179C4"/>
    <w:rsid w:val="005202B3"/>
    <w:rsid w:val="00520FFD"/>
    <w:rsid w:val="00521380"/>
    <w:rsid w:val="00522147"/>
    <w:rsid w:val="00522B2A"/>
    <w:rsid w:val="00522CB6"/>
    <w:rsid w:val="00523669"/>
    <w:rsid w:val="005238BE"/>
    <w:rsid w:val="0052403F"/>
    <w:rsid w:val="005242FE"/>
    <w:rsid w:val="00524529"/>
    <w:rsid w:val="00524DE1"/>
    <w:rsid w:val="0052534D"/>
    <w:rsid w:val="005253CF"/>
    <w:rsid w:val="00525621"/>
    <w:rsid w:val="00525CD8"/>
    <w:rsid w:val="00525E62"/>
    <w:rsid w:val="00526526"/>
    <w:rsid w:val="00527017"/>
    <w:rsid w:val="005279BC"/>
    <w:rsid w:val="00527DBE"/>
    <w:rsid w:val="00527DC4"/>
    <w:rsid w:val="00527EB4"/>
    <w:rsid w:val="005300A4"/>
    <w:rsid w:val="00530293"/>
    <w:rsid w:val="005305A6"/>
    <w:rsid w:val="00530969"/>
    <w:rsid w:val="0053123D"/>
    <w:rsid w:val="00531396"/>
    <w:rsid w:val="00531546"/>
    <w:rsid w:val="00531F32"/>
    <w:rsid w:val="00531FB6"/>
    <w:rsid w:val="00532D9D"/>
    <w:rsid w:val="00533CC5"/>
    <w:rsid w:val="005344DD"/>
    <w:rsid w:val="00534733"/>
    <w:rsid w:val="0053485D"/>
    <w:rsid w:val="005358E0"/>
    <w:rsid w:val="00536022"/>
    <w:rsid w:val="005364DE"/>
    <w:rsid w:val="00536737"/>
    <w:rsid w:val="00537153"/>
    <w:rsid w:val="005372D5"/>
    <w:rsid w:val="005378AA"/>
    <w:rsid w:val="00537B43"/>
    <w:rsid w:val="00540171"/>
    <w:rsid w:val="005402F3"/>
    <w:rsid w:val="005402F7"/>
    <w:rsid w:val="005416DC"/>
    <w:rsid w:val="00542900"/>
    <w:rsid w:val="00542A2C"/>
    <w:rsid w:val="0054363B"/>
    <w:rsid w:val="00543EBB"/>
    <w:rsid w:val="005443C6"/>
    <w:rsid w:val="00544C6D"/>
    <w:rsid w:val="00544CFD"/>
    <w:rsid w:val="005451C6"/>
    <w:rsid w:val="00545813"/>
    <w:rsid w:val="00545ED2"/>
    <w:rsid w:val="0054692A"/>
    <w:rsid w:val="00546967"/>
    <w:rsid w:val="00546D21"/>
    <w:rsid w:val="00551675"/>
    <w:rsid w:val="005516D9"/>
    <w:rsid w:val="005519DE"/>
    <w:rsid w:val="00551A90"/>
    <w:rsid w:val="00551BDB"/>
    <w:rsid w:val="00552BB5"/>
    <w:rsid w:val="00552C76"/>
    <w:rsid w:val="00552D8C"/>
    <w:rsid w:val="00553888"/>
    <w:rsid w:val="00553B8E"/>
    <w:rsid w:val="005540AB"/>
    <w:rsid w:val="00554304"/>
    <w:rsid w:val="00554678"/>
    <w:rsid w:val="0055484F"/>
    <w:rsid w:val="00554BC4"/>
    <w:rsid w:val="0055511F"/>
    <w:rsid w:val="00555683"/>
    <w:rsid w:val="00555695"/>
    <w:rsid w:val="00555D3E"/>
    <w:rsid w:val="00555DEE"/>
    <w:rsid w:val="0055606B"/>
    <w:rsid w:val="00556A2A"/>
    <w:rsid w:val="00556DB8"/>
    <w:rsid w:val="00556E8B"/>
    <w:rsid w:val="0055705E"/>
    <w:rsid w:val="005575F4"/>
    <w:rsid w:val="00557A68"/>
    <w:rsid w:val="00557CF2"/>
    <w:rsid w:val="005604D0"/>
    <w:rsid w:val="00560873"/>
    <w:rsid w:val="0056093C"/>
    <w:rsid w:val="00560B30"/>
    <w:rsid w:val="00560CEE"/>
    <w:rsid w:val="00561593"/>
    <w:rsid w:val="00561D14"/>
    <w:rsid w:val="005621CC"/>
    <w:rsid w:val="005630A6"/>
    <w:rsid w:val="005636E5"/>
    <w:rsid w:val="0056379B"/>
    <w:rsid w:val="0056421A"/>
    <w:rsid w:val="005644A2"/>
    <w:rsid w:val="00564983"/>
    <w:rsid w:val="005649F4"/>
    <w:rsid w:val="00564FCA"/>
    <w:rsid w:val="005661C8"/>
    <w:rsid w:val="0056649B"/>
    <w:rsid w:val="00566589"/>
    <w:rsid w:val="00566BA8"/>
    <w:rsid w:val="00567167"/>
    <w:rsid w:val="005673CC"/>
    <w:rsid w:val="00567474"/>
    <w:rsid w:val="00567752"/>
    <w:rsid w:val="00567EFC"/>
    <w:rsid w:val="005701E2"/>
    <w:rsid w:val="0057040E"/>
    <w:rsid w:val="0057086E"/>
    <w:rsid w:val="00570FE4"/>
    <w:rsid w:val="005711E6"/>
    <w:rsid w:val="00571539"/>
    <w:rsid w:val="0057198D"/>
    <w:rsid w:val="00571AA6"/>
    <w:rsid w:val="00571BBF"/>
    <w:rsid w:val="00572267"/>
    <w:rsid w:val="005725C1"/>
    <w:rsid w:val="005726E0"/>
    <w:rsid w:val="0057288F"/>
    <w:rsid w:val="00572D3C"/>
    <w:rsid w:val="0057301D"/>
    <w:rsid w:val="00573D06"/>
    <w:rsid w:val="005752F3"/>
    <w:rsid w:val="0057626A"/>
    <w:rsid w:val="005766DA"/>
    <w:rsid w:val="00576716"/>
    <w:rsid w:val="00576CA0"/>
    <w:rsid w:val="005770BB"/>
    <w:rsid w:val="005771D9"/>
    <w:rsid w:val="005773AD"/>
    <w:rsid w:val="00577970"/>
    <w:rsid w:val="0058013F"/>
    <w:rsid w:val="00580268"/>
    <w:rsid w:val="005803FF"/>
    <w:rsid w:val="005804DD"/>
    <w:rsid w:val="00580FC4"/>
    <w:rsid w:val="00581185"/>
    <w:rsid w:val="005811BD"/>
    <w:rsid w:val="00581232"/>
    <w:rsid w:val="0058150B"/>
    <w:rsid w:val="00581D62"/>
    <w:rsid w:val="0058226F"/>
    <w:rsid w:val="005829FD"/>
    <w:rsid w:val="00582D91"/>
    <w:rsid w:val="00582E36"/>
    <w:rsid w:val="00583461"/>
    <w:rsid w:val="00583656"/>
    <w:rsid w:val="005837EC"/>
    <w:rsid w:val="00583888"/>
    <w:rsid w:val="00583E03"/>
    <w:rsid w:val="005840B5"/>
    <w:rsid w:val="005845BE"/>
    <w:rsid w:val="0058479C"/>
    <w:rsid w:val="00584966"/>
    <w:rsid w:val="00584A50"/>
    <w:rsid w:val="00584AFA"/>
    <w:rsid w:val="00584BBB"/>
    <w:rsid w:val="00584F52"/>
    <w:rsid w:val="00584F6C"/>
    <w:rsid w:val="00586439"/>
    <w:rsid w:val="005866B6"/>
    <w:rsid w:val="00586934"/>
    <w:rsid w:val="00586D2A"/>
    <w:rsid w:val="00586D55"/>
    <w:rsid w:val="00587424"/>
    <w:rsid w:val="005900E6"/>
    <w:rsid w:val="00590CE3"/>
    <w:rsid w:val="00590DE5"/>
    <w:rsid w:val="00590FF5"/>
    <w:rsid w:val="0059134D"/>
    <w:rsid w:val="00591F76"/>
    <w:rsid w:val="005933B3"/>
    <w:rsid w:val="005934E4"/>
    <w:rsid w:val="0059369B"/>
    <w:rsid w:val="00593761"/>
    <w:rsid w:val="00593B70"/>
    <w:rsid w:val="00594AFC"/>
    <w:rsid w:val="00594C28"/>
    <w:rsid w:val="005952B1"/>
    <w:rsid w:val="00595452"/>
    <w:rsid w:val="00595967"/>
    <w:rsid w:val="00595A8D"/>
    <w:rsid w:val="005962B4"/>
    <w:rsid w:val="005962E7"/>
    <w:rsid w:val="0059634A"/>
    <w:rsid w:val="005963AB"/>
    <w:rsid w:val="00596714"/>
    <w:rsid w:val="005969D7"/>
    <w:rsid w:val="00596A03"/>
    <w:rsid w:val="00596FCF"/>
    <w:rsid w:val="005970F1"/>
    <w:rsid w:val="00597680"/>
    <w:rsid w:val="0059771E"/>
    <w:rsid w:val="00597825"/>
    <w:rsid w:val="005A016A"/>
    <w:rsid w:val="005A068E"/>
    <w:rsid w:val="005A09DF"/>
    <w:rsid w:val="005A1BD9"/>
    <w:rsid w:val="005A250A"/>
    <w:rsid w:val="005A2582"/>
    <w:rsid w:val="005A29E9"/>
    <w:rsid w:val="005A2AA5"/>
    <w:rsid w:val="005A30EC"/>
    <w:rsid w:val="005A3A12"/>
    <w:rsid w:val="005A3F87"/>
    <w:rsid w:val="005A417A"/>
    <w:rsid w:val="005A4C0A"/>
    <w:rsid w:val="005A544B"/>
    <w:rsid w:val="005A6594"/>
    <w:rsid w:val="005A69C5"/>
    <w:rsid w:val="005A6A0C"/>
    <w:rsid w:val="005A71B7"/>
    <w:rsid w:val="005A7C8E"/>
    <w:rsid w:val="005B01F7"/>
    <w:rsid w:val="005B08D1"/>
    <w:rsid w:val="005B0E4F"/>
    <w:rsid w:val="005B1359"/>
    <w:rsid w:val="005B139E"/>
    <w:rsid w:val="005B1555"/>
    <w:rsid w:val="005B1C58"/>
    <w:rsid w:val="005B1D10"/>
    <w:rsid w:val="005B20DA"/>
    <w:rsid w:val="005B25C6"/>
    <w:rsid w:val="005B27A6"/>
    <w:rsid w:val="005B27FE"/>
    <w:rsid w:val="005B2F11"/>
    <w:rsid w:val="005B2F6D"/>
    <w:rsid w:val="005B3107"/>
    <w:rsid w:val="005B33F4"/>
    <w:rsid w:val="005B410E"/>
    <w:rsid w:val="005B4361"/>
    <w:rsid w:val="005B4867"/>
    <w:rsid w:val="005B50D4"/>
    <w:rsid w:val="005B519B"/>
    <w:rsid w:val="005B5563"/>
    <w:rsid w:val="005B55AB"/>
    <w:rsid w:val="005B55CB"/>
    <w:rsid w:val="005B5608"/>
    <w:rsid w:val="005B5654"/>
    <w:rsid w:val="005B5D90"/>
    <w:rsid w:val="005B6A58"/>
    <w:rsid w:val="005B6D25"/>
    <w:rsid w:val="005B75DC"/>
    <w:rsid w:val="005B76CA"/>
    <w:rsid w:val="005B7955"/>
    <w:rsid w:val="005B7BC5"/>
    <w:rsid w:val="005C0434"/>
    <w:rsid w:val="005C045B"/>
    <w:rsid w:val="005C05AD"/>
    <w:rsid w:val="005C06BF"/>
    <w:rsid w:val="005C0996"/>
    <w:rsid w:val="005C0E92"/>
    <w:rsid w:val="005C15AF"/>
    <w:rsid w:val="005C1901"/>
    <w:rsid w:val="005C195D"/>
    <w:rsid w:val="005C1A88"/>
    <w:rsid w:val="005C1AB6"/>
    <w:rsid w:val="005C1B80"/>
    <w:rsid w:val="005C1B81"/>
    <w:rsid w:val="005C24D8"/>
    <w:rsid w:val="005C2A88"/>
    <w:rsid w:val="005C2D94"/>
    <w:rsid w:val="005C2FF6"/>
    <w:rsid w:val="005C3381"/>
    <w:rsid w:val="005C367F"/>
    <w:rsid w:val="005C3790"/>
    <w:rsid w:val="005C3DF5"/>
    <w:rsid w:val="005C4A0D"/>
    <w:rsid w:val="005C4AFB"/>
    <w:rsid w:val="005C54AC"/>
    <w:rsid w:val="005C56E4"/>
    <w:rsid w:val="005C5961"/>
    <w:rsid w:val="005C5FAA"/>
    <w:rsid w:val="005C61C5"/>
    <w:rsid w:val="005C6290"/>
    <w:rsid w:val="005C6C3A"/>
    <w:rsid w:val="005C71D2"/>
    <w:rsid w:val="005C75F1"/>
    <w:rsid w:val="005C7B11"/>
    <w:rsid w:val="005D016C"/>
    <w:rsid w:val="005D1558"/>
    <w:rsid w:val="005D19B0"/>
    <w:rsid w:val="005D20BF"/>
    <w:rsid w:val="005D24DA"/>
    <w:rsid w:val="005D2916"/>
    <w:rsid w:val="005D2AA3"/>
    <w:rsid w:val="005D2C34"/>
    <w:rsid w:val="005D302E"/>
    <w:rsid w:val="005D31BD"/>
    <w:rsid w:val="005D3AA2"/>
    <w:rsid w:val="005D40AF"/>
    <w:rsid w:val="005D410D"/>
    <w:rsid w:val="005D481D"/>
    <w:rsid w:val="005D48D7"/>
    <w:rsid w:val="005D4EF4"/>
    <w:rsid w:val="005D50D1"/>
    <w:rsid w:val="005D5835"/>
    <w:rsid w:val="005D5959"/>
    <w:rsid w:val="005D5992"/>
    <w:rsid w:val="005D5C62"/>
    <w:rsid w:val="005D662C"/>
    <w:rsid w:val="005D69AB"/>
    <w:rsid w:val="005D6DE2"/>
    <w:rsid w:val="005D79C7"/>
    <w:rsid w:val="005D7A76"/>
    <w:rsid w:val="005D7FC5"/>
    <w:rsid w:val="005E0060"/>
    <w:rsid w:val="005E0120"/>
    <w:rsid w:val="005E0158"/>
    <w:rsid w:val="005E0163"/>
    <w:rsid w:val="005E0BE6"/>
    <w:rsid w:val="005E0F72"/>
    <w:rsid w:val="005E1046"/>
    <w:rsid w:val="005E1286"/>
    <w:rsid w:val="005E17B8"/>
    <w:rsid w:val="005E25ED"/>
    <w:rsid w:val="005E2DC7"/>
    <w:rsid w:val="005E3105"/>
    <w:rsid w:val="005E33BE"/>
    <w:rsid w:val="005E3665"/>
    <w:rsid w:val="005E3B77"/>
    <w:rsid w:val="005E45A0"/>
    <w:rsid w:val="005E46D6"/>
    <w:rsid w:val="005E47B5"/>
    <w:rsid w:val="005E48E1"/>
    <w:rsid w:val="005E4A44"/>
    <w:rsid w:val="005E4A97"/>
    <w:rsid w:val="005E4B14"/>
    <w:rsid w:val="005E4B69"/>
    <w:rsid w:val="005E4F8B"/>
    <w:rsid w:val="005E5163"/>
    <w:rsid w:val="005E5B67"/>
    <w:rsid w:val="005E6480"/>
    <w:rsid w:val="005E64B9"/>
    <w:rsid w:val="005E6834"/>
    <w:rsid w:val="005E700F"/>
    <w:rsid w:val="005E7BBC"/>
    <w:rsid w:val="005E7DB8"/>
    <w:rsid w:val="005F09CD"/>
    <w:rsid w:val="005F0AA2"/>
    <w:rsid w:val="005F0F47"/>
    <w:rsid w:val="005F1503"/>
    <w:rsid w:val="005F1AAB"/>
    <w:rsid w:val="005F256E"/>
    <w:rsid w:val="005F2D98"/>
    <w:rsid w:val="005F31B4"/>
    <w:rsid w:val="005F34EB"/>
    <w:rsid w:val="005F4088"/>
    <w:rsid w:val="005F4155"/>
    <w:rsid w:val="005F49B1"/>
    <w:rsid w:val="005F5A73"/>
    <w:rsid w:val="005F6159"/>
    <w:rsid w:val="005F6163"/>
    <w:rsid w:val="005F6706"/>
    <w:rsid w:val="005F6D54"/>
    <w:rsid w:val="005F6E6F"/>
    <w:rsid w:val="005F7739"/>
    <w:rsid w:val="005F7853"/>
    <w:rsid w:val="00600092"/>
    <w:rsid w:val="0060057B"/>
    <w:rsid w:val="00600B59"/>
    <w:rsid w:val="006015F5"/>
    <w:rsid w:val="00601AC5"/>
    <w:rsid w:val="00601D7A"/>
    <w:rsid w:val="00602DC3"/>
    <w:rsid w:val="0060394B"/>
    <w:rsid w:val="00603C0D"/>
    <w:rsid w:val="00604164"/>
    <w:rsid w:val="006042C2"/>
    <w:rsid w:val="006042D6"/>
    <w:rsid w:val="00604641"/>
    <w:rsid w:val="00604E41"/>
    <w:rsid w:val="00605072"/>
    <w:rsid w:val="006051EB"/>
    <w:rsid w:val="00605BDF"/>
    <w:rsid w:val="00605E41"/>
    <w:rsid w:val="006060F9"/>
    <w:rsid w:val="006066D2"/>
    <w:rsid w:val="00606F86"/>
    <w:rsid w:val="006079E0"/>
    <w:rsid w:val="00607AB9"/>
    <w:rsid w:val="00607C69"/>
    <w:rsid w:val="00607FD7"/>
    <w:rsid w:val="00610B14"/>
    <w:rsid w:val="006112BD"/>
    <w:rsid w:val="006119C8"/>
    <w:rsid w:val="00611D81"/>
    <w:rsid w:val="00612C3B"/>
    <w:rsid w:val="00612F13"/>
    <w:rsid w:val="006132C8"/>
    <w:rsid w:val="006137A6"/>
    <w:rsid w:val="006139A4"/>
    <w:rsid w:val="00613D2D"/>
    <w:rsid w:val="00614040"/>
    <w:rsid w:val="0061405E"/>
    <w:rsid w:val="00614061"/>
    <w:rsid w:val="006140A6"/>
    <w:rsid w:val="00614236"/>
    <w:rsid w:val="00614359"/>
    <w:rsid w:val="00614CA0"/>
    <w:rsid w:val="006152C2"/>
    <w:rsid w:val="006153D8"/>
    <w:rsid w:val="00615525"/>
    <w:rsid w:val="0061596B"/>
    <w:rsid w:val="00615EBF"/>
    <w:rsid w:val="00616293"/>
    <w:rsid w:val="00616A77"/>
    <w:rsid w:val="00616AE1"/>
    <w:rsid w:val="00616B1F"/>
    <w:rsid w:val="00616CA6"/>
    <w:rsid w:val="00620633"/>
    <w:rsid w:val="00620A05"/>
    <w:rsid w:val="00620C69"/>
    <w:rsid w:val="0062100D"/>
    <w:rsid w:val="006212FB"/>
    <w:rsid w:val="0062161B"/>
    <w:rsid w:val="00621B19"/>
    <w:rsid w:val="00622692"/>
    <w:rsid w:val="00622D96"/>
    <w:rsid w:val="00623064"/>
    <w:rsid w:val="006231DE"/>
    <w:rsid w:val="006234D4"/>
    <w:rsid w:val="00623C74"/>
    <w:rsid w:val="00624830"/>
    <w:rsid w:val="00625285"/>
    <w:rsid w:val="00625888"/>
    <w:rsid w:val="00625AF3"/>
    <w:rsid w:val="00626879"/>
    <w:rsid w:val="00626D4F"/>
    <w:rsid w:val="00626F3D"/>
    <w:rsid w:val="00627932"/>
    <w:rsid w:val="00627968"/>
    <w:rsid w:val="00627CCC"/>
    <w:rsid w:val="006303D6"/>
    <w:rsid w:val="00630406"/>
    <w:rsid w:val="006304E2"/>
    <w:rsid w:val="00630988"/>
    <w:rsid w:val="0063212A"/>
    <w:rsid w:val="0063215D"/>
    <w:rsid w:val="006328C8"/>
    <w:rsid w:val="00632B8E"/>
    <w:rsid w:val="00632C64"/>
    <w:rsid w:val="00632D86"/>
    <w:rsid w:val="006332A2"/>
    <w:rsid w:val="006333B5"/>
    <w:rsid w:val="00633DC8"/>
    <w:rsid w:val="006340C4"/>
    <w:rsid w:val="0063440A"/>
    <w:rsid w:val="006348BD"/>
    <w:rsid w:val="00634F27"/>
    <w:rsid w:val="00635AEA"/>
    <w:rsid w:val="0063622B"/>
    <w:rsid w:val="0063634D"/>
    <w:rsid w:val="0063639D"/>
    <w:rsid w:val="00636D8F"/>
    <w:rsid w:val="00636F0C"/>
    <w:rsid w:val="00637275"/>
    <w:rsid w:val="006379E2"/>
    <w:rsid w:val="0064098B"/>
    <w:rsid w:val="00640FE5"/>
    <w:rsid w:val="00641597"/>
    <w:rsid w:val="00641FA4"/>
    <w:rsid w:val="006421B8"/>
    <w:rsid w:val="006422F8"/>
    <w:rsid w:val="00642336"/>
    <w:rsid w:val="00642428"/>
    <w:rsid w:val="00642D9B"/>
    <w:rsid w:val="0064339F"/>
    <w:rsid w:val="00643690"/>
    <w:rsid w:val="006437E3"/>
    <w:rsid w:val="00643A62"/>
    <w:rsid w:val="00643F6E"/>
    <w:rsid w:val="00644265"/>
    <w:rsid w:val="00644CFB"/>
    <w:rsid w:val="00644E2C"/>
    <w:rsid w:val="00644F42"/>
    <w:rsid w:val="006461DD"/>
    <w:rsid w:val="00646EFD"/>
    <w:rsid w:val="00647520"/>
    <w:rsid w:val="00647703"/>
    <w:rsid w:val="00647D36"/>
    <w:rsid w:val="00647FF9"/>
    <w:rsid w:val="0065016A"/>
    <w:rsid w:val="006504E5"/>
    <w:rsid w:val="00650811"/>
    <w:rsid w:val="00650C46"/>
    <w:rsid w:val="006514D8"/>
    <w:rsid w:val="00651828"/>
    <w:rsid w:val="0065185C"/>
    <w:rsid w:val="00651931"/>
    <w:rsid w:val="0065198C"/>
    <w:rsid w:val="00652089"/>
    <w:rsid w:val="006521B0"/>
    <w:rsid w:val="0065299E"/>
    <w:rsid w:val="00652AF0"/>
    <w:rsid w:val="00652B64"/>
    <w:rsid w:val="00652B90"/>
    <w:rsid w:val="00652C1F"/>
    <w:rsid w:val="00653444"/>
    <w:rsid w:val="00653969"/>
    <w:rsid w:val="006548C8"/>
    <w:rsid w:val="00655499"/>
    <w:rsid w:val="00655635"/>
    <w:rsid w:val="0065575D"/>
    <w:rsid w:val="00655FAC"/>
    <w:rsid w:val="00656AB0"/>
    <w:rsid w:val="00656ECB"/>
    <w:rsid w:val="00657018"/>
    <w:rsid w:val="00657602"/>
    <w:rsid w:val="00657D13"/>
    <w:rsid w:val="00657D3E"/>
    <w:rsid w:val="00657EE5"/>
    <w:rsid w:val="00660A35"/>
    <w:rsid w:val="00660F42"/>
    <w:rsid w:val="00661CD0"/>
    <w:rsid w:val="00661D7D"/>
    <w:rsid w:val="00661DA6"/>
    <w:rsid w:val="00661E3B"/>
    <w:rsid w:val="00662204"/>
    <w:rsid w:val="006638B7"/>
    <w:rsid w:val="00663D86"/>
    <w:rsid w:val="00663E3C"/>
    <w:rsid w:val="0066418C"/>
    <w:rsid w:val="006642DF"/>
    <w:rsid w:val="00664739"/>
    <w:rsid w:val="006647E7"/>
    <w:rsid w:val="00664AFF"/>
    <w:rsid w:val="00665003"/>
    <w:rsid w:val="006651D8"/>
    <w:rsid w:val="006659C1"/>
    <w:rsid w:val="00665B5F"/>
    <w:rsid w:val="00665BAE"/>
    <w:rsid w:val="00665C5B"/>
    <w:rsid w:val="00665CB7"/>
    <w:rsid w:val="00665CD6"/>
    <w:rsid w:val="00665DE7"/>
    <w:rsid w:val="00666314"/>
    <w:rsid w:val="00666756"/>
    <w:rsid w:val="0066687E"/>
    <w:rsid w:val="00667684"/>
    <w:rsid w:val="00667880"/>
    <w:rsid w:val="00667A3D"/>
    <w:rsid w:val="00667C57"/>
    <w:rsid w:val="00667F9D"/>
    <w:rsid w:val="0067009C"/>
    <w:rsid w:val="0067014C"/>
    <w:rsid w:val="00670E84"/>
    <w:rsid w:val="00670FF9"/>
    <w:rsid w:val="00671976"/>
    <w:rsid w:val="00671D31"/>
    <w:rsid w:val="006721B4"/>
    <w:rsid w:val="006723C0"/>
    <w:rsid w:val="00672429"/>
    <w:rsid w:val="0067252F"/>
    <w:rsid w:val="006730EA"/>
    <w:rsid w:val="006738D1"/>
    <w:rsid w:val="0067398B"/>
    <w:rsid w:val="006746EF"/>
    <w:rsid w:val="00674989"/>
    <w:rsid w:val="00674C8B"/>
    <w:rsid w:val="00674F61"/>
    <w:rsid w:val="00675922"/>
    <w:rsid w:val="00675A92"/>
    <w:rsid w:val="00675ACB"/>
    <w:rsid w:val="00676078"/>
    <w:rsid w:val="006766C7"/>
    <w:rsid w:val="00676AC9"/>
    <w:rsid w:val="00676BB1"/>
    <w:rsid w:val="00677565"/>
    <w:rsid w:val="00677C93"/>
    <w:rsid w:val="0068099B"/>
    <w:rsid w:val="00680F66"/>
    <w:rsid w:val="00681376"/>
    <w:rsid w:val="006816F2"/>
    <w:rsid w:val="0068198B"/>
    <w:rsid w:val="00681AF9"/>
    <w:rsid w:val="00681C6F"/>
    <w:rsid w:val="00683212"/>
    <w:rsid w:val="00683921"/>
    <w:rsid w:val="00683C67"/>
    <w:rsid w:val="00684059"/>
    <w:rsid w:val="0068478C"/>
    <w:rsid w:val="00684A60"/>
    <w:rsid w:val="00684B2F"/>
    <w:rsid w:val="00684E09"/>
    <w:rsid w:val="00685272"/>
    <w:rsid w:val="006857C0"/>
    <w:rsid w:val="00686155"/>
    <w:rsid w:val="006866DA"/>
    <w:rsid w:val="0068677C"/>
    <w:rsid w:val="00686ED4"/>
    <w:rsid w:val="006878CD"/>
    <w:rsid w:val="006879C4"/>
    <w:rsid w:val="00687CD1"/>
    <w:rsid w:val="006907AB"/>
    <w:rsid w:val="00690822"/>
    <w:rsid w:val="0069089A"/>
    <w:rsid w:val="0069099A"/>
    <w:rsid w:val="006912DA"/>
    <w:rsid w:val="006914E0"/>
    <w:rsid w:val="006914FF"/>
    <w:rsid w:val="0069155F"/>
    <w:rsid w:val="00691D19"/>
    <w:rsid w:val="00691FC8"/>
    <w:rsid w:val="006920BB"/>
    <w:rsid w:val="0069286C"/>
    <w:rsid w:val="006931F5"/>
    <w:rsid w:val="00693B3A"/>
    <w:rsid w:val="0069458E"/>
    <w:rsid w:val="006945BF"/>
    <w:rsid w:val="00694C4C"/>
    <w:rsid w:val="0069546C"/>
    <w:rsid w:val="00695E18"/>
    <w:rsid w:val="00696828"/>
    <w:rsid w:val="00696FF1"/>
    <w:rsid w:val="006971F2"/>
    <w:rsid w:val="00697C5E"/>
    <w:rsid w:val="00697E26"/>
    <w:rsid w:val="006A00A8"/>
    <w:rsid w:val="006A0425"/>
    <w:rsid w:val="006A0B3B"/>
    <w:rsid w:val="006A0B6D"/>
    <w:rsid w:val="006A0D52"/>
    <w:rsid w:val="006A0DF2"/>
    <w:rsid w:val="006A1695"/>
    <w:rsid w:val="006A185A"/>
    <w:rsid w:val="006A27F2"/>
    <w:rsid w:val="006A28A9"/>
    <w:rsid w:val="006A3538"/>
    <w:rsid w:val="006A3A89"/>
    <w:rsid w:val="006A41A8"/>
    <w:rsid w:val="006A4612"/>
    <w:rsid w:val="006A4ADE"/>
    <w:rsid w:val="006A4E8E"/>
    <w:rsid w:val="006A52C0"/>
    <w:rsid w:val="006A52FC"/>
    <w:rsid w:val="006A5EEF"/>
    <w:rsid w:val="006A611C"/>
    <w:rsid w:val="006A6910"/>
    <w:rsid w:val="006A7295"/>
    <w:rsid w:val="006A79C7"/>
    <w:rsid w:val="006B073A"/>
    <w:rsid w:val="006B0F20"/>
    <w:rsid w:val="006B1693"/>
    <w:rsid w:val="006B2014"/>
    <w:rsid w:val="006B3438"/>
    <w:rsid w:val="006B34DC"/>
    <w:rsid w:val="006B3930"/>
    <w:rsid w:val="006B3B6B"/>
    <w:rsid w:val="006B4166"/>
    <w:rsid w:val="006B42EF"/>
    <w:rsid w:val="006B4B63"/>
    <w:rsid w:val="006B536E"/>
    <w:rsid w:val="006B55A0"/>
    <w:rsid w:val="006B576A"/>
    <w:rsid w:val="006B5CBA"/>
    <w:rsid w:val="006B5D21"/>
    <w:rsid w:val="006B5E3A"/>
    <w:rsid w:val="006B5FA5"/>
    <w:rsid w:val="006B64A5"/>
    <w:rsid w:val="006B6C89"/>
    <w:rsid w:val="006B744D"/>
    <w:rsid w:val="006B76E6"/>
    <w:rsid w:val="006B7BF7"/>
    <w:rsid w:val="006B7E11"/>
    <w:rsid w:val="006C0ECF"/>
    <w:rsid w:val="006C10AA"/>
    <w:rsid w:val="006C1668"/>
    <w:rsid w:val="006C17E6"/>
    <w:rsid w:val="006C1B28"/>
    <w:rsid w:val="006C2654"/>
    <w:rsid w:val="006C2A39"/>
    <w:rsid w:val="006C2BFB"/>
    <w:rsid w:val="006C2DCA"/>
    <w:rsid w:val="006C2EF8"/>
    <w:rsid w:val="006C3069"/>
    <w:rsid w:val="006C31CC"/>
    <w:rsid w:val="006C3262"/>
    <w:rsid w:val="006C3AC9"/>
    <w:rsid w:val="006C404A"/>
    <w:rsid w:val="006C482D"/>
    <w:rsid w:val="006C538E"/>
    <w:rsid w:val="006C618E"/>
    <w:rsid w:val="006C67E2"/>
    <w:rsid w:val="006C7610"/>
    <w:rsid w:val="006C7A40"/>
    <w:rsid w:val="006D09F2"/>
    <w:rsid w:val="006D1A1C"/>
    <w:rsid w:val="006D2194"/>
    <w:rsid w:val="006D38C7"/>
    <w:rsid w:val="006D437A"/>
    <w:rsid w:val="006D4BCA"/>
    <w:rsid w:val="006D4C28"/>
    <w:rsid w:val="006D4CAF"/>
    <w:rsid w:val="006D566A"/>
    <w:rsid w:val="006D580D"/>
    <w:rsid w:val="006D5C7F"/>
    <w:rsid w:val="006D5F62"/>
    <w:rsid w:val="006D6395"/>
    <w:rsid w:val="006D64FD"/>
    <w:rsid w:val="006D65BA"/>
    <w:rsid w:val="006D6E6E"/>
    <w:rsid w:val="006D7313"/>
    <w:rsid w:val="006D7332"/>
    <w:rsid w:val="006D7522"/>
    <w:rsid w:val="006D7BF8"/>
    <w:rsid w:val="006E01E1"/>
    <w:rsid w:val="006E03FA"/>
    <w:rsid w:val="006E0455"/>
    <w:rsid w:val="006E0BC3"/>
    <w:rsid w:val="006E0C04"/>
    <w:rsid w:val="006E0CB9"/>
    <w:rsid w:val="006E0D50"/>
    <w:rsid w:val="006E0E05"/>
    <w:rsid w:val="006E1185"/>
    <w:rsid w:val="006E14A0"/>
    <w:rsid w:val="006E158C"/>
    <w:rsid w:val="006E15AD"/>
    <w:rsid w:val="006E2667"/>
    <w:rsid w:val="006E3005"/>
    <w:rsid w:val="006E317E"/>
    <w:rsid w:val="006E32EE"/>
    <w:rsid w:val="006E36D5"/>
    <w:rsid w:val="006E3B42"/>
    <w:rsid w:val="006E3CCE"/>
    <w:rsid w:val="006E3D61"/>
    <w:rsid w:val="006E46BE"/>
    <w:rsid w:val="006E47F1"/>
    <w:rsid w:val="006E4A3F"/>
    <w:rsid w:val="006E4E59"/>
    <w:rsid w:val="006E50B7"/>
    <w:rsid w:val="006E52A2"/>
    <w:rsid w:val="006E5914"/>
    <w:rsid w:val="006E5E22"/>
    <w:rsid w:val="006E6038"/>
    <w:rsid w:val="006E6283"/>
    <w:rsid w:val="006E665B"/>
    <w:rsid w:val="006E671D"/>
    <w:rsid w:val="006E6789"/>
    <w:rsid w:val="006E67FB"/>
    <w:rsid w:val="006E68C8"/>
    <w:rsid w:val="006E6A51"/>
    <w:rsid w:val="006E6C4F"/>
    <w:rsid w:val="006E6D51"/>
    <w:rsid w:val="006E6DF7"/>
    <w:rsid w:val="006E73BB"/>
    <w:rsid w:val="006E79F7"/>
    <w:rsid w:val="006E7BAA"/>
    <w:rsid w:val="006F0759"/>
    <w:rsid w:val="006F081A"/>
    <w:rsid w:val="006F0854"/>
    <w:rsid w:val="006F089D"/>
    <w:rsid w:val="006F1D71"/>
    <w:rsid w:val="006F2372"/>
    <w:rsid w:val="006F23E6"/>
    <w:rsid w:val="006F270D"/>
    <w:rsid w:val="006F27E8"/>
    <w:rsid w:val="006F305D"/>
    <w:rsid w:val="006F30C1"/>
    <w:rsid w:val="006F3119"/>
    <w:rsid w:val="006F3809"/>
    <w:rsid w:val="006F38E3"/>
    <w:rsid w:val="006F3D18"/>
    <w:rsid w:val="006F4111"/>
    <w:rsid w:val="006F42A4"/>
    <w:rsid w:val="006F472B"/>
    <w:rsid w:val="006F50CF"/>
    <w:rsid w:val="006F52DF"/>
    <w:rsid w:val="006F630F"/>
    <w:rsid w:val="006F6A09"/>
    <w:rsid w:val="006F6B8B"/>
    <w:rsid w:val="006F706C"/>
    <w:rsid w:val="006F73F4"/>
    <w:rsid w:val="006F754D"/>
    <w:rsid w:val="006F7E56"/>
    <w:rsid w:val="006F7E9E"/>
    <w:rsid w:val="006F7FCD"/>
    <w:rsid w:val="0070010E"/>
    <w:rsid w:val="00700588"/>
    <w:rsid w:val="00700656"/>
    <w:rsid w:val="007006E6"/>
    <w:rsid w:val="007016BD"/>
    <w:rsid w:val="00701787"/>
    <w:rsid w:val="0070197C"/>
    <w:rsid w:val="00701E75"/>
    <w:rsid w:val="00702169"/>
    <w:rsid w:val="007025E9"/>
    <w:rsid w:val="00702664"/>
    <w:rsid w:val="00702A9B"/>
    <w:rsid w:val="00702C40"/>
    <w:rsid w:val="00703038"/>
    <w:rsid w:val="007030C8"/>
    <w:rsid w:val="00703BEE"/>
    <w:rsid w:val="00703FF7"/>
    <w:rsid w:val="007041DD"/>
    <w:rsid w:val="00704B7C"/>
    <w:rsid w:val="007050BD"/>
    <w:rsid w:val="00705570"/>
    <w:rsid w:val="007057AD"/>
    <w:rsid w:val="007065AA"/>
    <w:rsid w:val="00706ADC"/>
    <w:rsid w:val="00706AE3"/>
    <w:rsid w:val="00706E97"/>
    <w:rsid w:val="007071A3"/>
    <w:rsid w:val="00707206"/>
    <w:rsid w:val="007100A8"/>
    <w:rsid w:val="00710FE6"/>
    <w:rsid w:val="00711799"/>
    <w:rsid w:val="00711B2B"/>
    <w:rsid w:val="00711E3C"/>
    <w:rsid w:val="00711FAA"/>
    <w:rsid w:val="007120C7"/>
    <w:rsid w:val="00712144"/>
    <w:rsid w:val="00712470"/>
    <w:rsid w:val="007126B0"/>
    <w:rsid w:val="007129C3"/>
    <w:rsid w:val="007129E9"/>
    <w:rsid w:val="007130B6"/>
    <w:rsid w:val="00713260"/>
    <w:rsid w:val="0071345A"/>
    <w:rsid w:val="007134F1"/>
    <w:rsid w:val="00714514"/>
    <w:rsid w:val="007148A9"/>
    <w:rsid w:val="007149A0"/>
    <w:rsid w:val="00714A01"/>
    <w:rsid w:val="00714B6D"/>
    <w:rsid w:val="00715D13"/>
    <w:rsid w:val="00715E9E"/>
    <w:rsid w:val="00715F3F"/>
    <w:rsid w:val="007165C5"/>
    <w:rsid w:val="0071682D"/>
    <w:rsid w:val="0071728C"/>
    <w:rsid w:val="0071760F"/>
    <w:rsid w:val="00717718"/>
    <w:rsid w:val="007177CD"/>
    <w:rsid w:val="00717A12"/>
    <w:rsid w:val="00720B27"/>
    <w:rsid w:val="00720B5A"/>
    <w:rsid w:val="00720E3D"/>
    <w:rsid w:val="007217A3"/>
    <w:rsid w:val="007218C2"/>
    <w:rsid w:val="00721FCB"/>
    <w:rsid w:val="00722636"/>
    <w:rsid w:val="00722DCA"/>
    <w:rsid w:val="00723076"/>
    <w:rsid w:val="0072343E"/>
    <w:rsid w:val="007235A6"/>
    <w:rsid w:val="007244E3"/>
    <w:rsid w:val="007245C3"/>
    <w:rsid w:val="00724A57"/>
    <w:rsid w:val="00724AD7"/>
    <w:rsid w:val="00724C17"/>
    <w:rsid w:val="00725690"/>
    <w:rsid w:val="00725EC3"/>
    <w:rsid w:val="00725EF2"/>
    <w:rsid w:val="0072604E"/>
    <w:rsid w:val="007260F3"/>
    <w:rsid w:val="0072623B"/>
    <w:rsid w:val="0072627F"/>
    <w:rsid w:val="0072630F"/>
    <w:rsid w:val="0072633C"/>
    <w:rsid w:val="007263B7"/>
    <w:rsid w:val="00726F88"/>
    <w:rsid w:val="0072723A"/>
    <w:rsid w:val="0072770E"/>
    <w:rsid w:val="00727A15"/>
    <w:rsid w:val="00727C46"/>
    <w:rsid w:val="00727FCB"/>
    <w:rsid w:val="007301DD"/>
    <w:rsid w:val="0073022B"/>
    <w:rsid w:val="007307C7"/>
    <w:rsid w:val="00730898"/>
    <w:rsid w:val="007308E7"/>
    <w:rsid w:val="0073098D"/>
    <w:rsid w:val="00730CBA"/>
    <w:rsid w:val="007310B4"/>
    <w:rsid w:val="00731134"/>
    <w:rsid w:val="0073138A"/>
    <w:rsid w:val="007316E3"/>
    <w:rsid w:val="00731E73"/>
    <w:rsid w:val="00731F66"/>
    <w:rsid w:val="007321FC"/>
    <w:rsid w:val="00732232"/>
    <w:rsid w:val="00732525"/>
    <w:rsid w:val="00732549"/>
    <w:rsid w:val="00732572"/>
    <w:rsid w:val="00732C8E"/>
    <w:rsid w:val="00732D02"/>
    <w:rsid w:val="007335C8"/>
    <w:rsid w:val="00734432"/>
    <w:rsid w:val="007346BD"/>
    <w:rsid w:val="00734BBC"/>
    <w:rsid w:val="00734C77"/>
    <w:rsid w:val="00734D20"/>
    <w:rsid w:val="007351C1"/>
    <w:rsid w:val="00735392"/>
    <w:rsid w:val="007357FD"/>
    <w:rsid w:val="0073584A"/>
    <w:rsid w:val="00735919"/>
    <w:rsid w:val="00735EBA"/>
    <w:rsid w:val="007365A9"/>
    <w:rsid w:val="00736989"/>
    <w:rsid w:val="00736A6B"/>
    <w:rsid w:val="00736F11"/>
    <w:rsid w:val="00736F8D"/>
    <w:rsid w:val="0073743F"/>
    <w:rsid w:val="00737D6F"/>
    <w:rsid w:val="0074063A"/>
    <w:rsid w:val="007408CA"/>
    <w:rsid w:val="007409D7"/>
    <w:rsid w:val="00740BC2"/>
    <w:rsid w:val="00740C0D"/>
    <w:rsid w:val="00740E4F"/>
    <w:rsid w:val="0074174E"/>
    <w:rsid w:val="00741980"/>
    <w:rsid w:val="0074227A"/>
    <w:rsid w:val="007426F9"/>
    <w:rsid w:val="00742BD2"/>
    <w:rsid w:val="00742C48"/>
    <w:rsid w:val="007430C9"/>
    <w:rsid w:val="00743384"/>
    <w:rsid w:val="007435E3"/>
    <w:rsid w:val="00744339"/>
    <w:rsid w:val="00744AD4"/>
    <w:rsid w:val="00744C69"/>
    <w:rsid w:val="00745B44"/>
    <w:rsid w:val="007460BB"/>
    <w:rsid w:val="00747191"/>
    <w:rsid w:val="007471BE"/>
    <w:rsid w:val="0074751B"/>
    <w:rsid w:val="007478C9"/>
    <w:rsid w:val="0075032D"/>
    <w:rsid w:val="0075059D"/>
    <w:rsid w:val="00750954"/>
    <w:rsid w:val="00750E0C"/>
    <w:rsid w:val="0075172C"/>
    <w:rsid w:val="007518EF"/>
    <w:rsid w:val="00751D47"/>
    <w:rsid w:val="00751E94"/>
    <w:rsid w:val="00752DC9"/>
    <w:rsid w:val="007536A2"/>
    <w:rsid w:val="00753C47"/>
    <w:rsid w:val="00753CA6"/>
    <w:rsid w:val="00754001"/>
    <w:rsid w:val="00754D68"/>
    <w:rsid w:val="0075505E"/>
    <w:rsid w:val="007553CC"/>
    <w:rsid w:val="00755455"/>
    <w:rsid w:val="0075584D"/>
    <w:rsid w:val="007558C8"/>
    <w:rsid w:val="00755A1D"/>
    <w:rsid w:val="00755DF3"/>
    <w:rsid w:val="0075618F"/>
    <w:rsid w:val="0075735A"/>
    <w:rsid w:val="007600D9"/>
    <w:rsid w:val="00760C32"/>
    <w:rsid w:val="00760C50"/>
    <w:rsid w:val="00760CF7"/>
    <w:rsid w:val="007612B1"/>
    <w:rsid w:val="00761697"/>
    <w:rsid w:val="00761A08"/>
    <w:rsid w:val="00761A81"/>
    <w:rsid w:val="00762590"/>
    <w:rsid w:val="00762725"/>
    <w:rsid w:val="007627DD"/>
    <w:rsid w:val="00762A4F"/>
    <w:rsid w:val="007635A1"/>
    <w:rsid w:val="0076412F"/>
    <w:rsid w:val="007645B4"/>
    <w:rsid w:val="00765304"/>
    <w:rsid w:val="007654B5"/>
    <w:rsid w:val="00765A76"/>
    <w:rsid w:val="007661FB"/>
    <w:rsid w:val="00766327"/>
    <w:rsid w:val="00766342"/>
    <w:rsid w:val="007669FC"/>
    <w:rsid w:val="007677F5"/>
    <w:rsid w:val="00767CD0"/>
    <w:rsid w:val="0077021C"/>
    <w:rsid w:val="00770C7E"/>
    <w:rsid w:val="0077100F"/>
    <w:rsid w:val="007710C9"/>
    <w:rsid w:val="0077149B"/>
    <w:rsid w:val="007714D4"/>
    <w:rsid w:val="00771E7F"/>
    <w:rsid w:val="00771EBA"/>
    <w:rsid w:val="00772213"/>
    <w:rsid w:val="00772984"/>
    <w:rsid w:val="00772D5B"/>
    <w:rsid w:val="00772F41"/>
    <w:rsid w:val="00773A9A"/>
    <w:rsid w:val="00774469"/>
    <w:rsid w:val="00774543"/>
    <w:rsid w:val="0077552C"/>
    <w:rsid w:val="00775555"/>
    <w:rsid w:val="00776116"/>
    <w:rsid w:val="00776500"/>
    <w:rsid w:val="00776828"/>
    <w:rsid w:val="00776948"/>
    <w:rsid w:val="00777793"/>
    <w:rsid w:val="007778F3"/>
    <w:rsid w:val="00777A84"/>
    <w:rsid w:val="00780153"/>
    <w:rsid w:val="007808A9"/>
    <w:rsid w:val="00780C1A"/>
    <w:rsid w:val="00781062"/>
    <w:rsid w:val="007810A9"/>
    <w:rsid w:val="0078230A"/>
    <w:rsid w:val="007825F7"/>
    <w:rsid w:val="007828AC"/>
    <w:rsid w:val="00782BB4"/>
    <w:rsid w:val="00782BF7"/>
    <w:rsid w:val="007831F6"/>
    <w:rsid w:val="00783234"/>
    <w:rsid w:val="00783A5A"/>
    <w:rsid w:val="00783C47"/>
    <w:rsid w:val="00783DCC"/>
    <w:rsid w:val="00783DDC"/>
    <w:rsid w:val="00783F9D"/>
    <w:rsid w:val="007846A8"/>
    <w:rsid w:val="00784866"/>
    <w:rsid w:val="00785508"/>
    <w:rsid w:val="0078557B"/>
    <w:rsid w:val="00785A0A"/>
    <w:rsid w:val="00785BDC"/>
    <w:rsid w:val="00786B3A"/>
    <w:rsid w:val="00786BC7"/>
    <w:rsid w:val="007872A4"/>
    <w:rsid w:val="0078764D"/>
    <w:rsid w:val="00787A4C"/>
    <w:rsid w:val="00787BD5"/>
    <w:rsid w:val="00787D59"/>
    <w:rsid w:val="00787F4D"/>
    <w:rsid w:val="0079015B"/>
    <w:rsid w:val="0079026C"/>
    <w:rsid w:val="00791138"/>
    <w:rsid w:val="00792F47"/>
    <w:rsid w:val="00792F67"/>
    <w:rsid w:val="0079357A"/>
    <w:rsid w:val="007939DB"/>
    <w:rsid w:val="0079463B"/>
    <w:rsid w:val="0079484F"/>
    <w:rsid w:val="00794FF2"/>
    <w:rsid w:val="00795431"/>
    <w:rsid w:val="00795C15"/>
    <w:rsid w:val="0079602F"/>
    <w:rsid w:val="00796228"/>
    <w:rsid w:val="0079643C"/>
    <w:rsid w:val="00796518"/>
    <w:rsid w:val="0079686D"/>
    <w:rsid w:val="0079695C"/>
    <w:rsid w:val="00796FB6"/>
    <w:rsid w:val="00797084"/>
    <w:rsid w:val="0079726D"/>
    <w:rsid w:val="00797B5D"/>
    <w:rsid w:val="00797EB5"/>
    <w:rsid w:val="007A0487"/>
    <w:rsid w:val="007A064E"/>
    <w:rsid w:val="007A0C28"/>
    <w:rsid w:val="007A0D20"/>
    <w:rsid w:val="007A1810"/>
    <w:rsid w:val="007A288D"/>
    <w:rsid w:val="007A3746"/>
    <w:rsid w:val="007A3B60"/>
    <w:rsid w:val="007A3EEB"/>
    <w:rsid w:val="007A51A6"/>
    <w:rsid w:val="007A64A9"/>
    <w:rsid w:val="007A6B39"/>
    <w:rsid w:val="007A6FEE"/>
    <w:rsid w:val="007A7783"/>
    <w:rsid w:val="007A7CC7"/>
    <w:rsid w:val="007A7E32"/>
    <w:rsid w:val="007B01A5"/>
    <w:rsid w:val="007B09AD"/>
    <w:rsid w:val="007B19DF"/>
    <w:rsid w:val="007B1B08"/>
    <w:rsid w:val="007B1C55"/>
    <w:rsid w:val="007B1EFD"/>
    <w:rsid w:val="007B1F9C"/>
    <w:rsid w:val="007B28E1"/>
    <w:rsid w:val="007B2E83"/>
    <w:rsid w:val="007B3664"/>
    <w:rsid w:val="007B3B3E"/>
    <w:rsid w:val="007B3D66"/>
    <w:rsid w:val="007B4201"/>
    <w:rsid w:val="007B4C52"/>
    <w:rsid w:val="007B5058"/>
    <w:rsid w:val="007B54C1"/>
    <w:rsid w:val="007B55DC"/>
    <w:rsid w:val="007B600C"/>
    <w:rsid w:val="007B6325"/>
    <w:rsid w:val="007B63BA"/>
    <w:rsid w:val="007B6BF0"/>
    <w:rsid w:val="007B761E"/>
    <w:rsid w:val="007B7813"/>
    <w:rsid w:val="007C00BB"/>
    <w:rsid w:val="007C01E3"/>
    <w:rsid w:val="007C04E3"/>
    <w:rsid w:val="007C07A1"/>
    <w:rsid w:val="007C08BB"/>
    <w:rsid w:val="007C14F7"/>
    <w:rsid w:val="007C15B7"/>
    <w:rsid w:val="007C1955"/>
    <w:rsid w:val="007C1A2F"/>
    <w:rsid w:val="007C1D5A"/>
    <w:rsid w:val="007C22F8"/>
    <w:rsid w:val="007C2805"/>
    <w:rsid w:val="007C346A"/>
    <w:rsid w:val="007C3931"/>
    <w:rsid w:val="007C3D8A"/>
    <w:rsid w:val="007C3F67"/>
    <w:rsid w:val="007C43B0"/>
    <w:rsid w:val="007C47B4"/>
    <w:rsid w:val="007C50B1"/>
    <w:rsid w:val="007C5130"/>
    <w:rsid w:val="007C5B1D"/>
    <w:rsid w:val="007C6487"/>
    <w:rsid w:val="007C675A"/>
    <w:rsid w:val="007C6882"/>
    <w:rsid w:val="007C6EAE"/>
    <w:rsid w:val="007C7458"/>
    <w:rsid w:val="007C7C1A"/>
    <w:rsid w:val="007D0124"/>
    <w:rsid w:val="007D0887"/>
    <w:rsid w:val="007D0F5C"/>
    <w:rsid w:val="007D11E9"/>
    <w:rsid w:val="007D163E"/>
    <w:rsid w:val="007D17B2"/>
    <w:rsid w:val="007D1B55"/>
    <w:rsid w:val="007D1DD0"/>
    <w:rsid w:val="007D201A"/>
    <w:rsid w:val="007D21ED"/>
    <w:rsid w:val="007D229B"/>
    <w:rsid w:val="007D24B2"/>
    <w:rsid w:val="007D24BF"/>
    <w:rsid w:val="007D26A8"/>
    <w:rsid w:val="007D26BD"/>
    <w:rsid w:val="007D33DA"/>
    <w:rsid w:val="007D33EC"/>
    <w:rsid w:val="007D4320"/>
    <w:rsid w:val="007D457C"/>
    <w:rsid w:val="007D54B4"/>
    <w:rsid w:val="007D57C0"/>
    <w:rsid w:val="007D5889"/>
    <w:rsid w:val="007D5F9D"/>
    <w:rsid w:val="007D6A60"/>
    <w:rsid w:val="007D6BE3"/>
    <w:rsid w:val="007D722B"/>
    <w:rsid w:val="007D7899"/>
    <w:rsid w:val="007D7D27"/>
    <w:rsid w:val="007D7DE7"/>
    <w:rsid w:val="007E0B21"/>
    <w:rsid w:val="007E1025"/>
    <w:rsid w:val="007E184F"/>
    <w:rsid w:val="007E19E1"/>
    <w:rsid w:val="007E1D8A"/>
    <w:rsid w:val="007E1F5B"/>
    <w:rsid w:val="007E21DE"/>
    <w:rsid w:val="007E26E6"/>
    <w:rsid w:val="007E2A49"/>
    <w:rsid w:val="007E2A5D"/>
    <w:rsid w:val="007E2CDF"/>
    <w:rsid w:val="007E2F5E"/>
    <w:rsid w:val="007E2FE1"/>
    <w:rsid w:val="007E3583"/>
    <w:rsid w:val="007E3653"/>
    <w:rsid w:val="007E37F5"/>
    <w:rsid w:val="007E385D"/>
    <w:rsid w:val="007E483F"/>
    <w:rsid w:val="007E4D70"/>
    <w:rsid w:val="007E4E34"/>
    <w:rsid w:val="007E4F36"/>
    <w:rsid w:val="007E5597"/>
    <w:rsid w:val="007E5750"/>
    <w:rsid w:val="007E5C91"/>
    <w:rsid w:val="007E5DAD"/>
    <w:rsid w:val="007E5EAE"/>
    <w:rsid w:val="007E6082"/>
    <w:rsid w:val="007E636D"/>
    <w:rsid w:val="007E6CD0"/>
    <w:rsid w:val="007E75D0"/>
    <w:rsid w:val="007E7715"/>
    <w:rsid w:val="007F0798"/>
    <w:rsid w:val="007F086F"/>
    <w:rsid w:val="007F0C2C"/>
    <w:rsid w:val="007F1900"/>
    <w:rsid w:val="007F20C6"/>
    <w:rsid w:val="007F2F67"/>
    <w:rsid w:val="007F2FEC"/>
    <w:rsid w:val="007F31B1"/>
    <w:rsid w:val="007F35DE"/>
    <w:rsid w:val="007F3AEE"/>
    <w:rsid w:val="007F3FE2"/>
    <w:rsid w:val="007F4A09"/>
    <w:rsid w:val="007F4E65"/>
    <w:rsid w:val="007F50AA"/>
    <w:rsid w:val="007F51BB"/>
    <w:rsid w:val="007F55F8"/>
    <w:rsid w:val="007F59C0"/>
    <w:rsid w:val="007F59E3"/>
    <w:rsid w:val="007F5A24"/>
    <w:rsid w:val="007F677A"/>
    <w:rsid w:val="007F6A0D"/>
    <w:rsid w:val="007F6ED3"/>
    <w:rsid w:val="007F7B4B"/>
    <w:rsid w:val="007F7EDB"/>
    <w:rsid w:val="007F7F96"/>
    <w:rsid w:val="008000BA"/>
    <w:rsid w:val="00800DA8"/>
    <w:rsid w:val="00800E43"/>
    <w:rsid w:val="0080108A"/>
    <w:rsid w:val="0080225F"/>
    <w:rsid w:val="00802328"/>
    <w:rsid w:val="008028B4"/>
    <w:rsid w:val="00802A13"/>
    <w:rsid w:val="008035D9"/>
    <w:rsid w:val="008037EA"/>
    <w:rsid w:val="00803FD2"/>
    <w:rsid w:val="00804236"/>
    <w:rsid w:val="008042AD"/>
    <w:rsid w:val="008055E1"/>
    <w:rsid w:val="008058AA"/>
    <w:rsid w:val="00805B36"/>
    <w:rsid w:val="00805FB7"/>
    <w:rsid w:val="00806010"/>
    <w:rsid w:val="008070C3"/>
    <w:rsid w:val="008071F6"/>
    <w:rsid w:val="008072EA"/>
    <w:rsid w:val="00807810"/>
    <w:rsid w:val="00807B1E"/>
    <w:rsid w:val="00807CE5"/>
    <w:rsid w:val="00810298"/>
    <w:rsid w:val="0081052F"/>
    <w:rsid w:val="008105D2"/>
    <w:rsid w:val="008111EE"/>
    <w:rsid w:val="008112FF"/>
    <w:rsid w:val="008113F6"/>
    <w:rsid w:val="008118F4"/>
    <w:rsid w:val="00811BDF"/>
    <w:rsid w:val="00812134"/>
    <w:rsid w:val="0081275E"/>
    <w:rsid w:val="00812949"/>
    <w:rsid w:val="00812ACB"/>
    <w:rsid w:val="00812BB9"/>
    <w:rsid w:val="00813C44"/>
    <w:rsid w:val="00813F81"/>
    <w:rsid w:val="008142D4"/>
    <w:rsid w:val="00815639"/>
    <w:rsid w:val="00815B7A"/>
    <w:rsid w:val="00815DAB"/>
    <w:rsid w:val="0081655E"/>
    <w:rsid w:val="00816A60"/>
    <w:rsid w:val="00816E86"/>
    <w:rsid w:val="0081717F"/>
    <w:rsid w:val="0081733C"/>
    <w:rsid w:val="0081784B"/>
    <w:rsid w:val="00817B75"/>
    <w:rsid w:val="00817D5E"/>
    <w:rsid w:val="00817E52"/>
    <w:rsid w:val="0082095A"/>
    <w:rsid w:val="00820F50"/>
    <w:rsid w:val="00822602"/>
    <w:rsid w:val="0082263D"/>
    <w:rsid w:val="00823C7D"/>
    <w:rsid w:val="00823E1D"/>
    <w:rsid w:val="00824930"/>
    <w:rsid w:val="0082498E"/>
    <w:rsid w:val="00824D94"/>
    <w:rsid w:val="00825A83"/>
    <w:rsid w:val="00825B2D"/>
    <w:rsid w:val="00825D82"/>
    <w:rsid w:val="00826649"/>
    <w:rsid w:val="00826706"/>
    <w:rsid w:val="00826718"/>
    <w:rsid w:val="0082712F"/>
    <w:rsid w:val="0082721B"/>
    <w:rsid w:val="00827B1D"/>
    <w:rsid w:val="00827D93"/>
    <w:rsid w:val="00830616"/>
    <w:rsid w:val="008308C0"/>
    <w:rsid w:val="00830CC3"/>
    <w:rsid w:val="00830E78"/>
    <w:rsid w:val="00830EB8"/>
    <w:rsid w:val="00831AAC"/>
    <w:rsid w:val="0083296B"/>
    <w:rsid w:val="008332EB"/>
    <w:rsid w:val="00833928"/>
    <w:rsid w:val="0083426C"/>
    <w:rsid w:val="00834B65"/>
    <w:rsid w:val="00835DC9"/>
    <w:rsid w:val="0083606F"/>
    <w:rsid w:val="008362C5"/>
    <w:rsid w:val="0083666C"/>
    <w:rsid w:val="00836DB2"/>
    <w:rsid w:val="00836E8A"/>
    <w:rsid w:val="0083735E"/>
    <w:rsid w:val="00837391"/>
    <w:rsid w:val="00837551"/>
    <w:rsid w:val="00837A44"/>
    <w:rsid w:val="00837BB6"/>
    <w:rsid w:val="0084019A"/>
    <w:rsid w:val="008407EC"/>
    <w:rsid w:val="00840A2E"/>
    <w:rsid w:val="00841033"/>
    <w:rsid w:val="00841080"/>
    <w:rsid w:val="0084168C"/>
    <w:rsid w:val="00841D52"/>
    <w:rsid w:val="00841DC5"/>
    <w:rsid w:val="008424DA"/>
    <w:rsid w:val="008425EC"/>
    <w:rsid w:val="008426D7"/>
    <w:rsid w:val="00842C96"/>
    <w:rsid w:val="00842D88"/>
    <w:rsid w:val="00843230"/>
    <w:rsid w:val="0084335A"/>
    <w:rsid w:val="00843536"/>
    <w:rsid w:val="00843BA2"/>
    <w:rsid w:val="00843C40"/>
    <w:rsid w:val="00843CC0"/>
    <w:rsid w:val="00843DD3"/>
    <w:rsid w:val="00844063"/>
    <w:rsid w:val="0084420C"/>
    <w:rsid w:val="0084483B"/>
    <w:rsid w:val="0084506B"/>
    <w:rsid w:val="008451AB"/>
    <w:rsid w:val="00845331"/>
    <w:rsid w:val="008457BB"/>
    <w:rsid w:val="00845CD1"/>
    <w:rsid w:val="008462CF"/>
    <w:rsid w:val="00846DC3"/>
    <w:rsid w:val="0084700B"/>
    <w:rsid w:val="008477E1"/>
    <w:rsid w:val="00847885"/>
    <w:rsid w:val="00847C49"/>
    <w:rsid w:val="00847FF3"/>
    <w:rsid w:val="008503C6"/>
    <w:rsid w:val="008503D7"/>
    <w:rsid w:val="008503E2"/>
    <w:rsid w:val="00850C25"/>
    <w:rsid w:val="00850F66"/>
    <w:rsid w:val="00851578"/>
    <w:rsid w:val="008522F8"/>
    <w:rsid w:val="00852596"/>
    <w:rsid w:val="008527F4"/>
    <w:rsid w:val="00852BBC"/>
    <w:rsid w:val="00852C2E"/>
    <w:rsid w:val="00852C87"/>
    <w:rsid w:val="00852F2C"/>
    <w:rsid w:val="0085311C"/>
    <w:rsid w:val="00853621"/>
    <w:rsid w:val="00853814"/>
    <w:rsid w:val="00853BB2"/>
    <w:rsid w:val="00853E0C"/>
    <w:rsid w:val="0085406E"/>
    <w:rsid w:val="00854390"/>
    <w:rsid w:val="0085465B"/>
    <w:rsid w:val="0085505E"/>
    <w:rsid w:val="00855554"/>
    <w:rsid w:val="008555E6"/>
    <w:rsid w:val="0085575E"/>
    <w:rsid w:val="00855C55"/>
    <w:rsid w:val="00855CDA"/>
    <w:rsid w:val="00855DC8"/>
    <w:rsid w:val="0085685F"/>
    <w:rsid w:val="00856B76"/>
    <w:rsid w:val="00856E25"/>
    <w:rsid w:val="00857098"/>
    <w:rsid w:val="00857285"/>
    <w:rsid w:val="00857CBB"/>
    <w:rsid w:val="00860138"/>
    <w:rsid w:val="00860588"/>
    <w:rsid w:val="00860716"/>
    <w:rsid w:val="0086078C"/>
    <w:rsid w:val="00860A17"/>
    <w:rsid w:val="00861067"/>
    <w:rsid w:val="008612C4"/>
    <w:rsid w:val="008619DA"/>
    <w:rsid w:val="00861C50"/>
    <w:rsid w:val="00861C9C"/>
    <w:rsid w:val="00861DC6"/>
    <w:rsid w:val="00861E0A"/>
    <w:rsid w:val="008625D3"/>
    <w:rsid w:val="00862647"/>
    <w:rsid w:val="00863621"/>
    <w:rsid w:val="00863D56"/>
    <w:rsid w:val="00863DF2"/>
    <w:rsid w:val="00864EC7"/>
    <w:rsid w:val="00864FD2"/>
    <w:rsid w:val="00866519"/>
    <w:rsid w:val="0086669F"/>
    <w:rsid w:val="00866ADE"/>
    <w:rsid w:val="00866D26"/>
    <w:rsid w:val="00866DE2"/>
    <w:rsid w:val="00866E07"/>
    <w:rsid w:val="008672FB"/>
    <w:rsid w:val="008677A2"/>
    <w:rsid w:val="00867A17"/>
    <w:rsid w:val="00867AD9"/>
    <w:rsid w:val="008703CB"/>
    <w:rsid w:val="008707FC"/>
    <w:rsid w:val="00870959"/>
    <w:rsid w:val="00871431"/>
    <w:rsid w:val="00871581"/>
    <w:rsid w:val="00871716"/>
    <w:rsid w:val="00871868"/>
    <w:rsid w:val="00872225"/>
    <w:rsid w:val="00873575"/>
    <w:rsid w:val="00875386"/>
    <w:rsid w:val="008759BD"/>
    <w:rsid w:val="00875A92"/>
    <w:rsid w:val="00875DF8"/>
    <w:rsid w:val="008766C9"/>
    <w:rsid w:val="00876E3B"/>
    <w:rsid w:val="008800A1"/>
    <w:rsid w:val="00880234"/>
    <w:rsid w:val="00880D1D"/>
    <w:rsid w:val="00881138"/>
    <w:rsid w:val="008812FB"/>
    <w:rsid w:val="008826D4"/>
    <w:rsid w:val="00882A70"/>
    <w:rsid w:val="00882CE4"/>
    <w:rsid w:val="00882E6B"/>
    <w:rsid w:val="00883364"/>
    <w:rsid w:val="0088351E"/>
    <w:rsid w:val="00883911"/>
    <w:rsid w:val="0088406A"/>
    <w:rsid w:val="00884306"/>
    <w:rsid w:val="008844BA"/>
    <w:rsid w:val="008845EF"/>
    <w:rsid w:val="008846DB"/>
    <w:rsid w:val="008846EF"/>
    <w:rsid w:val="00884A2D"/>
    <w:rsid w:val="00885180"/>
    <w:rsid w:val="008854C7"/>
    <w:rsid w:val="00885517"/>
    <w:rsid w:val="00885C88"/>
    <w:rsid w:val="00885D16"/>
    <w:rsid w:val="0088647A"/>
    <w:rsid w:val="008869C6"/>
    <w:rsid w:val="00886CA2"/>
    <w:rsid w:val="008870A2"/>
    <w:rsid w:val="008875DB"/>
    <w:rsid w:val="008878D9"/>
    <w:rsid w:val="00887B65"/>
    <w:rsid w:val="00887EEA"/>
    <w:rsid w:val="0089002E"/>
    <w:rsid w:val="0089065F"/>
    <w:rsid w:val="008907F2"/>
    <w:rsid w:val="00890931"/>
    <w:rsid w:val="00890A2C"/>
    <w:rsid w:val="00890D87"/>
    <w:rsid w:val="00890F81"/>
    <w:rsid w:val="00891084"/>
    <w:rsid w:val="00891854"/>
    <w:rsid w:val="00891E37"/>
    <w:rsid w:val="00891EA9"/>
    <w:rsid w:val="00892734"/>
    <w:rsid w:val="0089361D"/>
    <w:rsid w:val="0089387E"/>
    <w:rsid w:val="00893EA2"/>
    <w:rsid w:val="008942E5"/>
    <w:rsid w:val="00894A26"/>
    <w:rsid w:val="00894B58"/>
    <w:rsid w:val="00894C39"/>
    <w:rsid w:val="00895390"/>
    <w:rsid w:val="0089539F"/>
    <w:rsid w:val="008957EF"/>
    <w:rsid w:val="00895A41"/>
    <w:rsid w:val="00895E4A"/>
    <w:rsid w:val="008960B2"/>
    <w:rsid w:val="008960EC"/>
    <w:rsid w:val="00896360"/>
    <w:rsid w:val="008964CC"/>
    <w:rsid w:val="008969E8"/>
    <w:rsid w:val="0089703C"/>
    <w:rsid w:val="008972DD"/>
    <w:rsid w:val="00897677"/>
    <w:rsid w:val="00897BCF"/>
    <w:rsid w:val="00897E0F"/>
    <w:rsid w:val="00897F8B"/>
    <w:rsid w:val="008A0A46"/>
    <w:rsid w:val="008A0BDE"/>
    <w:rsid w:val="008A0C96"/>
    <w:rsid w:val="008A0D13"/>
    <w:rsid w:val="008A24F8"/>
    <w:rsid w:val="008A2E76"/>
    <w:rsid w:val="008A30B3"/>
    <w:rsid w:val="008A345E"/>
    <w:rsid w:val="008A393B"/>
    <w:rsid w:val="008A3C07"/>
    <w:rsid w:val="008A3E28"/>
    <w:rsid w:val="008A4190"/>
    <w:rsid w:val="008A45A1"/>
    <w:rsid w:val="008A46C8"/>
    <w:rsid w:val="008A4E38"/>
    <w:rsid w:val="008A510D"/>
    <w:rsid w:val="008A513F"/>
    <w:rsid w:val="008A5447"/>
    <w:rsid w:val="008A5B3B"/>
    <w:rsid w:val="008A683E"/>
    <w:rsid w:val="008A6918"/>
    <w:rsid w:val="008A698E"/>
    <w:rsid w:val="008A6CAD"/>
    <w:rsid w:val="008A6CF4"/>
    <w:rsid w:val="008A708E"/>
    <w:rsid w:val="008A70E5"/>
    <w:rsid w:val="008A711C"/>
    <w:rsid w:val="008A7348"/>
    <w:rsid w:val="008A73EC"/>
    <w:rsid w:val="008A7D01"/>
    <w:rsid w:val="008B0271"/>
    <w:rsid w:val="008B02D7"/>
    <w:rsid w:val="008B0A77"/>
    <w:rsid w:val="008B0EB4"/>
    <w:rsid w:val="008B0FA7"/>
    <w:rsid w:val="008B1DFD"/>
    <w:rsid w:val="008B23AC"/>
    <w:rsid w:val="008B2726"/>
    <w:rsid w:val="008B2DCF"/>
    <w:rsid w:val="008B3197"/>
    <w:rsid w:val="008B3B2B"/>
    <w:rsid w:val="008B3DC9"/>
    <w:rsid w:val="008B4CDE"/>
    <w:rsid w:val="008B4D73"/>
    <w:rsid w:val="008B5ABD"/>
    <w:rsid w:val="008B5F12"/>
    <w:rsid w:val="008B624B"/>
    <w:rsid w:val="008B6D25"/>
    <w:rsid w:val="008B7863"/>
    <w:rsid w:val="008B7BDF"/>
    <w:rsid w:val="008C0637"/>
    <w:rsid w:val="008C064E"/>
    <w:rsid w:val="008C1606"/>
    <w:rsid w:val="008C19C7"/>
    <w:rsid w:val="008C2407"/>
    <w:rsid w:val="008C270E"/>
    <w:rsid w:val="008C28B8"/>
    <w:rsid w:val="008C293F"/>
    <w:rsid w:val="008C40CB"/>
    <w:rsid w:val="008C46BB"/>
    <w:rsid w:val="008C4968"/>
    <w:rsid w:val="008C4A31"/>
    <w:rsid w:val="008C532E"/>
    <w:rsid w:val="008C55EE"/>
    <w:rsid w:val="008C5627"/>
    <w:rsid w:val="008C6169"/>
    <w:rsid w:val="008C64EE"/>
    <w:rsid w:val="008C7020"/>
    <w:rsid w:val="008C76BB"/>
    <w:rsid w:val="008C76CA"/>
    <w:rsid w:val="008C7C53"/>
    <w:rsid w:val="008C7D32"/>
    <w:rsid w:val="008C7E2D"/>
    <w:rsid w:val="008D017D"/>
    <w:rsid w:val="008D0B4D"/>
    <w:rsid w:val="008D0D9E"/>
    <w:rsid w:val="008D1748"/>
    <w:rsid w:val="008D1E7E"/>
    <w:rsid w:val="008D2071"/>
    <w:rsid w:val="008D22F8"/>
    <w:rsid w:val="008D2524"/>
    <w:rsid w:val="008D257A"/>
    <w:rsid w:val="008D25F0"/>
    <w:rsid w:val="008D2900"/>
    <w:rsid w:val="008D2EBA"/>
    <w:rsid w:val="008D311C"/>
    <w:rsid w:val="008D3A3B"/>
    <w:rsid w:val="008D413D"/>
    <w:rsid w:val="008D47BC"/>
    <w:rsid w:val="008D48A8"/>
    <w:rsid w:val="008D4993"/>
    <w:rsid w:val="008D4C57"/>
    <w:rsid w:val="008D533D"/>
    <w:rsid w:val="008D5470"/>
    <w:rsid w:val="008D5C43"/>
    <w:rsid w:val="008D5C86"/>
    <w:rsid w:val="008D6055"/>
    <w:rsid w:val="008D656B"/>
    <w:rsid w:val="008D68C0"/>
    <w:rsid w:val="008D694B"/>
    <w:rsid w:val="008D6BFD"/>
    <w:rsid w:val="008D6E63"/>
    <w:rsid w:val="008D74A0"/>
    <w:rsid w:val="008D75C6"/>
    <w:rsid w:val="008D7915"/>
    <w:rsid w:val="008E0659"/>
    <w:rsid w:val="008E08F9"/>
    <w:rsid w:val="008E09B3"/>
    <w:rsid w:val="008E0F98"/>
    <w:rsid w:val="008E1E34"/>
    <w:rsid w:val="008E26A4"/>
    <w:rsid w:val="008E2BB4"/>
    <w:rsid w:val="008E32CC"/>
    <w:rsid w:val="008E3377"/>
    <w:rsid w:val="008E381B"/>
    <w:rsid w:val="008E3B4C"/>
    <w:rsid w:val="008E401D"/>
    <w:rsid w:val="008E469D"/>
    <w:rsid w:val="008E47BA"/>
    <w:rsid w:val="008E4BC1"/>
    <w:rsid w:val="008E4DB1"/>
    <w:rsid w:val="008E5227"/>
    <w:rsid w:val="008E5B11"/>
    <w:rsid w:val="008E5D5E"/>
    <w:rsid w:val="008E5EB9"/>
    <w:rsid w:val="008E6AF0"/>
    <w:rsid w:val="008E6C64"/>
    <w:rsid w:val="008E7466"/>
    <w:rsid w:val="008E7561"/>
    <w:rsid w:val="008E75CF"/>
    <w:rsid w:val="008E773B"/>
    <w:rsid w:val="008E791C"/>
    <w:rsid w:val="008E7AA8"/>
    <w:rsid w:val="008E7C93"/>
    <w:rsid w:val="008F0237"/>
    <w:rsid w:val="008F0AE7"/>
    <w:rsid w:val="008F0D02"/>
    <w:rsid w:val="008F11CB"/>
    <w:rsid w:val="008F1431"/>
    <w:rsid w:val="008F1956"/>
    <w:rsid w:val="008F1ABB"/>
    <w:rsid w:val="008F1EA8"/>
    <w:rsid w:val="008F272B"/>
    <w:rsid w:val="008F2BAE"/>
    <w:rsid w:val="008F2C51"/>
    <w:rsid w:val="008F3D3B"/>
    <w:rsid w:val="008F47A4"/>
    <w:rsid w:val="008F4857"/>
    <w:rsid w:val="008F4983"/>
    <w:rsid w:val="008F545F"/>
    <w:rsid w:val="008F57E0"/>
    <w:rsid w:val="008F595F"/>
    <w:rsid w:val="008F7758"/>
    <w:rsid w:val="008F7863"/>
    <w:rsid w:val="008F78BA"/>
    <w:rsid w:val="0090035E"/>
    <w:rsid w:val="00900384"/>
    <w:rsid w:val="009007BF"/>
    <w:rsid w:val="00900CAB"/>
    <w:rsid w:val="00900F27"/>
    <w:rsid w:val="00901778"/>
    <w:rsid w:val="009019CD"/>
    <w:rsid w:val="00901A90"/>
    <w:rsid w:val="00901B86"/>
    <w:rsid w:val="009021D7"/>
    <w:rsid w:val="00902782"/>
    <w:rsid w:val="00902D56"/>
    <w:rsid w:val="00902DA6"/>
    <w:rsid w:val="0090436E"/>
    <w:rsid w:val="009049E7"/>
    <w:rsid w:val="0090545D"/>
    <w:rsid w:val="0090577D"/>
    <w:rsid w:val="00905C26"/>
    <w:rsid w:val="00905EF4"/>
    <w:rsid w:val="0090619F"/>
    <w:rsid w:val="009062F7"/>
    <w:rsid w:val="009068A8"/>
    <w:rsid w:val="00907B60"/>
    <w:rsid w:val="00907E9E"/>
    <w:rsid w:val="009101A7"/>
    <w:rsid w:val="00910376"/>
    <w:rsid w:val="00910DB6"/>
    <w:rsid w:val="00910FAC"/>
    <w:rsid w:val="0091127D"/>
    <w:rsid w:val="00911745"/>
    <w:rsid w:val="0091191D"/>
    <w:rsid w:val="00911FFA"/>
    <w:rsid w:val="009129EB"/>
    <w:rsid w:val="009134CE"/>
    <w:rsid w:val="009138F1"/>
    <w:rsid w:val="00913B58"/>
    <w:rsid w:val="00913B96"/>
    <w:rsid w:val="00914463"/>
    <w:rsid w:val="0091579F"/>
    <w:rsid w:val="00915D7A"/>
    <w:rsid w:val="00916BBF"/>
    <w:rsid w:val="0091719F"/>
    <w:rsid w:val="00917767"/>
    <w:rsid w:val="00920007"/>
    <w:rsid w:val="00920034"/>
    <w:rsid w:val="00920280"/>
    <w:rsid w:val="00920550"/>
    <w:rsid w:val="00920AD8"/>
    <w:rsid w:val="00920C19"/>
    <w:rsid w:val="00920C87"/>
    <w:rsid w:val="00920DD5"/>
    <w:rsid w:val="009211A2"/>
    <w:rsid w:val="0092146D"/>
    <w:rsid w:val="00921832"/>
    <w:rsid w:val="00921D73"/>
    <w:rsid w:val="00921ED8"/>
    <w:rsid w:val="0092203D"/>
    <w:rsid w:val="0092219B"/>
    <w:rsid w:val="0092233D"/>
    <w:rsid w:val="009230E8"/>
    <w:rsid w:val="00923885"/>
    <w:rsid w:val="00923E74"/>
    <w:rsid w:val="00924AB2"/>
    <w:rsid w:val="0092502D"/>
    <w:rsid w:val="00925517"/>
    <w:rsid w:val="009257D9"/>
    <w:rsid w:val="0092696A"/>
    <w:rsid w:val="00926B61"/>
    <w:rsid w:val="00927B02"/>
    <w:rsid w:val="00927CC8"/>
    <w:rsid w:val="00927EA9"/>
    <w:rsid w:val="00930BE1"/>
    <w:rsid w:val="00931243"/>
    <w:rsid w:val="009312E4"/>
    <w:rsid w:val="00931A24"/>
    <w:rsid w:val="00931A3E"/>
    <w:rsid w:val="00932507"/>
    <w:rsid w:val="00932C90"/>
    <w:rsid w:val="0093319B"/>
    <w:rsid w:val="00933E81"/>
    <w:rsid w:val="0093499E"/>
    <w:rsid w:val="00934B79"/>
    <w:rsid w:val="00935493"/>
    <w:rsid w:val="00935BAF"/>
    <w:rsid w:val="00935C16"/>
    <w:rsid w:val="00935D6D"/>
    <w:rsid w:val="0093678F"/>
    <w:rsid w:val="009369E8"/>
    <w:rsid w:val="00936DDA"/>
    <w:rsid w:val="00936FFE"/>
    <w:rsid w:val="00937018"/>
    <w:rsid w:val="0093703A"/>
    <w:rsid w:val="009375E6"/>
    <w:rsid w:val="009377E6"/>
    <w:rsid w:val="00937803"/>
    <w:rsid w:val="009379D7"/>
    <w:rsid w:val="00937C3D"/>
    <w:rsid w:val="0094078D"/>
    <w:rsid w:val="00940831"/>
    <w:rsid w:val="00941742"/>
    <w:rsid w:val="00941DC4"/>
    <w:rsid w:val="009421DF"/>
    <w:rsid w:val="00942EB7"/>
    <w:rsid w:val="00943541"/>
    <w:rsid w:val="009440FA"/>
    <w:rsid w:val="009446FE"/>
    <w:rsid w:val="0094477E"/>
    <w:rsid w:val="00944B35"/>
    <w:rsid w:val="00944B58"/>
    <w:rsid w:val="00944C42"/>
    <w:rsid w:val="0094517E"/>
    <w:rsid w:val="00945416"/>
    <w:rsid w:val="00945B7D"/>
    <w:rsid w:val="00945B93"/>
    <w:rsid w:val="00945C66"/>
    <w:rsid w:val="00945F8B"/>
    <w:rsid w:val="009466B3"/>
    <w:rsid w:val="009469C0"/>
    <w:rsid w:val="00947B5B"/>
    <w:rsid w:val="00947DB4"/>
    <w:rsid w:val="00950B83"/>
    <w:rsid w:val="00950D66"/>
    <w:rsid w:val="00950DFD"/>
    <w:rsid w:val="0095104F"/>
    <w:rsid w:val="0095124D"/>
    <w:rsid w:val="00951499"/>
    <w:rsid w:val="00951CD5"/>
    <w:rsid w:val="00951EB2"/>
    <w:rsid w:val="009529C6"/>
    <w:rsid w:val="0095346F"/>
    <w:rsid w:val="00954406"/>
    <w:rsid w:val="00955D1C"/>
    <w:rsid w:val="00956EF8"/>
    <w:rsid w:val="00957369"/>
    <w:rsid w:val="00957623"/>
    <w:rsid w:val="00960649"/>
    <w:rsid w:val="00960A63"/>
    <w:rsid w:val="00960ECE"/>
    <w:rsid w:val="009617E5"/>
    <w:rsid w:val="0096188B"/>
    <w:rsid w:val="00961E27"/>
    <w:rsid w:val="00962553"/>
    <w:rsid w:val="009625D0"/>
    <w:rsid w:val="0096269A"/>
    <w:rsid w:val="0096286F"/>
    <w:rsid w:val="00962AA8"/>
    <w:rsid w:val="00963085"/>
    <w:rsid w:val="0096327E"/>
    <w:rsid w:val="009634EE"/>
    <w:rsid w:val="00964138"/>
    <w:rsid w:val="00964834"/>
    <w:rsid w:val="00964CE5"/>
    <w:rsid w:val="009653B7"/>
    <w:rsid w:val="00965F6A"/>
    <w:rsid w:val="00966052"/>
    <w:rsid w:val="009662F7"/>
    <w:rsid w:val="0096671D"/>
    <w:rsid w:val="00966966"/>
    <w:rsid w:val="00966A2E"/>
    <w:rsid w:val="00966B28"/>
    <w:rsid w:val="00966F11"/>
    <w:rsid w:val="00967403"/>
    <w:rsid w:val="0096774E"/>
    <w:rsid w:val="00967D74"/>
    <w:rsid w:val="00970394"/>
    <w:rsid w:val="00972D37"/>
    <w:rsid w:val="0097352A"/>
    <w:rsid w:val="00973A1A"/>
    <w:rsid w:val="009744B5"/>
    <w:rsid w:val="00974660"/>
    <w:rsid w:val="00974717"/>
    <w:rsid w:val="009750C8"/>
    <w:rsid w:val="009751E1"/>
    <w:rsid w:val="009752B1"/>
    <w:rsid w:val="009752D8"/>
    <w:rsid w:val="00975317"/>
    <w:rsid w:val="009753F2"/>
    <w:rsid w:val="009759F5"/>
    <w:rsid w:val="00975FD8"/>
    <w:rsid w:val="0097623E"/>
    <w:rsid w:val="009762C1"/>
    <w:rsid w:val="00976435"/>
    <w:rsid w:val="00976888"/>
    <w:rsid w:val="00977245"/>
    <w:rsid w:val="00980334"/>
    <w:rsid w:val="00980412"/>
    <w:rsid w:val="00980EFF"/>
    <w:rsid w:val="00980F5C"/>
    <w:rsid w:val="009813B0"/>
    <w:rsid w:val="009815CF"/>
    <w:rsid w:val="00981A00"/>
    <w:rsid w:val="009820F6"/>
    <w:rsid w:val="009826BD"/>
    <w:rsid w:val="00982A2C"/>
    <w:rsid w:val="00983272"/>
    <w:rsid w:val="00983C07"/>
    <w:rsid w:val="00984505"/>
    <w:rsid w:val="0098496A"/>
    <w:rsid w:val="00984F2F"/>
    <w:rsid w:val="00984FC1"/>
    <w:rsid w:val="00985097"/>
    <w:rsid w:val="00985685"/>
    <w:rsid w:val="009856D1"/>
    <w:rsid w:val="00986490"/>
    <w:rsid w:val="00986618"/>
    <w:rsid w:val="00986BA6"/>
    <w:rsid w:val="00986BEA"/>
    <w:rsid w:val="00986DD5"/>
    <w:rsid w:val="00986FC0"/>
    <w:rsid w:val="009871F7"/>
    <w:rsid w:val="00987D61"/>
    <w:rsid w:val="00990213"/>
    <w:rsid w:val="0099088E"/>
    <w:rsid w:val="00990A24"/>
    <w:rsid w:val="0099154B"/>
    <w:rsid w:val="009917F8"/>
    <w:rsid w:val="00991F4D"/>
    <w:rsid w:val="009926CC"/>
    <w:rsid w:val="00992BA6"/>
    <w:rsid w:val="00992E3A"/>
    <w:rsid w:val="00993032"/>
    <w:rsid w:val="009932E8"/>
    <w:rsid w:val="00993815"/>
    <w:rsid w:val="0099383B"/>
    <w:rsid w:val="00993C26"/>
    <w:rsid w:val="00993E12"/>
    <w:rsid w:val="009942A6"/>
    <w:rsid w:val="00994426"/>
    <w:rsid w:val="009945D6"/>
    <w:rsid w:val="00995C6C"/>
    <w:rsid w:val="0099645B"/>
    <w:rsid w:val="00997160"/>
    <w:rsid w:val="00997310"/>
    <w:rsid w:val="00997409"/>
    <w:rsid w:val="009974EB"/>
    <w:rsid w:val="00997D97"/>
    <w:rsid w:val="00997EA5"/>
    <w:rsid w:val="00997F91"/>
    <w:rsid w:val="009A0093"/>
    <w:rsid w:val="009A0399"/>
    <w:rsid w:val="009A074E"/>
    <w:rsid w:val="009A0844"/>
    <w:rsid w:val="009A0D4D"/>
    <w:rsid w:val="009A0E53"/>
    <w:rsid w:val="009A0F51"/>
    <w:rsid w:val="009A22B0"/>
    <w:rsid w:val="009A233B"/>
    <w:rsid w:val="009A25C8"/>
    <w:rsid w:val="009A2A7E"/>
    <w:rsid w:val="009A3177"/>
    <w:rsid w:val="009A323A"/>
    <w:rsid w:val="009A3C39"/>
    <w:rsid w:val="009A4559"/>
    <w:rsid w:val="009A4A48"/>
    <w:rsid w:val="009A4A93"/>
    <w:rsid w:val="009A4E80"/>
    <w:rsid w:val="009A55B3"/>
    <w:rsid w:val="009A5878"/>
    <w:rsid w:val="009A5C08"/>
    <w:rsid w:val="009A5F2B"/>
    <w:rsid w:val="009A727D"/>
    <w:rsid w:val="009A7533"/>
    <w:rsid w:val="009A761E"/>
    <w:rsid w:val="009A7CD1"/>
    <w:rsid w:val="009A7F86"/>
    <w:rsid w:val="009B0190"/>
    <w:rsid w:val="009B020C"/>
    <w:rsid w:val="009B0893"/>
    <w:rsid w:val="009B0B0F"/>
    <w:rsid w:val="009B0B10"/>
    <w:rsid w:val="009B0BA9"/>
    <w:rsid w:val="009B142E"/>
    <w:rsid w:val="009B1AA9"/>
    <w:rsid w:val="009B1B77"/>
    <w:rsid w:val="009B1D4A"/>
    <w:rsid w:val="009B2250"/>
    <w:rsid w:val="009B253B"/>
    <w:rsid w:val="009B29FB"/>
    <w:rsid w:val="009B2BC3"/>
    <w:rsid w:val="009B2CE8"/>
    <w:rsid w:val="009B2D22"/>
    <w:rsid w:val="009B3891"/>
    <w:rsid w:val="009B3D50"/>
    <w:rsid w:val="009B4361"/>
    <w:rsid w:val="009B452B"/>
    <w:rsid w:val="009B4712"/>
    <w:rsid w:val="009B480C"/>
    <w:rsid w:val="009B481A"/>
    <w:rsid w:val="009B4859"/>
    <w:rsid w:val="009B4D8A"/>
    <w:rsid w:val="009B52FA"/>
    <w:rsid w:val="009B54BF"/>
    <w:rsid w:val="009B5944"/>
    <w:rsid w:val="009B5D0F"/>
    <w:rsid w:val="009B5D1F"/>
    <w:rsid w:val="009B5E20"/>
    <w:rsid w:val="009B5F6D"/>
    <w:rsid w:val="009B65EB"/>
    <w:rsid w:val="009B76A1"/>
    <w:rsid w:val="009B7991"/>
    <w:rsid w:val="009B7AA1"/>
    <w:rsid w:val="009B7AB3"/>
    <w:rsid w:val="009C0076"/>
    <w:rsid w:val="009C02D0"/>
    <w:rsid w:val="009C14AB"/>
    <w:rsid w:val="009C1716"/>
    <w:rsid w:val="009C1B0C"/>
    <w:rsid w:val="009C21C0"/>
    <w:rsid w:val="009C2727"/>
    <w:rsid w:val="009C3398"/>
    <w:rsid w:val="009C3585"/>
    <w:rsid w:val="009C3981"/>
    <w:rsid w:val="009C4413"/>
    <w:rsid w:val="009C474E"/>
    <w:rsid w:val="009C4F2B"/>
    <w:rsid w:val="009C50EE"/>
    <w:rsid w:val="009C5CFA"/>
    <w:rsid w:val="009C6387"/>
    <w:rsid w:val="009C6A64"/>
    <w:rsid w:val="009C7316"/>
    <w:rsid w:val="009C75F5"/>
    <w:rsid w:val="009C7AB1"/>
    <w:rsid w:val="009C7C85"/>
    <w:rsid w:val="009C7F40"/>
    <w:rsid w:val="009D028F"/>
    <w:rsid w:val="009D0787"/>
    <w:rsid w:val="009D07A0"/>
    <w:rsid w:val="009D1B58"/>
    <w:rsid w:val="009D2125"/>
    <w:rsid w:val="009D2400"/>
    <w:rsid w:val="009D268B"/>
    <w:rsid w:val="009D2874"/>
    <w:rsid w:val="009D2E8B"/>
    <w:rsid w:val="009D3539"/>
    <w:rsid w:val="009D3F0C"/>
    <w:rsid w:val="009D3FF2"/>
    <w:rsid w:val="009D4113"/>
    <w:rsid w:val="009D437B"/>
    <w:rsid w:val="009D4836"/>
    <w:rsid w:val="009D4A72"/>
    <w:rsid w:val="009D4B11"/>
    <w:rsid w:val="009D4BEB"/>
    <w:rsid w:val="009D52D7"/>
    <w:rsid w:val="009D5D77"/>
    <w:rsid w:val="009D5E0D"/>
    <w:rsid w:val="009D5EC4"/>
    <w:rsid w:val="009D629C"/>
    <w:rsid w:val="009D728E"/>
    <w:rsid w:val="009D72BC"/>
    <w:rsid w:val="009D7784"/>
    <w:rsid w:val="009D79BF"/>
    <w:rsid w:val="009E002A"/>
    <w:rsid w:val="009E0308"/>
    <w:rsid w:val="009E0533"/>
    <w:rsid w:val="009E05D5"/>
    <w:rsid w:val="009E0829"/>
    <w:rsid w:val="009E0C11"/>
    <w:rsid w:val="009E13EB"/>
    <w:rsid w:val="009E1FDF"/>
    <w:rsid w:val="009E2007"/>
    <w:rsid w:val="009E2587"/>
    <w:rsid w:val="009E2878"/>
    <w:rsid w:val="009E28BA"/>
    <w:rsid w:val="009E2E5D"/>
    <w:rsid w:val="009E3211"/>
    <w:rsid w:val="009E3A3D"/>
    <w:rsid w:val="009E4565"/>
    <w:rsid w:val="009E4A96"/>
    <w:rsid w:val="009E4E78"/>
    <w:rsid w:val="009E552C"/>
    <w:rsid w:val="009E5B49"/>
    <w:rsid w:val="009E5DF2"/>
    <w:rsid w:val="009E5FFA"/>
    <w:rsid w:val="009E61D9"/>
    <w:rsid w:val="009E6AB6"/>
    <w:rsid w:val="009E6B2B"/>
    <w:rsid w:val="009E723D"/>
    <w:rsid w:val="009E7696"/>
    <w:rsid w:val="009E7B46"/>
    <w:rsid w:val="009F035E"/>
    <w:rsid w:val="009F0ECA"/>
    <w:rsid w:val="009F12A6"/>
    <w:rsid w:val="009F172C"/>
    <w:rsid w:val="009F1BFC"/>
    <w:rsid w:val="009F1C44"/>
    <w:rsid w:val="009F1D14"/>
    <w:rsid w:val="009F1F95"/>
    <w:rsid w:val="009F24E9"/>
    <w:rsid w:val="009F3567"/>
    <w:rsid w:val="009F380D"/>
    <w:rsid w:val="009F4385"/>
    <w:rsid w:val="009F6710"/>
    <w:rsid w:val="009F69F7"/>
    <w:rsid w:val="009F79E9"/>
    <w:rsid w:val="009F7C60"/>
    <w:rsid w:val="009F7D7A"/>
    <w:rsid w:val="00A0010E"/>
    <w:rsid w:val="00A0095E"/>
    <w:rsid w:val="00A00E48"/>
    <w:rsid w:val="00A012DA"/>
    <w:rsid w:val="00A01C7D"/>
    <w:rsid w:val="00A01D90"/>
    <w:rsid w:val="00A01EA1"/>
    <w:rsid w:val="00A02127"/>
    <w:rsid w:val="00A029D0"/>
    <w:rsid w:val="00A02B07"/>
    <w:rsid w:val="00A02D45"/>
    <w:rsid w:val="00A02DF8"/>
    <w:rsid w:val="00A02FEB"/>
    <w:rsid w:val="00A04A38"/>
    <w:rsid w:val="00A05398"/>
    <w:rsid w:val="00A054F3"/>
    <w:rsid w:val="00A05DC3"/>
    <w:rsid w:val="00A061F3"/>
    <w:rsid w:val="00A0639A"/>
    <w:rsid w:val="00A06D06"/>
    <w:rsid w:val="00A07514"/>
    <w:rsid w:val="00A07C4D"/>
    <w:rsid w:val="00A10423"/>
    <w:rsid w:val="00A1147F"/>
    <w:rsid w:val="00A11EC3"/>
    <w:rsid w:val="00A138CD"/>
    <w:rsid w:val="00A13BDA"/>
    <w:rsid w:val="00A142D6"/>
    <w:rsid w:val="00A14C39"/>
    <w:rsid w:val="00A150F2"/>
    <w:rsid w:val="00A15DB6"/>
    <w:rsid w:val="00A167DC"/>
    <w:rsid w:val="00A16826"/>
    <w:rsid w:val="00A16AC6"/>
    <w:rsid w:val="00A17400"/>
    <w:rsid w:val="00A176CA"/>
    <w:rsid w:val="00A17CD4"/>
    <w:rsid w:val="00A17E5A"/>
    <w:rsid w:val="00A2079B"/>
    <w:rsid w:val="00A20813"/>
    <w:rsid w:val="00A20D72"/>
    <w:rsid w:val="00A21118"/>
    <w:rsid w:val="00A21664"/>
    <w:rsid w:val="00A2186A"/>
    <w:rsid w:val="00A21F67"/>
    <w:rsid w:val="00A225C9"/>
    <w:rsid w:val="00A226CF"/>
    <w:rsid w:val="00A22B65"/>
    <w:rsid w:val="00A22FFE"/>
    <w:rsid w:val="00A23C20"/>
    <w:rsid w:val="00A23E63"/>
    <w:rsid w:val="00A24594"/>
    <w:rsid w:val="00A24595"/>
    <w:rsid w:val="00A24850"/>
    <w:rsid w:val="00A25154"/>
    <w:rsid w:val="00A25290"/>
    <w:rsid w:val="00A252D7"/>
    <w:rsid w:val="00A2552B"/>
    <w:rsid w:val="00A25D36"/>
    <w:rsid w:val="00A25F9D"/>
    <w:rsid w:val="00A262CA"/>
    <w:rsid w:val="00A269A7"/>
    <w:rsid w:val="00A272CB"/>
    <w:rsid w:val="00A3068C"/>
    <w:rsid w:val="00A3074D"/>
    <w:rsid w:val="00A30ED3"/>
    <w:rsid w:val="00A31148"/>
    <w:rsid w:val="00A31436"/>
    <w:rsid w:val="00A31DB9"/>
    <w:rsid w:val="00A321F6"/>
    <w:rsid w:val="00A324C9"/>
    <w:rsid w:val="00A328DE"/>
    <w:rsid w:val="00A331DB"/>
    <w:rsid w:val="00A334E9"/>
    <w:rsid w:val="00A33996"/>
    <w:rsid w:val="00A341CC"/>
    <w:rsid w:val="00A3484A"/>
    <w:rsid w:val="00A34AAC"/>
    <w:rsid w:val="00A34AC2"/>
    <w:rsid w:val="00A34F5A"/>
    <w:rsid w:val="00A35E27"/>
    <w:rsid w:val="00A35EFC"/>
    <w:rsid w:val="00A35F70"/>
    <w:rsid w:val="00A36033"/>
    <w:rsid w:val="00A36C35"/>
    <w:rsid w:val="00A3722E"/>
    <w:rsid w:val="00A37301"/>
    <w:rsid w:val="00A3761C"/>
    <w:rsid w:val="00A37AC1"/>
    <w:rsid w:val="00A37F71"/>
    <w:rsid w:val="00A409C6"/>
    <w:rsid w:val="00A40DF2"/>
    <w:rsid w:val="00A41088"/>
    <w:rsid w:val="00A412EB"/>
    <w:rsid w:val="00A414F6"/>
    <w:rsid w:val="00A42359"/>
    <w:rsid w:val="00A42595"/>
    <w:rsid w:val="00A42AF4"/>
    <w:rsid w:val="00A42B5F"/>
    <w:rsid w:val="00A42CF0"/>
    <w:rsid w:val="00A42DFD"/>
    <w:rsid w:val="00A4305E"/>
    <w:rsid w:val="00A43298"/>
    <w:rsid w:val="00A439D1"/>
    <w:rsid w:val="00A43A36"/>
    <w:rsid w:val="00A451DA"/>
    <w:rsid w:val="00A45317"/>
    <w:rsid w:val="00A45714"/>
    <w:rsid w:val="00A4578F"/>
    <w:rsid w:val="00A45C70"/>
    <w:rsid w:val="00A46633"/>
    <w:rsid w:val="00A468FC"/>
    <w:rsid w:val="00A469CF"/>
    <w:rsid w:val="00A47F8A"/>
    <w:rsid w:val="00A502B9"/>
    <w:rsid w:val="00A50383"/>
    <w:rsid w:val="00A504E7"/>
    <w:rsid w:val="00A505EF"/>
    <w:rsid w:val="00A50851"/>
    <w:rsid w:val="00A50CE5"/>
    <w:rsid w:val="00A5128B"/>
    <w:rsid w:val="00A512CE"/>
    <w:rsid w:val="00A51831"/>
    <w:rsid w:val="00A5270A"/>
    <w:rsid w:val="00A535A0"/>
    <w:rsid w:val="00A5365F"/>
    <w:rsid w:val="00A53764"/>
    <w:rsid w:val="00A53D03"/>
    <w:rsid w:val="00A53D66"/>
    <w:rsid w:val="00A543E0"/>
    <w:rsid w:val="00A54765"/>
    <w:rsid w:val="00A54F7F"/>
    <w:rsid w:val="00A551F7"/>
    <w:rsid w:val="00A55412"/>
    <w:rsid w:val="00A55791"/>
    <w:rsid w:val="00A55A14"/>
    <w:rsid w:val="00A55ADA"/>
    <w:rsid w:val="00A562EB"/>
    <w:rsid w:val="00A56814"/>
    <w:rsid w:val="00A56C37"/>
    <w:rsid w:val="00A56F98"/>
    <w:rsid w:val="00A60245"/>
    <w:rsid w:val="00A6028B"/>
    <w:rsid w:val="00A607F4"/>
    <w:rsid w:val="00A61186"/>
    <w:rsid w:val="00A6122C"/>
    <w:rsid w:val="00A614F5"/>
    <w:rsid w:val="00A61D44"/>
    <w:rsid w:val="00A62F3F"/>
    <w:rsid w:val="00A6341D"/>
    <w:rsid w:val="00A6399D"/>
    <w:rsid w:val="00A639A9"/>
    <w:rsid w:val="00A64F3F"/>
    <w:rsid w:val="00A65862"/>
    <w:rsid w:val="00A65DFE"/>
    <w:rsid w:val="00A66B84"/>
    <w:rsid w:val="00A66F8F"/>
    <w:rsid w:val="00A6711F"/>
    <w:rsid w:val="00A671C6"/>
    <w:rsid w:val="00A67626"/>
    <w:rsid w:val="00A67D03"/>
    <w:rsid w:val="00A70116"/>
    <w:rsid w:val="00A70150"/>
    <w:rsid w:val="00A70583"/>
    <w:rsid w:val="00A70CBE"/>
    <w:rsid w:val="00A70F61"/>
    <w:rsid w:val="00A711C4"/>
    <w:rsid w:val="00A71E17"/>
    <w:rsid w:val="00A728D2"/>
    <w:rsid w:val="00A72CDB"/>
    <w:rsid w:val="00A732C0"/>
    <w:rsid w:val="00A7365B"/>
    <w:rsid w:val="00A736B7"/>
    <w:rsid w:val="00A736C1"/>
    <w:rsid w:val="00A739D5"/>
    <w:rsid w:val="00A740E8"/>
    <w:rsid w:val="00A74265"/>
    <w:rsid w:val="00A743DC"/>
    <w:rsid w:val="00A750F2"/>
    <w:rsid w:val="00A75809"/>
    <w:rsid w:val="00A76138"/>
    <w:rsid w:val="00A76674"/>
    <w:rsid w:val="00A771BE"/>
    <w:rsid w:val="00A77367"/>
    <w:rsid w:val="00A7752B"/>
    <w:rsid w:val="00A776BB"/>
    <w:rsid w:val="00A776BC"/>
    <w:rsid w:val="00A77AF5"/>
    <w:rsid w:val="00A80224"/>
    <w:rsid w:val="00A80905"/>
    <w:rsid w:val="00A80A71"/>
    <w:rsid w:val="00A81259"/>
    <w:rsid w:val="00A819D6"/>
    <w:rsid w:val="00A82B2F"/>
    <w:rsid w:val="00A82DAD"/>
    <w:rsid w:val="00A82F6B"/>
    <w:rsid w:val="00A83414"/>
    <w:rsid w:val="00A835A2"/>
    <w:rsid w:val="00A8388D"/>
    <w:rsid w:val="00A83B6E"/>
    <w:rsid w:val="00A84238"/>
    <w:rsid w:val="00A844E6"/>
    <w:rsid w:val="00A8458D"/>
    <w:rsid w:val="00A847D3"/>
    <w:rsid w:val="00A84AA3"/>
    <w:rsid w:val="00A859EA"/>
    <w:rsid w:val="00A8619B"/>
    <w:rsid w:val="00A867F9"/>
    <w:rsid w:val="00A868AF"/>
    <w:rsid w:val="00A86B1B"/>
    <w:rsid w:val="00A86CD4"/>
    <w:rsid w:val="00A872AA"/>
    <w:rsid w:val="00A87D28"/>
    <w:rsid w:val="00A87E55"/>
    <w:rsid w:val="00A90CA0"/>
    <w:rsid w:val="00A90F8F"/>
    <w:rsid w:val="00A911A6"/>
    <w:rsid w:val="00A91343"/>
    <w:rsid w:val="00A9134F"/>
    <w:rsid w:val="00A9190D"/>
    <w:rsid w:val="00A920EE"/>
    <w:rsid w:val="00A936B3"/>
    <w:rsid w:val="00A93BBB"/>
    <w:rsid w:val="00A93DA0"/>
    <w:rsid w:val="00A93EA6"/>
    <w:rsid w:val="00A94938"/>
    <w:rsid w:val="00A9499D"/>
    <w:rsid w:val="00A95329"/>
    <w:rsid w:val="00A95960"/>
    <w:rsid w:val="00A95AAB"/>
    <w:rsid w:val="00A95AEE"/>
    <w:rsid w:val="00A95B7C"/>
    <w:rsid w:val="00A95D75"/>
    <w:rsid w:val="00A962E3"/>
    <w:rsid w:val="00A968E9"/>
    <w:rsid w:val="00A96B82"/>
    <w:rsid w:val="00A97C2C"/>
    <w:rsid w:val="00A97D16"/>
    <w:rsid w:val="00AA00D4"/>
    <w:rsid w:val="00AA04CD"/>
    <w:rsid w:val="00AA084A"/>
    <w:rsid w:val="00AA0A1D"/>
    <w:rsid w:val="00AA0AA3"/>
    <w:rsid w:val="00AA0D5A"/>
    <w:rsid w:val="00AA1458"/>
    <w:rsid w:val="00AA19F4"/>
    <w:rsid w:val="00AA2626"/>
    <w:rsid w:val="00AA2E9F"/>
    <w:rsid w:val="00AA2FE6"/>
    <w:rsid w:val="00AA3286"/>
    <w:rsid w:val="00AA39E7"/>
    <w:rsid w:val="00AA3A05"/>
    <w:rsid w:val="00AA4343"/>
    <w:rsid w:val="00AA4DE1"/>
    <w:rsid w:val="00AA4FA0"/>
    <w:rsid w:val="00AA59E4"/>
    <w:rsid w:val="00AA5A52"/>
    <w:rsid w:val="00AA6344"/>
    <w:rsid w:val="00AA6D5D"/>
    <w:rsid w:val="00AA6F63"/>
    <w:rsid w:val="00AA70A4"/>
    <w:rsid w:val="00AA766E"/>
    <w:rsid w:val="00AB0480"/>
    <w:rsid w:val="00AB05B4"/>
    <w:rsid w:val="00AB1560"/>
    <w:rsid w:val="00AB16FC"/>
    <w:rsid w:val="00AB1C1D"/>
    <w:rsid w:val="00AB1DA4"/>
    <w:rsid w:val="00AB1E35"/>
    <w:rsid w:val="00AB26A7"/>
    <w:rsid w:val="00AB2AFB"/>
    <w:rsid w:val="00AB3604"/>
    <w:rsid w:val="00AB3756"/>
    <w:rsid w:val="00AB38E0"/>
    <w:rsid w:val="00AB3CA9"/>
    <w:rsid w:val="00AB422E"/>
    <w:rsid w:val="00AB45EC"/>
    <w:rsid w:val="00AB4600"/>
    <w:rsid w:val="00AB4662"/>
    <w:rsid w:val="00AB4A66"/>
    <w:rsid w:val="00AB510A"/>
    <w:rsid w:val="00AB545E"/>
    <w:rsid w:val="00AB5680"/>
    <w:rsid w:val="00AB5B4B"/>
    <w:rsid w:val="00AB5BC5"/>
    <w:rsid w:val="00AB6139"/>
    <w:rsid w:val="00AB6778"/>
    <w:rsid w:val="00AB68E3"/>
    <w:rsid w:val="00AB6A68"/>
    <w:rsid w:val="00AB70A7"/>
    <w:rsid w:val="00AB73C4"/>
    <w:rsid w:val="00AC06BC"/>
    <w:rsid w:val="00AC08FF"/>
    <w:rsid w:val="00AC0E93"/>
    <w:rsid w:val="00AC17A3"/>
    <w:rsid w:val="00AC1848"/>
    <w:rsid w:val="00AC2A35"/>
    <w:rsid w:val="00AC3435"/>
    <w:rsid w:val="00AC3715"/>
    <w:rsid w:val="00AC3CDB"/>
    <w:rsid w:val="00AC4005"/>
    <w:rsid w:val="00AC4768"/>
    <w:rsid w:val="00AC48FB"/>
    <w:rsid w:val="00AC5853"/>
    <w:rsid w:val="00AC5A4B"/>
    <w:rsid w:val="00AC6832"/>
    <w:rsid w:val="00AC6CB6"/>
    <w:rsid w:val="00AC6CCB"/>
    <w:rsid w:val="00AC6D21"/>
    <w:rsid w:val="00AC6DD5"/>
    <w:rsid w:val="00AC70AE"/>
    <w:rsid w:val="00AC746B"/>
    <w:rsid w:val="00AC76FE"/>
    <w:rsid w:val="00AC7726"/>
    <w:rsid w:val="00AC7BE2"/>
    <w:rsid w:val="00AD071C"/>
    <w:rsid w:val="00AD0BF1"/>
    <w:rsid w:val="00AD109C"/>
    <w:rsid w:val="00AD10A6"/>
    <w:rsid w:val="00AD114D"/>
    <w:rsid w:val="00AD132D"/>
    <w:rsid w:val="00AD1994"/>
    <w:rsid w:val="00AD213B"/>
    <w:rsid w:val="00AD24E5"/>
    <w:rsid w:val="00AD2D63"/>
    <w:rsid w:val="00AD3471"/>
    <w:rsid w:val="00AD3984"/>
    <w:rsid w:val="00AD3D06"/>
    <w:rsid w:val="00AD3D98"/>
    <w:rsid w:val="00AD3DB3"/>
    <w:rsid w:val="00AD4568"/>
    <w:rsid w:val="00AD516E"/>
    <w:rsid w:val="00AD5F5C"/>
    <w:rsid w:val="00AD66EE"/>
    <w:rsid w:val="00AD67D4"/>
    <w:rsid w:val="00AD6931"/>
    <w:rsid w:val="00AD695D"/>
    <w:rsid w:val="00AD6EA8"/>
    <w:rsid w:val="00AD75E2"/>
    <w:rsid w:val="00AD7C59"/>
    <w:rsid w:val="00AE037E"/>
    <w:rsid w:val="00AE0821"/>
    <w:rsid w:val="00AE0CAB"/>
    <w:rsid w:val="00AE129B"/>
    <w:rsid w:val="00AE188C"/>
    <w:rsid w:val="00AE195F"/>
    <w:rsid w:val="00AE28F3"/>
    <w:rsid w:val="00AE2A73"/>
    <w:rsid w:val="00AE2BC4"/>
    <w:rsid w:val="00AE3016"/>
    <w:rsid w:val="00AE3844"/>
    <w:rsid w:val="00AE3A23"/>
    <w:rsid w:val="00AE3EA4"/>
    <w:rsid w:val="00AE402B"/>
    <w:rsid w:val="00AE462D"/>
    <w:rsid w:val="00AE4D0C"/>
    <w:rsid w:val="00AE564C"/>
    <w:rsid w:val="00AE5918"/>
    <w:rsid w:val="00AE5FDB"/>
    <w:rsid w:val="00AE6B9C"/>
    <w:rsid w:val="00AE6EE1"/>
    <w:rsid w:val="00AE74A1"/>
    <w:rsid w:val="00AF057C"/>
    <w:rsid w:val="00AF060C"/>
    <w:rsid w:val="00AF0693"/>
    <w:rsid w:val="00AF0722"/>
    <w:rsid w:val="00AF08FA"/>
    <w:rsid w:val="00AF0B36"/>
    <w:rsid w:val="00AF0D9C"/>
    <w:rsid w:val="00AF1141"/>
    <w:rsid w:val="00AF175F"/>
    <w:rsid w:val="00AF1779"/>
    <w:rsid w:val="00AF1FF9"/>
    <w:rsid w:val="00AF2140"/>
    <w:rsid w:val="00AF2570"/>
    <w:rsid w:val="00AF2F39"/>
    <w:rsid w:val="00AF35D0"/>
    <w:rsid w:val="00AF3B67"/>
    <w:rsid w:val="00AF4125"/>
    <w:rsid w:val="00AF47E1"/>
    <w:rsid w:val="00AF4CE7"/>
    <w:rsid w:val="00AF5712"/>
    <w:rsid w:val="00AF5762"/>
    <w:rsid w:val="00AF664B"/>
    <w:rsid w:val="00AF6ADC"/>
    <w:rsid w:val="00AF6C99"/>
    <w:rsid w:val="00AF72B9"/>
    <w:rsid w:val="00AF75FB"/>
    <w:rsid w:val="00B000E1"/>
    <w:rsid w:val="00B003C2"/>
    <w:rsid w:val="00B00499"/>
    <w:rsid w:val="00B01610"/>
    <w:rsid w:val="00B01994"/>
    <w:rsid w:val="00B019E4"/>
    <w:rsid w:val="00B01B72"/>
    <w:rsid w:val="00B02473"/>
    <w:rsid w:val="00B02524"/>
    <w:rsid w:val="00B02C21"/>
    <w:rsid w:val="00B0323F"/>
    <w:rsid w:val="00B036E7"/>
    <w:rsid w:val="00B039D6"/>
    <w:rsid w:val="00B03C60"/>
    <w:rsid w:val="00B03CDE"/>
    <w:rsid w:val="00B03D13"/>
    <w:rsid w:val="00B04150"/>
    <w:rsid w:val="00B042B3"/>
    <w:rsid w:val="00B04A43"/>
    <w:rsid w:val="00B0577A"/>
    <w:rsid w:val="00B058FE"/>
    <w:rsid w:val="00B05936"/>
    <w:rsid w:val="00B05ADF"/>
    <w:rsid w:val="00B0640C"/>
    <w:rsid w:val="00B06665"/>
    <w:rsid w:val="00B06C9B"/>
    <w:rsid w:val="00B07BC7"/>
    <w:rsid w:val="00B07BD4"/>
    <w:rsid w:val="00B10352"/>
    <w:rsid w:val="00B10419"/>
    <w:rsid w:val="00B10DB5"/>
    <w:rsid w:val="00B10F91"/>
    <w:rsid w:val="00B110C5"/>
    <w:rsid w:val="00B11477"/>
    <w:rsid w:val="00B11ACE"/>
    <w:rsid w:val="00B11DF8"/>
    <w:rsid w:val="00B12289"/>
    <w:rsid w:val="00B126F7"/>
    <w:rsid w:val="00B128E5"/>
    <w:rsid w:val="00B12C3D"/>
    <w:rsid w:val="00B12DFA"/>
    <w:rsid w:val="00B12E66"/>
    <w:rsid w:val="00B12ED2"/>
    <w:rsid w:val="00B13090"/>
    <w:rsid w:val="00B13661"/>
    <w:rsid w:val="00B1393F"/>
    <w:rsid w:val="00B139A1"/>
    <w:rsid w:val="00B13F87"/>
    <w:rsid w:val="00B14637"/>
    <w:rsid w:val="00B14681"/>
    <w:rsid w:val="00B148E1"/>
    <w:rsid w:val="00B14BF7"/>
    <w:rsid w:val="00B14F27"/>
    <w:rsid w:val="00B15071"/>
    <w:rsid w:val="00B1508E"/>
    <w:rsid w:val="00B15604"/>
    <w:rsid w:val="00B15ACD"/>
    <w:rsid w:val="00B15FF1"/>
    <w:rsid w:val="00B1670B"/>
    <w:rsid w:val="00B16AB7"/>
    <w:rsid w:val="00B16E26"/>
    <w:rsid w:val="00B1706B"/>
    <w:rsid w:val="00B173D2"/>
    <w:rsid w:val="00B17C7E"/>
    <w:rsid w:val="00B20A88"/>
    <w:rsid w:val="00B20C98"/>
    <w:rsid w:val="00B21523"/>
    <w:rsid w:val="00B21DAE"/>
    <w:rsid w:val="00B21F1D"/>
    <w:rsid w:val="00B226FE"/>
    <w:rsid w:val="00B2275E"/>
    <w:rsid w:val="00B22B83"/>
    <w:rsid w:val="00B22FD0"/>
    <w:rsid w:val="00B232CA"/>
    <w:rsid w:val="00B244D1"/>
    <w:rsid w:val="00B24C11"/>
    <w:rsid w:val="00B24D19"/>
    <w:rsid w:val="00B24DF2"/>
    <w:rsid w:val="00B250B6"/>
    <w:rsid w:val="00B2592F"/>
    <w:rsid w:val="00B25C44"/>
    <w:rsid w:val="00B26251"/>
    <w:rsid w:val="00B26C70"/>
    <w:rsid w:val="00B26E35"/>
    <w:rsid w:val="00B26E91"/>
    <w:rsid w:val="00B26F98"/>
    <w:rsid w:val="00B27030"/>
    <w:rsid w:val="00B27087"/>
    <w:rsid w:val="00B27E74"/>
    <w:rsid w:val="00B27EA4"/>
    <w:rsid w:val="00B301D8"/>
    <w:rsid w:val="00B309A2"/>
    <w:rsid w:val="00B31552"/>
    <w:rsid w:val="00B32347"/>
    <w:rsid w:val="00B33189"/>
    <w:rsid w:val="00B334F3"/>
    <w:rsid w:val="00B3374B"/>
    <w:rsid w:val="00B337AD"/>
    <w:rsid w:val="00B337CD"/>
    <w:rsid w:val="00B33B1B"/>
    <w:rsid w:val="00B33BFA"/>
    <w:rsid w:val="00B33C3F"/>
    <w:rsid w:val="00B33D78"/>
    <w:rsid w:val="00B35B61"/>
    <w:rsid w:val="00B363DD"/>
    <w:rsid w:val="00B3653B"/>
    <w:rsid w:val="00B36624"/>
    <w:rsid w:val="00B3665E"/>
    <w:rsid w:val="00B3726A"/>
    <w:rsid w:val="00B374FD"/>
    <w:rsid w:val="00B3758C"/>
    <w:rsid w:val="00B375CA"/>
    <w:rsid w:val="00B3772F"/>
    <w:rsid w:val="00B379B2"/>
    <w:rsid w:val="00B37D79"/>
    <w:rsid w:val="00B403C6"/>
    <w:rsid w:val="00B40697"/>
    <w:rsid w:val="00B40CA2"/>
    <w:rsid w:val="00B40FB4"/>
    <w:rsid w:val="00B40FB9"/>
    <w:rsid w:val="00B41D9D"/>
    <w:rsid w:val="00B41E20"/>
    <w:rsid w:val="00B41E71"/>
    <w:rsid w:val="00B429E4"/>
    <w:rsid w:val="00B42F26"/>
    <w:rsid w:val="00B4316F"/>
    <w:rsid w:val="00B4382E"/>
    <w:rsid w:val="00B43B88"/>
    <w:rsid w:val="00B43B8F"/>
    <w:rsid w:val="00B443D3"/>
    <w:rsid w:val="00B44C66"/>
    <w:rsid w:val="00B455E8"/>
    <w:rsid w:val="00B45819"/>
    <w:rsid w:val="00B45F5A"/>
    <w:rsid w:val="00B463B0"/>
    <w:rsid w:val="00B46646"/>
    <w:rsid w:val="00B46C8A"/>
    <w:rsid w:val="00B470C8"/>
    <w:rsid w:val="00B470E7"/>
    <w:rsid w:val="00B47242"/>
    <w:rsid w:val="00B50EFE"/>
    <w:rsid w:val="00B5192D"/>
    <w:rsid w:val="00B51B51"/>
    <w:rsid w:val="00B51C42"/>
    <w:rsid w:val="00B52110"/>
    <w:rsid w:val="00B52444"/>
    <w:rsid w:val="00B5248E"/>
    <w:rsid w:val="00B52630"/>
    <w:rsid w:val="00B52650"/>
    <w:rsid w:val="00B5273B"/>
    <w:rsid w:val="00B52FD3"/>
    <w:rsid w:val="00B5323A"/>
    <w:rsid w:val="00B5326A"/>
    <w:rsid w:val="00B533CC"/>
    <w:rsid w:val="00B53D89"/>
    <w:rsid w:val="00B53F6D"/>
    <w:rsid w:val="00B543EC"/>
    <w:rsid w:val="00B54522"/>
    <w:rsid w:val="00B54926"/>
    <w:rsid w:val="00B54D6A"/>
    <w:rsid w:val="00B54F3D"/>
    <w:rsid w:val="00B5526E"/>
    <w:rsid w:val="00B55897"/>
    <w:rsid w:val="00B55925"/>
    <w:rsid w:val="00B55E78"/>
    <w:rsid w:val="00B56D34"/>
    <w:rsid w:val="00B56D56"/>
    <w:rsid w:val="00B57161"/>
    <w:rsid w:val="00B57F63"/>
    <w:rsid w:val="00B60CC8"/>
    <w:rsid w:val="00B6165D"/>
    <w:rsid w:val="00B61872"/>
    <w:rsid w:val="00B61A16"/>
    <w:rsid w:val="00B62183"/>
    <w:rsid w:val="00B62B7F"/>
    <w:rsid w:val="00B62DF1"/>
    <w:rsid w:val="00B62E17"/>
    <w:rsid w:val="00B62E32"/>
    <w:rsid w:val="00B6340A"/>
    <w:rsid w:val="00B635F7"/>
    <w:rsid w:val="00B63B64"/>
    <w:rsid w:val="00B63C34"/>
    <w:rsid w:val="00B63E71"/>
    <w:rsid w:val="00B6421A"/>
    <w:rsid w:val="00B642DC"/>
    <w:rsid w:val="00B6475E"/>
    <w:rsid w:val="00B647BE"/>
    <w:rsid w:val="00B64899"/>
    <w:rsid w:val="00B651A9"/>
    <w:rsid w:val="00B65607"/>
    <w:rsid w:val="00B661B6"/>
    <w:rsid w:val="00B66864"/>
    <w:rsid w:val="00B669C4"/>
    <w:rsid w:val="00B66EEF"/>
    <w:rsid w:val="00B670A3"/>
    <w:rsid w:val="00B671D1"/>
    <w:rsid w:val="00B67329"/>
    <w:rsid w:val="00B6732E"/>
    <w:rsid w:val="00B676A7"/>
    <w:rsid w:val="00B676D4"/>
    <w:rsid w:val="00B6783E"/>
    <w:rsid w:val="00B679F5"/>
    <w:rsid w:val="00B67A67"/>
    <w:rsid w:val="00B67DCB"/>
    <w:rsid w:val="00B70343"/>
    <w:rsid w:val="00B70450"/>
    <w:rsid w:val="00B7095D"/>
    <w:rsid w:val="00B70BFE"/>
    <w:rsid w:val="00B70DDE"/>
    <w:rsid w:val="00B7100D"/>
    <w:rsid w:val="00B71A75"/>
    <w:rsid w:val="00B71CCD"/>
    <w:rsid w:val="00B71EF3"/>
    <w:rsid w:val="00B72255"/>
    <w:rsid w:val="00B7265E"/>
    <w:rsid w:val="00B7332D"/>
    <w:rsid w:val="00B73EC3"/>
    <w:rsid w:val="00B75466"/>
    <w:rsid w:val="00B7584A"/>
    <w:rsid w:val="00B76381"/>
    <w:rsid w:val="00B768BF"/>
    <w:rsid w:val="00B77666"/>
    <w:rsid w:val="00B779BF"/>
    <w:rsid w:val="00B77AE4"/>
    <w:rsid w:val="00B80C85"/>
    <w:rsid w:val="00B8158A"/>
    <w:rsid w:val="00B81BCC"/>
    <w:rsid w:val="00B81D47"/>
    <w:rsid w:val="00B8218D"/>
    <w:rsid w:val="00B8242C"/>
    <w:rsid w:val="00B826D0"/>
    <w:rsid w:val="00B83A49"/>
    <w:rsid w:val="00B847C5"/>
    <w:rsid w:val="00B860D7"/>
    <w:rsid w:val="00B8633C"/>
    <w:rsid w:val="00B86481"/>
    <w:rsid w:val="00B86D50"/>
    <w:rsid w:val="00B87326"/>
    <w:rsid w:val="00B875BA"/>
    <w:rsid w:val="00B87FBB"/>
    <w:rsid w:val="00B902AE"/>
    <w:rsid w:val="00B907CD"/>
    <w:rsid w:val="00B90827"/>
    <w:rsid w:val="00B909A3"/>
    <w:rsid w:val="00B90E6D"/>
    <w:rsid w:val="00B91139"/>
    <w:rsid w:val="00B91622"/>
    <w:rsid w:val="00B91927"/>
    <w:rsid w:val="00B91C0B"/>
    <w:rsid w:val="00B92C2E"/>
    <w:rsid w:val="00B92C93"/>
    <w:rsid w:val="00B9312A"/>
    <w:rsid w:val="00B932B5"/>
    <w:rsid w:val="00B93651"/>
    <w:rsid w:val="00B93672"/>
    <w:rsid w:val="00B93A6E"/>
    <w:rsid w:val="00B94272"/>
    <w:rsid w:val="00B956E1"/>
    <w:rsid w:val="00B967D4"/>
    <w:rsid w:val="00B969B3"/>
    <w:rsid w:val="00B96ADC"/>
    <w:rsid w:val="00B96F07"/>
    <w:rsid w:val="00B972FD"/>
    <w:rsid w:val="00B9749B"/>
    <w:rsid w:val="00B97FEB"/>
    <w:rsid w:val="00BA06C9"/>
    <w:rsid w:val="00BA0946"/>
    <w:rsid w:val="00BA09B4"/>
    <w:rsid w:val="00BA0CE9"/>
    <w:rsid w:val="00BA0D17"/>
    <w:rsid w:val="00BA11D3"/>
    <w:rsid w:val="00BA13D2"/>
    <w:rsid w:val="00BA1705"/>
    <w:rsid w:val="00BA1737"/>
    <w:rsid w:val="00BA191E"/>
    <w:rsid w:val="00BA1BF1"/>
    <w:rsid w:val="00BA1CD7"/>
    <w:rsid w:val="00BA2022"/>
    <w:rsid w:val="00BA2860"/>
    <w:rsid w:val="00BA2DBB"/>
    <w:rsid w:val="00BA3751"/>
    <w:rsid w:val="00BA3B4D"/>
    <w:rsid w:val="00BA453A"/>
    <w:rsid w:val="00BA4AD5"/>
    <w:rsid w:val="00BA5641"/>
    <w:rsid w:val="00BA5685"/>
    <w:rsid w:val="00BA6ED9"/>
    <w:rsid w:val="00BB009C"/>
    <w:rsid w:val="00BB018B"/>
    <w:rsid w:val="00BB0B50"/>
    <w:rsid w:val="00BB0D87"/>
    <w:rsid w:val="00BB1564"/>
    <w:rsid w:val="00BB1593"/>
    <w:rsid w:val="00BB15A5"/>
    <w:rsid w:val="00BB15B9"/>
    <w:rsid w:val="00BB1728"/>
    <w:rsid w:val="00BB1858"/>
    <w:rsid w:val="00BB19EA"/>
    <w:rsid w:val="00BB1B63"/>
    <w:rsid w:val="00BB1E17"/>
    <w:rsid w:val="00BB2BDE"/>
    <w:rsid w:val="00BB2C14"/>
    <w:rsid w:val="00BB2C26"/>
    <w:rsid w:val="00BB2E1E"/>
    <w:rsid w:val="00BB33E8"/>
    <w:rsid w:val="00BB3C81"/>
    <w:rsid w:val="00BB4025"/>
    <w:rsid w:val="00BB45E3"/>
    <w:rsid w:val="00BB473A"/>
    <w:rsid w:val="00BB5D17"/>
    <w:rsid w:val="00BB600C"/>
    <w:rsid w:val="00BB65CC"/>
    <w:rsid w:val="00BB6B3C"/>
    <w:rsid w:val="00BB6B8A"/>
    <w:rsid w:val="00BB6D51"/>
    <w:rsid w:val="00BB6EA8"/>
    <w:rsid w:val="00BB6F18"/>
    <w:rsid w:val="00BB7814"/>
    <w:rsid w:val="00BB790A"/>
    <w:rsid w:val="00BB7A10"/>
    <w:rsid w:val="00BB7B67"/>
    <w:rsid w:val="00BC0397"/>
    <w:rsid w:val="00BC061D"/>
    <w:rsid w:val="00BC0957"/>
    <w:rsid w:val="00BC0EBD"/>
    <w:rsid w:val="00BC0FE5"/>
    <w:rsid w:val="00BC136D"/>
    <w:rsid w:val="00BC1AB0"/>
    <w:rsid w:val="00BC1B51"/>
    <w:rsid w:val="00BC20DA"/>
    <w:rsid w:val="00BC21D0"/>
    <w:rsid w:val="00BC224C"/>
    <w:rsid w:val="00BC229B"/>
    <w:rsid w:val="00BC27F8"/>
    <w:rsid w:val="00BC2F14"/>
    <w:rsid w:val="00BC363E"/>
    <w:rsid w:val="00BC41D3"/>
    <w:rsid w:val="00BC4852"/>
    <w:rsid w:val="00BC5852"/>
    <w:rsid w:val="00BC5F78"/>
    <w:rsid w:val="00BC6A79"/>
    <w:rsid w:val="00BC6D3C"/>
    <w:rsid w:val="00BC73D5"/>
    <w:rsid w:val="00BC7974"/>
    <w:rsid w:val="00BC7C3B"/>
    <w:rsid w:val="00BD0065"/>
    <w:rsid w:val="00BD0954"/>
    <w:rsid w:val="00BD0AAD"/>
    <w:rsid w:val="00BD0C6A"/>
    <w:rsid w:val="00BD0CF1"/>
    <w:rsid w:val="00BD0FE8"/>
    <w:rsid w:val="00BD11EF"/>
    <w:rsid w:val="00BD18A1"/>
    <w:rsid w:val="00BD1AAB"/>
    <w:rsid w:val="00BD1EF5"/>
    <w:rsid w:val="00BD24E2"/>
    <w:rsid w:val="00BD2D5C"/>
    <w:rsid w:val="00BD3543"/>
    <w:rsid w:val="00BD3A59"/>
    <w:rsid w:val="00BD3E6F"/>
    <w:rsid w:val="00BD443B"/>
    <w:rsid w:val="00BD4E51"/>
    <w:rsid w:val="00BD5180"/>
    <w:rsid w:val="00BD5260"/>
    <w:rsid w:val="00BD536D"/>
    <w:rsid w:val="00BD5839"/>
    <w:rsid w:val="00BD5943"/>
    <w:rsid w:val="00BD6016"/>
    <w:rsid w:val="00BD6981"/>
    <w:rsid w:val="00BD6BE2"/>
    <w:rsid w:val="00BD7A2B"/>
    <w:rsid w:val="00BD7A41"/>
    <w:rsid w:val="00BD7CA1"/>
    <w:rsid w:val="00BD7CC4"/>
    <w:rsid w:val="00BD7D4C"/>
    <w:rsid w:val="00BE009F"/>
    <w:rsid w:val="00BE07C9"/>
    <w:rsid w:val="00BE0A63"/>
    <w:rsid w:val="00BE1081"/>
    <w:rsid w:val="00BE1256"/>
    <w:rsid w:val="00BE132A"/>
    <w:rsid w:val="00BE249C"/>
    <w:rsid w:val="00BE303D"/>
    <w:rsid w:val="00BE3B4F"/>
    <w:rsid w:val="00BE44A5"/>
    <w:rsid w:val="00BE4D5E"/>
    <w:rsid w:val="00BE52FF"/>
    <w:rsid w:val="00BE548A"/>
    <w:rsid w:val="00BE5CEF"/>
    <w:rsid w:val="00BE6824"/>
    <w:rsid w:val="00BE6A60"/>
    <w:rsid w:val="00BE6C5A"/>
    <w:rsid w:val="00BE7DFB"/>
    <w:rsid w:val="00BF0042"/>
    <w:rsid w:val="00BF01AE"/>
    <w:rsid w:val="00BF0E86"/>
    <w:rsid w:val="00BF125C"/>
    <w:rsid w:val="00BF14AD"/>
    <w:rsid w:val="00BF16D5"/>
    <w:rsid w:val="00BF2292"/>
    <w:rsid w:val="00BF2C69"/>
    <w:rsid w:val="00BF3588"/>
    <w:rsid w:val="00BF38A4"/>
    <w:rsid w:val="00BF39E2"/>
    <w:rsid w:val="00BF3B8B"/>
    <w:rsid w:val="00BF40F1"/>
    <w:rsid w:val="00BF4700"/>
    <w:rsid w:val="00BF4E5A"/>
    <w:rsid w:val="00BF579B"/>
    <w:rsid w:val="00BF65BB"/>
    <w:rsid w:val="00BF6844"/>
    <w:rsid w:val="00BF6C94"/>
    <w:rsid w:val="00BF72EA"/>
    <w:rsid w:val="00C005AB"/>
    <w:rsid w:val="00C005D8"/>
    <w:rsid w:val="00C00A8F"/>
    <w:rsid w:val="00C00FB8"/>
    <w:rsid w:val="00C013BB"/>
    <w:rsid w:val="00C0153D"/>
    <w:rsid w:val="00C0160E"/>
    <w:rsid w:val="00C01816"/>
    <w:rsid w:val="00C01B50"/>
    <w:rsid w:val="00C02451"/>
    <w:rsid w:val="00C02F1E"/>
    <w:rsid w:val="00C032C9"/>
    <w:rsid w:val="00C036D7"/>
    <w:rsid w:val="00C03AC2"/>
    <w:rsid w:val="00C03EEF"/>
    <w:rsid w:val="00C042E9"/>
    <w:rsid w:val="00C0440E"/>
    <w:rsid w:val="00C0467E"/>
    <w:rsid w:val="00C04A69"/>
    <w:rsid w:val="00C04C3D"/>
    <w:rsid w:val="00C069FC"/>
    <w:rsid w:val="00C07175"/>
    <w:rsid w:val="00C0772C"/>
    <w:rsid w:val="00C07C1F"/>
    <w:rsid w:val="00C10785"/>
    <w:rsid w:val="00C11227"/>
    <w:rsid w:val="00C11677"/>
    <w:rsid w:val="00C11A11"/>
    <w:rsid w:val="00C11D4F"/>
    <w:rsid w:val="00C11DCA"/>
    <w:rsid w:val="00C1233A"/>
    <w:rsid w:val="00C1242A"/>
    <w:rsid w:val="00C12627"/>
    <w:rsid w:val="00C1285E"/>
    <w:rsid w:val="00C12996"/>
    <w:rsid w:val="00C12DD4"/>
    <w:rsid w:val="00C13210"/>
    <w:rsid w:val="00C13635"/>
    <w:rsid w:val="00C13858"/>
    <w:rsid w:val="00C13E4D"/>
    <w:rsid w:val="00C14066"/>
    <w:rsid w:val="00C1422E"/>
    <w:rsid w:val="00C14393"/>
    <w:rsid w:val="00C14F43"/>
    <w:rsid w:val="00C155E8"/>
    <w:rsid w:val="00C155F0"/>
    <w:rsid w:val="00C15A65"/>
    <w:rsid w:val="00C166E7"/>
    <w:rsid w:val="00C16D06"/>
    <w:rsid w:val="00C16D1B"/>
    <w:rsid w:val="00C16ED8"/>
    <w:rsid w:val="00C17B9F"/>
    <w:rsid w:val="00C17D66"/>
    <w:rsid w:val="00C200B5"/>
    <w:rsid w:val="00C20368"/>
    <w:rsid w:val="00C204E6"/>
    <w:rsid w:val="00C205C4"/>
    <w:rsid w:val="00C2140B"/>
    <w:rsid w:val="00C21575"/>
    <w:rsid w:val="00C21AE3"/>
    <w:rsid w:val="00C21BAB"/>
    <w:rsid w:val="00C21E33"/>
    <w:rsid w:val="00C22C06"/>
    <w:rsid w:val="00C2338C"/>
    <w:rsid w:val="00C233F2"/>
    <w:rsid w:val="00C234E0"/>
    <w:rsid w:val="00C24180"/>
    <w:rsid w:val="00C24CB0"/>
    <w:rsid w:val="00C25014"/>
    <w:rsid w:val="00C253B3"/>
    <w:rsid w:val="00C25EA2"/>
    <w:rsid w:val="00C266BE"/>
    <w:rsid w:val="00C2695D"/>
    <w:rsid w:val="00C26B5E"/>
    <w:rsid w:val="00C27291"/>
    <w:rsid w:val="00C276AC"/>
    <w:rsid w:val="00C2796B"/>
    <w:rsid w:val="00C27E11"/>
    <w:rsid w:val="00C307E8"/>
    <w:rsid w:val="00C30A88"/>
    <w:rsid w:val="00C30C99"/>
    <w:rsid w:val="00C31446"/>
    <w:rsid w:val="00C318E3"/>
    <w:rsid w:val="00C31D91"/>
    <w:rsid w:val="00C31E21"/>
    <w:rsid w:val="00C32288"/>
    <w:rsid w:val="00C32365"/>
    <w:rsid w:val="00C323BD"/>
    <w:rsid w:val="00C32474"/>
    <w:rsid w:val="00C32CC4"/>
    <w:rsid w:val="00C32DCA"/>
    <w:rsid w:val="00C33591"/>
    <w:rsid w:val="00C33F7F"/>
    <w:rsid w:val="00C34028"/>
    <w:rsid w:val="00C340EB"/>
    <w:rsid w:val="00C34187"/>
    <w:rsid w:val="00C34285"/>
    <w:rsid w:val="00C34447"/>
    <w:rsid w:val="00C349D4"/>
    <w:rsid w:val="00C34D47"/>
    <w:rsid w:val="00C35429"/>
    <w:rsid w:val="00C35EF2"/>
    <w:rsid w:val="00C35F04"/>
    <w:rsid w:val="00C363C3"/>
    <w:rsid w:val="00C36560"/>
    <w:rsid w:val="00C372A0"/>
    <w:rsid w:val="00C37326"/>
    <w:rsid w:val="00C37847"/>
    <w:rsid w:val="00C37A0A"/>
    <w:rsid w:val="00C37B82"/>
    <w:rsid w:val="00C37D68"/>
    <w:rsid w:val="00C37FD7"/>
    <w:rsid w:val="00C40308"/>
    <w:rsid w:val="00C4032A"/>
    <w:rsid w:val="00C408F4"/>
    <w:rsid w:val="00C40988"/>
    <w:rsid w:val="00C41BBF"/>
    <w:rsid w:val="00C420FE"/>
    <w:rsid w:val="00C42862"/>
    <w:rsid w:val="00C42BD4"/>
    <w:rsid w:val="00C42E3B"/>
    <w:rsid w:val="00C432BC"/>
    <w:rsid w:val="00C44293"/>
    <w:rsid w:val="00C44945"/>
    <w:rsid w:val="00C4500A"/>
    <w:rsid w:val="00C4500E"/>
    <w:rsid w:val="00C456CC"/>
    <w:rsid w:val="00C4571E"/>
    <w:rsid w:val="00C4633E"/>
    <w:rsid w:val="00C4643D"/>
    <w:rsid w:val="00C466DF"/>
    <w:rsid w:val="00C47657"/>
    <w:rsid w:val="00C47903"/>
    <w:rsid w:val="00C502EB"/>
    <w:rsid w:val="00C505FC"/>
    <w:rsid w:val="00C50F08"/>
    <w:rsid w:val="00C50F60"/>
    <w:rsid w:val="00C50FE3"/>
    <w:rsid w:val="00C51032"/>
    <w:rsid w:val="00C510DA"/>
    <w:rsid w:val="00C519A5"/>
    <w:rsid w:val="00C51BF2"/>
    <w:rsid w:val="00C51D38"/>
    <w:rsid w:val="00C5365A"/>
    <w:rsid w:val="00C536B1"/>
    <w:rsid w:val="00C538B5"/>
    <w:rsid w:val="00C53998"/>
    <w:rsid w:val="00C53A73"/>
    <w:rsid w:val="00C53AAB"/>
    <w:rsid w:val="00C54266"/>
    <w:rsid w:val="00C55258"/>
    <w:rsid w:val="00C55612"/>
    <w:rsid w:val="00C558A5"/>
    <w:rsid w:val="00C55920"/>
    <w:rsid w:val="00C55C62"/>
    <w:rsid w:val="00C55F40"/>
    <w:rsid w:val="00C56A74"/>
    <w:rsid w:val="00C56EE3"/>
    <w:rsid w:val="00C57936"/>
    <w:rsid w:val="00C57B01"/>
    <w:rsid w:val="00C57BF2"/>
    <w:rsid w:val="00C57E77"/>
    <w:rsid w:val="00C60374"/>
    <w:rsid w:val="00C605FA"/>
    <w:rsid w:val="00C608EC"/>
    <w:rsid w:val="00C61090"/>
    <w:rsid w:val="00C61210"/>
    <w:rsid w:val="00C616A5"/>
    <w:rsid w:val="00C61868"/>
    <w:rsid w:val="00C61E3E"/>
    <w:rsid w:val="00C6266D"/>
    <w:rsid w:val="00C62B93"/>
    <w:rsid w:val="00C62EB1"/>
    <w:rsid w:val="00C62F4A"/>
    <w:rsid w:val="00C63201"/>
    <w:rsid w:val="00C638F9"/>
    <w:rsid w:val="00C63AA9"/>
    <w:rsid w:val="00C63AD7"/>
    <w:rsid w:val="00C63FD0"/>
    <w:rsid w:val="00C63FDC"/>
    <w:rsid w:val="00C64229"/>
    <w:rsid w:val="00C645AB"/>
    <w:rsid w:val="00C6492A"/>
    <w:rsid w:val="00C657D6"/>
    <w:rsid w:val="00C658A9"/>
    <w:rsid w:val="00C66411"/>
    <w:rsid w:val="00C6659C"/>
    <w:rsid w:val="00C66FA8"/>
    <w:rsid w:val="00C677A7"/>
    <w:rsid w:val="00C67A96"/>
    <w:rsid w:val="00C70A98"/>
    <w:rsid w:val="00C70C85"/>
    <w:rsid w:val="00C70E77"/>
    <w:rsid w:val="00C714BE"/>
    <w:rsid w:val="00C7245B"/>
    <w:rsid w:val="00C72D04"/>
    <w:rsid w:val="00C732FB"/>
    <w:rsid w:val="00C73756"/>
    <w:rsid w:val="00C73C94"/>
    <w:rsid w:val="00C73CDC"/>
    <w:rsid w:val="00C73D00"/>
    <w:rsid w:val="00C73FA9"/>
    <w:rsid w:val="00C74529"/>
    <w:rsid w:val="00C746A3"/>
    <w:rsid w:val="00C746A5"/>
    <w:rsid w:val="00C74A25"/>
    <w:rsid w:val="00C74EBC"/>
    <w:rsid w:val="00C74F74"/>
    <w:rsid w:val="00C754A3"/>
    <w:rsid w:val="00C756FE"/>
    <w:rsid w:val="00C76150"/>
    <w:rsid w:val="00C7729E"/>
    <w:rsid w:val="00C778F5"/>
    <w:rsid w:val="00C7791A"/>
    <w:rsid w:val="00C77A0B"/>
    <w:rsid w:val="00C77DE6"/>
    <w:rsid w:val="00C8179C"/>
    <w:rsid w:val="00C81952"/>
    <w:rsid w:val="00C819D7"/>
    <w:rsid w:val="00C82110"/>
    <w:rsid w:val="00C82720"/>
    <w:rsid w:val="00C82748"/>
    <w:rsid w:val="00C82782"/>
    <w:rsid w:val="00C8279D"/>
    <w:rsid w:val="00C827C9"/>
    <w:rsid w:val="00C82AD2"/>
    <w:rsid w:val="00C82C5C"/>
    <w:rsid w:val="00C82F2F"/>
    <w:rsid w:val="00C832C1"/>
    <w:rsid w:val="00C84357"/>
    <w:rsid w:val="00C84374"/>
    <w:rsid w:val="00C84613"/>
    <w:rsid w:val="00C85669"/>
    <w:rsid w:val="00C857B6"/>
    <w:rsid w:val="00C85B9D"/>
    <w:rsid w:val="00C861B5"/>
    <w:rsid w:val="00C87350"/>
    <w:rsid w:val="00C87A7F"/>
    <w:rsid w:val="00C91413"/>
    <w:rsid w:val="00C92364"/>
    <w:rsid w:val="00C926E1"/>
    <w:rsid w:val="00C9284A"/>
    <w:rsid w:val="00C92CBC"/>
    <w:rsid w:val="00C934C1"/>
    <w:rsid w:val="00C93A27"/>
    <w:rsid w:val="00C93A97"/>
    <w:rsid w:val="00C93DC5"/>
    <w:rsid w:val="00C941F3"/>
    <w:rsid w:val="00C9453A"/>
    <w:rsid w:val="00C9499A"/>
    <w:rsid w:val="00C952D9"/>
    <w:rsid w:val="00C95533"/>
    <w:rsid w:val="00C95D95"/>
    <w:rsid w:val="00C96BC8"/>
    <w:rsid w:val="00C9735C"/>
    <w:rsid w:val="00C97692"/>
    <w:rsid w:val="00C977F8"/>
    <w:rsid w:val="00CA097D"/>
    <w:rsid w:val="00CA0DB8"/>
    <w:rsid w:val="00CA0DE8"/>
    <w:rsid w:val="00CA1A76"/>
    <w:rsid w:val="00CA1A86"/>
    <w:rsid w:val="00CA2908"/>
    <w:rsid w:val="00CA2C17"/>
    <w:rsid w:val="00CA306D"/>
    <w:rsid w:val="00CA3110"/>
    <w:rsid w:val="00CA413B"/>
    <w:rsid w:val="00CA4250"/>
    <w:rsid w:val="00CA4D4B"/>
    <w:rsid w:val="00CA4FC8"/>
    <w:rsid w:val="00CA57A9"/>
    <w:rsid w:val="00CA5835"/>
    <w:rsid w:val="00CA5E6D"/>
    <w:rsid w:val="00CA5F8D"/>
    <w:rsid w:val="00CA6256"/>
    <w:rsid w:val="00CA6577"/>
    <w:rsid w:val="00CA673E"/>
    <w:rsid w:val="00CA673F"/>
    <w:rsid w:val="00CA6864"/>
    <w:rsid w:val="00CA6A19"/>
    <w:rsid w:val="00CA6A62"/>
    <w:rsid w:val="00CA6BA7"/>
    <w:rsid w:val="00CA7522"/>
    <w:rsid w:val="00CB050B"/>
    <w:rsid w:val="00CB07A3"/>
    <w:rsid w:val="00CB0DA5"/>
    <w:rsid w:val="00CB10D4"/>
    <w:rsid w:val="00CB15BD"/>
    <w:rsid w:val="00CB1851"/>
    <w:rsid w:val="00CB1859"/>
    <w:rsid w:val="00CB1CAF"/>
    <w:rsid w:val="00CB1F97"/>
    <w:rsid w:val="00CB20DF"/>
    <w:rsid w:val="00CB229E"/>
    <w:rsid w:val="00CB24C8"/>
    <w:rsid w:val="00CB3A05"/>
    <w:rsid w:val="00CB3AE0"/>
    <w:rsid w:val="00CB5781"/>
    <w:rsid w:val="00CB6083"/>
    <w:rsid w:val="00CB640E"/>
    <w:rsid w:val="00CB6443"/>
    <w:rsid w:val="00CB661F"/>
    <w:rsid w:val="00CB67D5"/>
    <w:rsid w:val="00CB7247"/>
    <w:rsid w:val="00CB777B"/>
    <w:rsid w:val="00CB794D"/>
    <w:rsid w:val="00CB7B31"/>
    <w:rsid w:val="00CB7B76"/>
    <w:rsid w:val="00CC27A8"/>
    <w:rsid w:val="00CC29D1"/>
    <w:rsid w:val="00CC2D0F"/>
    <w:rsid w:val="00CC3134"/>
    <w:rsid w:val="00CC33BA"/>
    <w:rsid w:val="00CC359A"/>
    <w:rsid w:val="00CC3997"/>
    <w:rsid w:val="00CC3999"/>
    <w:rsid w:val="00CC3FC6"/>
    <w:rsid w:val="00CC4108"/>
    <w:rsid w:val="00CC433B"/>
    <w:rsid w:val="00CC4891"/>
    <w:rsid w:val="00CC546B"/>
    <w:rsid w:val="00CC5646"/>
    <w:rsid w:val="00CC5A6F"/>
    <w:rsid w:val="00CC60B2"/>
    <w:rsid w:val="00CC6186"/>
    <w:rsid w:val="00CC6D15"/>
    <w:rsid w:val="00CC6EA2"/>
    <w:rsid w:val="00CC752E"/>
    <w:rsid w:val="00CC7BCB"/>
    <w:rsid w:val="00CC7E88"/>
    <w:rsid w:val="00CD03DD"/>
    <w:rsid w:val="00CD0F04"/>
    <w:rsid w:val="00CD1364"/>
    <w:rsid w:val="00CD1B85"/>
    <w:rsid w:val="00CD1BFB"/>
    <w:rsid w:val="00CD2086"/>
    <w:rsid w:val="00CD2366"/>
    <w:rsid w:val="00CD2586"/>
    <w:rsid w:val="00CD27AF"/>
    <w:rsid w:val="00CD28AB"/>
    <w:rsid w:val="00CD29CC"/>
    <w:rsid w:val="00CD3D3B"/>
    <w:rsid w:val="00CD44DE"/>
    <w:rsid w:val="00CD467D"/>
    <w:rsid w:val="00CD4F82"/>
    <w:rsid w:val="00CD51E4"/>
    <w:rsid w:val="00CD53E1"/>
    <w:rsid w:val="00CD7B60"/>
    <w:rsid w:val="00CD7D29"/>
    <w:rsid w:val="00CE01C4"/>
    <w:rsid w:val="00CE025D"/>
    <w:rsid w:val="00CE02D7"/>
    <w:rsid w:val="00CE0761"/>
    <w:rsid w:val="00CE12D0"/>
    <w:rsid w:val="00CE1C31"/>
    <w:rsid w:val="00CE1E18"/>
    <w:rsid w:val="00CE1E6E"/>
    <w:rsid w:val="00CE251B"/>
    <w:rsid w:val="00CE25B3"/>
    <w:rsid w:val="00CE29ED"/>
    <w:rsid w:val="00CE3988"/>
    <w:rsid w:val="00CE3BCA"/>
    <w:rsid w:val="00CE4135"/>
    <w:rsid w:val="00CE4294"/>
    <w:rsid w:val="00CE4573"/>
    <w:rsid w:val="00CE45CD"/>
    <w:rsid w:val="00CE479F"/>
    <w:rsid w:val="00CE4F15"/>
    <w:rsid w:val="00CE53A7"/>
    <w:rsid w:val="00CE53D8"/>
    <w:rsid w:val="00CE5521"/>
    <w:rsid w:val="00CE56F6"/>
    <w:rsid w:val="00CE64F2"/>
    <w:rsid w:val="00CE6554"/>
    <w:rsid w:val="00CE68BA"/>
    <w:rsid w:val="00CE69A6"/>
    <w:rsid w:val="00CE6F95"/>
    <w:rsid w:val="00CE7149"/>
    <w:rsid w:val="00CE721E"/>
    <w:rsid w:val="00CE7926"/>
    <w:rsid w:val="00CE7EF5"/>
    <w:rsid w:val="00CE7FA5"/>
    <w:rsid w:val="00CF05CB"/>
    <w:rsid w:val="00CF05D3"/>
    <w:rsid w:val="00CF0AA8"/>
    <w:rsid w:val="00CF0EF2"/>
    <w:rsid w:val="00CF110F"/>
    <w:rsid w:val="00CF11E3"/>
    <w:rsid w:val="00CF18EE"/>
    <w:rsid w:val="00CF2F0B"/>
    <w:rsid w:val="00CF34EF"/>
    <w:rsid w:val="00CF36AF"/>
    <w:rsid w:val="00CF3712"/>
    <w:rsid w:val="00CF525F"/>
    <w:rsid w:val="00CF56B4"/>
    <w:rsid w:val="00CF5B1D"/>
    <w:rsid w:val="00CF5C6F"/>
    <w:rsid w:val="00CF6463"/>
    <w:rsid w:val="00CF6472"/>
    <w:rsid w:val="00CF68AF"/>
    <w:rsid w:val="00CF695E"/>
    <w:rsid w:val="00CF6B19"/>
    <w:rsid w:val="00CF6C9C"/>
    <w:rsid w:val="00CF71D7"/>
    <w:rsid w:val="00CF7242"/>
    <w:rsid w:val="00CF751B"/>
    <w:rsid w:val="00CF7682"/>
    <w:rsid w:val="00CF7785"/>
    <w:rsid w:val="00CF77B6"/>
    <w:rsid w:val="00CF78B6"/>
    <w:rsid w:val="00CF79F0"/>
    <w:rsid w:val="00CF7D93"/>
    <w:rsid w:val="00CF7E86"/>
    <w:rsid w:val="00D00989"/>
    <w:rsid w:val="00D00E87"/>
    <w:rsid w:val="00D0194C"/>
    <w:rsid w:val="00D01A9E"/>
    <w:rsid w:val="00D01F31"/>
    <w:rsid w:val="00D024AC"/>
    <w:rsid w:val="00D02F56"/>
    <w:rsid w:val="00D0345D"/>
    <w:rsid w:val="00D03878"/>
    <w:rsid w:val="00D03A34"/>
    <w:rsid w:val="00D03DDF"/>
    <w:rsid w:val="00D0413D"/>
    <w:rsid w:val="00D041A8"/>
    <w:rsid w:val="00D049FB"/>
    <w:rsid w:val="00D0538A"/>
    <w:rsid w:val="00D0579C"/>
    <w:rsid w:val="00D05990"/>
    <w:rsid w:val="00D059A8"/>
    <w:rsid w:val="00D06B6A"/>
    <w:rsid w:val="00D071BC"/>
    <w:rsid w:val="00D075DD"/>
    <w:rsid w:val="00D07A43"/>
    <w:rsid w:val="00D10249"/>
    <w:rsid w:val="00D1045D"/>
    <w:rsid w:val="00D109F0"/>
    <w:rsid w:val="00D10C59"/>
    <w:rsid w:val="00D11936"/>
    <w:rsid w:val="00D119CE"/>
    <w:rsid w:val="00D11BCF"/>
    <w:rsid w:val="00D1252E"/>
    <w:rsid w:val="00D12A6E"/>
    <w:rsid w:val="00D12FBC"/>
    <w:rsid w:val="00D133EB"/>
    <w:rsid w:val="00D13856"/>
    <w:rsid w:val="00D1422F"/>
    <w:rsid w:val="00D14582"/>
    <w:rsid w:val="00D146C2"/>
    <w:rsid w:val="00D15CA2"/>
    <w:rsid w:val="00D15E62"/>
    <w:rsid w:val="00D164DE"/>
    <w:rsid w:val="00D16766"/>
    <w:rsid w:val="00D16852"/>
    <w:rsid w:val="00D16A5B"/>
    <w:rsid w:val="00D16C51"/>
    <w:rsid w:val="00D172CA"/>
    <w:rsid w:val="00D17341"/>
    <w:rsid w:val="00D173B5"/>
    <w:rsid w:val="00D179AC"/>
    <w:rsid w:val="00D17FF8"/>
    <w:rsid w:val="00D2074E"/>
    <w:rsid w:val="00D2077E"/>
    <w:rsid w:val="00D2085B"/>
    <w:rsid w:val="00D20BFA"/>
    <w:rsid w:val="00D215D8"/>
    <w:rsid w:val="00D21A1B"/>
    <w:rsid w:val="00D21F69"/>
    <w:rsid w:val="00D2255D"/>
    <w:rsid w:val="00D22AC3"/>
    <w:rsid w:val="00D23107"/>
    <w:rsid w:val="00D2328A"/>
    <w:rsid w:val="00D23AE6"/>
    <w:rsid w:val="00D23C14"/>
    <w:rsid w:val="00D23D31"/>
    <w:rsid w:val="00D23D40"/>
    <w:rsid w:val="00D244D4"/>
    <w:rsid w:val="00D2464A"/>
    <w:rsid w:val="00D24B92"/>
    <w:rsid w:val="00D251EE"/>
    <w:rsid w:val="00D253D5"/>
    <w:rsid w:val="00D25ADF"/>
    <w:rsid w:val="00D25C66"/>
    <w:rsid w:val="00D26497"/>
    <w:rsid w:val="00D2667C"/>
    <w:rsid w:val="00D26801"/>
    <w:rsid w:val="00D268B7"/>
    <w:rsid w:val="00D26BE4"/>
    <w:rsid w:val="00D309FB"/>
    <w:rsid w:val="00D31690"/>
    <w:rsid w:val="00D317A6"/>
    <w:rsid w:val="00D31C1D"/>
    <w:rsid w:val="00D32510"/>
    <w:rsid w:val="00D32730"/>
    <w:rsid w:val="00D3279B"/>
    <w:rsid w:val="00D328C1"/>
    <w:rsid w:val="00D32C2E"/>
    <w:rsid w:val="00D330F6"/>
    <w:rsid w:val="00D3368A"/>
    <w:rsid w:val="00D338D9"/>
    <w:rsid w:val="00D33AAE"/>
    <w:rsid w:val="00D33C36"/>
    <w:rsid w:val="00D33C8D"/>
    <w:rsid w:val="00D33FC7"/>
    <w:rsid w:val="00D34359"/>
    <w:rsid w:val="00D3462F"/>
    <w:rsid w:val="00D347C7"/>
    <w:rsid w:val="00D34E32"/>
    <w:rsid w:val="00D35252"/>
    <w:rsid w:val="00D35369"/>
    <w:rsid w:val="00D354C9"/>
    <w:rsid w:val="00D35640"/>
    <w:rsid w:val="00D35AD1"/>
    <w:rsid w:val="00D364E8"/>
    <w:rsid w:val="00D365BE"/>
    <w:rsid w:val="00D36BFA"/>
    <w:rsid w:val="00D36F82"/>
    <w:rsid w:val="00D3755C"/>
    <w:rsid w:val="00D3760A"/>
    <w:rsid w:val="00D37A01"/>
    <w:rsid w:val="00D37B6C"/>
    <w:rsid w:val="00D37BFA"/>
    <w:rsid w:val="00D37DFB"/>
    <w:rsid w:val="00D37EA5"/>
    <w:rsid w:val="00D406D4"/>
    <w:rsid w:val="00D40CBF"/>
    <w:rsid w:val="00D410A0"/>
    <w:rsid w:val="00D41176"/>
    <w:rsid w:val="00D41731"/>
    <w:rsid w:val="00D4181E"/>
    <w:rsid w:val="00D42B6B"/>
    <w:rsid w:val="00D432B0"/>
    <w:rsid w:val="00D43351"/>
    <w:rsid w:val="00D4350E"/>
    <w:rsid w:val="00D438EF"/>
    <w:rsid w:val="00D4435E"/>
    <w:rsid w:val="00D455EB"/>
    <w:rsid w:val="00D45F4D"/>
    <w:rsid w:val="00D46C36"/>
    <w:rsid w:val="00D47291"/>
    <w:rsid w:val="00D47351"/>
    <w:rsid w:val="00D47D94"/>
    <w:rsid w:val="00D501E5"/>
    <w:rsid w:val="00D509CE"/>
    <w:rsid w:val="00D50E71"/>
    <w:rsid w:val="00D50F6C"/>
    <w:rsid w:val="00D51931"/>
    <w:rsid w:val="00D51F6D"/>
    <w:rsid w:val="00D523FD"/>
    <w:rsid w:val="00D52DC9"/>
    <w:rsid w:val="00D53934"/>
    <w:rsid w:val="00D53B20"/>
    <w:rsid w:val="00D53D90"/>
    <w:rsid w:val="00D53F1D"/>
    <w:rsid w:val="00D54413"/>
    <w:rsid w:val="00D54BE2"/>
    <w:rsid w:val="00D54D29"/>
    <w:rsid w:val="00D55B4D"/>
    <w:rsid w:val="00D5642F"/>
    <w:rsid w:val="00D564E6"/>
    <w:rsid w:val="00D5684C"/>
    <w:rsid w:val="00D56A7C"/>
    <w:rsid w:val="00D56CA2"/>
    <w:rsid w:val="00D57761"/>
    <w:rsid w:val="00D57CC2"/>
    <w:rsid w:val="00D6096D"/>
    <w:rsid w:val="00D60B85"/>
    <w:rsid w:val="00D61782"/>
    <w:rsid w:val="00D6186C"/>
    <w:rsid w:val="00D61B91"/>
    <w:rsid w:val="00D61C84"/>
    <w:rsid w:val="00D61EDF"/>
    <w:rsid w:val="00D62262"/>
    <w:rsid w:val="00D62B35"/>
    <w:rsid w:val="00D63092"/>
    <w:rsid w:val="00D630C6"/>
    <w:rsid w:val="00D63404"/>
    <w:rsid w:val="00D63BAF"/>
    <w:rsid w:val="00D645F3"/>
    <w:rsid w:val="00D64683"/>
    <w:rsid w:val="00D64795"/>
    <w:rsid w:val="00D657B2"/>
    <w:rsid w:val="00D65964"/>
    <w:rsid w:val="00D6641D"/>
    <w:rsid w:val="00D66896"/>
    <w:rsid w:val="00D66C9C"/>
    <w:rsid w:val="00D671F7"/>
    <w:rsid w:val="00D70B4D"/>
    <w:rsid w:val="00D70B8F"/>
    <w:rsid w:val="00D70D50"/>
    <w:rsid w:val="00D71249"/>
    <w:rsid w:val="00D7145D"/>
    <w:rsid w:val="00D714CA"/>
    <w:rsid w:val="00D71AA3"/>
    <w:rsid w:val="00D72065"/>
    <w:rsid w:val="00D728FD"/>
    <w:rsid w:val="00D7291C"/>
    <w:rsid w:val="00D729E9"/>
    <w:rsid w:val="00D72CDA"/>
    <w:rsid w:val="00D72E32"/>
    <w:rsid w:val="00D7323A"/>
    <w:rsid w:val="00D73256"/>
    <w:rsid w:val="00D732A2"/>
    <w:rsid w:val="00D73F73"/>
    <w:rsid w:val="00D74834"/>
    <w:rsid w:val="00D749A7"/>
    <w:rsid w:val="00D753D3"/>
    <w:rsid w:val="00D7548F"/>
    <w:rsid w:val="00D75EE6"/>
    <w:rsid w:val="00D76114"/>
    <w:rsid w:val="00D7649C"/>
    <w:rsid w:val="00D764C2"/>
    <w:rsid w:val="00D76620"/>
    <w:rsid w:val="00D7690A"/>
    <w:rsid w:val="00D77CE6"/>
    <w:rsid w:val="00D80467"/>
    <w:rsid w:val="00D806CD"/>
    <w:rsid w:val="00D808AE"/>
    <w:rsid w:val="00D80C29"/>
    <w:rsid w:val="00D80D8D"/>
    <w:rsid w:val="00D81761"/>
    <w:rsid w:val="00D81822"/>
    <w:rsid w:val="00D818EA"/>
    <w:rsid w:val="00D8218D"/>
    <w:rsid w:val="00D828E9"/>
    <w:rsid w:val="00D82902"/>
    <w:rsid w:val="00D82D26"/>
    <w:rsid w:val="00D82F50"/>
    <w:rsid w:val="00D836A4"/>
    <w:rsid w:val="00D837D8"/>
    <w:rsid w:val="00D83FBF"/>
    <w:rsid w:val="00D840D7"/>
    <w:rsid w:val="00D842B4"/>
    <w:rsid w:val="00D84570"/>
    <w:rsid w:val="00D84AC0"/>
    <w:rsid w:val="00D8502C"/>
    <w:rsid w:val="00D85469"/>
    <w:rsid w:val="00D8551A"/>
    <w:rsid w:val="00D85BD0"/>
    <w:rsid w:val="00D86731"/>
    <w:rsid w:val="00D86D39"/>
    <w:rsid w:val="00D87050"/>
    <w:rsid w:val="00D87329"/>
    <w:rsid w:val="00D8754C"/>
    <w:rsid w:val="00D90071"/>
    <w:rsid w:val="00D90D61"/>
    <w:rsid w:val="00D90E7D"/>
    <w:rsid w:val="00D911B1"/>
    <w:rsid w:val="00D91420"/>
    <w:rsid w:val="00D91653"/>
    <w:rsid w:val="00D916BE"/>
    <w:rsid w:val="00D91960"/>
    <w:rsid w:val="00D91DD2"/>
    <w:rsid w:val="00D91E57"/>
    <w:rsid w:val="00D91FB8"/>
    <w:rsid w:val="00D92096"/>
    <w:rsid w:val="00D92605"/>
    <w:rsid w:val="00D92CDA"/>
    <w:rsid w:val="00D9330E"/>
    <w:rsid w:val="00D93318"/>
    <w:rsid w:val="00D93491"/>
    <w:rsid w:val="00D93A3F"/>
    <w:rsid w:val="00D93F5A"/>
    <w:rsid w:val="00D941DC"/>
    <w:rsid w:val="00D944F4"/>
    <w:rsid w:val="00D94728"/>
    <w:rsid w:val="00D949A4"/>
    <w:rsid w:val="00D94BAC"/>
    <w:rsid w:val="00D956CB"/>
    <w:rsid w:val="00D9595F"/>
    <w:rsid w:val="00D95A33"/>
    <w:rsid w:val="00D95F22"/>
    <w:rsid w:val="00D9607D"/>
    <w:rsid w:val="00D96795"/>
    <w:rsid w:val="00D97EF7"/>
    <w:rsid w:val="00DA016F"/>
    <w:rsid w:val="00DA01CD"/>
    <w:rsid w:val="00DA045B"/>
    <w:rsid w:val="00DA1517"/>
    <w:rsid w:val="00DA1E59"/>
    <w:rsid w:val="00DA23F8"/>
    <w:rsid w:val="00DA271F"/>
    <w:rsid w:val="00DA28D4"/>
    <w:rsid w:val="00DA2F1F"/>
    <w:rsid w:val="00DA34F1"/>
    <w:rsid w:val="00DA363D"/>
    <w:rsid w:val="00DA49CB"/>
    <w:rsid w:val="00DA49E7"/>
    <w:rsid w:val="00DA4E4C"/>
    <w:rsid w:val="00DA5163"/>
    <w:rsid w:val="00DA5578"/>
    <w:rsid w:val="00DA614F"/>
    <w:rsid w:val="00DA66D3"/>
    <w:rsid w:val="00DA6B78"/>
    <w:rsid w:val="00DA73BF"/>
    <w:rsid w:val="00DA755C"/>
    <w:rsid w:val="00DA7696"/>
    <w:rsid w:val="00DA76DE"/>
    <w:rsid w:val="00DA78BD"/>
    <w:rsid w:val="00DB0B5E"/>
    <w:rsid w:val="00DB117E"/>
    <w:rsid w:val="00DB11E7"/>
    <w:rsid w:val="00DB12F2"/>
    <w:rsid w:val="00DB1B68"/>
    <w:rsid w:val="00DB1F66"/>
    <w:rsid w:val="00DB2F9E"/>
    <w:rsid w:val="00DB3044"/>
    <w:rsid w:val="00DB315E"/>
    <w:rsid w:val="00DB3499"/>
    <w:rsid w:val="00DB48EF"/>
    <w:rsid w:val="00DB5362"/>
    <w:rsid w:val="00DB5733"/>
    <w:rsid w:val="00DB5DAB"/>
    <w:rsid w:val="00DB619E"/>
    <w:rsid w:val="00DB61D1"/>
    <w:rsid w:val="00DB6AD0"/>
    <w:rsid w:val="00DB720C"/>
    <w:rsid w:val="00DB7278"/>
    <w:rsid w:val="00DB739B"/>
    <w:rsid w:val="00DB76B6"/>
    <w:rsid w:val="00DB7BDF"/>
    <w:rsid w:val="00DB7CDB"/>
    <w:rsid w:val="00DB7FCE"/>
    <w:rsid w:val="00DC00DA"/>
    <w:rsid w:val="00DC0479"/>
    <w:rsid w:val="00DC0C9E"/>
    <w:rsid w:val="00DC15F0"/>
    <w:rsid w:val="00DC1755"/>
    <w:rsid w:val="00DC184C"/>
    <w:rsid w:val="00DC22C4"/>
    <w:rsid w:val="00DC2537"/>
    <w:rsid w:val="00DC280E"/>
    <w:rsid w:val="00DC310E"/>
    <w:rsid w:val="00DC320B"/>
    <w:rsid w:val="00DC350E"/>
    <w:rsid w:val="00DC35E6"/>
    <w:rsid w:val="00DC3DE7"/>
    <w:rsid w:val="00DC4612"/>
    <w:rsid w:val="00DC4806"/>
    <w:rsid w:val="00DC4B7F"/>
    <w:rsid w:val="00DC50FF"/>
    <w:rsid w:val="00DC669F"/>
    <w:rsid w:val="00DC6BE7"/>
    <w:rsid w:val="00DC6D3D"/>
    <w:rsid w:val="00DC7041"/>
    <w:rsid w:val="00DC79D9"/>
    <w:rsid w:val="00DC7C87"/>
    <w:rsid w:val="00DC7D13"/>
    <w:rsid w:val="00DD01B2"/>
    <w:rsid w:val="00DD0580"/>
    <w:rsid w:val="00DD08CE"/>
    <w:rsid w:val="00DD11FC"/>
    <w:rsid w:val="00DD14F2"/>
    <w:rsid w:val="00DD1A2B"/>
    <w:rsid w:val="00DD1FDD"/>
    <w:rsid w:val="00DD2007"/>
    <w:rsid w:val="00DD27EE"/>
    <w:rsid w:val="00DD2858"/>
    <w:rsid w:val="00DD287B"/>
    <w:rsid w:val="00DD2B0A"/>
    <w:rsid w:val="00DD315B"/>
    <w:rsid w:val="00DD393E"/>
    <w:rsid w:val="00DD3AA8"/>
    <w:rsid w:val="00DD3C79"/>
    <w:rsid w:val="00DD4105"/>
    <w:rsid w:val="00DD42EA"/>
    <w:rsid w:val="00DD458E"/>
    <w:rsid w:val="00DD459C"/>
    <w:rsid w:val="00DD4C7C"/>
    <w:rsid w:val="00DD4F62"/>
    <w:rsid w:val="00DD5EA3"/>
    <w:rsid w:val="00DD5F77"/>
    <w:rsid w:val="00DD6541"/>
    <w:rsid w:val="00DD6548"/>
    <w:rsid w:val="00DD677A"/>
    <w:rsid w:val="00DD71E8"/>
    <w:rsid w:val="00DD75DC"/>
    <w:rsid w:val="00DD79EB"/>
    <w:rsid w:val="00DD7FB6"/>
    <w:rsid w:val="00DE07B8"/>
    <w:rsid w:val="00DE0BEF"/>
    <w:rsid w:val="00DE0C61"/>
    <w:rsid w:val="00DE0F29"/>
    <w:rsid w:val="00DE0FC2"/>
    <w:rsid w:val="00DE1753"/>
    <w:rsid w:val="00DE182D"/>
    <w:rsid w:val="00DE1B7A"/>
    <w:rsid w:val="00DE34A0"/>
    <w:rsid w:val="00DE3ACF"/>
    <w:rsid w:val="00DE3F0D"/>
    <w:rsid w:val="00DE4053"/>
    <w:rsid w:val="00DE40D3"/>
    <w:rsid w:val="00DE4223"/>
    <w:rsid w:val="00DE4242"/>
    <w:rsid w:val="00DE430C"/>
    <w:rsid w:val="00DE4DAB"/>
    <w:rsid w:val="00DE50D1"/>
    <w:rsid w:val="00DE570B"/>
    <w:rsid w:val="00DE61D7"/>
    <w:rsid w:val="00DE6345"/>
    <w:rsid w:val="00DE6387"/>
    <w:rsid w:val="00DE73F1"/>
    <w:rsid w:val="00DE7E91"/>
    <w:rsid w:val="00DE7F8B"/>
    <w:rsid w:val="00DE7F8D"/>
    <w:rsid w:val="00DF07F7"/>
    <w:rsid w:val="00DF0AF2"/>
    <w:rsid w:val="00DF1B4B"/>
    <w:rsid w:val="00DF1B77"/>
    <w:rsid w:val="00DF1C0A"/>
    <w:rsid w:val="00DF1CB5"/>
    <w:rsid w:val="00DF21C5"/>
    <w:rsid w:val="00DF3194"/>
    <w:rsid w:val="00DF3519"/>
    <w:rsid w:val="00DF35CE"/>
    <w:rsid w:val="00DF4065"/>
    <w:rsid w:val="00DF4192"/>
    <w:rsid w:val="00DF496C"/>
    <w:rsid w:val="00DF4BE4"/>
    <w:rsid w:val="00DF530F"/>
    <w:rsid w:val="00DF5559"/>
    <w:rsid w:val="00DF59F6"/>
    <w:rsid w:val="00DF5B05"/>
    <w:rsid w:val="00DF61C0"/>
    <w:rsid w:val="00DF6B83"/>
    <w:rsid w:val="00DF6BB2"/>
    <w:rsid w:val="00DF6D69"/>
    <w:rsid w:val="00DF7035"/>
    <w:rsid w:val="00DF73C2"/>
    <w:rsid w:val="00DF7453"/>
    <w:rsid w:val="00DF74D7"/>
    <w:rsid w:val="00DF78CC"/>
    <w:rsid w:val="00DF79EA"/>
    <w:rsid w:val="00DF7DDE"/>
    <w:rsid w:val="00E001D3"/>
    <w:rsid w:val="00E00377"/>
    <w:rsid w:val="00E00793"/>
    <w:rsid w:val="00E00AB4"/>
    <w:rsid w:val="00E01CA7"/>
    <w:rsid w:val="00E024E5"/>
    <w:rsid w:val="00E02BD7"/>
    <w:rsid w:val="00E033C2"/>
    <w:rsid w:val="00E03BB1"/>
    <w:rsid w:val="00E03D69"/>
    <w:rsid w:val="00E04AE6"/>
    <w:rsid w:val="00E05400"/>
    <w:rsid w:val="00E05E5F"/>
    <w:rsid w:val="00E06330"/>
    <w:rsid w:val="00E06953"/>
    <w:rsid w:val="00E06B13"/>
    <w:rsid w:val="00E07244"/>
    <w:rsid w:val="00E073D1"/>
    <w:rsid w:val="00E07515"/>
    <w:rsid w:val="00E07B06"/>
    <w:rsid w:val="00E07C02"/>
    <w:rsid w:val="00E10264"/>
    <w:rsid w:val="00E10336"/>
    <w:rsid w:val="00E10941"/>
    <w:rsid w:val="00E11334"/>
    <w:rsid w:val="00E1139C"/>
    <w:rsid w:val="00E11766"/>
    <w:rsid w:val="00E11BAC"/>
    <w:rsid w:val="00E11ECD"/>
    <w:rsid w:val="00E13108"/>
    <w:rsid w:val="00E132D1"/>
    <w:rsid w:val="00E1393F"/>
    <w:rsid w:val="00E13C74"/>
    <w:rsid w:val="00E14404"/>
    <w:rsid w:val="00E147A1"/>
    <w:rsid w:val="00E15013"/>
    <w:rsid w:val="00E15ABC"/>
    <w:rsid w:val="00E15C0D"/>
    <w:rsid w:val="00E15E2E"/>
    <w:rsid w:val="00E165C2"/>
    <w:rsid w:val="00E168A1"/>
    <w:rsid w:val="00E16CAA"/>
    <w:rsid w:val="00E16D09"/>
    <w:rsid w:val="00E17076"/>
    <w:rsid w:val="00E17194"/>
    <w:rsid w:val="00E173AC"/>
    <w:rsid w:val="00E1764A"/>
    <w:rsid w:val="00E17AF9"/>
    <w:rsid w:val="00E17B0E"/>
    <w:rsid w:val="00E17B28"/>
    <w:rsid w:val="00E17F45"/>
    <w:rsid w:val="00E2015C"/>
    <w:rsid w:val="00E20BB4"/>
    <w:rsid w:val="00E2100B"/>
    <w:rsid w:val="00E2212A"/>
    <w:rsid w:val="00E221FA"/>
    <w:rsid w:val="00E222CB"/>
    <w:rsid w:val="00E227A4"/>
    <w:rsid w:val="00E23099"/>
    <w:rsid w:val="00E2346D"/>
    <w:rsid w:val="00E238F6"/>
    <w:rsid w:val="00E24CD6"/>
    <w:rsid w:val="00E24D5C"/>
    <w:rsid w:val="00E24DE8"/>
    <w:rsid w:val="00E25423"/>
    <w:rsid w:val="00E2554B"/>
    <w:rsid w:val="00E25B4C"/>
    <w:rsid w:val="00E2617C"/>
    <w:rsid w:val="00E26CA8"/>
    <w:rsid w:val="00E27253"/>
    <w:rsid w:val="00E272B1"/>
    <w:rsid w:val="00E27604"/>
    <w:rsid w:val="00E27832"/>
    <w:rsid w:val="00E27928"/>
    <w:rsid w:val="00E27C85"/>
    <w:rsid w:val="00E30297"/>
    <w:rsid w:val="00E30ED2"/>
    <w:rsid w:val="00E31A41"/>
    <w:rsid w:val="00E3214D"/>
    <w:rsid w:val="00E330A9"/>
    <w:rsid w:val="00E33400"/>
    <w:rsid w:val="00E3346C"/>
    <w:rsid w:val="00E33CD7"/>
    <w:rsid w:val="00E343DC"/>
    <w:rsid w:val="00E3461A"/>
    <w:rsid w:val="00E346AD"/>
    <w:rsid w:val="00E3475E"/>
    <w:rsid w:val="00E34861"/>
    <w:rsid w:val="00E3523C"/>
    <w:rsid w:val="00E35A31"/>
    <w:rsid w:val="00E35C49"/>
    <w:rsid w:val="00E3661B"/>
    <w:rsid w:val="00E3713A"/>
    <w:rsid w:val="00E37393"/>
    <w:rsid w:val="00E37711"/>
    <w:rsid w:val="00E37B71"/>
    <w:rsid w:val="00E37E01"/>
    <w:rsid w:val="00E40437"/>
    <w:rsid w:val="00E40EC6"/>
    <w:rsid w:val="00E40F0B"/>
    <w:rsid w:val="00E40FB9"/>
    <w:rsid w:val="00E417E6"/>
    <w:rsid w:val="00E41A56"/>
    <w:rsid w:val="00E41CE8"/>
    <w:rsid w:val="00E422CC"/>
    <w:rsid w:val="00E4268F"/>
    <w:rsid w:val="00E42A15"/>
    <w:rsid w:val="00E42DDA"/>
    <w:rsid w:val="00E42E99"/>
    <w:rsid w:val="00E43425"/>
    <w:rsid w:val="00E43884"/>
    <w:rsid w:val="00E43C88"/>
    <w:rsid w:val="00E43D4E"/>
    <w:rsid w:val="00E4405B"/>
    <w:rsid w:val="00E44B32"/>
    <w:rsid w:val="00E45E1D"/>
    <w:rsid w:val="00E45F07"/>
    <w:rsid w:val="00E4688E"/>
    <w:rsid w:val="00E476E8"/>
    <w:rsid w:val="00E479CB"/>
    <w:rsid w:val="00E502D1"/>
    <w:rsid w:val="00E504FA"/>
    <w:rsid w:val="00E5086C"/>
    <w:rsid w:val="00E50970"/>
    <w:rsid w:val="00E50B19"/>
    <w:rsid w:val="00E5153D"/>
    <w:rsid w:val="00E527AF"/>
    <w:rsid w:val="00E52F87"/>
    <w:rsid w:val="00E5374F"/>
    <w:rsid w:val="00E53BD8"/>
    <w:rsid w:val="00E53DF9"/>
    <w:rsid w:val="00E5405B"/>
    <w:rsid w:val="00E5408C"/>
    <w:rsid w:val="00E5449F"/>
    <w:rsid w:val="00E54DD5"/>
    <w:rsid w:val="00E55698"/>
    <w:rsid w:val="00E55D75"/>
    <w:rsid w:val="00E55E5A"/>
    <w:rsid w:val="00E56E10"/>
    <w:rsid w:val="00E57312"/>
    <w:rsid w:val="00E57586"/>
    <w:rsid w:val="00E57B16"/>
    <w:rsid w:val="00E57E1A"/>
    <w:rsid w:val="00E57F35"/>
    <w:rsid w:val="00E57F95"/>
    <w:rsid w:val="00E603AC"/>
    <w:rsid w:val="00E60D21"/>
    <w:rsid w:val="00E60F00"/>
    <w:rsid w:val="00E61084"/>
    <w:rsid w:val="00E6135D"/>
    <w:rsid w:val="00E61440"/>
    <w:rsid w:val="00E61903"/>
    <w:rsid w:val="00E61CFC"/>
    <w:rsid w:val="00E61F4B"/>
    <w:rsid w:val="00E62284"/>
    <w:rsid w:val="00E623AF"/>
    <w:rsid w:val="00E627C9"/>
    <w:rsid w:val="00E6300B"/>
    <w:rsid w:val="00E6342D"/>
    <w:rsid w:val="00E6349D"/>
    <w:rsid w:val="00E63571"/>
    <w:rsid w:val="00E63B16"/>
    <w:rsid w:val="00E63E3F"/>
    <w:rsid w:val="00E63F77"/>
    <w:rsid w:val="00E64093"/>
    <w:rsid w:val="00E64423"/>
    <w:rsid w:val="00E64474"/>
    <w:rsid w:val="00E64715"/>
    <w:rsid w:val="00E64DC6"/>
    <w:rsid w:val="00E651AB"/>
    <w:rsid w:val="00E6585E"/>
    <w:rsid w:val="00E6588F"/>
    <w:rsid w:val="00E659EE"/>
    <w:rsid w:val="00E65D8C"/>
    <w:rsid w:val="00E65E40"/>
    <w:rsid w:val="00E6676C"/>
    <w:rsid w:val="00E667D5"/>
    <w:rsid w:val="00E66BCE"/>
    <w:rsid w:val="00E66D9B"/>
    <w:rsid w:val="00E676E0"/>
    <w:rsid w:val="00E67F2D"/>
    <w:rsid w:val="00E703A6"/>
    <w:rsid w:val="00E703CB"/>
    <w:rsid w:val="00E708A1"/>
    <w:rsid w:val="00E709B8"/>
    <w:rsid w:val="00E70DF3"/>
    <w:rsid w:val="00E70E80"/>
    <w:rsid w:val="00E70FB0"/>
    <w:rsid w:val="00E70FCE"/>
    <w:rsid w:val="00E71BF6"/>
    <w:rsid w:val="00E71D2E"/>
    <w:rsid w:val="00E71DB9"/>
    <w:rsid w:val="00E72473"/>
    <w:rsid w:val="00E729C3"/>
    <w:rsid w:val="00E72ABD"/>
    <w:rsid w:val="00E733E2"/>
    <w:rsid w:val="00E7342F"/>
    <w:rsid w:val="00E7397C"/>
    <w:rsid w:val="00E73A09"/>
    <w:rsid w:val="00E73F75"/>
    <w:rsid w:val="00E740B0"/>
    <w:rsid w:val="00E74465"/>
    <w:rsid w:val="00E74713"/>
    <w:rsid w:val="00E749BD"/>
    <w:rsid w:val="00E74BF6"/>
    <w:rsid w:val="00E74DA9"/>
    <w:rsid w:val="00E75262"/>
    <w:rsid w:val="00E75272"/>
    <w:rsid w:val="00E753E2"/>
    <w:rsid w:val="00E753F0"/>
    <w:rsid w:val="00E757AA"/>
    <w:rsid w:val="00E7582A"/>
    <w:rsid w:val="00E761D5"/>
    <w:rsid w:val="00E765E5"/>
    <w:rsid w:val="00E76848"/>
    <w:rsid w:val="00E76D2B"/>
    <w:rsid w:val="00E774FF"/>
    <w:rsid w:val="00E776AD"/>
    <w:rsid w:val="00E77859"/>
    <w:rsid w:val="00E80075"/>
    <w:rsid w:val="00E8078B"/>
    <w:rsid w:val="00E80B32"/>
    <w:rsid w:val="00E80F74"/>
    <w:rsid w:val="00E81587"/>
    <w:rsid w:val="00E8183A"/>
    <w:rsid w:val="00E828A5"/>
    <w:rsid w:val="00E82D72"/>
    <w:rsid w:val="00E82DAB"/>
    <w:rsid w:val="00E82DCE"/>
    <w:rsid w:val="00E8334A"/>
    <w:rsid w:val="00E834DE"/>
    <w:rsid w:val="00E83636"/>
    <w:rsid w:val="00E836AD"/>
    <w:rsid w:val="00E83A34"/>
    <w:rsid w:val="00E83DA4"/>
    <w:rsid w:val="00E83DF8"/>
    <w:rsid w:val="00E83F24"/>
    <w:rsid w:val="00E84211"/>
    <w:rsid w:val="00E84AC5"/>
    <w:rsid w:val="00E8545F"/>
    <w:rsid w:val="00E85580"/>
    <w:rsid w:val="00E85581"/>
    <w:rsid w:val="00E85685"/>
    <w:rsid w:val="00E85DBD"/>
    <w:rsid w:val="00E85E76"/>
    <w:rsid w:val="00E85F56"/>
    <w:rsid w:val="00E85FEE"/>
    <w:rsid w:val="00E86026"/>
    <w:rsid w:val="00E860C4"/>
    <w:rsid w:val="00E86C18"/>
    <w:rsid w:val="00E870BB"/>
    <w:rsid w:val="00E871C0"/>
    <w:rsid w:val="00E87257"/>
    <w:rsid w:val="00E8735E"/>
    <w:rsid w:val="00E87D32"/>
    <w:rsid w:val="00E9002F"/>
    <w:rsid w:val="00E902F6"/>
    <w:rsid w:val="00E90331"/>
    <w:rsid w:val="00E90533"/>
    <w:rsid w:val="00E905F0"/>
    <w:rsid w:val="00E90881"/>
    <w:rsid w:val="00E90DF6"/>
    <w:rsid w:val="00E91273"/>
    <w:rsid w:val="00E91569"/>
    <w:rsid w:val="00E917FE"/>
    <w:rsid w:val="00E9195F"/>
    <w:rsid w:val="00E91973"/>
    <w:rsid w:val="00E91D45"/>
    <w:rsid w:val="00E922A7"/>
    <w:rsid w:val="00E92C85"/>
    <w:rsid w:val="00E93406"/>
    <w:rsid w:val="00E93720"/>
    <w:rsid w:val="00E93E52"/>
    <w:rsid w:val="00E94D46"/>
    <w:rsid w:val="00E94E75"/>
    <w:rsid w:val="00E950B3"/>
    <w:rsid w:val="00E955ED"/>
    <w:rsid w:val="00E956D4"/>
    <w:rsid w:val="00E96215"/>
    <w:rsid w:val="00E96A38"/>
    <w:rsid w:val="00E96D67"/>
    <w:rsid w:val="00E96EF7"/>
    <w:rsid w:val="00E976DC"/>
    <w:rsid w:val="00E9790D"/>
    <w:rsid w:val="00E97BD0"/>
    <w:rsid w:val="00EA024A"/>
    <w:rsid w:val="00EA0457"/>
    <w:rsid w:val="00EA04FB"/>
    <w:rsid w:val="00EA0ECA"/>
    <w:rsid w:val="00EA0EF2"/>
    <w:rsid w:val="00EA17B3"/>
    <w:rsid w:val="00EA1EF2"/>
    <w:rsid w:val="00EA253F"/>
    <w:rsid w:val="00EA264F"/>
    <w:rsid w:val="00EA31D2"/>
    <w:rsid w:val="00EA3284"/>
    <w:rsid w:val="00EA3360"/>
    <w:rsid w:val="00EA3620"/>
    <w:rsid w:val="00EA3759"/>
    <w:rsid w:val="00EA3DE3"/>
    <w:rsid w:val="00EA403F"/>
    <w:rsid w:val="00EA407F"/>
    <w:rsid w:val="00EA42C4"/>
    <w:rsid w:val="00EA43B1"/>
    <w:rsid w:val="00EA4A48"/>
    <w:rsid w:val="00EA4AC6"/>
    <w:rsid w:val="00EA507C"/>
    <w:rsid w:val="00EA54E8"/>
    <w:rsid w:val="00EA580A"/>
    <w:rsid w:val="00EA5AAB"/>
    <w:rsid w:val="00EA5CD2"/>
    <w:rsid w:val="00EA63AC"/>
    <w:rsid w:val="00EA6BE8"/>
    <w:rsid w:val="00EA6CCC"/>
    <w:rsid w:val="00EA6E5E"/>
    <w:rsid w:val="00EA79BA"/>
    <w:rsid w:val="00EA7D01"/>
    <w:rsid w:val="00EB1459"/>
    <w:rsid w:val="00EB17C5"/>
    <w:rsid w:val="00EB1833"/>
    <w:rsid w:val="00EB1CFC"/>
    <w:rsid w:val="00EB23D9"/>
    <w:rsid w:val="00EB2427"/>
    <w:rsid w:val="00EB28AB"/>
    <w:rsid w:val="00EB2DDC"/>
    <w:rsid w:val="00EB3308"/>
    <w:rsid w:val="00EB35B5"/>
    <w:rsid w:val="00EB3666"/>
    <w:rsid w:val="00EB39B0"/>
    <w:rsid w:val="00EB3C08"/>
    <w:rsid w:val="00EB3FB3"/>
    <w:rsid w:val="00EB4634"/>
    <w:rsid w:val="00EB4822"/>
    <w:rsid w:val="00EB4B10"/>
    <w:rsid w:val="00EB52DD"/>
    <w:rsid w:val="00EB5E9E"/>
    <w:rsid w:val="00EB6624"/>
    <w:rsid w:val="00EB67A4"/>
    <w:rsid w:val="00EB6893"/>
    <w:rsid w:val="00EB6C46"/>
    <w:rsid w:val="00EB7669"/>
    <w:rsid w:val="00EB77F8"/>
    <w:rsid w:val="00EB7A10"/>
    <w:rsid w:val="00EB7A3B"/>
    <w:rsid w:val="00EB7CBD"/>
    <w:rsid w:val="00EB7D0C"/>
    <w:rsid w:val="00EB7EB7"/>
    <w:rsid w:val="00EC05C8"/>
    <w:rsid w:val="00EC0884"/>
    <w:rsid w:val="00EC0BFB"/>
    <w:rsid w:val="00EC0D22"/>
    <w:rsid w:val="00EC13BE"/>
    <w:rsid w:val="00EC1875"/>
    <w:rsid w:val="00EC19DB"/>
    <w:rsid w:val="00EC1C31"/>
    <w:rsid w:val="00EC1E53"/>
    <w:rsid w:val="00EC223D"/>
    <w:rsid w:val="00EC2673"/>
    <w:rsid w:val="00EC26D0"/>
    <w:rsid w:val="00EC36CB"/>
    <w:rsid w:val="00EC3BBB"/>
    <w:rsid w:val="00EC4310"/>
    <w:rsid w:val="00EC4939"/>
    <w:rsid w:val="00EC5778"/>
    <w:rsid w:val="00EC5C63"/>
    <w:rsid w:val="00EC5ECC"/>
    <w:rsid w:val="00EC63C9"/>
    <w:rsid w:val="00EC6599"/>
    <w:rsid w:val="00EC6794"/>
    <w:rsid w:val="00EC691B"/>
    <w:rsid w:val="00EC6B25"/>
    <w:rsid w:val="00EC6C01"/>
    <w:rsid w:val="00EC7FE8"/>
    <w:rsid w:val="00ED06F4"/>
    <w:rsid w:val="00ED18F9"/>
    <w:rsid w:val="00ED1BA4"/>
    <w:rsid w:val="00ED261F"/>
    <w:rsid w:val="00ED2763"/>
    <w:rsid w:val="00ED2E17"/>
    <w:rsid w:val="00ED3149"/>
    <w:rsid w:val="00ED3630"/>
    <w:rsid w:val="00ED36C3"/>
    <w:rsid w:val="00ED3859"/>
    <w:rsid w:val="00ED4382"/>
    <w:rsid w:val="00ED4F8D"/>
    <w:rsid w:val="00ED5D69"/>
    <w:rsid w:val="00ED61EE"/>
    <w:rsid w:val="00ED6640"/>
    <w:rsid w:val="00ED77A8"/>
    <w:rsid w:val="00ED7B9F"/>
    <w:rsid w:val="00EE04BE"/>
    <w:rsid w:val="00EE08C2"/>
    <w:rsid w:val="00EE0A57"/>
    <w:rsid w:val="00EE0D32"/>
    <w:rsid w:val="00EE102D"/>
    <w:rsid w:val="00EE1316"/>
    <w:rsid w:val="00EE143C"/>
    <w:rsid w:val="00EE15E8"/>
    <w:rsid w:val="00EE1896"/>
    <w:rsid w:val="00EE1C0F"/>
    <w:rsid w:val="00EE1EC2"/>
    <w:rsid w:val="00EE1EE6"/>
    <w:rsid w:val="00EE265D"/>
    <w:rsid w:val="00EE277E"/>
    <w:rsid w:val="00EE285A"/>
    <w:rsid w:val="00EE2988"/>
    <w:rsid w:val="00EE298F"/>
    <w:rsid w:val="00EE2A45"/>
    <w:rsid w:val="00EE2C42"/>
    <w:rsid w:val="00EE3513"/>
    <w:rsid w:val="00EE3B37"/>
    <w:rsid w:val="00EE3C74"/>
    <w:rsid w:val="00EE3C85"/>
    <w:rsid w:val="00EE3CA3"/>
    <w:rsid w:val="00EE3F58"/>
    <w:rsid w:val="00EE44B0"/>
    <w:rsid w:val="00EE4942"/>
    <w:rsid w:val="00EE4D81"/>
    <w:rsid w:val="00EE510E"/>
    <w:rsid w:val="00EE55A3"/>
    <w:rsid w:val="00EE597C"/>
    <w:rsid w:val="00EE5B30"/>
    <w:rsid w:val="00EE5C5E"/>
    <w:rsid w:val="00EE6448"/>
    <w:rsid w:val="00EE64B4"/>
    <w:rsid w:val="00EE68C7"/>
    <w:rsid w:val="00EE6DAB"/>
    <w:rsid w:val="00EE7042"/>
    <w:rsid w:val="00EE7414"/>
    <w:rsid w:val="00EE77D1"/>
    <w:rsid w:val="00EE7E2A"/>
    <w:rsid w:val="00EF0049"/>
    <w:rsid w:val="00EF0DDE"/>
    <w:rsid w:val="00EF0F1D"/>
    <w:rsid w:val="00EF0FDC"/>
    <w:rsid w:val="00EF0FE2"/>
    <w:rsid w:val="00EF1203"/>
    <w:rsid w:val="00EF178A"/>
    <w:rsid w:val="00EF1869"/>
    <w:rsid w:val="00EF1BC7"/>
    <w:rsid w:val="00EF1FAF"/>
    <w:rsid w:val="00EF2477"/>
    <w:rsid w:val="00EF24FC"/>
    <w:rsid w:val="00EF2665"/>
    <w:rsid w:val="00EF2B83"/>
    <w:rsid w:val="00EF38FD"/>
    <w:rsid w:val="00EF3AA0"/>
    <w:rsid w:val="00EF3DA8"/>
    <w:rsid w:val="00EF4509"/>
    <w:rsid w:val="00EF45AC"/>
    <w:rsid w:val="00EF46ED"/>
    <w:rsid w:val="00EF5344"/>
    <w:rsid w:val="00EF5533"/>
    <w:rsid w:val="00EF5F38"/>
    <w:rsid w:val="00EF6BF0"/>
    <w:rsid w:val="00EF6E13"/>
    <w:rsid w:val="00EF6FFB"/>
    <w:rsid w:val="00EF732A"/>
    <w:rsid w:val="00EF7901"/>
    <w:rsid w:val="00EF7E8A"/>
    <w:rsid w:val="00F00971"/>
    <w:rsid w:val="00F014F4"/>
    <w:rsid w:val="00F01527"/>
    <w:rsid w:val="00F018BB"/>
    <w:rsid w:val="00F0236D"/>
    <w:rsid w:val="00F02580"/>
    <w:rsid w:val="00F028C4"/>
    <w:rsid w:val="00F02C0D"/>
    <w:rsid w:val="00F030C7"/>
    <w:rsid w:val="00F030FE"/>
    <w:rsid w:val="00F033CB"/>
    <w:rsid w:val="00F03409"/>
    <w:rsid w:val="00F04147"/>
    <w:rsid w:val="00F04BC7"/>
    <w:rsid w:val="00F05432"/>
    <w:rsid w:val="00F05646"/>
    <w:rsid w:val="00F056F5"/>
    <w:rsid w:val="00F05720"/>
    <w:rsid w:val="00F05BBE"/>
    <w:rsid w:val="00F05F25"/>
    <w:rsid w:val="00F05F85"/>
    <w:rsid w:val="00F061AE"/>
    <w:rsid w:val="00F06BEB"/>
    <w:rsid w:val="00F06DF9"/>
    <w:rsid w:val="00F06FE3"/>
    <w:rsid w:val="00F070D2"/>
    <w:rsid w:val="00F071AD"/>
    <w:rsid w:val="00F0754D"/>
    <w:rsid w:val="00F07795"/>
    <w:rsid w:val="00F0795A"/>
    <w:rsid w:val="00F07B63"/>
    <w:rsid w:val="00F100F9"/>
    <w:rsid w:val="00F1106B"/>
    <w:rsid w:val="00F11171"/>
    <w:rsid w:val="00F11A85"/>
    <w:rsid w:val="00F11D13"/>
    <w:rsid w:val="00F1207F"/>
    <w:rsid w:val="00F12119"/>
    <w:rsid w:val="00F1213B"/>
    <w:rsid w:val="00F12A28"/>
    <w:rsid w:val="00F12BD3"/>
    <w:rsid w:val="00F12F42"/>
    <w:rsid w:val="00F12FF3"/>
    <w:rsid w:val="00F14180"/>
    <w:rsid w:val="00F144CF"/>
    <w:rsid w:val="00F145BE"/>
    <w:rsid w:val="00F1467C"/>
    <w:rsid w:val="00F15B18"/>
    <w:rsid w:val="00F16416"/>
    <w:rsid w:val="00F16AD8"/>
    <w:rsid w:val="00F171BB"/>
    <w:rsid w:val="00F17847"/>
    <w:rsid w:val="00F20195"/>
    <w:rsid w:val="00F20229"/>
    <w:rsid w:val="00F20ADB"/>
    <w:rsid w:val="00F213A3"/>
    <w:rsid w:val="00F214B8"/>
    <w:rsid w:val="00F215D5"/>
    <w:rsid w:val="00F21745"/>
    <w:rsid w:val="00F21ABE"/>
    <w:rsid w:val="00F21C32"/>
    <w:rsid w:val="00F2298D"/>
    <w:rsid w:val="00F22FE3"/>
    <w:rsid w:val="00F23091"/>
    <w:rsid w:val="00F231C6"/>
    <w:rsid w:val="00F23615"/>
    <w:rsid w:val="00F23DA2"/>
    <w:rsid w:val="00F249EA"/>
    <w:rsid w:val="00F24BA2"/>
    <w:rsid w:val="00F254C6"/>
    <w:rsid w:val="00F258ED"/>
    <w:rsid w:val="00F25A2F"/>
    <w:rsid w:val="00F26A0B"/>
    <w:rsid w:val="00F26B48"/>
    <w:rsid w:val="00F26DF1"/>
    <w:rsid w:val="00F26E2E"/>
    <w:rsid w:val="00F2725E"/>
    <w:rsid w:val="00F306D3"/>
    <w:rsid w:val="00F30979"/>
    <w:rsid w:val="00F31445"/>
    <w:rsid w:val="00F31836"/>
    <w:rsid w:val="00F31A5A"/>
    <w:rsid w:val="00F31AD4"/>
    <w:rsid w:val="00F31B87"/>
    <w:rsid w:val="00F31EB5"/>
    <w:rsid w:val="00F31FF1"/>
    <w:rsid w:val="00F3223C"/>
    <w:rsid w:val="00F326A7"/>
    <w:rsid w:val="00F328AD"/>
    <w:rsid w:val="00F32B7F"/>
    <w:rsid w:val="00F33870"/>
    <w:rsid w:val="00F33992"/>
    <w:rsid w:val="00F33B3D"/>
    <w:rsid w:val="00F33CB2"/>
    <w:rsid w:val="00F3456B"/>
    <w:rsid w:val="00F34638"/>
    <w:rsid w:val="00F35B75"/>
    <w:rsid w:val="00F35FB8"/>
    <w:rsid w:val="00F3628A"/>
    <w:rsid w:val="00F36AD6"/>
    <w:rsid w:val="00F371A0"/>
    <w:rsid w:val="00F37325"/>
    <w:rsid w:val="00F375DC"/>
    <w:rsid w:val="00F3775A"/>
    <w:rsid w:val="00F37802"/>
    <w:rsid w:val="00F378D0"/>
    <w:rsid w:val="00F37DBF"/>
    <w:rsid w:val="00F4009B"/>
    <w:rsid w:val="00F401EB"/>
    <w:rsid w:val="00F40C13"/>
    <w:rsid w:val="00F40E6B"/>
    <w:rsid w:val="00F41CC5"/>
    <w:rsid w:val="00F41DC5"/>
    <w:rsid w:val="00F41E19"/>
    <w:rsid w:val="00F423E5"/>
    <w:rsid w:val="00F434A4"/>
    <w:rsid w:val="00F437E3"/>
    <w:rsid w:val="00F43AC7"/>
    <w:rsid w:val="00F43FF6"/>
    <w:rsid w:val="00F44F8F"/>
    <w:rsid w:val="00F45363"/>
    <w:rsid w:val="00F454B1"/>
    <w:rsid w:val="00F4575C"/>
    <w:rsid w:val="00F459F1"/>
    <w:rsid w:val="00F4603F"/>
    <w:rsid w:val="00F4631F"/>
    <w:rsid w:val="00F46444"/>
    <w:rsid w:val="00F46970"/>
    <w:rsid w:val="00F46A97"/>
    <w:rsid w:val="00F46CEF"/>
    <w:rsid w:val="00F46D5E"/>
    <w:rsid w:val="00F47027"/>
    <w:rsid w:val="00F472C2"/>
    <w:rsid w:val="00F4735C"/>
    <w:rsid w:val="00F476EC"/>
    <w:rsid w:val="00F47836"/>
    <w:rsid w:val="00F5091A"/>
    <w:rsid w:val="00F5096D"/>
    <w:rsid w:val="00F50CB7"/>
    <w:rsid w:val="00F520FA"/>
    <w:rsid w:val="00F52106"/>
    <w:rsid w:val="00F526F9"/>
    <w:rsid w:val="00F52AF0"/>
    <w:rsid w:val="00F53515"/>
    <w:rsid w:val="00F53910"/>
    <w:rsid w:val="00F53B20"/>
    <w:rsid w:val="00F53B7D"/>
    <w:rsid w:val="00F53F28"/>
    <w:rsid w:val="00F54704"/>
    <w:rsid w:val="00F54734"/>
    <w:rsid w:val="00F54A8D"/>
    <w:rsid w:val="00F54E41"/>
    <w:rsid w:val="00F5511E"/>
    <w:rsid w:val="00F55281"/>
    <w:rsid w:val="00F55EDF"/>
    <w:rsid w:val="00F56066"/>
    <w:rsid w:val="00F5626B"/>
    <w:rsid w:val="00F564AF"/>
    <w:rsid w:val="00F570A2"/>
    <w:rsid w:val="00F57240"/>
    <w:rsid w:val="00F5772A"/>
    <w:rsid w:val="00F57838"/>
    <w:rsid w:val="00F6019E"/>
    <w:rsid w:val="00F60517"/>
    <w:rsid w:val="00F60967"/>
    <w:rsid w:val="00F60CC0"/>
    <w:rsid w:val="00F6141C"/>
    <w:rsid w:val="00F61573"/>
    <w:rsid w:val="00F616D9"/>
    <w:rsid w:val="00F622DB"/>
    <w:rsid w:val="00F62DB7"/>
    <w:rsid w:val="00F62E12"/>
    <w:rsid w:val="00F62F9F"/>
    <w:rsid w:val="00F63215"/>
    <w:rsid w:val="00F63B7B"/>
    <w:rsid w:val="00F63E80"/>
    <w:rsid w:val="00F64169"/>
    <w:rsid w:val="00F64861"/>
    <w:rsid w:val="00F64905"/>
    <w:rsid w:val="00F64A86"/>
    <w:rsid w:val="00F64F24"/>
    <w:rsid w:val="00F653A7"/>
    <w:rsid w:val="00F65729"/>
    <w:rsid w:val="00F65A3D"/>
    <w:rsid w:val="00F65DE4"/>
    <w:rsid w:val="00F6645F"/>
    <w:rsid w:val="00F66B77"/>
    <w:rsid w:val="00F676EF"/>
    <w:rsid w:val="00F6773D"/>
    <w:rsid w:val="00F700D3"/>
    <w:rsid w:val="00F704BE"/>
    <w:rsid w:val="00F70507"/>
    <w:rsid w:val="00F70551"/>
    <w:rsid w:val="00F70C3E"/>
    <w:rsid w:val="00F70EE3"/>
    <w:rsid w:val="00F70F66"/>
    <w:rsid w:val="00F71087"/>
    <w:rsid w:val="00F713E3"/>
    <w:rsid w:val="00F716ED"/>
    <w:rsid w:val="00F72563"/>
    <w:rsid w:val="00F72A5C"/>
    <w:rsid w:val="00F731AB"/>
    <w:rsid w:val="00F7351A"/>
    <w:rsid w:val="00F736D9"/>
    <w:rsid w:val="00F74D58"/>
    <w:rsid w:val="00F74DA9"/>
    <w:rsid w:val="00F74FBF"/>
    <w:rsid w:val="00F75031"/>
    <w:rsid w:val="00F7518E"/>
    <w:rsid w:val="00F757D5"/>
    <w:rsid w:val="00F75E54"/>
    <w:rsid w:val="00F75F49"/>
    <w:rsid w:val="00F764D6"/>
    <w:rsid w:val="00F76F16"/>
    <w:rsid w:val="00F7701B"/>
    <w:rsid w:val="00F77554"/>
    <w:rsid w:val="00F77728"/>
    <w:rsid w:val="00F77AFC"/>
    <w:rsid w:val="00F77C50"/>
    <w:rsid w:val="00F77C53"/>
    <w:rsid w:val="00F77D3B"/>
    <w:rsid w:val="00F77FF0"/>
    <w:rsid w:val="00F8024E"/>
    <w:rsid w:val="00F80267"/>
    <w:rsid w:val="00F8076D"/>
    <w:rsid w:val="00F80E2F"/>
    <w:rsid w:val="00F812D0"/>
    <w:rsid w:val="00F818F4"/>
    <w:rsid w:val="00F81A04"/>
    <w:rsid w:val="00F82BBA"/>
    <w:rsid w:val="00F82EC6"/>
    <w:rsid w:val="00F82FC6"/>
    <w:rsid w:val="00F83B2D"/>
    <w:rsid w:val="00F83B3E"/>
    <w:rsid w:val="00F83EFB"/>
    <w:rsid w:val="00F843CA"/>
    <w:rsid w:val="00F84647"/>
    <w:rsid w:val="00F852D9"/>
    <w:rsid w:val="00F869E8"/>
    <w:rsid w:val="00F86C65"/>
    <w:rsid w:val="00F86CCB"/>
    <w:rsid w:val="00F8740D"/>
    <w:rsid w:val="00F87C4E"/>
    <w:rsid w:val="00F87DAF"/>
    <w:rsid w:val="00F87E6C"/>
    <w:rsid w:val="00F87F97"/>
    <w:rsid w:val="00F90082"/>
    <w:rsid w:val="00F90466"/>
    <w:rsid w:val="00F905D2"/>
    <w:rsid w:val="00F9062E"/>
    <w:rsid w:val="00F9153F"/>
    <w:rsid w:val="00F9168E"/>
    <w:rsid w:val="00F91CB9"/>
    <w:rsid w:val="00F9204B"/>
    <w:rsid w:val="00F924D0"/>
    <w:rsid w:val="00F92C46"/>
    <w:rsid w:val="00F93144"/>
    <w:rsid w:val="00F93A64"/>
    <w:rsid w:val="00F9449E"/>
    <w:rsid w:val="00F94A39"/>
    <w:rsid w:val="00F94CB9"/>
    <w:rsid w:val="00F955F8"/>
    <w:rsid w:val="00F9581D"/>
    <w:rsid w:val="00F958E7"/>
    <w:rsid w:val="00F95C0D"/>
    <w:rsid w:val="00F95E27"/>
    <w:rsid w:val="00F95E4F"/>
    <w:rsid w:val="00F95FE1"/>
    <w:rsid w:val="00F961AF"/>
    <w:rsid w:val="00F96226"/>
    <w:rsid w:val="00F96823"/>
    <w:rsid w:val="00F96B4A"/>
    <w:rsid w:val="00F96B75"/>
    <w:rsid w:val="00F9725B"/>
    <w:rsid w:val="00F97799"/>
    <w:rsid w:val="00F97916"/>
    <w:rsid w:val="00F97C30"/>
    <w:rsid w:val="00FA07E0"/>
    <w:rsid w:val="00FA1C59"/>
    <w:rsid w:val="00FA21AD"/>
    <w:rsid w:val="00FA289F"/>
    <w:rsid w:val="00FA28E5"/>
    <w:rsid w:val="00FA457F"/>
    <w:rsid w:val="00FA4601"/>
    <w:rsid w:val="00FA5198"/>
    <w:rsid w:val="00FA5974"/>
    <w:rsid w:val="00FA598E"/>
    <w:rsid w:val="00FA5C28"/>
    <w:rsid w:val="00FA6BA3"/>
    <w:rsid w:val="00FA6D37"/>
    <w:rsid w:val="00FA715B"/>
    <w:rsid w:val="00FA7200"/>
    <w:rsid w:val="00FA7582"/>
    <w:rsid w:val="00FA7722"/>
    <w:rsid w:val="00FA7AE7"/>
    <w:rsid w:val="00FB0110"/>
    <w:rsid w:val="00FB0582"/>
    <w:rsid w:val="00FB07AB"/>
    <w:rsid w:val="00FB07AD"/>
    <w:rsid w:val="00FB0A8D"/>
    <w:rsid w:val="00FB2524"/>
    <w:rsid w:val="00FB29DD"/>
    <w:rsid w:val="00FB367A"/>
    <w:rsid w:val="00FB398C"/>
    <w:rsid w:val="00FB3CAF"/>
    <w:rsid w:val="00FB40C5"/>
    <w:rsid w:val="00FB4745"/>
    <w:rsid w:val="00FB4845"/>
    <w:rsid w:val="00FB500E"/>
    <w:rsid w:val="00FB51CF"/>
    <w:rsid w:val="00FB5824"/>
    <w:rsid w:val="00FB60F9"/>
    <w:rsid w:val="00FB68BD"/>
    <w:rsid w:val="00FB6AE2"/>
    <w:rsid w:val="00FB6CD9"/>
    <w:rsid w:val="00FB77EC"/>
    <w:rsid w:val="00FB7A18"/>
    <w:rsid w:val="00FB7ED6"/>
    <w:rsid w:val="00FC0290"/>
    <w:rsid w:val="00FC0343"/>
    <w:rsid w:val="00FC059F"/>
    <w:rsid w:val="00FC0C85"/>
    <w:rsid w:val="00FC1741"/>
    <w:rsid w:val="00FC185A"/>
    <w:rsid w:val="00FC1F02"/>
    <w:rsid w:val="00FC214B"/>
    <w:rsid w:val="00FC21F8"/>
    <w:rsid w:val="00FC3698"/>
    <w:rsid w:val="00FC4417"/>
    <w:rsid w:val="00FC4520"/>
    <w:rsid w:val="00FC492A"/>
    <w:rsid w:val="00FC60F7"/>
    <w:rsid w:val="00FC6224"/>
    <w:rsid w:val="00FC62BF"/>
    <w:rsid w:val="00FC653E"/>
    <w:rsid w:val="00FC6A82"/>
    <w:rsid w:val="00FD00A8"/>
    <w:rsid w:val="00FD00F3"/>
    <w:rsid w:val="00FD0718"/>
    <w:rsid w:val="00FD1AC4"/>
    <w:rsid w:val="00FD1D1F"/>
    <w:rsid w:val="00FD25FD"/>
    <w:rsid w:val="00FD2DAB"/>
    <w:rsid w:val="00FD3830"/>
    <w:rsid w:val="00FD3E59"/>
    <w:rsid w:val="00FD5241"/>
    <w:rsid w:val="00FD6071"/>
    <w:rsid w:val="00FD6695"/>
    <w:rsid w:val="00FD6CB7"/>
    <w:rsid w:val="00FD7298"/>
    <w:rsid w:val="00FD74B0"/>
    <w:rsid w:val="00FD76EA"/>
    <w:rsid w:val="00FD7B5B"/>
    <w:rsid w:val="00FD7F28"/>
    <w:rsid w:val="00FE05B1"/>
    <w:rsid w:val="00FE07E4"/>
    <w:rsid w:val="00FE0AD4"/>
    <w:rsid w:val="00FE0B0D"/>
    <w:rsid w:val="00FE0BF7"/>
    <w:rsid w:val="00FE0EAB"/>
    <w:rsid w:val="00FE0EBF"/>
    <w:rsid w:val="00FE17D6"/>
    <w:rsid w:val="00FE2281"/>
    <w:rsid w:val="00FE28D6"/>
    <w:rsid w:val="00FE2BE8"/>
    <w:rsid w:val="00FE3C4F"/>
    <w:rsid w:val="00FE4574"/>
    <w:rsid w:val="00FE45EE"/>
    <w:rsid w:val="00FE4E87"/>
    <w:rsid w:val="00FE4FBB"/>
    <w:rsid w:val="00FE51B8"/>
    <w:rsid w:val="00FE5540"/>
    <w:rsid w:val="00FE56AB"/>
    <w:rsid w:val="00FE5856"/>
    <w:rsid w:val="00FE646F"/>
    <w:rsid w:val="00FE68CD"/>
    <w:rsid w:val="00FE7035"/>
    <w:rsid w:val="00FE712A"/>
    <w:rsid w:val="00FE7615"/>
    <w:rsid w:val="00FF04B6"/>
    <w:rsid w:val="00FF0B5A"/>
    <w:rsid w:val="00FF0E57"/>
    <w:rsid w:val="00FF1286"/>
    <w:rsid w:val="00FF18FC"/>
    <w:rsid w:val="00FF1C95"/>
    <w:rsid w:val="00FF1E8D"/>
    <w:rsid w:val="00FF2252"/>
    <w:rsid w:val="00FF236A"/>
    <w:rsid w:val="00FF2410"/>
    <w:rsid w:val="00FF2DD8"/>
    <w:rsid w:val="00FF2F72"/>
    <w:rsid w:val="00FF300F"/>
    <w:rsid w:val="00FF304F"/>
    <w:rsid w:val="00FF40D3"/>
    <w:rsid w:val="00FF4312"/>
    <w:rsid w:val="00FF4393"/>
    <w:rsid w:val="00FF46A9"/>
    <w:rsid w:val="00FF4842"/>
    <w:rsid w:val="00FF48CE"/>
    <w:rsid w:val="00FF4A2F"/>
    <w:rsid w:val="00FF4D20"/>
    <w:rsid w:val="00FF5379"/>
    <w:rsid w:val="00FF5463"/>
    <w:rsid w:val="00FF5F04"/>
    <w:rsid w:val="00FF6091"/>
    <w:rsid w:val="00FF61ED"/>
    <w:rsid w:val="00FF675B"/>
    <w:rsid w:val="00FF6FE8"/>
    <w:rsid w:val="00FF7295"/>
    <w:rsid w:val="01B85BA2"/>
    <w:rsid w:val="034E04E5"/>
    <w:rsid w:val="06B703DF"/>
    <w:rsid w:val="079EAAA6"/>
    <w:rsid w:val="0C2340D2"/>
    <w:rsid w:val="11FF59B9"/>
    <w:rsid w:val="280F2978"/>
    <w:rsid w:val="3B74B4A0"/>
    <w:rsid w:val="4626BD8A"/>
    <w:rsid w:val="5072F942"/>
    <w:rsid w:val="5996C6E7"/>
    <w:rsid w:val="5D933BC4"/>
    <w:rsid w:val="664CDE00"/>
    <w:rsid w:val="6FE879BC"/>
    <w:rsid w:val="71921285"/>
    <w:rsid w:val="7C065E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ecimalSymbol w:val="."/>
  <w:listSeparator w:val=","/>
  <w14:docId w14:val="3F1D0996"/>
  <w15:docId w15:val="{DC237B35-A955-458C-AC7B-112817794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7BC5"/>
  </w:style>
  <w:style w:type="paragraph" w:styleId="Heading1">
    <w:name w:val="heading 1"/>
    <w:basedOn w:val="Normal"/>
    <w:next w:val="Normal"/>
    <w:link w:val="Heading1Char"/>
    <w:uiPriority w:val="9"/>
    <w:qFormat/>
    <w:rsid w:val="00CA306D"/>
    <w:pPr>
      <w:keepNext/>
      <w:keepLines/>
      <w:spacing w:before="240" w:after="0" w:line="300" w:lineRule="auto"/>
      <w:outlineLvl w:val="0"/>
    </w:pPr>
    <w:rPr>
      <w:rFonts w:ascii="Arial" w:eastAsiaTheme="majorEastAsia" w:hAnsi="Arial" w:cstheme="majorBidi"/>
      <w:color w:val="00283E"/>
      <w:sz w:val="52"/>
      <w:szCs w:val="32"/>
    </w:rPr>
  </w:style>
  <w:style w:type="paragraph" w:styleId="Heading2">
    <w:name w:val="heading 2"/>
    <w:basedOn w:val="Normal"/>
    <w:next w:val="Normal"/>
    <w:link w:val="Heading2Char"/>
    <w:uiPriority w:val="9"/>
    <w:unhideWhenUsed/>
    <w:qFormat/>
    <w:rsid w:val="00F05F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07514"/>
    <w:pPr>
      <w:keepNext/>
      <w:keepLines/>
      <w:spacing w:before="40" w:after="0" w:line="300" w:lineRule="auto"/>
      <w:outlineLvl w:val="2"/>
    </w:pPr>
    <w:rPr>
      <w:rFonts w:ascii="Arial" w:eastAsiaTheme="majorEastAsia" w:hAnsi="Arial" w:cstheme="majorBidi"/>
      <w:color w:val="00283E"/>
      <w:sz w:val="36"/>
      <w:szCs w:val="24"/>
    </w:rPr>
  </w:style>
  <w:style w:type="paragraph" w:styleId="Heading4">
    <w:name w:val="heading 4"/>
    <w:basedOn w:val="Normal"/>
    <w:next w:val="Normal"/>
    <w:link w:val="Heading4Char"/>
    <w:uiPriority w:val="9"/>
    <w:unhideWhenUsed/>
    <w:qFormat/>
    <w:rsid w:val="00F328A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89361D"/>
    <w:pPr>
      <w:keepNext/>
      <w:keepLines/>
      <w:spacing w:before="40" w:after="0" w:line="300" w:lineRule="auto"/>
      <w:outlineLvl w:val="4"/>
    </w:pPr>
    <w:rPr>
      <w:rFonts w:ascii="Arial" w:eastAsiaTheme="majorEastAsia" w:hAnsi="Arial" w:cstheme="majorBidi"/>
      <w:b/>
      <w:color w:val="00283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30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306D"/>
  </w:style>
  <w:style w:type="paragraph" w:styleId="Footer">
    <w:name w:val="footer"/>
    <w:basedOn w:val="Normal"/>
    <w:link w:val="FooterChar"/>
    <w:uiPriority w:val="99"/>
    <w:unhideWhenUsed/>
    <w:rsid w:val="00CA30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306D"/>
  </w:style>
  <w:style w:type="paragraph" w:styleId="Title">
    <w:name w:val="Title"/>
    <w:basedOn w:val="Normal"/>
    <w:next w:val="Normal"/>
    <w:link w:val="TitleChar"/>
    <w:uiPriority w:val="10"/>
    <w:qFormat/>
    <w:rsid w:val="00CA306D"/>
    <w:pPr>
      <w:spacing w:before="240" w:after="0" w:line="240" w:lineRule="auto"/>
      <w:contextualSpacing/>
    </w:pPr>
    <w:rPr>
      <w:rFonts w:ascii="Arial" w:eastAsiaTheme="majorEastAsia" w:hAnsi="Arial" w:cstheme="majorBidi"/>
      <w:color w:val="005677"/>
      <w:spacing w:val="-10"/>
      <w:kern w:val="28"/>
      <w:sz w:val="72"/>
      <w:szCs w:val="56"/>
    </w:rPr>
  </w:style>
  <w:style w:type="character" w:customStyle="1" w:styleId="TitleChar">
    <w:name w:val="Title Char"/>
    <w:basedOn w:val="DefaultParagraphFont"/>
    <w:link w:val="Title"/>
    <w:uiPriority w:val="10"/>
    <w:rsid w:val="00CA306D"/>
    <w:rPr>
      <w:rFonts w:ascii="Arial" w:eastAsiaTheme="majorEastAsia" w:hAnsi="Arial" w:cstheme="majorBidi"/>
      <w:color w:val="005677"/>
      <w:spacing w:val="-10"/>
      <w:kern w:val="28"/>
      <w:sz w:val="72"/>
      <w:szCs w:val="56"/>
    </w:rPr>
  </w:style>
  <w:style w:type="character" w:customStyle="1" w:styleId="Heading1Char">
    <w:name w:val="Heading 1 Char"/>
    <w:basedOn w:val="DefaultParagraphFont"/>
    <w:link w:val="Heading1"/>
    <w:uiPriority w:val="9"/>
    <w:rsid w:val="00CA306D"/>
    <w:rPr>
      <w:rFonts w:ascii="Arial" w:eastAsiaTheme="majorEastAsia" w:hAnsi="Arial" w:cstheme="majorBidi"/>
      <w:color w:val="00283E"/>
      <w:sz w:val="52"/>
      <w:szCs w:val="32"/>
    </w:rPr>
  </w:style>
  <w:style w:type="paragraph" w:styleId="ListParagraph">
    <w:name w:val="List Paragraph"/>
    <w:aliases w:val="List Paragraph2,NFP GP Bulleted List,Recommendation,List Paragraph11,Bullet Point,Bullet points,Bulleted Para,Bulletr List Paragraph,Content descriptions,FooterText,L,NAST Quote,Paragraphe de liste1,bullet point list,numbered,列出段落,列出段落1"/>
    <w:basedOn w:val="Normal"/>
    <w:uiPriority w:val="34"/>
    <w:qFormat/>
    <w:rsid w:val="00E3713A"/>
    <w:pPr>
      <w:ind w:left="720"/>
      <w:contextualSpacing/>
    </w:pPr>
  </w:style>
  <w:style w:type="paragraph" w:styleId="FootnoteText">
    <w:name w:val="footnote text"/>
    <w:basedOn w:val="Normal"/>
    <w:link w:val="FootnoteTextChar"/>
    <w:uiPriority w:val="99"/>
    <w:unhideWhenUsed/>
    <w:rsid w:val="00E42E99"/>
    <w:pPr>
      <w:spacing w:after="0" w:line="240" w:lineRule="auto"/>
    </w:pPr>
    <w:rPr>
      <w:sz w:val="20"/>
      <w:szCs w:val="20"/>
    </w:rPr>
  </w:style>
  <w:style w:type="character" w:customStyle="1" w:styleId="FootnoteTextChar">
    <w:name w:val="Footnote Text Char"/>
    <w:basedOn w:val="DefaultParagraphFont"/>
    <w:link w:val="FootnoteText"/>
    <w:uiPriority w:val="99"/>
    <w:rsid w:val="00E42E99"/>
    <w:rPr>
      <w:sz w:val="20"/>
      <w:szCs w:val="20"/>
    </w:rPr>
  </w:style>
  <w:style w:type="character" w:styleId="FootnoteReference">
    <w:name w:val="footnote reference"/>
    <w:basedOn w:val="DefaultParagraphFont"/>
    <w:uiPriority w:val="99"/>
    <w:semiHidden/>
    <w:unhideWhenUsed/>
    <w:rsid w:val="00E42E99"/>
    <w:rPr>
      <w:vertAlign w:val="superscript"/>
    </w:rPr>
  </w:style>
  <w:style w:type="character" w:styleId="Hyperlink">
    <w:name w:val="Hyperlink"/>
    <w:basedOn w:val="DefaultParagraphFont"/>
    <w:uiPriority w:val="99"/>
    <w:unhideWhenUsed/>
    <w:qFormat/>
    <w:rsid w:val="00421103"/>
    <w:rPr>
      <w:color w:val="0563C1" w:themeColor="hyperlink"/>
      <w:u w:val="single"/>
    </w:rPr>
  </w:style>
  <w:style w:type="paragraph" w:styleId="Caption">
    <w:name w:val="caption"/>
    <w:basedOn w:val="Normal"/>
    <w:next w:val="Normal"/>
    <w:link w:val="CaptionChar"/>
    <w:unhideWhenUsed/>
    <w:qFormat/>
    <w:rsid w:val="00C276AC"/>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6F630F"/>
    <w:rPr>
      <w:color w:val="954F72" w:themeColor="followedHyperlink"/>
      <w:u w:val="single"/>
    </w:rPr>
  </w:style>
  <w:style w:type="character" w:customStyle="1" w:styleId="Heading2Char">
    <w:name w:val="Heading 2 Char"/>
    <w:basedOn w:val="DefaultParagraphFont"/>
    <w:link w:val="Heading2"/>
    <w:uiPriority w:val="2"/>
    <w:rsid w:val="00F05F25"/>
    <w:rPr>
      <w:rFonts w:asciiTheme="majorHAnsi" w:eastAsiaTheme="majorEastAsia" w:hAnsiTheme="majorHAnsi" w:cstheme="majorBidi"/>
      <w:color w:val="2E74B5" w:themeColor="accent1" w:themeShade="BF"/>
      <w:sz w:val="26"/>
      <w:szCs w:val="26"/>
    </w:rPr>
  </w:style>
  <w:style w:type="character" w:customStyle="1" w:styleId="Heading5Char">
    <w:name w:val="Heading 5 Char"/>
    <w:basedOn w:val="DefaultParagraphFont"/>
    <w:link w:val="Heading5"/>
    <w:uiPriority w:val="9"/>
    <w:rsid w:val="0089361D"/>
    <w:rPr>
      <w:rFonts w:ascii="Arial" w:eastAsiaTheme="majorEastAsia" w:hAnsi="Arial" w:cstheme="majorBidi"/>
      <w:b/>
      <w:color w:val="00283E"/>
    </w:rPr>
  </w:style>
  <w:style w:type="paragraph" w:styleId="Revision">
    <w:name w:val="Revision"/>
    <w:hidden/>
    <w:uiPriority w:val="99"/>
    <w:semiHidden/>
    <w:rsid w:val="00BA1BF1"/>
    <w:pPr>
      <w:spacing w:after="0" w:line="240" w:lineRule="auto"/>
    </w:pPr>
  </w:style>
  <w:style w:type="paragraph" w:styleId="BalloonText">
    <w:name w:val="Balloon Text"/>
    <w:basedOn w:val="Normal"/>
    <w:link w:val="BalloonTextChar"/>
    <w:uiPriority w:val="99"/>
    <w:semiHidden/>
    <w:unhideWhenUsed/>
    <w:rsid w:val="00BA1B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1BF1"/>
    <w:rPr>
      <w:rFonts w:ascii="Segoe UI" w:hAnsi="Segoe UI" w:cs="Segoe UI"/>
      <w:sz w:val="18"/>
      <w:szCs w:val="18"/>
    </w:rPr>
  </w:style>
  <w:style w:type="character" w:customStyle="1" w:styleId="Heading3Char">
    <w:name w:val="Heading 3 Char"/>
    <w:basedOn w:val="DefaultParagraphFont"/>
    <w:link w:val="Heading3"/>
    <w:uiPriority w:val="9"/>
    <w:rsid w:val="00A07514"/>
    <w:rPr>
      <w:rFonts w:ascii="Arial" w:eastAsiaTheme="majorEastAsia" w:hAnsi="Arial" w:cstheme="majorBidi"/>
      <w:color w:val="00283E"/>
      <w:sz w:val="36"/>
      <w:szCs w:val="24"/>
    </w:rPr>
  </w:style>
  <w:style w:type="paragraph" w:customStyle="1" w:styleId="Default">
    <w:name w:val="Default"/>
    <w:rsid w:val="00C53A73"/>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3F7893"/>
    <w:rPr>
      <w:sz w:val="16"/>
      <w:szCs w:val="16"/>
    </w:rPr>
  </w:style>
  <w:style w:type="paragraph" w:styleId="CommentText">
    <w:name w:val="annotation text"/>
    <w:basedOn w:val="Normal"/>
    <w:link w:val="CommentTextChar"/>
    <w:uiPriority w:val="99"/>
    <w:unhideWhenUsed/>
    <w:rsid w:val="003F7893"/>
    <w:pPr>
      <w:spacing w:line="240" w:lineRule="auto"/>
    </w:pPr>
    <w:rPr>
      <w:sz w:val="20"/>
      <w:szCs w:val="20"/>
    </w:rPr>
  </w:style>
  <w:style w:type="character" w:customStyle="1" w:styleId="CommentTextChar">
    <w:name w:val="Comment Text Char"/>
    <w:basedOn w:val="DefaultParagraphFont"/>
    <w:link w:val="CommentText"/>
    <w:uiPriority w:val="99"/>
    <w:rsid w:val="003F7893"/>
    <w:rPr>
      <w:sz w:val="20"/>
      <w:szCs w:val="20"/>
    </w:rPr>
  </w:style>
  <w:style w:type="paragraph" w:styleId="CommentSubject">
    <w:name w:val="annotation subject"/>
    <w:basedOn w:val="CommentText"/>
    <w:next w:val="CommentText"/>
    <w:link w:val="CommentSubjectChar"/>
    <w:uiPriority w:val="99"/>
    <w:semiHidden/>
    <w:unhideWhenUsed/>
    <w:rsid w:val="003F7893"/>
    <w:rPr>
      <w:b/>
      <w:bCs/>
    </w:rPr>
  </w:style>
  <w:style w:type="character" w:customStyle="1" w:styleId="CommentSubjectChar">
    <w:name w:val="Comment Subject Char"/>
    <w:basedOn w:val="CommentTextChar"/>
    <w:link w:val="CommentSubject"/>
    <w:uiPriority w:val="99"/>
    <w:semiHidden/>
    <w:rsid w:val="003F7893"/>
    <w:rPr>
      <w:b/>
      <w:bCs/>
      <w:sz w:val="20"/>
      <w:szCs w:val="20"/>
    </w:rPr>
  </w:style>
  <w:style w:type="paragraph" w:styleId="NormalWeb">
    <w:name w:val="Normal (Web)"/>
    <w:basedOn w:val="Normal"/>
    <w:uiPriority w:val="99"/>
    <w:unhideWhenUsed/>
    <w:rsid w:val="002063CB"/>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Heading4Char">
    <w:name w:val="Heading 4 Char"/>
    <w:basedOn w:val="DefaultParagraphFont"/>
    <w:link w:val="Heading4"/>
    <w:uiPriority w:val="9"/>
    <w:rsid w:val="00F328AD"/>
    <w:rPr>
      <w:rFonts w:asciiTheme="majorHAnsi" w:eastAsiaTheme="majorEastAsia" w:hAnsiTheme="majorHAnsi" w:cstheme="majorBidi"/>
      <w:i/>
      <w:iCs/>
      <w:color w:val="2E74B5" w:themeColor="accent1" w:themeShade="BF"/>
    </w:rPr>
  </w:style>
  <w:style w:type="paragraph" w:customStyle="1" w:styleId="CABNETParagraph">
    <w:name w:val="CABNET Paragraph."/>
    <w:basedOn w:val="Normal"/>
    <w:link w:val="CABNETParagraphChar"/>
    <w:uiPriority w:val="98"/>
    <w:qFormat/>
    <w:rsid w:val="00C253B3"/>
    <w:pPr>
      <w:spacing w:before="120" w:after="120" w:line="240" w:lineRule="auto"/>
    </w:pPr>
    <w:rPr>
      <w:rFonts w:ascii="Arial" w:hAnsi="Arial" w:cstheme="minorHAnsi"/>
    </w:rPr>
  </w:style>
  <w:style w:type="character" w:customStyle="1" w:styleId="CABNETParagraphChar">
    <w:name w:val="CABNET Paragraph. Char"/>
    <w:basedOn w:val="DefaultParagraphFont"/>
    <w:link w:val="CABNETParagraph"/>
    <w:uiPriority w:val="98"/>
    <w:rsid w:val="00C253B3"/>
    <w:rPr>
      <w:rFonts w:ascii="Arial" w:hAnsi="Arial" w:cstheme="minorHAnsi"/>
    </w:rPr>
  </w:style>
  <w:style w:type="paragraph" w:customStyle="1" w:styleId="ProtectiveMarking">
    <w:name w:val="Protective Marking"/>
    <w:uiPriority w:val="15"/>
    <w:semiHidden/>
    <w:qFormat/>
    <w:rsid w:val="00C349D4"/>
    <w:pPr>
      <w:spacing w:after="0" w:line="240" w:lineRule="auto"/>
      <w:jc w:val="center"/>
    </w:pPr>
    <w:rPr>
      <w:rFonts w:ascii="Arial" w:hAnsi="Arial"/>
      <w:b/>
      <w:color w:val="FF0000"/>
      <w:sz w:val="30"/>
    </w:rPr>
  </w:style>
  <w:style w:type="table" w:styleId="LightGrid-Accent2">
    <w:name w:val="Light Grid Accent 2"/>
    <w:basedOn w:val="TableNormal"/>
    <w:uiPriority w:val="62"/>
    <w:rsid w:val="007F7F96"/>
    <w:pPr>
      <w:spacing w:after="0" w:line="240" w:lineRule="auto"/>
    </w:pPr>
    <w:rPr>
      <w:rFonts w:eastAsiaTheme="minorEastAsia"/>
      <w:sz w:val="24"/>
      <w:szCs w:val="24"/>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auto"/>
    </w:tcPr>
    <w:tblStylePr w:type="firstRow">
      <w:pPr>
        <w:spacing w:before="0" w:after="0" w:line="240" w:lineRule="auto"/>
      </w:pPr>
      <w:rPr>
        <w:rFonts w:asciiTheme="majorHAnsi" w:eastAsiaTheme="majorEastAsia" w:hAnsiTheme="majorHAnsi" w:cstheme="majorBidi"/>
        <w:b/>
        <w:bCs/>
      </w:rPr>
      <w:tblPr/>
      <w:tcPr>
        <w:shd w:val="clear" w:color="auto" w:fill="CD0920"/>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paragraph" w:customStyle="1" w:styleId="TableText">
    <w:name w:val="TableText"/>
    <w:basedOn w:val="Normal"/>
    <w:qFormat/>
    <w:rsid w:val="007F7F96"/>
    <w:pPr>
      <w:spacing w:before="120" w:after="120" w:line="240" w:lineRule="auto"/>
    </w:pPr>
    <w:rPr>
      <w:rFonts w:ascii="Arial" w:eastAsiaTheme="majorEastAsia" w:hAnsi="Arial" w:cs="Arial"/>
      <w:bCs/>
      <w:sz w:val="20"/>
      <w:szCs w:val="20"/>
    </w:rPr>
  </w:style>
  <w:style w:type="paragraph" w:styleId="TOCHeading">
    <w:name w:val="TOC Heading"/>
    <w:basedOn w:val="Heading1"/>
    <w:next w:val="Normal"/>
    <w:uiPriority w:val="39"/>
    <w:unhideWhenUsed/>
    <w:qFormat/>
    <w:rsid w:val="002E5FF1"/>
    <w:pPr>
      <w:spacing w:line="259" w:lineRule="auto"/>
      <w:outlineLvl w:val="9"/>
    </w:pPr>
    <w:rPr>
      <w:rFonts w:asciiTheme="majorHAnsi" w:hAnsiTheme="majorHAnsi"/>
      <w:color w:val="2E74B5" w:themeColor="accent1" w:themeShade="BF"/>
      <w:sz w:val="32"/>
      <w:lang w:val="en-US"/>
    </w:rPr>
  </w:style>
  <w:style w:type="paragraph" w:styleId="TOC1">
    <w:name w:val="toc 1"/>
    <w:basedOn w:val="Normal"/>
    <w:next w:val="Normal"/>
    <w:autoRedefine/>
    <w:uiPriority w:val="39"/>
    <w:unhideWhenUsed/>
    <w:rsid w:val="002E5FF1"/>
    <w:pPr>
      <w:spacing w:after="100"/>
    </w:pPr>
  </w:style>
  <w:style w:type="paragraph" w:styleId="TOC2">
    <w:name w:val="toc 2"/>
    <w:basedOn w:val="Normal"/>
    <w:next w:val="Normal"/>
    <w:autoRedefine/>
    <w:uiPriority w:val="39"/>
    <w:unhideWhenUsed/>
    <w:rsid w:val="000D41F9"/>
    <w:pPr>
      <w:tabs>
        <w:tab w:val="right" w:leader="dot" w:pos="9016"/>
      </w:tabs>
      <w:spacing w:after="100"/>
      <w:ind w:left="220"/>
    </w:pPr>
  </w:style>
  <w:style w:type="table" w:styleId="TableGrid">
    <w:name w:val="Table Grid"/>
    <w:basedOn w:val="TableNormal"/>
    <w:uiPriority w:val="39"/>
    <w:rsid w:val="00E06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B226FE"/>
    <w:pPr>
      <w:spacing w:after="100"/>
      <w:ind w:left="440"/>
    </w:pPr>
  </w:style>
  <w:style w:type="paragraph" w:customStyle="1" w:styleId="FrontMatter">
    <w:name w:val="Front Matter"/>
    <w:basedOn w:val="Heading3"/>
    <w:link w:val="FrontMatterChar"/>
    <w:qFormat/>
    <w:rsid w:val="00EF6FFB"/>
    <w:pPr>
      <w:outlineLvl w:val="0"/>
    </w:pPr>
    <w:rPr>
      <w:rFonts w:cs="Arial"/>
      <w:bCs/>
      <w:color w:val="FFFFFF" w:themeColor="background1"/>
      <w:sz w:val="22"/>
      <w:lang w:val="en"/>
    </w:rPr>
  </w:style>
  <w:style w:type="paragraph" w:customStyle="1" w:styleId="FrontMatter2">
    <w:name w:val="Front Matter 2"/>
    <w:basedOn w:val="FrontMatter"/>
    <w:next w:val="Heading4"/>
    <w:link w:val="FrontMatter2Char"/>
    <w:qFormat/>
    <w:rsid w:val="00EF6FFB"/>
    <w:pPr>
      <w:outlineLvl w:val="1"/>
    </w:pPr>
    <w:rPr>
      <w:color w:val="000000" w:themeColor="text1"/>
      <w:sz w:val="28"/>
    </w:rPr>
  </w:style>
  <w:style w:type="character" w:customStyle="1" w:styleId="FrontMatterChar">
    <w:name w:val="Front Matter Char"/>
    <w:basedOn w:val="Heading3Char"/>
    <w:link w:val="FrontMatter"/>
    <w:rsid w:val="00EF6FFB"/>
    <w:rPr>
      <w:rFonts w:ascii="Arial" w:eastAsiaTheme="majorEastAsia" w:hAnsi="Arial" w:cs="Arial"/>
      <w:bCs/>
      <w:color w:val="FFFFFF" w:themeColor="background1"/>
      <w:sz w:val="36"/>
      <w:szCs w:val="24"/>
      <w:lang w:val="en"/>
    </w:rPr>
  </w:style>
  <w:style w:type="character" w:customStyle="1" w:styleId="FrontMatter2Char">
    <w:name w:val="Front Matter 2 Char"/>
    <w:basedOn w:val="FrontMatterChar"/>
    <w:link w:val="FrontMatter2"/>
    <w:rsid w:val="00EF6FFB"/>
    <w:rPr>
      <w:rFonts w:ascii="Arial" w:eastAsiaTheme="majorEastAsia" w:hAnsi="Arial" w:cs="Arial"/>
      <w:bCs/>
      <w:color w:val="000000" w:themeColor="text1"/>
      <w:sz w:val="28"/>
      <w:szCs w:val="24"/>
      <w:lang w:val="en"/>
    </w:rPr>
  </w:style>
  <w:style w:type="paragraph" w:customStyle="1" w:styleId="Box">
    <w:name w:val="Box"/>
    <w:basedOn w:val="Caption"/>
    <w:link w:val="BoxChar"/>
    <w:qFormat/>
    <w:rsid w:val="00B244D1"/>
    <w:pPr>
      <w:pBdr>
        <w:top w:val="single" w:sz="2" w:space="1" w:color="373737"/>
      </w:pBdr>
    </w:pPr>
    <w:rPr>
      <w:color w:val="005677"/>
      <w:sz w:val="24"/>
    </w:rPr>
  </w:style>
  <w:style w:type="paragraph" w:customStyle="1" w:styleId="Source">
    <w:name w:val="Source"/>
    <w:basedOn w:val="Normal"/>
    <w:next w:val="BodyText"/>
    <w:link w:val="SourceChar"/>
    <w:qFormat/>
    <w:rsid w:val="0095124D"/>
    <w:pPr>
      <w:keepLines/>
      <w:pBdr>
        <w:bottom w:val="single" w:sz="4" w:space="1" w:color="595A5B"/>
      </w:pBdr>
      <w:spacing w:before="60" w:after="360" w:line="270" w:lineRule="exact"/>
      <w:jc w:val="both"/>
    </w:pPr>
    <w:rPr>
      <w:rFonts w:ascii="Arial" w:eastAsia="Times New Roman" w:hAnsi="Arial" w:cs="Arial"/>
      <w:color w:val="005CAF"/>
      <w:sz w:val="16"/>
      <w:szCs w:val="20"/>
      <w:lang w:val="en"/>
    </w:rPr>
  </w:style>
  <w:style w:type="character" w:customStyle="1" w:styleId="CaptionChar">
    <w:name w:val="Caption Char"/>
    <w:basedOn w:val="DefaultParagraphFont"/>
    <w:link w:val="Caption"/>
    <w:rsid w:val="0095124D"/>
    <w:rPr>
      <w:i/>
      <w:iCs/>
      <w:color w:val="44546A" w:themeColor="text2"/>
      <w:sz w:val="18"/>
      <w:szCs w:val="18"/>
    </w:rPr>
  </w:style>
  <w:style w:type="character" w:customStyle="1" w:styleId="BoxChar">
    <w:name w:val="Box Char"/>
    <w:basedOn w:val="CaptionChar"/>
    <w:link w:val="Box"/>
    <w:rsid w:val="00B244D1"/>
    <w:rPr>
      <w:i/>
      <w:iCs/>
      <w:color w:val="005677"/>
      <w:sz w:val="24"/>
      <w:szCs w:val="18"/>
    </w:rPr>
  </w:style>
  <w:style w:type="character" w:customStyle="1" w:styleId="SourceChar">
    <w:name w:val="Source Char"/>
    <w:basedOn w:val="DefaultParagraphFont"/>
    <w:link w:val="Source"/>
    <w:rsid w:val="0095124D"/>
    <w:rPr>
      <w:rFonts w:ascii="Arial" w:eastAsia="Times New Roman" w:hAnsi="Arial" w:cs="Arial"/>
      <w:color w:val="005CAF"/>
      <w:sz w:val="16"/>
      <w:szCs w:val="20"/>
      <w:lang w:val="en"/>
    </w:rPr>
  </w:style>
  <w:style w:type="paragraph" w:styleId="BodyText">
    <w:name w:val="Body Text"/>
    <w:basedOn w:val="Normal"/>
    <w:link w:val="BodyTextChar"/>
    <w:uiPriority w:val="99"/>
    <w:semiHidden/>
    <w:unhideWhenUsed/>
    <w:rsid w:val="0095124D"/>
    <w:pPr>
      <w:spacing w:after="120"/>
    </w:pPr>
  </w:style>
  <w:style w:type="character" w:customStyle="1" w:styleId="BodyTextChar">
    <w:name w:val="Body Text Char"/>
    <w:basedOn w:val="DefaultParagraphFont"/>
    <w:link w:val="BodyText"/>
    <w:uiPriority w:val="99"/>
    <w:semiHidden/>
    <w:rsid w:val="009512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01992">
      <w:bodyDiv w:val="1"/>
      <w:marLeft w:val="0"/>
      <w:marRight w:val="0"/>
      <w:marTop w:val="0"/>
      <w:marBottom w:val="0"/>
      <w:divBdr>
        <w:top w:val="none" w:sz="0" w:space="0" w:color="auto"/>
        <w:left w:val="none" w:sz="0" w:space="0" w:color="auto"/>
        <w:bottom w:val="none" w:sz="0" w:space="0" w:color="auto"/>
        <w:right w:val="none" w:sz="0" w:space="0" w:color="auto"/>
      </w:divBdr>
    </w:div>
    <w:div w:id="103814010">
      <w:bodyDiv w:val="1"/>
      <w:marLeft w:val="0"/>
      <w:marRight w:val="0"/>
      <w:marTop w:val="0"/>
      <w:marBottom w:val="0"/>
      <w:divBdr>
        <w:top w:val="none" w:sz="0" w:space="0" w:color="auto"/>
        <w:left w:val="none" w:sz="0" w:space="0" w:color="auto"/>
        <w:bottom w:val="none" w:sz="0" w:space="0" w:color="auto"/>
        <w:right w:val="none" w:sz="0" w:space="0" w:color="auto"/>
      </w:divBdr>
    </w:div>
    <w:div w:id="104617000">
      <w:bodyDiv w:val="1"/>
      <w:marLeft w:val="0"/>
      <w:marRight w:val="0"/>
      <w:marTop w:val="0"/>
      <w:marBottom w:val="0"/>
      <w:divBdr>
        <w:top w:val="none" w:sz="0" w:space="0" w:color="auto"/>
        <w:left w:val="none" w:sz="0" w:space="0" w:color="auto"/>
        <w:bottom w:val="none" w:sz="0" w:space="0" w:color="auto"/>
        <w:right w:val="none" w:sz="0" w:space="0" w:color="auto"/>
      </w:divBdr>
    </w:div>
    <w:div w:id="257182207">
      <w:bodyDiv w:val="1"/>
      <w:marLeft w:val="0"/>
      <w:marRight w:val="0"/>
      <w:marTop w:val="0"/>
      <w:marBottom w:val="0"/>
      <w:divBdr>
        <w:top w:val="none" w:sz="0" w:space="0" w:color="auto"/>
        <w:left w:val="none" w:sz="0" w:space="0" w:color="auto"/>
        <w:bottom w:val="none" w:sz="0" w:space="0" w:color="auto"/>
        <w:right w:val="none" w:sz="0" w:space="0" w:color="auto"/>
      </w:divBdr>
      <w:divsChild>
        <w:div w:id="2117552921">
          <w:marLeft w:val="0"/>
          <w:marRight w:val="0"/>
          <w:marTop w:val="0"/>
          <w:marBottom w:val="0"/>
          <w:divBdr>
            <w:top w:val="none" w:sz="0" w:space="0" w:color="auto"/>
            <w:left w:val="none" w:sz="0" w:space="0" w:color="auto"/>
            <w:bottom w:val="none" w:sz="0" w:space="0" w:color="auto"/>
            <w:right w:val="none" w:sz="0" w:space="0" w:color="auto"/>
          </w:divBdr>
          <w:divsChild>
            <w:div w:id="154030426">
              <w:marLeft w:val="0"/>
              <w:marRight w:val="0"/>
              <w:marTop w:val="0"/>
              <w:marBottom w:val="0"/>
              <w:divBdr>
                <w:top w:val="none" w:sz="0" w:space="0" w:color="auto"/>
                <w:left w:val="none" w:sz="0" w:space="0" w:color="auto"/>
                <w:bottom w:val="none" w:sz="0" w:space="0" w:color="auto"/>
                <w:right w:val="none" w:sz="0" w:space="0" w:color="auto"/>
              </w:divBdr>
              <w:divsChild>
                <w:div w:id="187553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4265">
      <w:bodyDiv w:val="1"/>
      <w:marLeft w:val="0"/>
      <w:marRight w:val="0"/>
      <w:marTop w:val="0"/>
      <w:marBottom w:val="0"/>
      <w:divBdr>
        <w:top w:val="none" w:sz="0" w:space="0" w:color="auto"/>
        <w:left w:val="none" w:sz="0" w:space="0" w:color="auto"/>
        <w:bottom w:val="none" w:sz="0" w:space="0" w:color="auto"/>
        <w:right w:val="none" w:sz="0" w:space="0" w:color="auto"/>
      </w:divBdr>
    </w:div>
    <w:div w:id="324864676">
      <w:bodyDiv w:val="1"/>
      <w:marLeft w:val="0"/>
      <w:marRight w:val="0"/>
      <w:marTop w:val="0"/>
      <w:marBottom w:val="0"/>
      <w:divBdr>
        <w:top w:val="none" w:sz="0" w:space="0" w:color="auto"/>
        <w:left w:val="none" w:sz="0" w:space="0" w:color="auto"/>
        <w:bottom w:val="none" w:sz="0" w:space="0" w:color="auto"/>
        <w:right w:val="none" w:sz="0" w:space="0" w:color="auto"/>
      </w:divBdr>
    </w:div>
    <w:div w:id="403718455">
      <w:bodyDiv w:val="1"/>
      <w:marLeft w:val="0"/>
      <w:marRight w:val="0"/>
      <w:marTop w:val="0"/>
      <w:marBottom w:val="0"/>
      <w:divBdr>
        <w:top w:val="none" w:sz="0" w:space="0" w:color="auto"/>
        <w:left w:val="none" w:sz="0" w:space="0" w:color="auto"/>
        <w:bottom w:val="none" w:sz="0" w:space="0" w:color="auto"/>
        <w:right w:val="none" w:sz="0" w:space="0" w:color="auto"/>
      </w:divBdr>
    </w:div>
    <w:div w:id="685405811">
      <w:bodyDiv w:val="1"/>
      <w:marLeft w:val="0"/>
      <w:marRight w:val="0"/>
      <w:marTop w:val="0"/>
      <w:marBottom w:val="0"/>
      <w:divBdr>
        <w:top w:val="none" w:sz="0" w:space="0" w:color="auto"/>
        <w:left w:val="none" w:sz="0" w:space="0" w:color="auto"/>
        <w:bottom w:val="none" w:sz="0" w:space="0" w:color="auto"/>
        <w:right w:val="none" w:sz="0" w:space="0" w:color="auto"/>
      </w:divBdr>
    </w:div>
    <w:div w:id="771779963">
      <w:bodyDiv w:val="1"/>
      <w:marLeft w:val="0"/>
      <w:marRight w:val="0"/>
      <w:marTop w:val="0"/>
      <w:marBottom w:val="0"/>
      <w:divBdr>
        <w:top w:val="none" w:sz="0" w:space="0" w:color="auto"/>
        <w:left w:val="none" w:sz="0" w:space="0" w:color="auto"/>
        <w:bottom w:val="none" w:sz="0" w:space="0" w:color="auto"/>
        <w:right w:val="none" w:sz="0" w:space="0" w:color="auto"/>
      </w:divBdr>
    </w:div>
    <w:div w:id="793060522">
      <w:bodyDiv w:val="1"/>
      <w:marLeft w:val="0"/>
      <w:marRight w:val="0"/>
      <w:marTop w:val="0"/>
      <w:marBottom w:val="0"/>
      <w:divBdr>
        <w:top w:val="none" w:sz="0" w:space="0" w:color="auto"/>
        <w:left w:val="none" w:sz="0" w:space="0" w:color="auto"/>
        <w:bottom w:val="none" w:sz="0" w:space="0" w:color="auto"/>
        <w:right w:val="none" w:sz="0" w:space="0" w:color="auto"/>
      </w:divBdr>
    </w:div>
    <w:div w:id="811480973">
      <w:bodyDiv w:val="1"/>
      <w:marLeft w:val="0"/>
      <w:marRight w:val="0"/>
      <w:marTop w:val="0"/>
      <w:marBottom w:val="0"/>
      <w:divBdr>
        <w:top w:val="none" w:sz="0" w:space="0" w:color="auto"/>
        <w:left w:val="none" w:sz="0" w:space="0" w:color="auto"/>
        <w:bottom w:val="none" w:sz="0" w:space="0" w:color="auto"/>
        <w:right w:val="none" w:sz="0" w:space="0" w:color="auto"/>
      </w:divBdr>
      <w:divsChild>
        <w:div w:id="943653629">
          <w:marLeft w:val="0"/>
          <w:marRight w:val="0"/>
          <w:marTop w:val="0"/>
          <w:marBottom w:val="0"/>
          <w:divBdr>
            <w:top w:val="none" w:sz="0" w:space="0" w:color="auto"/>
            <w:left w:val="none" w:sz="0" w:space="0" w:color="auto"/>
            <w:bottom w:val="none" w:sz="0" w:space="0" w:color="auto"/>
            <w:right w:val="none" w:sz="0" w:space="0" w:color="auto"/>
          </w:divBdr>
          <w:divsChild>
            <w:div w:id="441650008">
              <w:marLeft w:val="0"/>
              <w:marRight w:val="0"/>
              <w:marTop w:val="0"/>
              <w:marBottom w:val="0"/>
              <w:divBdr>
                <w:top w:val="none" w:sz="0" w:space="0" w:color="auto"/>
                <w:left w:val="none" w:sz="0" w:space="0" w:color="auto"/>
                <w:bottom w:val="none" w:sz="0" w:space="0" w:color="auto"/>
                <w:right w:val="none" w:sz="0" w:space="0" w:color="auto"/>
              </w:divBdr>
              <w:divsChild>
                <w:div w:id="1540583866">
                  <w:marLeft w:val="0"/>
                  <w:marRight w:val="0"/>
                  <w:marTop w:val="0"/>
                  <w:marBottom w:val="0"/>
                  <w:divBdr>
                    <w:top w:val="none" w:sz="0" w:space="0" w:color="auto"/>
                    <w:left w:val="none" w:sz="0" w:space="0" w:color="auto"/>
                    <w:bottom w:val="none" w:sz="0" w:space="0" w:color="auto"/>
                    <w:right w:val="none" w:sz="0" w:space="0" w:color="auto"/>
                  </w:divBdr>
                  <w:divsChild>
                    <w:div w:id="690449555">
                      <w:marLeft w:val="0"/>
                      <w:marRight w:val="0"/>
                      <w:marTop w:val="0"/>
                      <w:marBottom w:val="0"/>
                      <w:divBdr>
                        <w:top w:val="none" w:sz="0" w:space="0" w:color="auto"/>
                        <w:left w:val="none" w:sz="0" w:space="0" w:color="auto"/>
                        <w:bottom w:val="none" w:sz="0" w:space="0" w:color="auto"/>
                        <w:right w:val="none" w:sz="0" w:space="0" w:color="auto"/>
                      </w:divBdr>
                      <w:divsChild>
                        <w:div w:id="1350139570">
                          <w:marLeft w:val="0"/>
                          <w:marRight w:val="0"/>
                          <w:marTop w:val="0"/>
                          <w:marBottom w:val="0"/>
                          <w:divBdr>
                            <w:top w:val="none" w:sz="0" w:space="0" w:color="auto"/>
                            <w:left w:val="none" w:sz="0" w:space="0" w:color="auto"/>
                            <w:bottom w:val="none" w:sz="0" w:space="0" w:color="auto"/>
                            <w:right w:val="none" w:sz="0" w:space="0" w:color="auto"/>
                          </w:divBdr>
                          <w:divsChild>
                            <w:div w:id="513348198">
                              <w:marLeft w:val="0"/>
                              <w:marRight w:val="0"/>
                              <w:marTop w:val="0"/>
                              <w:marBottom w:val="100"/>
                              <w:divBdr>
                                <w:top w:val="none" w:sz="0" w:space="0" w:color="auto"/>
                                <w:left w:val="none" w:sz="0" w:space="0" w:color="auto"/>
                                <w:bottom w:val="none" w:sz="0" w:space="0" w:color="auto"/>
                                <w:right w:val="none" w:sz="0" w:space="0" w:color="auto"/>
                              </w:divBdr>
                              <w:divsChild>
                                <w:div w:id="182136185">
                                  <w:marLeft w:val="0"/>
                                  <w:marRight w:val="0"/>
                                  <w:marTop w:val="0"/>
                                  <w:marBottom w:val="0"/>
                                  <w:divBdr>
                                    <w:top w:val="none" w:sz="0" w:space="0" w:color="auto"/>
                                    <w:left w:val="none" w:sz="0" w:space="0" w:color="auto"/>
                                    <w:bottom w:val="none" w:sz="0" w:space="0" w:color="auto"/>
                                    <w:right w:val="none" w:sz="0" w:space="0" w:color="auto"/>
                                  </w:divBdr>
                                  <w:divsChild>
                                    <w:div w:id="1516306662">
                                      <w:marLeft w:val="0"/>
                                      <w:marRight w:val="0"/>
                                      <w:marTop w:val="0"/>
                                      <w:marBottom w:val="0"/>
                                      <w:divBdr>
                                        <w:top w:val="none" w:sz="0" w:space="0" w:color="auto"/>
                                        <w:left w:val="none" w:sz="0" w:space="0" w:color="auto"/>
                                        <w:bottom w:val="none" w:sz="0" w:space="0" w:color="auto"/>
                                        <w:right w:val="none" w:sz="0" w:space="0" w:color="auto"/>
                                      </w:divBdr>
                                      <w:divsChild>
                                        <w:div w:id="571936658">
                                          <w:marLeft w:val="0"/>
                                          <w:marRight w:val="0"/>
                                          <w:marTop w:val="0"/>
                                          <w:marBottom w:val="0"/>
                                          <w:divBdr>
                                            <w:top w:val="none" w:sz="0" w:space="0" w:color="auto"/>
                                            <w:left w:val="none" w:sz="0" w:space="0" w:color="auto"/>
                                            <w:bottom w:val="none" w:sz="0" w:space="0" w:color="auto"/>
                                            <w:right w:val="none" w:sz="0" w:space="0" w:color="auto"/>
                                          </w:divBdr>
                                          <w:divsChild>
                                            <w:div w:id="783814611">
                                              <w:marLeft w:val="0"/>
                                              <w:marRight w:val="0"/>
                                              <w:marTop w:val="0"/>
                                              <w:marBottom w:val="0"/>
                                              <w:divBdr>
                                                <w:top w:val="none" w:sz="0" w:space="0" w:color="auto"/>
                                                <w:left w:val="none" w:sz="0" w:space="0" w:color="auto"/>
                                                <w:bottom w:val="none" w:sz="0" w:space="0" w:color="auto"/>
                                                <w:right w:val="none" w:sz="0" w:space="0" w:color="auto"/>
                                              </w:divBdr>
                                              <w:divsChild>
                                                <w:div w:id="668022719">
                                                  <w:marLeft w:val="0"/>
                                                  <w:marRight w:val="0"/>
                                                  <w:marTop w:val="0"/>
                                                  <w:marBottom w:val="0"/>
                                                  <w:divBdr>
                                                    <w:top w:val="none" w:sz="0" w:space="0" w:color="auto"/>
                                                    <w:left w:val="none" w:sz="0" w:space="0" w:color="auto"/>
                                                    <w:bottom w:val="none" w:sz="0" w:space="0" w:color="auto"/>
                                                    <w:right w:val="none" w:sz="0" w:space="0" w:color="auto"/>
                                                  </w:divBdr>
                                                  <w:divsChild>
                                                    <w:div w:id="18243848">
                                                      <w:marLeft w:val="0"/>
                                                      <w:marRight w:val="0"/>
                                                      <w:marTop w:val="0"/>
                                                      <w:marBottom w:val="0"/>
                                                      <w:divBdr>
                                                        <w:top w:val="none" w:sz="0" w:space="0" w:color="auto"/>
                                                        <w:left w:val="none" w:sz="0" w:space="0" w:color="auto"/>
                                                        <w:bottom w:val="none" w:sz="0" w:space="0" w:color="auto"/>
                                                        <w:right w:val="none" w:sz="0" w:space="0" w:color="auto"/>
                                                      </w:divBdr>
                                                      <w:divsChild>
                                                        <w:div w:id="1675762907">
                                                          <w:marLeft w:val="0"/>
                                                          <w:marRight w:val="0"/>
                                                          <w:marTop w:val="0"/>
                                                          <w:marBottom w:val="300"/>
                                                          <w:divBdr>
                                                            <w:top w:val="single" w:sz="6" w:space="11" w:color="C0C0C0"/>
                                                            <w:left w:val="single" w:sz="6" w:space="8" w:color="C0C0C0"/>
                                                            <w:bottom w:val="single" w:sz="6" w:space="0" w:color="C0C0C0"/>
                                                            <w:right w:val="single" w:sz="6" w:space="8" w:color="C0C0C0"/>
                                                          </w:divBdr>
                                                        </w:div>
                                                      </w:divsChild>
                                                    </w:div>
                                                  </w:divsChild>
                                                </w:div>
                                              </w:divsChild>
                                            </w:div>
                                          </w:divsChild>
                                        </w:div>
                                      </w:divsChild>
                                    </w:div>
                                  </w:divsChild>
                                </w:div>
                              </w:divsChild>
                            </w:div>
                          </w:divsChild>
                        </w:div>
                      </w:divsChild>
                    </w:div>
                  </w:divsChild>
                </w:div>
              </w:divsChild>
            </w:div>
          </w:divsChild>
        </w:div>
      </w:divsChild>
    </w:div>
    <w:div w:id="887492024">
      <w:bodyDiv w:val="1"/>
      <w:marLeft w:val="0"/>
      <w:marRight w:val="0"/>
      <w:marTop w:val="0"/>
      <w:marBottom w:val="0"/>
      <w:divBdr>
        <w:top w:val="none" w:sz="0" w:space="0" w:color="auto"/>
        <w:left w:val="none" w:sz="0" w:space="0" w:color="auto"/>
        <w:bottom w:val="none" w:sz="0" w:space="0" w:color="auto"/>
        <w:right w:val="none" w:sz="0" w:space="0" w:color="auto"/>
      </w:divBdr>
    </w:div>
    <w:div w:id="951791215">
      <w:bodyDiv w:val="1"/>
      <w:marLeft w:val="0"/>
      <w:marRight w:val="0"/>
      <w:marTop w:val="0"/>
      <w:marBottom w:val="0"/>
      <w:divBdr>
        <w:top w:val="none" w:sz="0" w:space="0" w:color="auto"/>
        <w:left w:val="none" w:sz="0" w:space="0" w:color="auto"/>
        <w:bottom w:val="none" w:sz="0" w:space="0" w:color="auto"/>
        <w:right w:val="none" w:sz="0" w:space="0" w:color="auto"/>
      </w:divBdr>
      <w:divsChild>
        <w:div w:id="1873883928">
          <w:marLeft w:val="0"/>
          <w:marRight w:val="0"/>
          <w:marTop w:val="0"/>
          <w:marBottom w:val="0"/>
          <w:divBdr>
            <w:top w:val="none" w:sz="0" w:space="0" w:color="auto"/>
            <w:left w:val="none" w:sz="0" w:space="0" w:color="auto"/>
            <w:bottom w:val="single" w:sz="6" w:space="0" w:color="0C64A0"/>
            <w:right w:val="none" w:sz="0" w:space="0" w:color="auto"/>
          </w:divBdr>
          <w:divsChild>
            <w:div w:id="1981373369">
              <w:marLeft w:val="0"/>
              <w:marRight w:val="0"/>
              <w:marTop w:val="0"/>
              <w:marBottom w:val="0"/>
              <w:divBdr>
                <w:top w:val="none" w:sz="0" w:space="0" w:color="auto"/>
                <w:left w:val="none" w:sz="0" w:space="0" w:color="auto"/>
                <w:bottom w:val="none" w:sz="0" w:space="0" w:color="auto"/>
                <w:right w:val="none" w:sz="0" w:space="0" w:color="auto"/>
              </w:divBdr>
              <w:divsChild>
                <w:div w:id="1412893313">
                  <w:marLeft w:val="0"/>
                  <w:marRight w:val="0"/>
                  <w:marTop w:val="0"/>
                  <w:marBottom w:val="0"/>
                  <w:divBdr>
                    <w:top w:val="none" w:sz="0" w:space="0" w:color="auto"/>
                    <w:left w:val="none" w:sz="0" w:space="0" w:color="auto"/>
                    <w:bottom w:val="none" w:sz="0" w:space="0" w:color="auto"/>
                    <w:right w:val="none" w:sz="0" w:space="0" w:color="auto"/>
                  </w:divBdr>
                  <w:divsChild>
                    <w:div w:id="8639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234708">
      <w:bodyDiv w:val="1"/>
      <w:marLeft w:val="0"/>
      <w:marRight w:val="0"/>
      <w:marTop w:val="0"/>
      <w:marBottom w:val="0"/>
      <w:divBdr>
        <w:top w:val="none" w:sz="0" w:space="0" w:color="auto"/>
        <w:left w:val="none" w:sz="0" w:space="0" w:color="auto"/>
        <w:bottom w:val="none" w:sz="0" w:space="0" w:color="auto"/>
        <w:right w:val="none" w:sz="0" w:space="0" w:color="auto"/>
      </w:divBdr>
      <w:divsChild>
        <w:div w:id="1350369315">
          <w:marLeft w:val="0"/>
          <w:marRight w:val="0"/>
          <w:marTop w:val="0"/>
          <w:marBottom w:val="0"/>
          <w:divBdr>
            <w:top w:val="none" w:sz="0" w:space="0" w:color="auto"/>
            <w:left w:val="none" w:sz="0" w:space="0" w:color="auto"/>
            <w:bottom w:val="none" w:sz="0" w:space="0" w:color="auto"/>
            <w:right w:val="none" w:sz="0" w:space="0" w:color="auto"/>
          </w:divBdr>
          <w:divsChild>
            <w:div w:id="1199968386">
              <w:marLeft w:val="0"/>
              <w:marRight w:val="0"/>
              <w:marTop w:val="0"/>
              <w:marBottom w:val="0"/>
              <w:divBdr>
                <w:top w:val="none" w:sz="0" w:space="0" w:color="auto"/>
                <w:left w:val="none" w:sz="0" w:space="0" w:color="auto"/>
                <w:bottom w:val="none" w:sz="0" w:space="0" w:color="auto"/>
                <w:right w:val="none" w:sz="0" w:space="0" w:color="auto"/>
              </w:divBdr>
              <w:divsChild>
                <w:div w:id="309335694">
                  <w:marLeft w:val="0"/>
                  <w:marRight w:val="0"/>
                  <w:marTop w:val="0"/>
                  <w:marBottom w:val="0"/>
                  <w:divBdr>
                    <w:top w:val="none" w:sz="0" w:space="0" w:color="auto"/>
                    <w:left w:val="none" w:sz="0" w:space="0" w:color="auto"/>
                    <w:bottom w:val="none" w:sz="0" w:space="0" w:color="auto"/>
                    <w:right w:val="none" w:sz="0" w:space="0" w:color="auto"/>
                  </w:divBdr>
                  <w:divsChild>
                    <w:div w:id="1047754984">
                      <w:marLeft w:val="0"/>
                      <w:marRight w:val="0"/>
                      <w:marTop w:val="0"/>
                      <w:marBottom w:val="0"/>
                      <w:divBdr>
                        <w:top w:val="none" w:sz="0" w:space="0" w:color="auto"/>
                        <w:left w:val="none" w:sz="0" w:space="0" w:color="auto"/>
                        <w:bottom w:val="none" w:sz="0" w:space="0" w:color="auto"/>
                        <w:right w:val="none" w:sz="0" w:space="0" w:color="auto"/>
                      </w:divBdr>
                      <w:divsChild>
                        <w:div w:id="527061096">
                          <w:marLeft w:val="0"/>
                          <w:marRight w:val="0"/>
                          <w:marTop w:val="0"/>
                          <w:marBottom w:val="0"/>
                          <w:divBdr>
                            <w:top w:val="none" w:sz="0" w:space="0" w:color="auto"/>
                            <w:left w:val="none" w:sz="0" w:space="0" w:color="auto"/>
                            <w:bottom w:val="none" w:sz="0" w:space="0" w:color="auto"/>
                            <w:right w:val="none" w:sz="0" w:space="0" w:color="auto"/>
                          </w:divBdr>
                          <w:divsChild>
                            <w:div w:id="2034188443">
                              <w:marLeft w:val="0"/>
                              <w:marRight w:val="0"/>
                              <w:marTop w:val="0"/>
                              <w:marBottom w:val="100"/>
                              <w:divBdr>
                                <w:top w:val="none" w:sz="0" w:space="0" w:color="auto"/>
                                <w:left w:val="none" w:sz="0" w:space="0" w:color="auto"/>
                                <w:bottom w:val="none" w:sz="0" w:space="0" w:color="auto"/>
                                <w:right w:val="none" w:sz="0" w:space="0" w:color="auto"/>
                              </w:divBdr>
                              <w:divsChild>
                                <w:div w:id="1518734567">
                                  <w:marLeft w:val="0"/>
                                  <w:marRight w:val="0"/>
                                  <w:marTop w:val="0"/>
                                  <w:marBottom w:val="0"/>
                                  <w:divBdr>
                                    <w:top w:val="none" w:sz="0" w:space="0" w:color="auto"/>
                                    <w:left w:val="none" w:sz="0" w:space="0" w:color="auto"/>
                                    <w:bottom w:val="none" w:sz="0" w:space="0" w:color="auto"/>
                                    <w:right w:val="none" w:sz="0" w:space="0" w:color="auto"/>
                                  </w:divBdr>
                                  <w:divsChild>
                                    <w:div w:id="1474562224">
                                      <w:marLeft w:val="0"/>
                                      <w:marRight w:val="0"/>
                                      <w:marTop w:val="0"/>
                                      <w:marBottom w:val="0"/>
                                      <w:divBdr>
                                        <w:top w:val="none" w:sz="0" w:space="0" w:color="auto"/>
                                        <w:left w:val="none" w:sz="0" w:space="0" w:color="auto"/>
                                        <w:bottom w:val="none" w:sz="0" w:space="0" w:color="auto"/>
                                        <w:right w:val="none" w:sz="0" w:space="0" w:color="auto"/>
                                      </w:divBdr>
                                      <w:divsChild>
                                        <w:div w:id="1453788006">
                                          <w:marLeft w:val="0"/>
                                          <w:marRight w:val="0"/>
                                          <w:marTop w:val="0"/>
                                          <w:marBottom w:val="0"/>
                                          <w:divBdr>
                                            <w:top w:val="none" w:sz="0" w:space="0" w:color="auto"/>
                                            <w:left w:val="none" w:sz="0" w:space="0" w:color="auto"/>
                                            <w:bottom w:val="none" w:sz="0" w:space="0" w:color="auto"/>
                                            <w:right w:val="none" w:sz="0" w:space="0" w:color="auto"/>
                                          </w:divBdr>
                                          <w:divsChild>
                                            <w:div w:id="1297182550">
                                              <w:marLeft w:val="0"/>
                                              <w:marRight w:val="0"/>
                                              <w:marTop w:val="0"/>
                                              <w:marBottom w:val="0"/>
                                              <w:divBdr>
                                                <w:top w:val="none" w:sz="0" w:space="0" w:color="auto"/>
                                                <w:left w:val="none" w:sz="0" w:space="0" w:color="auto"/>
                                                <w:bottom w:val="none" w:sz="0" w:space="0" w:color="auto"/>
                                                <w:right w:val="none" w:sz="0" w:space="0" w:color="auto"/>
                                              </w:divBdr>
                                              <w:divsChild>
                                                <w:div w:id="1352416345">
                                                  <w:marLeft w:val="0"/>
                                                  <w:marRight w:val="0"/>
                                                  <w:marTop w:val="0"/>
                                                  <w:marBottom w:val="0"/>
                                                  <w:divBdr>
                                                    <w:top w:val="none" w:sz="0" w:space="0" w:color="auto"/>
                                                    <w:left w:val="none" w:sz="0" w:space="0" w:color="auto"/>
                                                    <w:bottom w:val="none" w:sz="0" w:space="0" w:color="auto"/>
                                                    <w:right w:val="none" w:sz="0" w:space="0" w:color="auto"/>
                                                  </w:divBdr>
                                                  <w:divsChild>
                                                    <w:div w:id="591277171">
                                                      <w:marLeft w:val="0"/>
                                                      <w:marRight w:val="0"/>
                                                      <w:marTop w:val="0"/>
                                                      <w:marBottom w:val="0"/>
                                                      <w:divBdr>
                                                        <w:top w:val="none" w:sz="0" w:space="0" w:color="auto"/>
                                                        <w:left w:val="none" w:sz="0" w:space="0" w:color="auto"/>
                                                        <w:bottom w:val="none" w:sz="0" w:space="0" w:color="auto"/>
                                                        <w:right w:val="none" w:sz="0" w:space="0" w:color="auto"/>
                                                      </w:divBdr>
                                                      <w:divsChild>
                                                        <w:div w:id="628321539">
                                                          <w:marLeft w:val="0"/>
                                                          <w:marRight w:val="0"/>
                                                          <w:marTop w:val="0"/>
                                                          <w:marBottom w:val="300"/>
                                                          <w:divBdr>
                                                            <w:top w:val="single" w:sz="6" w:space="11" w:color="C0C0C0"/>
                                                            <w:left w:val="single" w:sz="6" w:space="8" w:color="C0C0C0"/>
                                                            <w:bottom w:val="single" w:sz="6" w:space="0" w:color="C0C0C0"/>
                                                            <w:right w:val="single" w:sz="6" w:space="8" w:color="C0C0C0"/>
                                                          </w:divBdr>
                                                        </w:div>
                                                      </w:divsChild>
                                                    </w:div>
                                                  </w:divsChild>
                                                </w:div>
                                              </w:divsChild>
                                            </w:div>
                                          </w:divsChild>
                                        </w:div>
                                      </w:divsChild>
                                    </w:div>
                                  </w:divsChild>
                                </w:div>
                              </w:divsChild>
                            </w:div>
                          </w:divsChild>
                        </w:div>
                      </w:divsChild>
                    </w:div>
                  </w:divsChild>
                </w:div>
              </w:divsChild>
            </w:div>
          </w:divsChild>
        </w:div>
      </w:divsChild>
    </w:div>
    <w:div w:id="1011449310">
      <w:bodyDiv w:val="1"/>
      <w:marLeft w:val="0"/>
      <w:marRight w:val="0"/>
      <w:marTop w:val="0"/>
      <w:marBottom w:val="0"/>
      <w:divBdr>
        <w:top w:val="none" w:sz="0" w:space="0" w:color="auto"/>
        <w:left w:val="none" w:sz="0" w:space="0" w:color="auto"/>
        <w:bottom w:val="none" w:sz="0" w:space="0" w:color="auto"/>
        <w:right w:val="none" w:sz="0" w:space="0" w:color="auto"/>
      </w:divBdr>
      <w:divsChild>
        <w:div w:id="230968537">
          <w:marLeft w:val="0"/>
          <w:marRight w:val="0"/>
          <w:marTop w:val="0"/>
          <w:marBottom w:val="0"/>
          <w:divBdr>
            <w:top w:val="none" w:sz="0" w:space="0" w:color="auto"/>
            <w:left w:val="none" w:sz="0" w:space="0" w:color="auto"/>
            <w:bottom w:val="none" w:sz="0" w:space="0" w:color="auto"/>
            <w:right w:val="none" w:sz="0" w:space="0" w:color="auto"/>
          </w:divBdr>
          <w:divsChild>
            <w:div w:id="1925531383">
              <w:marLeft w:val="0"/>
              <w:marRight w:val="0"/>
              <w:marTop w:val="0"/>
              <w:marBottom w:val="0"/>
              <w:divBdr>
                <w:top w:val="none" w:sz="0" w:space="0" w:color="auto"/>
                <w:left w:val="none" w:sz="0" w:space="0" w:color="auto"/>
                <w:bottom w:val="none" w:sz="0" w:space="0" w:color="auto"/>
                <w:right w:val="none" w:sz="0" w:space="0" w:color="auto"/>
              </w:divBdr>
              <w:divsChild>
                <w:div w:id="171652573">
                  <w:marLeft w:val="0"/>
                  <w:marRight w:val="0"/>
                  <w:marTop w:val="0"/>
                  <w:marBottom w:val="0"/>
                  <w:divBdr>
                    <w:top w:val="none" w:sz="0" w:space="0" w:color="auto"/>
                    <w:left w:val="none" w:sz="0" w:space="0" w:color="auto"/>
                    <w:bottom w:val="none" w:sz="0" w:space="0" w:color="auto"/>
                    <w:right w:val="none" w:sz="0" w:space="0" w:color="auto"/>
                  </w:divBdr>
                  <w:divsChild>
                    <w:div w:id="442189676">
                      <w:marLeft w:val="0"/>
                      <w:marRight w:val="0"/>
                      <w:marTop w:val="45"/>
                      <w:marBottom w:val="0"/>
                      <w:divBdr>
                        <w:top w:val="none" w:sz="0" w:space="0" w:color="auto"/>
                        <w:left w:val="none" w:sz="0" w:space="0" w:color="auto"/>
                        <w:bottom w:val="none" w:sz="0" w:space="0" w:color="auto"/>
                        <w:right w:val="none" w:sz="0" w:space="0" w:color="auto"/>
                      </w:divBdr>
                      <w:divsChild>
                        <w:div w:id="868182014">
                          <w:marLeft w:val="0"/>
                          <w:marRight w:val="0"/>
                          <w:marTop w:val="0"/>
                          <w:marBottom w:val="0"/>
                          <w:divBdr>
                            <w:top w:val="none" w:sz="0" w:space="0" w:color="auto"/>
                            <w:left w:val="none" w:sz="0" w:space="0" w:color="auto"/>
                            <w:bottom w:val="none" w:sz="0" w:space="0" w:color="auto"/>
                            <w:right w:val="none" w:sz="0" w:space="0" w:color="auto"/>
                          </w:divBdr>
                          <w:divsChild>
                            <w:div w:id="1492982110">
                              <w:marLeft w:val="2070"/>
                              <w:marRight w:val="3960"/>
                              <w:marTop w:val="0"/>
                              <w:marBottom w:val="0"/>
                              <w:divBdr>
                                <w:top w:val="none" w:sz="0" w:space="0" w:color="auto"/>
                                <w:left w:val="none" w:sz="0" w:space="0" w:color="auto"/>
                                <w:bottom w:val="none" w:sz="0" w:space="0" w:color="auto"/>
                                <w:right w:val="none" w:sz="0" w:space="0" w:color="auto"/>
                              </w:divBdr>
                              <w:divsChild>
                                <w:div w:id="107623880">
                                  <w:marLeft w:val="0"/>
                                  <w:marRight w:val="0"/>
                                  <w:marTop w:val="0"/>
                                  <w:marBottom w:val="0"/>
                                  <w:divBdr>
                                    <w:top w:val="none" w:sz="0" w:space="0" w:color="auto"/>
                                    <w:left w:val="none" w:sz="0" w:space="0" w:color="auto"/>
                                    <w:bottom w:val="none" w:sz="0" w:space="0" w:color="auto"/>
                                    <w:right w:val="none" w:sz="0" w:space="0" w:color="auto"/>
                                  </w:divBdr>
                                  <w:divsChild>
                                    <w:div w:id="857280276">
                                      <w:marLeft w:val="0"/>
                                      <w:marRight w:val="0"/>
                                      <w:marTop w:val="0"/>
                                      <w:marBottom w:val="0"/>
                                      <w:divBdr>
                                        <w:top w:val="none" w:sz="0" w:space="0" w:color="auto"/>
                                        <w:left w:val="none" w:sz="0" w:space="0" w:color="auto"/>
                                        <w:bottom w:val="none" w:sz="0" w:space="0" w:color="auto"/>
                                        <w:right w:val="none" w:sz="0" w:space="0" w:color="auto"/>
                                      </w:divBdr>
                                      <w:divsChild>
                                        <w:div w:id="795753204">
                                          <w:marLeft w:val="0"/>
                                          <w:marRight w:val="0"/>
                                          <w:marTop w:val="0"/>
                                          <w:marBottom w:val="0"/>
                                          <w:divBdr>
                                            <w:top w:val="none" w:sz="0" w:space="0" w:color="auto"/>
                                            <w:left w:val="none" w:sz="0" w:space="0" w:color="auto"/>
                                            <w:bottom w:val="none" w:sz="0" w:space="0" w:color="auto"/>
                                            <w:right w:val="none" w:sz="0" w:space="0" w:color="auto"/>
                                          </w:divBdr>
                                          <w:divsChild>
                                            <w:div w:id="341012132">
                                              <w:marLeft w:val="0"/>
                                              <w:marRight w:val="0"/>
                                              <w:marTop w:val="90"/>
                                              <w:marBottom w:val="0"/>
                                              <w:divBdr>
                                                <w:top w:val="none" w:sz="0" w:space="0" w:color="auto"/>
                                                <w:left w:val="none" w:sz="0" w:space="0" w:color="auto"/>
                                                <w:bottom w:val="none" w:sz="0" w:space="0" w:color="auto"/>
                                                <w:right w:val="none" w:sz="0" w:space="0" w:color="auto"/>
                                              </w:divBdr>
                                              <w:divsChild>
                                                <w:div w:id="644891470">
                                                  <w:marLeft w:val="0"/>
                                                  <w:marRight w:val="0"/>
                                                  <w:marTop w:val="0"/>
                                                  <w:marBottom w:val="0"/>
                                                  <w:divBdr>
                                                    <w:top w:val="none" w:sz="0" w:space="0" w:color="auto"/>
                                                    <w:left w:val="none" w:sz="0" w:space="0" w:color="auto"/>
                                                    <w:bottom w:val="none" w:sz="0" w:space="0" w:color="auto"/>
                                                    <w:right w:val="none" w:sz="0" w:space="0" w:color="auto"/>
                                                  </w:divBdr>
                                                  <w:divsChild>
                                                    <w:div w:id="983119660">
                                                      <w:marLeft w:val="0"/>
                                                      <w:marRight w:val="0"/>
                                                      <w:marTop w:val="0"/>
                                                      <w:marBottom w:val="0"/>
                                                      <w:divBdr>
                                                        <w:top w:val="none" w:sz="0" w:space="0" w:color="auto"/>
                                                        <w:left w:val="none" w:sz="0" w:space="0" w:color="auto"/>
                                                        <w:bottom w:val="none" w:sz="0" w:space="0" w:color="auto"/>
                                                        <w:right w:val="none" w:sz="0" w:space="0" w:color="auto"/>
                                                      </w:divBdr>
                                                      <w:divsChild>
                                                        <w:div w:id="1857766133">
                                                          <w:marLeft w:val="0"/>
                                                          <w:marRight w:val="0"/>
                                                          <w:marTop w:val="0"/>
                                                          <w:marBottom w:val="0"/>
                                                          <w:divBdr>
                                                            <w:top w:val="none" w:sz="0" w:space="0" w:color="auto"/>
                                                            <w:left w:val="none" w:sz="0" w:space="0" w:color="auto"/>
                                                            <w:bottom w:val="none" w:sz="0" w:space="0" w:color="auto"/>
                                                            <w:right w:val="none" w:sz="0" w:space="0" w:color="auto"/>
                                                          </w:divBdr>
                                                          <w:divsChild>
                                                            <w:div w:id="1602102507">
                                                              <w:marLeft w:val="0"/>
                                                              <w:marRight w:val="0"/>
                                                              <w:marTop w:val="0"/>
                                                              <w:marBottom w:val="390"/>
                                                              <w:divBdr>
                                                                <w:top w:val="none" w:sz="0" w:space="0" w:color="auto"/>
                                                                <w:left w:val="none" w:sz="0" w:space="0" w:color="auto"/>
                                                                <w:bottom w:val="none" w:sz="0" w:space="0" w:color="auto"/>
                                                                <w:right w:val="none" w:sz="0" w:space="0" w:color="auto"/>
                                                              </w:divBdr>
                                                              <w:divsChild>
                                                                <w:div w:id="166990652">
                                                                  <w:marLeft w:val="0"/>
                                                                  <w:marRight w:val="0"/>
                                                                  <w:marTop w:val="0"/>
                                                                  <w:marBottom w:val="0"/>
                                                                  <w:divBdr>
                                                                    <w:top w:val="none" w:sz="0" w:space="0" w:color="auto"/>
                                                                    <w:left w:val="none" w:sz="0" w:space="0" w:color="auto"/>
                                                                    <w:bottom w:val="none" w:sz="0" w:space="0" w:color="auto"/>
                                                                    <w:right w:val="none" w:sz="0" w:space="0" w:color="auto"/>
                                                                  </w:divBdr>
                                                                  <w:divsChild>
                                                                    <w:div w:id="1696157031">
                                                                      <w:marLeft w:val="0"/>
                                                                      <w:marRight w:val="0"/>
                                                                      <w:marTop w:val="0"/>
                                                                      <w:marBottom w:val="0"/>
                                                                      <w:divBdr>
                                                                        <w:top w:val="none" w:sz="0" w:space="0" w:color="auto"/>
                                                                        <w:left w:val="none" w:sz="0" w:space="0" w:color="auto"/>
                                                                        <w:bottom w:val="none" w:sz="0" w:space="0" w:color="auto"/>
                                                                        <w:right w:val="none" w:sz="0" w:space="0" w:color="auto"/>
                                                                      </w:divBdr>
                                                                      <w:divsChild>
                                                                        <w:div w:id="168755793">
                                                                          <w:marLeft w:val="0"/>
                                                                          <w:marRight w:val="0"/>
                                                                          <w:marTop w:val="0"/>
                                                                          <w:marBottom w:val="0"/>
                                                                          <w:divBdr>
                                                                            <w:top w:val="none" w:sz="0" w:space="0" w:color="auto"/>
                                                                            <w:left w:val="none" w:sz="0" w:space="0" w:color="auto"/>
                                                                            <w:bottom w:val="none" w:sz="0" w:space="0" w:color="auto"/>
                                                                            <w:right w:val="none" w:sz="0" w:space="0" w:color="auto"/>
                                                                          </w:divBdr>
                                                                          <w:divsChild>
                                                                            <w:div w:id="8102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943744">
                                                              <w:marLeft w:val="0"/>
                                                              <w:marRight w:val="0"/>
                                                              <w:marTop w:val="0"/>
                                                              <w:marBottom w:val="390"/>
                                                              <w:divBdr>
                                                                <w:top w:val="none" w:sz="0" w:space="0" w:color="auto"/>
                                                                <w:left w:val="none" w:sz="0" w:space="0" w:color="auto"/>
                                                                <w:bottom w:val="none" w:sz="0" w:space="0" w:color="auto"/>
                                                                <w:right w:val="none" w:sz="0" w:space="0" w:color="auto"/>
                                                              </w:divBdr>
                                                              <w:divsChild>
                                                                <w:div w:id="2105148517">
                                                                  <w:marLeft w:val="0"/>
                                                                  <w:marRight w:val="0"/>
                                                                  <w:marTop w:val="0"/>
                                                                  <w:marBottom w:val="0"/>
                                                                  <w:divBdr>
                                                                    <w:top w:val="none" w:sz="0" w:space="0" w:color="auto"/>
                                                                    <w:left w:val="none" w:sz="0" w:space="0" w:color="auto"/>
                                                                    <w:bottom w:val="none" w:sz="0" w:space="0" w:color="auto"/>
                                                                    <w:right w:val="none" w:sz="0" w:space="0" w:color="auto"/>
                                                                  </w:divBdr>
                                                                  <w:divsChild>
                                                                    <w:div w:id="480582865">
                                                                      <w:marLeft w:val="0"/>
                                                                      <w:marRight w:val="0"/>
                                                                      <w:marTop w:val="0"/>
                                                                      <w:marBottom w:val="0"/>
                                                                      <w:divBdr>
                                                                        <w:top w:val="none" w:sz="0" w:space="0" w:color="auto"/>
                                                                        <w:left w:val="none" w:sz="0" w:space="0" w:color="auto"/>
                                                                        <w:bottom w:val="none" w:sz="0" w:space="0" w:color="auto"/>
                                                                        <w:right w:val="none" w:sz="0" w:space="0" w:color="auto"/>
                                                                      </w:divBdr>
                                                                      <w:divsChild>
                                                                        <w:div w:id="81298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9231742">
      <w:bodyDiv w:val="1"/>
      <w:marLeft w:val="0"/>
      <w:marRight w:val="0"/>
      <w:marTop w:val="0"/>
      <w:marBottom w:val="0"/>
      <w:divBdr>
        <w:top w:val="none" w:sz="0" w:space="0" w:color="auto"/>
        <w:left w:val="none" w:sz="0" w:space="0" w:color="auto"/>
        <w:bottom w:val="none" w:sz="0" w:space="0" w:color="auto"/>
        <w:right w:val="none" w:sz="0" w:space="0" w:color="auto"/>
      </w:divBdr>
    </w:div>
    <w:div w:id="1214195116">
      <w:bodyDiv w:val="1"/>
      <w:marLeft w:val="0"/>
      <w:marRight w:val="0"/>
      <w:marTop w:val="0"/>
      <w:marBottom w:val="0"/>
      <w:divBdr>
        <w:top w:val="none" w:sz="0" w:space="0" w:color="auto"/>
        <w:left w:val="none" w:sz="0" w:space="0" w:color="auto"/>
        <w:bottom w:val="none" w:sz="0" w:space="0" w:color="auto"/>
        <w:right w:val="none" w:sz="0" w:space="0" w:color="auto"/>
      </w:divBdr>
      <w:divsChild>
        <w:div w:id="2110923947">
          <w:marLeft w:val="0"/>
          <w:marRight w:val="0"/>
          <w:marTop w:val="0"/>
          <w:marBottom w:val="0"/>
          <w:divBdr>
            <w:top w:val="none" w:sz="0" w:space="0" w:color="auto"/>
            <w:left w:val="none" w:sz="0" w:space="0" w:color="auto"/>
            <w:bottom w:val="single" w:sz="6" w:space="0" w:color="0C64A0"/>
            <w:right w:val="none" w:sz="0" w:space="0" w:color="auto"/>
          </w:divBdr>
          <w:divsChild>
            <w:div w:id="1252395332">
              <w:marLeft w:val="0"/>
              <w:marRight w:val="0"/>
              <w:marTop w:val="0"/>
              <w:marBottom w:val="0"/>
              <w:divBdr>
                <w:top w:val="none" w:sz="0" w:space="0" w:color="auto"/>
                <w:left w:val="none" w:sz="0" w:space="0" w:color="auto"/>
                <w:bottom w:val="none" w:sz="0" w:space="0" w:color="auto"/>
                <w:right w:val="none" w:sz="0" w:space="0" w:color="auto"/>
              </w:divBdr>
              <w:divsChild>
                <w:div w:id="804659294">
                  <w:marLeft w:val="0"/>
                  <w:marRight w:val="0"/>
                  <w:marTop w:val="0"/>
                  <w:marBottom w:val="0"/>
                  <w:divBdr>
                    <w:top w:val="none" w:sz="0" w:space="0" w:color="auto"/>
                    <w:left w:val="none" w:sz="0" w:space="0" w:color="auto"/>
                    <w:bottom w:val="none" w:sz="0" w:space="0" w:color="auto"/>
                    <w:right w:val="none" w:sz="0" w:space="0" w:color="auto"/>
                  </w:divBdr>
                  <w:divsChild>
                    <w:div w:id="120586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858863">
      <w:bodyDiv w:val="1"/>
      <w:marLeft w:val="0"/>
      <w:marRight w:val="0"/>
      <w:marTop w:val="0"/>
      <w:marBottom w:val="0"/>
      <w:divBdr>
        <w:top w:val="none" w:sz="0" w:space="0" w:color="auto"/>
        <w:left w:val="none" w:sz="0" w:space="0" w:color="auto"/>
        <w:bottom w:val="none" w:sz="0" w:space="0" w:color="auto"/>
        <w:right w:val="none" w:sz="0" w:space="0" w:color="auto"/>
      </w:divBdr>
    </w:div>
    <w:div w:id="1544445992">
      <w:bodyDiv w:val="1"/>
      <w:marLeft w:val="0"/>
      <w:marRight w:val="0"/>
      <w:marTop w:val="0"/>
      <w:marBottom w:val="0"/>
      <w:divBdr>
        <w:top w:val="none" w:sz="0" w:space="0" w:color="auto"/>
        <w:left w:val="none" w:sz="0" w:space="0" w:color="auto"/>
        <w:bottom w:val="none" w:sz="0" w:space="0" w:color="auto"/>
        <w:right w:val="none" w:sz="0" w:space="0" w:color="auto"/>
      </w:divBdr>
      <w:divsChild>
        <w:div w:id="258756466">
          <w:marLeft w:val="0"/>
          <w:marRight w:val="0"/>
          <w:marTop w:val="0"/>
          <w:marBottom w:val="0"/>
          <w:divBdr>
            <w:top w:val="none" w:sz="0" w:space="0" w:color="auto"/>
            <w:left w:val="none" w:sz="0" w:space="0" w:color="auto"/>
            <w:bottom w:val="none" w:sz="0" w:space="0" w:color="auto"/>
            <w:right w:val="none" w:sz="0" w:space="0" w:color="auto"/>
          </w:divBdr>
          <w:divsChild>
            <w:div w:id="1846557577">
              <w:marLeft w:val="0"/>
              <w:marRight w:val="0"/>
              <w:marTop w:val="0"/>
              <w:marBottom w:val="0"/>
              <w:divBdr>
                <w:top w:val="none" w:sz="0" w:space="0" w:color="auto"/>
                <w:left w:val="none" w:sz="0" w:space="0" w:color="auto"/>
                <w:bottom w:val="none" w:sz="0" w:space="0" w:color="auto"/>
                <w:right w:val="none" w:sz="0" w:space="0" w:color="auto"/>
              </w:divBdr>
              <w:divsChild>
                <w:div w:id="133634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487201">
      <w:bodyDiv w:val="1"/>
      <w:marLeft w:val="0"/>
      <w:marRight w:val="0"/>
      <w:marTop w:val="0"/>
      <w:marBottom w:val="0"/>
      <w:divBdr>
        <w:top w:val="none" w:sz="0" w:space="0" w:color="auto"/>
        <w:left w:val="none" w:sz="0" w:space="0" w:color="auto"/>
        <w:bottom w:val="none" w:sz="0" w:space="0" w:color="auto"/>
        <w:right w:val="none" w:sz="0" w:space="0" w:color="auto"/>
      </w:divBdr>
    </w:div>
    <w:div w:id="1796562831">
      <w:bodyDiv w:val="1"/>
      <w:marLeft w:val="0"/>
      <w:marRight w:val="0"/>
      <w:marTop w:val="0"/>
      <w:marBottom w:val="0"/>
      <w:divBdr>
        <w:top w:val="none" w:sz="0" w:space="0" w:color="auto"/>
        <w:left w:val="none" w:sz="0" w:space="0" w:color="auto"/>
        <w:bottom w:val="none" w:sz="0" w:space="0" w:color="auto"/>
        <w:right w:val="none" w:sz="0" w:space="0" w:color="auto"/>
      </w:divBdr>
      <w:divsChild>
        <w:div w:id="449976004">
          <w:marLeft w:val="0"/>
          <w:marRight w:val="0"/>
          <w:marTop w:val="0"/>
          <w:marBottom w:val="0"/>
          <w:divBdr>
            <w:top w:val="none" w:sz="0" w:space="0" w:color="auto"/>
            <w:left w:val="none" w:sz="0" w:space="0" w:color="auto"/>
            <w:bottom w:val="none" w:sz="0" w:space="0" w:color="auto"/>
            <w:right w:val="none" w:sz="0" w:space="0" w:color="auto"/>
          </w:divBdr>
          <w:divsChild>
            <w:div w:id="1290163964">
              <w:marLeft w:val="0"/>
              <w:marRight w:val="0"/>
              <w:marTop w:val="0"/>
              <w:marBottom w:val="0"/>
              <w:divBdr>
                <w:top w:val="none" w:sz="0" w:space="0" w:color="auto"/>
                <w:left w:val="none" w:sz="0" w:space="0" w:color="auto"/>
                <w:bottom w:val="none" w:sz="0" w:space="0" w:color="auto"/>
                <w:right w:val="none" w:sz="0" w:space="0" w:color="auto"/>
              </w:divBdr>
              <w:divsChild>
                <w:div w:id="692997741">
                  <w:marLeft w:val="0"/>
                  <w:marRight w:val="0"/>
                  <w:marTop w:val="0"/>
                  <w:marBottom w:val="0"/>
                  <w:divBdr>
                    <w:top w:val="none" w:sz="0" w:space="0" w:color="auto"/>
                    <w:left w:val="none" w:sz="0" w:space="0" w:color="auto"/>
                    <w:bottom w:val="none" w:sz="0" w:space="0" w:color="auto"/>
                    <w:right w:val="none" w:sz="0" w:space="0" w:color="auto"/>
                  </w:divBdr>
                  <w:divsChild>
                    <w:div w:id="856426871">
                      <w:marLeft w:val="0"/>
                      <w:marRight w:val="0"/>
                      <w:marTop w:val="0"/>
                      <w:marBottom w:val="0"/>
                      <w:divBdr>
                        <w:top w:val="none" w:sz="0" w:space="0" w:color="auto"/>
                        <w:left w:val="none" w:sz="0" w:space="0" w:color="auto"/>
                        <w:bottom w:val="none" w:sz="0" w:space="0" w:color="auto"/>
                        <w:right w:val="none" w:sz="0" w:space="0" w:color="auto"/>
                      </w:divBdr>
                      <w:divsChild>
                        <w:div w:id="653218032">
                          <w:marLeft w:val="0"/>
                          <w:marRight w:val="0"/>
                          <w:marTop w:val="0"/>
                          <w:marBottom w:val="0"/>
                          <w:divBdr>
                            <w:top w:val="none" w:sz="0" w:space="0" w:color="auto"/>
                            <w:left w:val="none" w:sz="0" w:space="0" w:color="auto"/>
                            <w:bottom w:val="none" w:sz="0" w:space="0" w:color="auto"/>
                            <w:right w:val="none" w:sz="0" w:space="0" w:color="auto"/>
                          </w:divBdr>
                          <w:divsChild>
                            <w:div w:id="9700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4356803">
      <w:bodyDiv w:val="1"/>
      <w:marLeft w:val="0"/>
      <w:marRight w:val="0"/>
      <w:marTop w:val="0"/>
      <w:marBottom w:val="0"/>
      <w:divBdr>
        <w:top w:val="none" w:sz="0" w:space="0" w:color="auto"/>
        <w:left w:val="none" w:sz="0" w:space="0" w:color="auto"/>
        <w:bottom w:val="none" w:sz="0" w:space="0" w:color="auto"/>
        <w:right w:val="none" w:sz="0" w:space="0" w:color="auto"/>
      </w:divBdr>
      <w:divsChild>
        <w:div w:id="784156563">
          <w:marLeft w:val="0"/>
          <w:marRight w:val="0"/>
          <w:marTop w:val="0"/>
          <w:marBottom w:val="0"/>
          <w:divBdr>
            <w:top w:val="none" w:sz="0" w:space="0" w:color="auto"/>
            <w:left w:val="none" w:sz="0" w:space="0" w:color="auto"/>
            <w:bottom w:val="none" w:sz="0" w:space="0" w:color="auto"/>
            <w:right w:val="none" w:sz="0" w:space="0" w:color="auto"/>
          </w:divBdr>
          <w:divsChild>
            <w:div w:id="861552175">
              <w:marLeft w:val="-225"/>
              <w:marRight w:val="-225"/>
              <w:marTop w:val="0"/>
              <w:marBottom w:val="0"/>
              <w:divBdr>
                <w:top w:val="none" w:sz="0" w:space="0" w:color="auto"/>
                <w:left w:val="none" w:sz="0" w:space="0" w:color="auto"/>
                <w:bottom w:val="none" w:sz="0" w:space="0" w:color="auto"/>
                <w:right w:val="none" w:sz="0" w:space="0" w:color="auto"/>
              </w:divBdr>
              <w:divsChild>
                <w:div w:id="1363172753">
                  <w:marLeft w:val="0"/>
                  <w:marRight w:val="0"/>
                  <w:marTop w:val="0"/>
                  <w:marBottom w:val="0"/>
                  <w:divBdr>
                    <w:top w:val="none" w:sz="0" w:space="0" w:color="auto"/>
                    <w:left w:val="none" w:sz="0" w:space="0" w:color="auto"/>
                    <w:bottom w:val="none" w:sz="0" w:space="0" w:color="auto"/>
                    <w:right w:val="none" w:sz="0" w:space="0" w:color="auto"/>
                  </w:divBdr>
                  <w:divsChild>
                    <w:div w:id="1744720043">
                      <w:marLeft w:val="-225"/>
                      <w:marRight w:val="-225"/>
                      <w:marTop w:val="0"/>
                      <w:marBottom w:val="0"/>
                      <w:divBdr>
                        <w:top w:val="none" w:sz="0" w:space="0" w:color="auto"/>
                        <w:left w:val="none" w:sz="0" w:space="0" w:color="auto"/>
                        <w:bottom w:val="none" w:sz="0" w:space="0" w:color="auto"/>
                        <w:right w:val="none" w:sz="0" w:space="0" w:color="auto"/>
                      </w:divBdr>
                      <w:divsChild>
                        <w:div w:id="249855898">
                          <w:marLeft w:val="0"/>
                          <w:marRight w:val="0"/>
                          <w:marTop w:val="0"/>
                          <w:marBottom w:val="0"/>
                          <w:divBdr>
                            <w:top w:val="none" w:sz="0" w:space="0" w:color="auto"/>
                            <w:left w:val="none" w:sz="0" w:space="0" w:color="auto"/>
                            <w:bottom w:val="none" w:sz="0" w:space="0" w:color="auto"/>
                            <w:right w:val="none" w:sz="0" w:space="0" w:color="auto"/>
                          </w:divBdr>
                          <w:divsChild>
                            <w:div w:id="822619857">
                              <w:marLeft w:val="0"/>
                              <w:marRight w:val="0"/>
                              <w:marTop w:val="0"/>
                              <w:marBottom w:val="0"/>
                              <w:divBdr>
                                <w:top w:val="none" w:sz="0" w:space="0" w:color="auto"/>
                                <w:left w:val="none" w:sz="0" w:space="0" w:color="auto"/>
                                <w:bottom w:val="none" w:sz="0" w:space="0" w:color="auto"/>
                                <w:right w:val="none" w:sz="0" w:space="0" w:color="auto"/>
                              </w:divBdr>
                              <w:divsChild>
                                <w:div w:id="310601810">
                                  <w:marLeft w:val="0"/>
                                  <w:marRight w:val="0"/>
                                  <w:marTop w:val="0"/>
                                  <w:marBottom w:val="0"/>
                                  <w:divBdr>
                                    <w:top w:val="none" w:sz="0" w:space="0" w:color="auto"/>
                                    <w:left w:val="none" w:sz="0" w:space="0" w:color="auto"/>
                                    <w:bottom w:val="none" w:sz="0" w:space="0" w:color="auto"/>
                                    <w:right w:val="none" w:sz="0" w:space="0" w:color="auto"/>
                                  </w:divBdr>
                                  <w:divsChild>
                                    <w:div w:id="1419328413">
                                      <w:marLeft w:val="0"/>
                                      <w:marRight w:val="0"/>
                                      <w:marTop w:val="0"/>
                                      <w:marBottom w:val="0"/>
                                      <w:divBdr>
                                        <w:top w:val="none" w:sz="0" w:space="0" w:color="auto"/>
                                        <w:left w:val="none" w:sz="0" w:space="0" w:color="auto"/>
                                        <w:bottom w:val="none" w:sz="0" w:space="0" w:color="auto"/>
                                        <w:right w:val="none" w:sz="0" w:space="0" w:color="auto"/>
                                      </w:divBdr>
                                      <w:divsChild>
                                        <w:div w:id="91574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9716102">
      <w:bodyDiv w:val="1"/>
      <w:marLeft w:val="0"/>
      <w:marRight w:val="0"/>
      <w:marTop w:val="0"/>
      <w:marBottom w:val="0"/>
      <w:divBdr>
        <w:top w:val="none" w:sz="0" w:space="0" w:color="auto"/>
        <w:left w:val="none" w:sz="0" w:space="0" w:color="auto"/>
        <w:bottom w:val="none" w:sz="0" w:space="0" w:color="auto"/>
        <w:right w:val="none" w:sz="0" w:space="0" w:color="auto"/>
      </w:divBdr>
    </w:div>
    <w:div w:id="2096201576">
      <w:bodyDiv w:val="1"/>
      <w:marLeft w:val="0"/>
      <w:marRight w:val="0"/>
      <w:marTop w:val="0"/>
      <w:marBottom w:val="0"/>
      <w:divBdr>
        <w:top w:val="none" w:sz="0" w:space="0" w:color="auto"/>
        <w:left w:val="none" w:sz="0" w:space="0" w:color="auto"/>
        <w:bottom w:val="none" w:sz="0" w:space="0" w:color="auto"/>
        <w:right w:val="none" w:sz="0" w:space="0" w:color="auto"/>
      </w:divBdr>
      <w:divsChild>
        <w:div w:id="2046253969">
          <w:marLeft w:val="0"/>
          <w:marRight w:val="0"/>
          <w:marTop w:val="0"/>
          <w:marBottom w:val="0"/>
          <w:divBdr>
            <w:top w:val="none" w:sz="0" w:space="0" w:color="auto"/>
            <w:left w:val="none" w:sz="0" w:space="0" w:color="auto"/>
            <w:bottom w:val="none" w:sz="0" w:space="0" w:color="auto"/>
            <w:right w:val="none" w:sz="0" w:space="0" w:color="auto"/>
          </w:divBdr>
          <w:divsChild>
            <w:div w:id="50350328">
              <w:marLeft w:val="0"/>
              <w:marRight w:val="0"/>
              <w:marTop w:val="0"/>
              <w:marBottom w:val="0"/>
              <w:divBdr>
                <w:top w:val="none" w:sz="0" w:space="0" w:color="auto"/>
                <w:left w:val="none" w:sz="0" w:space="0" w:color="auto"/>
                <w:bottom w:val="none" w:sz="0" w:space="0" w:color="auto"/>
                <w:right w:val="none" w:sz="0" w:space="0" w:color="auto"/>
              </w:divBdr>
              <w:divsChild>
                <w:div w:id="1078284931">
                  <w:marLeft w:val="0"/>
                  <w:marRight w:val="0"/>
                  <w:marTop w:val="0"/>
                  <w:marBottom w:val="0"/>
                  <w:divBdr>
                    <w:top w:val="none" w:sz="0" w:space="0" w:color="auto"/>
                    <w:left w:val="none" w:sz="0" w:space="0" w:color="auto"/>
                    <w:bottom w:val="none" w:sz="0" w:space="0" w:color="auto"/>
                    <w:right w:val="none" w:sz="0" w:space="0" w:color="auto"/>
                  </w:divBdr>
                  <w:divsChild>
                    <w:div w:id="33666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06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creativecommons.org/licenses/by/3.0/au/"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creativecommons.org/licenses/by/3.0/au/legalcod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accc.gov.au/public-registers/class-exemptions-register/collective-bargaining-class-exemption" TargetMode="External"/><Relationship Id="rId13" Type="http://schemas.openxmlformats.org/officeDocument/2006/relationships/hyperlink" Target="https://www.accc.gov.au/system/files/NSW%2520Small%2520Business%2520Commissioner.pdf" TargetMode="External"/><Relationship Id="rId18" Type="http://schemas.openxmlformats.org/officeDocument/2006/relationships/hyperlink" Target="https://www.legislation.gov.au/Details/F2014L01472/Explanatory%20Statement/Text" TargetMode="External"/><Relationship Id="rId3" Type="http://schemas.openxmlformats.org/officeDocument/2006/relationships/hyperlink" Target="https://static.treasury.gov.au/uploads/sites/1/2017/06/C2016-052_Australian-Automotive-Dealer-Association.pdf" TargetMode="External"/><Relationship Id="rId21" Type="http://schemas.openxmlformats.org/officeDocument/2006/relationships/hyperlink" Target="https://www.mtaa.com.au/images/docs/brochure.pdf" TargetMode="External"/><Relationship Id="rId7" Type="http://schemas.openxmlformats.org/officeDocument/2006/relationships/hyperlink" Target="https://www.aph.gov.au/Parliamentary_Business/Committees/Joint/Corporations_and_Financial_Services/Completed_inquiries/2008-10/franchising/report/index" TargetMode="External"/><Relationship Id="rId12" Type="http://schemas.openxmlformats.org/officeDocument/2006/relationships/hyperlink" Target="https://static.treasury.gov.au/uploads/sites/1/2017/06/Australian-Competition-and-Consumer-Commission-Supplementary-Submission.pdf" TargetMode="External"/><Relationship Id="rId17" Type="http://schemas.openxmlformats.org/officeDocument/2006/relationships/hyperlink" Target="http://archive.treasury.gov.au/documents/1131/PDF/final_report.pdf" TargetMode="External"/><Relationship Id="rId2" Type="http://schemas.openxmlformats.org/officeDocument/2006/relationships/hyperlink" Target="https://docs.jobs.gov.au/system/files/doc/other/review_of_the_franchising_code_of_conduct.pdf" TargetMode="External"/><Relationship Id="rId16" Type="http://schemas.openxmlformats.org/officeDocument/2006/relationships/hyperlink" Target="https://www.accc.gov.au/system/files/New%20South%20Wales%20Small%20Business%20Commissioner%20-%20September%202017.pdf" TargetMode="External"/><Relationship Id="rId20" Type="http://schemas.openxmlformats.org/officeDocument/2006/relationships/hyperlink" Target="https://www.stuff.co.nz/business/102686931/Toyota-NZ-ditches-dealerships-for-stores-in-big-changes-to-sales-methods" TargetMode="External"/><Relationship Id="rId1" Type="http://schemas.openxmlformats.org/officeDocument/2006/relationships/hyperlink" Target="https://www.accc.gov.au/system/files/New%20car%20retailing%20industry%20final%20report_0.pdf" TargetMode="External"/><Relationship Id="rId6" Type="http://schemas.openxmlformats.org/officeDocument/2006/relationships/hyperlink" Target="http://automotivedealer.com.au/the-changing-landscape-of-an-automotive-dealerships-profitability/" TargetMode="External"/><Relationship Id="rId11" Type="http://schemas.openxmlformats.org/officeDocument/2006/relationships/hyperlink" Target="https://www.accc.gov.au/business/industry-codes/franchising-code-of-conduct/acting-in-good-faith" TargetMode="External"/><Relationship Id="rId5" Type="http://schemas.openxmlformats.org/officeDocument/2006/relationships/hyperlink" Target="https://asic.gov.au/about-asic/news-centre/articles-and-responses/add-on-insurance-and-flex-commission-practices/" TargetMode="External"/><Relationship Id="rId15" Type="http://schemas.openxmlformats.org/officeDocument/2006/relationships/hyperlink" Target="https://www.accc.gov.au/system/files/Australian%20Automotive%20Dealer%20Association%20-%20supplementary%20submission%20-%20October%202017_0.pdf" TargetMode="External"/><Relationship Id="rId10" Type="http://schemas.openxmlformats.org/officeDocument/2006/relationships/hyperlink" Target="https://www.apeagers.com.au/apeagers-company-info/" TargetMode="External"/><Relationship Id="rId19" Type="http://schemas.openxmlformats.org/officeDocument/2006/relationships/hyperlink" Target="https://www.ey.com/Publication/vwLUAssets/EY-future-of-automotive-retail/$FILE/EY-future-of-automotive-retail.pdf" TargetMode="External"/><Relationship Id="rId4" Type="http://schemas.openxmlformats.org/officeDocument/2006/relationships/hyperlink" Target="https://www.eprofitfocus.com/media/1440/055388_motor_industry_services_benchmark_au2018.pdf" TargetMode="External"/><Relationship Id="rId9" Type="http://schemas.openxmlformats.org/officeDocument/2006/relationships/hyperlink" Target="https://www.abc.net.au/news/2017-08-17/holden-shuts-down-franchises/8815564" TargetMode="External"/><Relationship Id="rId14" Type="http://schemas.openxmlformats.org/officeDocument/2006/relationships/hyperlink" Target="https://s3-ap-southeast-2.amazonaws.com/wh1.thewebconsole.com/wh/1401/images/Franchising-report-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Comments xmlns="http://schemas.microsoft.com/sharepoint/v3" xsi:nil="true"/>
    <pe2555c81638466f9eb614edb9ecde52 xmlns="f7542fce-ffe0-493b-b9b7-89db4158a116">
      <Terms xmlns="http://schemas.microsoft.com/office/infopath/2007/PartnerControls">
        <TermInfo xmlns="http://schemas.microsoft.com/office/infopath/2007/PartnerControls">
          <TermName xmlns="http://schemas.microsoft.com/office/infopath/2007/PartnerControls">Paper</TermName>
          <TermId xmlns="http://schemas.microsoft.com/office/infopath/2007/PartnerControls">4fd73e9f-ceb6-4d3f-8d1d-e6ca9b922532</TermId>
        </TermInfo>
      </Terms>
    </pe2555c81638466f9eb614edb9ecde52>
    <TaxCatchAll xmlns="f7542fce-ffe0-493b-b9b7-89db4158a116">
      <Value>354</Value>
      <Value>2151</Value>
      <Value>8</Value>
      <Value>56</Value>
      <Value>3</Value>
      <Value>626</Value>
    </TaxCatchAll>
    <g7bcb40ba23249a78edca7d43a67c1c9 xmlns="f7542fce-ffe0-493b-b9b7-89db4158a116">
      <Terms xmlns="http://schemas.microsoft.com/office/infopath/2007/PartnerControls">
        <TermInfo xmlns="http://schemas.microsoft.com/office/infopath/2007/PartnerControls">
          <TermName xmlns="http://schemas.microsoft.com/office/infopath/2007/PartnerControls">Analysis</TermName>
          <TermId xmlns="http://schemas.microsoft.com/office/infopath/2007/PartnerControls">f03549ca-48e3-445d-9616-5df11514ff56</TermId>
        </TermInfo>
      </Terms>
    </g7bcb40ba23249a78edca7d43a67c1c9>
    <n99e4c9942c6404eb103464a00e6097b xmlns="f7542fce-ffe0-493b-b9b7-89db4158a116">
      <Terms xmlns="http://schemas.microsoft.com/office/infopath/2007/PartnerControls">
        <TermInfo xmlns="http://schemas.microsoft.com/office/infopath/2007/PartnerControls">
          <TermName xmlns="http://schemas.microsoft.com/office/infopath/2007/PartnerControls">2018</TermName>
          <TermId xmlns="http://schemas.microsoft.com/office/infopath/2007/PartnerControls">224abc7b-6f7e-4064-b773-6750976429b5</TermId>
        </TermInfo>
      </Terms>
    </n99e4c9942c6404eb103464a00e6097b>
    <adb9bed2e36e4a93af574aeb444da63e xmlns="f7542fce-ffe0-493b-b9b7-89db4158a116">
      <Terms xmlns="http://schemas.microsoft.com/office/infopath/2007/PartnerControls">
        <TermInfo xmlns="http://schemas.microsoft.com/office/infopath/2007/PartnerControls">
          <TermName xmlns="http://schemas.microsoft.com/office/infopath/2007/PartnerControls">Automotive</TermName>
          <TermId xmlns="http://schemas.microsoft.com/office/infopath/2007/PartnerControls">61633624-6cbf-408a-b563-a3a51dab0160</TermId>
        </TermInfo>
        <TermInfo xmlns="http://schemas.microsoft.com/office/infopath/2007/PartnerControls">
          <TermName xmlns="http://schemas.microsoft.com/office/infopath/2007/PartnerControls">franchise agreement</TermName>
          <TermId xmlns="http://schemas.microsoft.com/office/infopath/2007/PartnerControls">5ebb6de5-6dca-44f9-b8a0-60eb79955dbd</TermId>
        </TermInfo>
      </Terms>
    </adb9bed2e36e4a93af574aeb444da63e>
    <aa25a1a23adf4c92a153145de6afe324 xmlns="f7542fce-ffe0-493b-b9b7-89db4158a116">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6106d03b-a1a0-4e30-9d91-d5e9fb4314f9</TermId>
        </TermInfo>
      </Terms>
    </aa25a1a23adf4c92a153145de6afe324>
    <_dlc_DocId xmlns="f7542fce-ffe0-493b-b9b7-89db4158a116">A3PSR54DD4M5-716017006-357</_dlc_DocId>
    <_dlc_DocIdUrl xmlns="f7542fce-ffe0-493b-b9b7-89db4158a116">
      <Url>https://dochub/div/sectoralgrowthpolicy/businessfunctions/divisionalcabsubbrief/_layouts/15/DocIdRedir.aspx?ID=A3PSR54DD4M5-716017006-357</Url>
      <Description>A3PSR54DD4M5-716017006-357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72DFAECE4238E4581A4CECA81155BB8" ma:contentTypeVersion="14" ma:contentTypeDescription="Create a new document." ma:contentTypeScope="" ma:versionID="4cf8e122e5d63c8f34bd0292c8f5ca3f">
  <xsd:schema xmlns:xsd="http://www.w3.org/2001/XMLSchema" xmlns:xs="http://www.w3.org/2001/XMLSchema" xmlns:p="http://schemas.microsoft.com/office/2006/metadata/properties" xmlns:ns1="http://schemas.microsoft.com/sharepoint/v3" xmlns:ns2="f7542fce-ffe0-493b-b9b7-89db4158a116" xmlns:ns3="498945f5-0448-4b4c-97d9-fcd4d7a5a1b1" xmlns:ns4="http://schemas.microsoft.com/sharepoint/v4" targetNamespace="http://schemas.microsoft.com/office/2006/metadata/properties" ma:root="true" ma:fieldsID="4b08b11fcc47353982ffcb7a4d4281ab" ns1:_="" ns2:_="" ns3:_="" ns4:_="">
    <xsd:import namespace="http://schemas.microsoft.com/sharepoint/v3"/>
    <xsd:import namespace="f7542fce-ffe0-493b-b9b7-89db4158a116"/>
    <xsd:import namespace="498945f5-0448-4b4c-97d9-fcd4d7a5a1b1"/>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a25a1a23adf4c92a153145de6afe324" minOccurs="0"/>
                <xsd:element ref="ns2:TaxCatchAll" minOccurs="0"/>
                <xsd:element ref="ns2:pe2555c81638466f9eb614edb9ecde52" minOccurs="0"/>
                <xsd:element ref="ns2:g7bcb40ba23249a78edca7d43a67c1c9" minOccurs="0"/>
                <xsd:element ref="ns2:adb9bed2e36e4a93af574aeb444da63e" minOccurs="0"/>
                <xsd:element ref="ns2:n99e4c9942c6404eb103464a00e6097b" minOccurs="0"/>
                <xsd:element ref="ns1:Comments" minOccurs="0"/>
                <xsd:element ref="ns3: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2"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542fce-ffe0-493b-b9b7-89db4158a1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a25a1a23adf4c92a153145de6afe324" ma:index="12" ma:taxonomy="true" ma:internalName="aa25a1a23adf4c92a153145de6afe324" ma:taxonomyFieldName="DocHub_SecurityClassification" ma:displayName="Security Classification" ma:fieldId="{aa25a1a2-3adf-4c92-a153-145de6afe324}" ma:sspId="fb0313f7-9433-48c0-866e-9e0bbee59a50" ma:termSetId="f68a6a0b-bd85-4d9d-9c73-c45af096016b"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32c53e56-ba7a-482a-8980-6f177a156077}" ma:internalName="TaxCatchAll" ma:showField="CatchAllData" ma:web="498945f5-0448-4b4c-97d9-fcd4d7a5a1b1">
      <xsd:complexType>
        <xsd:complexContent>
          <xsd:extension base="dms:MultiChoiceLookup">
            <xsd:sequence>
              <xsd:element name="Value" type="dms:Lookup" maxOccurs="unbounded" minOccurs="0" nillable="true"/>
            </xsd:sequence>
          </xsd:extension>
        </xsd:complexContent>
      </xsd:complexType>
    </xsd:element>
    <xsd:element name="pe2555c81638466f9eb614edb9ecde52" ma:index="15" ma:taxonomy="true" ma:internalName="pe2555c81638466f9eb614edb9ecde52" ma:taxonomyFieldName="DocHub_DocumentType" ma:displayName="Document Type" ma:indexed="true" ma:fieldId="{9e2555c8-1638-466f-9eb6-14edb9ecde52}" ma:sspId="fb0313f7-9433-48c0-866e-9e0bbee59a50" ma:termSetId="0e4c18c5-28eb-4f9e-8056-b3cddd4b5d9b" ma:anchorId="00000000-0000-0000-0000-000000000000" ma:open="false" ma:isKeyword="false">
      <xsd:complexType>
        <xsd:sequence>
          <xsd:element ref="pc:Terms" minOccurs="0" maxOccurs="1"/>
        </xsd:sequence>
      </xsd:complexType>
    </xsd:element>
    <xsd:element name="g7bcb40ba23249a78edca7d43a67c1c9" ma:index="17" nillable="true" ma:taxonomy="true" ma:internalName="g7bcb40ba23249a78edca7d43a67c1c9" ma:taxonomyFieldName="DocHub_WorkActivity" ma:displayName="Work Activity" ma:indexed="true" ma:fieldId="{07bcb40b-a232-49a7-8edc-a7d43a67c1c9}" ma:sspId="fb0313f7-9433-48c0-866e-9e0bbee59a50" ma:termSetId="6713ebbd-194a-499f-ab84-a4d70e145fb7" ma:anchorId="00000000-0000-0000-0000-000000000000" ma:open="false" ma:isKeyword="false">
      <xsd:complexType>
        <xsd:sequence>
          <xsd:element ref="pc:Terms" minOccurs="0" maxOccurs="1"/>
        </xsd:sequence>
      </xsd:complexType>
    </xsd:element>
    <xsd:element name="adb9bed2e36e4a93af574aeb444da63e" ma:index="19" nillable="true" ma:taxonomy="true" ma:internalName="adb9bed2e36e4a93af574aeb444da63e" ma:taxonomyFieldName="DocHub_Keywords" ma:displayName="Division Keywords" ma:fieldId="{adb9bed2-e36e-4a93-af57-4aeb444da63e}" ma:taxonomyMulti="true" ma:sspId="fb0313f7-9433-48c0-866e-9e0bbee59a50" ma:termSetId="2bfc713d-067c-4d39-b284-75f65e0f335d" ma:anchorId="00000000-0000-0000-0000-000000000000" ma:open="true" ma:isKeyword="false">
      <xsd:complexType>
        <xsd:sequence>
          <xsd:element ref="pc:Terms" minOccurs="0" maxOccurs="1"/>
        </xsd:sequence>
      </xsd:complexType>
    </xsd:element>
    <xsd:element name="n99e4c9942c6404eb103464a00e6097b" ma:index="21" nillable="true" ma:taxonomy="true" ma:internalName="n99e4c9942c6404eb103464a00e6097b" ma:taxonomyFieldName="DocHub_Year" ma:displayName="Year" ma:indexed="true" ma:fieldId="{799e4c99-42c6-404e-b103-464a00e6097b}" ma:sspId="fb0313f7-9433-48c0-866e-9e0bbee59a50" ma:termSetId="07e1743d-d980-4fe7-a67d-b87ecf7f18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8945f5-0448-4b4c-97d9-fcd4d7a5a1b1" elementFormDefault="qualified">
    <xsd:import namespace="http://schemas.microsoft.com/office/2006/documentManagement/types"/>
    <xsd:import namespace="http://schemas.microsoft.com/office/infopath/2007/PartnerControls"/>
    <xsd:element name="SharedWithUsers" ma:index="2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CC1C7-B5DA-45B3-89E2-438EFB27D4D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4"/>
    <ds:schemaRef ds:uri="http://schemas.microsoft.com/sharepoint/v3"/>
    <ds:schemaRef ds:uri="498945f5-0448-4b4c-97d9-fcd4d7a5a1b1"/>
    <ds:schemaRef ds:uri="f7542fce-ffe0-493b-b9b7-89db4158a116"/>
    <ds:schemaRef ds:uri="http://www.w3.org/XML/1998/namespace"/>
    <ds:schemaRef ds:uri="http://purl.org/dc/dcmitype/"/>
  </ds:schemaRefs>
</ds:datastoreItem>
</file>

<file path=customXml/itemProps2.xml><?xml version="1.0" encoding="utf-8"?>
<ds:datastoreItem xmlns:ds="http://schemas.openxmlformats.org/officeDocument/2006/customXml" ds:itemID="{C5285542-D825-4BE9-A971-1DAF1957DC83}">
  <ds:schemaRefs>
    <ds:schemaRef ds:uri="http://schemas.microsoft.com/sharepoint/events"/>
  </ds:schemaRefs>
</ds:datastoreItem>
</file>

<file path=customXml/itemProps3.xml><?xml version="1.0" encoding="utf-8"?>
<ds:datastoreItem xmlns:ds="http://schemas.openxmlformats.org/officeDocument/2006/customXml" ds:itemID="{6B48B3D1-E752-4C25-9815-3C5991557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7542fce-ffe0-493b-b9b7-89db4158a116"/>
    <ds:schemaRef ds:uri="498945f5-0448-4b4c-97d9-fcd4d7a5a1b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A10991-F1CD-4FC3-A241-C8475CB504E4}">
  <ds:schemaRefs>
    <ds:schemaRef ds:uri="http://schemas.microsoft.com/sharepoint/v3/contenttype/forms"/>
  </ds:schemaRefs>
</ds:datastoreItem>
</file>

<file path=customXml/itemProps5.xml><?xml version="1.0" encoding="utf-8"?>
<ds:datastoreItem xmlns:ds="http://schemas.openxmlformats.org/officeDocument/2006/customXml" ds:itemID="{647F9BC8-7170-4934-9CFD-3574463F8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56</Pages>
  <Words>17302</Words>
  <Characters>98622</Characters>
  <Application>Microsoft Office Word</Application>
  <DocSecurity>0</DocSecurity>
  <Lines>821</Lines>
  <Paragraphs>231</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115693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Gaudry, Danial</dc:creator>
  <cp:lastModifiedBy>Johnson, Craig</cp:lastModifiedBy>
  <cp:revision>4</cp:revision>
  <cp:lastPrinted>2020-02-13T22:21:00Z</cp:lastPrinted>
  <dcterms:created xsi:type="dcterms:W3CDTF">2020-02-13T22:21:00Z</dcterms:created>
  <dcterms:modified xsi:type="dcterms:W3CDTF">2020-02-13T22:23:00Z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0x010100572DFAECE4238E4581A4CECA81155BB8</vt:lpwstr>
  </property>
  <property fmtid="{D5CDD505-2E9C-101B-9397-08002B2CF9AE}" pid="3" name="_dlc_DocIdItemGuid">
    <vt:lpwstr>e2d2e0e3-9782-4842-8fa7-64047d128791</vt:lpwstr>
  </property>
  <property fmtid="{D5CDD505-2E9C-101B-9397-08002B2CF9AE}" pid="4" name="DocHub_Year">
    <vt:lpwstr>626;#2018|224abc7b-6f7e-4064-b773-6750976429b5</vt:lpwstr>
  </property>
  <property fmtid="{D5CDD505-2E9C-101B-9397-08002B2CF9AE}" pid="5" name="DocHub_DocumentType">
    <vt:lpwstr>8;#Paper|4fd73e9f-ceb6-4d3f-8d1d-e6ca9b922532</vt:lpwstr>
  </property>
  <property fmtid="{D5CDD505-2E9C-101B-9397-08002B2CF9AE}" pid="6" name="DocHub_SecurityClassification">
    <vt:lpwstr>3;#UNCLASSIFIED|6106d03b-a1a0-4e30-9d91-d5e9fb4314f9</vt:lpwstr>
  </property>
  <property fmtid="{D5CDD505-2E9C-101B-9397-08002B2CF9AE}" pid="7" name="DocHub_DepartmentalDivisions">
    <vt:lpwstr>838;#Industry Growth|b7898412-5acb-4366-9c53-49187310ef04</vt:lpwstr>
  </property>
  <property fmtid="{D5CDD505-2E9C-101B-9397-08002B2CF9AE}" pid="8" name="DocHub_Keywords">
    <vt:lpwstr>354;#Automotive|61633624-6cbf-408a-b563-a3a51dab0160;#2151;#franchise agreement|5ebb6de5-6dca-44f9-b8a0-60eb79955dbd</vt:lpwstr>
  </property>
  <property fmtid="{D5CDD505-2E9C-101B-9397-08002B2CF9AE}" pid="9" name="DocHub_Month">
    <vt:lpwstr/>
  </property>
  <property fmtid="{D5CDD505-2E9C-101B-9397-08002B2CF9AE}" pid="10" name="DocHub_BriefingCorrespondenceType">
    <vt:lpwstr/>
  </property>
  <property fmtid="{D5CDD505-2E9C-101B-9397-08002B2CF9AE}" pid="11" name="DocHub_WorkActivity">
    <vt:lpwstr>56;#Analysis|f03549ca-48e3-445d-9616-5df11514ff56</vt:lpwstr>
  </property>
</Properties>
</file>