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B02325">
        <w:tc>
          <w:tcPr>
            <w:tcW w:w="2122" w:type="dxa"/>
          </w:tcPr>
          <w:p w:rsidR="00FF0404" w:rsidRPr="0076070A" w:rsidRDefault="00FF0404">
            <w:pPr>
              <w:rPr>
                <w:b/>
              </w:rPr>
            </w:pPr>
            <w:r w:rsidRPr="0076070A">
              <w:rPr>
                <w:b/>
              </w:rPr>
              <w:t>Name</w:t>
            </w:r>
          </w:p>
        </w:tc>
        <w:tc>
          <w:tcPr>
            <w:tcW w:w="6894" w:type="dxa"/>
          </w:tcPr>
          <w:p w:rsidR="00FF0404" w:rsidRDefault="0080166F">
            <w:r>
              <w:t xml:space="preserve">Stephen </w:t>
            </w:r>
            <w:proofErr w:type="spellStart"/>
            <w:r>
              <w:t>Penfold</w:t>
            </w:r>
            <w:proofErr w:type="spellEnd"/>
          </w:p>
        </w:tc>
      </w:tr>
      <w:tr w:rsidR="00FF0404" w:rsidTr="00B02325">
        <w:tc>
          <w:tcPr>
            <w:tcW w:w="2122" w:type="dxa"/>
          </w:tcPr>
          <w:p w:rsidR="00FF0404" w:rsidRPr="0076070A" w:rsidRDefault="00FF0404">
            <w:pPr>
              <w:rPr>
                <w:b/>
              </w:rPr>
            </w:pPr>
            <w:r w:rsidRPr="0076070A">
              <w:rPr>
                <w:b/>
              </w:rPr>
              <w:t xml:space="preserve">State </w:t>
            </w:r>
          </w:p>
        </w:tc>
        <w:tc>
          <w:tcPr>
            <w:tcW w:w="6894" w:type="dxa"/>
          </w:tcPr>
          <w:p w:rsidR="00FF0404" w:rsidRDefault="0080166F">
            <w:r>
              <w:t>New South Wales</w:t>
            </w:r>
          </w:p>
        </w:tc>
      </w:tr>
      <w:tr w:rsidR="00FF0404" w:rsidTr="00B02325">
        <w:tc>
          <w:tcPr>
            <w:tcW w:w="2122" w:type="dxa"/>
          </w:tcPr>
          <w:p w:rsidR="00FF0404" w:rsidRPr="0076070A" w:rsidRDefault="00FF0404">
            <w:pPr>
              <w:rPr>
                <w:b/>
              </w:rPr>
            </w:pPr>
            <w:r w:rsidRPr="0076070A">
              <w:rPr>
                <w:b/>
              </w:rPr>
              <w:t xml:space="preserve">Stakeholder Type: </w:t>
            </w:r>
          </w:p>
        </w:tc>
        <w:tc>
          <w:tcPr>
            <w:tcW w:w="6894" w:type="dxa"/>
          </w:tcPr>
          <w:p w:rsidR="00FF0404" w:rsidRDefault="0080166F">
            <w:r>
              <w:t>Franchisor</w:t>
            </w:r>
          </w:p>
        </w:tc>
      </w:tr>
      <w:tr w:rsidR="00FF0404" w:rsidTr="00B02325">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B02325">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B02325">
        <w:tc>
          <w:tcPr>
            <w:tcW w:w="9016" w:type="dxa"/>
            <w:gridSpan w:val="2"/>
          </w:tcPr>
          <w:p w:rsidR="00FF0404" w:rsidRDefault="00FF0404"/>
        </w:tc>
      </w:tr>
      <w:tr w:rsidR="00FF0404" w:rsidTr="00B02325">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B02325">
        <w:tc>
          <w:tcPr>
            <w:tcW w:w="9016" w:type="dxa"/>
            <w:gridSpan w:val="2"/>
          </w:tcPr>
          <w:p w:rsidR="00FF0404" w:rsidRDefault="00FF0404"/>
        </w:tc>
      </w:tr>
      <w:tr w:rsidR="00FF0404" w:rsidTr="00B02325">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B02325">
        <w:tc>
          <w:tcPr>
            <w:tcW w:w="9016" w:type="dxa"/>
            <w:gridSpan w:val="2"/>
          </w:tcPr>
          <w:p w:rsidR="00FF0404" w:rsidRDefault="00FF0404"/>
        </w:tc>
      </w:tr>
      <w:tr w:rsidR="00FF0404" w:rsidTr="00B02325">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B02325">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The current disclosure is so complex that it is more often than not unread by the prospective Franchisee.</w:t>
            </w:r>
            <w:r>
              <w:rPr>
                <w:rFonts w:ascii="Calibri" w:hAnsi="Calibri" w:cs="Calibri"/>
                <w:color w:val="000000"/>
              </w:rPr>
              <w:br/>
              <w:t>It is designed by lawyers, and is not in language that most prospective Franchisees can absorb, or often, because of its complexity, they do not read it.</w:t>
            </w:r>
          </w:p>
          <w:p w:rsidR="003F0D4B" w:rsidRPr="00FF0404" w:rsidRDefault="003F0D4B"/>
        </w:tc>
      </w:tr>
      <w:tr w:rsidR="00FF0404" w:rsidTr="00B02325">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B02325">
        <w:tc>
          <w:tcPr>
            <w:tcW w:w="9016" w:type="dxa"/>
            <w:gridSpan w:val="2"/>
          </w:tcPr>
          <w:p w:rsidR="003F0D4B" w:rsidRDefault="003F0D4B" w:rsidP="0080166F"/>
        </w:tc>
      </w:tr>
      <w:tr w:rsidR="00C26190" w:rsidTr="00B02325">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None of the above.</w:t>
            </w:r>
            <w:r>
              <w:rPr>
                <w:rFonts w:ascii="Calibri" w:hAnsi="Calibri" w:cs="Calibri"/>
                <w:color w:val="000000"/>
              </w:rPr>
              <w:br/>
              <w:t>Simplify the statement into readable language</w:t>
            </w:r>
          </w:p>
          <w:p w:rsidR="00C26190" w:rsidRPr="00C26190" w:rsidRDefault="00C26190" w:rsidP="00FF0404"/>
        </w:tc>
      </w:tr>
      <w:tr w:rsidR="00FF0404" w:rsidTr="00B02325">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1.3.3:  Mandate all prospective franchisees receive legal and financial advice before entering into a franchising agreement</w:t>
            </w:r>
          </w:p>
          <w:p w:rsidR="003F0D4B" w:rsidRDefault="003F0D4B"/>
        </w:tc>
      </w:tr>
      <w:tr w:rsidR="00FF0404" w:rsidTr="00B02325">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 xml:space="preserve">Buying into a franchise should have </w:t>
            </w:r>
            <w:proofErr w:type="gramStart"/>
            <w:r>
              <w:rPr>
                <w:rFonts w:ascii="Calibri" w:hAnsi="Calibri" w:cs="Calibri"/>
                <w:color w:val="000000"/>
              </w:rPr>
              <w:t>advise</w:t>
            </w:r>
            <w:proofErr w:type="gramEnd"/>
            <w:r>
              <w:rPr>
                <w:rFonts w:ascii="Calibri" w:hAnsi="Calibri" w:cs="Calibri"/>
                <w:color w:val="000000"/>
              </w:rPr>
              <w:t xml:space="preserve"> from an Accountant and a Lawyer </w:t>
            </w:r>
            <w:proofErr w:type="spellStart"/>
            <w:r>
              <w:rPr>
                <w:rFonts w:ascii="Calibri" w:hAnsi="Calibri" w:cs="Calibri"/>
                <w:color w:val="000000"/>
              </w:rPr>
              <w:t>oblgatiry</w:t>
            </w:r>
            <w:proofErr w:type="spellEnd"/>
            <w:r>
              <w:rPr>
                <w:rFonts w:ascii="Calibri" w:hAnsi="Calibri" w:cs="Calibri"/>
                <w:color w:val="000000"/>
              </w:rPr>
              <w:t>.</w:t>
            </w:r>
          </w:p>
          <w:p w:rsidR="00FF0404" w:rsidRDefault="00FF0404"/>
          <w:p w:rsidR="00B02325" w:rsidRDefault="00B02325"/>
        </w:tc>
      </w:tr>
      <w:tr w:rsidR="00FF0404" w:rsidTr="00B02325">
        <w:tc>
          <w:tcPr>
            <w:tcW w:w="9016" w:type="dxa"/>
            <w:gridSpan w:val="2"/>
          </w:tcPr>
          <w:p w:rsidR="00FF0404" w:rsidRPr="003F0D4B" w:rsidRDefault="00C26190">
            <w:pPr>
              <w:rPr>
                <w:b/>
              </w:rPr>
            </w:pPr>
            <w:r w:rsidRPr="003F0D4B">
              <w:rPr>
                <w:b/>
              </w:rPr>
              <w:lastRenderedPageBreak/>
              <w:t>4. What are the practical implications (costs and benefits) for prospective franchisees and franchisors of increasing cooling off or disclosure periods?</w:t>
            </w:r>
          </w:p>
        </w:tc>
      </w:tr>
      <w:tr w:rsidR="00FF0404" w:rsidTr="00B02325">
        <w:trPr>
          <w:trHeight w:val="339"/>
        </w:trPr>
        <w:tc>
          <w:tcPr>
            <w:tcW w:w="9016" w:type="dxa"/>
            <w:gridSpan w:val="2"/>
          </w:tcPr>
          <w:p w:rsidR="0080166F" w:rsidRDefault="0080166F" w:rsidP="0080166F">
            <w:pPr>
              <w:rPr>
                <w:rFonts w:ascii="Calibri" w:hAnsi="Calibri" w:cs="Calibri"/>
                <w:color w:val="000000"/>
              </w:rPr>
            </w:pPr>
            <w:r>
              <w:rPr>
                <w:rFonts w:ascii="Calibri" w:hAnsi="Calibri" w:cs="Calibri"/>
                <w:color w:val="000000"/>
              </w:rPr>
              <w:t>The present timing is fine.</w:t>
            </w:r>
            <w:r>
              <w:rPr>
                <w:rFonts w:ascii="Calibri" w:hAnsi="Calibri" w:cs="Calibri"/>
                <w:color w:val="000000"/>
              </w:rPr>
              <w:br/>
              <w:t>By the time a prospective franchisee has entered into the time period, they have already had as long as they need to view disclosure, discuss with accountant and check with lawyers.</w:t>
            </w:r>
            <w:r>
              <w:rPr>
                <w:rFonts w:ascii="Calibri" w:hAnsi="Calibri" w:cs="Calibri"/>
                <w:color w:val="000000"/>
              </w:rPr>
              <w:br/>
              <w:t>If they are not satisfied by the time they are asked to commit, then they do not need to commit.</w:t>
            </w:r>
            <w:r>
              <w:rPr>
                <w:rFonts w:ascii="Calibri" w:hAnsi="Calibri" w:cs="Calibri"/>
                <w:color w:val="000000"/>
              </w:rPr>
              <w:br/>
              <w:t>More time is unnecessary</w:t>
            </w:r>
          </w:p>
          <w:p w:rsidR="00FF0404" w:rsidRDefault="00FF0404"/>
        </w:tc>
      </w:tr>
      <w:tr w:rsidR="00FF0404" w:rsidTr="00B02325">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B02325">
        <w:tc>
          <w:tcPr>
            <w:tcW w:w="9016" w:type="dxa"/>
            <w:gridSpan w:val="2"/>
          </w:tcPr>
          <w:p w:rsidR="0080166F" w:rsidRDefault="0080166F" w:rsidP="0080166F">
            <w:pPr>
              <w:rPr>
                <w:rFonts w:ascii="Calibri" w:hAnsi="Calibri" w:cs="Calibri"/>
                <w:color w:val="000000"/>
              </w:rPr>
            </w:pPr>
            <w:proofErr w:type="spellStart"/>
            <w:r>
              <w:rPr>
                <w:rFonts w:ascii="Calibri" w:hAnsi="Calibri" w:cs="Calibri"/>
                <w:color w:val="000000"/>
              </w:rPr>
              <w:t>Finallity</w:t>
            </w:r>
            <w:proofErr w:type="spellEnd"/>
            <w:r>
              <w:rPr>
                <w:rFonts w:ascii="Calibri" w:hAnsi="Calibri" w:cs="Calibri"/>
                <w:color w:val="000000"/>
              </w:rPr>
              <w:t xml:space="preserve"> on leasing cost cannot be finalised till the franchisee signs up.</w:t>
            </w:r>
            <w:r>
              <w:rPr>
                <w:rFonts w:ascii="Calibri" w:hAnsi="Calibri" w:cs="Calibri"/>
                <w:color w:val="000000"/>
              </w:rPr>
              <w:br/>
              <w:t xml:space="preserve">However leasing cost estimates that are close to </w:t>
            </w:r>
            <w:proofErr w:type="spellStart"/>
            <w:r>
              <w:rPr>
                <w:rFonts w:ascii="Calibri" w:hAnsi="Calibri" w:cs="Calibri"/>
                <w:color w:val="000000"/>
              </w:rPr>
              <w:t>actuallity</w:t>
            </w:r>
            <w:proofErr w:type="spellEnd"/>
            <w:r>
              <w:rPr>
                <w:rFonts w:ascii="Calibri" w:hAnsi="Calibri" w:cs="Calibri"/>
                <w:color w:val="000000"/>
              </w:rPr>
              <w:t xml:space="preserve"> are easily </w:t>
            </w:r>
            <w:proofErr w:type="spellStart"/>
            <w:r>
              <w:rPr>
                <w:rFonts w:ascii="Calibri" w:hAnsi="Calibri" w:cs="Calibri"/>
                <w:color w:val="000000"/>
              </w:rPr>
              <w:t>abtained</w:t>
            </w:r>
            <w:proofErr w:type="spellEnd"/>
            <w:r>
              <w:rPr>
                <w:rFonts w:ascii="Calibri" w:hAnsi="Calibri" w:cs="Calibri"/>
                <w:color w:val="000000"/>
              </w:rPr>
              <w:t xml:space="preserve"> prior to final sign up</w:t>
            </w:r>
          </w:p>
          <w:p w:rsidR="00FF0404" w:rsidRDefault="00FF0404"/>
        </w:tc>
      </w:tr>
      <w:tr w:rsidR="00FF0404" w:rsidTr="00B02325">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Most Lessors will not enter a final contract to lease with an option for the  lessee to withdraw, so it seems imperative that those leasing obligations are finalised after the cooling off period</w:t>
            </w:r>
          </w:p>
          <w:p w:rsidR="00FF0404" w:rsidRDefault="00FF0404"/>
        </w:tc>
      </w:tr>
      <w:tr w:rsidR="00FF0404" w:rsidTr="00B02325">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2.1.1: Status quo, with clarification of the operation of existing cooling off requirements in the code</w:t>
            </w:r>
          </w:p>
          <w:p w:rsidR="003F0D4B" w:rsidRDefault="003F0D4B"/>
        </w:tc>
      </w:tr>
      <w:tr w:rsidR="00FF0404" w:rsidTr="00B02325">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Both Franchisee and Franchisor should have undertaken their research into the other party before entering the contract.</w:t>
            </w:r>
            <w:r>
              <w:rPr>
                <w:rFonts w:ascii="Calibri" w:hAnsi="Calibri" w:cs="Calibri"/>
                <w:color w:val="000000"/>
              </w:rPr>
              <w:br/>
              <w:t>That research should not be deferred till after entering a contract</w:t>
            </w:r>
          </w:p>
          <w:p w:rsidR="00FF0404" w:rsidRDefault="00FF0404"/>
        </w:tc>
      </w:tr>
      <w:tr w:rsidR="00FF0404" w:rsidTr="00B02325">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2.2.4: Improve education and awareness around leasing and franchising</w:t>
            </w:r>
          </w:p>
          <w:p w:rsidR="003F0D4B" w:rsidRDefault="003F0D4B"/>
        </w:tc>
      </w:tr>
      <w:tr w:rsidR="00FF0404" w:rsidTr="00B02325">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02325">
        <w:tc>
          <w:tcPr>
            <w:tcW w:w="9016" w:type="dxa"/>
            <w:gridSpan w:val="2"/>
          </w:tcPr>
          <w:p w:rsidR="00FF0404" w:rsidRDefault="00FF0404"/>
        </w:tc>
      </w:tr>
      <w:tr w:rsidR="00FF0404" w:rsidTr="00B02325">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2.3.1: Status quo (no changes)</w:t>
            </w:r>
          </w:p>
          <w:p w:rsidR="003F0D4B" w:rsidRDefault="003F0D4B"/>
        </w:tc>
      </w:tr>
      <w:tr w:rsidR="00FF0404" w:rsidTr="00B02325">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More obligation on exiting franchisees to disclose honestly are needed.</w:t>
            </w:r>
            <w:r>
              <w:rPr>
                <w:rFonts w:ascii="Calibri" w:hAnsi="Calibri" w:cs="Calibri"/>
                <w:color w:val="000000"/>
              </w:rPr>
              <w:br/>
              <w:t xml:space="preserve">When an existing franchisee is selling an existing right to a </w:t>
            </w:r>
            <w:proofErr w:type="spellStart"/>
            <w:r>
              <w:rPr>
                <w:rFonts w:ascii="Calibri" w:hAnsi="Calibri" w:cs="Calibri"/>
                <w:color w:val="000000"/>
              </w:rPr>
              <w:t>terrirtory</w:t>
            </w:r>
            <w:proofErr w:type="spellEnd"/>
            <w:r>
              <w:rPr>
                <w:rFonts w:ascii="Calibri" w:hAnsi="Calibri" w:cs="Calibri"/>
                <w:color w:val="000000"/>
              </w:rPr>
              <w:t xml:space="preserve">, often the disclosure by the outgoing </w:t>
            </w:r>
            <w:proofErr w:type="gramStart"/>
            <w:r>
              <w:rPr>
                <w:rFonts w:ascii="Calibri" w:hAnsi="Calibri" w:cs="Calibri"/>
                <w:color w:val="000000"/>
              </w:rPr>
              <w:t>franchisee  to</w:t>
            </w:r>
            <w:proofErr w:type="gramEnd"/>
            <w:r>
              <w:rPr>
                <w:rFonts w:ascii="Calibri" w:hAnsi="Calibri" w:cs="Calibri"/>
                <w:color w:val="000000"/>
              </w:rPr>
              <w:t xml:space="preserve"> the incoming franchisee is not made fully clear to the franchisor.</w:t>
            </w:r>
          </w:p>
          <w:p w:rsidR="00FF0404" w:rsidRDefault="00FF0404"/>
          <w:p w:rsidR="00B02325" w:rsidRDefault="00B02325"/>
          <w:p w:rsidR="00B02325" w:rsidRDefault="00B02325"/>
          <w:p w:rsidR="00B02325" w:rsidRDefault="00B02325"/>
        </w:tc>
      </w:tr>
      <w:tr w:rsidR="00FF0404" w:rsidTr="00B02325">
        <w:tc>
          <w:tcPr>
            <w:tcW w:w="9016" w:type="dxa"/>
            <w:gridSpan w:val="2"/>
          </w:tcPr>
          <w:p w:rsidR="00FF0404" w:rsidRPr="003F0D4B" w:rsidRDefault="00A01DF3">
            <w:pPr>
              <w:rPr>
                <w:b/>
              </w:rPr>
            </w:pPr>
            <w:r w:rsidRPr="003F0D4B">
              <w:rPr>
                <w:b/>
              </w:rPr>
              <w:lastRenderedPageBreak/>
              <w:t>7. What would ‘meaningful information’ look like in terms of marketing fund disclosure?</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Existing audited accounts done annually.</w:t>
            </w:r>
          </w:p>
          <w:p w:rsidR="00FF0404" w:rsidRDefault="00FF0404"/>
        </w:tc>
      </w:tr>
      <w:tr w:rsidR="00FF0404" w:rsidTr="00B02325">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I see it as an unnecessary expense for the fund</w:t>
            </w:r>
          </w:p>
          <w:p w:rsidR="00FF0404" w:rsidRDefault="00FF0404"/>
        </w:tc>
      </w:tr>
      <w:tr w:rsidR="00FF0404" w:rsidTr="00B02325">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3.1.1: Status quo (no changes)</w:t>
            </w:r>
          </w:p>
          <w:p w:rsidR="003F0D4B" w:rsidRDefault="003F0D4B"/>
        </w:tc>
      </w:tr>
      <w:tr w:rsidR="00FF0404" w:rsidTr="00B02325">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02325">
        <w:tc>
          <w:tcPr>
            <w:tcW w:w="9016" w:type="dxa"/>
            <w:gridSpan w:val="2"/>
          </w:tcPr>
          <w:p w:rsidR="00FF0404" w:rsidRDefault="00FF0404"/>
        </w:tc>
      </w:tr>
      <w:tr w:rsidR="00FF0404" w:rsidTr="00B02325">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 xml:space="preserve">All supplier rebates should Be </w:t>
            </w:r>
            <w:proofErr w:type="spellStart"/>
            <w:r>
              <w:rPr>
                <w:rFonts w:ascii="Calibri" w:hAnsi="Calibri" w:cs="Calibri"/>
                <w:color w:val="000000"/>
              </w:rPr>
              <w:t>trensparent</w:t>
            </w:r>
            <w:proofErr w:type="spellEnd"/>
          </w:p>
          <w:p w:rsidR="00FF0404" w:rsidRDefault="00FF0404"/>
        </w:tc>
      </w:tr>
      <w:tr w:rsidR="00FF0404" w:rsidTr="00B02325">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B02325">
        <w:tc>
          <w:tcPr>
            <w:tcW w:w="9016" w:type="dxa"/>
            <w:gridSpan w:val="2"/>
          </w:tcPr>
          <w:p w:rsidR="00FF0404" w:rsidRPr="00B02325" w:rsidRDefault="0080166F" w:rsidP="00B02325">
            <w:pPr>
              <w:spacing w:after="240"/>
              <w:rPr>
                <w:rFonts w:ascii="Calibri" w:hAnsi="Calibri" w:cs="Calibri"/>
                <w:color w:val="000000"/>
              </w:rPr>
            </w:pPr>
            <w:r>
              <w:rPr>
                <w:rFonts w:ascii="Calibri" w:hAnsi="Calibri" w:cs="Calibri"/>
                <w:color w:val="000000"/>
              </w:rPr>
              <w:t xml:space="preserve">It is not possible to "guarantee" a </w:t>
            </w:r>
            <w:proofErr w:type="spellStart"/>
            <w:r>
              <w:rPr>
                <w:rFonts w:ascii="Calibri" w:hAnsi="Calibri" w:cs="Calibri"/>
                <w:color w:val="000000"/>
              </w:rPr>
              <w:t>franchisee'e</w:t>
            </w:r>
            <w:proofErr w:type="spellEnd"/>
            <w:r>
              <w:rPr>
                <w:rFonts w:ascii="Calibri" w:hAnsi="Calibri" w:cs="Calibri"/>
                <w:color w:val="000000"/>
              </w:rPr>
              <w:t xml:space="preserve"> profitability or return on investment.</w:t>
            </w:r>
            <w:r>
              <w:rPr>
                <w:rFonts w:ascii="Calibri" w:hAnsi="Calibri" w:cs="Calibri"/>
                <w:color w:val="000000"/>
              </w:rPr>
              <w:br/>
              <w:t>The franchisor does not run the franchisees business so cannot guarantee its success.</w:t>
            </w:r>
            <w:r>
              <w:rPr>
                <w:rFonts w:ascii="Calibri" w:hAnsi="Calibri" w:cs="Calibri"/>
                <w:color w:val="000000"/>
              </w:rPr>
              <w:br/>
              <w:t>Outside the franchise sector, a significant number of small businesses fail, while within the sector, few fail.</w:t>
            </w:r>
            <w:r>
              <w:rPr>
                <w:rFonts w:ascii="Calibri" w:hAnsi="Calibri" w:cs="Calibri"/>
                <w:color w:val="000000"/>
              </w:rPr>
              <w:br/>
              <w:t>My experience over approximately 275 franchisees over the last 35 years is that failures fall into 3 categories</w:t>
            </w:r>
            <w:r>
              <w:rPr>
                <w:rFonts w:ascii="Calibri" w:hAnsi="Calibri" w:cs="Calibri"/>
                <w:color w:val="000000"/>
              </w:rPr>
              <w:br/>
            </w:r>
            <w:proofErr w:type="spellStart"/>
            <w:r>
              <w:rPr>
                <w:rFonts w:ascii="Calibri" w:hAnsi="Calibri" w:cs="Calibri"/>
                <w:color w:val="000000"/>
              </w:rPr>
              <w:t>Firsty</w:t>
            </w:r>
            <w:proofErr w:type="spellEnd"/>
            <w:r>
              <w:rPr>
                <w:rFonts w:ascii="Calibri" w:hAnsi="Calibri" w:cs="Calibri"/>
                <w:color w:val="000000"/>
              </w:rPr>
              <w:t xml:space="preserve">, successful profitable businesses that fail because their owner </w:t>
            </w:r>
            <w:proofErr w:type="spellStart"/>
            <w:r>
              <w:rPr>
                <w:rFonts w:ascii="Calibri" w:hAnsi="Calibri" w:cs="Calibri"/>
                <w:color w:val="000000"/>
              </w:rPr>
              <w:t>kives</w:t>
            </w:r>
            <w:proofErr w:type="spellEnd"/>
            <w:r>
              <w:rPr>
                <w:rFonts w:ascii="Calibri" w:hAnsi="Calibri" w:cs="Calibri"/>
                <w:color w:val="000000"/>
              </w:rPr>
              <w:t xml:space="preserve"> beyond his or her income, or has excessive borrowings. (</w:t>
            </w:r>
            <w:proofErr w:type="gramStart"/>
            <w:r>
              <w:rPr>
                <w:rFonts w:ascii="Calibri" w:hAnsi="Calibri" w:cs="Calibri"/>
                <w:color w:val="000000"/>
              </w:rPr>
              <w:t>nearly</w:t>
            </w:r>
            <w:proofErr w:type="gramEnd"/>
            <w:r>
              <w:rPr>
                <w:rFonts w:ascii="Calibri" w:hAnsi="Calibri" w:cs="Calibri"/>
                <w:color w:val="000000"/>
              </w:rPr>
              <w:t xml:space="preserve"> always hidden form the franchisor.) In our system, that accounts for 6 </w:t>
            </w:r>
            <w:proofErr w:type="spellStart"/>
            <w:r>
              <w:rPr>
                <w:rFonts w:ascii="Calibri" w:hAnsi="Calibri" w:cs="Calibri"/>
                <w:color w:val="000000"/>
              </w:rPr>
              <w:t>ailures</w:t>
            </w:r>
            <w:proofErr w:type="spellEnd"/>
            <w:r>
              <w:rPr>
                <w:rFonts w:ascii="Calibri" w:hAnsi="Calibri" w:cs="Calibri"/>
                <w:color w:val="000000"/>
              </w:rPr>
              <w:t xml:space="preserve"> or .025%</w:t>
            </w:r>
            <w:r>
              <w:rPr>
                <w:rFonts w:ascii="Calibri" w:hAnsi="Calibri" w:cs="Calibri"/>
                <w:color w:val="000000"/>
              </w:rPr>
              <w:br/>
              <w:t>Other failures occur most often because both the franchisor and the franchisee wrongly assess the skills the prospective franchisee brings to the business. These failures range from a franchisee being unable to generate sufficient profit to meet their lifestyle, to we, the franchisor, being surprised they do not perform as we anticipated, even though in lots of cases the franchisee is in fact satisfied.</w:t>
            </w:r>
            <w:r>
              <w:rPr>
                <w:rFonts w:ascii="Calibri" w:hAnsi="Calibri" w:cs="Calibri"/>
                <w:color w:val="000000"/>
              </w:rPr>
              <w:br/>
              <w:t xml:space="preserve">Every competent franchisor wants to lift the </w:t>
            </w:r>
            <w:proofErr w:type="spellStart"/>
            <w:r>
              <w:rPr>
                <w:rFonts w:ascii="Calibri" w:hAnsi="Calibri" w:cs="Calibri"/>
                <w:color w:val="000000"/>
              </w:rPr>
              <w:t>mininium</w:t>
            </w:r>
            <w:proofErr w:type="spellEnd"/>
            <w:r>
              <w:rPr>
                <w:rFonts w:ascii="Calibri" w:hAnsi="Calibri" w:cs="Calibri"/>
                <w:color w:val="000000"/>
              </w:rPr>
              <w:t xml:space="preserve"> </w:t>
            </w:r>
            <w:proofErr w:type="gramStart"/>
            <w:r>
              <w:rPr>
                <w:rFonts w:ascii="Calibri" w:hAnsi="Calibri" w:cs="Calibri"/>
                <w:color w:val="000000"/>
              </w:rPr>
              <w:t>entry  level</w:t>
            </w:r>
            <w:proofErr w:type="gramEnd"/>
            <w:r>
              <w:rPr>
                <w:rFonts w:ascii="Calibri" w:hAnsi="Calibri" w:cs="Calibri"/>
                <w:color w:val="000000"/>
              </w:rPr>
              <w:t xml:space="preserve">  of new joiners, however, particularly in a resale, if the prospective franchisee is determined to buy, it is often hard for the franchisor to reject that purchase when the c</w:t>
            </w:r>
            <w:r w:rsidR="00B02325">
              <w:rPr>
                <w:rFonts w:ascii="Calibri" w:hAnsi="Calibri" w:cs="Calibri"/>
                <w:color w:val="000000"/>
              </w:rPr>
              <w:t>riteria are mostly subjective.</w:t>
            </w:r>
          </w:p>
        </w:tc>
      </w:tr>
      <w:tr w:rsidR="00FF0404" w:rsidTr="00B02325">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Should the franchisee choose to ignore the franchisor's recommendations, neither party should enter the agreement.</w:t>
            </w:r>
          </w:p>
          <w:p w:rsidR="00EE5CDA" w:rsidRPr="007D2442" w:rsidRDefault="00EE5CDA"/>
        </w:tc>
      </w:tr>
      <w:tr w:rsidR="00EE5CDA" w:rsidTr="00B02325">
        <w:tc>
          <w:tcPr>
            <w:tcW w:w="9016" w:type="dxa"/>
            <w:gridSpan w:val="2"/>
          </w:tcPr>
          <w:p w:rsidR="00EE5CDA" w:rsidRPr="003F0D4B" w:rsidRDefault="00EE5CDA">
            <w:pPr>
              <w:rPr>
                <w:b/>
              </w:rPr>
            </w:pPr>
            <w:r w:rsidRPr="003F0D4B">
              <w:rPr>
                <w:b/>
              </w:rPr>
              <w:t>Problem 4.1 Supplier rebates can lead to conflicts of interest</w:t>
            </w:r>
          </w:p>
        </w:tc>
      </w:tr>
      <w:tr w:rsidR="00EE5CDA"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4.1.2: Address conflicts of interest in the handling of supplier rebates to franchisors by requiring increased disclosure</w:t>
            </w:r>
          </w:p>
          <w:p w:rsidR="003F0D4B" w:rsidRPr="007D2442" w:rsidRDefault="003F0D4B"/>
        </w:tc>
      </w:tr>
      <w:tr w:rsidR="00EE5CDA" w:rsidTr="00B02325">
        <w:tc>
          <w:tcPr>
            <w:tcW w:w="9016" w:type="dxa"/>
            <w:gridSpan w:val="2"/>
          </w:tcPr>
          <w:p w:rsidR="00EE5CDA" w:rsidRPr="003F0D4B" w:rsidRDefault="00EE5CDA">
            <w:pPr>
              <w:rPr>
                <w:b/>
              </w:rPr>
            </w:pPr>
            <w:r w:rsidRPr="003F0D4B">
              <w:rPr>
                <w:b/>
              </w:rPr>
              <w:t>Please give an explanation of your choice(s). This includes the reasons an option may not be suitable. What a</w:t>
            </w:r>
            <w:bookmarkStart w:id="0" w:name="_GoBack"/>
            <w:bookmarkEnd w:id="0"/>
            <w:r w:rsidRPr="003F0D4B">
              <w:rPr>
                <w:b/>
              </w:rPr>
              <w:t>re the costs, benefits and risks of your choice(s), and what other options could be considered?</w:t>
            </w:r>
          </w:p>
        </w:tc>
      </w:tr>
      <w:tr w:rsidR="00EE5CDA" w:rsidTr="00B02325">
        <w:tc>
          <w:tcPr>
            <w:tcW w:w="9016" w:type="dxa"/>
            <w:gridSpan w:val="2"/>
          </w:tcPr>
          <w:p w:rsidR="00EE5CDA" w:rsidRPr="007D2442" w:rsidRDefault="00EE5CDA"/>
        </w:tc>
      </w:tr>
      <w:tr w:rsidR="00CB0D83" w:rsidTr="00B02325">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w:t>
            </w:r>
            <w:r>
              <w:rPr>
                <w:rFonts w:ascii="Calibri" w:hAnsi="Calibri" w:cs="Calibri"/>
                <w:color w:val="000000"/>
              </w:rPr>
              <w:t>n 4.2.1: Status quo (no change)</w:t>
            </w:r>
          </w:p>
          <w:p w:rsidR="0080166F" w:rsidRDefault="0080166F" w:rsidP="0080166F">
            <w:pPr>
              <w:rPr>
                <w:rFonts w:ascii="Calibri" w:hAnsi="Calibri" w:cs="Calibri"/>
                <w:color w:val="000000"/>
              </w:rPr>
            </w:pPr>
            <w:r>
              <w:rPr>
                <w:rFonts w:ascii="Calibri" w:hAnsi="Calibri" w:cs="Calibri"/>
                <w:color w:val="000000"/>
              </w:rPr>
              <w:t>Option 4.2.3: Clarify franchisee rights when significant capital expenditure is required</w:t>
            </w:r>
          </w:p>
          <w:p w:rsidR="003F0D4B" w:rsidRPr="003F0D4B" w:rsidRDefault="003F0D4B"/>
        </w:tc>
      </w:tr>
      <w:tr w:rsidR="00EE5CDA" w:rsidTr="00B02325">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B02325">
        <w:tc>
          <w:tcPr>
            <w:tcW w:w="9016" w:type="dxa"/>
            <w:gridSpan w:val="2"/>
          </w:tcPr>
          <w:p w:rsidR="00EE5CDA" w:rsidRPr="007D2442" w:rsidRDefault="00EE5CDA"/>
        </w:tc>
      </w:tr>
      <w:tr w:rsidR="00EE5CDA" w:rsidTr="00B02325">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w:t>
            </w:r>
            <w:r>
              <w:rPr>
                <w:rFonts w:ascii="Calibri" w:hAnsi="Calibri" w:cs="Calibri"/>
                <w:color w:val="000000"/>
              </w:rPr>
              <w:t>n 4.3.1: Status quo (no change)</w:t>
            </w:r>
          </w:p>
          <w:p w:rsidR="0080166F" w:rsidRDefault="0080166F" w:rsidP="0080166F">
            <w:pPr>
              <w:rPr>
                <w:rFonts w:ascii="Calibri" w:hAnsi="Calibri" w:cs="Calibri"/>
                <w:color w:val="000000"/>
              </w:rPr>
            </w:pPr>
            <w:r>
              <w:rPr>
                <w:rFonts w:ascii="Calibri" w:hAnsi="Calibri" w:cs="Calibri"/>
                <w:color w:val="000000"/>
              </w:rPr>
              <w:t>Option 4.3.3: Increase awareness around legal rights</w:t>
            </w:r>
          </w:p>
          <w:p w:rsidR="003F0D4B" w:rsidRPr="007D2442" w:rsidRDefault="003F0D4B"/>
        </w:tc>
      </w:tr>
      <w:tr w:rsidR="00EE5CDA" w:rsidTr="00B02325">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B02325">
        <w:tc>
          <w:tcPr>
            <w:tcW w:w="9016" w:type="dxa"/>
            <w:gridSpan w:val="2"/>
          </w:tcPr>
          <w:p w:rsidR="00EE5CDA" w:rsidRPr="007D2442" w:rsidRDefault="00EE5CDA"/>
        </w:tc>
      </w:tr>
      <w:tr w:rsidR="00EE5CDA" w:rsidTr="00B02325">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None</w:t>
            </w:r>
          </w:p>
          <w:p w:rsidR="00EE5CDA" w:rsidRPr="007D2442" w:rsidRDefault="00EE5CDA"/>
        </w:tc>
      </w:tr>
      <w:tr w:rsidR="00EE5CDA" w:rsidTr="00B02325">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No</w:t>
            </w:r>
          </w:p>
          <w:p w:rsidR="00EE5CDA" w:rsidRPr="007D2442" w:rsidRDefault="00EE5CDA"/>
        </w:tc>
      </w:tr>
      <w:tr w:rsidR="00EE5CDA" w:rsidTr="00B02325">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w:t>
            </w:r>
            <w:r>
              <w:rPr>
                <w:rFonts w:ascii="Calibri" w:hAnsi="Calibri" w:cs="Calibri"/>
                <w:color w:val="000000"/>
              </w:rPr>
              <w:t>n 5.1.1: Status quo (no change)</w:t>
            </w:r>
          </w:p>
          <w:p w:rsidR="0080166F" w:rsidRDefault="0080166F" w:rsidP="0080166F">
            <w:pPr>
              <w:rPr>
                <w:rFonts w:ascii="Calibri" w:hAnsi="Calibri" w:cs="Calibri"/>
                <w:color w:val="000000"/>
              </w:rPr>
            </w:pPr>
            <w:r>
              <w:rPr>
                <w:rFonts w:ascii="Calibri" w:hAnsi="Calibri" w:cs="Calibri"/>
                <w:color w:val="000000"/>
              </w:rPr>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B02325">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B02325">
        <w:tc>
          <w:tcPr>
            <w:tcW w:w="9016" w:type="dxa"/>
            <w:gridSpan w:val="2"/>
          </w:tcPr>
          <w:p w:rsidR="002A69D5" w:rsidRPr="002A69D5" w:rsidRDefault="002A69D5"/>
        </w:tc>
      </w:tr>
      <w:tr w:rsidR="002A69D5" w:rsidTr="00B02325">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 xml:space="preserve">Under circumstances included in both </w:t>
            </w:r>
            <w:proofErr w:type="gramStart"/>
            <w:r>
              <w:rPr>
                <w:rFonts w:ascii="Calibri" w:hAnsi="Calibri" w:cs="Calibri"/>
                <w:color w:val="000000"/>
              </w:rPr>
              <w:t>disclosure  and</w:t>
            </w:r>
            <w:proofErr w:type="gramEnd"/>
            <w:r>
              <w:rPr>
                <w:rFonts w:ascii="Calibri" w:hAnsi="Calibri" w:cs="Calibri"/>
                <w:color w:val="000000"/>
              </w:rPr>
              <w:t xml:space="preserve"> the franchise agreement, and under the rules agreed to when </w:t>
            </w:r>
            <w:proofErr w:type="spellStart"/>
            <w:r>
              <w:rPr>
                <w:rFonts w:ascii="Calibri" w:hAnsi="Calibri" w:cs="Calibri"/>
                <w:color w:val="000000"/>
              </w:rPr>
              <w:t>bith</w:t>
            </w:r>
            <w:proofErr w:type="spellEnd"/>
            <w:r>
              <w:rPr>
                <w:rFonts w:ascii="Calibri" w:hAnsi="Calibri" w:cs="Calibri"/>
                <w:color w:val="000000"/>
              </w:rPr>
              <w:t xml:space="preserve"> parties enter the agreement.</w:t>
            </w:r>
            <w:r>
              <w:rPr>
                <w:rFonts w:ascii="Calibri" w:hAnsi="Calibri" w:cs="Calibri"/>
                <w:color w:val="000000"/>
              </w:rPr>
              <w:br/>
              <w:t>If the prospect finds those rules too harsh, they should not buy into that franchise</w:t>
            </w:r>
          </w:p>
          <w:p w:rsidR="002A69D5" w:rsidRPr="002A69D5" w:rsidRDefault="002A69D5"/>
        </w:tc>
      </w:tr>
      <w:tr w:rsidR="002A69D5" w:rsidRPr="003F0D4B" w:rsidTr="00B02325">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 xml:space="preserve">In our </w:t>
            </w:r>
            <w:proofErr w:type="spellStart"/>
            <w:r>
              <w:rPr>
                <w:rFonts w:ascii="Calibri" w:hAnsi="Calibri" w:cs="Calibri"/>
                <w:color w:val="000000"/>
              </w:rPr>
              <w:t>aggreemnt</w:t>
            </w:r>
            <w:proofErr w:type="spellEnd"/>
            <w:r>
              <w:rPr>
                <w:rFonts w:ascii="Calibri" w:hAnsi="Calibri" w:cs="Calibri"/>
                <w:color w:val="000000"/>
              </w:rPr>
              <w:t xml:space="preserve"> it is clearly defined.</w:t>
            </w:r>
            <w:r>
              <w:rPr>
                <w:rFonts w:ascii="Calibri" w:hAnsi="Calibri" w:cs="Calibri"/>
                <w:color w:val="000000"/>
              </w:rPr>
              <w:br/>
              <w:t>While the franchisee remains a franchisee, the goodwill associated with that business is his to exploit'</w:t>
            </w:r>
            <w:r>
              <w:rPr>
                <w:rFonts w:ascii="Calibri" w:hAnsi="Calibri" w:cs="Calibri"/>
                <w:color w:val="000000"/>
              </w:rPr>
              <w:br/>
              <w:t xml:space="preserve">At </w:t>
            </w:r>
            <w:proofErr w:type="spellStart"/>
            <w:r>
              <w:rPr>
                <w:rFonts w:ascii="Calibri" w:hAnsi="Calibri" w:cs="Calibri"/>
                <w:color w:val="000000"/>
              </w:rPr>
              <w:t>seperation</w:t>
            </w:r>
            <w:proofErr w:type="spellEnd"/>
            <w:r>
              <w:rPr>
                <w:rFonts w:ascii="Calibri" w:hAnsi="Calibri" w:cs="Calibri"/>
                <w:color w:val="000000"/>
              </w:rPr>
              <w:t xml:space="preserve">, he also has the </w:t>
            </w:r>
            <w:proofErr w:type="spellStart"/>
            <w:r>
              <w:rPr>
                <w:rFonts w:ascii="Calibri" w:hAnsi="Calibri" w:cs="Calibri"/>
                <w:color w:val="000000"/>
              </w:rPr>
              <w:t>rigth</w:t>
            </w:r>
            <w:proofErr w:type="spellEnd"/>
            <w:r>
              <w:rPr>
                <w:rFonts w:ascii="Calibri" w:hAnsi="Calibri" w:cs="Calibri"/>
                <w:color w:val="000000"/>
              </w:rPr>
              <w:t xml:space="preserve"> to sell that goodwill on to a new franchisee who has been approved by the franchisor.</w:t>
            </w:r>
            <w:r>
              <w:rPr>
                <w:rFonts w:ascii="Calibri" w:hAnsi="Calibri" w:cs="Calibri"/>
                <w:color w:val="000000"/>
              </w:rPr>
              <w:br/>
              <w:t xml:space="preserve">The franchisee keeps all that goodwill but pays a small </w:t>
            </w:r>
            <w:proofErr w:type="spellStart"/>
            <w:r>
              <w:rPr>
                <w:rFonts w:ascii="Calibri" w:hAnsi="Calibri" w:cs="Calibri"/>
                <w:color w:val="000000"/>
              </w:rPr>
              <w:t>administraive</w:t>
            </w:r>
            <w:proofErr w:type="spellEnd"/>
            <w:r>
              <w:rPr>
                <w:rFonts w:ascii="Calibri" w:hAnsi="Calibri" w:cs="Calibri"/>
                <w:color w:val="000000"/>
              </w:rPr>
              <w:t xml:space="preserve"> fee for the franchisor to </w:t>
            </w:r>
            <w:r>
              <w:rPr>
                <w:rFonts w:ascii="Calibri" w:hAnsi="Calibri" w:cs="Calibri"/>
                <w:color w:val="000000"/>
              </w:rPr>
              <w:lastRenderedPageBreak/>
              <w:t xml:space="preserve">manage the process. </w:t>
            </w:r>
            <w:r>
              <w:rPr>
                <w:rFonts w:ascii="Calibri" w:hAnsi="Calibri" w:cs="Calibri"/>
                <w:color w:val="000000"/>
              </w:rPr>
              <w:br/>
              <w:t>The exiting franchisee is then bound by the constraint clauses in the contract to protect both the new owner, the franchisor and other existing franchisees from the exiting franchisee carrying on a like business for a limited time.</w:t>
            </w:r>
          </w:p>
          <w:p w:rsidR="002A69D5" w:rsidRPr="002A69D5" w:rsidRDefault="002A69D5"/>
        </w:tc>
      </w:tr>
      <w:tr w:rsidR="002A69D5" w:rsidTr="00B02325">
        <w:tc>
          <w:tcPr>
            <w:tcW w:w="9016" w:type="dxa"/>
            <w:gridSpan w:val="2"/>
          </w:tcPr>
          <w:p w:rsidR="002A69D5" w:rsidRPr="003F0D4B" w:rsidRDefault="002A69D5" w:rsidP="002A69D5">
            <w:pPr>
              <w:rPr>
                <w:b/>
              </w:rPr>
            </w:pPr>
            <w:r w:rsidRPr="003F0D4B">
              <w:rPr>
                <w:b/>
              </w:rPr>
              <w:lastRenderedPageBreak/>
              <w:t>Problem 6.1 Reasonable exit arrangements may not be, or may not be perceived to be, available or accessible for some franchisees</w:t>
            </w:r>
          </w:p>
        </w:tc>
      </w:tr>
      <w:tr w:rsidR="002A69D5"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w:t>
            </w:r>
            <w:r>
              <w:rPr>
                <w:rFonts w:ascii="Calibri" w:hAnsi="Calibri" w:cs="Calibri"/>
                <w:color w:val="000000"/>
              </w:rPr>
              <w:t>n 6.1.1: Status quo (no change)</w:t>
            </w:r>
          </w:p>
          <w:p w:rsidR="0080166F" w:rsidRDefault="0080166F" w:rsidP="0080166F">
            <w:pPr>
              <w:rPr>
                <w:rFonts w:ascii="Calibri" w:hAnsi="Calibri" w:cs="Calibri"/>
                <w:color w:val="000000"/>
              </w:rPr>
            </w:pPr>
            <w:r>
              <w:rPr>
                <w:rFonts w:ascii="Calibri" w:hAnsi="Calibri" w:cs="Calibri"/>
                <w:color w:val="000000"/>
              </w:rPr>
              <w:t>Option 6.1.3: Clarify the termination processes available to franchisees and support greater awareness of negotiation pathways</w:t>
            </w:r>
          </w:p>
          <w:p w:rsidR="003F0D4B" w:rsidRDefault="003F0D4B" w:rsidP="002A69D5"/>
        </w:tc>
      </w:tr>
      <w:tr w:rsidR="000853F1" w:rsidTr="00B02325">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02325">
        <w:tc>
          <w:tcPr>
            <w:tcW w:w="9016" w:type="dxa"/>
            <w:gridSpan w:val="2"/>
          </w:tcPr>
          <w:p w:rsidR="000853F1" w:rsidRDefault="000853F1" w:rsidP="002A69D5"/>
        </w:tc>
      </w:tr>
      <w:tr w:rsidR="000853F1" w:rsidTr="00B02325">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Option 6.2.1: Status quo (no change)</w:t>
            </w:r>
          </w:p>
          <w:p w:rsidR="003F0D4B" w:rsidRDefault="003F0D4B" w:rsidP="00531F43"/>
        </w:tc>
      </w:tr>
      <w:tr w:rsidR="000853F1" w:rsidTr="00B02325">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02325">
        <w:tc>
          <w:tcPr>
            <w:tcW w:w="9016" w:type="dxa"/>
            <w:gridSpan w:val="2"/>
          </w:tcPr>
          <w:p w:rsidR="000853F1" w:rsidRDefault="000853F1" w:rsidP="002A69D5"/>
        </w:tc>
      </w:tr>
      <w:tr w:rsidR="000853F1" w:rsidTr="00B02325">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w:t>
            </w:r>
            <w:r>
              <w:rPr>
                <w:rFonts w:ascii="Calibri" w:hAnsi="Calibri" w:cs="Calibri"/>
                <w:color w:val="000000"/>
              </w:rPr>
              <w:t>n 6.3.1: Status quo (no change)</w:t>
            </w:r>
          </w:p>
          <w:p w:rsidR="0080166F" w:rsidRDefault="0080166F" w:rsidP="0080166F">
            <w:pPr>
              <w:rPr>
                <w:rFonts w:ascii="Calibri" w:hAnsi="Calibri" w:cs="Calibri"/>
                <w:color w:val="000000"/>
              </w:rPr>
            </w:pPr>
            <w:r>
              <w:rPr>
                <w:rFonts w:ascii="Calibri" w:hAnsi="Calibri" w:cs="Calibri"/>
                <w:color w:val="000000"/>
              </w:rPr>
              <w:t>Option 6.3.3: Increase awareness of how goodwill is handled in franchising</w:t>
            </w:r>
          </w:p>
          <w:p w:rsidR="003F0D4B" w:rsidRDefault="003F0D4B" w:rsidP="002A69D5"/>
        </w:tc>
      </w:tr>
      <w:tr w:rsidR="000853F1" w:rsidTr="00B02325">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02325">
        <w:tc>
          <w:tcPr>
            <w:tcW w:w="9016" w:type="dxa"/>
            <w:gridSpan w:val="2"/>
          </w:tcPr>
          <w:p w:rsidR="000853F1" w:rsidRDefault="000853F1" w:rsidP="002A69D5"/>
        </w:tc>
      </w:tr>
      <w:tr w:rsidR="000853F1" w:rsidTr="00B02325">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N/A</w:t>
            </w:r>
          </w:p>
          <w:p w:rsidR="000853F1" w:rsidRDefault="000853F1" w:rsidP="002A69D5"/>
        </w:tc>
      </w:tr>
      <w:tr w:rsidR="000853F1" w:rsidTr="00B02325">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N/A</w:t>
            </w:r>
          </w:p>
          <w:p w:rsidR="000853F1" w:rsidRDefault="000853F1" w:rsidP="002A69D5"/>
        </w:tc>
      </w:tr>
      <w:tr w:rsidR="000853F1" w:rsidTr="00B02325">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B02325">
        <w:tc>
          <w:tcPr>
            <w:tcW w:w="9016" w:type="dxa"/>
            <w:gridSpan w:val="2"/>
          </w:tcPr>
          <w:p w:rsidR="0080166F" w:rsidRDefault="0080166F" w:rsidP="0080166F">
            <w:pPr>
              <w:rPr>
                <w:rFonts w:ascii="Calibri" w:hAnsi="Calibri" w:cs="Calibri"/>
                <w:color w:val="000000"/>
              </w:rPr>
            </w:pPr>
            <w:r>
              <w:rPr>
                <w:rFonts w:ascii="Calibri" w:hAnsi="Calibri" w:cs="Calibri"/>
                <w:color w:val="000000"/>
              </w:rPr>
              <w:t>Optio</w:t>
            </w:r>
            <w:r>
              <w:rPr>
                <w:rFonts w:ascii="Calibri" w:hAnsi="Calibri" w:cs="Calibri"/>
                <w:color w:val="000000"/>
              </w:rPr>
              <w:t>n 7.2.1: Status quo (no change)</w:t>
            </w:r>
          </w:p>
          <w:p w:rsidR="0080166F" w:rsidRDefault="0080166F" w:rsidP="0080166F">
            <w:pPr>
              <w:rPr>
                <w:rFonts w:ascii="Calibri" w:hAnsi="Calibri" w:cs="Calibri"/>
                <w:color w:val="000000"/>
              </w:rPr>
            </w:pPr>
            <w:r>
              <w:rPr>
                <w:rFonts w:ascii="Calibri" w:hAnsi="Calibri" w:cs="Calibri"/>
                <w:color w:val="000000"/>
              </w:rPr>
              <w:t>Option 7.2.3: Improved education and guidance on expectations around compliance with the code</w:t>
            </w:r>
          </w:p>
          <w:p w:rsidR="003F0D4B" w:rsidRDefault="003F0D4B" w:rsidP="002A69D5"/>
        </w:tc>
      </w:tr>
      <w:tr w:rsidR="000853F1" w:rsidTr="00B02325">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02325">
        <w:tc>
          <w:tcPr>
            <w:tcW w:w="9016" w:type="dxa"/>
            <w:gridSpan w:val="2"/>
          </w:tcPr>
          <w:p w:rsidR="000853F1" w:rsidRDefault="000853F1" w:rsidP="002A69D5"/>
        </w:tc>
      </w:tr>
      <w:tr w:rsidR="003F0D4B" w:rsidTr="00B02325">
        <w:tc>
          <w:tcPr>
            <w:tcW w:w="9016" w:type="dxa"/>
            <w:gridSpan w:val="2"/>
          </w:tcPr>
          <w:p w:rsidR="003F0D4B" w:rsidRPr="003F0D4B" w:rsidRDefault="003F0D4B" w:rsidP="003F0D4B">
            <w:pPr>
              <w:rPr>
                <w:b/>
              </w:rPr>
            </w:pPr>
            <w:r w:rsidRPr="003F0D4B">
              <w:rPr>
                <w:b/>
              </w:rPr>
              <w:lastRenderedPageBreak/>
              <w:t>Problem 7.2: Compliance with the Franchising Code, Oil Code and where relevant the Competition and Consumer Act and the Australian Consumer Law, remains imperfect</w:t>
            </w:r>
          </w:p>
        </w:tc>
      </w:tr>
      <w:tr w:rsidR="003F0D4B" w:rsidTr="00B02325">
        <w:tc>
          <w:tcPr>
            <w:tcW w:w="9016" w:type="dxa"/>
            <w:gridSpan w:val="2"/>
          </w:tcPr>
          <w:p w:rsidR="003F0D4B" w:rsidRDefault="003F0D4B" w:rsidP="003F0D4B">
            <w:r>
              <w:t>Option 7.2.1: Status quo (no change)</w:t>
            </w:r>
          </w:p>
          <w:p w:rsidR="003F0D4B" w:rsidRDefault="003F0D4B" w:rsidP="003F0D4B">
            <w:r w:rsidRPr="00204105">
              <w:t>Option 7.2.2: Application and enhancement of civil penalties to all breaches o</w:t>
            </w:r>
            <w:r>
              <w:t>f the Franchising and Oil Codes</w:t>
            </w:r>
          </w:p>
          <w:p w:rsidR="003F0D4B" w:rsidRDefault="003F0D4B" w:rsidP="003F0D4B">
            <w:r w:rsidRPr="00204105">
              <w:t>Option 7.2.3: Improved education and guidance on expectations around compliance with the code</w:t>
            </w:r>
          </w:p>
          <w:p w:rsidR="003F0D4B" w:rsidRDefault="003F0D4B" w:rsidP="003F0D4B"/>
        </w:tc>
      </w:tr>
      <w:tr w:rsidR="003F0D4B" w:rsidTr="00B02325">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B02325">
        <w:tc>
          <w:tcPr>
            <w:tcW w:w="9016" w:type="dxa"/>
            <w:gridSpan w:val="2"/>
          </w:tcPr>
          <w:p w:rsidR="003F0D4B" w:rsidRDefault="003F0D4B" w:rsidP="003F0D4B"/>
        </w:tc>
      </w:tr>
      <w:tr w:rsidR="003F0D4B" w:rsidTr="00B02325">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B02325">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516FD6"/>
    <w:rsid w:val="00531F43"/>
    <w:rsid w:val="0076070A"/>
    <w:rsid w:val="007D2442"/>
    <w:rsid w:val="0080166F"/>
    <w:rsid w:val="00837502"/>
    <w:rsid w:val="00A01DF3"/>
    <w:rsid w:val="00B02325"/>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278">
      <w:bodyDiv w:val="1"/>
      <w:marLeft w:val="0"/>
      <w:marRight w:val="0"/>
      <w:marTop w:val="0"/>
      <w:marBottom w:val="0"/>
      <w:divBdr>
        <w:top w:val="none" w:sz="0" w:space="0" w:color="auto"/>
        <w:left w:val="none" w:sz="0" w:space="0" w:color="auto"/>
        <w:bottom w:val="none" w:sz="0" w:space="0" w:color="auto"/>
        <w:right w:val="none" w:sz="0" w:space="0" w:color="auto"/>
      </w:divBdr>
    </w:div>
    <w:div w:id="13895010">
      <w:bodyDiv w:val="1"/>
      <w:marLeft w:val="0"/>
      <w:marRight w:val="0"/>
      <w:marTop w:val="0"/>
      <w:marBottom w:val="0"/>
      <w:divBdr>
        <w:top w:val="none" w:sz="0" w:space="0" w:color="auto"/>
        <w:left w:val="none" w:sz="0" w:space="0" w:color="auto"/>
        <w:bottom w:val="none" w:sz="0" w:space="0" w:color="auto"/>
        <w:right w:val="none" w:sz="0" w:space="0" w:color="auto"/>
      </w:divBdr>
    </w:div>
    <w:div w:id="25834316">
      <w:bodyDiv w:val="1"/>
      <w:marLeft w:val="0"/>
      <w:marRight w:val="0"/>
      <w:marTop w:val="0"/>
      <w:marBottom w:val="0"/>
      <w:divBdr>
        <w:top w:val="none" w:sz="0" w:space="0" w:color="auto"/>
        <w:left w:val="none" w:sz="0" w:space="0" w:color="auto"/>
        <w:bottom w:val="none" w:sz="0" w:space="0" w:color="auto"/>
        <w:right w:val="none" w:sz="0" w:space="0" w:color="auto"/>
      </w:divBdr>
    </w:div>
    <w:div w:id="39596321">
      <w:bodyDiv w:val="1"/>
      <w:marLeft w:val="0"/>
      <w:marRight w:val="0"/>
      <w:marTop w:val="0"/>
      <w:marBottom w:val="0"/>
      <w:divBdr>
        <w:top w:val="none" w:sz="0" w:space="0" w:color="auto"/>
        <w:left w:val="none" w:sz="0" w:space="0" w:color="auto"/>
        <w:bottom w:val="none" w:sz="0" w:space="0" w:color="auto"/>
        <w:right w:val="none" w:sz="0" w:space="0" w:color="auto"/>
      </w:divBdr>
    </w:div>
    <w:div w:id="100106077">
      <w:bodyDiv w:val="1"/>
      <w:marLeft w:val="0"/>
      <w:marRight w:val="0"/>
      <w:marTop w:val="0"/>
      <w:marBottom w:val="0"/>
      <w:divBdr>
        <w:top w:val="none" w:sz="0" w:space="0" w:color="auto"/>
        <w:left w:val="none" w:sz="0" w:space="0" w:color="auto"/>
        <w:bottom w:val="none" w:sz="0" w:space="0" w:color="auto"/>
        <w:right w:val="none" w:sz="0" w:space="0" w:color="auto"/>
      </w:divBdr>
    </w:div>
    <w:div w:id="297033456">
      <w:bodyDiv w:val="1"/>
      <w:marLeft w:val="0"/>
      <w:marRight w:val="0"/>
      <w:marTop w:val="0"/>
      <w:marBottom w:val="0"/>
      <w:divBdr>
        <w:top w:val="none" w:sz="0" w:space="0" w:color="auto"/>
        <w:left w:val="none" w:sz="0" w:space="0" w:color="auto"/>
        <w:bottom w:val="none" w:sz="0" w:space="0" w:color="auto"/>
        <w:right w:val="none" w:sz="0" w:space="0" w:color="auto"/>
      </w:divBdr>
    </w:div>
    <w:div w:id="364448666">
      <w:bodyDiv w:val="1"/>
      <w:marLeft w:val="0"/>
      <w:marRight w:val="0"/>
      <w:marTop w:val="0"/>
      <w:marBottom w:val="0"/>
      <w:divBdr>
        <w:top w:val="none" w:sz="0" w:space="0" w:color="auto"/>
        <w:left w:val="none" w:sz="0" w:space="0" w:color="auto"/>
        <w:bottom w:val="none" w:sz="0" w:space="0" w:color="auto"/>
        <w:right w:val="none" w:sz="0" w:space="0" w:color="auto"/>
      </w:divBdr>
    </w:div>
    <w:div w:id="430662279">
      <w:bodyDiv w:val="1"/>
      <w:marLeft w:val="0"/>
      <w:marRight w:val="0"/>
      <w:marTop w:val="0"/>
      <w:marBottom w:val="0"/>
      <w:divBdr>
        <w:top w:val="none" w:sz="0" w:space="0" w:color="auto"/>
        <w:left w:val="none" w:sz="0" w:space="0" w:color="auto"/>
        <w:bottom w:val="none" w:sz="0" w:space="0" w:color="auto"/>
        <w:right w:val="none" w:sz="0" w:space="0" w:color="auto"/>
      </w:divBdr>
    </w:div>
    <w:div w:id="434327100">
      <w:bodyDiv w:val="1"/>
      <w:marLeft w:val="0"/>
      <w:marRight w:val="0"/>
      <w:marTop w:val="0"/>
      <w:marBottom w:val="0"/>
      <w:divBdr>
        <w:top w:val="none" w:sz="0" w:space="0" w:color="auto"/>
        <w:left w:val="none" w:sz="0" w:space="0" w:color="auto"/>
        <w:bottom w:val="none" w:sz="0" w:space="0" w:color="auto"/>
        <w:right w:val="none" w:sz="0" w:space="0" w:color="auto"/>
      </w:divBdr>
    </w:div>
    <w:div w:id="445544116">
      <w:bodyDiv w:val="1"/>
      <w:marLeft w:val="0"/>
      <w:marRight w:val="0"/>
      <w:marTop w:val="0"/>
      <w:marBottom w:val="0"/>
      <w:divBdr>
        <w:top w:val="none" w:sz="0" w:space="0" w:color="auto"/>
        <w:left w:val="none" w:sz="0" w:space="0" w:color="auto"/>
        <w:bottom w:val="none" w:sz="0" w:space="0" w:color="auto"/>
        <w:right w:val="none" w:sz="0" w:space="0" w:color="auto"/>
      </w:divBdr>
    </w:div>
    <w:div w:id="625507968">
      <w:bodyDiv w:val="1"/>
      <w:marLeft w:val="0"/>
      <w:marRight w:val="0"/>
      <w:marTop w:val="0"/>
      <w:marBottom w:val="0"/>
      <w:divBdr>
        <w:top w:val="none" w:sz="0" w:space="0" w:color="auto"/>
        <w:left w:val="none" w:sz="0" w:space="0" w:color="auto"/>
        <w:bottom w:val="none" w:sz="0" w:space="0" w:color="auto"/>
        <w:right w:val="none" w:sz="0" w:space="0" w:color="auto"/>
      </w:divBdr>
    </w:div>
    <w:div w:id="626198963">
      <w:bodyDiv w:val="1"/>
      <w:marLeft w:val="0"/>
      <w:marRight w:val="0"/>
      <w:marTop w:val="0"/>
      <w:marBottom w:val="0"/>
      <w:divBdr>
        <w:top w:val="none" w:sz="0" w:space="0" w:color="auto"/>
        <w:left w:val="none" w:sz="0" w:space="0" w:color="auto"/>
        <w:bottom w:val="none" w:sz="0" w:space="0" w:color="auto"/>
        <w:right w:val="none" w:sz="0" w:space="0" w:color="auto"/>
      </w:divBdr>
    </w:div>
    <w:div w:id="640765486">
      <w:bodyDiv w:val="1"/>
      <w:marLeft w:val="0"/>
      <w:marRight w:val="0"/>
      <w:marTop w:val="0"/>
      <w:marBottom w:val="0"/>
      <w:divBdr>
        <w:top w:val="none" w:sz="0" w:space="0" w:color="auto"/>
        <w:left w:val="none" w:sz="0" w:space="0" w:color="auto"/>
        <w:bottom w:val="none" w:sz="0" w:space="0" w:color="auto"/>
        <w:right w:val="none" w:sz="0" w:space="0" w:color="auto"/>
      </w:divBdr>
    </w:div>
    <w:div w:id="690032660">
      <w:bodyDiv w:val="1"/>
      <w:marLeft w:val="0"/>
      <w:marRight w:val="0"/>
      <w:marTop w:val="0"/>
      <w:marBottom w:val="0"/>
      <w:divBdr>
        <w:top w:val="none" w:sz="0" w:space="0" w:color="auto"/>
        <w:left w:val="none" w:sz="0" w:space="0" w:color="auto"/>
        <w:bottom w:val="none" w:sz="0" w:space="0" w:color="auto"/>
        <w:right w:val="none" w:sz="0" w:space="0" w:color="auto"/>
      </w:divBdr>
    </w:div>
    <w:div w:id="720984827">
      <w:bodyDiv w:val="1"/>
      <w:marLeft w:val="0"/>
      <w:marRight w:val="0"/>
      <w:marTop w:val="0"/>
      <w:marBottom w:val="0"/>
      <w:divBdr>
        <w:top w:val="none" w:sz="0" w:space="0" w:color="auto"/>
        <w:left w:val="none" w:sz="0" w:space="0" w:color="auto"/>
        <w:bottom w:val="none" w:sz="0" w:space="0" w:color="auto"/>
        <w:right w:val="none" w:sz="0" w:space="0" w:color="auto"/>
      </w:divBdr>
    </w:div>
    <w:div w:id="799035058">
      <w:bodyDiv w:val="1"/>
      <w:marLeft w:val="0"/>
      <w:marRight w:val="0"/>
      <w:marTop w:val="0"/>
      <w:marBottom w:val="0"/>
      <w:divBdr>
        <w:top w:val="none" w:sz="0" w:space="0" w:color="auto"/>
        <w:left w:val="none" w:sz="0" w:space="0" w:color="auto"/>
        <w:bottom w:val="none" w:sz="0" w:space="0" w:color="auto"/>
        <w:right w:val="none" w:sz="0" w:space="0" w:color="auto"/>
      </w:divBdr>
    </w:div>
    <w:div w:id="829564710">
      <w:bodyDiv w:val="1"/>
      <w:marLeft w:val="0"/>
      <w:marRight w:val="0"/>
      <w:marTop w:val="0"/>
      <w:marBottom w:val="0"/>
      <w:divBdr>
        <w:top w:val="none" w:sz="0" w:space="0" w:color="auto"/>
        <w:left w:val="none" w:sz="0" w:space="0" w:color="auto"/>
        <w:bottom w:val="none" w:sz="0" w:space="0" w:color="auto"/>
        <w:right w:val="none" w:sz="0" w:space="0" w:color="auto"/>
      </w:divBdr>
    </w:div>
    <w:div w:id="906569751">
      <w:bodyDiv w:val="1"/>
      <w:marLeft w:val="0"/>
      <w:marRight w:val="0"/>
      <w:marTop w:val="0"/>
      <w:marBottom w:val="0"/>
      <w:divBdr>
        <w:top w:val="none" w:sz="0" w:space="0" w:color="auto"/>
        <w:left w:val="none" w:sz="0" w:space="0" w:color="auto"/>
        <w:bottom w:val="none" w:sz="0" w:space="0" w:color="auto"/>
        <w:right w:val="none" w:sz="0" w:space="0" w:color="auto"/>
      </w:divBdr>
    </w:div>
    <w:div w:id="919406308">
      <w:bodyDiv w:val="1"/>
      <w:marLeft w:val="0"/>
      <w:marRight w:val="0"/>
      <w:marTop w:val="0"/>
      <w:marBottom w:val="0"/>
      <w:divBdr>
        <w:top w:val="none" w:sz="0" w:space="0" w:color="auto"/>
        <w:left w:val="none" w:sz="0" w:space="0" w:color="auto"/>
        <w:bottom w:val="none" w:sz="0" w:space="0" w:color="auto"/>
        <w:right w:val="none" w:sz="0" w:space="0" w:color="auto"/>
      </w:divBdr>
    </w:div>
    <w:div w:id="944384546">
      <w:bodyDiv w:val="1"/>
      <w:marLeft w:val="0"/>
      <w:marRight w:val="0"/>
      <w:marTop w:val="0"/>
      <w:marBottom w:val="0"/>
      <w:divBdr>
        <w:top w:val="none" w:sz="0" w:space="0" w:color="auto"/>
        <w:left w:val="none" w:sz="0" w:space="0" w:color="auto"/>
        <w:bottom w:val="none" w:sz="0" w:space="0" w:color="auto"/>
        <w:right w:val="none" w:sz="0" w:space="0" w:color="auto"/>
      </w:divBdr>
    </w:div>
    <w:div w:id="1048450529">
      <w:bodyDiv w:val="1"/>
      <w:marLeft w:val="0"/>
      <w:marRight w:val="0"/>
      <w:marTop w:val="0"/>
      <w:marBottom w:val="0"/>
      <w:divBdr>
        <w:top w:val="none" w:sz="0" w:space="0" w:color="auto"/>
        <w:left w:val="none" w:sz="0" w:space="0" w:color="auto"/>
        <w:bottom w:val="none" w:sz="0" w:space="0" w:color="auto"/>
        <w:right w:val="none" w:sz="0" w:space="0" w:color="auto"/>
      </w:divBdr>
    </w:div>
    <w:div w:id="1117337924">
      <w:bodyDiv w:val="1"/>
      <w:marLeft w:val="0"/>
      <w:marRight w:val="0"/>
      <w:marTop w:val="0"/>
      <w:marBottom w:val="0"/>
      <w:divBdr>
        <w:top w:val="none" w:sz="0" w:space="0" w:color="auto"/>
        <w:left w:val="none" w:sz="0" w:space="0" w:color="auto"/>
        <w:bottom w:val="none" w:sz="0" w:space="0" w:color="auto"/>
        <w:right w:val="none" w:sz="0" w:space="0" w:color="auto"/>
      </w:divBdr>
    </w:div>
    <w:div w:id="1212498341">
      <w:bodyDiv w:val="1"/>
      <w:marLeft w:val="0"/>
      <w:marRight w:val="0"/>
      <w:marTop w:val="0"/>
      <w:marBottom w:val="0"/>
      <w:divBdr>
        <w:top w:val="none" w:sz="0" w:space="0" w:color="auto"/>
        <w:left w:val="none" w:sz="0" w:space="0" w:color="auto"/>
        <w:bottom w:val="none" w:sz="0" w:space="0" w:color="auto"/>
        <w:right w:val="none" w:sz="0" w:space="0" w:color="auto"/>
      </w:divBdr>
    </w:div>
    <w:div w:id="1289317983">
      <w:bodyDiv w:val="1"/>
      <w:marLeft w:val="0"/>
      <w:marRight w:val="0"/>
      <w:marTop w:val="0"/>
      <w:marBottom w:val="0"/>
      <w:divBdr>
        <w:top w:val="none" w:sz="0" w:space="0" w:color="auto"/>
        <w:left w:val="none" w:sz="0" w:space="0" w:color="auto"/>
        <w:bottom w:val="none" w:sz="0" w:space="0" w:color="auto"/>
        <w:right w:val="none" w:sz="0" w:space="0" w:color="auto"/>
      </w:divBdr>
    </w:div>
    <w:div w:id="1501307895">
      <w:bodyDiv w:val="1"/>
      <w:marLeft w:val="0"/>
      <w:marRight w:val="0"/>
      <w:marTop w:val="0"/>
      <w:marBottom w:val="0"/>
      <w:divBdr>
        <w:top w:val="none" w:sz="0" w:space="0" w:color="auto"/>
        <w:left w:val="none" w:sz="0" w:space="0" w:color="auto"/>
        <w:bottom w:val="none" w:sz="0" w:space="0" w:color="auto"/>
        <w:right w:val="none" w:sz="0" w:space="0" w:color="auto"/>
      </w:divBdr>
    </w:div>
    <w:div w:id="1546484416">
      <w:bodyDiv w:val="1"/>
      <w:marLeft w:val="0"/>
      <w:marRight w:val="0"/>
      <w:marTop w:val="0"/>
      <w:marBottom w:val="0"/>
      <w:divBdr>
        <w:top w:val="none" w:sz="0" w:space="0" w:color="auto"/>
        <w:left w:val="none" w:sz="0" w:space="0" w:color="auto"/>
        <w:bottom w:val="none" w:sz="0" w:space="0" w:color="auto"/>
        <w:right w:val="none" w:sz="0" w:space="0" w:color="auto"/>
      </w:divBdr>
    </w:div>
    <w:div w:id="1749879895">
      <w:bodyDiv w:val="1"/>
      <w:marLeft w:val="0"/>
      <w:marRight w:val="0"/>
      <w:marTop w:val="0"/>
      <w:marBottom w:val="0"/>
      <w:divBdr>
        <w:top w:val="none" w:sz="0" w:space="0" w:color="auto"/>
        <w:left w:val="none" w:sz="0" w:space="0" w:color="auto"/>
        <w:bottom w:val="none" w:sz="0" w:space="0" w:color="auto"/>
        <w:right w:val="none" w:sz="0" w:space="0" w:color="auto"/>
      </w:divBdr>
    </w:div>
    <w:div w:id="1849631618">
      <w:bodyDiv w:val="1"/>
      <w:marLeft w:val="0"/>
      <w:marRight w:val="0"/>
      <w:marTop w:val="0"/>
      <w:marBottom w:val="0"/>
      <w:divBdr>
        <w:top w:val="none" w:sz="0" w:space="0" w:color="auto"/>
        <w:left w:val="none" w:sz="0" w:space="0" w:color="auto"/>
        <w:bottom w:val="none" w:sz="0" w:space="0" w:color="auto"/>
        <w:right w:val="none" w:sz="0" w:space="0" w:color="auto"/>
      </w:divBdr>
    </w:div>
    <w:div w:id="1859657436">
      <w:bodyDiv w:val="1"/>
      <w:marLeft w:val="0"/>
      <w:marRight w:val="0"/>
      <w:marTop w:val="0"/>
      <w:marBottom w:val="0"/>
      <w:divBdr>
        <w:top w:val="none" w:sz="0" w:space="0" w:color="auto"/>
        <w:left w:val="none" w:sz="0" w:space="0" w:color="auto"/>
        <w:bottom w:val="none" w:sz="0" w:space="0" w:color="auto"/>
        <w:right w:val="none" w:sz="0" w:space="0" w:color="auto"/>
      </w:divBdr>
    </w:div>
    <w:div w:id="1884365992">
      <w:bodyDiv w:val="1"/>
      <w:marLeft w:val="0"/>
      <w:marRight w:val="0"/>
      <w:marTop w:val="0"/>
      <w:marBottom w:val="0"/>
      <w:divBdr>
        <w:top w:val="none" w:sz="0" w:space="0" w:color="auto"/>
        <w:left w:val="none" w:sz="0" w:space="0" w:color="auto"/>
        <w:bottom w:val="none" w:sz="0" w:space="0" w:color="auto"/>
        <w:right w:val="none" w:sz="0" w:space="0" w:color="auto"/>
      </w:divBdr>
    </w:div>
    <w:div w:id="1920292408">
      <w:bodyDiv w:val="1"/>
      <w:marLeft w:val="0"/>
      <w:marRight w:val="0"/>
      <w:marTop w:val="0"/>
      <w:marBottom w:val="0"/>
      <w:divBdr>
        <w:top w:val="none" w:sz="0" w:space="0" w:color="auto"/>
        <w:left w:val="none" w:sz="0" w:space="0" w:color="auto"/>
        <w:bottom w:val="none" w:sz="0" w:space="0" w:color="auto"/>
        <w:right w:val="none" w:sz="0" w:space="0" w:color="auto"/>
      </w:divBdr>
    </w:div>
    <w:div w:id="2031636424">
      <w:bodyDiv w:val="1"/>
      <w:marLeft w:val="0"/>
      <w:marRight w:val="0"/>
      <w:marTop w:val="0"/>
      <w:marBottom w:val="0"/>
      <w:divBdr>
        <w:top w:val="none" w:sz="0" w:space="0" w:color="auto"/>
        <w:left w:val="none" w:sz="0" w:space="0" w:color="auto"/>
        <w:bottom w:val="none" w:sz="0" w:space="0" w:color="auto"/>
        <w:right w:val="none" w:sz="0" w:space="0" w:color="auto"/>
      </w:divBdr>
    </w:div>
    <w:div w:id="2042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2020-02-21T04:16:00Z</dcterms:created>
  <dcterms:modified xsi:type="dcterms:W3CDTF">2020-02-21T04:24:00Z</dcterms:modified>
</cp:coreProperties>
</file>