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4E592E">
        <w:tc>
          <w:tcPr>
            <w:tcW w:w="2122" w:type="dxa"/>
          </w:tcPr>
          <w:p w:rsidR="00FF0404" w:rsidRPr="0076070A" w:rsidRDefault="00FF0404">
            <w:pPr>
              <w:rPr>
                <w:b/>
              </w:rPr>
            </w:pPr>
            <w:r w:rsidRPr="0076070A">
              <w:rPr>
                <w:b/>
              </w:rPr>
              <w:t>Name</w:t>
            </w:r>
          </w:p>
        </w:tc>
        <w:tc>
          <w:tcPr>
            <w:tcW w:w="6894" w:type="dxa"/>
          </w:tcPr>
          <w:p w:rsidR="00FF0404" w:rsidRDefault="00382030">
            <w:r>
              <w:t>Anonymous</w:t>
            </w:r>
          </w:p>
        </w:tc>
      </w:tr>
      <w:tr w:rsidR="00FF0404" w:rsidTr="004E592E">
        <w:tc>
          <w:tcPr>
            <w:tcW w:w="2122" w:type="dxa"/>
          </w:tcPr>
          <w:p w:rsidR="00FF0404" w:rsidRPr="0076070A" w:rsidRDefault="00FF0404">
            <w:pPr>
              <w:rPr>
                <w:b/>
              </w:rPr>
            </w:pPr>
          </w:p>
        </w:tc>
        <w:tc>
          <w:tcPr>
            <w:tcW w:w="6894" w:type="dxa"/>
          </w:tcPr>
          <w:p w:rsidR="00FF0404" w:rsidRDefault="00FF0404"/>
        </w:tc>
      </w:tr>
      <w:tr w:rsidR="00FF0404" w:rsidTr="004E592E">
        <w:tc>
          <w:tcPr>
            <w:tcW w:w="2122" w:type="dxa"/>
          </w:tcPr>
          <w:p w:rsidR="00FF0404" w:rsidRPr="0076070A" w:rsidRDefault="00FF0404">
            <w:pPr>
              <w:rPr>
                <w:b/>
              </w:rPr>
            </w:pPr>
          </w:p>
        </w:tc>
        <w:tc>
          <w:tcPr>
            <w:tcW w:w="6894" w:type="dxa"/>
          </w:tcPr>
          <w:p w:rsidR="00FF0404" w:rsidRDefault="00FF0404"/>
        </w:tc>
      </w:tr>
      <w:tr w:rsidR="00FF0404" w:rsidTr="004E592E">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tr>
      <w:tr w:rsidR="00FF0404" w:rsidTr="004E592E">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1.  Current and past sale, profitability, Balance sheet for the business.</w:t>
            </w:r>
            <w:r>
              <w:rPr>
                <w:rFonts w:ascii="Calibri" w:hAnsi="Calibri" w:cs="Calibri"/>
                <w:color w:val="000000"/>
              </w:rPr>
              <w:br/>
              <w:t>2. Business trend and challenges</w:t>
            </w:r>
            <w:r>
              <w:rPr>
                <w:rFonts w:ascii="Calibri" w:hAnsi="Calibri" w:cs="Calibri"/>
                <w:color w:val="000000"/>
              </w:rPr>
              <w:br/>
              <w:t xml:space="preserve">3. Expected events/ triggers that could </w:t>
            </w:r>
            <w:proofErr w:type="spellStart"/>
            <w:r>
              <w:rPr>
                <w:rFonts w:ascii="Calibri" w:hAnsi="Calibri" w:cs="Calibri"/>
                <w:color w:val="000000"/>
              </w:rPr>
              <w:t>effect</w:t>
            </w:r>
            <w:proofErr w:type="spellEnd"/>
            <w:r>
              <w:rPr>
                <w:rFonts w:ascii="Calibri" w:hAnsi="Calibri" w:cs="Calibri"/>
                <w:color w:val="000000"/>
              </w:rPr>
              <w:t xml:space="preserve"> business significantly</w:t>
            </w:r>
          </w:p>
          <w:p w:rsidR="00FF0404" w:rsidRDefault="00FF0404"/>
        </w:tc>
      </w:tr>
      <w:tr w:rsidR="00FF0404" w:rsidTr="004E592E">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1. Performance of each Franchiser in terms of their mentoring and accommodating franchisees needs.</w:t>
            </w:r>
            <w:r>
              <w:rPr>
                <w:rFonts w:ascii="Calibri" w:hAnsi="Calibri" w:cs="Calibri"/>
                <w:color w:val="000000"/>
              </w:rPr>
              <w:br/>
              <w:t xml:space="preserve">2. Feedback from existing Franchisees </w:t>
            </w:r>
            <w:r>
              <w:rPr>
                <w:rFonts w:ascii="Calibri" w:hAnsi="Calibri" w:cs="Calibri"/>
                <w:color w:val="000000"/>
              </w:rPr>
              <w:br/>
              <w:t xml:space="preserve">3. Fairness of Franchiser when making marketing decisions and how they </w:t>
            </w:r>
            <w:proofErr w:type="spellStart"/>
            <w:r>
              <w:rPr>
                <w:rFonts w:ascii="Calibri" w:hAnsi="Calibri" w:cs="Calibri"/>
                <w:color w:val="000000"/>
              </w:rPr>
              <w:t>effect</w:t>
            </w:r>
            <w:proofErr w:type="spellEnd"/>
            <w:r>
              <w:rPr>
                <w:rFonts w:ascii="Calibri" w:hAnsi="Calibri" w:cs="Calibri"/>
                <w:color w:val="000000"/>
              </w:rPr>
              <w:t xml:space="preserve"> franchisee business</w:t>
            </w:r>
          </w:p>
          <w:p w:rsidR="00FF0404" w:rsidRDefault="00FF0404"/>
        </w:tc>
      </w:tr>
      <w:tr w:rsidR="00FF0404" w:rsidTr="004E592E">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bookmarkStart w:id="0" w:name="_GoBack"/>
            <w:bookmarkEnd w:id="0"/>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4E592E">
        <w:tc>
          <w:tcPr>
            <w:tcW w:w="9016" w:type="dxa"/>
            <w:gridSpan w:val="2"/>
          </w:tcPr>
          <w:p w:rsidR="00FF0404" w:rsidRDefault="00FF0404">
            <w:r>
              <w:t>Option 1.1.2: Changes to the Franchising Code to increase disclosure</w:t>
            </w:r>
          </w:p>
          <w:p w:rsidR="00FF0404" w:rsidRDefault="00FF0404" w:rsidP="00382030">
            <w:pPr>
              <w:pStyle w:val="ListParagraph"/>
              <w:numPr>
                <w:ilvl w:val="0"/>
                <w:numId w:val="1"/>
              </w:numPr>
            </w:pPr>
            <w:r w:rsidRPr="00FF0404">
              <w:t xml:space="preserve">Increased </w:t>
            </w:r>
            <w:r>
              <w:t>and formal financial disclosure</w:t>
            </w:r>
            <w:r w:rsidRPr="00FF0404">
              <w:t xml:space="preserve"> </w:t>
            </w:r>
          </w:p>
          <w:p w:rsidR="003F0D4B" w:rsidRDefault="003F0D4B" w:rsidP="00382030"/>
        </w:tc>
      </w:tr>
      <w:tr w:rsidR="00FF0404" w:rsidTr="004E592E">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4E592E">
        <w:tc>
          <w:tcPr>
            <w:tcW w:w="9016" w:type="dxa"/>
            <w:gridSpan w:val="2"/>
          </w:tcPr>
          <w:p w:rsidR="003F0D4B" w:rsidRPr="00FF0404" w:rsidRDefault="003F0D4B"/>
        </w:tc>
      </w:tr>
      <w:tr w:rsidR="00FF0404" w:rsidTr="004E592E">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4E592E">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382030">
            <w:pPr>
              <w:pStyle w:val="ListParagraph"/>
              <w:numPr>
                <w:ilvl w:val="0"/>
                <w:numId w:val="7"/>
              </w:numPr>
            </w:pPr>
            <w:r>
              <w:t>National franchise register</w:t>
            </w:r>
          </w:p>
          <w:p w:rsidR="003F0D4B" w:rsidRDefault="003F0D4B" w:rsidP="00382030">
            <w:pPr>
              <w:ind w:left="360"/>
            </w:pPr>
          </w:p>
        </w:tc>
      </w:tr>
      <w:tr w:rsidR="00C26190" w:rsidTr="004E592E">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4E592E">
        <w:tc>
          <w:tcPr>
            <w:tcW w:w="9016" w:type="dxa"/>
            <w:gridSpan w:val="2"/>
          </w:tcPr>
          <w:p w:rsidR="00C26190" w:rsidRPr="00C26190" w:rsidRDefault="00C26190" w:rsidP="00FF0404"/>
        </w:tc>
      </w:tr>
      <w:tr w:rsidR="00FF0404" w:rsidTr="004E592E">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Option 1.3.2: A new Government online educational resource for the franchising sector</w:t>
            </w:r>
          </w:p>
          <w:p w:rsidR="003F0D4B" w:rsidRDefault="003F0D4B"/>
        </w:tc>
      </w:tr>
      <w:tr w:rsidR="00FF0404" w:rsidTr="004E592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C26190">
            <w:pPr>
              <w:rPr>
                <w:b/>
              </w:rPr>
            </w:pPr>
            <w:r w:rsidRPr="003F0D4B">
              <w:rPr>
                <w:b/>
              </w:rPr>
              <w:lastRenderedPageBreak/>
              <w:t>4. What are the practical implications (costs and benefits) for prospective franchisees and franchisors of increasing cooling off or disclosure periods?</w:t>
            </w:r>
          </w:p>
        </w:tc>
      </w:tr>
      <w:tr w:rsidR="00FF0404" w:rsidTr="004E592E">
        <w:trPr>
          <w:trHeight w:val="339"/>
        </w:trPr>
        <w:tc>
          <w:tcPr>
            <w:tcW w:w="9016" w:type="dxa"/>
            <w:gridSpan w:val="2"/>
          </w:tcPr>
          <w:p w:rsidR="00FF0404" w:rsidRDefault="00FF0404"/>
        </w:tc>
      </w:tr>
      <w:tr w:rsidR="00FF0404" w:rsidTr="004E592E">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 xml:space="preserve">All the existing and past leasing costs should be made available. </w:t>
            </w:r>
          </w:p>
          <w:p w:rsidR="00FF0404" w:rsidRDefault="00FF0404"/>
        </w:tc>
      </w:tr>
      <w:tr w:rsidR="00FF0404" w:rsidTr="004E592E">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Option 2.1.2: Extend cooling off to 14 days and modify the circumstances which trigger the commencement of the cooling off period</w:t>
            </w:r>
          </w:p>
          <w:p w:rsidR="003F0D4B" w:rsidRDefault="003F0D4B"/>
        </w:tc>
      </w:tr>
      <w:tr w:rsidR="00FF0404" w:rsidTr="004E592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Option 2.2.2: Extend cooling off periods, transparency, and termination rights in relation to leases</w:t>
            </w:r>
          </w:p>
          <w:p w:rsidR="003F0D4B" w:rsidRDefault="003F0D4B"/>
        </w:tc>
      </w:tr>
      <w:tr w:rsidR="00FF0404" w:rsidTr="004E592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Option 2.3.2: Extend cooling off to transfers, extensions and renewals</w:t>
            </w:r>
          </w:p>
          <w:p w:rsidR="003F0D4B" w:rsidRDefault="003F0D4B"/>
        </w:tc>
      </w:tr>
      <w:tr w:rsidR="00FF0404" w:rsidTr="004E592E">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4E592E">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t>Improve consistency within the Franchising Code about the treatment of marketing funds,</w:t>
            </w:r>
            <w:r>
              <w:t xml:space="preserve"> particularly clauses 15 and 31</w:t>
            </w:r>
          </w:p>
          <w:p w:rsidR="00A01DF3" w:rsidRDefault="00A01DF3" w:rsidP="00A01DF3">
            <w:pPr>
              <w:pStyle w:val="ListParagraph"/>
              <w:numPr>
                <w:ilvl w:val="0"/>
                <w:numId w:val="3"/>
              </w:numPr>
            </w:pPr>
            <w:r w:rsidRPr="00A01DF3">
              <w:t>Introduce civil pecuniary pena</w:t>
            </w:r>
            <w:r>
              <w:t>lties for a breach of clause 31</w:t>
            </w:r>
          </w:p>
          <w:p w:rsidR="00A01DF3" w:rsidRDefault="00A01DF3" w:rsidP="00A01DF3">
            <w:pPr>
              <w:pStyle w:val="ListParagraph"/>
              <w:numPr>
                <w:ilvl w:val="0"/>
                <w:numId w:val="3"/>
              </w:numPr>
            </w:pPr>
            <w:r w:rsidRPr="00A01DF3">
              <w:t>Increase the frequency and standards of reporting of marketing funds</w:t>
            </w:r>
          </w:p>
          <w:p w:rsidR="00A01DF3" w:rsidRDefault="00A01DF3" w:rsidP="00A01DF3">
            <w:pPr>
              <w:pStyle w:val="ListParagraph"/>
              <w:numPr>
                <w:ilvl w:val="0"/>
                <w:numId w:val="3"/>
              </w:numPr>
            </w:pPr>
            <w:r w:rsidRPr="00A01DF3">
              <w:t>Require master franchisors to meet requirements of marketing funds</w:t>
            </w:r>
          </w:p>
          <w:p w:rsidR="003F0D4B" w:rsidRDefault="003F0D4B" w:rsidP="00382030"/>
        </w:tc>
      </w:tr>
      <w:tr w:rsidR="00FF0404" w:rsidTr="004E592E">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4E592E">
        <w:tc>
          <w:tcPr>
            <w:tcW w:w="9016" w:type="dxa"/>
            <w:gridSpan w:val="2"/>
          </w:tcPr>
          <w:p w:rsidR="00FF0404" w:rsidRDefault="00FF0404"/>
        </w:tc>
      </w:tr>
      <w:tr w:rsidR="00FF0404" w:rsidTr="004E592E">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 xml:space="preserve">The rebates should be passed on in full to Franchisee. </w:t>
            </w:r>
            <w:r>
              <w:rPr>
                <w:rFonts w:ascii="Calibri" w:hAnsi="Calibri" w:cs="Calibri"/>
                <w:color w:val="000000"/>
              </w:rPr>
              <w:br/>
              <w:t xml:space="preserve">Each marketing campaign should indicate the cost and benefit analysis </w:t>
            </w:r>
          </w:p>
          <w:p w:rsidR="00FF0404" w:rsidRDefault="00FF0404"/>
        </w:tc>
      </w:tr>
      <w:tr w:rsidR="00FF0404" w:rsidTr="004E592E">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Allow Franchisee to analyse the costs and contribute to reduce them.</w:t>
            </w:r>
          </w:p>
          <w:p w:rsidR="00FF0404" w:rsidRDefault="00FF0404"/>
        </w:tc>
      </w:tr>
      <w:tr w:rsidR="00FF0404" w:rsidTr="004E592E">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4E592E">
        <w:tc>
          <w:tcPr>
            <w:tcW w:w="9016" w:type="dxa"/>
            <w:gridSpan w:val="2"/>
          </w:tcPr>
          <w:p w:rsidR="00EE5CDA" w:rsidRPr="007D2442" w:rsidRDefault="00EE5CDA"/>
        </w:tc>
      </w:tr>
      <w:tr w:rsidR="00EE5CDA" w:rsidTr="004E592E">
        <w:tc>
          <w:tcPr>
            <w:tcW w:w="9016" w:type="dxa"/>
            <w:gridSpan w:val="2"/>
          </w:tcPr>
          <w:p w:rsidR="00EE5CDA" w:rsidRPr="003F0D4B" w:rsidRDefault="00EE5CDA">
            <w:pPr>
              <w:rPr>
                <w:b/>
              </w:rPr>
            </w:pPr>
            <w:r w:rsidRPr="003F0D4B">
              <w:rPr>
                <w:b/>
              </w:rPr>
              <w:t>Problem 4.1 Supplier rebates can lead to conflicts of interest</w:t>
            </w:r>
          </w:p>
        </w:tc>
      </w:tr>
      <w:tr w:rsidR="00EE5CDA"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Option 4.1.2: Address conflicts of interest in the handling of supplier rebates to franchisors by requiring increased disclosure</w:t>
            </w:r>
          </w:p>
          <w:p w:rsidR="003F0D4B" w:rsidRPr="007D2442" w:rsidRDefault="003F0D4B"/>
        </w:tc>
      </w:tr>
      <w:tr w:rsidR="00EE5CDA" w:rsidTr="004E592E">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4E592E">
        <w:tc>
          <w:tcPr>
            <w:tcW w:w="9016" w:type="dxa"/>
            <w:gridSpan w:val="2"/>
          </w:tcPr>
          <w:p w:rsidR="00EE5CDA" w:rsidRPr="007D2442" w:rsidRDefault="00EE5CDA"/>
        </w:tc>
      </w:tr>
      <w:tr w:rsidR="00CB0D83" w:rsidTr="004E592E">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 xml:space="preserve">Option 4.2.2: Modify the Code to define significant capital expenditure and provide rights for franchisees to recoup the value of </w:t>
            </w:r>
            <w:r>
              <w:rPr>
                <w:rFonts w:ascii="Calibri" w:hAnsi="Calibri" w:cs="Calibri"/>
                <w:color w:val="000000"/>
              </w:rPr>
              <w:t xml:space="preserve">significant capital </w:t>
            </w:r>
            <w:proofErr w:type="spellStart"/>
            <w:r>
              <w:rPr>
                <w:rFonts w:ascii="Calibri" w:hAnsi="Calibri" w:cs="Calibri"/>
                <w:color w:val="000000"/>
              </w:rPr>
              <w:t>expenditure</w:t>
            </w:r>
          </w:p>
          <w:p w:rsidR="00382030" w:rsidRDefault="00382030" w:rsidP="00382030">
            <w:pPr>
              <w:rPr>
                <w:rFonts w:ascii="Calibri" w:hAnsi="Calibri" w:cs="Calibri"/>
                <w:color w:val="000000"/>
              </w:rPr>
            </w:pPr>
            <w:proofErr w:type="spellEnd"/>
            <w:r>
              <w:rPr>
                <w:rFonts w:ascii="Calibri" w:hAnsi="Calibri" w:cs="Calibri"/>
                <w:color w:val="000000"/>
              </w:rPr>
              <w:t>Option 4.2.3: Clarify franchisee rights when significant capital expenditure is required</w:t>
            </w:r>
          </w:p>
          <w:p w:rsidR="003F0D4B" w:rsidRPr="003F0D4B" w:rsidRDefault="003F0D4B"/>
        </w:tc>
      </w:tr>
      <w:tr w:rsidR="00EE5CDA" w:rsidTr="004E592E">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4E592E">
        <w:tc>
          <w:tcPr>
            <w:tcW w:w="9016" w:type="dxa"/>
            <w:gridSpan w:val="2"/>
          </w:tcPr>
          <w:p w:rsidR="00EE5CDA" w:rsidRPr="007D2442" w:rsidRDefault="00EE5CDA"/>
        </w:tc>
      </w:tr>
      <w:tr w:rsidR="00EE5CDA" w:rsidTr="004E592E">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Option 4.3.2: Banning or limiting the circumstances in which franchisors can unilate</w:t>
            </w:r>
            <w:r>
              <w:rPr>
                <w:rFonts w:ascii="Calibri" w:hAnsi="Calibri" w:cs="Calibri"/>
                <w:color w:val="000000"/>
              </w:rPr>
              <w:t xml:space="preserve">rally vary franchise </w:t>
            </w:r>
            <w:proofErr w:type="spellStart"/>
            <w:r>
              <w:rPr>
                <w:rFonts w:ascii="Calibri" w:hAnsi="Calibri" w:cs="Calibri"/>
                <w:color w:val="000000"/>
              </w:rPr>
              <w:t>agreements</w:t>
            </w:r>
          </w:p>
          <w:p w:rsidR="00382030" w:rsidRDefault="00382030" w:rsidP="00382030">
            <w:pPr>
              <w:rPr>
                <w:rFonts w:ascii="Calibri" w:hAnsi="Calibri" w:cs="Calibri"/>
                <w:color w:val="000000"/>
              </w:rPr>
            </w:pPr>
            <w:proofErr w:type="spellEnd"/>
            <w:r>
              <w:rPr>
                <w:rFonts w:ascii="Calibri" w:hAnsi="Calibri" w:cs="Calibri"/>
                <w:color w:val="000000"/>
              </w:rPr>
              <w:t>Option 4.3.3: Increase awareness around legal rights</w:t>
            </w:r>
          </w:p>
          <w:p w:rsidR="003F0D4B" w:rsidRPr="007D2442" w:rsidRDefault="003F0D4B"/>
        </w:tc>
      </w:tr>
      <w:tr w:rsidR="00EE5CDA" w:rsidTr="004E592E">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4E592E">
        <w:tc>
          <w:tcPr>
            <w:tcW w:w="9016" w:type="dxa"/>
            <w:gridSpan w:val="2"/>
          </w:tcPr>
          <w:p w:rsidR="00EE5CDA" w:rsidRPr="007D2442" w:rsidRDefault="00EE5CDA"/>
        </w:tc>
      </w:tr>
      <w:tr w:rsidR="00EE5CDA" w:rsidTr="004E592E">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4E592E">
        <w:tc>
          <w:tcPr>
            <w:tcW w:w="9016" w:type="dxa"/>
            <w:gridSpan w:val="2"/>
          </w:tcPr>
          <w:p w:rsidR="00EE5CDA" w:rsidRPr="007D2442" w:rsidRDefault="00EE5CDA"/>
        </w:tc>
      </w:tr>
      <w:tr w:rsidR="00EE5CDA" w:rsidTr="004E592E">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4E592E">
        <w:tc>
          <w:tcPr>
            <w:tcW w:w="9016" w:type="dxa"/>
            <w:gridSpan w:val="2"/>
          </w:tcPr>
          <w:p w:rsidR="00EE5CDA" w:rsidRPr="007D2442" w:rsidRDefault="00EE5CDA"/>
        </w:tc>
      </w:tr>
      <w:tr w:rsidR="00EE5CDA" w:rsidTr="004E592E">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4E592E">
        <w:tc>
          <w:tcPr>
            <w:tcW w:w="9016" w:type="dxa"/>
            <w:gridSpan w:val="2"/>
          </w:tcPr>
          <w:p w:rsidR="002A69D5" w:rsidRDefault="002A69D5">
            <w:r w:rsidRPr="002A69D5">
              <w:lastRenderedPageBreak/>
              <w:t>Option 5.1.2: Expand options for dispute resolution, and streamline mediation procedures and services</w:t>
            </w:r>
          </w:p>
          <w:p w:rsidR="002A69D5" w:rsidRDefault="002A69D5" w:rsidP="00382030">
            <w:pPr>
              <w:pStyle w:val="ListParagraph"/>
              <w:numPr>
                <w:ilvl w:val="0"/>
                <w:numId w:val="8"/>
              </w:numPr>
            </w:pPr>
            <w:r>
              <w:t>Strengthen third party involvement in dispute resolution including pathways for binding dispute resolution</w:t>
            </w:r>
          </w:p>
          <w:p w:rsidR="002A69D5" w:rsidRDefault="002A69D5" w:rsidP="00382030">
            <w:pPr>
              <w:pStyle w:val="ListParagraph"/>
              <w:numPr>
                <w:ilvl w:val="0"/>
                <w:numId w:val="8"/>
              </w:numPr>
            </w:pPr>
            <w:r>
              <w:t>Clarify the availability of multi-party mediation</w:t>
            </w:r>
          </w:p>
          <w:p w:rsidR="002A69D5" w:rsidRDefault="002A69D5">
            <w:r w:rsidRPr="002A69D5">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4E592E">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4E592E">
        <w:tc>
          <w:tcPr>
            <w:tcW w:w="9016" w:type="dxa"/>
            <w:gridSpan w:val="2"/>
          </w:tcPr>
          <w:p w:rsidR="002A69D5" w:rsidRPr="002A69D5" w:rsidRDefault="002A69D5"/>
        </w:tc>
      </w:tr>
      <w:tr w:rsidR="002A69D5" w:rsidTr="004E592E">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When Franchiser makes unilateral decision to effect the profitability and viability of Franchisee. Franchisee should be due for compensation</w:t>
            </w:r>
          </w:p>
          <w:p w:rsidR="002A69D5" w:rsidRPr="002A69D5" w:rsidRDefault="002A69D5"/>
        </w:tc>
      </w:tr>
      <w:tr w:rsidR="002A69D5" w:rsidRPr="003F0D4B" w:rsidTr="004E592E">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4E592E">
        <w:tc>
          <w:tcPr>
            <w:tcW w:w="9016" w:type="dxa"/>
            <w:gridSpan w:val="2"/>
          </w:tcPr>
          <w:p w:rsidR="002A69D5" w:rsidRPr="002A69D5" w:rsidRDefault="002A69D5"/>
        </w:tc>
      </w:tr>
      <w:tr w:rsidR="002A69D5" w:rsidTr="004E592E">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4E592E">
        <w:tc>
          <w:tcPr>
            <w:tcW w:w="9016" w:type="dxa"/>
            <w:gridSpan w:val="2"/>
          </w:tcPr>
          <w:p w:rsidR="000853F1" w:rsidRDefault="000853F1" w:rsidP="002A69D5">
            <w:r w:rsidRPr="000853F1">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382030">
            <w:pPr>
              <w:pStyle w:val="ListParagraph"/>
              <w:numPr>
                <w:ilvl w:val="0"/>
                <w:numId w:val="9"/>
              </w:numPr>
            </w:pPr>
            <w:r>
              <w:t>Provide statutory termination rights to franchisees</w:t>
            </w:r>
          </w:p>
          <w:p w:rsidR="000853F1" w:rsidRDefault="000853F1" w:rsidP="00382030">
            <w:pPr>
              <w:pStyle w:val="ListParagraph"/>
              <w:numPr>
                <w:ilvl w:val="0"/>
                <w:numId w:val="9"/>
              </w:numPr>
            </w:pPr>
            <w:r>
              <w:t>Holding rent payments from franchisees in trust</w:t>
            </w:r>
          </w:p>
          <w:p w:rsidR="003F0D4B" w:rsidRDefault="003F0D4B" w:rsidP="00382030"/>
        </w:tc>
      </w:tr>
      <w:tr w:rsidR="000853F1" w:rsidTr="004E592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4E592E">
        <w:tc>
          <w:tcPr>
            <w:tcW w:w="9016" w:type="dxa"/>
            <w:gridSpan w:val="2"/>
          </w:tcPr>
          <w:p w:rsidR="000853F1" w:rsidRDefault="000853F1" w:rsidP="002A69D5"/>
        </w:tc>
      </w:tr>
      <w:tr w:rsidR="000853F1" w:rsidTr="004E592E">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 xml:space="preserve">Option 6.2.2: Amend franchising agreement requirements and clarify wording of Clause </w:t>
            </w:r>
            <w:r>
              <w:rPr>
                <w:rFonts w:ascii="Calibri" w:hAnsi="Calibri" w:cs="Calibri"/>
                <w:color w:val="000000"/>
              </w:rPr>
              <w:t xml:space="preserve">23 of the Franchising </w:t>
            </w:r>
            <w:proofErr w:type="spellStart"/>
            <w:r>
              <w:rPr>
                <w:rFonts w:ascii="Calibri" w:hAnsi="Calibri" w:cs="Calibri"/>
                <w:color w:val="000000"/>
              </w:rPr>
              <w:t>Code</w:t>
            </w:r>
          </w:p>
          <w:p w:rsidR="00382030" w:rsidRDefault="00382030" w:rsidP="00382030">
            <w:pPr>
              <w:rPr>
                <w:rFonts w:ascii="Calibri" w:hAnsi="Calibri" w:cs="Calibri"/>
                <w:color w:val="000000"/>
              </w:rPr>
            </w:pPr>
            <w:proofErr w:type="spellEnd"/>
            <w:r>
              <w:rPr>
                <w:rFonts w:ascii="Calibri" w:hAnsi="Calibri" w:cs="Calibri"/>
                <w:color w:val="000000"/>
              </w:rPr>
              <w:t>Option 6.2.3: Codify common law that restraints of trade should go no further than reasonable to protect legitimate interests</w:t>
            </w:r>
          </w:p>
          <w:p w:rsidR="003F0D4B" w:rsidRDefault="003F0D4B" w:rsidP="00531F43"/>
        </w:tc>
      </w:tr>
      <w:tr w:rsidR="000853F1" w:rsidTr="004E592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4E592E">
        <w:tc>
          <w:tcPr>
            <w:tcW w:w="9016" w:type="dxa"/>
            <w:gridSpan w:val="2"/>
          </w:tcPr>
          <w:p w:rsidR="000853F1" w:rsidRDefault="000853F1" w:rsidP="002A69D5"/>
        </w:tc>
      </w:tr>
      <w:tr w:rsidR="000853F1" w:rsidTr="004E592E">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4E592E">
        <w:tc>
          <w:tcPr>
            <w:tcW w:w="9016" w:type="dxa"/>
            <w:gridSpan w:val="2"/>
          </w:tcPr>
          <w:p w:rsidR="00531F43" w:rsidRDefault="00531F43" w:rsidP="002A69D5">
            <w:r w:rsidRPr="00531F43">
              <w:t xml:space="preserve">Option 6.3.2: Clarify the franchisees’ rights in regard to goodwill, if </w:t>
            </w:r>
            <w:r>
              <w:t>any, in the franchise agreement</w:t>
            </w:r>
          </w:p>
          <w:p w:rsidR="000853F1" w:rsidRDefault="00531F43" w:rsidP="002A69D5">
            <w:r w:rsidRPr="00531F43">
              <w:t>Option 6.3.3: Increase awareness of how goodwill is handled in franchising</w:t>
            </w:r>
          </w:p>
          <w:p w:rsidR="003F0D4B" w:rsidRDefault="003F0D4B" w:rsidP="002A69D5"/>
        </w:tc>
      </w:tr>
      <w:tr w:rsidR="000853F1" w:rsidTr="004E592E">
        <w:tc>
          <w:tcPr>
            <w:tcW w:w="9016" w:type="dxa"/>
            <w:gridSpan w:val="2"/>
          </w:tcPr>
          <w:p w:rsidR="000853F1" w:rsidRPr="003F0D4B" w:rsidRDefault="00531F43" w:rsidP="002A69D5">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0853F1" w:rsidTr="004E592E">
        <w:tc>
          <w:tcPr>
            <w:tcW w:w="9016" w:type="dxa"/>
            <w:gridSpan w:val="2"/>
          </w:tcPr>
          <w:p w:rsidR="000853F1" w:rsidRDefault="000853F1" w:rsidP="002A69D5"/>
        </w:tc>
      </w:tr>
      <w:tr w:rsidR="000853F1" w:rsidTr="004E592E">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4E592E">
        <w:tc>
          <w:tcPr>
            <w:tcW w:w="9016" w:type="dxa"/>
            <w:gridSpan w:val="2"/>
          </w:tcPr>
          <w:p w:rsidR="000853F1" w:rsidRDefault="000853F1" w:rsidP="002A69D5"/>
        </w:tc>
      </w:tr>
      <w:tr w:rsidR="000853F1" w:rsidTr="004E592E">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4E592E">
        <w:tc>
          <w:tcPr>
            <w:tcW w:w="9016" w:type="dxa"/>
            <w:gridSpan w:val="2"/>
          </w:tcPr>
          <w:p w:rsidR="000853F1" w:rsidRDefault="000853F1" w:rsidP="002A69D5"/>
        </w:tc>
      </w:tr>
      <w:tr w:rsidR="000853F1" w:rsidTr="004E592E">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4E592E">
        <w:tc>
          <w:tcPr>
            <w:tcW w:w="9016" w:type="dxa"/>
            <w:gridSpan w:val="2"/>
          </w:tcPr>
          <w:p w:rsidR="00531F43" w:rsidRDefault="00531F43" w:rsidP="002A69D5">
            <w:r w:rsidRPr="00531F43">
              <w:t>Option 7.1.2: Increase the number of common provisions between the Oil and Franchising Codes to reduce the regulatory burden for some franchisor</w:t>
            </w:r>
            <w:r>
              <w:t>s</w:t>
            </w:r>
          </w:p>
          <w:p w:rsidR="00C119E5" w:rsidRDefault="00C119E5" w:rsidP="00C119E5">
            <w:pPr>
              <w:pStyle w:val="ListParagraph"/>
              <w:numPr>
                <w:ilvl w:val="0"/>
                <w:numId w:val="6"/>
              </w:numPr>
            </w:pPr>
            <w:r w:rsidRPr="00C119E5">
              <w:t>Align the Oil Code with the Franchising Code in relation to marketing funds and fees (Recommendation 6.13</w:t>
            </w:r>
          </w:p>
          <w:p w:rsidR="003F0D4B" w:rsidRDefault="003F0D4B" w:rsidP="00382030"/>
        </w:tc>
      </w:tr>
      <w:tr w:rsidR="000853F1" w:rsidTr="004E592E">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4E592E">
        <w:tc>
          <w:tcPr>
            <w:tcW w:w="9016" w:type="dxa"/>
            <w:gridSpan w:val="2"/>
          </w:tcPr>
          <w:p w:rsidR="000853F1" w:rsidRDefault="000853F1" w:rsidP="002A69D5"/>
        </w:tc>
      </w:tr>
      <w:tr w:rsidR="003F0D4B" w:rsidTr="004E592E">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4E592E">
        <w:tc>
          <w:tcPr>
            <w:tcW w:w="9016" w:type="dxa"/>
            <w:gridSpan w:val="2"/>
          </w:tcPr>
          <w:p w:rsidR="00382030" w:rsidRDefault="00382030" w:rsidP="00382030">
            <w:pPr>
              <w:rPr>
                <w:rFonts w:ascii="Calibri" w:hAnsi="Calibri" w:cs="Calibri"/>
                <w:color w:val="000000"/>
              </w:rPr>
            </w:pPr>
            <w:r>
              <w:rPr>
                <w:rFonts w:ascii="Calibri" w:hAnsi="Calibri" w:cs="Calibri"/>
                <w:color w:val="000000"/>
              </w:rPr>
              <w:t>Option 7.2.2: Application and enhancement of civil penalties to all breaches of the Franchising and Oil Codes</w:t>
            </w:r>
          </w:p>
          <w:p w:rsidR="003F0D4B" w:rsidRDefault="003F0D4B" w:rsidP="003F0D4B"/>
        </w:tc>
      </w:tr>
      <w:tr w:rsidR="003F0D4B" w:rsidTr="004E592E">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4E592E">
        <w:tc>
          <w:tcPr>
            <w:tcW w:w="9016" w:type="dxa"/>
            <w:gridSpan w:val="2"/>
          </w:tcPr>
          <w:p w:rsidR="003F0D4B" w:rsidRDefault="003F0D4B" w:rsidP="003F0D4B"/>
        </w:tc>
      </w:tr>
      <w:tr w:rsidR="003F0D4B" w:rsidTr="004E592E">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4E592E">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C61EA0"/>
    <w:multiLevelType w:val="hybridMultilevel"/>
    <w:tmpl w:val="2BB636FA"/>
    <w:lvl w:ilvl="0" w:tplc="32C0541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626A90"/>
    <w:multiLevelType w:val="hybridMultilevel"/>
    <w:tmpl w:val="B3F2C1B6"/>
    <w:lvl w:ilvl="0" w:tplc="1FFC84A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665F4E"/>
    <w:multiLevelType w:val="hybridMultilevel"/>
    <w:tmpl w:val="15BE6C92"/>
    <w:lvl w:ilvl="0" w:tplc="6D90A79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EA5715"/>
    <w:multiLevelType w:val="hybridMultilevel"/>
    <w:tmpl w:val="1144CDEE"/>
    <w:lvl w:ilvl="0" w:tplc="5D783C20">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5"/>
  </w:num>
  <w:num w:numId="5">
    <w:abstractNumId w:val="2"/>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82030"/>
    <w:rsid w:val="003C5769"/>
    <w:rsid w:val="003F0D4B"/>
    <w:rsid w:val="004E592E"/>
    <w:rsid w:val="00531F43"/>
    <w:rsid w:val="005C5BAD"/>
    <w:rsid w:val="0076070A"/>
    <w:rsid w:val="007D2442"/>
    <w:rsid w:val="00837502"/>
    <w:rsid w:val="00A01DF3"/>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8464">
      <w:bodyDiv w:val="1"/>
      <w:marLeft w:val="0"/>
      <w:marRight w:val="0"/>
      <w:marTop w:val="0"/>
      <w:marBottom w:val="0"/>
      <w:divBdr>
        <w:top w:val="none" w:sz="0" w:space="0" w:color="auto"/>
        <w:left w:val="none" w:sz="0" w:space="0" w:color="auto"/>
        <w:bottom w:val="none" w:sz="0" w:space="0" w:color="auto"/>
        <w:right w:val="none" w:sz="0" w:space="0" w:color="auto"/>
      </w:divBdr>
    </w:div>
    <w:div w:id="147674856">
      <w:bodyDiv w:val="1"/>
      <w:marLeft w:val="0"/>
      <w:marRight w:val="0"/>
      <w:marTop w:val="0"/>
      <w:marBottom w:val="0"/>
      <w:divBdr>
        <w:top w:val="none" w:sz="0" w:space="0" w:color="auto"/>
        <w:left w:val="none" w:sz="0" w:space="0" w:color="auto"/>
        <w:bottom w:val="none" w:sz="0" w:space="0" w:color="auto"/>
        <w:right w:val="none" w:sz="0" w:space="0" w:color="auto"/>
      </w:divBdr>
    </w:div>
    <w:div w:id="216861647">
      <w:bodyDiv w:val="1"/>
      <w:marLeft w:val="0"/>
      <w:marRight w:val="0"/>
      <w:marTop w:val="0"/>
      <w:marBottom w:val="0"/>
      <w:divBdr>
        <w:top w:val="none" w:sz="0" w:space="0" w:color="auto"/>
        <w:left w:val="none" w:sz="0" w:space="0" w:color="auto"/>
        <w:bottom w:val="none" w:sz="0" w:space="0" w:color="auto"/>
        <w:right w:val="none" w:sz="0" w:space="0" w:color="auto"/>
      </w:divBdr>
    </w:div>
    <w:div w:id="272833883">
      <w:bodyDiv w:val="1"/>
      <w:marLeft w:val="0"/>
      <w:marRight w:val="0"/>
      <w:marTop w:val="0"/>
      <w:marBottom w:val="0"/>
      <w:divBdr>
        <w:top w:val="none" w:sz="0" w:space="0" w:color="auto"/>
        <w:left w:val="none" w:sz="0" w:space="0" w:color="auto"/>
        <w:bottom w:val="none" w:sz="0" w:space="0" w:color="auto"/>
        <w:right w:val="none" w:sz="0" w:space="0" w:color="auto"/>
      </w:divBdr>
    </w:div>
    <w:div w:id="622879735">
      <w:bodyDiv w:val="1"/>
      <w:marLeft w:val="0"/>
      <w:marRight w:val="0"/>
      <w:marTop w:val="0"/>
      <w:marBottom w:val="0"/>
      <w:divBdr>
        <w:top w:val="none" w:sz="0" w:space="0" w:color="auto"/>
        <w:left w:val="none" w:sz="0" w:space="0" w:color="auto"/>
        <w:bottom w:val="none" w:sz="0" w:space="0" w:color="auto"/>
        <w:right w:val="none" w:sz="0" w:space="0" w:color="auto"/>
      </w:divBdr>
    </w:div>
    <w:div w:id="807631507">
      <w:bodyDiv w:val="1"/>
      <w:marLeft w:val="0"/>
      <w:marRight w:val="0"/>
      <w:marTop w:val="0"/>
      <w:marBottom w:val="0"/>
      <w:divBdr>
        <w:top w:val="none" w:sz="0" w:space="0" w:color="auto"/>
        <w:left w:val="none" w:sz="0" w:space="0" w:color="auto"/>
        <w:bottom w:val="none" w:sz="0" w:space="0" w:color="auto"/>
        <w:right w:val="none" w:sz="0" w:space="0" w:color="auto"/>
      </w:divBdr>
    </w:div>
    <w:div w:id="931669462">
      <w:bodyDiv w:val="1"/>
      <w:marLeft w:val="0"/>
      <w:marRight w:val="0"/>
      <w:marTop w:val="0"/>
      <w:marBottom w:val="0"/>
      <w:divBdr>
        <w:top w:val="none" w:sz="0" w:space="0" w:color="auto"/>
        <w:left w:val="none" w:sz="0" w:space="0" w:color="auto"/>
        <w:bottom w:val="none" w:sz="0" w:space="0" w:color="auto"/>
        <w:right w:val="none" w:sz="0" w:space="0" w:color="auto"/>
      </w:divBdr>
    </w:div>
    <w:div w:id="1259944094">
      <w:bodyDiv w:val="1"/>
      <w:marLeft w:val="0"/>
      <w:marRight w:val="0"/>
      <w:marTop w:val="0"/>
      <w:marBottom w:val="0"/>
      <w:divBdr>
        <w:top w:val="none" w:sz="0" w:space="0" w:color="auto"/>
        <w:left w:val="none" w:sz="0" w:space="0" w:color="auto"/>
        <w:bottom w:val="none" w:sz="0" w:space="0" w:color="auto"/>
        <w:right w:val="none" w:sz="0" w:space="0" w:color="auto"/>
      </w:divBdr>
    </w:div>
    <w:div w:id="1356495091">
      <w:bodyDiv w:val="1"/>
      <w:marLeft w:val="0"/>
      <w:marRight w:val="0"/>
      <w:marTop w:val="0"/>
      <w:marBottom w:val="0"/>
      <w:divBdr>
        <w:top w:val="none" w:sz="0" w:space="0" w:color="auto"/>
        <w:left w:val="none" w:sz="0" w:space="0" w:color="auto"/>
        <w:bottom w:val="none" w:sz="0" w:space="0" w:color="auto"/>
        <w:right w:val="none" w:sz="0" w:space="0" w:color="auto"/>
      </w:divBdr>
    </w:div>
    <w:div w:id="1414277595">
      <w:bodyDiv w:val="1"/>
      <w:marLeft w:val="0"/>
      <w:marRight w:val="0"/>
      <w:marTop w:val="0"/>
      <w:marBottom w:val="0"/>
      <w:divBdr>
        <w:top w:val="none" w:sz="0" w:space="0" w:color="auto"/>
        <w:left w:val="none" w:sz="0" w:space="0" w:color="auto"/>
        <w:bottom w:val="none" w:sz="0" w:space="0" w:color="auto"/>
        <w:right w:val="none" w:sz="0" w:space="0" w:color="auto"/>
      </w:divBdr>
    </w:div>
    <w:div w:id="1419057109">
      <w:bodyDiv w:val="1"/>
      <w:marLeft w:val="0"/>
      <w:marRight w:val="0"/>
      <w:marTop w:val="0"/>
      <w:marBottom w:val="0"/>
      <w:divBdr>
        <w:top w:val="none" w:sz="0" w:space="0" w:color="auto"/>
        <w:left w:val="none" w:sz="0" w:space="0" w:color="auto"/>
        <w:bottom w:val="none" w:sz="0" w:space="0" w:color="auto"/>
        <w:right w:val="none" w:sz="0" w:space="0" w:color="auto"/>
      </w:divBdr>
    </w:div>
    <w:div w:id="1468864191">
      <w:bodyDiv w:val="1"/>
      <w:marLeft w:val="0"/>
      <w:marRight w:val="0"/>
      <w:marTop w:val="0"/>
      <w:marBottom w:val="0"/>
      <w:divBdr>
        <w:top w:val="none" w:sz="0" w:space="0" w:color="auto"/>
        <w:left w:val="none" w:sz="0" w:space="0" w:color="auto"/>
        <w:bottom w:val="none" w:sz="0" w:space="0" w:color="auto"/>
        <w:right w:val="none" w:sz="0" w:space="0" w:color="auto"/>
      </w:divBdr>
    </w:div>
    <w:div w:id="1636253540">
      <w:bodyDiv w:val="1"/>
      <w:marLeft w:val="0"/>
      <w:marRight w:val="0"/>
      <w:marTop w:val="0"/>
      <w:marBottom w:val="0"/>
      <w:divBdr>
        <w:top w:val="none" w:sz="0" w:space="0" w:color="auto"/>
        <w:left w:val="none" w:sz="0" w:space="0" w:color="auto"/>
        <w:bottom w:val="none" w:sz="0" w:space="0" w:color="auto"/>
        <w:right w:val="none" w:sz="0" w:space="0" w:color="auto"/>
      </w:divBdr>
    </w:div>
    <w:div w:id="1879004781">
      <w:bodyDiv w:val="1"/>
      <w:marLeft w:val="0"/>
      <w:marRight w:val="0"/>
      <w:marTop w:val="0"/>
      <w:marBottom w:val="0"/>
      <w:divBdr>
        <w:top w:val="none" w:sz="0" w:space="0" w:color="auto"/>
        <w:left w:val="none" w:sz="0" w:space="0" w:color="auto"/>
        <w:bottom w:val="none" w:sz="0" w:space="0" w:color="auto"/>
        <w:right w:val="none" w:sz="0" w:space="0" w:color="auto"/>
      </w:divBdr>
    </w:div>
    <w:div w:id="19479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2020-02-21T06:08:00Z</dcterms:created>
  <dcterms:modified xsi:type="dcterms:W3CDTF">2020-02-21T06:16:00Z</dcterms:modified>
</cp:coreProperties>
</file>