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39686014" w:displacedByCustomXml="next"/>
    <w:bookmarkStart w:id="2" w:name="_Toc19289776" w:displacedByCustomXml="next"/>
    <w:bookmarkStart w:id="3" w:name="_Toc19289643" w:displacedByCustomXml="next"/>
    <w:sdt>
      <w:sdtPr>
        <w:rPr>
          <w:rFonts w:asciiTheme="minorHAnsi" w:eastAsiaTheme="minorHAnsi" w:hAnsiTheme="minorHAnsi" w:cstheme="minorBidi"/>
          <w:color w:val="auto"/>
          <w:spacing w:val="0"/>
          <w:kern w:val="0"/>
          <w:sz w:val="22"/>
          <w:szCs w:val="22"/>
        </w:rPr>
        <w:id w:val="-2088995269"/>
        <w:docPartObj>
          <w:docPartGallery w:val="Cover Pages"/>
          <w:docPartUnique/>
        </w:docPartObj>
      </w:sdtPr>
      <w:sdtEndPr/>
      <w:sdtContent>
        <w:bookmarkEnd w:id="1" w:displacedByCustomXml="next"/>
        <w:bookmarkEnd w:id="2" w:displacedByCustomXml="next"/>
        <w:bookmarkEnd w:id="3" w:displacedByCustomXml="next"/>
        <w:sdt>
          <w:sdtPr>
            <w:alias w:val="Title"/>
            <w:tag w:val=""/>
            <w:id w:val="-856345196"/>
            <w:placeholder>
              <w:docPart w:val="F755FB15FFB54A77AE5D86AEC6F3F478"/>
            </w:placeholder>
            <w:dataBinding w:prefixMappings="xmlns:ns0='http://purl.org/dc/elements/1.1/' xmlns:ns1='http://schemas.openxmlformats.org/package/2006/metadata/core-properties' " w:xpath="/ns1:coreProperties[1]/ns0:title[1]" w:storeItemID="{6C3C8BC8-F283-45AE-878A-BAB7291924A1}"/>
            <w:text/>
          </w:sdtPr>
          <w:sdtEndPr/>
          <w:sdtContent>
            <w:p w14:paraId="0F6B0F33" w14:textId="53E221B2" w:rsidR="0068286F" w:rsidRDefault="001F7618" w:rsidP="00A540AE">
              <w:pPr>
                <w:pStyle w:val="Title"/>
              </w:pPr>
              <w:r>
                <w:t xml:space="preserve">Payment Times </w:t>
              </w:r>
              <w:r w:rsidR="00A52F3D" w:rsidRPr="00A540AE">
                <w:t>Report</w:t>
              </w:r>
              <w:r>
                <w:t>ing</w:t>
              </w:r>
              <w:r w:rsidR="00A52F3D" w:rsidRPr="00A540AE">
                <w:t xml:space="preserve"> </w:t>
              </w:r>
              <w:r w:rsidR="00530B74">
                <w:t xml:space="preserve">Scheme </w:t>
              </w:r>
              <w:r w:rsidR="00B90094">
                <w:t xml:space="preserve">- </w:t>
              </w:r>
              <w:r>
                <w:t>Rules</w:t>
              </w:r>
            </w:p>
          </w:sdtContent>
        </w:sdt>
        <w:p w14:paraId="1932C95B" w14:textId="77777777" w:rsidR="00697567" w:rsidRPr="00A540AE" w:rsidRDefault="001F7618" w:rsidP="00A540AE">
          <w:pPr>
            <w:pStyle w:val="Subtitle"/>
          </w:pPr>
          <w:r>
            <w:t>Consultation Paper</w:t>
          </w:r>
        </w:p>
        <w:p w14:paraId="4C6379E1" w14:textId="77777777" w:rsidR="00697567" w:rsidRDefault="00697567" w:rsidP="00A540AE">
          <w:pPr>
            <w:pStyle w:val="Subtitle"/>
          </w:pPr>
        </w:p>
        <w:p w14:paraId="1F479411" w14:textId="77777777" w:rsidR="0068286F" w:rsidRPr="00FE7F44" w:rsidRDefault="001F7618" w:rsidP="00FE7F44">
          <w:pPr>
            <w:pStyle w:val="Authoranddate"/>
          </w:pPr>
          <w:r>
            <w:t>May 2020</w:t>
          </w:r>
        </w:p>
        <w:p w14:paraId="18081629" w14:textId="77777777" w:rsidR="0068286F" w:rsidRPr="00806473" w:rsidRDefault="0068286F">
          <w:r w:rsidRPr="00806473">
            <w:br w:type="page"/>
          </w:r>
        </w:p>
        <w:p w14:paraId="0946EF66" w14:textId="77777777" w:rsidR="001D216A" w:rsidRDefault="001D216A" w:rsidP="00E3027E">
          <w:pPr>
            <w:pStyle w:val="Heading2"/>
          </w:pPr>
          <w:bookmarkStart w:id="4" w:name="_Toc19023739"/>
          <w:bookmarkStart w:id="5" w:name="_Toc19289644"/>
          <w:bookmarkStart w:id="6" w:name="_Toc19289777"/>
          <w:bookmarkStart w:id="7" w:name="_Toc39686015"/>
          <w:r w:rsidRPr="001D216A">
            <w:lastRenderedPageBreak/>
            <w:t>Copyright</w:t>
          </w:r>
          <w:bookmarkEnd w:id="4"/>
          <w:bookmarkEnd w:id="5"/>
          <w:bookmarkEnd w:id="6"/>
          <w:bookmarkEnd w:id="7"/>
        </w:p>
        <w:p w14:paraId="015AE0FE" w14:textId="77777777" w:rsidR="0068286F" w:rsidRPr="0068286F" w:rsidRDefault="0068286F" w:rsidP="0068286F">
          <w:pPr>
            <w:rPr>
              <w:rStyle w:val="Strong"/>
            </w:rPr>
          </w:pPr>
          <w:r w:rsidRPr="0068286F">
            <w:rPr>
              <w:rStyle w:val="Strong"/>
            </w:rPr>
            <w:t xml:space="preserve">© Commonwealth of </w:t>
          </w:r>
          <w:r w:rsidR="00F87020">
            <w:rPr>
              <w:rStyle w:val="Strong"/>
            </w:rPr>
            <w:t>Australia 2020</w:t>
          </w:r>
        </w:p>
        <w:p w14:paraId="167627F3" w14:textId="77777777" w:rsidR="0068286F" w:rsidRPr="0068286F" w:rsidRDefault="0068286F" w:rsidP="0068286F">
          <w:pPr>
            <w:rPr>
              <w:rStyle w:val="Strong"/>
            </w:rPr>
          </w:pPr>
          <w:r w:rsidRPr="0068286F">
            <w:rPr>
              <w:rStyle w:val="Strong"/>
            </w:rPr>
            <w:t>Ownership of intellectual property rights</w:t>
          </w:r>
        </w:p>
        <w:p w14:paraId="4DE7472E" w14:textId="77777777" w:rsidR="0068286F" w:rsidRDefault="0068286F" w:rsidP="0068286F">
          <w:r>
            <w:t>Unless otherwise noted, copyright (and any other intellectual property rights, if any) in this publication is owned by the Commonwealth of Australia.</w:t>
          </w:r>
        </w:p>
        <w:p w14:paraId="3CA29401" w14:textId="77777777" w:rsidR="0068286F" w:rsidRDefault="0068286F" w:rsidP="0068286F">
          <w:pPr>
            <w:rPr>
              <w:rStyle w:val="Strong"/>
            </w:rPr>
          </w:pPr>
          <w:r w:rsidRPr="0068286F">
            <w:rPr>
              <w:rStyle w:val="Strong"/>
            </w:rPr>
            <w:t>Creative Commons licence</w:t>
          </w:r>
        </w:p>
        <w:p w14:paraId="4414B5E4" w14:textId="77777777" w:rsidR="001D216A" w:rsidRPr="0068286F" w:rsidRDefault="001D216A" w:rsidP="0068286F">
          <w:pPr>
            <w:rPr>
              <w:rStyle w:val="Strong"/>
            </w:rPr>
          </w:pPr>
          <w:r>
            <w:rPr>
              <w:b/>
              <w:noProof/>
              <w:lang w:eastAsia="en-AU"/>
            </w:rPr>
            <w:drawing>
              <wp:inline distT="0" distB="0" distL="0" distR="0" wp14:anchorId="0BB65739" wp14:editId="6D3CEACA">
                <wp:extent cx="1128889" cy="440267"/>
                <wp:effectExtent l="0" t="0" r="0" b="0"/>
                <wp:docPr id="4" name="Picture 4" descr="Creative Commons CC BY logo" title="Creative Commons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6992C943" w14:textId="77777777" w:rsidR="0068286F" w:rsidRPr="001D216A" w:rsidRDefault="0068286F" w:rsidP="0068286F">
          <w:pPr>
            <w:rPr>
              <w:rStyle w:val="Strong"/>
            </w:rPr>
          </w:pPr>
          <w:r w:rsidRPr="001D216A">
            <w:rPr>
              <w:rStyle w:val="Strong"/>
            </w:rPr>
            <w:t xml:space="preserve">Attribution </w:t>
          </w:r>
        </w:p>
        <w:p w14:paraId="3F3FFC96" w14:textId="77777777" w:rsidR="0068286F" w:rsidRPr="001D216A" w:rsidRDefault="0068286F" w:rsidP="0068286F">
          <w:pPr>
            <w:rPr>
              <w:rStyle w:val="Strong"/>
            </w:rPr>
          </w:pPr>
          <w:r w:rsidRPr="001D216A">
            <w:rPr>
              <w:rStyle w:val="Strong"/>
            </w:rPr>
            <w:t>CC BY</w:t>
          </w:r>
        </w:p>
        <w:p w14:paraId="14C9D9E4" w14:textId="77777777" w:rsidR="0068286F" w:rsidRDefault="0068286F" w:rsidP="0068286F">
          <w:r>
            <w:t>All material in this publication is licensed under a Creative Commons Attribution 4.0 International Licence, save for content supplied by third parties, logos, any material protected by trademark or otherwise noted in this publication, and the Commonwealth Coat of Arms.</w:t>
          </w:r>
        </w:p>
        <w:p w14:paraId="1EB8B9AD" w14:textId="77777777" w:rsidR="0068286F" w:rsidRDefault="0068286F" w:rsidP="0068286F">
          <w:r>
            <w:t xml:space="preserve">Creative Commons Attribution 4.0 International Licence is a standard form licence agreement that allows you to copy, distribute, transmit and adapt this publication provided you attribute the work. A summary of the licence terms is available from </w:t>
          </w:r>
          <w:hyperlink r:id="rId13" w:history="1">
            <w:r w:rsidR="001D216A" w:rsidRPr="00DB39DE">
              <w:rPr>
                <w:rStyle w:val="Hyperlink"/>
              </w:rPr>
              <w:t>https://creativecommons.org/licenses/by/4.0/</w:t>
            </w:r>
          </w:hyperlink>
        </w:p>
        <w:p w14:paraId="2FB7DE04" w14:textId="77777777" w:rsidR="0068286F" w:rsidRDefault="0068286F" w:rsidP="0068286F">
          <w:r>
            <w:t xml:space="preserve">The full licence terms are available from </w:t>
          </w:r>
          <w:hyperlink r:id="rId14" w:history="1">
            <w:r w:rsidR="001D216A" w:rsidRPr="00DB39DE">
              <w:rPr>
                <w:rStyle w:val="Hyperlink"/>
              </w:rPr>
              <w:t>https://creativecommons.org/licenses/by/4.0/legalcode</w:t>
            </w:r>
          </w:hyperlink>
        </w:p>
        <w:p w14:paraId="3BCD13D3" w14:textId="77777777" w:rsidR="0068286F" w:rsidRDefault="0068286F" w:rsidP="0068286F">
          <w:r>
            <w:t xml:space="preserve">Content contained herein should be attributed as </w:t>
          </w:r>
          <w:r w:rsidR="001D216A" w:rsidRPr="0046678C">
            <w:rPr>
              <w:i/>
            </w:rPr>
            <w:t>Report</w:t>
          </w:r>
          <w:r w:rsidRPr="0046678C">
            <w:rPr>
              <w:i/>
            </w:rPr>
            <w:t xml:space="preserve"> title</w:t>
          </w:r>
          <w:r w:rsidR="001D216A" w:rsidRPr="000F2564">
            <w:rPr>
              <w:i/>
            </w:rPr>
            <w:t xml:space="preserve">, Australian Government Department of Industry, </w:t>
          </w:r>
          <w:r w:rsidR="008F5772">
            <w:rPr>
              <w:i/>
            </w:rPr>
            <w:t>S</w:t>
          </w:r>
          <w:r w:rsidR="001D216A" w:rsidRPr="000F2564">
            <w:rPr>
              <w:i/>
            </w:rPr>
            <w:t>cience</w:t>
          </w:r>
          <w:r w:rsidR="00403EAC">
            <w:rPr>
              <w:i/>
            </w:rPr>
            <w:t>, Energy and Resources</w:t>
          </w:r>
          <w:r w:rsidRPr="000F2564">
            <w:t>.</w:t>
          </w:r>
        </w:p>
        <w:p w14:paraId="457E4D5C" w14:textId="77777777" w:rsidR="0068286F" w:rsidRPr="004632E9" w:rsidRDefault="006C4C9C" w:rsidP="0068286F">
          <w:pPr>
            <w:rPr>
              <w:b/>
              <w:bCs/>
            </w:rPr>
          </w:pPr>
          <w:r w:rsidRPr="004632E9">
            <w:rPr>
              <w:rStyle w:val="Strong"/>
            </w:rPr>
            <w:t>ISBN</w:t>
          </w:r>
          <w:r w:rsidR="000F2564" w:rsidRPr="004632E9">
            <w:rPr>
              <w:rStyle w:val="Strong"/>
            </w:rPr>
            <w:t>:</w:t>
          </w:r>
          <w:r w:rsidR="0068286F" w:rsidRPr="004632E9">
            <w:t xml:space="preserve"> </w:t>
          </w:r>
          <w:r w:rsidR="001D216A" w:rsidRPr="004632E9">
            <w:t xml:space="preserve"> </w:t>
          </w:r>
          <w:r w:rsidR="004632E9">
            <w:t>(add if required)</w:t>
          </w:r>
        </w:p>
        <w:p w14:paraId="196A95BF" w14:textId="77777777" w:rsidR="0068286F" w:rsidRPr="001D216A" w:rsidRDefault="0068286F" w:rsidP="001D216A">
          <w:pPr>
            <w:pStyle w:val="Heading2"/>
          </w:pPr>
          <w:bookmarkStart w:id="8" w:name="_Toc19023740"/>
          <w:bookmarkStart w:id="9" w:name="_Toc19289645"/>
          <w:bookmarkStart w:id="10" w:name="_Toc19289778"/>
          <w:bookmarkStart w:id="11" w:name="_Toc39686016"/>
          <w:r w:rsidRPr="001D216A">
            <w:t>Disclaimer</w:t>
          </w:r>
          <w:bookmarkEnd w:id="8"/>
          <w:bookmarkEnd w:id="9"/>
          <w:bookmarkEnd w:id="10"/>
          <w:bookmarkEnd w:id="11"/>
        </w:p>
        <w:p w14:paraId="28FF7344" w14:textId="77777777" w:rsidR="000F2564" w:rsidRDefault="0068286F" w:rsidP="0068286F">
          <w:r>
            <w:t>The Australian Government as represented by the Department of Industry, Science</w:t>
          </w:r>
          <w:r w:rsidR="00403EAC">
            <w:t>, Energy and Resources</w:t>
          </w:r>
          <w:r>
            <w:t xml:space="preserve"> has exercised due care and skill in the preparation and compilation of the information and data in this publication. Notwithstanding, the Commonwealth of Australia, its officers, employees, or agents disclaim any liability, including liability for negligence, loss howsoever caused, damage, injury, expense or cost incurred by any person as a result of accessing, using or relying upon any of the information or data in this publication to the maximum extent permitted by law. No representation expressed or implied is made as to the currency, accuracy, reliability or completeness of the information contained in this publication. The reader should rely on their own inquiries to independently confirm the information and comment on which they intend to act. This publication does not indicate commitment by the Australian Government to a particular course of action.</w:t>
          </w:r>
        </w:p>
        <w:p w14:paraId="6AF5B7FD" w14:textId="77777777" w:rsidR="000F2564" w:rsidRDefault="000F2564" w:rsidP="000F2564">
          <w:r>
            <w:br w:type="page"/>
          </w:r>
        </w:p>
        <w:p w14:paraId="6FA05F44" w14:textId="77777777" w:rsidR="00E3027E" w:rsidRDefault="00E3027E" w:rsidP="00E3027E">
          <w:pPr>
            <w:pStyle w:val="Heading1"/>
          </w:pPr>
          <w:bookmarkStart w:id="12" w:name="_Toc19289646"/>
          <w:bookmarkStart w:id="13" w:name="_Toc19289779"/>
          <w:bookmarkStart w:id="14" w:name="_Toc39686017"/>
          <w:r>
            <w:lastRenderedPageBreak/>
            <w:t>Contents</w:t>
          </w:r>
          <w:bookmarkEnd w:id="12"/>
          <w:bookmarkEnd w:id="13"/>
          <w:bookmarkEnd w:id="14"/>
        </w:p>
        <w:p w14:paraId="7673A55E" w14:textId="77777777" w:rsidR="00A7420C" w:rsidRPr="004257F8" w:rsidRDefault="00E3027E">
          <w:pPr>
            <w:pStyle w:val="TOC1"/>
            <w:rPr>
              <w:noProof/>
            </w:rPr>
          </w:pPr>
          <w:r>
            <w:fldChar w:fldCharType="begin"/>
          </w:r>
          <w:r>
            <w:instrText xml:space="preserve"> TOC \o "1-2" \h \z \u </w:instrText>
          </w:r>
          <w:r>
            <w:fldChar w:fldCharType="separate"/>
          </w:r>
          <w:hyperlink w:anchor="_Toc39686014" w:history="1"/>
          <w:hyperlink w:anchor="_Toc39686018" w:history="1">
            <w:r w:rsidR="00A7420C" w:rsidRPr="00EC7326">
              <w:rPr>
                <w:rStyle w:val="Hyperlink"/>
                <w:noProof/>
              </w:rPr>
              <w:t>Executive Summary</w:t>
            </w:r>
            <w:r w:rsidR="00A7420C">
              <w:rPr>
                <w:noProof/>
                <w:webHidden/>
              </w:rPr>
              <w:tab/>
            </w:r>
            <w:r w:rsidR="00A7420C">
              <w:rPr>
                <w:noProof/>
                <w:webHidden/>
              </w:rPr>
              <w:fldChar w:fldCharType="begin"/>
            </w:r>
            <w:r w:rsidR="00A7420C">
              <w:rPr>
                <w:noProof/>
                <w:webHidden/>
              </w:rPr>
              <w:instrText xml:space="preserve"> PAGEREF _Toc39686018 \h </w:instrText>
            </w:r>
            <w:r w:rsidR="00A7420C">
              <w:rPr>
                <w:noProof/>
                <w:webHidden/>
              </w:rPr>
            </w:r>
            <w:r w:rsidR="00A7420C">
              <w:rPr>
                <w:noProof/>
                <w:webHidden/>
              </w:rPr>
              <w:fldChar w:fldCharType="separate"/>
            </w:r>
            <w:r w:rsidR="00E02FB5">
              <w:rPr>
                <w:noProof/>
                <w:webHidden/>
              </w:rPr>
              <w:t>3</w:t>
            </w:r>
            <w:r w:rsidR="00A7420C">
              <w:rPr>
                <w:noProof/>
                <w:webHidden/>
              </w:rPr>
              <w:fldChar w:fldCharType="end"/>
            </w:r>
          </w:hyperlink>
        </w:p>
        <w:p w14:paraId="4D9BF61E" w14:textId="77777777" w:rsidR="00A7420C" w:rsidRDefault="007E18AF">
          <w:pPr>
            <w:pStyle w:val="TOC1"/>
            <w:rPr>
              <w:rFonts w:eastAsiaTheme="minorEastAsia"/>
              <w:noProof/>
              <w:lang w:eastAsia="en-AU"/>
            </w:rPr>
          </w:pPr>
          <w:hyperlink w:anchor="_Toc39686019" w:history="1">
            <w:r w:rsidR="00A7420C" w:rsidRPr="00EC7326">
              <w:rPr>
                <w:rStyle w:val="Hyperlink"/>
                <w:noProof/>
              </w:rPr>
              <w:t>Stakeholder Consultation</w:t>
            </w:r>
            <w:r w:rsidR="00A7420C">
              <w:rPr>
                <w:noProof/>
                <w:webHidden/>
              </w:rPr>
              <w:tab/>
            </w:r>
            <w:r w:rsidR="00A7420C">
              <w:rPr>
                <w:noProof/>
                <w:webHidden/>
              </w:rPr>
              <w:fldChar w:fldCharType="begin"/>
            </w:r>
            <w:r w:rsidR="00A7420C">
              <w:rPr>
                <w:noProof/>
                <w:webHidden/>
              </w:rPr>
              <w:instrText xml:space="preserve"> PAGEREF _Toc39686019 \h </w:instrText>
            </w:r>
            <w:r w:rsidR="00A7420C">
              <w:rPr>
                <w:noProof/>
                <w:webHidden/>
              </w:rPr>
            </w:r>
            <w:r w:rsidR="00A7420C">
              <w:rPr>
                <w:noProof/>
                <w:webHidden/>
              </w:rPr>
              <w:fldChar w:fldCharType="separate"/>
            </w:r>
            <w:r w:rsidR="00E02FB5">
              <w:rPr>
                <w:noProof/>
                <w:webHidden/>
              </w:rPr>
              <w:t>3</w:t>
            </w:r>
            <w:r w:rsidR="00A7420C">
              <w:rPr>
                <w:noProof/>
                <w:webHidden/>
              </w:rPr>
              <w:fldChar w:fldCharType="end"/>
            </w:r>
          </w:hyperlink>
        </w:p>
        <w:p w14:paraId="733DB72F" w14:textId="77777777" w:rsidR="00A7420C" w:rsidRDefault="007E18AF">
          <w:pPr>
            <w:pStyle w:val="TOC1"/>
            <w:rPr>
              <w:rFonts w:eastAsiaTheme="minorEastAsia"/>
              <w:noProof/>
              <w:lang w:eastAsia="en-AU"/>
            </w:rPr>
          </w:pPr>
          <w:hyperlink w:anchor="_Toc39686020" w:history="1">
            <w:r w:rsidR="00A7420C" w:rsidRPr="00EC7326">
              <w:rPr>
                <w:rStyle w:val="Hyperlink"/>
                <w:noProof/>
              </w:rPr>
              <w:t>Purpose of this Consultation</w:t>
            </w:r>
            <w:r w:rsidR="00A7420C">
              <w:rPr>
                <w:noProof/>
                <w:webHidden/>
              </w:rPr>
              <w:tab/>
            </w:r>
            <w:r w:rsidR="00A7420C">
              <w:rPr>
                <w:noProof/>
                <w:webHidden/>
              </w:rPr>
              <w:fldChar w:fldCharType="begin"/>
            </w:r>
            <w:r w:rsidR="00A7420C">
              <w:rPr>
                <w:noProof/>
                <w:webHidden/>
              </w:rPr>
              <w:instrText xml:space="preserve"> PAGEREF _Toc39686020 \h </w:instrText>
            </w:r>
            <w:r w:rsidR="00A7420C">
              <w:rPr>
                <w:noProof/>
                <w:webHidden/>
              </w:rPr>
            </w:r>
            <w:r w:rsidR="00A7420C">
              <w:rPr>
                <w:noProof/>
                <w:webHidden/>
              </w:rPr>
              <w:fldChar w:fldCharType="separate"/>
            </w:r>
            <w:r w:rsidR="00E02FB5">
              <w:rPr>
                <w:noProof/>
                <w:webHidden/>
              </w:rPr>
              <w:t>4</w:t>
            </w:r>
            <w:r w:rsidR="00A7420C">
              <w:rPr>
                <w:noProof/>
                <w:webHidden/>
              </w:rPr>
              <w:fldChar w:fldCharType="end"/>
            </w:r>
          </w:hyperlink>
        </w:p>
        <w:p w14:paraId="21A9818F" w14:textId="77777777" w:rsidR="00A7420C" w:rsidRDefault="007E18AF">
          <w:pPr>
            <w:pStyle w:val="TOC1"/>
            <w:rPr>
              <w:rFonts w:eastAsiaTheme="minorEastAsia"/>
              <w:noProof/>
              <w:lang w:eastAsia="en-AU"/>
            </w:rPr>
          </w:pPr>
          <w:hyperlink w:anchor="_Toc39686021" w:history="1">
            <w:r w:rsidR="00A7420C" w:rsidRPr="00EC7326">
              <w:rPr>
                <w:rStyle w:val="Hyperlink"/>
                <w:noProof/>
              </w:rPr>
              <w:t>Payment Times Reporting Rules</w:t>
            </w:r>
            <w:r w:rsidR="00A7420C">
              <w:rPr>
                <w:noProof/>
                <w:webHidden/>
              </w:rPr>
              <w:tab/>
            </w:r>
            <w:r w:rsidR="00A7420C">
              <w:rPr>
                <w:noProof/>
                <w:webHidden/>
              </w:rPr>
              <w:fldChar w:fldCharType="begin"/>
            </w:r>
            <w:r w:rsidR="00A7420C">
              <w:rPr>
                <w:noProof/>
                <w:webHidden/>
              </w:rPr>
              <w:instrText xml:space="preserve"> PAGEREF _Toc39686021 \h </w:instrText>
            </w:r>
            <w:r w:rsidR="00A7420C">
              <w:rPr>
                <w:noProof/>
                <w:webHidden/>
              </w:rPr>
            </w:r>
            <w:r w:rsidR="00A7420C">
              <w:rPr>
                <w:noProof/>
                <w:webHidden/>
              </w:rPr>
              <w:fldChar w:fldCharType="separate"/>
            </w:r>
            <w:r w:rsidR="00E02FB5">
              <w:rPr>
                <w:noProof/>
                <w:webHidden/>
              </w:rPr>
              <w:t>5</w:t>
            </w:r>
            <w:r w:rsidR="00A7420C">
              <w:rPr>
                <w:noProof/>
                <w:webHidden/>
              </w:rPr>
              <w:fldChar w:fldCharType="end"/>
            </w:r>
          </w:hyperlink>
        </w:p>
        <w:p w14:paraId="7EDC0B9C" w14:textId="77777777" w:rsidR="00A7420C" w:rsidRDefault="007E18AF">
          <w:pPr>
            <w:pStyle w:val="TOC2"/>
            <w:tabs>
              <w:tab w:val="right" w:leader="dot" w:pos="9016"/>
            </w:tabs>
            <w:rPr>
              <w:rFonts w:eastAsiaTheme="minorEastAsia"/>
              <w:noProof/>
              <w:lang w:eastAsia="en-AU"/>
            </w:rPr>
          </w:pPr>
          <w:hyperlink w:anchor="_Toc39686022" w:history="1">
            <w:r w:rsidR="00A7420C" w:rsidRPr="00EC7326">
              <w:rPr>
                <w:rStyle w:val="Hyperlink"/>
                <w:noProof/>
              </w:rPr>
              <w:t>Rule 1 – Small businesses</w:t>
            </w:r>
            <w:r w:rsidR="00A7420C">
              <w:rPr>
                <w:noProof/>
                <w:webHidden/>
              </w:rPr>
              <w:tab/>
            </w:r>
            <w:r w:rsidR="00A7420C">
              <w:rPr>
                <w:noProof/>
                <w:webHidden/>
              </w:rPr>
              <w:fldChar w:fldCharType="begin"/>
            </w:r>
            <w:r w:rsidR="00A7420C">
              <w:rPr>
                <w:noProof/>
                <w:webHidden/>
              </w:rPr>
              <w:instrText xml:space="preserve"> PAGEREF _Toc39686022 \h </w:instrText>
            </w:r>
            <w:r w:rsidR="00A7420C">
              <w:rPr>
                <w:noProof/>
                <w:webHidden/>
              </w:rPr>
            </w:r>
            <w:r w:rsidR="00A7420C">
              <w:rPr>
                <w:noProof/>
                <w:webHidden/>
              </w:rPr>
              <w:fldChar w:fldCharType="separate"/>
            </w:r>
            <w:r w:rsidR="00E02FB5">
              <w:rPr>
                <w:noProof/>
                <w:webHidden/>
              </w:rPr>
              <w:t>5</w:t>
            </w:r>
            <w:r w:rsidR="00A7420C">
              <w:rPr>
                <w:noProof/>
                <w:webHidden/>
              </w:rPr>
              <w:fldChar w:fldCharType="end"/>
            </w:r>
          </w:hyperlink>
        </w:p>
        <w:p w14:paraId="5AB65682" w14:textId="77777777" w:rsidR="00A7420C" w:rsidRDefault="007E18AF">
          <w:pPr>
            <w:pStyle w:val="TOC2"/>
            <w:tabs>
              <w:tab w:val="right" w:leader="dot" w:pos="9016"/>
            </w:tabs>
            <w:rPr>
              <w:rFonts w:eastAsiaTheme="minorEastAsia"/>
              <w:noProof/>
              <w:lang w:eastAsia="en-AU"/>
            </w:rPr>
          </w:pPr>
          <w:hyperlink w:anchor="_Toc39686023" w:history="1">
            <w:r w:rsidR="00A7420C" w:rsidRPr="00EC7326">
              <w:rPr>
                <w:rStyle w:val="Hyperlink"/>
                <w:noProof/>
              </w:rPr>
              <w:t>Rule 2 – Definition of a standard payment period</w:t>
            </w:r>
            <w:r w:rsidR="00A7420C">
              <w:rPr>
                <w:noProof/>
                <w:webHidden/>
              </w:rPr>
              <w:tab/>
            </w:r>
            <w:r w:rsidR="00A7420C">
              <w:rPr>
                <w:noProof/>
                <w:webHidden/>
              </w:rPr>
              <w:fldChar w:fldCharType="begin"/>
            </w:r>
            <w:r w:rsidR="00A7420C">
              <w:rPr>
                <w:noProof/>
                <w:webHidden/>
              </w:rPr>
              <w:instrText xml:space="preserve"> PAGEREF _Toc39686023 \h </w:instrText>
            </w:r>
            <w:r w:rsidR="00A7420C">
              <w:rPr>
                <w:noProof/>
                <w:webHidden/>
              </w:rPr>
            </w:r>
            <w:r w:rsidR="00A7420C">
              <w:rPr>
                <w:noProof/>
                <w:webHidden/>
              </w:rPr>
              <w:fldChar w:fldCharType="separate"/>
            </w:r>
            <w:r w:rsidR="00E02FB5">
              <w:rPr>
                <w:noProof/>
                <w:webHidden/>
              </w:rPr>
              <w:t>6</w:t>
            </w:r>
            <w:r w:rsidR="00A7420C">
              <w:rPr>
                <w:noProof/>
                <w:webHidden/>
              </w:rPr>
              <w:fldChar w:fldCharType="end"/>
            </w:r>
          </w:hyperlink>
        </w:p>
        <w:p w14:paraId="2021965D" w14:textId="77777777" w:rsidR="00A7420C" w:rsidRDefault="007E18AF">
          <w:pPr>
            <w:pStyle w:val="TOC2"/>
            <w:tabs>
              <w:tab w:val="right" w:leader="dot" w:pos="9016"/>
            </w:tabs>
            <w:rPr>
              <w:rFonts w:eastAsiaTheme="minorEastAsia"/>
              <w:noProof/>
              <w:lang w:eastAsia="en-AU"/>
            </w:rPr>
          </w:pPr>
          <w:hyperlink w:anchor="_Toc39686024" w:history="1">
            <w:r w:rsidR="00A7420C" w:rsidRPr="00EC7326">
              <w:rPr>
                <w:rStyle w:val="Hyperlink"/>
                <w:noProof/>
              </w:rPr>
              <w:t>Rule 3 – Application to cease to be a reporting entity</w:t>
            </w:r>
            <w:r w:rsidR="00A7420C">
              <w:rPr>
                <w:noProof/>
                <w:webHidden/>
              </w:rPr>
              <w:tab/>
            </w:r>
            <w:r w:rsidR="00A7420C">
              <w:rPr>
                <w:noProof/>
                <w:webHidden/>
              </w:rPr>
              <w:fldChar w:fldCharType="begin"/>
            </w:r>
            <w:r w:rsidR="00A7420C">
              <w:rPr>
                <w:noProof/>
                <w:webHidden/>
              </w:rPr>
              <w:instrText xml:space="preserve"> PAGEREF _Toc39686024 \h </w:instrText>
            </w:r>
            <w:r w:rsidR="00A7420C">
              <w:rPr>
                <w:noProof/>
                <w:webHidden/>
              </w:rPr>
            </w:r>
            <w:r w:rsidR="00A7420C">
              <w:rPr>
                <w:noProof/>
                <w:webHidden/>
              </w:rPr>
              <w:fldChar w:fldCharType="separate"/>
            </w:r>
            <w:r w:rsidR="00E02FB5">
              <w:rPr>
                <w:noProof/>
                <w:webHidden/>
              </w:rPr>
              <w:t>6</w:t>
            </w:r>
            <w:r w:rsidR="00A7420C">
              <w:rPr>
                <w:noProof/>
                <w:webHidden/>
              </w:rPr>
              <w:fldChar w:fldCharType="end"/>
            </w:r>
          </w:hyperlink>
        </w:p>
        <w:p w14:paraId="43923F28" w14:textId="77777777" w:rsidR="00A7420C" w:rsidRDefault="007E18AF">
          <w:pPr>
            <w:pStyle w:val="TOC2"/>
            <w:tabs>
              <w:tab w:val="right" w:leader="dot" w:pos="9016"/>
            </w:tabs>
            <w:rPr>
              <w:rFonts w:eastAsiaTheme="minorEastAsia"/>
              <w:noProof/>
              <w:lang w:eastAsia="en-AU"/>
            </w:rPr>
          </w:pPr>
          <w:hyperlink w:anchor="_Toc39686025" w:history="1">
            <w:r w:rsidR="00A7420C" w:rsidRPr="00EC7326">
              <w:rPr>
                <w:rStyle w:val="Hyperlink"/>
                <w:noProof/>
              </w:rPr>
              <w:t>Rule 4 – Additional information for a report</w:t>
            </w:r>
            <w:r w:rsidR="00A7420C">
              <w:rPr>
                <w:noProof/>
                <w:webHidden/>
              </w:rPr>
              <w:tab/>
            </w:r>
            <w:r w:rsidR="00A7420C">
              <w:rPr>
                <w:noProof/>
                <w:webHidden/>
              </w:rPr>
              <w:fldChar w:fldCharType="begin"/>
            </w:r>
            <w:r w:rsidR="00A7420C">
              <w:rPr>
                <w:noProof/>
                <w:webHidden/>
              </w:rPr>
              <w:instrText xml:space="preserve"> PAGEREF _Toc39686025 \h </w:instrText>
            </w:r>
            <w:r w:rsidR="00A7420C">
              <w:rPr>
                <w:noProof/>
                <w:webHidden/>
              </w:rPr>
            </w:r>
            <w:r w:rsidR="00A7420C">
              <w:rPr>
                <w:noProof/>
                <w:webHidden/>
              </w:rPr>
              <w:fldChar w:fldCharType="separate"/>
            </w:r>
            <w:r w:rsidR="00E02FB5">
              <w:rPr>
                <w:noProof/>
                <w:webHidden/>
              </w:rPr>
              <w:t>7</w:t>
            </w:r>
            <w:r w:rsidR="00A7420C">
              <w:rPr>
                <w:noProof/>
                <w:webHidden/>
              </w:rPr>
              <w:fldChar w:fldCharType="end"/>
            </w:r>
          </w:hyperlink>
        </w:p>
        <w:p w14:paraId="5C8DC569" w14:textId="77777777" w:rsidR="00A7420C" w:rsidRDefault="007E18AF">
          <w:pPr>
            <w:pStyle w:val="TOC2"/>
            <w:tabs>
              <w:tab w:val="right" w:leader="dot" w:pos="9016"/>
            </w:tabs>
            <w:rPr>
              <w:rFonts w:eastAsiaTheme="minorEastAsia"/>
              <w:noProof/>
              <w:lang w:eastAsia="en-AU"/>
            </w:rPr>
          </w:pPr>
          <w:hyperlink w:anchor="_Toc39686026" w:history="1">
            <w:r w:rsidR="00A7420C" w:rsidRPr="00EC7326">
              <w:rPr>
                <w:rStyle w:val="Hyperlink"/>
                <w:noProof/>
              </w:rPr>
              <w:t>Rule 5 – Method for calculating information for a report</w:t>
            </w:r>
            <w:r w:rsidR="00A7420C">
              <w:rPr>
                <w:noProof/>
                <w:webHidden/>
              </w:rPr>
              <w:tab/>
            </w:r>
            <w:r w:rsidR="00A7420C">
              <w:rPr>
                <w:noProof/>
                <w:webHidden/>
              </w:rPr>
              <w:fldChar w:fldCharType="begin"/>
            </w:r>
            <w:r w:rsidR="00A7420C">
              <w:rPr>
                <w:noProof/>
                <w:webHidden/>
              </w:rPr>
              <w:instrText xml:space="preserve"> PAGEREF _Toc39686026 \h </w:instrText>
            </w:r>
            <w:r w:rsidR="00A7420C">
              <w:rPr>
                <w:noProof/>
                <w:webHidden/>
              </w:rPr>
            </w:r>
            <w:r w:rsidR="00A7420C">
              <w:rPr>
                <w:noProof/>
                <w:webHidden/>
              </w:rPr>
              <w:fldChar w:fldCharType="separate"/>
            </w:r>
            <w:r w:rsidR="00E02FB5">
              <w:rPr>
                <w:noProof/>
                <w:webHidden/>
              </w:rPr>
              <w:t>8</w:t>
            </w:r>
            <w:r w:rsidR="00A7420C">
              <w:rPr>
                <w:noProof/>
                <w:webHidden/>
              </w:rPr>
              <w:fldChar w:fldCharType="end"/>
            </w:r>
          </w:hyperlink>
        </w:p>
        <w:p w14:paraId="45DB2BDB" w14:textId="77777777" w:rsidR="00A7420C" w:rsidRDefault="007E18AF">
          <w:pPr>
            <w:pStyle w:val="TOC2"/>
            <w:tabs>
              <w:tab w:val="right" w:leader="dot" w:pos="9016"/>
            </w:tabs>
            <w:rPr>
              <w:noProof/>
            </w:rPr>
          </w:pPr>
          <w:hyperlink w:anchor="_Toc39686027" w:history="1">
            <w:r w:rsidR="00A7420C" w:rsidRPr="00EC7326">
              <w:rPr>
                <w:rStyle w:val="Hyperlink"/>
                <w:noProof/>
              </w:rPr>
              <w:t>Rule 6 – Additional matter for deciding not to publish information from a report</w:t>
            </w:r>
            <w:r w:rsidR="00A7420C">
              <w:rPr>
                <w:noProof/>
                <w:webHidden/>
              </w:rPr>
              <w:tab/>
            </w:r>
            <w:r w:rsidR="00A7420C">
              <w:rPr>
                <w:noProof/>
                <w:webHidden/>
              </w:rPr>
              <w:fldChar w:fldCharType="begin"/>
            </w:r>
            <w:r w:rsidR="00A7420C">
              <w:rPr>
                <w:noProof/>
                <w:webHidden/>
              </w:rPr>
              <w:instrText xml:space="preserve"> PAGEREF _Toc39686027 \h </w:instrText>
            </w:r>
            <w:r w:rsidR="00A7420C">
              <w:rPr>
                <w:noProof/>
                <w:webHidden/>
              </w:rPr>
            </w:r>
            <w:r w:rsidR="00A7420C">
              <w:rPr>
                <w:noProof/>
                <w:webHidden/>
              </w:rPr>
              <w:fldChar w:fldCharType="separate"/>
            </w:r>
            <w:r w:rsidR="00E02FB5">
              <w:rPr>
                <w:noProof/>
                <w:webHidden/>
              </w:rPr>
              <w:t>8</w:t>
            </w:r>
            <w:r w:rsidR="00A7420C">
              <w:rPr>
                <w:noProof/>
                <w:webHidden/>
              </w:rPr>
              <w:fldChar w:fldCharType="end"/>
            </w:r>
          </w:hyperlink>
        </w:p>
        <w:p w14:paraId="042E3AD1" w14:textId="77777777" w:rsidR="000F2564" w:rsidRDefault="00E3027E" w:rsidP="00A7420C">
          <w:r>
            <w:fldChar w:fldCharType="end"/>
          </w:r>
        </w:p>
      </w:sdtContent>
    </w:sdt>
    <w:p w14:paraId="7C93179F" w14:textId="77777777" w:rsidR="00E3027E" w:rsidRDefault="000F2564">
      <w:r>
        <w:br w:type="page"/>
      </w:r>
    </w:p>
    <w:p w14:paraId="31FE3BB4" w14:textId="77777777" w:rsidR="004B4254" w:rsidRDefault="001F7618" w:rsidP="004B4254">
      <w:pPr>
        <w:pStyle w:val="Heading1"/>
      </w:pPr>
      <w:bookmarkStart w:id="15" w:name="_Toc39686018"/>
      <w:bookmarkStart w:id="16" w:name="_Toc19023741"/>
      <w:r>
        <w:lastRenderedPageBreak/>
        <w:t>Executive Summary</w:t>
      </w:r>
      <w:bookmarkEnd w:id="15"/>
      <w:r>
        <w:t xml:space="preserve"> </w:t>
      </w:r>
    </w:p>
    <w:p w14:paraId="0145357F" w14:textId="6C8461D2" w:rsidR="001F7618" w:rsidRPr="00CF1C3B" w:rsidRDefault="001F7618" w:rsidP="001F7618">
      <w:r w:rsidRPr="00CF1C3B">
        <w:t>L</w:t>
      </w:r>
      <w:r w:rsidR="00D3732C">
        <w:t>ong (after 30 days) and l</w:t>
      </w:r>
      <w:r w:rsidRPr="00CF1C3B">
        <w:t xml:space="preserve">ate payments are a systemic problem for Australia’s 3.4 million small businesses, with negative impacts </w:t>
      </w:r>
      <w:r w:rsidR="00D3732C">
        <w:t xml:space="preserve">not only on these businesses but also </w:t>
      </w:r>
      <w:r w:rsidRPr="00CF1C3B">
        <w:t>more broadly across the economy as small businesses that are paid slowly pay their suppliers more slowly in turn.</w:t>
      </w:r>
    </w:p>
    <w:p w14:paraId="5721F917" w14:textId="30BFCF06" w:rsidR="001F7618" w:rsidRPr="00CF1C3B" w:rsidRDefault="001F7618" w:rsidP="001F7618">
      <w:r w:rsidRPr="00CF1C3B">
        <w:t xml:space="preserve">A </w:t>
      </w:r>
      <w:r>
        <w:t>2019</w:t>
      </w:r>
      <w:r w:rsidRPr="00CF1C3B">
        <w:t xml:space="preserve"> study by</w:t>
      </w:r>
      <w:r>
        <w:t xml:space="preserve"> </w:t>
      </w:r>
      <w:r w:rsidR="009A4BB6">
        <w:t xml:space="preserve">economic consulting firm </w:t>
      </w:r>
      <w:proofErr w:type="spellStart"/>
      <w:r>
        <w:t>Alphabeta</w:t>
      </w:r>
      <w:proofErr w:type="spellEnd"/>
      <w:r w:rsidRPr="00CF1C3B">
        <w:t xml:space="preserve">, highlights the importance of addressing the issue of </w:t>
      </w:r>
      <w:r w:rsidR="00D3732C">
        <w:t xml:space="preserve">long and </w:t>
      </w:r>
      <w:r w:rsidR="006A6AFA">
        <w:t>l</w:t>
      </w:r>
      <w:r w:rsidR="00D3732C" w:rsidRPr="00CF1C3B">
        <w:t xml:space="preserve">ate </w:t>
      </w:r>
      <w:r w:rsidRPr="00CF1C3B">
        <w:t xml:space="preserve">payments from large to small business. </w:t>
      </w:r>
      <w:r>
        <w:t xml:space="preserve"> Looking at over 10 million invoices from more than 76,000 small</w:t>
      </w:r>
      <w:r w:rsidRPr="00CF1C3B">
        <w:t xml:space="preserve"> businesses, </w:t>
      </w:r>
      <w:r>
        <w:t>they estimated that the quantum of long payment from large business to small business is $77</w:t>
      </w:r>
      <w:r w:rsidR="003838DF">
        <w:t> </w:t>
      </w:r>
      <w:r>
        <w:t xml:space="preserve">billion per year.  More than a third of small business invoices are paid after 30 days, and these invoice can take an average of 63 days to be paid. </w:t>
      </w:r>
      <w:r w:rsidR="00D3732C">
        <w:t>This is estimated to equate to</w:t>
      </w:r>
      <w:r w:rsidRPr="00CF1C3B">
        <w:t xml:space="preserve"> $7 billion in working capital </w:t>
      </w:r>
      <w:r w:rsidR="00D3732C">
        <w:t xml:space="preserve">that is transferred from small to </w:t>
      </w:r>
      <w:r w:rsidRPr="00CF1C3B">
        <w:t>large business</w:t>
      </w:r>
      <w:r w:rsidR="00D3732C">
        <w:t xml:space="preserve"> every year</w:t>
      </w:r>
      <w:r w:rsidRPr="00CF1C3B">
        <w:t xml:space="preserve">.  </w:t>
      </w:r>
    </w:p>
    <w:p w14:paraId="4D5DCAC9" w14:textId="0132DC62" w:rsidR="001F7618" w:rsidRPr="00CF1C3B" w:rsidRDefault="001F7618" w:rsidP="001F7618">
      <w:r w:rsidRPr="00CF1C3B">
        <w:t xml:space="preserve">To address this issue, the Government </w:t>
      </w:r>
      <w:r>
        <w:t>is implementing the</w:t>
      </w:r>
      <w:r w:rsidRPr="00CF1C3B">
        <w:t xml:space="preserve"> Payment Times Reporting </w:t>
      </w:r>
      <w:r>
        <w:t>Scheme</w:t>
      </w:r>
      <w:r w:rsidRPr="00CF1C3B">
        <w:t xml:space="preserve"> </w:t>
      </w:r>
      <w:r>
        <w:t xml:space="preserve">(the Scheme) </w:t>
      </w:r>
      <w:r w:rsidRPr="00CF1C3B">
        <w:t>requiring large businesses</w:t>
      </w:r>
      <w:r>
        <w:t xml:space="preserve"> and large government enterprises with a total annual income of</w:t>
      </w:r>
      <w:r w:rsidRPr="00CF1C3B">
        <w:t xml:space="preserve"> over $100 million to </w:t>
      </w:r>
      <w:r w:rsidR="00503141">
        <w:t>public</w:t>
      </w:r>
      <w:r>
        <w:t xml:space="preserve">ly report on their payment terms and practices for their small business suppliers.  </w:t>
      </w:r>
      <w:r w:rsidRPr="00CF1C3B">
        <w:t xml:space="preserve">The </w:t>
      </w:r>
      <w:r>
        <w:t>Scheme</w:t>
      </w:r>
      <w:r w:rsidRPr="00CF1C3B">
        <w:t xml:space="preserve"> will cover </w:t>
      </w:r>
      <w:r>
        <w:t xml:space="preserve">over 3000 of </w:t>
      </w:r>
      <w:r w:rsidRPr="00CF1C3B">
        <w:t>Australia’s largest busines</w:t>
      </w:r>
      <w:r>
        <w:t>ses including foreign companies.</w:t>
      </w:r>
    </w:p>
    <w:p w14:paraId="223967C0" w14:textId="2DA9AE99" w:rsidR="001F7618" w:rsidRPr="00CF1C3B" w:rsidRDefault="001F7618" w:rsidP="001F7618">
      <w:r>
        <w:t>The objective of the Scheme is to improve payment outcomes for small business by creating transparency around the payment practices of large businesses.  By providing access to information on large business payment performance, small business</w:t>
      </w:r>
      <w:r w:rsidR="001316E0">
        <w:t xml:space="preserve"> will be able to make more informed decision</w:t>
      </w:r>
      <w:r w:rsidR="003838DF">
        <w:t>s</w:t>
      </w:r>
      <w:r w:rsidR="001316E0">
        <w:t xml:space="preserve"> about their potential customer</w:t>
      </w:r>
      <w:r w:rsidR="003838DF">
        <w:t>s</w:t>
      </w:r>
      <w:r w:rsidR="001316E0">
        <w:t xml:space="preserve">.  Greater transparency </w:t>
      </w:r>
      <w:r>
        <w:t xml:space="preserve">will </w:t>
      </w:r>
      <w:r w:rsidR="001316E0">
        <w:t>also create</w:t>
      </w:r>
      <w:r w:rsidR="001316E0" w:rsidRPr="001316E0">
        <w:t xml:space="preserve"> an incentive for large businesses to improve their payment performance</w:t>
      </w:r>
      <w:r w:rsidR="001316E0">
        <w:t xml:space="preserve">. </w:t>
      </w:r>
    </w:p>
    <w:p w14:paraId="0F4DE55A" w14:textId="4AC2313D" w:rsidR="00C42FFD" w:rsidRDefault="4E1D9CFE" w:rsidP="001F7618">
      <w:r>
        <w:t>The</w:t>
      </w:r>
      <w:r w:rsidR="00F37E87">
        <w:t xml:space="preserve"> principal</w:t>
      </w:r>
      <w:r w:rsidR="00D604F8">
        <w:t xml:space="preserve"> </w:t>
      </w:r>
      <w:r w:rsidR="0089200F">
        <w:t>legislation</w:t>
      </w:r>
      <w:r w:rsidR="00D604F8">
        <w:t xml:space="preserve"> for the Scheme, </w:t>
      </w:r>
      <w:r w:rsidR="008B219D">
        <w:t xml:space="preserve">the Payment Times Reporting Bill, </w:t>
      </w:r>
      <w:r w:rsidR="00D604F8">
        <w:t xml:space="preserve">was </w:t>
      </w:r>
      <w:r>
        <w:t>introduced in</w:t>
      </w:r>
      <w:r w:rsidR="00F37E87">
        <w:t>to</w:t>
      </w:r>
      <w:r>
        <w:t xml:space="preserve"> the </w:t>
      </w:r>
      <w:r w:rsidR="00D604F8">
        <w:t xml:space="preserve">Parliament on </w:t>
      </w:r>
      <w:r w:rsidR="00140989" w:rsidRPr="007A6D9D">
        <w:t>13 May 2020</w:t>
      </w:r>
      <w:r w:rsidR="00E94CFE" w:rsidRPr="007A6D9D">
        <w:t>.</w:t>
      </w:r>
      <w:r w:rsidR="00D604F8" w:rsidRPr="007A6D9D">
        <w:t xml:space="preserve"> </w:t>
      </w:r>
      <w:r w:rsidR="008D54EC" w:rsidRPr="007A6D9D">
        <w:t>The</w:t>
      </w:r>
      <w:r w:rsidR="008D54EC">
        <w:t xml:space="preserve"> </w:t>
      </w:r>
      <w:r w:rsidR="00F37E87">
        <w:t>principal</w:t>
      </w:r>
      <w:r>
        <w:t xml:space="preserve"> </w:t>
      </w:r>
      <w:r w:rsidR="008D54EC">
        <w:t xml:space="preserve">legislation </w:t>
      </w:r>
      <w:r w:rsidR="00F37E87">
        <w:t>allows for</w:t>
      </w:r>
      <w:r>
        <w:t xml:space="preserve"> </w:t>
      </w:r>
      <w:r w:rsidR="00F37E87">
        <w:t>subordinate legislation to</w:t>
      </w:r>
      <w:r w:rsidR="008D54EC">
        <w:t xml:space="preserve"> be </w:t>
      </w:r>
      <w:r w:rsidR="00F37E87">
        <w:t>made, namely</w:t>
      </w:r>
      <w:r w:rsidR="008D54EC">
        <w:t xml:space="preserve"> the Payment Times Reporting Rules as outlined in this Consultation Paper. </w:t>
      </w:r>
    </w:p>
    <w:p w14:paraId="3A6474CE" w14:textId="0F2AB195" w:rsidR="001F7618" w:rsidRPr="00CF1C3B" w:rsidRDefault="001F7618" w:rsidP="001F7618">
      <w:r w:rsidRPr="00CF1C3B">
        <w:t xml:space="preserve">Subject </w:t>
      </w:r>
      <w:r>
        <w:t xml:space="preserve">to passage of </w:t>
      </w:r>
      <w:r w:rsidR="00D604F8">
        <w:t xml:space="preserve">this </w:t>
      </w:r>
      <w:r>
        <w:t xml:space="preserve">legislation, the </w:t>
      </w:r>
      <w:r w:rsidR="00D604F8">
        <w:t>Scheme</w:t>
      </w:r>
      <w:r w:rsidRPr="00CF1C3B">
        <w:t xml:space="preserve"> </w:t>
      </w:r>
      <w:r w:rsidR="00F37E87">
        <w:t>is intended to</w:t>
      </w:r>
      <w:r w:rsidRPr="00CF1C3B">
        <w:t xml:space="preserve"> commence on 1 January 2021.</w:t>
      </w:r>
      <w:r w:rsidR="00C42FFD">
        <w:t xml:space="preserve">  Large business </w:t>
      </w:r>
      <w:r w:rsidR="00CE16B3">
        <w:t xml:space="preserve">using a standard financial year </w:t>
      </w:r>
      <w:r w:rsidR="00C42FFD">
        <w:t>who meet the income threshold will provide their first report six</w:t>
      </w:r>
      <w:r w:rsidR="003838DF">
        <w:t> </w:t>
      </w:r>
      <w:r w:rsidR="00C42FFD">
        <w:t xml:space="preserve">months after the Scheme commences. </w:t>
      </w:r>
    </w:p>
    <w:p w14:paraId="40A14FEA" w14:textId="08F1969D" w:rsidR="00CE16B3" w:rsidRDefault="00C42FFD" w:rsidP="00CA3B11">
      <w:pPr>
        <w:tabs>
          <w:tab w:val="left" w:pos="3828"/>
        </w:tabs>
      </w:pPr>
      <w:r>
        <w:t>Large business will</w:t>
      </w:r>
      <w:r w:rsidR="001F7618" w:rsidRPr="00BB5B69">
        <w:t xml:space="preserve"> be required to report their</w:t>
      </w:r>
      <w:r w:rsidR="001F7618">
        <w:t xml:space="preserve"> small business</w:t>
      </w:r>
      <w:r w:rsidR="001F7618" w:rsidRPr="00BB5B69">
        <w:t xml:space="preserve"> payment information to a central web portal. </w:t>
      </w:r>
      <w:r w:rsidR="00A86756">
        <w:t>Information from t</w:t>
      </w:r>
      <w:r w:rsidR="00A86756" w:rsidRPr="00BB5B69">
        <w:t>he</w:t>
      </w:r>
      <w:r w:rsidR="00A86756">
        <w:t>se</w:t>
      </w:r>
      <w:r w:rsidR="00CE16B3" w:rsidRPr="00BB5B69">
        <w:t xml:space="preserve"> </w:t>
      </w:r>
      <w:r w:rsidR="00CE16B3">
        <w:t xml:space="preserve">reports </w:t>
      </w:r>
      <w:r w:rsidR="00CE16B3" w:rsidRPr="00BB5B69">
        <w:t xml:space="preserve">will be made </w:t>
      </w:r>
      <w:r w:rsidR="00CE16B3">
        <w:t xml:space="preserve">available on a </w:t>
      </w:r>
      <w:r w:rsidR="00CE16B3" w:rsidRPr="00BB5B69">
        <w:t xml:space="preserve">public website </w:t>
      </w:r>
      <w:r w:rsidR="00CE16B3">
        <w:t>for small business and other interested stakeholders</w:t>
      </w:r>
      <w:r w:rsidR="00CE16B3" w:rsidRPr="00BB5B69">
        <w:t>.</w:t>
      </w:r>
    </w:p>
    <w:p w14:paraId="3AE1C4C6" w14:textId="231A5DC2" w:rsidR="001F7618" w:rsidRDefault="001F7618" w:rsidP="00CA3B11">
      <w:pPr>
        <w:tabs>
          <w:tab w:val="left" w:pos="3828"/>
        </w:tabs>
      </w:pPr>
      <w:r w:rsidRPr="00BB5B69">
        <w:t xml:space="preserve"> A Payment Times Reporting Small Business Identification Tool will be developed to </w:t>
      </w:r>
      <w:r>
        <w:t xml:space="preserve">assist large businesses in the process of identifying their small business suppliers. </w:t>
      </w:r>
    </w:p>
    <w:p w14:paraId="0246B3C7" w14:textId="77777777" w:rsidR="000F2564" w:rsidRDefault="001316E0" w:rsidP="000F2564">
      <w:pPr>
        <w:pStyle w:val="Heading1"/>
      </w:pPr>
      <w:bookmarkStart w:id="17" w:name="_Toc39686019"/>
      <w:bookmarkEnd w:id="16"/>
      <w:r>
        <w:t>Stakeholder Consultation</w:t>
      </w:r>
      <w:bookmarkEnd w:id="17"/>
    </w:p>
    <w:p w14:paraId="6D6B9695" w14:textId="675597DC" w:rsidR="00D604F8" w:rsidRPr="00BB5B69" w:rsidRDefault="00D604F8" w:rsidP="00D604F8">
      <w:bookmarkStart w:id="18" w:name="_Toc19023742"/>
      <w:r w:rsidRPr="00BB5B69">
        <w:t xml:space="preserve">Since early 2019, the </w:t>
      </w:r>
      <w:r w:rsidR="00CE16B3">
        <w:t>G</w:t>
      </w:r>
      <w:r w:rsidR="00CE16B3" w:rsidRPr="00BB5B69">
        <w:t xml:space="preserve">overnment </w:t>
      </w:r>
      <w:r w:rsidRPr="00BB5B69">
        <w:t>has consulted extensively on the</w:t>
      </w:r>
      <w:r>
        <w:t xml:space="preserve"> design and</w:t>
      </w:r>
      <w:r w:rsidRPr="00BB5B69">
        <w:t xml:space="preserve"> development of the </w:t>
      </w:r>
      <w:r>
        <w:t>Scheme</w:t>
      </w:r>
      <w:r w:rsidRPr="00BB5B69">
        <w:t>. Consultation has been held with a range of</w:t>
      </w:r>
      <w:r>
        <w:t xml:space="preserve"> small and large</w:t>
      </w:r>
      <w:r w:rsidRPr="00BB5B69">
        <w:t xml:space="preserve"> businesses </w:t>
      </w:r>
      <w:r>
        <w:t>as well as</w:t>
      </w:r>
      <w:r w:rsidRPr="00BB5B69">
        <w:t xml:space="preserve"> industry organisations</w:t>
      </w:r>
      <w:r>
        <w:t xml:space="preserve"> and government agencies</w:t>
      </w:r>
      <w:r w:rsidRPr="00BB5B69">
        <w:t xml:space="preserve">. The most recent round of consultation was held </w:t>
      </w:r>
      <w:r w:rsidR="0074557C">
        <w:t>during February</w:t>
      </w:r>
      <w:r w:rsidR="0074557C" w:rsidRPr="00BB5B69">
        <w:t xml:space="preserve"> </w:t>
      </w:r>
      <w:r w:rsidR="0074557C">
        <w:t>and</w:t>
      </w:r>
      <w:r w:rsidR="0074557C" w:rsidRPr="00BB5B69">
        <w:t xml:space="preserve"> </w:t>
      </w:r>
      <w:r w:rsidR="0074557C">
        <w:t>March 2020 in response to</w:t>
      </w:r>
      <w:r>
        <w:t xml:space="preserve"> an exposure draft of the primary legislation</w:t>
      </w:r>
      <w:r w:rsidR="00CE16B3">
        <w:t>,</w:t>
      </w:r>
      <w:r>
        <w:t xml:space="preserve"> </w:t>
      </w:r>
      <w:r w:rsidR="00CE16B3">
        <w:t>along with</w:t>
      </w:r>
      <w:r>
        <w:t xml:space="preserve"> the draft policy for the subordinate legislation</w:t>
      </w:r>
      <w:r w:rsidRPr="00BB5B69">
        <w:t>.</w:t>
      </w:r>
    </w:p>
    <w:p w14:paraId="537CC24C" w14:textId="77777777" w:rsidR="00D604F8" w:rsidRDefault="00D604F8" w:rsidP="00D604F8">
      <w:r w:rsidRPr="00BB5B69">
        <w:t xml:space="preserve">The Department of Industry, Science, Energy and Resources (the department) intends to continue consulting with business in the lead up to implementation of </w:t>
      </w:r>
      <w:r>
        <w:t>the Scheme in 2021</w:t>
      </w:r>
      <w:r w:rsidRPr="00BB5B69">
        <w:t xml:space="preserve">. In particular, </w:t>
      </w:r>
      <w:r w:rsidRPr="00BB5B69">
        <w:lastRenderedPageBreak/>
        <w:t>stakeholders will be engaged in the design of guidance material a</w:t>
      </w:r>
      <w:r>
        <w:t>nd other supporting information</w:t>
      </w:r>
      <w:r w:rsidRPr="00BB5B69">
        <w:t xml:space="preserve"> to ensure businesses are aware of what, and how, they will be required to report. </w:t>
      </w:r>
    </w:p>
    <w:p w14:paraId="7436CB3A" w14:textId="77777777" w:rsidR="00D604F8" w:rsidRDefault="00D604F8" w:rsidP="00D604F8">
      <w:pPr>
        <w:pStyle w:val="Heading1"/>
      </w:pPr>
      <w:bookmarkStart w:id="19" w:name="_Toc39686020"/>
      <w:r>
        <w:t>Purpose of this Consultation</w:t>
      </w:r>
      <w:bookmarkEnd w:id="19"/>
    </w:p>
    <w:p w14:paraId="751F664E" w14:textId="18FBFD3B" w:rsidR="00D604F8" w:rsidRPr="00CF1C3B" w:rsidRDefault="00D604F8" w:rsidP="00D604F8">
      <w:r>
        <w:t>An</w:t>
      </w:r>
      <w:r w:rsidRPr="0048565F">
        <w:t xml:space="preserve"> exposure draft of the </w:t>
      </w:r>
      <w:r>
        <w:t>Scheme’s subordinate legislation</w:t>
      </w:r>
      <w:r w:rsidRPr="0048565F">
        <w:t xml:space="preserve">, referred to as the Payment </w:t>
      </w:r>
      <w:r>
        <w:t>T</w:t>
      </w:r>
      <w:r w:rsidRPr="0048565F">
        <w:t xml:space="preserve">imes Reporting </w:t>
      </w:r>
      <w:r>
        <w:t>Rules (the Rules)</w:t>
      </w:r>
      <w:r w:rsidRPr="0048565F">
        <w:t>,</w:t>
      </w:r>
      <w:r>
        <w:t xml:space="preserve"> has been released </w:t>
      </w:r>
      <w:r w:rsidRPr="00BB5B69">
        <w:t xml:space="preserve">to </w:t>
      </w:r>
      <w:r>
        <w:t>seek</w:t>
      </w:r>
      <w:r w:rsidRPr="00BB5B69">
        <w:t xml:space="preserve"> the views of businesses on any implementa</w:t>
      </w:r>
      <w:r>
        <w:t xml:space="preserve">tion issues associated with these </w:t>
      </w:r>
      <w:r w:rsidRPr="00BB5B69">
        <w:t xml:space="preserve">requirements. The draft </w:t>
      </w:r>
      <w:r>
        <w:t>Rules</w:t>
      </w:r>
      <w:r w:rsidRPr="00BB5B69">
        <w:t xml:space="preserve"> can be viewed on the department’s consultation hub at</w:t>
      </w:r>
      <w:r>
        <w:t xml:space="preserve"> </w:t>
      </w:r>
      <w:hyperlink r:id="rId15" w:history="1">
        <w:r w:rsidR="00964801">
          <w:rPr>
            <w:rStyle w:val="Hyperlink"/>
            <w:rFonts w:ascii="Segoe UI" w:hAnsi="Segoe UI" w:cs="Segoe UI"/>
            <w:sz w:val="20"/>
            <w:szCs w:val="20"/>
          </w:rPr>
          <w:t>https://consult.industry.gov.au/small-business/payment-times-reporting-rules</w:t>
        </w:r>
      </w:hyperlink>
      <w:r w:rsidR="00964801">
        <w:rPr>
          <w:rFonts w:ascii="Segoe UI" w:hAnsi="Segoe UI" w:cs="Segoe UI"/>
          <w:sz w:val="20"/>
          <w:szCs w:val="20"/>
        </w:rPr>
        <w:t xml:space="preserve">  </w:t>
      </w:r>
    </w:p>
    <w:p w14:paraId="59121E31" w14:textId="3A6BE52F" w:rsidR="00D604F8" w:rsidRDefault="00D604F8" w:rsidP="00D604F8">
      <w:r w:rsidRPr="00BB5B69">
        <w:t>Inter</w:t>
      </w:r>
      <w:r>
        <w:t>ested stakeholders can submit</w:t>
      </w:r>
      <w:r w:rsidRPr="00BB5B69">
        <w:t xml:space="preserve"> their written views and comments by accessing the links on the consultation hub website at </w:t>
      </w:r>
      <w:hyperlink r:id="rId16" w:history="1">
        <w:r w:rsidR="00964801">
          <w:rPr>
            <w:rStyle w:val="Hyperlink"/>
            <w:rFonts w:ascii="Segoe UI" w:hAnsi="Segoe UI" w:cs="Segoe UI"/>
            <w:sz w:val="20"/>
            <w:szCs w:val="20"/>
          </w:rPr>
          <w:t>https://consult.industry.gov.au/small-business/payment-times-reporting-rules</w:t>
        </w:r>
      </w:hyperlink>
      <w:r w:rsidR="00964801">
        <w:rPr>
          <w:rFonts w:ascii="Segoe UI" w:hAnsi="Segoe UI" w:cs="Segoe UI"/>
          <w:sz w:val="20"/>
          <w:szCs w:val="20"/>
        </w:rPr>
        <w:t xml:space="preserve">  </w:t>
      </w:r>
    </w:p>
    <w:p w14:paraId="187966B6" w14:textId="1945D482" w:rsidR="00964801" w:rsidRDefault="00D604F8">
      <w:r w:rsidRPr="00BB5B69">
        <w:t xml:space="preserve">Any issues or questions associated with the consultation process can be directed to </w:t>
      </w:r>
      <w:hyperlink r:id="rId17" w:history="1">
        <w:r w:rsidR="00964801" w:rsidRPr="00D96F7D">
          <w:rPr>
            <w:rStyle w:val="Hyperlink"/>
          </w:rPr>
          <w:t>paymenttimes@industry.gov.au</w:t>
        </w:r>
      </w:hyperlink>
      <w:bookmarkEnd w:id="18"/>
    </w:p>
    <w:p w14:paraId="5B82C9C4" w14:textId="77777777" w:rsidR="00964801" w:rsidRDefault="00964801">
      <w:r>
        <w:br w:type="page"/>
      </w:r>
    </w:p>
    <w:p w14:paraId="6F825E08" w14:textId="77777777" w:rsidR="0059171B" w:rsidRDefault="0059171B" w:rsidP="0059171B">
      <w:pPr>
        <w:pStyle w:val="Heading1"/>
      </w:pPr>
      <w:bookmarkStart w:id="20" w:name="_Toc39686021"/>
      <w:r>
        <w:lastRenderedPageBreak/>
        <w:t>Payment Times Reporting Rules</w:t>
      </w:r>
      <w:bookmarkEnd w:id="20"/>
    </w:p>
    <w:p w14:paraId="4FB090F4" w14:textId="5DA2E100" w:rsidR="00140989" w:rsidRPr="00140989" w:rsidRDefault="00140989" w:rsidP="00140989">
      <w:bookmarkStart w:id="21" w:name="_Toc39686022"/>
      <w:r w:rsidRPr="00140989">
        <w:t>The primary legislation for the Scheme, the Payment Times Reporting Bill (the Bill), sets out the core obligations of large business to report on their payment terms and practices. This includes matters such as which business</w:t>
      </w:r>
      <w:r w:rsidR="008D54EC">
        <w:t>es</w:t>
      </w:r>
      <w:r w:rsidRPr="00140989">
        <w:t xml:space="preserve"> need to report, the process for reporting and how often to report, as well as the consequences for those who breach the reporting </w:t>
      </w:r>
      <w:r w:rsidR="008D54EC">
        <w:t>obligations</w:t>
      </w:r>
      <w:r w:rsidRPr="00140989">
        <w:t xml:space="preserve">. </w:t>
      </w:r>
    </w:p>
    <w:p w14:paraId="2EB1477E" w14:textId="2903F697" w:rsidR="00140989" w:rsidRPr="00140989" w:rsidRDefault="00140989" w:rsidP="00140989">
      <w:r w:rsidRPr="00140989">
        <w:t xml:space="preserve">The Rules set out more technical and administrative details on how </w:t>
      </w:r>
      <w:r w:rsidR="008D54EC">
        <w:t xml:space="preserve">certain </w:t>
      </w:r>
      <w:r w:rsidRPr="00140989">
        <w:t>provision</w:t>
      </w:r>
      <w:r w:rsidR="008D54EC">
        <w:t>s</w:t>
      </w:r>
      <w:r w:rsidRPr="00140989">
        <w:t xml:space="preserve"> in the Bill will work in practice.  Setting </w:t>
      </w:r>
      <w:r w:rsidR="008D54EC" w:rsidRPr="00140989">
        <w:t>ou</w:t>
      </w:r>
      <w:r w:rsidR="008D54EC">
        <w:t>t</w:t>
      </w:r>
      <w:r w:rsidRPr="00140989">
        <w:t xml:space="preserve"> these details in Rules rather than the primary legislation, provides the necessary </w:t>
      </w:r>
      <w:r w:rsidR="00DE7793" w:rsidRPr="00140989">
        <w:t>flexib</w:t>
      </w:r>
      <w:r w:rsidR="00DE7793">
        <w:t>ility</w:t>
      </w:r>
      <w:r w:rsidR="00DE7793" w:rsidRPr="00140989">
        <w:t xml:space="preserve"> </w:t>
      </w:r>
      <w:r w:rsidRPr="00140989">
        <w:t xml:space="preserve">to </w:t>
      </w:r>
      <w:r w:rsidR="00DE7793" w:rsidRPr="00140989">
        <w:t>respon</w:t>
      </w:r>
      <w:r w:rsidR="00DE7793">
        <w:t>d</w:t>
      </w:r>
      <w:r w:rsidR="00DE7793" w:rsidRPr="00140989">
        <w:t xml:space="preserve"> </w:t>
      </w:r>
      <w:r w:rsidRPr="00140989">
        <w:t>to changing business and industry practices, such as changes to account</w:t>
      </w:r>
      <w:r w:rsidR="00DE7793">
        <w:t>ing</w:t>
      </w:r>
      <w:r w:rsidRPr="00140989">
        <w:t xml:space="preserve"> practices and terminology over time. </w:t>
      </w:r>
    </w:p>
    <w:p w14:paraId="62108543" w14:textId="7C005BC3" w:rsidR="00140989" w:rsidRPr="00140989" w:rsidRDefault="00140989" w:rsidP="00140989">
      <w:r w:rsidRPr="00140989">
        <w:t xml:space="preserve">The </w:t>
      </w:r>
      <w:r w:rsidR="00E94CFE">
        <w:t xml:space="preserve">draft </w:t>
      </w:r>
      <w:r w:rsidRPr="00140989">
        <w:t>Rules</w:t>
      </w:r>
      <w:r w:rsidR="00E94CFE">
        <w:t xml:space="preserve"> provide detail on the scheme and </w:t>
      </w:r>
      <w:r w:rsidRPr="00140989">
        <w:t xml:space="preserve">interact with the Bill </w:t>
      </w:r>
      <w:r w:rsidR="00E94CFE">
        <w:t>in the following ways</w:t>
      </w:r>
      <w:r w:rsidRPr="00140989">
        <w:t>:</w:t>
      </w:r>
    </w:p>
    <w:p w14:paraId="2ED54909" w14:textId="5DD3A42D" w:rsidR="00140989" w:rsidRPr="00140989" w:rsidRDefault="00140989" w:rsidP="00140989">
      <w:pPr>
        <w:numPr>
          <w:ilvl w:val="0"/>
          <w:numId w:val="20"/>
        </w:numPr>
        <w:contextualSpacing/>
      </w:pPr>
      <w:r w:rsidRPr="00140989">
        <w:t xml:space="preserve">the Rules specify the use of the Payment Times Small Business Identification Tool for </w:t>
      </w:r>
      <w:r w:rsidR="00D3732C">
        <w:t xml:space="preserve">reporting </w:t>
      </w:r>
      <w:r w:rsidRPr="00140989">
        <w:t>businesses to identify their</w:t>
      </w:r>
      <w:r w:rsidR="00D3732C">
        <w:t xml:space="preserve"> small business</w:t>
      </w:r>
      <w:r w:rsidRPr="00140989">
        <w:t xml:space="preserve"> suppliers</w:t>
      </w:r>
      <w:r w:rsidR="00D3732C">
        <w:t>;</w:t>
      </w:r>
      <w:r w:rsidRPr="00140989">
        <w:t xml:space="preserve"> </w:t>
      </w:r>
    </w:p>
    <w:p w14:paraId="475FB51C" w14:textId="11B49758" w:rsidR="00140989" w:rsidRPr="00140989" w:rsidRDefault="00140989" w:rsidP="00140989">
      <w:pPr>
        <w:numPr>
          <w:ilvl w:val="0"/>
          <w:numId w:val="20"/>
        </w:numPr>
        <w:contextualSpacing/>
      </w:pPr>
      <w:r w:rsidRPr="00140989">
        <w:t xml:space="preserve">while the Bill specifies the main obligations for businesses to report </w:t>
      </w:r>
      <w:r w:rsidR="00E94CFE">
        <w:t xml:space="preserve">on </w:t>
      </w:r>
      <w:r w:rsidRPr="00140989">
        <w:t xml:space="preserve">their payment terms and practices, the Rules details certain additional matters to include in a </w:t>
      </w:r>
      <w:r w:rsidR="00E94CFE">
        <w:t>Payment Time</w:t>
      </w:r>
      <w:r w:rsidR="008D54EC">
        <w:t>s</w:t>
      </w:r>
      <w:r w:rsidR="00E94CFE">
        <w:t xml:space="preserve"> Report</w:t>
      </w:r>
      <w:r w:rsidRPr="00140989">
        <w:t xml:space="preserve"> such as: </w:t>
      </w:r>
    </w:p>
    <w:p w14:paraId="38CC3B3C" w14:textId="6FBDC5D6" w:rsidR="00140989" w:rsidRPr="00140989" w:rsidRDefault="006647F0" w:rsidP="00140989">
      <w:pPr>
        <w:pStyle w:val="ListParagraph"/>
        <w:numPr>
          <w:ilvl w:val="1"/>
          <w:numId w:val="10"/>
        </w:numPr>
      </w:pPr>
      <w:r>
        <w:t>the</w:t>
      </w:r>
      <w:r w:rsidR="00140989" w:rsidRPr="00140989">
        <w:t xml:space="preserve"> use of supply chain financing arrangements; </w:t>
      </w:r>
    </w:p>
    <w:p w14:paraId="5FF227AF" w14:textId="6E231994" w:rsidR="00F13661" w:rsidRDefault="00140989" w:rsidP="00140989">
      <w:pPr>
        <w:pStyle w:val="ListParagraph"/>
        <w:numPr>
          <w:ilvl w:val="1"/>
          <w:numId w:val="10"/>
        </w:numPr>
      </w:pPr>
      <w:r w:rsidRPr="00140989">
        <w:t>the method for calculating payment times</w:t>
      </w:r>
      <w:r w:rsidR="00F13661">
        <w:t>;</w:t>
      </w:r>
      <w:r w:rsidRPr="00140989">
        <w:t xml:space="preserve"> </w:t>
      </w:r>
    </w:p>
    <w:p w14:paraId="0E092C0A" w14:textId="03BA9502" w:rsidR="00140989" w:rsidRPr="00140989" w:rsidRDefault="00140989" w:rsidP="00140989">
      <w:pPr>
        <w:pStyle w:val="ListParagraph"/>
        <w:numPr>
          <w:ilvl w:val="1"/>
          <w:numId w:val="10"/>
        </w:numPr>
      </w:pPr>
      <w:r w:rsidRPr="00140989">
        <w:t xml:space="preserve">the types of expenditure covered by the scheme; and </w:t>
      </w:r>
    </w:p>
    <w:p w14:paraId="10EB3ACD" w14:textId="1B4E279E" w:rsidR="00140989" w:rsidRPr="00140989" w:rsidRDefault="00140989" w:rsidP="00140989">
      <w:pPr>
        <w:pStyle w:val="ListParagraph"/>
        <w:numPr>
          <w:ilvl w:val="1"/>
          <w:numId w:val="10"/>
        </w:numPr>
      </w:pPr>
      <w:r w:rsidRPr="00140989">
        <w:t>the proportion of the businesses’ procurement that was from small business suppliers</w:t>
      </w:r>
      <w:r w:rsidR="00D3732C">
        <w:t>;</w:t>
      </w:r>
      <w:r w:rsidRPr="00140989">
        <w:t xml:space="preserve"> </w:t>
      </w:r>
    </w:p>
    <w:p w14:paraId="2B3B82AC" w14:textId="4E4C4BBA" w:rsidR="00140989" w:rsidRPr="00140989" w:rsidRDefault="00140989" w:rsidP="00140989">
      <w:pPr>
        <w:numPr>
          <w:ilvl w:val="0"/>
          <w:numId w:val="20"/>
        </w:numPr>
        <w:contextualSpacing/>
      </w:pPr>
      <w:r w:rsidRPr="00140989">
        <w:t xml:space="preserve">the Rules extend provisions in the Bill that </w:t>
      </w:r>
      <w:r w:rsidR="00E94CFE">
        <w:t>give</w:t>
      </w:r>
      <w:r w:rsidRPr="00140989">
        <w:t xml:space="preserve"> the Regulator</w:t>
      </w:r>
      <w:r w:rsidR="00E94CFE">
        <w:t xml:space="preserve"> discretion</w:t>
      </w:r>
      <w:r w:rsidRPr="00140989">
        <w:t xml:space="preserve"> to n</w:t>
      </w:r>
      <w:r w:rsidR="00E94CFE">
        <w:t>ot publish certain information</w:t>
      </w:r>
      <w:r w:rsidRPr="00140989">
        <w:t xml:space="preserve"> to include information that is irrelevant to the objective of the scheme</w:t>
      </w:r>
      <w:r w:rsidR="00D3732C">
        <w:t>; and</w:t>
      </w:r>
      <w:r w:rsidRPr="00140989">
        <w:t xml:space="preserve"> </w:t>
      </w:r>
    </w:p>
    <w:p w14:paraId="2510BCCE" w14:textId="77777777" w:rsidR="00140989" w:rsidRDefault="00140989" w:rsidP="00140989">
      <w:pPr>
        <w:numPr>
          <w:ilvl w:val="0"/>
          <w:numId w:val="20"/>
        </w:numPr>
        <w:contextualSpacing/>
      </w:pPr>
      <w:r w:rsidRPr="00140989">
        <w:t xml:space="preserve">the Rules list the content requirements for an application for businesses to cease reporting their payment terms and practices, as provided for through the Bill. </w:t>
      </w:r>
    </w:p>
    <w:p w14:paraId="26AA9C7F" w14:textId="77777777" w:rsidR="00140989" w:rsidRPr="00140989" w:rsidRDefault="00140989" w:rsidP="00140989">
      <w:pPr>
        <w:ind w:left="720"/>
        <w:contextualSpacing/>
      </w:pPr>
    </w:p>
    <w:p w14:paraId="0E27E6C8" w14:textId="7179D132" w:rsidR="00140989" w:rsidRPr="00140989" w:rsidRDefault="00140989" w:rsidP="00140989">
      <w:r w:rsidRPr="00140989">
        <w:t>Further details on the Rule</w:t>
      </w:r>
      <w:r w:rsidR="00F13661">
        <w:t>s</w:t>
      </w:r>
      <w:r w:rsidRPr="00140989">
        <w:t xml:space="preserve"> provisions is included below.</w:t>
      </w:r>
    </w:p>
    <w:p w14:paraId="2BCD461F" w14:textId="12B2414B" w:rsidR="00140989" w:rsidRPr="00140989" w:rsidRDefault="4E1D9CFE" w:rsidP="00140989">
      <w:r>
        <w:t xml:space="preserve">As subordinate legislation Rules </w:t>
      </w:r>
      <w:r w:rsidR="005661CB">
        <w:t>can only be</w:t>
      </w:r>
      <w:r>
        <w:t xml:space="preserve"> made </w:t>
      </w:r>
      <w:r w:rsidR="005661CB">
        <w:t>after the primary legislation comes into operation</w:t>
      </w:r>
      <w:r>
        <w:t xml:space="preserve">.  </w:t>
      </w:r>
      <w:r w:rsidR="005661CB">
        <w:t>By consulting now, the Department intends to use this</w:t>
      </w:r>
      <w:r>
        <w:t xml:space="preserve"> process to receive feedback on the</w:t>
      </w:r>
      <w:r w:rsidR="005661CB">
        <w:t>se draft</w:t>
      </w:r>
      <w:r>
        <w:t xml:space="preserve"> Rules </w:t>
      </w:r>
      <w:r w:rsidR="005661CB">
        <w:t>to ascertain whether they will work as intended and not have unforeseen consequences, to inform final drafting</w:t>
      </w:r>
      <w:r>
        <w:t xml:space="preserve"> of the Rules </w:t>
      </w:r>
      <w:r w:rsidR="005661CB">
        <w:t>should the Bill pass the Parliament and receive Royal Assent</w:t>
      </w:r>
      <w:r>
        <w:t xml:space="preserve">. </w:t>
      </w:r>
    </w:p>
    <w:p w14:paraId="4127F26E" w14:textId="77777777" w:rsidR="005670CA" w:rsidRDefault="005670CA">
      <w:pPr>
        <w:rPr>
          <w:rFonts w:asciiTheme="majorHAnsi" w:eastAsiaTheme="majorEastAsia" w:hAnsiTheme="majorHAnsi" w:cstheme="majorBidi"/>
          <w:color w:val="005677" w:themeColor="text2"/>
          <w:sz w:val="40"/>
          <w:szCs w:val="48"/>
        </w:rPr>
      </w:pPr>
      <w:r>
        <w:br w:type="page"/>
      </w:r>
    </w:p>
    <w:p w14:paraId="348C40DA" w14:textId="26A119DD" w:rsidR="00425581" w:rsidRDefault="00425581" w:rsidP="00C276F9">
      <w:pPr>
        <w:pStyle w:val="Heading2"/>
      </w:pPr>
      <w:r>
        <w:lastRenderedPageBreak/>
        <w:t>Rule</w:t>
      </w:r>
      <w:r w:rsidR="00AD1AF4">
        <w:t xml:space="preserve"> Provision 1: Defining a s</w:t>
      </w:r>
      <w:r>
        <w:t xml:space="preserve">mall </w:t>
      </w:r>
      <w:r w:rsidR="00A7420C">
        <w:t>businesses</w:t>
      </w:r>
      <w:bookmarkEnd w:id="21"/>
    </w:p>
    <w:p w14:paraId="03A0AB57" w14:textId="77777777" w:rsidR="00C276F9" w:rsidRDefault="00C276F9" w:rsidP="00425581">
      <w:r w:rsidRPr="00D11661">
        <w:rPr>
          <w:i/>
        </w:rPr>
        <w:t xml:space="preserve">Section 5 of the </w:t>
      </w:r>
      <w:r w:rsidR="00C42FFD" w:rsidRPr="00D11661">
        <w:rPr>
          <w:i/>
        </w:rPr>
        <w:t>Bill</w:t>
      </w:r>
      <w:r w:rsidR="00C42FFD">
        <w:t xml:space="preserve"> </w:t>
      </w:r>
      <w:r w:rsidR="003E447B">
        <w:t>enable</w:t>
      </w:r>
      <w:r w:rsidR="004B7D2C">
        <w:t>s</w:t>
      </w:r>
      <w:r w:rsidR="003E447B">
        <w:t xml:space="preserve"> a rule to be made </w:t>
      </w:r>
      <w:r w:rsidR="004B7D2C">
        <w:t>to</w:t>
      </w:r>
      <w:r w:rsidR="003E447B">
        <w:t xml:space="preserve"> </w:t>
      </w:r>
      <w:r w:rsidR="004B7D2C">
        <w:t>specify</w:t>
      </w:r>
      <w:r w:rsidR="003E447B">
        <w:t xml:space="preserve"> what constitutes a small business supplier for the purposes of the Scheme. </w:t>
      </w:r>
    </w:p>
    <w:p w14:paraId="346999B4" w14:textId="54BFBBB3" w:rsidR="002230CC" w:rsidRDefault="002230CC" w:rsidP="002230CC">
      <w:bookmarkStart w:id="22" w:name="_Toc39686023"/>
      <w:r>
        <w:t xml:space="preserve">The draft Rule uses </w:t>
      </w:r>
      <w:r w:rsidR="00F21D5D">
        <w:t>a</w:t>
      </w:r>
      <w:r>
        <w:t xml:space="preserve"> common definition of a small business supplier, by describing a small business as any business with an annual turnover of less than $10 million. </w:t>
      </w:r>
    </w:p>
    <w:p w14:paraId="523A56FF" w14:textId="2C6BB3C0" w:rsidR="002230CC" w:rsidRDefault="002230CC" w:rsidP="002230CC">
      <w:r>
        <w:t xml:space="preserve">The Rule also establishes that a small business is any business that is identified as such through the Payment Time Small Business </w:t>
      </w:r>
      <w:r w:rsidR="00F36AF0">
        <w:t>Identification</w:t>
      </w:r>
      <w:r>
        <w:t xml:space="preserve"> Tool (the Tool).  </w:t>
      </w:r>
      <w:r w:rsidR="005A0EBC">
        <w:t>This means that</w:t>
      </w:r>
      <w:r>
        <w:t xml:space="preserve"> large businesses will be required to use the Tool in order to</w:t>
      </w:r>
      <w:r w:rsidR="003B3BFD">
        <w:t xml:space="preserve"> prepare their Payment Times Report.</w:t>
      </w:r>
      <w:r>
        <w:t xml:space="preserve"> </w:t>
      </w:r>
    </w:p>
    <w:p w14:paraId="23285A5B" w14:textId="3440A911" w:rsidR="002230CC" w:rsidRDefault="002230CC" w:rsidP="002230CC">
      <w:r>
        <w:t xml:space="preserve">The Tool is being developed by the </w:t>
      </w:r>
      <w:r w:rsidR="008D54EC">
        <w:t xml:space="preserve">department </w:t>
      </w:r>
      <w:r>
        <w:t>to make it easy for</w:t>
      </w:r>
      <w:r w:rsidRPr="004B7D2C">
        <w:t xml:space="preserve"> </w:t>
      </w:r>
      <w:r>
        <w:t>large</w:t>
      </w:r>
      <w:r w:rsidRPr="004B7D2C">
        <w:t xml:space="preserve"> business</w:t>
      </w:r>
      <w:r>
        <w:t>es</w:t>
      </w:r>
      <w:r w:rsidRPr="004B7D2C">
        <w:t xml:space="preserve"> to identify which of </w:t>
      </w:r>
      <w:r>
        <w:t>their</w:t>
      </w:r>
      <w:r w:rsidRPr="004B7D2C">
        <w:t xml:space="preserve"> suppliers are small businesses, and to avoid small businesses having to comply with potentially onerous requirements to prove they are a small business</w:t>
      </w:r>
      <w:r>
        <w:t>.</w:t>
      </w:r>
      <w:r w:rsidR="008D54EC">
        <w:t xml:space="preserve"> </w:t>
      </w:r>
    </w:p>
    <w:p w14:paraId="5E1F0B74" w14:textId="6CC99CAC" w:rsidR="002230CC" w:rsidRPr="00D11661" w:rsidRDefault="005A0EBC" w:rsidP="002230CC">
      <w:r>
        <w:t xml:space="preserve">In practice, the tool will operate to allow a large business to look up each of its suppliers </w:t>
      </w:r>
      <w:r w:rsidR="0015648D">
        <w:t>and quickly and easily identify whether or not they are a small business and therefore whether they need to be included in their Payment Times Report.</w:t>
      </w:r>
    </w:p>
    <w:p w14:paraId="68075C65" w14:textId="5BB28E9A" w:rsidR="002230CC" w:rsidRPr="00D11661" w:rsidRDefault="002230CC" w:rsidP="002230CC">
      <w:r>
        <w:t xml:space="preserve">The department intends to continue consulting with small and large business to ensure the design of the Tool is fit for purpose.  Importantly, access to the Tool may be restricted to reporting entities. Small business concerned by </w:t>
      </w:r>
      <w:r w:rsidR="0015648D">
        <w:t>being identified as a small business by this</w:t>
      </w:r>
      <w:r>
        <w:t xml:space="preserve"> process will also have the ability to </w:t>
      </w:r>
      <w:r w:rsidR="00623D29">
        <w:t>‘</w:t>
      </w:r>
      <w:r>
        <w:t xml:space="preserve">opt out’ of being </w:t>
      </w:r>
      <w:r w:rsidR="00623D29">
        <w:t xml:space="preserve">identified by </w:t>
      </w:r>
      <w:r>
        <w:t>the tool</w:t>
      </w:r>
      <w:r w:rsidR="0063147C">
        <w:t>.</w:t>
      </w:r>
    </w:p>
    <w:p w14:paraId="7DFF556D" w14:textId="333C2DB1" w:rsidR="00425581" w:rsidRDefault="00425581" w:rsidP="00425581">
      <w:pPr>
        <w:pStyle w:val="Heading2"/>
      </w:pPr>
      <w:r>
        <w:t>R</w:t>
      </w:r>
      <w:r w:rsidR="00A7420C">
        <w:t xml:space="preserve">ule </w:t>
      </w:r>
      <w:r w:rsidR="00AD1AF4">
        <w:t xml:space="preserve">Provision </w:t>
      </w:r>
      <w:r w:rsidR="00A7420C">
        <w:t>2</w:t>
      </w:r>
      <w:r w:rsidR="00AD1AF4">
        <w:t xml:space="preserve">: </w:t>
      </w:r>
      <w:r w:rsidR="00A7420C">
        <w:t>Defin</w:t>
      </w:r>
      <w:r w:rsidR="00AD1AF4">
        <w:t>ing</w:t>
      </w:r>
      <w:r w:rsidR="00A7420C">
        <w:t xml:space="preserve"> a standard payment period</w:t>
      </w:r>
      <w:bookmarkEnd w:id="22"/>
    </w:p>
    <w:p w14:paraId="477D2125" w14:textId="77777777" w:rsidR="00AA4938" w:rsidRDefault="00AA4938" w:rsidP="00AA4938">
      <w:r w:rsidRPr="00D11661">
        <w:rPr>
          <w:i/>
        </w:rPr>
        <w:t>Section 5 of the Bill</w:t>
      </w:r>
      <w:r>
        <w:t xml:space="preserve"> further enables a rule to be made to specify what constitutes a standard payment period</w:t>
      </w:r>
      <w:r w:rsidR="00DC3679">
        <w:t xml:space="preserve"> or more generally, a business’s standard payment terms.</w:t>
      </w:r>
    </w:p>
    <w:p w14:paraId="266D6DAC" w14:textId="115F6471" w:rsidR="00AA4938" w:rsidRDefault="00AA4938" w:rsidP="00AA4938">
      <w:r>
        <w:t xml:space="preserve">The draft </w:t>
      </w:r>
      <w:r w:rsidR="00DC3679">
        <w:t xml:space="preserve">Rule defines a </w:t>
      </w:r>
      <w:r w:rsidR="001F0C7D">
        <w:rPr>
          <w:bCs/>
          <w:iCs/>
        </w:rPr>
        <w:t>s</w:t>
      </w:r>
      <w:r w:rsidR="00DC3679" w:rsidRPr="00DC3679">
        <w:rPr>
          <w:bCs/>
          <w:iCs/>
        </w:rPr>
        <w:t>tandard payment period</w:t>
      </w:r>
      <w:r w:rsidR="00DC3679">
        <w:t xml:space="preserve"> as the agreed contractual lengths of time a </w:t>
      </w:r>
      <w:r w:rsidR="001F0C7D">
        <w:t>large business</w:t>
      </w:r>
      <w:r w:rsidR="00DC3679">
        <w:t xml:space="preserve"> offers to </w:t>
      </w:r>
      <w:r w:rsidR="00623D29">
        <w:t xml:space="preserve">its </w:t>
      </w:r>
      <w:r w:rsidR="001F0C7D">
        <w:t xml:space="preserve">small business </w:t>
      </w:r>
      <w:r w:rsidR="00DC3679">
        <w:t>supplier</w:t>
      </w:r>
      <w:r w:rsidR="001F0C7D">
        <w:t>s</w:t>
      </w:r>
      <w:r w:rsidR="00DC3679">
        <w:t xml:space="preserve"> for payment to be made for goods and services. </w:t>
      </w:r>
      <w:r w:rsidR="001F0C7D">
        <w:t xml:space="preserve">If </w:t>
      </w:r>
      <w:r w:rsidR="00956E2B">
        <w:t>there are no</w:t>
      </w:r>
      <w:r w:rsidR="001F0C7D">
        <w:t xml:space="preserve"> contractually agreed payment periods, </w:t>
      </w:r>
      <w:r w:rsidR="00DC3679">
        <w:t xml:space="preserve">it is </w:t>
      </w:r>
      <w:r w:rsidR="001F0C7D">
        <w:t xml:space="preserve">the most common </w:t>
      </w:r>
      <w:r w:rsidR="00DC3679">
        <w:t xml:space="preserve">payment period </w:t>
      </w:r>
      <w:r w:rsidR="001F0C7D">
        <w:t xml:space="preserve">used by </w:t>
      </w:r>
      <w:r w:rsidR="00F567E8">
        <w:t xml:space="preserve">the </w:t>
      </w:r>
      <w:r w:rsidR="001F0C7D">
        <w:t>business to pay small business</w:t>
      </w:r>
      <w:r w:rsidR="0063147C">
        <w:t xml:space="preserve"> suppliers</w:t>
      </w:r>
      <w:r w:rsidR="001F0C7D">
        <w:t xml:space="preserve"> </w:t>
      </w:r>
      <w:r w:rsidR="00DC3679">
        <w:t>during the reporting period. </w:t>
      </w:r>
    </w:p>
    <w:p w14:paraId="4F15222C" w14:textId="2187E586" w:rsidR="00956E2B" w:rsidRDefault="001F0C7D" w:rsidP="0059171B">
      <w:r>
        <w:t xml:space="preserve">This definition aims to provide guidance to large business on </w:t>
      </w:r>
      <w:r w:rsidR="004257F8">
        <w:t>what to inclu</w:t>
      </w:r>
      <w:r w:rsidR="00956E2B">
        <w:t>de in a Payment Times Report in reference to their payment terms.</w:t>
      </w:r>
      <w:r w:rsidR="004257F8">
        <w:t xml:space="preserve"> </w:t>
      </w:r>
    </w:p>
    <w:p w14:paraId="78CCBEC8" w14:textId="77777777" w:rsidR="001D6FA4" w:rsidRDefault="004257F8" w:rsidP="0059171B">
      <w:r>
        <w:t xml:space="preserve">Section 14 of the Bill and Rule 4 below further </w:t>
      </w:r>
      <w:r w:rsidR="00956E2B">
        <w:t xml:space="preserve">explain </w:t>
      </w:r>
      <w:r>
        <w:t xml:space="preserve">the type of information that businesses </w:t>
      </w:r>
      <w:r w:rsidR="00956E2B">
        <w:t>must include in a Payment Times Report.</w:t>
      </w:r>
      <w:r w:rsidR="001F0C7D">
        <w:t xml:space="preserve"> </w:t>
      </w:r>
    </w:p>
    <w:p w14:paraId="61C005D3" w14:textId="3FA97A13" w:rsidR="00425581" w:rsidRDefault="00425581" w:rsidP="00425581">
      <w:pPr>
        <w:pStyle w:val="Heading2"/>
      </w:pPr>
      <w:bookmarkStart w:id="23" w:name="_Toc39686024"/>
      <w:r>
        <w:t>R</w:t>
      </w:r>
      <w:r w:rsidR="00A7420C">
        <w:t xml:space="preserve">ule </w:t>
      </w:r>
      <w:r w:rsidR="00D4711F">
        <w:t xml:space="preserve">Provision </w:t>
      </w:r>
      <w:r w:rsidR="00A7420C">
        <w:t>3</w:t>
      </w:r>
      <w:r w:rsidR="00D4711F">
        <w:t>:</w:t>
      </w:r>
      <w:r>
        <w:t xml:space="preserve"> </w:t>
      </w:r>
      <w:r w:rsidR="00AD1AF4">
        <w:t xml:space="preserve">Content for an application to cease reporting </w:t>
      </w:r>
      <w:bookmarkEnd w:id="23"/>
    </w:p>
    <w:p w14:paraId="1EAC6392" w14:textId="139CF807" w:rsidR="007A58B7" w:rsidRDefault="004257F8" w:rsidP="0059171B">
      <w:r>
        <w:t>S</w:t>
      </w:r>
      <w:r w:rsidR="00B60AA8">
        <w:t>ubs</w:t>
      </w:r>
      <w:r>
        <w:t>ection 7</w:t>
      </w:r>
      <w:r w:rsidR="001C1E16">
        <w:t>(3)</w:t>
      </w:r>
      <w:r>
        <w:t xml:space="preserve"> of the Bill </w:t>
      </w:r>
      <w:r w:rsidR="007A58B7">
        <w:t>outline</w:t>
      </w:r>
      <w:r w:rsidR="001C1E16">
        <w:t>s</w:t>
      </w:r>
      <w:r w:rsidR="007A58B7">
        <w:t xml:space="preserve"> the condition</w:t>
      </w:r>
      <w:r w:rsidR="001C1E16">
        <w:t>s</w:t>
      </w:r>
      <w:r w:rsidR="007A58B7">
        <w:t xml:space="preserve"> under which a large business </w:t>
      </w:r>
      <w:r w:rsidR="001C1E16">
        <w:t>may</w:t>
      </w:r>
      <w:r w:rsidR="007A58B7">
        <w:t xml:space="preserve"> cease reporting their payment times.</w:t>
      </w:r>
      <w:r w:rsidR="001C1E16">
        <w:t xml:space="preserve">  In particular, a</w:t>
      </w:r>
      <w:r w:rsidR="007A58B7">
        <w:t xml:space="preserve"> business may cease to be a reporting entity if </w:t>
      </w:r>
      <w:r w:rsidR="00623D29">
        <w:t xml:space="preserve">it </w:t>
      </w:r>
      <w:r w:rsidR="007A58B7">
        <w:t>no longer meet</w:t>
      </w:r>
      <w:r w:rsidR="00623D29">
        <w:t>s</w:t>
      </w:r>
      <w:r w:rsidR="007A58B7">
        <w:t xml:space="preserve"> the </w:t>
      </w:r>
      <w:r w:rsidR="001C1E16">
        <w:t>reporting threshold of having a</w:t>
      </w:r>
      <w:r w:rsidR="007A58B7">
        <w:t xml:space="preserve"> total annual income of over $100 million for each of th</w:t>
      </w:r>
      <w:r w:rsidR="00956E2B">
        <w:t xml:space="preserve">e two most recent income years </w:t>
      </w:r>
      <w:r w:rsidR="007A58B7">
        <w:t>or if they have voluntarily opted into the reporting s</w:t>
      </w:r>
      <w:r w:rsidR="00956E2B">
        <w:t>cheme and have decided to leave</w:t>
      </w:r>
      <w:r w:rsidR="007A58B7">
        <w:t xml:space="preserve">.  </w:t>
      </w:r>
    </w:p>
    <w:p w14:paraId="56748B70" w14:textId="3478CB82" w:rsidR="007A58B7" w:rsidRDefault="007A58B7" w:rsidP="0059171B">
      <w:r>
        <w:t xml:space="preserve">In either case, the business must apply in writing to the Payment Times Reporting Regulator </w:t>
      </w:r>
      <w:r w:rsidR="001C1E16">
        <w:t>for a determination that they are no longer require</w:t>
      </w:r>
      <w:r w:rsidR="00623D29">
        <w:t>d</w:t>
      </w:r>
      <w:r w:rsidR="00CA3B11">
        <w:t xml:space="preserve"> to report.</w:t>
      </w:r>
    </w:p>
    <w:p w14:paraId="501638C1" w14:textId="70860DE4" w:rsidR="001C1E16" w:rsidRDefault="001C1E16" w:rsidP="0059171B">
      <w:r>
        <w:lastRenderedPageBreak/>
        <w:t>S</w:t>
      </w:r>
      <w:r w:rsidR="00B60AA8">
        <w:t>ubs</w:t>
      </w:r>
      <w:r>
        <w:t xml:space="preserve">ection 7(6) of the Bill enables a Rule to be made </w:t>
      </w:r>
      <w:r w:rsidR="00956E2B">
        <w:t>to</w:t>
      </w:r>
      <w:r>
        <w:t xml:space="preserve"> </w:t>
      </w:r>
      <w:r w:rsidR="00956E2B">
        <w:t>list</w:t>
      </w:r>
      <w:r>
        <w:t xml:space="preserve"> the informatio</w:t>
      </w:r>
      <w:r w:rsidR="00956E2B">
        <w:t>n that business will need to include in their</w:t>
      </w:r>
      <w:r>
        <w:t xml:space="preserve"> application to cease reporting. </w:t>
      </w:r>
    </w:p>
    <w:p w14:paraId="7F8C219F" w14:textId="7284DEAB" w:rsidR="001C1E16" w:rsidRDefault="00882F34" w:rsidP="0059171B">
      <w:r>
        <w:t>The draft Rule</w:t>
      </w:r>
      <w:r w:rsidR="001C1E16">
        <w:t xml:space="preserve"> </w:t>
      </w:r>
      <w:r w:rsidR="00921948">
        <w:t xml:space="preserve">provides for the following </w:t>
      </w:r>
      <w:r w:rsidR="000E0B0D">
        <w:t xml:space="preserve">to be in </w:t>
      </w:r>
      <w:r w:rsidR="00956E2B">
        <w:t>the</w:t>
      </w:r>
      <w:r w:rsidR="00921948">
        <w:t xml:space="preserve"> application:</w:t>
      </w:r>
    </w:p>
    <w:p w14:paraId="3DF2C4FA" w14:textId="6022CF6B" w:rsidR="001C1E16" w:rsidRPr="001C1E16" w:rsidRDefault="001C1E16" w:rsidP="001C1E16">
      <w:pPr>
        <w:numPr>
          <w:ilvl w:val="0"/>
          <w:numId w:val="20"/>
        </w:numPr>
        <w:contextualSpacing/>
      </w:pPr>
      <w:r w:rsidRPr="000E0B0D">
        <w:t>the business n</w:t>
      </w:r>
      <w:r w:rsidRPr="001C1E16">
        <w:t>ame</w:t>
      </w:r>
      <w:r w:rsidRPr="000E0B0D">
        <w:t xml:space="preserve"> and ABN </w:t>
      </w:r>
      <w:r w:rsidRPr="001C1E16">
        <w:t>(and, if relevant, the name</w:t>
      </w:r>
      <w:r w:rsidRPr="000E0B0D">
        <w:t xml:space="preserve"> and ABN</w:t>
      </w:r>
      <w:r w:rsidRPr="001C1E16">
        <w:t xml:space="preserve"> of the controlling corporation)</w:t>
      </w:r>
      <w:r w:rsidR="00B60AA8">
        <w:t>,</w:t>
      </w:r>
    </w:p>
    <w:p w14:paraId="257B7A2C" w14:textId="1F1D9DE9" w:rsidR="001C1E16" w:rsidRPr="000E0B0D" w:rsidRDefault="000E0B0D" w:rsidP="001C1E16">
      <w:pPr>
        <w:numPr>
          <w:ilvl w:val="0"/>
          <w:numId w:val="20"/>
        </w:numPr>
        <w:contextualSpacing/>
      </w:pPr>
      <w:r>
        <w:t>t</w:t>
      </w:r>
      <w:r w:rsidR="001C1E16" w:rsidRPr="001C1E16">
        <w:t>he</w:t>
      </w:r>
      <w:r w:rsidR="001C1E16" w:rsidRPr="000E0B0D">
        <w:t xml:space="preserve"> reason and</w:t>
      </w:r>
      <w:r w:rsidR="001C1E16" w:rsidRPr="001C1E16">
        <w:t xml:space="preserve"> date on which the </w:t>
      </w:r>
      <w:r w:rsidR="001C1E16" w:rsidRPr="000E0B0D">
        <w:t>business</w:t>
      </w:r>
      <w:r w:rsidR="001C1E16" w:rsidRPr="001C1E16">
        <w:t xml:space="preserve"> will cease to be a reporting entity</w:t>
      </w:r>
      <w:r w:rsidR="00B60AA8">
        <w:t>,</w:t>
      </w:r>
      <w:r w:rsidR="00E965E6">
        <w:t xml:space="preserve"> and</w:t>
      </w:r>
      <w:r w:rsidR="001C1E16" w:rsidRPr="001C1E16">
        <w:tab/>
      </w:r>
    </w:p>
    <w:p w14:paraId="0D0AAB2D" w14:textId="22E5931C" w:rsidR="001C1E16" w:rsidRPr="000E0B0D" w:rsidRDefault="000E0B0D" w:rsidP="001C1E16">
      <w:pPr>
        <w:numPr>
          <w:ilvl w:val="0"/>
          <w:numId w:val="20"/>
        </w:numPr>
        <w:contextualSpacing/>
      </w:pPr>
      <w:r>
        <w:t>d</w:t>
      </w:r>
      <w:r w:rsidR="001C1E16" w:rsidRPr="000E0B0D">
        <w:t>ocumentation to provide evidence to support the application, for example, taxation returns showing annual turnover below $100</w:t>
      </w:r>
      <w:r w:rsidR="006F231A">
        <w:t xml:space="preserve"> </w:t>
      </w:r>
      <w:r w:rsidR="001C1E16" w:rsidRPr="000E0B0D">
        <w:t>m</w:t>
      </w:r>
      <w:r w:rsidR="006F231A">
        <w:t>illion</w:t>
      </w:r>
      <w:r w:rsidR="001C1E16" w:rsidRPr="000E0B0D">
        <w:t xml:space="preserve"> or a statement from an independent and suitably qualified auditor</w:t>
      </w:r>
      <w:r w:rsidR="000A1B66">
        <w:t xml:space="preserve"> for those entities that are not a volunteering entity or who have registered under the </w:t>
      </w:r>
      <w:r w:rsidR="000A1B66" w:rsidRPr="00FD6D16">
        <w:rPr>
          <w:i/>
        </w:rPr>
        <w:t>Australian Charities and Not</w:t>
      </w:r>
      <w:r w:rsidR="000A1B66">
        <w:rPr>
          <w:i/>
        </w:rPr>
        <w:noBreakHyphen/>
      </w:r>
      <w:r w:rsidR="000A1B66" w:rsidRPr="00FD6D16">
        <w:rPr>
          <w:i/>
        </w:rPr>
        <w:t>for</w:t>
      </w:r>
      <w:r w:rsidR="000A1B66">
        <w:rPr>
          <w:i/>
        </w:rPr>
        <w:noBreakHyphen/>
      </w:r>
      <w:r w:rsidR="000A1B66" w:rsidRPr="00FD6D16">
        <w:rPr>
          <w:i/>
        </w:rPr>
        <w:t>profits Commission Act 2012</w:t>
      </w:r>
      <w:r w:rsidR="000A1B66">
        <w:t xml:space="preserve"> </w:t>
      </w:r>
      <w:r w:rsidR="00E965E6">
        <w:t>.</w:t>
      </w:r>
    </w:p>
    <w:p w14:paraId="6D5591DF" w14:textId="77777777" w:rsidR="001C1E16" w:rsidRPr="001C1E16" w:rsidRDefault="001C1E16" w:rsidP="001C1E16">
      <w:pPr>
        <w:spacing w:after="0" w:line="240" w:lineRule="auto"/>
      </w:pPr>
    </w:p>
    <w:p w14:paraId="06C9FE84" w14:textId="0FFB8452" w:rsidR="001C1E16" w:rsidRPr="001C1E16" w:rsidRDefault="00956E2B" w:rsidP="00921948">
      <w:r>
        <w:t>T</w:t>
      </w:r>
      <w:r w:rsidR="00921948">
        <w:t xml:space="preserve">he </w:t>
      </w:r>
      <w:r w:rsidR="001C1E16" w:rsidRPr="001C1E16">
        <w:t>Regulator will decide whether</w:t>
      </w:r>
      <w:r w:rsidR="0063147C">
        <w:t xml:space="preserve"> a large business</w:t>
      </w:r>
      <w:r w:rsidR="001C1E16" w:rsidRPr="001C1E16">
        <w:t xml:space="preserve"> can </w:t>
      </w:r>
      <w:r w:rsidR="0063147C">
        <w:t xml:space="preserve">cease </w:t>
      </w:r>
      <w:r w:rsidR="001C1E16" w:rsidRPr="001C1E16">
        <w:t xml:space="preserve">reporting based on an assessment of </w:t>
      </w:r>
      <w:r w:rsidR="00CA7C02">
        <w:t>their</w:t>
      </w:r>
      <w:r w:rsidR="001C1E16" w:rsidRPr="001C1E16">
        <w:t xml:space="preserve"> latest lodged tax returns, or advice from an independent and suitably qualified auditor about the </w:t>
      </w:r>
      <w:r w:rsidR="0063147C">
        <w:t>business’</w:t>
      </w:r>
      <w:r w:rsidR="0063147C" w:rsidRPr="001C1E16">
        <w:t xml:space="preserve"> </w:t>
      </w:r>
      <w:r w:rsidR="001C1E16" w:rsidRPr="001C1E16">
        <w:t>turnover</w:t>
      </w:r>
      <w:r w:rsidR="00F567E8">
        <w:t>.</w:t>
      </w:r>
    </w:p>
    <w:p w14:paraId="0E35D404" w14:textId="77777777" w:rsidR="004257F8" w:rsidRDefault="001C1E16" w:rsidP="00921948">
      <w:r w:rsidRPr="001C1E16">
        <w:t xml:space="preserve">A decision requiring an entity to continue to report under the </w:t>
      </w:r>
      <w:r w:rsidR="00921948">
        <w:t>Scheme</w:t>
      </w:r>
      <w:r w:rsidRPr="001C1E16">
        <w:t xml:space="preserve"> can be reconsidered through an internal review process and by application to the Administrative Appeals Tribunal. </w:t>
      </w:r>
    </w:p>
    <w:p w14:paraId="42134A8F" w14:textId="186AA286" w:rsidR="00425581" w:rsidRPr="002A1E1D" w:rsidRDefault="00425581" w:rsidP="00425581">
      <w:pPr>
        <w:pStyle w:val="Heading2"/>
      </w:pPr>
      <w:bookmarkStart w:id="24" w:name="_Toc39686025"/>
      <w:r w:rsidRPr="002A1E1D">
        <w:t>R</w:t>
      </w:r>
      <w:r w:rsidR="00A7420C" w:rsidRPr="002A1E1D">
        <w:t xml:space="preserve">ule </w:t>
      </w:r>
      <w:r w:rsidR="00AD1AF4" w:rsidRPr="002A1E1D">
        <w:t xml:space="preserve">Provision </w:t>
      </w:r>
      <w:r w:rsidR="00A7420C" w:rsidRPr="002A1E1D">
        <w:t>4</w:t>
      </w:r>
      <w:r w:rsidR="00AD1AF4" w:rsidRPr="002A1E1D">
        <w:t>:</w:t>
      </w:r>
      <w:r w:rsidRPr="002A1E1D">
        <w:t xml:space="preserve"> </w:t>
      </w:r>
      <w:r w:rsidR="00A7420C" w:rsidRPr="002A1E1D">
        <w:t xml:space="preserve">Additional information for a </w:t>
      </w:r>
      <w:bookmarkEnd w:id="24"/>
      <w:r w:rsidR="00AD1AF4" w:rsidRPr="002A1E1D">
        <w:t>report</w:t>
      </w:r>
    </w:p>
    <w:p w14:paraId="1F4ECEFD" w14:textId="5CAB2F68" w:rsidR="00B845D2" w:rsidRPr="002A1E1D" w:rsidRDefault="002A5F83" w:rsidP="00956E2B">
      <w:r w:rsidRPr="002A1E1D">
        <w:t>The Bill and the Rules operate together to specify the content requireme</w:t>
      </w:r>
      <w:r w:rsidR="00CF0880" w:rsidRPr="002A1E1D">
        <w:t xml:space="preserve">nts for a Payment Times Report. </w:t>
      </w:r>
    </w:p>
    <w:p w14:paraId="0DA1E56D" w14:textId="64561681" w:rsidR="00B845D2" w:rsidRPr="002A1E1D" w:rsidRDefault="00CF0880" w:rsidP="00956E2B">
      <w:r w:rsidRPr="002A1E1D">
        <w:t xml:space="preserve">The Bill </w:t>
      </w:r>
      <w:r w:rsidR="00340B8E" w:rsidRPr="002A1E1D">
        <w:t xml:space="preserve">lists elements central </w:t>
      </w:r>
      <w:r w:rsidR="00B845D2" w:rsidRPr="002A1E1D">
        <w:t xml:space="preserve">to a business’s payment terms and practices whereas the Rules includes matters that may require future flexibility to adjust to changes </w:t>
      </w:r>
      <w:r w:rsidR="00FC65CA" w:rsidRPr="002A1E1D">
        <w:t>such as changes to</w:t>
      </w:r>
      <w:r w:rsidR="001F5F12" w:rsidRPr="002A1E1D">
        <w:t xml:space="preserve"> business</w:t>
      </w:r>
      <w:r w:rsidR="00B845D2" w:rsidRPr="002A1E1D">
        <w:t xml:space="preserve"> terminology or accounting practices. For example, supply chain finance is dealt with in the Rules as it is a rapidly developing area where new approaches are being introduced to the market on a regular basis. It is important that the Scheme can adjust to these changes so that small business</w:t>
      </w:r>
      <w:r w:rsidR="004D1C79" w:rsidRPr="002A1E1D">
        <w:t>es</w:t>
      </w:r>
      <w:r w:rsidR="001F5F12" w:rsidRPr="002A1E1D">
        <w:t xml:space="preserve"> and other stakeholders can be</w:t>
      </w:r>
      <w:r w:rsidR="00B845D2" w:rsidRPr="002A1E1D">
        <w:t xml:space="preserve"> full</w:t>
      </w:r>
      <w:r w:rsidR="001F5F12" w:rsidRPr="002A1E1D">
        <w:t>y</w:t>
      </w:r>
      <w:r w:rsidR="00B845D2" w:rsidRPr="002A1E1D">
        <w:t xml:space="preserve"> informed about the practices of their potential customers.  </w:t>
      </w:r>
    </w:p>
    <w:p w14:paraId="7920371F" w14:textId="337A3A8A" w:rsidR="00E965E6" w:rsidRPr="002A1E1D" w:rsidRDefault="002A5F83" w:rsidP="00956E2B">
      <w:r w:rsidRPr="002A1E1D">
        <w:t xml:space="preserve">Under subsection 14(1) </w:t>
      </w:r>
      <w:r w:rsidR="00360394" w:rsidRPr="002A1E1D">
        <w:t>of</w:t>
      </w:r>
      <w:r w:rsidR="4E1D9CFE" w:rsidRPr="002A1E1D">
        <w:t xml:space="preserve"> </w:t>
      </w:r>
      <w:r w:rsidRPr="002A1E1D">
        <w:t>the Bill, t</w:t>
      </w:r>
      <w:r w:rsidR="00B60AA8" w:rsidRPr="002A1E1D">
        <w:t>he report must include:</w:t>
      </w:r>
      <w:r w:rsidR="00E965E6" w:rsidRPr="002A1E1D">
        <w:t xml:space="preserve">  </w:t>
      </w:r>
    </w:p>
    <w:p w14:paraId="63EFA508" w14:textId="31E41A9C" w:rsidR="00E965E6" w:rsidRPr="002A1E1D" w:rsidRDefault="00E965E6" w:rsidP="00E965E6">
      <w:pPr>
        <w:numPr>
          <w:ilvl w:val="0"/>
          <w:numId w:val="20"/>
        </w:numPr>
        <w:contextualSpacing/>
      </w:pPr>
      <w:r w:rsidRPr="002A1E1D">
        <w:t>the reporting per</w:t>
      </w:r>
      <w:r w:rsidR="00B60AA8" w:rsidRPr="002A1E1D">
        <w:t>iod to which the report relates</w:t>
      </w:r>
      <w:r w:rsidR="009C1FAA" w:rsidRPr="002A1E1D">
        <w:t>;</w:t>
      </w:r>
    </w:p>
    <w:p w14:paraId="7B9B1F03" w14:textId="2EFDC8D0" w:rsidR="00E965E6" w:rsidRPr="002A1E1D" w:rsidRDefault="00E965E6" w:rsidP="00E965E6">
      <w:pPr>
        <w:numPr>
          <w:ilvl w:val="0"/>
          <w:numId w:val="20"/>
        </w:numPr>
        <w:contextualSpacing/>
      </w:pPr>
      <w:r w:rsidRPr="002A1E1D">
        <w:t xml:space="preserve">the shortest and longest standard payment periods that the business offers </w:t>
      </w:r>
      <w:r w:rsidR="001E4CB9" w:rsidRPr="002A1E1D">
        <w:t>including any changes to these periods</w:t>
      </w:r>
      <w:r w:rsidR="009C1FAA" w:rsidRPr="002A1E1D">
        <w:t>;</w:t>
      </w:r>
    </w:p>
    <w:p w14:paraId="4C4B9924" w14:textId="383451C4" w:rsidR="001E4CB9" w:rsidRPr="002A1E1D" w:rsidRDefault="00B60AA8" w:rsidP="00E965E6">
      <w:pPr>
        <w:numPr>
          <w:ilvl w:val="0"/>
          <w:numId w:val="20"/>
        </w:numPr>
        <w:contextualSpacing/>
      </w:pPr>
      <w:r w:rsidRPr="002A1E1D">
        <w:t>t</w:t>
      </w:r>
      <w:r w:rsidR="001E4CB9" w:rsidRPr="002A1E1D">
        <w:t>he total proportion (by number and value) of invoices paid in the calendar day periods of</w:t>
      </w:r>
      <w:r w:rsidR="00E55AE3" w:rsidRPr="002A1E1D">
        <w:t xml:space="preserve">  </w:t>
      </w:r>
      <w:r w:rsidR="006A3B7C" w:rsidRPr="002A1E1D">
        <w:t xml:space="preserve"> </w:t>
      </w:r>
      <w:r w:rsidR="00E55AE3" w:rsidRPr="002A1E1D">
        <w:t>1-20 days, 21-30 day, 31-60 days and 60 + days</w:t>
      </w:r>
      <w:r w:rsidR="009C1FAA" w:rsidRPr="002A1E1D">
        <w:t>;</w:t>
      </w:r>
    </w:p>
    <w:p w14:paraId="7C86AAC6" w14:textId="36BCA6E8" w:rsidR="00E55AE3" w:rsidRPr="002A1E1D" w:rsidRDefault="00B60AA8" w:rsidP="00E965E6">
      <w:pPr>
        <w:numPr>
          <w:ilvl w:val="0"/>
          <w:numId w:val="20"/>
        </w:numPr>
        <w:contextualSpacing/>
      </w:pPr>
      <w:r w:rsidRPr="002A1E1D">
        <w:t>d</w:t>
      </w:r>
      <w:r w:rsidR="00E55AE3" w:rsidRPr="002A1E1D">
        <w:t xml:space="preserve">etails of the </w:t>
      </w:r>
      <w:r w:rsidR="006F231A" w:rsidRPr="002A1E1D">
        <w:t xml:space="preserve">principal </w:t>
      </w:r>
      <w:r w:rsidR="00E55AE3" w:rsidRPr="002A1E1D">
        <w:t xml:space="preserve">governing body of the entity </w:t>
      </w:r>
      <w:r w:rsidR="007A17B1" w:rsidRPr="002A1E1D">
        <w:t>and if applicable, the controlling corporation</w:t>
      </w:r>
      <w:r w:rsidR="009C1FAA" w:rsidRPr="002A1E1D">
        <w:t>;</w:t>
      </w:r>
    </w:p>
    <w:p w14:paraId="15958A95" w14:textId="6868B4D9" w:rsidR="001E4CB9" w:rsidRPr="002A1E1D" w:rsidRDefault="00B60AA8" w:rsidP="00E965E6">
      <w:pPr>
        <w:numPr>
          <w:ilvl w:val="0"/>
          <w:numId w:val="20"/>
        </w:numPr>
        <w:contextualSpacing/>
      </w:pPr>
      <w:r w:rsidRPr="002A1E1D">
        <w:t>a</w:t>
      </w:r>
      <w:r w:rsidR="007A17B1" w:rsidRPr="002A1E1D">
        <w:t xml:space="preserve"> declaration from a responsible member </w:t>
      </w:r>
      <w:r w:rsidRPr="002A1E1D">
        <w:t>within the</w:t>
      </w:r>
      <w:r w:rsidR="007A17B1" w:rsidRPr="002A1E1D">
        <w:t xml:space="preserve"> business that the report will  be provided to </w:t>
      </w:r>
      <w:r w:rsidRPr="002A1E1D">
        <w:t xml:space="preserve">the business’ </w:t>
      </w:r>
      <w:r w:rsidR="006F231A" w:rsidRPr="002A1E1D">
        <w:t xml:space="preserve">principal </w:t>
      </w:r>
      <w:r w:rsidRPr="002A1E1D">
        <w:t>governing body</w:t>
      </w:r>
      <w:r w:rsidR="009C1FAA" w:rsidRPr="002A1E1D">
        <w:t>;</w:t>
      </w:r>
      <w:r w:rsidRPr="002A1E1D">
        <w:t xml:space="preserve"> and</w:t>
      </w:r>
    </w:p>
    <w:p w14:paraId="1E7C7272" w14:textId="73D9FE80" w:rsidR="00E965E6" w:rsidRPr="002A1E1D" w:rsidRDefault="00B60AA8" w:rsidP="00B60AA8">
      <w:pPr>
        <w:numPr>
          <w:ilvl w:val="0"/>
          <w:numId w:val="20"/>
        </w:numPr>
        <w:spacing w:before="120"/>
        <w:ind w:left="714" w:hanging="357"/>
        <w:contextualSpacing/>
      </w:pPr>
      <w:r w:rsidRPr="002A1E1D">
        <w:t xml:space="preserve">details of any notifiable event including changes to the business name or the accounting period used by </w:t>
      </w:r>
      <w:r w:rsidR="00C533E8" w:rsidRPr="002A1E1D">
        <w:t xml:space="preserve">the </w:t>
      </w:r>
      <w:r w:rsidRPr="002A1E1D">
        <w:t>business.</w:t>
      </w:r>
    </w:p>
    <w:p w14:paraId="273F421A" w14:textId="1C95BDAB" w:rsidR="002A5F83" w:rsidRPr="002A1E1D" w:rsidRDefault="002A5F83" w:rsidP="002A5F83">
      <w:pPr>
        <w:spacing w:before="120"/>
        <w:ind w:left="714"/>
        <w:contextualSpacing/>
      </w:pPr>
    </w:p>
    <w:p w14:paraId="605EB7A4" w14:textId="3833FECB" w:rsidR="00B60AA8" w:rsidRPr="002A1E1D" w:rsidRDefault="00B60AA8" w:rsidP="00B60AA8">
      <w:r w:rsidRPr="002A1E1D">
        <w:t xml:space="preserve">Under </w:t>
      </w:r>
      <w:r w:rsidR="00C533E8" w:rsidRPr="002A1E1D">
        <w:t xml:space="preserve">subsection </w:t>
      </w:r>
      <w:r w:rsidR="002A5F83" w:rsidRPr="002A1E1D">
        <w:t>14(1)(</w:t>
      </w:r>
      <w:proofErr w:type="spellStart"/>
      <w:r w:rsidR="002A5F83" w:rsidRPr="002A1E1D">
        <w:t>i</w:t>
      </w:r>
      <w:proofErr w:type="spellEnd"/>
      <w:r w:rsidR="002A5F83" w:rsidRPr="002A1E1D">
        <w:t xml:space="preserve">) of the Bill, </w:t>
      </w:r>
      <w:r w:rsidR="00360394" w:rsidRPr="002A1E1D">
        <w:t>rules may be made requiring other</w:t>
      </w:r>
      <w:r w:rsidR="002A5F83" w:rsidRPr="002A1E1D">
        <w:t xml:space="preserve"> information </w:t>
      </w:r>
      <w:r w:rsidR="00360394" w:rsidRPr="002A1E1D">
        <w:t xml:space="preserve">or documents </w:t>
      </w:r>
      <w:r w:rsidR="002A5F83" w:rsidRPr="002A1E1D">
        <w:t xml:space="preserve">to </w:t>
      </w:r>
      <w:r w:rsidR="00360394" w:rsidRPr="002A1E1D">
        <w:t>also</w:t>
      </w:r>
      <w:r w:rsidR="4E1D9CFE" w:rsidRPr="002A1E1D">
        <w:t xml:space="preserve"> </w:t>
      </w:r>
      <w:r w:rsidR="002A5F83" w:rsidRPr="002A1E1D">
        <w:t>be included in a report</w:t>
      </w:r>
      <w:r w:rsidR="00360394" w:rsidRPr="002A1E1D">
        <w:t xml:space="preserve">.  It is proposed that </w:t>
      </w:r>
      <w:r w:rsidR="00806DA7" w:rsidRPr="002A1E1D">
        <w:t>rules</w:t>
      </w:r>
      <w:r w:rsidR="00360394" w:rsidRPr="002A1E1D">
        <w:t xml:space="preserve"> would be made to require a report must also include</w:t>
      </w:r>
      <w:r w:rsidR="002A5F83" w:rsidRPr="002A1E1D">
        <w:t xml:space="preserve">: </w:t>
      </w:r>
    </w:p>
    <w:p w14:paraId="200C4927" w14:textId="794F2514" w:rsidR="00B60AA8" w:rsidRPr="002A1E1D" w:rsidRDefault="00B60AA8" w:rsidP="00B60AA8">
      <w:pPr>
        <w:numPr>
          <w:ilvl w:val="0"/>
          <w:numId w:val="20"/>
        </w:numPr>
        <w:contextualSpacing/>
      </w:pPr>
      <w:r w:rsidRPr="002A1E1D">
        <w:t>the name and ABN of the business</w:t>
      </w:r>
      <w:r w:rsidR="009C1FAA" w:rsidRPr="002A1E1D">
        <w:t>;</w:t>
      </w:r>
    </w:p>
    <w:p w14:paraId="1D482EA2" w14:textId="4966B238" w:rsidR="00B60AA8" w:rsidRPr="002A1E1D" w:rsidRDefault="00B60AA8" w:rsidP="00B60AA8">
      <w:pPr>
        <w:numPr>
          <w:ilvl w:val="0"/>
          <w:numId w:val="20"/>
        </w:numPr>
        <w:contextualSpacing/>
      </w:pPr>
      <w:r w:rsidRPr="002A1E1D">
        <w:t>the primary industry of the business</w:t>
      </w:r>
      <w:r w:rsidR="0082365C" w:rsidRPr="002A1E1D">
        <w:t xml:space="preserve"> (based on ATO’s Business Industry Codes)</w:t>
      </w:r>
      <w:r w:rsidR="009C1FAA" w:rsidRPr="002A1E1D">
        <w:t>;</w:t>
      </w:r>
    </w:p>
    <w:p w14:paraId="642E2D3C" w14:textId="29E91819" w:rsidR="00402BD6" w:rsidRPr="002A1E1D" w:rsidRDefault="0082365C" w:rsidP="00402BD6">
      <w:pPr>
        <w:numPr>
          <w:ilvl w:val="0"/>
          <w:numId w:val="20"/>
        </w:numPr>
        <w:contextualSpacing/>
      </w:pPr>
      <w:r w:rsidRPr="002A1E1D">
        <w:lastRenderedPageBreak/>
        <w:t xml:space="preserve">the name </w:t>
      </w:r>
      <w:r w:rsidR="000064EC" w:rsidRPr="002A1E1D">
        <w:t xml:space="preserve">and contact details </w:t>
      </w:r>
      <w:r w:rsidRPr="002A1E1D">
        <w:t>of the person who provide</w:t>
      </w:r>
      <w:r w:rsidR="000064EC" w:rsidRPr="002A1E1D">
        <w:t>d</w:t>
      </w:r>
      <w:r w:rsidRPr="002A1E1D">
        <w:t xml:space="preserve"> the report</w:t>
      </w:r>
      <w:r w:rsidR="009C1FAA" w:rsidRPr="002A1E1D">
        <w:t>;</w:t>
      </w:r>
    </w:p>
    <w:p w14:paraId="6E5ADBEE" w14:textId="517E578B" w:rsidR="0082365C" w:rsidRPr="002A1E1D" w:rsidRDefault="0082365C" w:rsidP="00B60AA8">
      <w:pPr>
        <w:numPr>
          <w:ilvl w:val="0"/>
          <w:numId w:val="20"/>
        </w:numPr>
        <w:contextualSpacing/>
      </w:pPr>
      <w:r w:rsidRPr="002A1E1D">
        <w:t>the name of the responsible member within the business who signed (approved) the report</w:t>
      </w:r>
      <w:r w:rsidR="009C1FAA" w:rsidRPr="002A1E1D">
        <w:t>;</w:t>
      </w:r>
    </w:p>
    <w:p w14:paraId="3334C08D" w14:textId="5EE9FBC0" w:rsidR="009C6F72" w:rsidRPr="002A1E1D" w:rsidRDefault="009C6F72" w:rsidP="009C6F72">
      <w:pPr>
        <w:numPr>
          <w:ilvl w:val="0"/>
          <w:numId w:val="20"/>
        </w:numPr>
        <w:contextualSpacing/>
      </w:pPr>
      <w:r w:rsidRPr="002A1E1D">
        <w:t xml:space="preserve">the </w:t>
      </w:r>
      <w:r w:rsidR="0090758E" w:rsidRPr="002A1E1D">
        <w:t>standard payment periods</w:t>
      </w:r>
      <w:r w:rsidRPr="002A1E1D">
        <w:t xml:space="preserve"> that the business offers including any changes to these periods</w:t>
      </w:r>
      <w:r w:rsidR="009C1FAA" w:rsidRPr="002A1E1D">
        <w:t>;</w:t>
      </w:r>
    </w:p>
    <w:p w14:paraId="27788B6D" w14:textId="2282939F" w:rsidR="009F7323" w:rsidRPr="002A1E1D" w:rsidRDefault="009F7323" w:rsidP="009C6F72">
      <w:pPr>
        <w:numPr>
          <w:ilvl w:val="0"/>
          <w:numId w:val="20"/>
        </w:numPr>
        <w:contextualSpacing/>
      </w:pPr>
      <w:r w:rsidRPr="002A1E1D">
        <w:t xml:space="preserve">details of any arrangements under which small business invoices must be provided to the business, for example, </w:t>
      </w:r>
      <w:r w:rsidR="00486575" w:rsidRPr="002A1E1D">
        <w:t>by the</w:t>
      </w:r>
      <w:r w:rsidRPr="002A1E1D">
        <w:t xml:space="preserve"> </w:t>
      </w:r>
      <w:r w:rsidR="00486575" w:rsidRPr="002A1E1D">
        <w:t>end of the</w:t>
      </w:r>
      <w:r w:rsidRPr="002A1E1D">
        <w:t xml:space="preserve"> month.</w:t>
      </w:r>
    </w:p>
    <w:p w14:paraId="1C606F27" w14:textId="6FF88FF1" w:rsidR="00402BD6" w:rsidRPr="002A1E1D" w:rsidRDefault="00402BD6" w:rsidP="00B60AA8">
      <w:pPr>
        <w:numPr>
          <w:ilvl w:val="0"/>
          <w:numId w:val="20"/>
        </w:numPr>
        <w:contextualSpacing/>
      </w:pPr>
      <w:r w:rsidRPr="002A1E1D">
        <w:t>the total proportion (by value) of the businesses procurement during the reporting period that was from small business suppliers</w:t>
      </w:r>
      <w:r w:rsidR="009C1FAA" w:rsidRPr="002A1E1D">
        <w:t>;</w:t>
      </w:r>
    </w:p>
    <w:p w14:paraId="48A3C4B3" w14:textId="29464F85" w:rsidR="00402BD6" w:rsidRPr="002A1E1D" w:rsidRDefault="00C533E8" w:rsidP="00B60AA8">
      <w:pPr>
        <w:numPr>
          <w:ilvl w:val="0"/>
          <w:numId w:val="20"/>
        </w:numPr>
        <w:contextualSpacing/>
      </w:pPr>
      <w:r w:rsidRPr="002A1E1D">
        <w:t>whether</w:t>
      </w:r>
      <w:r w:rsidR="00402BD6" w:rsidRPr="002A1E1D">
        <w:t xml:space="preserve"> the business offers any form of supply chain finance and if so, details of that arrangement including the total proportion (by number and value) of small business invoices paid under these arrangements in the reporting period</w:t>
      </w:r>
      <w:r w:rsidR="009C1FAA" w:rsidRPr="002A1E1D">
        <w:t>;</w:t>
      </w:r>
    </w:p>
    <w:p w14:paraId="100CC269" w14:textId="28F4AB49" w:rsidR="00402BD6" w:rsidRPr="002A1E1D" w:rsidRDefault="00C533E8" w:rsidP="00B60AA8">
      <w:pPr>
        <w:numPr>
          <w:ilvl w:val="0"/>
          <w:numId w:val="20"/>
        </w:numPr>
        <w:contextualSpacing/>
      </w:pPr>
      <w:r w:rsidRPr="002A1E1D">
        <w:t>any</w:t>
      </w:r>
      <w:r w:rsidR="00402BD6" w:rsidRPr="002A1E1D">
        <w:t xml:space="preserve"> additional information to provide context or explanation in relation to the information provided in the report. </w:t>
      </w:r>
    </w:p>
    <w:p w14:paraId="07B2B2AD" w14:textId="06AD5803" w:rsidR="00EA1514" w:rsidRPr="002A1E1D" w:rsidRDefault="00402585" w:rsidP="0059171B">
      <w:r w:rsidRPr="002A1E1D">
        <w:br/>
      </w:r>
      <w:r w:rsidR="00560068" w:rsidRPr="002A1E1D">
        <w:t>The additional</w:t>
      </w:r>
      <w:r w:rsidR="00707864" w:rsidRPr="002A1E1D">
        <w:t xml:space="preserve"> information </w:t>
      </w:r>
      <w:r w:rsidR="00AF4D7B" w:rsidRPr="002A1E1D">
        <w:t xml:space="preserve">provided for in the Rules is necessary to provide </w:t>
      </w:r>
      <w:r w:rsidR="00707864" w:rsidRPr="002A1E1D">
        <w:t xml:space="preserve">small business suppliers and the public </w:t>
      </w:r>
      <w:r w:rsidR="00806DA7" w:rsidRPr="002A1E1D">
        <w:t>more detailed information</w:t>
      </w:r>
      <w:r w:rsidR="00087E50" w:rsidRPr="002A1E1D">
        <w:t xml:space="preserve"> on the payment</w:t>
      </w:r>
      <w:r w:rsidR="00AF4D7B" w:rsidRPr="002A1E1D">
        <w:t xml:space="preserve"> terms and</w:t>
      </w:r>
      <w:r w:rsidR="00087E50" w:rsidRPr="002A1E1D">
        <w:t xml:space="preserve"> practices of large businesses. For example, larger businesses may have different</w:t>
      </w:r>
      <w:r w:rsidR="00CC4DB8" w:rsidRPr="002A1E1D">
        <w:t xml:space="preserve"> contract</w:t>
      </w:r>
      <w:r w:rsidR="00087E50" w:rsidRPr="002A1E1D">
        <w:t xml:space="preserve"> arrangements in place that determine when a</w:t>
      </w:r>
      <w:r w:rsidR="00316F45" w:rsidRPr="002A1E1D">
        <w:t>n</w:t>
      </w:r>
      <w:r w:rsidR="00087E50" w:rsidRPr="002A1E1D">
        <w:t xml:space="preserve"> invoice </w:t>
      </w:r>
      <w:r w:rsidR="00FE14D6" w:rsidRPr="002A1E1D">
        <w:t>can</w:t>
      </w:r>
      <w:r w:rsidR="00087E50" w:rsidRPr="002A1E1D">
        <w:t xml:space="preserve"> be provided </w:t>
      </w:r>
      <w:r w:rsidR="00EA1514" w:rsidRPr="002A1E1D">
        <w:t xml:space="preserve">to the business. </w:t>
      </w:r>
      <w:r w:rsidR="00CB4A76" w:rsidRPr="002A1E1D">
        <w:t>T</w:t>
      </w:r>
      <w:r w:rsidR="00316F45" w:rsidRPr="002A1E1D">
        <w:t>hese arrangements may set out that a supplier</w:t>
      </w:r>
      <w:r w:rsidR="00FF051A" w:rsidRPr="002A1E1D">
        <w:t xml:space="preserve"> </w:t>
      </w:r>
      <w:r w:rsidR="00EA1514" w:rsidRPr="002A1E1D">
        <w:t xml:space="preserve">may </w:t>
      </w:r>
      <w:r w:rsidR="00FF051A" w:rsidRPr="002A1E1D">
        <w:t xml:space="preserve">not be able to </w:t>
      </w:r>
      <w:r w:rsidR="00EA1514" w:rsidRPr="002A1E1D">
        <w:t xml:space="preserve">submit an invoice </w:t>
      </w:r>
      <w:r w:rsidR="00FF051A" w:rsidRPr="002A1E1D">
        <w:t xml:space="preserve">until </w:t>
      </w:r>
      <w:r w:rsidR="00EA1514" w:rsidRPr="002A1E1D">
        <w:t>the end of each month, with these invoices to be paid 30 days</w:t>
      </w:r>
      <w:r w:rsidR="00FE14D6" w:rsidRPr="002A1E1D">
        <w:t xml:space="preserve"> after the</w:t>
      </w:r>
      <w:r w:rsidR="0076412D" w:rsidRPr="002A1E1D">
        <w:t>y are submitted</w:t>
      </w:r>
      <w:r w:rsidR="00EA1514" w:rsidRPr="002A1E1D">
        <w:t xml:space="preserve">. </w:t>
      </w:r>
      <w:r w:rsidR="00AF4D7B" w:rsidRPr="002A1E1D">
        <w:t>It is important that small business have transparency</w:t>
      </w:r>
      <w:r w:rsidR="005D3CDE" w:rsidRPr="002A1E1D">
        <w:t xml:space="preserve"> on </w:t>
      </w:r>
      <w:r w:rsidR="0076412D" w:rsidRPr="002A1E1D">
        <w:t>these</w:t>
      </w:r>
      <w:r w:rsidR="00AF4D7B" w:rsidRPr="002A1E1D">
        <w:t xml:space="preserve"> practices</w:t>
      </w:r>
      <w:r w:rsidR="0076412D" w:rsidRPr="002A1E1D">
        <w:t>.</w:t>
      </w:r>
    </w:p>
    <w:p w14:paraId="05416AD7" w14:textId="23281B2B" w:rsidR="00500990" w:rsidRPr="002A1E1D" w:rsidRDefault="00500990" w:rsidP="0059171B">
      <w:r w:rsidRPr="002A1E1D">
        <w:t xml:space="preserve">Great transparency on the use of supply chain financing, reserve factoring and other discounting </w:t>
      </w:r>
      <w:r w:rsidR="005B32CB" w:rsidRPr="002A1E1D">
        <w:t>practices</w:t>
      </w:r>
      <w:r w:rsidRPr="002A1E1D">
        <w:t xml:space="preserve"> is also </w:t>
      </w:r>
      <w:r w:rsidR="00194476" w:rsidRPr="002A1E1D">
        <w:t>important</w:t>
      </w:r>
      <w:r w:rsidRPr="002A1E1D">
        <w:t xml:space="preserve"> for small business.  Supply chain finance is a problem when it is used by large businesses to extend their payment times, and where a small business is forced to agree to be paid a reduced amount in order to be paid in a reasonable time. This is why large businesses will be required to report </w:t>
      </w:r>
      <w:r w:rsidR="00194476" w:rsidRPr="002A1E1D">
        <w:t>if they</w:t>
      </w:r>
      <w:r w:rsidRPr="002A1E1D">
        <w:t xml:space="preserve"> use these practices</w:t>
      </w:r>
      <w:r w:rsidR="00194476" w:rsidRPr="002A1E1D">
        <w:t xml:space="preserve"> and if so, how these arrangements apply.</w:t>
      </w:r>
    </w:p>
    <w:p w14:paraId="2CB07674" w14:textId="217BBFD8" w:rsidR="00FB0E0D" w:rsidRPr="002A1E1D" w:rsidRDefault="00851426" w:rsidP="0059171B">
      <w:r w:rsidRPr="002A1E1D">
        <w:t>Informatio</w:t>
      </w:r>
      <w:r w:rsidR="00A63C56" w:rsidRPr="002A1E1D">
        <w:t>n on the primary industry of larger</w:t>
      </w:r>
      <w:r w:rsidRPr="002A1E1D">
        <w:t xml:space="preserve"> businesses, based on the ATO’s Business Industry Code</w:t>
      </w:r>
      <w:r w:rsidR="00A63C56" w:rsidRPr="002A1E1D">
        <w:t>s</w:t>
      </w:r>
      <w:r w:rsidR="00FB0E0D" w:rsidRPr="002A1E1D">
        <w:t xml:space="preserve"> (BIC)</w:t>
      </w:r>
      <w:r w:rsidRPr="002A1E1D">
        <w:t>, will also provide useful information on how payment performance in one industry compares to other industr</w:t>
      </w:r>
      <w:r w:rsidR="00FB0E0D" w:rsidRPr="002A1E1D">
        <w:t>ies. A business industry code (BIC) is a five-digit code included on relevant tax returns and schedules that describes a businesses’ main business activity. BICs are derived from the Australian and New Zealand Standard Industrial Classification (ANZSIC) codes and have been simplified for tax return reporting purposes.</w:t>
      </w:r>
    </w:p>
    <w:p w14:paraId="005A1BF8" w14:textId="36DC65D0" w:rsidR="00500990" w:rsidRDefault="009F03B6" w:rsidP="0059171B">
      <w:r w:rsidRPr="002A1E1D">
        <w:t xml:space="preserve">Businesses can find </w:t>
      </w:r>
      <w:r w:rsidR="00FB0E0D" w:rsidRPr="002A1E1D">
        <w:t>t</w:t>
      </w:r>
      <w:r w:rsidRPr="002A1E1D">
        <w:t xml:space="preserve">heir </w:t>
      </w:r>
      <w:r w:rsidR="00FB0E0D" w:rsidRPr="002A1E1D">
        <w:t>BIC</w:t>
      </w:r>
      <w:r w:rsidRPr="002A1E1D">
        <w:t xml:space="preserve"> by using the Australian Taxation Office’s </w:t>
      </w:r>
      <w:r w:rsidR="007A117D" w:rsidRPr="002A1E1D">
        <w:t>BIC</w:t>
      </w:r>
      <w:r w:rsidRPr="002A1E1D">
        <w:t xml:space="preserve"> Tool available at </w:t>
      </w:r>
      <w:hyperlink r:id="rId18" w:history="1">
        <w:r w:rsidRPr="002A1E1D">
          <w:rPr>
            <w:rStyle w:val="Hyperlink"/>
          </w:rPr>
          <w:t>https://www.ato.gov.au/Calculators-and-tools/Business-industry-code-tool/AnzsicCoder.aspx</w:t>
        </w:r>
      </w:hyperlink>
      <w:r w:rsidR="00FB0E0D" w:rsidRPr="002A1E1D">
        <w:rPr>
          <w:rStyle w:val="Hyperlink"/>
        </w:rPr>
        <w:t>.</w:t>
      </w:r>
      <w:r>
        <w:t xml:space="preserve"> </w:t>
      </w:r>
    </w:p>
    <w:p w14:paraId="40D7AC3F" w14:textId="31766A97" w:rsidR="00A7420C" w:rsidRDefault="00A7420C" w:rsidP="00A7420C">
      <w:pPr>
        <w:pStyle w:val="Heading2"/>
      </w:pPr>
      <w:bookmarkStart w:id="25" w:name="_Toc39686026"/>
      <w:r>
        <w:t>Rule</w:t>
      </w:r>
      <w:r w:rsidR="00AD1AF4">
        <w:t xml:space="preserve"> Provision 5: C</w:t>
      </w:r>
      <w:r>
        <w:t>alculating information for a report</w:t>
      </w:r>
      <w:bookmarkEnd w:id="25"/>
    </w:p>
    <w:p w14:paraId="0DC043E0" w14:textId="39B92BCC" w:rsidR="004D5DEA" w:rsidRDefault="009B0D8B" w:rsidP="009B0D8B">
      <w:bookmarkStart w:id="26" w:name="_Toc39686027"/>
      <w:r>
        <w:t xml:space="preserve">Subsection 14(2) of the Bill </w:t>
      </w:r>
      <w:r w:rsidR="00272067">
        <w:t xml:space="preserve">enables a Rule to </w:t>
      </w:r>
      <w:r w:rsidR="00C533E8">
        <w:t xml:space="preserve">be </w:t>
      </w:r>
      <w:r w:rsidR="00272067">
        <w:t>made to specify how certain content</w:t>
      </w:r>
      <w:r w:rsidR="00272067" w:rsidRPr="004D5DEA">
        <w:t xml:space="preserve"> of </w:t>
      </w:r>
      <w:r w:rsidR="00272067">
        <w:t>a Payment Times R</w:t>
      </w:r>
      <w:r w:rsidR="00272067" w:rsidRPr="004D5DEA">
        <w:t xml:space="preserve">eport, such as the proportion of small business invoices paid within a certain period, </w:t>
      </w:r>
      <w:r w:rsidR="00272067">
        <w:t>should be</w:t>
      </w:r>
      <w:r w:rsidR="00272067" w:rsidRPr="004D5DEA">
        <w:t xml:space="preserve"> calculated.</w:t>
      </w:r>
      <w:r w:rsidR="00272067">
        <w:t xml:space="preserve"> The intent of this Rule is provide business with clear guidance and a method</w:t>
      </w:r>
      <w:r w:rsidR="006F1EA6">
        <w:t>ology</w:t>
      </w:r>
      <w:r w:rsidR="00272067">
        <w:t xml:space="preserve"> for calculating</w:t>
      </w:r>
      <w:r w:rsidR="00272067" w:rsidRPr="00272067">
        <w:t xml:space="preserve"> and report</w:t>
      </w:r>
      <w:r w:rsidR="00987545">
        <w:t>ing</w:t>
      </w:r>
      <w:r w:rsidR="00272067" w:rsidRPr="00272067">
        <w:t xml:space="preserve"> their payment times</w:t>
      </w:r>
      <w:r w:rsidR="006F1EA6">
        <w:t>.</w:t>
      </w:r>
    </w:p>
    <w:p w14:paraId="3D2CF288" w14:textId="215ECE3D" w:rsidR="006F1EA6" w:rsidRDefault="00272067" w:rsidP="009B0D8B">
      <w:r>
        <w:t xml:space="preserve">Under the Rule, a business must apply the following conditions </w:t>
      </w:r>
      <w:r w:rsidR="006F1EA6">
        <w:t>in order to calculate and report their payment times:</w:t>
      </w:r>
    </w:p>
    <w:p w14:paraId="507CBB02" w14:textId="213B6436" w:rsidR="006F1EA6" w:rsidRDefault="006F1EA6" w:rsidP="006F1EA6">
      <w:pPr>
        <w:numPr>
          <w:ilvl w:val="0"/>
          <w:numId w:val="20"/>
        </w:numPr>
        <w:contextualSpacing/>
      </w:pPr>
      <w:r>
        <w:t xml:space="preserve">A payment time ‘commences’ from the date </w:t>
      </w:r>
      <w:r w:rsidR="00C533E8">
        <w:t xml:space="preserve">an invoice </w:t>
      </w:r>
      <w:r>
        <w:t xml:space="preserve">is received by the procuring business </w:t>
      </w:r>
      <w:r w:rsidR="003B3BFD">
        <w:t xml:space="preserve">that </w:t>
      </w:r>
      <w:r>
        <w:t>meets all the relevant requirements of the written or oral contract.</w:t>
      </w:r>
    </w:p>
    <w:p w14:paraId="2EC7B625" w14:textId="6F600718" w:rsidR="006F1EA6" w:rsidRDefault="006F1EA6" w:rsidP="006F1EA6">
      <w:pPr>
        <w:numPr>
          <w:ilvl w:val="0"/>
          <w:numId w:val="20"/>
        </w:numPr>
        <w:contextualSpacing/>
      </w:pPr>
      <w:r>
        <w:lastRenderedPageBreak/>
        <w:t>The payment time ‘ends’ when relevant monies have been</w:t>
      </w:r>
      <w:r w:rsidR="00ED6498">
        <w:t xml:space="preserve"> debited from the business</w:t>
      </w:r>
      <w:r w:rsidR="00D5517E">
        <w:t>’</w:t>
      </w:r>
      <w:r>
        <w:t xml:space="preserve"> account</w:t>
      </w:r>
      <w:r w:rsidR="00845919">
        <w:t>.</w:t>
      </w:r>
      <w:r>
        <w:t xml:space="preserve"> For cash transaction</w:t>
      </w:r>
      <w:r w:rsidR="00845919">
        <w:t>s</w:t>
      </w:r>
      <w:r>
        <w:t xml:space="preserve">, the payment </w:t>
      </w:r>
      <w:r w:rsidR="00845919">
        <w:t>‘</w:t>
      </w:r>
      <w:r>
        <w:t>ends</w:t>
      </w:r>
      <w:r w:rsidR="00845919">
        <w:t>’</w:t>
      </w:r>
      <w:r>
        <w:t xml:space="preserve"> when the payment has been given to the supplier. </w:t>
      </w:r>
    </w:p>
    <w:p w14:paraId="4D1AC324" w14:textId="723DA571" w:rsidR="006F1EA6" w:rsidRDefault="00EA1D57" w:rsidP="006F1EA6">
      <w:pPr>
        <w:numPr>
          <w:ilvl w:val="0"/>
          <w:numId w:val="20"/>
        </w:numPr>
        <w:contextualSpacing/>
      </w:pPr>
      <w:r>
        <w:t>The calculation of a payment time includes:</w:t>
      </w:r>
    </w:p>
    <w:p w14:paraId="4FBCD351" w14:textId="2FE3D364" w:rsidR="00EA1D57" w:rsidRDefault="005F11C3" w:rsidP="00EA1D57">
      <w:pPr>
        <w:pStyle w:val="ListParagraph"/>
        <w:numPr>
          <w:ilvl w:val="1"/>
          <w:numId w:val="10"/>
        </w:numPr>
      </w:pPr>
      <w:r>
        <w:t>w</w:t>
      </w:r>
      <w:r w:rsidR="00EA1D57">
        <w:t>eekends and public holidays</w:t>
      </w:r>
      <w:r>
        <w:t>;</w:t>
      </w:r>
    </w:p>
    <w:p w14:paraId="6880137F" w14:textId="7F3785E5" w:rsidR="00FA6F02" w:rsidRDefault="005F11C3" w:rsidP="00EA1D57">
      <w:pPr>
        <w:pStyle w:val="ListParagraph"/>
        <w:numPr>
          <w:ilvl w:val="1"/>
          <w:numId w:val="10"/>
        </w:numPr>
      </w:pPr>
      <w:r>
        <w:t>d</w:t>
      </w:r>
      <w:r w:rsidR="00EA1D57">
        <w:t>ispute</w:t>
      </w:r>
      <w:r w:rsidR="000D2666">
        <w:t>d</w:t>
      </w:r>
      <w:r w:rsidR="00EA1D57">
        <w:t xml:space="preserve"> invoices - the payment ‘clock’ will continue while the invoice is in dispute</w:t>
      </w:r>
      <w:r>
        <w:t>;</w:t>
      </w:r>
    </w:p>
    <w:p w14:paraId="3DB81128" w14:textId="10188C98" w:rsidR="00EA1D57" w:rsidRPr="002A1E1D" w:rsidRDefault="005F11C3" w:rsidP="00EA1D57">
      <w:pPr>
        <w:pStyle w:val="ListParagraph"/>
        <w:numPr>
          <w:ilvl w:val="1"/>
          <w:numId w:val="10"/>
        </w:numPr>
      </w:pPr>
      <w:r w:rsidRPr="002A1E1D">
        <w:t>only in</w:t>
      </w:r>
      <w:r w:rsidR="00FA6F02" w:rsidRPr="002A1E1D">
        <w:t>voices that are paid under a trade credit arrangement*</w:t>
      </w:r>
      <w:r w:rsidRPr="002A1E1D">
        <w:t>.</w:t>
      </w:r>
    </w:p>
    <w:p w14:paraId="217E4A99" w14:textId="7029111B" w:rsidR="00EA1D57" w:rsidRDefault="00EA1D57" w:rsidP="00EA1D57">
      <w:pPr>
        <w:numPr>
          <w:ilvl w:val="0"/>
          <w:numId w:val="20"/>
        </w:numPr>
        <w:contextualSpacing/>
      </w:pPr>
      <w:r>
        <w:t>The calculation of a payment time excludes:</w:t>
      </w:r>
    </w:p>
    <w:p w14:paraId="648D7004" w14:textId="18D65400" w:rsidR="006F1EA6" w:rsidRDefault="005F11C3" w:rsidP="00EA1D57">
      <w:pPr>
        <w:pStyle w:val="ListParagraph"/>
        <w:numPr>
          <w:ilvl w:val="1"/>
          <w:numId w:val="10"/>
        </w:numPr>
      </w:pPr>
      <w:r>
        <w:t>p</w:t>
      </w:r>
      <w:r w:rsidR="006F1EA6">
        <w:t>ayments between entities in the same group</w:t>
      </w:r>
      <w:r>
        <w:t>.</w:t>
      </w:r>
      <w:r w:rsidR="006F1EA6">
        <w:t xml:space="preserve"> </w:t>
      </w:r>
    </w:p>
    <w:p w14:paraId="5ACA3A7E" w14:textId="67EBDA10" w:rsidR="00402BD6" w:rsidRPr="00402BD6" w:rsidRDefault="00A2354E" w:rsidP="00402BD6">
      <w:r>
        <w:t>*</w:t>
      </w:r>
      <w:r w:rsidR="00EA1D57">
        <w:t xml:space="preserve">Section 4 of the Rules defines a trade credit arrangement as any arrangement under which the business and supplier agree for payment to occur after supply of </w:t>
      </w:r>
      <w:r w:rsidR="00F960D8">
        <w:t xml:space="preserve">a </w:t>
      </w:r>
      <w:r w:rsidR="00EA1D57">
        <w:t xml:space="preserve">good or service.  </w:t>
      </w:r>
    </w:p>
    <w:p w14:paraId="08715EC0" w14:textId="2423A3B8" w:rsidR="00A7420C" w:rsidRPr="00A7420C" w:rsidRDefault="00425581" w:rsidP="006D032C">
      <w:pPr>
        <w:pStyle w:val="Heading2"/>
      </w:pPr>
      <w:r>
        <w:t>R</w:t>
      </w:r>
      <w:r w:rsidR="00A7420C">
        <w:t xml:space="preserve">ule </w:t>
      </w:r>
      <w:r w:rsidR="00AD1AF4">
        <w:t xml:space="preserve">Provision </w:t>
      </w:r>
      <w:r w:rsidR="00A7420C">
        <w:t>6</w:t>
      </w:r>
      <w:r w:rsidR="00AD1AF4">
        <w:t>:</w:t>
      </w:r>
      <w:bookmarkEnd w:id="26"/>
      <w:r w:rsidR="00AD1AF4">
        <w:t xml:space="preserve"> Report information not published</w:t>
      </w:r>
    </w:p>
    <w:p w14:paraId="32E7B1B8" w14:textId="77777777" w:rsidR="00882F34" w:rsidRDefault="005A0F8B" w:rsidP="00882F34">
      <w:r>
        <w:t xml:space="preserve">Section 20 of the Bill provides the Payment Times Regulator with the discretion to not publish certain information contained in a Payment Times Report where the Regulator considers the publication of the information not to be in the public interest.  </w:t>
      </w:r>
    </w:p>
    <w:p w14:paraId="5680808B" w14:textId="00AA5A63" w:rsidR="00B2651A" w:rsidRDefault="00B2651A" w:rsidP="00882F34">
      <w:r w:rsidRPr="00B2651A">
        <w:t>In making this decision, the Regulator must consider whether the information is personal information, commercial-in-confidence or any oth</w:t>
      </w:r>
      <w:r>
        <w:t xml:space="preserve">er </w:t>
      </w:r>
      <w:r w:rsidR="007814B6">
        <w:t>type of</w:t>
      </w:r>
      <w:r w:rsidR="4E1D9CFE">
        <w:t xml:space="preserve"> </w:t>
      </w:r>
      <w:r>
        <w:t xml:space="preserve">information prescribed in the </w:t>
      </w:r>
      <w:r w:rsidRPr="00B2651A">
        <w:t>Rules.</w:t>
      </w:r>
    </w:p>
    <w:p w14:paraId="69A5A2E6" w14:textId="477C4D69" w:rsidR="00B2651A" w:rsidRDefault="4E1D9CFE" w:rsidP="00882F34">
      <w:r>
        <w:t>Th</w:t>
      </w:r>
      <w:r w:rsidR="007814B6">
        <w:t>is</w:t>
      </w:r>
      <w:r w:rsidR="00B2651A">
        <w:t xml:space="preserve"> Rule making provision under subsection 20(2)(c) of the Bill </w:t>
      </w:r>
      <w:r w:rsidR="007814B6">
        <w:t>is intended to be used to create a Rule</w:t>
      </w:r>
      <w:r w:rsidR="00B2651A">
        <w:t xml:space="preserve"> that the Regulator may </w:t>
      </w:r>
      <w:r w:rsidR="00525B52">
        <w:t>not</w:t>
      </w:r>
      <w:r w:rsidR="00B2651A">
        <w:t xml:space="preserve"> publish information from a Payment Times Report where the information is irrelevant to the objective of the Scheme. </w:t>
      </w:r>
    </w:p>
    <w:p w14:paraId="43A19A40" w14:textId="59E166A5" w:rsidR="00425581" w:rsidRDefault="00B2651A" w:rsidP="0059171B">
      <w:r>
        <w:t xml:space="preserve">This recognises that while the purpose of the Payment Times Reports Register is to enhance transparency about payment times and practices, there are circumstances where the publication of certain kinds of information provided in a Payment Times Report </w:t>
      </w:r>
      <w:r w:rsidR="00156F8F">
        <w:t>may not assist in achieving this objective. For example</w:t>
      </w:r>
      <w:r w:rsidR="0052345C">
        <w:t>,</w:t>
      </w:r>
      <w:r w:rsidR="005416E8">
        <w:t xml:space="preserve"> where content has been provided in a report that is irrelevant to a business’s payment terms or practices.  </w:t>
      </w:r>
    </w:p>
    <w:sectPr w:rsidR="00425581" w:rsidSect="0068286F">
      <w:headerReference w:type="even" r:id="rId19"/>
      <w:headerReference w:type="default" r:id="rId20"/>
      <w:footerReference w:type="even" r:id="rId21"/>
      <w:footerReference w:type="default" r:id="rId22"/>
      <w:headerReference w:type="first" r:id="rId23"/>
      <w:footerReference w:type="first" r:id="rId24"/>
      <w:pgSz w:w="11906" w:h="16838"/>
      <w:pgMar w:top="1276" w:right="1440" w:bottom="1440" w:left="1440" w:header="851"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B23C4" w14:textId="77777777" w:rsidR="00500990" w:rsidRDefault="00500990" w:rsidP="00B251DB">
      <w:pPr>
        <w:spacing w:after="0" w:line="240" w:lineRule="auto"/>
      </w:pPr>
      <w:r>
        <w:separator/>
      </w:r>
    </w:p>
  </w:endnote>
  <w:endnote w:type="continuationSeparator" w:id="0">
    <w:p w14:paraId="7F6B74DB" w14:textId="77777777" w:rsidR="00500990" w:rsidRDefault="00500990" w:rsidP="00B251DB">
      <w:pPr>
        <w:spacing w:after="0" w:line="240" w:lineRule="auto"/>
      </w:pPr>
      <w:r>
        <w:continuationSeparator/>
      </w:r>
    </w:p>
  </w:endnote>
  <w:endnote w:type="continuationNotice" w:id="1">
    <w:p w14:paraId="33868F35" w14:textId="77777777" w:rsidR="00500990" w:rsidRDefault="005009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29560" w14:textId="77777777" w:rsidR="00F60E02" w:rsidRDefault="00F6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D83B0" w14:textId="5FAF531E" w:rsidR="00500990" w:rsidRDefault="007E18AF" w:rsidP="00BD0F8A">
    <w:pPr>
      <w:pStyle w:val="Footer"/>
      <w:jc w:val="right"/>
      <w:rPr>
        <w:noProof/>
      </w:rPr>
    </w:pPr>
    <w:sdt>
      <w:sdtPr>
        <w:alias w:val="Title"/>
        <w:tag w:val=""/>
        <w:id w:val="-1005120900"/>
        <w:placeholder>
          <w:docPart w:val="F755FB15FFB54A77AE5D86AEC6F3F478"/>
        </w:placeholder>
        <w:dataBinding w:prefixMappings="xmlns:ns0='http://purl.org/dc/elements/1.1/' xmlns:ns1='http://schemas.openxmlformats.org/package/2006/metadata/core-properties' " w:xpath="/ns1:coreProperties[1]/ns0:title[1]" w:storeItemID="{6C3C8BC8-F283-45AE-878A-BAB7291924A1}"/>
        <w:text/>
      </w:sdtPr>
      <w:sdtEndPr/>
      <w:sdtContent>
        <w:r w:rsidR="00500990">
          <w:t>Payment Times Reporting Scheme - Rules</w:t>
        </w:r>
      </w:sdtContent>
    </w:sdt>
    <w:r w:rsidR="00500990">
      <w:tab/>
    </w:r>
    <w:r w:rsidR="00500990">
      <w:tab/>
    </w:r>
    <w:sdt>
      <w:sdtPr>
        <w:id w:val="-1044901746"/>
        <w:docPartObj>
          <w:docPartGallery w:val="Page Numbers (Bottom of Page)"/>
          <w:docPartUnique/>
        </w:docPartObj>
      </w:sdtPr>
      <w:sdtEndPr>
        <w:rPr>
          <w:noProof/>
        </w:rPr>
      </w:sdtEndPr>
      <w:sdtContent>
        <w:r w:rsidR="00500990">
          <w:fldChar w:fldCharType="begin"/>
        </w:r>
        <w:r w:rsidR="00500990">
          <w:instrText xml:space="preserve"> PAGE   \* MERGEFORMAT </w:instrText>
        </w:r>
        <w:r w:rsidR="00500990">
          <w:fldChar w:fldCharType="separate"/>
        </w:r>
        <w:r w:rsidR="00F60E02">
          <w:rPr>
            <w:noProof/>
          </w:rPr>
          <w:t>9</w:t>
        </w:r>
        <w:r w:rsidR="0050099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0DFE7" w14:textId="77777777" w:rsidR="00500990" w:rsidRDefault="00500990">
    <w:pPr>
      <w:pStyle w:val="Footer"/>
      <w:rPr>
        <w:b/>
        <w:bCs/>
        <w:iCs/>
        <w:color w:val="FFFFFF" w:themeColor="background1"/>
        <w:sz w:val="26"/>
        <w:szCs w:val="26"/>
      </w:rPr>
    </w:pPr>
    <w:r w:rsidRPr="00A540AE">
      <w:rPr>
        <w:bCs/>
        <w:iCs/>
        <w:color w:val="FFFFFF" w:themeColor="background1"/>
        <w:sz w:val="26"/>
        <w:szCs w:val="26"/>
      </w:rPr>
      <w:t>Supporting economic growth and job creation for all Australians |</w:t>
    </w:r>
    <w:r w:rsidRPr="00A540AE">
      <w:rPr>
        <w:b/>
        <w:bCs/>
        <w:iCs/>
        <w:color w:val="FFFFFF" w:themeColor="background1"/>
        <w:sz w:val="26"/>
        <w:szCs w:val="26"/>
      </w:rPr>
      <w:t xml:space="preserve"> industry.gov.au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43192" w14:textId="77777777" w:rsidR="00500990" w:rsidRDefault="00500990" w:rsidP="00B251DB">
      <w:pPr>
        <w:spacing w:after="0" w:line="240" w:lineRule="auto"/>
      </w:pPr>
      <w:r>
        <w:separator/>
      </w:r>
    </w:p>
  </w:footnote>
  <w:footnote w:type="continuationSeparator" w:id="0">
    <w:p w14:paraId="7B907E83" w14:textId="77777777" w:rsidR="00500990" w:rsidRDefault="00500990" w:rsidP="00B251DB">
      <w:pPr>
        <w:spacing w:after="0" w:line="240" w:lineRule="auto"/>
      </w:pPr>
      <w:r>
        <w:continuationSeparator/>
      </w:r>
    </w:p>
  </w:footnote>
  <w:footnote w:type="continuationNotice" w:id="1">
    <w:p w14:paraId="00E8B21F" w14:textId="77777777" w:rsidR="00500990" w:rsidRDefault="005009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EDE2B" w14:textId="77777777" w:rsidR="00F60E02" w:rsidRDefault="00F6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4404B" w14:textId="77777777" w:rsidR="00F60E02" w:rsidRDefault="00F6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5ED8" w14:textId="77777777" w:rsidR="00500990" w:rsidRDefault="00500990">
    <w:pPr>
      <w:pStyle w:val="Header"/>
    </w:pPr>
    <w:r>
      <w:rPr>
        <w:noProof/>
        <w:lang w:eastAsia="en-AU"/>
      </w:rPr>
      <mc:AlternateContent>
        <mc:Choice Requires="wps">
          <w:drawing>
            <wp:anchor distT="0" distB="0" distL="114300" distR="114300" simplePos="0" relativeHeight="251658240" behindDoc="1" locked="0" layoutInCell="1" allowOverlap="1" wp14:anchorId="05CBDFF3" wp14:editId="795B0ED8">
              <wp:simplePos x="0" y="0"/>
              <wp:positionH relativeFrom="page">
                <wp:align>left</wp:align>
              </wp:positionH>
              <wp:positionV relativeFrom="page">
                <wp:align>top</wp:align>
              </wp:positionV>
              <wp:extent cx="7560000" cy="10692000"/>
              <wp:effectExtent l="0" t="0" r="22225" b="14605"/>
              <wp:wrapNone/>
              <wp:docPr id="1" name="Rectangle 1" descr="Departmental background colour gradient" title="Departmental background colour gradient"/>
              <wp:cNvGraphicFramePr/>
              <a:graphic xmlns:a="http://schemas.openxmlformats.org/drawingml/2006/main">
                <a:graphicData uri="http://schemas.microsoft.com/office/word/2010/wordprocessingShape">
                  <wps:wsp>
                    <wps:cNvSpPr/>
                    <wps:spPr>
                      <a:xfrm>
                        <a:off x="0" y="0"/>
                        <a:ext cx="7560000" cy="10692000"/>
                      </a:xfrm>
                      <a:prstGeom prst="rect">
                        <a:avLst/>
                      </a:prstGeom>
                      <a:gradFill>
                        <a:gsLst>
                          <a:gs pos="0">
                            <a:schemeClr val="accent2"/>
                          </a:gs>
                          <a:gs pos="51000">
                            <a:schemeClr val="tx2"/>
                          </a:gs>
                          <a:gs pos="100000">
                            <a:schemeClr val="accent3"/>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574EC" id="Rectangle 1" o:spid="_x0000_s1026" alt="Title: Departmental background colour gradient - Description: Departmental background colour gradient" style="position:absolute;margin-left:0;margin-top:0;width:595.3pt;height:841.9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" fillcolor="#00283e [3205]" strokecolor="#484a4c [1604]" strokeweight="1pt">
              <v:fill color2="#1b9590 [3206]" colors="0 #00283e;33423f #005677;1 #1b9590" focus="100%" type="gradient"/>
              <w10:wrap anchorx="page" anchory="page"/>
            </v:rect>
          </w:pict>
        </mc:Fallback>
      </mc:AlternateContent>
    </w:r>
    <w:r w:rsidRPr="00180BF8">
      <w:rPr>
        <w:noProof/>
        <w:lang w:eastAsia="en-AU"/>
      </w:rPr>
      <w:drawing>
        <wp:inline distT="0" distB="0" distL="0" distR="0" wp14:anchorId="35555CB2" wp14:editId="26D1E59E">
          <wp:extent cx="2696400" cy="698400"/>
          <wp:effectExtent l="0" t="0" r="0" b="6985"/>
          <wp:docPr id="7" name="Picture 7" descr="Australian Government | Department of Industry, Science, Energy and Resources logo" title="Australian Government | Department of Industry, Science, Energy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696400" cy="69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F31"/>
    <w:multiLevelType w:val="hybridMultilevel"/>
    <w:tmpl w:val="7FB26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F5034"/>
    <w:multiLevelType w:val="hybridMultilevel"/>
    <w:tmpl w:val="32ECE7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2B5419C"/>
    <w:multiLevelType w:val="hybridMultilevel"/>
    <w:tmpl w:val="62861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D26234"/>
    <w:multiLevelType w:val="hybridMultilevel"/>
    <w:tmpl w:val="701C7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D5427E"/>
    <w:multiLevelType w:val="hybridMultilevel"/>
    <w:tmpl w:val="29D2E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7F6C54"/>
    <w:multiLevelType w:val="hybridMultilevel"/>
    <w:tmpl w:val="7AEE9BAC"/>
    <w:lvl w:ilvl="0" w:tplc="A704BBF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6C2AF2"/>
    <w:multiLevelType w:val="hybridMultilevel"/>
    <w:tmpl w:val="A6AC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11032A"/>
    <w:multiLevelType w:val="hybridMultilevel"/>
    <w:tmpl w:val="29F4EA92"/>
    <w:lvl w:ilvl="0" w:tplc="E36889C0">
      <w:numFmt w:val="bullet"/>
      <w:lvlText w:val="-"/>
      <w:lvlJc w:val="left"/>
      <w:pPr>
        <w:ind w:left="180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C722E1"/>
    <w:multiLevelType w:val="hybridMultilevel"/>
    <w:tmpl w:val="E132CB96"/>
    <w:lvl w:ilvl="0" w:tplc="F0C8E05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0D4D63"/>
    <w:multiLevelType w:val="hybridMultilevel"/>
    <w:tmpl w:val="41B41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8415CA"/>
    <w:multiLevelType w:val="hybridMultilevel"/>
    <w:tmpl w:val="4F76DA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B1413BA"/>
    <w:multiLevelType w:val="hybridMultilevel"/>
    <w:tmpl w:val="F634B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31355F"/>
    <w:multiLevelType w:val="hybridMultilevel"/>
    <w:tmpl w:val="F2B4A074"/>
    <w:lvl w:ilvl="0" w:tplc="0C090001">
      <w:start w:val="1"/>
      <w:numFmt w:val="bullet"/>
      <w:lvlText w:val=""/>
      <w:lvlJc w:val="left"/>
      <w:pPr>
        <w:ind w:left="1080" w:hanging="720"/>
      </w:pPr>
      <w:rPr>
        <w:rFonts w:ascii="Symbol" w:hAnsi="Symbol" w:hint="default"/>
      </w:rPr>
    </w:lvl>
    <w:lvl w:ilvl="1" w:tplc="E36889C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2E10FD"/>
    <w:multiLevelType w:val="hybridMultilevel"/>
    <w:tmpl w:val="A154A084"/>
    <w:lvl w:ilvl="0" w:tplc="A6EACFDA">
      <w:numFmt w:val="bullet"/>
      <w:pStyle w:val="ListParagraph"/>
      <w:lvlText w:val=""/>
      <w:lvlJc w:val="left"/>
      <w:pPr>
        <w:ind w:left="720" w:hanging="360"/>
      </w:pPr>
      <w:rPr>
        <w:rFonts w:ascii="Symbol" w:eastAsiaTheme="minorHAnsi" w:hAnsi="Symbol" w:cstheme="minorBidi" w:hint="default"/>
      </w:rPr>
    </w:lvl>
    <w:lvl w:ilvl="1" w:tplc="E36889C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CF3D3E"/>
    <w:multiLevelType w:val="hybridMultilevel"/>
    <w:tmpl w:val="60E0E362"/>
    <w:lvl w:ilvl="0" w:tplc="F0C8E05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23A14B5"/>
    <w:multiLevelType w:val="hybridMultilevel"/>
    <w:tmpl w:val="505A2518"/>
    <w:lvl w:ilvl="0" w:tplc="C564280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55074E5"/>
    <w:multiLevelType w:val="hybridMultilevel"/>
    <w:tmpl w:val="911412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16633B"/>
    <w:multiLevelType w:val="hybridMultilevel"/>
    <w:tmpl w:val="1CE874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BA1CE5"/>
    <w:multiLevelType w:val="hybridMultilevel"/>
    <w:tmpl w:val="43F0DBB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6"/>
  </w:num>
  <w:num w:numId="2">
    <w:abstractNumId w:val="5"/>
  </w:num>
  <w:num w:numId="3">
    <w:abstractNumId w:val="12"/>
  </w:num>
  <w:num w:numId="4">
    <w:abstractNumId w:val="8"/>
  </w:num>
  <w:num w:numId="5">
    <w:abstractNumId w:val="14"/>
  </w:num>
  <w:num w:numId="6">
    <w:abstractNumId w:val="3"/>
  </w:num>
  <w:num w:numId="7">
    <w:abstractNumId w:val="0"/>
  </w:num>
  <w:num w:numId="8">
    <w:abstractNumId w:val="2"/>
  </w:num>
  <w:num w:numId="9">
    <w:abstractNumId w:val="11"/>
  </w:num>
  <w:num w:numId="10">
    <w:abstractNumId w:val="13"/>
  </w:num>
  <w:num w:numId="11">
    <w:abstractNumId w:val="4"/>
  </w:num>
  <w:num w:numId="12">
    <w:abstractNumId w:val="18"/>
  </w:num>
  <w:num w:numId="13">
    <w:abstractNumId w:val="15"/>
  </w:num>
  <w:num w:numId="14">
    <w:abstractNumId w:val="7"/>
  </w:num>
  <w:num w:numId="15">
    <w:abstractNumId w:val="16"/>
  </w:num>
  <w:num w:numId="16">
    <w:abstractNumId w:val="9"/>
  </w:num>
  <w:num w:numId="17">
    <w:abstractNumId w:val="1"/>
  </w:num>
  <w:num w:numId="18">
    <w:abstractNumId w:val="13"/>
  </w:num>
  <w:num w:numId="19">
    <w:abstractNumId w:val="10"/>
  </w:num>
  <w:num w:numId="20">
    <w:abstractNumId w:val="17"/>
  </w:num>
  <w:num w:numId="21">
    <w:abstractNumId w:val="13"/>
  </w:num>
  <w:num w:numId="22">
    <w:abstractNumId w:val="1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AB0"/>
    <w:rsid w:val="000064EC"/>
    <w:rsid w:val="00030683"/>
    <w:rsid w:val="00032995"/>
    <w:rsid w:val="00042233"/>
    <w:rsid w:val="000443A6"/>
    <w:rsid w:val="000552B3"/>
    <w:rsid w:val="000572DA"/>
    <w:rsid w:val="00063848"/>
    <w:rsid w:val="00063D4F"/>
    <w:rsid w:val="00063F2E"/>
    <w:rsid w:val="0007067B"/>
    <w:rsid w:val="00070745"/>
    <w:rsid w:val="00072B16"/>
    <w:rsid w:val="00076E43"/>
    <w:rsid w:val="00080D63"/>
    <w:rsid w:val="00081D07"/>
    <w:rsid w:val="00083FE5"/>
    <w:rsid w:val="00087B8C"/>
    <w:rsid w:val="00087E50"/>
    <w:rsid w:val="00095886"/>
    <w:rsid w:val="000A0376"/>
    <w:rsid w:val="000A1B66"/>
    <w:rsid w:val="000B1614"/>
    <w:rsid w:val="000B35BA"/>
    <w:rsid w:val="000C3494"/>
    <w:rsid w:val="000D2666"/>
    <w:rsid w:val="000D5946"/>
    <w:rsid w:val="000E0B0D"/>
    <w:rsid w:val="000E599A"/>
    <w:rsid w:val="000F2187"/>
    <w:rsid w:val="000F2564"/>
    <w:rsid w:val="000F5046"/>
    <w:rsid w:val="0011759C"/>
    <w:rsid w:val="001218B7"/>
    <w:rsid w:val="001275ED"/>
    <w:rsid w:val="001316E0"/>
    <w:rsid w:val="00140989"/>
    <w:rsid w:val="0014127E"/>
    <w:rsid w:val="0014205C"/>
    <w:rsid w:val="00153C15"/>
    <w:rsid w:val="0015648D"/>
    <w:rsid w:val="00156F8F"/>
    <w:rsid w:val="00157CAA"/>
    <w:rsid w:val="00164E9F"/>
    <w:rsid w:val="00170785"/>
    <w:rsid w:val="00176B88"/>
    <w:rsid w:val="00184C34"/>
    <w:rsid w:val="0018593C"/>
    <w:rsid w:val="0018674B"/>
    <w:rsid w:val="00194476"/>
    <w:rsid w:val="001A232F"/>
    <w:rsid w:val="001B13E9"/>
    <w:rsid w:val="001C1E16"/>
    <w:rsid w:val="001D216A"/>
    <w:rsid w:val="001D2E82"/>
    <w:rsid w:val="001D6FA4"/>
    <w:rsid w:val="001E242C"/>
    <w:rsid w:val="001E4CB9"/>
    <w:rsid w:val="001E7E1F"/>
    <w:rsid w:val="001F0C7D"/>
    <w:rsid w:val="001F33EC"/>
    <w:rsid w:val="001F5AB1"/>
    <w:rsid w:val="001F5F12"/>
    <w:rsid w:val="001F7618"/>
    <w:rsid w:val="00205DF3"/>
    <w:rsid w:val="00210573"/>
    <w:rsid w:val="002123CA"/>
    <w:rsid w:val="002175D0"/>
    <w:rsid w:val="0022083E"/>
    <w:rsid w:val="00222D0B"/>
    <w:rsid w:val="002230CC"/>
    <w:rsid w:val="00241C5C"/>
    <w:rsid w:val="00241D3D"/>
    <w:rsid w:val="0024751E"/>
    <w:rsid w:val="002533D1"/>
    <w:rsid w:val="00254DA8"/>
    <w:rsid w:val="00255920"/>
    <w:rsid w:val="00271394"/>
    <w:rsid w:val="00272067"/>
    <w:rsid w:val="0027277D"/>
    <w:rsid w:val="00272B04"/>
    <w:rsid w:val="00277D1D"/>
    <w:rsid w:val="002945A9"/>
    <w:rsid w:val="002951CC"/>
    <w:rsid w:val="00296556"/>
    <w:rsid w:val="002A1E1D"/>
    <w:rsid w:val="002A3996"/>
    <w:rsid w:val="002A5F83"/>
    <w:rsid w:val="002B0E2E"/>
    <w:rsid w:val="002B5C69"/>
    <w:rsid w:val="002C219B"/>
    <w:rsid w:val="002C74E4"/>
    <w:rsid w:val="002D230B"/>
    <w:rsid w:val="002D7ED6"/>
    <w:rsid w:val="002E1970"/>
    <w:rsid w:val="002E5718"/>
    <w:rsid w:val="002F3882"/>
    <w:rsid w:val="00316F45"/>
    <w:rsid w:val="00317A17"/>
    <w:rsid w:val="003229BA"/>
    <w:rsid w:val="00340B8E"/>
    <w:rsid w:val="00346A1F"/>
    <w:rsid w:val="00360394"/>
    <w:rsid w:val="00361BF0"/>
    <w:rsid w:val="0037157F"/>
    <w:rsid w:val="003838DF"/>
    <w:rsid w:val="00395D12"/>
    <w:rsid w:val="00396D1F"/>
    <w:rsid w:val="00397C9B"/>
    <w:rsid w:val="003A1D61"/>
    <w:rsid w:val="003A644C"/>
    <w:rsid w:val="003B3BFD"/>
    <w:rsid w:val="003B4116"/>
    <w:rsid w:val="003D300E"/>
    <w:rsid w:val="003D38ED"/>
    <w:rsid w:val="003E447B"/>
    <w:rsid w:val="00402585"/>
    <w:rsid w:val="00402BD6"/>
    <w:rsid w:val="00403EAC"/>
    <w:rsid w:val="00425581"/>
    <w:rsid w:val="004257F8"/>
    <w:rsid w:val="00430922"/>
    <w:rsid w:val="00440577"/>
    <w:rsid w:val="004408A1"/>
    <w:rsid w:val="00452958"/>
    <w:rsid w:val="00456949"/>
    <w:rsid w:val="00456B01"/>
    <w:rsid w:val="004571F1"/>
    <w:rsid w:val="004632E9"/>
    <w:rsid w:val="00463DED"/>
    <w:rsid w:val="0046678C"/>
    <w:rsid w:val="00472B01"/>
    <w:rsid w:val="00483E87"/>
    <w:rsid w:val="00486575"/>
    <w:rsid w:val="004979EA"/>
    <w:rsid w:val="004A083E"/>
    <w:rsid w:val="004B1C6A"/>
    <w:rsid w:val="004B3759"/>
    <w:rsid w:val="004B4254"/>
    <w:rsid w:val="004B68B6"/>
    <w:rsid w:val="004B73DE"/>
    <w:rsid w:val="004B7D2C"/>
    <w:rsid w:val="004C1EB8"/>
    <w:rsid w:val="004C2BA2"/>
    <w:rsid w:val="004C2D67"/>
    <w:rsid w:val="004D1C79"/>
    <w:rsid w:val="004D3B0F"/>
    <w:rsid w:val="004D5DEA"/>
    <w:rsid w:val="004E75D2"/>
    <w:rsid w:val="004F235D"/>
    <w:rsid w:val="004F3612"/>
    <w:rsid w:val="004F7365"/>
    <w:rsid w:val="00500990"/>
    <w:rsid w:val="00503141"/>
    <w:rsid w:val="00516B0E"/>
    <w:rsid w:val="0052345C"/>
    <w:rsid w:val="00525B52"/>
    <w:rsid w:val="00530B74"/>
    <w:rsid w:val="00534BFE"/>
    <w:rsid w:val="005416E8"/>
    <w:rsid w:val="00545944"/>
    <w:rsid w:val="00560068"/>
    <w:rsid w:val="0056115F"/>
    <w:rsid w:val="00565D2A"/>
    <w:rsid w:val="005661CB"/>
    <w:rsid w:val="005670CA"/>
    <w:rsid w:val="0058092D"/>
    <w:rsid w:val="00584B74"/>
    <w:rsid w:val="00585B76"/>
    <w:rsid w:val="0059171B"/>
    <w:rsid w:val="005918AB"/>
    <w:rsid w:val="005A0342"/>
    <w:rsid w:val="005A0EBC"/>
    <w:rsid w:val="005A0F8B"/>
    <w:rsid w:val="005A60B9"/>
    <w:rsid w:val="005B32CB"/>
    <w:rsid w:val="005C3368"/>
    <w:rsid w:val="005C7387"/>
    <w:rsid w:val="005D1A17"/>
    <w:rsid w:val="005D3CDE"/>
    <w:rsid w:val="005D53E8"/>
    <w:rsid w:val="005F11C3"/>
    <w:rsid w:val="005F21FB"/>
    <w:rsid w:val="006023EC"/>
    <w:rsid w:val="00603DDF"/>
    <w:rsid w:val="00607188"/>
    <w:rsid w:val="0062378D"/>
    <w:rsid w:val="00623C3E"/>
    <w:rsid w:val="00623D29"/>
    <w:rsid w:val="0063147C"/>
    <w:rsid w:val="00634D84"/>
    <w:rsid w:val="006373C6"/>
    <w:rsid w:val="00637E53"/>
    <w:rsid w:val="006465F2"/>
    <w:rsid w:val="006647F0"/>
    <w:rsid w:val="00671D1D"/>
    <w:rsid w:val="00676684"/>
    <w:rsid w:val="0068286F"/>
    <w:rsid w:val="00686430"/>
    <w:rsid w:val="00697567"/>
    <w:rsid w:val="006A013D"/>
    <w:rsid w:val="006A2639"/>
    <w:rsid w:val="006A3B7C"/>
    <w:rsid w:val="006A6AFA"/>
    <w:rsid w:val="006C3215"/>
    <w:rsid w:val="006C3AB0"/>
    <w:rsid w:val="006C4C9C"/>
    <w:rsid w:val="006D032C"/>
    <w:rsid w:val="006D2221"/>
    <w:rsid w:val="006D36BF"/>
    <w:rsid w:val="006E1864"/>
    <w:rsid w:val="006E1E6A"/>
    <w:rsid w:val="006E4001"/>
    <w:rsid w:val="006F0722"/>
    <w:rsid w:val="006F1EA6"/>
    <w:rsid w:val="006F231A"/>
    <w:rsid w:val="006F38CB"/>
    <w:rsid w:val="006F4F00"/>
    <w:rsid w:val="006F58A5"/>
    <w:rsid w:val="0070560C"/>
    <w:rsid w:val="00707864"/>
    <w:rsid w:val="00711349"/>
    <w:rsid w:val="00713329"/>
    <w:rsid w:val="00723A92"/>
    <w:rsid w:val="00723C5D"/>
    <w:rsid w:val="00732312"/>
    <w:rsid w:val="0074557C"/>
    <w:rsid w:val="0075112E"/>
    <w:rsid w:val="00755744"/>
    <w:rsid w:val="007568A4"/>
    <w:rsid w:val="0076412D"/>
    <w:rsid w:val="0077384A"/>
    <w:rsid w:val="0078006F"/>
    <w:rsid w:val="007814B6"/>
    <w:rsid w:val="007833EE"/>
    <w:rsid w:val="00784BA8"/>
    <w:rsid w:val="007934DE"/>
    <w:rsid w:val="007A117D"/>
    <w:rsid w:val="007A17B1"/>
    <w:rsid w:val="007A1A18"/>
    <w:rsid w:val="007A58B7"/>
    <w:rsid w:val="007A63E4"/>
    <w:rsid w:val="007A6D9D"/>
    <w:rsid w:val="007B342A"/>
    <w:rsid w:val="007B553F"/>
    <w:rsid w:val="007C367A"/>
    <w:rsid w:val="007D0281"/>
    <w:rsid w:val="007D1974"/>
    <w:rsid w:val="007D3061"/>
    <w:rsid w:val="007E18AF"/>
    <w:rsid w:val="00806473"/>
    <w:rsid w:val="00806DA7"/>
    <w:rsid w:val="0081195A"/>
    <w:rsid w:val="00812D51"/>
    <w:rsid w:val="00815150"/>
    <w:rsid w:val="00820BBD"/>
    <w:rsid w:val="0082365C"/>
    <w:rsid w:val="0082636A"/>
    <w:rsid w:val="00834021"/>
    <w:rsid w:val="00837B34"/>
    <w:rsid w:val="00845919"/>
    <w:rsid w:val="00845B98"/>
    <w:rsid w:val="00851426"/>
    <w:rsid w:val="008527BD"/>
    <w:rsid w:val="00853A7A"/>
    <w:rsid w:val="00856EFE"/>
    <w:rsid w:val="00857EE1"/>
    <w:rsid w:val="00863DCD"/>
    <w:rsid w:val="008650DB"/>
    <w:rsid w:val="00872F4B"/>
    <w:rsid w:val="00882F34"/>
    <w:rsid w:val="0089200F"/>
    <w:rsid w:val="00892B6E"/>
    <w:rsid w:val="008B219D"/>
    <w:rsid w:val="008B78A9"/>
    <w:rsid w:val="008C2494"/>
    <w:rsid w:val="008C4FC6"/>
    <w:rsid w:val="008D32B8"/>
    <w:rsid w:val="008D54EC"/>
    <w:rsid w:val="008D5AD4"/>
    <w:rsid w:val="008E546F"/>
    <w:rsid w:val="008F5772"/>
    <w:rsid w:val="00906865"/>
    <w:rsid w:val="0090758E"/>
    <w:rsid w:val="00921948"/>
    <w:rsid w:val="00925432"/>
    <w:rsid w:val="00956D47"/>
    <w:rsid w:val="00956E2B"/>
    <w:rsid w:val="00957B2D"/>
    <w:rsid w:val="009610DE"/>
    <w:rsid w:val="00964801"/>
    <w:rsid w:val="00987545"/>
    <w:rsid w:val="009A4BB6"/>
    <w:rsid w:val="009A549D"/>
    <w:rsid w:val="009A69FA"/>
    <w:rsid w:val="009B0D8B"/>
    <w:rsid w:val="009B61B8"/>
    <w:rsid w:val="009C0C8B"/>
    <w:rsid w:val="009C1FAA"/>
    <w:rsid w:val="009C6F72"/>
    <w:rsid w:val="009E5EE4"/>
    <w:rsid w:val="009F03B6"/>
    <w:rsid w:val="009F7323"/>
    <w:rsid w:val="00A03C40"/>
    <w:rsid w:val="00A03C90"/>
    <w:rsid w:val="00A0453A"/>
    <w:rsid w:val="00A06D90"/>
    <w:rsid w:val="00A1269A"/>
    <w:rsid w:val="00A22E16"/>
    <w:rsid w:val="00A2354E"/>
    <w:rsid w:val="00A442F5"/>
    <w:rsid w:val="00A52F3D"/>
    <w:rsid w:val="00A540AE"/>
    <w:rsid w:val="00A63C56"/>
    <w:rsid w:val="00A70B0C"/>
    <w:rsid w:val="00A731BB"/>
    <w:rsid w:val="00A7420C"/>
    <w:rsid w:val="00A86756"/>
    <w:rsid w:val="00A9369D"/>
    <w:rsid w:val="00AA3AC8"/>
    <w:rsid w:val="00AA4938"/>
    <w:rsid w:val="00AA740C"/>
    <w:rsid w:val="00AB0354"/>
    <w:rsid w:val="00AB3A38"/>
    <w:rsid w:val="00AB66A4"/>
    <w:rsid w:val="00AC2E6F"/>
    <w:rsid w:val="00AC7F75"/>
    <w:rsid w:val="00AD1AF4"/>
    <w:rsid w:val="00AD5AD3"/>
    <w:rsid w:val="00AD7289"/>
    <w:rsid w:val="00AF4D7B"/>
    <w:rsid w:val="00B251DB"/>
    <w:rsid w:val="00B2546A"/>
    <w:rsid w:val="00B2651A"/>
    <w:rsid w:val="00B26C25"/>
    <w:rsid w:val="00B35C0C"/>
    <w:rsid w:val="00B37333"/>
    <w:rsid w:val="00B37550"/>
    <w:rsid w:val="00B422E5"/>
    <w:rsid w:val="00B42A23"/>
    <w:rsid w:val="00B4508C"/>
    <w:rsid w:val="00B60AA8"/>
    <w:rsid w:val="00B845D2"/>
    <w:rsid w:val="00B90094"/>
    <w:rsid w:val="00BB5147"/>
    <w:rsid w:val="00BB6155"/>
    <w:rsid w:val="00BD0F8A"/>
    <w:rsid w:val="00BE0677"/>
    <w:rsid w:val="00BE6EEA"/>
    <w:rsid w:val="00C20906"/>
    <w:rsid w:val="00C2456D"/>
    <w:rsid w:val="00C276F9"/>
    <w:rsid w:val="00C3621E"/>
    <w:rsid w:val="00C37551"/>
    <w:rsid w:val="00C409A6"/>
    <w:rsid w:val="00C40CB2"/>
    <w:rsid w:val="00C42FFD"/>
    <w:rsid w:val="00C43BB2"/>
    <w:rsid w:val="00C533E8"/>
    <w:rsid w:val="00C604A3"/>
    <w:rsid w:val="00C612BB"/>
    <w:rsid w:val="00C64554"/>
    <w:rsid w:val="00C6797A"/>
    <w:rsid w:val="00C76965"/>
    <w:rsid w:val="00C85E8B"/>
    <w:rsid w:val="00CA3B11"/>
    <w:rsid w:val="00CA7C02"/>
    <w:rsid w:val="00CB2D0D"/>
    <w:rsid w:val="00CB4A76"/>
    <w:rsid w:val="00CB6D25"/>
    <w:rsid w:val="00CC2439"/>
    <w:rsid w:val="00CC4DB8"/>
    <w:rsid w:val="00CC585A"/>
    <w:rsid w:val="00CC5B2E"/>
    <w:rsid w:val="00CD075B"/>
    <w:rsid w:val="00CE1147"/>
    <w:rsid w:val="00CE11F8"/>
    <w:rsid w:val="00CE16B3"/>
    <w:rsid w:val="00CF0880"/>
    <w:rsid w:val="00D0104C"/>
    <w:rsid w:val="00D03E5C"/>
    <w:rsid w:val="00D11661"/>
    <w:rsid w:val="00D149E4"/>
    <w:rsid w:val="00D2167F"/>
    <w:rsid w:val="00D220CF"/>
    <w:rsid w:val="00D22A6A"/>
    <w:rsid w:val="00D31EC8"/>
    <w:rsid w:val="00D3732C"/>
    <w:rsid w:val="00D4711F"/>
    <w:rsid w:val="00D5517E"/>
    <w:rsid w:val="00D604F8"/>
    <w:rsid w:val="00D62B70"/>
    <w:rsid w:val="00D62D8E"/>
    <w:rsid w:val="00D841E9"/>
    <w:rsid w:val="00DC3679"/>
    <w:rsid w:val="00DC3A32"/>
    <w:rsid w:val="00DE0202"/>
    <w:rsid w:val="00DE10D8"/>
    <w:rsid w:val="00DE3DA7"/>
    <w:rsid w:val="00DE7793"/>
    <w:rsid w:val="00E01D7D"/>
    <w:rsid w:val="00E02FB5"/>
    <w:rsid w:val="00E128B5"/>
    <w:rsid w:val="00E13157"/>
    <w:rsid w:val="00E138E4"/>
    <w:rsid w:val="00E1694D"/>
    <w:rsid w:val="00E248C3"/>
    <w:rsid w:val="00E3027E"/>
    <w:rsid w:val="00E457C2"/>
    <w:rsid w:val="00E5062D"/>
    <w:rsid w:val="00E55AE3"/>
    <w:rsid w:val="00E60DD6"/>
    <w:rsid w:val="00E705E9"/>
    <w:rsid w:val="00E75018"/>
    <w:rsid w:val="00E814EF"/>
    <w:rsid w:val="00E94CFE"/>
    <w:rsid w:val="00E965E6"/>
    <w:rsid w:val="00EA1514"/>
    <w:rsid w:val="00EA1D57"/>
    <w:rsid w:val="00EA1E90"/>
    <w:rsid w:val="00ED6498"/>
    <w:rsid w:val="00ED7B08"/>
    <w:rsid w:val="00F064B3"/>
    <w:rsid w:val="00F076CD"/>
    <w:rsid w:val="00F07EA5"/>
    <w:rsid w:val="00F12980"/>
    <w:rsid w:val="00F13661"/>
    <w:rsid w:val="00F166DB"/>
    <w:rsid w:val="00F16A9E"/>
    <w:rsid w:val="00F21020"/>
    <w:rsid w:val="00F211BE"/>
    <w:rsid w:val="00F21B4A"/>
    <w:rsid w:val="00F21D5D"/>
    <w:rsid w:val="00F22BB9"/>
    <w:rsid w:val="00F27B00"/>
    <w:rsid w:val="00F36AF0"/>
    <w:rsid w:val="00F37E87"/>
    <w:rsid w:val="00F52BD4"/>
    <w:rsid w:val="00F567E8"/>
    <w:rsid w:val="00F60E02"/>
    <w:rsid w:val="00F66F3D"/>
    <w:rsid w:val="00F73B0D"/>
    <w:rsid w:val="00F81674"/>
    <w:rsid w:val="00F87020"/>
    <w:rsid w:val="00F960D8"/>
    <w:rsid w:val="00FA3CD0"/>
    <w:rsid w:val="00FA6F02"/>
    <w:rsid w:val="00FB0E0D"/>
    <w:rsid w:val="00FC0FAD"/>
    <w:rsid w:val="00FC65CA"/>
    <w:rsid w:val="00FD75C8"/>
    <w:rsid w:val="00FE14D6"/>
    <w:rsid w:val="00FE44CF"/>
    <w:rsid w:val="00FE7DB2"/>
    <w:rsid w:val="00FE7F44"/>
    <w:rsid w:val="00FF051A"/>
    <w:rsid w:val="00FF5DD8"/>
    <w:rsid w:val="00FF6668"/>
    <w:rsid w:val="4E1D9C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2CA50B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DDF"/>
    <w:pPr>
      <w:keepNext/>
      <w:keepLines/>
      <w:spacing w:before="240" w:after="80"/>
      <w:outlineLvl w:val="0"/>
    </w:pPr>
    <w:rPr>
      <w:rFonts w:asciiTheme="majorHAnsi" w:eastAsiaTheme="majorEastAsia" w:hAnsiTheme="majorHAnsi" w:cstheme="majorBidi"/>
      <w:color w:val="005677" w:themeColor="text2"/>
      <w:sz w:val="48"/>
      <w:szCs w:val="32"/>
    </w:rPr>
  </w:style>
  <w:style w:type="paragraph" w:styleId="Heading2">
    <w:name w:val="heading 2"/>
    <w:basedOn w:val="Normal"/>
    <w:next w:val="Normal"/>
    <w:link w:val="Heading2Char"/>
    <w:uiPriority w:val="9"/>
    <w:unhideWhenUsed/>
    <w:qFormat/>
    <w:rsid w:val="00603DDF"/>
    <w:pPr>
      <w:keepNext/>
      <w:keepLines/>
      <w:spacing w:before="40" w:after="40"/>
      <w:outlineLvl w:val="1"/>
    </w:pPr>
    <w:rPr>
      <w:rFonts w:asciiTheme="majorHAnsi" w:eastAsiaTheme="majorEastAsia" w:hAnsiTheme="majorHAnsi" w:cstheme="majorBidi"/>
      <w:color w:val="005677" w:themeColor="text2"/>
      <w:sz w:val="40"/>
      <w:szCs w:val="48"/>
    </w:rPr>
  </w:style>
  <w:style w:type="paragraph" w:styleId="Heading3">
    <w:name w:val="heading 3"/>
    <w:basedOn w:val="Normal"/>
    <w:next w:val="Normal"/>
    <w:link w:val="Heading3Char"/>
    <w:uiPriority w:val="9"/>
    <w:unhideWhenUsed/>
    <w:qFormat/>
    <w:rsid w:val="006E4001"/>
    <w:pPr>
      <w:keepNext/>
      <w:keepLines/>
      <w:spacing w:before="40" w:after="0"/>
      <w:outlineLvl w:val="2"/>
    </w:pPr>
    <w:rPr>
      <w:rFonts w:asciiTheme="majorHAnsi" w:eastAsiaTheme="majorEastAsia" w:hAnsiTheme="majorHAnsi" w:cstheme="majorBidi"/>
      <w:color w:val="005677" w:themeColor="text2"/>
      <w:sz w:val="32"/>
      <w:szCs w:val="40"/>
    </w:rPr>
  </w:style>
  <w:style w:type="paragraph" w:styleId="Heading4">
    <w:name w:val="heading 4"/>
    <w:basedOn w:val="Normal"/>
    <w:next w:val="Normal"/>
    <w:link w:val="Heading4Char"/>
    <w:uiPriority w:val="9"/>
    <w:unhideWhenUsed/>
    <w:qFormat/>
    <w:rsid w:val="006E4001"/>
    <w:pPr>
      <w:keepNext/>
      <w:keepLines/>
      <w:spacing w:before="40" w:after="0"/>
      <w:outlineLvl w:val="3"/>
    </w:pPr>
    <w:rPr>
      <w:rFonts w:asciiTheme="majorHAnsi" w:eastAsiaTheme="majorEastAsia" w:hAnsiTheme="majorHAnsi" w:cstheme="majorBidi"/>
      <w:iCs/>
      <w:color w:val="005677" w:themeColor="text2"/>
      <w:sz w:val="28"/>
      <w:szCs w:val="28"/>
    </w:rPr>
  </w:style>
  <w:style w:type="paragraph" w:styleId="Heading5">
    <w:name w:val="heading 5"/>
    <w:basedOn w:val="Normal"/>
    <w:next w:val="Normal"/>
    <w:link w:val="Heading5Char"/>
    <w:uiPriority w:val="9"/>
    <w:unhideWhenUsed/>
    <w:qFormat/>
    <w:rsid w:val="004632E9"/>
    <w:pPr>
      <w:keepNext/>
      <w:keepLines/>
      <w:spacing w:before="40" w:after="0"/>
      <w:outlineLvl w:val="4"/>
    </w:pPr>
    <w:rPr>
      <w:rFonts w:asciiTheme="majorHAnsi" w:eastAsiaTheme="majorEastAsia" w:hAnsiTheme="majorHAnsi" w:cstheme="majorBidi"/>
      <w:color w:val="005677" w:themeColor="text2"/>
      <w:sz w:val="26"/>
      <w:szCs w:val="26"/>
    </w:rPr>
  </w:style>
  <w:style w:type="paragraph" w:styleId="Heading6">
    <w:name w:val="heading 6"/>
    <w:basedOn w:val="Normal"/>
    <w:next w:val="Normal"/>
    <w:link w:val="Heading6Char"/>
    <w:uiPriority w:val="9"/>
    <w:unhideWhenUsed/>
    <w:qFormat/>
    <w:rsid w:val="004632E9"/>
    <w:pPr>
      <w:keepNext/>
      <w:keepLines/>
      <w:spacing w:before="40" w:after="0"/>
      <w:outlineLvl w:val="5"/>
    </w:pPr>
    <w:rPr>
      <w:rFonts w:asciiTheme="majorHAnsi" w:eastAsiaTheme="majorEastAsia" w:hAnsiTheme="majorHAnsi" w:cstheme="majorBidi"/>
      <w:color w:val="00567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603DDF"/>
    <w:rPr>
      <w:rFonts w:asciiTheme="majorHAnsi" w:eastAsiaTheme="majorEastAsia" w:hAnsiTheme="majorHAnsi" w:cstheme="majorBidi"/>
      <w:color w:val="005677" w:themeColor="text2"/>
      <w:sz w:val="48"/>
      <w:szCs w:val="32"/>
    </w:rPr>
  </w:style>
  <w:style w:type="paragraph" w:styleId="Title">
    <w:name w:val="Title"/>
    <w:basedOn w:val="Normal"/>
    <w:next w:val="Normal"/>
    <w:link w:val="TitleChar"/>
    <w:uiPriority w:val="10"/>
    <w:qFormat/>
    <w:rsid w:val="00A540AE"/>
    <w:pPr>
      <w:pBdr>
        <w:bottom w:val="single" w:sz="8" w:space="1" w:color="FFFFFF" w:themeColor="background1"/>
      </w:pBdr>
      <w:spacing w:before="3600" w:after="120" w:line="240" w:lineRule="auto"/>
      <w:contextualSpacing/>
      <w:outlineLvl w:val="0"/>
    </w:pPr>
    <w:rPr>
      <w:rFonts w:asciiTheme="majorHAnsi" w:eastAsiaTheme="majorEastAsia" w:hAnsiTheme="majorHAnsi" w:cstheme="majorBidi"/>
      <w:color w:val="FFFFFF" w:themeColor="background1"/>
      <w:spacing w:val="-10"/>
      <w:kern w:val="28"/>
      <w:sz w:val="72"/>
      <w:szCs w:val="72"/>
    </w:rPr>
  </w:style>
  <w:style w:type="character" w:customStyle="1" w:styleId="TitleChar">
    <w:name w:val="Title Char"/>
    <w:basedOn w:val="DefaultParagraphFont"/>
    <w:link w:val="Title"/>
    <w:uiPriority w:val="10"/>
    <w:rsid w:val="00A540AE"/>
    <w:rPr>
      <w:rFonts w:asciiTheme="majorHAnsi" w:eastAsiaTheme="majorEastAsia" w:hAnsiTheme="majorHAnsi" w:cstheme="majorBidi"/>
      <w:color w:val="FFFFFF" w:themeColor="background1"/>
      <w:spacing w:val="-10"/>
      <w:kern w:val="28"/>
      <w:sz w:val="72"/>
      <w:szCs w:val="72"/>
    </w:rPr>
  </w:style>
  <w:style w:type="paragraph" w:styleId="Subtitle">
    <w:name w:val="Subtitle"/>
    <w:basedOn w:val="Normal"/>
    <w:next w:val="Normal"/>
    <w:link w:val="SubtitleChar"/>
    <w:uiPriority w:val="11"/>
    <w:qFormat/>
    <w:rsid w:val="00A540AE"/>
    <w:pPr>
      <w:numPr>
        <w:ilvl w:val="1"/>
      </w:numPr>
    </w:pPr>
    <w:rPr>
      <w:rFonts w:eastAsiaTheme="minorEastAsia"/>
      <w:color w:val="FFFFFF" w:themeColor="background1"/>
      <w:sz w:val="40"/>
    </w:rPr>
  </w:style>
  <w:style w:type="character" w:customStyle="1" w:styleId="SubtitleChar">
    <w:name w:val="Subtitle Char"/>
    <w:basedOn w:val="DefaultParagraphFont"/>
    <w:link w:val="Subtitle"/>
    <w:uiPriority w:val="11"/>
    <w:rsid w:val="00A540AE"/>
    <w:rPr>
      <w:rFonts w:eastAsiaTheme="minorEastAsia"/>
      <w:color w:val="FFFFFF" w:themeColor="background1"/>
      <w:sz w:val="40"/>
    </w:rPr>
  </w:style>
  <w:style w:type="character" w:customStyle="1" w:styleId="Heading2Char">
    <w:name w:val="Heading 2 Char"/>
    <w:basedOn w:val="DefaultParagraphFont"/>
    <w:link w:val="Heading2"/>
    <w:uiPriority w:val="9"/>
    <w:rsid w:val="00603DDF"/>
    <w:rPr>
      <w:rFonts w:asciiTheme="majorHAnsi" w:eastAsiaTheme="majorEastAsia" w:hAnsiTheme="majorHAnsi" w:cstheme="majorBidi"/>
      <w:color w:val="005677" w:themeColor="text2"/>
      <w:sz w:val="40"/>
      <w:szCs w:val="48"/>
    </w:rPr>
  </w:style>
  <w:style w:type="character" w:customStyle="1" w:styleId="Heading3Char">
    <w:name w:val="Heading 3 Char"/>
    <w:basedOn w:val="DefaultParagraphFont"/>
    <w:link w:val="Heading3"/>
    <w:uiPriority w:val="9"/>
    <w:rsid w:val="006E4001"/>
    <w:rPr>
      <w:rFonts w:asciiTheme="majorHAnsi" w:eastAsiaTheme="majorEastAsia" w:hAnsiTheme="majorHAnsi" w:cstheme="majorBidi"/>
      <w:color w:val="005677" w:themeColor="text2"/>
      <w:sz w:val="32"/>
      <w:szCs w:val="40"/>
    </w:rPr>
  </w:style>
  <w:style w:type="character" w:customStyle="1" w:styleId="Heading4Char">
    <w:name w:val="Heading 4 Char"/>
    <w:basedOn w:val="DefaultParagraphFont"/>
    <w:link w:val="Heading4"/>
    <w:uiPriority w:val="9"/>
    <w:rsid w:val="006E4001"/>
    <w:rPr>
      <w:rFonts w:asciiTheme="majorHAnsi" w:eastAsiaTheme="majorEastAsia" w:hAnsiTheme="majorHAnsi" w:cstheme="majorBidi"/>
      <w:iCs/>
      <w:color w:val="005677" w:themeColor="text2"/>
      <w:sz w:val="28"/>
      <w:szCs w:val="28"/>
    </w:rPr>
  </w:style>
  <w:style w:type="character" w:customStyle="1" w:styleId="Heading5Char">
    <w:name w:val="Heading 5 Char"/>
    <w:basedOn w:val="DefaultParagraphFont"/>
    <w:link w:val="Heading5"/>
    <w:uiPriority w:val="9"/>
    <w:rsid w:val="004632E9"/>
    <w:rPr>
      <w:rFonts w:asciiTheme="majorHAnsi" w:eastAsiaTheme="majorEastAsia" w:hAnsiTheme="majorHAnsi" w:cstheme="majorBidi"/>
      <w:color w:val="005677" w:themeColor="text2"/>
      <w:sz w:val="26"/>
      <w:szCs w:val="26"/>
    </w:rPr>
  </w:style>
  <w:style w:type="paragraph" w:styleId="Quote">
    <w:name w:val="Quote"/>
    <w:basedOn w:val="Normal"/>
    <w:next w:val="Normal"/>
    <w:link w:val="QuoteChar"/>
    <w:uiPriority w:val="29"/>
    <w:qFormat/>
    <w:rsid w:val="00BE6EEA"/>
    <w:pPr>
      <w:pBdr>
        <w:top w:val="single" w:sz="4" w:space="6" w:color="auto"/>
        <w:bottom w:val="single" w:sz="4" w:space="6" w:color="auto"/>
      </w:pBdr>
      <w:spacing w:before="200"/>
      <w:ind w:left="720" w:right="864"/>
      <w:jc w:val="center"/>
    </w:pPr>
    <w:rPr>
      <w:i/>
      <w:iCs/>
      <w:color w:val="000000" w:themeColor="text1"/>
      <w:szCs w:val="24"/>
    </w:rPr>
  </w:style>
  <w:style w:type="character" w:customStyle="1" w:styleId="QuoteChar">
    <w:name w:val="Quote Char"/>
    <w:basedOn w:val="DefaultParagraphFont"/>
    <w:link w:val="Quote"/>
    <w:uiPriority w:val="29"/>
    <w:rsid w:val="00BE6EEA"/>
    <w:rPr>
      <w:i/>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aliases w:val="List Paragraph1,Recommendation,Bullet point,List Paragraph Number,List Paragraph11,L,List Bullet 1,Body Bullets 1,List Bullet Cab,CAB - List Bullet,NFP GP Bulleted List,FooterText,numbered,Paragraphe de liste1,Bulletr List Paragraph,列出段落"/>
    <w:basedOn w:val="Normal"/>
    <w:link w:val="ListParagraphChar"/>
    <w:uiPriority w:val="34"/>
    <w:qFormat/>
    <w:rsid w:val="004632E9"/>
    <w:pPr>
      <w:numPr>
        <w:numId w:val="10"/>
      </w:numPr>
      <w:contextualSpacing/>
    </w:pPr>
  </w:style>
  <w:style w:type="character" w:styleId="Hyperlink">
    <w:name w:val="Hyperlink"/>
    <w:basedOn w:val="DefaultParagraphFont"/>
    <w:uiPriority w:val="99"/>
    <w:unhideWhenUsed/>
    <w:rsid w:val="00711349"/>
    <w:rPr>
      <w:color w:val="0070AE" w:themeColor="hyperlink"/>
      <w:u w:val="single"/>
    </w:rPr>
  </w:style>
  <w:style w:type="table" w:styleId="TableGrid">
    <w:name w:val="Table Grid"/>
    <w:basedOn w:val="TableNormal"/>
    <w:uiPriority w:val="39"/>
    <w:rsid w:val="00711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0C3494"/>
    <w:pPr>
      <w:spacing w:after="120" w:line="240" w:lineRule="auto"/>
    </w:pPr>
    <w:rPr>
      <w:i/>
      <w:iCs/>
      <w:color w:val="005677" w:themeColor="text2"/>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1"/>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F2564"/>
    <w:pPr>
      <w:spacing w:after="100"/>
      <w:ind w:left="220"/>
    </w:pPr>
  </w:style>
  <w:style w:type="paragraph" w:styleId="TOC3">
    <w:name w:val="toc 3"/>
    <w:basedOn w:val="Normal"/>
    <w:next w:val="Normal"/>
    <w:autoRedefine/>
    <w:uiPriority w:val="39"/>
    <w:unhideWhenUsed/>
    <w:rsid w:val="000F2564"/>
    <w:pPr>
      <w:spacing w:after="100"/>
      <w:ind w:left="440"/>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00283E" w:themeColor="accent2"/>
        <w:left w:val="single" w:sz="4" w:space="0" w:color="00283E" w:themeColor="accent2"/>
        <w:bottom w:val="single" w:sz="4" w:space="0" w:color="00283E" w:themeColor="accent2"/>
        <w:right w:val="single" w:sz="4" w:space="0" w:color="00283E" w:themeColor="accent2"/>
      </w:tblBorders>
    </w:tblPr>
    <w:tblStylePr w:type="firstRow">
      <w:rPr>
        <w:b/>
        <w:bCs/>
        <w:color w:val="FFFFFF" w:themeColor="background1"/>
      </w:rPr>
      <w:tblPr/>
      <w:tcPr>
        <w:shd w:val="clear" w:color="auto" w:fill="00283E" w:themeFill="accent2"/>
      </w:tcPr>
    </w:tblStylePr>
    <w:tblStylePr w:type="lastRow">
      <w:rPr>
        <w:b/>
        <w:bCs/>
      </w:rPr>
      <w:tblPr/>
      <w:tcPr>
        <w:tcBorders>
          <w:top w:val="double" w:sz="4" w:space="0" w:color="00283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83E" w:themeColor="accent2"/>
          <w:right w:val="single" w:sz="4" w:space="0" w:color="00283E" w:themeColor="accent2"/>
        </w:tcBorders>
      </w:tcPr>
    </w:tblStylePr>
    <w:tblStylePr w:type="band1Horz">
      <w:tblPr/>
      <w:tcPr>
        <w:tcBorders>
          <w:top w:val="single" w:sz="4" w:space="0" w:color="00283E" w:themeColor="accent2"/>
          <w:bottom w:val="single" w:sz="4" w:space="0" w:color="00283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83E" w:themeColor="accent2"/>
          <w:left w:val="nil"/>
        </w:tcBorders>
      </w:tcPr>
    </w:tblStylePr>
    <w:tblStylePr w:type="swCell">
      <w:tblPr/>
      <w:tcPr>
        <w:tcBorders>
          <w:top w:val="double" w:sz="4" w:space="0" w:color="00283E"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1B9590" w:themeColor="accent3"/>
        <w:left w:val="single" w:sz="4" w:space="0" w:color="1B9590" w:themeColor="accent3"/>
        <w:bottom w:val="single" w:sz="4" w:space="0" w:color="1B9590" w:themeColor="accent3"/>
        <w:right w:val="single" w:sz="4" w:space="0" w:color="1B9590" w:themeColor="accent3"/>
      </w:tblBorders>
    </w:tblPr>
    <w:tblStylePr w:type="firstRow">
      <w:rPr>
        <w:b/>
        <w:bCs/>
        <w:color w:val="FFFFFF" w:themeColor="background1"/>
      </w:rPr>
      <w:tblPr/>
      <w:tcPr>
        <w:shd w:val="clear" w:color="auto" w:fill="1B9590" w:themeFill="accent3"/>
      </w:tcPr>
    </w:tblStylePr>
    <w:tblStylePr w:type="lastRow">
      <w:rPr>
        <w:b/>
        <w:bCs/>
      </w:rPr>
      <w:tblPr/>
      <w:tcPr>
        <w:tcBorders>
          <w:top w:val="double" w:sz="4" w:space="0" w:color="1B959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9590" w:themeColor="accent3"/>
          <w:right w:val="single" w:sz="4" w:space="0" w:color="1B9590" w:themeColor="accent3"/>
        </w:tcBorders>
      </w:tcPr>
    </w:tblStylePr>
    <w:tblStylePr w:type="band1Horz">
      <w:tblPr/>
      <w:tcPr>
        <w:tcBorders>
          <w:top w:val="single" w:sz="4" w:space="0" w:color="1B9590" w:themeColor="accent3"/>
          <w:bottom w:val="single" w:sz="4" w:space="0" w:color="1B959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9590" w:themeColor="accent3"/>
          <w:left w:val="nil"/>
        </w:tcBorders>
      </w:tcPr>
    </w:tblStylePr>
    <w:tblStylePr w:type="swCell">
      <w:tblPr/>
      <w:tcPr>
        <w:tcBorders>
          <w:top w:val="double" w:sz="4" w:space="0" w:color="1B9590" w:themeColor="accent3"/>
          <w:right w:val="nil"/>
        </w:tcBorders>
      </w:tcPr>
    </w:tblStylePr>
  </w:style>
  <w:style w:type="paragraph" w:styleId="IntenseQuote">
    <w:name w:val="Intense Quote"/>
    <w:basedOn w:val="Normal"/>
    <w:next w:val="Normal"/>
    <w:link w:val="IntenseQuoteChar"/>
    <w:uiPriority w:val="30"/>
    <w:qFormat/>
    <w:rsid w:val="00BE6EEA"/>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spacing w:before="360" w:after="360"/>
      <w:ind w:left="864" w:right="864"/>
      <w:jc w:val="center"/>
    </w:pPr>
    <w:rPr>
      <w:i/>
      <w:iCs/>
    </w:rPr>
  </w:style>
  <w:style w:type="character" w:customStyle="1" w:styleId="IntenseQuoteChar">
    <w:name w:val="Intense Quote Char"/>
    <w:basedOn w:val="DefaultParagraphFont"/>
    <w:link w:val="IntenseQuote"/>
    <w:uiPriority w:val="30"/>
    <w:rsid w:val="00BE6EEA"/>
    <w:rPr>
      <w:i/>
      <w:iCs/>
      <w:shd w:val="clear" w:color="auto" w:fill="DFF3F3" w:themeFill="accent4" w:themeFillTint="33"/>
    </w:rPr>
  </w:style>
  <w:style w:type="paragraph" w:customStyle="1" w:styleId="Calloutbox">
    <w:name w:val="Call out box"/>
    <w:basedOn w:val="Normal"/>
    <w:qFormat/>
    <w:rsid w:val="00032995"/>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contextualSpacing/>
    </w:pPr>
  </w:style>
  <w:style w:type="character" w:customStyle="1" w:styleId="Heading6Char">
    <w:name w:val="Heading 6 Char"/>
    <w:basedOn w:val="DefaultParagraphFont"/>
    <w:link w:val="Heading6"/>
    <w:uiPriority w:val="9"/>
    <w:rsid w:val="004632E9"/>
    <w:rPr>
      <w:rFonts w:asciiTheme="majorHAnsi" w:eastAsiaTheme="majorEastAsia" w:hAnsiTheme="majorHAnsi" w:cstheme="majorBidi"/>
      <w:color w:val="005677" w:themeColor="text2"/>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009AF1" w:themeColor="accent2" w:themeTint="99"/>
        <w:left w:val="single" w:sz="4" w:space="0" w:color="009AF1" w:themeColor="accent2" w:themeTint="99"/>
        <w:bottom w:val="single" w:sz="4" w:space="0" w:color="009AF1" w:themeColor="accent2" w:themeTint="99"/>
        <w:right w:val="single" w:sz="4" w:space="0" w:color="009AF1" w:themeColor="accent2" w:themeTint="99"/>
        <w:insideH w:val="single" w:sz="4" w:space="0" w:color="009AF1" w:themeColor="accent2" w:themeTint="99"/>
        <w:insideV w:val="single" w:sz="4" w:space="0" w:color="009AF1" w:themeColor="accent2" w:themeTint="99"/>
      </w:tblBorders>
    </w:tblPr>
    <w:tblStylePr w:type="firstRow">
      <w:rPr>
        <w:b/>
        <w:bCs/>
        <w:color w:val="FFFFFF" w:themeColor="background1"/>
      </w:rPr>
      <w:tblPr/>
      <w:tcPr>
        <w:tcBorders>
          <w:top w:val="single" w:sz="4" w:space="0" w:color="00283E" w:themeColor="accent2"/>
          <w:left w:val="single" w:sz="4" w:space="0" w:color="00283E" w:themeColor="accent2"/>
          <w:bottom w:val="single" w:sz="4" w:space="0" w:color="00283E" w:themeColor="accent2"/>
          <w:right w:val="single" w:sz="4" w:space="0" w:color="00283E" w:themeColor="accent2"/>
          <w:insideH w:val="nil"/>
          <w:insideV w:val="nil"/>
        </w:tcBorders>
        <w:shd w:val="clear" w:color="auto" w:fill="00283E" w:themeFill="accent2"/>
      </w:tcPr>
    </w:tblStylePr>
    <w:tblStylePr w:type="lastRow">
      <w:rPr>
        <w:b/>
        <w:bCs/>
      </w:rPr>
      <w:tblPr/>
      <w:tcPr>
        <w:tcBorders>
          <w:top w:val="double" w:sz="4" w:space="0" w:color="00283E" w:themeColor="accent2"/>
        </w:tcBorders>
      </w:tcPr>
    </w:tblStylePr>
    <w:tblStylePr w:type="firstCol">
      <w:rPr>
        <w:b/>
        <w:bCs/>
      </w:rPr>
    </w:tblStylePr>
    <w:tblStylePr w:type="lastCol">
      <w:rPr>
        <w:b/>
        <w:bCs/>
      </w:rPr>
    </w:tblStylePr>
    <w:tblStylePr w:type="band1Vert">
      <w:tblPr/>
      <w:tcPr>
        <w:shd w:val="clear" w:color="auto" w:fill="A5DFFF" w:themeFill="accent2" w:themeFillTint="33"/>
      </w:tcPr>
    </w:tblStylePr>
    <w:tblStylePr w:type="band1Horz">
      <w:tblPr/>
      <w:tcPr>
        <w:shd w:val="clear" w:color="auto" w:fill="A5DFFF"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4BBFFF" w:themeColor="accent2" w:themeTint="66"/>
        <w:left w:val="single" w:sz="4" w:space="0" w:color="4BBFFF" w:themeColor="accent2" w:themeTint="66"/>
        <w:bottom w:val="single" w:sz="4" w:space="0" w:color="4BBFFF" w:themeColor="accent2" w:themeTint="66"/>
        <w:right w:val="single" w:sz="4" w:space="0" w:color="4BBFFF" w:themeColor="accent2" w:themeTint="66"/>
        <w:insideH w:val="single" w:sz="4" w:space="0" w:color="4BBFFF" w:themeColor="accent2" w:themeTint="66"/>
        <w:insideV w:val="single" w:sz="4" w:space="0" w:color="4BBFFF" w:themeColor="accent2" w:themeTint="66"/>
      </w:tblBorders>
    </w:tblPr>
    <w:tblStylePr w:type="firstRow">
      <w:rPr>
        <w:b/>
        <w:bCs/>
      </w:rPr>
      <w:tblPr/>
      <w:tcPr>
        <w:tcBorders>
          <w:bottom w:val="single" w:sz="12" w:space="0" w:color="009AF1" w:themeColor="accent2" w:themeTint="99"/>
        </w:tcBorders>
      </w:tcPr>
    </w:tblStylePr>
    <w:tblStylePr w:type="lastRow">
      <w:rPr>
        <w:b/>
        <w:bCs/>
      </w:rPr>
      <w:tblPr/>
      <w:tcPr>
        <w:tcBorders>
          <w:top w:val="double" w:sz="2" w:space="0" w:color="009AF1"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959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959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959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9598" w:themeFill="accent1"/>
      </w:tcPr>
    </w:tblStylePr>
    <w:tblStylePr w:type="band1Vert">
      <w:tblPr/>
      <w:tcPr>
        <w:shd w:val="clear" w:color="auto" w:fill="D3D4D5" w:themeFill="accent1" w:themeFillTint="66"/>
      </w:tcPr>
    </w:tblStylePr>
    <w:tblStylePr w:type="band1Horz">
      <w:tblPr/>
      <w:tcPr>
        <w:shd w:val="clear" w:color="auto" w:fill="D3D4D5" w:themeFill="accent1" w:themeFillTint="66"/>
      </w:tcPr>
    </w:tblStylePr>
  </w:style>
  <w:style w:type="table" w:styleId="GridTable4-Accent1">
    <w:name w:val="Grid Table 4 Accent 1"/>
    <w:basedOn w:val="TableNormal"/>
    <w:uiPriority w:val="49"/>
    <w:rsid w:val="004D3B0F"/>
    <w:pPr>
      <w:spacing w:after="0" w:line="240" w:lineRule="auto"/>
    </w:pPr>
    <w:tblPr>
      <w:tblStyleRowBandSize w:val="1"/>
      <w:tblStyleColBandSize w:val="1"/>
      <w:tblBorders>
        <w:top w:val="single" w:sz="4" w:space="0" w:color="BEBFC1" w:themeColor="accent1" w:themeTint="99"/>
        <w:left w:val="single" w:sz="4" w:space="0" w:color="BEBFC1" w:themeColor="accent1" w:themeTint="99"/>
        <w:bottom w:val="single" w:sz="4" w:space="0" w:color="BEBFC1" w:themeColor="accent1" w:themeTint="99"/>
        <w:right w:val="single" w:sz="4" w:space="0" w:color="BEBFC1" w:themeColor="accent1" w:themeTint="99"/>
        <w:insideH w:val="single" w:sz="4" w:space="0" w:color="BEBFC1" w:themeColor="accent1" w:themeTint="99"/>
        <w:insideV w:val="single" w:sz="4" w:space="0" w:color="BEBFC1" w:themeColor="accent1" w:themeTint="99"/>
      </w:tblBorders>
    </w:tblPr>
    <w:tblStylePr w:type="firstRow">
      <w:rPr>
        <w:b/>
        <w:bCs/>
        <w:color w:val="FFFFFF" w:themeColor="background1"/>
      </w:rPr>
      <w:tblPr/>
      <w:tcPr>
        <w:tcBorders>
          <w:top w:val="single" w:sz="4" w:space="0" w:color="939598" w:themeColor="accent1"/>
          <w:left w:val="single" w:sz="4" w:space="0" w:color="939598" w:themeColor="accent1"/>
          <w:bottom w:val="single" w:sz="4" w:space="0" w:color="939598" w:themeColor="accent1"/>
          <w:right w:val="single" w:sz="4" w:space="0" w:color="939598" w:themeColor="accent1"/>
          <w:insideH w:val="nil"/>
          <w:insideV w:val="nil"/>
        </w:tcBorders>
        <w:shd w:val="clear" w:color="auto" w:fill="939598" w:themeFill="accent1"/>
      </w:tcPr>
    </w:tblStylePr>
    <w:tblStylePr w:type="lastRow">
      <w:rPr>
        <w:b/>
        <w:bCs/>
      </w:rPr>
      <w:tblPr/>
      <w:tcPr>
        <w:tcBorders>
          <w:top w:val="double" w:sz="4" w:space="0" w:color="939598" w:themeColor="accent1"/>
        </w:tcBorders>
      </w:tcPr>
    </w:tblStylePr>
    <w:tblStylePr w:type="firstCol">
      <w:rPr>
        <w:b/>
        <w:bCs/>
      </w:rPr>
    </w:tblStylePr>
    <w:tblStylePr w:type="lastCol">
      <w:rPr>
        <w:b/>
        <w:bCs/>
      </w:rPr>
    </w:tblStylePr>
    <w:tblStylePr w:type="band1Vert">
      <w:tblPr/>
      <w:tcPr>
        <w:shd w:val="clear" w:color="auto" w:fill="E9E9EA" w:themeFill="accent1" w:themeFillTint="33"/>
      </w:tcPr>
    </w:tblStylePr>
    <w:tblStylePr w:type="band1Horz">
      <w:tblPr/>
      <w:tcPr>
        <w:shd w:val="clear" w:color="auto" w:fill="E9E9EA"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C3E8EC" w:themeColor="accent5" w:themeTint="99"/>
        <w:left w:val="single" w:sz="4" w:space="0" w:color="C3E8EC" w:themeColor="accent5" w:themeTint="99"/>
        <w:bottom w:val="single" w:sz="4" w:space="0" w:color="C3E8EC" w:themeColor="accent5" w:themeTint="99"/>
        <w:right w:val="single" w:sz="4" w:space="0" w:color="C3E8EC" w:themeColor="accent5" w:themeTint="99"/>
        <w:insideH w:val="single" w:sz="4" w:space="0" w:color="C3E8EC" w:themeColor="accent5" w:themeTint="99"/>
        <w:insideV w:val="single" w:sz="4" w:space="0" w:color="C3E8EC" w:themeColor="accent5" w:themeTint="99"/>
      </w:tblBorders>
    </w:tblPr>
    <w:tblStylePr w:type="firstRow">
      <w:rPr>
        <w:b/>
        <w:bCs/>
        <w:color w:val="FFFFFF" w:themeColor="background1"/>
      </w:rPr>
      <w:tblPr/>
      <w:tcPr>
        <w:tcBorders>
          <w:top w:val="single" w:sz="4" w:space="0" w:color="9CD9E0" w:themeColor="accent5"/>
          <w:left w:val="single" w:sz="4" w:space="0" w:color="9CD9E0" w:themeColor="accent5"/>
          <w:bottom w:val="single" w:sz="4" w:space="0" w:color="9CD9E0" w:themeColor="accent5"/>
          <w:right w:val="single" w:sz="4" w:space="0" w:color="9CD9E0" w:themeColor="accent5"/>
          <w:insideH w:val="nil"/>
          <w:insideV w:val="nil"/>
        </w:tcBorders>
        <w:shd w:val="clear" w:color="auto" w:fill="9CD9E0" w:themeFill="accent5"/>
      </w:tcPr>
    </w:tblStylePr>
    <w:tblStylePr w:type="lastRow">
      <w:rPr>
        <w:b/>
        <w:bCs/>
      </w:rPr>
      <w:tblPr/>
      <w:tcPr>
        <w:tcBorders>
          <w:top w:val="double" w:sz="4" w:space="0" w:color="9CD9E0" w:themeColor="accent5"/>
        </w:tcBorders>
      </w:tcPr>
    </w:tblStylePr>
    <w:tblStylePr w:type="firstCol">
      <w:rPr>
        <w:b/>
        <w:bCs/>
      </w:rPr>
    </w:tblStylePr>
    <w:tblStylePr w:type="lastCol">
      <w:rPr>
        <w:b/>
        <w:bCs/>
      </w:rPr>
    </w:tblStylePr>
    <w:tblStylePr w:type="band1Vert">
      <w:tblPr/>
      <w:tcPr>
        <w:shd w:val="clear" w:color="auto" w:fill="EBF7F8" w:themeFill="accent5" w:themeFillTint="33"/>
      </w:tcPr>
    </w:tblStylePr>
    <w:tblStylePr w:type="band1Horz">
      <w:tblPr/>
      <w:tcPr>
        <w:shd w:val="clear" w:color="auto" w:fill="EBF7F8" w:themeFill="accent5" w:themeFillTint="33"/>
      </w:tcPr>
    </w:tblStylePr>
  </w:style>
  <w:style w:type="table" w:styleId="GridTable4-Accent4">
    <w:name w:val="Grid Table 4 Accent 4"/>
    <w:basedOn w:val="TableNormal"/>
    <w:uiPriority w:val="49"/>
    <w:rsid w:val="004D3B0F"/>
    <w:pPr>
      <w:spacing w:after="0" w:line="240" w:lineRule="auto"/>
    </w:pPr>
    <w:tblPr>
      <w:tblStyleRowBandSize w:val="1"/>
      <w:tblStyleColBandSize w:val="1"/>
      <w:tblBorders>
        <w:top w:val="single" w:sz="4" w:space="0" w:color="A0DCDC" w:themeColor="accent4" w:themeTint="99"/>
        <w:left w:val="single" w:sz="4" w:space="0" w:color="A0DCDC" w:themeColor="accent4" w:themeTint="99"/>
        <w:bottom w:val="single" w:sz="4" w:space="0" w:color="A0DCDC" w:themeColor="accent4" w:themeTint="99"/>
        <w:right w:val="single" w:sz="4" w:space="0" w:color="A0DCDC" w:themeColor="accent4" w:themeTint="99"/>
        <w:insideH w:val="single" w:sz="4" w:space="0" w:color="A0DCDC" w:themeColor="accent4" w:themeTint="99"/>
        <w:insideV w:val="single" w:sz="4" w:space="0" w:color="A0DCDC" w:themeColor="accent4" w:themeTint="99"/>
      </w:tblBorders>
    </w:tblPr>
    <w:tblStylePr w:type="firstRow">
      <w:rPr>
        <w:b/>
        <w:bCs/>
        <w:color w:val="FFFFFF" w:themeColor="background1"/>
      </w:rPr>
      <w:tblPr/>
      <w:tcPr>
        <w:tcBorders>
          <w:top w:val="single" w:sz="4" w:space="0" w:color="61C6C6" w:themeColor="accent4"/>
          <w:left w:val="single" w:sz="4" w:space="0" w:color="61C6C6" w:themeColor="accent4"/>
          <w:bottom w:val="single" w:sz="4" w:space="0" w:color="61C6C6" w:themeColor="accent4"/>
          <w:right w:val="single" w:sz="4" w:space="0" w:color="61C6C6" w:themeColor="accent4"/>
          <w:insideH w:val="nil"/>
          <w:insideV w:val="nil"/>
        </w:tcBorders>
        <w:shd w:val="clear" w:color="auto" w:fill="61C6C6" w:themeFill="accent4"/>
      </w:tcPr>
    </w:tblStylePr>
    <w:tblStylePr w:type="lastRow">
      <w:rPr>
        <w:b/>
        <w:bCs/>
      </w:rPr>
      <w:tblPr/>
      <w:tcPr>
        <w:tcBorders>
          <w:top w:val="double" w:sz="4" w:space="0" w:color="61C6C6" w:themeColor="accent4"/>
        </w:tcBorders>
      </w:tcPr>
    </w:tblStylePr>
    <w:tblStylePr w:type="firstCol">
      <w:rPr>
        <w:b/>
        <w:bCs/>
      </w:rPr>
    </w:tblStylePr>
    <w:tblStylePr w:type="lastCol">
      <w:rPr>
        <w:b/>
        <w:bCs/>
      </w:rPr>
    </w:tblStylePr>
    <w:tblStylePr w:type="band1Vert">
      <w:tblPr/>
      <w:tcPr>
        <w:shd w:val="clear" w:color="auto" w:fill="DFF3F3" w:themeFill="accent4" w:themeFillTint="33"/>
      </w:tcPr>
    </w:tblStylePr>
    <w:tblStylePr w:type="band1Horz">
      <w:tblPr/>
      <w:tcPr>
        <w:shd w:val="clear" w:color="auto" w:fill="DFF3F3" w:themeFill="accent4"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55E0DA" w:themeColor="accent3" w:themeTint="99"/>
        <w:left w:val="single" w:sz="4" w:space="0" w:color="55E0DA" w:themeColor="accent3" w:themeTint="99"/>
        <w:bottom w:val="single" w:sz="4" w:space="0" w:color="55E0DA" w:themeColor="accent3" w:themeTint="99"/>
        <w:right w:val="single" w:sz="4" w:space="0" w:color="55E0DA" w:themeColor="accent3" w:themeTint="99"/>
        <w:insideH w:val="single" w:sz="4" w:space="0" w:color="55E0DA" w:themeColor="accent3" w:themeTint="99"/>
        <w:insideV w:val="single" w:sz="4" w:space="0" w:color="55E0DA" w:themeColor="accent3" w:themeTint="99"/>
      </w:tblBorders>
    </w:tblPr>
    <w:tblStylePr w:type="firstRow">
      <w:rPr>
        <w:b/>
        <w:bCs/>
        <w:color w:val="FFFFFF" w:themeColor="background1"/>
      </w:rPr>
      <w:tblPr/>
      <w:tcPr>
        <w:tcBorders>
          <w:top w:val="single" w:sz="4" w:space="0" w:color="1B9590" w:themeColor="accent3"/>
          <w:left w:val="single" w:sz="4" w:space="0" w:color="1B9590" w:themeColor="accent3"/>
          <w:bottom w:val="single" w:sz="4" w:space="0" w:color="1B9590" w:themeColor="accent3"/>
          <w:right w:val="single" w:sz="4" w:space="0" w:color="1B9590" w:themeColor="accent3"/>
          <w:insideH w:val="nil"/>
          <w:insideV w:val="nil"/>
        </w:tcBorders>
        <w:shd w:val="clear" w:color="auto" w:fill="1B9590" w:themeFill="accent3"/>
      </w:tcPr>
    </w:tblStylePr>
    <w:tblStylePr w:type="lastRow">
      <w:rPr>
        <w:b/>
        <w:bCs/>
      </w:rPr>
      <w:tblPr/>
      <w:tcPr>
        <w:tcBorders>
          <w:top w:val="double" w:sz="4" w:space="0" w:color="1B9590" w:themeColor="accent3"/>
        </w:tcBorders>
      </w:tcPr>
    </w:tblStylePr>
    <w:tblStylePr w:type="firstCol">
      <w:rPr>
        <w:b/>
        <w:bCs/>
      </w:rPr>
    </w:tblStylePr>
    <w:tblStylePr w:type="lastCol">
      <w:rPr>
        <w:b/>
        <w:bCs/>
      </w:rPr>
    </w:tblStylePr>
    <w:tblStylePr w:type="band1Vert">
      <w:tblPr/>
      <w:tcPr>
        <w:shd w:val="clear" w:color="auto" w:fill="C6F4F2" w:themeFill="accent3" w:themeFillTint="33"/>
      </w:tcPr>
    </w:tblStylePr>
    <w:tblStylePr w:type="band1Horz">
      <w:tblPr/>
      <w:tcPr>
        <w:shd w:val="clear" w:color="auto" w:fill="C6F4F2" w:themeFill="accent3" w:themeFillTint="33"/>
      </w:tcPr>
    </w:tblStylePr>
  </w:style>
  <w:style w:type="paragraph" w:customStyle="1" w:styleId="Authoranddate">
    <w:name w:val="Author and date"/>
    <w:basedOn w:val="Subtitle"/>
    <w:link w:val="AuthoranddateChar"/>
    <w:qFormat/>
    <w:rsid w:val="00FE7F44"/>
    <w:rPr>
      <w:szCs w:val="40"/>
    </w:rPr>
  </w:style>
  <w:style w:type="character" w:customStyle="1" w:styleId="AuthoranddateChar">
    <w:name w:val="Author and date Char"/>
    <w:basedOn w:val="SubtitleChar"/>
    <w:link w:val="Authoranddate"/>
    <w:rsid w:val="00FE7F44"/>
    <w:rPr>
      <w:rFonts w:eastAsiaTheme="minorEastAsia"/>
      <w:color w:val="FFFFFF" w:themeColor="background1"/>
      <w:sz w:val="40"/>
      <w:szCs w:val="40"/>
    </w:rPr>
  </w:style>
  <w:style w:type="character" w:customStyle="1" w:styleId="ListParagraphChar">
    <w:name w:val="List Paragraph Char"/>
    <w:aliases w:val="List Paragraph1 Char,Recommendation Char,Bullet point Char,List Paragraph Number Char,List Paragraph11 Char,L Char,List Bullet 1 Char,Body Bullets 1 Char,List Bullet Cab Char,CAB - List Bullet Char,NFP GP Bulleted List Char,列出段落 Char"/>
    <w:basedOn w:val="DefaultParagraphFont"/>
    <w:link w:val="ListParagraph"/>
    <w:uiPriority w:val="34"/>
    <w:qFormat/>
    <w:locked/>
    <w:rsid w:val="001F7618"/>
  </w:style>
  <w:style w:type="character" w:styleId="CommentReference">
    <w:name w:val="annotation reference"/>
    <w:basedOn w:val="DefaultParagraphFont"/>
    <w:uiPriority w:val="99"/>
    <w:semiHidden/>
    <w:unhideWhenUsed/>
    <w:rsid w:val="00820BBD"/>
    <w:rPr>
      <w:sz w:val="16"/>
      <w:szCs w:val="16"/>
    </w:rPr>
  </w:style>
  <w:style w:type="paragraph" w:styleId="CommentText">
    <w:name w:val="annotation text"/>
    <w:basedOn w:val="Normal"/>
    <w:link w:val="CommentTextChar"/>
    <w:uiPriority w:val="99"/>
    <w:semiHidden/>
    <w:unhideWhenUsed/>
    <w:rsid w:val="00820BBD"/>
    <w:pPr>
      <w:spacing w:line="240" w:lineRule="auto"/>
    </w:pPr>
    <w:rPr>
      <w:sz w:val="20"/>
      <w:szCs w:val="20"/>
    </w:rPr>
  </w:style>
  <w:style w:type="character" w:customStyle="1" w:styleId="CommentTextChar">
    <w:name w:val="Comment Text Char"/>
    <w:basedOn w:val="DefaultParagraphFont"/>
    <w:link w:val="CommentText"/>
    <w:uiPriority w:val="99"/>
    <w:semiHidden/>
    <w:rsid w:val="00820BBD"/>
    <w:rPr>
      <w:sz w:val="20"/>
      <w:szCs w:val="20"/>
    </w:rPr>
  </w:style>
  <w:style w:type="paragraph" w:styleId="CommentSubject">
    <w:name w:val="annotation subject"/>
    <w:basedOn w:val="CommentText"/>
    <w:next w:val="CommentText"/>
    <w:link w:val="CommentSubjectChar"/>
    <w:uiPriority w:val="99"/>
    <w:semiHidden/>
    <w:unhideWhenUsed/>
    <w:rsid w:val="00820BBD"/>
    <w:rPr>
      <w:b/>
      <w:bCs/>
    </w:rPr>
  </w:style>
  <w:style w:type="character" w:customStyle="1" w:styleId="CommentSubjectChar">
    <w:name w:val="Comment Subject Char"/>
    <w:basedOn w:val="CommentTextChar"/>
    <w:link w:val="CommentSubject"/>
    <w:uiPriority w:val="99"/>
    <w:semiHidden/>
    <w:rsid w:val="00820BBD"/>
    <w:rPr>
      <w:b/>
      <w:bCs/>
      <w:sz w:val="20"/>
      <w:szCs w:val="20"/>
    </w:rPr>
  </w:style>
  <w:style w:type="paragraph" w:styleId="Revision">
    <w:name w:val="Revision"/>
    <w:hidden/>
    <w:uiPriority w:val="99"/>
    <w:semiHidden/>
    <w:rsid w:val="007A11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235054">
      <w:bodyDiv w:val="1"/>
      <w:marLeft w:val="0"/>
      <w:marRight w:val="0"/>
      <w:marTop w:val="0"/>
      <w:marBottom w:val="0"/>
      <w:divBdr>
        <w:top w:val="none" w:sz="0" w:space="0" w:color="auto"/>
        <w:left w:val="none" w:sz="0" w:space="0" w:color="auto"/>
        <w:bottom w:val="none" w:sz="0" w:space="0" w:color="auto"/>
        <w:right w:val="none" w:sz="0" w:space="0" w:color="auto"/>
      </w:divBdr>
      <w:divsChild>
        <w:div w:id="1987198288">
          <w:marLeft w:val="0"/>
          <w:marRight w:val="0"/>
          <w:marTop w:val="0"/>
          <w:marBottom w:val="0"/>
          <w:divBdr>
            <w:top w:val="none" w:sz="0" w:space="0" w:color="auto"/>
            <w:left w:val="none" w:sz="0" w:space="0" w:color="auto"/>
            <w:bottom w:val="none" w:sz="0" w:space="0" w:color="auto"/>
            <w:right w:val="none" w:sz="0" w:space="0" w:color="auto"/>
          </w:divBdr>
          <w:divsChild>
            <w:div w:id="605187480">
              <w:marLeft w:val="-225"/>
              <w:marRight w:val="-225"/>
              <w:marTop w:val="0"/>
              <w:marBottom w:val="0"/>
              <w:divBdr>
                <w:top w:val="none" w:sz="0" w:space="0" w:color="auto"/>
                <w:left w:val="none" w:sz="0" w:space="0" w:color="auto"/>
                <w:bottom w:val="none" w:sz="0" w:space="0" w:color="auto"/>
                <w:right w:val="none" w:sz="0" w:space="0" w:color="auto"/>
              </w:divBdr>
              <w:divsChild>
                <w:div w:id="658921285">
                  <w:marLeft w:val="0"/>
                  <w:marRight w:val="0"/>
                  <w:marTop w:val="0"/>
                  <w:marBottom w:val="0"/>
                  <w:divBdr>
                    <w:top w:val="none" w:sz="0" w:space="0" w:color="auto"/>
                    <w:left w:val="none" w:sz="0" w:space="0" w:color="auto"/>
                    <w:bottom w:val="none" w:sz="0" w:space="0" w:color="auto"/>
                    <w:right w:val="none" w:sz="0" w:space="0" w:color="auto"/>
                  </w:divBdr>
                  <w:divsChild>
                    <w:div w:id="14229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 TargetMode="External"/><Relationship Id="rId18" Type="http://schemas.openxmlformats.org/officeDocument/2006/relationships/hyperlink" Target="https://www.ato.gov.au/Calculators-and-tools/Business-industry-code-tool/AnzsicCoder.aspx"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aymenttimes@industry.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nsult.industry.gov.au/small-business/payment-times-reporting-rul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consult.industry.gov.au/small-business/payment-times-reporting-rule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legalcode" TargetMode="External"/><Relationship Id="rId22" Type="http://schemas.openxmlformats.org/officeDocument/2006/relationships/footer" Target="foot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55FB15FFB54A77AE5D86AEC6F3F478"/>
        <w:category>
          <w:name w:val="General"/>
          <w:gallery w:val="placeholder"/>
        </w:category>
        <w:types>
          <w:type w:val="bbPlcHdr"/>
        </w:types>
        <w:behaviors>
          <w:behavior w:val="content"/>
        </w:behaviors>
        <w:guid w:val="{4601DF52-FEA9-4901-B3A6-334F4AE35031}"/>
      </w:docPartPr>
      <w:docPartBody>
        <w:p w:rsidR="00912E83" w:rsidRDefault="00111FBF">
          <w:pPr>
            <w:pStyle w:val="F755FB15FFB54A77AE5D86AEC6F3F478"/>
          </w:pPr>
          <w:r w:rsidRPr="00DB39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BF"/>
    <w:rsid w:val="00111FBF"/>
    <w:rsid w:val="004C5149"/>
    <w:rsid w:val="00912E83"/>
    <w:rsid w:val="0091337F"/>
    <w:rsid w:val="009722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55FB15FFB54A77AE5D86AEC6F3F478">
    <w:name w:val="F755FB15FFB54A77AE5D86AEC6F3F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DIIS">
      <a:dk1>
        <a:srgbClr val="000000"/>
      </a:dk1>
      <a:lt1>
        <a:srgbClr val="FFFFFF"/>
      </a:lt1>
      <a:dk2>
        <a:srgbClr val="005677"/>
      </a:dk2>
      <a:lt2>
        <a:srgbClr val="58595B"/>
      </a:lt2>
      <a:accent1>
        <a:srgbClr val="939598"/>
      </a:accent1>
      <a:accent2>
        <a:srgbClr val="00283E"/>
      </a:accent2>
      <a:accent3>
        <a:srgbClr val="1B9590"/>
      </a:accent3>
      <a:accent4>
        <a:srgbClr val="61C6C6"/>
      </a:accent4>
      <a:accent5>
        <a:srgbClr val="9CD9E0"/>
      </a:accent5>
      <a:accent6>
        <a:srgbClr val="C973AF"/>
      </a:accent6>
      <a:hlink>
        <a:srgbClr val="0070AE"/>
      </a:hlink>
      <a:folHlink>
        <a:srgbClr val="551A8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db9bed2e36e4a93af574aeb444da63e xmlns="a36bd50b-1532-4c22-b385-5c082c960938">
      <Terms xmlns="http://schemas.microsoft.com/office/infopath/2007/PartnerControls">
        <TermInfo xmlns="http://schemas.microsoft.com/office/infopath/2007/PartnerControls">
          <TermName>payment times reporting framework legislation</TermName>
          <TermId>df06ae2d-804e-42a2-90b8-444ab4cb9f41</TermId>
        </TermInfo>
        <TermInfo xmlns="http://schemas.microsoft.com/office/infopath/2007/PartnerControls">
          <TermName>payment times</TermName>
          <TermId>394de99d-304f-4c02-bea2-079e0fb26a4c</TermId>
        </TermInfo>
        <TermInfo xmlns="http://schemas.microsoft.com/office/infopath/2007/PartnerControls">
          <TermName>Rules</TermName>
          <TermId>d00c20e1-98cc-46e6-9856-1d82ebb9e13e</TermId>
        </TermInfo>
        <TermInfo xmlns="http://schemas.microsoft.com/office/infopath/2007/PartnerControls">
          <TermName>Consultation</TermName>
          <TermId>a6208509-e332-4195-b7d8-7ddeceaf8b2c</TermId>
        </TermInfo>
        <TermInfo xmlns="http://schemas.microsoft.com/office/infopath/2007/PartnerControls">
          <TermName>PTRS</TermName>
          <TermId>151802b6-52f1-4e77-98fe-fb4c15d580e8</TermId>
        </TermInfo>
      </Terms>
    </adb9bed2e36e4a93af574aeb444da63e>
    <n99e4c9942c6404eb103464a00e6097b xmlns="a36bd50b-1532-4c22-b385-5c082c960938">
      <Terms xmlns="http://schemas.microsoft.com/office/infopath/2007/PartnerControls">
        <TermInfo xmlns="http://schemas.microsoft.com/office/infopath/2007/PartnerControls">
          <TermName>2020</TermName>
          <TermId>6a3660c5-15bd-4052-a0a1-6237663b7600</TermId>
        </TermInfo>
      </Terms>
    </n99e4c9942c6404eb103464a00e6097b>
    <pe2555c81638466f9eb614edb9ecde52 xmlns="a36bd50b-1532-4c22-b385-5c082c960938">
      <Terms xmlns="http://schemas.microsoft.com/office/infopath/2007/PartnerControls">
        <TermInfo xmlns="http://schemas.microsoft.com/office/infopath/2007/PartnerControls">
          <TermName>Publication</TermName>
          <TermId>06e93801-71cb-48e6-a8b7-fc1a9a5a1404</TermId>
        </TermInfo>
      </Terms>
    </pe2555c81638466f9eb614edb9ecde52>
    <aa25a1a23adf4c92a153145de6afe324 xmlns="a36bd50b-1532-4c22-b385-5c082c960938">
      <Terms xmlns="http://schemas.microsoft.com/office/infopath/2007/PartnerControls">
        <TermInfo xmlns="http://schemas.microsoft.com/office/infopath/2007/PartnerControls">
          <TermName>UNCLASSIFIED</TermName>
          <TermId>6106d03b-a1a0-4e30-9d91-d5e9fb4314f9</TermId>
        </TermInfo>
      </Terms>
    </aa25a1a23adf4c92a153145de6afe324>
    <g7bcb40ba23249a78edca7d43a67c1c9 xmlns="a36bd50b-1532-4c22-b385-5c082c960938">
      <Terms xmlns="http://schemas.microsoft.com/office/infopath/2007/PartnerControls">
        <TermInfo xmlns="http://schemas.microsoft.com/office/infopath/2007/PartnerControls">
          <TermName>Consultation</TermName>
          <TermId>fb51ee50-3149-4bd9-89ce-8613c76e7a2f</TermId>
        </TermInfo>
      </Terms>
    </g7bcb40ba23249a78edca7d43a67c1c9>
    <TaxCatchAll xmlns="a36bd50b-1532-4c22-b385-5c082c960938">
      <Value>98</Value>
      <Value>28</Value>
      <Value>486</Value>
      <Value>467</Value>
      <Value>313</Value>
      <Value>550</Value>
      <Value>379</Value>
      <Value>72</Value>
      <Value>1</Value>
    </TaxCatchAll>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6D55852D93604AA440876A3B15BB43" ma:contentTypeVersion="13" ma:contentTypeDescription="Create a new document." ma:contentTypeScope="" ma:versionID="25e99b5bb6401c7e95639cdbedcdc46d">
  <xsd:schema xmlns:xsd="http://www.w3.org/2001/XMLSchema" xmlns:xs="http://www.w3.org/2001/XMLSchema" xmlns:p="http://schemas.microsoft.com/office/2006/metadata/properties" xmlns:ns1="http://schemas.microsoft.com/sharepoint/v3" xmlns:ns2="a36bd50b-1532-4c22-b385-5c082c960938" xmlns:ns3="e4cab3ca-7bd8-4258-8ab2-63f037da7467" targetNamespace="http://schemas.microsoft.com/office/2006/metadata/properties" ma:root="true" ma:fieldsID="2ba119465c3b104c77fedd6c2f36f40e" ns1:_="" ns2:_="" ns3:_="">
    <xsd:import namespace="http://schemas.microsoft.com/sharepoint/v3"/>
    <xsd:import namespace="a36bd50b-1532-4c22-b385-5c082c960938"/>
    <xsd:import namespace="e4cab3ca-7bd8-4258-8ab2-63f037da7467"/>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7c606ee8-4835-4725-8711-4a3dd235a22a}" ma:internalName="TaxCatchAll" ma:showField="CatchAllData" ma:web="e4cab3ca-7bd8-4258-8ab2-63f037da7467">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03cf6626-6e3f-4be0-83b0-0fd1c8933804"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cab3ca-7bd8-4258-8ab2-63f037da746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79B3C-6917-4820-A7D4-B4CC87CB512D}">
  <ds:schemaRefs>
    <ds:schemaRef ds:uri="http://schemas.microsoft.com/sharepoint/events"/>
  </ds:schemaRefs>
</ds:datastoreItem>
</file>

<file path=customXml/itemProps2.xml><?xml version="1.0" encoding="utf-8"?>
<ds:datastoreItem xmlns:ds="http://schemas.openxmlformats.org/officeDocument/2006/customXml" ds:itemID="{F0BF2E7E-5D36-48F9-B6B2-57E49164C81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36bd50b-1532-4c22-b385-5c082c960938"/>
    <ds:schemaRef ds:uri="http://schemas.microsoft.com/sharepoint/v3"/>
    <ds:schemaRef ds:uri="e4cab3ca-7bd8-4258-8ab2-63f037da7467"/>
    <ds:schemaRef ds:uri="http://www.w3.org/XML/1998/namespace"/>
    <ds:schemaRef ds:uri="http://purl.org/dc/dcmitype/"/>
  </ds:schemaRefs>
</ds:datastoreItem>
</file>

<file path=customXml/itemProps3.xml><?xml version="1.0" encoding="utf-8"?>
<ds:datastoreItem xmlns:ds="http://schemas.openxmlformats.org/officeDocument/2006/customXml" ds:itemID="{6EA01184-1CF5-4148-BF58-012C95142D93}">
  <ds:schemaRefs>
    <ds:schemaRef ds:uri="http://schemas.microsoft.com/sharepoint/v3/contenttype/forms"/>
  </ds:schemaRefs>
</ds:datastoreItem>
</file>

<file path=customXml/itemProps4.xml><?xml version="1.0" encoding="utf-8"?>
<ds:datastoreItem xmlns:ds="http://schemas.openxmlformats.org/officeDocument/2006/customXml" ds:itemID="{DA256472-AD91-4ED9-8558-5AF4D384E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e4cab3ca-7bd8-4258-8ab2-63f037da7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2F9F6B-ECDF-49BE-A52F-246D16A1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3156</Words>
  <Characters>17015</Characters>
  <Application>Microsoft Office Word</Application>
  <DocSecurity>0</DocSecurity>
  <Lines>284</Lines>
  <Paragraphs>121</Paragraphs>
  <ScaleCrop>false</ScaleCrop>
  <HeadingPairs>
    <vt:vector size="2" baseType="variant">
      <vt:variant>
        <vt:lpstr>Title</vt:lpstr>
      </vt:variant>
      <vt:variant>
        <vt:i4>1</vt:i4>
      </vt:variant>
    </vt:vector>
  </HeadingPairs>
  <TitlesOfParts>
    <vt:vector size="1" baseType="lpstr">
      <vt:lpstr>Payment Times Reporting Scheme - Rules</vt:lpstr>
    </vt:vector>
  </TitlesOfParts>
  <Manager/>
  <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Times Reporting Scheme - Rules</dc:title>
  <dc:subject>Consultation Paper</dc:subject>
  <dc:creator/>
  <cp:keywords/>
  <dc:description/>
  <cp:lastModifiedBy/>
  <cp:revision>1</cp:revision>
  <dcterms:created xsi:type="dcterms:W3CDTF">2020-05-12T23:23:00Z</dcterms:created>
  <dcterms:modified xsi:type="dcterms:W3CDTF">2021-07-15T01:17:00Z</dcterms:modified>
</cp:coreProperties>
</file>