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507" w:rsidRPr="00F75F49" w:rsidRDefault="00F70507" w:rsidP="00CA306D">
      <w:pPr>
        <w:pStyle w:val="Title"/>
        <w:tabs>
          <w:tab w:val="left" w:pos="3047"/>
        </w:tabs>
        <w:spacing w:after="240" w:line="360" w:lineRule="auto"/>
        <w:contextualSpacing w:val="0"/>
        <w:jc w:val="both"/>
      </w:pPr>
      <w:bookmarkStart w:id="0" w:name="_GoBack"/>
      <w:bookmarkEnd w:id="0"/>
    </w:p>
    <w:p w:rsidR="00CA306D" w:rsidRDefault="00CA306D" w:rsidP="00CA306D">
      <w:pPr>
        <w:pStyle w:val="Title"/>
      </w:pPr>
    </w:p>
    <w:p w:rsidR="00CA306D" w:rsidRDefault="11FF59B9" w:rsidP="00CA306D">
      <w:pPr>
        <w:pStyle w:val="Title"/>
      </w:pPr>
      <w:r>
        <w:t>Regulation Impact Statement</w:t>
      </w:r>
    </w:p>
    <w:p w:rsidR="00CA306D" w:rsidRDefault="00CA306D" w:rsidP="00CA306D"/>
    <w:p w:rsidR="00CA306D" w:rsidRDefault="11FF59B9" w:rsidP="11FF59B9">
      <w:pPr>
        <w:pStyle w:val="Heading1"/>
        <w:spacing w:before="360" w:after="360" w:line="240" w:lineRule="auto"/>
        <w:rPr>
          <w:color w:val="005677"/>
        </w:rPr>
      </w:pPr>
      <w:bookmarkStart w:id="1" w:name="_Toc529345736"/>
      <w:bookmarkStart w:id="2" w:name="_Toc529891237"/>
      <w:bookmarkStart w:id="3" w:name="_Toc529891255"/>
      <w:bookmarkStart w:id="4" w:name="_Toc530493122"/>
      <w:bookmarkStart w:id="5" w:name="_Toc530493177"/>
      <w:bookmarkStart w:id="6" w:name="_Toc530563043"/>
      <w:bookmarkStart w:id="7" w:name="_Toc530563169"/>
      <w:r w:rsidRPr="11FF59B9">
        <w:rPr>
          <w:color w:val="005677"/>
        </w:rPr>
        <w:t>Franchise relationships between car manufacturers and new car dealers</w:t>
      </w:r>
      <w:bookmarkEnd w:id="1"/>
      <w:bookmarkEnd w:id="2"/>
      <w:bookmarkEnd w:id="3"/>
      <w:bookmarkEnd w:id="4"/>
      <w:bookmarkEnd w:id="5"/>
      <w:bookmarkEnd w:id="6"/>
      <w:bookmarkEnd w:id="7"/>
    </w:p>
    <w:p w:rsidR="00ED261F" w:rsidRDefault="00ED261F" w:rsidP="00ED261F"/>
    <w:p w:rsidR="00ED261F" w:rsidRDefault="00ED261F" w:rsidP="00ED261F"/>
    <w:p w:rsidR="00ED261F" w:rsidRDefault="00ED261F" w:rsidP="00ED261F"/>
    <w:p w:rsidR="00ED261F" w:rsidRDefault="001A6DE0" w:rsidP="001A6DE0">
      <w:pPr>
        <w:tabs>
          <w:tab w:val="left" w:pos="5000"/>
        </w:tabs>
      </w:pPr>
      <w:r>
        <w:tab/>
      </w:r>
    </w:p>
    <w:p w:rsidR="00ED261F" w:rsidRDefault="00ED261F" w:rsidP="00ED261F"/>
    <w:p w:rsidR="00ED261F" w:rsidRDefault="00205F94" w:rsidP="11FF59B9">
      <w:pPr>
        <w:spacing w:before="240" w:after="240" w:line="360" w:lineRule="auto"/>
        <w:rPr>
          <w:rFonts w:ascii="Arial" w:hAnsi="Arial"/>
          <w:color w:val="005677"/>
          <w:sz w:val="52"/>
          <w:szCs w:val="52"/>
        </w:rPr>
      </w:pPr>
      <w:r>
        <w:rPr>
          <w:rFonts w:ascii="Arial" w:hAnsi="Arial"/>
          <w:color w:val="005677"/>
          <w:sz w:val="52"/>
          <w:szCs w:val="52"/>
        </w:rPr>
        <w:t>December</w:t>
      </w:r>
      <w:r w:rsidR="11FF59B9" w:rsidRPr="11FF59B9">
        <w:rPr>
          <w:rFonts w:ascii="Arial" w:hAnsi="Arial"/>
          <w:color w:val="005677"/>
          <w:sz w:val="52"/>
          <w:szCs w:val="52"/>
        </w:rPr>
        <w:t xml:space="preserve"> 2018</w:t>
      </w:r>
    </w:p>
    <w:p w:rsidR="00D836A4" w:rsidRPr="00B15071" w:rsidRDefault="00D836A4">
      <w:pPr>
        <w:rPr>
          <w:rFonts w:ascii="Arial" w:hAnsi="Arial"/>
          <w:color w:val="005677"/>
          <w:sz w:val="52"/>
          <w:szCs w:val="52"/>
        </w:rPr>
      </w:pPr>
      <w:r>
        <w:rPr>
          <w:rFonts w:ascii="Arial" w:hAnsi="Arial"/>
          <w:color w:val="005677"/>
          <w:sz w:val="52"/>
          <w:szCs w:val="52"/>
        </w:rPr>
        <w:br w:type="page"/>
      </w:r>
    </w:p>
    <w:p w:rsidR="00B16AB7" w:rsidRPr="004944B5" w:rsidRDefault="11FF59B9" w:rsidP="11FF59B9">
      <w:pPr>
        <w:rPr>
          <w:rFonts w:ascii="Arial" w:hAnsi="Arial" w:cs="Arial"/>
          <w:b/>
          <w:bCs/>
        </w:rPr>
      </w:pPr>
      <w:r w:rsidRPr="11FF59B9">
        <w:rPr>
          <w:rFonts w:ascii="Arial" w:hAnsi="Arial" w:cs="Arial"/>
          <w:b/>
          <w:bCs/>
        </w:rPr>
        <w:lastRenderedPageBreak/>
        <w:t>Disclaimer:</w:t>
      </w:r>
    </w:p>
    <w:p w:rsidR="00B16AB7" w:rsidRPr="004944B5" w:rsidRDefault="11FF59B9" w:rsidP="11FF59B9">
      <w:pPr>
        <w:rPr>
          <w:rFonts w:ascii="Arial" w:hAnsi="Arial" w:cs="Arial"/>
        </w:rPr>
      </w:pPr>
      <w:r w:rsidRPr="11FF59B9">
        <w:rPr>
          <w:rFonts w:ascii="Arial" w:hAnsi="Arial" w:cs="Arial"/>
        </w:rPr>
        <w:t>The Australian Government as represented by the Department of Industry, Innovation and Science has exercised due care and skill in the preparation and compilation of the information and data in this publication.</w:t>
      </w:r>
    </w:p>
    <w:p w:rsidR="00B16AB7" w:rsidRPr="004944B5" w:rsidRDefault="11FF59B9" w:rsidP="11FF59B9">
      <w:pPr>
        <w:rPr>
          <w:rFonts w:ascii="Arial" w:hAnsi="Arial" w:cs="Arial"/>
          <w:b/>
          <w:bCs/>
        </w:rPr>
      </w:pPr>
      <w:r w:rsidRPr="11FF59B9">
        <w:rPr>
          <w:rFonts w:ascii="Arial" w:hAnsi="Arial" w:cs="Arial"/>
        </w:rPr>
        <w:t>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p>
    <w:p w:rsidR="0015557E" w:rsidRPr="00DC2537" w:rsidRDefault="0015557E" w:rsidP="0015557E">
      <w:pPr>
        <w:rPr>
          <w:color w:val="005677"/>
          <w:highlight w:val="yellow"/>
        </w:rPr>
      </w:pPr>
    </w:p>
    <w:p w:rsidR="0015557E" w:rsidRPr="00DC2537" w:rsidRDefault="0015557E" w:rsidP="0015557E">
      <w:pPr>
        <w:rPr>
          <w:color w:val="005677"/>
          <w:highlight w:val="yellow"/>
        </w:rPr>
      </w:pPr>
    </w:p>
    <w:p w:rsidR="0015557E" w:rsidRPr="00DC2537" w:rsidRDefault="0015557E" w:rsidP="0015557E">
      <w:pPr>
        <w:rPr>
          <w:color w:val="005677"/>
          <w:highlight w:val="yellow"/>
        </w:rPr>
      </w:pPr>
    </w:p>
    <w:p w:rsidR="0015557E" w:rsidRPr="00DC2537" w:rsidRDefault="0015557E" w:rsidP="0015557E">
      <w:pPr>
        <w:rPr>
          <w:color w:val="005677"/>
          <w:highlight w:val="yellow"/>
        </w:rPr>
      </w:pPr>
    </w:p>
    <w:p w:rsidR="0015557E" w:rsidRPr="00DC2537" w:rsidRDefault="0015557E" w:rsidP="0015557E">
      <w:pPr>
        <w:rPr>
          <w:color w:val="005677"/>
          <w:highlight w:val="yellow"/>
        </w:rPr>
      </w:pPr>
    </w:p>
    <w:p w:rsidR="0015557E" w:rsidRPr="005866B6" w:rsidRDefault="11FF59B9" w:rsidP="11FF59B9">
      <w:pPr>
        <w:rPr>
          <w:rFonts w:ascii="Arial" w:hAnsi="Arial" w:cs="Arial"/>
          <w:lang w:val="en"/>
        </w:rPr>
      </w:pPr>
      <w:r w:rsidRPr="11FF59B9">
        <w:rPr>
          <w:rFonts w:ascii="Arial" w:hAnsi="Arial" w:cs="Arial"/>
          <w:lang w:val="en"/>
        </w:rPr>
        <w:t>© Commonwealth of Australia 2018</w:t>
      </w:r>
    </w:p>
    <w:p w:rsidR="0015557E" w:rsidRPr="005866B6" w:rsidRDefault="11FF59B9" w:rsidP="11FF59B9">
      <w:pPr>
        <w:rPr>
          <w:rFonts w:ascii="Arial" w:hAnsi="Arial" w:cs="Arial"/>
          <w:lang w:val="en"/>
        </w:rPr>
      </w:pPr>
      <w:r w:rsidRPr="11FF59B9">
        <w:rPr>
          <w:rFonts w:ascii="Arial" w:hAnsi="Arial" w:cs="Arial"/>
          <w:lang w:val="en"/>
        </w:rPr>
        <w:t>Ownership of intellectual property rights</w:t>
      </w:r>
    </w:p>
    <w:p w:rsidR="0015557E" w:rsidRPr="005866B6" w:rsidRDefault="11FF59B9" w:rsidP="11FF59B9">
      <w:pPr>
        <w:rPr>
          <w:rFonts w:ascii="Arial" w:hAnsi="Arial" w:cs="Arial"/>
          <w:lang w:val="en"/>
        </w:rPr>
      </w:pPr>
      <w:r w:rsidRPr="11FF59B9">
        <w:rPr>
          <w:rFonts w:ascii="Arial" w:hAnsi="Arial" w:cs="Arial"/>
          <w:lang w:val="en"/>
        </w:rPr>
        <w:t>Unless otherwise noted, copyright (and any other intellectual property rights, if any) in this publication is owned by the Commonwealth of Australia.</w:t>
      </w:r>
    </w:p>
    <w:p w:rsidR="0015557E" w:rsidRPr="005866B6" w:rsidRDefault="0015557E" w:rsidP="11FF59B9">
      <w:pPr>
        <w:rPr>
          <w:rFonts w:ascii="Arial" w:hAnsi="Arial" w:cs="Arial"/>
          <w:lang w:val="en"/>
        </w:rPr>
      </w:pPr>
      <w:r>
        <w:rPr>
          <w:noProof/>
          <w:lang w:eastAsia="en-AU"/>
        </w:rPr>
        <w:drawing>
          <wp:inline distT="0" distB="0" distL="0" distR="0" wp14:anchorId="43CD0538" wp14:editId="1AB665BB">
            <wp:extent cx="840105" cy="297815"/>
            <wp:effectExtent l="0" t="0" r="0" b="6985"/>
            <wp:docPr id="2030274931" name="picture" title="CC F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840105" cy="297815"/>
                    </a:xfrm>
                    <a:prstGeom prst="rect">
                      <a:avLst/>
                    </a:prstGeom>
                  </pic:spPr>
                </pic:pic>
              </a:graphicData>
            </a:graphic>
          </wp:inline>
        </w:drawing>
      </w:r>
      <w:r w:rsidR="11FF59B9" w:rsidRPr="11FF59B9">
        <w:rPr>
          <w:rFonts w:ascii="Arial" w:hAnsi="Arial" w:cs="Arial"/>
          <w:lang w:val="en"/>
        </w:rPr>
        <w:t xml:space="preserve"> Creative Commons </w:t>
      </w:r>
      <w:proofErr w:type="spellStart"/>
      <w:r w:rsidR="11FF59B9" w:rsidRPr="11FF59B9">
        <w:rPr>
          <w:rFonts w:ascii="Arial" w:hAnsi="Arial" w:cs="Arial"/>
          <w:lang w:val="en"/>
        </w:rPr>
        <w:t>licence</w:t>
      </w:r>
      <w:proofErr w:type="spellEnd"/>
      <w:r>
        <w:br/>
      </w:r>
      <w:r w:rsidR="11FF59B9" w:rsidRPr="11FF59B9">
        <w:rPr>
          <w:rFonts w:ascii="Arial" w:hAnsi="Arial" w:cs="Arial"/>
          <w:lang w:val="en"/>
        </w:rPr>
        <w:t>Attribution CC BY</w:t>
      </w:r>
    </w:p>
    <w:p w:rsidR="0015557E" w:rsidRPr="005866B6" w:rsidRDefault="11FF59B9" w:rsidP="11FF59B9">
      <w:pPr>
        <w:rPr>
          <w:rFonts w:ascii="Arial" w:hAnsi="Arial" w:cs="Arial"/>
          <w:lang w:val="en"/>
        </w:rPr>
      </w:pPr>
      <w:r w:rsidRPr="11FF59B9">
        <w:rPr>
          <w:rFonts w:ascii="Arial" w:hAnsi="Arial" w:cs="Arial"/>
          <w:lang w:val="en"/>
        </w:rPr>
        <w:t xml:space="preserve">All material in this publication is licensed under a Creative Commons Attribution 3.0 Australia </w:t>
      </w:r>
      <w:proofErr w:type="spellStart"/>
      <w:r w:rsidRPr="11FF59B9">
        <w:rPr>
          <w:rFonts w:ascii="Arial" w:hAnsi="Arial" w:cs="Arial"/>
          <w:lang w:val="en"/>
        </w:rPr>
        <w:t>Licence</w:t>
      </w:r>
      <w:proofErr w:type="spellEnd"/>
      <w:r w:rsidRPr="11FF59B9">
        <w:rPr>
          <w:rFonts w:ascii="Arial" w:hAnsi="Arial" w:cs="Arial"/>
          <w:lang w:val="en"/>
        </w:rPr>
        <w:t>, save for content supplied by third parties, logos, any material protected by trademark or otherwise noted in this publication, and the Commonwealth Coat of Arms.</w:t>
      </w:r>
    </w:p>
    <w:p w:rsidR="0015557E" w:rsidRPr="005866B6" w:rsidRDefault="11FF59B9" w:rsidP="11FF59B9">
      <w:pPr>
        <w:rPr>
          <w:rFonts w:ascii="Arial" w:hAnsi="Arial" w:cs="Arial"/>
          <w:color w:val="005677"/>
          <w:lang w:val="en"/>
        </w:rPr>
      </w:pPr>
      <w:r w:rsidRPr="11FF59B9">
        <w:rPr>
          <w:rFonts w:ascii="Arial" w:hAnsi="Arial" w:cs="Arial"/>
          <w:lang w:val="en"/>
        </w:rPr>
        <w:t xml:space="preserve">Creative Commons Attribution 3.0 Australia </w:t>
      </w:r>
      <w:proofErr w:type="spellStart"/>
      <w:r w:rsidRPr="11FF59B9">
        <w:rPr>
          <w:rFonts w:ascii="Arial" w:hAnsi="Arial" w:cs="Arial"/>
          <w:lang w:val="en"/>
        </w:rPr>
        <w:t>Licence</w:t>
      </w:r>
      <w:proofErr w:type="spellEnd"/>
      <w:r w:rsidRPr="11FF59B9">
        <w:rPr>
          <w:rFonts w:ascii="Arial" w:hAnsi="Arial" w:cs="Arial"/>
          <w:lang w:val="en"/>
        </w:rPr>
        <w:t xml:space="preserve"> is a standard form </w:t>
      </w:r>
      <w:proofErr w:type="spellStart"/>
      <w:r w:rsidRPr="11FF59B9">
        <w:rPr>
          <w:rFonts w:ascii="Arial" w:hAnsi="Arial" w:cs="Arial"/>
          <w:lang w:val="en"/>
        </w:rPr>
        <w:t>licence</w:t>
      </w:r>
      <w:proofErr w:type="spellEnd"/>
      <w:r w:rsidRPr="11FF59B9">
        <w:rPr>
          <w:rFonts w:ascii="Arial" w:hAnsi="Arial" w:cs="Arial"/>
          <w:lang w:val="en"/>
        </w:rPr>
        <w:t xml:space="preserve"> agreement that allows you to copy, distribute, transmit and adapt this publication provided you attribute the work. A summary of the </w:t>
      </w:r>
      <w:proofErr w:type="spellStart"/>
      <w:r w:rsidRPr="11FF59B9">
        <w:rPr>
          <w:rFonts w:ascii="Arial" w:hAnsi="Arial" w:cs="Arial"/>
          <w:lang w:val="en"/>
        </w:rPr>
        <w:t>licence</w:t>
      </w:r>
      <w:proofErr w:type="spellEnd"/>
      <w:r w:rsidRPr="11FF59B9">
        <w:rPr>
          <w:rFonts w:ascii="Arial" w:hAnsi="Arial" w:cs="Arial"/>
          <w:lang w:val="en"/>
        </w:rPr>
        <w:t xml:space="preserve"> terms is available from </w:t>
      </w:r>
      <w:hyperlink r:id="rId12">
        <w:r w:rsidRPr="11FF59B9">
          <w:rPr>
            <w:rStyle w:val="Hyperlink"/>
            <w:rFonts w:ascii="Arial" w:hAnsi="Arial" w:cs="Arial"/>
            <w:lang w:val="en"/>
          </w:rPr>
          <w:t>http://creativecommons.org/licenses/by/3.0/au/</w:t>
        </w:r>
      </w:hyperlink>
      <w:r w:rsidRPr="11FF59B9">
        <w:rPr>
          <w:rFonts w:ascii="Arial" w:hAnsi="Arial" w:cs="Arial"/>
          <w:lang w:val="en"/>
        </w:rPr>
        <w:t xml:space="preserve">. The full </w:t>
      </w:r>
      <w:proofErr w:type="spellStart"/>
      <w:r w:rsidRPr="11FF59B9">
        <w:rPr>
          <w:rFonts w:ascii="Arial" w:hAnsi="Arial" w:cs="Arial"/>
          <w:lang w:val="en"/>
        </w:rPr>
        <w:t>licence</w:t>
      </w:r>
      <w:proofErr w:type="spellEnd"/>
      <w:r w:rsidRPr="11FF59B9">
        <w:rPr>
          <w:rFonts w:ascii="Arial" w:hAnsi="Arial" w:cs="Arial"/>
          <w:lang w:val="en"/>
        </w:rPr>
        <w:t xml:space="preserve"> terms are available from </w:t>
      </w:r>
      <w:hyperlink r:id="rId13">
        <w:r w:rsidRPr="11FF59B9">
          <w:rPr>
            <w:rStyle w:val="Hyperlink"/>
            <w:rFonts w:ascii="Arial" w:hAnsi="Arial" w:cs="Arial"/>
            <w:lang w:val="en"/>
          </w:rPr>
          <w:t>http://creativecommons.org/licenses/by/3.0/au/legalcode</w:t>
        </w:r>
      </w:hyperlink>
      <w:r w:rsidRPr="11FF59B9">
        <w:rPr>
          <w:rFonts w:ascii="Arial" w:hAnsi="Arial" w:cs="Arial"/>
          <w:color w:val="005677"/>
          <w:lang w:val="en"/>
        </w:rPr>
        <w:t>.</w:t>
      </w:r>
    </w:p>
    <w:p w:rsidR="0015557E" w:rsidRPr="002803BC" w:rsidRDefault="11FF59B9" w:rsidP="11FF59B9">
      <w:pPr>
        <w:rPr>
          <w:rFonts w:ascii="Arial" w:hAnsi="Arial" w:cs="Arial"/>
          <w:lang w:val="en"/>
        </w:rPr>
      </w:pPr>
      <w:r w:rsidRPr="002803BC">
        <w:rPr>
          <w:rFonts w:ascii="Arial" w:hAnsi="Arial" w:cs="Arial"/>
          <w:lang w:val="en"/>
        </w:rPr>
        <w:t xml:space="preserve">Content contained herein should be attributed as Department of Industry, Innovation and Science 2018, </w:t>
      </w:r>
      <w:r w:rsidRPr="002803BC">
        <w:rPr>
          <w:rFonts w:ascii="Arial" w:hAnsi="Arial" w:cs="Arial"/>
          <w:i/>
          <w:lang w:val="en"/>
        </w:rPr>
        <w:t>Regulation Impact Statement: Franchise relationships between distributors and new car dealers</w:t>
      </w:r>
      <w:r w:rsidRPr="002803BC">
        <w:rPr>
          <w:rFonts w:ascii="Arial" w:hAnsi="Arial" w:cs="Arial"/>
          <w:lang w:val="en"/>
        </w:rPr>
        <w:t xml:space="preserve">, </w:t>
      </w:r>
      <w:r w:rsidR="002803BC" w:rsidRPr="002803BC">
        <w:rPr>
          <w:rFonts w:ascii="Arial" w:hAnsi="Arial" w:cs="Arial"/>
          <w:lang w:val="en"/>
        </w:rPr>
        <w:t>December</w:t>
      </w:r>
      <w:r w:rsidRPr="002803BC">
        <w:rPr>
          <w:rFonts w:ascii="Arial" w:hAnsi="Arial" w:cs="Arial"/>
          <w:lang w:val="en"/>
        </w:rPr>
        <w:t xml:space="preserve"> 2018, DIIS.</w:t>
      </w:r>
    </w:p>
    <w:p w:rsidR="007308E7" w:rsidRPr="005866B6" w:rsidRDefault="11FF59B9" w:rsidP="11FF59B9">
      <w:pPr>
        <w:rPr>
          <w:lang w:val="en"/>
        </w:rPr>
      </w:pPr>
      <w:r w:rsidRPr="11FF59B9">
        <w:rPr>
          <w:rFonts w:ascii="Arial" w:hAnsi="Arial" w:cs="Arial"/>
          <w:lang w:val="en"/>
        </w:rPr>
        <w:t xml:space="preserve">This notice excludes the Commonwealth Coat of Arms, any logos and any material protected by trade mark or otherwise noted in the publication, from the application of the Creative Commons </w:t>
      </w:r>
      <w:proofErr w:type="spellStart"/>
      <w:r w:rsidRPr="11FF59B9">
        <w:rPr>
          <w:rFonts w:ascii="Arial" w:hAnsi="Arial" w:cs="Arial"/>
          <w:lang w:val="en"/>
        </w:rPr>
        <w:t>licence</w:t>
      </w:r>
      <w:proofErr w:type="spellEnd"/>
      <w:r w:rsidRPr="11FF59B9">
        <w:rPr>
          <w:rFonts w:ascii="Arial" w:hAnsi="Arial" w:cs="Arial"/>
          <w:lang w:val="en"/>
        </w:rPr>
        <w:t xml:space="preserve">. These are all forms of property which the Commonwealth cannot or usually would not </w:t>
      </w:r>
      <w:proofErr w:type="spellStart"/>
      <w:r w:rsidRPr="11FF59B9">
        <w:rPr>
          <w:rFonts w:ascii="Arial" w:hAnsi="Arial" w:cs="Arial"/>
          <w:lang w:val="en"/>
        </w:rPr>
        <w:t>licence</w:t>
      </w:r>
      <w:proofErr w:type="spellEnd"/>
      <w:r w:rsidRPr="11FF59B9">
        <w:rPr>
          <w:rFonts w:ascii="Arial" w:hAnsi="Arial" w:cs="Arial"/>
          <w:lang w:val="en"/>
        </w:rPr>
        <w:t xml:space="preserve"> others to use.</w:t>
      </w:r>
      <w:r w:rsidRPr="11FF59B9">
        <w:rPr>
          <w:lang w:val="en"/>
        </w:rPr>
        <w:t xml:space="preserve"> </w:t>
      </w:r>
    </w:p>
    <w:p w:rsidR="00131EAC" w:rsidRDefault="007308E7" w:rsidP="00131EAC">
      <w:pPr>
        <w:pStyle w:val="FrontMatter"/>
      </w:pPr>
      <w:r w:rsidRPr="11FF59B9">
        <w:rPr>
          <w:highlight w:val="yellow"/>
        </w:rPr>
        <w:br w:type="page"/>
      </w:r>
      <w:r w:rsidR="00863621">
        <w:lastRenderedPageBreak/>
        <w:t>Preface</w:t>
      </w:r>
    </w:p>
    <w:p w:rsidR="007308E7" w:rsidRPr="00EF6FFB" w:rsidRDefault="11FF59B9" w:rsidP="00EF6FFB">
      <w:pPr>
        <w:pStyle w:val="FrontMatter2"/>
      </w:pPr>
      <w:r w:rsidRPr="00EF6FFB">
        <w:rPr>
          <w:rStyle w:val="FrontMatterChar"/>
          <w:bCs/>
          <w:color w:val="000000" w:themeColor="text1"/>
          <w:sz w:val="28"/>
        </w:rPr>
        <w:t>Privacy Collection Statement</w:t>
      </w:r>
    </w:p>
    <w:p w:rsidR="00A30ED3" w:rsidRPr="00C41BBF" w:rsidRDefault="11FF59B9" w:rsidP="11FF59B9">
      <w:pPr>
        <w:spacing w:after="0" w:line="240" w:lineRule="auto"/>
        <w:rPr>
          <w:rFonts w:ascii="Arial" w:hAnsi="Arial" w:cs="Arial"/>
          <w:lang w:val="en" w:eastAsia="en-AU"/>
        </w:rPr>
      </w:pPr>
      <w:r w:rsidRPr="11FF59B9">
        <w:rPr>
          <w:rFonts w:ascii="Arial" w:hAnsi="Arial" w:cs="Arial"/>
          <w:lang w:val="en" w:eastAsia="en-AU"/>
        </w:rPr>
        <w:t xml:space="preserve">The department is bound by the Australian Privacy Principles (APPs) outlined in Schedule 1 of the </w:t>
      </w:r>
      <w:r w:rsidRPr="11FF59B9">
        <w:rPr>
          <w:rFonts w:ascii="Arial" w:hAnsi="Arial" w:cs="Arial"/>
          <w:i/>
          <w:iCs/>
          <w:lang w:val="en" w:eastAsia="en-AU"/>
        </w:rPr>
        <w:t>Privacy Act 1988</w:t>
      </w:r>
      <w:r w:rsidRPr="11FF59B9">
        <w:rPr>
          <w:rFonts w:ascii="Arial" w:hAnsi="Arial" w:cs="Arial"/>
          <w:lang w:val="en" w:eastAsia="en-AU"/>
        </w:rPr>
        <w:t xml:space="preserve"> (</w:t>
      </w:r>
      <w:proofErr w:type="spellStart"/>
      <w:r w:rsidRPr="11FF59B9">
        <w:rPr>
          <w:rFonts w:ascii="Arial" w:hAnsi="Arial" w:cs="Arial"/>
          <w:lang w:val="en" w:eastAsia="en-AU"/>
        </w:rPr>
        <w:t>Cth</w:t>
      </w:r>
      <w:proofErr w:type="spellEnd"/>
      <w:r w:rsidRPr="11FF59B9">
        <w:rPr>
          <w:rFonts w:ascii="Arial" w:hAnsi="Arial" w:cs="Arial"/>
          <w:lang w:val="en" w:eastAsia="en-AU"/>
        </w:rPr>
        <w:t xml:space="preserve">) (Privacy Act) which regulates how entities may collect, use, disclose and store personal information. Your personal information is being collected by the department to assist in the development of government policy in relation to </w:t>
      </w:r>
      <w:r w:rsidR="002E372A">
        <w:rPr>
          <w:rFonts w:ascii="Arial" w:hAnsi="Arial" w:cs="Arial"/>
          <w:lang w:val="en" w:eastAsia="en-AU"/>
        </w:rPr>
        <w:t>franchising issues within the new car retailing supply chain</w:t>
      </w:r>
      <w:r w:rsidRPr="11FF59B9">
        <w:rPr>
          <w:rFonts w:ascii="Arial" w:hAnsi="Arial" w:cs="Arial"/>
          <w:lang w:val="en" w:eastAsia="en-AU"/>
        </w:rPr>
        <w:t>, and to enable it to contact you regarding your response if required.</w:t>
      </w:r>
    </w:p>
    <w:p w:rsidR="00A30ED3" w:rsidRPr="00C41BBF" w:rsidRDefault="00A30ED3" w:rsidP="00A30ED3">
      <w:pPr>
        <w:spacing w:after="0" w:line="240" w:lineRule="auto"/>
        <w:rPr>
          <w:rFonts w:ascii="Arial" w:hAnsi="Arial" w:cs="Arial"/>
          <w:szCs w:val="24"/>
          <w:lang w:val="en" w:eastAsia="en-AU"/>
        </w:rPr>
      </w:pPr>
    </w:p>
    <w:p w:rsidR="00A30ED3" w:rsidRPr="00C41BBF" w:rsidRDefault="11FF59B9" w:rsidP="11FF59B9">
      <w:pPr>
        <w:spacing w:after="0" w:line="240" w:lineRule="auto"/>
        <w:rPr>
          <w:rFonts w:ascii="Arial" w:hAnsi="Arial" w:cs="Arial"/>
          <w:lang w:val="en" w:eastAsia="en-AU"/>
        </w:rPr>
      </w:pPr>
      <w:r w:rsidRPr="11FF59B9">
        <w:rPr>
          <w:rFonts w:ascii="Arial" w:hAnsi="Arial" w:cs="Arial"/>
          <w:lang w:val="en" w:eastAsia="en-AU"/>
        </w:rPr>
        <w:t xml:space="preserve">The department will collect personal information including your name and email address, the name and type of business or </w:t>
      </w:r>
      <w:proofErr w:type="spellStart"/>
      <w:r w:rsidRPr="11FF59B9">
        <w:rPr>
          <w:rFonts w:ascii="Arial" w:hAnsi="Arial" w:cs="Arial"/>
          <w:lang w:val="en" w:eastAsia="en-AU"/>
        </w:rPr>
        <w:t>organisation</w:t>
      </w:r>
      <w:proofErr w:type="spellEnd"/>
      <w:r w:rsidRPr="11FF59B9">
        <w:rPr>
          <w:rFonts w:ascii="Arial" w:hAnsi="Arial" w:cs="Arial"/>
          <w:lang w:val="en" w:eastAsia="en-AU"/>
        </w:rPr>
        <w:t xml:space="preserve"> you represent, your job title and your opinion on the matters discussed in the Regulation Impact Statement. This information may be published on the department’s website. However, if you request, contact details can be redacted prior to the submission being published. </w:t>
      </w:r>
    </w:p>
    <w:p w:rsidR="00A30ED3" w:rsidRPr="00C41BBF" w:rsidRDefault="00A30ED3" w:rsidP="00A30ED3">
      <w:pPr>
        <w:spacing w:after="0" w:line="240" w:lineRule="auto"/>
        <w:rPr>
          <w:rFonts w:ascii="Arial" w:hAnsi="Arial" w:cs="Arial"/>
          <w:szCs w:val="24"/>
          <w:lang w:val="en" w:eastAsia="en-AU"/>
        </w:rPr>
      </w:pPr>
    </w:p>
    <w:p w:rsidR="00A30ED3" w:rsidRDefault="11FF59B9" w:rsidP="11FF59B9">
      <w:pPr>
        <w:spacing w:after="0" w:line="240" w:lineRule="auto"/>
        <w:rPr>
          <w:rFonts w:ascii="Arial" w:hAnsi="Arial" w:cs="Arial"/>
          <w:lang w:val="en" w:eastAsia="en-AU"/>
        </w:rPr>
      </w:pPr>
      <w:r w:rsidRPr="11FF59B9">
        <w:rPr>
          <w:rFonts w:ascii="Arial" w:hAnsi="Arial" w:cs="Arial"/>
          <w:lang w:val="en" w:eastAsia="en-AU"/>
        </w:rPr>
        <w:t xml:space="preserve">The personal information collected may also be disclosed to and used by the relevant Ministers and their offices, other relevant Commonwealth government agencies (Recipients) and any relevant contractors providing services to the Recipients, for the purpose of briefing on the results of the consultation. </w:t>
      </w:r>
    </w:p>
    <w:p w:rsidR="002E372A" w:rsidRPr="00C41BBF" w:rsidRDefault="002E372A" w:rsidP="11FF59B9">
      <w:pPr>
        <w:spacing w:after="0" w:line="240" w:lineRule="auto"/>
        <w:rPr>
          <w:rFonts w:ascii="Arial" w:hAnsi="Arial" w:cs="Arial"/>
          <w:lang w:val="en" w:eastAsia="en-AU"/>
        </w:rPr>
      </w:pPr>
    </w:p>
    <w:p w:rsidR="00A30ED3" w:rsidRDefault="11FF59B9" w:rsidP="00EF6FFB">
      <w:pPr>
        <w:spacing w:after="0" w:line="240" w:lineRule="auto"/>
        <w:rPr>
          <w:rFonts w:ascii="Arial" w:hAnsi="Arial" w:cs="Arial"/>
          <w:lang w:val="en" w:eastAsia="en-AU"/>
        </w:rPr>
      </w:pPr>
      <w:r w:rsidRPr="11FF59B9">
        <w:rPr>
          <w:rFonts w:ascii="Arial" w:hAnsi="Arial" w:cs="Arial"/>
          <w:lang w:val="en" w:eastAsia="en-AU"/>
        </w:rPr>
        <w:t xml:space="preserve">Personal </w:t>
      </w:r>
      <w:r w:rsidR="002E372A">
        <w:rPr>
          <w:rFonts w:ascii="Arial" w:hAnsi="Arial" w:cs="Arial"/>
          <w:lang w:val="en" w:eastAsia="en-AU"/>
        </w:rPr>
        <w:t>i</w:t>
      </w:r>
      <w:r w:rsidRPr="11FF59B9">
        <w:rPr>
          <w:rFonts w:ascii="Arial" w:hAnsi="Arial" w:cs="Arial"/>
          <w:lang w:val="en" w:eastAsia="en-AU"/>
        </w:rPr>
        <w:t xml:space="preserve">nformation obtained will be stored and held in accordance with the department’s obligations under the </w:t>
      </w:r>
      <w:r w:rsidRPr="11FF59B9">
        <w:rPr>
          <w:rFonts w:ascii="Arial" w:hAnsi="Arial" w:cs="Arial"/>
          <w:i/>
          <w:iCs/>
          <w:lang w:val="en" w:eastAsia="en-AU"/>
        </w:rPr>
        <w:t>Archives Act 1983</w:t>
      </w:r>
      <w:r w:rsidRPr="11FF59B9">
        <w:rPr>
          <w:rFonts w:ascii="Arial" w:hAnsi="Arial" w:cs="Arial"/>
          <w:lang w:val="en" w:eastAsia="en-AU"/>
        </w:rPr>
        <w:t xml:space="preserve"> (</w:t>
      </w:r>
      <w:proofErr w:type="spellStart"/>
      <w:r w:rsidRPr="11FF59B9">
        <w:rPr>
          <w:rFonts w:ascii="Arial" w:hAnsi="Arial" w:cs="Arial"/>
          <w:lang w:val="en" w:eastAsia="en-AU"/>
        </w:rPr>
        <w:t>Cth</w:t>
      </w:r>
      <w:proofErr w:type="spellEnd"/>
      <w:r w:rsidRPr="11FF59B9">
        <w:rPr>
          <w:rFonts w:ascii="Arial" w:hAnsi="Arial" w:cs="Arial"/>
          <w:lang w:val="en" w:eastAsia="en-AU"/>
        </w:rPr>
        <w:t xml:space="preserve">). Personal information obtained will only be used and disclosed for the purposes outlined above and will not be used or disclosed without your consent, except where </w:t>
      </w:r>
      <w:proofErr w:type="spellStart"/>
      <w:r w:rsidRPr="11FF59B9">
        <w:rPr>
          <w:rFonts w:ascii="Arial" w:hAnsi="Arial" w:cs="Arial"/>
          <w:lang w:val="en" w:eastAsia="en-AU"/>
        </w:rPr>
        <w:t>authorised</w:t>
      </w:r>
      <w:proofErr w:type="spellEnd"/>
      <w:r w:rsidRPr="11FF59B9">
        <w:rPr>
          <w:rFonts w:ascii="Arial" w:hAnsi="Arial" w:cs="Arial"/>
          <w:lang w:val="en" w:eastAsia="en-AU"/>
        </w:rPr>
        <w:t xml:space="preserve"> or required by law. For further information, please refer to the department’s Privacy Policy (</w:t>
      </w:r>
      <w:hyperlink r:id="rId14" w:history="1">
        <w:r w:rsidR="00EF6FFB" w:rsidRPr="004742BA">
          <w:rPr>
            <w:rStyle w:val="Hyperlink"/>
            <w:rFonts w:ascii="Arial" w:hAnsi="Arial" w:cs="Arial"/>
            <w:lang w:val="en" w:eastAsia="en-AU"/>
          </w:rPr>
          <w:t>https://www.industry.gov.au/data-and-publications/privacy-policy</w:t>
        </w:r>
      </w:hyperlink>
      <w:r w:rsidRPr="11FF59B9">
        <w:rPr>
          <w:rFonts w:ascii="Arial" w:hAnsi="Arial" w:cs="Arial"/>
          <w:lang w:val="en" w:eastAsia="en-AU"/>
        </w:rPr>
        <w:t>).</w:t>
      </w:r>
    </w:p>
    <w:p w:rsidR="00EF6FFB" w:rsidRPr="00EF6FFB" w:rsidRDefault="00EF6FFB" w:rsidP="00EF6FFB">
      <w:pPr>
        <w:spacing w:after="0" w:line="240" w:lineRule="auto"/>
        <w:rPr>
          <w:rFonts w:ascii="Arial" w:hAnsi="Arial" w:cs="Arial"/>
          <w:lang w:val="en" w:eastAsia="en-AU"/>
        </w:rPr>
      </w:pPr>
    </w:p>
    <w:p w:rsidR="00190731" w:rsidRPr="00131EAC" w:rsidRDefault="00235520" w:rsidP="00131EAC">
      <w:pPr>
        <w:pStyle w:val="FrontMatter2"/>
      </w:pPr>
      <w:r w:rsidRPr="00131EAC">
        <w:t>Confidential Information</w:t>
      </w:r>
    </w:p>
    <w:p w:rsidR="00C41BBF" w:rsidRDefault="11FF59B9" w:rsidP="11FF59B9">
      <w:pPr>
        <w:spacing w:after="0" w:line="240" w:lineRule="auto"/>
        <w:rPr>
          <w:rFonts w:ascii="Arial" w:hAnsi="Arial" w:cs="Arial"/>
          <w:lang w:val="en" w:eastAsia="en-AU"/>
        </w:rPr>
      </w:pPr>
      <w:r w:rsidRPr="11FF59B9">
        <w:rPr>
          <w:rFonts w:ascii="Arial" w:hAnsi="Arial" w:cs="Arial"/>
          <w:lang w:val="en" w:eastAsia="en-AU"/>
        </w:rPr>
        <w:t xml:space="preserve">The department may publish </w:t>
      </w:r>
      <w:r w:rsidR="005E5B67">
        <w:rPr>
          <w:rFonts w:ascii="Arial" w:hAnsi="Arial" w:cs="Arial"/>
          <w:lang w:val="en" w:eastAsia="en-AU"/>
        </w:rPr>
        <w:t>s</w:t>
      </w:r>
      <w:r w:rsidRPr="11FF59B9">
        <w:rPr>
          <w:rFonts w:ascii="Arial" w:hAnsi="Arial" w:cs="Arial"/>
          <w:lang w:val="en" w:eastAsia="en-AU"/>
        </w:rPr>
        <w:t xml:space="preserve">ubmissions on the department’s website, unless the submission is marked as confidential. Automatically generated confidentiality statements in emails do not suffice for this purpose. Respondents who would like part of their submission to remain in confidence should provide this information marked as such in a separate attachment and clearly identify the confidential text. If only part of your submission is confidential, you may also provide the department with a non-confidential version of the submission which can be published on the department’s website. </w:t>
      </w:r>
    </w:p>
    <w:p w:rsidR="00131EAC" w:rsidRDefault="00131EAC" w:rsidP="11FF59B9">
      <w:pPr>
        <w:spacing w:after="0" w:line="240" w:lineRule="auto"/>
        <w:rPr>
          <w:rFonts w:ascii="Arial" w:hAnsi="Arial" w:cs="Arial"/>
          <w:lang w:val="en" w:eastAsia="en-AU"/>
        </w:rPr>
      </w:pPr>
    </w:p>
    <w:p w:rsidR="00131EAC" w:rsidRDefault="00131EAC" w:rsidP="00131EAC">
      <w:pPr>
        <w:pStyle w:val="FrontMatter2"/>
        <w:rPr>
          <w:lang w:eastAsia="en-AU"/>
        </w:rPr>
      </w:pPr>
      <w:r>
        <w:rPr>
          <w:lang w:eastAsia="en-AU"/>
        </w:rPr>
        <w:t>Contact Information</w:t>
      </w:r>
    </w:p>
    <w:p w:rsidR="00EF6FFB" w:rsidRDefault="00EF6FFB" w:rsidP="11FF59B9">
      <w:pPr>
        <w:spacing w:after="0" w:line="240" w:lineRule="auto"/>
        <w:rPr>
          <w:rFonts w:ascii="Arial" w:hAnsi="Arial" w:cs="Arial"/>
          <w:lang w:val="en" w:eastAsia="en-AU"/>
        </w:rPr>
      </w:pPr>
      <w:r>
        <w:rPr>
          <w:rFonts w:ascii="Arial" w:hAnsi="Arial" w:cs="Arial"/>
          <w:lang w:val="en" w:eastAsia="en-AU"/>
        </w:rPr>
        <w:t>For more information about this Regulation Impact Statement or the consultation process please contact the department.</w:t>
      </w:r>
    </w:p>
    <w:p w:rsidR="00EF6FFB" w:rsidRDefault="00EF6FFB" w:rsidP="11FF59B9">
      <w:pPr>
        <w:spacing w:after="0" w:line="240" w:lineRule="auto"/>
        <w:rPr>
          <w:rFonts w:ascii="Arial" w:hAnsi="Arial" w:cs="Arial"/>
          <w:lang w:val="en" w:eastAsia="en-AU"/>
        </w:rPr>
      </w:pPr>
    </w:p>
    <w:p w:rsidR="00EF6FFB" w:rsidRDefault="00EF6FFB" w:rsidP="11FF59B9">
      <w:pPr>
        <w:spacing w:after="0" w:line="240" w:lineRule="auto"/>
        <w:rPr>
          <w:rFonts w:ascii="Arial" w:hAnsi="Arial" w:cs="Arial"/>
          <w:lang w:val="en" w:eastAsia="en-AU"/>
        </w:rPr>
      </w:pPr>
      <w:r>
        <w:rPr>
          <w:rFonts w:ascii="Arial" w:hAnsi="Arial" w:cs="Arial"/>
          <w:lang w:val="en" w:eastAsia="en-AU"/>
        </w:rPr>
        <w:t>You can s</w:t>
      </w:r>
      <w:r w:rsidRPr="00EF6FFB">
        <w:rPr>
          <w:rFonts w:ascii="Arial" w:hAnsi="Arial" w:cs="Arial"/>
          <w:lang w:val="en" w:eastAsia="en-AU"/>
        </w:rPr>
        <w:t>ubmit your co</w:t>
      </w:r>
      <w:r>
        <w:rPr>
          <w:rFonts w:ascii="Arial" w:hAnsi="Arial" w:cs="Arial"/>
          <w:lang w:val="en" w:eastAsia="en-AU"/>
        </w:rPr>
        <w:t xml:space="preserve">mments using our online survey at </w:t>
      </w:r>
      <w:hyperlink r:id="rId15" w:history="1">
        <w:r w:rsidRPr="004742BA">
          <w:rPr>
            <w:rStyle w:val="Hyperlink"/>
            <w:rFonts w:ascii="Arial" w:hAnsi="Arial" w:cs="Arial"/>
            <w:lang w:val="en" w:eastAsia="en-AU"/>
          </w:rPr>
          <w:t>https://consult.industry.gov.au/industry-growth/franchise-relationships-between-distr/</w:t>
        </w:r>
      </w:hyperlink>
      <w:r>
        <w:rPr>
          <w:rFonts w:ascii="Arial" w:hAnsi="Arial" w:cs="Arial"/>
          <w:lang w:val="en" w:eastAsia="en-AU"/>
        </w:rPr>
        <w:t xml:space="preserve"> </w:t>
      </w:r>
    </w:p>
    <w:p w:rsidR="00EF6FFB" w:rsidRDefault="00EF6FFB" w:rsidP="11FF59B9">
      <w:pPr>
        <w:spacing w:after="0" w:line="240" w:lineRule="auto"/>
        <w:rPr>
          <w:rFonts w:ascii="Arial" w:hAnsi="Arial" w:cs="Arial"/>
          <w:lang w:val="en" w:eastAsia="en-AU"/>
        </w:rPr>
      </w:pPr>
    </w:p>
    <w:p w:rsidR="00EF6FFB" w:rsidRDefault="00EF6FFB" w:rsidP="11FF59B9">
      <w:pPr>
        <w:spacing w:after="0" w:line="240" w:lineRule="auto"/>
        <w:rPr>
          <w:rFonts w:ascii="Arial" w:hAnsi="Arial" w:cs="Arial"/>
          <w:lang w:val="en" w:eastAsia="en-AU"/>
        </w:rPr>
      </w:pPr>
      <w:r w:rsidRPr="00EF6FFB">
        <w:rPr>
          <w:rFonts w:ascii="Arial" w:hAnsi="Arial" w:cs="Arial"/>
          <w:lang w:val="en" w:eastAsia="en-AU"/>
        </w:rPr>
        <w:t>Alternatively you</w:t>
      </w:r>
      <w:r>
        <w:rPr>
          <w:rFonts w:ascii="Arial" w:hAnsi="Arial" w:cs="Arial"/>
          <w:lang w:val="en" w:eastAsia="en-AU"/>
        </w:rPr>
        <w:t xml:space="preserve"> can send them by em</w:t>
      </w:r>
      <w:r w:rsidR="002F437D">
        <w:rPr>
          <w:rFonts w:ascii="Arial" w:hAnsi="Arial" w:cs="Arial"/>
          <w:lang w:val="en" w:eastAsia="en-AU"/>
        </w:rPr>
        <w:t>ail or mail</w:t>
      </w:r>
      <w:r>
        <w:rPr>
          <w:rFonts w:ascii="Arial" w:hAnsi="Arial" w:cs="Arial"/>
          <w:lang w:val="en" w:eastAsia="en-AU"/>
        </w:rPr>
        <w:t>.</w:t>
      </w:r>
    </w:p>
    <w:p w:rsidR="00EF6FFB" w:rsidRPr="00EF6FFB" w:rsidRDefault="00EF6FFB" w:rsidP="00EF6FFB">
      <w:pPr>
        <w:spacing w:after="0" w:line="240" w:lineRule="auto"/>
        <w:rPr>
          <w:rFonts w:ascii="Arial" w:hAnsi="Arial" w:cs="Arial"/>
          <w:b/>
          <w:lang w:val="en" w:eastAsia="en-AU"/>
        </w:rPr>
      </w:pPr>
      <w:r w:rsidRPr="00EF6FFB">
        <w:rPr>
          <w:rFonts w:ascii="Arial" w:hAnsi="Arial" w:cs="Arial"/>
          <w:b/>
          <w:lang w:val="en" w:eastAsia="en-AU"/>
        </w:rPr>
        <w:t>Email:</w:t>
      </w:r>
    </w:p>
    <w:p w:rsidR="00EF6FFB" w:rsidRPr="00EF6FFB" w:rsidRDefault="00861D7A" w:rsidP="00EF6FFB">
      <w:pPr>
        <w:spacing w:after="0" w:line="240" w:lineRule="auto"/>
        <w:rPr>
          <w:rFonts w:ascii="Arial" w:hAnsi="Arial" w:cs="Arial"/>
          <w:lang w:val="en" w:eastAsia="en-AU"/>
        </w:rPr>
      </w:pPr>
      <w:hyperlink r:id="rId16" w:history="1">
        <w:r w:rsidR="00EF6FFB" w:rsidRPr="004742BA">
          <w:rPr>
            <w:rStyle w:val="Hyperlink"/>
            <w:rFonts w:ascii="Arial" w:hAnsi="Arial" w:cs="Arial"/>
            <w:lang w:val="en" w:eastAsia="en-AU"/>
          </w:rPr>
          <w:t>AutomotiveFranchising@industry.gov.au</w:t>
        </w:r>
      </w:hyperlink>
      <w:r w:rsidR="00EF6FFB">
        <w:rPr>
          <w:rFonts w:ascii="Arial" w:hAnsi="Arial" w:cs="Arial"/>
          <w:lang w:val="en" w:eastAsia="en-AU"/>
        </w:rPr>
        <w:t xml:space="preserve"> </w:t>
      </w:r>
    </w:p>
    <w:p w:rsidR="00EF6FFB" w:rsidRPr="00EF6FFB" w:rsidRDefault="00EF6FFB" w:rsidP="00EF6FFB">
      <w:pPr>
        <w:spacing w:after="0" w:line="240" w:lineRule="auto"/>
        <w:rPr>
          <w:rFonts w:ascii="Arial" w:hAnsi="Arial" w:cs="Arial"/>
          <w:b/>
          <w:lang w:val="en" w:eastAsia="en-AU"/>
        </w:rPr>
      </w:pPr>
      <w:r w:rsidRPr="00EF6FFB">
        <w:rPr>
          <w:rFonts w:ascii="Arial" w:hAnsi="Arial" w:cs="Arial"/>
          <w:b/>
          <w:lang w:val="en" w:eastAsia="en-AU"/>
        </w:rPr>
        <w:t>Post:</w:t>
      </w:r>
    </w:p>
    <w:p w:rsidR="00EF6FFB" w:rsidRPr="00EF6FFB" w:rsidRDefault="00EF6FFB" w:rsidP="00EF6FFB">
      <w:pPr>
        <w:spacing w:after="0" w:line="240" w:lineRule="auto"/>
        <w:rPr>
          <w:rFonts w:ascii="Arial" w:hAnsi="Arial" w:cs="Arial"/>
          <w:lang w:val="en" w:eastAsia="en-AU"/>
        </w:rPr>
      </w:pPr>
      <w:r w:rsidRPr="00EF6FFB">
        <w:rPr>
          <w:rFonts w:ascii="Arial" w:hAnsi="Arial" w:cs="Arial"/>
          <w:lang w:val="en" w:eastAsia="en-AU"/>
        </w:rPr>
        <w:t>Aparna Reddy</w:t>
      </w:r>
    </w:p>
    <w:p w:rsidR="00EF6FFB" w:rsidRPr="00EF6FFB" w:rsidRDefault="00EF6FFB" w:rsidP="00EF6FFB">
      <w:pPr>
        <w:spacing w:after="0" w:line="240" w:lineRule="auto"/>
        <w:rPr>
          <w:rFonts w:ascii="Arial" w:hAnsi="Arial" w:cs="Arial"/>
          <w:lang w:val="en" w:eastAsia="en-AU"/>
        </w:rPr>
      </w:pPr>
      <w:r w:rsidRPr="00EF6FFB">
        <w:rPr>
          <w:rFonts w:ascii="Arial" w:hAnsi="Arial" w:cs="Arial"/>
          <w:lang w:val="en" w:eastAsia="en-AU"/>
        </w:rPr>
        <w:t>Department of Industry, Innovation and Science</w:t>
      </w:r>
    </w:p>
    <w:p w:rsidR="00EF6FFB" w:rsidRPr="00EF6FFB" w:rsidRDefault="00EF6FFB" w:rsidP="00EF6FFB">
      <w:pPr>
        <w:spacing w:after="0" w:line="240" w:lineRule="auto"/>
        <w:rPr>
          <w:rFonts w:ascii="Arial" w:hAnsi="Arial" w:cs="Arial"/>
          <w:lang w:val="en" w:eastAsia="en-AU"/>
        </w:rPr>
      </w:pPr>
      <w:r w:rsidRPr="00EF6FFB">
        <w:rPr>
          <w:rFonts w:ascii="Arial" w:hAnsi="Arial" w:cs="Arial"/>
          <w:lang w:val="en" w:eastAsia="en-AU"/>
        </w:rPr>
        <w:t>GPO Box 2013</w:t>
      </w:r>
    </w:p>
    <w:p w:rsidR="00131EAC" w:rsidRPr="00C41BBF" w:rsidRDefault="00EF6FFB" w:rsidP="11FF59B9">
      <w:pPr>
        <w:spacing w:after="0" w:line="240" w:lineRule="auto"/>
        <w:rPr>
          <w:rFonts w:ascii="Arial" w:hAnsi="Arial" w:cs="Arial"/>
          <w:lang w:val="en" w:eastAsia="en-AU"/>
        </w:rPr>
      </w:pPr>
      <w:r w:rsidRPr="00EF6FFB">
        <w:rPr>
          <w:rFonts w:ascii="Arial" w:hAnsi="Arial" w:cs="Arial"/>
          <w:lang w:val="en" w:eastAsia="en-AU"/>
        </w:rPr>
        <w:t>Canberra ACT 2601</w:t>
      </w:r>
    </w:p>
    <w:p w:rsidR="0015557E" w:rsidRPr="00C166E7" w:rsidRDefault="0015557E">
      <w:pPr>
        <w:rPr>
          <w:rFonts w:ascii="Arial" w:hAnsi="Arial" w:cs="Arial"/>
          <w:b/>
          <w:lang w:val="en"/>
        </w:rPr>
      </w:pPr>
      <w:r w:rsidRPr="00C166E7">
        <w:rPr>
          <w:rFonts w:ascii="Arial" w:hAnsi="Arial" w:cs="Arial"/>
          <w:b/>
          <w:color w:val="005677"/>
        </w:rPr>
        <w:br w:type="page"/>
      </w:r>
    </w:p>
    <w:p w:rsidR="002E5FF1" w:rsidRPr="002E5FF1" w:rsidRDefault="002E5FF1" w:rsidP="002E5FF1">
      <w:pPr>
        <w:rPr>
          <w:rFonts w:ascii="Arial" w:hAnsi="Arial" w:cs="Arial"/>
          <w:highlight w:val="yellow"/>
        </w:rPr>
      </w:pPr>
    </w:p>
    <w:sdt>
      <w:sdtPr>
        <w:rPr>
          <w:rFonts w:asciiTheme="minorHAnsi" w:eastAsiaTheme="minorHAnsi" w:hAnsiTheme="minorHAnsi" w:cstheme="minorBidi"/>
          <w:color w:val="auto"/>
          <w:sz w:val="22"/>
          <w:szCs w:val="22"/>
          <w:lang w:val="en-AU"/>
        </w:rPr>
        <w:id w:val="917377990"/>
        <w:docPartObj>
          <w:docPartGallery w:val="Table of Contents"/>
          <w:docPartUnique/>
        </w:docPartObj>
      </w:sdtPr>
      <w:sdtEndPr>
        <w:rPr>
          <w:b/>
          <w:bCs/>
          <w:noProof/>
        </w:rPr>
      </w:sdtEndPr>
      <w:sdtContent>
        <w:p w:rsidR="002E5FF1" w:rsidRPr="002E5FF1" w:rsidRDefault="002E5FF1">
          <w:pPr>
            <w:pStyle w:val="TOCHeading"/>
            <w:rPr>
              <w:rFonts w:ascii="Arial" w:hAnsi="Arial" w:cs="Arial"/>
              <w:sz w:val="52"/>
            </w:rPr>
          </w:pPr>
          <w:r w:rsidRPr="002E5FF1">
            <w:rPr>
              <w:rFonts w:ascii="Arial" w:hAnsi="Arial" w:cs="Arial"/>
              <w:sz w:val="52"/>
            </w:rPr>
            <w:t>Contents</w:t>
          </w:r>
        </w:p>
        <w:p w:rsidR="00CE7926" w:rsidRDefault="002E5FF1">
          <w:pPr>
            <w:pStyle w:val="TOC1"/>
            <w:tabs>
              <w:tab w:val="right" w:leader="dot" w:pos="9016"/>
            </w:tabs>
            <w:rPr>
              <w:rFonts w:eastAsiaTheme="minorEastAsia"/>
              <w:noProof/>
              <w:lang w:eastAsia="en-AU"/>
            </w:rPr>
          </w:pPr>
          <w:r>
            <w:rPr>
              <w:b/>
              <w:bCs/>
              <w:noProof/>
            </w:rPr>
            <w:fldChar w:fldCharType="begin"/>
          </w:r>
          <w:r>
            <w:rPr>
              <w:b/>
              <w:bCs/>
              <w:noProof/>
            </w:rPr>
            <w:instrText xml:space="preserve"> TOC \o "1-3" \h \z \u </w:instrText>
          </w:r>
          <w:r>
            <w:rPr>
              <w:b/>
              <w:bCs/>
              <w:noProof/>
            </w:rPr>
            <w:fldChar w:fldCharType="separate"/>
          </w:r>
          <w:hyperlink w:anchor="_Toc530563169" w:history="1">
            <w:r w:rsidR="00CE7926" w:rsidRPr="00C83E1E">
              <w:rPr>
                <w:rStyle w:val="Hyperlink"/>
                <w:noProof/>
              </w:rPr>
              <w:t>Franchise relationships between car manufacturers and new car dealers</w:t>
            </w:r>
            <w:r w:rsidR="00CE7926">
              <w:rPr>
                <w:noProof/>
                <w:webHidden/>
              </w:rPr>
              <w:tab/>
            </w:r>
            <w:r w:rsidR="00CE7926">
              <w:rPr>
                <w:noProof/>
                <w:webHidden/>
              </w:rPr>
              <w:fldChar w:fldCharType="begin"/>
            </w:r>
            <w:r w:rsidR="00CE7926">
              <w:rPr>
                <w:noProof/>
                <w:webHidden/>
              </w:rPr>
              <w:instrText xml:space="preserve"> PAGEREF _Toc530563169 \h </w:instrText>
            </w:r>
            <w:r w:rsidR="00CE7926">
              <w:rPr>
                <w:noProof/>
                <w:webHidden/>
              </w:rPr>
            </w:r>
            <w:r w:rsidR="00CE7926">
              <w:rPr>
                <w:noProof/>
                <w:webHidden/>
              </w:rPr>
              <w:fldChar w:fldCharType="separate"/>
            </w:r>
            <w:r w:rsidR="00C53998">
              <w:rPr>
                <w:noProof/>
                <w:webHidden/>
              </w:rPr>
              <w:t>1</w:t>
            </w:r>
            <w:r w:rsidR="00CE7926">
              <w:rPr>
                <w:noProof/>
                <w:webHidden/>
              </w:rPr>
              <w:fldChar w:fldCharType="end"/>
            </w:r>
          </w:hyperlink>
        </w:p>
        <w:p w:rsidR="00CE7926" w:rsidRDefault="00861D7A">
          <w:pPr>
            <w:pStyle w:val="TOC1"/>
            <w:tabs>
              <w:tab w:val="left" w:pos="440"/>
              <w:tab w:val="right" w:leader="dot" w:pos="9016"/>
            </w:tabs>
            <w:rPr>
              <w:rFonts w:eastAsiaTheme="minorEastAsia"/>
              <w:noProof/>
              <w:lang w:eastAsia="en-AU"/>
            </w:rPr>
          </w:pPr>
          <w:hyperlink w:anchor="_Toc530563170" w:history="1">
            <w:r w:rsidR="00CE7926" w:rsidRPr="00C83E1E">
              <w:rPr>
                <w:rStyle w:val="Hyperlink"/>
                <w:noProof/>
              </w:rPr>
              <w:t>1.</w:t>
            </w:r>
            <w:r w:rsidR="00CE7926">
              <w:rPr>
                <w:rFonts w:eastAsiaTheme="minorEastAsia"/>
                <w:noProof/>
                <w:lang w:eastAsia="en-AU"/>
              </w:rPr>
              <w:tab/>
            </w:r>
            <w:r w:rsidR="00CE7926" w:rsidRPr="00C83E1E">
              <w:rPr>
                <w:rStyle w:val="Hyperlink"/>
                <w:noProof/>
              </w:rPr>
              <w:t>Introduction</w:t>
            </w:r>
            <w:r w:rsidR="00CE7926">
              <w:rPr>
                <w:noProof/>
                <w:webHidden/>
              </w:rPr>
              <w:tab/>
            </w:r>
            <w:r w:rsidR="00CE7926">
              <w:rPr>
                <w:noProof/>
                <w:webHidden/>
              </w:rPr>
              <w:fldChar w:fldCharType="begin"/>
            </w:r>
            <w:r w:rsidR="00CE7926">
              <w:rPr>
                <w:noProof/>
                <w:webHidden/>
              </w:rPr>
              <w:instrText xml:space="preserve"> PAGEREF _Toc530563170 \h </w:instrText>
            </w:r>
            <w:r w:rsidR="00CE7926">
              <w:rPr>
                <w:noProof/>
                <w:webHidden/>
              </w:rPr>
            </w:r>
            <w:r w:rsidR="00CE7926">
              <w:rPr>
                <w:noProof/>
                <w:webHidden/>
              </w:rPr>
              <w:fldChar w:fldCharType="separate"/>
            </w:r>
            <w:r w:rsidR="00C53998">
              <w:rPr>
                <w:noProof/>
                <w:webHidden/>
              </w:rPr>
              <w:t>5</w:t>
            </w:r>
            <w:r w:rsidR="00CE7926">
              <w:rPr>
                <w:noProof/>
                <w:webHidden/>
              </w:rPr>
              <w:fldChar w:fldCharType="end"/>
            </w:r>
          </w:hyperlink>
        </w:p>
        <w:p w:rsidR="00CE7926" w:rsidRDefault="00861D7A">
          <w:pPr>
            <w:pStyle w:val="TOC1"/>
            <w:tabs>
              <w:tab w:val="left" w:pos="440"/>
              <w:tab w:val="right" w:leader="dot" w:pos="9016"/>
            </w:tabs>
            <w:rPr>
              <w:rFonts w:eastAsiaTheme="minorEastAsia"/>
              <w:noProof/>
              <w:lang w:eastAsia="en-AU"/>
            </w:rPr>
          </w:pPr>
          <w:hyperlink w:anchor="_Toc530563171" w:history="1">
            <w:r w:rsidR="00CE7926" w:rsidRPr="00C83E1E">
              <w:rPr>
                <w:rStyle w:val="Hyperlink"/>
                <w:noProof/>
              </w:rPr>
              <w:t>2.</w:t>
            </w:r>
            <w:r w:rsidR="00CE7926">
              <w:rPr>
                <w:rFonts w:eastAsiaTheme="minorEastAsia"/>
                <w:noProof/>
                <w:lang w:eastAsia="en-AU"/>
              </w:rPr>
              <w:tab/>
            </w:r>
            <w:r w:rsidR="00CE7926" w:rsidRPr="00C83E1E">
              <w:rPr>
                <w:rStyle w:val="Hyperlink"/>
                <w:noProof/>
              </w:rPr>
              <w:t>Overview of this Regulation Impact Statement</w:t>
            </w:r>
            <w:r w:rsidR="00CE7926">
              <w:rPr>
                <w:noProof/>
                <w:webHidden/>
              </w:rPr>
              <w:tab/>
            </w:r>
            <w:r w:rsidR="00CE7926">
              <w:rPr>
                <w:noProof/>
                <w:webHidden/>
              </w:rPr>
              <w:fldChar w:fldCharType="begin"/>
            </w:r>
            <w:r w:rsidR="00CE7926">
              <w:rPr>
                <w:noProof/>
                <w:webHidden/>
              </w:rPr>
              <w:instrText xml:space="preserve"> PAGEREF _Toc530563171 \h </w:instrText>
            </w:r>
            <w:r w:rsidR="00CE7926">
              <w:rPr>
                <w:noProof/>
                <w:webHidden/>
              </w:rPr>
            </w:r>
            <w:r w:rsidR="00CE7926">
              <w:rPr>
                <w:noProof/>
                <w:webHidden/>
              </w:rPr>
              <w:fldChar w:fldCharType="separate"/>
            </w:r>
            <w:r w:rsidR="00C53998">
              <w:rPr>
                <w:noProof/>
                <w:webHidden/>
              </w:rPr>
              <w:t>7</w:t>
            </w:r>
            <w:r w:rsidR="00CE7926">
              <w:rPr>
                <w:noProof/>
                <w:webHidden/>
              </w:rPr>
              <w:fldChar w:fldCharType="end"/>
            </w:r>
          </w:hyperlink>
        </w:p>
        <w:p w:rsidR="00CE7926" w:rsidRDefault="00861D7A">
          <w:pPr>
            <w:pStyle w:val="TOC1"/>
            <w:tabs>
              <w:tab w:val="left" w:pos="440"/>
              <w:tab w:val="right" w:leader="dot" w:pos="9016"/>
            </w:tabs>
            <w:rPr>
              <w:rFonts w:eastAsiaTheme="minorEastAsia"/>
              <w:noProof/>
              <w:lang w:eastAsia="en-AU"/>
            </w:rPr>
          </w:pPr>
          <w:hyperlink w:anchor="_Toc530563172" w:history="1">
            <w:r w:rsidR="00CE7926" w:rsidRPr="00C83E1E">
              <w:rPr>
                <w:rStyle w:val="Hyperlink"/>
                <w:noProof/>
              </w:rPr>
              <w:t>3.</w:t>
            </w:r>
            <w:r w:rsidR="00CE7926">
              <w:rPr>
                <w:rFonts w:eastAsiaTheme="minorEastAsia"/>
                <w:noProof/>
                <w:lang w:eastAsia="en-AU"/>
              </w:rPr>
              <w:tab/>
            </w:r>
            <w:r w:rsidR="00CE7926" w:rsidRPr="00C83E1E">
              <w:rPr>
                <w:rStyle w:val="Hyperlink"/>
                <w:noProof/>
              </w:rPr>
              <w:t>Background</w:t>
            </w:r>
            <w:r w:rsidR="00CE7926">
              <w:rPr>
                <w:noProof/>
                <w:webHidden/>
              </w:rPr>
              <w:tab/>
            </w:r>
            <w:r w:rsidR="00CE7926">
              <w:rPr>
                <w:noProof/>
                <w:webHidden/>
              </w:rPr>
              <w:fldChar w:fldCharType="begin"/>
            </w:r>
            <w:r w:rsidR="00CE7926">
              <w:rPr>
                <w:noProof/>
                <w:webHidden/>
              </w:rPr>
              <w:instrText xml:space="preserve"> PAGEREF _Toc530563172 \h </w:instrText>
            </w:r>
            <w:r w:rsidR="00CE7926">
              <w:rPr>
                <w:noProof/>
                <w:webHidden/>
              </w:rPr>
            </w:r>
            <w:r w:rsidR="00CE7926">
              <w:rPr>
                <w:noProof/>
                <w:webHidden/>
              </w:rPr>
              <w:fldChar w:fldCharType="separate"/>
            </w:r>
            <w:r w:rsidR="00C53998">
              <w:rPr>
                <w:noProof/>
                <w:webHidden/>
              </w:rPr>
              <w:t>8</w:t>
            </w:r>
            <w:r w:rsidR="00CE7926">
              <w:rPr>
                <w:noProof/>
                <w:webHidden/>
              </w:rPr>
              <w:fldChar w:fldCharType="end"/>
            </w:r>
          </w:hyperlink>
        </w:p>
        <w:p w:rsidR="00CE7926" w:rsidRDefault="00861D7A">
          <w:pPr>
            <w:pStyle w:val="TOC1"/>
            <w:tabs>
              <w:tab w:val="left" w:pos="440"/>
              <w:tab w:val="right" w:leader="dot" w:pos="9016"/>
            </w:tabs>
            <w:rPr>
              <w:rFonts w:eastAsiaTheme="minorEastAsia"/>
              <w:noProof/>
              <w:lang w:eastAsia="en-AU"/>
            </w:rPr>
          </w:pPr>
          <w:hyperlink w:anchor="_Toc530563173" w:history="1">
            <w:r w:rsidR="00CE7926" w:rsidRPr="00C83E1E">
              <w:rPr>
                <w:rStyle w:val="Hyperlink"/>
                <w:noProof/>
              </w:rPr>
              <w:t>4.</w:t>
            </w:r>
            <w:r w:rsidR="00CE7926">
              <w:rPr>
                <w:rFonts w:eastAsiaTheme="minorEastAsia"/>
                <w:noProof/>
                <w:lang w:eastAsia="en-AU"/>
              </w:rPr>
              <w:tab/>
            </w:r>
            <w:r w:rsidR="00CE7926" w:rsidRPr="00C83E1E">
              <w:rPr>
                <w:rStyle w:val="Hyperlink"/>
                <w:noProof/>
              </w:rPr>
              <w:t>What is the problem?</w:t>
            </w:r>
            <w:r w:rsidR="00CE7926">
              <w:rPr>
                <w:noProof/>
                <w:webHidden/>
              </w:rPr>
              <w:tab/>
            </w:r>
            <w:r w:rsidR="00CE7926">
              <w:rPr>
                <w:noProof/>
                <w:webHidden/>
              </w:rPr>
              <w:fldChar w:fldCharType="begin"/>
            </w:r>
            <w:r w:rsidR="00CE7926">
              <w:rPr>
                <w:noProof/>
                <w:webHidden/>
              </w:rPr>
              <w:instrText xml:space="preserve"> PAGEREF _Toc530563173 \h </w:instrText>
            </w:r>
            <w:r w:rsidR="00CE7926">
              <w:rPr>
                <w:noProof/>
                <w:webHidden/>
              </w:rPr>
            </w:r>
            <w:r w:rsidR="00CE7926">
              <w:rPr>
                <w:noProof/>
                <w:webHidden/>
              </w:rPr>
              <w:fldChar w:fldCharType="separate"/>
            </w:r>
            <w:r w:rsidR="00C53998">
              <w:rPr>
                <w:noProof/>
                <w:webHidden/>
              </w:rPr>
              <w:t>13</w:t>
            </w:r>
            <w:r w:rsidR="00CE7926">
              <w:rPr>
                <w:noProof/>
                <w:webHidden/>
              </w:rPr>
              <w:fldChar w:fldCharType="end"/>
            </w:r>
          </w:hyperlink>
        </w:p>
        <w:p w:rsidR="00CE7926" w:rsidRDefault="00861D7A">
          <w:pPr>
            <w:pStyle w:val="TOC1"/>
            <w:tabs>
              <w:tab w:val="left" w:pos="440"/>
              <w:tab w:val="right" w:leader="dot" w:pos="9016"/>
            </w:tabs>
            <w:rPr>
              <w:rFonts w:eastAsiaTheme="minorEastAsia"/>
              <w:noProof/>
              <w:lang w:eastAsia="en-AU"/>
            </w:rPr>
          </w:pPr>
          <w:hyperlink w:anchor="_Toc530563174" w:history="1">
            <w:r w:rsidR="00CE7926" w:rsidRPr="00C83E1E">
              <w:rPr>
                <w:rStyle w:val="Hyperlink"/>
                <w:noProof/>
              </w:rPr>
              <w:t>5.</w:t>
            </w:r>
            <w:r w:rsidR="00CE7926">
              <w:rPr>
                <w:rFonts w:eastAsiaTheme="minorEastAsia"/>
                <w:noProof/>
                <w:lang w:eastAsia="en-AU"/>
              </w:rPr>
              <w:tab/>
            </w:r>
            <w:r w:rsidR="00CE7926" w:rsidRPr="00C83E1E">
              <w:rPr>
                <w:rStyle w:val="Hyperlink"/>
                <w:noProof/>
              </w:rPr>
              <w:t>Why is Government Action needed?</w:t>
            </w:r>
            <w:r w:rsidR="00CE7926">
              <w:rPr>
                <w:noProof/>
                <w:webHidden/>
              </w:rPr>
              <w:tab/>
            </w:r>
            <w:r w:rsidR="00CE7926">
              <w:rPr>
                <w:noProof/>
                <w:webHidden/>
              </w:rPr>
              <w:fldChar w:fldCharType="begin"/>
            </w:r>
            <w:r w:rsidR="00CE7926">
              <w:rPr>
                <w:noProof/>
                <w:webHidden/>
              </w:rPr>
              <w:instrText xml:space="preserve"> PAGEREF _Toc530563174 \h </w:instrText>
            </w:r>
            <w:r w:rsidR="00CE7926">
              <w:rPr>
                <w:noProof/>
                <w:webHidden/>
              </w:rPr>
            </w:r>
            <w:r w:rsidR="00CE7926">
              <w:rPr>
                <w:noProof/>
                <w:webHidden/>
              </w:rPr>
              <w:fldChar w:fldCharType="separate"/>
            </w:r>
            <w:r w:rsidR="00C53998">
              <w:rPr>
                <w:noProof/>
                <w:webHidden/>
              </w:rPr>
              <w:t>17</w:t>
            </w:r>
            <w:r w:rsidR="00CE7926">
              <w:rPr>
                <w:noProof/>
                <w:webHidden/>
              </w:rPr>
              <w:fldChar w:fldCharType="end"/>
            </w:r>
          </w:hyperlink>
        </w:p>
        <w:p w:rsidR="00CE7926" w:rsidRDefault="00861D7A">
          <w:pPr>
            <w:pStyle w:val="TOC2"/>
            <w:tabs>
              <w:tab w:val="right" w:leader="dot" w:pos="9016"/>
            </w:tabs>
            <w:rPr>
              <w:rFonts w:eastAsiaTheme="minorEastAsia"/>
              <w:noProof/>
              <w:lang w:eastAsia="en-AU"/>
            </w:rPr>
          </w:pPr>
          <w:hyperlink w:anchor="_Toc530563175" w:history="1">
            <w:r w:rsidR="00CE7926" w:rsidRPr="00C83E1E">
              <w:rPr>
                <w:rStyle w:val="Hyperlink"/>
                <w:rFonts w:ascii="Arial" w:hAnsi="Arial" w:cs="Arial"/>
                <w:noProof/>
              </w:rPr>
              <w:t>Existing coverage of motor vehicle dealers by franchising regulation</w:t>
            </w:r>
            <w:r w:rsidR="00CE7926">
              <w:rPr>
                <w:noProof/>
                <w:webHidden/>
              </w:rPr>
              <w:tab/>
            </w:r>
            <w:r w:rsidR="00CE7926">
              <w:rPr>
                <w:noProof/>
                <w:webHidden/>
              </w:rPr>
              <w:fldChar w:fldCharType="begin"/>
            </w:r>
            <w:r w:rsidR="00CE7926">
              <w:rPr>
                <w:noProof/>
                <w:webHidden/>
              </w:rPr>
              <w:instrText xml:space="preserve"> PAGEREF _Toc530563175 \h </w:instrText>
            </w:r>
            <w:r w:rsidR="00CE7926">
              <w:rPr>
                <w:noProof/>
                <w:webHidden/>
              </w:rPr>
            </w:r>
            <w:r w:rsidR="00CE7926">
              <w:rPr>
                <w:noProof/>
                <w:webHidden/>
              </w:rPr>
              <w:fldChar w:fldCharType="separate"/>
            </w:r>
            <w:r w:rsidR="00C53998">
              <w:rPr>
                <w:noProof/>
                <w:webHidden/>
              </w:rPr>
              <w:t>17</w:t>
            </w:r>
            <w:r w:rsidR="00CE7926">
              <w:rPr>
                <w:noProof/>
                <w:webHidden/>
              </w:rPr>
              <w:fldChar w:fldCharType="end"/>
            </w:r>
          </w:hyperlink>
        </w:p>
        <w:p w:rsidR="00CE7926" w:rsidRDefault="00861D7A">
          <w:pPr>
            <w:pStyle w:val="TOC2"/>
            <w:tabs>
              <w:tab w:val="right" w:leader="dot" w:pos="9016"/>
            </w:tabs>
            <w:rPr>
              <w:rFonts w:eastAsiaTheme="minorEastAsia"/>
              <w:noProof/>
              <w:lang w:eastAsia="en-AU"/>
            </w:rPr>
          </w:pPr>
          <w:hyperlink w:anchor="_Toc530563176" w:history="1">
            <w:r w:rsidR="00CE7926" w:rsidRPr="00C83E1E">
              <w:rPr>
                <w:rStyle w:val="Hyperlink"/>
                <w:rFonts w:ascii="Arial" w:hAnsi="Arial" w:cs="Arial"/>
                <w:noProof/>
              </w:rPr>
              <w:t>Ongoing issues for car dealers</w:t>
            </w:r>
            <w:r w:rsidR="00CE7926">
              <w:rPr>
                <w:noProof/>
                <w:webHidden/>
              </w:rPr>
              <w:tab/>
            </w:r>
            <w:r w:rsidR="00CE7926">
              <w:rPr>
                <w:noProof/>
                <w:webHidden/>
              </w:rPr>
              <w:fldChar w:fldCharType="begin"/>
            </w:r>
            <w:r w:rsidR="00CE7926">
              <w:rPr>
                <w:noProof/>
                <w:webHidden/>
              </w:rPr>
              <w:instrText xml:space="preserve"> PAGEREF _Toc530563176 \h </w:instrText>
            </w:r>
            <w:r w:rsidR="00CE7926">
              <w:rPr>
                <w:noProof/>
                <w:webHidden/>
              </w:rPr>
            </w:r>
            <w:r w:rsidR="00CE7926">
              <w:rPr>
                <w:noProof/>
                <w:webHidden/>
              </w:rPr>
              <w:fldChar w:fldCharType="separate"/>
            </w:r>
            <w:r w:rsidR="00C53998">
              <w:rPr>
                <w:noProof/>
                <w:webHidden/>
              </w:rPr>
              <w:t>18</w:t>
            </w:r>
            <w:r w:rsidR="00CE7926">
              <w:rPr>
                <w:noProof/>
                <w:webHidden/>
              </w:rPr>
              <w:fldChar w:fldCharType="end"/>
            </w:r>
          </w:hyperlink>
        </w:p>
        <w:p w:rsidR="00CE7926" w:rsidRDefault="00861D7A">
          <w:pPr>
            <w:pStyle w:val="TOC1"/>
            <w:tabs>
              <w:tab w:val="left" w:pos="440"/>
              <w:tab w:val="right" w:leader="dot" w:pos="9016"/>
            </w:tabs>
            <w:rPr>
              <w:rFonts w:eastAsiaTheme="minorEastAsia"/>
              <w:noProof/>
              <w:lang w:eastAsia="en-AU"/>
            </w:rPr>
          </w:pPr>
          <w:hyperlink w:anchor="_Toc530563177" w:history="1">
            <w:r w:rsidR="00CE7926" w:rsidRPr="00C83E1E">
              <w:rPr>
                <w:rStyle w:val="Hyperlink"/>
                <w:noProof/>
              </w:rPr>
              <w:t>6.</w:t>
            </w:r>
            <w:r w:rsidR="00CE7926">
              <w:rPr>
                <w:rFonts w:eastAsiaTheme="minorEastAsia"/>
                <w:noProof/>
                <w:lang w:eastAsia="en-AU"/>
              </w:rPr>
              <w:tab/>
            </w:r>
            <w:r w:rsidR="00CE7926" w:rsidRPr="00C83E1E">
              <w:rPr>
                <w:rStyle w:val="Hyperlink"/>
                <w:noProof/>
              </w:rPr>
              <w:t>Options</w:t>
            </w:r>
            <w:r w:rsidR="00CE7926">
              <w:rPr>
                <w:noProof/>
                <w:webHidden/>
              </w:rPr>
              <w:tab/>
            </w:r>
            <w:r w:rsidR="00CE7926">
              <w:rPr>
                <w:noProof/>
                <w:webHidden/>
              </w:rPr>
              <w:fldChar w:fldCharType="begin"/>
            </w:r>
            <w:r w:rsidR="00CE7926">
              <w:rPr>
                <w:noProof/>
                <w:webHidden/>
              </w:rPr>
              <w:instrText xml:space="preserve"> PAGEREF _Toc530563177 \h </w:instrText>
            </w:r>
            <w:r w:rsidR="00CE7926">
              <w:rPr>
                <w:noProof/>
                <w:webHidden/>
              </w:rPr>
            </w:r>
            <w:r w:rsidR="00CE7926">
              <w:rPr>
                <w:noProof/>
                <w:webHidden/>
              </w:rPr>
              <w:fldChar w:fldCharType="separate"/>
            </w:r>
            <w:r w:rsidR="00C53998">
              <w:rPr>
                <w:noProof/>
                <w:webHidden/>
              </w:rPr>
              <w:t>19</w:t>
            </w:r>
            <w:r w:rsidR="00CE7926">
              <w:rPr>
                <w:noProof/>
                <w:webHidden/>
              </w:rPr>
              <w:fldChar w:fldCharType="end"/>
            </w:r>
          </w:hyperlink>
        </w:p>
        <w:p w:rsidR="00CE7926" w:rsidRDefault="00861D7A">
          <w:pPr>
            <w:pStyle w:val="TOC2"/>
            <w:tabs>
              <w:tab w:val="right" w:leader="dot" w:pos="9016"/>
            </w:tabs>
            <w:rPr>
              <w:rFonts w:eastAsiaTheme="minorEastAsia"/>
              <w:noProof/>
              <w:lang w:eastAsia="en-AU"/>
            </w:rPr>
          </w:pPr>
          <w:hyperlink w:anchor="_Toc530563178" w:history="1">
            <w:r w:rsidR="00CE7926" w:rsidRPr="00C83E1E">
              <w:rPr>
                <w:rStyle w:val="Hyperlink"/>
                <w:rFonts w:ascii="Arial" w:hAnsi="Arial" w:cs="Arial"/>
                <w:noProof/>
              </w:rPr>
              <w:t>1 – Status Quo</w:t>
            </w:r>
            <w:r w:rsidR="00CE7926">
              <w:rPr>
                <w:noProof/>
                <w:webHidden/>
              </w:rPr>
              <w:tab/>
            </w:r>
            <w:r w:rsidR="00CE7926">
              <w:rPr>
                <w:noProof/>
                <w:webHidden/>
              </w:rPr>
              <w:fldChar w:fldCharType="begin"/>
            </w:r>
            <w:r w:rsidR="00CE7926">
              <w:rPr>
                <w:noProof/>
                <w:webHidden/>
              </w:rPr>
              <w:instrText xml:space="preserve"> PAGEREF _Toc530563178 \h </w:instrText>
            </w:r>
            <w:r w:rsidR="00CE7926">
              <w:rPr>
                <w:noProof/>
                <w:webHidden/>
              </w:rPr>
            </w:r>
            <w:r w:rsidR="00CE7926">
              <w:rPr>
                <w:noProof/>
                <w:webHidden/>
              </w:rPr>
              <w:fldChar w:fldCharType="separate"/>
            </w:r>
            <w:r w:rsidR="00C53998">
              <w:rPr>
                <w:noProof/>
                <w:webHidden/>
              </w:rPr>
              <w:t>19</w:t>
            </w:r>
            <w:r w:rsidR="00CE7926">
              <w:rPr>
                <w:noProof/>
                <w:webHidden/>
              </w:rPr>
              <w:fldChar w:fldCharType="end"/>
            </w:r>
          </w:hyperlink>
        </w:p>
        <w:p w:rsidR="00CE7926" w:rsidRDefault="00861D7A">
          <w:pPr>
            <w:pStyle w:val="TOC2"/>
            <w:tabs>
              <w:tab w:val="right" w:leader="dot" w:pos="9016"/>
            </w:tabs>
            <w:rPr>
              <w:rFonts w:eastAsiaTheme="minorEastAsia"/>
              <w:noProof/>
              <w:lang w:eastAsia="en-AU"/>
            </w:rPr>
          </w:pPr>
          <w:hyperlink w:anchor="_Toc530563179" w:history="1">
            <w:r w:rsidR="00CE7926" w:rsidRPr="00C83E1E">
              <w:rPr>
                <w:rStyle w:val="Hyperlink"/>
                <w:rFonts w:ascii="Arial" w:hAnsi="Arial" w:cs="Arial"/>
                <w:noProof/>
              </w:rPr>
              <w:t>2 – Regulatory Intervention</w:t>
            </w:r>
            <w:r w:rsidR="00CE7926">
              <w:rPr>
                <w:noProof/>
                <w:webHidden/>
              </w:rPr>
              <w:tab/>
            </w:r>
            <w:r w:rsidR="00CE7926">
              <w:rPr>
                <w:noProof/>
                <w:webHidden/>
              </w:rPr>
              <w:fldChar w:fldCharType="begin"/>
            </w:r>
            <w:r w:rsidR="00CE7926">
              <w:rPr>
                <w:noProof/>
                <w:webHidden/>
              </w:rPr>
              <w:instrText xml:space="preserve"> PAGEREF _Toc530563179 \h </w:instrText>
            </w:r>
            <w:r w:rsidR="00CE7926">
              <w:rPr>
                <w:noProof/>
                <w:webHidden/>
              </w:rPr>
            </w:r>
            <w:r w:rsidR="00CE7926">
              <w:rPr>
                <w:noProof/>
                <w:webHidden/>
              </w:rPr>
              <w:fldChar w:fldCharType="separate"/>
            </w:r>
            <w:r w:rsidR="00C53998">
              <w:rPr>
                <w:noProof/>
                <w:webHidden/>
              </w:rPr>
              <w:t>19</w:t>
            </w:r>
            <w:r w:rsidR="00CE7926">
              <w:rPr>
                <w:noProof/>
                <w:webHidden/>
              </w:rPr>
              <w:fldChar w:fldCharType="end"/>
            </w:r>
          </w:hyperlink>
        </w:p>
        <w:p w:rsidR="00CE7926" w:rsidRDefault="00861D7A">
          <w:pPr>
            <w:pStyle w:val="TOC2"/>
            <w:tabs>
              <w:tab w:val="right" w:leader="dot" w:pos="9016"/>
            </w:tabs>
            <w:rPr>
              <w:rFonts w:eastAsiaTheme="minorEastAsia"/>
              <w:noProof/>
              <w:lang w:eastAsia="en-AU"/>
            </w:rPr>
          </w:pPr>
          <w:hyperlink w:anchor="_Toc530563180" w:history="1">
            <w:r w:rsidR="00CE7926" w:rsidRPr="00C83E1E">
              <w:rPr>
                <w:rStyle w:val="Hyperlink"/>
                <w:rFonts w:ascii="Arial" w:hAnsi="Arial" w:cs="Arial"/>
                <w:noProof/>
              </w:rPr>
              <w:t>3 – Voluntary Code of Conduct</w:t>
            </w:r>
            <w:r w:rsidR="00CE7926">
              <w:rPr>
                <w:noProof/>
                <w:webHidden/>
              </w:rPr>
              <w:tab/>
            </w:r>
            <w:r w:rsidR="00CE7926">
              <w:rPr>
                <w:noProof/>
                <w:webHidden/>
              </w:rPr>
              <w:fldChar w:fldCharType="begin"/>
            </w:r>
            <w:r w:rsidR="00CE7926">
              <w:rPr>
                <w:noProof/>
                <w:webHidden/>
              </w:rPr>
              <w:instrText xml:space="preserve"> PAGEREF _Toc530563180 \h </w:instrText>
            </w:r>
            <w:r w:rsidR="00CE7926">
              <w:rPr>
                <w:noProof/>
                <w:webHidden/>
              </w:rPr>
            </w:r>
            <w:r w:rsidR="00CE7926">
              <w:rPr>
                <w:noProof/>
                <w:webHidden/>
              </w:rPr>
              <w:fldChar w:fldCharType="separate"/>
            </w:r>
            <w:r w:rsidR="00C53998">
              <w:rPr>
                <w:noProof/>
                <w:webHidden/>
              </w:rPr>
              <w:t>35</w:t>
            </w:r>
            <w:r w:rsidR="00CE7926">
              <w:rPr>
                <w:noProof/>
                <w:webHidden/>
              </w:rPr>
              <w:fldChar w:fldCharType="end"/>
            </w:r>
          </w:hyperlink>
        </w:p>
        <w:p w:rsidR="00CE7926" w:rsidRDefault="00861D7A">
          <w:pPr>
            <w:pStyle w:val="TOC3"/>
            <w:tabs>
              <w:tab w:val="right" w:leader="dot" w:pos="9016"/>
            </w:tabs>
            <w:rPr>
              <w:rFonts w:eastAsiaTheme="minorEastAsia"/>
              <w:noProof/>
              <w:lang w:eastAsia="en-AU"/>
            </w:rPr>
          </w:pPr>
          <w:hyperlink w:anchor="_Toc530563181" w:history="1">
            <w:r w:rsidR="00CE7926" w:rsidRPr="00C83E1E">
              <w:rPr>
                <w:rStyle w:val="Hyperlink"/>
                <w:noProof/>
              </w:rPr>
              <w:t>Regulatory burden summary table</w:t>
            </w:r>
            <w:r w:rsidR="00CE7926">
              <w:rPr>
                <w:noProof/>
                <w:webHidden/>
              </w:rPr>
              <w:tab/>
            </w:r>
            <w:r w:rsidR="00CE7926">
              <w:rPr>
                <w:noProof/>
                <w:webHidden/>
              </w:rPr>
              <w:fldChar w:fldCharType="begin"/>
            </w:r>
            <w:r w:rsidR="00CE7926">
              <w:rPr>
                <w:noProof/>
                <w:webHidden/>
              </w:rPr>
              <w:instrText xml:space="preserve"> PAGEREF _Toc530563181 \h </w:instrText>
            </w:r>
            <w:r w:rsidR="00CE7926">
              <w:rPr>
                <w:noProof/>
                <w:webHidden/>
              </w:rPr>
            </w:r>
            <w:r w:rsidR="00CE7926">
              <w:rPr>
                <w:noProof/>
                <w:webHidden/>
              </w:rPr>
              <w:fldChar w:fldCharType="separate"/>
            </w:r>
            <w:r w:rsidR="00C53998">
              <w:rPr>
                <w:noProof/>
                <w:webHidden/>
              </w:rPr>
              <w:t>37</w:t>
            </w:r>
            <w:r w:rsidR="00CE7926">
              <w:rPr>
                <w:noProof/>
                <w:webHidden/>
              </w:rPr>
              <w:fldChar w:fldCharType="end"/>
            </w:r>
          </w:hyperlink>
        </w:p>
        <w:p w:rsidR="00CE7926" w:rsidRDefault="00861D7A">
          <w:pPr>
            <w:pStyle w:val="TOC1"/>
            <w:tabs>
              <w:tab w:val="left" w:pos="440"/>
              <w:tab w:val="right" w:leader="dot" w:pos="9016"/>
            </w:tabs>
            <w:rPr>
              <w:rFonts w:eastAsiaTheme="minorEastAsia"/>
              <w:noProof/>
              <w:lang w:eastAsia="en-AU"/>
            </w:rPr>
          </w:pPr>
          <w:hyperlink w:anchor="_Toc530563182" w:history="1">
            <w:r w:rsidR="00CE7926" w:rsidRPr="00C83E1E">
              <w:rPr>
                <w:rStyle w:val="Hyperlink"/>
                <w:noProof/>
              </w:rPr>
              <w:t>7.</w:t>
            </w:r>
            <w:r w:rsidR="00CE7926">
              <w:rPr>
                <w:rFonts w:eastAsiaTheme="minorEastAsia"/>
                <w:noProof/>
                <w:lang w:eastAsia="en-AU"/>
              </w:rPr>
              <w:tab/>
            </w:r>
            <w:r w:rsidR="00CE7926" w:rsidRPr="00C83E1E">
              <w:rPr>
                <w:rStyle w:val="Hyperlink"/>
                <w:noProof/>
              </w:rPr>
              <w:t>Consultation</w:t>
            </w:r>
            <w:r w:rsidR="00CE7926">
              <w:rPr>
                <w:noProof/>
                <w:webHidden/>
              </w:rPr>
              <w:tab/>
            </w:r>
            <w:r w:rsidR="00CE7926">
              <w:rPr>
                <w:noProof/>
                <w:webHidden/>
              </w:rPr>
              <w:fldChar w:fldCharType="begin"/>
            </w:r>
            <w:r w:rsidR="00CE7926">
              <w:rPr>
                <w:noProof/>
                <w:webHidden/>
              </w:rPr>
              <w:instrText xml:space="preserve"> PAGEREF _Toc530563182 \h </w:instrText>
            </w:r>
            <w:r w:rsidR="00CE7926">
              <w:rPr>
                <w:noProof/>
                <w:webHidden/>
              </w:rPr>
            </w:r>
            <w:r w:rsidR="00CE7926">
              <w:rPr>
                <w:noProof/>
                <w:webHidden/>
              </w:rPr>
              <w:fldChar w:fldCharType="separate"/>
            </w:r>
            <w:r w:rsidR="00C53998">
              <w:rPr>
                <w:noProof/>
                <w:webHidden/>
              </w:rPr>
              <w:t>38</w:t>
            </w:r>
            <w:r w:rsidR="00CE7926">
              <w:rPr>
                <w:noProof/>
                <w:webHidden/>
              </w:rPr>
              <w:fldChar w:fldCharType="end"/>
            </w:r>
          </w:hyperlink>
        </w:p>
        <w:p w:rsidR="00CE7926" w:rsidRDefault="00861D7A">
          <w:pPr>
            <w:pStyle w:val="TOC1"/>
            <w:tabs>
              <w:tab w:val="left" w:pos="440"/>
              <w:tab w:val="right" w:leader="dot" w:pos="9016"/>
            </w:tabs>
            <w:rPr>
              <w:rFonts w:eastAsiaTheme="minorEastAsia"/>
              <w:noProof/>
              <w:lang w:eastAsia="en-AU"/>
            </w:rPr>
          </w:pPr>
          <w:hyperlink w:anchor="_Toc530563183" w:history="1">
            <w:r w:rsidR="00CE7926" w:rsidRPr="00C83E1E">
              <w:rPr>
                <w:rStyle w:val="Hyperlink"/>
                <w:noProof/>
              </w:rPr>
              <w:t>8.</w:t>
            </w:r>
            <w:r w:rsidR="00CE7926">
              <w:rPr>
                <w:rFonts w:eastAsiaTheme="minorEastAsia"/>
                <w:noProof/>
                <w:lang w:eastAsia="en-AU"/>
              </w:rPr>
              <w:tab/>
            </w:r>
            <w:r w:rsidR="00CE7926" w:rsidRPr="00C83E1E">
              <w:rPr>
                <w:rStyle w:val="Hyperlink"/>
                <w:noProof/>
              </w:rPr>
              <w:t>Implementation</w:t>
            </w:r>
            <w:r w:rsidR="00CE7926">
              <w:rPr>
                <w:noProof/>
                <w:webHidden/>
              </w:rPr>
              <w:tab/>
            </w:r>
            <w:r w:rsidR="00CE7926">
              <w:rPr>
                <w:noProof/>
                <w:webHidden/>
              </w:rPr>
              <w:fldChar w:fldCharType="begin"/>
            </w:r>
            <w:r w:rsidR="00CE7926">
              <w:rPr>
                <w:noProof/>
                <w:webHidden/>
              </w:rPr>
              <w:instrText xml:space="preserve"> PAGEREF _Toc530563183 \h </w:instrText>
            </w:r>
            <w:r w:rsidR="00CE7926">
              <w:rPr>
                <w:noProof/>
                <w:webHidden/>
              </w:rPr>
            </w:r>
            <w:r w:rsidR="00CE7926">
              <w:rPr>
                <w:noProof/>
                <w:webHidden/>
              </w:rPr>
              <w:fldChar w:fldCharType="separate"/>
            </w:r>
            <w:r w:rsidR="00C53998">
              <w:rPr>
                <w:noProof/>
                <w:webHidden/>
              </w:rPr>
              <w:t>38</w:t>
            </w:r>
            <w:r w:rsidR="00CE7926">
              <w:rPr>
                <w:noProof/>
                <w:webHidden/>
              </w:rPr>
              <w:fldChar w:fldCharType="end"/>
            </w:r>
          </w:hyperlink>
        </w:p>
        <w:p w:rsidR="00CE7926" w:rsidRDefault="00861D7A">
          <w:pPr>
            <w:pStyle w:val="TOC1"/>
            <w:tabs>
              <w:tab w:val="right" w:leader="dot" w:pos="9016"/>
            </w:tabs>
            <w:rPr>
              <w:rFonts w:eastAsiaTheme="minorEastAsia"/>
              <w:noProof/>
              <w:lang w:eastAsia="en-AU"/>
            </w:rPr>
          </w:pPr>
          <w:hyperlink w:anchor="_Toc530563184" w:history="1">
            <w:r w:rsidR="00CE7926" w:rsidRPr="00C83E1E">
              <w:rPr>
                <w:rStyle w:val="Hyperlink"/>
                <w:noProof/>
              </w:rPr>
              <w:t>Appendix 1: Australian retail automotive industry</w:t>
            </w:r>
            <w:r w:rsidR="00CE7926">
              <w:rPr>
                <w:noProof/>
                <w:webHidden/>
              </w:rPr>
              <w:tab/>
            </w:r>
            <w:r w:rsidR="00CE7926">
              <w:rPr>
                <w:noProof/>
                <w:webHidden/>
              </w:rPr>
              <w:fldChar w:fldCharType="begin"/>
            </w:r>
            <w:r w:rsidR="00CE7926">
              <w:rPr>
                <w:noProof/>
                <w:webHidden/>
              </w:rPr>
              <w:instrText xml:space="preserve"> PAGEREF _Toc530563184 \h </w:instrText>
            </w:r>
            <w:r w:rsidR="00CE7926">
              <w:rPr>
                <w:noProof/>
                <w:webHidden/>
              </w:rPr>
            </w:r>
            <w:r w:rsidR="00CE7926">
              <w:rPr>
                <w:noProof/>
                <w:webHidden/>
              </w:rPr>
              <w:fldChar w:fldCharType="separate"/>
            </w:r>
            <w:r w:rsidR="00C53998">
              <w:rPr>
                <w:noProof/>
                <w:webHidden/>
              </w:rPr>
              <w:t>41</w:t>
            </w:r>
            <w:r w:rsidR="00CE7926">
              <w:rPr>
                <w:noProof/>
                <w:webHidden/>
              </w:rPr>
              <w:fldChar w:fldCharType="end"/>
            </w:r>
          </w:hyperlink>
        </w:p>
        <w:p w:rsidR="00CE7926" w:rsidRDefault="00861D7A">
          <w:pPr>
            <w:pStyle w:val="TOC1"/>
            <w:tabs>
              <w:tab w:val="right" w:leader="dot" w:pos="9016"/>
            </w:tabs>
            <w:rPr>
              <w:rFonts w:eastAsiaTheme="minorEastAsia"/>
              <w:noProof/>
              <w:lang w:eastAsia="en-AU"/>
            </w:rPr>
          </w:pPr>
          <w:hyperlink w:anchor="_Toc530563185" w:history="1">
            <w:r w:rsidR="00CE7926" w:rsidRPr="00C83E1E">
              <w:rPr>
                <w:rStyle w:val="Hyperlink"/>
                <w:noProof/>
              </w:rPr>
              <w:t>Appendix 2: Franchising Code obligations</w:t>
            </w:r>
            <w:r w:rsidR="00CE7926">
              <w:rPr>
                <w:noProof/>
                <w:webHidden/>
              </w:rPr>
              <w:tab/>
            </w:r>
            <w:r w:rsidR="00CE7926">
              <w:rPr>
                <w:noProof/>
                <w:webHidden/>
              </w:rPr>
              <w:fldChar w:fldCharType="begin"/>
            </w:r>
            <w:r w:rsidR="00CE7926">
              <w:rPr>
                <w:noProof/>
                <w:webHidden/>
              </w:rPr>
              <w:instrText xml:space="preserve"> PAGEREF _Toc530563185 \h </w:instrText>
            </w:r>
            <w:r w:rsidR="00CE7926">
              <w:rPr>
                <w:noProof/>
                <w:webHidden/>
              </w:rPr>
            </w:r>
            <w:r w:rsidR="00CE7926">
              <w:rPr>
                <w:noProof/>
                <w:webHidden/>
              </w:rPr>
              <w:fldChar w:fldCharType="separate"/>
            </w:r>
            <w:r w:rsidR="00C53998">
              <w:rPr>
                <w:noProof/>
                <w:webHidden/>
              </w:rPr>
              <w:t>44</w:t>
            </w:r>
            <w:r w:rsidR="00CE7926">
              <w:rPr>
                <w:noProof/>
                <w:webHidden/>
              </w:rPr>
              <w:fldChar w:fldCharType="end"/>
            </w:r>
          </w:hyperlink>
        </w:p>
        <w:p w:rsidR="002E5FF1" w:rsidRDefault="002E5FF1" w:rsidP="002E5FF1">
          <w:pPr>
            <w:rPr>
              <w:b/>
              <w:bCs/>
              <w:noProof/>
            </w:rPr>
          </w:pPr>
          <w:r>
            <w:rPr>
              <w:b/>
              <w:bCs/>
              <w:noProof/>
            </w:rPr>
            <w:fldChar w:fldCharType="end"/>
          </w:r>
        </w:p>
      </w:sdtContent>
    </w:sdt>
    <w:p w:rsidR="009D437B" w:rsidRDefault="000442FD" w:rsidP="002E5FF1">
      <w:r>
        <w:br w:type="page"/>
      </w:r>
    </w:p>
    <w:p w:rsidR="00F070D2" w:rsidRDefault="11FF59B9" w:rsidP="11FF59B9">
      <w:pPr>
        <w:pStyle w:val="Heading1"/>
        <w:numPr>
          <w:ilvl w:val="0"/>
          <w:numId w:val="2"/>
        </w:numPr>
        <w:rPr>
          <w:color w:val="005677"/>
        </w:rPr>
      </w:pPr>
      <w:bookmarkStart w:id="8" w:name="_Toc529891238"/>
      <w:bookmarkStart w:id="9" w:name="_Toc529891256"/>
      <w:bookmarkStart w:id="10" w:name="_Toc530493123"/>
      <w:bookmarkStart w:id="11" w:name="_Toc530493178"/>
      <w:bookmarkStart w:id="12" w:name="_Toc530563044"/>
      <w:bookmarkStart w:id="13" w:name="_Toc530563170"/>
      <w:r w:rsidRPr="11FF59B9">
        <w:rPr>
          <w:color w:val="005677"/>
        </w:rPr>
        <w:t>Introduction</w:t>
      </w:r>
      <w:bookmarkEnd w:id="8"/>
      <w:bookmarkEnd w:id="9"/>
      <w:bookmarkEnd w:id="10"/>
      <w:bookmarkEnd w:id="11"/>
      <w:bookmarkEnd w:id="12"/>
      <w:bookmarkEnd w:id="13"/>
    </w:p>
    <w:p w:rsidR="003521E4" w:rsidRDefault="11FF59B9" w:rsidP="11FF59B9">
      <w:pPr>
        <w:spacing w:before="240" w:line="360" w:lineRule="auto"/>
        <w:jc w:val="both"/>
        <w:rPr>
          <w:rFonts w:ascii="Arial" w:hAnsi="Arial" w:cs="Arial"/>
        </w:rPr>
      </w:pPr>
      <w:r w:rsidRPr="11FF59B9">
        <w:rPr>
          <w:rFonts w:ascii="Arial" w:hAnsi="Arial" w:cs="Arial"/>
        </w:rPr>
        <w:t xml:space="preserve">In </w:t>
      </w:r>
      <w:r w:rsidR="00D916BE">
        <w:rPr>
          <w:rFonts w:ascii="Arial" w:hAnsi="Arial" w:cs="Arial"/>
        </w:rPr>
        <w:t>its</w:t>
      </w:r>
      <w:r w:rsidRPr="11FF59B9">
        <w:rPr>
          <w:rFonts w:ascii="Arial" w:hAnsi="Arial" w:cs="Arial"/>
        </w:rPr>
        <w:t xml:space="preserve"> 2017 market study of new car retailing (market study), the </w:t>
      </w:r>
      <w:r w:rsidR="00D916BE">
        <w:rPr>
          <w:rFonts w:ascii="Arial" w:hAnsi="Arial" w:cs="Arial"/>
        </w:rPr>
        <w:t>Australian Competition and Consumer Commission</w:t>
      </w:r>
      <w:r w:rsidRPr="11FF59B9">
        <w:rPr>
          <w:rFonts w:ascii="Arial" w:hAnsi="Arial" w:cs="Arial"/>
        </w:rPr>
        <w:t xml:space="preserve"> </w:t>
      </w:r>
      <w:r w:rsidR="000365C7">
        <w:rPr>
          <w:rFonts w:ascii="Arial" w:hAnsi="Arial" w:cs="Arial"/>
        </w:rPr>
        <w:t>(ACCC)</w:t>
      </w:r>
      <w:bookmarkStart w:id="14" w:name="_Ref529871249"/>
      <w:r w:rsidR="00CF56B4">
        <w:rPr>
          <w:rStyle w:val="FootnoteReference"/>
          <w:rFonts w:ascii="Arial" w:hAnsi="Arial" w:cs="Arial"/>
        </w:rPr>
        <w:footnoteReference w:id="2"/>
      </w:r>
      <w:bookmarkEnd w:id="14"/>
      <w:r w:rsidR="000365C7">
        <w:rPr>
          <w:rFonts w:ascii="Arial" w:hAnsi="Arial" w:cs="Arial"/>
        </w:rPr>
        <w:t xml:space="preserve"> </w:t>
      </w:r>
      <w:r w:rsidRPr="11FF59B9">
        <w:rPr>
          <w:rFonts w:ascii="Arial" w:hAnsi="Arial" w:cs="Arial"/>
        </w:rPr>
        <w:t>made a number of recommendations aimed at addressing concerns within the new car retailing market which were leading to suboptimal outcomes for consumers and hindering effective competition.</w:t>
      </w:r>
    </w:p>
    <w:p w:rsidR="00495064" w:rsidRPr="00495064" w:rsidRDefault="11FF59B9" w:rsidP="11FF59B9">
      <w:pPr>
        <w:spacing w:before="240" w:line="360" w:lineRule="auto"/>
        <w:jc w:val="both"/>
        <w:rPr>
          <w:rFonts w:ascii="Arial" w:hAnsi="Arial" w:cs="Arial"/>
        </w:rPr>
      </w:pPr>
      <w:r w:rsidRPr="11FF59B9">
        <w:rPr>
          <w:rFonts w:ascii="Arial" w:hAnsi="Arial" w:cs="Arial"/>
        </w:rPr>
        <w:t>As part of its market study, the ACCC examined the interrelationships between the three key groups of entities in the car retailing supply chain – large multi-national car manufacturers (who are often represented by locally based distributors); new car dealers</w:t>
      </w:r>
      <w:r w:rsidR="00F75F49">
        <w:rPr>
          <w:rFonts w:ascii="Arial" w:hAnsi="Arial" w:cs="Arial"/>
        </w:rPr>
        <w:t>;</w:t>
      </w:r>
      <w:r w:rsidRPr="11FF59B9">
        <w:rPr>
          <w:rFonts w:ascii="Arial" w:hAnsi="Arial" w:cs="Arial"/>
        </w:rPr>
        <w:t xml:space="preserve"> and independent businesses that service and repair cars</w:t>
      </w:r>
      <w:r w:rsidR="00664AFF">
        <w:rPr>
          <w:rFonts w:ascii="Arial" w:hAnsi="Arial" w:cs="Arial"/>
        </w:rPr>
        <w:t xml:space="preserve"> </w:t>
      </w:r>
      <w:r w:rsidR="00664AFF" w:rsidRPr="008C4A31">
        <w:rPr>
          <w:rFonts w:ascii="Arial" w:hAnsi="Arial" w:cs="Arial"/>
        </w:rPr>
        <w:t xml:space="preserve">(the Australian car retailing industry is </w:t>
      </w:r>
      <w:r w:rsidR="00A739D5" w:rsidRPr="008C4A31">
        <w:rPr>
          <w:rFonts w:ascii="Arial" w:hAnsi="Arial" w:cs="Arial"/>
        </w:rPr>
        <w:t xml:space="preserve">further discussed </w:t>
      </w:r>
      <w:r w:rsidR="00664AFF" w:rsidRPr="008C4A31">
        <w:rPr>
          <w:rFonts w:ascii="Arial" w:hAnsi="Arial" w:cs="Arial"/>
        </w:rPr>
        <w:t>at Appendix 1)</w:t>
      </w:r>
      <w:r w:rsidRPr="008C4A31">
        <w:rPr>
          <w:rFonts w:ascii="Arial" w:hAnsi="Arial" w:cs="Arial"/>
        </w:rPr>
        <w:t>.</w:t>
      </w:r>
      <w:r w:rsidR="00CF56B4" w:rsidRPr="008C4A31">
        <w:rPr>
          <w:rStyle w:val="FootnoteReference"/>
          <w:rFonts w:ascii="Arial" w:hAnsi="Arial" w:cs="Arial"/>
        </w:rPr>
        <w:footnoteReference w:id="3"/>
      </w:r>
      <w:r w:rsidRPr="008C4A31">
        <w:rPr>
          <w:rFonts w:ascii="Arial" w:hAnsi="Arial" w:cs="Arial"/>
        </w:rPr>
        <w:t xml:space="preserve"> The ACCC noted that</w:t>
      </w:r>
      <w:r w:rsidRPr="11FF59B9">
        <w:rPr>
          <w:rFonts w:ascii="Arial" w:hAnsi="Arial" w:cs="Arial"/>
        </w:rPr>
        <w:t xml:space="preserve"> some of the competition concerns within the new car retailing market stem from the power imbalance in the commercial relationships between the large car manufacturers and the other two groups of entities – new car dealers and independent repairers.</w:t>
      </w:r>
      <w:r w:rsidR="00D15CA2">
        <w:rPr>
          <w:rStyle w:val="FootnoteReference"/>
          <w:rFonts w:ascii="Arial" w:hAnsi="Arial" w:cs="Arial"/>
        </w:rPr>
        <w:footnoteReference w:id="4"/>
      </w:r>
      <w:r w:rsidRPr="11FF59B9">
        <w:rPr>
          <w:rFonts w:ascii="Arial" w:hAnsi="Arial" w:cs="Arial"/>
        </w:rPr>
        <w:t xml:space="preserve"> </w:t>
      </w:r>
    </w:p>
    <w:p w:rsidR="00495064" w:rsidRPr="00495064" w:rsidRDefault="11FF59B9" w:rsidP="11FF59B9">
      <w:pPr>
        <w:spacing w:before="240" w:line="360" w:lineRule="auto"/>
        <w:jc w:val="both"/>
        <w:rPr>
          <w:rFonts w:ascii="Arial" w:hAnsi="Arial" w:cs="Arial"/>
        </w:rPr>
      </w:pPr>
      <w:r w:rsidRPr="11FF59B9">
        <w:rPr>
          <w:rFonts w:ascii="Arial" w:hAnsi="Arial" w:cs="Arial"/>
        </w:rPr>
        <w:t>Firstly, while voluntary commitments had been made by car manufacturers to provide independent repairers with the same technical information to repair and service new cars that they provide to their dealers, there are problems with the breadth, depth and timeliness of the information offered.</w:t>
      </w:r>
      <w:r w:rsidR="004968F7">
        <w:rPr>
          <w:rStyle w:val="FootnoteReference"/>
          <w:rFonts w:ascii="Arial" w:hAnsi="Arial" w:cs="Arial"/>
        </w:rPr>
        <w:footnoteReference w:id="5"/>
      </w:r>
      <w:r w:rsidRPr="11FF59B9">
        <w:rPr>
          <w:rFonts w:ascii="Arial" w:hAnsi="Arial" w:cs="Arial"/>
        </w:rPr>
        <w:t xml:space="preserve"> Given this, the ACCC supported a mandatory scheme to compel car manufacturers to provide independent repairers equivalent service and repair information (mandatory information sharing).</w:t>
      </w:r>
      <w:r w:rsidR="00AE195F">
        <w:rPr>
          <w:rStyle w:val="FootnoteReference"/>
          <w:rFonts w:ascii="Arial" w:hAnsi="Arial" w:cs="Arial"/>
        </w:rPr>
        <w:footnoteReference w:id="6"/>
      </w:r>
      <w:r w:rsidRPr="11FF59B9">
        <w:rPr>
          <w:rFonts w:ascii="Arial" w:hAnsi="Arial" w:cs="Arial"/>
        </w:rPr>
        <w:t xml:space="preserve"> </w:t>
      </w:r>
    </w:p>
    <w:p w:rsidR="001B585A" w:rsidRDefault="11FF59B9" w:rsidP="11FF59B9">
      <w:pPr>
        <w:spacing w:before="240" w:line="360" w:lineRule="auto"/>
        <w:jc w:val="both"/>
        <w:rPr>
          <w:rFonts w:ascii="Arial" w:hAnsi="Arial" w:cs="Arial"/>
        </w:rPr>
      </w:pPr>
      <w:r w:rsidRPr="11FF59B9">
        <w:rPr>
          <w:rFonts w:ascii="Arial" w:hAnsi="Arial" w:cs="Arial"/>
        </w:rPr>
        <w:t>Secondly, while the Australian Consumer Law (ACL) provides protections to consumers through the consumer guarantees provisions, there are a number of systemic problems in the new car industry preventing consumers from obtaining the remedies to which they are entitled.</w:t>
      </w:r>
      <w:r w:rsidR="005E5163">
        <w:rPr>
          <w:rStyle w:val="FootnoteReference"/>
          <w:rFonts w:ascii="Arial" w:hAnsi="Arial" w:cs="Arial"/>
        </w:rPr>
        <w:footnoteReference w:id="7"/>
      </w:r>
      <w:r w:rsidRPr="11FF59B9">
        <w:rPr>
          <w:rFonts w:ascii="Arial" w:hAnsi="Arial" w:cs="Arial"/>
        </w:rPr>
        <w:t xml:space="preserve"> One of which is the power imbalance between car manufacturers and their dealers</w:t>
      </w:r>
      <w:r w:rsidR="00B5273B">
        <w:rPr>
          <w:rFonts w:ascii="Arial" w:hAnsi="Arial" w:cs="Arial"/>
        </w:rPr>
        <w:t>,</w:t>
      </w:r>
      <w:r w:rsidRPr="11FF59B9">
        <w:rPr>
          <w:rFonts w:ascii="Arial" w:hAnsi="Arial" w:cs="Arial"/>
        </w:rPr>
        <w:t xml:space="preserve"> in favour of the car manufacturer</w:t>
      </w:r>
      <w:r w:rsidR="00B5273B">
        <w:rPr>
          <w:rFonts w:ascii="Arial" w:hAnsi="Arial" w:cs="Arial"/>
        </w:rPr>
        <w:t>,</w:t>
      </w:r>
      <w:r w:rsidRPr="11FF59B9">
        <w:rPr>
          <w:rFonts w:ascii="Arial" w:hAnsi="Arial" w:cs="Arial"/>
        </w:rPr>
        <w:t xml:space="preserve"> which means that car manufacturers are able to impose commercial terms on dealers which make it difficult for dealers to provide satisfactory outcomes for consumers.</w:t>
      </w:r>
      <w:r w:rsidR="00A37AC1">
        <w:rPr>
          <w:rStyle w:val="FootnoteReference"/>
          <w:rFonts w:ascii="Arial" w:hAnsi="Arial" w:cs="Arial"/>
        </w:rPr>
        <w:footnoteReference w:id="8"/>
      </w:r>
      <w:r w:rsidRPr="11FF59B9">
        <w:rPr>
          <w:rFonts w:ascii="Arial" w:hAnsi="Arial" w:cs="Arial"/>
        </w:rPr>
        <w:t xml:space="preserve"> The ACCC also recommended that other issues raised by dealers relating to the imbalance of power in their commercial arrangements with manufacturers, such as insecure tenure and significant capital outlays expected of dealers, be examined further.</w:t>
      </w:r>
      <w:r w:rsidR="0078764D">
        <w:rPr>
          <w:rStyle w:val="FootnoteReference"/>
          <w:rFonts w:ascii="Arial" w:hAnsi="Arial" w:cs="Arial"/>
        </w:rPr>
        <w:footnoteReference w:id="9"/>
      </w:r>
    </w:p>
    <w:p w:rsidR="00A671C6" w:rsidRDefault="11FF59B9" w:rsidP="11FF59B9">
      <w:pPr>
        <w:spacing w:before="240" w:line="360" w:lineRule="auto"/>
        <w:jc w:val="both"/>
        <w:rPr>
          <w:rFonts w:ascii="Arial" w:hAnsi="Arial" w:cs="Arial"/>
        </w:rPr>
      </w:pPr>
      <w:r w:rsidRPr="11FF59B9">
        <w:rPr>
          <w:rFonts w:ascii="Arial" w:hAnsi="Arial" w:cs="Arial"/>
        </w:rPr>
        <w:t xml:space="preserve">In line with the ACCC’s findings, the Government has committed to </w:t>
      </w:r>
      <w:r w:rsidR="001A6563">
        <w:rPr>
          <w:rFonts w:ascii="Arial" w:hAnsi="Arial" w:cs="Arial"/>
        </w:rPr>
        <w:t xml:space="preserve">a </w:t>
      </w:r>
      <w:r w:rsidRPr="11FF59B9">
        <w:rPr>
          <w:rFonts w:ascii="Arial" w:hAnsi="Arial" w:cs="Arial"/>
        </w:rPr>
        <w:t>mandatory information sharing between car manufacturers and independent repairers, with Treasury leading the process.</w:t>
      </w:r>
      <w:r w:rsidR="001A6563">
        <w:rPr>
          <w:rFonts w:ascii="Arial" w:hAnsi="Arial" w:cs="Arial"/>
        </w:rPr>
        <w:t xml:space="preserve"> T</w:t>
      </w:r>
      <w:r w:rsidRPr="11FF59B9">
        <w:rPr>
          <w:rFonts w:ascii="Arial" w:hAnsi="Arial" w:cs="Arial"/>
        </w:rPr>
        <w:t xml:space="preserve">he Government has also </w:t>
      </w:r>
      <w:r w:rsidR="00475BC8">
        <w:rPr>
          <w:rFonts w:ascii="Arial" w:hAnsi="Arial" w:cs="Arial"/>
        </w:rPr>
        <w:t>been consulting with the sector on</w:t>
      </w:r>
      <w:r w:rsidRPr="11FF59B9">
        <w:rPr>
          <w:rFonts w:ascii="Arial" w:hAnsi="Arial" w:cs="Arial"/>
        </w:rPr>
        <w:t xml:space="preserve"> how best to address </w:t>
      </w:r>
      <w:r w:rsidR="006E6C4F">
        <w:rPr>
          <w:rFonts w:ascii="Arial" w:hAnsi="Arial" w:cs="Arial"/>
        </w:rPr>
        <w:t xml:space="preserve">power imbalance </w:t>
      </w:r>
      <w:r w:rsidRPr="11FF59B9">
        <w:rPr>
          <w:rFonts w:ascii="Arial" w:hAnsi="Arial" w:cs="Arial"/>
        </w:rPr>
        <w:t>concerns with the commercial relationships between car manufacturers, as franchisors and new car dealers, as franchisees. While there are other franchise arrangements in the automotive sector, for example, some service and repair brands operate under franchise arrangements, only the arrangements between new car dealers and manufacturers are being considered in this Regulation Impact Statement</w:t>
      </w:r>
      <w:r w:rsidR="00664AFF">
        <w:rPr>
          <w:rFonts w:ascii="Arial" w:hAnsi="Arial" w:cs="Arial"/>
        </w:rPr>
        <w:t xml:space="preserve"> (RIS)</w:t>
      </w:r>
      <w:r w:rsidRPr="11FF59B9">
        <w:rPr>
          <w:rFonts w:ascii="Arial" w:hAnsi="Arial" w:cs="Arial"/>
        </w:rPr>
        <w:t xml:space="preserve">. </w:t>
      </w:r>
      <w:r w:rsidR="00DD3AA8">
        <w:rPr>
          <w:rFonts w:ascii="Arial" w:hAnsi="Arial" w:cs="Arial"/>
        </w:rPr>
        <w:t>The scope of the coverage of the franchising arrangements within the automotive sector is discussed further at Chapter 8.</w:t>
      </w:r>
    </w:p>
    <w:p w:rsidR="00A671C6" w:rsidRPr="00B12C3D" w:rsidRDefault="11FF59B9" w:rsidP="11FF59B9">
      <w:pPr>
        <w:spacing w:before="240" w:line="360" w:lineRule="auto"/>
        <w:jc w:val="both"/>
        <w:rPr>
          <w:rFonts w:ascii="Arial" w:hAnsi="Arial" w:cs="Arial"/>
          <w:highlight w:val="yellow"/>
        </w:rPr>
      </w:pPr>
      <w:r w:rsidRPr="11FF59B9">
        <w:rPr>
          <w:rFonts w:ascii="Arial" w:hAnsi="Arial" w:cs="Arial"/>
        </w:rPr>
        <w:t>The franchising relationship between car manufacturers and dealers is subject to the Franchising Code</w:t>
      </w:r>
      <w:bookmarkStart w:id="15" w:name="_Ref530473299"/>
      <w:r w:rsidR="00AD7C59">
        <w:rPr>
          <w:rStyle w:val="FootnoteReference"/>
          <w:rFonts w:ascii="Arial" w:hAnsi="Arial" w:cs="Arial"/>
        </w:rPr>
        <w:footnoteReference w:id="10"/>
      </w:r>
      <w:bookmarkEnd w:id="15"/>
      <w:r w:rsidRPr="11FF59B9">
        <w:rPr>
          <w:rFonts w:ascii="Arial" w:hAnsi="Arial" w:cs="Arial"/>
        </w:rPr>
        <w:t xml:space="preserve">, a mandatory code under the </w:t>
      </w:r>
      <w:r w:rsidRPr="11FF59B9">
        <w:rPr>
          <w:rFonts w:ascii="Arial" w:hAnsi="Arial" w:cs="Arial"/>
          <w:i/>
          <w:iCs/>
        </w:rPr>
        <w:t>Competition and Consumer Act 2010</w:t>
      </w:r>
      <w:r w:rsidR="004A6C2B">
        <w:rPr>
          <w:rFonts w:ascii="Arial" w:hAnsi="Arial" w:cs="Arial"/>
          <w:i/>
          <w:iCs/>
        </w:rPr>
        <w:t xml:space="preserve"> </w:t>
      </w:r>
      <w:r w:rsidR="004A6C2B">
        <w:rPr>
          <w:rFonts w:ascii="Arial" w:hAnsi="Arial" w:cs="Arial"/>
          <w:iCs/>
        </w:rPr>
        <w:t>(CCA)</w:t>
      </w:r>
      <w:r w:rsidRPr="11FF59B9">
        <w:rPr>
          <w:rFonts w:ascii="Arial" w:hAnsi="Arial" w:cs="Arial"/>
        </w:rPr>
        <w:t xml:space="preserve">. The Parliamentary Joint Committee on Corporations and Financial Services is currently undertaking an Inquiry into the operation and effectiveness of the Franchising Code with a report due on </w:t>
      </w:r>
      <w:r w:rsidR="001F501A">
        <w:rPr>
          <w:rFonts w:ascii="Arial" w:hAnsi="Arial" w:cs="Arial"/>
        </w:rPr>
        <w:t>14 February 2019</w:t>
      </w:r>
      <w:r w:rsidR="00E03D69">
        <w:rPr>
          <w:rFonts w:ascii="Arial" w:hAnsi="Arial" w:cs="Arial"/>
        </w:rPr>
        <w:t xml:space="preserve"> (PJC Inquiry)</w:t>
      </w:r>
      <w:r w:rsidR="004D0831">
        <w:rPr>
          <w:rFonts w:ascii="Arial" w:hAnsi="Arial" w:cs="Arial"/>
        </w:rPr>
        <w:t>.</w:t>
      </w:r>
      <w:r w:rsidRPr="11FF59B9">
        <w:rPr>
          <w:rFonts w:ascii="Arial" w:hAnsi="Arial" w:cs="Arial"/>
        </w:rPr>
        <w:t xml:space="preserve"> The PJC </w:t>
      </w:r>
      <w:r w:rsidR="004D0831">
        <w:rPr>
          <w:rFonts w:ascii="Arial" w:hAnsi="Arial" w:cs="Arial"/>
        </w:rPr>
        <w:t>I</w:t>
      </w:r>
      <w:r w:rsidRPr="11FF59B9">
        <w:rPr>
          <w:rFonts w:ascii="Arial" w:hAnsi="Arial" w:cs="Arial"/>
        </w:rPr>
        <w:t xml:space="preserve">nquiry received submissions and heard from automotive industry stakeholders so </w:t>
      </w:r>
      <w:r w:rsidRPr="00205F94">
        <w:rPr>
          <w:rFonts w:ascii="Arial" w:hAnsi="Arial" w:cs="Arial"/>
        </w:rPr>
        <w:t>may</w:t>
      </w:r>
      <w:r w:rsidR="00475BC8">
        <w:rPr>
          <w:rFonts w:ascii="Arial" w:hAnsi="Arial" w:cs="Arial"/>
        </w:rPr>
        <w:t xml:space="preserve"> make</w:t>
      </w:r>
      <w:r w:rsidRPr="11FF59B9">
        <w:rPr>
          <w:rFonts w:ascii="Arial" w:hAnsi="Arial" w:cs="Arial"/>
        </w:rPr>
        <w:t xml:space="preserve"> recommend</w:t>
      </w:r>
      <w:r w:rsidR="00475BC8">
        <w:rPr>
          <w:rFonts w:ascii="Arial" w:hAnsi="Arial" w:cs="Arial"/>
        </w:rPr>
        <w:t>ations relevant to the issues covered in this RIS.</w:t>
      </w:r>
      <w:r w:rsidRPr="11FF59B9">
        <w:rPr>
          <w:rFonts w:ascii="Arial" w:hAnsi="Arial" w:cs="Arial"/>
        </w:rPr>
        <w:t xml:space="preserve"> </w:t>
      </w:r>
    </w:p>
    <w:p w:rsidR="00A671C6" w:rsidRDefault="11FF59B9" w:rsidP="11FF59B9">
      <w:pPr>
        <w:spacing w:before="240" w:line="360" w:lineRule="auto"/>
        <w:jc w:val="both"/>
        <w:rPr>
          <w:rFonts w:ascii="Arial" w:hAnsi="Arial" w:cs="Arial"/>
        </w:rPr>
      </w:pPr>
      <w:r w:rsidRPr="11FF59B9">
        <w:rPr>
          <w:rFonts w:ascii="Arial" w:hAnsi="Arial" w:cs="Arial"/>
        </w:rPr>
        <w:t xml:space="preserve">If </w:t>
      </w:r>
      <w:r w:rsidR="002202E8">
        <w:rPr>
          <w:rFonts w:ascii="Arial" w:hAnsi="Arial" w:cs="Arial"/>
        </w:rPr>
        <w:t xml:space="preserve">a </w:t>
      </w:r>
      <w:r w:rsidR="00EA4A48">
        <w:rPr>
          <w:rFonts w:ascii="Arial" w:hAnsi="Arial" w:cs="Arial"/>
        </w:rPr>
        <w:t xml:space="preserve">separate </w:t>
      </w:r>
      <w:r w:rsidR="00EA4A48" w:rsidRPr="11FF59B9">
        <w:rPr>
          <w:rFonts w:ascii="Arial" w:hAnsi="Arial" w:cs="Arial"/>
        </w:rPr>
        <w:t>Automotive</w:t>
      </w:r>
      <w:r w:rsidRPr="11FF59B9">
        <w:rPr>
          <w:rFonts w:ascii="Arial" w:hAnsi="Arial" w:cs="Arial"/>
        </w:rPr>
        <w:t xml:space="preserve"> Code is </w:t>
      </w:r>
      <w:r w:rsidR="00E93E52">
        <w:rPr>
          <w:rFonts w:ascii="Arial" w:hAnsi="Arial" w:cs="Arial"/>
        </w:rPr>
        <w:t>implemented</w:t>
      </w:r>
      <w:r w:rsidR="00E93E52" w:rsidRPr="11FF59B9">
        <w:rPr>
          <w:rFonts w:ascii="Arial" w:hAnsi="Arial" w:cs="Arial"/>
        </w:rPr>
        <w:t xml:space="preserve"> </w:t>
      </w:r>
      <w:r w:rsidRPr="11FF59B9">
        <w:rPr>
          <w:rFonts w:ascii="Arial" w:hAnsi="Arial" w:cs="Arial"/>
        </w:rPr>
        <w:t>to govern franchising relationships between car manufacturers and new car dealers, then the Franchising Code would cease to apply to dealings between car manufacturers and new car dealers since the Franchising Code only operates where an industry-specific mandatory code does not exist.</w:t>
      </w:r>
    </w:p>
    <w:p w:rsidR="00E06330" w:rsidRDefault="00EA4A48" w:rsidP="11FF59B9">
      <w:pPr>
        <w:spacing w:before="240" w:line="360" w:lineRule="auto"/>
        <w:jc w:val="both"/>
        <w:rPr>
          <w:rFonts w:ascii="Arial" w:hAnsi="Arial" w:cs="Arial"/>
        </w:rPr>
      </w:pPr>
      <w:r>
        <w:rPr>
          <w:rFonts w:ascii="Arial" w:hAnsi="Arial" w:cs="Arial"/>
        </w:rPr>
        <w:t xml:space="preserve">This RIS identifies </w:t>
      </w:r>
      <w:r w:rsidR="006E2667">
        <w:rPr>
          <w:rFonts w:ascii="Arial" w:hAnsi="Arial" w:cs="Arial"/>
        </w:rPr>
        <w:t>four</w:t>
      </w:r>
      <w:r>
        <w:rPr>
          <w:rFonts w:ascii="Arial" w:hAnsi="Arial" w:cs="Arial"/>
        </w:rPr>
        <w:t xml:space="preserve"> options as having a positive net benefit</w:t>
      </w:r>
      <w:r w:rsidR="00976888">
        <w:rPr>
          <w:rFonts w:ascii="Arial" w:hAnsi="Arial" w:cs="Arial"/>
        </w:rPr>
        <w:t>, which together are likely to address the identified problems in the new car retailing sector</w:t>
      </w:r>
      <w:r>
        <w:rPr>
          <w:rFonts w:ascii="Arial" w:hAnsi="Arial" w:cs="Arial"/>
        </w:rPr>
        <w:t>:</w:t>
      </w:r>
    </w:p>
    <w:p w:rsidR="00EA4A48" w:rsidRPr="006E6C4F" w:rsidDel="00E06330" w:rsidRDefault="00EA4A48" w:rsidP="00EA4A48">
      <w:pPr>
        <w:pStyle w:val="ListParagraph"/>
        <w:numPr>
          <w:ilvl w:val="0"/>
          <w:numId w:val="22"/>
        </w:numPr>
        <w:spacing w:before="240" w:line="360" w:lineRule="auto"/>
        <w:jc w:val="both"/>
        <w:rPr>
          <w:rFonts w:ascii="Arial" w:hAnsi="Arial" w:cs="Arial"/>
        </w:rPr>
      </w:pPr>
      <w:r w:rsidRPr="006E6C4F" w:rsidDel="00E06330">
        <w:rPr>
          <w:rFonts w:ascii="Arial" w:hAnsi="Arial" w:cs="Arial"/>
        </w:rPr>
        <w:t>Option 2A – requiring manufacturers to provide at least 12 months’ notice when not renewing a dealer agreement</w:t>
      </w:r>
      <w:r w:rsidR="00976888" w:rsidRPr="006E6C4F" w:rsidDel="00E06330">
        <w:rPr>
          <w:rFonts w:ascii="Arial" w:hAnsi="Arial" w:cs="Arial"/>
        </w:rPr>
        <w:t>.</w:t>
      </w:r>
    </w:p>
    <w:p w:rsidR="00DA49CB" w:rsidRPr="006E6C4F" w:rsidRDefault="00EA4A48" w:rsidP="00EA4A48">
      <w:pPr>
        <w:pStyle w:val="ListParagraph"/>
        <w:numPr>
          <w:ilvl w:val="0"/>
          <w:numId w:val="22"/>
        </w:numPr>
        <w:spacing w:before="240" w:line="360" w:lineRule="auto"/>
        <w:jc w:val="both"/>
        <w:rPr>
          <w:rFonts w:ascii="Arial" w:hAnsi="Arial" w:cs="Arial"/>
        </w:rPr>
      </w:pPr>
      <w:r w:rsidRPr="006E6C4F" w:rsidDel="00E06330">
        <w:rPr>
          <w:rFonts w:ascii="Arial" w:hAnsi="Arial" w:cs="Arial"/>
        </w:rPr>
        <w:t>Option 2B – requiring manufacturers to provide a statement to a dealer whose agreement is not being renewed outlining why the agreement is not being renewed</w:t>
      </w:r>
      <w:r w:rsidR="00976888" w:rsidRPr="006E6C4F" w:rsidDel="00E06330">
        <w:rPr>
          <w:rFonts w:ascii="Arial" w:hAnsi="Arial" w:cs="Arial"/>
        </w:rPr>
        <w:t>.</w:t>
      </w:r>
    </w:p>
    <w:p w:rsidR="00DA49CB" w:rsidRPr="006E6C4F" w:rsidRDefault="00EA4A48" w:rsidP="00EA4A48">
      <w:pPr>
        <w:pStyle w:val="ListParagraph"/>
        <w:numPr>
          <w:ilvl w:val="0"/>
          <w:numId w:val="22"/>
        </w:numPr>
        <w:spacing w:before="240" w:line="360" w:lineRule="auto"/>
        <w:jc w:val="both"/>
        <w:rPr>
          <w:rFonts w:ascii="Arial" w:hAnsi="Arial" w:cs="Arial"/>
        </w:rPr>
      </w:pPr>
      <w:r w:rsidRPr="006E6C4F" w:rsidDel="00E06330">
        <w:rPr>
          <w:rFonts w:ascii="Arial" w:hAnsi="Arial" w:cs="Arial"/>
        </w:rPr>
        <w:t xml:space="preserve">Option </w:t>
      </w:r>
      <w:r w:rsidR="00C318E3" w:rsidRPr="006E6C4F">
        <w:rPr>
          <w:rFonts w:ascii="Arial" w:hAnsi="Arial" w:cs="Arial"/>
        </w:rPr>
        <w:t>2D</w:t>
      </w:r>
      <w:r w:rsidRPr="006E6C4F" w:rsidDel="00E06330">
        <w:rPr>
          <w:rFonts w:ascii="Arial" w:hAnsi="Arial" w:cs="Arial"/>
        </w:rPr>
        <w:t xml:space="preserve"> – requiring pre-contractual disclosure of significant capital expenditure to have a greater degree of specificity</w:t>
      </w:r>
      <w:r w:rsidR="00976888" w:rsidRPr="006E6C4F" w:rsidDel="00E06330">
        <w:rPr>
          <w:rFonts w:ascii="Arial" w:hAnsi="Arial" w:cs="Arial"/>
        </w:rPr>
        <w:t>.</w:t>
      </w:r>
    </w:p>
    <w:p w:rsidR="00EA4A48" w:rsidRPr="006E6C4F" w:rsidRDefault="00EA4A48" w:rsidP="00EA4A48">
      <w:pPr>
        <w:pStyle w:val="ListParagraph"/>
        <w:numPr>
          <w:ilvl w:val="0"/>
          <w:numId w:val="22"/>
        </w:numPr>
        <w:spacing w:before="240" w:line="360" w:lineRule="auto"/>
        <w:jc w:val="both"/>
        <w:rPr>
          <w:rFonts w:ascii="Arial" w:hAnsi="Arial" w:cs="Arial"/>
        </w:rPr>
      </w:pPr>
      <w:r w:rsidRPr="006E6C4F" w:rsidDel="00E06330">
        <w:rPr>
          <w:rFonts w:ascii="Arial" w:hAnsi="Arial" w:cs="Arial"/>
        </w:rPr>
        <w:t xml:space="preserve">Option </w:t>
      </w:r>
      <w:r w:rsidR="00C318E3" w:rsidRPr="006E6C4F">
        <w:rPr>
          <w:rFonts w:ascii="Arial" w:hAnsi="Arial" w:cs="Arial"/>
        </w:rPr>
        <w:t>2F</w:t>
      </w:r>
      <w:r w:rsidRPr="006E6C4F" w:rsidDel="00E06330">
        <w:rPr>
          <w:rFonts w:ascii="Arial" w:hAnsi="Arial" w:cs="Arial"/>
        </w:rPr>
        <w:t xml:space="preserve"> – enabling multi franchise mediation.</w:t>
      </w:r>
    </w:p>
    <w:p w:rsidR="00DA49CB" w:rsidRPr="006E6C4F" w:rsidDel="00E06330" w:rsidRDefault="00DA49CB" w:rsidP="00DA49CB">
      <w:pPr>
        <w:spacing w:before="240" w:line="360" w:lineRule="auto"/>
        <w:jc w:val="both"/>
        <w:rPr>
          <w:rFonts w:ascii="Arial" w:hAnsi="Arial" w:cs="Arial"/>
        </w:rPr>
      </w:pPr>
      <w:r w:rsidRPr="006E6C4F">
        <w:rPr>
          <w:rFonts w:ascii="Arial" w:hAnsi="Arial" w:cs="Arial"/>
        </w:rPr>
        <w:t xml:space="preserve">The cumulative </w:t>
      </w:r>
      <w:r w:rsidR="005726E0" w:rsidRPr="006E6C4F">
        <w:rPr>
          <w:rFonts w:ascii="Arial" w:hAnsi="Arial" w:cs="Arial"/>
        </w:rPr>
        <w:t xml:space="preserve">average annual </w:t>
      </w:r>
      <w:r w:rsidRPr="006E6C4F">
        <w:rPr>
          <w:rFonts w:ascii="Arial" w:hAnsi="Arial" w:cs="Arial"/>
        </w:rPr>
        <w:t xml:space="preserve">regulatory burden for the above four recommended options is </w:t>
      </w:r>
      <w:r w:rsidR="003A7584" w:rsidRPr="006E6C4F">
        <w:rPr>
          <w:rFonts w:ascii="Arial" w:hAnsi="Arial" w:cs="Arial"/>
        </w:rPr>
        <w:t>about $</w:t>
      </w:r>
      <w:r w:rsidR="008972DD" w:rsidRPr="006E6C4F">
        <w:rPr>
          <w:rFonts w:ascii="Arial" w:hAnsi="Arial" w:cs="Arial"/>
        </w:rPr>
        <w:t>1</w:t>
      </w:r>
      <w:r w:rsidRPr="006E6C4F">
        <w:rPr>
          <w:rFonts w:ascii="Arial" w:hAnsi="Arial" w:cs="Arial"/>
        </w:rPr>
        <w:t xml:space="preserve"> million</w:t>
      </w:r>
      <w:r w:rsidR="00D92096" w:rsidRPr="006E6C4F">
        <w:rPr>
          <w:rFonts w:ascii="Arial" w:hAnsi="Arial" w:cs="Arial"/>
        </w:rPr>
        <w:t xml:space="preserve"> identified in the table on page 3</w:t>
      </w:r>
      <w:r w:rsidR="00AD3984">
        <w:rPr>
          <w:rFonts w:ascii="Arial" w:hAnsi="Arial" w:cs="Arial"/>
        </w:rPr>
        <w:t>7</w:t>
      </w:r>
      <w:r w:rsidR="00D92096" w:rsidRPr="006E6C4F">
        <w:rPr>
          <w:rFonts w:ascii="Arial" w:hAnsi="Arial" w:cs="Arial"/>
        </w:rPr>
        <w:t>.</w:t>
      </w:r>
    </w:p>
    <w:p w:rsidR="00EA4A48" w:rsidRPr="006E6C4F" w:rsidRDefault="00EA4A48" w:rsidP="00EA4A48">
      <w:pPr>
        <w:spacing w:before="240" w:line="360" w:lineRule="auto"/>
        <w:jc w:val="both"/>
        <w:rPr>
          <w:rFonts w:ascii="Arial" w:hAnsi="Arial" w:cs="Arial"/>
        </w:rPr>
      </w:pPr>
      <w:r w:rsidRPr="006E6C4F">
        <w:rPr>
          <w:rFonts w:ascii="Arial" w:hAnsi="Arial" w:cs="Arial"/>
        </w:rPr>
        <w:t>Other options which are also canvassed</w:t>
      </w:r>
      <w:r w:rsidR="00E93E52">
        <w:rPr>
          <w:rFonts w:ascii="Arial" w:hAnsi="Arial" w:cs="Arial"/>
        </w:rPr>
        <w:t xml:space="preserve"> include</w:t>
      </w:r>
      <w:r w:rsidR="00976888" w:rsidRPr="006E6C4F">
        <w:rPr>
          <w:rFonts w:ascii="Arial" w:hAnsi="Arial" w:cs="Arial"/>
        </w:rPr>
        <w:t>:</w:t>
      </w:r>
    </w:p>
    <w:p w:rsidR="00C318E3" w:rsidRPr="006E6C4F" w:rsidRDefault="00C318E3" w:rsidP="00976888">
      <w:pPr>
        <w:pStyle w:val="ListParagraph"/>
        <w:numPr>
          <w:ilvl w:val="0"/>
          <w:numId w:val="23"/>
        </w:numPr>
        <w:spacing w:before="240" w:line="360" w:lineRule="auto"/>
        <w:jc w:val="both"/>
        <w:rPr>
          <w:rFonts w:ascii="Arial" w:hAnsi="Arial" w:cs="Arial"/>
        </w:rPr>
      </w:pPr>
      <w:r w:rsidRPr="006E6C4F">
        <w:rPr>
          <w:rFonts w:ascii="Arial" w:hAnsi="Arial" w:cs="Arial"/>
        </w:rPr>
        <w:t>Option 1 – Maintaining the status quo.</w:t>
      </w:r>
    </w:p>
    <w:p w:rsidR="00976888" w:rsidRPr="006E6C4F" w:rsidRDefault="00976888" w:rsidP="00976888">
      <w:pPr>
        <w:pStyle w:val="ListParagraph"/>
        <w:numPr>
          <w:ilvl w:val="0"/>
          <w:numId w:val="23"/>
        </w:numPr>
        <w:spacing w:before="240" w:line="360" w:lineRule="auto"/>
        <w:jc w:val="both"/>
        <w:rPr>
          <w:rFonts w:ascii="Arial" w:hAnsi="Arial" w:cs="Arial"/>
        </w:rPr>
      </w:pPr>
      <w:r w:rsidRPr="006E6C4F">
        <w:rPr>
          <w:rFonts w:ascii="Arial" w:hAnsi="Arial" w:cs="Arial"/>
        </w:rPr>
        <w:t xml:space="preserve">Option 2C – </w:t>
      </w:r>
      <w:r w:rsidR="00C318E3" w:rsidRPr="006E6C4F">
        <w:rPr>
          <w:rFonts w:ascii="Arial" w:hAnsi="Arial" w:cs="Arial"/>
        </w:rPr>
        <w:t>M</w:t>
      </w:r>
      <w:r w:rsidRPr="006E6C4F">
        <w:rPr>
          <w:rFonts w:ascii="Arial" w:hAnsi="Arial" w:cs="Arial"/>
        </w:rPr>
        <w:t>andating that manufacturers buy back stock when an agreement is not renewed.</w:t>
      </w:r>
    </w:p>
    <w:p w:rsidR="00976888" w:rsidRPr="006E6C4F" w:rsidRDefault="00976888" w:rsidP="00976888">
      <w:pPr>
        <w:pStyle w:val="ListParagraph"/>
        <w:numPr>
          <w:ilvl w:val="0"/>
          <w:numId w:val="23"/>
        </w:numPr>
        <w:spacing w:before="240" w:line="360" w:lineRule="auto"/>
        <w:jc w:val="both"/>
        <w:rPr>
          <w:rFonts w:ascii="Arial" w:hAnsi="Arial" w:cs="Arial"/>
        </w:rPr>
      </w:pPr>
      <w:r w:rsidRPr="006E6C4F">
        <w:rPr>
          <w:rFonts w:ascii="Arial" w:hAnsi="Arial" w:cs="Arial"/>
        </w:rPr>
        <w:t>Option 3B – Minimum five year terms with right of renewal.</w:t>
      </w:r>
    </w:p>
    <w:p w:rsidR="00C318E3" w:rsidRPr="006E6C4F" w:rsidRDefault="00C318E3" w:rsidP="00976888">
      <w:pPr>
        <w:pStyle w:val="ListParagraph"/>
        <w:numPr>
          <w:ilvl w:val="0"/>
          <w:numId w:val="23"/>
        </w:numPr>
        <w:spacing w:before="240" w:line="360" w:lineRule="auto"/>
        <w:jc w:val="both"/>
        <w:rPr>
          <w:rFonts w:ascii="Arial" w:hAnsi="Arial" w:cs="Arial"/>
        </w:rPr>
      </w:pPr>
      <w:r w:rsidRPr="006E6C4F">
        <w:rPr>
          <w:rFonts w:ascii="Arial" w:hAnsi="Arial" w:cs="Arial"/>
        </w:rPr>
        <w:t>Option 4 – Voluntary Code of Conduct.</w:t>
      </w:r>
    </w:p>
    <w:p w:rsidR="00833928" w:rsidRDefault="11FF59B9" w:rsidP="11FF59B9">
      <w:pPr>
        <w:pStyle w:val="Heading1"/>
        <w:numPr>
          <w:ilvl w:val="0"/>
          <w:numId w:val="2"/>
        </w:numPr>
        <w:rPr>
          <w:color w:val="005677"/>
        </w:rPr>
      </w:pPr>
      <w:bookmarkStart w:id="16" w:name="_Toc529891239"/>
      <w:bookmarkStart w:id="17" w:name="_Toc529891257"/>
      <w:bookmarkStart w:id="18" w:name="_Toc530493124"/>
      <w:bookmarkStart w:id="19" w:name="_Toc530493179"/>
      <w:bookmarkStart w:id="20" w:name="_Toc530563045"/>
      <w:bookmarkStart w:id="21" w:name="_Toc530563171"/>
      <w:r w:rsidRPr="11FF59B9">
        <w:rPr>
          <w:color w:val="005677"/>
        </w:rPr>
        <w:t>Overview of this Regulation Impact Statement</w:t>
      </w:r>
      <w:bookmarkEnd w:id="16"/>
      <w:bookmarkEnd w:id="17"/>
      <w:bookmarkEnd w:id="18"/>
      <w:bookmarkEnd w:id="19"/>
      <w:bookmarkEnd w:id="20"/>
      <w:bookmarkEnd w:id="21"/>
    </w:p>
    <w:p w:rsidR="00F87C4E" w:rsidRDefault="11FF59B9" w:rsidP="11FF59B9">
      <w:pPr>
        <w:spacing w:before="240" w:line="360" w:lineRule="auto"/>
        <w:jc w:val="both"/>
        <w:rPr>
          <w:rFonts w:ascii="Arial" w:hAnsi="Arial" w:cs="Arial"/>
        </w:rPr>
      </w:pPr>
      <w:r w:rsidRPr="11FF59B9">
        <w:rPr>
          <w:rFonts w:ascii="Arial" w:hAnsi="Arial" w:cs="Arial"/>
        </w:rPr>
        <w:t xml:space="preserve">This RIS has been developed to </w:t>
      </w:r>
      <w:r w:rsidR="007025E9">
        <w:rPr>
          <w:rFonts w:ascii="Arial" w:hAnsi="Arial" w:cs="Arial"/>
        </w:rPr>
        <w:t xml:space="preserve">inform Government decision </w:t>
      </w:r>
      <w:r w:rsidR="005C24D8">
        <w:rPr>
          <w:rFonts w:ascii="Arial" w:hAnsi="Arial" w:cs="Arial"/>
        </w:rPr>
        <w:t>making and</w:t>
      </w:r>
      <w:r w:rsidR="007025E9">
        <w:rPr>
          <w:rFonts w:ascii="Arial" w:hAnsi="Arial" w:cs="Arial"/>
        </w:rPr>
        <w:t xml:space="preserve"> provide an evidence base. This is consistent with</w:t>
      </w:r>
      <w:r w:rsidRPr="11FF59B9">
        <w:rPr>
          <w:rFonts w:ascii="Arial" w:hAnsi="Arial" w:cs="Arial"/>
        </w:rPr>
        <w:t xml:space="preserve"> the Government’s commitment to improving the quality of regulation, including minimising the burden of regulation on businesses, community organisations and individuals. The Government’s regulatory policy frameworks assist in keeping the Australian economy as efficient, flexible and responsive as possible. Under the Government’s Regulatory Impact Analysis system, every policy proposal designed to introduce or abolish regulation must be accompanied by a RIS. </w:t>
      </w:r>
    </w:p>
    <w:p w:rsidR="005771D9" w:rsidRDefault="00966B28" w:rsidP="11FF59B9">
      <w:pPr>
        <w:spacing w:before="240" w:line="360" w:lineRule="auto"/>
        <w:jc w:val="both"/>
        <w:rPr>
          <w:rFonts w:ascii="Arial" w:hAnsi="Arial" w:cs="Arial"/>
        </w:rPr>
      </w:pPr>
      <w:r>
        <w:rPr>
          <w:rFonts w:ascii="Arial" w:hAnsi="Arial" w:cs="Arial"/>
        </w:rPr>
        <w:t>W</w:t>
      </w:r>
      <w:r w:rsidR="11FF59B9" w:rsidRPr="11FF59B9">
        <w:rPr>
          <w:rFonts w:ascii="Arial" w:hAnsi="Arial" w:cs="Arial"/>
        </w:rPr>
        <w:t>hile the ACCC noted new car dealers’ concerns with the power imbalance in their franchising relationship with new car manufacturers, it recommended Government further consider dealers’ specific concerns.</w:t>
      </w:r>
      <w:r w:rsidR="00D645F3">
        <w:rPr>
          <w:rStyle w:val="FootnoteReference"/>
          <w:rFonts w:ascii="Arial" w:hAnsi="Arial" w:cs="Arial"/>
        </w:rPr>
        <w:footnoteReference w:id="11"/>
      </w:r>
      <w:r w:rsidR="11FF59B9" w:rsidRPr="11FF59B9">
        <w:rPr>
          <w:rFonts w:ascii="Arial" w:hAnsi="Arial" w:cs="Arial"/>
        </w:rPr>
        <w:t xml:space="preserve"> In addition, industry submissions to the PJC </w:t>
      </w:r>
      <w:r w:rsidR="00E03D69">
        <w:rPr>
          <w:rFonts w:ascii="Arial" w:hAnsi="Arial" w:cs="Arial"/>
        </w:rPr>
        <w:t>I</w:t>
      </w:r>
      <w:r w:rsidR="11FF59B9" w:rsidRPr="11FF59B9">
        <w:rPr>
          <w:rFonts w:ascii="Arial" w:hAnsi="Arial" w:cs="Arial"/>
        </w:rPr>
        <w:t xml:space="preserve">nquiry indicate that while there may be some agreement on key concerns for dealers, as franchisees, in their dealings with car manufacturers, as franchisors, there is no firm agreement on the best way to address dealers’ concerns – whether through amendments to the Franchising Code or specific provisions within </w:t>
      </w:r>
      <w:r w:rsidR="001A6563">
        <w:rPr>
          <w:rFonts w:ascii="Arial" w:hAnsi="Arial" w:cs="Arial"/>
        </w:rPr>
        <w:t>a standalone</w:t>
      </w:r>
      <w:r w:rsidR="001A6563" w:rsidRPr="11FF59B9">
        <w:rPr>
          <w:rFonts w:ascii="Arial" w:hAnsi="Arial" w:cs="Arial"/>
        </w:rPr>
        <w:t xml:space="preserve"> </w:t>
      </w:r>
      <w:r w:rsidR="11FF59B9" w:rsidRPr="11FF59B9">
        <w:rPr>
          <w:rFonts w:ascii="Arial" w:hAnsi="Arial" w:cs="Arial"/>
        </w:rPr>
        <w:t xml:space="preserve">Automotive Code. Therefore, this RIS has been developed to clearly articulate dealers’ concerns, define the policy problems to be addressed and canvass possible policy options, including net benefits of policy responses, to address those problems. </w:t>
      </w:r>
    </w:p>
    <w:p w:rsidR="00833928" w:rsidRPr="00DF3194" w:rsidRDefault="11FF59B9" w:rsidP="11FF59B9">
      <w:pPr>
        <w:spacing w:before="240" w:line="360" w:lineRule="auto"/>
        <w:jc w:val="both"/>
        <w:rPr>
          <w:rFonts w:ascii="Arial" w:hAnsi="Arial" w:cs="Arial"/>
        </w:rPr>
      </w:pPr>
      <w:r w:rsidRPr="11FF59B9">
        <w:rPr>
          <w:rFonts w:ascii="Arial" w:hAnsi="Arial" w:cs="Arial"/>
        </w:rPr>
        <w:t xml:space="preserve">It should also be noted that in submissions to the PJC </w:t>
      </w:r>
      <w:r w:rsidR="00E55698">
        <w:rPr>
          <w:rFonts w:ascii="Arial" w:hAnsi="Arial" w:cs="Arial"/>
        </w:rPr>
        <w:t>I</w:t>
      </w:r>
      <w:r w:rsidRPr="11FF59B9">
        <w:rPr>
          <w:rFonts w:ascii="Arial" w:hAnsi="Arial" w:cs="Arial"/>
        </w:rPr>
        <w:t xml:space="preserve">nquiry new car dealer representatives, the Motor Trades Association of Australia (MTAA) and the Australian Automotive Dealer Association (AADA), have canvassed issues which are being considered as part of other Government processes or are the subject of ACCC action, including unfair contract terms, indemnification of dealers for consumer warranty claims and the mandatory information sharing provisions. These matters are </w:t>
      </w:r>
      <w:r w:rsidR="00E93E52">
        <w:rPr>
          <w:rFonts w:ascii="Arial" w:hAnsi="Arial" w:cs="Arial"/>
        </w:rPr>
        <w:t>highlighted</w:t>
      </w:r>
      <w:r w:rsidR="00E93E52" w:rsidRPr="11FF59B9">
        <w:rPr>
          <w:rFonts w:ascii="Arial" w:hAnsi="Arial" w:cs="Arial"/>
        </w:rPr>
        <w:t xml:space="preserve"> </w:t>
      </w:r>
      <w:r w:rsidRPr="11FF59B9">
        <w:rPr>
          <w:rFonts w:ascii="Arial" w:hAnsi="Arial" w:cs="Arial"/>
        </w:rPr>
        <w:t xml:space="preserve">at </w:t>
      </w:r>
      <w:r w:rsidRPr="00205F94">
        <w:rPr>
          <w:rFonts w:ascii="Arial" w:hAnsi="Arial" w:cs="Arial"/>
        </w:rPr>
        <w:t>Box 1</w:t>
      </w:r>
      <w:r w:rsidRPr="11FF59B9">
        <w:rPr>
          <w:rFonts w:ascii="Arial" w:hAnsi="Arial" w:cs="Arial"/>
        </w:rPr>
        <w:t xml:space="preserve"> below </w:t>
      </w:r>
      <w:r w:rsidR="00774469">
        <w:rPr>
          <w:rFonts w:ascii="Arial" w:hAnsi="Arial" w:cs="Arial"/>
        </w:rPr>
        <w:t>and are being considered separately</w:t>
      </w:r>
      <w:r w:rsidR="00E93E52">
        <w:rPr>
          <w:rFonts w:ascii="Arial" w:hAnsi="Arial" w:cs="Arial"/>
        </w:rPr>
        <w:t>.</w:t>
      </w:r>
      <w:r w:rsidRPr="11FF59B9">
        <w:rPr>
          <w:rFonts w:ascii="Arial" w:hAnsi="Arial" w:cs="Arial"/>
        </w:rPr>
        <w:t xml:space="preserve"> </w:t>
      </w:r>
      <w:r w:rsidR="00E93E52">
        <w:rPr>
          <w:rFonts w:ascii="Arial" w:hAnsi="Arial" w:cs="Arial"/>
        </w:rPr>
        <w:t>T</w:t>
      </w:r>
      <w:r w:rsidRPr="11FF59B9">
        <w:rPr>
          <w:rFonts w:ascii="Arial" w:hAnsi="Arial" w:cs="Arial"/>
        </w:rPr>
        <w:t xml:space="preserve">he substance of the discussion within this RIS focuses on </w:t>
      </w:r>
      <w:r w:rsidR="00E93E52">
        <w:rPr>
          <w:rFonts w:ascii="Arial" w:hAnsi="Arial" w:cs="Arial"/>
        </w:rPr>
        <w:t xml:space="preserve">possible </w:t>
      </w:r>
      <w:r w:rsidRPr="11FF59B9">
        <w:rPr>
          <w:rFonts w:ascii="Arial" w:hAnsi="Arial" w:cs="Arial"/>
        </w:rPr>
        <w:t>policy responses to specific dealer concerns categorised into three themes as follows:</w:t>
      </w:r>
    </w:p>
    <w:p w:rsidR="00EE1EC2" w:rsidRDefault="11FF59B9" w:rsidP="11FF59B9">
      <w:pPr>
        <w:pStyle w:val="CABNETParagraph"/>
        <w:numPr>
          <w:ilvl w:val="0"/>
          <w:numId w:val="18"/>
        </w:numPr>
        <w:rPr>
          <w:rFonts w:cs="Arial"/>
        </w:rPr>
      </w:pPr>
      <w:r w:rsidRPr="11FF59B9">
        <w:rPr>
          <w:rFonts w:cs="Arial"/>
        </w:rPr>
        <w:t xml:space="preserve">End of term arrangements </w:t>
      </w:r>
      <w:r w:rsidR="006B3B6B">
        <w:rPr>
          <w:rFonts w:cs="Arial"/>
        </w:rPr>
        <w:t>contained in dealership agreements including:</w:t>
      </w:r>
      <w:r w:rsidRPr="11FF59B9">
        <w:rPr>
          <w:rFonts w:cs="Arial"/>
        </w:rPr>
        <w:t xml:space="preserve"> </w:t>
      </w:r>
    </w:p>
    <w:p w:rsidR="00444AAD" w:rsidRDefault="11FF59B9" w:rsidP="11FF59B9">
      <w:pPr>
        <w:pStyle w:val="CABNETParagraph"/>
        <w:numPr>
          <w:ilvl w:val="1"/>
          <w:numId w:val="18"/>
        </w:numPr>
        <w:rPr>
          <w:rFonts w:cs="Arial"/>
        </w:rPr>
      </w:pPr>
      <w:r w:rsidRPr="11FF59B9">
        <w:rPr>
          <w:rFonts w:cs="Arial"/>
        </w:rPr>
        <w:t>Insufficient notice periods</w:t>
      </w:r>
      <w:r w:rsidR="00675A92">
        <w:rPr>
          <w:rFonts w:cs="Arial"/>
        </w:rPr>
        <w:t xml:space="preserve"> for non-renewal of dealership agreements</w:t>
      </w:r>
      <w:r w:rsidRPr="11FF59B9">
        <w:rPr>
          <w:rFonts w:cs="Arial"/>
        </w:rPr>
        <w:t xml:space="preserve">; </w:t>
      </w:r>
    </w:p>
    <w:p w:rsidR="00EE1EC2" w:rsidRPr="00A23C20" w:rsidRDefault="009A233B" w:rsidP="11FF59B9">
      <w:pPr>
        <w:pStyle w:val="CABNETParagraph"/>
        <w:numPr>
          <w:ilvl w:val="1"/>
          <w:numId w:val="18"/>
        </w:numPr>
        <w:rPr>
          <w:rFonts w:cs="Arial"/>
        </w:rPr>
      </w:pPr>
      <w:r>
        <w:rPr>
          <w:rFonts w:cs="Arial"/>
        </w:rPr>
        <w:t>Franchisors providing r</w:t>
      </w:r>
      <w:r w:rsidR="00444AAD">
        <w:rPr>
          <w:rFonts w:cs="Arial"/>
        </w:rPr>
        <w:t xml:space="preserve">easons for non-renewal; </w:t>
      </w:r>
      <w:r w:rsidR="11FF59B9" w:rsidRPr="11FF59B9">
        <w:rPr>
          <w:rFonts w:cs="Arial"/>
        </w:rPr>
        <w:t xml:space="preserve">and </w:t>
      </w:r>
    </w:p>
    <w:p w:rsidR="00C253B3" w:rsidRPr="00F070D2" w:rsidRDefault="11FF59B9" w:rsidP="11FF59B9">
      <w:pPr>
        <w:pStyle w:val="CABNETParagraph"/>
        <w:numPr>
          <w:ilvl w:val="1"/>
          <w:numId w:val="18"/>
        </w:numPr>
        <w:rPr>
          <w:rFonts w:cs="Arial"/>
        </w:rPr>
      </w:pPr>
      <w:r w:rsidRPr="11FF59B9">
        <w:rPr>
          <w:rFonts w:cs="Arial"/>
        </w:rPr>
        <w:t xml:space="preserve">Stock </w:t>
      </w:r>
      <w:r w:rsidR="00675A92">
        <w:rPr>
          <w:rFonts w:cs="Arial"/>
        </w:rPr>
        <w:t>buy-back arrangements</w:t>
      </w:r>
      <w:r w:rsidRPr="11FF59B9" w:rsidDel="00675A92">
        <w:rPr>
          <w:rFonts w:cs="Arial"/>
        </w:rPr>
        <w:t xml:space="preserve"> </w:t>
      </w:r>
      <w:r w:rsidRPr="11FF59B9">
        <w:rPr>
          <w:rFonts w:cs="Arial"/>
        </w:rPr>
        <w:t>when dealership agreements</w:t>
      </w:r>
      <w:r w:rsidR="00675A92">
        <w:rPr>
          <w:rFonts w:cs="Arial"/>
        </w:rPr>
        <w:t xml:space="preserve"> are not renewed</w:t>
      </w:r>
      <w:r w:rsidRPr="11FF59B9">
        <w:rPr>
          <w:rFonts w:cs="Arial"/>
        </w:rPr>
        <w:t xml:space="preserve">; </w:t>
      </w:r>
    </w:p>
    <w:p w:rsidR="00EE1EC2" w:rsidRDefault="00E93E52" w:rsidP="11FF59B9">
      <w:pPr>
        <w:pStyle w:val="CABNETParagraph"/>
        <w:numPr>
          <w:ilvl w:val="0"/>
          <w:numId w:val="18"/>
        </w:numPr>
        <w:rPr>
          <w:rFonts w:cs="Arial"/>
        </w:rPr>
      </w:pPr>
      <w:r>
        <w:rPr>
          <w:rFonts w:cs="Arial"/>
        </w:rPr>
        <w:t>Ability to recoup c</w:t>
      </w:r>
      <w:r w:rsidR="11FF59B9" w:rsidRPr="11FF59B9">
        <w:rPr>
          <w:rFonts w:cs="Arial"/>
        </w:rPr>
        <w:t>apital expenditure during the term of the dealership agreement</w:t>
      </w:r>
      <w:r w:rsidR="00D91420">
        <w:rPr>
          <w:rFonts w:cs="Arial"/>
        </w:rPr>
        <w:t>:</w:t>
      </w:r>
    </w:p>
    <w:p w:rsidR="00D91420" w:rsidRDefault="00D91420" w:rsidP="00057CF1">
      <w:pPr>
        <w:pStyle w:val="CABNETParagraph"/>
        <w:numPr>
          <w:ilvl w:val="1"/>
          <w:numId w:val="18"/>
        </w:numPr>
        <w:rPr>
          <w:rFonts w:cs="Arial"/>
        </w:rPr>
      </w:pPr>
      <w:r>
        <w:rPr>
          <w:rFonts w:cs="Arial"/>
        </w:rPr>
        <w:t>enhanced disclosure requirements;</w:t>
      </w:r>
    </w:p>
    <w:p w:rsidR="00D91420" w:rsidRDefault="00D91420" w:rsidP="00442D03">
      <w:pPr>
        <w:pStyle w:val="CABNETParagraph"/>
        <w:numPr>
          <w:ilvl w:val="1"/>
          <w:numId w:val="18"/>
        </w:numPr>
        <w:rPr>
          <w:rFonts w:cs="Arial"/>
        </w:rPr>
      </w:pPr>
      <w:r>
        <w:rPr>
          <w:rFonts w:cs="Arial"/>
        </w:rPr>
        <w:t>minimum tenure with right of renewal for the dealer; and</w:t>
      </w:r>
    </w:p>
    <w:p w:rsidR="00EE1EC2" w:rsidRPr="00F070D2" w:rsidRDefault="00F90082" w:rsidP="11FF59B9">
      <w:pPr>
        <w:pStyle w:val="CABNETParagraph"/>
        <w:numPr>
          <w:ilvl w:val="0"/>
          <w:numId w:val="18"/>
        </w:numPr>
        <w:rPr>
          <w:rFonts w:cs="Arial"/>
        </w:rPr>
      </w:pPr>
      <w:r>
        <w:rPr>
          <w:rFonts w:cs="Arial"/>
        </w:rPr>
        <w:t xml:space="preserve">Improving the </w:t>
      </w:r>
      <w:r w:rsidR="00D91420">
        <w:rPr>
          <w:rFonts w:cs="Arial"/>
        </w:rPr>
        <w:t>effectiveness of dispute resolution</w:t>
      </w:r>
      <w:r w:rsidR="00DC4612">
        <w:rPr>
          <w:rFonts w:cs="Arial"/>
        </w:rPr>
        <w:t>.</w:t>
      </w:r>
    </w:p>
    <w:p w:rsidR="00C9284A" w:rsidRDefault="11FF59B9" w:rsidP="11FF59B9">
      <w:pPr>
        <w:pStyle w:val="Heading1"/>
        <w:numPr>
          <w:ilvl w:val="0"/>
          <w:numId w:val="2"/>
        </w:numPr>
        <w:rPr>
          <w:color w:val="005677"/>
        </w:rPr>
      </w:pPr>
      <w:bookmarkStart w:id="22" w:name="_Toc529891240"/>
      <w:bookmarkStart w:id="23" w:name="_Toc529891258"/>
      <w:bookmarkStart w:id="24" w:name="_Toc530493125"/>
      <w:bookmarkStart w:id="25" w:name="_Toc530493180"/>
      <w:bookmarkStart w:id="26" w:name="_Toc530563046"/>
      <w:bookmarkStart w:id="27" w:name="_Toc530563172"/>
      <w:r w:rsidRPr="11FF59B9">
        <w:rPr>
          <w:color w:val="005677"/>
        </w:rPr>
        <w:t>Background</w:t>
      </w:r>
      <w:bookmarkEnd w:id="22"/>
      <w:bookmarkEnd w:id="23"/>
      <w:bookmarkEnd w:id="24"/>
      <w:bookmarkEnd w:id="25"/>
      <w:bookmarkEnd w:id="26"/>
      <w:bookmarkEnd w:id="27"/>
    </w:p>
    <w:p w:rsidR="000407AA" w:rsidRPr="00EE3CA3" w:rsidRDefault="11FF59B9" w:rsidP="11FF59B9">
      <w:pPr>
        <w:spacing w:before="240" w:line="360" w:lineRule="auto"/>
        <w:jc w:val="both"/>
        <w:rPr>
          <w:rFonts w:ascii="Arial" w:hAnsi="Arial" w:cs="Arial"/>
          <w:b/>
          <w:bCs/>
        </w:rPr>
      </w:pPr>
      <w:r w:rsidRPr="11FF59B9">
        <w:rPr>
          <w:rFonts w:ascii="Arial" w:hAnsi="Arial" w:cs="Arial"/>
          <w:b/>
          <w:bCs/>
        </w:rPr>
        <w:t>Business model: car dealerships</w:t>
      </w:r>
    </w:p>
    <w:p w:rsidR="000407AA" w:rsidRDefault="000407AA" w:rsidP="11FF59B9">
      <w:pPr>
        <w:spacing w:before="240" w:line="360" w:lineRule="auto"/>
        <w:jc w:val="both"/>
        <w:rPr>
          <w:rFonts w:ascii="Arial" w:hAnsi="Arial" w:cs="Arial"/>
        </w:rPr>
      </w:pPr>
      <w:r>
        <w:rPr>
          <w:rFonts w:ascii="Arial" w:hAnsi="Arial" w:cs="Arial"/>
        </w:rPr>
        <w:t xml:space="preserve">The main revenue streams for dealers include the </w:t>
      </w:r>
      <w:r w:rsidRPr="00B25C44">
        <w:rPr>
          <w:rFonts w:ascii="Arial" w:hAnsi="Arial" w:cs="Arial"/>
        </w:rPr>
        <w:t>new car department, used car department; parts, accessory and aftermarket sales; service workshop sales; and fina</w:t>
      </w:r>
      <w:r>
        <w:rPr>
          <w:rFonts w:ascii="Arial" w:hAnsi="Arial" w:cs="Arial"/>
        </w:rPr>
        <w:t>nce and insurance commissions. Estimated gross profit margins from the revenue streams vary but industry estimates place gross profit margins from the new car department at around 7 per</w:t>
      </w:r>
      <w:r w:rsidR="004145B9">
        <w:rPr>
          <w:rFonts w:ascii="Arial" w:hAnsi="Arial" w:cs="Arial"/>
        </w:rPr>
        <w:t xml:space="preserve"> </w:t>
      </w:r>
      <w:r>
        <w:rPr>
          <w:rFonts w:ascii="Arial" w:hAnsi="Arial" w:cs="Arial"/>
        </w:rPr>
        <w:t>cent while gross profit margin from the service departmen</w:t>
      </w:r>
      <w:r w:rsidR="002F629A">
        <w:rPr>
          <w:rFonts w:ascii="Arial" w:hAnsi="Arial" w:cs="Arial"/>
        </w:rPr>
        <w:t>t is estimated at around 64 per</w:t>
      </w:r>
      <w:r w:rsidR="004145B9">
        <w:rPr>
          <w:rFonts w:ascii="Arial" w:hAnsi="Arial" w:cs="Arial"/>
        </w:rPr>
        <w:t xml:space="preserve"> </w:t>
      </w:r>
      <w:r>
        <w:rPr>
          <w:rFonts w:ascii="Arial" w:hAnsi="Arial" w:cs="Arial"/>
        </w:rPr>
        <w:t>cent.</w:t>
      </w:r>
      <w:r>
        <w:rPr>
          <w:rStyle w:val="FootnoteReference"/>
          <w:rFonts w:ascii="Arial" w:hAnsi="Arial" w:cs="Arial"/>
        </w:rPr>
        <w:footnoteReference w:id="12"/>
      </w:r>
    </w:p>
    <w:p w:rsidR="006A0DF2" w:rsidRDefault="00711799" w:rsidP="11FF59B9">
      <w:pPr>
        <w:spacing w:before="240" w:line="360" w:lineRule="auto"/>
        <w:jc w:val="both"/>
      </w:pPr>
      <w:r>
        <w:rPr>
          <w:rFonts w:ascii="Arial" w:hAnsi="Arial" w:cs="Arial"/>
        </w:rPr>
        <w:t>Traditionally</w:t>
      </w:r>
      <w:r w:rsidR="000407AA">
        <w:rPr>
          <w:rFonts w:ascii="Arial" w:hAnsi="Arial" w:cs="Arial"/>
        </w:rPr>
        <w:t xml:space="preserve">, </w:t>
      </w:r>
      <w:r w:rsidR="000407AA" w:rsidRPr="00993032">
        <w:rPr>
          <w:rFonts w:ascii="Arial" w:hAnsi="Arial" w:cs="Arial"/>
        </w:rPr>
        <w:t xml:space="preserve">motor vehicle dealership agreements were </w:t>
      </w:r>
      <w:r w:rsidR="000407AA">
        <w:rPr>
          <w:rFonts w:ascii="Arial" w:hAnsi="Arial" w:cs="Arial"/>
        </w:rPr>
        <w:t xml:space="preserve">often </w:t>
      </w:r>
      <w:r w:rsidR="000407AA" w:rsidRPr="00993032">
        <w:rPr>
          <w:rFonts w:ascii="Arial" w:hAnsi="Arial" w:cs="Arial"/>
        </w:rPr>
        <w:t>evergreen</w:t>
      </w:r>
      <w:r w:rsidR="000407AA">
        <w:rPr>
          <w:rFonts w:ascii="Arial" w:hAnsi="Arial" w:cs="Arial"/>
        </w:rPr>
        <w:t xml:space="preserve"> with </w:t>
      </w:r>
      <w:r w:rsidR="000407AA" w:rsidRPr="00993032">
        <w:rPr>
          <w:rFonts w:ascii="Arial" w:hAnsi="Arial" w:cs="Arial"/>
        </w:rPr>
        <w:t>no fixed terms</w:t>
      </w:r>
      <w:r w:rsidR="000407AA">
        <w:rPr>
          <w:rFonts w:ascii="Arial" w:hAnsi="Arial" w:cs="Arial"/>
        </w:rPr>
        <w:t xml:space="preserve">, but </w:t>
      </w:r>
      <w:r w:rsidR="000407AA" w:rsidRPr="00993032">
        <w:rPr>
          <w:rFonts w:ascii="Arial" w:hAnsi="Arial" w:cs="Arial"/>
        </w:rPr>
        <w:t>over time these agreements have been replaced with fixed term agreements, some of which are as short as 12 months in duration</w:t>
      </w:r>
      <w:r w:rsidR="000407AA">
        <w:rPr>
          <w:rFonts w:ascii="Arial" w:hAnsi="Arial" w:cs="Arial"/>
        </w:rPr>
        <w:t>.</w:t>
      </w:r>
      <w:bookmarkStart w:id="28" w:name="_Ref530485791"/>
      <w:r w:rsidR="000407AA">
        <w:rPr>
          <w:rStyle w:val="FootnoteReference"/>
          <w:rFonts w:ascii="Arial" w:hAnsi="Arial" w:cs="Arial"/>
        </w:rPr>
        <w:footnoteReference w:id="13"/>
      </w:r>
      <w:bookmarkEnd w:id="28"/>
      <w:r w:rsidR="000407AA">
        <w:rPr>
          <w:rFonts w:ascii="Arial" w:hAnsi="Arial" w:cs="Arial"/>
        </w:rPr>
        <w:t xml:space="preserve"> It has been suggested that o</w:t>
      </w:r>
      <w:r w:rsidR="000407AA" w:rsidRPr="00760C32">
        <w:rPr>
          <w:rFonts w:ascii="Arial" w:hAnsi="Arial" w:cs="Arial"/>
        </w:rPr>
        <w:t xml:space="preserve">n average, around 50 per cent of total dealer margin is now paid in the form of post-facto bonuses tied to a combination of key performance indicators but always with a heavy emphasis on </w:t>
      </w:r>
      <w:r w:rsidR="000407AA">
        <w:rPr>
          <w:rFonts w:ascii="Arial" w:hAnsi="Arial" w:cs="Arial"/>
        </w:rPr>
        <w:t>the Consumer Satisfaction Index</w:t>
      </w:r>
      <w:r w:rsidR="000407AA" w:rsidRPr="00760C32">
        <w:rPr>
          <w:rFonts w:ascii="Arial" w:hAnsi="Arial" w:cs="Arial"/>
        </w:rPr>
        <w:t>.</w:t>
      </w:r>
      <w:bookmarkStart w:id="29" w:name="_Ref530485920"/>
      <w:r w:rsidR="000407AA">
        <w:rPr>
          <w:rStyle w:val="FootnoteReference"/>
          <w:rFonts w:ascii="Arial" w:hAnsi="Arial" w:cs="Arial"/>
        </w:rPr>
        <w:footnoteReference w:id="14"/>
      </w:r>
      <w:bookmarkEnd w:id="29"/>
      <w:r w:rsidR="000407AA" w:rsidRPr="00760C32">
        <w:rPr>
          <w:rFonts w:ascii="Arial" w:hAnsi="Arial" w:cs="Arial"/>
        </w:rPr>
        <w:t xml:space="preserve"> </w:t>
      </w:r>
      <w:r w:rsidR="0081784B">
        <w:rPr>
          <w:rFonts w:ascii="Arial" w:hAnsi="Arial" w:cs="Arial"/>
        </w:rPr>
        <w:t>Deloitte profit benchmarks suggest that for a profitable dealership, incentive payments are equal to around 20 per cent of gross profit.</w:t>
      </w:r>
      <w:r w:rsidR="0081784B">
        <w:rPr>
          <w:rStyle w:val="FootnoteReference"/>
          <w:rFonts w:ascii="Arial" w:hAnsi="Arial" w:cs="Arial"/>
        </w:rPr>
        <w:footnoteReference w:id="15"/>
      </w:r>
      <w:r w:rsidR="0081784B">
        <w:rPr>
          <w:rFonts w:ascii="Arial" w:hAnsi="Arial" w:cs="Arial"/>
        </w:rPr>
        <w:t xml:space="preserve"> </w:t>
      </w:r>
      <w:r w:rsidR="000407AA">
        <w:rPr>
          <w:rFonts w:ascii="Arial" w:hAnsi="Arial" w:cs="Arial"/>
        </w:rPr>
        <w:t>The AADA has submitted that competitive pressures for new car dealers have</w:t>
      </w:r>
      <w:r w:rsidR="000407AA" w:rsidRPr="00760C32">
        <w:rPr>
          <w:rFonts w:ascii="Arial" w:hAnsi="Arial" w:cs="Arial"/>
        </w:rPr>
        <w:t xml:space="preserve"> increased significantly over time</w:t>
      </w:r>
      <w:r w:rsidR="000407AA">
        <w:rPr>
          <w:rFonts w:ascii="Arial" w:hAnsi="Arial" w:cs="Arial"/>
        </w:rPr>
        <w:t>,</w:t>
      </w:r>
      <w:r w:rsidR="000407AA" w:rsidRPr="00760C32">
        <w:rPr>
          <w:rFonts w:ascii="Arial" w:hAnsi="Arial" w:cs="Arial"/>
        </w:rPr>
        <w:t xml:space="preserve"> challenging all aspects of a dealership’s revenue streams.</w:t>
      </w:r>
      <w:r w:rsidR="000407AA" w:rsidRPr="001D5E43">
        <w:t xml:space="preserve"> </w:t>
      </w:r>
    </w:p>
    <w:p w:rsidR="000407AA" w:rsidRPr="005B139E" w:rsidRDefault="006A0DF2" w:rsidP="11FF59B9">
      <w:pPr>
        <w:spacing w:before="240" w:line="360" w:lineRule="auto"/>
        <w:jc w:val="both"/>
        <w:rPr>
          <w:rFonts w:ascii="Arial" w:hAnsi="Arial" w:cs="Arial"/>
        </w:rPr>
      </w:pPr>
      <w:r w:rsidRPr="005B139E">
        <w:rPr>
          <w:rFonts w:ascii="Arial" w:hAnsi="Arial" w:cs="Arial"/>
        </w:rPr>
        <w:t>Recent regulatory action by the Australian Securities and Investments Commission to address flex commissions and add on insurance practices has also placed downward pressure on car dealer revenue.</w:t>
      </w:r>
      <w:r w:rsidRPr="005B139E">
        <w:rPr>
          <w:rStyle w:val="FootnoteReference"/>
          <w:rFonts w:ascii="Arial" w:hAnsi="Arial" w:cs="Arial"/>
        </w:rPr>
        <w:footnoteReference w:id="16"/>
      </w:r>
      <w:r w:rsidRPr="005B139E">
        <w:rPr>
          <w:rFonts w:ascii="Arial" w:hAnsi="Arial" w:cs="Arial"/>
        </w:rPr>
        <w:t xml:space="preserve"> Analysis prepared by </w:t>
      </w:r>
      <w:r w:rsidR="00143979">
        <w:rPr>
          <w:rFonts w:ascii="Arial" w:hAnsi="Arial" w:cs="Arial"/>
        </w:rPr>
        <w:t xml:space="preserve">the advisory firm </w:t>
      </w:r>
      <w:r w:rsidRPr="005B139E">
        <w:rPr>
          <w:rFonts w:ascii="Arial" w:hAnsi="Arial" w:cs="Arial"/>
        </w:rPr>
        <w:t xml:space="preserve">BDO </w:t>
      </w:r>
      <w:r w:rsidR="007025E9">
        <w:rPr>
          <w:rFonts w:ascii="Arial" w:hAnsi="Arial" w:cs="Arial"/>
        </w:rPr>
        <w:t xml:space="preserve">for the </w:t>
      </w:r>
      <w:r w:rsidR="00E227A4">
        <w:rPr>
          <w:rFonts w:ascii="Arial" w:hAnsi="Arial" w:cs="Arial"/>
        </w:rPr>
        <w:t>AADA</w:t>
      </w:r>
      <w:r w:rsidR="007025E9">
        <w:rPr>
          <w:rFonts w:ascii="Arial" w:hAnsi="Arial" w:cs="Arial"/>
        </w:rPr>
        <w:t xml:space="preserve"> </w:t>
      </w:r>
      <w:r w:rsidRPr="005B139E">
        <w:rPr>
          <w:rFonts w:ascii="Arial" w:hAnsi="Arial" w:cs="Arial"/>
        </w:rPr>
        <w:t>suggests that over time, once the market adjusts, additional revenue will be found to replace the missing finance and insurance income, however, it is not clear whether this will come from increase</w:t>
      </w:r>
      <w:r w:rsidR="00F75F49">
        <w:rPr>
          <w:rFonts w:ascii="Arial" w:hAnsi="Arial" w:cs="Arial"/>
        </w:rPr>
        <w:t>d</w:t>
      </w:r>
      <w:r w:rsidRPr="005B139E">
        <w:rPr>
          <w:rFonts w:ascii="Arial" w:hAnsi="Arial" w:cs="Arial"/>
        </w:rPr>
        <w:t xml:space="preserve"> margins on new vehicle sales or increased incentive based income or another source entirely.</w:t>
      </w:r>
      <w:r w:rsidRPr="005B139E">
        <w:rPr>
          <w:rStyle w:val="FootnoteReference"/>
          <w:rFonts w:ascii="Arial" w:hAnsi="Arial" w:cs="Arial"/>
        </w:rPr>
        <w:footnoteReference w:id="17"/>
      </w:r>
      <w:r w:rsidRPr="005B139E">
        <w:rPr>
          <w:rFonts w:ascii="Arial" w:hAnsi="Arial" w:cs="Arial"/>
        </w:rPr>
        <w:t xml:space="preserve"> </w:t>
      </w:r>
    </w:p>
    <w:p w:rsidR="00B13090" w:rsidRPr="00116D01" w:rsidRDefault="11FF59B9" w:rsidP="00956EF8">
      <w:pPr>
        <w:keepNext/>
        <w:spacing w:before="240" w:line="360" w:lineRule="auto"/>
        <w:jc w:val="both"/>
        <w:rPr>
          <w:rFonts w:ascii="Arial" w:hAnsi="Arial" w:cs="Arial"/>
          <w:b/>
          <w:bCs/>
        </w:rPr>
      </w:pPr>
      <w:r w:rsidRPr="11FF59B9">
        <w:rPr>
          <w:rFonts w:ascii="Arial" w:hAnsi="Arial" w:cs="Arial"/>
          <w:b/>
          <w:bCs/>
        </w:rPr>
        <w:t>What is franchising?</w:t>
      </w:r>
    </w:p>
    <w:p w:rsidR="00B13090" w:rsidRDefault="00B13090" w:rsidP="11FF59B9">
      <w:pPr>
        <w:spacing w:before="240" w:line="360" w:lineRule="auto"/>
        <w:jc w:val="both"/>
        <w:rPr>
          <w:rFonts w:ascii="Arial" w:hAnsi="Arial" w:cs="Arial"/>
        </w:rPr>
      </w:pPr>
      <w:r w:rsidRPr="0067009C">
        <w:rPr>
          <w:rFonts w:ascii="Arial" w:hAnsi="Arial" w:cs="Arial"/>
        </w:rPr>
        <w:t>Franchising is a relationship between two</w:t>
      </w:r>
      <w:r>
        <w:rPr>
          <w:rFonts w:ascii="Arial" w:hAnsi="Arial" w:cs="Arial"/>
        </w:rPr>
        <w:t xml:space="preserve"> separate commercial parties, a </w:t>
      </w:r>
      <w:r w:rsidRPr="0067009C">
        <w:rPr>
          <w:rFonts w:ascii="Arial" w:hAnsi="Arial" w:cs="Arial"/>
        </w:rPr>
        <w:t>franchisor and a franchisee</w:t>
      </w:r>
      <w:r w:rsidR="00A835A2">
        <w:rPr>
          <w:rFonts w:ascii="Arial" w:hAnsi="Arial" w:cs="Arial"/>
        </w:rPr>
        <w:t>, for</w:t>
      </w:r>
      <w:r w:rsidR="006723C0">
        <w:rPr>
          <w:rFonts w:ascii="Arial" w:hAnsi="Arial" w:cs="Arial"/>
        </w:rPr>
        <w:t xml:space="preserve"> a defined</w:t>
      </w:r>
      <w:r w:rsidR="00A835A2">
        <w:rPr>
          <w:rFonts w:ascii="Arial" w:hAnsi="Arial" w:cs="Arial"/>
        </w:rPr>
        <w:t xml:space="preserve"> </w:t>
      </w:r>
      <w:r w:rsidR="006723C0">
        <w:rPr>
          <w:rFonts w:ascii="Arial" w:hAnsi="Arial" w:cs="Arial"/>
        </w:rPr>
        <w:t>t</w:t>
      </w:r>
      <w:r w:rsidR="00A835A2">
        <w:rPr>
          <w:rFonts w:ascii="Arial" w:hAnsi="Arial" w:cs="Arial"/>
        </w:rPr>
        <w:t xml:space="preserve">erm </w:t>
      </w:r>
      <w:r w:rsidR="006723C0">
        <w:rPr>
          <w:rFonts w:ascii="Arial" w:hAnsi="Arial" w:cs="Arial"/>
        </w:rPr>
        <w:t>as outlined in their franchise agreement</w:t>
      </w:r>
      <w:r w:rsidRPr="0067009C">
        <w:rPr>
          <w:rFonts w:ascii="Arial" w:hAnsi="Arial" w:cs="Arial"/>
        </w:rPr>
        <w:t>. The franchising relationship is</w:t>
      </w:r>
      <w:r>
        <w:rPr>
          <w:rFonts w:ascii="Arial" w:hAnsi="Arial" w:cs="Arial"/>
        </w:rPr>
        <w:t xml:space="preserve"> based on a prescribed </w:t>
      </w:r>
      <w:r w:rsidRPr="0067009C">
        <w:rPr>
          <w:rFonts w:ascii="Arial" w:hAnsi="Arial" w:cs="Arial"/>
        </w:rPr>
        <w:t>business model which is offered by the franchisor and c</w:t>
      </w:r>
      <w:r>
        <w:rPr>
          <w:rFonts w:ascii="Arial" w:hAnsi="Arial" w:cs="Arial"/>
        </w:rPr>
        <w:t xml:space="preserve">arried out under their guidance </w:t>
      </w:r>
      <w:r w:rsidRPr="0067009C">
        <w:rPr>
          <w:rFonts w:ascii="Arial" w:hAnsi="Arial" w:cs="Arial"/>
        </w:rPr>
        <w:t xml:space="preserve">and oversight by franchise owners (franchisees). </w:t>
      </w:r>
      <w:r w:rsidRPr="00EC05C8">
        <w:rPr>
          <w:rFonts w:ascii="Arial" w:hAnsi="Arial" w:cs="Arial"/>
        </w:rPr>
        <w:t>For franchisees, the appeal of a franchise is the potenti</w:t>
      </w:r>
      <w:r>
        <w:rPr>
          <w:rFonts w:ascii="Arial" w:hAnsi="Arial" w:cs="Arial"/>
        </w:rPr>
        <w:t xml:space="preserve">al benefits of being able </w:t>
      </w:r>
      <w:r w:rsidRPr="00EC05C8">
        <w:rPr>
          <w:rFonts w:ascii="Arial" w:hAnsi="Arial" w:cs="Arial"/>
        </w:rPr>
        <w:t>to conduct a business under an established bran</w:t>
      </w:r>
      <w:r>
        <w:rPr>
          <w:rFonts w:ascii="Arial" w:hAnsi="Arial" w:cs="Arial"/>
        </w:rPr>
        <w:t xml:space="preserve">d name using tested operational </w:t>
      </w:r>
      <w:r w:rsidRPr="00EC05C8">
        <w:rPr>
          <w:rFonts w:ascii="Arial" w:hAnsi="Arial" w:cs="Arial"/>
        </w:rPr>
        <w:t>systems.</w:t>
      </w:r>
      <w:bookmarkStart w:id="30" w:name="_Ref529871878"/>
      <w:r>
        <w:rPr>
          <w:rStyle w:val="FootnoteReference"/>
          <w:rFonts w:ascii="Arial" w:hAnsi="Arial" w:cs="Arial"/>
        </w:rPr>
        <w:footnoteReference w:id="18"/>
      </w:r>
      <w:bookmarkEnd w:id="30"/>
      <w:r w:rsidRPr="00EC05C8">
        <w:rPr>
          <w:rFonts w:ascii="Arial" w:hAnsi="Arial" w:cs="Arial"/>
        </w:rPr>
        <w:t xml:space="preserve"> In turn, franchisors are able to grow their bus</w:t>
      </w:r>
      <w:r>
        <w:rPr>
          <w:rFonts w:ascii="Arial" w:hAnsi="Arial" w:cs="Arial"/>
        </w:rPr>
        <w:t xml:space="preserve">iness by allowing others to use </w:t>
      </w:r>
      <w:r w:rsidRPr="00EC05C8">
        <w:rPr>
          <w:rFonts w:ascii="Arial" w:hAnsi="Arial" w:cs="Arial"/>
        </w:rPr>
        <w:t xml:space="preserve">the model they have developed, within an agreement that allows </w:t>
      </w:r>
      <w:r>
        <w:rPr>
          <w:rFonts w:ascii="Arial" w:hAnsi="Arial" w:cs="Arial"/>
        </w:rPr>
        <w:t xml:space="preserve">them to retain </w:t>
      </w:r>
      <w:r w:rsidRPr="00EC05C8">
        <w:rPr>
          <w:rFonts w:ascii="Arial" w:hAnsi="Arial" w:cs="Arial"/>
        </w:rPr>
        <w:t>substantial control over its use but without the financi</w:t>
      </w:r>
      <w:r>
        <w:rPr>
          <w:rFonts w:ascii="Arial" w:hAnsi="Arial" w:cs="Arial"/>
        </w:rPr>
        <w:t xml:space="preserve">al risks of significant capital </w:t>
      </w:r>
      <w:r w:rsidRPr="00EC05C8">
        <w:rPr>
          <w:rFonts w:ascii="Arial" w:hAnsi="Arial" w:cs="Arial"/>
        </w:rPr>
        <w:t>expenditure.</w:t>
      </w:r>
      <w:r>
        <w:rPr>
          <w:rStyle w:val="FootnoteReference"/>
          <w:rFonts w:ascii="Arial" w:hAnsi="Arial" w:cs="Arial"/>
        </w:rPr>
        <w:footnoteReference w:id="19"/>
      </w:r>
    </w:p>
    <w:p w:rsidR="00B13090" w:rsidRDefault="00B13090" w:rsidP="11FF59B9">
      <w:pPr>
        <w:spacing w:before="240" w:line="360" w:lineRule="auto"/>
        <w:jc w:val="both"/>
        <w:rPr>
          <w:rFonts w:ascii="Arial" w:hAnsi="Arial" w:cs="Arial"/>
        </w:rPr>
      </w:pPr>
      <w:r w:rsidRPr="00BD0C6A">
        <w:rPr>
          <w:rFonts w:ascii="Arial" w:hAnsi="Arial" w:cs="Arial"/>
        </w:rPr>
        <w:t>Franchisors are expected to offer a</w:t>
      </w:r>
      <w:r>
        <w:rPr>
          <w:rFonts w:ascii="Arial" w:hAnsi="Arial" w:cs="Arial"/>
        </w:rPr>
        <w:t xml:space="preserve">n appropriate level of support, </w:t>
      </w:r>
      <w:r w:rsidRPr="00BD0C6A">
        <w:rPr>
          <w:rFonts w:ascii="Arial" w:hAnsi="Arial" w:cs="Arial"/>
        </w:rPr>
        <w:t>guidance and advice to franchisees on using their b</w:t>
      </w:r>
      <w:r>
        <w:rPr>
          <w:rFonts w:ascii="Arial" w:hAnsi="Arial" w:cs="Arial"/>
        </w:rPr>
        <w:t xml:space="preserve">usiness model; maintain support </w:t>
      </w:r>
      <w:r w:rsidRPr="00BD0C6A">
        <w:rPr>
          <w:rFonts w:ascii="Arial" w:hAnsi="Arial" w:cs="Arial"/>
        </w:rPr>
        <w:t>through advertising and marketing; provide inputs a</w:t>
      </w:r>
      <w:r>
        <w:rPr>
          <w:rFonts w:ascii="Arial" w:hAnsi="Arial" w:cs="Arial"/>
        </w:rPr>
        <w:t xml:space="preserve">nd equipment of an agreed </w:t>
      </w:r>
      <w:r w:rsidRPr="00BD0C6A">
        <w:rPr>
          <w:rFonts w:ascii="Arial" w:hAnsi="Arial" w:cs="Arial"/>
        </w:rPr>
        <w:t>standard; and update the model when business c</w:t>
      </w:r>
      <w:r>
        <w:rPr>
          <w:rFonts w:ascii="Arial" w:hAnsi="Arial" w:cs="Arial"/>
        </w:rPr>
        <w:t>onditions demand it.</w:t>
      </w:r>
      <w:r>
        <w:rPr>
          <w:rStyle w:val="FootnoteReference"/>
          <w:rFonts w:ascii="Arial" w:hAnsi="Arial" w:cs="Arial"/>
        </w:rPr>
        <w:footnoteReference w:id="20"/>
      </w:r>
      <w:r>
        <w:rPr>
          <w:rFonts w:ascii="Arial" w:hAnsi="Arial" w:cs="Arial"/>
        </w:rPr>
        <w:t xml:space="preserve"> In return, </w:t>
      </w:r>
      <w:r w:rsidRPr="00BD0C6A">
        <w:rPr>
          <w:rFonts w:ascii="Arial" w:hAnsi="Arial" w:cs="Arial"/>
        </w:rPr>
        <w:t>franchisees are expected to pay agreed fees and royalties and execute the business</w:t>
      </w:r>
      <w:r>
        <w:rPr>
          <w:rFonts w:ascii="Arial" w:hAnsi="Arial" w:cs="Arial"/>
        </w:rPr>
        <w:t xml:space="preserve"> </w:t>
      </w:r>
      <w:r w:rsidRPr="00BD0C6A">
        <w:rPr>
          <w:rFonts w:ascii="Arial" w:hAnsi="Arial" w:cs="Arial"/>
        </w:rPr>
        <w:t>model as prescribed by the franchisor, to a standard that maintains the reputation of</w:t>
      </w:r>
      <w:r>
        <w:rPr>
          <w:rFonts w:ascii="Arial" w:hAnsi="Arial" w:cs="Arial"/>
        </w:rPr>
        <w:t xml:space="preserve"> </w:t>
      </w:r>
      <w:r w:rsidRPr="00BD0C6A">
        <w:rPr>
          <w:rFonts w:ascii="Arial" w:hAnsi="Arial" w:cs="Arial"/>
        </w:rPr>
        <w:t>the franchise network as a whole.</w:t>
      </w:r>
      <w:r>
        <w:rPr>
          <w:rStyle w:val="FootnoteReference"/>
          <w:rFonts w:ascii="Arial" w:hAnsi="Arial" w:cs="Arial"/>
        </w:rPr>
        <w:footnoteReference w:id="21"/>
      </w:r>
      <w:r w:rsidRPr="00BD0C6A">
        <w:rPr>
          <w:rFonts w:ascii="Arial" w:hAnsi="Arial" w:cs="Arial"/>
        </w:rPr>
        <w:t xml:space="preserve"> The success of a</w:t>
      </w:r>
      <w:r>
        <w:rPr>
          <w:rFonts w:ascii="Arial" w:hAnsi="Arial" w:cs="Arial"/>
        </w:rPr>
        <w:t xml:space="preserve"> franchise model depends on the </w:t>
      </w:r>
      <w:r w:rsidRPr="00BD0C6A">
        <w:rPr>
          <w:rFonts w:ascii="Arial" w:hAnsi="Arial" w:cs="Arial"/>
        </w:rPr>
        <w:t>provision of a consistent, quality product or service t</w:t>
      </w:r>
      <w:r>
        <w:rPr>
          <w:rFonts w:ascii="Arial" w:hAnsi="Arial" w:cs="Arial"/>
        </w:rPr>
        <w:t xml:space="preserve">o consumers, who generally view </w:t>
      </w:r>
      <w:r w:rsidRPr="00BD0C6A">
        <w:rPr>
          <w:rFonts w:ascii="Arial" w:hAnsi="Arial" w:cs="Arial"/>
        </w:rPr>
        <w:t>the brand as a homogenous entity and exercise their spending preferences accordingly.</w:t>
      </w:r>
      <w:r>
        <w:rPr>
          <w:rStyle w:val="FootnoteReference"/>
          <w:rFonts w:ascii="Arial" w:hAnsi="Arial" w:cs="Arial"/>
        </w:rPr>
        <w:footnoteReference w:id="22"/>
      </w:r>
    </w:p>
    <w:p w:rsidR="00B13090" w:rsidRDefault="00B13090" w:rsidP="11FF59B9">
      <w:pPr>
        <w:spacing w:before="240" w:line="360" w:lineRule="auto"/>
        <w:jc w:val="both"/>
        <w:rPr>
          <w:rFonts w:ascii="Arial" w:hAnsi="Arial" w:cs="Arial"/>
        </w:rPr>
      </w:pPr>
      <w:r>
        <w:rPr>
          <w:rFonts w:ascii="Arial" w:hAnsi="Arial" w:cs="Arial"/>
        </w:rPr>
        <w:t xml:space="preserve">The franchising </w:t>
      </w:r>
      <w:r w:rsidRPr="008E469D">
        <w:rPr>
          <w:rFonts w:ascii="Arial" w:hAnsi="Arial" w:cs="Arial"/>
        </w:rPr>
        <w:t>model is necessarily predicated on franchisor contr</w:t>
      </w:r>
      <w:r>
        <w:rPr>
          <w:rFonts w:ascii="Arial" w:hAnsi="Arial" w:cs="Arial"/>
        </w:rPr>
        <w:t xml:space="preserve">ol over the use of </w:t>
      </w:r>
      <w:r w:rsidR="00F75F49">
        <w:rPr>
          <w:rFonts w:ascii="Arial" w:hAnsi="Arial" w:cs="Arial"/>
        </w:rPr>
        <w:t xml:space="preserve">its </w:t>
      </w:r>
      <w:r>
        <w:rPr>
          <w:rFonts w:ascii="Arial" w:hAnsi="Arial" w:cs="Arial"/>
        </w:rPr>
        <w:t xml:space="preserve">brand, </w:t>
      </w:r>
      <w:r w:rsidRPr="008E469D">
        <w:rPr>
          <w:rFonts w:ascii="Arial" w:hAnsi="Arial" w:cs="Arial"/>
        </w:rPr>
        <w:t xml:space="preserve">allowing </w:t>
      </w:r>
      <w:r w:rsidR="00F75F49">
        <w:rPr>
          <w:rFonts w:ascii="Arial" w:hAnsi="Arial" w:cs="Arial"/>
        </w:rPr>
        <w:t>it</w:t>
      </w:r>
      <w:r w:rsidRPr="008E469D">
        <w:rPr>
          <w:rFonts w:ascii="Arial" w:hAnsi="Arial" w:cs="Arial"/>
        </w:rPr>
        <w:t xml:space="preserve"> to impose terms and conditions</w:t>
      </w:r>
      <w:r>
        <w:rPr>
          <w:rFonts w:ascii="Arial" w:hAnsi="Arial" w:cs="Arial"/>
        </w:rPr>
        <w:t xml:space="preserve"> on the way franchisees operate </w:t>
      </w:r>
      <w:r w:rsidRPr="008E469D">
        <w:rPr>
          <w:rFonts w:ascii="Arial" w:hAnsi="Arial" w:cs="Arial"/>
        </w:rPr>
        <w:t>their franchise business.</w:t>
      </w:r>
      <w:r>
        <w:rPr>
          <w:rStyle w:val="FootnoteReference"/>
          <w:rFonts w:ascii="Arial" w:hAnsi="Arial" w:cs="Arial"/>
        </w:rPr>
        <w:footnoteReference w:id="23"/>
      </w:r>
      <w:r w:rsidRPr="00EA3360">
        <w:rPr>
          <w:rFonts w:ascii="Arial" w:hAnsi="Arial" w:cs="Arial"/>
        </w:rPr>
        <w:t xml:space="preserve"> </w:t>
      </w:r>
      <w:r>
        <w:rPr>
          <w:rFonts w:ascii="Arial" w:hAnsi="Arial" w:cs="Arial"/>
        </w:rPr>
        <w:t xml:space="preserve">Standard form contracts specify </w:t>
      </w:r>
      <w:r w:rsidRPr="008E469D">
        <w:rPr>
          <w:rFonts w:ascii="Arial" w:hAnsi="Arial" w:cs="Arial"/>
        </w:rPr>
        <w:t xml:space="preserve">the beginning of </w:t>
      </w:r>
      <w:r>
        <w:rPr>
          <w:rFonts w:ascii="Arial" w:hAnsi="Arial" w:cs="Arial"/>
        </w:rPr>
        <w:t xml:space="preserve">a franchising relationship but, as allowed for in the contracts, the </w:t>
      </w:r>
      <w:r w:rsidRPr="008E469D">
        <w:rPr>
          <w:rFonts w:ascii="Arial" w:hAnsi="Arial" w:cs="Arial"/>
        </w:rPr>
        <w:t>operations manual and other communications or dire</w:t>
      </w:r>
      <w:r>
        <w:rPr>
          <w:rFonts w:ascii="Arial" w:hAnsi="Arial" w:cs="Arial"/>
        </w:rPr>
        <w:t xml:space="preserve">ctions from the franchisor form </w:t>
      </w:r>
      <w:r w:rsidRPr="008E469D">
        <w:rPr>
          <w:rFonts w:ascii="Arial" w:hAnsi="Arial" w:cs="Arial"/>
        </w:rPr>
        <w:t>the basis of daily operations.</w:t>
      </w:r>
      <w:r>
        <w:rPr>
          <w:rStyle w:val="FootnoteReference"/>
          <w:rFonts w:ascii="Arial" w:hAnsi="Arial" w:cs="Arial"/>
        </w:rPr>
        <w:footnoteReference w:id="24"/>
      </w:r>
      <w:r w:rsidRPr="008E469D">
        <w:rPr>
          <w:rFonts w:ascii="Arial" w:hAnsi="Arial" w:cs="Arial"/>
        </w:rPr>
        <w:t xml:space="preserve"> </w:t>
      </w:r>
    </w:p>
    <w:p w:rsidR="004848E6" w:rsidRDefault="004848E6" w:rsidP="004848E6">
      <w:pPr>
        <w:spacing w:before="240" w:line="360" w:lineRule="auto"/>
        <w:jc w:val="both"/>
        <w:rPr>
          <w:rFonts w:ascii="Arial" w:hAnsi="Arial" w:cs="Arial"/>
        </w:rPr>
      </w:pPr>
      <w:r>
        <w:rPr>
          <w:rFonts w:ascii="Arial" w:hAnsi="Arial" w:cs="Arial"/>
        </w:rPr>
        <w:t xml:space="preserve">Unlike other </w:t>
      </w:r>
      <w:r w:rsidRPr="004848E6">
        <w:rPr>
          <w:rFonts w:ascii="Arial" w:hAnsi="Arial" w:cs="Arial"/>
        </w:rPr>
        <w:t>commercial relationships</w:t>
      </w:r>
      <w:r>
        <w:rPr>
          <w:rFonts w:ascii="Arial" w:hAnsi="Arial" w:cs="Arial"/>
        </w:rPr>
        <w:t>,</w:t>
      </w:r>
      <w:r w:rsidRPr="004848E6">
        <w:rPr>
          <w:rFonts w:ascii="Arial" w:hAnsi="Arial" w:cs="Arial"/>
        </w:rPr>
        <w:t xml:space="preserve"> </w:t>
      </w:r>
      <w:r>
        <w:rPr>
          <w:rFonts w:ascii="Arial" w:hAnsi="Arial" w:cs="Arial"/>
        </w:rPr>
        <w:t xml:space="preserve">the franchising parties’ </w:t>
      </w:r>
      <w:r w:rsidRPr="004848E6">
        <w:rPr>
          <w:rFonts w:ascii="Arial" w:hAnsi="Arial" w:cs="Arial"/>
        </w:rPr>
        <w:t>contractual oblig</w:t>
      </w:r>
      <w:r>
        <w:rPr>
          <w:rFonts w:ascii="Arial" w:hAnsi="Arial" w:cs="Arial"/>
        </w:rPr>
        <w:t xml:space="preserve">ations are variable and based on a </w:t>
      </w:r>
      <w:r w:rsidRPr="004848E6">
        <w:rPr>
          <w:rFonts w:ascii="Arial" w:hAnsi="Arial" w:cs="Arial"/>
        </w:rPr>
        <w:t>symbiotic</w:t>
      </w:r>
      <w:r>
        <w:rPr>
          <w:rFonts w:ascii="Arial" w:hAnsi="Arial" w:cs="Arial"/>
        </w:rPr>
        <w:t xml:space="preserve"> </w:t>
      </w:r>
      <w:r w:rsidRPr="004848E6">
        <w:rPr>
          <w:rFonts w:ascii="Arial" w:hAnsi="Arial" w:cs="Arial"/>
        </w:rPr>
        <w:t>relationship.</w:t>
      </w:r>
      <w:bookmarkStart w:id="31" w:name="_Ref530471234"/>
      <w:r w:rsidR="004E17B1">
        <w:rPr>
          <w:rStyle w:val="FootnoteReference"/>
          <w:rFonts w:ascii="Arial" w:hAnsi="Arial" w:cs="Arial"/>
        </w:rPr>
        <w:footnoteReference w:id="25"/>
      </w:r>
      <w:bookmarkEnd w:id="31"/>
      <w:r w:rsidR="004E17B1" w:rsidRPr="008E469D">
        <w:rPr>
          <w:rFonts w:ascii="Arial" w:hAnsi="Arial" w:cs="Arial"/>
        </w:rPr>
        <w:t xml:space="preserve"> </w:t>
      </w:r>
      <w:r>
        <w:rPr>
          <w:rFonts w:ascii="Arial" w:hAnsi="Arial" w:cs="Arial"/>
        </w:rPr>
        <w:t xml:space="preserve">The obligations do not involve </w:t>
      </w:r>
      <w:r w:rsidRPr="004848E6">
        <w:rPr>
          <w:rFonts w:ascii="Arial" w:hAnsi="Arial" w:cs="Arial"/>
        </w:rPr>
        <w:t xml:space="preserve">discrete, </w:t>
      </w:r>
      <w:r>
        <w:rPr>
          <w:rFonts w:ascii="Arial" w:hAnsi="Arial" w:cs="Arial"/>
        </w:rPr>
        <w:t xml:space="preserve">one-off </w:t>
      </w:r>
      <w:r w:rsidRPr="004848E6">
        <w:rPr>
          <w:rFonts w:ascii="Arial" w:hAnsi="Arial" w:cs="Arial"/>
        </w:rPr>
        <w:t>exchanges between parties on clearly defined t</w:t>
      </w:r>
      <w:r>
        <w:rPr>
          <w:rFonts w:ascii="Arial" w:hAnsi="Arial" w:cs="Arial"/>
        </w:rPr>
        <w:t xml:space="preserve">erms that characterise ordinary </w:t>
      </w:r>
      <w:r w:rsidR="00FB0110">
        <w:rPr>
          <w:rFonts w:ascii="Arial" w:hAnsi="Arial" w:cs="Arial"/>
        </w:rPr>
        <w:t>contractual agreements.</w:t>
      </w:r>
      <w:r w:rsidR="004E17B1">
        <w:rPr>
          <w:rStyle w:val="FootnoteReference"/>
          <w:rFonts w:ascii="Arial" w:hAnsi="Arial" w:cs="Arial"/>
        </w:rPr>
        <w:footnoteReference w:id="26"/>
      </w:r>
      <w:r w:rsidR="004E17B1" w:rsidRPr="008E469D">
        <w:rPr>
          <w:rFonts w:ascii="Arial" w:hAnsi="Arial" w:cs="Arial"/>
        </w:rPr>
        <w:t xml:space="preserve"> </w:t>
      </w:r>
      <w:r w:rsidR="00730CBA">
        <w:rPr>
          <w:rFonts w:ascii="Arial" w:hAnsi="Arial" w:cs="Arial"/>
        </w:rPr>
        <w:t xml:space="preserve">Franchising agreements are drafted to allow </w:t>
      </w:r>
      <w:r w:rsidRPr="004848E6">
        <w:rPr>
          <w:rFonts w:ascii="Arial" w:hAnsi="Arial" w:cs="Arial"/>
        </w:rPr>
        <w:t>flexibility of</w:t>
      </w:r>
      <w:r w:rsidR="00730CBA">
        <w:rPr>
          <w:rFonts w:ascii="Arial" w:hAnsi="Arial" w:cs="Arial"/>
        </w:rPr>
        <w:t xml:space="preserve"> </w:t>
      </w:r>
      <w:r w:rsidRPr="004848E6">
        <w:rPr>
          <w:rFonts w:ascii="Arial" w:hAnsi="Arial" w:cs="Arial"/>
        </w:rPr>
        <w:t xml:space="preserve">terms </w:t>
      </w:r>
      <w:r w:rsidR="00730CBA">
        <w:rPr>
          <w:rFonts w:ascii="Arial" w:hAnsi="Arial" w:cs="Arial"/>
        </w:rPr>
        <w:t xml:space="preserve">so that the franchise system is able </w:t>
      </w:r>
      <w:r w:rsidRPr="004848E6">
        <w:rPr>
          <w:rFonts w:ascii="Arial" w:hAnsi="Arial" w:cs="Arial"/>
        </w:rPr>
        <w:t>to adapt to constantly changing business conditions.</w:t>
      </w:r>
      <w:r w:rsidR="004E17B1">
        <w:rPr>
          <w:rStyle w:val="FootnoteReference"/>
          <w:rFonts w:ascii="Arial" w:hAnsi="Arial" w:cs="Arial"/>
        </w:rPr>
        <w:footnoteReference w:id="27"/>
      </w:r>
      <w:r w:rsidR="004E17B1" w:rsidRPr="008E469D">
        <w:rPr>
          <w:rFonts w:ascii="Arial" w:hAnsi="Arial" w:cs="Arial"/>
        </w:rPr>
        <w:t xml:space="preserve"> </w:t>
      </w:r>
      <w:r w:rsidRPr="004848E6">
        <w:rPr>
          <w:rFonts w:ascii="Arial" w:hAnsi="Arial" w:cs="Arial"/>
        </w:rPr>
        <w:t xml:space="preserve"> Contracts between</w:t>
      </w:r>
      <w:r w:rsidR="00730CBA">
        <w:rPr>
          <w:rFonts w:ascii="Arial" w:hAnsi="Arial" w:cs="Arial"/>
        </w:rPr>
        <w:t xml:space="preserve"> </w:t>
      </w:r>
      <w:r w:rsidRPr="004848E6">
        <w:rPr>
          <w:rFonts w:ascii="Arial" w:hAnsi="Arial" w:cs="Arial"/>
        </w:rPr>
        <w:t>franchisees and franchisors therefore need continuing cooperation and agreement</w:t>
      </w:r>
      <w:r w:rsidR="003825B8">
        <w:rPr>
          <w:rFonts w:ascii="Arial" w:hAnsi="Arial" w:cs="Arial"/>
        </w:rPr>
        <w:t>.</w:t>
      </w:r>
      <w:r w:rsidR="004E17B1">
        <w:rPr>
          <w:rStyle w:val="FootnoteReference"/>
          <w:rFonts w:ascii="Arial" w:hAnsi="Arial" w:cs="Arial"/>
        </w:rPr>
        <w:footnoteReference w:id="28"/>
      </w:r>
      <w:r w:rsidR="004E17B1" w:rsidRPr="008E469D">
        <w:rPr>
          <w:rFonts w:ascii="Arial" w:hAnsi="Arial" w:cs="Arial"/>
        </w:rPr>
        <w:t xml:space="preserve"> </w:t>
      </w:r>
      <w:r w:rsidR="003825B8">
        <w:rPr>
          <w:rFonts w:ascii="Arial" w:hAnsi="Arial" w:cs="Arial"/>
        </w:rPr>
        <w:t xml:space="preserve"> </w:t>
      </w:r>
    </w:p>
    <w:p w:rsidR="00176F65" w:rsidRDefault="11FF59B9" w:rsidP="11FF59B9">
      <w:pPr>
        <w:spacing w:before="240" w:line="360" w:lineRule="auto"/>
        <w:jc w:val="both"/>
        <w:rPr>
          <w:rFonts w:ascii="Arial" w:hAnsi="Arial" w:cs="Arial"/>
        </w:rPr>
      </w:pPr>
      <w:r w:rsidRPr="11FF59B9">
        <w:rPr>
          <w:rFonts w:ascii="Arial" w:hAnsi="Arial" w:cs="Arial"/>
        </w:rPr>
        <w:t xml:space="preserve">In line with the Government’s Policy Guidelines for Codes of Conduct, the Franchising Code does not seek to restrict competition or unduly interfere with </w:t>
      </w:r>
      <w:r w:rsidR="00670FF9">
        <w:rPr>
          <w:rFonts w:ascii="Arial" w:hAnsi="Arial" w:cs="Arial"/>
        </w:rPr>
        <w:t xml:space="preserve">the </w:t>
      </w:r>
      <w:r w:rsidRPr="11FF59B9">
        <w:rPr>
          <w:rFonts w:ascii="Arial" w:hAnsi="Arial" w:cs="Arial"/>
        </w:rPr>
        <w:t>two commercial parties’ freedom to contract. Rather, in recognition of the information asymmetry that can exist between franchisors</w:t>
      </w:r>
      <w:r w:rsidR="00670FF9">
        <w:rPr>
          <w:rFonts w:ascii="Arial" w:hAnsi="Arial" w:cs="Arial"/>
        </w:rPr>
        <w:t xml:space="preserve"> </w:t>
      </w:r>
      <w:r w:rsidRPr="11FF59B9">
        <w:rPr>
          <w:rFonts w:ascii="Arial" w:hAnsi="Arial" w:cs="Arial"/>
        </w:rPr>
        <w:t xml:space="preserve">and franchisees, the Franchising Code requires that a disclosure statement be provided to prospective franchisees so they can make a reasonably informed decision about entering into a franchise agreement. </w:t>
      </w:r>
    </w:p>
    <w:p w:rsidR="000407AA" w:rsidRPr="000407AA" w:rsidRDefault="11FF59B9" w:rsidP="11FF59B9">
      <w:pPr>
        <w:keepNext/>
        <w:spacing w:before="240" w:line="360" w:lineRule="auto"/>
        <w:jc w:val="both"/>
        <w:rPr>
          <w:rFonts w:ascii="Arial" w:hAnsi="Arial" w:cs="Arial"/>
          <w:b/>
          <w:bCs/>
        </w:rPr>
      </w:pPr>
      <w:r w:rsidRPr="11FF59B9">
        <w:rPr>
          <w:rFonts w:ascii="Arial" w:hAnsi="Arial" w:cs="Arial"/>
          <w:b/>
          <w:bCs/>
        </w:rPr>
        <w:t>Automotive franchising agreements</w:t>
      </w:r>
    </w:p>
    <w:p w:rsidR="00176F65" w:rsidRDefault="11FF59B9" w:rsidP="11FF59B9">
      <w:pPr>
        <w:spacing w:before="240" w:line="360" w:lineRule="auto"/>
        <w:jc w:val="both"/>
        <w:rPr>
          <w:rFonts w:ascii="Arial" w:hAnsi="Arial" w:cs="Arial"/>
        </w:rPr>
      </w:pPr>
      <w:r w:rsidRPr="11FF59B9">
        <w:rPr>
          <w:rFonts w:ascii="Arial" w:hAnsi="Arial" w:cs="Arial"/>
        </w:rPr>
        <w:t>Franchising arrangements between car manufacturer franchisors, as represented by distributors within Australia, and Australian car dealerships, as franchisees, are subject to the Franchising Code. However, automotive franchise agreements tend to differ from typical franchise agreements in two key ways:</w:t>
      </w:r>
    </w:p>
    <w:p w:rsidR="00176F65" w:rsidRDefault="00176F65" w:rsidP="11FF59B9">
      <w:pPr>
        <w:pStyle w:val="ListParagraph"/>
        <w:numPr>
          <w:ilvl w:val="0"/>
          <w:numId w:val="8"/>
        </w:numPr>
        <w:spacing w:before="240" w:line="360" w:lineRule="auto"/>
        <w:jc w:val="both"/>
        <w:rPr>
          <w:rFonts w:ascii="Arial" w:hAnsi="Arial" w:cs="Arial"/>
        </w:rPr>
      </w:pPr>
      <w:r>
        <w:rPr>
          <w:rFonts w:ascii="Arial" w:hAnsi="Arial" w:cs="Arial"/>
        </w:rPr>
        <w:t xml:space="preserve">New car dealers do not pay fees or royalties to car </w:t>
      </w:r>
      <w:r w:rsidR="004605BE">
        <w:rPr>
          <w:rFonts w:ascii="Arial" w:hAnsi="Arial" w:cs="Arial"/>
        </w:rPr>
        <w:t>manufacturers</w:t>
      </w:r>
      <w:r>
        <w:rPr>
          <w:rFonts w:ascii="Arial" w:hAnsi="Arial" w:cs="Arial"/>
        </w:rPr>
        <w:t xml:space="preserve"> for the use of their brand.</w:t>
      </w:r>
      <w:r w:rsidR="002A5FC9">
        <w:rPr>
          <w:rStyle w:val="FootnoteReference"/>
          <w:rFonts w:ascii="Arial" w:hAnsi="Arial" w:cs="Arial"/>
        </w:rPr>
        <w:footnoteReference w:id="29"/>
      </w:r>
      <w:r>
        <w:rPr>
          <w:rFonts w:ascii="Arial" w:hAnsi="Arial" w:cs="Arial"/>
        </w:rPr>
        <w:t xml:space="preserve"> The only payments that car dealers </w:t>
      </w:r>
      <w:r w:rsidR="00C63FD0">
        <w:rPr>
          <w:rFonts w:ascii="Arial" w:hAnsi="Arial" w:cs="Arial"/>
        </w:rPr>
        <w:t>typically</w:t>
      </w:r>
      <w:r>
        <w:rPr>
          <w:rFonts w:ascii="Arial" w:hAnsi="Arial" w:cs="Arial"/>
        </w:rPr>
        <w:t xml:space="preserve"> make to </w:t>
      </w:r>
      <w:r w:rsidR="00C63FD0">
        <w:rPr>
          <w:rFonts w:ascii="Arial" w:hAnsi="Arial" w:cs="Arial"/>
        </w:rPr>
        <w:t>manufacturers</w:t>
      </w:r>
      <w:r>
        <w:rPr>
          <w:rFonts w:ascii="Arial" w:hAnsi="Arial" w:cs="Arial"/>
        </w:rPr>
        <w:t xml:space="preserve"> are contributions to co-operative marketing funds and payments for purchasing </w:t>
      </w:r>
      <w:r w:rsidR="00C63FD0">
        <w:rPr>
          <w:rFonts w:ascii="Arial" w:hAnsi="Arial" w:cs="Arial"/>
        </w:rPr>
        <w:t>vehicles</w:t>
      </w:r>
      <w:r>
        <w:rPr>
          <w:rFonts w:ascii="Arial" w:hAnsi="Arial" w:cs="Arial"/>
        </w:rPr>
        <w:t xml:space="preserve">, parts, accessories and tools. </w:t>
      </w:r>
    </w:p>
    <w:p w:rsidR="00176F65" w:rsidRDefault="00176F65" w:rsidP="11FF59B9">
      <w:pPr>
        <w:pStyle w:val="ListParagraph"/>
        <w:numPr>
          <w:ilvl w:val="0"/>
          <w:numId w:val="8"/>
        </w:numPr>
        <w:spacing w:before="240" w:line="360" w:lineRule="auto"/>
        <w:jc w:val="both"/>
        <w:rPr>
          <w:rFonts w:ascii="Arial" w:hAnsi="Arial" w:cs="Arial"/>
        </w:rPr>
      </w:pPr>
      <w:r>
        <w:rPr>
          <w:rFonts w:ascii="Arial" w:hAnsi="Arial" w:cs="Arial"/>
        </w:rPr>
        <w:t>New car dealers typically control the location of the franchise and many own the land on which the dealership is located.</w:t>
      </w:r>
      <w:r w:rsidR="00AE564C">
        <w:rPr>
          <w:rStyle w:val="FootnoteReference"/>
          <w:rFonts w:ascii="Arial" w:hAnsi="Arial" w:cs="Arial"/>
        </w:rPr>
        <w:footnoteReference w:id="30"/>
      </w:r>
      <w:r>
        <w:rPr>
          <w:rFonts w:ascii="Arial" w:hAnsi="Arial" w:cs="Arial"/>
        </w:rPr>
        <w:t xml:space="preserve"> In other franchise systems, it is more common for the franchisor to control the location of the franchisee.</w:t>
      </w:r>
    </w:p>
    <w:p w:rsidR="0095124D" w:rsidRDefault="0095124D" w:rsidP="0095124D">
      <w:pPr>
        <w:pStyle w:val="Box"/>
      </w:pPr>
      <w:r w:rsidRPr="00763A68">
        <w:t xml:space="preserve">Box </w:t>
      </w:r>
      <w:r w:rsidRPr="00763A68">
        <w:rPr>
          <w:noProof/>
        </w:rPr>
        <w:fldChar w:fldCharType="begin"/>
      </w:r>
      <w:r w:rsidRPr="00763A68">
        <w:rPr>
          <w:noProof/>
        </w:rPr>
        <w:instrText xml:space="preserve"> SEQ Box \* ARABIC \s 1  </w:instrText>
      </w:r>
      <w:r w:rsidRPr="00763A68">
        <w:rPr>
          <w:noProof/>
        </w:rPr>
        <w:fldChar w:fldCharType="separate"/>
      </w:r>
      <w:r>
        <w:rPr>
          <w:noProof/>
        </w:rPr>
        <w:t>1</w:t>
      </w:r>
      <w:r w:rsidRPr="00763A68">
        <w:rPr>
          <w:noProof/>
        </w:rPr>
        <w:fldChar w:fldCharType="end"/>
      </w:r>
      <w:r w:rsidRPr="00763A68">
        <w:t xml:space="preserve">: </w:t>
      </w:r>
      <w:r>
        <w:t>Related Government processes</w:t>
      </w:r>
    </w:p>
    <w:p w:rsidR="00901A90" w:rsidRPr="004301B0" w:rsidRDefault="00901A90" w:rsidP="00901A90">
      <w:pPr>
        <w:pStyle w:val="ListParagraph"/>
        <w:spacing w:before="240" w:line="360" w:lineRule="auto"/>
        <w:ind w:left="357"/>
        <w:jc w:val="both"/>
        <w:rPr>
          <w:rFonts w:ascii="Arial" w:hAnsi="Arial" w:cs="Arial"/>
          <w:b/>
          <w:sz w:val="20"/>
          <w:szCs w:val="20"/>
        </w:rPr>
      </w:pPr>
      <w:r w:rsidRPr="004301B0">
        <w:rPr>
          <w:rFonts w:ascii="Arial" w:hAnsi="Arial" w:cs="Arial"/>
          <w:b/>
          <w:sz w:val="20"/>
          <w:szCs w:val="20"/>
        </w:rPr>
        <w:t>Franchising Inquiry</w:t>
      </w:r>
    </w:p>
    <w:p w:rsidR="00901A90" w:rsidRPr="004301B0" w:rsidRDefault="00901A90" w:rsidP="00901A90">
      <w:pPr>
        <w:pStyle w:val="ListParagraph"/>
        <w:spacing w:before="240" w:line="360" w:lineRule="auto"/>
        <w:ind w:left="357"/>
        <w:jc w:val="both"/>
        <w:rPr>
          <w:rFonts w:ascii="Arial" w:hAnsi="Arial" w:cs="Arial"/>
          <w:sz w:val="20"/>
          <w:szCs w:val="20"/>
        </w:rPr>
      </w:pPr>
      <w:r w:rsidRPr="004301B0">
        <w:rPr>
          <w:rFonts w:ascii="Arial" w:hAnsi="Arial" w:cs="Arial"/>
          <w:sz w:val="20"/>
          <w:szCs w:val="20"/>
        </w:rPr>
        <w:t xml:space="preserve">One 22 March 2018, the Senate referred an inquiry into the operation and effectiveness of the Franchising Code of Conduct to the Parliamentary Joint Committee on Corporations and Financial Services (PJC Inquiry). Its Terms of Reference include: the effectiveness of the disclosure requirements, dispute resolution procedures and termination provisions in the Franchising Code, whether the provisions of other mandatory codes of conduct contain advantages or disadvantages in comparison with the Franchising Code, the imposition of restraints of trade on former franchisees following the termination of an agreement and the enforcement of breaches of the Franchising Code. The PJC Inquiry is scheduled to report on 14 February 2019. </w:t>
      </w:r>
    </w:p>
    <w:p w:rsidR="00901A90" w:rsidRPr="004301B0" w:rsidRDefault="00901A90" w:rsidP="00901A90">
      <w:pPr>
        <w:pStyle w:val="ListParagraph"/>
        <w:spacing w:before="240" w:line="360" w:lineRule="auto"/>
        <w:ind w:left="357"/>
        <w:jc w:val="both"/>
        <w:rPr>
          <w:rFonts w:ascii="Arial" w:hAnsi="Arial" w:cs="Arial"/>
          <w:sz w:val="20"/>
          <w:szCs w:val="20"/>
        </w:rPr>
      </w:pPr>
    </w:p>
    <w:p w:rsidR="00901A90" w:rsidRPr="004301B0" w:rsidRDefault="00901A90" w:rsidP="00901A90">
      <w:pPr>
        <w:pStyle w:val="ListParagraph"/>
        <w:spacing w:before="240" w:line="360" w:lineRule="auto"/>
        <w:ind w:left="357"/>
        <w:jc w:val="both"/>
        <w:rPr>
          <w:rFonts w:ascii="Arial" w:hAnsi="Arial" w:cs="Arial"/>
          <w:b/>
          <w:sz w:val="20"/>
          <w:szCs w:val="20"/>
        </w:rPr>
      </w:pPr>
      <w:r w:rsidRPr="004301B0">
        <w:rPr>
          <w:rFonts w:ascii="Arial" w:hAnsi="Arial" w:cs="Arial"/>
          <w:b/>
          <w:sz w:val="20"/>
          <w:szCs w:val="20"/>
        </w:rPr>
        <w:t>Supplier indemnification</w:t>
      </w:r>
    </w:p>
    <w:p w:rsidR="00901A90" w:rsidRPr="004301B0" w:rsidRDefault="00901A90" w:rsidP="00901A90">
      <w:pPr>
        <w:pStyle w:val="ListParagraph"/>
        <w:spacing w:before="240" w:line="360" w:lineRule="auto"/>
        <w:ind w:left="357"/>
        <w:jc w:val="both"/>
        <w:rPr>
          <w:rFonts w:ascii="Arial" w:hAnsi="Arial" w:cs="Arial"/>
          <w:sz w:val="20"/>
          <w:szCs w:val="20"/>
        </w:rPr>
      </w:pPr>
      <w:r w:rsidRPr="004301B0">
        <w:rPr>
          <w:rFonts w:ascii="Arial" w:hAnsi="Arial" w:cs="Arial"/>
          <w:sz w:val="20"/>
          <w:szCs w:val="20"/>
        </w:rPr>
        <w:t xml:space="preserve">In its market study, the ACCC identified that dealers were encountering difficulties with claiming the costs associated with remedying manufacturing defects to which they are entitled. The ACCC has taken a range of enforcement actions against car manufacturers to improve their compliance with the ACL and called for manufacturers to review their dealer agreements, policies and procedures to ensure that these commercial arrangements do not contain unfair contract terms that go beyond what is reasonably necessary to protect their legitimate interests. </w:t>
      </w:r>
    </w:p>
    <w:p w:rsidR="0095124D" w:rsidRDefault="0095124D" w:rsidP="00901A90">
      <w:pPr>
        <w:pStyle w:val="ListParagraph"/>
        <w:spacing w:before="240" w:line="360" w:lineRule="auto"/>
        <w:ind w:left="357"/>
        <w:jc w:val="both"/>
        <w:rPr>
          <w:rFonts w:ascii="Arial" w:hAnsi="Arial" w:cs="Arial"/>
          <w:sz w:val="20"/>
          <w:szCs w:val="20"/>
        </w:rPr>
      </w:pPr>
    </w:p>
    <w:p w:rsidR="00901A90" w:rsidRPr="004301B0" w:rsidRDefault="00901A90" w:rsidP="00901A90">
      <w:pPr>
        <w:pStyle w:val="ListParagraph"/>
        <w:spacing w:before="240" w:line="360" w:lineRule="auto"/>
        <w:ind w:left="357"/>
        <w:jc w:val="both"/>
        <w:rPr>
          <w:rFonts w:ascii="Arial" w:hAnsi="Arial" w:cs="Arial"/>
          <w:sz w:val="20"/>
          <w:szCs w:val="20"/>
        </w:rPr>
      </w:pPr>
      <w:r w:rsidRPr="004301B0">
        <w:rPr>
          <w:rFonts w:ascii="Arial" w:hAnsi="Arial" w:cs="Arial"/>
          <w:sz w:val="20"/>
          <w:szCs w:val="20"/>
        </w:rPr>
        <w:t>At the October 2018 Consumer Affairs Ministers meeting, Ministers directed Consumer Affairs Australia and New Zealand officials to undertake work on improving the supplier indemnification provisions in the ACL. This work will go towards ensuring that suppliers are supported by manufacturers in carrying out their refund obligations.</w:t>
      </w:r>
    </w:p>
    <w:p w:rsidR="00901A90" w:rsidRPr="004301B0" w:rsidRDefault="00901A90" w:rsidP="00901A90">
      <w:pPr>
        <w:pStyle w:val="ListParagraph"/>
        <w:spacing w:before="240" w:line="360" w:lineRule="auto"/>
        <w:ind w:left="357"/>
        <w:jc w:val="both"/>
        <w:rPr>
          <w:rFonts w:ascii="Arial" w:hAnsi="Arial" w:cs="Arial"/>
          <w:sz w:val="20"/>
          <w:szCs w:val="20"/>
        </w:rPr>
      </w:pPr>
    </w:p>
    <w:p w:rsidR="00901A90" w:rsidRPr="004301B0" w:rsidRDefault="00901A90" w:rsidP="00901A90">
      <w:pPr>
        <w:pStyle w:val="ListParagraph"/>
        <w:spacing w:before="240" w:line="360" w:lineRule="auto"/>
        <w:ind w:left="357"/>
        <w:jc w:val="both"/>
        <w:rPr>
          <w:rFonts w:ascii="Arial" w:hAnsi="Arial" w:cs="Arial"/>
          <w:b/>
          <w:sz w:val="20"/>
          <w:szCs w:val="20"/>
        </w:rPr>
      </w:pPr>
      <w:r w:rsidRPr="004301B0">
        <w:rPr>
          <w:rFonts w:ascii="Arial" w:hAnsi="Arial" w:cs="Arial"/>
          <w:b/>
          <w:sz w:val="20"/>
          <w:szCs w:val="20"/>
        </w:rPr>
        <w:t>Unfair Contract Terms Review</w:t>
      </w:r>
    </w:p>
    <w:p w:rsidR="00901A90" w:rsidRPr="004301B0" w:rsidRDefault="00901A90" w:rsidP="00901A90">
      <w:pPr>
        <w:pStyle w:val="ListParagraph"/>
        <w:spacing w:before="240" w:line="360" w:lineRule="auto"/>
        <w:ind w:left="357"/>
        <w:jc w:val="both"/>
        <w:rPr>
          <w:rFonts w:ascii="Arial" w:hAnsi="Arial" w:cs="Arial"/>
          <w:sz w:val="20"/>
          <w:szCs w:val="20"/>
        </w:rPr>
      </w:pPr>
      <w:r w:rsidRPr="004301B0">
        <w:rPr>
          <w:rFonts w:ascii="Arial" w:hAnsi="Arial" w:cs="Arial"/>
          <w:sz w:val="20"/>
          <w:szCs w:val="20"/>
        </w:rPr>
        <w:t xml:space="preserve">On 12 November 2016, a new law to protect small businesses from unfair terms in business to business standard form contracts came into effect. The unfair contract terms provisions apply to businesses with less than 20 employees and where the upfront price payable is no more than $300,000 or $1 million if the contract is for more than 12 months. There have been some calls from industry to extend the application of these provisions to larger car dealers, which often do not meet the definition of small business. The unfair contract terms provisions are being reviewed by Treasury, with the review commencing in November 2018 and reporting in February 2019. </w:t>
      </w:r>
    </w:p>
    <w:p w:rsidR="00901A90" w:rsidRPr="004301B0" w:rsidRDefault="00901A90" w:rsidP="00901A90">
      <w:pPr>
        <w:pStyle w:val="ListParagraph"/>
        <w:spacing w:before="240" w:line="360" w:lineRule="auto"/>
        <w:ind w:left="357"/>
        <w:jc w:val="both"/>
        <w:rPr>
          <w:rFonts w:ascii="Arial" w:hAnsi="Arial" w:cs="Arial"/>
          <w:sz w:val="20"/>
          <w:szCs w:val="20"/>
        </w:rPr>
      </w:pPr>
    </w:p>
    <w:p w:rsidR="00901A90" w:rsidRPr="004301B0" w:rsidRDefault="00901A90" w:rsidP="00901A90">
      <w:pPr>
        <w:pStyle w:val="ListParagraph"/>
        <w:spacing w:before="240" w:line="360" w:lineRule="auto"/>
        <w:ind w:left="357"/>
        <w:jc w:val="both"/>
        <w:rPr>
          <w:rFonts w:ascii="Arial" w:hAnsi="Arial" w:cs="Arial"/>
          <w:sz w:val="20"/>
          <w:szCs w:val="20"/>
        </w:rPr>
      </w:pPr>
      <w:r w:rsidRPr="004301B0">
        <w:rPr>
          <w:rFonts w:ascii="Arial" w:hAnsi="Arial" w:cs="Arial"/>
          <w:sz w:val="20"/>
          <w:szCs w:val="20"/>
        </w:rPr>
        <w:t>The law sets out examples of terms that may be unfair, including: terms that enable one party (but not another) to avoid or limit their obligations under the contract; terms that enable one party (but not another) to terminate the contract; terms that penalise one party (but not another) for breaching or terminating the contract; terms that enable one party (but not another) to vary the terms of the contract. Such contract terms are not prohibited outright. However, if a court or tribunal finds that a term is ‘unfair’, the term will be void – this means it is not binding on the parties. The rest of the contract will continue to bind the parties to the extent it is capable of operating without the unfair term.</w:t>
      </w:r>
    </w:p>
    <w:p w:rsidR="00901A90" w:rsidRPr="004301B0" w:rsidRDefault="00901A90" w:rsidP="00901A90">
      <w:pPr>
        <w:pStyle w:val="ListParagraph"/>
        <w:spacing w:before="240" w:line="360" w:lineRule="auto"/>
        <w:ind w:left="357"/>
        <w:jc w:val="both"/>
        <w:rPr>
          <w:rFonts w:ascii="Arial" w:hAnsi="Arial" w:cs="Arial"/>
          <w:sz w:val="20"/>
          <w:szCs w:val="20"/>
        </w:rPr>
      </w:pPr>
    </w:p>
    <w:p w:rsidR="00901A90" w:rsidRPr="004301B0" w:rsidRDefault="00901A90" w:rsidP="00901A90">
      <w:pPr>
        <w:pStyle w:val="ListParagraph"/>
        <w:spacing w:before="240" w:line="360" w:lineRule="auto"/>
        <w:ind w:left="357"/>
        <w:jc w:val="both"/>
        <w:rPr>
          <w:rFonts w:ascii="Arial" w:hAnsi="Arial" w:cs="Arial"/>
          <w:sz w:val="20"/>
          <w:szCs w:val="20"/>
        </w:rPr>
      </w:pPr>
      <w:r w:rsidRPr="004301B0">
        <w:rPr>
          <w:rFonts w:ascii="Arial" w:hAnsi="Arial" w:cs="Arial"/>
          <w:sz w:val="20"/>
          <w:szCs w:val="20"/>
        </w:rPr>
        <w:t>* ACCC, 2018, Media Release: Court orders Ford to pay $10 million penalty for unconscionable conduct; https://www.accc.gov.au/publications/motor-vehicle-sales-repairs-an-industry-guide-to-the-australian-consumer-law; and</w:t>
      </w:r>
    </w:p>
    <w:p w:rsidR="0095124D" w:rsidRDefault="00861D7A" w:rsidP="0095124D">
      <w:pPr>
        <w:pStyle w:val="ListParagraph"/>
        <w:spacing w:before="240" w:line="360" w:lineRule="auto"/>
        <w:ind w:left="357"/>
        <w:jc w:val="both"/>
        <w:rPr>
          <w:rFonts w:ascii="Arial" w:hAnsi="Arial" w:cs="Arial"/>
          <w:sz w:val="20"/>
          <w:szCs w:val="20"/>
        </w:rPr>
      </w:pPr>
      <w:hyperlink r:id="rId17" w:history="1">
        <w:r w:rsidR="00901A90" w:rsidRPr="004301B0">
          <w:rPr>
            <w:rStyle w:val="Hyperlink"/>
            <w:rFonts w:ascii="Arial" w:hAnsi="Arial" w:cs="Arial"/>
            <w:sz w:val="20"/>
            <w:szCs w:val="20"/>
          </w:rPr>
          <w:t>https://www.accc.gov.au/media-release/volkswagen-undertakes-to-fix-consumer-guarantees-approach</w:t>
        </w:r>
      </w:hyperlink>
      <w:r w:rsidR="00901A90" w:rsidRPr="004301B0">
        <w:rPr>
          <w:rFonts w:ascii="Arial" w:hAnsi="Arial" w:cs="Arial"/>
          <w:sz w:val="20"/>
          <w:szCs w:val="20"/>
        </w:rPr>
        <w:t xml:space="preserve"> </w:t>
      </w:r>
    </w:p>
    <w:p w:rsidR="0095124D" w:rsidRPr="00763A68" w:rsidRDefault="0095124D" w:rsidP="0095124D">
      <w:pPr>
        <w:pStyle w:val="Source"/>
      </w:pPr>
    </w:p>
    <w:p w:rsidR="004301B0" w:rsidRDefault="004301B0" w:rsidP="0095124D">
      <w:pPr>
        <w:pStyle w:val="ListParagraph"/>
        <w:spacing w:before="240" w:line="360" w:lineRule="auto"/>
        <w:ind w:left="357"/>
        <w:jc w:val="both"/>
      </w:pPr>
      <w:r>
        <w:br w:type="page"/>
      </w:r>
    </w:p>
    <w:p w:rsidR="00D836A4" w:rsidRDefault="11FF59B9" w:rsidP="11FF59B9">
      <w:pPr>
        <w:pStyle w:val="Heading1"/>
        <w:numPr>
          <w:ilvl w:val="0"/>
          <w:numId w:val="2"/>
        </w:numPr>
        <w:rPr>
          <w:color w:val="005677"/>
        </w:rPr>
      </w:pPr>
      <w:bookmarkStart w:id="32" w:name="_Toc529891241"/>
      <w:bookmarkStart w:id="33" w:name="_Toc529891259"/>
      <w:bookmarkStart w:id="34" w:name="_Toc530493126"/>
      <w:bookmarkStart w:id="35" w:name="_Toc530493181"/>
      <w:bookmarkStart w:id="36" w:name="_Toc530563047"/>
      <w:bookmarkStart w:id="37" w:name="_Toc530563173"/>
      <w:r w:rsidRPr="11FF59B9">
        <w:rPr>
          <w:color w:val="005677"/>
        </w:rPr>
        <w:t>What is the problem?</w:t>
      </w:r>
      <w:bookmarkEnd w:id="32"/>
      <w:bookmarkEnd w:id="33"/>
      <w:bookmarkEnd w:id="34"/>
      <w:bookmarkEnd w:id="35"/>
      <w:bookmarkEnd w:id="36"/>
      <w:bookmarkEnd w:id="37"/>
    </w:p>
    <w:p w:rsidR="00500DE3" w:rsidRDefault="009759F5" w:rsidP="00057CF1">
      <w:pPr>
        <w:autoSpaceDE w:val="0"/>
        <w:autoSpaceDN w:val="0"/>
        <w:adjustRightInd w:val="0"/>
        <w:spacing w:before="240" w:line="360" w:lineRule="auto"/>
        <w:rPr>
          <w:rFonts w:ascii="Arial" w:hAnsi="Arial" w:cs="Arial"/>
        </w:rPr>
      </w:pPr>
      <w:r>
        <w:rPr>
          <w:rFonts w:ascii="Arial" w:hAnsi="Arial" w:cs="Arial"/>
        </w:rPr>
        <w:t xml:space="preserve">In franchising there is typically a power imbalance between franchisees and franchisors, this is also true for </w:t>
      </w:r>
      <w:r w:rsidR="00E07244">
        <w:rPr>
          <w:rFonts w:ascii="Arial" w:hAnsi="Arial" w:cs="Arial"/>
        </w:rPr>
        <w:t xml:space="preserve">dealings between car dealers, as franchisees and car manufacturers, as franchisors, within </w:t>
      </w:r>
      <w:r w:rsidR="009932E8">
        <w:rPr>
          <w:rFonts w:ascii="Arial" w:hAnsi="Arial" w:cs="Arial"/>
        </w:rPr>
        <w:t>new car</w:t>
      </w:r>
      <w:r>
        <w:rPr>
          <w:rFonts w:ascii="Arial" w:hAnsi="Arial" w:cs="Arial"/>
        </w:rPr>
        <w:t xml:space="preserve"> retailing. </w:t>
      </w:r>
      <w:r w:rsidR="001A6D0B" w:rsidRPr="001A6D0B">
        <w:rPr>
          <w:rFonts w:ascii="Arial" w:hAnsi="Arial" w:cs="Arial"/>
        </w:rPr>
        <w:t xml:space="preserve">Motor </w:t>
      </w:r>
      <w:r w:rsidR="001A6D0B">
        <w:rPr>
          <w:rFonts w:ascii="Arial" w:hAnsi="Arial" w:cs="Arial"/>
        </w:rPr>
        <w:t>vehicle dealerships are highly fragmented with m</w:t>
      </w:r>
      <w:r w:rsidR="001A6D0B" w:rsidRPr="001A6D0B">
        <w:rPr>
          <w:rFonts w:ascii="Arial" w:hAnsi="Arial" w:cs="Arial"/>
        </w:rPr>
        <w:t xml:space="preserve">any privately owned and </w:t>
      </w:r>
      <w:r w:rsidR="001A6D0B">
        <w:rPr>
          <w:rFonts w:ascii="Arial" w:hAnsi="Arial" w:cs="Arial"/>
        </w:rPr>
        <w:t xml:space="preserve">operating only a single </w:t>
      </w:r>
      <w:r w:rsidR="001A6D0B" w:rsidRPr="001A6D0B">
        <w:rPr>
          <w:rFonts w:ascii="Arial" w:hAnsi="Arial" w:cs="Arial"/>
        </w:rPr>
        <w:t>dealership.</w:t>
      </w:r>
      <w:bookmarkStart w:id="38" w:name="_Ref530471788"/>
      <w:r w:rsidR="001A6D0B">
        <w:rPr>
          <w:rStyle w:val="FootnoteReference"/>
          <w:rFonts w:ascii="Arial" w:hAnsi="Arial" w:cs="Arial"/>
        </w:rPr>
        <w:footnoteReference w:id="31"/>
      </w:r>
      <w:bookmarkEnd w:id="38"/>
      <w:r w:rsidR="001A6D0B" w:rsidRPr="001A6D0B">
        <w:rPr>
          <w:rFonts w:ascii="Arial" w:hAnsi="Arial" w:cs="Arial"/>
        </w:rPr>
        <w:t xml:space="preserve"> </w:t>
      </w:r>
      <w:r w:rsidR="00E41CE8">
        <w:rPr>
          <w:rFonts w:ascii="Arial" w:hAnsi="Arial" w:cs="Arial"/>
        </w:rPr>
        <w:t>The industry has a couple of major players with t</w:t>
      </w:r>
      <w:r w:rsidR="00E41CE8" w:rsidRPr="001A6D0B">
        <w:rPr>
          <w:rFonts w:ascii="Arial" w:hAnsi="Arial" w:cs="Arial"/>
        </w:rPr>
        <w:t>he Automotive Holdings Group Limited (AHG)</w:t>
      </w:r>
      <w:r w:rsidR="00E41CE8">
        <w:rPr>
          <w:rFonts w:ascii="Arial" w:hAnsi="Arial" w:cs="Arial"/>
        </w:rPr>
        <w:t xml:space="preserve"> and </w:t>
      </w:r>
      <w:r w:rsidR="00E41CE8" w:rsidRPr="001A6D0B">
        <w:rPr>
          <w:rFonts w:ascii="Arial" w:hAnsi="Arial" w:cs="Arial"/>
        </w:rPr>
        <w:t>A P Eagers Limited</w:t>
      </w:r>
      <w:r w:rsidR="00E41CE8">
        <w:rPr>
          <w:rFonts w:ascii="Arial" w:hAnsi="Arial" w:cs="Arial"/>
        </w:rPr>
        <w:t xml:space="preserve">, Australian publicly listed companies, </w:t>
      </w:r>
      <w:r w:rsidR="00CE3988">
        <w:rPr>
          <w:rFonts w:ascii="Arial" w:hAnsi="Arial" w:cs="Arial"/>
        </w:rPr>
        <w:t>holding 8.5 and 6 per cent market share respectively.</w:t>
      </w:r>
      <w:r w:rsidR="00CE3988">
        <w:rPr>
          <w:rStyle w:val="FootnoteReference"/>
          <w:rFonts w:ascii="Arial" w:hAnsi="Arial" w:cs="Arial"/>
        </w:rPr>
        <w:footnoteReference w:id="32"/>
      </w:r>
      <w:r w:rsidR="00CE3988">
        <w:rPr>
          <w:rFonts w:ascii="Arial" w:hAnsi="Arial" w:cs="Arial"/>
        </w:rPr>
        <w:t xml:space="preserve"> </w:t>
      </w:r>
      <w:r w:rsidR="005B27FE">
        <w:rPr>
          <w:rFonts w:ascii="Arial" w:hAnsi="Arial" w:cs="Arial"/>
        </w:rPr>
        <w:t xml:space="preserve">The AADA in its submission to the </w:t>
      </w:r>
      <w:r w:rsidR="0013598F">
        <w:rPr>
          <w:rFonts w:ascii="Arial" w:hAnsi="Arial" w:cs="Arial"/>
        </w:rPr>
        <w:t xml:space="preserve">PJC Inquiry states that around 85 per cent of dealerships </w:t>
      </w:r>
      <w:r w:rsidR="00A31DB9">
        <w:rPr>
          <w:rFonts w:ascii="Arial" w:hAnsi="Arial" w:cs="Arial"/>
        </w:rPr>
        <w:t>or about 1275</w:t>
      </w:r>
      <w:r w:rsidR="0013598F" w:rsidRPr="001A6D0B">
        <w:rPr>
          <w:rFonts w:ascii="Arial" w:hAnsi="Arial" w:cs="Arial"/>
        </w:rPr>
        <w:t xml:space="preserve"> </w:t>
      </w:r>
      <w:r w:rsidR="0013598F">
        <w:rPr>
          <w:rFonts w:ascii="Arial" w:hAnsi="Arial" w:cs="Arial"/>
        </w:rPr>
        <w:t xml:space="preserve">are owned and </w:t>
      </w:r>
      <w:r w:rsidR="0013598F" w:rsidRPr="0013598F">
        <w:rPr>
          <w:rFonts w:ascii="Arial" w:hAnsi="Arial" w:cs="Arial"/>
        </w:rPr>
        <w:t>operat</w:t>
      </w:r>
      <w:r w:rsidR="0013598F">
        <w:rPr>
          <w:rFonts w:ascii="Arial" w:hAnsi="Arial" w:cs="Arial"/>
        </w:rPr>
        <w:t xml:space="preserve">ed by individuals or are family </w:t>
      </w:r>
      <w:r w:rsidR="0013598F" w:rsidRPr="0013598F">
        <w:rPr>
          <w:rFonts w:ascii="Arial" w:hAnsi="Arial" w:cs="Arial"/>
        </w:rPr>
        <w:t>businesses</w:t>
      </w:r>
      <w:r w:rsidR="0013598F" w:rsidRPr="001A6D0B">
        <w:rPr>
          <w:rFonts w:ascii="Arial" w:hAnsi="Arial" w:cs="Arial"/>
        </w:rPr>
        <w:t>.</w:t>
      </w:r>
      <w:bookmarkStart w:id="39" w:name="_Ref530473742"/>
      <w:r w:rsidR="00137D6A" w:rsidRPr="001A6D0B">
        <w:rPr>
          <w:rStyle w:val="FootnoteReference"/>
          <w:rFonts w:ascii="Arial" w:hAnsi="Arial" w:cs="Arial"/>
        </w:rPr>
        <w:footnoteReference w:id="33"/>
      </w:r>
      <w:bookmarkEnd w:id="39"/>
      <w:r w:rsidR="00D7291C">
        <w:rPr>
          <w:rFonts w:ascii="Arial" w:hAnsi="Arial" w:cs="Arial"/>
        </w:rPr>
        <w:t xml:space="preserve"> </w:t>
      </w:r>
    </w:p>
    <w:p w:rsidR="00D438EF" w:rsidRDefault="00500DE3" w:rsidP="008B3197">
      <w:pPr>
        <w:autoSpaceDE w:val="0"/>
        <w:autoSpaceDN w:val="0"/>
        <w:adjustRightInd w:val="0"/>
        <w:spacing w:before="240" w:line="360" w:lineRule="auto"/>
        <w:rPr>
          <w:rFonts w:ascii="Arial" w:hAnsi="Arial" w:cs="Arial"/>
        </w:rPr>
      </w:pPr>
      <w:r>
        <w:rPr>
          <w:rFonts w:ascii="Arial" w:hAnsi="Arial" w:cs="Arial"/>
        </w:rPr>
        <w:t>Australia has one of the most open and</w:t>
      </w:r>
      <w:r w:rsidRPr="00500DE3">
        <w:rPr>
          <w:rFonts w:ascii="Arial" w:hAnsi="Arial" w:cs="Arial"/>
        </w:rPr>
        <w:t xml:space="preserve"> competitive</w:t>
      </w:r>
      <w:r>
        <w:rPr>
          <w:rFonts w:ascii="Arial" w:hAnsi="Arial" w:cs="Arial"/>
        </w:rPr>
        <w:t xml:space="preserve"> car retailing markets</w:t>
      </w:r>
      <w:r w:rsidR="00676078">
        <w:rPr>
          <w:rFonts w:ascii="Arial" w:hAnsi="Arial" w:cs="Arial"/>
        </w:rPr>
        <w:t xml:space="preserve"> with strong </w:t>
      </w:r>
      <w:r w:rsidR="008B3197">
        <w:rPr>
          <w:rFonts w:ascii="Arial" w:hAnsi="Arial" w:cs="Arial"/>
        </w:rPr>
        <w:t xml:space="preserve">price </w:t>
      </w:r>
      <w:r w:rsidR="00676078">
        <w:rPr>
          <w:rFonts w:ascii="Arial" w:hAnsi="Arial" w:cs="Arial"/>
        </w:rPr>
        <w:t>competition across all three levels of the supply chain, car manufacturing, wholesaling and retailing</w:t>
      </w:r>
      <w:r w:rsidR="00F75F49">
        <w:rPr>
          <w:rFonts w:ascii="Arial" w:hAnsi="Arial" w:cs="Arial"/>
        </w:rPr>
        <w:t>,</w:t>
      </w:r>
      <w:r w:rsidR="008B3197">
        <w:rPr>
          <w:rFonts w:ascii="Arial" w:hAnsi="Arial" w:cs="Arial"/>
        </w:rPr>
        <w:t xml:space="preserve"> with decreased profit margins over the past five years</w:t>
      </w:r>
      <w:r w:rsidR="00676078">
        <w:rPr>
          <w:rFonts w:ascii="Arial" w:hAnsi="Arial" w:cs="Arial"/>
        </w:rPr>
        <w:t>.</w:t>
      </w:r>
      <w:r w:rsidR="008B3197">
        <w:rPr>
          <w:rStyle w:val="FootnoteReference"/>
          <w:rFonts w:ascii="Arial" w:hAnsi="Arial" w:cs="Arial"/>
        </w:rPr>
        <w:footnoteReference w:id="34"/>
      </w:r>
      <w:r w:rsidR="008B3197">
        <w:rPr>
          <w:rFonts w:ascii="Arial" w:hAnsi="Arial" w:cs="Arial"/>
        </w:rPr>
        <w:t xml:space="preserve"> </w:t>
      </w:r>
      <w:r w:rsidR="00676078">
        <w:rPr>
          <w:rFonts w:ascii="Arial" w:hAnsi="Arial" w:cs="Arial"/>
        </w:rPr>
        <w:t xml:space="preserve">While there is fierce competition between dealerships, the </w:t>
      </w:r>
      <w:r w:rsidR="00711B2B">
        <w:rPr>
          <w:rFonts w:ascii="Arial" w:hAnsi="Arial" w:cs="Arial"/>
        </w:rPr>
        <w:t xml:space="preserve">franchising related </w:t>
      </w:r>
      <w:r w:rsidR="00676078">
        <w:rPr>
          <w:rFonts w:ascii="Arial" w:hAnsi="Arial" w:cs="Arial"/>
        </w:rPr>
        <w:t xml:space="preserve">concerns identified within the ACCC market study stem from the power imbalance in the relationship between </w:t>
      </w:r>
      <w:r w:rsidR="00711B2B">
        <w:rPr>
          <w:rFonts w:ascii="Arial" w:hAnsi="Arial" w:cs="Arial"/>
        </w:rPr>
        <w:t xml:space="preserve">car manufacturers </w:t>
      </w:r>
      <w:r w:rsidR="00676078">
        <w:rPr>
          <w:rFonts w:ascii="Arial" w:hAnsi="Arial" w:cs="Arial"/>
        </w:rPr>
        <w:t xml:space="preserve">and new car dealers. </w:t>
      </w:r>
      <w:r w:rsidR="00E330A9" w:rsidRPr="00E330A9">
        <w:rPr>
          <w:rFonts w:ascii="Arial" w:hAnsi="Arial" w:cs="Arial"/>
        </w:rPr>
        <w:t xml:space="preserve">Recent media coverage, submissions to the 2018 Franchising Inquiry, and anecdotal evidence presented to DIIS in its one on one consultations </w:t>
      </w:r>
      <w:r w:rsidR="00F75F49" w:rsidRPr="00E330A9">
        <w:rPr>
          <w:rFonts w:ascii="Arial" w:hAnsi="Arial" w:cs="Arial"/>
        </w:rPr>
        <w:t>ha</w:t>
      </w:r>
      <w:r w:rsidR="00F75F49">
        <w:rPr>
          <w:rFonts w:ascii="Arial" w:hAnsi="Arial" w:cs="Arial"/>
        </w:rPr>
        <w:t>ve</w:t>
      </w:r>
      <w:r w:rsidR="00F75F49" w:rsidRPr="00E330A9">
        <w:rPr>
          <w:rFonts w:ascii="Arial" w:hAnsi="Arial" w:cs="Arial"/>
        </w:rPr>
        <w:t xml:space="preserve"> </w:t>
      </w:r>
      <w:r w:rsidR="00E330A9" w:rsidRPr="00E330A9">
        <w:rPr>
          <w:rFonts w:ascii="Arial" w:hAnsi="Arial" w:cs="Arial"/>
        </w:rPr>
        <w:t xml:space="preserve">suggested that in response to increased competition </w:t>
      </w:r>
      <w:r w:rsidR="00711B2B">
        <w:rPr>
          <w:rFonts w:ascii="Arial" w:hAnsi="Arial" w:cs="Arial"/>
        </w:rPr>
        <w:t xml:space="preserve">car manufacturers </w:t>
      </w:r>
      <w:r w:rsidR="00E330A9" w:rsidRPr="00E330A9">
        <w:rPr>
          <w:rFonts w:ascii="Arial" w:hAnsi="Arial" w:cs="Arial"/>
        </w:rPr>
        <w:t>have made the decision to reduce their footprint in some areas of Australia</w:t>
      </w:r>
      <w:r w:rsidR="00A56814">
        <w:rPr>
          <w:rFonts w:ascii="Arial" w:hAnsi="Arial" w:cs="Arial"/>
        </w:rPr>
        <w:t xml:space="preserve"> </w:t>
      </w:r>
      <w:r w:rsidR="00AD3984">
        <w:rPr>
          <w:rFonts w:ascii="Arial" w:hAnsi="Arial" w:cs="Arial"/>
        </w:rPr>
        <w:t xml:space="preserve">with some </w:t>
      </w:r>
      <w:r w:rsidR="00A56814">
        <w:rPr>
          <w:rFonts w:ascii="Arial" w:hAnsi="Arial" w:cs="Arial"/>
        </w:rPr>
        <w:t xml:space="preserve">regional </w:t>
      </w:r>
      <w:r w:rsidR="00AD3984">
        <w:rPr>
          <w:rFonts w:ascii="Arial" w:hAnsi="Arial" w:cs="Arial"/>
        </w:rPr>
        <w:t xml:space="preserve">areas particularly </w:t>
      </w:r>
      <w:r w:rsidR="00F75F49">
        <w:rPr>
          <w:rFonts w:ascii="Arial" w:hAnsi="Arial" w:cs="Arial"/>
        </w:rPr>
        <w:t>affected</w:t>
      </w:r>
      <w:r w:rsidR="00E330A9" w:rsidRPr="00E330A9">
        <w:rPr>
          <w:rFonts w:ascii="Arial" w:hAnsi="Arial" w:cs="Arial"/>
        </w:rPr>
        <w:t xml:space="preserve">. </w:t>
      </w:r>
      <w:r w:rsidR="00A56814">
        <w:rPr>
          <w:rFonts w:ascii="Arial" w:hAnsi="Arial" w:cs="Arial"/>
        </w:rPr>
        <w:t>N</w:t>
      </w:r>
      <w:r w:rsidR="00E330A9" w:rsidRPr="00E330A9">
        <w:rPr>
          <w:rFonts w:ascii="Arial" w:hAnsi="Arial" w:cs="Arial"/>
        </w:rPr>
        <w:t>on-renewal of dealership agreements</w:t>
      </w:r>
      <w:r w:rsidR="00A56814">
        <w:rPr>
          <w:rFonts w:ascii="Arial" w:hAnsi="Arial" w:cs="Arial"/>
        </w:rPr>
        <w:t xml:space="preserve"> in regional areas </w:t>
      </w:r>
      <w:r w:rsidR="006212FB">
        <w:rPr>
          <w:rFonts w:ascii="Arial" w:hAnsi="Arial" w:cs="Arial"/>
        </w:rPr>
        <w:t>has meant that consumers will not be able to have their car serviced locally or will need to travel further to buy a new car</w:t>
      </w:r>
      <w:r w:rsidR="00E330A9" w:rsidRPr="00E330A9">
        <w:rPr>
          <w:rFonts w:ascii="Arial" w:hAnsi="Arial" w:cs="Arial"/>
        </w:rPr>
        <w:t>.</w:t>
      </w:r>
      <w:bookmarkStart w:id="40" w:name="_Ref530473871"/>
      <w:r w:rsidR="001F4C0C">
        <w:rPr>
          <w:rStyle w:val="FootnoteReference"/>
          <w:rFonts w:ascii="Arial" w:hAnsi="Arial" w:cs="Arial"/>
        </w:rPr>
        <w:footnoteReference w:id="35"/>
      </w:r>
      <w:bookmarkEnd w:id="40"/>
      <w:r w:rsidR="00E330A9" w:rsidRPr="00E330A9">
        <w:rPr>
          <w:rFonts w:ascii="Arial" w:hAnsi="Arial" w:cs="Arial"/>
        </w:rPr>
        <w:t xml:space="preserve"> </w:t>
      </w:r>
      <w:r w:rsidR="00684E09">
        <w:rPr>
          <w:rFonts w:ascii="Arial" w:hAnsi="Arial" w:cs="Arial"/>
        </w:rPr>
        <w:t xml:space="preserve">While larger players within the industry have been able to benefit through acquiring existing dealerships, these </w:t>
      </w:r>
      <w:r w:rsidR="00E83A34">
        <w:rPr>
          <w:rFonts w:ascii="Arial" w:hAnsi="Arial" w:cs="Arial"/>
        </w:rPr>
        <w:t xml:space="preserve">acquisitions </w:t>
      </w:r>
      <w:r w:rsidR="00684E09">
        <w:rPr>
          <w:rFonts w:ascii="Arial" w:hAnsi="Arial" w:cs="Arial"/>
        </w:rPr>
        <w:t>tend to be in larger regional hubs or cities.</w:t>
      </w:r>
      <w:r w:rsidR="00725690">
        <w:rPr>
          <w:rStyle w:val="FootnoteReference"/>
          <w:rFonts w:ascii="Arial" w:hAnsi="Arial" w:cs="Arial"/>
        </w:rPr>
        <w:footnoteReference w:id="36"/>
      </w:r>
      <w:r w:rsidR="00684E09">
        <w:rPr>
          <w:rFonts w:ascii="Arial" w:hAnsi="Arial" w:cs="Arial"/>
        </w:rPr>
        <w:t xml:space="preserve"> </w:t>
      </w:r>
      <w:r w:rsidR="00D438EF">
        <w:rPr>
          <w:rFonts w:ascii="Arial" w:hAnsi="Arial" w:cs="Arial"/>
        </w:rPr>
        <w:t>Further background on the new car re</w:t>
      </w:r>
      <w:r w:rsidR="00AD3984">
        <w:rPr>
          <w:rFonts w:ascii="Arial" w:hAnsi="Arial" w:cs="Arial"/>
        </w:rPr>
        <w:t xml:space="preserve">tailing industry is at Appendix </w:t>
      </w:r>
      <w:r w:rsidR="00D438EF">
        <w:rPr>
          <w:rFonts w:ascii="Arial" w:hAnsi="Arial" w:cs="Arial"/>
        </w:rPr>
        <w:t>1.</w:t>
      </w:r>
    </w:p>
    <w:p w:rsidR="00DA1E59" w:rsidRPr="00F96B4A" w:rsidRDefault="00DA1E59" w:rsidP="008B3197">
      <w:pPr>
        <w:autoSpaceDE w:val="0"/>
        <w:autoSpaceDN w:val="0"/>
        <w:adjustRightInd w:val="0"/>
        <w:spacing w:before="240" w:line="360" w:lineRule="auto"/>
        <w:rPr>
          <w:rFonts w:ascii="Arial" w:hAnsi="Arial" w:cs="Arial"/>
          <w:i/>
        </w:rPr>
      </w:pPr>
      <w:r w:rsidRPr="00F96B4A">
        <w:rPr>
          <w:rFonts w:ascii="Arial" w:hAnsi="Arial" w:cs="Arial"/>
          <w:i/>
        </w:rPr>
        <w:t>Franchising power imbalance and new car dealers</w:t>
      </w:r>
    </w:p>
    <w:p w:rsidR="00442D03" w:rsidRDefault="00E27832" w:rsidP="00057CF1">
      <w:pPr>
        <w:autoSpaceDE w:val="0"/>
        <w:autoSpaceDN w:val="0"/>
        <w:adjustRightInd w:val="0"/>
        <w:spacing w:before="240" w:line="360" w:lineRule="auto"/>
        <w:rPr>
          <w:rFonts w:ascii="Arial" w:hAnsi="Arial" w:cs="Arial"/>
        </w:rPr>
      </w:pPr>
      <w:r>
        <w:rPr>
          <w:rFonts w:ascii="Arial" w:hAnsi="Arial" w:cs="Arial"/>
        </w:rPr>
        <w:t>F</w:t>
      </w:r>
      <w:r w:rsidR="00CE1E18" w:rsidRPr="00E27832">
        <w:rPr>
          <w:rFonts w:ascii="Arial" w:hAnsi="Arial" w:cs="Arial"/>
        </w:rPr>
        <w:t>ranchising</w:t>
      </w:r>
      <w:r w:rsidR="00CE1E18" w:rsidRPr="00057CF1">
        <w:rPr>
          <w:rFonts w:ascii="Arial" w:hAnsi="Arial" w:cs="Arial"/>
        </w:rPr>
        <w:t xml:space="preserve"> by definition involves a franchisor granting a franchisee a right to carry on the business under a franchise business model offered and controlled by the franchisor for a specified period o</w:t>
      </w:r>
      <w:r w:rsidR="00CE1E18" w:rsidRPr="00442D03">
        <w:rPr>
          <w:rFonts w:ascii="Arial" w:hAnsi="Arial" w:cs="Arial"/>
        </w:rPr>
        <w:t>f time.</w:t>
      </w:r>
      <w:r w:rsidR="00A167DC">
        <w:rPr>
          <w:rFonts w:ascii="Arial" w:hAnsi="Arial" w:cs="Arial"/>
        </w:rPr>
        <w:t xml:space="preserve"> </w:t>
      </w:r>
      <w:r w:rsidR="00442D03" w:rsidRPr="00442D03">
        <w:rPr>
          <w:rFonts w:ascii="Arial" w:hAnsi="Arial" w:cs="Arial"/>
        </w:rPr>
        <w:t>A franchisee invests in the business and bears the majority of the risk associated with the operation of a particular outlet, while the franchisor maintains control over the design of the overall system and the quality of the output. In addition, apart from this power imbalance stemming from franchisor control over the franchise model, there can be an information imbalance since the franchisor has full access to information pertinent to the operation of the entire franchise system and controls its disclosure to franchisees.</w:t>
      </w:r>
    </w:p>
    <w:p w:rsidR="00234ED1" w:rsidRDefault="00A167DC" w:rsidP="00C73CDC">
      <w:pPr>
        <w:spacing w:before="240" w:line="360" w:lineRule="auto"/>
        <w:jc w:val="both"/>
        <w:rPr>
          <w:rFonts w:ascii="Arial" w:hAnsi="Arial" w:cs="Arial"/>
        </w:rPr>
      </w:pPr>
      <w:r>
        <w:rPr>
          <w:rFonts w:ascii="Arial" w:hAnsi="Arial" w:cs="Arial"/>
        </w:rPr>
        <w:t>In line with the on-going, variable and symbiotic nature of the franchising relationship, the Franchising Code provides that</w:t>
      </w:r>
      <w:r w:rsidR="00442D03" w:rsidRPr="11FF59B9">
        <w:rPr>
          <w:rFonts w:ascii="Arial" w:hAnsi="Arial" w:cs="Arial"/>
        </w:rPr>
        <w:t xml:space="preserve"> parties to a franchising agreement must act in good faith towards one another.</w:t>
      </w:r>
      <w:r w:rsidR="0019133C">
        <w:rPr>
          <w:rStyle w:val="FootnoteReference"/>
          <w:rFonts w:ascii="Arial" w:hAnsi="Arial" w:cs="Arial"/>
        </w:rPr>
        <w:footnoteReference w:id="37"/>
      </w:r>
      <w:r w:rsidR="00442D03" w:rsidRPr="11FF59B9">
        <w:rPr>
          <w:rFonts w:ascii="Arial" w:hAnsi="Arial" w:cs="Arial"/>
        </w:rPr>
        <w:t xml:space="preserve"> As such, although car dealers enter into agreements that provide substantial power to the manufacturer, they have a reasonable expectation that the manufa</w:t>
      </w:r>
      <w:r>
        <w:rPr>
          <w:rFonts w:ascii="Arial" w:hAnsi="Arial" w:cs="Arial"/>
        </w:rPr>
        <w:t>cturer will have regard to the</w:t>
      </w:r>
      <w:r w:rsidR="00442D03" w:rsidRPr="11FF59B9">
        <w:rPr>
          <w:rFonts w:ascii="Arial" w:hAnsi="Arial" w:cs="Arial"/>
        </w:rPr>
        <w:t xml:space="preserve"> legitimate interests </w:t>
      </w:r>
      <w:r>
        <w:rPr>
          <w:rFonts w:ascii="Arial" w:hAnsi="Arial" w:cs="Arial"/>
        </w:rPr>
        <w:t>of franchisees</w:t>
      </w:r>
      <w:r w:rsidR="00EC3BBB">
        <w:rPr>
          <w:rFonts w:ascii="Arial" w:hAnsi="Arial" w:cs="Arial"/>
        </w:rPr>
        <w:t xml:space="preserve"> and the franchise system</w:t>
      </w:r>
      <w:r>
        <w:rPr>
          <w:rFonts w:ascii="Arial" w:hAnsi="Arial" w:cs="Arial"/>
        </w:rPr>
        <w:t xml:space="preserve"> </w:t>
      </w:r>
      <w:r w:rsidR="00442D03" w:rsidRPr="11FF59B9">
        <w:rPr>
          <w:rFonts w:ascii="Arial" w:hAnsi="Arial" w:cs="Arial"/>
        </w:rPr>
        <w:t xml:space="preserve">when exercising their rights under the agreement. </w:t>
      </w:r>
      <w:r w:rsidR="00B70343">
        <w:rPr>
          <w:rFonts w:ascii="Arial" w:hAnsi="Arial" w:cs="Arial"/>
        </w:rPr>
        <w:t>It should be noted that while good faith requires a party to have due regard to the rights and interests of the other party, it does not require a party to act in the interests of the other party.</w:t>
      </w:r>
      <w:bookmarkStart w:id="41" w:name="_Ref530580157"/>
      <w:r w:rsidR="007307C7">
        <w:rPr>
          <w:rStyle w:val="FootnoteReference"/>
          <w:rFonts w:ascii="Arial" w:hAnsi="Arial" w:cs="Arial"/>
        </w:rPr>
        <w:footnoteReference w:id="38"/>
      </w:r>
      <w:bookmarkEnd w:id="41"/>
      <w:r w:rsidR="00B70343">
        <w:rPr>
          <w:rFonts w:ascii="Arial" w:hAnsi="Arial" w:cs="Arial"/>
        </w:rPr>
        <w:t xml:space="preserve"> Neither does it</w:t>
      </w:r>
      <w:r w:rsidR="00234ED1">
        <w:rPr>
          <w:rFonts w:ascii="Arial" w:hAnsi="Arial" w:cs="Arial"/>
        </w:rPr>
        <w:t xml:space="preserve"> prevent </w:t>
      </w:r>
      <w:r w:rsidR="00C7729E">
        <w:rPr>
          <w:rFonts w:ascii="Arial" w:hAnsi="Arial" w:cs="Arial"/>
        </w:rPr>
        <w:t xml:space="preserve">either a manufacturer or a dealer </w:t>
      </w:r>
      <w:r w:rsidR="00234ED1">
        <w:rPr>
          <w:rFonts w:ascii="Arial" w:hAnsi="Arial" w:cs="Arial"/>
        </w:rPr>
        <w:t xml:space="preserve">from acting </w:t>
      </w:r>
      <w:r w:rsidR="00B70343">
        <w:rPr>
          <w:rFonts w:ascii="Arial" w:hAnsi="Arial" w:cs="Arial"/>
        </w:rPr>
        <w:t>in their own legitimate commercial interests.</w:t>
      </w:r>
      <w:r w:rsidR="007307C7">
        <w:rPr>
          <w:rStyle w:val="FootnoteReference"/>
          <w:rFonts w:ascii="Arial" w:hAnsi="Arial" w:cs="Arial"/>
        </w:rPr>
        <w:footnoteReference w:id="39"/>
      </w:r>
    </w:p>
    <w:p w:rsidR="00442D03" w:rsidRDefault="00450309" w:rsidP="00C73CDC">
      <w:pPr>
        <w:spacing w:before="240" w:line="360" w:lineRule="auto"/>
        <w:jc w:val="both"/>
        <w:rPr>
          <w:rFonts w:ascii="Arial" w:hAnsi="Arial" w:cs="Arial"/>
        </w:rPr>
      </w:pPr>
      <w:r>
        <w:rPr>
          <w:rFonts w:ascii="Arial" w:hAnsi="Arial" w:cs="Arial"/>
        </w:rPr>
        <w:t xml:space="preserve">The good faith obligations are </w:t>
      </w:r>
      <w:r w:rsidR="005B5608">
        <w:rPr>
          <w:rFonts w:ascii="Arial" w:hAnsi="Arial" w:cs="Arial"/>
        </w:rPr>
        <w:t xml:space="preserve">relevant to </w:t>
      </w:r>
      <w:r w:rsidR="00127075">
        <w:rPr>
          <w:rFonts w:ascii="Arial" w:hAnsi="Arial" w:cs="Arial"/>
        </w:rPr>
        <w:t xml:space="preserve">car dealers </w:t>
      </w:r>
      <w:r w:rsidR="005B5608">
        <w:rPr>
          <w:rFonts w:ascii="Arial" w:hAnsi="Arial" w:cs="Arial"/>
        </w:rPr>
        <w:t xml:space="preserve">who </w:t>
      </w:r>
      <w:r w:rsidR="00127075">
        <w:rPr>
          <w:rFonts w:ascii="Arial" w:hAnsi="Arial" w:cs="Arial"/>
        </w:rPr>
        <w:t xml:space="preserve">make significant capital outlays on shop fit-outs and equipment towards the end of a franchise agreement. </w:t>
      </w:r>
      <w:r w:rsidR="00025645">
        <w:rPr>
          <w:rFonts w:ascii="Arial" w:hAnsi="Arial" w:cs="Arial"/>
        </w:rPr>
        <w:t>The Department of Industry, Innovation and Science (</w:t>
      </w:r>
      <w:r w:rsidR="00127075">
        <w:rPr>
          <w:rFonts w:ascii="Arial" w:hAnsi="Arial" w:cs="Arial"/>
        </w:rPr>
        <w:t>DIIS</w:t>
      </w:r>
      <w:r w:rsidR="00025645">
        <w:rPr>
          <w:rFonts w:ascii="Arial" w:hAnsi="Arial" w:cs="Arial"/>
        </w:rPr>
        <w:t>)</w:t>
      </w:r>
      <w:r w:rsidR="00127075">
        <w:rPr>
          <w:rFonts w:ascii="Arial" w:hAnsi="Arial" w:cs="Arial"/>
        </w:rPr>
        <w:t xml:space="preserve"> consultation</w:t>
      </w:r>
      <w:r w:rsidR="00F75F49">
        <w:rPr>
          <w:rFonts w:ascii="Arial" w:hAnsi="Arial" w:cs="Arial"/>
        </w:rPr>
        <w:t>s</w:t>
      </w:r>
      <w:r w:rsidR="00127075">
        <w:rPr>
          <w:rFonts w:ascii="Arial" w:hAnsi="Arial" w:cs="Arial"/>
        </w:rPr>
        <w:t xml:space="preserve"> with industry stakeholde</w:t>
      </w:r>
      <w:r w:rsidR="00852596">
        <w:rPr>
          <w:rFonts w:ascii="Arial" w:hAnsi="Arial" w:cs="Arial"/>
        </w:rPr>
        <w:t>rs</w:t>
      </w:r>
      <w:r w:rsidR="009C7F40">
        <w:rPr>
          <w:rFonts w:ascii="Arial" w:hAnsi="Arial" w:cs="Arial"/>
        </w:rPr>
        <w:t>,</w:t>
      </w:r>
      <w:r w:rsidR="00852596" w:rsidDel="009C7F40">
        <w:rPr>
          <w:rFonts w:ascii="Arial" w:hAnsi="Arial" w:cs="Arial"/>
        </w:rPr>
        <w:t xml:space="preserve"> </w:t>
      </w:r>
      <w:r w:rsidR="00852596">
        <w:rPr>
          <w:rFonts w:ascii="Arial" w:hAnsi="Arial" w:cs="Arial"/>
        </w:rPr>
        <w:t xml:space="preserve">submissions to the </w:t>
      </w:r>
      <w:r w:rsidR="004225AB" w:rsidRPr="004225AB">
        <w:rPr>
          <w:rFonts w:ascii="Arial" w:hAnsi="Arial" w:cs="Arial"/>
        </w:rPr>
        <w:t>2013</w:t>
      </w:r>
      <w:r w:rsidR="00852596">
        <w:rPr>
          <w:rFonts w:ascii="Arial" w:hAnsi="Arial" w:cs="Arial"/>
        </w:rPr>
        <w:t xml:space="preserve"> R</w:t>
      </w:r>
      <w:r w:rsidR="00127075">
        <w:rPr>
          <w:rFonts w:ascii="Arial" w:hAnsi="Arial" w:cs="Arial"/>
        </w:rPr>
        <w:t>eview</w:t>
      </w:r>
      <w:r w:rsidR="004225AB" w:rsidRPr="004225AB">
        <w:rPr>
          <w:rFonts w:ascii="Arial" w:hAnsi="Arial" w:cs="Arial"/>
        </w:rPr>
        <w:t xml:space="preserve"> of the Franchising Code of Conduct</w:t>
      </w:r>
      <w:r w:rsidR="00063AEA">
        <w:rPr>
          <w:rFonts w:ascii="Arial" w:hAnsi="Arial" w:cs="Arial"/>
        </w:rPr>
        <w:t xml:space="preserve"> conducted by Mr Alan </w:t>
      </w:r>
      <w:r w:rsidR="00852596">
        <w:rPr>
          <w:rFonts w:ascii="Arial" w:hAnsi="Arial" w:cs="Arial"/>
        </w:rPr>
        <w:t>Wein</w:t>
      </w:r>
      <w:r w:rsidR="00127075">
        <w:rPr>
          <w:rFonts w:ascii="Arial" w:hAnsi="Arial" w:cs="Arial"/>
        </w:rPr>
        <w:t xml:space="preserve"> </w:t>
      </w:r>
      <w:r w:rsidR="009E28BA">
        <w:rPr>
          <w:rFonts w:ascii="Arial" w:hAnsi="Arial" w:cs="Arial"/>
        </w:rPr>
        <w:t>(Wein Review)</w:t>
      </w:r>
      <w:r w:rsidR="00F75F49">
        <w:rPr>
          <w:rFonts w:ascii="Arial" w:hAnsi="Arial" w:cs="Arial"/>
        </w:rPr>
        <w:t>,</w:t>
      </w:r>
      <w:r w:rsidR="00852596">
        <w:rPr>
          <w:rFonts w:ascii="Arial" w:hAnsi="Arial" w:cs="Arial"/>
        </w:rPr>
        <w:t xml:space="preserve"> </w:t>
      </w:r>
      <w:r w:rsidR="00127075">
        <w:rPr>
          <w:rFonts w:ascii="Arial" w:hAnsi="Arial" w:cs="Arial"/>
        </w:rPr>
        <w:t xml:space="preserve">and the </w:t>
      </w:r>
      <w:r w:rsidR="004D0831">
        <w:rPr>
          <w:rFonts w:ascii="Arial" w:hAnsi="Arial" w:cs="Arial"/>
        </w:rPr>
        <w:t>current PJC</w:t>
      </w:r>
      <w:r w:rsidR="00127075">
        <w:rPr>
          <w:rFonts w:ascii="Arial" w:hAnsi="Arial" w:cs="Arial"/>
        </w:rPr>
        <w:t xml:space="preserve"> Inquiry </w:t>
      </w:r>
      <w:r w:rsidR="008D413D">
        <w:rPr>
          <w:rFonts w:ascii="Arial" w:hAnsi="Arial" w:cs="Arial"/>
        </w:rPr>
        <w:t>indicate</w:t>
      </w:r>
      <w:r w:rsidR="00127075">
        <w:rPr>
          <w:rFonts w:ascii="Arial" w:hAnsi="Arial" w:cs="Arial"/>
        </w:rPr>
        <w:t xml:space="preserve"> that dealers would be undertaking those investments with the expectation of renewal of the dealership agreement.</w:t>
      </w:r>
    </w:p>
    <w:p w:rsidR="00DD14F2" w:rsidRDefault="00E147A1" w:rsidP="00DD14F2">
      <w:pPr>
        <w:spacing w:before="240" w:line="360" w:lineRule="auto"/>
        <w:jc w:val="both"/>
        <w:rPr>
          <w:rFonts w:ascii="Arial" w:hAnsi="Arial" w:cs="Arial"/>
        </w:rPr>
      </w:pPr>
      <w:r>
        <w:rPr>
          <w:rFonts w:ascii="Arial" w:hAnsi="Arial" w:cs="Arial"/>
        </w:rPr>
        <w:t>A break down in this relationship can have a particularly large impact on new car dealers, given the scale of investment required to operate a new car dealership</w:t>
      </w:r>
      <w:r w:rsidR="00DD14F2">
        <w:rPr>
          <w:rFonts w:ascii="Arial" w:hAnsi="Arial" w:cs="Arial"/>
        </w:rPr>
        <w:t xml:space="preserve">, </w:t>
      </w:r>
      <w:r w:rsidR="00DD14F2" w:rsidRPr="008308C0">
        <w:rPr>
          <w:rFonts w:ascii="Arial" w:hAnsi="Arial" w:cs="Arial"/>
        </w:rPr>
        <w:t>with estimates provided in the range of $6 to $20 million, depending on the size and location of the dealership.</w:t>
      </w:r>
      <w:r w:rsidR="00DD14F2">
        <w:rPr>
          <w:rStyle w:val="FootnoteReference"/>
          <w:rFonts w:ascii="Arial" w:hAnsi="Arial" w:cs="Arial"/>
        </w:rPr>
        <w:footnoteReference w:id="40"/>
      </w:r>
      <w:r w:rsidR="00DD14F2" w:rsidRPr="008308C0">
        <w:rPr>
          <w:rFonts w:ascii="Arial" w:hAnsi="Arial" w:cs="Arial"/>
        </w:rPr>
        <w:t xml:space="preserve"> </w:t>
      </w:r>
      <w:r w:rsidR="00DD14F2">
        <w:rPr>
          <w:rFonts w:ascii="Arial" w:hAnsi="Arial" w:cs="Arial"/>
        </w:rPr>
        <w:t xml:space="preserve">A break down in a franchising relationship can </w:t>
      </w:r>
      <w:r w:rsidR="00F75F49">
        <w:rPr>
          <w:rFonts w:ascii="Arial" w:hAnsi="Arial" w:cs="Arial"/>
        </w:rPr>
        <w:t xml:space="preserve">have </w:t>
      </w:r>
      <w:r w:rsidR="00DD14F2">
        <w:rPr>
          <w:rFonts w:ascii="Arial" w:hAnsi="Arial" w:cs="Arial"/>
        </w:rPr>
        <w:t>negative impacts not only on the dealer, but also on staff, who may lose their jobs</w:t>
      </w:r>
      <w:r w:rsidR="00F75F49">
        <w:rPr>
          <w:rFonts w:ascii="Arial" w:hAnsi="Arial" w:cs="Arial"/>
        </w:rPr>
        <w:t>,</w:t>
      </w:r>
      <w:r w:rsidR="00DD14F2">
        <w:rPr>
          <w:rFonts w:ascii="Arial" w:hAnsi="Arial" w:cs="Arial"/>
        </w:rPr>
        <w:t xml:space="preserve"> and consumers, who may no longer be able to return to the dealership to have their car serviced.</w:t>
      </w:r>
    </w:p>
    <w:p w:rsidR="00124902" w:rsidRDefault="0007527F" w:rsidP="00CE1E18">
      <w:pPr>
        <w:spacing w:before="240" w:line="360" w:lineRule="auto"/>
        <w:jc w:val="both"/>
        <w:rPr>
          <w:rFonts w:ascii="Arial" w:hAnsi="Arial" w:cs="Arial"/>
        </w:rPr>
      </w:pPr>
      <w:r>
        <w:rPr>
          <w:rFonts w:ascii="Arial" w:hAnsi="Arial" w:cs="Arial"/>
        </w:rPr>
        <w:t>T</w:t>
      </w:r>
      <w:r w:rsidR="00AD3D06">
        <w:rPr>
          <w:rFonts w:ascii="Arial" w:hAnsi="Arial" w:cs="Arial"/>
        </w:rPr>
        <w:t xml:space="preserve">he Franchising Code </w:t>
      </w:r>
      <w:r w:rsidR="00254E60">
        <w:rPr>
          <w:rFonts w:ascii="Arial" w:hAnsi="Arial" w:cs="Arial"/>
        </w:rPr>
        <w:t xml:space="preserve">mandates </w:t>
      </w:r>
      <w:r w:rsidR="00AD3D06">
        <w:rPr>
          <w:rFonts w:ascii="Arial" w:hAnsi="Arial" w:cs="Arial"/>
        </w:rPr>
        <w:t xml:space="preserve">disclosure </w:t>
      </w:r>
      <w:r w:rsidR="00254E60">
        <w:rPr>
          <w:rFonts w:ascii="Arial" w:hAnsi="Arial" w:cs="Arial"/>
        </w:rPr>
        <w:t>so that prospective franchisees can understand the nature of the relationship they are entering into and the accompanying risks</w:t>
      </w:r>
      <w:r>
        <w:rPr>
          <w:rFonts w:ascii="Arial" w:hAnsi="Arial" w:cs="Arial"/>
        </w:rPr>
        <w:t>.</w:t>
      </w:r>
      <w:r w:rsidR="00AD3D06">
        <w:rPr>
          <w:rFonts w:ascii="Arial" w:hAnsi="Arial" w:cs="Arial"/>
        </w:rPr>
        <w:t xml:space="preserve"> </w:t>
      </w:r>
      <w:r>
        <w:rPr>
          <w:rFonts w:ascii="Arial" w:hAnsi="Arial" w:cs="Arial"/>
        </w:rPr>
        <w:t>D</w:t>
      </w:r>
      <w:r w:rsidR="00AD3D06">
        <w:rPr>
          <w:rFonts w:ascii="Arial" w:hAnsi="Arial" w:cs="Arial"/>
        </w:rPr>
        <w:t xml:space="preserve">isclosure </w:t>
      </w:r>
      <w:r>
        <w:rPr>
          <w:rFonts w:ascii="Arial" w:hAnsi="Arial" w:cs="Arial"/>
        </w:rPr>
        <w:t xml:space="preserve">in itself </w:t>
      </w:r>
      <w:r w:rsidR="00AD3D06">
        <w:rPr>
          <w:rFonts w:ascii="Arial" w:hAnsi="Arial" w:cs="Arial"/>
        </w:rPr>
        <w:t xml:space="preserve">may not be sufficient </w:t>
      </w:r>
      <w:r w:rsidR="001E4FA6">
        <w:rPr>
          <w:rFonts w:ascii="Arial" w:hAnsi="Arial" w:cs="Arial"/>
        </w:rPr>
        <w:t>if the disclosure is not targeted and meaningful</w:t>
      </w:r>
      <w:r w:rsidR="00AD3D06">
        <w:rPr>
          <w:rFonts w:ascii="Arial" w:hAnsi="Arial" w:cs="Arial"/>
        </w:rPr>
        <w:t xml:space="preserve">. Even where a franchisee is well advised and understands the agreement, as is often the case for new car dealers, they </w:t>
      </w:r>
      <w:r w:rsidR="00EE3C85">
        <w:rPr>
          <w:rFonts w:ascii="Arial" w:hAnsi="Arial" w:cs="Arial"/>
        </w:rPr>
        <w:t xml:space="preserve">accede to </w:t>
      </w:r>
      <w:r w:rsidR="00A70F61">
        <w:rPr>
          <w:rFonts w:ascii="Arial" w:hAnsi="Arial" w:cs="Arial"/>
        </w:rPr>
        <w:t xml:space="preserve">the terms of a </w:t>
      </w:r>
      <w:r w:rsidR="00EE3C85">
        <w:rPr>
          <w:rFonts w:ascii="Arial" w:hAnsi="Arial" w:cs="Arial"/>
        </w:rPr>
        <w:t>dealership agreement and undertake capital expenditure</w:t>
      </w:r>
      <w:r w:rsidR="00A9134F">
        <w:rPr>
          <w:rFonts w:ascii="Arial" w:hAnsi="Arial" w:cs="Arial"/>
        </w:rPr>
        <w:t xml:space="preserve"> in accordance with the franchisor’s directions</w:t>
      </w:r>
      <w:r w:rsidR="00EE3C85">
        <w:rPr>
          <w:rFonts w:ascii="Arial" w:hAnsi="Arial" w:cs="Arial"/>
        </w:rPr>
        <w:t xml:space="preserve"> </w:t>
      </w:r>
      <w:r w:rsidR="00442D03">
        <w:rPr>
          <w:rFonts w:ascii="Arial" w:hAnsi="Arial" w:cs="Arial"/>
        </w:rPr>
        <w:t xml:space="preserve">because of the significant sunk costs </w:t>
      </w:r>
      <w:r w:rsidR="00C50F08">
        <w:rPr>
          <w:rFonts w:ascii="Arial" w:hAnsi="Arial" w:cs="Arial"/>
        </w:rPr>
        <w:t xml:space="preserve">of having </w:t>
      </w:r>
      <w:r w:rsidR="00EE3C85">
        <w:rPr>
          <w:rFonts w:ascii="Arial" w:hAnsi="Arial" w:cs="Arial"/>
        </w:rPr>
        <w:t xml:space="preserve">aligned </w:t>
      </w:r>
      <w:r w:rsidR="00442D03">
        <w:rPr>
          <w:rFonts w:ascii="Arial" w:hAnsi="Arial" w:cs="Arial"/>
        </w:rPr>
        <w:t>themselves with one brand</w:t>
      </w:r>
      <w:r w:rsidR="00AD3D06">
        <w:rPr>
          <w:rFonts w:ascii="Arial" w:hAnsi="Arial" w:cs="Arial"/>
        </w:rPr>
        <w:t xml:space="preserve">. </w:t>
      </w:r>
    </w:p>
    <w:p w:rsidR="00124902" w:rsidRDefault="00D02F56" w:rsidP="00CE1E18">
      <w:pPr>
        <w:spacing w:before="240" w:line="360" w:lineRule="auto"/>
        <w:jc w:val="both"/>
        <w:rPr>
          <w:rFonts w:ascii="Arial" w:hAnsi="Arial" w:cs="Arial"/>
        </w:rPr>
      </w:pPr>
      <w:r>
        <w:rPr>
          <w:rFonts w:ascii="Arial" w:hAnsi="Arial" w:cs="Arial"/>
        </w:rPr>
        <w:t xml:space="preserve">Consistent anecdotal evidence indicates that there are three main problems </w:t>
      </w:r>
      <w:r w:rsidR="00AD3D06">
        <w:rPr>
          <w:rFonts w:ascii="Arial" w:hAnsi="Arial" w:cs="Arial"/>
        </w:rPr>
        <w:t>in the context of dealer agreements</w:t>
      </w:r>
      <w:r w:rsidR="00124902">
        <w:rPr>
          <w:rFonts w:ascii="Arial" w:hAnsi="Arial" w:cs="Arial"/>
        </w:rPr>
        <w:t xml:space="preserve"> – </w:t>
      </w:r>
      <w:r w:rsidR="002062E7">
        <w:rPr>
          <w:rFonts w:ascii="Arial" w:hAnsi="Arial" w:cs="Arial"/>
        </w:rPr>
        <w:t xml:space="preserve">negotiating </w:t>
      </w:r>
      <w:r w:rsidR="00124902">
        <w:rPr>
          <w:rFonts w:ascii="Arial" w:hAnsi="Arial" w:cs="Arial"/>
        </w:rPr>
        <w:t xml:space="preserve">end of term arrangements, </w:t>
      </w:r>
      <w:r w:rsidR="002062E7">
        <w:rPr>
          <w:rFonts w:ascii="Arial" w:hAnsi="Arial" w:cs="Arial"/>
        </w:rPr>
        <w:t xml:space="preserve">the capacity to recoup </w:t>
      </w:r>
      <w:r w:rsidR="00124902">
        <w:rPr>
          <w:rFonts w:ascii="Arial" w:hAnsi="Arial" w:cs="Arial"/>
        </w:rPr>
        <w:t>capital expenditure and dispute resolution. An important factor that drives these problems in the new car retailing industry is the significant upfront capital investment involved in establis</w:t>
      </w:r>
      <w:r w:rsidR="00124902" w:rsidRPr="008308C0">
        <w:rPr>
          <w:rFonts w:ascii="Arial" w:hAnsi="Arial" w:cs="Arial"/>
        </w:rPr>
        <w:t>hing new dealership facilities</w:t>
      </w:r>
      <w:r w:rsidR="00FF04B6">
        <w:rPr>
          <w:rFonts w:ascii="Arial" w:hAnsi="Arial" w:cs="Arial"/>
        </w:rPr>
        <w:t>.</w:t>
      </w:r>
      <w:r w:rsidR="00124902" w:rsidRPr="008308C0">
        <w:rPr>
          <w:rFonts w:ascii="Arial" w:hAnsi="Arial" w:cs="Arial"/>
        </w:rPr>
        <w:t xml:space="preserve"> </w:t>
      </w:r>
    </w:p>
    <w:p w:rsidR="00AD3D06" w:rsidRPr="006721B4" w:rsidRDefault="00AD3D06" w:rsidP="00CE1E18">
      <w:pPr>
        <w:spacing w:before="240" w:line="360" w:lineRule="auto"/>
        <w:jc w:val="both"/>
        <w:rPr>
          <w:rFonts w:ascii="Arial" w:hAnsi="Arial" w:cs="Arial"/>
          <w:i/>
        </w:rPr>
      </w:pPr>
      <w:r w:rsidRPr="00057CF1">
        <w:rPr>
          <w:rFonts w:ascii="Arial" w:hAnsi="Arial" w:cs="Arial"/>
          <w:i/>
        </w:rPr>
        <w:t>End of term arrangements</w:t>
      </w:r>
    </w:p>
    <w:p w:rsidR="00647D36" w:rsidRDefault="00647D36" w:rsidP="00CE1E18">
      <w:pPr>
        <w:spacing w:before="240" w:line="360" w:lineRule="auto"/>
        <w:jc w:val="both"/>
        <w:rPr>
          <w:rFonts w:ascii="Arial" w:hAnsi="Arial" w:cs="Arial"/>
        </w:rPr>
      </w:pPr>
      <w:r>
        <w:rPr>
          <w:rFonts w:ascii="Arial" w:hAnsi="Arial" w:cs="Arial"/>
        </w:rPr>
        <w:t xml:space="preserve">Under the Franchising Code, a franchisor must provide at least six months’ notice if </w:t>
      </w:r>
      <w:r w:rsidR="00F75F49">
        <w:rPr>
          <w:rFonts w:ascii="Arial" w:hAnsi="Arial" w:cs="Arial"/>
        </w:rPr>
        <w:t xml:space="preserve">it </w:t>
      </w:r>
      <w:r>
        <w:rPr>
          <w:rFonts w:ascii="Arial" w:hAnsi="Arial" w:cs="Arial"/>
        </w:rPr>
        <w:t>intend</w:t>
      </w:r>
      <w:r w:rsidR="00F75F49">
        <w:rPr>
          <w:rFonts w:ascii="Arial" w:hAnsi="Arial" w:cs="Arial"/>
        </w:rPr>
        <w:t>s</w:t>
      </w:r>
      <w:r>
        <w:rPr>
          <w:rFonts w:ascii="Arial" w:hAnsi="Arial" w:cs="Arial"/>
        </w:rPr>
        <w:t xml:space="preserve"> to not renew the agreement. </w:t>
      </w:r>
      <w:r w:rsidR="00124902">
        <w:rPr>
          <w:rFonts w:ascii="Arial" w:hAnsi="Arial" w:cs="Arial"/>
        </w:rPr>
        <w:t xml:space="preserve">Given the scale of investment involved in establishing a dealership, </w:t>
      </w:r>
      <w:r w:rsidR="000923CE">
        <w:rPr>
          <w:rFonts w:ascii="Arial" w:hAnsi="Arial" w:cs="Arial"/>
        </w:rPr>
        <w:t xml:space="preserve">12 months’ notice is suggested by dealer representatives as a more adequate period of notice rather than </w:t>
      </w:r>
      <w:r w:rsidR="00124902">
        <w:rPr>
          <w:rFonts w:ascii="Arial" w:hAnsi="Arial" w:cs="Arial"/>
        </w:rPr>
        <w:t>six months’ notice</w:t>
      </w:r>
      <w:r w:rsidR="00616293">
        <w:rPr>
          <w:rStyle w:val="FootnoteReference"/>
          <w:rFonts w:ascii="Arial" w:hAnsi="Arial" w:cs="Arial"/>
        </w:rPr>
        <w:footnoteReference w:id="41"/>
      </w:r>
      <w:r w:rsidR="00124902">
        <w:rPr>
          <w:rFonts w:ascii="Arial" w:hAnsi="Arial" w:cs="Arial"/>
        </w:rPr>
        <w:t xml:space="preserve"> for a car dealer to manage the non-renewal of </w:t>
      </w:r>
      <w:r w:rsidR="00F75F49">
        <w:rPr>
          <w:rFonts w:ascii="Arial" w:hAnsi="Arial" w:cs="Arial"/>
        </w:rPr>
        <w:t xml:space="preserve">its </w:t>
      </w:r>
      <w:r w:rsidR="00124902">
        <w:rPr>
          <w:rFonts w:ascii="Arial" w:hAnsi="Arial" w:cs="Arial"/>
        </w:rPr>
        <w:t xml:space="preserve">agreement. For example, a dealer may find it difficult to repurpose </w:t>
      </w:r>
      <w:r w:rsidR="00F75F49">
        <w:rPr>
          <w:rFonts w:ascii="Arial" w:hAnsi="Arial" w:cs="Arial"/>
        </w:rPr>
        <w:t xml:space="preserve">its </w:t>
      </w:r>
      <w:r w:rsidR="00124902">
        <w:rPr>
          <w:rFonts w:ascii="Arial" w:hAnsi="Arial" w:cs="Arial"/>
        </w:rPr>
        <w:t>facilities or find an alternate franchise in this time.</w:t>
      </w:r>
    </w:p>
    <w:p w:rsidR="00D02F56" w:rsidRDefault="00D02F56" w:rsidP="00CE1E18">
      <w:pPr>
        <w:spacing w:before="240" w:line="360" w:lineRule="auto"/>
        <w:jc w:val="both"/>
        <w:rPr>
          <w:rFonts w:ascii="Arial" w:hAnsi="Arial" w:cs="Arial"/>
        </w:rPr>
      </w:pPr>
      <w:r>
        <w:rPr>
          <w:rFonts w:ascii="Arial" w:hAnsi="Arial" w:cs="Arial"/>
        </w:rPr>
        <w:t xml:space="preserve">While statistics on the number of agreements </w:t>
      </w:r>
      <w:r w:rsidR="00060043">
        <w:rPr>
          <w:rFonts w:ascii="Arial" w:hAnsi="Arial" w:cs="Arial"/>
        </w:rPr>
        <w:t>no</w:t>
      </w:r>
      <w:r w:rsidR="00C832C1">
        <w:rPr>
          <w:rFonts w:ascii="Arial" w:hAnsi="Arial" w:cs="Arial"/>
        </w:rPr>
        <w:t xml:space="preserve">t being </w:t>
      </w:r>
      <w:r w:rsidR="00060043">
        <w:rPr>
          <w:rFonts w:ascii="Arial" w:hAnsi="Arial" w:cs="Arial"/>
        </w:rPr>
        <w:t xml:space="preserve">renewed are unavailable, media reporting of Holden’s decision to not renew up to 30 dealer agreements </w:t>
      </w:r>
      <w:r w:rsidR="007025E9">
        <w:rPr>
          <w:rFonts w:ascii="Arial" w:hAnsi="Arial" w:cs="Arial"/>
        </w:rPr>
        <w:t xml:space="preserve">suggests that not renewing 30 agreements </w:t>
      </w:r>
      <w:r w:rsidR="0044611B">
        <w:rPr>
          <w:rFonts w:ascii="Arial" w:hAnsi="Arial" w:cs="Arial"/>
        </w:rPr>
        <w:t xml:space="preserve">is not a regular occurrence and tends to be precipitated by strategic reviews undertaken by car manufacturers. Given this, </w:t>
      </w:r>
      <w:r w:rsidR="00060043">
        <w:rPr>
          <w:rFonts w:ascii="Arial" w:hAnsi="Arial" w:cs="Arial"/>
        </w:rPr>
        <w:t xml:space="preserve">the number of dealer agreements not renewed annually is fairly low (noting that there are over </w:t>
      </w:r>
      <w:r w:rsidR="0021542A">
        <w:rPr>
          <w:rFonts w:ascii="Arial" w:hAnsi="Arial" w:cs="Arial"/>
        </w:rPr>
        <w:t>1</w:t>
      </w:r>
      <w:r w:rsidR="00060043">
        <w:rPr>
          <w:rFonts w:ascii="Arial" w:hAnsi="Arial" w:cs="Arial"/>
        </w:rPr>
        <w:t>500 car dealers in Australia).</w:t>
      </w:r>
      <w:r w:rsidR="00060043">
        <w:rPr>
          <w:rStyle w:val="FootnoteReference"/>
          <w:rFonts w:ascii="Arial" w:hAnsi="Arial" w:cs="Arial"/>
        </w:rPr>
        <w:footnoteReference w:id="42"/>
      </w:r>
      <w:r w:rsidR="00060043">
        <w:rPr>
          <w:rFonts w:ascii="Arial" w:hAnsi="Arial" w:cs="Arial"/>
        </w:rPr>
        <w:t xml:space="preserve"> However, whilst the number of agreement</w:t>
      </w:r>
      <w:r w:rsidR="00A42CF0">
        <w:rPr>
          <w:rFonts w:ascii="Arial" w:hAnsi="Arial" w:cs="Arial"/>
        </w:rPr>
        <w:t>s</w:t>
      </w:r>
      <w:r w:rsidR="00060043">
        <w:rPr>
          <w:rFonts w:ascii="Arial" w:hAnsi="Arial" w:cs="Arial"/>
        </w:rPr>
        <w:t xml:space="preserve"> not renewed may be low, the impact on those dealers whose agreements are not renewed is likely to be </w:t>
      </w:r>
      <w:r w:rsidR="00291D32">
        <w:rPr>
          <w:rFonts w:ascii="Arial" w:hAnsi="Arial" w:cs="Arial"/>
        </w:rPr>
        <w:t>significant</w:t>
      </w:r>
      <w:r w:rsidR="00060043">
        <w:rPr>
          <w:rFonts w:ascii="Arial" w:hAnsi="Arial" w:cs="Arial"/>
        </w:rPr>
        <w:t>.</w:t>
      </w:r>
      <w:r w:rsidR="00F26B48">
        <w:rPr>
          <w:rFonts w:ascii="Arial" w:hAnsi="Arial" w:cs="Arial"/>
        </w:rPr>
        <w:t xml:space="preserve"> </w:t>
      </w:r>
      <w:r w:rsidR="0044611B">
        <w:rPr>
          <w:rFonts w:ascii="Arial" w:hAnsi="Arial" w:cs="Arial"/>
        </w:rPr>
        <w:t xml:space="preserve">There are also significant impacts within </w:t>
      </w:r>
      <w:r w:rsidR="00F26B48">
        <w:rPr>
          <w:rFonts w:ascii="Arial" w:hAnsi="Arial" w:cs="Arial"/>
        </w:rPr>
        <w:t xml:space="preserve">regional areas where dealerships contribute to employment and </w:t>
      </w:r>
      <w:r w:rsidR="0004416A">
        <w:rPr>
          <w:rFonts w:ascii="Arial" w:hAnsi="Arial" w:cs="Arial"/>
        </w:rPr>
        <w:t xml:space="preserve">ensure </w:t>
      </w:r>
      <w:r w:rsidR="00F26B48">
        <w:rPr>
          <w:rFonts w:ascii="Arial" w:hAnsi="Arial" w:cs="Arial"/>
        </w:rPr>
        <w:t>consumers</w:t>
      </w:r>
      <w:r w:rsidR="0004416A">
        <w:rPr>
          <w:rFonts w:ascii="Arial" w:hAnsi="Arial" w:cs="Arial"/>
        </w:rPr>
        <w:t>’</w:t>
      </w:r>
      <w:r w:rsidR="00F26B48">
        <w:rPr>
          <w:rFonts w:ascii="Arial" w:hAnsi="Arial" w:cs="Arial"/>
        </w:rPr>
        <w:t xml:space="preserve"> access </w:t>
      </w:r>
      <w:r w:rsidR="0004416A">
        <w:rPr>
          <w:rFonts w:ascii="Arial" w:hAnsi="Arial" w:cs="Arial"/>
        </w:rPr>
        <w:t>to local services</w:t>
      </w:r>
      <w:r w:rsidR="00F26B48">
        <w:rPr>
          <w:rFonts w:ascii="Arial" w:hAnsi="Arial" w:cs="Arial"/>
        </w:rPr>
        <w:t>.</w:t>
      </w:r>
    </w:p>
    <w:p w:rsidR="00DD1FDD" w:rsidRPr="00DD1FDD" w:rsidRDefault="00DD1FDD" w:rsidP="00CE1E18">
      <w:pPr>
        <w:spacing w:before="240" w:line="360" w:lineRule="auto"/>
        <w:jc w:val="both"/>
        <w:rPr>
          <w:rFonts w:ascii="Arial" w:hAnsi="Arial" w:cs="Arial"/>
        </w:rPr>
      </w:pPr>
      <w:r w:rsidRPr="00DD1FDD">
        <w:rPr>
          <w:rFonts w:ascii="Arial" w:hAnsi="Arial" w:cs="Arial"/>
        </w:rPr>
        <w:t>Car dealers, through the industry representative the AADA</w:t>
      </w:r>
      <w:r w:rsidR="00C832C1">
        <w:rPr>
          <w:rFonts w:ascii="Arial" w:hAnsi="Arial" w:cs="Arial"/>
        </w:rPr>
        <w:t>,</w:t>
      </w:r>
      <w:r w:rsidRPr="00DD1FDD">
        <w:rPr>
          <w:rFonts w:ascii="Arial" w:hAnsi="Arial" w:cs="Arial"/>
        </w:rPr>
        <w:t xml:space="preserve"> have also expressed concern that there is an increasing trend of manufacturers issuing non-renewal notices to dealers that have met or exceeded their performance targets and are not in breach of the dealer agreement.</w:t>
      </w:r>
      <w:r>
        <w:rPr>
          <w:rStyle w:val="FootnoteReference"/>
          <w:rFonts w:ascii="Arial" w:hAnsi="Arial" w:cs="Arial"/>
        </w:rPr>
        <w:footnoteReference w:id="43"/>
      </w:r>
      <w:r w:rsidR="00715F3F">
        <w:rPr>
          <w:rFonts w:ascii="Arial" w:hAnsi="Arial" w:cs="Arial"/>
        </w:rPr>
        <w:t xml:space="preserve"> </w:t>
      </w:r>
      <w:r w:rsidR="00715F3F" w:rsidRPr="00DD1FDD">
        <w:rPr>
          <w:rFonts w:ascii="Arial" w:hAnsi="Arial" w:cs="Arial"/>
        </w:rPr>
        <w:t xml:space="preserve">Unlike termination for breach, a manufacturer is not required by the Franchising Code to provide a dealer with reasons for issuing a non-renewal notice. </w:t>
      </w:r>
      <w:r w:rsidR="00715F3F">
        <w:rPr>
          <w:rFonts w:ascii="Arial" w:hAnsi="Arial" w:cs="Arial"/>
        </w:rPr>
        <w:t xml:space="preserve">Non-renewal without cause is of particular concern for dealers who have undertaken capital expenditure towards the end of a franchise agreement. Non-renewal without being provided </w:t>
      </w:r>
      <w:r w:rsidR="00010A83">
        <w:rPr>
          <w:rFonts w:ascii="Arial" w:hAnsi="Arial" w:cs="Arial"/>
        </w:rPr>
        <w:t xml:space="preserve">a reason </w:t>
      </w:r>
      <w:r w:rsidR="0044611B">
        <w:rPr>
          <w:rFonts w:ascii="Arial" w:hAnsi="Arial" w:cs="Arial"/>
        </w:rPr>
        <w:t xml:space="preserve">(which is allowed under the Franchising Code) </w:t>
      </w:r>
      <w:r w:rsidR="00715F3F" w:rsidRPr="00715F3F">
        <w:rPr>
          <w:rFonts w:ascii="Arial" w:hAnsi="Arial" w:cs="Arial"/>
        </w:rPr>
        <w:t xml:space="preserve">makes it </w:t>
      </w:r>
      <w:r w:rsidR="00010A83">
        <w:rPr>
          <w:rFonts w:ascii="Arial" w:hAnsi="Arial" w:cs="Arial"/>
        </w:rPr>
        <w:t xml:space="preserve">more </w:t>
      </w:r>
      <w:r w:rsidR="00715F3F" w:rsidRPr="00715F3F">
        <w:rPr>
          <w:rFonts w:ascii="Arial" w:hAnsi="Arial" w:cs="Arial"/>
        </w:rPr>
        <w:t>difficult for a dealer to assess whether the manufacturer has exercised its right to issue a non-renewal notice in good faith, as required by the Franchising Code.</w:t>
      </w:r>
      <w:r w:rsidR="00010A83">
        <w:rPr>
          <w:rStyle w:val="FootnoteReference"/>
          <w:rFonts w:ascii="Arial" w:hAnsi="Arial" w:cs="Arial"/>
        </w:rPr>
        <w:footnoteReference w:id="44"/>
      </w:r>
    </w:p>
    <w:p w:rsidR="00AD3D06" w:rsidRPr="00442D03" w:rsidRDefault="00AD3D06" w:rsidP="00FF4312">
      <w:pPr>
        <w:keepNext/>
        <w:spacing w:before="240" w:line="360" w:lineRule="auto"/>
        <w:jc w:val="both"/>
        <w:rPr>
          <w:rFonts w:ascii="Arial" w:hAnsi="Arial" w:cs="Arial"/>
          <w:i/>
        </w:rPr>
      </w:pPr>
      <w:r w:rsidRPr="00442D03">
        <w:rPr>
          <w:rFonts w:ascii="Arial" w:hAnsi="Arial" w:cs="Arial"/>
          <w:i/>
        </w:rPr>
        <w:t>Capital expenditure</w:t>
      </w:r>
    </w:p>
    <w:p w:rsidR="00F9062E" w:rsidRDefault="00F9062E" w:rsidP="00FF4312">
      <w:pPr>
        <w:keepNext/>
        <w:spacing w:before="240" w:line="360" w:lineRule="auto"/>
        <w:jc w:val="both"/>
        <w:rPr>
          <w:rFonts w:ascii="Arial" w:hAnsi="Arial" w:cs="Arial"/>
        </w:rPr>
      </w:pPr>
      <w:r>
        <w:rPr>
          <w:rFonts w:ascii="Arial" w:hAnsi="Arial" w:cs="Arial"/>
        </w:rPr>
        <w:t xml:space="preserve">The Franchising Code places restrictions on when a franchisor can require a franchisee to undertake significant capital expenditure. </w:t>
      </w:r>
      <w:r w:rsidR="00C832C1">
        <w:rPr>
          <w:rFonts w:ascii="Arial" w:hAnsi="Arial" w:cs="Arial"/>
        </w:rPr>
        <w:t xml:space="preserve">Capital expenditure </w:t>
      </w:r>
      <w:r>
        <w:rPr>
          <w:rFonts w:ascii="Arial" w:hAnsi="Arial" w:cs="Arial"/>
        </w:rPr>
        <w:t>can only be required of franchisees if:</w:t>
      </w:r>
    </w:p>
    <w:p w:rsidR="00F9062E" w:rsidRDefault="00F9062E" w:rsidP="00F9062E">
      <w:pPr>
        <w:pStyle w:val="ListParagraph"/>
        <w:numPr>
          <w:ilvl w:val="0"/>
          <w:numId w:val="21"/>
        </w:numPr>
        <w:spacing w:before="240" w:line="360" w:lineRule="auto"/>
        <w:jc w:val="both"/>
        <w:rPr>
          <w:rFonts w:ascii="Arial" w:hAnsi="Arial" w:cs="Arial"/>
        </w:rPr>
      </w:pPr>
      <w:r w:rsidRPr="00F9062E">
        <w:rPr>
          <w:rFonts w:ascii="Arial" w:hAnsi="Arial" w:cs="Arial"/>
        </w:rPr>
        <w:t xml:space="preserve">it is disclosed through the regular disclosure process; </w:t>
      </w:r>
    </w:p>
    <w:p w:rsidR="00F9062E" w:rsidRDefault="00F9062E" w:rsidP="00F9062E">
      <w:pPr>
        <w:pStyle w:val="ListParagraph"/>
        <w:numPr>
          <w:ilvl w:val="0"/>
          <w:numId w:val="21"/>
        </w:numPr>
        <w:spacing w:before="240" w:line="360" w:lineRule="auto"/>
        <w:jc w:val="both"/>
        <w:rPr>
          <w:rFonts w:ascii="Arial" w:hAnsi="Arial" w:cs="Arial"/>
        </w:rPr>
      </w:pPr>
      <w:r w:rsidRPr="00F9062E">
        <w:rPr>
          <w:rFonts w:ascii="Arial" w:hAnsi="Arial" w:cs="Arial"/>
        </w:rPr>
        <w:t>if it is agreed to, or approved by, the majority of franchisees;</w:t>
      </w:r>
    </w:p>
    <w:p w:rsidR="00F9062E" w:rsidRDefault="00F9062E" w:rsidP="00F9062E">
      <w:pPr>
        <w:pStyle w:val="ListParagraph"/>
        <w:numPr>
          <w:ilvl w:val="0"/>
          <w:numId w:val="21"/>
        </w:numPr>
        <w:spacing w:before="240" w:line="360" w:lineRule="auto"/>
        <w:jc w:val="both"/>
        <w:rPr>
          <w:rFonts w:ascii="Arial" w:hAnsi="Arial" w:cs="Arial"/>
        </w:rPr>
      </w:pPr>
      <w:r w:rsidRPr="00F9062E">
        <w:rPr>
          <w:rFonts w:ascii="Arial" w:hAnsi="Arial" w:cs="Arial"/>
        </w:rPr>
        <w:t>the expenditure is required to comply with legal obligations; or</w:t>
      </w:r>
    </w:p>
    <w:p w:rsidR="00F9062E" w:rsidRDefault="00F9062E" w:rsidP="00F9062E">
      <w:pPr>
        <w:pStyle w:val="ListParagraph"/>
        <w:numPr>
          <w:ilvl w:val="0"/>
          <w:numId w:val="21"/>
        </w:numPr>
        <w:spacing w:before="240" w:line="360" w:lineRule="auto"/>
        <w:jc w:val="both"/>
        <w:rPr>
          <w:rFonts w:ascii="Arial" w:hAnsi="Arial" w:cs="Arial"/>
        </w:rPr>
      </w:pPr>
      <w:r w:rsidRPr="00F9062E">
        <w:rPr>
          <w:rFonts w:ascii="Arial" w:hAnsi="Arial" w:cs="Arial"/>
        </w:rPr>
        <w:t>the franchisor considers the expenditure necessary and can be justified by a rationale for the investment, an explanation of the amount of the expenditure, the anticipated outcomes and benefits and the expected risks for making the investment.</w:t>
      </w:r>
      <w:r w:rsidR="00AE3EA4" w:rsidRPr="00F9062E">
        <w:rPr>
          <w:rFonts w:ascii="Arial" w:hAnsi="Arial" w:cs="Arial"/>
        </w:rPr>
        <w:t xml:space="preserve"> </w:t>
      </w:r>
    </w:p>
    <w:p w:rsidR="00197E3B" w:rsidRPr="00197E3B" w:rsidRDefault="005701E2" w:rsidP="00197E3B">
      <w:pPr>
        <w:spacing w:before="240" w:line="360" w:lineRule="auto"/>
        <w:jc w:val="both"/>
        <w:rPr>
          <w:rFonts w:ascii="Arial" w:hAnsi="Arial" w:cs="Arial"/>
        </w:rPr>
      </w:pPr>
      <w:r>
        <w:rPr>
          <w:rFonts w:ascii="Arial" w:hAnsi="Arial" w:cs="Arial"/>
        </w:rPr>
        <w:t>Dealers’ concerns with disclosure of capital expenditure is twofold</w:t>
      </w:r>
      <w:r w:rsidR="00DE1753">
        <w:rPr>
          <w:rFonts w:ascii="Arial" w:hAnsi="Arial" w:cs="Arial"/>
        </w:rPr>
        <w:t>. F</w:t>
      </w:r>
      <w:r>
        <w:rPr>
          <w:rFonts w:ascii="Arial" w:hAnsi="Arial" w:cs="Arial"/>
        </w:rPr>
        <w:t xml:space="preserve">irstly, </w:t>
      </w:r>
      <w:r w:rsidR="00DE1753">
        <w:rPr>
          <w:rFonts w:ascii="Arial" w:hAnsi="Arial" w:cs="Arial"/>
        </w:rPr>
        <w:t xml:space="preserve">both the AADA and the ACCC in submissions to </w:t>
      </w:r>
      <w:r w:rsidR="004D0831">
        <w:rPr>
          <w:rFonts w:ascii="Arial" w:hAnsi="Arial" w:cs="Arial"/>
        </w:rPr>
        <w:t>PJC</w:t>
      </w:r>
      <w:r w:rsidR="00DE1753">
        <w:rPr>
          <w:rFonts w:ascii="Arial" w:hAnsi="Arial" w:cs="Arial"/>
        </w:rPr>
        <w:t xml:space="preserve"> Inquiry note franchisors are </w:t>
      </w:r>
      <w:r w:rsidR="00EE3C85" w:rsidRPr="00F9062E">
        <w:rPr>
          <w:rFonts w:ascii="Arial" w:hAnsi="Arial" w:cs="Arial"/>
        </w:rPr>
        <w:t>disclosing very broad ranges of estimated expenditure</w:t>
      </w:r>
      <w:r w:rsidR="00DE1753">
        <w:rPr>
          <w:rFonts w:ascii="Arial" w:hAnsi="Arial" w:cs="Arial"/>
        </w:rPr>
        <w:t>.</w:t>
      </w:r>
      <w:r w:rsidR="00EE3C85" w:rsidRPr="00F9062E">
        <w:rPr>
          <w:rFonts w:ascii="Arial" w:hAnsi="Arial" w:cs="Arial"/>
        </w:rPr>
        <w:t xml:space="preserve"> </w:t>
      </w:r>
      <w:r w:rsidR="00DE1753">
        <w:rPr>
          <w:rFonts w:ascii="Arial" w:hAnsi="Arial" w:cs="Arial"/>
        </w:rPr>
        <w:t>$50 000</w:t>
      </w:r>
      <w:r w:rsidR="00892734">
        <w:rPr>
          <w:rFonts w:ascii="Arial" w:hAnsi="Arial" w:cs="Arial"/>
        </w:rPr>
        <w:t xml:space="preserve"> to $</w:t>
      </w:r>
      <w:r w:rsidR="00DE1753">
        <w:rPr>
          <w:rFonts w:ascii="Arial" w:hAnsi="Arial" w:cs="Arial"/>
        </w:rPr>
        <w:t>50</w:t>
      </w:r>
      <w:r w:rsidR="00DE1753" w:rsidDel="00892734">
        <w:rPr>
          <w:rFonts w:ascii="Arial" w:hAnsi="Arial" w:cs="Arial"/>
        </w:rPr>
        <w:t xml:space="preserve"> 000 </w:t>
      </w:r>
      <w:r w:rsidR="00EE3C85" w:rsidRPr="00F9062E" w:rsidDel="00892734">
        <w:rPr>
          <w:rFonts w:ascii="Arial" w:hAnsi="Arial" w:cs="Arial"/>
        </w:rPr>
        <w:t>000</w:t>
      </w:r>
      <w:r w:rsidR="00DE1753">
        <w:rPr>
          <w:rFonts w:ascii="Arial" w:hAnsi="Arial" w:cs="Arial"/>
        </w:rPr>
        <w:t xml:space="preserve"> in the case of car manufacturer franchisors and $5000 to $350</w:t>
      </w:r>
      <w:r w:rsidR="009E7696">
        <w:rPr>
          <w:rFonts w:ascii="Arial" w:hAnsi="Arial" w:cs="Arial"/>
        </w:rPr>
        <w:t xml:space="preserve"> </w:t>
      </w:r>
      <w:r w:rsidR="00DE1753">
        <w:rPr>
          <w:rFonts w:ascii="Arial" w:hAnsi="Arial" w:cs="Arial"/>
        </w:rPr>
        <w:t xml:space="preserve">000 in </w:t>
      </w:r>
      <w:r w:rsidR="00B139A1">
        <w:rPr>
          <w:rFonts w:ascii="Arial" w:hAnsi="Arial" w:cs="Arial"/>
        </w:rPr>
        <w:t xml:space="preserve">the case of </w:t>
      </w:r>
      <w:r w:rsidR="002D1DE8">
        <w:rPr>
          <w:rFonts w:ascii="Arial" w:hAnsi="Arial" w:cs="Arial"/>
        </w:rPr>
        <w:t xml:space="preserve">a </w:t>
      </w:r>
      <w:r w:rsidR="00B139A1">
        <w:rPr>
          <w:rFonts w:ascii="Arial" w:hAnsi="Arial" w:cs="Arial"/>
        </w:rPr>
        <w:t xml:space="preserve">franchisor </w:t>
      </w:r>
      <w:r w:rsidR="00651828">
        <w:rPr>
          <w:rFonts w:ascii="Arial" w:hAnsi="Arial" w:cs="Arial"/>
        </w:rPr>
        <w:t xml:space="preserve">subject to a compliance check </w:t>
      </w:r>
      <w:r w:rsidR="00B139A1">
        <w:rPr>
          <w:rFonts w:ascii="Arial" w:hAnsi="Arial" w:cs="Arial"/>
        </w:rPr>
        <w:t>by the ACCC.</w:t>
      </w:r>
      <w:r w:rsidR="00197E3B">
        <w:rPr>
          <w:rFonts w:ascii="Arial" w:hAnsi="Arial" w:cs="Arial"/>
        </w:rPr>
        <w:t xml:space="preserve"> Secondly, as noted in the AADA’s submission</w:t>
      </w:r>
      <w:r w:rsidR="00177ADC">
        <w:rPr>
          <w:rFonts w:ascii="Arial" w:hAnsi="Arial" w:cs="Arial"/>
        </w:rPr>
        <w:t>s</w:t>
      </w:r>
      <w:r w:rsidR="00197E3B">
        <w:rPr>
          <w:rFonts w:ascii="Arial" w:hAnsi="Arial" w:cs="Arial"/>
        </w:rPr>
        <w:t xml:space="preserve">, </w:t>
      </w:r>
      <w:r w:rsidR="00177ADC">
        <w:rPr>
          <w:rFonts w:ascii="Arial" w:hAnsi="Arial" w:cs="Arial"/>
        </w:rPr>
        <w:t>dealers have a propensity to accede to car manufacturers’ request to undertake capital expenditure even if there is doubt as to whether that outlay can be recouped during the term of a dealership a</w:t>
      </w:r>
      <w:r w:rsidR="004B7749">
        <w:rPr>
          <w:rFonts w:ascii="Arial" w:hAnsi="Arial" w:cs="Arial"/>
        </w:rPr>
        <w:t>greement because of</w:t>
      </w:r>
      <w:r w:rsidR="00601D7A">
        <w:rPr>
          <w:rFonts w:ascii="Arial" w:hAnsi="Arial" w:cs="Arial"/>
        </w:rPr>
        <w:t xml:space="preserve"> an exp</w:t>
      </w:r>
      <w:r w:rsidR="004B7749">
        <w:rPr>
          <w:rFonts w:ascii="Arial" w:hAnsi="Arial" w:cs="Arial"/>
        </w:rPr>
        <w:t xml:space="preserve">ectation that the dealer may be offered another term. </w:t>
      </w:r>
      <w:r w:rsidR="00601D7A">
        <w:rPr>
          <w:rFonts w:ascii="Arial" w:hAnsi="Arial" w:cs="Arial"/>
        </w:rPr>
        <w:t>This expectation may also arise given the relational and ongoing nature of the franchising relationship</w:t>
      </w:r>
      <w:r w:rsidR="00D17FF8">
        <w:rPr>
          <w:rFonts w:ascii="Arial" w:hAnsi="Arial" w:cs="Arial"/>
        </w:rPr>
        <w:t>.</w:t>
      </w:r>
      <w:r w:rsidR="00601D7A">
        <w:rPr>
          <w:rFonts w:ascii="Arial" w:hAnsi="Arial" w:cs="Arial"/>
        </w:rPr>
        <w:t xml:space="preserve"> </w:t>
      </w:r>
      <w:r w:rsidR="004B7749">
        <w:rPr>
          <w:rFonts w:ascii="Arial" w:hAnsi="Arial" w:cs="Arial"/>
        </w:rPr>
        <w:t>The ACCC in its submission to the Wein Review also outlined a scenario where a franchisee may undertake an expensive shop fit-out towards the end of a dealership agreement in the expectation of renewal</w:t>
      </w:r>
      <w:r w:rsidR="00601D7A">
        <w:rPr>
          <w:rFonts w:ascii="Arial" w:hAnsi="Arial" w:cs="Arial"/>
        </w:rPr>
        <w:t xml:space="preserve"> but the agreement is then not renewed</w:t>
      </w:r>
      <w:r w:rsidR="004B7749">
        <w:rPr>
          <w:rFonts w:ascii="Arial" w:hAnsi="Arial" w:cs="Arial"/>
        </w:rPr>
        <w:t>.</w:t>
      </w:r>
      <w:r w:rsidR="00D17341">
        <w:rPr>
          <w:rStyle w:val="FootnoteReference"/>
          <w:rFonts w:ascii="Arial" w:hAnsi="Arial" w:cs="Arial"/>
        </w:rPr>
        <w:footnoteReference w:id="45"/>
      </w:r>
      <w:r w:rsidR="004B7749">
        <w:rPr>
          <w:rFonts w:ascii="Arial" w:hAnsi="Arial" w:cs="Arial"/>
        </w:rPr>
        <w:t xml:space="preserve"> While there </w:t>
      </w:r>
      <w:r w:rsidR="00601D7A">
        <w:rPr>
          <w:rFonts w:ascii="Arial" w:hAnsi="Arial" w:cs="Arial"/>
        </w:rPr>
        <w:t xml:space="preserve">are </w:t>
      </w:r>
      <w:r w:rsidR="004B7749">
        <w:rPr>
          <w:rFonts w:ascii="Arial" w:hAnsi="Arial" w:cs="Arial"/>
        </w:rPr>
        <w:t>existing</w:t>
      </w:r>
      <w:r w:rsidR="00601D7A">
        <w:rPr>
          <w:rFonts w:ascii="Arial" w:hAnsi="Arial" w:cs="Arial"/>
        </w:rPr>
        <w:t xml:space="preserve"> provisions within the CCA to which the franchisee may have recourse, such as unconscionable conduct, pursuing a remedy through dispute resolution or litigation </w:t>
      </w:r>
      <w:r w:rsidR="008C4A31">
        <w:rPr>
          <w:rFonts w:ascii="Arial" w:hAnsi="Arial" w:cs="Arial"/>
        </w:rPr>
        <w:t xml:space="preserve">is </w:t>
      </w:r>
      <w:r w:rsidR="00601D7A">
        <w:rPr>
          <w:rFonts w:ascii="Arial" w:hAnsi="Arial" w:cs="Arial"/>
        </w:rPr>
        <w:t xml:space="preserve">expensive. </w:t>
      </w:r>
    </w:p>
    <w:p w:rsidR="00AD3D06" w:rsidRPr="006721B4" w:rsidRDefault="00AD3D06" w:rsidP="005726E0">
      <w:pPr>
        <w:keepNext/>
        <w:spacing w:before="240" w:line="360" w:lineRule="auto"/>
        <w:jc w:val="both"/>
        <w:rPr>
          <w:rFonts w:ascii="Arial" w:hAnsi="Arial" w:cs="Arial"/>
          <w:i/>
        </w:rPr>
      </w:pPr>
      <w:r w:rsidRPr="00442D03">
        <w:rPr>
          <w:rFonts w:ascii="Arial" w:hAnsi="Arial" w:cs="Arial"/>
          <w:i/>
        </w:rPr>
        <w:t>Dispute resolution</w:t>
      </w:r>
    </w:p>
    <w:p w:rsidR="0048709C" w:rsidRDefault="0048709C" w:rsidP="00CE1E18">
      <w:pPr>
        <w:spacing w:before="240" w:line="360" w:lineRule="auto"/>
        <w:jc w:val="both"/>
        <w:rPr>
          <w:rFonts w:ascii="Arial" w:hAnsi="Arial" w:cs="Arial"/>
        </w:rPr>
      </w:pPr>
      <w:r w:rsidRPr="0048709C">
        <w:rPr>
          <w:rFonts w:ascii="Arial" w:hAnsi="Arial" w:cs="Arial"/>
        </w:rPr>
        <w:t xml:space="preserve">The Franchising Code enables either party to an agreement to initiate mediation, which is </w:t>
      </w:r>
      <w:r w:rsidR="00434ACB">
        <w:rPr>
          <w:rFonts w:ascii="Arial" w:hAnsi="Arial" w:cs="Arial"/>
        </w:rPr>
        <w:t xml:space="preserve">an </w:t>
      </w:r>
      <w:r w:rsidRPr="0048709C">
        <w:rPr>
          <w:rFonts w:ascii="Arial" w:hAnsi="Arial" w:cs="Arial"/>
        </w:rPr>
        <w:t xml:space="preserve">informal dispute resolution mechanism. While this mechanism is available, some dealers are hesitant to utilise these provisions for fear of commercial retaliation by car manufacturers. </w:t>
      </w:r>
      <w:r>
        <w:rPr>
          <w:rFonts w:ascii="Arial" w:hAnsi="Arial" w:cs="Arial"/>
        </w:rPr>
        <w:t xml:space="preserve">For example, </w:t>
      </w:r>
      <w:r w:rsidR="004A6C2B">
        <w:rPr>
          <w:rFonts w:ascii="Arial" w:hAnsi="Arial" w:cs="Arial"/>
        </w:rPr>
        <w:t>t</w:t>
      </w:r>
      <w:r w:rsidRPr="0048709C">
        <w:rPr>
          <w:rFonts w:ascii="Arial" w:hAnsi="Arial" w:cs="Arial"/>
        </w:rPr>
        <w:t>he Office of the NSW Small Business Commissioner (OSBC)</w:t>
      </w:r>
      <w:r w:rsidRPr="0048709C">
        <w:rPr>
          <w:rStyle w:val="FootnoteReference"/>
          <w:rFonts w:ascii="Arial" w:hAnsi="Arial" w:cs="Arial"/>
        </w:rPr>
        <w:footnoteReference w:id="46"/>
      </w:r>
      <w:r w:rsidRPr="0048709C">
        <w:rPr>
          <w:rFonts w:ascii="Arial" w:hAnsi="Arial" w:cs="Arial"/>
        </w:rPr>
        <w:t xml:space="preserve">, has stated that ‘[f]ear of retaliatory action has been cited…by many dealers as a deterrent in proceeding to formalise their complaints and seek remedies for unfair contracts and unjust conduct in relation to manufacturers’ supply contracts under the’ </w:t>
      </w:r>
      <w:r w:rsidRPr="0048709C">
        <w:rPr>
          <w:rFonts w:ascii="Arial" w:hAnsi="Arial" w:cs="Arial"/>
          <w:i/>
        </w:rPr>
        <w:t xml:space="preserve">Motor Dealers and Repairers Act 2013 </w:t>
      </w:r>
      <w:r w:rsidRPr="0048709C">
        <w:rPr>
          <w:rFonts w:ascii="Arial" w:hAnsi="Arial" w:cs="Arial"/>
        </w:rPr>
        <w:t>(NSW) (MDRA).</w:t>
      </w:r>
      <w:r>
        <w:rPr>
          <w:rFonts w:ascii="Arial" w:hAnsi="Arial" w:cs="Arial"/>
        </w:rPr>
        <w:t xml:space="preserve"> </w:t>
      </w:r>
      <w:r w:rsidRPr="0048709C">
        <w:rPr>
          <w:rFonts w:ascii="Arial" w:hAnsi="Arial" w:cs="Arial"/>
        </w:rPr>
        <w:t>This fear would similarly apply to matters governed under the Franchising Code.</w:t>
      </w:r>
    </w:p>
    <w:p w:rsidR="00E147A1" w:rsidRDefault="006C2654" w:rsidP="00CE1E18">
      <w:pPr>
        <w:spacing w:before="240" w:line="360" w:lineRule="auto"/>
        <w:jc w:val="both"/>
        <w:rPr>
          <w:rFonts w:ascii="Arial" w:hAnsi="Arial" w:cs="Arial"/>
        </w:rPr>
      </w:pPr>
      <w:r>
        <w:rPr>
          <w:rFonts w:ascii="Arial" w:hAnsi="Arial" w:cs="Arial"/>
        </w:rPr>
        <w:t>The Franchising Code does not expressly state that mediators may undertake multi</w:t>
      </w:r>
      <w:r w:rsidR="004A6C2B">
        <w:rPr>
          <w:rFonts w:ascii="Arial" w:hAnsi="Arial" w:cs="Arial"/>
        </w:rPr>
        <w:t>-</w:t>
      </w:r>
      <w:r>
        <w:rPr>
          <w:rFonts w:ascii="Arial" w:hAnsi="Arial" w:cs="Arial"/>
        </w:rPr>
        <w:t xml:space="preserve">franchisee mediation when disputes of a similar nature arise within a franchise system. </w:t>
      </w:r>
      <w:r w:rsidR="0007527F">
        <w:rPr>
          <w:rFonts w:ascii="Arial" w:hAnsi="Arial" w:cs="Arial"/>
        </w:rPr>
        <w:t>At present, multi</w:t>
      </w:r>
      <w:r w:rsidR="0007527F">
        <w:rPr>
          <w:rFonts w:ascii="Arial" w:hAnsi="Arial" w:cs="Arial"/>
        </w:rPr>
        <w:noBreakHyphen/>
        <w:t xml:space="preserve">franchisee </w:t>
      </w:r>
      <w:r w:rsidR="0007527F" w:rsidRPr="0007527F">
        <w:rPr>
          <w:rFonts w:ascii="Arial" w:hAnsi="Arial" w:cs="Arial"/>
        </w:rPr>
        <w:t>mediation is possible under the Franchising Code with the agreement of the franchisor – unless this woul</w:t>
      </w:r>
      <w:r w:rsidR="0007527F">
        <w:rPr>
          <w:rFonts w:ascii="Arial" w:hAnsi="Arial" w:cs="Arial"/>
        </w:rPr>
        <w:t xml:space="preserve">d be seen to be anti-competitive. A lack of an express statement within the Franchising Code allowing multi-franchisee mediation </w:t>
      </w:r>
      <w:r>
        <w:rPr>
          <w:rFonts w:ascii="Arial" w:hAnsi="Arial" w:cs="Arial"/>
        </w:rPr>
        <w:t xml:space="preserve">could be limiting car </w:t>
      </w:r>
      <w:r w:rsidR="00D02F56">
        <w:rPr>
          <w:rFonts w:ascii="Arial" w:hAnsi="Arial" w:cs="Arial"/>
        </w:rPr>
        <w:t>dealers’</w:t>
      </w:r>
      <w:r>
        <w:rPr>
          <w:rFonts w:ascii="Arial" w:hAnsi="Arial" w:cs="Arial"/>
        </w:rPr>
        <w:t xml:space="preserve"> ability to collectively initiate mediation with car manufacturers, which is one way to limit the impacts of the power imbalance between dealers and manufacturers when resolving disputes.</w:t>
      </w:r>
    </w:p>
    <w:p w:rsidR="003C7FB8" w:rsidRDefault="11FF59B9" w:rsidP="11FF59B9">
      <w:pPr>
        <w:pStyle w:val="Heading1"/>
        <w:numPr>
          <w:ilvl w:val="0"/>
          <w:numId w:val="2"/>
        </w:numPr>
        <w:rPr>
          <w:color w:val="005677"/>
        </w:rPr>
      </w:pPr>
      <w:bookmarkStart w:id="42" w:name="_Toc529891242"/>
      <w:bookmarkStart w:id="43" w:name="_Toc529891260"/>
      <w:bookmarkStart w:id="44" w:name="_Toc530493127"/>
      <w:bookmarkStart w:id="45" w:name="_Toc530493182"/>
      <w:bookmarkStart w:id="46" w:name="_Toc530563048"/>
      <w:bookmarkStart w:id="47" w:name="_Toc530563174"/>
      <w:r w:rsidRPr="11FF59B9">
        <w:rPr>
          <w:color w:val="005677"/>
        </w:rPr>
        <w:t>Why is Government Action needed?</w:t>
      </w:r>
      <w:bookmarkEnd w:id="42"/>
      <w:bookmarkEnd w:id="43"/>
      <w:bookmarkEnd w:id="44"/>
      <w:bookmarkEnd w:id="45"/>
      <w:bookmarkEnd w:id="46"/>
      <w:bookmarkEnd w:id="47"/>
    </w:p>
    <w:p w:rsidR="00975FD8" w:rsidRPr="00975FD8" w:rsidRDefault="0021660A" w:rsidP="00975FD8">
      <w:pPr>
        <w:pStyle w:val="Heading2"/>
        <w:rPr>
          <w:rFonts w:ascii="Arial" w:hAnsi="Arial" w:cs="Arial"/>
          <w:sz w:val="28"/>
          <w:szCs w:val="28"/>
        </w:rPr>
      </w:pPr>
      <w:bookmarkStart w:id="48" w:name="_Toc529891243"/>
      <w:bookmarkStart w:id="49" w:name="_Toc529891261"/>
      <w:bookmarkStart w:id="50" w:name="_Toc530493128"/>
      <w:bookmarkStart w:id="51" w:name="_Toc530493183"/>
      <w:bookmarkStart w:id="52" w:name="_Toc530563049"/>
      <w:bookmarkStart w:id="53" w:name="_Toc530563175"/>
      <w:r>
        <w:rPr>
          <w:rFonts w:ascii="Arial" w:hAnsi="Arial" w:cs="Arial"/>
          <w:sz w:val="28"/>
          <w:szCs w:val="28"/>
        </w:rPr>
        <w:t>Existing coverage of motor vehicle dealers by f</w:t>
      </w:r>
      <w:r w:rsidR="00975FD8">
        <w:rPr>
          <w:rFonts w:ascii="Arial" w:hAnsi="Arial" w:cs="Arial"/>
          <w:sz w:val="28"/>
          <w:szCs w:val="28"/>
        </w:rPr>
        <w:t xml:space="preserve">ranchising </w:t>
      </w:r>
      <w:r>
        <w:rPr>
          <w:rFonts w:ascii="Arial" w:hAnsi="Arial" w:cs="Arial"/>
          <w:sz w:val="28"/>
          <w:szCs w:val="28"/>
        </w:rPr>
        <w:t>r</w:t>
      </w:r>
      <w:r w:rsidR="00975FD8">
        <w:rPr>
          <w:rFonts w:ascii="Arial" w:hAnsi="Arial" w:cs="Arial"/>
          <w:sz w:val="28"/>
          <w:szCs w:val="28"/>
        </w:rPr>
        <w:t>egulation</w:t>
      </w:r>
      <w:bookmarkEnd w:id="48"/>
      <w:bookmarkEnd w:id="49"/>
      <w:bookmarkEnd w:id="50"/>
      <w:bookmarkEnd w:id="51"/>
      <w:bookmarkEnd w:id="52"/>
      <w:bookmarkEnd w:id="53"/>
    </w:p>
    <w:p w:rsidR="006F52DF" w:rsidRDefault="0089539F" w:rsidP="00F375DC">
      <w:pPr>
        <w:spacing w:before="240" w:line="360" w:lineRule="auto"/>
        <w:jc w:val="both"/>
        <w:rPr>
          <w:rFonts w:ascii="Arial" w:hAnsi="Arial" w:cs="Arial"/>
        </w:rPr>
      </w:pPr>
      <w:r>
        <w:rPr>
          <w:rFonts w:ascii="Arial" w:hAnsi="Arial" w:cs="Arial"/>
        </w:rPr>
        <w:t xml:space="preserve">The operation of the franchising sector and the </w:t>
      </w:r>
      <w:r w:rsidR="009F12A6">
        <w:rPr>
          <w:rFonts w:ascii="Arial" w:hAnsi="Arial" w:cs="Arial"/>
        </w:rPr>
        <w:t xml:space="preserve">high </w:t>
      </w:r>
      <w:r>
        <w:rPr>
          <w:rFonts w:ascii="Arial" w:hAnsi="Arial" w:cs="Arial"/>
        </w:rPr>
        <w:t xml:space="preserve">level of </w:t>
      </w:r>
      <w:r w:rsidRPr="0089539F">
        <w:rPr>
          <w:rFonts w:ascii="Arial" w:hAnsi="Arial" w:cs="Arial"/>
        </w:rPr>
        <w:t xml:space="preserve">disputation between the parties </w:t>
      </w:r>
      <w:r>
        <w:rPr>
          <w:rFonts w:ascii="Arial" w:hAnsi="Arial" w:cs="Arial"/>
        </w:rPr>
        <w:t>to a franchise agreement ha</w:t>
      </w:r>
      <w:r w:rsidR="00C73CDC">
        <w:rPr>
          <w:rFonts w:ascii="Arial" w:hAnsi="Arial" w:cs="Arial"/>
        </w:rPr>
        <w:t>s</w:t>
      </w:r>
      <w:r>
        <w:rPr>
          <w:rFonts w:ascii="Arial" w:hAnsi="Arial" w:cs="Arial"/>
        </w:rPr>
        <w:t xml:space="preserve"> been a </w:t>
      </w:r>
      <w:r w:rsidR="00F375DC">
        <w:rPr>
          <w:rFonts w:ascii="Arial" w:hAnsi="Arial" w:cs="Arial"/>
        </w:rPr>
        <w:t xml:space="preserve">concern for </w:t>
      </w:r>
      <w:r w:rsidR="00C73CDC">
        <w:rPr>
          <w:rFonts w:ascii="Arial" w:hAnsi="Arial" w:cs="Arial"/>
        </w:rPr>
        <w:t xml:space="preserve">successive </w:t>
      </w:r>
      <w:r w:rsidR="00F375DC">
        <w:rPr>
          <w:rFonts w:ascii="Arial" w:hAnsi="Arial" w:cs="Arial"/>
        </w:rPr>
        <w:t>Government</w:t>
      </w:r>
      <w:r w:rsidR="00C73CDC">
        <w:rPr>
          <w:rFonts w:ascii="Arial" w:hAnsi="Arial" w:cs="Arial"/>
        </w:rPr>
        <w:t>s</w:t>
      </w:r>
      <w:r w:rsidR="00F375DC">
        <w:rPr>
          <w:rFonts w:ascii="Arial" w:hAnsi="Arial" w:cs="Arial"/>
        </w:rPr>
        <w:t xml:space="preserve"> </w:t>
      </w:r>
      <w:r w:rsidRPr="0089539F">
        <w:rPr>
          <w:rFonts w:ascii="Arial" w:hAnsi="Arial" w:cs="Arial"/>
        </w:rPr>
        <w:t>since the mid</w:t>
      </w:r>
      <w:r w:rsidR="00C73CDC">
        <w:rPr>
          <w:rFonts w:ascii="Arial" w:hAnsi="Arial" w:cs="Arial"/>
        </w:rPr>
        <w:noBreakHyphen/>
      </w:r>
      <w:r w:rsidRPr="0089539F">
        <w:rPr>
          <w:rFonts w:ascii="Arial" w:hAnsi="Arial" w:cs="Arial"/>
        </w:rPr>
        <w:t>1970's</w:t>
      </w:r>
      <w:r w:rsidR="00665003">
        <w:rPr>
          <w:rFonts w:ascii="Arial" w:hAnsi="Arial" w:cs="Arial"/>
        </w:rPr>
        <w:t>. I</w:t>
      </w:r>
      <w:r w:rsidR="00772984" w:rsidRPr="00772984">
        <w:rPr>
          <w:rFonts w:ascii="Arial" w:hAnsi="Arial" w:cs="Arial"/>
        </w:rPr>
        <w:t>ndependent research commissioned by the</w:t>
      </w:r>
      <w:r w:rsidR="00257D91">
        <w:rPr>
          <w:rFonts w:ascii="Arial" w:hAnsi="Arial" w:cs="Arial"/>
        </w:rPr>
        <w:t xml:space="preserve"> Franchise Code Council in 1996 </w:t>
      </w:r>
      <w:r w:rsidR="00665003">
        <w:rPr>
          <w:rFonts w:ascii="Arial" w:hAnsi="Arial" w:cs="Arial"/>
        </w:rPr>
        <w:t>indicated</w:t>
      </w:r>
      <w:r w:rsidR="00772984" w:rsidRPr="00772984">
        <w:rPr>
          <w:rFonts w:ascii="Arial" w:hAnsi="Arial" w:cs="Arial"/>
        </w:rPr>
        <w:t xml:space="preserve"> 13 per cent of franchisors were in litigation or had a court action in pl</w:t>
      </w:r>
      <w:r w:rsidR="00772984">
        <w:rPr>
          <w:rFonts w:ascii="Arial" w:hAnsi="Arial" w:cs="Arial"/>
        </w:rPr>
        <w:t>ace with one of its franchisees</w:t>
      </w:r>
      <w:r w:rsidRPr="0089539F">
        <w:rPr>
          <w:rFonts w:ascii="Arial" w:hAnsi="Arial" w:cs="Arial"/>
        </w:rPr>
        <w:t xml:space="preserve">. </w:t>
      </w:r>
    </w:p>
    <w:p w:rsidR="00867AD9" w:rsidRDefault="009F12A6" w:rsidP="00F375DC">
      <w:pPr>
        <w:spacing w:before="240" w:line="360" w:lineRule="auto"/>
        <w:jc w:val="both"/>
        <w:rPr>
          <w:rFonts w:ascii="Arial" w:hAnsi="Arial" w:cs="Arial"/>
        </w:rPr>
      </w:pPr>
      <w:r>
        <w:rPr>
          <w:rFonts w:ascii="Arial" w:hAnsi="Arial" w:cs="Arial"/>
        </w:rPr>
        <w:t>In 1998, t</w:t>
      </w:r>
      <w:r w:rsidR="00F375DC">
        <w:rPr>
          <w:rFonts w:ascii="Arial" w:hAnsi="Arial" w:cs="Arial"/>
        </w:rPr>
        <w:t>he Government introduced t</w:t>
      </w:r>
      <w:r w:rsidR="00F375DC" w:rsidRPr="00F375DC">
        <w:rPr>
          <w:rFonts w:ascii="Arial" w:hAnsi="Arial" w:cs="Arial"/>
        </w:rPr>
        <w:t xml:space="preserve">he Franchising Code of Conduct </w:t>
      </w:r>
      <w:r w:rsidR="00F375DC">
        <w:rPr>
          <w:rFonts w:ascii="Arial" w:hAnsi="Arial" w:cs="Arial"/>
        </w:rPr>
        <w:t xml:space="preserve">as a mandatory </w:t>
      </w:r>
      <w:r w:rsidR="00F375DC" w:rsidRPr="00F375DC">
        <w:rPr>
          <w:rFonts w:ascii="Arial" w:hAnsi="Arial" w:cs="Arial"/>
        </w:rPr>
        <w:t xml:space="preserve">code, enforceable under the </w:t>
      </w:r>
      <w:r w:rsidR="00F375DC">
        <w:rPr>
          <w:rFonts w:ascii="Arial" w:hAnsi="Arial" w:cs="Arial"/>
        </w:rPr>
        <w:t xml:space="preserve">then </w:t>
      </w:r>
      <w:r w:rsidR="00F375DC" w:rsidRPr="00F375DC">
        <w:rPr>
          <w:rFonts w:ascii="Arial" w:hAnsi="Arial" w:cs="Arial"/>
          <w:i/>
        </w:rPr>
        <w:t>Trade Practices Act 1974</w:t>
      </w:r>
      <w:r w:rsidR="00F375DC">
        <w:rPr>
          <w:rFonts w:ascii="Arial" w:hAnsi="Arial" w:cs="Arial"/>
        </w:rPr>
        <w:t xml:space="preserve"> (now the </w:t>
      </w:r>
      <w:r w:rsidR="00F375DC" w:rsidRPr="00F375DC">
        <w:rPr>
          <w:rFonts w:ascii="Arial" w:hAnsi="Arial" w:cs="Arial"/>
          <w:i/>
        </w:rPr>
        <w:t>Competition and Consumer Act 2010</w:t>
      </w:r>
      <w:r w:rsidR="00F375DC">
        <w:rPr>
          <w:rFonts w:ascii="Arial" w:hAnsi="Arial" w:cs="Arial"/>
        </w:rPr>
        <w:t xml:space="preserve">). </w:t>
      </w:r>
      <w:r w:rsidR="00772984">
        <w:rPr>
          <w:rFonts w:ascii="Arial" w:hAnsi="Arial" w:cs="Arial"/>
        </w:rPr>
        <w:t xml:space="preserve">In introducing the Franchising Code, </w:t>
      </w:r>
      <w:r w:rsidR="00BF2C69">
        <w:rPr>
          <w:rFonts w:ascii="Arial" w:hAnsi="Arial" w:cs="Arial"/>
        </w:rPr>
        <w:t xml:space="preserve">it was noted </w:t>
      </w:r>
      <w:r w:rsidR="00772984">
        <w:rPr>
          <w:rFonts w:ascii="Arial" w:hAnsi="Arial" w:cs="Arial"/>
        </w:rPr>
        <w:t>that t</w:t>
      </w:r>
      <w:r w:rsidR="0089539F" w:rsidRPr="0089539F">
        <w:rPr>
          <w:rFonts w:ascii="Arial" w:hAnsi="Arial" w:cs="Arial"/>
        </w:rPr>
        <w:t xml:space="preserve">he high levels of disputation and litigation in the sector arise from the fundamental nature of franchising arrangements, which differ significantly from other business ventures. </w:t>
      </w:r>
      <w:r w:rsidR="00002633">
        <w:rPr>
          <w:rFonts w:ascii="Arial" w:hAnsi="Arial" w:cs="Arial"/>
        </w:rPr>
        <w:t xml:space="preserve">As discussed above, the nature of franchising means that the power imbalance favours the franchisor, as does the information </w:t>
      </w:r>
      <w:r w:rsidR="0058150B">
        <w:rPr>
          <w:rFonts w:ascii="Arial" w:hAnsi="Arial" w:cs="Arial"/>
        </w:rPr>
        <w:t>asymmetry</w:t>
      </w:r>
      <w:r w:rsidR="00002633">
        <w:rPr>
          <w:rFonts w:ascii="Arial" w:hAnsi="Arial" w:cs="Arial"/>
        </w:rPr>
        <w:t xml:space="preserve">. </w:t>
      </w:r>
    </w:p>
    <w:p w:rsidR="00DA4E4C" w:rsidRDefault="00273F62" w:rsidP="00F375DC">
      <w:pPr>
        <w:spacing w:before="240" w:line="360" w:lineRule="auto"/>
        <w:jc w:val="both"/>
        <w:rPr>
          <w:rFonts w:ascii="Arial" w:hAnsi="Arial" w:cs="Arial"/>
        </w:rPr>
      </w:pPr>
      <w:r>
        <w:rPr>
          <w:rFonts w:ascii="Arial" w:hAnsi="Arial" w:cs="Arial"/>
        </w:rPr>
        <w:t xml:space="preserve">While some common features of franchising may be missing within automotive franchising, such as payment of royalties, motor vehicle dealers are covered by the Franchising Code since it </w:t>
      </w:r>
      <w:r w:rsidR="003929E5">
        <w:rPr>
          <w:rFonts w:ascii="Arial" w:hAnsi="Arial" w:cs="Arial"/>
        </w:rPr>
        <w:t xml:space="preserve">is </w:t>
      </w:r>
      <w:r>
        <w:rPr>
          <w:rFonts w:ascii="Arial" w:hAnsi="Arial" w:cs="Arial"/>
        </w:rPr>
        <w:t xml:space="preserve">recognised that dealership </w:t>
      </w:r>
      <w:r w:rsidR="00DA4E4C">
        <w:rPr>
          <w:rFonts w:ascii="Arial" w:hAnsi="Arial" w:cs="Arial"/>
        </w:rPr>
        <w:t xml:space="preserve">agreements </w:t>
      </w:r>
      <w:r>
        <w:rPr>
          <w:rFonts w:ascii="Arial" w:hAnsi="Arial" w:cs="Arial"/>
        </w:rPr>
        <w:t xml:space="preserve">and the relationship between dealers and car manufacturers </w:t>
      </w:r>
      <w:r w:rsidR="00DA4E4C">
        <w:rPr>
          <w:rFonts w:ascii="Arial" w:hAnsi="Arial" w:cs="Arial"/>
        </w:rPr>
        <w:t xml:space="preserve">were </w:t>
      </w:r>
      <w:r>
        <w:rPr>
          <w:rFonts w:ascii="Arial" w:hAnsi="Arial" w:cs="Arial"/>
        </w:rPr>
        <w:t>characterised by other features common within franchising, namely the power imbalance and information asymmetry</w:t>
      </w:r>
      <w:r w:rsidRPr="00273F62">
        <w:rPr>
          <w:rFonts w:ascii="Arial" w:hAnsi="Arial" w:cs="Arial"/>
        </w:rPr>
        <w:t xml:space="preserve"> </w:t>
      </w:r>
      <w:r>
        <w:rPr>
          <w:rFonts w:ascii="Arial" w:hAnsi="Arial" w:cs="Arial"/>
        </w:rPr>
        <w:t>which favours franchisors</w:t>
      </w:r>
      <w:r w:rsidR="00DA4E4C">
        <w:rPr>
          <w:rFonts w:ascii="Arial" w:hAnsi="Arial" w:cs="Arial"/>
        </w:rPr>
        <w:t>.</w:t>
      </w:r>
      <w:r w:rsidR="00DA4E4C">
        <w:rPr>
          <w:rStyle w:val="FootnoteReference"/>
          <w:rFonts w:ascii="Arial" w:hAnsi="Arial" w:cs="Arial"/>
        </w:rPr>
        <w:footnoteReference w:id="47"/>
      </w:r>
    </w:p>
    <w:p w:rsidR="00641597" w:rsidRDefault="00962AA8" w:rsidP="11FF59B9">
      <w:pPr>
        <w:spacing w:before="240" w:line="360" w:lineRule="auto"/>
        <w:jc w:val="both"/>
        <w:rPr>
          <w:rFonts w:ascii="Arial" w:hAnsi="Arial" w:cs="Arial"/>
        </w:rPr>
      </w:pPr>
      <w:r>
        <w:rPr>
          <w:rFonts w:ascii="Arial" w:hAnsi="Arial" w:cs="Arial"/>
        </w:rPr>
        <w:t>Car manufacturers are able to stipulate capital outlays, for example shop fit-out requirements and equipment to be held by car dealers. In addition, t</w:t>
      </w:r>
      <w:r w:rsidR="11FF59B9" w:rsidRPr="11FF59B9">
        <w:rPr>
          <w:rFonts w:ascii="Arial" w:hAnsi="Arial" w:cs="Arial"/>
        </w:rPr>
        <w:t>here are information asymmetries between car ma</w:t>
      </w:r>
      <w:r w:rsidR="00480D5F">
        <w:rPr>
          <w:rFonts w:ascii="Arial" w:hAnsi="Arial" w:cs="Arial"/>
        </w:rPr>
        <w:t xml:space="preserve">nufacturers and new car dealers with </w:t>
      </w:r>
      <w:r w:rsidR="11FF59B9" w:rsidRPr="11FF59B9">
        <w:rPr>
          <w:rFonts w:ascii="Arial" w:hAnsi="Arial" w:cs="Arial"/>
        </w:rPr>
        <w:t xml:space="preserve">car manufacturers typically </w:t>
      </w:r>
      <w:r w:rsidR="00480D5F">
        <w:rPr>
          <w:rFonts w:ascii="Arial" w:hAnsi="Arial" w:cs="Arial"/>
        </w:rPr>
        <w:t xml:space="preserve">holding </w:t>
      </w:r>
      <w:r w:rsidR="11FF59B9" w:rsidRPr="11FF59B9">
        <w:rPr>
          <w:rFonts w:ascii="Arial" w:hAnsi="Arial" w:cs="Arial"/>
        </w:rPr>
        <w:t xml:space="preserve">greater information about the long term strategy for the brand and the overall health of the entire dealer network. For example, an individual dealer may consider that </w:t>
      </w:r>
      <w:r w:rsidR="00F75F49">
        <w:rPr>
          <w:rFonts w:ascii="Arial" w:hAnsi="Arial" w:cs="Arial"/>
        </w:rPr>
        <w:t>its</w:t>
      </w:r>
      <w:r w:rsidR="00F75F49" w:rsidRPr="11FF59B9">
        <w:rPr>
          <w:rFonts w:ascii="Arial" w:hAnsi="Arial" w:cs="Arial"/>
        </w:rPr>
        <w:t xml:space="preserve"> </w:t>
      </w:r>
      <w:r w:rsidR="11FF59B9" w:rsidRPr="11FF59B9">
        <w:rPr>
          <w:rFonts w:ascii="Arial" w:hAnsi="Arial" w:cs="Arial"/>
        </w:rPr>
        <w:t>performance is sound, but from the manufacturer</w:t>
      </w:r>
      <w:r w:rsidR="001F2763">
        <w:rPr>
          <w:rFonts w:ascii="Arial" w:hAnsi="Arial" w:cs="Arial"/>
        </w:rPr>
        <w:t>’</w:t>
      </w:r>
      <w:r w:rsidR="11FF59B9" w:rsidRPr="11FF59B9">
        <w:rPr>
          <w:rFonts w:ascii="Arial" w:hAnsi="Arial" w:cs="Arial"/>
        </w:rPr>
        <w:t>s perspective, the dealer may be the weakest link in an at risk market that may require downsizing in order to ensure the health of the overall network. This information asymmetry can have adverse effects on dealers, particularly when they undertake significant capital expenditure</w:t>
      </w:r>
      <w:r w:rsidR="00F6019E">
        <w:rPr>
          <w:rFonts w:ascii="Arial" w:hAnsi="Arial" w:cs="Arial"/>
        </w:rPr>
        <w:t>,</w:t>
      </w:r>
      <w:r w:rsidR="11FF59B9" w:rsidRPr="11FF59B9">
        <w:rPr>
          <w:rFonts w:ascii="Arial" w:hAnsi="Arial" w:cs="Arial"/>
        </w:rPr>
        <w:t xml:space="preserve"> such as purpose built facilities to showcase cars in line with the manufacturer</w:t>
      </w:r>
      <w:r w:rsidR="00F75F49">
        <w:rPr>
          <w:rFonts w:ascii="Arial" w:hAnsi="Arial" w:cs="Arial"/>
        </w:rPr>
        <w:t>’</w:t>
      </w:r>
      <w:r w:rsidR="11FF59B9" w:rsidRPr="11FF59B9">
        <w:rPr>
          <w:rFonts w:ascii="Arial" w:hAnsi="Arial" w:cs="Arial"/>
        </w:rPr>
        <w:t xml:space="preserve">s preference. </w:t>
      </w:r>
    </w:p>
    <w:p w:rsidR="00F33CB2" w:rsidRPr="00F33CB2" w:rsidRDefault="00F33CB2" w:rsidP="00F33CB2">
      <w:pPr>
        <w:pStyle w:val="Heading2"/>
        <w:rPr>
          <w:rFonts w:ascii="Arial" w:hAnsi="Arial" w:cs="Arial"/>
          <w:sz w:val="28"/>
          <w:szCs w:val="28"/>
        </w:rPr>
      </w:pPr>
      <w:bookmarkStart w:id="54" w:name="_Toc529891244"/>
      <w:bookmarkStart w:id="55" w:name="_Toc529891262"/>
      <w:bookmarkStart w:id="56" w:name="_Toc530493129"/>
      <w:bookmarkStart w:id="57" w:name="_Toc530493184"/>
      <w:bookmarkStart w:id="58" w:name="_Toc530563050"/>
      <w:bookmarkStart w:id="59" w:name="_Toc530563176"/>
      <w:r w:rsidRPr="00F33CB2">
        <w:rPr>
          <w:rFonts w:ascii="Arial" w:hAnsi="Arial" w:cs="Arial"/>
          <w:sz w:val="28"/>
          <w:szCs w:val="28"/>
        </w:rPr>
        <w:t>Ongoing issues for car dealers</w:t>
      </w:r>
      <w:bookmarkEnd w:id="54"/>
      <w:bookmarkEnd w:id="55"/>
      <w:bookmarkEnd w:id="56"/>
      <w:bookmarkEnd w:id="57"/>
      <w:bookmarkEnd w:id="58"/>
      <w:bookmarkEnd w:id="59"/>
    </w:p>
    <w:p w:rsidR="00720B5A" w:rsidRDefault="11FF59B9" w:rsidP="11FF59B9">
      <w:pPr>
        <w:spacing w:before="240" w:line="360" w:lineRule="auto"/>
        <w:jc w:val="both"/>
        <w:rPr>
          <w:rFonts w:ascii="Arial" w:hAnsi="Arial" w:cs="Arial"/>
        </w:rPr>
      </w:pPr>
      <w:r w:rsidRPr="11FF59B9">
        <w:rPr>
          <w:rFonts w:ascii="Arial" w:hAnsi="Arial" w:cs="Arial"/>
        </w:rPr>
        <w:t xml:space="preserve">Although it has been a longstanding intent of the Franchising Code to address issues in automotive franchising, many of the problems identified </w:t>
      </w:r>
      <w:r w:rsidR="00FE3C4F">
        <w:rPr>
          <w:rFonts w:ascii="Arial" w:hAnsi="Arial" w:cs="Arial"/>
        </w:rPr>
        <w:t xml:space="preserve">within </w:t>
      </w:r>
      <w:r w:rsidRPr="11FF59B9">
        <w:rPr>
          <w:rFonts w:ascii="Arial" w:hAnsi="Arial" w:cs="Arial"/>
        </w:rPr>
        <w:t xml:space="preserve">the 1997 Report are </w:t>
      </w:r>
      <w:r w:rsidR="00FE3C4F">
        <w:rPr>
          <w:rFonts w:ascii="Arial" w:hAnsi="Arial" w:cs="Arial"/>
        </w:rPr>
        <w:t>recurrent in subsequent inquiries. The</w:t>
      </w:r>
      <w:r w:rsidR="00DA614F">
        <w:rPr>
          <w:rFonts w:ascii="Arial" w:hAnsi="Arial" w:cs="Arial"/>
        </w:rPr>
        <w:t xml:space="preserve"> Wein </w:t>
      </w:r>
      <w:r w:rsidR="009E28BA">
        <w:rPr>
          <w:rFonts w:ascii="Arial" w:hAnsi="Arial" w:cs="Arial"/>
        </w:rPr>
        <w:t>Review</w:t>
      </w:r>
      <w:r w:rsidR="00DA614F">
        <w:rPr>
          <w:rFonts w:ascii="Arial" w:hAnsi="Arial" w:cs="Arial"/>
        </w:rPr>
        <w:t xml:space="preserve"> specifically canvassed franchising </w:t>
      </w:r>
      <w:r w:rsidR="00FE3C4F">
        <w:rPr>
          <w:rFonts w:ascii="Arial" w:hAnsi="Arial" w:cs="Arial"/>
        </w:rPr>
        <w:t>issues for automotive dealers</w:t>
      </w:r>
      <w:r w:rsidR="00B967D4">
        <w:rPr>
          <w:rFonts w:ascii="Arial" w:hAnsi="Arial" w:cs="Arial"/>
        </w:rPr>
        <w:t xml:space="preserve"> and recommended a</w:t>
      </w:r>
      <w:r w:rsidR="00B967D4" w:rsidRPr="00B967D4">
        <w:rPr>
          <w:rFonts w:ascii="Arial" w:hAnsi="Arial" w:cs="Arial"/>
        </w:rPr>
        <w:t xml:space="preserve">n analysis of the impact of a minimum term and standard contractual terms for motor vehicle agreements prior to a future review of the </w:t>
      </w:r>
      <w:r w:rsidR="00B967D4">
        <w:rPr>
          <w:rFonts w:ascii="Arial" w:hAnsi="Arial" w:cs="Arial"/>
        </w:rPr>
        <w:t xml:space="preserve">Franchising </w:t>
      </w:r>
      <w:r w:rsidR="00B967D4" w:rsidRPr="00B967D4">
        <w:rPr>
          <w:rFonts w:ascii="Arial" w:hAnsi="Arial" w:cs="Arial"/>
        </w:rPr>
        <w:t>Code.</w:t>
      </w:r>
      <w:r w:rsidR="00F90082">
        <w:rPr>
          <w:rFonts w:ascii="Arial" w:hAnsi="Arial" w:cs="Arial"/>
        </w:rPr>
        <w:t xml:space="preserve"> The ACCC in its market study also recommended </w:t>
      </w:r>
      <w:r w:rsidR="00000A13" w:rsidRPr="00000A13">
        <w:rPr>
          <w:rFonts w:ascii="Arial" w:hAnsi="Arial" w:cs="Arial"/>
        </w:rPr>
        <w:t>issues raised by dealers relating to the imbalance of power in their commercial arrangements with manufacturers, such as insecure tenure and significant capital outlays expected of dealers, be examined further</w:t>
      </w:r>
      <w:r w:rsidR="00000A13">
        <w:rPr>
          <w:rFonts w:ascii="Arial" w:hAnsi="Arial" w:cs="Arial"/>
        </w:rPr>
        <w:t>.</w:t>
      </w:r>
      <w:r w:rsidR="00C605FA">
        <w:rPr>
          <w:rFonts w:ascii="Arial" w:hAnsi="Arial" w:cs="Arial"/>
        </w:rPr>
        <w:t xml:space="preserve"> </w:t>
      </w:r>
      <w:r w:rsidRPr="11FF59B9">
        <w:rPr>
          <w:rFonts w:ascii="Arial" w:hAnsi="Arial" w:cs="Arial"/>
        </w:rPr>
        <w:t xml:space="preserve">As the </w:t>
      </w:r>
      <w:r w:rsidR="00AD3984">
        <w:rPr>
          <w:rFonts w:ascii="Arial" w:hAnsi="Arial" w:cs="Arial"/>
        </w:rPr>
        <w:t xml:space="preserve">existing provisions of the </w:t>
      </w:r>
      <w:r w:rsidRPr="11FF59B9">
        <w:rPr>
          <w:rFonts w:ascii="Arial" w:hAnsi="Arial" w:cs="Arial"/>
        </w:rPr>
        <w:t xml:space="preserve">Franchising Code and industry action to date have not been able to address </w:t>
      </w:r>
      <w:r w:rsidR="00C605FA">
        <w:rPr>
          <w:rFonts w:ascii="Arial" w:hAnsi="Arial" w:cs="Arial"/>
        </w:rPr>
        <w:t>matters over insecurity of tenure</w:t>
      </w:r>
      <w:r w:rsidRPr="11FF59B9">
        <w:rPr>
          <w:rFonts w:ascii="Arial" w:hAnsi="Arial" w:cs="Arial"/>
        </w:rPr>
        <w:t>,</w:t>
      </w:r>
      <w:r w:rsidR="00C605FA">
        <w:rPr>
          <w:rFonts w:ascii="Arial" w:hAnsi="Arial" w:cs="Arial"/>
        </w:rPr>
        <w:t xml:space="preserve"> end of term arrangements when dealership agreements are not renewed and dispute resolution over end of term arrangements, </w:t>
      </w:r>
      <w:r w:rsidRPr="11FF59B9">
        <w:rPr>
          <w:rFonts w:ascii="Arial" w:hAnsi="Arial" w:cs="Arial"/>
        </w:rPr>
        <w:t>further government action is warranted.</w:t>
      </w:r>
    </w:p>
    <w:p w:rsidR="00C756FE" w:rsidRDefault="005C71D2" w:rsidP="11FF59B9">
      <w:pPr>
        <w:spacing w:before="240" w:line="360" w:lineRule="auto"/>
        <w:jc w:val="both"/>
        <w:rPr>
          <w:rFonts w:ascii="Arial" w:hAnsi="Arial" w:cs="Arial"/>
        </w:rPr>
      </w:pPr>
      <w:r>
        <w:rPr>
          <w:rFonts w:ascii="Arial" w:hAnsi="Arial" w:cs="Arial"/>
        </w:rPr>
        <w:t xml:space="preserve">An important consideration in formulation of possible policy responses to identified concerns is the existing policy framework for </w:t>
      </w:r>
      <w:r w:rsidR="00025157">
        <w:rPr>
          <w:rFonts w:ascii="Arial" w:hAnsi="Arial" w:cs="Arial"/>
        </w:rPr>
        <w:t xml:space="preserve">the Franchising Code which provides for disclosure to assist franchisees but does </w:t>
      </w:r>
      <w:r w:rsidRPr="005C71D2">
        <w:rPr>
          <w:rFonts w:ascii="Arial" w:hAnsi="Arial" w:cs="Arial"/>
        </w:rPr>
        <w:t xml:space="preserve">not dictate how the </w:t>
      </w:r>
      <w:r w:rsidR="00025157">
        <w:rPr>
          <w:rFonts w:ascii="Arial" w:hAnsi="Arial" w:cs="Arial"/>
        </w:rPr>
        <w:t xml:space="preserve">dealership </w:t>
      </w:r>
      <w:r w:rsidRPr="005C71D2">
        <w:rPr>
          <w:rFonts w:ascii="Arial" w:hAnsi="Arial" w:cs="Arial"/>
        </w:rPr>
        <w:t>agreement must end or what will happen when it does. This is in keeping with some basic principles of contract law – firstly, that a franchise agreement is a contract between two parties; secondly, that the parties to any contract are, by-and-large, free to negotiate the terms of the agreement themselves; and, thirdly, that the law will not force parties to engage in contractual relations against their will. The policy underpinning the Franchising Code has been reiterated in Government responses to previous inquiries and reviews of the Franchising Code</w:t>
      </w:r>
      <w:r w:rsidR="00C756FE">
        <w:rPr>
          <w:rFonts w:ascii="Arial" w:hAnsi="Arial" w:cs="Arial"/>
        </w:rPr>
        <w:t>.</w:t>
      </w:r>
      <w:r w:rsidR="00025157">
        <w:rPr>
          <w:rFonts w:ascii="Arial" w:hAnsi="Arial" w:cs="Arial"/>
        </w:rPr>
        <w:t xml:space="preserve"> </w:t>
      </w:r>
      <w:r w:rsidR="00147792">
        <w:rPr>
          <w:rFonts w:ascii="Arial" w:hAnsi="Arial" w:cs="Arial"/>
        </w:rPr>
        <w:t>Any policy responses discussed below which may be contrary to the existing policy framework of the Franchising Code or contrary to the competition principles underpinning the CCA are flagged as such.</w:t>
      </w:r>
    </w:p>
    <w:p w:rsidR="003C7FB8" w:rsidRDefault="11FF59B9" w:rsidP="11FF59B9">
      <w:pPr>
        <w:pStyle w:val="Heading1"/>
        <w:numPr>
          <w:ilvl w:val="0"/>
          <w:numId w:val="2"/>
        </w:numPr>
        <w:rPr>
          <w:color w:val="005677"/>
        </w:rPr>
      </w:pPr>
      <w:bookmarkStart w:id="60" w:name="_Toc529891245"/>
      <w:bookmarkStart w:id="61" w:name="_Toc529891263"/>
      <w:bookmarkStart w:id="62" w:name="_Toc530493130"/>
      <w:bookmarkStart w:id="63" w:name="_Toc530493185"/>
      <w:bookmarkStart w:id="64" w:name="_Toc530563051"/>
      <w:bookmarkStart w:id="65" w:name="_Toc530563177"/>
      <w:r w:rsidRPr="11FF59B9">
        <w:rPr>
          <w:color w:val="005677"/>
        </w:rPr>
        <w:t>Options</w:t>
      </w:r>
      <w:bookmarkEnd w:id="60"/>
      <w:bookmarkEnd w:id="61"/>
      <w:bookmarkEnd w:id="62"/>
      <w:bookmarkEnd w:id="63"/>
      <w:bookmarkEnd w:id="64"/>
      <w:bookmarkEnd w:id="65"/>
    </w:p>
    <w:p w:rsidR="005B6A58" w:rsidRPr="00BA11D3" w:rsidRDefault="11FF59B9" w:rsidP="11FF59B9">
      <w:pPr>
        <w:pStyle w:val="Heading2"/>
        <w:rPr>
          <w:rFonts w:ascii="Arial" w:hAnsi="Arial" w:cs="Arial"/>
          <w:sz w:val="36"/>
          <w:szCs w:val="28"/>
        </w:rPr>
      </w:pPr>
      <w:bookmarkStart w:id="66" w:name="_Toc529891246"/>
      <w:bookmarkStart w:id="67" w:name="_Toc529891264"/>
      <w:bookmarkStart w:id="68" w:name="_Toc530493131"/>
      <w:bookmarkStart w:id="69" w:name="_Toc530493186"/>
      <w:bookmarkStart w:id="70" w:name="_Toc530563052"/>
      <w:bookmarkStart w:id="71" w:name="_Toc530563178"/>
      <w:r w:rsidRPr="00BA11D3">
        <w:rPr>
          <w:rFonts w:ascii="Arial" w:hAnsi="Arial" w:cs="Arial"/>
          <w:sz w:val="36"/>
          <w:szCs w:val="28"/>
        </w:rPr>
        <w:t>1 – Status Quo</w:t>
      </w:r>
      <w:bookmarkEnd w:id="66"/>
      <w:bookmarkEnd w:id="67"/>
      <w:bookmarkEnd w:id="68"/>
      <w:bookmarkEnd w:id="69"/>
      <w:bookmarkEnd w:id="70"/>
      <w:bookmarkEnd w:id="71"/>
    </w:p>
    <w:p w:rsidR="00BC0EBD" w:rsidRPr="00F9581D" w:rsidRDefault="11FF59B9" w:rsidP="11FF59B9">
      <w:pPr>
        <w:spacing w:before="240" w:line="360" w:lineRule="auto"/>
        <w:jc w:val="both"/>
        <w:rPr>
          <w:rFonts w:ascii="Arial" w:hAnsi="Arial" w:cs="Arial"/>
        </w:rPr>
      </w:pPr>
      <w:r w:rsidRPr="11FF59B9">
        <w:rPr>
          <w:rFonts w:ascii="Arial" w:hAnsi="Arial" w:cs="Arial"/>
        </w:rPr>
        <w:t xml:space="preserve">Under this option, no regulatory changes would be made and new car dealers and car manufacturers would continue to be subject to the existing provisions in the Franchising Code (which are summarised in Appendix 2). If any amendments were made to the Franchising Code in response to the </w:t>
      </w:r>
      <w:r w:rsidR="004D0831">
        <w:rPr>
          <w:rFonts w:ascii="Arial" w:hAnsi="Arial" w:cs="Arial"/>
        </w:rPr>
        <w:t>PJC</w:t>
      </w:r>
      <w:r w:rsidR="00275498" w:rsidRPr="11FF59B9">
        <w:rPr>
          <w:rFonts w:ascii="Arial" w:hAnsi="Arial" w:cs="Arial"/>
        </w:rPr>
        <w:t xml:space="preserve"> </w:t>
      </w:r>
      <w:r w:rsidRPr="11FF59B9">
        <w:rPr>
          <w:rFonts w:ascii="Arial" w:hAnsi="Arial" w:cs="Arial"/>
        </w:rPr>
        <w:t xml:space="preserve">Inquiry, those amendments would also apply to dealer agreements. </w:t>
      </w:r>
    </w:p>
    <w:p w:rsidR="00F9581D" w:rsidRDefault="00917767" w:rsidP="11FF59B9">
      <w:pPr>
        <w:spacing w:before="240" w:line="360" w:lineRule="auto"/>
        <w:jc w:val="both"/>
        <w:rPr>
          <w:rFonts w:ascii="Arial" w:hAnsi="Arial" w:cs="Arial"/>
        </w:rPr>
      </w:pPr>
      <w:r>
        <w:rPr>
          <w:rFonts w:ascii="Arial" w:hAnsi="Arial" w:cs="Arial"/>
        </w:rPr>
        <w:t xml:space="preserve">Unless any Government response to the </w:t>
      </w:r>
      <w:r w:rsidR="004D0831">
        <w:rPr>
          <w:rFonts w:ascii="Arial" w:hAnsi="Arial" w:cs="Arial"/>
        </w:rPr>
        <w:t>PJC</w:t>
      </w:r>
      <w:r w:rsidR="00275498">
        <w:rPr>
          <w:rFonts w:ascii="Arial" w:hAnsi="Arial" w:cs="Arial"/>
        </w:rPr>
        <w:t xml:space="preserve"> </w:t>
      </w:r>
      <w:r>
        <w:rPr>
          <w:rFonts w:ascii="Arial" w:hAnsi="Arial" w:cs="Arial"/>
        </w:rPr>
        <w:t xml:space="preserve">Inquiry were to address the identified problems, without further action </w:t>
      </w:r>
      <w:r w:rsidR="00F33CB2">
        <w:rPr>
          <w:rFonts w:ascii="Arial" w:hAnsi="Arial" w:cs="Arial"/>
        </w:rPr>
        <w:t>c</w:t>
      </w:r>
      <w:r w:rsidR="11FF59B9" w:rsidRPr="11FF59B9">
        <w:rPr>
          <w:rFonts w:ascii="Arial" w:hAnsi="Arial" w:cs="Arial"/>
        </w:rPr>
        <w:t>ar dealers would continue to</w:t>
      </w:r>
      <w:r w:rsidR="00F33CB2">
        <w:rPr>
          <w:rFonts w:ascii="Arial" w:hAnsi="Arial" w:cs="Arial"/>
        </w:rPr>
        <w:t xml:space="preserve"> face problems </w:t>
      </w:r>
      <w:r w:rsidR="00F33CB2" w:rsidRPr="00F33CB2">
        <w:rPr>
          <w:rFonts w:ascii="Arial" w:hAnsi="Arial" w:cs="Arial"/>
        </w:rPr>
        <w:t xml:space="preserve">negotiating end of term arrangements, </w:t>
      </w:r>
      <w:r w:rsidR="00F33CB2">
        <w:rPr>
          <w:rFonts w:ascii="Arial" w:hAnsi="Arial" w:cs="Arial"/>
        </w:rPr>
        <w:t>in</w:t>
      </w:r>
      <w:r w:rsidR="00362F3F">
        <w:rPr>
          <w:rFonts w:ascii="Arial" w:hAnsi="Arial" w:cs="Arial"/>
        </w:rPr>
        <w:t xml:space="preserve"> gaining meaningful disclosure on, and</w:t>
      </w:r>
      <w:r w:rsidR="00F33CB2">
        <w:rPr>
          <w:rFonts w:ascii="Arial" w:hAnsi="Arial" w:cs="Arial"/>
        </w:rPr>
        <w:t xml:space="preserve"> </w:t>
      </w:r>
      <w:r w:rsidR="00F33CB2" w:rsidRPr="00F33CB2">
        <w:rPr>
          <w:rFonts w:ascii="Arial" w:hAnsi="Arial" w:cs="Arial"/>
        </w:rPr>
        <w:t>recoup</w:t>
      </w:r>
      <w:r w:rsidR="00F33CB2">
        <w:rPr>
          <w:rFonts w:ascii="Arial" w:hAnsi="Arial" w:cs="Arial"/>
        </w:rPr>
        <w:t>ing</w:t>
      </w:r>
      <w:r w:rsidR="00362F3F">
        <w:rPr>
          <w:rFonts w:ascii="Arial" w:hAnsi="Arial" w:cs="Arial"/>
        </w:rPr>
        <w:t xml:space="preserve">, </w:t>
      </w:r>
      <w:r w:rsidR="00F33CB2" w:rsidRPr="00F33CB2">
        <w:rPr>
          <w:rFonts w:ascii="Arial" w:hAnsi="Arial" w:cs="Arial"/>
        </w:rPr>
        <w:t>capital expenditure and dispute resolution</w:t>
      </w:r>
      <w:r w:rsidR="00362F3F">
        <w:rPr>
          <w:rFonts w:ascii="Arial" w:hAnsi="Arial" w:cs="Arial"/>
        </w:rPr>
        <w:t xml:space="preserve"> on end of term arrangements.</w:t>
      </w:r>
    </w:p>
    <w:p w:rsidR="007645B4" w:rsidRDefault="11FF59B9" w:rsidP="005726E0">
      <w:pPr>
        <w:keepNext/>
        <w:spacing w:before="240" w:after="0" w:line="360" w:lineRule="auto"/>
        <w:jc w:val="both"/>
        <w:rPr>
          <w:rFonts w:ascii="Arial" w:hAnsi="Arial" w:cs="Arial"/>
          <w:i/>
          <w:iCs/>
        </w:rPr>
      </w:pPr>
      <w:r w:rsidRPr="11FF59B9">
        <w:rPr>
          <w:rFonts w:ascii="Arial" w:hAnsi="Arial" w:cs="Arial"/>
          <w:i/>
          <w:iCs/>
        </w:rPr>
        <w:t>Net benefits</w:t>
      </w:r>
    </w:p>
    <w:p w:rsidR="007645B4" w:rsidRDefault="11FF59B9" w:rsidP="11FF59B9">
      <w:pPr>
        <w:spacing w:before="120" w:line="360" w:lineRule="auto"/>
        <w:jc w:val="both"/>
        <w:rPr>
          <w:rFonts w:ascii="Arial" w:hAnsi="Arial" w:cs="Arial"/>
        </w:rPr>
      </w:pPr>
      <w:r w:rsidRPr="11FF59B9">
        <w:rPr>
          <w:rFonts w:ascii="Arial" w:hAnsi="Arial" w:cs="Arial"/>
        </w:rPr>
        <w:t>While this option would have no regulatory impact, it is not the preferred option as it would not address the problems identified in this RIS.</w:t>
      </w:r>
    </w:p>
    <w:p w:rsidR="00CF77B6" w:rsidRDefault="11FF59B9" w:rsidP="11FF59B9">
      <w:pPr>
        <w:pStyle w:val="Heading2"/>
        <w:rPr>
          <w:rFonts w:ascii="Arial" w:hAnsi="Arial" w:cs="Arial"/>
          <w:sz w:val="36"/>
          <w:szCs w:val="28"/>
        </w:rPr>
      </w:pPr>
      <w:bookmarkStart w:id="72" w:name="_Toc529891247"/>
      <w:bookmarkStart w:id="73" w:name="_Toc529891265"/>
      <w:bookmarkStart w:id="74" w:name="_Toc530493132"/>
      <w:bookmarkStart w:id="75" w:name="_Toc530493187"/>
      <w:bookmarkStart w:id="76" w:name="_Toc530563053"/>
      <w:bookmarkStart w:id="77" w:name="_Toc530563179"/>
      <w:r w:rsidRPr="00BA11D3">
        <w:rPr>
          <w:rFonts w:ascii="Arial" w:hAnsi="Arial" w:cs="Arial"/>
          <w:sz w:val="36"/>
          <w:szCs w:val="28"/>
        </w:rPr>
        <w:t xml:space="preserve">2 – </w:t>
      </w:r>
      <w:bookmarkEnd w:id="72"/>
      <w:bookmarkEnd w:id="73"/>
      <w:r w:rsidR="00BA11D3">
        <w:rPr>
          <w:rFonts w:ascii="Arial" w:hAnsi="Arial" w:cs="Arial"/>
          <w:sz w:val="36"/>
          <w:szCs w:val="28"/>
        </w:rPr>
        <w:t>Regulatory Intervention</w:t>
      </w:r>
      <w:bookmarkEnd w:id="74"/>
      <w:bookmarkEnd w:id="75"/>
      <w:bookmarkEnd w:id="76"/>
      <w:bookmarkEnd w:id="77"/>
    </w:p>
    <w:p w:rsidR="00BA11D3" w:rsidRPr="00FF4312" w:rsidRDefault="007025E9" w:rsidP="00FF4312">
      <w:pPr>
        <w:spacing w:before="240" w:line="360" w:lineRule="auto"/>
        <w:jc w:val="both"/>
        <w:rPr>
          <w:rFonts w:ascii="Arial" w:hAnsi="Arial" w:cs="Arial"/>
        </w:rPr>
      </w:pPr>
      <w:r w:rsidRPr="00FF4312">
        <w:rPr>
          <w:rFonts w:ascii="Arial" w:hAnsi="Arial" w:cs="Arial"/>
        </w:rPr>
        <w:t>Under this option, the Government would make regulatory changes to address the issues identified in the problem section of the RIS. The regulations w</w:t>
      </w:r>
      <w:r w:rsidR="00657D3E" w:rsidRPr="00657D3E">
        <w:rPr>
          <w:rFonts w:ascii="Arial" w:hAnsi="Arial" w:cs="Arial"/>
        </w:rPr>
        <w:t xml:space="preserve">ould be mandatory, applying to </w:t>
      </w:r>
      <w:r w:rsidRPr="00FF4312">
        <w:rPr>
          <w:rFonts w:ascii="Arial" w:hAnsi="Arial" w:cs="Arial"/>
        </w:rPr>
        <w:t xml:space="preserve">all car manufacturers and new car dealers. </w:t>
      </w:r>
      <w:r w:rsidR="004D4AFC">
        <w:rPr>
          <w:rFonts w:ascii="Arial" w:hAnsi="Arial" w:cs="Arial"/>
        </w:rPr>
        <w:t xml:space="preserve">Different ways of implementing these options </w:t>
      </w:r>
      <w:r w:rsidRPr="00FF4312">
        <w:rPr>
          <w:rFonts w:ascii="Arial" w:hAnsi="Arial" w:cs="Arial"/>
        </w:rPr>
        <w:t>are discussed</w:t>
      </w:r>
      <w:r w:rsidRPr="007025E9">
        <w:rPr>
          <w:rFonts w:ascii="Arial" w:hAnsi="Arial" w:cs="Arial"/>
        </w:rPr>
        <w:t xml:space="preserve"> in Chapter</w:t>
      </w:r>
      <w:r>
        <w:rPr>
          <w:rFonts w:ascii="Arial" w:hAnsi="Arial" w:cs="Arial"/>
        </w:rPr>
        <w:t> </w:t>
      </w:r>
      <w:r w:rsidRPr="00FF4312">
        <w:rPr>
          <w:rFonts w:ascii="Arial" w:hAnsi="Arial" w:cs="Arial"/>
        </w:rPr>
        <w:t>8</w:t>
      </w:r>
      <w:r w:rsidR="00454889">
        <w:rPr>
          <w:rFonts w:ascii="Arial" w:hAnsi="Arial" w:cs="Arial"/>
        </w:rPr>
        <w:t xml:space="preserve"> which includes amendments to the Franchising Code or through a standalone code of conduct for the automotive industry</w:t>
      </w:r>
      <w:r w:rsidRPr="00FF4312">
        <w:rPr>
          <w:rFonts w:ascii="Arial" w:hAnsi="Arial" w:cs="Arial"/>
        </w:rPr>
        <w:t>.</w:t>
      </w:r>
      <w:r w:rsidR="00657D3E">
        <w:rPr>
          <w:rFonts w:ascii="Arial" w:hAnsi="Arial" w:cs="Arial"/>
        </w:rPr>
        <w:t xml:space="preserve"> This chapter includes a number of sub-options, each of which are considered individually, but if chosen, </w:t>
      </w:r>
      <w:r w:rsidR="004D4AFC">
        <w:rPr>
          <w:rFonts w:ascii="Arial" w:hAnsi="Arial" w:cs="Arial"/>
        </w:rPr>
        <w:t>w</w:t>
      </w:r>
      <w:r w:rsidR="00657D3E">
        <w:rPr>
          <w:rFonts w:ascii="Arial" w:hAnsi="Arial" w:cs="Arial"/>
        </w:rPr>
        <w:t xml:space="preserve">ould be implemented via Government action. </w:t>
      </w:r>
    </w:p>
    <w:p w:rsidR="00CF77B6" w:rsidRPr="006766C7" w:rsidRDefault="005726E0" w:rsidP="11FF59B9">
      <w:pPr>
        <w:keepNext/>
        <w:rPr>
          <w:rFonts w:ascii="Arial" w:hAnsi="Arial" w:cs="Arial"/>
          <w:b/>
          <w:bCs/>
        </w:rPr>
      </w:pPr>
      <w:r>
        <w:rPr>
          <w:rFonts w:ascii="Arial" w:hAnsi="Arial" w:cs="Arial"/>
          <w:b/>
          <w:bCs/>
        </w:rPr>
        <w:t>Option</w:t>
      </w:r>
      <w:r w:rsidR="001A6DE0">
        <w:rPr>
          <w:rFonts w:ascii="Arial" w:hAnsi="Arial" w:cs="Arial"/>
          <w:b/>
          <w:bCs/>
        </w:rPr>
        <w:t xml:space="preserve"> 2</w:t>
      </w:r>
      <w:r w:rsidR="11FF59B9" w:rsidRPr="11FF59B9">
        <w:rPr>
          <w:rFonts w:ascii="Arial" w:hAnsi="Arial" w:cs="Arial"/>
          <w:b/>
          <w:bCs/>
        </w:rPr>
        <w:t>A – 12 month notice periods</w:t>
      </w:r>
    </w:p>
    <w:p w:rsidR="00CF77B6" w:rsidRPr="00DF1B77" w:rsidRDefault="11FF59B9" w:rsidP="11FF59B9">
      <w:pPr>
        <w:spacing w:before="240" w:line="360" w:lineRule="auto"/>
        <w:jc w:val="both"/>
        <w:rPr>
          <w:rFonts w:ascii="Arial" w:hAnsi="Arial" w:cs="Arial"/>
        </w:rPr>
      </w:pPr>
      <w:r w:rsidRPr="11FF59B9">
        <w:rPr>
          <w:rFonts w:ascii="Arial" w:hAnsi="Arial" w:cs="Arial"/>
        </w:rPr>
        <w:t>Under the Franchising Code, if a franchisee intends to not renew the agreement they must provide the franchisee notice of their intention to not renew at least six months prior to the end of the agreement.</w:t>
      </w:r>
    </w:p>
    <w:p w:rsidR="00CF77B6" w:rsidRDefault="11FF59B9" w:rsidP="11FF59B9">
      <w:pPr>
        <w:spacing w:before="240" w:line="360" w:lineRule="auto"/>
        <w:jc w:val="both"/>
        <w:rPr>
          <w:rFonts w:ascii="Arial" w:hAnsi="Arial" w:cs="Arial"/>
        </w:rPr>
      </w:pPr>
      <w:r w:rsidRPr="11FF59B9">
        <w:rPr>
          <w:rFonts w:ascii="Arial" w:hAnsi="Arial" w:cs="Arial"/>
        </w:rPr>
        <w:t xml:space="preserve">To provide new car dealers with time to consider how to manage their affairs at the end of their agreement, this option would require 12 months’ notice be provided, rather than six months. The new obligation would only apply to </w:t>
      </w:r>
      <w:r w:rsidR="008766C9">
        <w:rPr>
          <w:rFonts w:ascii="Arial" w:hAnsi="Arial" w:cs="Arial"/>
        </w:rPr>
        <w:t xml:space="preserve">an </w:t>
      </w:r>
      <w:r w:rsidRPr="11FF59B9">
        <w:rPr>
          <w:rFonts w:ascii="Arial" w:hAnsi="Arial" w:cs="Arial"/>
        </w:rPr>
        <w:t xml:space="preserve">agreement with a term greater than </w:t>
      </w:r>
      <w:r w:rsidR="00F6019E">
        <w:rPr>
          <w:rFonts w:ascii="Arial" w:hAnsi="Arial" w:cs="Arial"/>
        </w:rPr>
        <w:t>24</w:t>
      </w:r>
      <w:r w:rsidR="00F6019E" w:rsidRPr="11FF59B9">
        <w:rPr>
          <w:rFonts w:ascii="Arial" w:hAnsi="Arial" w:cs="Arial"/>
        </w:rPr>
        <w:t xml:space="preserve"> </w:t>
      </w:r>
      <w:r w:rsidRPr="11FF59B9">
        <w:rPr>
          <w:rFonts w:ascii="Arial" w:hAnsi="Arial" w:cs="Arial"/>
        </w:rPr>
        <w:t xml:space="preserve">months. </w:t>
      </w:r>
      <w:r w:rsidR="002B780C">
        <w:rPr>
          <w:rFonts w:ascii="Arial" w:hAnsi="Arial" w:cs="Arial"/>
        </w:rPr>
        <w:t>In its consultation</w:t>
      </w:r>
      <w:r w:rsidR="00275498">
        <w:rPr>
          <w:rFonts w:ascii="Arial" w:hAnsi="Arial" w:cs="Arial"/>
        </w:rPr>
        <w:t>s,</w:t>
      </w:r>
      <w:r w:rsidR="002B780C">
        <w:rPr>
          <w:rFonts w:ascii="Arial" w:hAnsi="Arial" w:cs="Arial"/>
        </w:rPr>
        <w:t xml:space="preserve"> DIIS heard</w:t>
      </w:r>
      <w:r w:rsidR="00275498">
        <w:rPr>
          <w:rFonts w:ascii="Arial" w:hAnsi="Arial" w:cs="Arial"/>
        </w:rPr>
        <w:t xml:space="preserve"> anecdotally</w:t>
      </w:r>
      <w:r w:rsidR="002B780C">
        <w:rPr>
          <w:rFonts w:ascii="Arial" w:hAnsi="Arial" w:cs="Arial"/>
        </w:rPr>
        <w:t xml:space="preserve"> that automotive industry practice might be for nine</w:t>
      </w:r>
      <w:r w:rsidR="009E28BA">
        <w:rPr>
          <w:rFonts w:ascii="Arial" w:hAnsi="Arial" w:cs="Arial"/>
        </w:rPr>
        <w:t xml:space="preserve"> </w:t>
      </w:r>
      <w:r w:rsidR="002B780C">
        <w:rPr>
          <w:rFonts w:ascii="Arial" w:hAnsi="Arial" w:cs="Arial"/>
        </w:rPr>
        <w:t>months</w:t>
      </w:r>
      <w:r w:rsidR="009E28BA">
        <w:rPr>
          <w:rFonts w:ascii="Arial" w:hAnsi="Arial" w:cs="Arial"/>
        </w:rPr>
        <w:t xml:space="preserve">’ </w:t>
      </w:r>
      <w:r w:rsidR="002B780C">
        <w:rPr>
          <w:rFonts w:ascii="Arial" w:hAnsi="Arial" w:cs="Arial"/>
        </w:rPr>
        <w:t>notice prior to non-renewal. The MTAA supported 12</w:t>
      </w:r>
      <w:r w:rsidR="009E28BA">
        <w:rPr>
          <w:rFonts w:ascii="Arial" w:hAnsi="Arial" w:cs="Arial"/>
        </w:rPr>
        <w:t xml:space="preserve"> </w:t>
      </w:r>
      <w:r w:rsidR="002B780C">
        <w:rPr>
          <w:rFonts w:ascii="Arial" w:hAnsi="Arial" w:cs="Arial"/>
        </w:rPr>
        <w:t>months</w:t>
      </w:r>
      <w:r w:rsidR="009E28BA">
        <w:rPr>
          <w:rFonts w:ascii="Arial" w:hAnsi="Arial" w:cs="Arial"/>
        </w:rPr>
        <w:t xml:space="preserve">’ </w:t>
      </w:r>
      <w:r w:rsidR="002B780C">
        <w:rPr>
          <w:rFonts w:ascii="Arial" w:hAnsi="Arial" w:cs="Arial"/>
        </w:rPr>
        <w:t xml:space="preserve">notice in its submission to the </w:t>
      </w:r>
      <w:r w:rsidR="004D0831">
        <w:rPr>
          <w:rFonts w:ascii="Arial" w:hAnsi="Arial" w:cs="Arial"/>
        </w:rPr>
        <w:t>PJC Inquiry</w:t>
      </w:r>
      <w:r w:rsidR="002B780C">
        <w:rPr>
          <w:rFonts w:ascii="Arial" w:hAnsi="Arial" w:cs="Arial"/>
        </w:rPr>
        <w:t>.</w:t>
      </w:r>
    </w:p>
    <w:p w:rsidR="00CF77B6" w:rsidRPr="00F9581D" w:rsidRDefault="11FF59B9" w:rsidP="00B53D89">
      <w:pPr>
        <w:keepNext/>
        <w:rPr>
          <w:rFonts w:ascii="Arial" w:hAnsi="Arial" w:cs="Arial"/>
          <w:i/>
          <w:iCs/>
        </w:rPr>
      </w:pPr>
      <w:r w:rsidRPr="11FF59B9">
        <w:rPr>
          <w:rFonts w:ascii="Arial" w:hAnsi="Arial" w:cs="Arial"/>
          <w:i/>
          <w:iCs/>
        </w:rPr>
        <w:t>Impact on car dealers</w:t>
      </w:r>
    </w:p>
    <w:p w:rsidR="00CF77B6" w:rsidRPr="007C6EAE" w:rsidRDefault="11FF59B9" w:rsidP="11FF59B9">
      <w:pPr>
        <w:spacing w:before="240" w:line="360" w:lineRule="auto"/>
        <w:jc w:val="both"/>
        <w:rPr>
          <w:rFonts w:ascii="Arial" w:hAnsi="Arial" w:cs="Arial"/>
        </w:rPr>
      </w:pPr>
      <w:r w:rsidRPr="11FF59B9">
        <w:rPr>
          <w:rFonts w:ascii="Arial" w:hAnsi="Arial" w:cs="Arial"/>
        </w:rPr>
        <w:t>Requiring longer notice periods for non-renewal w</w:t>
      </w:r>
      <w:r w:rsidR="00F6019E">
        <w:rPr>
          <w:rFonts w:ascii="Arial" w:hAnsi="Arial" w:cs="Arial"/>
        </w:rPr>
        <w:t>ou</w:t>
      </w:r>
      <w:r w:rsidRPr="11FF59B9">
        <w:rPr>
          <w:rFonts w:ascii="Arial" w:hAnsi="Arial" w:cs="Arial"/>
        </w:rPr>
        <w:t>l</w:t>
      </w:r>
      <w:r w:rsidR="00F6019E">
        <w:rPr>
          <w:rFonts w:ascii="Arial" w:hAnsi="Arial" w:cs="Arial"/>
        </w:rPr>
        <w:t>d</w:t>
      </w:r>
      <w:r w:rsidRPr="11FF59B9">
        <w:rPr>
          <w:rFonts w:ascii="Arial" w:hAnsi="Arial" w:cs="Arial"/>
        </w:rPr>
        <w:t xml:space="preserve"> provide car d</w:t>
      </w:r>
      <w:r w:rsidR="00A2552B">
        <w:rPr>
          <w:rFonts w:ascii="Arial" w:hAnsi="Arial" w:cs="Arial"/>
        </w:rPr>
        <w:t>ealers with more time to arrange</w:t>
      </w:r>
      <w:r w:rsidRPr="11FF59B9">
        <w:rPr>
          <w:rFonts w:ascii="Arial" w:hAnsi="Arial" w:cs="Arial"/>
        </w:rPr>
        <w:t xml:space="preserve"> their affairs in the event their agreement is no</w:t>
      </w:r>
      <w:r w:rsidR="00F6019E">
        <w:rPr>
          <w:rFonts w:ascii="Arial" w:hAnsi="Arial" w:cs="Arial"/>
        </w:rPr>
        <w:t>t</w:t>
      </w:r>
      <w:r w:rsidRPr="11FF59B9">
        <w:rPr>
          <w:rFonts w:ascii="Arial" w:hAnsi="Arial" w:cs="Arial"/>
        </w:rPr>
        <w:t xml:space="preserve"> renewed. For example, it would provide dealers with additional time to:</w:t>
      </w:r>
    </w:p>
    <w:p w:rsidR="00CF77B6" w:rsidRPr="007C6EAE" w:rsidRDefault="11FF59B9" w:rsidP="11FF59B9">
      <w:pPr>
        <w:pStyle w:val="ListParagraph"/>
        <w:numPr>
          <w:ilvl w:val="0"/>
          <w:numId w:val="8"/>
        </w:numPr>
        <w:spacing w:before="240" w:line="360" w:lineRule="auto"/>
        <w:jc w:val="both"/>
        <w:rPr>
          <w:rFonts w:ascii="Arial" w:hAnsi="Arial" w:cs="Arial"/>
        </w:rPr>
      </w:pPr>
      <w:r w:rsidRPr="11FF59B9">
        <w:rPr>
          <w:rFonts w:ascii="Arial" w:hAnsi="Arial" w:cs="Arial"/>
        </w:rPr>
        <w:t>search for a new franchisor;</w:t>
      </w:r>
    </w:p>
    <w:p w:rsidR="00CF77B6" w:rsidRPr="007C6EAE" w:rsidRDefault="11FF59B9" w:rsidP="11FF59B9">
      <w:pPr>
        <w:pStyle w:val="ListParagraph"/>
        <w:numPr>
          <w:ilvl w:val="0"/>
          <w:numId w:val="8"/>
        </w:numPr>
        <w:spacing w:before="240" w:line="360" w:lineRule="auto"/>
        <w:jc w:val="both"/>
        <w:rPr>
          <w:rFonts w:ascii="Arial" w:hAnsi="Arial" w:cs="Arial"/>
        </w:rPr>
      </w:pPr>
      <w:r w:rsidRPr="11FF59B9">
        <w:rPr>
          <w:rFonts w:ascii="Arial" w:hAnsi="Arial" w:cs="Arial"/>
        </w:rPr>
        <w:t>sell the site; or</w:t>
      </w:r>
    </w:p>
    <w:p w:rsidR="00CF77B6" w:rsidRPr="007C6EAE" w:rsidRDefault="009E28BA" w:rsidP="11FF59B9">
      <w:pPr>
        <w:pStyle w:val="ListParagraph"/>
        <w:numPr>
          <w:ilvl w:val="0"/>
          <w:numId w:val="8"/>
        </w:numPr>
        <w:spacing w:before="240" w:line="360" w:lineRule="auto"/>
        <w:jc w:val="both"/>
        <w:rPr>
          <w:rFonts w:ascii="Arial" w:hAnsi="Arial" w:cs="Arial"/>
        </w:rPr>
      </w:pPr>
      <w:r>
        <w:rPr>
          <w:rFonts w:ascii="Arial" w:hAnsi="Arial" w:cs="Arial"/>
        </w:rPr>
        <w:t>w</w:t>
      </w:r>
      <w:r w:rsidR="11FF59B9" w:rsidRPr="11FF59B9">
        <w:rPr>
          <w:rFonts w:ascii="Arial" w:hAnsi="Arial" w:cs="Arial"/>
        </w:rPr>
        <w:t>here they operate multi franchise arrangements, reconfigure their site to focus on their remaining brands after the agreement expires.</w:t>
      </w:r>
    </w:p>
    <w:p w:rsidR="0090545D" w:rsidRDefault="0090545D" w:rsidP="11FF59B9">
      <w:pPr>
        <w:spacing w:before="240" w:line="360" w:lineRule="auto"/>
        <w:jc w:val="both"/>
        <w:rPr>
          <w:rFonts w:ascii="Arial" w:hAnsi="Arial" w:cs="Arial"/>
        </w:rPr>
      </w:pPr>
      <w:r>
        <w:rPr>
          <w:rFonts w:ascii="Arial" w:hAnsi="Arial" w:cs="Arial"/>
        </w:rPr>
        <w:t>It would also provide staff opportunities to look for alternat</w:t>
      </w:r>
      <w:r w:rsidR="003F3BF9">
        <w:rPr>
          <w:rFonts w:ascii="Arial" w:hAnsi="Arial" w:cs="Arial"/>
        </w:rPr>
        <w:t>iv</w:t>
      </w:r>
      <w:r>
        <w:rPr>
          <w:rFonts w:ascii="Arial" w:hAnsi="Arial" w:cs="Arial"/>
        </w:rPr>
        <w:t xml:space="preserve">e sources </w:t>
      </w:r>
      <w:r w:rsidR="008D2071">
        <w:rPr>
          <w:rFonts w:ascii="Arial" w:hAnsi="Arial" w:cs="Arial"/>
        </w:rPr>
        <w:t>of</w:t>
      </w:r>
      <w:r>
        <w:rPr>
          <w:rFonts w:ascii="Arial" w:hAnsi="Arial" w:cs="Arial"/>
        </w:rPr>
        <w:t xml:space="preserve"> employment where the end of the agreement causes the dealership to close down and it would provide time for the dealer to contact consumers to inform them that the dealership can no longer service their vehicle (where this is the case).</w:t>
      </w:r>
    </w:p>
    <w:p w:rsidR="00CF77B6" w:rsidRDefault="00FF5463" w:rsidP="002333AF">
      <w:pPr>
        <w:spacing w:before="240" w:line="360" w:lineRule="auto"/>
        <w:jc w:val="both"/>
        <w:rPr>
          <w:rFonts w:ascii="Arial" w:hAnsi="Arial" w:cs="Arial"/>
        </w:rPr>
      </w:pPr>
      <w:r>
        <w:rPr>
          <w:rFonts w:ascii="Arial" w:hAnsi="Arial" w:cs="Arial"/>
        </w:rPr>
        <w:t>H</w:t>
      </w:r>
      <w:r w:rsidR="11FF59B9" w:rsidRPr="11FF59B9">
        <w:rPr>
          <w:rFonts w:ascii="Arial" w:hAnsi="Arial" w:cs="Arial"/>
        </w:rPr>
        <w:t xml:space="preserve">aving longer notice periods will also reduce the likelihood that dealers will undertake capital expenditure that they are unable to recoup, as a car dealer is unlikely to undertake capital expenditure during the 12 month period where they know the agreement will not be renewed. Alternatively, where a dealer </w:t>
      </w:r>
      <w:r w:rsidR="00A43A36">
        <w:rPr>
          <w:rFonts w:ascii="Arial" w:hAnsi="Arial" w:cs="Arial"/>
        </w:rPr>
        <w:t>decides</w:t>
      </w:r>
      <w:r w:rsidR="11FF59B9" w:rsidRPr="11FF59B9">
        <w:rPr>
          <w:rFonts w:ascii="Arial" w:hAnsi="Arial" w:cs="Arial"/>
        </w:rPr>
        <w:t xml:space="preserve"> </w:t>
      </w:r>
      <w:r w:rsidR="00A43A36">
        <w:rPr>
          <w:rFonts w:ascii="Arial" w:hAnsi="Arial" w:cs="Arial"/>
        </w:rPr>
        <w:t>upon receiving the notice of non-renewal</w:t>
      </w:r>
      <w:r w:rsidR="00A43A36" w:rsidRPr="11FF59B9">
        <w:rPr>
          <w:rFonts w:ascii="Arial" w:hAnsi="Arial" w:cs="Arial"/>
        </w:rPr>
        <w:t xml:space="preserve"> </w:t>
      </w:r>
      <w:r w:rsidR="11FF59B9" w:rsidRPr="11FF59B9">
        <w:rPr>
          <w:rFonts w:ascii="Arial" w:hAnsi="Arial" w:cs="Arial"/>
        </w:rPr>
        <w:t xml:space="preserve">to switch to another franchise at the end of the agreement, they may be able to undertake the capital expenditure in a way that means that the new facilities can be </w:t>
      </w:r>
      <w:r w:rsidR="00F6019E">
        <w:rPr>
          <w:rFonts w:ascii="Arial" w:hAnsi="Arial" w:cs="Arial"/>
        </w:rPr>
        <w:t>more</w:t>
      </w:r>
      <w:r w:rsidR="11FF59B9" w:rsidRPr="11FF59B9">
        <w:rPr>
          <w:rFonts w:ascii="Arial" w:hAnsi="Arial" w:cs="Arial"/>
        </w:rPr>
        <w:t xml:space="preserve"> easily repurposed to be used for another brand.</w:t>
      </w:r>
    </w:p>
    <w:p w:rsidR="00FF5463" w:rsidRDefault="00FF5463" w:rsidP="002333AF">
      <w:pPr>
        <w:spacing w:before="240" w:line="360" w:lineRule="auto"/>
        <w:jc w:val="both"/>
        <w:rPr>
          <w:rFonts w:ascii="Arial" w:hAnsi="Arial" w:cs="Arial"/>
        </w:rPr>
      </w:pPr>
      <w:r>
        <w:rPr>
          <w:rFonts w:ascii="Arial" w:hAnsi="Arial" w:cs="Arial"/>
        </w:rPr>
        <w:t>More broadly,</w:t>
      </w:r>
      <w:r w:rsidRPr="002333AF">
        <w:rPr>
          <w:rFonts w:ascii="Arial" w:hAnsi="Arial" w:cs="Arial"/>
        </w:rPr>
        <w:t xml:space="preserve"> </w:t>
      </w:r>
      <w:r>
        <w:rPr>
          <w:rFonts w:ascii="Arial" w:hAnsi="Arial" w:cs="Arial"/>
        </w:rPr>
        <w:t xml:space="preserve">even if an agreement is eventually renewed, the uncertainty inherent in short notice periods for non-renewal could affect the decision making of new car dealers in running their business. For example, </w:t>
      </w:r>
      <w:r w:rsidR="00F071AD">
        <w:rPr>
          <w:rFonts w:ascii="Arial" w:hAnsi="Arial" w:cs="Arial"/>
        </w:rPr>
        <w:t xml:space="preserve">a car dealer may choose to invest further in the business if it </w:t>
      </w:r>
      <w:r w:rsidR="0004416A">
        <w:rPr>
          <w:rFonts w:ascii="Arial" w:hAnsi="Arial" w:cs="Arial"/>
        </w:rPr>
        <w:t>has certainty</w:t>
      </w:r>
      <w:r w:rsidR="00F071AD">
        <w:rPr>
          <w:rFonts w:ascii="Arial" w:hAnsi="Arial" w:cs="Arial"/>
        </w:rPr>
        <w:t xml:space="preserve"> that the car manufacturer </w:t>
      </w:r>
      <w:r w:rsidR="0004416A">
        <w:rPr>
          <w:rFonts w:ascii="Arial" w:hAnsi="Arial" w:cs="Arial"/>
        </w:rPr>
        <w:t>will not issue a non-renewal notice six months after a major outlay of capital.</w:t>
      </w:r>
      <w:r>
        <w:rPr>
          <w:rFonts w:ascii="Arial" w:hAnsi="Arial" w:cs="Arial"/>
        </w:rPr>
        <w:t xml:space="preserve"> </w:t>
      </w:r>
    </w:p>
    <w:p w:rsidR="00CF77B6" w:rsidRPr="002D1997" w:rsidRDefault="11FF59B9" w:rsidP="0090545D">
      <w:pPr>
        <w:keepNext/>
        <w:spacing w:before="240" w:line="360" w:lineRule="auto"/>
        <w:jc w:val="both"/>
        <w:rPr>
          <w:rFonts w:ascii="Arial" w:hAnsi="Arial" w:cs="Arial"/>
          <w:i/>
          <w:iCs/>
        </w:rPr>
      </w:pPr>
      <w:r w:rsidRPr="11FF59B9">
        <w:rPr>
          <w:rFonts w:ascii="Arial" w:hAnsi="Arial" w:cs="Arial"/>
          <w:i/>
          <w:iCs/>
        </w:rPr>
        <w:t>Impact on manufacturers</w:t>
      </w:r>
    </w:p>
    <w:p w:rsidR="00CF77B6" w:rsidRDefault="11FF59B9" w:rsidP="11FF59B9">
      <w:pPr>
        <w:spacing w:before="240" w:line="360" w:lineRule="auto"/>
        <w:jc w:val="both"/>
        <w:rPr>
          <w:rFonts w:ascii="Arial" w:hAnsi="Arial" w:cs="Arial"/>
        </w:rPr>
      </w:pPr>
      <w:r w:rsidRPr="11FF59B9">
        <w:rPr>
          <w:rFonts w:ascii="Arial" w:hAnsi="Arial" w:cs="Arial"/>
        </w:rPr>
        <w:t xml:space="preserve">Having longer notice periods will require manufacturers to make decisions regarding whether to renew an agreement earlier, potentially reducing their flexibility to </w:t>
      </w:r>
      <w:r w:rsidR="00024B16">
        <w:rPr>
          <w:rFonts w:ascii="Arial" w:hAnsi="Arial" w:cs="Arial"/>
        </w:rPr>
        <w:t>not renew</w:t>
      </w:r>
      <w:r w:rsidRPr="11FF59B9">
        <w:rPr>
          <w:rFonts w:ascii="Arial" w:hAnsi="Arial" w:cs="Arial"/>
        </w:rPr>
        <w:t xml:space="preserve"> an agreement. Manufacturers will also find it more difficult to require a dealer to undertake capital expenditure during the period between 12 months and </w:t>
      </w:r>
      <w:r w:rsidR="009E28BA">
        <w:rPr>
          <w:rFonts w:ascii="Arial" w:hAnsi="Arial" w:cs="Arial"/>
        </w:rPr>
        <w:t>six</w:t>
      </w:r>
      <w:r w:rsidRPr="11FF59B9">
        <w:rPr>
          <w:rFonts w:ascii="Arial" w:hAnsi="Arial" w:cs="Arial"/>
        </w:rPr>
        <w:t xml:space="preserve"> months out from the end of the agreement when they intend </w:t>
      </w:r>
      <w:r w:rsidR="00F75F49">
        <w:rPr>
          <w:rFonts w:ascii="Arial" w:hAnsi="Arial" w:cs="Arial"/>
        </w:rPr>
        <w:t>not to</w:t>
      </w:r>
      <w:r w:rsidRPr="11FF59B9">
        <w:rPr>
          <w:rFonts w:ascii="Arial" w:hAnsi="Arial" w:cs="Arial"/>
        </w:rPr>
        <w:t xml:space="preserve"> renew the agreement</w:t>
      </w:r>
      <w:r w:rsidRPr="003D2400">
        <w:rPr>
          <w:rFonts w:ascii="Arial" w:hAnsi="Arial" w:cs="Arial"/>
        </w:rPr>
        <w:t xml:space="preserve">. </w:t>
      </w:r>
      <w:r w:rsidRPr="11FF59B9">
        <w:rPr>
          <w:rFonts w:ascii="Arial" w:hAnsi="Arial" w:cs="Arial"/>
        </w:rPr>
        <w:t xml:space="preserve">Manufacturers would still have the ability </w:t>
      </w:r>
      <w:r w:rsidR="00F6019E">
        <w:rPr>
          <w:rFonts w:ascii="Arial" w:hAnsi="Arial" w:cs="Arial"/>
        </w:rPr>
        <w:t>to set the terms of a new agreement or</w:t>
      </w:r>
      <w:r w:rsidRPr="11FF59B9">
        <w:rPr>
          <w:rFonts w:ascii="Arial" w:hAnsi="Arial" w:cs="Arial"/>
        </w:rPr>
        <w:t xml:space="preserve"> not renew </w:t>
      </w:r>
      <w:r w:rsidR="00F6019E">
        <w:rPr>
          <w:rFonts w:ascii="Arial" w:hAnsi="Arial" w:cs="Arial"/>
        </w:rPr>
        <w:t xml:space="preserve">the </w:t>
      </w:r>
      <w:r w:rsidRPr="11FF59B9">
        <w:rPr>
          <w:rFonts w:ascii="Arial" w:hAnsi="Arial" w:cs="Arial"/>
        </w:rPr>
        <w:t>agreement.</w:t>
      </w:r>
    </w:p>
    <w:p w:rsidR="00CF77B6" w:rsidRPr="00817B75" w:rsidRDefault="11FF59B9" w:rsidP="11FF59B9">
      <w:pPr>
        <w:spacing w:before="240" w:line="360" w:lineRule="auto"/>
        <w:jc w:val="both"/>
        <w:rPr>
          <w:rFonts w:ascii="Arial" w:hAnsi="Arial" w:cs="Arial"/>
          <w:i/>
          <w:iCs/>
        </w:rPr>
      </w:pPr>
      <w:r w:rsidRPr="11FF59B9">
        <w:rPr>
          <w:rFonts w:ascii="Arial" w:hAnsi="Arial" w:cs="Arial"/>
          <w:i/>
          <w:iCs/>
        </w:rPr>
        <w:t>Net benefit</w:t>
      </w:r>
    </w:p>
    <w:p w:rsidR="00CF77B6" w:rsidRDefault="11FF59B9" w:rsidP="11FF59B9">
      <w:pPr>
        <w:spacing w:before="240" w:line="360" w:lineRule="auto"/>
        <w:jc w:val="both"/>
        <w:rPr>
          <w:rFonts w:ascii="Arial" w:hAnsi="Arial" w:cs="Arial"/>
        </w:rPr>
      </w:pPr>
      <w:r w:rsidRPr="11FF59B9">
        <w:rPr>
          <w:rFonts w:ascii="Arial" w:hAnsi="Arial" w:cs="Arial"/>
        </w:rPr>
        <w:t>This option would provide car dealers with additional certainty and, where an agreement is not being renewed, provide them w</w:t>
      </w:r>
      <w:r w:rsidR="0015009D">
        <w:rPr>
          <w:rFonts w:ascii="Arial" w:hAnsi="Arial" w:cs="Arial"/>
        </w:rPr>
        <w:t>ith</w:t>
      </w:r>
      <w:r w:rsidR="00A2552B">
        <w:rPr>
          <w:rFonts w:ascii="Arial" w:hAnsi="Arial" w:cs="Arial"/>
        </w:rPr>
        <w:t xml:space="preserve"> more </w:t>
      </w:r>
      <w:r w:rsidRPr="11FF59B9">
        <w:rPr>
          <w:rFonts w:ascii="Arial" w:hAnsi="Arial" w:cs="Arial"/>
        </w:rPr>
        <w:t>time to prepare for the end of the agreement. Whilst car manufacturers would have less flexibility and have to make decisions at an earlier point in time, they would still have the ability to not renew an agreement.</w:t>
      </w:r>
      <w:r w:rsidR="0015009D">
        <w:rPr>
          <w:rFonts w:ascii="Arial" w:hAnsi="Arial" w:cs="Arial"/>
        </w:rPr>
        <w:t xml:space="preserve"> </w:t>
      </w:r>
      <w:r w:rsidR="008D017D">
        <w:rPr>
          <w:rFonts w:ascii="Arial" w:hAnsi="Arial" w:cs="Arial"/>
        </w:rPr>
        <w:t>T</w:t>
      </w:r>
      <w:r w:rsidR="0015009D">
        <w:rPr>
          <w:rFonts w:ascii="Arial" w:hAnsi="Arial" w:cs="Arial"/>
        </w:rPr>
        <w:t xml:space="preserve">he cost incurred by new car dealers, in terms of winding down a business or negotiating a new dealership agreement (particularly if there is a gap between agreements), </w:t>
      </w:r>
      <w:r w:rsidR="00507639">
        <w:rPr>
          <w:rFonts w:ascii="Arial" w:hAnsi="Arial" w:cs="Arial"/>
        </w:rPr>
        <w:t xml:space="preserve">would </w:t>
      </w:r>
      <w:r w:rsidR="008D017D">
        <w:rPr>
          <w:rFonts w:ascii="Arial" w:hAnsi="Arial" w:cs="Arial"/>
        </w:rPr>
        <w:t>outweigh the business costs incurred by car manufacturers</w:t>
      </w:r>
      <w:r w:rsidR="0015009D">
        <w:rPr>
          <w:rFonts w:ascii="Arial" w:hAnsi="Arial" w:cs="Arial"/>
        </w:rPr>
        <w:t>.</w:t>
      </w:r>
      <w:r w:rsidRPr="11FF59B9">
        <w:rPr>
          <w:rFonts w:ascii="Arial" w:hAnsi="Arial" w:cs="Arial"/>
        </w:rPr>
        <w:t xml:space="preserve"> As such, this option is expected to have a positive net benefit.</w:t>
      </w:r>
    </w:p>
    <w:p w:rsidR="007F7F96" w:rsidRPr="007F7F96" w:rsidRDefault="007F7F96" w:rsidP="11FF59B9">
      <w:pPr>
        <w:spacing w:before="240" w:line="360" w:lineRule="auto"/>
        <w:jc w:val="both"/>
        <w:rPr>
          <w:rFonts w:ascii="Arial" w:hAnsi="Arial" w:cs="Arial"/>
          <w:i/>
        </w:rPr>
      </w:pPr>
      <w:r w:rsidRPr="007F7F96">
        <w:rPr>
          <w:rFonts w:ascii="Arial" w:hAnsi="Arial" w:cs="Arial"/>
          <w:i/>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
      </w:tblPr>
      <w:tblGrid>
        <w:gridCol w:w="2128"/>
        <w:gridCol w:w="1646"/>
        <w:gridCol w:w="2170"/>
        <w:gridCol w:w="1946"/>
        <w:gridCol w:w="1574"/>
      </w:tblGrid>
      <w:tr w:rsidR="007F7F96" w:rsidRPr="00282C83" w:rsidTr="007F7F9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rsidR="007F7F96" w:rsidRPr="00282C83" w:rsidRDefault="007F7F96" w:rsidP="007F7F96">
            <w:pPr>
              <w:rPr>
                <w:rFonts w:ascii="Arial" w:hAnsi="Arial" w:cs="Arial"/>
                <w:bCs w:val="0"/>
                <w:sz w:val="20"/>
                <w:szCs w:val="20"/>
              </w:rPr>
            </w:pPr>
            <w:r>
              <w:rPr>
                <w:rFonts w:ascii="Arial" w:hAnsi="Arial" w:cs="Arial"/>
                <w:sz w:val="20"/>
                <w:szCs w:val="20"/>
              </w:rPr>
              <w:t>Total Option 2</w:t>
            </w:r>
            <w:r w:rsidR="003A4A6D">
              <w:rPr>
                <w:rFonts w:ascii="Arial" w:hAnsi="Arial" w:cs="Arial"/>
                <w:sz w:val="20"/>
                <w:szCs w:val="20"/>
              </w:rPr>
              <w:t>A</w:t>
            </w:r>
            <w:r>
              <w:rPr>
                <w:rFonts w:ascii="Arial" w:hAnsi="Arial" w:cs="Arial"/>
                <w:sz w:val="20"/>
                <w:szCs w:val="20"/>
              </w:rPr>
              <w:t xml:space="preserve"> Costs</w:t>
            </w:r>
            <w:r w:rsidRPr="00282C83">
              <w:rPr>
                <w:rFonts w:ascii="Arial" w:hAnsi="Arial" w:cs="Arial"/>
                <w:sz w:val="20"/>
                <w:szCs w:val="20"/>
              </w:rPr>
              <w:t xml:space="preserve"> - Average annual regulatory costs </w:t>
            </w:r>
            <w:r>
              <w:rPr>
                <w:rFonts w:ascii="Arial" w:hAnsi="Arial" w:cs="Arial"/>
                <w:sz w:val="20"/>
                <w:szCs w:val="20"/>
              </w:rPr>
              <w:t>(ten years)</w:t>
            </w:r>
          </w:p>
        </w:tc>
      </w:tr>
      <w:tr w:rsidR="007F7F96" w:rsidRPr="00282C83" w:rsidTr="007F7F96">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7F7F96" w:rsidRPr="00282C83" w:rsidRDefault="007F7F96" w:rsidP="007F7F96">
            <w:pPr>
              <w:pStyle w:val="TableText"/>
              <w:rPr>
                <w:b w:val="0"/>
                <w:bCs/>
              </w:rPr>
            </w:pPr>
            <w:r w:rsidRPr="00282C83">
              <w:rPr>
                <w:b w:val="0"/>
              </w:rPr>
              <w:t>Change in costs</w:t>
            </w:r>
            <w:r w:rsidRPr="00282C83">
              <w:rPr>
                <w:rFonts w:cs="Calibri"/>
                <w:b w:val="0"/>
                <w:iCs/>
              </w:rPr>
              <w:t xml:space="preserve"> ($ million)</w:t>
            </w:r>
          </w:p>
        </w:tc>
        <w:tc>
          <w:tcPr>
            <w:tcW w:w="1646" w:type="dxa"/>
            <w:noWrap/>
          </w:tcPr>
          <w:p w:rsidR="007F7F96" w:rsidRPr="00282C83"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282C83">
              <w:t>Business</w:t>
            </w:r>
          </w:p>
        </w:tc>
        <w:tc>
          <w:tcPr>
            <w:tcW w:w="2170" w:type="dxa"/>
            <w:noWrap/>
          </w:tcPr>
          <w:p w:rsidR="007F7F96" w:rsidRPr="00282C83"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Community organisations</w:t>
            </w:r>
          </w:p>
        </w:tc>
        <w:tc>
          <w:tcPr>
            <w:tcW w:w="1946" w:type="dxa"/>
            <w:noWrap/>
          </w:tcPr>
          <w:p w:rsidR="007F7F96" w:rsidRPr="00282C83"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282C83">
              <w:t>Individuals</w:t>
            </w:r>
          </w:p>
        </w:tc>
        <w:tc>
          <w:tcPr>
            <w:tcW w:w="1574" w:type="dxa"/>
            <w:noWrap/>
          </w:tcPr>
          <w:p w:rsidR="007F7F96" w:rsidRPr="00282C83"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Total change in cost</w:t>
            </w:r>
          </w:p>
        </w:tc>
      </w:tr>
      <w:tr w:rsidR="007F7F96" w:rsidRPr="00282C83" w:rsidTr="007F7F9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7F7F96" w:rsidRPr="00282C83" w:rsidRDefault="007F7F96" w:rsidP="007F7F96">
            <w:pPr>
              <w:pStyle w:val="TableText"/>
              <w:rPr>
                <w:b w:val="0"/>
                <w:bCs/>
              </w:rPr>
            </w:pPr>
            <w:r w:rsidRPr="00282C83">
              <w:rPr>
                <w:b w:val="0"/>
              </w:rPr>
              <w:t>Total, by sector</w:t>
            </w:r>
          </w:p>
        </w:tc>
        <w:tc>
          <w:tcPr>
            <w:tcW w:w="1646" w:type="dxa"/>
            <w:noWrap/>
          </w:tcPr>
          <w:p w:rsidR="007F7F96" w:rsidRPr="00282C83" w:rsidRDefault="007F7F96"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w:t>
            </w:r>
            <w:r w:rsidR="005451C6">
              <w:rPr>
                <w:rFonts w:cs="Calibri"/>
                <w:iCs/>
              </w:rPr>
              <w:t>18</w:t>
            </w:r>
          </w:p>
        </w:tc>
        <w:tc>
          <w:tcPr>
            <w:tcW w:w="2170" w:type="dxa"/>
            <w:noWrap/>
          </w:tcPr>
          <w:p w:rsidR="007F7F96" w:rsidRPr="00282C83" w:rsidRDefault="007F7F96"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rsidR="007F7F96" w:rsidRPr="00282C83" w:rsidRDefault="007F7F96"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rsidR="007F7F96" w:rsidRPr="00282C83" w:rsidRDefault="007F7F96"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w:t>
            </w:r>
            <w:r w:rsidR="005451C6">
              <w:rPr>
                <w:rFonts w:cs="Calibri"/>
                <w:iCs/>
              </w:rPr>
              <w:t>18</w:t>
            </w:r>
          </w:p>
        </w:tc>
      </w:tr>
    </w:tbl>
    <w:p w:rsidR="007F7F96" w:rsidRDefault="007F7F96" w:rsidP="007F7F96">
      <w:pPr>
        <w:spacing w:before="240" w:line="360" w:lineRule="auto"/>
        <w:jc w:val="both"/>
        <w:rPr>
          <w:rFonts w:ascii="Arial" w:hAnsi="Arial" w:cs="Arial"/>
        </w:rPr>
      </w:pPr>
      <w:r w:rsidRPr="007F7F96">
        <w:rPr>
          <w:rFonts w:ascii="Arial" w:hAnsi="Arial" w:cs="Arial"/>
        </w:rPr>
        <w:t xml:space="preserve">Regulatory burden would be incurred by </w:t>
      </w:r>
      <w:r w:rsidR="00E2100B">
        <w:rPr>
          <w:rFonts w:ascii="Arial" w:hAnsi="Arial" w:cs="Arial"/>
        </w:rPr>
        <w:t>manufacturers who would need to draft new terms in</w:t>
      </w:r>
      <w:r w:rsidR="00067CA2">
        <w:rPr>
          <w:rFonts w:ascii="Arial" w:hAnsi="Arial" w:cs="Arial"/>
        </w:rPr>
        <w:t>to agreements entered after the commencement of this option.</w:t>
      </w:r>
    </w:p>
    <w:p w:rsidR="00FF4312" w:rsidRDefault="00652B90" w:rsidP="008522F8">
      <w:pPr>
        <w:spacing w:before="240" w:line="360" w:lineRule="auto"/>
        <w:jc w:val="both"/>
        <w:rPr>
          <w:rFonts w:ascii="Arial" w:hAnsi="Arial" w:cs="Arial"/>
        </w:rPr>
      </w:pPr>
      <w:r>
        <w:rPr>
          <w:rFonts w:ascii="Arial" w:hAnsi="Arial" w:cs="Arial"/>
        </w:rPr>
        <w:t>The regulatory burden calculation assumes that it would take a lawyer one hour to draft a clause in new dealer agreements at a cost of $500 per hour. This cost would be incurred for all 3500 dealerships once.</w:t>
      </w:r>
    </w:p>
    <w:p w:rsidR="008522F8" w:rsidRDefault="008522F8" w:rsidP="008522F8">
      <w:pPr>
        <w:spacing w:before="240" w:line="360" w:lineRule="auto"/>
        <w:jc w:val="both"/>
        <w:rPr>
          <w:rFonts w:ascii="Arial" w:hAnsi="Arial" w:cs="Arial"/>
        </w:rPr>
      </w:pPr>
      <w:r>
        <w:rPr>
          <w:rFonts w:ascii="Arial" w:hAnsi="Arial" w:cs="Arial"/>
        </w:rPr>
        <w:t>The regulatory burden calculation assumes that:</w:t>
      </w:r>
    </w:p>
    <w:p w:rsidR="008522F8" w:rsidRDefault="008522F8" w:rsidP="008522F8">
      <w:pPr>
        <w:pStyle w:val="ListParagraph"/>
        <w:numPr>
          <w:ilvl w:val="0"/>
          <w:numId w:val="24"/>
        </w:numPr>
        <w:spacing w:before="240" w:line="360" w:lineRule="auto"/>
        <w:jc w:val="both"/>
        <w:rPr>
          <w:rFonts w:ascii="Arial" w:hAnsi="Arial" w:cs="Arial"/>
        </w:rPr>
      </w:pPr>
      <w:r w:rsidRPr="004B6A55">
        <w:rPr>
          <w:rFonts w:ascii="Arial" w:hAnsi="Arial" w:cs="Arial"/>
        </w:rPr>
        <w:t xml:space="preserve">it would take a lawyer </w:t>
      </w:r>
      <w:r>
        <w:rPr>
          <w:rFonts w:ascii="Arial" w:hAnsi="Arial" w:cs="Arial"/>
        </w:rPr>
        <w:t>one</w:t>
      </w:r>
      <w:r w:rsidRPr="004B6A55">
        <w:rPr>
          <w:rFonts w:ascii="Arial" w:hAnsi="Arial" w:cs="Arial"/>
        </w:rPr>
        <w:t xml:space="preserve"> hour to draft a </w:t>
      </w:r>
      <w:r>
        <w:rPr>
          <w:rFonts w:ascii="Arial" w:hAnsi="Arial" w:cs="Arial"/>
        </w:rPr>
        <w:t>new clause for each dealer agreement;</w:t>
      </w:r>
    </w:p>
    <w:p w:rsidR="008522F8" w:rsidRDefault="008522F8" w:rsidP="008522F8">
      <w:pPr>
        <w:pStyle w:val="ListParagraph"/>
        <w:numPr>
          <w:ilvl w:val="0"/>
          <w:numId w:val="24"/>
        </w:numPr>
        <w:spacing w:before="240" w:line="360" w:lineRule="auto"/>
        <w:jc w:val="both"/>
        <w:rPr>
          <w:rFonts w:ascii="Arial" w:hAnsi="Arial" w:cs="Arial"/>
        </w:rPr>
      </w:pPr>
      <w:r>
        <w:rPr>
          <w:rFonts w:ascii="Arial" w:hAnsi="Arial" w:cs="Arial"/>
        </w:rPr>
        <w:t>each agreement for all 3500 dealerships would need to be updated; and</w:t>
      </w:r>
    </w:p>
    <w:p w:rsidR="008522F8" w:rsidRDefault="008522F8" w:rsidP="008522F8">
      <w:pPr>
        <w:pStyle w:val="ListParagraph"/>
        <w:numPr>
          <w:ilvl w:val="0"/>
          <w:numId w:val="24"/>
        </w:numPr>
        <w:spacing w:before="240" w:line="360" w:lineRule="auto"/>
        <w:jc w:val="both"/>
        <w:rPr>
          <w:rFonts w:ascii="Arial" w:hAnsi="Arial" w:cs="Arial"/>
        </w:rPr>
      </w:pPr>
      <w:r>
        <w:rPr>
          <w:rFonts w:ascii="Arial" w:hAnsi="Arial" w:cs="Arial"/>
        </w:rPr>
        <w:t>the cost would be incurred once.</w:t>
      </w:r>
    </w:p>
    <w:p w:rsidR="00BD1EF5" w:rsidRPr="00BD1EF5" w:rsidRDefault="00BD1EF5" w:rsidP="00BD1EF5">
      <w:pPr>
        <w:spacing w:before="240" w:line="360" w:lineRule="auto"/>
        <w:jc w:val="both"/>
        <w:rPr>
          <w:rFonts w:ascii="Arial" w:hAnsi="Arial" w:cs="Arial"/>
        </w:rPr>
      </w:pPr>
      <w:r w:rsidRPr="00BD1EF5">
        <w:rPr>
          <w:rFonts w:ascii="Arial" w:hAnsi="Arial" w:cs="Arial"/>
        </w:rPr>
        <w:t>Q</w:t>
      </w:r>
      <w:r>
        <w:rPr>
          <w:rFonts w:ascii="Arial" w:hAnsi="Arial" w:cs="Arial"/>
        </w:rPr>
        <w:t>uestion</w:t>
      </w:r>
      <w:r w:rsidRPr="00BD1EF5">
        <w:rPr>
          <w:rFonts w:ascii="Arial" w:hAnsi="Arial" w:cs="Arial"/>
        </w:rPr>
        <w:t xml:space="preserve"> for stakeholders:</w:t>
      </w:r>
    </w:p>
    <w:p w:rsidR="00BD1EF5" w:rsidRDefault="00BD1EF5" w:rsidP="00417CA6">
      <w:pPr>
        <w:pStyle w:val="ListParagraph"/>
        <w:numPr>
          <w:ilvl w:val="0"/>
          <w:numId w:val="34"/>
        </w:numPr>
        <w:spacing w:before="240" w:line="360" w:lineRule="auto"/>
        <w:jc w:val="both"/>
        <w:rPr>
          <w:rFonts w:ascii="Arial" w:hAnsi="Arial" w:cs="Arial"/>
        </w:rPr>
      </w:pPr>
      <w:r w:rsidRPr="00BD1EF5">
        <w:rPr>
          <w:rFonts w:ascii="Arial" w:hAnsi="Arial" w:cs="Arial"/>
        </w:rPr>
        <w:t>What is standard industry practice for non-renewal</w:t>
      </w:r>
      <w:r>
        <w:rPr>
          <w:rFonts w:ascii="Arial" w:hAnsi="Arial" w:cs="Arial"/>
        </w:rPr>
        <w:t xml:space="preserve">, is it longer than the minimum </w:t>
      </w:r>
      <w:r w:rsidR="009E28BA">
        <w:rPr>
          <w:rFonts w:ascii="Arial" w:hAnsi="Arial" w:cs="Arial"/>
        </w:rPr>
        <w:t>six</w:t>
      </w:r>
      <w:r>
        <w:rPr>
          <w:rFonts w:ascii="Arial" w:hAnsi="Arial" w:cs="Arial"/>
        </w:rPr>
        <w:t xml:space="preserve"> months required under the Franchising Code</w:t>
      </w:r>
      <w:r w:rsidRPr="00BD1EF5">
        <w:rPr>
          <w:rFonts w:ascii="Arial" w:hAnsi="Arial" w:cs="Arial"/>
        </w:rPr>
        <w:t>?</w:t>
      </w:r>
    </w:p>
    <w:p w:rsidR="0027198C" w:rsidRDefault="00096D81" w:rsidP="00A341CC">
      <w:pPr>
        <w:pStyle w:val="ListParagraph"/>
        <w:numPr>
          <w:ilvl w:val="0"/>
          <w:numId w:val="34"/>
        </w:numPr>
        <w:spacing w:before="240" w:line="360" w:lineRule="auto"/>
        <w:jc w:val="both"/>
        <w:rPr>
          <w:rFonts w:ascii="Arial" w:hAnsi="Arial" w:cs="Arial"/>
        </w:rPr>
      </w:pPr>
      <w:r>
        <w:rPr>
          <w:rFonts w:ascii="Arial" w:hAnsi="Arial" w:cs="Arial"/>
        </w:rPr>
        <w:t>How long does it take to negotiate new franchise arrangements</w:t>
      </w:r>
      <w:r w:rsidR="0073743F">
        <w:rPr>
          <w:rFonts w:ascii="Arial" w:hAnsi="Arial" w:cs="Arial"/>
        </w:rPr>
        <w:t xml:space="preserve"> with a different</w:t>
      </w:r>
      <w:r w:rsidR="00175310">
        <w:rPr>
          <w:rFonts w:ascii="Arial" w:hAnsi="Arial" w:cs="Arial"/>
        </w:rPr>
        <w:t xml:space="preserve"> car manufacturer</w:t>
      </w:r>
      <w:r>
        <w:rPr>
          <w:rFonts w:ascii="Arial" w:hAnsi="Arial" w:cs="Arial"/>
        </w:rPr>
        <w:t>?</w:t>
      </w:r>
    </w:p>
    <w:p w:rsidR="00A341CC" w:rsidRDefault="008D017D" w:rsidP="00A341CC">
      <w:pPr>
        <w:pStyle w:val="ListParagraph"/>
        <w:numPr>
          <w:ilvl w:val="0"/>
          <w:numId w:val="34"/>
        </w:numPr>
        <w:spacing w:before="240" w:line="360" w:lineRule="auto"/>
        <w:jc w:val="both"/>
        <w:rPr>
          <w:rFonts w:ascii="Arial" w:hAnsi="Arial" w:cs="Arial"/>
        </w:rPr>
      </w:pPr>
      <w:r>
        <w:rPr>
          <w:rFonts w:ascii="Arial" w:hAnsi="Arial" w:cs="Arial"/>
        </w:rPr>
        <w:t>It has been put to us that 12 months</w:t>
      </w:r>
      <w:r w:rsidR="00AA00D4">
        <w:rPr>
          <w:rFonts w:ascii="Arial" w:hAnsi="Arial" w:cs="Arial"/>
        </w:rPr>
        <w:t xml:space="preserve"> is considered to be </w:t>
      </w:r>
      <w:r w:rsidR="00B676D4">
        <w:rPr>
          <w:rFonts w:ascii="Arial" w:hAnsi="Arial" w:cs="Arial"/>
        </w:rPr>
        <w:t>a more adequate l</w:t>
      </w:r>
      <w:r w:rsidR="0004416A">
        <w:rPr>
          <w:rFonts w:ascii="Arial" w:hAnsi="Arial" w:cs="Arial"/>
        </w:rPr>
        <w:t>ength of notice for non-renewal. I</w:t>
      </w:r>
      <w:r w:rsidR="00A341CC">
        <w:rPr>
          <w:rFonts w:ascii="Arial" w:hAnsi="Arial" w:cs="Arial"/>
        </w:rPr>
        <w:t xml:space="preserve">s </w:t>
      </w:r>
      <w:r w:rsidR="0004416A">
        <w:rPr>
          <w:rFonts w:ascii="Arial" w:hAnsi="Arial" w:cs="Arial"/>
        </w:rPr>
        <w:t xml:space="preserve">this optimal or is </w:t>
      </w:r>
      <w:r w:rsidR="00A341CC">
        <w:rPr>
          <w:rFonts w:ascii="Arial" w:hAnsi="Arial" w:cs="Arial"/>
        </w:rPr>
        <w:t>there a more optimal period of notice for non-renewal?</w:t>
      </w:r>
    </w:p>
    <w:p w:rsidR="00B676D4" w:rsidRDefault="00507639" w:rsidP="00A341CC">
      <w:pPr>
        <w:pStyle w:val="ListParagraph"/>
        <w:numPr>
          <w:ilvl w:val="0"/>
          <w:numId w:val="34"/>
        </w:numPr>
        <w:spacing w:before="240" w:line="360" w:lineRule="auto"/>
        <w:jc w:val="both"/>
        <w:rPr>
          <w:rFonts w:ascii="Arial" w:hAnsi="Arial" w:cs="Arial"/>
        </w:rPr>
      </w:pPr>
      <w:r>
        <w:rPr>
          <w:rFonts w:ascii="Arial" w:hAnsi="Arial" w:cs="Arial"/>
        </w:rPr>
        <w:t xml:space="preserve">Would </w:t>
      </w:r>
      <w:r w:rsidR="00B676D4">
        <w:rPr>
          <w:rFonts w:ascii="Arial" w:hAnsi="Arial" w:cs="Arial"/>
        </w:rPr>
        <w:t xml:space="preserve">the benefit to car dealers </w:t>
      </w:r>
      <w:r>
        <w:rPr>
          <w:rFonts w:ascii="Arial" w:hAnsi="Arial" w:cs="Arial"/>
        </w:rPr>
        <w:t>of an extra six months’</w:t>
      </w:r>
      <w:r w:rsidR="00B676D4">
        <w:rPr>
          <w:rFonts w:ascii="Arial" w:hAnsi="Arial" w:cs="Arial"/>
        </w:rPr>
        <w:t xml:space="preserve"> </w:t>
      </w:r>
      <w:r>
        <w:rPr>
          <w:rFonts w:ascii="Arial" w:hAnsi="Arial" w:cs="Arial"/>
        </w:rPr>
        <w:t>notice outweigh</w:t>
      </w:r>
      <w:r w:rsidR="00B676D4">
        <w:rPr>
          <w:rFonts w:ascii="Arial" w:hAnsi="Arial" w:cs="Arial"/>
        </w:rPr>
        <w:t xml:space="preserve"> the costs to manufacturers of having to make business decisions further out than the prescribed six months? Why/Why not?</w:t>
      </w:r>
    </w:p>
    <w:p w:rsidR="0027198C" w:rsidRDefault="00625888" w:rsidP="00417CA6">
      <w:pPr>
        <w:pStyle w:val="ListParagraph"/>
        <w:numPr>
          <w:ilvl w:val="0"/>
          <w:numId w:val="34"/>
        </w:numPr>
        <w:spacing w:before="240" w:line="360" w:lineRule="auto"/>
        <w:jc w:val="both"/>
        <w:rPr>
          <w:rFonts w:ascii="Arial" w:hAnsi="Arial" w:cs="Arial"/>
        </w:rPr>
      </w:pPr>
      <w:r>
        <w:rPr>
          <w:rFonts w:ascii="Arial" w:hAnsi="Arial" w:cs="Arial"/>
        </w:rPr>
        <w:t xml:space="preserve">Would </w:t>
      </w:r>
      <w:proofErr w:type="spellStart"/>
      <w:r>
        <w:rPr>
          <w:rFonts w:ascii="Arial" w:hAnsi="Arial" w:cs="Arial"/>
        </w:rPr>
        <w:t>increased</w:t>
      </w:r>
      <w:proofErr w:type="spellEnd"/>
      <w:r>
        <w:rPr>
          <w:rFonts w:ascii="Arial" w:hAnsi="Arial" w:cs="Arial"/>
        </w:rPr>
        <w:t xml:space="preserve"> education and awareness of existing pre</w:t>
      </w:r>
      <w:r>
        <w:rPr>
          <w:rFonts w:ascii="Arial" w:hAnsi="Arial" w:cs="Arial"/>
        </w:rPr>
        <w:noBreakHyphen/>
        <w:t>disclosure and notice periods for non</w:t>
      </w:r>
      <w:r>
        <w:rPr>
          <w:rFonts w:ascii="Arial" w:hAnsi="Arial" w:cs="Arial"/>
        </w:rPr>
        <w:noBreakHyphen/>
        <w:t>renewal support dealers undertake their due diligence and highlight the risks of non-renewal?</w:t>
      </w:r>
    </w:p>
    <w:p w:rsidR="003D2400" w:rsidRPr="00DD1FDD" w:rsidRDefault="003D297F" w:rsidP="004C651F">
      <w:pPr>
        <w:keepNext/>
        <w:spacing w:before="240" w:line="360" w:lineRule="auto"/>
        <w:jc w:val="both"/>
        <w:rPr>
          <w:rFonts w:ascii="Arial" w:hAnsi="Arial" w:cs="Arial"/>
          <w:b/>
          <w:bCs/>
        </w:rPr>
      </w:pPr>
      <w:r w:rsidRPr="00DD1FDD">
        <w:rPr>
          <w:rFonts w:ascii="Arial" w:hAnsi="Arial" w:cs="Arial"/>
          <w:b/>
        </w:rPr>
        <w:t>Option 2B – Franchisors to provide reasons for non-renewa</w:t>
      </w:r>
      <w:r w:rsidR="003D2400" w:rsidRPr="00DD1FDD">
        <w:rPr>
          <w:rFonts w:ascii="Arial" w:hAnsi="Arial" w:cs="Arial"/>
          <w:b/>
        </w:rPr>
        <w:t>l</w:t>
      </w:r>
    </w:p>
    <w:p w:rsidR="00010A83" w:rsidRDefault="00DD1FDD" w:rsidP="00DD1FDD">
      <w:pPr>
        <w:spacing w:before="240" w:line="360" w:lineRule="auto"/>
        <w:jc w:val="both"/>
        <w:rPr>
          <w:rFonts w:ascii="Arial" w:hAnsi="Arial" w:cs="Arial"/>
        </w:rPr>
      </w:pPr>
      <w:r w:rsidRPr="00DD1FDD">
        <w:rPr>
          <w:rFonts w:ascii="Arial" w:hAnsi="Arial" w:cs="Arial"/>
        </w:rPr>
        <w:t xml:space="preserve">Unlike termination for breach, a manufacturer is not required by the Franchising Code to provide a dealer with reasons for issuing a non-renewal notice. </w:t>
      </w:r>
      <w:r w:rsidR="00010A83">
        <w:rPr>
          <w:rFonts w:ascii="Arial" w:hAnsi="Arial" w:cs="Arial"/>
        </w:rPr>
        <w:t xml:space="preserve">To support the existing obligation under the Franchising Code for parties to a franchise agreement to behave in good faith, this option would involve amending the Franchising Code to provide that franchisors must provide reasons for non-renewal. </w:t>
      </w:r>
    </w:p>
    <w:p w:rsidR="003D2400" w:rsidRPr="00010A83" w:rsidRDefault="003D2400" w:rsidP="00DD1FDD">
      <w:pPr>
        <w:spacing w:before="240" w:line="360" w:lineRule="auto"/>
        <w:jc w:val="both"/>
        <w:rPr>
          <w:rFonts w:ascii="Arial" w:hAnsi="Arial" w:cs="Arial"/>
          <w:i/>
        </w:rPr>
      </w:pPr>
      <w:r w:rsidRPr="00010A83">
        <w:rPr>
          <w:rFonts w:ascii="Arial" w:hAnsi="Arial" w:cs="Arial"/>
          <w:i/>
        </w:rPr>
        <w:t>Impact on car dealers</w:t>
      </w:r>
    </w:p>
    <w:p w:rsidR="003D2400" w:rsidRDefault="00010A83" w:rsidP="00010A83">
      <w:pPr>
        <w:spacing w:before="240" w:line="360" w:lineRule="auto"/>
        <w:jc w:val="both"/>
        <w:rPr>
          <w:rFonts w:ascii="Arial" w:hAnsi="Arial" w:cs="Arial"/>
        </w:rPr>
      </w:pPr>
      <w:r>
        <w:rPr>
          <w:rFonts w:ascii="Arial" w:hAnsi="Arial" w:cs="Arial"/>
        </w:rPr>
        <w:t xml:space="preserve">This option would make it easier for a </w:t>
      </w:r>
      <w:r w:rsidRPr="00010A83">
        <w:rPr>
          <w:rFonts w:ascii="Arial" w:hAnsi="Arial" w:cs="Arial"/>
        </w:rPr>
        <w:t>dealer to assess whether the manufacturer has exercised its right to issue a n</w:t>
      </w:r>
      <w:r>
        <w:rPr>
          <w:rFonts w:ascii="Arial" w:hAnsi="Arial" w:cs="Arial"/>
        </w:rPr>
        <w:t xml:space="preserve">on-renewal notice in good faith, with a duty of good faith being an existing requirement under </w:t>
      </w:r>
      <w:r w:rsidRPr="00010A83">
        <w:rPr>
          <w:rFonts w:ascii="Arial" w:hAnsi="Arial" w:cs="Arial"/>
        </w:rPr>
        <w:t xml:space="preserve">the Franchising Code. </w:t>
      </w:r>
    </w:p>
    <w:p w:rsidR="00010A83" w:rsidRPr="00DD1FDD" w:rsidRDefault="00010A83" w:rsidP="00010A83">
      <w:pPr>
        <w:spacing w:before="240" w:line="360" w:lineRule="auto"/>
        <w:jc w:val="both"/>
        <w:rPr>
          <w:rFonts w:ascii="Arial" w:hAnsi="Arial" w:cs="Arial"/>
        </w:rPr>
      </w:pPr>
      <w:r>
        <w:rPr>
          <w:rFonts w:ascii="Arial" w:hAnsi="Arial" w:cs="Arial"/>
        </w:rPr>
        <w:t xml:space="preserve">While this option by itself would not address the other issues faced by dealers upon non-renewal, such as organising their affairs and looking for alternative dealership agreements, it would be conducive to building a better dialogue between the parties to the franchise agreement to enable dispute resolution on end of term arrangements. </w:t>
      </w:r>
    </w:p>
    <w:p w:rsidR="003D2400" w:rsidRPr="00010A83" w:rsidRDefault="003D2400" w:rsidP="00DD1FDD">
      <w:pPr>
        <w:spacing w:before="240" w:line="360" w:lineRule="auto"/>
        <w:jc w:val="both"/>
        <w:rPr>
          <w:rFonts w:ascii="Arial" w:hAnsi="Arial" w:cs="Arial"/>
          <w:i/>
        </w:rPr>
      </w:pPr>
      <w:r w:rsidRPr="00010A83">
        <w:rPr>
          <w:rFonts w:ascii="Arial" w:hAnsi="Arial" w:cs="Arial"/>
          <w:i/>
        </w:rPr>
        <w:t>Impact on manufacturers</w:t>
      </w:r>
    </w:p>
    <w:p w:rsidR="003D2400" w:rsidRPr="00DD1FDD" w:rsidRDefault="00010A83" w:rsidP="00DD1FDD">
      <w:pPr>
        <w:spacing w:before="240" w:line="360" w:lineRule="auto"/>
        <w:jc w:val="both"/>
        <w:rPr>
          <w:rFonts w:ascii="Arial" w:hAnsi="Arial" w:cs="Arial"/>
        </w:rPr>
      </w:pPr>
      <w:r>
        <w:rPr>
          <w:rFonts w:ascii="Arial" w:hAnsi="Arial" w:cs="Arial"/>
        </w:rPr>
        <w:t>This option would hold m</w:t>
      </w:r>
      <w:r w:rsidR="003D2400" w:rsidRPr="00DD1FDD">
        <w:rPr>
          <w:rFonts w:ascii="Arial" w:hAnsi="Arial" w:cs="Arial"/>
        </w:rPr>
        <w:t xml:space="preserve">anufacturers </w:t>
      </w:r>
      <w:r>
        <w:rPr>
          <w:rFonts w:ascii="Arial" w:hAnsi="Arial" w:cs="Arial"/>
        </w:rPr>
        <w:t xml:space="preserve">to greater </w:t>
      </w:r>
      <w:r w:rsidR="00507639">
        <w:rPr>
          <w:rFonts w:ascii="Arial" w:hAnsi="Arial" w:cs="Arial"/>
        </w:rPr>
        <w:t xml:space="preserve">legal </w:t>
      </w:r>
      <w:r>
        <w:rPr>
          <w:rFonts w:ascii="Arial" w:hAnsi="Arial" w:cs="Arial"/>
        </w:rPr>
        <w:t>account on their decision to not renew franchise agreements</w:t>
      </w:r>
      <w:r w:rsidR="007D457C">
        <w:rPr>
          <w:rFonts w:ascii="Arial" w:hAnsi="Arial" w:cs="Arial"/>
        </w:rPr>
        <w:t>, which may lead them to incur compliance costs</w:t>
      </w:r>
      <w:r w:rsidR="00507639">
        <w:rPr>
          <w:rFonts w:ascii="Arial" w:hAnsi="Arial" w:cs="Arial"/>
        </w:rPr>
        <w:t xml:space="preserve"> if they are found to be acting contrary to their legal obligations</w:t>
      </w:r>
      <w:r w:rsidR="007D457C">
        <w:rPr>
          <w:rFonts w:ascii="Arial" w:hAnsi="Arial" w:cs="Arial"/>
        </w:rPr>
        <w:t>.</w:t>
      </w:r>
      <w:r>
        <w:rPr>
          <w:rFonts w:ascii="Arial" w:hAnsi="Arial" w:cs="Arial"/>
        </w:rPr>
        <w:t xml:space="preserve"> </w:t>
      </w:r>
      <w:r w:rsidR="007D457C">
        <w:rPr>
          <w:rFonts w:ascii="Arial" w:hAnsi="Arial" w:cs="Arial"/>
        </w:rPr>
        <w:t xml:space="preserve">However, providing </w:t>
      </w:r>
      <w:r w:rsidR="001C0179">
        <w:rPr>
          <w:rFonts w:ascii="Arial" w:hAnsi="Arial" w:cs="Arial"/>
        </w:rPr>
        <w:t>reasons</w:t>
      </w:r>
      <w:r>
        <w:rPr>
          <w:rFonts w:ascii="Arial" w:hAnsi="Arial" w:cs="Arial"/>
        </w:rPr>
        <w:t xml:space="preserve"> may also benefit them if it results in speedier dispute resolution through a better dialogue with their franchisees. </w:t>
      </w:r>
    </w:p>
    <w:p w:rsidR="003D2400" w:rsidRPr="00010A83" w:rsidRDefault="003D2400" w:rsidP="00DD1FDD">
      <w:pPr>
        <w:spacing w:before="240" w:line="360" w:lineRule="auto"/>
        <w:jc w:val="both"/>
        <w:rPr>
          <w:rFonts w:ascii="Arial" w:hAnsi="Arial" w:cs="Arial"/>
          <w:i/>
        </w:rPr>
      </w:pPr>
      <w:r w:rsidRPr="00010A83">
        <w:rPr>
          <w:rFonts w:ascii="Arial" w:hAnsi="Arial" w:cs="Arial"/>
          <w:i/>
        </w:rPr>
        <w:t>Net benefit</w:t>
      </w:r>
    </w:p>
    <w:p w:rsidR="003D2400" w:rsidRDefault="003D2400" w:rsidP="00DD1FDD">
      <w:pPr>
        <w:spacing w:before="240" w:line="360" w:lineRule="auto"/>
        <w:jc w:val="both"/>
        <w:rPr>
          <w:rFonts w:ascii="Arial" w:hAnsi="Arial" w:cs="Arial"/>
        </w:rPr>
      </w:pPr>
      <w:r w:rsidRPr="00DD1FDD">
        <w:rPr>
          <w:rFonts w:ascii="Arial" w:hAnsi="Arial" w:cs="Arial"/>
        </w:rPr>
        <w:t>This option would provide car dealers with additional certainty</w:t>
      </w:r>
      <w:r w:rsidR="00BA2DBB">
        <w:rPr>
          <w:rFonts w:ascii="Arial" w:hAnsi="Arial" w:cs="Arial"/>
        </w:rPr>
        <w:t xml:space="preserve"> about good faith dealings by their franchisors and could assist with dispute resolution</w:t>
      </w:r>
      <w:r w:rsidRPr="00DD1FDD">
        <w:rPr>
          <w:rFonts w:ascii="Arial" w:hAnsi="Arial" w:cs="Arial"/>
        </w:rPr>
        <w:t xml:space="preserve"> where an agreement is not being renewed. </w:t>
      </w:r>
      <w:r w:rsidR="00CD7B60">
        <w:rPr>
          <w:rFonts w:ascii="Arial" w:hAnsi="Arial" w:cs="Arial"/>
        </w:rPr>
        <w:t>C</w:t>
      </w:r>
      <w:r w:rsidRPr="00DD1FDD">
        <w:rPr>
          <w:rFonts w:ascii="Arial" w:hAnsi="Arial" w:cs="Arial"/>
        </w:rPr>
        <w:t>ar manufacturers</w:t>
      </w:r>
      <w:r w:rsidR="00BA2DBB">
        <w:rPr>
          <w:rFonts w:ascii="Arial" w:hAnsi="Arial" w:cs="Arial"/>
        </w:rPr>
        <w:t xml:space="preserve"> would be held to greater</w:t>
      </w:r>
      <w:r w:rsidR="0007294E">
        <w:rPr>
          <w:rFonts w:ascii="Arial" w:hAnsi="Arial" w:cs="Arial"/>
        </w:rPr>
        <w:t xml:space="preserve"> </w:t>
      </w:r>
      <w:r w:rsidR="00CD7B60">
        <w:rPr>
          <w:rFonts w:ascii="Arial" w:hAnsi="Arial" w:cs="Arial"/>
        </w:rPr>
        <w:t xml:space="preserve">legal </w:t>
      </w:r>
      <w:r w:rsidR="00BA2DBB">
        <w:rPr>
          <w:rFonts w:ascii="Arial" w:hAnsi="Arial" w:cs="Arial"/>
        </w:rPr>
        <w:t>account and</w:t>
      </w:r>
      <w:r w:rsidR="00CD7B60">
        <w:rPr>
          <w:rFonts w:ascii="Arial" w:hAnsi="Arial" w:cs="Arial"/>
        </w:rPr>
        <w:t xml:space="preserve"> would</w:t>
      </w:r>
      <w:r w:rsidR="00BA2DBB">
        <w:rPr>
          <w:rFonts w:ascii="Arial" w:hAnsi="Arial" w:cs="Arial"/>
        </w:rPr>
        <w:t xml:space="preserve"> need to take time</w:t>
      </w:r>
      <w:r w:rsidR="00CD7B60">
        <w:rPr>
          <w:rFonts w:ascii="Arial" w:hAnsi="Arial" w:cs="Arial"/>
        </w:rPr>
        <w:t xml:space="preserve">, and incur costs, </w:t>
      </w:r>
      <w:r w:rsidR="00BA2DBB">
        <w:rPr>
          <w:rFonts w:ascii="Arial" w:hAnsi="Arial" w:cs="Arial"/>
        </w:rPr>
        <w:t>to provide reasons for non-renewal</w:t>
      </w:r>
      <w:r w:rsidR="00CD7B60">
        <w:rPr>
          <w:rFonts w:ascii="Arial" w:hAnsi="Arial" w:cs="Arial"/>
        </w:rPr>
        <w:t>.</w:t>
      </w:r>
      <w:r w:rsidR="0007294E">
        <w:rPr>
          <w:rFonts w:ascii="Arial" w:hAnsi="Arial" w:cs="Arial"/>
        </w:rPr>
        <w:t xml:space="preserve"> </w:t>
      </w:r>
      <w:r w:rsidR="00CD7B60">
        <w:rPr>
          <w:rFonts w:ascii="Arial" w:hAnsi="Arial" w:cs="Arial"/>
        </w:rPr>
        <w:t xml:space="preserve">However, a manufacturer would still be able to not renew a contract and the benefit to the car dealer in </w:t>
      </w:r>
      <w:r w:rsidR="00507639">
        <w:rPr>
          <w:rFonts w:ascii="Arial" w:hAnsi="Arial" w:cs="Arial"/>
        </w:rPr>
        <w:t xml:space="preserve">gaining assurance </w:t>
      </w:r>
      <w:r w:rsidR="00CD7B60">
        <w:rPr>
          <w:rFonts w:ascii="Arial" w:hAnsi="Arial" w:cs="Arial"/>
        </w:rPr>
        <w:t xml:space="preserve">that the car manufacturer has exercised its decision in good faith would </w:t>
      </w:r>
      <w:r w:rsidR="00507639">
        <w:rPr>
          <w:rFonts w:ascii="Arial" w:hAnsi="Arial" w:cs="Arial"/>
        </w:rPr>
        <w:t xml:space="preserve">likely </w:t>
      </w:r>
      <w:r w:rsidR="00CD7B60">
        <w:rPr>
          <w:rFonts w:ascii="Arial" w:hAnsi="Arial" w:cs="Arial"/>
        </w:rPr>
        <w:t xml:space="preserve">outweigh the possible detriment to the manufacturer. </w:t>
      </w:r>
      <w:r w:rsidRPr="00DD1FDD">
        <w:rPr>
          <w:rFonts w:ascii="Arial" w:hAnsi="Arial" w:cs="Arial"/>
        </w:rPr>
        <w:t>As such, this option is expected to have a positive net benefit.</w:t>
      </w:r>
    </w:p>
    <w:p w:rsidR="005B7BC5" w:rsidRPr="007F7F96" w:rsidRDefault="005B7BC5" w:rsidP="000C07AF">
      <w:pPr>
        <w:keepNext/>
        <w:spacing w:before="240" w:line="360" w:lineRule="auto"/>
        <w:jc w:val="both"/>
        <w:rPr>
          <w:rFonts w:ascii="Arial" w:hAnsi="Arial" w:cs="Arial"/>
          <w:i/>
        </w:rPr>
      </w:pPr>
      <w:r w:rsidRPr="007F7F96">
        <w:rPr>
          <w:rFonts w:ascii="Arial" w:hAnsi="Arial" w:cs="Arial"/>
          <w:i/>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
      </w:tblPr>
      <w:tblGrid>
        <w:gridCol w:w="2128"/>
        <w:gridCol w:w="1646"/>
        <w:gridCol w:w="2170"/>
        <w:gridCol w:w="1946"/>
        <w:gridCol w:w="1574"/>
      </w:tblGrid>
      <w:tr w:rsidR="005B7BC5" w:rsidRPr="00282C83" w:rsidTr="009F7C6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rsidR="005B7BC5" w:rsidRPr="00282C83" w:rsidRDefault="005B7BC5" w:rsidP="001D6842">
            <w:pPr>
              <w:keepNext/>
              <w:rPr>
                <w:rFonts w:ascii="Arial" w:hAnsi="Arial" w:cs="Arial"/>
                <w:bCs w:val="0"/>
                <w:sz w:val="20"/>
                <w:szCs w:val="20"/>
              </w:rPr>
            </w:pPr>
            <w:r>
              <w:rPr>
                <w:rFonts w:ascii="Arial" w:hAnsi="Arial" w:cs="Arial"/>
                <w:sz w:val="20"/>
                <w:szCs w:val="20"/>
              </w:rPr>
              <w:t>Total Option 2</w:t>
            </w:r>
            <w:r w:rsidR="003A4A6D">
              <w:rPr>
                <w:rFonts w:ascii="Arial" w:hAnsi="Arial" w:cs="Arial"/>
                <w:sz w:val="20"/>
                <w:szCs w:val="20"/>
              </w:rPr>
              <w:t>B</w:t>
            </w:r>
            <w:r>
              <w:rPr>
                <w:rFonts w:ascii="Arial" w:hAnsi="Arial" w:cs="Arial"/>
                <w:sz w:val="20"/>
                <w:szCs w:val="20"/>
              </w:rPr>
              <w:t xml:space="preserve"> Costs</w:t>
            </w:r>
            <w:r w:rsidRPr="00282C83">
              <w:rPr>
                <w:rFonts w:ascii="Arial" w:hAnsi="Arial" w:cs="Arial"/>
                <w:sz w:val="20"/>
                <w:szCs w:val="20"/>
              </w:rPr>
              <w:t xml:space="preserve"> - Average annual regulatory costs </w:t>
            </w:r>
            <w:r>
              <w:rPr>
                <w:rFonts w:ascii="Arial" w:hAnsi="Arial" w:cs="Arial"/>
                <w:sz w:val="20"/>
                <w:szCs w:val="20"/>
              </w:rPr>
              <w:t>(ten years)</w:t>
            </w:r>
          </w:p>
        </w:tc>
      </w:tr>
      <w:tr w:rsidR="005B7BC5" w:rsidRPr="00282C83" w:rsidTr="009F7C60">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5B7BC5" w:rsidRPr="00282C83" w:rsidRDefault="005B7BC5" w:rsidP="001D6842">
            <w:pPr>
              <w:pStyle w:val="TableText"/>
              <w:keepNext/>
              <w:rPr>
                <w:b w:val="0"/>
                <w:bCs/>
              </w:rPr>
            </w:pPr>
            <w:r w:rsidRPr="00282C83">
              <w:rPr>
                <w:b w:val="0"/>
              </w:rPr>
              <w:t>Change in costs</w:t>
            </w:r>
            <w:r w:rsidRPr="00282C83">
              <w:rPr>
                <w:rFonts w:cs="Calibri"/>
                <w:b w:val="0"/>
                <w:iCs/>
              </w:rPr>
              <w:t xml:space="preserve"> ($ million)</w:t>
            </w:r>
          </w:p>
        </w:tc>
        <w:tc>
          <w:tcPr>
            <w:tcW w:w="1646" w:type="dxa"/>
            <w:noWrap/>
          </w:tcPr>
          <w:p w:rsidR="005B7BC5" w:rsidRPr="00282C83" w:rsidRDefault="005B7BC5" w:rsidP="001D6842">
            <w:pPr>
              <w:pStyle w:val="TableText"/>
              <w:keepNext/>
              <w:cnfStyle w:val="000000000000" w:firstRow="0" w:lastRow="0" w:firstColumn="0" w:lastColumn="0" w:oddVBand="0" w:evenVBand="0" w:oddHBand="0" w:evenHBand="0" w:firstRowFirstColumn="0" w:firstRowLastColumn="0" w:lastRowFirstColumn="0" w:lastRowLastColumn="0"/>
            </w:pPr>
            <w:r w:rsidRPr="00282C83">
              <w:t>Business</w:t>
            </w:r>
          </w:p>
        </w:tc>
        <w:tc>
          <w:tcPr>
            <w:tcW w:w="2170" w:type="dxa"/>
            <w:noWrap/>
          </w:tcPr>
          <w:p w:rsidR="005B7BC5" w:rsidRPr="00282C83" w:rsidRDefault="005B7BC5" w:rsidP="001D6842">
            <w:pPr>
              <w:pStyle w:val="TableText"/>
              <w:keepNext/>
              <w:cnfStyle w:val="000000000000" w:firstRow="0" w:lastRow="0" w:firstColumn="0" w:lastColumn="0" w:oddVBand="0" w:evenVBand="0" w:oddHBand="0" w:evenHBand="0" w:firstRowFirstColumn="0" w:firstRowLastColumn="0" w:lastRowFirstColumn="0" w:lastRowLastColumn="0"/>
            </w:pPr>
            <w:r w:rsidRPr="00282C83">
              <w:rPr>
                <w:rFonts w:cs="Calibri"/>
                <w:iCs/>
              </w:rPr>
              <w:t>Community organisations</w:t>
            </w:r>
          </w:p>
        </w:tc>
        <w:tc>
          <w:tcPr>
            <w:tcW w:w="1946" w:type="dxa"/>
            <w:noWrap/>
          </w:tcPr>
          <w:p w:rsidR="005B7BC5" w:rsidRPr="00282C83" w:rsidRDefault="005B7BC5" w:rsidP="001D6842">
            <w:pPr>
              <w:pStyle w:val="TableText"/>
              <w:keepNext/>
              <w:cnfStyle w:val="000000000000" w:firstRow="0" w:lastRow="0" w:firstColumn="0" w:lastColumn="0" w:oddVBand="0" w:evenVBand="0" w:oddHBand="0" w:evenHBand="0" w:firstRowFirstColumn="0" w:firstRowLastColumn="0" w:lastRowFirstColumn="0" w:lastRowLastColumn="0"/>
            </w:pPr>
            <w:r w:rsidRPr="00282C83">
              <w:t>Individuals</w:t>
            </w:r>
          </w:p>
        </w:tc>
        <w:tc>
          <w:tcPr>
            <w:tcW w:w="1574" w:type="dxa"/>
            <w:noWrap/>
          </w:tcPr>
          <w:p w:rsidR="005B7BC5" w:rsidRPr="00282C83" w:rsidRDefault="005B7BC5" w:rsidP="001D6842">
            <w:pPr>
              <w:pStyle w:val="TableText"/>
              <w:keepNext/>
              <w:cnfStyle w:val="000000000000" w:firstRow="0" w:lastRow="0" w:firstColumn="0" w:lastColumn="0" w:oddVBand="0" w:evenVBand="0" w:oddHBand="0" w:evenHBand="0" w:firstRowFirstColumn="0" w:firstRowLastColumn="0" w:lastRowFirstColumn="0" w:lastRowLastColumn="0"/>
            </w:pPr>
            <w:r w:rsidRPr="00282C83">
              <w:rPr>
                <w:rFonts w:cs="Calibri"/>
                <w:iCs/>
              </w:rPr>
              <w:t>Total change in cost</w:t>
            </w:r>
          </w:p>
        </w:tc>
      </w:tr>
      <w:tr w:rsidR="005B7BC5" w:rsidRPr="00282C83" w:rsidTr="009F7C6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5B7BC5" w:rsidRPr="00282C83" w:rsidRDefault="005B7BC5" w:rsidP="001D6842">
            <w:pPr>
              <w:pStyle w:val="TableText"/>
              <w:keepNext/>
              <w:rPr>
                <w:b w:val="0"/>
                <w:bCs/>
              </w:rPr>
            </w:pPr>
            <w:r w:rsidRPr="00282C83">
              <w:rPr>
                <w:b w:val="0"/>
              </w:rPr>
              <w:t>Total, by sector</w:t>
            </w:r>
          </w:p>
        </w:tc>
        <w:tc>
          <w:tcPr>
            <w:tcW w:w="1646" w:type="dxa"/>
            <w:noWrap/>
          </w:tcPr>
          <w:p w:rsidR="005B7BC5" w:rsidRPr="00282C83" w:rsidRDefault="005B7BC5" w:rsidP="001D6842">
            <w:pPr>
              <w:pStyle w:val="TableText"/>
              <w:keepN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w:t>
            </w:r>
            <w:r w:rsidR="00652B90">
              <w:rPr>
                <w:rFonts w:cs="Calibri"/>
                <w:iCs/>
              </w:rPr>
              <w:t>0</w:t>
            </w:r>
            <w:r w:rsidR="008522F8">
              <w:rPr>
                <w:rFonts w:cs="Calibri"/>
                <w:iCs/>
              </w:rPr>
              <w:t>0</w:t>
            </w:r>
            <w:r w:rsidR="000C07AF">
              <w:rPr>
                <w:rFonts w:cs="Calibri"/>
                <w:iCs/>
              </w:rPr>
              <w:t>*</w:t>
            </w:r>
          </w:p>
        </w:tc>
        <w:tc>
          <w:tcPr>
            <w:tcW w:w="2170" w:type="dxa"/>
            <w:noWrap/>
          </w:tcPr>
          <w:p w:rsidR="005B7BC5" w:rsidRPr="00282C83" w:rsidRDefault="005B7BC5" w:rsidP="001D6842">
            <w:pPr>
              <w:pStyle w:val="TableText"/>
              <w:keepN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rsidR="005B7BC5" w:rsidRPr="00282C83" w:rsidRDefault="005B7BC5" w:rsidP="001D6842">
            <w:pPr>
              <w:pStyle w:val="TableText"/>
              <w:keepN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rsidR="005B7BC5" w:rsidRPr="00282C83" w:rsidRDefault="005B7BC5" w:rsidP="001D6842">
            <w:pPr>
              <w:pStyle w:val="TableText"/>
              <w:keepN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w:t>
            </w:r>
            <w:r w:rsidR="00652B90">
              <w:rPr>
                <w:rFonts w:cs="Calibri"/>
                <w:iCs/>
              </w:rPr>
              <w:t>0</w:t>
            </w:r>
            <w:r w:rsidR="008522F8">
              <w:rPr>
                <w:rFonts w:cs="Calibri"/>
                <w:iCs/>
              </w:rPr>
              <w:t>0</w:t>
            </w:r>
            <w:r w:rsidR="000C07AF">
              <w:rPr>
                <w:rFonts w:cs="Calibri"/>
                <w:iCs/>
              </w:rPr>
              <w:t>*</w:t>
            </w:r>
          </w:p>
        </w:tc>
      </w:tr>
    </w:tbl>
    <w:p w:rsidR="000C07AF" w:rsidRPr="001D6842" w:rsidRDefault="000C07AF" w:rsidP="001D6842">
      <w:pPr>
        <w:keepNext/>
        <w:spacing w:before="120" w:line="360" w:lineRule="auto"/>
        <w:jc w:val="both"/>
        <w:rPr>
          <w:rFonts w:ascii="Arial" w:hAnsi="Arial" w:cs="Arial"/>
          <w:sz w:val="18"/>
        </w:rPr>
      </w:pPr>
      <w:r w:rsidRPr="001D6842">
        <w:rPr>
          <w:rFonts w:ascii="Arial" w:hAnsi="Arial" w:cs="Arial"/>
          <w:sz w:val="18"/>
        </w:rPr>
        <w:t>*</w:t>
      </w:r>
      <w:r>
        <w:rPr>
          <w:rFonts w:ascii="Arial" w:hAnsi="Arial" w:cs="Arial"/>
          <w:sz w:val="18"/>
        </w:rPr>
        <w:t xml:space="preserve">Figure </w:t>
      </w:r>
      <w:r w:rsidRPr="000C07AF">
        <w:rPr>
          <w:rFonts w:ascii="Arial" w:hAnsi="Arial" w:cs="Arial"/>
          <w:sz w:val="18"/>
        </w:rPr>
        <w:t>rounds to zero</w:t>
      </w:r>
      <w:r>
        <w:rPr>
          <w:rFonts w:ascii="Arial" w:hAnsi="Arial" w:cs="Arial"/>
          <w:sz w:val="18"/>
        </w:rPr>
        <w:t>. Actual amount</w:t>
      </w:r>
      <w:r w:rsidRPr="001D6842">
        <w:rPr>
          <w:rFonts w:ascii="Arial" w:hAnsi="Arial" w:cs="Arial"/>
          <w:sz w:val="18"/>
        </w:rPr>
        <w:t xml:space="preserve"> is $5,000 per year.</w:t>
      </w:r>
    </w:p>
    <w:p w:rsidR="007F7F96" w:rsidRDefault="003D2400" w:rsidP="001D6842">
      <w:pPr>
        <w:keepNext/>
        <w:spacing w:before="240" w:line="360" w:lineRule="auto"/>
        <w:jc w:val="both"/>
        <w:rPr>
          <w:rFonts w:ascii="Arial" w:hAnsi="Arial" w:cs="Arial"/>
        </w:rPr>
      </w:pPr>
      <w:r w:rsidRPr="005B7BC5">
        <w:rPr>
          <w:rFonts w:ascii="Arial" w:hAnsi="Arial" w:cs="Arial"/>
        </w:rPr>
        <w:t xml:space="preserve">Regulatory burden would be incurred by manufacturers who would need to </w:t>
      </w:r>
      <w:r w:rsidR="005B7BC5" w:rsidRPr="005B7BC5">
        <w:rPr>
          <w:rFonts w:ascii="Arial" w:hAnsi="Arial" w:cs="Arial"/>
        </w:rPr>
        <w:t>allocate time and communicate through writing to car dealers on reasons for non-renewal</w:t>
      </w:r>
      <w:r w:rsidRPr="005B7BC5">
        <w:rPr>
          <w:rFonts w:ascii="Arial" w:hAnsi="Arial" w:cs="Arial"/>
        </w:rPr>
        <w:t>.</w:t>
      </w:r>
    </w:p>
    <w:p w:rsidR="008522F8" w:rsidRDefault="00652B90" w:rsidP="00652B90">
      <w:pPr>
        <w:spacing w:before="240" w:line="360" w:lineRule="auto"/>
        <w:jc w:val="both"/>
        <w:rPr>
          <w:rFonts w:ascii="Arial" w:hAnsi="Arial" w:cs="Arial"/>
        </w:rPr>
      </w:pPr>
      <w:r>
        <w:rPr>
          <w:rFonts w:ascii="Arial" w:hAnsi="Arial" w:cs="Arial"/>
        </w:rPr>
        <w:t>The regulatory burden calculation assumes that</w:t>
      </w:r>
      <w:r w:rsidR="008522F8">
        <w:rPr>
          <w:rFonts w:ascii="Arial" w:hAnsi="Arial" w:cs="Arial"/>
        </w:rPr>
        <w:t>:</w:t>
      </w:r>
    </w:p>
    <w:p w:rsidR="008522F8" w:rsidRDefault="00652B90" w:rsidP="00125AAE">
      <w:pPr>
        <w:pStyle w:val="ListParagraph"/>
        <w:numPr>
          <w:ilvl w:val="0"/>
          <w:numId w:val="24"/>
        </w:numPr>
        <w:spacing w:before="240" w:line="360" w:lineRule="auto"/>
        <w:jc w:val="both"/>
        <w:rPr>
          <w:rFonts w:ascii="Arial" w:hAnsi="Arial" w:cs="Arial"/>
        </w:rPr>
      </w:pPr>
      <w:r>
        <w:rPr>
          <w:rFonts w:ascii="Arial" w:hAnsi="Arial" w:cs="Arial"/>
        </w:rPr>
        <w:t xml:space="preserve">it would take a lawyer two </w:t>
      </w:r>
      <w:r w:rsidRPr="00125AAE">
        <w:rPr>
          <w:rFonts w:ascii="Arial" w:hAnsi="Arial" w:cs="Arial"/>
        </w:rPr>
        <w:t>hour</w:t>
      </w:r>
      <w:r w:rsidR="008522F8" w:rsidRPr="00125AAE">
        <w:rPr>
          <w:rFonts w:ascii="Arial" w:hAnsi="Arial" w:cs="Arial"/>
        </w:rPr>
        <w:t>s</w:t>
      </w:r>
      <w:r>
        <w:rPr>
          <w:rFonts w:ascii="Arial" w:hAnsi="Arial" w:cs="Arial"/>
        </w:rPr>
        <w:t xml:space="preserve"> to draft a </w:t>
      </w:r>
      <w:r w:rsidR="008522F8" w:rsidRPr="00125AAE">
        <w:rPr>
          <w:rFonts w:ascii="Arial" w:hAnsi="Arial" w:cs="Arial"/>
        </w:rPr>
        <w:t xml:space="preserve">non-renewal notice each time an agreement is not renewed </w:t>
      </w:r>
      <w:r>
        <w:rPr>
          <w:rFonts w:ascii="Arial" w:hAnsi="Arial" w:cs="Arial"/>
        </w:rPr>
        <w:t>at cost of $500 per hour</w:t>
      </w:r>
      <w:r w:rsidR="008522F8">
        <w:rPr>
          <w:rFonts w:ascii="Arial" w:hAnsi="Arial" w:cs="Arial"/>
        </w:rPr>
        <w:t>;</w:t>
      </w:r>
    </w:p>
    <w:p w:rsidR="00652B90" w:rsidRDefault="008522F8" w:rsidP="00125AAE">
      <w:pPr>
        <w:pStyle w:val="ListParagraph"/>
        <w:numPr>
          <w:ilvl w:val="0"/>
          <w:numId w:val="24"/>
        </w:numPr>
        <w:spacing w:before="240" w:line="360" w:lineRule="auto"/>
        <w:jc w:val="both"/>
        <w:rPr>
          <w:rFonts w:ascii="Arial" w:hAnsi="Arial" w:cs="Arial"/>
        </w:rPr>
      </w:pPr>
      <w:r>
        <w:rPr>
          <w:rFonts w:ascii="Arial" w:hAnsi="Arial" w:cs="Arial"/>
        </w:rPr>
        <w:t>t</w:t>
      </w:r>
      <w:r w:rsidRPr="00125AAE">
        <w:rPr>
          <w:rFonts w:ascii="Arial" w:hAnsi="Arial" w:cs="Arial"/>
        </w:rPr>
        <w:t>hat five agreements are not renewed annually</w:t>
      </w:r>
      <w:r>
        <w:rPr>
          <w:rFonts w:ascii="Arial" w:hAnsi="Arial" w:cs="Arial"/>
        </w:rPr>
        <w:t>; and</w:t>
      </w:r>
    </w:p>
    <w:p w:rsidR="008522F8" w:rsidRPr="00125AAE" w:rsidRDefault="008522F8" w:rsidP="00125AAE">
      <w:pPr>
        <w:pStyle w:val="ListParagraph"/>
        <w:numPr>
          <w:ilvl w:val="0"/>
          <w:numId w:val="24"/>
        </w:numPr>
        <w:spacing w:before="240" w:line="360" w:lineRule="auto"/>
        <w:jc w:val="both"/>
        <w:rPr>
          <w:rFonts w:ascii="Arial" w:hAnsi="Arial" w:cs="Arial"/>
        </w:rPr>
      </w:pPr>
      <w:r>
        <w:rPr>
          <w:rFonts w:ascii="Arial" w:hAnsi="Arial" w:cs="Arial"/>
        </w:rPr>
        <w:t>that car manufacturers would already undertake an assessment as to why a dealership is not being renewed, so the information in the notice would already be prepared in the absence of the obligation to provide a notice to the dealer.</w:t>
      </w:r>
    </w:p>
    <w:p w:rsidR="00BD1EF5" w:rsidRPr="00BD1EF5" w:rsidRDefault="00BD1EF5" w:rsidP="00FF4312">
      <w:pPr>
        <w:keepNext/>
        <w:spacing w:before="240" w:line="360" w:lineRule="auto"/>
        <w:jc w:val="both"/>
        <w:rPr>
          <w:rFonts w:ascii="Arial" w:hAnsi="Arial" w:cs="Arial"/>
        </w:rPr>
      </w:pPr>
      <w:r w:rsidRPr="00BD1EF5">
        <w:rPr>
          <w:rFonts w:ascii="Arial" w:hAnsi="Arial" w:cs="Arial"/>
        </w:rPr>
        <w:t>Questions for stakeholders:</w:t>
      </w:r>
    </w:p>
    <w:p w:rsidR="00652B90" w:rsidRDefault="00BD1EF5" w:rsidP="00FF4312">
      <w:pPr>
        <w:pStyle w:val="ListParagraph"/>
        <w:keepNext/>
        <w:numPr>
          <w:ilvl w:val="0"/>
          <w:numId w:val="34"/>
        </w:numPr>
        <w:spacing w:before="240" w:line="360" w:lineRule="auto"/>
        <w:jc w:val="both"/>
        <w:rPr>
          <w:rFonts w:ascii="Arial" w:hAnsi="Arial" w:cs="Arial"/>
        </w:rPr>
      </w:pPr>
      <w:r>
        <w:rPr>
          <w:rFonts w:ascii="Arial" w:hAnsi="Arial" w:cs="Arial"/>
        </w:rPr>
        <w:t xml:space="preserve">Is it common practice for car manufacturers to explain to dealers why their agreements are not being </w:t>
      </w:r>
      <w:r w:rsidDel="00BD1EF5">
        <w:rPr>
          <w:rFonts w:ascii="Arial" w:hAnsi="Arial" w:cs="Arial"/>
        </w:rPr>
        <w:t>renewed</w:t>
      </w:r>
      <w:r w:rsidRPr="00BD1EF5">
        <w:rPr>
          <w:rFonts w:ascii="Arial" w:hAnsi="Arial" w:cs="Arial"/>
        </w:rPr>
        <w:t>?</w:t>
      </w:r>
    </w:p>
    <w:p w:rsidR="001A6DE0" w:rsidRPr="001A6DE0" w:rsidRDefault="001A6DE0" w:rsidP="001A6DE0">
      <w:pPr>
        <w:keepNext/>
        <w:spacing w:before="240" w:line="360" w:lineRule="auto"/>
        <w:jc w:val="both"/>
        <w:rPr>
          <w:rFonts w:ascii="Arial" w:hAnsi="Arial" w:cs="Arial"/>
        </w:rPr>
      </w:pPr>
    </w:p>
    <w:p w:rsidR="001A6DE0" w:rsidRDefault="001A6DE0" w:rsidP="11FF59B9">
      <w:pPr>
        <w:rPr>
          <w:rFonts w:ascii="Arial" w:hAnsi="Arial" w:cs="Arial"/>
          <w:b/>
          <w:bCs/>
        </w:rPr>
      </w:pPr>
    </w:p>
    <w:p w:rsidR="00CF77B6" w:rsidRPr="006766C7" w:rsidRDefault="0092502D" w:rsidP="11FF59B9">
      <w:pPr>
        <w:rPr>
          <w:rFonts w:ascii="Arial" w:hAnsi="Arial" w:cs="Arial"/>
          <w:b/>
          <w:bCs/>
        </w:rPr>
      </w:pPr>
      <w:r>
        <w:rPr>
          <w:rFonts w:ascii="Arial" w:hAnsi="Arial" w:cs="Arial"/>
          <w:b/>
          <w:bCs/>
        </w:rPr>
        <w:t>Option 2</w:t>
      </w:r>
      <w:r w:rsidR="003D297F">
        <w:rPr>
          <w:rFonts w:ascii="Arial" w:hAnsi="Arial" w:cs="Arial"/>
          <w:b/>
          <w:bCs/>
        </w:rPr>
        <w:t>C</w:t>
      </w:r>
      <w:r w:rsidR="11FF59B9" w:rsidRPr="11FF59B9">
        <w:rPr>
          <w:rFonts w:ascii="Arial" w:hAnsi="Arial" w:cs="Arial"/>
          <w:b/>
          <w:bCs/>
        </w:rPr>
        <w:t xml:space="preserve"> – Stock buy-backs</w:t>
      </w:r>
    </w:p>
    <w:p w:rsidR="00CF77B6" w:rsidRPr="005F4088" w:rsidRDefault="11FF59B9" w:rsidP="11FF59B9">
      <w:pPr>
        <w:spacing w:before="240" w:line="360" w:lineRule="auto"/>
        <w:jc w:val="both"/>
        <w:rPr>
          <w:rFonts w:ascii="Arial" w:hAnsi="Arial" w:cs="Arial"/>
        </w:rPr>
      </w:pPr>
      <w:r w:rsidRPr="11FF59B9">
        <w:rPr>
          <w:rFonts w:ascii="Arial" w:hAnsi="Arial" w:cs="Arial"/>
        </w:rPr>
        <w:t>Under this option</w:t>
      </w:r>
      <w:r w:rsidR="001A5830">
        <w:rPr>
          <w:rFonts w:ascii="Arial" w:hAnsi="Arial" w:cs="Arial"/>
        </w:rPr>
        <w:t xml:space="preserve"> dealer agreements would be required to include a </w:t>
      </w:r>
      <w:r w:rsidRPr="11FF59B9">
        <w:rPr>
          <w:rFonts w:ascii="Arial" w:hAnsi="Arial" w:cs="Arial"/>
        </w:rPr>
        <w:t xml:space="preserve">stock </w:t>
      </w:r>
      <w:r w:rsidR="001A5830">
        <w:rPr>
          <w:rFonts w:ascii="Arial" w:hAnsi="Arial" w:cs="Arial"/>
        </w:rPr>
        <w:t>buy-back provision</w:t>
      </w:r>
      <w:r w:rsidR="00C93DC5">
        <w:rPr>
          <w:rFonts w:ascii="Arial" w:hAnsi="Arial" w:cs="Arial"/>
        </w:rPr>
        <w:t xml:space="preserve"> in the context of non-renewal of dealer agreements</w:t>
      </w:r>
      <w:r w:rsidRPr="11FF59B9">
        <w:rPr>
          <w:rFonts w:ascii="Arial" w:hAnsi="Arial" w:cs="Arial"/>
        </w:rPr>
        <w:t>. The</w:t>
      </w:r>
      <w:r w:rsidR="00736A6B">
        <w:rPr>
          <w:rFonts w:ascii="Arial" w:hAnsi="Arial" w:cs="Arial"/>
        </w:rPr>
        <w:t xml:space="preserve"> </w:t>
      </w:r>
      <w:r w:rsidR="006738D1">
        <w:rPr>
          <w:rFonts w:ascii="Arial" w:hAnsi="Arial" w:cs="Arial"/>
        </w:rPr>
        <w:t xml:space="preserve">provision would provide that the </w:t>
      </w:r>
      <w:r w:rsidR="00736A6B">
        <w:rPr>
          <w:rFonts w:ascii="Arial" w:hAnsi="Arial" w:cs="Arial"/>
        </w:rPr>
        <w:t>price of the stock would, in the first instance, be agreed between the manufacturer and the new car dealer.</w:t>
      </w:r>
      <w:r w:rsidR="0031153D">
        <w:rPr>
          <w:rFonts w:ascii="Arial" w:hAnsi="Arial" w:cs="Arial"/>
        </w:rPr>
        <w:t xml:space="preserve"> </w:t>
      </w:r>
      <w:r w:rsidR="006F3D18">
        <w:rPr>
          <w:rFonts w:ascii="Arial" w:hAnsi="Arial" w:cs="Arial"/>
        </w:rPr>
        <w:t>It is intended that the price of the stock would be negotiated by the parties after the notice of non-renewal is served.</w:t>
      </w:r>
      <w:r w:rsidR="0031153D">
        <w:rPr>
          <w:rFonts w:ascii="Arial" w:hAnsi="Arial" w:cs="Arial"/>
        </w:rPr>
        <w:t xml:space="preserve"> Noting that parties would still be obliged to </w:t>
      </w:r>
      <w:r w:rsidR="006738D1">
        <w:rPr>
          <w:rFonts w:ascii="Arial" w:hAnsi="Arial" w:cs="Arial"/>
        </w:rPr>
        <w:t>act in good faith during negotiations.</w:t>
      </w:r>
      <w:r w:rsidR="00736A6B">
        <w:rPr>
          <w:rFonts w:ascii="Arial" w:hAnsi="Arial" w:cs="Arial"/>
        </w:rPr>
        <w:t xml:space="preserve"> If an agreed price cannot be reached, then the value will be determined by a valuer, </w:t>
      </w:r>
      <w:r w:rsidR="00226230">
        <w:rPr>
          <w:rFonts w:ascii="Arial" w:hAnsi="Arial" w:cs="Arial"/>
        </w:rPr>
        <w:t>appointed</w:t>
      </w:r>
      <w:r w:rsidR="00736A6B">
        <w:rPr>
          <w:rFonts w:ascii="Arial" w:hAnsi="Arial" w:cs="Arial"/>
        </w:rPr>
        <w:t xml:space="preserve"> by the parties.</w:t>
      </w:r>
      <w:r w:rsidRPr="11FF59B9" w:rsidDel="00736A6B">
        <w:rPr>
          <w:rFonts w:ascii="Arial" w:hAnsi="Arial" w:cs="Arial"/>
        </w:rPr>
        <w:t xml:space="preserve"> </w:t>
      </w:r>
    </w:p>
    <w:p w:rsidR="00CF77B6" w:rsidRPr="005F4088" w:rsidRDefault="11FF59B9" w:rsidP="11FF59B9">
      <w:pPr>
        <w:spacing w:before="240" w:line="360" w:lineRule="auto"/>
        <w:jc w:val="both"/>
        <w:rPr>
          <w:rFonts w:ascii="Arial" w:hAnsi="Arial" w:cs="Arial"/>
        </w:rPr>
      </w:pPr>
      <w:r w:rsidRPr="11FF59B9">
        <w:rPr>
          <w:rFonts w:ascii="Arial" w:hAnsi="Arial" w:cs="Arial"/>
        </w:rPr>
        <w:t>Car dealers amass stock worth significant monetary amounts and have highlighted the importance of dealer agreements providing for end of term arrangements that allow them to recoup their investments.</w:t>
      </w:r>
      <w:r w:rsidR="001A5830">
        <w:rPr>
          <w:rFonts w:ascii="Arial" w:hAnsi="Arial" w:cs="Arial"/>
        </w:rPr>
        <w:t xml:space="preserve"> This stock includes new cars and demonstrators, as well as parts and special tools.</w:t>
      </w:r>
    </w:p>
    <w:p w:rsidR="00CF77B6" w:rsidRDefault="11FF59B9" w:rsidP="11FF59B9">
      <w:pPr>
        <w:spacing w:before="240" w:line="360" w:lineRule="auto"/>
        <w:jc w:val="both"/>
        <w:rPr>
          <w:rFonts w:ascii="Arial" w:hAnsi="Arial" w:cs="Arial"/>
        </w:rPr>
      </w:pPr>
      <w:r w:rsidRPr="11FF59B9">
        <w:rPr>
          <w:rFonts w:ascii="Arial" w:hAnsi="Arial" w:cs="Arial"/>
        </w:rPr>
        <w:t>Currently, the Franchising Code does not specify the end of term arrangements that should apply between dealers and car manufacturers. In line with the general principles of contract law, the Franchising Code allows distributors and dealers to negotiate terms that best suit their circumstances. This includes making provisions for the buy-back of stock.</w:t>
      </w:r>
    </w:p>
    <w:p w:rsidR="00EE3C74" w:rsidRDefault="001A5830" w:rsidP="11FF59B9">
      <w:pPr>
        <w:spacing w:before="240" w:line="360" w:lineRule="auto"/>
        <w:jc w:val="both"/>
        <w:rPr>
          <w:rFonts w:ascii="Arial" w:hAnsi="Arial" w:cs="Arial"/>
        </w:rPr>
      </w:pPr>
      <w:r w:rsidRPr="005B7BC5">
        <w:rPr>
          <w:rFonts w:ascii="Arial" w:hAnsi="Arial" w:cs="Arial"/>
        </w:rPr>
        <w:t>S</w:t>
      </w:r>
      <w:r w:rsidR="00EE3C74" w:rsidRPr="005B7BC5">
        <w:rPr>
          <w:rFonts w:ascii="Arial" w:hAnsi="Arial" w:cs="Arial"/>
        </w:rPr>
        <w:t xml:space="preserve">ome </w:t>
      </w:r>
      <w:r w:rsidRPr="005B7BC5">
        <w:rPr>
          <w:rFonts w:ascii="Arial" w:hAnsi="Arial" w:cs="Arial"/>
        </w:rPr>
        <w:t>existing</w:t>
      </w:r>
      <w:r w:rsidR="00EE3C74" w:rsidRPr="005B7BC5">
        <w:rPr>
          <w:rFonts w:ascii="Arial" w:hAnsi="Arial" w:cs="Arial"/>
        </w:rPr>
        <w:t xml:space="preserve"> dealer agreements do require manufacturers to buy back stock when an agreements expires of terminates, however, not all agreements contain these provisions.</w:t>
      </w:r>
      <w:r w:rsidR="00EE3C74">
        <w:rPr>
          <w:rFonts w:ascii="Arial" w:hAnsi="Arial" w:cs="Arial"/>
        </w:rPr>
        <w:t xml:space="preserve"> According to the AADA, typically the </w:t>
      </w:r>
      <w:r>
        <w:rPr>
          <w:rFonts w:ascii="Arial" w:hAnsi="Arial" w:cs="Arial"/>
        </w:rPr>
        <w:t>manufacturer has</w:t>
      </w:r>
      <w:r w:rsidR="00EE3C74">
        <w:rPr>
          <w:rFonts w:ascii="Arial" w:hAnsi="Arial" w:cs="Arial"/>
        </w:rPr>
        <w:t xml:space="preserve"> discretion as to whether these buy back provisions are exercised.</w:t>
      </w:r>
      <w:bookmarkStart w:id="78" w:name="_Ref530484354"/>
      <w:r w:rsidR="00EE3C74">
        <w:rPr>
          <w:rStyle w:val="FootnoteReference"/>
          <w:rFonts w:ascii="Arial" w:hAnsi="Arial" w:cs="Arial"/>
        </w:rPr>
        <w:footnoteReference w:id="48"/>
      </w:r>
      <w:bookmarkEnd w:id="78"/>
    </w:p>
    <w:p w:rsidR="003310B6" w:rsidRDefault="003310B6" w:rsidP="11FF59B9">
      <w:pPr>
        <w:spacing w:before="240" w:line="360" w:lineRule="auto"/>
        <w:jc w:val="both"/>
        <w:rPr>
          <w:rFonts w:ascii="Arial" w:hAnsi="Arial" w:cs="Arial"/>
        </w:rPr>
      </w:pPr>
      <w:r w:rsidRPr="0068677C">
        <w:rPr>
          <w:rFonts w:ascii="Arial" w:hAnsi="Arial" w:cs="Arial"/>
        </w:rPr>
        <w:t>Given that currently manufacturers must provide at least six months’ notice before not renewing an agreement, car dealers may also have an opportunity to run down their stock. However, dealers also have obligations to actively sell vehicles and maintain levels of stock. Dealers will also have special tools and equipment</w:t>
      </w:r>
      <w:r w:rsidR="00657D3E">
        <w:rPr>
          <w:rFonts w:ascii="Arial" w:hAnsi="Arial" w:cs="Arial"/>
        </w:rPr>
        <w:t xml:space="preserve"> for servicing particular types of vehicles</w:t>
      </w:r>
      <w:r w:rsidRPr="0068677C">
        <w:rPr>
          <w:rFonts w:ascii="Arial" w:hAnsi="Arial" w:cs="Arial"/>
        </w:rPr>
        <w:t>. Given the ongoing concerns associated with stock buy backs, it appears that car dealers are unable to run down stock when an agreement is not being renewed</w:t>
      </w:r>
      <w:r w:rsidR="00657D3E">
        <w:rPr>
          <w:rFonts w:ascii="Arial" w:hAnsi="Arial" w:cs="Arial"/>
        </w:rPr>
        <w:t>, even if notice is given</w:t>
      </w:r>
      <w:r w:rsidRPr="0068677C">
        <w:rPr>
          <w:rFonts w:ascii="Arial" w:hAnsi="Arial" w:cs="Arial"/>
        </w:rPr>
        <w:t>.</w:t>
      </w:r>
    </w:p>
    <w:p w:rsidR="00CF77B6" w:rsidRPr="005F4088" w:rsidRDefault="11FF59B9" w:rsidP="00D75EE6">
      <w:pPr>
        <w:keepNext/>
        <w:spacing w:before="240" w:line="360" w:lineRule="auto"/>
        <w:jc w:val="both"/>
        <w:rPr>
          <w:rFonts w:ascii="Arial" w:hAnsi="Arial" w:cs="Arial"/>
          <w:i/>
          <w:iCs/>
        </w:rPr>
      </w:pPr>
      <w:r w:rsidRPr="11FF59B9">
        <w:rPr>
          <w:rFonts w:ascii="Arial" w:hAnsi="Arial" w:cs="Arial"/>
          <w:i/>
          <w:iCs/>
        </w:rPr>
        <w:t>Impact on car dealers</w:t>
      </w:r>
    </w:p>
    <w:p w:rsidR="00CF77B6" w:rsidRDefault="11FF59B9" w:rsidP="11FF59B9">
      <w:pPr>
        <w:spacing w:before="240" w:line="360" w:lineRule="auto"/>
        <w:jc w:val="both"/>
        <w:rPr>
          <w:rFonts w:ascii="Arial" w:hAnsi="Arial" w:cs="Arial"/>
        </w:rPr>
      </w:pPr>
      <w:r w:rsidRPr="11FF59B9">
        <w:rPr>
          <w:rFonts w:ascii="Arial" w:hAnsi="Arial" w:cs="Arial"/>
        </w:rPr>
        <w:t xml:space="preserve">This option would reduce </w:t>
      </w:r>
      <w:r w:rsidR="006B7E11">
        <w:rPr>
          <w:rFonts w:ascii="Arial" w:hAnsi="Arial" w:cs="Arial"/>
        </w:rPr>
        <w:t xml:space="preserve">the costs to car dealers of an agreement expiring potentially increasing their bargaining power with </w:t>
      </w:r>
      <w:r w:rsidRPr="11FF59B9">
        <w:rPr>
          <w:rFonts w:ascii="Arial" w:hAnsi="Arial" w:cs="Arial"/>
        </w:rPr>
        <w:t>manufacturers</w:t>
      </w:r>
      <w:r w:rsidRPr="11FF59B9" w:rsidDel="006B7E11">
        <w:rPr>
          <w:rFonts w:ascii="Arial" w:hAnsi="Arial" w:cs="Arial"/>
        </w:rPr>
        <w:t>.</w:t>
      </w:r>
    </w:p>
    <w:p w:rsidR="00CF77B6" w:rsidRPr="005F4088" w:rsidRDefault="00CF77B6" w:rsidP="11FF59B9">
      <w:pPr>
        <w:spacing w:before="240" w:line="360" w:lineRule="auto"/>
        <w:jc w:val="both"/>
        <w:rPr>
          <w:rFonts w:ascii="Arial" w:hAnsi="Arial" w:cs="Arial"/>
        </w:rPr>
      </w:pPr>
      <w:r w:rsidRPr="005F4088">
        <w:rPr>
          <w:rFonts w:ascii="Arial" w:hAnsi="Arial" w:cs="Arial"/>
        </w:rPr>
        <w:t>For example the MTAA</w:t>
      </w:r>
      <w:bookmarkStart w:id="79" w:name="_Ref530483953"/>
      <w:r w:rsidRPr="005F4088">
        <w:rPr>
          <w:vertAlign w:val="superscript"/>
        </w:rPr>
        <w:footnoteReference w:id="49"/>
      </w:r>
      <w:bookmarkEnd w:id="79"/>
      <w:r w:rsidRPr="005F4088">
        <w:rPr>
          <w:rFonts w:ascii="Arial" w:hAnsi="Arial" w:cs="Arial"/>
          <w:vertAlign w:val="superscript"/>
        </w:rPr>
        <w:t xml:space="preserve"> </w:t>
      </w:r>
      <w:r w:rsidRPr="005F4088">
        <w:rPr>
          <w:rFonts w:ascii="Arial" w:hAnsi="Arial" w:cs="Arial"/>
        </w:rPr>
        <w:t>asserts that, even when ami</w:t>
      </w:r>
      <w:r w:rsidR="00A2552B">
        <w:rPr>
          <w:rFonts w:ascii="Arial" w:hAnsi="Arial" w:cs="Arial"/>
        </w:rPr>
        <w:t>c</w:t>
      </w:r>
      <w:r w:rsidRPr="005F4088">
        <w:rPr>
          <w:rFonts w:ascii="Arial" w:hAnsi="Arial" w:cs="Arial"/>
        </w:rPr>
        <w:t>able, end of contract events can result in significant disadvantage to new car dealers which impact closing profits across new car dealership operations.</w:t>
      </w:r>
      <w:r w:rsidR="00761697">
        <w:rPr>
          <w:rFonts w:ascii="Arial" w:hAnsi="Arial" w:cs="Arial"/>
        </w:rPr>
        <w:t xml:space="preserve"> Aside from its vehicles,</w:t>
      </w:r>
      <w:r w:rsidRPr="005F4088">
        <w:rPr>
          <w:rFonts w:ascii="Arial" w:hAnsi="Arial" w:cs="Arial"/>
        </w:rPr>
        <w:t xml:space="preserve"> </w:t>
      </w:r>
      <w:r w:rsidR="00761697">
        <w:rPr>
          <w:rFonts w:ascii="Arial" w:hAnsi="Arial" w:cs="Arial"/>
        </w:rPr>
        <w:t>t</w:t>
      </w:r>
      <w:r w:rsidRPr="005F4088">
        <w:rPr>
          <w:rFonts w:ascii="Arial" w:hAnsi="Arial" w:cs="Arial"/>
        </w:rPr>
        <w:t>he MTAA</w:t>
      </w:r>
      <w:r w:rsidRPr="005F4088">
        <w:rPr>
          <w:vertAlign w:val="superscript"/>
        </w:rPr>
        <w:footnoteReference w:id="50"/>
      </w:r>
      <w:r w:rsidRPr="005F4088">
        <w:rPr>
          <w:rFonts w:ascii="Arial" w:hAnsi="Arial" w:cs="Arial"/>
          <w:vertAlign w:val="superscript"/>
        </w:rPr>
        <w:t xml:space="preserve"> </w:t>
      </w:r>
      <w:r w:rsidR="001A5830">
        <w:rPr>
          <w:rFonts w:ascii="Arial" w:hAnsi="Arial" w:cs="Arial"/>
        </w:rPr>
        <w:t xml:space="preserve">noted </w:t>
      </w:r>
      <w:r w:rsidRPr="005F4088">
        <w:rPr>
          <w:rFonts w:ascii="Arial" w:hAnsi="Arial" w:cs="Arial"/>
        </w:rPr>
        <w:t>that a dealer may have over a million dollars of parts in stock</w:t>
      </w:r>
      <w:r w:rsidR="001A5830">
        <w:rPr>
          <w:rFonts w:ascii="Arial" w:hAnsi="Arial" w:cs="Arial"/>
        </w:rPr>
        <w:t>, which are</w:t>
      </w:r>
      <w:r w:rsidRPr="005F4088">
        <w:rPr>
          <w:rFonts w:ascii="Arial" w:hAnsi="Arial" w:cs="Arial"/>
        </w:rPr>
        <w:t xml:space="preserve"> needed for: counter sales to members of the public</w:t>
      </w:r>
      <w:r w:rsidR="00F75F49">
        <w:rPr>
          <w:rFonts w:ascii="Arial" w:hAnsi="Arial" w:cs="Arial"/>
        </w:rPr>
        <w:t>;</w:t>
      </w:r>
      <w:r w:rsidRPr="005F4088">
        <w:rPr>
          <w:rFonts w:ascii="Arial" w:hAnsi="Arial" w:cs="Arial"/>
        </w:rPr>
        <w:t xml:space="preserve"> account sales (to, for example, independent repairers)</w:t>
      </w:r>
      <w:r w:rsidR="00F75F49">
        <w:rPr>
          <w:rFonts w:ascii="Arial" w:hAnsi="Arial" w:cs="Arial"/>
        </w:rPr>
        <w:t>;</w:t>
      </w:r>
      <w:r w:rsidRPr="005F4088">
        <w:rPr>
          <w:rFonts w:ascii="Arial" w:hAnsi="Arial" w:cs="Arial"/>
        </w:rPr>
        <w:t xml:space="preserve"> and as workshop/service stock. The MTAA</w:t>
      </w:r>
      <w:r w:rsidRPr="005F4088">
        <w:rPr>
          <w:vertAlign w:val="superscript"/>
        </w:rPr>
        <w:footnoteReference w:id="51"/>
      </w:r>
      <w:r w:rsidRPr="005F4088">
        <w:rPr>
          <w:rFonts w:ascii="Arial" w:hAnsi="Arial" w:cs="Arial"/>
          <w:vertAlign w:val="superscript"/>
        </w:rPr>
        <w:t xml:space="preserve"> </w:t>
      </w:r>
      <w:r w:rsidRPr="005F4088">
        <w:rPr>
          <w:rFonts w:ascii="Arial" w:hAnsi="Arial" w:cs="Arial"/>
        </w:rPr>
        <w:t xml:space="preserve">also identifies that larger dealerships will have much larger stock holdings, and may also </w:t>
      </w:r>
      <w:r>
        <w:rPr>
          <w:rFonts w:ascii="Arial" w:hAnsi="Arial" w:cs="Arial"/>
        </w:rPr>
        <w:t>supply</w:t>
      </w:r>
      <w:r w:rsidRPr="005F4088">
        <w:rPr>
          <w:rFonts w:ascii="Arial" w:hAnsi="Arial" w:cs="Arial"/>
        </w:rPr>
        <w:t xml:space="preserve"> parts to smaller dealerships.</w:t>
      </w:r>
    </w:p>
    <w:p w:rsidR="00CF77B6" w:rsidRDefault="00CF77B6" w:rsidP="11FF59B9">
      <w:pPr>
        <w:spacing w:before="240" w:line="360" w:lineRule="auto"/>
        <w:jc w:val="both"/>
        <w:rPr>
          <w:rFonts w:ascii="Arial" w:hAnsi="Arial" w:cs="Arial"/>
        </w:rPr>
      </w:pPr>
      <w:r w:rsidRPr="005F4088">
        <w:rPr>
          <w:rFonts w:ascii="Arial" w:hAnsi="Arial" w:cs="Arial"/>
        </w:rPr>
        <w:t>The MTAA</w:t>
      </w:r>
      <w:r w:rsidRPr="005F4088">
        <w:rPr>
          <w:vertAlign w:val="superscript"/>
        </w:rPr>
        <w:footnoteReference w:id="52"/>
      </w:r>
      <w:r w:rsidRPr="005F4088">
        <w:rPr>
          <w:rFonts w:ascii="Arial" w:hAnsi="Arial" w:cs="Arial"/>
          <w:vertAlign w:val="superscript"/>
        </w:rPr>
        <w:t xml:space="preserve"> </w:t>
      </w:r>
      <w:r w:rsidRPr="005F4088">
        <w:rPr>
          <w:rFonts w:ascii="Arial" w:hAnsi="Arial" w:cs="Arial"/>
        </w:rPr>
        <w:t>also explain</w:t>
      </w:r>
      <w:r w:rsidR="001A5830">
        <w:rPr>
          <w:rFonts w:ascii="Arial" w:hAnsi="Arial" w:cs="Arial"/>
        </w:rPr>
        <w:t>ed</w:t>
      </w:r>
      <w:r w:rsidRPr="005F4088">
        <w:rPr>
          <w:rFonts w:ascii="Arial" w:hAnsi="Arial" w:cs="Arial"/>
        </w:rPr>
        <w:t xml:space="preserve"> that in the servicing area of the business, the dealer is required to purchase a range of specialist equipment and tools as specified by the car manufacturer. In particular, car dealers in regional areas will be affected as many may not need to use the specialist equipment due to the type of cars typically sold in those areas.</w:t>
      </w:r>
      <w:r w:rsidRPr="005F4088">
        <w:rPr>
          <w:vertAlign w:val="superscript"/>
        </w:rPr>
        <w:footnoteReference w:id="53"/>
      </w:r>
      <w:r w:rsidRPr="005F4088">
        <w:rPr>
          <w:rFonts w:ascii="Arial" w:hAnsi="Arial" w:cs="Arial"/>
          <w:vertAlign w:val="superscript"/>
        </w:rPr>
        <w:t xml:space="preserve"> </w:t>
      </w:r>
      <w:r w:rsidRPr="005F4088">
        <w:rPr>
          <w:rFonts w:ascii="Arial" w:hAnsi="Arial" w:cs="Arial"/>
        </w:rPr>
        <w:t>As these tools are owned by the dealer, they are usually not part of end of term arrangements.</w:t>
      </w:r>
      <w:r w:rsidRPr="005F4088">
        <w:rPr>
          <w:vertAlign w:val="superscript"/>
        </w:rPr>
        <w:footnoteReference w:id="54"/>
      </w:r>
    </w:p>
    <w:p w:rsidR="00CF77B6" w:rsidRPr="005F4088" w:rsidRDefault="11FF59B9" w:rsidP="003310B6">
      <w:pPr>
        <w:keepNext/>
        <w:spacing w:before="240" w:line="360" w:lineRule="auto"/>
        <w:jc w:val="both"/>
        <w:rPr>
          <w:rFonts w:ascii="Arial" w:hAnsi="Arial" w:cs="Arial"/>
          <w:i/>
          <w:iCs/>
        </w:rPr>
      </w:pPr>
      <w:r w:rsidRPr="11FF59B9">
        <w:rPr>
          <w:rFonts w:ascii="Arial" w:hAnsi="Arial" w:cs="Arial"/>
          <w:i/>
          <w:iCs/>
        </w:rPr>
        <w:t>Impact on car manufacturers</w:t>
      </w:r>
    </w:p>
    <w:p w:rsidR="00CF77B6" w:rsidRDefault="11FF59B9" w:rsidP="11FF59B9">
      <w:pPr>
        <w:spacing w:before="240" w:line="360" w:lineRule="auto"/>
        <w:jc w:val="both"/>
        <w:rPr>
          <w:rFonts w:ascii="Arial" w:hAnsi="Arial" w:cs="Arial"/>
        </w:rPr>
      </w:pPr>
      <w:r w:rsidRPr="11FF59B9">
        <w:rPr>
          <w:rFonts w:ascii="Arial" w:hAnsi="Arial" w:cs="Arial"/>
        </w:rPr>
        <w:t xml:space="preserve">Mandated buy-back of stock arrangements may negatively affect a car manufacturer’s ability to control its network and respond to changing economic conditions due to increased end of term costs placed on the car manufacturer. </w:t>
      </w:r>
    </w:p>
    <w:p w:rsidR="00EE298F" w:rsidRPr="00AD3984" w:rsidRDefault="11FF59B9" w:rsidP="11FF59B9">
      <w:pPr>
        <w:spacing w:before="240" w:line="360" w:lineRule="auto"/>
        <w:jc w:val="both"/>
        <w:rPr>
          <w:rFonts w:ascii="Arial" w:hAnsi="Arial" w:cs="Arial"/>
        </w:rPr>
      </w:pPr>
      <w:r w:rsidRPr="11FF59B9">
        <w:rPr>
          <w:rFonts w:ascii="Arial" w:hAnsi="Arial" w:cs="Arial"/>
        </w:rPr>
        <w:t>While there would be costs associated with buying back stock, this would be offset by manufacturers</w:t>
      </w:r>
      <w:r w:rsidR="00BA191E">
        <w:rPr>
          <w:rFonts w:ascii="Arial" w:hAnsi="Arial" w:cs="Arial"/>
        </w:rPr>
        <w:t>’ ability</w:t>
      </w:r>
      <w:r w:rsidRPr="11FF59B9" w:rsidDel="00BA191E">
        <w:rPr>
          <w:rFonts w:ascii="Arial" w:hAnsi="Arial" w:cs="Arial"/>
        </w:rPr>
        <w:t xml:space="preserve"> </w:t>
      </w:r>
      <w:r w:rsidRPr="11FF59B9">
        <w:rPr>
          <w:rFonts w:ascii="Arial" w:hAnsi="Arial" w:cs="Arial"/>
        </w:rPr>
        <w:t>to re-sell the stock. Given that the majority of the stock would be new vehicles that have not yet been driven, if the manufacturer were to repurchase the stock at the price paid by the dealer, they would likely be able to sell the stock for the same price to another dealership</w:t>
      </w:r>
      <w:r w:rsidR="00595967">
        <w:rPr>
          <w:rFonts w:ascii="Arial" w:hAnsi="Arial" w:cs="Arial"/>
        </w:rPr>
        <w:t xml:space="preserve"> or to fleet buyers</w:t>
      </w:r>
      <w:r w:rsidRPr="11FF59B9">
        <w:rPr>
          <w:rFonts w:ascii="Arial" w:hAnsi="Arial" w:cs="Arial"/>
        </w:rPr>
        <w:t>.</w:t>
      </w:r>
    </w:p>
    <w:p w:rsidR="00CF77B6" w:rsidRPr="005F4088" w:rsidRDefault="11FF59B9" w:rsidP="11FF59B9">
      <w:pPr>
        <w:spacing w:before="240" w:line="360" w:lineRule="auto"/>
        <w:jc w:val="both"/>
        <w:rPr>
          <w:rFonts w:ascii="Arial" w:hAnsi="Arial" w:cs="Arial"/>
          <w:i/>
          <w:iCs/>
        </w:rPr>
      </w:pPr>
      <w:r w:rsidRPr="11FF59B9">
        <w:rPr>
          <w:rFonts w:ascii="Arial" w:hAnsi="Arial" w:cs="Arial"/>
          <w:i/>
          <w:iCs/>
        </w:rPr>
        <w:t>Net benefit</w:t>
      </w:r>
    </w:p>
    <w:p w:rsidR="00A2552B" w:rsidRDefault="00A2552B" w:rsidP="11FF59B9">
      <w:pPr>
        <w:spacing w:before="240" w:line="360" w:lineRule="auto"/>
        <w:jc w:val="both"/>
        <w:rPr>
          <w:rFonts w:ascii="Arial" w:hAnsi="Arial" w:cs="Arial"/>
        </w:rPr>
      </w:pPr>
      <w:r w:rsidRPr="00A2552B">
        <w:rPr>
          <w:rFonts w:ascii="Arial" w:hAnsi="Arial" w:cs="Arial"/>
        </w:rPr>
        <w:t xml:space="preserve">This </w:t>
      </w:r>
      <w:r w:rsidR="00A56C37">
        <w:rPr>
          <w:rFonts w:ascii="Arial" w:hAnsi="Arial" w:cs="Arial"/>
        </w:rPr>
        <w:t xml:space="preserve">option would be contrary to the existing policy framework for the Franchising Code, competition principles underpinning the CCA and general principles of contract law since it would be seeking to impose particular commercial terms on two parties to a contract rather than let the parties to the contract or the franchise agreement determine the terms that best suit them. </w:t>
      </w:r>
    </w:p>
    <w:p w:rsidR="00F45363" w:rsidRDefault="11FF59B9" w:rsidP="11FF59B9">
      <w:pPr>
        <w:spacing w:before="240" w:line="360" w:lineRule="auto"/>
        <w:jc w:val="both"/>
        <w:rPr>
          <w:rFonts w:ascii="Arial" w:hAnsi="Arial" w:cs="Arial"/>
        </w:rPr>
      </w:pPr>
      <w:r w:rsidRPr="11FF59B9">
        <w:rPr>
          <w:rFonts w:ascii="Arial" w:hAnsi="Arial" w:cs="Arial"/>
        </w:rPr>
        <w:t xml:space="preserve">This option would reduce the commercial pressure and risk on new car dealers, however, it would greatly increase the costs of compliance for car manufacturers, which may have flow on pricing increases for car dealers and consumers. This may prolong contract negotiations and restrict the ability of both parties to enter into contracts with terms that would adequately meet both parties’ needs. </w:t>
      </w:r>
    </w:p>
    <w:p w:rsidR="00CF77B6" w:rsidRDefault="11FF59B9" w:rsidP="11FF59B9">
      <w:pPr>
        <w:spacing w:before="240" w:line="360" w:lineRule="auto"/>
        <w:jc w:val="both"/>
        <w:rPr>
          <w:rFonts w:ascii="Arial" w:hAnsi="Arial" w:cs="Arial"/>
        </w:rPr>
      </w:pPr>
      <w:r w:rsidRPr="11FF59B9">
        <w:rPr>
          <w:rFonts w:ascii="Arial" w:hAnsi="Arial" w:cs="Arial"/>
        </w:rPr>
        <w:t>As a result, it is likely that this option would not have a positive net benefit.</w:t>
      </w:r>
    </w:p>
    <w:p w:rsidR="007F7F96" w:rsidRPr="007F7F96" w:rsidRDefault="007F7F96" w:rsidP="007F7F96">
      <w:pPr>
        <w:spacing w:before="240" w:line="360" w:lineRule="auto"/>
        <w:jc w:val="both"/>
        <w:rPr>
          <w:rFonts w:ascii="Arial" w:hAnsi="Arial" w:cs="Arial"/>
          <w:i/>
        </w:rPr>
      </w:pPr>
      <w:r w:rsidRPr="007F7F96">
        <w:rPr>
          <w:rFonts w:ascii="Arial" w:hAnsi="Arial" w:cs="Arial"/>
          <w:i/>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
      </w:tblPr>
      <w:tblGrid>
        <w:gridCol w:w="2128"/>
        <w:gridCol w:w="1646"/>
        <w:gridCol w:w="2170"/>
        <w:gridCol w:w="1946"/>
        <w:gridCol w:w="1574"/>
      </w:tblGrid>
      <w:tr w:rsidR="007F7F96" w:rsidRPr="00282C83" w:rsidTr="007F7F9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rsidR="007F7F96" w:rsidRPr="00282C83" w:rsidRDefault="007F7F96" w:rsidP="007F7F96">
            <w:pPr>
              <w:rPr>
                <w:rFonts w:ascii="Arial" w:hAnsi="Arial" w:cs="Arial"/>
                <w:bCs w:val="0"/>
                <w:sz w:val="20"/>
                <w:szCs w:val="20"/>
              </w:rPr>
            </w:pPr>
            <w:r>
              <w:rPr>
                <w:rFonts w:ascii="Arial" w:hAnsi="Arial" w:cs="Arial"/>
                <w:sz w:val="20"/>
                <w:szCs w:val="20"/>
              </w:rPr>
              <w:t>Total Option 2</w:t>
            </w:r>
            <w:r w:rsidR="003A4A6D">
              <w:rPr>
                <w:rFonts w:ascii="Arial" w:hAnsi="Arial" w:cs="Arial"/>
                <w:sz w:val="20"/>
                <w:szCs w:val="20"/>
              </w:rPr>
              <w:t>C</w:t>
            </w:r>
            <w:r>
              <w:rPr>
                <w:rFonts w:ascii="Arial" w:hAnsi="Arial" w:cs="Arial"/>
                <w:sz w:val="20"/>
                <w:szCs w:val="20"/>
              </w:rPr>
              <w:t xml:space="preserve"> Costs</w:t>
            </w:r>
            <w:r w:rsidRPr="00282C83">
              <w:rPr>
                <w:rFonts w:ascii="Arial" w:hAnsi="Arial" w:cs="Arial"/>
                <w:sz w:val="20"/>
                <w:szCs w:val="20"/>
              </w:rPr>
              <w:t xml:space="preserve"> - Average annual regulatory costs </w:t>
            </w:r>
            <w:r>
              <w:rPr>
                <w:rFonts w:ascii="Arial" w:hAnsi="Arial" w:cs="Arial"/>
                <w:sz w:val="20"/>
                <w:szCs w:val="20"/>
              </w:rPr>
              <w:t>(ten years)</w:t>
            </w:r>
          </w:p>
        </w:tc>
      </w:tr>
      <w:tr w:rsidR="007F7F96" w:rsidRPr="00282C83" w:rsidTr="007F7F96">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7F7F96" w:rsidRPr="00282C83" w:rsidRDefault="007F7F96" w:rsidP="007F7F96">
            <w:pPr>
              <w:pStyle w:val="TableText"/>
              <w:rPr>
                <w:b w:val="0"/>
                <w:bCs/>
              </w:rPr>
            </w:pPr>
            <w:r w:rsidRPr="00282C83">
              <w:rPr>
                <w:b w:val="0"/>
              </w:rPr>
              <w:t>Change in costs</w:t>
            </w:r>
            <w:r w:rsidRPr="00282C83">
              <w:rPr>
                <w:rFonts w:cs="Calibri"/>
                <w:b w:val="0"/>
                <w:iCs/>
              </w:rPr>
              <w:t xml:space="preserve"> ($ million)</w:t>
            </w:r>
          </w:p>
        </w:tc>
        <w:tc>
          <w:tcPr>
            <w:tcW w:w="1646" w:type="dxa"/>
            <w:noWrap/>
          </w:tcPr>
          <w:p w:rsidR="007F7F96" w:rsidRPr="00282C83"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282C83">
              <w:t>Business</w:t>
            </w:r>
          </w:p>
        </w:tc>
        <w:tc>
          <w:tcPr>
            <w:tcW w:w="2170" w:type="dxa"/>
            <w:noWrap/>
          </w:tcPr>
          <w:p w:rsidR="007F7F96" w:rsidRPr="00282C83"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Community organisations</w:t>
            </w:r>
          </w:p>
        </w:tc>
        <w:tc>
          <w:tcPr>
            <w:tcW w:w="1946" w:type="dxa"/>
            <w:noWrap/>
          </w:tcPr>
          <w:p w:rsidR="007F7F96" w:rsidRPr="00282C83"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282C83">
              <w:t>Individuals</w:t>
            </w:r>
          </w:p>
        </w:tc>
        <w:tc>
          <w:tcPr>
            <w:tcW w:w="1574" w:type="dxa"/>
            <w:noWrap/>
          </w:tcPr>
          <w:p w:rsidR="007F7F96" w:rsidRPr="00282C83"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Total change in cost</w:t>
            </w:r>
          </w:p>
        </w:tc>
      </w:tr>
      <w:tr w:rsidR="007F7F96" w:rsidRPr="00282C83" w:rsidTr="007F7F9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7F7F96" w:rsidRPr="00282C83" w:rsidRDefault="007F7F96" w:rsidP="007F7F96">
            <w:pPr>
              <w:pStyle w:val="TableText"/>
              <w:rPr>
                <w:b w:val="0"/>
                <w:bCs/>
              </w:rPr>
            </w:pPr>
            <w:r w:rsidRPr="00282C83">
              <w:rPr>
                <w:b w:val="0"/>
              </w:rPr>
              <w:t>Total, by sector</w:t>
            </w:r>
          </w:p>
        </w:tc>
        <w:tc>
          <w:tcPr>
            <w:tcW w:w="1646" w:type="dxa"/>
            <w:noWrap/>
          </w:tcPr>
          <w:p w:rsidR="007F7F96" w:rsidRPr="00282C83" w:rsidRDefault="009B0B10"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$10.5</w:t>
            </w:r>
          </w:p>
        </w:tc>
        <w:tc>
          <w:tcPr>
            <w:tcW w:w="2170" w:type="dxa"/>
            <w:noWrap/>
          </w:tcPr>
          <w:p w:rsidR="007F7F96" w:rsidRPr="00282C83" w:rsidRDefault="007F7F96"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rsidR="007F7F96" w:rsidRPr="00282C83" w:rsidRDefault="007F7F96"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rsidR="007F7F96" w:rsidRPr="00282C83" w:rsidRDefault="009B0B10"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$10.5</w:t>
            </w:r>
          </w:p>
        </w:tc>
      </w:tr>
    </w:tbl>
    <w:p w:rsidR="007F7F96" w:rsidRPr="007F7F96" w:rsidRDefault="007F7F96" w:rsidP="007F7F96">
      <w:pPr>
        <w:spacing w:before="240" w:line="360" w:lineRule="auto"/>
        <w:jc w:val="both"/>
        <w:rPr>
          <w:rFonts w:ascii="Arial" w:hAnsi="Arial" w:cs="Arial"/>
        </w:rPr>
      </w:pPr>
      <w:r w:rsidRPr="007F7F96">
        <w:rPr>
          <w:rFonts w:ascii="Arial" w:hAnsi="Arial" w:cs="Arial"/>
        </w:rPr>
        <w:t>Regulatory burden would be</w:t>
      </w:r>
      <w:r w:rsidR="00686ED4">
        <w:rPr>
          <w:rFonts w:ascii="Arial" w:hAnsi="Arial" w:cs="Arial"/>
        </w:rPr>
        <w:t xml:space="preserve"> incurred</w:t>
      </w:r>
      <w:r w:rsidRPr="007F7F96">
        <w:rPr>
          <w:rFonts w:ascii="Arial" w:hAnsi="Arial" w:cs="Arial"/>
        </w:rPr>
        <w:t xml:space="preserve"> </w:t>
      </w:r>
      <w:r>
        <w:rPr>
          <w:rFonts w:ascii="Arial" w:hAnsi="Arial" w:cs="Arial"/>
        </w:rPr>
        <w:t>by car manufacturers who would be required to buy back stock they would not otherwise be required to purchase.</w:t>
      </w:r>
      <w:r w:rsidR="00E2100B">
        <w:rPr>
          <w:rFonts w:ascii="Arial" w:hAnsi="Arial" w:cs="Arial"/>
        </w:rPr>
        <w:t xml:space="preserve"> In practice</w:t>
      </w:r>
      <w:r w:rsidR="006B5CBA">
        <w:rPr>
          <w:rFonts w:ascii="Arial" w:hAnsi="Arial" w:cs="Arial"/>
        </w:rPr>
        <w:t>,</w:t>
      </w:r>
      <w:r w:rsidR="00E2100B">
        <w:rPr>
          <w:rFonts w:ascii="Arial" w:hAnsi="Arial" w:cs="Arial"/>
        </w:rPr>
        <w:t xml:space="preserve"> some of this burden would be offset to the extent that the manufacturer is able to re-sell the stock </w:t>
      </w:r>
      <w:r w:rsidR="00F75F49">
        <w:rPr>
          <w:rFonts w:ascii="Arial" w:hAnsi="Arial" w:cs="Arial"/>
        </w:rPr>
        <w:t xml:space="preserve">it has </w:t>
      </w:r>
      <w:r w:rsidR="00E2100B">
        <w:rPr>
          <w:rFonts w:ascii="Arial" w:hAnsi="Arial" w:cs="Arial"/>
        </w:rPr>
        <w:t>bought from the dealer. This offset has not been included when calculating the regulatory burden.</w:t>
      </w:r>
      <w:r>
        <w:rPr>
          <w:rFonts w:ascii="Arial" w:hAnsi="Arial" w:cs="Arial"/>
        </w:rPr>
        <w:t xml:space="preserve"> </w:t>
      </w:r>
    </w:p>
    <w:p w:rsidR="008522F8" w:rsidRDefault="008522F8" w:rsidP="008522F8">
      <w:pPr>
        <w:spacing w:before="240" w:line="360" w:lineRule="auto"/>
        <w:jc w:val="both"/>
        <w:rPr>
          <w:rFonts w:ascii="Arial" w:hAnsi="Arial" w:cs="Arial"/>
        </w:rPr>
      </w:pPr>
      <w:r>
        <w:rPr>
          <w:rFonts w:ascii="Arial" w:hAnsi="Arial" w:cs="Arial"/>
        </w:rPr>
        <w:t>The regulatory burden calculation assumes that:</w:t>
      </w:r>
    </w:p>
    <w:p w:rsidR="008522F8" w:rsidRPr="008522F8" w:rsidRDefault="008522F8" w:rsidP="00125AAE">
      <w:pPr>
        <w:pStyle w:val="ListParagraph"/>
        <w:numPr>
          <w:ilvl w:val="0"/>
          <w:numId w:val="24"/>
        </w:numPr>
        <w:spacing w:before="240" w:line="360" w:lineRule="auto"/>
        <w:jc w:val="both"/>
        <w:rPr>
          <w:rFonts w:ascii="Arial" w:hAnsi="Arial" w:cs="Arial"/>
        </w:rPr>
      </w:pPr>
      <w:r w:rsidRPr="008522F8">
        <w:rPr>
          <w:rFonts w:ascii="Arial" w:hAnsi="Arial" w:cs="Arial"/>
        </w:rPr>
        <w:t xml:space="preserve">the average dealership </w:t>
      </w:r>
      <w:r w:rsidR="00D63092">
        <w:rPr>
          <w:rFonts w:ascii="Arial" w:hAnsi="Arial" w:cs="Arial"/>
        </w:rPr>
        <w:t>h</w:t>
      </w:r>
      <w:r w:rsidRPr="008522F8">
        <w:rPr>
          <w:rFonts w:ascii="Arial" w:hAnsi="Arial" w:cs="Arial"/>
        </w:rPr>
        <w:t>as around $2</w:t>
      </w:r>
      <w:r w:rsidR="003310B6">
        <w:rPr>
          <w:rFonts w:ascii="Arial" w:hAnsi="Arial" w:cs="Arial"/>
        </w:rPr>
        <w:t>.1</w:t>
      </w:r>
      <w:r w:rsidRPr="008522F8">
        <w:rPr>
          <w:rFonts w:ascii="Arial" w:hAnsi="Arial" w:cs="Arial"/>
        </w:rPr>
        <w:t xml:space="preserve"> million in stock </w:t>
      </w:r>
      <w:r w:rsidR="00D63092">
        <w:rPr>
          <w:rFonts w:ascii="Arial" w:hAnsi="Arial" w:cs="Arial"/>
        </w:rPr>
        <w:t xml:space="preserve">and equipment </w:t>
      </w:r>
      <w:r w:rsidRPr="008522F8">
        <w:rPr>
          <w:rFonts w:ascii="Arial" w:hAnsi="Arial" w:cs="Arial"/>
        </w:rPr>
        <w:t>remaining at the end of an agreement.</w:t>
      </w:r>
      <w:r w:rsidR="00FF48CE">
        <w:rPr>
          <w:rStyle w:val="FootnoteReference"/>
          <w:rFonts w:ascii="Arial" w:hAnsi="Arial" w:cs="Arial"/>
        </w:rPr>
        <w:footnoteReference w:id="55"/>
      </w:r>
    </w:p>
    <w:p w:rsidR="00BD1EF5" w:rsidRPr="00BD1EF5" w:rsidRDefault="00BD1EF5" w:rsidP="00BD1EF5">
      <w:pPr>
        <w:spacing w:before="240" w:line="360" w:lineRule="auto"/>
        <w:jc w:val="both"/>
        <w:rPr>
          <w:rFonts w:ascii="Arial" w:hAnsi="Arial" w:cs="Arial"/>
        </w:rPr>
      </w:pPr>
      <w:r w:rsidRPr="00BD1EF5">
        <w:rPr>
          <w:rFonts w:ascii="Arial" w:hAnsi="Arial" w:cs="Arial"/>
        </w:rPr>
        <w:t>Questions for stakeholders:</w:t>
      </w:r>
    </w:p>
    <w:p w:rsidR="00BD1EF5" w:rsidRDefault="003310B6" w:rsidP="00417CA6">
      <w:pPr>
        <w:pStyle w:val="ListParagraph"/>
        <w:numPr>
          <w:ilvl w:val="0"/>
          <w:numId w:val="34"/>
        </w:numPr>
        <w:spacing w:before="240" w:line="360" w:lineRule="auto"/>
        <w:jc w:val="both"/>
        <w:rPr>
          <w:rFonts w:ascii="Arial" w:hAnsi="Arial" w:cs="Arial"/>
        </w:rPr>
      </w:pPr>
      <w:r>
        <w:rPr>
          <w:rFonts w:ascii="Arial" w:hAnsi="Arial" w:cs="Arial"/>
        </w:rPr>
        <w:t>Are</w:t>
      </w:r>
      <w:r w:rsidR="00BD1EF5">
        <w:rPr>
          <w:rFonts w:ascii="Arial" w:hAnsi="Arial" w:cs="Arial"/>
        </w:rPr>
        <w:t xml:space="preserve"> car dealers </w:t>
      </w:r>
      <w:r>
        <w:rPr>
          <w:rFonts w:ascii="Arial" w:hAnsi="Arial" w:cs="Arial"/>
        </w:rPr>
        <w:t>able to</w:t>
      </w:r>
      <w:r w:rsidR="00BD1EF5">
        <w:rPr>
          <w:rFonts w:ascii="Arial" w:hAnsi="Arial" w:cs="Arial"/>
        </w:rPr>
        <w:t xml:space="preserve"> run down their stock when they know an agreement is not being renewed</w:t>
      </w:r>
      <w:r w:rsidR="00BD1EF5" w:rsidRPr="00BD1EF5">
        <w:rPr>
          <w:rFonts w:ascii="Arial" w:hAnsi="Arial" w:cs="Arial"/>
        </w:rPr>
        <w:t>?</w:t>
      </w:r>
    </w:p>
    <w:p w:rsidR="00BD1EF5" w:rsidRDefault="00BD1EF5" w:rsidP="00417CA6">
      <w:pPr>
        <w:pStyle w:val="ListParagraph"/>
        <w:numPr>
          <w:ilvl w:val="0"/>
          <w:numId w:val="34"/>
        </w:numPr>
        <w:spacing w:before="240" w:line="360" w:lineRule="auto"/>
        <w:jc w:val="both"/>
        <w:rPr>
          <w:rFonts w:ascii="Arial" w:hAnsi="Arial" w:cs="Arial"/>
        </w:rPr>
      </w:pPr>
      <w:r>
        <w:rPr>
          <w:rFonts w:ascii="Arial" w:hAnsi="Arial" w:cs="Arial"/>
        </w:rPr>
        <w:t>How much stock would a dealer typically have remaining when an agreement is not renewed?</w:t>
      </w:r>
    </w:p>
    <w:p w:rsidR="00274CE6" w:rsidRPr="001333D8" w:rsidRDefault="00274CE6" w:rsidP="00417CA6">
      <w:pPr>
        <w:pStyle w:val="ListParagraph"/>
        <w:numPr>
          <w:ilvl w:val="0"/>
          <w:numId w:val="34"/>
        </w:numPr>
        <w:spacing w:before="240" w:line="360" w:lineRule="auto"/>
        <w:jc w:val="both"/>
        <w:rPr>
          <w:rFonts w:ascii="Arial" w:hAnsi="Arial" w:cs="Arial"/>
        </w:rPr>
      </w:pPr>
      <w:r>
        <w:rPr>
          <w:rFonts w:ascii="Arial" w:hAnsi="Arial" w:cs="Arial"/>
        </w:rPr>
        <w:t xml:space="preserve">In what circumstances do buy-back arrangements generally apply in current agreements (for example, at non-renewal, termination by agreement)? </w:t>
      </w:r>
    </w:p>
    <w:p w:rsidR="00847C49" w:rsidRPr="00292220" w:rsidRDefault="00847C49" w:rsidP="00417CA6">
      <w:pPr>
        <w:pStyle w:val="ListParagraph"/>
        <w:numPr>
          <w:ilvl w:val="0"/>
          <w:numId w:val="34"/>
        </w:numPr>
        <w:spacing w:before="240" w:line="360" w:lineRule="auto"/>
        <w:jc w:val="both"/>
        <w:rPr>
          <w:rFonts w:ascii="Arial" w:hAnsi="Arial" w:cs="Arial"/>
        </w:rPr>
      </w:pPr>
      <w:r w:rsidRPr="00292220">
        <w:rPr>
          <w:rFonts w:ascii="Arial" w:hAnsi="Arial" w:cs="Arial"/>
        </w:rPr>
        <w:t>To what extent do dealerships trade stock with other dealership businesses to address the issue of excess stock upon cessation of a franchise agreement?</w:t>
      </w:r>
    </w:p>
    <w:p w:rsidR="00CB1F97" w:rsidRDefault="00CB1F97" w:rsidP="00417CA6">
      <w:pPr>
        <w:pStyle w:val="ListParagraph"/>
        <w:numPr>
          <w:ilvl w:val="0"/>
          <w:numId w:val="34"/>
        </w:numPr>
        <w:spacing w:before="240" w:line="360" w:lineRule="auto"/>
        <w:jc w:val="both"/>
        <w:rPr>
          <w:rFonts w:ascii="Arial" w:hAnsi="Arial" w:cs="Arial"/>
        </w:rPr>
      </w:pPr>
      <w:r>
        <w:rPr>
          <w:rFonts w:ascii="Arial" w:hAnsi="Arial" w:cs="Arial"/>
        </w:rPr>
        <w:t>To what extent do manufacturers buy-back stock upon the conclusion of a dealership agreement?</w:t>
      </w:r>
    </w:p>
    <w:p w:rsidR="00274CE6" w:rsidRDefault="00164D23" w:rsidP="00417CA6">
      <w:pPr>
        <w:pStyle w:val="ListParagraph"/>
        <w:numPr>
          <w:ilvl w:val="0"/>
          <w:numId w:val="34"/>
        </w:numPr>
        <w:spacing w:before="240" w:line="360" w:lineRule="auto"/>
        <w:jc w:val="both"/>
        <w:rPr>
          <w:rFonts w:ascii="Arial" w:hAnsi="Arial" w:cs="Arial"/>
        </w:rPr>
      </w:pPr>
      <w:r>
        <w:rPr>
          <w:rFonts w:ascii="Arial" w:hAnsi="Arial" w:cs="Arial"/>
        </w:rPr>
        <w:t>To what extent would mandating buy-back options deter manufacturers from signing dealership agreements?</w:t>
      </w:r>
    </w:p>
    <w:p w:rsidR="00584F6C" w:rsidRDefault="00584F6C">
      <w:pPr>
        <w:rPr>
          <w:rFonts w:ascii="Arial" w:hAnsi="Arial" w:cs="Arial"/>
          <w:b/>
          <w:bCs/>
        </w:rPr>
      </w:pPr>
      <w:r>
        <w:rPr>
          <w:rFonts w:ascii="Arial" w:hAnsi="Arial" w:cs="Arial"/>
          <w:b/>
          <w:bCs/>
        </w:rPr>
        <w:br w:type="page"/>
      </w:r>
    </w:p>
    <w:p w:rsidR="00DF07F7" w:rsidRPr="00DF07F7" w:rsidRDefault="11FF59B9" w:rsidP="11FF59B9">
      <w:pPr>
        <w:spacing w:before="240" w:line="360" w:lineRule="auto"/>
        <w:jc w:val="both"/>
        <w:rPr>
          <w:rFonts w:ascii="Arial" w:hAnsi="Arial" w:cs="Arial"/>
          <w:b/>
          <w:bCs/>
        </w:rPr>
      </w:pPr>
      <w:r w:rsidRPr="11FF59B9">
        <w:rPr>
          <w:rFonts w:ascii="Arial" w:hAnsi="Arial" w:cs="Arial"/>
          <w:b/>
          <w:bCs/>
        </w:rPr>
        <w:t xml:space="preserve">Option </w:t>
      </w:r>
      <w:r w:rsidR="00BA11D3">
        <w:rPr>
          <w:rFonts w:ascii="Arial" w:hAnsi="Arial" w:cs="Arial"/>
          <w:b/>
          <w:bCs/>
        </w:rPr>
        <w:t>2D</w:t>
      </w:r>
      <w:r w:rsidRPr="11FF59B9">
        <w:rPr>
          <w:rFonts w:ascii="Arial" w:hAnsi="Arial" w:cs="Arial"/>
          <w:b/>
          <w:bCs/>
        </w:rPr>
        <w:t xml:space="preserve"> – Enhanced capital expenditure disclosure</w:t>
      </w:r>
    </w:p>
    <w:p w:rsidR="00BA11D3" w:rsidRPr="002F23A3" w:rsidRDefault="00BA11D3" w:rsidP="00BA11D3">
      <w:pPr>
        <w:spacing w:before="240" w:line="360" w:lineRule="auto"/>
        <w:jc w:val="both"/>
        <w:rPr>
          <w:rFonts w:ascii="Arial" w:hAnsi="Arial" w:cs="Arial"/>
        </w:rPr>
      </w:pPr>
      <w:r w:rsidRPr="11FF59B9">
        <w:rPr>
          <w:rFonts w:ascii="Arial" w:hAnsi="Arial" w:cs="Arial"/>
        </w:rPr>
        <w:t>Under the Franchising Code, a franchisor is only able to require a franchisee to undertake significant capital expenditure in limited circumstances. One of those circumstances is where the expenditure was disclosed prior to entering into the franchise agreement</w:t>
      </w:r>
      <w:r w:rsidR="00657D3E">
        <w:rPr>
          <w:rFonts w:ascii="Arial" w:hAnsi="Arial" w:cs="Arial"/>
        </w:rPr>
        <w:t xml:space="preserve"> (see Appendix 2 for a complete list of circumstances)</w:t>
      </w:r>
      <w:r w:rsidRPr="11FF59B9">
        <w:rPr>
          <w:rFonts w:ascii="Arial" w:hAnsi="Arial" w:cs="Arial"/>
        </w:rPr>
        <w:t xml:space="preserve">. </w:t>
      </w:r>
      <w:r w:rsidR="00EE298F">
        <w:rPr>
          <w:rFonts w:ascii="Arial" w:hAnsi="Arial" w:cs="Arial"/>
        </w:rPr>
        <w:t xml:space="preserve">DIIS </w:t>
      </w:r>
      <w:r w:rsidR="00F75F49">
        <w:rPr>
          <w:rFonts w:ascii="Arial" w:hAnsi="Arial" w:cs="Arial"/>
        </w:rPr>
        <w:t>has</w:t>
      </w:r>
      <w:r w:rsidR="00EE298F">
        <w:rPr>
          <w:rFonts w:ascii="Arial" w:hAnsi="Arial" w:cs="Arial"/>
        </w:rPr>
        <w:t xml:space="preserve"> heard that s</w:t>
      </w:r>
      <w:r w:rsidRPr="11FF59B9">
        <w:rPr>
          <w:rFonts w:ascii="Arial" w:hAnsi="Arial" w:cs="Arial"/>
        </w:rPr>
        <w:t xml:space="preserve">ome manufacturers </w:t>
      </w:r>
      <w:r w:rsidR="00EE298F">
        <w:rPr>
          <w:rFonts w:ascii="Arial" w:hAnsi="Arial" w:cs="Arial"/>
        </w:rPr>
        <w:t xml:space="preserve">can </w:t>
      </w:r>
      <w:r w:rsidRPr="11FF59B9">
        <w:rPr>
          <w:rFonts w:ascii="Arial" w:hAnsi="Arial" w:cs="Arial"/>
        </w:rPr>
        <w:t xml:space="preserve">disclose extreme ranges of capital expenditure that may be required (e.g. </w:t>
      </w:r>
      <w:r>
        <w:rPr>
          <w:rFonts w:ascii="Arial" w:hAnsi="Arial" w:cs="Arial"/>
        </w:rPr>
        <w:t>$50 thousand to $50 million in establishment costs)</w:t>
      </w:r>
      <w:r w:rsidRPr="11FF59B9">
        <w:rPr>
          <w:rFonts w:ascii="Arial" w:hAnsi="Arial" w:cs="Arial"/>
        </w:rPr>
        <w:t>, making the disclosure effectively meaningless.</w:t>
      </w:r>
    </w:p>
    <w:p w:rsidR="00050DF1" w:rsidRDefault="11FF59B9" w:rsidP="11FF59B9">
      <w:pPr>
        <w:spacing w:before="240" w:line="360" w:lineRule="auto"/>
        <w:jc w:val="both"/>
        <w:rPr>
          <w:rFonts w:ascii="Arial" w:hAnsi="Arial" w:cs="Arial"/>
        </w:rPr>
      </w:pPr>
      <w:r w:rsidRPr="11FF59B9">
        <w:rPr>
          <w:rFonts w:ascii="Arial" w:hAnsi="Arial" w:cs="Arial"/>
        </w:rPr>
        <w:t xml:space="preserve">Under this option, automotive franchisors would only be able to require significant capital expenditure to be undertaken when that expenditure is disclosed with a high degree of specificity regarding the quantum, size and timing of the expenditure. To ensure the effectiveness of this obligation, a car manufacturer would no longer be able to rely on </w:t>
      </w:r>
      <w:r w:rsidR="00D63092">
        <w:rPr>
          <w:rFonts w:ascii="Arial" w:hAnsi="Arial" w:cs="Arial"/>
        </w:rPr>
        <w:t>Clause</w:t>
      </w:r>
      <w:r w:rsidRPr="11FF59B9">
        <w:rPr>
          <w:rFonts w:ascii="Arial" w:hAnsi="Arial" w:cs="Arial"/>
        </w:rPr>
        <w:t xml:space="preserve"> 30(2)(e) of the Franchising Code, which enables a franchisor to require significant capital expenditure to be undertaken when justified by a written statement including certain information.</w:t>
      </w:r>
    </w:p>
    <w:p w:rsidR="006766C7" w:rsidRPr="001F2008" w:rsidRDefault="001F2008" w:rsidP="001F2008">
      <w:pPr>
        <w:spacing w:before="240" w:line="360" w:lineRule="auto"/>
        <w:jc w:val="both"/>
        <w:rPr>
          <w:rFonts w:ascii="Arial" w:hAnsi="Arial" w:cs="Arial"/>
          <w:color w:val="FF0000"/>
        </w:rPr>
      </w:pPr>
      <w:r w:rsidRPr="001F2008">
        <w:rPr>
          <w:rFonts w:ascii="Arial" w:hAnsi="Arial" w:cs="Arial"/>
        </w:rPr>
        <w:t>As discussed above, there exists an information asymmetry between car manufacturers and new car dealers with car manufacturers typically holding greater information about the long term strategy for the brand and the overall health of the entire dealer network. This information asymmetry has resulted in a market failure leading to sub-o</w:t>
      </w:r>
      <w:r w:rsidR="0032740B">
        <w:rPr>
          <w:rFonts w:ascii="Arial" w:hAnsi="Arial" w:cs="Arial"/>
        </w:rPr>
        <w:t>ptimal outcome</w:t>
      </w:r>
      <w:r w:rsidR="0032740B" w:rsidRPr="0032740B">
        <w:rPr>
          <w:rFonts w:ascii="Arial" w:hAnsi="Arial" w:cs="Arial"/>
        </w:rPr>
        <w:t>s for car dealers,</w:t>
      </w:r>
      <w:r w:rsidRPr="0032740B">
        <w:rPr>
          <w:rFonts w:ascii="Arial" w:hAnsi="Arial" w:cs="Arial"/>
        </w:rPr>
        <w:t xml:space="preserve"> particularly when they undertake significant capital expenditure, such as purpose built facilities to showcase cars in line with the manufacturers’ preference</w:t>
      </w:r>
      <w:r w:rsidRPr="00D52DC9">
        <w:rPr>
          <w:rFonts w:ascii="Arial" w:hAnsi="Arial" w:cs="Arial"/>
        </w:rPr>
        <w:t>. Disclosure of capital expenditure is not specific enough and there is insufficient regard for capital outlays undertaken by dealers which cannot be recouped during the term of the existing dealership agreement.</w:t>
      </w:r>
    </w:p>
    <w:p w:rsidR="006766C7" w:rsidRPr="00F9581D" w:rsidRDefault="11FF59B9" w:rsidP="00FF4312">
      <w:pPr>
        <w:keepNext/>
        <w:rPr>
          <w:rFonts w:ascii="Arial" w:hAnsi="Arial" w:cs="Arial"/>
          <w:i/>
          <w:iCs/>
        </w:rPr>
      </w:pPr>
      <w:r w:rsidRPr="11FF59B9">
        <w:rPr>
          <w:rFonts w:ascii="Arial" w:hAnsi="Arial" w:cs="Arial"/>
          <w:i/>
          <w:iCs/>
        </w:rPr>
        <w:t>Impact on car dealers</w:t>
      </w:r>
    </w:p>
    <w:p w:rsidR="006766C7" w:rsidRPr="002F23A3" w:rsidRDefault="11FF59B9" w:rsidP="00FF4312">
      <w:pPr>
        <w:keepNext/>
        <w:spacing w:before="240" w:line="360" w:lineRule="auto"/>
        <w:jc w:val="both"/>
        <w:rPr>
          <w:rFonts w:ascii="Arial" w:hAnsi="Arial" w:cs="Arial"/>
        </w:rPr>
      </w:pPr>
      <w:r w:rsidRPr="11FF59B9">
        <w:rPr>
          <w:rFonts w:ascii="Arial" w:hAnsi="Arial" w:cs="Arial"/>
        </w:rPr>
        <w:t>Short and uncertain tenure and poor disclosure practices provide manufacturers with the ability to apply commercial pressure to new car dealers to incur significant capital expenditure in the form of refurbishments, building new premises or relocating premises, the costs of which may not be able to be recouped during the life of the agreement.</w:t>
      </w:r>
    </w:p>
    <w:p w:rsidR="006766C7" w:rsidRPr="002F23A3" w:rsidRDefault="00FD6071" w:rsidP="11FF59B9">
      <w:pPr>
        <w:spacing w:before="240" w:line="360" w:lineRule="auto"/>
        <w:jc w:val="both"/>
        <w:rPr>
          <w:rFonts w:ascii="Arial" w:hAnsi="Arial" w:cs="Arial"/>
        </w:rPr>
      </w:pPr>
      <w:r>
        <w:rPr>
          <w:rFonts w:ascii="Arial" w:hAnsi="Arial" w:cs="Arial"/>
        </w:rPr>
        <w:t>Limiting</w:t>
      </w:r>
      <w:r w:rsidRPr="11FF59B9">
        <w:rPr>
          <w:rFonts w:ascii="Arial" w:hAnsi="Arial" w:cs="Arial"/>
        </w:rPr>
        <w:t xml:space="preserve"> </w:t>
      </w:r>
      <w:r w:rsidR="11FF59B9" w:rsidRPr="11FF59B9">
        <w:rPr>
          <w:rFonts w:ascii="Arial" w:hAnsi="Arial" w:cs="Arial"/>
        </w:rPr>
        <w:t>car manufacturers</w:t>
      </w:r>
      <w:r w:rsidR="009B4D8A">
        <w:rPr>
          <w:rFonts w:ascii="Arial" w:hAnsi="Arial" w:cs="Arial"/>
        </w:rPr>
        <w:t>’</w:t>
      </w:r>
      <w:r w:rsidR="11FF59B9" w:rsidRPr="11FF59B9">
        <w:rPr>
          <w:rFonts w:ascii="Arial" w:hAnsi="Arial" w:cs="Arial"/>
        </w:rPr>
        <w:t xml:space="preserve"> </w:t>
      </w:r>
      <w:r>
        <w:rPr>
          <w:rFonts w:ascii="Arial" w:hAnsi="Arial" w:cs="Arial"/>
        </w:rPr>
        <w:t>ability</w:t>
      </w:r>
      <w:r w:rsidR="11FF59B9" w:rsidRPr="11FF59B9">
        <w:rPr>
          <w:rFonts w:ascii="Arial" w:hAnsi="Arial" w:cs="Arial"/>
        </w:rPr>
        <w:t xml:space="preserve"> to require a dealer to undertake capital expenditure unless disclosed prior to entering into the arrangement</w:t>
      </w:r>
      <w:r w:rsidR="0094477E">
        <w:rPr>
          <w:rFonts w:ascii="Arial" w:hAnsi="Arial" w:cs="Arial"/>
        </w:rPr>
        <w:t xml:space="preserve"> with greater specificity and</w:t>
      </w:r>
      <w:r w:rsidR="11FF59B9" w:rsidRPr="11FF59B9">
        <w:rPr>
          <w:rFonts w:ascii="Arial" w:hAnsi="Arial" w:cs="Arial"/>
        </w:rPr>
        <w:t xml:space="preserve"> </w:t>
      </w:r>
      <w:r w:rsidR="0094477E" w:rsidRPr="11FF59B9">
        <w:rPr>
          <w:rFonts w:ascii="Arial" w:hAnsi="Arial" w:cs="Arial"/>
        </w:rPr>
        <w:t xml:space="preserve">agreed to by the dealer </w:t>
      </w:r>
      <w:r w:rsidR="11FF59B9" w:rsidRPr="11FF59B9">
        <w:rPr>
          <w:rFonts w:ascii="Arial" w:hAnsi="Arial" w:cs="Arial"/>
        </w:rPr>
        <w:t>will help to ensure that dealers only undertake capital expenditure that they consider to be in their interests. It will also encourage manufacturers to work with their dealer networks to develop capital expenditure plans that both parties support.</w:t>
      </w:r>
    </w:p>
    <w:p w:rsidR="006766C7" w:rsidRPr="002F23A3" w:rsidRDefault="11FF59B9" w:rsidP="11FF59B9">
      <w:pPr>
        <w:spacing w:before="240" w:line="360" w:lineRule="auto"/>
        <w:jc w:val="both"/>
        <w:rPr>
          <w:rFonts w:ascii="Arial" w:hAnsi="Arial" w:cs="Arial"/>
        </w:rPr>
      </w:pPr>
      <w:r w:rsidRPr="11FF59B9">
        <w:rPr>
          <w:rFonts w:ascii="Arial" w:hAnsi="Arial" w:cs="Arial"/>
        </w:rPr>
        <w:t>While manufacturers would not be able to force dealer</w:t>
      </w:r>
      <w:r w:rsidR="00F75F49">
        <w:rPr>
          <w:rFonts w:ascii="Arial" w:hAnsi="Arial" w:cs="Arial"/>
        </w:rPr>
        <w:t>s</w:t>
      </w:r>
      <w:r w:rsidRPr="11FF59B9">
        <w:rPr>
          <w:rFonts w:ascii="Arial" w:hAnsi="Arial" w:cs="Arial"/>
        </w:rPr>
        <w:t xml:space="preserve"> to undertake capital expenditure,</w:t>
      </w:r>
      <w:r w:rsidR="0094477E">
        <w:rPr>
          <w:rFonts w:ascii="Arial" w:hAnsi="Arial" w:cs="Arial"/>
        </w:rPr>
        <w:t xml:space="preserve"> dealers may still feel compelled to undertake capital expenditure even if it cannot be recouped during the term of their agreement as a way of ensuring renewal of the franchise agreement. </w:t>
      </w:r>
      <w:r w:rsidRPr="11FF59B9">
        <w:rPr>
          <w:rFonts w:ascii="Arial" w:hAnsi="Arial" w:cs="Arial"/>
        </w:rPr>
        <w:t xml:space="preserve">Thus, while this option may reduce the commercial pressure applied to car dealers to undertake capital expenditure, it </w:t>
      </w:r>
      <w:r w:rsidR="0094477E">
        <w:rPr>
          <w:rFonts w:ascii="Arial" w:hAnsi="Arial" w:cs="Arial"/>
        </w:rPr>
        <w:t xml:space="preserve">would not eliminate it entirely. </w:t>
      </w:r>
    </w:p>
    <w:p w:rsidR="006766C7" w:rsidRPr="00F9581D" w:rsidRDefault="11FF59B9" w:rsidP="11FF59B9">
      <w:pPr>
        <w:keepNext/>
        <w:rPr>
          <w:rFonts w:ascii="Arial" w:hAnsi="Arial" w:cs="Arial"/>
          <w:i/>
          <w:iCs/>
        </w:rPr>
      </w:pPr>
      <w:r w:rsidRPr="11FF59B9">
        <w:rPr>
          <w:rFonts w:ascii="Arial" w:hAnsi="Arial" w:cs="Arial"/>
          <w:i/>
          <w:iCs/>
        </w:rPr>
        <w:t>Impact on manufacturers</w:t>
      </w:r>
    </w:p>
    <w:p w:rsidR="006766C7" w:rsidRPr="002F23A3" w:rsidRDefault="11FF59B9" w:rsidP="11FF59B9">
      <w:pPr>
        <w:spacing w:before="240" w:line="360" w:lineRule="auto"/>
        <w:jc w:val="both"/>
        <w:rPr>
          <w:rFonts w:ascii="Arial" w:hAnsi="Arial" w:cs="Arial"/>
        </w:rPr>
      </w:pPr>
      <w:r w:rsidRPr="11FF59B9">
        <w:rPr>
          <w:rFonts w:ascii="Arial" w:hAnsi="Arial" w:cs="Arial"/>
        </w:rPr>
        <w:t xml:space="preserve">Manufacturers </w:t>
      </w:r>
      <w:r w:rsidR="00657D3E">
        <w:rPr>
          <w:rFonts w:ascii="Arial" w:hAnsi="Arial" w:cs="Arial"/>
        </w:rPr>
        <w:t xml:space="preserve">would have reduced flexibility and </w:t>
      </w:r>
      <w:r w:rsidR="00AD3984">
        <w:rPr>
          <w:rFonts w:ascii="Arial" w:hAnsi="Arial" w:cs="Arial"/>
        </w:rPr>
        <w:t xml:space="preserve">requiring </w:t>
      </w:r>
      <w:r w:rsidR="00AD3984" w:rsidRPr="11FF59B9">
        <w:rPr>
          <w:rFonts w:ascii="Arial" w:hAnsi="Arial" w:cs="Arial"/>
        </w:rPr>
        <w:t>car</w:t>
      </w:r>
      <w:r w:rsidRPr="11FF59B9">
        <w:rPr>
          <w:rFonts w:ascii="Arial" w:hAnsi="Arial" w:cs="Arial"/>
        </w:rPr>
        <w:t xml:space="preserve"> dealers to undertake significant capital expenditure</w:t>
      </w:r>
      <w:r w:rsidR="00657D3E">
        <w:rPr>
          <w:rFonts w:ascii="Arial" w:hAnsi="Arial" w:cs="Arial"/>
        </w:rPr>
        <w:t xml:space="preserve"> would require better planning</w:t>
      </w:r>
      <w:r w:rsidR="00183689">
        <w:rPr>
          <w:rFonts w:ascii="Arial" w:hAnsi="Arial" w:cs="Arial"/>
        </w:rPr>
        <w:t xml:space="preserve">, as they will have </w:t>
      </w:r>
      <w:r w:rsidR="0094477E">
        <w:rPr>
          <w:rFonts w:ascii="Arial" w:hAnsi="Arial" w:cs="Arial"/>
        </w:rPr>
        <w:t>to provide a narrow</w:t>
      </w:r>
      <w:r w:rsidR="006C1668">
        <w:rPr>
          <w:rFonts w:ascii="Arial" w:hAnsi="Arial" w:cs="Arial"/>
        </w:rPr>
        <w:t>e</w:t>
      </w:r>
      <w:r w:rsidR="00657D3E">
        <w:rPr>
          <w:rFonts w:ascii="Arial" w:hAnsi="Arial" w:cs="Arial"/>
        </w:rPr>
        <w:t>r</w:t>
      </w:r>
      <w:r w:rsidR="0094477E">
        <w:rPr>
          <w:rFonts w:ascii="Arial" w:hAnsi="Arial" w:cs="Arial"/>
        </w:rPr>
        <w:t xml:space="preserve"> indicator of range when it comes to capital expenditure. </w:t>
      </w:r>
      <w:r w:rsidRPr="11FF59B9">
        <w:rPr>
          <w:rFonts w:ascii="Arial" w:hAnsi="Arial" w:cs="Arial"/>
        </w:rPr>
        <w:t>Under th</w:t>
      </w:r>
      <w:r w:rsidR="00183689">
        <w:rPr>
          <w:rFonts w:ascii="Arial" w:hAnsi="Arial" w:cs="Arial"/>
        </w:rPr>
        <w:t>is option</w:t>
      </w:r>
      <w:r w:rsidRPr="11FF59B9">
        <w:rPr>
          <w:rFonts w:ascii="Arial" w:hAnsi="Arial" w:cs="Arial"/>
        </w:rPr>
        <w:t>, manufacturers may need to plan significant capital expenditure programs either well in advance (so that they can be included in the relevant disclosure material) or in a way that gains dealers support for the proposed expenditure.</w:t>
      </w:r>
    </w:p>
    <w:p w:rsidR="0094477E" w:rsidRPr="002F23A3" w:rsidRDefault="11FF59B9" w:rsidP="11FF59B9">
      <w:pPr>
        <w:spacing w:before="240" w:line="360" w:lineRule="auto"/>
        <w:jc w:val="both"/>
        <w:rPr>
          <w:rFonts w:ascii="Arial" w:hAnsi="Arial" w:cs="Arial"/>
        </w:rPr>
      </w:pPr>
      <w:r w:rsidRPr="11FF59B9">
        <w:rPr>
          <w:rFonts w:ascii="Arial" w:hAnsi="Arial" w:cs="Arial"/>
        </w:rPr>
        <w:t xml:space="preserve">Importantly, </w:t>
      </w:r>
      <w:r w:rsidR="00183689">
        <w:rPr>
          <w:rFonts w:ascii="Arial" w:hAnsi="Arial" w:cs="Arial"/>
        </w:rPr>
        <w:t xml:space="preserve">as currently allowed under the Franchising Code, </w:t>
      </w:r>
      <w:r w:rsidR="00657D3E">
        <w:rPr>
          <w:rFonts w:ascii="Arial" w:hAnsi="Arial" w:cs="Arial"/>
        </w:rPr>
        <w:t xml:space="preserve">even where the expenditure is not disclosed, </w:t>
      </w:r>
      <w:r w:rsidRPr="11FF59B9">
        <w:rPr>
          <w:rFonts w:ascii="Arial" w:hAnsi="Arial" w:cs="Arial"/>
        </w:rPr>
        <w:t xml:space="preserve">manufacturers would still be able to require significant capital expenditure to be undertaken where the expenditure will be incurred by a majority of franchisees and a majority of franchisees approve the expense. As such, </w:t>
      </w:r>
      <w:r w:rsidR="0078230A">
        <w:rPr>
          <w:rFonts w:ascii="Arial" w:hAnsi="Arial" w:cs="Arial"/>
        </w:rPr>
        <w:t>a</w:t>
      </w:r>
      <w:r w:rsidRPr="11FF59B9">
        <w:rPr>
          <w:rFonts w:ascii="Arial" w:hAnsi="Arial" w:cs="Arial"/>
        </w:rPr>
        <w:t xml:space="preserve"> </w:t>
      </w:r>
      <w:r w:rsidR="00183689">
        <w:rPr>
          <w:rFonts w:ascii="Arial" w:hAnsi="Arial" w:cs="Arial"/>
        </w:rPr>
        <w:t>minority group</w:t>
      </w:r>
      <w:r w:rsidRPr="11FF59B9">
        <w:rPr>
          <w:rFonts w:ascii="Arial" w:hAnsi="Arial" w:cs="Arial"/>
        </w:rPr>
        <w:t xml:space="preserve"> of dealers will not be able to prevent expenditure that has the support of the majority of the dealer network. </w:t>
      </w:r>
    </w:p>
    <w:p w:rsidR="006766C7" w:rsidRDefault="11FF59B9" w:rsidP="11FF59B9">
      <w:pPr>
        <w:rPr>
          <w:rFonts w:ascii="Arial" w:hAnsi="Arial" w:cs="Arial"/>
          <w:i/>
          <w:iCs/>
        </w:rPr>
      </w:pPr>
      <w:r w:rsidRPr="11FF59B9">
        <w:rPr>
          <w:rFonts w:ascii="Arial" w:hAnsi="Arial" w:cs="Arial"/>
          <w:i/>
          <w:iCs/>
        </w:rPr>
        <w:t>Net benefit</w:t>
      </w:r>
    </w:p>
    <w:p w:rsidR="006766C7" w:rsidRDefault="11FF59B9" w:rsidP="11FF59B9">
      <w:pPr>
        <w:spacing w:before="240" w:line="360" w:lineRule="auto"/>
        <w:jc w:val="both"/>
        <w:rPr>
          <w:rFonts w:ascii="Arial" w:hAnsi="Arial" w:cs="Arial"/>
        </w:rPr>
      </w:pPr>
      <w:r w:rsidRPr="11FF59B9">
        <w:rPr>
          <w:rFonts w:ascii="Arial" w:hAnsi="Arial" w:cs="Arial"/>
        </w:rPr>
        <w:t xml:space="preserve">This option would benefit car dealers by reducing the likelihood that they will be required to incur significant capital expenditure </w:t>
      </w:r>
      <w:r w:rsidR="00657D3E">
        <w:rPr>
          <w:rFonts w:ascii="Arial" w:hAnsi="Arial" w:cs="Arial"/>
        </w:rPr>
        <w:t>for which they have not planned</w:t>
      </w:r>
      <w:r w:rsidRPr="11FF59B9">
        <w:rPr>
          <w:rFonts w:ascii="Arial" w:hAnsi="Arial" w:cs="Arial"/>
        </w:rPr>
        <w:t>. While manufacturers would find it more difficult to compel dealers to undertake significant capital expenditure</w:t>
      </w:r>
      <w:r w:rsidR="00883911">
        <w:rPr>
          <w:rFonts w:ascii="Arial" w:hAnsi="Arial" w:cs="Arial"/>
        </w:rPr>
        <w:t xml:space="preserve"> through prior disclosure</w:t>
      </w:r>
      <w:r w:rsidRPr="11FF59B9">
        <w:rPr>
          <w:rFonts w:ascii="Arial" w:hAnsi="Arial" w:cs="Arial"/>
        </w:rPr>
        <w:t>, they would still have a number of avenues to do so:</w:t>
      </w:r>
    </w:p>
    <w:p w:rsidR="006766C7" w:rsidRPr="00EB4634" w:rsidRDefault="11FF59B9" w:rsidP="11FF59B9">
      <w:pPr>
        <w:pStyle w:val="ListParagraph"/>
        <w:numPr>
          <w:ilvl w:val="0"/>
          <w:numId w:val="14"/>
        </w:numPr>
        <w:spacing w:before="240" w:line="360" w:lineRule="auto"/>
        <w:jc w:val="both"/>
        <w:rPr>
          <w:rFonts w:ascii="Arial" w:hAnsi="Arial" w:cs="Arial"/>
        </w:rPr>
      </w:pPr>
      <w:r w:rsidRPr="11FF59B9">
        <w:rPr>
          <w:rFonts w:ascii="Arial" w:hAnsi="Arial" w:cs="Arial"/>
        </w:rPr>
        <w:t>the manufacturer could gain the dealer’s support for the expenditure;</w:t>
      </w:r>
    </w:p>
    <w:p w:rsidR="006766C7" w:rsidRPr="00EB4634" w:rsidRDefault="11FF59B9" w:rsidP="11FF59B9">
      <w:pPr>
        <w:pStyle w:val="ListParagraph"/>
        <w:numPr>
          <w:ilvl w:val="0"/>
          <w:numId w:val="14"/>
        </w:numPr>
        <w:spacing w:before="240" w:line="360" w:lineRule="auto"/>
        <w:jc w:val="both"/>
        <w:rPr>
          <w:rFonts w:ascii="Arial" w:hAnsi="Arial" w:cs="Arial"/>
        </w:rPr>
      </w:pPr>
      <w:r w:rsidRPr="11FF59B9">
        <w:rPr>
          <w:rFonts w:ascii="Arial" w:hAnsi="Arial" w:cs="Arial"/>
        </w:rPr>
        <w:t>the manufacturer could include the detailed disclosure when the agreement is renewed and require the expenditure to be undertaken early in the agreement; or</w:t>
      </w:r>
    </w:p>
    <w:p w:rsidR="006766C7" w:rsidRPr="00EB4634" w:rsidRDefault="00EE298F" w:rsidP="11FF59B9">
      <w:pPr>
        <w:pStyle w:val="ListParagraph"/>
        <w:numPr>
          <w:ilvl w:val="0"/>
          <w:numId w:val="14"/>
        </w:numPr>
        <w:spacing w:before="240" w:line="360" w:lineRule="auto"/>
        <w:jc w:val="both"/>
        <w:rPr>
          <w:rFonts w:ascii="Arial" w:hAnsi="Arial" w:cs="Arial"/>
          <w:sz w:val="24"/>
          <w:szCs w:val="24"/>
        </w:rPr>
      </w:pPr>
      <w:r>
        <w:rPr>
          <w:rFonts w:ascii="Arial" w:hAnsi="Arial" w:cs="Arial"/>
        </w:rPr>
        <w:t>i</w:t>
      </w:r>
      <w:r w:rsidR="11FF59B9" w:rsidRPr="11FF59B9">
        <w:rPr>
          <w:rFonts w:ascii="Arial" w:hAnsi="Arial" w:cs="Arial"/>
        </w:rPr>
        <w:t>f all franchisees are being required to undertake the expenditure, the manufacturer could seek to gain the support of the majority of franchisees.</w:t>
      </w:r>
    </w:p>
    <w:p w:rsidR="006766C7" w:rsidRPr="00EB4634" w:rsidRDefault="11FF59B9" w:rsidP="11FF59B9">
      <w:pPr>
        <w:spacing w:before="240" w:line="360" w:lineRule="auto"/>
        <w:jc w:val="both"/>
        <w:rPr>
          <w:rFonts w:ascii="Arial" w:hAnsi="Arial" w:cs="Arial"/>
        </w:rPr>
      </w:pPr>
      <w:r w:rsidRPr="11FF59B9">
        <w:rPr>
          <w:rFonts w:ascii="Arial" w:hAnsi="Arial" w:cs="Arial"/>
        </w:rPr>
        <w:t xml:space="preserve">Given that this option would benefit dealers but still provide a range of mechanisms via which manufacturers can require significant capital expenditure to be undertaken that they consider necessary, this option is likely to have a positive net benefit. </w:t>
      </w:r>
    </w:p>
    <w:p w:rsidR="00686ED4" w:rsidRPr="007F7F96" w:rsidRDefault="00686ED4" w:rsidP="00686ED4">
      <w:pPr>
        <w:keepNext/>
        <w:spacing w:before="240" w:line="360" w:lineRule="auto"/>
        <w:jc w:val="both"/>
        <w:rPr>
          <w:rFonts w:ascii="Arial" w:hAnsi="Arial" w:cs="Arial"/>
          <w:i/>
        </w:rPr>
      </w:pPr>
      <w:r w:rsidRPr="007F7F96">
        <w:rPr>
          <w:rFonts w:ascii="Arial" w:hAnsi="Arial" w:cs="Arial"/>
          <w:i/>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
      </w:tblPr>
      <w:tblGrid>
        <w:gridCol w:w="2128"/>
        <w:gridCol w:w="1646"/>
        <w:gridCol w:w="2170"/>
        <w:gridCol w:w="1946"/>
        <w:gridCol w:w="1574"/>
      </w:tblGrid>
      <w:tr w:rsidR="00686ED4" w:rsidRPr="00282C83" w:rsidTr="00E2100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rsidR="00686ED4" w:rsidRPr="00282C83" w:rsidRDefault="00686ED4" w:rsidP="00E2100B">
            <w:pPr>
              <w:rPr>
                <w:rFonts w:ascii="Arial" w:hAnsi="Arial" w:cs="Arial"/>
                <w:bCs w:val="0"/>
                <w:sz w:val="20"/>
                <w:szCs w:val="20"/>
              </w:rPr>
            </w:pPr>
            <w:r>
              <w:rPr>
                <w:rFonts w:ascii="Arial" w:hAnsi="Arial" w:cs="Arial"/>
                <w:sz w:val="20"/>
                <w:szCs w:val="20"/>
              </w:rPr>
              <w:t xml:space="preserve">Total Option </w:t>
            </w:r>
            <w:r w:rsidR="00276895">
              <w:rPr>
                <w:rFonts w:ascii="Arial" w:hAnsi="Arial" w:cs="Arial"/>
                <w:sz w:val="20"/>
                <w:szCs w:val="20"/>
              </w:rPr>
              <w:t>2D</w:t>
            </w:r>
            <w:r w:rsidR="003A4A6D">
              <w:rPr>
                <w:rFonts w:ascii="Arial" w:hAnsi="Arial" w:cs="Arial"/>
                <w:sz w:val="20"/>
                <w:szCs w:val="20"/>
              </w:rPr>
              <w:t xml:space="preserve"> </w:t>
            </w:r>
            <w:r>
              <w:rPr>
                <w:rFonts w:ascii="Arial" w:hAnsi="Arial" w:cs="Arial"/>
                <w:sz w:val="20"/>
                <w:szCs w:val="20"/>
              </w:rPr>
              <w:t>Costs</w:t>
            </w:r>
            <w:r w:rsidRPr="00282C83">
              <w:rPr>
                <w:rFonts w:ascii="Arial" w:hAnsi="Arial" w:cs="Arial"/>
                <w:sz w:val="20"/>
                <w:szCs w:val="20"/>
              </w:rPr>
              <w:t xml:space="preserve"> - Average annual regulatory costs </w:t>
            </w:r>
            <w:r>
              <w:rPr>
                <w:rFonts w:ascii="Arial" w:hAnsi="Arial" w:cs="Arial"/>
                <w:sz w:val="20"/>
                <w:szCs w:val="20"/>
              </w:rPr>
              <w:t>(ten years)</w:t>
            </w:r>
          </w:p>
        </w:tc>
      </w:tr>
      <w:tr w:rsidR="00686ED4" w:rsidRPr="00282C83" w:rsidTr="00E2100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686ED4" w:rsidRPr="00282C83" w:rsidRDefault="00686ED4" w:rsidP="00E2100B">
            <w:pPr>
              <w:pStyle w:val="TableText"/>
              <w:rPr>
                <w:b w:val="0"/>
                <w:bCs/>
              </w:rPr>
            </w:pPr>
            <w:r w:rsidRPr="00282C83">
              <w:rPr>
                <w:b w:val="0"/>
              </w:rPr>
              <w:t>Change in costs</w:t>
            </w:r>
            <w:r w:rsidRPr="00282C83">
              <w:rPr>
                <w:rFonts w:cs="Calibri"/>
                <w:b w:val="0"/>
                <w:iCs/>
              </w:rPr>
              <w:t xml:space="preserve"> ($ million)</w:t>
            </w:r>
          </w:p>
        </w:tc>
        <w:tc>
          <w:tcPr>
            <w:tcW w:w="1646"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t>Business</w:t>
            </w:r>
          </w:p>
        </w:tc>
        <w:tc>
          <w:tcPr>
            <w:tcW w:w="2170"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Community organisations</w:t>
            </w:r>
          </w:p>
        </w:tc>
        <w:tc>
          <w:tcPr>
            <w:tcW w:w="1946"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t>Individuals</w:t>
            </w:r>
          </w:p>
        </w:tc>
        <w:tc>
          <w:tcPr>
            <w:tcW w:w="1574"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Total change in cost</w:t>
            </w:r>
          </w:p>
        </w:tc>
      </w:tr>
      <w:tr w:rsidR="00686ED4" w:rsidRPr="00282C83" w:rsidTr="00E2100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686ED4" w:rsidRPr="00282C83" w:rsidRDefault="00686ED4" w:rsidP="00E2100B">
            <w:pPr>
              <w:pStyle w:val="TableText"/>
              <w:rPr>
                <w:b w:val="0"/>
                <w:bCs/>
              </w:rPr>
            </w:pPr>
            <w:r w:rsidRPr="00282C83">
              <w:rPr>
                <w:b w:val="0"/>
              </w:rPr>
              <w:t>Total, by sector</w:t>
            </w:r>
          </w:p>
        </w:tc>
        <w:tc>
          <w:tcPr>
            <w:tcW w:w="1646" w:type="dxa"/>
            <w:noWrap/>
          </w:tcPr>
          <w:p w:rsidR="00686ED4" w:rsidRPr="00282C83"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w:t>
            </w:r>
            <w:r w:rsidR="005451C6">
              <w:rPr>
                <w:rFonts w:cs="Calibri"/>
                <w:iCs/>
              </w:rPr>
              <w:t>70</w:t>
            </w:r>
          </w:p>
        </w:tc>
        <w:tc>
          <w:tcPr>
            <w:tcW w:w="2170" w:type="dxa"/>
            <w:noWrap/>
          </w:tcPr>
          <w:p w:rsidR="00686ED4" w:rsidRPr="00282C83"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rsidR="00686ED4" w:rsidRPr="00282C83"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rsidR="00686ED4" w:rsidRPr="00282C83"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w:t>
            </w:r>
            <w:r w:rsidR="005451C6">
              <w:rPr>
                <w:rFonts w:cs="Calibri"/>
                <w:iCs/>
              </w:rPr>
              <w:t>70</w:t>
            </w:r>
          </w:p>
        </w:tc>
      </w:tr>
    </w:tbl>
    <w:p w:rsidR="00686ED4" w:rsidRPr="007F7F96" w:rsidRDefault="00686ED4" w:rsidP="00686ED4">
      <w:pPr>
        <w:spacing w:before="240" w:line="360" w:lineRule="auto"/>
        <w:jc w:val="both"/>
        <w:rPr>
          <w:rFonts w:ascii="Arial" w:hAnsi="Arial" w:cs="Arial"/>
        </w:rPr>
      </w:pPr>
      <w:r w:rsidRPr="007F7F96">
        <w:rPr>
          <w:rFonts w:ascii="Arial" w:hAnsi="Arial" w:cs="Arial"/>
        </w:rPr>
        <w:t>Regulatory burden would be incurred by firms as new terms in dealership agreements would need to be drafted when dealership agreements are renewed.</w:t>
      </w:r>
      <w:r>
        <w:rPr>
          <w:rFonts w:ascii="Arial" w:hAnsi="Arial" w:cs="Arial"/>
        </w:rPr>
        <w:t xml:space="preserve"> The regulatory impact would be incurred each time a dealer agreement is renewed, as required capital expenditure is likely to vary for each agreement.</w:t>
      </w:r>
    </w:p>
    <w:p w:rsidR="008522F8" w:rsidRDefault="008522F8" w:rsidP="008522F8">
      <w:pPr>
        <w:spacing w:before="240" w:line="360" w:lineRule="auto"/>
        <w:jc w:val="both"/>
        <w:rPr>
          <w:rFonts w:ascii="Arial" w:hAnsi="Arial" w:cs="Arial"/>
        </w:rPr>
      </w:pPr>
      <w:r>
        <w:rPr>
          <w:rFonts w:ascii="Arial" w:hAnsi="Arial" w:cs="Arial"/>
        </w:rPr>
        <w:t>The regulatory burden calculation assumes that:</w:t>
      </w:r>
    </w:p>
    <w:p w:rsidR="008522F8" w:rsidRDefault="008522F8" w:rsidP="008522F8">
      <w:pPr>
        <w:pStyle w:val="ListParagraph"/>
        <w:numPr>
          <w:ilvl w:val="0"/>
          <w:numId w:val="24"/>
        </w:numPr>
        <w:spacing w:before="240" w:line="360" w:lineRule="auto"/>
        <w:jc w:val="both"/>
        <w:rPr>
          <w:rFonts w:ascii="Arial" w:hAnsi="Arial" w:cs="Arial"/>
        </w:rPr>
      </w:pPr>
      <w:r w:rsidRPr="004B6A55">
        <w:rPr>
          <w:rFonts w:ascii="Arial" w:hAnsi="Arial" w:cs="Arial"/>
        </w:rPr>
        <w:t xml:space="preserve">it would take a lawyer two hours to draft </w:t>
      </w:r>
      <w:r>
        <w:rPr>
          <w:rFonts w:ascii="Arial" w:hAnsi="Arial" w:cs="Arial"/>
        </w:rPr>
        <w:t>the capital expenditure disclosure part of an agreement each time an agreement is renewed.</w:t>
      </w:r>
    </w:p>
    <w:p w:rsidR="008522F8" w:rsidRPr="00CF05CB" w:rsidRDefault="00CF05CB" w:rsidP="00CF05CB">
      <w:pPr>
        <w:pStyle w:val="ListParagraph"/>
        <w:numPr>
          <w:ilvl w:val="0"/>
          <w:numId w:val="24"/>
        </w:numPr>
        <w:spacing w:before="240" w:line="360" w:lineRule="auto"/>
        <w:jc w:val="both"/>
        <w:rPr>
          <w:rFonts w:ascii="Arial" w:hAnsi="Arial" w:cs="Arial"/>
        </w:rPr>
      </w:pPr>
      <w:r w:rsidRPr="00CF05CB">
        <w:rPr>
          <w:rFonts w:ascii="Arial" w:hAnsi="Arial" w:cs="Arial"/>
        </w:rPr>
        <w:t>that on average dealership</w:t>
      </w:r>
      <w:r w:rsidRPr="00595452">
        <w:rPr>
          <w:rFonts w:ascii="Arial" w:hAnsi="Arial" w:cs="Arial"/>
        </w:rPr>
        <w:t xml:space="preserve"> agreements last for five years (so all 3500 agreements</w:t>
      </w:r>
      <w:r w:rsidRPr="00CF05CB">
        <w:rPr>
          <w:rFonts w:ascii="Arial" w:hAnsi="Arial" w:cs="Arial"/>
        </w:rPr>
        <w:t xml:space="preserve"> would need to be renewed twice over a 10 year period)</w:t>
      </w:r>
      <w:r w:rsidR="008522F8" w:rsidRPr="00CF05CB">
        <w:rPr>
          <w:rFonts w:ascii="Arial" w:hAnsi="Arial" w:cs="Arial"/>
        </w:rPr>
        <w:t>.</w:t>
      </w:r>
    </w:p>
    <w:p w:rsidR="00BD1EF5" w:rsidRPr="00BD1EF5" w:rsidRDefault="00BD1EF5" w:rsidP="00BD1EF5">
      <w:pPr>
        <w:spacing w:before="240" w:line="360" w:lineRule="auto"/>
        <w:jc w:val="both"/>
        <w:rPr>
          <w:rFonts w:ascii="Arial" w:hAnsi="Arial" w:cs="Arial"/>
        </w:rPr>
      </w:pPr>
      <w:r w:rsidRPr="00BD1EF5">
        <w:rPr>
          <w:rFonts w:ascii="Arial" w:hAnsi="Arial" w:cs="Arial"/>
        </w:rPr>
        <w:t>Questions for stakeholders:</w:t>
      </w:r>
    </w:p>
    <w:p w:rsidR="00BD1EF5" w:rsidRDefault="00BD1EF5" w:rsidP="00417CA6">
      <w:pPr>
        <w:pStyle w:val="ListParagraph"/>
        <w:numPr>
          <w:ilvl w:val="0"/>
          <w:numId w:val="34"/>
        </w:numPr>
        <w:spacing w:before="240" w:line="360" w:lineRule="auto"/>
        <w:jc w:val="both"/>
        <w:rPr>
          <w:rFonts w:ascii="Arial" w:hAnsi="Arial" w:cs="Arial"/>
        </w:rPr>
      </w:pPr>
      <w:r>
        <w:rPr>
          <w:rFonts w:ascii="Arial" w:hAnsi="Arial" w:cs="Arial"/>
        </w:rPr>
        <w:t xml:space="preserve">Do manufacturers typically </w:t>
      </w:r>
      <w:r w:rsidR="004471B1">
        <w:rPr>
          <w:rFonts w:ascii="Arial" w:hAnsi="Arial" w:cs="Arial"/>
        </w:rPr>
        <w:t>determine</w:t>
      </w:r>
      <w:r>
        <w:rPr>
          <w:rFonts w:ascii="Arial" w:hAnsi="Arial" w:cs="Arial"/>
        </w:rPr>
        <w:t xml:space="preserve"> </w:t>
      </w:r>
      <w:r w:rsidR="00EE4D81">
        <w:rPr>
          <w:rFonts w:ascii="Arial" w:hAnsi="Arial" w:cs="Arial"/>
        </w:rPr>
        <w:t>what</w:t>
      </w:r>
      <w:r w:rsidR="004471B1">
        <w:rPr>
          <w:rFonts w:ascii="Arial" w:hAnsi="Arial" w:cs="Arial"/>
        </w:rPr>
        <w:t xml:space="preserve"> significant capital expenditure </w:t>
      </w:r>
      <w:r w:rsidR="00EE4D81">
        <w:rPr>
          <w:rFonts w:ascii="Arial" w:hAnsi="Arial" w:cs="Arial"/>
        </w:rPr>
        <w:t xml:space="preserve">will be required </w:t>
      </w:r>
      <w:r w:rsidR="004471B1">
        <w:rPr>
          <w:rFonts w:ascii="Arial" w:hAnsi="Arial" w:cs="Arial"/>
        </w:rPr>
        <w:t xml:space="preserve">prior to an agreement being entered into or </w:t>
      </w:r>
      <w:r w:rsidR="00FF48CE">
        <w:rPr>
          <w:rFonts w:ascii="Arial" w:hAnsi="Arial" w:cs="Arial"/>
        </w:rPr>
        <w:t xml:space="preserve">is </w:t>
      </w:r>
      <w:r w:rsidR="004471B1">
        <w:rPr>
          <w:rFonts w:ascii="Arial" w:hAnsi="Arial" w:cs="Arial"/>
        </w:rPr>
        <w:t>this a decision that is ordinarily made during the life of the agreement</w:t>
      </w:r>
      <w:r w:rsidRPr="00BD1EF5">
        <w:rPr>
          <w:rFonts w:ascii="Arial" w:hAnsi="Arial" w:cs="Arial"/>
        </w:rPr>
        <w:t>?</w:t>
      </w:r>
    </w:p>
    <w:p w:rsidR="00D82F50" w:rsidRDefault="002B1337" w:rsidP="00417CA6">
      <w:pPr>
        <w:pStyle w:val="ListParagraph"/>
        <w:numPr>
          <w:ilvl w:val="0"/>
          <w:numId w:val="34"/>
        </w:numPr>
        <w:spacing w:before="240" w:line="360" w:lineRule="auto"/>
        <w:jc w:val="both"/>
        <w:rPr>
          <w:rFonts w:ascii="Arial" w:hAnsi="Arial" w:cs="Arial"/>
        </w:rPr>
      </w:pPr>
      <w:r>
        <w:rPr>
          <w:rFonts w:ascii="Arial" w:hAnsi="Arial" w:cs="Arial"/>
        </w:rPr>
        <w:t xml:space="preserve">Generally, what is the monetary range for expenditure disclosed to car dealers? How common are </w:t>
      </w:r>
      <w:r w:rsidR="006304E2">
        <w:rPr>
          <w:rFonts w:ascii="Arial" w:hAnsi="Arial" w:cs="Arial"/>
        </w:rPr>
        <w:t>wide expenditure ranges</w:t>
      </w:r>
      <w:r w:rsidR="00A50851">
        <w:rPr>
          <w:rFonts w:ascii="Arial" w:hAnsi="Arial" w:cs="Arial"/>
        </w:rPr>
        <w:t xml:space="preserve"> in disclosure documents? </w:t>
      </w:r>
      <w:r w:rsidR="000D2C19">
        <w:rPr>
          <w:rFonts w:ascii="Arial" w:hAnsi="Arial" w:cs="Arial"/>
        </w:rPr>
        <w:t xml:space="preserve">If wide expenditure ranges are provided, why are they provided? </w:t>
      </w:r>
    </w:p>
    <w:p w:rsidR="00847C49" w:rsidRDefault="00847C49" w:rsidP="00417CA6">
      <w:pPr>
        <w:pStyle w:val="ListParagraph"/>
        <w:numPr>
          <w:ilvl w:val="0"/>
          <w:numId w:val="34"/>
        </w:numPr>
        <w:spacing w:before="240" w:line="360" w:lineRule="auto"/>
        <w:rPr>
          <w:rFonts w:ascii="Arial" w:hAnsi="Arial" w:cs="Arial"/>
        </w:rPr>
      </w:pPr>
      <w:r w:rsidRPr="71921285">
        <w:rPr>
          <w:rFonts w:ascii="Arial" w:hAnsi="Arial" w:cs="Arial"/>
        </w:rPr>
        <w:t xml:space="preserve">What level of support and education </w:t>
      </w:r>
      <w:r>
        <w:rPr>
          <w:rFonts w:ascii="Arial" w:hAnsi="Arial" w:cs="Arial"/>
        </w:rPr>
        <w:t>is</w:t>
      </w:r>
      <w:r w:rsidRPr="71921285">
        <w:rPr>
          <w:rFonts w:ascii="Arial" w:hAnsi="Arial" w:cs="Arial"/>
        </w:rPr>
        <w:t xml:space="preserve"> provided to dealers when entering into franchising agreements and during the contract, regarding capital expenditure requirements?</w:t>
      </w:r>
    </w:p>
    <w:p w:rsidR="00847C49" w:rsidRDefault="00847C49" w:rsidP="00417CA6">
      <w:pPr>
        <w:pStyle w:val="ListParagraph"/>
        <w:numPr>
          <w:ilvl w:val="0"/>
          <w:numId w:val="34"/>
        </w:numPr>
        <w:spacing w:before="240" w:line="360" w:lineRule="auto"/>
        <w:jc w:val="both"/>
        <w:rPr>
          <w:rFonts w:ascii="Arial" w:hAnsi="Arial" w:cs="Arial"/>
        </w:rPr>
      </w:pPr>
      <w:r w:rsidRPr="71921285">
        <w:rPr>
          <w:rFonts w:ascii="Arial" w:hAnsi="Arial" w:cs="Arial"/>
        </w:rPr>
        <w:t>Are you aware of instances where dealers have expended significant capital expenditure towards the end of a dealer agreement which is in accordance with their agreement, but which they anticipate cannot be recouped?</w:t>
      </w:r>
      <w:r>
        <w:rPr>
          <w:rFonts w:ascii="Arial" w:hAnsi="Arial" w:cs="Arial"/>
        </w:rPr>
        <w:t xml:space="preserve"> How far out from the end of the agreement are they undertaking this capital expenditure?</w:t>
      </w:r>
    </w:p>
    <w:p w:rsidR="00847C49" w:rsidRDefault="00847C49" w:rsidP="00417CA6">
      <w:pPr>
        <w:pStyle w:val="ListParagraph"/>
        <w:numPr>
          <w:ilvl w:val="0"/>
          <w:numId w:val="34"/>
        </w:numPr>
        <w:spacing w:before="240" w:line="360" w:lineRule="auto"/>
        <w:jc w:val="both"/>
        <w:rPr>
          <w:rFonts w:ascii="Arial" w:hAnsi="Arial" w:cs="Arial"/>
        </w:rPr>
      </w:pPr>
      <w:r>
        <w:rPr>
          <w:rFonts w:ascii="Arial" w:hAnsi="Arial" w:cs="Arial"/>
        </w:rPr>
        <w:t>Can dealers undertake capital investments, for example build a showroom, so that it can be repurposed to suit another distributor’s brand if their existing dealership agreement ends?</w:t>
      </w:r>
    </w:p>
    <w:p w:rsidR="00847C49" w:rsidRDefault="00847C49" w:rsidP="00417CA6">
      <w:pPr>
        <w:pStyle w:val="ListParagraph"/>
        <w:numPr>
          <w:ilvl w:val="0"/>
          <w:numId w:val="34"/>
        </w:numPr>
        <w:spacing w:before="240" w:line="360" w:lineRule="auto"/>
        <w:jc w:val="both"/>
        <w:rPr>
          <w:rFonts w:ascii="Arial" w:hAnsi="Arial" w:cs="Arial"/>
        </w:rPr>
      </w:pPr>
      <w:r w:rsidRPr="71921285">
        <w:rPr>
          <w:rFonts w:ascii="Arial" w:hAnsi="Arial" w:cs="Arial"/>
        </w:rPr>
        <w:t>To what extent do the other provisions of the CCA, such as the unconscionable conduct</w:t>
      </w:r>
      <w:r>
        <w:rPr>
          <w:rFonts w:ascii="Arial" w:hAnsi="Arial" w:cs="Arial"/>
        </w:rPr>
        <w:t xml:space="preserve"> provisions</w:t>
      </w:r>
      <w:r w:rsidRPr="71921285">
        <w:rPr>
          <w:rFonts w:ascii="Arial" w:hAnsi="Arial" w:cs="Arial"/>
        </w:rPr>
        <w:t>, provide remedies for dealers in situations where they have to outlay capital which cannot be recouped during the term of the de</w:t>
      </w:r>
      <w:r w:rsidRPr="00880234">
        <w:rPr>
          <w:rFonts w:ascii="Arial" w:hAnsi="Arial" w:cs="Arial"/>
        </w:rPr>
        <w:t xml:space="preserve">alership agreement? </w:t>
      </w:r>
    </w:p>
    <w:p w:rsidR="00847C49" w:rsidRPr="00292220" w:rsidRDefault="00847C49" w:rsidP="00417CA6">
      <w:pPr>
        <w:pStyle w:val="ListParagraph"/>
        <w:numPr>
          <w:ilvl w:val="0"/>
          <w:numId w:val="34"/>
        </w:numPr>
        <w:spacing w:before="240" w:line="360" w:lineRule="auto"/>
        <w:jc w:val="both"/>
        <w:rPr>
          <w:rFonts w:ascii="Arial" w:hAnsi="Arial" w:cs="Arial"/>
        </w:rPr>
      </w:pPr>
      <w:r w:rsidRPr="00292220">
        <w:rPr>
          <w:rFonts w:ascii="Arial" w:hAnsi="Arial" w:cs="Arial"/>
        </w:rPr>
        <w:t>The Franchising Code also prohibits franchisor imposed capital outlays during the term of the franchising agreement unless specific conditions are satisfied. How are these provisions utilised within the industry?</w:t>
      </w:r>
    </w:p>
    <w:p w:rsidR="00DF07F7" w:rsidRPr="006766C7" w:rsidRDefault="11FF59B9" w:rsidP="00D75EE6">
      <w:pPr>
        <w:keepNext/>
        <w:rPr>
          <w:rFonts w:ascii="Arial" w:hAnsi="Arial" w:cs="Arial"/>
          <w:b/>
          <w:bCs/>
        </w:rPr>
      </w:pPr>
      <w:r w:rsidRPr="11FF59B9">
        <w:rPr>
          <w:rFonts w:ascii="Arial" w:hAnsi="Arial" w:cs="Arial"/>
          <w:b/>
          <w:bCs/>
        </w:rPr>
        <w:t xml:space="preserve">Option </w:t>
      </w:r>
      <w:r w:rsidR="00BA11D3">
        <w:rPr>
          <w:rFonts w:ascii="Arial" w:hAnsi="Arial" w:cs="Arial"/>
          <w:b/>
          <w:bCs/>
        </w:rPr>
        <w:t>2E</w:t>
      </w:r>
      <w:r w:rsidRPr="11FF59B9">
        <w:rPr>
          <w:rFonts w:ascii="Arial" w:hAnsi="Arial" w:cs="Arial"/>
          <w:b/>
          <w:bCs/>
        </w:rPr>
        <w:t xml:space="preserve"> – Minimum five year terms with right of renewal</w:t>
      </w:r>
    </w:p>
    <w:p w:rsidR="00DF07F7" w:rsidRPr="00321FC9" w:rsidRDefault="11FF59B9" w:rsidP="11FF59B9">
      <w:pPr>
        <w:spacing w:before="240" w:line="360" w:lineRule="auto"/>
        <w:jc w:val="both"/>
        <w:rPr>
          <w:rFonts w:ascii="Arial" w:hAnsi="Arial" w:cs="Arial"/>
        </w:rPr>
      </w:pPr>
      <w:r w:rsidRPr="11FF59B9">
        <w:rPr>
          <w:rFonts w:ascii="Arial" w:hAnsi="Arial" w:cs="Arial"/>
        </w:rPr>
        <w:t>Under this option all franchise agreements between car manufacturers/distributors and their new car dealers would be required to have a minimum term of five years, with the franchisee having the option to extend the term of the agreement by an additional five years, provided they meet the requirements outlined in the agreement.</w:t>
      </w:r>
    </w:p>
    <w:p w:rsidR="00DF07F7" w:rsidRDefault="11FF59B9" w:rsidP="11FF59B9">
      <w:pPr>
        <w:spacing w:before="240" w:line="360" w:lineRule="auto"/>
        <w:jc w:val="both"/>
        <w:rPr>
          <w:rFonts w:ascii="Arial" w:hAnsi="Arial" w:cs="Arial"/>
        </w:rPr>
      </w:pPr>
      <w:r w:rsidRPr="11FF59B9">
        <w:rPr>
          <w:rFonts w:ascii="Arial" w:hAnsi="Arial" w:cs="Arial"/>
        </w:rPr>
        <w:t>The intent of this option would be to provide car dealers with sufficient time to recoup significant capital investments they are required to undertake.</w:t>
      </w:r>
    </w:p>
    <w:p w:rsidR="00DF07F7" w:rsidRPr="00321FC9" w:rsidRDefault="11FF59B9" w:rsidP="11FF59B9">
      <w:pPr>
        <w:spacing w:before="240" w:line="360" w:lineRule="auto"/>
        <w:jc w:val="both"/>
        <w:rPr>
          <w:rFonts w:ascii="Arial" w:hAnsi="Arial" w:cs="Arial"/>
        </w:rPr>
      </w:pPr>
      <w:r w:rsidRPr="11FF59B9">
        <w:rPr>
          <w:rFonts w:ascii="Arial" w:hAnsi="Arial" w:cs="Arial"/>
        </w:rPr>
        <w:t xml:space="preserve">Stakeholder feedback indicates that the majority of dealer agreements currently have five year terms with the franchisor having the option to renew </w:t>
      </w:r>
      <w:r w:rsidR="00B53D89">
        <w:rPr>
          <w:rFonts w:ascii="Arial" w:hAnsi="Arial" w:cs="Arial"/>
        </w:rPr>
        <w:t>the agreement</w:t>
      </w:r>
      <w:r w:rsidRPr="11FF59B9">
        <w:rPr>
          <w:rFonts w:ascii="Arial" w:hAnsi="Arial" w:cs="Arial"/>
        </w:rPr>
        <w:t>.</w:t>
      </w:r>
      <w:r w:rsidR="00B53D89">
        <w:rPr>
          <w:rStyle w:val="FootnoteReference"/>
          <w:rFonts w:ascii="Arial" w:hAnsi="Arial" w:cs="Arial"/>
        </w:rPr>
        <w:footnoteReference w:id="56"/>
      </w:r>
      <w:r w:rsidRPr="11FF59B9">
        <w:rPr>
          <w:rFonts w:ascii="Arial" w:hAnsi="Arial" w:cs="Arial"/>
        </w:rPr>
        <w:t xml:space="preserve"> This option would be broadly consistent with current industry practice, but would provide the franchisee with the option to renew, rather than the franchisor.</w:t>
      </w:r>
      <w:r w:rsidR="0078230A">
        <w:rPr>
          <w:rFonts w:ascii="Arial" w:hAnsi="Arial" w:cs="Arial"/>
        </w:rPr>
        <w:t xml:space="preserve"> </w:t>
      </w:r>
    </w:p>
    <w:p w:rsidR="0078230A" w:rsidRPr="00321FC9" w:rsidRDefault="0078230A" w:rsidP="11FF59B9">
      <w:pPr>
        <w:spacing w:before="240" w:line="360" w:lineRule="auto"/>
        <w:jc w:val="both"/>
        <w:rPr>
          <w:rFonts w:ascii="Arial" w:hAnsi="Arial" w:cs="Arial"/>
        </w:rPr>
      </w:pPr>
      <w:r>
        <w:rPr>
          <w:rFonts w:ascii="Arial" w:hAnsi="Arial" w:cs="Arial"/>
        </w:rPr>
        <w:t>An alternative option, which stakeholders are invited to provide feedback on</w:t>
      </w:r>
      <w:r w:rsidR="00FF4312">
        <w:rPr>
          <w:rFonts w:ascii="Arial" w:hAnsi="Arial" w:cs="Arial"/>
        </w:rPr>
        <w:t xml:space="preserve">, would </w:t>
      </w:r>
      <w:r>
        <w:rPr>
          <w:rFonts w:ascii="Arial" w:hAnsi="Arial" w:cs="Arial"/>
        </w:rPr>
        <w:t>be to link the term of a new agreement to the amount of capital expenditure undertaken.</w:t>
      </w:r>
    </w:p>
    <w:p w:rsidR="00DF07F7" w:rsidRPr="00F9581D" w:rsidRDefault="11FF59B9" w:rsidP="11FF59B9">
      <w:pPr>
        <w:rPr>
          <w:rFonts w:ascii="Arial" w:hAnsi="Arial" w:cs="Arial"/>
          <w:i/>
          <w:iCs/>
        </w:rPr>
      </w:pPr>
      <w:r w:rsidRPr="11FF59B9">
        <w:rPr>
          <w:rFonts w:ascii="Arial" w:hAnsi="Arial" w:cs="Arial"/>
          <w:i/>
          <w:iCs/>
        </w:rPr>
        <w:t>Impact on car dealers</w:t>
      </w:r>
    </w:p>
    <w:p w:rsidR="00DF07F7" w:rsidRPr="00321FC9" w:rsidRDefault="11FF59B9" w:rsidP="11FF59B9">
      <w:pPr>
        <w:spacing w:before="240" w:line="360" w:lineRule="auto"/>
        <w:jc w:val="both"/>
        <w:rPr>
          <w:rFonts w:ascii="Arial" w:hAnsi="Arial" w:cs="Arial"/>
        </w:rPr>
      </w:pPr>
      <w:r w:rsidRPr="11FF59B9">
        <w:rPr>
          <w:rFonts w:ascii="Arial" w:hAnsi="Arial" w:cs="Arial"/>
        </w:rPr>
        <w:t>This o</w:t>
      </w:r>
      <w:r w:rsidR="00476958">
        <w:rPr>
          <w:rFonts w:ascii="Arial" w:hAnsi="Arial" w:cs="Arial"/>
        </w:rPr>
        <w:t xml:space="preserve">ption would reduce </w:t>
      </w:r>
      <w:r w:rsidR="001E6F52">
        <w:rPr>
          <w:rFonts w:ascii="Arial" w:hAnsi="Arial" w:cs="Arial"/>
        </w:rPr>
        <w:t xml:space="preserve">the pressure felt by car dealers </w:t>
      </w:r>
      <w:r w:rsidRPr="11FF59B9">
        <w:rPr>
          <w:rFonts w:ascii="Arial" w:hAnsi="Arial" w:cs="Arial"/>
        </w:rPr>
        <w:t xml:space="preserve">to undertake capital investment </w:t>
      </w:r>
      <w:r w:rsidR="00AB4A66">
        <w:rPr>
          <w:rFonts w:ascii="Arial" w:hAnsi="Arial" w:cs="Arial"/>
        </w:rPr>
        <w:t>due to fear of non-renewal of their dealership agreement. Further</w:t>
      </w:r>
      <w:r w:rsidRPr="11FF59B9">
        <w:rPr>
          <w:rFonts w:ascii="Arial" w:hAnsi="Arial" w:cs="Arial"/>
        </w:rPr>
        <w:t xml:space="preserve">, where capital investment is undertaken, </w:t>
      </w:r>
      <w:r w:rsidR="00AB4A66">
        <w:rPr>
          <w:rFonts w:ascii="Arial" w:hAnsi="Arial" w:cs="Arial"/>
        </w:rPr>
        <w:t xml:space="preserve">this option </w:t>
      </w:r>
      <w:r w:rsidRPr="11FF59B9">
        <w:rPr>
          <w:rFonts w:ascii="Arial" w:hAnsi="Arial" w:cs="Arial"/>
        </w:rPr>
        <w:t>would provide car dealers with more opportunities to recoup their investments.</w:t>
      </w:r>
      <w:r w:rsidR="00CD3D3B">
        <w:rPr>
          <w:rFonts w:ascii="Arial" w:hAnsi="Arial" w:cs="Arial"/>
        </w:rPr>
        <w:t xml:space="preserve"> Providing greater certainty of tenure would also assist dealers </w:t>
      </w:r>
      <w:r w:rsidR="008707FC">
        <w:rPr>
          <w:rFonts w:ascii="Arial" w:hAnsi="Arial" w:cs="Arial"/>
        </w:rPr>
        <w:t xml:space="preserve">to </w:t>
      </w:r>
      <w:r w:rsidR="00CD3D3B">
        <w:rPr>
          <w:rFonts w:ascii="Arial" w:hAnsi="Arial" w:cs="Arial"/>
        </w:rPr>
        <w:t>make informed decisions as to whether to undertake capital expenditure, as they could make an assessment regarding whether they will be able to recoup their investments during the term of the agreement.</w:t>
      </w:r>
    </w:p>
    <w:p w:rsidR="00DF07F7" w:rsidRDefault="11FF59B9" w:rsidP="11FF59B9">
      <w:pPr>
        <w:spacing w:before="240" w:line="360" w:lineRule="auto"/>
        <w:jc w:val="both"/>
        <w:rPr>
          <w:rFonts w:ascii="Arial" w:hAnsi="Arial" w:cs="Arial"/>
        </w:rPr>
      </w:pPr>
      <w:r w:rsidRPr="11FF59B9">
        <w:rPr>
          <w:rFonts w:ascii="Arial" w:hAnsi="Arial" w:cs="Arial"/>
        </w:rPr>
        <w:t>Providing longer tenure and a right of renewal would also lessen the commercial pressure on new car dealers to put the interests of manufacturers ahead of consumers in order to maximise the likelihood that their dealer agreement will be renewed.</w:t>
      </w:r>
    </w:p>
    <w:p w:rsidR="00155B11" w:rsidRPr="00321FC9" w:rsidRDefault="00155B11" w:rsidP="11FF59B9">
      <w:pPr>
        <w:spacing w:before="240" w:line="360" w:lineRule="auto"/>
        <w:jc w:val="both"/>
        <w:rPr>
          <w:rFonts w:ascii="Arial" w:hAnsi="Arial" w:cs="Arial"/>
        </w:rPr>
      </w:pPr>
      <w:r>
        <w:rPr>
          <w:rFonts w:ascii="Arial" w:hAnsi="Arial" w:cs="Arial"/>
        </w:rPr>
        <w:t>Although having minimum five year terms with an automatic right of renewal would increase certainty for dealers, it would also lock them into a particular way of doing business. This could result in dealers being required to continue to stock a brand that is no</w:t>
      </w:r>
      <w:r w:rsidR="0027759B">
        <w:rPr>
          <w:rFonts w:ascii="Arial" w:hAnsi="Arial" w:cs="Arial"/>
        </w:rPr>
        <w:t>t</w:t>
      </w:r>
      <w:r>
        <w:rPr>
          <w:rFonts w:ascii="Arial" w:hAnsi="Arial" w:cs="Arial"/>
        </w:rPr>
        <w:t xml:space="preserve"> in demand due to changes in </w:t>
      </w:r>
      <w:r w:rsidR="0027759B">
        <w:rPr>
          <w:rFonts w:ascii="Arial" w:hAnsi="Arial" w:cs="Arial"/>
        </w:rPr>
        <w:t xml:space="preserve">consumer </w:t>
      </w:r>
      <w:r>
        <w:rPr>
          <w:rFonts w:ascii="Arial" w:hAnsi="Arial" w:cs="Arial"/>
        </w:rPr>
        <w:t>preferences or technology and may reduce dealers’ ability to innovate.</w:t>
      </w:r>
    </w:p>
    <w:p w:rsidR="00DF07F7" w:rsidRPr="00321FC9" w:rsidRDefault="11FF59B9" w:rsidP="11FF59B9">
      <w:pPr>
        <w:spacing w:before="240" w:line="360" w:lineRule="auto"/>
        <w:jc w:val="both"/>
        <w:rPr>
          <w:rFonts w:ascii="Arial" w:hAnsi="Arial" w:cs="Arial"/>
        </w:rPr>
      </w:pPr>
      <w:r w:rsidRPr="11FF59B9">
        <w:rPr>
          <w:rFonts w:ascii="Arial" w:hAnsi="Arial" w:cs="Arial"/>
        </w:rPr>
        <w:t xml:space="preserve">While having minimum tenure requirements may assist car dealers during the term of their agreement, in the transition to </w:t>
      </w:r>
      <w:r w:rsidR="0078230A">
        <w:rPr>
          <w:rFonts w:ascii="Arial" w:hAnsi="Arial" w:cs="Arial"/>
        </w:rPr>
        <w:t>implement this option</w:t>
      </w:r>
      <w:r w:rsidRPr="11FF59B9">
        <w:rPr>
          <w:rFonts w:ascii="Arial" w:hAnsi="Arial" w:cs="Arial"/>
        </w:rPr>
        <w:t xml:space="preserve">, some manufacturers may elect not to renew an agreement rather than be locked into a 10 year agreement. </w:t>
      </w:r>
    </w:p>
    <w:p w:rsidR="0094477E" w:rsidRPr="00F9581D" w:rsidRDefault="11FF59B9" w:rsidP="11FF59B9">
      <w:pPr>
        <w:spacing w:before="240" w:line="360" w:lineRule="auto"/>
        <w:jc w:val="both"/>
        <w:rPr>
          <w:rFonts w:ascii="Arial" w:hAnsi="Arial" w:cs="Arial"/>
        </w:rPr>
      </w:pPr>
      <w:r w:rsidRPr="11FF59B9">
        <w:rPr>
          <w:rFonts w:ascii="Arial" w:hAnsi="Arial" w:cs="Arial"/>
        </w:rPr>
        <w:t xml:space="preserve">For example, a manufacturer that was uncertain about the prospects of a particular dealership may have previously decided to enter into a three year agreement with the intention of reassessing the viability </w:t>
      </w:r>
      <w:r w:rsidR="001E6F52">
        <w:rPr>
          <w:rFonts w:ascii="Arial" w:hAnsi="Arial" w:cs="Arial"/>
        </w:rPr>
        <w:t>of the</w:t>
      </w:r>
      <w:r w:rsidRPr="11FF59B9">
        <w:rPr>
          <w:rFonts w:ascii="Arial" w:hAnsi="Arial" w:cs="Arial"/>
        </w:rPr>
        <w:t xml:space="preserve"> dealership at the end of the term. Instead such a manufacturer may decide to not renew an agreement, rather than be locked into what could potentially be a 10 year agreement. </w:t>
      </w:r>
    </w:p>
    <w:p w:rsidR="00DF07F7" w:rsidRPr="00F9581D" w:rsidRDefault="11FF59B9" w:rsidP="11FF59B9">
      <w:pPr>
        <w:rPr>
          <w:rFonts w:ascii="Arial" w:hAnsi="Arial" w:cs="Arial"/>
          <w:i/>
          <w:iCs/>
        </w:rPr>
      </w:pPr>
      <w:r w:rsidRPr="11FF59B9">
        <w:rPr>
          <w:rFonts w:ascii="Arial" w:hAnsi="Arial" w:cs="Arial"/>
          <w:i/>
          <w:iCs/>
        </w:rPr>
        <w:t>Impact on manufacturers</w:t>
      </w:r>
    </w:p>
    <w:p w:rsidR="00DF07F7" w:rsidRPr="00321FC9" w:rsidRDefault="11FF59B9" w:rsidP="11FF59B9">
      <w:pPr>
        <w:spacing w:before="240" w:line="360" w:lineRule="auto"/>
        <w:jc w:val="both"/>
        <w:rPr>
          <w:rFonts w:ascii="Arial" w:hAnsi="Arial" w:cs="Arial"/>
        </w:rPr>
      </w:pPr>
      <w:r w:rsidRPr="11FF59B9">
        <w:rPr>
          <w:rFonts w:ascii="Arial" w:hAnsi="Arial" w:cs="Arial"/>
        </w:rPr>
        <w:t xml:space="preserve">As outlined previously, the franchising model is predicated on franchisor control over the use of </w:t>
      </w:r>
      <w:r w:rsidR="00211B7D">
        <w:rPr>
          <w:rFonts w:ascii="Arial" w:hAnsi="Arial" w:cs="Arial"/>
        </w:rPr>
        <w:t>its</w:t>
      </w:r>
      <w:r w:rsidR="00211B7D" w:rsidRPr="11FF59B9">
        <w:rPr>
          <w:rFonts w:ascii="Arial" w:hAnsi="Arial" w:cs="Arial"/>
        </w:rPr>
        <w:t xml:space="preserve"> </w:t>
      </w:r>
      <w:r w:rsidRPr="11FF59B9">
        <w:rPr>
          <w:rFonts w:ascii="Arial" w:hAnsi="Arial" w:cs="Arial"/>
        </w:rPr>
        <w:t xml:space="preserve">brand, including the geographic footprint of the brand. Having minimum five year tenure with an automatic right of renewal would curtail a manufacturer’s ability to manage </w:t>
      </w:r>
      <w:r w:rsidR="00211B7D">
        <w:rPr>
          <w:rFonts w:ascii="Arial" w:hAnsi="Arial" w:cs="Arial"/>
        </w:rPr>
        <w:t>its</w:t>
      </w:r>
      <w:r w:rsidRPr="11FF59B9">
        <w:rPr>
          <w:rFonts w:ascii="Arial" w:hAnsi="Arial" w:cs="Arial"/>
        </w:rPr>
        <w:t xml:space="preserve"> network to maximise overall profitability of the brand and dealer network. </w:t>
      </w:r>
    </w:p>
    <w:p w:rsidR="00DF07F7" w:rsidRPr="00321FC9" w:rsidRDefault="00DF07F7" w:rsidP="11FF59B9">
      <w:pPr>
        <w:spacing w:before="240" w:line="360" w:lineRule="auto"/>
        <w:jc w:val="both"/>
        <w:rPr>
          <w:rFonts w:ascii="Arial" w:hAnsi="Arial" w:cs="Arial"/>
        </w:rPr>
      </w:pPr>
      <w:r w:rsidRPr="00321FC9">
        <w:rPr>
          <w:rFonts w:ascii="Arial" w:hAnsi="Arial" w:cs="Arial"/>
        </w:rPr>
        <w:t xml:space="preserve">According to the </w:t>
      </w:r>
      <w:r w:rsidR="00CF05CB">
        <w:rPr>
          <w:rFonts w:ascii="Arial" w:hAnsi="Arial" w:cs="Arial"/>
        </w:rPr>
        <w:t>Federal Chamber of Automotive Industries</w:t>
      </w:r>
      <w:r w:rsidRPr="00321FC9">
        <w:rPr>
          <w:rFonts w:ascii="Arial" w:hAnsi="Arial" w:cs="Arial"/>
        </w:rPr>
        <w:t>, the flexibility to manage the size of the overall network plays an important role in securing the health of the overall dealer network and the brands: ‘The ability of the Distributor to manage the overall brand footprint in the market is a key to the health of all dealerships and the brand more broadly’.</w:t>
      </w:r>
      <w:r w:rsidRPr="00321FC9">
        <w:rPr>
          <w:rFonts w:ascii="Arial" w:hAnsi="Arial" w:cs="Arial"/>
          <w:vertAlign w:val="superscript"/>
        </w:rPr>
        <w:footnoteReference w:id="57"/>
      </w:r>
    </w:p>
    <w:p w:rsidR="00DF07F7" w:rsidRPr="00321FC9" w:rsidRDefault="11FF59B9" w:rsidP="11FF59B9">
      <w:pPr>
        <w:spacing w:before="240" w:line="360" w:lineRule="auto"/>
        <w:jc w:val="both"/>
        <w:rPr>
          <w:rFonts w:ascii="Arial" w:hAnsi="Arial" w:cs="Arial"/>
        </w:rPr>
      </w:pPr>
      <w:r w:rsidRPr="11FF59B9">
        <w:rPr>
          <w:rFonts w:ascii="Arial" w:hAnsi="Arial" w:cs="Arial"/>
        </w:rPr>
        <w:t xml:space="preserve">For example, in an area with 15 dealerships a manufacturer may determine that due to declining market share, it is no longer commercially viable to have more than 12 dealerships. In order to ensure the profitability of the brand and the entire dealership, the manufacturer may seek to reduce the number of franchisees in that area to 12 over time. </w:t>
      </w:r>
    </w:p>
    <w:p w:rsidR="00DF07F7" w:rsidRDefault="11FF59B9" w:rsidP="11FF59B9">
      <w:pPr>
        <w:spacing w:before="240" w:line="360" w:lineRule="auto"/>
        <w:jc w:val="both"/>
        <w:rPr>
          <w:rFonts w:ascii="Arial" w:hAnsi="Arial" w:cs="Arial"/>
        </w:rPr>
      </w:pPr>
      <w:r w:rsidRPr="11FF59B9">
        <w:rPr>
          <w:rFonts w:ascii="Arial" w:hAnsi="Arial" w:cs="Arial"/>
        </w:rPr>
        <w:t>The ability to have flexibility in managing networks and in managing relationships with dealers will become increasingly important in the coming years as the new car retailing sector adapts in response to technological improvements and changes in consumer preferences. Having what could effectively be 10 year terms could lock in particular ways of doing business at a time when innovation and change will be required to adjust to chang</w:t>
      </w:r>
      <w:r w:rsidR="0027759B">
        <w:rPr>
          <w:rFonts w:ascii="Arial" w:hAnsi="Arial" w:cs="Arial"/>
        </w:rPr>
        <w:t>ing business conditions</w:t>
      </w:r>
      <w:r w:rsidRPr="11FF59B9">
        <w:rPr>
          <w:rFonts w:ascii="Arial" w:hAnsi="Arial" w:cs="Arial"/>
        </w:rPr>
        <w:t xml:space="preserve">. </w:t>
      </w:r>
    </w:p>
    <w:p w:rsidR="00DF07F7" w:rsidRPr="00321FC9" w:rsidRDefault="11FF59B9" w:rsidP="11FF59B9">
      <w:pPr>
        <w:spacing w:before="240" w:line="360" w:lineRule="auto"/>
        <w:jc w:val="both"/>
        <w:rPr>
          <w:rFonts w:ascii="Arial" w:hAnsi="Arial" w:cs="Arial"/>
        </w:rPr>
      </w:pPr>
      <w:r w:rsidRPr="11FF59B9">
        <w:rPr>
          <w:rFonts w:ascii="Arial" w:hAnsi="Arial" w:cs="Arial"/>
        </w:rPr>
        <w:t xml:space="preserve">This option could also disadvantage incumbents relative to new entrants, by locking in particular networks of dealers, with new entrants having the flexibility to develop networks to suit the market conditions at the time.   </w:t>
      </w:r>
    </w:p>
    <w:p w:rsidR="00DF07F7" w:rsidRPr="0044611B" w:rsidRDefault="11FF59B9" w:rsidP="11FF59B9">
      <w:pPr>
        <w:rPr>
          <w:rFonts w:ascii="Arial" w:hAnsi="Arial" w:cs="Arial"/>
          <w:i/>
        </w:rPr>
      </w:pPr>
      <w:r w:rsidRPr="11FF59B9">
        <w:rPr>
          <w:rFonts w:ascii="Arial" w:hAnsi="Arial" w:cs="Arial"/>
          <w:i/>
          <w:iCs/>
        </w:rPr>
        <w:t>Net benefit</w:t>
      </w:r>
    </w:p>
    <w:p w:rsidR="00DF07F7" w:rsidRPr="00321FC9" w:rsidRDefault="11FF59B9" w:rsidP="11FF59B9">
      <w:pPr>
        <w:spacing w:before="240" w:line="360" w:lineRule="auto"/>
        <w:jc w:val="both"/>
        <w:rPr>
          <w:rFonts w:ascii="Arial" w:hAnsi="Arial" w:cs="Arial"/>
        </w:rPr>
      </w:pPr>
      <w:r w:rsidRPr="11FF59B9">
        <w:rPr>
          <w:rFonts w:ascii="Arial" w:hAnsi="Arial" w:cs="Arial"/>
        </w:rPr>
        <w:t>Although this option would reduce the commercial pressure on new car dealers</w:t>
      </w:r>
      <w:r w:rsidR="0094477E">
        <w:rPr>
          <w:rFonts w:ascii="Arial" w:hAnsi="Arial" w:cs="Arial"/>
        </w:rPr>
        <w:t xml:space="preserve">, it would </w:t>
      </w:r>
      <w:r w:rsidRPr="11FF59B9">
        <w:rPr>
          <w:rFonts w:ascii="Arial" w:hAnsi="Arial" w:cs="Arial"/>
        </w:rPr>
        <w:t xml:space="preserve">restrict manufacturers’ ability to control the size and location of its dealer networks. It would also restrict both parties to enter into contracts with terms that meets their needs. </w:t>
      </w:r>
      <w:r w:rsidR="00B14681">
        <w:rPr>
          <w:rFonts w:ascii="Arial" w:hAnsi="Arial" w:cs="Arial"/>
        </w:rPr>
        <w:t>In relation to the autom</w:t>
      </w:r>
      <w:r w:rsidR="00213E96">
        <w:rPr>
          <w:rFonts w:ascii="Arial" w:hAnsi="Arial" w:cs="Arial"/>
        </w:rPr>
        <w:t>atic</w:t>
      </w:r>
      <w:r w:rsidR="00B14681">
        <w:rPr>
          <w:rFonts w:ascii="Arial" w:hAnsi="Arial" w:cs="Arial"/>
        </w:rPr>
        <w:t xml:space="preserve"> right to renewal, this option could also force unwilling parties to enter into a commercial relationship</w:t>
      </w:r>
      <w:r w:rsidR="0027759B">
        <w:rPr>
          <w:rFonts w:ascii="Arial" w:hAnsi="Arial" w:cs="Arial"/>
        </w:rPr>
        <w:t>, contrary to the existing principles of the Franchising Code and the CCA</w:t>
      </w:r>
      <w:r w:rsidR="00B14681">
        <w:rPr>
          <w:rFonts w:ascii="Arial" w:hAnsi="Arial" w:cs="Arial"/>
        </w:rPr>
        <w:t xml:space="preserve">. </w:t>
      </w:r>
      <w:r w:rsidR="008503C6">
        <w:rPr>
          <w:rFonts w:ascii="Arial" w:hAnsi="Arial" w:cs="Arial"/>
        </w:rPr>
        <w:t xml:space="preserve">This option could </w:t>
      </w:r>
      <w:r w:rsidR="00D806CD">
        <w:rPr>
          <w:rFonts w:ascii="Arial" w:hAnsi="Arial" w:cs="Arial"/>
        </w:rPr>
        <w:t xml:space="preserve">adversely impact consumers by reducing </w:t>
      </w:r>
      <w:r w:rsidR="00454889">
        <w:rPr>
          <w:rFonts w:ascii="Arial" w:hAnsi="Arial" w:cs="Arial"/>
        </w:rPr>
        <w:t xml:space="preserve">choice and the benefits of </w:t>
      </w:r>
      <w:r w:rsidR="00D806CD">
        <w:rPr>
          <w:rFonts w:ascii="Arial" w:hAnsi="Arial" w:cs="Arial"/>
        </w:rPr>
        <w:t>pric</w:t>
      </w:r>
      <w:r w:rsidR="00454889">
        <w:rPr>
          <w:rFonts w:ascii="Arial" w:hAnsi="Arial" w:cs="Arial"/>
        </w:rPr>
        <w:t>e</w:t>
      </w:r>
      <w:r w:rsidR="00D806CD">
        <w:rPr>
          <w:rFonts w:ascii="Arial" w:hAnsi="Arial" w:cs="Arial"/>
        </w:rPr>
        <w:t xml:space="preserve"> competition.</w:t>
      </w:r>
      <w:r w:rsidR="008503C6">
        <w:rPr>
          <w:rFonts w:ascii="Arial" w:hAnsi="Arial" w:cs="Arial"/>
        </w:rPr>
        <w:t xml:space="preserve"> </w:t>
      </w:r>
      <w:r w:rsidR="0078230A">
        <w:rPr>
          <w:rFonts w:ascii="Arial" w:hAnsi="Arial" w:cs="Arial"/>
        </w:rPr>
        <w:t>Given that option 3A is expected to address much of the harm associated with car dealers being required to undertake significant capital expenditure without many of the downsides associated with having minimum tenure, option 3B does not have the highest net benefit and is therefore not a recommended option.</w:t>
      </w:r>
      <w:r w:rsidRPr="11FF59B9">
        <w:rPr>
          <w:rFonts w:ascii="Arial" w:hAnsi="Arial" w:cs="Arial"/>
        </w:rPr>
        <w:t xml:space="preserve"> </w:t>
      </w:r>
    </w:p>
    <w:p w:rsidR="00686ED4" w:rsidRPr="007F7F96" w:rsidRDefault="00686ED4" w:rsidP="00686ED4">
      <w:pPr>
        <w:spacing w:before="240" w:line="360" w:lineRule="auto"/>
        <w:jc w:val="both"/>
        <w:rPr>
          <w:rFonts w:ascii="Arial" w:hAnsi="Arial" w:cs="Arial"/>
          <w:i/>
        </w:rPr>
      </w:pPr>
      <w:r w:rsidRPr="007F7F96">
        <w:rPr>
          <w:rFonts w:ascii="Arial" w:hAnsi="Arial" w:cs="Arial"/>
          <w:i/>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
      </w:tblPr>
      <w:tblGrid>
        <w:gridCol w:w="2128"/>
        <w:gridCol w:w="1646"/>
        <w:gridCol w:w="2170"/>
        <w:gridCol w:w="1946"/>
        <w:gridCol w:w="1574"/>
      </w:tblGrid>
      <w:tr w:rsidR="00686ED4" w:rsidRPr="00282C83" w:rsidTr="00E2100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rsidR="00686ED4" w:rsidRPr="00282C83" w:rsidRDefault="00686ED4" w:rsidP="00E2100B">
            <w:pPr>
              <w:rPr>
                <w:rFonts w:ascii="Arial" w:hAnsi="Arial" w:cs="Arial"/>
                <w:bCs w:val="0"/>
                <w:sz w:val="20"/>
                <w:szCs w:val="20"/>
              </w:rPr>
            </w:pPr>
            <w:r>
              <w:rPr>
                <w:rFonts w:ascii="Arial" w:hAnsi="Arial" w:cs="Arial"/>
                <w:sz w:val="20"/>
                <w:szCs w:val="20"/>
              </w:rPr>
              <w:t xml:space="preserve">Total Option </w:t>
            </w:r>
            <w:r w:rsidR="00276895">
              <w:rPr>
                <w:rFonts w:ascii="Arial" w:hAnsi="Arial" w:cs="Arial"/>
                <w:sz w:val="20"/>
                <w:szCs w:val="20"/>
              </w:rPr>
              <w:t>2E</w:t>
            </w:r>
            <w:r>
              <w:rPr>
                <w:rFonts w:ascii="Arial" w:hAnsi="Arial" w:cs="Arial"/>
                <w:sz w:val="20"/>
                <w:szCs w:val="20"/>
              </w:rPr>
              <w:t xml:space="preserve"> Costs</w:t>
            </w:r>
            <w:r w:rsidRPr="00282C83">
              <w:rPr>
                <w:rFonts w:ascii="Arial" w:hAnsi="Arial" w:cs="Arial"/>
                <w:sz w:val="20"/>
                <w:szCs w:val="20"/>
              </w:rPr>
              <w:t xml:space="preserve"> - Average annual regulatory costs </w:t>
            </w:r>
            <w:r>
              <w:rPr>
                <w:rFonts w:ascii="Arial" w:hAnsi="Arial" w:cs="Arial"/>
                <w:sz w:val="20"/>
                <w:szCs w:val="20"/>
              </w:rPr>
              <w:t>(ten years)</w:t>
            </w:r>
          </w:p>
        </w:tc>
      </w:tr>
      <w:tr w:rsidR="00686ED4" w:rsidRPr="00282C83" w:rsidTr="00E2100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686ED4" w:rsidRPr="00282C83" w:rsidRDefault="00686ED4" w:rsidP="00E2100B">
            <w:pPr>
              <w:pStyle w:val="TableText"/>
              <w:rPr>
                <w:b w:val="0"/>
                <w:bCs/>
              </w:rPr>
            </w:pPr>
            <w:r w:rsidRPr="00282C83">
              <w:rPr>
                <w:b w:val="0"/>
              </w:rPr>
              <w:t>Change in costs</w:t>
            </w:r>
            <w:r w:rsidRPr="00282C83">
              <w:rPr>
                <w:rFonts w:cs="Calibri"/>
                <w:b w:val="0"/>
                <w:iCs/>
              </w:rPr>
              <w:t xml:space="preserve"> ($ million)</w:t>
            </w:r>
          </w:p>
        </w:tc>
        <w:tc>
          <w:tcPr>
            <w:tcW w:w="1646"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t>Business</w:t>
            </w:r>
          </w:p>
        </w:tc>
        <w:tc>
          <w:tcPr>
            <w:tcW w:w="2170"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Community organisations</w:t>
            </w:r>
          </w:p>
        </w:tc>
        <w:tc>
          <w:tcPr>
            <w:tcW w:w="1946"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t>Individuals</w:t>
            </w:r>
          </w:p>
        </w:tc>
        <w:tc>
          <w:tcPr>
            <w:tcW w:w="1574"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Total change in cost</w:t>
            </w:r>
          </w:p>
        </w:tc>
      </w:tr>
      <w:tr w:rsidR="00686ED4" w:rsidRPr="00282C83" w:rsidTr="00E2100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686ED4" w:rsidRPr="00282C83" w:rsidRDefault="00686ED4" w:rsidP="00E2100B">
            <w:pPr>
              <w:pStyle w:val="TableText"/>
              <w:rPr>
                <w:b w:val="0"/>
                <w:bCs/>
              </w:rPr>
            </w:pPr>
            <w:r w:rsidRPr="00282C83">
              <w:rPr>
                <w:b w:val="0"/>
              </w:rPr>
              <w:t>Total, by sector</w:t>
            </w:r>
          </w:p>
        </w:tc>
        <w:tc>
          <w:tcPr>
            <w:tcW w:w="1646" w:type="dxa"/>
            <w:noWrap/>
          </w:tcPr>
          <w:p w:rsidR="00686ED4" w:rsidRPr="00282C83"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w:t>
            </w:r>
            <w:r w:rsidR="005451C6">
              <w:rPr>
                <w:rFonts w:cs="Calibri"/>
                <w:iCs/>
              </w:rPr>
              <w:t>35</w:t>
            </w:r>
          </w:p>
        </w:tc>
        <w:tc>
          <w:tcPr>
            <w:tcW w:w="2170" w:type="dxa"/>
            <w:noWrap/>
          </w:tcPr>
          <w:p w:rsidR="00686ED4" w:rsidRPr="00282C83"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rsidR="00686ED4" w:rsidRPr="00282C83"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rsidR="00686ED4" w:rsidRPr="00282C83"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w:t>
            </w:r>
            <w:r w:rsidR="005451C6">
              <w:rPr>
                <w:rFonts w:cs="Calibri"/>
                <w:iCs/>
              </w:rPr>
              <w:t>35</w:t>
            </w:r>
          </w:p>
        </w:tc>
      </w:tr>
    </w:tbl>
    <w:p w:rsidR="00261CD8" w:rsidRPr="007F7F96" w:rsidRDefault="00261CD8" w:rsidP="00261CD8">
      <w:pPr>
        <w:spacing w:before="240" w:line="360" w:lineRule="auto"/>
        <w:jc w:val="both"/>
        <w:rPr>
          <w:rFonts w:ascii="Arial" w:hAnsi="Arial" w:cs="Arial"/>
        </w:rPr>
      </w:pPr>
      <w:r>
        <w:rPr>
          <w:rFonts w:ascii="Arial" w:hAnsi="Arial" w:cs="Arial"/>
        </w:rPr>
        <w:t>This option has a relatively low regulatory burden</w:t>
      </w:r>
      <w:r w:rsidR="0094477E">
        <w:rPr>
          <w:rFonts w:ascii="Arial" w:hAnsi="Arial" w:cs="Arial"/>
        </w:rPr>
        <w:t xml:space="preserve"> but potentially has significant economic ramifications as discussed above</w:t>
      </w:r>
      <w:r>
        <w:rPr>
          <w:rFonts w:ascii="Arial" w:hAnsi="Arial" w:cs="Arial"/>
        </w:rPr>
        <w:t xml:space="preserve">. </w:t>
      </w:r>
      <w:r w:rsidRPr="007F7F96">
        <w:rPr>
          <w:rFonts w:ascii="Arial" w:hAnsi="Arial" w:cs="Arial"/>
        </w:rPr>
        <w:t xml:space="preserve">Regulatory burden would be incurred by </w:t>
      </w:r>
      <w:r>
        <w:rPr>
          <w:rFonts w:ascii="Arial" w:hAnsi="Arial" w:cs="Arial"/>
        </w:rPr>
        <w:t>manufacturers who would need to draft new terms in their agreements when the agreements are renewed for the first time following the implementation of this option.</w:t>
      </w:r>
    </w:p>
    <w:p w:rsidR="00CF05CB" w:rsidRDefault="00CF05CB" w:rsidP="00CF05CB">
      <w:pPr>
        <w:spacing w:before="240" w:line="360" w:lineRule="auto"/>
        <w:jc w:val="both"/>
        <w:rPr>
          <w:rFonts w:ascii="Arial" w:hAnsi="Arial" w:cs="Arial"/>
        </w:rPr>
      </w:pPr>
      <w:r>
        <w:rPr>
          <w:rFonts w:ascii="Arial" w:hAnsi="Arial" w:cs="Arial"/>
        </w:rPr>
        <w:t>The regulatory burden calculation assumes that:</w:t>
      </w:r>
    </w:p>
    <w:p w:rsidR="00CF05CB" w:rsidRDefault="00CF05CB" w:rsidP="00CF05CB">
      <w:pPr>
        <w:pStyle w:val="ListParagraph"/>
        <w:numPr>
          <w:ilvl w:val="0"/>
          <w:numId w:val="24"/>
        </w:numPr>
        <w:spacing w:before="240" w:line="360" w:lineRule="auto"/>
        <w:jc w:val="both"/>
        <w:rPr>
          <w:rFonts w:ascii="Arial" w:hAnsi="Arial" w:cs="Arial"/>
        </w:rPr>
      </w:pPr>
      <w:r w:rsidRPr="004B6A55">
        <w:rPr>
          <w:rFonts w:ascii="Arial" w:hAnsi="Arial" w:cs="Arial"/>
        </w:rPr>
        <w:t xml:space="preserve">it would take a lawyer two hours to draft </w:t>
      </w:r>
      <w:r>
        <w:rPr>
          <w:rFonts w:ascii="Arial" w:hAnsi="Arial" w:cs="Arial"/>
        </w:rPr>
        <w:t>new provisions in dealer agreements at a cost of $500 per hour.</w:t>
      </w:r>
    </w:p>
    <w:p w:rsidR="00CF05CB" w:rsidRPr="004B6A55" w:rsidRDefault="00CF05CB" w:rsidP="00CF05CB">
      <w:pPr>
        <w:pStyle w:val="ListParagraph"/>
        <w:numPr>
          <w:ilvl w:val="0"/>
          <w:numId w:val="24"/>
        </w:numPr>
        <w:spacing w:before="240" w:line="360" w:lineRule="auto"/>
        <w:jc w:val="both"/>
        <w:rPr>
          <w:rFonts w:ascii="Arial" w:hAnsi="Arial" w:cs="Arial"/>
        </w:rPr>
      </w:pPr>
      <w:r>
        <w:rPr>
          <w:rFonts w:ascii="Arial" w:hAnsi="Arial" w:cs="Arial"/>
        </w:rPr>
        <w:t>that all 3500 dealer agreements would need to be updated once.</w:t>
      </w:r>
    </w:p>
    <w:p w:rsidR="00EE4D81" w:rsidRPr="00BD1EF5" w:rsidRDefault="00EE4D81" w:rsidP="00205F94">
      <w:pPr>
        <w:keepNext/>
        <w:spacing w:before="240" w:line="360" w:lineRule="auto"/>
        <w:jc w:val="both"/>
        <w:rPr>
          <w:rFonts w:ascii="Arial" w:hAnsi="Arial" w:cs="Arial"/>
        </w:rPr>
      </w:pPr>
      <w:r w:rsidRPr="00BD1EF5">
        <w:rPr>
          <w:rFonts w:ascii="Arial" w:hAnsi="Arial" w:cs="Arial"/>
        </w:rPr>
        <w:t>Questions for stakeholders:</w:t>
      </w:r>
    </w:p>
    <w:p w:rsidR="00EE4D81" w:rsidRDefault="00EE4D81" w:rsidP="00417CA6">
      <w:pPr>
        <w:pStyle w:val="ListParagraph"/>
        <w:numPr>
          <w:ilvl w:val="0"/>
          <w:numId w:val="34"/>
        </w:numPr>
        <w:spacing w:before="240" w:line="360" w:lineRule="auto"/>
        <w:jc w:val="both"/>
        <w:rPr>
          <w:rFonts w:ascii="Arial" w:hAnsi="Arial" w:cs="Arial"/>
        </w:rPr>
      </w:pPr>
      <w:r>
        <w:rPr>
          <w:rFonts w:ascii="Arial" w:hAnsi="Arial" w:cs="Arial"/>
        </w:rPr>
        <w:t>How would car manufacturers respond to the introduction of minimum terms</w:t>
      </w:r>
      <w:r w:rsidRPr="00BD1EF5">
        <w:rPr>
          <w:rFonts w:ascii="Arial" w:hAnsi="Arial" w:cs="Arial"/>
        </w:rPr>
        <w:t>?</w:t>
      </w:r>
    </w:p>
    <w:p w:rsidR="00EE4D81" w:rsidRDefault="00EE4D81" w:rsidP="00417CA6">
      <w:pPr>
        <w:pStyle w:val="ListParagraph"/>
        <w:numPr>
          <w:ilvl w:val="0"/>
          <w:numId w:val="34"/>
        </w:numPr>
        <w:spacing w:before="240" w:line="360" w:lineRule="auto"/>
        <w:jc w:val="both"/>
        <w:rPr>
          <w:rFonts w:ascii="Arial" w:hAnsi="Arial" w:cs="Arial"/>
        </w:rPr>
      </w:pPr>
      <w:r>
        <w:rPr>
          <w:rFonts w:ascii="Arial" w:hAnsi="Arial" w:cs="Arial"/>
        </w:rPr>
        <w:t>Would dealers and manufacturers still have flexibility to respond to developments in technology and changing consumer preferences if agreements had minimum five year terms?</w:t>
      </w:r>
    </w:p>
    <w:p w:rsidR="00F24BA2" w:rsidRDefault="00F24BA2" w:rsidP="00417CA6">
      <w:pPr>
        <w:pStyle w:val="ListParagraph"/>
        <w:numPr>
          <w:ilvl w:val="0"/>
          <w:numId w:val="34"/>
        </w:numPr>
        <w:spacing w:before="240" w:line="360" w:lineRule="auto"/>
        <w:jc w:val="both"/>
        <w:rPr>
          <w:rFonts w:ascii="Arial" w:hAnsi="Arial" w:cs="Arial"/>
        </w:rPr>
      </w:pPr>
      <w:r w:rsidRPr="71921285">
        <w:rPr>
          <w:rFonts w:ascii="Arial" w:hAnsi="Arial" w:cs="Arial"/>
        </w:rPr>
        <w:t xml:space="preserve">What would be the public benefits or detriment of providing minimum tenure and a right of renewal? For example, to what extent might it deter </w:t>
      </w:r>
      <w:r>
        <w:rPr>
          <w:rFonts w:ascii="Arial" w:hAnsi="Arial" w:cs="Arial"/>
        </w:rPr>
        <w:t>manufacturers</w:t>
      </w:r>
      <w:r w:rsidRPr="71921285">
        <w:rPr>
          <w:rFonts w:ascii="Arial" w:hAnsi="Arial" w:cs="Arial"/>
        </w:rPr>
        <w:t xml:space="preserve"> signing agreements with dealers or accelerate consolidation of dealerships in particular regions or areas?</w:t>
      </w:r>
    </w:p>
    <w:p w:rsidR="00F24BA2" w:rsidRDefault="00F24BA2" w:rsidP="00417CA6">
      <w:pPr>
        <w:pStyle w:val="ListParagraph"/>
        <w:numPr>
          <w:ilvl w:val="0"/>
          <w:numId w:val="34"/>
        </w:numPr>
        <w:spacing w:before="240" w:line="360" w:lineRule="auto"/>
        <w:jc w:val="both"/>
        <w:rPr>
          <w:rFonts w:ascii="Arial" w:hAnsi="Arial" w:cs="Arial"/>
        </w:rPr>
      </w:pPr>
      <w:r>
        <w:rPr>
          <w:rFonts w:ascii="Arial" w:hAnsi="Arial" w:cs="Arial"/>
        </w:rPr>
        <w:t>Would a longer notice period for non-renewal achieve a similar outcome to addressing concerns about minimum tenure and the need for franchisees to have certainty when it comes to business planning?</w:t>
      </w:r>
    </w:p>
    <w:p w:rsidR="00F24BA2" w:rsidRDefault="00F24BA2" w:rsidP="00417CA6">
      <w:pPr>
        <w:pStyle w:val="ListParagraph"/>
        <w:numPr>
          <w:ilvl w:val="0"/>
          <w:numId w:val="34"/>
        </w:numPr>
        <w:spacing w:before="240" w:line="360" w:lineRule="auto"/>
        <w:jc w:val="both"/>
        <w:rPr>
          <w:rFonts w:ascii="Arial" w:hAnsi="Arial" w:cs="Arial"/>
        </w:rPr>
      </w:pPr>
      <w:r w:rsidRPr="71921285">
        <w:rPr>
          <w:rFonts w:ascii="Arial" w:hAnsi="Arial" w:cs="Arial"/>
        </w:rPr>
        <w:t xml:space="preserve">To what extent would minimum terms or a right of renewal prevent </w:t>
      </w:r>
      <w:r w:rsidR="00D10C59">
        <w:rPr>
          <w:rFonts w:ascii="Arial" w:hAnsi="Arial" w:cs="Arial"/>
        </w:rPr>
        <w:t>manufacturers</w:t>
      </w:r>
      <w:r w:rsidRPr="71921285">
        <w:rPr>
          <w:rFonts w:ascii="Arial" w:hAnsi="Arial" w:cs="Arial"/>
        </w:rPr>
        <w:t xml:space="preserve"> from responding to changing market conditions and lock the parties into the existing business model?</w:t>
      </w:r>
    </w:p>
    <w:p w:rsidR="00BA11D3" w:rsidRPr="00BA11D3" w:rsidRDefault="0092502D" w:rsidP="00BA11D3">
      <w:pPr>
        <w:keepNext/>
        <w:rPr>
          <w:rFonts w:ascii="Arial" w:hAnsi="Arial" w:cs="Arial"/>
          <w:b/>
          <w:bCs/>
        </w:rPr>
      </w:pPr>
      <w:r>
        <w:rPr>
          <w:rFonts w:ascii="Arial" w:hAnsi="Arial" w:cs="Arial"/>
          <w:b/>
          <w:bCs/>
        </w:rPr>
        <w:t>Option 2</w:t>
      </w:r>
      <w:r w:rsidR="00BA11D3" w:rsidRPr="00BA11D3">
        <w:rPr>
          <w:rFonts w:ascii="Arial" w:hAnsi="Arial" w:cs="Arial"/>
          <w:b/>
          <w:bCs/>
        </w:rPr>
        <w:t xml:space="preserve">F – </w:t>
      </w:r>
      <w:r w:rsidR="00911FFA">
        <w:rPr>
          <w:rFonts w:ascii="Arial" w:hAnsi="Arial" w:cs="Arial"/>
          <w:b/>
          <w:bCs/>
        </w:rPr>
        <w:t>Multi-party dispute resolution</w:t>
      </w:r>
    </w:p>
    <w:p w:rsidR="00E15E2E" w:rsidRPr="000457FD" w:rsidRDefault="11FF59B9" w:rsidP="11FF59B9">
      <w:pPr>
        <w:spacing w:before="240" w:line="360" w:lineRule="auto"/>
        <w:rPr>
          <w:rFonts w:ascii="Arial" w:hAnsi="Arial" w:cs="Arial"/>
        </w:rPr>
      </w:pPr>
      <w:r w:rsidRPr="11FF59B9">
        <w:rPr>
          <w:rFonts w:ascii="Arial" w:hAnsi="Arial" w:cs="Arial"/>
        </w:rPr>
        <w:t xml:space="preserve">This option would </w:t>
      </w:r>
      <w:r w:rsidR="0084420C">
        <w:rPr>
          <w:rFonts w:ascii="Arial" w:hAnsi="Arial" w:cs="Arial"/>
        </w:rPr>
        <w:t xml:space="preserve">explicitly allow franchisees </w:t>
      </w:r>
      <w:r w:rsidR="00BD0FE8">
        <w:rPr>
          <w:rFonts w:ascii="Arial" w:hAnsi="Arial" w:cs="Arial"/>
        </w:rPr>
        <w:t xml:space="preserve">to request multi-party mediation and enable </w:t>
      </w:r>
      <w:r w:rsidRPr="11FF59B9">
        <w:rPr>
          <w:rFonts w:ascii="Arial" w:hAnsi="Arial" w:cs="Arial"/>
        </w:rPr>
        <w:t>mediator</w:t>
      </w:r>
      <w:r w:rsidR="00BD0FE8">
        <w:rPr>
          <w:rFonts w:ascii="Arial" w:hAnsi="Arial" w:cs="Arial"/>
        </w:rPr>
        <w:t>s</w:t>
      </w:r>
      <w:r w:rsidRPr="11FF59B9">
        <w:rPr>
          <w:rFonts w:ascii="Arial" w:hAnsi="Arial" w:cs="Arial"/>
        </w:rPr>
        <w:t xml:space="preserve"> to undertake </w:t>
      </w:r>
      <w:r w:rsidR="00BD0FE8">
        <w:rPr>
          <w:rFonts w:ascii="Arial" w:hAnsi="Arial" w:cs="Arial"/>
        </w:rPr>
        <w:t>such mediation where multiple franchisees wish to dispute similar issues with a franchisor</w:t>
      </w:r>
      <w:r w:rsidRPr="11FF59B9">
        <w:rPr>
          <w:rFonts w:ascii="Arial" w:hAnsi="Arial" w:cs="Arial"/>
        </w:rPr>
        <w:t xml:space="preserve">. </w:t>
      </w:r>
    </w:p>
    <w:p w:rsidR="005C56E4" w:rsidRDefault="11FF59B9" w:rsidP="11FF59B9">
      <w:pPr>
        <w:spacing w:before="240" w:line="360" w:lineRule="auto"/>
        <w:rPr>
          <w:rFonts w:ascii="Arial" w:hAnsi="Arial" w:cs="Arial"/>
        </w:rPr>
      </w:pPr>
      <w:r w:rsidRPr="11FF59B9">
        <w:rPr>
          <w:rFonts w:ascii="Arial" w:hAnsi="Arial" w:cs="Arial"/>
        </w:rPr>
        <w:t>Currently, the Franchising Code provides mechanisms for parties to a</w:t>
      </w:r>
      <w:r w:rsidR="00632B8E">
        <w:rPr>
          <w:rFonts w:ascii="Arial" w:hAnsi="Arial" w:cs="Arial"/>
        </w:rPr>
        <w:t xml:space="preserve"> dealership</w:t>
      </w:r>
      <w:r w:rsidRPr="11FF59B9">
        <w:rPr>
          <w:rFonts w:ascii="Arial" w:hAnsi="Arial" w:cs="Arial"/>
        </w:rPr>
        <w:t xml:space="preserve"> agreement to try and resolve disputes in a timely and cost effective manner</w:t>
      </w:r>
      <w:r w:rsidR="00BE44A5">
        <w:rPr>
          <w:rFonts w:ascii="Arial" w:hAnsi="Arial" w:cs="Arial"/>
        </w:rPr>
        <w:t>;</w:t>
      </w:r>
      <w:r w:rsidRPr="11FF59B9">
        <w:rPr>
          <w:rFonts w:ascii="Arial" w:hAnsi="Arial" w:cs="Arial"/>
        </w:rPr>
        <w:t xml:space="preserve"> however, it does not expressly state that mediators may undertake multi</w:t>
      </w:r>
      <w:r w:rsidR="00E11766">
        <w:rPr>
          <w:rFonts w:ascii="Arial" w:hAnsi="Arial" w:cs="Arial"/>
        </w:rPr>
        <w:t>-</w:t>
      </w:r>
      <w:r w:rsidRPr="11FF59B9">
        <w:rPr>
          <w:rFonts w:ascii="Arial" w:hAnsi="Arial" w:cs="Arial"/>
        </w:rPr>
        <w:t xml:space="preserve">franchisee mediation when disputes of a similar nature arise within a franchise system. </w:t>
      </w:r>
    </w:p>
    <w:p w:rsidR="00E15E2E" w:rsidRPr="000457FD" w:rsidRDefault="00E15E2E" w:rsidP="11FF59B9">
      <w:pPr>
        <w:spacing w:before="240" w:line="360" w:lineRule="auto"/>
        <w:rPr>
          <w:rFonts w:ascii="Arial" w:hAnsi="Arial" w:cs="Arial"/>
        </w:rPr>
      </w:pPr>
      <w:r w:rsidRPr="000457FD">
        <w:rPr>
          <w:rFonts w:ascii="Arial" w:hAnsi="Arial" w:cs="Arial"/>
        </w:rPr>
        <w:t xml:space="preserve">The two dispute resolution mechanisms in the </w:t>
      </w:r>
      <w:r w:rsidR="005C56E4">
        <w:rPr>
          <w:rFonts w:ascii="Arial" w:hAnsi="Arial" w:cs="Arial"/>
        </w:rPr>
        <w:t>Franchising C</w:t>
      </w:r>
      <w:r w:rsidRPr="000457FD">
        <w:rPr>
          <w:rFonts w:ascii="Arial" w:hAnsi="Arial" w:cs="Arial"/>
        </w:rPr>
        <w:t>ode are that:</w:t>
      </w:r>
      <w:r w:rsidRPr="000457FD">
        <w:rPr>
          <w:rFonts w:ascii="Arial" w:hAnsi="Arial" w:cs="Arial"/>
          <w:vertAlign w:val="superscript"/>
        </w:rPr>
        <w:footnoteReference w:id="58"/>
      </w:r>
    </w:p>
    <w:p w:rsidR="00E15E2E" w:rsidRPr="000457FD" w:rsidRDefault="11FF59B9" w:rsidP="11FF59B9">
      <w:pPr>
        <w:numPr>
          <w:ilvl w:val="0"/>
          <w:numId w:val="14"/>
        </w:numPr>
        <w:spacing w:before="240" w:line="360" w:lineRule="auto"/>
        <w:contextualSpacing/>
        <w:jc w:val="both"/>
        <w:rPr>
          <w:rFonts w:ascii="Arial" w:hAnsi="Arial" w:cs="Arial"/>
        </w:rPr>
      </w:pPr>
      <w:r w:rsidRPr="11FF59B9">
        <w:rPr>
          <w:rFonts w:ascii="Arial" w:hAnsi="Arial" w:cs="Arial"/>
        </w:rPr>
        <w:t>franchisors must have an internal procedure for handling complaints that meets certain standards set out in the code; and</w:t>
      </w:r>
    </w:p>
    <w:p w:rsidR="00E15E2E" w:rsidRPr="000457FD" w:rsidRDefault="11FF59B9" w:rsidP="11FF59B9">
      <w:pPr>
        <w:numPr>
          <w:ilvl w:val="0"/>
          <w:numId w:val="14"/>
        </w:numPr>
        <w:spacing w:before="240" w:line="360" w:lineRule="auto"/>
        <w:contextualSpacing/>
        <w:jc w:val="both"/>
        <w:rPr>
          <w:rFonts w:ascii="Arial" w:hAnsi="Arial" w:cs="Arial"/>
        </w:rPr>
      </w:pPr>
      <w:r w:rsidRPr="11FF59B9">
        <w:rPr>
          <w:rFonts w:ascii="Arial" w:hAnsi="Arial" w:cs="Arial"/>
        </w:rPr>
        <w:t>either party can request mediation which, once requested, becomes mandatory for both parties to attend and genuinely attempt to resolve the dispute.</w:t>
      </w:r>
    </w:p>
    <w:p w:rsidR="00615EBF" w:rsidRDefault="11FF59B9" w:rsidP="11FF59B9">
      <w:pPr>
        <w:spacing w:before="240" w:line="360" w:lineRule="auto"/>
        <w:rPr>
          <w:rFonts w:ascii="Arial" w:hAnsi="Arial" w:cs="Arial"/>
        </w:rPr>
      </w:pPr>
      <w:r w:rsidRPr="11FF59B9">
        <w:rPr>
          <w:rFonts w:ascii="Arial" w:hAnsi="Arial" w:cs="Arial"/>
        </w:rPr>
        <w:t>The mechanisms in the code are a way to bring the two parties together to resolve the dispute in an informal manner</w:t>
      </w:r>
      <w:r w:rsidR="009C0076">
        <w:rPr>
          <w:rFonts w:ascii="Arial" w:hAnsi="Arial" w:cs="Arial"/>
        </w:rPr>
        <w:t>.</w:t>
      </w:r>
      <w:r w:rsidRPr="11FF59B9">
        <w:rPr>
          <w:rFonts w:ascii="Arial" w:hAnsi="Arial" w:cs="Arial"/>
        </w:rPr>
        <w:t xml:space="preserve"> </w:t>
      </w:r>
      <w:r w:rsidR="00BE44A5">
        <w:rPr>
          <w:rFonts w:ascii="Arial" w:hAnsi="Arial" w:cs="Arial"/>
        </w:rPr>
        <w:t>T</w:t>
      </w:r>
      <w:r w:rsidRPr="11FF59B9">
        <w:rPr>
          <w:rFonts w:ascii="Arial" w:hAnsi="Arial" w:cs="Arial"/>
        </w:rPr>
        <w:t xml:space="preserve">hey are not a way to reach a binding solution and they do not affect a party’s right to take legal action over a franchising dispute. </w:t>
      </w:r>
    </w:p>
    <w:p w:rsidR="00E15E2E" w:rsidRDefault="00615EBF" w:rsidP="11FF59B9">
      <w:pPr>
        <w:spacing w:before="240" w:line="360" w:lineRule="auto"/>
        <w:rPr>
          <w:rFonts w:ascii="Arial" w:hAnsi="Arial" w:cs="Arial"/>
        </w:rPr>
      </w:pPr>
      <w:r w:rsidRPr="00615EBF">
        <w:rPr>
          <w:rFonts w:ascii="Arial" w:hAnsi="Arial" w:cs="Arial"/>
        </w:rPr>
        <w:t xml:space="preserve">The Office of the Franchising Mediation Adviser (OFMA) reported that </w:t>
      </w:r>
      <w:r w:rsidR="00BE44A5">
        <w:rPr>
          <w:rFonts w:ascii="Arial" w:hAnsi="Arial" w:cs="Arial"/>
        </w:rPr>
        <w:t>in</w:t>
      </w:r>
      <w:r w:rsidR="00BE44A5" w:rsidRPr="00615EBF">
        <w:rPr>
          <w:rFonts w:ascii="Arial" w:hAnsi="Arial" w:cs="Arial"/>
        </w:rPr>
        <w:t xml:space="preserve"> </w:t>
      </w:r>
      <w:r w:rsidRPr="00615EBF">
        <w:rPr>
          <w:rFonts w:ascii="Arial" w:hAnsi="Arial" w:cs="Arial"/>
        </w:rPr>
        <w:t xml:space="preserve">the period from </w:t>
      </w:r>
      <w:r w:rsidR="00211B7D" w:rsidRPr="00615EBF">
        <w:rPr>
          <w:rFonts w:ascii="Arial" w:hAnsi="Arial" w:cs="Arial"/>
        </w:rPr>
        <w:t>1</w:t>
      </w:r>
      <w:r w:rsidR="00211B7D">
        <w:rPr>
          <w:rFonts w:ascii="Arial" w:hAnsi="Arial" w:cs="Arial"/>
        </w:rPr>
        <w:t> </w:t>
      </w:r>
      <w:r w:rsidRPr="00615EBF">
        <w:rPr>
          <w:rFonts w:ascii="Arial" w:hAnsi="Arial" w:cs="Arial"/>
        </w:rPr>
        <w:t>January 2017 to 31 December 2017 there were a total of 288 requests for mediation filed with OFMA for which the Adviser appointed a mediator.  Of these, mediation had begun in 266 matters and reports had been provided for 180 of these matters that had been completed during this period.  In 149 of these matters, Mediators reported that they conducted a mediation, of which 119 were resolved at mediation.</w:t>
      </w:r>
    </w:p>
    <w:p w:rsidR="00C93A97" w:rsidRPr="008B0A77" w:rsidRDefault="00615EBF" w:rsidP="00C93A97">
      <w:pPr>
        <w:spacing w:before="240" w:line="360" w:lineRule="auto"/>
        <w:jc w:val="both"/>
        <w:rPr>
          <w:rFonts w:ascii="Arial" w:hAnsi="Arial" w:cs="Arial"/>
        </w:rPr>
      </w:pPr>
      <w:r>
        <w:rPr>
          <w:rFonts w:ascii="Arial" w:hAnsi="Arial" w:cs="Arial"/>
        </w:rPr>
        <w:t>As</w:t>
      </w:r>
      <w:r w:rsidR="00C93A97" w:rsidRPr="008B0A77">
        <w:rPr>
          <w:rFonts w:ascii="Arial" w:hAnsi="Arial" w:cs="Arial"/>
        </w:rPr>
        <w:t xml:space="preserve"> stated previously, the OSBC</w:t>
      </w:r>
      <w:r w:rsidR="00C93A97" w:rsidRPr="008B0A77">
        <w:rPr>
          <w:rStyle w:val="FootnoteReference"/>
          <w:rFonts w:ascii="Arial" w:hAnsi="Arial" w:cs="Arial"/>
        </w:rPr>
        <w:footnoteReference w:id="59"/>
      </w:r>
      <w:r w:rsidR="00860138" w:rsidRPr="008B0A77">
        <w:rPr>
          <w:rFonts w:ascii="Arial" w:hAnsi="Arial" w:cs="Arial"/>
        </w:rPr>
        <w:t>, has identified</w:t>
      </w:r>
      <w:r w:rsidR="00C93A97" w:rsidRPr="008B0A77">
        <w:rPr>
          <w:rFonts w:ascii="Arial" w:hAnsi="Arial" w:cs="Arial"/>
        </w:rPr>
        <w:t xml:space="preserve"> that </w:t>
      </w:r>
      <w:r w:rsidR="00860138" w:rsidRPr="008B0A77">
        <w:rPr>
          <w:rFonts w:ascii="Arial" w:hAnsi="Arial" w:cs="Arial"/>
        </w:rPr>
        <w:t xml:space="preserve">dealers are reluctant to commence legal proceedings against a manufacturer due </w:t>
      </w:r>
      <w:r w:rsidR="00BE44A5">
        <w:rPr>
          <w:rFonts w:ascii="Arial" w:hAnsi="Arial" w:cs="Arial"/>
        </w:rPr>
        <w:t xml:space="preserve">to </w:t>
      </w:r>
      <w:r w:rsidR="00BD0FE8" w:rsidRPr="008B0A77">
        <w:rPr>
          <w:rFonts w:ascii="Arial" w:hAnsi="Arial" w:cs="Arial"/>
        </w:rPr>
        <w:t xml:space="preserve">concerns that doing so would cause </w:t>
      </w:r>
      <w:r w:rsidR="00860138" w:rsidRPr="008B0A77">
        <w:rPr>
          <w:rFonts w:ascii="Arial" w:hAnsi="Arial" w:cs="Arial"/>
        </w:rPr>
        <w:t xml:space="preserve">irreparable damage to their </w:t>
      </w:r>
      <w:r w:rsidR="002F6F3E" w:rsidRPr="008B0A77">
        <w:rPr>
          <w:rFonts w:ascii="Arial" w:hAnsi="Arial" w:cs="Arial"/>
        </w:rPr>
        <w:t>commercial relationship, which is the paramount concern for the dealer.</w:t>
      </w:r>
      <w:r w:rsidR="002F6F3E" w:rsidRPr="008B0A77">
        <w:rPr>
          <w:rStyle w:val="FootnoteReference"/>
          <w:rFonts w:ascii="Arial" w:hAnsi="Arial" w:cs="Arial"/>
        </w:rPr>
        <w:footnoteReference w:id="60"/>
      </w:r>
      <w:r w:rsidR="00C93A97" w:rsidRPr="008B0A77">
        <w:rPr>
          <w:rFonts w:ascii="Arial" w:hAnsi="Arial" w:cs="Arial"/>
        </w:rPr>
        <w:t xml:space="preserve"> By explicitly allowing for multi-franchisee mediation, it could empower new car dealers</w:t>
      </w:r>
      <w:r w:rsidR="00FD5241" w:rsidRPr="008B0A77">
        <w:rPr>
          <w:rFonts w:ascii="Arial" w:hAnsi="Arial" w:cs="Arial"/>
        </w:rPr>
        <w:t>, through strength in numbers,</w:t>
      </w:r>
      <w:r w:rsidR="00C93A97" w:rsidRPr="008B0A77">
        <w:rPr>
          <w:rFonts w:ascii="Arial" w:hAnsi="Arial" w:cs="Arial"/>
        </w:rPr>
        <w:t xml:space="preserve"> to formalise their complaint and seek a resolution (particularly if the problem is systemic). </w:t>
      </w:r>
    </w:p>
    <w:p w:rsidR="005E4A44" w:rsidRPr="008B0A77" w:rsidRDefault="005E4A44" w:rsidP="00C93A97">
      <w:pPr>
        <w:spacing w:before="240" w:line="360" w:lineRule="auto"/>
        <w:jc w:val="both"/>
        <w:rPr>
          <w:rFonts w:ascii="Arial" w:hAnsi="Arial" w:cs="Arial"/>
        </w:rPr>
      </w:pPr>
      <w:r w:rsidRPr="008B0A77">
        <w:rPr>
          <w:rFonts w:ascii="Arial" w:hAnsi="Arial" w:cs="Arial"/>
        </w:rPr>
        <w:t xml:space="preserve">The </w:t>
      </w:r>
      <w:r w:rsidR="008B0A77" w:rsidRPr="008B0A77">
        <w:rPr>
          <w:rFonts w:ascii="Arial" w:hAnsi="Arial" w:cs="Arial"/>
        </w:rPr>
        <w:t>Victorian Automobile Chamber of Commerce (V</w:t>
      </w:r>
      <w:r w:rsidRPr="008B0A77">
        <w:rPr>
          <w:rFonts w:ascii="Arial" w:hAnsi="Arial" w:cs="Arial"/>
        </w:rPr>
        <w:t>ACC</w:t>
      </w:r>
      <w:r w:rsidR="008B0A77" w:rsidRPr="008B0A77">
        <w:rPr>
          <w:rFonts w:ascii="Arial" w:hAnsi="Arial" w:cs="Arial"/>
        </w:rPr>
        <w:t>)</w:t>
      </w:r>
      <w:r w:rsidRPr="008B0A77">
        <w:rPr>
          <w:rFonts w:ascii="Arial" w:hAnsi="Arial" w:cs="Arial"/>
        </w:rPr>
        <w:t xml:space="preserve"> </w:t>
      </w:r>
      <w:r w:rsidR="00BB15B9" w:rsidRPr="008B0A77">
        <w:rPr>
          <w:rFonts w:ascii="Arial" w:hAnsi="Arial" w:cs="Arial"/>
        </w:rPr>
        <w:t xml:space="preserve">compiled survey evidence which indicated that there </w:t>
      </w:r>
      <w:r w:rsidR="00E86C18" w:rsidRPr="008B0A77">
        <w:rPr>
          <w:rFonts w:ascii="Arial" w:hAnsi="Arial" w:cs="Arial"/>
        </w:rPr>
        <w:t>‘</w:t>
      </w:r>
      <w:r w:rsidR="00BB15B9" w:rsidRPr="008B0A77">
        <w:rPr>
          <w:rFonts w:ascii="Arial" w:hAnsi="Arial" w:cs="Arial"/>
        </w:rPr>
        <w:t>is a perception in the automotive industry that all regulators</w:t>
      </w:r>
      <w:r w:rsidR="00E86C18" w:rsidRPr="008B0A77">
        <w:rPr>
          <w:rFonts w:ascii="Arial" w:hAnsi="Arial" w:cs="Arial"/>
        </w:rPr>
        <w:t xml:space="preserve"> are powerless or lack the resources to assist franchisees in disputes against </w:t>
      </w:r>
      <w:r w:rsidR="003F14CF" w:rsidRPr="008B0A77">
        <w:rPr>
          <w:rFonts w:ascii="Arial" w:hAnsi="Arial" w:cs="Arial"/>
        </w:rPr>
        <w:t>large multinational franchisors</w:t>
      </w:r>
      <w:r w:rsidR="00951CD5" w:rsidRPr="008B0A77">
        <w:rPr>
          <w:rFonts w:ascii="Arial" w:hAnsi="Arial" w:cs="Arial"/>
        </w:rPr>
        <w:t>.</w:t>
      </w:r>
      <w:r w:rsidR="00E86C18" w:rsidRPr="008B0A77">
        <w:rPr>
          <w:rFonts w:ascii="Arial" w:hAnsi="Arial" w:cs="Arial"/>
        </w:rPr>
        <w:t>’</w:t>
      </w:r>
      <w:r w:rsidR="00E86C18" w:rsidRPr="008B0A77">
        <w:rPr>
          <w:rStyle w:val="FootnoteReference"/>
          <w:rFonts w:ascii="Arial" w:hAnsi="Arial" w:cs="Arial"/>
        </w:rPr>
        <w:footnoteReference w:id="61"/>
      </w:r>
      <w:r w:rsidR="00E86C18" w:rsidRPr="008B0A77">
        <w:rPr>
          <w:rFonts w:ascii="Arial" w:hAnsi="Arial" w:cs="Arial"/>
        </w:rPr>
        <w:t xml:space="preserve"> </w:t>
      </w:r>
      <w:r w:rsidR="00A02B07" w:rsidRPr="008B0A77">
        <w:rPr>
          <w:rFonts w:ascii="Arial" w:hAnsi="Arial" w:cs="Arial"/>
        </w:rPr>
        <w:t xml:space="preserve">Multi-franchisee mediation may </w:t>
      </w:r>
      <w:r w:rsidR="003F14CF" w:rsidRPr="008B0A77">
        <w:rPr>
          <w:rFonts w:ascii="Arial" w:hAnsi="Arial" w:cs="Arial"/>
        </w:rPr>
        <w:t>increas</w:t>
      </w:r>
      <w:r w:rsidR="00B41E71">
        <w:rPr>
          <w:rFonts w:ascii="Arial" w:hAnsi="Arial" w:cs="Arial"/>
        </w:rPr>
        <w:t xml:space="preserve">e </w:t>
      </w:r>
      <w:r w:rsidR="003F14CF" w:rsidRPr="008B0A77">
        <w:rPr>
          <w:rFonts w:ascii="Arial" w:hAnsi="Arial" w:cs="Arial"/>
        </w:rPr>
        <w:t xml:space="preserve">the pool of resources </w:t>
      </w:r>
      <w:r w:rsidR="00951CD5" w:rsidRPr="008B0A77">
        <w:rPr>
          <w:rFonts w:ascii="Arial" w:hAnsi="Arial" w:cs="Arial"/>
        </w:rPr>
        <w:t xml:space="preserve">available to franchisees and thereby increase their perception of the potential success of </w:t>
      </w:r>
      <w:r w:rsidR="005773AD" w:rsidRPr="008B0A77">
        <w:rPr>
          <w:rFonts w:ascii="Arial" w:hAnsi="Arial" w:cs="Arial"/>
        </w:rPr>
        <w:t>mediation.</w:t>
      </w:r>
    </w:p>
    <w:p w:rsidR="00E15E2E" w:rsidRPr="0002450B" w:rsidRDefault="11FF59B9" w:rsidP="11FF59B9">
      <w:pPr>
        <w:spacing w:before="240" w:line="360" w:lineRule="auto"/>
        <w:jc w:val="both"/>
        <w:rPr>
          <w:rFonts w:ascii="Arial" w:hAnsi="Arial" w:cs="Arial"/>
          <w:i/>
          <w:iCs/>
        </w:rPr>
      </w:pPr>
      <w:r w:rsidRPr="11FF59B9">
        <w:rPr>
          <w:rFonts w:ascii="Arial" w:hAnsi="Arial" w:cs="Arial"/>
          <w:i/>
          <w:iCs/>
        </w:rPr>
        <w:t>Impact on car dealers</w:t>
      </w:r>
    </w:p>
    <w:p w:rsidR="00AD3D98" w:rsidRDefault="11FF59B9" w:rsidP="00AD3D98">
      <w:pPr>
        <w:spacing w:before="240" w:line="360" w:lineRule="auto"/>
        <w:jc w:val="both"/>
        <w:rPr>
          <w:rFonts w:ascii="Arial" w:hAnsi="Arial" w:cs="Arial"/>
        </w:rPr>
      </w:pPr>
      <w:r w:rsidRPr="11FF59B9">
        <w:rPr>
          <w:rFonts w:ascii="Arial" w:hAnsi="Arial" w:cs="Arial"/>
        </w:rPr>
        <w:t xml:space="preserve">This option is likely to </w:t>
      </w:r>
      <w:r w:rsidR="002D560D">
        <w:rPr>
          <w:rFonts w:ascii="Arial" w:hAnsi="Arial" w:cs="Arial"/>
        </w:rPr>
        <w:t>benefit</w:t>
      </w:r>
      <w:r w:rsidRPr="11FF59B9">
        <w:rPr>
          <w:rFonts w:ascii="Arial" w:hAnsi="Arial" w:cs="Arial"/>
        </w:rPr>
        <w:t xml:space="preserve"> new car dealers because it will assist in equalising the imbalance of bargaining power between car manufacturers and new car dealers when resolving disputes and create a more efficient process and use of resources.</w:t>
      </w:r>
      <w:r w:rsidR="00AD3D98">
        <w:rPr>
          <w:rFonts w:ascii="Arial" w:hAnsi="Arial" w:cs="Arial"/>
        </w:rPr>
        <w:t xml:space="preserve"> The introduction of multi</w:t>
      </w:r>
      <w:r w:rsidR="00BE44A5">
        <w:rPr>
          <w:rFonts w:ascii="Arial" w:hAnsi="Arial" w:cs="Arial"/>
        </w:rPr>
        <w:t>-</w:t>
      </w:r>
      <w:r w:rsidR="00AD3D98">
        <w:rPr>
          <w:rFonts w:ascii="Arial" w:hAnsi="Arial" w:cs="Arial"/>
        </w:rPr>
        <w:t xml:space="preserve">franchise dispute resolution would also assist groups of dealers that are being consolidated due to the franchisor changing their geographic footprint. </w:t>
      </w:r>
    </w:p>
    <w:p w:rsidR="00E15E2E" w:rsidRDefault="11FF59B9" w:rsidP="11FF59B9">
      <w:pPr>
        <w:spacing w:before="240" w:line="360" w:lineRule="auto"/>
        <w:jc w:val="both"/>
        <w:rPr>
          <w:rFonts w:ascii="Arial" w:hAnsi="Arial" w:cs="Arial"/>
        </w:rPr>
      </w:pPr>
      <w:r w:rsidRPr="11FF59B9">
        <w:rPr>
          <w:rFonts w:ascii="Arial" w:hAnsi="Arial" w:cs="Arial"/>
        </w:rPr>
        <w:t>Industry stakeholders representing new car dealers have suggested that the dispute resolution procedures set out in the Franchising Code are not working as intended. Industry stakeholders have noted that taking legal action to resolve a dispute can be costly and time consuming and often puts the franchisee at a disadvantage, given the greater resources of the franchisor. Stakeholders note that the costs associated with taking legal action can mean that franchisees do not have access to justice, particularly when the franchisor is unwilling to reach a solution that works for both parties.</w:t>
      </w:r>
    </w:p>
    <w:p w:rsidR="00E15E2E" w:rsidRDefault="11FF59B9" w:rsidP="11FF59B9">
      <w:pPr>
        <w:spacing w:before="240" w:line="360" w:lineRule="auto"/>
        <w:jc w:val="both"/>
        <w:rPr>
          <w:rFonts w:ascii="Arial" w:hAnsi="Arial" w:cs="Arial"/>
        </w:rPr>
      </w:pPr>
      <w:r w:rsidRPr="11FF59B9">
        <w:rPr>
          <w:rFonts w:ascii="Arial" w:hAnsi="Arial" w:cs="Arial"/>
        </w:rPr>
        <w:t xml:space="preserve">Through undertaking multi-franchising mediation, new car dealers will be able to share resourcing and distribute the costs involved in undertaking the mediation. This will assist in making the dispute resolution process more cost effective and accessible, particularly to smaller dealers in regional areas. </w:t>
      </w:r>
    </w:p>
    <w:p w:rsidR="00E15E2E" w:rsidRDefault="11FF59B9" w:rsidP="11FF59B9">
      <w:pPr>
        <w:spacing w:before="240" w:line="360" w:lineRule="auto"/>
        <w:jc w:val="both"/>
        <w:rPr>
          <w:rFonts w:ascii="Arial" w:hAnsi="Arial" w:cs="Arial"/>
        </w:rPr>
      </w:pPr>
      <w:r w:rsidRPr="11FF59B9">
        <w:rPr>
          <w:rFonts w:ascii="Arial" w:hAnsi="Arial" w:cs="Arial"/>
          <w:i/>
          <w:iCs/>
        </w:rPr>
        <w:t>Impact on manufacturers</w:t>
      </w:r>
    </w:p>
    <w:p w:rsidR="00E15E2E" w:rsidRDefault="11FF59B9" w:rsidP="11FF59B9">
      <w:pPr>
        <w:spacing w:before="240" w:line="360" w:lineRule="auto"/>
        <w:jc w:val="both"/>
        <w:rPr>
          <w:rFonts w:ascii="Arial" w:hAnsi="Arial" w:cs="Arial"/>
        </w:rPr>
      </w:pPr>
      <w:r w:rsidRPr="11FF59B9">
        <w:rPr>
          <w:rFonts w:ascii="Arial" w:hAnsi="Arial" w:cs="Arial"/>
        </w:rPr>
        <w:t xml:space="preserve">By addressing issues in the one mediation process, it could potentially reduce legal costs and time spent mediating an outcome for car manufacturers. By not undertaking multi-party mediation a car manufacturer would be required to separately resolve each issue with each new car dealer thereby increasing time and costs. </w:t>
      </w:r>
    </w:p>
    <w:p w:rsidR="00E15E2E" w:rsidRDefault="11FF59B9" w:rsidP="11FF59B9">
      <w:pPr>
        <w:spacing w:before="240" w:line="360" w:lineRule="auto"/>
        <w:jc w:val="both"/>
        <w:rPr>
          <w:rFonts w:ascii="Arial" w:hAnsi="Arial" w:cs="Arial"/>
        </w:rPr>
      </w:pPr>
      <w:r w:rsidRPr="11FF59B9">
        <w:rPr>
          <w:rFonts w:ascii="Arial" w:hAnsi="Arial" w:cs="Arial"/>
        </w:rPr>
        <w:t>However by increasing the accessibility of dispute resolution, it could increase the number of car dealers becoming involved in mediation which could potentially increase costs (associated with implementing outcomes from the mediation) for car manufacturers.</w:t>
      </w:r>
    </w:p>
    <w:p w:rsidR="00E15E2E" w:rsidRDefault="11FF59B9" w:rsidP="11FF59B9">
      <w:pPr>
        <w:spacing w:before="240" w:line="360" w:lineRule="auto"/>
        <w:jc w:val="both"/>
        <w:rPr>
          <w:rFonts w:ascii="Arial" w:hAnsi="Arial" w:cs="Arial"/>
          <w:i/>
          <w:iCs/>
        </w:rPr>
      </w:pPr>
      <w:r w:rsidRPr="11FF59B9">
        <w:rPr>
          <w:rFonts w:ascii="Arial" w:hAnsi="Arial" w:cs="Arial"/>
          <w:i/>
          <w:iCs/>
        </w:rPr>
        <w:t>Net benefit</w:t>
      </w:r>
    </w:p>
    <w:p w:rsidR="00FE51B8" w:rsidRDefault="11FF59B9" w:rsidP="11FF59B9">
      <w:pPr>
        <w:spacing w:before="240" w:line="360" w:lineRule="auto"/>
        <w:jc w:val="both"/>
        <w:rPr>
          <w:rFonts w:ascii="Arial" w:hAnsi="Arial" w:cs="Arial"/>
        </w:rPr>
      </w:pPr>
      <w:r w:rsidRPr="11FF59B9">
        <w:rPr>
          <w:rFonts w:ascii="Arial" w:hAnsi="Arial" w:cs="Arial"/>
        </w:rPr>
        <w:t xml:space="preserve">This option would create benefits for both new car dealers and car manufacturers. </w:t>
      </w:r>
      <w:r w:rsidRPr="00BD0AAD">
        <w:rPr>
          <w:rFonts w:ascii="Arial" w:hAnsi="Arial" w:cs="Arial"/>
        </w:rPr>
        <w:t xml:space="preserve">It would </w:t>
      </w:r>
      <w:r w:rsidR="00C93A97" w:rsidRPr="00BD0AAD">
        <w:rPr>
          <w:rFonts w:ascii="Arial" w:hAnsi="Arial" w:cs="Arial"/>
        </w:rPr>
        <w:t>empower car dealers and</w:t>
      </w:r>
      <w:r w:rsidR="00C93A97">
        <w:rPr>
          <w:rFonts w:ascii="Arial" w:hAnsi="Arial" w:cs="Arial"/>
        </w:rPr>
        <w:t xml:space="preserve"> </w:t>
      </w:r>
      <w:r w:rsidRPr="11FF59B9">
        <w:rPr>
          <w:rFonts w:ascii="Arial" w:hAnsi="Arial" w:cs="Arial"/>
        </w:rPr>
        <w:t xml:space="preserve">allow </w:t>
      </w:r>
      <w:r w:rsidR="00C93A97">
        <w:rPr>
          <w:rFonts w:ascii="Arial" w:hAnsi="Arial" w:cs="Arial"/>
        </w:rPr>
        <w:t>them</w:t>
      </w:r>
      <w:r w:rsidRPr="11FF59B9">
        <w:rPr>
          <w:rFonts w:ascii="Arial" w:hAnsi="Arial" w:cs="Arial"/>
        </w:rPr>
        <w:t xml:space="preserve"> to share costs and resources, whilst car manufacturers would also have cost and time savings. Any increase in cost to the car manufacturer would be outweighed by the cost and resource saving</w:t>
      </w:r>
      <w:r w:rsidR="00211B7D">
        <w:rPr>
          <w:rFonts w:ascii="Arial" w:hAnsi="Arial" w:cs="Arial"/>
        </w:rPr>
        <w:t>s</w:t>
      </w:r>
      <w:r w:rsidRPr="11FF59B9">
        <w:rPr>
          <w:rFonts w:ascii="Arial" w:hAnsi="Arial" w:cs="Arial"/>
        </w:rPr>
        <w:t xml:space="preserve"> experienced by the car dealer that is now able to access mediation.</w:t>
      </w:r>
    </w:p>
    <w:p w:rsidR="00686ED4" w:rsidRPr="007F7F96" w:rsidRDefault="00686ED4" w:rsidP="00B61A16">
      <w:pPr>
        <w:keepNext/>
        <w:spacing w:before="240" w:line="360" w:lineRule="auto"/>
        <w:jc w:val="both"/>
        <w:rPr>
          <w:rFonts w:ascii="Arial" w:hAnsi="Arial" w:cs="Arial"/>
          <w:i/>
        </w:rPr>
      </w:pPr>
      <w:r w:rsidRPr="007F7F96">
        <w:rPr>
          <w:rFonts w:ascii="Arial" w:hAnsi="Arial" w:cs="Arial"/>
          <w:i/>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
      </w:tblPr>
      <w:tblGrid>
        <w:gridCol w:w="2128"/>
        <w:gridCol w:w="1646"/>
        <w:gridCol w:w="2170"/>
        <w:gridCol w:w="1946"/>
        <w:gridCol w:w="1574"/>
      </w:tblGrid>
      <w:tr w:rsidR="00686ED4" w:rsidRPr="00282C83" w:rsidTr="00E2100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rsidR="00686ED4" w:rsidRPr="00282C83" w:rsidRDefault="00686ED4" w:rsidP="00E2100B">
            <w:pPr>
              <w:rPr>
                <w:rFonts w:ascii="Arial" w:hAnsi="Arial" w:cs="Arial"/>
                <w:bCs w:val="0"/>
                <w:sz w:val="20"/>
                <w:szCs w:val="20"/>
              </w:rPr>
            </w:pPr>
            <w:r>
              <w:rPr>
                <w:rFonts w:ascii="Arial" w:hAnsi="Arial" w:cs="Arial"/>
                <w:sz w:val="20"/>
                <w:szCs w:val="20"/>
              </w:rPr>
              <w:t xml:space="preserve">Total Option </w:t>
            </w:r>
            <w:r w:rsidR="00276895">
              <w:rPr>
                <w:rFonts w:ascii="Arial" w:hAnsi="Arial" w:cs="Arial"/>
                <w:sz w:val="20"/>
                <w:szCs w:val="20"/>
              </w:rPr>
              <w:t>2F</w:t>
            </w:r>
            <w:r w:rsidR="003A4A6D">
              <w:rPr>
                <w:rFonts w:ascii="Arial" w:hAnsi="Arial" w:cs="Arial"/>
                <w:sz w:val="20"/>
                <w:szCs w:val="20"/>
              </w:rPr>
              <w:t xml:space="preserve"> </w:t>
            </w:r>
            <w:r>
              <w:rPr>
                <w:rFonts w:ascii="Arial" w:hAnsi="Arial" w:cs="Arial"/>
                <w:sz w:val="20"/>
                <w:szCs w:val="20"/>
              </w:rPr>
              <w:t>Costs</w:t>
            </w:r>
            <w:r w:rsidRPr="00282C83">
              <w:rPr>
                <w:rFonts w:ascii="Arial" w:hAnsi="Arial" w:cs="Arial"/>
                <w:sz w:val="20"/>
                <w:szCs w:val="20"/>
              </w:rPr>
              <w:t xml:space="preserve"> - Average annual regulatory costs </w:t>
            </w:r>
            <w:r>
              <w:rPr>
                <w:rFonts w:ascii="Arial" w:hAnsi="Arial" w:cs="Arial"/>
                <w:sz w:val="20"/>
                <w:szCs w:val="20"/>
              </w:rPr>
              <w:t>(ten years)</w:t>
            </w:r>
          </w:p>
        </w:tc>
      </w:tr>
      <w:tr w:rsidR="00686ED4" w:rsidRPr="00282C83" w:rsidTr="00E2100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686ED4" w:rsidRPr="00282C83" w:rsidRDefault="00686ED4" w:rsidP="00E2100B">
            <w:pPr>
              <w:pStyle w:val="TableText"/>
              <w:rPr>
                <w:b w:val="0"/>
                <w:bCs/>
              </w:rPr>
            </w:pPr>
            <w:r w:rsidRPr="00282C83">
              <w:rPr>
                <w:b w:val="0"/>
              </w:rPr>
              <w:t>Change in costs</w:t>
            </w:r>
            <w:r w:rsidRPr="00282C83">
              <w:rPr>
                <w:rFonts w:cs="Calibri"/>
                <w:b w:val="0"/>
                <w:iCs/>
              </w:rPr>
              <w:t xml:space="preserve"> ($ million)</w:t>
            </w:r>
          </w:p>
        </w:tc>
        <w:tc>
          <w:tcPr>
            <w:tcW w:w="1646"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t>Business</w:t>
            </w:r>
          </w:p>
        </w:tc>
        <w:tc>
          <w:tcPr>
            <w:tcW w:w="2170"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Community organisations</w:t>
            </w:r>
          </w:p>
        </w:tc>
        <w:tc>
          <w:tcPr>
            <w:tcW w:w="1946"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t>Individuals</w:t>
            </w:r>
          </w:p>
        </w:tc>
        <w:tc>
          <w:tcPr>
            <w:tcW w:w="1574" w:type="dxa"/>
            <w:noWrap/>
          </w:tcPr>
          <w:p w:rsidR="00686ED4" w:rsidRPr="00282C83"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Total change in cost</w:t>
            </w:r>
          </w:p>
        </w:tc>
      </w:tr>
      <w:tr w:rsidR="00686ED4" w:rsidRPr="00282C83" w:rsidTr="00E2100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686ED4" w:rsidRPr="00282C83" w:rsidRDefault="00686ED4" w:rsidP="00E2100B">
            <w:pPr>
              <w:pStyle w:val="TableText"/>
              <w:rPr>
                <w:b w:val="0"/>
                <w:bCs/>
              </w:rPr>
            </w:pPr>
            <w:r w:rsidRPr="00282C83">
              <w:rPr>
                <w:b w:val="0"/>
              </w:rPr>
              <w:t>Total, by sector</w:t>
            </w:r>
          </w:p>
        </w:tc>
        <w:tc>
          <w:tcPr>
            <w:tcW w:w="1646" w:type="dxa"/>
            <w:noWrap/>
          </w:tcPr>
          <w:p w:rsidR="00686ED4" w:rsidRPr="00282C83" w:rsidRDefault="000C07AF"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Nil</w:t>
            </w:r>
          </w:p>
        </w:tc>
        <w:tc>
          <w:tcPr>
            <w:tcW w:w="2170" w:type="dxa"/>
            <w:noWrap/>
          </w:tcPr>
          <w:p w:rsidR="00686ED4" w:rsidRPr="00282C83"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rsidR="00686ED4" w:rsidRPr="00282C83"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rsidR="00686ED4" w:rsidRPr="00282C83" w:rsidRDefault="00504533"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Nil</w:t>
            </w:r>
          </w:p>
        </w:tc>
      </w:tr>
    </w:tbl>
    <w:p w:rsidR="00CF05CB" w:rsidRDefault="009F4385" w:rsidP="009F4385">
      <w:pPr>
        <w:spacing w:before="240" w:line="360" w:lineRule="auto"/>
        <w:jc w:val="both"/>
        <w:rPr>
          <w:rFonts w:ascii="Arial" w:hAnsi="Arial" w:cs="Arial"/>
        </w:rPr>
      </w:pPr>
      <w:r>
        <w:rPr>
          <w:rFonts w:ascii="Arial" w:hAnsi="Arial" w:cs="Arial"/>
        </w:rPr>
        <w:t>Since this option involves a regulatory amendment to clarify the existing ability for franchisees to undertake multi-franchisee mediation, it is anticipated that there is no r</w:t>
      </w:r>
      <w:r w:rsidR="00261CD8" w:rsidRPr="007F7F96">
        <w:rPr>
          <w:rFonts w:ascii="Arial" w:hAnsi="Arial" w:cs="Arial"/>
        </w:rPr>
        <w:t xml:space="preserve">egulatory burden </w:t>
      </w:r>
      <w:r>
        <w:rPr>
          <w:rFonts w:ascii="Arial" w:hAnsi="Arial" w:cs="Arial"/>
        </w:rPr>
        <w:t xml:space="preserve">resulting from this change. </w:t>
      </w:r>
    </w:p>
    <w:p w:rsidR="007129E9" w:rsidRDefault="00EE4D81" w:rsidP="00EE4D81">
      <w:pPr>
        <w:spacing w:before="240" w:line="360" w:lineRule="auto"/>
        <w:jc w:val="both"/>
        <w:rPr>
          <w:rFonts w:ascii="Arial" w:hAnsi="Arial" w:cs="Arial"/>
        </w:rPr>
      </w:pPr>
      <w:r w:rsidRPr="00BD1EF5">
        <w:rPr>
          <w:rFonts w:ascii="Arial" w:hAnsi="Arial" w:cs="Arial"/>
        </w:rPr>
        <w:t>Question</w:t>
      </w:r>
      <w:r w:rsidR="00B61A16">
        <w:rPr>
          <w:rFonts w:ascii="Arial" w:hAnsi="Arial" w:cs="Arial"/>
        </w:rPr>
        <w:t>s</w:t>
      </w:r>
      <w:r w:rsidRPr="00BD1EF5">
        <w:rPr>
          <w:rFonts w:ascii="Arial" w:hAnsi="Arial" w:cs="Arial"/>
        </w:rPr>
        <w:t xml:space="preserve"> for stakeholder</w:t>
      </w:r>
      <w:r w:rsidR="000C07AF">
        <w:rPr>
          <w:rFonts w:ascii="Arial" w:hAnsi="Arial" w:cs="Arial"/>
        </w:rPr>
        <w:t>s:</w:t>
      </w:r>
    </w:p>
    <w:p w:rsidR="007129E9" w:rsidRDefault="007129E9" w:rsidP="00417CA6">
      <w:pPr>
        <w:numPr>
          <w:ilvl w:val="0"/>
          <w:numId w:val="34"/>
        </w:numPr>
        <w:spacing w:before="240" w:line="360" w:lineRule="auto"/>
        <w:contextualSpacing/>
        <w:jc w:val="both"/>
        <w:rPr>
          <w:rFonts w:ascii="Arial" w:hAnsi="Arial" w:cs="Arial"/>
        </w:rPr>
      </w:pPr>
      <w:r>
        <w:rPr>
          <w:rFonts w:ascii="Arial" w:hAnsi="Arial" w:cs="Arial"/>
        </w:rPr>
        <w:t>Would an ability to enter into multi franchise mediation make car dealers more likely to utilise mediation as a means to resolve disputes?</w:t>
      </w:r>
    </w:p>
    <w:p w:rsidR="00EE4D81" w:rsidRPr="00AD3984" w:rsidRDefault="00292220" w:rsidP="00AD3984">
      <w:pPr>
        <w:numPr>
          <w:ilvl w:val="0"/>
          <w:numId w:val="34"/>
        </w:numPr>
        <w:spacing w:before="240" w:line="360" w:lineRule="auto"/>
        <w:contextualSpacing/>
        <w:jc w:val="both"/>
        <w:rPr>
          <w:rFonts w:ascii="Arial" w:hAnsi="Arial" w:cs="Arial"/>
        </w:rPr>
      </w:pPr>
      <w:r w:rsidRPr="00292220">
        <w:rPr>
          <w:rFonts w:ascii="Arial" w:hAnsi="Arial" w:cs="Arial"/>
        </w:rPr>
        <w:t>Are car dealers generally aware of the existing dispute resolution procedures in the Franchising Code</w:t>
      </w:r>
      <w:r>
        <w:rPr>
          <w:rFonts w:ascii="Arial" w:hAnsi="Arial" w:cs="Arial"/>
        </w:rPr>
        <w:t>?</w:t>
      </w:r>
    </w:p>
    <w:p w:rsidR="00BA11D3" w:rsidRDefault="00BA11D3" w:rsidP="00BA11D3">
      <w:pPr>
        <w:pStyle w:val="Heading2"/>
        <w:rPr>
          <w:rFonts w:ascii="Arial" w:hAnsi="Arial" w:cs="Arial"/>
          <w:sz w:val="36"/>
          <w:szCs w:val="28"/>
        </w:rPr>
      </w:pPr>
      <w:bookmarkStart w:id="80" w:name="_Toc530493133"/>
      <w:bookmarkStart w:id="81" w:name="_Toc530493188"/>
      <w:bookmarkStart w:id="82" w:name="_Toc530563054"/>
      <w:bookmarkStart w:id="83" w:name="_Toc530563180"/>
      <w:bookmarkStart w:id="84" w:name="_Toc529891250"/>
      <w:bookmarkStart w:id="85" w:name="_Toc529891268"/>
      <w:r>
        <w:rPr>
          <w:rFonts w:ascii="Arial" w:hAnsi="Arial" w:cs="Arial"/>
          <w:sz w:val="36"/>
          <w:szCs w:val="28"/>
        </w:rPr>
        <w:t>3</w:t>
      </w:r>
      <w:r w:rsidRPr="00BA11D3">
        <w:rPr>
          <w:rFonts w:ascii="Arial" w:hAnsi="Arial" w:cs="Arial"/>
          <w:sz w:val="36"/>
          <w:szCs w:val="28"/>
        </w:rPr>
        <w:t xml:space="preserve"> – </w:t>
      </w:r>
      <w:r>
        <w:rPr>
          <w:rFonts w:ascii="Arial" w:hAnsi="Arial" w:cs="Arial"/>
          <w:sz w:val="36"/>
          <w:szCs w:val="28"/>
        </w:rPr>
        <w:t>Voluntary Code of Conduct</w:t>
      </w:r>
      <w:bookmarkEnd w:id="80"/>
      <w:bookmarkEnd w:id="81"/>
      <w:bookmarkEnd w:id="82"/>
      <w:bookmarkEnd w:id="83"/>
    </w:p>
    <w:p w:rsidR="001B2D2A" w:rsidRPr="00B61A16" w:rsidRDefault="00BA11D3" w:rsidP="00B61A16">
      <w:pPr>
        <w:spacing w:before="240" w:line="360" w:lineRule="auto"/>
        <w:jc w:val="both"/>
        <w:rPr>
          <w:rFonts w:ascii="Arial" w:hAnsi="Arial" w:cs="Arial"/>
        </w:rPr>
      </w:pPr>
      <w:r w:rsidRPr="00B61A16">
        <w:rPr>
          <w:rFonts w:ascii="Arial" w:hAnsi="Arial" w:cs="Arial"/>
        </w:rPr>
        <w:t xml:space="preserve">Under this option, the preferred proposals in </w:t>
      </w:r>
      <w:r w:rsidR="00276895">
        <w:rPr>
          <w:rFonts w:ascii="Arial" w:hAnsi="Arial" w:cs="Arial"/>
        </w:rPr>
        <w:t>o</w:t>
      </w:r>
      <w:r w:rsidRPr="00B61A16">
        <w:rPr>
          <w:rFonts w:ascii="Arial" w:hAnsi="Arial" w:cs="Arial"/>
        </w:rPr>
        <w:t xml:space="preserve">ption 2 would be implemented through a voluntary industry code of conduct, rather than by amending </w:t>
      </w:r>
      <w:r w:rsidR="001B2D2A" w:rsidRPr="00B61A16">
        <w:rPr>
          <w:rFonts w:ascii="Arial" w:hAnsi="Arial" w:cs="Arial"/>
        </w:rPr>
        <w:t>the existing Franchising Code or creating a mandatory Automotive Code of Conduct.</w:t>
      </w:r>
    </w:p>
    <w:p w:rsidR="001B2D2A" w:rsidRPr="00B61A16" w:rsidRDefault="001B2D2A" w:rsidP="00B61A16">
      <w:pPr>
        <w:spacing w:before="240" w:line="360" w:lineRule="auto"/>
        <w:jc w:val="both"/>
        <w:rPr>
          <w:rFonts w:ascii="Arial" w:hAnsi="Arial" w:cs="Arial"/>
        </w:rPr>
      </w:pPr>
      <w:r w:rsidRPr="00B61A16">
        <w:rPr>
          <w:rFonts w:ascii="Arial" w:hAnsi="Arial" w:cs="Arial"/>
        </w:rPr>
        <w:t xml:space="preserve">As outlined in the </w:t>
      </w:r>
      <w:r w:rsidR="00895390">
        <w:rPr>
          <w:rFonts w:ascii="Arial" w:hAnsi="Arial" w:cs="Arial"/>
        </w:rPr>
        <w:t>Final Report of the Taskforce on Industry Self-Regulation</w:t>
      </w:r>
      <w:r w:rsidRPr="00B61A16">
        <w:rPr>
          <w:rFonts w:ascii="Arial" w:hAnsi="Arial" w:cs="Arial"/>
        </w:rPr>
        <w:t>:</w:t>
      </w:r>
    </w:p>
    <w:p w:rsidR="001B2D2A" w:rsidRPr="00B61A16" w:rsidRDefault="001B2D2A" w:rsidP="00B61A16">
      <w:pPr>
        <w:spacing w:before="240" w:line="360" w:lineRule="auto"/>
        <w:ind w:left="720"/>
        <w:jc w:val="both"/>
        <w:rPr>
          <w:rFonts w:ascii="Arial" w:hAnsi="Arial" w:cs="Arial"/>
        </w:rPr>
      </w:pPr>
      <w:r w:rsidRPr="00B61A16">
        <w:rPr>
          <w:rFonts w:ascii="Arial" w:hAnsi="Arial" w:cs="Arial"/>
        </w:rPr>
        <w:t>“Self-regulatory schemes tend to promote good practice and target specific problems within industries, impose lower compliance costs on business, and offer quick, low cost dispute resolution procedures. Effective self-regulation can also avoid the often overly prescriptive nature of regulation and allow industry the flexibility to provide greater choice for consumers and to be more responsive to changing consumer expectations.”</w:t>
      </w:r>
      <w:r w:rsidR="00F4631F">
        <w:rPr>
          <w:rStyle w:val="FootnoteReference"/>
          <w:rFonts w:ascii="Arial" w:hAnsi="Arial" w:cs="Arial"/>
        </w:rPr>
        <w:footnoteReference w:id="62"/>
      </w:r>
    </w:p>
    <w:p w:rsidR="00B91C0B" w:rsidRPr="00B61A16" w:rsidRDefault="001B2D2A" w:rsidP="00B61A16">
      <w:pPr>
        <w:spacing w:before="240" w:line="360" w:lineRule="auto"/>
        <w:jc w:val="both"/>
        <w:rPr>
          <w:rFonts w:ascii="Arial" w:hAnsi="Arial" w:cs="Arial"/>
        </w:rPr>
      </w:pPr>
      <w:r w:rsidRPr="00B61A16">
        <w:rPr>
          <w:rFonts w:ascii="Arial" w:hAnsi="Arial" w:cs="Arial"/>
        </w:rPr>
        <w:t xml:space="preserve">However, the benefits of self-regulation can only be realised where it is effective at changing the behaviour of industry participants. Previous attempts at addressing </w:t>
      </w:r>
      <w:r w:rsidR="00B91C0B" w:rsidRPr="00B61A16">
        <w:rPr>
          <w:rFonts w:ascii="Arial" w:hAnsi="Arial" w:cs="Arial"/>
        </w:rPr>
        <w:t>the problems identified in this RIS</w:t>
      </w:r>
      <w:r w:rsidRPr="00B61A16">
        <w:rPr>
          <w:rFonts w:ascii="Arial" w:hAnsi="Arial" w:cs="Arial"/>
        </w:rPr>
        <w:t xml:space="preserve"> suggest that </w:t>
      </w:r>
      <w:r w:rsidR="00B91C0B" w:rsidRPr="00B61A16">
        <w:rPr>
          <w:rFonts w:ascii="Arial" w:hAnsi="Arial" w:cs="Arial"/>
        </w:rPr>
        <w:t>a voluntary code of conduct is unlikely to be effective.</w:t>
      </w:r>
    </w:p>
    <w:p w:rsidR="00B91C0B" w:rsidRPr="00B61A16" w:rsidRDefault="001D6842" w:rsidP="00B61A16">
      <w:pPr>
        <w:spacing w:before="240" w:line="360" w:lineRule="auto"/>
        <w:jc w:val="both"/>
        <w:rPr>
          <w:rFonts w:ascii="Arial" w:hAnsi="Arial" w:cs="Arial"/>
        </w:rPr>
      </w:pPr>
      <w:r>
        <w:rPr>
          <w:rFonts w:ascii="Arial" w:hAnsi="Arial" w:cs="Arial"/>
        </w:rPr>
        <w:t>T</w:t>
      </w:r>
      <w:r w:rsidR="00B91C0B" w:rsidRPr="00B61A16">
        <w:rPr>
          <w:rFonts w:ascii="Arial" w:hAnsi="Arial" w:cs="Arial"/>
        </w:rPr>
        <w:t>he mandatory Franchising Code of Conduct already has provisions dealing with end of term arrangements, capital expenditure and dispute resolution – the three key problems identified in this RIS. Despite the Franchising Code being mandatory and seeking to resolve these problems, the issues continues to persist</w:t>
      </w:r>
      <w:r>
        <w:rPr>
          <w:rFonts w:ascii="Arial" w:hAnsi="Arial" w:cs="Arial"/>
        </w:rPr>
        <w:t xml:space="preserve"> with particularly significant impact on car dealers</w:t>
      </w:r>
      <w:r w:rsidR="00B91C0B" w:rsidRPr="00B61A16">
        <w:rPr>
          <w:rFonts w:ascii="Arial" w:hAnsi="Arial" w:cs="Arial"/>
        </w:rPr>
        <w:t>. Given this, it is unlikely that a voluntary code of conduct would be effective.</w:t>
      </w:r>
    </w:p>
    <w:p w:rsidR="00B61A16" w:rsidRDefault="00B61A16" w:rsidP="00B91C0B">
      <w:pPr>
        <w:autoSpaceDE w:val="0"/>
        <w:autoSpaceDN w:val="0"/>
        <w:adjustRightInd w:val="0"/>
        <w:spacing w:line="240" w:lineRule="auto"/>
        <w:rPr>
          <w:rFonts w:ascii="Arial" w:hAnsi="Arial" w:cs="Arial"/>
          <w:i/>
        </w:rPr>
      </w:pPr>
      <w:r w:rsidRPr="00B61A16">
        <w:rPr>
          <w:rFonts w:ascii="Arial" w:hAnsi="Arial" w:cs="Arial"/>
          <w:i/>
        </w:rPr>
        <w:t>N</w:t>
      </w:r>
      <w:r>
        <w:rPr>
          <w:rFonts w:ascii="Arial" w:hAnsi="Arial" w:cs="Arial"/>
          <w:i/>
        </w:rPr>
        <w:t>et benefit</w:t>
      </w:r>
    </w:p>
    <w:p w:rsidR="00B61A16" w:rsidRDefault="00B61A16" w:rsidP="00B61A16">
      <w:pPr>
        <w:spacing w:before="240" w:line="360" w:lineRule="auto"/>
        <w:jc w:val="both"/>
        <w:rPr>
          <w:rFonts w:ascii="Arial" w:hAnsi="Arial" w:cs="Arial"/>
        </w:rPr>
      </w:pPr>
      <w:r w:rsidRPr="00B61A16">
        <w:rPr>
          <w:rFonts w:ascii="Arial" w:hAnsi="Arial" w:cs="Arial"/>
        </w:rPr>
        <w:t>While this options would have a lower regulatory impact than option</w:t>
      </w:r>
      <w:r>
        <w:rPr>
          <w:rFonts w:ascii="Arial" w:hAnsi="Arial" w:cs="Arial"/>
        </w:rPr>
        <w:t xml:space="preserve"> </w:t>
      </w:r>
      <w:r w:rsidRPr="00B61A16">
        <w:rPr>
          <w:rFonts w:ascii="Arial" w:hAnsi="Arial" w:cs="Arial"/>
        </w:rPr>
        <w:t>2, due to being self</w:t>
      </w:r>
      <w:r>
        <w:rPr>
          <w:rFonts w:ascii="Arial" w:hAnsi="Arial" w:cs="Arial"/>
        </w:rPr>
        <w:noBreakHyphen/>
      </w:r>
      <w:r w:rsidRPr="00B61A16">
        <w:rPr>
          <w:rFonts w:ascii="Arial" w:hAnsi="Arial" w:cs="Arial"/>
        </w:rPr>
        <w:t xml:space="preserve">regulatory, given past experience with </w:t>
      </w:r>
      <w:r w:rsidR="001D6842">
        <w:rPr>
          <w:rFonts w:ascii="Arial" w:hAnsi="Arial" w:cs="Arial"/>
        </w:rPr>
        <w:t>voluntary approaches to f</w:t>
      </w:r>
      <w:r w:rsidRPr="00B61A16">
        <w:rPr>
          <w:rFonts w:ascii="Arial" w:hAnsi="Arial" w:cs="Arial"/>
        </w:rPr>
        <w:t xml:space="preserve">ranchising </w:t>
      </w:r>
      <w:r w:rsidR="001D6842">
        <w:rPr>
          <w:rFonts w:ascii="Arial" w:hAnsi="Arial" w:cs="Arial"/>
        </w:rPr>
        <w:t xml:space="preserve">regulation failing, </w:t>
      </w:r>
      <w:r w:rsidRPr="00B61A16">
        <w:rPr>
          <w:rFonts w:ascii="Arial" w:hAnsi="Arial" w:cs="Arial"/>
        </w:rPr>
        <w:t>it appears unlikely that Option 3 would effectively address the identified problems.</w:t>
      </w:r>
    </w:p>
    <w:p w:rsidR="00B61A16" w:rsidRDefault="00B61A16" w:rsidP="001D6842">
      <w:pPr>
        <w:keepNext/>
        <w:spacing w:before="240" w:line="360" w:lineRule="auto"/>
        <w:jc w:val="both"/>
        <w:rPr>
          <w:rFonts w:ascii="Arial" w:hAnsi="Arial" w:cs="Arial"/>
        </w:rPr>
      </w:pPr>
      <w:r w:rsidRPr="00BD1EF5">
        <w:rPr>
          <w:rFonts w:ascii="Arial" w:hAnsi="Arial" w:cs="Arial"/>
        </w:rPr>
        <w:t>Question for stakeholder</w:t>
      </w:r>
      <w:r>
        <w:rPr>
          <w:rFonts w:ascii="Arial" w:hAnsi="Arial" w:cs="Arial"/>
        </w:rPr>
        <w:t>s:</w:t>
      </w:r>
    </w:p>
    <w:p w:rsidR="00BA11D3" w:rsidRPr="00B61A16" w:rsidRDefault="00B61A16" w:rsidP="00B61A16">
      <w:pPr>
        <w:numPr>
          <w:ilvl w:val="0"/>
          <w:numId w:val="34"/>
        </w:numPr>
        <w:spacing w:before="240" w:line="360" w:lineRule="auto"/>
        <w:contextualSpacing/>
        <w:jc w:val="both"/>
        <w:rPr>
          <w:i/>
        </w:rPr>
      </w:pPr>
      <w:r>
        <w:rPr>
          <w:rFonts w:ascii="Arial" w:hAnsi="Arial" w:cs="Arial"/>
        </w:rPr>
        <w:t xml:space="preserve">Would a voluntary code of conduct </w:t>
      </w:r>
      <w:r w:rsidR="001D6842">
        <w:rPr>
          <w:rFonts w:ascii="Arial" w:hAnsi="Arial" w:cs="Arial"/>
        </w:rPr>
        <w:t xml:space="preserve">specific to the automotive industry </w:t>
      </w:r>
      <w:r>
        <w:rPr>
          <w:rFonts w:ascii="Arial" w:hAnsi="Arial" w:cs="Arial"/>
        </w:rPr>
        <w:t>be effective?</w:t>
      </w:r>
      <w:r w:rsidRPr="00B61A16">
        <w:rPr>
          <w:i/>
        </w:rPr>
        <w:t xml:space="preserve"> </w:t>
      </w:r>
      <w:r w:rsidR="00BA11D3" w:rsidRPr="00B61A16">
        <w:rPr>
          <w:i/>
        </w:rPr>
        <w:br w:type="page"/>
      </w:r>
    </w:p>
    <w:p w:rsidR="00BA11D3" w:rsidRPr="00BA11D3" w:rsidRDefault="00BA11D3" w:rsidP="00BA11D3"/>
    <w:p w:rsidR="003A4A6D" w:rsidRPr="00DA49CB" w:rsidRDefault="003A4A6D" w:rsidP="00103B9B">
      <w:pPr>
        <w:pStyle w:val="Heading3"/>
        <w:rPr>
          <w:rFonts w:cs="Arial"/>
        </w:rPr>
      </w:pPr>
      <w:bookmarkStart w:id="86" w:name="_Toc530493134"/>
      <w:bookmarkStart w:id="87" w:name="_Toc530493189"/>
      <w:bookmarkStart w:id="88" w:name="_Toc530563055"/>
      <w:bookmarkStart w:id="89" w:name="_Toc530563181"/>
      <w:r>
        <w:t>Regulatory burden summary table</w:t>
      </w:r>
      <w:bookmarkEnd w:id="84"/>
      <w:bookmarkEnd w:id="85"/>
      <w:bookmarkEnd w:id="86"/>
      <w:bookmarkEnd w:id="87"/>
      <w:bookmarkEnd w:id="88"/>
      <w:bookmarkEnd w:id="89"/>
    </w:p>
    <w:tbl>
      <w:tblPr>
        <w:tblStyle w:val="LightGrid-Accent2"/>
        <w:tblW w:w="9464" w:type="dxa"/>
        <w:tblLook w:val="04A0" w:firstRow="1" w:lastRow="0" w:firstColumn="1" w:lastColumn="0" w:noHBand="0" w:noVBand="1"/>
        <w:tblCaption w:val="Regulatory burden estimate table"/>
        <w:tblDescription w:val="Average annual regulatory costs for option 2."/>
      </w:tblPr>
      <w:tblGrid>
        <w:gridCol w:w="2128"/>
        <w:gridCol w:w="1646"/>
        <w:gridCol w:w="2170"/>
        <w:gridCol w:w="1946"/>
        <w:gridCol w:w="1574"/>
      </w:tblGrid>
      <w:tr w:rsidR="003A4A6D" w:rsidRPr="00282C83" w:rsidTr="005840B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rsidR="003A4A6D" w:rsidRPr="00282C83" w:rsidRDefault="003A4A6D" w:rsidP="005840B5">
            <w:pPr>
              <w:rPr>
                <w:rFonts w:ascii="Arial" w:hAnsi="Arial" w:cs="Arial"/>
                <w:bCs w:val="0"/>
                <w:sz w:val="20"/>
                <w:szCs w:val="20"/>
              </w:rPr>
            </w:pPr>
            <w:r w:rsidRPr="00282C83">
              <w:rPr>
                <w:rFonts w:ascii="Arial" w:hAnsi="Arial" w:cs="Arial"/>
                <w:sz w:val="20"/>
                <w:szCs w:val="20"/>
              </w:rPr>
              <w:t xml:space="preserve">Average annual regulatory costs </w:t>
            </w:r>
            <w:r>
              <w:rPr>
                <w:rFonts w:ascii="Arial" w:hAnsi="Arial" w:cs="Arial"/>
                <w:sz w:val="20"/>
                <w:szCs w:val="20"/>
              </w:rPr>
              <w:t>(ten years)</w:t>
            </w:r>
          </w:p>
        </w:tc>
      </w:tr>
      <w:tr w:rsidR="003A4A6D" w:rsidRPr="00282C83" w:rsidTr="005840B5">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3A4A6D" w:rsidRPr="00282C83" w:rsidRDefault="003A4A6D" w:rsidP="005840B5">
            <w:pPr>
              <w:pStyle w:val="TableText"/>
              <w:rPr>
                <w:b w:val="0"/>
                <w:bCs/>
              </w:rPr>
            </w:pPr>
            <w:r w:rsidRPr="00282C83">
              <w:rPr>
                <w:b w:val="0"/>
              </w:rPr>
              <w:t>Change in costs</w:t>
            </w:r>
            <w:r w:rsidRPr="00282C83">
              <w:rPr>
                <w:rFonts w:cs="Calibri"/>
                <w:b w:val="0"/>
                <w:iCs/>
              </w:rPr>
              <w:t xml:space="preserve"> ($ million)</w:t>
            </w:r>
          </w:p>
        </w:tc>
        <w:tc>
          <w:tcPr>
            <w:tcW w:w="1646" w:type="dxa"/>
            <w:noWrap/>
          </w:tcPr>
          <w:p w:rsidR="003A4A6D" w:rsidRPr="00282C83" w:rsidRDefault="003A4A6D" w:rsidP="005840B5">
            <w:pPr>
              <w:pStyle w:val="TableText"/>
              <w:cnfStyle w:val="000000000000" w:firstRow="0" w:lastRow="0" w:firstColumn="0" w:lastColumn="0" w:oddVBand="0" w:evenVBand="0" w:oddHBand="0" w:evenHBand="0" w:firstRowFirstColumn="0" w:firstRowLastColumn="0" w:lastRowFirstColumn="0" w:lastRowLastColumn="0"/>
            </w:pPr>
            <w:r w:rsidRPr="00282C83">
              <w:t>Business</w:t>
            </w:r>
          </w:p>
        </w:tc>
        <w:tc>
          <w:tcPr>
            <w:tcW w:w="2170" w:type="dxa"/>
            <w:noWrap/>
          </w:tcPr>
          <w:p w:rsidR="003A4A6D" w:rsidRPr="00282C83" w:rsidRDefault="003A4A6D" w:rsidP="005840B5">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Community organisations</w:t>
            </w:r>
          </w:p>
        </w:tc>
        <w:tc>
          <w:tcPr>
            <w:tcW w:w="1946" w:type="dxa"/>
            <w:noWrap/>
          </w:tcPr>
          <w:p w:rsidR="003A4A6D" w:rsidRPr="00282C83" w:rsidRDefault="003A4A6D" w:rsidP="005840B5">
            <w:pPr>
              <w:pStyle w:val="TableText"/>
              <w:cnfStyle w:val="000000000000" w:firstRow="0" w:lastRow="0" w:firstColumn="0" w:lastColumn="0" w:oddVBand="0" w:evenVBand="0" w:oddHBand="0" w:evenHBand="0" w:firstRowFirstColumn="0" w:firstRowLastColumn="0" w:lastRowFirstColumn="0" w:lastRowLastColumn="0"/>
            </w:pPr>
            <w:r w:rsidRPr="00282C83">
              <w:t>Individuals</w:t>
            </w:r>
          </w:p>
        </w:tc>
        <w:tc>
          <w:tcPr>
            <w:tcW w:w="1574" w:type="dxa"/>
            <w:noWrap/>
          </w:tcPr>
          <w:p w:rsidR="003A4A6D" w:rsidRPr="00282C83" w:rsidRDefault="003A4A6D" w:rsidP="005840B5">
            <w:pPr>
              <w:pStyle w:val="TableText"/>
              <w:cnfStyle w:val="000000000000" w:firstRow="0" w:lastRow="0" w:firstColumn="0" w:lastColumn="0" w:oddVBand="0" w:evenVBand="0" w:oddHBand="0" w:evenHBand="0" w:firstRowFirstColumn="0" w:firstRowLastColumn="0" w:lastRowFirstColumn="0" w:lastRowLastColumn="0"/>
            </w:pPr>
            <w:r w:rsidRPr="00282C83">
              <w:rPr>
                <w:rFonts w:cs="Calibri"/>
                <w:iCs/>
              </w:rPr>
              <w:t>Total change in cost</w:t>
            </w:r>
          </w:p>
        </w:tc>
      </w:tr>
      <w:tr w:rsidR="003A4A6D" w:rsidRPr="00282C83" w:rsidTr="00584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3A4A6D" w:rsidRPr="00282C83" w:rsidRDefault="003A4A6D">
            <w:pPr>
              <w:pStyle w:val="TableText"/>
              <w:rPr>
                <w:b w:val="0"/>
                <w:bCs/>
              </w:rPr>
            </w:pPr>
            <w:r>
              <w:rPr>
                <w:b w:val="0"/>
              </w:rPr>
              <w:t>Option 2A: 12 month notice period</w:t>
            </w:r>
          </w:p>
        </w:tc>
        <w:tc>
          <w:tcPr>
            <w:tcW w:w="1646" w:type="dxa"/>
            <w:noWrap/>
          </w:tcPr>
          <w:p w:rsidR="003A4A6D" w:rsidRPr="00282C83"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$0.18</w:t>
            </w:r>
          </w:p>
        </w:tc>
        <w:tc>
          <w:tcPr>
            <w:tcW w:w="2170" w:type="dxa"/>
            <w:noWrap/>
          </w:tcPr>
          <w:p w:rsidR="003A4A6D" w:rsidRPr="00282C83"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rsidR="003A4A6D" w:rsidRPr="00282C83"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rsidR="003A4A6D" w:rsidRPr="00282C83"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$0.18</w:t>
            </w:r>
          </w:p>
        </w:tc>
      </w:tr>
      <w:tr w:rsidR="003A4A6D" w:rsidRPr="00282C83" w:rsidTr="005840B5">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3A4A6D" w:rsidRDefault="003A4A6D">
            <w:pPr>
              <w:pStyle w:val="TableText"/>
              <w:rPr>
                <w:b w:val="0"/>
              </w:rPr>
            </w:pPr>
            <w:r>
              <w:rPr>
                <w:b w:val="0"/>
              </w:rPr>
              <w:t>Option 2B: Non</w:t>
            </w:r>
            <w:r>
              <w:rPr>
                <w:b w:val="0"/>
              </w:rPr>
              <w:noBreakHyphen/>
              <w:t>renewal notice</w:t>
            </w:r>
          </w:p>
        </w:tc>
        <w:tc>
          <w:tcPr>
            <w:tcW w:w="1646" w:type="dxa"/>
            <w:noWrap/>
          </w:tcPr>
          <w:p w:rsidR="003A4A6D"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r>
              <w:rPr>
                <w:rFonts w:cs="Calibri"/>
                <w:iCs/>
              </w:rPr>
              <w:t>$0.00</w:t>
            </w:r>
          </w:p>
        </w:tc>
        <w:tc>
          <w:tcPr>
            <w:tcW w:w="2170" w:type="dxa"/>
            <w:noWrap/>
          </w:tcPr>
          <w:p w:rsidR="003A4A6D" w:rsidRPr="00282C83"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946" w:type="dxa"/>
            <w:noWrap/>
          </w:tcPr>
          <w:p w:rsidR="003A4A6D" w:rsidRPr="00282C83"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574" w:type="dxa"/>
            <w:noWrap/>
          </w:tcPr>
          <w:p w:rsidR="003A4A6D"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r>
              <w:rPr>
                <w:rFonts w:cs="Calibri"/>
                <w:iCs/>
              </w:rPr>
              <w:t>$0.00</w:t>
            </w:r>
          </w:p>
        </w:tc>
      </w:tr>
      <w:tr w:rsidR="003A4A6D" w:rsidRPr="00282C83" w:rsidTr="00584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3A4A6D" w:rsidRDefault="003A4A6D">
            <w:pPr>
              <w:pStyle w:val="TableText"/>
              <w:rPr>
                <w:b w:val="0"/>
              </w:rPr>
            </w:pPr>
            <w:r>
              <w:rPr>
                <w:b w:val="0"/>
              </w:rPr>
              <w:t xml:space="preserve">Option 2C: Stock buy backs </w:t>
            </w:r>
          </w:p>
        </w:tc>
        <w:tc>
          <w:tcPr>
            <w:tcW w:w="1646" w:type="dxa"/>
            <w:noWrap/>
          </w:tcPr>
          <w:p w:rsidR="003A4A6D"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$10.5</w:t>
            </w:r>
          </w:p>
        </w:tc>
        <w:tc>
          <w:tcPr>
            <w:tcW w:w="2170" w:type="dxa"/>
            <w:noWrap/>
          </w:tcPr>
          <w:p w:rsidR="003A4A6D" w:rsidRPr="00282C83"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rsidR="003A4A6D" w:rsidRPr="00282C83"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rsidR="003A4A6D"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$10.5</w:t>
            </w:r>
          </w:p>
        </w:tc>
      </w:tr>
      <w:tr w:rsidR="003A4A6D" w:rsidRPr="00282C83" w:rsidTr="005840B5">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3A4A6D" w:rsidRDefault="003A4A6D" w:rsidP="003A4A6D">
            <w:pPr>
              <w:pStyle w:val="TableText"/>
              <w:rPr>
                <w:b w:val="0"/>
              </w:rPr>
            </w:pPr>
            <w:r>
              <w:rPr>
                <w:b w:val="0"/>
              </w:rPr>
              <w:t xml:space="preserve">Option </w:t>
            </w:r>
            <w:r w:rsidR="00276895">
              <w:rPr>
                <w:b w:val="0"/>
              </w:rPr>
              <w:t>2D</w:t>
            </w:r>
            <w:r>
              <w:rPr>
                <w:b w:val="0"/>
              </w:rPr>
              <w:t xml:space="preserve"> – Significant capital expenditure disclosure</w:t>
            </w:r>
          </w:p>
        </w:tc>
        <w:tc>
          <w:tcPr>
            <w:tcW w:w="1646" w:type="dxa"/>
            <w:noWrap/>
          </w:tcPr>
          <w:p w:rsidR="003A4A6D"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r>
              <w:rPr>
                <w:rFonts w:cs="Calibri"/>
                <w:iCs/>
              </w:rPr>
              <w:t>$0.70</w:t>
            </w:r>
          </w:p>
        </w:tc>
        <w:tc>
          <w:tcPr>
            <w:tcW w:w="2170" w:type="dxa"/>
            <w:noWrap/>
          </w:tcPr>
          <w:p w:rsidR="003A4A6D" w:rsidRPr="00282C83"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946" w:type="dxa"/>
            <w:noWrap/>
          </w:tcPr>
          <w:p w:rsidR="003A4A6D" w:rsidRPr="00282C83"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574" w:type="dxa"/>
            <w:noWrap/>
          </w:tcPr>
          <w:p w:rsidR="003A4A6D"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r>
              <w:rPr>
                <w:rFonts w:cs="Calibri"/>
                <w:iCs/>
              </w:rPr>
              <w:t>$0.70</w:t>
            </w:r>
          </w:p>
        </w:tc>
      </w:tr>
      <w:tr w:rsidR="003A4A6D" w:rsidRPr="00282C83" w:rsidTr="00584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3A4A6D" w:rsidRDefault="003A4A6D" w:rsidP="003A4A6D">
            <w:pPr>
              <w:pStyle w:val="TableText"/>
              <w:rPr>
                <w:b w:val="0"/>
              </w:rPr>
            </w:pPr>
            <w:r>
              <w:rPr>
                <w:b w:val="0"/>
              </w:rPr>
              <w:t xml:space="preserve">Option </w:t>
            </w:r>
            <w:r w:rsidR="00276895">
              <w:rPr>
                <w:b w:val="0"/>
              </w:rPr>
              <w:t>2E</w:t>
            </w:r>
            <w:r>
              <w:rPr>
                <w:b w:val="0"/>
              </w:rPr>
              <w:t xml:space="preserve"> – Minimum terms</w:t>
            </w:r>
          </w:p>
        </w:tc>
        <w:tc>
          <w:tcPr>
            <w:tcW w:w="1646" w:type="dxa"/>
            <w:noWrap/>
          </w:tcPr>
          <w:p w:rsidR="003A4A6D"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$0.35</w:t>
            </w:r>
          </w:p>
        </w:tc>
        <w:tc>
          <w:tcPr>
            <w:tcW w:w="2170" w:type="dxa"/>
            <w:noWrap/>
          </w:tcPr>
          <w:p w:rsidR="003A4A6D" w:rsidRPr="00282C83"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rsidR="003A4A6D" w:rsidRPr="00282C83"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rsidR="003A4A6D"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r>
              <w:rPr>
                <w:rFonts w:cs="Calibri"/>
                <w:iCs/>
              </w:rPr>
              <w:t>$0.35</w:t>
            </w:r>
          </w:p>
        </w:tc>
      </w:tr>
      <w:tr w:rsidR="003A4A6D" w:rsidRPr="00282C83" w:rsidTr="005840B5">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rsidR="003A4A6D" w:rsidRDefault="003A4A6D" w:rsidP="003A4A6D">
            <w:pPr>
              <w:pStyle w:val="TableText"/>
              <w:rPr>
                <w:b w:val="0"/>
              </w:rPr>
            </w:pPr>
            <w:r>
              <w:rPr>
                <w:b w:val="0"/>
              </w:rPr>
              <w:t xml:space="preserve">Option </w:t>
            </w:r>
            <w:r w:rsidR="00276895">
              <w:rPr>
                <w:b w:val="0"/>
              </w:rPr>
              <w:t>2F</w:t>
            </w:r>
            <w:r>
              <w:rPr>
                <w:b w:val="0"/>
              </w:rPr>
              <w:t xml:space="preserve"> – multi party dispute resolution</w:t>
            </w:r>
          </w:p>
        </w:tc>
        <w:tc>
          <w:tcPr>
            <w:tcW w:w="1646" w:type="dxa"/>
            <w:noWrap/>
          </w:tcPr>
          <w:p w:rsidR="003A4A6D" w:rsidRDefault="004138FF"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r>
              <w:rPr>
                <w:rFonts w:cs="Calibri"/>
                <w:iCs/>
              </w:rPr>
              <w:t>Nil</w:t>
            </w:r>
          </w:p>
        </w:tc>
        <w:tc>
          <w:tcPr>
            <w:tcW w:w="2170" w:type="dxa"/>
            <w:noWrap/>
          </w:tcPr>
          <w:p w:rsidR="003A4A6D" w:rsidRPr="00282C83"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946" w:type="dxa"/>
            <w:noWrap/>
          </w:tcPr>
          <w:p w:rsidR="003A4A6D" w:rsidRPr="00282C83"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574" w:type="dxa"/>
            <w:noWrap/>
          </w:tcPr>
          <w:p w:rsidR="003A4A6D" w:rsidRDefault="004138FF"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r>
              <w:rPr>
                <w:rFonts w:cs="Calibri"/>
                <w:iCs/>
              </w:rPr>
              <w:t>Nil</w:t>
            </w:r>
          </w:p>
        </w:tc>
      </w:tr>
    </w:tbl>
    <w:p w:rsidR="00CF05CB" w:rsidRPr="007F7F96" w:rsidRDefault="003A4A6D" w:rsidP="00261CD8">
      <w:pPr>
        <w:spacing w:before="240" w:line="360" w:lineRule="auto"/>
        <w:jc w:val="both"/>
        <w:rPr>
          <w:rFonts w:ascii="Arial" w:hAnsi="Arial" w:cs="Arial"/>
        </w:rPr>
      </w:pPr>
      <w:r>
        <w:rPr>
          <w:rFonts w:ascii="Arial" w:hAnsi="Arial" w:cs="Arial"/>
        </w:rPr>
        <w:t xml:space="preserve">The </w:t>
      </w:r>
      <w:r w:rsidR="009F4385">
        <w:rPr>
          <w:rFonts w:ascii="Arial" w:hAnsi="Arial" w:cs="Arial"/>
        </w:rPr>
        <w:t>r</w:t>
      </w:r>
      <w:r>
        <w:rPr>
          <w:rFonts w:ascii="Arial" w:hAnsi="Arial" w:cs="Arial"/>
        </w:rPr>
        <w:t xml:space="preserve">egulatory burden estimates only consider the costs associated with complying with the reform option and do not include opportunity costs. For example, the regulatory costs for Option </w:t>
      </w:r>
      <w:r w:rsidR="00276895">
        <w:rPr>
          <w:rFonts w:ascii="Arial" w:hAnsi="Arial" w:cs="Arial"/>
        </w:rPr>
        <w:t>2E</w:t>
      </w:r>
      <w:r>
        <w:rPr>
          <w:rFonts w:ascii="Arial" w:hAnsi="Arial" w:cs="Arial"/>
        </w:rPr>
        <w:t xml:space="preserve"> account for the costs of updating dealer agreement</w:t>
      </w:r>
      <w:r w:rsidR="00276895">
        <w:rPr>
          <w:rFonts w:ascii="Arial" w:hAnsi="Arial" w:cs="Arial"/>
        </w:rPr>
        <w:t>s</w:t>
      </w:r>
      <w:r>
        <w:rPr>
          <w:rFonts w:ascii="Arial" w:hAnsi="Arial" w:cs="Arial"/>
        </w:rPr>
        <w:t>, but do not include estimates of the costs for manufacturers associated with lost opportunities as a result of an inability to restructure dealer networks. These broader costs and benefits, which are excluded from the regulatory burden estimate, underpin the assessment as to which options are preferred and which are not.</w:t>
      </w:r>
    </w:p>
    <w:p w:rsidR="00BD1EF5" w:rsidRDefault="00BD1EF5" w:rsidP="00261CD8">
      <w:pPr>
        <w:spacing w:before="240" w:line="360" w:lineRule="auto"/>
        <w:jc w:val="both"/>
        <w:rPr>
          <w:rFonts w:ascii="Arial" w:hAnsi="Arial" w:cs="Arial"/>
        </w:rPr>
      </w:pPr>
      <w:r>
        <w:rPr>
          <w:rFonts w:ascii="Arial" w:hAnsi="Arial" w:cs="Arial"/>
        </w:rPr>
        <w:t>Question</w:t>
      </w:r>
      <w:r w:rsidR="00205F94">
        <w:rPr>
          <w:rFonts w:ascii="Arial" w:hAnsi="Arial" w:cs="Arial"/>
        </w:rPr>
        <w:t>s for stakeholders</w:t>
      </w:r>
      <w:r>
        <w:rPr>
          <w:rFonts w:ascii="Arial" w:hAnsi="Arial" w:cs="Arial"/>
        </w:rPr>
        <w:t>:</w:t>
      </w:r>
    </w:p>
    <w:p w:rsidR="00BD1EF5" w:rsidRDefault="00BD1EF5" w:rsidP="001D6842">
      <w:pPr>
        <w:numPr>
          <w:ilvl w:val="0"/>
          <w:numId w:val="34"/>
        </w:numPr>
        <w:spacing w:before="240" w:line="360" w:lineRule="auto"/>
        <w:ind w:left="357" w:hanging="357"/>
        <w:contextualSpacing/>
        <w:jc w:val="both"/>
        <w:rPr>
          <w:rFonts w:ascii="Arial" w:hAnsi="Arial" w:cs="Arial"/>
        </w:rPr>
      </w:pPr>
      <w:r>
        <w:rPr>
          <w:rFonts w:ascii="Arial" w:hAnsi="Arial" w:cs="Arial"/>
        </w:rPr>
        <w:t>Are the assumptions that underpin the regulatory costs reasonable?</w:t>
      </w:r>
    </w:p>
    <w:p w:rsidR="00BD1EF5" w:rsidRPr="00103B9B" w:rsidRDefault="00BD1EF5" w:rsidP="00276895">
      <w:pPr>
        <w:numPr>
          <w:ilvl w:val="0"/>
          <w:numId w:val="34"/>
        </w:numPr>
        <w:spacing w:before="240" w:line="360" w:lineRule="auto"/>
        <w:contextualSpacing/>
        <w:jc w:val="both"/>
        <w:rPr>
          <w:rFonts w:ascii="Arial" w:hAnsi="Arial" w:cs="Arial"/>
        </w:rPr>
      </w:pPr>
      <w:r>
        <w:rPr>
          <w:rFonts w:ascii="Arial" w:hAnsi="Arial" w:cs="Arial"/>
        </w:rPr>
        <w:t>What additional regulatory costs should be included?</w:t>
      </w:r>
    </w:p>
    <w:p w:rsidR="00686ED4" w:rsidRDefault="00686ED4" w:rsidP="00686ED4">
      <w:pPr>
        <w:rPr>
          <w:rFonts w:ascii="Arial" w:hAnsi="Arial" w:cs="Arial"/>
          <w:b/>
          <w:bCs/>
        </w:rPr>
      </w:pPr>
    </w:p>
    <w:p w:rsidR="003107BF" w:rsidRPr="00FE51B8" w:rsidRDefault="00FE51B8" w:rsidP="11FF59B9">
      <w:pPr>
        <w:spacing w:before="240" w:line="360" w:lineRule="auto"/>
        <w:jc w:val="both"/>
        <w:rPr>
          <w:rFonts w:ascii="Arial" w:hAnsi="Arial" w:cs="Arial"/>
        </w:rPr>
      </w:pPr>
      <w:r w:rsidRPr="11FF59B9">
        <w:rPr>
          <w:color w:val="005677"/>
        </w:rPr>
        <w:br w:type="page"/>
      </w:r>
    </w:p>
    <w:p w:rsidR="003A6B79" w:rsidRPr="003A6B79" w:rsidRDefault="11FF59B9" w:rsidP="11FF59B9">
      <w:pPr>
        <w:pStyle w:val="Heading1"/>
        <w:numPr>
          <w:ilvl w:val="0"/>
          <w:numId w:val="2"/>
        </w:numPr>
        <w:rPr>
          <w:color w:val="005677"/>
        </w:rPr>
      </w:pPr>
      <w:bookmarkStart w:id="90" w:name="_Toc529891251"/>
      <w:bookmarkStart w:id="91" w:name="_Toc529891269"/>
      <w:bookmarkStart w:id="92" w:name="_Toc530493135"/>
      <w:bookmarkStart w:id="93" w:name="_Toc530493190"/>
      <w:bookmarkStart w:id="94" w:name="_Toc530563056"/>
      <w:bookmarkStart w:id="95" w:name="_Toc530563182"/>
      <w:r w:rsidRPr="11FF59B9">
        <w:rPr>
          <w:color w:val="005677"/>
        </w:rPr>
        <w:t>Consultation</w:t>
      </w:r>
      <w:bookmarkEnd w:id="90"/>
      <w:bookmarkEnd w:id="91"/>
      <w:bookmarkEnd w:id="92"/>
      <w:bookmarkEnd w:id="93"/>
      <w:bookmarkEnd w:id="94"/>
      <w:bookmarkEnd w:id="95"/>
    </w:p>
    <w:p w:rsidR="003107BF" w:rsidRPr="003107BF" w:rsidRDefault="00615EBF" w:rsidP="11FF59B9">
      <w:pPr>
        <w:spacing w:before="240" w:line="360" w:lineRule="auto"/>
        <w:jc w:val="both"/>
        <w:rPr>
          <w:rFonts w:ascii="Arial" w:hAnsi="Arial" w:cs="Arial"/>
        </w:rPr>
      </w:pPr>
      <w:r>
        <w:rPr>
          <w:rFonts w:ascii="Arial" w:hAnsi="Arial" w:cs="Arial"/>
        </w:rPr>
        <w:t>DIIS</w:t>
      </w:r>
      <w:r w:rsidR="001825FA">
        <w:rPr>
          <w:rFonts w:ascii="Arial" w:hAnsi="Arial" w:cs="Arial"/>
        </w:rPr>
        <w:t xml:space="preserve"> </w:t>
      </w:r>
      <w:r w:rsidR="11FF59B9" w:rsidRPr="11FF59B9">
        <w:rPr>
          <w:rFonts w:ascii="Arial" w:hAnsi="Arial" w:cs="Arial"/>
        </w:rPr>
        <w:t xml:space="preserve">will undertake a public consultation process to explore the issues outlined in this </w:t>
      </w:r>
      <w:r w:rsidR="001825FA">
        <w:rPr>
          <w:rFonts w:ascii="Arial" w:hAnsi="Arial" w:cs="Arial"/>
        </w:rPr>
        <w:t>RIS</w:t>
      </w:r>
      <w:r w:rsidR="11FF59B9" w:rsidRPr="11FF59B9">
        <w:rPr>
          <w:rFonts w:ascii="Arial" w:hAnsi="Arial" w:cs="Arial"/>
        </w:rPr>
        <w:t>. The objective of the consultation process is to gather additional evidence and data on the extent of the problem and to seek views on the benefits and costs of the potential policy options.</w:t>
      </w:r>
    </w:p>
    <w:p w:rsidR="003107BF" w:rsidRPr="003107BF" w:rsidRDefault="11FF59B9" w:rsidP="11FF59B9">
      <w:pPr>
        <w:spacing w:before="240" w:line="360" w:lineRule="auto"/>
        <w:jc w:val="both"/>
        <w:rPr>
          <w:rFonts w:ascii="Arial" w:hAnsi="Arial" w:cs="Arial"/>
        </w:rPr>
      </w:pPr>
      <w:r w:rsidRPr="11FF59B9">
        <w:rPr>
          <w:rFonts w:ascii="Arial" w:hAnsi="Arial" w:cs="Arial"/>
        </w:rPr>
        <w:t>The consultation process will consist of:</w:t>
      </w:r>
    </w:p>
    <w:p w:rsidR="003107BF" w:rsidRPr="003107BF" w:rsidRDefault="11FF59B9" w:rsidP="11FF59B9">
      <w:pPr>
        <w:pStyle w:val="ListParagraph"/>
        <w:numPr>
          <w:ilvl w:val="0"/>
          <w:numId w:val="14"/>
        </w:numPr>
        <w:spacing w:before="240" w:line="360" w:lineRule="auto"/>
        <w:jc w:val="both"/>
        <w:rPr>
          <w:rFonts w:ascii="Arial" w:hAnsi="Arial" w:cs="Arial"/>
        </w:rPr>
      </w:pPr>
      <w:r w:rsidRPr="11FF59B9">
        <w:rPr>
          <w:rFonts w:ascii="Arial" w:hAnsi="Arial" w:cs="Arial"/>
        </w:rPr>
        <w:t>a formal written submission process;</w:t>
      </w:r>
    </w:p>
    <w:p w:rsidR="003107BF" w:rsidRPr="003107BF" w:rsidRDefault="11FF59B9" w:rsidP="11FF59B9">
      <w:pPr>
        <w:pStyle w:val="ListParagraph"/>
        <w:numPr>
          <w:ilvl w:val="0"/>
          <w:numId w:val="14"/>
        </w:numPr>
        <w:spacing w:before="240" w:line="360" w:lineRule="auto"/>
        <w:jc w:val="both"/>
        <w:rPr>
          <w:rFonts w:ascii="Arial" w:hAnsi="Arial" w:cs="Arial"/>
        </w:rPr>
      </w:pPr>
      <w:r w:rsidRPr="11FF59B9">
        <w:rPr>
          <w:rFonts w:ascii="Arial" w:hAnsi="Arial" w:cs="Arial"/>
        </w:rPr>
        <w:t>an industry roundtable</w:t>
      </w:r>
      <w:r w:rsidR="00360C37">
        <w:rPr>
          <w:rFonts w:ascii="Arial" w:hAnsi="Arial" w:cs="Arial"/>
        </w:rPr>
        <w:t xml:space="preserve"> with peak bodies</w:t>
      </w:r>
      <w:r w:rsidRPr="11FF59B9">
        <w:rPr>
          <w:rFonts w:ascii="Arial" w:hAnsi="Arial" w:cs="Arial"/>
        </w:rPr>
        <w:t>; and</w:t>
      </w:r>
    </w:p>
    <w:p w:rsidR="003107BF" w:rsidRPr="003107BF" w:rsidRDefault="009F4385" w:rsidP="11FF59B9">
      <w:pPr>
        <w:pStyle w:val="ListParagraph"/>
        <w:numPr>
          <w:ilvl w:val="0"/>
          <w:numId w:val="14"/>
        </w:numPr>
        <w:spacing w:before="240" w:line="360" w:lineRule="auto"/>
        <w:jc w:val="both"/>
        <w:rPr>
          <w:rFonts w:ascii="Arial" w:hAnsi="Arial" w:cs="Arial"/>
        </w:rPr>
      </w:pPr>
      <w:r>
        <w:rPr>
          <w:rFonts w:ascii="Arial" w:hAnsi="Arial" w:cs="Arial"/>
        </w:rPr>
        <w:t>t</w:t>
      </w:r>
      <w:r w:rsidR="11FF59B9" w:rsidRPr="11FF59B9">
        <w:rPr>
          <w:rFonts w:ascii="Arial" w:hAnsi="Arial" w:cs="Arial"/>
        </w:rPr>
        <w:t>argeted face-to-face and telephone meetings with stakeholder</w:t>
      </w:r>
      <w:r w:rsidR="00BE44A5">
        <w:rPr>
          <w:rFonts w:ascii="Arial" w:hAnsi="Arial" w:cs="Arial"/>
        </w:rPr>
        <w:t>s</w:t>
      </w:r>
      <w:r w:rsidR="11FF59B9" w:rsidRPr="11FF59B9">
        <w:rPr>
          <w:rFonts w:ascii="Arial" w:hAnsi="Arial" w:cs="Arial"/>
        </w:rPr>
        <w:t>.</w:t>
      </w:r>
    </w:p>
    <w:p w:rsidR="003107BF" w:rsidRPr="003107BF" w:rsidRDefault="00390D47" w:rsidP="11FF59B9">
      <w:pPr>
        <w:spacing w:before="240" w:line="360" w:lineRule="auto"/>
        <w:jc w:val="both"/>
        <w:rPr>
          <w:rFonts w:ascii="Arial" w:hAnsi="Arial" w:cs="Arial"/>
        </w:rPr>
      </w:pPr>
      <w:r>
        <w:rPr>
          <w:rFonts w:ascii="Arial" w:hAnsi="Arial" w:cs="Arial"/>
        </w:rPr>
        <w:t>DIIS</w:t>
      </w:r>
      <w:r w:rsidR="11FF59B9" w:rsidRPr="11FF59B9">
        <w:rPr>
          <w:rFonts w:ascii="Arial" w:hAnsi="Arial" w:cs="Arial"/>
        </w:rPr>
        <w:t xml:space="preserve"> will consult with a broad range of affected stakeholders and will encourage stakeholders to make submissions and share their views on the issues in the </w:t>
      </w:r>
      <w:r w:rsidR="00BE44A5">
        <w:rPr>
          <w:rFonts w:ascii="Arial" w:hAnsi="Arial" w:cs="Arial"/>
        </w:rPr>
        <w:t>RIS</w:t>
      </w:r>
      <w:r w:rsidR="11FF59B9" w:rsidRPr="11FF59B9">
        <w:rPr>
          <w:rFonts w:ascii="Arial" w:hAnsi="Arial" w:cs="Arial"/>
        </w:rPr>
        <w:t>.</w:t>
      </w:r>
      <w:r w:rsidR="00025645">
        <w:rPr>
          <w:rFonts w:ascii="Arial" w:hAnsi="Arial" w:cs="Arial"/>
        </w:rPr>
        <w:t xml:space="preserve"> Of note, </w:t>
      </w:r>
      <w:r>
        <w:rPr>
          <w:rFonts w:ascii="Arial" w:hAnsi="Arial" w:cs="Arial"/>
        </w:rPr>
        <w:t xml:space="preserve">DIIS has consulted with, and will continue to engage with the Australian Small Business and Family Enterprise Ombudsman in the development of this policy. </w:t>
      </w:r>
    </w:p>
    <w:p w:rsidR="003107BF" w:rsidRPr="003107BF" w:rsidRDefault="11FF59B9" w:rsidP="11FF59B9">
      <w:pPr>
        <w:spacing w:before="240" w:line="360" w:lineRule="auto"/>
        <w:jc w:val="both"/>
        <w:rPr>
          <w:rFonts w:ascii="Arial" w:hAnsi="Arial" w:cs="Arial"/>
        </w:rPr>
      </w:pPr>
      <w:r w:rsidRPr="11FF59B9">
        <w:rPr>
          <w:rFonts w:ascii="Arial" w:hAnsi="Arial" w:cs="Arial"/>
        </w:rPr>
        <w:t>Once the consultation process has concluded, a final stage RIS will be prepared prior to decision makers making a final decision.</w:t>
      </w:r>
    </w:p>
    <w:p w:rsidR="003107BF" w:rsidRDefault="001825FA" w:rsidP="11FF59B9">
      <w:pPr>
        <w:spacing w:before="240" w:line="360" w:lineRule="auto"/>
        <w:jc w:val="both"/>
        <w:rPr>
          <w:rFonts w:ascii="Arial" w:hAnsi="Arial" w:cs="Arial"/>
        </w:rPr>
      </w:pPr>
      <w:r>
        <w:rPr>
          <w:rFonts w:ascii="Arial" w:hAnsi="Arial" w:cs="Arial"/>
        </w:rPr>
        <w:t>DIIS may publish submissions on its website, unless the submission is marked as confidential</w:t>
      </w:r>
      <w:r w:rsidR="11FF59B9" w:rsidRPr="11FF59B9">
        <w:rPr>
          <w:rFonts w:ascii="Arial" w:hAnsi="Arial" w:cs="Arial"/>
        </w:rPr>
        <w:t>.</w:t>
      </w:r>
    </w:p>
    <w:p w:rsidR="003A6B79" w:rsidRDefault="11FF59B9" w:rsidP="11FF59B9">
      <w:pPr>
        <w:pStyle w:val="Heading1"/>
        <w:numPr>
          <w:ilvl w:val="0"/>
          <w:numId w:val="2"/>
        </w:numPr>
        <w:rPr>
          <w:color w:val="005677"/>
        </w:rPr>
      </w:pPr>
      <w:bookmarkStart w:id="96" w:name="_Toc529891252"/>
      <w:bookmarkStart w:id="97" w:name="_Toc529891270"/>
      <w:bookmarkStart w:id="98" w:name="_Toc530493136"/>
      <w:bookmarkStart w:id="99" w:name="_Toc530493191"/>
      <w:bookmarkStart w:id="100" w:name="_Toc530563057"/>
      <w:bookmarkStart w:id="101" w:name="_Toc530563183"/>
      <w:r w:rsidRPr="11FF59B9">
        <w:rPr>
          <w:color w:val="005677"/>
        </w:rPr>
        <w:t>Implementation</w:t>
      </w:r>
      <w:bookmarkEnd w:id="96"/>
      <w:bookmarkEnd w:id="97"/>
      <w:bookmarkEnd w:id="98"/>
      <w:bookmarkEnd w:id="99"/>
      <w:bookmarkEnd w:id="100"/>
      <w:bookmarkEnd w:id="101"/>
    </w:p>
    <w:p w:rsidR="002F2857" w:rsidRDefault="009C75F5" w:rsidP="11FF59B9">
      <w:pPr>
        <w:spacing w:before="240" w:line="360" w:lineRule="auto"/>
        <w:jc w:val="both"/>
        <w:rPr>
          <w:rFonts w:ascii="Arial" w:hAnsi="Arial" w:cs="Arial"/>
        </w:rPr>
      </w:pPr>
      <w:r>
        <w:rPr>
          <w:rFonts w:ascii="Arial" w:hAnsi="Arial" w:cs="Arial"/>
        </w:rPr>
        <w:t>I</w:t>
      </w:r>
      <w:r w:rsidR="11FF59B9" w:rsidRPr="11FF59B9">
        <w:rPr>
          <w:rFonts w:ascii="Arial" w:hAnsi="Arial" w:cs="Arial"/>
        </w:rPr>
        <w:t xml:space="preserve">mplementation of the options identified in this </w:t>
      </w:r>
      <w:r w:rsidR="00240B12">
        <w:rPr>
          <w:rFonts w:ascii="Arial" w:hAnsi="Arial" w:cs="Arial"/>
        </w:rPr>
        <w:t>RIS</w:t>
      </w:r>
      <w:r w:rsidR="11FF59B9" w:rsidRPr="11FF59B9">
        <w:rPr>
          <w:rFonts w:ascii="Arial" w:hAnsi="Arial" w:cs="Arial"/>
        </w:rPr>
        <w:t xml:space="preserve"> </w:t>
      </w:r>
      <w:r>
        <w:rPr>
          <w:rFonts w:ascii="Arial" w:hAnsi="Arial" w:cs="Arial"/>
        </w:rPr>
        <w:t xml:space="preserve">could be achieved via </w:t>
      </w:r>
      <w:r w:rsidR="002B1541">
        <w:rPr>
          <w:rFonts w:ascii="Arial" w:hAnsi="Arial" w:cs="Arial"/>
        </w:rPr>
        <w:t>three</w:t>
      </w:r>
      <w:r w:rsidR="00C96BC8">
        <w:rPr>
          <w:rFonts w:ascii="Arial" w:hAnsi="Arial" w:cs="Arial"/>
        </w:rPr>
        <w:t xml:space="preserve"> methods.</w:t>
      </w:r>
    </w:p>
    <w:p w:rsidR="007030C8" w:rsidRPr="00C96BC8" w:rsidRDefault="00C96BC8" w:rsidP="00C96BC8">
      <w:pPr>
        <w:spacing w:before="240" w:line="360" w:lineRule="auto"/>
        <w:jc w:val="both"/>
        <w:rPr>
          <w:rFonts w:ascii="Arial" w:hAnsi="Arial" w:cs="Arial"/>
        </w:rPr>
      </w:pPr>
      <w:r w:rsidRPr="00C96BC8">
        <w:rPr>
          <w:rFonts w:ascii="Arial" w:hAnsi="Arial" w:cs="Arial"/>
        </w:rPr>
        <w:t>The first</w:t>
      </w:r>
      <w:r>
        <w:rPr>
          <w:rFonts w:ascii="Arial" w:hAnsi="Arial" w:cs="Arial"/>
        </w:rPr>
        <w:t xml:space="preserve"> method w</w:t>
      </w:r>
      <w:r w:rsidR="00DB1F66">
        <w:rPr>
          <w:rFonts w:ascii="Arial" w:hAnsi="Arial" w:cs="Arial"/>
        </w:rPr>
        <w:t>ould</w:t>
      </w:r>
      <w:r>
        <w:rPr>
          <w:rFonts w:ascii="Arial" w:hAnsi="Arial" w:cs="Arial"/>
        </w:rPr>
        <w:t xml:space="preserve"> implement the RIS options by</w:t>
      </w:r>
      <w:r>
        <w:t xml:space="preserve"> </w:t>
      </w:r>
      <w:r>
        <w:rPr>
          <w:rFonts w:ascii="Arial" w:hAnsi="Arial" w:cs="Arial"/>
        </w:rPr>
        <w:t>amending</w:t>
      </w:r>
      <w:r w:rsidR="11FF59B9" w:rsidRPr="00C96BC8">
        <w:rPr>
          <w:rFonts w:ascii="Arial" w:hAnsi="Arial" w:cs="Arial"/>
        </w:rPr>
        <w:t xml:space="preserve"> the Franchising Code</w:t>
      </w:r>
      <w:r w:rsidR="005B5563">
        <w:rPr>
          <w:rFonts w:ascii="Arial" w:hAnsi="Arial" w:cs="Arial"/>
        </w:rPr>
        <w:t>.</w:t>
      </w:r>
      <w:r w:rsidR="11FF59B9" w:rsidRPr="00C96BC8">
        <w:rPr>
          <w:rFonts w:ascii="Arial" w:hAnsi="Arial" w:cs="Arial"/>
        </w:rPr>
        <w:t xml:space="preserve"> </w:t>
      </w:r>
      <w:r w:rsidR="00DF0AF2" w:rsidRPr="00C96BC8">
        <w:rPr>
          <w:rFonts w:ascii="Arial" w:hAnsi="Arial" w:cs="Arial"/>
        </w:rPr>
        <w:t>This method w</w:t>
      </w:r>
      <w:r w:rsidR="00DB1F66">
        <w:rPr>
          <w:rFonts w:ascii="Arial" w:hAnsi="Arial" w:cs="Arial"/>
        </w:rPr>
        <w:t>ould</w:t>
      </w:r>
      <w:r w:rsidR="00DF0AF2" w:rsidRPr="00C96BC8">
        <w:rPr>
          <w:rFonts w:ascii="Arial" w:hAnsi="Arial" w:cs="Arial"/>
        </w:rPr>
        <w:t xml:space="preserve"> </w:t>
      </w:r>
      <w:r w:rsidR="003442E4" w:rsidRPr="00C96BC8">
        <w:rPr>
          <w:rFonts w:ascii="Arial" w:hAnsi="Arial" w:cs="Arial"/>
        </w:rPr>
        <w:t>apply</w:t>
      </w:r>
      <w:r w:rsidR="007A0D20" w:rsidRPr="00C96BC8">
        <w:rPr>
          <w:rFonts w:ascii="Arial" w:hAnsi="Arial" w:cs="Arial"/>
        </w:rPr>
        <w:t xml:space="preserve"> the RIS options</w:t>
      </w:r>
      <w:r w:rsidR="003442E4" w:rsidRPr="00C96BC8">
        <w:rPr>
          <w:rFonts w:ascii="Arial" w:hAnsi="Arial" w:cs="Arial"/>
        </w:rPr>
        <w:t xml:space="preserve"> to </w:t>
      </w:r>
      <w:r w:rsidR="007A0D20" w:rsidRPr="00C96BC8">
        <w:rPr>
          <w:rFonts w:ascii="Arial" w:hAnsi="Arial" w:cs="Arial"/>
        </w:rPr>
        <w:t xml:space="preserve">all </w:t>
      </w:r>
      <w:r w:rsidR="003442E4" w:rsidRPr="00C96BC8">
        <w:rPr>
          <w:rFonts w:ascii="Arial" w:hAnsi="Arial" w:cs="Arial"/>
        </w:rPr>
        <w:t xml:space="preserve">franchises </w:t>
      </w:r>
      <w:r w:rsidR="007A0D20" w:rsidRPr="00C96BC8">
        <w:rPr>
          <w:rFonts w:ascii="Arial" w:hAnsi="Arial" w:cs="Arial"/>
        </w:rPr>
        <w:t>governed by the Franchising Code</w:t>
      </w:r>
      <w:r w:rsidR="003442E4" w:rsidRPr="00C96BC8">
        <w:rPr>
          <w:rFonts w:ascii="Arial" w:hAnsi="Arial" w:cs="Arial"/>
        </w:rPr>
        <w:t xml:space="preserve"> </w:t>
      </w:r>
      <w:r w:rsidR="005F6159" w:rsidRPr="00C96BC8">
        <w:rPr>
          <w:rFonts w:ascii="Arial" w:hAnsi="Arial" w:cs="Arial"/>
        </w:rPr>
        <w:t>to</w:t>
      </w:r>
      <w:r w:rsidR="003442E4" w:rsidRPr="00C96BC8">
        <w:rPr>
          <w:rFonts w:ascii="Arial" w:hAnsi="Arial" w:cs="Arial"/>
        </w:rPr>
        <w:t xml:space="preserve"> benefit the broader franchising sector</w:t>
      </w:r>
      <w:r w:rsidR="00240B12" w:rsidRPr="00C96BC8">
        <w:rPr>
          <w:rFonts w:ascii="Arial" w:hAnsi="Arial" w:cs="Arial"/>
        </w:rPr>
        <w:t xml:space="preserve">. </w:t>
      </w:r>
      <w:r w:rsidR="00E11ECD" w:rsidRPr="00E11ECD">
        <w:rPr>
          <w:rFonts w:ascii="Arial" w:hAnsi="Arial" w:cs="Arial"/>
        </w:rPr>
        <w:t>There are approximately 73 000 franchise</w:t>
      </w:r>
      <w:r w:rsidR="00211B7D">
        <w:rPr>
          <w:rFonts w:ascii="Arial" w:hAnsi="Arial" w:cs="Arial"/>
        </w:rPr>
        <w:t>e</w:t>
      </w:r>
      <w:r w:rsidR="00E11ECD" w:rsidRPr="00E11ECD">
        <w:rPr>
          <w:rFonts w:ascii="Arial" w:hAnsi="Arial" w:cs="Arial"/>
        </w:rPr>
        <w:t>s and approximately 1180 franchisors in Australia, and an annual turnover in the order of $</w:t>
      </w:r>
      <w:r w:rsidR="00211B7D" w:rsidRPr="00E11ECD">
        <w:rPr>
          <w:rFonts w:ascii="Arial" w:hAnsi="Arial" w:cs="Arial"/>
        </w:rPr>
        <w:t>131</w:t>
      </w:r>
      <w:r w:rsidR="00211B7D">
        <w:rPr>
          <w:rFonts w:ascii="Arial" w:hAnsi="Arial" w:cs="Arial"/>
        </w:rPr>
        <w:t> </w:t>
      </w:r>
      <w:r w:rsidR="00E11ECD" w:rsidRPr="00E11ECD">
        <w:rPr>
          <w:rFonts w:ascii="Arial" w:hAnsi="Arial" w:cs="Arial"/>
        </w:rPr>
        <w:t>billion.</w:t>
      </w:r>
      <w:r w:rsidR="00E11ECD">
        <w:rPr>
          <w:rStyle w:val="FootnoteReference"/>
          <w:rFonts w:ascii="Arial" w:hAnsi="Arial" w:cs="Arial"/>
        </w:rPr>
        <w:footnoteReference w:id="63"/>
      </w:r>
      <w:r w:rsidR="00E11ECD">
        <w:rPr>
          <w:rFonts w:ascii="Arial" w:hAnsi="Arial" w:cs="Arial"/>
        </w:rPr>
        <w:t xml:space="preserve"> </w:t>
      </w:r>
      <w:r w:rsidR="002612C4">
        <w:rPr>
          <w:rFonts w:ascii="Arial" w:hAnsi="Arial" w:cs="Arial"/>
        </w:rPr>
        <w:t>There would be merits in implementation</w:t>
      </w:r>
      <w:r w:rsidR="00E11ECD">
        <w:rPr>
          <w:rFonts w:ascii="Arial" w:hAnsi="Arial" w:cs="Arial"/>
        </w:rPr>
        <w:t xml:space="preserve"> of the RIS options</w:t>
      </w:r>
      <w:r w:rsidR="002612C4">
        <w:rPr>
          <w:rFonts w:ascii="Arial" w:hAnsi="Arial" w:cs="Arial"/>
        </w:rPr>
        <w:t xml:space="preserve"> through this first method given that </w:t>
      </w:r>
      <w:r w:rsidR="00E11ECD">
        <w:rPr>
          <w:rFonts w:ascii="Arial" w:hAnsi="Arial" w:cs="Arial"/>
        </w:rPr>
        <w:t xml:space="preserve">similar concerns about exit arrangements, capital expenditure and imbalance of power in favour of franchisors in dispute resolution has been raised within the wider franchising context as reflected in submissions to the PJC Inquiry. Notably, of the mediations conducted by OFMA in 2017 around 5 per cent relate to exit arrangements. In addition, the ACCC’s submission to the PJC Inquiry called for greater specificity in relation to capital expenditure disclosure by </w:t>
      </w:r>
      <w:r w:rsidR="004B59E9">
        <w:rPr>
          <w:rFonts w:ascii="Arial" w:hAnsi="Arial" w:cs="Arial"/>
        </w:rPr>
        <w:t>all franchisors, not confined to automotive franchising.</w:t>
      </w:r>
    </w:p>
    <w:p w:rsidR="00A50CE5" w:rsidRDefault="001127EC" w:rsidP="00C63AA9">
      <w:pPr>
        <w:spacing w:before="240" w:line="360" w:lineRule="auto"/>
        <w:jc w:val="both"/>
        <w:rPr>
          <w:rFonts w:ascii="Arial" w:hAnsi="Arial" w:cs="Arial"/>
        </w:rPr>
      </w:pPr>
      <w:r>
        <w:rPr>
          <w:rFonts w:ascii="Arial" w:hAnsi="Arial" w:cs="Arial"/>
        </w:rPr>
        <w:t xml:space="preserve">The </w:t>
      </w:r>
      <w:r w:rsidR="002B1541">
        <w:rPr>
          <w:rFonts w:ascii="Arial" w:hAnsi="Arial" w:cs="Arial"/>
        </w:rPr>
        <w:t>second</w:t>
      </w:r>
      <w:r>
        <w:rPr>
          <w:rFonts w:ascii="Arial" w:hAnsi="Arial" w:cs="Arial"/>
        </w:rPr>
        <w:t xml:space="preserve"> method</w:t>
      </w:r>
      <w:r w:rsidR="00C63AA9" w:rsidRPr="00C63AA9">
        <w:rPr>
          <w:rFonts w:ascii="Arial" w:hAnsi="Arial" w:cs="Arial"/>
        </w:rPr>
        <w:t xml:space="preserve"> </w:t>
      </w:r>
      <w:r w:rsidR="00DB1F66">
        <w:rPr>
          <w:rFonts w:ascii="Arial" w:hAnsi="Arial" w:cs="Arial"/>
        </w:rPr>
        <w:t>would</w:t>
      </w:r>
      <w:r w:rsidR="00C63AA9" w:rsidRPr="00C63AA9">
        <w:rPr>
          <w:rFonts w:ascii="Arial" w:hAnsi="Arial" w:cs="Arial"/>
        </w:rPr>
        <w:t xml:space="preserve"> implements the RIS options as</w:t>
      </w:r>
      <w:r w:rsidR="00C63AA9">
        <w:t xml:space="preserve"> </w:t>
      </w:r>
      <w:r w:rsidR="008E6AF0" w:rsidRPr="00C63AA9">
        <w:rPr>
          <w:rFonts w:ascii="Arial" w:hAnsi="Arial" w:cs="Arial"/>
        </w:rPr>
        <w:t>amend</w:t>
      </w:r>
      <w:r w:rsidR="00240B12" w:rsidRPr="00C63AA9">
        <w:rPr>
          <w:rFonts w:ascii="Arial" w:hAnsi="Arial" w:cs="Arial"/>
        </w:rPr>
        <w:t xml:space="preserve">ments to </w:t>
      </w:r>
      <w:r w:rsidR="007030C8" w:rsidRPr="00C63AA9">
        <w:rPr>
          <w:rFonts w:ascii="Arial" w:hAnsi="Arial" w:cs="Arial"/>
        </w:rPr>
        <w:t>the</w:t>
      </w:r>
      <w:r w:rsidR="00240B12" w:rsidRPr="00C63AA9">
        <w:rPr>
          <w:rFonts w:ascii="Arial" w:hAnsi="Arial" w:cs="Arial"/>
        </w:rPr>
        <w:t xml:space="preserve"> Franchising Code </w:t>
      </w:r>
      <w:r w:rsidR="00DB1F66">
        <w:rPr>
          <w:rFonts w:ascii="Arial" w:hAnsi="Arial" w:cs="Arial"/>
        </w:rPr>
        <w:t>and</w:t>
      </w:r>
      <w:r w:rsidR="00240B12" w:rsidRPr="00C63AA9">
        <w:rPr>
          <w:rFonts w:ascii="Arial" w:hAnsi="Arial" w:cs="Arial"/>
        </w:rPr>
        <w:t xml:space="preserve"> would apply specifically to</w:t>
      </w:r>
      <w:r w:rsidR="00E05E5F" w:rsidRPr="00C63AA9">
        <w:rPr>
          <w:rFonts w:ascii="Arial" w:hAnsi="Arial" w:cs="Arial"/>
        </w:rPr>
        <w:t xml:space="preserve"> </w:t>
      </w:r>
      <w:r w:rsidR="00240B12" w:rsidRPr="00C63AA9">
        <w:rPr>
          <w:rFonts w:ascii="Arial" w:hAnsi="Arial" w:cs="Arial"/>
        </w:rPr>
        <w:t>dealer agreements.</w:t>
      </w:r>
      <w:r w:rsidR="00A50CE5">
        <w:rPr>
          <w:rFonts w:ascii="Arial" w:hAnsi="Arial" w:cs="Arial"/>
        </w:rPr>
        <w:t xml:space="preserve"> However, </w:t>
      </w:r>
      <w:r w:rsidR="00E05E5F" w:rsidRPr="00C63AA9">
        <w:rPr>
          <w:rFonts w:ascii="Arial" w:hAnsi="Arial" w:cs="Arial"/>
        </w:rPr>
        <w:t>these amendments would be grouped</w:t>
      </w:r>
      <w:r w:rsidR="00240B12" w:rsidRPr="00C63AA9">
        <w:rPr>
          <w:rFonts w:ascii="Arial" w:hAnsi="Arial" w:cs="Arial"/>
        </w:rPr>
        <w:t xml:space="preserve"> together </w:t>
      </w:r>
      <w:r w:rsidR="00E05E5F" w:rsidRPr="00C63AA9">
        <w:rPr>
          <w:rFonts w:ascii="Arial" w:hAnsi="Arial" w:cs="Arial"/>
        </w:rPr>
        <w:t xml:space="preserve">under </w:t>
      </w:r>
      <w:r w:rsidR="00DB1F66">
        <w:rPr>
          <w:rFonts w:ascii="Arial" w:hAnsi="Arial" w:cs="Arial"/>
        </w:rPr>
        <w:t xml:space="preserve">a separate schedule under </w:t>
      </w:r>
      <w:r w:rsidR="00E05E5F" w:rsidRPr="00C63AA9">
        <w:rPr>
          <w:rFonts w:ascii="Arial" w:hAnsi="Arial" w:cs="Arial"/>
        </w:rPr>
        <w:t xml:space="preserve">the title Automotive Code. </w:t>
      </w:r>
    </w:p>
    <w:p w:rsidR="002F2857" w:rsidRPr="00085F65" w:rsidRDefault="00085F65" w:rsidP="00085F65">
      <w:pPr>
        <w:spacing w:before="240" w:line="360" w:lineRule="auto"/>
        <w:jc w:val="both"/>
        <w:rPr>
          <w:rFonts w:ascii="Arial" w:hAnsi="Arial" w:cs="Arial"/>
        </w:rPr>
      </w:pPr>
      <w:r w:rsidRPr="00085F65">
        <w:rPr>
          <w:rFonts w:ascii="Arial" w:hAnsi="Arial" w:cs="Arial"/>
        </w:rPr>
        <w:t xml:space="preserve">The </w:t>
      </w:r>
      <w:r w:rsidR="002B1541">
        <w:rPr>
          <w:rFonts w:ascii="Arial" w:hAnsi="Arial" w:cs="Arial"/>
        </w:rPr>
        <w:t>third</w:t>
      </w:r>
      <w:r w:rsidRPr="00085F65">
        <w:rPr>
          <w:rFonts w:ascii="Arial" w:hAnsi="Arial" w:cs="Arial"/>
        </w:rPr>
        <w:t xml:space="preserve"> method w</w:t>
      </w:r>
      <w:r w:rsidR="00DB1F66">
        <w:rPr>
          <w:rFonts w:ascii="Arial" w:hAnsi="Arial" w:cs="Arial"/>
        </w:rPr>
        <w:t>ould</w:t>
      </w:r>
      <w:r w:rsidRPr="00085F65">
        <w:rPr>
          <w:rFonts w:ascii="Arial" w:hAnsi="Arial" w:cs="Arial"/>
        </w:rPr>
        <w:t xml:space="preserve"> </w:t>
      </w:r>
      <w:r w:rsidR="11FF59B9" w:rsidRPr="00085F65">
        <w:rPr>
          <w:rFonts w:ascii="Arial" w:hAnsi="Arial" w:cs="Arial"/>
        </w:rPr>
        <w:t>implement an Automotive Code separate from</w:t>
      </w:r>
      <w:r>
        <w:rPr>
          <w:rFonts w:ascii="Arial" w:hAnsi="Arial" w:cs="Arial"/>
        </w:rPr>
        <w:t xml:space="preserve"> the Franchising Code</w:t>
      </w:r>
      <w:r w:rsidR="00A740E8">
        <w:rPr>
          <w:rFonts w:ascii="Arial" w:hAnsi="Arial" w:cs="Arial"/>
        </w:rPr>
        <w:t>, which will apply to only to dealer agreements between new car dealers and car manufacturers</w:t>
      </w:r>
      <w:r w:rsidR="11FF59B9" w:rsidRPr="00085F65">
        <w:rPr>
          <w:rFonts w:ascii="Arial" w:hAnsi="Arial" w:cs="Arial"/>
        </w:rPr>
        <w:t>.</w:t>
      </w:r>
      <w:r w:rsidR="00E504FA" w:rsidRPr="00085F65">
        <w:rPr>
          <w:rFonts w:ascii="Arial" w:hAnsi="Arial" w:cs="Arial"/>
        </w:rPr>
        <w:t xml:space="preserve"> </w:t>
      </w:r>
    </w:p>
    <w:p w:rsidR="00272EB8" w:rsidRPr="00C63AA9" w:rsidRDefault="005829FD" w:rsidP="00272EB8">
      <w:pPr>
        <w:spacing w:before="240" w:line="360" w:lineRule="auto"/>
        <w:jc w:val="both"/>
        <w:rPr>
          <w:rFonts w:ascii="Arial" w:hAnsi="Arial" w:cs="Arial"/>
        </w:rPr>
      </w:pPr>
      <w:r>
        <w:rPr>
          <w:rFonts w:ascii="Arial" w:hAnsi="Arial" w:cs="Arial"/>
        </w:rPr>
        <w:t>I</w:t>
      </w:r>
      <w:r w:rsidR="00272EB8">
        <w:rPr>
          <w:rFonts w:ascii="Arial" w:hAnsi="Arial" w:cs="Arial"/>
        </w:rPr>
        <w:t>mplementing the RIS options as</w:t>
      </w:r>
      <w:r>
        <w:rPr>
          <w:rFonts w:ascii="Arial" w:hAnsi="Arial" w:cs="Arial"/>
        </w:rPr>
        <w:t xml:space="preserve"> amendments to the Franchising Code</w:t>
      </w:r>
      <w:r w:rsidR="00272EB8">
        <w:rPr>
          <w:rFonts w:ascii="Arial" w:hAnsi="Arial" w:cs="Arial"/>
        </w:rPr>
        <w:t xml:space="preserve"> </w:t>
      </w:r>
      <w:r w:rsidR="00272EB8" w:rsidRPr="00C63AA9">
        <w:rPr>
          <w:rFonts w:ascii="Arial" w:hAnsi="Arial" w:cs="Arial"/>
        </w:rPr>
        <w:t>would provide for future consistency with the Franchising Code</w:t>
      </w:r>
      <w:r w:rsidR="00272EB8">
        <w:rPr>
          <w:rFonts w:ascii="Arial" w:hAnsi="Arial" w:cs="Arial"/>
        </w:rPr>
        <w:t xml:space="preserve">. </w:t>
      </w:r>
      <w:r w:rsidR="007F31B1">
        <w:rPr>
          <w:rFonts w:ascii="Arial" w:hAnsi="Arial" w:cs="Arial"/>
        </w:rPr>
        <w:t xml:space="preserve">For example, following </w:t>
      </w:r>
      <w:r w:rsidR="007710C9">
        <w:rPr>
          <w:rFonts w:ascii="Arial" w:hAnsi="Arial" w:cs="Arial"/>
        </w:rPr>
        <w:t>the outcome of</w:t>
      </w:r>
      <w:r w:rsidR="007F31B1">
        <w:rPr>
          <w:rFonts w:ascii="Arial" w:hAnsi="Arial" w:cs="Arial"/>
        </w:rPr>
        <w:t xml:space="preserve"> the</w:t>
      </w:r>
      <w:r w:rsidR="00D57CC2">
        <w:rPr>
          <w:rFonts w:ascii="Arial" w:hAnsi="Arial" w:cs="Arial"/>
        </w:rPr>
        <w:t xml:space="preserve"> </w:t>
      </w:r>
      <w:r w:rsidR="009E28BA">
        <w:rPr>
          <w:rFonts w:ascii="Arial" w:hAnsi="Arial" w:cs="Arial"/>
        </w:rPr>
        <w:t>Wein</w:t>
      </w:r>
      <w:r w:rsidR="007F31B1">
        <w:rPr>
          <w:rFonts w:ascii="Arial" w:hAnsi="Arial" w:cs="Arial"/>
        </w:rPr>
        <w:t xml:space="preserve"> </w:t>
      </w:r>
      <w:r w:rsidR="00D57CC2">
        <w:rPr>
          <w:rFonts w:ascii="Arial" w:hAnsi="Arial" w:cs="Arial"/>
        </w:rPr>
        <w:t>Review</w:t>
      </w:r>
      <w:r w:rsidR="00AE3844">
        <w:rPr>
          <w:rFonts w:ascii="Arial" w:hAnsi="Arial" w:cs="Arial"/>
        </w:rPr>
        <w:t>,</w:t>
      </w:r>
      <w:r w:rsidR="007F31B1">
        <w:rPr>
          <w:rStyle w:val="FootnoteReference"/>
          <w:rFonts w:ascii="Arial" w:hAnsi="Arial" w:cs="Arial"/>
        </w:rPr>
        <w:footnoteReference w:id="64"/>
      </w:r>
      <w:r w:rsidR="00261AB2">
        <w:rPr>
          <w:rFonts w:ascii="Arial" w:hAnsi="Arial" w:cs="Arial"/>
        </w:rPr>
        <w:t xml:space="preserve"> the Franchising Code was amended to introduce </w:t>
      </w:r>
      <w:r w:rsidR="00065EF2">
        <w:rPr>
          <w:rFonts w:ascii="Arial" w:hAnsi="Arial" w:cs="Arial"/>
        </w:rPr>
        <w:t>civil pecuniary penalties</w:t>
      </w:r>
      <w:r w:rsidR="005B55AB">
        <w:rPr>
          <w:rFonts w:ascii="Arial" w:hAnsi="Arial" w:cs="Arial"/>
        </w:rPr>
        <w:t xml:space="preserve"> for breaching certain provisions of the Franchising Code</w:t>
      </w:r>
      <w:r w:rsidR="00AE3844">
        <w:rPr>
          <w:rFonts w:ascii="Arial" w:hAnsi="Arial" w:cs="Arial"/>
        </w:rPr>
        <w:t>, such as the then newly introduced good faith provision</w:t>
      </w:r>
      <w:r w:rsidR="005B55AB">
        <w:rPr>
          <w:rFonts w:ascii="Arial" w:hAnsi="Arial" w:cs="Arial"/>
        </w:rPr>
        <w:t>.</w:t>
      </w:r>
      <w:r w:rsidR="007710C9">
        <w:rPr>
          <w:rStyle w:val="FootnoteReference"/>
          <w:rFonts w:ascii="Arial" w:hAnsi="Arial" w:cs="Arial"/>
        </w:rPr>
        <w:footnoteReference w:id="65"/>
      </w:r>
      <w:r w:rsidR="00AE3844">
        <w:rPr>
          <w:rFonts w:ascii="Arial" w:hAnsi="Arial" w:cs="Arial"/>
        </w:rPr>
        <w:t xml:space="preserve"> </w:t>
      </w:r>
      <w:r w:rsidR="00BF125C">
        <w:rPr>
          <w:rFonts w:ascii="Arial" w:hAnsi="Arial" w:cs="Arial"/>
        </w:rPr>
        <w:t xml:space="preserve">However these reforms were not implemented in the Oil Code, creating inconsistency between the two Codes. </w:t>
      </w:r>
    </w:p>
    <w:p w:rsidR="00E83DA4" w:rsidRPr="00E83DA4" w:rsidRDefault="00E83DA4">
      <w:pPr>
        <w:keepNext/>
        <w:spacing w:before="240" w:line="360" w:lineRule="auto"/>
        <w:jc w:val="both"/>
        <w:rPr>
          <w:rFonts w:ascii="Arial" w:hAnsi="Arial" w:cs="Arial"/>
          <w:i/>
        </w:rPr>
      </w:pPr>
      <w:r w:rsidRPr="00E83DA4">
        <w:rPr>
          <w:rFonts w:ascii="Arial" w:hAnsi="Arial" w:cs="Arial"/>
          <w:i/>
        </w:rPr>
        <w:t>Scope of the reforms</w:t>
      </w:r>
    </w:p>
    <w:p w:rsidR="008C55EE" w:rsidRPr="001D4B6B" w:rsidRDefault="008C55EE" w:rsidP="008C55EE">
      <w:pPr>
        <w:spacing w:before="240" w:line="360" w:lineRule="auto"/>
        <w:jc w:val="both"/>
        <w:rPr>
          <w:rFonts w:ascii="Arial" w:hAnsi="Arial" w:cs="Arial"/>
        </w:rPr>
      </w:pPr>
      <w:r w:rsidRPr="001D4B6B">
        <w:rPr>
          <w:rFonts w:ascii="Arial" w:hAnsi="Arial" w:cs="Arial"/>
        </w:rPr>
        <w:t xml:space="preserve">The problems identified in this RIS </w:t>
      </w:r>
      <w:r w:rsidR="001D4B6B" w:rsidRPr="001D4B6B">
        <w:rPr>
          <w:rFonts w:ascii="Arial" w:hAnsi="Arial" w:cs="Arial"/>
        </w:rPr>
        <w:t xml:space="preserve">and the evidence that supports the analysis in the options section relates </w:t>
      </w:r>
      <w:r w:rsidRPr="001D4B6B">
        <w:rPr>
          <w:rFonts w:ascii="Arial" w:hAnsi="Arial" w:cs="Arial"/>
        </w:rPr>
        <w:t xml:space="preserve">to </w:t>
      </w:r>
      <w:r w:rsidR="001D4B6B" w:rsidRPr="001D4B6B">
        <w:rPr>
          <w:rFonts w:ascii="Arial" w:hAnsi="Arial" w:cs="Arial"/>
        </w:rPr>
        <w:t xml:space="preserve">the </w:t>
      </w:r>
      <w:r w:rsidRPr="001D4B6B">
        <w:rPr>
          <w:rFonts w:ascii="Arial" w:hAnsi="Arial" w:cs="Arial"/>
        </w:rPr>
        <w:t xml:space="preserve">relationships between new car dealers and car manufacturers. This is in line with the scope of the ACCC’s market study, which looked at sales of new cars, defined as cars sold to Australian consumers </w:t>
      </w:r>
      <w:r w:rsidR="001D4B6B" w:rsidRPr="001D4B6B">
        <w:rPr>
          <w:rFonts w:ascii="Arial" w:hAnsi="Arial" w:cs="Arial"/>
        </w:rPr>
        <w:t>that</w:t>
      </w:r>
      <w:r w:rsidRPr="001D4B6B">
        <w:rPr>
          <w:rFonts w:ascii="Arial" w:hAnsi="Arial" w:cs="Arial"/>
        </w:rPr>
        <w:t xml:space="preserve"> have not previously been </w:t>
      </w:r>
      <w:r w:rsidR="001D4B6B" w:rsidRPr="001D4B6B">
        <w:rPr>
          <w:rFonts w:ascii="Arial" w:hAnsi="Arial" w:cs="Arial"/>
        </w:rPr>
        <w:t>registered. This definition includes passenger vehicles, four wheel drive vehicles and vans.</w:t>
      </w:r>
    </w:p>
    <w:p w:rsidR="001D4B6B" w:rsidRPr="001D4B6B" w:rsidRDefault="001D4B6B" w:rsidP="008C55EE">
      <w:pPr>
        <w:spacing w:before="240" w:line="360" w:lineRule="auto"/>
        <w:jc w:val="both"/>
        <w:rPr>
          <w:rFonts w:ascii="Arial" w:hAnsi="Arial" w:cs="Arial"/>
        </w:rPr>
      </w:pPr>
      <w:r w:rsidRPr="001D4B6B">
        <w:rPr>
          <w:rFonts w:ascii="Arial" w:hAnsi="Arial" w:cs="Arial"/>
        </w:rPr>
        <w:t>The</w:t>
      </w:r>
      <w:r w:rsidR="008C55EE" w:rsidRPr="001D4B6B">
        <w:rPr>
          <w:rFonts w:ascii="Arial" w:hAnsi="Arial" w:cs="Arial"/>
        </w:rPr>
        <w:t xml:space="preserve"> Franchising Code</w:t>
      </w:r>
      <w:r w:rsidR="008C55EE" w:rsidRPr="001D4B6B" w:rsidDel="00DB315E">
        <w:rPr>
          <w:rFonts w:ascii="Arial" w:hAnsi="Arial" w:cs="Arial"/>
        </w:rPr>
        <w:t xml:space="preserve"> </w:t>
      </w:r>
      <w:r w:rsidRPr="001D4B6B">
        <w:rPr>
          <w:rFonts w:ascii="Arial" w:hAnsi="Arial" w:cs="Arial"/>
        </w:rPr>
        <w:t xml:space="preserve">currently </w:t>
      </w:r>
      <w:r w:rsidR="008C55EE" w:rsidRPr="001D4B6B">
        <w:rPr>
          <w:rFonts w:ascii="Arial" w:hAnsi="Arial" w:cs="Arial"/>
        </w:rPr>
        <w:t>applies to ‘motor vehicle dealership agreements’</w:t>
      </w:r>
      <w:r w:rsidR="008C55EE" w:rsidRPr="001D4B6B">
        <w:rPr>
          <w:rStyle w:val="FootnoteReference"/>
          <w:rFonts w:ascii="Arial" w:hAnsi="Arial" w:cs="Arial"/>
        </w:rPr>
        <w:footnoteReference w:id="66"/>
      </w:r>
      <w:r w:rsidR="008C55EE" w:rsidRPr="001D4B6B">
        <w:rPr>
          <w:rFonts w:ascii="Arial" w:hAnsi="Arial" w:cs="Arial"/>
        </w:rPr>
        <w:t xml:space="preserve"> and a motor vehicle dealership is defined, in part as ‘a business of buying, selling, exchanging or leasing motor vehicles…’.</w:t>
      </w:r>
      <w:r w:rsidR="008C55EE" w:rsidRPr="001D4B6B">
        <w:rPr>
          <w:rStyle w:val="FootnoteReference"/>
          <w:rFonts w:ascii="Arial" w:hAnsi="Arial" w:cs="Arial"/>
        </w:rPr>
        <w:footnoteReference w:id="67"/>
      </w:r>
      <w:r w:rsidR="008C55EE" w:rsidRPr="001D4B6B">
        <w:rPr>
          <w:rFonts w:ascii="Arial" w:hAnsi="Arial" w:cs="Arial"/>
        </w:rPr>
        <w:t xml:space="preserve"> The Franchising Code provides a broad definition of ‘motor vehicle’ that encapsulates not just cars but also other vehicles such as motorcycles, motorised farm machinery, aircrafts and motor boats.</w:t>
      </w:r>
      <w:r w:rsidR="008C55EE" w:rsidRPr="001D4B6B">
        <w:rPr>
          <w:rStyle w:val="FootnoteReference"/>
          <w:rFonts w:ascii="Arial" w:hAnsi="Arial" w:cs="Arial"/>
        </w:rPr>
        <w:footnoteReference w:id="68"/>
      </w:r>
      <w:r w:rsidR="008C55EE" w:rsidRPr="001D4B6B">
        <w:rPr>
          <w:rFonts w:ascii="Arial" w:hAnsi="Arial" w:cs="Arial"/>
        </w:rPr>
        <w:t xml:space="preserve"> </w:t>
      </w:r>
      <w:r w:rsidRPr="001D4B6B">
        <w:rPr>
          <w:rFonts w:ascii="Arial" w:hAnsi="Arial" w:cs="Arial"/>
        </w:rPr>
        <w:t xml:space="preserve">This definition is significantly broader and the franchise relationships that exist in these other industries have not been assessed as part of this RIS. As such, the reform options outlined in this </w:t>
      </w:r>
      <w:r w:rsidR="00134D57">
        <w:rPr>
          <w:rFonts w:ascii="Arial" w:hAnsi="Arial" w:cs="Arial"/>
        </w:rPr>
        <w:t>RIS</w:t>
      </w:r>
      <w:r w:rsidRPr="001D4B6B">
        <w:rPr>
          <w:rFonts w:ascii="Arial" w:hAnsi="Arial" w:cs="Arial"/>
        </w:rPr>
        <w:t>, if enacted, are proposed to apply to franchise arrangements between manufacturers of new cars and their franchised dealers.</w:t>
      </w:r>
      <w:r w:rsidR="00FA598E" w:rsidRPr="00FA598E">
        <w:rPr>
          <w:rFonts w:ascii="Arial" w:hAnsi="Arial" w:cs="Arial"/>
        </w:rPr>
        <w:t xml:space="preserve"> </w:t>
      </w:r>
      <w:r w:rsidR="00FA598E" w:rsidRPr="00A2552B">
        <w:rPr>
          <w:rFonts w:ascii="Arial" w:hAnsi="Arial" w:cs="Arial"/>
        </w:rPr>
        <w:t xml:space="preserve">The new obligations would only apply to dealer agreements entered into </w:t>
      </w:r>
      <w:r w:rsidR="00FA598E" w:rsidRPr="002803BC">
        <w:rPr>
          <w:rFonts w:ascii="Arial" w:hAnsi="Arial" w:cs="Arial"/>
        </w:rPr>
        <w:t>12 months</w:t>
      </w:r>
      <w:r w:rsidR="00FA598E" w:rsidRPr="00A2552B">
        <w:rPr>
          <w:rFonts w:ascii="Arial" w:hAnsi="Arial" w:cs="Arial"/>
        </w:rPr>
        <w:t xml:space="preserve"> after the commencement of the reforms.</w:t>
      </w:r>
      <w:r w:rsidR="00FA598E" w:rsidRPr="00A2552B">
        <w:t xml:space="preserve"> </w:t>
      </w:r>
      <w:r w:rsidR="00FA598E" w:rsidRPr="00A2552B">
        <w:rPr>
          <w:rFonts w:ascii="Arial" w:hAnsi="Arial" w:cs="Arial"/>
        </w:rPr>
        <w:t>It is intended that the measures will be reviewed following implementation.</w:t>
      </w:r>
    </w:p>
    <w:p w:rsidR="001D4B6B" w:rsidRPr="001D4B6B" w:rsidRDefault="001D4B6B" w:rsidP="008C55EE">
      <w:pPr>
        <w:spacing w:before="240" w:line="360" w:lineRule="auto"/>
        <w:jc w:val="both"/>
        <w:rPr>
          <w:rFonts w:ascii="Arial" w:hAnsi="Arial" w:cs="Arial"/>
        </w:rPr>
      </w:pPr>
      <w:r w:rsidRPr="001D4B6B">
        <w:rPr>
          <w:rFonts w:ascii="Arial" w:hAnsi="Arial" w:cs="Arial"/>
        </w:rPr>
        <w:t>Questions:</w:t>
      </w:r>
    </w:p>
    <w:p w:rsidR="001D4B6B" w:rsidRPr="001D4B6B" w:rsidRDefault="001D4B6B" w:rsidP="001D6842">
      <w:pPr>
        <w:numPr>
          <w:ilvl w:val="0"/>
          <w:numId w:val="34"/>
        </w:numPr>
        <w:spacing w:before="240" w:line="360" w:lineRule="auto"/>
        <w:ind w:left="357" w:hanging="357"/>
        <w:contextualSpacing/>
        <w:jc w:val="both"/>
        <w:rPr>
          <w:rFonts w:ascii="Arial" w:hAnsi="Arial" w:cs="Arial"/>
        </w:rPr>
      </w:pPr>
      <w:r w:rsidRPr="001D4B6B">
        <w:rPr>
          <w:rFonts w:ascii="Arial" w:hAnsi="Arial" w:cs="Arial"/>
        </w:rPr>
        <w:t>If an automotive code is implemented, should it apply to a broader category of vehicles, rather than just new cars?</w:t>
      </w:r>
    </w:p>
    <w:p w:rsidR="001D4B6B" w:rsidRPr="001D4B6B" w:rsidRDefault="001D4B6B" w:rsidP="001D6842">
      <w:pPr>
        <w:numPr>
          <w:ilvl w:val="0"/>
          <w:numId w:val="34"/>
        </w:numPr>
        <w:spacing w:before="240" w:line="360" w:lineRule="auto"/>
        <w:ind w:left="357" w:hanging="357"/>
        <w:contextualSpacing/>
        <w:jc w:val="both"/>
        <w:rPr>
          <w:rFonts w:ascii="Arial" w:hAnsi="Arial" w:cs="Arial"/>
        </w:rPr>
      </w:pPr>
      <w:r w:rsidRPr="001D4B6B">
        <w:rPr>
          <w:rFonts w:ascii="Arial" w:hAnsi="Arial" w:cs="Arial"/>
        </w:rPr>
        <w:t>Are there any practical difficulties associated with only applying an automotive code to new car dealers? For example, are there franchise agreements that cover both new cars and motorcycles?</w:t>
      </w:r>
    </w:p>
    <w:p w:rsidR="002F2857" w:rsidRPr="00312053" w:rsidRDefault="002F2857" w:rsidP="11FF59B9">
      <w:pPr>
        <w:spacing w:before="240" w:line="360" w:lineRule="auto"/>
        <w:jc w:val="both"/>
        <w:rPr>
          <w:rFonts w:ascii="Arial" w:hAnsi="Arial" w:cs="Arial"/>
        </w:rPr>
      </w:pPr>
    </w:p>
    <w:p w:rsidR="00960ECE" w:rsidRDefault="00960ECE">
      <w:r>
        <w:br w:type="page"/>
      </w:r>
    </w:p>
    <w:p w:rsidR="002F2857" w:rsidRPr="00E63F77" w:rsidRDefault="11FF59B9" w:rsidP="11FF59B9">
      <w:pPr>
        <w:pStyle w:val="Heading1"/>
        <w:rPr>
          <w:color w:val="005677"/>
        </w:rPr>
      </w:pPr>
      <w:bookmarkStart w:id="102" w:name="_Toc529891253"/>
      <w:bookmarkStart w:id="103" w:name="_Toc529891271"/>
      <w:bookmarkStart w:id="104" w:name="_Toc530493137"/>
      <w:bookmarkStart w:id="105" w:name="_Toc530493192"/>
      <w:bookmarkStart w:id="106" w:name="_Toc530563058"/>
      <w:bookmarkStart w:id="107" w:name="_Toc530563184"/>
      <w:r w:rsidRPr="11FF59B9">
        <w:rPr>
          <w:color w:val="005677"/>
        </w:rPr>
        <w:t>Appendix 1: Australian retail automotive industry</w:t>
      </w:r>
      <w:bookmarkEnd w:id="102"/>
      <w:bookmarkEnd w:id="103"/>
      <w:bookmarkEnd w:id="104"/>
      <w:bookmarkEnd w:id="105"/>
      <w:bookmarkEnd w:id="106"/>
      <w:bookmarkEnd w:id="107"/>
    </w:p>
    <w:p w:rsidR="00E63F77" w:rsidRDefault="11FF59B9" w:rsidP="11FF59B9">
      <w:pPr>
        <w:spacing w:before="240" w:line="360" w:lineRule="auto"/>
        <w:jc w:val="both"/>
        <w:rPr>
          <w:rFonts w:ascii="Arial" w:hAnsi="Arial" w:cs="Arial"/>
        </w:rPr>
      </w:pPr>
      <w:r w:rsidRPr="11FF59B9">
        <w:rPr>
          <w:rFonts w:ascii="Arial" w:hAnsi="Arial" w:cs="Arial"/>
        </w:rPr>
        <w:t>The Australian car industry consists of three main sectors:</w:t>
      </w:r>
    </w:p>
    <w:p w:rsidR="00E63F77" w:rsidRPr="00AC3CDB" w:rsidRDefault="11FF59B9" w:rsidP="11FF59B9">
      <w:pPr>
        <w:pStyle w:val="ListParagraph"/>
        <w:numPr>
          <w:ilvl w:val="0"/>
          <w:numId w:val="7"/>
        </w:numPr>
        <w:spacing w:before="240" w:line="360" w:lineRule="auto"/>
        <w:jc w:val="both"/>
        <w:rPr>
          <w:rFonts w:ascii="Arial" w:hAnsi="Arial" w:cs="Arial"/>
        </w:rPr>
      </w:pPr>
      <w:r w:rsidRPr="11FF59B9">
        <w:rPr>
          <w:rFonts w:ascii="Arial" w:hAnsi="Arial" w:cs="Arial"/>
        </w:rPr>
        <w:t xml:space="preserve">Manufacturers </w:t>
      </w:r>
      <w:r w:rsidRPr="002803BC">
        <w:rPr>
          <w:rFonts w:ascii="Arial" w:hAnsi="Arial" w:cs="Arial"/>
        </w:rPr>
        <w:t>(represented by distributors)</w:t>
      </w:r>
      <w:r w:rsidRPr="11FF59B9">
        <w:rPr>
          <w:rFonts w:ascii="Arial" w:hAnsi="Arial" w:cs="Arial"/>
        </w:rPr>
        <w:t xml:space="preserve"> – import vehicles to distribute to dealers and commercial fleet buyers. Distributors are typically wholly owned subsidiaries of foreign car manufacturers and act as links between foreign manufacturers and Australian dealer networks.</w:t>
      </w:r>
    </w:p>
    <w:p w:rsidR="00E63F77" w:rsidRPr="00AC3CDB" w:rsidRDefault="11FF59B9" w:rsidP="11FF59B9">
      <w:pPr>
        <w:pStyle w:val="ListParagraph"/>
        <w:numPr>
          <w:ilvl w:val="0"/>
          <w:numId w:val="7"/>
        </w:numPr>
        <w:spacing w:before="240" w:line="360" w:lineRule="auto"/>
        <w:jc w:val="both"/>
        <w:rPr>
          <w:rFonts w:ascii="Arial" w:hAnsi="Arial" w:cs="Arial"/>
        </w:rPr>
      </w:pPr>
      <w:r w:rsidRPr="11FF59B9">
        <w:rPr>
          <w:rFonts w:ascii="Arial" w:hAnsi="Arial" w:cs="Arial"/>
        </w:rPr>
        <w:t>Dealers – sell new and used cars to consumers and businesses. While large businesses often purchase cars directly from distributors, smaller businesses typically purchase vehicles from dealers. Dealers also provide a range of other services, including servicing and repair, aftermarket sales and finance and insurance services.</w:t>
      </w:r>
    </w:p>
    <w:p w:rsidR="00E63F77" w:rsidRDefault="11FF59B9" w:rsidP="11FF59B9">
      <w:pPr>
        <w:pStyle w:val="ListParagraph"/>
        <w:numPr>
          <w:ilvl w:val="0"/>
          <w:numId w:val="7"/>
        </w:numPr>
        <w:spacing w:before="240" w:line="360" w:lineRule="auto"/>
        <w:jc w:val="both"/>
        <w:rPr>
          <w:rFonts w:ascii="Arial" w:hAnsi="Arial" w:cs="Arial"/>
        </w:rPr>
      </w:pPr>
      <w:r w:rsidRPr="11FF59B9">
        <w:rPr>
          <w:rFonts w:ascii="Arial" w:hAnsi="Arial" w:cs="Arial"/>
        </w:rPr>
        <w:t xml:space="preserve">Independent repairers – typically small, independent establishments that service a local area.  </w:t>
      </w:r>
    </w:p>
    <w:p w:rsidR="00E63F77" w:rsidRDefault="00E63F77" w:rsidP="11FF59B9">
      <w:pPr>
        <w:spacing w:before="240" w:line="360" w:lineRule="auto"/>
        <w:jc w:val="both"/>
        <w:rPr>
          <w:rFonts w:ascii="Arial" w:hAnsi="Arial" w:cs="Arial"/>
        </w:rPr>
      </w:pPr>
      <w:r>
        <w:rPr>
          <w:rFonts w:ascii="Arial" w:hAnsi="Arial" w:cs="Arial"/>
        </w:rPr>
        <w:t>Figure 1 shows the supply chain for new car retailing in Australia.</w:t>
      </w:r>
      <w:r w:rsidRPr="000D5A2C">
        <w:rPr>
          <w:rFonts w:ascii="Arial" w:hAnsi="Arial" w:cs="Arial"/>
        </w:rPr>
        <w:t xml:space="preserve"> </w:t>
      </w:r>
      <w:r>
        <w:rPr>
          <w:rFonts w:ascii="Arial" w:hAnsi="Arial" w:cs="Arial"/>
        </w:rPr>
        <w:t>Around 1.2</w:t>
      </w:r>
      <w:r w:rsidRPr="71921285">
        <w:rPr>
          <w:rFonts w:ascii="Arial" w:hAnsi="Arial" w:cs="Arial"/>
        </w:rPr>
        <w:t xml:space="preserve"> million new cars were sold during 2016–17, including at more than 1500 new car dealers operating more than 3500 retail outlets. </w:t>
      </w:r>
      <w:r>
        <w:rPr>
          <w:rFonts w:ascii="Arial" w:hAnsi="Arial" w:cs="Arial"/>
        </w:rPr>
        <w:t>The Australian market contains 72 brands and 400 models.</w:t>
      </w:r>
      <w:r>
        <w:rPr>
          <w:rStyle w:val="FootnoteReference"/>
          <w:rFonts w:ascii="Arial" w:hAnsi="Arial" w:cs="Arial"/>
        </w:rPr>
        <w:footnoteReference w:id="69"/>
      </w:r>
      <w:r>
        <w:rPr>
          <w:rFonts w:ascii="Arial" w:hAnsi="Arial" w:cs="Arial"/>
        </w:rPr>
        <w:t xml:space="preserve"> </w:t>
      </w:r>
      <w:r w:rsidRPr="71921285">
        <w:rPr>
          <w:rFonts w:ascii="Arial" w:hAnsi="Arial" w:cs="Arial"/>
        </w:rPr>
        <w:t xml:space="preserve">Car dealer revenues in 2016–17 are estimated at $64 billion. </w:t>
      </w:r>
      <w:r>
        <w:rPr>
          <w:rFonts w:ascii="Arial" w:hAnsi="Arial" w:cs="Arial"/>
        </w:rPr>
        <w:t xml:space="preserve">Australia is one of the most open, competitive and deregulated </w:t>
      </w:r>
      <w:r w:rsidRPr="00A54765">
        <w:rPr>
          <w:rFonts w:ascii="Arial" w:hAnsi="Arial" w:cs="Arial"/>
        </w:rPr>
        <w:t>c</w:t>
      </w:r>
      <w:r>
        <w:rPr>
          <w:rFonts w:ascii="Arial" w:hAnsi="Arial" w:cs="Arial"/>
        </w:rPr>
        <w:t>ar markets in the world.</w:t>
      </w:r>
      <w:r>
        <w:rPr>
          <w:rStyle w:val="FootnoteReference"/>
          <w:rFonts w:ascii="Arial" w:hAnsi="Arial" w:cs="Arial"/>
        </w:rPr>
        <w:footnoteReference w:id="70"/>
      </w:r>
      <w:r>
        <w:rPr>
          <w:rFonts w:ascii="Arial" w:hAnsi="Arial" w:cs="Arial"/>
        </w:rPr>
        <w:t xml:space="preserve"> Industry participants face barriers to entry by way of access to capital, infrastructure and having a dealership agreement in place in the case of dealers but they are not generally restricted on the sales channels they employ.</w:t>
      </w:r>
    </w:p>
    <w:p w:rsidR="00E63F77" w:rsidRDefault="00861D7A" w:rsidP="00E63F77">
      <w:pPr>
        <w:spacing w:before="240" w:after="0" w:line="240" w:lineRule="auto"/>
      </w:pPr>
      <w:r>
        <w:rPr>
          <w:rFonts w:ascii="Arial" w:hAnsi="Arial" w:cs="Arial"/>
          <w:noProof/>
          <w:sz w:val="16"/>
          <w:szCs w:val="16"/>
          <w:lang w:eastAsia="en-AU"/>
        </w:rPr>
        <w:object w:dxaOrig="1440" w:dyaOrig="1440" w14:anchorId="691C7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Figure 1 is a diagram of the new car supply chain. It includes distributors, dealers, private customers, business, government and others." style="position:absolute;margin-left:2pt;margin-top:.4pt;width:446.95pt;height:278.65pt;z-index:251658241;mso-position-horizontal:absolute;mso-position-horizontal-relative:text;mso-position-vertical:absolute;mso-position-vertical-relative:text;mso-width-relative:page;mso-height-relative:page">
            <v:imagedata r:id="rId18" o:title=""/>
            <w10:wrap type="topAndBottom"/>
          </v:shape>
          <o:OLEObject Type="Embed" ProgID="Visio.Drawing.15" ShapeID="_x0000_s1031" DrawAspect="Content" ObjectID="_1687868823" r:id="rId19"/>
        </w:object>
      </w:r>
      <w:r w:rsidR="00E63F77" w:rsidRPr="71921285">
        <w:rPr>
          <w:rFonts w:ascii="Arial" w:hAnsi="Arial" w:cs="Arial"/>
          <w:color w:val="44546A" w:themeColor="text2"/>
          <w:sz w:val="18"/>
          <w:szCs w:val="18"/>
        </w:rPr>
        <w:t xml:space="preserve">Figure </w:t>
      </w:r>
      <w:r w:rsidR="00E63F77" w:rsidRPr="71921285">
        <w:fldChar w:fldCharType="begin"/>
      </w:r>
      <w:r w:rsidR="00E63F77" w:rsidRPr="006F38E3">
        <w:rPr>
          <w:rFonts w:ascii="Arial" w:hAnsi="Arial" w:cs="Arial"/>
          <w:iCs/>
          <w:color w:val="44546A" w:themeColor="text2"/>
          <w:sz w:val="18"/>
          <w:szCs w:val="18"/>
        </w:rPr>
        <w:instrText xml:space="preserve"> SEQ Figure \* ARABIC </w:instrText>
      </w:r>
      <w:r w:rsidR="00E63F77" w:rsidRPr="71921285">
        <w:rPr>
          <w:rFonts w:ascii="Arial" w:hAnsi="Arial" w:cs="Arial"/>
          <w:iCs/>
          <w:color w:val="44546A" w:themeColor="text2"/>
          <w:sz w:val="18"/>
          <w:szCs w:val="18"/>
        </w:rPr>
        <w:fldChar w:fldCharType="separate"/>
      </w:r>
      <w:r w:rsidR="00275498">
        <w:rPr>
          <w:rFonts w:ascii="Arial" w:hAnsi="Arial" w:cs="Arial"/>
          <w:iCs/>
          <w:noProof/>
          <w:color w:val="44546A" w:themeColor="text2"/>
          <w:sz w:val="18"/>
          <w:szCs w:val="18"/>
        </w:rPr>
        <w:t>1</w:t>
      </w:r>
      <w:r w:rsidR="00E63F77" w:rsidRPr="71921285">
        <w:fldChar w:fldCharType="end"/>
      </w:r>
      <w:r w:rsidR="00E63F77" w:rsidRPr="71921285">
        <w:rPr>
          <w:rFonts w:ascii="Arial" w:hAnsi="Arial" w:cs="Arial"/>
          <w:color w:val="44546A" w:themeColor="text2"/>
          <w:sz w:val="18"/>
          <w:szCs w:val="18"/>
        </w:rPr>
        <w:t>: New Car Supply Chain.</w:t>
      </w:r>
      <w:r w:rsidR="00E63F77" w:rsidRPr="006F38E3">
        <w:rPr>
          <w:rFonts w:ascii="Arial" w:hAnsi="Arial" w:cs="Arial"/>
          <w:iCs/>
          <w:color w:val="44546A" w:themeColor="text2"/>
          <w:sz w:val="18"/>
          <w:szCs w:val="18"/>
        </w:rPr>
        <w:br/>
      </w:r>
      <w:r w:rsidR="00E63F77" w:rsidRPr="71921285">
        <w:rPr>
          <w:rFonts w:ascii="Arial" w:hAnsi="Arial" w:cs="Arial"/>
          <w:color w:val="44546A" w:themeColor="text2"/>
          <w:sz w:val="18"/>
          <w:szCs w:val="18"/>
        </w:rPr>
        <w:t>Source: FCAI (VFACTS) motor vehicle sales data (as at December 2017); IBISWorld Industry Report F3501</w:t>
      </w:r>
    </w:p>
    <w:p w:rsidR="00E63F77" w:rsidRPr="00003B74" w:rsidRDefault="11FF59B9" w:rsidP="11FF59B9">
      <w:pPr>
        <w:pStyle w:val="Caption"/>
        <w:rPr>
          <w:rFonts w:ascii="Arial" w:hAnsi="Arial" w:cs="Arial"/>
        </w:rPr>
      </w:pPr>
      <w:r w:rsidRPr="11FF59B9">
        <w:rPr>
          <w:rFonts w:ascii="Arial" w:hAnsi="Arial" w:cs="Arial"/>
          <w:i w:val="0"/>
          <w:iCs w:val="0"/>
        </w:rPr>
        <w:t xml:space="preserve">Motor Vehicle Wholesaling in Australia, May 2018; </w:t>
      </w:r>
      <w:r w:rsidRPr="11FF59B9">
        <w:rPr>
          <w:rFonts w:ascii="Arial" w:hAnsi="Arial" w:cs="Arial"/>
        </w:rPr>
        <w:t xml:space="preserve">IBISWorld Industry Report G3911 </w:t>
      </w:r>
      <w:r w:rsidRPr="11FF59B9">
        <w:rPr>
          <w:rFonts w:ascii="Arial" w:hAnsi="Arial" w:cs="Arial"/>
          <w:i w:val="0"/>
          <w:iCs w:val="0"/>
        </w:rPr>
        <w:t>Motor Vehicle Dealers in Australia, April 2018.</w:t>
      </w:r>
    </w:p>
    <w:p w:rsidR="00E63F77" w:rsidRDefault="00E63F77" w:rsidP="11FF59B9">
      <w:pPr>
        <w:spacing w:before="240" w:line="360" w:lineRule="auto"/>
        <w:jc w:val="both"/>
        <w:rPr>
          <w:rFonts w:ascii="Arial" w:hAnsi="Arial" w:cs="Arial"/>
        </w:rPr>
      </w:pPr>
      <w:r>
        <w:rPr>
          <w:rFonts w:ascii="Arial" w:hAnsi="Arial" w:cs="Arial"/>
        </w:rPr>
        <w:t>Industry analysts predict a</w:t>
      </w:r>
      <w:r w:rsidRPr="00EE3CA3">
        <w:rPr>
          <w:rFonts w:ascii="Arial" w:hAnsi="Arial" w:cs="Arial"/>
        </w:rPr>
        <w:t xml:space="preserve">utomotive retail </w:t>
      </w:r>
      <w:r>
        <w:rPr>
          <w:rFonts w:ascii="Arial" w:hAnsi="Arial" w:cs="Arial"/>
        </w:rPr>
        <w:t xml:space="preserve">will </w:t>
      </w:r>
      <w:r w:rsidRPr="00EE3CA3">
        <w:rPr>
          <w:rFonts w:ascii="Arial" w:hAnsi="Arial" w:cs="Arial"/>
        </w:rPr>
        <w:t>shift from being product-driven to a customer</w:t>
      </w:r>
      <w:r>
        <w:rPr>
          <w:rFonts w:ascii="Arial" w:hAnsi="Arial" w:cs="Arial"/>
        </w:rPr>
        <w:noBreakHyphen/>
      </w:r>
      <w:r w:rsidRPr="00EE3CA3">
        <w:rPr>
          <w:rFonts w:ascii="Arial" w:hAnsi="Arial" w:cs="Arial"/>
        </w:rPr>
        <w:t xml:space="preserve">centric approach with key supply chain participants </w:t>
      </w:r>
      <w:r>
        <w:rPr>
          <w:rFonts w:ascii="Arial" w:hAnsi="Arial" w:cs="Arial"/>
        </w:rPr>
        <w:t>(</w:t>
      </w:r>
      <w:r w:rsidR="00530969">
        <w:rPr>
          <w:rFonts w:ascii="Arial" w:hAnsi="Arial" w:cs="Arial"/>
        </w:rPr>
        <w:t>manufacture</w:t>
      </w:r>
      <w:r w:rsidRPr="00EE3CA3">
        <w:rPr>
          <w:rFonts w:ascii="Arial" w:hAnsi="Arial" w:cs="Arial"/>
        </w:rPr>
        <w:t xml:space="preserve">rs, dealers and independent </w:t>
      </w:r>
      <w:r>
        <w:rPr>
          <w:rFonts w:ascii="Arial" w:hAnsi="Arial" w:cs="Arial"/>
        </w:rPr>
        <w:t xml:space="preserve">repairers) garnering </w:t>
      </w:r>
      <w:r w:rsidRPr="00EE3CA3">
        <w:rPr>
          <w:rFonts w:ascii="Arial" w:hAnsi="Arial" w:cs="Arial"/>
        </w:rPr>
        <w:t>consumer loyalty through responding to consumer behaviour and expectations.</w:t>
      </w:r>
      <w:r>
        <w:rPr>
          <w:rStyle w:val="FootnoteReference"/>
          <w:rFonts w:ascii="Arial" w:hAnsi="Arial" w:cs="Arial"/>
        </w:rPr>
        <w:footnoteReference w:id="71"/>
      </w:r>
      <w:r>
        <w:rPr>
          <w:rFonts w:ascii="Arial" w:hAnsi="Arial" w:cs="Arial"/>
        </w:rPr>
        <w:t xml:space="preserve"> The move of Toyota New Zealand away from a traditional dealership to an agency model is illustrative of this shift (</w:t>
      </w:r>
      <w:r w:rsidRPr="002803BC">
        <w:rPr>
          <w:rFonts w:ascii="Arial" w:hAnsi="Arial" w:cs="Arial"/>
          <w:b/>
        </w:rPr>
        <w:t xml:space="preserve">Box </w:t>
      </w:r>
      <w:r w:rsidR="00134D57" w:rsidRPr="002803BC">
        <w:rPr>
          <w:rFonts w:ascii="Arial" w:hAnsi="Arial" w:cs="Arial"/>
          <w:b/>
        </w:rPr>
        <w:t>2</w:t>
      </w:r>
      <w:r>
        <w:rPr>
          <w:rFonts w:ascii="Arial" w:hAnsi="Arial" w:cs="Arial"/>
        </w:rPr>
        <w:t xml:space="preserve"> refers).</w:t>
      </w:r>
      <w:r>
        <w:rPr>
          <w:rStyle w:val="FootnoteReference"/>
          <w:rFonts w:ascii="Arial" w:hAnsi="Arial" w:cs="Arial"/>
        </w:rPr>
        <w:footnoteReference w:id="72"/>
      </w:r>
    </w:p>
    <w:p w:rsidR="00E63F77" w:rsidRPr="00760C32" w:rsidRDefault="00E63F77" w:rsidP="11FF59B9">
      <w:pPr>
        <w:spacing w:before="240" w:line="360" w:lineRule="auto"/>
        <w:jc w:val="both"/>
        <w:rPr>
          <w:rFonts w:ascii="Arial" w:hAnsi="Arial" w:cs="Arial"/>
        </w:rPr>
      </w:pPr>
      <w:r>
        <w:rPr>
          <w:rFonts w:ascii="Arial" w:hAnsi="Arial" w:cs="Arial"/>
        </w:rPr>
        <w:t>S</w:t>
      </w:r>
      <w:r w:rsidRPr="00FE2BE8">
        <w:rPr>
          <w:rFonts w:ascii="Arial" w:hAnsi="Arial" w:cs="Arial"/>
        </w:rPr>
        <w:t xml:space="preserve">ubstantial change </w:t>
      </w:r>
      <w:r>
        <w:rPr>
          <w:rFonts w:ascii="Arial" w:hAnsi="Arial" w:cs="Arial"/>
        </w:rPr>
        <w:t xml:space="preserve">is currently underway </w:t>
      </w:r>
      <w:r w:rsidRPr="00FE2BE8">
        <w:rPr>
          <w:rFonts w:ascii="Arial" w:hAnsi="Arial" w:cs="Arial"/>
        </w:rPr>
        <w:t>globally</w:t>
      </w:r>
      <w:r>
        <w:rPr>
          <w:rFonts w:ascii="Arial" w:hAnsi="Arial" w:cs="Arial"/>
        </w:rPr>
        <w:t xml:space="preserve"> and locally, and further change driven by the following factors is predicted.</w:t>
      </w:r>
      <w:r>
        <w:rPr>
          <w:rStyle w:val="FootnoteReference"/>
          <w:rFonts w:ascii="Arial" w:hAnsi="Arial" w:cs="Arial"/>
        </w:rPr>
        <w:footnoteReference w:id="73"/>
      </w:r>
    </w:p>
    <w:p w:rsidR="00E63F77" w:rsidRDefault="11FF59B9" w:rsidP="11FF59B9">
      <w:pPr>
        <w:pStyle w:val="ListParagraph"/>
        <w:numPr>
          <w:ilvl w:val="0"/>
          <w:numId w:val="6"/>
        </w:numPr>
        <w:spacing w:after="0" w:line="360" w:lineRule="auto"/>
        <w:ind w:left="357" w:hanging="357"/>
        <w:contextualSpacing w:val="0"/>
        <w:jc w:val="both"/>
        <w:rPr>
          <w:rFonts w:ascii="Arial" w:hAnsi="Arial" w:cs="Arial"/>
        </w:rPr>
      </w:pPr>
      <w:r w:rsidRPr="11FF59B9">
        <w:rPr>
          <w:rFonts w:ascii="Arial" w:hAnsi="Arial" w:cs="Arial"/>
        </w:rPr>
        <w:t>Shifting consumer mobility preferences, such as increased demand for car-sharing services.</w:t>
      </w:r>
    </w:p>
    <w:p w:rsidR="00E63F77" w:rsidRDefault="11FF59B9" w:rsidP="11FF59B9">
      <w:pPr>
        <w:pStyle w:val="ListParagraph"/>
        <w:numPr>
          <w:ilvl w:val="0"/>
          <w:numId w:val="6"/>
        </w:numPr>
        <w:spacing w:after="0" w:line="360" w:lineRule="auto"/>
        <w:ind w:left="357" w:hanging="357"/>
        <w:contextualSpacing w:val="0"/>
        <w:jc w:val="both"/>
        <w:rPr>
          <w:rFonts w:ascii="Arial" w:hAnsi="Arial" w:cs="Arial"/>
        </w:rPr>
      </w:pPr>
      <w:r w:rsidRPr="11FF59B9">
        <w:rPr>
          <w:rFonts w:ascii="Arial" w:hAnsi="Arial" w:cs="Arial"/>
        </w:rPr>
        <w:t>Increased digitalisation, which is changing the way consumers purchase vehicles. Even where a vehicle is purchased at a dealership, much of the consumer’s research is taking place online.</w:t>
      </w:r>
    </w:p>
    <w:p w:rsidR="00E63F77" w:rsidRDefault="11FF59B9" w:rsidP="11FF59B9">
      <w:pPr>
        <w:pStyle w:val="ListParagraph"/>
        <w:numPr>
          <w:ilvl w:val="0"/>
          <w:numId w:val="6"/>
        </w:numPr>
        <w:spacing w:before="120" w:line="360" w:lineRule="auto"/>
        <w:ind w:left="357" w:hanging="357"/>
        <w:jc w:val="both"/>
        <w:rPr>
          <w:rFonts w:ascii="Arial" w:hAnsi="Arial" w:cs="Arial"/>
        </w:rPr>
      </w:pPr>
      <w:r w:rsidRPr="11FF59B9">
        <w:rPr>
          <w:rFonts w:ascii="Arial" w:hAnsi="Arial" w:cs="Arial"/>
        </w:rPr>
        <w:t>Increased use of data analytics enabling car manufacturers and dealers to respond to changes in demand.</w:t>
      </w:r>
    </w:p>
    <w:p w:rsidR="00E63F77" w:rsidRDefault="11FF59B9" w:rsidP="11FF59B9">
      <w:pPr>
        <w:pStyle w:val="ListParagraph"/>
        <w:numPr>
          <w:ilvl w:val="0"/>
          <w:numId w:val="6"/>
        </w:numPr>
        <w:spacing w:before="240" w:line="360" w:lineRule="auto"/>
        <w:jc w:val="both"/>
        <w:rPr>
          <w:rFonts w:ascii="Arial" w:hAnsi="Arial" w:cs="Arial"/>
        </w:rPr>
      </w:pPr>
      <w:r w:rsidRPr="11FF59B9">
        <w:rPr>
          <w:rFonts w:ascii="Arial" w:hAnsi="Arial" w:cs="Arial"/>
        </w:rPr>
        <w:t>Altered supply chains resulting from the cessation of motor vehicle manufacturing in Australia in 2017 and new free trade agreements.</w:t>
      </w:r>
    </w:p>
    <w:p w:rsidR="00E63F77" w:rsidRDefault="11FF59B9" w:rsidP="11FF59B9">
      <w:pPr>
        <w:pStyle w:val="ListParagraph"/>
        <w:numPr>
          <w:ilvl w:val="0"/>
          <w:numId w:val="6"/>
        </w:numPr>
        <w:spacing w:before="240" w:line="360" w:lineRule="auto"/>
        <w:jc w:val="both"/>
        <w:rPr>
          <w:rFonts w:ascii="Arial" w:hAnsi="Arial" w:cs="Arial"/>
        </w:rPr>
      </w:pPr>
      <w:r w:rsidRPr="11FF59B9">
        <w:rPr>
          <w:rFonts w:ascii="Arial" w:hAnsi="Arial" w:cs="Arial"/>
        </w:rPr>
        <w:t>An increased consumer preference for automated, electric/hybrid vehicles and downsizing of internal combustion engines (ICEs) and increased use of complex computer systems which will change consumer servicing needs. Specialised equipment and new skills are required to service cars with complex computer systems and electric cars have fewer fluids and moving parts and require less servicing.</w:t>
      </w:r>
    </w:p>
    <w:p w:rsidR="00E63F77" w:rsidRDefault="00E63F77" w:rsidP="11FF59B9">
      <w:pPr>
        <w:spacing w:before="240" w:line="360" w:lineRule="auto"/>
        <w:jc w:val="both"/>
        <w:rPr>
          <w:rFonts w:ascii="Arial" w:hAnsi="Arial" w:cs="Arial"/>
        </w:rPr>
      </w:pPr>
      <w:r>
        <w:rPr>
          <w:rFonts w:ascii="Arial" w:hAnsi="Arial" w:cs="Arial"/>
        </w:rPr>
        <w:t>The MTAA, the national peak body for Australian automotive retail, service, repair and recycling industry states:</w:t>
      </w:r>
      <w:r>
        <w:rPr>
          <w:rStyle w:val="FootnoteReference"/>
          <w:rFonts w:ascii="Arial" w:hAnsi="Arial" w:cs="Arial"/>
        </w:rPr>
        <w:footnoteReference w:id="74"/>
      </w:r>
    </w:p>
    <w:p w:rsidR="0095124D" w:rsidRDefault="00E63F77" w:rsidP="0095124D">
      <w:pPr>
        <w:spacing w:before="240" w:line="360" w:lineRule="auto"/>
        <w:ind w:left="720"/>
        <w:jc w:val="both"/>
        <w:rPr>
          <w:rFonts w:ascii="Arial" w:hAnsi="Arial" w:cs="Arial"/>
        </w:rPr>
      </w:pPr>
      <w:r w:rsidRPr="11FF59B9">
        <w:rPr>
          <w:rFonts w:ascii="Arial" w:hAnsi="Arial" w:cs="Arial"/>
          <w:i/>
          <w:iCs/>
        </w:rPr>
        <w:t>‘The retail, service, repair and recycling sectors of the Australian automotive industry are expected to face significant adjustment, or complete restructure, in the short to medium</w:t>
      </w:r>
      <w:r w:rsidRPr="11FF59B9">
        <w:rPr>
          <w:rFonts w:ascii="Cambria Math" w:hAnsi="Cambria Math" w:cs="Cambria Math"/>
          <w:i/>
          <w:iCs/>
        </w:rPr>
        <w:t>‑</w:t>
      </w:r>
      <w:r w:rsidRPr="11FF59B9">
        <w:rPr>
          <w:rFonts w:ascii="Arial" w:hAnsi="Arial" w:cs="Arial"/>
          <w:i/>
          <w:iCs/>
        </w:rPr>
        <w:t>term. This will profoundly reshape business models, products and service provision and consumer/stakeholder relationships. As a result of this adjustment, some businesses will be forced to exit the industry, while others will need to adapt to seize opportunities for growth and long</w:t>
      </w:r>
      <w:r w:rsidRPr="11FF59B9">
        <w:rPr>
          <w:rFonts w:ascii="Cambria Math" w:hAnsi="Cambria Math" w:cs="Cambria Math"/>
          <w:i/>
          <w:iCs/>
        </w:rPr>
        <w:t>‑</w:t>
      </w:r>
      <w:r w:rsidRPr="11FF59B9">
        <w:rPr>
          <w:rFonts w:ascii="Arial" w:hAnsi="Arial" w:cs="Arial"/>
          <w:i/>
          <w:iCs/>
        </w:rPr>
        <w:t>term sustainability.’</w:t>
      </w:r>
    </w:p>
    <w:p w:rsidR="0095124D" w:rsidRDefault="0095124D" w:rsidP="0095124D">
      <w:pPr>
        <w:pStyle w:val="Box"/>
      </w:pPr>
      <w:r w:rsidRPr="00763A68">
        <w:t xml:space="preserve">Box </w:t>
      </w:r>
      <w:r>
        <w:rPr>
          <w:noProof/>
        </w:rPr>
        <w:t>2</w:t>
      </w:r>
      <w:r w:rsidRPr="00763A68">
        <w:t xml:space="preserve">: </w:t>
      </w:r>
      <w:r>
        <w:t>Toyota New Zealand (NZ) agency model</w:t>
      </w:r>
    </w:p>
    <w:p w:rsidR="004301B0" w:rsidRPr="004301B0" w:rsidRDefault="004301B0" w:rsidP="00B244D1">
      <w:pPr>
        <w:spacing w:before="120" w:after="120" w:line="360" w:lineRule="auto"/>
        <w:jc w:val="both"/>
        <w:rPr>
          <w:rFonts w:ascii="Arial" w:hAnsi="Arial" w:cs="Arial"/>
          <w:sz w:val="20"/>
          <w:szCs w:val="20"/>
        </w:rPr>
      </w:pPr>
      <w:r w:rsidRPr="004301B0">
        <w:rPr>
          <w:rFonts w:ascii="Arial" w:hAnsi="Arial" w:cs="Arial"/>
          <w:sz w:val="20"/>
          <w:szCs w:val="20"/>
        </w:rPr>
        <w:t>In March 2018 Toyota NZ announced moves away from a dealership model to an agency model where dealers are to become Toyota agents - called Stores - and they will be paid a fee to deal with customers. Vehicles will not carry recommended retail prices, which means there will no longer be any negotiation between dealers and consumers over price. Staff will be salaried product specialists and not commission-focussed sales people.</w:t>
      </w:r>
    </w:p>
    <w:p w:rsidR="004301B0" w:rsidRPr="004301B0" w:rsidRDefault="004301B0" w:rsidP="00B244D1">
      <w:pPr>
        <w:spacing w:before="120" w:after="120" w:line="360" w:lineRule="auto"/>
        <w:jc w:val="both"/>
        <w:rPr>
          <w:rFonts w:ascii="Arial" w:hAnsi="Arial" w:cs="Arial"/>
          <w:sz w:val="20"/>
          <w:szCs w:val="20"/>
        </w:rPr>
      </w:pPr>
      <w:r w:rsidRPr="004301B0">
        <w:rPr>
          <w:rFonts w:ascii="Arial" w:hAnsi="Arial" w:cs="Arial"/>
          <w:sz w:val="20"/>
          <w:szCs w:val="20"/>
        </w:rPr>
        <w:t>Toyota NZ intends to also continue to sell cars from dealerships and actually double the number of vehicles on yards but the stock at the stores will be demonstrators, and all cars purchased will then be delivered from one of its three hubs. Toyota states that the move was customer driven – customers can be assured about price transparency, do not have to feel like they have to bargain to get the best deal, recognises that most customers do on-line research before buying cars and expect the widest availability of choice and customisation.</w:t>
      </w:r>
    </w:p>
    <w:p w:rsidR="00B244D1" w:rsidRPr="00B244D1" w:rsidRDefault="00E63F77" w:rsidP="00B244D1">
      <w:pPr>
        <w:spacing w:before="120" w:after="120" w:line="360" w:lineRule="auto"/>
        <w:jc w:val="both"/>
        <w:rPr>
          <w:sz w:val="4"/>
          <w:szCs w:val="4"/>
        </w:rPr>
      </w:pPr>
      <w:r w:rsidRPr="004301B0">
        <w:rPr>
          <w:rFonts w:ascii="Arial" w:hAnsi="Arial" w:cs="Arial"/>
          <w:sz w:val="20"/>
          <w:szCs w:val="20"/>
        </w:rPr>
        <w:t xml:space="preserve">Recent media coverage, submissions to the </w:t>
      </w:r>
      <w:r w:rsidR="004D0831" w:rsidRPr="004301B0">
        <w:rPr>
          <w:rFonts w:ascii="Arial" w:hAnsi="Arial" w:cs="Arial"/>
          <w:sz w:val="20"/>
          <w:szCs w:val="20"/>
        </w:rPr>
        <w:t>PJC</w:t>
      </w:r>
      <w:r w:rsidRPr="004301B0">
        <w:rPr>
          <w:rFonts w:ascii="Arial" w:hAnsi="Arial" w:cs="Arial"/>
          <w:sz w:val="20"/>
          <w:szCs w:val="20"/>
        </w:rPr>
        <w:t xml:space="preserve"> Inquiry, and anecdotal evidence presented to DIIS in its one on one consultations has suggested that in response to increased competition distributors have made the decision to reduce their footprint in some areas of Australia. This has necessarily resulted in non-renewal of dealership agreements.</w:t>
      </w:r>
      <w:r w:rsidRPr="004301B0">
        <w:rPr>
          <w:rStyle w:val="FootnoteReference"/>
          <w:rFonts w:ascii="Arial" w:hAnsi="Arial" w:cs="Arial"/>
          <w:sz w:val="20"/>
          <w:szCs w:val="20"/>
        </w:rPr>
        <w:footnoteReference w:id="75"/>
      </w:r>
      <w:r w:rsidR="00B244D1" w:rsidRPr="00B244D1">
        <w:rPr>
          <w:sz w:val="4"/>
          <w:szCs w:val="4"/>
        </w:rPr>
        <w:t xml:space="preserve"> </w:t>
      </w:r>
    </w:p>
    <w:p w:rsidR="00960ECE" w:rsidRPr="00E63F77" w:rsidRDefault="11FF59B9" w:rsidP="11FF59B9">
      <w:pPr>
        <w:pStyle w:val="Heading1"/>
        <w:rPr>
          <w:color w:val="005677"/>
        </w:rPr>
      </w:pPr>
      <w:bookmarkStart w:id="108" w:name="_Toc529891254"/>
      <w:bookmarkStart w:id="109" w:name="_Toc529891272"/>
      <w:bookmarkStart w:id="110" w:name="_Toc530493138"/>
      <w:bookmarkStart w:id="111" w:name="_Toc530493193"/>
      <w:bookmarkStart w:id="112" w:name="_Toc530563059"/>
      <w:bookmarkStart w:id="113" w:name="_Toc530563185"/>
      <w:r w:rsidRPr="11FF59B9">
        <w:rPr>
          <w:color w:val="005677"/>
        </w:rPr>
        <w:t>Appendix 2: Franchising Code obligations</w:t>
      </w:r>
      <w:bookmarkEnd w:id="108"/>
      <w:bookmarkEnd w:id="109"/>
      <w:bookmarkEnd w:id="110"/>
      <w:bookmarkEnd w:id="111"/>
      <w:bookmarkEnd w:id="112"/>
      <w:bookmarkEnd w:id="113"/>
    </w:p>
    <w:p w:rsidR="00E63F77" w:rsidRPr="00F9581D" w:rsidRDefault="11FF59B9" w:rsidP="11FF59B9">
      <w:pPr>
        <w:keepNext/>
        <w:spacing w:before="240" w:line="360" w:lineRule="auto"/>
        <w:jc w:val="both"/>
        <w:rPr>
          <w:rFonts w:ascii="Arial" w:hAnsi="Arial" w:cs="Arial"/>
          <w:b/>
          <w:bCs/>
        </w:rPr>
      </w:pPr>
      <w:r w:rsidRPr="11FF59B9">
        <w:rPr>
          <w:rFonts w:ascii="Arial" w:hAnsi="Arial" w:cs="Arial"/>
          <w:b/>
          <w:bCs/>
        </w:rPr>
        <w:t>Rights and obligations of parties under the Franchising Code</w:t>
      </w:r>
    </w:p>
    <w:p w:rsidR="00E63F77" w:rsidRPr="00F9581D" w:rsidRDefault="11FF59B9" w:rsidP="11FF59B9">
      <w:pPr>
        <w:rPr>
          <w:rFonts w:ascii="Arial" w:hAnsi="Arial" w:cs="Arial"/>
          <w:b/>
          <w:bCs/>
          <w:i/>
          <w:iCs/>
        </w:rPr>
      </w:pPr>
      <w:r w:rsidRPr="11FF59B9">
        <w:rPr>
          <w:rFonts w:ascii="Arial" w:hAnsi="Arial" w:cs="Arial"/>
          <w:b/>
          <w:bCs/>
          <w:i/>
          <w:iCs/>
        </w:rPr>
        <w:t>Pre-contractual rights</w:t>
      </w:r>
    </w:p>
    <w:p w:rsidR="00E63F77" w:rsidRPr="00F9581D" w:rsidRDefault="11FF59B9" w:rsidP="11FF59B9">
      <w:pPr>
        <w:rPr>
          <w:rFonts w:ascii="Arial" w:hAnsi="Arial" w:cs="Arial"/>
          <w:i/>
          <w:iCs/>
        </w:rPr>
      </w:pPr>
      <w:r w:rsidRPr="11FF59B9">
        <w:rPr>
          <w:rFonts w:ascii="Arial" w:hAnsi="Arial" w:cs="Arial"/>
          <w:i/>
          <w:iCs/>
        </w:rPr>
        <w:t>Disclosure</w:t>
      </w:r>
    </w:p>
    <w:p w:rsidR="00E63F77" w:rsidRPr="00F9581D" w:rsidRDefault="11FF59B9" w:rsidP="11FF59B9">
      <w:pPr>
        <w:spacing w:before="240" w:line="360" w:lineRule="auto"/>
        <w:jc w:val="both"/>
        <w:rPr>
          <w:rFonts w:ascii="Arial" w:hAnsi="Arial" w:cs="Arial"/>
        </w:rPr>
      </w:pPr>
      <w:r w:rsidRPr="11FF59B9">
        <w:rPr>
          <w:rFonts w:ascii="Arial" w:hAnsi="Arial" w:cs="Arial"/>
        </w:rPr>
        <w:t>Franchisors are required to disclose certain information and provide specific documents to prospective franchisees. These documents include:</w:t>
      </w:r>
    </w:p>
    <w:p w:rsidR="00E63F77" w:rsidRPr="00F9581D" w:rsidRDefault="11FF59B9" w:rsidP="11FF59B9">
      <w:pPr>
        <w:pStyle w:val="ListParagraph"/>
        <w:numPr>
          <w:ilvl w:val="0"/>
          <w:numId w:val="8"/>
        </w:numPr>
        <w:spacing w:before="240" w:line="360" w:lineRule="auto"/>
        <w:jc w:val="both"/>
        <w:rPr>
          <w:rFonts w:ascii="Arial" w:hAnsi="Arial" w:cs="Arial"/>
        </w:rPr>
      </w:pPr>
      <w:r w:rsidRPr="11FF59B9">
        <w:rPr>
          <w:rFonts w:ascii="Arial" w:hAnsi="Arial" w:cs="Arial"/>
        </w:rPr>
        <w:t xml:space="preserve">an information statement on the risks and rewards of franchising; </w:t>
      </w:r>
    </w:p>
    <w:p w:rsidR="00E63F77" w:rsidRPr="00F9581D" w:rsidRDefault="11FF59B9" w:rsidP="11FF59B9">
      <w:pPr>
        <w:pStyle w:val="ListParagraph"/>
        <w:numPr>
          <w:ilvl w:val="0"/>
          <w:numId w:val="8"/>
        </w:numPr>
        <w:spacing w:before="240" w:line="360" w:lineRule="auto"/>
        <w:jc w:val="both"/>
        <w:rPr>
          <w:rFonts w:ascii="Arial" w:hAnsi="Arial" w:cs="Arial"/>
        </w:rPr>
      </w:pPr>
      <w:r w:rsidRPr="11FF59B9">
        <w:rPr>
          <w:rFonts w:ascii="Arial" w:hAnsi="Arial" w:cs="Arial"/>
        </w:rPr>
        <w:t>a copy of the Franchising Code</w:t>
      </w:r>
      <w:r w:rsidR="00216A5D">
        <w:rPr>
          <w:rFonts w:ascii="Arial" w:hAnsi="Arial" w:cs="Arial"/>
        </w:rPr>
        <w:t>;</w:t>
      </w:r>
    </w:p>
    <w:p w:rsidR="00E63F77" w:rsidRPr="00F9581D" w:rsidRDefault="11FF59B9" w:rsidP="11FF59B9">
      <w:pPr>
        <w:pStyle w:val="ListParagraph"/>
        <w:numPr>
          <w:ilvl w:val="0"/>
          <w:numId w:val="8"/>
        </w:numPr>
        <w:spacing w:before="240" w:line="360" w:lineRule="auto"/>
        <w:jc w:val="both"/>
        <w:rPr>
          <w:rFonts w:ascii="Arial" w:hAnsi="Arial" w:cs="Arial"/>
        </w:rPr>
      </w:pPr>
      <w:r w:rsidRPr="11FF59B9">
        <w:rPr>
          <w:rFonts w:ascii="Arial" w:hAnsi="Arial" w:cs="Arial"/>
        </w:rPr>
        <w:t>a disclosure document</w:t>
      </w:r>
      <w:r w:rsidR="00216A5D">
        <w:rPr>
          <w:rFonts w:ascii="Arial" w:hAnsi="Arial" w:cs="Arial"/>
        </w:rPr>
        <w:t>;</w:t>
      </w:r>
      <w:r w:rsidRPr="11FF59B9">
        <w:rPr>
          <w:rFonts w:ascii="Arial" w:hAnsi="Arial" w:cs="Arial"/>
        </w:rPr>
        <w:t xml:space="preserve"> and</w:t>
      </w:r>
    </w:p>
    <w:p w:rsidR="00E63F77" w:rsidRPr="00F9581D" w:rsidRDefault="00482E2C" w:rsidP="11FF59B9">
      <w:pPr>
        <w:pStyle w:val="ListParagraph"/>
        <w:numPr>
          <w:ilvl w:val="0"/>
          <w:numId w:val="8"/>
        </w:numPr>
        <w:spacing w:before="240" w:line="360" w:lineRule="auto"/>
        <w:jc w:val="both"/>
        <w:rPr>
          <w:rFonts w:ascii="Arial" w:hAnsi="Arial" w:cs="Arial"/>
        </w:rPr>
      </w:pPr>
      <w:r>
        <w:rPr>
          <w:rFonts w:ascii="Arial" w:hAnsi="Arial" w:cs="Arial"/>
        </w:rPr>
        <w:t>a</w:t>
      </w:r>
      <w:r w:rsidR="11FF59B9" w:rsidRPr="11FF59B9">
        <w:rPr>
          <w:rFonts w:ascii="Arial" w:hAnsi="Arial" w:cs="Arial"/>
        </w:rPr>
        <w:t xml:space="preserve"> copy of the franchise agreement in its final form.</w:t>
      </w:r>
    </w:p>
    <w:p w:rsidR="00E63F77" w:rsidRPr="00F9581D" w:rsidRDefault="11FF59B9" w:rsidP="11FF59B9">
      <w:pPr>
        <w:rPr>
          <w:rFonts w:ascii="Arial" w:hAnsi="Arial" w:cs="Arial"/>
          <w:i/>
          <w:iCs/>
        </w:rPr>
      </w:pPr>
      <w:r w:rsidRPr="11FF59B9">
        <w:rPr>
          <w:rFonts w:ascii="Arial" w:hAnsi="Arial" w:cs="Arial"/>
          <w:i/>
          <w:iCs/>
        </w:rPr>
        <w:t>Cooling off</w:t>
      </w:r>
    </w:p>
    <w:p w:rsidR="00E63F77" w:rsidRPr="00F9581D" w:rsidRDefault="11FF59B9" w:rsidP="11FF59B9">
      <w:pPr>
        <w:spacing w:before="240" w:line="360" w:lineRule="auto"/>
        <w:jc w:val="both"/>
        <w:rPr>
          <w:rFonts w:ascii="Arial" w:hAnsi="Arial" w:cs="Arial"/>
        </w:rPr>
      </w:pPr>
      <w:r w:rsidRPr="11FF59B9">
        <w:rPr>
          <w:rFonts w:ascii="Arial" w:hAnsi="Arial" w:cs="Arial"/>
        </w:rPr>
        <w:t xml:space="preserve">A prospective franchisee is entitles to a seven day cooling off period after entering into a new agreement or making any payment under the agreement, whichever occurs earlier. The cooling off period does not apply to transfers, renewals or extensions of an existing agreement. </w:t>
      </w:r>
    </w:p>
    <w:p w:rsidR="00E63F77" w:rsidRPr="00F9581D" w:rsidRDefault="11FF59B9" w:rsidP="11FF59B9">
      <w:pPr>
        <w:rPr>
          <w:rFonts w:ascii="Arial" w:hAnsi="Arial" w:cs="Arial"/>
          <w:i/>
          <w:iCs/>
        </w:rPr>
      </w:pPr>
      <w:r w:rsidRPr="11FF59B9">
        <w:rPr>
          <w:rFonts w:ascii="Arial" w:hAnsi="Arial" w:cs="Arial"/>
          <w:i/>
          <w:iCs/>
        </w:rPr>
        <w:t>General obligation to act in good faith</w:t>
      </w:r>
    </w:p>
    <w:p w:rsidR="00E63F77" w:rsidRPr="00F9581D" w:rsidRDefault="11FF59B9" w:rsidP="11FF59B9">
      <w:pPr>
        <w:spacing w:before="240" w:line="360" w:lineRule="auto"/>
        <w:jc w:val="both"/>
        <w:rPr>
          <w:rFonts w:ascii="Arial" w:hAnsi="Arial" w:cs="Arial"/>
        </w:rPr>
      </w:pPr>
      <w:r w:rsidRPr="11FF59B9">
        <w:rPr>
          <w:rFonts w:ascii="Arial" w:hAnsi="Arial" w:cs="Arial"/>
        </w:rPr>
        <w:t>The Franchising Code contains an obligation for all parties to a franchise agreement to act in good faith towards one another in respect of any matter relating to their agreement or the Franchising Code.</w:t>
      </w:r>
    </w:p>
    <w:p w:rsidR="00E63F77" w:rsidRPr="00F9581D" w:rsidRDefault="11FF59B9" w:rsidP="11FF59B9">
      <w:pPr>
        <w:spacing w:before="240" w:line="360" w:lineRule="auto"/>
        <w:jc w:val="both"/>
        <w:rPr>
          <w:rFonts w:ascii="Arial" w:hAnsi="Arial" w:cs="Arial"/>
        </w:rPr>
      </w:pPr>
      <w:r w:rsidRPr="11FF59B9">
        <w:rPr>
          <w:rFonts w:ascii="Arial" w:hAnsi="Arial" w:cs="Arial"/>
        </w:rPr>
        <w:t>The obligation to act in good faith also applies to parties who propose to enter into a franchise agreement.</w:t>
      </w:r>
    </w:p>
    <w:p w:rsidR="00E63F77" w:rsidRPr="00F9581D" w:rsidRDefault="11FF59B9" w:rsidP="11FF59B9">
      <w:pPr>
        <w:keepNext/>
        <w:rPr>
          <w:rFonts w:ascii="Arial" w:hAnsi="Arial" w:cs="Arial"/>
          <w:b/>
          <w:bCs/>
          <w:i/>
          <w:iCs/>
        </w:rPr>
      </w:pPr>
      <w:r w:rsidRPr="11FF59B9">
        <w:rPr>
          <w:rFonts w:ascii="Arial" w:hAnsi="Arial" w:cs="Arial"/>
          <w:b/>
          <w:bCs/>
          <w:i/>
          <w:iCs/>
        </w:rPr>
        <w:t>Rights and obligations during the agreement</w:t>
      </w:r>
    </w:p>
    <w:p w:rsidR="00E63F77" w:rsidRPr="00F9581D" w:rsidRDefault="11FF59B9" w:rsidP="11FF59B9">
      <w:pPr>
        <w:keepNext/>
        <w:rPr>
          <w:rFonts w:ascii="Arial" w:hAnsi="Arial" w:cs="Arial"/>
          <w:i/>
          <w:iCs/>
        </w:rPr>
      </w:pPr>
      <w:r w:rsidRPr="11FF59B9">
        <w:rPr>
          <w:rFonts w:ascii="Arial" w:hAnsi="Arial" w:cs="Arial"/>
          <w:i/>
          <w:iCs/>
        </w:rPr>
        <w:t xml:space="preserve">Marketing fund </w:t>
      </w:r>
    </w:p>
    <w:p w:rsidR="00E63F77" w:rsidRPr="00F9581D" w:rsidRDefault="11FF59B9" w:rsidP="11FF59B9">
      <w:pPr>
        <w:spacing w:before="240" w:line="360" w:lineRule="auto"/>
        <w:jc w:val="both"/>
        <w:rPr>
          <w:rFonts w:ascii="Arial" w:hAnsi="Arial" w:cs="Arial"/>
        </w:rPr>
      </w:pPr>
      <w:r w:rsidRPr="11FF59B9">
        <w:rPr>
          <w:rFonts w:ascii="Arial" w:hAnsi="Arial" w:cs="Arial"/>
        </w:rPr>
        <w:t>If the franchisor operates a marketing fund, the franchisor must maintain a separate bank account for the fund and contribute to the fund on the same basis as other franchisees for each company owned store that a franchisor operates. Marketing and advertising fees may only be used to meet certain expenses.</w:t>
      </w:r>
    </w:p>
    <w:p w:rsidR="00E63F77" w:rsidRPr="00F9581D" w:rsidRDefault="11FF59B9" w:rsidP="11FF59B9">
      <w:pPr>
        <w:spacing w:before="240" w:line="360" w:lineRule="auto"/>
        <w:jc w:val="both"/>
        <w:rPr>
          <w:rFonts w:ascii="Arial" w:hAnsi="Arial" w:cs="Arial"/>
        </w:rPr>
      </w:pPr>
      <w:r w:rsidRPr="11FF59B9">
        <w:rPr>
          <w:rFonts w:ascii="Arial" w:hAnsi="Arial" w:cs="Arial"/>
        </w:rPr>
        <w:t xml:space="preserve">If a marketing fund is used, the franchisor must prepare an annual financial statement for the fund. The annual financial statement must set out meaningful information about sources of income and items of expenditure. </w:t>
      </w:r>
    </w:p>
    <w:p w:rsidR="00E63F77" w:rsidRPr="00F9581D" w:rsidRDefault="11FF59B9" w:rsidP="11FF59B9">
      <w:pPr>
        <w:spacing w:before="240" w:line="360" w:lineRule="auto"/>
        <w:jc w:val="both"/>
        <w:rPr>
          <w:rFonts w:ascii="Arial" w:hAnsi="Arial" w:cs="Arial"/>
        </w:rPr>
      </w:pPr>
      <w:r w:rsidRPr="11FF59B9">
        <w:rPr>
          <w:rFonts w:ascii="Arial" w:hAnsi="Arial" w:cs="Arial"/>
        </w:rPr>
        <w:t>The annual financial statement must also be audited by a registered company auditor, unless 75 per cent of the franchisees that contribute to the fund vote not to do so.</w:t>
      </w:r>
    </w:p>
    <w:p w:rsidR="00E63F77" w:rsidRPr="00F9581D" w:rsidRDefault="11FF59B9" w:rsidP="11FF59B9">
      <w:pPr>
        <w:rPr>
          <w:rFonts w:ascii="Arial" w:hAnsi="Arial" w:cs="Arial"/>
          <w:i/>
          <w:iCs/>
        </w:rPr>
      </w:pPr>
      <w:r w:rsidRPr="11FF59B9">
        <w:rPr>
          <w:rFonts w:ascii="Arial" w:hAnsi="Arial" w:cs="Arial"/>
          <w:i/>
          <w:iCs/>
        </w:rPr>
        <w:t>General release</w:t>
      </w:r>
    </w:p>
    <w:p w:rsidR="00E63F77" w:rsidRPr="00F9581D" w:rsidRDefault="11FF59B9" w:rsidP="11FF59B9">
      <w:pPr>
        <w:spacing w:before="240" w:line="360" w:lineRule="auto"/>
        <w:jc w:val="both"/>
        <w:rPr>
          <w:rFonts w:ascii="Arial" w:hAnsi="Arial" w:cs="Arial"/>
        </w:rPr>
      </w:pPr>
      <w:r w:rsidRPr="11FF59B9">
        <w:rPr>
          <w:rFonts w:ascii="Arial" w:hAnsi="Arial" w:cs="Arial"/>
        </w:rPr>
        <w:t>A franchise agreement must not require a franchisee to sign a general resale of the franchisor from liability towards the franchisee.</w:t>
      </w:r>
    </w:p>
    <w:p w:rsidR="00E63F77" w:rsidRPr="00F9581D" w:rsidRDefault="11FF59B9" w:rsidP="11FF59B9">
      <w:pPr>
        <w:rPr>
          <w:rFonts w:ascii="Arial" w:hAnsi="Arial" w:cs="Arial"/>
          <w:i/>
          <w:iCs/>
        </w:rPr>
      </w:pPr>
      <w:r w:rsidRPr="11FF59B9">
        <w:rPr>
          <w:rFonts w:ascii="Arial" w:hAnsi="Arial" w:cs="Arial"/>
          <w:i/>
          <w:iCs/>
        </w:rPr>
        <w:t>Transfer</w:t>
      </w:r>
    </w:p>
    <w:p w:rsidR="00E63F77" w:rsidRPr="00F9581D" w:rsidRDefault="11FF59B9" w:rsidP="11FF59B9">
      <w:pPr>
        <w:spacing w:before="240" w:line="360" w:lineRule="auto"/>
        <w:jc w:val="both"/>
        <w:rPr>
          <w:rFonts w:ascii="Arial" w:hAnsi="Arial" w:cs="Arial"/>
        </w:rPr>
      </w:pPr>
      <w:r w:rsidRPr="11FF59B9">
        <w:rPr>
          <w:rFonts w:ascii="Arial" w:hAnsi="Arial" w:cs="Arial"/>
        </w:rPr>
        <w:t>A franchisee that wants to transfer an agreement must seek the franchisors consent in writing. A franchisor must not unreasonably withhold their consent. The Franchising Code contains a non</w:t>
      </w:r>
      <w:r w:rsidR="005B7BC5">
        <w:rPr>
          <w:rFonts w:ascii="Arial" w:hAnsi="Arial" w:cs="Arial"/>
        </w:rPr>
        <w:t>-</w:t>
      </w:r>
      <w:r w:rsidRPr="11FF59B9">
        <w:rPr>
          <w:rFonts w:ascii="Arial" w:hAnsi="Arial" w:cs="Arial"/>
        </w:rPr>
        <w:t>exhaustive list of circumstances in which it would be reasonable for a franchisor to without consent.</w:t>
      </w:r>
    </w:p>
    <w:p w:rsidR="00E63F77" w:rsidRPr="00F9581D" w:rsidRDefault="11FF59B9" w:rsidP="11FF59B9">
      <w:pPr>
        <w:spacing w:before="240" w:line="360" w:lineRule="auto"/>
        <w:jc w:val="both"/>
        <w:rPr>
          <w:rFonts w:ascii="Arial" w:hAnsi="Arial" w:cs="Arial"/>
        </w:rPr>
      </w:pPr>
      <w:r w:rsidRPr="11FF59B9">
        <w:rPr>
          <w:rFonts w:ascii="Arial" w:hAnsi="Arial" w:cs="Arial"/>
        </w:rPr>
        <w:t xml:space="preserve">Consent is assumed to be given by the franchisor after 42 days unless the franchisor advises the franchisee in writing that they do not consent. </w:t>
      </w:r>
    </w:p>
    <w:p w:rsidR="00E63F77" w:rsidRPr="00F9581D" w:rsidRDefault="11FF59B9" w:rsidP="11FF59B9">
      <w:pPr>
        <w:rPr>
          <w:rFonts w:ascii="Arial" w:hAnsi="Arial" w:cs="Arial"/>
          <w:i/>
          <w:iCs/>
        </w:rPr>
      </w:pPr>
      <w:r w:rsidRPr="11FF59B9">
        <w:rPr>
          <w:rFonts w:ascii="Arial" w:hAnsi="Arial" w:cs="Arial"/>
          <w:i/>
          <w:iCs/>
        </w:rPr>
        <w:t>Restraint of trade</w:t>
      </w:r>
    </w:p>
    <w:p w:rsidR="00E63F77" w:rsidRPr="00F9581D" w:rsidRDefault="11FF59B9" w:rsidP="11FF59B9">
      <w:pPr>
        <w:spacing w:before="240" w:line="360" w:lineRule="auto"/>
        <w:jc w:val="both"/>
        <w:rPr>
          <w:rFonts w:ascii="Arial" w:hAnsi="Arial" w:cs="Arial"/>
        </w:rPr>
      </w:pPr>
      <w:r w:rsidRPr="11FF59B9">
        <w:rPr>
          <w:rFonts w:ascii="Arial" w:hAnsi="Arial" w:cs="Arial"/>
        </w:rPr>
        <w:t>A restraint of trade clause in a franchise agreement will have no effect when a franchisee has sought to extend their agreement and the franchisor does not agreement and the franchisee:</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had sought to extend the agreement on substantially the same terms as those contained in the franchisors current agreement that applies to other franchisees or would apply to a prospective franchisee; and</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was not in breach of their agreement or any related agreement; and</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 xml:space="preserve">had not infringed the intellectual property of the franchisor or breached any confidentiality agreements; and </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received only nominal, and not genuine, compensation for goodwill; or</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the agreement provided no avenue by which to claim compensation in the event it was not extended.</w:t>
      </w:r>
    </w:p>
    <w:p w:rsidR="00E63F77" w:rsidRPr="00F9581D" w:rsidRDefault="11FF59B9" w:rsidP="11FF59B9">
      <w:pPr>
        <w:keepNext/>
        <w:rPr>
          <w:rFonts w:ascii="Arial" w:hAnsi="Arial" w:cs="Arial"/>
          <w:i/>
          <w:iCs/>
        </w:rPr>
      </w:pPr>
      <w:r w:rsidRPr="11FF59B9">
        <w:rPr>
          <w:rFonts w:ascii="Arial" w:hAnsi="Arial" w:cs="Arial"/>
          <w:i/>
          <w:iCs/>
        </w:rPr>
        <w:t>Dispute resolution</w:t>
      </w:r>
    </w:p>
    <w:p w:rsidR="00E63F77" w:rsidRPr="00F9581D" w:rsidRDefault="11FF59B9" w:rsidP="11FF59B9">
      <w:pPr>
        <w:spacing w:before="240" w:line="360" w:lineRule="auto"/>
        <w:jc w:val="both"/>
        <w:rPr>
          <w:rFonts w:ascii="Arial" w:hAnsi="Arial" w:cs="Arial"/>
        </w:rPr>
      </w:pPr>
      <w:r w:rsidRPr="11FF59B9">
        <w:rPr>
          <w:rFonts w:ascii="Arial" w:hAnsi="Arial" w:cs="Arial"/>
        </w:rPr>
        <w:t xml:space="preserve">The Franchising Code provides mechanisms for parties to a franchise agreement to try and resolve disputes in a timely and cost effective manner. The two dispute resolution mechanisms in the code are that: </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franchisors must have an internal procedure for handling complaints that meets certain standards set out in the code; and</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either party can request mediation which, once requested, becomes mandatory for both parties to attend and genuinely attempt to resolve the dispute.</w:t>
      </w:r>
    </w:p>
    <w:p w:rsidR="00E63F77" w:rsidRPr="00F9581D" w:rsidRDefault="11FF59B9" w:rsidP="11FF59B9">
      <w:pPr>
        <w:spacing w:before="240" w:line="360" w:lineRule="auto"/>
        <w:jc w:val="both"/>
        <w:rPr>
          <w:rFonts w:ascii="Arial" w:hAnsi="Arial" w:cs="Arial"/>
        </w:rPr>
      </w:pPr>
      <w:r w:rsidRPr="11FF59B9">
        <w:rPr>
          <w:rFonts w:ascii="Arial" w:hAnsi="Arial" w:cs="Arial"/>
        </w:rPr>
        <w:t xml:space="preserve">The mechanisms in the code are a way to bring the two parties together to resolve the dispute in an informal manner, they are not a way to reach a binding solution and they do not affect a party’s right to take legal action over a franchising dispute. </w:t>
      </w:r>
    </w:p>
    <w:p w:rsidR="00E63F77" w:rsidRPr="00F9581D" w:rsidRDefault="11FF59B9" w:rsidP="11FF59B9">
      <w:pPr>
        <w:spacing w:before="240" w:line="360" w:lineRule="auto"/>
        <w:jc w:val="both"/>
        <w:rPr>
          <w:rFonts w:ascii="Arial" w:hAnsi="Arial" w:cs="Arial"/>
        </w:rPr>
      </w:pPr>
      <w:r w:rsidRPr="11FF59B9">
        <w:rPr>
          <w:rFonts w:ascii="Arial" w:hAnsi="Arial" w:cs="Arial"/>
        </w:rPr>
        <w:t>Parties must pay their own mediation costs and parties split the costs of the mediator equally.</w:t>
      </w:r>
    </w:p>
    <w:p w:rsidR="00E63F77" w:rsidRPr="00F9581D" w:rsidRDefault="11FF59B9" w:rsidP="11FF59B9">
      <w:pPr>
        <w:rPr>
          <w:rFonts w:ascii="Arial" w:hAnsi="Arial" w:cs="Arial"/>
          <w:i/>
          <w:iCs/>
        </w:rPr>
      </w:pPr>
      <w:r w:rsidRPr="11FF59B9">
        <w:rPr>
          <w:rFonts w:ascii="Arial" w:hAnsi="Arial" w:cs="Arial"/>
          <w:i/>
          <w:iCs/>
        </w:rPr>
        <w:t>Significant capital expenditure</w:t>
      </w:r>
    </w:p>
    <w:p w:rsidR="00E63F77" w:rsidRPr="00F9581D" w:rsidRDefault="11FF59B9" w:rsidP="11FF59B9">
      <w:pPr>
        <w:spacing w:before="240" w:line="360" w:lineRule="auto"/>
        <w:jc w:val="both"/>
        <w:rPr>
          <w:rFonts w:ascii="Arial" w:hAnsi="Arial" w:cs="Arial"/>
        </w:rPr>
      </w:pPr>
      <w:r w:rsidRPr="11FF59B9">
        <w:rPr>
          <w:rFonts w:ascii="Arial" w:hAnsi="Arial" w:cs="Arial"/>
        </w:rPr>
        <w:t>A franchisor must not require a franchisee to undertake significant capital expenditure, which is not defined in the Franchising Code. However a franchisor can require franchisees to incur significant capital expenditure where the expenditure:</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was disclosed to the franchise in the disclosure document; or</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will be incurred by a majority of franchisees and a majority of franchisees approve the expense; or</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is necessary to comply with legislative obligations; or</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has been agreed to by the franchisee; or</w:t>
      </w:r>
    </w:p>
    <w:p w:rsidR="00E63F77" w:rsidRPr="00F9581D"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is considered necessary by the franchisee as a capital investment in the business, justified by a statement which sets out the:</w:t>
      </w:r>
    </w:p>
    <w:p w:rsidR="00E63F77" w:rsidRPr="00F9581D" w:rsidRDefault="11FF59B9" w:rsidP="11FF59B9">
      <w:pPr>
        <w:pStyle w:val="ListParagraph"/>
        <w:numPr>
          <w:ilvl w:val="1"/>
          <w:numId w:val="9"/>
        </w:numPr>
        <w:spacing w:line="360" w:lineRule="auto"/>
        <w:rPr>
          <w:rFonts w:ascii="Arial" w:hAnsi="Arial" w:cs="Arial"/>
        </w:rPr>
      </w:pPr>
      <w:r w:rsidRPr="11FF59B9">
        <w:rPr>
          <w:rFonts w:ascii="Arial" w:hAnsi="Arial" w:cs="Arial"/>
        </w:rPr>
        <w:t>rationale for making the investment;</w:t>
      </w:r>
    </w:p>
    <w:p w:rsidR="00E63F77" w:rsidRPr="00F9581D" w:rsidRDefault="11FF59B9" w:rsidP="11FF59B9">
      <w:pPr>
        <w:pStyle w:val="ListParagraph"/>
        <w:numPr>
          <w:ilvl w:val="1"/>
          <w:numId w:val="9"/>
        </w:numPr>
        <w:spacing w:line="360" w:lineRule="auto"/>
        <w:rPr>
          <w:rFonts w:ascii="Arial" w:hAnsi="Arial" w:cs="Arial"/>
        </w:rPr>
      </w:pPr>
      <w:r w:rsidRPr="11FF59B9">
        <w:rPr>
          <w:rFonts w:ascii="Arial" w:hAnsi="Arial" w:cs="Arial"/>
        </w:rPr>
        <w:t>amount of capital expenditure required</w:t>
      </w:r>
    </w:p>
    <w:p w:rsidR="00E63F77" w:rsidRPr="00F9581D" w:rsidRDefault="11FF59B9" w:rsidP="11FF59B9">
      <w:pPr>
        <w:pStyle w:val="ListParagraph"/>
        <w:numPr>
          <w:ilvl w:val="1"/>
          <w:numId w:val="9"/>
        </w:numPr>
        <w:spacing w:line="360" w:lineRule="auto"/>
        <w:rPr>
          <w:rFonts w:ascii="Arial" w:hAnsi="Arial" w:cs="Arial"/>
        </w:rPr>
      </w:pPr>
      <w:r w:rsidRPr="11FF59B9">
        <w:rPr>
          <w:rFonts w:ascii="Arial" w:hAnsi="Arial" w:cs="Arial"/>
        </w:rPr>
        <w:t xml:space="preserve">anticipated outcomes and benefits; and </w:t>
      </w:r>
    </w:p>
    <w:p w:rsidR="00E63F77" w:rsidRPr="00F9581D" w:rsidRDefault="11FF59B9" w:rsidP="11FF59B9">
      <w:pPr>
        <w:pStyle w:val="ListParagraph"/>
        <w:numPr>
          <w:ilvl w:val="1"/>
          <w:numId w:val="9"/>
        </w:numPr>
        <w:spacing w:line="360" w:lineRule="auto"/>
        <w:rPr>
          <w:rFonts w:ascii="Arial" w:hAnsi="Arial" w:cs="Arial"/>
        </w:rPr>
      </w:pPr>
      <w:r w:rsidRPr="11FF59B9">
        <w:rPr>
          <w:rFonts w:ascii="Arial" w:hAnsi="Arial" w:cs="Arial"/>
        </w:rPr>
        <w:t>expected risks associated with the investment.</w:t>
      </w:r>
    </w:p>
    <w:p w:rsidR="00E63F77" w:rsidRPr="002D532E" w:rsidRDefault="11FF59B9" w:rsidP="11FF59B9">
      <w:pPr>
        <w:spacing w:before="240" w:line="360" w:lineRule="auto"/>
        <w:jc w:val="both"/>
        <w:rPr>
          <w:rFonts w:ascii="Arial" w:hAnsi="Arial" w:cs="Arial"/>
          <w:i/>
          <w:iCs/>
        </w:rPr>
      </w:pPr>
      <w:r w:rsidRPr="11FF59B9">
        <w:rPr>
          <w:rFonts w:ascii="Arial" w:hAnsi="Arial" w:cs="Arial"/>
          <w:i/>
          <w:iCs/>
        </w:rPr>
        <w:t>Non-renewal</w:t>
      </w:r>
    </w:p>
    <w:p w:rsidR="00E63F77" w:rsidRPr="002D532E" w:rsidRDefault="11FF59B9" w:rsidP="11FF59B9">
      <w:pPr>
        <w:spacing w:before="240" w:line="360" w:lineRule="auto"/>
        <w:jc w:val="both"/>
        <w:rPr>
          <w:rFonts w:ascii="Arial" w:hAnsi="Arial" w:cs="Arial"/>
        </w:rPr>
      </w:pPr>
      <w:r w:rsidRPr="11FF59B9">
        <w:rPr>
          <w:rFonts w:ascii="Arial" w:hAnsi="Arial" w:cs="Arial"/>
        </w:rPr>
        <w:t>The Franchising Code does not require franchisors to renew a franchise agreement once it expires. However, if the term of the agreement is six months or longer, the franchisor must notify the franchisee at least six months before the end of the term of the agreement whether they intend to:</w:t>
      </w:r>
    </w:p>
    <w:p w:rsidR="00E63F77" w:rsidRDefault="11FF59B9" w:rsidP="11FF59B9">
      <w:pPr>
        <w:pStyle w:val="ListParagraph"/>
        <w:numPr>
          <w:ilvl w:val="0"/>
          <w:numId w:val="9"/>
        </w:numPr>
        <w:spacing w:line="360" w:lineRule="auto"/>
        <w:ind w:left="714" w:hanging="357"/>
        <w:rPr>
          <w:rFonts w:ascii="Arial" w:hAnsi="Arial" w:cs="Arial"/>
        </w:rPr>
      </w:pPr>
      <w:r w:rsidRPr="11FF59B9">
        <w:rPr>
          <w:rFonts w:ascii="Arial" w:hAnsi="Arial" w:cs="Arial"/>
        </w:rPr>
        <w:t>renew or not renew the franchise agreement; or</w:t>
      </w:r>
    </w:p>
    <w:p w:rsidR="00E63F77" w:rsidRDefault="11FF59B9" w:rsidP="001D6842">
      <w:pPr>
        <w:pStyle w:val="ListParagraph"/>
        <w:spacing w:line="360" w:lineRule="auto"/>
        <w:ind w:left="714"/>
      </w:pPr>
      <w:r w:rsidRPr="00292220">
        <w:rPr>
          <w:rFonts w:ascii="Arial" w:hAnsi="Arial" w:cs="Arial"/>
        </w:rPr>
        <w:t>enter into a new agreement.</w:t>
      </w:r>
    </w:p>
    <w:p w:rsidR="00960ECE" w:rsidRPr="002F2857" w:rsidRDefault="00960ECE" w:rsidP="002F2857"/>
    <w:sectPr w:rsidR="00960ECE" w:rsidRPr="002F2857" w:rsidSect="002202D7">
      <w:footerReference w:type="default" r:id="rId20"/>
      <w:headerReference w:type="first" r:id="rId21"/>
      <w:type w:val="continuous"/>
      <w:pgSz w:w="11906" w:h="16838"/>
      <w:pgMar w:top="156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24D" w:rsidRDefault="0095124D" w:rsidP="00CA306D">
      <w:pPr>
        <w:spacing w:after="0" w:line="240" w:lineRule="auto"/>
      </w:pPr>
      <w:r>
        <w:separator/>
      </w:r>
    </w:p>
  </w:endnote>
  <w:endnote w:type="continuationSeparator" w:id="0">
    <w:p w:rsidR="0095124D" w:rsidRDefault="0095124D" w:rsidP="00CA306D">
      <w:pPr>
        <w:spacing w:after="0" w:line="240" w:lineRule="auto"/>
      </w:pPr>
      <w:r>
        <w:continuationSeparator/>
      </w:r>
    </w:p>
  </w:endnote>
  <w:endnote w:type="continuationNotice" w:id="1">
    <w:p w:rsidR="0095124D" w:rsidRDefault="00951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365719"/>
      <w:docPartObj>
        <w:docPartGallery w:val="Page Numbers (Bottom of Page)"/>
        <w:docPartUnique/>
      </w:docPartObj>
    </w:sdtPr>
    <w:sdtEndPr>
      <w:rPr>
        <w:rFonts w:ascii="Arial" w:hAnsi="Arial" w:cs="Arial"/>
        <w:sz w:val="20"/>
        <w:szCs w:val="20"/>
      </w:rPr>
    </w:sdtEndPr>
    <w:sdtContent>
      <w:p w:rsidR="0095124D" w:rsidRPr="00500B81" w:rsidRDefault="0095124D">
        <w:pPr>
          <w:pStyle w:val="Footer"/>
          <w:jc w:val="right"/>
          <w:rPr>
            <w:rFonts w:ascii="Arial" w:hAnsi="Arial" w:cs="Arial"/>
            <w:sz w:val="20"/>
            <w:szCs w:val="20"/>
          </w:rPr>
        </w:pPr>
        <w:r w:rsidRPr="00500B81">
          <w:rPr>
            <w:rFonts w:ascii="Arial" w:hAnsi="Arial" w:cs="Arial"/>
            <w:sz w:val="20"/>
            <w:szCs w:val="20"/>
          </w:rPr>
          <w:fldChar w:fldCharType="begin"/>
        </w:r>
        <w:r w:rsidRPr="00500B81">
          <w:rPr>
            <w:rFonts w:ascii="Arial" w:hAnsi="Arial" w:cs="Arial"/>
            <w:sz w:val="20"/>
            <w:szCs w:val="20"/>
          </w:rPr>
          <w:instrText xml:space="preserve"> PAGE   \* MERGEFORMAT </w:instrText>
        </w:r>
        <w:r w:rsidRPr="00500B81">
          <w:rPr>
            <w:rFonts w:ascii="Arial" w:hAnsi="Arial" w:cs="Arial"/>
            <w:sz w:val="20"/>
            <w:szCs w:val="20"/>
          </w:rPr>
          <w:fldChar w:fldCharType="separate"/>
        </w:r>
        <w:r w:rsidR="00584F6C">
          <w:rPr>
            <w:rFonts w:ascii="Arial" w:hAnsi="Arial" w:cs="Arial"/>
            <w:noProof/>
            <w:sz w:val="20"/>
            <w:szCs w:val="20"/>
          </w:rPr>
          <w:t>12</w:t>
        </w:r>
        <w:r w:rsidRPr="00500B81">
          <w:rPr>
            <w:rFonts w:ascii="Arial" w:hAnsi="Arial" w:cs="Arial"/>
            <w:sz w:val="20"/>
            <w:szCs w:val="20"/>
          </w:rPr>
          <w:fldChar w:fldCharType="end"/>
        </w:r>
      </w:p>
    </w:sdtContent>
  </w:sdt>
  <w:p w:rsidR="0095124D" w:rsidRDefault="00951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24D" w:rsidRDefault="0095124D" w:rsidP="00CA306D">
      <w:pPr>
        <w:spacing w:after="0" w:line="240" w:lineRule="auto"/>
      </w:pPr>
      <w:r>
        <w:separator/>
      </w:r>
    </w:p>
  </w:footnote>
  <w:footnote w:type="continuationSeparator" w:id="0">
    <w:p w:rsidR="0095124D" w:rsidRDefault="0095124D" w:rsidP="00CA306D">
      <w:pPr>
        <w:spacing w:after="0" w:line="240" w:lineRule="auto"/>
      </w:pPr>
      <w:r>
        <w:continuationSeparator/>
      </w:r>
    </w:p>
  </w:footnote>
  <w:footnote w:type="continuationNotice" w:id="1">
    <w:p w:rsidR="0095124D" w:rsidRDefault="0095124D">
      <w:pPr>
        <w:spacing w:after="0" w:line="240" w:lineRule="auto"/>
      </w:pPr>
    </w:p>
  </w:footnote>
  <w:footnote w:id="2">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Australian Competition and Consumer Commission, </w:t>
      </w:r>
      <w:hyperlink r:id="rId1" w:history="1">
        <w:r w:rsidRPr="007A7CC7">
          <w:rPr>
            <w:rStyle w:val="Hyperlink"/>
            <w:rFonts w:ascii="Arial" w:hAnsi="Arial" w:cs="Arial"/>
            <w:i/>
            <w:sz w:val="18"/>
            <w:szCs w:val="18"/>
          </w:rPr>
          <w:t>New car retailing industry market study</w:t>
        </w:r>
        <w:r w:rsidRPr="007A7CC7">
          <w:rPr>
            <w:rStyle w:val="Hyperlink"/>
            <w:rFonts w:ascii="Arial" w:hAnsi="Arial" w:cs="Arial"/>
            <w:sz w:val="18"/>
            <w:szCs w:val="18"/>
          </w:rPr>
          <w:t xml:space="preserve"> - final report</w:t>
        </w:r>
      </w:hyperlink>
      <w:r w:rsidRPr="007A7CC7">
        <w:rPr>
          <w:rStyle w:val="Hyperlink"/>
          <w:rFonts w:ascii="Arial" w:hAnsi="Arial" w:cs="Arial"/>
          <w:color w:val="auto"/>
          <w:sz w:val="18"/>
          <w:szCs w:val="18"/>
          <w:u w:val="none"/>
        </w:rPr>
        <w:t>, ACCC.</w:t>
      </w:r>
    </w:p>
  </w:footnote>
  <w:footnote w:id="3">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 (Ibid footnote </w:t>
      </w:r>
      <w:r w:rsidRPr="007A7CC7">
        <w:rPr>
          <w:rFonts w:ascii="Arial" w:hAnsi="Arial" w:cs="Arial"/>
          <w:sz w:val="18"/>
          <w:szCs w:val="18"/>
        </w:rPr>
        <w:fldChar w:fldCharType="begin"/>
      </w:r>
      <w:r w:rsidRPr="007A7CC7">
        <w:rPr>
          <w:rFonts w:ascii="Arial" w:hAnsi="Arial" w:cs="Arial"/>
          <w:sz w:val="18"/>
          <w:szCs w:val="18"/>
        </w:rPr>
        <w:instrText xml:space="preserve"> NOTEREF _Ref529871249 \h </w:instrText>
      </w:r>
      <w:r>
        <w:rPr>
          <w:rFonts w:ascii="Arial" w:hAnsi="Arial" w:cs="Arial"/>
          <w:sz w:val="18"/>
          <w:szCs w:val="18"/>
        </w:rPr>
        <w:instrText xml:space="preserve"> \* MERGEFORMAT </w:instrText>
      </w:r>
      <w:r w:rsidRPr="007A7CC7">
        <w:rPr>
          <w:rFonts w:ascii="Arial" w:hAnsi="Arial" w:cs="Arial"/>
          <w:sz w:val="18"/>
          <w:szCs w:val="18"/>
        </w:rPr>
      </w:r>
      <w:r w:rsidRPr="007A7CC7">
        <w:rPr>
          <w:rFonts w:ascii="Arial" w:hAnsi="Arial" w:cs="Arial"/>
          <w:sz w:val="18"/>
          <w:szCs w:val="18"/>
        </w:rPr>
        <w:fldChar w:fldCharType="separate"/>
      </w:r>
      <w:r w:rsidRPr="007A7CC7">
        <w:rPr>
          <w:rFonts w:ascii="Arial" w:hAnsi="Arial" w:cs="Arial"/>
          <w:sz w:val="18"/>
          <w:szCs w:val="18"/>
        </w:rPr>
        <w:t>1</w:t>
      </w:r>
      <w:r w:rsidRPr="007A7CC7">
        <w:rPr>
          <w:rFonts w:ascii="Arial" w:hAnsi="Arial" w:cs="Arial"/>
          <w:sz w:val="18"/>
          <w:szCs w:val="18"/>
        </w:rPr>
        <w:fldChar w:fldCharType="end"/>
      </w:r>
      <w:r w:rsidRPr="007A7CC7">
        <w:rPr>
          <w:rFonts w:ascii="Arial" w:hAnsi="Arial" w:cs="Arial"/>
          <w:sz w:val="18"/>
          <w:szCs w:val="18"/>
        </w:rPr>
        <w:t>).</w:t>
      </w:r>
    </w:p>
  </w:footnote>
  <w:footnote w:id="4">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 (Ibid footnote </w:t>
      </w:r>
      <w:r>
        <w:rPr>
          <w:rFonts w:ascii="Arial" w:hAnsi="Arial" w:cs="Arial"/>
          <w:sz w:val="18"/>
          <w:szCs w:val="18"/>
        </w:rPr>
        <w:fldChar w:fldCharType="begin"/>
      </w:r>
      <w:r>
        <w:rPr>
          <w:rFonts w:ascii="Arial" w:hAnsi="Arial" w:cs="Arial"/>
          <w:sz w:val="18"/>
          <w:szCs w:val="18"/>
        </w:rPr>
        <w:instrText xml:space="preserve"> NOTEREF _Ref529871249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sidRPr="007A7CC7">
        <w:rPr>
          <w:rFonts w:ascii="Arial" w:hAnsi="Arial" w:cs="Arial"/>
          <w:sz w:val="18"/>
          <w:szCs w:val="18"/>
        </w:rPr>
        <w:t>).</w:t>
      </w:r>
    </w:p>
  </w:footnote>
  <w:footnote w:id="5">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 p. 10 (Ibid footnote </w:t>
      </w:r>
      <w:r>
        <w:rPr>
          <w:rFonts w:ascii="Arial" w:hAnsi="Arial" w:cs="Arial"/>
          <w:sz w:val="18"/>
          <w:szCs w:val="18"/>
        </w:rPr>
        <w:fldChar w:fldCharType="begin"/>
      </w:r>
      <w:r>
        <w:rPr>
          <w:rFonts w:ascii="Arial" w:hAnsi="Arial" w:cs="Arial"/>
          <w:sz w:val="18"/>
          <w:szCs w:val="18"/>
        </w:rPr>
        <w:instrText xml:space="preserve"> NOTEREF _Ref529871249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sidRPr="007A7CC7">
        <w:rPr>
          <w:rFonts w:ascii="Arial" w:hAnsi="Arial" w:cs="Arial"/>
          <w:sz w:val="18"/>
          <w:szCs w:val="18"/>
        </w:rPr>
        <w:t>).</w:t>
      </w:r>
    </w:p>
  </w:footnote>
  <w:footnote w:id="6">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 p. 12 (Ibid footnote </w:t>
      </w:r>
      <w:r>
        <w:rPr>
          <w:rFonts w:ascii="Arial" w:hAnsi="Arial" w:cs="Arial"/>
          <w:sz w:val="18"/>
          <w:szCs w:val="18"/>
        </w:rPr>
        <w:fldChar w:fldCharType="begin"/>
      </w:r>
      <w:r>
        <w:rPr>
          <w:rFonts w:ascii="Arial" w:hAnsi="Arial" w:cs="Arial"/>
          <w:sz w:val="18"/>
          <w:szCs w:val="18"/>
        </w:rPr>
        <w:instrText xml:space="preserve"> NOTEREF _Ref529871249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sidRPr="007A7CC7">
        <w:rPr>
          <w:rFonts w:ascii="Arial" w:hAnsi="Arial" w:cs="Arial"/>
          <w:sz w:val="18"/>
          <w:szCs w:val="18"/>
        </w:rPr>
        <w:t>).</w:t>
      </w:r>
    </w:p>
  </w:footnote>
  <w:footnote w:id="7">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 pp. 4-9 (Ibid footnote </w:t>
      </w:r>
      <w:r>
        <w:rPr>
          <w:rFonts w:ascii="Arial" w:hAnsi="Arial" w:cs="Arial"/>
          <w:sz w:val="18"/>
          <w:szCs w:val="18"/>
        </w:rPr>
        <w:fldChar w:fldCharType="begin"/>
      </w:r>
      <w:r>
        <w:rPr>
          <w:rFonts w:ascii="Arial" w:hAnsi="Arial" w:cs="Arial"/>
          <w:sz w:val="18"/>
          <w:szCs w:val="18"/>
        </w:rPr>
        <w:instrText xml:space="preserve"> NOTEREF _Ref529871249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sidRPr="007A7CC7">
        <w:rPr>
          <w:rFonts w:ascii="Arial" w:hAnsi="Arial" w:cs="Arial"/>
          <w:sz w:val="18"/>
          <w:szCs w:val="18"/>
        </w:rPr>
        <w:t xml:space="preserve">). </w:t>
      </w:r>
    </w:p>
  </w:footnote>
  <w:footnote w:id="8">
    <w:p w:rsidR="0095124D" w:rsidRDefault="0095124D">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ACCC, p. 8 (Ibid footnote </w:t>
      </w:r>
      <w:r>
        <w:rPr>
          <w:rFonts w:ascii="Arial" w:hAnsi="Arial" w:cs="Arial"/>
          <w:sz w:val="18"/>
          <w:szCs w:val="18"/>
        </w:rPr>
        <w:fldChar w:fldCharType="begin"/>
      </w:r>
      <w:r>
        <w:rPr>
          <w:rFonts w:ascii="Arial" w:hAnsi="Arial" w:cs="Arial"/>
          <w:sz w:val="18"/>
          <w:szCs w:val="18"/>
        </w:rPr>
        <w:instrText xml:space="preserve"> NOTEREF _Ref529871249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sidRPr="007A7CC7">
        <w:rPr>
          <w:rFonts w:ascii="Arial" w:hAnsi="Arial" w:cs="Arial"/>
          <w:sz w:val="18"/>
          <w:szCs w:val="18"/>
        </w:rPr>
        <w:t>).</w:t>
      </w:r>
    </w:p>
  </w:footnote>
  <w:footnote w:id="9">
    <w:p w:rsidR="0095124D" w:rsidRPr="007A7CC7" w:rsidRDefault="0095124D">
      <w:pPr>
        <w:pStyle w:val="FootnoteText"/>
        <w:rPr>
          <w:rFonts w:ascii="Arial" w:hAnsi="Arial" w:cs="Arial"/>
          <w:sz w:val="18"/>
        </w:rPr>
      </w:pPr>
      <w:r w:rsidRPr="007A7CC7">
        <w:rPr>
          <w:rStyle w:val="FootnoteReference"/>
          <w:rFonts w:ascii="Arial" w:hAnsi="Arial" w:cs="Arial"/>
          <w:sz w:val="18"/>
        </w:rPr>
        <w:footnoteRef/>
      </w:r>
      <w:r w:rsidRPr="007A7CC7">
        <w:rPr>
          <w:rFonts w:ascii="Arial" w:hAnsi="Arial" w:cs="Arial"/>
          <w:sz w:val="18"/>
        </w:rPr>
        <w:t xml:space="preserve"> ACCC, p. 9 (Ibid footnote </w:t>
      </w:r>
      <w:r>
        <w:rPr>
          <w:rFonts w:ascii="Arial" w:hAnsi="Arial" w:cs="Arial"/>
          <w:sz w:val="18"/>
        </w:rPr>
        <w:fldChar w:fldCharType="begin"/>
      </w:r>
      <w:r>
        <w:rPr>
          <w:rFonts w:ascii="Arial" w:hAnsi="Arial" w:cs="Arial"/>
          <w:sz w:val="18"/>
        </w:rPr>
        <w:instrText xml:space="preserve"> NOTEREF _Ref529871249 \h </w:instrText>
      </w:r>
      <w:r>
        <w:rPr>
          <w:rFonts w:ascii="Arial" w:hAnsi="Arial" w:cs="Arial"/>
          <w:sz w:val="18"/>
        </w:rPr>
      </w:r>
      <w:r>
        <w:rPr>
          <w:rFonts w:ascii="Arial" w:hAnsi="Arial" w:cs="Arial"/>
          <w:sz w:val="18"/>
        </w:rPr>
        <w:fldChar w:fldCharType="separate"/>
      </w:r>
      <w:r>
        <w:rPr>
          <w:rFonts w:ascii="Arial" w:hAnsi="Arial" w:cs="Arial"/>
          <w:sz w:val="18"/>
        </w:rPr>
        <w:t>1</w:t>
      </w:r>
      <w:r>
        <w:rPr>
          <w:rFonts w:ascii="Arial" w:hAnsi="Arial" w:cs="Arial"/>
          <w:sz w:val="18"/>
        </w:rPr>
        <w:fldChar w:fldCharType="end"/>
      </w:r>
      <w:r w:rsidRPr="007A7CC7">
        <w:rPr>
          <w:rFonts w:ascii="Arial" w:hAnsi="Arial" w:cs="Arial"/>
          <w:sz w:val="18"/>
        </w:rPr>
        <w:t>).</w:t>
      </w:r>
    </w:p>
  </w:footnote>
  <w:footnote w:id="10">
    <w:p w:rsidR="0095124D" w:rsidRPr="00AD7C59" w:rsidRDefault="0095124D">
      <w:pPr>
        <w:pStyle w:val="FootnoteText"/>
        <w:rPr>
          <w:rFonts w:ascii="Arial" w:hAnsi="Arial" w:cs="Arial"/>
        </w:rPr>
      </w:pPr>
      <w:r w:rsidRPr="007A7CC7">
        <w:rPr>
          <w:rStyle w:val="FootnoteReference"/>
          <w:rFonts w:ascii="Arial" w:hAnsi="Arial" w:cs="Arial"/>
          <w:sz w:val="18"/>
        </w:rPr>
        <w:footnoteRef/>
      </w:r>
      <w:r w:rsidRPr="007A7CC7">
        <w:rPr>
          <w:rFonts w:ascii="Arial" w:hAnsi="Arial" w:cs="Arial"/>
          <w:sz w:val="18"/>
        </w:rPr>
        <w:t xml:space="preserve"> </w:t>
      </w:r>
      <w:r w:rsidRPr="007A7CC7">
        <w:rPr>
          <w:rFonts w:ascii="Arial" w:hAnsi="Arial" w:cs="Arial"/>
          <w:i/>
          <w:sz w:val="18"/>
        </w:rPr>
        <w:t>Competition and Consumer (Industry Codes—Franchising) Regulation 2014</w:t>
      </w:r>
      <w:r>
        <w:rPr>
          <w:rFonts w:ascii="Arial" w:hAnsi="Arial" w:cs="Arial"/>
          <w:sz w:val="18"/>
        </w:rPr>
        <w:t>,</w:t>
      </w:r>
      <w:r w:rsidRPr="00086D4E">
        <w:rPr>
          <w:rFonts w:ascii="Arial" w:hAnsi="Arial" w:cs="Arial"/>
          <w:sz w:val="18"/>
        </w:rPr>
        <w:t xml:space="preserve"> </w:t>
      </w:r>
      <w:r w:rsidRPr="007A7CC7">
        <w:rPr>
          <w:rFonts w:ascii="Arial" w:hAnsi="Arial" w:cs="Arial"/>
          <w:sz w:val="18"/>
        </w:rPr>
        <w:t>Schedule 1.</w:t>
      </w:r>
    </w:p>
  </w:footnote>
  <w:footnote w:id="11">
    <w:p w:rsidR="0095124D" w:rsidRPr="007A7CC7" w:rsidRDefault="0095124D">
      <w:pPr>
        <w:pStyle w:val="FootnoteText"/>
        <w:rPr>
          <w:rFonts w:ascii="Arial" w:hAnsi="Arial" w:cs="Arial"/>
        </w:rPr>
      </w:pPr>
      <w:r w:rsidRPr="007A7CC7">
        <w:rPr>
          <w:rStyle w:val="FootnoteReference"/>
          <w:rFonts w:ascii="Arial" w:hAnsi="Arial" w:cs="Arial"/>
          <w:sz w:val="18"/>
        </w:rPr>
        <w:footnoteRef/>
      </w:r>
      <w:r w:rsidRPr="007A7CC7">
        <w:rPr>
          <w:rFonts w:ascii="Arial" w:hAnsi="Arial" w:cs="Arial"/>
          <w:sz w:val="18"/>
        </w:rPr>
        <w:t xml:space="preserve"> ACCC, p. 9 (Ibid footnote </w:t>
      </w:r>
      <w:r>
        <w:rPr>
          <w:rFonts w:ascii="Arial" w:hAnsi="Arial" w:cs="Arial"/>
          <w:sz w:val="18"/>
        </w:rPr>
        <w:fldChar w:fldCharType="begin"/>
      </w:r>
      <w:r>
        <w:rPr>
          <w:rFonts w:ascii="Arial" w:hAnsi="Arial" w:cs="Arial"/>
          <w:sz w:val="18"/>
        </w:rPr>
        <w:instrText xml:space="preserve"> NOTEREF _Ref529871249 \h </w:instrText>
      </w:r>
      <w:r>
        <w:rPr>
          <w:rFonts w:ascii="Arial" w:hAnsi="Arial" w:cs="Arial"/>
          <w:sz w:val="18"/>
        </w:rPr>
      </w:r>
      <w:r>
        <w:rPr>
          <w:rFonts w:ascii="Arial" w:hAnsi="Arial" w:cs="Arial"/>
          <w:sz w:val="18"/>
        </w:rPr>
        <w:fldChar w:fldCharType="separate"/>
      </w:r>
      <w:r>
        <w:rPr>
          <w:rFonts w:ascii="Arial" w:hAnsi="Arial" w:cs="Arial"/>
          <w:sz w:val="18"/>
        </w:rPr>
        <w:t>1</w:t>
      </w:r>
      <w:r>
        <w:rPr>
          <w:rFonts w:ascii="Arial" w:hAnsi="Arial" w:cs="Arial"/>
          <w:sz w:val="18"/>
        </w:rPr>
        <w:fldChar w:fldCharType="end"/>
      </w:r>
      <w:r w:rsidRPr="007A7CC7">
        <w:rPr>
          <w:rFonts w:ascii="Arial" w:hAnsi="Arial" w:cs="Arial"/>
          <w:sz w:val="18"/>
        </w:rPr>
        <w:t>).</w:t>
      </w:r>
    </w:p>
  </w:footnote>
  <w:footnote w:id="12">
    <w:p w:rsidR="0095124D" w:rsidRPr="00CE53D8" w:rsidRDefault="0095124D" w:rsidP="000407AA">
      <w:pPr>
        <w:pStyle w:val="FootnoteText"/>
        <w:rPr>
          <w:rFonts w:ascii="Arial" w:hAnsi="Arial" w:cs="Arial"/>
          <w:sz w:val="18"/>
          <w:szCs w:val="18"/>
          <w:lang w:val="en-US"/>
        </w:rPr>
      </w:pPr>
      <w:r w:rsidRPr="00CE53D8">
        <w:rPr>
          <w:rStyle w:val="FootnoteReference"/>
          <w:rFonts w:ascii="Arial" w:hAnsi="Arial" w:cs="Arial"/>
          <w:sz w:val="18"/>
          <w:szCs w:val="18"/>
        </w:rPr>
        <w:footnoteRef/>
      </w:r>
      <w:r w:rsidRPr="00CE53D8">
        <w:rPr>
          <w:rFonts w:ascii="Arial" w:hAnsi="Arial" w:cs="Arial"/>
          <w:sz w:val="18"/>
          <w:szCs w:val="18"/>
        </w:rPr>
        <w:t xml:space="preserve"> </w:t>
      </w:r>
      <w:r>
        <w:rPr>
          <w:rFonts w:ascii="Arial" w:hAnsi="Arial" w:cs="Arial"/>
          <w:sz w:val="18"/>
          <w:szCs w:val="18"/>
        </w:rPr>
        <w:t xml:space="preserve">ACCC p. 34 (Ibid footnote </w:t>
      </w:r>
      <w:r>
        <w:rPr>
          <w:rFonts w:ascii="Arial" w:hAnsi="Arial" w:cs="Arial"/>
          <w:sz w:val="18"/>
          <w:szCs w:val="18"/>
        </w:rPr>
        <w:fldChar w:fldCharType="begin"/>
      </w:r>
      <w:r>
        <w:rPr>
          <w:rFonts w:ascii="Arial" w:hAnsi="Arial" w:cs="Arial"/>
          <w:sz w:val="18"/>
          <w:szCs w:val="18"/>
        </w:rPr>
        <w:instrText xml:space="preserve"> NOTEREF _Ref529871249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w:t>
      </w:r>
    </w:p>
  </w:footnote>
  <w:footnote w:id="13">
    <w:p w:rsidR="0095124D" w:rsidRPr="00CE53D8" w:rsidRDefault="0095124D" w:rsidP="000407AA">
      <w:pPr>
        <w:pStyle w:val="FootnoteText"/>
        <w:rPr>
          <w:rFonts w:ascii="Arial" w:hAnsi="Arial" w:cs="Arial"/>
          <w:sz w:val="18"/>
          <w:szCs w:val="18"/>
        </w:rPr>
      </w:pPr>
      <w:r w:rsidRPr="00CE53D8">
        <w:rPr>
          <w:rStyle w:val="FootnoteReference"/>
          <w:rFonts w:ascii="Arial" w:hAnsi="Arial" w:cs="Arial"/>
          <w:sz w:val="18"/>
          <w:szCs w:val="18"/>
        </w:rPr>
        <w:footnoteRef/>
      </w:r>
      <w:r w:rsidRPr="00CE53D8">
        <w:rPr>
          <w:rFonts w:ascii="Arial" w:hAnsi="Arial" w:cs="Arial"/>
          <w:sz w:val="18"/>
          <w:szCs w:val="18"/>
        </w:rPr>
        <w:t xml:space="preserve"> Mr Alan Wein, </w:t>
      </w:r>
      <w:hyperlink r:id="rId2" w:history="1">
        <w:r w:rsidRPr="00B77666">
          <w:rPr>
            <w:rStyle w:val="Hyperlink"/>
            <w:rFonts w:ascii="Arial" w:hAnsi="Arial" w:cs="Arial"/>
            <w:sz w:val="18"/>
            <w:szCs w:val="18"/>
          </w:rPr>
          <w:t xml:space="preserve">Review of the Franchising Code of Conduct: Report to the Hon Gary </w:t>
        </w:r>
        <w:r w:rsidRPr="00B77666">
          <w:rPr>
            <w:rStyle w:val="Hyperlink"/>
            <w:rFonts w:ascii="Arial" w:hAnsi="Arial" w:cs="Arial"/>
            <w:sz w:val="18"/>
            <w:szCs w:val="18"/>
          </w:rPr>
          <w:t>Gray AO MP, Minister for Small Business, and the Hon Bernie Ripoll MP, Parliamentary Secretary for Small Business</w:t>
        </w:r>
      </w:hyperlink>
      <w:r w:rsidRPr="00CE53D8">
        <w:rPr>
          <w:rFonts w:ascii="Arial" w:hAnsi="Arial" w:cs="Arial"/>
          <w:sz w:val="18"/>
          <w:szCs w:val="18"/>
        </w:rPr>
        <w:t xml:space="preserve">, 30 April 2013, </w:t>
      </w:r>
      <w:r>
        <w:rPr>
          <w:rFonts w:ascii="Arial" w:hAnsi="Arial" w:cs="Arial"/>
          <w:sz w:val="18"/>
          <w:szCs w:val="18"/>
        </w:rPr>
        <w:br/>
      </w:r>
      <w:r w:rsidRPr="00CE53D8">
        <w:rPr>
          <w:rFonts w:ascii="Arial" w:hAnsi="Arial" w:cs="Arial"/>
          <w:sz w:val="18"/>
          <w:szCs w:val="18"/>
        </w:rPr>
        <w:t>p</w:t>
      </w:r>
      <w:r>
        <w:rPr>
          <w:rFonts w:ascii="Arial" w:hAnsi="Arial" w:cs="Arial"/>
          <w:sz w:val="18"/>
          <w:szCs w:val="18"/>
        </w:rPr>
        <w:t>.</w:t>
      </w:r>
      <w:r w:rsidRPr="00CE53D8">
        <w:rPr>
          <w:rFonts w:ascii="Arial" w:hAnsi="Arial" w:cs="Arial"/>
          <w:sz w:val="18"/>
          <w:szCs w:val="18"/>
        </w:rPr>
        <w:t xml:space="preserve"> 152</w:t>
      </w:r>
      <w:r w:rsidRPr="003E4C6D">
        <w:rPr>
          <w:rStyle w:val="Hyperlink"/>
          <w:rFonts w:ascii="Arial" w:hAnsi="Arial" w:cs="Arial"/>
          <w:color w:val="auto"/>
          <w:sz w:val="18"/>
          <w:szCs w:val="18"/>
          <w:u w:val="none"/>
        </w:rPr>
        <w:t>.</w:t>
      </w:r>
    </w:p>
  </w:footnote>
  <w:footnote w:id="14">
    <w:p w:rsidR="0095124D" w:rsidRPr="007A7CC7" w:rsidRDefault="0095124D" w:rsidP="000407AA">
      <w:pPr>
        <w:pStyle w:val="FootnoteText"/>
        <w:rPr>
          <w:rFonts w:ascii="Arial" w:hAnsi="Arial" w:cs="Arial"/>
          <w:sz w:val="18"/>
          <w:szCs w:val="18"/>
        </w:rPr>
      </w:pPr>
      <w:r w:rsidRPr="00CE53D8">
        <w:rPr>
          <w:rStyle w:val="FootnoteReference"/>
          <w:rFonts w:ascii="Arial" w:hAnsi="Arial" w:cs="Arial"/>
          <w:sz w:val="18"/>
          <w:szCs w:val="18"/>
        </w:rPr>
        <w:footnoteRef/>
      </w:r>
      <w:r w:rsidRPr="00CE53D8">
        <w:rPr>
          <w:rFonts w:ascii="Arial" w:hAnsi="Arial" w:cs="Arial"/>
          <w:sz w:val="18"/>
          <w:szCs w:val="18"/>
        </w:rPr>
        <w:t xml:space="preserve"> </w:t>
      </w:r>
      <w:r>
        <w:rPr>
          <w:rFonts w:ascii="Arial" w:hAnsi="Arial" w:cs="Arial"/>
          <w:sz w:val="18"/>
          <w:szCs w:val="18"/>
        </w:rPr>
        <w:t xml:space="preserve">Australian Automotive Dealer Association, </w:t>
      </w:r>
      <w:hyperlink r:id="rId3" w:history="1">
        <w:r w:rsidRPr="00CE53D8">
          <w:rPr>
            <w:rStyle w:val="Hyperlink"/>
            <w:rFonts w:ascii="Arial" w:hAnsi="Arial" w:cs="Arial"/>
            <w:sz w:val="18"/>
            <w:szCs w:val="18"/>
          </w:rPr>
          <w:t>AADA 2017-18 Pre-budget Submission</w:t>
        </w:r>
      </w:hyperlink>
      <w:r w:rsidRPr="00CE53D8">
        <w:rPr>
          <w:rFonts w:ascii="Arial" w:hAnsi="Arial" w:cs="Arial"/>
          <w:sz w:val="18"/>
          <w:szCs w:val="18"/>
        </w:rPr>
        <w:t>,</w:t>
      </w:r>
      <w:r>
        <w:rPr>
          <w:rFonts w:ascii="Arial" w:hAnsi="Arial" w:cs="Arial"/>
          <w:sz w:val="18"/>
          <w:szCs w:val="18"/>
        </w:rPr>
        <w:t xml:space="preserve"> AADA, 19 January 2017,</w:t>
      </w:r>
      <w:r w:rsidRPr="00CE53D8">
        <w:rPr>
          <w:rFonts w:ascii="Arial" w:hAnsi="Arial" w:cs="Arial"/>
          <w:sz w:val="18"/>
          <w:szCs w:val="18"/>
        </w:rPr>
        <w:t xml:space="preserve"> </w:t>
      </w:r>
      <w:r>
        <w:rPr>
          <w:rFonts w:ascii="Arial" w:hAnsi="Arial" w:cs="Arial"/>
          <w:sz w:val="18"/>
          <w:szCs w:val="18"/>
        </w:rPr>
        <w:br/>
      </w:r>
      <w:r w:rsidRPr="00CE53D8">
        <w:rPr>
          <w:rFonts w:ascii="Arial" w:hAnsi="Arial" w:cs="Arial"/>
          <w:sz w:val="18"/>
          <w:szCs w:val="18"/>
        </w:rPr>
        <w:t xml:space="preserve">p </w:t>
      </w:r>
      <w:r>
        <w:rPr>
          <w:rFonts w:ascii="Arial" w:hAnsi="Arial" w:cs="Arial"/>
          <w:sz w:val="18"/>
          <w:szCs w:val="18"/>
        </w:rPr>
        <w:t>4.</w:t>
      </w:r>
      <w:r w:rsidRPr="007A7CC7">
        <w:rPr>
          <w:rFonts w:ascii="Arial" w:hAnsi="Arial" w:cs="Arial"/>
          <w:sz w:val="18"/>
          <w:szCs w:val="18"/>
        </w:rPr>
        <w:t xml:space="preserve"> </w:t>
      </w:r>
    </w:p>
  </w:footnote>
  <w:footnote w:id="15">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Pr>
          <w:rFonts w:ascii="Arial" w:hAnsi="Arial" w:cs="Arial"/>
          <w:sz w:val="18"/>
          <w:szCs w:val="18"/>
        </w:rPr>
        <w:t xml:space="preserve"> Deloitte,</w:t>
      </w:r>
      <w:r w:rsidRPr="006D6395">
        <w:rPr>
          <w:rFonts w:ascii="Arial" w:hAnsi="Arial" w:cs="Arial"/>
          <w:sz w:val="18"/>
          <w:szCs w:val="18"/>
        </w:rPr>
        <w:t xml:space="preserve"> </w:t>
      </w:r>
      <w:hyperlink r:id="rId4" w:history="1">
        <w:r w:rsidRPr="00750E0C">
          <w:rPr>
            <w:rStyle w:val="Hyperlink"/>
            <w:rFonts w:ascii="Arial" w:hAnsi="Arial" w:cs="Arial"/>
            <w:sz w:val="18"/>
            <w:szCs w:val="18"/>
          </w:rPr>
          <w:t>2018 Dealership Benchmarks: Motor Industry Services</w:t>
        </w:r>
      </w:hyperlink>
      <w:r>
        <w:rPr>
          <w:rFonts w:ascii="Arial" w:hAnsi="Arial" w:cs="Arial"/>
          <w:sz w:val="18"/>
          <w:szCs w:val="18"/>
        </w:rPr>
        <w:t>, 2018, pp. 4, 14 and 24</w:t>
      </w:r>
      <w:r w:rsidRPr="006D6395">
        <w:rPr>
          <w:rFonts w:ascii="Arial" w:hAnsi="Arial" w:cs="Arial"/>
          <w:sz w:val="18"/>
          <w:szCs w:val="18"/>
        </w:rPr>
        <w:t>.</w:t>
      </w:r>
    </w:p>
  </w:footnote>
  <w:footnote w:id="16">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Pr>
          <w:rFonts w:ascii="Arial" w:hAnsi="Arial" w:cs="Arial"/>
          <w:sz w:val="18"/>
          <w:szCs w:val="18"/>
        </w:rPr>
        <w:t xml:space="preserve"> Acting ASIC Chairman, Peter </w:t>
      </w:r>
      <w:r>
        <w:rPr>
          <w:rFonts w:ascii="Arial" w:hAnsi="Arial" w:cs="Arial"/>
          <w:sz w:val="18"/>
          <w:szCs w:val="18"/>
        </w:rPr>
        <w:t xml:space="preserve">Kell, </w:t>
      </w:r>
      <w:hyperlink r:id="rId5" w:history="1">
        <w:r w:rsidRPr="00855CDA">
          <w:rPr>
            <w:rStyle w:val="Hyperlink"/>
            <w:rFonts w:ascii="Arial" w:hAnsi="Arial" w:cs="Arial"/>
            <w:sz w:val="18"/>
            <w:szCs w:val="18"/>
          </w:rPr>
          <w:t>Add-on insurance and flex commission practices</w:t>
        </w:r>
      </w:hyperlink>
      <w:r>
        <w:rPr>
          <w:rFonts w:ascii="Arial" w:hAnsi="Arial" w:cs="Arial"/>
          <w:sz w:val="18"/>
          <w:szCs w:val="18"/>
        </w:rPr>
        <w:t>, Australian Securities &amp; Investments Commissions.</w:t>
      </w:r>
    </w:p>
  </w:footnote>
  <w:footnote w:id="17">
    <w:p w:rsidR="0095124D" w:rsidRDefault="0095124D">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w:t>
      </w:r>
      <w:r>
        <w:rPr>
          <w:rFonts w:ascii="Arial" w:hAnsi="Arial" w:cs="Arial"/>
          <w:sz w:val="18"/>
          <w:szCs w:val="18"/>
        </w:rPr>
        <w:t xml:space="preserve">Matthew </w:t>
      </w:r>
      <w:r>
        <w:rPr>
          <w:rFonts w:ascii="Arial" w:hAnsi="Arial" w:cs="Arial"/>
          <w:sz w:val="18"/>
          <w:szCs w:val="18"/>
        </w:rPr>
        <w:t xml:space="preserve">Cutt, </w:t>
      </w:r>
      <w:hyperlink r:id="rId6" w:history="1">
        <w:r w:rsidRPr="00855CDA">
          <w:rPr>
            <w:rStyle w:val="Hyperlink"/>
            <w:rFonts w:ascii="Arial" w:hAnsi="Arial" w:cs="Arial"/>
            <w:sz w:val="18"/>
            <w:szCs w:val="18"/>
          </w:rPr>
          <w:t>The Changing Landscape of an Automotive Dealership’s Profitability</w:t>
        </w:r>
      </w:hyperlink>
      <w:r>
        <w:rPr>
          <w:rFonts w:ascii="Arial" w:hAnsi="Arial" w:cs="Arial"/>
          <w:sz w:val="18"/>
          <w:szCs w:val="18"/>
        </w:rPr>
        <w:t>, Automotive Dealer Magazine: The Official Publication of the AADA.</w:t>
      </w:r>
      <w:r>
        <w:t xml:space="preserve"> </w:t>
      </w:r>
    </w:p>
  </w:footnote>
  <w:footnote w:id="18">
    <w:p w:rsidR="0095124D" w:rsidRPr="00C005AB" w:rsidRDefault="0095124D" w:rsidP="00B13090">
      <w:pPr>
        <w:pStyle w:val="FootnoteText"/>
        <w:tabs>
          <w:tab w:val="left" w:pos="1055"/>
        </w:tabs>
        <w:rPr>
          <w:rFonts w:ascii="Arial" w:hAnsi="Arial" w:cs="Arial"/>
          <w:sz w:val="18"/>
          <w:szCs w:val="18"/>
        </w:rPr>
      </w:pPr>
      <w:r w:rsidRPr="00ED2763">
        <w:rPr>
          <w:rStyle w:val="FootnoteReference"/>
          <w:rFonts w:ascii="Arial" w:hAnsi="Arial" w:cs="Arial"/>
          <w:sz w:val="18"/>
          <w:szCs w:val="18"/>
        </w:rPr>
        <w:footnoteRef/>
      </w:r>
      <w:r w:rsidRPr="00ED2763">
        <w:rPr>
          <w:rFonts w:ascii="Arial" w:hAnsi="Arial" w:cs="Arial"/>
          <w:sz w:val="18"/>
          <w:szCs w:val="18"/>
        </w:rPr>
        <w:t xml:space="preserve"> </w:t>
      </w:r>
      <w:r>
        <w:rPr>
          <w:rFonts w:ascii="Arial" w:hAnsi="Arial" w:cs="Arial"/>
          <w:sz w:val="18"/>
          <w:szCs w:val="18"/>
        </w:rPr>
        <w:t>Parliamentary Joint Committee on Corporations and Financial Services 2008</w:t>
      </w:r>
      <w:r w:rsidRPr="00C005AB">
        <w:rPr>
          <w:rFonts w:ascii="Arial" w:hAnsi="Arial" w:cs="Arial"/>
          <w:sz w:val="18"/>
          <w:szCs w:val="18"/>
          <w:lang w:val="en-US"/>
        </w:rPr>
        <w:t>,</w:t>
      </w:r>
      <w:r>
        <w:rPr>
          <w:rFonts w:ascii="Arial" w:hAnsi="Arial" w:cs="Arial"/>
          <w:sz w:val="18"/>
          <w:szCs w:val="18"/>
          <w:lang w:val="en-US"/>
        </w:rPr>
        <w:t xml:space="preserve"> </w:t>
      </w:r>
      <w:hyperlink r:id="rId7" w:history="1">
        <w:r w:rsidRPr="00823E1D">
          <w:rPr>
            <w:rStyle w:val="Hyperlink"/>
            <w:rFonts w:ascii="Arial" w:hAnsi="Arial" w:cs="Arial"/>
            <w:sz w:val="18"/>
            <w:szCs w:val="18"/>
            <w:lang w:val="en-US"/>
          </w:rPr>
          <w:t>Opportunity not opportunism: improving conduct in Australian franchising</w:t>
        </w:r>
      </w:hyperlink>
      <w:r>
        <w:rPr>
          <w:rFonts w:ascii="Arial" w:hAnsi="Arial" w:cs="Arial"/>
          <w:sz w:val="18"/>
          <w:szCs w:val="18"/>
          <w:lang w:val="en-US"/>
        </w:rPr>
        <w:t>, December 2008,</w:t>
      </w:r>
      <w:r w:rsidRPr="00C005AB">
        <w:rPr>
          <w:rFonts w:ascii="Arial" w:hAnsi="Arial" w:cs="Arial"/>
          <w:sz w:val="18"/>
          <w:szCs w:val="18"/>
          <w:lang w:val="en-US"/>
        </w:rPr>
        <w:t xml:space="preserve"> pp 5-</w:t>
      </w:r>
      <w:r>
        <w:rPr>
          <w:rFonts w:ascii="Arial" w:hAnsi="Arial" w:cs="Arial"/>
          <w:sz w:val="18"/>
          <w:szCs w:val="18"/>
          <w:lang w:val="en-US"/>
        </w:rPr>
        <w:t>7</w:t>
      </w:r>
      <w:r w:rsidRPr="00C005AB">
        <w:rPr>
          <w:rFonts w:ascii="Arial" w:hAnsi="Arial" w:cs="Arial"/>
          <w:sz w:val="18"/>
          <w:szCs w:val="18"/>
          <w:lang w:val="en-US"/>
        </w:rPr>
        <w:t>.</w:t>
      </w:r>
    </w:p>
  </w:footnote>
  <w:footnote w:id="19">
    <w:p w:rsidR="0095124D" w:rsidRPr="00C005AB" w:rsidRDefault="0095124D" w:rsidP="00B13090">
      <w:pPr>
        <w:pStyle w:val="FootnoteText"/>
        <w:tabs>
          <w:tab w:val="left" w:pos="1055"/>
        </w:tabs>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(Ibid footnote </w:t>
      </w:r>
      <w:r>
        <w:rPr>
          <w:rFonts w:ascii="Arial" w:hAnsi="Arial" w:cs="Arial"/>
          <w:sz w:val="18"/>
          <w:szCs w:val="18"/>
        </w:rPr>
        <w:fldChar w:fldCharType="begin"/>
      </w:r>
      <w:r>
        <w:rPr>
          <w:rFonts w:ascii="Arial" w:hAnsi="Arial" w:cs="Arial"/>
          <w:sz w:val="18"/>
          <w:szCs w:val="18"/>
        </w:rPr>
        <w:instrText xml:space="preserve"> NOTEREF _Ref529871878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17</w:t>
      </w:r>
      <w:r>
        <w:rPr>
          <w:rFonts w:ascii="Arial" w:hAnsi="Arial" w:cs="Arial"/>
          <w:sz w:val="18"/>
          <w:szCs w:val="18"/>
        </w:rPr>
        <w:fldChar w:fldCharType="end"/>
      </w:r>
      <w:r w:rsidRPr="00C005AB">
        <w:rPr>
          <w:rFonts w:ascii="Arial" w:hAnsi="Arial" w:cs="Arial"/>
          <w:sz w:val="18"/>
          <w:szCs w:val="18"/>
        </w:rPr>
        <w:t>)</w:t>
      </w:r>
      <w:r>
        <w:rPr>
          <w:rFonts w:ascii="Arial" w:hAnsi="Arial" w:cs="Arial"/>
          <w:sz w:val="18"/>
          <w:szCs w:val="18"/>
        </w:rPr>
        <w:t>.</w:t>
      </w:r>
    </w:p>
  </w:footnote>
  <w:footnote w:id="20">
    <w:p w:rsidR="0095124D" w:rsidRPr="00C005AB" w:rsidRDefault="0095124D" w:rsidP="00B13090">
      <w:pPr>
        <w:pStyle w:val="FootnoteText"/>
        <w:tabs>
          <w:tab w:val="left" w:pos="1055"/>
        </w:tabs>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(Ibid footnote </w:t>
      </w:r>
      <w:r>
        <w:rPr>
          <w:rFonts w:ascii="Arial" w:hAnsi="Arial" w:cs="Arial"/>
          <w:sz w:val="18"/>
          <w:szCs w:val="18"/>
        </w:rPr>
        <w:fldChar w:fldCharType="begin"/>
      </w:r>
      <w:r>
        <w:rPr>
          <w:rFonts w:ascii="Arial" w:hAnsi="Arial" w:cs="Arial"/>
          <w:sz w:val="18"/>
          <w:szCs w:val="18"/>
        </w:rPr>
        <w:instrText xml:space="preserve"> NOTEREF _Ref529871878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17</w:t>
      </w:r>
      <w:r>
        <w:rPr>
          <w:rFonts w:ascii="Arial" w:hAnsi="Arial" w:cs="Arial"/>
          <w:sz w:val="18"/>
          <w:szCs w:val="18"/>
        </w:rPr>
        <w:fldChar w:fldCharType="end"/>
      </w:r>
      <w:r w:rsidRPr="00C005AB">
        <w:rPr>
          <w:rFonts w:ascii="Arial" w:hAnsi="Arial" w:cs="Arial"/>
          <w:sz w:val="18"/>
          <w:szCs w:val="18"/>
        </w:rPr>
        <w:t>)</w:t>
      </w:r>
      <w:r>
        <w:rPr>
          <w:rFonts w:ascii="Arial" w:hAnsi="Arial" w:cs="Arial"/>
          <w:sz w:val="18"/>
          <w:szCs w:val="18"/>
        </w:rPr>
        <w:t>.</w:t>
      </w:r>
    </w:p>
  </w:footnote>
  <w:footnote w:id="21">
    <w:p w:rsidR="0095124D" w:rsidRPr="00C005AB" w:rsidRDefault="0095124D" w:rsidP="00B13090">
      <w:pPr>
        <w:pStyle w:val="FootnoteText"/>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(Ibid footnote </w:t>
      </w:r>
      <w:r>
        <w:rPr>
          <w:rFonts w:ascii="Arial" w:hAnsi="Arial" w:cs="Arial"/>
          <w:sz w:val="18"/>
          <w:szCs w:val="18"/>
        </w:rPr>
        <w:fldChar w:fldCharType="begin"/>
      </w:r>
      <w:r>
        <w:rPr>
          <w:rFonts w:ascii="Arial" w:hAnsi="Arial" w:cs="Arial"/>
          <w:sz w:val="18"/>
          <w:szCs w:val="18"/>
        </w:rPr>
        <w:instrText xml:space="preserve"> NOTEREF _Ref529871878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17</w:t>
      </w:r>
      <w:r>
        <w:rPr>
          <w:rFonts w:ascii="Arial" w:hAnsi="Arial" w:cs="Arial"/>
          <w:sz w:val="18"/>
          <w:szCs w:val="18"/>
        </w:rPr>
        <w:fldChar w:fldCharType="end"/>
      </w:r>
      <w:r w:rsidRPr="00C005AB">
        <w:rPr>
          <w:rFonts w:ascii="Arial" w:hAnsi="Arial" w:cs="Arial"/>
          <w:sz w:val="18"/>
          <w:szCs w:val="18"/>
        </w:rPr>
        <w:t>)</w:t>
      </w:r>
      <w:r>
        <w:rPr>
          <w:rFonts w:ascii="Arial" w:hAnsi="Arial" w:cs="Arial"/>
          <w:sz w:val="18"/>
          <w:szCs w:val="18"/>
        </w:rPr>
        <w:t>.</w:t>
      </w:r>
    </w:p>
  </w:footnote>
  <w:footnote w:id="22">
    <w:p w:rsidR="0095124D" w:rsidRPr="00C005AB" w:rsidRDefault="0095124D" w:rsidP="00B13090">
      <w:pPr>
        <w:pStyle w:val="FootnoteText"/>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(Ibid footnote </w:t>
      </w:r>
      <w:r>
        <w:rPr>
          <w:rFonts w:ascii="Arial" w:hAnsi="Arial" w:cs="Arial"/>
          <w:sz w:val="18"/>
          <w:szCs w:val="18"/>
        </w:rPr>
        <w:fldChar w:fldCharType="begin"/>
      </w:r>
      <w:r>
        <w:rPr>
          <w:rFonts w:ascii="Arial" w:hAnsi="Arial" w:cs="Arial"/>
          <w:sz w:val="18"/>
          <w:szCs w:val="18"/>
        </w:rPr>
        <w:instrText xml:space="preserve"> NOTEREF _Ref529871878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17</w:t>
      </w:r>
      <w:r>
        <w:rPr>
          <w:rFonts w:ascii="Arial" w:hAnsi="Arial" w:cs="Arial"/>
          <w:sz w:val="18"/>
          <w:szCs w:val="18"/>
        </w:rPr>
        <w:fldChar w:fldCharType="end"/>
      </w:r>
      <w:r w:rsidRPr="00C005AB">
        <w:rPr>
          <w:rFonts w:ascii="Arial" w:hAnsi="Arial" w:cs="Arial"/>
          <w:sz w:val="18"/>
          <w:szCs w:val="18"/>
        </w:rPr>
        <w:t>)</w:t>
      </w:r>
      <w:r>
        <w:rPr>
          <w:rFonts w:ascii="Arial" w:hAnsi="Arial" w:cs="Arial"/>
          <w:sz w:val="18"/>
          <w:szCs w:val="18"/>
        </w:rPr>
        <w:t>.</w:t>
      </w:r>
    </w:p>
  </w:footnote>
  <w:footnote w:id="23">
    <w:p w:rsidR="0095124D" w:rsidRPr="00C005AB" w:rsidRDefault="0095124D" w:rsidP="00B13090">
      <w:pPr>
        <w:pStyle w:val="FootnoteText"/>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(Ibid footnote </w:t>
      </w:r>
      <w:r>
        <w:rPr>
          <w:rFonts w:ascii="Arial" w:hAnsi="Arial" w:cs="Arial"/>
          <w:sz w:val="18"/>
          <w:szCs w:val="18"/>
        </w:rPr>
        <w:fldChar w:fldCharType="begin"/>
      </w:r>
      <w:r>
        <w:rPr>
          <w:rFonts w:ascii="Arial" w:hAnsi="Arial" w:cs="Arial"/>
          <w:sz w:val="18"/>
          <w:szCs w:val="18"/>
        </w:rPr>
        <w:instrText xml:space="preserve"> NOTEREF _Ref529871878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17</w:t>
      </w:r>
      <w:r>
        <w:rPr>
          <w:rFonts w:ascii="Arial" w:hAnsi="Arial" w:cs="Arial"/>
          <w:sz w:val="18"/>
          <w:szCs w:val="18"/>
        </w:rPr>
        <w:fldChar w:fldCharType="end"/>
      </w:r>
      <w:r w:rsidRPr="00C005AB">
        <w:rPr>
          <w:rFonts w:ascii="Arial" w:hAnsi="Arial" w:cs="Arial"/>
          <w:sz w:val="18"/>
          <w:szCs w:val="18"/>
        </w:rPr>
        <w:t>)</w:t>
      </w:r>
      <w:r>
        <w:rPr>
          <w:rFonts w:ascii="Arial" w:hAnsi="Arial" w:cs="Arial"/>
          <w:sz w:val="18"/>
          <w:szCs w:val="18"/>
        </w:rPr>
        <w:t>.</w:t>
      </w:r>
    </w:p>
  </w:footnote>
  <w:footnote w:id="24">
    <w:p w:rsidR="0095124D" w:rsidRPr="008C532E" w:rsidRDefault="0095124D" w:rsidP="00B13090">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(Ibid footnote </w:t>
      </w:r>
      <w:r>
        <w:rPr>
          <w:rFonts w:ascii="Arial" w:hAnsi="Arial" w:cs="Arial"/>
          <w:sz w:val="18"/>
          <w:szCs w:val="18"/>
        </w:rPr>
        <w:fldChar w:fldCharType="begin"/>
      </w:r>
      <w:r>
        <w:rPr>
          <w:rFonts w:ascii="Arial" w:hAnsi="Arial" w:cs="Arial"/>
          <w:sz w:val="18"/>
          <w:szCs w:val="18"/>
        </w:rPr>
        <w:instrText xml:space="preserve"> NOTEREF _Ref529871878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17</w:t>
      </w:r>
      <w:r>
        <w:rPr>
          <w:rFonts w:ascii="Arial" w:hAnsi="Arial" w:cs="Arial"/>
          <w:sz w:val="18"/>
          <w:szCs w:val="18"/>
        </w:rPr>
        <w:fldChar w:fldCharType="end"/>
      </w:r>
      <w:r w:rsidRPr="00C005AB">
        <w:rPr>
          <w:rFonts w:ascii="Arial" w:hAnsi="Arial" w:cs="Arial"/>
          <w:sz w:val="18"/>
          <w:szCs w:val="18"/>
        </w:rPr>
        <w:t>)</w:t>
      </w:r>
      <w:r>
        <w:rPr>
          <w:rFonts w:ascii="Arial" w:hAnsi="Arial" w:cs="Arial"/>
          <w:sz w:val="18"/>
          <w:szCs w:val="18"/>
        </w:rPr>
        <w:t>.</w:t>
      </w:r>
    </w:p>
  </w:footnote>
  <w:footnote w:id="25">
    <w:p w:rsidR="0095124D" w:rsidRPr="008C532E" w:rsidRDefault="0095124D" w:rsidP="004E17B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(Ibid footnote </w:t>
      </w:r>
      <w:r>
        <w:rPr>
          <w:rFonts w:ascii="Arial" w:hAnsi="Arial" w:cs="Arial"/>
          <w:sz w:val="18"/>
          <w:szCs w:val="18"/>
        </w:rPr>
        <w:fldChar w:fldCharType="begin"/>
      </w:r>
      <w:r>
        <w:rPr>
          <w:rFonts w:ascii="Arial" w:hAnsi="Arial" w:cs="Arial"/>
          <w:sz w:val="18"/>
          <w:szCs w:val="18"/>
        </w:rPr>
        <w:instrText xml:space="preserve"> NOTEREF _Ref529871878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17</w:t>
      </w:r>
      <w:r>
        <w:rPr>
          <w:rFonts w:ascii="Arial" w:hAnsi="Arial" w:cs="Arial"/>
          <w:sz w:val="18"/>
          <w:szCs w:val="18"/>
        </w:rPr>
        <w:fldChar w:fldCharType="end"/>
      </w:r>
      <w:r w:rsidRPr="00C005AB">
        <w:rPr>
          <w:rFonts w:ascii="Arial" w:hAnsi="Arial" w:cs="Arial"/>
          <w:sz w:val="18"/>
          <w:szCs w:val="18"/>
        </w:rPr>
        <w:t>)</w:t>
      </w:r>
      <w:r>
        <w:rPr>
          <w:rFonts w:ascii="Arial" w:hAnsi="Arial" w:cs="Arial"/>
          <w:sz w:val="18"/>
          <w:szCs w:val="18"/>
        </w:rPr>
        <w:t xml:space="preserve">; </w:t>
      </w:r>
      <w:r w:rsidRPr="00D63092">
        <w:rPr>
          <w:rFonts w:ascii="Arial" w:hAnsi="Arial" w:cs="Arial"/>
          <w:sz w:val="18"/>
          <w:szCs w:val="18"/>
          <w:lang w:val="en-US"/>
        </w:rPr>
        <w:t>F</w:t>
      </w:r>
      <w:r>
        <w:rPr>
          <w:rFonts w:ascii="Arial" w:hAnsi="Arial" w:cs="Arial"/>
          <w:sz w:val="18"/>
          <w:szCs w:val="18"/>
          <w:lang w:val="en-US"/>
        </w:rPr>
        <w:t xml:space="preserve">ederal </w:t>
      </w:r>
      <w:r w:rsidRPr="00D63092">
        <w:rPr>
          <w:rFonts w:ascii="Arial" w:hAnsi="Arial" w:cs="Arial"/>
          <w:sz w:val="18"/>
          <w:szCs w:val="18"/>
          <w:lang w:val="en-US"/>
        </w:rPr>
        <w:t>C</w:t>
      </w:r>
      <w:r>
        <w:rPr>
          <w:rFonts w:ascii="Arial" w:hAnsi="Arial" w:cs="Arial"/>
          <w:sz w:val="18"/>
          <w:szCs w:val="18"/>
          <w:lang w:val="en-US"/>
        </w:rPr>
        <w:t xml:space="preserve">hamber of </w:t>
      </w:r>
      <w:r w:rsidRPr="00D63092">
        <w:rPr>
          <w:rFonts w:ascii="Arial" w:hAnsi="Arial" w:cs="Arial"/>
          <w:sz w:val="18"/>
          <w:szCs w:val="18"/>
          <w:lang w:val="en-US"/>
        </w:rPr>
        <w:t>A</w:t>
      </w:r>
      <w:r>
        <w:rPr>
          <w:rFonts w:ascii="Arial" w:hAnsi="Arial" w:cs="Arial"/>
          <w:sz w:val="18"/>
          <w:szCs w:val="18"/>
          <w:lang w:val="en-US"/>
        </w:rPr>
        <w:t xml:space="preserve">utomotive </w:t>
      </w:r>
      <w:r w:rsidRPr="00D63092">
        <w:rPr>
          <w:rFonts w:ascii="Arial" w:hAnsi="Arial" w:cs="Arial"/>
          <w:sz w:val="18"/>
          <w:szCs w:val="18"/>
          <w:lang w:val="en-US"/>
        </w:rPr>
        <w:t>I</w:t>
      </w:r>
      <w:r>
        <w:rPr>
          <w:rFonts w:ascii="Arial" w:hAnsi="Arial" w:cs="Arial"/>
          <w:sz w:val="18"/>
          <w:szCs w:val="18"/>
          <w:lang w:val="en-US"/>
        </w:rPr>
        <w:t>ndustries 2018,</w:t>
      </w:r>
      <w:r w:rsidRPr="00D63092">
        <w:rPr>
          <w:rFonts w:ascii="Arial" w:hAnsi="Arial" w:cs="Arial"/>
          <w:sz w:val="18"/>
          <w:szCs w:val="18"/>
          <w:lang w:val="en-US"/>
        </w:rPr>
        <w:t xml:space="preserve"> Submission to </w:t>
      </w:r>
      <w:r>
        <w:rPr>
          <w:rFonts w:ascii="Arial" w:hAnsi="Arial" w:cs="Arial"/>
          <w:sz w:val="18"/>
          <w:szCs w:val="18"/>
          <w:lang w:val="en-US"/>
        </w:rPr>
        <w:t>Parliamentary Joint Committee on the operation and effectiveness of the Franchising Code of Conduct, FCAI, May 2018, p. 5</w:t>
      </w:r>
      <w:r>
        <w:rPr>
          <w:rFonts w:ascii="Arial" w:hAnsi="Arial" w:cs="Arial"/>
          <w:sz w:val="18"/>
          <w:szCs w:val="18"/>
        </w:rPr>
        <w:t>.</w:t>
      </w:r>
    </w:p>
  </w:footnote>
  <w:footnote w:id="26">
    <w:p w:rsidR="0095124D" w:rsidRPr="008C532E" w:rsidRDefault="0095124D" w:rsidP="004E17B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(Ibid footnote </w:t>
      </w:r>
      <w:r>
        <w:rPr>
          <w:rFonts w:ascii="Arial" w:hAnsi="Arial" w:cs="Arial"/>
          <w:sz w:val="18"/>
          <w:szCs w:val="18"/>
        </w:rPr>
        <w:fldChar w:fldCharType="begin"/>
      </w:r>
      <w:r>
        <w:rPr>
          <w:rFonts w:ascii="Arial" w:hAnsi="Arial" w:cs="Arial"/>
          <w:sz w:val="18"/>
          <w:szCs w:val="18"/>
        </w:rPr>
        <w:instrText xml:space="preserve"> NOTEREF _Ref529871878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17</w:t>
      </w:r>
      <w:r>
        <w:rPr>
          <w:rFonts w:ascii="Arial" w:hAnsi="Arial" w:cs="Arial"/>
          <w:sz w:val="18"/>
          <w:szCs w:val="18"/>
        </w:rPr>
        <w:fldChar w:fldCharType="end"/>
      </w:r>
      <w:r w:rsidRPr="00C005AB">
        <w:rPr>
          <w:rFonts w:ascii="Arial" w:hAnsi="Arial" w:cs="Arial"/>
          <w:sz w:val="18"/>
          <w:szCs w:val="18"/>
        </w:rPr>
        <w:t>)</w:t>
      </w:r>
      <w:r>
        <w:rPr>
          <w:rFonts w:ascii="Arial" w:hAnsi="Arial" w:cs="Arial"/>
          <w:sz w:val="18"/>
          <w:szCs w:val="18"/>
        </w:rPr>
        <w:t>.</w:t>
      </w:r>
    </w:p>
  </w:footnote>
  <w:footnote w:id="27">
    <w:p w:rsidR="0095124D" w:rsidRPr="008C532E" w:rsidRDefault="0095124D" w:rsidP="004E17B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(Ibid footnote </w:t>
      </w:r>
      <w:r>
        <w:rPr>
          <w:rFonts w:ascii="Arial" w:hAnsi="Arial" w:cs="Arial"/>
          <w:sz w:val="18"/>
          <w:szCs w:val="18"/>
        </w:rPr>
        <w:fldChar w:fldCharType="begin"/>
      </w:r>
      <w:r>
        <w:rPr>
          <w:rFonts w:ascii="Arial" w:hAnsi="Arial" w:cs="Arial"/>
          <w:sz w:val="18"/>
          <w:szCs w:val="18"/>
        </w:rPr>
        <w:instrText xml:space="preserve"> NOTEREF _Ref529871878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17</w:t>
      </w:r>
      <w:r>
        <w:rPr>
          <w:rFonts w:ascii="Arial" w:hAnsi="Arial" w:cs="Arial"/>
          <w:sz w:val="18"/>
          <w:szCs w:val="18"/>
        </w:rPr>
        <w:fldChar w:fldCharType="end"/>
      </w:r>
      <w:r w:rsidRPr="00C005AB">
        <w:rPr>
          <w:rFonts w:ascii="Arial" w:hAnsi="Arial" w:cs="Arial"/>
          <w:sz w:val="18"/>
          <w:szCs w:val="18"/>
        </w:rPr>
        <w:t>)</w:t>
      </w:r>
      <w:r>
        <w:rPr>
          <w:rFonts w:ascii="Arial" w:hAnsi="Arial" w:cs="Arial"/>
          <w:sz w:val="18"/>
          <w:szCs w:val="18"/>
        </w:rPr>
        <w:t>.</w:t>
      </w:r>
    </w:p>
  </w:footnote>
  <w:footnote w:id="28">
    <w:p w:rsidR="0095124D" w:rsidRPr="008C532E" w:rsidRDefault="0095124D" w:rsidP="004E17B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(Ibid footnote </w:t>
      </w:r>
      <w:r>
        <w:rPr>
          <w:rFonts w:ascii="Arial" w:hAnsi="Arial" w:cs="Arial"/>
          <w:sz w:val="18"/>
          <w:szCs w:val="18"/>
        </w:rPr>
        <w:fldChar w:fldCharType="begin"/>
      </w:r>
      <w:r>
        <w:rPr>
          <w:rFonts w:ascii="Arial" w:hAnsi="Arial" w:cs="Arial"/>
          <w:sz w:val="18"/>
          <w:szCs w:val="18"/>
        </w:rPr>
        <w:instrText xml:space="preserve"> NOTEREF _Ref529871878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17</w:t>
      </w:r>
      <w:r>
        <w:rPr>
          <w:rFonts w:ascii="Arial" w:hAnsi="Arial" w:cs="Arial"/>
          <w:sz w:val="18"/>
          <w:szCs w:val="18"/>
        </w:rPr>
        <w:fldChar w:fldCharType="end"/>
      </w:r>
      <w:r w:rsidRPr="00C005AB">
        <w:rPr>
          <w:rFonts w:ascii="Arial" w:hAnsi="Arial" w:cs="Arial"/>
          <w:sz w:val="18"/>
          <w:szCs w:val="18"/>
        </w:rPr>
        <w:t>)</w:t>
      </w:r>
      <w:r>
        <w:rPr>
          <w:rFonts w:ascii="Arial" w:hAnsi="Arial" w:cs="Arial"/>
          <w:sz w:val="18"/>
          <w:szCs w:val="18"/>
        </w:rPr>
        <w:t>.</w:t>
      </w:r>
    </w:p>
  </w:footnote>
  <w:footnote w:id="29">
    <w:p w:rsidR="0095124D" w:rsidRPr="004F3E1C" w:rsidRDefault="0095124D">
      <w:pPr>
        <w:pStyle w:val="FootnoteText"/>
        <w:rPr>
          <w:rFonts w:ascii="Arial" w:hAnsi="Arial" w:cs="Arial"/>
          <w:sz w:val="18"/>
          <w:szCs w:val="18"/>
        </w:rPr>
      </w:pPr>
      <w:r w:rsidRPr="004F3E1C">
        <w:rPr>
          <w:rStyle w:val="FootnoteReference"/>
          <w:rFonts w:ascii="Arial" w:hAnsi="Arial" w:cs="Arial"/>
          <w:sz w:val="18"/>
          <w:szCs w:val="18"/>
        </w:rPr>
        <w:footnoteRef/>
      </w:r>
      <w:r w:rsidRPr="004F3E1C">
        <w:rPr>
          <w:rFonts w:ascii="Arial" w:hAnsi="Arial" w:cs="Arial"/>
          <w:sz w:val="18"/>
          <w:szCs w:val="18"/>
        </w:rPr>
        <w:t xml:space="preserve"> </w:t>
      </w:r>
      <w:r w:rsidRPr="004F3E1C">
        <w:rPr>
          <w:rFonts w:ascii="Arial" w:hAnsi="Arial" w:cs="Arial"/>
          <w:sz w:val="18"/>
          <w:szCs w:val="18"/>
          <w:lang w:val="en-US"/>
        </w:rPr>
        <w:t>F</w:t>
      </w:r>
      <w:r>
        <w:rPr>
          <w:rFonts w:ascii="Arial" w:hAnsi="Arial" w:cs="Arial"/>
          <w:sz w:val="18"/>
          <w:szCs w:val="18"/>
          <w:lang w:val="en-US"/>
        </w:rPr>
        <w:t>CAI 2018, p. 3</w:t>
      </w:r>
      <w:r w:rsidRPr="004F3E1C">
        <w:rPr>
          <w:rFonts w:ascii="Arial" w:hAnsi="Arial" w:cs="Arial"/>
          <w:sz w:val="18"/>
          <w:szCs w:val="18"/>
          <w:lang w:val="en-US"/>
        </w:rPr>
        <w:t xml:space="preserve"> </w:t>
      </w:r>
      <w:r>
        <w:rPr>
          <w:rFonts w:ascii="Arial" w:hAnsi="Arial" w:cs="Arial"/>
          <w:sz w:val="18"/>
          <w:szCs w:val="18"/>
          <w:lang w:val="en-US"/>
        </w:rPr>
        <w:t xml:space="preserve">(Ibid footnote </w:t>
      </w:r>
      <w:r>
        <w:rPr>
          <w:rFonts w:ascii="Arial" w:hAnsi="Arial" w:cs="Arial"/>
          <w:sz w:val="18"/>
          <w:szCs w:val="18"/>
          <w:lang w:val="en-US"/>
        </w:rPr>
        <w:fldChar w:fldCharType="begin"/>
      </w:r>
      <w:r>
        <w:rPr>
          <w:rFonts w:ascii="Arial" w:hAnsi="Arial" w:cs="Arial"/>
          <w:sz w:val="18"/>
          <w:szCs w:val="18"/>
          <w:lang w:val="en-US"/>
        </w:rPr>
        <w:instrText xml:space="preserve"> NOTEREF _Ref530471234 \h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t>24</w:t>
      </w:r>
      <w:r>
        <w:rPr>
          <w:rFonts w:ascii="Arial" w:hAnsi="Arial" w:cs="Arial"/>
          <w:sz w:val="18"/>
          <w:szCs w:val="18"/>
          <w:lang w:val="en-US"/>
        </w:rPr>
        <w:fldChar w:fldCharType="end"/>
      </w:r>
      <w:r>
        <w:rPr>
          <w:rFonts w:ascii="Arial" w:hAnsi="Arial" w:cs="Arial"/>
          <w:sz w:val="18"/>
          <w:szCs w:val="18"/>
          <w:lang w:val="en-US"/>
        </w:rPr>
        <w:t>).</w:t>
      </w:r>
    </w:p>
  </w:footnote>
  <w:footnote w:id="30">
    <w:p w:rsidR="0095124D" w:rsidRDefault="0095124D">
      <w:pPr>
        <w:pStyle w:val="FootnoteText"/>
      </w:pPr>
      <w:r w:rsidRPr="004F3E1C">
        <w:rPr>
          <w:rStyle w:val="FootnoteReference"/>
          <w:rFonts w:ascii="Arial" w:hAnsi="Arial" w:cs="Arial"/>
          <w:sz w:val="18"/>
          <w:szCs w:val="18"/>
        </w:rPr>
        <w:footnoteRef/>
      </w:r>
      <w:r w:rsidRPr="004F3E1C">
        <w:rPr>
          <w:rFonts w:ascii="Arial" w:hAnsi="Arial" w:cs="Arial"/>
          <w:sz w:val="18"/>
          <w:szCs w:val="18"/>
        </w:rPr>
        <w:t xml:space="preserve"> </w:t>
      </w:r>
      <w:r w:rsidRPr="004F3E1C">
        <w:rPr>
          <w:rFonts w:ascii="Arial" w:hAnsi="Arial" w:cs="Arial"/>
          <w:sz w:val="18"/>
          <w:szCs w:val="18"/>
          <w:lang w:val="en-US"/>
        </w:rPr>
        <w:t>F</w:t>
      </w:r>
      <w:r>
        <w:rPr>
          <w:rFonts w:ascii="Arial" w:hAnsi="Arial" w:cs="Arial"/>
          <w:sz w:val="18"/>
          <w:szCs w:val="18"/>
          <w:lang w:val="en-US"/>
        </w:rPr>
        <w:t>CAI 2018, p. 4</w:t>
      </w:r>
      <w:r w:rsidRPr="004F3E1C">
        <w:rPr>
          <w:rFonts w:ascii="Arial" w:hAnsi="Arial" w:cs="Arial"/>
          <w:sz w:val="18"/>
          <w:szCs w:val="18"/>
          <w:lang w:val="en-US"/>
        </w:rPr>
        <w:t xml:space="preserve"> </w:t>
      </w:r>
      <w:r>
        <w:rPr>
          <w:rFonts w:ascii="Arial" w:hAnsi="Arial" w:cs="Arial"/>
          <w:sz w:val="18"/>
          <w:szCs w:val="18"/>
          <w:lang w:val="en-US"/>
        </w:rPr>
        <w:t xml:space="preserve">(Ibid footnote </w:t>
      </w:r>
      <w:r>
        <w:rPr>
          <w:rFonts w:ascii="Arial" w:hAnsi="Arial" w:cs="Arial"/>
          <w:sz w:val="18"/>
          <w:szCs w:val="18"/>
          <w:lang w:val="en-US"/>
        </w:rPr>
        <w:fldChar w:fldCharType="begin"/>
      </w:r>
      <w:r>
        <w:rPr>
          <w:rFonts w:ascii="Arial" w:hAnsi="Arial" w:cs="Arial"/>
          <w:sz w:val="18"/>
          <w:szCs w:val="18"/>
          <w:lang w:val="en-US"/>
        </w:rPr>
        <w:instrText xml:space="preserve"> NOTEREF _Ref530471234 \h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t>24</w:t>
      </w:r>
      <w:r>
        <w:rPr>
          <w:rFonts w:ascii="Arial" w:hAnsi="Arial" w:cs="Arial"/>
          <w:sz w:val="18"/>
          <w:szCs w:val="18"/>
          <w:lang w:val="en-US"/>
        </w:rPr>
        <w:fldChar w:fldCharType="end"/>
      </w:r>
      <w:r>
        <w:rPr>
          <w:rFonts w:ascii="Arial" w:hAnsi="Arial" w:cs="Arial"/>
          <w:sz w:val="18"/>
          <w:szCs w:val="18"/>
          <w:lang w:val="en-US"/>
        </w:rPr>
        <w:t>).</w:t>
      </w:r>
    </w:p>
  </w:footnote>
  <w:footnote w:id="31">
    <w:p w:rsidR="0095124D" w:rsidRPr="001604E7" w:rsidRDefault="0095124D">
      <w:pPr>
        <w:pStyle w:val="FootnoteText"/>
        <w:rPr>
          <w:rFonts w:ascii="Arial" w:hAnsi="Arial" w:cs="Arial"/>
          <w:sz w:val="18"/>
          <w:szCs w:val="18"/>
          <w:lang w:val="en-US"/>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 xml:space="preserve">IBISWorld Industry Report G3911, </w:t>
      </w:r>
      <w:r w:rsidRPr="003E4B96">
        <w:rPr>
          <w:rFonts w:ascii="Arial" w:hAnsi="Arial" w:cs="Arial"/>
          <w:i/>
          <w:sz w:val="18"/>
          <w:szCs w:val="18"/>
          <w:lang w:val="en-US"/>
        </w:rPr>
        <w:t>Motor Vehicle Dealers in Australia</w:t>
      </w:r>
      <w:r>
        <w:rPr>
          <w:rFonts w:ascii="Arial" w:hAnsi="Arial" w:cs="Arial"/>
          <w:sz w:val="18"/>
          <w:szCs w:val="18"/>
          <w:lang w:val="en-US"/>
        </w:rPr>
        <w:t>,</w:t>
      </w:r>
      <w:r w:rsidRPr="001604E7">
        <w:rPr>
          <w:rFonts w:ascii="Arial" w:hAnsi="Arial" w:cs="Arial"/>
          <w:sz w:val="18"/>
          <w:szCs w:val="18"/>
          <w:lang w:val="en-US"/>
        </w:rPr>
        <w:t xml:space="preserve"> April 2018, p. 24</w:t>
      </w:r>
      <w:r>
        <w:rPr>
          <w:rFonts w:ascii="Arial" w:hAnsi="Arial" w:cs="Arial"/>
          <w:sz w:val="18"/>
          <w:szCs w:val="18"/>
          <w:lang w:val="en-US"/>
        </w:rPr>
        <w:t>.</w:t>
      </w:r>
    </w:p>
  </w:footnote>
  <w:footnote w:id="32">
    <w:p w:rsidR="0095124D" w:rsidRPr="001604E7" w:rsidRDefault="0095124D">
      <w:pPr>
        <w:pStyle w:val="FootnoteText"/>
        <w:rPr>
          <w:rFonts w:ascii="Arial" w:hAnsi="Arial" w:cs="Arial"/>
          <w:sz w:val="18"/>
          <w:szCs w:val="18"/>
          <w:lang w:val="en-US"/>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 xml:space="preserve">IBISWorld Industry Report (Ibid footnote </w:t>
      </w:r>
      <w:r>
        <w:rPr>
          <w:rFonts w:ascii="Arial" w:hAnsi="Arial" w:cs="Arial"/>
          <w:sz w:val="18"/>
          <w:szCs w:val="18"/>
        </w:rPr>
        <w:fldChar w:fldCharType="begin"/>
      </w:r>
      <w:r>
        <w:rPr>
          <w:rFonts w:ascii="Arial" w:hAnsi="Arial" w:cs="Arial"/>
          <w:sz w:val="18"/>
          <w:szCs w:val="18"/>
        </w:rPr>
        <w:instrText xml:space="preserve"> NOTEREF _Ref530471788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30</w:t>
      </w:r>
      <w:r>
        <w:rPr>
          <w:rFonts w:ascii="Arial" w:hAnsi="Arial" w:cs="Arial"/>
          <w:sz w:val="18"/>
          <w:szCs w:val="18"/>
        </w:rPr>
        <w:fldChar w:fldCharType="end"/>
      </w:r>
      <w:r>
        <w:rPr>
          <w:rFonts w:ascii="Arial" w:hAnsi="Arial" w:cs="Arial"/>
          <w:sz w:val="18"/>
          <w:szCs w:val="18"/>
        </w:rPr>
        <w:t>).</w:t>
      </w:r>
    </w:p>
  </w:footnote>
  <w:footnote w:id="33">
    <w:p w:rsidR="0095124D" w:rsidRPr="001604E7" w:rsidRDefault="0095124D">
      <w:pPr>
        <w:pStyle w:val="FootnoteText"/>
        <w:rPr>
          <w:rFonts w:ascii="Arial" w:hAnsi="Arial" w:cs="Arial"/>
          <w:sz w:val="18"/>
          <w:szCs w:val="18"/>
          <w:lang w:val="en-US"/>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 xml:space="preserve">AADA 2018, Inquiry into the operation &amp; effectiveness of the Franchising Code of Conduct, AADA, May 2018, </w:t>
      </w:r>
      <w:r w:rsidRPr="001604E7">
        <w:rPr>
          <w:rFonts w:ascii="Arial" w:hAnsi="Arial" w:cs="Arial"/>
          <w:sz w:val="18"/>
          <w:szCs w:val="18"/>
          <w:lang w:val="en-US"/>
        </w:rPr>
        <w:t>p. 7</w:t>
      </w:r>
      <w:r>
        <w:rPr>
          <w:rFonts w:ascii="Arial" w:hAnsi="Arial" w:cs="Arial"/>
          <w:sz w:val="18"/>
          <w:szCs w:val="18"/>
          <w:lang w:val="en-US"/>
        </w:rPr>
        <w:t>.</w:t>
      </w:r>
    </w:p>
  </w:footnote>
  <w:footnote w:id="34">
    <w:p w:rsidR="0095124D" w:rsidRPr="001604E7" w:rsidRDefault="0095124D">
      <w:pPr>
        <w:pStyle w:val="FootnoteText"/>
        <w:rPr>
          <w:rFonts w:ascii="Arial" w:hAnsi="Arial" w:cs="Arial"/>
          <w:sz w:val="18"/>
          <w:szCs w:val="18"/>
          <w:lang w:val="af-ZA"/>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IBISWorld Industry Report</w:t>
      </w:r>
      <w:r w:rsidRPr="001604E7">
        <w:rPr>
          <w:rFonts w:ascii="Arial" w:hAnsi="Arial" w:cs="Arial"/>
          <w:sz w:val="18"/>
          <w:szCs w:val="18"/>
        </w:rPr>
        <w:t>, p. 7</w:t>
      </w:r>
      <w:r>
        <w:rPr>
          <w:rFonts w:ascii="Arial" w:hAnsi="Arial" w:cs="Arial"/>
          <w:sz w:val="18"/>
          <w:szCs w:val="18"/>
        </w:rPr>
        <w:t xml:space="preserve"> (Ibid footnote </w:t>
      </w:r>
      <w:r>
        <w:rPr>
          <w:rFonts w:ascii="Arial" w:hAnsi="Arial" w:cs="Arial"/>
          <w:sz w:val="18"/>
          <w:szCs w:val="18"/>
        </w:rPr>
        <w:fldChar w:fldCharType="begin"/>
      </w:r>
      <w:r>
        <w:rPr>
          <w:rFonts w:ascii="Arial" w:hAnsi="Arial" w:cs="Arial"/>
          <w:sz w:val="18"/>
          <w:szCs w:val="18"/>
        </w:rPr>
        <w:instrText xml:space="preserve"> NOTEREF _Ref530471788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30</w:t>
      </w:r>
      <w:r>
        <w:rPr>
          <w:rFonts w:ascii="Arial" w:hAnsi="Arial" w:cs="Arial"/>
          <w:sz w:val="18"/>
          <w:szCs w:val="18"/>
        </w:rPr>
        <w:fldChar w:fldCharType="end"/>
      </w:r>
      <w:r>
        <w:rPr>
          <w:rFonts w:ascii="Arial" w:hAnsi="Arial" w:cs="Arial"/>
          <w:sz w:val="18"/>
          <w:szCs w:val="18"/>
        </w:rPr>
        <w:t>).</w:t>
      </w:r>
    </w:p>
  </w:footnote>
  <w:footnote w:id="35">
    <w:p w:rsidR="0095124D" w:rsidRPr="001604E7" w:rsidRDefault="0095124D">
      <w:pPr>
        <w:pStyle w:val="FootnoteText"/>
        <w:rPr>
          <w:rFonts w:ascii="Arial" w:hAnsi="Arial" w:cs="Arial"/>
          <w:sz w:val="18"/>
          <w:szCs w:val="18"/>
          <w:lang w:val="af-ZA"/>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 xml:space="preserve">Turnbull, Samantha, </w:t>
      </w:r>
      <w:r>
        <w:rPr>
          <w:rFonts w:ascii="Arial" w:hAnsi="Arial" w:cs="Arial"/>
          <w:sz w:val="18"/>
          <w:szCs w:val="18"/>
        </w:rPr>
        <w:t xml:space="preserve">MacKenzie, Bruce, Shoebridge, Joanne 2017, </w:t>
      </w:r>
      <w:hyperlink r:id="rId8" w:history="1">
        <w:r w:rsidRPr="0016204F">
          <w:rPr>
            <w:rStyle w:val="Hyperlink"/>
            <w:rFonts w:ascii="Arial" w:hAnsi="Arial" w:cs="Arial"/>
            <w:sz w:val="18"/>
            <w:szCs w:val="18"/>
          </w:rPr>
          <w:t>Holden cuts dealership franchises across Australia</w:t>
        </w:r>
      </w:hyperlink>
      <w:r>
        <w:rPr>
          <w:rFonts w:ascii="Arial" w:hAnsi="Arial" w:cs="Arial"/>
          <w:sz w:val="18"/>
          <w:szCs w:val="18"/>
        </w:rPr>
        <w:t>, ABC, 17 August 2017.</w:t>
      </w:r>
      <w:r w:rsidRPr="001604E7">
        <w:rPr>
          <w:rFonts w:ascii="Arial" w:hAnsi="Arial" w:cs="Arial"/>
          <w:sz w:val="18"/>
          <w:szCs w:val="18"/>
        </w:rPr>
        <w:t xml:space="preserve"> </w:t>
      </w:r>
    </w:p>
  </w:footnote>
  <w:footnote w:id="36">
    <w:p w:rsidR="0095124D" w:rsidRPr="00725690" w:rsidRDefault="0095124D">
      <w:pPr>
        <w:pStyle w:val="FootnoteText"/>
        <w:rPr>
          <w:lang w:val="af-ZA"/>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 xml:space="preserve">AP Eagers, </w:t>
      </w:r>
      <w:r>
        <w:rPr>
          <w:rFonts w:ascii="Arial" w:hAnsi="Arial" w:cs="Arial"/>
          <w:i/>
          <w:sz w:val="18"/>
          <w:szCs w:val="18"/>
        </w:rPr>
        <w:t>About Us</w:t>
      </w:r>
      <w:r>
        <w:rPr>
          <w:rFonts w:ascii="Arial" w:hAnsi="Arial" w:cs="Arial"/>
          <w:sz w:val="18"/>
          <w:szCs w:val="18"/>
        </w:rPr>
        <w:t>, AP Eagers, viewed 19 November 2018, &lt;</w:t>
      </w:r>
      <w:hyperlink r:id="rId9" w:history="1">
        <w:r w:rsidRPr="001604E7">
          <w:rPr>
            <w:rStyle w:val="Hyperlink"/>
            <w:rFonts w:ascii="Arial" w:hAnsi="Arial" w:cs="Arial"/>
            <w:sz w:val="18"/>
            <w:szCs w:val="18"/>
          </w:rPr>
          <w:t>https://www.apeagers.com.au/apeagers-company-info/</w:t>
        </w:r>
      </w:hyperlink>
      <w:r>
        <w:t>&gt;</w:t>
      </w:r>
    </w:p>
  </w:footnote>
  <w:footnote w:id="37">
    <w:p w:rsidR="0095124D" w:rsidRPr="007D0F5C" w:rsidRDefault="0095124D">
      <w:pPr>
        <w:pStyle w:val="FootnoteText"/>
        <w:rPr>
          <w:rFonts w:ascii="Arial" w:hAnsi="Arial" w:cs="Arial"/>
          <w:sz w:val="18"/>
          <w:szCs w:val="18"/>
        </w:rPr>
      </w:pPr>
      <w:r w:rsidRPr="007D0F5C">
        <w:rPr>
          <w:rStyle w:val="FootnoteReference"/>
          <w:rFonts w:ascii="Arial" w:hAnsi="Arial" w:cs="Arial"/>
          <w:sz w:val="18"/>
          <w:szCs w:val="18"/>
        </w:rPr>
        <w:footnoteRef/>
      </w:r>
      <w:r w:rsidRPr="007D0F5C">
        <w:rPr>
          <w:rFonts w:ascii="Arial" w:hAnsi="Arial" w:cs="Arial"/>
          <w:sz w:val="18"/>
          <w:szCs w:val="18"/>
        </w:rPr>
        <w:t xml:space="preserve"> </w:t>
      </w:r>
      <w:r w:rsidRPr="007A7CC7">
        <w:rPr>
          <w:rFonts w:ascii="Arial" w:hAnsi="Arial" w:cs="Arial"/>
          <w:i/>
          <w:sz w:val="18"/>
        </w:rPr>
        <w:t>Competition and Consumer (Industry Codes—Franchising) Regulation 2014</w:t>
      </w:r>
      <w:r>
        <w:rPr>
          <w:rFonts w:ascii="Arial" w:hAnsi="Arial" w:cs="Arial"/>
          <w:sz w:val="18"/>
        </w:rPr>
        <w:t xml:space="preserve">, clause 6 (Ibid footnote </w:t>
      </w:r>
      <w:r>
        <w:rPr>
          <w:rFonts w:ascii="Arial" w:hAnsi="Arial" w:cs="Arial"/>
          <w:sz w:val="18"/>
        </w:rPr>
        <w:fldChar w:fldCharType="begin"/>
      </w:r>
      <w:r>
        <w:rPr>
          <w:rFonts w:ascii="Arial" w:hAnsi="Arial" w:cs="Arial"/>
          <w:sz w:val="18"/>
        </w:rPr>
        <w:instrText xml:space="preserve"> NOTEREF _Ref530473299 \h </w:instrText>
      </w:r>
      <w:r>
        <w:rPr>
          <w:rFonts w:ascii="Arial" w:hAnsi="Arial" w:cs="Arial"/>
          <w:sz w:val="18"/>
        </w:rPr>
      </w:r>
      <w:r>
        <w:rPr>
          <w:rFonts w:ascii="Arial" w:hAnsi="Arial" w:cs="Arial"/>
          <w:sz w:val="18"/>
        </w:rPr>
        <w:fldChar w:fldCharType="separate"/>
      </w:r>
      <w:r>
        <w:rPr>
          <w:rFonts w:ascii="Arial" w:hAnsi="Arial" w:cs="Arial"/>
          <w:sz w:val="18"/>
        </w:rPr>
        <w:t>9</w:t>
      </w:r>
      <w:r>
        <w:rPr>
          <w:rFonts w:ascii="Arial" w:hAnsi="Arial" w:cs="Arial"/>
          <w:sz w:val="18"/>
        </w:rPr>
        <w:fldChar w:fldCharType="end"/>
      </w:r>
      <w:r>
        <w:rPr>
          <w:rFonts w:ascii="Arial" w:hAnsi="Arial" w:cs="Arial"/>
          <w:sz w:val="18"/>
        </w:rPr>
        <w:t>).</w:t>
      </w:r>
    </w:p>
  </w:footnote>
  <w:footnote w:id="38">
    <w:p w:rsidR="0095124D" w:rsidRPr="007307C7" w:rsidRDefault="0095124D">
      <w:pPr>
        <w:pStyle w:val="FootnoteText"/>
        <w:rPr>
          <w:rFonts w:ascii="Arial" w:hAnsi="Arial" w:cs="Arial"/>
          <w:i/>
        </w:rPr>
      </w:pPr>
      <w:r w:rsidRPr="007307C7">
        <w:rPr>
          <w:rStyle w:val="FootnoteReference"/>
          <w:rFonts w:ascii="Arial" w:hAnsi="Arial" w:cs="Arial"/>
          <w:sz w:val="18"/>
        </w:rPr>
        <w:footnoteRef/>
      </w:r>
      <w:r w:rsidRPr="007307C7">
        <w:rPr>
          <w:rFonts w:ascii="Arial" w:hAnsi="Arial" w:cs="Arial"/>
          <w:sz w:val="18"/>
        </w:rPr>
        <w:t xml:space="preserve"> Australian Competition and Consumer Commission, </w:t>
      </w:r>
      <w:r w:rsidRPr="007307C7">
        <w:rPr>
          <w:rFonts w:ascii="Arial" w:hAnsi="Arial" w:cs="Arial"/>
          <w:i/>
          <w:sz w:val="18"/>
        </w:rPr>
        <w:t xml:space="preserve">Acting in good faith, </w:t>
      </w:r>
      <w:r w:rsidRPr="007307C7">
        <w:rPr>
          <w:rFonts w:ascii="Arial" w:hAnsi="Arial" w:cs="Arial"/>
          <w:sz w:val="18"/>
        </w:rPr>
        <w:t>accessed 21 November 2018 &lt;</w:t>
      </w:r>
      <w:hyperlink r:id="rId10" w:history="1">
        <w:r w:rsidRPr="007307C7">
          <w:rPr>
            <w:rStyle w:val="Hyperlink"/>
            <w:rFonts w:ascii="Arial" w:hAnsi="Arial" w:cs="Arial"/>
            <w:sz w:val="18"/>
          </w:rPr>
          <w:t>https://www.accc.gov.au/business/industry-codes/franchising-code-of-conduct/acting-in-good-faith</w:t>
        </w:r>
      </w:hyperlink>
      <w:r w:rsidRPr="007307C7">
        <w:rPr>
          <w:rFonts w:ascii="Arial" w:hAnsi="Arial" w:cs="Arial"/>
          <w:sz w:val="18"/>
        </w:rPr>
        <w:t xml:space="preserve">&gt; </w:t>
      </w:r>
    </w:p>
  </w:footnote>
  <w:footnote w:id="39">
    <w:p w:rsidR="0095124D" w:rsidRPr="007307C7" w:rsidRDefault="0095124D">
      <w:pPr>
        <w:pStyle w:val="FootnoteText"/>
        <w:rPr>
          <w:rFonts w:ascii="Arial" w:hAnsi="Arial" w:cs="Arial"/>
        </w:rPr>
      </w:pPr>
      <w:r w:rsidRPr="007307C7">
        <w:rPr>
          <w:rStyle w:val="FootnoteReference"/>
          <w:rFonts w:ascii="Arial" w:hAnsi="Arial" w:cs="Arial"/>
          <w:sz w:val="18"/>
        </w:rPr>
        <w:footnoteRef/>
      </w:r>
      <w:r w:rsidRPr="007307C7">
        <w:rPr>
          <w:rFonts w:ascii="Arial" w:hAnsi="Arial" w:cs="Arial"/>
          <w:sz w:val="18"/>
        </w:rPr>
        <w:t xml:space="preserve"> ACCC (Ibid footnote </w:t>
      </w:r>
      <w:r w:rsidRPr="00047796">
        <w:rPr>
          <w:rFonts w:ascii="Arial" w:hAnsi="Arial" w:cs="Arial"/>
          <w:sz w:val="18"/>
        </w:rPr>
        <w:fldChar w:fldCharType="begin"/>
      </w:r>
      <w:r w:rsidRPr="007307C7">
        <w:rPr>
          <w:rFonts w:ascii="Arial" w:hAnsi="Arial" w:cs="Arial"/>
          <w:sz w:val="18"/>
        </w:rPr>
        <w:instrText xml:space="preserve"> NOTEREF _Ref530580157 \h  \* MERGEFORMAT </w:instrText>
      </w:r>
      <w:r w:rsidRPr="00047796">
        <w:rPr>
          <w:rFonts w:ascii="Arial" w:hAnsi="Arial" w:cs="Arial"/>
          <w:sz w:val="18"/>
        </w:rPr>
      </w:r>
      <w:r w:rsidRPr="00047796">
        <w:rPr>
          <w:rFonts w:ascii="Arial" w:hAnsi="Arial" w:cs="Arial"/>
          <w:sz w:val="18"/>
        </w:rPr>
        <w:fldChar w:fldCharType="separate"/>
      </w:r>
      <w:r w:rsidRPr="005A016A">
        <w:rPr>
          <w:rFonts w:ascii="Arial" w:hAnsi="Arial" w:cs="Arial"/>
          <w:sz w:val="18"/>
        </w:rPr>
        <w:t>37</w:t>
      </w:r>
      <w:r w:rsidRPr="00047796">
        <w:rPr>
          <w:rFonts w:ascii="Arial" w:hAnsi="Arial" w:cs="Arial"/>
          <w:sz w:val="18"/>
        </w:rPr>
        <w:fldChar w:fldCharType="end"/>
      </w:r>
      <w:r w:rsidRPr="007307C7">
        <w:rPr>
          <w:rFonts w:ascii="Arial" w:hAnsi="Arial" w:cs="Arial"/>
          <w:sz w:val="18"/>
        </w:rPr>
        <w:t>).</w:t>
      </w:r>
    </w:p>
  </w:footnote>
  <w:footnote w:id="40">
    <w:p w:rsidR="0095124D" w:rsidRPr="004F3E1C" w:rsidRDefault="0095124D" w:rsidP="00DD14F2">
      <w:pPr>
        <w:pStyle w:val="FootnoteText"/>
        <w:rPr>
          <w:rFonts w:ascii="Arial" w:hAnsi="Arial" w:cs="Arial"/>
          <w:sz w:val="18"/>
          <w:szCs w:val="18"/>
          <w:lang w:val="en-US"/>
        </w:rPr>
      </w:pPr>
      <w:r w:rsidRPr="007D0F5C">
        <w:rPr>
          <w:rStyle w:val="FootnoteReference"/>
          <w:rFonts w:ascii="Arial" w:hAnsi="Arial" w:cs="Arial"/>
          <w:sz w:val="18"/>
          <w:szCs w:val="18"/>
        </w:rPr>
        <w:footnoteRef/>
      </w:r>
      <w:r w:rsidRPr="007D0F5C">
        <w:rPr>
          <w:rFonts w:ascii="Arial" w:hAnsi="Arial" w:cs="Arial"/>
          <w:sz w:val="18"/>
          <w:szCs w:val="18"/>
        </w:rPr>
        <w:t xml:space="preserve"> </w:t>
      </w:r>
      <w:r w:rsidRPr="007D0F5C" w:rsidDel="009C7F40">
        <w:rPr>
          <w:rFonts w:ascii="Arial" w:hAnsi="Arial" w:cs="Arial"/>
          <w:sz w:val="18"/>
          <w:szCs w:val="18"/>
        </w:rPr>
        <w:t>ACCC</w:t>
      </w:r>
      <w:r w:rsidRPr="007D0F5C">
        <w:rPr>
          <w:rFonts w:ascii="Arial" w:hAnsi="Arial" w:cs="Arial"/>
          <w:sz w:val="18"/>
          <w:szCs w:val="18"/>
        </w:rPr>
        <w:t>, p. 79</w:t>
      </w:r>
      <w:r w:rsidRPr="007D0F5C" w:rsidDel="009C7F40">
        <w:rPr>
          <w:rFonts w:ascii="Arial" w:hAnsi="Arial" w:cs="Arial"/>
          <w:sz w:val="18"/>
          <w:szCs w:val="18"/>
        </w:rPr>
        <w:t xml:space="preserve"> </w:t>
      </w:r>
      <w:r w:rsidRPr="007D0F5C">
        <w:rPr>
          <w:rFonts w:ascii="Arial" w:hAnsi="Arial" w:cs="Arial"/>
          <w:sz w:val="18"/>
          <w:szCs w:val="18"/>
        </w:rPr>
        <w:t xml:space="preserve">(Ibid footnote </w:t>
      </w:r>
      <w:r w:rsidRPr="007D0F5C">
        <w:rPr>
          <w:rFonts w:ascii="Arial" w:hAnsi="Arial" w:cs="Arial"/>
          <w:sz w:val="18"/>
          <w:szCs w:val="18"/>
        </w:rPr>
        <w:fldChar w:fldCharType="begin"/>
      </w:r>
      <w:r w:rsidRPr="007D0F5C">
        <w:rPr>
          <w:rFonts w:ascii="Arial" w:hAnsi="Arial" w:cs="Arial"/>
          <w:sz w:val="18"/>
          <w:szCs w:val="18"/>
        </w:rPr>
        <w:instrText xml:space="preserve"> NOTEREF _Ref529871249 \h  \* MERGEFORMAT </w:instrText>
      </w:r>
      <w:r w:rsidRPr="007D0F5C">
        <w:rPr>
          <w:rFonts w:ascii="Arial" w:hAnsi="Arial" w:cs="Arial"/>
          <w:sz w:val="18"/>
          <w:szCs w:val="18"/>
        </w:rPr>
      </w:r>
      <w:r w:rsidRPr="007D0F5C">
        <w:rPr>
          <w:rFonts w:ascii="Arial" w:hAnsi="Arial" w:cs="Arial"/>
          <w:sz w:val="18"/>
          <w:szCs w:val="18"/>
        </w:rPr>
        <w:fldChar w:fldCharType="separate"/>
      </w:r>
      <w:r w:rsidRPr="007D0F5C">
        <w:rPr>
          <w:rFonts w:ascii="Arial" w:hAnsi="Arial" w:cs="Arial"/>
          <w:sz w:val="18"/>
          <w:szCs w:val="18"/>
        </w:rPr>
        <w:t>1</w:t>
      </w:r>
      <w:r w:rsidRPr="007D0F5C">
        <w:rPr>
          <w:rFonts w:ascii="Arial" w:hAnsi="Arial" w:cs="Arial"/>
          <w:sz w:val="18"/>
          <w:szCs w:val="18"/>
        </w:rPr>
        <w:fldChar w:fldCharType="end"/>
      </w:r>
      <w:r w:rsidRPr="007D0F5C">
        <w:rPr>
          <w:rFonts w:ascii="Arial" w:hAnsi="Arial" w:cs="Arial"/>
          <w:sz w:val="18"/>
          <w:szCs w:val="18"/>
        </w:rPr>
        <w:t>).</w:t>
      </w:r>
    </w:p>
  </w:footnote>
  <w:footnote w:id="41">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w:t>
      </w:r>
      <w:r>
        <w:rPr>
          <w:rFonts w:ascii="Arial" w:hAnsi="Arial" w:cs="Arial"/>
          <w:sz w:val="18"/>
          <w:szCs w:val="18"/>
        </w:rPr>
        <w:t xml:space="preserve">AADA 2018, p. 4 (Ibid footnote </w:t>
      </w:r>
      <w:r>
        <w:rPr>
          <w:rFonts w:ascii="Arial" w:hAnsi="Arial" w:cs="Arial"/>
          <w:sz w:val="18"/>
          <w:szCs w:val="18"/>
        </w:rPr>
        <w:fldChar w:fldCharType="begin"/>
      </w:r>
      <w:r>
        <w:rPr>
          <w:rFonts w:ascii="Arial" w:hAnsi="Arial" w:cs="Arial"/>
          <w:sz w:val="18"/>
          <w:szCs w:val="18"/>
        </w:rPr>
        <w:instrText xml:space="preserve"> NOTEREF _Ref530473742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32</w:t>
      </w:r>
      <w:r>
        <w:rPr>
          <w:rFonts w:ascii="Arial" w:hAnsi="Arial" w:cs="Arial"/>
          <w:sz w:val="18"/>
          <w:szCs w:val="18"/>
        </w:rPr>
        <w:fldChar w:fldCharType="end"/>
      </w:r>
      <w:r>
        <w:rPr>
          <w:rFonts w:ascii="Arial" w:hAnsi="Arial" w:cs="Arial"/>
          <w:sz w:val="18"/>
          <w:szCs w:val="18"/>
        </w:rPr>
        <w:t>), MTAA 2018, Submission to the PJC Inquiry, p.19.</w:t>
      </w:r>
    </w:p>
  </w:footnote>
  <w:footnote w:id="42">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w:t>
      </w:r>
      <w:r>
        <w:rPr>
          <w:rFonts w:ascii="Arial" w:hAnsi="Arial" w:cs="Arial"/>
          <w:sz w:val="18"/>
          <w:szCs w:val="18"/>
        </w:rPr>
        <w:t xml:space="preserve">Turnbull, Samantha; </w:t>
      </w:r>
      <w:r>
        <w:rPr>
          <w:rFonts w:ascii="Arial" w:hAnsi="Arial" w:cs="Arial"/>
          <w:sz w:val="18"/>
          <w:szCs w:val="18"/>
        </w:rPr>
        <w:t xml:space="preserve">MacKenzie, Bruce; Shoebridge, Joanne (Ibid footnote </w:t>
      </w:r>
      <w:r>
        <w:rPr>
          <w:rFonts w:ascii="Arial" w:hAnsi="Arial" w:cs="Arial"/>
          <w:sz w:val="18"/>
          <w:szCs w:val="18"/>
        </w:rPr>
        <w:fldChar w:fldCharType="begin"/>
      </w:r>
      <w:r>
        <w:rPr>
          <w:rFonts w:ascii="Arial" w:hAnsi="Arial" w:cs="Arial"/>
          <w:sz w:val="18"/>
          <w:szCs w:val="18"/>
        </w:rPr>
        <w:instrText xml:space="preserve"> NOTEREF _Ref530473871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34</w:t>
      </w:r>
      <w:r>
        <w:rPr>
          <w:rFonts w:ascii="Arial" w:hAnsi="Arial" w:cs="Arial"/>
          <w:sz w:val="18"/>
          <w:szCs w:val="18"/>
        </w:rPr>
        <w:fldChar w:fldCharType="end"/>
      </w:r>
      <w:r>
        <w:rPr>
          <w:rFonts w:ascii="Arial" w:hAnsi="Arial" w:cs="Arial"/>
          <w:sz w:val="18"/>
          <w:szCs w:val="18"/>
        </w:rPr>
        <w:t xml:space="preserve">); AADA 2018, p. 3 (Ibid footnote </w:t>
      </w:r>
      <w:r>
        <w:rPr>
          <w:rFonts w:ascii="Arial" w:hAnsi="Arial" w:cs="Arial"/>
          <w:sz w:val="18"/>
          <w:szCs w:val="18"/>
        </w:rPr>
        <w:fldChar w:fldCharType="begin"/>
      </w:r>
      <w:r>
        <w:rPr>
          <w:rFonts w:ascii="Arial" w:hAnsi="Arial" w:cs="Arial"/>
          <w:sz w:val="18"/>
          <w:szCs w:val="18"/>
        </w:rPr>
        <w:instrText xml:space="preserve"> NOTEREF _Ref530473742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32</w:t>
      </w:r>
      <w:r>
        <w:rPr>
          <w:rFonts w:ascii="Arial" w:hAnsi="Arial" w:cs="Arial"/>
          <w:sz w:val="18"/>
          <w:szCs w:val="18"/>
        </w:rPr>
        <w:fldChar w:fldCharType="end"/>
      </w:r>
      <w:r>
        <w:rPr>
          <w:rFonts w:ascii="Arial" w:hAnsi="Arial" w:cs="Arial"/>
          <w:sz w:val="18"/>
          <w:szCs w:val="18"/>
        </w:rPr>
        <w:t>).</w:t>
      </w:r>
    </w:p>
  </w:footnote>
  <w:footnote w:id="43">
    <w:p w:rsidR="0095124D" w:rsidRPr="002337BA" w:rsidRDefault="0095124D">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w:t>
      </w:r>
      <w:r w:rsidRPr="007A7CC7">
        <w:rPr>
          <w:rFonts w:ascii="Arial" w:hAnsi="Arial" w:cs="Arial"/>
          <w:sz w:val="18"/>
          <w:szCs w:val="18"/>
          <w:lang w:val="af-ZA"/>
        </w:rPr>
        <w:t>ACCC, p</w:t>
      </w:r>
      <w:r>
        <w:rPr>
          <w:rFonts w:ascii="Arial" w:hAnsi="Arial" w:cs="Arial"/>
          <w:sz w:val="18"/>
          <w:szCs w:val="18"/>
          <w:lang w:val="af-ZA"/>
        </w:rPr>
        <w:t>.</w:t>
      </w:r>
      <w:r w:rsidRPr="007A7CC7">
        <w:rPr>
          <w:rFonts w:ascii="Arial" w:hAnsi="Arial" w:cs="Arial"/>
          <w:sz w:val="18"/>
          <w:szCs w:val="18"/>
          <w:lang w:val="af-ZA"/>
        </w:rPr>
        <w:t xml:space="preserve"> 80</w:t>
      </w:r>
      <w:r>
        <w:rPr>
          <w:rFonts w:ascii="Arial" w:hAnsi="Arial" w:cs="Arial"/>
          <w:sz w:val="18"/>
          <w:szCs w:val="18"/>
          <w:lang w:val="af-ZA"/>
        </w:rPr>
        <w:t xml:space="preserve"> (Ibid footnote </w:t>
      </w:r>
      <w:r>
        <w:rPr>
          <w:rFonts w:ascii="Arial" w:hAnsi="Arial" w:cs="Arial"/>
          <w:sz w:val="18"/>
          <w:szCs w:val="18"/>
          <w:lang w:val="af-ZA"/>
        </w:rPr>
        <w:fldChar w:fldCharType="begin"/>
      </w:r>
      <w:r>
        <w:rPr>
          <w:rFonts w:ascii="Arial" w:hAnsi="Arial" w:cs="Arial"/>
          <w:sz w:val="18"/>
          <w:szCs w:val="18"/>
          <w:lang w:val="af-ZA"/>
        </w:rPr>
        <w:instrText xml:space="preserve"> NOTEREF _Ref529871249 \h </w:instrText>
      </w:r>
      <w:r>
        <w:rPr>
          <w:rFonts w:ascii="Arial" w:hAnsi="Arial" w:cs="Arial"/>
          <w:sz w:val="18"/>
          <w:szCs w:val="18"/>
          <w:lang w:val="af-ZA"/>
        </w:rPr>
      </w:r>
      <w:r>
        <w:rPr>
          <w:rFonts w:ascii="Arial" w:hAnsi="Arial" w:cs="Arial"/>
          <w:sz w:val="18"/>
          <w:szCs w:val="18"/>
          <w:lang w:val="af-ZA"/>
        </w:rPr>
        <w:fldChar w:fldCharType="separate"/>
      </w:r>
      <w:r>
        <w:rPr>
          <w:rFonts w:ascii="Arial" w:hAnsi="Arial" w:cs="Arial"/>
          <w:sz w:val="18"/>
          <w:szCs w:val="18"/>
          <w:lang w:val="af-ZA"/>
        </w:rPr>
        <w:t>1</w:t>
      </w:r>
      <w:r>
        <w:rPr>
          <w:rFonts w:ascii="Arial" w:hAnsi="Arial" w:cs="Arial"/>
          <w:sz w:val="18"/>
          <w:szCs w:val="18"/>
          <w:lang w:val="af-ZA"/>
        </w:rPr>
        <w:fldChar w:fldCharType="end"/>
      </w:r>
      <w:r>
        <w:rPr>
          <w:rFonts w:ascii="Arial" w:hAnsi="Arial" w:cs="Arial"/>
          <w:sz w:val="18"/>
          <w:szCs w:val="18"/>
          <w:lang w:val="af-ZA"/>
        </w:rPr>
        <w:t>).</w:t>
      </w:r>
    </w:p>
  </w:footnote>
  <w:footnote w:id="44">
    <w:p w:rsidR="0095124D" w:rsidRPr="007A7CC7" w:rsidRDefault="0095124D">
      <w:pPr>
        <w:pStyle w:val="FootnoteText"/>
        <w:rPr>
          <w:rFonts w:ascii="Arial" w:hAnsi="Arial" w:cs="Arial"/>
          <w:sz w:val="18"/>
          <w:szCs w:val="18"/>
          <w:lang w:val="af-ZA"/>
        </w:rPr>
      </w:pPr>
      <w:r w:rsidRPr="007A7CC7">
        <w:rPr>
          <w:rStyle w:val="FootnoteReference"/>
          <w:rFonts w:ascii="Arial" w:hAnsi="Arial" w:cs="Arial"/>
          <w:sz w:val="18"/>
          <w:szCs w:val="18"/>
        </w:rPr>
        <w:footnoteRef/>
      </w:r>
      <w:r w:rsidRPr="007A7CC7">
        <w:rPr>
          <w:rFonts w:ascii="Arial" w:hAnsi="Arial" w:cs="Arial"/>
          <w:sz w:val="18"/>
          <w:szCs w:val="18"/>
        </w:rPr>
        <w:t xml:space="preserve"> </w:t>
      </w:r>
      <w:r w:rsidRPr="007A7CC7">
        <w:rPr>
          <w:rFonts w:ascii="Arial" w:hAnsi="Arial" w:cs="Arial"/>
          <w:sz w:val="18"/>
          <w:szCs w:val="18"/>
          <w:lang w:val="af-ZA"/>
        </w:rPr>
        <w:t>ACCC, p</w:t>
      </w:r>
      <w:r>
        <w:rPr>
          <w:rFonts w:ascii="Arial" w:hAnsi="Arial" w:cs="Arial"/>
          <w:sz w:val="18"/>
          <w:szCs w:val="18"/>
          <w:lang w:val="af-ZA"/>
        </w:rPr>
        <w:t>.</w:t>
      </w:r>
      <w:r w:rsidRPr="007A7CC7">
        <w:rPr>
          <w:rFonts w:ascii="Arial" w:hAnsi="Arial" w:cs="Arial"/>
          <w:sz w:val="18"/>
          <w:szCs w:val="18"/>
          <w:lang w:val="af-ZA"/>
        </w:rPr>
        <w:t xml:space="preserve"> 80</w:t>
      </w:r>
      <w:r>
        <w:rPr>
          <w:rFonts w:ascii="Arial" w:hAnsi="Arial" w:cs="Arial"/>
          <w:sz w:val="18"/>
          <w:szCs w:val="18"/>
          <w:lang w:val="af-ZA"/>
        </w:rPr>
        <w:t xml:space="preserve"> (Ibid footnote </w:t>
      </w:r>
      <w:r>
        <w:rPr>
          <w:rFonts w:ascii="Arial" w:hAnsi="Arial" w:cs="Arial"/>
          <w:sz w:val="18"/>
          <w:szCs w:val="18"/>
          <w:lang w:val="af-ZA"/>
        </w:rPr>
        <w:fldChar w:fldCharType="begin"/>
      </w:r>
      <w:r>
        <w:rPr>
          <w:rFonts w:ascii="Arial" w:hAnsi="Arial" w:cs="Arial"/>
          <w:sz w:val="18"/>
          <w:szCs w:val="18"/>
          <w:lang w:val="af-ZA"/>
        </w:rPr>
        <w:instrText xml:space="preserve"> NOTEREF _Ref529871249 \h </w:instrText>
      </w:r>
      <w:r>
        <w:rPr>
          <w:rFonts w:ascii="Arial" w:hAnsi="Arial" w:cs="Arial"/>
          <w:sz w:val="18"/>
          <w:szCs w:val="18"/>
          <w:lang w:val="af-ZA"/>
        </w:rPr>
      </w:r>
      <w:r>
        <w:rPr>
          <w:rFonts w:ascii="Arial" w:hAnsi="Arial" w:cs="Arial"/>
          <w:sz w:val="18"/>
          <w:szCs w:val="18"/>
          <w:lang w:val="af-ZA"/>
        </w:rPr>
        <w:fldChar w:fldCharType="separate"/>
      </w:r>
      <w:r>
        <w:rPr>
          <w:rFonts w:ascii="Arial" w:hAnsi="Arial" w:cs="Arial"/>
          <w:sz w:val="18"/>
          <w:szCs w:val="18"/>
          <w:lang w:val="af-ZA"/>
        </w:rPr>
        <w:t>1</w:t>
      </w:r>
      <w:r>
        <w:rPr>
          <w:rFonts w:ascii="Arial" w:hAnsi="Arial" w:cs="Arial"/>
          <w:sz w:val="18"/>
          <w:szCs w:val="18"/>
          <w:lang w:val="af-ZA"/>
        </w:rPr>
        <w:fldChar w:fldCharType="end"/>
      </w:r>
      <w:r>
        <w:rPr>
          <w:rFonts w:ascii="Arial" w:hAnsi="Arial" w:cs="Arial"/>
          <w:sz w:val="18"/>
          <w:szCs w:val="18"/>
          <w:lang w:val="af-ZA"/>
        </w:rPr>
        <w:t>).</w:t>
      </w:r>
    </w:p>
  </w:footnote>
  <w:footnote w:id="45">
    <w:p w:rsidR="0095124D" w:rsidRPr="00C677A7" w:rsidRDefault="0095124D">
      <w:pPr>
        <w:pStyle w:val="FootnoteText"/>
        <w:rPr>
          <w:rFonts w:ascii="Arial" w:hAnsi="Arial" w:cs="Arial"/>
          <w:sz w:val="18"/>
          <w:szCs w:val="18"/>
        </w:rPr>
      </w:pPr>
      <w:r w:rsidRPr="00C677A7">
        <w:rPr>
          <w:rStyle w:val="FootnoteReference"/>
          <w:rFonts w:ascii="Arial" w:hAnsi="Arial" w:cs="Arial"/>
          <w:sz w:val="18"/>
          <w:szCs w:val="18"/>
        </w:rPr>
        <w:footnoteRef/>
      </w:r>
      <w:r w:rsidRPr="00C677A7">
        <w:rPr>
          <w:rFonts w:ascii="Arial" w:hAnsi="Arial" w:cs="Arial"/>
          <w:sz w:val="18"/>
          <w:szCs w:val="18"/>
        </w:rPr>
        <w:t xml:space="preserve"> Australian Competition and Consumer Commission 2013, </w:t>
      </w:r>
      <w:hyperlink r:id="rId11" w:history="1">
        <w:r w:rsidRPr="00515605">
          <w:rPr>
            <w:rStyle w:val="Hyperlink"/>
            <w:rFonts w:ascii="Arial" w:hAnsi="Arial" w:cs="Arial"/>
            <w:i/>
            <w:sz w:val="18"/>
            <w:szCs w:val="18"/>
          </w:rPr>
          <w:t>2013 Review of the Franchising Code of Conduct: Supplementary information to ACCC submission</w:t>
        </w:r>
      </w:hyperlink>
      <w:r w:rsidRPr="00C677A7">
        <w:rPr>
          <w:rFonts w:ascii="Arial" w:hAnsi="Arial" w:cs="Arial"/>
          <w:sz w:val="18"/>
          <w:szCs w:val="18"/>
        </w:rPr>
        <w:t>, 8 March 2013, p. 2.</w:t>
      </w:r>
    </w:p>
  </w:footnote>
  <w:footnote w:id="46">
    <w:p w:rsidR="0095124D" w:rsidRPr="007A7CC7" w:rsidRDefault="0095124D" w:rsidP="0048709C">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Office of the NSW Small Business Commissioner 2016, </w:t>
      </w:r>
      <w:hyperlink r:id="rId12" w:history="1">
        <w:r w:rsidRPr="00166EEC">
          <w:rPr>
            <w:rStyle w:val="Hyperlink"/>
            <w:rFonts w:ascii="Arial" w:hAnsi="Arial" w:cs="Arial"/>
            <w:i/>
            <w:sz w:val="18"/>
            <w:szCs w:val="18"/>
          </w:rPr>
          <w:t>Submission to the ACCC’s October 2016 New Car Retailing Industry Market Study (Issues Paper)</w:t>
        </w:r>
      </w:hyperlink>
      <w:r w:rsidRPr="007A7CC7">
        <w:rPr>
          <w:rFonts w:ascii="Arial" w:hAnsi="Arial" w:cs="Arial"/>
          <w:sz w:val="18"/>
          <w:szCs w:val="18"/>
        </w:rPr>
        <w:t>,</w:t>
      </w:r>
      <w:r>
        <w:rPr>
          <w:rFonts w:ascii="Arial" w:hAnsi="Arial" w:cs="Arial"/>
          <w:sz w:val="18"/>
          <w:szCs w:val="18"/>
        </w:rPr>
        <w:t xml:space="preserve"> OSBC, 22 November 2016,</w:t>
      </w:r>
      <w:r w:rsidRPr="007A7CC7">
        <w:rPr>
          <w:rFonts w:ascii="Arial" w:hAnsi="Arial" w:cs="Arial"/>
          <w:sz w:val="18"/>
          <w:szCs w:val="18"/>
        </w:rPr>
        <w:t xml:space="preserve"> p. 1.</w:t>
      </w:r>
    </w:p>
  </w:footnote>
  <w:footnote w:id="47">
    <w:p w:rsidR="0095124D" w:rsidRPr="005621CC" w:rsidRDefault="0095124D" w:rsidP="00DA4E4C">
      <w:pPr>
        <w:pStyle w:val="FootnoteText"/>
        <w:rPr>
          <w:rFonts w:ascii="Arial" w:hAnsi="Arial" w:cs="Arial"/>
          <w:sz w:val="18"/>
          <w:szCs w:val="18"/>
        </w:rPr>
      </w:pPr>
      <w:r w:rsidRPr="005621CC">
        <w:rPr>
          <w:rStyle w:val="FootnoteReference"/>
          <w:rFonts w:ascii="Arial" w:hAnsi="Arial" w:cs="Arial"/>
          <w:sz w:val="18"/>
          <w:szCs w:val="18"/>
        </w:rPr>
        <w:footnoteRef/>
      </w:r>
      <w:r w:rsidRPr="005621CC">
        <w:rPr>
          <w:rFonts w:ascii="Arial" w:hAnsi="Arial" w:cs="Arial"/>
          <w:sz w:val="18"/>
          <w:szCs w:val="18"/>
        </w:rPr>
        <w:t xml:space="preserve"> See the House Standing Committee on Industry, Science and Resources, </w:t>
      </w:r>
      <w:r w:rsidRPr="005621CC">
        <w:rPr>
          <w:rFonts w:ascii="Arial" w:hAnsi="Arial" w:cs="Arial"/>
          <w:i/>
          <w:sz w:val="18"/>
          <w:szCs w:val="18"/>
        </w:rPr>
        <w:t xml:space="preserve">Finding a balance: Towards fair trading in Australia, </w:t>
      </w:r>
      <w:r w:rsidRPr="005621CC">
        <w:rPr>
          <w:rFonts w:ascii="Arial" w:hAnsi="Arial" w:cs="Arial"/>
          <w:sz w:val="18"/>
          <w:szCs w:val="18"/>
        </w:rPr>
        <w:t>May 1997.</w:t>
      </w:r>
    </w:p>
  </w:footnote>
  <w:footnote w:id="48">
    <w:p w:rsidR="0095124D" w:rsidRPr="00110025" w:rsidRDefault="0095124D">
      <w:pPr>
        <w:pStyle w:val="FootnoteText"/>
        <w:rPr>
          <w:rFonts w:ascii="Arial" w:hAnsi="Arial" w:cs="Arial"/>
          <w:sz w:val="18"/>
          <w:szCs w:val="18"/>
        </w:rPr>
      </w:pPr>
      <w:r w:rsidRPr="00110025">
        <w:rPr>
          <w:rStyle w:val="FootnoteReference"/>
          <w:rFonts w:ascii="Arial" w:hAnsi="Arial" w:cs="Arial"/>
          <w:sz w:val="18"/>
          <w:szCs w:val="18"/>
        </w:rPr>
        <w:footnoteRef/>
      </w:r>
      <w:r w:rsidRPr="00110025">
        <w:rPr>
          <w:rFonts w:ascii="Arial" w:hAnsi="Arial" w:cs="Arial"/>
          <w:sz w:val="18"/>
          <w:szCs w:val="18"/>
        </w:rPr>
        <w:t xml:space="preserve"> </w:t>
      </w:r>
      <w:r>
        <w:rPr>
          <w:rFonts w:ascii="Arial" w:hAnsi="Arial" w:cs="Arial"/>
          <w:sz w:val="18"/>
        </w:rPr>
        <w:t xml:space="preserve">AADA 2017, </w:t>
      </w:r>
      <w:hyperlink r:id="rId13" w:history="1">
        <w:r w:rsidRPr="00784866">
          <w:rPr>
            <w:rStyle w:val="Hyperlink"/>
            <w:rFonts w:ascii="Arial" w:hAnsi="Arial" w:cs="Arial"/>
            <w:sz w:val="18"/>
          </w:rPr>
          <w:t>Australian Automotive Dealer Association submission to the ACCC issues paper</w:t>
        </w:r>
      </w:hyperlink>
      <w:r>
        <w:rPr>
          <w:rFonts w:ascii="Arial" w:hAnsi="Arial" w:cs="Arial"/>
          <w:sz w:val="18"/>
        </w:rPr>
        <w:t xml:space="preserve">, AADA, 19 October 2017, </w:t>
      </w:r>
      <w:r>
        <w:rPr>
          <w:rFonts w:ascii="Arial" w:hAnsi="Arial" w:cs="Arial"/>
          <w:sz w:val="18"/>
          <w:szCs w:val="18"/>
        </w:rPr>
        <w:t>p. 3.</w:t>
      </w:r>
    </w:p>
  </w:footnote>
  <w:footnote w:id="49">
    <w:p w:rsidR="0095124D" w:rsidRPr="00110025" w:rsidRDefault="0095124D" w:rsidP="00CF77B6">
      <w:pPr>
        <w:pStyle w:val="FootnoteText"/>
        <w:rPr>
          <w:rFonts w:ascii="Arial" w:hAnsi="Arial" w:cs="Arial"/>
          <w:sz w:val="18"/>
          <w:szCs w:val="18"/>
          <w:lang w:val="en-US"/>
        </w:rPr>
      </w:pPr>
      <w:r w:rsidRPr="00110025">
        <w:rPr>
          <w:rStyle w:val="FootnoteReference"/>
          <w:rFonts w:ascii="Arial" w:hAnsi="Arial" w:cs="Arial"/>
          <w:sz w:val="18"/>
          <w:szCs w:val="18"/>
        </w:rPr>
        <w:footnoteRef/>
      </w:r>
      <w:r w:rsidRPr="00110025">
        <w:rPr>
          <w:rFonts w:ascii="Arial" w:hAnsi="Arial" w:cs="Arial"/>
          <w:sz w:val="18"/>
          <w:szCs w:val="18"/>
        </w:rPr>
        <w:t xml:space="preserve"> Motor Trades Association of Australia 2018, </w:t>
      </w:r>
      <w:r w:rsidRPr="00110025">
        <w:rPr>
          <w:rFonts w:ascii="Arial" w:hAnsi="Arial" w:cs="Arial"/>
          <w:i/>
          <w:sz w:val="18"/>
          <w:szCs w:val="18"/>
        </w:rPr>
        <w:t>MTAA Limited Submission to the Parliamentary Joint Committee on Corporations and Financial Services on the operation and effectiveness of the Franchising Code of Conduct</w:t>
      </w:r>
      <w:r w:rsidRPr="00110025">
        <w:rPr>
          <w:rFonts w:ascii="Arial" w:hAnsi="Arial" w:cs="Arial"/>
          <w:sz w:val="18"/>
          <w:szCs w:val="18"/>
        </w:rPr>
        <w:t>, May, MTAA, p 18.</w:t>
      </w:r>
    </w:p>
  </w:footnote>
  <w:footnote w:id="50">
    <w:p w:rsidR="0095124D" w:rsidRPr="00110025" w:rsidRDefault="0095124D" w:rsidP="00CF77B6">
      <w:pPr>
        <w:pStyle w:val="FootnoteText"/>
        <w:rPr>
          <w:rFonts w:ascii="Arial" w:hAnsi="Arial" w:cs="Arial"/>
          <w:sz w:val="18"/>
          <w:szCs w:val="18"/>
          <w:lang w:val="en-US"/>
        </w:rPr>
      </w:pPr>
      <w:r w:rsidRPr="00110025">
        <w:rPr>
          <w:rStyle w:val="FootnoteReference"/>
          <w:rFonts w:ascii="Arial" w:hAnsi="Arial" w:cs="Arial"/>
          <w:sz w:val="18"/>
          <w:szCs w:val="18"/>
        </w:rPr>
        <w:footnoteRef/>
      </w:r>
      <w:r w:rsidRPr="00110025">
        <w:rPr>
          <w:rFonts w:ascii="Arial" w:hAnsi="Arial" w:cs="Arial"/>
          <w:sz w:val="18"/>
          <w:szCs w:val="18"/>
        </w:rPr>
        <w:t xml:space="preserve"> </w:t>
      </w:r>
      <w:r>
        <w:rPr>
          <w:rFonts w:ascii="Arial" w:hAnsi="Arial" w:cs="Arial"/>
          <w:sz w:val="18"/>
          <w:szCs w:val="18"/>
        </w:rPr>
        <w:t xml:space="preserve">MTAA 2018 (Ibid footnote </w:t>
      </w:r>
      <w:r>
        <w:rPr>
          <w:rFonts w:ascii="Arial" w:hAnsi="Arial" w:cs="Arial"/>
          <w:sz w:val="18"/>
          <w:szCs w:val="18"/>
        </w:rPr>
        <w:fldChar w:fldCharType="begin"/>
      </w:r>
      <w:r>
        <w:rPr>
          <w:rFonts w:ascii="Arial" w:hAnsi="Arial" w:cs="Arial"/>
          <w:sz w:val="18"/>
          <w:szCs w:val="18"/>
        </w:rPr>
        <w:instrText xml:space="preserve"> NOTEREF _Ref530483953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48</w:t>
      </w:r>
      <w:r>
        <w:rPr>
          <w:rFonts w:ascii="Arial" w:hAnsi="Arial" w:cs="Arial"/>
          <w:sz w:val="18"/>
          <w:szCs w:val="18"/>
        </w:rPr>
        <w:fldChar w:fldCharType="end"/>
      </w:r>
      <w:r w:rsidRPr="00110025">
        <w:rPr>
          <w:rFonts w:ascii="Arial" w:hAnsi="Arial" w:cs="Arial"/>
          <w:sz w:val="18"/>
          <w:szCs w:val="18"/>
        </w:rPr>
        <w:t>).</w:t>
      </w:r>
    </w:p>
  </w:footnote>
  <w:footnote w:id="51">
    <w:p w:rsidR="0095124D" w:rsidRPr="00110025" w:rsidRDefault="0095124D" w:rsidP="00CF77B6">
      <w:pPr>
        <w:pStyle w:val="FootnoteText"/>
        <w:rPr>
          <w:rFonts w:ascii="Arial" w:hAnsi="Arial" w:cs="Arial"/>
          <w:sz w:val="18"/>
          <w:szCs w:val="18"/>
          <w:lang w:val="en-US"/>
        </w:rPr>
      </w:pPr>
      <w:r w:rsidRPr="00110025">
        <w:rPr>
          <w:rStyle w:val="FootnoteReference"/>
          <w:rFonts w:ascii="Arial" w:hAnsi="Arial" w:cs="Arial"/>
          <w:sz w:val="18"/>
          <w:szCs w:val="18"/>
        </w:rPr>
        <w:footnoteRef/>
      </w:r>
      <w:r w:rsidRPr="00110025">
        <w:rPr>
          <w:rFonts w:ascii="Arial" w:hAnsi="Arial" w:cs="Arial"/>
          <w:sz w:val="18"/>
          <w:szCs w:val="18"/>
        </w:rPr>
        <w:t xml:space="preserve"> </w:t>
      </w:r>
      <w:r>
        <w:rPr>
          <w:rFonts w:ascii="Arial" w:hAnsi="Arial" w:cs="Arial"/>
          <w:sz w:val="18"/>
          <w:szCs w:val="18"/>
        </w:rPr>
        <w:t xml:space="preserve">MTAA 2018 (Ibid footnote </w:t>
      </w:r>
      <w:r>
        <w:rPr>
          <w:rFonts w:ascii="Arial" w:hAnsi="Arial" w:cs="Arial"/>
          <w:sz w:val="18"/>
          <w:szCs w:val="18"/>
        </w:rPr>
        <w:fldChar w:fldCharType="begin"/>
      </w:r>
      <w:r>
        <w:rPr>
          <w:rFonts w:ascii="Arial" w:hAnsi="Arial" w:cs="Arial"/>
          <w:sz w:val="18"/>
          <w:szCs w:val="18"/>
        </w:rPr>
        <w:instrText xml:space="preserve"> NOTEREF _Ref530483953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48</w:t>
      </w:r>
      <w:r>
        <w:rPr>
          <w:rFonts w:ascii="Arial" w:hAnsi="Arial" w:cs="Arial"/>
          <w:sz w:val="18"/>
          <w:szCs w:val="18"/>
        </w:rPr>
        <w:fldChar w:fldCharType="end"/>
      </w:r>
      <w:r w:rsidRPr="00110025">
        <w:rPr>
          <w:rFonts w:ascii="Arial" w:hAnsi="Arial" w:cs="Arial"/>
          <w:sz w:val="18"/>
          <w:szCs w:val="18"/>
        </w:rPr>
        <w:t>).</w:t>
      </w:r>
    </w:p>
  </w:footnote>
  <w:footnote w:id="52">
    <w:p w:rsidR="0095124D" w:rsidRPr="001D739A" w:rsidRDefault="0095124D" w:rsidP="00CF77B6">
      <w:pPr>
        <w:pStyle w:val="FootnoteText"/>
        <w:rPr>
          <w:lang w:val="en-US"/>
        </w:rPr>
      </w:pPr>
      <w:r w:rsidRPr="00110025">
        <w:rPr>
          <w:rStyle w:val="FootnoteReference"/>
          <w:rFonts w:ascii="Arial" w:hAnsi="Arial" w:cs="Arial"/>
          <w:sz w:val="18"/>
          <w:szCs w:val="18"/>
        </w:rPr>
        <w:footnoteRef/>
      </w:r>
      <w:r w:rsidRPr="00110025">
        <w:rPr>
          <w:rFonts w:ascii="Arial" w:hAnsi="Arial" w:cs="Arial"/>
          <w:sz w:val="18"/>
          <w:szCs w:val="18"/>
        </w:rPr>
        <w:t xml:space="preserve"> </w:t>
      </w:r>
      <w:r>
        <w:rPr>
          <w:rFonts w:ascii="Arial" w:hAnsi="Arial" w:cs="Arial"/>
          <w:sz w:val="18"/>
          <w:szCs w:val="18"/>
        </w:rPr>
        <w:t xml:space="preserve">MTAA 2018 (Ibid footnote </w:t>
      </w:r>
      <w:r>
        <w:rPr>
          <w:rFonts w:ascii="Arial" w:hAnsi="Arial" w:cs="Arial"/>
          <w:sz w:val="18"/>
          <w:szCs w:val="18"/>
        </w:rPr>
        <w:fldChar w:fldCharType="begin"/>
      </w:r>
      <w:r>
        <w:rPr>
          <w:rFonts w:ascii="Arial" w:hAnsi="Arial" w:cs="Arial"/>
          <w:sz w:val="18"/>
          <w:szCs w:val="18"/>
        </w:rPr>
        <w:instrText xml:space="preserve"> NOTEREF _Ref530483953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48</w:t>
      </w:r>
      <w:r>
        <w:rPr>
          <w:rFonts w:ascii="Arial" w:hAnsi="Arial" w:cs="Arial"/>
          <w:sz w:val="18"/>
          <w:szCs w:val="18"/>
        </w:rPr>
        <w:fldChar w:fldCharType="end"/>
      </w:r>
      <w:r w:rsidRPr="00110025">
        <w:rPr>
          <w:rFonts w:ascii="Arial" w:hAnsi="Arial" w:cs="Arial"/>
          <w:sz w:val="18"/>
          <w:szCs w:val="18"/>
        </w:rPr>
        <w:t>).</w:t>
      </w:r>
    </w:p>
  </w:footnote>
  <w:footnote w:id="53">
    <w:p w:rsidR="0095124D" w:rsidRPr="007F35DE" w:rsidRDefault="0095124D" w:rsidP="00CF77B6">
      <w:pPr>
        <w:pStyle w:val="FootnoteText"/>
        <w:rPr>
          <w:rFonts w:ascii="Arial" w:hAnsi="Arial" w:cs="Arial"/>
          <w:sz w:val="18"/>
          <w:szCs w:val="18"/>
          <w:lang w:val="en-US"/>
        </w:rPr>
      </w:pPr>
      <w:r w:rsidRPr="007F35DE">
        <w:rPr>
          <w:rStyle w:val="FootnoteReference"/>
          <w:rFonts w:ascii="Arial" w:hAnsi="Arial" w:cs="Arial"/>
          <w:sz w:val="18"/>
          <w:szCs w:val="18"/>
        </w:rPr>
        <w:footnoteRef/>
      </w:r>
      <w:r w:rsidRPr="007F35DE">
        <w:rPr>
          <w:rFonts w:ascii="Arial" w:hAnsi="Arial" w:cs="Arial"/>
          <w:sz w:val="18"/>
          <w:szCs w:val="18"/>
        </w:rPr>
        <w:t xml:space="preserve"> </w:t>
      </w:r>
      <w:r>
        <w:rPr>
          <w:rFonts w:ascii="Arial" w:hAnsi="Arial" w:cs="Arial"/>
          <w:sz w:val="18"/>
          <w:szCs w:val="18"/>
        </w:rPr>
        <w:t>MTAA 2018 (Ibid f</w:t>
      </w:r>
      <w:r w:rsidRPr="007F35DE">
        <w:rPr>
          <w:rFonts w:ascii="Arial" w:hAnsi="Arial" w:cs="Arial"/>
          <w:sz w:val="18"/>
          <w:szCs w:val="18"/>
        </w:rPr>
        <w:t xml:space="preserve">ootnote </w:t>
      </w:r>
      <w:r>
        <w:rPr>
          <w:rFonts w:ascii="Arial" w:hAnsi="Arial" w:cs="Arial"/>
          <w:sz w:val="18"/>
          <w:szCs w:val="18"/>
        </w:rPr>
        <w:fldChar w:fldCharType="begin"/>
      </w:r>
      <w:r>
        <w:rPr>
          <w:rFonts w:ascii="Arial" w:hAnsi="Arial" w:cs="Arial"/>
          <w:sz w:val="18"/>
          <w:szCs w:val="18"/>
        </w:rPr>
        <w:instrText xml:space="preserve"> NOTEREF _Ref530483953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48</w:t>
      </w:r>
      <w:r>
        <w:rPr>
          <w:rFonts w:ascii="Arial" w:hAnsi="Arial" w:cs="Arial"/>
          <w:sz w:val="18"/>
          <w:szCs w:val="18"/>
        </w:rPr>
        <w:fldChar w:fldCharType="end"/>
      </w:r>
      <w:r w:rsidRPr="007F35DE">
        <w:rPr>
          <w:rFonts w:ascii="Arial" w:hAnsi="Arial" w:cs="Arial"/>
          <w:sz w:val="18"/>
          <w:szCs w:val="18"/>
        </w:rPr>
        <w:t>).</w:t>
      </w:r>
    </w:p>
  </w:footnote>
  <w:footnote w:id="54">
    <w:p w:rsidR="0095124D" w:rsidRPr="007F35DE" w:rsidRDefault="0095124D" w:rsidP="00CF77B6">
      <w:pPr>
        <w:pStyle w:val="FootnoteText"/>
        <w:rPr>
          <w:rFonts w:ascii="Arial" w:hAnsi="Arial" w:cs="Arial"/>
          <w:sz w:val="18"/>
          <w:szCs w:val="18"/>
          <w:lang w:val="en-US"/>
        </w:rPr>
      </w:pPr>
      <w:r w:rsidRPr="007F35DE">
        <w:rPr>
          <w:rStyle w:val="FootnoteReference"/>
          <w:rFonts w:ascii="Arial" w:hAnsi="Arial" w:cs="Arial"/>
          <w:sz w:val="18"/>
          <w:szCs w:val="18"/>
        </w:rPr>
        <w:footnoteRef/>
      </w:r>
      <w:r w:rsidRPr="007F35DE">
        <w:rPr>
          <w:rFonts w:ascii="Arial" w:hAnsi="Arial" w:cs="Arial"/>
          <w:sz w:val="18"/>
          <w:szCs w:val="18"/>
        </w:rPr>
        <w:t xml:space="preserve"> </w:t>
      </w:r>
      <w:r>
        <w:rPr>
          <w:rFonts w:ascii="Arial" w:hAnsi="Arial" w:cs="Arial"/>
          <w:sz w:val="18"/>
          <w:szCs w:val="18"/>
        </w:rPr>
        <w:t>MTAA 2018 (Ibid f</w:t>
      </w:r>
      <w:r w:rsidRPr="007F35DE">
        <w:rPr>
          <w:rFonts w:ascii="Arial" w:hAnsi="Arial" w:cs="Arial"/>
          <w:sz w:val="18"/>
          <w:szCs w:val="18"/>
        </w:rPr>
        <w:t xml:space="preserve">ootnote </w:t>
      </w:r>
      <w:r>
        <w:rPr>
          <w:rFonts w:ascii="Arial" w:hAnsi="Arial" w:cs="Arial"/>
          <w:sz w:val="18"/>
          <w:szCs w:val="18"/>
        </w:rPr>
        <w:fldChar w:fldCharType="begin"/>
      </w:r>
      <w:r>
        <w:rPr>
          <w:rFonts w:ascii="Arial" w:hAnsi="Arial" w:cs="Arial"/>
          <w:sz w:val="18"/>
          <w:szCs w:val="18"/>
        </w:rPr>
        <w:instrText xml:space="preserve"> NOTEREF _Ref530483953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48</w:t>
      </w:r>
      <w:r>
        <w:rPr>
          <w:rFonts w:ascii="Arial" w:hAnsi="Arial" w:cs="Arial"/>
          <w:sz w:val="18"/>
          <w:szCs w:val="18"/>
        </w:rPr>
        <w:fldChar w:fldCharType="end"/>
      </w:r>
      <w:r w:rsidRPr="007F35DE">
        <w:rPr>
          <w:rFonts w:ascii="Arial" w:hAnsi="Arial" w:cs="Arial"/>
          <w:sz w:val="18"/>
          <w:szCs w:val="18"/>
        </w:rPr>
        <w:t>).</w:t>
      </w:r>
    </w:p>
  </w:footnote>
  <w:footnote w:id="55">
    <w:p w:rsidR="0095124D" w:rsidRPr="00AF6C99" w:rsidRDefault="0095124D">
      <w:pPr>
        <w:pStyle w:val="FootnoteText"/>
        <w:rPr>
          <w:rFonts w:ascii="Arial" w:hAnsi="Arial" w:cs="Arial"/>
          <w:sz w:val="18"/>
          <w:szCs w:val="18"/>
          <w:lang w:val="en-US"/>
        </w:rPr>
      </w:pPr>
      <w:r w:rsidRPr="00AF6C99">
        <w:rPr>
          <w:rStyle w:val="FootnoteReference"/>
          <w:rFonts w:ascii="Arial" w:hAnsi="Arial" w:cs="Arial"/>
          <w:sz w:val="18"/>
          <w:szCs w:val="18"/>
        </w:rPr>
        <w:footnoteRef/>
      </w:r>
      <w:r w:rsidRPr="00AF6C99">
        <w:rPr>
          <w:rFonts w:ascii="Arial" w:hAnsi="Arial" w:cs="Arial"/>
          <w:sz w:val="18"/>
          <w:szCs w:val="18"/>
        </w:rPr>
        <w:t xml:space="preserve"> </w:t>
      </w:r>
      <w:r w:rsidRPr="00AF6C99">
        <w:rPr>
          <w:rFonts w:ascii="Arial" w:hAnsi="Arial" w:cs="Arial"/>
          <w:sz w:val="18"/>
          <w:szCs w:val="18"/>
          <w:lang w:val="en-US"/>
        </w:rPr>
        <w:t xml:space="preserve">Estimate based on new car sales data provided by FCAI, industry stakeholder estimates of 65 as the average number of days new car stock is held and 3500 dealerships. </w:t>
      </w:r>
    </w:p>
  </w:footnote>
  <w:footnote w:id="56">
    <w:p w:rsidR="0095124D" w:rsidRPr="007A7CC7" w:rsidRDefault="0095124D">
      <w:pPr>
        <w:pStyle w:val="FootnoteText"/>
        <w:rPr>
          <w:rFonts w:ascii="Arial" w:hAnsi="Arial" w:cs="Arial"/>
        </w:rPr>
      </w:pPr>
      <w:r w:rsidRPr="007A7CC7">
        <w:rPr>
          <w:rStyle w:val="FootnoteReference"/>
          <w:rFonts w:ascii="Arial" w:hAnsi="Arial" w:cs="Arial"/>
          <w:sz w:val="18"/>
        </w:rPr>
        <w:footnoteRef/>
      </w:r>
      <w:r w:rsidRPr="007A7CC7">
        <w:rPr>
          <w:rFonts w:ascii="Arial" w:hAnsi="Arial" w:cs="Arial"/>
          <w:sz w:val="18"/>
        </w:rPr>
        <w:t xml:space="preserve"> </w:t>
      </w:r>
      <w:r>
        <w:rPr>
          <w:rFonts w:ascii="Arial" w:hAnsi="Arial" w:cs="Arial"/>
          <w:sz w:val="18"/>
        </w:rPr>
        <w:t>AADA 2017, p</w:t>
      </w:r>
      <w:r w:rsidRPr="007A7CC7">
        <w:rPr>
          <w:rFonts w:ascii="Arial" w:hAnsi="Arial" w:cs="Arial"/>
          <w:sz w:val="18"/>
        </w:rPr>
        <w:t>.</w:t>
      </w:r>
      <w:r>
        <w:rPr>
          <w:rFonts w:ascii="Arial" w:hAnsi="Arial" w:cs="Arial"/>
          <w:sz w:val="18"/>
        </w:rPr>
        <w:t xml:space="preserve"> 2 (Ibid footnote </w:t>
      </w:r>
      <w:r>
        <w:rPr>
          <w:rFonts w:ascii="Arial" w:hAnsi="Arial" w:cs="Arial"/>
          <w:sz w:val="18"/>
        </w:rPr>
        <w:fldChar w:fldCharType="begin"/>
      </w:r>
      <w:r>
        <w:rPr>
          <w:rFonts w:ascii="Arial" w:hAnsi="Arial" w:cs="Arial"/>
          <w:sz w:val="18"/>
        </w:rPr>
        <w:instrText xml:space="preserve"> NOTEREF _Ref530484354 \h </w:instrText>
      </w:r>
      <w:r>
        <w:rPr>
          <w:rFonts w:ascii="Arial" w:hAnsi="Arial" w:cs="Arial"/>
          <w:sz w:val="18"/>
        </w:rPr>
      </w:r>
      <w:r>
        <w:rPr>
          <w:rFonts w:ascii="Arial" w:hAnsi="Arial" w:cs="Arial"/>
          <w:sz w:val="18"/>
        </w:rPr>
        <w:fldChar w:fldCharType="separate"/>
      </w:r>
      <w:r>
        <w:rPr>
          <w:rFonts w:ascii="Arial" w:hAnsi="Arial" w:cs="Arial"/>
          <w:sz w:val="18"/>
        </w:rPr>
        <w:t>47</w:t>
      </w:r>
      <w:r>
        <w:rPr>
          <w:rFonts w:ascii="Arial" w:hAnsi="Arial" w:cs="Arial"/>
          <w:sz w:val="18"/>
        </w:rPr>
        <w:fldChar w:fldCharType="end"/>
      </w:r>
      <w:r>
        <w:rPr>
          <w:rFonts w:ascii="Arial" w:hAnsi="Arial" w:cs="Arial"/>
          <w:sz w:val="18"/>
        </w:rPr>
        <w:t>).</w:t>
      </w:r>
    </w:p>
  </w:footnote>
  <w:footnote w:id="57">
    <w:p w:rsidR="0095124D" w:rsidRPr="007A7CC7" w:rsidRDefault="0095124D" w:rsidP="00DF07F7">
      <w:pPr>
        <w:pStyle w:val="FootnoteText"/>
        <w:rPr>
          <w:rFonts w:ascii="Arial" w:hAnsi="Arial" w:cs="Arial"/>
        </w:rPr>
      </w:pPr>
      <w:r w:rsidRPr="007A7CC7">
        <w:rPr>
          <w:rStyle w:val="FootnoteReference"/>
          <w:rFonts w:ascii="Arial" w:hAnsi="Arial" w:cs="Arial"/>
          <w:sz w:val="18"/>
        </w:rPr>
        <w:footnoteRef/>
      </w:r>
      <w:r w:rsidRPr="007A7CC7">
        <w:rPr>
          <w:rFonts w:ascii="Arial" w:hAnsi="Arial" w:cs="Arial"/>
          <w:sz w:val="18"/>
        </w:rPr>
        <w:t xml:space="preserve"> </w:t>
      </w:r>
      <w:r w:rsidRPr="004F3E1C">
        <w:rPr>
          <w:rFonts w:ascii="Arial" w:hAnsi="Arial" w:cs="Arial"/>
          <w:sz w:val="18"/>
          <w:szCs w:val="18"/>
          <w:lang w:val="en-US"/>
        </w:rPr>
        <w:t>F</w:t>
      </w:r>
      <w:r>
        <w:rPr>
          <w:rFonts w:ascii="Arial" w:hAnsi="Arial" w:cs="Arial"/>
          <w:sz w:val="18"/>
          <w:szCs w:val="18"/>
          <w:lang w:val="en-US"/>
        </w:rPr>
        <w:t>CAI 2018, p. 3</w:t>
      </w:r>
      <w:r w:rsidRPr="004F3E1C">
        <w:rPr>
          <w:rFonts w:ascii="Arial" w:hAnsi="Arial" w:cs="Arial"/>
          <w:sz w:val="18"/>
          <w:szCs w:val="18"/>
          <w:lang w:val="en-US"/>
        </w:rPr>
        <w:t xml:space="preserve"> </w:t>
      </w:r>
      <w:r>
        <w:rPr>
          <w:rFonts w:ascii="Arial" w:hAnsi="Arial" w:cs="Arial"/>
          <w:sz w:val="18"/>
          <w:szCs w:val="18"/>
          <w:lang w:val="en-US"/>
        </w:rPr>
        <w:t xml:space="preserve">(Ibid footnote </w:t>
      </w:r>
      <w:r>
        <w:rPr>
          <w:rFonts w:ascii="Arial" w:hAnsi="Arial" w:cs="Arial"/>
          <w:sz w:val="18"/>
          <w:szCs w:val="18"/>
          <w:lang w:val="en-US"/>
        </w:rPr>
        <w:fldChar w:fldCharType="begin"/>
      </w:r>
      <w:r>
        <w:rPr>
          <w:rFonts w:ascii="Arial" w:hAnsi="Arial" w:cs="Arial"/>
          <w:sz w:val="18"/>
          <w:szCs w:val="18"/>
          <w:lang w:val="en-US"/>
        </w:rPr>
        <w:instrText xml:space="preserve"> NOTEREF _Ref530471234 \h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t>24</w:t>
      </w:r>
      <w:r>
        <w:rPr>
          <w:rFonts w:ascii="Arial" w:hAnsi="Arial" w:cs="Arial"/>
          <w:sz w:val="18"/>
          <w:szCs w:val="18"/>
          <w:lang w:val="en-US"/>
        </w:rPr>
        <w:fldChar w:fldCharType="end"/>
      </w:r>
      <w:r>
        <w:rPr>
          <w:rFonts w:ascii="Arial" w:hAnsi="Arial" w:cs="Arial"/>
          <w:sz w:val="18"/>
          <w:szCs w:val="18"/>
          <w:lang w:val="en-US"/>
        </w:rPr>
        <w:t>).</w:t>
      </w:r>
    </w:p>
  </w:footnote>
  <w:footnote w:id="58">
    <w:p w:rsidR="0095124D" w:rsidRPr="007E19E1" w:rsidRDefault="0095124D" w:rsidP="00E15E2E">
      <w:pPr>
        <w:pStyle w:val="FootnoteText"/>
        <w:rPr>
          <w:rFonts w:ascii="Arial" w:hAnsi="Arial" w:cs="Arial"/>
          <w:sz w:val="22"/>
        </w:rPr>
      </w:pPr>
      <w:r w:rsidRPr="007E19E1">
        <w:rPr>
          <w:rStyle w:val="FootnoteReference"/>
          <w:rFonts w:ascii="Arial" w:hAnsi="Arial" w:cs="Arial"/>
          <w:sz w:val="18"/>
        </w:rPr>
        <w:footnoteRef/>
      </w:r>
      <w:r w:rsidRPr="007E19E1">
        <w:rPr>
          <w:rFonts w:ascii="Arial" w:hAnsi="Arial" w:cs="Arial"/>
          <w:sz w:val="18"/>
        </w:rPr>
        <w:t xml:space="preserve"> </w:t>
      </w:r>
      <w:r w:rsidRPr="007E19E1">
        <w:rPr>
          <w:rFonts w:ascii="Arial" w:hAnsi="Arial" w:cs="Arial"/>
          <w:i/>
          <w:iCs/>
          <w:sz w:val="18"/>
          <w:lang w:val="en-US"/>
        </w:rPr>
        <w:t>Competition and Consumer (Industry Cod</w:t>
      </w:r>
      <w:r>
        <w:rPr>
          <w:rFonts w:ascii="Arial" w:hAnsi="Arial" w:cs="Arial"/>
          <w:i/>
          <w:iCs/>
          <w:sz w:val="18"/>
          <w:lang w:val="en-US"/>
        </w:rPr>
        <w:t>es—Franchising) Regulation 2014,</w:t>
      </w:r>
      <w:r w:rsidRPr="00AF0693">
        <w:rPr>
          <w:rFonts w:ascii="Arial" w:hAnsi="Arial" w:cs="Arial"/>
          <w:iCs/>
          <w:sz w:val="18"/>
          <w:lang w:val="en-US"/>
        </w:rPr>
        <w:t xml:space="preserve"> </w:t>
      </w:r>
      <w:r w:rsidRPr="00CE53A7">
        <w:rPr>
          <w:rFonts w:ascii="Arial" w:hAnsi="Arial" w:cs="Arial"/>
          <w:iCs/>
          <w:sz w:val="18"/>
          <w:lang w:val="en-US"/>
        </w:rPr>
        <w:t>Part 4.</w:t>
      </w:r>
    </w:p>
  </w:footnote>
  <w:footnote w:id="59">
    <w:p w:rsidR="0095124D" w:rsidRPr="002F6F3E" w:rsidRDefault="0095124D" w:rsidP="00C93A97">
      <w:pPr>
        <w:pStyle w:val="FootnoteText"/>
        <w:rPr>
          <w:rFonts w:ascii="Arial" w:hAnsi="Arial" w:cs="Arial"/>
          <w:sz w:val="18"/>
        </w:rPr>
      </w:pPr>
      <w:r w:rsidRPr="002F6F3E">
        <w:rPr>
          <w:rStyle w:val="FootnoteReference"/>
          <w:rFonts w:ascii="Arial" w:hAnsi="Arial" w:cs="Arial"/>
          <w:sz w:val="18"/>
        </w:rPr>
        <w:footnoteRef/>
      </w:r>
      <w:r w:rsidRPr="002F6F3E">
        <w:rPr>
          <w:rFonts w:ascii="Arial" w:hAnsi="Arial" w:cs="Arial"/>
          <w:sz w:val="18"/>
        </w:rPr>
        <w:t xml:space="preserve"> Office of the NSW Small Business Commissioner 201</w:t>
      </w:r>
      <w:r>
        <w:rPr>
          <w:rFonts w:ascii="Arial" w:hAnsi="Arial" w:cs="Arial"/>
          <w:sz w:val="18"/>
        </w:rPr>
        <w:t xml:space="preserve">7, </w:t>
      </w:r>
      <w:hyperlink r:id="rId14" w:history="1">
        <w:r w:rsidRPr="005934E4">
          <w:rPr>
            <w:rStyle w:val="Hyperlink"/>
            <w:rFonts w:ascii="Arial" w:hAnsi="Arial" w:cs="Arial"/>
            <w:sz w:val="18"/>
          </w:rPr>
          <w:t>Submission on the draft report of the New Car Retailing Industry Market Study</w:t>
        </w:r>
      </w:hyperlink>
      <w:r>
        <w:rPr>
          <w:rFonts w:ascii="Arial" w:hAnsi="Arial" w:cs="Arial"/>
          <w:sz w:val="18"/>
        </w:rPr>
        <w:t>, OSBC, 6 September 2017, p. 2.</w:t>
      </w:r>
    </w:p>
  </w:footnote>
  <w:footnote w:id="60">
    <w:p w:rsidR="0095124D" w:rsidRDefault="0095124D">
      <w:pPr>
        <w:pStyle w:val="FootnoteText"/>
      </w:pPr>
      <w:r w:rsidRPr="002F6F3E">
        <w:rPr>
          <w:rStyle w:val="FootnoteReference"/>
          <w:rFonts w:ascii="Arial" w:hAnsi="Arial" w:cs="Arial"/>
          <w:sz w:val="18"/>
        </w:rPr>
        <w:footnoteRef/>
      </w:r>
      <w:r w:rsidRPr="002F6F3E">
        <w:rPr>
          <w:rFonts w:ascii="Arial" w:hAnsi="Arial" w:cs="Arial"/>
          <w:sz w:val="18"/>
        </w:rPr>
        <w:t xml:space="preserve"> ACCC</w:t>
      </w:r>
      <w:r>
        <w:rPr>
          <w:rFonts w:ascii="Arial" w:hAnsi="Arial" w:cs="Arial"/>
          <w:sz w:val="18"/>
        </w:rPr>
        <w:t xml:space="preserve"> 2017, p. 87 (Ibid footnote </w:t>
      </w:r>
      <w:r>
        <w:rPr>
          <w:rFonts w:ascii="Arial" w:hAnsi="Arial" w:cs="Arial"/>
          <w:sz w:val="18"/>
        </w:rPr>
        <w:fldChar w:fldCharType="begin"/>
      </w:r>
      <w:r>
        <w:rPr>
          <w:rFonts w:ascii="Arial" w:hAnsi="Arial" w:cs="Arial"/>
          <w:sz w:val="18"/>
        </w:rPr>
        <w:instrText xml:space="preserve"> NOTEREF _Ref529871249 \h </w:instrText>
      </w:r>
      <w:r>
        <w:rPr>
          <w:rFonts w:ascii="Arial" w:hAnsi="Arial" w:cs="Arial"/>
          <w:sz w:val="18"/>
        </w:rPr>
      </w:r>
      <w:r>
        <w:rPr>
          <w:rFonts w:ascii="Arial" w:hAnsi="Arial" w:cs="Arial"/>
          <w:sz w:val="18"/>
        </w:rPr>
        <w:fldChar w:fldCharType="separate"/>
      </w:r>
      <w:r>
        <w:rPr>
          <w:rFonts w:ascii="Arial" w:hAnsi="Arial" w:cs="Arial"/>
          <w:sz w:val="18"/>
        </w:rPr>
        <w:t>1</w:t>
      </w:r>
      <w:r>
        <w:rPr>
          <w:rFonts w:ascii="Arial" w:hAnsi="Arial" w:cs="Arial"/>
          <w:sz w:val="18"/>
        </w:rPr>
        <w:fldChar w:fldCharType="end"/>
      </w:r>
      <w:r>
        <w:rPr>
          <w:rFonts w:ascii="Arial" w:hAnsi="Arial" w:cs="Arial"/>
          <w:sz w:val="18"/>
        </w:rPr>
        <w:t>).</w:t>
      </w:r>
    </w:p>
  </w:footnote>
  <w:footnote w:id="61">
    <w:p w:rsidR="0095124D" w:rsidRPr="00C9453A" w:rsidRDefault="0095124D" w:rsidP="00E86C18">
      <w:pPr>
        <w:pStyle w:val="FootnoteText"/>
        <w:rPr>
          <w:rFonts w:ascii="Arial" w:hAnsi="Arial" w:cs="Arial"/>
        </w:rPr>
      </w:pPr>
      <w:r w:rsidRPr="00C9453A">
        <w:rPr>
          <w:rStyle w:val="FootnoteReference"/>
          <w:rFonts w:ascii="Arial" w:hAnsi="Arial" w:cs="Arial"/>
          <w:sz w:val="18"/>
        </w:rPr>
        <w:footnoteRef/>
      </w:r>
      <w:r w:rsidRPr="00C9453A">
        <w:rPr>
          <w:rFonts w:ascii="Arial" w:hAnsi="Arial" w:cs="Arial"/>
          <w:sz w:val="18"/>
        </w:rPr>
        <w:t xml:space="preserve"> V</w:t>
      </w:r>
      <w:r>
        <w:rPr>
          <w:rFonts w:ascii="Arial" w:hAnsi="Arial" w:cs="Arial"/>
          <w:sz w:val="18"/>
        </w:rPr>
        <w:t xml:space="preserve">ictorian </w:t>
      </w:r>
      <w:r w:rsidRPr="00C9453A">
        <w:rPr>
          <w:rFonts w:ascii="Arial" w:hAnsi="Arial" w:cs="Arial"/>
          <w:sz w:val="18"/>
        </w:rPr>
        <w:t>A</w:t>
      </w:r>
      <w:r>
        <w:rPr>
          <w:rFonts w:ascii="Arial" w:hAnsi="Arial" w:cs="Arial"/>
          <w:sz w:val="18"/>
        </w:rPr>
        <w:t xml:space="preserve">utomotive </w:t>
      </w:r>
      <w:r w:rsidRPr="00C9453A">
        <w:rPr>
          <w:rFonts w:ascii="Arial" w:hAnsi="Arial" w:cs="Arial"/>
          <w:sz w:val="18"/>
        </w:rPr>
        <w:t>C</w:t>
      </w:r>
      <w:r>
        <w:rPr>
          <w:rFonts w:ascii="Arial" w:hAnsi="Arial" w:cs="Arial"/>
          <w:sz w:val="18"/>
        </w:rPr>
        <w:t xml:space="preserve">hamber of </w:t>
      </w:r>
      <w:r w:rsidRPr="00C9453A">
        <w:rPr>
          <w:rFonts w:ascii="Arial" w:hAnsi="Arial" w:cs="Arial"/>
          <w:sz w:val="18"/>
        </w:rPr>
        <w:t>C</w:t>
      </w:r>
      <w:r>
        <w:rPr>
          <w:rFonts w:ascii="Arial" w:hAnsi="Arial" w:cs="Arial"/>
          <w:sz w:val="18"/>
        </w:rPr>
        <w:t>ommerce</w:t>
      </w:r>
      <w:r w:rsidRPr="00C9453A">
        <w:rPr>
          <w:rFonts w:ascii="Arial" w:hAnsi="Arial" w:cs="Arial"/>
          <w:sz w:val="18"/>
        </w:rPr>
        <w:t xml:space="preserve"> 2018,</w:t>
      </w:r>
      <w:r>
        <w:rPr>
          <w:rFonts w:ascii="Arial" w:hAnsi="Arial" w:cs="Arial"/>
          <w:sz w:val="18"/>
        </w:rPr>
        <w:t xml:space="preserve"> Submission to Parliamentary Inquiry into the Operation and Effectiveness of the Franchising Code of Conduct, VACC,</w:t>
      </w:r>
      <w:r w:rsidRPr="00C9453A">
        <w:rPr>
          <w:rFonts w:ascii="Arial" w:hAnsi="Arial" w:cs="Arial"/>
          <w:i/>
          <w:sz w:val="18"/>
        </w:rPr>
        <w:t xml:space="preserve"> </w:t>
      </w:r>
      <w:r w:rsidRPr="00C9453A">
        <w:rPr>
          <w:rFonts w:ascii="Arial" w:hAnsi="Arial" w:cs="Arial"/>
          <w:sz w:val="18"/>
        </w:rPr>
        <w:t>4 May 2018, p. 10.</w:t>
      </w:r>
    </w:p>
  </w:footnote>
  <w:footnote w:id="62">
    <w:p w:rsidR="0095124D" w:rsidRPr="008A5B3B" w:rsidRDefault="0095124D" w:rsidP="00F4631F">
      <w:pPr>
        <w:pStyle w:val="FootnoteText"/>
        <w:rPr>
          <w:rFonts w:ascii="Arial" w:hAnsi="Arial" w:cs="Arial"/>
        </w:rPr>
      </w:pPr>
      <w:r w:rsidRPr="008A5B3B">
        <w:rPr>
          <w:rStyle w:val="FootnoteReference"/>
          <w:rFonts w:ascii="Arial" w:hAnsi="Arial" w:cs="Arial"/>
          <w:sz w:val="18"/>
        </w:rPr>
        <w:footnoteRef/>
      </w:r>
      <w:r w:rsidRPr="008A5B3B">
        <w:rPr>
          <w:rFonts w:ascii="Arial" w:hAnsi="Arial" w:cs="Arial"/>
          <w:sz w:val="18"/>
        </w:rPr>
        <w:t xml:space="preserve"> </w:t>
      </w:r>
      <w:r>
        <w:rPr>
          <w:rFonts w:ascii="Arial" w:hAnsi="Arial" w:cs="Arial"/>
          <w:sz w:val="18"/>
        </w:rPr>
        <w:t xml:space="preserve">The Treasury 2000, </w:t>
      </w:r>
      <w:hyperlink r:id="rId15" w:history="1">
        <w:r w:rsidRPr="00CB1CAF">
          <w:rPr>
            <w:rStyle w:val="Hyperlink"/>
            <w:rFonts w:ascii="Arial" w:hAnsi="Arial" w:cs="Arial"/>
            <w:i/>
            <w:sz w:val="18"/>
          </w:rPr>
          <w:t>Industry Self-Regulation in Consumer Markets – Report prepared by the Taskforce on Industry Self-Regulation – Final Report</w:t>
        </w:r>
      </w:hyperlink>
      <w:r w:rsidRPr="008A5B3B">
        <w:rPr>
          <w:rFonts w:ascii="Arial" w:hAnsi="Arial" w:cs="Arial"/>
          <w:sz w:val="18"/>
        </w:rPr>
        <w:t>, August 2000</w:t>
      </w:r>
      <w:r>
        <w:rPr>
          <w:rFonts w:ascii="Arial" w:hAnsi="Arial" w:cs="Arial"/>
          <w:sz w:val="18"/>
        </w:rPr>
        <w:t>, p. 1</w:t>
      </w:r>
      <w:r w:rsidRPr="008A5B3B">
        <w:rPr>
          <w:rFonts w:ascii="Arial" w:hAnsi="Arial" w:cs="Arial"/>
          <w:sz w:val="18"/>
        </w:rPr>
        <w:t>.</w:t>
      </w:r>
    </w:p>
  </w:footnote>
  <w:footnote w:id="63">
    <w:p w:rsidR="0095124D" w:rsidRPr="00910DB6" w:rsidRDefault="0095124D">
      <w:pPr>
        <w:pStyle w:val="FootnoteText"/>
        <w:rPr>
          <w:rFonts w:ascii="Arial" w:hAnsi="Arial" w:cs="Arial"/>
          <w:sz w:val="18"/>
          <w:szCs w:val="18"/>
        </w:rPr>
      </w:pPr>
      <w:r w:rsidRPr="00910DB6">
        <w:rPr>
          <w:rStyle w:val="FootnoteReference"/>
          <w:rFonts w:ascii="Arial" w:hAnsi="Arial" w:cs="Arial"/>
          <w:sz w:val="18"/>
          <w:szCs w:val="18"/>
        </w:rPr>
        <w:footnoteRef/>
      </w:r>
      <w:r w:rsidRPr="00910DB6">
        <w:rPr>
          <w:rFonts w:ascii="Arial" w:hAnsi="Arial" w:cs="Arial"/>
          <w:sz w:val="18"/>
          <w:szCs w:val="18"/>
        </w:rPr>
        <w:t xml:space="preserve"> Griffith University, Asia-Pacific Centre for Franchising Excellence, Franchising Australia 2012 pp 9-12.</w:t>
      </w:r>
    </w:p>
  </w:footnote>
  <w:footnote w:id="64">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w:t>
      </w:r>
      <w:r>
        <w:rPr>
          <w:rFonts w:ascii="Arial" w:hAnsi="Arial" w:cs="Arial"/>
          <w:sz w:val="18"/>
          <w:szCs w:val="18"/>
        </w:rPr>
        <w:t xml:space="preserve">Mr Alan Wein 2013, (Ibid footnote </w:t>
      </w:r>
      <w:r>
        <w:rPr>
          <w:rFonts w:ascii="Arial" w:hAnsi="Arial" w:cs="Arial"/>
          <w:sz w:val="18"/>
          <w:szCs w:val="18"/>
        </w:rPr>
        <w:fldChar w:fldCharType="begin"/>
      </w:r>
      <w:r>
        <w:rPr>
          <w:rFonts w:ascii="Arial" w:hAnsi="Arial" w:cs="Arial"/>
          <w:sz w:val="18"/>
          <w:szCs w:val="18"/>
        </w:rPr>
        <w:instrText xml:space="preserve"> NOTEREF _Ref530485791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12</w:t>
      </w:r>
      <w:r>
        <w:rPr>
          <w:rFonts w:ascii="Arial" w:hAnsi="Arial" w:cs="Arial"/>
          <w:sz w:val="18"/>
          <w:szCs w:val="18"/>
        </w:rPr>
        <w:fldChar w:fldCharType="end"/>
      </w:r>
      <w:r>
        <w:rPr>
          <w:rFonts w:ascii="Arial" w:hAnsi="Arial" w:cs="Arial"/>
          <w:sz w:val="18"/>
          <w:szCs w:val="18"/>
        </w:rPr>
        <w:t>)</w:t>
      </w:r>
    </w:p>
  </w:footnote>
  <w:footnote w:id="65">
    <w:p w:rsidR="0095124D" w:rsidRPr="007A7CC7" w:rsidRDefault="009512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w:t>
      </w:r>
      <w:hyperlink r:id="rId16" w:anchor="_ftn7" w:history="1">
        <w:r w:rsidRPr="007A7CC7">
          <w:rPr>
            <w:rStyle w:val="Hyperlink"/>
            <w:rFonts w:ascii="Arial" w:hAnsi="Arial" w:cs="Arial"/>
            <w:sz w:val="18"/>
            <w:szCs w:val="18"/>
          </w:rPr>
          <w:t>Explanatory Statement</w:t>
        </w:r>
      </w:hyperlink>
      <w:r w:rsidRPr="007A7CC7">
        <w:rPr>
          <w:rFonts w:ascii="Arial" w:hAnsi="Arial" w:cs="Arial"/>
          <w:sz w:val="18"/>
          <w:szCs w:val="18"/>
        </w:rPr>
        <w:t>, Competition and Consumer (Industry Codes—Franchising) Regulation 2014</w:t>
      </w:r>
      <w:r>
        <w:rPr>
          <w:rFonts w:ascii="Arial" w:hAnsi="Arial" w:cs="Arial"/>
          <w:sz w:val="18"/>
          <w:szCs w:val="18"/>
        </w:rPr>
        <w:t>.</w:t>
      </w:r>
    </w:p>
  </w:footnote>
  <w:footnote w:id="66">
    <w:p w:rsidR="0095124D" w:rsidRPr="007A7CC7" w:rsidRDefault="0095124D" w:rsidP="008C55EE">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w:t>
      </w:r>
      <w:r w:rsidRPr="007A7CC7">
        <w:rPr>
          <w:rFonts w:ascii="Arial" w:hAnsi="Arial" w:cs="Arial"/>
          <w:i/>
          <w:sz w:val="18"/>
          <w:szCs w:val="18"/>
        </w:rPr>
        <w:t>Competition and Consumer (Industry Codes—Franchising) Regulation 2014</w:t>
      </w:r>
      <w:r>
        <w:rPr>
          <w:rFonts w:ascii="Arial" w:hAnsi="Arial" w:cs="Arial"/>
          <w:sz w:val="18"/>
          <w:szCs w:val="18"/>
        </w:rPr>
        <w:t>, clause</w:t>
      </w:r>
      <w:r w:rsidRPr="007A7CC7">
        <w:rPr>
          <w:rFonts w:ascii="Arial" w:hAnsi="Arial" w:cs="Arial"/>
          <w:sz w:val="18"/>
          <w:szCs w:val="18"/>
        </w:rPr>
        <w:t xml:space="preserve"> 5(2).</w:t>
      </w:r>
    </w:p>
  </w:footnote>
  <w:footnote w:id="67">
    <w:p w:rsidR="0095124D" w:rsidRPr="007A7CC7" w:rsidRDefault="0095124D" w:rsidP="008C55EE">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w:t>
      </w:r>
      <w:r w:rsidRPr="007A7CC7">
        <w:rPr>
          <w:rFonts w:ascii="Arial" w:hAnsi="Arial" w:cs="Arial"/>
          <w:i/>
          <w:sz w:val="18"/>
          <w:szCs w:val="18"/>
        </w:rPr>
        <w:t>Competition and Consumer (Industry Codes—Franchising) Regulation 2014</w:t>
      </w:r>
      <w:r>
        <w:rPr>
          <w:rFonts w:ascii="Arial" w:hAnsi="Arial" w:cs="Arial"/>
          <w:sz w:val="18"/>
          <w:szCs w:val="18"/>
        </w:rPr>
        <w:t>, clause</w:t>
      </w:r>
      <w:r w:rsidRPr="007A7CC7">
        <w:rPr>
          <w:rFonts w:ascii="Arial" w:hAnsi="Arial" w:cs="Arial"/>
          <w:sz w:val="18"/>
          <w:szCs w:val="18"/>
        </w:rPr>
        <w:t xml:space="preserve"> 4(1).</w:t>
      </w:r>
    </w:p>
  </w:footnote>
  <w:footnote w:id="68">
    <w:p w:rsidR="0095124D" w:rsidRDefault="0095124D" w:rsidP="008C55EE">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w:t>
      </w:r>
      <w:r w:rsidRPr="007A7CC7">
        <w:rPr>
          <w:rFonts w:ascii="Arial" w:hAnsi="Arial" w:cs="Arial"/>
          <w:i/>
          <w:sz w:val="18"/>
          <w:szCs w:val="18"/>
        </w:rPr>
        <w:t>Competition and Consumer (Industry Codes—Franchising) Regulation 2014</w:t>
      </w:r>
      <w:r>
        <w:rPr>
          <w:rFonts w:ascii="Arial" w:hAnsi="Arial" w:cs="Arial"/>
          <w:sz w:val="18"/>
          <w:szCs w:val="18"/>
        </w:rPr>
        <w:t>, clause</w:t>
      </w:r>
      <w:r w:rsidRPr="007A7CC7">
        <w:rPr>
          <w:rFonts w:ascii="Arial" w:hAnsi="Arial" w:cs="Arial"/>
          <w:sz w:val="18"/>
          <w:szCs w:val="18"/>
        </w:rPr>
        <w:t xml:space="preserve"> 4(1).</w:t>
      </w:r>
    </w:p>
  </w:footnote>
  <w:footnote w:id="69">
    <w:p w:rsidR="0095124D" w:rsidRPr="007A7CC7" w:rsidRDefault="0095124D" w:rsidP="00E63F77">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w:t>
      </w:r>
      <w:r>
        <w:rPr>
          <w:rFonts w:ascii="Arial" w:hAnsi="Arial" w:cs="Arial"/>
          <w:sz w:val="18"/>
          <w:szCs w:val="18"/>
        </w:rPr>
        <w:t xml:space="preserve">AADA 2018, pp. 4-5 (Ibid footnote </w:t>
      </w:r>
      <w:r>
        <w:rPr>
          <w:rFonts w:ascii="Arial" w:hAnsi="Arial" w:cs="Arial"/>
          <w:sz w:val="18"/>
          <w:szCs w:val="18"/>
        </w:rPr>
        <w:fldChar w:fldCharType="begin"/>
      </w:r>
      <w:r>
        <w:rPr>
          <w:rFonts w:ascii="Arial" w:hAnsi="Arial" w:cs="Arial"/>
          <w:sz w:val="18"/>
          <w:szCs w:val="18"/>
        </w:rPr>
        <w:instrText xml:space="preserve"> NOTEREF _Ref530473742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32</w:t>
      </w:r>
      <w:r>
        <w:rPr>
          <w:rFonts w:ascii="Arial" w:hAnsi="Arial" w:cs="Arial"/>
          <w:sz w:val="18"/>
          <w:szCs w:val="18"/>
        </w:rPr>
        <w:fldChar w:fldCharType="end"/>
      </w:r>
      <w:r>
        <w:rPr>
          <w:rFonts w:ascii="Arial" w:hAnsi="Arial" w:cs="Arial"/>
          <w:sz w:val="18"/>
          <w:szCs w:val="18"/>
        </w:rPr>
        <w:t>).</w:t>
      </w:r>
    </w:p>
  </w:footnote>
  <w:footnote w:id="70">
    <w:p w:rsidR="0095124D" w:rsidRDefault="0095124D" w:rsidP="00E63F77">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IBISWorld Industry Report F3501 Motor Vehicle Wholesaling in Australia, May 2018, p</w:t>
      </w:r>
      <w:r>
        <w:rPr>
          <w:rFonts w:ascii="Arial" w:hAnsi="Arial" w:cs="Arial"/>
          <w:sz w:val="18"/>
          <w:szCs w:val="18"/>
        </w:rPr>
        <w:t xml:space="preserve">. </w:t>
      </w:r>
      <w:r w:rsidRPr="007A7CC7">
        <w:rPr>
          <w:rFonts w:ascii="Arial" w:hAnsi="Arial" w:cs="Arial"/>
          <w:sz w:val="18"/>
          <w:szCs w:val="18"/>
        </w:rPr>
        <w:t>30</w:t>
      </w:r>
      <w:r>
        <w:rPr>
          <w:rFonts w:ascii="Arial" w:hAnsi="Arial" w:cs="Arial"/>
          <w:sz w:val="18"/>
          <w:szCs w:val="18"/>
        </w:rPr>
        <w:t>.</w:t>
      </w:r>
    </w:p>
  </w:footnote>
  <w:footnote w:id="71">
    <w:p w:rsidR="0095124D" w:rsidRPr="00CE53D8" w:rsidRDefault="0095124D" w:rsidP="00E63F77">
      <w:pPr>
        <w:pStyle w:val="FootnoteText"/>
        <w:rPr>
          <w:rStyle w:val="Hyperlink"/>
          <w:rFonts w:ascii="Arial" w:hAnsi="Arial" w:cs="Arial"/>
          <w:sz w:val="18"/>
          <w:lang w:val="en-US"/>
        </w:rPr>
      </w:pPr>
      <w:r w:rsidRPr="00CE53D8">
        <w:rPr>
          <w:rStyle w:val="FootnoteReference"/>
          <w:rFonts w:ascii="Arial" w:hAnsi="Arial" w:cs="Arial"/>
          <w:sz w:val="18"/>
        </w:rPr>
        <w:footnoteRef/>
      </w:r>
      <w:r w:rsidRPr="00CE53D8">
        <w:rPr>
          <w:rFonts w:ascii="Arial" w:hAnsi="Arial" w:cs="Arial"/>
          <w:sz w:val="18"/>
        </w:rPr>
        <w:t xml:space="preserve"> </w:t>
      </w:r>
      <w:r w:rsidRPr="00CE53D8">
        <w:rPr>
          <w:rFonts w:ascii="Arial" w:hAnsi="Arial" w:cs="Arial"/>
          <w:sz w:val="18"/>
          <w:lang w:val="en-US"/>
        </w:rPr>
        <w:fldChar w:fldCharType="begin"/>
      </w:r>
      <w:r w:rsidRPr="00CE53D8">
        <w:rPr>
          <w:rFonts w:ascii="Arial" w:hAnsi="Arial" w:cs="Arial"/>
          <w:sz w:val="18"/>
          <w:lang w:val="en-US"/>
        </w:rPr>
        <w:instrText xml:space="preserve"> HYPERLINK "https://www.mckinsey.com/industries/automotive-and-assembly/our-insights/innovating-automotive-retail" </w:instrText>
      </w:r>
      <w:r w:rsidRPr="00CE53D8">
        <w:rPr>
          <w:rFonts w:ascii="Arial" w:hAnsi="Arial" w:cs="Arial"/>
          <w:sz w:val="18"/>
          <w:lang w:val="en-US"/>
        </w:rPr>
        <w:fldChar w:fldCharType="separate"/>
      </w:r>
      <w:r w:rsidRPr="00CE53D8">
        <w:rPr>
          <w:rStyle w:val="Hyperlink"/>
          <w:rFonts w:ascii="Arial" w:hAnsi="Arial" w:cs="Arial"/>
          <w:sz w:val="18"/>
          <w:lang w:val="en-US"/>
        </w:rPr>
        <w:t>Innovating automotive retail, Journey towards a customer-centric, multi-format sales</w:t>
      </w:r>
    </w:p>
    <w:p w:rsidR="0095124D" w:rsidRPr="00CE53D8" w:rsidRDefault="0095124D" w:rsidP="00E63F77">
      <w:pPr>
        <w:pStyle w:val="FootnoteText"/>
        <w:rPr>
          <w:rFonts w:ascii="Arial" w:hAnsi="Arial" w:cs="Arial"/>
          <w:sz w:val="18"/>
          <w:lang w:val="en-US"/>
        </w:rPr>
      </w:pPr>
      <w:r w:rsidRPr="00CE53D8">
        <w:rPr>
          <w:rStyle w:val="Hyperlink"/>
          <w:rFonts w:ascii="Arial" w:hAnsi="Arial" w:cs="Arial"/>
          <w:sz w:val="18"/>
          <w:lang w:val="en-US"/>
        </w:rPr>
        <w:t>and service network</w:t>
      </w:r>
      <w:r w:rsidRPr="00CE53D8">
        <w:rPr>
          <w:rFonts w:ascii="Arial" w:hAnsi="Arial" w:cs="Arial"/>
          <w:sz w:val="18"/>
          <w:lang w:val="en-US"/>
        </w:rPr>
        <w:fldChar w:fldCharType="end"/>
      </w:r>
      <w:r w:rsidRPr="00CE53D8">
        <w:rPr>
          <w:rFonts w:ascii="Arial" w:hAnsi="Arial" w:cs="Arial"/>
          <w:sz w:val="18"/>
          <w:lang w:val="en-US"/>
        </w:rPr>
        <w:t xml:space="preserve">, McKinsey, 2013; </w:t>
      </w:r>
      <w:hyperlink r:id="rId17" w:history="1">
        <w:r w:rsidRPr="00CE53D8">
          <w:rPr>
            <w:rStyle w:val="Hyperlink"/>
            <w:rFonts w:ascii="Arial" w:hAnsi="Arial" w:cs="Arial"/>
            <w:sz w:val="18"/>
            <w:lang w:val="en-US"/>
          </w:rPr>
          <w:t>Future of automotive retail</w:t>
        </w:r>
      </w:hyperlink>
      <w:r w:rsidRPr="00CE53D8">
        <w:rPr>
          <w:rFonts w:ascii="Arial" w:hAnsi="Arial" w:cs="Arial"/>
          <w:sz w:val="18"/>
          <w:lang w:val="en-US"/>
        </w:rPr>
        <w:t>, Ernst &amp; Young, 2015</w:t>
      </w:r>
      <w:r>
        <w:rPr>
          <w:rFonts w:ascii="Arial" w:hAnsi="Arial" w:cs="Arial"/>
          <w:sz w:val="18"/>
          <w:lang w:val="en-US"/>
        </w:rPr>
        <w:t>.</w:t>
      </w:r>
    </w:p>
  </w:footnote>
  <w:footnote w:id="72">
    <w:p w:rsidR="0095124D" w:rsidRPr="00CE53D8" w:rsidRDefault="0095124D" w:rsidP="00E63F77">
      <w:pPr>
        <w:pStyle w:val="FootnoteText"/>
        <w:rPr>
          <w:rFonts w:ascii="Arial" w:hAnsi="Arial" w:cs="Arial"/>
          <w:sz w:val="18"/>
          <w:lang w:val="en-US"/>
        </w:rPr>
      </w:pPr>
      <w:r w:rsidRPr="00CE53D8">
        <w:rPr>
          <w:rStyle w:val="FootnoteReference"/>
          <w:rFonts w:ascii="Arial" w:hAnsi="Arial" w:cs="Arial"/>
          <w:sz w:val="18"/>
        </w:rPr>
        <w:footnoteRef/>
      </w:r>
      <w:r w:rsidRPr="00CE53D8">
        <w:rPr>
          <w:rFonts w:ascii="Arial" w:hAnsi="Arial" w:cs="Arial"/>
          <w:sz w:val="18"/>
        </w:rPr>
        <w:t xml:space="preserve"> </w:t>
      </w:r>
      <w:r>
        <w:rPr>
          <w:rFonts w:ascii="Arial" w:hAnsi="Arial" w:cs="Arial"/>
          <w:sz w:val="18"/>
        </w:rPr>
        <w:t xml:space="preserve">Maetzig, Rob 2018, </w:t>
      </w:r>
      <w:hyperlink r:id="rId18" w:history="1">
        <w:r w:rsidRPr="00894C39">
          <w:rPr>
            <w:rStyle w:val="Hyperlink"/>
            <w:rFonts w:ascii="Arial" w:hAnsi="Arial" w:cs="Arial"/>
            <w:sz w:val="18"/>
          </w:rPr>
          <w:t>Toyota NZ ditches ‘dealerships’ for ‘stores’ in big changes to sales methods</w:t>
        </w:r>
      </w:hyperlink>
      <w:r>
        <w:rPr>
          <w:rFonts w:ascii="Arial" w:hAnsi="Arial" w:cs="Arial"/>
          <w:sz w:val="18"/>
        </w:rPr>
        <w:t>, Stuff, 29 March 2018.</w:t>
      </w:r>
    </w:p>
  </w:footnote>
  <w:footnote w:id="73">
    <w:p w:rsidR="0095124D" w:rsidRPr="00BA2022" w:rsidRDefault="0095124D" w:rsidP="00E63F77">
      <w:pPr>
        <w:pStyle w:val="FootnoteText"/>
        <w:rPr>
          <w:lang w:val="en-US"/>
        </w:rPr>
      </w:pPr>
      <w:r w:rsidRPr="00CE53D8">
        <w:rPr>
          <w:rStyle w:val="FootnoteReference"/>
          <w:rFonts w:ascii="Arial" w:hAnsi="Arial" w:cs="Arial"/>
          <w:sz w:val="18"/>
        </w:rPr>
        <w:footnoteRef/>
      </w:r>
      <w:r w:rsidRPr="00CE53D8">
        <w:rPr>
          <w:rFonts w:ascii="Arial" w:hAnsi="Arial" w:cs="Arial"/>
          <w:sz w:val="18"/>
        </w:rPr>
        <w:t xml:space="preserve"> </w:t>
      </w:r>
      <w:r>
        <w:rPr>
          <w:rFonts w:ascii="Arial" w:hAnsi="Arial" w:cs="Arial"/>
          <w:sz w:val="18"/>
        </w:rPr>
        <w:t xml:space="preserve">AADA 2017 p. 4 (Ibid footnote </w:t>
      </w:r>
      <w:r>
        <w:rPr>
          <w:rFonts w:ascii="Arial" w:hAnsi="Arial" w:cs="Arial"/>
          <w:sz w:val="18"/>
        </w:rPr>
        <w:fldChar w:fldCharType="begin"/>
      </w:r>
      <w:r>
        <w:rPr>
          <w:rFonts w:ascii="Arial" w:hAnsi="Arial" w:cs="Arial"/>
          <w:sz w:val="18"/>
        </w:rPr>
        <w:instrText xml:space="preserve"> NOTEREF _Ref530485920 \h </w:instrText>
      </w:r>
      <w:r>
        <w:rPr>
          <w:rFonts w:ascii="Arial" w:hAnsi="Arial" w:cs="Arial"/>
          <w:sz w:val="18"/>
        </w:rPr>
      </w:r>
      <w:r>
        <w:rPr>
          <w:rFonts w:ascii="Arial" w:hAnsi="Arial" w:cs="Arial"/>
          <w:sz w:val="18"/>
        </w:rPr>
        <w:fldChar w:fldCharType="separate"/>
      </w:r>
      <w:r>
        <w:rPr>
          <w:rFonts w:ascii="Arial" w:hAnsi="Arial" w:cs="Arial"/>
          <w:sz w:val="18"/>
        </w:rPr>
        <w:t>13</w:t>
      </w:r>
      <w:r>
        <w:rPr>
          <w:rFonts w:ascii="Arial" w:hAnsi="Arial" w:cs="Arial"/>
          <w:sz w:val="18"/>
        </w:rPr>
        <w:fldChar w:fldCharType="end"/>
      </w:r>
      <w:r>
        <w:rPr>
          <w:rFonts w:ascii="Arial" w:hAnsi="Arial" w:cs="Arial"/>
          <w:sz w:val="18"/>
        </w:rPr>
        <w:t>).</w:t>
      </w:r>
    </w:p>
  </w:footnote>
  <w:footnote w:id="74">
    <w:p w:rsidR="0095124D" w:rsidRPr="00CE53D8" w:rsidRDefault="0095124D" w:rsidP="00E63F77">
      <w:pPr>
        <w:pStyle w:val="FootnoteText"/>
        <w:rPr>
          <w:rFonts w:ascii="Arial" w:hAnsi="Arial" w:cs="Arial"/>
          <w:sz w:val="18"/>
          <w:lang w:val="en-US"/>
        </w:rPr>
      </w:pPr>
      <w:r w:rsidRPr="00CE53D8">
        <w:rPr>
          <w:rStyle w:val="FootnoteReference"/>
          <w:rFonts w:ascii="Arial" w:hAnsi="Arial" w:cs="Arial"/>
          <w:sz w:val="18"/>
        </w:rPr>
        <w:footnoteRef/>
      </w:r>
      <w:r w:rsidRPr="00CE53D8">
        <w:rPr>
          <w:rFonts w:ascii="Arial" w:hAnsi="Arial" w:cs="Arial"/>
          <w:sz w:val="18"/>
        </w:rPr>
        <w:t xml:space="preserve"> </w:t>
      </w:r>
      <w:r>
        <w:rPr>
          <w:rFonts w:ascii="Arial" w:hAnsi="Arial" w:cs="Arial"/>
          <w:sz w:val="18"/>
        </w:rPr>
        <w:t xml:space="preserve">MTAA 2018, </w:t>
      </w:r>
      <w:hyperlink r:id="rId19" w:history="1">
        <w:r w:rsidRPr="00A24594">
          <w:rPr>
            <w:rStyle w:val="Hyperlink"/>
            <w:rFonts w:ascii="Arial" w:hAnsi="Arial" w:cs="Arial"/>
            <w:sz w:val="18"/>
          </w:rPr>
          <w:t>An industry at crossroads: Automotive 2018</w:t>
        </w:r>
      </w:hyperlink>
      <w:r w:rsidRPr="00CE53D8">
        <w:rPr>
          <w:rFonts w:ascii="Arial" w:hAnsi="Arial" w:cs="Arial"/>
          <w:sz w:val="18"/>
        </w:rPr>
        <w:t xml:space="preserve">, </w:t>
      </w:r>
      <w:r>
        <w:rPr>
          <w:rFonts w:ascii="Arial" w:hAnsi="Arial" w:cs="Arial"/>
          <w:sz w:val="18"/>
        </w:rPr>
        <w:t xml:space="preserve">MTAA, </w:t>
      </w:r>
      <w:r w:rsidRPr="00CE53D8">
        <w:rPr>
          <w:rFonts w:ascii="Arial" w:hAnsi="Arial" w:cs="Arial"/>
          <w:sz w:val="18"/>
        </w:rPr>
        <w:t>p</w:t>
      </w:r>
      <w:r>
        <w:rPr>
          <w:rFonts w:ascii="Arial" w:hAnsi="Arial" w:cs="Arial"/>
          <w:sz w:val="18"/>
        </w:rPr>
        <w:t>.</w:t>
      </w:r>
      <w:r w:rsidRPr="00CE53D8">
        <w:rPr>
          <w:rFonts w:ascii="Arial" w:hAnsi="Arial" w:cs="Arial"/>
          <w:sz w:val="18"/>
        </w:rPr>
        <w:t xml:space="preserve"> 2</w:t>
      </w:r>
      <w:r>
        <w:rPr>
          <w:rFonts w:ascii="Arial" w:hAnsi="Arial" w:cs="Arial"/>
          <w:sz w:val="18"/>
        </w:rPr>
        <w:t>.</w:t>
      </w:r>
      <w:r w:rsidRPr="00CE53D8">
        <w:rPr>
          <w:rFonts w:ascii="Arial" w:hAnsi="Arial" w:cs="Arial"/>
          <w:sz w:val="18"/>
        </w:rPr>
        <w:t xml:space="preserve"> </w:t>
      </w:r>
    </w:p>
  </w:footnote>
  <w:footnote w:id="75">
    <w:p w:rsidR="0095124D" w:rsidRPr="00CE53D8" w:rsidRDefault="0095124D" w:rsidP="00E63F77">
      <w:pPr>
        <w:pStyle w:val="FootnoteText"/>
        <w:rPr>
          <w:rFonts w:ascii="Arial" w:hAnsi="Arial" w:cs="Arial"/>
          <w:sz w:val="18"/>
          <w:lang w:val="en-US"/>
        </w:rPr>
      </w:pPr>
      <w:r w:rsidRPr="00CE53D8">
        <w:rPr>
          <w:rStyle w:val="FootnoteReference"/>
          <w:rFonts w:ascii="Arial" w:hAnsi="Arial" w:cs="Arial"/>
          <w:sz w:val="18"/>
        </w:rPr>
        <w:footnoteRef/>
      </w:r>
      <w:r w:rsidRPr="00CE53D8">
        <w:rPr>
          <w:rFonts w:ascii="Arial" w:hAnsi="Arial" w:cs="Arial"/>
          <w:sz w:val="18"/>
        </w:rPr>
        <w:t xml:space="preserve"> </w:t>
      </w:r>
      <w:r>
        <w:rPr>
          <w:rFonts w:ascii="Arial" w:hAnsi="Arial" w:cs="Arial"/>
          <w:sz w:val="18"/>
          <w:szCs w:val="18"/>
        </w:rPr>
        <w:t xml:space="preserve">Turnbull, Samantha; </w:t>
      </w:r>
      <w:r>
        <w:rPr>
          <w:rFonts w:ascii="Arial" w:hAnsi="Arial" w:cs="Arial"/>
          <w:sz w:val="18"/>
          <w:szCs w:val="18"/>
        </w:rPr>
        <w:t>MacKenzie, Bruce; Shoebridge, Joanne 2017,</w:t>
      </w:r>
      <w:r>
        <w:rPr>
          <w:rFonts w:ascii="Arial" w:hAnsi="Arial" w:cs="Arial"/>
          <w:sz w:val="18"/>
        </w:rPr>
        <w:t xml:space="preserve"> (Ibid footnote </w:t>
      </w:r>
      <w:r>
        <w:rPr>
          <w:rFonts w:ascii="Arial" w:hAnsi="Arial" w:cs="Arial"/>
          <w:sz w:val="18"/>
        </w:rPr>
        <w:fldChar w:fldCharType="begin"/>
      </w:r>
      <w:r>
        <w:rPr>
          <w:rFonts w:ascii="Arial" w:hAnsi="Arial" w:cs="Arial"/>
          <w:sz w:val="18"/>
        </w:rPr>
        <w:instrText xml:space="preserve"> NOTEREF _Ref530473871 \h </w:instrText>
      </w:r>
      <w:r>
        <w:rPr>
          <w:rFonts w:ascii="Arial" w:hAnsi="Arial" w:cs="Arial"/>
          <w:sz w:val="18"/>
        </w:rPr>
      </w:r>
      <w:r>
        <w:rPr>
          <w:rFonts w:ascii="Arial" w:hAnsi="Arial" w:cs="Arial"/>
          <w:sz w:val="18"/>
        </w:rPr>
        <w:fldChar w:fldCharType="separate"/>
      </w:r>
      <w:r>
        <w:rPr>
          <w:rFonts w:ascii="Arial" w:hAnsi="Arial" w:cs="Arial"/>
          <w:sz w:val="18"/>
        </w:rPr>
        <w:t>34</w:t>
      </w:r>
      <w:r>
        <w:rPr>
          <w:rFonts w:ascii="Arial" w:hAnsi="Arial" w:cs="Arial"/>
          <w:sz w:val="18"/>
        </w:rPr>
        <w:fldChar w:fldCharType="end"/>
      </w:r>
      <w:r>
        <w:rPr>
          <w:rFonts w:ascii="Arial" w:hAnsi="Arial" w:cs="Arial"/>
          <w:sz w:val="18"/>
        </w:rPr>
        <w:t>)</w:t>
      </w:r>
      <w:r w:rsidRPr="00CE53D8">
        <w:rPr>
          <w:rFonts w:ascii="Arial" w:hAnsi="Arial" w:cs="Arial"/>
          <w:sz w:val="18"/>
        </w:rPr>
        <w:t xml:space="preserve">; </w:t>
      </w:r>
      <w:r>
        <w:rPr>
          <w:rFonts w:ascii="Arial" w:hAnsi="Arial" w:cs="Arial"/>
          <w:sz w:val="18"/>
        </w:rPr>
        <w:t xml:space="preserve">MTAA 2018 </w:t>
      </w:r>
      <w:r w:rsidRPr="00CE53D8">
        <w:rPr>
          <w:rFonts w:ascii="Arial" w:hAnsi="Arial" w:cs="Arial"/>
          <w:sz w:val="18"/>
        </w:rPr>
        <w:t>p</w:t>
      </w:r>
      <w:r>
        <w:rPr>
          <w:rFonts w:ascii="Arial" w:hAnsi="Arial" w:cs="Arial"/>
          <w:sz w:val="18"/>
        </w:rPr>
        <w:t>.</w:t>
      </w:r>
      <w:r w:rsidRPr="00CE53D8">
        <w:rPr>
          <w:rFonts w:ascii="Arial" w:hAnsi="Arial" w:cs="Arial"/>
          <w:sz w:val="18"/>
        </w:rPr>
        <w:t xml:space="preserve"> 5</w:t>
      </w:r>
      <w:r>
        <w:rPr>
          <w:rFonts w:ascii="Arial" w:hAnsi="Arial" w:cs="Arial"/>
          <w:sz w:val="18"/>
        </w:rPr>
        <w:t xml:space="preserve"> (Ibid footnote </w:t>
      </w:r>
      <w:r>
        <w:rPr>
          <w:rFonts w:ascii="Arial" w:hAnsi="Arial" w:cs="Arial"/>
          <w:sz w:val="18"/>
        </w:rPr>
        <w:fldChar w:fldCharType="begin"/>
      </w:r>
      <w:r>
        <w:rPr>
          <w:rFonts w:ascii="Arial" w:hAnsi="Arial" w:cs="Arial"/>
          <w:sz w:val="18"/>
        </w:rPr>
        <w:instrText xml:space="preserve"> NOTEREF _Ref530483953 \h </w:instrText>
      </w:r>
      <w:r>
        <w:rPr>
          <w:rFonts w:ascii="Arial" w:hAnsi="Arial" w:cs="Arial"/>
          <w:sz w:val="18"/>
        </w:rPr>
      </w:r>
      <w:r>
        <w:rPr>
          <w:rFonts w:ascii="Arial" w:hAnsi="Arial" w:cs="Arial"/>
          <w:sz w:val="18"/>
        </w:rPr>
        <w:fldChar w:fldCharType="separate"/>
      </w:r>
      <w:r>
        <w:rPr>
          <w:rFonts w:ascii="Arial" w:hAnsi="Arial" w:cs="Arial"/>
          <w:sz w:val="18"/>
        </w:rPr>
        <w:t>48</w:t>
      </w:r>
      <w:r>
        <w:rPr>
          <w:rFonts w:ascii="Arial" w:hAnsi="Arial" w:cs="Arial"/>
          <w:sz w:val="18"/>
        </w:rPr>
        <w:fldChar w:fldCharType="end"/>
      </w:r>
      <w:r>
        <w:rPr>
          <w:rFonts w:ascii="Arial" w:hAnsi="Arial" w:cs="Arial"/>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24D" w:rsidRPr="00C349D4" w:rsidRDefault="0095124D" w:rsidP="00C349D4">
    <w:pPr>
      <w:pStyle w:val="ProtectiveMarking"/>
      <w:rPr>
        <w:rFonts w:eastAsia="Arial" w:cs="Times New Roman"/>
        <w:noProof/>
        <w:lang w:val="en-US"/>
      </w:rPr>
    </w:pPr>
    <w:r w:rsidRPr="00C349D4">
      <w:rPr>
        <w:rFonts w:eastAsia="Arial" w:cs="Times New Roman"/>
        <w:b w:val="0"/>
        <w:noProof/>
        <w:lang w:val="en-US"/>
      </w:rPr>
      <w:t xml:space="preserve"> </w:t>
    </w:r>
    <w:r w:rsidRPr="00C349D4">
      <w:rPr>
        <w:rFonts w:eastAsia="Arial" w:cs="Times New Roman"/>
        <w:noProof/>
        <w:lang w:val="en-US"/>
      </w:rPr>
      <w:t>PROTECTED</w:t>
    </w:r>
  </w:p>
  <w:p w:rsidR="0095124D" w:rsidRPr="00C349D4" w:rsidRDefault="0095124D" w:rsidP="00C349D4">
    <w:pPr>
      <w:spacing w:after="0" w:line="240" w:lineRule="auto"/>
      <w:jc w:val="center"/>
      <w:rPr>
        <w:rFonts w:ascii="Arial" w:eastAsia="Arial" w:hAnsi="Arial" w:cs="Times New Roman"/>
        <w:b/>
        <w:color w:val="FF0000"/>
        <w:sz w:val="30"/>
      </w:rPr>
    </w:pPr>
    <w:r w:rsidRPr="00C349D4">
      <w:rPr>
        <w:rFonts w:ascii="Arial" w:eastAsia="Arial" w:hAnsi="Arial" w:cs="Times New Roman"/>
        <w:b/>
        <w:noProof/>
        <w:color w:val="FF0000"/>
        <w:sz w:val="30"/>
        <w:lang w:val="en-US"/>
      </w:rPr>
      <w:t>Sensitive: Cabinet</w:t>
    </w:r>
  </w:p>
  <w:p w:rsidR="0095124D" w:rsidRDefault="00951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7CC"/>
    <w:multiLevelType w:val="hybridMultilevel"/>
    <w:tmpl w:val="39ACF4B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75703D"/>
    <w:multiLevelType w:val="hybridMultilevel"/>
    <w:tmpl w:val="22C09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C3F1B"/>
    <w:multiLevelType w:val="hybridMultilevel"/>
    <w:tmpl w:val="5B787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EF6772"/>
    <w:multiLevelType w:val="hybridMultilevel"/>
    <w:tmpl w:val="D256B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D3138E"/>
    <w:multiLevelType w:val="hybridMultilevel"/>
    <w:tmpl w:val="D8F84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05034C"/>
    <w:multiLevelType w:val="hybridMultilevel"/>
    <w:tmpl w:val="3102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B2E0A"/>
    <w:multiLevelType w:val="hybridMultilevel"/>
    <w:tmpl w:val="FD88E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423CE6"/>
    <w:multiLevelType w:val="hybridMultilevel"/>
    <w:tmpl w:val="12685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16450"/>
    <w:multiLevelType w:val="hybridMultilevel"/>
    <w:tmpl w:val="2996C6CE"/>
    <w:lvl w:ilvl="0" w:tplc="0C090001">
      <w:start w:val="1"/>
      <w:numFmt w:val="bullet"/>
      <w:lvlText w:val=""/>
      <w:lvlJc w:val="left"/>
      <w:pPr>
        <w:ind w:left="72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E50697"/>
    <w:multiLevelType w:val="hybridMultilevel"/>
    <w:tmpl w:val="752ED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374857"/>
    <w:multiLevelType w:val="hybridMultilevel"/>
    <w:tmpl w:val="FB5C9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515215"/>
    <w:multiLevelType w:val="hybridMultilevel"/>
    <w:tmpl w:val="4D842F9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CC14D7F"/>
    <w:multiLevelType w:val="hybridMultilevel"/>
    <w:tmpl w:val="AE6AB9DA"/>
    <w:lvl w:ilvl="0" w:tplc="D6449478">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2875ED"/>
    <w:multiLevelType w:val="hybridMultilevel"/>
    <w:tmpl w:val="935E2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DC5057"/>
    <w:multiLevelType w:val="hybridMultilevel"/>
    <w:tmpl w:val="A51CCB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474857"/>
    <w:multiLevelType w:val="hybridMultilevel"/>
    <w:tmpl w:val="FB688C86"/>
    <w:lvl w:ilvl="0" w:tplc="73CCE290">
      <w:start w:val="1"/>
      <w:numFmt w:val="decimal"/>
      <w:lvlText w:val="(%1)"/>
      <w:lvlJc w:val="left"/>
      <w:pPr>
        <w:ind w:left="360" w:hanging="360"/>
      </w:pPr>
      <w:rPr>
        <w:rFonts w:ascii="Arial" w:eastAsiaTheme="minorHAnsi" w:hAnsi="Arial" w:cs="Arial"/>
      </w:rPr>
    </w:lvl>
    <w:lvl w:ilvl="1" w:tplc="80B08616">
      <w:start w:val="1"/>
      <w:numFmt w:val="lowerLetter"/>
      <w:lvlText w:val="(%2)"/>
      <w:lvlJc w:val="left"/>
      <w:pPr>
        <w:ind w:left="1080" w:hanging="360"/>
      </w:pPr>
      <w:rPr>
        <w:rFonts w:ascii="Arial" w:eastAsiaTheme="minorHAnsi" w:hAnsi="Arial" w:cs="Arial"/>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E9757F"/>
    <w:multiLevelType w:val="hybridMultilevel"/>
    <w:tmpl w:val="A7D63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D60B0"/>
    <w:multiLevelType w:val="hybridMultilevel"/>
    <w:tmpl w:val="14764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60062C7"/>
    <w:multiLevelType w:val="hybridMultilevel"/>
    <w:tmpl w:val="51547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DC03CDD"/>
    <w:multiLevelType w:val="hybridMultilevel"/>
    <w:tmpl w:val="46AC8B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7322F9"/>
    <w:multiLevelType w:val="hybridMultilevel"/>
    <w:tmpl w:val="A434D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AD4F0F"/>
    <w:multiLevelType w:val="hybridMultilevel"/>
    <w:tmpl w:val="6762A76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814786"/>
    <w:multiLevelType w:val="hybridMultilevel"/>
    <w:tmpl w:val="31A052A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E5B47E0"/>
    <w:multiLevelType w:val="hybridMultilevel"/>
    <w:tmpl w:val="37E6C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876B2F"/>
    <w:multiLevelType w:val="hybridMultilevel"/>
    <w:tmpl w:val="672A4D42"/>
    <w:lvl w:ilvl="0" w:tplc="DBA2838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874D03"/>
    <w:multiLevelType w:val="hybridMultilevel"/>
    <w:tmpl w:val="4984CA34"/>
    <w:lvl w:ilvl="0" w:tplc="0C090001">
      <w:start w:val="1"/>
      <w:numFmt w:val="bullet"/>
      <w:lvlText w:val=""/>
      <w:lvlJc w:val="left"/>
      <w:pPr>
        <w:ind w:left="360" w:hanging="360"/>
      </w:pPr>
      <w:rPr>
        <w:rFonts w:ascii="Symbol" w:hAnsi="Symbol" w:hint="default"/>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74414FA"/>
    <w:multiLevelType w:val="hybridMultilevel"/>
    <w:tmpl w:val="F4260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CE5774"/>
    <w:multiLevelType w:val="hybridMultilevel"/>
    <w:tmpl w:val="AF9EB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FF15BBC"/>
    <w:multiLevelType w:val="hybridMultilevel"/>
    <w:tmpl w:val="6188F656"/>
    <w:lvl w:ilvl="0" w:tplc="0E9CB93A">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294CD7"/>
    <w:multiLevelType w:val="hybridMultilevel"/>
    <w:tmpl w:val="2994904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4862D22"/>
    <w:multiLevelType w:val="hybridMultilevel"/>
    <w:tmpl w:val="4BA8C9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6B195E"/>
    <w:multiLevelType w:val="hybridMultilevel"/>
    <w:tmpl w:val="672A4D42"/>
    <w:lvl w:ilvl="0" w:tplc="DBA2838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64E1B28"/>
    <w:multiLevelType w:val="hybridMultilevel"/>
    <w:tmpl w:val="AE9C030C"/>
    <w:lvl w:ilvl="0" w:tplc="5A7EFC88">
      <w:start w:val="1"/>
      <w:numFmt w:val="decimal"/>
      <w:lvlText w:val="%1."/>
      <w:lvlJc w:val="left"/>
      <w:pPr>
        <w:ind w:left="360" w:hanging="360"/>
      </w:pPr>
      <w:rPr>
        <w:rFonts w:ascii="Arial" w:hAnsi="Arial" w:cs="Arial"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BA5E18"/>
    <w:multiLevelType w:val="hybridMultilevel"/>
    <w:tmpl w:val="0B24A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3F5E62"/>
    <w:multiLevelType w:val="hybridMultilevel"/>
    <w:tmpl w:val="2C2A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EA7927"/>
    <w:multiLevelType w:val="hybridMultilevel"/>
    <w:tmpl w:val="32485C8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612C17"/>
    <w:multiLevelType w:val="hybridMultilevel"/>
    <w:tmpl w:val="39586F02"/>
    <w:lvl w:ilvl="0" w:tplc="35A2136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3D6AC2"/>
    <w:multiLevelType w:val="hybridMultilevel"/>
    <w:tmpl w:val="B712B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71A7E81"/>
    <w:multiLevelType w:val="hybridMultilevel"/>
    <w:tmpl w:val="CB62E7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4"/>
  </w:num>
  <w:num w:numId="2">
    <w:abstractNumId w:val="31"/>
  </w:num>
  <w:num w:numId="3">
    <w:abstractNumId w:val="4"/>
  </w:num>
  <w:num w:numId="4">
    <w:abstractNumId w:val="2"/>
  </w:num>
  <w:num w:numId="5">
    <w:abstractNumId w:val="2"/>
  </w:num>
  <w:num w:numId="6">
    <w:abstractNumId w:val="17"/>
  </w:num>
  <w:num w:numId="7">
    <w:abstractNumId w:val="9"/>
  </w:num>
  <w:num w:numId="8">
    <w:abstractNumId w:val="36"/>
  </w:num>
  <w:num w:numId="9">
    <w:abstractNumId w:val="5"/>
  </w:num>
  <w:num w:numId="10">
    <w:abstractNumId w:val="30"/>
  </w:num>
  <w:num w:numId="11">
    <w:abstractNumId w:val="19"/>
  </w:num>
  <w:num w:numId="12">
    <w:abstractNumId w:val="38"/>
  </w:num>
  <w:num w:numId="13">
    <w:abstractNumId w:val="10"/>
  </w:num>
  <w:num w:numId="14">
    <w:abstractNumId w:val="27"/>
  </w:num>
  <w:num w:numId="15">
    <w:abstractNumId w:val="34"/>
  </w:num>
  <w:num w:numId="16">
    <w:abstractNumId w:val="12"/>
  </w:num>
  <w:num w:numId="17">
    <w:abstractNumId w:val="8"/>
  </w:num>
  <w:num w:numId="18">
    <w:abstractNumId w:val="15"/>
  </w:num>
  <w:num w:numId="19">
    <w:abstractNumId w:val="23"/>
  </w:num>
  <w:num w:numId="20">
    <w:abstractNumId w:val="28"/>
  </w:num>
  <w:num w:numId="21">
    <w:abstractNumId w:val="14"/>
  </w:num>
  <w:num w:numId="22">
    <w:abstractNumId w:val="6"/>
  </w:num>
  <w:num w:numId="23">
    <w:abstractNumId w:val="16"/>
  </w:num>
  <w:num w:numId="24">
    <w:abstractNumId w:val="37"/>
  </w:num>
  <w:num w:numId="25">
    <w:abstractNumId w:val="1"/>
  </w:num>
  <w:num w:numId="26">
    <w:abstractNumId w:val="13"/>
  </w:num>
  <w:num w:numId="27">
    <w:abstractNumId w:val="7"/>
  </w:num>
  <w:num w:numId="28">
    <w:abstractNumId w:val="3"/>
  </w:num>
  <w:num w:numId="29">
    <w:abstractNumId w:val="20"/>
  </w:num>
  <w:num w:numId="30">
    <w:abstractNumId w:val="26"/>
  </w:num>
  <w:num w:numId="31">
    <w:abstractNumId w:val="33"/>
  </w:num>
  <w:num w:numId="32">
    <w:abstractNumId w:val="25"/>
  </w:num>
  <w:num w:numId="33">
    <w:abstractNumId w:val="18"/>
  </w:num>
  <w:num w:numId="34">
    <w:abstractNumId w:val="32"/>
  </w:num>
  <w:num w:numId="35">
    <w:abstractNumId w:val="22"/>
  </w:num>
  <w:num w:numId="36">
    <w:abstractNumId w:val="29"/>
  </w:num>
  <w:num w:numId="37">
    <w:abstractNumId w:val="11"/>
  </w:num>
  <w:num w:numId="38">
    <w:abstractNumId w:val="35"/>
  </w:num>
  <w:num w:numId="39">
    <w:abstractNumId w:val="0"/>
  </w:num>
  <w:num w:numId="40">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36"/>
    <w:rsid w:val="00000021"/>
    <w:rsid w:val="00000052"/>
    <w:rsid w:val="00000714"/>
    <w:rsid w:val="00000A13"/>
    <w:rsid w:val="00000B83"/>
    <w:rsid w:val="0000160F"/>
    <w:rsid w:val="000023D9"/>
    <w:rsid w:val="00002633"/>
    <w:rsid w:val="000028DB"/>
    <w:rsid w:val="00003B74"/>
    <w:rsid w:val="00004030"/>
    <w:rsid w:val="00004A77"/>
    <w:rsid w:val="00005248"/>
    <w:rsid w:val="000056E9"/>
    <w:rsid w:val="00005DFB"/>
    <w:rsid w:val="00005F8B"/>
    <w:rsid w:val="00007C84"/>
    <w:rsid w:val="000102F8"/>
    <w:rsid w:val="00010598"/>
    <w:rsid w:val="0001091D"/>
    <w:rsid w:val="00010A83"/>
    <w:rsid w:val="0001225F"/>
    <w:rsid w:val="000126A6"/>
    <w:rsid w:val="00012BCD"/>
    <w:rsid w:val="000141C0"/>
    <w:rsid w:val="0001483B"/>
    <w:rsid w:val="00014A33"/>
    <w:rsid w:val="00014C87"/>
    <w:rsid w:val="00016935"/>
    <w:rsid w:val="000179CB"/>
    <w:rsid w:val="00017AA9"/>
    <w:rsid w:val="00017B85"/>
    <w:rsid w:val="000206DA"/>
    <w:rsid w:val="00022223"/>
    <w:rsid w:val="00022CA7"/>
    <w:rsid w:val="000236D8"/>
    <w:rsid w:val="0002387B"/>
    <w:rsid w:val="00023A03"/>
    <w:rsid w:val="00023E94"/>
    <w:rsid w:val="00024122"/>
    <w:rsid w:val="00024758"/>
    <w:rsid w:val="00024B01"/>
    <w:rsid w:val="00024B16"/>
    <w:rsid w:val="00024C0F"/>
    <w:rsid w:val="00024C6D"/>
    <w:rsid w:val="00025157"/>
    <w:rsid w:val="00025288"/>
    <w:rsid w:val="0002537F"/>
    <w:rsid w:val="00025555"/>
    <w:rsid w:val="00025645"/>
    <w:rsid w:val="000257D3"/>
    <w:rsid w:val="000260A7"/>
    <w:rsid w:val="00026793"/>
    <w:rsid w:val="000268A4"/>
    <w:rsid w:val="00027B50"/>
    <w:rsid w:val="00027B63"/>
    <w:rsid w:val="0003081E"/>
    <w:rsid w:val="00030D3A"/>
    <w:rsid w:val="000313D3"/>
    <w:rsid w:val="00032200"/>
    <w:rsid w:val="00032D1F"/>
    <w:rsid w:val="000331BF"/>
    <w:rsid w:val="00033997"/>
    <w:rsid w:val="00034508"/>
    <w:rsid w:val="00034776"/>
    <w:rsid w:val="0003518A"/>
    <w:rsid w:val="000365C7"/>
    <w:rsid w:val="00037330"/>
    <w:rsid w:val="000373ED"/>
    <w:rsid w:val="00037501"/>
    <w:rsid w:val="0003762C"/>
    <w:rsid w:val="00037784"/>
    <w:rsid w:val="00037D6F"/>
    <w:rsid w:val="00037E39"/>
    <w:rsid w:val="00037F7C"/>
    <w:rsid w:val="00040384"/>
    <w:rsid w:val="000407AA"/>
    <w:rsid w:val="00043412"/>
    <w:rsid w:val="00043883"/>
    <w:rsid w:val="000440B1"/>
    <w:rsid w:val="0004416A"/>
    <w:rsid w:val="000442FD"/>
    <w:rsid w:val="000443D0"/>
    <w:rsid w:val="000445A8"/>
    <w:rsid w:val="00044763"/>
    <w:rsid w:val="00044A81"/>
    <w:rsid w:val="00044F7D"/>
    <w:rsid w:val="000452CA"/>
    <w:rsid w:val="000452D4"/>
    <w:rsid w:val="0004559B"/>
    <w:rsid w:val="000456B6"/>
    <w:rsid w:val="000456E2"/>
    <w:rsid w:val="00045AA7"/>
    <w:rsid w:val="00047635"/>
    <w:rsid w:val="00047796"/>
    <w:rsid w:val="000478BF"/>
    <w:rsid w:val="00047915"/>
    <w:rsid w:val="00047987"/>
    <w:rsid w:val="000501D2"/>
    <w:rsid w:val="00050AEC"/>
    <w:rsid w:val="00050C0E"/>
    <w:rsid w:val="00050DF1"/>
    <w:rsid w:val="000511D5"/>
    <w:rsid w:val="00051380"/>
    <w:rsid w:val="00051696"/>
    <w:rsid w:val="00052AAE"/>
    <w:rsid w:val="00052EBD"/>
    <w:rsid w:val="000530C6"/>
    <w:rsid w:val="00053D80"/>
    <w:rsid w:val="00053D9F"/>
    <w:rsid w:val="000540FE"/>
    <w:rsid w:val="00054F9E"/>
    <w:rsid w:val="000550D8"/>
    <w:rsid w:val="00055326"/>
    <w:rsid w:val="00055A06"/>
    <w:rsid w:val="00055E6B"/>
    <w:rsid w:val="00055F48"/>
    <w:rsid w:val="0005660A"/>
    <w:rsid w:val="00057758"/>
    <w:rsid w:val="00057CF1"/>
    <w:rsid w:val="00057EF2"/>
    <w:rsid w:val="00060043"/>
    <w:rsid w:val="00060D0D"/>
    <w:rsid w:val="0006124A"/>
    <w:rsid w:val="00061A1D"/>
    <w:rsid w:val="000620CE"/>
    <w:rsid w:val="00062217"/>
    <w:rsid w:val="000628CE"/>
    <w:rsid w:val="00062D97"/>
    <w:rsid w:val="00063267"/>
    <w:rsid w:val="00063AD8"/>
    <w:rsid w:val="00063AEA"/>
    <w:rsid w:val="00064B3D"/>
    <w:rsid w:val="00065823"/>
    <w:rsid w:val="0006590A"/>
    <w:rsid w:val="00065B78"/>
    <w:rsid w:val="00065EF2"/>
    <w:rsid w:val="00067335"/>
    <w:rsid w:val="00067CA2"/>
    <w:rsid w:val="00067E34"/>
    <w:rsid w:val="00070101"/>
    <w:rsid w:val="0007012A"/>
    <w:rsid w:val="00071687"/>
    <w:rsid w:val="00071F89"/>
    <w:rsid w:val="000720BE"/>
    <w:rsid w:val="000727C7"/>
    <w:rsid w:val="0007294E"/>
    <w:rsid w:val="00072C36"/>
    <w:rsid w:val="00072C62"/>
    <w:rsid w:val="000744B3"/>
    <w:rsid w:val="00074AFE"/>
    <w:rsid w:val="000750FA"/>
    <w:rsid w:val="0007527F"/>
    <w:rsid w:val="000755AF"/>
    <w:rsid w:val="00075CFE"/>
    <w:rsid w:val="00075FEF"/>
    <w:rsid w:val="0007617D"/>
    <w:rsid w:val="00076534"/>
    <w:rsid w:val="000767C7"/>
    <w:rsid w:val="0007698D"/>
    <w:rsid w:val="00076E78"/>
    <w:rsid w:val="00077232"/>
    <w:rsid w:val="00077398"/>
    <w:rsid w:val="00077796"/>
    <w:rsid w:val="0008010F"/>
    <w:rsid w:val="0008074B"/>
    <w:rsid w:val="00080E06"/>
    <w:rsid w:val="00081F29"/>
    <w:rsid w:val="000820FB"/>
    <w:rsid w:val="000821FA"/>
    <w:rsid w:val="00082569"/>
    <w:rsid w:val="00082C2D"/>
    <w:rsid w:val="00083751"/>
    <w:rsid w:val="0008391C"/>
    <w:rsid w:val="000839E3"/>
    <w:rsid w:val="00084117"/>
    <w:rsid w:val="00084775"/>
    <w:rsid w:val="000858B4"/>
    <w:rsid w:val="00085F2F"/>
    <w:rsid w:val="00085F65"/>
    <w:rsid w:val="000863F2"/>
    <w:rsid w:val="00086494"/>
    <w:rsid w:val="00086521"/>
    <w:rsid w:val="00086955"/>
    <w:rsid w:val="00086D4E"/>
    <w:rsid w:val="000873B8"/>
    <w:rsid w:val="0009004D"/>
    <w:rsid w:val="0009054B"/>
    <w:rsid w:val="00090AAB"/>
    <w:rsid w:val="00090C84"/>
    <w:rsid w:val="000913F6"/>
    <w:rsid w:val="00091C55"/>
    <w:rsid w:val="00091C56"/>
    <w:rsid w:val="000923CE"/>
    <w:rsid w:val="0009260E"/>
    <w:rsid w:val="00093267"/>
    <w:rsid w:val="000936AB"/>
    <w:rsid w:val="00094F67"/>
    <w:rsid w:val="00094FD8"/>
    <w:rsid w:val="000951FA"/>
    <w:rsid w:val="000966C2"/>
    <w:rsid w:val="00096917"/>
    <w:rsid w:val="00096C5D"/>
    <w:rsid w:val="00096D81"/>
    <w:rsid w:val="000A011C"/>
    <w:rsid w:val="000A03B2"/>
    <w:rsid w:val="000A12D0"/>
    <w:rsid w:val="000A1D73"/>
    <w:rsid w:val="000A1FE0"/>
    <w:rsid w:val="000A283E"/>
    <w:rsid w:val="000A2C18"/>
    <w:rsid w:val="000A3810"/>
    <w:rsid w:val="000A4273"/>
    <w:rsid w:val="000A46B2"/>
    <w:rsid w:val="000A4BBE"/>
    <w:rsid w:val="000A4BCD"/>
    <w:rsid w:val="000A4C4F"/>
    <w:rsid w:val="000A5100"/>
    <w:rsid w:val="000A60D7"/>
    <w:rsid w:val="000A66A5"/>
    <w:rsid w:val="000B0289"/>
    <w:rsid w:val="000B0423"/>
    <w:rsid w:val="000B0CF6"/>
    <w:rsid w:val="000B101F"/>
    <w:rsid w:val="000B1175"/>
    <w:rsid w:val="000B1303"/>
    <w:rsid w:val="000B162F"/>
    <w:rsid w:val="000B186C"/>
    <w:rsid w:val="000B2AAA"/>
    <w:rsid w:val="000B3D05"/>
    <w:rsid w:val="000B414B"/>
    <w:rsid w:val="000B54CD"/>
    <w:rsid w:val="000B5E0B"/>
    <w:rsid w:val="000B718A"/>
    <w:rsid w:val="000C027A"/>
    <w:rsid w:val="000C02B2"/>
    <w:rsid w:val="000C0372"/>
    <w:rsid w:val="000C07AF"/>
    <w:rsid w:val="000C0AF9"/>
    <w:rsid w:val="000C1184"/>
    <w:rsid w:val="000C163E"/>
    <w:rsid w:val="000C21F9"/>
    <w:rsid w:val="000C2EBA"/>
    <w:rsid w:val="000C3BAC"/>
    <w:rsid w:val="000C6123"/>
    <w:rsid w:val="000C6321"/>
    <w:rsid w:val="000C65B3"/>
    <w:rsid w:val="000C7D93"/>
    <w:rsid w:val="000C7E0A"/>
    <w:rsid w:val="000D02C7"/>
    <w:rsid w:val="000D0CF3"/>
    <w:rsid w:val="000D1074"/>
    <w:rsid w:val="000D1244"/>
    <w:rsid w:val="000D28DB"/>
    <w:rsid w:val="000D2C19"/>
    <w:rsid w:val="000D2FBF"/>
    <w:rsid w:val="000D3237"/>
    <w:rsid w:val="000D32D5"/>
    <w:rsid w:val="000D3A15"/>
    <w:rsid w:val="000D4212"/>
    <w:rsid w:val="000D5503"/>
    <w:rsid w:val="000D5850"/>
    <w:rsid w:val="000D5A2C"/>
    <w:rsid w:val="000D6537"/>
    <w:rsid w:val="000D77C5"/>
    <w:rsid w:val="000E04A3"/>
    <w:rsid w:val="000E04F7"/>
    <w:rsid w:val="000E0E09"/>
    <w:rsid w:val="000E1134"/>
    <w:rsid w:val="000E1EC8"/>
    <w:rsid w:val="000E1EDF"/>
    <w:rsid w:val="000E29FB"/>
    <w:rsid w:val="000E323B"/>
    <w:rsid w:val="000E38BD"/>
    <w:rsid w:val="000E3D04"/>
    <w:rsid w:val="000E4DB0"/>
    <w:rsid w:val="000E59B2"/>
    <w:rsid w:val="000E754D"/>
    <w:rsid w:val="000E7738"/>
    <w:rsid w:val="000F02B7"/>
    <w:rsid w:val="000F0359"/>
    <w:rsid w:val="000F09FC"/>
    <w:rsid w:val="000F21DD"/>
    <w:rsid w:val="000F21F6"/>
    <w:rsid w:val="000F2818"/>
    <w:rsid w:val="000F2840"/>
    <w:rsid w:val="000F2DE8"/>
    <w:rsid w:val="000F3185"/>
    <w:rsid w:val="000F42AD"/>
    <w:rsid w:val="000F49E8"/>
    <w:rsid w:val="000F53CE"/>
    <w:rsid w:val="000F64C0"/>
    <w:rsid w:val="000F6F19"/>
    <w:rsid w:val="000F7E25"/>
    <w:rsid w:val="000F7E95"/>
    <w:rsid w:val="00100BB3"/>
    <w:rsid w:val="00100BB6"/>
    <w:rsid w:val="00101561"/>
    <w:rsid w:val="001017C6"/>
    <w:rsid w:val="001023C6"/>
    <w:rsid w:val="00102609"/>
    <w:rsid w:val="00103401"/>
    <w:rsid w:val="00103609"/>
    <w:rsid w:val="00103B9B"/>
    <w:rsid w:val="00103E94"/>
    <w:rsid w:val="00104ABE"/>
    <w:rsid w:val="00105885"/>
    <w:rsid w:val="00107842"/>
    <w:rsid w:val="00107978"/>
    <w:rsid w:val="00110025"/>
    <w:rsid w:val="00110BBB"/>
    <w:rsid w:val="001127EC"/>
    <w:rsid w:val="00113411"/>
    <w:rsid w:val="001145C6"/>
    <w:rsid w:val="00114720"/>
    <w:rsid w:val="00114BB7"/>
    <w:rsid w:val="00114E0C"/>
    <w:rsid w:val="0011511D"/>
    <w:rsid w:val="00115500"/>
    <w:rsid w:val="00116341"/>
    <w:rsid w:val="00116703"/>
    <w:rsid w:val="00116BB1"/>
    <w:rsid w:val="00116D01"/>
    <w:rsid w:val="001174A4"/>
    <w:rsid w:val="00117508"/>
    <w:rsid w:val="0011785E"/>
    <w:rsid w:val="00117C45"/>
    <w:rsid w:val="00117E5E"/>
    <w:rsid w:val="00117EC9"/>
    <w:rsid w:val="00120140"/>
    <w:rsid w:val="0012027A"/>
    <w:rsid w:val="00120F6D"/>
    <w:rsid w:val="0012124D"/>
    <w:rsid w:val="00121302"/>
    <w:rsid w:val="00121383"/>
    <w:rsid w:val="00121A22"/>
    <w:rsid w:val="00122F68"/>
    <w:rsid w:val="00123D62"/>
    <w:rsid w:val="001243D9"/>
    <w:rsid w:val="001248CE"/>
    <w:rsid w:val="00124902"/>
    <w:rsid w:val="00124B4F"/>
    <w:rsid w:val="00125514"/>
    <w:rsid w:val="00125639"/>
    <w:rsid w:val="00125AAE"/>
    <w:rsid w:val="00125B00"/>
    <w:rsid w:val="00126002"/>
    <w:rsid w:val="00126FC8"/>
    <w:rsid w:val="00127075"/>
    <w:rsid w:val="001272CF"/>
    <w:rsid w:val="0012767C"/>
    <w:rsid w:val="00131127"/>
    <w:rsid w:val="00131186"/>
    <w:rsid w:val="00131EAC"/>
    <w:rsid w:val="00132BA5"/>
    <w:rsid w:val="00132E8B"/>
    <w:rsid w:val="001333D8"/>
    <w:rsid w:val="00133880"/>
    <w:rsid w:val="001338D9"/>
    <w:rsid w:val="001345BD"/>
    <w:rsid w:val="00134D57"/>
    <w:rsid w:val="00135412"/>
    <w:rsid w:val="00135522"/>
    <w:rsid w:val="00135851"/>
    <w:rsid w:val="001358FA"/>
    <w:rsid w:val="0013591D"/>
    <w:rsid w:val="0013598F"/>
    <w:rsid w:val="00135E66"/>
    <w:rsid w:val="0013621F"/>
    <w:rsid w:val="00136DDB"/>
    <w:rsid w:val="00137367"/>
    <w:rsid w:val="00137D6A"/>
    <w:rsid w:val="00140ACE"/>
    <w:rsid w:val="00141394"/>
    <w:rsid w:val="00141B7A"/>
    <w:rsid w:val="00142107"/>
    <w:rsid w:val="001429EB"/>
    <w:rsid w:val="0014366E"/>
    <w:rsid w:val="00143979"/>
    <w:rsid w:val="00143F09"/>
    <w:rsid w:val="001460CB"/>
    <w:rsid w:val="001468A7"/>
    <w:rsid w:val="001468BB"/>
    <w:rsid w:val="00147285"/>
    <w:rsid w:val="00147792"/>
    <w:rsid w:val="0015009D"/>
    <w:rsid w:val="001502FE"/>
    <w:rsid w:val="00150F18"/>
    <w:rsid w:val="00151008"/>
    <w:rsid w:val="0015168D"/>
    <w:rsid w:val="00152279"/>
    <w:rsid w:val="00152B4E"/>
    <w:rsid w:val="00152F28"/>
    <w:rsid w:val="00153F72"/>
    <w:rsid w:val="0015448E"/>
    <w:rsid w:val="00154541"/>
    <w:rsid w:val="00154A1F"/>
    <w:rsid w:val="00154EDD"/>
    <w:rsid w:val="0015501A"/>
    <w:rsid w:val="0015557E"/>
    <w:rsid w:val="00155ACD"/>
    <w:rsid w:val="00155B11"/>
    <w:rsid w:val="00155CDC"/>
    <w:rsid w:val="001560B9"/>
    <w:rsid w:val="001570D4"/>
    <w:rsid w:val="00157D22"/>
    <w:rsid w:val="00157FF1"/>
    <w:rsid w:val="00160099"/>
    <w:rsid w:val="001604E7"/>
    <w:rsid w:val="00160507"/>
    <w:rsid w:val="0016204F"/>
    <w:rsid w:val="00162DF4"/>
    <w:rsid w:val="00163104"/>
    <w:rsid w:val="00163A83"/>
    <w:rsid w:val="00163F36"/>
    <w:rsid w:val="0016441C"/>
    <w:rsid w:val="001644E1"/>
    <w:rsid w:val="00164D23"/>
    <w:rsid w:val="00165804"/>
    <w:rsid w:val="001663B5"/>
    <w:rsid w:val="00166BAF"/>
    <w:rsid w:val="00166EEC"/>
    <w:rsid w:val="00167543"/>
    <w:rsid w:val="00171889"/>
    <w:rsid w:val="00171D9F"/>
    <w:rsid w:val="001722C1"/>
    <w:rsid w:val="0017392F"/>
    <w:rsid w:val="0017397E"/>
    <w:rsid w:val="001741B7"/>
    <w:rsid w:val="00174BAD"/>
    <w:rsid w:val="00175310"/>
    <w:rsid w:val="001754CB"/>
    <w:rsid w:val="001755C1"/>
    <w:rsid w:val="00175990"/>
    <w:rsid w:val="001767FE"/>
    <w:rsid w:val="00176F65"/>
    <w:rsid w:val="00177140"/>
    <w:rsid w:val="00177ADC"/>
    <w:rsid w:val="00180537"/>
    <w:rsid w:val="001806F7"/>
    <w:rsid w:val="001808F3"/>
    <w:rsid w:val="00180A4C"/>
    <w:rsid w:val="00181795"/>
    <w:rsid w:val="00181B4D"/>
    <w:rsid w:val="00181C9A"/>
    <w:rsid w:val="001825FA"/>
    <w:rsid w:val="00182A39"/>
    <w:rsid w:val="00183689"/>
    <w:rsid w:val="00184A0C"/>
    <w:rsid w:val="001856C6"/>
    <w:rsid w:val="00185758"/>
    <w:rsid w:val="0018647D"/>
    <w:rsid w:val="0018751B"/>
    <w:rsid w:val="00187945"/>
    <w:rsid w:val="00190731"/>
    <w:rsid w:val="001907A7"/>
    <w:rsid w:val="0019133C"/>
    <w:rsid w:val="00191615"/>
    <w:rsid w:val="00191857"/>
    <w:rsid w:val="00191C92"/>
    <w:rsid w:val="00191D0F"/>
    <w:rsid w:val="00191EBB"/>
    <w:rsid w:val="00192ED1"/>
    <w:rsid w:val="00194043"/>
    <w:rsid w:val="00194818"/>
    <w:rsid w:val="00194B02"/>
    <w:rsid w:val="00194FDF"/>
    <w:rsid w:val="001955EE"/>
    <w:rsid w:val="00195B29"/>
    <w:rsid w:val="00195CE9"/>
    <w:rsid w:val="00196483"/>
    <w:rsid w:val="0019748C"/>
    <w:rsid w:val="00197C34"/>
    <w:rsid w:val="00197D75"/>
    <w:rsid w:val="00197E3B"/>
    <w:rsid w:val="001A0DD0"/>
    <w:rsid w:val="001A18A1"/>
    <w:rsid w:val="001A240F"/>
    <w:rsid w:val="001A2981"/>
    <w:rsid w:val="001A333C"/>
    <w:rsid w:val="001A33B8"/>
    <w:rsid w:val="001A3BA9"/>
    <w:rsid w:val="001A3C9B"/>
    <w:rsid w:val="001A4903"/>
    <w:rsid w:val="001A51F0"/>
    <w:rsid w:val="001A54D7"/>
    <w:rsid w:val="001A569E"/>
    <w:rsid w:val="001A5830"/>
    <w:rsid w:val="001A5A7E"/>
    <w:rsid w:val="001A5BBA"/>
    <w:rsid w:val="001A61A9"/>
    <w:rsid w:val="001A6563"/>
    <w:rsid w:val="001A6647"/>
    <w:rsid w:val="001A6C32"/>
    <w:rsid w:val="001A6D0B"/>
    <w:rsid w:val="001A6DE0"/>
    <w:rsid w:val="001A713D"/>
    <w:rsid w:val="001A7774"/>
    <w:rsid w:val="001A7A0C"/>
    <w:rsid w:val="001B0319"/>
    <w:rsid w:val="001B03FF"/>
    <w:rsid w:val="001B0A3A"/>
    <w:rsid w:val="001B1004"/>
    <w:rsid w:val="001B2985"/>
    <w:rsid w:val="001B29E1"/>
    <w:rsid w:val="001B2D2A"/>
    <w:rsid w:val="001B413A"/>
    <w:rsid w:val="001B441B"/>
    <w:rsid w:val="001B4856"/>
    <w:rsid w:val="001B4EF3"/>
    <w:rsid w:val="001B5153"/>
    <w:rsid w:val="001B5227"/>
    <w:rsid w:val="001B585A"/>
    <w:rsid w:val="001B595A"/>
    <w:rsid w:val="001B5BAE"/>
    <w:rsid w:val="001B6703"/>
    <w:rsid w:val="001B6E89"/>
    <w:rsid w:val="001B7C65"/>
    <w:rsid w:val="001C0179"/>
    <w:rsid w:val="001C18F2"/>
    <w:rsid w:val="001C2407"/>
    <w:rsid w:val="001C29E3"/>
    <w:rsid w:val="001C401B"/>
    <w:rsid w:val="001C410A"/>
    <w:rsid w:val="001C4406"/>
    <w:rsid w:val="001C5118"/>
    <w:rsid w:val="001C669D"/>
    <w:rsid w:val="001C687B"/>
    <w:rsid w:val="001D0945"/>
    <w:rsid w:val="001D1FDC"/>
    <w:rsid w:val="001D2A63"/>
    <w:rsid w:val="001D32A2"/>
    <w:rsid w:val="001D3C02"/>
    <w:rsid w:val="001D42AD"/>
    <w:rsid w:val="001D4B6B"/>
    <w:rsid w:val="001D5E43"/>
    <w:rsid w:val="001D6313"/>
    <w:rsid w:val="001D6842"/>
    <w:rsid w:val="001D7350"/>
    <w:rsid w:val="001D739A"/>
    <w:rsid w:val="001D7453"/>
    <w:rsid w:val="001D7505"/>
    <w:rsid w:val="001D7824"/>
    <w:rsid w:val="001E06CA"/>
    <w:rsid w:val="001E0871"/>
    <w:rsid w:val="001E0AF7"/>
    <w:rsid w:val="001E0EF5"/>
    <w:rsid w:val="001E1F78"/>
    <w:rsid w:val="001E22BC"/>
    <w:rsid w:val="001E2A8F"/>
    <w:rsid w:val="001E3568"/>
    <w:rsid w:val="001E3CAF"/>
    <w:rsid w:val="001E3D6A"/>
    <w:rsid w:val="001E4323"/>
    <w:rsid w:val="001E4408"/>
    <w:rsid w:val="001E452D"/>
    <w:rsid w:val="001E4FA6"/>
    <w:rsid w:val="001E5570"/>
    <w:rsid w:val="001E698E"/>
    <w:rsid w:val="001E6C3F"/>
    <w:rsid w:val="001E6E57"/>
    <w:rsid w:val="001E6F52"/>
    <w:rsid w:val="001F0197"/>
    <w:rsid w:val="001F04DD"/>
    <w:rsid w:val="001F0534"/>
    <w:rsid w:val="001F0620"/>
    <w:rsid w:val="001F0739"/>
    <w:rsid w:val="001F0F96"/>
    <w:rsid w:val="001F1417"/>
    <w:rsid w:val="001F1956"/>
    <w:rsid w:val="001F1F12"/>
    <w:rsid w:val="001F1F7D"/>
    <w:rsid w:val="001F2008"/>
    <w:rsid w:val="001F2763"/>
    <w:rsid w:val="001F27AE"/>
    <w:rsid w:val="001F29A4"/>
    <w:rsid w:val="001F2B76"/>
    <w:rsid w:val="001F2E99"/>
    <w:rsid w:val="001F3115"/>
    <w:rsid w:val="001F34E2"/>
    <w:rsid w:val="001F358C"/>
    <w:rsid w:val="001F4095"/>
    <w:rsid w:val="001F4C0C"/>
    <w:rsid w:val="001F501A"/>
    <w:rsid w:val="001F532C"/>
    <w:rsid w:val="001F56BC"/>
    <w:rsid w:val="001F5957"/>
    <w:rsid w:val="001F59F0"/>
    <w:rsid w:val="001F66B9"/>
    <w:rsid w:val="001F6D4D"/>
    <w:rsid w:val="001F6E1F"/>
    <w:rsid w:val="001F7A01"/>
    <w:rsid w:val="001F7D4D"/>
    <w:rsid w:val="001F7F51"/>
    <w:rsid w:val="002000F6"/>
    <w:rsid w:val="002004C1"/>
    <w:rsid w:val="00200807"/>
    <w:rsid w:val="00200D2B"/>
    <w:rsid w:val="00201522"/>
    <w:rsid w:val="002017B7"/>
    <w:rsid w:val="00201E0A"/>
    <w:rsid w:val="002025A0"/>
    <w:rsid w:val="0020278D"/>
    <w:rsid w:val="00202C34"/>
    <w:rsid w:val="00203DA0"/>
    <w:rsid w:val="0020484C"/>
    <w:rsid w:val="00205109"/>
    <w:rsid w:val="00205B40"/>
    <w:rsid w:val="00205F94"/>
    <w:rsid w:val="002062E7"/>
    <w:rsid w:val="002063CB"/>
    <w:rsid w:val="0020648D"/>
    <w:rsid w:val="00206E62"/>
    <w:rsid w:val="0020705E"/>
    <w:rsid w:val="00207728"/>
    <w:rsid w:val="00210C7A"/>
    <w:rsid w:val="002111C8"/>
    <w:rsid w:val="00211223"/>
    <w:rsid w:val="002115A9"/>
    <w:rsid w:val="00211B7D"/>
    <w:rsid w:val="00211F6B"/>
    <w:rsid w:val="002129DC"/>
    <w:rsid w:val="00212BF3"/>
    <w:rsid w:val="00212C63"/>
    <w:rsid w:val="00213AEC"/>
    <w:rsid w:val="00213DE4"/>
    <w:rsid w:val="00213E96"/>
    <w:rsid w:val="00213F70"/>
    <w:rsid w:val="002142F3"/>
    <w:rsid w:val="0021542A"/>
    <w:rsid w:val="00215AEA"/>
    <w:rsid w:val="0021660A"/>
    <w:rsid w:val="00216A5D"/>
    <w:rsid w:val="00217A70"/>
    <w:rsid w:val="00217A7C"/>
    <w:rsid w:val="00217BA2"/>
    <w:rsid w:val="002202D7"/>
    <w:rsid w:val="002202E8"/>
    <w:rsid w:val="0022037F"/>
    <w:rsid w:val="0022154F"/>
    <w:rsid w:val="00221F9F"/>
    <w:rsid w:val="00223909"/>
    <w:rsid w:val="00223CD7"/>
    <w:rsid w:val="0022423D"/>
    <w:rsid w:val="00225CB6"/>
    <w:rsid w:val="00225E1B"/>
    <w:rsid w:val="00226230"/>
    <w:rsid w:val="002262D6"/>
    <w:rsid w:val="002268E8"/>
    <w:rsid w:val="00226ACB"/>
    <w:rsid w:val="002275A4"/>
    <w:rsid w:val="002277EB"/>
    <w:rsid w:val="00227DD8"/>
    <w:rsid w:val="00227DE5"/>
    <w:rsid w:val="00230722"/>
    <w:rsid w:val="00230934"/>
    <w:rsid w:val="00230DDA"/>
    <w:rsid w:val="00231DD3"/>
    <w:rsid w:val="002322EA"/>
    <w:rsid w:val="002326B1"/>
    <w:rsid w:val="00232CDD"/>
    <w:rsid w:val="00232DFC"/>
    <w:rsid w:val="00233235"/>
    <w:rsid w:val="002333AF"/>
    <w:rsid w:val="002337BA"/>
    <w:rsid w:val="0023393A"/>
    <w:rsid w:val="00233C09"/>
    <w:rsid w:val="00234897"/>
    <w:rsid w:val="00234ED1"/>
    <w:rsid w:val="0023519E"/>
    <w:rsid w:val="00235506"/>
    <w:rsid w:val="00235520"/>
    <w:rsid w:val="00235C57"/>
    <w:rsid w:val="00235C75"/>
    <w:rsid w:val="00235D30"/>
    <w:rsid w:val="00236368"/>
    <w:rsid w:val="00236EC7"/>
    <w:rsid w:val="00237592"/>
    <w:rsid w:val="002378F3"/>
    <w:rsid w:val="0023796E"/>
    <w:rsid w:val="00237C39"/>
    <w:rsid w:val="002400EE"/>
    <w:rsid w:val="00240555"/>
    <w:rsid w:val="00240B12"/>
    <w:rsid w:val="00240DD1"/>
    <w:rsid w:val="002423D7"/>
    <w:rsid w:val="00243424"/>
    <w:rsid w:val="00243B9C"/>
    <w:rsid w:val="00244225"/>
    <w:rsid w:val="002446D6"/>
    <w:rsid w:val="00244B81"/>
    <w:rsid w:val="00244CBA"/>
    <w:rsid w:val="0024526D"/>
    <w:rsid w:val="002452CC"/>
    <w:rsid w:val="002454AF"/>
    <w:rsid w:val="002459F8"/>
    <w:rsid w:val="00245C70"/>
    <w:rsid w:val="00245EB7"/>
    <w:rsid w:val="002461A9"/>
    <w:rsid w:val="00246967"/>
    <w:rsid w:val="00246E41"/>
    <w:rsid w:val="0025024F"/>
    <w:rsid w:val="00253330"/>
    <w:rsid w:val="002533A1"/>
    <w:rsid w:val="00253EAA"/>
    <w:rsid w:val="00254815"/>
    <w:rsid w:val="00254E60"/>
    <w:rsid w:val="002558C3"/>
    <w:rsid w:val="00255C88"/>
    <w:rsid w:val="00256021"/>
    <w:rsid w:val="0025670D"/>
    <w:rsid w:val="00256899"/>
    <w:rsid w:val="00256A02"/>
    <w:rsid w:val="00257999"/>
    <w:rsid w:val="00257D91"/>
    <w:rsid w:val="0026048C"/>
    <w:rsid w:val="002604B7"/>
    <w:rsid w:val="002605C2"/>
    <w:rsid w:val="00260A31"/>
    <w:rsid w:val="002612C4"/>
    <w:rsid w:val="002614F5"/>
    <w:rsid w:val="00261944"/>
    <w:rsid w:val="00261AB2"/>
    <w:rsid w:val="00261CD8"/>
    <w:rsid w:val="00263079"/>
    <w:rsid w:val="0026403B"/>
    <w:rsid w:val="00264300"/>
    <w:rsid w:val="0026472F"/>
    <w:rsid w:val="00265D49"/>
    <w:rsid w:val="00265DB4"/>
    <w:rsid w:val="0026699D"/>
    <w:rsid w:val="00266D28"/>
    <w:rsid w:val="00267692"/>
    <w:rsid w:val="0027024D"/>
    <w:rsid w:val="00270312"/>
    <w:rsid w:val="0027057D"/>
    <w:rsid w:val="002707AB"/>
    <w:rsid w:val="002713E7"/>
    <w:rsid w:val="002716C2"/>
    <w:rsid w:val="00271961"/>
    <w:rsid w:val="0027198C"/>
    <w:rsid w:val="002719F5"/>
    <w:rsid w:val="00271D31"/>
    <w:rsid w:val="00271FFA"/>
    <w:rsid w:val="00272354"/>
    <w:rsid w:val="002725B4"/>
    <w:rsid w:val="00272910"/>
    <w:rsid w:val="00272EB8"/>
    <w:rsid w:val="00273B60"/>
    <w:rsid w:val="00273D18"/>
    <w:rsid w:val="00273F62"/>
    <w:rsid w:val="00274AB7"/>
    <w:rsid w:val="00274C10"/>
    <w:rsid w:val="00274CE6"/>
    <w:rsid w:val="00275154"/>
    <w:rsid w:val="00275498"/>
    <w:rsid w:val="0027555F"/>
    <w:rsid w:val="002757D7"/>
    <w:rsid w:val="00275B43"/>
    <w:rsid w:val="00275D4A"/>
    <w:rsid w:val="002765BA"/>
    <w:rsid w:val="00276895"/>
    <w:rsid w:val="00276DBD"/>
    <w:rsid w:val="00277312"/>
    <w:rsid w:val="00277411"/>
    <w:rsid w:val="0027759B"/>
    <w:rsid w:val="00277EF1"/>
    <w:rsid w:val="002800C0"/>
    <w:rsid w:val="0028021B"/>
    <w:rsid w:val="002802B2"/>
    <w:rsid w:val="002803BC"/>
    <w:rsid w:val="00280A6F"/>
    <w:rsid w:val="00283325"/>
    <w:rsid w:val="00283C6A"/>
    <w:rsid w:val="0028427C"/>
    <w:rsid w:val="0028446F"/>
    <w:rsid w:val="002849DC"/>
    <w:rsid w:val="002857A5"/>
    <w:rsid w:val="00285A93"/>
    <w:rsid w:val="00285CF3"/>
    <w:rsid w:val="002863FF"/>
    <w:rsid w:val="0028662E"/>
    <w:rsid w:val="00286A5A"/>
    <w:rsid w:val="0028733E"/>
    <w:rsid w:val="002876F6"/>
    <w:rsid w:val="00287C26"/>
    <w:rsid w:val="00287DE9"/>
    <w:rsid w:val="002906C4"/>
    <w:rsid w:val="0029102E"/>
    <w:rsid w:val="00291C0A"/>
    <w:rsid w:val="00291D32"/>
    <w:rsid w:val="00291F71"/>
    <w:rsid w:val="00292220"/>
    <w:rsid w:val="00292733"/>
    <w:rsid w:val="002931BB"/>
    <w:rsid w:val="0029331B"/>
    <w:rsid w:val="002937FE"/>
    <w:rsid w:val="00294057"/>
    <w:rsid w:val="00294280"/>
    <w:rsid w:val="002946E3"/>
    <w:rsid w:val="00294C87"/>
    <w:rsid w:val="00294F75"/>
    <w:rsid w:val="00295398"/>
    <w:rsid w:val="002958D1"/>
    <w:rsid w:val="00295DA9"/>
    <w:rsid w:val="00296800"/>
    <w:rsid w:val="00296AA8"/>
    <w:rsid w:val="002975D8"/>
    <w:rsid w:val="00297B56"/>
    <w:rsid w:val="00297D97"/>
    <w:rsid w:val="00297DAB"/>
    <w:rsid w:val="002A157E"/>
    <w:rsid w:val="002A2223"/>
    <w:rsid w:val="002A2521"/>
    <w:rsid w:val="002A26FE"/>
    <w:rsid w:val="002A2A5B"/>
    <w:rsid w:val="002A5526"/>
    <w:rsid w:val="002A55EA"/>
    <w:rsid w:val="002A5FC9"/>
    <w:rsid w:val="002A60C7"/>
    <w:rsid w:val="002A6122"/>
    <w:rsid w:val="002A61B2"/>
    <w:rsid w:val="002A62D8"/>
    <w:rsid w:val="002A6BFB"/>
    <w:rsid w:val="002A6DB1"/>
    <w:rsid w:val="002A723C"/>
    <w:rsid w:val="002A73E6"/>
    <w:rsid w:val="002A7F50"/>
    <w:rsid w:val="002B0AF1"/>
    <w:rsid w:val="002B1337"/>
    <w:rsid w:val="002B1541"/>
    <w:rsid w:val="002B1E11"/>
    <w:rsid w:val="002B1F2B"/>
    <w:rsid w:val="002B2054"/>
    <w:rsid w:val="002B33A7"/>
    <w:rsid w:val="002B3FBB"/>
    <w:rsid w:val="002B5DAF"/>
    <w:rsid w:val="002B6065"/>
    <w:rsid w:val="002B65E5"/>
    <w:rsid w:val="002B780C"/>
    <w:rsid w:val="002C0434"/>
    <w:rsid w:val="002C09F5"/>
    <w:rsid w:val="002C1883"/>
    <w:rsid w:val="002C1F7F"/>
    <w:rsid w:val="002C2190"/>
    <w:rsid w:val="002C2307"/>
    <w:rsid w:val="002C293A"/>
    <w:rsid w:val="002C2951"/>
    <w:rsid w:val="002C3883"/>
    <w:rsid w:val="002C40BA"/>
    <w:rsid w:val="002C487D"/>
    <w:rsid w:val="002C4D7F"/>
    <w:rsid w:val="002C5838"/>
    <w:rsid w:val="002C6396"/>
    <w:rsid w:val="002C65CC"/>
    <w:rsid w:val="002D0674"/>
    <w:rsid w:val="002D1216"/>
    <w:rsid w:val="002D14C5"/>
    <w:rsid w:val="002D17DC"/>
    <w:rsid w:val="002D1997"/>
    <w:rsid w:val="002D1A61"/>
    <w:rsid w:val="002D1DD0"/>
    <w:rsid w:val="002D1DE8"/>
    <w:rsid w:val="002D1E07"/>
    <w:rsid w:val="002D24FC"/>
    <w:rsid w:val="002D2D7F"/>
    <w:rsid w:val="002D3D69"/>
    <w:rsid w:val="002D532E"/>
    <w:rsid w:val="002D560D"/>
    <w:rsid w:val="002D5860"/>
    <w:rsid w:val="002D5A1A"/>
    <w:rsid w:val="002D5C7B"/>
    <w:rsid w:val="002D5E2F"/>
    <w:rsid w:val="002E0748"/>
    <w:rsid w:val="002E1185"/>
    <w:rsid w:val="002E1818"/>
    <w:rsid w:val="002E1868"/>
    <w:rsid w:val="002E2A15"/>
    <w:rsid w:val="002E3568"/>
    <w:rsid w:val="002E372A"/>
    <w:rsid w:val="002E3EC9"/>
    <w:rsid w:val="002E4648"/>
    <w:rsid w:val="002E4EAE"/>
    <w:rsid w:val="002E5040"/>
    <w:rsid w:val="002E542B"/>
    <w:rsid w:val="002E5B26"/>
    <w:rsid w:val="002E5B94"/>
    <w:rsid w:val="002E5DB0"/>
    <w:rsid w:val="002E5F06"/>
    <w:rsid w:val="002E5FF1"/>
    <w:rsid w:val="002E6359"/>
    <w:rsid w:val="002E6C11"/>
    <w:rsid w:val="002E7312"/>
    <w:rsid w:val="002E7561"/>
    <w:rsid w:val="002E791C"/>
    <w:rsid w:val="002E7E5B"/>
    <w:rsid w:val="002E7E9D"/>
    <w:rsid w:val="002F0DBD"/>
    <w:rsid w:val="002F0E08"/>
    <w:rsid w:val="002F0FC7"/>
    <w:rsid w:val="002F1433"/>
    <w:rsid w:val="002F1CC0"/>
    <w:rsid w:val="002F1D04"/>
    <w:rsid w:val="002F23A3"/>
    <w:rsid w:val="002F2556"/>
    <w:rsid w:val="002F281C"/>
    <w:rsid w:val="002F2857"/>
    <w:rsid w:val="002F3020"/>
    <w:rsid w:val="002F3297"/>
    <w:rsid w:val="002F3C7D"/>
    <w:rsid w:val="002F3DE8"/>
    <w:rsid w:val="002F4144"/>
    <w:rsid w:val="002F437D"/>
    <w:rsid w:val="002F4C48"/>
    <w:rsid w:val="002F51A6"/>
    <w:rsid w:val="002F51C6"/>
    <w:rsid w:val="002F590C"/>
    <w:rsid w:val="002F59F1"/>
    <w:rsid w:val="002F61AA"/>
    <w:rsid w:val="002F629A"/>
    <w:rsid w:val="002F64B9"/>
    <w:rsid w:val="002F67CE"/>
    <w:rsid w:val="002F683D"/>
    <w:rsid w:val="002F6F3E"/>
    <w:rsid w:val="002F7312"/>
    <w:rsid w:val="002F76D0"/>
    <w:rsid w:val="002F7AFA"/>
    <w:rsid w:val="00300A90"/>
    <w:rsid w:val="00300C19"/>
    <w:rsid w:val="00300D7E"/>
    <w:rsid w:val="00301743"/>
    <w:rsid w:val="003017B6"/>
    <w:rsid w:val="003021F9"/>
    <w:rsid w:val="003042CE"/>
    <w:rsid w:val="00304F05"/>
    <w:rsid w:val="00305C24"/>
    <w:rsid w:val="003066AB"/>
    <w:rsid w:val="00306869"/>
    <w:rsid w:val="003070AD"/>
    <w:rsid w:val="003079E5"/>
    <w:rsid w:val="00310469"/>
    <w:rsid w:val="003107BF"/>
    <w:rsid w:val="0031153D"/>
    <w:rsid w:val="00311BC1"/>
    <w:rsid w:val="00311C17"/>
    <w:rsid w:val="00311E33"/>
    <w:rsid w:val="003129A5"/>
    <w:rsid w:val="00312BE8"/>
    <w:rsid w:val="00313C0C"/>
    <w:rsid w:val="00313D17"/>
    <w:rsid w:val="00314915"/>
    <w:rsid w:val="00314919"/>
    <w:rsid w:val="00314FCA"/>
    <w:rsid w:val="00315700"/>
    <w:rsid w:val="00315DF5"/>
    <w:rsid w:val="0031625D"/>
    <w:rsid w:val="00316832"/>
    <w:rsid w:val="00316D8A"/>
    <w:rsid w:val="003171C2"/>
    <w:rsid w:val="0031738B"/>
    <w:rsid w:val="003201A4"/>
    <w:rsid w:val="00320242"/>
    <w:rsid w:val="0032028D"/>
    <w:rsid w:val="003208A5"/>
    <w:rsid w:val="0032107B"/>
    <w:rsid w:val="003213E8"/>
    <w:rsid w:val="00321FC9"/>
    <w:rsid w:val="00321FDA"/>
    <w:rsid w:val="003226AA"/>
    <w:rsid w:val="00323925"/>
    <w:rsid w:val="00323E4E"/>
    <w:rsid w:val="003244C0"/>
    <w:rsid w:val="003252C2"/>
    <w:rsid w:val="00325749"/>
    <w:rsid w:val="00325C6D"/>
    <w:rsid w:val="003261E1"/>
    <w:rsid w:val="003273A8"/>
    <w:rsid w:val="0032740B"/>
    <w:rsid w:val="00327C1F"/>
    <w:rsid w:val="00330A79"/>
    <w:rsid w:val="003310B6"/>
    <w:rsid w:val="003315E3"/>
    <w:rsid w:val="003317CC"/>
    <w:rsid w:val="00332313"/>
    <w:rsid w:val="003329D3"/>
    <w:rsid w:val="00332A59"/>
    <w:rsid w:val="00332D41"/>
    <w:rsid w:val="00332EB1"/>
    <w:rsid w:val="0033487A"/>
    <w:rsid w:val="0033516F"/>
    <w:rsid w:val="003354AC"/>
    <w:rsid w:val="00335731"/>
    <w:rsid w:val="003359BD"/>
    <w:rsid w:val="00335A64"/>
    <w:rsid w:val="00335B20"/>
    <w:rsid w:val="00337C1B"/>
    <w:rsid w:val="00337C28"/>
    <w:rsid w:val="003400D9"/>
    <w:rsid w:val="00341317"/>
    <w:rsid w:val="00341ACE"/>
    <w:rsid w:val="0034220E"/>
    <w:rsid w:val="00342340"/>
    <w:rsid w:val="00342644"/>
    <w:rsid w:val="003431F4"/>
    <w:rsid w:val="00343CBC"/>
    <w:rsid w:val="003442E4"/>
    <w:rsid w:val="00344AE5"/>
    <w:rsid w:val="0034524F"/>
    <w:rsid w:val="003455B5"/>
    <w:rsid w:val="00345C10"/>
    <w:rsid w:val="003465BC"/>
    <w:rsid w:val="003469C0"/>
    <w:rsid w:val="003470B2"/>
    <w:rsid w:val="0034794B"/>
    <w:rsid w:val="0035112C"/>
    <w:rsid w:val="00351751"/>
    <w:rsid w:val="00351E50"/>
    <w:rsid w:val="00352000"/>
    <w:rsid w:val="003521E4"/>
    <w:rsid w:val="003529F1"/>
    <w:rsid w:val="00352F63"/>
    <w:rsid w:val="00353154"/>
    <w:rsid w:val="003547F7"/>
    <w:rsid w:val="0035480A"/>
    <w:rsid w:val="003548C1"/>
    <w:rsid w:val="003549C8"/>
    <w:rsid w:val="00354AD9"/>
    <w:rsid w:val="00354E75"/>
    <w:rsid w:val="003552F1"/>
    <w:rsid w:val="00355B90"/>
    <w:rsid w:val="00356C24"/>
    <w:rsid w:val="00357D94"/>
    <w:rsid w:val="003605E1"/>
    <w:rsid w:val="00360C37"/>
    <w:rsid w:val="00360CA1"/>
    <w:rsid w:val="00361023"/>
    <w:rsid w:val="00361504"/>
    <w:rsid w:val="003622FF"/>
    <w:rsid w:val="00362AEF"/>
    <w:rsid w:val="00362F3F"/>
    <w:rsid w:val="00363571"/>
    <w:rsid w:val="0036369C"/>
    <w:rsid w:val="00363E9B"/>
    <w:rsid w:val="00364D01"/>
    <w:rsid w:val="00364F4F"/>
    <w:rsid w:val="003650D5"/>
    <w:rsid w:val="00365C7B"/>
    <w:rsid w:val="00365C86"/>
    <w:rsid w:val="00366887"/>
    <w:rsid w:val="00366C2F"/>
    <w:rsid w:val="0036714D"/>
    <w:rsid w:val="0036781E"/>
    <w:rsid w:val="00367B0C"/>
    <w:rsid w:val="003702E7"/>
    <w:rsid w:val="00371390"/>
    <w:rsid w:val="00371524"/>
    <w:rsid w:val="0037191B"/>
    <w:rsid w:val="00372444"/>
    <w:rsid w:val="00372A92"/>
    <w:rsid w:val="00372BFA"/>
    <w:rsid w:val="00372D11"/>
    <w:rsid w:val="003738A6"/>
    <w:rsid w:val="00374104"/>
    <w:rsid w:val="003746A4"/>
    <w:rsid w:val="00374827"/>
    <w:rsid w:val="00374DFA"/>
    <w:rsid w:val="00375061"/>
    <w:rsid w:val="0037547E"/>
    <w:rsid w:val="00375868"/>
    <w:rsid w:val="003766EE"/>
    <w:rsid w:val="0037724F"/>
    <w:rsid w:val="00377E9F"/>
    <w:rsid w:val="00380804"/>
    <w:rsid w:val="00380B24"/>
    <w:rsid w:val="00380E0D"/>
    <w:rsid w:val="00381798"/>
    <w:rsid w:val="003825B8"/>
    <w:rsid w:val="00382D94"/>
    <w:rsid w:val="00382F2E"/>
    <w:rsid w:val="0038346B"/>
    <w:rsid w:val="0038352B"/>
    <w:rsid w:val="00383BEC"/>
    <w:rsid w:val="00384144"/>
    <w:rsid w:val="0038470E"/>
    <w:rsid w:val="0038477D"/>
    <w:rsid w:val="00384AAE"/>
    <w:rsid w:val="00385495"/>
    <w:rsid w:val="00386CC5"/>
    <w:rsid w:val="00386DD5"/>
    <w:rsid w:val="00386F18"/>
    <w:rsid w:val="003872CA"/>
    <w:rsid w:val="00387C46"/>
    <w:rsid w:val="0039009A"/>
    <w:rsid w:val="003908AC"/>
    <w:rsid w:val="0039097C"/>
    <w:rsid w:val="00390D47"/>
    <w:rsid w:val="0039156C"/>
    <w:rsid w:val="00391AEE"/>
    <w:rsid w:val="003926B4"/>
    <w:rsid w:val="003929E5"/>
    <w:rsid w:val="00392A48"/>
    <w:rsid w:val="00392CA7"/>
    <w:rsid w:val="003931E8"/>
    <w:rsid w:val="003937E1"/>
    <w:rsid w:val="003939FE"/>
    <w:rsid w:val="00394221"/>
    <w:rsid w:val="00395446"/>
    <w:rsid w:val="0039587E"/>
    <w:rsid w:val="00395D6B"/>
    <w:rsid w:val="00395F5D"/>
    <w:rsid w:val="00396342"/>
    <w:rsid w:val="00396D39"/>
    <w:rsid w:val="00397480"/>
    <w:rsid w:val="00397652"/>
    <w:rsid w:val="003978DC"/>
    <w:rsid w:val="00397CAB"/>
    <w:rsid w:val="003A0C89"/>
    <w:rsid w:val="003A1B14"/>
    <w:rsid w:val="003A1FDD"/>
    <w:rsid w:val="003A25F4"/>
    <w:rsid w:val="003A2A2C"/>
    <w:rsid w:val="003A2D92"/>
    <w:rsid w:val="003A2DE4"/>
    <w:rsid w:val="003A33C2"/>
    <w:rsid w:val="003A34FD"/>
    <w:rsid w:val="003A3A56"/>
    <w:rsid w:val="003A4381"/>
    <w:rsid w:val="003A43B4"/>
    <w:rsid w:val="003A4A6D"/>
    <w:rsid w:val="003A4BB6"/>
    <w:rsid w:val="003A4E1C"/>
    <w:rsid w:val="003A559D"/>
    <w:rsid w:val="003A5CF8"/>
    <w:rsid w:val="003A6B79"/>
    <w:rsid w:val="003A743C"/>
    <w:rsid w:val="003A7584"/>
    <w:rsid w:val="003A7F48"/>
    <w:rsid w:val="003B0333"/>
    <w:rsid w:val="003B11AF"/>
    <w:rsid w:val="003B1B55"/>
    <w:rsid w:val="003B2CCB"/>
    <w:rsid w:val="003B35C6"/>
    <w:rsid w:val="003B374C"/>
    <w:rsid w:val="003B3760"/>
    <w:rsid w:val="003B3806"/>
    <w:rsid w:val="003B3AAA"/>
    <w:rsid w:val="003B3C59"/>
    <w:rsid w:val="003B3CEB"/>
    <w:rsid w:val="003B3E05"/>
    <w:rsid w:val="003B3F8E"/>
    <w:rsid w:val="003B3FEF"/>
    <w:rsid w:val="003B42CE"/>
    <w:rsid w:val="003B6C20"/>
    <w:rsid w:val="003C0606"/>
    <w:rsid w:val="003C18DB"/>
    <w:rsid w:val="003C1D31"/>
    <w:rsid w:val="003C2B4B"/>
    <w:rsid w:val="003C3F04"/>
    <w:rsid w:val="003C42F8"/>
    <w:rsid w:val="003C537E"/>
    <w:rsid w:val="003C5758"/>
    <w:rsid w:val="003C5810"/>
    <w:rsid w:val="003C5B31"/>
    <w:rsid w:val="003C5B74"/>
    <w:rsid w:val="003C5D03"/>
    <w:rsid w:val="003C5E28"/>
    <w:rsid w:val="003C6D09"/>
    <w:rsid w:val="003C7ABD"/>
    <w:rsid w:val="003C7D47"/>
    <w:rsid w:val="003C7FB8"/>
    <w:rsid w:val="003D0AFC"/>
    <w:rsid w:val="003D0DE8"/>
    <w:rsid w:val="003D17C9"/>
    <w:rsid w:val="003D1876"/>
    <w:rsid w:val="003D21A4"/>
    <w:rsid w:val="003D2400"/>
    <w:rsid w:val="003D295C"/>
    <w:rsid w:val="003D297F"/>
    <w:rsid w:val="003D31C1"/>
    <w:rsid w:val="003D38F6"/>
    <w:rsid w:val="003D3E55"/>
    <w:rsid w:val="003D4045"/>
    <w:rsid w:val="003D4D24"/>
    <w:rsid w:val="003D4EFC"/>
    <w:rsid w:val="003D54EC"/>
    <w:rsid w:val="003D5A14"/>
    <w:rsid w:val="003D770C"/>
    <w:rsid w:val="003D7837"/>
    <w:rsid w:val="003D7B42"/>
    <w:rsid w:val="003D7BAE"/>
    <w:rsid w:val="003D7C70"/>
    <w:rsid w:val="003E0215"/>
    <w:rsid w:val="003E057E"/>
    <w:rsid w:val="003E05F3"/>
    <w:rsid w:val="003E0785"/>
    <w:rsid w:val="003E0EB6"/>
    <w:rsid w:val="003E113E"/>
    <w:rsid w:val="003E11F2"/>
    <w:rsid w:val="003E132C"/>
    <w:rsid w:val="003E15C1"/>
    <w:rsid w:val="003E1B15"/>
    <w:rsid w:val="003E2727"/>
    <w:rsid w:val="003E29E6"/>
    <w:rsid w:val="003E354C"/>
    <w:rsid w:val="003E359B"/>
    <w:rsid w:val="003E3EE9"/>
    <w:rsid w:val="003E48C4"/>
    <w:rsid w:val="003E4B96"/>
    <w:rsid w:val="003E4C6D"/>
    <w:rsid w:val="003E707C"/>
    <w:rsid w:val="003E7112"/>
    <w:rsid w:val="003E7220"/>
    <w:rsid w:val="003E7388"/>
    <w:rsid w:val="003E75BB"/>
    <w:rsid w:val="003E77C4"/>
    <w:rsid w:val="003F112A"/>
    <w:rsid w:val="003F14CF"/>
    <w:rsid w:val="003F2024"/>
    <w:rsid w:val="003F2D78"/>
    <w:rsid w:val="003F2E13"/>
    <w:rsid w:val="003F33EA"/>
    <w:rsid w:val="003F3BF9"/>
    <w:rsid w:val="003F3C9D"/>
    <w:rsid w:val="003F3F70"/>
    <w:rsid w:val="003F4FA1"/>
    <w:rsid w:val="003F7038"/>
    <w:rsid w:val="003F7110"/>
    <w:rsid w:val="003F7893"/>
    <w:rsid w:val="003F7E14"/>
    <w:rsid w:val="0040017F"/>
    <w:rsid w:val="004002F2"/>
    <w:rsid w:val="00400AB2"/>
    <w:rsid w:val="00401A49"/>
    <w:rsid w:val="00402200"/>
    <w:rsid w:val="00404549"/>
    <w:rsid w:val="0040507C"/>
    <w:rsid w:val="004052EB"/>
    <w:rsid w:val="004053CF"/>
    <w:rsid w:val="00405578"/>
    <w:rsid w:val="00405756"/>
    <w:rsid w:val="00405F46"/>
    <w:rsid w:val="00406BFF"/>
    <w:rsid w:val="00406C27"/>
    <w:rsid w:val="00406E29"/>
    <w:rsid w:val="004072E9"/>
    <w:rsid w:val="00407489"/>
    <w:rsid w:val="004075AB"/>
    <w:rsid w:val="004077CB"/>
    <w:rsid w:val="00410A69"/>
    <w:rsid w:val="00410EA1"/>
    <w:rsid w:val="00410F43"/>
    <w:rsid w:val="00411069"/>
    <w:rsid w:val="00411C9E"/>
    <w:rsid w:val="00412068"/>
    <w:rsid w:val="004120C0"/>
    <w:rsid w:val="0041251A"/>
    <w:rsid w:val="00412E8E"/>
    <w:rsid w:val="004130D2"/>
    <w:rsid w:val="00413227"/>
    <w:rsid w:val="004138FF"/>
    <w:rsid w:val="004139F1"/>
    <w:rsid w:val="004145B9"/>
    <w:rsid w:val="0041467A"/>
    <w:rsid w:val="00415C36"/>
    <w:rsid w:val="00415CA5"/>
    <w:rsid w:val="00416263"/>
    <w:rsid w:val="00416AC1"/>
    <w:rsid w:val="0041784F"/>
    <w:rsid w:val="00417CA6"/>
    <w:rsid w:val="00417D22"/>
    <w:rsid w:val="00417F5E"/>
    <w:rsid w:val="00420D1E"/>
    <w:rsid w:val="00421103"/>
    <w:rsid w:val="00421538"/>
    <w:rsid w:val="004219CA"/>
    <w:rsid w:val="00421E16"/>
    <w:rsid w:val="004225AB"/>
    <w:rsid w:val="00422C23"/>
    <w:rsid w:val="004234F2"/>
    <w:rsid w:val="00423677"/>
    <w:rsid w:val="00423688"/>
    <w:rsid w:val="00423A46"/>
    <w:rsid w:val="0042442D"/>
    <w:rsid w:val="0042460D"/>
    <w:rsid w:val="00424B35"/>
    <w:rsid w:val="00424D68"/>
    <w:rsid w:val="004250CE"/>
    <w:rsid w:val="00425F02"/>
    <w:rsid w:val="00426097"/>
    <w:rsid w:val="004260D1"/>
    <w:rsid w:val="00426353"/>
    <w:rsid w:val="004264C8"/>
    <w:rsid w:val="00426521"/>
    <w:rsid w:val="00426D87"/>
    <w:rsid w:val="00430020"/>
    <w:rsid w:val="0043012F"/>
    <w:rsid w:val="004301B0"/>
    <w:rsid w:val="00430764"/>
    <w:rsid w:val="0043093A"/>
    <w:rsid w:val="00431127"/>
    <w:rsid w:val="00431781"/>
    <w:rsid w:val="0043183C"/>
    <w:rsid w:val="004322E0"/>
    <w:rsid w:val="00432EF4"/>
    <w:rsid w:val="0043424D"/>
    <w:rsid w:val="004342E0"/>
    <w:rsid w:val="00434A7A"/>
    <w:rsid w:val="00434ACB"/>
    <w:rsid w:val="00434BD0"/>
    <w:rsid w:val="00435643"/>
    <w:rsid w:val="00435B5D"/>
    <w:rsid w:val="00435D63"/>
    <w:rsid w:val="00436089"/>
    <w:rsid w:val="004365D7"/>
    <w:rsid w:val="00437140"/>
    <w:rsid w:val="0044073F"/>
    <w:rsid w:val="004411E8"/>
    <w:rsid w:val="00441602"/>
    <w:rsid w:val="00441C1E"/>
    <w:rsid w:val="0044294A"/>
    <w:rsid w:val="00442B66"/>
    <w:rsid w:val="00442D03"/>
    <w:rsid w:val="0044346B"/>
    <w:rsid w:val="004437A6"/>
    <w:rsid w:val="0044388D"/>
    <w:rsid w:val="00443E9F"/>
    <w:rsid w:val="0044420D"/>
    <w:rsid w:val="00444A93"/>
    <w:rsid w:val="00444AAD"/>
    <w:rsid w:val="00445AAC"/>
    <w:rsid w:val="00445C33"/>
    <w:rsid w:val="00445CB4"/>
    <w:rsid w:val="0044611B"/>
    <w:rsid w:val="00446A7A"/>
    <w:rsid w:val="00446EF1"/>
    <w:rsid w:val="004471B1"/>
    <w:rsid w:val="0044743C"/>
    <w:rsid w:val="00447445"/>
    <w:rsid w:val="004477C5"/>
    <w:rsid w:val="00447BDB"/>
    <w:rsid w:val="004501A9"/>
    <w:rsid w:val="00450309"/>
    <w:rsid w:val="004504DD"/>
    <w:rsid w:val="00450C83"/>
    <w:rsid w:val="00451A90"/>
    <w:rsid w:val="00451CBC"/>
    <w:rsid w:val="00451D55"/>
    <w:rsid w:val="00452503"/>
    <w:rsid w:val="00453643"/>
    <w:rsid w:val="00454889"/>
    <w:rsid w:val="00454B75"/>
    <w:rsid w:val="00454EB8"/>
    <w:rsid w:val="004559B0"/>
    <w:rsid w:val="00455D7B"/>
    <w:rsid w:val="00455F9F"/>
    <w:rsid w:val="0045648E"/>
    <w:rsid w:val="00456955"/>
    <w:rsid w:val="00456FD9"/>
    <w:rsid w:val="004605BE"/>
    <w:rsid w:val="00460C5D"/>
    <w:rsid w:val="00461349"/>
    <w:rsid w:val="0046252D"/>
    <w:rsid w:val="0046256F"/>
    <w:rsid w:val="00462A1E"/>
    <w:rsid w:val="00462E3D"/>
    <w:rsid w:val="0046344A"/>
    <w:rsid w:val="0046588C"/>
    <w:rsid w:val="00466753"/>
    <w:rsid w:val="00466AC4"/>
    <w:rsid w:val="00467102"/>
    <w:rsid w:val="00470891"/>
    <w:rsid w:val="0047162D"/>
    <w:rsid w:val="0047180B"/>
    <w:rsid w:val="004721B1"/>
    <w:rsid w:val="004727A1"/>
    <w:rsid w:val="004727EF"/>
    <w:rsid w:val="00472AF9"/>
    <w:rsid w:val="00472C7B"/>
    <w:rsid w:val="00473C21"/>
    <w:rsid w:val="00473C39"/>
    <w:rsid w:val="0047499C"/>
    <w:rsid w:val="00475967"/>
    <w:rsid w:val="00475BC8"/>
    <w:rsid w:val="00476958"/>
    <w:rsid w:val="00477510"/>
    <w:rsid w:val="0047768F"/>
    <w:rsid w:val="004776D5"/>
    <w:rsid w:val="004777AF"/>
    <w:rsid w:val="00477BD3"/>
    <w:rsid w:val="004805AE"/>
    <w:rsid w:val="00480D5F"/>
    <w:rsid w:val="004811F8"/>
    <w:rsid w:val="00481907"/>
    <w:rsid w:val="0048194A"/>
    <w:rsid w:val="00481DA1"/>
    <w:rsid w:val="00482182"/>
    <w:rsid w:val="0048231C"/>
    <w:rsid w:val="004829A6"/>
    <w:rsid w:val="00482E2C"/>
    <w:rsid w:val="00483416"/>
    <w:rsid w:val="004834E2"/>
    <w:rsid w:val="004835CE"/>
    <w:rsid w:val="004843E1"/>
    <w:rsid w:val="00484715"/>
    <w:rsid w:val="004848E6"/>
    <w:rsid w:val="00484DD3"/>
    <w:rsid w:val="00484ECB"/>
    <w:rsid w:val="004852AB"/>
    <w:rsid w:val="00485D7E"/>
    <w:rsid w:val="00485E7E"/>
    <w:rsid w:val="0048688E"/>
    <w:rsid w:val="00486D39"/>
    <w:rsid w:val="0048709C"/>
    <w:rsid w:val="004870D7"/>
    <w:rsid w:val="00487196"/>
    <w:rsid w:val="004872E2"/>
    <w:rsid w:val="004874F3"/>
    <w:rsid w:val="004877EC"/>
    <w:rsid w:val="00487ABF"/>
    <w:rsid w:val="00487D27"/>
    <w:rsid w:val="00487F2A"/>
    <w:rsid w:val="0049048A"/>
    <w:rsid w:val="004908A9"/>
    <w:rsid w:val="00491461"/>
    <w:rsid w:val="004919D8"/>
    <w:rsid w:val="004926AF"/>
    <w:rsid w:val="004928A8"/>
    <w:rsid w:val="00492F19"/>
    <w:rsid w:val="004944B5"/>
    <w:rsid w:val="00494763"/>
    <w:rsid w:val="00495064"/>
    <w:rsid w:val="004968F7"/>
    <w:rsid w:val="00496B21"/>
    <w:rsid w:val="00496EBB"/>
    <w:rsid w:val="00497185"/>
    <w:rsid w:val="004973A6"/>
    <w:rsid w:val="0049746D"/>
    <w:rsid w:val="00497E1F"/>
    <w:rsid w:val="004A00D6"/>
    <w:rsid w:val="004A0A85"/>
    <w:rsid w:val="004A2267"/>
    <w:rsid w:val="004A2347"/>
    <w:rsid w:val="004A3807"/>
    <w:rsid w:val="004A3ACD"/>
    <w:rsid w:val="004A3ED4"/>
    <w:rsid w:val="004A3F71"/>
    <w:rsid w:val="004A5D59"/>
    <w:rsid w:val="004A6433"/>
    <w:rsid w:val="004A6AAB"/>
    <w:rsid w:val="004A6C2B"/>
    <w:rsid w:val="004A6C43"/>
    <w:rsid w:val="004A7412"/>
    <w:rsid w:val="004A7ADE"/>
    <w:rsid w:val="004A7D13"/>
    <w:rsid w:val="004B0762"/>
    <w:rsid w:val="004B1673"/>
    <w:rsid w:val="004B199C"/>
    <w:rsid w:val="004B2070"/>
    <w:rsid w:val="004B2473"/>
    <w:rsid w:val="004B30CE"/>
    <w:rsid w:val="004B34F3"/>
    <w:rsid w:val="004B4AC4"/>
    <w:rsid w:val="004B5255"/>
    <w:rsid w:val="004B559F"/>
    <w:rsid w:val="004B59E9"/>
    <w:rsid w:val="004B5DD5"/>
    <w:rsid w:val="004B5E25"/>
    <w:rsid w:val="004B5F23"/>
    <w:rsid w:val="004B638C"/>
    <w:rsid w:val="004B6533"/>
    <w:rsid w:val="004B6634"/>
    <w:rsid w:val="004B669F"/>
    <w:rsid w:val="004B7097"/>
    <w:rsid w:val="004B7749"/>
    <w:rsid w:val="004B7A50"/>
    <w:rsid w:val="004B7C86"/>
    <w:rsid w:val="004C00C0"/>
    <w:rsid w:val="004C033F"/>
    <w:rsid w:val="004C06E1"/>
    <w:rsid w:val="004C07A0"/>
    <w:rsid w:val="004C0AFC"/>
    <w:rsid w:val="004C0B5B"/>
    <w:rsid w:val="004C121F"/>
    <w:rsid w:val="004C167E"/>
    <w:rsid w:val="004C277A"/>
    <w:rsid w:val="004C2FAD"/>
    <w:rsid w:val="004C32EA"/>
    <w:rsid w:val="004C39E0"/>
    <w:rsid w:val="004C3A27"/>
    <w:rsid w:val="004C3E7A"/>
    <w:rsid w:val="004C3ED7"/>
    <w:rsid w:val="004C61F0"/>
    <w:rsid w:val="004C64EF"/>
    <w:rsid w:val="004C651F"/>
    <w:rsid w:val="004C67D1"/>
    <w:rsid w:val="004C68F6"/>
    <w:rsid w:val="004C6C18"/>
    <w:rsid w:val="004C6C9A"/>
    <w:rsid w:val="004C6ED8"/>
    <w:rsid w:val="004C75BB"/>
    <w:rsid w:val="004C7D23"/>
    <w:rsid w:val="004C7E5C"/>
    <w:rsid w:val="004D080D"/>
    <w:rsid w:val="004D0831"/>
    <w:rsid w:val="004D123B"/>
    <w:rsid w:val="004D1E74"/>
    <w:rsid w:val="004D3298"/>
    <w:rsid w:val="004D3D9F"/>
    <w:rsid w:val="004D40F2"/>
    <w:rsid w:val="004D4138"/>
    <w:rsid w:val="004D454A"/>
    <w:rsid w:val="004D4AFC"/>
    <w:rsid w:val="004D4D50"/>
    <w:rsid w:val="004D5DA8"/>
    <w:rsid w:val="004D5E92"/>
    <w:rsid w:val="004D6331"/>
    <w:rsid w:val="004D6717"/>
    <w:rsid w:val="004D6756"/>
    <w:rsid w:val="004D67A5"/>
    <w:rsid w:val="004D6E86"/>
    <w:rsid w:val="004D7B5B"/>
    <w:rsid w:val="004D7CE7"/>
    <w:rsid w:val="004D7D23"/>
    <w:rsid w:val="004D7FBB"/>
    <w:rsid w:val="004E03F3"/>
    <w:rsid w:val="004E061C"/>
    <w:rsid w:val="004E09C7"/>
    <w:rsid w:val="004E0CF0"/>
    <w:rsid w:val="004E17B1"/>
    <w:rsid w:val="004E1EE4"/>
    <w:rsid w:val="004E2697"/>
    <w:rsid w:val="004E306D"/>
    <w:rsid w:val="004E404F"/>
    <w:rsid w:val="004E478D"/>
    <w:rsid w:val="004E4BD6"/>
    <w:rsid w:val="004E4C61"/>
    <w:rsid w:val="004E4E79"/>
    <w:rsid w:val="004E4F5F"/>
    <w:rsid w:val="004E5CA6"/>
    <w:rsid w:val="004E6309"/>
    <w:rsid w:val="004E648C"/>
    <w:rsid w:val="004E6BD5"/>
    <w:rsid w:val="004E6BE8"/>
    <w:rsid w:val="004E6CD2"/>
    <w:rsid w:val="004E7000"/>
    <w:rsid w:val="004E707D"/>
    <w:rsid w:val="004F0CC4"/>
    <w:rsid w:val="004F163B"/>
    <w:rsid w:val="004F16DD"/>
    <w:rsid w:val="004F2077"/>
    <w:rsid w:val="004F2D92"/>
    <w:rsid w:val="004F3DDD"/>
    <w:rsid w:val="004F3E1C"/>
    <w:rsid w:val="004F4BBA"/>
    <w:rsid w:val="004F5321"/>
    <w:rsid w:val="004F572C"/>
    <w:rsid w:val="004F6C64"/>
    <w:rsid w:val="004F6CA2"/>
    <w:rsid w:val="004F7365"/>
    <w:rsid w:val="004F78CE"/>
    <w:rsid w:val="004F7C17"/>
    <w:rsid w:val="005002D5"/>
    <w:rsid w:val="00500B81"/>
    <w:rsid w:val="00500DE3"/>
    <w:rsid w:val="0050135B"/>
    <w:rsid w:val="0050193E"/>
    <w:rsid w:val="005028AD"/>
    <w:rsid w:val="00502DD2"/>
    <w:rsid w:val="00502E63"/>
    <w:rsid w:val="0050356C"/>
    <w:rsid w:val="0050360C"/>
    <w:rsid w:val="00503A6C"/>
    <w:rsid w:val="00504533"/>
    <w:rsid w:val="00505C90"/>
    <w:rsid w:val="00505DD4"/>
    <w:rsid w:val="005063CF"/>
    <w:rsid w:val="00506442"/>
    <w:rsid w:val="00506935"/>
    <w:rsid w:val="0050722A"/>
    <w:rsid w:val="005075BF"/>
    <w:rsid w:val="00507639"/>
    <w:rsid w:val="00510814"/>
    <w:rsid w:val="005108A7"/>
    <w:rsid w:val="00511A98"/>
    <w:rsid w:val="0051216D"/>
    <w:rsid w:val="00512492"/>
    <w:rsid w:val="005126ED"/>
    <w:rsid w:val="005128F9"/>
    <w:rsid w:val="005131F2"/>
    <w:rsid w:val="0051377E"/>
    <w:rsid w:val="005147F9"/>
    <w:rsid w:val="00515468"/>
    <w:rsid w:val="00515605"/>
    <w:rsid w:val="00515A71"/>
    <w:rsid w:val="00515F79"/>
    <w:rsid w:val="0051636F"/>
    <w:rsid w:val="0051648D"/>
    <w:rsid w:val="005202B3"/>
    <w:rsid w:val="00520FFD"/>
    <w:rsid w:val="00521380"/>
    <w:rsid w:val="00522147"/>
    <w:rsid w:val="00522B2A"/>
    <w:rsid w:val="00522CB6"/>
    <w:rsid w:val="00523669"/>
    <w:rsid w:val="005242FE"/>
    <w:rsid w:val="00524529"/>
    <w:rsid w:val="0052534D"/>
    <w:rsid w:val="005253CF"/>
    <w:rsid w:val="00525621"/>
    <w:rsid w:val="00525CD8"/>
    <w:rsid w:val="00525E62"/>
    <w:rsid w:val="00526526"/>
    <w:rsid w:val="005279BC"/>
    <w:rsid w:val="00527EB4"/>
    <w:rsid w:val="00530293"/>
    <w:rsid w:val="005305A6"/>
    <w:rsid w:val="00530969"/>
    <w:rsid w:val="0053123D"/>
    <w:rsid w:val="00531546"/>
    <w:rsid w:val="00531F32"/>
    <w:rsid w:val="00531FB6"/>
    <w:rsid w:val="00532D9D"/>
    <w:rsid w:val="00533CC5"/>
    <w:rsid w:val="005344DD"/>
    <w:rsid w:val="00534733"/>
    <w:rsid w:val="0053485D"/>
    <w:rsid w:val="005358E0"/>
    <w:rsid w:val="00536022"/>
    <w:rsid w:val="005364DE"/>
    <w:rsid w:val="00537153"/>
    <w:rsid w:val="005372D5"/>
    <w:rsid w:val="005378AA"/>
    <w:rsid w:val="005402F3"/>
    <w:rsid w:val="005402F7"/>
    <w:rsid w:val="005416DC"/>
    <w:rsid w:val="00542900"/>
    <w:rsid w:val="00542A2C"/>
    <w:rsid w:val="0054363B"/>
    <w:rsid w:val="00543EBB"/>
    <w:rsid w:val="00544C6D"/>
    <w:rsid w:val="005451C6"/>
    <w:rsid w:val="00545813"/>
    <w:rsid w:val="00545ED2"/>
    <w:rsid w:val="0054692A"/>
    <w:rsid w:val="00546D21"/>
    <w:rsid w:val="00551675"/>
    <w:rsid w:val="005516D9"/>
    <w:rsid w:val="005519DE"/>
    <w:rsid w:val="00551A90"/>
    <w:rsid w:val="00551BDB"/>
    <w:rsid w:val="00552C76"/>
    <w:rsid w:val="00553888"/>
    <w:rsid w:val="00553B8E"/>
    <w:rsid w:val="005540AB"/>
    <w:rsid w:val="00554678"/>
    <w:rsid w:val="0055484F"/>
    <w:rsid w:val="00554BC4"/>
    <w:rsid w:val="00555683"/>
    <w:rsid w:val="00555695"/>
    <w:rsid w:val="00555D3E"/>
    <w:rsid w:val="00556DB8"/>
    <w:rsid w:val="0055705E"/>
    <w:rsid w:val="00557A68"/>
    <w:rsid w:val="00557CF2"/>
    <w:rsid w:val="005604D0"/>
    <w:rsid w:val="0056093C"/>
    <w:rsid w:val="00561593"/>
    <w:rsid w:val="005621CC"/>
    <w:rsid w:val="005630A6"/>
    <w:rsid w:val="005636E5"/>
    <w:rsid w:val="0056379B"/>
    <w:rsid w:val="005644A2"/>
    <w:rsid w:val="0056649B"/>
    <w:rsid w:val="00566BA8"/>
    <w:rsid w:val="00567167"/>
    <w:rsid w:val="00567474"/>
    <w:rsid w:val="00567EFC"/>
    <w:rsid w:val="005701E2"/>
    <w:rsid w:val="0057040E"/>
    <w:rsid w:val="0057086E"/>
    <w:rsid w:val="00570FE4"/>
    <w:rsid w:val="00571539"/>
    <w:rsid w:val="0057198D"/>
    <w:rsid w:val="00571BBF"/>
    <w:rsid w:val="00572267"/>
    <w:rsid w:val="005725C1"/>
    <w:rsid w:val="005726E0"/>
    <w:rsid w:val="0057288F"/>
    <w:rsid w:val="00572D3C"/>
    <w:rsid w:val="0057626A"/>
    <w:rsid w:val="005766DA"/>
    <w:rsid w:val="00576716"/>
    <w:rsid w:val="005770BB"/>
    <w:rsid w:val="005771D9"/>
    <w:rsid w:val="005773AD"/>
    <w:rsid w:val="00577970"/>
    <w:rsid w:val="0058013F"/>
    <w:rsid w:val="00580268"/>
    <w:rsid w:val="005803FF"/>
    <w:rsid w:val="00580FC4"/>
    <w:rsid w:val="00581185"/>
    <w:rsid w:val="005811BD"/>
    <w:rsid w:val="00581232"/>
    <w:rsid w:val="0058150B"/>
    <w:rsid w:val="00581D62"/>
    <w:rsid w:val="005829FD"/>
    <w:rsid w:val="00582E36"/>
    <w:rsid w:val="00583656"/>
    <w:rsid w:val="005837EC"/>
    <w:rsid w:val="00583888"/>
    <w:rsid w:val="00583E03"/>
    <w:rsid w:val="005840B5"/>
    <w:rsid w:val="005845BE"/>
    <w:rsid w:val="0058479C"/>
    <w:rsid w:val="00584966"/>
    <w:rsid w:val="00584A50"/>
    <w:rsid w:val="00584BBB"/>
    <w:rsid w:val="00584F52"/>
    <w:rsid w:val="00584F6C"/>
    <w:rsid w:val="00586439"/>
    <w:rsid w:val="005866B6"/>
    <w:rsid w:val="00586934"/>
    <w:rsid w:val="00586D55"/>
    <w:rsid w:val="00590CE3"/>
    <w:rsid w:val="00590DE5"/>
    <w:rsid w:val="0059134D"/>
    <w:rsid w:val="005933B3"/>
    <w:rsid w:val="005934E4"/>
    <w:rsid w:val="0059369B"/>
    <w:rsid w:val="00593761"/>
    <w:rsid w:val="00593B70"/>
    <w:rsid w:val="00594C28"/>
    <w:rsid w:val="005952B1"/>
    <w:rsid w:val="00595452"/>
    <w:rsid w:val="00595967"/>
    <w:rsid w:val="00595A8D"/>
    <w:rsid w:val="005962B4"/>
    <w:rsid w:val="005962E7"/>
    <w:rsid w:val="0059634A"/>
    <w:rsid w:val="00596714"/>
    <w:rsid w:val="00596FCF"/>
    <w:rsid w:val="0059771E"/>
    <w:rsid w:val="005A016A"/>
    <w:rsid w:val="005A09DF"/>
    <w:rsid w:val="005A250A"/>
    <w:rsid w:val="005A2AA5"/>
    <w:rsid w:val="005A3A12"/>
    <w:rsid w:val="005A3F87"/>
    <w:rsid w:val="005A417A"/>
    <w:rsid w:val="005A4C0A"/>
    <w:rsid w:val="005A6594"/>
    <w:rsid w:val="005A69C5"/>
    <w:rsid w:val="005A6A0C"/>
    <w:rsid w:val="005A7C8E"/>
    <w:rsid w:val="005B08D1"/>
    <w:rsid w:val="005B0E4F"/>
    <w:rsid w:val="005B1359"/>
    <w:rsid w:val="005B139E"/>
    <w:rsid w:val="005B1555"/>
    <w:rsid w:val="005B1C58"/>
    <w:rsid w:val="005B1D10"/>
    <w:rsid w:val="005B20DA"/>
    <w:rsid w:val="005B27A6"/>
    <w:rsid w:val="005B27FE"/>
    <w:rsid w:val="005B2F11"/>
    <w:rsid w:val="005B33F4"/>
    <w:rsid w:val="005B410E"/>
    <w:rsid w:val="005B4361"/>
    <w:rsid w:val="005B4867"/>
    <w:rsid w:val="005B519B"/>
    <w:rsid w:val="005B5563"/>
    <w:rsid w:val="005B55AB"/>
    <w:rsid w:val="005B55CB"/>
    <w:rsid w:val="005B5608"/>
    <w:rsid w:val="005B5654"/>
    <w:rsid w:val="005B5D90"/>
    <w:rsid w:val="005B6A58"/>
    <w:rsid w:val="005B6D25"/>
    <w:rsid w:val="005B75DC"/>
    <w:rsid w:val="005B76CA"/>
    <w:rsid w:val="005B7955"/>
    <w:rsid w:val="005B7BC5"/>
    <w:rsid w:val="005C0434"/>
    <w:rsid w:val="005C045B"/>
    <w:rsid w:val="005C05AD"/>
    <w:rsid w:val="005C06BF"/>
    <w:rsid w:val="005C0996"/>
    <w:rsid w:val="005C0E92"/>
    <w:rsid w:val="005C15AF"/>
    <w:rsid w:val="005C1901"/>
    <w:rsid w:val="005C1A88"/>
    <w:rsid w:val="005C1AB6"/>
    <w:rsid w:val="005C1B81"/>
    <w:rsid w:val="005C24D8"/>
    <w:rsid w:val="005C2A88"/>
    <w:rsid w:val="005C2FF6"/>
    <w:rsid w:val="005C367F"/>
    <w:rsid w:val="005C4A0D"/>
    <w:rsid w:val="005C4AFB"/>
    <w:rsid w:val="005C54AC"/>
    <w:rsid w:val="005C56E4"/>
    <w:rsid w:val="005C5FAA"/>
    <w:rsid w:val="005C61C5"/>
    <w:rsid w:val="005C6290"/>
    <w:rsid w:val="005C6C3A"/>
    <w:rsid w:val="005C71D2"/>
    <w:rsid w:val="005C75F1"/>
    <w:rsid w:val="005C7B11"/>
    <w:rsid w:val="005D016C"/>
    <w:rsid w:val="005D1558"/>
    <w:rsid w:val="005D2916"/>
    <w:rsid w:val="005D2AA3"/>
    <w:rsid w:val="005D2C34"/>
    <w:rsid w:val="005D3AA2"/>
    <w:rsid w:val="005D40AF"/>
    <w:rsid w:val="005D481D"/>
    <w:rsid w:val="005D48D7"/>
    <w:rsid w:val="005D50D1"/>
    <w:rsid w:val="005D5835"/>
    <w:rsid w:val="005D5959"/>
    <w:rsid w:val="005D5992"/>
    <w:rsid w:val="005D5C62"/>
    <w:rsid w:val="005D69AB"/>
    <w:rsid w:val="005D79C7"/>
    <w:rsid w:val="005D7A76"/>
    <w:rsid w:val="005E0060"/>
    <w:rsid w:val="005E0120"/>
    <w:rsid w:val="005E0158"/>
    <w:rsid w:val="005E0F72"/>
    <w:rsid w:val="005E1046"/>
    <w:rsid w:val="005E1286"/>
    <w:rsid w:val="005E17B8"/>
    <w:rsid w:val="005E2DC7"/>
    <w:rsid w:val="005E3105"/>
    <w:rsid w:val="005E3665"/>
    <w:rsid w:val="005E45A0"/>
    <w:rsid w:val="005E48E1"/>
    <w:rsid w:val="005E4A44"/>
    <w:rsid w:val="005E4A97"/>
    <w:rsid w:val="005E4B14"/>
    <w:rsid w:val="005E4B69"/>
    <w:rsid w:val="005E4F8B"/>
    <w:rsid w:val="005E5163"/>
    <w:rsid w:val="005E5B67"/>
    <w:rsid w:val="005E6480"/>
    <w:rsid w:val="005E6834"/>
    <w:rsid w:val="005E700F"/>
    <w:rsid w:val="005E7BBC"/>
    <w:rsid w:val="005E7DB8"/>
    <w:rsid w:val="005F09CD"/>
    <w:rsid w:val="005F0AA2"/>
    <w:rsid w:val="005F0F47"/>
    <w:rsid w:val="005F1503"/>
    <w:rsid w:val="005F1AAB"/>
    <w:rsid w:val="005F256E"/>
    <w:rsid w:val="005F2D98"/>
    <w:rsid w:val="005F31B4"/>
    <w:rsid w:val="005F34EB"/>
    <w:rsid w:val="005F4088"/>
    <w:rsid w:val="005F4155"/>
    <w:rsid w:val="005F5A73"/>
    <w:rsid w:val="005F6159"/>
    <w:rsid w:val="005F6163"/>
    <w:rsid w:val="005F6706"/>
    <w:rsid w:val="005F6D54"/>
    <w:rsid w:val="005F7739"/>
    <w:rsid w:val="005F7853"/>
    <w:rsid w:val="00600092"/>
    <w:rsid w:val="0060057B"/>
    <w:rsid w:val="00600B59"/>
    <w:rsid w:val="00601AC5"/>
    <w:rsid w:val="00601D7A"/>
    <w:rsid w:val="00602DC3"/>
    <w:rsid w:val="00604641"/>
    <w:rsid w:val="00605072"/>
    <w:rsid w:val="006051EB"/>
    <w:rsid w:val="00605BDF"/>
    <w:rsid w:val="00605E41"/>
    <w:rsid w:val="006060F9"/>
    <w:rsid w:val="006066D2"/>
    <w:rsid w:val="00606F86"/>
    <w:rsid w:val="00607AB9"/>
    <w:rsid w:val="00607C69"/>
    <w:rsid w:val="006112BD"/>
    <w:rsid w:val="006119C8"/>
    <w:rsid w:val="00612F13"/>
    <w:rsid w:val="006132C8"/>
    <w:rsid w:val="006139A4"/>
    <w:rsid w:val="00613D2D"/>
    <w:rsid w:val="0061405E"/>
    <w:rsid w:val="00614061"/>
    <w:rsid w:val="006140A6"/>
    <w:rsid w:val="00614359"/>
    <w:rsid w:val="00614CA0"/>
    <w:rsid w:val="006152C2"/>
    <w:rsid w:val="006153D8"/>
    <w:rsid w:val="00615525"/>
    <w:rsid w:val="00615EBF"/>
    <w:rsid w:val="00616293"/>
    <w:rsid w:val="00616AE1"/>
    <w:rsid w:val="00616B1F"/>
    <w:rsid w:val="00616CA6"/>
    <w:rsid w:val="00620C69"/>
    <w:rsid w:val="0062100D"/>
    <w:rsid w:val="006212FB"/>
    <w:rsid w:val="0062161B"/>
    <w:rsid w:val="00621B19"/>
    <w:rsid w:val="00622D96"/>
    <w:rsid w:val="00623064"/>
    <w:rsid w:val="006231DE"/>
    <w:rsid w:val="006234D4"/>
    <w:rsid w:val="00623C74"/>
    <w:rsid w:val="00624830"/>
    <w:rsid w:val="00625285"/>
    <w:rsid w:val="00625888"/>
    <w:rsid w:val="00626879"/>
    <w:rsid w:val="00626D4F"/>
    <w:rsid w:val="00626F3D"/>
    <w:rsid w:val="00627932"/>
    <w:rsid w:val="00627968"/>
    <w:rsid w:val="00627CCC"/>
    <w:rsid w:val="006304E2"/>
    <w:rsid w:val="00630988"/>
    <w:rsid w:val="0063212A"/>
    <w:rsid w:val="0063215D"/>
    <w:rsid w:val="006328C8"/>
    <w:rsid w:val="00632B8E"/>
    <w:rsid w:val="006332A2"/>
    <w:rsid w:val="006333B5"/>
    <w:rsid w:val="00633DC8"/>
    <w:rsid w:val="006340C4"/>
    <w:rsid w:val="0063440A"/>
    <w:rsid w:val="006348BD"/>
    <w:rsid w:val="00634F27"/>
    <w:rsid w:val="0063634D"/>
    <w:rsid w:val="0063639D"/>
    <w:rsid w:val="00636F0C"/>
    <w:rsid w:val="00637275"/>
    <w:rsid w:val="006379E2"/>
    <w:rsid w:val="0064098B"/>
    <w:rsid w:val="00640FE5"/>
    <w:rsid w:val="00641597"/>
    <w:rsid w:val="00641FA4"/>
    <w:rsid w:val="006421B8"/>
    <w:rsid w:val="006422F8"/>
    <w:rsid w:val="00642336"/>
    <w:rsid w:val="00642428"/>
    <w:rsid w:val="00642D9B"/>
    <w:rsid w:val="0064339F"/>
    <w:rsid w:val="006437E3"/>
    <w:rsid w:val="00643A62"/>
    <w:rsid w:val="00643F6E"/>
    <w:rsid w:val="00644CFB"/>
    <w:rsid w:val="00644E2C"/>
    <w:rsid w:val="00644F42"/>
    <w:rsid w:val="00646EFD"/>
    <w:rsid w:val="00647D36"/>
    <w:rsid w:val="00647FF9"/>
    <w:rsid w:val="006504E5"/>
    <w:rsid w:val="006514D8"/>
    <w:rsid w:val="00651828"/>
    <w:rsid w:val="0065185C"/>
    <w:rsid w:val="00651931"/>
    <w:rsid w:val="0065198C"/>
    <w:rsid w:val="00652089"/>
    <w:rsid w:val="006521B0"/>
    <w:rsid w:val="00652AF0"/>
    <w:rsid w:val="00652B64"/>
    <w:rsid w:val="00652B90"/>
    <w:rsid w:val="00652C1F"/>
    <w:rsid w:val="00653969"/>
    <w:rsid w:val="006548C8"/>
    <w:rsid w:val="00655635"/>
    <w:rsid w:val="00655FAC"/>
    <w:rsid w:val="00656AB0"/>
    <w:rsid w:val="00656ECB"/>
    <w:rsid w:val="00657018"/>
    <w:rsid w:val="00657602"/>
    <w:rsid w:val="00657D13"/>
    <w:rsid w:val="00657D3E"/>
    <w:rsid w:val="00657EE5"/>
    <w:rsid w:val="00660A35"/>
    <w:rsid w:val="00660F42"/>
    <w:rsid w:val="00661CD0"/>
    <w:rsid w:val="00661D7D"/>
    <w:rsid w:val="00661DA6"/>
    <w:rsid w:val="00661E3B"/>
    <w:rsid w:val="006638B7"/>
    <w:rsid w:val="00663D86"/>
    <w:rsid w:val="0066418C"/>
    <w:rsid w:val="00664739"/>
    <w:rsid w:val="00664AFF"/>
    <w:rsid w:val="00665003"/>
    <w:rsid w:val="006651D8"/>
    <w:rsid w:val="006659C1"/>
    <w:rsid w:val="00665B5F"/>
    <w:rsid w:val="00665BAE"/>
    <w:rsid w:val="00665CB7"/>
    <w:rsid w:val="00665CD6"/>
    <w:rsid w:val="00665DE7"/>
    <w:rsid w:val="00666314"/>
    <w:rsid w:val="00666756"/>
    <w:rsid w:val="00667684"/>
    <w:rsid w:val="00667A3D"/>
    <w:rsid w:val="00667F9D"/>
    <w:rsid w:val="0067009C"/>
    <w:rsid w:val="0067014C"/>
    <w:rsid w:val="00670E84"/>
    <w:rsid w:val="00670FF9"/>
    <w:rsid w:val="006721B4"/>
    <w:rsid w:val="006723C0"/>
    <w:rsid w:val="00672429"/>
    <w:rsid w:val="006730EA"/>
    <w:rsid w:val="006738D1"/>
    <w:rsid w:val="0067398B"/>
    <w:rsid w:val="006746EF"/>
    <w:rsid w:val="00674989"/>
    <w:rsid w:val="00674C8B"/>
    <w:rsid w:val="00674F61"/>
    <w:rsid w:val="00675922"/>
    <w:rsid w:val="00675A92"/>
    <w:rsid w:val="00675ACB"/>
    <w:rsid w:val="00676078"/>
    <w:rsid w:val="006766C7"/>
    <w:rsid w:val="00676AC9"/>
    <w:rsid w:val="00676BB1"/>
    <w:rsid w:val="00677565"/>
    <w:rsid w:val="00677C93"/>
    <w:rsid w:val="0068099B"/>
    <w:rsid w:val="00680F66"/>
    <w:rsid w:val="00681376"/>
    <w:rsid w:val="006816F2"/>
    <w:rsid w:val="00681C6F"/>
    <w:rsid w:val="00683212"/>
    <w:rsid w:val="00684A60"/>
    <w:rsid w:val="00684B2F"/>
    <w:rsid w:val="00684E09"/>
    <w:rsid w:val="00685272"/>
    <w:rsid w:val="006857C0"/>
    <w:rsid w:val="00686155"/>
    <w:rsid w:val="0068677C"/>
    <w:rsid w:val="00686ED4"/>
    <w:rsid w:val="006878CD"/>
    <w:rsid w:val="006879C4"/>
    <w:rsid w:val="00687CD1"/>
    <w:rsid w:val="006907AB"/>
    <w:rsid w:val="00690822"/>
    <w:rsid w:val="0069089A"/>
    <w:rsid w:val="0069099A"/>
    <w:rsid w:val="006912DA"/>
    <w:rsid w:val="006914E0"/>
    <w:rsid w:val="0069155F"/>
    <w:rsid w:val="00691D19"/>
    <w:rsid w:val="00691FC8"/>
    <w:rsid w:val="00693B3A"/>
    <w:rsid w:val="0069458E"/>
    <w:rsid w:val="006945BF"/>
    <w:rsid w:val="0069546C"/>
    <w:rsid w:val="00695E18"/>
    <w:rsid w:val="00696828"/>
    <w:rsid w:val="00696FF1"/>
    <w:rsid w:val="006971F2"/>
    <w:rsid w:val="00697C5E"/>
    <w:rsid w:val="00697E26"/>
    <w:rsid w:val="006A00A8"/>
    <w:rsid w:val="006A0425"/>
    <w:rsid w:val="006A0B6D"/>
    <w:rsid w:val="006A0D52"/>
    <w:rsid w:val="006A0DF2"/>
    <w:rsid w:val="006A185A"/>
    <w:rsid w:val="006A28A9"/>
    <w:rsid w:val="006A3538"/>
    <w:rsid w:val="006A3A89"/>
    <w:rsid w:val="006A41A8"/>
    <w:rsid w:val="006A4612"/>
    <w:rsid w:val="006A4ADE"/>
    <w:rsid w:val="006A4E8E"/>
    <w:rsid w:val="006A52C0"/>
    <w:rsid w:val="006A5EEF"/>
    <w:rsid w:val="006A611C"/>
    <w:rsid w:val="006A6910"/>
    <w:rsid w:val="006B0F20"/>
    <w:rsid w:val="006B1693"/>
    <w:rsid w:val="006B3438"/>
    <w:rsid w:val="006B34DC"/>
    <w:rsid w:val="006B3930"/>
    <w:rsid w:val="006B3B6B"/>
    <w:rsid w:val="006B42EF"/>
    <w:rsid w:val="006B4B63"/>
    <w:rsid w:val="006B536E"/>
    <w:rsid w:val="006B55A0"/>
    <w:rsid w:val="006B576A"/>
    <w:rsid w:val="006B5CBA"/>
    <w:rsid w:val="006B5D21"/>
    <w:rsid w:val="006B5FA5"/>
    <w:rsid w:val="006B64A5"/>
    <w:rsid w:val="006B744D"/>
    <w:rsid w:val="006B7BF7"/>
    <w:rsid w:val="006B7E11"/>
    <w:rsid w:val="006C0ECF"/>
    <w:rsid w:val="006C10AA"/>
    <w:rsid w:val="006C1668"/>
    <w:rsid w:val="006C17E6"/>
    <w:rsid w:val="006C2654"/>
    <w:rsid w:val="006C2A39"/>
    <w:rsid w:val="006C2BFB"/>
    <w:rsid w:val="006C2DCA"/>
    <w:rsid w:val="006C31CC"/>
    <w:rsid w:val="006C3262"/>
    <w:rsid w:val="006C3AC9"/>
    <w:rsid w:val="006C404A"/>
    <w:rsid w:val="006C482D"/>
    <w:rsid w:val="006C538E"/>
    <w:rsid w:val="006C618E"/>
    <w:rsid w:val="006C67E2"/>
    <w:rsid w:val="006D09F2"/>
    <w:rsid w:val="006D1A1C"/>
    <w:rsid w:val="006D2194"/>
    <w:rsid w:val="006D38C7"/>
    <w:rsid w:val="006D437A"/>
    <w:rsid w:val="006D4C28"/>
    <w:rsid w:val="006D6395"/>
    <w:rsid w:val="006D64FD"/>
    <w:rsid w:val="006D6E6E"/>
    <w:rsid w:val="006D7313"/>
    <w:rsid w:val="006D7332"/>
    <w:rsid w:val="006D7522"/>
    <w:rsid w:val="006E01E1"/>
    <w:rsid w:val="006E0BC3"/>
    <w:rsid w:val="006E0C04"/>
    <w:rsid w:val="006E0CB9"/>
    <w:rsid w:val="006E0D50"/>
    <w:rsid w:val="006E0E05"/>
    <w:rsid w:val="006E1185"/>
    <w:rsid w:val="006E14A0"/>
    <w:rsid w:val="006E2667"/>
    <w:rsid w:val="006E3005"/>
    <w:rsid w:val="006E317E"/>
    <w:rsid w:val="006E36D5"/>
    <w:rsid w:val="006E3B42"/>
    <w:rsid w:val="006E3CCE"/>
    <w:rsid w:val="006E46BE"/>
    <w:rsid w:val="006E4E59"/>
    <w:rsid w:val="006E52A2"/>
    <w:rsid w:val="006E5E22"/>
    <w:rsid w:val="006E6038"/>
    <w:rsid w:val="006E665B"/>
    <w:rsid w:val="006E671D"/>
    <w:rsid w:val="006E67FB"/>
    <w:rsid w:val="006E6A51"/>
    <w:rsid w:val="006E6C4F"/>
    <w:rsid w:val="006E6DF7"/>
    <w:rsid w:val="006E79F7"/>
    <w:rsid w:val="006E7BAA"/>
    <w:rsid w:val="006F0854"/>
    <w:rsid w:val="006F1D71"/>
    <w:rsid w:val="006F305D"/>
    <w:rsid w:val="006F30C1"/>
    <w:rsid w:val="006F3119"/>
    <w:rsid w:val="006F3809"/>
    <w:rsid w:val="006F38E3"/>
    <w:rsid w:val="006F3D18"/>
    <w:rsid w:val="006F4111"/>
    <w:rsid w:val="006F42A4"/>
    <w:rsid w:val="006F472B"/>
    <w:rsid w:val="006F50CF"/>
    <w:rsid w:val="006F52DF"/>
    <w:rsid w:val="006F630F"/>
    <w:rsid w:val="006F6A09"/>
    <w:rsid w:val="006F6B8B"/>
    <w:rsid w:val="006F706C"/>
    <w:rsid w:val="006F7E9E"/>
    <w:rsid w:val="006F7FCD"/>
    <w:rsid w:val="0070010E"/>
    <w:rsid w:val="00700588"/>
    <w:rsid w:val="00700656"/>
    <w:rsid w:val="00701787"/>
    <w:rsid w:val="0070197C"/>
    <w:rsid w:val="00701E75"/>
    <w:rsid w:val="00702169"/>
    <w:rsid w:val="007025E9"/>
    <w:rsid w:val="00702A9B"/>
    <w:rsid w:val="00703038"/>
    <w:rsid w:val="007030C8"/>
    <w:rsid w:val="00703BEE"/>
    <w:rsid w:val="00703FF7"/>
    <w:rsid w:val="007050BD"/>
    <w:rsid w:val="00705570"/>
    <w:rsid w:val="007057AD"/>
    <w:rsid w:val="007065AA"/>
    <w:rsid w:val="00706ADC"/>
    <w:rsid w:val="007071A3"/>
    <w:rsid w:val="00707206"/>
    <w:rsid w:val="007100A8"/>
    <w:rsid w:val="00711799"/>
    <w:rsid w:val="00711B2B"/>
    <w:rsid w:val="00711E3C"/>
    <w:rsid w:val="00711FAA"/>
    <w:rsid w:val="007120C7"/>
    <w:rsid w:val="00712470"/>
    <w:rsid w:val="007126B0"/>
    <w:rsid w:val="007129C3"/>
    <w:rsid w:val="007129E9"/>
    <w:rsid w:val="0071345A"/>
    <w:rsid w:val="007134F1"/>
    <w:rsid w:val="00714514"/>
    <w:rsid w:val="007148A9"/>
    <w:rsid w:val="00714A01"/>
    <w:rsid w:val="00714B6D"/>
    <w:rsid w:val="00715E9E"/>
    <w:rsid w:val="00715F3F"/>
    <w:rsid w:val="007165C5"/>
    <w:rsid w:val="0071682D"/>
    <w:rsid w:val="0071728C"/>
    <w:rsid w:val="007177CD"/>
    <w:rsid w:val="00717A12"/>
    <w:rsid w:val="00720B27"/>
    <w:rsid w:val="00720B5A"/>
    <w:rsid w:val="007217A3"/>
    <w:rsid w:val="007218C2"/>
    <w:rsid w:val="00721FCB"/>
    <w:rsid w:val="00722636"/>
    <w:rsid w:val="00722DCA"/>
    <w:rsid w:val="00723076"/>
    <w:rsid w:val="0072343E"/>
    <w:rsid w:val="007235A6"/>
    <w:rsid w:val="007245C3"/>
    <w:rsid w:val="00724A57"/>
    <w:rsid w:val="00724AD7"/>
    <w:rsid w:val="00724C17"/>
    <w:rsid w:val="00725690"/>
    <w:rsid w:val="00725EC3"/>
    <w:rsid w:val="00725EF2"/>
    <w:rsid w:val="0072604E"/>
    <w:rsid w:val="007260F3"/>
    <w:rsid w:val="0072623B"/>
    <w:rsid w:val="0072633C"/>
    <w:rsid w:val="007263B7"/>
    <w:rsid w:val="00726F88"/>
    <w:rsid w:val="0072770E"/>
    <w:rsid w:val="00727C46"/>
    <w:rsid w:val="00727FCB"/>
    <w:rsid w:val="007301DD"/>
    <w:rsid w:val="0073022B"/>
    <w:rsid w:val="007307C7"/>
    <w:rsid w:val="00730898"/>
    <w:rsid w:val="007308E7"/>
    <w:rsid w:val="0073098D"/>
    <w:rsid w:val="00730CBA"/>
    <w:rsid w:val="007310B4"/>
    <w:rsid w:val="00731134"/>
    <w:rsid w:val="0073138A"/>
    <w:rsid w:val="00731E73"/>
    <w:rsid w:val="00731F66"/>
    <w:rsid w:val="007321FC"/>
    <w:rsid w:val="00732549"/>
    <w:rsid w:val="00732572"/>
    <w:rsid w:val="00732C8E"/>
    <w:rsid w:val="00732D02"/>
    <w:rsid w:val="007335C8"/>
    <w:rsid w:val="00734432"/>
    <w:rsid w:val="007346BD"/>
    <w:rsid w:val="00734BBC"/>
    <w:rsid w:val="00734C77"/>
    <w:rsid w:val="00734D20"/>
    <w:rsid w:val="007351C1"/>
    <w:rsid w:val="007357FD"/>
    <w:rsid w:val="0073584A"/>
    <w:rsid w:val="00735EBA"/>
    <w:rsid w:val="00736A6B"/>
    <w:rsid w:val="00736F8D"/>
    <w:rsid w:val="0073743F"/>
    <w:rsid w:val="0074063A"/>
    <w:rsid w:val="007408CA"/>
    <w:rsid w:val="007409D7"/>
    <w:rsid w:val="00740BC2"/>
    <w:rsid w:val="00740C0D"/>
    <w:rsid w:val="00740E4F"/>
    <w:rsid w:val="0074174E"/>
    <w:rsid w:val="0074227A"/>
    <w:rsid w:val="00742BD2"/>
    <w:rsid w:val="00742C48"/>
    <w:rsid w:val="007430C9"/>
    <w:rsid w:val="00743384"/>
    <w:rsid w:val="007435E3"/>
    <w:rsid w:val="00744339"/>
    <w:rsid w:val="007460BB"/>
    <w:rsid w:val="00747191"/>
    <w:rsid w:val="007471BE"/>
    <w:rsid w:val="0074751B"/>
    <w:rsid w:val="007478C9"/>
    <w:rsid w:val="0075032D"/>
    <w:rsid w:val="0075059D"/>
    <w:rsid w:val="00750954"/>
    <w:rsid w:val="00750E0C"/>
    <w:rsid w:val="00751D47"/>
    <w:rsid w:val="00751E94"/>
    <w:rsid w:val="00752DC9"/>
    <w:rsid w:val="007536A2"/>
    <w:rsid w:val="00753C47"/>
    <w:rsid w:val="00753CA6"/>
    <w:rsid w:val="00754D68"/>
    <w:rsid w:val="007553CC"/>
    <w:rsid w:val="00755455"/>
    <w:rsid w:val="0075584D"/>
    <w:rsid w:val="007558C8"/>
    <w:rsid w:val="00755A1D"/>
    <w:rsid w:val="00755DF3"/>
    <w:rsid w:val="0075618F"/>
    <w:rsid w:val="0075735A"/>
    <w:rsid w:val="007600D9"/>
    <w:rsid w:val="00760C32"/>
    <w:rsid w:val="00760C50"/>
    <w:rsid w:val="007612B1"/>
    <w:rsid w:val="00761697"/>
    <w:rsid w:val="00761A08"/>
    <w:rsid w:val="00761A81"/>
    <w:rsid w:val="00762590"/>
    <w:rsid w:val="00762725"/>
    <w:rsid w:val="007627DD"/>
    <w:rsid w:val="00762A4F"/>
    <w:rsid w:val="007635A1"/>
    <w:rsid w:val="0076412F"/>
    <w:rsid w:val="007645B4"/>
    <w:rsid w:val="00765304"/>
    <w:rsid w:val="007654B5"/>
    <w:rsid w:val="00765A76"/>
    <w:rsid w:val="007661FB"/>
    <w:rsid w:val="00766342"/>
    <w:rsid w:val="00767CD0"/>
    <w:rsid w:val="00770C7E"/>
    <w:rsid w:val="0077100F"/>
    <w:rsid w:val="007710C9"/>
    <w:rsid w:val="0077149B"/>
    <w:rsid w:val="007714D4"/>
    <w:rsid w:val="00771E7F"/>
    <w:rsid w:val="00771EBA"/>
    <w:rsid w:val="00772213"/>
    <w:rsid w:val="00772984"/>
    <w:rsid w:val="00772D5B"/>
    <w:rsid w:val="00772F41"/>
    <w:rsid w:val="00773A9A"/>
    <w:rsid w:val="00774469"/>
    <w:rsid w:val="00774543"/>
    <w:rsid w:val="0077552C"/>
    <w:rsid w:val="00776116"/>
    <w:rsid w:val="00776828"/>
    <w:rsid w:val="00776948"/>
    <w:rsid w:val="00777793"/>
    <w:rsid w:val="007778F3"/>
    <w:rsid w:val="00777A84"/>
    <w:rsid w:val="00780153"/>
    <w:rsid w:val="007808A9"/>
    <w:rsid w:val="00781062"/>
    <w:rsid w:val="007810A9"/>
    <w:rsid w:val="0078230A"/>
    <w:rsid w:val="007828AC"/>
    <w:rsid w:val="00782BB4"/>
    <w:rsid w:val="00782BF7"/>
    <w:rsid w:val="007831F6"/>
    <w:rsid w:val="00783234"/>
    <w:rsid w:val="00783C47"/>
    <w:rsid w:val="00783DCC"/>
    <w:rsid w:val="00783DDC"/>
    <w:rsid w:val="00783F9D"/>
    <w:rsid w:val="00784866"/>
    <w:rsid w:val="00785508"/>
    <w:rsid w:val="00785A0A"/>
    <w:rsid w:val="00785BDC"/>
    <w:rsid w:val="00786B3A"/>
    <w:rsid w:val="00786BC7"/>
    <w:rsid w:val="007872A4"/>
    <w:rsid w:val="0078764D"/>
    <w:rsid w:val="00787A4C"/>
    <w:rsid w:val="00787D59"/>
    <w:rsid w:val="0079015B"/>
    <w:rsid w:val="0079026C"/>
    <w:rsid w:val="00792F47"/>
    <w:rsid w:val="00792F67"/>
    <w:rsid w:val="0079357A"/>
    <w:rsid w:val="0079463B"/>
    <w:rsid w:val="00794FF2"/>
    <w:rsid w:val="0079602F"/>
    <w:rsid w:val="00796228"/>
    <w:rsid w:val="0079643C"/>
    <w:rsid w:val="00796518"/>
    <w:rsid w:val="0079686D"/>
    <w:rsid w:val="0079726D"/>
    <w:rsid w:val="00797B5D"/>
    <w:rsid w:val="007A0487"/>
    <w:rsid w:val="007A064E"/>
    <w:rsid w:val="007A0C28"/>
    <w:rsid w:val="007A0D20"/>
    <w:rsid w:val="007A1810"/>
    <w:rsid w:val="007A288D"/>
    <w:rsid w:val="007A3746"/>
    <w:rsid w:val="007A51A6"/>
    <w:rsid w:val="007A64A9"/>
    <w:rsid w:val="007A6B39"/>
    <w:rsid w:val="007A6FEE"/>
    <w:rsid w:val="007A7783"/>
    <w:rsid w:val="007A7CC7"/>
    <w:rsid w:val="007A7E32"/>
    <w:rsid w:val="007B01A5"/>
    <w:rsid w:val="007B09AD"/>
    <w:rsid w:val="007B19DF"/>
    <w:rsid w:val="007B1B08"/>
    <w:rsid w:val="007B1C55"/>
    <w:rsid w:val="007B1EFD"/>
    <w:rsid w:val="007B1F9C"/>
    <w:rsid w:val="007B28E1"/>
    <w:rsid w:val="007B2E83"/>
    <w:rsid w:val="007B3664"/>
    <w:rsid w:val="007B3B3E"/>
    <w:rsid w:val="007B3D66"/>
    <w:rsid w:val="007B4201"/>
    <w:rsid w:val="007B4C52"/>
    <w:rsid w:val="007B5058"/>
    <w:rsid w:val="007B55DC"/>
    <w:rsid w:val="007B6325"/>
    <w:rsid w:val="007B63BA"/>
    <w:rsid w:val="007B6BF0"/>
    <w:rsid w:val="007B761E"/>
    <w:rsid w:val="007B7813"/>
    <w:rsid w:val="007C01E3"/>
    <w:rsid w:val="007C04E3"/>
    <w:rsid w:val="007C07A1"/>
    <w:rsid w:val="007C08BB"/>
    <w:rsid w:val="007C15B7"/>
    <w:rsid w:val="007C1955"/>
    <w:rsid w:val="007C1A2F"/>
    <w:rsid w:val="007C1D5A"/>
    <w:rsid w:val="007C22F8"/>
    <w:rsid w:val="007C3931"/>
    <w:rsid w:val="007C3F67"/>
    <w:rsid w:val="007C43B0"/>
    <w:rsid w:val="007C47B4"/>
    <w:rsid w:val="007C50B1"/>
    <w:rsid w:val="007C5130"/>
    <w:rsid w:val="007C6487"/>
    <w:rsid w:val="007C675A"/>
    <w:rsid w:val="007C6882"/>
    <w:rsid w:val="007C6EAE"/>
    <w:rsid w:val="007D0124"/>
    <w:rsid w:val="007D0887"/>
    <w:rsid w:val="007D0F5C"/>
    <w:rsid w:val="007D11E9"/>
    <w:rsid w:val="007D163E"/>
    <w:rsid w:val="007D17B2"/>
    <w:rsid w:val="007D1B55"/>
    <w:rsid w:val="007D1DD0"/>
    <w:rsid w:val="007D201A"/>
    <w:rsid w:val="007D229B"/>
    <w:rsid w:val="007D24B2"/>
    <w:rsid w:val="007D24BF"/>
    <w:rsid w:val="007D26A8"/>
    <w:rsid w:val="007D33EC"/>
    <w:rsid w:val="007D4320"/>
    <w:rsid w:val="007D457C"/>
    <w:rsid w:val="007D54B4"/>
    <w:rsid w:val="007D57C0"/>
    <w:rsid w:val="007D5889"/>
    <w:rsid w:val="007D6A60"/>
    <w:rsid w:val="007D6BE3"/>
    <w:rsid w:val="007D722B"/>
    <w:rsid w:val="007D7D27"/>
    <w:rsid w:val="007D7DE7"/>
    <w:rsid w:val="007E184F"/>
    <w:rsid w:val="007E19E1"/>
    <w:rsid w:val="007E1D8A"/>
    <w:rsid w:val="007E1F5B"/>
    <w:rsid w:val="007E21DE"/>
    <w:rsid w:val="007E26E6"/>
    <w:rsid w:val="007E2A49"/>
    <w:rsid w:val="007E2A5D"/>
    <w:rsid w:val="007E2CDF"/>
    <w:rsid w:val="007E2F5E"/>
    <w:rsid w:val="007E3583"/>
    <w:rsid w:val="007E3653"/>
    <w:rsid w:val="007E37F5"/>
    <w:rsid w:val="007E385D"/>
    <w:rsid w:val="007E483F"/>
    <w:rsid w:val="007E4D70"/>
    <w:rsid w:val="007E4F36"/>
    <w:rsid w:val="007E5597"/>
    <w:rsid w:val="007E5750"/>
    <w:rsid w:val="007E5C91"/>
    <w:rsid w:val="007E5DAD"/>
    <w:rsid w:val="007E636D"/>
    <w:rsid w:val="007E6CD0"/>
    <w:rsid w:val="007E75D0"/>
    <w:rsid w:val="007F0798"/>
    <w:rsid w:val="007F086F"/>
    <w:rsid w:val="007F0C2C"/>
    <w:rsid w:val="007F1900"/>
    <w:rsid w:val="007F20C6"/>
    <w:rsid w:val="007F2FEC"/>
    <w:rsid w:val="007F31B1"/>
    <w:rsid w:val="007F35DE"/>
    <w:rsid w:val="007F3AEE"/>
    <w:rsid w:val="007F4E65"/>
    <w:rsid w:val="007F50AA"/>
    <w:rsid w:val="007F51BB"/>
    <w:rsid w:val="007F55F8"/>
    <w:rsid w:val="007F59C0"/>
    <w:rsid w:val="007F59E3"/>
    <w:rsid w:val="007F677A"/>
    <w:rsid w:val="007F6A0D"/>
    <w:rsid w:val="007F6ED3"/>
    <w:rsid w:val="007F7B4B"/>
    <w:rsid w:val="007F7EDB"/>
    <w:rsid w:val="007F7F96"/>
    <w:rsid w:val="008000BA"/>
    <w:rsid w:val="00800DA8"/>
    <w:rsid w:val="0080108A"/>
    <w:rsid w:val="0080225F"/>
    <w:rsid w:val="00802328"/>
    <w:rsid w:val="00802A13"/>
    <w:rsid w:val="008035D9"/>
    <w:rsid w:val="008037EA"/>
    <w:rsid w:val="00803FD2"/>
    <w:rsid w:val="00804236"/>
    <w:rsid w:val="008055E1"/>
    <w:rsid w:val="00805B36"/>
    <w:rsid w:val="00806010"/>
    <w:rsid w:val="008070C3"/>
    <w:rsid w:val="008071F6"/>
    <w:rsid w:val="008072EA"/>
    <w:rsid w:val="00807CE5"/>
    <w:rsid w:val="00810298"/>
    <w:rsid w:val="0081052F"/>
    <w:rsid w:val="008105D2"/>
    <w:rsid w:val="008111EE"/>
    <w:rsid w:val="008112FF"/>
    <w:rsid w:val="008113F6"/>
    <w:rsid w:val="008118F4"/>
    <w:rsid w:val="00811BDF"/>
    <w:rsid w:val="00812134"/>
    <w:rsid w:val="0081275E"/>
    <w:rsid w:val="00812949"/>
    <w:rsid w:val="00812ACB"/>
    <w:rsid w:val="00812BB9"/>
    <w:rsid w:val="00813C44"/>
    <w:rsid w:val="00813F81"/>
    <w:rsid w:val="008142D4"/>
    <w:rsid w:val="00815639"/>
    <w:rsid w:val="00815DAB"/>
    <w:rsid w:val="0081655E"/>
    <w:rsid w:val="00816A60"/>
    <w:rsid w:val="0081717F"/>
    <w:rsid w:val="0081784B"/>
    <w:rsid w:val="00817B75"/>
    <w:rsid w:val="00817E52"/>
    <w:rsid w:val="00820F50"/>
    <w:rsid w:val="0082263D"/>
    <w:rsid w:val="00823C7D"/>
    <w:rsid w:val="00823E1D"/>
    <w:rsid w:val="0082498E"/>
    <w:rsid w:val="00824D94"/>
    <w:rsid w:val="00825A83"/>
    <w:rsid w:val="00825B2D"/>
    <w:rsid w:val="00826649"/>
    <w:rsid w:val="00826706"/>
    <w:rsid w:val="0082721B"/>
    <w:rsid w:val="00827D93"/>
    <w:rsid w:val="00830616"/>
    <w:rsid w:val="008308C0"/>
    <w:rsid w:val="00830E78"/>
    <w:rsid w:val="00831AAC"/>
    <w:rsid w:val="00833928"/>
    <w:rsid w:val="0083426C"/>
    <w:rsid w:val="00834B65"/>
    <w:rsid w:val="00835DC9"/>
    <w:rsid w:val="0083606F"/>
    <w:rsid w:val="008362C5"/>
    <w:rsid w:val="0083666C"/>
    <w:rsid w:val="00836DB2"/>
    <w:rsid w:val="00836E8A"/>
    <w:rsid w:val="00837391"/>
    <w:rsid w:val="00837551"/>
    <w:rsid w:val="00837A44"/>
    <w:rsid w:val="00837BB6"/>
    <w:rsid w:val="008407EC"/>
    <w:rsid w:val="00840A2E"/>
    <w:rsid w:val="00841033"/>
    <w:rsid w:val="0084168C"/>
    <w:rsid w:val="00841D52"/>
    <w:rsid w:val="008424DA"/>
    <w:rsid w:val="008425EC"/>
    <w:rsid w:val="008426D7"/>
    <w:rsid w:val="00843230"/>
    <w:rsid w:val="00843536"/>
    <w:rsid w:val="00843BA2"/>
    <w:rsid w:val="00843C40"/>
    <w:rsid w:val="00843DD3"/>
    <w:rsid w:val="00844063"/>
    <w:rsid w:val="0084420C"/>
    <w:rsid w:val="0084483B"/>
    <w:rsid w:val="0084506B"/>
    <w:rsid w:val="008451AB"/>
    <w:rsid w:val="00845331"/>
    <w:rsid w:val="008457BB"/>
    <w:rsid w:val="008462CF"/>
    <w:rsid w:val="00846DC3"/>
    <w:rsid w:val="00847885"/>
    <w:rsid w:val="00847C49"/>
    <w:rsid w:val="008503C6"/>
    <w:rsid w:val="008503D7"/>
    <w:rsid w:val="008503E2"/>
    <w:rsid w:val="00850F66"/>
    <w:rsid w:val="00851578"/>
    <w:rsid w:val="008522F8"/>
    <w:rsid w:val="00852596"/>
    <w:rsid w:val="008527F4"/>
    <w:rsid w:val="00852BBC"/>
    <w:rsid w:val="00852C2E"/>
    <w:rsid w:val="00852C87"/>
    <w:rsid w:val="00852F2C"/>
    <w:rsid w:val="0085311C"/>
    <w:rsid w:val="00853621"/>
    <w:rsid w:val="00853814"/>
    <w:rsid w:val="00853BB2"/>
    <w:rsid w:val="00853E0C"/>
    <w:rsid w:val="0085406E"/>
    <w:rsid w:val="00854390"/>
    <w:rsid w:val="0085465B"/>
    <w:rsid w:val="0085505E"/>
    <w:rsid w:val="0085575E"/>
    <w:rsid w:val="00855CDA"/>
    <w:rsid w:val="00855DC8"/>
    <w:rsid w:val="00856E25"/>
    <w:rsid w:val="00857098"/>
    <w:rsid w:val="00857285"/>
    <w:rsid w:val="00857CBB"/>
    <w:rsid w:val="00860138"/>
    <w:rsid w:val="00860588"/>
    <w:rsid w:val="00860A17"/>
    <w:rsid w:val="00861067"/>
    <w:rsid w:val="008612C4"/>
    <w:rsid w:val="00861C9C"/>
    <w:rsid w:val="00861D7A"/>
    <w:rsid w:val="00861DC6"/>
    <w:rsid w:val="00861E0A"/>
    <w:rsid w:val="008625D3"/>
    <w:rsid w:val="00863621"/>
    <w:rsid w:val="00863D56"/>
    <w:rsid w:val="00863DF2"/>
    <w:rsid w:val="00864FD2"/>
    <w:rsid w:val="00866519"/>
    <w:rsid w:val="00866ADE"/>
    <w:rsid w:val="00866D26"/>
    <w:rsid w:val="00866DE2"/>
    <w:rsid w:val="008677A2"/>
    <w:rsid w:val="00867AD9"/>
    <w:rsid w:val="008707FC"/>
    <w:rsid w:val="00870959"/>
    <w:rsid w:val="00871431"/>
    <w:rsid w:val="00871581"/>
    <w:rsid w:val="00871716"/>
    <w:rsid w:val="00872225"/>
    <w:rsid w:val="00873575"/>
    <w:rsid w:val="00875386"/>
    <w:rsid w:val="008759BD"/>
    <w:rsid w:val="00875DF8"/>
    <w:rsid w:val="008766C9"/>
    <w:rsid w:val="00876E3B"/>
    <w:rsid w:val="008800A1"/>
    <w:rsid w:val="00880234"/>
    <w:rsid w:val="00880D1D"/>
    <w:rsid w:val="00881138"/>
    <w:rsid w:val="008826D4"/>
    <w:rsid w:val="00882A70"/>
    <w:rsid w:val="00882CE4"/>
    <w:rsid w:val="00883364"/>
    <w:rsid w:val="0088351E"/>
    <w:rsid w:val="00883911"/>
    <w:rsid w:val="0088406A"/>
    <w:rsid w:val="00884306"/>
    <w:rsid w:val="008845EF"/>
    <w:rsid w:val="008846DB"/>
    <w:rsid w:val="008846EF"/>
    <w:rsid w:val="00884A2D"/>
    <w:rsid w:val="00885517"/>
    <w:rsid w:val="00885C88"/>
    <w:rsid w:val="00885D16"/>
    <w:rsid w:val="008869C6"/>
    <w:rsid w:val="00886CA2"/>
    <w:rsid w:val="008870A2"/>
    <w:rsid w:val="008875DB"/>
    <w:rsid w:val="008878D9"/>
    <w:rsid w:val="00887B65"/>
    <w:rsid w:val="00887EEA"/>
    <w:rsid w:val="0089002E"/>
    <w:rsid w:val="0089065F"/>
    <w:rsid w:val="008907F2"/>
    <w:rsid w:val="00890931"/>
    <w:rsid w:val="00890A2C"/>
    <w:rsid w:val="00890D87"/>
    <w:rsid w:val="00890F81"/>
    <w:rsid w:val="00891084"/>
    <w:rsid w:val="00891854"/>
    <w:rsid w:val="00891E37"/>
    <w:rsid w:val="00891EA9"/>
    <w:rsid w:val="00892734"/>
    <w:rsid w:val="0089361D"/>
    <w:rsid w:val="0089387E"/>
    <w:rsid w:val="00893EA2"/>
    <w:rsid w:val="008942E5"/>
    <w:rsid w:val="00894A26"/>
    <w:rsid w:val="00894B58"/>
    <w:rsid w:val="00894C39"/>
    <w:rsid w:val="00895390"/>
    <w:rsid w:val="0089539F"/>
    <w:rsid w:val="008957EF"/>
    <w:rsid w:val="00895A41"/>
    <w:rsid w:val="008960B2"/>
    <w:rsid w:val="008960EC"/>
    <w:rsid w:val="00896360"/>
    <w:rsid w:val="008969E8"/>
    <w:rsid w:val="0089703C"/>
    <w:rsid w:val="008972DD"/>
    <w:rsid w:val="00897677"/>
    <w:rsid w:val="00897BCF"/>
    <w:rsid w:val="008A0C96"/>
    <w:rsid w:val="008A30B3"/>
    <w:rsid w:val="008A393B"/>
    <w:rsid w:val="008A3C07"/>
    <w:rsid w:val="008A3E28"/>
    <w:rsid w:val="008A45A1"/>
    <w:rsid w:val="008A46C8"/>
    <w:rsid w:val="008A4E38"/>
    <w:rsid w:val="008A513F"/>
    <w:rsid w:val="008A5B3B"/>
    <w:rsid w:val="008A6918"/>
    <w:rsid w:val="008A6CF4"/>
    <w:rsid w:val="008A708E"/>
    <w:rsid w:val="008A70E5"/>
    <w:rsid w:val="008A711C"/>
    <w:rsid w:val="008A7348"/>
    <w:rsid w:val="008B0271"/>
    <w:rsid w:val="008B0A77"/>
    <w:rsid w:val="008B0FA7"/>
    <w:rsid w:val="008B1DFD"/>
    <w:rsid w:val="008B23AC"/>
    <w:rsid w:val="008B2DCF"/>
    <w:rsid w:val="008B3197"/>
    <w:rsid w:val="008B3B2B"/>
    <w:rsid w:val="008B4D73"/>
    <w:rsid w:val="008B5ABD"/>
    <w:rsid w:val="008B5F12"/>
    <w:rsid w:val="008B624B"/>
    <w:rsid w:val="008B6D25"/>
    <w:rsid w:val="008B7863"/>
    <w:rsid w:val="008B7BDF"/>
    <w:rsid w:val="008C1606"/>
    <w:rsid w:val="008C28B8"/>
    <w:rsid w:val="008C293F"/>
    <w:rsid w:val="008C40CB"/>
    <w:rsid w:val="008C46BB"/>
    <w:rsid w:val="008C4968"/>
    <w:rsid w:val="008C4A31"/>
    <w:rsid w:val="008C532E"/>
    <w:rsid w:val="008C55EE"/>
    <w:rsid w:val="008C5627"/>
    <w:rsid w:val="008C6169"/>
    <w:rsid w:val="008C7020"/>
    <w:rsid w:val="008C76BB"/>
    <w:rsid w:val="008C76CA"/>
    <w:rsid w:val="008C7C53"/>
    <w:rsid w:val="008C7D32"/>
    <w:rsid w:val="008D017D"/>
    <w:rsid w:val="008D0B4D"/>
    <w:rsid w:val="008D0D9E"/>
    <w:rsid w:val="008D1748"/>
    <w:rsid w:val="008D1E7E"/>
    <w:rsid w:val="008D2071"/>
    <w:rsid w:val="008D22F8"/>
    <w:rsid w:val="008D2524"/>
    <w:rsid w:val="008D257A"/>
    <w:rsid w:val="008D25F0"/>
    <w:rsid w:val="008D2900"/>
    <w:rsid w:val="008D311C"/>
    <w:rsid w:val="008D3A3B"/>
    <w:rsid w:val="008D413D"/>
    <w:rsid w:val="008D47BC"/>
    <w:rsid w:val="008D4993"/>
    <w:rsid w:val="008D4C57"/>
    <w:rsid w:val="008D5470"/>
    <w:rsid w:val="008D5C43"/>
    <w:rsid w:val="008D5C86"/>
    <w:rsid w:val="008D6055"/>
    <w:rsid w:val="008D656B"/>
    <w:rsid w:val="008D68C0"/>
    <w:rsid w:val="008D694B"/>
    <w:rsid w:val="008D6BFD"/>
    <w:rsid w:val="008D6E63"/>
    <w:rsid w:val="008D74A0"/>
    <w:rsid w:val="008D75C6"/>
    <w:rsid w:val="008E09B3"/>
    <w:rsid w:val="008E0F98"/>
    <w:rsid w:val="008E26A4"/>
    <w:rsid w:val="008E2BB4"/>
    <w:rsid w:val="008E32CC"/>
    <w:rsid w:val="008E3377"/>
    <w:rsid w:val="008E381B"/>
    <w:rsid w:val="008E3B4C"/>
    <w:rsid w:val="008E401D"/>
    <w:rsid w:val="008E469D"/>
    <w:rsid w:val="008E47BA"/>
    <w:rsid w:val="008E4BC1"/>
    <w:rsid w:val="008E4DB1"/>
    <w:rsid w:val="008E5B11"/>
    <w:rsid w:val="008E5D5E"/>
    <w:rsid w:val="008E5EB9"/>
    <w:rsid w:val="008E6AF0"/>
    <w:rsid w:val="008E7466"/>
    <w:rsid w:val="008E7561"/>
    <w:rsid w:val="008E75CF"/>
    <w:rsid w:val="008E773B"/>
    <w:rsid w:val="008E791C"/>
    <w:rsid w:val="008E7AA8"/>
    <w:rsid w:val="008E7C93"/>
    <w:rsid w:val="008F0237"/>
    <w:rsid w:val="008F0AE7"/>
    <w:rsid w:val="008F0D02"/>
    <w:rsid w:val="008F11CB"/>
    <w:rsid w:val="008F1431"/>
    <w:rsid w:val="008F1956"/>
    <w:rsid w:val="008F1ABB"/>
    <w:rsid w:val="008F1EA8"/>
    <w:rsid w:val="008F272B"/>
    <w:rsid w:val="008F2C51"/>
    <w:rsid w:val="008F3D3B"/>
    <w:rsid w:val="008F47A4"/>
    <w:rsid w:val="008F4857"/>
    <w:rsid w:val="008F545F"/>
    <w:rsid w:val="008F57E0"/>
    <w:rsid w:val="008F595F"/>
    <w:rsid w:val="008F7758"/>
    <w:rsid w:val="008F7863"/>
    <w:rsid w:val="008F78BA"/>
    <w:rsid w:val="0090035E"/>
    <w:rsid w:val="00900384"/>
    <w:rsid w:val="009007BF"/>
    <w:rsid w:val="00900F27"/>
    <w:rsid w:val="00901778"/>
    <w:rsid w:val="009019CD"/>
    <w:rsid w:val="00901A90"/>
    <w:rsid w:val="009021D7"/>
    <w:rsid w:val="00902782"/>
    <w:rsid w:val="00902D56"/>
    <w:rsid w:val="0090436E"/>
    <w:rsid w:val="0090545D"/>
    <w:rsid w:val="0090577D"/>
    <w:rsid w:val="00905C26"/>
    <w:rsid w:val="009062F7"/>
    <w:rsid w:val="009068A8"/>
    <w:rsid w:val="00907B60"/>
    <w:rsid w:val="00907E9E"/>
    <w:rsid w:val="00910376"/>
    <w:rsid w:val="00910DB6"/>
    <w:rsid w:val="00910FAC"/>
    <w:rsid w:val="0091127D"/>
    <w:rsid w:val="00911745"/>
    <w:rsid w:val="0091191D"/>
    <w:rsid w:val="00911FFA"/>
    <w:rsid w:val="009129EB"/>
    <w:rsid w:val="009134CE"/>
    <w:rsid w:val="00914463"/>
    <w:rsid w:val="00916BBF"/>
    <w:rsid w:val="0091719F"/>
    <w:rsid w:val="00917767"/>
    <w:rsid w:val="00920034"/>
    <w:rsid w:val="00920550"/>
    <w:rsid w:val="00920AD8"/>
    <w:rsid w:val="00920C19"/>
    <w:rsid w:val="009211A2"/>
    <w:rsid w:val="00921D73"/>
    <w:rsid w:val="00921ED8"/>
    <w:rsid w:val="0092203D"/>
    <w:rsid w:val="0092219B"/>
    <w:rsid w:val="0092233D"/>
    <w:rsid w:val="00923885"/>
    <w:rsid w:val="00923E74"/>
    <w:rsid w:val="00924AB2"/>
    <w:rsid w:val="0092502D"/>
    <w:rsid w:val="009257D9"/>
    <w:rsid w:val="0092696A"/>
    <w:rsid w:val="00926B61"/>
    <w:rsid w:val="00927B02"/>
    <w:rsid w:val="00927CC8"/>
    <w:rsid w:val="00930BE1"/>
    <w:rsid w:val="00931243"/>
    <w:rsid w:val="009312E4"/>
    <w:rsid w:val="00931A3E"/>
    <w:rsid w:val="00932507"/>
    <w:rsid w:val="00932C90"/>
    <w:rsid w:val="0093319B"/>
    <w:rsid w:val="0093499E"/>
    <w:rsid w:val="00934B79"/>
    <w:rsid w:val="00935493"/>
    <w:rsid w:val="00935C16"/>
    <w:rsid w:val="00936DDA"/>
    <w:rsid w:val="00936FFE"/>
    <w:rsid w:val="0093703A"/>
    <w:rsid w:val="009379D7"/>
    <w:rsid w:val="00937C3D"/>
    <w:rsid w:val="00940831"/>
    <w:rsid w:val="00941DC4"/>
    <w:rsid w:val="009421DF"/>
    <w:rsid w:val="00942EB7"/>
    <w:rsid w:val="00943541"/>
    <w:rsid w:val="009440FA"/>
    <w:rsid w:val="009446FE"/>
    <w:rsid w:val="0094477E"/>
    <w:rsid w:val="00944B35"/>
    <w:rsid w:val="00944B58"/>
    <w:rsid w:val="00944C42"/>
    <w:rsid w:val="0094517E"/>
    <w:rsid w:val="00945416"/>
    <w:rsid w:val="00945B93"/>
    <w:rsid w:val="00945F8B"/>
    <w:rsid w:val="009466B3"/>
    <w:rsid w:val="009469C0"/>
    <w:rsid w:val="00947B5B"/>
    <w:rsid w:val="00950B83"/>
    <w:rsid w:val="00950DFD"/>
    <w:rsid w:val="0095104F"/>
    <w:rsid w:val="0095124D"/>
    <w:rsid w:val="00951499"/>
    <w:rsid w:val="00951CD5"/>
    <w:rsid w:val="00951EB2"/>
    <w:rsid w:val="009529C6"/>
    <w:rsid w:val="0095346F"/>
    <w:rsid w:val="00954406"/>
    <w:rsid w:val="00955D1C"/>
    <w:rsid w:val="00956EF8"/>
    <w:rsid w:val="00957369"/>
    <w:rsid w:val="00957623"/>
    <w:rsid w:val="00960649"/>
    <w:rsid w:val="00960A63"/>
    <w:rsid w:val="00960ECE"/>
    <w:rsid w:val="0096188B"/>
    <w:rsid w:val="00962553"/>
    <w:rsid w:val="009625D0"/>
    <w:rsid w:val="0096269A"/>
    <w:rsid w:val="0096286F"/>
    <w:rsid w:val="00962AA8"/>
    <w:rsid w:val="00963085"/>
    <w:rsid w:val="009634EE"/>
    <w:rsid w:val="00964138"/>
    <w:rsid w:val="00964834"/>
    <w:rsid w:val="00964CE5"/>
    <w:rsid w:val="009653B7"/>
    <w:rsid w:val="00965F6A"/>
    <w:rsid w:val="00966052"/>
    <w:rsid w:val="009662F7"/>
    <w:rsid w:val="0096671D"/>
    <w:rsid w:val="00966966"/>
    <w:rsid w:val="00966B28"/>
    <w:rsid w:val="00967403"/>
    <w:rsid w:val="00967D74"/>
    <w:rsid w:val="00970394"/>
    <w:rsid w:val="00972D37"/>
    <w:rsid w:val="0097352A"/>
    <w:rsid w:val="00973A1A"/>
    <w:rsid w:val="009744B5"/>
    <w:rsid w:val="00974717"/>
    <w:rsid w:val="009750C8"/>
    <w:rsid w:val="009751E1"/>
    <w:rsid w:val="009752B1"/>
    <w:rsid w:val="00975317"/>
    <w:rsid w:val="009753F2"/>
    <w:rsid w:val="009759F5"/>
    <w:rsid w:val="00975FD8"/>
    <w:rsid w:val="0097623E"/>
    <w:rsid w:val="00976435"/>
    <w:rsid w:val="00976888"/>
    <w:rsid w:val="00977245"/>
    <w:rsid w:val="00980EFF"/>
    <w:rsid w:val="009813B0"/>
    <w:rsid w:val="009815CF"/>
    <w:rsid w:val="00981A00"/>
    <w:rsid w:val="009820F6"/>
    <w:rsid w:val="009826BD"/>
    <w:rsid w:val="00982A2C"/>
    <w:rsid w:val="00983272"/>
    <w:rsid w:val="00983C07"/>
    <w:rsid w:val="00984505"/>
    <w:rsid w:val="0098496A"/>
    <w:rsid w:val="00984F2F"/>
    <w:rsid w:val="00984FC1"/>
    <w:rsid w:val="00985097"/>
    <w:rsid w:val="00985685"/>
    <w:rsid w:val="009856D1"/>
    <w:rsid w:val="00986490"/>
    <w:rsid w:val="00986618"/>
    <w:rsid w:val="00986BA6"/>
    <w:rsid w:val="00986BEA"/>
    <w:rsid w:val="00986DD5"/>
    <w:rsid w:val="00986FC0"/>
    <w:rsid w:val="009871F7"/>
    <w:rsid w:val="00987D61"/>
    <w:rsid w:val="00990A24"/>
    <w:rsid w:val="0099154B"/>
    <w:rsid w:val="009917F8"/>
    <w:rsid w:val="009926CC"/>
    <w:rsid w:val="00992BA6"/>
    <w:rsid w:val="00992E3A"/>
    <w:rsid w:val="00993032"/>
    <w:rsid w:val="009932E8"/>
    <w:rsid w:val="00993815"/>
    <w:rsid w:val="0099383B"/>
    <w:rsid w:val="00993C26"/>
    <w:rsid w:val="00993E12"/>
    <w:rsid w:val="00994426"/>
    <w:rsid w:val="009945D6"/>
    <w:rsid w:val="00995C6C"/>
    <w:rsid w:val="0099645B"/>
    <w:rsid w:val="00997310"/>
    <w:rsid w:val="00997409"/>
    <w:rsid w:val="00997D97"/>
    <w:rsid w:val="00997EA5"/>
    <w:rsid w:val="00997F91"/>
    <w:rsid w:val="009A0093"/>
    <w:rsid w:val="009A0399"/>
    <w:rsid w:val="009A074E"/>
    <w:rsid w:val="009A0E53"/>
    <w:rsid w:val="009A22B0"/>
    <w:rsid w:val="009A233B"/>
    <w:rsid w:val="009A25C8"/>
    <w:rsid w:val="009A2A7E"/>
    <w:rsid w:val="009A323A"/>
    <w:rsid w:val="009A4A48"/>
    <w:rsid w:val="009A4E80"/>
    <w:rsid w:val="009A55B3"/>
    <w:rsid w:val="009A5878"/>
    <w:rsid w:val="009A5C08"/>
    <w:rsid w:val="009A5F2B"/>
    <w:rsid w:val="009A7533"/>
    <w:rsid w:val="009A7CD1"/>
    <w:rsid w:val="009A7F86"/>
    <w:rsid w:val="009B020C"/>
    <w:rsid w:val="009B0893"/>
    <w:rsid w:val="009B0B0F"/>
    <w:rsid w:val="009B0B10"/>
    <w:rsid w:val="009B0BA9"/>
    <w:rsid w:val="009B142E"/>
    <w:rsid w:val="009B1AA9"/>
    <w:rsid w:val="009B1B77"/>
    <w:rsid w:val="009B1D4A"/>
    <w:rsid w:val="009B253B"/>
    <w:rsid w:val="009B29FB"/>
    <w:rsid w:val="009B2BC3"/>
    <w:rsid w:val="009B2CE8"/>
    <w:rsid w:val="009B3D50"/>
    <w:rsid w:val="009B4361"/>
    <w:rsid w:val="009B452B"/>
    <w:rsid w:val="009B4712"/>
    <w:rsid w:val="009B480C"/>
    <w:rsid w:val="009B481A"/>
    <w:rsid w:val="009B4859"/>
    <w:rsid w:val="009B4D8A"/>
    <w:rsid w:val="009B5D0F"/>
    <w:rsid w:val="009B5D1F"/>
    <w:rsid w:val="009B5E20"/>
    <w:rsid w:val="009B65EB"/>
    <w:rsid w:val="009B76A1"/>
    <w:rsid w:val="009B7AA1"/>
    <w:rsid w:val="009C0076"/>
    <w:rsid w:val="009C1716"/>
    <w:rsid w:val="009C1B0C"/>
    <w:rsid w:val="009C2727"/>
    <w:rsid w:val="009C3585"/>
    <w:rsid w:val="009C3981"/>
    <w:rsid w:val="009C474E"/>
    <w:rsid w:val="009C4F2B"/>
    <w:rsid w:val="009C50EE"/>
    <w:rsid w:val="009C6387"/>
    <w:rsid w:val="009C6A64"/>
    <w:rsid w:val="009C7316"/>
    <w:rsid w:val="009C75F5"/>
    <w:rsid w:val="009C7AB1"/>
    <w:rsid w:val="009C7C85"/>
    <w:rsid w:val="009C7F40"/>
    <w:rsid w:val="009D028F"/>
    <w:rsid w:val="009D07A0"/>
    <w:rsid w:val="009D1B58"/>
    <w:rsid w:val="009D2125"/>
    <w:rsid w:val="009D2400"/>
    <w:rsid w:val="009D268B"/>
    <w:rsid w:val="009D3539"/>
    <w:rsid w:val="009D3F0C"/>
    <w:rsid w:val="009D3FF2"/>
    <w:rsid w:val="009D4113"/>
    <w:rsid w:val="009D437B"/>
    <w:rsid w:val="009D4836"/>
    <w:rsid w:val="009D4B11"/>
    <w:rsid w:val="009D4BEB"/>
    <w:rsid w:val="009D52D7"/>
    <w:rsid w:val="009D5D77"/>
    <w:rsid w:val="009D5E0D"/>
    <w:rsid w:val="009D5EC4"/>
    <w:rsid w:val="009D629C"/>
    <w:rsid w:val="009D72BC"/>
    <w:rsid w:val="009D7784"/>
    <w:rsid w:val="009E002A"/>
    <w:rsid w:val="009E0308"/>
    <w:rsid w:val="009E05D5"/>
    <w:rsid w:val="009E0829"/>
    <w:rsid w:val="009E0C11"/>
    <w:rsid w:val="009E13EB"/>
    <w:rsid w:val="009E1FDF"/>
    <w:rsid w:val="009E2007"/>
    <w:rsid w:val="009E2587"/>
    <w:rsid w:val="009E2878"/>
    <w:rsid w:val="009E28BA"/>
    <w:rsid w:val="009E2E5D"/>
    <w:rsid w:val="009E3211"/>
    <w:rsid w:val="009E4A96"/>
    <w:rsid w:val="009E4E78"/>
    <w:rsid w:val="009E5B49"/>
    <w:rsid w:val="009E61D9"/>
    <w:rsid w:val="009E6AB6"/>
    <w:rsid w:val="009E6B2B"/>
    <w:rsid w:val="009E723D"/>
    <w:rsid w:val="009E7696"/>
    <w:rsid w:val="009E7B46"/>
    <w:rsid w:val="009F035E"/>
    <w:rsid w:val="009F0ECA"/>
    <w:rsid w:val="009F12A6"/>
    <w:rsid w:val="009F172C"/>
    <w:rsid w:val="009F1BFC"/>
    <w:rsid w:val="009F1C44"/>
    <w:rsid w:val="009F1D14"/>
    <w:rsid w:val="009F1F95"/>
    <w:rsid w:val="009F24E9"/>
    <w:rsid w:val="009F3567"/>
    <w:rsid w:val="009F380D"/>
    <w:rsid w:val="009F4385"/>
    <w:rsid w:val="009F6710"/>
    <w:rsid w:val="009F79E9"/>
    <w:rsid w:val="009F7C60"/>
    <w:rsid w:val="009F7D7A"/>
    <w:rsid w:val="00A012DA"/>
    <w:rsid w:val="00A01D90"/>
    <w:rsid w:val="00A01EA1"/>
    <w:rsid w:val="00A02127"/>
    <w:rsid w:val="00A029D0"/>
    <w:rsid w:val="00A02B07"/>
    <w:rsid w:val="00A02D45"/>
    <w:rsid w:val="00A02DF8"/>
    <w:rsid w:val="00A02FEB"/>
    <w:rsid w:val="00A04A38"/>
    <w:rsid w:val="00A05398"/>
    <w:rsid w:val="00A061F3"/>
    <w:rsid w:val="00A0639A"/>
    <w:rsid w:val="00A07514"/>
    <w:rsid w:val="00A07C4D"/>
    <w:rsid w:val="00A11EC3"/>
    <w:rsid w:val="00A138CD"/>
    <w:rsid w:val="00A13BDA"/>
    <w:rsid w:val="00A14C39"/>
    <w:rsid w:val="00A15DB6"/>
    <w:rsid w:val="00A167DC"/>
    <w:rsid w:val="00A16826"/>
    <w:rsid w:val="00A17400"/>
    <w:rsid w:val="00A176CA"/>
    <w:rsid w:val="00A17CD4"/>
    <w:rsid w:val="00A17E5A"/>
    <w:rsid w:val="00A2079B"/>
    <w:rsid w:val="00A20813"/>
    <w:rsid w:val="00A20D72"/>
    <w:rsid w:val="00A226CF"/>
    <w:rsid w:val="00A22B65"/>
    <w:rsid w:val="00A22FFE"/>
    <w:rsid w:val="00A23C20"/>
    <w:rsid w:val="00A24594"/>
    <w:rsid w:val="00A24595"/>
    <w:rsid w:val="00A24850"/>
    <w:rsid w:val="00A25154"/>
    <w:rsid w:val="00A25290"/>
    <w:rsid w:val="00A252D7"/>
    <w:rsid w:val="00A2552B"/>
    <w:rsid w:val="00A25D36"/>
    <w:rsid w:val="00A262CA"/>
    <w:rsid w:val="00A269A7"/>
    <w:rsid w:val="00A272CB"/>
    <w:rsid w:val="00A3068C"/>
    <w:rsid w:val="00A3074D"/>
    <w:rsid w:val="00A30ED3"/>
    <w:rsid w:val="00A31148"/>
    <w:rsid w:val="00A31DB9"/>
    <w:rsid w:val="00A321F6"/>
    <w:rsid w:val="00A328DE"/>
    <w:rsid w:val="00A331DB"/>
    <w:rsid w:val="00A334E9"/>
    <w:rsid w:val="00A341CC"/>
    <w:rsid w:val="00A34AAC"/>
    <w:rsid w:val="00A34AC2"/>
    <w:rsid w:val="00A34F5A"/>
    <w:rsid w:val="00A35E27"/>
    <w:rsid w:val="00A35EFC"/>
    <w:rsid w:val="00A35F70"/>
    <w:rsid w:val="00A36033"/>
    <w:rsid w:val="00A36C35"/>
    <w:rsid w:val="00A3761C"/>
    <w:rsid w:val="00A37AC1"/>
    <w:rsid w:val="00A40DF2"/>
    <w:rsid w:val="00A414F6"/>
    <w:rsid w:val="00A42359"/>
    <w:rsid w:val="00A42AF4"/>
    <w:rsid w:val="00A42B5F"/>
    <w:rsid w:val="00A42CF0"/>
    <w:rsid w:val="00A42DFD"/>
    <w:rsid w:val="00A4305E"/>
    <w:rsid w:val="00A43298"/>
    <w:rsid w:val="00A439D1"/>
    <w:rsid w:val="00A43A36"/>
    <w:rsid w:val="00A45317"/>
    <w:rsid w:val="00A45714"/>
    <w:rsid w:val="00A46633"/>
    <w:rsid w:val="00A469CF"/>
    <w:rsid w:val="00A47F8A"/>
    <w:rsid w:val="00A50851"/>
    <w:rsid w:val="00A50CE5"/>
    <w:rsid w:val="00A5128B"/>
    <w:rsid w:val="00A512CE"/>
    <w:rsid w:val="00A51831"/>
    <w:rsid w:val="00A5270A"/>
    <w:rsid w:val="00A5365F"/>
    <w:rsid w:val="00A53D03"/>
    <w:rsid w:val="00A53D66"/>
    <w:rsid w:val="00A543E0"/>
    <w:rsid w:val="00A54765"/>
    <w:rsid w:val="00A54F7F"/>
    <w:rsid w:val="00A551F7"/>
    <w:rsid w:val="00A55412"/>
    <w:rsid w:val="00A55ADA"/>
    <w:rsid w:val="00A562EB"/>
    <w:rsid w:val="00A56814"/>
    <w:rsid w:val="00A56C37"/>
    <w:rsid w:val="00A607F4"/>
    <w:rsid w:val="00A61186"/>
    <w:rsid w:val="00A614F5"/>
    <w:rsid w:val="00A61D44"/>
    <w:rsid w:val="00A65DFE"/>
    <w:rsid w:val="00A66F8F"/>
    <w:rsid w:val="00A6711F"/>
    <w:rsid w:val="00A671C6"/>
    <w:rsid w:val="00A67626"/>
    <w:rsid w:val="00A67D03"/>
    <w:rsid w:val="00A70116"/>
    <w:rsid w:val="00A70583"/>
    <w:rsid w:val="00A70CBE"/>
    <w:rsid w:val="00A70F61"/>
    <w:rsid w:val="00A71E17"/>
    <w:rsid w:val="00A728D2"/>
    <w:rsid w:val="00A72CDB"/>
    <w:rsid w:val="00A732C0"/>
    <w:rsid w:val="00A736B7"/>
    <w:rsid w:val="00A736C1"/>
    <w:rsid w:val="00A739D5"/>
    <w:rsid w:val="00A740E8"/>
    <w:rsid w:val="00A74265"/>
    <w:rsid w:val="00A743DC"/>
    <w:rsid w:val="00A750F2"/>
    <w:rsid w:val="00A75809"/>
    <w:rsid w:val="00A771BE"/>
    <w:rsid w:val="00A7752B"/>
    <w:rsid w:val="00A776BB"/>
    <w:rsid w:val="00A776BC"/>
    <w:rsid w:val="00A77AF5"/>
    <w:rsid w:val="00A80224"/>
    <w:rsid w:val="00A80A71"/>
    <w:rsid w:val="00A82DAD"/>
    <w:rsid w:val="00A82F6B"/>
    <w:rsid w:val="00A835A2"/>
    <w:rsid w:val="00A8388D"/>
    <w:rsid w:val="00A84238"/>
    <w:rsid w:val="00A844E6"/>
    <w:rsid w:val="00A8458D"/>
    <w:rsid w:val="00A847D3"/>
    <w:rsid w:val="00A8619B"/>
    <w:rsid w:val="00A867F9"/>
    <w:rsid w:val="00A868AF"/>
    <w:rsid w:val="00A86B1B"/>
    <w:rsid w:val="00A86CD4"/>
    <w:rsid w:val="00A87D28"/>
    <w:rsid w:val="00A90CA0"/>
    <w:rsid w:val="00A90F8F"/>
    <w:rsid w:val="00A91343"/>
    <w:rsid w:val="00A9134F"/>
    <w:rsid w:val="00A920EE"/>
    <w:rsid w:val="00A936B3"/>
    <w:rsid w:val="00A93BBB"/>
    <w:rsid w:val="00A94938"/>
    <w:rsid w:val="00A9499D"/>
    <w:rsid w:val="00A95960"/>
    <w:rsid w:val="00A95AAB"/>
    <w:rsid w:val="00A95AEE"/>
    <w:rsid w:val="00A95D75"/>
    <w:rsid w:val="00A962E3"/>
    <w:rsid w:val="00A968E9"/>
    <w:rsid w:val="00A96B82"/>
    <w:rsid w:val="00A97C2C"/>
    <w:rsid w:val="00A97D16"/>
    <w:rsid w:val="00AA00D4"/>
    <w:rsid w:val="00AA04CD"/>
    <w:rsid w:val="00AA0AA3"/>
    <w:rsid w:val="00AA0D5A"/>
    <w:rsid w:val="00AA1458"/>
    <w:rsid w:val="00AA19F4"/>
    <w:rsid w:val="00AA2626"/>
    <w:rsid w:val="00AA2FE6"/>
    <w:rsid w:val="00AA39E7"/>
    <w:rsid w:val="00AA3A05"/>
    <w:rsid w:val="00AA4343"/>
    <w:rsid w:val="00AA4DE1"/>
    <w:rsid w:val="00AA4FA0"/>
    <w:rsid w:val="00AA59E4"/>
    <w:rsid w:val="00AA6344"/>
    <w:rsid w:val="00AA6D5D"/>
    <w:rsid w:val="00AA6F63"/>
    <w:rsid w:val="00AA70A4"/>
    <w:rsid w:val="00AA766E"/>
    <w:rsid w:val="00AB0480"/>
    <w:rsid w:val="00AB05B4"/>
    <w:rsid w:val="00AB1560"/>
    <w:rsid w:val="00AB1C1D"/>
    <w:rsid w:val="00AB1E35"/>
    <w:rsid w:val="00AB26A7"/>
    <w:rsid w:val="00AB2AFB"/>
    <w:rsid w:val="00AB3756"/>
    <w:rsid w:val="00AB38E0"/>
    <w:rsid w:val="00AB3CA9"/>
    <w:rsid w:val="00AB45EC"/>
    <w:rsid w:val="00AB4600"/>
    <w:rsid w:val="00AB4662"/>
    <w:rsid w:val="00AB4A66"/>
    <w:rsid w:val="00AB510A"/>
    <w:rsid w:val="00AB545E"/>
    <w:rsid w:val="00AB5680"/>
    <w:rsid w:val="00AB5B4B"/>
    <w:rsid w:val="00AB5BC5"/>
    <w:rsid w:val="00AB6139"/>
    <w:rsid w:val="00AB6778"/>
    <w:rsid w:val="00AB70A7"/>
    <w:rsid w:val="00AC08FF"/>
    <w:rsid w:val="00AC0E93"/>
    <w:rsid w:val="00AC3435"/>
    <w:rsid w:val="00AC3CDB"/>
    <w:rsid w:val="00AC4005"/>
    <w:rsid w:val="00AC48FB"/>
    <w:rsid w:val="00AC5853"/>
    <w:rsid w:val="00AC5A4B"/>
    <w:rsid w:val="00AC6832"/>
    <w:rsid w:val="00AC6CB6"/>
    <w:rsid w:val="00AC6CCB"/>
    <w:rsid w:val="00AC6DD5"/>
    <w:rsid w:val="00AC70AE"/>
    <w:rsid w:val="00AC76FE"/>
    <w:rsid w:val="00AC7BE2"/>
    <w:rsid w:val="00AD071C"/>
    <w:rsid w:val="00AD0BF1"/>
    <w:rsid w:val="00AD109C"/>
    <w:rsid w:val="00AD10A6"/>
    <w:rsid w:val="00AD114D"/>
    <w:rsid w:val="00AD213B"/>
    <w:rsid w:val="00AD24E5"/>
    <w:rsid w:val="00AD2D63"/>
    <w:rsid w:val="00AD3471"/>
    <w:rsid w:val="00AD3984"/>
    <w:rsid w:val="00AD3D06"/>
    <w:rsid w:val="00AD3D98"/>
    <w:rsid w:val="00AD3DB3"/>
    <w:rsid w:val="00AD4568"/>
    <w:rsid w:val="00AD516E"/>
    <w:rsid w:val="00AD66EE"/>
    <w:rsid w:val="00AD67D4"/>
    <w:rsid w:val="00AD6931"/>
    <w:rsid w:val="00AD695D"/>
    <w:rsid w:val="00AD6EA8"/>
    <w:rsid w:val="00AD7C59"/>
    <w:rsid w:val="00AE037E"/>
    <w:rsid w:val="00AE0821"/>
    <w:rsid w:val="00AE129B"/>
    <w:rsid w:val="00AE188C"/>
    <w:rsid w:val="00AE195F"/>
    <w:rsid w:val="00AE2A73"/>
    <w:rsid w:val="00AE3016"/>
    <w:rsid w:val="00AE3844"/>
    <w:rsid w:val="00AE3A23"/>
    <w:rsid w:val="00AE3EA4"/>
    <w:rsid w:val="00AE402B"/>
    <w:rsid w:val="00AE462D"/>
    <w:rsid w:val="00AE4D0C"/>
    <w:rsid w:val="00AE564C"/>
    <w:rsid w:val="00AE5918"/>
    <w:rsid w:val="00AE6B9C"/>
    <w:rsid w:val="00AE74A1"/>
    <w:rsid w:val="00AF057C"/>
    <w:rsid w:val="00AF060C"/>
    <w:rsid w:val="00AF0693"/>
    <w:rsid w:val="00AF0722"/>
    <w:rsid w:val="00AF08FA"/>
    <w:rsid w:val="00AF0B36"/>
    <w:rsid w:val="00AF0D9C"/>
    <w:rsid w:val="00AF1141"/>
    <w:rsid w:val="00AF175F"/>
    <w:rsid w:val="00AF1779"/>
    <w:rsid w:val="00AF2140"/>
    <w:rsid w:val="00AF2570"/>
    <w:rsid w:val="00AF2F39"/>
    <w:rsid w:val="00AF35D0"/>
    <w:rsid w:val="00AF3B67"/>
    <w:rsid w:val="00AF4125"/>
    <w:rsid w:val="00AF47E1"/>
    <w:rsid w:val="00AF4CE7"/>
    <w:rsid w:val="00AF5712"/>
    <w:rsid w:val="00AF5762"/>
    <w:rsid w:val="00AF664B"/>
    <w:rsid w:val="00AF6ADC"/>
    <w:rsid w:val="00AF6C99"/>
    <w:rsid w:val="00AF75FB"/>
    <w:rsid w:val="00B000E1"/>
    <w:rsid w:val="00B003C2"/>
    <w:rsid w:val="00B00499"/>
    <w:rsid w:val="00B01610"/>
    <w:rsid w:val="00B01994"/>
    <w:rsid w:val="00B019E4"/>
    <w:rsid w:val="00B02473"/>
    <w:rsid w:val="00B02524"/>
    <w:rsid w:val="00B02C21"/>
    <w:rsid w:val="00B0323F"/>
    <w:rsid w:val="00B036E7"/>
    <w:rsid w:val="00B039D6"/>
    <w:rsid w:val="00B03CDE"/>
    <w:rsid w:val="00B03D13"/>
    <w:rsid w:val="00B04150"/>
    <w:rsid w:val="00B042B3"/>
    <w:rsid w:val="00B04A43"/>
    <w:rsid w:val="00B0577A"/>
    <w:rsid w:val="00B058FE"/>
    <w:rsid w:val="00B05936"/>
    <w:rsid w:val="00B06665"/>
    <w:rsid w:val="00B10DB5"/>
    <w:rsid w:val="00B10F91"/>
    <w:rsid w:val="00B110C5"/>
    <w:rsid w:val="00B11477"/>
    <w:rsid w:val="00B11ACE"/>
    <w:rsid w:val="00B11DF8"/>
    <w:rsid w:val="00B12289"/>
    <w:rsid w:val="00B126F7"/>
    <w:rsid w:val="00B128E5"/>
    <w:rsid w:val="00B12C3D"/>
    <w:rsid w:val="00B12DFA"/>
    <w:rsid w:val="00B12E66"/>
    <w:rsid w:val="00B12ED2"/>
    <w:rsid w:val="00B13090"/>
    <w:rsid w:val="00B13661"/>
    <w:rsid w:val="00B1393F"/>
    <w:rsid w:val="00B139A1"/>
    <w:rsid w:val="00B13F87"/>
    <w:rsid w:val="00B14637"/>
    <w:rsid w:val="00B14681"/>
    <w:rsid w:val="00B148E1"/>
    <w:rsid w:val="00B14BF7"/>
    <w:rsid w:val="00B14F27"/>
    <w:rsid w:val="00B15071"/>
    <w:rsid w:val="00B1508E"/>
    <w:rsid w:val="00B15604"/>
    <w:rsid w:val="00B15FF1"/>
    <w:rsid w:val="00B1670B"/>
    <w:rsid w:val="00B16AB7"/>
    <w:rsid w:val="00B16E26"/>
    <w:rsid w:val="00B1706B"/>
    <w:rsid w:val="00B173D2"/>
    <w:rsid w:val="00B17C7E"/>
    <w:rsid w:val="00B20C98"/>
    <w:rsid w:val="00B21523"/>
    <w:rsid w:val="00B21DAE"/>
    <w:rsid w:val="00B226FE"/>
    <w:rsid w:val="00B22FD0"/>
    <w:rsid w:val="00B232CA"/>
    <w:rsid w:val="00B244D1"/>
    <w:rsid w:val="00B24C11"/>
    <w:rsid w:val="00B24DF2"/>
    <w:rsid w:val="00B250B6"/>
    <w:rsid w:val="00B2592F"/>
    <w:rsid w:val="00B25C44"/>
    <w:rsid w:val="00B26E35"/>
    <w:rsid w:val="00B26F98"/>
    <w:rsid w:val="00B27030"/>
    <w:rsid w:val="00B27087"/>
    <w:rsid w:val="00B27EA4"/>
    <w:rsid w:val="00B301D8"/>
    <w:rsid w:val="00B309A2"/>
    <w:rsid w:val="00B31552"/>
    <w:rsid w:val="00B32347"/>
    <w:rsid w:val="00B334F3"/>
    <w:rsid w:val="00B3374B"/>
    <w:rsid w:val="00B337CD"/>
    <w:rsid w:val="00B33C3F"/>
    <w:rsid w:val="00B35B61"/>
    <w:rsid w:val="00B363DD"/>
    <w:rsid w:val="00B3653B"/>
    <w:rsid w:val="00B36624"/>
    <w:rsid w:val="00B3665E"/>
    <w:rsid w:val="00B3726A"/>
    <w:rsid w:val="00B374FD"/>
    <w:rsid w:val="00B3758C"/>
    <w:rsid w:val="00B3772F"/>
    <w:rsid w:val="00B379B2"/>
    <w:rsid w:val="00B40697"/>
    <w:rsid w:val="00B40CA2"/>
    <w:rsid w:val="00B40FB4"/>
    <w:rsid w:val="00B41E71"/>
    <w:rsid w:val="00B429E4"/>
    <w:rsid w:val="00B42F26"/>
    <w:rsid w:val="00B4316F"/>
    <w:rsid w:val="00B4382E"/>
    <w:rsid w:val="00B44C66"/>
    <w:rsid w:val="00B455E8"/>
    <w:rsid w:val="00B45819"/>
    <w:rsid w:val="00B463B0"/>
    <w:rsid w:val="00B46646"/>
    <w:rsid w:val="00B470C8"/>
    <w:rsid w:val="00B47242"/>
    <w:rsid w:val="00B50EFE"/>
    <w:rsid w:val="00B52110"/>
    <w:rsid w:val="00B52444"/>
    <w:rsid w:val="00B5248E"/>
    <w:rsid w:val="00B52630"/>
    <w:rsid w:val="00B52650"/>
    <w:rsid w:val="00B5273B"/>
    <w:rsid w:val="00B52FD3"/>
    <w:rsid w:val="00B5323A"/>
    <w:rsid w:val="00B5326A"/>
    <w:rsid w:val="00B533CC"/>
    <w:rsid w:val="00B53D89"/>
    <w:rsid w:val="00B53F6D"/>
    <w:rsid w:val="00B543EC"/>
    <w:rsid w:val="00B54522"/>
    <w:rsid w:val="00B54926"/>
    <w:rsid w:val="00B54D6A"/>
    <w:rsid w:val="00B5526E"/>
    <w:rsid w:val="00B55897"/>
    <w:rsid w:val="00B55E78"/>
    <w:rsid w:val="00B56D34"/>
    <w:rsid w:val="00B56D56"/>
    <w:rsid w:val="00B57161"/>
    <w:rsid w:val="00B60CC8"/>
    <w:rsid w:val="00B6165D"/>
    <w:rsid w:val="00B61872"/>
    <w:rsid w:val="00B61A16"/>
    <w:rsid w:val="00B62183"/>
    <w:rsid w:val="00B62DF1"/>
    <w:rsid w:val="00B62E17"/>
    <w:rsid w:val="00B62E32"/>
    <w:rsid w:val="00B6340A"/>
    <w:rsid w:val="00B63C34"/>
    <w:rsid w:val="00B63E71"/>
    <w:rsid w:val="00B6421A"/>
    <w:rsid w:val="00B6475E"/>
    <w:rsid w:val="00B647BE"/>
    <w:rsid w:val="00B651A9"/>
    <w:rsid w:val="00B669C4"/>
    <w:rsid w:val="00B66EEF"/>
    <w:rsid w:val="00B671D1"/>
    <w:rsid w:val="00B67329"/>
    <w:rsid w:val="00B676A7"/>
    <w:rsid w:val="00B676D4"/>
    <w:rsid w:val="00B6783E"/>
    <w:rsid w:val="00B679F5"/>
    <w:rsid w:val="00B70343"/>
    <w:rsid w:val="00B70450"/>
    <w:rsid w:val="00B7095D"/>
    <w:rsid w:val="00B70DDE"/>
    <w:rsid w:val="00B7100D"/>
    <w:rsid w:val="00B71A75"/>
    <w:rsid w:val="00B71CCD"/>
    <w:rsid w:val="00B72255"/>
    <w:rsid w:val="00B7265E"/>
    <w:rsid w:val="00B7332D"/>
    <w:rsid w:val="00B73EC3"/>
    <w:rsid w:val="00B75466"/>
    <w:rsid w:val="00B76381"/>
    <w:rsid w:val="00B768BF"/>
    <w:rsid w:val="00B77666"/>
    <w:rsid w:val="00B779BF"/>
    <w:rsid w:val="00B77AE4"/>
    <w:rsid w:val="00B81BCC"/>
    <w:rsid w:val="00B8218D"/>
    <w:rsid w:val="00B8242C"/>
    <w:rsid w:val="00B83A49"/>
    <w:rsid w:val="00B847C5"/>
    <w:rsid w:val="00B860D7"/>
    <w:rsid w:val="00B8633C"/>
    <w:rsid w:val="00B86481"/>
    <w:rsid w:val="00B86D50"/>
    <w:rsid w:val="00B875BA"/>
    <w:rsid w:val="00B87FBB"/>
    <w:rsid w:val="00B902AE"/>
    <w:rsid w:val="00B90827"/>
    <w:rsid w:val="00B90E6D"/>
    <w:rsid w:val="00B91622"/>
    <w:rsid w:val="00B91C0B"/>
    <w:rsid w:val="00B92C93"/>
    <w:rsid w:val="00B9312A"/>
    <w:rsid w:val="00B932B5"/>
    <w:rsid w:val="00B93651"/>
    <w:rsid w:val="00B93A6E"/>
    <w:rsid w:val="00B94272"/>
    <w:rsid w:val="00B967D4"/>
    <w:rsid w:val="00B96ADC"/>
    <w:rsid w:val="00B96F07"/>
    <w:rsid w:val="00B972FD"/>
    <w:rsid w:val="00B97FEB"/>
    <w:rsid w:val="00BA09B4"/>
    <w:rsid w:val="00BA11D3"/>
    <w:rsid w:val="00BA13D2"/>
    <w:rsid w:val="00BA1737"/>
    <w:rsid w:val="00BA191E"/>
    <w:rsid w:val="00BA1BF1"/>
    <w:rsid w:val="00BA2022"/>
    <w:rsid w:val="00BA2860"/>
    <w:rsid w:val="00BA2DBB"/>
    <w:rsid w:val="00BA3751"/>
    <w:rsid w:val="00BA3B4D"/>
    <w:rsid w:val="00BA453A"/>
    <w:rsid w:val="00BA5641"/>
    <w:rsid w:val="00BA6ED9"/>
    <w:rsid w:val="00BB0B50"/>
    <w:rsid w:val="00BB0D87"/>
    <w:rsid w:val="00BB1564"/>
    <w:rsid w:val="00BB15B9"/>
    <w:rsid w:val="00BB1728"/>
    <w:rsid w:val="00BB1858"/>
    <w:rsid w:val="00BB19EA"/>
    <w:rsid w:val="00BB1E17"/>
    <w:rsid w:val="00BB2BDE"/>
    <w:rsid w:val="00BB2C26"/>
    <w:rsid w:val="00BB33E8"/>
    <w:rsid w:val="00BB3C81"/>
    <w:rsid w:val="00BB4025"/>
    <w:rsid w:val="00BB45E3"/>
    <w:rsid w:val="00BB473A"/>
    <w:rsid w:val="00BB5D17"/>
    <w:rsid w:val="00BB600C"/>
    <w:rsid w:val="00BB6B3C"/>
    <w:rsid w:val="00BB6B8A"/>
    <w:rsid w:val="00BB6D51"/>
    <w:rsid w:val="00BB6EA8"/>
    <w:rsid w:val="00BB6F18"/>
    <w:rsid w:val="00BB7A10"/>
    <w:rsid w:val="00BB7B67"/>
    <w:rsid w:val="00BC0397"/>
    <w:rsid w:val="00BC061D"/>
    <w:rsid w:val="00BC0957"/>
    <w:rsid w:val="00BC0EBD"/>
    <w:rsid w:val="00BC136D"/>
    <w:rsid w:val="00BC1AB0"/>
    <w:rsid w:val="00BC1B51"/>
    <w:rsid w:val="00BC21D0"/>
    <w:rsid w:val="00BC224C"/>
    <w:rsid w:val="00BC229B"/>
    <w:rsid w:val="00BC27F8"/>
    <w:rsid w:val="00BC2F14"/>
    <w:rsid w:val="00BC363E"/>
    <w:rsid w:val="00BC4852"/>
    <w:rsid w:val="00BC5852"/>
    <w:rsid w:val="00BC5F78"/>
    <w:rsid w:val="00BC6A79"/>
    <w:rsid w:val="00BC6D3C"/>
    <w:rsid w:val="00BC73D5"/>
    <w:rsid w:val="00BC7974"/>
    <w:rsid w:val="00BC7C3B"/>
    <w:rsid w:val="00BD0065"/>
    <w:rsid w:val="00BD0954"/>
    <w:rsid w:val="00BD0AAD"/>
    <w:rsid w:val="00BD0C6A"/>
    <w:rsid w:val="00BD0CF1"/>
    <w:rsid w:val="00BD0FE8"/>
    <w:rsid w:val="00BD1EF5"/>
    <w:rsid w:val="00BD24E2"/>
    <w:rsid w:val="00BD2D5C"/>
    <w:rsid w:val="00BD3543"/>
    <w:rsid w:val="00BD3E6F"/>
    <w:rsid w:val="00BD443B"/>
    <w:rsid w:val="00BD4E51"/>
    <w:rsid w:val="00BD5180"/>
    <w:rsid w:val="00BD536D"/>
    <w:rsid w:val="00BD5839"/>
    <w:rsid w:val="00BD5943"/>
    <w:rsid w:val="00BD6016"/>
    <w:rsid w:val="00BD6981"/>
    <w:rsid w:val="00BD6BE2"/>
    <w:rsid w:val="00BD7A2B"/>
    <w:rsid w:val="00BD7A41"/>
    <w:rsid w:val="00BD7CA1"/>
    <w:rsid w:val="00BD7CC4"/>
    <w:rsid w:val="00BD7D4C"/>
    <w:rsid w:val="00BE07C9"/>
    <w:rsid w:val="00BE0A63"/>
    <w:rsid w:val="00BE1081"/>
    <w:rsid w:val="00BE249C"/>
    <w:rsid w:val="00BE303D"/>
    <w:rsid w:val="00BE3B4F"/>
    <w:rsid w:val="00BE44A5"/>
    <w:rsid w:val="00BE52FF"/>
    <w:rsid w:val="00BE548A"/>
    <w:rsid w:val="00BE5CEF"/>
    <w:rsid w:val="00BE6824"/>
    <w:rsid w:val="00BE6A60"/>
    <w:rsid w:val="00BE7DFB"/>
    <w:rsid w:val="00BF0042"/>
    <w:rsid w:val="00BF01AE"/>
    <w:rsid w:val="00BF125C"/>
    <w:rsid w:val="00BF14AD"/>
    <w:rsid w:val="00BF16D5"/>
    <w:rsid w:val="00BF2292"/>
    <w:rsid w:val="00BF2C69"/>
    <w:rsid w:val="00BF3588"/>
    <w:rsid w:val="00BF38A4"/>
    <w:rsid w:val="00BF3B8B"/>
    <w:rsid w:val="00BF4E5A"/>
    <w:rsid w:val="00BF579B"/>
    <w:rsid w:val="00BF6844"/>
    <w:rsid w:val="00C005AB"/>
    <w:rsid w:val="00C005D8"/>
    <w:rsid w:val="00C00A8F"/>
    <w:rsid w:val="00C013BB"/>
    <w:rsid w:val="00C02F1E"/>
    <w:rsid w:val="00C032C9"/>
    <w:rsid w:val="00C03AC2"/>
    <w:rsid w:val="00C03EEF"/>
    <w:rsid w:val="00C042E9"/>
    <w:rsid w:val="00C0440E"/>
    <w:rsid w:val="00C04A69"/>
    <w:rsid w:val="00C04C3D"/>
    <w:rsid w:val="00C069FC"/>
    <w:rsid w:val="00C07175"/>
    <w:rsid w:val="00C0772C"/>
    <w:rsid w:val="00C07C1F"/>
    <w:rsid w:val="00C11677"/>
    <w:rsid w:val="00C11A11"/>
    <w:rsid w:val="00C11D4F"/>
    <w:rsid w:val="00C11DCA"/>
    <w:rsid w:val="00C1242A"/>
    <w:rsid w:val="00C12627"/>
    <w:rsid w:val="00C12996"/>
    <w:rsid w:val="00C12DD4"/>
    <w:rsid w:val="00C13635"/>
    <w:rsid w:val="00C13E4D"/>
    <w:rsid w:val="00C14066"/>
    <w:rsid w:val="00C1422E"/>
    <w:rsid w:val="00C14393"/>
    <w:rsid w:val="00C14F43"/>
    <w:rsid w:val="00C155E8"/>
    <w:rsid w:val="00C155F0"/>
    <w:rsid w:val="00C15A65"/>
    <w:rsid w:val="00C166E7"/>
    <w:rsid w:val="00C16D06"/>
    <w:rsid w:val="00C16D1B"/>
    <w:rsid w:val="00C16ED8"/>
    <w:rsid w:val="00C17B9F"/>
    <w:rsid w:val="00C17D66"/>
    <w:rsid w:val="00C200B5"/>
    <w:rsid w:val="00C205C4"/>
    <w:rsid w:val="00C2140B"/>
    <w:rsid w:val="00C21AE3"/>
    <w:rsid w:val="00C21BAB"/>
    <w:rsid w:val="00C22C06"/>
    <w:rsid w:val="00C2338C"/>
    <w:rsid w:val="00C233F2"/>
    <w:rsid w:val="00C234E0"/>
    <w:rsid w:val="00C24180"/>
    <w:rsid w:val="00C24CB0"/>
    <w:rsid w:val="00C25014"/>
    <w:rsid w:val="00C253B3"/>
    <w:rsid w:val="00C266BE"/>
    <w:rsid w:val="00C26B5E"/>
    <w:rsid w:val="00C27291"/>
    <w:rsid w:val="00C276AC"/>
    <w:rsid w:val="00C2796B"/>
    <w:rsid w:val="00C27E11"/>
    <w:rsid w:val="00C307E8"/>
    <w:rsid w:val="00C30A88"/>
    <w:rsid w:val="00C318E3"/>
    <w:rsid w:val="00C31D91"/>
    <w:rsid w:val="00C31E21"/>
    <w:rsid w:val="00C32288"/>
    <w:rsid w:val="00C32365"/>
    <w:rsid w:val="00C323BD"/>
    <w:rsid w:val="00C32474"/>
    <w:rsid w:val="00C32CC4"/>
    <w:rsid w:val="00C32DCA"/>
    <w:rsid w:val="00C33F7F"/>
    <w:rsid w:val="00C34028"/>
    <w:rsid w:val="00C340EB"/>
    <w:rsid w:val="00C34187"/>
    <w:rsid w:val="00C34285"/>
    <w:rsid w:val="00C34447"/>
    <w:rsid w:val="00C349D4"/>
    <w:rsid w:val="00C34D47"/>
    <w:rsid w:val="00C35EF2"/>
    <w:rsid w:val="00C35F04"/>
    <w:rsid w:val="00C372A0"/>
    <w:rsid w:val="00C37326"/>
    <w:rsid w:val="00C37847"/>
    <w:rsid w:val="00C37A0A"/>
    <w:rsid w:val="00C37FD7"/>
    <w:rsid w:val="00C4032A"/>
    <w:rsid w:val="00C408F4"/>
    <w:rsid w:val="00C40988"/>
    <w:rsid w:val="00C41BBF"/>
    <w:rsid w:val="00C420FE"/>
    <w:rsid w:val="00C42BD4"/>
    <w:rsid w:val="00C42E3B"/>
    <w:rsid w:val="00C432BC"/>
    <w:rsid w:val="00C44293"/>
    <w:rsid w:val="00C44945"/>
    <w:rsid w:val="00C4500A"/>
    <w:rsid w:val="00C4500E"/>
    <w:rsid w:val="00C456CC"/>
    <w:rsid w:val="00C4571E"/>
    <w:rsid w:val="00C4633E"/>
    <w:rsid w:val="00C466DF"/>
    <w:rsid w:val="00C47903"/>
    <w:rsid w:val="00C502EB"/>
    <w:rsid w:val="00C50F08"/>
    <w:rsid w:val="00C50F60"/>
    <w:rsid w:val="00C50FE3"/>
    <w:rsid w:val="00C51032"/>
    <w:rsid w:val="00C510DA"/>
    <w:rsid w:val="00C51BF2"/>
    <w:rsid w:val="00C538B5"/>
    <w:rsid w:val="00C53998"/>
    <w:rsid w:val="00C53A73"/>
    <w:rsid w:val="00C53AAB"/>
    <w:rsid w:val="00C55258"/>
    <w:rsid w:val="00C55612"/>
    <w:rsid w:val="00C55920"/>
    <w:rsid w:val="00C55C62"/>
    <w:rsid w:val="00C55F40"/>
    <w:rsid w:val="00C56A74"/>
    <w:rsid w:val="00C56EE3"/>
    <w:rsid w:val="00C57936"/>
    <w:rsid w:val="00C57BF2"/>
    <w:rsid w:val="00C57E77"/>
    <w:rsid w:val="00C605FA"/>
    <w:rsid w:val="00C608EC"/>
    <w:rsid w:val="00C61210"/>
    <w:rsid w:val="00C616A5"/>
    <w:rsid w:val="00C61868"/>
    <w:rsid w:val="00C61E3E"/>
    <w:rsid w:val="00C62B93"/>
    <w:rsid w:val="00C62EB1"/>
    <w:rsid w:val="00C62F4A"/>
    <w:rsid w:val="00C63201"/>
    <w:rsid w:val="00C63AA9"/>
    <w:rsid w:val="00C63FD0"/>
    <w:rsid w:val="00C63FDC"/>
    <w:rsid w:val="00C64229"/>
    <w:rsid w:val="00C645AB"/>
    <w:rsid w:val="00C657D6"/>
    <w:rsid w:val="00C658A9"/>
    <w:rsid w:val="00C6659C"/>
    <w:rsid w:val="00C66FA8"/>
    <w:rsid w:val="00C677A7"/>
    <w:rsid w:val="00C67A96"/>
    <w:rsid w:val="00C70A98"/>
    <w:rsid w:val="00C70C85"/>
    <w:rsid w:val="00C70E77"/>
    <w:rsid w:val="00C7245B"/>
    <w:rsid w:val="00C72D04"/>
    <w:rsid w:val="00C732FB"/>
    <w:rsid w:val="00C73756"/>
    <w:rsid w:val="00C73C94"/>
    <w:rsid w:val="00C73CDC"/>
    <w:rsid w:val="00C73D00"/>
    <w:rsid w:val="00C73FA9"/>
    <w:rsid w:val="00C74529"/>
    <w:rsid w:val="00C746A3"/>
    <w:rsid w:val="00C746A5"/>
    <w:rsid w:val="00C74A25"/>
    <w:rsid w:val="00C74EBC"/>
    <w:rsid w:val="00C74F74"/>
    <w:rsid w:val="00C756FE"/>
    <w:rsid w:val="00C76150"/>
    <w:rsid w:val="00C7729E"/>
    <w:rsid w:val="00C7791A"/>
    <w:rsid w:val="00C77A0B"/>
    <w:rsid w:val="00C77DE6"/>
    <w:rsid w:val="00C8179C"/>
    <w:rsid w:val="00C81952"/>
    <w:rsid w:val="00C819D7"/>
    <w:rsid w:val="00C82720"/>
    <w:rsid w:val="00C82748"/>
    <w:rsid w:val="00C82782"/>
    <w:rsid w:val="00C827C9"/>
    <w:rsid w:val="00C82AD2"/>
    <w:rsid w:val="00C82C5C"/>
    <w:rsid w:val="00C82F2F"/>
    <w:rsid w:val="00C832C1"/>
    <w:rsid w:val="00C84357"/>
    <w:rsid w:val="00C84374"/>
    <w:rsid w:val="00C84613"/>
    <w:rsid w:val="00C85669"/>
    <w:rsid w:val="00C861B5"/>
    <w:rsid w:val="00C87A7F"/>
    <w:rsid w:val="00C91413"/>
    <w:rsid w:val="00C92364"/>
    <w:rsid w:val="00C926E1"/>
    <w:rsid w:val="00C9284A"/>
    <w:rsid w:val="00C93A97"/>
    <w:rsid w:val="00C93DC5"/>
    <w:rsid w:val="00C941F3"/>
    <w:rsid w:val="00C9453A"/>
    <w:rsid w:val="00C9499A"/>
    <w:rsid w:val="00C952D9"/>
    <w:rsid w:val="00C95533"/>
    <w:rsid w:val="00C96BC8"/>
    <w:rsid w:val="00C9735C"/>
    <w:rsid w:val="00C97692"/>
    <w:rsid w:val="00C977F8"/>
    <w:rsid w:val="00CA0DB8"/>
    <w:rsid w:val="00CA0DE8"/>
    <w:rsid w:val="00CA1A86"/>
    <w:rsid w:val="00CA2908"/>
    <w:rsid w:val="00CA2C17"/>
    <w:rsid w:val="00CA306D"/>
    <w:rsid w:val="00CA3110"/>
    <w:rsid w:val="00CA413B"/>
    <w:rsid w:val="00CA4250"/>
    <w:rsid w:val="00CA4FC8"/>
    <w:rsid w:val="00CA5835"/>
    <w:rsid w:val="00CA5E6D"/>
    <w:rsid w:val="00CA5F8D"/>
    <w:rsid w:val="00CA6256"/>
    <w:rsid w:val="00CA6577"/>
    <w:rsid w:val="00CA673E"/>
    <w:rsid w:val="00CA6864"/>
    <w:rsid w:val="00CA6A62"/>
    <w:rsid w:val="00CA6BA7"/>
    <w:rsid w:val="00CB050B"/>
    <w:rsid w:val="00CB07A3"/>
    <w:rsid w:val="00CB15BD"/>
    <w:rsid w:val="00CB1851"/>
    <w:rsid w:val="00CB1859"/>
    <w:rsid w:val="00CB1CAF"/>
    <w:rsid w:val="00CB1F97"/>
    <w:rsid w:val="00CB20DF"/>
    <w:rsid w:val="00CB229E"/>
    <w:rsid w:val="00CB24C8"/>
    <w:rsid w:val="00CB5781"/>
    <w:rsid w:val="00CB6083"/>
    <w:rsid w:val="00CB640E"/>
    <w:rsid w:val="00CB6443"/>
    <w:rsid w:val="00CB661F"/>
    <w:rsid w:val="00CB67D5"/>
    <w:rsid w:val="00CB7247"/>
    <w:rsid w:val="00CB777B"/>
    <w:rsid w:val="00CB794D"/>
    <w:rsid w:val="00CB7B76"/>
    <w:rsid w:val="00CC27A8"/>
    <w:rsid w:val="00CC29D1"/>
    <w:rsid w:val="00CC2D0F"/>
    <w:rsid w:val="00CC33BA"/>
    <w:rsid w:val="00CC359A"/>
    <w:rsid w:val="00CC3997"/>
    <w:rsid w:val="00CC3FC6"/>
    <w:rsid w:val="00CC4108"/>
    <w:rsid w:val="00CC433B"/>
    <w:rsid w:val="00CC4891"/>
    <w:rsid w:val="00CC546B"/>
    <w:rsid w:val="00CC5A6F"/>
    <w:rsid w:val="00CC6EA2"/>
    <w:rsid w:val="00CC752E"/>
    <w:rsid w:val="00CC7BCB"/>
    <w:rsid w:val="00CD03DD"/>
    <w:rsid w:val="00CD0F04"/>
    <w:rsid w:val="00CD1364"/>
    <w:rsid w:val="00CD1B85"/>
    <w:rsid w:val="00CD1BFB"/>
    <w:rsid w:val="00CD2086"/>
    <w:rsid w:val="00CD28AB"/>
    <w:rsid w:val="00CD29CC"/>
    <w:rsid w:val="00CD3D3B"/>
    <w:rsid w:val="00CD44DE"/>
    <w:rsid w:val="00CD467D"/>
    <w:rsid w:val="00CD4F82"/>
    <w:rsid w:val="00CD51E4"/>
    <w:rsid w:val="00CD7B60"/>
    <w:rsid w:val="00CD7D29"/>
    <w:rsid w:val="00CE01C4"/>
    <w:rsid w:val="00CE025D"/>
    <w:rsid w:val="00CE02D7"/>
    <w:rsid w:val="00CE0761"/>
    <w:rsid w:val="00CE12D0"/>
    <w:rsid w:val="00CE1C31"/>
    <w:rsid w:val="00CE1E18"/>
    <w:rsid w:val="00CE1E6E"/>
    <w:rsid w:val="00CE251B"/>
    <w:rsid w:val="00CE29ED"/>
    <w:rsid w:val="00CE3988"/>
    <w:rsid w:val="00CE4294"/>
    <w:rsid w:val="00CE4573"/>
    <w:rsid w:val="00CE45CD"/>
    <w:rsid w:val="00CE4F15"/>
    <w:rsid w:val="00CE53A7"/>
    <w:rsid w:val="00CE53D8"/>
    <w:rsid w:val="00CE5521"/>
    <w:rsid w:val="00CE56F6"/>
    <w:rsid w:val="00CE6554"/>
    <w:rsid w:val="00CE68BA"/>
    <w:rsid w:val="00CE69A6"/>
    <w:rsid w:val="00CE6F95"/>
    <w:rsid w:val="00CE7149"/>
    <w:rsid w:val="00CE721E"/>
    <w:rsid w:val="00CE7926"/>
    <w:rsid w:val="00CE7EF5"/>
    <w:rsid w:val="00CF05CB"/>
    <w:rsid w:val="00CF0EF2"/>
    <w:rsid w:val="00CF110F"/>
    <w:rsid w:val="00CF18EE"/>
    <w:rsid w:val="00CF34EF"/>
    <w:rsid w:val="00CF36AF"/>
    <w:rsid w:val="00CF3712"/>
    <w:rsid w:val="00CF525F"/>
    <w:rsid w:val="00CF56B4"/>
    <w:rsid w:val="00CF5B1D"/>
    <w:rsid w:val="00CF6463"/>
    <w:rsid w:val="00CF6472"/>
    <w:rsid w:val="00CF68AF"/>
    <w:rsid w:val="00CF6C9C"/>
    <w:rsid w:val="00CF751B"/>
    <w:rsid w:val="00CF7682"/>
    <w:rsid w:val="00CF7785"/>
    <w:rsid w:val="00CF77B6"/>
    <w:rsid w:val="00CF78B6"/>
    <w:rsid w:val="00CF79F0"/>
    <w:rsid w:val="00CF7D93"/>
    <w:rsid w:val="00CF7E86"/>
    <w:rsid w:val="00D00989"/>
    <w:rsid w:val="00D0194C"/>
    <w:rsid w:val="00D02F56"/>
    <w:rsid w:val="00D03878"/>
    <w:rsid w:val="00D03A34"/>
    <w:rsid w:val="00D041A8"/>
    <w:rsid w:val="00D049FB"/>
    <w:rsid w:val="00D0579C"/>
    <w:rsid w:val="00D05990"/>
    <w:rsid w:val="00D059A8"/>
    <w:rsid w:val="00D071BC"/>
    <w:rsid w:val="00D075DD"/>
    <w:rsid w:val="00D07A43"/>
    <w:rsid w:val="00D10249"/>
    <w:rsid w:val="00D109F0"/>
    <w:rsid w:val="00D10C59"/>
    <w:rsid w:val="00D11936"/>
    <w:rsid w:val="00D1252E"/>
    <w:rsid w:val="00D12FBC"/>
    <w:rsid w:val="00D133EB"/>
    <w:rsid w:val="00D13856"/>
    <w:rsid w:val="00D1422F"/>
    <w:rsid w:val="00D14582"/>
    <w:rsid w:val="00D15CA2"/>
    <w:rsid w:val="00D15E62"/>
    <w:rsid w:val="00D16766"/>
    <w:rsid w:val="00D16852"/>
    <w:rsid w:val="00D16A5B"/>
    <w:rsid w:val="00D16C51"/>
    <w:rsid w:val="00D172CA"/>
    <w:rsid w:val="00D17341"/>
    <w:rsid w:val="00D17FF8"/>
    <w:rsid w:val="00D2077E"/>
    <w:rsid w:val="00D2085B"/>
    <w:rsid w:val="00D20BFA"/>
    <w:rsid w:val="00D215D8"/>
    <w:rsid w:val="00D21A1B"/>
    <w:rsid w:val="00D21F69"/>
    <w:rsid w:val="00D2255D"/>
    <w:rsid w:val="00D23107"/>
    <w:rsid w:val="00D2328A"/>
    <w:rsid w:val="00D23AE6"/>
    <w:rsid w:val="00D23C14"/>
    <w:rsid w:val="00D23D31"/>
    <w:rsid w:val="00D23D40"/>
    <w:rsid w:val="00D244D4"/>
    <w:rsid w:val="00D24B92"/>
    <w:rsid w:val="00D253D5"/>
    <w:rsid w:val="00D25ADF"/>
    <w:rsid w:val="00D25C66"/>
    <w:rsid w:val="00D26497"/>
    <w:rsid w:val="00D2667C"/>
    <w:rsid w:val="00D268B7"/>
    <w:rsid w:val="00D26BE4"/>
    <w:rsid w:val="00D31690"/>
    <w:rsid w:val="00D317A6"/>
    <w:rsid w:val="00D31C1D"/>
    <w:rsid w:val="00D32510"/>
    <w:rsid w:val="00D32730"/>
    <w:rsid w:val="00D3279B"/>
    <w:rsid w:val="00D32C2E"/>
    <w:rsid w:val="00D330F6"/>
    <w:rsid w:val="00D338D9"/>
    <w:rsid w:val="00D33C36"/>
    <w:rsid w:val="00D34359"/>
    <w:rsid w:val="00D3462F"/>
    <w:rsid w:val="00D347C7"/>
    <w:rsid w:val="00D34E32"/>
    <w:rsid w:val="00D35252"/>
    <w:rsid w:val="00D354C9"/>
    <w:rsid w:val="00D35640"/>
    <w:rsid w:val="00D365BE"/>
    <w:rsid w:val="00D36BFA"/>
    <w:rsid w:val="00D36F82"/>
    <w:rsid w:val="00D3755C"/>
    <w:rsid w:val="00D3760A"/>
    <w:rsid w:val="00D37A01"/>
    <w:rsid w:val="00D37BFA"/>
    <w:rsid w:val="00D37DFB"/>
    <w:rsid w:val="00D406D4"/>
    <w:rsid w:val="00D40CBF"/>
    <w:rsid w:val="00D410A0"/>
    <w:rsid w:val="00D41731"/>
    <w:rsid w:val="00D4181E"/>
    <w:rsid w:val="00D42B6B"/>
    <w:rsid w:val="00D432B0"/>
    <w:rsid w:val="00D4350E"/>
    <w:rsid w:val="00D438EF"/>
    <w:rsid w:val="00D4435E"/>
    <w:rsid w:val="00D455EB"/>
    <w:rsid w:val="00D46C36"/>
    <w:rsid w:val="00D47291"/>
    <w:rsid w:val="00D47351"/>
    <w:rsid w:val="00D501E5"/>
    <w:rsid w:val="00D509CE"/>
    <w:rsid w:val="00D50E71"/>
    <w:rsid w:val="00D51931"/>
    <w:rsid w:val="00D51F6D"/>
    <w:rsid w:val="00D52DC9"/>
    <w:rsid w:val="00D53B20"/>
    <w:rsid w:val="00D53D90"/>
    <w:rsid w:val="00D53F1D"/>
    <w:rsid w:val="00D54413"/>
    <w:rsid w:val="00D55B4D"/>
    <w:rsid w:val="00D5642F"/>
    <w:rsid w:val="00D564E6"/>
    <w:rsid w:val="00D5684C"/>
    <w:rsid w:val="00D56A7C"/>
    <w:rsid w:val="00D56CA2"/>
    <w:rsid w:val="00D57761"/>
    <w:rsid w:val="00D57CC2"/>
    <w:rsid w:val="00D6096D"/>
    <w:rsid w:val="00D60B85"/>
    <w:rsid w:val="00D61782"/>
    <w:rsid w:val="00D6186C"/>
    <w:rsid w:val="00D61B91"/>
    <w:rsid w:val="00D61C84"/>
    <w:rsid w:val="00D61EDF"/>
    <w:rsid w:val="00D62262"/>
    <w:rsid w:val="00D62B35"/>
    <w:rsid w:val="00D63092"/>
    <w:rsid w:val="00D630C6"/>
    <w:rsid w:val="00D63404"/>
    <w:rsid w:val="00D63BAF"/>
    <w:rsid w:val="00D645F3"/>
    <w:rsid w:val="00D64683"/>
    <w:rsid w:val="00D64795"/>
    <w:rsid w:val="00D6641D"/>
    <w:rsid w:val="00D66896"/>
    <w:rsid w:val="00D66C9C"/>
    <w:rsid w:val="00D671F7"/>
    <w:rsid w:val="00D70B4D"/>
    <w:rsid w:val="00D70D50"/>
    <w:rsid w:val="00D71249"/>
    <w:rsid w:val="00D714CA"/>
    <w:rsid w:val="00D72065"/>
    <w:rsid w:val="00D7291C"/>
    <w:rsid w:val="00D729E9"/>
    <w:rsid w:val="00D72CDA"/>
    <w:rsid w:val="00D72E32"/>
    <w:rsid w:val="00D7323A"/>
    <w:rsid w:val="00D73256"/>
    <w:rsid w:val="00D732A2"/>
    <w:rsid w:val="00D73F73"/>
    <w:rsid w:val="00D749A7"/>
    <w:rsid w:val="00D7548F"/>
    <w:rsid w:val="00D75EE6"/>
    <w:rsid w:val="00D76114"/>
    <w:rsid w:val="00D7649C"/>
    <w:rsid w:val="00D764C2"/>
    <w:rsid w:val="00D76620"/>
    <w:rsid w:val="00D7690A"/>
    <w:rsid w:val="00D77CE6"/>
    <w:rsid w:val="00D80467"/>
    <w:rsid w:val="00D806CD"/>
    <w:rsid w:val="00D808AE"/>
    <w:rsid w:val="00D80C29"/>
    <w:rsid w:val="00D81761"/>
    <w:rsid w:val="00D81822"/>
    <w:rsid w:val="00D818EA"/>
    <w:rsid w:val="00D8218D"/>
    <w:rsid w:val="00D82902"/>
    <w:rsid w:val="00D82D26"/>
    <w:rsid w:val="00D82F50"/>
    <w:rsid w:val="00D836A4"/>
    <w:rsid w:val="00D837D8"/>
    <w:rsid w:val="00D83FBF"/>
    <w:rsid w:val="00D840D7"/>
    <w:rsid w:val="00D842B4"/>
    <w:rsid w:val="00D84570"/>
    <w:rsid w:val="00D84AC0"/>
    <w:rsid w:val="00D8502C"/>
    <w:rsid w:val="00D8551A"/>
    <w:rsid w:val="00D86D39"/>
    <w:rsid w:val="00D87050"/>
    <w:rsid w:val="00D90D61"/>
    <w:rsid w:val="00D91420"/>
    <w:rsid w:val="00D91653"/>
    <w:rsid w:val="00D916BE"/>
    <w:rsid w:val="00D91960"/>
    <w:rsid w:val="00D91E57"/>
    <w:rsid w:val="00D91FB8"/>
    <w:rsid w:val="00D92096"/>
    <w:rsid w:val="00D92605"/>
    <w:rsid w:val="00D92CDA"/>
    <w:rsid w:val="00D93491"/>
    <w:rsid w:val="00D93A3F"/>
    <w:rsid w:val="00D93F5A"/>
    <w:rsid w:val="00D944F4"/>
    <w:rsid w:val="00D94728"/>
    <w:rsid w:val="00D94BAC"/>
    <w:rsid w:val="00D956CB"/>
    <w:rsid w:val="00D9595F"/>
    <w:rsid w:val="00D95F22"/>
    <w:rsid w:val="00D9607D"/>
    <w:rsid w:val="00D96795"/>
    <w:rsid w:val="00DA016F"/>
    <w:rsid w:val="00DA01CD"/>
    <w:rsid w:val="00DA045B"/>
    <w:rsid w:val="00DA1517"/>
    <w:rsid w:val="00DA1E59"/>
    <w:rsid w:val="00DA23F8"/>
    <w:rsid w:val="00DA271F"/>
    <w:rsid w:val="00DA28D4"/>
    <w:rsid w:val="00DA2F1F"/>
    <w:rsid w:val="00DA34F1"/>
    <w:rsid w:val="00DA49CB"/>
    <w:rsid w:val="00DA49E7"/>
    <w:rsid w:val="00DA4E4C"/>
    <w:rsid w:val="00DA5163"/>
    <w:rsid w:val="00DA5578"/>
    <w:rsid w:val="00DA614F"/>
    <w:rsid w:val="00DA66D3"/>
    <w:rsid w:val="00DA6B78"/>
    <w:rsid w:val="00DA73BF"/>
    <w:rsid w:val="00DA755C"/>
    <w:rsid w:val="00DA78BD"/>
    <w:rsid w:val="00DB0B5E"/>
    <w:rsid w:val="00DB11E7"/>
    <w:rsid w:val="00DB12F2"/>
    <w:rsid w:val="00DB1F66"/>
    <w:rsid w:val="00DB3044"/>
    <w:rsid w:val="00DB315E"/>
    <w:rsid w:val="00DB3499"/>
    <w:rsid w:val="00DB48EF"/>
    <w:rsid w:val="00DB5362"/>
    <w:rsid w:val="00DB5733"/>
    <w:rsid w:val="00DB5DAB"/>
    <w:rsid w:val="00DB619E"/>
    <w:rsid w:val="00DB6AD0"/>
    <w:rsid w:val="00DB720C"/>
    <w:rsid w:val="00DB739B"/>
    <w:rsid w:val="00DB76B6"/>
    <w:rsid w:val="00DB7CDB"/>
    <w:rsid w:val="00DB7FCE"/>
    <w:rsid w:val="00DC0479"/>
    <w:rsid w:val="00DC0C9E"/>
    <w:rsid w:val="00DC15F0"/>
    <w:rsid w:val="00DC1755"/>
    <w:rsid w:val="00DC184C"/>
    <w:rsid w:val="00DC22C4"/>
    <w:rsid w:val="00DC2537"/>
    <w:rsid w:val="00DC320B"/>
    <w:rsid w:val="00DC350E"/>
    <w:rsid w:val="00DC35E6"/>
    <w:rsid w:val="00DC3DE7"/>
    <w:rsid w:val="00DC4612"/>
    <w:rsid w:val="00DC4806"/>
    <w:rsid w:val="00DC50FF"/>
    <w:rsid w:val="00DC669F"/>
    <w:rsid w:val="00DC7041"/>
    <w:rsid w:val="00DC7D13"/>
    <w:rsid w:val="00DD0580"/>
    <w:rsid w:val="00DD08CE"/>
    <w:rsid w:val="00DD11FC"/>
    <w:rsid w:val="00DD14F2"/>
    <w:rsid w:val="00DD1FDD"/>
    <w:rsid w:val="00DD287B"/>
    <w:rsid w:val="00DD2B0A"/>
    <w:rsid w:val="00DD315B"/>
    <w:rsid w:val="00DD393E"/>
    <w:rsid w:val="00DD3AA8"/>
    <w:rsid w:val="00DD3C79"/>
    <w:rsid w:val="00DD4105"/>
    <w:rsid w:val="00DD42EA"/>
    <w:rsid w:val="00DD458E"/>
    <w:rsid w:val="00DD459C"/>
    <w:rsid w:val="00DD4C7C"/>
    <w:rsid w:val="00DD4F62"/>
    <w:rsid w:val="00DD5EA3"/>
    <w:rsid w:val="00DD5F77"/>
    <w:rsid w:val="00DD6541"/>
    <w:rsid w:val="00DD6548"/>
    <w:rsid w:val="00DD677A"/>
    <w:rsid w:val="00DD71E8"/>
    <w:rsid w:val="00DD75DC"/>
    <w:rsid w:val="00DD79EB"/>
    <w:rsid w:val="00DD7FB6"/>
    <w:rsid w:val="00DE07B8"/>
    <w:rsid w:val="00DE0BEF"/>
    <w:rsid w:val="00DE0F29"/>
    <w:rsid w:val="00DE0FC2"/>
    <w:rsid w:val="00DE1753"/>
    <w:rsid w:val="00DE182D"/>
    <w:rsid w:val="00DE1B7A"/>
    <w:rsid w:val="00DE3ACF"/>
    <w:rsid w:val="00DE3F0D"/>
    <w:rsid w:val="00DE4053"/>
    <w:rsid w:val="00DE4223"/>
    <w:rsid w:val="00DE4242"/>
    <w:rsid w:val="00DE4DAB"/>
    <w:rsid w:val="00DE50D1"/>
    <w:rsid w:val="00DE570B"/>
    <w:rsid w:val="00DE6345"/>
    <w:rsid w:val="00DE73F1"/>
    <w:rsid w:val="00DE7E91"/>
    <w:rsid w:val="00DF07F7"/>
    <w:rsid w:val="00DF0AF2"/>
    <w:rsid w:val="00DF1B77"/>
    <w:rsid w:val="00DF1C0A"/>
    <w:rsid w:val="00DF1CB5"/>
    <w:rsid w:val="00DF21C5"/>
    <w:rsid w:val="00DF3194"/>
    <w:rsid w:val="00DF35CE"/>
    <w:rsid w:val="00DF4192"/>
    <w:rsid w:val="00DF4BE4"/>
    <w:rsid w:val="00DF530F"/>
    <w:rsid w:val="00DF5559"/>
    <w:rsid w:val="00DF5B05"/>
    <w:rsid w:val="00DF61C0"/>
    <w:rsid w:val="00DF6BB2"/>
    <w:rsid w:val="00DF7035"/>
    <w:rsid w:val="00DF73C2"/>
    <w:rsid w:val="00DF7453"/>
    <w:rsid w:val="00DF74D7"/>
    <w:rsid w:val="00DF79EA"/>
    <w:rsid w:val="00DF7DDE"/>
    <w:rsid w:val="00E001D3"/>
    <w:rsid w:val="00E00377"/>
    <w:rsid w:val="00E024E5"/>
    <w:rsid w:val="00E03BB1"/>
    <w:rsid w:val="00E03D69"/>
    <w:rsid w:val="00E04AE6"/>
    <w:rsid w:val="00E05400"/>
    <w:rsid w:val="00E05E5F"/>
    <w:rsid w:val="00E06330"/>
    <w:rsid w:val="00E06953"/>
    <w:rsid w:val="00E06B13"/>
    <w:rsid w:val="00E07244"/>
    <w:rsid w:val="00E073D1"/>
    <w:rsid w:val="00E07515"/>
    <w:rsid w:val="00E07B06"/>
    <w:rsid w:val="00E07C02"/>
    <w:rsid w:val="00E10264"/>
    <w:rsid w:val="00E10336"/>
    <w:rsid w:val="00E10941"/>
    <w:rsid w:val="00E11334"/>
    <w:rsid w:val="00E1139C"/>
    <w:rsid w:val="00E11766"/>
    <w:rsid w:val="00E11BAC"/>
    <w:rsid w:val="00E11ECD"/>
    <w:rsid w:val="00E13108"/>
    <w:rsid w:val="00E132D1"/>
    <w:rsid w:val="00E1393F"/>
    <w:rsid w:val="00E13C74"/>
    <w:rsid w:val="00E14404"/>
    <w:rsid w:val="00E147A1"/>
    <w:rsid w:val="00E15013"/>
    <w:rsid w:val="00E15ABC"/>
    <w:rsid w:val="00E15C0D"/>
    <w:rsid w:val="00E15E2E"/>
    <w:rsid w:val="00E16CAA"/>
    <w:rsid w:val="00E16D09"/>
    <w:rsid w:val="00E17194"/>
    <w:rsid w:val="00E1764A"/>
    <w:rsid w:val="00E17AF9"/>
    <w:rsid w:val="00E17B0E"/>
    <w:rsid w:val="00E17B28"/>
    <w:rsid w:val="00E17F45"/>
    <w:rsid w:val="00E20BB4"/>
    <w:rsid w:val="00E2100B"/>
    <w:rsid w:val="00E2212A"/>
    <w:rsid w:val="00E221FA"/>
    <w:rsid w:val="00E222CB"/>
    <w:rsid w:val="00E227A4"/>
    <w:rsid w:val="00E2346D"/>
    <w:rsid w:val="00E238F6"/>
    <w:rsid w:val="00E24D5C"/>
    <w:rsid w:val="00E24DE8"/>
    <w:rsid w:val="00E25423"/>
    <w:rsid w:val="00E2554B"/>
    <w:rsid w:val="00E25B4C"/>
    <w:rsid w:val="00E2617C"/>
    <w:rsid w:val="00E26CA8"/>
    <w:rsid w:val="00E272B1"/>
    <w:rsid w:val="00E27604"/>
    <w:rsid w:val="00E27832"/>
    <w:rsid w:val="00E27928"/>
    <w:rsid w:val="00E27C85"/>
    <w:rsid w:val="00E30297"/>
    <w:rsid w:val="00E30ED2"/>
    <w:rsid w:val="00E31A41"/>
    <w:rsid w:val="00E330A9"/>
    <w:rsid w:val="00E33400"/>
    <w:rsid w:val="00E3346C"/>
    <w:rsid w:val="00E33CD7"/>
    <w:rsid w:val="00E343DC"/>
    <w:rsid w:val="00E346AD"/>
    <w:rsid w:val="00E3475E"/>
    <w:rsid w:val="00E34861"/>
    <w:rsid w:val="00E3523C"/>
    <w:rsid w:val="00E35A31"/>
    <w:rsid w:val="00E35C49"/>
    <w:rsid w:val="00E3661B"/>
    <w:rsid w:val="00E3713A"/>
    <w:rsid w:val="00E37393"/>
    <w:rsid w:val="00E37711"/>
    <w:rsid w:val="00E37E01"/>
    <w:rsid w:val="00E40437"/>
    <w:rsid w:val="00E40F0B"/>
    <w:rsid w:val="00E40FB9"/>
    <w:rsid w:val="00E41A56"/>
    <w:rsid w:val="00E41CE8"/>
    <w:rsid w:val="00E422CC"/>
    <w:rsid w:val="00E42A15"/>
    <w:rsid w:val="00E42DDA"/>
    <w:rsid w:val="00E42E99"/>
    <w:rsid w:val="00E43425"/>
    <w:rsid w:val="00E43884"/>
    <w:rsid w:val="00E43C88"/>
    <w:rsid w:val="00E43D4E"/>
    <w:rsid w:val="00E44B32"/>
    <w:rsid w:val="00E45E1D"/>
    <w:rsid w:val="00E45F07"/>
    <w:rsid w:val="00E4688E"/>
    <w:rsid w:val="00E479CB"/>
    <w:rsid w:val="00E504FA"/>
    <w:rsid w:val="00E5086C"/>
    <w:rsid w:val="00E50B19"/>
    <w:rsid w:val="00E5153D"/>
    <w:rsid w:val="00E527AF"/>
    <w:rsid w:val="00E52F87"/>
    <w:rsid w:val="00E53BD8"/>
    <w:rsid w:val="00E53DF9"/>
    <w:rsid w:val="00E54DD5"/>
    <w:rsid w:val="00E55698"/>
    <w:rsid w:val="00E55D75"/>
    <w:rsid w:val="00E55E5A"/>
    <w:rsid w:val="00E57312"/>
    <w:rsid w:val="00E57586"/>
    <w:rsid w:val="00E57B16"/>
    <w:rsid w:val="00E57E1A"/>
    <w:rsid w:val="00E57F35"/>
    <w:rsid w:val="00E57F95"/>
    <w:rsid w:val="00E603AC"/>
    <w:rsid w:val="00E60D21"/>
    <w:rsid w:val="00E60F00"/>
    <w:rsid w:val="00E61903"/>
    <w:rsid w:val="00E61CFC"/>
    <w:rsid w:val="00E61F4B"/>
    <w:rsid w:val="00E62284"/>
    <w:rsid w:val="00E623AF"/>
    <w:rsid w:val="00E6349D"/>
    <w:rsid w:val="00E63571"/>
    <w:rsid w:val="00E63B16"/>
    <w:rsid w:val="00E63F77"/>
    <w:rsid w:val="00E64474"/>
    <w:rsid w:val="00E64715"/>
    <w:rsid w:val="00E651AB"/>
    <w:rsid w:val="00E6585E"/>
    <w:rsid w:val="00E6588F"/>
    <w:rsid w:val="00E659EE"/>
    <w:rsid w:val="00E65D8C"/>
    <w:rsid w:val="00E65E40"/>
    <w:rsid w:val="00E6676C"/>
    <w:rsid w:val="00E66BCE"/>
    <w:rsid w:val="00E66D9B"/>
    <w:rsid w:val="00E67F2D"/>
    <w:rsid w:val="00E703A6"/>
    <w:rsid w:val="00E703CB"/>
    <w:rsid w:val="00E709B8"/>
    <w:rsid w:val="00E70DF3"/>
    <w:rsid w:val="00E70FB0"/>
    <w:rsid w:val="00E70FCE"/>
    <w:rsid w:val="00E71BF6"/>
    <w:rsid w:val="00E71D2E"/>
    <w:rsid w:val="00E71DB9"/>
    <w:rsid w:val="00E729C3"/>
    <w:rsid w:val="00E72ABD"/>
    <w:rsid w:val="00E733E2"/>
    <w:rsid w:val="00E7342F"/>
    <w:rsid w:val="00E7397C"/>
    <w:rsid w:val="00E73F75"/>
    <w:rsid w:val="00E740B0"/>
    <w:rsid w:val="00E74713"/>
    <w:rsid w:val="00E749BD"/>
    <w:rsid w:val="00E74BF6"/>
    <w:rsid w:val="00E74DA9"/>
    <w:rsid w:val="00E75272"/>
    <w:rsid w:val="00E753E2"/>
    <w:rsid w:val="00E757AA"/>
    <w:rsid w:val="00E7582A"/>
    <w:rsid w:val="00E765E5"/>
    <w:rsid w:val="00E76848"/>
    <w:rsid w:val="00E76D2B"/>
    <w:rsid w:val="00E774FF"/>
    <w:rsid w:val="00E77859"/>
    <w:rsid w:val="00E8078B"/>
    <w:rsid w:val="00E80B32"/>
    <w:rsid w:val="00E80F74"/>
    <w:rsid w:val="00E81587"/>
    <w:rsid w:val="00E828A5"/>
    <w:rsid w:val="00E82D72"/>
    <w:rsid w:val="00E82DAB"/>
    <w:rsid w:val="00E82DCE"/>
    <w:rsid w:val="00E8334A"/>
    <w:rsid w:val="00E834DE"/>
    <w:rsid w:val="00E836AD"/>
    <w:rsid w:val="00E83A34"/>
    <w:rsid w:val="00E83DA4"/>
    <w:rsid w:val="00E83DF8"/>
    <w:rsid w:val="00E83F24"/>
    <w:rsid w:val="00E84211"/>
    <w:rsid w:val="00E84AC5"/>
    <w:rsid w:val="00E8545F"/>
    <w:rsid w:val="00E85580"/>
    <w:rsid w:val="00E85581"/>
    <w:rsid w:val="00E85DBD"/>
    <w:rsid w:val="00E85E76"/>
    <w:rsid w:val="00E85F56"/>
    <w:rsid w:val="00E85FEE"/>
    <w:rsid w:val="00E860C4"/>
    <w:rsid w:val="00E86C18"/>
    <w:rsid w:val="00E871C0"/>
    <w:rsid w:val="00E87257"/>
    <w:rsid w:val="00E8735E"/>
    <w:rsid w:val="00E87D32"/>
    <w:rsid w:val="00E902F6"/>
    <w:rsid w:val="00E90331"/>
    <w:rsid w:val="00E90533"/>
    <w:rsid w:val="00E905F0"/>
    <w:rsid w:val="00E90881"/>
    <w:rsid w:val="00E90DF6"/>
    <w:rsid w:val="00E91273"/>
    <w:rsid w:val="00E91569"/>
    <w:rsid w:val="00E917FE"/>
    <w:rsid w:val="00E9195F"/>
    <w:rsid w:val="00E91D45"/>
    <w:rsid w:val="00E922A7"/>
    <w:rsid w:val="00E92C85"/>
    <w:rsid w:val="00E93406"/>
    <w:rsid w:val="00E93720"/>
    <w:rsid w:val="00E93E52"/>
    <w:rsid w:val="00E94D46"/>
    <w:rsid w:val="00E94E75"/>
    <w:rsid w:val="00E950B3"/>
    <w:rsid w:val="00E956D4"/>
    <w:rsid w:val="00E96A38"/>
    <w:rsid w:val="00E976DC"/>
    <w:rsid w:val="00EA024A"/>
    <w:rsid w:val="00EA04FB"/>
    <w:rsid w:val="00EA17B3"/>
    <w:rsid w:val="00EA1EF2"/>
    <w:rsid w:val="00EA253F"/>
    <w:rsid w:val="00EA264F"/>
    <w:rsid w:val="00EA31D2"/>
    <w:rsid w:val="00EA3284"/>
    <w:rsid w:val="00EA3360"/>
    <w:rsid w:val="00EA3620"/>
    <w:rsid w:val="00EA3DE3"/>
    <w:rsid w:val="00EA407F"/>
    <w:rsid w:val="00EA42C4"/>
    <w:rsid w:val="00EA43B1"/>
    <w:rsid w:val="00EA4A48"/>
    <w:rsid w:val="00EA4AC6"/>
    <w:rsid w:val="00EA507C"/>
    <w:rsid w:val="00EA54E8"/>
    <w:rsid w:val="00EA580A"/>
    <w:rsid w:val="00EA5CD2"/>
    <w:rsid w:val="00EA63AC"/>
    <w:rsid w:val="00EA6BE8"/>
    <w:rsid w:val="00EA79BA"/>
    <w:rsid w:val="00EA7D01"/>
    <w:rsid w:val="00EB1459"/>
    <w:rsid w:val="00EB1833"/>
    <w:rsid w:val="00EB1CFC"/>
    <w:rsid w:val="00EB23D9"/>
    <w:rsid w:val="00EB28AB"/>
    <w:rsid w:val="00EB2DDC"/>
    <w:rsid w:val="00EB35B5"/>
    <w:rsid w:val="00EB3666"/>
    <w:rsid w:val="00EB39B0"/>
    <w:rsid w:val="00EB3C08"/>
    <w:rsid w:val="00EB3FB3"/>
    <w:rsid w:val="00EB4634"/>
    <w:rsid w:val="00EB4B10"/>
    <w:rsid w:val="00EB52DD"/>
    <w:rsid w:val="00EB6624"/>
    <w:rsid w:val="00EB67A4"/>
    <w:rsid w:val="00EB6893"/>
    <w:rsid w:val="00EB6C46"/>
    <w:rsid w:val="00EB7669"/>
    <w:rsid w:val="00EB7A10"/>
    <w:rsid w:val="00EB7CBD"/>
    <w:rsid w:val="00EB7D0C"/>
    <w:rsid w:val="00EB7EB7"/>
    <w:rsid w:val="00EC05C8"/>
    <w:rsid w:val="00EC0884"/>
    <w:rsid w:val="00EC0D22"/>
    <w:rsid w:val="00EC19DB"/>
    <w:rsid w:val="00EC1E53"/>
    <w:rsid w:val="00EC223D"/>
    <w:rsid w:val="00EC2673"/>
    <w:rsid w:val="00EC36CB"/>
    <w:rsid w:val="00EC3BBB"/>
    <w:rsid w:val="00EC4939"/>
    <w:rsid w:val="00EC5C63"/>
    <w:rsid w:val="00EC5ECC"/>
    <w:rsid w:val="00EC63C9"/>
    <w:rsid w:val="00EC6599"/>
    <w:rsid w:val="00EC6794"/>
    <w:rsid w:val="00EC691B"/>
    <w:rsid w:val="00EC6B25"/>
    <w:rsid w:val="00EC6C01"/>
    <w:rsid w:val="00EC7FE8"/>
    <w:rsid w:val="00ED06F4"/>
    <w:rsid w:val="00ED18F9"/>
    <w:rsid w:val="00ED1BA4"/>
    <w:rsid w:val="00ED261F"/>
    <w:rsid w:val="00ED2763"/>
    <w:rsid w:val="00ED2E17"/>
    <w:rsid w:val="00ED3149"/>
    <w:rsid w:val="00ED3630"/>
    <w:rsid w:val="00ED4382"/>
    <w:rsid w:val="00ED4F8D"/>
    <w:rsid w:val="00ED5D69"/>
    <w:rsid w:val="00ED61EE"/>
    <w:rsid w:val="00ED6640"/>
    <w:rsid w:val="00ED77A8"/>
    <w:rsid w:val="00ED7B9F"/>
    <w:rsid w:val="00EE04BE"/>
    <w:rsid w:val="00EE08C2"/>
    <w:rsid w:val="00EE0A57"/>
    <w:rsid w:val="00EE102D"/>
    <w:rsid w:val="00EE15E8"/>
    <w:rsid w:val="00EE1896"/>
    <w:rsid w:val="00EE1EC2"/>
    <w:rsid w:val="00EE1EE6"/>
    <w:rsid w:val="00EE265D"/>
    <w:rsid w:val="00EE277E"/>
    <w:rsid w:val="00EE285A"/>
    <w:rsid w:val="00EE298F"/>
    <w:rsid w:val="00EE2A45"/>
    <w:rsid w:val="00EE2C42"/>
    <w:rsid w:val="00EE3513"/>
    <w:rsid w:val="00EE3B37"/>
    <w:rsid w:val="00EE3C74"/>
    <w:rsid w:val="00EE3C85"/>
    <w:rsid w:val="00EE3CA3"/>
    <w:rsid w:val="00EE4942"/>
    <w:rsid w:val="00EE4D81"/>
    <w:rsid w:val="00EE510E"/>
    <w:rsid w:val="00EE5B30"/>
    <w:rsid w:val="00EE5C5E"/>
    <w:rsid w:val="00EE64B4"/>
    <w:rsid w:val="00EE68C7"/>
    <w:rsid w:val="00EE6DAB"/>
    <w:rsid w:val="00EE7042"/>
    <w:rsid w:val="00EE7414"/>
    <w:rsid w:val="00EF0049"/>
    <w:rsid w:val="00EF0DDE"/>
    <w:rsid w:val="00EF0F1D"/>
    <w:rsid w:val="00EF0FDC"/>
    <w:rsid w:val="00EF0FE2"/>
    <w:rsid w:val="00EF1203"/>
    <w:rsid w:val="00EF178A"/>
    <w:rsid w:val="00EF1FAF"/>
    <w:rsid w:val="00EF2477"/>
    <w:rsid w:val="00EF24FC"/>
    <w:rsid w:val="00EF2B83"/>
    <w:rsid w:val="00EF38FD"/>
    <w:rsid w:val="00EF3DA8"/>
    <w:rsid w:val="00EF4509"/>
    <w:rsid w:val="00EF45AC"/>
    <w:rsid w:val="00EF46ED"/>
    <w:rsid w:val="00EF5344"/>
    <w:rsid w:val="00EF5533"/>
    <w:rsid w:val="00EF6BF0"/>
    <w:rsid w:val="00EF6E13"/>
    <w:rsid w:val="00EF6FFB"/>
    <w:rsid w:val="00EF732A"/>
    <w:rsid w:val="00EF7901"/>
    <w:rsid w:val="00EF7E8A"/>
    <w:rsid w:val="00F00971"/>
    <w:rsid w:val="00F014F4"/>
    <w:rsid w:val="00F018BB"/>
    <w:rsid w:val="00F0236D"/>
    <w:rsid w:val="00F02580"/>
    <w:rsid w:val="00F028C4"/>
    <w:rsid w:val="00F030C7"/>
    <w:rsid w:val="00F030FE"/>
    <w:rsid w:val="00F033CB"/>
    <w:rsid w:val="00F04147"/>
    <w:rsid w:val="00F05432"/>
    <w:rsid w:val="00F05646"/>
    <w:rsid w:val="00F05720"/>
    <w:rsid w:val="00F05BBE"/>
    <w:rsid w:val="00F05F25"/>
    <w:rsid w:val="00F05F85"/>
    <w:rsid w:val="00F06BEB"/>
    <w:rsid w:val="00F06FE3"/>
    <w:rsid w:val="00F070D2"/>
    <w:rsid w:val="00F071AD"/>
    <w:rsid w:val="00F07795"/>
    <w:rsid w:val="00F07B63"/>
    <w:rsid w:val="00F100F9"/>
    <w:rsid w:val="00F1106B"/>
    <w:rsid w:val="00F11171"/>
    <w:rsid w:val="00F11A85"/>
    <w:rsid w:val="00F11D13"/>
    <w:rsid w:val="00F1207F"/>
    <w:rsid w:val="00F12119"/>
    <w:rsid w:val="00F1213B"/>
    <w:rsid w:val="00F12A28"/>
    <w:rsid w:val="00F12F42"/>
    <w:rsid w:val="00F14180"/>
    <w:rsid w:val="00F144CF"/>
    <w:rsid w:val="00F1467C"/>
    <w:rsid w:val="00F15B18"/>
    <w:rsid w:val="00F16416"/>
    <w:rsid w:val="00F16AD8"/>
    <w:rsid w:val="00F171BB"/>
    <w:rsid w:val="00F17847"/>
    <w:rsid w:val="00F20195"/>
    <w:rsid w:val="00F20229"/>
    <w:rsid w:val="00F20ADB"/>
    <w:rsid w:val="00F215D5"/>
    <w:rsid w:val="00F21745"/>
    <w:rsid w:val="00F21ABE"/>
    <w:rsid w:val="00F21C32"/>
    <w:rsid w:val="00F231C6"/>
    <w:rsid w:val="00F23615"/>
    <w:rsid w:val="00F24BA2"/>
    <w:rsid w:val="00F254C6"/>
    <w:rsid w:val="00F25A2F"/>
    <w:rsid w:val="00F26A0B"/>
    <w:rsid w:val="00F26B48"/>
    <w:rsid w:val="00F306D3"/>
    <w:rsid w:val="00F30979"/>
    <w:rsid w:val="00F31445"/>
    <w:rsid w:val="00F31836"/>
    <w:rsid w:val="00F31A5A"/>
    <w:rsid w:val="00F31AD4"/>
    <w:rsid w:val="00F31B87"/>
    <w:rsid w:val="00F31EB5"/>
    <w:rsid w:val="00F31FF1"/>
    <w:rsid w:val="00F328AD"/>
    <w:rsid w:val="00F33870"/>
    <w:rsid w:val="00F33992"/>
    <w:rsid w:val="00F33B3D"/>
    <w:rsid w:val="00F33CB2"/>
    <w:rsid w:val="00F3456B"/>
    <w:rsid w:val="00F34638"/>
    <w:rsid w:val="00F35B75"/>
    <w:rsid w:val="00F35FB8"/>
    <w:rsid w:val="00F3628A"/>
    <w:rsid w:val="00F36AD6"/>
    <w:rsid w:val="00F37325"/>
    <w:rsid w:val="00F375DC"/>
    <w:rsid w:val="00F3775A"/>
    <w:rsid w:val="00F37802"/>
    <w:rsid w:val="00F378D0"/>
    <w:rsid w:val="00F37DBF"/>
    <w:rsid w:val="00F4009B"/>
    <w:rsid w:val="00F401EB"/>
    <w:rsid w:val="00F40E6B"/>
    <w:rsid w:val="00F41CC5"/>
    <w:rsid w:val="00F41DC5"/>
    <w:rsid w:val="00F41E19"/>
    <w:rsid w:val="00F423E5"/>
    <w:rsid w:val="00F437E3"/>
    <w:rsid w:val="00F43FF6"/>
    <w:rsid w:val="00F44F8F"/>
    <w:rsid w:val="00F45363"/>
    <w:rsid w:val="00F454B1"/>
    <w:rsid w:val="00F4575C"/>
    <w:rsid w:val="00F459F1"/>
    <w:rsid w:val="00F4603F"/>
    <w:rsid w:val="00F4631F"/>
    <w:rsid w:val="00F46970"/>
    <w:rsid w:val="00F46A97"/>
    <w:rsid w:val="00F46CEF"/>
    <w:rsid w:val="00F472C2"/>
    <w:rsid w:val="00F4735C"/>
    <w:rsid w:val="00F476EC"/>
    <w:rsid w:val="00F47836"/>
    <w:rsid w:val="00F5091A"/>
    <w:rsid w:val="00F5096D"/>
    <w:rsid w:val="00F50CB7"/>
    <w:rsid w:val="00F520FA"/>
    <w:rsid w:val="00F526F9"/>
    <w:rsid w:val="00F53515"/>
    <w:rsid w:val="00F53910"/>
    <w:rsid w:val="00F53F28"/>
    <w:rsid w:val="00F54734"/>
    <w:rsid w:val="00F54A8D"/>
    <w:rsid w:val="00F54E41"/>
    <w:rsid w:val="00F5511E"/>
    <w:rsid w:val="00F55281"/>
    <w:rsid w:val="00F55EDF"/>
    <w:rsid w:val="00F56066"/>
    <w:rsid w:val="00F5626B"/>
    <w:rsid w:val="00F570A2"/>
    <w:rsid w:val="00F5772A"/>
    <w:rsid w:val="00F57838"/>
    <w:rsid w:val="00F6019E"/>
    <w:rsid w:val="00F60517"/>
    <w:rsid w:val="00F60967"/>
    <w:rsid w:val="00F60CC0"/>
    <w:rsid w:val="00F6141C"/>
    <w:rsid w:val="00F61573"/>
    <w:rsid w:val="00F616D9"/>
    <w:rsid w:val="00F622DB"/>
    <w:rsid w:val="00F62E12"/>
    <w:rsid w:val="00F62F9F"/>
    <w:rsid w:val="00F63215"/>
    <w:rsid w:val="00F63E80"/>
    <w:rsid w:val="00F64169"/>
    <w:rsid w:val="00F64861"/>
    <w:rsid w:val="00F64905"/>
    <w:rsid w:val="00F64A86"/>
    <w:rsid w:val="00F653A7"/>
    <w:rsid w:val="00F65729"/>
    <w:rsid w:val="00F66B77"/>
    <w:rsid w:val="00F676EF"/>
    <w:rsid w:val="00F700D3"/>
    <w:rsid w:val="00F704BE"/>
    <w:rsid w:val="00F70507"/>
    <w:rsid w:val="00F70C3E"/>
    <w:rsid w:val="00F71087"/>
    <w:rsid w:val="00F731AB"/>
    <w:rsid w:val="00F7351A"/>
    <w:rsid w:val="00F736D9"/>
    <w:rsid w:val="00F74DA9"/>
    <w:rsid w:val="00F74FBF"/>
    <w:rsid w:val="00F75031"/>
    <w:rsid w:val="00F7518E"/>
    <w:rsid w:val="00F757D5"/>
    <w:rsid w:val="00F75F49"/>
    <w:rsid w:val="00F764D6"/>
    <w:rsid w:val="00F76F16"/>
    <w:rsid w:val="00F7701B"/>
    <w:rsid w:val="00F77554"/>
    <w:rsid w:val="00F77728"/>
    <w:rsid w:val="00F77AFC"/>
    <w:rsid w:val="00F77C50"/>
    <w:rsid w:val="00F77D3B"/>
    <w:rsid w:val="00F77FF0"/>
    <w:rsid w:val="00F8024E"/>
    <w:rsid w:val="00F80267"/>
    <w:rsid w:val="00F8076D"/>
    <w:rsid w:val="00F818F4"/>
    <w:rsid w:val="00F82FC6"/>
    <w:rsid w:val="00F83B2D"/>
    <w:rsid w:val="00F83B3E"/>
    <w:rsid w:val="00F83EFB"/>
    <w:rsid w:val="00F843CA"/>
    <w:rsid w:val="00F852D9"/>
    <w:rsid w:val="00F869E8"/>
    <w:rsid w:val="00F86C65"/>
    <w:rsid w:val="00F86CCB"/>
    <w:rsid w:val="00F8740D"/>
    <w:rsid w:val="00F87C4E"/>
    <w:rsid w:val="00F87DAF"/>
    <w:rsid w:val="00F87E6C"/>
    <w:rsid w:val="00F90082"/>
    <w:rsid w:val="00F90466"/>
    <w:rsid w:val="00F905D2"/>
    <w:rsid w:val="00F9062E"/>
    <w:rsid w:val="00F9168E"/>
    <w:rsid w:val="00F91CB9"/>
    <w:rsid w:val="00F9204B"/>
    <w:rsid w:val="00F924D0"/>
    <w:rsid w:val="00F93144"/>
    <w:rsid w:val="00F93A64"/>
    <w:rsid w:val="00F9449E"/>
    <w:rsid w:val="00F94A39"/>
    <w:rsid w:val="00F955F8"/>
    <w:rsid w:val="00F9581D"/>
    <w:rsid w:val="00F958E7"/>
    <w:rsid w:val="00F95E4F"/>
    <w:rsid w:val="00F95FE1"/>
    <w:rsid w:val="00F961AF"/>
    <w:rsid w:val="00F96226"/>
    <w:rsid w:val="00F96823"/>
    <w:rsid w:val="00F96B4A"/>
    <w:rsid w:val="00F96B75"/>
    <w:rsid w:val="00F97799"/>
    <w:rsid w:val="00F97916"/>
    <w:rsid w:val="00F97C30"/>
    <w:rsid w:val="00FA1C59"/>
    <w:rsid w:val="00FA21AD"/>
    <w:rsid w:val="00FA289F"/>
    <w:rsid w:val="00FA28E5"/>
    <w:rsid w:val="00FA457F"/>
    <w:rsid w:val="00FA5198"/>
    <w:rsid w:val="00FA5974"/>
    <w:rsid w:val="00FA598E"/>
    <w:rsid w:val="00FA6BA3"/>
    <w:rsid w:val="00FA7200"/>
    <w:rsid w:val="00FA7582"/>
    <w:rsid w:val="00FA7722"/>
    <w:rsid w:val="00FA7AE7"/>
    <w:rsid w:val="00FB0110"/>
    <w:rsid w:val="00FB0582"/>
    <w:rsid w:val="00FB07AD"/>
    <w:rsid w:val="00FB0A8D"/>
    <w:rsid w:val="00FB2524"/>
    <w:rsid w:val="00FB367A"/>
    <w:rsid w:val="00FB398C"/>
    <w:rsid w:val="00FB3CAF"/>
    <w:rsid w:val="00FB40C5"/>
    <w:rsid w:val="00FB4745"/>
    <w:rsid w:val="00FB4845"/>
    <w:rsid w:val="00FB500E"/>
    <w:rsid w:val="00FB51CF"/>
    <w:rsid w:val="00FB5824"/>
    <w:rsid w:val="00FB60F9"/>
    <w:rsid w:val="00FB68BD"/>
    <w:rsid w:val="00FB6AE2"/>
    <w:rsid w:val="00FB6CD9"/>
    <w:rsid w:val="00FB77EC"/>
    <w:rsid w:val="00FB7A18"/>
    <w:rsid w:val="00FB7ED6"/>
    <w:rsid w:val="00FC0290"/>
    <w:rsid w:val="00FC0343"/>
    <w:rsid w:val="00FC0C85"/>
    <w:rsid w:val="00FC185A"/>
    <w:rsid w:val="00FC1F02"/>
    <w:rsid w:val="00FC214B"/>
    <w:rsid w:val="00FC21F8"/>
    <w:rsid w:val="00FC4417"/>
    <w:rsid w:val="00FC4520"/>
    <w:rsid w:val="00FC6224"/>
    <w:rsid w:val="00FC62BF"/>
    <w:rsid w:val="00FC653E"/>
    <w:rsid w:val="00FC6A82"/>
    <w:rsid w:val="00FD00A8"/>
    <w:rsid w:val="00FD0718"/>
    <w:rsid w:val="00FD1AC4"/>
    <w:rsid w:val="00FD1D1F"/>
    <w:rsid w:val="00FD2DAB"/>
    <w:rsid w:val="00FD3E59"/>
    <w:rsid w:val="00FD5241"/>
    <w:rsid w:val="00FD6071"/>
    <w:rsid w:val="00FD6695"/>
    <w:rsid w:val="00FD6CB7"/>
    <w:rsid w:val="00FD7298"/>
    <w:rsid w:val="00FD74B0"/>
    <w:rsid w:val="00FD76EA"/>
    <w:rsid w:val="00FD7B5B"/>
    <w:rsid w:val="00FD7F28"/>
    <w:rsid w:val="00FE05B1"/>
    <w:rsid w:val="00FE07E4"/>
    <w:rsid w:val="00FE0B0D"/>
    <w:rsid w:val="00FE0BF7"/>
    <w:rsid w:val="00FE0EAB"/>
    <w:rsid w:val="00FE0EBF"/>
    <w:rsid w:val="00FE17D6"/>
    <w:rsid w:val="00FE2281"/>
    <w:rsid w:val="00FE2BE8"/>
    <w:rsid w:val="00FE3C4F"/>
    <w:rsid w:val="00FE4574"/>
    <w:rsid w:val="00FE45EE"/>
    <w:rsid w:val="00FE4E87"/>
    <w:rsid w:val="00FE4FBB"/>
    <w:rsid w:val="00FE51B8"/>
    <w:rsid w:val="00FE5540"/>
    <w:rsid w:val="00FE56AB"/>
    <w:rsid w:val="00FE646F"/>
    <w:rsid w:val="00FE7035"/>
    <w:rsid w:val="00FE712A"/>
    <w:rsid w:val="00FF04B6"/>
    <w:rsid w:val="00FF0B5A"/>
    <w:rsid w:val="00FF0E57"/>
    <w:rsid w:val="00FF18FC"/>
    <w:rsid w:val="00FF1C95"/>
    <w:rsid w:val="00FF1E8D"/>
    <w:rsid w:val="00FF2252"/>
    <w:rsid w:val="00FF2410"/>
    <w:rsid w:val="00FF2F72"/>
    <w:rsid w:val="00FF300F"/>
    <w:rsid w:val="00FF304F"/>
    <w:rsid w:val="00FF40D3"/>
    <w:rsid w:val="00FF4312"/>
    <w:rsid w:val="00FF4393"/>
    <w:rsid w:val="00FF46A9"/>
    <w:rsid w:val="00FF4842"/>
    <w:rsid w:val="00FF48CE"/>
    <w:rsid w:val="00FF4A2F"/>
    <w:rsid w:val="00FF4D20"/>
    <w:rsid w:val="00FF5379"/>
    <w:rsid w:val="00FF5463"/>
    <w:rsid w:val="00FF5F04"/>
    <w:rsid w:val="00FF6091"/>
    <w:rsid w:val="00FF6FE8"/>
    <w:rsid w:val="01B85BA2"/>
    <w:rsid w:val="034E04E5"/>
    <w:rsid w:val="06B703DF"/>
    <w:rsid w:val="079EAAA6"/>
    <w:rsid w:val="0C2340D2"/>
    <w:rsid w:val="11FF59B9"/>
    <w:rsid w:val="280F2978"/>
    <w:rsid w:val="3B74B4A0"/>
    <w:rsid w:val="4626BD8A"/>
    <w:rsid w:val="5072F942"/>
    <w:rsid w:val="5D933BC4"/>
    <w:rsid w:val="664CDE00"/>
    <w:rsid w:val="6FE879BC"/>
    <w:rsid w:val="71921285"/>
    <w:rsid w:val="7C065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C237B35-A955-458C-AC7B-11281779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C5"/>
  </w:style>
  <w:style w:type="paragraph" w:styleId="Heading1">
    <w:name w:val="heading 1"/>
    <w:basedOn w:val="Normal"/>
    <w:next w:val="Normal"/>
    <w:link w:val="Heading1Char"/>
    <w:uiPriority w:val="9"/>
    <w:qFormat/>
    <w:rsid w:val="00CA306D"/>
    <w:pPr>
      <w:keepNext/>
      <w:keepLines/>
      <w:spacing w:before="240" w:after="0" w:line="300" w:lineRule="auto"/>
      <w:outlineLvl w:val="0"/>
    </w:pPr>
    <w:rPr>
      <w:rFonts w:ascii="Arial" w:eastAsiaTheme="majorEastAsia" w:hAnsi="Arial" w:cstheme="majorBidi"/>
      <w:color w:val="00283E"/>
      <w:sz w:val="52"/>
      <w:szCs w:val="32"/>
    </w:rPr>
  </w:style>
  <w:style w:type="paragraph" w:styleId="Heading2">
    <w:name w:val="heading 2"/>
    <w:basedOn w:val="Normal"/>
    <w:next w:val="Normal"/>
    <w:link w:val="Heading2Char"/>
    <w:uiPriority w:val="9"/>
    <w:unhideWhenUsed/>
    <w:qFormat/>
    <w:rsid w:val="00F05F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7514"/>
    <w:pPr>
      <w:keepNext/>
      <w:keepLines/>
      <w:spacing w:before="40" w:after="0" w:line="300" w:lineRule="auto"/>
      <w:outlineLvl w:val="2"/>
    </w:pPr>
    <w:rPr>
      <w:rFonts w:ascii="Arial" w:eastAsiaTheme="majorEastAsia" w:hAnsi="Arial" w:cstheme="majorBidi"/>
      <w:color w:val="00283E"/>
      <w:sz w:val="36"/>
      <w:szCs w:val="24"/>
    </w:rPr>
  </w:style>
  <w:style w:type="paragraph" w:styleId="Heading4">
    <w:name w:val="heading 4"/>
    <w:basedOn w:val="Normal"/>
    <w:next w:val="Normal"/>
    <w:link w:val="Heading4Char"/>
    <w:uiPriority w:val="9"/>
    <w:unhideWhenUsed/>
    <w:qFormat/>
    <w:rsid w:val="00F328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361D"/>
    <w:pPr>
      <w:keepNext/>
      <w:keepLines/>
      <w:spacing w:before="40" w:after="0" w:line="300" w:lineRule="auto"/>
      <w:outlineLvl w:val="4"/>
    </w:pPr>
    <w:rPr>
      <w:rFonts w:ascii="Arial" w:eastAsiaTheme="majorEastAsia" w:hAnsi="Arial" w:cstheme="majorBidi"/>
      <w:b/>
      <w:color w:val="00283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06D"/>
  </w:style>
  <w:style w:type="paragraph" w:styleId="Footer">
    <w:name w:val="footer"/>
    <w:basedOn w:val="Normal"/>
    <w:link w:val="FooterChar"/>
    <w:uiPriority w:val="99"/>
    <w:unhideWhenUsed/>
    <w:rsid w:val="00CA3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06D"/>
  </w:style>
  <w:style w:type="paragraph" w:styleId="Title">
    <w:name w:val="Title"/>
    <w:basedOn w:val="Normal"/>
    <w:next w:val="Normal"/>
    <w:link w:val="TitleChar"/>
    <w:uiPriority w:val="10"/>
    <w:qFormat/>
    <w:rsid w:val="00CA306D"/>
    <w:pPr>
      <w:spacing w:before="240" w:after="0" w:line="240" w:lineRule="auto"/>
      <w:contextualSpacing/>
    </w:pPr>
    <w:rPr>
      <w:rFonts w:ascii="Arial" w:eastAsiaTheme="majorEastAsia" w:hAnsi="Arial" w:cstheme="majorBidi"/>
      <w:color w:val="005677"/>
      <w:spacing w:val="-10"/>
      <w:kern w:val="28"/>
      <w:sz w:val="72"/>
      <w:szCs w:val="56"/>
    </w:rPr>
  </w:style>
  <w:style w:type="character" w:customStyle="1" w:styleId="TitleChar">
    <w:name w:val="Title Char"/>
    <w:basedOn w:val="DefaultParagraphFont"/>
    <w:link w:val="Title"/>
    <w:uiPriority w:val="10"/>
    <w:rsid w:val="00CA306D"/>
    <w:rPr>
      <w:rFonts w:ascii="Arial" w:eastAsiaTheme="majorEastAsia" w:hAnsi="Arial" w:cstheme="majorBidi"/>
      <w:color w:val="005677"/>
      <w:spacing w:val="-10"/>
      <w:kern w:val="28"/>
      <w:sz w:val="72"/>
      <w:szCs w:val="56"/>
    </w:rPr>
  </w:style>
  <w:style w:type="character" w:customStyle="1" w:styleId="Heading1Char">
    <w:name w:val="Heading 1 Char"/>
    <w:basedOn w:val="DefaultParagraphFont"/>
    <w:link w:val="Heading1"/>
    <w:uiPriority w:val="9"/>
    <w:rsid w:val="00CA306D"/>
    <w:rPr>
      <w:rFonts w:ascii="Arial" w:eastAsiaTheme="majorEastAsia" w:hAnsi="Arial" w:cstheme="majorBidi"/>
      <w:color w:val="00283E"/>
      <w:sz w:val="52"/>
      <w:szCs w:val="32"/>
    </w:rPr>
  </w:style>
  <w:style w:type="paragraph" w:styleId="ListParagraph">
    <w:name w:val="List Paragraph"/>
    <w:aliases w:val="List Paragraph2,NFP GP Bulleted List,Recommendation,List Paragraph11,Bullet Point,Bullet points,Bulleted Para,Bulletr List Paragraph,Content descriptions,FooterText,L,NAST Quote,Paragraphe de liste1,bullet point list,numbered,列出段落,列出段落1"/>
    <w:basedOn w:val="Normal"/>
    <w:uiPriority w:val="34"/>
    <w:qFormat/>
    <w:rsid w:val="00E3713A"/>
    <w:pPr>
      <w:ind w:left="720"/>
      <w:contextualSpacing/>
    </w:pPr>
  </w:style>
  <w:style w:type="paragraph" w:styleId="FootnoteText">
    <w:name w:val="footnote text"/>
    <w:basedOn w:val="Normal"/>
    <w:link w:val="FootnoteTextChar"/>
    <w:uiPriority w:val="99"/>
    <w:unhideWhenUsed/>
    <w:rsid w:val="00E42E99"/>
    <w:pPr>
      <w:spacing w:after="0" w:line="240" w:lineRule="auto"/>
    </w:pPr>
    <w:rPr>
      <w:sz w:val="20"/>
      <w:szCs w:val="20"/>
    </w:rPr>
  </w:style>
  <w:style w:type="character" w:customStyle="1" w:styleId="FootnoteTextChar">
    <w:name w:val="Footnote Text Char"/>
    <w:basedOn w:val="DefaultParagraphFont"/>
    <w:link w:val="FootnoteText"/>
    <w:uiPriority w:val="99"/>
    <w:rsid w:val="00E42E99"/>
    <w:rPr>
      <w:sz w:val="20"/>
      <w:szCs w:val="20"/>
    </w:rPr>
  </w:style>
  <w:style w:type="character" w:styleId="FootnoteReference">
    <w:name w:val="footnote reference"/>
    <w:basedOn w:val="DefaultParagraphFont"/>
    <w:uiPriority w:val="99"/>
    <w:semiHidden/>
    <w:unhideWhenUsed/>
    <w:rsid w:val="00E42E99"/>
    <w:rPr>
      <w:vertAlign w:val="superscript"/>
    </w:rPr>
  </w:style>
  <w:style w:type="character" w:styleId="Hyperlink">
    <w:name w:val="Hyperlink"/>
    <w:basedOn w:val="DefaultParagraphFont"/>
    <w:uiPriority w:val="99"/>
    <w:unhideWhenUsed/>
    <w:rsid w:val="00421103"/>
    <w:rPr>
      <w:color w:val="0563C1" w:themeColor="hyperlink"/>
      <w:u w:val="single"/>
    </w:rPr>
  </w:style>
  <w:style w:type="paragraph" w:styleId="Caption">
    <w:name w:val="caption"/>
    <w:basedOn w:val="Normal"/>
    <w:next w:val="Normal"/>
    <w:link w:val="CaptionChar"/>
    <w:unhideWhenUsed/>
    <w:qFormat/>
    <w:rsid w:val="00C276AC"/>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6F630F"/>
    <w:rPr>
      <w:color w:val="954F72" w:themeColor="followedHyperlink"/>
      <w:u w:val="single"/>
    </w:rPr>
  </w:style>
  <w:style w:type="character" w:customStyle="1" w:styleId="Heading2Char">
    <w:name w:val="Heading 2 Char"/>
    <w:basedOn w:val="DefaultParagraphFont"/>
    <w:link w:val="Heading2"/>
    <w:uiPriority w:val="9"/>
    <w:rsid w:val="00F05F25"/>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89361D"/>
    <w:rPr>
      <w:rFonts w:ascii="Arial" w:eastAsiaTheme="majorEastAsia" w:hAnsi="Arial" w:cstheme="majorBidi"/>
      <w:b/>
      <w:color w:val="00283E"/>
    </w:rPr>
  </w:style>
  <w:style w:type="paragraph" w:styleId="Revision">
    <w:name w:val="Revision"/>
    <w:hidden/>
    <w:uiPriority w:val="99"/>
    <w:semiHidden/>
    <w:rsid w:val="00BA1BF1"/>
    <w:pPr>
      <w:spacing w:after="0" w:line="240" w:lineRule="auto"/>
    </w:pPr>
  </w:style>
  <w:style w:type="paragraph" w:styleId="BalloonText">
    <w:name w:val="Balloon Text"/>
    <w:basedOn w:val="Normal"/>
    <w:link w:val="BalloonTextChar"/>
    <w:uiPriority w:val="99"/>
    <w:semiHidden/>
    <w:unhideWhenUsed/>
    <w:rsid w:val="00BA1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BF1"/>
    <w:rPr>
      <w:rFonts w:ascii="Segoe UI" w:hAnsi="Segoe UI" w:cs="Segoe UI"/>
      <w:sz w:val="18"/>
      <w:szCs w:val="18"/>
    </w:rPr>
  </w:style>
  <w:style w:type="character" w:customStyle="1" w:styleId="Heading3Char">
    <w:name w:val="Heading 3 Char"/>
    <w:basedOn w:val="DefaultParagraphFont"/>
    <w:link w:val="Heading3"/>
    <w:uiPriority w:val="9"/>
    <w:rsid w:val="00A07514"/>
    <w:rPr>
      <w:rFonts w:ascii="Arial" w:eastAsiaTheme="majorEastAsia" w:hAnsi="Arial" w:cstheme="majorBidi"/>
      <w:color w:val="00283E"/>
      <w:sz w:val="36"/>
      <w:szCs w:val="24"/>
    </w:rPr>
  </w:style>
  <w:style w:type="paragraph" w:customStyle="1" w:styleId="Default">
    <w:name w:val="Default"/>
    <w:rsid w:val="00C53A7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F7893"/>
    <w:rPr>
      <w:sz w:val="16"/>
      <w:szCs w:val="16"/>
    </w:rPr>
  </w:style>
  <w:style w:type="paragraph" w:styleId="CommentText">
    <w:name w:val="annotation text"/>
    <w:basedOn w:val="Normal"/>
    <w:link w:val="CommentTextChar"/>
    <w:uiPriority w:val="99"/>
    <w:unhideWhenUsed/>
    <w:rsid w:val="003F7893"/>
    <w:pPr>
      <w:spacing w:line="240" w:lineRule="auto"/>
    </w:pPr>
    <w:rPr>
      <w:sz w:val="20"/>
      <w:szCs w:val="20"/>
    </w:rPr>
  </w:style>
  <w:style w:type="character" w:customStyle="1" w:styleId="CommentTextChar">
    <w:name w:val="Comment Text Char"/>
    <w:basedOn w:val="DefaultParagraphFont"/>
    <w:link w:val="CommentText"/>
    <w:uiPriority w:val="99"/>
    <w:rsid w:val="003F7893"/>
    <w:rPr>
      <w:sz w:val="20"/>
      <w:szCs w:val="20"/>
    </w:rPr>
  </w:style>
  <w:style w:type="paragraph" w:styleId="CommentSubject">
    <w:name w:val="annotation subject"/>
    <w:basedOn w:val="CommentText"/>
    <w:next w:val="CommentText"/>
    <w:link w:val="CommentSubjectChar"/>
    <w:uiPriority w:val="99"/>
    <w:semiHidden/>
    <w:unhideWhenUsed/>
    <w:rsid w:val="003F7893"/>
    <w:rPr>
      <w:b/>
      <w:bCs/>
    </w:rPr>
  </w:style>
  <w:style w:type="character" w:customStyle="1" w:styleId="CommentSubjectChar">
    <w:name w:val="Comment Subject Char"/>
    <w:basedOn w:val="CommentTextChar"/>
    <w:link w:val="CommentSubject"/>
    <w:uiPriority w:val="99"/>
    <w:semiHidden/>
    <w:rsid w:val="003F7893"/>
    <w:rPr>
      <w:b/>
      <w:bCs/>
      <w:sz w:val="20"/>
      <w:szCs w:val="20"/>
    </w:rPr>
  </w:style>
  <w:style w:type="paragraph" w:styleId="NormalWeb">
    <w:name w:val="Normal (Web)"/>
    <w:basedOn w:val="Normal"/>
    <w:uiPriority w:val="99"/>
    <w:unhideWhenUsed/>
    <w:rsid w:val="002063CB"/>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eading4Char">
    <w:name w:val="Heading 4 Char"/>
    <w:basedOn w:val="DefaultParagraphFont"/>
    <w:link w:val="Heading4"/>
    <w:uiPriority w:val="9"/>
    <w:rsid w:val="00F328AD"/>
    <w:rPr>
      <w:rFonts w:asciiTheme="majorHAnsi" w:eastAsiaTheme="majorEastAsia" w:hAnsiTheme="majorHAnsi" w:cstheme="majorBidi"/>
      <w:i/>
      <w:iCs/>
      <w:color w:val="2E74B5" w:themeColor="accent1" w:themeShade="BF"/>
    </w:rPr>
  </w:style>
  <w:style w:type="paragraph" w:customStyle="1" w:styleId="CABNETParagraph">
    <w:name w:val="CABNET Paragraph."/>
    <w:basedOn w:val="Normal"/>
    <w:link w:val="CABNETParagraphChar"/>
    <w:uiPriority w:val="98"/>
    <w:qFormat/>
    <w:rsid w:val="00C253B3"/>
    <w:pPr>
      <w:spacing w:before="120" w:after="120" w:line="240" w:lineRule="auto"/>
    </w:pPr>
    <w:rPr>
      <w:rFonts w:ascii="Arial" w:hAnsi="Arial" w:cstheme="minorHAnsi"/>
    </w:rPr>
  </w:style>
  <w:style w:type="character" w:customStyle="1" w:styleId="CABNETParagraphChar">
    <w:name w:val="CABNET Paragraph. Char"/>
    <w:basedOn w:val="DefaultParagraphFont"/>
    <w:link w:val="CABNETParagraph"/>
    <w:uiPriority w:val="98"/>
    <w:rsid w:val="00C253B3"/>
    <w:rPr>
      <w:rFonts w:ascii="Arial" w:hAnsi="Arial" w:cstheme="minorHAnsi"/>
    </w:rPr>
  </w:style>
  <w:style w:type="paragraph" w:customStyle="1" w:styleId="ProtectiveMarking">
    <w:name w:val="Protective Marking"/>
    <w:uiPriority w:val="15"/>
    <w:semiHidden/>
    <w:qFormat/>
    <w:rsid w:val="00C349D4"/>
    <w:pPr>
      <w:spacing w:after="0" w:line="240" w:lineRule="auto"/>
      <w:jc w:val="center"/>
    </w:pPr>
    <w:rPr>
      <w:rFonts w:ascii="Arial" w:hAnsi="Arial"/>
      <w:b/>
      <w:color w:val="FF0000"/>
      <w:sz w:val="30"/>
    </w:rPr>
  </w:style>
  <w:style w:type="table" w:styleId="LightGrid-Accent2">
    <w:name w:val="Light Grid Accent 2"/>
    <w:basedOn w:val="TableNormal"/>
    <w:uiPriority w:val="62"/>
    <w:rsid w:val="007F7F96"/>
    <w:pPr>
      <w:spacing w:after="0" w:line="240" w:lineRule="auto"/>
    </w:pPr>
    <w:rPr>
      <w:rFonts w:eastAsiaTheme="minorEastAsia"/>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TableText">
    <w:name w:val="TableText"/>
    <w:basedOn w:val="Normal"/>
    <w:qFormat/>
    <w:rsid w:val="007F7F96"/>
    <w:pPr>
      <w:spacing w:before="120" w:after="120" w:line="240" w:lineRule="auto"/>
    </w:pPr>
    <w:rPr>
      <w:rFonts w:ascii="Arial" w:eastAsiaTheme="majorEastAsia" w:hAnsi="Arial" w:cs="Arial"/>
      <w:bCs/>
      <w:sz w:val="20"/>
      <w:szCs w:val="20"/>
    </w:rPr>
  </w:style>
  <w:style w:type="paragraph" w:styleId="TOCHeading">
    <w:name w:val="TOC Heading"/>
    <w:basedOn w:val="Heading1"/>
    <w:next w:val="Normal"/>
    <w:uiPriority w:val="39"/>
    <w:unhideWhenUsed/>
    <w:qFormat/>
    <w:rsid w:val="002E5FF1"/>
    <w:pPr>
      <w:spacing w:line="259" w:lineRule="auto"/>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2E5FF1"/>
    <w:pPr>
      <w:spacing w:after="100"/>
    </w:pPr>
  </w:style>
  <w:style w:type="paragraph" w:styleId="TOC2">
    <w:name w:val="toc 2"/>
    <w:basedOn w:val="Normal"/>
    <w:next w:val="Normal"/>
    <w:autoRedefine/>
    <w:uiPriority w:val="39"/>
    <w:unhideWhenUsed/>
    <w:rsid w:val="002E5FF1"/>
    <w:pPr>
      <w:spacing w:after="100"/>
      <w:ind w:left="220"/>
    </w:pPr>
  </w:style>
  <w:style w:type="table" w:styleId="TableGrid">
    <w:name w:val="Table Grid"/>
    <w:basedOn w:val="TableNormal"/>
    <w:uiPriority w:val="39"/>
    <w:rsid w:val="00E0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226FE"/>
    <w:pPr>
      <w:spacing w:after="100"/>
      <w:ind w:left="440"/>
    </w:pPr>
  </w:style>
  <w:style w:type="paragraph" w:customStyle="1" w:styleId="FrontMatter">
    <w:name w:val="Front Matter"/>
    <w:basedOn w:val="Heading3"/>
    <w:link w:val="FrontMatterChar"/>
    <w:qFormat/>
    <w:rsid w:val="00EF6FFB"/>
    <w:pPr>
      <w:outlineLvl w:val="0"/>
    </w:pPr>
    <w:rPr>
      <w:rFonts w:cs="Arial"/>
      <w:bCs/>
      <w:color w:val="FFFFFF" w:themeColor="background1"/>
      <w:sz w:val="22"/>
      <w:lang w:val="en"/>
    </w:rPr>
  </w:style>
  <w:style w:type="paragraph" w:customStyle="1" w:styleId="FrontMatter2">
    <w:name w:val="Front Matter 2"/>
    <w:basedOn w:val="FrontMatter"/>
    <w:next w:val="Heading4"/>
    <w:link w:val="FrontMatter2Char"/>
    <w:qFormat/>
    <w:rsid w:val="00EF6FFB"/>
    <w:pPr>
      <w:outlineLvl w:val="1"/>
    </w:pPr>
    <w:rPr>
      <w:color w:val="000000" w:themeColor="text1"/>
      <w:sz w:val="28"/>
    </w:rPr>
  </w:style>
  <w:style w:type="character" w:customStyle="1" w:styleId="FrontMatterChar">
    <w:name w:val="Front Matter Char"/>
    <w:basedOn w:val="Heading3Char"/>
    <w:link w:val="FrontMatter"/>
    <w:rsid w:val="00EF6FFB"/>
    <w:rPr>
      <w:rFonts w:ascii="Arial" w:eastAsiaTheme="majorEastAsia" w:hAnsi="Arial" w:cs="Arial"/>
      <w:bCs/>
      <w:color w:val="FFFFFF" w:themeColor="background1"/>
      <w:sz w:val="36"/>
      <w:szCs w:val="24"/>
      <w:lang w:val="en"/>
    </w:rPr>
  </w:style>
  <w:style w:type="character" w:customStyle="1" w:styleId="FrontMatter2Char">
    <w:name w:val="Front Matter 2 Char"/>
    <w:basedOn w:val="FrontMatterChar"/>
    <w:link w:val="FrontMatter2"/>
    <w:rsid w:val="00EF6FFB"/>
    <w:rPr>
      <w:rFonts w:ascii="Arial" w:eastAsiaTheme="majorEastAsia" w:hAnsi="Arial" w:cs="Arial"/>
      <w:bCs/>
      <w:color w:val="000000" w:themeColor="text1"/>
      <w:sz w:val="28"/>
      <w:szCs w:val="24"/>
      <w:lang w:val="en"/>
    </w:rPr>
  </w:style>
  <w:style w:type="paragraph" w:customStyle="1" w:styleId="Box">
    <w:name w:val="Box"/>
    <w:basedOn w:val="Caption"/>
    <w:link w:val="BoxChar"/>
    <w:qFormat/>
    <w:rsid w:val="00B244D1"/>
    <w:pPr>
      <w:pBdr>
        <w:top w:val="single" w:sz="2" w:space="1" w:color="373737"/>
      </w:pBdr>
    </w:pPr>
    <w:rPr>
      <w:color w:val="005677"/>
      <w:sz w:val="24"/>
    </w:rPr>
  </w:style>
  <w:style w:type="paragraph" w:customStyle="1" w:styleId="Source">
    <w:name w:val="Source"/>
    <w:basedOn w:val="Normal"/>
    <w:next w:val="BodyText"/>
    <w:link w:val="SourceChar"/>
    <w:qFormat/>
    <w:rsid w:val="0095124D"/>
    <w:pPr>
      <w:keepLines/>
      <w:pBdr>
        <w:bottom w:val="single" w:sz="4" w:space="1" w:color="595A5B"/>
      </w:pBdr>
      <w:spacing w:before="60" w:after="360" w:line="270" w:lineRule="exact"/>
      <w:jc w:val="both"/>
    </w:pPr>
    <w:rPr>
      <w:rFonts w:ascii="Arial" w:eastAsia="Times New Roman" w:hAnsi="Arial" w:cs="Arial"/>
      <w:color w:val="005CAF"/>
      <w:sz w:val="16"/>
      <w:szCs w:val="20"/>
      <w:lang w:val="en"/>
    </w:rPr>
  </w:style>
  <w:style w:type="character" w:customStyle="1" w:styleId="CaptionChar">
    <w:name w:val="Caption Char"/>
    <w:basedOn w:val="DefaultParagraphFont"/>
    <w:link w:val="Caption"/>
    <w:rsid w:val="0095124D"/>
    <w:rPr>
      <w:i/>
      <w:iCs/>
      <w:color w:val="44546A" w:themeColor="text2"/>
      <w:sz w:val="18"/>
      <w:szCs w:val="18"/>
    </w:rPr>
  </w:style>
  <w:style w:type="character" w:customStyle="1" w:styleId="BoxChar">
    <w:name w:val="Box Char"/>
    <w:basedOn w:val="CaptionChar"/>
    <w:link w:val="Box"/>
    <w:rsid w:val="00B244D1"/>
    <w:rPr>
      <w:i/>
      <w:iCs/>
      <w:color w:val="005677"/>
      <w:sz w:val="24"/>
      <w:szCs w:val="18"/>
    </w:rPr>
  </w:style>
  <w:style w:type="character" w:customStyle="1" w:styleId="SourceChar">
    <w:name w:val="Source Char"/>
    <w:basedOn w:val="DefaultParagraphFont"/>
    <w:link w:val="Source"/>
    <w:rsid w:val="0095124D"/>
    <w:rPr>
      <w:rFonts w:ascii="Arial" w:eastAsia="Times New Roman" w:hAnsi="Arial" w:cs="Arial"/>
      <w:color w:val="005CAF"/>
      <w:sz w:val="16"/>
      <w:szCs w:val="20"/>
      <w:lang w:val="en"/>
    </w:rPr>
  </w:style>
  <w:style w:type="paragraph" w:styleId="BodyText">
    <w:name w:val="Body Text"/>
    <w:basedOn w:val="Normal"/>
    <w:link w:val="BodyTextChar"/>
    <w:uiPriority w:val="99"/>
    <w:semiHidden/>
    <w:unhideWhenUsed/>
    <w:rsid w:val="0095124D"/>
    <w:pPr>
      <w:spacing w:after="120"/>
    </w:pPr>
  </w:style>
  <w:style w:type="character" w:customStyle="1" w:styleId="BodyTextChar">
    <w:name w:val="Body Text Char"/>
    <w:basedOn w:val="DefaultParagraphFont"/>
    <w:link w:val="BodyText"/>
    <w:uiPriority w:val="99"/>
    <w:semiHidden/>
    <w:rsid w:val="00951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8220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21">
          <w:marLeft w:val="0"/>
          <w:marRight w:val="0"/>
          <w:marTop w:val="0"/>
          <w:marBottom w:val="0"/>
          <w:divBdr>
            <w:top w:val="none" w:sz="0" w:space="0" w:color="auto"/>
            <w:left w:val="none" w:sz="0" w:space="0" w:color="auto"/>
            <w:bottom w:val="none" w:sz="0" w:space="0" w:color="auto"/>
            <w:right w:val="none" w:sz="0" w:space="0" w:color="auto"/>
          </w:divBdr>
          <w:divsChild>
            <w:div w:id="154030426">
              <w:marLeft w:val="0"/>
              <w:marRight w:val="0"/>
              <w:marTop w:val="0"/>
              <w:marBottom w:val="0"/>
              <w:divBdr>
                <w:top w:val="none" w:sz="0" w:space="0" w:color="auto"/>
                <w:left w:val="none" w:sz="0" w:space="0" w:color="auto"/>
                <w:bottom w:val="none" w:sz="0" w:space="0" w:color="auto"/>
                <w:right w:val="none" w:sz="0" w:space="0" w:color="auto"/>
              </w:divBdr>
              <w:divsChild>
                <w:div w:id="18755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4265">
      <w:bodyDiv w:val="1"/>
      <w:marLeft w:val="0"/>
      <w:marRight w:val="0"/>
      <w:marTop w:val="0"/>
      <w:marBottom w:val="0"/>
      <w:divBdr>
        <w:top w:val="none" w:sz="0" w:space="0" w:color="auto"/>
        <w:left w:val="none" w:sz="0" w:space="0" w:color="auto"/>
        <w:bottom w:val="none" w:sz="0" w:space="0" w:color="auto"/>
        <w:right w:val="none" w:sz="0" w:space="0" w:color="auto"/>
      </w:divBdr>
    </w:div>
    <w:div w:id="403718455">
      <w:bodyDiv w:val="1"/>
      <w:marLeft w:val="0"/>
      <w:marRight w:val="0"/>
      <w:marTop w:val="0"/>
      <w:marBottom w:val="0"/>
      <w:divBdr>
        <w:top w:val="none" w:sz="0" w:space="0" w:color="auto"/>
        <w:left w:val="none" w:sz="0" w:space="0" w:color="auto"/>
        <w:bottom w:val="none" w:sz="0" w:space="0" w:color="auto"/>
        <w:right w:val="none" w:sz="0" w:space="0" w:color="auto"/>
      </w:divBdr>
    </w:div>
    <w:div w:id="685405811">
      <w:bodyDiv w:val="1"/>
      <w:marLeft w:val="0"/>
      <w:marRight w:val="0"/>
      <w:marTop w:val="0"/>
      <w:marBottom w:val="0"/>
      <w:divBdr>
        <w:top w:val="none" w:sz="0" w:space="0" w:color="auto"/>
        <w:left w:val="none" w:sz="0" w:space="0" w:color="auto"/>
        <w:bottom w:val="none" w:sz="0" w:space="0" w:color="auto"/>
        <w:right w:val="none" w:sz="0" w:space="0" w:color="auto"/>
      </w:divBdr>
    </w:div>
    <w:div w:id="771779963">
      <w:bodyDiv w:val="1"/>
      <w:marLeft w:val="0"/>
      <w:marRight w:val="0"/>
      <w:marTop w:val="0"/>
      <w:marBottom w:val="0"/>
      <w:divBdr>
        <w:top w:val="none" w:sz="0" w:space="0" w:color="auto"/>
        <w:left w:val="none" w:sz="0" w:space="0" w:color="auto"/>
        <w:bottom w:val="none" w:sz="0" w:space="0" w:color="auto"/>
        <w:right w:val="none" w:sz="0" w:space="0" w:color="auto"/>
      </w:divBdr>
    </w:div>
    <w:div w:id="811480973">
      <w:bodyDiv w:val="1"/>
      <w:marLeft w:val="0"/>
      <w:marRight w:val="0"/>
      <w:marTop w:val="0"/>
      <w:marBottom w:val="0"/>
      <w:divBdr>
        <w:top w:val="none" w:sz="0" w:space="0" w:color="auto"/>
        <w:left w:val="none" w:sz="0" w:space="0" w:color="auto"/>
        <w:bottom w:val="none" w:sz="0" w:space="0" w:color="auto"/>
        <w:right w:val="none" w:sz="0" w:space="0" w:color="auto"/>
      </w:divBdr>
      <w:divsChild>
        <w:div w:id="943653629">
          <w:marLeft w:val="0"/>
          <w:marRight w:val="0"/>
          <w:marTop w:val="0"/>
          <w:marBottom w:val="0"/>
          <w:divBdr>
            <w:top w:val="none" w:sz="0" w:space="0" w:color="auto"/>
            <w:left w:val="none" w:sz="0" w:space="0" w:color="auto"/>
            <w:bottom w:val="none" w:sz="0" w:space="0" w:color="auto"/>
            <w:right w:val="none" w:sz="0" w:space="0" w:color="auto"/>
          </w:divBdr>
          <w:divsChild>
            <w:div w:id="441650008">
              <w:marLeft w:val="0"/>
              <w:marRight w:val="0"/>
              <w:marTop w:val="0"/>
              <w:marBottom w:val="0"/>
              <w:divBdr>
                <w:top w:val="none" w:sz="0" w:space="0" w:color="auto"/>
                <w:left w:val="none" w:sz="0" w:space="0" w:color="auto"/>
                <w:bottom w:val="none" w:sz="0" w:space="0" w:color="auto"/>
                <w:right w:val="none" w:sz="0" w:space="0" w:color="auto"/>
              </w:divBdr>
              <w:divsChild>
                <w:div w:id="1540583866">
                  <w:marLeft w:val="0"/>
                  <w:marRight w:val="0"/>
                  <w:marTop w:val="0"/>
                  <w:marBottom w:val="0"/>
                  <w:divBdr>
                    <w:top w:val="none" w:sz="0" w:space="0" w:color="auto"/>
                    <w:left w:val="none" w:sz="0" w:space="0" w:color="auto"/>
                    <w:bottom w:val="none" w:sz="0" w:space="0" w:color="auto"/>
                    <w:right w:val="none" w:sz="0" w:space="0" w:color="auto"/>
                  </w:divBdr>
                  <w:divsChild>
                    <w:div w:id="690449555">
                      <w:marLeft w:val="0"/>
                      <w:marRight w:val="0"/>
                      <w:marTop w:val="0"/>
                      <w:marBottom w:val="0"/>
                      <w:divBdr>
                        <w:top w:val="none" w:sz="0" w:space="0" w:color="auto"/>
                        <w:left w:val="none" w:sz="0" w:space="0" w:color="auto"/>
                        <w:bottom w:val="none" w:sz="0" w:space="0" w:color="auto"/>
                        <w:right w:val="none" w:sz="0" w:space="0" w:color="auto"/>
                      </w:divBdr>
                      <w:divsChild>
                        <w:div w:id="1350139570">
                          <w:marLeft w:val="0"/>
                          <w:marRight w:val="0"/>
                          <w:marTop w:val="0"/>
                          <w:marBottom w:val="0"/>
                          <w:divBdr>
                            <w:top w:val="none" w:sz="0" w:space="0" w:color="auto"/>
                            <w:left w:val="none" w:sz="0" w:space="0" w:color="auto"/>
                            <w:bottom w:val="none" w:sz="0" w:space="0" w:color="auto"/>
                            <w:right w:val="none" w:sz="0" w:space="0" w:color="auto"/>
                          </w:divBdr>
                          <w:divsChild>
                            <w:div w:id="513348198">
                              <w:marLeft w:val="0"/>
                              <w:marRight w:val="0"/>
                              <w:marTop w:val="0"/>
                              <w:marBottom w:val="100"/>
                              <w:divBdr>
                                <w:top w:val="none" w:sz="0" w:space="0" w:color="auto"/>
                                <w:left w:val="none" w:sz="0" w:space="0" w:color="auto"/>
                                <w:bottom w:val="none" w:sz="0" w:space="0" w:color="auto"/>
                                <w:right w:val="none" w:sz="0" w:space="0" w:color="auto"/>
                              </w:divBdr>
                              <w:divsChild>
                                <w:div w:id="182136185">
                                  <w:marLeft w:val="0"/>
                                  <w:marRight w:val="0"/>
                                  <w:marTop w:val="0"/>
                                  <w:marBottom w:val="0"/>
                                  <w:divBdr>
                                    <w:top w:val="none" w:sz="0" w:space="0" w:color="auto"/>
                                    <w:left w:val="none" w:sz="0" w:space="0" w:color="auto"/>
                                    <w:bottom w:val="none" w:sz="0" w:space="0" w:color="auto"/>
                                    <w:right w:val="none" w:sz="0" w:space="0" w:color="auto"/>
                                  </w:divBdr>
                                  <w:divsChild>
                                    <w:div w:id="1516306662">
                                      <w:marLeft w:val="0"/>
                                      <w:marRight w:val="0"/>
                                      <w:marTop w:val="0"/>
                                      <w:marBottom w:val="0"/>
                                      <w:divBdr>
                                        <w:top w:val="none" w:sz="0" w:space="0" w:color="auto"/>
                                        <w:left w:val="none" w:sz="0" w:space="0" w:color="auto"/>
                                        <w:bottom w:val="none" w:sz="0" w:space="0" w:color="auto"/>
                                        <w:right w:val="none" w:sz="0" w:space="0" w:color="auto"/>
                                      </w:divBdr>
                                      <w:divsChild>
                                        <w:div w:id="571936658">
                                          <w:marLeft w:val="0"/>
                                          <w:marRight w:val="0"/>
                                          <w:marTop w:val="0"/>
                                          <w:marBottom w:val="0"/>
                                          <w:divBdr>
                                            <w:top w:val="none" w:sz="0" w:space="0" w:color="auto"/>
                                            <w:left w:val="none" w:sz="0" w:space="0" w:color="auto"/>
                                            <w:bottom w:val="none" w:sz="0" w:space="0" w:color="auto"/>
                                            <w:right w:val="none" w:sz="0" w:space="0" w:color="auto"/>
                                          </w:divBdr>
                                          <w:divsChild>
                                            <w:div w:id="783814611">
                                              <w:marLeft w:val="0"/>
                                              <w:marRight w:val="0"/>
                                              <w:marTop w:val="0"/>
                                              <w:marBottom w:val="0"/>
                                              <w:divBdr>
                                                <w:top w:val="none" w:sz="0" w:space="0" w:color="auto"/>
                                                <w:left w:val="none" w:sz="0" w:space="0" w:color="auto"/>
                                                <w:bottom w:val="none" w:sz="0" w:space="0" w:color="auto"/>
                                                <w:right w:val="none" w:sz="0" w:space="0" w:color="auto"/>
                                              </w:divBdr>
                                              <w:divsChild>
                                                <w:div w:id="668022719">
                                                  <w:marLeft w:val="0"/>
                                                  <w:marRight w:val="0"/>
                                                  <w:marTop w:val="0"/>
                                                  <w:marBottom w:val="0"/>
                                                  <w:divBdr>
                                                    <w:top w:val="none" w:sz="0" w:space="0" w:color="auto"/>
                                                    <w:left w:val="none" w:sz="0" w:space="0" w:color="auto"/>
                                                    <w:bottom w:val="none" w:sz="0" w:space="0" w:color="auto"/>
                                                    <w:right w:val="none" w:sz="0" w:space="0" w:color="auto"/>
                                                  </w:divBdr>
                                                  <w:divsChild>
                                                    <w:div w:id="18243848">
                                                      <w:marLeft w:val="0"/>
                                                      <w:marRight w:val="0"/>
                                                      <w:marTop w:val="0"/>
                                                      <w:marBottom w:val="0"/>
                                                      <w:divBdr>
                                                        <w:top w:val="none" w:sz="0" w:space="0" w:color="auto"/>
                                                        <w:left w:val="none" w:sz="0" w:space="0" w:color="auto"/>
                                                        <w:bottom w:val="none" w:sz="0" w:space="0" w:color="auto"/>
                                                        <w:right w:val="none" w:sz="0" w:space="0" w:color="auto"/>
                                                      </w:divBdr>
                                                      <w:divsChild>
                                                        <w:div w:id="1675762907">
                                                          <w:marLeft w:val="0"/>
                                                          <w:marRight w:val="0"/>
                                                          <w:marTop w:val="0"/>
                                                          <w:marBottom w:val="300"/>
                                                          <w:divBdr>
                                                            <w:top w:val="single" w:sz="6" w:space="11" w:color="C0C0C0"/>
                                                            <w:left w:val="single" w:sz="6" w:space="8" w:color="C0C0C0"/>
                                                            <w:bottom w:val="single" w:sz="6" w:space="0" w:color="C0C0C0"/>
                                                            <w:right w:val="single" w:sz="6" w:space="8" w:color="C0C0C0"/>
                                                          </w:divBdr>
                                                        </w:div>
                                                      </w:divsChild>
                                                    </w:div>
                                                  </w:divsChild>
                                                </w:div>
                                              </w:divsChild>
                                            </w:div>
                                          </w:divsChild>
                                        </w:div>
                                      </w:divsChild>
                                    </w:div>
                                  </w:divsChild>
                                </w:div>
                              </w:divsChild>
                            </w:div>
                          </w:divsChild>
                        </w:div>
                      </w:divsChild>
                    </w:div>
                  </w:divsChild>
                </w:div>
              </w:divsChild>
            </w:div>
          </w:divsChild>
        </w:div>
      </w:divsChild>
    </w:div>
    <w:div w:id="951791215">
      <w:bodyDiv w:val="1"/>
      <w:marLeft w:val="0"/>
      <w:marRight w:val="0"/>
      <w:marTop w:val="0"/>
      <w:marBottom w:val="0"/>
      <w:divBdr>
        <w:top w:val="none" w:sz="0" w:space="0" w:color="auto"/>
        <w:left w:val="none" w:sz="0" w:space="0" w:color="auto"/>
        <w:bottom w:val="none" w:sz="0" w:space="0" w:color="auto"/>
        <w:right w:val="none" w:sz="0" w:space="0" w:color="auto"/>
      </w:divBdr>
      <w:divsChild>
        <w:div w:id="1873883928">
          <w:marLeft w:val="0"/>
          <w:marRight w:val="0"/>
          <w:marTop w:val="0"/>
          <w:marBottom w:val="0"/>
          <w:divBdr>
            <w:top w:val="none" w:sz="0" w:space="0" w:color="auto"/>
            <w:left w:val="none" w:sz="0" w:space="0" w:color="auto"/>
            <w:bottom w:val="single" w:sz="6" w:space="0" w:color="0C64A0"/>
            <w:right w:val="none" w:sz="0" w:space="0" w:color="auto"/>
          </w:divBdr>
          <w:divsChild>
            <w:div w:id="1981373369">
              <w:marLeft w:val="0"/>
              <w:marRight w:val="0"/>
              <w:marTop w:val="0"/>
              <w:marBottom w:val="0"/>
              <w:divBdr>
                <w:top w:val="none" w:sz="0" w:space="0" w:color="auto"/>
                <w:left w:val="none" w:sz="0" w:space="0" w:color="auto"/>
                <w:bottom w:val="none" w:sz="0" w:space="0" w:color="auto"/>
                <w:right w:val="none" w:sz="0" w:space="0" w:color="auto"/>
              </w:divBdr>
              <w:divsChild>
                <w:div w:id="1412893313">
                  <w:marLeft w:val="0"/>
                  <w:marRight w:val="0"/>
                  <w:marTop w:val="0"/>
                  <w:marBottom w:val="0"/>
                  <w:divBdr>
                    <w:top w:val="none" w:sz="0" w:space="0" w:color="auto"/>
                    <w:left w:val="none" w:sz="0" w:space="0" w:color="auto"/>
                    <w:bottom w:val="none" w:sz="0" w:space="0" w:color="auto"/>
                    <w:right w:val="none" w:sz="0" w:space="0" w:color="auto"/>
                  </w:divBdr>
                  <w:divsChild>
                    <w:div w:id="863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34708">
      <w:bodyDiv w:val="1"/>
      <w:marLeft w:val="0"/>
      <w:marRight w:val="0"/>
      <w:marTop w:val="0"/>
      <w:marBottom w:val="0"/>
      <w:divBdr>
        <w:top w:val="none" w:sz="0" w:space="0" w:color="auto"/>
        <w:left w:val="none" w:sz="0" w:space="0" w:color="auto"/>
        <w:bottom w:val="none" w:sz="0" w:space="0" w:color="auto"/>
        <w:right w:val="none" w:sz="0" w:space="0" w:color="auto"/>
      </w:divBdr>
      <w:divsChild>
        <w:div w:id="1350369315">
          <w:marLeft w:val="0"/>
          <w:marRight w:val="0"/>
          <w:marTop w:val="0"/>
          <w:marBottom w:val="0"/>
          <w:divBdr>
            <w:top w:val="none" w:sz="0" w:space="0" w:color="auto"/>
            <w:left w:val="none" w:sz="0" w:space="0" w:color="auto"/>
            <w:bottom w:val="none" w:sz="0" w:space="0" w:color="auto"/>
            <w:right w:val="none" w:sz="0" w:space="0" w:color="auto"/>
          </w:divBdr>
          <w:divsChild>
            <w:div w:id="1199968386">
              <w:marLeft w:val="0"/>
              <w:marRight w:val="0"/>
              <w:marTop w:val="0"/>
              <w:marBottom w:val="0"/>
              <w:divBdr>
                <w:top w:val="none" w:sz="0" w:space="0" w:color="auto"/>
                <w:left w:val="none" w:sz="0" w:space="0" w:color="auto"/>
                <w:bottom w:val="none" w:sz="0" w:space="0" w:color="auto"/>
                <w:right w:val="none" w:sz="0" w:space="0" w:color="auto"/>
              </w:divBdr>
              <w:divsChild>
                <w:div w:id="309335694">
                  <w:marLeft w:val="0"/>
                  <w:marRight w:val="0"/>
                  <w:marTop w:val="0"/>
                  <w:marBottom w:val="0"/>
                  <w:divBdr>
                    <w:top w:val="none" w:sz="0" w:space="0" w:color="auto"/>
                    <w:left w:val="none" w:sz="0" w:space="0" w:color="auto"/>
                    <w:bottom w:val="none" w:sz="0" w:space="0" w:color="auto"/>
                    <w:right w:val="none" w:sz="0" w:space="0" w:color="auto"/>
                  </w:divBdr>
                  <w:divsChild>
                    <w:div w:id="1047754984">
                      <w:marLeft w:val="0"/>
                      <w:marRight w:val="0"/>
                      <w:marTop w:val="0"/>
                      <w:marBottom w:val="0"/>
                      <w:divBdr>
                        <w:top w:val="none" w:sz="0" w:space="0" w:color="auto"/>
                        <w:left w:val="none" w:sz="0" w:space="0" w:color="auto"/>
                        <w:bottom w:val="none" w:sz="0" w:space="0" w:color="auto"/>
                        <w:right w:val="none" w:sz="0" w:space="0" w:color="auto"/>
                      </w:divBdr>
                      <w:divsChild>
                        <w:div w:id="527061096">
                          <w:marLeft w:val="0"/>
                          <w:marRight w:val="0"/>
                          <w:marTop w:val="0"/>
                          <w:marBottom w:val="0"/>
                          <w:divBdr>
                            <w:top w:val="none" w:sz="0" w:space="0" w:color="auto"/>
                            <w:left w:val="none" w:sz="0" w:space="0" w:color="auto"/>
                            <w:bottom w:val="none" w:sz="0" w:space="0" w:color="auto"/>
                            <w:right w:val="none" w:sz="0" w:space="0" w:color="auto"/>
                          </w:divBdr>
                          <w:divsChild>
                            <w:div w:id="2034188443">
                              <w:marLeft w:val="0"/>
                              <w:marRight w:val="0"/>
                              <w:marTop w:val="0"/>
                              <w:marBottom w:val="100"/>
                              <w:divBdr>
                                <w:top w:val="none" w:sz="0" w:space="0" w:color="auto"/>
                                <w:left w:val="none" w:sz="0" w:space="0" w:color="auto"/>
                                <w:bottom w:val="none" w:sz="0" w:space="0" w:color="auto"/>
                                <w:right w:val="none" w:sz="0" w:space="0" w:color="auto"/>
                              </w:divBdr>
                              <w:divsChild>
                                <w:div w:id="1518734567">
                                  <w:marLeft w:val="0"/>
                                  <w:marRight w:val="0"/>
                                  <w:marTop w:val="0"/>
                                  <w:marBottom w:val="0"/>
                                  <w:divBdr>
                                    <w:top w:val="none" w:sz="0" w:space="0" w:color="auto"/>
                                    <w:left w:val="none" w:sz="0" w:space="0" w:color="auto"/>
                                    <w:bottom w:val="none" w:sz="0" w:space="0" w:color="auto"/>
                                    <w:right w:val="none" w:sz="0" w:space="0" w:color="auto"/>
                                  </w:divBdr>
                                  <w:divsChild>
                                    <w:div w:id="1474562224">
                                      <w:marLeft w:val="0"/>
                                      <w:marRight w:val="0"/>
                                      <w:marTop w:val="0"/>
                                      <w:marBottom w:val="0"/>
                                      <w:divBdr>
                                        <w:top w:val="none" w:sz="0" w:space="0" w:color="auto"/>
                                        <w:left w:val="none" w:sz="0" w:space="0" w:color="auto"/>
                                        <w:bottom w:val="none" w:sz="0" w:space="0" w:color="auto"/>
                                        <w:right w:val="none" w:sz="0" w:space="0" w:color="auto"/>
                                      </w:divBdr>
                                      <w:divsChild>
                                        <w:div w:id="1453788006">
                                          <w:marLeft w:val="0"/>
                                          <w:marRight w:val="0"/>
                                          <w:marTop w:val="0"/>
                                          <w:marBottom w:val="0"/>
                                          <w:divBdr>
                                            <w:top w:val="none" w:sz="0" w:space="0" w:color="auto"/>
                                            <w:left w:val="none" w:sz="0" w:space="0" w:color="auto"/>
                                            <w:bottom w:val="none" w:sz="0" w:space="0" w:color="auto"/>
                                            <w:right w:val="none" w:sz="0" w:space="0" w:color="auto"/>
                                          </w:divBdr>
                                          <w:divsChild>
                                            <w:div w:id="1297182550">
                                              <w:marLeft w:val="0"/>
                                              <w:marRight w:val="0"/>
                                              <w:marTop w:val="0"/>
                                              <w:marBottom w:val="0"/>
                                              <w:divBdr>
                                                <w:top w:val="none" w:sz="0" w:space="0" w:color="auto"/>
                                                <w:left w:val="none" w:sz="0" w:space="0" w:color="auto"/>
                                                <w:bottom w:val="none" w:sz="0" w:space="0" w:color="auto"/>
                                                <w:right w:val="none" w:sz="0" w:space="0" w:color="auto"/>
                                              </w:divBdr>
                                              <w:divsChild>
                                                <w:div w:id="1352416345">
                                                  <w:marLeft w:val="0"/>
                                                  <w:marRight w:val="0"/>
                                                  <w:marTop w:val="0"/>
                                                  <w:marBottom w:val="0"/>
                                                  <w:divBdr>
                                                    <w:top w:val="none" w:sz="0" w:space="0" w:color="auto"/>
                                                    <w:left w:val="none" w:sz="0" w:space="0" w:color="auto"/>
                                                    <w:bottom w:val="none" w:sz="0" w:space="0" w:color="auto"/>
                                                    <w:right w:val="none" w:sz="0" w:space="0" w:color="auto"/>
                                                  </w:divBdr>
                                                  <w:divsChild>
                                                    <w:div w:id="591277171">
                                                      <w:marLeft w:val="0"/>
                                                      <w:marRight w:val="0"/>
                                                      <w:marTop w:val="0"/>
                                                      <w:marBottom w:val="0"/>
                                                      <w:divBdr>
                                                        <w:top w:val="none" w:sz="0" w:space="0" w:color="auto"/>
                                                        <w:left w:val="none" w:sz="0" w:space="0" w:color="auto"/>
                                                        <w:bottom w:val="none" w:sz="0" w:space="0" w:color="auto"/>
                                                        <w:right w:val="none" w:sz="0" w:space="0" w:color="auto"/>
                                                      </w:divBdr>
                                                      <w:divsChild>
                                                        <w:div w:id="628321539">
                                                          <w:marLeft w:val="0"/>
                                                          <w:marRight w:val="0"/>
                                                          <w:marTop w:val="0"/>
                                                          <w:marBottom w:val="300"/>
                                                          <w:divBdr>
                                                            <w:top w:val="single" w:sz="6" w:space="11" w:color="C0C0C0"/>
                                                            <w:left w:val="single" w:sz="6" w:space="8" w:color="C0C0C0"/>
                                                            <w:bottom w:val="single" w:sz="6" w:space="0" w:color="C0C0C0"/>
                                                            <w:right w:val="single" w:sz="6" w:space="8" w:color="C0C0C0"/>
                                                          </w:divBdr>
                                                        </w:div>
                                                      </w:divsChild>
                                                    </w:div>
                                                  </w:divsChild>
                                                </w:div>
                                              </w:divsChild>
                                            </w:div>
                                          </w:divsChild>
                                        </w:div>
                                      </w:divsChild>
                                    </w:div>
                                  </w:divsChild>
                                </w:div>
                              </w:divsChild>
                            </w:div>
                          </w:divsChild>
                        </w:div>
                      </w:divsChild>
                    </w:div>
                  </w:divsChild>
                </w:div>
              </w:divsChild>
            </w:div>
          </w:divsChild>
        </w:div>
      </w:divsChild>
    </w:div>
    <w:div w:id="1011449310">
      <w:bodyDiv w:val="1"/>
      <w:marLeft w:val="0"/>
      <w:marRight w:val="0"/>
      <w:marTop w:val="0"/>
      <w:marBottom w:val="0"/>
      <w:divBdr>
        <w:top w:val="none" w:sz="0" w:space="0" w:color="auto"/>
        <w:left w:val="none" w:sz="0" w:space="0" w:color="auto"/>
        <w:bottom w:val="none" w:sz="0" w:space="0" w:color="auto"/>
        <w:right w:val="none" w:sz="0" w:space="0" w:color="auto"/>
      </w:divBdr>
      <w:divsChild>
        <w:div w:id="230968537">
          <w:marLeft w:val="0"/>
          <w:marRight w:val="0"/>
          <w:marTop w:val="0"/>
          <w:marBottom w:val="0"/>
          <w:divBdr>
            <w:top w:val="none" w:sz="0" w:space="0" w:color="auto"/>
            <w:left w:val="none" w:sz="0" w:space="0" w:color="auto"/>
            <w:bottom w:val="none" w:sz="0" w:space="0" w:color="auto"/>
            <w:right w:val="none" w:sz="0" w:space="0" w:color="auto"/>
          </w:divBdr>
          <w:divsChild>
            <w:div w:id="1925531383">
              <w:marLeft w:val="0"/>
              <w:marRight w:val="0"/>
              <w:marTop w:val="0"/>
              <w:marBottom w:val="0"/>
              <w:divBdr>
                <w:top w:val="none" w:sz="0" w:space="0" w:color="auto"/>
                <w:left w:val="none" w:sz="0" w:space="0" w:color="auto"/>
                <w:bottom w:val="none" w:sz="0" w:space="0" w:color="auto"/>
                <w:right w:val="none" w:sz="0" w:space="0" w:color="auto"/>
              </w:divBdr>
              <w:divsChild>
                <w:div w:id="171652573">
                  <w:marLeft w:val="0"/>
                  <w:marRight w:val="0"/>
                  <w:marTop w:val="0"/>
                  <w:marBottom w:val="0"/>
                  <w:divBdr>
                    <w:top w:val="none" w:sz="0" w:space="0" w:color="auto"/>
                    <w:left w:val="none" w:sz="0" w:space="0" w:color="auto"/>
                    <w:bottom w:val="none" w:sz="0" w:space="0" w:color="auto"/>
                    <w:right w:val="none" w:sz="0" w:space="0" w:color="auto"/>
                  </w:divBdr>
                  <w:divsChild>
                    <w:div w:id="442189676">
                      <w:marLeft w:val="0"/>
                      <w:marRight w:val="0"/>
                      <w:marTop w:val="45"/>
                      <w:marBottom w:val="0"/>
                      <w:divBdr>
                        <w:top w:val="none" w:sz="0" w:space="0" w:color="auto"/>
                        <w:left w:val="none" w:sz="0" w:space="0" w:color="auto"/>
                        <w:bottom w:val="none" w:sz="0" w:space="0" w:color="auto"/>
                        <w:right w:val="none" w:sz="0" w:space="0" w:color="auto"/>
                      </w:divBdr>
                      <w:divsChild>
                        <w:div w:id="868182014">
                          <w:marLeft w:val="0"/>
                          <w:marRight w:val="0"/>
                          <w:marTop w:val="0"/>
                          <w:marBottom w:val="0"/>
                          <w:divBdr>
                            <w:top w:val="none" w:sz="0" w:space="0" w:color="auto"/>
                            <w:left w:val="none" w:sz="0" w:space="0" w:color="auto"/>
                            <w:bottom w:val="none" w:sz="0" w:space="0" w:color="auto"/>
                            <w:right w:val="none" w:sz="0" w:space="0" w:color="auto"/>
                          </w:divBdr>
                          <w:divsChild>
                            <w:div w:id="1492982110">
                              <w:marLeft w:val="2070"/>
                              <w:marRight w:val="3960"/>
                              <w:marTop w:val="0"/>
                              <w:marBottom w:val="0"/>
                              <w:divBdr>
                                <w:top w:val="none" w:sz="0" w:space="0" w:color="auto"/>
                                <w:left w:val="none" w:sz="0" w:space="0" w:color="auto"/>
                                <w:bottom w:val="none" w:sz="0" w:space="0" w:color="auto"/>
                                <w:right w:val="none" w:sz="0" w:space="0" w:color="auto"/>
                              </w:divBdr>
                              <w:divsChild>
                                <w:div w:id="107623880">
                                  <w:marLeft w:val="0"/>
                                  <w:marRight w:val="0"/>
                                  <w:marTop w:val="0"/>
                                  <w:marBottom w:val="0"/>
                                  <w:divBdr>
                                    <w:top w:val="none" w:sz="0" w:space="0" w:color="auto"/>
                                    <w:left w:val="none" w:sz="0" w:space="0" w:color="auto"/>
                                    <w:bottom w:val="none" w:sz="0" w:space="0" w:color="auto"/>
                                    <w:right w:val="none" w:sz="0" w:space="0" w:color="auto"/>
                                  </w:divBdr>
                                  <w:divsChild>
                                    <w:div w:id="857280276">
                                      <w:marLeft w:val="0"/>
                                      <w:marRight w:val="0"/>
                                      <w:marTop w:val="0"/>
                                      <w:marBottom w:val="0"/>
                                      <w:divBdr>
                                        <w:top w:val="none" w:sz="0" w:space="0" w:color="auto"/>
                                        <w:left w:val="none" w:sz="0" w:space="0" w:color="auto"/>
                                        <w:bottom w:val="none" w:sz="0" w:space="0" w:color="auto"/>
                                        <w:right w:val="none" w:sz="0" w:space="0" w:color="auto"/>
                                      </w:divBdr>
                                      <w:divsChild>
                                        <w:div w:id="795753204">
                                          <w:marLeft w:val="0"/>
                                          <w:marRight w:val="0"/>
                                          <w:marTop w:val="0"/>
                                          <w:marBottom w:val="0"/>
                                          <w:divBdr>
                                            <w:top w:val="none" w:sz="0" w:space="0" w:color="auto"/>
                                            <w:left w:val="none" w:sz="0" w:space="0" w:color="auto"/>
                                            <w:bottom w:val="none" w:sz="0" w:space="0" w:color="auto"/>
                                            <w:right w:val="none" w:sz="0" w:space="0" w:color="auto"/>
                                          </w:divBdr>
                                          <w:divsChild>
                                            <w:div w:id="341012132">
                                              <w:marLeft w:val="0"/>
                                              <w:marRight w:val="0"/>
                                              <w:marTop w:val="90"/>
                                              <w:marBottom w:val="0"/>
                                              <w:divBdr>
                                                <w:top w:val="none" w:sz="0" w:space="0" w:color="auto"/>
                                                <w:left w:val="none" w:sz="0" w:space="0" w:color="auto"/>
                                                <w:bottom w:val="none" w:sz="0" w:space="0" w:color="auto"/>
                                                <w:right w:val="none" w:sz="0" w:space="0" w:color="auto"/>
                                              </w:divBdr>
                                              <w:divsChild>
                                                <w:div w:id="644891470">
                                                  <w:marLeft w:val="0"/>
                                                  <w:marRight w:val="0"/>
                                                  <w:marTop w:val="0"/>
                                                  <w:marBottom w:val="0"/>
                                                  <w:divBdr>
                                                    <w:top w:val="none" w:sz="0" w:space="0" w:color="auto"/>
                                                    <w:left w:val="none" w:sz="0" w:space="0" w:color="auto"/>
                                                    <w:bottom w:val="none" w:sz="0" w:space="0" w:color="auto"/>
                                                    <w:right w:val="none" w:sz="0" w:space="0" w:color="auto"/>
                                                  </w:divBdr>
                                                  <w:divsChild>
                                                    <w:div w:id="983119660">
                                                      <w:marLeft w:val="0"/>
                                                      <w:marRight w:val="0"/>
                                                      <w:marTop w:val="0"/>
                                                      <w:marBottom w:val="0"/>
                                                      <w:divBdr>
                                                        <w:top w:val="none" w:sz="0" w:space="0" w:color="auto"/>
                                                        <w:left w:val="none" w:sz="0" w:space="0" w:color="auto"/>
                                                        <w:bottom w:val="none" w:sz="0" w:space="0" w:color="auto"/>
                                                        <w:right w:val="none" w:sz="0" w:space="0" w:color="auto"/>
                                                      </w:divBdr>
                                                      <w:divsChild>
                                                        <w:div w:id="1857766133">
                                                          <w:marLeft w:val="0"/>
                                                          <w:marRight w:val="0"/>
                                                          <w:marTop w:val="0"/>
                                                          <w:marBottom w:val="0"/>
                                                          <w:divBdr>
                                                            <w:top w:val="none" w:sz="0" w:space="0" w:color="auto"/>
                                                            <w:left w:val="none" w:sz="0" w:space="0" w:color="auto"/>
                                                            <w:bottom w:val="none" w:sz="0" w:space="0" w:color="auto"/>
                                                            <w:right w:val="none" w:sz="0" w:space="0" w:color="auto"/>
                                                          </w:divBdr>
                                                          <w:divsChild>
                                                            <w:div w:id="1602102507">
                                                              <w:marLeft w:val="0"/>
                                                              <w:marRight w:val="0"/>
                                                              <w:marTop w:val="0"/>
                                                              <w:marBottom w:val="390"/>
                                                              <w:divBdr>
                                                                <w:top w:val="none" w:sz="0" w:space="0" w:color="auto"/>
                                                                <w:left w:val="none" w:sz="0" w:space="0" w:color="auto"/>
                                                                <w:bottom w:val="none" w:sz="0" w:space="0" w:color="auto"/>
                                                                <w:right w:val="none" w:sz="0" w:space="0" w:color="auto"/>
                                                              </w:divBdr>
                                                              <w:divsChild>
                                                                <w:div w:id="166990652">
                                                                  <w:marLeft w:val="0"/>
                                                                  <w:marRight w:val="0"/>
                                                                  <w:marTop w:val="0"/>
                                                                  <w:marBottom w:val="0"/>
                                                                  <w:divBdr>
                                                                    <w:top w:val="none" w:sz="0" w:space="0" w:color="auto"/>
                                                                    <w:left w:val="none" w:sz="0" w:space="0" w:color="auto"/>
                                                                    <w:bottom w:val="none" w:sz="0" w:space="0" w:color="auto"/>
                                                                    <w:right w:val="none" w:sz="0" w:space="0" w:color="auto"/>
                                                                  </w:divBdr>
                                                                  <w:divsChild>
                                                                    <w:div w:id="1696157031">
                                                                      <w:marLeft w:val="0"/>
                                                                      <w:marRight w:val="0"/>
                                                                      <w:marTop w:val="0"/>
                                                                      <w:marBottom w:val="0"/>
                                                                      <w:divBdr>
                                                                        <w:top w:val="none" w:sz="0" w:space="0" w:color="auto"/>
                                                                        <w:left w:val="none" w:sz="0" w:space="0" w:color="auto"/>
                                                                        <w:bottom w:val="none" w:sz="0" w:space="0" w:color="auto"/>
                                                                        <w:right w:val="none" w:sz="0" w:space="0" w:color="auto"/>
                                                                      </w:divBdr>
                                                                      <w:divsChild>
                                                                        <w:div w:id="168755793">
                                                                          <w:marLeft w:val="0"/>
                                                                          <w:marRight w:val="0"/>
                                                                          <w:marTop w:val="0"/>
                                                                          <w:marBottom w:val="0"/>
                                                                          <w:divBdr>
                                                                            <w:top w:val="none" w:sz="0" w:space="0" w:color="auto"/>
                                                                            <w:left w:val="none" w:sz="0" w:space="0" w:color="auto"/>
                                                                            <w:bottom w:val="none" w:sz="0" w:space="0" w:color="auto"/>
                                                                            <w:right w:val="none" w:sz="0" w:space="0" w:color="auto"/>
                                                                          </w:divBdr>
                                                                          <w:divsChild>
                                                                            <w:div w:id="810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43744">
                                                              <w:marLeft w:val="0"/>
                                                              <w:marRight w:val="0"/>
                                                              <w:marTop w:val="0"/>
                                                              <w:marBottom w:val="390"/>
                                                              <w:divBdr>
                                                                <w:top w:val="none" w:sz="0" w:space="0" w:color="auto"/>
                                                                <w:left w:val="none" w:sz="0" w:space="0" w:color="auto"/>
                                                                <w:bottom w:val="none" w:sz="0" w:space="0" w:color="auto"/>
                                                                <w:right w:val="none" w:sz="0" w:space="0" w:color="auto"/>
                                                              </w:divBdr>
                                                              <w:divsChild>
                                                                <w:div w:id="2105148517">
                                                                  <w:marLeft w:val="0"/>
                                                                  <w:marRight w:val="0"/>
                                                                  <w:marTop w:val="0"/>
                                                                  <w:marBottom w:val="0"/>
                                                                  <w:divBdr>
                                                                    <w:top w:val="none" w:sz="0" w:space="0" w:color="auto"/>
                                                                    <w:left w:val="none" w:sz="0" w:space="0" w:color="auto"/>
                                                                    <w:bottom w:val="none" w:sz="0" w:space="0" w:color="auto"/>
                                                                    <w:right w:val="none" w:sz="0" w:space="0" w:color="auto"/>
                                                                  </w:divBdr>
                                                                  <w:divsChild>
                                                                    <w:div w:id="480582865">
                                                                      <w:marLeft w:val="0"/>
                                                                      <w:marRight w:val="0"/>
                                                                      <w:marTop w:val="0"/>
                                                                      <w:marBottom w:val="0"/>
                                                                      <w:divBdr>
                                                                        <w:top w:val="none" w:sz="0" w:space="0" w:color="auto"/>
                                                                        <w:left w:val="none" w:sz="0" w:space="0" w:color="auto"/>
                                                                        <w:bottom w:val="none" w:sz="0" w:space="0" w:color="auto"/>
                                                                        <w:right w:val="none" w:sz="0" w:space="0" w:color="auto"/>
                                                                      </w:divBdr>
                                                                      <w:divsChild>
                                                                        <w:div w:id="8129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9231742">
      <w:bodyDiv w:val="1"/>
      <w:marLeft w:val="0"/>
      <w:marRight w:val="0"/>
      <w:marTop w:val="0"/>
      <w:marBottom w:val="0"/>
      <w:divBdr>
        <w:top w:val="none" w:sz="0" w:space="0" w:color="auto"/>
        <w:left w:val="none" w:sz="0" w:space="0" w:color="auto"/>
        <w:bottom w:val="none" w:sz="0" w:space="0" w:color="auto"/>
        <w:right w:val="none" w:sz="0" w:space="0" w:color="auto"/>
      </w:divBdr>
    </w:div>
    <w:div w:id="1214195116">
      <w:bodyDiv w:val="1"/>
      <w:marLeft w:val="0"/>
      <w:marRight w:val="0"/>
      <w:marTop w:val="0"/>
      <w:marBottom w:val="0"/>
      <w:divBdr>
        <w:top w:val="none" w:sz="0" w:space="0" w:color="auto"/>
        <w:left w:val="none" w:sz="0" w:space="0" w:color="auto"/>
        <w:bottom w:val="none" w:sz="0" w:space="0" w:color="auto"/>
        <w:right w:val="none" w:sz="0" w:space="0" w:color="auto"/>
      </w:divBdr>
      <w:divsChild>
        <w:div w:id="2110923947">
          <w:marLeft w:val="0"/>
          <w:marRight w:val="0"/>
          <w:marTop w:val="0"/>
          <w:marBottom w:val="0"/>
          <w:divBdr>
            <w:top w:val="none" w:sz="0" w:space="0" w:color="auto"/>
            <w:left w:val="none" w:sz="0" w:space="0" w:color="auto"/>
            <w:bottom w:val="single" w:sz="6" w:space="0" w:color="0C64A0"/>
            <w:right w:val="none" w:sz="0" w:space="0" w:color="auto"/>
          </w:divBdr>
          <w:divsChild>
            <w:div w:id="1252395332">
              <w:marLeft w:val="0"/>
              <w:marRight w:val="0"/>
              <w:marTop w:val="0"/>
              <w:marBottom w:val="0"/>
              <w:divBdr>
                <w:top w:val="none" w:sz="0" w:space="0" w:color="auto"/>
                <w:left w:val="none" w:sz="0" w:space="0" w:color="auto"/>
                <w:bottom w:val="none" w:sz="0" w:space="0" w:color="auto"/>
                <w:right w:val="none" w:sz="0" w:space="0" w:color="auto"/>
              </w:divBdr>
              <w:divsChild>
                <w:div w:id="804659294">
                  <w:marLeft w:val="0"/>
                  <w:marRight w:val="0"/>
                  <w:marTop w:val="0"/>
                  <w:marBottom w:val="0"/>
                  <w:divBdr>
                    <w:top w:val="none" w:sz="0" w:space="0" w:color="auto"/>
                    <w:left w:val="none" w:sz="0" w:space="0" w:color="auto"/>
                    <w:bottom w:val="none" w:sz="0" w:space="0" w:color="auto"/>
                    <w:right w:val="none" w:sz="0" w:space="0" w:color="auto"/>
                  </w:divBdr>
                  <w:divsChild>
                    <w:div w:id="12058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58863">
      <w:bodyDiv w:val="1"/>
      <w:marLeft w:val="0"/>
      <w:marRight w:val="0"/>
      <w:marTop w:val="0"/>
      <w:marBottom w:val="0"/>
      <w:divBdr>
        <w:top w:val="none" w:sz="0" w:space="0" w:color="auto"/>
        <w:left w:val="none" w:sz="0" w:space="0" w:color="auto"/>
        <w:bottom w:val="none" w:sz="0" w:space="0" w:color="auto"/>
        <w:right w:val="none" w:sz="0" w:space="0" w:color="auto"/>
      </w:divBdr>
    </w:div>
    <w:div w:id="1544445992">
      <w:bodyDiv w:val="1"/>
      <w:marLeft w:val="0"/>
      <w:marRight w:val="0"/>
      <w:marTop w:val="0"/>
      <w:marBottom w:val="0"/>
      <w:divBdr>
        <w:top w:val="none" w:sz="0" w:space="0" w:color="auto"/>
        <w:left w:val="none" w:sz="0" w:space="0" w:color="auto"/>
        <w:bottom w:val="none" w:sz="0" w:space="0" w:color="auto"/>
        <w:right w:val="none" w:sz="0" w:space="0" w:color="auto"/>
      </w:divBdr>
      <w:divsChild>
        <w:div w:id="258756466">
          <w:marLeft w:val="0"/>
          <w:marRight w:val="0"/>
          <w:marTop w:val="0"/>
          <w:marBottom w:val="0"/>
          <w:divBdr>
            <w:top w:val="none" w:sz="0" w:space="0" w:color="auto"/>
            <w:left w:val="none" w:sz="0" w:space="0" w:color="auto"/>
            <w:bottom w:val="none" w:sz="0" w:space="0" w:color="auto"/>
            <w:right w:val="none" w:sz="0" w:space="0" w:color="auto"/>
          </w:divBdr>
          <w:divsChild>
            <w:div w:id="1846557577">
              <w:marLeft w:val="0"/>
              <w:marRight w:val="0"/>
              <w:marTop w:val="0"/>
              <w:marBottom w:val="0"/>
              <w:divBdr>
                <w:top w:val="none" w:sz="0" w:space="0" w:color="auto"/>
                <w:left w:val="none" w:sz="0" w:space="0" w:color="auto"/>
                <w:bottom w:val="none" w:sz="0" w:space="0" w:color="auto"/>
                <w:right w:val="none" w:sz="0" w:space="0" w:color="auto"/>
              </w:divBdr>
              <w:divsChild>
                <w:div w:id="13363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87201">
      <w:bodyDiv w:val="1"/>
      <w:marLeft w:val="0"/>
      <w:marRight w:val="0"/>
      <w:marTop w:val="0"/>
      <w:marBottom w:val="0"/>
      <w:divBdr>
        <w:top w:val="none" w:sz="0" w:space="0" w:color="auto"/>
        <w:left w:val="none" w:sz="0" w:space="0" w:color="auto"/>
        <w:bottom w:val="none" w:sz="0" w:space="0" w:color="auto"/>
        <w:right w:val="none" w:sz="0" w:space="0" w:color="auto"/>
      </w:divBdr>
    </w:div>
    <w:div w:id="1796562831">
      <w:bodyDiv w:val="1"/>
      <w:marLeft w:val="0"/>
      <w:marRight w:val="0"/>
      <w:marTop w:val="0"/>
      <w:marBottom w:val="0"/>
      <w:divBdr>
        <w:top w:val="none" w:sz="0" w:space="0" w:color="auto"/>
        <w:left w:val="none" w:sz="0" w:space="0" w:color="auto"/>
        <w:bottom w:val="none" w:sz="0" w:space="0" w:color="auto"/>
        <w:right w:val="none" w:sz="0" w:space="0" w:color="auto"/>
      </w:divBdr>
      <w:divsChild>
        <w:div w:id="449976004">
          <w:marLeft w:val="0"/>
          <w:marRight w:val="0"/>
          <w:marTop w:val="0"/>
          <w:marBottom w:val="0"/>
          <w:divBdr>
            <w:top w:val="none" w:sz="0" w:space="0" w:color="auto"/>
            <w:left w:val="none" w:sz="0" w:space="0" w:color="auto"/>
            <w:bottom w:val="none" w:sz="0" w:space="0" w:color="auto"/>
            <w:right w:val="none" w:sz="0" w:space="0" w:color="auto"/>
          </w:divBdr>
          <w:divsChild>
            <w:div w:id="1290163964">
              <w:marLeft w:val="0"/>
              <w:marRight w:val="0"/>
              <w:marTop w:val="0"/>
              <w:marBottom w:val="0"/>
              <w:divBdr>
                <w:top w:val="none" w:sz="0" w:space="0" w:color="auto"/>
                <w:left w:val="none" w:sz="0" w:space="0" w:color="auto"/>
                <w:bottom w:val="none" w:sz="0" w:space="0" w:color="auto"/>
                <w:right w:val="none" w:sz="0" w:space="0" w:color="auto"/>
              </w:divBdr>
              <w:divsChild>
                <w:div w:id="692997741">
                  <w:marLeft w:val="0"/>
                  <w:marRight w:val="0"/>
                  <w:marTop w:val="0"/>
                  <w:marBottom w:val="0"/>
                  <w:divBdr>
                    <w:top w:val="none" w:sz="0" w:space="0" w:color="auto"/>
                    <w:left w:val="none" w:sz="0" w:space="0" w:color="auto"/>
                    <w:bottom w:val="none" w:sz="0" w:space="0" w:color="auto"/>
                    <w:right w:val="none" w:sz="0" w:space="0" w:color="auto"/>
                  </w:divBdr>
                  <w:divsChild>
                    <w:div w:id="856426871">
                      <w:marLeft w:val="0"/>
                      <w:marRight w:val="0"/>
                      <w:marTop w:val="0"/>
                      <w:marBottom w:val="0"/>
                      <w:divBdr>
                        <w:top w:val="none" w:sz="0" w:space="0" w:color="auto"/>
                        <w:left w:val="none" w:sz="0" w:space="0" w:color="auto"/>
                        <w:bottom w:val="none" w:sz="0" w:space="0" w:color="auto"/>
                        <w:right w:val="none" w:sz="0" w:space="0" w:color="auto"/>
                      </w:divBdr>
                      <w:divsChild>
                        <w:div w:id="653218032">
                          <w:marLeft w:val="0"/>
                          <w:marRight w:val="0"/>
                          <w:marTop w:val="0"/>
                          <w:marBottom w:val="0"/>
                          <w:divBdr>
                            <w:top w:val="none" w:sz="0" w:space="0" w:color="auto"/>
                            <w:left w:val="none" w:sz="0" w:space="0" w:color="auto"/>
                            <w:bottom w:val="none" w:sz="0" w:space="0" w:color="auto"/>
                            <w:right w:val="none" w:sz="0" w:space="0" w:color="auto"/>
                          </w:divBdr>
                          <w:divsChild>
                            <w:div w:id="9700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201576">
      <w:bodyDiv w:val="1"/>
      <w:marLeft w:val="0"/>
      <w:marRight w:val="0"/>
      <w:marTop w:val="0"/>
      <w:marBottom w:val="0"/>
      <w:divBdr>
        <w:top w:val="none" w:sz="0" w:space="0" w:color="auto"/>
        <w:left w:val="none" w:sz="0" w:space="0" w:color="auto"/>
        <w:bottom w:val="none" w:sz="0" w:space="0" w:color="auto"/>
        <w:right w:val="none" w:sz="0" w:space="0" w:color="auto"/>
      </w:divBdr>
      <w:divsChild>
        <w:div w:id="2046253969">
          <w:marLeft w:val="0"/>
          <w:marRight w:val="0"/>
          <w:marTop w:val="0"/>
          <w:marBottom w:val="0"/>
          <w:divBdr>
            <w:top w:val="none" w:sz="0" w:space="0" w:color="auto"/>
            <w:left w:val="none" w:sz="0" w:space="0" w:color="auto"/>
            <w:bottom w:val="none" w:sz="0" w:space="0" w:color="auto"/>
            <w:right w:val="none" w:sz="0" w:space="0" w:color="auto"/>
          </w:divBdr>
          <w:divsChild>
            <w:div w:id="50350328">
              <w:marLeft w:val="0"/>
              <w:marRight w:val="0"/>
              <w:marTop w:val="0"/>
              <w:marBottom w:val="0"/>
              <w:divBdr>
                <w:top w:val="none" w:sz="0" w:space="0" w:color="auto"/>
                <w:left w:val="none" w:sz="0" w:space="0" w:color="auto"/>
                <w:bottom w:val="none" w:sz="0" w:space="0" w:color="auto"/>
                <w:right w:val="none" w:sz="0" w:space="0" w:color="auto"/>
              </w:divBdr>
              <w:divsChild>
                <w:div w:id="1078284931">
                  <w:marLeft w:val="0"/>
                  <w:marRight w:val="0"/>
                  <w:marTop w:val="0"/>
                  <w:marBottom w:val="0"/>
                  <w:divBdr>
                    <w:top w:val="none" w:sz="0" w:space="0" w:color="auto"/>
                    <w:left w:val="none" w:sz="0" w:space="0" w:color="auto"/>
                    <w:bottom w:val="none" w:sz="0" w:space="0" w:color="auto"/>
                    <w:right w:val="none" w:sz="0" w:space="0" w:color="auto"/>
                  </w:divBdr>
                  <w:divsChild>
                    <w:div w:id="3366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06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3.0/au/legalcode"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creativecommons.org/licenses/by/3.0/au/" TargetMode="External"/><Relationship Id="rId17" Type="http://schemas.openxmlformats.org/officeDocument/2006/relationships/hyperlink" Target="https://www.accc.gov.au/media-release/volkswagen-undertakes-to-fix-consumer-guarantees-approach" TargetMode="External"/><Relationship Id="rId2" Type="http://schemas.openxmlformats.org/officeDocument/2006/relationships/customXml" Target="../customXml/item2.xml"/><Relationship Id="rId16" Type="http://schemas.openxmlformats.org/officeDocument/2006/relationships/hyperlink" Target="mailto:AutomotiveFranchising@industry.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nsult.industry.gov.au/industry-growth/franchise-relationships-between-dist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ustry.gov.au/data-and-publications/privacy-polic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bc.net.au/news/2017-08-17/holden-shuts-down-franchises/8815564" TargetMode="External"/><Relationship Id="rId13" Type="http://schemas.openxmlformats.org/officeDocument/2006/relationships/hyperlink" Target="https://www.accc.gov.au/system/files/Australian%20Automotive%20Dealer%20Association%20-%20supplementary%20submission%20-%20October%202017_0.pdf" TargetMode="External"/><Relationship Id="rId18" Type="http://schemas.openxmlformats.org/officeDocument/2006/relationships/hyperlink" Target="https://www.stuff.co.nz/business/102686931/Toyota-NZ-ditches-dealerships-for-stores-in-big-changes-to-sales-methods" TargetMode="External"/><Relationship Id="rId3" Type="http://schemas.openxmlformats.org/officeDocument/2006/relationships/hyperlink" Target="https://static.treasury.gov.au/uploads/sites/1/2017/06/C2016-052_Australian-Automotive-Dealer-Association.pdf" TargetMode="External"/><Relationship Id="rId7" Type="http://schemas.openxmlformats.org/officeDocument/2006/relationships/hyperlink" Target="https://www.aph.gov.au/Parliamentary_Business/Committees/Joint/Corporations_and_Financial_Services/Completed_inquiries/2008-10/franchising/report/index" TargetMode="External"/><Relationship Id="rId12" Type="http://schemas.openxmlformats.org/officeDocument/2006/relationships/hyperlink" Target="https://www.accc.gov.au/system/files/NSW%2520Small%2520Business%2520Commissioner.pdf" TargetMode="External"/><Relationship Id="rId17" Type="http://schemas.openxmlformats.org/officeDocument/2006/relationships/hyperlink" Target="https://www.ey.com/Publication/vwLUAssets/EY-future-of-automotive-retail/$FILE/EY-future-of-automotive-retail.pdf" TargetMode="External"/><Relationship Id="rId2" Type="http://schemas.openxmlformats.org/officeDocument/2006/relationships/hyperlink" Target="https://docs.jobs.gov.au/system/files/doc/other/review_of_the_franchising_code_of_conduct.pdf" TargetMode="External"/><Relationship Id="rId16" Type="http://schemas.openxmlformats.org/officeDocument/2006/relationships/hyperlink" Target="https://www.legislation.gov.au/Details/F2014L01472/Explanatory%20Statement/Text" TargetMode="External"/><Relationship Id="rId1" Type="http://schemas.openxmlformats.org/officeDocument/2006/relationships/hyperlink" Target="https://www.accc.gov.au/system/files/New%20car%20retailing%20industry%20final%20report_0.pdf" TargetMode="External"/><Relationship Id="rId6" Type="http://schemas.openxmlformats.org/officeDocument/2006/relationships/hyperlink" Target="http://automotivedealer.com.au/the-changing-landscape-of-an-automotive-dealerships-profitability/" TargetMode="External"/><Relationship Id="rId11" Type="http://schemas.openxmlformats.org/officeDocument/2006/relationships/hyperlink" Target="https://static.treasury.gov.au/uploads/sites/1/2017/06/Australian-Competition-and-Consumer-Commission-Supplementary-Submission.pdf" TargetMode="External"/><Relationship Id="rId5" Type="http://schemas.openxmlformats.org/officeDocument/2006/relationships/hyperlink" Target="https://asic.gov.au/about-asic/news-centre/articles-and-responses/add-on-insurance-and-flex-commission-practices/" TargetMode="External"/><Relationship Id="rId15" Type="http://schemas.openxmlformats.org/officeDocument/2006/relationships/hyperlink" Target="http://archive.treasury.gov.au/documents/1131/PDF/final_report.pdf" TargetMode="External"/><Relationship Id="rId10" Type="http://schemas.openxmlformats.org/officeDocument/2006/relationships/hyperlink" Target="https://www.accc.gov.au/business/industry-codes/franchising-code-of-conduct/acting-in-good-faith" TargetMode="External"/><Relationship Id="rId19" Type="http://schemas.openxmlformats.org/officeDocument/2006/relationships/hyperlink" Target="https://www.mtaa.com.au/images/docs/brochure.pdf" TargetMode="External"/><Relationship Id="rId4" Type="http://schemas.openxmlformats.org/officeDocument/2006/relationships/hyperlink" Target="https://www.eprofitfocus.com/media/1440/055388_motor_industry_services_benchmark_au2018.pdf" TargetMode="External"/><Relationship Id="rId9" Type="http://schemas.openxmlformats.org/officeDocument/2006/relationships/hyperlink" Target="https://www.apeagers.com.au/apeagers-company-info/" TargetMode="External"/><Relationship Id="rId14" Type="http://schemas.openxmlformats.org/officeDocument/2006/relationships/hyperlink" Target="https://www.accc.gov.au/system/files/New%20South%20Wales%20Small%20Business%20Commissioner%20-%20September%2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5B2BF4A502CE7C44B694F58AE9AD4F76" ma:contentTypeVersion="" ma:contentTypeDescription="PDMS Documentation Content Type" ma:contentTypeScope="" ma:versionID="226a0fea5b13f8428a696314e6671ed9">
  <xsd:schema xmlns:xsd="http://www.w3.org/2001/XMLSchema" xmlns:xs="http://www.w3.org/2001/XMLSchema" xmlns:p="http://schemas.microsoft.com/office/2006/metadata/properties" xmlns:ns2="5E955CB1-51B5-418D-8DFA-91FE05DFFEE0" targetNamespace="http://schemas.microsoft.com/office/2006/metadata/properties" ma:root="true" ma:fieldsID="f90c62de28617818139ea24717322e13" ns2:_="">
    <xsd:import namespace="5E955CB1-51B5-418D-8DFA-91FE05DFFEE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55CB1-51B5-418D-8DFA-91FE05DFFEE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SecurityClassification xmlns="5E955CB1-51B5-418D-8DFA-91FE05DFFEE0" xsi:nil="true"/>
    <pdms_AttachedBy xmlns="5E955CB1-51B5-418D-8DFA-91FE05DFFEE0" xsi:nil="true"/>
    <SecurityClassification xmlns="5E955CB1-51B5-418D-8DFA-91FE05DFFEE0" xsi:nil="true"/>
    <pdms_Reason xmlns="5E955CB1-51B5-418D-8DFA-91FE05DFFEE0" xsi:nil="true"/>
    <pdms_DocumentType xmlns="5E955CB1-51B5-418D-8DFA-91FE05DFFE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B890-796A-48D6-977A-F3FB69F8B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55CB1-51B5-418D-8DFA-91FE05DF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10991-F1CD-4FC3-A241-C8475CB504E4}">
  <ds:schemaRefs>
    <ds:schemaRef ds:uri="http://schemas.microsoft.com/sharepoint/v3/contenttype/forms"/>
  </ds:schemaRefs>
</ds:datastoreItem>
</file>

<file path=customXml/itemProps3.xml><?xml version="1.0" encoding="utf-8"?>
<ds:datastoreItem xmlns:ds="http://schemas.openxmlformats.org/officeDocument/2006/customXml" ds:itemID="{578CC1C7-B5DA-45B3-89E2-438EFB27D4DC}">
  <ds:schemaRefs>
    <ds:schemaRef ds:uri="5E955CB1-51B5-418D-8DFA-91FE05DFF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D2CF586-C720-4729-B5B9-C924E2D9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14208</Words>
  <Characters>78708</Characters>
  <Application>Microsoft Office Word</Application>
  <DocSecurity>0</DocSecurity>
  <Lines>1403</Lines>
  <Paragraphs>494</Paragraphs>
  <ScaleCrop>false</ScaleCrop>
  <HeadingPairs>
    <vt:vector size="2" baseType="variant">
      <vt:variant>
        <vt:lpstr>Title</vt:lpstr>
      </vt:variant>
      <vt:variant>
        <vt:i4>1</vt:i4>
      </vt:variant>
    </vt:vector>
  </HeadingPairs>
  <TitlesOfParts>
    <vt:vector size="1" baseType="lpstr">
      <vt:lpstr>Franchise relationships between distributors and new car dealers</vt:lpstr>
    </vt:vector>
  </TitlesOfParts>
  <Company>Department of Industry, Innovation and Science</Company>
  <LinksUpToDate>false</LinksUpToDate>
  <CharactersWithSpaces>92607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relationships between distributors and new car dealers</dc:title>
  <dc:subject>Regulation Impact Statement</dc:subject>
  <dc:creator/>
  <cp:lastModifiedBy>Hill, Christine</cp:lastModifiedBy>
  <cp:revision>6</cp:revision>
  <cp:lastPrinted>2018-11-06T22:09:00Z</cp:lastPrinted>
  <dcterms:created xsi:type="dcterms:W3CDTF">2018-12-14T05:14:00Z</dcterms:created>
  <dcterms:modified xsi:type="dcterms:W3CDTF">2021-07-15T05:41:00Z</dcterms:modified>
</cp:coreProperties>
</file>