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eastAsia="Times New Roman" w:cs="Times New Roman"/>
          <w:b w:val="0"/>
          <w:color w:val="auto"/>
          <w:spacing w:val="0"/>
          <w:kern w:val="0"/>
          <w:sz w:val="22"/>
          <w:szCs w:val="20"/>
        </w:rPr>
        <w:id w:val="-385645642"/>
        <w:docPartObj>
          <w:docPartGallery w:val="Cover Pages"/>
          <w:docPartUnique/>
        </w:docPartObj>
      </w:sdtPr>
      <w:sdtEndPr>
        <w:rPr>
          <w:noProof/>
        </w:rPr>
      </w:sdtEndPr>
      <w:sdtContent>
        <w:p w14:paraId="29759499" w14:textId="10AB7380" w:rsidR="00604EEF" w:rsidRPr="00EC17D3" w:rsidRDefault="009A4F11" w:rsidP="00C472FE">
          <w:pPr>
            <w:pStyle w:val="Title"/>
            <w:rPr>
              <w:sz w:val="56"/>
              <w:szCs w:val="56"/>
            </w:rPr>
          </w:pPr>
          <w:r w:rsidRPr="00EC17D3">
            <w:rPr>
              <w:i/>
              <w:iCs/>
              <w:noProof/>
              <w:sz w:val="56"/>
              <w:szCs w:val="56"/>
            </w:rPr>
            <w:drawing>
              <wp:anchor distT="0" distB="0" distL="114300" distR="114300" simplePos="0" relativeHeight="251658240" behindDoc="1" locked="0" layoutInCell="1" allowOverlap="1" wp14:anchorId="4CAE2FFF" wp14:editId="65FD5EC0">
                <wp:simplePos x="0" y="0"/>
                <wp:positionH relativeFrom="page">
                  <wp:align>left</wp:align>
                </wp:positionH>
                <wp:positionV relativeFrom="paragraph">
                  <wp:posOffset>-1404620</wp:posOffset>
                </wp:positionV>
                <wp:extent cx="7548533" cy="1067752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tsheet headers.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548533" cy="10677522"/>
                        </a:xfrm>
                        <a:prstGeom prst="rect">
                          <a:avLst/>
                        </a:prstGeom>
                      </pic:spPr>
                    </pic:pic>
                  </a:graphicData>
                </a:graphic>
                <wp14:sizeRelH relativeFrom="page">
                  <wp14:pctWidth>0</wp14:pctWidth>
                </wp14:sizeRelH>
                <wp14:sizeRelV relativeFrom="page">
                  <wp14:pctHeight>0</wp14:pctHeight>
                </wp14:sizeRelV>
              </wp:anchor>
            </w:drawing>
          </w:r>
          <w:r w:rsidR="00FE568C" w:rsidRPr="00EC17D3">
            <w:rPr>
              <w:i/>
              <w:iCs/>
              <w:sz w:val="56"/>
              <w:szCs w:val="56"/>
            </w:rPr>
            <w:t>Introducing a sharing economy</w:t>
          </w:r>
          <w:r w:rsidR="00EC17D3">
            <w:rPr>
              <w:i/>
              <w:iCs/>
              <w:sz w:val="56"/>
              <w:szCs w:val="56"/>
            </w:rPr>
            <w:t xml:space="preserve"> </w:t>
          </w:r>
          <w:r w:rsidR="00FE568C" w:rsidRPr="00EC17D3">
            <w:rPr>
              <w:i/>
              <w:iCs/>
              <w:sz w:val="56"/>
              <w:szCs w:val="56"/>
            </w:rPr>
            <w:t>reporting regime -</w:t>
          </w:r>
          <w:r w:rsidR="00FE568C" w:rsidRPr="00EC17D3">
            <w:rPr>
              <w:sz w:val="56"/>
              <w:szCs w:val="56"/>
            </w:rPr>
            <w:t xml:space="preserve"> </w:t>
          </w:r>
          <w:r w:rsidRPr="00EC17D3">
            <w:rPr>
              <w:sz w:val="56"/>
              <w:szCs w:val="56"/>
            </w:rPr>
            <w:t>Fact sheet</w:t>
          </w:r>
          <w:r w:rsidR="002A7096" w:rsidRPr="00EC17D3">
            <w:rPr>
              <w:sz w:val="56"/>
              <w:szCs w:val="56"/>
            </w:rPr>
            <w:t xml:space="preserve"> </w:t>
          </w:r>
          <w:r w:rsidR="00382095" w:rsidRPr="00EC17D3">
            <w:rPr>
              <w:sz w:val="56"/>
              <w:szCs w:val="56"/>
            </w:rPr>
            <w:t xml:space="preserve">for </w:t>
          </w:r>
          <w:r w:rsidR="002A7096" w:rsidRPr="00EC17D3">
            <w:rPr>
              <w:sz w:val="56"/>
              <w:szCs w:val="56"/>
            </w:rPr>
            <w:t xml:space="preserve">exposure draft </w:t>
          </w:r>
          <w:r w:rsidR="00BA7E4F">
            <w:rPr>
              <w:sz w:val="56"/>
              <w:szCs w:val="56"/>
            </w:rPr>
            <w:t>legislation</w:t>
          </w:r>
        </w:p>
        <w:p w14:paraId="0C47566A" w14:textId="3187B1D3" w:rsidR="00604EEF" w:rsidRPr="007B55E7" w:rsidRDefault="00F719A6" w:rsidP="006923DF">
          <w:pPr>
            <w:pStyle w:val="ReportDate"/>
            <w:rPr>
              <w:rFonts w:ascii="Rockwell" w:hAnsi="Rockwell"/>
            </w:rPr>
          </w:pPr>
          <w:r w:rsidRPr="007B55E7">
            <w:rPr>
              <w:rStyle w:val="ReportDateChar"/>
            </w:rPr>
            <w:t>June 2021</w:t>
          </w:r>
        </w:p>
        <w:p w14:paraId="27CAC7B2" w14:textId="77777777" w:rsidR="00016528" w:rsidRPr="007B55E7" w:rsidRDefault="00016528">
          <w:pPr>
            <w:spacing w:before="0" w:after="160" w:line="259" w:lineRule="auto"/>
            <w:rPr>
              <w:noProof/>
            </w:rPr>
          </w:pPr>
        </w:p>
        <w:p w14:paraId="295BD16E" w14:textId="52D8B46A" w:rsidR="009A4F11" w:rsidRPr="007B55E7" w:rsidRDefault="00F719A6" w:rsidP="00C60763">
          <w:pPr>
            <w:pStyle w:val="Heading2"/>
          </w:pPr>
          <w:r w:rsidRPr="007B55E7">
            <w:t xml:space="preserve">Background </w:t>
          </w:r>
          <w:r w:rsidR="00C60763" w:rsidRPr="007B55E7">
            <w:t>and aim of</w:t>
          </w:r>
          <w:r w:rsidRPr="007B55E7">
            <w:t xml:space="preserve"> the </w:t>
          </w:r>
          <w:r w:rsidR="00A05976">
            <w:t>reporting regime</w:t>
          </w:r>
        </w:p>
        <w:p w14:paraId="50898AF4" w14:textId="2C4095AC" w:rsidR="005561E4" w:rsidRPr="007B55E7" w:rsidRDefault="005561E4" w:rsidP="00986BC7">
          <w:r w:rsidRPr="007B55E7">
            <w:t>The sharing economy has grown significantly over recent years and there is a risk that some sellers</w:t>
          </w:r>
          <w:r w:rsidR="002134E0">
            <w:t xml:space="preserve"> who use these platforms</w:t>
          </w:r>
          <w:r w:rsidRPr="007B55E7">
            <w:t xml:space="preserve"> are not reporting their full income or paying the right amount of tax. This</w:t>
          </w:r>
          <w:r w:rsidR="000168AD">
            <w:t> </w:t>
          </w:r>
          <w:r w:rsidR="00DE0F30">
            <w:t>reporting regime</w:t>
          </w:r>
          <w:r w:rsidRPr="007B55E7">
            <w:t xml:space="preserve"> help</w:t>
          </w:r>
          <w:r w:rsidR="00DE0F30">
            <w:t>s</w:t>
          </w:r>
          <w:r w:rsidRPr="007B55E7">
            <w:t xml:space="preserve"> ensure sharing economy sellers are meeting their tax obligations, and that these sellers do not have an unfair advantage compared to similar activity elsewhere in the economy due to poor tax compliance.</w:t>
          </w:r>
        </w:p>
        <w:p w14:paraId="0058343A" w14:textId="15055D2C" w:rsidR="00C60763" w:rsidRPr="007B55E7" w:rsidRDefault="00C60763" w:rsidP="00986BC7">
          <w:pPr>
            <w:pStyle w:val="Heading2"/>
          </w:pPr>
          <w:r w:rsidRPr="007B55E7">
            <w:t>Who will be required to report?</w:t>
          </w:r>
        </w:p>
        <w:p w14:paraId="210C0F41" w14:textId="5EBDDCE2" w:rsidR="00A81851" w:rsidRPr="007B55E7" w:rsidRDefault="005561E4" w:rsidP="005561E4">
          <w:r w:rsidRPr="007B55E7">
            <w:t>O</w:t>
          </w:r>
          <w:r w:rsidR="00A81851" w:rsidRPr="007B55E7">
            <w:t>perator</w:t>
          </w:r>
          <w:r w:rsidRPr="007B55E7">
            <w:t>s</w:t>
          </w:r>
          <w:r w:rsidR="00A81851" w:rsidRPr="007B55E7">
            <w:t xml:space="preserve"> of a</w:t>
          </w:r>
          <w:r w:rsidRPr="007B55E7">
            <w:t>n electronic</w:t>
          </w:r>
          <w:r w:rsidR="00A81851" w:rsidRPr="007B55E7">
            <w:t xml:space="preserve"> </w:t>
          </w:r>
          <w:r w:rsidRPr="007B55E7">
            <w:t>service</w:t>
          </w:r>
          <w:r w:rsidR="002134E0">
            <w:t>,</w:t>
          </w:r>
          <w:r w:rsidR="00A81851" w:rsidRPr="007B55E7">
            <w:t xml:space="preserve"> such as a </w:t>
          </w:r>
          <w:r w:rsidRPr="007B55E7">
            <w:t>website, internet portal,</w:t>
          </w:r>
          <w:r w:rsidR="00834507" w:rsidRPr="007B55E7">
            <w:t xml:space="preserve"> app,</w:t>
          </w:r>
          <w:r w:rsidRPr="007B55E7">
            <w:t xml:space="preserve"> gateway, </w:t>
          </w:r>
          <w:proofErr w:type="gramStart"/>
          <w:r w:rsidRPr="007B55E7">
            <w:t>store</w:t>
          </w:r>
          <w:proofErr w:type="gramEnd"/>
          <w:r w:rsidRPr="007B55E7">
            <w:t xml:space="preserve"> or marketplace</w:t>
          </w:r>
          <w:r w:rsidR="002134E0">
            <w:t>,</w:t>
          </w:r>
          <w:r w:rsidR="00834507" w:rsidRPr="007B55E7">
            <w:t xml:space="preserve"> </w:t>
          </w:r>
          <w:r w:rsidR="002134E0">
            <w:t xml:space="preserve">(a platform) </w:t>
          </w:r>
          <w:r w:rsidR="00834507" w:rsidRPr="007B55E7">
            <w:t>that allow</w:t>
          </w:r>
          <w:r w:rsidR="002134E0">
            <w:t>s</w:t>
          </w:r>
          <w:r w:rsidR="00834507" w:rsidRPr="007B55E7">
            <w:t xml:space="preserve"> buyers and sellers to transact</w:t>
          </w:r>
          <w:r w:rsidR="00E047DE" w:rsidRPr="007B55E7">
            <w:t xml:space="preserve"> </w:t>
          </w:r>
          <w:r w:rsidRPr="007B55E7">
            <w:t>will be required to report information on</w:t>
          </w:r>
          <w:r w:rsidR="00E047DE" w:rsidRPr="007B55E7">
            <w:t xml:space="preserve"> certain</w:t>
          </w:r>
          <w:r w:rsidRPr="007B55E7">
            <w:t xml:space="preserve"> transactions</w:t>
          </w:r>
          <w:r w:rsidR="00A81851" w:rsidRPr="007B55E7">
            <w:t>.</w:t>
          </w:r>
        </w:p>
        <w:p w14:paraId="228AC8FE" w14:textId="169879FE" w:rsidR="00C85E9C" w:rsidRDefault="005937B9" w:rsidP="00C85E9C">
          <w:pPr>
            <w:pStyle w:val="Heading2"/>
          </w:pPr>
          <w:r>
            <w:t>Which</w:t>
          </w:r>
          <w:r w:rsidRPr="007B55E7">
            <w:t xml:space="preserve"> </w:t>
          </w:r>
          <w:r w:rsidR="00C85E9C" w:rsidRPr="007B55E7">
            <w:t>transactions are</w:t>
          </w:r>
          <w:r w:rsidR="00E047DE" w:rsidRPr="007B55E7">
            <w:t xml:space="preserve"> </w:t>
          </w:r>
          <w:r w:rsidR="00C85E9C" w:rsidRPr="007B55E7">
            <w:t>required to be reported?</w:t>
          </w:r>
        </w:p>
        <w:p w14:paraId="72BCB4EF" w14:textId="27BDAB3B" w:rsidR="005937B9" w:rsidRPr="005937B9" w:rsidRDefault="005937B9" w:rsidP="00382095">
          <w:r>
            <w:t>Generally, platform</w:t>
          </w:r>
          <w:r w:rsidR="00A97CA7">
            <w:t xml:space="preserve"> </w:t>
          </w:r>
          <w:r>
            <w:t>operators will be required to report:</w:t>
          </w:r>
        </w:p>
        <w:p w14:paraId="5248AF5D" w14:textId="238DF276" w:rsidR="00A81851" w:rsidRPr="007B55E7" w:rsidRDefault="00565AAF" w:rsidP="00E047DE">
          <w:pPr>
            <w:pStyle w:val="ListParagraph"/>
            <w:numPr>
              <w:ilvl w:val="0"/>
              <w:numId w:val="21"/>
            </w:numPr>
          </w:pPr>
          <w:r w:rsidRPr="007B55E7">
            <w:t>Transactions for a</w:t>
          </w:r>
          <w:r w:rsidR="00A81851" w:rsidRPr="007B55E7">
            <w:t xml:space="preserve">ll services </w:t>
          </w:r>
          <w:r w:rsidR="00C85E9C" w:rsidRPr="007B55E7">
            <w:t xml:space="preserve">unless an exemption applies, </w:t>
          </w:r>
          <w:r w:rsidR="00A81851" w:rsidRPr="007B55E7">
            <w:t>and</w:t>
          </w:r>
        </w:p>
        <w:p w14:paraId="1FBD5B7D" w14:textId="4EFD5423" w:rsidR="00A81851" w:rsidRPr="007B55E7" w:rsidRDefault="00565AAF" w:rsidP="00E047DE">
          <w:pPr>
            <w:pStyle w:val="ListParagraph"/>
            <w:numPr>
              <w:ilvl w:val="0"/>
              <w:numId w:val="21"/>
            </w:numPr>
          </w:pPr>
          <w:r w:rsidRPr="007B55E7">
            <w:t>Transactions for the sharing or loaning of assets unless an exemption applies</w:t>
          </w:r>
          <w:r w:rsidR="00A81851" w:rsidRPr="007B55E7">
            <w:t>.</w:t>
          </w:r>
        </w:p>
        <w:p w14:paraId="631AEA6E" w14:textId="68D8433B" w:rsidR="00E047DE" w:rsidRDefault="005937B9" w:rsidP="00E047DE">
          <w:pPr>
            <w:pStyle w:val="Heading2"/>
          </w:pPr>
          <w:bookmarkStart w:id="0" w:name="_Hlk74220444"/>
          <w:r>
            <w:t>Which</w:t>
          </w:r>
          <w:r w:rsidRPr="007B55E7">
            <w:t xml:space="preserve"> </w:t>
          </w:r>
          <w:r w:rsidR="00E047DE" w:rsidRPr="007B55E7">
            <w:t>transactions are not required to be reported?</w:t>
          </w:r>
        </w:p>
        <w:bookmarkEnd w:id="0"/>
        <w:p w14:paraId="1DC1B8AA" w14:textId="5BFA66FC" w:rsidR="005937B9" w:rsidRPr="005937B9" w:rsidRDefault="005937B9" w:rsidP="00382095">
          <w:r>
            <w:t xml:space="preserve">Generally, platform </w:t>
          </w:r>
          <w:r w:rsidR="00A97CA7">
            <w:t xml:space="preserve">operators </w:t>
          </w:r>
          <w:r>
            <w:t xml:space="preserve">will </w:t>
          </w:r>
          <w:r w:rsidRPr="00382095">
            <w:rPr>
              <w:i/>
              <w:iCs/>
            </w:rPr>
            <w:t>not</w:t>
          </w:r>
          <w:r>
            <w:t xml:space="preserve"> be required to report</w:t>
          </w:r>
          <w:r w:rsidR="00220329">
            <w:t xml:space="preserve"> under the following exemptions</w:t>
          </w:r>
          <w:r>
            <w:t>:</w:t>
          </w:r>
        </w:p>
        <w:p w14:paraId="6D35B75C" w14:textId="67063BD3" w:rsidR="00A81851" w:rsidRPr="007B55E7" w:rsidRDefault="00565AAF" w:rsidP="001C7F5A">
          <w:pPr>
            <w:pStyle w:val="ListParagraph"/>
            <w:numPr>
              <w:ilvl w:val="0"/>
              <w:numId w:val="21"/>
            </w:numPr>
          </w:pPr>
          <w:r w:rsidRPr="007B55E7">
            <w:t xml:space="preserve">Transactions </w:t>
          </w:r>
          <w:r w:rsidR="00EB4359">
            <w:t>where</w:t>
          </w:r>
          <w:r w:rsidR="00EB4359" w:rsidRPr="007B55E7">
            <w:t xml:space="preserve"> </w:t>
          </w:r>
          <w:r w:rsidR="00E047DE" w:rsidRPr="007B55E7">
            <w:rPr>
              <w:b/>
              <w:bCs/>
              <w:u w:val="single"/>
            </w:rPr>
            <w:t>only</w:t>
          </w:r>
          <w:r w:rsidR="00E047DE" w:rsidRPr="007B55E7">
            <w:t xml:space="preserve"> the title/ownership of goods are exchanged,</w:t>
          </w:r>
        </w:p>
        <w:p w14:paraId="57F3612D" w14:textId="3AB81E7D" w:rsidR="00A81851" w:rsidRPr="007B55E7" w:rsidRDefault="001C7F5A" w:rsidP="001C7F5A">
          <w:pPr>
            <w:pStyle w:val="ListParagraph"/>
            <w:numPr>
              <w:ilvl w:val="0"/>
              <w:numId w:val="21"/>
            </w:numPr>
          </w:pPr>
          <w:r w:rsidRPr="007B55E7">
            <w:t>Transactions for f</w:t>
          </w:r>
          <w:r w:rsidR="00A81851" w:rsidRPr="007B55E7">
            <w:t>inancial supplies</w:t>
          </w:r>
          <w:r w:rsidRPr="007B55E7">
            <w:t>, such as crowdfunding and</w:t>
          </w:r>
          <w:r w:rsidR="00A81851" w:rsidRPr="007B55E7">
            <w:t xml:space="preserve"> financial securities trading, </w:t>
          </w:r>
        </w:p>
        <w:p w14:paraId="4034C15E" w14:textId="10A132AF" w:rsidR="001C7F5A" w:rsidRDefault="001C7F5A" w:rsidP="001C7F5A">
          <w:pPr>
            <w:pStyle w:val="ListParagraph"/>
            <w:numPr>
              <w:ilvl w:val="0"/>
              <w:numId w:val="21"/>
            </w:numPr>
          </w:pPr>
          <w:r w:rsidRPr="007B55E7">
            <w:t xml:space="preserve">Transactions relating to </w:t>
          </w:r>
          <w:r w:rsidR="00EB4359">
            <w:t xml:space="preserve">the </w:t>
          </w:r>
          <w:r w:rsidR="00960822">
            <w:t>transfer</w:t>
          </w:r>
          <w:r w:rsidR="00EB4359">
            <w:t xml:space="preserve"> </w:t>
          </w:r>
          <w:r w:rsidR="008C1701">
            <w:t>of</w:t>
          </w:r>
          <w:r w:rsidR="009775D1">
            <w:t xml:space="preserve"> </w:t>
          </w:r>
          <w:r w:rsidR="00960822">
            <w:t>ownership of</w:t>
          </w:r>
          <w:r w:rsidR="008C1701">
            <w:t xml:space="preserve"> </w:t>
          </w:r>
          <w:r w:rsidRPr="00960822">
            <w:t>real property</w:t>
          </w:r>
          <w:r w:rsidRPr="007B55E7">
            <w:t xml:space="preserve">, </w:t>
          </w:r>
        </w:p>
        <w:p w14:paraId="4CB260C9" w14:textId="519535B7" w:rsidR="00C57E60" w:rsidRPr="007B55E7" w:rsidRDefault="00C57E60" w:rsidP="001C7F5A">
          <w:pPr>
            <w:pStyle w:val="ListParagraph"/>
            <w:numPr>
              <w:ilvl w:val="0"/>
              <w:numId w:val="21"/>
            </w:numPr>
          </w:pPr>
          <w:bookmarkStart w:id="1" w:name="_Hlk74220520"/>
          <w:r>
            <w:t>Transactions where the service, loaned assets, or property does not take place in Australia,</w:t>
          </w:r>
        </w:p>
        <w:bookmarkEnd w:id="1"/>
        <w:p w14:paraId="7456F10A" w14:textId="4B70989D" w:rsidR="00A81851" w:rsidRPr="007B55E7" w:rsidRDefault="00565AAF" w:rsidP="001C7F5A">
          <w:pPr>
            <w:pStyle w:val="ListParagraph"/>
            <w:numPr>
              <w:ilvl w:val="0"/>
              <w:numId w:val="21"/>
            </w:numPr>
          </w:pPr>
          <w:r w:rsidRPr="007B55E7">
            <w:t>T</w:t>
          </w:r>
          <w:r w:rsidR="001C7F5A" w:rsidRPr="007B55E7">
            <w:t>ransaction</w:t>
          </w:r>
          <w:r w:rsidRPr="007B55E7">
            <w:t>s</w:t>
          </w:r>
          <w:r w:rsidR="001C7F5A" w:rsidRPr="007B55E7">
            <w:t xml:space="preserve"> subject to another tax reporting requirement, such as </w:t>
          </w:r>
          <w:r w:rsidR="00A81851" w:rsidRPr="007B55E7">
            <w:t xml:space="preserve">employer-employee withholding, </w:t>
          </w:r>
          <w:r w:rsidR="001C7F5A" w:rsidRPr="007B55E7">
            <w:t xml:space="preserve">or the </w:t>
          </w:r>
          <w:r w:rsidR="00A81851" w:rsidRPr="007B55E7">
            <w:t>Taxable Reporting Payments System</w:t>
          </w:r>
          <w:r w:rsidR="007B55E7" w:rsidRPr="007B55E7">
            <w:t xml:space="preserve"> (TPRS)</w:t>
          </w:r>
          <w:r w:rsidR="001C7F5A" w:rsidRPr="007B55E7">
            <w:t>,</w:t>
          </w:r>
          <w:r w:rsidR="008C1701">
            <w:t xml:space="preserve"> </w:t>
          </w:r>
        </w:p>
        <w:p w14:paraId="594ABAD2" w14:textId="365DA68E" w:rsidR="001C7F5A" w:rsidRPr="007B55E7" w:rsidRDefault="00565AAF" w:rsidP="001C7F5A">
          <w:pPr>
            <w:pStyle w:val="ListParagraph"/>
            <w:numPr>
              <w:ilvl w:val="0"/>
              <w:numId w:val="21"/>
            </w:numPr>
          </w:pPr>
          <w:r w:rsidRPr="007B55E7">
            <w:t>T</w:t>
          </w:r>
          <w:r w:rsidR="001C7F5A" w:rsidRPr="007B55E7">
            <w:t>ransaction</w:t>
          </w:r>
          <w:r w:rsidRPr="007B55E7">
            <w:t>s</w:t>
          </w:r>
          <w:r w:rsidR="001C7F5A" w:rsidRPr="007B55E7">
            <w:t xml:space="preserve"> </w:t>
          </w:r>
          <w:r w:rsidRPr="007B55E7">
            <w:t>arising from an o</w:t>
          </w:r>
          <w:r w:rsidR="001C7F5A" w:rsidRPr="007B55E7">
            <w:t>nline classifieds</w:t>
          </w:r>
          <w:r w:rsidRPr="007B55E7">
            <w:t>, listing,</w:t>
          </w:r>
          <w:r w:rsidR="001C7F5A" w:rsidRPr="007B55E7">
            <w:t xml:space="preserve"> </w:t>
          </w:r>
          <w:r w:rsidRPr="007B55E7">
            <w:t>or</w:t>
          </w:r>
          <w:r w:rsidR="001C7F5A" w:rsidRPr="007B55E7">
            <w:t xml:space="preserve"> advertising </w:t>
          </w:r>
          <w:r w:rsidRPr="007B55E7">
            <w:t>service, and</w:t>
          </w:r>
        </w:p>
        <w:p w14:paraId="0CB2EF4B" w14:textId="29EE6FD5" w:rsidR="00C85E9C" w:rsidRDefault="00565AAF" w:rsidP="001C7F5A">
          <w:pPr>
            <w:pStyle w:val="ListParagraph"/>
            <w:numPr>
              <w:ilvl w:val="0"/>
              <w:numId w:val="21"/>
            </w:numPr>
          </w:pPr>
          <w:r w:rsidRPr="007B55E7">
            <w:t>Transactions w</w:t>
          </w:r>
          <w:r w:rsidR="00C85E9C" w:rsidRPr="007B55E7">
            <w:t>here the seller is also the operator of the platform.</w:t>
          </w:r>
        </w:p>
        <w:p w14:paraId="3B450D6E" w14:textId="39DC8085" w:rsidR="009A39E9" w:rsidRDefault="009A39E9" w:rsidP="009A39E9">
          <w:pPr>
            <w:pStyle w:val="Heading2"/>
          </w:pPr>
          <w:r>
            <w:lastRenderedPageBreak/>
            <w:t>When will a transaction need to occur for it to be reportable?</w:t>
          </w:r>
        </w:p>
        <w:p w14:paraId="5B3B31C0" w14:textId="2B6B4364" w:rsidR="009A39E9" w:rsidRDefault="009A39E9" w:rsidP="009A39E9">
          <w:r>
            <w:t>Platform operators will be required t</w:t>
          </w:r>
          <w:r w:rsidR="00220329">
            <w:t>o report transactions that occur on or after:</w:t>
          </w:r>
        </w:p>
        <w:p w14:paraId="4D051244" w14:textId="67011C02" w:rsidR="00220329" w:rsidRDefault="00220329" w:rsidP="00220329">
          <w:pPr>
            <w:pStyle w:val="ListParagraph"/>
            <w:numPr>
              <w:ilvl w:val="0"/>
              <w:numId w:val="21"/>
            </w:numPr>
          </w:pPr>
          <w:r>
            <w:t>1 July 2022 if it relates to a ride-sourcing or a short-term accommodation service</w:t>
          </w:r>
          <w:r w:rsidR="00355ED7">
            <w:t xml:space="preserve"> unless an exemption applies</w:t>
          </w:r>
          <w:r>
            <w:t xml:space="preserve">, and </w:t>
          </w:r>
        </w:p>
        <w:p w14:paraId="0BB926EE" w14:textId="7BCC3DAE" w:rsidR="00220329" w:rsidRPr="009A39E9" w:rsidRDefault="00220329">
          <w:pPr>
            <w:pStyle w:val="ListParagraph"/>
            <w:numPr>
              <w:ilvl w:val="0"/>
              <w:numId w:val="21"/>
            </w:numPr>
          </w:pPr>
          <w:r>
            <w:t>1 July 2023 for all other reportable transactions unless an exemption applies.</w:t>
          </w:r>
        </w:p>
        <w:p w14:paraId="6F618E34" w14:textId="17E3F868" w:rsidR="00C60763" w:rsidRPr="007B55E7" w:rsidRDefault="00C60763" w:rsidP="00A81851">
          <w:pPr>
            <w:pStyle w:val="Heading2"/>
          </w:pPr>
          <w:bookmarkStart w:id="2" w:name="_Hlk74220567"/>
          <w:r w:rsidRPr="007B55E7">
            <w:t>What information will need to be reported?</w:t>
          </w:r>
        </w:p>
        <w:bookmarkEnd w:id="2"/>
        <w:p w14:paraId="1236637E" w14:textId="612C4513" w:rsidR="003C1B0B" w:rsidRPr="007B55E7" w:rsidRDefault="005D0DD6" w:rsidP="00464630">
          <w:r w:rsidRPr="007B55E7">
            <w:t>The ATO will specify what i</w:t>
          </w:r>
          <w:r w:rsidR="00464630" w:rsidRPr="007B55E7">
            <w:t xml:space="preserve">nformation relating to </w:t>
          </w:r>
          <w:r w:rsidRPr="007B55E7">
            <w:t>the seller’s</w:t>
          </w:r>
          <w:r w:rsidR="00464630" w:rsidRPr="007B55E7">
            <w:t xml:space="preserve"> identification</w:t>
          </w:r>
          <w:r w:rsidRPr="007B55E7">
            <w:t xml:space="preserve"> and the consideration/money exchanged</w:t>
          </w:r>
          <w:r w:rsidR="00537769">
            <w:t xml:space="preserve"> in the transaction</w:t>
          </w:r>
          <w:r w:rsidR="00464630" w:rsidRPr="007B55E7">
            <w:t xml:space="preserve"> </w:t>
          </w:r>
          <w:r w:rsidRPr="007B55E7">
            <w:t>is to be reported</w:t>
          </w:r>
          <w:r w:rsidR="00464630" w:rsidRPr="007B55E7">
            <w:t>.</w:t>
          </w:r>
          <w:r w:rsidR="00C77D55" w:rsidRPr="007B55E7">
            <w:t xml:space="preserve"> Only the aggregate (total) of transactions </w:t>
          </w:r>
          <w:r w:rsidR="00537769">
            <w:t xml:space="preserve">relating to the seller </w:t>
          </w:r>
          <w:r w:rsidR="00C77D55" w:rsidRPr="007B55E7">
            <w:t xml:space="preserve">over </w:t>
          </w:r>
          <w:r w:rsidR="00537769">
            <w:t>the</w:t>
          </w:r>
          <w:r w:rsidR="00537769" w:rsidRPr="007B55E7">
            <w:t xml:space="preserve"> </w:t>
          </w:r>
          <w:r w:rsidR="00C77D55" w:rsidRPr="007B55E7">
            <w:t xml:space="preserve">reporting period will need to be provided; </w:t>
          </w:r>
          <w:r w:rsidR="00537769">
            <w:t xml:space="preserve">platform </w:t>
          </w:r>
          <w:r w:rsidR="003C1B0B" w:rsidRPr="007B55E7">
            <w:t>operators</w:t>
          </w:r>
          <w:r w:rsidR="00C77D55" w:rsidRPr="007B55E7">
            <w:t xml:space="preserve"> will not be expected to provide information on a per transaction basis. </w:t>
          </w:r>
          <w:r w:rsidR="00565AAF" w:rsidRPr="007B55E7">
            <w:t xml:space="preserve"> </w:t>
          </w:r>
        </w:p>
        <w:p w14:paraId="17BF6145" w14:textId="4AA2935B" w:rsidR="00464630" w:rsidRPr="007B55E7" w:rsidRDefault="00653E5C" w:rsidP="00464630">
          <w:r>
            <w:t>At a minimum,</w:t>
          </w:r>
          <w:r w:rsidR="00565AAF" w:rsidRPr="007B55E7">
            <w:t xml:space="preserve"> the following information will be required</w:t>
          </w:r>
          <w:r w:rsidR="005D0DD6" w:rsidRPr="007B55E7">
            <w:t xml:space="preserve"> once reporting commences</w:t>
          </w:r>
          <w:r w:rsidR="000B6292">
            <w:t xml:space="preserve"> to </w:t>
          </w:r>
          <w:r w:rsidR="00854675">
            <w:t>provide the ATO with a reasonable level of assurance to the seller’s identity and possible tax obligations.</w:t>
          </w:r>
        </w:p>
        <w:tbl>
          <w:tblPr>
            <w:tblStyle w:val="GridTable2-Accent2"/>
            <w:tblW w:w="5000" w:type="pct"/>
            <w:tblLook w:val="04A0" w:firstRow="1" w:lastRow="0" w:firstColumn="1" w:lastColumn="0" w:noHBand="0" w:noVBand="1"/>
          </w:tblPr>
          <w:tblGrid>
            <w:gridCol w:w="4337"/>
            <w:gridCol w:w="345"/>
            <w:gridCol w:w="4388"/>
          </w:tblGrid>
          <w:tr w:rsidR="00CF756B" w:rsidRPr="007B55E7" w14:paraId="381AB6D7" w14:textId="77777777" w:rsidTr="00C730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vAlign w:val="bottom"/>
              </w:tcPr>
              <w:p w14:paraId="2D9AC1D7" w14:textId="391D6299" w:rsidR="00E70528" w:rsidRPr="007B55E7" w:rsidRDefault="00E70528" w:rsidP="003F7F09">
                <w:r w:rsidRPr="007B55E7">
                  <w:t>Seller Identification Information</w:t>
                </w:r>
              </w:p>
            </w:tc>
            <w:tc>
              <w:tcPr>
                <w:tcW w:w="0" w:type="pct"/>
                <w:tcBorders>
                  <w:bottom w:val="single" w:sz="4" w:space="0" w:color="FFFFFF" w:themeColor="background1"/>
                </w:tcBorders>
              </w:tcPr>
              <w:p w14:paraId="2666E1BE" w14:textId="77777777" w:rsidR="00E70528" w:rsidRPr="007B55E7" w:rsidRDefault="00E70528" w:rsidP="00AF1CD9">
                <w:pPr>
                  <w:jc w:val="center"/>
                  <w:cnfStyle w:val="100000000000" w:firstRow="1" w:lastRow="0" w:firstColumn="0" w:lastColumn="0" w:oddVBand="0" w:evenVBand="0" w:oddHBand="0" w:evenHBand="0" w:firstRowFirstColumn="0" w:firstRowLastColumn="0" w:lastRowFirstColumn="0" w:lastRowLastColumn="0"/>
                </w:pPr>
              </w:p>
            </w:tc>
            <w:tc>
              <w:tcPr>
                <w:tcW w:w="0" w:type="pct"/>
                <w:vAlign w:val="bottom"/>
              </w:tcPr>
              <w:p w14:paraId="250B286D" w14:textId="12E2EB3B" w:rsidR="00E70528" w:rsidRPr="007B55E7" w:rsidRDefault="00E70528" w:rsidP="003F7F09">
                <w:pPr>
                  <w:cnfStyle w:val="100000000000" w:firstRow="1" w:lastRow="0" w:firstColumn="0" w:lastColumn="0" w:oddVBand="0" w:evenVBand="0" w:oddHBand="0" w:evenHBand="0" w:firstRowFirstColumn="0" w:firstRowLastColumn="0" w:lastRowFirstColumn="0" w:lastRowLastColumn="0"/>
                </w:pPr>
                <w:r w:rsidRPr="007B55E7">
                  <w:t>Total consideration and transaction information for the reporting period</w:t>
                </w:r>
              </w:p>
            </w:tc>
          </w:tr>
          <w:tr w:rsidR="00CF756B" w:rsidRPr="007B55E7" w14:paraId="24EFCF3E" w14:textId="77777777" w:rsidTr="00CC72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1" w:type="pct"/>
                <w:tcBorders>
                  <w:left w:val="single" w:sz="4" w:space="0" w:color="82A7D5" w:themeColor="accent2" w:themeTint="99"/>
                  <w:right w:val="single" w:sz="4" w:space="0" w:color="82A7D5" w:themeColor="accent2" w:themeTint="99"/>
                </w:tcBorders>
              </w:tcPr>
              <w:p w14:paraId="73E51664" w14:textId="4988CD26" w:rsidR="00E70528" w:rsidRPr="007B55E7" w:rsidRDefault="00E70528" w:rsidP="00464630">
                <w:pPr>
                  <w:rPr>
                    <w:b w:val="0"/>
                    <w:bCs w:val="0"/>
                  </w:rPr>
                </w:pPr>
                <w:r w:rsidRPr="007B55E7">
                  <w:rPr>
                    <w:b w:val="0"/>
                    <w:bCs w:val="0"/>
                  </w:rPr>
                  <w:t>Full legal name</w:t>
                </w:r>
              </w:p>
            </w:tc>
            <w:tc>
              <w:tcPr>
                <w:tcW w:w="190" w:type="pct"/>
                <w:tcBorders>
                  <w:top w:val="single" w:sz="4" w:space="0" w:color="FFFFFF" w:themeColor="background1"/>
                  <w:left w:val="single" w:sz="4" w:space="0" w:color="82A7D5" w:themeColor="accent2" w:themeTint="99"/>
                  <w:bottom w:val="single" w:sz="4" w:space="0" w:color="FFFFFF" w:themeColor="background1"/>
                  <w:right w:val="single" w:sz="4" w:space="0" w:color="82A7D5" w:themeColor="accent2" w:themeTint="99"/>
                </w:tcBorders>
                <w:shd w:val="clear" w:color="auto" w:fill="auto"/>
              </w:tcPr>
              <w:p w14:paraId="199A51B4" w14:textId="77777777" w:rsidR="00E70528" w:rsidRPr="007B55E7" w:rsidRDefault="00E70528" w:rsidP="00464630">
                <w:pPr>
                  <w:cnfStyle w:val="000000100000" w:firstRow="0" w:lastRow="0" w:firstColumn="0" w:lastColumn="0" w:oddVBand="0" w:evenVBand="0" w:oddHBand="1" w:evenHBand="0" w:firstRowFirstColumn="0" w:firstRowLastColumn="0" w:lastRowFirstColumn="0" w:lastRowLastColumn="0"/>
                </w:pPr>
              </w:p>
            </w:tc>
            <w:tc>
              <w:tcPr>
                <w:tcW w:w="2419" w:type="pct"/>
                <w:tcBorders>
                  <w:left w:val="single" w:sz="4" w:space="0" w:color="82A7D5" w:themeColor="accent2" w:themeTint="99"/>
                  <w:right w:val="single" w:sz="4" w:space="0" w:color="82A7D5" w:themeColor="accent2" w:themeTint="99"/>
                </w:tcBorders>
              </w:tcPr>
              <w:p w14:paraId="3698F4B0" w14:textId="4C7AAF0D" w:rsidR="00E70528" w:rsidRPr="007B55E7" w:rsidRDefault="00E70528" w:rsidP="00464630">
                <w:pPr>
                  <w:cnfStyle w:val="000000100000" w:firstRow="0" w:lastRow="0" w:firstColumn="0" w:lastColumn="0" w:oddVBand="0" w:evenVBand="0" w:oddHBand="1" w:evenHBand="0" w:firstRowFirstColumn="0" w:firstRowLastColumn="0" w:lastRowFirstColumn="0" w:lastRowLastColumn="0"/>
                </w:pPr>
                <w:r w:rsidRPr="007B55E7">
                  <w:t xml:space="preserve">Total gross payments to seller </w:t>
                </w:r>
              </w:p>
            </w:tc>
          </w:tr>
          <w:tr w:rsidR="00CF756B" w:rsidRPr="007B55E7" w14:paraId="13504127" w14:textId="77777777" w:rsidTr="00CC72A8">
            <w:tc>
              <w:tcPr>
                <w:cnfStyle w:val="001000000000" w:firstRow="0" w:lastRow="0" w:firstColumn="1" w:lastColumn="0" w:oddVBand="0" w:evenVBand="0" w:oddHBand="0" w:evenHBand="0" w:firstRowFirstColumn="0" w:firstRowLastColumn="0" w:lastRowFirstColumn="0" w:lastRowLastColumn="0"/>
                <w:tcW w:w="2391" w:type="pct"/>
                <w:tcBorders>
                  <w:left w:val="single" w:sz="4" w:space="0" w:color="82A7D5" w:themeColor="accent2" w:themeTint="99"/>
                  <w:right w:val="single" w:sz="4" w:space="0" w:color="82A7D5" w:themeColor="accent2" w:themeTint="99"/>
                </w:tcBorders>
              </w:tcPr>
              <w:p w14:paraId="1EEE460E" w14:textId="6AFE1543" w:rsidR="00E70528" w:rsidRPr="007B55E7" w:rsidRDefault="00E70528" w:rsidP="00464630">
                <w:pPr>
                  <w:rPr>
                    <w:b w:val="0"/>
                    <w:bCs w:val="0"/>
                  </w:rPr>
                </w:pPr>
                <w:r w:rsidRPr="007B55E7">
                  <w:rPr>
                    <w:b w:val="0"/>
                    <w:bCs w:val="0"/>
                  </w:rPr>
                  <w:t>Date of birth (if an individual)</w:t>
                </w:r>
              </w:p>
            </w:tc>
            <w:tc>
              <w:tcPr>
                <w:tcW w:w="190" w:type="pct"/>
                <w:tcBorders>
                  <w:top w:val="single" w:sz="4" w:space="0" w:color="FFFFFF" w:themeColor="background1"/>
                  <w:left w:val="single" w:sz="4" w:space="0" w:color="82A7D5" w:themeColor="accent2" w:themeTint="99"/>
                  <w:bottom w:val="single" w:sz="4" w:space="0" w:color="FFFFFF" w:themeColor="background1"/>
                  <w:right w:val="single" w:sz="4" w:space="0" w:color="82A7D5" w:themeColor="accent2" w:themeTint="99"/>
                </w:tcBorders>
              </w:tcPr>
              <w:p w14:paraId="1393A000" w14:textId="77777777" w:rsidR="00E70528" w:rsidRPr="007B55E7" w:rsidRDefault="00E70528" w:rsidP="00464630">
                <w:pPr>
                  <w:cnfStyle w:val="000000000000" w:firstRow="0" w:lastRow="0" w:firstColumn="0" w:lastColumn="0" w:oddVBand="0" w:evenVBand="0" w:oddHBand="0" w:evenHBand="0" w:firstRowFirstColumn="0" w:firstRowLastColumn="0" w:lastRowFirstColumn="0" w:lastRowLastColumn="0"/>
                </w:pPr>
              </w:p>
            </w:tc>
            <w:tc>
              <w:tcPr>
                <w:tcW w:w="2419" w:type="pct"/>
                <w:tcBorders>
                  <w:left w:val="single" w:sz="4" w:space="0" w:color="82A7D5" w:themeColor="accent2" w:themeTint="99"/>
                  <w:right w:val="single" w:sz="4" w:space="0" w:color="82A7D5" w:themeColor="accent2" w:themeTint="99"/>
                </w:tcBorders>
              </w:tcPr>
              <w:p w14:paraId="36025A55" w14:textId="1263A3E7" w:rsidR="00E70528" w:rsidRPr="007B55E7" w:rsidRDefault="00E70528" w:rsidP="00464630">
                <w:pPr>
                  <w:cnfStyle w:val="000000000000" w:firstRow="0" w:lastRow="0" w:firstColumn="0" w:lastColumn="0" w:oddVBand="0" w:evenVBand="0" w:oddHBand="0" w:evenHBand="0" w:firstRowFirstColumn="0" w:firstRowLastColumn="0" w:lastRowFirstColumn="0" w:lastRowLastColumn="0"/>
                </w:pPr>
                <w:r w:rsidRPr="007B55E7">
                  <w:t>Total net payments to seller</w:t>
                </w:r>
              </w:p>
            </w:tc>
          </w:tr>
          <w:tr w:rsidR="00CF756B" w:rsidRPr="007B55E7" w14:paraId="321AC2B7" w14:textId="77777777" w:rsidTr="00CC72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1" w:type="pct"/>
                <w:tcBorders>
                  <w:left w:val="single" w:sz="4" w:space="0" w:color="82A7D5" w:themeColor="accent2" w:themeTint="99"/>
                  <w:right w:val="single" w:sz="4" w:space="0" w:color="82A7D5" w:themeColor="accent2" w:themeTint="99"/>
                </w:tcBorders>
              </w:tcPr>
              <w:p w14:paraId="08E03995" w14:textId="17442C03" w:rsidR="00E70528" w:rsidRPr="007B55E7" w:rsidRDefault="00E70528" w:rsidP="00464630">
                <w:pPr>
                  <w:rPr>
                    <w:b w:val="0"/>
                    <w:bCs w:val="0"/>
                  </w:rPr>
                </w:pPr>
                <w:r w:rsidRPr="007B55E7">
                  <w:rPr>
                    <w:b w:val="0"/>
                    <w:bCs w:val="0"/>
                  </w:rPr>
                  <w:t>Primary address</w:t>
                </w:r>
              </w:p>
            </w:tc>
            <w:tc>
              <w:tcPr>
                <w:tcW w:w="190" w:type="pct"/>
                <w:tcBorders>
                  <w:top w:val="single" w:sz="4" w:space="0" w:color="FFFFFF" w:themeColor="background1"/>
                  <w:left w:val="single" w:sz="4" w:space="0" w:color="82A7D5" w:themeColor="accent2" w:themeTint="99"/>
                  <w:bottom w:val="single" w:sz="4" w:space="0" w:color="FFFFFF" w:themeColor="background1"/>
                  <w:right w:val="single" w:sz="4" w:space="0" w:color="82A7D5" w:themeColor="accent2" w:themeTint="99"/>
                </w:tcBorders>
                <w:shd w:val="clear" w:color="auto" w:fill="auto"/>
              </w:tcPr>
              <w:p w14:paraId="56B04D63" w14:textId="77777777" w:rsidR="00E70528" w:rsidRPr="007B55E7" w:rsidRDefault="00E70528" w:rsidP="00464630">
                <w:pPr>
                  <w:cnfStyle w:val="000000100000" w:firstRow="0" w:lastRow="0" w:firstColumn="0" w:lastColumn="0" w:oddVBand="0" w:evenVBand="0" w:oddHBand="1" w:evenHBand="0" w:firstRowFirstColumn="0" w:firstRowLastColumn="0" w:lastRowFirstColumn="0" w:lastRowLastColumn="0"/>
                </w:pPr>
              </w:p>
            </w:tc>
            <w:tc>
              <w:tcPr>
                <w:tcW w:w="2419" w:type="pct"/>
                <w:tcBorders>
                  <w:left w:val="single" w:sz="4" w:space="0" w:color="82A7D5" w:themeColor="accent2" w:themeTint="99"/>
                  <w:right w:val="single" w:sz="4" w:space="0" w:color="82A7D5" w:themeColor="accent2" w:themeTint="99"/>
                </w:tcBorders>
              </w:tcPr>
              <w:p w14:paraId="1D0DB663" w14:textId="30C37D72" w:rsidR="00E70528" w:rsidRPr="007B55E7" w:rsidRDefault="00E70528" w:rsidP="00464630">
                <w:pPr>
                  <w:cnfStyle w:val="000000100000" w:firstRow="0" w:lastRow="0" w:firstColumn="0" w:lastColumn="0" w:oddVBand="0" w:evenVBand="0" w:oddHBand="1" w:evenHBand="0" w:firstRowFirstColumn="0" w:firstRowLastColumn="0" w:lastRowFirstColumn="0" w:lastRowLastColumn="0"/>
                </w:pPr>
                <w:r w:rsidRPr="007B55E7">
                  <w:t>GST attributable to total gross payments</w:t>
                </w:r>
              </w:p>
            </w:tc>
          </w:tr>
          <w:tr w:rsidR="00CF756B" w:rsidRPr="007B55E7" w14:paraId="5F6ADF33" w14:textId="77777777" w:rsidTr="00CC72A8">
            <w:tc>
              <w:tcPr>
                <w:cnfStyle w:val="001000000000" w:firstRow="0" w:lastRow="0" w:firstColumn="1" w:lastColumn="0" w:oddVBand="0" w:evenVBand="0" w:oddHBand="0" w:evenHBand="0" w:firstRowFirstColumn="0" w:firstRowLastColumn="0" w:lastRowFirstColumn="0" w:lastRowLastColumn="0"/>
                <w:tcW w:w="2391" w:type="pct"/>
                <w:tcBorders>
                  <w:left w:val="single" w:sz="4" w:space="0" w:color="82A7D5" w:themeColor="accent2" w:themeTint="99"/>
                  <w:right w:val="single" w:sz="4" w:space="0" w:color="82A7D5" w:themeColor="accent2" w:themeTint="99"/>
                </w:tcBorders>
              </w:tcPr>
              <w:p w14:paraId="626C53C2" w14:textId="1353C84C" w:rsidR="00E70528" w:rsidRPr="007B55E7" w:rsidRDefault="00E70528" w:rsidP="00B802D5">
                <w:pPr>
                  <w:rPr>
                    <w:b w:val="0"/>
                    <w:bCs w:val="0"/>
                  </w:rPr>
                </w:pPr>
                <w:r w:rsidRPr="007B55E7">
                  <w:rPr>
                    <w:b w:val="0"/>
                    <w:bCs w:val="0"/>
                  </w:rPr>
                  <w:t>Bank account details</w:t>
                </w:r>
              </w:p>
            </w:tc>
            <w:tc>
              <w:tcPr>
                <w:tcW w:w="190" w:type="pct"/>
                <w:tcBorders>
                  <w:top w:val="single" w:sz="4" w:space="0" w:color="FFFFFF" w:themeColor="background1"/>
                  <w:left w:val="single" w:sz="4" w:space="0" w:color="82A7D5" w:themeColor="accent2" w:themeTint="99"/>
                  <w:bottom w:val="single" w:sz="4" w:space="0" w:color="FFFFFF" w:themeColor="background1"/>
                  <w:right w:val="single" w:sz="4" w:space="0" w:color="82A7D5" w:themeColor="accent2" w:themeTint="99"/>
                </w:tcBorders>
              </w:tcPr>
              <w:p w14:paraId="59548642" w14:textId="77777777" w:rsidR="00E70528" w:rsidRPr="007B55E7" w:rsidRDefault="00E70528" w:rsidP="00B802D5">
                <w:pPr>
                  <w:cnfStyle w:val="000000000000" w:firstRow="0" w:lastRow="0" w:firstColumn="0" w:lastColumn="0" w:oddVBand="0" w:evenVBand="0" w:oddHBand="0" w:evenHBand="0" w:firstRowFirstColumn="0" w:firstRowLastColumn="0" w:lastRowFirstColumn="0" w:lastRowLastColumn="0"/>
                </w:pPr>
              </w:p>
            </w:tc>
            <w:tc>
              <w:tcPr>
                <w:tcW w:w="2419" w:type="pct"/>
                <w:tcBorders>
                  <w:left w:val="single" w:sz="4" w:space="0" w:color="82A7D5" w:themeColor="accent2" w:themeTint="99"/>
                  <w:right w:val="single" w:sz="4" w:space="0" w:color="82A7D5" w:themeColor="accent2" w:themeTint="99"/>
                </w:tcBorders>
              </w:tcPr>
              <w:p w14:paraId="70D61184" w14:textId="37EB4F78" w:rsidR="00E70528" w:rsidRPr="007B55E7" w:rsidRDefault="00E70528" w:rsidP="00B802D5">
                <w:pPr>
                  <w:cnfStyle w:val="000000000000" w:firstRow="0" w:lastRow="0" w:firstColumn="0" w:lastColumn="0" w:oddVBand="0" w:evenVBand="0" w:oddHBand="0" w:evenHBand="0" w:firstRowFirstColumn="0" w:firstRowLastColumn="0" w:lastRowFirstColumn="0" w:lastRowLastColumn="0"/>
                </w:pPr>
                <w:r w:rsidRPr="007B55E7">
                  <w:t>Total fees, commissions, etc. withheld</w:t>
                </w:r>
              </w:p>
            </w:tc>
          </w:tr>
          <w:tr w:rsidR="00CF756B" w:rsidRPr="007B55E7" w14:paraId="234D8BE3" w14:textId="77777777" w:rsidTr="00CC72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1" w:type="pct"/>
                <w:tcBorders>
                  <w:left w:val="single" w:sz="4" w:space="0" w:color="82A7D5" w:themeColor="accent2" w:themeTint="99"/>
                  <w:right w:val="single" w:sz="4" w:space="0" w:color="82A7D5" w:themeColor="accent2" w:themeTint="99"/>
                </w:tcBorders>
              </w:tcPr>
              <w:p w14:paraId="2DBFF4CE" w14:textId="641160C6" w:rsidR="00E70528" w:rsidRPr="007B55E7" w:rsidRDefault="00E70528" w:rsidP="00B802D5">
                <w:pPr>
                  <w:rPr>
                    <w:b w:val="0"/>
                    <w:bCs w:val="0"/>
                  </w:rPr>
                </w:pPr>
                <w:bookmarkStart w:id="3" w:name="_Hlk74220609"/>
                <w:r w:rsidRPr="007B55E7">
                  <w:rPr>
                    <w:b w:val="0"/>
                    <w:bCs w:val="0"/>
                  </w:rPr>
                  <w:t>Australian Business Number (ABN)</w:t>
                </w:r>
                <w:r>
                  <w:rPr>
                    <w:b w:val="0"/>
                    <w:bCs w:val="0"/>
                  </w:rPr>
                  <w:t xml:space="preserve"> or foreign tax identification number</w:t>
                </w:r>
                <w:r w:rsidRPr="007B55E7">
                  <w:rPr>
                    <w:b w:val="0"/>
                    <w:bCs w:val="0"/>
                  </w:rPr>
                  <w:t>, if supplied</w:t>
                </w:r>
                <w:bookmarkEnd w:id="3"/>
              </w:p>
            </w:tc>
            <w:tc>
              <w:tcPr>
                <w:tcW w:w="190" w:type="pct"/>
                <w:tcBorders>
                  <w:top w:val="single" w:sz="4" w:space="0" w:color="FFFFFF" w:themeColor="background1"/>
                  <w:left w:val="single" w:sz="4" w:space="0" w:color="82A7D5" w:themeColor="accent2" w:themeTint="99"/>
                  <w:bottom w:val="single" w:sz="4" w:space="0" w:color="FFFFFF" w:themeColor="background1"/>
                  <w:right w:val="single" w:sz="4" w:space="0" w:color="82A7D5" w:themeColor="accent2" w:themeTint="99"/>
                </w:tcBorders>
                <w:shd w:val="clear" w:color="auto" w:fill="auto"/>
              </w:tcPr>
              <w:p w14:paraId="7E63F49D" w14:textId="77777777" w:rsidR="00E70528" w:rsidRPr="007B55E7" w:rsidRDefault="00E70528" w:rsidP="00B802D5">
                <w:pPr>
                  <w:cnfStyle w:val="000000100000" w:firstRow="0" w:lastRow="0" w:firstColumn="0" w:lastColumn="0" w:oddVBand="0" w:evenVBand="0" w:oddHBand="1" w:evenHBand="0" w:firstRowFirstColumn="0" w:firstRowLastColumn="0" w:lastRowFirstColumn="0" w:lastRowLastColumn="0"/>
                </w:pPr>
              </w:p>
            </w:tc>
            <w:tc>
              <w:tcPr>
                <w:tcW w:w="2419" w:type="pct"/>
                <w:tcBorders>
                  <w:left w:val="single" w:sz="4" w:space="0" w:color="82A7D5" w:themeColor="accent2" w:themeTint="99"/>
                  <w:right w:val="single" w:sz="4" w:space="0" w:color="82A7D5" w:themeColor="accent2" w:themeTint="99"/>
                </w:tcBorders>
              </w:tcPr>
              <w:p w14:paraId="381F4958" w14:textId="674287E3" w:rsidR="00E70528" w:rsidRPr="007B55E7" w:rsidRDefault="00E70528" w:rsidP="00B802D5">
                <w:pPr>
                  <w:cnfStyle w:val="000000100000" w:firstRow="0" w:lastRow="0" w:firstColumn="0" w:lastColumn="0" w:oddVBand="0" w:evenVBand="0" w:oddHBand="1" w:evenHBand="0" w:firstRowFirstColumn="0" w:firstRowLastColumn="0" w:lastRowFirstColumn="0" w:lastRowLastColumn="0"/>
                </w:pPr>
                <w:r w:rsidRPr="007B55E7">
                  <w:t>GST attributable to total fees, commissions, etc.</w:t>
                </w:r>
              </w:p>
            </w:tc>
          </w:tr>
          <w:tr w:rsidR="00CF756B" w:rsidRPr="007B55E7" w14:paraId="1BB0CFFF" w14:textId="77777777" w:rsidTr="00CC72A8">
            <w:tc>
              <w:tcPr>
                <w:cnfStyle w:val="001000000000" w:firstRow="0" w:lastRow="0" w:firstColumn="1" w:lastColumn="0" w:oddVBand="0" w:evenVBand="0" w:oddHBand="0" w:evenHBand="0" w:firstRowFirstColumn="0" w:firstRowLastColumn="0" w:lastRowFirstColumn="0" w:lastRowLastColumn="0"/>
                <w:tcW w:w="2391" w:type="pct"/>
                <w:tcBorders>
                  <w:left w:val="single" w:sz="4" w:space="0" w:color="82A7D5" w:themeColor="accent2" w:themeTint="99"/>
                  <w:right w:val="single" w:sz="4" w:space="0" w:color="82A7D5" w:themeColor="accent2" w:themeTint="99"/>
                </w:tcBorders>
              </w:tcPr>
              <w:p w14:paraId="2E3E9DFA" w14:textId="446B6F05" w:rsidR="00E70528" w:rsidRPr="007B55E7" w:rsidRDefault="00E70528" w:rsidP="00B802D5">
                <w:pPr>
                  <w:rPr>
                    <w:b w:val="0"/>
                    <w:bCs w:val="0"/>
                  </w:rPr>
                </w:pPr>
                <w:r w:rsidRPr="007B55E7">
                  <w:rPr>
                    <w:b w:val="0"/>
                    <w:bCs w:val="0"/>
                  </w:rPr>
                  <w:t>Telephone details, if supplied</w:t>
                </w:r>
              </w:p>
            </w:tc>
            <w:tc>
              <w:tcPr>
                <w:tcW w:w="190" w:type="pct"/>
                <w:tcBorders>
                  <w:top w:val="single" w:sz="4" w:space="0" w:color="FFFFFF" w:themeColor="background1"/>
                  <w:left w:val="single" w:sz="4" w:space="0" w:color="82A7D5" w:themeColor="accent2" w:themeTint="99"/>
                  <w:bottom w:val="single" w:sz="4" w:space="0" w:color="FFFFFF" w:themeColor="background1"/>
                  <w:right w:val="single" w:sz="4" w:space="0" w:color="82A7D5" w:themeColor="accent2" w:themeTint="99"/>
                </w:tcBorders>
              </w:tcPr>
              <w:p w14:paraId="7AA99BFC" w14:textId="77777777" w:rsidR="00E70528" w:rsidRPr="003C457D" w:rsidRDefault="00E70528" w:rsidP="00B802D5">
                <w:pPr>
                  <w:cnfStyle w:val="000000000000" w:firstRow="0" w:lastRow="0" w:firstColumn="0" w:lastColumn="0" w:oddVBand="0" w:evenVBand="0" w:oddHBand="0" w:evenHBand="0" w:firstRowFirstColumn="0" w:firstRowLastColumn="0" w:lastRowFirstColumn="0" w:lastRowLastColumn="0"/>
                  <w:rPr>
                    <w:highlight w:val="yellow"/>
                  </w:rPr>
                </w:pPr>
              </w:p>
            </w:tc>
            <w:tc>
              <w:tcPr>
                <w:tcW w:w="2419" w:type="pct"/>
                <w:tcBorders>
                  <w:left w:val="single" w:sz="4" w:space="0" w:color="82A7D5" w:themeColor="accent2" w:themeTint="99"/>
                  <w:right w:val="single" w:sz="4" w:space="0" w:color="82A7D5" w:themeColor="accent2" w:themeTint="99"/>
                </w:tcBorders>
              </w:tcPr>
              <w:p w14:paraId="333F3A6A" w14:textId="1B884FC2" w:rsidR="00E70528" w:rsidRPr="00960822" w:rsidRDefault="00E70528" w:rsidP="00B802D5">
                <w:pPr>
                  <w:cnfStyle w:val="000000000000" w:firstRow="0" w:lastRow="0" w:firstColumn="0" w:lastColumn="0" w:oddVBand="0" w:evenVBand="0" w:oddHBand="0" w:evenHBand="0" w:firstRowFirstColumn="0" w:firstRowLastColumn="0" w:lastRowFirstColumn="0" w:lastRowLastColumn="0"/>
                </w:pPr>
                <w:r w:rsidRPr="00960822">
                  <w:t>Property address if transaction relates to the rental of real property.</w:t>
                </w:r>
              </w:p>
            </w:tc>
          </w:tr>
          <w:tr w:rsidR="00CF756B" w:rsidRPr="007B55E7" w14:paraId="49E67EBD" w14:textId="77777777" w:rsidTr="00CC72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1" w:type="pct"/>
                <w:tcBorders>
                  <w:left w:val="single" w:sz="4" w:space="0" w:color="82A7D5" w:themeColor="accent2" w:themeTint="99"/>
                  <w:right w:val="single" w:sz="4" w:space="0" w:color="82A7D5" w:themeColor="accent2" w:themeTint="99"/>
                </w:tcBorders>
              </w:tcPr>
              <w:p w14:paraId="42E50D75" w14:textId="688EE948" w:rsidR="00E70528" w:rsidRPr="007B55E7" w:rsidRDefault="00E70528" w:rsidP="00B802D5">
                <w:pPr>
                  <w:rPr>
                    <w:b w:val="0"/>
                    <w:bCs w:val="0"/>
                  </w:rPr>
                </w:pPr>
                <w:r w:rsidRPr="007B55E7">
                  <w:rPr>
                    <w:b w:val="0"/>
                    <w:bCs w:val="0"/>
                  </w:rPr>
                  <w:t>Email details, if supplied</w:t>
                </w:r>
              </w:p>
            </w:tc>
            <w:tc>
              <w:tcPr>
                <w:tcW w:w="190" w:type="pct"/>
                <w:tcBorders>
                  <w:top w:val="single" w:sz="4" w:space="0" w:color="FFFFFF" w:themeColor="background1"/>
                  <w:left w:val="single" w:sz="4" w:space="0" w:color="82A7D5" w:themeColor="accent2" w:themeTint="99"/>
                  <w:bottom w:val="single" w:sz="4" w:space="0" w:color="FFFFFF"/>
                  <w:right w:val="single" w:sz="4" w:space="0" w:color="82A7D5" w:themeColor="accent2" w:themeTint="99"/>
                </w:tcBorders>
                <w:shd w:val="clear" w:color="auto" w:fill="auto"/>
              </w:tcPr>
              <w:p w14:paraId="7C456DE2" w14:textId="77777777" w:rsidR="00E70528" w:rsidRPr="003C457D" w:rsidRDefault="00E70528" w:rsidP="00B802D5">
                <w:pPr>
                  <w:cnfStyle w:val="000000100000" w:firstRow="0" w:lastRow="0" w:firstColumn="0" w:lastColumn="0" w:oddVBand="0" w:evenVBand="0" w:oddHBand="1" w:evenHBand="0" w:firstRowFirstColumn="0" w:firstRowLastColumn="0" w:lastRowFirstColumn="0" w:lastRowLastColumn="0"/>
                  <w:rPr>
                    <w:highlight w:val="yellow"/>
                  </w:rPr>
                </w:pPr>
              </w:p>
            </w:tc>
            <w:tc>
              <w:tcPr>
                <w:tcW w:w="2419" w:type="pct"/>
                <w:tcBorders>
                  <w:left w:val="single" w:sz="4" w:space="0" w:color="82A7D5" w:themeColor="accent2" w:themeTint="99"/>
                  <w:right w:val="single" w:sz="4" w:space="0" w:color="82A7D5" w:themeColor="accent2" w:themeTint="99"/>
                </w:tcBorders>
              </w:tcPr>
              <w:p w14:paraId="6842132C" w14:textId="40CC64D7" w:rsidR="00E70528" w:rsidRPr="00960822" w:rsidRDefault="00E70528" w:rsidP="00B802D5">
                <w:pPr>
                  <w:cnfStyle w:val="000000100000" w:firstRow="0" w:lastRow="0" w:firstColumn="0" w:lastColumn="0" w:oddVBand="0" w:evenVBand="0" w:oddHBand="1" w:evenHBand="0" w:firstRowFirstColumn="0" w:firstRowLastColumn="0" w:lastRowFirstColumn="0" w:lastRowLastColumn="0"/>
                  <w:rPr>
                    <w:highlight w:val="yellow"/>
                  </w:rPr>
                </w:pPr>
                <w:r w:rsidRPr="00960822">
                  <w:t>Period for which property booked during reporting period if transaction relates to the rental of real property.</w:t>
                </w:r>
              </w:p>
            </w:tc>
          </w:tr>
        </w:tbl>
        <w:p w14:paraId="0C1AFF0B" w14:textId="40B22018" w:rsidR="00C60763" w:rsidRPr="007B55E7" w:rsidRDefault="00C60763" w:rsidP="00C60763">
          <w:pPr>
            <w:pStyle w:val="Heading2"/>
          </w:pPr>
          <w:r w:rsidRPr="007B55E7">
            <w:t>When does this information need to be reported to the ATO?</w:t>
          </w:r>
        </w:p>
        <w:p w14:paraId="0352D0EE" w14:textId="2607E3D0" w:rsidR="003C1B46" w:rsidRPr="007B55E7" w:rsidRDefault="003C1B46" w:rsidP="003C1B46">
          <w:r w:rsidRPr="007B55E7">
            <w:t xml:space="preserve">The ATO will specify the frequency of </w:t>
          </w:r>
          <w:proofErr w:type="gramStart"/>
          <w:r w:rsidRPr="007B55E7">
            <w:t>reporting, and</w:t>
          </w:r>
          <w:proofErr w:type="gramEnd"/>
          <w:r w:rsidRPr="007B55E7">
            <w:t xml:space="preserve"> has indicated it would initially look to </w:t>
          </w:r>
          <w:r w:rsidR="001E18BB">
            <w:t>require</w:t>
          </w:r>
          <w:r w:rsidR="001E18BB" w:rsidRPr="007B55E7">
            <w:t xml:space="preserve"> </w:t>
          </w:r>
          <w:r w:rsidRPr="007B55E7">
            <w:t>reporting on a biannual basis (1 July – 31 December, 1 January – 30 June), with information to be reported by 31 January and 31 July respectively.</w:t>
          </w:r>
        </w:p>
        <w:p w14:paraId="23154C81" w14:textId="24BD0AC4" w:rsidR="00C60763" w:rsidRPr="007B55E7" w:rsidRDefault="00C60763" w:rsidP="00C60763">
          <w:pPr>
            <w:pStyle w:val="Heading2"/>
          </w:pPr>
          <w:r w:rsidRPr="007B55E7">
            <w:lastRenderedPageBreak/>
            <w:t>How will this information be reported?</w:t>
          </w:r>
        </w:p>
        <w:p w14:paraId="0D760FEB" w14:textId="7E75FA20" w:rsidR="00677A02" w:rsidRPr="00677A02" w:rsidRDefault="00537769" w:rsidP="00677A02">
          <w:r w:rsidRPr="00677A02">
            <w:t>Information will need to be reported via an ‘approved form’</w:t>
          </w:r>
          <w:r w:rsidR="00677A02" w:rsidRPr="00677A02">
            <w:t xml:space="preserve"> </w:t>
          </w:r>
          <w:r w:rsidRPr="00677A02">
            <w:t xml:space="preserve">set by the ATO. The ATO has indicated that </w:t>
          </w:r>
          <w:r w:rsidR="00677A02">
            <w:t>this</w:t>
          </w:r>
          <w:r w:rsidRPr="00677A02">
            <w:t xml:space="preserve"> form will </w:t>
          </w:r>
          <w:r w:rsidR="00677A02">
            <w:t>include</w:t>
          </w:r>
          <w:r w:rsidRPr="00677A02">
            <w:t xml:space="preserve"> a validly generated XML file. This XML file is usually generated by </w:t>
          </w:r>
          <w:r w:rsidR="00677A02">
            <w:t>most</w:t>
          </w:r>
          <w:r w:rsidRPr="00677A02">
            <w:t xml:space="preserve"> business management software using an XML schema and accommodates information systems</w:t>
          </w:r>
          <w:r w:rsidR="00677A02" w:rsidRPr="00677A02">
            <w:t xml:space="preserve"> </w:t>
          </w:r>
          <w:r w:rsidRPr="00677A02">
            <w:t xml:space="preserve">commonly found in the market. Details on the XML schema will be available from </w:t>
          </w:r>
          <w:hyperlink r:id="rId16" w:history="1">
            <w:r w:rsidRPr="00591C65">
              <w:rPr>
                <w:rStyle w:val="Hyperlink"/>
              </w:rPr>
              <w:t>softwaredevelopers.ato.gov.au</w:t>
            </w:r>
          </w:hyperlink>
          <w:r w:rsidRPr="00677A02">
            <w:t xml:space="preserve">. The ATO will provide further guidance to </w:t>
          </w:r>
          <w:r w:rsidR="00591C65">
            <w:t>platform operators</w:t>
          </w:r>
          <w:r w:rsidRPr="00677A02">
            <w:t xml:space="preserve"> on lodg</w:t>
          </w:r>
          <w:r w:rsidR="00677A02" w:rsidRPr="00677A02">
            <w:t>e</w:t>
          </w:r>
          <w:r w:rsidRPr="00677A02">
            <w:t>ment options once these are finalised.</w:t>
          </w:r>
        </w:p>
        <w:p w14:paraId="479A2D0A" w14:textId="0885C54C" w:rsidR="00904FF6" w:rsidRPr="007B55E7" w:rsidRDefault="00904FF6" w:rsidP="00904FF6">
          <w:pPr>
            <w:pStyle w:val="Heading2"/>
          </w:pPr>
          <w:r w:rsidRPr="007B55E7">
            <w:t xml:space="preserve">What other obligations </w:t>
          </w:r>
          <w:r w:rsidR="00A97CA7">
            <w:t>will apply to</w:t>
          </w:r>
          <w:r w:rsidR="00A97CA7" w:rsidRPr="007B55E7">
            <w:t xml:space="preserve"> </w:t>
          </w:r>
          <w:r w:rsidR="00A97CA7">
            <w:t>platform operators</w:t>
          </w:r>
          <w:r w:rsidRPr="007B55E7">
            <w:t>?</w:t>
          </w:r>
        </w:p>
        <w:p w14:paraId="00BEA19E" w14:textId="1DEBCCBF" w:rsidR="00904FF6" w:rsidRPr="007B55E7" w:rsidRDefault="00EE1E2F" w:rsidP="00904FF6">
          <w:r w:rsidRPr="007B55E7">
            <w:t xml:space="preserve">Platform operators will be required to take reasonable care to ensure the information they report is not false or misleading. </w:t>
          </w:r>
          <w:r w:rsidR="00350563" w:rsidRPr="007B55E7">
            <w:t>Platform operators will have the flexibility to decide how to best achieve this, acknowledging that solutions will differ between platforms based on size and industry. Operators are encouraged to consider how existing onboarding and data collection systems and processes could be used to achieve an acceptable level of assurance to the accuracy of information. The ATO has indicated that it will work with platform operators over time to improve data accuracy.</w:t>
          </w:r>
        </w:p>
        <w:p w14:paraId="15F428C9" w14:textId="7025119B" w:rsidR="002F3B88" w:rsidRPr="007B55E7" w:rsidRDefault="002F3B88" w:rsidP="002F3B88">
          <w:pPr>
            <w:pStyle w:val="Heading2"/>
          </w:pPr>
          <w:r w:rsidRPr="007B55E7">
            <w:t xml:space="preserve">Once the regime is legislated, who </w:t>
          </w:r>
          <w:r w:rsidR="00591C65">
            <w:t>can platform operators</w:t>
          </w:r>
          <w:r w:rsidRPr="007B55E7">
            <w:t xml:space="preserve"> </w:t>
          </w:r>
          <w:r w:rsidR="00791E92">
            <w:t>contact</w:t>
          </w:r>
          <w:r w:rsidRPr="007B55E7">
            <w:t xml:space="preserve"> about</w:t>
          </w:r>
          <w:r w:rsidR="00904FF6" w:rsidRPr="007B55E7">
            <w:t xml:space="preserve"> </w:t>
          </w:r>
          <w:r w:rsidRPr="007B55E7">
            <w:t>the regime</w:t>
          </w:r>
          <w:r w:rsidR="00791E92">
            <w:t xml:space="preserve"> and obligations</w:t>
          </w:r>
          <w:r w:rsidRPr="007B55E7">
            <w:t>?</w:t>
          </w:r>
        </w:p>
        <w:p w14:paraId="35DBCF58" w14:textId="60268B91" w:rsidR="00016528" w:rsidRDefault="00AF1A83" w:rsidP="006D3C99">
          <w:r w:rsidRPr="007B55E7">
            <w:t xml:space="preserve">Once the regime is legislated and implemented, businesses unsure about their reporting obligations or requiring further information on the regime should first contact the ATO </w:t>
          </w:r>
          <w:r w:rsidR="00791E92">
            <w:t xml:space="preserve">through the normal contact channels for businesses and tax </w:t>
          </w:r>
          <w:r w:rsidR="00791E92" w:rsidRPr="00791E92">
            <w:t>agents</w:t>
          </w:r>
          <w:r w:rsidR="00791E92">
            <w:t xml:space="preserve">, including at </w:t>
          </w:r>
          <w:hyperlink r:id="rId17" w:history="1">
            <w:r w:rsidR="00791E92" w:rsidRPr="00791E92">
              <w:rPr>
                <w:rStyle w:val="Hyperlink"/>
              </w:rPr>
              <w:t>ato.gov.au</w:t>
            </w:r>
          </w:hyperlink>
          <w:r w:rsidR="00791E92">
            <w:t>.</w:t>
          </w:r>
          <w:r w:rsidR="00791E92" w:rsidRPr="00D40C3B" w:rsidDel="00791E92">
            <w:t xml:space="preserve"> </w:t>
          </w:r>
          <w:r w:rsidRPr="00791E92">
            <w:t>The</w:t>
          </w:r>
          <w:r w:rsidRPr="007B55E7">
            <w:t xml:space="preserve"> ATO will work with businesses to help them understand and meet </w:t>
          </w:r>
          <w:r w:rsidR="007B55E7" w:rsidRPr="007B55E7">
            <w:t>any</w:t>
          </w:r>
          <w:r w:rsidRPr="007B55E7">
            <w:t xml:space="preserve"> reporting obligations</w:t>
          </w:r>
          <w:r w:rsidR="007B55E7" w:rsidRPr="007B55E7">
            <w:t xml:space="preserve"> they may have</w:t>
          </w:r>
          <w:r w:rsidRPr="007B55E7">
            <w:t xml:space="preserve"> under the regime.</w:t>
          </w:r>
        </w:p>
      </w:sdtContent>
    </w:sdt>
    <w:sectPr w:rsidR="00016528" w:rsidSect="00C472FE">
      <w:headerReference w:type="even" r:id="rId18"/>
      <w:headerReference w:type="default" r:id="rId19"/>
      <w:footerReference w:type="even" r:id="rId20"/>
      <w:footerReference w:type="default" r:id="rId21"/>
      <w:pgSz w:w="11906" w:h="16838" w:code="9"/>
      <w:pgMar w:top="2211" w:right="1418" w:bottom="1418" w:left="1418"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0553A5" w14:textId="77777777" w:rsidR="000A11DE" w:rsidRDefault="000A11DE">
      <w:pPr>
        <w:spacing w:before="0" w:after="0"/>
      </w:pPr>
      <w:r>
        <w:separator/>
      </w:r>
    </w:p>
  </w:endnote>
  <w:endnote w:type="continuationSeparator" w:id="0">
    <w:p w14:paraId="082A1E16" w14:textId="77777777" w:rsidR="000A11DE" w:rsidRDefault="000A11DE">
      <w:pPr>
        <w:spacing w:before="0" w:after="0"/>
      </w:pPr>
      <w:r>
        <w:continuationSeparator/>
      </w:r>
    </w:p>
  </w:endnote>
  <w:endnote w:type="continuationNotice" w:id="1">
    <w:p w14:paraId="33255C96" w14:textId="77777777" w:rsidR="000A11DE" w:rsidRDefault="000A11D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old">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8F3037" w14:textId="77777777" w:rsidR="00942749" w:rsidRPr="00E77C89" w:rsidRDefault="00942749" w:rsidP="00EE1447">
    <w:pPr>
      <w:pStyle w:val="FooterEven"/>
    </w:pPr>
    <w:r>
      <w:fldChar w:fldCharType="begin"/>
    </w:r>
    <w:r>
      <w:instrText xml:space="preserve"> PAGE  \* Arabic  \* MERGEFORMAT </w:instrText>
    </w:r>
    <w:r>
      <w:fldChar w:fldCharType="separate"/>
    </w:r>
    <w: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65724131"/>
      <w:docPartObj>
        <w:docPartGallery w:val="Page Numbers (Bottom of Page)"/>
        <w:docPartUnique/>
      </w:docPartObj>
    </w:sdtPr>
    <w:sdtEndPr/>
    <w:sdtContent>
      <w:sdt>
        <w:sdtPr>
          <w:id w:val="-1769616900"/>
          <w:docPartObj>
            <w:docPartGallery w:val="Page Numbers (Top of Page)"/>
            <w:docPartUnique/>
          </w:docPartObj>
        </w:sdtPr>
        <w:sdtEndPr/>
        <w:sdtContent>
          <w:p w14:paraId="261612B1" w14:textId="77777777" w:rsidR="00942749" w:rsidRDefault="00942749" w:rsidP="008F6A18">
            <w:pPr>
              <w:pStyle w:val="Footer"/>
              <w:tabs>
                <w:tab w:val="clear" w:pos="4513"/>
                <w:tab w:val="center" w:pos="8931"/>
                <w:tab w:val="left" w:pos="9026"/>
              </w:tabs>
              <w:jc w:val="left"/>
            </w:pPr>
            <w:r>
              <w:t>treasury.gov.au</w:t>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3B8B53" w14:textId="77777777" w:rsidR="000A11DE" w:rsidRDefault="000A11DE">
      <w:pPr>
        <w:spacing w:before="0" w:after="0"/>
      </w:pPr>
      <w:r>
        <w:separator/>
      </w:r>
    </w:p>
  </w:footnote>
  <w:footnote w:type="continuationSeparator" w:id="0">
    <w:p w14:paraId="3E220645" w14:textId="77777777" w:rsidR="000A11DE" w:rsidRDefault="000A11DE">
      <w:pPr>
        <w:spacing w:before="0" w:after="0"/>
      </w:pPr>
      <w:r>
        <w:continuationSeparator/>
      </w:r>
    </w:p>
  </w:footnote>
  <w:footnote w:type="continuationNotice" w:id="1">
    <w:p w14:paraId="4214FC28" w14:textId="77777777" w:rsidR="000A11DE" w:rsidRDefault="000A11D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0FD89F" w14:textId="77777777" w:rsidR="00942749" w:rsidRPr="001F3912" w:rsidRDefault="000A11DE" w:rsidP="00A12F62">
    <w:pPr>
      <w:pStyle w:val="HeaderEven"/>
    </w:pPr>
    <w:r>
      <w:fldChar w:fldCharType="begin"/>
    </w:r>
    <w:r>
      <w:instrText xml:space="preserve"> STYLERE</w:instrText>
    </w:r>
    <w:r>
      <w:instrText xml:space="preserve">F  Title  \* MERGEFORMAT </w:instrText>
    </w:r>
    <w:r>
      <w:fldChar w:fldCharType="separate"/>
    </w:r>
    <w:r w:rsidR="00942749">
      <w:rPr>
        <w:noProof/>
      </w:rPr>
      <w:t>Fact sheet</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F57E1A" w14:textId="3BDD8CB2" w:rsidR="00942749" w:rsidRPr="001F3912" w:rsidRDefault="00942749" w:rsidP="004668FA">
    <w:pPr>
      <w:pStyle w:val="HeaderOdd"/>
      <w:jc w:val="center"/>
    </w:pPr>
    <w:r w:rsidRPr="000E4466">
      <w:rPr>
        <w:b w:val="0"/>
        <w:bCs/>
        <w:noProof/>
        <w:color w:val="FFFFFF" w:themeColor="background1"/>
      </w:rPr>
      <w:drawing>
        <wp:anchor distT="0" distB="0" distL="114300" distR="114300" simplePos="0" relativeHeight="251658240" behindDoc="1" locked="0" layoutInCell="1" allowOverlap="1" wp14:anchorId="5FF709D1" wp14:editId="23407CE8">
          <wp:simplePos x="0" y="0"/>
          <wp:positionH relativeFrom="page">
            <wp:align>right</wp:align>
          </wp:positionH>
          <wp:positionV relativeFrom="paragraph">
            <wp:posOffset>-288290</wp:posOffset>
          </wp:positionV>
          <wp:extent cx="7548533" cy="1067752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actsheet headers2.png"/>
                  <pic:cNvPicPr/>
                </pic:nvPicPr>
                <pic:blipFill>
                  <a:blip r:embed="rId1">
                    <a:extLst>
                      <a:ext uri="{28A0092B-C50C-407E-A947-70E740481C1C}">
                        <a14:useLocalDpi xmlns:a14="http://schemas.microsoft.com/office/drawing/2010/main" val="0"/>
                      </a:ext>
                    </a:extLst>
                  </a:blip>
                  <a:stretch>
                    <a:fillRect/>
                  </a:stretch>
                </pic:blipFill>
                <pic:spPr>
                  <a:xfrm>
                    <a:off x="0" y="0"/>
                    <a:ext cx="7548533" cy="10677522"/>
                  </a:xfrm>
                  <a:prstGeom prst="rect">
                    <a:avLst/>
                  </a:prstGeom>
                </pic:spPr>
              </pic:pic>
            </a:graphicData>
          </a:graphic>
          <wp14:sizeRelH relativeFrom="page">
            <wp14:pctWidth>0</wp14:pctWidth>
          </wp14:sizeRelH>
          <wp14:sizeRelV relativeFrom="page">
            <wp14:pctHeight>0</wp14:pctHeight>
          </wp14:sizeRelV>
        </wp:anchor>
      </w:drawing>
    </w:r>
    <w:r>
      <w:rPr>
        <w:b w:val="0"/>
        <w:bCs/>
        <w:color w:val="FFFFFF" w:themeColor="background1"/>
      </w:rPr>
      <w:t xml:space="preserve">               </w:t>
    </w:r>
    <w:r w:rsidR="000A11DE">
      <w:fldChar w:fldCharType="begin"/>
    </w:r>
    <w:r w:rsidR="000A11DE">
      <w:instrText xml:space="preserve"> STYLEREF  Title  \* MERGEFORMAT </w:instrText>
    </w:r>
    <w:r w:rsidR="000A11DE">
      <w:fldChar w:fldCharType="separate"/>
    </w:r>
    <w:r w:rsidR="002F3B13">
      <w:rPr>
        <w:noProof/>
      </w:rPr>
      <w:t>Introducing a sharing economy reporting regime - Fact sheet for exposure draft legislation</w:t>
    </w:r>
    <w:r w:rsidR="000A11DE">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329CA"/>
    <w:multiLevelType w:val="multilevel"/>
    <w:tmpl w:val="BE44C77E"/>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7ED3FC7"/>
    <w:multiLevelType w:val="multilevel"/>
    <w:tmpl w:val="79E48CD8"/>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6CC4E5D"/>
    <w:multiLevelType w:val="multilevel"/>
    <w:tmpl w:val="D10E9CF6"/>
    <w:numStyleLink w:val="OneLevelList"/>
  </w:abstractNum>
  <w:abstractNum w:abstractNumId="5"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7" w15:restartNumberingAfterBreak="0">
    <w:nsid w:val="27826BF0"/>
    <w:multiLevelType w:val="multilevel"/>
    <w:tmpl w:val="6D0AA75C"/>
    <w:lvl w:ilvl="0">
      <w:start w:val="1"/>
      <w:numFmt w:val="lowerRoman"/>
      <w:pStyle w:val="Romannumeral"/>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08C2710"/>
    <w:multiLevelType w:val="multilevel"/>
    <w:tmpl w:val="0D723674"/>
    <w:styleLink w:val="BulletedList"/>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9"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3284B0E"/>
    <w:multiLevelType w:val="hybridMultilevel"/>
    <w:tmpl w:val="169477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AC243E9"/>
    <w:multiLevelType w:val="hybridMultilevel"/>
    <w:tmpl w:val="5016E86E"/>
    <w:lvl w:ilvl="0" w:tplc="53462560">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14" w15:restartNumberingAfterBreak="0">
    <w:nsid w:val="510D2021"/>
    <w:multiLevelType w:val="multilevel"/>
    <w:tmpl w:val="72F8140E"/>
    <w:numStyleLink w:val="OutlineList"/>
  </w:abstractNum>
  <w:abstractNum w:abstractNumId="15" w15:restartNumberingAfterBreak="0">
    <w:nsid w:val="5EB63AD0"/>
    <w:multiLevelType w:val="multilevel"/>
    <w:tmpl w:val="BE44C77E"/>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9"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abstractNumId w:val="8"/>
  </w:num>
  <w:num w:numId="2">
    <w:abstractNumId w:val="1"/>
  </w:num>
  <w:num w:numId="3">
    <w:abstractNumId w:val="10"/>
  </w:num>
  <w:num w:numId="4">
    <w:abstractNumId w:val="3"/>
  </w:num>
  <w:num w:numId="5">
    <w:abstractNumId w:val="4"/>
  </w:num>
  <w:num w:numId="6">
    <w:abstractNumId w:val="14"/>
  </w:num>
  <w:num w:numId="7">
    <w:abstractNumId w:val="9"/>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5"/>
  </w:num>
  <w:num w:numId="9">
    <w:abstractNumId w:val="2"/>
  </w:num>
  <w:num w:numId="10">
    <w:abstractNumId w:val="7"/>
  </w:num>
  <w:num w:numId="11">
    <w:abstractNumId w:val="18"/>
  </w:num>
  <w:num w:numId="12">
    <w:abstractNumId w:val="14"/>
  </w:num>
  <w:num w:numId="13">
    <w:abstractNumId w:val="19"/>
  </w:num>
  <w:num w:numId="14">
    <w:abstractNumId w:val="13"/>
  </w:num>
  <w:num w:numId="15">
    <w:abstractNumId w:val="6"/>
  </w:num>
  <w:num w:numId="16">
    <w:abstractNumId w:val="16"/>
  </w:num>
  <w:num w:numId="17">
    <w:abstractNumId w:val="9"/>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15"/>
  </w:num>
  <w:num w:numId="21">
    <w:abstractNumId w:val="11"/>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mirrorMargins/>
  <w:proofState w:spelling="clean" w:grammar="clean"/>
  <w:attachedTemplate r:id="rId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9A6"/>
    <w:rsid w:val="00004EAB"/>
    <w:rsid w:val="00011725"/>
    <w:rsid w:val="00012C62"/>
    <w:rsid w:val="0001396A"/>
    <w:rsid w:val="00016528"/>
    <w:rsid w:val="000168AD"/>
    <w:rsid w:val="0002544D"/>
    <w:rsid w:val="00025495"/>
    <w:rsid w:val="000258AB"/>
    <w:rsid w:val="0004274D"/>
    <w:rsid w:val="00043348"/>
    <w:rsid w:val="0004483F"/>
    <w:rsid w:val="0005138B"/>
    <w:rsid w:val="000522B7"/>
    <w:rsid w:val="00056880"/>
    <w:rsid w:val="000675D1"/>
    <w:rsid w:val="00073521"/>
    <w:rsid w:val="000775DE"/>
    <w:rsid w:val="00087FAF"/>
    <w:rsid w:val="000953BF"/>
    <w:rsid w:val="000A11DE"/>
    <w:rsid w:val="000B6292"/>
    <w:rsid w:val="000C571D"/>
    <w:rsid w:val="000C5F40"/>
    <w:rsid w:val="000E0B74"/>
    <w:rsid w:val="000E2B9E"/>
    <w:rsid w:val="000E4466"/>
    <w:rsid w:val="000E7901"/>
    <w:rsid w:val="00131DC3"/>
    <w:rsid w:val="00135E4C"/>
    <w:rsid w:val="001373F5"/>
    <w:rsid w:val="001574C0"/>
    <w:rsid w:val="001606CF"/>
    <w:rsid w:val="0016128D"/>
    <w:rsid w:val="0017089D"/>
    <w:rsid w:val="0019101A"/>
    <w:rsid w:val="001972D2"/>
    <w:rsid w:val="001C2253"/>
    <w:rsid w:val="001C358D"/>
    <w:rsid w:val="001C7F5A"/>
    <w:rsid w:val="001E18BB"/>
    <w:rsid w:val="001E7F3C"/>
    <w:rsid w:val="001F1B27"/>
    <w:rsid w:val="002071AF"/>
    <w:rsid w:val="002131DA"/>
    <w:rsid w:val="002134E0"/>
    <w:rsid w:val="00220329"/>
    <w:rsid w:val="00221EC0"/>
    <w:rsid w:val="00231049"/>
    <w:rsid w:val="002314D2"/>
    <w:rsid w:val="0023305C"/>
    <w:rsid w:val="00241881"/>
    <w:rsid w:val="0024294C"/>
    <w:rsid w:val="0025652F"/>
    <w:rsid w:val="00263B6C"/>
    <w:rsid w:val="00272939"/>
    <w:rsid w:val="0027590B"/>
    <w:rsid w:val="00285969"/>
    <w:rsid w:val="00291CA1"/>
    <w:rsid w:val="002A7096"/>
    <w:rsid w:val="002A74EF"/>
    <w:rsid w:val="002B1D58"/>
    <w:rsid w:val="002B3829"/>
    <w:rsid w:val="002B6F39"/>
    <w:rsid w:val="002C22EF"/>
    <w:rsid w:val="002E2D10"/>
    <w:rsid w:val="002E454C"/>
    <w:rsid w:val="002F3B13"/>
    <w:rsid w:val="002F3B88"/>
    <w:rsid w:val="002F617F"/>
    <w:rsid w:val="00300109"/>
    <w:rsid w:val="00301755"/>
    <w:rsid w:val="0030665E"/>
    <w:rsid w:val="00306894"/>
    <w:rsid w:val="003122F4"/>
    <w:rsid w:val="003268D5"/>
    <w:rsid w:val="003448F6"/>
    <w:rsid w:val="00350563"/>
    <w:rsid w:val="00350759"/>
    <w:rsid w:val="00354D27"/>
    <w:rsid w:val="00355ED7"/>
    <w:rsid w:val="0035738A"/>
    <w:rsid w:val="00370E3B"/>
    <w:rsid w:val="00382095"/>
    <w:rsid w:val="003858A6"/>
    <w:rsid w:val="00392DCC"/>
    <w:rsid w:val="003A5B36"/>
    <w:rsid w:val="003A6AFC"/>
    <w:rsid w:val="003C1B0B"/>
    <w:rsid w:val="003C1B46"/>
    <w:rsid w:val="003C24B4"/>
    <w:rsid w:val="003C457D"/>
    <w:rsid w:val="003E20D6"/>
    <w:rsid w:val="003E4D87"/>
    <w:rsid w:val="003F7F09"/>
    <w:rsid w:val="00401082"/>
    <w:rsid w:val="0041436E"/>
    <w:rsid w:val="00416762"/>
    <w:rsid w:val="00416E55"/>
    <w:rsid w:val="0042518A"/>
    <w:rsid w:val="004276A0"/>
    <w:rsid w:val="0044144B"/>
    <w:rsid w:val="0044329F"/>
    <w:rsid w:val="00445265"/>
    <w:rsid w:val="004559CE"/>
    <w:rsid w:val="00460E1A"/>
    <w:rsid w:val="00463DF8"/>
    <w:rsid w:val="00464630"/>
    <w:rsid w:val="00464D63"/>
    <w:rsid w:val="004668FA"/>
    <w:rsid w:val="00475085"/>
    <w:rsid w:val="00476CF6"/>
    <w:rsid w:val="00477AA8"/>
    <w:rsid w:val="00492FCB"/>
    <w:rsid w:val="004A0F11"/>
    <w:rsid w:val="004A3EAA"/>
    <w:rsid w:val="004A7D97"/>
    <w:rsid w:val="004B5133"/>
    <w:rsid w:val="004C41B6"/>
    <w:rsid w:val="004D6E37"/>
    <w:rsid w:val="004E00EA"/>
    <w:rsid w:val="004F4B92"/>
    <w:rsid w:val="005078D3"/>
    <w:rsid w:val="00512D29"/>
    <w:rsid w:val="00516785"/>
    <w:rsid w:val="0052419D"/>
    <w:rsid w:val="005301F8"/>
    <w:rsid w:val="005312FC"/>
    <w:rsid w:val="0053569E"/>
    <w:rsid w:val="0053603D"/>
    <w:rsid w:val="0053742A"/>
    <w:rsid w:val="00537769"/>
    <w:rsid w:val="00537C85"/>
    <w:rsid w:val="00541D29"/>
    <w:rsid w:val="00555862"/>
    <w:rsid w:val="005561E4"/>
    <w:rsid w:val="00562F17"/>
    <w:rsid w:val="0056582C"/>
    <w:rsid w:val="00565AAF"/>
    <w:rsid w:val="005868DE"/>
    <w:rsid w:val="005877AC"/>
    <w:rsid w:val="00591C65"/>
    <w:rsid w:val="005937B9"/>
    <w:rsid w:val="005966B7"/>
    <w:rsid w:val="005B5E2A"/>
    <w:rsid w:val="005C02A4"/>
    <w:rsid w:val="005C20D2"/>
    <w:rsid w:val="005C32FE"/>
    <w:rsid w:val="005C503A"/>
    <w:rsid w:val="005D024A"/>
    <w:rsid w:val="005D0DD6"/>
    <w:rsid w:val="005D4FD4"/>
    <w:rsid w:val="005D6D64"/>
    <w:rsid w:val="00601650"/>
    <w:rsid w:val="00604EEF"/>
    <w:rsid w:val="00605AFD"/>
    <w:rsid w:val="006123D4"/>
    <w:rsid w:val="0061445B"/>
    <w:rsid w:val="00624C4B"/>
    <w:rsid w:val="006251F6"/>
    <w:rsid w:val="00653E5C"/>
    <w:rsid w:val="006564D3"/>
    <w:rsid w:val="0067036F"/>
    <w:rsid w:val="00675652"/>
    <w:rsid w:val="0067622C"/>
    <w:rsid w:val="00677A02"/>
    <w:rsid w:val="00685CF7"/>
    <w:rsid w:val="00686165"/>
    <w:rsid w:val="00691CB5"/>
    <w:rsid w:val="006923DF"/>
    <w:rsid w:val="006A37F5"/>
    <w:rsid w:val="006B38FF"/>
    <w:rsid w:val="006C1892"/>
    <w:rsid w:val="006C5B73"/>
    <w:rsid w:val="006C645D"/>
    <w:rsid w:val="006D3C99"/>
    <w:rsid w:val="006D431B"/>
    <w:rsid w:val="006E2D2A"/>
    <w:rsid w:val="006E3CC3"/>
    <w:rsid w:val="006E6F62"/>
    <w:rsid w:val="00706E8E"/>
    <w:rsid w:val="00722B53"/>
    <w:rsid w:val="007331C0"/>
    <w:rsid w:val="007509DD"/>
    <w:rsid w:val="00763474"/>
    <w:rsid w:val="0077602A"/>
    <w:rsid w:val="00784C0A"/>
    <w:rsid w:val="00791E92"/>
    <w:rsid w:val="00794B40"/>
    <w:rsid w:val="007A1079"/>
    <w:rsid w:val="007A4824"/>
    <w:rsid w:val="007B2677"/>
    <w:rsid w:val="007B55E7"/>
    <w:rsid w:val="007B76AB"/>
    <w:rsid w:val="007D592B"/>
    <w:rsid w:val="007D5AA6"/>
    <w:rsid w:val="007D7A91"/>
    <w:rsid w:val="007E6456"/>
    <w:rsid w:val="00805215"/>
    <w:rsid w:val="00811943"/>
    <w:rsid w:val="00825010"/>
    <w:rsid w:val="008311B8"/>
    <w:rsid w:val="00834243"/>
    <w:rsid w:val="00834507"/>
    <w:rsid w:val="00844F7B"/>
    <w:rsid w:val="00854675"/>
    <w:rsid w:val="00857969"/>
    <w:rsid w:val="00882CC4"/>
    <w:rsid w:val="008844AC"/>
    <w:rsid w:val="00887A99"/>
    <w:rsid w:val="008C1701"/>
    <w:rsid w:val="008C7F71"/>
    <w:rsid w:val="008D339F"/>
    <w:rsid w:val="008E6292"/>
    <w:rsid w:val="008F23EB"/>
    <w:rsid w:val="008F6A18"/>
    <w:rsid w:val="00904FF6"/>
    <w:rsid w:val="00917E28"/>
    <w:rsid w:val="00920CFD"/>
    <w:rsid w:val="00925AA5"/>
    <w:rsid w:val="009268E0"/>
    <w:rsid w:val="0093540D"/>
    <w:rsid w:val="00935813"/>
    <w:rsid w:val="0094019D"/>
    <w:rsid w:val="00942749"/>
    <w:rsid w:val="00942C11"/>
    <w:rsid w:val="0094351F"/>
    <w:rsid w:val="009547F8"/>
    <w:rsid w:val="00960822"/>
    <w:rsid w:val="009729D4"/>
    <w:rsid w:val="00976FBD"/>
    <w:rsid w:val="009775D1"/>
    <w:rsid w:val="00980759"/>
    <w:rsid w:val="009817B0"/>
    <w:rsid w:val="009821CE"/>
    <w:rsid w:val="00986BC7"/>
    <w:rsid w:val="009A277C"/>
    <w:rsid w:val="009A2BF2"/>
    <w:rsid w:val="009A39E9"/>
    <w:rsid w:val="009A4F11"/>
    <w:rsid w:val="009A658F"/>
    <w:rsid w:val="009E171B"/>
    <w:rsid w:val="00A015E8"/>
    <w:rsid w:val="00A05976"/>
    <w:rsid w:val="00A07D47"/>
    <w:rsid w:val="00A12F62"/>
    <w:rsid w:val="00A14FE9"/>
    <w:rsid w:val="00A22FA8"/>
    <w:rsid w:val="00A3749B"/>
    <w:rsid w:val="00A37D87"/>
    <w:rsid w:val="00A50D88"/>
    <w:rsid w:val="00A56923"/>
    <w:rsid w:val="00A62E42"/>
    <w:rsid w:val="00A64A71"/>
    <w:rsid w:val="00A72960"/>
    <w:rsid w:val="00A72D8F"/>
    <w:rsid w:val="00A81851"/>
    <w:rsid w:val="00A93401"/>
    <w:rsid w:val="00A979DF"/>
    <w:rsid w:val="00A97CA7"/>
    <w:rsid w:val="00AA6929"/>
    <w:rsid w:val="00AA7EFE"/>
    <w:rsid w:val="00AB0427"/>
    <w:rsid w:val="00AC3196"/>
    <w:rsid w:val="00AE2F90"/>
    <w:rsid w:val="00AF1A83"/>
    <w:rsid w:val="00AF1CD9"/>
    <w:rsid w:val="00B03DD6"/>
    <w:rsid w:val="00B3583B"/>
    <w:rsid w:val="00B36132"/>
    <w:rsid w:val="00B37A8F"/>
    <w:rsid w:val="00B65347"/>
    <w:rsid w:val="00B65DE1"/>
    <w:rsid w:val="00B802D5"/>
    <w:rsid w:val="00B87927"/>
    <w:rsid w:val="00BA7E4F"/>
    <w:rsid w:val="00BD26AA"/>
    <w:rsid w:val="00BD454F"/>
    <w:rsid w:val="00BF3F5F"/>
    <w:rsid w:val="00BF76D3"/>
    <w:rsid w:val="00C01DCC"/>
    <w:rsid w:val="00C202B3"/>
    <w:rsid w:val="00C21EE0"/>
    <w:rsid w:val="00C30297"/>
    <w:rsid w:val="00C472FE"/>
    <w:rsid w:val="00C57E60"/>
    <w:rsid w:val="00C60763"/>
    <w:rsid w:val="00C72318"/>
    <w:rsid w:val="00C724E6"/>
    <w:rsid w:val="00C730DB"/>
    <w:rsid w:val="00C747A5"/>
    <w:rsid w:val="00C77D55"/>
    <w:rsid w:val="00C85314"/>
    <w:rsid w:val="00C85E9C"/>
    <w:rsid w:val="00C965FA"/>
    <w:rsid w:val="00CA0116"/>
    <w:rsid w:val="00CA4BC0"/>
    <w:rsid w:val="00CA5CA8"/>
    <w:rsid w:val="00CB0157"/>
    <w:rsid w:val="00CB5205"/>
    <w:rsid w:val="00CC559D"/>
    <w:rsid w:val="00CC72A8"/>
    <w:rsid w:val="00CD654B"/>
    <w:rsid w:val="00CD6AF5"/>
    <w:rsid w:val="00CE223E"/>
    <w:rsid w:val="00CE746D"/>
    <w:rsid w:val="00CF3F0D"/>
    <w:rsid w:val="00CF756B"/>
    <w:rsid w:val="00D101F7"/>
    <w:rsid w:val="00D145F5"/>
    <w:rsid w:val="00D355F0"/>
    <w:rsid w:val="00D40C3B"/>
    <w:rsid w:val="00D43AC8"/>
    <w:rsid w:val="00D44EB1"/>
    <w:rsid w:val="00D56113"/>
    <w:rsid w:val="00D670AB"/>
    <w:rsid w:val="00D833D9"/>
    <w:rsid w:val="00D83BD9"/>
    <w:rsid w:val="00D94DCF"/>
    <w:rsid w:val="00D94EAE"/>
    <w:rsid w:val="00DA586F"/>
    <w:rsid w:val="00DB08DA"/>
    <w:rsid w:val="00DB5F87"/>
    <w:rsid w:val="00DB7F09"/>
    <w:rsid w:val="00DC00E8"/>
    <w:rsid w:val="00DC1C56"/>
    <w:rsid w:val="00DC1DF4"/>
    <w:rsid w:val="00DC4756"/>
    <w:rsid w:val="00DC6379"/>
    <w:rsid w:val="00DE0F30"/>
    <w:rsid w:val="00DE3C77"/>
    <w:rsid w:val="00DF6F61"/>
    <w:rsid w:val="00E024E3"/>
    <w:rsid w:val="00E047DE"/>
    <w:rsid w:val="00E101C6"/>
    <w:rsid w:val="00E21091"/>
    <w:rsid w:val="00E22D51"/>
    <w:rsid w:val="00E40068"/>
    <w:rsid w:val="00E50E7C"/>
    <w:rsid w:val="00E51545"/>
    <w:rsid w:val="00E51D9E"/>
    <w:rsid w:val="00E537D1"/>
    <w:rsid w:val="00E567E6"/>
    <w:rsid w:val="00E56971"/>
    <w:rsid w:val="00E61484"/>
    <w:rsid w:val="00E61F87"/>
    <w:rsid w:val="00E6710C"/>
    <w:rsid w:val="00E70528"/>
    <w:rsid w:val="00E711D7"/>
    <w:rsid w:val="00E815E1"/>
    <w:rsid w:val="00E902B0"/>
    <w:rsid w:val="00E902E8"/>
    <w:rsid w:val="00EA23AC"/>
    <w:rsid w:val="00EA7C3D"/>
    <w:rsid w:val="00EB4359"/>
    <w:rsid w:val="00EB6878"/>
    <w:rsid w:val="00EC17D3"/>
    <w:rsid w:val="00EC1E0E"/>
    <w:rsid w:val="00EC236D"/>
    <w:rsid w:val="00EC6B16"/>
    <w:rsid w:val="00EE1447"/>
    <w:rsid w:val="00EE1E2F"/>
    <w:rsid w:val="00EF145E"/>
    <w:rsid w:val="00EF21A3"/>
    <w:rsid w:val="00EF2BBB"/>
    <w:rsid w:val="00F0082D"/>
    <w:rsid w:val="00F015AB"/>
    <w:rsid w:val="00F07C90"/>
    <w:rsid w:val="00F1632B"/>
    <w:rsid w:val="00F27D90"/>
    <w:rsid w:val="00F30679"/>
    <w:rsid w:val="00F33DB8"/>
    <w:rsid w:val="00F559EE"/>
    <w:rsid w:val="00F57BED"/>
    <w:rsid w:val="00F60198"/>
    <w:rsid w:val="00F719A6"/>
    <w:rsid w:val="00F7613A"/>
    <w:rsid w:val="00F82746"/>
    <w:rsid w:val="00F836F9"/>
    <w:rsid w:val="00F845D7"/>
    <w:rsid w:val="00F92279"/>
    <w:rsid w:val="00F93C00"/>
    <w:rsid w:val="00FB21A1"/>
    <w:rsid w:val="00FB4D21"/>
    <w:rsid w:val="00FB762B"/>
    <w:rsid w:val="00FC6ADA"/>
    <w:rsid w:val="00FE568C"/>
    <w:rsid w:val="00FF447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78CD0D"/>
  <w15:docId w15:val="{0781A305-3B09-4C29-A367-0DEBD96E7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6AA"/>
    <w:pPr>
      <w:spacing w:before="120" w:after="120" w:line="240" w:lineRule="auto"/>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475085"/>
    <w:pPr>
      <w:spacing w:before="480"/>
      <w:outlineLvl w:val="0"/>
    </w:pPr>
    <w:rPr>
      <w:bCs w:val="0"/>
    </w:rPr>
  </w:style>
  <w:style w:type="paragraph" w:styleId="Heading2">
    <w:name w:val="heading 2"/>
    <w:basedOn w:val="HeadingBase"/>
    <w:next w:val="Normal"/>
    <w:link w:val="Heading2Char"/>
    <w:qFormat/>
    <w:rsid w:val="000E0B74"/>
    <w:pPr>
      <w:spacing w:before="360"/>
      <w:outlineLvl w:val="1"/>
    </w:pPr>
    <w:rPr>
      <w:bCs w:val="0"/>
      <w:iCs/>
      <w:sz w:val="36"/>
      <w:szCs w:val="28"/>
    </w:rPr>
  </w:style>
  <w:style w:type="paragraph" w:styleId="Heading3">
    <w:name w:val="heading 3"/>
    <w:basedOn w:val="HeadingBase"/>
    <w:next w:val="Normal"/>
    <w:link w:val="Heading3Char"/>
    <w:qFormat/>
    <w:rsid w:val="006564D3"/>
    <w:pPr>
      <w:spacing w:before="240"/>
      <w:outlineLvl w:val="2"/>
    </w:pPr>
    <w:rPr>
      <w:bCs w:val="0"/>
      <w:color w:val="3A6FAF" w:themeColor="accent2"/>
      <w:sz w:val="28"/>
      <w:szCs w:val="26"/>
    </w:rPr>
  </w:style>
  <w:style w:type="paragraph" w:styleId="Heading4">
    <w:name w:val="heading 4"/>
    <w:basedOn w:val="HeadingBase"/>
    <w:next w:val="Normal"/>
    <w:link w:val="Heading4Char"/>
    <w:qFormat/>
    <w:rsid w:val="006564D3"/>
    <w:pPr>
      <w:outlineLvl w:val="3"/>
    </w:pPr>
    <w:rPr>
      <w:bCs w:val="0"/>
      <w:color w:val="3A6FAF" w:themeColor="accent2"/>
      <w:sz w:val="26"/>
      <w:szCs w:val="26"/>
    </w:rPr>
  </w:style>
  <w:style w:type="paragraph" w:styleId="Heading5">
    <w:name w:val="heading 5"/>
    <w:basedOn w:val="HeadingBase"/>
    <w:next w:val="Normal"/>
    <w:link w:val="Heading5Char"/>
    <w:rsid w:val="001972D2"/>
    <w:pPr>
      <w:outlineLvl w:val="4"/>
    </w:pPr>
    <w:rPr>
      <w:b/>
      <w:bCs w:val="0"/>
      <w:iCs/>
      <w:sz w:val="22"/>
    </w:rPr>
  </w:style>
  <w:style w:type="paragraph" w:styleId="Heading6">
    <w:name w:val="heading 6"/>
    <w:basedOn w:val="HeadingBase"/>
    <w:next w:val="Normal"/>
    <w:link w:val="Heading6Char"/>
    <w:rsid w:val="001972D2"/>
    <w:pPr>
      <w:outlineLvl w:val="5"/>
    </w:pPr>
    <w:rPr>
      <w:bCs w:val="0"/>
      <w:sz w:val="22"/>
      <w:szCs w:val="22"/>
    </w:rPr>
  </w:style>
  <w:style w:type="paragraph" w:styleId="Heading7">
    <w:name w:val="heading 7"/>
    <w:basedOn w:val="Normal"/>
    <w:next w:val="Normal"/>
    <w:link w:val="Heading7Char"/>
    <w:uiPriority w:val="9"/>
    <w:semiHidden/>
    <w:unhideWhenUsed/>
    <w:rsid w:val="00464D63"/>
    <w:pPr>
      <w:keepNext/>
      <w:keepLines/>
      <w:spacing w:before="40" w:after="0"/>
      <w:outlineLvl w:val="6"/>
    </w:pPr>
    <w:rPr>
      <w:rFonts w:asciiTheme="majorHAnsi" w:eastAsiaTheme="majorEastAsia" w:hAnsiTheme="majorHAnsi" w:cstheme="majorBidi"/>
      <w:i/>
      <w:iCs/>
      <w:color w:val="00152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5085"/>
    <w:rPr>
      <w:rFonts w:ascii="Calibri" w:eastAsia="Times New Roman" w:hAnsi="Calibri" w:cs="Arial"/>
      <w:color w:val="004A7F"/>
      <w:kern w:val="32"/>
      <w:sz w:val="48"/>
      <w:szCs w:val="36"/>
      <w:lang w:eastAsia="en-AU"/>
    </w:rPr>
  </w:style>
  <w:style w:type="character" w:customStyle="1" w:styleId="Heading2Char">
    <w:name w:val="Heading 2 Char"/>
    <w:basedOn w:val="DefaultParagraphFont"/>
    <w:link w:val="Heading2"/>
    <w:rsid w:val="003E4D87"/>
    <w:rPr>
      <w:rFonts w:ascii="Calibri" w:eastAsia="Times New Roman" w:hAnsi="Calibri" w:cs="Arial"/>
      <w:iCs/>
      <w:color w:val="004A7F"/>
      <w:kern w:val="32"/>
      <w:sz w:val="36"/>
      <w:szCs w:val="28"/>
      <w:lang w:eastAsia="en-AU"/>
    </w:rPr>
  </w:style>
  <w:style w:type="character" w:customStyle="1" w:styleId="Heading3Char">
    <w:name w:val="Heading 3 Char"/>
    <w:basedOn w:val="DefaultParagraphFont"/>
    <w:link w:val="Heading3"/>
    <w:rsid w:val="006564D3"/>
    <w:rPr>
      <w:rFonts w:ascii="Calibri" w:eastAsia="Times New Roman" w:hAnsi="Calibri" w:cs="Arial"/>
      <w:color w:val="3A6FAF" w:themeColor="accent2"/>
      <w:kern w:val="32"/>
      <w:sz w:val="28"/>
      <w:szCs w:val="26"/>
      <w:lang w:eastAsia="en-AU"/>
    </w:rPr>
  </w:style>
  <w:style w:type="character" w:customStyle="1" w:styleId="Heading4Char">
    <w:name w:val="Heading 4 Char"/>
    <w:basedOn w:val="DefaultParagraphFont"/>
    <w:link w:val="Heading4"/>
    <w:rsid w:val="006564D3"/>
    <w:rPr>
      <w:rFonts w:ascii="Calibri" w:eastAsia="Times New Roman" w:hAnsi="Calibri" w:cs="Arial"/>
      <w:color w:val="3A6FAF" w:themeColor="accent2"/>
      <w:kern w:val="32"/>
      <w:sz w:val="26"/>
      <w:szCs w:val="26"/>
      <w:lang w:eastAsia="en-AU"/>
    </w:rPr>
  </w:style>
  <w:style w:type="character" w:customStyle="1" w:styleId="Heading5Char">
    <w:name w:val="Heading 5 Char"/>
    <w:basedOn w:val="DefaultParagraphFont"/>
    <w:link w:val="Heading5"/>
    <w:rsid w:val="001972D2"/>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1972D2"/>
    <w:rPr>
      <w:rFonts w:ascii="Calibri" w:eastAsia="Times New Roman" w:hAnsi="Calibri" w:cs="Arial"/>
      <w:color w:val="004A7F"/>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rsid w:val="000E0B74"/>
    <w:pPr>
      <w:numPr>
        <w:ilvl w:val="1"/>
        <w:numId w:val="10"/>
      </w:numPr>
      <w:spacing w:before="0"/>
    </w:pPr>
  </w:style>
  <w:style w:type="paragraph" w:customStyle="1" w:styleId="BoxBullet">
    <w:name w:val="Box Bullet"/>
    <w:basedOn w:val="Normal"/>
    <w:rsid w:val="000E0B74"/>
    <w:pPr>
      <w:numPr>
        <w:numId w:val="2"/>
      </w:numPr>
      <w:spacing w:before="0"/>
      <w:ind w:left="284" w:hanging="284"/>
    </w:pPr>
  </w:style>
  <w:style w:type="paragraph" w:customStyle="1" w:styleId="BoxDash">
    <w:name w:val="Box Dash"/>
    <w:basedOn w:val="Normal"/>
    <w:rsid w:val="000E0B74"/>
    <w:pPr>
      <w:numPr>
        <w:ilvl w:val="1"/>
        <w:numId w:val="2"/>
      </w:numPr>
      <w:spacing w:before="0"/>
      <w:ind w:left="568"/>
    </w:pPr>
  </w:style>
  <w:style w:type="paragraph" w:customStyle="1" w:styleId="BoxDoubleDot">
    <w:name w:val="Box Double Dot"/>
    <w:basedOn w:val="Normal"/>
    <w:rsid w:val="000E0B74"/>
    <w:pPr>
      <w:numPr>
        <w:ilvl w:val="2"/>
        <w:numId w:val="2"/>
      </w:numPr>
      <w:spacing w:before="0"/>
      <w:ind w:left="851" w:hanging="284"/>
    </w:pPr>
  </w:style>
  <w:style w:type="paragraph" w:customStyle="1" w:styleId="BoxHeading">
    <w:name w:val="Box Heading"/>
    <w:basedOn w:val="Normal"/>
    <w:next w:val="Normal"/>
    <w:rsid w:val="00F93C00"/>
    <w:pPr>
      <w:keepNext/>
      <w:spacing w:before="240"/>
    </w:pPr>
    <w:rPr>
      <w:b/>
      <w:color w:val="002C47" w:themeColor="accent1"/>
      <w:sz w:val="26"/>
      <w:szCs w:val="26"/>
    </w:rPr>
  </w:style>
  <w:style w:type="paragraph" w:customStyle="1" w:styleId="BoxText">
    <w:name w:val="Box Text"/>
    <w:basedOn w:val="Normal"/>
    <w:rsid w:val="000E0B74"/>
  </w:style>
  <w:style w:type="paragraph" w:customStyle="1" w:styleId="Bullet">
    <w:name w:val="Bullet"/>
    <w:aliases w:val="Body,Bullet + line,b,b + line,b1,level 1"/>
    <w:basedOn w:val="Normal"/>
    <w:link w:val="BulletChar"/>
    <w:qFormat/>
    <w:rsid w:val="000E0B74"/>
    <w:pPr>
      <w:numPr>
        <w:numId w:val="1"/>
      </w:numPr>
      <w:spacing w:before="0"/>
      <w:ind w:left="284" w:hanging="284"/>
    </w:pPr>
  </w:style>
  <w:style w:type="paragraph" w:customStyle="1" w:styleId="ChartandTableFootnoteAlpha">
    <w:name w:val="Chart and Table Footnote Alpha"/>
    <w:rsid w:val="0023305C"/>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6564D3"/>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6564D3"/>
    <w:pPr>
      <w:jc w:val="center"/>
    </w:pPr>
  </w:style>
  <w:style w:type="paragraph" w:customStyle="1" w:styleId="ReportDate">
    <w:name w:val="Report Date"/>
    <w:basedOn w:val="Normal"/>
    <w:link w:val="ReportDateChar"/>
    <w:rsid w:val="00CD6AF5"/>
    <w:pPr>
      <w:keepNext/>
      <w:spacing w:before="0" w:after="360"/>
    </w:pPr>
    <w:rPr>
      <w:color w:val="B5F7FF" w:themeColor="accent5" w:themeTint="33"/>
      <w:sz w:val="24"/>
    </w:rPr>
  </w:style>
  <w:style w:type="paragraph" w:customStyle="1" w:styleId="Dash">
    <w:name w:val="Dash"/>
    <w:basedOn w:val="Normal"/>
    <w:link w:val="DashChar"/>
    <w:qFormat/>
    <w:rsid w:val="000E0B74"/>
    <w:pPr>
      <w:numPr>
        <w:ilvl w:val="1"/>
        <w:numId w:val="1"/>
      </w:numPr>
      <w:spacing w:before="0"/>
      <w:ind w:left="568"/>
    </w:pPr>
  </w:style>
  <w:style w:type="paragraph" w:customStyle="1" w:styleId="DoubleDot">
    <w:name w:val="Double Dot"/>
    <w:basedOn w:val="Normal"/>
    <w:link w:val="DoubleDotChar"/>
    <w:qFormat/>
    <w:rsid w:val="000E0B74"/>
    <w:pPr>
      <w:numPr>
        <w:ilvl w:val="2"/>
        <w:numId w:val="1"/>
      </w:numPr>
      <w:spacing w:before="0"/>
      <w:ind w:left="851" w:hanging="284"/>
    </w:pPr>
  </w:style>
  <w:style w:type="paragraph" w:customStyle="1" w:styleId="TableMainHeading">
    <w:name w:val="Table Main Heading"/>
    <w:basedOn w:val="Heading3"/>
    <w:next w:val="Normal"/>
    <w:rsid w:val="000E0B74"/>
    <w:pPr>
      <w:spacing w:before="120" w:after="0"/>
    </w:pPr>
    <w:rPr>
      <w:b/>
    </w:rPr>
  </w:style>
  <w:style w:type="paragraph" w:customStyle="1" w:styleId="FooterEven">
    <w:name w:val="Footer Even"/>
    <w:basedOn w:val="Footer"/>
    <w:rsid w:val="00F60198"/>
    <w:pPr>
      <w:keepNext/>
      <w:tabs>
        <w:tab w:val="clear" w:pos="4513"/>
        <w:tab w:val="clear" w:pos="9026"/>
      </w:tabs>
      <w:jc w:val="left"/>
    </w:pPr>
    <w:rPr>
      <w:noProof/>
    </w:rPr>
  </w:style>
  <w:style w:type="paragraph" w:customStyle="1" w:styleId="FooterOdd">
    <w:name w:val="Footer Odd"/>
    <w:basedOn w:val="Footer"/>
    <w:rsid w:val="00F60198"/>
    <w:pPr>
      <w:keepNext/>
      <w:tabs>
        <w:tab w:val="clear" w:pos="4513"/>
        <w:tab w:val="clear" w:pos="9026"/>
      </w:tabs>
      <w:jc w:val="right"/>
    </w:pPr>
  </w:style>
  <w:style w:type="character" w:styleId="Hyperlink">
    <w:name w:val="Hyperlink"/>
    <w:basedOn w:val="DefaultParagraphFont"/>
    <w:uiPriority w:val="99"/>
    <w:rsid w:val="006564D3"/>
    <w:rPr>
      <w:color w:val="3A6FAF" w:themeColor="accent2"/>
      <w:u w:val="none"/>
    </w:rPr>
  </w:style>
  <w:style w:type="paragraph" w:customStyle="1" w:styleId="OutlineNumbered1">
    <w:name w:val="Outline Numbered 1"/>
    <w:basedOn w:val="Normal"/>
    <w:rsid w:val="000E0B74"/>
    <w:pPr>
      <w:numPr>
        <w:numId w:val="6"/>
      </w:numPr>
      <w:spacing w:before="0"/>
    </w:pPr>
  </w:style>
  <w:style w:type="paragraph" w:customStyle="1" w:styleId="OneLevelNumberedParagraph">
    <w:name w:val="One Level Numbered Paragraph"/>
    <w:basedOn w:val="Normal"/>
    <w:rsid w:val="000E0B74"/>
    <w:pPr>
      <w:numPr>
        <w:numId w:val="5"/>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Romannumeral">
    <w:name w:val="Roman numeral"/>
    <w:basedOn w:val="Normal"/>
    <w:rsid w:val="004F4B92"/>
    <w:pPr>
      <w:numPr>
        <w:numId w:val="10"/>
      </w:numPr>
      <w:tabs>
        <w:tab w:val="clear" w:pos="720"/>
        <w:tab w:val="num" w:pos="851"/>
      </w:tabs>
      <w:spacing w:before="0"/>
      <w:ind w:left="851" w:hanging="851"/>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464D63"/>
    <w:pPr>
      <w:keepNext/>
      <w:spacing w:before="0" w:after="20"/>
    </w:pPr>
    <w:rPr>
      <w:b/>
      <w:color w:val="3A6FAF" w:themeColor="accent2"/>
    </w:rPr>
  </w:style>
  <w:style w:type="paragraph" w:customStyle="1" w:styleId="TableColumnHeadingCentred">
    <w:name w:val="Table Column Heading Centred"/>
    <w:basedOn w:val="TableTextLeft"/>
    <w:rsid w:val="006564D3"/>
    <w:pPr>
      <w:jc w:val="center"/>
    </w:pPr>
    <w:rPr>
      <w:b/>
      <w:color w:val="002C47" w:themeColor="accent1"/>
      <w:sz w:val="20"/>
    </w:rPr>
  </w:style>
  <w:style w:type="paragraph" w:customStyle="1" w:styleId="TableColumnHeadingLeft">
    <w:name w:val="Table Column Heading Left"/>
    <w:basedOn w:val="TableTextLeft"/>
    <w:rsid w:val="006564D3"/>
    <w:rPr>
      <w:b/>
      <w:color w:val="002C47" w:themeColor="accent1"/>
      <w:sz w:val="20"/>
    </w:rPr>
  </w:style>
  <w:style w:type="paragraph" w:customStyle="1" w:styleId="TableColumnHeadingRight">
    <w:name w:val="Table Column Heading Right"/>
    <w:basedOn w:val="TableTextLeft"/>
    <w:rsid w:val="006564D3"/>
    <w:pPr>
      <w:jc w:val="right"/>
    </w:pPr>
    <w:rPr>
      <w:b/>
      <w:color w:val="002C47" w:themeColor="accent1"/>
      <w:sz w:val="20"/>
    </w:rPr>
  </w:style>
  <w:style w:type="table" w:styleId="TableGrid">
    <w:name w:val="Table Grid"/>
    <w:basedOn w:val="TableNormal"/>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1972D2"/>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rsid w:val="006564D3"/>
    <w:pPr>
      <w:keepNext/>
      <w:tabs>
        <w:tab w:val="right" w:leader="dot" w:pos="9072"/>
      </w:tabs>
      <w:spacing w:before="180" w:after="0"/>
      <w:ind w:right="-2"/>
    </w:pPr>
    <w:rPr>
      <w:b/>
      <w:noProof/>
      <w:color w:val="002C47" w:themeColor="accent1"/>
      <w:szCs w:val="22"/>
    </w:rPr>
  </w:style>
  <w:style w:type="paragraph" w:styleId="TOC2">
    <w:name w:val="toc 2"/>
    <w:basedOn w:val="Normal"/>
    <w:next w:val="Normal"/>
    <w:uiPriority w:val="39"/>
    <w:rsid w:val="006564D3"/>
    <w:pPr>
      <w:keepNext/>
      <w:tabs>
        <w:tab w:val="right" w:leader="dot" w:pos="9072"/>
      </w:tabs>
      <w:spacing w:before="40" w:after="20"/>
      <w:ind w:right="-2"/>
    </w:pPr>
    <w:rPr>
      <w:noProof/>
      <w:color w:val="002C47" w:themeColor="accent1"/>
    </w:rPr>
  </w:style>
  <w:style w:type="paragraph" w:styleId="TOC3">
    <w:name w:val="toc 3"/>
    <w:basedOn w:val="Normal"/>
    <w:next w:val="Normal"/>
    <w:uiPriority w:val="39"/>
    <w:rsid w:val="006564D3"/>
    <w:pPr>
      <w:tabs>
        <w:tab w:val="right" w:leader="dot" w:pos="9072"/>
      </w:tabs>
      <w:spacing w:before="20" w:after="0"/>
      <w:ind w:left="284" w:right="-2"/>
    </w:pPr>
    <w:rPr>
      <w:rFonts w:cs="Calibri"/>
      <w:noProof/>
      <w:color w:val="3A6FAF" w:themeColor="accent2"/>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7"/>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rsid w:val="000E0B74"/>
    <w:pPr>
      <w:numPr>
        <w:ilvl w:val="2"/>
        <w:numId w:val="8"/>
      </w:numPr>
      <w:ind w:left="284" w:hanging="284"/>
    </w:pPr>
  </w:style>
  <w:style w:type="paragraph" w:styleId="Title">
    <w:name w:val="Title"/>
    <w:basedOn w:val="Normal"/>
    <w:next w:val="Normal"/>
    <w:link w:val="TitleChar"/>
    <w:uiPriority w:val="10"/>
    <w:qFormat/>
    <w:rsid w:val="009A4F11"/>
    <w:pPr>
      <w:spacing w:before="0" w:after="300"/>
      <w:contextualSpacing/>
    </w:pPr>
    <w:rPr>
      <w:rFonts w:eastAsiaTheme="majorEastAsia" w:cstheme="majorBidi"/>
      <w:b/>
      <w:color w:val="FFFFFF" w:themeColor="background1"/>
      <w:spacing w:val="5"/>
      <w:kern w:val="28"/>
      <w:sz w:val="72"/>
      <w:szCs w:val="52"/>
    </w:rPr>
  </w:style>
  <w:style w:type="character" w:customStyle="1" w:styleId="TitleChar">
    <w:name w:val="Title Char"/>
    <w:basedOn w:val="DefaultParagraphFont"/>
    <w:link w:val="Title"/>
    <w:uiPriority w:val="10"/>
    <w:rsid w:val="009A4F11"/>
    <w:rPr>
      <w:rFonts w:ascii="Calibri" w:eastAsiaTheme="majorEastAsia" w:hAnsi="Calibri" w:cstheme="majorBidi"/>
      <w:b/>
      <w:color w:val="FFFFFF" w:themeColor="background1"/>
      <w:spacing w:val="5"/>
      <w:kern w:val="28"/>
      <w:sz w:val="72"/>
      <w:szCs w:val="52"/>
      <w:lang w:eastAsia="en-AU"/>
    </w:rPr>
  </w:style>
  <w:style w:type="paragraph" w:styleId="Subtitle">
    <w:name w:val="Subtitle"/>
    <w:basedOn w:val="Normal"/>
    <w:next w:val="Normal"/>
    <w:link w:val="SubtitleChar"/>
    <w:uiPriority w:val="11"/>
    <w:qFormat/>
    <w:rsid w:val="009A4F11"/>
    <w:pPr>
      <w:numPr>
        <w:ilvl w:val="1"/>
      </w:numPr>
    </w:pPr>
    <w:rPr>
      <w:rFonts w:eastAsiaTheme="majorEastAsia" w:cstheme="majorBidi"/>
      <w:iCs/>
      <w:color w:val="EAEAEA" w:themeColor="background2"/>
      <w:sz w:val="44"/>
      <w:szCs w:val="44"/>
    </w:rPr>
  </w:style>
  <w:style w:type="character" w:customStyle="1" w:styleId="SubtitleChar">
    <w:name w:val="Subtitle Char"/>
    <w:basedOn w:val="DefaultParagraphFont"/>
    <w:link w:val="Subtitle"/>
    <w:uiPriority w:val="11"/>
    <w:rsid w:val="009A4F11"/>
    <w:rPr>
      <w:rFonts w:ascii="Calibri" w:eastAsiaTheme="majorEastAsia" w:hAnsi="Calibri" w:cstheme="majorBidi"/>
      <w:iCs/>
      <w:color w:val="EAEAEA" w:themeColor="background2"/>
      <w:sz w:val="44"/>
      <w:szCs w:val="44"/>
      <w:lang w:eastAsia="en-AU"/>
    </w:rPr>
  </w:style>
  <w:style w:type="character" w:styleId="SubtleEmphasis">
    <w:name w:val="Subtle Emphasis"/>
    <w:basedOn w:val="DefaultParagraphFont"/>
    <w:uiPriority w:val="19"/>
    <w:rsid w:val="000E0B74"/>
    <w:rPr>
      <w:i/>
      <w:iCs/>
      <w:color w:val="808080" w:themeColor="text1" w:themeTint="7F"/>
    </w:rPr>
  </w:style>
  <w:style w:type="paragraph" w:styleId="Footer">
    <w:name w:val="footer"/>
    <w:basedOn w:val="Normal"/>
    <w:link w:val="FooterChar"/>
    <w:uiPriority w:val="99"/>
    <w:unhideWhenUsed/>
    <w:rsid w:val="00F60198"/>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uiPriority w:val="99"/>
    <w:rsid w:val="00F60198"/>
    <w:rPr>
      <w:rFonts w:ascii="Calibri" w:eastAsia="Times New Roman" w:hAnsi="Calibri" w:cs="Times New Roman"/>
      <w:color w:val="002C47"/>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rsid w:val="006564D3"/>
    <w:pPr>
      <w:keepNext/>
      <w:spacing w:after="120" w:line="240" w:lineRule="auto"/>
    </w:pPr>
    <w:rPr>
      <w:rFonts w:ascii="Calibri" w:eastAsia="Times New Roman" w:hAnsi="Calibri" w:cs="Arial"/>
      <w:bCs/>
      <w:color w:val="002C47" w:themeColor="accent1"/>
      <w:kern w:val="32"/>
      <w:sz w:val="48"/>
      <w:szCs w:val="36"/>
      <w:lang w:eastAsia="en-AU"/>
    </w:rPr>
  </w:style>
  <w:style w:type="character" w:customStyle="1" w:styleId="ReportDateChar">
    <w:name w:val="Report Date Char"/>
    <w:basedOn w:val="DefaultParagraphFont"/>
    <w:link w:val="ReportDate"/>
    <w:rsid w:val="00CD6AF5"/>
    <w:rPr>
      <w:rFonts w:ascii="Calibri" w:eastAsia="Times New Roman" w:hAnsi="Calibri" w:cs="Times New Roman"/>
      <w:color w:val="B5F7FF" w:themeColor="accent5" w:themeTint="33"/>
      <w:sz w:val="24"/>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5F5F5F" w:themeColor="text2"/>
      <w:sz w:val="22"/>
    </w:rPr>
  </w:style>
  <w:style w:type="character" w:customStyle="1" w:styleId="Heading7Char">
    <w:name w:val="Heading 7 Char"/>
    <w:basedOn w:val="DefaultParagraphFont"/>
    <w:link w:val="Heading7"/>
    <w:uiPriority w:val="9"/>
    <w:semiHidden/>
    <w:rsid w:val="00464D63"/>
    <w:rPr>
      <w:rFonts w:asciiTheme="majorHAnsi" w:eastAsiaTheme="majorEastAsia" w:hAnsiTheme="majorHAnsi" w:cstheme="majorBidi"/>
      <w:i/>
      <w:iCs/>
      <w:color w:val="001523" w:themeColor="accent1" w:themeShade="7F"/>
      <w:szCs w:val="20"/>
      <w:lang w:eastAsia="en-AU"/>
    </w:rPr>
  </w:style>
  <w:style w:type="paragraph" w:customStyle="1" w:styleId="Divider">
    <w:name w:val="Divider"/>
    <w:basedOn w:val="ReportDate"/>
    <w:rsid w:val="002F617F"/>
    <w:pPr>
      <w:spacing w:after="1800"/>
    </w:pPr>
    <w:rPr>
      <w:rFonts w:ascii="Rockwell" w:hAnsi="Rockwell"/>
    </w:rPr>
  </w:style>
  <w:style w:type="character" w:customStyle="1" w:styleId="FramedFooter">
    <w:name w:val="Framed Footer"/>
    <w:rsid w:val="00F60198"/>
    <w:rPr>
      <w:rFonts w:ascii="Arial" w:hAnsi="Arial"/>
      <w:color w:val="002C47"/>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rsid w:val="008E6292"/>
    <w:pPr>
      <w:ind w:left="284"/>
    </w:pPr>
  </w:style>
  <w:style w:type="paragraph" w:customStyle="1" w:styleId="TableHeadingContinued">
    <w:name w:val="Table Heading Continued"/>
    <w:basedOn w:val="TableMainHeading"/>
    <w:next w:val="TableGraphic"/>
    <w:rsid w:val="009A277C"/>
  </w:style>
  <w:style w:type="paragraph" w:customStyle="1" w:styleId="TableGraphic">
    <w:name w:val="Table Graphic"/>
    <w:basedOn w:val="HeadingBase"/>
    <w:next w:val="Normal"/>
    <w:rsid w:val="008E6292"/>
    <w:pPr>
      <w:spacing w:after="0"/>
    </w:pPr>
  </w:style>
  <w:style w:type="paragraph" w:customStyle="1" w:styleId="HeaderEven">
    <w:name w:val="Header Even"/>
    <w:basedOn w:val="Header"/>
    <w:rsid w:val="00F60198"/>
    <w:pPr>
      <w:jc w:val="left"/>
    </w:pPr>
    <w:rPr>
      <w:color w:val="002C47"/>
    </w:rPr>
  </w:style>
  <w:style w:type="paragraph" w:customStyle="1" w:styleId="HeaderOdd">
    <w:name w:val="Header Odd"/>
    <w:basedOn w:val="Header"/>
    <w:qFormat/>
    <w:rsid w:val="000E4466"/>
    <w:rPr>
      <w:b/>
      <w:color w:val="B3FFEE" w:themeColor="accent3" w:themeTint="33"/>
    </w:rPr>
  </w:style>
  <w:style w:type="paragraph" w:styleId="FootnoteText">
    <w:name w:val="footnote text"/>
    <w:basedOn w:val="Normal"/>
    <w:link w:val="FootnoteTextChar"/>
    <w:uiPriority w:val="99"/>
    <w:rsid w:val="008C7F71"/>
    <w:pPr>
      <w:spacing w:before="0" w:after="0"/>
    </w:pPr>
    <w:rPr>
      <w:sz w:val="20"/>
    </w:rPr>
  </w:style>
  <w:style w:type="character" w:customStyle="1" w:styleId="FootnoteTextChar">
    <w:name w:val="Footnote Text Char"/>
    <w:basedOn w:val="DefaultParagraphFont"/>
    <w:link w:val="FootnoteText"/>
    <w:uiPriority w:val="99"/>
    <w:rsid w:val="008C7F71"/>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4C41B6"/>
    <w:rPr>
      <w:rFonts w:ascii="Calibri" w:hAnsi="Calibri"/>
      <w:sz w:val="20"/>
      <w:vertAlign w:val="superscript"/>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character" w:customStyle="1" w:styleId="BulletChar">
    <w:name w:val="Bullet Char"/>
    <w:aliases w:val="Body Char,Bullet + line Char,b + line Char,b + line Char Char,b Char,b Char Char,b1 Char,level 1 Char,L Char,List Paragraph Char,List Paragraph1 Char,List Paragraph11 Char,Number Char,Recommendation Char,List Paragraph2 Char,Bullets Char"/>
    <w:basedOn w:val="DefaultParagraphFont"/>
    <w:link w:val="Bullet"/>
    <w:qFormat/>
    <w:rsid w:val="00A81851"/>
    <w:rPr>
      <w:rFonts w:ascii="Calibri" w:eastAsia="Times New Roman" w:hAnsi="Calibri" w:cs="Times New Roman"/>
      <w:szCs w:val="20"/>
      <w:lang w:eastAsia="en-AU"/>
    </w:rPr>
  </w:style>
  <w:style w:type="character" w:customStyle="1" w:styleId="DashChar">
    <w:name w:val="Dash Char"/>
    <w:basedOn w:val="DefaultParagraphFont"/>
    <w:link w:val="Dash"/>
    <w:rsid w:val="00A81851"/>
    <w:rPr>
      <w:rFonts w:ascii="Calibri" w:eastAsia="Times New Roman" w:hAnsi="Calibri" w:cs="Times New Roman"/>
      <w:szCs w:val="20"/>
      <w:lang w:eastAsia="en-AU"/>
    </w:rPr>
  </w:style>
  <w:style w:type="character" w:customStyle="1" w:styleId="DoubleDotChar">
    <w:name w:val="Double Dot Char"/>
    <w:basedOn w:val="DefaultParagraphFont"/>
    <w:link w:val="DoubleDot"/>
    <w:rsid w:val="00A81851"/>
    <w:rPr>
      <w:rFonts w:ascii="Calibri" w:eastAsia="Times New Roman" w:hAnsi="Calibri" w:cs="Times New Roman"/>
      <w:szCs w:val="20"/>
      <w:lang w:eastAsia="en-AU"/>
    </w:rPr>
  </w:style>
  <w:style w:type="paragraph" w:styleId="ListParagraph">
    <w:name w:val="List Paragraph"/>
    <w:basedOn w:val="Normal"/>
    <w:uiPriority w:val="34"/>
    <w:rsid w:val="00E047DE"/>
    <w:pPr>
      <w:ind w:left="720"/>
      <w:contextualSpacing/>
    </w:pPr>
  </w:style>
  <w:style w:type="table" w:styleId="GridTable2-Accent2">
    <w:name w:val="Grid Table 2 Accent 2"/>
    <w:basedOn w:val="TableNormal"/>
    <w:uiPriority w:val="47"/>
    <w:rsid w:val="005D0DD6"/>
    <w:pPr>
      <w:spacing w:after="0" w:line="240" w:lineRule="auto"/>
    </w:pPr>
    <w:tblPr>
      <w:tblStyleRowBandSize w:val="1"/>
      <w:tblStyleColBandSize w:val="1"/>
      <w:tblBorders>
        <w:top w:val="single" w:sz="2" w:space="0" w:color="82A7D5" w:themeColor="accent2" w:themeTint="99"/>
        <w:bottom w:val="single" w:sz="2" w:space="0" w:color="82A7D5" w:themeColor="accent2" w:themeTint="99"/>
        <w:insideH w:val="single" w:sz="2" w:space="0" w:color="82A7D5" w:themeColor="accent2" w:themeTint="99"/>
        <w:insideV w:val="single" w:sz="2" w:space="0" w:color="82A7D5" w:themeColor="accent2" w:themeTint="99"/>
      </w:tblBorders>
    </w:tblPr>
    <w:tblStylePr w:type="firstRow">
      <w:rPr>
        <w:b/>
        <w:bCs/>
      </w:rPr>
      <w:tblPr/>
      <w:tcPr>
        <w:tcBorders>
          <w:top w:val="nil"/>
          <w:bottom w:val="single" w:sz="12" w:space="0" w:color="82A7D5" w:themeColor="accent2" w:themeTint="99"/>
          <w:insideH w:val="nil"/>
          <w:insideV w:val="nil"/>
        </w:tcBorders>
        <w:shd w:val="clear" w:color="auto" w:fill="FFFFFF" w:themeFill="background1"/>
      </w:tcPr>
    </w:tblStylePr>
    <w:tblStylePr w:type="lastRow">
      <w:rPr>
        <w:b/>
        <w:bCs/>
      </w:rPr>
      <w:tblPr/>
      <w:tcPr>
        <w:tcBorders>
          <w:top w:val="double" w:sz="2" w:space="0" w:color="82A7D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E1F1" w:themeFill="accent2" w:themeFillTint="33"/>
      </w:tcPr>
    </w:tblStylePr>
    <w:tblStylePr w:type="band1Horz">
      <w:tblPr/>
      <w:tcPr>
        <w:shd w:val="clear" w:color="auto" w:fill="D5E1F1" w:themeFill="accent2" w:themeFillTint="33"/>
      </w:tcPr>
    </w:tblStylePr>
  </w:style>
  <w:style w:type="character" w:styleId="CommentReference">
    <w:name w:val="annotation reference"/>
    <w:basedOn w:val="DefaultParagraphFont"/>
    <w:uiPriority w:val="99"/>
    <w:semiHidden/>
    <w:unhideWhenUsed/>
    <w:rsid w:val="00AF1CD9"/>
    <w:rPr>
      <w:sz w:val="16"/>
      <w:szCs w:val="16"/>
    </w:rPr>
  </w:style>
  <w:style w:type="paragraph" w:styleId="CommentText">
    <w:name w:val="annotation text"/>
    <w:basedOn w:val="Normal"/>
    <w:link w:val="CommentTextChar"/>
    <w:uiPriority w:val="99"/>
    <w:semiHidden/>
    <w:unhideWhenUsed/>
    <w:rsid w:val="00AF1CD9"/>
    <w:rPr>
      <w:sz w:val="20"/>
    </w:rPr>
  </w:style>
  <w:style w:type="character" w:customStyle="1" w:styleId="CommentTextChar">
    <w:name w:val="Comment Text Char"/>
    <w:basedOn w:val="DefaultParagraphFont"/>
    <w:link w:val="CommentText"/>
    <w:uiPriority w:val="99"/>
    <w:semiHidden/>
    <w:rsid w:val="00AF1CD9"/>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AF1CD9"/>
    <w:rPr>
      <w:b/>
      <w:bCs/>
    </w:rPr>
  </w:style>
  <w:style w:type="character" w:customStyle="1" w:styleId="CommentSubjectChar">
    <w:name w:val="Comment Subject Char"/>
    <w:basedOn w:val="CommentTextChar"/>
    <w:link w:val="CommentSubject"/>
    <w:uiPriority w:val="99"/>
    <w:semiHidden/>
    <w:rsid w:val="00AF1CD9"/>
    <w:rPr>
      <w:rFonts w:ascii="Calibri" w:eastAsia="Times New Roman" w:hAnsi="Calibri" w:cs="Times New Roman"/>
      <w:b/>
      <w:bCs/>
      <w:sz w:val="20"/>
      <w:szCs w:val="20"/>
      <w:lang w:eastAsia="en-AU"/>
    </w:rPr>
  </w:style>
  <w:style w:type="character" w:styleId="UnresolvedMention">
    <w:name w:val="Unresolved Mention"/>
    <w:basedOn w:val="DefaultParagraphFont"/>
    <w:uiPriority w:val="99"/>
    <w:semiHidden/>
    <w:unhideWhenUsed/>
    <w:rsid w:val="00591C65"/>
    <w:rPr>
      <w:color w:val="605E5C"/>
      <w:shd w:val="clear" w:color="auto" w:fill="E1DFDD"/>
    </w:rPr>
  </w:style>
  <w:style w:type="character" w:styleId="FollowedHyperlink">
    <w:name w:val="FollowedHyperlink"/>
    <w:basedOn w:val="DefaultParagraphFont"/>
    <w:uiPriority w:val="99"/>
    <w:semiHidden/>
    <w:unhideWhenUsed/>
    <w:rsid w:val="00E21091"/>
    <w:rPr>
      <w:color w:val="E61E26"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210326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www.ato.gov.au/" TargetMode="External"/><Relationship Id="rId2" Type="http://schemas.openxmlformats.org/officeDocument/2006/relationships/customXml" Target="../customXml/item2.xml"/><Relationship Id="rId16" Type="http://schemas.openxmlformats.org/officeDocument/2006/relationships/hyperlink" Target="https://softwaredevelopers.ato.gov.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Treasury%20Fact%20Sheet.dotm" TargetMode="External"/></Relationships>
</file>

<file path=word/theme/theme1.xml><?xml version="1.0" encoding="utf-8"?>
<a:theme xmlns:a="http://schemas.openxmlformats.org/drawingml/2006/main" name="TSY Corporate">
  <a:themeElements>
    <a:clrScheme name="TSY Corporate">
      <a:dk1>
        <a:sysClr val="windowText" lastClr="000000"/>
      </a:dk1>
      <a:lt1>
        <a:sysClr val="window" lastClr="FFFFFF"/>
      </a:lt1>
      <a:dk2>
        <a:srgbClr val="5F5F5F"/>
      </a:dk2>
      <a:lt2>
        <a:srgbClr val="EAEAEA"/>
      </a:lt2>
      <a:accent1>
        <a:srgbClr val="002C47"/>
      </a:accent1>
      <a:accent2>
        <a:srgbClr val="3A6FAF"/>
      </a:accent2>
      <a:accent3>
        <a:srgbClr val="008569"/>
      </a:accent3>
      <a:accent4>
        <a:srgbClr val="C45154"/>
      </a:accent4>
      <a:accent5>
        <a:srgbClr val="00818F"/>
      </a:accent5>
      <a:accent6>
        <a:srgbClr val="844D9E"/>
      </a:accent6>
      <a:hlink>
        <a:srgbClr val="3A6FAF"/>
      </a:hlink>
      <a:folHlink>
        <a:srgbClr val="E61E2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560149d4e8940498545eba76c67c1b0 xmlns="0f563589-9cf9-4143-b1eb-fb0534803d38">
      <Terms xmlns="http://schemas.microsoft.com/office/infopath/2007/PartnerControls">
        <TermInfo xmlns="http://schemas.microsoft.com/office/infopath/2007/PartnerControls">
          <TermName xmlns="http://schemas.microsoft.com/office/infopath/2007/PartnerControls">Legislative explanatory materials</TermName>
          <TermId xmlns="http://schemas.microsoft.com/office/infopath/2007/PartnerControls">3c285951-65a3-4498-9d9c-cea3b717f4fb</TermId>
        </TermInfo>
      </Terms>
    </h560149d4e8940498545eba76c67c1b0>
    <a545652da9b64c04bddaa252992c2e5c xmlns="0f563589-9cf9-4143-b1eb-fb0534803d38">
      <Terms xmlns="http://schemas.microsoft.com/office/infopath/2007/PartnerControls"/>
    </a545652da9b64c04bddaa252992c2e5c>
    <TaxCatchAll xmlns="0f563589-9cf9-4143-b1eb-fb0534803d38">
      <Value>118</Value>
      <Value>3</Value>
      <Value>119</Value>
    </TaxCatchAll>
    <c36c8e015f43491f9d5b34b1ebe5761b xmlns="0f563589-9cf9-4143-b1eb-fb0534803d38">
      <Terms xmlns="http://schemas.microsoft.com/office/infopath/2007/PartnerControls">
        <TermInfo xmlns="http://schemas.microsoft.com/office/infopath/2007/PartnerControls">
          <TermName xmlns="http://schemas.microsoft.com/office/infopath/2007/PartnerControls">Legislation</TermName>
          <TermId xmlns="http://schemas.microsoft.com/office/infopath/2007/PartnerControls">5e571be3-9403-4bee-9097-046b4b720f43</TermId>
        </TermInfo>
      </Terms>
    </c36c8e015f43491f9d5b34b1ebe5761b>
    <TaxKeywordTaxHTField xmlns="0f563589-9cf9-4143-b1eb-fb0534803d38">
      <Terms xmlns="http://schemas.microsoft.com/office/infopath/2007/PartnerControls"/>
    </TaxKeywordTaxHTField>
    <add27a667d2841e58171e440c698d19c xmlns="0f563589-9cf9-4143-b1eb-fb0534803d38">
      <Terms xmlns="http://schemas.microsoft.com/office/infopath/2007/PartnerControls">
        <TermInfo xmlns="http://schemas.microsoft.com/office/infopath/2007/PartnerControls">
          <TermName xmlns="http://schemas.microsoft.com/office/infopath/2007/PartnerControls">Sharing economy</TermName>
          <TermId xmlns="http://schemas.microsoft.com/office/infopath/2007/PartnerControls">5fb7d690-15f9-4d46-b325-0bb71987ea75</TermId>
        </TermInfo>
      </Terms>
    </add27a667d2841e58171e440c698d19c>
    <_dlc_DocId xmlns="0f563589-9cf9-4143-b1eb-fb0534803d38">2020R5URDSK5-677322510-4838</_dlc_DocId>
    <_dlc_DocIdUrl xmlns="0f563589-9cf9-4143-b1eb-fb0534803d38">
      <Url>http://tweb/sites/be/imp/_layouts/15/DocIdRedir.aspx?ID=2020R5URDSK5-677322510-4838</Url>
      <Description>2020R5URDSK5-677322510-4838</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77b7a547-5880-464f-83f8-cefe583c3af4" ContentTypeId="0x010100BCBF50F8A60B9C40BFC256C0F7AAB54B02" PreviousValue="false"/>
</file>

<file path=customXml/item6.xml><?xml version="1.0" encoding="utf-8"?>
<ct:contentTypeSchema xmlns:ct="http://schemas.microsoft.com/office/2006/metadata/contentType" xmlns:ma="http://schemas.microsoft.com/office/2006/metadata/properties/metaAttributes" ct:_="" ma:_="" ma:contentTypeName="BE Document" ma:contentTypeID="0x010100BCBF50F8A60B9C40BFC256C0F7AAB54B020027D279550EA4E64DB5967A95B15DCAE6" ma:contentTypeVersion="24914" ma:contentTypeDescription="" ma:contentTypeScope="" ma:versionID="ab5c8d3a3eb8b2226f0f7d4ef82c8cc4">
  <xsd:schema xmlns:xsd="http://www.w3.org/2001/XMLSchema" xmlns:xs="http://www.w3.org/2001/XMLSchema" xmlns:p="http://schemas.microsoft.com/office/2006/metadata/properties" xmlns:ns1="http://schemas.microsoft.com/sharepoint/v3" xmlns:ns2="0f563589-9cf9-4143-b1eb-fb0534803d38" targetNamespace="http://schemas.microsoft.com/office/2006/metadata/properties" ma:root="true" ma:fieldsID="a96547130305ea6e9d8e5a1b052f1b80" ns1:_="" ns2:_="">
    <xsd:import namespace="http://schemas.microsoft.com/sharepoint/v3"/>
    <xsd:import namespace="0f563589-9cf9-4143-b1eb-fb0534803d38"/>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TaxKeywordTaxHTField" minOccurs="0"/>
                <xsd:element ref="ns1:_dlc_Exempt" minOccurs="0"/>
                <xsd:element ref="ns2:add27a667d2841e58171e440c698d19c" minOccurs="0"/>
                <xsd:element ref="ns2:h560149d4e8940498545eba76c67c1b0" minOccurs="0"/>
                <xsd:element ref="ns2:a545652da9b64c04bddaa252992c2e5c" minOccurs="0"/>
                <xsd:element ref="ns2:c36c8e015f43491f9d5b34b1ebe5761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6619c428-5760-4699-875d-f972724811fc}" ma:internalName="TaxCatchAll" ma:showField="CatchAllData" ma:web="aa21ed36-cb61-48d0-9186-c5704b3d4dc2">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6619c428-5760-4699-875d-f972724811fc}" ma:internalName="TaxCatchAllLabel" ma:readOnly="true" ma:showField="CatchAllDataLabel" ma:web="aa21ed36-cb61-48d0-9186-c5704b3d4dc2">
      <xsd:complexType>
        <xsd:complexContent>
          <xsd:extension base="dms:MultiChoiceLookup">
            <xsd:sequence>
              <xsd:element name="Value" type="dms:Lookup" maxOccurs="unbounded" minOccurs="0" nillable="true"/>
            </xsd:sequence>
          </xsd:extension>
        </xsd:complexContent>
      </xsd:complexType>
    </xsd:element>
    <xsd:element name="TaxKeywordTaxHTField" ma:index="13" nillable="true" ma:taxonomy="true" ma:internalName="TaxKeywordTaxHTField" ma:taxonomyFieldName="TaxKeyword" ma:displayName="Document Tags" ma:readOnly="false" ma:fieldId="{23f27201-bee3-471e-b2e7-b64fd8b7ca38}" ma:taxonomyMulti="true" ma:sspId="77b7a547-5880-464f-83f8-cefe583c3af4" ma:termSetId="00000000-0000-0000-0000-000000000000" ma:anchorId="00000000-0000-0000-0000-000000000000" ma:open="true" ma:isKeyword="true">
      <xsd:complexType>
        <xsd:sequence>
          <xsd:element ref="pc:Terms" minOccurs="0" maxOccurs="1"/>
        </xsd:sequence>
      </xsd:complexType>
    </xsd:element>
    <xsd:element name="add27a667d2841e58171e440c698d19c" ma:index="16" ma:taxonomy="true" ma:internalName="add27a667d2841e58171e440c698d19c" ma:taxonomyFieldName="BETopics" ma:displayName="BETopics" ma:default="" ma:fieldId="{add27a66-7d28-41e5-8171-e440c698d19c}" ma:taxonomyMulti="true" ma:sspId="77b7a547-5880-464f-83f8-cefe583c3af4" ma:termSetId="5ad9bdc0-881e-4a06-8325-cf02134be2c9" ma:anchorId="ed59a8d8-4dc5-401b-b4eb-36ff97d3d830" ma:open="false" ma:isKeyword="false">
      <xsd:complexType>
        <xsd:sequence>
          <xsd:element ref="pc:Terms" minOccurs="0" maxOccurs="1"/>
        </xsd:sequence>
      </xsd:complexType>
    </xsd:element>
    <xsd:element name="h560149d4e8940498545eba76c67c1b0" ma:index="18" ma:taxonomy="true" ma:internalName="h560149d4e8940498545eba76c67c1b0" ma:taxonomyFieldName="BEProducts" ma:displayName="BEProducts" ma:readOnly="false" ma:default="" ma:fieldId="{1560149d-4e89-4049-8545-eba76c67c1b0}" ma:taxonomyMulti="true" ma:sspId="77b7a547-5880-464f-83f8-cefe583c3af4" ma:termSetId="461aab9e-f33a-4b72-8e45-36cc5568182a" ma:anchorId="a87981e2-7fd9-40b0-a72e-f14f248366c9" ma:open="false" ma:isKeyword="false">
      <xsd:complexType>
        <xsd:sequence>
          <xsd:element ref="pc:Terms" minOccurs="0" maxOccurs="1"/>
        </xsd:sequence>
      </xsd:complexType>
    </xsd:element>
    <xsd:element name="a545652da9b64c04bddaa252992c2e5c" ma:index="20" nillable="true" ma:taxonomy="true" ma:internalName="a545652da9b64c04bddaa252992c2e5c" ma:taxonomyFieldName="BEAgency" ma:displayName="BEAgency" ma:readOnly="false" ma:default="" ma:fieldId="{a545652d-a9b6-4c04-bdda-a252992c2e5c}" ma:taxonomyMulti="true" ma:sspId="77b7a547-5880-464f-83f8-cefe583c3af4" ma:termSetId="a40509a3-eac7-4d26-b640-6b34cfd6eb0b" ma:anchorId="00000000-0000-0000-0000-000000000000" ma:open="false" ma:isKeyword="false">
      <xsd:complexType>
        <xsd:sequence>
          <xsd:element ref="pc:Terms" minOccurs="0" maxOccurs="1"/>
        </xsd:sequence>
      </xsd:complexType>
    </xsd:element>
    <xsd:element name="c36c8e015f43491f9d5b34b1ebe5761b" ma:index="22" ma:taxonomy="true" ma:internalName="c36c8e015f43491f9d5b34b1ebe5761b" ma:taxonomyFieldName="BEProcess" ma:displayName="BEProcess" ma:readOnly="false" ma:default="" ma:fieldId="{c36c8e01-5f43-491f-9d5b-34b1ebe5761b}" ma:taxonomyMulti="true" ma:sspId="77b7a547-5880-464f-83f8-cefe583c3af4" ma:termSetId="461aab9e-f33a-4b72-8e45-36cc5568182a" ma:anchorId="a6a5b896-006e-4e88-808e-4d927580661f"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customXsn xmlns="http://schemas.microsoft.com/office/2006/metadata/customXsn">
  <xsnLocation/>
  <cached>True</cached>
  <openByDefault>True</openByDefault>
  <xsnScope/>
</customXsn>
</file>

<file path=customXml/item8.xml><?xml version="1.0" encoding="utf-8"?>
<?mso-contentType ?>
<p:Policy xmlns:p="office.server.policy" id="" local="true">
  <p:Name>Treasury Document Audit Policy</p:Name>
  <p:Description/>
  <p:Statement/>
  <p:PolicyItems>
    <p:PolicyItem featureId="Microsoft.Office.RecordsManagement.PolicyFeatures.PolicyAudit" staticId="0x010100BCBF50F8A60B9C40BFC256C0F7AAB54B|1757814118" UniqueId="fde207ac-4387-46b7-8e68-2dd6b8690223">
      <p:Name>Auditing</p:Name>
      <p:Description>Audits user actions on documents and list items to the Audit Log.</p:Description>
      <p:CustomData>
        <Audit>
          <Update/>
          <CheckInOut/>
          <MoveCopy/>
          <DeleteRestore/>
        </Audit>
      </p:CustomData>
    </p:PolicyItem>
  </p:PolicyItems>
</p:Policy>
</file>

<file path=customXml/itemProps1.xml><?xml version="1.0" encoding="utf-8"?>
<ds:datastoreItem xmlns:ds="http://schemas.openxmlformats.org/officeDocument/2006/customXml" ds:itemID="{A18BF32D-0C0E-4512-9C7F-E19E1D04195B}">
  <ds:schemaRefs>
    <ds:schemaRef ds:uri="http://schemas.microsoft.com/sharepoint/v3/contenttype/forms"/>
  </ds:schemaRefs>
</ds:datastoreItem>
</file>

<file path=customXml/itemProps2.xml><?xml version="1.0" encoding="utf-8"?>
<ds:datastoreItem xmlns:ds="http://schemas.openxmlformats.org/officeDocument/2006/customXml" ds:itemID="{3E60B054-EEBE-4B31-A2EA-C2AB48F67DB0}">
  <ds:schemaRefs>
    <ds:schemaRef ds:uri="http://schemas.microsoft.com/office/2006/metadata/properties"/>
    <ds:schemaRef ds:uri="http://schemas.microsoft.com/office/infopath/2007/PartnerControls"/>
    <ds:schemaRef ds:uri="0f563589-9cf9-4143-b1eb-fb0534803d38"/>
  </ds:schemaRefs>
</ds:datastoreItem>
</file>

<file path=customXml/itemProps3.xml><?xml version="1.0" encoding="utf-8"?>
<ds:datastoreItem xmlns:ds="http://schemas.openxmlformats.org/officeDocument/2006/customXml" ds:itemID="{1CD7042E-71EB-4B64-816D-AA4A3E055525}">
  <ds:schemaRefs>
    <ds:schemaRef ds:uri="http://schemas.microsoft.com/sharepoint/events"/>
  </ds:schemaRefs>
</ds:datastoreItem>
</file>

<file path=customXml/itemProps4.xml><?xml version="1.0" encoding="utf-8"?>
<ds:datastoreItem xmlns:ds="http://schemas.openxmlformats.org/officeDocument/2006/customXml" ds:itemID="{639A32C1-C86E-4D6B-A9D0-B0F01971B6BA}">
  <ds:schemaRefs>
    <ds:schemaRef ds:uri="http://schemas.openxmlformats.org/officeDocument/2006/bibliography"/>
  </ds:schemaRefs>
</ds:datastoreItem>
</file>

<file path=customXml/itemProps5.xml><?xml version="1.0" encoding="utf-8"?>
<ds:datastoreItem xmlns:ds="http://schemas.openxmlformats.org/officeDocument/2006/customXml" ds:itemID="{726A3A2A-340B-4389-9F10-8A70EE6365AC}">
  <ds:schemaRefs>
    <ds:schemaRef ds:uri="Microsoft.SharePoint.Taxonomy.ContentTypeSync"/>
  </ds:schemaRefs>
</ds:datastoreItem>
</file>

<file path=customXml/itemProps6.xml><?xml version="1.0" encoding="utf-8"?>
<ds:datastoreItem xmlns:ds="http://schemas.openxmlformats.org/officeDocument/2006/customXml" ds:itemID="{C20CBAF3-4C70-4538-A96D-AB7DE9021B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798DCC7-59F5-4C19-B5AB-A426C7B1540A}">
  <ds:schemaRefs>
    <ds:schemaRef ds:uri="http://schemas.microsoft.com/office/2006/metadata/customXsn"/>
  </ds:schemaRefs>
</ds:datastoreItem>
</file>

<file path=customXml/itemProps8.xml><?xml version="1.0" encoding="utf-8"?>
<ds:datastoreItem xmlns:ds="http://schemas.openxmlformats.org/officeDocument/2006/customXml" ds:itemID="{4E8B7030-63CF-4697-8E7E-B97D1692183D}">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Treasury Fact Sheet.dotm</Template>
  <TotalTime>4683</TotalTime>
  <Pages>3</Pages>
  <Words>869</Words>
  <Characters>4732</Characters>
  <Application>Microsoft Office Word</Application>
  <DocSecurity>0</DocSecurity>
  <Lines>105</Lines>
  <Paragraphs>30</Paragraphs>
  <ScaleCrop>false</ScaleCrop>
  <HeadingPairs>
    <vt:vector size="2" baseType="variant">
      <vt:variant>
        <vt:lpstr>Title</vt:lpstr>
      </vt:variant>
      <vt:variant>
        <vt:i4>1</vt:i4>
      </vt:variant>
    </vt:vector>
  </HeadingPairs>
  <TitlesOfParts>
    <vt:vector size="1" baseType="lpstr">
      <vt:lpstr>Implementing a reporting regime for sharing economy platform providers factsheet</vt:lpstr>
    </vt:vector>
  </TitlesOfParts>
  <Company/>
  <LinksUpToDate>false</LinksUpToDate>
  <CharactersWithSpaces>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Implementing a reporting regime for sharing economy platform providers factsheet</dc:title>
  <dc:creator>The Treasury</dc:creator>
  <cp:keywords/>
  <cp:lastModifiedBy>Moore, Ben</cp:lastModifiedBy>
  <cp:revision>39</cp:revision>
  <cp:lastPrinted>2019-05-17T02:37:00Z</cp:lastPrinted>
  <dcterms:created xsi:type="dcterms:W3CDTF">2021-05-19T03:42:00Z</dcterms:created>
  <dcterms:modified xsi:type="dcterms:W3CDTF">2021-06-29T02:43:00Z</dcterms:modified>
  <cp:category/>
</cp:coreProperties>
</file>