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F425D7" w14:paraId="1A27041C" w14:textId="77777777" w:rsidTr="00F425D7">
        <w:tc>
          <w:tcPr>
            <w:tcW w:w="5000" w:type="pct"/>
            <w:shd w:val="clear" w:color="auto" w:fill="auto"/>
          </w:tcPr>
          <w:p w14:paraId="51706BDE" w14:textId="77777777" w:rsidR="00F425D7" w:rsidRDefault="00F425D7" w:rsidP="00F425D7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60E707E7" w14:textId="77777777" w:rsidR="00F425D7" w:rsidRPr="00F425D7" w:rsidRDefault="00F425D7" w:rsidP="00F425D7">
            <w:pPr>
              <w:rPr>
                <w:b/>
                <w:sz w:val="20"/>
              </w:rPr>
            </w:pPr>
          </w:p>
        </w:tc>
      </w:tr>
    </w:tbl>
    <w:p w14:paraId="65D55BD2" w14:textId="77777777" w:rsidR="00F425D7" w:rsidRDefault="00F425D7" w:rsidP="00C14B37">
      <w:pPr>
        <w:rPr>
          <w:sz w:val="32"/>
          <w:szCs w:val="32"/>
        </w:rPr>
      </w:pPr>
    </w:p>
    <w:p w14:paraId="4530633A" w14:textId="77777777" w:rsidR="00664C63" w:rsidRPr="00C14B37" w:rsidRDefault="00664C63" w:rsidP="00C14B37">
      <w:pPr>
        <w:rPr>
          <w:sz w:val="32"/>
          <w:szCs w:val="32"/>
        </w:rPr>
      </w:pPr>
      <w:r w:rsidRPr="00C14B37">
        <w:rPr>
          <w:sz w:val="32"/>
          <w:szCs w:val="32"/>
        </w:rPr>
        <w:t>Inserts for</w:t>
      </w:r>
    </w:p>
    <w:p w14:paraId="6C5B7D09" w14:textId="77777777" w:rsidR="00664C63" w:rsidRPr="00C14B37" w:rsidRDefault="0038497C" w:rsidP="00C14B37">
      <w:pPr>
        <w:pStyle w:val="ShortT"/>
      </w:pPr>
      <w:r w:rsidRPr="00C14B37">
        <w:t xml:space="preserve">Treasury Laws Amendment (Measures for </w:t>
      </w:r>
      <w:r w:rsidR="00D01279">
        <w:t>Consultation</w:t>
      </w:r>
      <w:r w:rsidRPr="00C14B37">
        <w:t>) Bill 2021</w:t>
      </w:r>
      <w:r w:rsidR="00664C63" w:rsidRPr="00C14B37">
        <w:t>:</w:t>
      </w:r>
      <w:r w:rsidRPr="00C14B37">
        <w:t xml:space="preserve"> Introducing a sharing economy reporting regime</w:t>
      </w:r>
    </w:p>
    <w:p w14:paraId="0CD8C1BA" w14:textId="77777777" w:rsidR="00664C63" w:rsidRPr="00C14B37" w:rsidRDefault="00664C63" w:rsidP="00C14B37">
      <w:pPr>
        <w:jc w:val="center"/>
      </w:pPr>
    </w:p>
    <w:p w14:paraId="728CAEFF" w14:textId="77777777" w:rsidR="00664C63" w:rsidRPr="00C14B37" w:rsidRDefault="00664C63" w:rsidP="00C14B3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C14B37" w14:paraId="315DD7D4" w14:textId="77777777" w:rsidTr="009B2A9F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A224FD8" w14:textId="77777777" w:rsidR="00664C63" w:rsidRPr="00C14B37" w:rsidRDefault="00664C63" w:rsidP="00C14B37">
            <w:pPr>
              <w:pStyle w:val="TableHeading"/>
            </w:pPr>
            <w:r w:rsidRPr="00C14B37">
              <w:t>Commencement information</w:t>
            </w:r>
          </w:p>
        </w:tc>
      </w:tr>
      <w:tr w:rsidR="00664C63" w:rsidRPr="00C14B37" w14:paraId="75B6571F" w14:textId="77777777" w:rsidTr="009B2A9F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2DA8FE" w14:textId="77777777" w:rsidR="00664C63" w:rsidRPr="00C14B37" w:rsidRDefault="00664C63" w:rsidP="00C14B37">
            <w:pPr>
              <w:pStyle w:val="TableHeading"/>
            </w:pPr>
            <w:r w:rsidRPr="00C14B37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B91555" w14:textId="77777777" w:rsidR="00664C63" w:rsidRPr="00C14B37" w:rsidRDefault="00664C63" w:rsidP="00C14B37">
            <w:pPr>
              <w:pStyle w:val="TableHeading"/>
            </w:pPr>
            <w:r w:rsidRPr="00C14B37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74177F" w14:textId="77777777" w:rsidR="00664C63" w:rsidRPr="00C14B37" w:rsidRDefault="00664C63" w:rsidP="00C14B37">
            <w:pPr>
              <w:pStyle w:val="TableHeading"/>
            </w:pPr>
            <w:r w:rsidRPr="00C14B37">
              <w:t>Column 3</w:t>
            </w:r>
          </w:p>
        </w:tc>
      </w:tr>
      <w:tr w:rsidR="00664C63" w:rsidRPr="00C14B37" w14:paraId="10739258" w14:textId="77777777" w:rsidTr="009B2A9F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39475B" w14:textId="77777777" w:rsidR="00664C63" w:rsidRPr="00C14B37" w:rsidRDefault="00664C63" w:rsidP="00C14B37">
            <w:pPr>
              <w:pStyle w:val="TableHeading"/>
            </w:pPr>
            <w:r w:rsidRPr="00C14B37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3735B15" w14:textId="77777777" w:rsidR="00664C63" w:rsidRPr="00C14B37" w:rsidRDefault="00664C63" w:rsidP="00C14B37">
            <w:pPr>
              <w:pStyle w:val="TableHeading"/>
            </w:pPr>
            <w:r w:rsidRPr="00C14B37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B79F331" w14:textId="77777777" w:rsidR="00664C63" w:rsidRPr="00C14B37" w:rsidRDefault="00664C63" w:rsidP="00C14B37">
            <w:pPr>
              <w:pStyle w:val="TableHeading"/>
            </w:pPr>
            <w:r w:rsidRPr="00C14B37">
              <w:t>Date/Details</w:t>
            </w:r>
          </w:p>
        </w:tc>
      </w:tr>
      <w:tr w:rsidR="009B2A9F" w:rsidRPr="00C14B37" w14:paraId="32BCF8A3" w14:textId="77777777" w:rsidTr="009B2A9F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CC1F10B" w14:textId="77777777" w:rsidR="009B2A9F" w:rsidRPr="00C14B37" w:rsidRDefault="009B2A9F" w:rsidP="00C14B37">
            <w:pPr>
              <w:pStyle w:val="Tabletext"/>
            </w:pPr>
            <w:r w:rsidRPr="00C14B37">
              <w:t xml:space="preserve">1.  </w:t>
            </w:r>
            <w:r w:rsidR="00E51974" w:rsidRPr="00C14B37">
              <w:t>Schedule 1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748F9E0" w14:textId="77777777" w:rsidR="009B2A9F" w:rsidRPr="00C14B37" w:rsidRDefault="009B2A9F" w:rsidP="00C14B37">
            <w:pPr>
              <w:pStyle w:val="Tabletext"/>
            </w:pPr>
            <w:r w:rsidRPr="00C14B37">
              <w:t xml:space="preserve">The first </w:t>
            </w:r>
            <w:r w:rsidR="00E51974" w:rsidRPr="00C14B37">
              <w:t>1 January</w:t>
            </w:r>
            <w:r w:rsidRPr="00C14B37">
              <w:t xml:space="preserve">, </w:t>
            </w:r>
            <w:r w:rsidR="00E51974" w:rsidRPr="00C14B37">
              <w:t>1 April</w:t>
            </w:r>
            <w:r w:rsidRPr="00C14B37">
              <w:t xml:space="preserve">, </w:t>
            </w:r>
            <w:r w:rsidR="00E51974" w:rsidRPr="00C14B37">
              <w:t>1 </w:t>
            </w:r>
            <w:proofErr w:type="gramStart"/>
            <w:r w:rsidR="00E51974" w:rsidRPr="00C14B37">
              <w:t>July</w:t>
            </w:r>
            <w:proofErr w:type="gramEnd"/>
            <w:r w:rsidRPr="00C14B37">
              <w:t xml:space="preserve"> or </w:t>
            </w:r>
            <w:r w:rsidR="00E51974" w:rsidRPr="00C14B37">
              <w:t>1 October</w:t>
            </w:r>
            <w:r w:rsidRPr="00C14B37">
              <w:t xml:space="preserve"> to occur after 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5A70022" w14:textId="77777777" w:rsidR="009B2A9F" w:rsidRPr="00C14B37" w:rsidRDefault="009B2A9F" w:rsidP="00C14B37">
            <w:pPr>
              <w:pStyle w:val="Tabletext"/>
            </w:pPr>
          </w:p>
        </w:tc>
      </w:tr>
    </w:tbl>
    <w:p w14:paraId="169B485A" w14:textId="77777777" w:rsidR="0033411C" w:rsidRPr="00C14B37" w:rsidRDefault="00E51974" w:rsidP="00C14B37">
      <w:pPr>
        <w:pStyle w:val="ActHead6"/>
        <w:pageBreakBefore/>
      </w:pPr>
      <w:bookmarkStart w:id="0" w:name="_Toc74834156"/>
      <w:bookmarkStart w:id="1" w:name="opcAmSched"/>
      <w:bookmarkStart w:id="2" w:name="opcCurrentFind"/>
      <w:r w:rsidRPr="00F425D7">
        <w:rPr>
          <w:rStyle w:val="CharAmSchNo"/>
        </w:rPr>
        <w:lastRenderedPageBreak/>
        <w:t>Schedule 1</w:t>
      </w:r>
      <w:r w:rsidR="00D70884" w:rsidRPr="00C14B37">
        <w:t>—</w:t>
      </w:r>
      <w:r w:rsidR="00090B22" w:rsidRPr="00F425D7">
        <w:rPr>
          <w:rStyle w:val="CharAmSchText"/>
        </w:rPr>
        <w:t>Reporting sharing economy transactions</w:t>
      </w:r>
      <w:bookmarkEnd w:id="0"/>
    </w:p>
    <w:p w14:paraId="5E3374F1" w14:textId="77777777" w:rsidR="00D01279" w:rsidRPr="00F425D7" w:rsidRDefault="00D01279" w:rsidP="00D01279">
      <w:pPr>
        <w:pStyle w:val="Header"/>
      </w:pPr>
      <w:bookmarkStart w:id="3" w:name="_Toc74834157"/>
      <w:bookmarkEnd w:id="1"/>
      <w:bookmarkEnd w:id="2"/>
      <w:r w:rsidRPr="00F425D7">
        <w:rPr>
          <w:rStyle w:val="CharAmPartNo"/>
        </w:rPr>
        <w:t xml:space="preserve"> </w:t>
      </w:r>
      <w:r w:rsidRPr="00F425D7">
        <w:rPr>
          <w:rStyle w:val="CharAmPartText"/>
        </w:rPr>
        <w:t xml:space="preserve"> </w:t>
      </w:r>
    </w:p>
    <w:p w14:paraId="771A2FFE" w14:textId="77777777" w:rsidR="00D70884" w:rsidRPr="00C14B37" w:rsidRDefault="00D70884" w:rsidP="00C14B37">
      <w:pPr>
        <w:pStyle w:val="ActHead9"/>
        <w:rPr>
          <w:i w:val="0"/>
        </w:rPr>
      </w:pPr>
      <w:r w:rsidRPr="00C14B37">
        <w:t>Taxation Administration Act 1953</w:t>
      </w:r>
      <w:bookmarkEnd w:id="3"/>
    </w:p>
    <w:p w14:paraId="42B0196F" w14:textId="77777777" w:rsidR="009B2A9F" w:rsidRPr="00C14B37" w:rsidRDefault="00B623D8" w:rsidP="00C14B37">
      <w:pPr>
        <w:pStyle w:val="ItemHead"/>
      </w:pPr>
      <w:proofErr w:type="gramStart"/>
      <w:r w:rsidRPr="00C14B37">
        <w:t>1  Section</w:t>
      </w:r>
      <w:proofErr w:type="gramEnd"/>
      <w:r w:rsidRPr="00C14B37">
        <w:t> 396</w:t>
      </w:r>
      <w:r w:rsidR="00C14B37">
        <w:noBreakHyphen/>
      </w:r>
      <w:r w:rsidRPr="00C14B37">
        <w:t xml:space="preserve">55 in </w:t>
      </w:r>
      <w:r w:rsidR="00E51974" w:rsidRPr="00C14B37">
        <w:t>Schedule 1</w:t>
      </w:r>
      <w:r w:rsidRPr="00C14B37">
        <w:t xml:space="preserve"> (at the end of the table)</w:t>
      </w:r>
    </w:p>
    <w:p w14:paraId="78CCA265" w14:textId="77777777" w:rsidR="00B623D8" w:rsidRPr="00C14B37" w:rsidRDefault="00B623D8" w:rsidP="00C14B37">
      <w:pPr>
        <w:pStyle w:val="Item"/>
      </w:pPr>
      <w:r w:rsidRPr="00C14B37">
        <w:t>Add:</w:t>
      </w:r>
    </w:p>
    <w:p w14:paraId="5D7EEC2F" w14:textId="77777777" w:rsidR="00952D55" w:rsidRPr="00C14B37" w:rsidRDefault="00952D55" w:rsidP="00C14B37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562"/>
        <w:gridCol w:w="2127"/>
        <w:gridCol w:w="4397"/>
      </w:tblGrid>
      <w:tr w:rsidR="00A70C68" w:rsidRPr="00C14B37" w14:paraId="300479B3" w14:textId="77777777" w:rsidTr="005172ED">
        <w:tc>
          <w:tcPr>
            <w:tcW w:w="562" w:type="dxa"/>
            <w:shd w:val="clear" w:color="auto" w:fill="auto"/>
          </w:tcPr>
          <w:p w14:paraId="6937ABB3" w14:textId="77777777" w:rsidR="00A70C68" w:rsidRPr="00C14B37" w:rsidRDefault="00A70C68" w:rsidP="00C14B37">
            <w:pPr>
              <w:pStyle w:val="Tabletext"/>
            </w:pPr>
            <w:r w:rsidRPr="00C14B37">
              <w:t>15</w:t>
            </w:r>
          </w:p>
        </w:tc>
        <w:tc>
          <w:tcPr>
            <w:tcW w:w="2127" w:type="dxa"/>
            <w:shd w:val="clear" w:color="auto" w:fill="auto"/>
          </w:tcPr>
          <w:p w14:paraId="17C2F00F" w14:textId="77777777" w:rsidR="00A70C68" w:rsidRPr="00C14B37" w:rsidRDefault="00A70C68" w:rsidP="00C14B37">
            <w:pPr>
              <w:pStyle w:val="Tabletext"/>
            </w:pPr>
            <w:r w:rsidRPr="00C14B37">
              <w:t xml:space="preserve">an operator of an electronic distribution platform (within the meaning of the </w:t>
            </w:r>
            <w:r w:rsidR="00C14B37" w:rsidRPr="00C14B37">
              <w:rPr>
                <w:position w:val="6"/>
                <w:sz w:val="16"/>
              </w:rPr>
              <w:t>*</w:t>
            </w:r>
            <w:r w:rsidRPr="00C14B37">
              <w:t>GST Act, but disregarding paragraph 84</w:t>
            </w:r>
            <w:r w:rsidR="00C14B37">
              <w:noBreakHyphen/>
            </w:r>
            <w:r w:rsidRPr="00C14B37">
              <w:t>70(1)(c) of that Act)</w:t>
            </w:r>
          </w:p>
        </w:tc>
        <w:tc>
          <w:tcPr>
            <w:tcW w:w="4397" w:type="dxa"/>
            <w:shd w:val="clear" w:color="auto" w:fill="auto"/>
          </w:tcPr>
          <w:p w14:paraId="2C8036DB" w14:textId="77777777" w:rsidR="00A70C68" w:rsidRPr="00C14B37" w:rsidRDefault="00A70C68" w:rsidP="00C14B37">
            <w:pPr>
              <w:pStyle w:val="Tabletext"/>
            </w:pPr>
            <w:r w:rsidRPr="00C14B37">
              <w:t xml:space="preserve">the provision of consideration (within the meaning of the GST Act) by an entity to another entity (the </w:t>
            </w:r>
            <w:r w:rsidRPr="00C14B37">
              <w:rPr>
                <w:b/>
                <w:i/>
              </w:rPr>
              <w:t>supplier</w:t>
            </w:r>
            <w:r w:rsidRPr="00C14B37">
              <w:t xml:space="preserve">) wholly or partly for a </w:t>
            </w:r>
            <w:r w:rsidR="00C14B37" w:rsidRPr="00C14B37">
              <w:rPr>
                <w:position w:val="6"/>
                <w:sz w:val="16"/>
              </w:rPr>
              <w:t>*</w:t>
            </w:r>
            <w:r w:rsidRPr="00C14B37">
              <w:t>supply made by the supplier through the electronic distribution platform, if:</w:t>
            </w:r>
          </w:p>
          <w:p w14:paraId="4DC54D5E" w14:textId="77777777" w:rsidR="00A70C68" w:rsidRPr="00C14B37" w:rsidRDefault="00A70C68" w:rsidP="00C14B37">
            <w:pPr>
              <w:pStyle w:val="Tablea"/>
            </w:pPr>
            <w:r w:rsidRPr="00C14B37">
              <w:t xml:space="preserve">(a) the supply is connected with the indirect tax zone (within the meaning of the GST Act), or would be connected with the indirect tax zone </w:t>
            </w:r>
            <w:r w:rsidR="003B58A6" w:rsidRPr="00C14B37">
              <w:t>(</w:t>
            </w:r>
            <w:r w:rsidR="00217464" w:rsidRPr="00C14B37">
              <w:t>within the meaning of the GST Act</w:t>
            </w:r>
            <w:r w:rsidR="003B58A6" w:rsidRPr="00C14B37">
              <w:t>)</w:t>
            </w:r>
            <w:r w:rsidRPr="00C14B37">
              <w:t xml:space="preserve"> if the</w:t>
            </w:r>
            <w:r w:rsidR="003B58A6" w:rsidRPr="00C14B37">
              <w:t xml:space="preserve"> definition of </w:t>
            </w:r>
            <w:r w:rsidR="003B58A6" w:rsidRPr="00C14B37">
              <w:rPr>
                <w:b/>
                <w:i/>
              </w:rPr>
              <w:t>indirect tax zone</w:t>
            </w:r>
            <w:r w:rsidR="003B58A6" w:rsidRPr="00C14B37">
              <w:t xml:space="preserve"> in the GST Act included the external Territories</w:t>
            </w:r>
            <w:r w:rsidRPr="00C14B37">
              <w:t>; and</w:t>
            </w:r>
          </w:p>
          <w:p w14:paraId="2535F8E0" w14:textId="77777777" w:rsidR="00A70C68" w:rsidRPr="00C14B37" w:rsidRDefault="00A70C68" w:rsidP="00C14B37">
            <w:pPr>
              <w:pStyle w:val="Tablea"/>
            </w:pPr>
            <w:r w:rsidRPr="00C14B37">
              <w:t>(b) no amount is required by Division 12 to be withheld from the payment of the consideration; and</w:t>
            </w:r>
          </w:p>
          <w:p w14:paraId="2299682B" w14:textId="77777777" w:rsidR="00A70C68" w:rsidRPr="00C14B37" w:rsidRDefault="00A70C68" w:rsidP="00C14B37">
            <w:pPr>
              <w:pStyle w:val="Tablea"/>
            </w:pPr>
            <w:r w:rsidRPr="00C14B37">
              <w:t xml:space="preserve">(c) the operator and the supplier are not </w:t>
            </w:r>
            <w:r w:rsidR="00C14B37" w:rsidRPr="00C14B37">
              <w:rPr>
                <w:position w:val="6"/>
                <w:sz w:val="16"/>
              </w:rPr>
              <w:t>*</w:t>
            </w:r>
            <w:r w:rsidRPr="00C14B37">
              <w:t xml:space="preserve">members of the same </w:t>
            </w:r>
            <w:r w:rsidR="00C14B37" w:rsidRPr="00C14B37">
              <w:rPr>
                <w:position w:val="6"/>
                <w:sz w:val="16"/>
              </w:rPr>
              <w:t>*</w:t>
            </w:r>
            <w:r w:rsidRPr="00C14B37">
              <w:t xml:space="preserve">consolidated group or </w:t>
            </w:r>
            <w:r w:rsidR="00C14B37" w:rsidRPr="00C14B37">
              <w:rPr>
                <w:position w:val="6"/>
                <w:sz w:val="16"/>
              </w:rPr>
              <w:t>*</w:t>
            </w:r>
            <w:r w:rsidRPr="00C14B37">
              <w:t>MEC group; and</w:t>
            </w:r>
          </w:p>
          <w:p w14:paraId="723DF556" w14:textId="77777777" w:rsidR="00A70C68" w:rsidRPr="00C14B37" w:rsidRDefault="00A70C68" w:rsidP="00C14B37">
            <w:pPr>
              <w:pStyle w:val="Tablea"/>
            </w:pPr>
            <w:r w:rsidRPr="00C14B37">
              <w:t>(d) the supply is no</w:t>
            </w:r>
            <w:r w:rsidR="003B58A6" w:rsidRPr="00C14B37">
              <w:t>t any</w:t>
            </w:r>
            <w:r w:rsidRPr="00C14B37">
              <w:t xml:space="preserve"> of the following:</w:t>
            </w:r>
          </w:p>
          <w:p w14:paraId="4DF9DB87" w14:textId="77777777" w:rsidR="00A70C68" w:rsidRPr="00C14B37" w:rsidRDefault="00A70C68" w:rsidP="00C14B37">
            <w:pPr>
              <w:pStyle w:val="Tablei"/>
            </w:pPr>
            <w:r w:rsidRPr="00C14B37">
              <w:t>(</w:t>
            </w:r>
            <w:proofErr w:type="spellStart"/>
            <w:r w:rsidRPr="00C14B37">
              <w:t>i</w:t>
            </w:r>
            <w:proofErr w:type="spellEnd"/>
            <w:r w:rsidRPr="00C14B37">
              <w:t>) a supply by way of transfer of ownership of goods (within the meaning of the GST Act</w:t>
            </w:r>
            <w:proofErr w:type="gramStart"/>
            <w:r w:rsidRPr="00C14B37">
              <w:t>);</w:t>
            </w:r>
            <w:proofErr w:type="gramEnd"/>
          </w:p>
          <w:p w14:paraId="0567AA7B" w14:textId="77777777" w:rsidR="00A70C68" w:rsidRPr="00C14B37" w:rsidRDefault="00A70C68" w:rsidP="00C14B37">
            <w:pPr>
              <w:pStyle w:val="Tablei"/>
            </w:pPr>
            <w:r w:rsidRPr="00C14B37">
              <w:t>(ii) a supply by way of transfer of ownership of real property (within the meaning of the GST Act</w:t>
            </w:r>
            <w:proofErr w:type="gramStart"/>
            <w:r w:rsidRPr="00C14B37">
              <w:t>);</w:t>
            </w:r>
            <w:proofErr w:type="gramEnd"/>
          </w:p>
          <w:p w14:paraId="7503DB64" w14:textId="77777777" w:rsidR="00A70C68" w:rsidRPr="00C14B37" w:rsidRDefault="00A70C68" w:rsidP="00C14B37">
            <w:pPr>
              <w:pStyle w:val="Tablei"/>
            </w:pPr>
            <w:r w:rsidRPr="00C14B37">
              <w:t>(iii) a financial supply (within the meaning of the GST Act)</w:t>
            </w:r>
          </w:p>
        </w:tc>
      </w:tr>
    </w:tbl>
    <w:p w14:paraId="36BD90EF" w14:textId="77777777" w:rsidR="00731158" w:rsidRPr="00C14B37" w:rsidRDefault="00731158" w:rsidP="00C14B37">
      <w:pPr>
        <w:pStyle w:val="Transitional"/>
      </w:pPr>
      <w:proofErr w:type="gramStart"/>
      <w:r w:rsidRPr="00C14B37">
        <w:t>2  Application</w:t>
      </w:r>
      <w:proofErr w:type="gramEnd"/>
      <w:r w:rsidRPr="00C14B37">
        <w:t xml:space="preserve"> of amendment</w:t>
      </w:r>
    </w:p>
    <w:p w14:paraId="216DF08D" w14:textId="77777777" w:rsidR="00692FAC" w:rsidRPr="00C14B37" w:rsidRDefault="00692FAC" w:rsidP="00C14B37">
      <w:pPr>
        <w:pStyle w:val="Item"/>
      </w:pPr>
      <w:r w:rsidRPr="00C14B37">
        <w:t xml:space="preserve">The amendment made by this Schedule applies in relation to transactions </w:t>
      </w:r>
      <w:proofErr w:type="gramStart"/>
      <w:r w:rsidRPr="00C14B37">
        <w:t>entered into</w:t>
      </w:r>
      <w:proofErr w:type="gramEnd"/>
      <w:r w:rsidRPr="00C14B37">
        <w:t xml:space="preserve"> on or after:</w:t>
      </w:r>
    </w:p>
    <w:p w14:paraId="11B20EE4" w14:textId="77777777" w:rsidR="00692FAC" w:rsidRPr="00C14B37" w:rsidRDefault="00692FAC" w:rsidP="00C14B37">
      <w:pPr>
        <w:pStyle w:val="paragraph"/>
      </w:pPr>
      <w:r w:rsidRPr="00C14B37">
        <w:tab/>
        <w:t>(a)</w:t>
      </w:r>
      <w:r w:rsidRPr="00C14B37">
        <w:tab/>
        <w:t xml:space="preserve">for a transaction relating to a supply of taxi travel (within the meaning of the </w:t>
      </w:r>
      <w:r w:rsidR="00C10477" w:rsidRPr="00C14B37">
        <w:rPr>
          <w:i/>
        </w:rPr>
        <w:t>A New Tax System (Goods and Services Tax) Act 1999</w:t>
      </w:r>
      <w:r w:rsidRPr="00C14B37">
        <w:t>)—1 July 2022; or</w:t>
      </w:r>
    </w:p>
    <w:p w14:paraId="76F2071C" w14:textId="77777777" w:rsidR="00692FAC" w:rsidRPr="00C14B37" w:rsidRDefault="00692FAC" w:rsidP="00C14B37">
      <w:pPr>
        <w:pStyle w:val="paragraph"/>
      </w:pPr>
      <w:r w:rsidRPr="00C14B37">
        <w:lastRenderedPageBreak/>
        <w:tab/>
        <w:t>(b)</w:t>
      </w:r>
      <w:r w:rsidRPr="00C14B37">
        <w:tab/>
        <w:t>for a transaction relating to a supply of short</w:t>
      </w:r>
      <w:r w:rsidR="00C14B37">
        <w:noBreakHyphen/>
      </w:r>
      <w:r w:rsidRPr="00C14B37">
        <w:t>term accommodation—1 July 2022; or</w:t>
      </w:r>
    </w:p>
    <w:p w14:paraId="3E07A58C" w14:textId="77777777" w:rsidR="00692FAC" w:rsidRPr="00C14B37" w:rsidRDefault="00692FAC" w:rsidP="00C14B37">
      <w:pPr>
        <w:pStyle w:val="paragraph"/>
      </w:pPr>
      <w:r w:rsidRPr="00C14B37">
        <w:tab/>
        <w:t>(c)</w:t>
      </w:r>
      <w:r w:rsidRPr="00C14B37">
        <w:tab/>
        <w:t>in any other case—1 July 2023.</w:t>
      </w:r>
    </w:p>
    <w:sectPr w:rsidR="00692FAC" w:rsidRPr="00C14B37" w:rsidSect="00C14B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5E023" w14:textId="77777777" w:rsidR="00594680" w:rsidRDefault="00594680" w:rsidP="00664C63">
      <w:pPr>
        <w:spacing w:line="240" w:lineRule="auto"/>
      </w:pPr>
      <w:r>
        <w:separator/>
      </w:r>
    </w:p>
  </w:endnote>
  <w:endnote w:type="continuationSeparator" w:id="0">
    <w:p w14:paraId="3FE7F9AE" w14:textId="77777777" w:rsidR="00594680" w:rsidRDefault="00594680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15428" w14:textId="77777777" w:rsidR="00017B1D" w:rsidRPr="00BB4623" w:rsidRDefault="00017B1D" w:rsidP="00C14B37">
    <w:pPr>
      <w:pBdr>
        <w:top w:val="single" w:sz="6" w:space="1" w:color="auto"/>
      </w:pBdr>
      <w:spacing w:before="120"/>
      <w:jc w:val="right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3838FB4" wp14:editId="792CD8BC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763AD8" w14:textId="77777777" w:rsidR="00017B1D" w:rsidRPr="00D67311" w:rsidRDefault="00017B1D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05D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14B3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14B3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05D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05D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05D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05D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05D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05D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838FB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Sec-evenpage" style="position:absolute;left:0;text-align:left;margin-left:0;margin-top:0;width:453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CG2VaKgCAADA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12763AD8" w14:textId="77777777" w:rsidR="00017B1D" w:rsidRPr="00D67311" w:rsidRDefault="00017B1D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D05D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14B3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14B3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D05D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D05D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D05D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D05D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D05D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D05D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A465480" w14:textId="77777777" w:rsidR="00017B1D" w:rsidRPr="00BB4623" w:rsidRDefault="00017B1D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7724A7C2" w14:textId="77777777" w:rsidR="00017B1D" w:rsidRPr="00BB4623" w:rsidRDefault="00017B1D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A3C1C" w14:textId="77777777" w:rsidR="00017B1D" w:rsidRDefault="00017B1D" w:rsidP="00C14B37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8839729" wp14:editId="7B4AEB43">
              <wp:simplePos x="0" y="0"/>
              <wp:positionH relativeFrom="page">
                <wp:align>center</wp:align>
              </wp:positionH>
              <wp:positionV relativeFrom="paragraph">
                <wp:posOffset>2159635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6E03F" w14:textId="053CDF83" w:rsidR="00017B1D" w:rsidRPr="00D67311" w:rsidRDefault="00017B1D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05D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14B3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14B3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05D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05D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05D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05D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05D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733B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83972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Sec-primary" style="position:absolute;margin-left:0;margin-top:170.05pt;width:453.7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" stroked="f" strokeweight=".5pt">
              <v:path arrowok="t"/>
              <v:textbox>
                <w:txbxContent>
                  <w:p w14:paraId="3706E03F" w14:textId="053CDF83" w:rsidR="00017B1D" w:rsidRPr="00D67311" w:rsidRDefault="00017B1D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D05D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14B3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14B3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D05D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D05D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D05D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D05D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D05D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733B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017B1D" w:rsidRPr="00B3608C" w14:paraId="638885DF" w14:textId="77777777" w:rsidTr="00E910AD">
      <w:trPr>
        <w:trHeight w:val="280"/>
      </w:trPr>
      <w:tc>
        <w:tcPr>
          <w:tcW w:w="7087" w:type="dxa"/>
        </w:tcPr>
        <w:p w14:paraId="1CA0E547" w14:textId="77777777" w:rsidR="00017B1D" w:rsidRPr="00B3608C" w:rsidRDefault="00017B1D" w:rsidP="00E910AD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017B1D" w:rsidRPr="00B3608C" w14:paraId="04503F8D" w14:textId="77777777" w:rsidTr="00E910AD">
      <w:tc>
        <w:tcPr>
          <w:tcW w:w="7087" w:type="dxa"/>
        </w:tcPr>
        <w:p w14:paraId="078494E1" w14:textId="77777777" w:rsidR="00017B1D" w:rsidRPr="00B3608C" w:rsidRDefault="00017B1D" w:rsidP="00E910AD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15A2C676" w14:textId="77777777" w:rsidR="00017B1D" w:rsidRPr="00BB4623" w:rsidRDefault="00017B1D" w:rsidP="00B3608C">
    <w:pPr>
      <w:pStyle w:val="Tabletext"/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B0886" w14:textId="77777777" w:rsidR="00017B1D" w:rsidRPr="00BB4623" w:rsidRDefault="00017B1D" w:rsidP="00C14B3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273ABB9" wp14:editId="2A8F9187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33A44" w14:textId="77777777" w:rsidR="00017B1D" w:rsidRPr="00D67311" w:rsidRDefault="00017B1D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05D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14B3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14B3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05D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05D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05D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05D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05D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05D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3AB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Sec-firstpage" style="position:absolute;margin-left:0;margin-top:0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" stroked="f" strokeweight=".5pt">
              <v:path arrowok="t"/>
              <v:textbox>
                <w:txbxContent>
                  <w:p w14:paraId="45B33A44" w14:textId="77777777" w:rsidR="00017B1D" w:rsidRPr="00D67311" w:rsidRDefault="00017B1D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D05D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14B3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14B3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D05D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D05D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D05D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D05D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D05D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D05D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35878" w14:textId="77777777" w:rsidR="00594680" w:rsidRDefault="00594680" w:rsidP="00664C63">
      <w:pPr>
        <w:spacing w:line="240" w:lineRule="auto"/>
      </w:pPr>
      <w:r>
        <w:separator/>
      </w:r>
    </w:p>
  </w:footnote>
  <w:footnote w:type="continuationSeparator" w:id="0">
    <w:p w14:paraId="0651529E" w14:textId="77777777" w:rsidR="00594680" w:rsidRDefault="00594680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1F612" w14:textId="77777777" w:rsidR="00017B1D" w:rsidRPr="00BB4623" w:rsidRDefault="00017B1D" w:rsidP="00664C63">
    <w:pPr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E8C6DD0" wp14:editId="0C5D9411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5" name="Text Box 5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CEC029" w14:textId="77777777" w:rsidR="00017B1D" w:rsidRPr="00D67311" w:rsidRDefault="00017B1D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05D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14B3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14B3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05D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05D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05D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05D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05D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05D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8C6DD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Sec-evenpage" style="position:absolute;margin-left:0;margin-top:-25pt;width:453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jLBpAIAALk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" stroked="f" strokeweight=".5pt">
              <v:path arrowok="t"/>
              <v:textbox>
                <w:txbxContent>
                  <w:p w14:paraId="60CEC029" w14:textId="77777777" w:rsidR="00017B1D" w:rsidRPr="00D67311" w:rsidRDefault="00017B1D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D05D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14B3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14B3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D05D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D05D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D05D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D05D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D05D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D05D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24BA140A" w14:textId="77777777" w:rsidR="00017B1D" w:rsidRPr="00BB4623" w:rsidRDefault="00017B1D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70B1D" w14:textId="77777777" w:rsidR="00017B1D" w:rsidRPr="00BB4623" w:rsidRDefault="00017B1D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D05F8EF" wp14:editId="692BE1D5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3" name="Text Box 3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0B9622" w14:textId="206C8659" w:rsidR="00017B1D" w:rsidRPr="00D67311" w:rsidRDefault="00017B1D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05D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14B3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14B3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05D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05D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05D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05D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05D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733B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05F8E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c-primary" style="position:absolute;left:0;text-align:left;margin-left:0;margin-top:-25pt;width:453.7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" stroked="f" strokeweight=".5pt">
              <v:path arrowok="t"/>
              <v:textbox>
                <w:txbxContent>
                  <w:p w14:paraId="2A0B9622" w14:textId="206C8659" w:rsidR="00017B1D" w:rsidRPr="00D67311" w:rsidRDefault="00017B1D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D05D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14B3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14B3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D05D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D05D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D05D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D05D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D05D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733B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EE23220" w14:textId="77777777" w:rsidR="00017B1D" w:rsidRPr="00BB4623" w:rsidRDefault="00017B1D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26BE0" w14:textId="77777777" w:rsidR="00017B1D" w:rsidRPr="00BB4623" w:rsidRDefault="00017B1D" w:rsidP="00664C63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3074B6" wp14:editId="51FA17E6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" name="Text Box 1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156082" w14:textId="77777777" w:rsidR="00017B1D" w:rsidRPr="00D67311" w:rsidRDefault="00017B1D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05D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14B3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14B3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05D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05D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05D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05D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05D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05D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3074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Sec-firstpage" style="position:absolute;margin-left:0;margin-top:-25pt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" stroked="f" strokeweight=".5pt">
              <v:path arrowok="t"/>
              <v:textbox>
                <w:txbxContent>
                  <w:p w14:paraId="25156082" w14:textId="77777777" w:rsidR="00017B1D" w:rsidRPr="00D67311" w:rsidRDefault="00017B1D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D05D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14B3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14B3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D05D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D05D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D05D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D05D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D05D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D05D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3674A"/>
    <w:multiLevelType w:val="hybridMultilevel"/>
    <w:tmpl w:val="7DB2B384"/>
    <w:lvl w:ilvl="0" w:tplc="0C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CF76904"/>
    <w:multiLevelType w:val="hybridMultilevel"/>
    <w:tmpl w:val="EE8E86A2"/>
    <w:lvl w:ilvl="0" w:tplc="0C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9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8497C"/>
    <w:rsid w:val="00003D0B"/>
    <w:rsid w:val="000136AF"/>
    <w:rsid w:val="00014B9A"/>
    <w:rsid w:val="00017B1D"/>
    <w:rsid w:val="00034DFD"/>
    <w:rsid w:val="00036B0E"/>
    <w:rsid w:val="00055D20"/>
    <w:rsid w:val="000614BF"/>
    <w:rsid w:val="00073C5A"/>
    <w:rsid w:val="00087033"/>
    <w:rsid w:val="00090B22"/>
    <w:rsid w:val="000C39A2"/>
    <w:rsid w:val="000C74F9"/>
    <w:rsid w:val="000D05EF"/>
    <w:rsid w:val="000D3899"/>
    <w:rsid w:val="000E44D9"/>
    <w:rsid w:val="000F21C1"/>
    <w:rsid w:val="000F4126"/>
    <w:rsid w:val="001016D1"/>
    <w:rsid w:val="0010219A"/>
    <w:rsid w:val="0010240E"/>
    <w:rsid w:val="0010745C"/>
    <w:rsid w:val="0011206D"/>
    <w:rsid w:val="00112619"/>
    <w:rsid w:val="001129C8"/>
    <w:rsid w:val="00124DA9"/>
    <w:rsid w:val="001338F1"/>
    <w:rsid w:val="00151A73"/>
    <w:rsid w:val="00166C2F"/>
    <w:rsid w:val="00175CB7"/>
    <w:rsid w:val="00182C9A"/>
    <w:rsid w:val="0018435F"/>
    <w:rsid w:val="00190112"/>
    <w:rsid w:val="001939E1"/>
    <w:rsid w:val="00195382"/>
    <w:rsid w:val="001B0F61"/>
    <w:rsid w:val="001C69C4"/>
    <w:rsid w:val="001E3590"/>
    <w:rsid w:val="001E7407"/>
    <w:rsid w:val="001F5C68"/>
    <w:rsid w:val="0021250A"/>
    <w:rsid w:val="00217464"/>
    <w:rsid w:val="002277A0"/>
    <w:rsid w:val="00233456"/>
    <w:rsid w:val="00240749"/>
    <w:rsid w:val="0026123B"/>
    <w:rsid w:val="002733BA"/>
    <w:rsid w:val="002776F8"/>
    <w:rsid w:val="00281B86"/>
    <w:rsid w:val="00296415"/>
    <w:rsid w:val="00297292"/>
    <w:rsid w:val="00297ECB"/>
    <w:rsid w:val="002C085A"/>
    <w:rsid w:val="002D043A"/>
    <w:rsid w:val="002E1715"/>
    <w:rsid w:val="002F08B3"/>
    <w:rsid w:val="002F40B5"/>
    <w:rsid w:val="00300B2C"/>
    <w:rsid w:val="00313C6F"/>
    <w:rsid w:val="00317DB7"/>
    <w:rsid w:val="0033411C"/>
    <w:rsid w:val="00334771"/>
    <w:rsid w:val="00335457"/>
    <w:rsid w:val="00340F80"/>
    <w:rsid w:val="003415D3"/>
    <w:rsid w:val="0034528D"/>
    <w:rsid w:val="00352B0F"/>
    <w:rsid w:val="0038497C"/>
    <w:rsid w:val="003941D1"/>
    <w:rsid w:val="003B0F1E"/>
    <w:rsid w:val="003B58A6"/>
    <w:rsid w:val="003C4434"/>
    <w:rsid w:val="003D0317"/>
    <w:rsid w:val="003D0BFE"/>
    <w:rsid w:val="003D2D96"/>
    <w:rsid w:val="003D5700"/>
    <w:rsid w:val="003F60D2"/>
    <w:rsid w:val="00402376"/>
    <w:rsid w:val="004043EE"/>
    <w:rsid w:val="0040616D"/>
    <w:rsid w:val="004116CD"/>
    <w:rsid w:val="004168B4"/>
    <w:rsid w:val="00424CA9"/>
    <w:rsid w:val="004257CC"/>
    <w:rsid w:val="00427D10"/>
    <w:rsid w:val="00433D90"/>
    <w:rsid w:val="0044291A"/>
    <w:rsid w:val="00443C8D"/>
    <w:rsid w:val="00444307"/>
    <w:rsid w:val="00496F97"/>
    <w:rsid w:val="00497384"/>
    <w:rsid w:val="004A5FA7"/>
    <w:rsid w:val="004C0C20"/>
    <w:rsid w:val="004E3680"/>
    <w:rsid w:val="004E605A"/>
    <w:rsid w:val="004F11A1"/>
    <w:rsid w:val="004F123D"/>
    <w:rsid w:val="004F7EDF"/>
    <w:rsid w:val="005104CE"/>
    <w:rsid w:val="00516B8D"/>
    <w:rsid w:val="0052249F"/>
    <w:rsid w:val="00537FBC"/>
    <w:rsid w:val="005403A7"/>
    <w:rsid w:val="00543850"/>
    <w:rsid w:val="00544076"/>
    <w:rsid w:val="00584052"/>
    <w:rsid w:val="00584811"/>
    <w:rsid w:val="00593AA6"/>
    <w:rsid w:val="00594161"/>
    <w:rsid w:val="00594680"/>
    <w:rsid w:val="00594749"/>
    <w:rsid w:val="005A1955"/>
    <w:rsid w:val="005A6F34"/>
    <w:rsid w:val="005B07E9"/>
    <w:rsid w:val="005B1E39"/>
    <w:rsid w:val="005B4067"/>
    <w:rsid w:val="005B5752"/>
    <w:rsid w:val="005C3F41"/>
    <w:rsid w:val="005C5800"/>
    <w:rsid w:val="005D4DEA"/>
    <w:rsid w:val="005F4E67"/>
    <w:rsid w:val="00600219"/>
    <w:rsid w:val="0060730D"/>
    <w:rsid w:val="00611B16"/>
    <w:rsid w:val="00611C2E"/>
    <w:rsid w:val="00626930"/>
    <w:rsid w:val="00632027"/>
    <w:rsid w:val="00636205"/>
    <w:rsid w:val="006444FB"/>
    <w:rsid w:val="006463C3"/>
    <w:rsid w:val="0065106B"/>
    <w:rsid w:val="006527A6"/>
    <w:rsid w:val="0066279E"/>
    <w:rsid w:val="00664C63"/>
    <w:rsid w:val="00677291"/>
    <w:rsid w:val="00677CC2"/>
    <w:rsid w:val="00681A4A"/>
    <w:rsid w:val="006918AA"/>
    <w:rsid w:val="0069207B"/>
    <w:rsid w:val="00692FAC"/>
    <w:rsid w:val="006B51F1"/>
    <w:rsid w:val="006C7F8C"/>
    <w:rsid w:val="006D3764"/>
    <w:rsid w:val="006E4AB2"/>
    <w:rsid w:val="006E4C47"/>
    <w:rsid w:val="006F2B8E"/>
    <w:rsid w:val="006F409E"/>
    <w:rsid w:val="006F4470"/>
    <w:rsid w:val="007002B4"/>
    <w:rsid w:val="00700B2C"/>
    <w:rsid w:val="00713084"/>
    <w:rsid w:val="007173B8"/>
    <w:rsid w:val="00731158"/>
    <w:rsid w:val="00731E00"/>
    <w:rsid w:val="00732A85"/>
    <w:rsid w:val="00737770"/>
    <w:rsid w:val="00737D62"/>
    <w:rsid w:val="007440B7"/>
    <w:rsid w:val="0075226A"/>
    <w:rsid w:val="007627F4"/>
    <w:rsid w:val="007715C9"/>
    <w:rsid w:val="00774EDD"/>
    <w:rsid w:val="007757EC"/>
    <w:rsid w:val="007845BF"/>
    <w:rsid w:val="00794281"/>
    <w:rsid w:val="00795FCE"/>
    <w:rsid w:val="007A659A"/>
    <w:rsid w:val="007B081F"/>
    <w:rsid w:val="007B2AAB"/>
    <w:rsid w:val="007D011C"/>
    <w:rsid w:val="007D247B"/>
    <w:rsid w:val="007E4CC8"/>
    <w:rsid w:val="007F167A"/>
    <w:rsid w:val="007F3236"/>
    <w:rsid w:val="007F7A16"/>
    <w:rsid w:val="00815F59"/>
    <w:rsid w:val="00830815"/>
    <w:rsid w:val="00844C3D"/>
    <w:rsid w:val="00856A31"/>
    <w:rsid w:val="00870CC0"/>
    <w:rsid w:val="008754D0"/>
    <w:rsid w:val="00883892"/>
    <w:rsid w:val="008862DD"/>
    <w:rsid w:val="00890D19"/>
    <w:rsid w:val="008A6470"/>
    <w:rsid w:val="008C42F4"/>
    <w:rsid w:val="008D0EE0"/>
    <w:rsid w:val="008E05CA"/>
    <w:rsid w:val="008F1CB9"/>
    <w:rsid w:val="00932377"/>
    <w:rsid w:val="00932FA3"/>
    <w:rsid w:val="00952D55"/>
    <w:rsid w:val="0095602D"/>
    <w:rsid w:val="009620C2"/>
    <w:rsid w:val="00983E89"/>
    <w:rsid w:val="009B277D"/>
    <w:rsid w:val="009B2A9F"/>
    <w:rsid w:val="009D05DF"/>
    <w:rsid w:val="00A120DD"/>
    <w:rsid w:val="00A231E2"/>
    <w:rsid w:val="00A23C98"/>
    <w:rsid w:val="00A25627"/>
    <w:rsid w:val="00A32F04"/>
    <w:rsid w:val="00A410F6"/>
    <w:rsid w:val="00A415B9"/>
    <w:rsid w:val="00A440B8"/>
    <w:rsid w:val="00A64912"/>
    <w:rsid w:val="00A70998"/>
    <w:rsid w:val="00A70A74"/>
    <w:rsid w:val="00A70C68"/>
    <w:rsid w:val="00A719E3"/>
    <w:rsid w:val="00AA09AF"/>
    <w:rsid w:val="00AA0ABF"/>
    <w:rsid w:val="00AA5445"/>
    <w:rsid w:val="00AB5A90"/>
    <w:rsid w:val="00AC13F9"/>
    <w:rsid w:val="00AD1072"/>
    <w:rsid w:val="00AD27B3"/>
    <w:rsid w:val="00AD5641"/>
    <w:rsid w:val="00AE59F7"/>
    <w:rsid w:val="00AE7BD7"/>
    <w:rsid w:val="00AF36CF"/>
    <w:rsid w:val="00B05578"/>
    <w:rsid w:val="00B05DED"/>
    <w:rsid w:val="00B26413"/>
    <w:rsid w:val="00B30BBF"/>
    <w:rsid w:val="00B33B3C"/>
    <w:rsid w:val="00B340B6"/>
    <w:rsid w:val="00B3608C"/>
    <w:rsid w:val="00B372A6"/>
    <w:rsid w:val="00B429C2"/>
    <w:rsid w:val="00B554FB"/>
    <w:rsid w:val="00B61C25"/>
    <w:rsid w:val="00B623D8"/>
    <w:rsid w:val="00B70E56"/>
    <w:rsid w:val="00BC30F2"/>
    <w:rsid w:val="00BD1655"/>
    <w:rsid w:val="00BD61BE"/>
    <w:rsid w:val="00BE0206"/>
    <w:rsid w:val="00BE719A"/>
    <w:rsid w:val="00BE720A"/>
    <w:rsid w:val="00BE791D"/>
    <w:rsid w:val="00BF00CC"/>
    <w:rsid w:val="00BF5542"/>
    <w:rsid w:val="00C10477"/>
    <w:rsid w:val="00C14B37"/>
    <w:rsid w:val="00C176BA"/>
    <w:rsid w:val="00C429A2"/>
    <w:rsid w:val="00C42BF8"/>
    <w:rsid w:val="00C50043"/>
    <w:rsid w:val="00C50095"/>
    <w:rsid w:val="00C517E9"/>
    <w:rsid w:val="00C523B8"/>
    <w:rsid w:val="00C53114"/>
    <w:rsid w:val="00C57D7C"/>
    <w:rsid w:val="00C66CB2"/>
    <w:rsid w:val="00C723B9"/>
    <w:rsid w:val="00C7573B"/>
    <w:rsid w:val="00C77D10"/>
    <w:rsid w:val="00C83AEE"/>
    <w:rsid w:val="00CB0EA8"/>
    <w:rsid w:val="00CC28F6"/>
    <w:rsid w:val="00CC7A09"/>
    <w:rsid w:val="00CE4899"/>
    <w:rsid w:val="00CF0BB2"/>
    <w:rsid w:val="00CF4300"/>
    <w:rsid w:val="00CF4975"/>
    <w:rsid w:val="00CF6AD2"/>
    <w:rsid w:val="00D01279"/>
    <w:rsid w:val="00D13441"/>
    <w:rsid w:val="00D3213F"/>
    <w:rsid w:val="00D374CE"/>
    <w:rsid w:val="00D40252"/>
    <w:rsid w:val="00D467B9"/>
    <w:rsid w:val="00D67311"/>
    <w:rsid w:val="00D70884"/>
    <w:rsid w:val="00D70DFB"/>
    <w:rsid w:val="00D7186F"/>
    <w:rsid w:val="00D766DF"/>
    <w:rsid w:val="00D9284D"/>
    <w:rsid w:val="00DA4922"/>
    <w:rsid w:val="00DD314D"/>
    <w:rsid w:val="00DD4E07"/>
    <w:rsid w:val="00DD545C"/>
    <w:rsid w:val="00DD76DB"/>
    <w:rsid w:val="00DE43B4"/>
    <w:rsid w:val="00DE4B73"/>
    <w:rsid w:val="00DF6D20"/>
    <w:rsid w:val="00E05704"/>
    <w:rsid w:val="00E1363F"/>
    <w:rsid w:val="00E267C2"/>
    <w:rsid w:val="00E451FF"/>
    <w:rsid w:val="00E51974"/>
    <w:rsid w:val="00E54CAB"/>
    <w:rsid w:val="00E64646"/>
    <w:rsid w:val="00E74C05"/>
    <w:rsid w:val="00E74DC7"/>
    <w:rsid w:val="00E85CB9"/>
    <w:rsid w:val="00E862AD"/>
    <w:rsid w:val="00E910AD"/>
    <w:rsid w:val="00E94998"/>
    <w:rsid w:val="00EC1716"/>
    <w:rsid w:val="00EC6A19"/>
    <w:rsid w:val="00ED1A6C"/>
    <w:rsid w:val="00EE25A8"/>
    <w:rsid w:val="00EE6DCC"/>
    <w:rsid w:val="00EF2E3A"/>
    <w:rsid w:val="00EF52F9"/>
    <w:rsid w:val="00EF727E"/>
    <w:rsid w:val="00F00CB6"/>
    <w:rsid w:val="00F0132A"/>
    <w:rsid w:val="00F078DC"/>
    <w:rsid w:val="00F117F9"/>
    <w:rsid w:val="00F425D7"/>
    <w:rsid w:val="00F44FEA"/>
    <w:rsid w:val="00F5076A"/>
    <w:rsid w:val="00F57418"/>
    <w:rsid w:val="00F61E2C"/>
    <w:rsid w:val="00F6450E"/>
    <w:rsid w:val="00F71234"/>
    <w:rsid w:val="00F8103A"/>
    <w:rsid w:val="00FA3991"/>
    <w:rsid w:val="00FB3FD7"/>
    <w:rsid w:val="00FC104F"/>
    <w:rsid w:val="00FE1DDE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82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14B3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A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A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A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A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A9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A9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A9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A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A9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14B37"/>
  </w:style>
  <w:style w:type="paragraph" w:customStyle="1" w:styleId="OPCParaBase">
    <w:name w:val="OPCParaBase"/>
    <w:qFormat/>
    <w:rsid w:val="00C14B3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14B3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14B3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14B3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14B3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14B3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14B3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14B3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14B3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14B3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14B3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14B37"/>
  </w:style>
  <w:style w:type="paragraph" w:customStyle="1" w:styleId="Blocks">
    <w:name w:val="Blocks"/>
    <w:aliases w:val="bb"/>
    <w:basedOn w:val="OPCParaBase"/>
    <w:qFormat/>
    <w:rsid w:val="00C14B3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14B3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14B3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14B37"/>
    <w:rPr>
      <w:i/>
    </w:rPr>
  </w:style>
  <w:style w:type="paragraph" w:customStyle="1" w:styleId="BoxList">
    <w:name w:val="BoxList"/>
    <w:aliases w:val="bl"/>
    <w:basedOn w:val="BoxText"/>
    <w:qFormat/>
    <w:rsid w:val="00C14B3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14B3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14B3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14B37"/>
    <w:pPr>
      <w:ind w:left="1985" w:hanging="851"/>
    </w:pPr>
  </w:style>
  <w:style w:type="character" w:customStyle="1" w:styleId="CharAmPartNo">
    <w:name w:val="CharAmPartNo"/>
    <w:basedOn w:val="OPCCharBase"/>
    <w:qFormat/>
    <w:rsid w:val="00C14B37"/>
  </w:style>
  <w:style w:type="character" w:customStyle="1" w:styleId="CharAmPartText">
    <w:name w:val="CharAmPartText"/>
    <w:basedOn w:val="OPCCharBase"/>
    <w:qFormat/>
    <w:rsid w:val="00C14B37"/>
  </w:style>
  <w:style w:type="character" w:customStyle="1" w:styleId="CharAmSchNo">
    <w:name w:val="CharAmSchNo"/>
    <w:basedOn w:val="OPCCharBase"/>
    <w:qFormat/>
    <w:rsid w:val="00C14B37"/>
  </w:style>
  <w:style w:type="character" w:customStyle="1" w:styleId="CharAmSchText">
    <w:name w:val="CharAmSchText"/>
    <w:basedOn w:val="OPCCharBase"/>
    <w:qFormat/>
    <w:rsid w:val="00C14B37"/>
  </w:style>
  <w:style w:type="character" w:customStyle="1" w:styleId="CharBoldItalic">
    <w:name w:val="CharBoldItalic"/>
    <w:basedOn w:val="OPCCharBase"/>
    <w:uiPriority w:val="1"/>
    <w:qFormat/>
    <w:rsid w:val="00C14B37"/>
    <w:rPr>
      <w:b/>
      <w:i/>
    </w:rPr>
  </w:style>
  <w:style w:type="character" w:customStyle="1" w:styleId="CharChapNo">
    <w:name w:val="CharChapNo"/>
    <w:basedOn w:val="OPCCharBase"/>
    <w:uiPriority w:val="1"/>
    <w:qFormat/>
    <w:rsid w:val="00C14B37"/>
  </w:style>
  <w:style w:type="character" w:customStyle="1" w:styleId="CharChapText">
    <w:name w:val="CharChapText"/>
    <w:basedOn w:val="OPCCharBase"/>
    <w:uiPriority w:val="1"/>
    <w:qFormat/>
    <w:rsid w:val="00C14B37"/>
  </w:style>
  <w:style w:type="character" w:customStyle="1" w:styleId="CharDivNo">
    <w:name w:val="CharDivNo"/>
    <w:basedOn w:val="OPCCharBase"/>
    <w:uiPriority w:val="1"/>
    <w:qFormat/>
    <w:rsid w:val="00C14B37"/>
  </w:style>
  <w:style w:type="character" w:customStyle="1" w:styleId="CharDivText">
    <w:name w:val="CharDivText"/>
    <w:basedOn w:val="OPCCharBase"/>
    <w:uiPriority w:val="1"/>
    <w:qFormat/>
    <w:rsid w:val="00C14B37"/>
  </w:style>
  <w:style w:type="character" w:customStyle="1" w:styleId="CharItalic">
    <w:name w:val="CharItalic"/>
    <w:basedOn w:val="OPCCharBase"/>
    <w:uiPriority w:val="1"/>
    <w:qFormat/>
    <w:rsid w:val="00C14B37"/>
    <w:rPr>
      <w:i/>
    </w:rPr>
  </w:style>
  <w:style w:type="character" w:customStyle="1" w:styleId="CharPartNo">
    <w:name w:val="CharPartNo"/>
    <w:basedOn w:val="OPCCharBase"/>
    <w:uiPriority w:val="1"/>
    <w:qFormat/>
    <w:rsid w:val="00C14B37"/>
  </w:style>
  <w:style w:type="character" w:customStyle="1" w:styleId="CharPartText">
    <w:name w:val="CharPartText"/>
    <w:basedOn w:val="OPCCharBase"/>
    <w:uiPriority w:val="1"/>
    <w:qFormat/>
    <w:rsid w:val="00C14B37"/>
  </w:style>
  <w:style w:type="character" w:customStyle="1" w:styleId="CharSectno">
    <w:name w:val="CharSectno"/>
    <w:basedOn w:val="OPCCharBase"/>
    <w:qFormat/>
    <w:rsid w:val="00C14B37"/>
  </w:style>
  <w:style w:type="character" w:customStyle="1" w:styleId="CharSubdNo">
    <w:name w:val="CharSubdNo"/>
    <w:basedOn w:val="OPCCharBase"/>
    <w:uiPriority w:val="1"/>
    <w:qFormat/>
    <w:rsid w:val="00C14B37"/>
  </w:style>
  <w:style w:type="character" w:customStyle="1" w:styleId="CharSubdText">
    <w:name w:val="CharSubdText"/>
    <w:basedOn w:val="OPCCharBase"/>
    <w:uiPriority w:val="1"/>
    <w:qFormat/>
    <w:rsid w:val="00C14B37"/>
  </w:style>
  <w:style w:type="paragraph" w:customStyle="1" w:styleId="CTA--">
    <w:name w:val="CTA --"/>
    <w:basedOn w:val="OPCParaBase"/>
    <w:next w:val="Normal"/>
    <w:rsid w:val="00C14B3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14B3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14B3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14B3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14B3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14B3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14B3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14B3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14B3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14B3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14B3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14B3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14B3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14B3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C14B3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14B3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14B3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14B3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14B3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14B3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14B3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14B3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14B3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14B3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14B3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14B3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14B3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14B3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14B3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14B3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14B3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14B3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14B3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14B3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14B3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14B3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14B3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14B3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14B3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14B3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14B3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14B3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14B3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14B3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14B3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14B3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14B3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14B3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14B3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14B3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14B3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14B3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14B3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14B3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14B3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14B37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14B37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14B37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14B37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C14B37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14B37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14B37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14B37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14B37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14B3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14B3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14B3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14B3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14B3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14B3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14B3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14B3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14B37"/>
    <w:rPr>
      <w:sz w:val="16"/>
    </w:rPr>
  </w:style>
  <w:style w:type="table" w:customStyle="1" w:styleId="CFlag">
    <w:name w:val="CFlag"/>
    <w:basedOn w:val="TableNormal"/>
    <w:uiPriority w:val="99"/>
    <w:rsid w:val="00C14B37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C14B3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14B37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14B37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C14B3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C14B3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14B3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14B3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14B3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14B3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14B3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14B3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14B3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14B3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14B37"/>
  </w:style>
  <w:style w:type="character" w:customStyle="1" w:styleId="CharSubPartNoCASA">
    <w:name w:val="CharSubPartNo(CASA)"/>
    <w:basedOn w:val="OPCCharBase"/>
    <w:uiPriority w:val="1"/>
    <w:rsid w:val="00C14B37"/>
  </w:style>
  <w:style w:type="paragraph" w:customStyle="1" w:styleId="ENoteTTIndentHeadingSub">
    <w:name w:val="ENoteTTIndentHeadingSub"/>
    <w:aliases w:val="enTTHis"/>
    <w:basedOn w:val="OPCParaBase"/>
    <w:rsid w:val="00C14B3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14B3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14B3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14B3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C14B3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14B3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14B3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14B37"/>
    <w:rPr>
      <w:sz w:val="22"/>
    </w:rPr>
  </w:style>
  <w:style w:type="paragraph" w:customStyle="1" w:styleId="SOTextNote">
    <w:name w:val="SO TextNote"/>
    <w:aliases w:val="sont"/>
    <w:basedOn w:val="SOText"/>
    <w:qFormat/>
    <w:rsid w:val="00C14B3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14B3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14B37"/>
    <w:rPr>
      <w:sz w:val="22"/>
    </w:rPr>
  </w:style>
  <w:style w:type="paragraph" w:customStyle="1" w:styleId="FileName">
    <w:name w:val="FileName"/>
    <w:basedOn w:val="Normal"/>
    <w:rsid w:val="00C14B37"/>
  </w:style>
  <w:style w:type="paragraph" w:customStyle="1" w:styleId="TableHeading">
    <w:name w:val="TableHeading"/>
    <w:aliases w:val="th"/>
    <w:basedOn w:val="OPCParaBase"/>
    <w:next w:val="Tabletext"/>
    <w:rsid w:val="00C14B3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14B3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14B3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14B3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14B3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14B3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14B3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14B3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14B3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14B3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14B3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14B3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C14B3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14B37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C14B3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14B3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C14B3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14B3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14B3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14B3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14B37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C14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C14B37"/>
  </w:style>
  <w:style w:type="character" w:customStyle="1" w:styleId="Heading1Char">
    <w:name w:val="Heading 1 Char"/>
    <w:basedOn w:val="DefaultParagraphFont"/>
    <w:link w:val="Heading1"/>
    <w:uiPriority w:val="9"/>
    <w:rsid w:val="009B2A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A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A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A9F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A9F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A9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A9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A9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A9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84BA3-C017-4752-A60D-54802E745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3</Pages>
  <Words>316</Words>
  <Characters>1724</Characters>
  <Application>Microsoft Office Word</Application>
  <DocSecurity>2</DocSecurity>
  <PresentationFormat/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Implementing a reporting regime for sharing economy platform providers exposure draft</vt:lpstr>
    </vt:vector>
  </TitlesOfParts>
  <Manager/>
  <Company/>
  <LinksUpToDate>false</LinksUpToDate>
  <CharactersWithSpaces>2029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Implementing a reporting regime for sharing economy platform providers exposure draft</dc:title>
  <dc:subject/>
  <dc:creator/>
  <cp:keywords/>
  <dc:description/>
  <cp:lastModifiedBy/>
  <cp:revision>1</cp:revision>
  <cp:lastPrinted>2021-05-24T03:01:00Z</cp:lastPrinted>
  <dcterms:created xsi:type="dcterms:W3CDTF">2021-06-22T07:21:00Z</dcterms:created>
  <dcterms:modified xsi:type="dcterms:W3CDTF">2021-06-29T06:39:00Z</dcterms:modified>
  <cp:category/>
  <cp:contentStatus/>
  <dc:language/>
  <cp:version/>
</cp:coreProperties>
</file>