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643AC3" w14:textId="77777777" w:rsidR="0011225D" w:rsidRDefault="0011225D" w:rsidP="009C5140">
      <w:pPr>
        <w:pStyle w:val="Baseparagraphcentred"/>
      </w:pPr>
    </w:p>
    <w:p w14:paraId="5C439E0A" w14:textId="77777777" w:rsidR="0011225D" w:rsidRDefault="0011225D" w:rsidP="009C5140">
      <w:pPr>
        <w:pStyle w:val="Baseparagraphcentred"/>
      </w:pPr>
    </w:p>
    <w:p w14:paraId="6777DAE6" w14:textId="77777777" w:rsidR="0011225D" w:rsidRDefault="0011225D" w:rsidP="009C5140">
      <w:pPr>
        <w:pStyle w:val="Baseparagraphcentred"/>
      </w:pPr>
    </w:p>
    <w:p w14:paraId="7D13326E" w14:textId="77777777" w:rsidR="0011225D" w:rsidRDefault="0011225D" w:rsidP="009C5140">
      <w:pPr>
        <w:pStyle w:val="Baseparagraphcentred"/>
      </w:pPr>
    </w:p>
    <w:p w14:paraId="7CA6682E" w14:textId="77777777" w:rsidR="0011225D" w:rsidRDefault="0011225D" w:rsidP="009C5140">
      <w:pPr>
        <w:pStyle w:val="Baseparagraphcentred"/>
      </w:pPr>
    </w:p>
    <w:p w14:paraId="4C908B40" w14:textId="77777777" w:rsidR="0011225D" w:rsidRDefault="0011225D" w:rsidP="009C5140">
      <w:pPr>
        <w:pStyle w:val="Baseparagraphcentred"/>
      </w:pPr>
    </w:p>
    <w:p w14:paraId="7DB1CFD3" w14:textId="77777777" w:rsidR="0011225D" w:rsidRDefault="0011225D" w:rsidP="009C5140">
      <w:pPr>
        <w:pStyle w:val="Baseparagraphcentred"/>
      </w:pPr>
    </w:p>
    <w:p w14:paraId="46533CDA" w14:textId="77777777" w:rsidR="0011225D" w:rsidRDefault="0011225D" w:rsidP="009C5140">
      <w:pPr>
        <w:pStyle w:val="Baseparagraphcentred"/>
      </w:pPr>
    </w:p>
    <w:p w14:paraId="2421033F" w14:textId="77777777" w:rsidR="0011225D" w:rsidRDefault="0011225D" w:rsidP="009C5140">
      <w:pPr>
        <w:pStyle w:val="Baseparagraphcentred"/>
      </w:pPr>
    </w:p>
    <w:p w14:paraId="03420940" w14:textId="77777777" w:rsidR="0011225D" w:rsidRDefault="0011225D" w:rsidP="009C5140">
      <w:pPr>
        <w:pStyle w:val="Baseparagraphcentred"/>
      </w:pPr>
    </w:p>
    <w:p w14:paraId="1395DC44" w14:textId="65E2DCE4" w:rsidR="0011225D" w:rsidRPr="005A12BB" w:rsidRDefault="005A12BB" w:rsidP="009C5140">
      <w:pPr>
        <w:pStyle w:val="BillName"/>
        <w:rPr>
          <w:rStyle w:val="Emphasis"/>
          <w:i w:val="0"/>
          <w:iCs w:val="0"/>
        </w:rPr>
      </w:pPr>
      <w:r w:rsidRPr="005A12BB">
        <w:rPr>
          <w:rStyle w:val="Emphasis"/>
          <w:i w:val="0"/>
          <w:iCs w:val="0"/>
        </w:rPr>
        <w:t xml:space="preserve">Treasury Laws Amendment (Measures for Consultation) Bill 2021: </w:t>
      </w:r>
      <w:r w:rsidR="00702901">
        <w:rPr>
          <w:rStyle w:val="Emphasis"/>
          <w:i w:val="0"/>
          <w:iCs w:val="0"/>
        </w:rPr>
        <w:t>Introducing a s</w:t>
      </w:r>
      <w:r w:rsidRPr="005A12BB">
        <w:rPr>
          <w:rStyle w:val="Emphasis"/>
          <w:i w:val="0"/>
          <w:iCs w:val="0"/>
        </w:rPr>
        <w:t>haring economy reporting regime</w:t>
      </w:r>
    </w:p>
    <w:p w14:paraId="6588E61F" w14:textId="77777777" w:rsidR="0011225D" w:rsidRDefault="0011225D" w:rsidP="009C5140">
      <w:pPr>
        <w:pStyle w:val="Baseparagraphcentred"/>
        <w:rPr>
          <w:caps/>
        </w:rPr>
      </w:pPr>
    </w:p>
    <w:p w14:paraId="50CBAD92" w14:textId="77777777" w:rsidR="0011225D" w:rsidRDefault="0011225D" w:rsidP="009C5140">
      <w:pPr>
        <w:pStyle w:val="Baseparagraphcentred"/>
      </w:pPr>
    </w:p>
    <w:p w14:paraId="1663B72A" w14:textId="77777777" w:rsidR="0011225D" w:rsidRDefault="0011225D" w:rsidP="009C5140">
      <w:pPr>
        <w:pStyle w:val="Baseparagraphcentred"/>
      </w:pPr>
    </w:p>
    <w:p w14:paraId="11174089" w14:textId="7ADF11FB" w:rsidR="0011225D" w:rsidRDefault="00F92925" w:rsidP="00F92925">
      <w:pPr>
        <w:pStyle w:val="Baseparagraphcentred"/>
      </w:pPr>
      <w:r>
        <w:t>EXPOSURE DRAFT EXPLANATORY MATERIALS</w:t>
      </w:r>
    </w:p>
    <w:p w14:paraId="650102C3" w14:textId="77777777" w:rsidR="0011225D" w:rsidRDefault="0011225D" w:rsidP="009C5140">
      <w:pPr>
        <w:pStyle w:val="Baseparagraphcentred"/>
      </w:pPr>
    </w:p>
    <w:p w14:paraId="74D92B8C" w14:textId="77777777" w:rsidR="0011225D" w:rsidRDefault="0011225D" w:rsidP="009C5140">
      <w:pPr>
        <w:pStyle w:val="ParaCentredNoSpacing"/>
      </w:pPr>
    </w:p>
    <w:p w14:paraId="01CB4D14" w14:textId="77777777" w:rsidR="0011225D" w:rsidRDefault="0011225D" w:rsidP="009C5140">
      <w:pPr>
        <w:pStyle w:val="ParaCentredNoSpacing"/>
      </w:pPr>
    </w:p>
    <w:p w14:paraId="45EC4D6E" w14:textId="77777777" w:rsidR="009C5140" w:rsidRDefault="009C5140" w:rsidP="009C5140">
      <w:pPr>
        <w:pStyle w:val="ParaCentredNoSpacing"/>
      </w:pPr>
    </w:p>
    <w:p w14:paraId="41980013" w14:textId="77777777" w:rsidR="00C3452B" w:rsidRDefault="00C3452B" w:rsidP="00C3452B">
      <w:pPr>
        <w:sectPr w:rsidR="00C3452B" w:rsidSect="00C10AAF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oddPage"/>
          <w:pgSz w:w="9979" w:h="14175" w:code="138"/>
          <w:pgMar w:top="567" w:right="1134" w:bottom="567" w:left="1134" w:header="709" w:footer="709" w:gutter="0"/>
          <w:cols w:space="708"/>
          <w:titlePg/>
          <w:docGrid w:linePitch="360"/>
        </w:sectPr>
      </w:pPr>
      <w:bookmarkStart w:id="12" w:name="BillName"/>
      <w:bookmarkEnd w:id="12"/>
    </w:p>
    <w:p w14:paraId="7F47B37D" w14:textId="77777777" w:rsidR="00C3452B" w:rsidRPr="003E0794" w:rsidRDefault="00C3452B" w:rsidP="00C3452B">
      <w:pPr>
        <w:pStyle w:val="TOCHeading"/>
      </w:pPr>
      <w:r w:rsidRPr="003E0794">
        <w:lastRenderedPageBreak/>
        <w:t>Table of contents</w:t>
      </w:r>
    </w:p>
    <w:p w14:paraId="3D109F09" w14:textId="18E14982" w:rsidR="00702901" w:rsidRDefault="00C3452B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r>
        <w:fldChar w:fldCharType="begin"/>
      </w:r>
      <w:r>
        <w:instrText xml:space="preserve"> TOC \t "Chapter Heading,1,Chapter heading subdocument,2" </w:instrText>
      </w:r>
      <w:r>
        <w:fldChar w:fldCharType="separate"/>
      </w:r>
      <w:r w:rsidR="00702901">
        <w:t>Glossary</w:t>
      </w:r>
      <w:r w:rsidR="00702901">
        <w:tab/>
      </w:r>
      <w:r w:rsidR="00702901">
        <w:fldChar w:fldCharType="begin"/>
      </w:r>
      <w:r w:rsidR="00702901">
        <w:instrText xml:space="preserve"> PAGEREF _Toc75275232 \h </w:instrText>
      </w:r>
      <w:r w:rsidR="00702901">
        <w:fldChar w:fldCharType="separate"/>
      </w:r>
      <w:r w:rsidR="00702901">
        <w:t>1</w:t>
      </w:r>
      <w:r w:rsidR="00702901">
        <w:fldChar w:fldCharType="end"/>
      </w:r>
    </w:p>
    <w:p w14:paraId="41B20266" w14:textId="0EA7BB3F" w:rsidR="00702901" w:rsidRDefault="00702901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Chapter 1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Sharing economy reporting regime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_Toc75275233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2BD2F761" w14:textId="6512CCA2" w:rsidR="00C3452B" w:rsidRDefault="00C3452B" w:rsidP="00C3452B">
      <w:pPr>
        <w:rPr>
          <w:rFonts w:ascii="Helvetica" w:hAnsi="Helvetica"/>
          <w:noProof/>
          <w:sz w:val="24"/>
        </w:rPr>
      </w:pPr>
      <w:r>
        <w:rPr>
          <w:rFonts w:ascii="Helvetica" w:hAnsi="Helvetica"/>
          <w:noProof/>
          <w:sz w:val="24"/>
        </w:rPr>
        <w:fldChar w:fldCharType="end"/>
      </w:r>
    </w:p>
    <w:p w14:paraId="5768FDDB" w14:textId="77777777" w:rsidR="00C3452B" w:rsidRDefault="00C3452B" w:rsidP="00C3452B">
      <w:pPr>
        <w:pStyle w:val="Hiddentext"/>
      </w:pPr>
    </w:p>
    <w:p w14:paraId="71DFAE8B" w14:textId="77777777" w:rsidR="00C3452B" w:rsidRDefault="00C3452B" w:rsidP="00C3452B">
      <w:pPr>
        <w:pStyle w:val="base-text-paragraphnonumbers"/>
        <w:sectPr w:rsidR="00C3452B" w:rsidSect="00C10AAF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type w:val="oddPage"/>
          <w:pgSz w:w="9979" w:h="14175" w:code="9"/>
          <w:pgMar w:top="567" w:right="1134" w:bottom="567" w:left="1134" w:header="709" w:footer="709" w:gutter="0"/>
          <w:cols w:space="708"/>
          <w:titlePg/>
          <w:docGrid w:linePitch="360"/>
        </w:sectPr>
      </w:pPr>
    </w:p>
    <w:p w14:paraId="2D381198" w14:textId="77777777" w:rsidR="00C3452B" w:rsidRPr="00567602" w:rsidRDefault="00C3452B" w:rsidP="00C3452B">
      <w:pPr>
        <w:pStyle w:val="Chapterheadingsubdocument"/>
      </w:pPr>
      <w:bookmarkStart w:id="25" w:name="_Toc75275232"/>
      <w:r w:rsidRPr="00567602">
        <w:rPr>
          <w:rStyle w:val="ChapterNameOnly"/>
        </w:rPr>
        <w:lastRenderedPageBreak/>
        <w:t>Glossary</w:t>
      </w:r>
      <w:bookmarkEnd w:id="25"/>
    </w:p>
    <w:p w14:paraId="5B07BAE0" w14:textId="77777777" w:rsidR="00C3452B" w:rsidRDefault="00C3452B" w:rsidP="00C3452B">
      <w:pPr>
        <w:pStyle w:val="BTPwithextraspacing"/>
      </w:pPr>
      <w:r>
        <w:t>The following abbreviations and acronyms are used throughout this explanatory memorandum.</w:t>
      </w:r>
    </w:p>
    <w:tbl>
      <w:tblPr>
        <w:tblW w:w="6606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1"/>
        <w:gridCol w:w="3885"/>
      </w:tblGrid>
      <w:tr w:rsidR="00C3452B" w:rsidRPr="00123D96" w14:paraId="745CC5FB" w14:textId="77777777" w:rsidTr="00C300DA">
        <w:tc>
          <w:tcPr>
            <w:tcW w:w="2721" w:type="dxa"/>
          </w:tcPr>
          <w:p w14:paraId="5299083A" w14:textId="77777777" w:rsidR="00C3452B" w:rsidRPr="00123D96" w:rsidRDefault="00C3452B" w:rsidP="00A335B4">
            <w:pPr>
              <w:pStyle w:val="tableheaderwithintable"/>
            </w:pPr>
            <w:r w:rsidRPr="00123D96">
              <w:t>Abbreviation</w:t>
            </w:r>
          </w:p>
        </w:tc>
        <w:tc>
          <w:tcPr>
            <w:tcW w:w="3885" w:type="dxa"/>
          </w:tcPr>
          <w:p w14:paraId="53DD85A4" w14:textId="77777777" w:rsidR="00C3452B" w:rsidRPr="00123D96" w:rsidRDefault="00C3452B" w:rsidP="00A335B4">
            <w:pPr>
              <w:pStyle w:val="tableheaderwithintable"/>
            </w:pPr>
            <w:r w:rsidRPr="00123D96">
              <w:t>Definition</w:t>
            </w:r>
          </w:p>
        </w:tc>
      </w:tr>
      <w:tr w:rsidR="00C3452B" w:rsidRPr="002C43E8" w14:paraId="5410100A" w14:textId="77777777" w:rsidTr="00C300DA">
        <w:tc>
          <w:tcPr>
            <w:tcW w:w="2721" w:type="dxa"/>
          </w:tcPr>
          <w:p w14:paraId="2624337C" w14:textId="4DCB0E60" w:rsidR="00C3452B" w:rsidRPr="002C43E8" w:rsidRDefault="00C300DA" w:rsidP="00A335B4">
            <w:pPr>
              <w:pStyle w:val="Glossarytabletext"/>
              <w:rPr>
                <w:lang w:val="en-US" w:eastAsia="en-US"/>
              </w:rPr>
            </w:pPr>
            <w:bookmarkStart w:id="26" w:name="GlossaryTableStart"/>
            <w:bookmarkEnd w:id="26"/>
            <w:r>
              <w:rPr>
                <w:lang w:val="en-US" w:eastAsia="en-US"/>
              </w:rPr>
              <w:t>ATO</w:t>
            </w:r>
          </w:p>
        </w:tc>
        <w:tc>
          <w:tcPr>
            <w:tcW w:w="3885" w:type="dxa"/>
          </w:tcPr>
          <w:p w14:paraId="55D7D4EB" w14:textId="7B4ED323" w:rsidR="00C3452B" w:rsidRPr="002C43E8" w:rsidRDefault="00C300DA" w:rsidP="00A335B4">
            <w:pPr>
              <w:pStyle w:val="Glossarytabletext"/>
              <w:rPr>
                <w:lang w:val="en-US" w:eastAsia="en-US"/>
              </w:rPr>
            </w:pPr>
            <w:r>
              <w:rPr>
                <w:lang w:val="en-US" w:eastAsia="en-US"/>
              </w:rPr>
              <w:t>Australian Taxation Office</w:t>
            </w:r>
          </w:p>
        </w:tc>
      </w:tr>
      <w:tr w:rsidR="00B0481F" w:rsidRPr="002C43E8" w14:paraId="2B0037AA" w14:textId="77777777" w:rsidTr="00C300DA">
        <w:tc>
          <w:tcPr>
            <w:tcW w:w="2721" w:type="dxa"/>
          </w:tcPr>
          <w:p w14:paraId="07443337" w14:textId="373007E8" w:rsidR="00B0481F" w:rsidRPr="002C43E8" w:rsidRDefault="00B0481F" w:rsidP="00A335B4">
            <w:pPr>
              <w:pStyle w:val="Glossarytabletext"/>
              <w:rPr>
                <w:lang w:val="en-US" w:eastAsia="en-US"/>
              </w:rPr>
            </w:pPr>
            <w:r>
              <w:rPr>
                <w:lang w:val="en-US" w:eastAsia="en-US"/>
              </w:rPr>
              <w:t>Commissioner</w:t>
            </w:r>
          </w:p>
        </w:tc>
        <w:tc>
          <w:tcPr>
            <w:tcW w:w="3885" w:type="dxa"/>
          </w:tcPr>
          <w:p w14:paraId="5E6D87D1" w14:textId="11086C8C" w:rsidR="00B0481F" w:rsidRPr="002C43E8" w:rsidRDefault="00B0481F" w:rsidP="00A335B4">
            <w:pPr>
              <w:pStyle w:val="Glossarytabletext"/>
              <w:rPr>
                <w:lang w:val="en-US" w:eastAsia="en-US"/>
              </w:rPr>
            </w:pPr>
            <w:r>
              <w:rPr>
                <w:lang w:val="en-US" w:eastAsia="en-US"/>
              </w:rPr>
              <w:t>Commissioner of Taxation</w:t>
            </w:r>
          </w:p>
        </w:tc>
      </w:tr>
      <w:tr w:rsidR="00B0481F" w:rsidRPr="002C43E8" w14:paraId="53172FDC" w14:textId="77777777" w:rsidTr="00C300DA">
        <w:tc>
          <w:tcPr>
            <w:tcW w:w="2721" w:type="dxa"/>
          </w:tcPr>
          <w:p w14:paraId="42644D53" w14:textId="51E91737" w:rsidR="00B0481F" w:rsidRPr="002C43E8" w:rsidRDefault="00B0481F" w:rsidP="00A335B4">
            <w:pPr>
              <w:pStyle w:val="Glossarytabletext"/>
              <w:rPr>
                <w:lang w:val="en-US" w:eastAsia="en-US"/>
              </w:rPr>
            </w:pPr>
            <w:r>
              <w:rPr>
                <w:lang w:val="en-US" w:eastAsia="en-US"/>
              </w:rPr>
              <w:t>GST Act</w:t>
            </w:r>
          </w:p>
        </w:tc>
        <w:tc>
          <w:tcPr>
            <w:tcW w:w="3885" w:type="dxa"/>
          </w:tcPr>
          <w:p w14:paraId="1CF73774" w14:textId="14F9E29F" w:rsidR="00B0481F" w:rsidRPr="002C43E8" w:rsidRDefault="00B0481F" w:rsidP="00A335B4">
            <w:pPr>
              <w:pStyle w:val="Glossarytabletext"/>
              <w:rPr>
                <w:lang w:val="en-US" w:eastAsia="en-US"/>
              </w:rPr>
            </w:pPr>
            <w:r w:rsidRPr="00C33FD2">
              <w:rPr>
                <w:i/>
                <w:iCs/>
                <w:lang w:val="en-US" w:eastAsia="en-US"/>
              </w:rPr>
              <w:t xml:space="preserve">A </w:t>
            </w:r>
            <w:r w:rsidR="00603A76">
              <w:rPr>
                <w:i/>
                <w:iCs/>
                <w:lang w:val="en-US" w:eastAsia="en-US"/>
              </w:rPr>
              <w:t>New</w:t>
            </w:r>
            <w:r w:rsidR="00603A76" w:rsidRPr="00C33FD2">
              <w:rPr>
                <w:i/>
                <w:iCs/>
                <w:lang w:val="en-US" w:eastAsia="en-US"/>
              </w:rPr>
              <w:t xml:space="preserve"> </w:t>
            </w:r>
            <w:r w:rsidRPr="00C33FD2">
              <w:rPr>
                <w:i/>
                <w:iCs/>
                <w:lang w:val="en-US" w:eastAsia="en-US"/>
              </w:rPr>
              <w:t>Tax System (Goods and Services Tax) Act 1999</w:t>
            </w:r>
          </w:p>
        </w:tc>
      </w:tr>
      <w:tr w:rsidR="00B0481F" w:rsidRPr="002C43E8" w14:paraId="7146017B" w14:textId="77777777" w:rsidTr="00C300DA">
        <w:tc>
          <w:tcPr>
            <w:tcW w:w="2721" w:type="dxa"/>
          </w:tcPr>
          <w:p w14:paraId="31C540CF" w14:textId="0FB583D8" w:rsidR="00B0481F" w:rsidRDefault="00B0481F" w:rsidP="00A335B4">
            <w:pPr>
              <w:pStyle w:val="Glossarytabletext"/>
              <w:rPr>
                <w:lang w:val="en-US" w:eastAsia="en-US"/>
              </w:rPr>
            </w:pPr>
            <w:r>
              <w:rPr>
                <w:lang w:val="en-US" w:eastAsia="en-US"/>
              </w:rPr>
              <w:t>MEC Group</w:t>
            </w:r>
          </w:p>
        </w:tc>
        <w:tc>
          <w:tcPr>
            <w:tcW w:w="3885" w:type="dxa"/>
          </w:tcPr>
          <w:p w14:paraId="77541F69" w14:textId="3F345EE1" w:rsidR="00B0481F" w:rsidRDefault="00B0481F" w:rsidP="00A335B4">
            <w:pPr>
              <w:pStyle w:val="Glossarytabletext"/>
              <w:rPr>
                <w:lang w:val="en-US" w:eastAsia="en-US"/>
              </w:rPr>
            </w:pPr>
            <w:r>
              <w:rPr>
                <w:lang w:val="en-US" w:eastAsia="en-US"/>
              </w:rPr>
              <w:t>Multiple Entry Consolidated Group</w:t>
            </w:r>
          </w:p>
        </w:tc>
      </w:tr>
      <w:tr w:rsidR="00B0481F" w:rsidRPr="002C43E8" w14:paraId="02D16430" w14:textId="77777777" w:rsidTr="00C300DA">
        <w:tc>
          <w:tcPr>
            <w:tcW w:w="2721" w:type="dxa"/>
          </w:tcPr>
          <w:p w14:paraId="753E1F05" w14:textId="5073764C" w:rsidR="00B0481F" w:rsidRDefault="00B0481F" w:rsidP="00A335B4">
            <w:pPr>
              <w:pStyle w:val="Glossarytabletext"/>
              <w:rPr>
                <w:lang w:val="en-US" w:eastAsia="en-US"/>
              </w:rPr>
            </w:pPr>
            <w:r>
              <w:rPr>
                <w:lang w:val="en-US" w:eastAsia="en-US"/>
              </w:rPr>
              <w:t>TAA 1953</w:t>
            </w:r>
          </w:p>
        </w:tc>
        <w:tc>
          <w:tcPr>
            <w:tcW w:w="3885" w:type="dxa"/>
          </w:tcPr>
          <w:p w14:paraId="6B38F30F" w14:textId="01EA77FC" w:rsidR="00B0481F" w:rsidRPr="00C33FD2" w:rsidRDefault="00B0481F" w:rsidP="00A335B4">
            <w:pPr>
              <w:pStyle w:val="Glossarytabletext"/>
              <w:rPr>
                <w:i/>
                <w:iCs/>
                <w:lang w:val="en-US" w:eastAsia="en-US"/>
              </w:rPr>
            </w:pPr>
            <w:r w:rsidRPr="00C300DA">
              <w:rPr>
                <w:i/>
                <w:iCs/>
                <w:lang w:val="en-US" w:eastAsia="en-US"/>
              </w:rPr>
              <w:t>Taxation Administration Act 1953</w:t>
            </w:r>
          </w:p>
        </w:tc>
      </w:tr>
      <w:tr w:rsidR="00B0481F" w:rsidRPr="002C43E8" w14:paraId="2B862ADF" w14:textId="77777777" w:rsidTr="00C300DA">
        <w:tc>
          <w:tcPr>
            <w:tcW w:w="2721" w:type="dxa"/>
          </w:tcPr>
          <w:p w14:paraId="4CC1576B" w14:textId="5C3EF607" w:rsidR="00B0481F" w:rsidRDefault="00B0481F" w:rsidP="00A335B4">
            <w:pPr>
              <w:pStyle w:val="Glossarytabletext"/>
              <w:rPr>
                <w:lang w:val="en-US" w:eastAsia="en-US"/>
              </w:rPr>
            </w:pPr>
            <w:r>
              <w:rPr>
                <w:lang w:val="en-US" w:eastAsia="en-US"/>
              </w:rPr>
              <w:t>TPRS</w:t>
            </w:r>
          </w:p>
        </w:tc>
        <w:tc>
          <w:tcPr>
            <w:tcW w:w="3885" w:type="dxa"/>
          </w:tcPr>
          <w:p w14:paraId="304393B4" w14:textId="7455FE61" w:rsidR="00B0481F" w:rsidRDefault="00B0481F" w:rsidP="00A335B4">
            <w:pPr>
              <w:pStyle w:val="Glossarytabletext"/>
              <w:rPr>
                <w:lang w:val="en-US" w:eastAsia="en-US"/>
              </w:rPr>
            </w:pPr>
            <w:r>
              <w:rPr>
                <w:lang w:val="en-US" w:eastAsia="en-US"/>
              </w:rPr>
              <w:t>Taxable Payments Reporting System</w:t>
            </w:r>
          </w:p>
        </w:tc>
      </w:tr>
    </w:tbl>
    <w:p w14:paraId="2333D192" w14:textId="77777777" w:rsidR="00C3452B" w:rsidRDefault="00C3452B" w:rsidP="00C3452B"/>
    <w:p w14:paraId="15FBA376" w14:textId="77777777" w:rsidR="00C3452B" w:rsidRDefault="00C3452B" w:rsidP="00C3452B"/>
    <w:p w14:paraId="71BA9C0A" w14:textId="77777777" w:rsidR="00C3452B" w:rsidRDefault="00C3452B" w:rsidP="00C3452B">
      <w:pPr>
        <w:sectPr w:rsidR="00C3452B" w:rsidSect="00C10AAF">
          <w:headerReference w:type="even" r:id="rId27"/>
          <w:headerReference w:type="default" r:id="rId28"/>
          <w:footerReference w:type="even" r:id="rId29"/>
          <w:footerReference w:type="default" r:id="rId30"/>
          <w:footerReference w:type="first" r:id="rId31"/>
          <w:type w:val="oddPage"/>
          <w:pgSz w:w="9979" w:h="14175" w:code="9"/>
          <w:pgMar w:top="567" w:right="1134" w:bottom="567" w:left="1134" w:header="709" w:footer="709" w:gutter="0"/>
          <w:pgNumType w:start="1"/>
          <w:cols w:space="708"/>
          <w:titlePg/>
          <w:docGrid w:linePitch="360"/>
        </w:sectPr>
      </w:pPr>
    </w:p>
    <w:p w14:paraId="252A04D0" w14:textId="3BC102CA" w:rsidR="00C3452B" w:rsidRPr="007C2B20" w:rsidRDefault="00C3452B" w:rsidP="00C3452B">
      <w:pPr>
        <w:pStyle w:val="ChapterHeading"/>
        <w:numPr>
          <w:ilvl w:val="0"/>
          <w:numId w:val="7"/>
        </w:numPr>
      </w:pPr>
      <w:r w:rsidRPr="000C2A9D">
        <w:lastRenderedPageBreak/>
        <w:br/>
      </w:r>
      <w:bookmarkStart w:id="35" w:name="_Toc75275233"/>
      <w:r w:rsidR="00B0019C">
        <w:rPr>
          <w:rStyle w:val="ChapterNameOnly"/>
        </w:rPr>
        <w:t xml:space="preserve">Sharing </w:t>
      </w:r>
      <w:r w:rsidR="0030634C">
        <w:rPr>
          <w:rStyle w:val="ChapterNameOnly"/>
        </w:rPr>
        <w:t>e</w:t>
      </w:r>
      <w:r w:rsidR="00B0019C">
        <w:rPr>
          <w:rStyle w:val="ChapterNameOnly"/>
        </w:rPr>
        <w:t xml:space="preserve">conomy </w:t>
      </w:r>
      <w:r w:rsidR="0030634C">
        <w:rPr>
          <w:rStyle w:val="ChapterNameOnly"/>
        </w:rPr>
        <w:t>r</w:t>
      </w:r>
      <w:r w:rsidR="00B0019C">
        <w:rPr>
          <w:rStyle w:val="ChapterNameOnly"/>
        </w:rPr>
        <w:t xml:space="preserve">eporting </w:t>
      </w:r>
      <w:r w:rsidR="0030634C">
        <w:rPr>
          <w:rStyle w:val="ChapterNameOnly"/>
        </w:rPr>
        <w:t>r</w:t>
      </w:r>
      <w:r w:rsidR="00B0019C">
        <w:rPr>
          <w:rStyle w:val="ChapterNameOnly"/>
        </w:rPr>
        <w:t>egime</w:t>
      </w:r>
      <w:bookmarkEnd w:id="35"/>
    </w:p>
    <w:p w14:paraId="5807682B" w14:textId="77777777" w:rsidR="00C3452B" w:rsidRDefault="00C3452B" w:rsidP="00C3452B">
      <w:pPr>
        <w:pStyle w:val="Heading2"/>
      </w:pPr>
      <w:r>
        <w:t>Outline of chapter</w:t>
      </w:r>
    </w:p>
    <w:p w14:paraId="44E5F7D1" w14:textId="77777777" w:rsidR="0030634C" w:rsidRDefault="0030634C" w:rsidP="009F20F2">
      <w:pPr>
        <w:pStyle w:val="base-text-paragraph"/>
      </w:pPr>
      <w:r>
        <w:t xml:space="preserve">Schedule # to the Bill </w:t>
      </w:r>
      <w:r w:rsidRPr="0087566E">
        <w:t xml:space="preserve">amends </w:t>
      </w:r>
      <w:r>
        <w:t xml:space="preserve">Schedule 1 to the </w:t>
      </w:r>
      <w:r w:rsidRPr="0087566E">
        <w:t xml:space="preserve">TAA 1953 to require </w:t>
      </w:r>
      <w:r>
        <w:t>electronic</w:t>
      </w:r>
      <w:r w:rsidRPr="0087566E">
        <w:t xml:space="preserve"> platform</w:t>
      </w:r>
      <w:r>
        <w:t xml:space="preserve"> operator</w:t>
      </w:r>
      <w:r w:rsidRPr="0087566E">
        <w:t xml:space="preserve">s to </w:t>
      </w:r>
      <w:r>
        <w:t>provide information</w:t>
      </w:r>
      <w:r w:rsidRPr="0087566E">
        <w:t xml:space="preserve"> on transactions </w:t>
      </w:r>
      <w:r>
        <w:t>facilitated through the platform to the ATO</w:t>
      </w:r>
      <w:r w:rsidRPr="0087566E">
        <w:t xml:space="preserve">. </w:t>
      </w:r>
      <w:r>
        <w:t xml:space="preserve"> This measure implements a recommendation of the report of the Black Economy Taskforce. </w:t>
      </w:r>
    </w:p>
    <w:p w14:paraId="30080241" w14:textId="478EA6C1" w:rsidR="006D65AB" w:rsidRDefault="006D65AB" w:rsidP="00C3452B">
      <w:pPr>
        <w:numPr>
          <w:ilvl w:val="1"/>
          <w:numId w:val="7"/>
        </w:numPr>
      </w:pPr>
      <w:r>
        <w:t xml:space="preserve">All legislative references in this Chapter are to Schedule 1 to the TAA 1953 unless otherwise stated. </w:t>
      </w:r>
    </w:p>
    <w:p w14:paraId="7BE9C6E4" w14:textId="77777777" w:rsidR="00C3452B" w:rsidRDefault="00C3452B" w:rsidP="00C3452B">
      <w:pPr>
        <w:pStyle w:val="Heading2"/>
      </w:pPr>
      <w:r>
        <w:t>Context of amendments</w:t>
      </w:r>
    </w:p>
    <w:p w14:paraId="6BD9C9E9" w14:textId="1D2A2A1E" w:rsidR="002D6629" w:rsidRPr="002D6629" w:rsidRDefault="002D6629" w:rsidP="002D6629">
      <w:pPr>
        <w:pStyle w:val="Heading3"/>
      </w:pPr>
      <w:r>
        <w:t xml:space="preserve">The </w:t>
      </w:r>
      <w:r w:rsidR="00737874">
        <w:t>s</w:t>
      </w:r>
      <w:r>
        <w:t xml:space="preserve">haring </w:t>
      </w:r>
      <w:r w:rsidR="00737874">
        <w:t>e</w:t>
      </w:r>
      <w:r>
        <w:t xml:space="preserve">conomy and </w:t>
      </w:r>
      <w:r w:rsidR="00737874">
        <w:t>t</w:t>
      </w:r>
      <w:r>
        <w:t>ax</w:t>
      </w:r>
      <w:r w:rsidR="00737874">
        <w:t xml:space="preserve"> </w:t>
      </w:r>
    </w:p>
    <w:p w14:paraId="27C3BA16" w14:textId="4E728A1D" w:rsidR="002D4889" w:rsidRDefault="00DE3D6E" w:rsidP="00C3452B">
      <w:pPr>
        <w:pStyle w:val="base-text-paragraph"/>
      </w:pPr>
      <w:r>
        <w:t>The Australian economy has fundamentally changed in recent decades.</w:t>
      </w:r>
      <w:r w:rsidR="007117FB">
        <w:t xml:space="preserve"> </w:t>
      </w:r>
      <w:r w:rsidR="008C00E3">
        <w:t>T</w:t>
      </w:r>
      <w:r w:rsidR="00EE04A4">
        <w:t>raditional employment</w:t>
      </w:r>
      <w:r w:rsidR="008C00E3">
        <w:t xml:space="preserve"> models have shifted in favour of more </w:t>
      </w:r>
      <w:r w:rsidR="00EE04A4">
        <w:t>flexible options including contracting, self-employment and us</w:t>
      </w:r>
      <w:r w:rsidR="002D4889">
        <w:t>e</w:t>
      </w:r>
      <w:r w:rsidR="00EE04A4">
        <w:t xml:space="preserve"> of labour hir</w:t>
      </w:r>
      <w:r w:rsidR="002D4889">
        <w:t>e.</w:t>
      </w:r>
      <w:r w:rsidR="000421E8">
        <w:t xml:space="preserve"> </w:t>
      </w:r>
      <w:r w:rsidR="005A3064">
        <w:t xml:space="preserve">Consumers are </w:t>
      </w:r>
      <w:r w:rsidR="00F9466A">
        <w:t>increasingly</w:t>
      </w:r>
      <w:r w:rsidR="005A3064">
        <w:t xml:space="preserve"> paying to ‘use’ rather than ‘own’ assets, creating new income opportunities for the owners of assets. These two trends</w:t>
      </w:r>
      <w:r w:rsidR="008C00E3">
        <w:t xml:space="preserve"> </w:t>
      </w:r>
      <w:r w:rsidR="005A3064">
        <w:t>have</w:t>
      </w:r>
      <w:r w:rsidR="002D4889">
        <w:t xml:space="preserve"> led to the </w:t>
      </w:r>
      <w:r w:rsidR="006D65AB">
        <w:t xml:space="preserve">emergence </w:t>
      </w:r>
      <w:r w:rsidR="002D4889">
        <w:t>of the sharing economy</w:t>
      </w:r>
      <w:r w:rsidR="00176102">
        <w:t>, also sometimes known as the gig economy</w:t>
      </w:r>
      <w:r w:rsidR="002D4889">
        <w:t xml:space="preserve">. </w:t>
      </w:r>
    </w:p>
    <w:p w14:paraId="528003FA" w14:textId="48C12033" w:rsidR="00C3452B" w:rsidRDefault="001C3D96" w:rsidP="00C3452B">
      <w:pPr>
        <w:pStyle w:val="base-text-paragraph"/>
      </w:pPr>
      <w:r>
        <w:t>T</w:t>
      </w:r>
      <w:r w:rsidR="002D4889">
        <w:t>here is no universally accepted definition of the term ‘sharing economy’</w:t>
      </w:r>
      <w:r w:rsidR="001C4688">
        <w:t>.</w:t>
      </w:r>
      <w:r>
        <w:t xml:space="preserve"> </w:t>
      </w:r>
      <w:r w:rsidR="00E720A3">
        <w:t>The sharing economy</w:t>
      </w:r>
      <w:r w:rsidR="00176102">
        <w:t xml:space="preserve"> </w:t>
      </w:r>
      <w:r w:rsidR="007F2A9F">
        <w:t xml:space="preserve">involves </w:t>
      </w:r>
      <w:r w:rsidR="00176102">
        <w:t xml:space="preserve">two </w:t>
      </w:r>
      <w:r w:rsidR="006C3712">
        <w:t>parties</w:t>
      </w:r>
      <w:r w:rsidR="007F2A9F">
        <w:t xml:space="preserve"> entering into a</w:t>
      </w:r>
      <w:r w:rsidR="006D65AB">
        <w:t>n</w:t>
      </w:r>
      <w:r w:rsidR="007F2A9F">
        <w:t xml:space="preserve"> agreement for </w:t>
      </w:r>
      <w:r w:rsidR="001D0EFD">
        <w:t>one</w:t>
      </w:r>
      <w:r w:rsidR="007F2A9F">
        <w:t xml:space="preserve"> to provide </w:t>
      </w:r>
      <w:r w:rsidR="006D65AB">
        <w:t>services</w:t>
      </w:r>
      <w:r>
        <w:t xml:space="preserve"> </w:t>
      </w:r>
      <w:r w:rsidR="002235C2">
        <w:t xml:space="preserve">and/or loan personal assets </w:t>
      </w:r>
      <w:r w:rsidR="001D0EFD">
        <w:t>to the other</w:t>
      </w:r>
      <w:r w:rsidR="00B278D0">
        <w:t>,</w:t>
      </w:r>
      <w:r w:rsidR="001D0EFD">
        <w:t xml:space="preserve"> for a payment.</w:t>
      </w:r>
      <w:r>
        <w:t xml:space="preserve"> </w:t>
      </w:r>
      <w:r w:rsidR="00FB0461">
        <w:t>Traditionally this kind of activity would occur between related parties and t</w:t>
      </w:r>
      <w:r w:rsidR="00152E50">
        <w:t>ake</w:t>
      </w:r>
      <w:r w:rsidR="00FB0461">
        <w:t xml:space="preserve"> place informally. </w:t>
      </w:r>
      <w:r w:rsidR="001D0EFD">
        <w:t xml:space="preserve">The internet </w:t>
      </w:r>
      <w:r w:rsidR="00BD2978">
        <w:t>has</w:t>
      </w:r>
      <w:r w:rsidR="00FB0461">
        <w:t xml:space="preserve"> helped to formalise this activity and create</w:t>
      </w:r>
      <w:r w:rsidR="00737A94">
        <w:t>d opportunities for parties to earn a regular income through these activities by</w:t>
      </w:r>
      <w:r w:rsidR="00BD2978">
        <w:t xml:space="preserve"> ma</w:t>
      </w:r>
      <w:r w:rsidR="00737A94">
        <w:t>king</w:t>
      </w:r>
      <w:r w:rsidR="00BD2978">
        <w:t xml:space="preserve"> </w:t>
      </w:r>
      <w:r w:rsidR="001D0EFD">
        <w:t xml:space="preserve">it easier for </w:t>
      </w:r>
      <w:r w:rsidR="00FB0461">
        <w:t xml:space="preserve">otherwise unrelated </w:t>
      </w:r>
      <w:r w:rsidR="001D0EFD">
        <w:t xml:space="preserve">parties to identify one another and </w:t>
      </w:r>
      <w:r w:rsidR="00D740CA">
        <w:t>to</w:t>
      </w:r>
      <w:r w:rsidR="001D0EFD">
        <w:t xml:space="preserve"> facilitat</w:t>
      </w:r>
      <w:r w:rsidR="00D740CA">
        <w:t>e</w:t>
      </w:r>
      <w:r w:rsidR="001D0EFD">
        <w:t xml:space="preserve"> these</w:t>
      </w:r>
      <w:r w:rsidR="006D65AB">
        <w:t xml:space="preserve"> type</w:t>
      </w:r>
      <w:r w:rsidR="001D0EFD">
        <w:t>s</w:t>
      </w:r>
      <w:r w:rsidR="006D65AB">
        <w:t xml:space="preserve"> of </w:t>
      </w:r>
      <w:r w:rsidR="001D0EFD">
        <w:t xml:space="preserve">transactions. </w:t>
      </w:r>
      <w:r>
        <w:t xml:space="preserve"> </w:t>
      </w:r>
      <w:r w:rsidR="006C3712">
        <w:t xml:space="preserve">Many of these types of transactions are </w:t>
      </w:r>
      <w:r w:rsidR="00BD2978">
        <w:t xml:space="preserve">now </w:t>
      </w:r>
      <w:r w:rsidR="006C3712">
        <w:t>facilitated</w:t>
      </w:r>
      <w:r>
        <w:t xml:space="preserve"> through an electronic platform. </w:t>
      </w:r>
    </w:p>
    <w:p w14:paraId="3FC49395" w14:textId="0C0A4574" w:rsidR="00B93F91" w:rsidRDefault="000E14A1" w:rsidP="000E14A1">
      <w:pPr>
        <w:pStyle w:val="base-text-paragraph"/>
      </w:pPr>
      <w:r w:rsidRPr="000E14A1">
        <w:t xml:space="preserve">Australia’s sharing economy </w:t>
      </w:r>
      <w:r w:rsidR="001E496A">
        <w:t>continues to grow</w:t>
      </w:r>
      <w:r w:rsidR="009D07C6">
        <w:t xml:space="preserve"> and develop</w:t>
      </w:r>
      <w:r w:rsidR="001E496A">
        <w:t xml:space="preserve"> at a significant pace</w:t>
      </w:r>
      <w:r w:rsidRPr="000E14A1">
        <w:t>.</w:t>
      </w:r>
      <w:r w:rsidR="00177402">
        <w:t xml:space="preserve"> However, this growth has resulted in a transparency gap </w:t>
      </w:r>
      <w:r w:rsidR="001E496A">
        <w:t>because</w:t>
      </w:r>
      <w:r w:rsidR="00177402">
        <w:t xml:space="preserve"> </w:t>
      </w:r>
      <w:r w:rsidR="00D252EC">
        <w:t>tax reporting system</w:t>
      </w:r>
      <w:r w:rsidR="00F92918">
        <w:t xml:space="preserve">s </w:t>
      </w:r>
      <w:r w:rsidR="006C3712">
        <w:t xml:space="preserve">currently </w:t>
      </w:r>
      <w:r w:rsidR="00563BA0">
        <w:t xml:space="preserve">do not adequately capture </w:t>
      </w:r>
      <w:r w:rsidR="006C3712">
        <w:t xml:space="preserve">information about </w:t>
      </w:r>
      <w:r w:rsidR="00563BA0">
        <w:t>transactions in this part of the economy. This creates the risk of sellers not paying the right amount of tax</w:t>
      </w:r>
      <w:r w:rsidR="001E496A">
        <w:t xml:space="preserve">. </w:t>
      </w:r>
      <w:r w:rsidR="001A5D0C">
        <w:t>Lack of knowledge</w:t>
      </w:r>
      <w:r w:rsidR="00EF1648">
        <w:t xml:space="preserve"> and understanding</w:t>
      </w:r>
      <w:r w:rsidR="001A5D0C">
        <w:t xml:space="preserve"> about tax</w:t>
      </w:r>
      <w:r w:rsidR="00EF1648">
        <w:t xml:space="preserve"> and associated obligations</w:t>
      </w:r>
      <w:r w:rsidR="001A5D0C">
        <w:t xml:space="preserve">, </w:t>
      </w:r>
      <w:r w:rsidR="00065A38">
        <w:t xml:space="preserve">recent </w:t>
      </w:r>
      <w:r w:rsidR="00065A38">
        <w:lastRenderedPageBreak/>
        <w:t>formalisation</w:t>
      </w:r>
      <w:r w:rsidR="001A5D0C">
        <w:t xml:space="preserve"> of </w:t>
      </w:r>
      <w:r w:rsidR="00065A38">
        <w:t xml:space="preserve">this </w:t>
      </w:r>
      <w:r w:rsidR="001A5D0C">
        <w:t>income generating work</w:t>
      </w:r>
      <w:r w:rsidR="00586A2C">
        <w:t>,</w:t>
      </w:r>
      <w:r w:rsidR="00EB500F">
        <w:t xml:space="preserve"> </w:t>
      </w:r>
      <w:r w:rsidR="001A5D0C">
        <w:t>the electronic platform-seller relationship, and lax record keeping contribute to this problem.</w:t>
      </w:r>
      <w:r w:rsidR="001E496A">
        <w:t xml:space="preserve"> </w:t>
      </w:r>
    </w:p>
    <w:p w14:paraId="0F296E7E" w14:textId="03EB845A" w:rsidR="000E14A1" w:rsidRPr="000E14A1" w:rsidRDefault="00B93F91" w:rsidP="000E14A1">
      <w:pPr>
        <w:pStyle w:val="base-text-paragraph"/>
      </w:pPr>
      <w:r>
        <w:t xml:space="preserve">On the other </w:t>
      </w:r>
      <w:r w:rsidR="00093CF7">
        <w:t>hand,</w:t>
      </w:r>
      <w:r>
        <w:t xml:space="preserve"> non-compliance can</w:t>
      </w:r>
      <w:r w:rsidR="001E496A">
        <w:t xml:space="preserve"> also</w:t>
      </w:r>
      <w:r w:rsidR="00563BA0">
        <w:t xml:space="preserve"> </w:t>
      </w:r>
      <w:r>
        <w:t xml:space="preserve">be deliberate. In this case it </w:t>
      </w:r>
      <w:r w:rsidR="00563BA0">
        <w:t xml:space="preserve">allows the black economy to </w:t>
      </w:r>
      <w:r w:rsidR="00586A2C">
        <w:t>thrive</w:t>
      </w:r>
      <w:r w:rsidR="00EF1648">
        <w:t xml:space="preserve">. Poor tax compliance, whether deliberate or unintentional, provides an unfair advantage against </w:t>
      </w:r>
      <w:r w:rsidR="00347446">
        <w:t>those who undertake similar activities in the economy</w:t>
      </w:r>
      <w:r w:rsidR="00EF1648">
        <w:t xml:space="preserve"> </w:t>
      </w:r>
      <w:r w:rsidR="00347446">
        <w:t>and comply with their tax obligations,</w:t>
      </w:r>
      <w:r w:rsidR="00EF1648">
        <w:t xml:space="preserve"> </w:t>
      </w:r>
      <w:r w:rsidR="00347446">
        <w:t>leading to</w:t>
      </w:r>
      <w:r w:rsidR="001E496A">
        <w:t xml:space="preserve"> an uneven playing field</w:t>
      </w:r>
      <w:r w:rsidR="00347446">
        <w:t>.</w:t>
      </w:r>
    </w:p>
    <w:p w14:paraId="1543F45D" w14:textId="6D31D18E" w:rsidR="00737874" w:rsidRDefault="00737874" w:rsidP="00737874">
      <w:pPr>
        <w:pStyle w:val="Heading3"/>
      </w:pPr>
      <w:r>
        <w:t>The Black Economy Taskforce</w:t>
      </w:r>
    </w:p>
    <w:p w14:paraId="63E129AF" w14:textId="44B432A9" w:rsidR="00737874" w:rsidRDefault="00737874" w:rsidP="00C3452B">
      <w:pPr>
        <w:pStyle w:val="base-text-paragraph"/>
      </w:pPr>
      <w:r>
        <w:t xml:space="preserve">Treasury’s Black Economy Taskforce (the </w:t>
      </w:r>
      <w:r w:rsidR="005E2EA9">
        <w:t>T</w:t>
      </w:r>
      <w:r>
        <w:t xml:space="preserve">askforce) was established </w:t>
      </w:r>
      <w:r w:rsidR="005D2EF0">
        <w:t xml:space="preserve">in 2016 </w:t>
      </w:r>
      <w:r>
        <w:t xml:space="preserve">to develop an innovative, forward-looking, multi-pronged policy response to combat the black economy in Australia, recognising that these issues cannot be tackled by traditional </w:t>
      </w:r>
      <w:r w:rsidR="00BF0247">
        <w:t>law</w:t>
      </w:r>
      <w:r>
        <w:t xml:space="preserve"> enforcement measures alone.</w:t>
      </w:r>
    </w:p>
    <w:p w14:paraId="3E6A0946" w14:textId="4F38E5BD" w:rsidR="00737874" w:rsidRDefault="00C56E93" w:rsidP="00C3452B">
      <w:pPr>
        <w:pStyle w:val="base-text-paragraph"/>
      </w:pPr>
      <w:r>
        <w:t xml:space="preserve">To combat the </w:t>
      </w:r>
      <w:r w:rsidR="001A5D0C">
        <w:t xml:space="preserve">tax </w:t>
      </w:r>
      <w:r>
        <w:t xml:space="preserve">compliance </w:t>
      </w:r>
      <w:r w:rsidR="0072145F">
        <w:t xml:space="preserve">risks </w:t>
      </w:r>
      <w:r>
        <w:t>posed by the sharing economy, the</w:t>
      </w:r>
      <w:r w:rsidR="00737874">
        <w:t xml:space="preserve"> </w:t>
      </w:r>
      <w:r w:rsidR="005E2EA9">
        <w:t>T</w:t>
      </w:r>
      <w:r w:rsidR="00737874">
        <w:t>askforce’s final report</w:t>
      </w:r>
      <w:r w:rsidR="005E2EA9">
        <w:t xml:space="preserve"> (the Report)</w:t>
      </w:r>
      <w:r w:rsidR="00737874">
        <w:t xml:space="preserve"> </w:t>
      </w:r>
      <w:r w:rsidR="00F92918">
        <w:t>recommended</w:t>
      </w:r>
      <w:r w:rsidR="00737874">
        <w:t xml:space="preserve"> </w:t>
      </w:r>
      <w:r>
        <w:t xml:space="preserve">that a compulsory reporting regime be implemented. A regime where the operators of electronic platforms are required to report payments made to </w:t>
      </w:r>
      <w:r w:rsidR="00FD6AA2">
        <w:t>their users, to the ATO</w:t>
      </w:r>
      <w:r w:rsidR="005F00D2">
        <w:t xml:space="preserve"> and other government agencies as appropriate.</w:t>
      </w:r>
      <w:r w:rsidR="00FD6AA2">
        <w:t xml:space="preserve"> </w:t>
      </w:r>
    </w:p>
    <w:p w14:paraId="0670D640" w14:textId="4A816729" w:rsidR="00532A45" w:rsidRDefault="00472EC0" w:rsidP="00C3452B">
      <w:pPr>
        <w:pStyle w:val="base-text-paragraph"/>
      </w:pPr>
      <w:r>
        <w:t xml:space="preserve">The </w:t>
      </w:r>
      <w:r w:rsidR="005E2EA9">
        <w:t>R</w:t>
      </w:r>
      <w:r>
        <w:t xml:space="preserve">eport </w:t>
      </w:r>
      <w:r w:rsidR="005E2EA9">
        <w:t>found</w:t>
      </w:r>
      <w:r>
        <w:t xml:space="preserve"> that without a reporting regime in place, it would be difficult for the ATO to gain information on compliance of sharing economy </w:t>
      </w:r>
      <w:r w:rsidR="00DF45EF">
        <w:t xml:space="preserve">participants </w:t>
      </w:r>
      <w:r>
        <w:t>unless targeted audits were</w:t>
      </w:r>
      <w:r w:rsidR="00532A45">
        <w:t xml:space="preserve"> used. It found that formalising reporting requirements would also send a clear signal to sharing economy </w:t>
      </w:r>
      <w:r w:rsidR="00DF45EF">
        <w:t xml:space="preserve">participants </w:t>
      </w:r>
      <w:r w:rsidR="00532A45">
        <w:t xml:space="preserve">that in most cases </w:t>
      </w:r>
      <w:r w:rsidR="00492D55">
        <w:t xml:space="preserve">payments </w:t>
      </w:r>
      <w:r w:rsidR="00532A45">
        <w:t xml:space="preserve">would be taxable. </w:t>
      </w:r>
      <w:r w:rsidR="005E2EA9">
        <w:t>It also found that this</w:t>
      </w:r>
      <w:r w:rsidR="005E2EA9" w:rsidRPr="005E2EA9">
        <w:t xml:space="preserve"> would align Australia with international best practice</w:t>
      </w:r>
      <w:r w:rsidR="00572478">
        <w:t>,</w:t>
      </w:r>
      <w:r w:rsidR="005E2EA9" w:rsidRPr="005E2EA9">
        <w:t xml:space="preserve"> </w:t>
      </w:r>
      <w:r w:rsidR="00DF45EF">
        <w:t>as</w:t>
      </w:r>
      <w:r w:rsidR="005E2EA9" w:rsidRPr="005E2EA9">
        <w:t xml:space="preserve"> working with sharing economy electronic platforms </w:t>
      </w:r>
      <w:r w:rsidR="00DF45EF">
        <w:t xml:space="preserve">operating across multiple jurisdictions </w:t>
      </w:r>
      <w:r w:rsidR="005E2EA9" w:rsidRPr="005E2EA9">
        <w:t xml:space="preserve">to bring them into domestic tax and regulatory frameworks </w:t>
      </w:r>
      <w:r w:rsidR="00572478">
        <w:t xml:space="preserve">was identified </w:t>
      </w:r>
      <w:r w:rsidR="005E2EA9" w:rsidRPr="005E2EA9">
        <w:t>as a matter of international cooperation.</w:t>
      </w:r>
    </w:p>
    <w:p w14:paraId="0A98EF10" w14:textId="1F3FCE64" w:rsidR="00472EC0" w:rsidRDefault="005E2EA9" w:rsidP="00C3452B">
      <w:pPr>
        <w:pStyle w:val="base-text-paragraph"/>
      </w:pPr>
      <w:r>
        <w:t>In response to the Report, the Government agreed to implement measures to ensure the integrity of the tax system</w:t>
      </w:r>
      <w:r w:rsidR="00573EED">
        <w:t>,</w:t>
      </w:r>
      <w:r>
        <w:t xml:space="preserve"> </w:t>
      </w:r>
      <w:r w:rsidR="00573EED">
        <w:t>including</w:t>
      </w:r>
      <w:r w:rsidR="00C46C07">
        <w:t xml:space="preserve"> introducing a third</w:t>
      </w:r>
      <w:r w:rsidR="00DF45EF">
        <w:t>-</w:t>
      </w:r>
      <w:r w:rsidR="00C46C07">
        <w:t>party reporting regime requiring electronic platforms to report information to the ATO for data</w:t>
      </w:r>
      <w:r w:rsidR="00DF45EF">
        <w:t>-</w:t>
      </w:r>
      <w:r w:rsidR="00C46C07">
        <w:t>matching</w:t>
      </w:r>
      <w:r w:rsidR="00DF45EF">
        <w:t xml:space="preserve"> purposes</w:t>
      </w:r>
      <w:r w:rsidR="00C46C07">
        <w:t xml:space="preserve">. </w:t>
      </w:r>
      <w:r>
        <w:t xml:space="preserve">The measure </w:t>
      </w:r>
      <w:r w:rsidRPr="005E2EA9">
        <w:rPr>
          <w:i/>
          <w:iCs/>
        </w:rPr>
        <w:t>Black Economy – introducing a sharing economy reporting regime</w:t>
      </w:r>
      <w:r>
        <w:rPr>
          <w:i/>
          <w:iCs/>
        </w:rPr>
        <w:t xml:space="preserve"> </w:t>
      </w:r>
      <w:r>
        <w:t>was included in the 2019-20 MYEFO.</w:t>
      </w:r>
      <w:r w:rsidR="005F00D2">
        <w:t xml:space="preserve"> </w:t>
      </w:r>
    </w:p>
    <w:p w14:paraId="1FF73532" w14:textId="5D8AB72D" w:rsidR="00DC465A" w:rsidRDefault="00DC465A" w:rsidP="00DC465A">
      <w:pPr>
        <w:pStyle w:val="Heading3"/>
      </w:pPr>
      <w:r>
        <w:t xml:space="preserve">The Taxable Payments Reporting System </w:t>
      </w:r>
    </w:p>
    <w:p w14:paraId="65E3AC12" w14:textId="2E73476B" w:rsidR="00DC465A" w:rsidRDefault="00C46C07" w:rsidP="00DC465A">
      <w:pPr>
        <w:pStyle w:val="base-text-paragraph"/>
      </w:pPr>
      <w:r>
        <w:t xml:space="preserve">The sharing economy </w:t>
      </w:r>
      <w:r w:rsidR="00DC465A">
        <w:t xml:space="preserve">reporting regime will be implemented by applying the TPRS to certain transactions undertaken </w:t>
      </w:r>
      <w:r w:rsidR="003F75DC">
        <w:t>through</w:t>
      </w:r>
      <w:r w:rsidR="00DC465A">
        <w:t xml:space="preserve"> electronic platforms. </w:t>
      </w:r>
    </w:p>
    <w:p w14:paraId="5E2C667E" w14:textId="470C7FBC" w:rsidR="008635A6" w:rsidRDefault="00DC465A" w:rsidP="00DC465A">
      <w:pPr>
        <w:pStyle w:val="base-text-paragraph"/>
      </w:pPr>
      <w:r>
        <w:lastRenderedPageBreak/>
        <w:t xml:space="preserve">The TPRS </w:t>
      </w:r>
      <w:proofErr w:type="gramStart"/>
      <w:r>
        <w:t>is</w:t>
      </w:r>
      <w:r w:rsidR="008635A6">
        <w:t xml:space="preserve"> </w:t>
      </w:r>
      <w:r w:rsidR="003F75DC">
        <w:t xml:space="preserve">located </w:t>
      </w:r>
      <w:r w:rsidR="008635A6">
        <w:t>in</w:t>
      </w:r>
      <w:proofErr w:type="gramEnd"/>
      <w:r w:rsidR="008635A6">
        <w:t xml:space="preserve"> </w:t>
      </w:r>
      <w:r w:rsidR="00486BFE">
        <w:t>S</w:t>
      </w:r>
      <w:r w:rsidR="008635A6">
        <w:t>ubdivision 396-B and is</w:t>
      </w:r>
      <w:r>
        <w:t xml:space="preserve"> a </w:t>
      </w:r>
      <w:r w:rsidR="003F75DC">
        <w:t>data matching</w:t>
      </w:r>
      <w:r>
        <w:t xml:space="preserve"> </w:t>
      </w:r>
      <w:r w:rsidR="00E62155">
        <w:t>mechanism</w:t>
      </w:r>
      <w:r>
        <w:t xml:space="preserve"> that requires entities to report to the ATO information about transactions that </w:t>
      </w:r>
      <w:r w:rsidR="00E62155">
        <w:t xml:space="preserve">they </w:t>
      </w:r>
      <w:r w:rsidR="00573EED">
        <w:t>are a party to that may have tax consequences</w:t>
      </w:r>
      <w:r w:rsidR="00E62155">
        <w:t>. The TPRS covers</w:t>
      </w:r>
      <w:r w:rsidR="008635A6">
        <w:t xml:space="preserve"> transactions in</w:t>
      </w:r>
      <w:r w:rsidR="00E62155">
        <w:t xml:space="preserve"> the building and construction industry, suppli</w:t>
      </w:r>
      <w:r w:rsidR="008635A6">
        <w:t>es</w:t>
      </w:r>
      <w:r w:rsidR="00E62155">
        <w:t xml:space="preserve"> of cleaning, security or surveillance services,</w:t>
      </w:r>
      <w:r w:rsidR="008635A6">
        <w:t xml:space="preserve"> supplies of</w:t>
      </w:r>
      <w:r w:rsidR="00E62155">
        <w:t xml:space="preserve"> information technology services </w:t>
      </w:r>
      <w:r w:rsidR="008635A6">
        <w:t xml:space="preserve">and other transactions outlined in the table in section 396-55. </w:t>
      </w:r>
    </w:p>
    <w:p w14:paraId="60140304" w14:textId="4E720D7A" w:rsidR="00DC465A" w:rsidRPr="00DC465A" w:rsidRDefault="008635A6" w:rsidP="00DC465A">
      <w:pPr>
        <w:pStyle w:val="base-text-paragraph"/>
      </w:pPr>
      <w:r>
        <w:t xml:space="preserve">The information about certain transactions provided to the ATO under the TPRS helps identify entities that may not be meeting their tax obligations. </w:t>
      </w:r>
    </w:p>
    <w:p w14:paraId="14255E12" w14:textId="5F507F05" w:rsidR="00C3452B" w:rsidRDefault="00C3452B" w:rsidP="00C3452B">
      <w:pPr>
        <w:pStyle w:val="Heading2"/>
      </w:pPr>
      <w:r>
        <w:t>Summary of new law</w:t>
      </w:r>
    </w:p>
    <w:p w14:paraId="7896A09E" w14:textId="458D2876" w:rsidR="00C3452B" w:rsidRPr="008F726E" w:rsidRDefault="007C1AEB" w:rsidP="00C3452B">
      <w:pPr>
        <w:pStyle w:val="base-text-paragraph"/>
      </w:pPr>
      <w:r>
        <w:t>Schedule # to the Bill</w:t>
      </w:r>
      <w:r w:rsidR="00EC3C2C">
        <w:t xml:space="preserve"> </w:t>
      </w:r>
      <w:r>
        <w:t xml:space="preserve">makes amendments to </w:t>
      </w:r>
      <w:r w:rsidR="00486BFE">
        <w:t>S</w:t>
      </w:r>
      <w:r>
        <w:t xml:space="preserve">ubdivision 396-B </w:t>
      </w:r>
      <w:r w:rsidR="000E390F">
        <w:t xml:space="preserve">so that the TPRS applies to electronic </w:t>
      </w:r>
      <w:r w:rsidR="00647F2D">
        <w:t xml:space="preserve">platforms that facilitate </w:t>
      </w:r>
      <w:r w:rsidR="003F75DC">
        <w:t>supplies</w:t>
      </w:r>
      <w:r w:rsidR="00937137">
        <w:t xml:space="preserve"> from an entity to another entity. </w:t>
      </w:r>
    </w:p>
    <w:p w14:paraId="4113F0F2" w14:textId="0DDEDE99" w:rsidR="00137569" w:rsidRPr="008F726E" w:rsidRDefault="00937137" w:rsidP="00C3452B">
      <w:pPr>
        <w:pStyle w:val="base-text-paragraph"/>
      </w:pPr>
      <w:r>
        <w:t>Generally</w:t>
      </w:r>
      <w:r w:rsidR="00137569">
        <w:t xml:space="preserve">, if </w:t>
      </w:r>
      <w:r w:rsidR="00C36909">
        <w:t xml:space="preserve">an electronic platform facilitates </w:t>
      </w:r>
      <w:r w:rsidR="00137569">
        <w:t xml:space="preserve">a </w:t>
      </w:r>
      <w:r>
        <w:t>suppl</w:t>
      </w:r>
      <w:r w:rsidR="00335A64">
        <w:t>y</w:t>
      </w:r>
      <w:r w:rsidR="00D01462">
        <w:t xml:space="preserve"> connected to </w:t>
      </w:r>
      <w:r w:rsidR="003F75DC">
        <w:t>Australia</w:t>
      </w:r>
      <w:r w:rsidR="00214EEC">
        <w:t xml:space="preserve"> </w:t>
      </w:r>
      <w:r>
        <w:t xml:space="preserve">for </w:t>
      </w:r>
      <w:r w:rsidR="00335A64">
        <w:t>consideration</w:t>
      </w:r>
      <w:r w:rsidR="00137569">
        <w:t xml:space="preserve"> between two entities</w:t>
      </w:r>
      <w:r w:rsidR="00C36909">
        <w:t xml:space="preserve">, then </w:t>
      </w:r>
      <w:r w:rsidR="00D01462">
        <w:t xml:space="preserve">the operator of the platform </w:t>
      </w:r>
      <w:r w:rsidR="00137569">
        <w:t xml:space="preserve">is required to report </w:t>
      </w:r>
      <w:r w:rsidR="00C36909">
        <w:t xml:space="preserve">information about the transaction </w:t>
      </w:r>
      <w:r w:rsidR="00137569">
        <w:t xml:space="preserve">to the ATO. </w:t>
      </w:r>
      <w:r w:rsidR="005E3DF0">
        <w:t>The requirement</w:t>
      </w:r>
      <w:r w:rsidR="00DF5D2C">
        <w:t xml:space="preserve"> will generally</w:t>
      </w:r>
      <w:r w:rsidR="005E3DF0">
        <w:t xml:space="preserve"> not apply if the transaction is </w:t>
      </w:r>
      <w:r>
        <w:t xml:space="preserve">only </w:t>
      </w:r>
      <w:proofErr w:type="gramStart"/>
      <w:r w:rsidR="00F73A49">
        <w:t>relates</w:t>
      </w:r>
      <w:proofErr w:type="gramEnd"/>
      <w:r w:rsidR="00F73A49">
        <w:t xml:space="preserve"> to </w:t>
      </w:r>
      <w:r w:rsidR="005E3DF0">
        <w:t>a supply of goods</w:t>
      </w:r>
      <w:r>
        <w:t xml:space="preserve"> where ownership of the goods </w:t>
      </w:r>
      <w:r w:rsidR="007D4D45">
        <w:t>permanently changed</w:t>
      </w:r>
      <w:r w:rsidR="00262E95">
        <w:t xml:space="preserve">, </w:t>
      </w:r>
      <w:bookmarkStart w:id="36" w:name="_Hlk74646657"/>
      <w:r w:rsidR="00262E95">
        <w:t xml:space="preserve">where title to </w:t>
      </w:r>
      <w:r w:rsidR="00EC1B28">
        <w:t>real</w:t>
      </w:r>
      <w:r w:rsidR="00262E95">
        <w:t xml:space="preserve"> property is transferred</w:t>
      </w:r>
      <w:bookmarkEnd w:id="36"/>
      <w:r w:rsidR="00262E95">
        <w:t>,</w:t>
      </w:r>
      <w:r w:rsidR="005E3DF0">
        <w:t xml:space="preserve"> or</w:t>
      </w:r>
      <w:r w:rsidR="00F73A49">
        <w:t xml:space="preserve"> the supply is</w:t>
      </w:r>
      <w:r w:rsidR="005E3DF0">
        <w:t xml:space="preserve"> </w:t>
      </w:r>
      <w:r>
        <w:t xml:space="preserve">a </w:t>
      </w:r>
      <w:r w:rsidR="005E3DF0">
        <w:t>finan</w:t>
      </w:r>
      <w:r>
        <w:t>cial supply</w:t>
      </w:r>
      <w:r w:rsidR="00486BFE">
        <w:t xml:space="preserve">. The requirement will also not apply </w:t>
      </w:r>
      <w:r w:rsidR="00C36909">
        <w:t xml:space="preserve">if </w:t>
      </w:r>
      <w:r w:rsidR="00486BFE">
        <w:t xml:space="preserve">the transaction occurs </w:t>
      </w:r>
      <w:r w:rsidR="00C36909">
        <w:t xml:space="preserve">within the same </w:t>
      </w:r>
      <w:r w:rsidR="00F9305B">
        <w:t>consolidated or MEC group</w:t>
      </w:r>
      <w:r w:rsidR="00C36909">
        <w:t xml:space="preserve">. </w:t>
      </w:r>
      <w:r w:rsidR="00D52B99">
        <w:t>Platforms</w:t>
      </w:r>
      <w:r w:rsidR="00C36909">
        <w:t xml:space="preserve"> </w:t>
      </w:r>
      <w:r w:rsidR="00DF5D2C">
        <w:t>will also</w:t>
      </w:r>
      <w:r w:rsidR="00C36909">
        <w:t xml:space="preserve"> not </w:t>
      </w:r>
      <w:r w:rsidR="00D52B99">
        <w:t>be required to report</w:t>
      </w:r>
      <w:r w:rsidR="00C36909">
        <w:t xml:space="preserve"> transactions </w:t>
      </w:r>
      <w:r w:rsidR="00995521">
        <w:t xml:space="preserve">subject to another reporting or withholding </w:t>
      </w:r>
      <w:r w:rsidR="003F75DC">
        <w:t xml:space="preserve">obligation </w:t>
      </w:r>
      <w:r w:rsidR="002B4FAE">
        <w:t>where those transactions are reported to the ATO</w:t>
      </w:r>
      <w:r w:rsidR="00C36909">
        <w:t>.</w:t>
      </w:r>
    </w:p>
    <w:p w14:paraId="459CC38F" w14:textId="77777777" w:rsidR="00C3452B" w:rsidRDefault="00C3452B" w:rsidP="00C3452B">
      <w:pPr>
        <w:pStyle w:val="Heading2with18pointafter"/>
      </w:pPr>
      <w:r>
        <w:t>Comparison of key features of new law and current law</w:t>
      </w:r>
    </w:p>
    <w:tbl>
      <w:tblPr>
        <w:tblW w:w="0" w:type="auto"/>
        <w:tblInd w:w="1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9"/>
        <w:gridCol w:w="3208"/>
      </w:tblGrid>
      <w:tr w:rsidR="00C3452B" w:rsidRPr="004666B8" w14:paraId="151FFE55" w14:textId="77777777" w:rsidTr="00A335B4">
        <w:tc>
          <w:tcPr>
            <w:tcW w:w="3275" w:type="dxa"/>
          </w:tcPr>
          <w:p w14:paraId="2A073006" w14:textId="77777777" w:rsidR="00C3452B" w:rsidRPr="004666B8" w:rsidRDefault="00C3452B" w:rsidP="00A335B4">
            <w:pPr>
              <w:pStyle w:val="tableheaderwithintable"/>
              <w:rPr>
                <w:lang w:val="en-US" w:eastAsia="en-US"/>
              </w:rPr>
            </w:pPr>
            <w:r w:rsidRPr="004666B8">
              <w:rPr>
                <w:lang w:val="en-US" w:eastAsia="en-US"/>
              </w:rPr>
              <w:t>New law</w:t>
            </w:r>
          </w:p>
        </w:tc>
        <w:tc>
          <w:tcPr>
            <w:tcW w:w="3276" w:type="dxa"/>
          </w:tcPr>
          <w:p w14:paraId="70CA1F4F" w14:textId="77777777" w:rsidR="00C3452B" w:rsidRPr="004666B8" w:rsidRDefault="00C3452B" w:rsidP="00A335B4">
            <w:pPr>
              <w:pStyle w:val="tableheaderwithintable"/>
              <w:rPr>
                <w:lang w:val="en-US" w:eastAsia="en-US"/>
              </w:rPr>
            </w:pPr>
            <w:r w:rsidRPr="004666B8">
              <w:rPr>
                <w:lang w:val="en-US" w:eastAsia="en-US"/>
              </w:rPr>
              <w:t>Current law</w:t>
            </w:r>
          </w:p>
        </w:tc>
      </w:tr>
      <w:tr w:rsidR="00C3452B" w:rsidRPr="004666B8" w14:paraId="32025463" w14:textId="77777777" w:rsidTr="00A335B4">
        <w:tc>
          <w:tcPr>
            <w:tcW w:w="3275" w:type="dxa"/>
          </w:tcPr>
          <w:p w14:paraId="076CB443" w14:textId="177CBB5A" w:rsidR="00C3452B" w:rsidRPr="004666B8" w:rsidRDefault="00E965F4" w:rsidP="00A335B4">
            <w:pPr>
              <w:pStyle w:val="tabletext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Entities that operate electronic distribution platforms </w:t>
            </w:r>
            <w:r w:rsidR="00926BAB">
              <w:rPr>
                <w:lang w:val="en-US" w:eastAsia="en-US"/>
              </w:rPr>
              <w:t xml:space="preserve">are required to report </w:t>
            </w:r>
            <w:r>
              <w:rPr>
                <w:lang w:val="en-US" w:eastAsia="en-US"/>
              </w:rPr>
              <w:t>details</w:t>
            </w:r>
            <w:r w:rsidR="00926BAB" w:rsidDel="00D52B99">
              <w:rPr>
                <w:lang w:val="en-US" w:eastAsia="en-US"/>
              </w:rPr>
              <w:t xml:space="preserve"> </w:t>
            </w:r>
            <w:r w:rsidR="00D52B99">
              <w:rPr>
                <w:lang w:val="en-US" w:eastAsia="en-US"/>
              </w:rPr>
              <w:t xml:space="preserve">about </w:t>
            </w:r>
            <w:r>
              <w:rPr>
                <w:lang w:val="en-US" w:eastAsia="en-US"/>
              </w:rPr>
              <w:t>transactions relating to supplies made through</w:t>
            </w:r>
            <w:r w:rsidR="00926BAB">
              <w:rPr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those platforms</w:t>
            </w:r>
            <w:r w:rsidR="00D52B99">
              <w:rPr>
                <w:lang w:val="en-US" w:eastAsia="en-US"/>
              </w:rPr>
              <w:t xml:space="preserve">, to the </w:t>
            </w:r>
            <w:r w:rsidR="00700B91">
              <w:rPr>
                <w:lang w:val="en-US" w:eastAsia="en-US"/>
              </w:rPr>
              <w:t>ATO</w:t>
            </w:r>
            <w:r w:rsidDel="00D52B99">
              <w:rPr>
                <w:lang w:val="en-US" w:eastAsia="en-US"/>
              </w:rPr>
              <w:t>.</w:t>
            </w:r>
            <w:r>
              <w:rPr>
                <w:lang w:val="en-US" w:eastAsia="en-US"/>
              </w:rPr>
              <w:t xml:space="preserve"> </w:t>
            </w:r>
            <w:r w:rsidR="00926BAB">
              <w:rPr>
                <w:lang w:val="en-US" w:eastAsia="en-US"/>
              </w:rPr>
              <w:t xml:space="preserve"> </w:t>
            </w:r>
          </w:p>
        </w:tc>
        <w:tc>
          <w:tcPr>
            <w:tcW w:w="3276" w:type="dxa"/>
          </w:tcPr>
          <w:p w14:paraId="704C1659" w14:textId="619B4584" w:rsidR="00C3452B" w:rsidRPr="004666B8" w:rsidRDefault="00926BAB" w:rsidP="00A335B4">
            <w:pPr>
              <w:pStyle w:val="tabletext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No equivalent. </w:t>
            </w:r>
          </w:p>
        </w:tc>
      </w:tr>
    </w:tbl>
    <w:p w14:paraId="1E6C1DC7" w14:textId="77777777" w:rsidR="00C3452B" w:rsidRDefault="00C3452B" w:rsidP="00C3452B">
      <w:pPr>
        <w:pStyle w:val="Heading2"/>
      </w:pPr>
      <w:r>
        <w:lastRenderedPageBreak/>
        <w:t>Detailed explanation of new law</w:t>
      </w:r>
    </w:p>
    <w:p w14:paraId="3E00A980" w14:textId="400337D7" w:rsidR="00827845" w:rsidRPr="00827845" w:rsidRDefault="00827845" w:rsidP="00827845">
      <w:pPr>
        <w:pStyle w:val="Heading4"/>
      </w:pPr>
      <w:r>
        <w:t xml:space="preserve">Entities required to report </w:t>
      </w:r>
    </w:p>
    <w:p w14:paraId="34BF1D88" w14:textId="2762788E" w:rsidR="00C3452B" w:rsidRDefault="00827845" w:rsidP="00C3452B">
      <w:pPr>
        <w:pStyle w:val="base-text-paragraph"/>
      </w:pPr>
      <w:r>
        <w:t>The amendments require an entity that is the operator of an electronic distribution platform to re</w:t>
      </w:r>
      <w:r w:rsidR="00564ED0">
        <w:t xml:space="preserve">port information to the Commissioner about certain transactions that are made through </w:t>
      </w:r>
      <w:r w:rsidR="00B61F5B">
        <w:t>the</w:t>
      </w:r>
      <w:r w:rsidR="00D52B99">
        <w:t xml:space="preserve"> platform</w:t>
      </w:r>
      <w:r w:rsidR="00564ED0">
        <w:t xml:space="preserve">. </w:t>
      </w:r>
      <w:r w:rsidR="00564ED0">
        <w:rPr>
          <w:rStyle w:val="Referencingstyle"/>
        </w:rPr>
        <w:t xml:space="preserve">[Schedule #, item 1, </w:t>
      </w:r>
      <w:r w:rsidR="00D13FE1">
        <w:rPr>
          <w:rStyle w:val="Referencingstyle"/>
        </w:rPr>
        <w:t xml:space="preserve">item 15 in the table in </w:t>
      </w:r>
      <w:r w:rsidR="00564ED0">
        <w:rPr>
          <w:rStyle w:val="Referencingstyle"/>
        </w:rPr>
        <w:t>section 396-55 in Schedule 1 to the TAA 1953</w:t>
      </w:r>
      <w:r w:rsidR="00715137">
        <w:rPr>
          <w:rStyle w:val="Referencingstyle"/>
        </w:rPr>
        <w:t>]</w:t>
      </w:r>
    </w:p>
    <w:p w14:paraId="0E287421" w14:textId="5BEDFFAF" w:rsidR="00564ED0" w:rsidRDefault="00564ED0" w:rsidP="00C3452B">
      <w:pPr>
        <w:pStyle w:val="base-text-paragraph"/>
      </w:pPr>
      <w:r>
        <w:t xml:space="preserve">For the purposes of the reporting regime, electronic distribution platform is defined by section 84-70 of the GST Act, disregarding paragraph 84-70(1)(c) of that Act. </w:t>
      </w:r>
    </w:p>
    <w:p w14:paraId="6413BC78" w14:textId="018C3AE3" w:rsidR="00564ED0" w:rsidRDefault="00B61F5B" w:rsidP="00C3452B">
      <w:pPr>
        <w:pStyle w:val="base-text-paragraph"/>
      </w:pPr>
      <w:r>
        <w:t>This means that a</w:t>
      </w:r>
      <w:r w:rsidR="00163E77">
        <w:t xml:space="preserve">n electronic distribution platform is </w:t>
      </w:r>
      <w:r w:rsidR="00F03EA9">
        <w:t xml:space="preserve">a </w:t>
      </w:r>
      <w:r>
        <w:t>service delivered</w:t>
      </w:r>
      <w:r w:rsidR="00F03EA9">
        <w:t xml:space="preserve"> by means of electronic communication (defined by the </w:t>
      </w:r>
      <w:r w:rsidR="00F03EA9">
        <w:rPr>
          <w:i/>
          <w:iCs/>
        </w:rPr>
        <w:t>Electronic Communications Act 1999</w:t>
      </w:r>
      <w:r w:rsidR="00F03EA9">
        <w:t xml:space="preserve">). It includes platforms operating over the </w:t>
      </w:r>
      <w:proofErr w:type="gramStart"/>
      <w:r w:rsidR="00F03EA9">
        <w:t>internet</w:t>
      </w:r>
      <w:r w:rsidR="00E73FDE">
        <w:t>;</w:t>
      </w:r>
      <w:proofErr w:type="gramEnd"/>
      <w:r w:rsidR="00F03EA9">
        <w:t xml:space="preserve"> including th</w:t>
      </w:r>
      <w:r w:rsidR="00335A64">
        <w:t>r</w:t>
      </w:r>
      <w:r w:rsidR="00F03EA9">
        <w:t>ough applications</w:t>
      </w:r>
      <w:r w:rsidR="00F23D98">
        <w:t>, websites,</w:t>
      </w:r>
      <w:r w:rsidR="00F03EA9">
        <w:t xml:space="preserve"> or other software. </w:t>
      </w:r>
    </w:p>
    <w:p w14:paraId="6D63D149" w14:textId="4B2A1479" w:rsidR="00C0642D" w:rsidRDefault="00805989" w:rsidP="00C3452B">
      <w:pPr>
        <w:pStyle w:val="base-text-paragraph"/>
      </w:pPr>
      <w:r>
        <w:t>To</w:t>
      </w:r>
      <w:r w:rsidR="00F03EA9">
        <w:t xml:space="preserve"> meet the definition of an electronic distribution platform, </w:t>
      </w:r>
      <w:r w:rsidR="00D52B99">
        <w:t xml:space="preserve">a </w:t>
      </w:r>
      <w:r w:rsidR="00F03EA9">
        <w:t xml:space="preserve">platform must </w:t>
      </w:r>
      <w:r w:rsidR="00BD5AD7">
        <w:t xml:space="preserve">allow entities to </w:t>
      </w:r>
      <w:r w:rsidR="00F03EA9">
        <w:t xml:space="preserve">make supplies available to an end-user </w:t>
      </w:r>
      <w:r w:rsidR="00CB53E0">
        <w:t xml:space="preserve">consumer </w:t>
      </w:r>
      <w:r w:rsidR="00F03EA9">
        <w:t xml:space="preserve">through the platform. A service </w:t>
      </w:r>
      <w:r w:rsidR="008D365C">
        <w:t xml:space="preserve">is not considered an electronic distribution platform if it only </w:t>
      </w:r>
      <w:r w:rsidR="00F03EA9">
        <w:t>advertises or creates awareness of possible supplies</w:t>
      </w:r>
      <w:r w:rsidR="000D0813">
        <w:t>,</w:t>
      </w:r>
      <w:r w:rsidR="00B02B24">
        <w:t xml:space="preserve"> operat</w:t>
      </w:r>
      <w:r w:rsidR="00D52B99">
        <w:t>es</w:t>
      </w:r>
      <w:r w:rsidR="00B02B24" w:rsidDel="00B101C2">
        <w:t xml:space="preserve"> </w:t>
      </w:r>
      <w:r w:rsidR="00B02B24">
        <w:t>as a payment platform</w:t>
      </w:r>
      <w:r w:rsidR="002E7F95">
        <w:t>,</w:t>
      </w:r>
      <w:r w:rsidR="000D0813">
        <w:t xml:space="preserve"> or provides a communications function. </w:t>
      </w:r>
    </w:p>
    <w:p w14:paraId="31A1B9DF" w14:textId="10D33063" w:rsidR="000D0813" w:rsidRDefault="000D0813" w:rsidP="00C3452B">
      <w:pPr>
        <w:pStyle w:val="base-text-paragraph"/>
      </w:pPr>
      <w:r>
        <w:t xml:space="preserve">The definition of </w:t>
      </w:r>
      <w:r w:rsidR="00EA0477">
        <w:t>an</w:t>
      </w:r>
      <w:r>
        <w:t xml:space="preserve"> electronic distribution platform for the purposes of the sharing economy reporting regime carves out </w:t>
      </w:r>
      <w:r w:rsidR="008D365C">
        <w:t>paragraph </w:t>
      </w:r>
      <w:r>
        <w:t xml:space="preserve">84-70(1)(c) of the definition in the GST Act. </w:t>
      </w:r>
      <w:r w:rsidR="008B7A78">
        <w:t xml:space="preserve">This paragraph </w:t>
      </w:r>
      <w:r w:rsidR="00B101C2">
        <w:t xml:space="preserve">is carved out as it </w:t>
      </w:r>
      <w:r w:rsidR="008B7A78">
        <w:t xml:space="preserve">could have the effect of removing an entity (that would otherwise be an electronic distribution platform) from the regime </w:t>
      </w:r>
      <w:r w:rsidR="00B101C2">
        <w:t xml:space="preserve">if that entity </w:t>
      </w:r>
      <w:r w:rsidR="008B7A78">
        <w:t xml:space="preserve">supplies any </w:t>
      </w:r>
      <w:r w:rsidR="008D365C">
        <w:t xml:space="preserve">inbound </w:t>
      </w:r>
      <w:r w:rsidR="008B7A78">
        <w:t>intangible consumer suppl</w:t>
      </w:r>
      <w:r w:rsidR="008D365C">
        <w:t>ies</w:t>
      </w:r>
      <w:r w:rsidR="008B7A78">
        <w:t xml:space="preserve"> </w:t>
      </w:r>
      <w:r w:rsidR="008D365C">
        <w:t>and none of th</w:t>
      </w:r>
      <w:r w:rsidR="00C5698C">
        <w:t>ose</w:t>
      </w:r>
      <w:r w:rsidR="008D365C">
        <w:t xml:space="preserve"> supplies are made </w:t>
      </w:r>
      <w:r w:rsidR="008B7A78">
        <w:t xml:space="preserve">by </w:t>
      </w:r>
      <w:r w:rsidR="008D365C">
        <w:t xml:space="preserve">means of </w:t>
      </w:r>
      <w:r w:rsidR="008B7A78">
        <w:t xml:space="preserve">electronic communications. </w:t>
      </w:r>
      <w:r w:rsidR="00054CC8">
        <w:t xml:space="preserve">The reporting regime </w:t>
      </w:r>
      <w:r w:rsidR="008D365C">
        <w:t xml:space="preserve">is intended to </w:t>
      </w:r>
      <w:r w:rsidR="00054CC8">
        <w:t>apply to a wide range of entities</w:t>
      </w:r>
      <w:r w:rsidR="00EA0477">
        <w:t xml:space="preserve"> and </w:t>
      </w:r>
      <w:r w:rsidR="00054CC8">
        <w:t xml:space="preserve">therefore the definition of </w:t>
      </w:r>
      <w:r w:rsidR="001C0CA8">
        <w:t xml:space="preserve">an </w:t>
      </w:r>
      <w:r w:rsidR="00054CC8">
        <w:t>electronic distribution platform for this purpose carves out an otherwise limiting factor</w:t>
      </w:r>
      <w:r w:rsidR="008D365C">
        <w:t xml:space="preserve"> that </w:t>
      </w:r>
      <w:r w:rsidR="0051509F">
        <w:t>may undermine the intent of measure.</w:t>
      </w:r>
      <w:r w:rsidR="00054CC8">
        <w:t xml:space="preserve"> </w:t>
      </w:r>
    </w:p>
    <w:p w14:paraId="54ABD7DC" w14:textId="716B42D7" w:rsidR="00163E77" w:rsidRDefault="00163E77" w:rsidP="00C3452B">
      <w:pPr>
        <w:pStyle w:val="base-text-paragraph"/>
      </w:pPr>
      <w:r>
        <w:t xml:space="preserve">In the sharing economy context, an electronic distribution platform can facilitate a </w:t>
      </w:r>
      <w:r w:rsidR="00B02B24">
        <w:t>transaction</w:t>
      </w:r>
      <w:r>
        <w:t xml:space="preserve"> between two otherwise unrelated parties. </w:t>
      </w:r>
      <w:r w:rsidR="00C0642D">
        <w:t>These platforms, at the most basic level, play the role of an intermediary between the buyer and the seller. At a more complex level, the platform</w:t>
      </w:r>
      <w:r w:rsidR="0049055F">
        <w:t xml:space="preserve"> </w:t>
      </w:r>
      <w:r w:rsidR="00BD5AD7">
        <w:t xml:space="preserve">operator </w:t>
      </w:r>
      <w:r w:rsidR="0049055F">
        <w:t>can</w:t>
      </w:r>
      <w:r w:rsidR="00C0642D">
        <w:t xml:space="preserve"> assume much of the inherent risk in the transaction</w:t>
      </w:r>
      <w:r w:rsidR="00B101C2">
        <w:t xml:space="preserve"> between the buyer and the seller</w:t>
      </w:r>
      <w:r w:rsidR="00C0642D">
        <w:t xml:space="preserve">, play a quality assurance </w:t>
      </w:r>
      <w:r w:rsidR="00B02B24">
        <w:t xml:space="preserve">role, </w:t>
      </w:r>
      <w:r w:rsidR="00B101C2">
        <w:t xml:space="preserve">and </w:t>
      </w:r>
      <w:r w:rsidR="00C0642D">
        <w:t xml:space="preserve">ensure a seamless experience for the buyer and seller. </w:t>
      </w:r>
      <w:r w:rsidR="0049055F">
        <w:t>In some cases, the platform will also process the payment</w:t>
      </w:r>
      <w:r w:rsidR="007F1779">
        <w:t xml:space="preserve">, however a platform will still meet the definition of an electronic distribution platform if it uses a third-party payment services provider for processing payments made in </w:t>
      </w:r>
      <w:r w:rsidR="007F1779">
        <w:lastRenderedPageBreak/>
        <w:t xml:space="preserve">connection with the platform. </w:t>
      </w:r>
      <w:r w:rsidR="00262E95">
        <w:t xml:space="preserve">In most cases, </w:t>
      </w:r>
      <w:r w:rsidR="00C0642D">
        <w:t xml:space="preserve">there is no employer-employee relationship between the seller and the platform operator. </w:t>
      </w:r>
    </w:p>
    <w:p w14:paraId="6F051398" w14:textId="026636A2" w:rsidR="00827845" w:rsidRDefault="00827845" w:rsidP="00827845">
      <w:pPr>
        <w:pStyle w:val="Heading4"/>
      </w:pPr>
      <w:r>
        <w:t xml:space="preserve">Transactions that are required to be reported </w:t>
      </w:r>
    </w:p>
    <w:p w14:paraId="264A842C" w14:textId="08D578BF" w:rsidR="00B02B24" w:rsidRPr="00D92BD8" w:rsidRDefault="008D3207" w:rsidP="00B02B24">
      <w:pPr>
        <w:pStyle w:val="base-text-paragraph"/>
        <w:rPr>
          <w:rStyle w:val="Referencingstyle"/>
          <w:b w:val="0"/>
          <w:i w:val="0"/>
          <w:sz w:val="22"/>
        </w:rPr>
      </w:pPr>
      <w:r>
        <w:t xml:space="preserve">Generally, the amendments require transactions </w:t>
      </w:r>
      <w:r w:rsidR="00D13FE1">
        <w:t xml:space="preserve">to be reported to the Commissioner if they </w:t>
      </w:r>
      <w:r>
        <w:t xml:space="preserve">involve the provision of consideration (within the meaning of the GST Act) by a buyer to a seller for a supply made through the platform by the seller. </w:t>
      </w:r>
      <w:r>
        <w:rPr>
          <w:rStyle w:val="Referencingstyle"/>
        </w:rPr>
        <w:t xml:space="preserve">[Schedule #, item 1, </w:t>
      </w:r>
      <w:r w:rsidR="00D13FE1">
        <w:rPr>
          <w:rStyle w:val="Referencingstyle"/>
        </w:rPr>
        <w:t xml:space="preserve">item 15 in the table in </w:t>
      </w:r>
      <w:r>
        <w:rPr>
          <w:rStyle w:val="Referencingstyle"/>
        </w:rPr>
        <w:t>section 396-55 in Schedule 1 to the TAA 1953]</w:t>
      </w:r>
    </w:p>
    <w:p w14:paraId="185328AE" w14:textId="35BC8FCC" w:rsidR="00C74018" w:rsidRDefault="00D223E2" w:rsidP="00D92BD8">
      <w:pPr>
        <w:pStyle w:val="base-text-paragraph"/>
      </w:pPr>
      <w:r w:rsidRPr="00B0481F">
        <w:t>Consideration</w:t>
      </w:r>
      <w:r>
        <w:t xml:space="preserve"> </w:t>
      </w:r>
      <w:r w:rsidR="00D13FE1">
        <w:t>includes any payment, act or forbearance that is connected to</w:t>
      </w:r>
      <w:r w:rsidR="00F43C52">
        <w:t xml:space="preserve"> a supply</w:t>
      </w:r>
      <w:r w:rsidR="00B0481F">
        <w:t xml:space="preserve"> </w:t>
      </w:r>
      <w:r>
        <w:t>(see section 9-15 of the GST Act). In the sharing economy platform context</w:t>
      </w:r>
      <w:r w:rsidR="0015643F">
        <w:t>,</w:t>
      </w:r>
      <w:r>
        <w:t xml:space="preserve"> consideration </w:t>
      </w:r>
      <w:r w:rsidR="00D13FE1">
        <w:t xml:space="preserve">will usually be </w:t>
      </w:r>
      <w:r>
        <w:t>in the form of a monetary payment</w:t>
      </w:r>
      <w:r w:rsidR="00B101C2">
        <w:t xml:space="preserve"> made to the seller via the platform</w:t>
      </w:r>
      <w:r w:rsidR="00B0481F">
        <w:t xml:space="preserve">. </w:t>
      </w:r>
    </w:p>
    <w:p w14:paraId="3F6E0467" w14:textId="272C25D7" w:rsidR="003F6639" w:rsidRDefault="00AC7A6A" w:rsidP="00AC7A6A">
      <w:pPr>
        <w:pStyle w:val="base-text-paragraph"/>
      </w:pPr>
      <w:r>
        <w:t xml:space="preserve">A supply is any form </w:t>
      </w:r>
      <w:r w:rsidR="00B101C2">
        <w:t>of</w:t>
      </w:r>
      <w:r>
        <w:t xml:space="preserve"> supply whatsoever, including the supply of goods, services, </w:t>
      </w:r>
      <w:r w:rsidR="00262E95">
        <w:t xml:space="preserve">real property, </w:t>
      </w:r>
      <w:r>
        <w:t xml:space="preserve">or advice </w:t>
      </w:r>
      <w:r w:rsidR="000175EB">
        <w:t xml:space="preserve">and </w:t>
      </w:r>
      <w:r>
        <w:t xml:space="preserve">information. Transactions </w:t>
      </w:r>
      <w:r w:rsidR="00F43C52">
        <w:t xml:space="preserve">that </w:t>
      </w:r>
      <w:r>
        <w:t xml:space="preserve">only </w:t>
      </w:r>
      <w:r w:rsidR="00F43C52">
        <w:t xml:space="preserve">involve </w:t>
      </w:r>
      <w:r>
        <w:t>the sale of goods</w:t>
      </w:r>
      <w:r w:rsidR="00262E95">
        <w:t xml:space="preserve"> or real property</w:t>
      </w:r>
      <w:r>
        <w:t xml:space="preserve"> (the transfer of legal title to the goods</w:t>
      </w:r>
      <w:r w:rsidR="00262E95">
        <w:t xml:space="preserve"> or real property</w:t>
      </w:r>
      <w:r>
        <w:t>) or financial supplies are not intended to be captured by the reporting regime</w:t>
      </w:r>
      <w:r w:rsidR="00155EFE">
        <w:t xml:space="preserve"> (see section 9-10 of the GST Act)</w:t>
      </w:r>
      <w:r>
        <w:t xml:space="preserve">. </w:t>
      </w:r>
      <w:r w:rsidR="00701CDD">
        <w:t xml:space="preserve">Transactions </w:t>
      </w:r>
      <w:r w:rsidR="00F43C52">
        <w:t xml:space="preserve">that involve </w:t>
      </w:r>
      <w:r w:rsidR="00701CDD">
        <w:t xml:space="preserve">the </w:t>
      </w:r>
      <w:r w:rsidR="00262E95">
        <w:t xml:space="preserve">rental </w:t>
      </w:r>
      <w:r w:rsidR="00701CDD">
        <w:t xml:space="preserve">of goods or </w:t>
      </w:r>
      <w:r w:rsidR="00D01462">
        <w:t>real property</w:t>
      </w:r>
      <w:r w:rsidR="00701CDD">
        <w:t xml:space="preserve"> that </w:t>
      </w:r>
      <w:r w:rsidR="00D01462">
        <w:t xml:space="preserve">are </w:t>
      </w:r>
      <w:r w:rsidR="00701CDD">
        <w:t xml:space="preserve">made through an electronic distribution platform are captured by the reporting regime. </w:t>
      </w:r>
    </w:p>
    <w:p w14:paraId="5298BFF0" w14:textId="5AFA9D7C" w:rsidR="00134999" w:rsidRDefault="00921D2A" w:rsidP="00921D2A">
      <w:pPr>
        <w:pStyle w:val="base-text-paragraph"/>
      </w:pPr>
      <w:r>
        <w:t xml:space="preserve">The supply must be a supply connected </w:t>
      </w:r>
      <w:r w:rsidR="00134999">
        <w:t>to</w:t>
      </w:r>
      <w:r>
        <w:t xml:space="preserve"> the indirect tax zone </w:t>
      </w:r>
      <w:r w:rsidR="00805989">
        <w:t>to</w:t>
      </w:r>
      <w:r>
        <w:t xml:space="preserve"> be covered by the reporting regime</w:t>
      </w:r>
      <w:r w:rsidR="003F75DC">
        <w:t>.</w:t>
      </w:r>
      <w:r w:rsidR="00134999">
        <w:t xml:space="preserve"> For the purposes of the reporting regime, the meaning of indirect tax zone includes Australia’s external territories. </w:t>
      </w:r>
      <w:r w:rsidR="003F75DC">
        <w:t xml:space="preserve"> </w:t>
      </w:r>
    </w:p>
    <w:p w14:paraId="16F8E5B8" w14:textId="7DD04A54" w:rsidR="003F60EE" w:rsidRDefault="003F60EE" w:rsidP="00921D2A">
      <w:pPr>
        <w:pStyle w:val="base-text-paragraph"/>
      </w:pPr>
      <w:r>
        <w:t>Among other examples, a</w:t>
      </w:r>
      <w:r w:rsidR="00921D2A">
        <w:t xml:space="preserve"> supply </w:t>
      </w:r>
      <w:r w:rsidR="00F43C52">
        <w:t xml:space="preserve">of goods </w:t>
      </w:r>
      <w:r w:rsidR="00921D2A">
        <w:t xml:space="preserve">is </w:t>
      </w:r>
      <w:r w:rsidR="00F43C52">
        <w:t>connected to</w:t>
      </w:r>
      <w:r w:rsidR="00921D2A">
        <w:t xml:space="preserve"> the indirect tax zone if</w:t>
      </w:r>
      <w:r w:rsidR="00F43C52">
        <w:t>, broadly,</w:t>
      </w:r>
      <w:r w:rsidR="00921D2A">
        <w:t xml:space="preserve"> goods are delivered </w:t>
      </w:r>
      <w:r w:rsidR="00F43C52">
        <w:t xml:space="preserve">in, made available </w:t>
      </w:r>
      <w:r w:rsidR="00921D2A">
        <w:t>in or removed from the indirect tax zone</w:t>
      </w:r>
      <w:r>
        <w:t xml:space="preserve"> (see subsections 9-25(1) to (3) of the GST Act)</w:t>
      </w:r>
      <w:r w:rsidR="00B0481F">
        <w:t xml:space="preserve">. A supply </w:t>
      </w:r>
      <w:r>
        <w:t xml:space="preserve">of goods </w:t>
      </w:r>
      <w:r w:rsidR="00B0481F">
        <w:t xml:space="preserve">is also connected with the indirect tax zone if </w:t>
      </w:r>
      <w:r>
        <w:t>it is an offshore supply of low value goods to a consumer (see subsection 9-25(3</w:t>
      </w:r>
      <w:r w:rsidR="00F9305B">
        <w:t>A</w:t>
      </w:r>
      <w:r>
        <w:t>) of the GST Act).</w:t>
      </w:r>
    </w:p>
    <w:p w14:paraId="4D80E9A7" w14:textId="3AC079B1" w:rsidR="00921D2A" w:rsidRDefault="003F60EE" w:rsidP="00921D2A">
      <w:pPr>
        <w:pStyle w:val="base-text-paragraph"/>
      </w:pPr>
      <w:r>
        <w:t>Similarly, cases where supplies of things o</w:t>
      </w:r>
      <w:r w:rsidR="00396CE7">
        <w:t>ther</w:t>
      </w:r>
      <w:r>
        <w:t xml:space="preserve"> than goods or real property are connected with the indirect tax zone include where, broadly, </w:t>
      </w:r>
      <w:r w:rsidR="00B0481F">
        <w:t>the acts to complete the supply are</w:t>
      </w:r>
      <w:r w:rsidR="00921D2A">
        <w:t xml:space="preserve"> </w:t>
      </w:r>
      <w:r w:rsidR="00921D2A" w:rsidRPr="00B0481F">
        <w:t>done</w:t>
      </w:r>
      <w:r w:rsidR="00921D2A">
        <w:t xml:space="preserve"> in the indirect tax zone or the supplier carries on that enterprise in the indirect tax zone (see </w:t>
      </w:r>
      <w:r>
        <w:t>sub</w:t>
      </w:r>
      <w:r w:rsidR="00921D2A">
        <w:t>section 9-25</w:t>
      </w:r>
      <w:r>
        <w:t>(5)</w:t>
      </w:r>
      <w:r w:rsidR="00921D2A">
        <w:t xml:space="preserve"> of the GST Act). </w:t>
      </w:r>
    </w:p>
    <w:p w14:paraId="159645CA" w14:textId="5D035A4D" w:rsidR="00155EFE" w:rsidRDefault="00155EFE" w:rsidP="00AC7A6A">
      <w:pPr>
        <w:pStyle w:val="base-text-paragraph"/>
      </w:pPr>
      <w:r>
        <w:t xml:space="preserve">A supply must be made through the platform for the related transaction to be captured </w:t>
      </w:r>
      <w:r w:rsidR="000175EB">
        <w:t xml:space="preserve">within </w:t>
      </w:r>
      <w:r>
        <w:t xml:space="preserve">the scope of the </w:t>
      </w:r>
      <w:r w:rsidR="000175EB">
        <w:t>TPRS</w:t>
      </w:r>
      <w:r>
        <w:t xml:space="preserve">. </w:t>
      </w:r>
      <w:r w:rsidR="00276429">
        <w:t>This ensures</w:t>
      </w:r>
      <w:r w:rsidR="005D1991">
        <w:t xml:space="preserve"> that </w:t>
      </w:r>
      <w:r w:rsidR="00276429">
        <w:t>the requirement only applies to</w:t>
      </w:r>
      <w:r w:rsidR="00552272">
        <w:t xml:space="preserve"> a</w:t>
      </w:r>
      <w:r w:rsidR="00276429">
        <w:t xml:space="preserve"> transaction when </w:t>
      </w:r>
      <w:r w:rsidR="005D1991">
        <w:t xml:space="preserve">the platform has a greater level of involvement in the transaction than merely advertising the opportunity, referring the buyer to the seller, or processing a payment. </w:t>
      </w:r>
    </w:p>
    <w:p w14:paraId="56D6E434" w14:textId="57872CC9" w:rsidR="00AC7A6A" w:rsidRDefault="00AC7A6A" w:rsidP="00AC7A6A">
      <w:pPr>
        <w:pStyle w:val="base-text-paragraph"/>
      </w:pPr>
      <w:r>
        <w:t>Similar to other items in the table in section 396-55, transactions where the seller and the operator of the platform are members of the same</w:t>
      </w:r>
      <w:r w:rsidR="00F9305B">
        <w:t xml:space="preserve"> </w:t>
      </w:r>
      <w:r w:rsidR="00F9305B">
        <w:lastRenderedPageBreak/>
        <w:t>consolidated or</w:t>
      </w:r>
      <w:r>
        <w:t xml:space="preserve"> MEC </w:t>
      </w:r>
      <w:r w:rsidR="0015643F">
        <w:t>G</w:t>
      </w:r>
      <w:r>
        <w:t>roup, or where a portion of the consider</w:t>
      </w:r>
      <w:r w:rsidR="000175EB">
        <w:t>ation</w:t>
      </w:r>
      <w:r>
        <w:t xml:space="preserve"> has been withheld in accordance with the withholding regime in Division 12</w:t>
      </w:r>
      <w:r w:rsidR="0015643F">
        <w:t>,</w:t>
      </w:r>
      <w:r w:rsidR="000175EB">
        <w:t xml:space="preserve"> are not required to be reported</w:t>
      </w:r>
      <w:r>
        <w:t xml:space="preserve">. </w:t>
      </w:r>
      <w:r w:rsidR="008E6B7E" w:rsidRPr="008E6B7E">
        <w:t>In the case of consolidated or MEC Groups, intra-group transactions are generally dis</w:t>
      </w:r>
      <w:r w:rsidR="00DC6CD9">
        <w:t>regarded</w:t>
      </w:r>
      <w:r w:rsidR="008E6B7E" w:rsidRPr="008E6B7E">
        <w:t xml:space="preserve"> for tax purposes. In the case of payments of consideration subject to Division 12 withholding obligations, these payments have </w:t>
      </w:r>
      <w:r w:rsidR="008E6B7E">
        <w:t xml:space="preserve">existing </w:t>
      </w:r>
      <w:r w:rsidR="008E6B7E" w:rsidRPr="008E6B7E">
        <w:t xml:space="preserve">reporting obligations within the TAA 1953, so there is no need to include those in </w:t>
      </w:r>
      <w:r w:rsidR="00DC6CD9">
        <w:t>the TPRS</w:t>
      </w:r>
      <w:r w:rsidR="008E6B7E" w:rsidRPr="008E6B7E">
        <w:t>.</w:t>
      </w:r>
    </w:p>
    <w:p w14:paraId="47958519" w14:textId="274D654C" w:rsidR="00921D2A" w:rsidRDefault="00921D2A" w:rsidP="00921D2A">
      <w:pPr>
        <w:pStyle w:val="Heading4"/>
      </w:pPr>
      <w:r>
        <w:t xml:space="preserve">Reporting transactions </w:t>
      </w:r>
    </w:p>
    <w:p w14:paraId="6E99A94A" w14:textId="062F189C" w:rsidR="00AC7A6A" w:rsidRDefault="00CB53E0" w:rsidP="00AC7A6A">
      <w:pPr>
        <w:pStyle w:val="base-text-paragraph"/>
      </w:pPr>
      <w:r>
        <w:t xml:space="preserve">Operators </w:t>
      </w:r>
      <w:r w:rsidR="00921D2A">
        <w:t xml:space="preserve">are required to report information in the approved form to the Commissioner either annually, or at such other times as the Commissioner determines by legislative instrument. </w:t>
      </w:r>
      <w:r>
        <w:t xml:space="preserve">Operators </w:t>
      </w:r>
      <w:r w:rsidR="00862256">
        <w:t>must give the report to the Commissioner on or before the 31</w:t>
      </w:r>
      <w:r w:rsidR="00862256" w:rsidRPr="00862256">
        <w:rPr>
          <w:vertAlign w:val="superscript"/>
        </w:rPr>
        <w:t>st</w:t>
      </w:r>
      <w:r w:rsidR="00862256">
        <w:t xml:space="preserve"> day after the reporting period ends, or at another time as the Commissioner determine</w:t>
      </w:r>
      <w:r w:rsidR="00883092">
        <w:t>s</w:t>
      </w:r>
      <w:r w:rsidR="00862256">
        <w:t xml:space="preserve"> by legislative instrument (see section 396-55). </w:t>
      </w:r>
    </w:p>
    <w:p w14:paraId="4D6E87C4" w14:textId="77FA7993" w:rsidR="001D06DF" w:rsidRDefault="001D06DF" w:rsidP="00AC7A6A">
      <w:pPr>
        <w:pStyle w:val="base-text-paragraph"/>
      </w:pPr>
      <w:r>
        <w:t>The Commissioner may inform an operator in writing that it is not required to report transactions made through its platform under the third-party reporting regime, or that it is not required to report specified classes of transactions</w:t>
      </w:r>
      <w:r w:rsidR="00276429">
        <w:t xml:space="preserve"> (see subsections 396-70(1) to (3))</w:t>
      </w:r>
      <w:r>
        <w:t xml:space="preserve">. An operator who is dissatisfied with a decision </w:t>
      </w:r>
      <w:r w:rsidR="00E965F4">
        <w:t>of the Commissioner to ex</w:t>
      </w:r>
      <w:r w:rsidR="0037685F">
        <w:t>er</w:t>
      </w:r>
      <w:r w:rsidR="00E965F4">
        <w:t xml:space="preserve">cise or not exercise this discretion may object under the procedures set out in </w:t>
      </w:r>
      <w:r w:rsidR="00276429">
        <w:t>Part </w:t>
      </w:r>
      <w:r w:rsidR="00E965F4">
        <w:t>IVC of the TAA 1953.</w:t>
      </w:r>
      <w:r w:rsidR="000D3D2F">
        <w:t xml:space="preserve"> Merits review </w:t>
      </w:r>
      <w:r w:rsidR="009F20F2">
        <w:t>is available</w:t>
      </w:r>
      <w:r w:rsidR="000D3D2F">
        <w:t xml:space="preserve"> under Part IVC.</w:t>
      </w:r>
      <w:r w:rsidR="00E965F4">
        <w:t xml:space="preserve"> Any notice of a decision to exempt an operator </w:t>
      </w:r>
      <w:r w:rsidR="00276429">
        <w:t>generally or f</w:t>
      </w:r>
      <w:r w:rsidR="00E965F4">
        <w:t xml:space="preserve">or a class of transactions is not a legislative instrument. </w:t>
      </w:r>
      <w:r w:rsidR="00276429">
        <w:t>The Commissioner may also, by legislative instrument, exempt a class of entity from reporting, either generally or in respect of a specific class of transaction (see subsection 396-70(4)).</w:t>
      </w:r>
    </w:p>
    <w:p w14:paraId="38D9C48C" w14:textId="7BD4BB6C" w:rsidR="00862256" w:rsidRDefault="00862256" w:rsidP="00AC7A6A">
      <w:pPr>
        <w:pStyle w:val="base-text-paragraph"/>
      </w:pPr>
      <w:r>
        <w:t xml:space="preserve">The </w:t>
      </w:r>
      <w:r w:rsidR="00FA51BB">
        <w:t xml:space="preserve">Commissioner may specify the </w:t>
      </w:r>
      <w:r>
        <w:t>information required to be reported in the approved form</w:t>
      </w:r>
      <w:r w:rsidR="00FA51BB">
        <w:t xml:space="preserve">, but all such information </w:t>
      </w:r>
      <w:r>
        <w:t>must relate to the identification, collection</w:t>
      </w:r>
      <w:r w:rsidR="001D06DF">
        <w:t xml:space="preserve">, </w:t>
      </w:r>
      <w:r w:rsidR="00B5350A">
        <w:t>recovery,</w:t>
      </w:r>
      <w:r>
        <w:t xml:space="preserve"> </w:t>
      </w:r>
      <w:r w:rsidR="001D06DF">
        <w:t xml:space="preserve">or reduction </w:t>
      </w:r>
      <w:r>
        <w:t>of a possible taxation liability</w:t>
      </w:r>
      <w:r w:rsidR="001D06DF">
        <w:t xml:space="preserve">. </w:t>
      </w:r>
      <w:r w:rsidR="00FA51BB">
        <w:t>It is expected that the Commissioner will typically request</w:t>
      </w:r>
      <w:r w:rsidR="001D06DF">
        <w:t xml:space="preserve"> the identifying information of the seller and the details of their transactions made through the platform. </w:t>
      </w:r>
    </w:p>
    <w:p w14:paraId="162D84AB" w14:textId="4C8E88B5" w:rsidR="00921D2A" w:rsidRDefault="00921D2A" w:rsidP="00AC7A6A">
      <w:pPr>
        <w:pStyle w:val="base-text-paragraph"/>
      </w:pPr>
      <w:r>
        <w:t xml:space="preserve">The general rules that apply to information that must be reported under Division 396 </w:t>
      </w:r>
      <w:r w:rsidR="00900AAF">
        <w:t xml:space="preserve">will </w:t>
      </w:r>
      <w:r>
        <w:t xml:space="preserve">apply to the operators of electronic distribution platforms. This means that if an </w:t>
      </w:r>
      <w:r w:rsidR="008724AF">
        <w:t xml:space="preserve">operator </w:t>
      </w:r>
      <w:r>
        <w:t xml:space="preserve">has given the Commissioner a report </w:t>
      </w:r>
      <w:r w:rsidR="0037685F">
        <w:t xml:space="preserve">and </w:t>
      </w:r>
      <w:r>
        <w:t xml:space="preserve">they </w:t>
      </w:r>
      <w:r w:rsidR="0037685F">
        <w:t xml:space="preserve">subsequently </w:t>
      </w:r>
      <w:r>
        <w:t>become aware</w:t>
      </w:r>
      <w:r w:rsidR="0037685F">
        <w:t xml:space="preserve"> that it</w:t>
      </w:r>
      <w:r>
        <w:t xml:space="preserve"> contains a material error, they must give the Commissioner an updated report within 28 days of becoming aware of the error. Similarly, if an </w:t>
      </w:r>
      <w:r w:rsidR="008724AF">
        <w:t xml:space="preserve">operator </w:t>
      </w:r>
      <w:r>
        <w:t>has failed to give a report</w:t>
      </w:r>
      <w:r w:rsidR="00862256">
        <w:t xml:space="preserve">, or a corrected report, to the Commissioner by the time required, an administrative penalty applies (see subsection 286-75(1)). An administrative penalty also </w:t>
      </w:r>
      <w:r w:rsidR="00510BF7">
        <w:t xml:space="preserve">generally </w:t>
      </w:r>
      <w:r w:rsidR="00862256">
        <w:t xml:space="preserve">applies if a report includes any false </w:t>
      </w:r>
      <w:r w:rsidR="00862256">
        <w:lastRenderedPageBreak/>
        <w:t>or misleading statements (see subsection 284-75(1))</w:t>
      </w:r>
      <w:r w:rsidR="00CB469B">
        <w:t xml:space="preserve">. </w:t>
      </w:r>
      <w:r w:rsidR="00F9305B" w:rsidRPr="00F9305B">
        <w:t>However</w:t>
      </w:r>
      <w:r w:rsidR="00F9305B">
        <w:t>,</w:t>
      </w:r>
      <w:r w:rsidR="00F9305B" w:rsidRPr="00F9305B">
        <w:t xml:space="preserve"> an administrative penalty will not apply where the operator can show it took reasonable care in making the false or misleading statement. </w:t>
      </w:r>
      <w:r w:rsidR="00937076">
        <w:t>(see subsection 284-75(5)).</w:t>
      </w:r>
    </w:p>
    <w:p w14:paraId="138B2565" w14:textId="77777777" w:rsidR="00C3452B" w:rsidRDefault="00C3452B" w:rsidP="00C3452B">
      <w:pPr>
        <w:pStyle w:val="Heading2"/>
      </w:pPr>
      <w:r>
        <w:t>Application and transitional provisions</w:t>
      </w:r>
    </w:p>
    <w:p w14:paraId="5C265C38" w14:textId="3C7AD8DF" w:rsidR="00C3452B" w:rsidRDefault="00EC58CA" w:rsidP="00C3452B">
      <w:pPr>
        <w:pStyle w:val="base-text-paragraph"/>
      </w:pPr>
      <w:r>
        <w:t>The amendment</w:t>
      </w:r>
      <w:r w:rsidR="002E0E9C">
        <w:t>s</w:t>
      </w:r>
      <w:r>
        <w:t xml:space="preserve"> </w:t>
      </w:r>
      <w:r w:rsidR="00E96290">
        <w:t>contained in Schedule #</w:t>
      </w:r>
      <w:r>
        <w:t xml:space="preserve"> </w:t>
      </w:r>
      <w:r w:rsidR="00E96290">
        <w:t>appl</w:t>
      </w:r>
      <w:r w:rsidR="002E0E9C">
        <w:t>y</w:t>
      </w:r>
      <w:r w:rsidR="00E96290">
        <w:t xml:space="preserve"> from</w:t>
      </w:r>
      <w:r w:rsidR="000169A7">
        <w:t xml:space="preserve"> </w:t>
      </w:r>
      <w:r w:rsidR="00510BF7">
        <w:t>1 </w:t>
      </w:r>
      <w:r w:rsidR="000169A7">
        <w:t>July</w:t>
      </w:r>
      <w:r w:rsidR="00510BF7">
        <w:t> </w:t>
      </w:r>
      <w:r w:rsidR="000169A7">
        <w:t xml:space="preserve">2022 for </w:t>
      </w:r>
      <w:r w:rsidR="001B5A39">
        <w:t>transactions in relation to</w:t>
      </w:r>
      <w:r w:rsidR="000169A7">
        <w:t xml:space="preserve"> </w:t>
      </w:r>
      <w:r w:rsidR="00A919C1">
        <w:t xml:space="preserve">the </w:t>
      </w:r>
      <w:r w:rsidR="005F669E">
        <w:t xml:space="preserve">supply </w:t>
      </w:r>
      <w:r w:rsidR="00A919C1">
        <w:t xml:space="preserve">of taxi </w:t>
      </w:r>
      <w:r w:rsidR="00F9305B">
        <w:t xml:space="preserve">travel </w:t>
      </w:r>
      <w:r w:rsidR="00510BF7">
        <w:t xml:space="preserve">(within the meaning of the GST Act) </w:t>
      </w:r>
      <w:r w:rsidR="000169A7">
        <w:t xml:space="preserve">and short-term accommodation; and 1 July 2023 for all other transactions. </w:t>
      </w:r>
      <w:r w:rsidR="002E0E9C" w:rsidRPr="008C0012">
        <w:rPr>
          <w:b/>
          <w:bCs/>
          <w:i/>
          <w:iCs/>
          <w:sz w:val="18"/>
          <w:szCs w:val="16"/>
        </w:rPr>
        <w:t>[</w:t>
      </w:r>
      <w:r w:rsidR="002E0E9C">
        <w:rPr>
          <w:b/>
          <w:bCs/>
          <w:i/>
          <w:iCs/>
          <w:sz w:val="18"/>
          <w:szCs w:val="16"/>
        </w:rPr>
        <w:t>Schedule #, item 2</w:t>
      </w:r>
      <w:r w:rsidR="002E0E9C" w:rsidRPr="008C0012">
        <w:rPr>
          <w:b/>
          <w:bCs/>
          <w:i/>
          <w:iCs/>
          <w:sz w:val="18"/>
          <w:szCs w:val="16"/>
        </w:rPr>
        <w:t>]</w:t>
      </w:r>
    </w:p>
    <w:p w14:paraId="2C5A7C0B" w14:textId="6AFC67F7" w:rsidR="00FD6AA2" w:rsidRDefault="008C0012" w:rsidP="00C3452B">
      <w:pPr>
        <w:pStyle w:val="base-text-paragraph"/>
      </w:pPr>
      <w:r>
        <w:t>The d</w:t>
      </w:r>
      <w:r w:rsidR="001B5A39">
        <w:t xml:space="preserve">ifferent </w:t>
      </w:r>
      <w:r w:rsidR="00510BF7">
        <w:t xml:space="preserve">application </w:t>
      </w:r>
      <w:r w:rsidR="001B5A39">
        <w:t xml:space="preserve">dates are warranted because data </w:t>
      </w:r>
      <w:r w:rsidR="00B856B7">
        <w:t xml:space="preserve">matching </w:t>
      </w:r>
      <w:r w:rsidR="001B5A39">
        <w:t>protocols already exist between</w:t>
      </w:r>
      <w:r>
        <w:t xml:space="preserve"> the ATO </w:t>
      </w:r>
      <w:r w:rsidR="00A919C1">
        <w:t>and</w:t>
      </w:r>
      <w:r w:rsidR="00F23D98">
        <w:t xml:space="preserve"> the operators of platforms that commonly facilitate</w:t>
      </w:r>
      <w:r w:rsidR="00A919C1">
        <w:t xml:space="preserve"> taxi </w:t>
      </w:r>
      <w:r w:rsidR="00F9305B">
        <w:t xml:space="preserve">travel (this includes ride sharing services see </w:t>
      </w:r>
      <w:r w:rsidR="00F9305B" w:rsidRPr="00D90A3F">
        <w:rPr>
          <w:i/>
          <w:iCs/>
        </w:rPr>
        <w:t>Uber V.B. v  Federal Commissioner of Taxation</w:t>
      </w:r>
      <w:r w:rsidR="00F9305B">
        <w:t xml:space="preserve"> [2017 FCA 110</w:t>
      </w:r>
      <w:r w:rsidR="008E6B7E">
        <w:t>]</w:t>
      </w:r>
      <w:r w:rsidR="00CB469B">
        <w:t>)</w:t>
      </w:r>
      <w:r w:rsidR="00D90A3F">
        <w:t xml:space="preserve"> </w:t>
      </w:r>
      <w:r w:rsidR="001B5A39">
        <w:t xml:space="preserve">and short-term accommodation </w:t>
      </w:r>
      <w:r w:rsidR="00F23D98">
        <w:t>transactions</w:t>
      </w:r>
      <w:r w:rsidR="001B5A39">
        <w:t xml:space="preserve">. Therefore, these entities do not need a lengthy lead time </w:t>
      </w:r>
      <w:r>
        <w:t>to</w:t>
      </w:r>
      <w:r w:rsidR="001B5A39">
        <w:t xml:space="preserve"> ensure compliance. </w:t>
      </w:r>
    </w:p>
    <w:p w14:paraId="46ACC9F4" w14:textId="77777777" w:rsidR="00C3452B" w:rsidRDefault="00C3452B" w:rsidP="00C3452B">
      <w:pPr>
        <w:spacing w:before="0" w:after="160" w:line="259" w:lineRule="auto"/>
      </w:pPr>
    </w:p>
    <w:sectPr w:rsidR="00C3452B" w:rsidSect="00C10AAF">
      <w:footerReference w:type="even" r:id="rId32"/>
      <w:footerReference w:type="default" r:id="rId33"/>
      <w:footerReference w:type="first" r:id="rId34"/>
      <w:type w:val="oddPage"/>
      <w:pgSz w:w="9979" w:h="14175" w:code="9"/>
      <w:pgMar w:top="56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29F45D" w14:textId="77777777" w:rsidR="00A415BF" w:rsidRDefault="00A415BF" w:rsidP="00C3452B">
      <w:pPr>
        <w:spacing w:before="0" w:after="0"/>
      </w:pPr>
      <w:r>
        <w:separator/>
      </w:r>
    </w:p>
  </w:endnote>
  <w:endnote w:type="continuationSeparator" w:id="0">
    <w:p w14:paraId="097D4AD3" w14:textId="77777777" w:rsidR="00A415BF" w:rsidRDefault="00A415BF" w:rsidP="00C3452B">
      <w:pPr>
        <w:spacing w:before="0" w:after="0"/>
      </w:pPr>
      <w:r>
        <w:continuationSeparator/>
      </w:r>
    </w:p>
  </w:endnote>
  <w:endnote w:type="continuationNotice" w:id="1">
    <w:p w14:paraId="34E0441D" w14:textId="77777777" w:rsidR="00A415BF" w:rsidRDefault="00A415BF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A30E0C" w14:textId="77777777" w:rsidR="00741A8E" w:rsidRDefault="00741A8E" w:rsidP="00A335B4">
    <w:pPr>
      <w:pStyle w:val="left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218D45" w14:textId="77777777" w:rsidR="00741A8E" w:rsidRDefault="00741A8E" w:rsidP="00A335B4">
    <w:pPr>
      <w:pStyle w:val="left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okmarkStart w:id="37" w:name="_Hlk26336195"/>
  <w:bookmarkStart w:id="38" w:name="_Hlk26336196"/>
  <w:bookmarkStart w:id="39" w:name="_Hlk26336199"/>
  <w:bookmarkStart w:id="40" w:name="_Hlk26336200"/>
  <w:p w14:paraId="492726B9" w14:textId="77777777" w:rsidR="00741A8E" w:rsidRDefault="00741A8E" w:rsidP="00A335B4">
    <w:pPr>
      <w:pStyle w:val="right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11</w:t>
    </w:r>
    <w:r>
      <w:rPr>
        <w:noProof/>
      </w:rPr>
      <w:fldChar w:fldCharType="end"/>
    </w:r>
    <w:bookmarkEnd w:id="37"/>
    <w:bookmarkEnd w:id="38"/>
    <w:bookmarkEnd w:id="39"/>
    <w:bookmarkEnd w:id="40"/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okmarkStart w:id="41" w:name="_Hlk26336197"/>
  <w:bookmarkStart w:id="42" w:name="_Hlk26336198"/>
  <w:p w14:paraId="2E0D0AAE" w14:textId="3DBA9879" w:rsidR="00741A8E" w:rsidRDefault="00741A8E" w:rsidP="00A335B4">
    <w:pPr>
      <w:pStyle w:val="rightfooter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  <w:bookmarkEnd w:id="41"/>
    <w:bookmarkEnd w:id="42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okmarkStart w:id="4" w:name="_Hlk26336147"/>
  <w:bookmarkStart w:id="5" w:name="_Hlk26336148"/>
  <w:bookmarkStart w:id="6" w:name="_Hlk26336151"/>
  <w:bookmarkStart w:id="7" w:name="_Hlk26336152"/>
  <w:p w14:paraId="597B6F52" w14:textId="77777777" w:rsidR="00741A8E" w:rsidRDefault="00741A8E" w:rsidP="00A335B4">
    <w:pPr>
      <w:pStyle w:val="right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  <w:bookmarkEnd w:id="4"/>
    <w:bookmarkEnd w:id="5"/>
    <w:bookmarkEnd w:id="6"/>
    <w:bookmarkEnd w:id="7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285F08" w14:textId="77777777" w:rsidR="00741A8E" w:rsidRDefault="00741A8E">
    <w:pPr>
      <w:pStyle w:val="Footer"/>
    </w:pPr>
    <w:bookmarkStart w:id="10" w:name="_Hlk26336149"/>
    <w:bookmarkStart w:id="11" w:name="_Hlk26336150"/>
    <w:bookmarkEnd w:id="10"/>
    <w:bookmarkEnd w:id="11"/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0CAB90" w14:textId="77777777" w:rsidR="00741A8E" w:rsidRDefault="00741A8E" w:rsidP="00A335B4">
    <w:pPr>
      <w:pStyle w:val="left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okmarkStart w:id="17" w:name="_Hlk26336159"/>
  <w:bookmarkStart w:id="18" w:name="_Hlk26336160"/>
  <w:bookmarkStart w:id="19" w:name="_Hlk26336163"/>
  <w:bookmarkStart w:id="20" w:name="_Hlk26336164"/>
  <w:p w14:paraId="3CAD2A49" w14:textId="77777777" w:rsidR="00741A8E" w:rsidRDefault="00741A8E" w:rsidP="00A335B4">
    <w:pPr>
      <w:pStyle w:val="right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  <w:bookmarkEnd w:id="17"/>
    <w:bookmarkEnd w:id="18"/>
    <w:bookmarkEnd w:id="19"/>
    <w:bookmarkEnd w:id="20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F98FA5" w14:textId="77777777" w:rsidR="00741A8E" w:rsidRPr="00B2068E" w:rsidRDefault="00741A8E" w:rsidP="00A335B4">
    <w:pPr>
      <w:pStyle w:val="Footer"/>
    </w:pPr>
    <w:bookmarkStart w:id="23" w:name="_Hlk26336161"/>
    <w:bookmarkStart w:id="24" w:name="_Hlk26336162"/>
    <w:bookmarkEnd w:id="23"/>
    <w:bookmarkEnd w:id="24"/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B36D2A" w14:textId="77777777" w:rsidR="00741A8E" w:rsidRDefault="00741A8E" w:rsidP="00A335B4">
    <w:pPr>
      <w:pStyle w:val="left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okmarkStart w:id="29" w:name="_Hlk26336171"/>
  <w:bookmarkStart w:id="30" w:name="_Hlk26336172"/>
  <w:bookmarkStart w:id="31" w:name="_Hlk26336175"/>
  <w:bookmarkStart w:id="32" w:name="_Hlk26336176"/>
  <w:p w14:paraId="5DED5372" w14:textId="77777777" w:rsidR="00741A8E" w:rsidRDefault="00741A8E" w:rsidP="00A335B4">
    <w:pPr>
      <w:pStyle w:val="right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bookmarkEnd w:id="29"/>
    <w:bookmarkEnd w:id="30"/>
    <w:bookmarkEnd w:id="31"/>
    <w:bookmarkEnd w:id="32"/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okmarkStart w:id="33" w:name="_Hlk26336173"/>
  <w:bookmarkStart w:id="34" w:name="_Hlk26336174"/>
  <w:p w14:paraId="4CDEE150" w14:textId="77777777" w:rsidR="00741A8E" w:rsidRDefault="00741A8E" w:rsidP="00A335B4">
    <w:pPr>
      <w:pStyle w:val="rightfooter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bookmarkEnd w:id="33"/>
    <w:bookmarkEnd w:id="3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DE4A8C" w14:textId="77777777" w:rsidR="00A415BF" w:rsidRDefault="00A415BF" w:rsidP="00C3452B">
      <w:pPr>
        <w:spacing w:before="0" w:after="0"/>
      </w:pPr>
      <w:r>
        <w:separator/>
      </w:r>
    </w:p>
  </w:footnote>
  <w:footnote w:type="continuationSeparator" w:id="0">
    <w:p w14:paraId="4E15C918" w14:textId="77777777" w:rsidR="00A415BF" w:rsidRDefault="00A415BF" w:rsidP="00C3452B">
      <w:pPr>
        <w:spacing w:before="0" w:after="0"/>
      </w:pPr>
      <w:r>
        <w:continuationSeparator/>
      </w:r>
    </w:p>
  </w:footnote>
  <w:footnote w:type="continuationNotice" w:id="1">
    <w:p w14:paraId="3E05C96C" w14:textId="77777777" w:rsidR="00A415BF" w:rsidRDefault="00A415BF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02CCA5" w14:textId="77777777" w:rsidR="00741A8E" w:rsidRDefault="00741A8E" w:rsidP="00A335B4">
    <w:pPr>
      <w:pStyle w:val="leftheader"/>
    </w:pPr>
    <w:r>
      <w:fldChar w:fldCharType="begin"/>
    </w:r>
    <w:r>
      <w:instrText xml:space="preserve"> macrobutton nomacro [Click here and insert the name of the Bill] </w:instrTex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okmarkStart w:id="0" w:name="_Hlk26336141"/>
  <w:bookmarkStart w:id="1" w:name="_Hlk26336142"/>
  <w:bookmarkStart w:id="2" w:name="_Hlk26336145"/>
  <w:bookmarkStart w:id="3" w:name="_Hlk26336146"/>
  <w:p w14:paraId="4952984D" w14:textId="77777777" w:rsidR="00741A8E" w:rsidRDefault="00741A8E" w:rsidP="00A335B4">
    <w:pPr>
      <w:pStyle w:val="rightheader"/>
    </w:pPr>
    <w:r>
      <w:fldChar w:fldCharType="begin"/>
    </w:r>
    <w:r>
      <w:instrText xml:space="preserve"> macrobutton nomacro [Click here and enter the name of the Chapter </w:instrText>
    </w:r>
    <w:r>
      <w:fldChar w:fldCharType="end"/>
    </w:r>
    <w:bookmarkEnd w:id="0"/>
    <w:bookmarkEnd w:id="1"/>
    <w:bookmarkEnd w:id="2"/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okmarkStart w:id="8" w:name="_Hlk26336144" w:displacedByCustomXml="next"/>
  <w:bookmarkStart w:id="9" w:name="_Hlk26336143" w:displacedByCustomXml="next"/>
  <w:sdt>
    <w:sdtPr>
      <w:id w:val="-1403914990"/>
      <w:docPartObj>
        <w:docPartGallery w:val="Watermarks"/>
        <w:docPartUnique/>
      </w:docPartObj>
    </w:sdtPr>
    <w:sdtEndPr/>
    <w:sdtContent>
      <w:p w14:paraId="62EB496F" w14:textId="77777777" w:rsidR="00741A8E" w:rsidRDefault="00A415BF">
        <w:pPr>
          <w:pStyle w:val="Header"/>
        </w:pPr>
        <w:r>
          <w:rPr>
            <w:noProof/>
            <w:lang w:val="en-US" w:eastAsia="en-US"/>
          </w:rPr>
          <w:pict w14:anchorId="4084FBB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0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  <w:bookmarkEnd w:id="8" w:displacedByCustomXml="prev"/>
  <w:bookmarkEnd w:id="9" w:displacedByCustomXml="prev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DBFB56" w14:textId="77777777" w:rsidR="00741A8E" w:rsidRDefault="00741A8E" w:rsidP="00A335B4">
    <w:pPr>
      <w:pStyle w:val="left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5BDDE8" w14:textId="77777777" w:rsidR="00741A8E" w:rsidRDefault="00741A8E" w:rsidP="00A335B4">
    <w:pPr>
      <w:pStyle w:val="rightheader"/>
    </w:pPr>
    <w:bookmarkStart w:id="13" w:name="_Hlk26336153"/>
    <w:bookmarkStart w:id="14" w:name="_Hlk26336154"/>
    <w:bookmarkStart w:id="15" w:name="_Hlk26336157"/>
    <w:bookmarkStart w:id="16" w:name="_Hlk26336158"/>
    <w:bookmarkEnd w:id="13"/>
    <w:bookmarkEnd w:id="14"/>
    <w:bookmarkEnd w:id="15"/>
    <w:bookmarkEnd w:id="16"/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45E785" w14:textId="77777777" w:rsidR="00741A8E" w:rsidRDefault="00741A8E">
    <w:pPr>
      <w:pStyle w:val="Header"/>
    </w:pPr>
    <w:bookmarkStart w:id="21" w:name="_Hlk26336191"/>
    <w:bookmarkStart w:id="22" w:name="_Hlk26336192"/>
    <w:bookmarkEnd w:id="21"/>
    <w:bookmarkEnd w:id="22"/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D3C50F" w14:textId="253A7E77" w:rsidR="00741A8E" w:rsidRPr="00422FA2" w:rsidRDefault="00A415BF" w:rsidP="00A335B4">
    <w:pPr>
      <w:pStyle w:val="leftheader"/>
    </w:pPr>
    <w:r>
      <w:fldChar w:fldCharType="begin"/>
    </w:r>
    <w:r>
      <w:instrText xml:space="preserve"> STYLEREF  "Bill Name"  \* MERGEFORMAT </w:instrText>
    </w:r>
    <w:r>
      <w:fldChar w:fldCharType="separate"/>
    </w:r>
    <w:r w:rsidR="00C30D80">
      <w:rPr>
        <w:noProof/>
      </w:rPr>
      <w:t>Treasury Laws Amendment (Measures for Consultation) Bill 2021: Introducing a sharing economy reporting regime</w:t>
    </w:r>
    <w:r>
      <w:rPr>
        <w:noProof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okmarkStart w:id="27" w:name="_Hlk26336193"/>
  <w:bookmarkStart w:id="28" w:name="_Hlk26336194"/>
  <w:p w14:paraId="75E6CBB7" w14:textId="6DE013B1" w:rsidR="00741A8E" w:rsidRDefault="00741A8E" w:rsidP="00A335B4">
    <w:pPr>
      <w:pStyle w:val="rightheader"/>
    </w:pPr>
    <w:r>
      <w:fldChar w:fldCharType="begin"/>
    </w:r>
    <w:r>
      <w:instrText xml:space="preserve"> STYLEREF  "ChapterNameOnly"  \* MERGEFORMAT </w:instrText>
    </w:r>
    <w:r>
      <w:fldChar w:fldCharType="separate"/>
    </w:r>
    <w:r w:rsidR="00C30D80">
      <w:rPr>
        <w:noProof/>
      </w:rPr>
      <w:t>Sharing economy reporting regime</w:t>
    </w:r>
    <w:r>
      <w:rPr>
        <w:noProof/>
      </w:rPr>
      <w:fldChar w:fldCharType="end"/>
    </w:r>
    <w:bookmarkEnd w:id="27"/>
    <w:bookmarkEnd w:id="2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8F1226C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AF866F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5627D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8E813C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2ACFC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1F8742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F664E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C66E1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9CBAC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9AB89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C054C9"/>
    <w:multiLevelType w:val="hybridMultilevel"/>
    <w:tmpl w:val="C05076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AE2BEC"/>
    <w:multiLevelType w:val="multilevel"/>
    <w:tmpl w:val="6D98FC9A"/>
    <w:styleLink w:val="TableDotPointList"/>
    <w:lvl w:ilvl="0">
      <w:start w:val="1"/>
      <w:numFmt w:val="bullet"/>
      <w:pStyle w:val="tabledotpoint"/>
      <w:lvlText w:val="•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color w:val="000000" w:themeColor="text1"/>
      </w:rPr>
    </w:lvl>
    <w:lvl w:ilvl="1">
      <w:start w:val="1"/>
      <w:numFmt w:val="bullet"/>
      <w:pStyle w:val="tabledotpoint2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  <w:color w:val="000000" w:themeColor="text1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8220900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1BEB4EC5"/>
    <w:multiLevelType w:val="multilevel"/>
    <w:tmpl w:val="C42A210A"/>
    <w:lvl w:ilvl="0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color w:val="000000" w:themeColor="text1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  <w:color w:val="000000" w:themeColor="text1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1252E96"/>
    <w:multiLevelType w:val="multilevel"/>
    <w:tmpl w:val="2C983042"/>
    <w:name w:val="ExampleDotPointList"/>
    <w:lvl w:ilvl="0">
      <w:start w:val="1"/>
      <w:numFmt w:val="bullet"/>
      <w:lvlRestart w:val="0"/>
      <w:lvlText w:val="•"/>
      <w:lvlJc w:val="left"/>
      <w:pPr>
        <w:tabs>
          <w:tab w:val="num" w:pos="2268"/>
        </w:tabs>
        <w:ind w:left="2268" w:hanging="284"/>
      </w:pPr>
      <w:rPr>
        <w:b w:val="0"/>
        <w:i w:val="0"/>
        <w:color w:val="000000"/>
      </w:rPr>
    </w:lvl>
    <w:lvl w:ilvl="1">
      <w:start w:val="1"/>
      <w:numFmt w:val="bullet"/>
      <w:lvlText w:val="–"/>
      <w:lvlJc w:val="left"/>
      <w:pPr>
        <w:tabs>
          <w:tab w:val="num" w:pos="2551"/>
        </w:tabs>
        <w:ind w:left="2551" w:hanging="283"/>
      </w:pPr>
      <w:rPr>
        <w:b w:val="0"/>
        <w:i w:val="0"/>
        <w:color w:val="000000"/>
      </w:rPr>
    </w:lvl>
    <w:lvl w:ilvl="2">
      <w:start w:val="1"/>
      <w:numFmt w:val="decimal"/>
      <w:lvlText w:val="%3"/>
      <w:lvlJc w:val="left"/>
      <w:pPr>
        <w:tabs>
          <w:tab w:val="num" w:pos="1701"/>
        </w:tabs>
        <w:ind w:left="1701" w:hanging="567"/>
      </w:pPr>
      <w:rPr>
        <w:b w:val="0"/>
        <w:i w:val="0"/>
        <w:color w:val="000000"/>
      </w:r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b w:val="0"/>
        <w:i w:val="0"/>
        <w:color w:val="000000"/>
      </w:rPr>
    </w:lvl>
    <w:lvl w:ilvl="4">
      <w:start w:val="1"/>
      <w:numFmt w:val="decimal"/>
      <w:lvlText w:val="%5"/>
      <w:lvlJc w:val="left"/>
      <w:pPr>
        <w:tabs>
          <w:tab w:val="num" w:pos="2835"/>
        </w:tabs>
        <w:ind w:left="2835" w:hanging="567"/>
      </w:pPr>
      <w:rPr>
        <w:b w:val="0"/>
        <w:i w:val="0"/>
        <w:color w:val="000000"/>
      </w:rPr>
    </w:lvl>
    <w:lvl w:ilvl="5">
      <w:start w:val="1"/>
      <w:numFmt w:val="decimal"/>
      <w:lvlText w:val="%6"/>
      <w:lvlJc w:val="left"/>
      <w:pPr>
        <w:tabs>
          <w:tab w:val="num" w:pos="3402"/>
        </w:tabs>
        <w:ind w:left="3402" w:hanging="567"/>
      </w:pPr>
      <w:rPr>
        <w:b w:val="0"/>
        <w:i w:val="0"/>
        <w:color w:val="000000"/>
      </w:rPr>
    </w:lvl>
    <w:lvl w:ilvl="6">
      <w:start w:val="1"/>
      <w:numFmt w:val="decimal"/>
      <w:lvlText w:val="%7"/>
      <w:lvlJc w:val="left"/>
      <w:pPr>
        <w:tabs>
          <w:tab w:val="num" w:pos="3969"/>
        </w:tabs>
        <w:ind w:left="3969" w:hanging="567"/>
      </w:pPr>
      <w:rPr>
        <w:b w:val="0"/>
        <w:i w:val="0"/>
        <w:color w:val="000000"/>
      </w:rPr>
    </w:lvl>
    <w:lvl w:ilvl="7">
      <w:start w:val="1"/>
      <w:numFmt w:val="decimal"/>
      <w:lvlText w:val="%8"/>
      <w:lvlJc w:val="left"/>
      <w:pPr>
        <w:tabs>
          <w:tab w:val="num" w:pos="4536"/>
        </w:tabs>
        <w:ind w:left="4536" w:hanging="567"/>
      </w:pPr>
      <w:rPr>
        <w:b w:val="0"/>
        <w:i w:val="0"/>
        <w:color w:val="000000"/>
      </w:rPr>
    </w:lvl>
    <w:lvl w:ilvl="8">
      <w:start w:val="1"/>
      <w:numFmt w:val="decimal"/>
      <w:lvlText w:val="%9"/>
      <w:lvlJc w:val="left"/>
      <w:pPr>
        <w:tabs>
          <w:tab w:val="num" w:pos="5103"/>
        </w:tabs>
        <w:ind w:left="5103" w:hanging="567"/>
      </w:pPr>
      <w:rPr>
        <w:b w:val="0"/>
        <w:i w:val="0"/>
        <w:color w:val="000000"/>
      </w:rPr>
    </w:lvl>
  </w:abstractNum>
  <w:abstractNum w:abstractNumId="15" w15:restartNumberingAfterBreak="0">
    <w:nsid w:val="289229AF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382497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D714D4B"/>
    <w:multiLevelType w:val="multilevel"/>
    <w:tmpl w:val="A316FE50"/>
    <w:styleLink w:val="ChapterList"/>
    <w:lvl w:ilvl="0">
      <w:start w:val="1"/>
      <w:numFmt w:val="decimal"/>
      <w:pStyle w:val="ChapterHeading"/>
      <w:lvlText w:val="Chapter %1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85"/>
        </w:tabs>
        <w:ind w:left="1134" w:firstLine="0"/>
      </w:pPr>
      <w:rPr>
        <w:rFonts w:hint="default"/>
      </w:rPr>
    </w:lvl>
    <w:lvl w:ilvl="2">
      <w:start w:val="1"/>
      <w:numFmt w:val="decimal"/>
      <w:lvlRestart w:val="1"/>
      <w:pStyle w:val="Diagram"/>
      <w:suff w:val="nothing"/>
      <w:lvlText w:val="Diagram %1.%3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lvlRestart w:val="1"/>
      <w:pStyle w:val="ExampleHeading"/>
      <w:suff w:val="nothing"/>
      <w:lvlText w:val="Example %1.%4"/>
      <w:lvlJc w:val="left"/>
      <w:pPr>
        <w:ind w:left="1134" w:firstLine="0"/>
      </w:pPr>
      <w:rPr>
        <w:rFonts w:hint="default"/>
      </w:rPr>
    </w:lvl>
    <w:lvl w:ilvl="4">
      <w:start w:val="1"/>
      <w:numFmt w:val="decimal"/>
      <w:lvlRestart w:val="1"/>
      <w:pStyle w:val="TableHeadingoutsidetable"/>
      <w:suff w:val="nothing"/>
      <w:lvlText w:val="Table %1.%5"/>
      <w:lvlJc w:val="left"/>
      <w:pPr>
        <w:ind w:left="113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F950960"/>
    <w:multiLevelType w:val="multilevel"/>
    <w:tmpl w:val="AD1C7528"/>
    <w:name w:val="DotPointList"/>
    <w:lvl w:ilvl="0">
      <w:start w:val="1"/>
      <w:numFmt w:val="bullet"/>
      <w:lvlRestart w:val="0"/>
      <w:pStyle w:val="dotpoint"/>
      <w:lvlText w:val="•"/>
      <w:lvlJc w:val="left"/>
      <w:pPr>
        <w:tabs>
          <w:tab w:val="num" w:pos="2268"/>
        </w:tabs>
        <w:ind w:left="2268" w:hanging="284"/>
      </w:pPr>
      <w:rPr>
        <w:b w:val="0"/>
        <w:i w:val="0"/>
        <w:color w:val="000000"/>
      </w:rPr>
    </w:lvl>
    <w:lvl w:ilvl="1">
      <w:start w:val="1"/>
      <w:numFmt w:val="bullet"/>
      <w:lvlText w:val="–"/>
      <w:lvlJc w:val="left"/>
      <w:pPr>
        <w:tabs>
          <w:tab w:val="num" w:pos="2551"/>
        </w:tabs>
        <w:ind w:left="2551" w:hanging="283"/>
      </w:pPr>
      <w:rPr>
        <w:b w:val="0"/>
        <w:i w:val="0"/>
        <w:color w:val="000000"/>
      </w:rPr>
    </w:lvl>
    <w:lvl w:ilvl="2">
      <w:start w:val="1"/>
      <w:numFmt w:val="decimal"/>
      <w:lvlText w:val="%3"/>
      <w:lvlJc w:val="left"/>
      <w:pPr>
        <w:tabs>
          <w:tab w:val="num" w:pos="1701"/>
        </w:tabs>
        <w:ind w:left="1701" w:hanging="567"/>
      </w:pPr>
      <w:rPr>
        <w:b w:val="0"/>
        <w:i w:val="0"/>
        <w:color w:val="000000"/>
      </w:r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b w:val="0"/>
        <w:i w:val="0"/>
        <w:color w:val="000000"/>
      </w:rPr>
    </w:lvl>
    <w:lvl w:ilvl="4">
      <w:start w:val="1"/>
      <w:numFmt w:val="decimal"/>
      <w:lvlText w:val="%5"/>
      <w:lvlJc w:val="left"/>
      <w:pPr>
        <w:tabs>
          <w:tab w:val="num" w:pos="2835"/>
        </w:tabs>
        <w:ind w:left="2835" w:hanging="567"/>
      </w:pPr>
      <w:rPr>
        <w:b w:val="0"/>
        <w:i w:val="0"/>
        <w:color w:val="000000"/>
      </w:rPr>
    </w:lvl>
    <w:lvl w:ilvl="5">
      <w:start w:val="1"/>
      <w:numFmt w:val="decimal"/>
      <w:lvlText w:val="%6"/>
      <w:lvlJc w:val="left"/>
      <w:pPr>
        <w:tabs>
          <w:tab w:val="num" w:pos="3402"/>
        </w:tabs>
        <w:ind w:left="3402" w:hanging="567"/>
      </w:pPr>
      <w:rPr>
        <w:b w:val="0"/>
        <w:i w:val="0"/>
        <w:color w:val="000000"/>
      </w:rPr>
    </w:lvl>
    <w:lvl w:ilvl="6">
      <w:start w:val="1"/>
      <w:numFmt w:val="decimal"/>
      <w:lvlText w:val="%7"/>
      <w:lvlJc w:val="left"/>
      <w:pPr>
        <w:tabs>
          <w:tab w:val="num" w:pos="3969"/>
        </w:tabs>
        <w:ind w:left="3969" w:hanging="567"/>
      </w:pPr>
      <w:rPr>
        <w:b w:val="0"/>
        <w:i w:val="0"/>
        <w:color w:val="000000"/>
      </w:rPr>
    </w:lvl>
    <w:lvl w:ilvl="7">
      <w:start w:val="1"/>
      <w:numFmt w:val="decimal"/>
      <w:lvlText w:val="%8"/>
      <w:lvlJc w:val="left"/>
      <w:pPr>
        <w:tabs>
          <w:tab w:val="num" w:pos="4536"/>
        </w:tabs>
        <w:ind w:left="4536" w:hanging="567"/>
      </w:pPr>
      <w:rPr>
        <w:b w:val="0"/>
        <w:i w:val="0"/>
        <w:color w:val="000000"/>
      </w:rPr>
    </w:lvl>
    <w:lvl w:ilvl="8">
      <w:start w:val="1"/>
      <w:numFmt w:val="decimal"/>
      <w:lvlText w:val="%9"/>
      <w:lvlJc w:val="left"/>
      <w:pPr>
        <w:tabs>
          <w:tab w:val="num" w:pos="5103"/>
        </w:tabs>
        <w:ind w:left="5103" w:hanging="567"/>
      </w:pPr>
      <w:rPr>
        <w:b w:val="0"/>
        <w:i w:val="0"/>
        <w:color w:val="000000"/>
      </w:rPr>
    </w:lvl>
  </w:abstractNum>
  <w:abstractNum w:abstractNumId="19" w15:restartNumberingAfterBreak="0">
    <w:nsid w:val="40611ABD"/>
    <w:multiLevelType w:val="hybridMultilevel"/>
    <w:tmpl w:val="E8EC3E12"/>
    <w:lvl w:ilvl="0" w:tplc="FE22EB5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8D416D"/>
    <w:multiLevelType w:val="multilevel"/>
    <w:tmpl w:val="34AAEAB6"/>
    <w:styleLink w:val="DotPointList"/>
    <w:lvl w:ilvl="0">
      <w:start w:val="1"/>
      <w:numFmt w:val="bullet"/>
      <w:lvlText w:val="•"/>
      <w:lvlJc w:val="left"/>
      <w:pPr>
        <w:tabs>
          <w:tab w:val="num" w:pos="2268"/>
        </w:tabs>
        <w:ind w:left="2268" w:hanging="283"/>
      </w:pPr>
      <w:rPr>
        <w:rFonts w:ascii="Times New Roman" w:hAnsi="Times New Roman" w:cs="Times New Roman" w:hint="default"/>
        <w:color w:val="000000" w:themeColor="text1"/>
      </w:rPr>
    </w:lvl>
    <w:lvl w:ilvl="1">
      <w:start w:val="1"/>
      <w:numFmt w:val="bullet"/>
      <w:pStyle w:val="dotpoint2"/>
      <w:lvlText w:val="–"/>
      <w:lvlJc w:val="left"/>
      <w:pPr>
        <w:tabs>
          <w:tab w:val="num" w:pos="2552"/>
        </w:tabs>
        <w:ind w:left="2552" w:hanging="284"/>
      </w:pPr>
      <w:rPr>
        <w:rFonts w:ascii="Times New Roman" w:hAnsi="Times New Roman" w:cs="Times New Roman" w:hint="default"/>
        <w:color w:val="000000" w:themeColor="text1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D795738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EF53485"/>
    <w:multiLevelType w:val="multilevel"/>
    <w:tmpl w:val="148465C2"/>
    <w:styleLink w:val="ExampleDotPointList"/>
    <w:lvl w:ilvl="0">
      <w:start w:val="1"/>
      <w:numFmt w:val="bullet"/>
      <w:pStyle w:val="exampledotpoint1"/>
      <w:lvlText w:val="•"/>
      <w:lvlJc w:val="left"/>
      <w:pPr>
        <w:tabs>
          <w:tab w:val="num" w:pos="2268"/>
        </w:tabs>
        <w:ind w:left="2268" w:hanging="283"/>
      </w:pPr>
      <w:rPr>
        <w:rFonts w:ascii="Times New Roman" w:hAnsi="Times New Roman" w:cs="Times New Roman" w:hint="default"/>
        <w:color w:val="000000" w:themeColor="text1"/>
      </w:rPr>
    </w:lvl>
    <w:lvl w:ilvl="1">
      <w:start w:val="1"/>
      <w:numFmt w:val="bullet"/>
      <w:pStyle w:val="exampledotpoint2"/>
      <w:lvlText w:val="–"/>
      <w:lvlJc w:val="left"/>
      <w:pPr>
        <w:tabs>
          <w:tab w:val="num" w:pos="2552"/>
        </w:tabs>
        <w:ind w:left="2552" w:hanging="284"/>
      </w:pPr>
      <w:rPr>
        <w:rFonts w:ascii="Times New Roman" w:hAnsi="Times New Roman" w:cs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5DF6494"/>
    <w:multiLevelType w:val="multilevel"/>
    <w:tmpl w:val="A316FE50"/>
    <w:numStyleLink w:val="ChapterList"/>
  </w:abstractNum>
  <w:abstractNum w:abstractNumId="24" w15:restartNumberingAfterBreak="0">
    <w:nsid w:val="75FC0FE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7C8C5E81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6"/>
  </w:num>
  <w:num w:numId="2">
    <w:abstractNumId w:val="12"/>
  </w:num>
  <w:num w:numId="3">
    <w:abstractNumId w:val="15"/>
  </w:num>
  <w:num w:numId="4">
    <w:abstractNumId w:val="24"/>
  </w:num>
  <w:num w:numId="5">
    <w:abstractNumId w:val="21"/>
  </w:num>
  <w:num w:numId="6">
    <w:abstractNumId w:val="25"/>
  </w:num>
  <w:num w:numId="7">
    <w:abstractNumId w:val="23"/>
    <w:lvlOverride w:ilvl="0">
      <w:lvl w:ilvl="0">
        <w:start w:val="1"/>
        <w:numFmt w:val="decimal"/>
        <w:lvlText w:val="Chapter %1"/>
        <w:lvlJc w:val="left"/>
        <w:pPr>
          <w:tabs>
            <w:tab w:val="num" w:pos="1134"/>
          </w:tabs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Restart w:val="1"/>
        <w:suff w:val="nothing"/>
        <w:lvlText w:val="Diagram %1.%3"/>
        <w:lvlJc w:val="left"/>
        <w:pPr>
          <w:ind w:left="1134" w:firstLine="0"/>
        </w:pPr>
        <w:rPr>
          <w:rFonts w:ascii="Times New Roman" w:hAnsi="Times New Roman" w:cs="Times New Roman"/>
          <w:b/>
          <w:bCs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Restart w:val="1"/>
        <w:suff w:val="nothing"/>
        <w:lvlText w:val="Example %1.%4"/>
        <w:lvlJc w:val="left"/>
        <w:pPr>
          <w:ind w:left="1134" w:firstLine="0"/>
        </w:pPr>
        <w:rPr>
          <w:rFonts w:ascii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8">
    <w:abstractNumId w:val="23"/>
    <w:lvlOverride w:ilvl="2">
      <w:lvl w:ilvl="2">
        <w:start w:val="1"/>
        <w:numFmt w:val="decimal"/>
        <w:lvlRestart w:val="1"/>
        <w:suff w:val="nothing"/>
        <w:lvlText w:val="Diagram %1.%3"/>
        <w:lvlJc w:val="left"/>
        <w:pPr>
          <w:ind w:left="1134" w:firstLine="0"/>
        </w:pPr>
        <w:rPr>
          <w:rFonts w:ascii="Times New Roman" w:hAnsi="Times New Roman" w:cs="Times New Roman"/>
          <w:b/>
          <w:bCs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Restart w:val="1"/>
        <w:suff w:val="nothing"/>
        <w:lvlText w:val="Example %1.%4"/>
        <w:lvlJc w:val="left"/>
        <w:pPr>
          <w:ind w:left="1134" w:firstLine="0"/>
        </w:pPr>
        <w:rPr>
          <w:rFonts w:ascii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9">
    <w:abstractNumId w:val="17"/>
  </w:num>
  <w:num w:numId="10">
    <w:abstractNumId w:val="23"/>
    <w:lvlOverride w:ilvl="2">
      <w:lvl w:ilvl="2">
        <w:start w:val="1"/>
        <w:numFmt w:val="decimal"/>
        <w:lvlRestart w:val="1"/>
        <w:suff w:val="nothing"/>
        <w:lvlText w:val="Diagram %1.%3"/>
        <w:lvlJc w:val="left"/>
        <w:pPr>
          <w:ind w:left="1134" w:firstLine="0"/>
        </w:pPr>
        <w:rPr>
          <w:rFonts w:ascii="Times New Roman" w:hAnsi="Times New Roman" w:cs="Times New Roman"/>
          <w:b/>
          <w:bCs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Restart w:val="1"/>
        <w:suff w:val="nothing"/>
        <w:lvlText w:val="Example %1.%4"/>
        <w:lvlJc w:val="left"/>
        <w:pPr>
          <w:ind w:left="1134" w:firstLine="0"/>
        </w:pPr>
        <w:rPr>
          <w:rFonts w:ascii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11">
    <w:abstractNumId w:val="18"/>
  </w:num>
  <w:num w:numId="12">
    <w:abstractNumId w:val="20"/>
  </w:num>
  <w:num w:numId="13">
    <w:abstractNumId w:val="22"/>
  </w:num>
  <w:num w:numId="14">
    <w:abstractNumId w:val="23"/>
    <w:lvlOverride w:ilvl="2">
      <w:lvl w:ilvl="2">
        <w:start w:val="1"/>
        <w:numFmt w:val="decimal"/>
        <w:lvlRestart w:val="1"/>
        <w:suff w:val="nothing"/>
        <w:lvlText w:val="Diagram %1.%3"/>
        <w:lvlJc w:val="left"/>
        <w:pPr>
          <w:ind w:left="1134" w:firstLine="0"/>
        </w:pPr>
        <w:rPr>
          <w:rFonts w:ascii="Times New Roman" w:hAnsi="Times New Roman" w:cs="Times New Roman"/>
          <w:b/>
          <w:bCs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Restart w:val="1"/>
        <w:suff w:val="nothing"/>
        <w:lvlText w:val="Example %1.%4"/>
        <w:lvlJc w:val="left"/>
        <w:pPr>
          <w:ind w:left="1134" w:firstLine="0"/>
        </w:pPr>
        <w:rPr>
          <w:rFonts w:ascii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13"/>
  </w:num>
  <w:num w:numId="26">
    <w:abstractNumId w:val="11"/>
  </w:num>
  <w:num w:numId="27">
    <w:abstractNumId w:val="23"/>
    <w:lvlOverride w:ilvl="2">
      <w:lvl w:ilvl="2">
        <w:start w:val="1"/>
        <w:numFmt w:val="decimal"/>
        <w:lvlRestart w:val="1"/>
        <w:suff w:val="nothing"/>
        <w:lvlText w:val="Diagram %1.%3"/>
        <w:lvlJc w:val="left"/>
        <w:pPr>
          <w:ind w:left="1134" w:firstLine="0"/>
        </w:pPr>
        <w:rPr>
          <w:rFonts w:ascii="Times New Roman" w:hAnsi="Times New Roman" w:cs="Times New Roman"/>
          <w:b/>
          <w:bCs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Restart w:val="1"/>
        <w:suff w:val="nothing"/>
        <w:lvlText w:val="Example %1.%4"/>
        <w:lvlJc w:val="left"/>
        <w:pPr>
          <w:ind w:left="1134" w:firstLine="0"/>
        </w:pPr>
        <w:rPr>
          <w:rFonts w:ascii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28">
    <w:abstractNumId w:val="14"/>
  </w:num>
  <w:num w:numId="29">
    <w:abstractNumId w:val="23"/>
  </w:num>
  <w:num w:numId="30">
    <w:abstractNumId w:val="10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proofState w:spelling="clean" w:grammar="clean"/>
  <w:defaultTabStop w:val="720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19C"/>
    <w:rsid w:val="00005FD9"/>
    <w:rsid w:val="000152F5"/>
    <w:rsid w:val="000169A7"/>
    <w:rsid w:val="000175EB"/>
    <w:rsid w:val="000421E8"/>
    <w:rsid w:val="000447BA"/>
    <w:rsid w:val="00044BE3"/>
    <w:rsid w:val="00051DEF"/>
    <w:rsid w:val="00054CC8"/>
    <w:rsid w:val="000554ED"/>
    <w:rsid w:val="00065A38"/>
    <w:rsid w:val="00072E82"/>
    <w:rsid w:val="00093CF7"/>
    <w:rsid w:val="000A5D80"/>
    <w:rsid w:val="000C6155"/>
    <w:rsid w:val="000D0813"/>
    <w:rsid w:val="000D3D2F"/>
    <w:rsid w:val="000E14A1"/>
    <w:rsid w:val="000E390F"/>
    <w:rsid w:val="00102523"/>
    <w:rsid w:val="001113BF"/>
    <w:rsid w:val="0011225D"/>
    <w:rsid w:val="00125769"/>
    <w:rsid w:val="00134999"/>
    <w:rsid w:val="00137569"/>
    <w:rsid w:val="001408DB"/>
    <w:rsid w:val="00152E50"/>
    <w:rsid w:val="00155EFE"/>
    <w:rsid w:val="0015643F"/>
    <w:rsid w:val="00163E77"/>
    <w:rsid w:val="0017263F"/>
    <w:rsid w:val="00176102"/>
    <w:rsid w:val="00177402"/>
    <w:rsid w:val="00190BBC"/>
    <w:rsid w:val="001A5D0C"/>
    <w:rsid w:val="001B42E6"/>
    <w:rsid w:val="001B5A39"/>
    <w:rsid w:val="001B5BE6"/>
    <w:rsid w:val="001C0CA8"/>
    <w:rsid w:val="001C3D96"/>
    <w:rsid w:val="001C4688"/>
    <w:rsid w:val="001C4F11"/>
    <w:rsid w:val="001D06DF"/>
    <w:rsid w:val="001D0EFD"/>
    <w:rsid w:val="001E3828"/>
    <w:rsid w:val="001E496A"/>
    <w:rsid w:val="001E712F"/>
    <w:rsid w:val="001F4236"/>
    <w:rsid w:val="001F7822"/>
    <w:rsid w:val="00201C00"/>
    <w:rsid w:val="00203149"/>
    <w:rsid w:val="0021349F"/>
    <w:rsid w:val="00214EEC"/>
    <w:rsid w:val="00215308"/>
    <w:rsid w:val="00215F96"/>
    <w:rsid w:val="00220B64"/>
    <w:rsid w:val="002235C2"/>
    <w:rsid w:val="00232F6A"/>
    <w:rsid w:val="002441D0"/>
    <w:rsid w:val="00252093"/>
    <w:rsid w:val="00262E95"/>
    <w:rsid w:val="0026433B"/>
    <w:rsid w:val="00276429"/>
    <w:rsid w:val="00283279"/>
    <w:rsid w:val="002A0543"/>
    <w:rsid w:val="002A7447"/>
    <w:rsid w:val="002B4FAE"/>
    <w:rsid w:val="002B68F0"/>
    <w:rsid w:val="002D4889"/>
    <w:rsid w:val="002D6629"/>
    <w:rsid w:val="002E0E9C"/>
    <w:rsid w:val="002E5414"/>
    <w:rsid w:val="002E7F95"/>
    <w:rsid w:val="002F06FF"/>
    <w:rsid w:val="0030634C"/>
    <w:rsid w:val="00326F24"/>
    <w:rsid w:val="00335A64"/>
    <w:rsid w:val="00342CBD"/>
    <w:rsid w:val="00343E7F"/>
    <w:rsid w:val="00347446"/>
    <w:rsid w:val="00370C00"/>
    <w:rsid w:val="003714D7"/>
    <w:rsid w:val="0037685F"/>
    <w:rsid w:val="0037736D"/>
    <w:rsid w:val="0038658B"/>
    <w:rsid w:val="00396CE7"/>
    <w:rsid w:val="003A62CA"/>
    <w:rsid w:val="003B2616"/>
    <w:rsid w:val="003B5F84"/>
    <w:rsid w:val="003B73AC"/>
    <w:rsid w:val="003C1941"/>
    <w:rsid w:val="003D5A57"/>
    <w:rsid w:val="003F60EE"/>
    <w:rsid w:val="003F6639"/>
    <w:rsid w:val="003F75DC"/>
    <w:rsid w:val="00410920"/>
    <w:rsid w:val="004138BA"/>
    <w:rsid w:val="00420AB6"/>
    <w:rsid w:val="00424398"/>
    <w:rsid w:val="00426B1E"/>
    <w:rsid w:val="004303AB"/>
    <w:rsid w:val="0045182C"/>
    <w:rsid w:val="00453F1C"/>
    <w:rsid w:val="00472EC0"/>
    <w:rsid w:val="0048423C"/>
    <w:rsid w:val="00486BFE"/>
    <w:rsid w:val="0049055F"/>
    <w:rsid w:val="00492D55"/>
    <w:rsid w:val="004C00E3"/>
    <w:rsid w:val="004C659F"/>
    <w:rsid w:val="004E065F"/>
    <w:rsid w:val="0050468A"/>
    <w:rsid w:val="005069E6"/>
    <w:rsid w:val="00510BF7"/>
    <w:rsid w:val="0051509F"/>
    <w:rsid w:val="00532A45"/>
    <w:rsid w:val="00533B40"/>
    <w:rsid w:val="0054218A"/>
    <w:rsid w:val="00547144"/>
    <w:rsid w:val="00552272"/>
    <w:rsid w:val="0056302C"/>
    <w:rsid w:val="00563BA0"/>
    <w:rsid w:val="00564ED0"/>
    <w:rsid w:val="00572478"/>
    <w:rsid w:val="00573EED"/>
    <w:rsid w:val="005806F8"/>
    <w:rsid w:val="00586A2C"/>
    <w:rsid w:val="00593D61"/>
    <w:rsid w:val="005A12BB"/>
    <w:rsid w:val="005A3064"/>
    <w:rsid w:val="005B7F05"/>
    <w:rsid w:val="005C1D2E"/>
    <w:rsid w:val="005D1991"/>
    <w:rsid w:val="005D2EF0"/>
    <w:rsid w:val="005E2EA9"/>
    <w:rsid w:val="005E3DF0"/>
    <w:rsid w:val="005E64D8"/>
    <w:rsid w:val="005F00D2"/>
    <w:rsid w:val="005F02D4"/>
    <w:rsid w:val="005F669E"/>
    <w:rsid w:val="00603A76"/>
    <w:rsid w:val="00604329"/>
    <w:rsid w:val="00613DD2"/>
    <w:rsid w:val="006234AD"/>
    <w:rsid w:val="006254B5"/>
    <w:rsid w:val="00637D95"/>
    <w:rsid w:val="00642E3B"/>
    <w:rsid w:val="00644385"/>
    <w:rsid w:val="00647F2D"/>
    <w:rsid w:val="00657EB2"/>
    <w:rsid w:val="00674681"/>
    <w:rsid w:val="00682830"/>
    <w:rsid w:val="006A41DD"/>
    <w:rsid w:val="006B4B43"/>
    <w:rsid w:val="006C3712"/>
    <w:rsid w:val="006D0877"/>
    <w:rsid w:val="006D5421"/>
    <w:rsid w:val="006D65AB"/>
    <w:rsid w:val="00700B91"/>
    <w:rsid w:val="00701CDD"/>
    <w:rsid w:val="00702901"/>
    <w:rsid w:val="007117FB"/>
    <w:rsid w:val="007122E6"/>
    <w:rsid w:val="00715137"/>
    <w:rsid w:val="00717DE8"/>
    <w:rsid w:val="0072145F"/>
    <w:rsid w:val="00731E8B"/>
    <w:rsid w:val="007369E7"/>
    <w:rsid w:val="00737874"/>
    <w:rsid w:val="00737A94"/>
    <w:rsid w:val="00741A8E"/>
    <w:rsid w:val="00777328"/>
    <w:rsid w:val="007851F7"/>
    <w:rsid w:val="007858E6"/>
    <w:rsid w:val="00794054"/>
    <w:rsid w:val="007A239E"/>
    <w:rsid w:val="007A3520"/>
    <w:rsid w:val="007A7764"/>
    <w:rsid w:val="007B05C9"/>
    <w:rsid w:val="007C1AEB"/>
    <w:rsid w:val="007D1DF3"/>
    <w:rsid w:val="007D3578"/>
    <w:rsid w:val="007D4D45"/>
    <w:rsid w:val="007E2F57"/>
    <w:rsid w:val="007F032E"/>
    <w:rsid w:val="007F1511"/>
    <w:rsid w:val="007F1779"/>
    <w:rsid w:val="007F2A9F"/>
    <w:rsid w:val="007F7975"/>
    <w:rsid w:val="00804B4D"/>
    <w:rsid w:val="00805989"/>
    <w:rsid w:val="00822BEA"/>
    <w:rsid w:val="00827845"/>
    <w:rsid w:val="0083018C"/>
    <w:rsid w:val="00831E84"/>
    <w:rsid w:val="00834D1C"/>
    <w:rsid w:val="00837EB8"/>
    <w:rsid w:val="00843E8B"/>
    <w:rsid w:val="00862256"/>
    <w:rsid w:val="008635A6"/>
    <w:rsid w:val="008707B6"/>
    <w:rsid w:val="008724AF"/>
    <w:rsid w:val="0087566E"/>
    <w:rsid w:val="00883092"/>
    <w:rsid w:val="00885945"/>
    <w:rsid w:val="008A0946"/>
    <w:rsid w:val="008B7A78"/>
    <w:rsid w:val="008C0012"/>
    <w:rsid w:val="008C00E3"/>
    <w:rsid w:val="008D3207"/>
    <w:rsid w:val="008D365C"/>
    <w:rsid w:val="008E1BF3"/>
    <w:rsid w:val="008E6B7E"/>
    <w:rsid w:val="008F6907"/>
    <w:rsid w:val="00900AAF"/>
    <w:rsid w:val="00901F40"/>
    <w:rsid w:val="00920853"/>
    <w:rsid w:val="00921D2A"/>
    <w:rsid w:val="00926BAB"/>
    <w:rsid w:val="00937076"/>
    <w:rsid w:val="00937137"/>
    <w:rsid w:val="00945EF1"/>
    <w:rsid w:val="009525C3"/>
    <w:rsid w:val="00956C6C"/>
    <w:rsid w:val="00973DA1"/>
    <w:rsid w:val="00987911"/>
    <w:rsid w:val="00987FDF"/>
    <w:rsid w:val="00990AA1"/>
    <w:rsid w:val="00995521"/>
    <w:rsid w:val="009A709F"/>
    <w:rsid w:val="009C0087"/>
    <w:rsid w:val="009C5140"/>
    <w:rsid w:val="009C7B5E"/>
    <w:rsid w:val="009D07C6"/>
    <w:rsid w:val="009F20F2"/>
    <w:rsid w:val="009F50EE"/>
    <w:rsid w:val="009F5EC7"/>
    <w:rsid w:val="009F6C23"/>
    <w:rsid w:val="00A00C6C"/>
    <w:rsid w:val="00A25CBF"/>
    <w:rsid w:val="00A335B4"/>
    <w:rsid w:val="00A357B6"/>
    <w:rsid w:val="00A415BF"/>
    <w:rsid w:val="00A46ACA"/>
    <w:rsid w:val="00A609B7"/>
    <w:rsid w:val="00A65372"/>
    <w:rsid w:val="00A81CA4"/>
    <w:rsid w:val="00A842B6"/>
    <w:rsid w:val="00A87EF3"/>
    <w:rsid w:val="00A919C1"/>
    <w:rsid w:val="00A93A9D"/>
    <w:rsid w:val="00AA4E14"/>
    <w:rsid w:val="00AB20F6"/>
    <w:rsid w:val="00AB56CD"/>
    <w:rsid w:val="00AC7A6A"/>
    <w:rsid w:val="00AD2729"/>
    <w:rsid w:val="00AE17B0"/>
    <w:rsid w:val="00AE5B74"/>
    <w:rsid w:val="00AF1C40"/>
    <w:rsid w:val="00AF7E43"/>
    <w:rsid w:val="00B0019C"/>
    <w:rsid w:val="00B014A7"/>
    <w:rsid w:val="00B02B24"/>
    <w:rsid w:val="00B0481F"/>
    <w:rsid w:val="00B1014A"/>
    <w:rsid w:val="00B101C2"/>
    <w:rsid w:val="00B215A6"/>
    <w:rsid w:val="00B25A07"/>
    <w:rsid w:val="00B278D0"/>
    <w:rsid w:val="00B30492"/>
    <w:rsid w:val="00B359FE"/>
    <w:rsid w:val="00B36848"/>
    <w:rsid w:val="00B5350A"/>
    <w:rsid w:val="00B61F5B"/>
    <w:rsid w:val="00B73F87"/>
    <w:rsid w:val="00B76E9C"/>
    <w:rsid w:val="00B77949"/>
    <w:rsid w:val="00B80868"/>
    <w:rsid w:val="00B8420A"/>
    <w:rsid w:val="00B856B7"/>
    <w:rsid w:val="00B93F91"/>
    <w:rsid w:val="00BC4A39"/>
    <w:rsid w:val="00BD2978"/>
    <w:rsid w:val="00BD5AD7"/>
    <w:rsid w:val="00BF0247"/>
    <w:rsid w:val="00C053AD"/>
    <w:rsid w:val="00C05C10"/>
    <w:rsid w:val="00C0642D"/>
    <w:rsid w:val="00C10AAF"/>
    <w:rsid w:val="00C2534A"/>
    <w:rsid w:val="00C300DA"/>
    <w:rsid w:val="00C30D80"/>
    <w:rsid w:val="00C33FD2"/>
    <w:rsid w:val="00C3452B"/>
    <w:rsid w:val="00C36909"/>
    <w:rsid w:val="00C37828"/>
    <w:rsid w:val="00C46C07"/>
    <w:rsid w:val="00C5698C"/>
    <w:rsid w:val="00C56E93"/>
    <w:rsid w:val="00C61E47"/>
    <w:rsid w:val="00C72D63"/>
    <w:rsid w:val="00C74018"/>
    <w:rsid w:val="00C80709"/>
    <w:rsid w:val="00C9209D"/>
    <w:rsid w:val="00C9500F"/>
    <w:rsid w:val="00CB469B"/>
    <w:rsid w:val="00CB53E0"/>
    <w:rsid w:val="00CF5050"/>
    <w:rsid w:val="00CF6DB7"/>
    <w:rsid w:val="00D01462"/>
    <w:rsid w:val="00D13FE1"/>
    <w:rsid w:val="00D223E2"/>
    <w:rsid w:val="00D252EC"/>
    <w:rsid w:val="00D42423"/>
    <w:rsid w:val="00D47AE1"/>
    <w:rsid w:val="00D52B99"/>
    <w:rsid w:val="00D5714F"/>
    <w:rsid w:val="00D571AB"/>
    <w:rsid w:val="00D660DC"/>
    <w:rsid w:val="00D740CA"/>
    <w:rsid w:val="00D74818"/>
    <w:rsid w:val="00D854CC"/>
    <w:rsid w:val="00D90A3F"/>
    <w:rsid w:val="00D92BD8"/>
    <w:rsid w:val="00D969D3"/>
    <w:rsid w:val="00DA2F14"/>
    <w:rsid w:val="00DB454F"/>
    <w:rsid w:val="00DC465A"/>
    <w:rsid w:val="00DC6CD9"/>
    <w:rsid w:val="00DD6EC2"/>
    <w:rsid w:val="00DE3D15"/>
    <w:rsid w:val="00DE3D6E"/>
    <w:rsid w:val="00DF45EF"/>
    <w:rsid w:val="00DF5D2C"/>
    <w:rsid w:val="00E119D6"/>
    <w:rsid w:val="00E16778"/>
    <w:rsid w:val="00E43E12"/>
    <w:rsid w:val="00E62155"/>
    <w:rsid w:val="00E64DC2"/>
    <w:rsid w:val="00E708F3"/>
    <w:rsid w:val="00E720A3"/>
    <w:rsid w:val="00E73FDE"/>
    <w:rsid w:val="00E96290"/>
    <w:rsid w:val="00E965F4"/>
    <w:rsid w:val="00EA0477"/>
    <w:rsid w:val="00EA358C"/>
    <w:rsid w:val="00EB500F"/>
    <w:rsid w:val="00EC0CC3"/>
    <w:rsid w:val="00EC1B28"/>
    <w:rsid w:val="00EC3C2C"/>
    <w:rsid w:val="00EC58CA"/>
    <w:rsid w:val="00EE04A4"/>
    <w:rsid w:val="00EF1648"/>
    <w:rsid w:val="00F02136"/>
    <w:rsid w:val="00F03EA9"/>
    <w:rsid w:val="00F048A9"/>
    <w:rsid w:val="00F125EF"/>
    <w:rsid w:val="00F20846"/>
    <w:rsid w:val="00F23D98"/>
    <w:rsid w:val="00F23F78"/>
    <w:rsid w:val="00F26D5D"/>
    <w:rsid w:val="00F34370"/>
    <w:rsid w:val="00F4223A"/>
    <w:rsid w:val="00F43C52"/>
    <w:rsid w:val="00F543C6"/>
    <w:rsid w:val="00F56ABA"/>
    <w:rsid w:val="00F57B5A"/>
    <w:rsid w:val="00F65A3D"/>
    <w:rsid w:val="00F73A49"/>
    <w:rsid w:val="00F84E2A"/>
    <w:rsid w:val="00F85A77"/>
    <w:rsid w:val="00F87C9C"/>
    <w:rsid w:val="00F92918"/>
    <w:rsid w:val="00F92925"/>
    <w:rsid w:val="00F92BDD"/>
    <w:rsid w:val="00F9305B"/>
    <w:rsid w:val="00F9466A"/>
    <w:rsid w:val="00FA51BB"/>
    <w:rsid w:val="00FB0461"/>
    <w:rsid w:val="00FB128D"/>
    <w:rsid w:val="00FB2174"/>
    <w:rsid w:val="00FB50FF"/>
    <w:rsid w:val="00FC08F1"/>
    <w:rsid w:val="00FC7543"/>
    <w:rsid w:val="00FD0D1E"/>
    <w:rsid w:val="00FD6AA2"/>
    <w:rsid w:val="00FE167F"/>
    <w:rsid w:val="00FE5F54"/>
    <w:rsid w:val="00FE72C7"/>
    <w:rsid w:val="00FF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E4426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452B"/>
    <w:pPr>
      <w:spacing w:before="120" w:after="120" w:line="240" w:lineRule="auto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Heading1">
    <w:name w:val="heading 1"/>
    <w:basedOn w:val="Normal"/>
    <w:next w:val="base-text-paragraph"/>
    <w:link w:val="Heading1Char"/>
    <w:qFormat/>
    <w:rsid w:val="00C3452B"/>
    <w:pPr>
      <w:keepNext/>
      <w:spacing w:before="720"/>
      <w:outlineLvl w:val="0"/>
    </w:pPr>
    <w:rPr>
      <w:rFonts w:ascii="Helvetica" w:hAnsi="Helvetica"/>
      <w:b/>
      <w:caps/>
      <w:sz w:val="28"/>
    </w:rPr>
  </w:style>
  <w:style w:type="paragraph" w:styleId="Heading2">
    <w:name w:val="heading 2"/>
    <w:basedOn w:val="Heading1"/>
    <w:next w:val="base-text-paragraph"/>
    <w:link w:val="Heading2Char"/>
    <w:qFormat/>
    <w:rsid w:val="00C3452B"/>
    <w:pPr>
      <w:spacing w:before="480" w:after="200"/>
      <w:outlineLvl w:val="1"/>
    </w:pPr>
    <w:rPr>
      <w:caps w:val="0"/>
      <w:sz w:val="26"/>
    </w:rPr>
  </w:style>
  <w:style w:type="paragraph" w:styleId="Heading3">
    <w:name w:val="heading 3"/>
    <w:basedOn w:val="Heading2"/>
    <w:next w:val="base-text-paragraph"/>
    <w:link w:val="Heading3Char"/>
    <w:qFormat/>
    <w:rsid w:val="00C3452B"/>
    <w:pPr>
      <w:spacing w:before="240"/>
      <w:outlineLvl w:val="2"/>
    </w:pPr>
    <w:rPr>
      <w:sz w:val="22"/>
    </w:rPr>
  </w:style>
  <w:style w:type="paragraph" w:styleId="Heading4">
    <w:name w:val="heading 4"/>
    <w:basedOn w:val="Heading3"/>
    <w:next w:val="base-text-paragraph"/>
    <w:link w:val="Heading4Char"/>
    <w:qFormat/>
    <w:rsid w:val="00C3452B"/>
    <w:pPr>
      <w:spacing w:before="120"/>
      <w:ind w:left="1134"/>
      <w:outlineLvl w:val="3"/>
    </w:pPr>
    <w:rPr>
      <w:rFonts w:ascii="Times New Roman" w:hAnsi="Times New Roman"/>
      <w:i/>
    </w:rPr>
  </w:style>
  <w:style w:type="paragraph" w:styleId="Heading5">
    <w:name w:val="heading 5"/>
    <w:basedOn w:val="Heading4"/>
    <w:next w:val="base-text-paragraph"/>
    <w:link w:val="Heading5Char"/>
    <w:qFormat/>
    <w:rsid w:val="00C3452B"/>
    <w:pPr>
      <w:spacing w:after="60"/>
      <w:outlineLvl w:val="4"/>
    </w:pPr>
    <w:rPr>
      <w:b w:val="0"/>
      <w:bCs/>
      <w:iCs/>
      <w:szCs w:val="26"/>
    </w:rPr>
  </w:style>
  <w:style w:type="paragraph" w:styleId="Heading6">
    <w:name w:val="heading 6"/>
    <w:basedOn w:val="Heading5"/>
    <w:next w:val="base-text-paragraph"/>
    <w:link w:val="Heading6Char"/>
    <w:qFormat/>
    <w:rsid w:val="00C3452B"/>
    <w:pPr>
      <w:outlineLvl w:val="5"/>
    </w:pPr>
    <w:rPr>
      <w:bCs w:val="0"/>
      <w:i w:val="0"/>
      <w:szCs w:val="22"/>
      <w:u w:val="single"/>
    </w:rPr>
  </w:style>
  <w:style w:type="paragraph" w:styleId="Heading7">
    <w:name w:val="heading 7"/>
    <w:basedOn w:val="Normal"/>
    <w:next w:val="Normal"/>
    <w:link w:val="Heading7Char"/>
    <w:qFormat/>
    <w:rsid w:val="00C3452B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C3452B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C3452B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452B"/>
    <w:rPr>
      <w:rFonts w:ascii="Helvetica" w:eastAsia="Times New Roman" w:hAnsi="Helvetica" w:cs="Times New Roman"/>
      <w:b/>
      <w:caps/>
      <w:sz w:val="28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rsid w:val="00C3452B"/>
    <w:rPr>
      <w:rFonts w:ascii="Helvetica" w:eastAsia="Times New Roman" w:hAnsi="Helvetica" w:cs="Times New Roman"/>
      <w:b/>
      <w:sz w:val="26"/>
      <w:szCs w:val="20"/>
      <w:lang w:eastAsia="en-AU"/>
    </w:rPr>
  </w:style>
  <w:style w:type="character" w:customStyle="1" w:styleId="Heading3Char">
    <w:name w:val="Heading 3 Char"/>
    <w:basedOn w:val="DefaultParagraphFont"/>
    <w:link w:val="Heading3"/>
    <w:rsid w:val="00C3452B"/>
    <w:rPr>
      <w:rFonts w:ascii="Helvetica" w:eastAsia="Times New Roman" w:hAnsi="Helvetica" w:cs="Times New Roman"/>
      <w:b/>
      <w:szCs w:val="20"/>
      <w:lang w:eastAsia="en-AU"/>
    </w:rPr>
  </w:style>
  <w:style w:type="character" w:customStyle="1" w:styleId="Heading4Char">
    <w:name w:val="Heading 4 Char"/>
    <w:basedOn w:val="DefaultParagraphFont"/>
    <w:link w:val="Heading4"/>
    <w:rsid w:val="00C3452B"/>
    <w:rPr>
      <w:rFonts w:ascii="Times New Roman" w:eastAsia="Times New Roman" w:hAnsi="Times New Roman" w:cs="Times New Roman"/>
      <w:b/>
      <w:i/>
      <w:szCs w:val="20"/>
      <w:lang w:eastAsia="en-AU"/>
    </w:rPr>
  </w:style>
  <w:style w:type="character" w:customStyle="1" w:styleId="Heading5Char">
    <w:name w:val="Heading 5 Char"/>
    <w:basedOn w:val="DefaultParagraphFont"/>
    <w:link w:val="Heading5"/>
    <w:rsid w:val="00C3452B"/>
    <w:rPr>
      <w:rFonts w:ascii="Times New Roman" w:eastAsia="Times New Roman" w:hAnsi="Times New Roman" w:cs="Times New Roman"/>
      <w:bCs/>
      <w:i/>
      <w:iCs/>
      <w:szCs w:val="26"/>
      <w:lang w:eastAsia="en-AU"/>
    </w:rPr>
  </w:style>
  <w:style w:type="character" w:customStyle="1" w:styleId="Heading6Char">
    <w:name w:val="Heading 6 Char"/>
    <w:basedOn w:val="DefaultParagraphFont"/>
    <w:link w:val="Heading6"/>
    <w:rsid w:val="00C3452B"/>
    <w:rPr>
      <w:rFonts w:ascii="Times New Roman" w:eastAsia="Times New Roman" w:hAnsi="Times New Roman" w:cs="Times New Roman"/>
      <w:iCs/>
      <w:u w:val="single"/>
      <w:lang w:eastAsia="en-AU"/>
    </w:rPr>
  </w:style>
  <w:style w:type="character" w:customStyle="1" w:styleId="Heading7Char">
    <w:name w:val="Heading 7 Char"/>
    <w:basedOn w:val="DefaultParagraphFont"/>
    <w:link w:val="Heading7"/>
    <w:rsid w:val="00C3452B"/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8Char">
    <w:name w:val="Heading 8 Char"/>
    <w:basedOn w:val="DefaultParagraphFont"/>
    <w:link w:val="Heading8"/>
    <w:rsid w:val="00C3452B"/>
    <w:rPr>
      <w:rFonts w:ascii="Times New Roman" w:eastAsia="Times New Roman" w:hAnsi="Times New Roman" w:cs="Times New Roman"/>
      <w:i/>
      <w:iCs/>
      <w:sz w:val="24"/>
      <w:szCs w:val="24"/>
      <w:lang w:eastAsia="en-AU"/>
    </w:rPr>
  </w:style>
  <w:style w:type="character" w:customStyle="1" w:styleId="Heading9Char">
    <w:name w:val="Heading 9 Char"/>
    <w:basedOn w:val="DefaultParagraphFont"/>
    <w:link w:val="Heading9"/>
    <w:rsid w:val="00C3452B"/>
    <w:rPr>
      <w:rFonts w:ascii="Arial" w:eastAsia="Times New Roman" w:hAnsi="Arial" w:cs="Arial"/>
      <w:lang w:eastAsia="en-AU"/>
    </w:rPr>
  </w:style>
  <w:style w:type="numbering" w:styleId="111111">
    <w:name w:val="Outline List 2"/>
    <w:basedOn w:val="NoList"/>
    <w:semiHidden/>
    <w:rsid w:val="00C3452B"/>
    <w:pPr>
      <w:numPr>
        <w:numId w:val="1"/>
      </w:numPr>
    </w:pPr>
  </w:style>
  <w:style w:type="numbering" w:styleId="1ai">
    <w:name w:val="Outline List 1"/>
    <w:basedOn w:val="NoList"/>
    <w:semiHidden/>
    <w:rsid w:val="00C3452B"/>
    <w:pPr>
      <w:numPr>
        <w:numId w:val="4"/>
      </w:numPr>
    </w:pPr>
  </w:style>
  <w:style w:type="numbering" w:styleId="ArticleSection">
    <w:name w:val="Outline List 3"/>
    <w:basedOn w:val="NoList"/>
    <w:semiHidden/>
    <w:rsid w:val="00C3452B"/>
    <w:pPr>
      <w:numPr>
        <w:numId w:val="6"/>
      </w:numPr>
    </w:pPr>
  </w:style>
  <w:style w:type="paragraph" w:customStyle="1" w:styleId="Baseparagraphcentred">
    <w:name w:val="Base paragraph centred"/>
    <w:basedOn w:val="Normal"/>
    <w:rsid w:val="00C3452B"/>
    <w:pPr>
      <w:spacing w:before="200" w:after="200"/>
      <w:jc w:val="center"/>
    </w:pPr>
  </w:style>
  <w:style w:type="paragraph" w:customStyle="1" w:styleId="base-text-paragraph">
    <w:name w:val="base-text-paragraph"/>
    <w:basedOn w:val="Normal"/>
    <w:link w:val="base-text-paragraphChar"/>
    <w:qFormat/>
    <w:rsid w:val="00C3452B"/>
    <w:pPr>
      <w:numPr>
        <w:ilvl w:val="1"/>
        <w:numId w:val="7"/>
      </w:numPr>
    </w:pPr>
  </w:style>
  <w:style w:type="character" w:customStyle="1" w:styleId="base-text-paragraphChar">
    <w:name w:val="base-text-paragraph Char"/>
    <w:basedOn w:val="DefaultParagraphFont"/>
    <w:link w:val="base-text-paragraph"/>
    <w:rsid w:val="00C3452B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base-text-paragraphnonumbers">
    <w:name w:val="base-text-paragraph no numbers"/>
    <w:basedOn w:val="Normal"/>
    <w:qFormat/>
    <w:rsid w:val="00C3452B"/>
    <w:pPr>
      <w:ind w:left="1134"/>
    </w:pPr>
  </w:style>
  <w:style w:type="paragraph" w:customStyle="1" w:styleId="BillName">
    <w:name w:val="Bill Name"/>
    <w:basedOn w:val="Normal"/>
    <w:next w:val="Baseparagraphcentred"/>
    <w:rsid w:val="00C3452B"/>
    <w:pPr>
      <w:pBdr>
        <w:top w:val="single" w:sz="4" w:space="12" w:color="auto"/>
        <w:bottom w:val="single" w:sz="4" w:space="12" w:color="auto"/>
      </w:pBdr>
      <w:spacing w:before="200" w:after="200"/>
      <w:jc w:val="center"/>
    </w:pPr>
    <w:rPr>
      <w:caps/>
    </w:rPr>
  </w:style>
  <w:style w:type="paragraph" w:styleId="BlockText">
    <w:name w:val="Block Text"/>
    <w:basedOn w:val="Normal"/>
    <w:semiHidden/>
    <w:rsid w:val="00C3452B"/>
    <w:pPr>
      <w:ind w:left="1440" w:right="1440"/>
    </w:pPr>
  </w:style>
  <w:style w:type="paragraph" w:styleId="BodyText">
    <w:name w:val="Body Text"/>
    <w:basedOn w:val="Normal"/>
    <w:link w:val="BodyTextChar"/>
    <w:semiHidden/>
    <w:rsid w:val="00C3452B"/>
  </w:style>
  <w:style w:type="character" w:customStyle="1" w:styleId="BodyTextChar">
    <w:name w:val="Body Text Char"/>
    <w:basedOn w:val="DefaultParagraphFont"/>
    <w:link w:val="BodyText"/>
    <w:semiHidden/>
    <w:rsid w:val="00C3452B"/>
    <w:rPr>
      <w:rFonts w:ascii="Times New Roman" w:eastAsia="Times New Roman" w:hAnsi="Times New Roman" w:cs="Times New Roman"/>
      <w:szCs w:val="20"/>
      <w:lang w:eastAsia="en-AU"/>
    </w:rPr>
  </w:style>
  <w:style w:type="paragraph" w:styleId="BodyText2">
    <w:name w:val="Body Text 2"/>
    <w:basedOn w:val="Normal"/>
    <w:link w:val="BodyText2Char"/>
    <w:semiHidden/>
    <w:rsid w:val="00C3452B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C3452B"/>
    <w:rPr>
      <w:rFonts w:ascii="Times New Roman" w:eastAsia="Times New Roman" w:hAnsi="Times New Roman" w:cs="Times New Roman"/>
      <w:szCs w:val="20"/>
      <w:lang w:eastAsia="en-AU"/>
    </w:rPr>
  </w:style>
  <w:style w:type="paragraph" w:styleId="BodyText3">
    <w:name w:val="Body Text 3"/>
    <w:basedOn w:val="Normal"/>
    <w:link w:val="BodyText3Char"/>
    <w:semiHidden/>
    <w:rsid w:val="00C3452B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3452B"/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styleId="BodyTextFirstIndent">
    <w:name w:val="Body Text First Indent"/>
    <w:basedOn w:val="BodyText"/>
    <w:link w:val="BodyTextFirstIndentChar"/>
    <w:semiHidden/>
    <w:rsid w:val="00C3452B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C3452B"/>
    <w:rPr>
      <w:rFonts w:ascii="Times New Roman" w:eastAsia="Times New Roman" w:hAnsi="Times New Roman" w:cs="Times New Roman"/>
      <w:szCs w:val="20"/>
      <w:lang w:eastAsia="en-AU"/>
    </w:rPr>
  </w:style>
  <w:style w:type="paragraph" w:styleId="BodyTextIndent">
    <w:name w:val="Body Text Indent"/>
    <w:basedOn w:val="Normal"/>
    <w:link w:val="BodyTextIndentChar"/>
    <w:semiHidden/>
    <w:rsid w:val="00C3452B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C3452B"/>
    <w:rPr>
      <w:rFonts w:ascii="Times New Roman" w:eastAsia="Times New Roman" w:hAnsi="Times New Roman" w:cs="Times New Roman"/>
      <w:szCs w:val="20"/>
      <w:lang w:eastAsia="en-AU"/>
    </w:rPr>
  </w:style>
  <w:style w:type="paragraph" w:styleId="BodyTextFirstIndent2">
    <w:name w:val="Body Text First Indent 2"/>
    <w:basedOn w:val="BodyTextIndent"/>
    <w:link w:val="BodyTextFirstIndent2Char"/>
    <w:semiHidden/>
    <w:rsid w:val="00C3452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C3452B"/>
    <w:rPr>
      <w:rFonts w:ascii="Times New Roman" w:eastAsia="Times New Roman" w:hAnsi="Times New Roman" w:cs="Times New Roman"/>
      <w:szCs w:val="20"/>
      <w:lang w:eastAsia="en-AU"/>
    </w:rPr>
  </w:style>
  <w:style w:type="paragraph" w:styleId="BodyTextIndent2">
    <w:name w:val="Body Text Indent 2"/>
    <w:basedOn w:val="Normal"/>
    <w:link w:val="BodyTextIndent2Char"/>
    <w:semiHidden/>
    <w:rsid w:val="00C3452B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C3452B"/>
    <w:rPr>
      <w:rFonts w:ascii="Times New Roman" w:eastAsia="Times New Roman" w:hAnsi="Times New Roman" w:cs="Times New Roman"/>
      <w:szCs w:val="20"/>
      <w:lang w:eastAsia="en-AU"/>
    </w:rPr>
  </w:style>
  <w:style w:type="paragraph" w:styleId="BodyTextIndent3">
    <w:name w:val="Body Text Indent 3"/>
    <w:basedOn w:val="Normal"/>
    <w:link w:val="BodyTextIndent3Char"/>
    <w:semiHidden/>
    <w:rsid w:val="00C3452B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3452B"/>
    <w:rPr>
      <w:rFonts w:ascii="Times New Roman" w:eastAsia="Times New Roman" w:hAnsi="Times New Roman" w:cs="Times New Roman"/>
      <w:sz w:val="16"/>
      <w:szCs w:val="16"/>
      <w:lang w:eastAsia="en-AU"/>
    </w:rPr>
  </w:style>
  <w:style w:type="character" w:customStyle="1" w:styleId="Bold">
    <w:name w:val="Bold"/>
    <w:basedOn w:val="DefaultParagraphFont"/>
    <w:rsid w:val="00C3452B"/>
    <w:rPr>
      <w:b/>
    </w:rPr>
  </w:style>
  <w:style w:type="character" w:customStyle="1" w:styleId="BoldItalic">
    <w:name w:val="BoldItalic"/>
    <w:basedOn w:val="DefaultParagraphFont"/>
    <w:rsid w:val="00C3452B"/>
    <w:rPr>
      <w:b/>
      <w:i/>
    </w:rPr>
  </w:style>
  <w:style w:type="paragraph" w:customStyle="1" w:styleId="BTPwithextraspacing">
    <w:name w:val="BTP with extra spacing"/>
    <w:basedOn w:val="Normal"/>
    <w:rsid w:val="00C3452B"/>
    <w:pPr>
      <w:spacing w:before="360" w:after="360"/>
      <w:ind w:left="1134"/>
    </w:pPr>
  </w:style>
  <w:style w:type="paragraph" w:customStyle="1" w:styleId="ChapterHeading">
    <w:name w:val="Chapter Heading"/>
    <w:next w:val="Heading2"/>
    <w:rsid w:val="00C3452B"/>
    <w:pPr>
      <w:numPr>
        <w:numId w:val="9"/>
      </w:numPr>
      <w:pBdr>
        <w:top w:val="single" w:sz="4" w:space="1" w:color="auto"/>
        <w:bottom w:val="single" w:sz="4" w:space="1" w:color="auto"/>
      </w:pBdr>
      <w:spacing w:before="240" w:after="360" w:line="260" w:lineRule="atLeast"/>
    </w:pPr>
    <w:rPr>
      <w:rFonts w:ascii="Helvetica" w:eastAsia="Times New Roman" w:hAnsi="Helvetica" w:cs="Times New Roman"/>
      <w:b/>
      <w:i/>
      <w:sz w:val="38"/>
      <w:szCs w:val="20"/>
      <w:lang w:eastAsia="en-AU"/>
    </w:rPr>
  </w:style>
  <w:style w:type="paragraph" w:customStyle="1" w:styleId="Chapterheadingsubdocument">
    <w:name w:val="Chapter heading subdocument"/>
    <w:basedOn w:val="Normal"/>
    <w:next w:val="base-text-paragraphnonumbers"/>
    <w:rsid w:val="00C3452B"/>
    <w:pPr>
      <w:pBdr>
        <w:top w:val="single" w:sz="4" w:space="1" w:color="auto"/>
        <w:bottom w:val="single" w:sz="4" w:space="1" w:color="auto"/>
      </w:pBdr>
      <w:spacing w:before="240" w:after="360" w:line="260" w:lineRule="atLeast"/>
    </w:pPr>
    <w:rPr>
      <w:rFonts w:ascii="Helvetica" w:hAnsi="Helvetica"/>
      <w:b/>
      <w:i/>
      <w:sz w:val="38"/>
    </w:rPr>
  </w:style>
  <w:style w:type="numbering" w:customStyle="1" w:styleId="ChapterList">
    <w:name w:val="ChapterList"/>
    <w:uiPriority w:val="99"/>
    <w:rsid w:val="00C3452B"/>
    <w:pPr>
      <w:numPr>
        <w:numId w:val="9"/>
      </w:numPr>
    </w:pPr>
  </w:style>
  <w:style w:type="paragraph" w:styleId="Closing">
    <w:name w:val="Closing"/>
    <w:basedOn w:val="Normal"/>
    <w:link w:val="ClosingChar"/>
    <w:semiHidden/>
    <w:rsid w:val="00C3452B"/>
    <w:pPr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C3452B"/>
    <w:rPr>
      <w:rFonts w:ascii="Times New Roman" w:eastAsia="Times New Roman" w:hAnsi="Times New Roman" w:cs="Times New Roman"/>
      <w:szCs w:val="20"/>
      <w:lang w:eastAsia="en-AU"/>
    </w:rPr>
  </w:style>
  <w:style w:type="paragraph" w:styleId="Date">
    <w:name w:val="Date"/>
    <w:basedOn w:val="Normal"/>
    <w:next w:val="Normal"/>
    <w:link w:val="DateChar"/>
    <w:semiHidden/>
    <w:rsid w:val="00C3452B"/>
  </w:style>
  <w:style w:type="character" w:customStyle="1" w:styleId="DateChar">
    <w:name w:val="Date Char"/>
    <w:basedOn w:val="DefaultParagraphFont"/>
    <w:link w:val="Date"/>
    <w:semiHidden/>
    <w:rsid w:val="00C3452B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Diagram">
    <w:name w:val="Diagram"/>
    <w:basedOn w:val="Normal"/>
    <w:next w:val="base-text-paragraphnonumbers"/>
    <w:rsid w:val="00C3452B"/>
    <w:pPr>
      <w:keepNext/>
      <w:numPr>
        <w:ilvl w:val="2"/>
        <w:numId w:val="9"/>
      </w:numPr>
      <w:spacing w:before="0" w:after="0"/>
    </w:pPr>
    <w:rPr>
      <w:b/>
    </w:rPr>
  </w:style>
  <w:style w:type="paragraph" w:customStyle="1" w:styleId="dotpoint">
    <w:name w:val="dot point"/>
    <w:basedOn w:val="Normal"/>
    <w:rsid w:val="00C3452B"/>
    <w:pPr>
      <w:numPr>
        <w:numId w:val="11"/>
      </w:numPr>
    </w:pPr>
  </w:style>
  <w:style w:type="paragraph" w:customStyle="1" w:styleId="dotpoint2">
    <w:name w:val="dot point 2"/>
    <w:basedOn w:val="Normal"/>
    <w:rsid w:val="00C3452B"/>
    <w:pPr>
      <w:numPr>
        <w:ilvl w:val="1"/>
        <w:numId w:val="12"/>
      </w:numPr>
    </w:pPr>
  </w:style>
  <w:style w:type="numbering" w:customStyle="1" w:styleId="DotPointList">
    <w:name w:val="Dot Point List"/>
    <w:uiPriority w:val="99"/>
    <w:rsid w:val="00C3452B"/>
    <w:pPr>
      <w:numPr>
        <w:numId w:val="12"/>
      </w:numPr>
    </w:pPr>
  </w:style>
  <w:style w:type="paragraph" w:styleId="E-mailSignature">
    <w:name w:val="E-mail Signature"/>
    <w:basedOn w:val="Normal"/>
    <w:link w:val="E-mailSignatureChar"/>
    <w:semiHidden/>
    <w:rsid w:val="00C3452B"/>
  </w:style>
  <w:style w:type="character" w:customStyle="1" w:styleId="E-mailSignatureChar">
    <w:name w:val="E-mail Signature Char"/>
    <w:basedOn w:val="DefaultParagraphFont"/>
    <w:link w:val="E-mailSignature"/>
    <w:semiHidden/>
    <w:rsid w:val="00C3452B"/>
    <w:rPr>
      <w:rFonts w:ascii="Times New Roman" w:eastAsia="Times New Roman" w:hAnsi="Times New Roman" w:cs="Times New Roman"/>
      <w:szCs w:val="20"/>
      <w:lang w:eastAsia="en-AU"/>
    </w:rPr>
  </w:style>
  <w:style w:type="character" w:styleId="Emphasis">
    <w:name w:val="Emphasis"/>
    <w:basedOn w:val="DefaultParagraphFont"/>
    <w:qFormat/>
    <w:rsid w:val="00C3452B"/>
    <w:rPr>
      <w:i/>
      <w:iCs/>
    </w:rPr>
  </w:style>
  <w:style w:type="paragraph" w:styleId="EnvelopeAddress">
    <w:name w:val="envelope address"/>
    <w:basedOn w:val="Normal"/>
    <w:semiHidden/>
    <w:rsid w:val="00C3452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C3452B"/>
    <w:rPr>
      <w:rFonts w:ascii="Arial" w:hAnsi="Arial" w:cs="Arial"/>
      <w:sz w:val="20"/>
    </w:rPr>
  </w:style>
  <w:style w:type="paragraph" w:customStyle="1" w:styleId="exampletext">
    <w:name w:val="example text"/>
    <w:basedOn w:val="Normal"/>
    <w:rsid w:val="00C3452B"/>
    <w:pPr>
      <w:ind w:left="1985"/>
    </w:pPr>
    <w:rPr>
      <w:sz w:val="20"/>
    </w:rPr>
  </w:style>
  <w:style w:type="paragraph" w:customStyle="1" w:styleId="exampledotpoint1">
    <w:name w:val="example dot point 1"/>
    <w:basedOn w:val="exampletext"/>
    <w:rsid w:val="00C3452B"/>
    <w:pPr>
      <w:numPr>
        <w:numId w:val="13"/>
      </w:numPr>
      <w:spacing w:before="200" w:after="200"/>
      <w:ind w:left="2269" w:hanging="284"/>
    </w:pPr>
  </w:style>
  <w:style w:type="paragraph" w:customStyle="1" w:styleId="exampledotpoint2">
    <w:name w:val="example dot point 2"/>
    <w:basedOn w:val="exampletext"/>
    <w:rsid w:val="00C3452B"/>
    <w:pPr>
      <w:numPr>
        <w:ilvl w:val="1"/>
        <w:numId w:val="13"/>
      </w:numPr>
      <w:spacing w:before="200" w:after="200"/>
    </w:pPr>
  </w:style>
  <w:style w:type="numbering" w:customStyle="1" w:styleId="ExampleDotPointList">
    <w:name w:val="Example Dot Point List"/>
    <w:uiPriority w:val="99"/>
    <w:rsid w:val="00C3452B"/>
    <w:pPr>
      <w:numPr>
        <w:numId w:val="13"/>
      </w:numPr>
    </w:pPr>
  </w:style>
  <w:style w:type="paragraph" w:customStyle="1" w:styleId="ExampleHeading">
    <w:name w:val="Example Heading"/>
    <w:basedOn w:val="Normal"/>
    <w:next w:val="exampletext"/>
    <w:rsid w:val="00C3452B"/>
    <w:pPr>
      <w:keepNext/>
      <w:numPr>
        <w:ilvl w:val="3"/>
        <w:numId w:val="9"/>
      </w:numPr>
    </w:pPr>
    <w:rPr>
      <w:b/>
    </w:rPr>
  </w:style>
  <w:style w:type="paragraph" w:customStyle="1" w:styleId="exampleindent">
    <w:name w:val="example indent"/>
    <w:basedOn w:val="exampletext"/>
    <w:rsid w:val="00C3452B"/>
    <w:pPr>
      <w:ind w:left="2268"/>
    </w:pPr>
  </w:style>
  <w:style w:type="character" w:styleId="FollowedHyperlink">
    <w:name w:val="FollowedHyperlink"/>
    <w:basedOn w:val="DefaultParagraphFont"/>
    <w:rsid w:val="00C3452B"/>
    <w:rPr>
      <w:color w:val="954F72" w:themeColor="followedHyperlink"/>
      <w:u w:val="single"/>
    </w:rPr>
  </w:style>
  <w:style w:type="character" w:customStyle="1" w:styleId="Font15point">
    <w:name w:val="Font 15 point"/>
    <w:basedOn w:val="DefaultParagraphFont"/>
    <w:rsid w:val="00C3452B"/>
    <w:rPr>
      <w:sz w:val="30"/>
    </w:rPr>
  </w:style>
  <w:style w:type="character" w:customStyle="1" w:styleId="Font19point">
    <w:name w:val="Font 19 point"/>
    <w:basedOn w:val="DefaultParagraphFont"/>
    <w:rsid w:val="00C3452B"/>
    <w:rPr>
      <w:sz w:val="38"/>
    </w:rPr>
  </w:style>
  <w:style w:type="character" w:customStyle="1" w:styleId="Font30point">
    <w:name w:val="Font 30 point"/>
    <w:basedOn w:val="DefaultParagraphFont"/>
    <w:rsid w:val="00C3452B"/>
    <w:rPr>
      <w:sz w:val="60"/>
    </w:rPr>
  </w:style>
  <w:style w:type="paragraph" w:styleId="Footer">
    <w:name w:val="footer"/>
    <w:basedOn w:val="Normal"/>
    <w:link w:val="FooterChar"/>
    <w:semiHidden/>
    <w:rsid w:val="00C3452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C3452B"/>
    <w:rPr>
      <w:rFonts w:ascii="Times New Roman" w:eastAsia="Times New Roman" w:hAnsi="Times New Roman" w:cs="Times New Roman"/>
      <w:szCs w:val="20"/>
      <w:lang w:eastAsia="en-AU"/>
    </w:rPr>
  </w:style>
  <w:style w:type="paragraph" w:styleId="FootnoteText">
    <w:name w:val="footnote text"/>
    <w:basedOn w:val="Normal"/>
    <w:link w:val="FootnoteTextChar"/>
    <w:rsid w:val="00C3452B"/>
    <w:pPr>
      <w:tabs>
        <w:tab w:val="left" w:pos="284"/>
      </w:tabs>
      <w:spacing w:before="0" w:after="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C3452B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customStyle="1" w:styleId="Glossarytabletext">
    <w:name w:val="Glossary table text"/>
    <w:basedOn w:val="Normal"/>
    <w:rsid w:val="00C3452B"/>
    <w:pPr>
      <w:spacing w:before="60" w:after="60"/>
    </w:pPr>
    <w:rPr>
      <w:sz w:val="20"/>
    </w:rPr>
  </w:style>
  <w:style w:type="paragraph" w:styleId="Header">
    <w:name w:val="header"/>
    <w:basedOn w:val="Normal"/>
    <w:link w:val="HeaderChar"/>
    <w:semiHidden/>
    <w:rsid w:val="00C3452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C3452B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Heading2with18pointafter">
    <w:name w:val="Heading 2 with 18 point after"/>
    <w:basedOn w:val="Heading2"/>
    <w:next w:val="Normal"/>
    <w:rsid w:val="00C3452B"/>
    <w:pPr>
      <w:spacing w:after="360"/>
    </w:pPr>
  </w:style>
  <w:style w:type="paragraph" w:customStyle="1" w:styleId="Hiddentext">
    <w:name w:val="Hiddentext"/>
    <w:basedOn w:val="Normal"/>
    <w:rsid w:val="00C3452B"/>
    <w:rPr>
      <w:vanish/>
    </w:rPr>
  </w:style>
  <w:style w:type="character" w:styleId="HTMLAcronym">
    <w:name w:val="HTML Acronym"/>
    <w:basedOn w:val="DefaultParagraphFont"/>
    <w:semiHidden/>
    <w:rsid w:val="00C3452B"/>
  </w:style>
  <w:style w:type="paragraph" w:styleId="HTMLAddress">
    <w:name w:val="HTML Address"/>
    <w:basedOn w:val="Normal"/>
    <w:link w:val="HTMLAddressChar"/>
    <w:semiHidden/>
    <w:rsid w:val="00C3452B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C3452B"/>
    <w:rPr>
      <w:rFonts w:ascii="Times New Roman" w:eastAsia="Times New Roman" w:hAnsi="Times New Roman" w:cs="Times New Roman"/>
      <w:i/>
      <w:iCs/>
      <w:szCs w:val="20"/>
      <w:lang w:eastAsia="en-AU"/>
    </w:rPr>
  </w:style>
  <w:style w:type="character" w:styleId="HTMLCite">
    <w:name w:val="HTML Cite"/>
    <w:basedOn w:val="DefaultParagraphFont"/>
    <w:semiHidden/>
    <w:rsid w:val="00C3452B"/>
    <w:rPr>
      <w:i/>
      <w:iCs/>
    </w:rPr>
  </w:style>
  <w:style w:type="character" w:styleId="HTMLCode">
    <w:name w:val="HTML Code"/>
    <w:basedOn w:val="DefaultParagraphFont"/>
    <w:semiHidden/>
    <w:rsid w:val="00C3452B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C3452B"/>
    <w:rPr>
      <w:i/>
      <w:iCs/>
    </w:rPr>
  </w:style>
  <w:style w:type="character" w:styleId="HTMLKeyboard">
    <w:name w:val="HTML Keyboard"/>
    <w:basedOn w:val="DefaultParagraphFont"/>
    <w:semiHidden/>
    <w:rsid w:val="00C3452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C3452B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C3452B"/>
    <w:rPr>
      <w:rFonts w:ascii="Courier New" w:eastAsia="Times New Roman" w:hAnsi="Courier New" w:cs="Courier New"/>
      <w:sz w:val="20"/>
      <w:szCs w:val="20"/>
      <w:lang w:eastAsia="en-AU"/>
    </w:rPr>
  </w:style>
  <w:style w:type="character" w:styleId="HTMLSample">
    <w:name w:val="HTML Sample"/>
    <w:basedOn w:val="DefaultParagraphFont"/>
    <w:semiHidden/>
    <w:rsid w:val="00C3452B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C3452B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C3452B"/>
    <w:rPr>
      <w:i/>
      <w:iCs/>
    </w:rPr>
  </w:style>
  <w:style w:type="character" w:styleId="Hyperlink">
    <w:name w:val="Hyperlink"/>
    <w:basedOn w:val="DefaultParagraphFont"/>
    <w:uiPriority w:val="99"/>
    <w:rsid w:val="00C3452B"/>
    <w:rPr>
      <w:color w:val="0563C1" w:themeColor="hyperlink"/>
      <w:u w:val="single"/>
    </w:rPr>
  </w:style>
  <w:style w:type="character" w:customStyle="1" w:styleId="Italic">
    <w:name w:val="Italic"/>
    <w:basedOn w:val="DefaultParagraphFont"/>
    <w:rsid w:val="00C3452B"/>
    <w:rPr>
      <w:i/>
    </w:rPr>
  </w:style>
  <w:style w:type="paragraph" w:customStyle="1" w:styleId="leftfooter">
    <w:name w:val="left footer"/>
    <w:basedOn w:val="Normal"/>
    <w:rsid w:val="00C3452B"/>
    <w:pPr>
      <w:pBdr>
        <w:top w:val="single" w:sz="4" w:space="1" w:color="auto"/>
      </w:pBdr>
      <w:spacing w:before="240" w:after="0"/>
    </w:pPr>
    <w:rPr>
      <w:i/>
      <w:sz w:val="20"/>
    </w:rPr>
  </w:style>
  <w:style w:type="paragraph" w:customStyle="1" w:styleId="leftheader">
    <w:name w:val="left header"/>
    <w:basedOn w:val="Normal"/>
    <w:rsid w:val="00C3452B"/>
    <w:pPr>
      <w:pBdr>
        <w:bottom w:val="single" w:sz="4" w:space="1" w:color="auto"/>
      </w:pBdr>
    </w:pPr>
    <w:rPr>
      <w:i/>
      <w:sz w:val="20"/>
    </w:rPr>
  </w:style>
  <w:style w:type="character" w:styleId="LineNumber">
    <w:name w:val="line number"/>
    <w:basedOn w:val="DefaultParagraphFont"/>
    <w:semiHidden/>
    <w:rsid w:val="00C3452B"/>
  </w:style>
  <w:style w:type="paragraph" w:styleId="List">
    <w:name w:val="List"/>
    <w:basedOn w:val="Normal"/>
    <w:semiHidden/>
    <w:rsid w:val="00C3452B"/>
    <w:pPr>
      <w:ind w:left="283" w:hanging="283"/>
    </w:pPr>
  </w:style>
  <w:style w:type="paragraph" w:styleId="List2">
    <w:name w:val="List 2"/>
    <w:basedOn w:val="Normal"/>
    <w:semiHidden/>
    <w:rsid w:val="00C3452B"/>
    <w:pPr>
      <w:ind w:left="566" w:hanging="283"/>
    </w:pPr>
  </w:style>
  <w:style w:type="paragraph" w:styleId="List3">
    <w:name w:val="List 3"/>
    <w:basedOn w:val="Normal"/>
    <w:semiHidden/>
    <w:rsid w:val="00C3452B"/>
    <w:pPr>
      <w:ind w:left="849" w:hanging="283"/>
    </w:pPr>
  </w:style>
  <w:style w:type="paragraph" w:styleId="List4">
    <w:name w:val="List 4"/>
    <w:basedOn w:val="Normal"/>
    <w:semiHidden/>
    <w:rsid w:val="00C3452B"/>
    <w:pPr>
      <w:ind w:left="1132" w:hanging="283"/>
    </w:pPr>
  </w:style>
  <w:style w:type="paragraph" w:styleId="List5">
    <w:name w:val="List 5"/>
    <w:basedOn w:val="Normal"/>
    <w:semiHidden/>
    <w:rsid w:val="00C3452B"/>
    <w:pPr>
      <w:ind w:left="1415" w:hanging="283"/>
    </w:pPr>
  </w:style>
  <w:style w:type="paragraph" w:styleId="ListBullet">
    <w:name w:val="List Bullet"/>
    <w:basedOn w:val="Normal"/>
    <w:semiHidden/>
    <w:rsid w:val="00C3452B"/>
    <w:pPr>
      <w:numPr>
        <w:numId w:val="15"/>
      </w:numPr>
    </w:pPr>
  </w:style>
  <w:style w:type="paragraph" w:styleId="ListBullet2">
    <w:name w:val="List Bullet 2"/>
    <w:basedOn w:val="Normal"/>
    <w:semiHidden/>
    <w:rsid w:val="00C3452B"/>
    <w:pPr>
      <w:numPr>
        <w:numId w:val="16"/>
      </w:numPr>
    </w:pPr>
  </w:style>
  <w:style w:type="paragraph" w:styleId="ListBullet3">
    <w:name w:val="List Bullet 3"/>
    <w:basedOn w:val="Normal"/>
    <w:semiHidden/>
    <w:rsid w:val="00C3452B"/>
    <w:pPr>
      <w:numPr>
        <w:numId w:val="17"/>
      </w:numPr>
    </w:pPr>
  </w:style>
  <w:style w:type="paragraph" w:styleId="ListBullet4">
    <w:name w:val="List Bullet 4"/>
    <w:basedOn w:val="Normal"/>
    <w:semiHidden/>
    <w:rsid w:val="00C3452B"/>
    <w:pPr>
      <w:numPr>
        <w:numId w:val="18"/>
      </w:numPr>
    </w:pPr>
  </w:style>
  <w:style w:type="paragraph" w:styleId="ListBullet5">
    <w:name w:val="List Bullet 5"/>
    <w:basedOn w:val="Normal"/>
    <w:semiHidden/>
    <w:rsid w:val="00C3452B"/>
    <w:pPr>
      <w:numPr>
        <w:numId w:val="19"/>
      </w:numPr>
    </w:pPr>
  </w:style>
  <w:style w:type="paragraph" w:styleId="ListContinue">
    <w:name w:val="List Continue"/>
    <w:basedOn w:val="Normal"/>
    <w:semiHidden/>
    <w:rsid w:val="00C3452B"/>
    <w:pPr>
      <w:ind w:left="283"/>
    </w:pPr>
  </w:style>
  <w:style w:type="paragraph" w:styleId="ListContinue2">
    <w:name w:val="List Continue 2"/>
    <w:basedOn w:val="Normal"/>
    <w:semiHidden/>
    <w:rsid w:val="00C3452B"/>
    <w:pPr>
      <w:ind w:left="566"/>
    </w:pPr>
  </w:style>
  <w:style w:type="paragraph" w:styleId="ListContinue3">
    <w:name w:val="List Continue 3"/>
    <w:basedOn w:val="Normal"/>
    <w:semiHidden/>
    <w:rsid w:val="00C3452B"/>
    <w:pPr>
      <w:ind w:left="849"/>
    </w:pPr>
  </w:style>
  <w:style w:type="paragraph" w:styleId="ListContinue4">
    <w:name w:val="List Continue 4"/>
    <w:basedOn w:val="Normal"/>
    <w:semiHidden/>
    <w:rsid w:val="00C3452B"/>
    <w:pPr>
      <w:ind w:left="1132"/>
    </w:pPr>
  </w:style>
  <w:style w:type="paragraph" w:styleId="ListContinue5">
    <w:name w:val="List Continue 5"/>
    <w:basedOn w:val="Normal"/>
    <w:semiHidden/>
    <w:rsid w:val="00C3452B"/>
    <w:pPr>
      <w:ind w:left="1415"/>
    </w:pPr>
  </w:style>
  <w:style w:type="paragraph" w:styleId="ListNumber">
    <w:name w:val="List Number"/>
    <w:basedOn w:val="Normal"/>
    <w:semiHidden/>
    <w:rsid w:val="00C3452B"/>
    <w:pPr>
      <w:numPr>
        <w:numId w:val="20"/>
      </w:numPr>
    </w:pPr>
  </w:style>
  <w:style w:type="paragraph" w:styleId="ListNumber2">
    <w:name w:val="List Number 2"/>
    <w:basedOn w:val="Normal"/>
    <w:semiHidden/>
    <w:rsid w:val="00C3452B"/>
    <w:pPr>
      <w:numPr>
        <w:numId w:val="21"/>
      </w:numPr>
    </w:pPr>
  </w:style>
  <w:style w:type="paragraph" w:styleId="ListNumber3">
    <w:name w:val="List Number 3"/>
    <w:basedOn w:val="Normal"/>
    <w:semiHidden/>
    <w:rsid w:val="00C3452B"/>
    <w:pPr>
      <w:numPr>
        <w:numId w:val="22"/>
      </w:numPr>
    </w:pPr>
  </w:style>
  <w:style w:type="paragraph" w:styleId="ListNumber4">
    <w:name w:val="List Number 4"/>
    <w:basedOn w:val="Normal"/>
    <w:semiHidden/>
    <w:rsid w:val="00C3452B"/>
    <w:pPr>
      <w:numPr>
        <w:numId w:val="23"/>
      </w:numPr>
    </w:pPr>
  </w:style>
  <w:style w:type="paragraph" w:styleId="ListNumber5">
    <w:name w:val="List Number 5"/>
    <w:basedOn w:val="Normal"/>
    <w:semiHidden/>
    <w:rsid w:val="00C3452B"/>
    <w:pPr>
      <w:numPr>
        <w:numId w:val="24"/>
      </w:numPr>
    </w:pPr>
  </w:style>
  <w:style w:type="paragraph" w:styleId="ListParagraph">
    <w:name w:val="List Paragraph"/>
    <w:basedOn w:val="Normal"/>
    <w:uiPriority w:val="34"/>
    <w:qFormat/>
    <w:rsid w:val="00C3452B"/>
    <w:pPr>
      <w:ind w:left="720"/>
      <w:contextualSpacing/>
    </w:pPr>
  </w:style>
  <w:style w:type="paragraph" w:styleId="MessageHeader">
    <w:name w:val="Message Header"/>
    <w:basedOn w:val="Normal"/>
    <w:link w:val="MessageHeaderChar"/>
    <w:semiHidden/>
    <w:rsid w:val="00C3452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hanging="1134"/>
    </w:pPr>
    <w:rPr>
      <w:rFonts w:ascii="Arial" w:hAnsi="Arial"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C3452B"/>
    <w:rPr>
      <w:rFonts w:ascii="Arial" w:eastAsia="Times New Roman" w:hAnsi="Arial" w:cs="Arial"/>
      <w:sz w:val="24"/>
      <w:szCs w:val="24"/>
      <w:shd w:val="pct20" w:color="auto" w:fill="auto"/>
      <w:lang w:eastAsia="en-AU"/>
    </w:rPr>
  </w:style>
  <w:style w:type="paragraph" w:styleId="NormalWeb">
    <w:name w:val="Normal (Web)"/>
    <w:basedOn w:val="Normal"/>
    <w:uiPriority w:val="99"/>
    <w:semiHidden/>
    <w:rsid w:val="00C3452B"/>
    <w:rPr>
      <w:sz w:val="24"/>
      <w:szCs w:val="24"/>
    </w:rPr>
  </w:style>
  <w:style w:type="paragraph" w:styleId="NormalIndent">
    <w:name w:val="Normal Indent"/>
    <w:basedOn w:val="Normal"/>
    <w:semiHidden/>
    <w:rsid w:val="00C3452B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rsid w:val="00C3452B"/>
  </w:style>
  <w:style w:type="character" w:customStyle="1" w:styleId="NoteHeadingChar">
    <w:name w:val="Note Heading Char"/>
    <w:basedOn w:val="DefaultParagraphFont"/>
    <w:link w:val="NoteHeading"/>
    <w:semiHidden/>
    <w:rsid w:val="00C3452B"/>
    <w:rPr>
      <w:rFonts w:ascii="Times New Roman" w:eastAsia="Times New Roman" w:hAnsi="Times New Roman" w:cs="Times New Roman"/>
      <w:szCs w:val="20"/>
      <w:lang w:eastAsia="en-AU"/>
    </w:rPr>
  </w:style>
  <w:style w:type="character" w:styleId="PageNumber">
    <w:name w:val="page number"/>
    <w:basedOn w:val="DefaultParagraphFont"/>
    <w:semiHidden/>
    <w:rsid w:val="00C3452B"/>
  </w:style>
  <w:style w:type="paragraph" w:styleId="PlainText">
    <w:name w:val="Plain Text"/>
    <w:basedOn w:val="Normal"/>
    <w:link w:val="PlainTextChar"/>
    <w:semiHidden/>
    <w:rsid w:val="00C3452B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semiHidden/>
    <w:rsid w:val="00C3452B"/>
    <w:rPr>
      <w:rFonts w:ascii="Courier New" w:eastAsia="Times New Roman" w:hAnsi="Courier New" w:cs="Courier New"/>
      <w:sz w:val="20"/>
      <w:szCs w:val="20"/>
      <w:lang w:eastAsia="en-AU"/>
    </w:rPr>
  </w:style>
  <w:style w:type="character" w:customStyle="1" w:styleId="Referencingstyle">
    <w:name w:val="Referencing style"/>
    <w:basedOn w:val="DefaultParagraphFont"/>
    <w:rsid w:val="00C3452B"/>
    <w:rPr>
      <w:b/>
      <w:i/>
      <w:sz w:val="18"/>
    </w:rPr>
  </w:style>
  <w:style w:type="paragraph" w:customStyle="1" w:styleId="rightfooter">
    <w:name w:val="right footer"/>
    <w:basedOn w:val="Normal"/>
    <w:rsid w:val="00C3452B"/>
    <w:pPr>
      <w:pBdr>
        <w:top w:val="single" w:sz="4" w:space="1" w:color="auto"/>
      </w:pBdr>
      <w:spacing w:before="240" w:after="0"/>
      <w:jc w:val="right"/>
    </w:pPr>
    <w:rPr>
      <w:i/>
      <w:sz w:val="20"/>
    </w:rPr>
  </w:style>
  <w:style w:type="paragraph" w:customStyle="1" w:styleId="rightheader">
    <w:name w:val="right header"/>
    <w:basedOn w:val="Normal"/>
    <w:rsid w:val="00C3452B"/>
    <w:pPr>
      <w:pBdr>
        <w:bottom w:val="single" w:sz="4" w:space="1" w:color="auto"/>
      </w:pBdr>
      <w:jc w:val="right"/>
    </w:pPr>
    <w:rPr>
      <w:i/>
      <w:sz w:val="20"/>
    </w:rPr>
  </w:style>
  <w:style w:type="paragraph" w:styleId="Salutation">
    <w:name w:val="Salutation"/>
    <w:basedOn w:val="Normal"/>
    <w:next w:val="Normal"/>
    <w:link w:val="SalutationChar"/>
    <w:semiHidden/>
    <w:rsid w:val="00C3452B"/>
  </w:style>
  <w:style w:type="character" w:customStyle="1" w:styleId="SalutationChar">
    <w:name w:val="Salutation Char"/>
    <w:basedOn w:val="DefaultParagraphFont"/>
    <w:link w:val="Salutation"/>
    <w:semiHidden/>
    <w:rsid w:val="00C3452B"/>
    <w:rPr>
      <w:rFonts w:ascii="Times New Roman" w:eastAsia="Times New Roman" w:hAnsi="Times New Roman" w:cs="Times New Roman"/>
      <w:szCs w:val="20"/>
      <w:lang w:eastAsia="en-AU"/>
    </w:rPr>
  </w:style>
  <w:style w:type="paragraph" w:styleId="Signature">
    <w:name w:val="Signature"/>
    <w:basedOn w:val="Normal"/>
    <w:link w:val="SignatureChar"/>
    <w:semiHidden/>
    <w:rsid w:val="00C3452B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C3452B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ingleParagraph">
    <w:name w:val="Single Paragraph"/>
    <w:basedOn w:val="Normal"/>
    <w:rsid w:val="00C3452B"/>
    <w:pPr>
      <w:spacing w:after="0"/>
    </w:pPr>
  </w:style>
  <w:style w:type="character" w:styleId="Strong">
    <w:name w:val="Strong"/>
    <w:basedOn w:val="DefaultParagraphFont"/>
    <w:qFormat/>
    <w:rsid w:val="00C3452B"/>
    <w:rPr>
      <w:b/>
      <w:bCs/>
    </w:rPr>
  </w:style>
  <w:style w:type="paragraph" w:styleId="Subtitle">
    <w:name w:val="Subtitle"/>
    <w:basedOn w:val="Normal"/>
    <w:link w:val="SubtitleChar"/>
    <w:qFormat/>
    <w:rsid w:val="00C3452B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C3452B"/>
    <w:rPr>
      <w:rFonts w:ascii="Arial" w:eastAsia="Times New Roman" w:hAnsi="Arial" w:cs="Arial"/>
      <w:sz w:val="24"/>
      <w:szCs w:val="24"/>
      <w:lang w:eastAsia="en-AU"/>
    </w:rPr>
  </w:style>
  <w:style w:type="table" w:styleId="Table3Deffects1">
    <w:name w:val="Table 3D effects 1"/>
    <w:basedOn w:val="TableNormal"/>
    <w:semiHidden/>
    <w:rsid w:val="00C3452B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C3452B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C3452B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C3452B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C3452B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C3452B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color w:val="000080"/>
      <w:sz w:val="20"/>
      <w:szCs w:val="2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C3452B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C3452B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color w:val="FFFFFF"/>
      <w:sz w:val="20"/>
      <w:szCs w:val="20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C3452B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C3452B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C3452B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C3452B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C3452B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C3452B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C3452B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C3452B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tabletext">
    <w:name w:val="table text"/>
    <w:basedOn w:val="Normal"/>
    <w:rsid w:val="00C3452B"/>
    <w:pPr>
      <w:spacing w:before="40" w:after="40"/>
    </w:pPr>
    <w:rPr>
      <w:sz w:val="20"/>
    </w:rPr>
  </w:style>
  <w:style w:type="paragraph" w:customStyle="1" w:styleId="tabledotpoint">
    <w:name w:val="table dot point"/>
    <w:basedOn w:val="tabletext"/>
    <w:rsid w:val="00C3452B"/>
    <w:pPr>
      <w:numPr>
        <w:numId w:val="26"/>
      </w:numPr>
    </w:pPr>
  </w:style>
  <w:style w:type="paragraph" w:customStyle="1" w:styleId="tabledotpoint2">
    <w:name w:val="table dot point 2"/>
    <w:basedOn w:val="tabletext"/>
    <w:rsid w:val="00C3452B"/>
    <w:pPr>
      <w:numPr>
        <w:ilvl w:val="1"/>
        <w:numId w:val="26"/>
      </w:numPr>
    </w:pPr>
  </w:style>
  <w:style w:type="numbering" w:customStyle="1" w:styleId="TableDotPointList">
    <w:name w:val="Table Dot Point List"/>
    <w:uiPriority w:val="99"/>
    <w:rsid w:val="00C3452B"/>
    <w:pPr>
      <w:numPr>
        <w:numId w:val="26"/>
      </w:numPr>
    </w:pPr>
  </w:style>
  <w:style w:type="table" w:styleId="TableElegant">
    <w:name w:val="Table Elegant"/>
    <w:basedOn w:val="TableNormal"/>
    <w:semiHidden/>
    <w:rsid w:val="00C3452B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C3452B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C3452B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C3452B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C3452B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C3452B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C3452B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C3452B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C3452B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C3452B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headerwithintable">
    <w:name w:val="table header (within table)"/>
    <w:basedOn w:val="Heading4"/>
    <w:rsid w:val="00C3452B"/>
    <w:pPr>
      <w:spacing w:before="60" w:after="60"/>
      <w:ind w:left="0"/>
      <w:jc w:val="center"/>
    </w:pPr>
    <w:rPr>
      <w:iCs/>
      <w:sz w:val="20"/>
    </w:rPr>
  </w:style>
  <w:style w:type="paragraph" w:customStyle="1" w:styleId="TableHeadingoutsidetable">
    <w:name w:val="Table Heading (outside table)"/>
    <w:basedOn w:val="Heading4"/>
    <w:rsid w:val="00C3452B"/>
    <w:pPr>
      <w:numPr>
        <w:ilvl w:val="4"/>
        <w:numId w:val="9"/>
      </w:numPr>
      <w:tabs>
        <w:tab w:val="num" w:pos="360"/>
      </w:tabs>
    </w:pPr>
    <w:rPr>
      <w:b w:val="0"/>
      <w:i w:val="0"/>
      <w:iCs/>
    </w:rPr>
  </w:style>
  <w:style w:type="table" w:styleId="TableList1">
    <w:name w:val="Table List 1"/>
    <w:basedOn w:val="TableNormal"/>
    <w:semiHidden/>
    <w:rsid w:val="00C3452B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C3452B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C3452B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C3452B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C3452B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C3452B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C3452B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C3452B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C3452B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C3452B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C3452B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C3452B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C3452B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C3452B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C3452B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C3452B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C3452B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C3452B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qFormat/>
    <w:rsid w:val="00C3452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C3452B"/>
    <w:rPr>
      <w:rFonts w:ascii="Arial" w:eastAsia="Times New Roman" w:hAnsi="Arial" w:cs="Arial"/>
      <w:b/>
      <w:bCs/>
      <w:kern w:val="28"/>
      <w:sz w:val="32"/>
      <w:szCs w:val="32"/>
      <w:lang w:eastAsia="en-AU"/>
    </w:rPr>
  </w:style>
  <w:style w:type="paragraph" w:styleId="TOC1">
    <w:name w:val="toc 1"/>
    <w:basedOn w:val="Heading2"/>
    <w:next w:val="TOC2"/>
    <w:uiPriority w:val="39"/>
    <w:rsid w:val="00C3452B"/>
    <w:pPr>
      <w:keepNext w:val="0"/>
      <w:tabs>
        <w:tab w:val="right" w:leader="dot" w:pos="7655"/>
      </w:tabs>
      <w:spacing w:before="240"/>
      <w:ind w:left="1758" w:right="851" w:hanging="1758"/>
    </w:pPr>
    <w:rPr>
      <w:b w:val="0"/>
      <w:sz w:val="24"/>
    </w:rPr>
  </w:style>
  <w:style w:type="paragraph" w:styleId="TOC2">
    <w:name w:val="toc 2"/>
    <w:basedOn w:val="TOC1"/>
    <w:next w:val="Normal"/>
    <w:uiPriority w:val="39"/>
    <w:rsid w:val="00C3452B"/>
    <w:pPr>
      <w:ind w:left="0" w:firstLine="0"/>
    </w:pPr>
    <w:rPr>
      <w:noProof/>
    </w:rPr>
  </w:style>
  <w:style w:type="paragraph" w:styleId="TOCHeading">
    <w:name w:val="TOC Heading"/>
    <w:basedOn w:val="Normal"/>
    <w:next w:val="base-text-paragraphnonumbers"/>
    <w:qFormat/>
    <w:rsid w:val="00C3452B"/>
    <w:pPr>
      <w:pBdr>
        <w:top w:val="single" w:sz="4" w:space="1" w:color="auto"/>
        <w:bottom w:val="single" w:sz="4" w:space="1" w:color="auto"/>
      </w:pBdr>
      <w:spacing w:before="240" w:after="240" w:line="260" w:lineRule="atLeast"/>
    </w:pPr>
    <w:rPr>
      <w:rFonts w:ascii="Helvetica" w:hAnsi="Helvetica"/>
      <w:b/>
      <w:i/>
      <w:kern w:val="28"/>
      <w:sz w:val="38"/>
    </w:rPr>
  </w:style>
  <w:style w:type="character" w:styleId="PlaceholderText">
    <w:name w:val="Placeholder Text"/>
    <w:basedOn w:val="DefaultParagraphFont"/>
    <w:uiPriority w:val="99"/>
    <w:semiHidden/>
    <w:rsid w:val="00C3452B"/>
    <w:rPr>
      <w:color w:val="808080"/>
    </w:rPr>
  </w:style>
  <w:style w:type="paragraph" w:customStyle="1" w:styleId="ParaCentredNoSpacing">
    <w:name w:val="ParaCentredNoSpacing"/>
    <w:basedOn w:val="Baseparagraphcentred"/>
    <w:qFormat/>
    <w:rsid w:val="00C3452B"/>
    <w:pPr>
      <w:spacing w:before="0" w:after="0"/>
    </w:pPr>
  </w:style>
  <w:style w:type="character" w:customStyle="1" w:styleId="ChapterNameOnly">
    <w:name w:val="ChapterNameOnly"/>
    <w:basedOn w:val="DefaultParagraphFont"/>
    <w:uiPriority w:val="1"/>
    <w:qFormat/>
    <w:rsid w:val="00C3452B"/>
  </w:style>
  <w:style w:type="paragraph" w:styleId="TOC3">
    <w:name w:val="toc 3"/>
    <w:basedOn w:val="Normal"/>
    <w:next w:val="Normal"/>
    <w:autoRedefine/>
    <w:uiPriority w:val="39"/>
    <w:unhideWhenUsed/>
    <w:rsid w:val="00C3452B"/>
    <w:pPr>
      <w:tabs>
        <w:tab w:val="right" w:leader="dot" w:pos="7655"/>
      </w:tabs>
      <w:spacing w:after="100"/>
      <w:ind w:left="442"/>
    </w:pPr>
  </w:style>
  <w:style w:type="table" w:customStyle="1" w:styleId="EMTable">
    <w:name w:val="EMTable"/>
    <w:basedOn w:val="TableNormal"/>
    <w:uiPriority w:val="99"/>
    <w:rsid w:val="00C3452B"/>
    <w:pPr>
      <w:spacing w:after="0" w:line="240" w:lineRule="auto"/>
    </w:pPr>
    <w:rPr>
      <w:rFonts w:ascii="Times New Roman" w:hAnsi="Times New Roman"/>
      <w:sz w:val="20"/>
    </w:rPr>
    <w:tblPr>
      <w:tblStyleRowBandSize w:val="1"/>
      <w:tblInd w:w="12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cPr>
      <w:vAlign w:val="center"/>
    </w:tcPr>
    <w:tblStylePr w:type="firstRow">
      <w:pPr>
        <w:jc w:val="center"/>
      </w:pPr>
      <w:rPr>
        <w:rFonts w:ascii="Times New Roman" w:hAnsi="Times New Roman"/>
        <w:b/>
        <w:i/>
        <w:sz w:val="20"/>
      </w:rPr>
      <w:tblPr>
        <w:tblCellMar>
          <w:top w:w="57" w:type="dxa"/>
          <w:left w:w="57" w:type="dxa"/>
          <w:bottom w:w="0" w:type="dxa"/>
          <w:right w:w="108" w:type="dxa"/>
        </w:tblCellMar>
      </w:tblPr>
      <w:trPr>
        <w:cantSplit/>
        <w:tblHeader/>
      </w:t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92BD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BDD"/>
    <w:rPr>
      <w:rFonts w:ascii="Segoe UI" w:eastAsia="Times New Roman" w:hAnsi="Segoe UI" w:cs="Segoe UI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F125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25E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25EF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25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25EF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1C4F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34" Type="http://schemas.openxmlformats.org/officeDocument/2006/relationships/footer" Target="footer12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33" Type="http://schemas.openxmlformats.org/officeDocument/2006/relationships/footer" Target="footer1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4" Type="http://schemas.openxmlformats.org/officeDocument/2006/relationships/footer" Target="footer5.xml"/><Relationship Id="rId32" Type="http://schemas.openxmlformats.org/officeDocument/2006/relationships/footer" Target="footer10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header" Target="header8.xml"/><Relationship Id="rId36" Type="http://schemas.openxmlformats.org/officeDocument/2006/relationships/theme" Target="theme/theme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31" Type="http://schemas.openxmlformats.org/officeDocument/2006/relationships/footer" Target="footer9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header" Target="header5.xml"/><Relationship Id="rId27" Type="http://schemas.openxmlformats.org/officeDocument/2006/relationships/header" Target="header7.xml"/><Relationship Id="rId30" Type="http://schemas.openxmlformats.org/officeDocument/2006/relationships/footer" Target="footer8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 Document" ma:contentTypeID="0x010100BCBF50F8A60B9C40BFC256C0F7AAB54B020027D279550EA4E64DB5967A95B15DCAE6" ma:contentTypeVersion="24914" ma:contentTypeDescription="" ma:contentTypeScope="" ma:versionID="ab5c8d3a3eb8b2226f0f7d4ef82c8cc4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targetNamespace="http://schemas.microsoft.com/office/2006/metadata/properties" ma:root="true" ma:fieldsID="a96547130305ea6e9d8e5a1b052f1b80" ns1:_="" ns2:_="">
    <xsd:import namespace="http://schemas.microsoft.com/sharepoint/v3"/>
    <xsd:import namespace="0f563589-9cf9-4143-b1eb-fb0534803d3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TaxKeywordTaxHTField" minOccurs="0"/>
                <xsd:element ref="ns1:_dlc_Exempt" minOccurs="0"/>
                <xsd:element ref="ns2:add27a667d2841e58171e440c698d19c" minOccurs="0"/>
                <xsd:element ref="ns2:h560149d4e8940498545eba76c67c1b0" minOccurs="0"/>
                <xsd:element ref="ns2:a545652da9b64c04bddaa252992c2e5c" minOccurs="0"/>
                <xsd:element ref="ns2:c36c8e015f43491f9d5b34b1ebe5761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6619c428-5760-4699-875d-f972724811fc}" ma:internalName="TaxCatchAll" ma:showField="CatchAllData" ma:web="aa21ed36-cb61-48d0-9186-c5704b3d4d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6619c428-5760-4699-875d-f972724811fc}" ma:internalName="TaxCatchAllLabel" ma:readOnly="true" ma:showField="CatchAllDataLabel" ma:web="aa21ed36-cb61-48d0-9186-c5704b3d4d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3" nillable="true" ma:taxonomy="true" ma:internalName="TaxKeywordTaxHTField" ma:taxonomyFieldName="TaxKeyword" ma:displayName="Document Tags" ma:readOnly="false" ma:fieldId="{23f27201-bee3-471e-b2e7-b64fd8b7ca38}" ma:taxonomyMulti="true" ma:sspId="77b7a547-5880-464f-83f8-cefe583c3af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add27a667d2841e58171e440c698d19c" ma:index="16" ma:taxonomy="true" ma:internalName="add27a667d2841e58171e440c698d19c" ma:taxonomyFieldName="BETopics" ma:displayName="BETopics" ma:default="" ma:fieldId="{add27a66-7d28-41e5-8171-e440c698d19c}" ma:taxonomyMulti="true" ma:sspId="77b7a547-5880-464f-83f8-cefe583c3af4" ma:termSetId="5ad9bdc0-881e-4a06-8325-cf02134be2c9" ma:anchorId="ed59a8d8-4dc5-401b-b4eb-36ff97d3d830" ma:open="false" ma:isKeyword="false">
      <xsd:complexType>
        <xsd:sequence>
          <xsd:element ref="pc:Terms" minOccurs="0" maxOccurs="1"/>
        </xsd:sequence>
      </xsd:complexType>
    </xsd:element>
    <xsd:element name="h560149d4e8940498545eba76c67c1b0" ma:index="18" ma:taxonomy="true" ma:internalName="h560149d4e8940498545eba76c67c1b0" ma:taxonomyFieldName="BEProducts" ma:displayName="BEProducts" ma:readOnly="false" ma:default="" ma:fieldId="{1560149d-4e89-4049-8545-eba76c67c1b0}" ma:taxonomyMulti="true" ma:sspId="77b7a547-5880-464f-83f8-cefe583c3af4" ma:termSetId="461aab9e-f33a-4b72-8e45-36cc5568182a" ma:anchorId="a87981e2-7fd9-40b0-a72e-f14f248366c9" ma:open="false" ma:isKeyword="false">
      <xsd:complexType>
        <xsd:sequence>
          <xsd:element ref="pc:Terms" minOccurs="0" maxOccurs="1"/>
        </xsd:sequence>
      </xsd:complexType>
    </xsd:element>
    <xsd:element name="a545652da9b64c04bddaa252992c2e5c" ma:index="20" nillable="true" ma:taxonomy="true" ma:internalName="a545652da9b64c04bddaa252992c2e5c" ma:taxonomyFieldName="BEAgency" ma:displayName="BEAgency" ma:readOnly="false" ma:default="" ma:fieldId="{a545652d-a9b6-4c04-bdda-a252992c2e5c}" ma:taxonomyMulti="true" ma:sspId="77b7a547-5880-464f-83f8-cefe583c3af4" ma:termSetId="a40509a3-eac7-4d26-b640-6b34cfd6eb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36c8e015f43491f9d5b34b1ebe5761b" ma:index="22" ma:taxonomy="true" ma:internalName="c36c8e015f43491f9d5b34b1ebe5761b" ma:taxonomyFieldName="BEProcess" ma:displayName="BEProcess" ma:readOnly="false" ma:default="" ma:fieldId="{c36c8e01-5f43-491f-9d5b-34b1ebe5761b}" ma:taxonomyMulti="true" ma:sspId="77b7a547-5880-464f-83f8-cefe583c3af4" ma:termSetId="461aab9e-f33a-4b72-8e45-36cc5568182a" ma:anchorId="a6a5b896-006e-4e88-808e-4d927580661f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563589-9cf9-4143-b1eb-fb0534803d38">
      <Value>137</Value>
      <Value>319</Value>
      <Value>3</Value>
      <Value>118</Value>
      <Value>119</Value>
    </TaxCatchAll>
    <_dlc_DocId xmlns="0f563589-9cf9-4143-b1eb-fb0534803d38">2021R5URDSK5-677322510-4862</_dlc_DocId>
    <_dlc_DocIdUrl xmlns="0f563589-9cf9-4143-b1eb-fb0534803d38">
      <Url>http://tweb/sites/be/imp/_layouts/15/DocIdRedir.aspx?ID=2021R5URDSK5-677322510-4862</Url>
      <Description>2021R5URDSK5-677322510-4862</Description>
    </_dlc_DocIdUrl>
    <h560149d4e8940498545eba76c67c1b0 xmlns="0f563589-9cf9-4143-b1eb-fb0534803d38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Law and Instruments</TermName>
          <TermId xmlns="http://schemas.microsoft.com/office/infopath/2007/PartnerControls">9a023575-52ab-4e6c-923c-7cf0f9b852cd</TermId>
        </TermInfo>
        <TermInfo xmlns="http://schemas.microsoft.com/office/infopath/2007/PartnerControls">
          <TermName xmlns="http://schemas.microsoft.com/office/infopath/2007/PartnerControls">Legislative explanatory materials</TermName>
          <TermId xmlns="http://schemas.microsoft.com/office/infopath/2007/PartnerControls">3c285951-65a3-4498-9d9c-cea3b717f4fb</TermId>
        </TermInfo>
      </Terms>
    </h560149d4e8940498545eba76c67c1b0>
    <a545652da9b64c04bddaa252992c2e5c xmlns="0f563589-9cf9-4143-b1eb-fb0534803d38">
      <Terms xmlns="http://schemas.microsoft.com/office/infopath/2007/PartnerControls"/>
    </a545652da9b64c04bddaa252992c2e5c>
    <c36c8e015f43491f9d5b34b1ebe5761b xmlns="0f563589-9cf9-4143-b1eb-fb0534803d38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</TermName>
          <TermId xmlns="http://schemas.microsoft.com/office/infopath/2007/PartnerControls">5e571be3-9403-4bee-9097-046b4b720f43</TermId>
        </TermInfo>
      </Terms>
    </c36c8e015f43491f9d5b34b1ebe5761b>
    <TaxKeywordTaxHTField xmlns="0f563589-9cf9-4143-b1eb-fb0534803d38">
      <Terms xmlns="http://schemas.microsoft.com/office/infopath/2007/PartnerControls"/>
    </TaxKeywordTaxHTField>
    <add27a667d2841e58171e440c698d19c xmlns="0f563589-9cf9-4143-b1eb-fb0534803d38">
      <Terms xmlns="http://schemas.microsoft.com/office/infopath/2007/PartnerControls">
        <TermInfo xmlns="http://schemas.microsoft.com/office/infopath/2007/PartnerControls">
          <TermName xmlns="http://schemas.microsoft.com/office/infopath/2007/PartnerControls">Sharing economy</TermName>
          <TermId xmlns="http://schemas.microsoft.com/office/infopath/2007/PartnerControls">5fb7d690-15f9-4d46-b325-0bb71987ea75</TermId>
        </TermInfo>
      </Terms>
    </add27a667d2841e58171e440c698d19c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p:Policy xmlns:p="office.server.policy" id="" local="true">
  <p:Name>Treasury Document Audit Policy</p:Name>
  <p:Description/>
  <p:Statement/>
  <p:PolicyItems>
    <p:PolicyItem featureId="Microsoft.Office.RecordsManagement.PolicyFeatures.PolicyAudit" staticId="0x010100BCBF50F8A60B9C40BFC256C0F7AAB54B|1757814118" UniqueId="fde207ac-4387-46b7-8e68-2dd6b8690223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?mso-contentType ?>
<SharedContentType xmlns="Microsoft.SharePoint.Taxonomy.ContentTypeSync" SourceId="77b7a547-5880-464f-83f8-cefe583c3af4" ContentTypeId="0x010100BCBF50F8A60B9C40BFC256C0F7AAB54B02" PreviousValue="false"/>
</file>

<file path=customXml/itemProps1.xml><?xml version="1.0" encoding="utf-8"?>
<ds:datastoreItem xmlns:ds="http://schemas.openxmlformats.org/officeDocument/2006/customXml" ds:itemID="{BDF6C521-1CC2-4D6C-8CCE-89AAD1271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B6CB8E-8B55-427E-8883-59CF13C742C8}">
  <ds:schemaRefs>
    <ds:schemaRef ds:uri="http://schemas.microsoft.com/office/2006/metadata/properties"/>
    <ds:schemaRef ds:uri="http://schemas.microsoft.com/office/infopath/2007/PartnerControls"/>
    <ds:schemaRef ds:uri="0f563589-9cf9-4143-b1eb-fb0534803d38"/>
  </ds:schemaRefs>
</ds:datastoreItem>
</file>

<file path=customXml/itemProps3.xml><?xml version="1.0" encoding="utf-8"?>
<ds:datastoreItem xmlns:ds="http://schemas.openxmlformats.org/officeDocument/2006/customXml" ds:itemID="{3F88FD69-EEBC-4325-AABA-AE7283AE266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3986F77-FA48-41C5-9100-9ADF2310D97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ED43270-6168-4C27-B29D-5B66C1135D2C}">
  <ds:schemaRefs>
    <ds:schemaRef ds:uri="office.server.policy"/>
  </ds:schemaRefs>
</ds:datastoreItem>
</file>

<file path=customXml/itemProps6.xml><?xml version="1.0" encoding="utf-8"?>
<ds:datastoreItem xmlns:ds="http://schemas.openxmlformats.org/officeDocument/2006/customXml" ds:itemID="{0518A4C6-A1BA-48E0-8296-C0B95038FF3E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31B65587-3CC8-4D05-889A-50374AA5D497}">
  <ds:schemaRefs>
    <ds:schemaRef ds:uri="http://schemas.microsoft.com/sharepoint/v3/contenttype/forms"/>
  </ds:schemaRefs>
</ds:datastoreItem>
</file>

<file path=customXml/itemProps8.xml><?xml version="1.0" encoding="utf-8"?>
<ds:datastoreItem xmlns:ds="http://schemas.openxmlformats.org/officeDocument/2006/customXml" ds:itemID="{75BA6696-A47D-41C7-AD9E-19E11A193C0E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2458</Words>
  <Characters>13374</Characters>
  <Application>Microsoft Office Word</Application>
  <DocSecurity>0</DocSecurity>
  <Lines>297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Implementing a reporting regime for sharing economy platform providers explanatory material</vt:lpstr>
    </vt:vector>
  </TitlesOfParts>
  <Company/>
  <LinksUpToDate>false</LinksUpToDate>
  <CharactersWithSpaces>15746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Implementing a reporting regime for sharing economy platform providers explanatory material</dc:title>
  <dc:subject/>
  <dc:creator/>
  <cp:keywords/>
  <dc:description/>
  <cp:lastModifiedBy/>
  <cp:revision>1</cp:revision>
  <dcterms:created xsi:type="dcterms:W3CDTF">2021-06-22T07:27:00Z</dcterms:created>
  <dcterms:modified xsi:type="dcterms:W3CDTF">2021-06-29T02:41:00Z</dcterms:modified>
</cp:coreProperties>
</file>