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5B78A" w14:textId="79125B2B" w:rsidR="009F731C" w:rsidRPr="00E500D4" w:rsidRDefault="009F731C" w:rsidP="009F731C">
      <w:pPr>
        <w:pStyle w:val="ShortT"/>
      </w:pPr>
      <w:r>
        <w:t>Competition and Consumer (</w:t>
      </w:r>
      <w:r w:rsidRPr="00E57497">
        <w:t>Consumer Data Right</w:t>
      </w:r>
      <w:r>
        <w:t xml:space="preserve">) </w:t>
      </w:r>
      <w:r w:rsidRPr="00E57497">
        <w:t>Rules 202</w:t>
      </w:r>
      <w:r>
        <w:t>0 with proposed amendments</w:t>
      </w:r>
    </w:p>
    <w:p w14:paraId="0F9BA7A5" w14:textId="77777777" w:rsidR="00387C70" w:rsidRPr="00BC78CF" w:rsidRDefault="00387C70" w:rsidP="00387C70">
      <w:pPr>
        <w:pStyle w:val="nDrafterComment"/>
        <w:jc w:val="center"/>
        <w:rPr>
          <w:b/>
          <w:i/>
          <w:color w:val="FF0000"/>
          <w:lang w:eastAsia="en-AU"/>
        </w:rPr>
      </w:pPr>
    </w:p>
    <w:p w14:paraId="617B2441" w14:textId="77777777" w:rsidR="00387C70" w:rsidRPr="00BC78CF" w:rsidRDefault="00387C70" w:rsidP="00387C70">
      <w:pPr>
        <w:pStyle w:val="nDrafterComment"/>
        <w:jc w:val="center"/>
        <w:rPr>
          <w:color w:val="FF0000"/>
        </w:rPr>
      </w:pPr>
    </w:p>
    <w:p w14:paraId="4C2ABE1C" w14:textId="4CA06468" w:rsidR="00387C70" w:rsidRPr="00BC78CF" w:rsidRDefault="009F731C" w:rsidP="00387C70">
      <w:pPr>
        <w:pStyle w:val="ttDraftstrip"/>
        <w:tabs>
          <w:tab w:val="center" w:pos="3969"/>
          <w:tab w:val="right" w:pos="9639"/>
          <w:tab w:val="right" w:pos="9923"/>
        </w:tabs>
        <w:ind w:left="-567" w:right="-567"/>
        <w:jc w:val="center"/>
        <w:rPr>
          <w:sz w:val="36"/>
          <w:szCs w:val="36"/>
        </w:rPr>
      </w:pPr>
      <w:r w:rsidRPr="00BC78CF">
        <w:rPr>
          <w:sz w:val="36"/>
          <w:szCs w:val="36"/>
        </w:rPr>
        <w:t>Mark-up version</w:t>
      </w:r>
      <w:r w:rsidR="00EA4F44" w:rsidRPr="00BC78CF">
        <w:rPr>
          <w:sz w:val="36"/>
          <w:szCs w:val="36"/>
        </w:rPr>
        <w:br/>
      </w:r>
      <w:r w:rsidR="003B3C35">
        <w:rPr>
          <w:sz w:val="36"/>
          <w:szCs w:val="36"/>
        </w:rPr>
        <w:t>Exposure</w:t>
      </w:r>
      <w:r w:rsidRPr="00BC78CF">
        <w:rPr>
          <w:sz w:val="36"/>
          <w:szCs w:val="36"/>
        </w:rPr>
        <w:t xml:space="preserve"> draft</w:t>
      </w:r>
    </w:p>
    <w:p w14:paraId="1ECC129D" w14:textId="77777777" w:rsidR="00387C70" w:rsidRPr="00417701" w:rsidRDefault="00387C70" w:rsidP="00387C70">
      <w:pPr>
        <w:pStyle w:val="ttDraftstrip"/>
        <w:tabs>
          <w:tab w:val="center" w:pos="3969"/>
          <w:tab w:val="right" w:pos="9639"/>
          <w:tab w:val="right" w:pos="9923"/>
        </w:tabs>
        <w:ind w:left="-567" w:right="-567"/>
        <w:jc w:val="center"/>
        <w:rPr>
          <w:color w:val="0000FF"/>
          <w:sz w:val="36"/>
          <w:szCs w:val="36"/>
        </w:rPr>
      </w:pPr>
    </w:p>
    <w:p w14:paraId="0B6F41A5" w14:textId="77777777" w:rsidR="00CF0E3D" w:rsidRPr="00796ADB" w:rsidRDefault="00CF0E3D" w:rsidP="00CF0E3D">
      <w:pPr>
        <w:outlineLvl w:val="0"/>
        <w:rPr>
          <w:sz w:val="36"/>
        </w:rPr>
      </w:pPr>
      <w:r w:rsidRPr="00796ADB">
        <w:rPr>
          <w:sz w:val="36"/>
        </w:rPr>
        <w:t>Contents</w:t>
      </w:r>
    </w:p>
    <w:p w14:paraId="74E586FF" w14:textId="57D4DEFE" w:rsidR="008144BE" w:rsidRDefault="00CF0E3D">
      <w:pPr>
        <w:pStyle w:val="TOC2"/>
        <w:rPr>
          <w:rFonts w:asciiTheme="minorHAnsi" w:eastAsiaTheme="minorEastAsia" w:hAnsiTheme="minorHAnsi" w:cstheme="minorBidi"/>
          <w:b w:val="0"/>
          <w:noProof/>
          <w:kern w:val="0"/>
          <w:sz w:val="22"/>
          <w:szCs w:val="22"/>
        </w:rPr>
      </w:pPr>
      <w:r>
        <w:rPr>
          <w:b w:val="0"/>
        </w:rPr>
        <w:fldChar w:fldCharType="begin"/>
      </w:r>
      <w:r w:rsidRPr="00796ADB">
        <w:instrText xml:space="preserve"> TOC \o "1-9" </w:instrText>
      </w:r>
      <w:r>
        <w:rPr>
          <w:b w:val="0"/>
        </w:rPr>
        <w:fldChar w:fldCharType="separate"/>
      </w:r>
      <w:r w:rsidR="008144BE">
        <w:rPr>
          <w:noProof/>
        </w:rPr>
        <w:t>Part 1—Preliminary</w:t>
      </w:r>
      <w:r w:rsidR="008144BE">
        <w:rPr>
          <w:noProof/>
        </w:rPr>
        <w:tab/>
      </w:r>
      <w:r w:rsidR="008144BE">
        <w:rPr>
          <w:noProof/>
        </w:rPr>
        <w:fldChar w:fldCharType="begin"/>
      </w:r>
      <w:r w:rsidR="008144BE">
        <w:rPr>
          <w:noProof/>
        </w:rPr>
        <w:instrText xml:space="preserve"> PAGEREF _Toc74916064 \h </w:instrText>
      </w:r>
      <w:r w:rsidR="008144BE">
        <w:rPr>
          <w:noProof/>
        </w:rPr>
      </w:r>
      <w:r w:rsidR="008144BE">
        <w:rPr>
          <w:noProof/>
        </w:rPr>
        <w:fldChar w:fldCharType="separate"/>
      </w:r>
      <w:r w:rsidR="00A84D48">
        <w:rPr>
          <w:noProof/>
        </w:rPr>
        <w:t>9</w:t>
      </w:r>
      <w:r w:rsidR="008144BE">
        <w:rPr>
          <w:noProof/>
        </w:rPr>
        <w:fldChar w:fldCharType="end"/>
      </w:r>
    </w:p>
    <w:p w14:paraId="2478D8ED" w14:textId="4B65B96E" w:rsidR="008144BE" w:rsidRDefault="008144BE">
      <w:pPr>
        <w:pStyle w:val="TOC3"/>
        <w:rPr>
          <w:rFonts w:asciiTheme="minorHAnsi" w:eastAsiaTheme="minorEastAsia" w:hAnsiTheme="minorHAnsi" w:cstheme="minorBidi"/>
          <w:b w:val="0"/>
          <w:noProof/>
          <w:kern w:val="0"/>
          <w:szCs w:val="22"/>
        </w:rPr>
      </w:pPr>
      <w:r>
        <w:rPr>
          <w:noProof/>
        </w:rPr>
        <w:t>Division 1.1—Preliminary</w:t>
      </w:r>
      <w:r>
        <w:rPr>
          <w:noProof/>
        </w:rPr>
        <w:tab/>
      </w:r>
      <w:r>
        <w:rPr>
          <w:noProof/>
        </w:rPr>
        <w:fldChar w:fldCharType="begin"/>
      </w:r>
      <w:r>
        <w:rPr>
          <w:noProof/>
        </w:rPr>
        <w:instrText xml:space="preserve"> PAGEREF _Toc74916065 \h </w:instrText>
      </w:r>
      <w:r>
        <w:rPr>
          <w:noProof/>
        </w:rPr>
      </w:r>
      <w:r>
        <w:rPr>
          <w:noProof/>
        </w:rPr>
        <w:fldChar w:fldCharType="separate"/>
      </w:r>
      <w:r w:rsidR="00A84D48">
        <w:rPr>
          <w:noProof/>
        </w:rPr>
        <w:t>9</w:t>
      </w:r>
      <w:r>
        <w:rPr>
          <w:noProof/>
        </w:rPr>
        <w:fldChar w:fldCharType="end"/>
      </w:r>
    </w:p>
    <w:p w14:paraId="4B26D257" w14:textId="24DE9563" w:rsidR="008144BE" w:rsidRDefault="008144BE">
      <w:pPr>
        <w:pStyle w:val="TOC5"/>
        <w:rPr>
          <w:rFonts w:asciiTheme="minorHAnsi" w:eastAsiaTheme="minorEastAsia" w:hAnsiTheme="minorHAnsi" w:cstheme="minorBidi"/>
          <w:noProof/>
          <w:kern w:val="0"/>
          <w:sz w:val="22"/>
          <w:szCs w:val="22"/>
        </w:rPr>
      </w:pPr>
      <w:r>
        <w:rPr>
          <w:noProof/>
        </w:rPr>
        <w:t>1.1  Name</w:t>
      </w:r>
      <w:r>
        <w:rPr>
          <w:noProof/>
        </w:rPr>
        <w:tab/>
      </w:r>
      <w:r>
        <w:rPr>
          <w:noProof/>
        </w:rPr>
        <w:fldChar w:fldCharType="begin"/>
      </w:r>
      <w:r>
        <w:rPr>
          <w:noProof/>
        </w:rPr>
        <w:instrText xml:space="preserve"> PAGEREF _Toc74916066 \h </w:instrText>
      </w:r>
      <w:r>
        <w:rPr>
          <w:noProof/>
        </w:rPr>
      </w:r>
      <w:r>
        <w:rPr>
          <w:noProof/>
        </w:rPr>
        <w:fldChar w:fldCharType="separate"/>
      </w:r>
      <w:r w:rsidR="00A84D48">
        <w:rPr>
          <w:noProof/>
        </w:rPr>
        <w:t>9</w:t>
      </w:r>
      <w:r>
        <w:rPr>
          <w:noProof/>
        </w:rPr>
        <w:fldChar w:fldCharType="end"/>
      </w:r>
    </w:p>
    <w:p w14:paraId="2B603012" w14:textId="7CB13D4A" w:rsidR="008144BE" w:rsidRDefault="008144BE">
      <w:pPr>
        <w:pStyle w:val="TOC5"/>
        <w:rPr>
          <w:rFonts w:asciiTheme="minorHAnsi" w:eastAsiaTheme="minorEastAsia" w:hAnsiTheme="minorHAnsi" w:cstheme="minorBidi"/>
          <w:noProof/>
          <w:kern w:val="0"/>
          <w:sz w:val="22"/>
          <w:szCs w:val="22"/>
        </w:rPr>
      </w:pPr>
      <w:r>
        <w:rPr>
          <w:noProof/>
        </w:rPr>
        <w:t>1.3  Authority</w:t>
      </w:r>
      <w:r>
        <w:rPr>
          <w:noProof/>
        </w:rPr>
        <w:tab/>
      </w:r>
      <w:r>
        <w:rPr>
          <w:noProof/>
        </w:rPr>
        <w:fldChar w:fldCharType="begin"/>
      </w:r>
      <w:r>
        <w:rPr>
          <w:noProof/>
        </w:rPr>
        <w:instrText xml:space="preserve"> PAGEREF _Toc74916067 \h </w:instrText>
      </w:r>
      <w:r>
        <w:rPr>
          <w:noProof/>
        </w:rPr>
      </w:r>
      <w:r>
        <w:rPr>
          <w:noProof/>
        </w:rPr>
        <w:fldChar w:fldCharType="separate"/>
      </w:r>
      <w:r w:rsidR="00A84D48">
        <w:rPr>
          <w:noProof/>
        </w:rPr>
        <w:t>9</w:t>
      </w:r>
      <w:r>
        <w:rPr>
          <w:noProof/>
        </w:rPr>
        <w:fldChar w:fldCharType="end"/>
      </w:r>
    </w:p>
    <w:p w14:paraId="2420DB90" w14:textId="476A0066" w:rsidR="008144BE" w:rsidRDefault="008144BE">
      <w:pPr>
        <w:pStyle w:val="TOC3"/>
        <w:rPr>
          <w:rFonts w:asciiTheme="minorHAnsi" w:eastAsiaTheme="minorEastAsia" w:hAnsiTheme="minorHAnsi" w:cstheme="minorBidi"/>
          <w:b w:val="0"/>
          <w:noProof/>
          <w:kern w:val="0"/>
          <w:szCs w:val="22"/>
        </w:rPr>
      </w:pPr>
      <w:r>
        <w:rPr>
          <w:noProof/>
        </w:rPr>
        <w:t>Division 1.2—Simplified outline and overview of these rules</w:t>
      </w:r>
      <w:r>
        <w:rPr>
          <w:noProof/>
        </w:rPr>
        <w:tab/>
      </w:r>
      <w:r>
        <w:rPr>
          <w:noProof/>
        </w:rPr>
        <w:fldChar w:fldCharType="begin"/>
      </w:r>
      <w:r>
        <w:rPr>
          <w:noProof/>
        </w:rPr>
        <w:instrText xml:space="preserve"> PAGEREF _Toc74916068 \h </w:instrText>
      </w:r>
      <w:r>
        <w:rPr>
          <w:noProof/>
        </w:rPr>
      </w:r>
      <w:r>
        <w:rPr>
          <w:noProof/>
        </w:rPr>
        <w:fldChar w:fldCharType="separate"/>
      </w:r>
      <w:r w:rsidR="00A84D48">
        <w:rPr>
          <w:noProof/>
        </w:rPr>
        <w:t>10</w:t>
      </w:r>
      <w:r>
        <w:rPr>
          <w:noProof/>
        </w:rPr>
        <w:fldChar w:fldCharType="end"/>
      </w:r>
    </w:p>
    <w:p w14:paraId="1B93DF8F" w14:textId="75711F93" w:rsidR="008144BE" w:rsidRDefault="008144BE">
      <w:pPr>
        <w:pStyle w:val="TOC5"/>
        <w:rPr>
          <w:rFonts w:asciiTheme="minorHAnsi" w:eastAsiaTheme="minorEastAsia" w:hAnsiTheme="minorHAnsi" w:cstheme="minorBidi"/>
          <w:noProof/>
          <w:kern w:val="0"/>
          <w:sz w:val="22"/>
          <w:szCs w:val="22"/>
        </w:rPr>
      </w:pPr>
      <w:r>
        <w:rPr>
          <w:noProof/>
        </w:rPr>
        <w:t>1.4  Simplified outline of these rules</w:t>
      </w:r>
      <w:r>
        <w:rPr>
          <w:noProof/>
        </w:rPr>
        <w:tab/>
      </w:r>
      <w:r>
        <w:rPr>
          <w:noProof/>
        </w:rPr>
        <w:fldChar w:fldCharType="begin"/>
      </w:r>
      <w:r>
        <w:rPr>
          <w:noProof/>
        </w:rPr>
        <w:instrText xml:space="preserve"> PAGEREF _Toc74916069 \h </w:instrText>
      </w:r>
      <w:r>
        <w:rPr>
          <w:noProof/>
        </w:rPr>
      </w:r>
      <w:r>
        <w:rPr>
          <w:noProof/>
        </w:rPr>
        <w:fldChar w:fldCharType="separate"/>
      </w:r>
      <w:r w:rsidR="00A84D48">
        <w:rPr>
          <w:noProof/>
        </w:rPr>
        <w:t>10</w:t>
      </w:r>
      <w:r>
        <w:rPr>
          <w:noProof/>
        </w:rPr>
        <w:fldChar w:fldCharType="end"/>
      </w:r>
    </w:p>
    <w:p w14:paraId="12F425ED" w14:textId="06033DD2" w:rsidR="008144BE" w:rsidRDefault="008144BE">
      <w:pPr>
        <w:pStyle w:val="TOC5"/>
        <w:rPr>
          <w:rFonts w:asciiTheme="minorHAnsi" w:eastAsiaTheme="minorEastAsia" w:hAnsiTheme="minorHAnsi" w:cstheme="minorBidi"/>
          <w:noProof/>
          <w:kern w:val="0"/>
          <w:sz w:val="22"/>
          <w:szCs w:val="22"/>
        </w:rPr>
      </w:pPr>
      <w:r w:rsidRPr="0094186E">
        <w:rPr>
          <w:noProof/>
          <w:color w:val="000000" w:themeColor="text1"/>
        </w:rPr>
        <w:t>1.5  What these rules are about</w:t>
      </w:r>
      <w:r>
        <w:rPr>
          <w:noProof/>
        </w:rPr>
        <w:tab/>
      </w:r>
      <w:r>
        <w:rPr>
          <w:noProof/>
        </w:rPr>
        <w:fldChar w:fldCharType="begin"/>
      </w:r>
      <w:r>
        <w:rPr>
          <w:noProof/>
        </w:rPr>
        <w:instrText xml:space="preserve"> PAGEREF _Toc74916070 \h </w:instrText>
      </w:r>
      <w:r>
        <w:rPr>
          <w:noProof/>
        </w:rPr>
      </w:r>
      <w:r>
        <w:rPr>
          <w:noProof/>
        </w:rPr>
        <w:fldChar w:fldCharType="separate"/>
      </w:r>
      <w:r w:rsidR="00A84D48">
        <w:rPr>
          <w:noProof/>
        </w:rPr>
        <w:t>11</w:t>
      </w:r>
      <w:r>
        <w:rPr>
          <w:noProof/>
        </w:rPr>
        <w:fldChar w:fldCharType="end"/>
      </w:r>
    </w:p>
    <w:p w14:paraId="3B5FB8AF" w14:textId="25A4F1FA" w:rsidR="008144BE" w:rsidRDefault="008144BE">
      <w:pPr>
        <w:pStyle w:val="TOC5"/>
        <w:rPr>
          <w:rFonts w:asciiTheme="minorHAnsi" w:eastAsiaTheme="minorEastAsia" w:hAnsiTheme="minorHAnsi" w:cstheme="minorBidi"/>
          <w:noProof/>
          <w:kern w:val="0"/>
          <w:sz w:val="22"/>
          <w:szCs w:val="22"/>
        </w:rPr>
      </w:pPr>
      <w:r>
        <w:rPr>
          <w:noProof/>
        </w:rPr>
        <w:t>1.6  Overview of these rules</w:t>
      </w:r>
      <w:r>
        <w:rPr>
          <w:noProof/>
        </w:rPr>
        <w:tab/>
      </w:r>
      <w:r>
        <w:rPr>
          <w:noProof/>
        </w:rPr>
        <w:fldChar w:fldCharType="begin"/>
      </w:r>
      <w:r>
        <w:rPr>
          <w:noProof/>
        </w:rPr>
        <w:instrText xml:space="preserve"> PAGEREF _Toc74916071 \h </w:instrText>
      </w:r>
      <w:r>
        <w:rPr>
          <w:noProof/>
        </w:rPr>
      </w:r>
      <w:r>
        <w:rPr>
          <w:noProof/>
        </w:rPr>
        <w:fldChar w:fldCharType="separate"/>
      </w:r>
      <w:r w:rsidR="00A84D48">
        <w:rPr>
          <w:noProof/>
        </w:rPr>
        <w:t>11</w:t>
      </w:r>
      <w:r>
        <w:rPr>
          <w:noProof/>
        </w:rPr>
        <w:fldChar w:fldCharType="end"/>
      </w:r>
    </w:p>
    <w:p w14:paraId="623CE544" w14:textId="12E485CF" w:rsidR="008144BE" w:rsidRDefault="008144BE">
      <w:pPr>
        <w:pStyle w:val="TOC3"/>
        <w:rPr>
          <w:rFonts w:asciiTheme="minorHAnsi" w:eastAsiaTheme="minorEastAsia" w:hAnsiTheme="minorHAnsi" w:cstheme="minorBidi"/>
          <w:b w:val="0"/>
          <w:noProof/>
          <w:kern w:val="0"/>
          <w:szCs w:val="22"/>
        </w:rPr>
      </w:pPr>
      <w:r>
        <w:rPr>
          <w:noProof/>
        </w:rPr>
        <w:t>Division 1.3—Interpretation</w:t>
      </w:r>
      <w:r>
        <w:rPr>
          <w:noProof/>
        </w:rPr>
        <w:tab/>
      </w:r>
      <w:r>
        <w:rPr>
          <w:noProof/>
        </w:rPr>
        <w:fldChar w:fldCharType="begin"/>
      </w:r>
      <w:r>
        <w:rPr>
          <w:noProof/>
        </w:rPr>
        <w:instrText xml:space="preserve"> PAGEREF _Toc74916072 \h </w:instrText>
      </w:r>
      <w:r>
        <w:rPr>
          <w:noProof/>
        </w:rPr>
      </w:r>
      <w:r>
        <w:rPr>
          <w:noProof/>
        </w:rPr>
        <w:fldChar w:fldCharType="separate"/>
      </w:r>
      <w:r w:rsidR="00A84D48">
        <w:rPr>
          <w:noProof/>
        </w:rPr>
        <w:t>13</w:t>
      </w:r>
      <w:r>
        <w:rPr>
          <w:noProof/>
        </w:rPr>
        <w:fldChar w:fldCharType="end"/>
      </w:r>
    </w:p>
    <w:p w14:paraId="55345DC9" w14:textId="3F9C9082" w:rsidR="008144BE" w:rsidRDefault="008144BE">
      <w:pPr>
        <w:pStyle w:val="TOC5"/>
        <w:rPr>
          <w:rFonts w:asciiTheme="minorHAnsi" w:eastAsiaTheme="minorEastAsia" w:hAnsiTheme="minorHAnsi" w:cstheme="minorBidi"/>
          <w:noProof/>
          <w:kern w:val="0"/>
          <w:sz w:val="22"/>
          <w:szCs w:val="22"/>
        </w:rPr>
      </w:pPr>
      <w:r>
        <w:rPr>
          <w:noProof/>
        </w:rPr>
        <w:t>1.7  Definitions</w:t>
      </w:r>
      <w:r>
        <w:rPr>
          <w:noProof/>
        </w:rPr>
        <w:tab/>
      </w:r>
      <w:r>
        <w:rPr>
          <w:noProof/>
        </w:rPr>
        <w:fldChar w:fldCharType="begin"/>
      </w:r>
      <w:r>
        <w:rPr>
          <w:noProof/>
        </w:rPr>
        <w:instrText xml:space="preserve"> PAGEREF _Toc74916073 \h </w:instrText>
      </w:r>
      <w:r>
        <w:rPr>
          <w:noProof/>
        </w:rPr>
      </w:r>
      <w:r>
        <w:rPr>
          <w:noProof/>
        </w:rPr>
        <w:fldChar w:fldCharType="separate"/>
      </w:r>
      <w:r w:rsidR="00A84D48">
        <w:rPr>
          <w:noProof/>
        </w:rPr>
        <w:t>13</w:t>
      </w:r>
      <w:r>
        <w:rPr>
          <w:noProof/>
        </w:rPr>
        <w:fldChar w:fldCharType="end"/>
      </w:r>
    </w:p>
    <w:p w14:paraId="54FEBA11" w14:textId="3BCBA1C9" w:rsidR="008144BE" w:rsidRDefault="008144BE">
      <w:pPr>
        <w:pStyle w:val="TOC5"/>
        <w:rPr>
          <w:rFonts w:asciiTheme="minorHAnsi" w:eastAsiaTheme="minorEastAsia" w:hAnsiTheme="minorHAnsi" w:cstheme="minorBidi"/>
          <w:noProof/>
          <w:kern w:val="0"/>
          <w:sz w:val="22"/>
          <w:szCs w:val="22"/>
        </w:rPr>
      </w:pPr>
      <w:r>
        <w:rPr>
          <w:noProof/>
        </w:rPr>
        <w:t>1.8  Data minimisation principle</w:t>
      </w:r>
      <w:r>
        <w:rPr>
          <w:noProof/>
        </w:rPr>
        <w:tab/>
      </w:r>
      <w:r>
        <w:rPr>
          <w:noProof/>
        </w:rPr>
        <w:fldChar w:fldCharType="begin"/>
      </w:r>
      <w:r>
        <w:rPr>
          <w:noProof/>
        </w:rPr>
        <w:instrText xml:space="preserve"> PAGEREF _Toc74916074 \h </w:instrText>
      </w:r>
      <w:r>
        <w:rPr>
          <w:noProof/>
        </w:rPr>
      </w:r>
      <w:r>
        <w:rPr>
          <w:noProof/>
        </w:rPr>
        <w:fldChar w:fldCharType="separate"/>
      </w:r>
      <w:r w:rsidR="00A84D48">
        <w:rPr>
          <w:noProof/>
        </w:rPr>
        <w:t>20</w:t>
      </w:r>
      <w:r>
        <w:rPr>
          <w:noProof/>
        </w:rPr>
        <w:fldChar w:fldCharType="end"/>
      </w:r>
    </w:p>
    <w:p w14:paraId="4B34F40B" w14:textId="43274148" w:rsidR="008144BE" w:rsidRDefault="008144BE">
      <w:pPr>
        <w:pStyle w:val="TOC5"/>
        <w:rPr>
          <w:rFonts w:asciiTheme="minorHAnsi" w:eastAsiaTheme="minorEastAsia" w:hAnsiTheme="minorHAnsi" w:cstheme="minorBidi"/>
          <w:noProof/>
          <w:kern w:val="0"/>
          <w:sz w:val="22"/>
          <w:szCs w:val="22"/>
        </w:rPr>
      </w:pPr>
      <w:r>
        <w:rPr>
          <w:noProof/>
        </w:rPr>
        <w:t>1.9  Fit and proper person criteria</w:t>
      </w:r>
      <w:r>
        <w:rPr>
          <w:noProof/>
        </w:rPr>
        <w:tab/>
      </w:r>
      <w:r>
        <w:rPr>
          <w:noProof/>
        </w:rPr>
        <w:fldChar w:fldCharType="begin"/>
      </w:r>
      <w:r>
        <w:rPr>
          <w:noProof/>
        </w:rPr>
        <w:instrText xml:space="preserve"> PAGEREF _Toc74916075 \h </w:instrText>
      </w:r>
      <w:r>
        <w:rPr>
          <w:noProof/>
        </w:rPr>
      </w:r>
      <w:r>
        <w:rPr>
          <w:noProof/>
        </w:rPr>
        <w:fldChar w:fldCharType="separate"/>
      </w:r>
      <w:r w:rsidR="00A84D48">
        <w:rPr>
          <w:noProof/>
        </w:rPr>
        <w:t>21</w:t>
      </w:r>
      <w:r>
        <w:rPr>
          <w:noProof/>
        </w:rPr>
        <w:fldChar w:fldCharType="end"/>
      </w:r>
    </w:p>
    <w:p w14:paraId="498329FB" w14:textId="2A3FF77F" w:rsidR="008144BE" w:rsidRDefault="008144BE">
      <w:pPr>
        <w:pStyle w:val="TOC5"/>
        <w:rPr>
          <w:rFonts w:asciiTheme="minorHAnsi" w:eastAsiaTheme="minorEastAsia" w:hAnsiTheme="minorHAnsi" w:cstheme="minorBidi"/>
          <w:noProof/>
          <w:kern w:val="0"/>
          <w:sz w:val="22"/>
          <w:szCs w:val="22"/>
        </w:rPr>
      </w:pPr>
      <w:r w:rsidRPr="0094186E">
        <w:rPr>
          <w:noProof/>
          <w:shd w:val="clear" w:color="auto" w:fill="FFFFFF"/>
        </w:rPr>
        <w:t xml:space="preserve">1.10  Meaning of </w:t>
      </w:r>
      <w:r w:rsidRPr="0094186E">
        <w:rPr>
          <w:i/>
          <w:noProof/>
          <w:shd w:val="clear" w:color="auto" w:fill="FFFFFF"/>
        </w:rPr>
        <w:t xml:space="preserve">outsourced service provider </w:t>
      </w:r>
      <w:r w:rsidRPr="0094186E">
        <w:rPr>
          <w:noProof/>
          <w:shd w:val="clear" w:color="auto" w:fill="FFFFFF"/>
        </w:rPr>
        <w:t>and related terms</w:t>
      </w:r>
      <w:r>
        <w:rPr>
          <w:noProof/>
        </w:rPr>
        <w:tab/>
      </w:r>
      <w:r>
        <w:rPr>
          <w:noProof/>
        </w:rPr>
        <w:fldChar w:fldCharType="begin"/>
      </w:r>
      <w:r>
        <w:rPr>
          <w:noProof/>
        </w:rPr>
        <w:instrText xml:space="preserve"> PAGEREF _Toc74916076 \h </w:instrText>
      </w:r>
      <w:r>
        <w:rPr>
          <w:noProof/>
        </w:rPr>
      </w:r>
      <w:r>
        <w:rPr>
          <w:noProof/>
        </w:rPr>
        <w:fldChar w:fldCharType="separate"/>
      </w:r>
      <w:r w:rsidR="00A84D48">
        <w:rPr>
          <w:noProof/>
        </w:rPr>
        <w:t>22</w:t>
      </w:r>
      <w:r>
        <w:rPr>
          <w:noProof/>
        </w:rPr>
        <w:fldChar w:fldCharType="end"/>
      </w:r>
    </w:p>
    <w:p w14:paraId="47EE4FCF" w14:textId="5FE372F0" w:rsidR="008144BE" w:rsidRDefault="008144BE">
      <w:pPr>
        <w:pStyle w:val="TOC5"/>
        <w:rPr>
          <w:rFonts w:asciiTheme="minorHAnsi" w:eastAsiaTheme="minorEastAsia" w:hAnsiTheme="minorHAnsi" w:cstheme="minorBidi"/>
          <w:noProof/>
          <w:kern w:val="0"/>
          <w:sz w:val="22"/>
          <w:szCs w:val="22"/>
        </w:rPr>
      </w:pPr>
      <w:r w:rsidRPr="00BC78CF">
        <w:rPr>
          <w:noProof/>
          <w:color w:val="FF0000"/>
          <w:shd w:val="clear" w:color="auto" w:fill="FFFFFF"/>
        </w:rPr>
        <w:t xml:space="preserve">1.10AA  Meaning of </w:t>
      </w:r>
      <w:r w:rsidRPr="00BC78CF">
        <w:rPr>
          <w:i/>
          <w:noProof/>
          <w:color w:val="FF0000"/>
          <w:shd w:val="clear" w:color="auto" w:fill="FFFFFF"/>
        </w:rPr>
        <w:t xml:space="preserve">CDR representative </w:t>
      </w:r>
      <w:r w:rsidRPr="00BC78CF">
        <w:rPr>
          <w:noProof/>
          <w:color w:val="FF0000"/>
          <w:shd w:val="clear" w:color="auto" w:fill="FFFFFF"/>
        </w:rPr>
        <w:t>and related terms</w:t>
      </w:r>
      <w:r>
        <w:rPr>
          <w:noProof/>
        </w:rPr>
        <w:tab/>
      </w:r>
      <w:r>
        <w:rPr>
          <w:noProof/>
        </w:rPr>
        <w:fldChar w:fldCharType="begin"/>
      </w:r>
      <w:r>
        <w:rPr>
          <w:noProof/>
        </w:rPr>
        <w:instrText xml:space="preserve"> PAGEREF _Toc74916077 \h </w:instrText>
      </w:r>
      <w:r>
        <w:rPr>
          <w:noProof/>
        </w:rPr>
      </w:r>
      <w:r>
        <w:rPr>
          <w:noProof/>
        </w:rPr>
        <w:fldChar w:fldCharType="separate"/>
      </w:r>
      <w:r w:rsidR="00A84D48">
        <w:rPr>
          <w:noProof/>
        </w:rPr>
        <w:t>23</w:t>
      </w:r>
      <w:r>
        <w:rPr>
          <w:noProof/>
        </w:rPr>
        <w:fldChar w:fldCharType="end"/>
      </w:r>
    </w:p>
    <w:p w14:paraId="1C7898EF" w14:textId="01991EA9" w:rsidR="008144BE" w:rsidRDefault="008144BE">
      <w:pPr>
        <w:pStyle w:val="TOC5"/>
        <w:rPr>
          <w:rFonts w:asciiTheme="minorHAnsi" w:eastAsiaTheme="minorEastAsia" w:hAnsiTheme="minorHAnsi" w:cstheme="minorBidi"/>
          <w:noProof/>
          <w:kern w:val="0"/>
          <w:sz w:val="22"/>
          <w:szCs w:val="22"/>
        </w:rPr>
      </w:pPr>
      <w:r>
        <w:rPr>
          <w:noProof/>
        </w:rPr>
        <w:t>1.10A  Types of consents</w:t>
      </w:r>
      <w:r>
        <w:rPr>
          <w:noProof/>
        </w:rPr>
        <w:tab/>
      </w:r>
      <w:r>
        <w:rPr>
          <w:noProof/>
        </w:rPr>
        <w:fldChar w:fldCharType="begin"/>
      </w:r>
      <w:r>
        <w:rPr>
          <w:noProof/>
        </w:rPr>
        <w:instrText xml:space="preserve"> PAGEREF _Toc74916078 \h </w:instrText>
      </w:r>
      <w:r>
        <w:rPr>
          <w:noProof/>
        </w:rPr>
      </w:r>
      <w:r>
        <w:rPr>
          <w:noProof/>
        </w:rPr>
        <w:fldChar w:fldCharType="separate"/>
      </w:r>
      <w:r w:rsidR="00A84D48">
        <w:rPr>
          <w:noProof/>
        </w:rPr>
        <w:t>24</w:t>
      </w:r>
      <w:r>
        <w:rPr>
          <w:noProof/>
        </w:rPr>
        <w:fldChar w:fldCharType="end"/>
      </w:r>
    </w:p>
    <w:p w14:paraId="598FCF68" w14:textId="4D12A3BC" w:rsidR="008144BE" w:rsidRDefault="008144BE">
      <w:pPr>
        <w:pStyle w:val="TOC5"/>
        <w:rPr>
          <w:rFonts w:asciiTheme="minorHAnsi" w:eastAsiaTheme="minorEastAsia" w:hAnsiTheme="minorHAnsi" w:cstheme="minorBidi"/>
          <w:noProof/>
          <w:kern w:val="0"/>
          <w:sz w:val="22"/>
          <w:szCs w:val="22"/>
        </w:rPr>
      </w:pPr>
      <w:r w:rsidRPr="00BC78CF">
        <w:rPr>
          <w:noProof/>
          <w:color w:val="FF0000"/>
        </w:rPr>
        <w:t>1.10C  Trusted advisers</w:t>
      </w:r>
      <w:r>
        <w:rPr>
          <w:noProof/>
        </w:rPr>
        <w:tab/>
      </w:r>
      <w:r>
        <w:rPr>
          <w:noProof/>
        </w:rPr>
        <w:fldChar w:fldCharType="begin"/>
      </w:r>
      <w:r>
        <w:rPr>
          <w:noProof/>
        </w:rPr>
        <w:instrText xml:space="preserve"> PAGEREF _Toc74916079 \h </w:instrText>
      </w:r>
      <w:r>
        <w:rPr>
          <w:noProof/>
        </w:rPr>
      </w:r>
      <w:r>
        <w:rPr>
          <w:noProof/>
        </w:rPr>
        <w:fldChar w:fldCharType="separate"/>
      </w:r>
      <w:r w:rsidR="00A84D48">
        <w:rPr>
          <w:noProof/>
        </w:rPr>
        <w:t>25</w:t>
      </w:r>
      <w:r>
        <w:rPr>
          <w:noProof/>
        </w:rPr>
        <w:fldChar w:fldCharType="end"/>
      </w:r>
    </w:p>
    <w:p w14:paraId="7D14A6AA" w14:textId="722CA104" w:rsidR="008144BE" w:rsidRDefault="008144BE">
      <w:pPr>
        <w:pStyle w:val="TOC5"/>
        <w:rPr>
          <w:rFonts w:asciiTheme="minorHAnsi" w:eastAsiaTheme="minorEastAsia" w:hAnsiTheme="minorHAnsi" w:cstheme="minorBidi"/>
          <w:noProof/>
          <w:kern w:val="0"/>
          <w:sz w:val="22"/>
          <w:szCs w:val="22"/>
        </w:rPr>
      </w:pPr>
      <w:r w:rsidRPr="00BC78CF">
        <w:rPr>
          <w:noProof/>
          <w:color w:val="FF0000"/>
        </w:rPr>
        <w:t xml:space="preserve">1.10D  Meaning of </w:t>
      </w:r>
      <w:r w:rsidRPr="00BC78CF">
        <w:rPr>
          <w:i/>
          <w:noProof/>
          <w:color w:val="FF0000"/>
        </w:rPr>
        <w:t>sponsorship arrangement</w:t>
      </w:r>
      <w:r w:rsidRPr="00BC78CF">
        <w:rPr>
          <w:iCs/>
          <w:noProof/>
          <w:color w:val="FF0000"/>
        </w:rPr>
        <w:t>,</w:t>
      </w:r>
      <w:r w:rsidRPr="00BC78CF">
        <w:rPr>
          <w:bCs/>
          <w:iCs/>
          <w:noProof/>
          <w:color w:val="FF0000"/>
        </w:rPr>
        <w:t xml:space="preserve"> </w:t>
      </w:r>
      <w:r w:rsidRPr="00BC78CF">
        <w:rPr>
          <w:i/>
          <w:noProof/>
          <w:color w:val="FF0000"/>
        </w:rPr>
        <w:t>sponsor</w:t>
      </w:r>
      <w:r w:rsidRPr="00BC78CF">
        <w:rPr>
          <w:noProof/>
          <w:color w:val="FF0000"/>
        </w:rPr>
        <w:t xml:space="preserve"> and </w:t>
      </w:r>
      <w:r w:rsidRPr="00BC78CF">
        <w:rPr>
          <w:i/>
          <w:noProof/>
          <w:color w:val="FF0000"/>
        </w:rPr>
        <w:t>affiliate</w:t>
      </w:r>
      <w:r>
        <w:rPr>
          <w:noProof/>
        </w:rPr>
        <w:tab/>
      </w:r>
      <w:r>
        <w:rPr>
          <w:noProof/>
        </w:rPr>
        <w:fldChar w:fldCharType="begin"/>
      </w:r>
      <w:r>
        <w:rPr>
          <w:noProof/>
        </w:rPr>
        <w:instrText xml:space="preserve"> PAGEREF _Toc74916080 \h </w:instrText>
      </w:r>
      <w:r>
        <w:rPr>
          <w:noProof/>
        </w:rPr>
      </w:r>
      <w:r>
        <w:rPr>
          <w:noProof/>
        </w:rPr>
        <w:fldChar w:fldCharType="separate"/>
      </w:r>
      <w:r w:rsidR="00A84D48">
        <w:rPr>
          <w:noProof/>
        </w:rPr>
        <w:t>26</w:t>
      </w:r>
      <w:r>
        <w:rPr>
          <w:noProof/>
        </w:rPr>
        <w:fldChar w:fldCharType="end"/>
      </w:r>
    </w:p>
    <w:p w14:paraId="1C4AB874" w14:textId="26D44979" w:rsidR="008144BE" w:rsidRDefault="008144BE">
      <w:pPr>
        <w:pStyle w:val="TOC3"/>
        <w:rPr>
          <w:rFonts w:asciiTheme="minorHAnsi" w:eastAsiaTheme="minorEastAsia" w:hAnsiTheme="minorHAnsi" w:cstheme="minorBidi"/>
          <w:b w:val="0"/>
          <w:noProof/>
          <w:kern w:val="0"/>
          <w:szCs w:val="22"/>
        </w:rPr>
      </w:pPr>
      <w:r>
        <w:rPr>
          <w:noProof/>
        </w:rPr>
        <w:t>Division 1.4—</w:t>
      </w:r>
      <w:r w:rsidRPr="0094186E">
        <w:rPr>
          <w:noProof/>
          <w:color w:val="000000"/>
        </w:rPr>
        <w:t>General provisions relating to data holders and to accredited persons</w:t>
      </w:r>
      <w:r>
        <w:rPr>
          <w:noProof/>
        </w:rPr>
        <w:tab/>
      </w:r>
      <w:r>
        <w:rPr>
          <w:noProof/>
        </w:rPr>
        <w:fldChar w:fldCharType="begin"/>
      </w:r>
      <w:r>
        <w:rPr>
          <w:noProof/>
        </w:rPr>
        <w:instrText xml:space="preserve"> PAGEREF _Toc74916081 \h </w:instrText>
      </w:r>
      <w:r>
        <w:rPr>
          <w:noProof/>
        </w:rPr>
      </w:r>
      <w:r>
        <w:rPr>
          <w:noProof/>
        </w:rPr>
        <w:fldChar w:fldCharType="separate"/>
      </w:r>
      <w:r w:rsidR="00A84D48">
        <w:rPr>
          <w:noProof/>
        </w:rPr>
        <w:t>27</w:t>
      </w:r>
      <w:r>
        <w:rPr>
          <w:noProof/>
        </w:rPr>
        <w:fldChar w:fldCharType="end"/>
      </w:r>
    </w:p>
    <w:p w14:paraId="7992F4CE" w14:textId="38DFAAB6" w:rsidR="008144BE" w:rsidRDefault="008144BE">
      <w:pPr>
        <w:pStyle w:val="TOC4"/>
        <w:rPr>
          <w:rFonts w:asciiTheme="minorHAnsi" w:eastAsiaTheme="minorEastAsia" w:hAnsiTheme="minorHAnsi" w:cstheme="minorBidi"/>
          <w:b w:val="0"/>
          <w:noProof/>
          <w:kern w:val="0"/>
          <w:sz w:val="22"/>
          <w:szCs w:val="22"/>
        </w:rPr>
      </w:pPr>
      <w:r>
        <w:rPr>
          <w:noProof/>
        </w:rPr>
        <w:t>Subdivision 1.4.1—Preliminary</w:t>
      </w:r>
      <w:r>
        <w:rPr>
          <w:noProof/>
        </w:rPr>
        <w:tab/>
      </w:r>
      <w:r>
        <w:rPr>
          <w:noProof/>
        </w:rPr>
        <w:fldChar w:fldCharType="begin"/>
      </w:r>
      <w:r>
        <w:rPr>
          <w:noProof/>
        </w:rPr>
        <w:instrText xml:space="preserve"> PAGEREF _Toc74916082 \h </w:instrText>
      </w:r>
      <w:r>
        <w:rPr>
          <w:noProof/>
        </w:rPr>
      </w:r>
      <w:r>
        <w:rPr>
          <w:noProof/>
        </w:rPr>
        <w:fldChar w:fldCharType="separate"/>
      </w:r>
      <w:r w:rsidR="00A84D48">
        <w:rPr>
          <w:noProof/>
        </w:rPr>
        <w:t>27</w:t>
      </w:r>
      <w:r>
        <w:rPr>
          <w:noProof/>
        </w:rPr>
        <w:fldChar w:fldCharType="end"/>
      </w:r>
    </w:p>
    <w:p w14:paraId="15C68BA8" w14:textId="0797D28E" w:rsidR="008144BE" w:rsidRDefault="008144BE">
      <w:pPr>
        <w:pStyle w:val="TOC5"/>
        <w:rPr>
          <w:rFonts w:asciiTheme="minorHAnsi" w:eastAsiaTheme="minorEastAsia" w:hAnsiTheme="minorHAnsi" w:cstheme="minorBidi"/>
          <w:noProof/>
          <w:kern w:val="0"/>
          <w:sz w:val="22"/>
          <w:szCs w:val="22"/>
        </w:rPr>
      </w:pPr>
      <w:r>
        <w:rPr>
          <w:noProof/>
        </w:rPr>
        <w:t>1.11  Simplified outline of Division</w:t>
      </w:r>
      <w:r>
        <w:rPr>
          <w:noProof/>
        </w:rPr>
        <w:tab/>
      </w:r>
      <w:r>
        <w:rPr>
          <w:noProof/>
        </w:rPr>
        <w:fldChar w:fldCharType="begin"/>
      </w:r>
      <w:r>
        <w:rPr>
          <w:noProof/>
        </w:rPr>
        <w:instrText xml:space="preserve"> PAGEREF _Toc74916083 \h </w:instrText>
      </w:r>
      <w:r>
        <w:rPr>
          <w:noProof/>
        </w:rPr>
      </w:r>
      <w:r>
        <w:rPr>
          <w:noProof/>
        </w:rPr>
        <w:fldChar w:fldCharType="separate"/>
      </w:r>
      <w:r w:rsidR="00A84D48">
        <w:rPr>
          <w:noProof/>
        </w:rPr>
        <w:t>27</w:t>
      </w:r>
      <w:r>
        <w:rPr>
          <w:noProof/>
        </w:rPr>
        <w:fldChar w:fldCharType="end"/>
      </w:r>
    </w:p>
    <w:p w14:paraId="7CE87994" w14:textId="3D6E36E6" w:rsidR="008144BE" w:rsidRDefault="008144BE">
      <w:pPr>
        <w:pStyle w:val="TOC4"/>
        <w:rPr>
          <w:rFonts w:asciiTheme="minorHAnsi" w:eastAsiaTheme="minorEastAsia" w:hAnsiTheme="minorHAnsi" w:cstheme="minorBidi"/>
          <w:b w:val="0"/>
          <w:noProof/>
          <w:kern w:val="0"/>
          <w:sz w:val="22"/>
          <w:szCs w:val="22"/>
        </w:rPr>
      </w:pPr>
      <w:r>
        <w:rPr>
          <w:noProof/>
        </w:rPr>
        <w:t>Subdivision 1.4.2—Services for making requests under these rules</w:t>
      </w:r>
      <w:r>
        <w:rPr>
          <w:noProof/>
        </w:rPr>
        <w:tab/>
      </w:r>
      <w:r>
        <w:rPr>
          <w:noProof/>
        </w:rPr>
        <w:fldChar w:fldCharType="begin"/>
      </w:r>
      <w:r>
        <w:rPr>
          <w:noProof/>
        </w:rPr>
        <w:instrText xml:space="preserve"> PAGEREF _Toc74916084 \h </w:instrText>
      </w:r>
      <w:r>
        <w:rPr>
          <w:noProof/>
        </w:rPr>
      </w:r>
      <w:r>
        <w:rPr>
          <w:noProof/>
        </w:rPr>
        <w:fldChar w:fldCharType="separate"/>
      </w:r>
      <w:r w:rsidR="00A84D48">
        <w:rPr>
          <w:noProof/>
        </w:rPr>
        <w:t>28</w:t>
      </w:r>
      <w:r>
        <w:rPr>
          <w:noProof/>
        </w:rPr>
        <w:fldChar w:fldCharType="end"/>
      </w:r>
    </w:p>
    <w:p w14:paraId="7D8D22E4" w14:textId="6126B07D" w:rsidR="008144BE" w:rsidRDefault="008144BE">
      <w:pPr>
        <w:pStyle w:val="TOC5"/>
        <w:rPr>
          <w:rFonts w:asciiTheme="minorHAnsi" w:eastAsiaTheme="minorEastAsia" w:hAnsiTheme="minorHAnsi" w:cstheme="minorBidi"/>
          <w:noProof/>
          <w:kern w:val="0"/>
          <w:sz w:val="22"/>
          <w:szCs w:val="22"/>
        </w:rPr>
      </w:pPr>
      <w:r>
        <w:rPr>
          <w:noProof/>
        </w:rPr>
        <w:t>1.12  Product data request service</w:t>
      </w:r>
      <w:r>
        <w:rPr>
          <w:noProof/>
        </w:rPr>
        <w:tab/>
      </w:r>
      <w:r>
        <w:rPr>
          <w:noProof/>
        </w:rPr>
        <w:fldChar w:fldCharType="begin"/>
      </w:r>
      <w:r>
        <w:rPr>
          <w:noProof/>
        </w:rPr>
        <w:instrText xml:space="preserve"> PAGEREF _Toc74916085 \h </w:instrText>
      </w:r>
      <w:r>
        <w:rPr>
          <w:noProof/>
        </w:rPr>
      </w:r>
      <w:r>
        <w:rPr>
          <w:noProof/>
        </w:rPr>
        <w:fldChar w:fldCharType="separate"/>
      </w:r>
      <w:r w:rsidR="00A84D48">
        <w:rPr>
          <w:noProof/>
        </w:rPr>
        <w:t>28</w:t>
      </w:r>
      <w:r>
        <w:rPr>
          <w:noProof/>
        </w:rPr>
        <w:fldChar w:fldCharType="end"/>
      </w:r>
    </w:p>
    <w:p w14:paraId="2A80760C" w14:textId="4DD83018" w:rsidR="008144BE" w:rsidRDefault="008144BE">
      <w:pPr>
        <w:pStyle w:val="TOC5"/>
        <w:rPr>
          <w:rFonts w:asciiTheme="minorHAnsi" w:eastAsiaTheme="minorEastAsia" w:hAnsiTheme="minorHAnsi" w:cstheme="minorBidi"/>
          <w:noProof/>
          <w:kern w:val="0"/>
          <w:sz w:val="22"/>
          <w:szCs w:val="22"/>
        </w:rPr>
      </w:pPr>
      <w:r>
        <w:rPr>
          <w:noProof/>
        </w:rPr>
        <w:t>1.13  Consumer data request service</w:t>
      </w:r>
      <w:r>
        <w:rPr>
          <w:noProof/>
        </w:rPr>
        <w:tab/>
      </w:r>
      <w:r>
        <w:rPr>
          <w:noProof/>
        </w:rPr>
        <w:fldChar w:fldCharType="begin"/>
      </w:r>
      <w:r>
        <w:rPr>
          <w:noProof/>
        </w:rPr>
        <w:instrText xml:space="preserve"> PAGEREF _Toc74916086 \h </w:instrText>
      </w:r>
      <w:r>
        <w:rPr>
          <w:noProof/>
        </w:rPr>
      </w:r>
      <w:r>
        <w:rPr>
          <w:noProof/>
        </w:rPr>
        <w:fldChar w:fldCharType="separate"/>
      </w:r>
      <w:r w:rsidR="00A84D48">
        <w:rPr>
          <w:noProof/>
        </w:rPr>
        <w:t>28</w:t>
      </w:r>
      <w:r>
        <w:rPr>
          <w:noProof/>
        </w:rPr>
        <w:fldChar w:fldCharType="end"/>
      </w:r>
    </w:p>
    <w:p w14:paraId="1D3D6F85" w14:textId="6A32A542" w:rsidR="008144BE" w:rsidRDefault="008144BE">
      <w:pPr>
        <w:pStyle w:val="TOC4"/>
        <w:rPr>
          <w:rFonts w:asciiTheme="minorHAnsi" w:eastAsiaTheme="minorEastAsia" w:hAnsiTheme="minorHAnsi" w:cstheme="minorBidi"/>
          <w:b w:val="0"/>
          <w:noProof/>
          <w:kern w:val="0"/>
          <w:sz w:val="22"/>
          <w:szCs w:val="22"/>
        </w:rPr>
      </w:pPr>
      <w:r>
        <w:rPr>
          <w:noProof/>
        </w:rPr>
        <w:t>Subdivision 1.4.3—Services for managing consumer data requests made by accredited persons</w:t>
      </w:r>
      <w:r>
        <w:rPr>
          <w:noProof/>
        </w:rPr>
        <w:tab/>
      </w:r>
      <w:r>
        <w:rPr>
          <w:noProof/>
        </w:rPr>
        <w:fldChar w:fldCharType="begin"/>
      </w:r>
      <w:r>
        <w:rPr>
          <w:noProof/>
        </w:rPr>
        <w:instrText xml:space="preserve"> PAGEREF _Toc74916087 \h </w:instrText>
      </w:r>
      <w:r>
        <w:rPr>
          <w:noProof/>
        </w:rPr>
      </w:r>
      <w:r>
        <w:rPr>
          <w:noProof/>
        </w:rPr>
        <w:fldChar w:fldCharType="separate"/>
      </w:r>
      <w:r w:rsidR="00A84D48">
        <w:rPr>
          <w:noProof/>
        </w:rPr>
        <w:t>30</w:t>
      </w:r>
      <w:r>
        <w:rPr>
          <w:noProof/>
        </w:rPr>
        <w:fldChar w:fldCharType="end"/>
      </w:r>
    </w:p>
    <w:p w14:paraId="58EC0DE4" w14:textId="36D72E25" w:rsidR="008144BE" w:rsidRDefault="008144BE">
      <w:pPr>
        <w:pStyle w:val="TOC5"/>
        <w:rPr>
          <w:rFonts w:asciiTheme="minorHAnsi" w:eastAsiaTheme="minorEastAsia" w:hAnsiTheme="minorHAnsi" w:cstheme="minorBidi"/>
          <w:noProof/>
          <w:kern w:val="0"/>
          <w:sz w:val="22"/>
          <w:szCs w:val="22"/>
        </w:rPr>
      </w:pPr>
      <w:r>
        <w:rPr>
          <w:noProof/>
        </w:rPr>
        <w:t>1.14  Consumer dashboard—accredited person</w:t>
      </w:r>
      <w:r>
        <w:rPr>
          <w:noProof/>
        </w:rPr>
        <w:tab/>
      </w:r>
      <w:r>
        <w:rPr>
          <w:noProof/>
        </w:rPr>
        <w:fldChar w:fldCharType="begin"/>
      </w:r>
      <w:r>
        <w:rPr>
          <w:noProof/>
        </w:rPr>
        <w:instrText xml:space="preserve"> PAGEREF _Toc74916088 \h </w:instrText>
      </w:r>
      <w:r>
        <w:rPr>
          <w:noProof/>
        </w:rPr>
      </w:r>
      <w:r>
        <w:rPr>
          <w:noProof/>
        </w:rPr>
        <w:fldChar w:fldCharType="separate"/>
      </w:r>
      <w:r w:rsidR="00A84D48">
        <w:rPr>
          <w:noProof/>
        </w:rPr>
        <w:t>30</w:t>
      </w:r>
      <w:r>
        <w:rPr>
          <w:noProof/>
        </w:rPr>
        <w:fldChar w:fldCharType="end"/>
      </w:r>
    </w:p>
    <w:p w14:paraId="72DDD617" w14:textId="691231CF" w:rsidR="008144BE" w:rsidRDefault="008144BE">
      <w:pPr>
        <w:pStyle w:val="TOC5"/>
        <w:rPr>
          <w:rFonts w:asciiTheme="minorHAnsi" w:eastAsiaTheme="minorEastAsia" w:hAnsiTheme="minorHAnsi" w:cstheme="minorBidi"/>
          <w:noProof/>
          <w:kern w:val="0"/>
          <w:sz w:val="22"/>
          <w:szCs w:val="22"/>
        </w:rPr>
      </w:pPr>
      <w:r>
        <w:rPr>
          <w:noProof/>
        </w:rPr>
        <w:t>1.15  Consumer dashboard—data holder</w:t>
      </w:r>
      <w:r>
        <w:rPr>
          <w:noProof/>
        </w:rPr>
        <w:tab/>
      </w:r>
      <w:r>
        <w:rPr>
          <w:noProof/>
        </w:rPr>
        <w:fldChar w:fldCharType="begin"/>
      </w:r>
      <w:r>
        <w:rPr>
          <w:noProof/>
        </w:rPr>
        <w:instrText xml:space="preserve"> PAGEREF _Toc74916089 \h </w:instrText>
      </w:r>
      <w:r>
        <w:rPr>
          <w:noProof/>
        </w:rPr>
      </w:r>
      <w:r>
        <w:rPr>
          <w:noProof/>
        </w:rPr>
        <w:fldChar w:fldCharType="separate"/>
      </w:r>
      <w:r w:rsidR="00A84D48">
        <w:rPr>
          <w:noProof/>
        </w:rPr>
        <w:t>31</w:t>
      </w:r>
      <w:r>
        <w:rPr>
          <w:noProof/>
        </w:rPr>
        <w:fldChar w:fldCharType="end"/>
      </w:r>
    </w:p>
    <w:p w14:paraId="436B30A2" w14:textId="7E17190E" w:rsidR="008144BE" w:rsidRDefault="008144BE">
      <w:pPr>
        <w:pStyle w:val="TOC4"/>
        <w:rPr>
          <w:rFonts w:asciiTheme="minorHAnsi" w:eastAsiaTheme="minorEastAsia" w:hAnsiTheme="minorHAnsi" w:cstheme="minorBidi"/>
          <w:b w:val="0"/>
          <w:noProof/>
          <w:kern w:val="0"/>
          <w:sz w:val="22"/>
          <w:szCs w:val="22"/>
        </w:rPr>
      </w:pPr>
      <w:r>
        <w:rPr>
          <w:noProof/>
        </w:rPr>
        <w:t>Subdivision 1.4.4—Other obligations of accredited persons</w:t>
      </w:r>
      <w:r>
        <w:rPr>
          <w:noProof/>
        </w:rPr>
        <w:tab/>
      </w:r>
      <w:r>
        <w:rPr>
          <w:noProof/>
        </w:rPr>
        <w:fldChar w:fldCharType="begin"/>
      </w:r>
      <w:r>
        <w:rPr>
          <w:noProof/>
        </w:rPr>
        <w:instrText xml:space="preserve"> PAGEREF _Toc74916090 \h </w:instrText>
      </w:r>
      <w:r>
        <w:rPr>
          <w:noProof/>
        </w:rPr>
      </w:r>
      <w:r>
        <w:rPr>
          <w:noProof/>
        </w:rPr>
        <w:fldChar w:fldCharType="separate"/>
      </w:r>
      <w:r w:rsidR="00A84D48">
        <w:rPr>
          <w:noProof/>
        </w:rPr>
        <w:t>34</w:t>
      </w:r>
      <w:r>
        <w:rPr>
          <w:noProof/>
        </w:rPr>
        <w:fldChar w:fldCharType="end"/>
      </w:r>
    </w:p>
    <w:p w14:paraId="02358F7F" w14:textId="5F8BB987" w:rsidR="008144BE" w:rsidRDefault="008144BE">
      <w:pPr>
        <w:pStyle w:val="TOC5"/>
        <w:rPr>
          <w:rFonts w:asciiTheme="minorHAnsi" w:eastAsiaTheme="minorEastAsia" w:hAnsiTheme="minorHAnsi" w:cstheme="minorBidi"/>
          <w:noProof/>
          <w:kern w:val="0"/>
          <w:sz w:val="22"/>
          <w:szCs w:val="22"/>
        </w:rPr>
      </w:pPr>
      <w:r>
        <w:rPr>
          <w:noProof/>
        </w:rPr>
        <w:t>1.16  Obligations relating to CDR outsourcing arrangements</w:t>
      </w:r>
      <w:r>
        <w:rPr>
          <w:noProof/>
        </w:rPr>
        <w:tab/>
      </w:r>
      <w:r>
        <w:rPr>
          <w:noProof/>
        </w:rPr>
        <w:fldChar w:fldCharType="begin"/>
      </w:r>
      <w:r>
        <w:rPr>
          <w:noProof/>
        </w:rPr>
        <w:instrText xml:space="preserve"> PAGEREF _Toc74916091 \h </w:instrText>
      </w:r>
      <w:r>
        <w:rPr>
          <w:noProof/>
        </w:rPr>
      </w:r>
      <w:r>
        <w:rPr>
          <w:noProof/>
        </w:rPr>
        <w:fldChar w:fldCharType="separate"/>
      </w:r>
      <w:r w:rsidR="00A84D48">
        <w:rPr>
          <w:noProof/>
        </w:rPr>
        <w:t>34</w:t>
      </w:r>
      <w:r>
        <w:rPr>
          <w:noProof/>
        </w:rPr>
        <w:fldChar w:fldCharType="end"/>
      </w:r>
    </w:p>
    <w:p w14:paraId="5BCEAA0A" w14:textId="156832C3" w:rsidR="008144BE" w:rsidRDefault="008144BE">
      <w:pPr>
        <w:pStyle w:val="TOC5"/>
        <w:rPr>
          <w:rFonts w:asciiTheme="minorHAnsi" w:eastAsiaTheme="minorEastAsia" w:hAnsiTheme="minorHAnsi" w:cstheme="minorBidi"/>
          <w:noProof/>
          <w:kern w:val="0"/>
          <w:sz w:val="22"/>
          <w:szCs w:val="22"/>
        </w:rPr>
      </w:pPr>
      <w:r w:rsidRPr="00BC78CF">
        <w:rPr>
          <w:noProof/>
          <w:color w:val="FF0000"/>
        </w:rPr>
        <w:t>1.16A  Obligations relating to CDR representative arrangements</w:t>
      </w:r>
      <w:r>
        <w:rPr>
          <w:noProof/>
        </w:rPr>
        <w:tab/>
      </w:r>
      <w:r>
        <w:rPr>
          <w:noProof/>
        </w:rPr>
        <w:fldChar w:fldCharType="begin"/>
      </w:r>
      <w:r>
        <w:rPr>
          <w:noProof/>
        </w:rPr>
        <w:instrText xml:space="preserve"> PAGEREF _Toc74916092 \h </w:instrText>
      </w:r>
      <w:r>
        <w:rPr>
          <w:noProof/>
        </w:rPr>
      </w:r>
      <w:r>
        <w:rPr>
          <w:noProof/>
        </w:rPr>
        <w:fldChar w:fldCharType="separate"/>
      </w:r>
      <w:r w:rsidR="00A84D48">
        <w:rPr>
          <w:noProof/>
        </w:rPr>
        <w:t>34</w:t>
      </w:r>
      <w:r>
        <w:rPr>
          <w:noProof/>
        </w:rPr>
        <w:fldChar w:fldCharType="end"/>
      </w:r>
    </w:p>
    <w:p w14:paraId="225E369A" w14:textId="4050A258" w:rsidR="008144BE" w:rsidRDefault="008144BE">
      <w:pPr>
        <w:pStyle w:val="TOC4"/>
        <w:rPr>
          <w:rFonts w:asciiTheme="minorHAnsi" w:eastAsiaTheme="minorEastAsia" w:hAnsiTheme="minorHAnsi" w:cstheme="minorBidi"/>
          <w:b w:val="0"/>
          <w:noProof/>
          <w:kern w:val="0"/>
          <w:sz w:val="22"/>
          <w:szCs w:val="22"/>
        </w:rPr>
      </w:pPr>
      <w:r>
        <w:rPr>
          <w:noProof/>
        </w:rPr>
        <w:t>Subdivision 1.4.5—D</w:t>
      </w:r>
      <w:r w:rsidRPr="0094186E">
        <w:rPr>
          <w:noProof/>
          <w:color w:val="000000" w:themeColor="text1"/>
        </w:rPr>
        <w:t>eletion and d</w:t>
      </w:r>
      <w:r>
        <w:rPr>
          <w:noProof/>
        </w:rPr>
        <w:t>e</w:t>
      </w:r>
      <w:r>
        <w:rPr>
          <w:noProof/>
        </w:rPr>
        <w:noBreakHyphen/>
        <w:t>identification of CDR data</w:t>
      </w:r>
      <w:r>
        <w:rPr>
          <w:noProof/>
        </w:rPr>
        <w:tab/>
      </w:r>
      <w:r>
        <w:rPr>
          <w:noProof/>
        </w:rPr>
        <w:fldChar w:fldCharType="begin"/>
      </w:r>
      <w:r>
        <w:rPr>
          <w:noProof/>
        </w:rPr>
        <w:instrText xml:space="preserve"> PAGEREF _Toc74916093 \h </w:instrText>
      </w:r>
      <w:r>
        <w:rPr>
          <w:noProof/>
        </w:rPr>
      </w:r>
      <w:r>
        <w:rPr>
          <w:noProof/>
        </w:rPr>
        <w:fldChar w:fldCharType="separate"/>
      </w:r>
      <w:r w:rsidR="00A84D48">
        <w:rPr>
          <w:noProof/>
        </w:rPr>
        <w:t>35</w:t>
      </w:r>
      <w:r>
        <w:rPr>
          <w:noProof/>
        </w:rPr>
        <w:fldChar w:fldCharType="end"/>
      </w:r>
    </w:p>
    <w:p w14:paraId="13616AD2" w14:textId="32F20FA0" w:rsidR="008144BE" w:rsidRDefault="008144BE">
      <w:pPr>
        <w:pStyle w:val="TOC5"/>
        <w:rPr>
          <w:rFonts w:asciiTheme="minorHAnsi" w:eastAsiaTheme="minorEastAsia" w:hAnsiTheme="minorHAnsi" w:cstheme="minorBidi"/>
          <w:noProof/>
          <w:kern w:val="0"/>
          <w:sz w:val="22"/>
          <w:szCs w:val="22"/>
        </w:rPr>
      </w:pPr>
      <w:r>
        <w:rPr>
          <w:noProof/>
        </w:rPr>
        <w:t xml:space="preserve">1.17  CDR </w:t>
      </w:r>
      <w:r w:rsidRPr="0094186E">
        <w:rPr>
          <w:noProof/>
          <w:color w:val="000000" w:themeColor="text1"/>
        </w:rPr>
        <w:t xml:space="preserve">data </w:t>
      </w:r>
      <w:r>
        <w:rPr>
          <w:noProof/>
        </w:rPr>
        <w:t>de</w:t>
      </w:r>
      <w:r>
        <w:rPr>
          <w:noProof/>
        </w:rPr>
        <w:noBreakHyphen/>
        <w:t>identification process</w:t>
      </w:r>
      <w:r>
        <w:rPr>
          <w:noProof/>
        </w:rPr>
        <w:tab/>
      </w:r>
      <w:r>
        <w:rPr>
          <w:noProof/>
        </w:rPr>
        <w:fldChar w:fldCharType="begin"/>
      </w:r>
      <w:r>
        <w:rPr>
          <w:noProof/>
        </w:rPr>
        <w:instrText xml:space="preserve"> PAGEREF _Toc74916094 \h </w:instrText>
      </w:r>
      <w:r>
        <w:rPr>
          <w:noProof/>
        </w:rPr>
      </w:r>
      <w:r>
        <w:rPr>
          <w:noProof/>
        </w:rPr>
        <w:fldChar w:fldCharType="separate"/>
      </w:r>
      <w:r w:rsidR="00A84D48">
        <w:rPr>
          <w:noProof/>
        </w:rPr>
        <w:t>35</w:t>
      </w:r>
      <w:r>
        <w:rPr>
          <w:noProof/>
        </w:rPr>
        <w:fldChar w:fldCharType="end"/>
      </w:r>
    </w:p>
    <w:p w14:paraId="1B4BA899" w14:textId="552D8197" w:rsidR="008144BE" w:rsidRDefault="008144BE">
      <w:pPr>
        <w:pStyle w:val="TOC5"/>
        <w:rPr>
          <w:rFonts w:asciiTheme="minorHAnsi" w:eastAsiaTheme="minorEastAsia" w:hAnsiTheme="minorHAnsi" w:cstheme="minorBidi"/>
          <w:noProof/>
          <w:kern w:val="0"/>
          <w:sz w:val="22"/>
          <w:szCs w:val="22"/>
        </w:rPr>
      </w:pPr>
      <w:r>
        <w:rPr>
          <w:noProof/>
        </w:rPr>
        <w:t>1.17A  Identification of otherwise redundant data that is not to be deleted</w:t>
      </w:r>
      <w:r>
        <w:rPr>
          <w:noProof/>
        </w:rPr>
        <w:tab/>
      </w:r>
      <w:r>
        <w:rPr>
          <w:noProof/>
        </w:rPr>
        <w:fldChar w:fldCharType="begin"/>
      </w:r>
      <w:r>
        <w:rPr>
          <w:noProof/>
        </w:rPr>
        <w:instrText xml:space="preserve"> PAGEREF _Toc74916095 \h </w:instrText>
      </w:r>
      <w:r>
        <w:rPr>
          <w:noProof/>
        </w:rPr>
      </w:r>
      <w:r>
        <w:rPr>
          <w:noProof/>
        </w:rPr>
        <w:fldChar w:fldCharType="separate"/>
      </w:r>
      <w:r w:rsidR="00A84D48">
        <w:rPr>
          <w:noProof/>
        </w:rPr>
        <w:t>36</w:t>
      </w:r>
      <w:r>
        <w:rPr>
          <w:noProof/>
        </w:rPr>
        <w:fldChar w:fldCharType="end"/>
      </w:r>
    </w:p>
    <w:p w14:paraId="408FB2CC" w14:textId="75E6F943" w:rsidR="008144BE" w:rsidRDefault="008144BE">
      <w:pPr>
        <w:pStyle w:val="TOC5"/>
        <w:rPr>
          <w:rFonts w:asciiTheme="minorHAnsi" w:eastAsiaTheme="minorEastAsia" w:hAnsiTheme="minorHAnsi" w:cstheme="minorBidi"/>
          <w:noProof/>
          <w:kern w:val="0"/>
          <w:sz w:val="22"/>
          <w:szCs w:val="22"/>
        </w:rPr>
      </w:pPr>
      <w:r w:rsidRPr="0094186E">
        <w:rPr>
          <w:noProof/>
          <w:color w:val="000000" w:themeColor="text1"/>
        </w:rPr>
        <w:t>1.18  CDR data deletion process</w:t>
      </w:r>
      <w:r>
        <w:rPr>
          <w:noProof/>
        </w:rPr>
        <w:tab/>
      </w:r>
      <w:r>
        <w:rPr>
          <w:noProof/>
        </w:rPr>
        <w:fldChar w:fldCharType="begin"/>
      </w:r>
      <w:r>
        <w:rPr>
          <w:noProof/>
        </w:rPr>
        <w:instrText xml:space="preserve"> PAGEREF _Toc74916096 \h </w:instrText>
      </w:r>
      <w:r>
        <w:rPr>
          <w:noProof/>
        </w:rPr>
      </w:r>
      <w:r>
        <w:rPr>
          <w:noProof/>
        </w:rPr>
        <w:fldChar w:fldCharType="separate"/>
      </w:r>
      <w:r w:rsidR="00A84D48">
        <w:rPr>
          <w:noProof/>
        </w:rPr>
        <w:t>36</w:t>
      </w:r>
      <w:r>
        <w:rPr>
          <w:noProof/>
        </w:rPr>
        <w:fldChar w:fldCharType="end"/>
      </w:r>
    </w:p>
    <w:p w14:paraId="63CB254F" w14:textId="396AB470" w:rsidR="008144BE" w:rsidRDefault="008144BE">
      <w:pPr>
        <w:pStyle w:val="TOC2"/>
        <w:rPr>
          <w:rFonts w:asciiTheme="minorHAnsi" w:eastAsiaTheme="minorEastAsia" w:hAnsiTheme="minorHAnsi" w:cstheme="minorBidi"/>
          <w:b w:val="0"/>
          <w:noProof/>
          <w:kern w:val="0"/>
          <w:sz w:val="22"/>
          <w:szCs w:val="22"/>
        </w:rPr>
      </w:pPr>
      <w:r>
        <w:rPr>
          <w:noProof/>
        </w:rPr>
        <w:lastRenderedPageBreak/>
        <w:t>Part 2—Product data requests</w:t>
      </w:r>
      <w:r>
        <w:rPr>
          <w:noProof/>
        </w:rPr>
        <w:tab/>
      </w:r>
      <w:r>
        <w:rPr>
          <w:noProof/>
        </w:rPr>
        <w:fldChar w:fldCharType="begin"/>
      </w:r>
      <w:r>
        <w:rPr>
          <w:noProof/>
        </w:rPr>
        <w:instrText xml:space="preserve"> PAGEREF _Toc74916097 \h </w:instrText>
      </w:r>
      <w:r>
        <w:rPr>
          <w:noProof/>
        </w:rPr>
      </w:r>
      <w:r>
        <w:rPr>
          <w:noProof/>
        </w:rPr>
        <w:fldChar w:fldCharType="separate"/>
      </w:r>
      <w:r w:rsidR="00A84D48">
        <w:rPr>
          <w:noProof/>
        </w:rPr>
        <w:t>37</w:t>
      </w:r>
      <w:r>
        <w:rPr>
          <w:noProof/>
        </w:rPr>
        <w:fldChar w:fldCharType="end"/>
      </w:r>
    </w:p>
    <w:p w14:paraId="03632271" w14:textId="02E4177C" w:rsidR="008144BE" w:rsidRDefault="008144BE">
      <w:pPr>
        <w:pStyle w:val="TOC5"/>
        <w:rPr>
          <w:rFonts w:asciiTheme="minorHAnsi" w:eastAsiaTheme="minorEastAsia" w:hAnsiTheme="minorHAnsi" w:cstheme="minorBidi"/>
          <w:noProof/>
          <w:kern w:val="0"/>
          <w:sz w:val="22"/>
          <w:szCs w:val="22"/>
        </w:rPr>
      </w:pPr>
      <w:r>
        <w:rPr>
          <w:noProof/>
        </w:rPr>
        <w:t>2.1  Simplified outline of this Part</w:t>
      </w:r>
      <w:r>
        <w:rPr>
          <w:noProof/>
        </w:rPr>
        <w:tab/>
      </w:r>
      <w:r>
        <w:rPr>
          <w:noProof/>
        </w:rPr>
        <w:fldChar w:fldCharType="begin"/>
      </w:r>
      <w:r>
        <w:rPr>
          <w:noProof/>
        </w:rPr>
        <w:instrText xml:space="preserve"> PAGEREF _Toc74916098 \h </w:instrText>
      </w:r>
      <w:r>
        <w:rPr>
          <w:noProof/>
        </w:rPr>
      </w:r>
      <w:r>
        <w:rPr>
          <w:noProof/>
        </w:rPr>
        <w:fldChar w:fldCharType="separate"/>
      </w:r>
      <w:r w:rsidR="00A84D48">
        <w:rPr>
          <w:noProof/>
        </w:rPr>
        <w:t>37</w:t>
      </w:r>
      <w:r>
        <w:rPr>
          <w:noProof/>
        </w:rPr>
        <w:fldChar w:fldCharType="end"/>
      </w:r>
    </w:p>
    <w:p w14:paraId="0D2CFB42" w14:textId="6EFCA94E" w:rsidR="008144BE" w:rsidRDefault="008144BE">
      <w:pPr>
        <w:pStyle w:val="TOC5"/>
        <w:rPr>
          <w:rFonts w:asciiTheme="minorHAnsi" w:eastAsiaTheme="minorEastAsia" w:hAnsiTheme="minorHAnsi" w:cstheme="minorBidi"/>
          <w:noProof/>
          <w:kern w:val="0"/>
          <w:sz w:val="22"/>
          <w:szCs w:val="22"/>
        </w:rPr>
      </w:pPr>
      <w:r>
        <w:rPr>
          <w:noProof/>
        </w:rPr>
        <w:t>2.2  Making product data requests—flowchart</w:t>
      </w:r>
      <w:r>
        <w:rPr>
          <w:noProof/>
        </w:rPr>
        <w:tab/>
      </w:r>
      <w:r>
        <w:rPr>
          <w:noProof/>
        </w:rPr>
        <w:fldChar w:fldCharType="begin"/>
      </w:r>
      <w:r>
        <w:rPr>
          <w:noProof/>
        </w:rPr>
        <w:instrText xml:space="preserve"> PAGEREF _Toc74916099 \h </w:instrText>
      </w:r>
      <w:r>
        <w:rPr>
          <w:noProof/>
        </w:rPr>
      </w:r>
      <w:r>
        <w:rPr>
          <w:noProof/>
        </w:rPr>
        <w:fldChar w:fldCharType="separate"/>
      </w:r>
      <w:r w:rsidR="00A84D48">
        <w:rPr>
          <w:noProof/>
        </w:rPr>
        <w:t>37</w:t>
      </w:r>
      <w:r>
        <w:rPr>
          <w:noProof/>
        </w:rPr>
        <w:fldChar w:fldCharType="end"/>
      </w:r>
    </w:p>
    <w:p w14:paraId="11AFBAEB" w14:textId="6102C901" w:rsidR="008144BE" w:rsidRDefault="008144BE">
      <w:pPr>
        <w:pStyle w:val="TOC5"/>
        <w:rPr>
          <w:rFonts w:asciiTheme="minorHAnsi" w:eastAsiaTheme="minorEastAsia" w:hAnsiTheme="minorHAnsi" w:cstheme="minorBidi"/>
          <w:noProof/>
          <w:kern w:val="0"/>
          <w:sz w:val="22"/>
          <w:szCs w:val="22"/>
        </w:rPr>
      </w:pPr>
      <w:r>
        <w:rPr>
          <w:noProof/>
        </w:rPr>
        <w:t>2.3  Product data requests</w:t>
      </w:r>
      <w:r>
        <w:rPr>
          <w:noProof/>
        </w:rPr>
        <w:tab/>
      </w:r>
      <w:r>
        <w:rPr>
          <w:noProof/>
        </w:rPr>
        <w:fldChar w:fldCharType="begin"/>
      </w:r>
      <w:r>
        <w:rPr>
          <w:noProof/>
        </w:rPr>
        <w:instrText xml:space="preserve"> PAGEREF _Toc74916100 \h </w:instrText>
      </w:r>
      <w:r>
        <w:rPr>
          <w:noProof/>
        </w:rPr>
      </w:r>
      <w:r>
        <w:rPr>
          <w:noProof/>
        </w:rPr>
        <w:fldChar w:fldCharType="separate"/>
      </w:r>
      <w:r w:rsidR="00A84D48">
        <w:rPr>
          <w:noProof/>
        </w:rPr>
        <w:t>38</w:t>
      </w:r>
      <w:r>
        <w:rPr>
          <w:noProof/>
        </w:rPr>
        <w:fldChar w:fldCharType="end"/>
      </w:r>
    </w:p>
    <w:p w14:paraId="1DA275BB" w14:textId="1092C8D6" w:rsidR="008144BE" w:rsidRDefault="008144BE">
      <w:pPr>
        <w:pStyle w:val="TOC5"/>
        <w:rPr>
          <w:rFonts w:asciiTheme="minorHAnsi" w:eastAsiaTheme="minorEastAsia" w:hAnsiTheme="minorHAnsi" w:cstheme="minorBidi"/>
          <w:noProof/>
          <w:kern w:val="0"/>
          <w:sz w:val="22"/>
          <w:szCs w:val="22"/>
        </w:rPr>
      </w:pPr>
      <w:r>
        <w:rPr>
          <w:noProof/>
        </w:rPr>
        <w:t xml:space="preserve">2.4  Disclosing </w:t>
      </w:r>
      <w:r w:rsidRPr="0094186E">
        <w:rPr>
          <w:noProof/>
          <w:color w:val="000000"/>
        </w:rPr>
        <w:t xml:space="preserve">product </w:t>
      </w:r>
      <w:r>
        <w:rPr>
          <w:noProof/>
        </w:rPr>
        <w:t>data in response to p</w:t>
      </w:r>
      <w:r w:rsidRPr="0094186E">
        <w:rPr>
          <w:noProof/>
          <w:color w:val="000000"/>
        </w:rPr>
        <w:t>roduct data</w:t>
      </w:r>
      <w:r>
        <w:rPr>
          <w:noProof/>
        </w:rPr>
        <w:t xml:space="preserve"> request</w:t>
      </w:r>
      <w:r>
        <w:rPr>
          <w:noProof/>
        </w:rPr>
        <w:tab/>
      </w:r>
      <w:r>
        <w:rPr>
          <w:noProof/>
        </w:rPr>
        <w:fldChar w:fldCharType="begin"/>
      </w:r>
      <w:r>
        <w:rPr>
          <w:noProof/>
        </w:rPr>
        <w:instrText xml:space="preserve"> PAGEREF _Toc74916101 \h </w:instrText>
      </w:r>
      <w:r>
        <w:rPr>
          <w:noProof/>
        </w:rPr>
      </w:r>
      <w:r>
        <w:rPr>
          <w:noProof/>
        </w:rPr>
        <w:fldChar w:fldCharType="separate"/>
      </w:r>
      <w:r w:rsidR="00A84D48">
        <w:rPr>
          <w:noProof/>
        </w:rPr>
        <w:t>38</w:t>
      </w:r>
      <w:r>
        <w:rPr>
          <w:noProof/>
        </w:rPr>
        <w:fldChar w:fldCharType="end"/>
      </w:r>
    </w:p>
    <w:p w14:paraId="7C8B4EC9" w14:textId="3B40EF34" w:rsidR="008144BE" w:rsidRDefault="008144BE">
      <w:pPr>
        <w:pStyle w:val="TOC5"/>
        <w:rPr>
          <w:rFonts w:asciiTheme="minorHAnsi" w:eastAsiaTheme="minorEastAsia" w:hAnsiTheme="minorHAnsi" w:cstheme="minorBidi"/>
          <w:noProof/>
          <w:kern w:val="0"/>
          <w:sz w:val="22"/>
          <w:szCs w:val="22"/>
        </w:rPr>
      </w:pPr>
      <w:r>
        <w:rPr>
          <w:noProof/>
        </w:rPr>
        <w:t>2.5  Refusal to disclose required product data in response to product data request</w:t>
      </w:r>
      <w:r>
        <w:rPr>
          <w:noProof/>
        </w:rPr>
        <w:tab/>
      </w:r>
      <w:r>
        <w:rPr>
          <w:noProof/>
        </w:rPr>
        <w:fldChar w:fldCharType="begin"/>
      </w:r>
      <w:r>
        <w:rPr>
          <w:noProof/>
        </w:rPr>
        <w:instrText xml:space="preserve"> PAGEREF _Toc74916102 \h </w:instrText>
      </w:r>
      <w:r>
        <w:rPr>
          <w:noProof/>
        </w:rPr>
      </w:r>
      <w:r>
        <w:rPr>
          <w:noProof/>
        </w:rPr>
        <w:fldChar w:fldCharType="separate"/>
      </w:r>
      <w:r w:rsidR="00A84D48">
        <w:rPr>
          <w:noProof/>
        </w:rPr>
        <w:t>39</w:t>
      </w:r>
      <w:r>
        <w:rPr>
          <w:noProof/>
        </w:rPr>
        <w:fldChar w:fldCharType="end"/>
      </w:r>
    </w:p>
    <w:p w14:paraId="075A7CA5" w14:textId="46EB2F93" w:rsidR="008144BE" w:rsidRDefault="008144BE">
      <w:pPr>
        <w:pStyle w:val="TOC5"/>
        <w:rPr>
          <w:rFonts w:asciiTheme="minorHAnsi" w:eastAsiaTheme="minorEastAsia" w:hAnsiTheme="minorHAnsi" w:cstheme="minorBidi"/>
          <w:noProof/>
          <w:kern w:val="0"/>
          <w:sz w:val="22"/>
          <w:szCs w:val="22"/>
        </w:rPr>
      </w:pPr>
      <w:r>
        <w:rPr>
          <w:noProof/>
        </w:rPr>
        <w:t>2.6  Use of data disclosed pursuant to product data request</w:t>
      </w:r>
      <w:r>
        <w:rPr>
          <w:noProof/>
        </w:rPr>
        <w:tab/>
      </w:r>
      <w:r>
        <w:rPr>
          <w:noProof/>
        </w:rPr>
        <w:fldChar w:fldCharType="begin"/>
      </w:r>
      <w:r>
        <w:rPr>
          <w:noProof/>
        </w:rPr>
        <w:instrText xml:space="preserve"> PAGEREF _Toc74916103 \h </w:instrText>
      </w:r>
      <w:r>
        <w:rPr>
          <w:noProof/>
        </w:rPr>
      </w:r>
      <w:r>
        <w:rPr>
          <w:noProof/>
        </w:rPr>
        <w:fldChar w:fldCharType="separate"/>
      </w:r>
      <w:r w:rsidR="00A84D48">
        <w:rPr>
          <w:noProof/>
        </w:rPr>
        <w:t>40</w:t>
      </w:r>
      <w:r>
        <w:rPr>
          <w:noProof/>
        </w:rPr>
        <w:fldChar w:fldCharType="end"/>
      </w:r>
    </w:p>
    <w:p w14:paraId="356C70BA" w14:textId="05CD7CD6" w:rsidR="008144BE" w:rsidRDefault="008144BE">
      <w:pPr>
        <w:pStyle w:val="TOC2"/>
        <w:rPr>
          <w:rFonts w:asciiTheme="minorHAnsi" w:eastAsiaTheme="minorEastAsia" w:hAnsiTheme="minorHAnsi" w:cstheme="minorBidi"/>
          <w:b w:val="0"/>
          <w:noProof/>
          <w:kern w:val="0"/>
          <w:sz w:val="22"/>
          <w:szCs w:val="22"/>
        </w:rPr>
      </w:pPr>
      <w:r>
        <w:rPr>
          <w:noProof/>
        </w:rPr>
        <w:t xml:space="preserve">Part 3—Consumer data </w:t>
      </w:r>
      <w:r w:rsidRPr="0094186E">
        <w:rPr>
          <w:noProof/>
          <w:color w:val="000000"/>
        </w:rPr>
        <w:t xml:space="preserve">requests made by </w:t>
      </w:r>
      <w:r>
        <w:rPr>
          <w:noProof/>
        </w:rPr>
        <w:t>eligible CDR consumers</w:t>
      </w:r>
      <w:r>
        <w:rPr>
          <w:noProof/>
        </w:rPr>
        <w:tab/>
      </w:r>
      <w:r>
        <w:rPr>
          <w:noProof/>
        </w:rPr>
        <w:fldChar w:fldCharType="begin"/>
      </w:r>
      <w:r>
        <w:rPr>
          <w:noProof/>
        </w:rPr>
        <w:instrText xml:space="preserve"> PAGEREF _Toc74916104 \h </w:instrText>
      </w:r>
      <w:r>
        <w:rPr>
          <w:noProof/>
        </w:rPr>
      </w:r>
      <w:r>
        <w:rPr>
          <w:noProof/>
        </w:rPr>
        <w:fldChar w:fldCharType="separate"/>
      </w:r>
      <w:r w:rsidR="00A84D48">
        <w:rPr>
          <w:noProof/>
        </w:rPr>
        <w:t>41</w:t>
      </w:r>
      <w:r>
        <w:rPr>
          <w:noProof/>
        </w:rPr>
        <w:fldChar w:fldCharType="end"/>
      </w:r>
    </w:p>
    <w:p w14:paraId="1C2D5E8C" w14:textId="67989615" w:rsidR="008144BE" w:rsidRDefault="008144BE">
      <w:pPr>
        <w:pStyle w:val="TOC3"/>
        <w:rPr>
          <w:rFonts w:asciiTheme="minorHAnsi" w:eastAsiaTheme="minorEastAsia" w:hAnsiTheme="minorHAnsi" w:cstheme="minorBidi"/>
          <w:b w:val="0"/>
          <w:noProof/>
          <w:kern w:val="0"/>
          <w:szCs w:val="22"/>
        </w:rPr>
      </w:pPr>
      <w:r>
        <w:rPr>
          <w:noProof/>
        </w:rPr>
        <w:t>Division 3.1—Preliminary</w:t>
      </w:r>
      <w:r>
        <w:rPr>
          <w:noProof/>
        </w:rPr>
        <w:tab/>
      </w:r>
      <w:r>
        <w:rPr>
          <w:noProof/>
        </w:rPr>
        <w:fldChar w:fldCharType="begin"/>
      </w:r>
      <w:r>
        <w:rPr>
          <w:noProof/>
        </w:rPr>
        <w:instrText xml:space="preserve"> PAGEREF _Toc74916105 \h </w:instrText>
      </w:r>
      <w:r>
        <w:rPr>
          <w:noProof/>
        </w:rPr>
      </w:r>
      <w:r>
        <w:rPr>
          <w:noProof/>
        </w:rPr>
        <w:fldChar w:fldCharType="separate"/>
      </w:r>
      <w:r w:rsidR="00A84D48">
        <w:rPr>
          <w:noProof/>
        </w:rPr>
        <w:t>41</w:t>
      </w:r>
      <w:r>
        <w:rPr>
          <w:noProof/>
        </w:rPr>
        <w:fldChar w:fldCharType="end"/>
      </w:r>
    </w:p>
    <w:p w14:paraId="1390E592" w14:textId="38BE65F9" w:rsidR="008144BE" w:rsidRDefault="008144BE">
      <w:pPr>
        <w:pStyle w:val="TOC5"/>
        <w:rPr>
          <w:rFonts w:asciiTheme="minorHAnsi" w:eastAsiaTheme="minorEastAsia" w:hAnsiTheme="minorHAnsi" w:cstheme="minorBidi"/>
          <w:noProof/>
          <w:kern w:val="0"/>
          <w:sz w:val="22"/>
          <w:szCs w:val="22"/>
        </w:rPr>
      </w:pPr>
      <w:r>
        <w:rPr>
          <w:noProof/>
        </w:rPr>
        <w:t>3.1  Simplified outline of this Part</w:t>
      </w:r>
      <w:r>
        <w:rPr>
          <w:noProof/>
        </w:rPr>
        <w:tab/>
      </w:r>
      <w:r>
        <w:rPr>
          <w:noProof/>
        </w:rPr>
        <w:fldChar w:fldCharType="begin"/>
      </w:r>
      <w:r>
        <w:rPr>
          <w:noProof/>
        </w:rPr>
        <w:instrText xml:space="preserve"> PAGEREF _Toc74916106 \h </w:instrText>
      </w:r>
      <w:r>
        <w:rPr>
          <w:noProof/>
        </w:rPr>
      </w:r>
      <w:r>
        <w:rPr>
          <w:noProof/>
        </w:rPr>
        <w:fldChar w:fldCharType="separate"/>
      </w:r>
      <w:r w:rsidR="00A84D48">
        <w:rPr>
          <w:noProof/>
        </w:rPr>
        <w:t>41</w:t>
      </w:r>
      <w:r>
        <w:rPr>
          <w:noProof/>
        </w:rPr>
        <w:fldChar w:fldCharType="end"/>
      </w:r>
    </w:p>
    <w:p w14:paraId="38C3DB2B" w14:textId="6476E87E" w:rsidR="008144BE" w:rsidRDefault="008144BE">
      <w:pPr>
        <w:pStyle w:val="TOC5"/>
        <w:rPr>
          <w:rFonts w:asciiTheme="minorHAnsi" w:eastAsiaTheme="minorEastAsia" w:hAnsiTheme="minorHAnsi" w:cstheme="minorBidi"/>
          <w:noProof/>
          <w:kern w:val="0"/>
          <w:sz w:val="22"/>
          <w:szCs w:val="22"/>
        </w:rPr>
      </w:pPr>
      <w:r>
        <w:rPr>
          <w:noProof/>
        </w:rPr>
        <w:t>3.2  How an eligible CDR consumer makes a consumer data request—flowchart</w:t>
      </w:r>
      <w:r>
        <w:rPr>
          <w:noProof/>
        </w:rPr>
        <w:tab/>
      </w:r>
      <w:r>
        <w:rPr>
          <w:noProof/>
        </w:rPr>
        <w:fldChar w:fldCharType="begin"/>
      </w:r>
      <w:r>
        <w:rPr>
          <w:noProof/>
        </w:rPr>
        <w:instrText xml:space="preserve"> PAGEREF _Toc74916107 \h </w:instrText>
      </w:r>
      <w:r>
        <w:rPr>
          <w:noProof/>
        </w:rPr>
      </w:r>
      <w:r>
        <w:rPr>
          <w:noProof/>
        </w:rPr>
        <w:fldChar w:fldCharType="separate"/>
      </w:r>
      <w:r w:rsidR="00A84D48">
        <w:rPr>
          <w:noProof/>
        </w:rPr>
        <w:t>42</w:t>
      </w:r>
      <w:r>
        <w:rPr>
          <w:noProof/>
        </w:rPr>
        <w:fldChar w:fldCharType="end"/>
      </w:r>
    </w:p>
    <w:p w14:paraId="4CBBE540" w14:textId="6E78EB0C" w:rsidR="008144BE" w:rsidRDefault="008144BE">
      <w:pPr>
        <w:pStyle w:val="TOC3"/>
        <w:rPr>
          <w:rFonts w:asciiTheme="minorHAnsi" w:eastAsiaTheme="minorEastAsia" w:hAnsiTheme="minorHAnsi" w:cstheme="minorBidi"/>
          <w:b w:val="0"/>
          <w:noProof/>
          <w:kern w:val="0"/>
          <w:szCs w:val="22"/>
        </w:rPr>
      </w:pPr>
      <w:r>
        <w:rPr>
          <w:noProof/>
        </w:rPr>
        <w:t>Division 3.2—Consumer data requests made by CDR consumers</w:t>
      </w:r>
      <w:r>
        <w:rPr>
          <w:noProof/>
        </w:rPr>
        <w:tab/>
      </w:r>
      <w:r>
        <w:rPr>
          <w:noProof/>
        </w:rPr>
        <w:fldChar w:fldCharType="begin"/>
      </w:r>
      <w:r>
        <w:rPr>
          <w:noProof/>
        </w:rPr>
        <w:instrText xml:space="preserve"> PAGEREF _Toc74916108 \h </w:instrText>
      </w:r>
      <w:r>
        <w:rPr>
          <w:noProof/>
        </w:rPr>
      </w:r>
      <w:r>
        <w:rPr>
          <w:noProof/>
        </w:rPr>
        <w:fldChar w:fldCharType="separate"/>
      </w:r>
      <w:r w:rsidR="00A84D48">
        <w:rPr>
          <w:noProof/>
        </w:rPr>
        <w:t>43</w:t>
      </w:r>
      <w:r>
        <w:rPr>
          <w:noProof/>
        </w:rPr>
        <w:fldChar w:fldCharType="end"/>
      </w:r>
    </w:p>
    <w:p w14:paraId="5F569FEA" w14:textId="79EC3D0A" w:rsidR="008144BE" w:rsidRDefault="008144BE">
      <w:pPr>
        <w:pStyle w:val="TOC5"/>
        <w:rPr>
          <w:rFonts w:asciiTheme="minorHAnsi" w:eastAsiaTheme="minorEastAsia" w:hAnsiTheme="minorHAnsi" w:cstheme="minorBidi"/>
          <w:noProof/>
          <w:kern w:val="0"/>
          <w:sz w:val="22"/>
          <w:szCs w:val="22"/>
        </w:rPr>
      </w:pPr>
      <w:r w:rsidRPr="0094186E">
        <w:rPr>
          <w:noProof/>
          <w:color w:val="000000"/>
        </w:rPr>
        <w:t>3.3  Consumer data requests made</w:t>
      </w:r>
      <w:r>
        <w:rPr>
          <w:noProof/>
        </w:rPr>
        <w:t xml:space="preserve"> by CDR consumers</w:t>
      </w:r>
      <w:r>
        <w:rPr>
          <w:noProof/>
        </w:rPr>
        <w:tab/>
      </w:r>
      <w:r>
        <w:rPr>
          <w:noProof/>
        </w:rPr>
        <w:fldChar w:fldCharType="begin"/>
      </w:r>
      <w:r>
        <w:rPr>
          <w:noProof/>
        </w:rPr>
        <w:instrText xml:space="preserve"> PAGEREF _Toc74916109 \h </w:instrText>
      </w:r>
      <w:r>
        <w:rPr>
          <w:noProof/>
        </w:rPr>
      </w:r>
      <w:r>
        <w:rPr>
          <w:noProof/>
        </w:rPr>
        <w:fldChar w:fldCharType="separate"/>
      </w:r>
      <w:r w:rsidR="00A84D48">
        <w:rPr>
          <w:noProof/>
        </w:rPr>
        <w:t>43</w:t>
      </w:r>
      <w:r>
        <w:rPr>
          <w:noProof/>
        </w:rPr>
        <w:fldChar w:fldCharType="end"/>
      </w:r>
    </w:p>
    <w:p w14:paraId="1941C1C8" w14:textId="39FE6BE0" w:rsidR="008144BE" w:rsidRDefault="008144BE">
      <w:pPr>
        <w:pStyle w:val="TOC5"/>
        <w:rPr>
          <w:rFonts w:asciiTheme="minorHAnsi" w:eastAsiaTheme="minorEastAsia" w:hAnsiTheme="minorHAnsi" w:cstheme="minorBidi"/>
          <w:noProof/>
          <w:kern w:val="0"/>
          <w:sz w:val="22"/>
          <w:szCs w:val="22"/>
        </w:rPr>
      </w:pPr>
      <w:r>
        <w:rPr>
          <w:noProof/>
        </w:rPr>
        <w:t xml:space="preserve">3.4  Disclosing consumer data in response to a valid </w:t>
      </w:r>
      <w:r w:rsidRPr="0094186E">
        <w:rPr>
          <w:noProof/>
          <w:color w:val="000000"/>
        </w:rPr>
        <w:t xml:space="preserve">consumer data </w:t>
      </w:r>
      <w:r>
        <w:rPr>
          <w:noProof/>
        </w:rPr>
        <w:t>request</w:t>
      </w:r>
      <w:r>
        <w:rPr>
          <w:noProof/>
        </w:rPr>
        <w:tab/>
      </w:r>
      <w:r>
        <w:rPr>
          <w:noProof/>
        </w:rPr>
        <w:fldChar w:fldCharType="begin"/>
      </w:r>
      <w:r>
        <w:rPr>
          <w:noProof/>
        </w:rPr>
        <w:instrText xml:space="preserve"> PAGEREF _Toc74916110 \h </w:instrText>
      </w:r>
      <w:r>
        <w:rPr>
          <w:noProof/>
        </w:rPr>
      </w:r>
      <w:r>
        <w:rPr>
          <w:noProof/>
        </w:rPr>
        <w:fldChar w:fldCharType="separate"/>
      </w:r>
      <w:r w:rsidR="00A84D48">
        <w:rPr>
          <w:noProof/>
        </w:rPr>
        <w:t>43</w:t>
      </w:r>
      <w:r>
        <w:rPr>
          <w:noProof/>
        </w:rPr>
        <w:fldChar w:fldCharType="end"/>
      </w:r>
    </w:p>
    <w:p w14:paraId="0AB3CD1B" w14:textId="114FF4C2" w:rsidR="008144BE" w:rsidRDefault="008144BE">
      <w:pPr>
        <w:pStyle w:val="TOC5"/>
        <w:rPr>
          <w:rFonts w:asciiTheme="minorHAnsi" w:eastAsiaTheme="minorEastAsia" w:hAnsiTheme="minorHAnsi" w:cstheme="minorBidi"/>
          <w:noProof/>
          <w:kern w:val="0"/>
          <w:sz w:val="22"/>
          <w:szCs w:val="22"/>
        </w:rPr>
      </w:pPr>
      <w:r>
        <w:rPr>
          <w:noProof/>
        </w:rPr>
        <w:t>3.5  Refusal to disclose required consumer data in response to consumer data request</w:t>
      </w:r>
      <w:r>
        <w:rPr>
          <w:noProof/>
        </w:rPr>
        <w:tab/>
      </w:r>
      <w:r>
        <w:rPr>
          <w:noProof/>
        </w:rPr>
        <w:fldChar w:fldCharType="begin"/>
      </w:r>
      <w:r>
        <w:rPr>
          <w:noProof/>
        </w:rPr>
        <w:instrText xml:space="preserve"> PAGEREF _Toc74916111 \h </w:instrText>
      </w:r>
      <w:r>
        <w:rPr>
          <w:noProof/>
        </w:rPr>
      </w:r>
      <w:r>
        <w:rPr>
          <w:noProof/>
        </w:rPr>
        <w:fldChar w:fldCharType="separate"/>
      </w:r>
      <w:r w:rsidR="00A84D48">
        <w:rPr>
          <w:noProof/>
        </w:rPr>
        <w:t>43</w:t>
      </w:r>
      <w:r>
        <w:rPr>
          <w:noProof/>
        </w:rPr>
        <w:fldChar w:fldCharType="end"/>
      </w:r>
    </w:p>
    <w:p w14:paraId="2ED0482C" w14:textId="5ACDE18C" w:rsidR="008144BE" w:rsidRDefault="008144BE">
      <w:pPr>
        <w:pStyle w:val="TOC2"/>
        <w:rPr>
          <w:rFonts w:asciiTheme="minorHAnsi" w:eastAsiaTheme="minorEastAsia" w:hAnsiTheme="minorHAnsi" w:cstheme="minorBidi"/>
          <w:b w:val="0"/>
          <w:noProof/>
          <w:kern w:val="0"/>
          <w:sz w:val="22"/>
          <w:szCs w:val="22"/>
        </w:rPr>
      </w:pPr>
      <w:r>
        <w:rPr>
          <w:noProof/>
        </w:rPr>
        <w:t>Part 4—</w:t>
      </w:r>
      <w:r w:rsidRPr="0094186E">
        <w:rPr>
          <w:noProof/>
          <w:color w:val="000000"/>
        </w:rPr>
        <w:t>Consumer data requests made by accredited persons</w:t>
      </w:r>
      <w:r>
        <w:rPr>
          <w:noProof/>
        </w:rPr>
        <w:tab/>
      </w:r>
      <w:r>
        <w:rPr>
          <w:noProof/>
        </w:rPr>
        <w:fldChar w:fldCharType="begin"/>
      </w:r>
      <w:r>
        <w:rPr>
          <w:noProof/>
        </w:rPr>
        <w:instrText xml:space="preserve"> PAGEREF _Toc74916112 \h </w:instrText>
      </w:r>
      <w:r>
        <w:rPr>
          <w:noProof/>
        </w:rPr>
      </w:r>
      <w:r>
        <w:rPr>
          <w:noProof/>
        </w:rPr>
        <w:fldChar w:fldCharType="separate"/>
      </w:r>
      <w:r w:rsidR="00A84D48">
        <w:rPr>
          <w:noProof/>
        </w:rPr>
        <w:t>45</w:t>
      </w:r>
      <w:r>
        <w:rPr>
          <w:noProof/>
        </w:rPr>
        <w:fldChar w:fldCharType="end"/>
      </w:r>
    </w:p>
    <w:p w14:paraId="076D7EC7" w14:textId="293E6893" w:rsidR="008144BE" w:rsidRDefault="008144BE">
      <w:pPr>
        <w:pStyle w:val="TOC3"/>
        <w:rPr>
          <w:rFonts w:asciiTheme="minorHAnsi" w:eastAsiaTheme="minorEastAsia" w:hAnsiTheme="minorHAnsi" w:cstheme="minorBidi"/>
          <w:b w:val="0"/>
          <w:noProof/>
          <w:kern w:val="0"/>
          <w:szCs w:val="22"/>
        </w:rPr>
      </w:pPr>
      <w:r>
        <w:rPr>
          <w:noProof/>
        </w:rPr>
        <w:t>Division 4.1—Preliminary</w:t>
      </w:r>
      <w:r>
        <w:rPr>
          <w:noProof/>
        </w:rPr>
        <w:tab/>
      </w:r>
      <w:r>
        <w:rPr>
          <w:noProof/>
        </w:rPr>
        <w:fldChar w:fldCharType="begin"/>
      </w:r>
      <w:r>
        <w:rPr>
          <w:noProof/>
        </w:rPr>
        <w:instrText xml:space="preserve"> PAGEREF _Toc74916113 \h </w:instrText>
      </w:r>
      <w:r>
        <w:rPr>
          <w:noProof/>
        </w:rPr>
      </w:r>
      <w:r>
        <w:rPr>
          <w:noProof/>
        </w:rPr>
        <w:fldChar w:fldCharType="separate"/>
      </w:r>
      <w:r w:rsidR="00A84D48">
        <w:rPr>
          <w:noProof/>
        </w:rPr>
        <w:t>45</w:t>
      </w:r>
      <w:r>
        <w:rPr>
          <w:noProof/>
        </w:rPr>
        <w:fldChar w:fldCharType="end"/>
      </w:r>
    </w:p>
    <w:p w14:paraId="0EA55404" w14:textId="2FF28C94" w:rsidR="008144BE" w:rsidRDefault="008144BE">
      <w:pPr>
        <w:pStyle w:val="TOC5"/>
        <w:rPr>
          <w:rFonts w:asciiTheme="minorHAnsi" w:eastAsiaTheme="minorEastAsia" w:hAnsiTheme="minorHAnsi" w:cstheme="minorBidi"/>
          <w:noProof/>
          <w:kern w:val="0"/>
          <w:sz w:val="22"/>
          <w:szCs w:val="22"/>
        </w:rPr>
      </w:pPr>
      <w:r>
        <w:rPr>
          <w:noProof/>
        </w:rPr>
        <w:t>4.1  Simplified outline of this Part</w:t>
      </w:r>
      <w:r>
        <w:rPr>
          <w:noProof/>
        </w:rPr>
        <w:tab/>
      </w:r>
      <w:r>
        <w:rPr>
          <w:noProof/>
        </w:rPr>
        <w:fldChar w:fldCharType="begin"/>
      </w:r>
      <w:r>
        <w:rPr>
          <w:noProof/>
        </w:rPr>
        <w:instrText xml:space="preserve"> PAGEREF _Toc74916114 \h </w:instrText>
      </w:r>
      <w:r>
        <w:rPr>
          <w:noProof/>
        </w:rPr>
      </w:r>
      <w:r>
        <w:rPr>
          <w:noProof/>
        </w:rPr>
        <w:fldChar w:fldCharType="separate"/>
      </w:r>
      <w:r w:rsidR="00A84D48">
        <w:rPr>
          <w:noProof/>
        </w:rPr>
        <w:t>45</w:t>
      </w:r>
      <w:r>
        <w:rPr>
          <w:noProof/>
        </w:rPr>
        <w:fldChar w:fldCharType="end"/>
      </w:r>
    </w:p>
    <w:p w14:paraId="7794C802" w14:textId="517D67F8" w:rsidR="008144BE" w:rsidRDefault="008144BE">
      <w:pPr>
        <w:pStyle w:val="TOC3"/>
        <w:rPr>
          <w:rFonts w:asciiTheme="minorHAnsi" w:eastAsiaTheme="minorEastAsia" w:hAnsiTheme="minorHAnsi" w:cstheme="minorBidi"/>
          <w:b w:val="0"/>
          <w:noProof/>
          <w:kern w:val="0"/>
          <w:szCs w:val="22"/>
        </w:rPr>
      </w:pPr>
      <w:r>
        <w:rPr>
          <w:noProof/>
        </w:rPr>
        <w:t>Division 4.2—Consumer data requests made by accredited persons to CDR participants</w:t>
      </w:r>
      <w:r>
        <w:rPr>
          <w:noProof/>
        </w:rPr>
        <w:tab/>
      </w:r>
      <w:r>
        <w:rPr>
          <w:noProof/>
        </w:rPr>
        <w:fldChar w:fldCharType="begin"/>
      </w:r>
      <w:r>
        <w:rPr>
          <w:noProof/>
        </w:rPr>
        <w:instrText xml:space="preserve"> PAGEREF _Toc74916115 \h </w:instrText>
      </w:r>
      <w:r>
        <w:rPr>
          <w:noProof/>
        </w:rPr>
      </w:r>
      <w:r>
        <w:rPr>
          <w:noProof/>
        </w:rPr>
        <w:fldChar w:fldCharType="separate"/>
      </w:r>
      <w:r w:rsidR="00A84D48">
        <w:rPr>
          <w:noProof/>
        </w:rPr>
        <w:t>47</w:t>
      </w:r>
      <w:r>
        <w:rPr>
          <w:noProof/>
        </w:rPr>
        <w:fldChar w:fldCharType="end"/>
      </w:r>
    </w:p>
    <w:p w14:paraId="21C9FB86" w14:textId="50A52BA3" w:rsidR="008144BE" w:rsidRDefault="008144BE">
      <w:pPr>
        <w:pStyle w:val="TOC4"/>
        <w:rPr>
          <w:rFonts w:asciiTheme="minorHAnsi" w:eastAsiaTheme="minorEastAsia" w:hAnsiTheme="minorHAnsi" w:cstheme="minorBidi"/>
          <w:b w:val="0"/>
          <w:noProof/>
          <w:kern w:val="0"/>
          <w:sz w:val="22"/>
          <w:szCs w:val="22"/>
        </w:rPr>
      </w:pPr>
      <w:r>
        <w:rPr>
          <w:noProof/>
        </w:rPr>
        <w:t>Subdivision 4.2.1—Preliminary</w:t>
      </w:r>
      <w:r>
        <w:rPr>
          <w:noProof/>
        </w:rPr>
        <w:tab/>
      </w:r>
      <w:r>
        <w:rPr>
          <w:noProof/>
        </w:rPr>
        <w:fldChar w:fldCharType="begin"/>
      </w:r>
      <w:r>
        <w:rPr>
          <w:noProof/>
        </w:rPr>
        <w:instrText xml:space="preserve"> PAGEREF _Toc74916116 \h </w:instrText>
      </w:r>
      <w:r>
        <w:rPr>
          <w:noProof/>
        </w:rPr>
      </w:r>
      <w:r>
        <w:rPr>
          <w:noProof/>
        </w:rPr>
        <w:fldChar w:fldCharType="separate"/>
      </w:r>
      <w:r w:rsidR="00A84D48">
        <w:rPr>
          <w:noProof/>
        </w:rPr>
        <w:t>47</w:t>
      </w:r>
      <w:r>
        <w:rPr>
          <w:noProof/>
        </w:rPr>
        <w:fldChar w:fldCharType="end"/>
      </w:r>
    </w:p>
    <w:p w14:paraId="5CC314D3" w14:textId="56EAC042" w:rsidR="008144BE" w:rsidRDefault="008144BE">
      <w:pPr>
        <w:pStyle w:val="TOC5"/>
        <w:rPr>
          <w:rFonts w:asciiTheme="minorHAnsi" w:eastAsiaTheme="minorEastAsia" w:hAnsiTheme="minorHAnsi" w:cstheme="minorBidi"/>
          <w:noProof/>
          <w:kern w:val="0"/>
          <w:sz w:val="22"/>
          <w:szCs w:val="22"/>
        </w:rPr>
      </w:pPr>
      <w:r>
        <w:rPr>
          <w:noProof/>
        </w:rPr>
        <w:t>4.2  Consumer data requests made by accredited persons to CDR participants—flowchart</w:t>
      </w:r>
      <w:r>
        <w:rPr>
          <w:noProof/>
        </w:rPr>
        <w:tab/>
      </w:r>
      <w:r>
        <w:rPr>
          <w:noProof/>
        </w:rPr>
        <w:fldChar w:fldCharType="begin"/>
      </w:r>
      <w:r>
        <w:rPr>
          <w:noProof/>
        </w:rPr>
        <w:instrText xml:space="preserve"> PAGEREF _Toc74916117 \h </w:instrText>
      </w:r>
      <w:r>
        <w:rPr>
          <w:noProof/>
        </w:rPr>
      </w:r>
      <w:r>
        <w:rPr>
          <w:noProof/>
        </w:rPr>
        <w:fldChar w:fldCharType="separate"/>
      </w:r>
      <w:r w:rsidR="00A84D48">
        <w:rPr>
          <w:noProof/>
        </w:rPr>
        <w:t>47</w:t>
      </w:r>
      <w:r>
        <w:rPr>
          <w:noProof/>
        </w:rPr>
        <w:fldChar w:fldCharType="end"/>
      </w:r>
    </w:p>
    <w:p w14:paraId="4302D7FD" w14:textId="21CF7E1E" w:rsidR="008144BE" w:rsidRDefault="008144BE">
      <w:pPr>
        <w:pStyle w:val="TOC4"/>
        <w:rPr>
          <w:rFonts w:asciiTheme="minorHAnsi" w:eastAsiaTheme="minorEastAsia" w:hAnsiTheme="minorHAnsi" w:cstheme="minorBidi"/>
          <w:b w:val="0"/>
          <w:noProof/>
          <w:kern w:val="0"/>
          <w:sz w:val="22"/>
          <w:szCs w:val="22"/>
        </w:rPr>
      </w:pPr>
      <w:r>
        <w:rPr>
          <w:noProof/>
        </w:rPr>
        <w:t>Subdivision 4.2.2—Requests to seek to collect CDR data from CDR participants</w:t>
      </w:r>
      <w:r>
        <w:rPr>
          <w:noProof/>
        </w:rPr>
        <w:tab/>
      </w:r>
      <w:r>
        <w:rPr>
          <w:noProof/>
        </w:rPr>
        <w:fldChar w:fldCharType="begin"/>
      </w:r>
      <w:r>
        <w:rPr>
          <w:noProof/>
        </w:rPr>
        <w:instrText xml:space="preserve"> PAGEREF _Toc74916118 \h </w:instrText>
      </w:r>
      <w:r>
        <w:rPr>
          <w:noProof/>
        </w:rPr>
      </w:r>
      <w:r>
        <w:rPr>
          <w:noProof/>
        </w:rPr>
        <w:fldChar w:fldCharType="separate"/>
      </w:r>
      <w:r w:rsidR="00A84D48">
        <w:rPr>
          <w:noProof/>
        </w:rPr>
        <w:t>48</w:t>
      </w:r>
      <w:r>
        <w:rPr>
          <w:noProof/>
        </w:rPr>
        <w:fldChar w:fldCharType="end"/>
      </w:r>
    </w:p>
    <w:p w14:paraId="5F24EFFB" w14:textId="3B770F65" w:rsidR="008144BE" w:rsidRDefault="008144BE">
      <w:pPr>
        <w:pStyle w:val="TOC5"/>
        <w:rPr>
          <w:rFonts w:asciiTheme="minorHAnsi" w:eastAsiaTheme="minorEastAsia" w:hAnsiTheme="minorHAnsi" w:cstheme="minorBidi"/>
          <w:noProof/>
          <w:kern w:val="0"/>
          <w:sz w:val="22"/>
          <w:szCs w:val="22"/>
        </w:rPr>
      </w:pPr>
      <w:r>
        <w:rPr>
          <w:noProof/>
        </w:rPr>
        <w:t>4.3  Request for accredited person to seek to collect CDR data</w:t>
      </w:r>
      <w:r>
        <w:rPr>
          <w:noProof/>
        </w:rPr>
        <w:tab/>
      </w:r>
      <w:r>
        <w:rPr>
          <w:noProof/>
        </w:rPr>
        <w:fldChar w:fldCharType="begin"/>
      </w:r>
      <w:r>
        <w:rPr>
          <w:noProof/>
        </w:rPr>
        <w:instrText xml:space="preserve"> PAGEREF _Toc74916119 \h </w:instrText>
      </w:r>
      <w:r>
        <w:rPr>
          <w:noProof/>
        </w:rPr>
      </w:r>
      <w:r>
        <w:rPr>
          <w:noProof/>
        </w:rPr>
        <w:fldChar w:fldCharType="separate"/>
      </w:r>
      <w:r w:rsidR="00A84D48">
        <w:rPr>
          <w:noProof/>
        </w:rPr>
        <w:t>48</w:t>
      </w:r>
      <w:r>
        <w:rPr>
          <w:noProof/>
        </w:rPr>
        <w:fldChar w:fldCharType="end"/>
      </w:r>
    </w:p>
    <w:p w14:paraId="27175FAE" w14:textId="5F873103" w:rsidR="008144BE" w:rsidRDefault="008144BE">
      <w:pPr>
        <w:pStyle w:val="TOC5"/>
        <w:rPr>
          <w:rFonts w:asciiTheme="minorHAnsi" w:eastAsiaTheme="minorEastAsia" w:hAnsiTheme="minorHAnsi" w:cstheme="minorBidi"/>
          <w:noProof/>
          <w:kern w:val="0"/>
          <w:sz w:val="22"/>
          <w:szCs w:val="22"/>
        </w:rPr>
      </w:pPr>
      <w:r w:rsidRPr="00BC78CF">
        <w:rPr>
          <w:noProof/>
          <w:color w:val="FF0000"/>
        </w:rPr>
        <w:t>4.3A Request for accredited person to seek to collect CDR data, made to CDR representative</w:t>
      </w:r>
      <w:r>
        <w:rPr>
          <w:noProof/>
        </w:rPr>
        <w:tab/>
      </w:r>
      <w:r>
        <w:rPr>
          <w:noProof/>
        </w:rPr>
        <w:fldChar w:fldCharType="begin"/>
      </w:r>
      <w:r>
        <w:rPr>
          <w:noProof/>
        </w:rPr>
        <w:instrText xml:space="preserve"> PAGEREF _Toc74916120 \h </w:instrText>
      </w:r>
      <w:r>
        <w:rPr>
          <w:noProof/>
        </w:rPr>
      </w:r>
      <w:r>
        <w:rPr>
          <w:noProof/>
        </w:rPr>
        <w:fldChar w:fldCharType="separate"/>
      </w:r>
      <w:r w:rsidR="00A84D48">
        <w:rPr>
          <w:noProof/>
        </w:rPr>
        <w:t>49</w:t>
      </w:r>
      <w:r>
        <w:rPr>
          <w:noProof/>
        </w:rPr>
        <w:fldChar w:fldCharType="end"/>
      </w:r>
    </w:p>
    <w:p w14:paraId="46BE547A" w14:textId="4B5FA5F0" w:rsidR="008144BE" w:rsidRDefault="008144BE">
      <w:pPr>
        <w:pStyle w:val="TOC5"/>
        <w:rPr>
          <w:rFonts w:asciiTheme="minorHAnsi" w:eastAsiaTheme="minorEastAsia" w:hAnsiTheme="minorHAnsi" w:cstheme="minorBidi"/>
          <w:noProof/>
          <w:kern w:val="0"/>
          <w:sz w:val="22"/>
          <w:szCs w:val="22"/>
        </w:rPr>
      </w:pPr>
      <w:r w:rsidRPr="00BC78CF">
        <w:rPr>
          <w:noProof/>
          <w:color w:val="FF0000"/>
        </w:rPr>
        <w:t>4.3B Modifications of Division 4.3 in relation to CDR representative</w:t>
      </w:r>
      <w:r>
        <w:rPr>
          <w:noProof/>
        </w:rPr>
        <w:tab/>
      </w:r>
      <w:r>
        <w:rPr>
          <w:noProof/>
        </w:rPr>
        <w:fldChar w:fldCharType="begin"/>
      </w:r>
      <w:r>
        <w:rPr>
          <w:noProof/>
        </w:rPr>
        <w:instrText xml:space="preserve"> PAGEREF _Toc74916121 \h </w:instrText>
      </w:r>
      <w:r>
        <w:rPr>
          <w:noProof/>
        </w:rPr>
      </w:r>
      <w:r>
        <w:rPr>
          <w:noProof/>
        </w:rPr>
        <w:fldChar w:fldCharType="separate"/>
      </w:r>
      <w:r w:rsidR="00A84D48">
        <w:rPr>
          <w:noProof/>
        </w:rPr>
        <w:t>50</w:t>
      </w:r>
      <w:r>
        <w:rPr>
          <w:noProof/>
        </w:rPr>
        <w:fldChar w:fldCharType="end"/>
      </w:r>
    </w:p>
    <w:p w14:paraId="0EBBA3FD" w14:textId="215A50FA" w:rsidR="008144BE" w:rsidRDefault="008144BE">
      <w:pPr>
        <w:pStyle w:val="TOC4"/>
        <w:rPr>
          <w:rFonts w:asciiTheme="minorHAnsi" w:eastAsiaTheme="minorEastAsia" w:hAnsiTheme="minorHAnsi" w:cstheme="minorBidi"/>
          <w:b w:val="0"/>
          <w:noProof/>
          <w:kern w:val="0"/>
          <w:sz w:val="22"/>
          <w:szCs w:val="22"/>
        </w:rPr>
      </w:pPr>
      <w:r>
        <w:rPr>
          <w:noProof/>
        </w:rPr>
        <w:t>Subdivision 4.2.3—Consumer data requests by accredited persons to data holders</w:t>
      </w:r>
      <w:r>
        <w:rPr>
          <w:noProof/>
        </w:rPr>
        <w:tab/>
      </w:r>
      <w:r>
        <w:rPr>
          <w:noProof/>
        </w:rPr>
        <w:fldChar w:fldCharType="begin"/>
      </w:r>
      <w:r>
        <w:rPr>
          <w:noProof/>
        </w:rPr>
        <w:instrText xml:space="preserve"> PAGEREF _Toc74916122 \h </w:instrText>
      </w:r>
      <w:r>
        <w:rPr>
          <w:noProof/>
        </w:rPr>
      </w:r>
      <w:r>
        <w:rPr>
          <w:noProof/>
        </w:rPr>
        <w:fldChar w:fldCharType="separate"/>
      </w:r>
      <w:r w:rsidR="00A84D48">
        <w:rPr>
          <w:noProof/>
        </w:rPr>
        <w:t>52</w:t>
      </w:r>
      <w:r>
        <w:rPr>
          <w:noProof/>
        </w:rPr>
        <w:fldChar w:fldCharType="end"/>
      </w:r>
    </w:p>
    <w:p w14:paraId="4F8EE851" w14:textId="7B5E0917" w:rsidR="008144BE" w:rsidRDefault="008144BE">
      <w:pPr>
        <w:pStyle w:val="TOC5"/>
        <w:rPr>
          <w:rFonts w:asciiTheme="minorHAnsi" w:eastAsiaTheme="minorEastAsia" w:hAnsiTheme="minorHAnsi" w:cstheme="minorBidi"/>
          <w:noProof/>
          <w:kern w:val="0"/>
          <w:sz w:val="22"/>
          <w:szCs w:val="22"/>
        </w:rPr>
      </w:pPr>
      <w:r>
        <w:rPr>
          <w:noProof/>
        </w:rPr>
        <w:t>4.4  Consumer data request by accredited person to data holder</w:t>
      </w:r>
      <w:r>
        <w:rPr>
          <w:noProof/>
        </w:rPr>
        <w:tab/>
      </w:r>
      <w:r>
        <w:rPr>
          <w:noProof/>
        </w:rPr>
        <w:fldChar w:fldCharType="begin"/>
      </w:r>
      <w:r>
        <w:rPr>
          <w:noProof/>
        </w:rPr>
        <w:instrText xml:space="preserve"> PAGEREF _Toc74916123 \h </w:instrText>
      </w:r>
      <w:r>
        <w:rPr>
          <w:noProof/>
        </w:rPr>
      </w:r>
      <w:r>
        <w:rPr>
          <w:noProof/>
        </w:rPr>
        <w:fldChar w:fldCharType="separate"/>
      </w:r>
      <w:r w:rsidR="00A84D48">
        <w:rPr>
          <w:noProof/>
        </w:rPr>
        <w:t>52</w:t>
      </w:r>
      <w:r>
        <w:rPr>
          <w:noProof/>
        </w:rPr>
        <w:fldChar w:fldCharType="end"/>
      </w:r>
    </w:p>
    <w:p w14:paraId="3873493D" w14:textId="5E965C52" w:rsidR="008144BE" w:rsidRDefault="008144BE">
      <w:pPr>
        <w:pStyle w:val="TOC5"/>
        <w:rPr>
          <w:rFonts w:asciiTheme="minorHAnsi" w:eastAsiaTheme="minorEastAsia" w:hAnsiTheme="minorHAnsi" w:cstheme="minorBidi"/>
          <w:noProof/>
          <w:kern w:val="0"/>
          <w:sz w:val="22"/>
          <w:szCs w:val="22"/>
        </w:rPr>
      </w:pPr>
      <w:r>
        <w:rPr>
          <w:noProof/>
        </w:rPr>
        <w:t>4.5  Data holder must ask eligible CDR consumer to authorise disclosure</w:t>
      </w:r>
      <w:r>
        <w:rPr>
          <w:noProof/>
        </w:rPr>
        <w:tab/>
      </w:r>
      <w:r>
        <w:rPr>
          <w:noProof/>
        </w:rPr>
        <w:fldChar w:fldCharType="begin"/>
      </w:r>
      <w:r>
        <w:rPr>
          <w:noProof/>
        </w:rPr>
        <w:instrText xml:space="preserve"> PAGEREF _Toc74916124 \h </w:instrText>
      </w:r>
      <w:r>
        <w:rPr>
          <w:noProof/>
        </w:rPr>
      </w:r>
      <w:r>
        <w:rPr>
          <w:noProof/>
        </w:rPr>
        <w:fldChar w:fldCharType="separate"/>
      </w:r>
      <w:r w:rsidR="00A84D48">
        <w:rPr>
          <w:noProof/>
        </w:rPr>
        <w:t>52</w:t>
      </w:r>
      <w:r>
        <w:rPr>
          <w:noProof/>
        </w:rPr>
        <w:fldChar w:fldCharType="end"/>
      </w:r>
    </w:p>
    <w:p w14:paraId="39CD6C85" w14:textId="19057E91" w:rsidR="008144BE" w:rsidRDefault="008144BE">
      <w:pPr>
        <w:pStyle w:val="TOC5"/>
        <w:rPr>
          <w:rFonts w:asciiTheme="minorHAnsi" w:eastAsiaTheme="minorEastAsia" w:hAnsiTheme="minorHAnsi" w:cstheme="minorBidi"/>
          <w:noProof/>
          <w:kern w:val="0"/>
          <w:sz w:val="22"/>
          <w:szCs w:val="22"/>
        </w:rPr>
      </w:pPr>
      <w:r>
        <w:rPr>
          <w:noProof/>
        </w:rPr>
        <w:t>4.6  Disclosing consumer data in response to a consumer data request</w:t>
      </w:r>
      <w:r>
        <w:rPr>
          <w:noProof/>
        </w:rPr>
        <w:tab/>
      </w:r>
      <w:r>
        <w:rPr>
          <w:noProof/>
        </w:rPr>
        <w:fldChar w:fldCharType="begin"/>
      </w:r>
      <w:r>
        <w:rPr>
          <w:noProof/>
        </w:rPr>
        <w:instrText xml:space="preserve"> PAGEREF _Toc74916125 \h </w:instrText>
      </w:r>
      <w:r>
        <w:rPr>
          <w:noProof/>
        </w:rPr>
      </w:r>
      <w:r>
        <w:rPr>
          <w:noProof/>
        </w:rPr>
        <w:fldChar w:fldCharType="separate"/>
      </w:r>
      <w:r w:rsidR="00A84D48">
        <w:rPr>
          <w:noProof/>
        </w:rPr>
        <w:t>53</w:t>
      </w:r>
      <w:r>
        <w:rPr>
          <w:noProof/>
        </w:rPr>
        <w:fldChar w:fldCharType="end"/>
      </w:r>
    </w:p>
    <w:p w14:paraId="18C90F79" w14:textId="4B2CCC16" w:rsidR="008144BE" w:rsidRDefault="008144BE">
      <w:pPr>
        <w:pStyle w:val="TOC5"/>
        <w:rPr>
          <w:rFonts w:asciiTheme="minorHAnsi" w:eastAsiaTheme="minorEastAsia" w:hAnsiTheme="minorHAnsi" w:cstheme="minorBidi"/>
          <w:noProof/>
          <w:kern w:val="0"/>
          <w:sz w:val="22"/>
          <w:szCs w:val="22"/>
        </w:rPr>
      </w:pPr>
      <w:r>
        <w:rPr>
          <w:noProof/>
        </w:rPr>
        <w:t>4.6A  Disclosure of CDR data relating to account not permitted if not approved by account holder</w:t>
      </w:r>
      <w:r>
        <w:rPr>
          <w:noProof/>
        </w:rPr>
        <w:tab/>
      </w:r>
      <w:r>
        <w:rPr>
          <w:noProof/>
        </w:rPr>
        <w:fldChar w:fldCharType="begin"/>
      </w:r>
      <w:r>
        <w:rPr>
          <w:noProof/>
        </w:rPr>
        <w:instrText xml:space="preserve"> PAGEREF _Toc74916126 \h </w:instrText>
      </w:r>
      <w:r>
        <w:rPr>
          <w:noProof/>
        </w:rPr>
      </w:r>
      <w:r>
        <w:rPr>
          <w:noProof/>
        </w:rPr>
        <w:fldChar w:fldCharType="separate"/>
      </w:r>
      <w:r w:rsidR="00A84D48">
        <w:rPr>
          <w:noProof/>
        </w:rPr>
        <w:t>54</w:t>
      </w:r>
      <w:r>
        <w:rPr>
          <w:noProof/>
        </w:rPr>
        <w:fldChar w:fldCharType="end"/>
      </w:r>
    </w:p>
    <w:p w14:paraId="746350AC" w14:textId="2208944A" w:rsidR="008144BE" w:rsidRDefault="008144BE">
      <w:pPr>
        <w:pStyle w:val="TOC5"/>
        <w:rPr>
          <w:rFonts w:asciiTheme="minorHAnsi" w:eastAsiaTheme="minorEastAsia" w:hAnsiTheme="minorHAnsi" w:cstheme="minorBidi"/>
          <w:noProof/>
          <w:kern w:val="0"/>
          <w:sz w:val="22"/>
          <w:szCs w:val="22"/>
        </w:rPr>
      </w:pPr>
      <w:r>
        <w:rPr>
          <w:noProof/>
        </w:rPr>
        <w:t>4.7  Refusal to disclose required consumer data in response to consumer data request</w:t>
      </w:r>
      <w:r>
        <w:rPr>
          <w:noProof/>
        </w:rPr>
        <w:tab/>
      </w:r>
      <w:r>
        <w:rPr>
          <w:noProof/>
        </w:rPr>
        <w:fldChar w:fldCharType="begin"/>
      </w:r>
      <w:r>
        <w:rPr>
          <w:noProof/>
        </w:rPr>
        <w:instrText xml:space="preserve"> PAGEREF _Toc74916127 \h </w:instrText>
      </w:r>
      <w:r>
        <w:rPr>
          <w:noProof/>
        </w:rPr>
      </w:r>
      <w:r>
        <w:rPr>
          <w:noProof/>
        </w:rPr>
        <w:fldChar w:fldCharType="separate"/>
      </w:r>
      <w:r w:rsidR="00A84D48">
        <w:rPr>
          <w:noProof/>
        </w:rPr>
        <w:t>54</w:t>
      </w:r>
      <w:r>
        <w:rPr>
          <w:noProof/>
        </w:rPr>
        <w:fldChar w:fldCharType="end"/>
      </w:r>
    </w:p>
    <w:p w14:paraId="211ACDC6" w14:textId="773F141F" w:rsidR="008144BE" w:rsidRDefault="008144BE">
      <w:pPr>
        <w:pStyle w:val="TOC4"/>
        <w:rPr>
          <w:rFonts w:asciiTheme="minorHAnsi" w:eastAsiaTheme="minorEastAsia" w:hAnsiTheme="minorHAnsi" w:cstheme="minorBidi"/>
          <w:b w:val="0"/>
          <w:noProof/>
          <w:kern w:val="0"/>
          <w:sz w:val="22"/>
          <w:szCs w:val="22"/>
        </w:rPr>
      </w:pPr>
      <w:r>
        <w:rPr>
          <w:noProof/>
        </w:rPr>
        <w:t>Subdivision 4.2.4—Consumer data requests by accredited persons to accredited data recipients</w:t>
      </w:r>
      <w:r>
        <w:rPr>
          <w:noProof/>
        </w:rPr>
        <w:tab/>
      </w:r>
      <w:r>
        <w:rPr>
          <w:noProof/>
        </w:rPr>
        <w:fldChar w:fldCharType="begin"/>
      </w:r>
      <w:r>
        <w:rPr>
          <w:noProof/>
        </w:rPr>
        <w:instrText xml:space="preserve"> PAGEREF _Toc74916128 \h </w:instrText>
      </w:r>
      <w:r>
        <w:rPr>
          <w:noProof/>
        </w:rPr>
      </w:r>
      <w:r>
        <w:rPr>
          <w:noProof/>
        </w:rPr>
        <w:fldChar w:fldCharType="separate"/>
      </w:r>
      <w:r w:rsidR="00A84D48">
        <w:rPr>
          <w:noProof/>
        </w:rPr>
        <w:t>55</w:t>
      </w:r>
      <w:r>
        <w:rPr>
          <w:noProof/>
        </w:rPr>
        <w:fldChar w:fldCharType="end"/>
      </w:r>
    </w:p>
    <w:p w14:paraId="1C54DF00" w14:textId="2CE310E5" w:rsidR="008144BE" w:rsidRDefault="008144BE">
      <w:pPr>
        <w:pStyle w:val="TOC5"/>
        <w:rPr>
          <w:rFonts w:asciiTheme="minorHAnsi" w:eastAsiaTheme="minorEastAsia" w:hAnsiTheme="minorHAnsi" w:cstheme="minorBidi"/>
          <w:noProof/>
          <w:kern w:val="0"/>
          <w:sz w:val="22"/>
          <w:szCs w:val="22"/>
        </w:rPr>
      </w:pPr>
      <w:r>
        <w:rPr>
          <w:noProof/>
        </w:rPr>
        <w:t>4.7A  Consumer data request by accredited person to accredited data recipient</w:t>
      </w:r>
      <w:r>
        <w:rPr>
          <w:noProof/>
        </w:rPr>
        <w:tab/>
      </w:r>
      <w:r>
        <w:rPr>
          <w:noProof/>
        </w:rPr>
        <w:fldChar w:fldCharType="begin"/>
      </w:r>
      <w:r>
        <w:rPr>
          <w:noProof/>
        </w:rPr>
        <w:instrText xml:space="preserve"> PAGEREF _Toc74916129 \h </w:instrText>
      </w:r>
      <w:r>
        <w:rPr>
          <w:noProof/>
        </w:rPr>
      </w:r>
      <w:r>
        <w:rPr>
          <w:noProof/>
        </w:rPr>
        <w:fldChar w:fldCharType="separate"/>
      </w:r>
      <w:r w:rsidR="00A84D48">
        <w:rPr>
          <w:noProof/>
        </w:rPr>
        <w:t>55</w:t>
      </w:r>
      <w:r>
        <w:rPr>
          <w:noProof/>
        </w:rPr>
        <w:fldChar w:fldCharType="end"/>
      </w:r>
    </w:p>
    <w:p w14:paraId="7EFBD412" w14:textId="485D451C" w:rsidR="008144BE" w:rsidRDefault="008144BE">
      <w:pPr>
        <w:pStyle w:val="TOC5"/>
        <w:rPr>
          <w:rFonts w:asciiTheme="minorHAnsi" w:eastAsiaTheme="minorEastAsia" w:hAnsiTheme="minorHAnsi" w:cstheme="minorBidi"/>
          <w:noProof/>
          <w:kern w:val="0"/>
          <w:sz w:val="22"/>
          <w:szCs w:val="22"/>
        </w:rPr>
      </w:pPr>
      <w:r>
        <w:rPr>
          <w:noProof/>
        </w:rPr>
        <w:t>4.7B  Accredited data recipient may ask eligible CDR consumer for AP disclosure consent</w:t>
      </w:r>
      <w:r>
        <w:rPr>
          <w:noProof/>
        </w:rPr>
        <w:tab/>
      </w:r>
      <w:r>
        <w:rPr>
          <w:noProof/>
        </w:rPr>
        <w:fldChar w:fldCharType="begin"/>
      </w:r>
      <w:r>
        <w:rPr>
          <w:noProof/>
        </w:rPr>
        <w:instrText xml:space="preserve"> PAGEREF _Toc74916130 \h </w:instrText>
      </w:r>
      <w:r>
        <w:rPr>
          <w:noProof/>
        </w:rPr>
      </w:r>
      <w:r>
        <w:rPr>
          <w:noProof/>
        </w:rPr>
        <w:fldChar w:fldCharType="separate"/>
      </w:r>
      <w:r w:rsidR="00A84D48">
        <w:rPr>
          <w:noProof/>
        </w:rPr>
        <w:t>55</w:t>
      </w:r>
      <w:r>
        <w:rPr>
          <w:noProof/>
        </w:rPr>
        <w:fldChar w:fldCharType="end"/>
      </w:r>
    </w:p>
    <w:p w14:paraId="1E03A4E9" w14:textId="20F36519" w:rsidR="008144BE" w:rsidRDefault="008144BE">
      <w:pPr>
        <w:pStyle w:val="TOC3"/>
        <w:rPr>
          <w:rFonts w:asciiTheme="minorHAnsi" w:eastAsiaTheme="minorEastAsia" w:hAnsiTheme="minorHAnsi" w:cstheme="minorBidi"/>
          <w:b w:val="0"/>
          <w:noProof/>
          <w:kern w:val="0"/>
          <w:szCs w:val="22"/>
        </w:rPr>
      </w:pPr>
      <w:r>
        <w:rPr>
          <w:noProof/>
        </w:rPr>
        <w:t>Division 4.3—Giving and amending consents</w:t>
      </w:r>
      <w:r>
        <w:rPr>
          <w:noProof/>
        </w:rPr>
        <w:tab/>
      </w:r>
      <w:r>
        <w:rPr>
          <w:noProof/>
        </w:rPr>
        <w:fldChar w:fldCharType="begin"/>
      </w:r>
      <w:r>
        <w:rPr>
          <w:noProof/>
        </w:rPr>
        <w:instrText xml:space="preserve"> PAGEREF _Toc74916131 \h </w:instrText>
      </w:r>
      <w:r>
        <w:rPr>
          <w:noProof/>
        </w:rPr>
      </w:r>
      <w:r>
        <w:rPr>
          <w:noProof/>
        </w:rPr>
        <w:fldChar w:fldCharType="separate"/>
      </w:r>
      <w:r w:rsidR="00A84D48">
        <w:rPr>
          <w:noProof/>
        </w:rPr>
        <w:t>56</w:t>
      </w:r>
      <w:r>
        <w:rPr>
          <w:noProof/>
        </w:rPr>
        <w:fldChar w:fldCharType="end"/>
      </w:r>
    </w:p>
    <w:p w14:paraId="0CDA478E" w14:textId="513F223E" w:rsidR="008144BE" w:rsidRDefault="008144BE">
      <w:pPr>
        <w:pStyle w:val="TOC4"/>
        <w:rPr>
          <w:rFonts w:asciiTheme="minorHAnsi" w:eastAsiaTheme="minorEastAsia" w:hAnsiTheme="minorHAnsi" w:cstheme="minorBidi"/>
          <w:b w:val="0"/>
          <w:noProof/>
          <w:kern w:val="0"/>
          <w:sz w:val="22"/>
          <w:szCs w:val="22"/>
        </w:rPr>
      </w:pPr>
      <w:r>
        <w:rPr>
          <w:noProof/>
        </w:rPr>
        <w:t>Subdivision 4.3.1—Preliminary</w:t>
      </w:r>
      <w:r>
        <w:rPr>
          <w:noProof/>
        </w:rPr>
        <w:tab/>
      </w:r>
      <w:r>
        <w:rPr>
          <w:noProof/>
        </w:rPr>
        <w:fldChar w:fldCharType="begin"/>
      </w:r>
      <w:r>
        <w:rPr>
          <w:noProof/>
        </w:rPr>
        <w:instrText xml:space="preserve"> PAGEREF _Toc74916132 \h </w:instrText>
      </w:r>
      <w:r>
        <w:rPr>
          <w:noProof/>
        </w:rPr>
      </w:r>
      <w:r>
        <w:rPr>
          <w:noProof/>
        </w:rPr>
        <w:fldChar w:fldCharType="separate"/>
      </w:r>
      <w:r w:rsidR="00A84D48">
        <w:rPr>
          <w:noProof/>
        </w:rPr>
        <w:t>56</w:t>
      </w:r>
      <w:r>
        <w:rPr>
          <w:noProof/>
        </w:rPr>
        <w:fldChar w:fldCharType="end"/>
      </w:r>
    </w:p>
    <w:p w14:paraId="2CF7BBF3" w14:textId="02EF8784" w:rsidR="008144BE" w:rsidRDefault="008144BE">
      <w:pPr>
        <w:pStyle w:val="TOC5"/>
        <w:rPr>
          <w:rFonts w:asciiTheme="minorHAnsi" w:eastAsiaTheme="minorEastAsia" w:hAnsiTheme="minorHAnsi" w:cstheme="minorBidi"/>
          <w:noProof/>
          <w:kern w:val="0"/>
          <w:sz w:val="22"/>
          <w:szCs w:val="22"/>
        </w:rPr>
      </w:pPr>
      <w:r>
        <w:rPr>
          <w:noProof/>
        </w:rPr>
        <w:t>4.8  Purpose of Division</w:t>
      </w:r>
      <w:r>
        <w:rPr>
          <w:noProof/>
        </w:rPr>
        <w:tab/>
      </w:r>
      <w:r>
        <w:rPr>
          <w:noProof/>
        </w:rPr>
        <w:fldChar w:fldCharType="begin"/>
      </w:r>
      <w:r>
        <w:rPr>
          <w:noProof/>
        </w:rPr>
        <w:instrText xml:space="preserve"> PAGEREF _Toc74916133 \h </w:instrText>
      </w:r>
      <w:r>
        <w:rPr>
          <w:noProof/>
        </w:rPr>
      </w:r>
      <w:r>
        <w:rPr>
          <w:noProof/>
        </w:rPr>
        <w:fldChar w:fldCharType="separate"/>
      </w:r>
      <w:r w:rsidR="00A84D48">
        <w:rPr>
          <w:noProof/>
        </w:rPr>
        <w:t>56</w:t>
      </w:r>
      <w:r>
        <w:rPr>
          <w:noProof/>
        </w:rPr>
        <w:fldChar w:fldCharType="end"/>
      </w:r>
    </w:p>
    <w:p w14:paraId="36F216F2" w14:textId="28889D60" w:rsidR="008144BE" w:rsidRDefault="008144BE">
      <w:pPr>
        <w:pStyle w:val="TOC5"/>
        <w:rPr>
          <w:rFonts w:asciiTheme="minorHAnsi" w:eastAsiaTheme="minorEastAsia" w:hAnsiTheme="minorHAnsi" w:cstheme="minorBidi"/>
          <w:noProof/>
          <w:kern w:val="0"/>
          <w:sz w:val="22"/>
          <w:szCs w:val="22"/>
        </w:rPr>
      </w:pPr>
      <w:r>
        <w:rPr>
          <w:noProof/>
        </w:rPr>
        <w:t>4.9  Object</w:t>
      </w:r>
      <w:r>
        <w:rPr>
          <w:noProof/>
        </w:rPr>
        <w:tab/>
      </w:r>
      <w:r>
        <w:rPr>
          <w:noProof/>
        </w:rPr>
        <w:fldChar w:fldCharType="begin"/>
      </w:r>
      <w:r>
        <w:rPr>
          <w:noProof/>
        </w:rPr>
        <w:instrText xml:space="preserve"> PAGEREF _Toc74916134 \h </w:instrText>
      </w:r>
      <w:r>
        <w:rPr>
          <w:noProof/>
        </w:rPr>
      </w:r>
      <w:r>
        <w:rPr>
          <w:noProof/>
        </w:rPr>
        <w:fldChar w:fldCharType="separate"/>
      </w:r>
      <w:r w:rsidR="00A84D48">
        <w:rPr>
          <w:noProof/>
        </w:rPr>
        <w:t>56</w:t>
      </w:r>
      <w:r>
        <w:rPr>
          <w:noProof/>
        </w:rPr>
        <w:fldChar w:fldCharType="end"/>
      </w:r>
    </w:p>
    <w:p w14:paraId="00670833" w14:textId="4DF9937E" w:rsidR="008144BE" w:rsidRDefault="008144BE">
      <w:pPr>
        <w:pStyle w:val="TOC4"/>
        <w:rPr>
          <w:rFonts w:asciiTheme="minorHAnsi" w:eastAsiaTheme="minorEastAsia" w:hAnsiTheme="minorHAnsi" w:cstheme="minorBidi"/>
          <w:b w:val="0"/>
          <w:noProof/>
          <w:kern w:val="0"/>
          <w:sz w:val="22"/>
          <w:szCs w:val="22"/>
        </w:rPr>
      </w:pPr>
      <w:r>
        <w:rPr>
          <w:noProof/>
        </w:rPr>
        <w:t>Subdivision 4.3.2—Giving consents</w:t>
      </w:r>
      <w:r>
        <w:rPr>
          <w:noProof/>
        </w:rPr>
        <w:tab/>
      </w:r>
      <w:r>
        <w:rPr>
          <w:noProof/>
        </w:rPr>
        <w:fldChar w:fldCharType="begin"/>
      </w:r>
      <w:r>
        <w:rPr>
          <w:noProof/>
        </w:rPr>
        <w:instrText xml:space="preserve"> PAGEREF _Toc74916135 \h </w:instrText>
      </w:r>
      <w:r>
        <w:rPr>
          <w:noProof/>
        </w:rPr>
      </w:r>
      <w:r>
        <w:rPr>
          <w:noProof/>
        </w:rPr>
        <w:fldChar w:fldCharType="separate"/>
      </w:r>
      <w:r w:rsidR="00A84D48">
        <w:rPr>
          <w:noProof/>
        </w:rPr>
        <w:t>56</w:t>
      </w:r>
      <w:r>
        <w:rPr>
          <w:noProof/>
        </w:rPr>
        <w:fldChar w:fldCharType="end"/>
      </w:r>
    </w:p>
    <w:p w14:paraId="0BB24E8B" w14:textId="53E88732" w:rsidR="008144BE" w:rsidRDefault="008144BE">
      <w:pPr>
        <w:pStyle w:val="TOC5"/>
        <w:rPr>
          <w:rFonts w:asciiTheme="minorHAnsi" w:eastAsiaTheme="minorEastAsia" w:hAnsiTheme="minorHAnsi" w:cstheme="minorBidi"/>
          <w:noProof/>
          <w:kern w:val="0"/>
          <w:sz w:val="22"/>
          <w:szCs w:val="22"/>
        </w:rPr>
      </w:pPr>
      <w:r>
        <w:rPr>
          <w:noProof/>
        </w:rPr>
        <w:t>4.10  Requirements relating to accredited person’s processes for seeking consent</w:t>
      </w:r>
      <w:r>
        <w:rPr>
          <w:noProof/>
        </w:rPr>
        <w:tab/>
      </w:r>
      <w:r>
        <w:rPr>
          <w:noProof/>
        </w:rPr>
        <w:fldChar w:fldCharType="begin"/>
      </w:r>
      <w:r>
        <w:rPr>
          <w:noProof/>
        </w:rPr>
        <w:instrText xml:space="preserve"> PAGEREF _Toc74916136 \h </w:instrText>
      </w:r>
      <w:r>
        <w:rPr>
          <w:noProof/>
        </w:rPr>
      </w:r>
      <w:r>
        <w:rPr>
          <w:noProof/>
        </w:rPr>
        <w:fldChar w:fldCharType="separate"/>
      </w:r>
      <w:r w:rsidR="00A84D48">
        <w:rPr>
          <w:noProof/>
        </w:rPr>
        <w:t>56</w:t>
      </w:r>
      <w:r>
        <w:rPr>
          <w:noProof/>
        </w:rPr>
        <w:fldChar w:fldCharType="end"/>
      </w:r>
    </w:p>
    <w:p w14:paraId="527BDEF2" w14:textId="3F365295" w:rsidR="008144BE" w:rsidRDefault="008144BE">
      <w:pPr>
        <w:pStyle w:val="TOC5"/>
        <w:rPr>
          <w:rFonts w:asciiTheme="minorHAnsi" w:eastAsiaTheme="minorEastAsia" w:hAnsiTheme="minorHAnsi" w:cstheme="minorBidi"/>
          <w:noProof/>
          <w:kern w:val="0"/>
          <w:sz w:val="22"/>
          <w:szCs w:val="22"/>
        </w:rPr>
      </w:pPr>
      <w:r>
        <w:rPr>
          <w:noProof/>
        </w:rPr>
        <w:t>4.11  Asking CDR consumer to give consent</w:t>
      </w:r>
      <w:r>
        <w:rPr>
          <w:noProof/>
        </w:rPr>
        <w:tab/>
      </w:r>
      <w:r>
        <w:rPr>
          <w:noProof/>
        </w:rPr>
        <w:fldChar w:fldCharType="begin"/>
      </w:r>
      <w:r>
        <w:rPr>
          <w:noProof/>
        </w:rPr>
        <w:instrText xml:space="preserve"> PAGEREF _Toc74916137 \h </w:instrText>
      </w:r>
      <w:r>
        <w:rPr>
          <w:noProof/>
        </w:rPr>
      </w:r>
      <w:r>
        <w:rPr>
          <w:noProof/>
        </w:rPr>
        <w:fldChar w:fldCharType="separate"/>
      </w:r>
      <w:r w:rsidR="00A84D48">
        <w:rPr>
          <w:noProof/>
        </w:rPr>
        <w:t>57</w:t>
      </w:r>
      <w:r>
        <w:rPr>
          <w:noProof/>
        </w:rPr>
        <w:fldChar w:fldCharType="end"/>
      </w:r>
    </w:p>
    <w:p w14:paraId="7524D7D2" w14:textId="1BE2DF3B" w:rsidR="008144BE" w:rsidRDefault="008144BE">
      <w:pPr>
        <w:pStyle w:val="TOC5"/>
        <w:rPr>
          <w:rFonts w:asciiTheme="minorHAnsi" w:eastAsiaTheme="minorEastAsia" w:hAnsiTheme="minorHAnsi" w:cstheme="minorBidi"/>
          <w:noProof/>
          <w:kern w:val="0"/>
          <w:sz w:val="22"/>
          <w:szCs w:val="22"/>
        </w:rPr>
      </w:pPr>
      <w:r>
        <w:rPr>
          <w:noProof/>
        </w:rPr>
        <w:t>4.12  Restrictions on seeking consent</w:t>
      </w:r>
      <w:r>
        <w:rPr>
          <w:noProof/>
        </w:rPr>
        <w:tab/>
      </w:r>
      <w:r>
        <w:rPr>
          <w:noProof/>
        </w:rPr>
        <w:fldChar w:fldCharType="begin"/>
      </w:r>
      <w:r>
        <w:rPr>
          <w:noProof/>
        </w:rPr>
        <w:instrText xml:space="preserve"> PAGEREF _Toc74916138 \h </w:instrText>
      </w:r>
      <w:r>
        <w:rPr>
          <w:noProof/>
        </w:rPr>
      </w:r>
      <w:r>
        <w:rPr>
          <w:noProof/>
        </w:rPr>
        <w:fldChar w:fldCharType="separate"/>
      </w:r>
      <w:r w:rsidR="00A84D48">
        <w:rPr>
          <w:noProof/>
        </w:rPr>
        <w:t>59</w:t>
      </w:r>
      <w:r>
        <w:rPr>
          <w:noProof/>
        </w:rPr>
        <w:fldChar w:fldCharType="end"/>
      </w:r>
    </w:p>
    <w:p w14:paraId="2178961E" w14:textId="6BC6D858" w:rsidR="008144BE" w:rsidRDefault="008144BE">
      <w:pPr>
        <w:pStyle w:val="TOC4"/>
        <w:rPr>
          <w:rFonts w:asciiTheme="minorHAnsi" w:eastAsiaTheme="minorEastAsia" w:hAnsiTheme="minorHAnsi" w:cstheme="minorBidi"/>
          <w:b w:val="0"/>
          <w:noProof/>
          <w:kern w:val="0"/>
          <w:sz w:val="22"/>
          <w:szCs w:val="22"/>
        </w:rPr>
      </w:pPr>
      <w:r>
        <w:rPr>
          <w:noProof/>
        </w:rPr>
        <w:t>Subdivision 4.3.2A—Amending consents</w:t>
      </w:r>
      <w:r>
        <w:rPr>
          <w:noProof/>
        </w:rPr>
        <w:tab/>
      </w:r>
      <w:r>
        <w:rPr>
          <w:noProof/>
        </w:rPr>
        <w:fldChar w:fldCharType="begin"/>
      </w:r>
      <w:r>
        <w:rPr>
          <w:noProof/>
        </w:rPr>
        <w:instrText xml:space="preserve"> PAGEREF _Toc74916139 \h </w:instrText>
      </w:r>
      <w:r>
        <w:rPr>
          <w:noProof/>
        </w:rPr>
      </w:r>
      <w:r>
        <w:rPr>
          <w:noProof/>
        </w:rPr>
        <w:fldChar w:fldCharType="separate"/>
      </w:r>
      <w:r w:rsidR="00A84D48">
        <w:rPr>
          <w:noProof/>
        </w:rPr>
        <w:t>60</w:t>
      </w:r>
      <w:r>
        <w:rPr>
          <w:noProof/>
        </w:rPr>
        <w:fldChar w:fldCharType="end"/>
      </w:r>
    </w:p>
    <w:p w14:paraId="2A23B612" w14:textId="6AE136A5" w:rsidR="008144BE" w:rsidRDefault="008144BE">
      <w:pPr>
        <w:pStyle w:val="TOC5"/>
        <w:rPr>
          <w:rFonts w:asciiTheme="minorHAnsi" w:eastAsiaTheme="minorEastAsia" w:hAnsiTheme="minorHAnsi" w:cstheme="minorBidi"/>
          <w:noProof/>
          <w:kern w:val="0"/>
          <w:sz w:val="22"/>
          <w:szCs w:val="22"/>
        </w:rPr>
      </w:pPr>
      <w:r>
        <w:rPr>
          <w:noProof/>
        </w:rPr>
        <w:t>4.12A  Amendment of consent</w:t>
      </w:r>
      <w:r>
        <w:rPr>
          <w:noProof/>
        </w:rPr>
        <w:tab/>
      </w:r>
      <w:r>
        <w:rPr>
          <w:noProof/>
        </w:rPr>
        <w:fldChar w:fldCharType="begin"/>
      </w:r>
      <w:r>
        <w:rPr>
          <w:noProof/>
        </w:rPr>
        <w:instrText xml:space="preserve"> PAGEREF _Toc74916140 \h </w:instrText>
      </w:r>
      <w:r>
        <w:rPr>
          <w:noProof/>
        </w:rPr>
      </w:r>
      <w:r>
        <w:rPr>
          <w:noProof/>
        </w:rPr>
        <w:fldChar w:fldCharType="separate"/>
      </w:r>
      <w:r w:rsidR="00A84D48">
        <w:rPr>
          <w:noProof/>
        </w:rPr>
        <w:t>60</w:t>
      </w:r>
      <w:r>
        <w:rPr>
          <w:noProof/>
        </w:rPr>
        <w:fldChar w:fldCharType="end"/>
      </w:r>
    </w:p>
    <w:p w14:paraId="370C9AB8" w14:textId="06C766A6" w:rsidR="008144BE" w:rsidRDefault="008144BE">
      <w:pPr>
        <w:pStyle w:val="TOC5"/>
        <w:rPr>
          <w:rFonts w:asciiTheme="minorHAnsi" w:eastAsiaTheme="minorEastAsia" w:hAnsiTheme="minorHAnsi" w:cstheme="minorBidi"/>
          <w:noProof/>
          <w:kern w:val="0"/>
          <w:sz w:val="22"/>
          <w:szCs w:val="22"/>
        </w:rPr>
      </w:pPr>
      <w:r>
        <w:rPr>
          <w:noProof/>
        </w:rPr>
        <w:t>4.12B  Inviting CDR consumer to amend consent</w:t>
      </w:r>
      <w:r>
        <w:rPr>
          <w:noProof/>
        </w:rPr>
        <w:tab/>
      </w:r>
      <w:r>
        <w:rPr>
          <w:noProof/>
        </w:rPr>
        <w:fldChar w:fldCharType="begin"/>
      </w:r>
      <w:r>
        <w:rPr>
          <w:noProof/>
        </w:rPr>
        <w:instrText xml:space="preserve"> PAGEREF _Toc74916141 \h </w:instrText>
      </w:r>
      <w:r>
        <w:rPr>
          <w:noProof/>
        </w:rPr>
      </w:r>
      <w:r>
        <w:rPr>
          <w:noProof/>
        </w:rPr>
        <w:fldChar w:fldCharType="separate"/>
      </w:r>
      <w:r w:rsidR="00A84D48">
        <w:rPr>
          <w:noProof/>
        </w:rPr>
        <w:t>60</w:t>
      </w:r>
      <w:r>
        <w:rPr>
          <w:noProof/>
        </w:rPr>
        <w:fldChar w:fldCharType="end"/>
      </w:r>
    </w:p>
    <w:p w14:paraId="799857F0" w14:textId="2F40DEAA" w:rsidR="008144BE" w:rsidRDefault="008144BE">
      <w:pPr>
        <w:pStyle w:val="TOC5"/>
        <w:rPr>
          <w:rFonts w:asciiTheme="minorHAnsi" w:eastAsiaTheme="minorEastAsia" w:hAnsiTheme="minorHAnsi" w:cstheme="minorBidi"/>
          <w:noProof/>
          <w:kern w:val="0"/>
          <w:sz w:val="22"/>
          <w:szCs w:val="22"/>
        </w:rPr>
      </w:pPr>
      <w:r>
        <w:rPr>
          <w:noProof/>
        </w:rPr>
        <w:t>4.12C  Process for amending consents</w:t>
      </w:r>
      <w:r>
        <w:rPr>
          <w:noProof/>
        </w:rPr>
        <w:tab/>
      </w:r>
      <w:r>
        <w:rPr>
          <w:noProof/>
        </w:rPr>
        <w:fldChar w:fldCharType="begin"/>
      </w:r>
      <w:r>
        <w:rPr>
          <w:noProof/>
        </w:rPr>
        <w:instrText xml:space="preserve"> PAGEREF _Toc74916142 \h </w:instrText>
      </w:r>
      <w:r>
        <w:rPr>
          <w:noProof/>
        </w:rPr>
      </w:r>
      <w:r>
        <w:rPr>
          <w:noProof/>
        </w:rPr>
        <w:fldChar w:fldCharType="separate"/>
      </w:r>
      <w:r w:rsidR="00A84D48">
        <w:rPr>
          <w:noProof/>
        </w:rPr>
        <w:t>60</w:t>
      </w:r>
      <w:r>
        <w:rPr>
          <w:noProof/>
        </w:rPr>
        <w:fldChar w:fldCharType="end"/>
      </w:r>
    </w:p>
    <w:p w14:paraId="64727CE2" w14:textId="4702A217" w:rsidR="008144BE" w:rsidRDefault="008144BE">
      <w:pPr>
        <w:pStyle w:val="TOC4"/>
        <w:rPr>
          <w:rFonts w:asciiTheme="minorHAnsi" w:eastAsiaTheme="minorEastAsia" w:hAnsiTheme="minorHAnsi" w:cstheme="minorBidi"/>
          <w:b w:val="0"/>
          <w:noProof/>
          <w:kern w:val="0"/>
          <w:sz w:val="22"/>
          <w:szCs w:val="22"/>
        </w:rPr>
      </w:pPr>
      <w:r>
        <w:rPr>
          <w:noProof/>
        </w:rPr>
        <w:t>Subdivision 4.3.2B—Withdrawing consents</w:t>
      </w:r>
      <w:r>
        <w:rPr>
          <w:noProof/>
        </w:rPr>
        <w:tab/>
      </w:r>
      <w:r>
        <w:rPr>
          <w:noProof/>
        </w:rPr>
        <w:fldChar w:fldCharType="begin"/>
      </w:r>
      <w:r>
        <w:rPr>
          <w:noProof/>
        </w:rPr>
        <w:instrText xml:space="preserve"> PAGEREF _Toc74916143 \h </w:instrText>
      </w:r>
      <w:r>
        <w:rPr>
          <w:noProof/>
        </w:rPr>
      </w:r>
      <w:r>
        <w:rPr>
          <w:noProof/>
        </w:rPr>
        <w:fldChar w:fldCharType="separate"/>
      </w:r>
      <w:r w:rsidR="00A84D48">
        <w:rPr>
          <w:noProof/>
        </w:rPr>
        <w:t>61</w:t>
      </w:r>
      <w:r>
        <w:rPr>
          <w:noProof/>
        </w:rPr>
        <w:fldChar w:fldCharType="end"/>
      </w:r>
    </w:p>
    <w:p w14:paraId="172DDD1F" w14:textId="6EB91DE4" w:rsidR="008144BE" w:rsidRDefault="008144BE">
      <w:pPr>
        <w:pStyle w:val="TOC5"/>
        <w:rPr>
          <w:rFonts w:asciiTheme="minorHAnsi" w:eastAsiaTheme="minorEastAsia" w:hAnsiTheme="minorHAnsi" w:cstheme="minorBidi"/>
          <w:noProof/>
          <w:kern w:val="0"/>
          <w:sz w:val="22"/>
          <w:szCs w:val="22"/>
        </w:rPr>
      </w:pPr>
      <w:r>
        <w:rPr>
          <w:noProof/>
        </w:rPr>
        <w:t>4.13  Withdrawal of consents, and notifications</w:t>
      </w:r>
      <w:r>
        <w:rPr>
          <w:noProof/>
        </w:rPr>
        <w:tab/>
      </w:r>
      <w:r>
        <w:rPr>
          <w:noProof/>
        </w:rPr>
        <w:fldChar w:fldCharType="begin"/>
      </w:r>
      <w:r>
        <w:rPr>
          <w:noProof/>
        </w:rPr>
        <w:instrText xml:space="preserve"> PAGEREF _Toc74916144 \h </w:instrText>
      </w:r>
      <w:r>
        <w:rPr>
          <w:noProof/>
        </w:rPr>
      </w:r>
      <w:r>
        <w:rPr>
          <w:noProof/>
        </w:rPr>
        <w:fldChar w:fldCharType="separate"/>
      </w:r>
      <w:r w:rsidR="00A84D48">
        <w:rPr>
          <w:noProof/>
        </w:rPr>
        <w:t>61</w:t>
      </w:r>
      <w:r>
        <w:rPr>
          <w:noProof/>
        </w:rPr>
        <w:fldChar w:fldCharType="end"/>
      </w:r>
    </w:p>
    <w:p w14:paraId="55889AC5" w14:textId="35316CA9" w:rsidR="008144BE" w:rsidRDefault="008144BE">
      <w:pPr>
        <w:pStyle w:val="TOC4"/>
        <w:rPr>
          <w:rFonts w:asciiTheme="minorHAnsi" w:eastAsiaTheme="minorEastAsia" w:hAnsiTheme="minorHAnsi" w:cstheme="minorBidi"/>
          <w:b w:val="0"/>
          <w:noProof/>
          <w:kern w:val="0"/>
          <w:sz w:val="22"/>
          <w:szCs w:val="22"/>
        </w:rPr>
      </w:pPr>
      <w:r>
        <w:rPr>
          <w:noProof/>
        </w:rPr>
        <w:t>Subdivision 4.3.2C—Duration of consent</w:t>
      </w:r>
      <w:r>
        <w:rPr>
          <w:noProof/>
        </w:rPr>
        <w:tab/>
      </w:r>
      <w:r>
        <w:rPr>
          <w:noProof/>
        </w:rPr>
        <w:fldChar w:fldCharType="begin"/>
      </w:r>
      <w:r>
        <w:rPr>
          <w:noProof/>
        </w:rPr>
        <w:instrText xml:space="preserve"> PAGEREF _Toc74916145 \h </w:instrText>
      </w:r>
      <w:r>
        <w:rPr>
          <w:noProof/>
        </w:rPr>
      </w:r>
      <w:r>
        <w:rPr>
          <w:noProof/>
        </w:rPr>
        <w:fldChar w:fldCharType="separate"/>
      </w:r>
      <w:r w:rsidR="00A84D48">
        <w:rPr>
          <w:noProof/>
        </w:rPr>
        <w:t>61</w:t>
      </w:r>
      <w:r>
        <w:rPr>
          <w:noProof/>
        </w:rPr>
        <w:fldChar w:fldCharType="end"/>
      </w:r>
    </w:p>
    <w:p w14:paraId="74A64D5B" w14:textId="76EF972E" w:rsidR="008144BE" w:rsidRDefault="008144BE">
      <w:pPr>
        <w:pStyle w:val="TOC5"/>
        <w:rPr>
          <w:rFonts w:asciiTheme="minorHAnsi" w:eastAsiaTheme="minorEastAsia" w:hAnsiTheme="minorHAnsi" w:cstheme="minorBidi"/>
          <w:noProof/>
          <w:kern w:val="0"/>
          <w:sz w:val="22"/>
          <w:szCs w:val="22"/>
        </w:rPr>
      </w:pPr>
      <w:r>
        <w:rPr>
          <w:noProof/>
        </w:rPr>
        <w:t>4.14  Duration of consent</w:t>
      </w:r>
      <w:r>
        <w:rPr>
          <w:noProof/>
        </w:rPr>
        <w:tab/>
      </w:r>
      <w:r>
        <w:rPr>
          <w:noProof/>
        </w:rPr>
        <w:fldChar w:fldCharType="begin"/>
      </w:r>
      <w:r>
        <w:rPr>
          <w:noProof/>
        </w:rPr>
        <w:instrText xml:space="preserve"> PAGEREF _Toc74916146 \h </w:instrText>
      </w:r>
      <w:r>
        <w:rPr>
          <w:noProof/>
        </w:rPr>
      </w:r>
      <w:r>
        <w:rPr>
          <w:noProof/>
        </w:rPr>
        <w:fldChar w:fldCharType="separate"/>
      </w:r>
      <w:r w:rsidR="00A84D48">
        <w:rPr>
          <w:noProof/>
        </w:rPr>
        <w:t>61</w:t>
      </w:r>
      <w:r>
        <w:rPr>
          <w:noProof/>
        </w:rPr>
        <w:fldChar w:fldCharType="end"/>
      </w:r>
    </w:p>
    <w:p w14:paraId="2AF29B70" w14:textId="54419583" w:rsidR="008144BE" w:rsidRDefault="008144BE">
      <w:pPr>
        <w:pStyle w:val="TOC4"/>
        <w:rPr>
          <w:rFonts w:asciiTheme="minorHAnsi" w:eastAsiaTheme="minorEastAsia" w:hAnsiTheme="minorHAnsi" w:cstheme="minorBidi"/>
          <w:b w:val="0"/>
          <w:noProof/>
          <w:kern w:val="0"/>
          <w:sz w:val="22"/>
          <w:szCs w:val="22"/>
        </w:rPr>
      </w:pPr>
      <w:r>
        <w:rPr>
          <w:noProof/>
        </w:rPr>
        <w:t>Subdivision 4.3.3—Information relating to de</w:t>
      </w:r>
      <w:r>
        <w:rPr>
          <w:noProof/>
        </w:rPr>
        <w:noBreakHyphen/>
        <w:t>identification of CDR data</w:t>
      </w:r>
      <w:r>
        <w:rPr>
          <w:noProof/>
        </w:rPr>
        <w:tab/>
      </w:r>
      <w:r>
        <w:rPr>
          <w:noProof/>
        </w:rPr>
        <w:fldChar w:fldCharType="begin"/>
      </w:r>
      <w:r>
        <w:rPr>
          <w:noProof/>
        </w:rPr>
        <w:instrText xml:space="preserve"> PAGEREF _Toc74916147 \h </w:instrText>
      </w:r>
      <w:r>
        <w:rPr>
          <w:noProof/>
        </w:rPr>
      </w:r>
      <w:r>
        <w:rPr>
          <w:noProof/>
        </w:rPr>
        <w:fldChar w:fldCharType="separate"/>
      </w:r>
      <w:r w:rsidR="00A84D48">
        <w:rPr>
          <w:noProof/>
        </w:rPr>
        <w:t>62</w:t>
      </w:r>
      <w:r>
        <w:rPr>
          <w:noProof/>
        </w:rPr>
        <w:fldChar w:fldCharType="end"/>
      </w:r>
    </w:p>
    <w:p w14:paraId="3841E96F" w14:textId="08E3F485" w:rsidR="008144BE" w:rsidRDefault="008144BE">
      <w:pPr>
        <w:pStyle w:val="TOC5"/>
        <w:rPr>
          <w:rFonts w:asciiTheme="minorHAnsi" w:eastAsiaTheme="minorEastAsia" w:hAnsiTheme="minorHAnsi" w:cstheme="minorBidi"/>
          <w:noProof/>
          <w:kern w:val="0"/>
          <w:sz w:val="22"/>
          <w:szCs w:val="22"/>
        </w:rPr>
      </w:pPr>
      <w:r>
        <w:rPr>
          <w:noProof/>
        </w:rPr>
        <w:t>4.15  Additional information relating to de</w:t>
      </w:r>
      <w:r>
        <w:rPr>
          <w:noProof/>
        </w:rPr>
        <w:noBreakHyphen/>
        <w:t>identification of CDR data</w:t>
      </w:r>
      <w:r>
        <w:rPr>
          <w:noProof/>
        </w:rPr>
        <w:tab/>
      </w:r>
      <w:r>
        <w:rPr>
          <w:noProof/>
        </w:rPr>
        <w:fldChar w:fldCharType="begin"/>
      </w:r>
      <w:r>
        <w:rPr>
          <w:noProof/>
        </w:rPr>
        <w:instrText xml:space="preserve"> PAGEREF _Toc74916148 \h </w:instrText>
      </w:r>
      <w:r>
        <w:rPr>
          <w:noProof/>
        </w:rPr>
      </w:r>
      <w:r>
        <w:rPr>
          <w:noProof/>
        </w:rPr>
        <w:fldChar w:fldCharType="separate"/>
      </w:r>
      <w:r w:rsidR="00A84D48">
        <w:rPr>
          <w:noProof/>
        </w:rPr>
        <w:t>62</w:t>
      </w:r>
      <w:r>
        <w:rPr>
          <w:noProof/>
        </w:rPr>
        <w:fldChar w:fldCharType="end"/>
      </w:r>
    </w:p>
    <w:p w14:paraId="53A527AE" w14:textId="20F603D1" w:rsidR="008144BE" w:rsidRDefault="008144BE">
      <w:pPr>
        <w:pStyle w:val="TOC4"/>
        <w:rPr>
          <w:rFonts w:asciiTheme="minorHAnsi" w:eastAsiaTheme="minorEastAsia" w:hAnsiTheme="minorHAnsi" w:cstheme="minorBidi"/>
          <w:b w:val="0"/>
          <w:noProof/>
          <w:kern w:val="0"/>
          <w:sz w:val="22"/>
          <w:szCs w:val="22"/>
        </w:rPr>
      </w:pPr>
      <w:r>
        <w:rPr>
          <w:noProof/>
        </w:rPr>
        <w:t>Subdivision 4.3.4—Election to delete redundant data</w:t>
      </w:r>
      <w:r>
        <w:rPr>
          <w:noProof/>
        </w:rPr>
        <w:tab/>
      </w:r>
      <w:r>
        <w:rPr>
          <w:noProof/>
        </w:rPr>
        <w:fldChar w:fldCharType="begin"/>
      </w:r>
      <w:r>
        <w:rPr>
          <w:noProof/>
        </w:rPr>
        <w:instrText xml:space="preserve"> PAGEREF _Toc74916149 \h </w:instrText>
      </w:r>
      <w:r>
        <w:rPr>
          <w:noProof/>
        </w:rPr>
      </w:r>
      <w:r>
        <w:rPr>
          <w:noProof/>
        </w:rPr>
        <w:fldChar w:fldCharType="separate"/>
      </w:r>
      <w:r w:rsidR="00A84D48">
        <w:rPr>
          <w:noProof/>
        </w:rPr>
        <w:t>63</w:t>
      </w:r>
      <w:r>
        <w:rPr>
          <w:noProof/>
        </w:rPr>
        <w:fldChar w:fldCharType="end"/>
      </w:r>
    </w:p>
    <w:p w14:paraId="01F02EAF" w14:textId="423FE131" w:rsidR="008144BE" w:rsidRDefault="008144BE">
      <w:pPr>
        <w:pStyle w:val="TOC5"/>
        <w:rPr>
          <w:rFonts w:asciiTheme="minorHAnsi" w:eastAsiaTheme="minorEastAsia" w:hAnsiTheme="minorHAnsi" w:cstheme="minorBidi"/>
          <w:noProof/>
          <w:kern w:val="0"/>
          <w:sz w:val="22"/>
          <w:szCs w:val="22"/>
        </w:rPr>
      </w:pPr>
      <w:r>
        <w:rPr>
          <w:noProof/>
        </w:rPr>
        <w:t>4.16  Election to delete redundant data</w:t>
      </w:r>
      <w:r>
        <w:rPr>
          <w:noProof/>
        </w:rPr>
        <w:tab/>
      </w:r>
      <w:r>
        <w:rPr>
          <w:noProof/>
        </w:rPr>
        <w:fldChar w:fldCharType="begin"/>
      </w:r>
      <w:r>
        <w:rPr>
          <w:noProof/>
        </w:rPr>
        <w:instrText xml:space="preserve"> PAGEREF _Toc74916150 \h </w:instrText>
      </w:r>
      <w:r>
        <w:rPr>
          <w:noProof/>
        </w:rPr>
      </w:r>
      <w:r>
        <w:rPr>
          <w:noProof/>
        </w:rPr>
        <w:fldChar w:fldCharType="separate"/>
      </w:r>
      <w:r w:rsidR="00A84D48">
        <w:rPr>
          <w:noProof/>
        </w:rPr>
        <w:t>63</w:t>
      </w:r>
      <w:r>
        <w:rPr>
          <w:noProof/>
        </w:rPr>
        <w:fldChar w:fldCharType="end"/>
      </w:r>
    </w:p>
    <w:p w14:paraId="763B9556" w14:textId="7DA11443" w:rsidR="008144BE" w:rsidRDefault="008144BE">
      <w:pPr>
        <w:pStyle w:val="TOC5"/>
        <w:rPr>
          <w:rFonts w:asciiTheme="minorHAnsi" w:eastAsiaTheme="minorEastAsia" w:hAnsiTheme="minorHAnsi" w:cstheme="minorBidi"/>
          <w:noProof/>
          <w:kern w:val="0"/>
          <w:sz w:val="22"/>
          <w:szCs w:val="22"/>
        </w:rPr>
      </w:pPr>
      <w:r>
        <w:rPr>
          <w:noProof/>
        </w:rPr>
        <w:t>4.17  Information relating to redundant data</w:t>
      </w:r>
      <w:r>
        <w:rPr>
          <w:noProof/>
        </w:rPr>
        <w:tab/>
      </w:r>
      <w:r>
        <w:rPr>
          <w:noProof/>
        </w:rPr>
        <w:fldChar w:fldCharType="begin"/>
      </w:r>
      <w:r>
        <w:rPr>
          <w:noProof/>
        </w:rPr>
        <w:instrText xml:space="preserve"> PAGEREF _Toc74916151 \h </w:instrText>
      </w:r>
      <w:r>
        <w:rPr>
          <w:noProof/>
        </w:rPr>
      </w:r>
      <w:r>
        <w:rPr>
          <w:noProof/>
        </w:rPr>
        <w:fldChar w:fldCharType="separate"/>
      </w:r>
      <w:r w:rsidR="00A84D48">
        <w:rPr>
          <w:noProof/>
        </w:rPr>
        <w:t>63</w:t>
      </w:r>
      <w:r>
        <w:rPr>
          <w:noProof/>
        </w:rPr>
        <w:fldChar w:fldCharType="end"/>
      </w:r>
    </w:p>
    <w:p w14:paraId="66DCF310" w14:textId="5A4CEFD4" w:rsidR="008144BE" w:rsidRDefault="008144BE">
      <w:pPr>
        <w:pStyle w:val="TOC4"/>
        <w:rPr>
          <w:rFonts w:asciiTheme="minorHAnsi" w:eastAsiaTheme="minorEastAsia" w:hAnsiTheme="minorHAnsi" w:cstheme="minorBidi"/>
          <w:b w:val="0"/>
          <w:noProof/>
          <w:kern w:val="0"/>
          <w:sz w:val="22"/>
          <w:szCs w:val="22"/>
        </w:rPr>
      </w:pPr>
      <w:r>
        <w:rPr>
          <w:noProof/>
        </w:rPr>
        <w:t>Subdivision 4.3.5—Notification requirements</w:t>
      </w:r>
      <w:r>
        <w:rPr>
          <w:noProof/>
        </w:rPr>
        <w:tab/>
      </w:r>
      <w:r>
        <w:rPr>
          <w:noProof/>
        </w:rPr>
        <w:fldChar w:fldCharType="begin"/>
      </w:r>
      <w:r>
        <w:rPr>
          <w:noProof/>
        </w:rPr>
        <w:instrText xml:space="preserve"> PAGEREF _Toc74916152 \h </w:instrText>
      </w:r>
      <w:r>
        <w:rPr>
          <w:noProof/>
        </w:rPr>
      </w:r>
      <w:r>
        <w:rPr>
          <w:noProof/>
        </w:rPr>
        <w:fldChar w:fldCharType="separate"/>
      </w:r>
      <w:r w:rsidR="00A84D48">
        <w:rPr>
          <w:noProof/>
        </w:rPr>
        <w:t>64</w:t>
      </w:r>
      <w:r>
        <w:rPr>
          <w:noProof/>
        </w:rPr>
        <w:fldChar w:fldCharType="end"/>
      </w:r>
    </w:p>
    <w:p w14:paraId="45659018" w14:textId="1CDFD9AC" w:rsidR="008144BE" w:rsidRDefault="008144BE">
      <w:pPr>
        <w:pStyle w:val="TOC5"/>
        <w:rPr>
          <w:rFonts w:asciiTheme="minorHAnsi" w:eastAsiaTheme="minorEastAsia" w:hAnsiTheme="minorHAnsi" w:cstheme="minorBidi"/>
          <w:noProof/>
          <w:kern w:val="0"/>
          <w:sz w:val="22"/>
          <w:szCs w:val="22"/>
        </w:rPr>
      </w:pPr>
      <w:r>
        <w:rPr>
          <w:noProof/>
        </w:rPr>
        <w:t>4.18  CDR receipts</w:t>
      </w:r>
      <w:r>
        <w:rPr>
          <w:noProof/>
        </w:rPr>
        <w:tab/>
      </w:r>
      <w:r>
        <w:rPr>
          <w:noProof/>
        </w:rPr>
        <w:fldChar w:fldCharType="begin"/>
      </w:r>
      <w:r>
        <w:rPr>
          <w:noProof/>
        </w:rPr>
        <w:instrText xml:space="preserve"> PAGEREF _Toc74916153 \h </w:instrText>
      </w:r>
      <w:r>
        <w:rPr>
          <w:noProof/>
        </w:rPr>
      </w:r>
      <w:r>
        <w:rPr>
          <w:noProof/>
        </w:rPr>
        <w:fldChar w:fldCharType="separate"/>
      </w:r>
      <w:r w:rsidR="00A84D48">
        <w:rPr>
          <w:noProof/>
        </w:rPr>
        <w:t>64</w:t>
      </w:r>
      <w:r>
        <w:rPr>
          <w:noProof/>
        </w:rPr>
        <w:fldChar w:fldCharType="end"/>
      </w:r>
    </w:p>
    <w:p w14:paraId="6455B60B" w14:textId="08DDAE14" w:rsidR="008144BE" w:rsidRDefault="008144BE">
      <w:pPr>
        <w:pStyle w:val="TOC5"/>
        <w:rPr>
          <w:rFonts w:asciiTheme="minorHAnsi" w:eastAsiaTheme="minorEastAsia" w:hAnsiTheme="minorHAnsi" w:cstheme="minorBidi"/>
          <w:noProof/>
          <w:kern w:val="0"/>
          <w:sz w:val="22"/>
          <w:szCs w:val="22"/>
        </w:rPr>
      </w:pPr>
      <w:r>
        <w:rPr>
          <w:noProof/>
        </w:rPr>
        <w:t>4.18A  Notification if collection consent expires</w:t>
      </w:r>
      <w:r>
        <w:rPr>
          <w:noProof/>
        </w:rPr>
        <w:tab/>
      </w:r>
      <w:r>
        <w:rPr>
          <w:noProof/>
        </w:rPr>
        <w:fldChar w:fldCharType="begin"/>
      </w:r>
      <w:r>
        <w:rPr>
          <w:noProof/>
        </w:rPr>
        <w:instrText xml:space="preserve"> PAGEREF _Toc74916154 \h </w:instrText>
      </w:r>
      <w:r>
        <w:rPr>
          <w:noProof/>
        </w:rPr>
      </w:r>
      <w:r>
        <w:rPr>
          <w:noProof/>
        </w:rPr>
        <w:fldChar w:fldCharType="separate"/>
      </w:r>
      <w:r w:rsidR="00A84D48">
        <w:rPr>
          <w:noProof/>
        </w:rPr>
        <w:t>64</w:t>
      </w:r>
      <w:r>
        <w:rPr>
          <w:noProof/>
        </w:rPr>
        <w:fldChar w:fldCharType="end"/>
      </w:r>
    </w:p>
    <w:p w14:paraId="4735AF38" w14:textId="37B81C95" w:rsidR="008144BE" w:rsidRDefault="008144BE">
      <w:pPr>
        <w:pStyle w:val="TOC5"/>
        <w:rPr>
          <w:rFonts w:asciiTheme="minorHAnsi" w:eastAsiaTheme="minorEastAsia" w:hAnsiTheme="minorHAnsi" w:cstheme="minorBidi"/>
          <w:noProof/>
          <w:kern w:val="0"/>
          <w:sz w:val="22"/>
          <w:szCs w:val="22"/>
        </w:rPr>
      </w:pPr>
      <w:r>
        <w:rPr>
          <w:noProof/>
        </w:rPr>
        <w:t>4.18B  Notification if collection consent or AP disclosure consent expires</w:t>
      </w:r>
      <w:r>
        <w:rPr>
          <w:noProof/>
        </w:rPr>
        <w:tab/>
      </w:r>
      <w:r>
        <w:rPr>
          <w:noProof/>
        </w:rPr>
        <w:fldChar w:fldCharType="begin"/>
      </w:r>
      <w:r>
        <w:rPr>
          <w:noProof/>
        </w:rPr>
        <w:instrText xml:space="preserve"> PAGEREF _Toc74916155 \h </w:instrText>
      </w:r>
      <w:r>
        <w:rPr>
          <w:noProof/>
        </w:rPr>
      </w:r>
      <w:r>
        <w:rPr>
          <w:noProof/>
        </w:rPr>
        <w:fldChar w:fldCharType="separate"/>
      </w:r>
      <w:r w:rsidR="00A84D48">
        <w:rPr>
          <w:noProof/>
        </w:rPr>
        <w:t>65</w:t>
      </w:r>
      <w:r>
        <w:rPr>
          <w:noProof/>
        </w:rPr>
        <w:fldChar w:fldCharType="end"/>
      </w:r>
    </w:p>
    <w:p w14:paraId="718FCE68" w14:textId="3DB0C9FC" w:rsidR="008144BE" w:rsidRDefault="008144BE">
      <w:pPr>
        <w:pStyle w:val="TOC5"/>
        <w:rPr>
          <w:rFonts w:asciiTheme="minorHAnsi" w:eastAsiaTheme="minorEastAsia" w:hAnsiTheme="minorHAnsi" w:cstheme="minorBidi"/>
          <w:noProof/>
          <w:kern w:val="0"/>
          <w:sz w:val="22"/>
          <w:szCs w:val="22"/>
        </w:rPr>
      </w:pPr>
      <w:r>
        <w:rPr>
          <w:noProof/>
        </w:rPr>
        <w:t>4.18C  Notification if collection consent is amended</w:t>
      </w:r>
      <w:r>
        <w:rPr>
          <w:noProof/>
        </w:rPr>
        <w:tab/>
      </w:r>
      <w:r>
        <w:rPr>
          <w:noProof/>
        </w:rPr>
        <w:fldChar w:fldCharType="begin"/>
      </w:r>
      <w:r>
        <w:rPr>
          <w:noProof/>
        </w:rPr>
        <w:instrText xml:space="preserve"> PAGEREF _Toc74916156 \h </w:instrText>
      </w:r>
      <w:r>
        <w:rPr>
          <w:noProof/>
        </w:rPr>
      </w:r>
      <w:r>
        <w:rPr>
          <w:noProof/>
        </w:rPr>
        <w:fldChar w:fldCharType="separate"/>
      </w:r>
      <w:r w:rsidR="00A84D48">
        <w:rPr>
          <w:noProof/>
        </w:rPr>
        <w:t>65</w:t>
      </w:r>
      <w:r>
        <w:rPr>
          <w:noProof/>
        </w:rPr>
        <w:fldChar w:fldCharType="end"/>
      </w:r>
    </w:p>
    <w:p w14:paraId="34EE6E88" w14:textId="6AA0A5E7" w:rsidR="008144BE" w:rsidRDefault="008144BE">
      <w:pPr>
        <w:pStyle w:val="TOC5"/>
        <w:rPr>
          <w:rFonts w:asciiTheme="minorHAnsi" w:eastAsiaTheme="minorEastAsia" w:hAnsiTheme="minorHAnsi" w:cstheme="minorBidi"/>
          <w:noProof/>
          <w:kern w:val="0"/>
          <w:sz w:val="22"/>
          <w:szCs w:val="22"/>
        </w:rPr>
      </w:pPr>
      <w:r>
        <w:rPr>
          <w:noProof/>
        </w:rPr>
        <w:t>4.19  Updating consumer dashboard</w:t>
      </w:r>
      <w:r>
        <w:rPr>
          <w:noProof/>
        </w:rPr>
        <w:tab/>
      </w:r>
      <w:r>
        <w:rPr>
          <w:noProof/>
        </w:rPr>
        <w:fldChar w:fldCharType="begin"/>
      </w:r>
      <w:r>
        <w:rPr>
          <w:noProof/>
        </w:rPr>
        <w:instrText xml:space="preserve"> PAGEREF _Toc74916157 \h </w:instrText>
      </w:r>
      <w:r>
        <w:rPr>
          <w:noProof/>
        </w:rPr>
      </w:r>
      <w:r>
        <w:rPr>
          <w:noProof/>
        </w:rPr>
        <w:fldChar w:fldCharType="separate"/>
      </w:r>
      <w:r w:rsidR="00A84D48">
        <w:rPr>
          <w:noProof/>
        </w:rPr>
        <w:t>66</w:t>
      </w:r>
      <w:r>
        <w:rPr>
          <w:noProof/>
        </w:rPr>
        <w:fldChar w:fldCharType="end"/>
      </w:r>
    </w:p>
    <w:p w14:paraId="3A132FE6" w14:textId="771568D7" w:rsidR="008144BE" w:rsidRDefault="008144BE">
      <w:pPr>
        <w:pStyle w:val="TOC5"/>
        <w:rPr>
          <w:rFonts w:asciiTheme="minorHAnsi" w:eastAsiaTheme="minorEastAsia" w:hAnsiTheme="minorHAnsi" w:cstheme="minorBidi"/>
          <w:noProof/>
          <w:kern w:val="0"/>
          <w:sz w:val="22"/>
          <w:szCs w:val="22"/>
        </w:rPr>
      </w:pPr>
      <w:r>
        <w:rPr>
          <w:noProof/>
        </w:rPr>
        <w:t>4.20  Ongoing notification requirement—collection consents and use consents</w:t>
      </w:r>
      <w:r>
        <w:rPr>
          <w:noProof/>
        </w:rPr>
        <w:tab/>
      </w:r>
      <w:r>
        <w:rPr>
          <w:noProof/>
        </w:rPr>
        <w:fldChar w:fldCharType="begin"/>
      </w:r>
      <w:r>
        <w:rPr>
          <w:noProof/>
        </w:rPr>
        <w:instrText xml:space="preserve"> PAGEREF _Toc74916158 \h </w:instrText>
      </w:r>
      <w:r>
        <w:rPr>
          <w:noProof/>
        </w:rPr>
      </w:r>
      <w:r>
        <w:rPr>
          <w:noProof/>
        </w:rPr>
        <w:fldChar w:fldCharType="separate"/>
      </w:r>
      <w:r w:rsidR="00A84D48">
        <w:rPr>
          <w:noProof/>
        </w:rPr>
        <w:t>66</w:t>
      </w:r>
      <w:r>
        <w:rPr>
          <w:noProof/>
        </w:rPr>
        <w:fldChar w:fldCharType="end"/>
      </w:r>
    </w:p>
    <w:p w14:paraId="0D2151E4" w14:textId="147B5EE6" w:rsidR="008144BE" w:rsidRDefault="008144BE">
      <w:pPr>
        <w:pStyle w:val="TOC3"/>
        <w:rPr>
          <w:rFonts w:asciiTheme="minorHAnsi" w:eastAsiaTheme="minorEastAsia" w:hAnsiTheme="minorHAnsi" w:cstheme="minorBidi"/>
          <w:b w:val="0"/>
          <w:noProof/>
          <w:kern w:val="0"/>
          <w:szCs w:val="22"/>
        </w:rPr>
      </w:pPr>
      <w:r>
        <w:rPr>
          <w:noProof/>
        </w:rPr>
        <w:t>Division 4.4—Authorisations to disclose CDR data</w:t>
      </w:r>
      <w:r>
        <w:rPr>
          <w:noProof/>
        </w:rPr>
        <w:tab/>
      </w:r>
      <w:r>
        <w:rPr>
          <w:noProof/>
        </w:rPr>
        <w:fldChar w:fldCharType="begin"/>
      </w:r>
      <w:r>
        <w:rPr>
          <w:noProof/>
        </w:rPr>
        <w:instrText xml:space="preserve"> PAGEREF _Toc74916159 \h </w:instrText>
      </w:r>
      <w:r>
        <w:rPr>
          <w:noProof/>
        </w:rPr>
      </w:r>
      <w:r>
        <w:rPr>
          <w:noProof/>
        </w:rPr>
        <w:fldChar w:fldCharType="separate"/>
      </w:r>
      <w:r w:rsidR="00A84D48">
        <w:rPr>
          <w:noProof/>
        </w:rPr>
        <w:t>66</w:t>
      </w:r>
      <w:r>
        <w:rPr>
          <w:noProof/>
        </w:rPr>
        <w:fldChar w:fldCharType="end"/>
      </w:r>
    </w:p>
    <w:p w14:paraId="524F484E" w14:textId="467695D9" w:rsidR="008144BE" w:rsidRDefault="008144BE">
      <w:pPr>
        <w:pStyle w:val="TOC5"/>
        <w:rPr>
          <w:rFonts w:asciiTheme="minorHAnsi" w:eastAsiaTheme="minorEastAsia" w:hAnsiTheme="minorHAnsi" w:cstheme="minorBidi"/>
          <w:noProof/>
          <w:kern w:val="0"/>
          <w:sz w:val="22"/>
          <w:szCs w:val="22"/>
        </w:rPr>
      </w:pPr>
      <w:r>
        <w:rPr>
          <w:noProof/>
        </w:rPr>
        <w:t>4.21  Purpose of Division</w:t>
      </w:r>
      <w:r>
        <w:rPr>
          <w:noProof/>
        </w:rPr>
        <w:tab/>
      </w:r>
      <w:r>
        <w:rPr>
          <w:noProof/>
        </w:rPr>
        <w:fldChar w:fldCharType="begin"/>
      </w:r>
      <w:r>
        <w:rPr>
          <w:noProof/>
        </w:rPr>
        <w:instrText xml:space="preserve"> PAGEREF _Toc74916160 \h </w:instrText>
      </w:r>
      <w:r>
        <w:rPr>
          <w:noProof/>
        </w:rPr>
      </w:r>
      <w:r>
        <w:rPr>
          <w:noProof/>
        </w:rPr>
        <w:fldChar w:fldCharType="separate"/>
      </w:r>
      <w:r w:rsidR="00A84D48">
        <w:rPr>
          <w:noProof/>
        </w:rPr>
        <w:t>66</w:t>
      </w:r>
      <w:r>
        <w:rPr>
          <w:noProof/>
        </w:rPr>
        <w:fldChar w:fldCharType="end"/>
      </w:r>
    </w:p>
    <w:p w14:paraId="4695C62E" w14:textId="3E02BA11" w:rsidR="008144BE" w:rsidRDefault="008144BE">
      <w:pPr>
        <w:pStyle w:val="TOC5"/>
        <w:rPr>
          <w:rFonts w:asciiTheme="minorHAnsi" w:eastAsiaTheme="minorEastAsia" w:hAnsiTheme="minorHAnsi" w:cstheme="minorBidi"/>
          <w:noProof/>
          <w:kern w:val="0"/>
          <w:sz w:val="22"/>
          <w:szCs w:val="22"/>
        </w:rPr>
      </w:pPr>
      <w:r>
        <w:rPr>
          <w:noProof/>
        </w:rPr>
        <w:t>4.22  Requirements relating to data holder’s processes for seeking authorisation</w:t>
      </w:r>
      <w:r>
        <w:rPr>
          <w:noProof/>
        </w:rPr>
        <w:tab/>
      </w:r>
      <w:r>
        <w:rPr>
          <w:noProof/>
        </w:rPr>
        <w:fldChar w:fldCharType="begin"/>
      </w:r>
      <w:r>
        <w:rPr>
          <w:noProof/>
        </w:rPr>
        <w:instrText xml:space="preserve"> PAGEREF _Toc74916161 \h </w:instrText>
      </w:r>
      <w:r>
        <w:rPr>
          <w:noProof/>
        </w:rPr>
      </w:r>
      <w:r>
        <w:rPr>
          <w:noProof/>
        </w:rPr>
        <w:fldChar w:fldCharType="separate"/>
      </w:r>
      <w:r w:rsidR="00A84D48">
        <w:rPr>
          <w:noProof/>
        </w:rPr>
        <w:t>66</w:t>
      </w:r>
      <w:r>
        <w:rPr>
          <w:noProof/>
        </w:rPr>
        <w:fldChar w:fldCharType="end"/>
      </w:r>
    </w:p>
    <w:p w14:paraId="7AE0B77C" w14:textId="304E3980" w:rsidR="008144BE" w:rsidRDefault="008144BE">
      <w:pPr>
        <w:pStyle w:val="TOC5"/>
        <w:rPr>
          <w:rFonts w:asciiTheme="minorHAnsi" w:eastAsiaTheme="minorEastAsia" w:hAnsiTheme="minorHAnsi" w:cstheme="minorBidi"/>
          <w:noProof/>
          <w:kern w:val="0"/>
          <w:sz w:val="22"/>
          <w:szCs w:val="22"/>
        </w:rPr>
      </w:pPr>
      <w:r>
        <w:rPr>
          <w:noProof/>
        </w:rPr>
        <w:t>4.22A  Inviting CDR consumer to amend a current authorisation</w:t>
      </w:r>
      <w:r>
        <w:rPr>
          <w:noProof/>
        </w:rPr>
        <w:tab/>
      </w:r>
      <w:r>
        <w:rPr>
          <w:noProof/>
        </w:rPr>
        <w:fldChar w:fldCharType="begin"/>
      </w:r>
      <w:r>
        <w:rPr>
          <w:noProof/>
        </w:rPr>
        <w:instrText xml:space="preserve"> PAGEREF _Toc74916162 \h </w:instrText>
      </w:r>
      <w:r>
        <w:rPr>
          <w:noProof/>
        </w:rPr>
      </w:r>
      <w:r>
        <w:rPr>
          <w:noProof/>
        </w:rPr>
        <w:fldChar w:fldCharType="separate"/>
      </w:r>
      <w:r w:rsidR="00A84D48">
        <w:rPr>
          <w:noProof/>
        </w:rPr>
        <w:t>67</w:t>
      </w:r>
      <w:r>
        <w:rPr>
          <w:noProof/>
        </w:rPr>
        <w:fldChar w:fldCharType="end"/>
      </w:r>
    </w:p>
    <w:p w14:paraId="19EC1C04" w14:textId="68F70099" w:rsidR="008144BE" w:rsidRDefault="008144BE">
      <w:pPr>
        <w:pStyle w:val="TOC5"/>
        <w:rPr>
          <w:rFonts w:asciiTheme="minorHAnsi" w:eastAsiaTheme="minorEastAsia" w:hAnsiTheme="minorHAnsi" w:cstheme="minorBidi"/>
          <w:noProof/>
          <w:kern w:val="0"/>
          <w:sz w:val="22"/>
          <w:szCs w:val="22"/>
        </w:rPr>
      </w:pPr>
      <w:r>
        <w:rPr>
          <w:noProof/>
        </w:rPr>
        <w:t>4.23  Asking CDR consumer to give authorisation to disclose CDR data or inviting CDR consumer to amend a current authorisation</w:t>
      </w:r>
      <w:r>
        <w:rPr>
          <w:noProof/>
        </w:rPr>
        <w:tab/>
      </w:r>
      <w:r>
        <w:rPr>
          <w:noProof/>
        </w:rPr>
        <w:fldChar w:fldCharType="begin"/>
      </w:r>
      <w:r>
        <w:rPr>
          <w:noProof/>
        </w:rPr>
        <w:instrText xml:space="preserve"> PAGEREF _Toc74916163 \h </w:instrText>
      </w:r>
      <w:r>
        <w:rPr>
          <w:noProof/>
        </w:rPr>
      </w:r>
      <w:r>
        <w:rPr>
          <w:noProof/>
        </w:rPr>
        <w:fldChar w:fldCharType="separate"/>
      </w:r>
      <w:r w:rsidR="00A84D48">
        <w:rPr>
          <w:noProof/>
        </w:rPr>
        <w:t>67</w:t>
      </w:r>
      <w:r>
        <w:rPr>
          <w:noProof/>
        </w:rPr>
        <w:fldChar w:fldCharType="end"/>
      </w:r>
    </w:p>
    <w:p w14:paraId="11FB849F" w14:textId="0E8949E6" w:rsidR="008144BE" w:rsidRDefault="008144BE">
      <w:pPr>
        <w:pStyle w:val="TOC5"/>
        <w:rPr>
          <w:rFonts w:asciiTheme="minorHAnsi" w:eastAsiaTheme="minorEastAsia" w:hAnsiTheme="minorHAnsi" w:cstheme="minorBidi"/>
          <w:noProof/>
          <w:kern w:val="0"/>
          <w:sz w:val="22"/>
          <w:szCs w:val="22"/>
        </w:rPr>
      </w:pPr>
      <w:r>
        <w:rPr>
          <w:noProof/>
        </w:rPr>
        <w:t>4.24  Restrictions when asking CDR consumer to authorise disclosure of CDR data</w:t>
      </w:r>
      <w:r>
        <w:rPr>
          <w:noProof/>
        </w:rPr>
        <w:tab/>
      </w:r>
      <w:r>
        <w:rPr>
          <w:noProof/>
        </w:rPr>
        <w:fldChar w:fldCharType="begin"/>
      </w:r>
      <w:r>
        <w:rPr>
          <w:noProof/>
        </w:rPr>
        <w:instrText xml:space="preserve"> PAGEREF _Toc74916164 \h </w:instrText>
      </w:r>
      <w:r>
        <w:rPr>
          <w:noProof/>
        </w:rPr>
      </w:r>
      <w:r>
        <w:rPr>
          <w:noProof/>
        </w:rPr>
        <w:fldChar w:fldCharType="separate"/>
      </w:r>
      <w:r w:rsidR="00A84D48">
        <w:rPr>
          <w:noProof/>
        </w:rPr>
        <w:t>67</w:t>
      </w:r>
      <w:r>
        <w:rPr>
          <w:noProof/>
        </w:rPr>
        <w:fldChar w:fldCharType="end"/>
      </w:r>
    </w:p>
    <w:p w14:paraId="791B7FF4" w14:textId="35BDE60A" w:rsidR="008144BE" w:rsidRDefault="008144BE">
      <w:pPr>
        <w:pStyle w:val="TOC5"/>
        <w:rPr>
          <w:rFonts w:asciiTheme="minorHAnsi" w:eastAsiaTheme="minorEastAsia" w:hAnsiTheme="minorHAnsi" w:cstheme="minorBidi"/>
          <w:noProof/>
          <w:kern w:val="0"/>
          <w:sz w:val="22"/>
          <w:szCs w:val="22"/>
        </w:rPr>
      </w:pPr>
      <w:r>
        <w:rPr>
          <w:noProof/>
        </w:rPr>
        <w:t>4.25  Withdrawal of authorisation to disclose CDR data and notification</w:t>
      </w:r>
      <w:r>
        <w:rPr>
          <w:noProof/>
        </w:rPr>
        <w:tab/>
      </w:r>
      <w:r>
        <w:rPr>
          <w:noProof/>
        </w:rPr>
        <w:fldChar w:fldCharType="begin"/>
      </w:r>
      <w:r>
        <w:rPr>
          <w:noProof/>
        </w:rPr>
        <w:instrText xml:space="preserve"> PAGEREF _Toc74916165 \h </w:instrText>
      </w:r>
      <w:r>
        <w:rPr>
          <w:noProof/>
        </w:rPr>
      </w:r>
      <w:r>
        <w:rPr>
          <w:noProof/>
        </w:rPr>
        <w:fldChar w:fldCharType="separate"/>
      </w:r>
      <w:r w:rsidR="00A84D48">
        <w:rPr>
          <w:noProof/>
        </w:rPr>
        <w:t>68</w:t>
      </w:r>
      <w:r>
        <w:rPr>
          <w:noProof/>
        </w:rPr>
        <w:fldChar w:fldCharType="end"/>
      </w:r>
    </w:p>
    <w:p w14:paraId="2F08BCB0" w14:textId="0C84A063" w:rsidR="008144BE" w:rsidRDefault="008144BE">
      <w:pPr>
        <w:pStyle w:val="TOC5"/>
        <w:rPr>
          <w:rFonts w:asciiTheme="minorHAnsi" w:eastAsiaTheme="minorEastAsia" w:hAnsiTheme="minorHAnsi" w:cstheme="minorBidi"/>
          <w:noProof/>
          <w:kern w:val="0"/>
          <w:sz w:val="22"/>
          <w:szCs w:val="22"/>
        </w:rPr>
      </w:pPr>
      <w:r>
        <w:rPr>
          <w:noProof/>
        </w:rPr>
        <w:t>4.26  Duration of authorisation to disclose CDR data</w:t>
      </w:r>
      <w:r>
        <w:rPr>
          <w:noProof/>
        </w:rPr>
        <w:tab/>
      </w:r>
      <w:r>
        <w:rPr>
          <w:noProof/>
        </w:rPr>
        <w:fldChar w:fldCharType="begin"/>
      </w:r>
      <w:r>
        <w:rPr>
          <w:noProof/>
        </w:rPr>
        <w:instrText xml:space="preserve"> PAGEREF _Toc74916166 \h </w:instrText>
      </w:r>
      <w:r>
        <w:rPr>
          <w:noProof/>
        </w:rPr>
      </w:r>
      <w:r>
        <w:rPr>
          <w:noProof/>
        </w:rPr>
        <w:fldChar w:fldCharType="separate"/>
      </w:r>
      <w:r w:rsidR="00A84D48">
        <w:rPr>
          <w:noProof/>
        </w:rPr>
        <w:t>68</w:t>
      </w:r>
      <w:r>
        <w:rPr>
          <w:noProof/>
        </w:rPr>
        <w:fldChar w:fldCharType="end"/>
      </w:r>
    </w:p>
    <w:p w14:paraId="7D3B67F4" w14:textId="28DB840B" w:rsidR="008144BE" w:rsidRDefault="008144BE">
      <w:pPr>
        <w:pStyle w:val="TOC5"/>
        <w:rPr>
          <w:rFonts w:asciiTheme="minorHAnsi" w:eastAsiaTheme="minorEastAsia" w:hAnsiTheme="minorHAnsi" w:cstheme="minorBidi"/>
          <w:noProof/>
          <w:kern w:val="0"/>
          <w:sz w:val="22"/>
          <w:szCs w:val="22"/>
        </w:rPr>
      </w:pPr>
      <w:r>
        <w:rPr>
          <w:noProof/>
        </w:rPr>
        <w:t>4.27  Updating consumer dashboard</w:t>
      </w:r>
      <w:r>
        <w:rPr>
          <w:noProof/>
        </w:rPr>
        <w:tab/>
      </w:r>
      <w:r>
        <w:rPr>
          <w:noProof/>
        </w:rPr>
        <w:fldChar w:fldCharType="begin"/>
      </w:r>
      <w:r>
        <w:rPr>
          <w:noProof/>
        </w:rPr>
        <w:instrText xml:space="preserve"> PAGEREF _Toc74916167 \h </w:instrText>
      </w:r>
      <w:r>
        <w:rPr>
          <w:noProof/>
        </w:rPr>
      </w:r>
      <w:r>
        <w:rPr>
          <w:noProof/>
        </w:rPr>
        <w:fldChar w:fldCharType="separate"/>
      </w:r>
      <w:r w:rsidR="00A84D48">
        <w:rPr>
          <w:noProof/>
        </w:rPr>
        <w:t>69</w:t>
      </w:r>
      <w:r>
        <w:rPr>
          <w:noProof/>
        </w:rPr>
        <w:fldChar w:fldCharType="end"/>
      </w:r>
    </w:p>
    <w:p w14:paraId="6B0FE86F" w14:textId="34C0E572" w:rsidR="008144BE" w:rsidRDefault="008144BE">
      <w:pPr>
        <w:pStyle w:val="TOC5"/>
        <w:rPr>
          <w:rFonts w:asciiTheme="minorHAnsi" w:eastAsiaTheme="minorEastAsia" w:hAnsiTheme="minorHAnsi" w:cstheme="minorBidi"/>
          <w:noProof/>
          <w:kern w:val="0"/>
          <w:sz w:val="22"/>
          <w:szCs w:val="22"/>
        </w:rPr>
      </w:pPr>
      <w:r>
        <w:rPr>
          <w:noProof/>
        </w:rPr>
        <w:t>4.28  Notification requirements for consumer data requests on behalf of secondary users</w:t>
      </w:r>
      <w:r>
        <w:rPr>
          <w:noProof/>
        </w:rPr>
        <w:tab/>
      </w:r>
      <w:r>
        <w:rPr>
          <w:noProof/>
        </w:rPr>
        <w:fldChar w:fldCharType="begin"/>
      </w:r>
      <w:r>
        <w:rPr>
          <w:noProof/>
        </w:rPr>
        <w:instrText xml:space="preserve"> PAGEREF _Toc74916168 \h </w:instrText>
      </w:r>
      <w:r>
        <w:rPr>
          <w:noProof/>
        </w:rPr>
      </w:r>
      <w:r>
        <w:rPr>
          <w:noProof/>
        </w:rPr>
        <w:fldChar w:fldCharType="separate"/>
      </w:r>
      <w:r w:rsidR="00A84D48">
        <w:rPr>
          <w:noProof/>
        </w:rPr>
        <w:t>69</w:t>
      </w:r>
      <w:r>
        <w:rPr>
          <w:noProof/>
        </w:rPr>
        <w:fldChar w:fldCharType="end"/>
      </w:r>
    </w:p>
    <w:p w14:paraId="5C54E0A2" w14:textId="12BC3468" w:rsidR="008144BE" w:rsidRDefault="008144BE">
      <w:pPr>
        <w:pStyle w:val="TOC2"/>
        <w:rPr>
          <w:rFonts w:asciiTheme="minorHAnsi" w:eastAsiaTheme="minorEastAsia" w:hAnsiTheme="minorHAnsi" w:cstheme="minorBidi"/>
          <w:b w:val="0"/>
          <w:noProof/>
          <w:kern w:val="0"/>
          <w:sz w:val="22"/>
          <w:szCs w:val="22"/>
        </w:rPr>
      </w:pPr>
      <w:r w:rsidRPr="00BC78CF">
        <w:rPr>
          <w:noProof/>
          <w:color w:val="FF0000"/>
        </w:rPr>
        <w:t>Part 4A—Joint accounts</w:t>
      </w:r>
      <w:r>
        <w:rPr>
          <w:noProof/>
        </w:rPr>
        <w:tab/>
      </w:r>
      <w:r>
        <w:rPr>
          <w:noProof/>
        </w:rPr>
        <w:fldChar w:fldCharType="begin"/>
      </w:r>
      <w:r>
        <w:rPr>
          <w:noProof/>
        </w:rPr>
        <w:instrText xml:space="preserve"> PAGEREF _Toc74916169 \h </w:instrText>
      </w:r>
      <w:r>
        <w:rPr>
          <w:noProof/>
        </w:rPr>
      </w:r>
      <w:r>
        <w:rPr>
          <w:noProof/>
        </w:rPr>
        <w:fldChar w:fldCharType="separate"/>
      </w:r>
      <w:r w:rsidR="00A84D48">
        <w:rPr>
          <w:noProof/>
        </w:rPr>
        <w:t>69</w:t>
      </w:r>
      <w:r>
        <w:rPr>
          <w:noProof/>
        </w:rPr>
        <w:fldChar w:fldCharType="end"/>
      </w:r>
    </w:p>
    <w:p w14:paraId="3F3A9FDC" w14:textId="1A50BAAE" w:rsidR="008144BE" w:rsidRDefault="008144BE">
      <w:pPr>
        <w:pStyle w:val="TOC3"/>
        <w:rPr>
          <w:rFonts w:asciiTheme="minorHAnsi" w:eastAsiaTheme="minorEastAsia" w:hAnsiTheme="minorHAnsi" w:cstheme="minorBidi"/>
          <w:b w:val="0"/>
          <w:noProof/>
          <w:kern w:val="0"/>
          <w:szCs w:val="22"/>
        </w:rPr>
      </w:pPr>
      <w:r w:rsidRPr="00BC78CF">
        <w:rPr>
          <w:noProof/>
          <w:color w:val="FF0000"/>
        </w:rPr>
        <w:t>Division  4A.1—Preliminary</w:t>
      </w:r>
      <w:r>
        <w:rPr>
          <w:noProof/>
        </w:rPr>
        <w:tab/>
      </w:r>
      <w:r>
        <w:rPr>
          <w:noProof/>
        </w:rPr>
        <w:fldChar w:fldCharType="begin"/>
      </w:r>
      <w:r>
        <w:rPr>
          <w:noProof/>
        </w:rPr>
        <w:instrText xml:space="preserve"> PAGEREF _Toc74916170 \h </w:instrText>
      </w:r>
      <w:r>
        <w:rPr>
          <w:noProof/>
        </w:rPr>
      </w:r>
      <w:r>
        <w:rPr>
          <w:noProof/>
        </w:rPr>
        <w:fldChar w:fldCharType="separate"/>
      </w:r>
      <w:r w:rsidR="00A84D48">
        <w:rPr>
          <w:noProof/>
        </w:rPr>
        <w:t>69</w:t>
      </w:r>
      <w:r>
        <w:rPr>
          <w:noProof/>
        </w:rPr>
        <w:fldChar w:fldCharType="end"/>
      </w:r>
    </w:p>
    <w:p w14:paraId="4713A22C" w14:textId="42358B08"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4A.1  Purpose of Part</w:t>
      </w:r>
      <w:r>
        <w:rPr>
          <w:noProof/>
        </w:rPr>
        <w:tab/>
      </w:r>
      <w:r>
        <w:rPr>
          <w:noProof/>
        </w:rPr>
        <w:fldChar w:fldCharType="begin"/>
      </w:r>
      <w:r>
        <w:rPr>
          <w:noProof/>
        </w:rPr>
        <w:instrText xml:space="preserve"> PAGEREF _Toc74916171 \h </w:instrText>
      </w:r>
      <w:r>
        <w:rPr>
          <w:noProof/>
        </w:rPr>
      </w:r>
      <w:r>
        <w:rPr>
          <w:noProof/>
        </w:rPr>
        <w:fldChar w:fldCharType="separate"/>
      </w:r>
      <w:r w:rsidR="00A84D48">
        <w:rPr>
          <w:noProof/>
        </w:rPr>
        <w:t>69</w:t>
      </w:r>
      <w:r>
        <w:rPr>
          <w:noProof/>
        </w:rPr>
        <w:fldChar w:fldCharType="end"/>
      </w:r>
    </w:p>
    <w:p w14:paraId="5741575C" w14:textId="3EAF04CF"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4A.2 Simplified outline of this Part</w:t>
      </w:r>
      <w:r>
        <w:rPr>
          <w:noProof/>
        </w:rPr>
        <w:tab/>
      </w:r>
      <w:r>
        <w:rPr>
          <w:noProof/>
        </w:rPr>
        <w:fldChar w:fldCharType="begin"/>
      </w:r>
      <w:r>
        <w:rPr>
          <w:noProof/>
        </w:rPr>
        <w:instrText xml:space="preserve"> PAGEREF _Toc74916172 \h </w:instrText>
      </w:r>
      <w:r>
        <w:rPr>
          <w:noProof/>
        </w:rPr>
      </w:r>
      <w:r>
        <w:rPr>
          <w:noProof/>
        </w:rPr>
        <w:fldChar w:fldCharType="separate"/>
      </w:r>
      <w:r w:rsidR="00A84D48">
        <w:rPr>
          <w:noProof/>
        </w:rPr>
        <w:t>69</w:t>
      </w:r>
      <w:r>
        <w:rPr>
          <w:noProof/>
        </w:rPr>
        <w:fldChar w:fldCharType="end"/>
      </w:r>
    </w:p>
    <w:p w14:paraId="00C15B6A" w14:textId="64686FF8" w:rsidR="008144BE" w:rsidRDefault="008144BE">
      <w:pPr>
        <w:pStyle w:val="TOC3"/>
        <w:rPr>
          <w:rFonts w:asciiTheme="minorHAnsi" w:eastAsiaTheme="minorEastAsia" w:hAnsiTheme="minorHAnsi" w:cstheme="minorBidi"/>
          <w:b w:val="0"/>
          <w:noProof/>
          <w:kern w:val="0"/>
          <w:szCs w:val="22"/>
        </w:rPr>
      </w:pPr>
      <w:r w:rsidRPr="00BC78CF">
        <w:rPr>
          <w:noProof/>
          <w:color w:val="FF0000"/>
          <w:lang w:val="en-US"/>
        </w:rPr>
        <w:t>Division  4A.2A— Disclosure options</w:t>
      </w:r>
      <w:r>
        <w:rPr>
          <w:noProof/>
        </w:rPr>
        <w:tab/>
      </w:r>
      <w:r>
        <w:rPr>
          <w:noProof/>
        </w:rPr>
        <w:fldChar w:fldCharType="begin"/>
      </w:r>
      <w:r>
        <w:rPr>
          <w:noProof/>
        </w:rPr>
        <w:instrText xml:space="preserve"> PAGEREF _Toc74916173 \h </w:instrText>
      </w:r>
      <w:r>
        <w:rPr>
          <w:noProof/>
        </w:rPr>
      </w:r>
      <w:r>
        <w:rPr>
          <w:noProof/>
        </w:rPr>
        <w:fldChar w:fldCharType="separate"/>
      </w:r>
      <w:r w:rsidR="00A84D48">
        <w:rPr>
          <w:noProof/>
        </w:rPr>
        <w:t>70</w:t>
      </w:r>
      <w:r>
        <w:rPr>
          <w:noProof/>
        </w:rPr>
        <w:fldChar w:fldCharType="end"/>
      </w:r>
    </w:p>
    <w:p w14:paraId="14DC8FB5" w14:textId="2D7755B1"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4A.3 Simplified outline of this Division</w:t>
      </w:r>
      <w:r>
        <w:rPr>
          <w:noProof/>
        </w:rPr>
        <w:tab/>
      </w:r>
      <w:r>
        <w:rPr>
          <w:noProof/>
        </w:rPr>
        <w:fldChar w:fldCharType="begin"/>
      </w:r>
      <w:r>
        <w:rPr>
          <w:noProof/>
        </w:rPr>
        <w:instrText xml:space="preserve"> PAGEREF _Toc74916174 \h </w:instrText>
      </w:r>
      <w:r>
        <w:rPr>
          <w:noProof/>
        </w:rPr>
      </w:r>
      <w:r>
        <w:rPr>
          <w:noProof/>
        </w:rPr>
        <w:fldChar w:fldCharType="separate"/>
      </w:r>
      <w:r w:rsidR="00A84D48">
        <w:rPr>
          <w:noProof/>
        </w:rPr>
        <w:t>70</w:t>
      </w:r>
      <w:r>
        <w:rPr>
          <w:noProof/>
        </w:rPr>
        <w:fldChar w:fldCharType="end"/>
      </w:r>
    </w:p>
    <w:p w14:paraId="6C81CDF2" w14:textId="04CE5963"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4A.4 Disclosure options for joint accounts</w:t>
      </w:r>
      <w:r>
        <w:rPr>
          <w:noProof/>
        </w:rPr>
        <w:tab/>
      </w:r>
      <w:r>
        <w:rPr>
          <w:noProof/>
        </w:rPr>
        <w:fldChar w:fldCharType="begin"/>
      </w:r>
      <w:r>
        <w:rPr>
          <w:noProof/>
        </w:rPr>
        <w:instrText xml:space="preserve"> PAGEREF _Toc74916175 \h </w:instrText>
      </w:r>
      <w:r>
        <w:rPr>
          <w:noProof/>
        </w:rPr>
      </w:r>
      <w:r>
        <w:rPr>
          <w:noProof/>
        </w:rPr>
        <w:fldChar w:fldCharType="separate"/>
      </w:r>
      <w:r w:rsidR="00A84D48">
        <w:rPr>
          <w:noProof/>
        </w:rPr>
        <w:t>71</w:t>
      </w:r>
      <w:r>
        <w:rPr>
          <w:noProof/>
        </w:rPr>
        <w:fldChar w:fldCharType="end"/>
      </w:r>
    </w:p>
    <w:p w14:paraId="4AC6B549" w14:textId="109A764D"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4A.5 Obligation to provide disclosure option management service</w:t>
      </w:r>
      <w:r>
        <w:rPr>
          <w:noProof/>
        </w:rPr>
        <w:tab/>
      </w:r>
      <w:r>
        <w:rPr>
          <w:noProof/>
        </w:rPr>
        <w:fldChar w:fldCharType="begin"/>
      </w:r>
      <w:r>
        <w:rPr>
          <w:noProof/>
        </w:rPr>
        <w:instrText xml:space="preserve"> PAGEREF _Toc74916176 \h </w:instrText>
      </w:r>
      <w:r>
        <w:rPr>
          <w:noProof/>
        </w:rPr>
      </w:r>
      <w:r>
        <w:rPr>
          <w:noProof/>
        </w:rPr>
        <w:fldChar w:fldCharType="separate"/>
      </w:r>
      <w:r w:rsidR="00A84D48">
        <w:rPr>
          <w:noProof/>
        </w:rPr>
        <w:t>72</w:t>
      </w:r>
      <w:r>
        <w:rPr>
          <w:noProof/>
        </w:rPr>
        <w:fldChar w:fldCharType="end"/>
      </w:r>
    </w:p>
    <w:p w14:paraId="44259733" w14:textId="2A5E856E"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4A.6  Obligation to inform joint account holders</w:t>
      </w:r>
      <w:r>
        <w:rPr>
          <w:noProof/>
        </w:rPr>
        <w:tab/>
      </w:r>
      <w:r>
        <w:rPr>
          <w:noProof/>
        </w:rPr>
        <w:fldChar w:fldCharType="begin"/>
      </w:r>
      <w:r>
        <w:rPr>
          <w:noProof/>
        </w:rPr>
        <w:instrText xml:space="preserve"> PAGEREF _Toc74916177 \h </w:instrText>
      </w:r>
      <w:r>
        <w:rPr>
          <w:noProof/>
        </w:rPr>
      </w:r>
      <w:r>
        <w:rPr>
          <w:noProof/>
        </w:rPr>
        <w:fldChar w:fldCharType="separate"/>
      </w:r>
      <w:r w:rsidR="00A84D48">
        <w:rPr>
          <w:noProof/>
        </w:rPr>
        <w:t>72</w:t>
      </w:r>
      <w:r>
        <w:rPr>
          <w:noProof/>
        </w:rPr>
        <w:fldChar w:fldCharType="end"/>
      </w:r>
    </w:p>
    <w:p w14:paraId="712645A8" w14:textId="161560F1"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 xml:space="preserve">4A.7 </w:t>
      </w:r>
      <w:r w:rsidRPr="00BC78CF">
        <w:rPr>
          <w:noProof/>
          <w:color w:val="FF0000"/>
        </w:rPr>
        <w:t xml:space="preserve"> Changing to a more restrictive non-disclosure option</w:t>
      </w:r>
      <w:r>
        <w:rPr>
          <w:noProof/>
        </w:rPr>
        <w:tab/>
      </w:r>
      <w:r>
        <w:rPr>
          <w:noProof/>
        </w:rPr>
        <w:fldChar w:fldCharType="begin"/>
      </w:r>
      <w:r>
        <w:rPr>
          <w:noProof/>
        </w:rPr>
        <w:instrText xml:space="preserve"> PAGEREF _Toc74916178 \h </w:instrText>
      </w:r>
      <w:r>
        <w:rPr>
          <w:noProof/>
        </w:rPr>
      </w:r>
      <w:r>
        <w:rPr>
          <w:noProof/>
        </w:rPr>
        <w:fldChar w:fldCharType="separate"/>
      </w:r>
      <w:r w:rsidR="00A84D48">
        <w:rPr>
          <w:noProof/>
        </w:rPr>
        <w:t>73</w:t>
      </w:r>
      <w:r>
        <w:rPr>
          <w:noProof/>
        </w:rPr>
        <w:fldChar w:fldCharType="end"/>
      </w:r>
    </w:p>
    <w:p w14:paraId="644B3ED5" w14:textId="7B2757D0"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 xml:space="preserve">4A.8 </w:t>
      </w:r>
      <w:r w:rsidRPr="00BC78CF">
        <w:rPr>
          <w:noProof/>
          <w:color w:val="FF0000"/>
        </w:rPr>
        <w:t xml:space="preserve"> Obtaining agreement on change to a less restrictive disclosure option</w:t>
      </w:r>
      <w:r>
        <w:rPr>
          <w:noProof/>
        </w:rPr>
        <w:tab/>
      </w:r>
      <w:r>
        <w:rPr>
          <w:noProof/>
        </w:rPr>
        <w:fldChar w:fldCharType="begin"/>
      </w:r>
      <w:r>
        <w:rPr>
          <w:noProof/>
        </w:rPr>
        <w:instrText xml:space="preserve"> PAGEREF _Toc74916179 \h </w:instrText>
      </w:r>
      <w:r>
        <w:rPr>
          <w:noProof/>
        </w:rPr>
      </w:r>
      <w:r>
        <w:rPr>
          <w:noProof/>
        </w:rPr>
        <w:fldChar w:fldCharType="separate"/>
      </w:r>
      <w:r w:rsidR="00A84D48">
        <w:rPr>
          <w:noProof/>
        </w:rPr>
        <w:t>74</w:t>
      </w:r>
      <w:r>
        <w:rPr>
          <w:noProof/>
        </w:rPr>
        <w:fldChar w:fldCharType="end"/>
      </w:r>
    </w:p>
    <w:p w14:paraId="35B65483" w14:textId="2DFE273A" w:rsidR="008144BE" w:rsidRDefault="008144BE">
      <w:pPr>
        <w:pStyle w:val="TOC3"/>
        <w:rPr>
          <w:rFonts w:asciiTheme="minorHAnsi" w:eastAsiaTheme="minorEastAsia" w:hAnsiTheme="minorHAnsi" w:cstheme="minorBidi"/>
          <w:b w:val="0"/>
          <w:noProof/>
          <w:kern w:val="0"/>
          <w:szCs w:val="22"/>
        </w:rPr>
      </w:pPr>
      <w:r w:rsidRPr="00BC78CF">
        <w:rPr>
          <w:noProof/>
          <w:color w:val="FF0000"/>
        </w:rPr>
        <w:t>Division 4A.3—Consumer data requests that relate to joint accounts</w:t>
      </w:r>
      <w:r>
        <w:rPr>
          <w:noProof/>
        </w:rPr>
        <w:tab/>
      </w:r>
      <w:r>
        <w:rPr>
          <w:noProof/>
        </w:rPr>
        <w:fldChar w:fldCharType="begin"/>
      </w:r>
      <w:r>
        <w:rPr>
          <w:noProof/>
        </w:rPr>
        <w:instrText xml:space="preserve"> PAGEREF _Toc74916180 \h </w:instrText>
      </w:r>
      <w:r>
        <w:rPr>
          <w:noProof/>
        </w:rPr>
      </w:r>
      <w:r>
        <w:rPr>
          <w:noProof/>
        </w:rPr>
        <w:fldChar w:fldCharType="separate"/>
      </w:r>
      <w:r w:rsidR="00A84D48">
        <w:rPr>
          <w:noProof/>
        </w:rPr>
        <w:t>74</w:t>
      </w:r>
      <w:r>
        <w:rPr>
          <w:noProof/>
        </w:rPr>
        <w:fldChar w:fldCharType="end"/>
      </w:r>
    </w:p>
    <w:p w14:paraId="2ED4E4FB" w14:textId="7D189A57" w:rsidR="008144BE" w:rsidRDefault="008144BE">
      <w:pPr>
        <w:pStyle w:val="TOC4"/>
        <w:rPr>
          <w:rFonts w:asciiTheme="minorHAnsi" w:eastAsiaTheme="minorEastAsia" w:hAnsiTheme="minorHAnsi" w:cstheme="minorBidi"/>
          <w:b w:val="0"/>
          <w:noProof/>
          <w:kern w:val="0"/>
          <w:sz w:val="22"/>
          <w:szCs w:val="22"/>
        </w:rPr>
      </w:pPr>
      <w:r w:rsidRPr="00BC78CF">
        <w:rPr>
          <w:noProof/>
          <w:color w:val="FF0000"/>
        </w:rPr>
        <w:t>Subdivision 4A.3.1—Preliminary</w:t>
      </w:r>
      <w:r>
        <w:rPr>
          <w:noProof/>
        </w:rPr>
        <w:tab/>
      </w:r>
      <w:r>
        <w:rPr>
          <w:noProof/>
        </w:rPr>
        <w:fldChar w:fldCharType="begin"/>
      </w:r>
      <w:r>
        <w:rPr>
          <w:noProof/>
        </w:rPr>
        <w:instrText xml:space="preserve"> PAGEREF _Toc74916181 \h </w:instrText>
      </w:r>
      <w:r>
        <w:rPr>
          <w:noProof/>
        </w:rPr>
      </w:r>
      <w:r>
        <w:rPr>
          <w:noProof/>
        </w:rPr>
        <w:fldChar w:fldCharType="separate"/>
      </w:r>
      <w:r w:rsidR="00A84D48">
        <w:rPr>
          <w:noProof/>
        </w:rPr>
        <w:t>74</w:t>
      </w:r>
      <w:r>
        <w:rPr>
          <w:noProof/>
        </w:rPr>
        <w:fldChar w:fldCharType="end"/>
      </w:r>
    </w:p>
    <w:p w14:paraId="38613E49" w14:textId="163405D1"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4A.9 Application of Division</w:t>
      </w:r>
      <w:r>
        <w:rPr>
          <w:noProof/>
        </w:rPr>
        <w:tab/>
      </w:r>
      <w:r>
        <w:rPr>
          <w:noProof/>
        </w:rPr>
        <w:fldChar w:fldCharType="begin"/>
      </w:r>
      <w:r>
        <w:rPr>
          <w:noProof/>
        </w:rPr>
        <w:instrText xml:space="preserve"> PAGEREF _Toc74916182 \h </w:instrText>
      </w:r>
      <w:r>
        <w:rPr>
          <w:noProof/>
        </w:rPr>
      </w:r>
      <w:r>
        <w:rPr>
          <w:noProof/>
        </w:rPr>
        <w:fldChar w:fldCharType="separate"/>
      </w:r>
      <w:r w:rsidR="00A84D48">
        <w:rPr>
          <w:noProof/>
        </w:rPr>
        <w:t>74</w:t>
      </w:r>
      <w:r>
        <w:rPr>
          <w:noProof/>
        </w:rPr>
        <w:fldChar w:fldCharType="end"/>
      </w:r>
    </w:p>
    <w:p w14:paraId="059F4CD7" w14:textId="17607C90"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4A.10 Interpretation</w:t>
      </w:r>
      <w:r>
        <w:rPr>
          <w:noProof/>
        </w:rPr>
        <w:tab/>
      </w:r>
      <w:r>
        <w:rPr>
          <w:noProof/>
        </w:rPr>
        <w:fldChar w:fldCharType="begin"/>
      </w:r>
      <w:r>
        <w:rPr>
          <w:noProof/>
        </w:rPr>
        <w:instrText xml:space="preserve"> PAGEREF _Toc74916183 \h </w:instrText>
      </w:r>
      <w:r>
        <w:rPr>
          <w:noProof/>
        </w:rPr>
      </w:r>
      <w:r>
        <w:rPr>
          <w:noProof/>
        </w:rPr>
        <w:fldChar w:fldCharType="separate"/>
      </w:r>
      <w:r w:rsidR="00A84D48">
        <w:rPr>
          <w:noProof/>
        </w:rPr>
        <w:t>75</w:t>
      </w:r>
      <w:r>
        <w:rPr>
          <w:noProof/>
        </w:rPr>
        <w:fldChar w:fldCharType="end"/>
      </w:r>
    </w:p>
    <w:p w14:paraId="4B53912C" w14:textId="293989C1" w:rsidR="008144BE" w:rsidRDefault="008144BE">
      <w:pPr>
        <w:pStyle w:val="TOC4"/>
        <w:rPr>
          <w:rFonts w:asciiTheme="minorHAnsi" w:eastAsiaTheme="minorEastAsia" w:hAnsiTheme="minorHAnsi" w:cstheme="minorBidi"/>
          <w:b w:val="0"/>
          <w:noProof/>
          <w:kern w:val="0"/>
          <w:sz w:val="22"/>
          <w:szCs w:val="22"/>
        </w:rPr>
      </w:pPr>
      <w:r w:rsidRPr="00BC78CF">
        <w:rPr>
          <w:noProof/>
          <w:color w:val="FF0000"/>
          <w:lang w:val="en-US"/>
        </w:rPr>
        <w:t>Subdivision  4A.3.2</w:t>
      </w:r>
      <w:r w:rsidRPr="00BC78CF">
        <w:rPr>
          <w:noProof/>
          <w:color w:val="FF0000"/>
        </w:rPr>
        <w:t>—</w:t>
      </w:r>
      <w:r w:rsidRPr="00BC78CF">
        <w:rPr>
          <w:noProof/>
          <w:color w:val="FF0000"/>
          <w:lang w:val="en-US"/>
        </w:rPr>
        <w:t xml:space="preserve">How </w:t>
      </w:r>
      <w:r w:rsidRPr="00BC78CF">
        <w:rPr>
          <w:noProof/>
          <w:color w:val="FF0000"/>
        </w:rPr>
        <w:t>consumer data requests to data holders under Part 4 that relate to joint accounts are handled</w:t>
      </w:r>
      <w:r>
        <w:rPr>
          <w:noProof/>
        </w:rPr>
        <w:tab/>
      </w:r>
      <w:r>
        <w:rPr>
          <w:noProof/>
        </w:rPr>
        <w:fldChar w:fldCharType="begin"/>
      </w:r>
      <w:r>
        <w:rPr>
          <w:noProof/>
        </w:rPr>
        <w:instrText xml:space="preserve"> PAGEREF _Toc74916184 \h </w:instrText>
      </w:r>
      <w:r>
        <w:rPr>
          <w:noProof/>
        </w:rPr>
      </w:r>
      <w:r>
        <w:rPr>
          <w:noProof/>
        </w:rPr>
        <w:fldChar w:fldCharType="separate"/>
      </w:r>
      <w:r w:rsidR="00A84D48">
        <w:rPr>
          <w:noProof/>
        </w:rPr>
        <w:t>75</w:t>
      </w:r>
      <w:r>
        <w:rPr>
          <w:noProof/>
        </w:rPr>
        <w:fldChar w:fldCharType="end"/>
      </w:r>
    </w:p>
    <w:p w14:paraId="5FF5203F" w14:textId="36E5BE40"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 xml:space="preserve">4A.11 </w:t>
      </w:r>
      <w:r w:rsidRPr="00BC78CF">
        <w:rPr>
          <w:noProof/>
          <w:color w:val="FF0000"/>
        </w:rPr>
        <w:t>How data holder is to deal with a consumer data request</w:t>
      </w:r>
      <w:r>
        <w:rPr>
          <w:noProof/>
        </w:rPr>
        <w:tab/>
      </w:r>
      <w:r>
        <w:rPr>
          <w:noProof/>
        </w:rPr>
        <w:fldChar w:fldCharType="begin"/>
      </w:r>
      <w:r>
        <w:rPr>
          <w:noProof/>
        </w:rPr>
        <w:instrText xml:space="preserve"> PAGEREF _Toc74916185 \h </w:instrText>
      </w:r>
      <w:r>
        <w:rPr>
          <w:noProof/>
        </w:rPr>
      </w:r>
      <w:r>
        <w:rPr>
          <w:noProof/>
        </w:rPr>
        <w:fldChar w:fldCharType="separate"/>
      </w:r>
      <w:r w:rsidR="00A84D48">
        <w:rPr>
          <w:noProof/>
        </w:rPr>
        <w:t>75</w:t>
      </w:r>
      <w:r>
        <w:rPr>
          <w:noProof/>
        </w:rPr>
        <w:fldChar w:fldCharType="end"/>
      </w:r>
    </w:p>
    <w:p w14:paraId="59E2F3DE" w14:textId="414C3787"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 xml:space="preserve">4A.12 </w:t>
      </w:r>
      <w:r w:rsidRPr="00BC78CF">
        <w:rPr>
          <w:noProof/>
          <w:color w:val="FF0000"/>
        </w:rPr>
        <w:t>Asking relevant account holders for approval to disclose joint account data</w:t>
      </w:r>
      <w:r>
        <w:rPr>
          <w:noProof/>
        </w:rPr>
        <w:tab/>
      </w:r>
      <w:r>
        <w:rPr>
          <w:noProof/>
        </w:rPr>
        <w:fldChar w:fldCharType="begin"/>
      </w:r>
      <w:r>
        <w:rPr>
          <w:noProof/>
        </w:rPr>
        <w:instrText xml:space="preserve"> PAGEREF _Toc74916186 \h </w:instrText>
      </w:r>
      <w:r>
        <w:rPr>
          <w:noProof/>
        </w:rPr>
      </w:r>
      <w:r>
        <w:rPr>
          <w:noProof/>
        </w:rPr>
        <w:fldChar w:fldCharType="separate"/>
      </w:r>
      <w:r w:rsidR="00A84D48">
        <w:rPr>
          <w:noProof/>
        </w:rPr>
        <w:t>75</w:t>
      </w:r>
      <w:r>
        <w:rPr>
          <w:noProof/>
        </w:rPr>
        <w:fldChar w:fldCharType="end"/>
      </w:r>
    </w:p>
    <w:p w14:paraId="72B26376" w14:textId="7038B2CF"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 xml:space="preserve">4A.13 </w:t>
      </w:r>
      <w:r w:rsidRPr="00BC78CF">
        <w:rPr>
          <w:noProof/>
          <w:color w:val="FF0000"/>
        </w:rPr>
        <w:t>Continuation and removal of approvals</w:t>
      </w:r>
      <w:r>
        <w:rPr>
          <w:noProof/>
        </w:rPr>
        <w:tab/>
      </w:r>
      <w:r>
        <w:rPr>
          <w:noProof/>
        </w:rPr>
        <w:fldChar w:fldCharType="begin"/>
      </w:r>
      <w:r>
        <w:rPr>
          <w:noProof/>
        </w:rPr>
        <w:instrText xml:space="preserve"> PAGEREF _Toc74916187 \h </w:instrText>
      </w:r>
      <w:r>
        <w:rPr>
          <w:noProof/>
        </w:rPr>
      </w:r>
      <w:r>
        <w:rPr>
          <w:noProof/>
        </w:rPr>
        <w:fldChar w:fldCharType="separate"/>
      </w:r>
      <w:r w:rsidR="00A84D48">
        <w:rPr>
          <w:noProof/>
        </w:rPr>
        <w:t>76</w:t>
      </w:r>
      <w:r>
        <w:rPr>
          <w:noProof/>
        </w:rPr>
        <w:fldChar w:fldCharType="end"/>
      </w:r>
    </w:p>
    <w:p w14:paraId="409EA193" w14:textId="44CC41F2" w:rsidR="008144BE" w:rsidRDefault="008144BE">
      <w:pPr>
        <w:pStyle w:val="TOC5"/>
        <w:rPr>
          <w:rFonts w:asciiTheme="minorHAnsi" w:eastAsiaTheme="minorEastAsia" w:hAnsiTheme="minorHAnsi" w:cstheme="minorBidi"/>
          <w:noProof/>
          <w:kern w:val="0"/>
          <w:sz w:val="22"/>
          <w:szCs w:val="22"/>
        </w:rPr>
      </w:pPr>
      <w:r w:rsidRPr="00BC78CF">
        <w:rPr>
          <w:noProof/>
          <w:color w:val="FF0000"/>
          <w:lang w:val="en-US"/>
        </w:rPr>
        <w:t>4A.14  Joint account data the data holder is authorised to disclose</w:t>
      </w:r>
      <w:r>
        <w:rPr>
          <w:noProof/>
        </w:rPr>
        <w:tab/>
      </w:r>
      <w:r>
        <w:rPr>
          <w:noProof/>
        </w:rPr>
        <w:fldChar w:fldCharType="begin"/>
      </w:r>
      <w:r>
        <w:rPr>
          <w:noProof/>
        </w:rPr>
        <w:instrText xml:space="preserve"> PAGEREF _Toc74916188 \h </w:instrText>
      </w:r>
      <w:r>
        <w:rPr>
          <w:noProof/>
        </w:rPr>
      </w:r>
      <w:r>
        <w:rPr>
          <w:noProof/>
        </w:rPr>
        <w:fldChar w:fldCharType="separate"/>
      </w:r>
      <w:r w:rsidR="00A84D48">
        <w:rPr>
          <w:noProof/>
        </w:rPr>
        <w:t>76</w:t>
      </w:r>
      <w:r>
        <w:rPr>
          <w:noProof/>
        </w:rPr>
        <w:fldChar w:fldCharType="end"/>
      </w:r>
    </w:p>
    <w:p w14:paraId="20A95A0C" w14:textId="16CDA2BA" w:rsidR="008144BE" w:rsidRDefault="008144BE">
      <w:pPr>
        <w:pStyle w:val="TOC5"/>
        <w:rPr>
          <w:rFonts w:asciiTheme="minorHAnsi" w:eastAsiaTheme="minorEastAsia" w:hAnsiTheme="minorHAnsi" w:cstheme="minorBidi"/>
          <w:noProof/>
          <w:kern w:val="0"/>
          <w:sz w:val="22"/>
          <w:szCs w:val="22"/>
        </w:rPr>
      </w:pPr>
      <w:r w:rsidRPr="00BC78CF">
        <w:rPr>
          <w:noProof/>
          <w:color w:val="FF0000"/>
        </w:rPr>
        <w:t>4A.15  Consumer dashboard for joint account holders</w:t>
      </w:r>
      <w:r>
        <w:rPr>
          <w:noProof/>
        </w:rPr>
        <w:tab/>
      </w:r>
      <w:r>
        <w:rPr>
          <w:noProof/>
        </w:rPr>
        <w:fldChar w:fldCharType="begin"/>
      </w:r>
      <w:r>
        <w:rPr>
          <w:noProof/>
        </w:rPr>
        <w:instrText xml:space="preserve"> PAGEREF _Toc74916189 \h </w:instrText>
      </w:r>
      <w:r>
        <w:rPr>
          <w:noProof/>
        </w:rPr>
      </w:r>
      <w:r>
        <w:rPr>
          <w:noProof/>
        </w:rPr>
        <w:fldChar w:fldCharType="separate"/>
      </w:r>
      <w:r w:rsidR="00A84D48">
        <w:rPr>
          <w:noProof/>
        </w:rPr>
        <w:t>77</w:t>
      </w:r>
      <w:r>
        <w:rPr>
          <w:noProof/>
        </w:rPr>
        <w:fldChar w:fldCharType="end"/>
      </w:r>
    </w:p>
    <w:p w14:paraId="1BF04971" w14:textId="157B2DB9" w:rsidR="008144BE" w:rsidRDefault="008144BE">
      <w:pPr>
        <w:pStyle w:val="TOC5"/>
        <w:rPr>
          <w:rFonts w:asciiTheme="minorHAnsi" w:eastAsiaTheme="minorEastAsia" w:hAnsiTheme="minorHAnsi" w:cstheme="minorBidi"/>
          <w:noProof/>
          <w:kern w:val="0"/>
          <w:sz w:val="22"/>
          <w:szCs w:val="22"/>
        </w:rPr>
      </w:pPr>
      <w:r w:rsidRPr="00BC78CF">
        <w:rPr>
          <w:noProof/>
          <w:color w:val="FF0000"/>
        </w:rPr>
        <w:t>4A.16 Notification requirements for consumer data requests on joint accounts</w:t>
      </w:r>
      <w:r>
        <w:rPr>
          <w:noProof/>
        </w:rPr>
        <w:tab/>
      </w:r>
      <w:r>
        <w:rPr>
          <w:noProof/>
        </w:rPr>
        <w:fldChar w:fldCharType="begin"/>
      </w:r>
      <w:r>
        <w:rPr>
          <w:noProof/>
        </w:rPr>
        <w:instrText xml:space="preserve"> PAGEREF _Toc74916190 \h </w:instrText>
      </w:r>
      <w:r>
        <w:rPr>
          <w:noProof/>
        </w:rPr>
      </w:r>
      <w:r>
        <w:rPr>
          <w:noProof/>
        </w:rPr>
        <w:fldChar w:fldCharType="separate"/>
      </w:r>
      <w:r w:rsidR="00A84D48">
        <w:rPr>
          <w:noProof/>
        </w:rPr>
        <w:t>78</w:t>
      </w:r>
      <w:r>
        <w:rPr>
          <w:noProof/>
        </w:rPr>
        <w:fldChar w:fldCharType="end"/>
      </w:r>
    </w:p>
    <w:p w14:paraId="6C3E27AD" w14:textId="5B434B6F" w:rsidR="008144BE" w:rsidRDefault="008144BE">
      <w:pPr>
        <w:pStyle w:val="TOC2"/>
        <w:rPr>
          <w:rFonts w:asciiTheme="minorHAnsi" w:eastAsiaTheme="minorEastAsia" w:hAnsiTheme="minorHAnsi" w:cstheme="minorBidi"/>
          <w:b w:val="0"/>
          <w:noProof/>
          <w:kern w:val="0"/>
          <w:sz w:val="22"/>
          <w:szCs w:val="22"/>
        </w:rPr>
      </w:pPr>
      <w:r>
        <w:rPr>
          <w:noProof/>
        </w:rPr>
        <w:t>Part 5—Rules relating to accreditation etc.</w:t>
      </w:r>
      <w:r>
        <w:rPr>
          <w:noProof/>
        </w:rPr>
        <w:tab/>
      </w:r>
      <w:r>
        <w:rPr>
          <w:noProof/>
        </w:rPr>
        <w:fldChar w:fldCharType="begin"/>
      </w:r>
      <w:r>
        <w:rPr>
          <w:noProof/>
        </w:rPr>
        <w:instrText xml:space="preserve"> PAGEREF _Toc74916191 \h </w:instrText>
      </w:r>
      <w:r>
        <w:rPr>
          <w:noProof/>
        </w:rPr>
      </w:r>
      <w:r>
        <w:rPr>
          <w:noProof/>
        </w:rPr>
        <w:fldChar w:fldCharType="separate"/>
      </w:r>
      <w:r w:rsidR="00A84D48">
        <w:rPr>
          <w:noProof/>
        </w:rPr>
        <w:t>79</w:t>
      </w:r>
      <w:r>
        <w:rPr>
          <w:noProof/>
        </w:rPr>
        <w:fldChar w:fldCharType="end"/>
      </w:r>
    </w:p>
    <w:p w14:paraId="2784F775" w14:textId="20888A61" w:rsidR="008144BE" w:rsidRDefault="008144BE">
      <w:pPr>
        <w:pStyle w:val="TOC3"/>
        <w:rPr>
          <w:rFonts w:asciiTheme="minorHAnsi" w:eastAsiaTheme="minorEastAsia" w:hAnsiTheme="minorHAnsi" w:cstheme="minorBidi"/>
          <w:b w:val="0"/>
          <w:noProof/>
          <w:kern w:val="0"/>
          <w:szCs w:val="22"/>
        </w:rPr>
      </w:pPr>
      <w:r w:rsidRPr="0094186E">
        <w:rPr>
          <w:noProof/>
          <w:color w:val="000000"/>
        </w:rPr>
        <w:t>Division 5.1—Preliminary</w:t>
      </w:r>
      <w:r>
        <w:rPr>
          <w:noProof/>
        </w:rPr>
        <w:tab/>
      </w:r>
      <w:r>
        <w:rPr>
          <w:noProof/>
        </w:rPr>
        <w:fldChar w:fldCharType="begin"/>
      </w:r>
      <w:r>
        <w:rPr>
          <w:noProof/>
        </w:rPr>
        <w:instrText xml:space="preserve"> PAGEREF _Toc74916192 \h </w:instrText>
      </w:r>
      <w:r>
        <w:rPr>
          <w:noProof/>
        </w:rPr>
      </w:r>
      <w:r>
        <w:rPr>
          <w:noProof/>
        </w:rPr>
        <w:fldChar w:fldCharType="separate"/>
      </w:r>
      <w:r w:rsidR="00A84D48">
        <w:rPr>
          <w:noProof/>
        </w:rPr>
        <w:t>79</w:t>
      </w:r>
      <w:r>
        <w:rPr>
          <w:noProof/>
        </w:rPr>
        <w:fldChar w:fldCharType="end"/>
      </w:r>
    </w:p>
    <w:p w14:paraId="331614A7" w14:textId="521075DA" w:rsidR="008144BE" w:rsidRDefault="008144BE">
      <w:pPr>
        <w:pStyle w:val="TOC5"/>
        <w:rPr>
          <w:rFonts w:asciiTheme="minorHAnsi" w:eastAsiaTheme="minorEastAsia" w:hAnsiTheme="minorHAnsi" w:cstheme="minorBidi"/>
          <w:noProof/>
          <w:kern w:val="0"/>
          <w:sz w:val="22"/>
          <w:szCs w:val="22"/>
        </w:rPr>
      </w:pPr>
      <w:r w:rsidRPr="0094186E">
        <w:rPr>
          <w:noProof/>
          <w:color w:val="000000"/>
        </w:rPr>
        <w:t>5.1  Simplified outline of this Part</w:t>
      </w:r>
      <w:r>
        <w:rPr>
          <w:noProof/>
        </w:rPr>
        <w:tab/>
      </w:r>
      <w:r>
        <w:rPr>
          <w:noProof/>
        </w:rPr>
        <w:fldChar w:fldCharType="begin"/>
      </w:r>
      <w:r>
        <w:rPr>
          <w:noProof/>
        </w:rPr>
        <w:instrText xml:space="preserve"> PAGEREF _Toc74916193 \h </w:instrText>
      </w:r>
      <w:r>
        <w:rPr>
          <w:noProof/>
        </w:rPr>
      </w:r>
      <w:r>
        <w:rPr>
          <w:noProof/>
        </w:rPr>
        <w:fldChar w:fldCharType="separate"/>
      </w:r>
      <w:r w:rsidR="00A84D48">
        <w:rPr>
          <w:noProof/>
        </w:rPr>
        <w:t>79</w:t>
      </w:r>
      <w:r>
        <w:rPr>
          <w:noProof/>
        </w:rPr>
        <w:fldChar w:fldCharType="end"/>
      </w:r>
    </w:p>
    <w:p w14:paraId="712319A4" w14:textId="1FB035C4" w:rsidR="008144BE" w:rsidRDefault="008144BE">
      <w:pPr>
        <w:pStyle w:val="TOC3"/>
        <w:rPr>
          <w:rFonts w:asciiTheme="minorHAnsi" w:eastAsiaTheme="minorEastAsia" w:hAnsiTheme="minorHAnsi" w:cstheme="minorBidi"/>
          <w:b w:val="0"/>
          <w:noProof/>
          <w:kern w:val="0"/>
          <w:szCs w:val="22"/>
        </w:rPr>
      </w:pPr>
      <w:r>
        <w:rPr>
          <w:noProof/>
        </w:rPr>
        <w:t>Division 5.2—Rules relating to accreditation process</w:t>
      </w:r>
      <w:r>
        <w:rPr>
          <w:noProof/>
        </w:rPr>
        <w:tab/>
      </w:r>
      <w:r>
        <w:rPr>
          <w:noProof/>
        </w:rPr>
        <w:fldChar w:fldCharType="begin"/>
      </w:r>
      <w:r>
        <w:rPr>
          <w:noProof/>
        </w:rPr>
        <w:instrText xml:space="preserve"> PAGEREF _Toc74916194 \h </w:instrText>
      </w:r>
      <w:r>
        <w:rPr>
          <w:noProof/>
        </w:rPr>
      </w:r>
      <w:r>
        <w:rPr>
          <w:noProof/>
        </w:rPr>
        <w:fldChar w:fldCharType="separate"/>
      </w:r>
      <w:r w:rsidR="00A84D48">
        <w:rPr>
          <w:noProof/>
        </w:rPr>
        <w:t>80</w:t>
      </w:r>
      <w:r>
        <w:rPr>
          <w:noProof/>
        </w:rPr>
        <w:fldChar w:fldCharType="end"/>
      </w:r>
    </w:p>
    <w:p w14:paraId="6A9B93A6" w14:textId="400298EE" w:rsidR="008144BE" w:rsidRDefault="008144BE">
      <w:pPr>
        <w:pStyle w:val="TOC4"/>
        <w:rPr>
          <w:rFonts w:asciiTheme="minorHAnsi" w:eastAsiaTheme="minorEastAsia" w:hAnsiTheme="minorHAnsi" w:cstheme="minorBidi"/>
          <w:b w:val="0"/>
          <w:noProof/>
          <w:kern w:val="0"/>
          <w:sz w:val="22"/>
          <w:szCs w:val="22"/>
        </w:rPr>
      </w:pPr>
      <w:r w:rsidRPr="00BC78CF">
        <w:rPr>
          <w:noProof/>
          <w:color w:val="FF0000"/>
        </w:rPr>
        <w:t>Subdivision 5.2.1A—Levels of accreditation</w:t>
      </w:r>
      <w:r>
        <w:rPr>
          <w:noProof/>
        </w:rPr>
        <w:tab/>
      </w:r>
      <w:r>
        <w:rPr>
          <w:noProof/>
        </w:rPr>
        <w:fldChar w:fldCharType="begin"/>
      </w:r>
      <w:r>
        <w:rPr>
          <w:noProof/>
        </w:rPr>
        <w:instrText xml:space="preserve"> PAGEREF _Toc74916195 \h </w:instrText>
      </w:r>
      <w:r>
        <w:rPr>
          <w:noProof/>
        </w:rPr>
      </w:r>
      <w:r>
        <w:rPr>
          <w:noProof/>
        </w:rPr>
        <w:fldChar w:fldCharType="separate"/>
      </w:r>
      <w:r w:rsidR="00A84D48">
        <w:rPr>
          <w:noProof/>
        </w:rPr>
        <w:t>80</w:t>
      </w:r>
      <w:r>
        <w:rPr>
          <w:noProof/>
        </w:rPr>
        <w:fldChar w:fldCharType="end"/>
      </w:r>
    </w:p>
    <w:p w14:paraId="6D7C36DF" w14:textId="41A33DE4" w:rsidR="008144BE" w:rsidRDefault="008144BE">
      <w:pPr>
        <w:pStyle w:val="TOC5"/>
        <w:rPr>
          <w:rFonts w:asciiTheme="minorHAnsi" w:eastAsiaTheme="minorEastAsia" w:hAnsiTheme="minorHAnsi" w:cstheme="minorBidi"/>
          <w:noProof/>
          <w:kern w:val="0"/>
          <w:sz w:val="22"/>
          <w:szCs w:val="22"/>
        </w:rPr>
      </w:pPr>
      <w:r w:rsidRPr="00BC78CF">
        <w:rPr>
          <w:noProof/>
          <w:color w:val="FF0000"/>
        </w:rPr>
        <w:t>5.1A  Levels of accreditation</w:t>
      </w:r>
      <w:r>
        <w:rPr>
          <w:noProof/>
        </w:rPr>
        <w:tab/>
      </w:r>
      <w:r>
        <w:rPr>
          <w:noProof/>
        </w:rPr>
        <w:fldChar w:fldCharType="begin"/>
      </w:r>
      <w:r>
        <w:rPr>
          <w:noProof/>
        </w:rPr>
        <w:instrText xml:space="preserve"> PAGEREF _Toc74916196 \h </w:instrText>
      </w:r>
      <w:r>
        <w:rPr>
          <w:noProof/>
        </w:rPr>
      </w:r>
      <w:r>
        <w:rPr>
          <w:noProof/>
        </w:rPr>
        <w:fldChar w:fldCharType="separate"/>
      </w:r>
      <w:r w:rsidR="00A84D48">
        <w:rPr>
          <w:noProof/>
        </w:rPr>
        <w:t>80</w:t>
      </w:r>
      <w:r>
        <w:rPr>
          <w:noProof/>
        </w:rPr>
        <w:fldChar w:fldCharType="end"/>
      </w:r>
    </w:p>
    <w:p w14:paraId="5151F49C" w14:textId="02F32E3B" w:rsidR="008144BE" w:rsidRDefault="008144BE">
      <w:pPr>
        <w:pStyle w:val="TOC5"/>
        <w:rPr>
          <w:rFonts w:asciiTheme="minorHAnsi" w:eastAsiaTheme="minorEastAsia" w:hAnsiTheme="minorHAnsi" w:cstheme="minorBidi"/>
          <w:noProof/>
          <w:kern w:val="0"/>
          <w:sz w:val="22"/>
          <w:szCs w:val="22"/>
        </w:rPr>
      </w:pPr>
      <w:r w:rsidRPr="00BC78CF">
        <w:rPr>
          <w:noProof/>
          <w:color w:val="FF0000"/>
        </w:rPr>
        <w:t>5.1B  Sponsored accreditation</w:t>
      </w:r>
      <w:r>
        <w:rPr>
          <w:noProof/>
        </w:rPr>
        <w:tab/>
      </w:r>
      <w:r>
        <w:rPr>
          <w:noProof/>
        </w:rPr>
        <w:fldChar w:fldCharType="begin"/>
      </w:r>
      <w:r>
        <w:rPr>
          <w:noProof/>
        </w:rPr>
        <w:instrText xml:space="preserve"> PAGEREF _Toc74916197 \h </w:instrText>
      </w:r>
      <w:r>
        <w:rPr>
          <w:noProof/>
        </w:rPr>
      </w:r>
      <w:r>
        <w:rPr>
          <w:noProof/>
        </w:rPr>
        <w:fldChar w:fldCharType="separate"/>
      </w:r>
      <w:r w:rsidR="00A84D48">
        <w:rPr>
          <w:noProof/>
        </w:rPr>
        <w:t>80</w:t>
      </w:r>
      <w:r>
        <w:rPr>
          <w:noProof/>
        </w:rPr>
        <w:fldChar w:fldCharType="end"/>
      </w:r>
    </w:p>
    <w:p w14:paraId="5021D837" w14:textId="52D0E062" w:rsidR="008144BE" w:rsidRDefault="008144BE">
      <w:pPr>
        <w:pStyle w:val="TOC4"/>
        <w:rPr>
          <w:rFonts w:asciiTheme="minorHAnsi" w:eastAsiaTheme="minorEastAsia" w:hAnsiTheme="minorHAnsi" w:cstheme="minorBidi"/>
          <w:b w:val="0"/>
          <w:noProof/>
          <w:kern w:val="0"/>
          <w:sz w:val="22"/>
          <w:szCs w:val="22"/>
        </w:rPr>
      </w:pPr>
      <w:r>
        <w:rPr>
          <w:noProof/>
        </w:rPr>
        <w:t>Subdivision 5.2.1—Applying to be accredited person</w:t>
      </w:r>
      <w:r>
        <w:rPr>
          <w:noProof/>
        </w:rPr>
        <w:tab/>
      </w:r>
      <w:r>
        <w:rPr>
          <w:noProof/>
        </w:rPr>
        <w:fldChar w:fldCharType="begin"/>
      </w:r>
      <w:r>
        <w:rPr>
          <w:noProof/>
        </w:rPr>
        <w:instrText xml:space="preserve"> PAGEREF _Toc74916198 \h </w:instrText>
      </w:r>
      <w:r>
        <w:rPr>
          <w:noProof/>
        </w:rPr>
      </w:r>
      <w:r>
        <w:rPr>
          <w:noProof/>
        </w:rPr>
        <w:fldChar w:fldCharType="separate"/>
      </w:r>
      <w:r w:rsidR="00A84D48">
        <w:rPr>
          <w:noProof/>
        </w:rPr>
        <w:t>80</w:t>
      </w:r>
      <w:r>
        <w:rPr>
          <w:noProof/>
        </w:rPr>
        <w:fldChar w:fldCharType="end"/>
      </w:r>
    </w:p>
    <w:p w14:paraId="3D70A420" w14:textId="680AAC3E" w:rsidR="008144BE" w:rsidRDefault="008144BE">
      <w:pPr>
        <w:pStyle w:val="TOC5"/>
        <w:rPr>
          <w:rFonts w:asciiTheme="minorHAnsi" w:eastAsiaTheme="minorEastAsia" w:hAnsiTheme="minorHAnsi" w:cstheme="minorBidi"/>
          <w:noProof/>
          <w:kern w:val="0"/>
          <w:sz w:val="22"/>
          <w:szCs w:val="22"/>
        </w:rPr>
      </w:pPr>
      <w:r>
        <w:rPr>
          <w:noProof/>
        </w:rPr>
        <w:t>5.2  Applying to be an accredited person</w:t>
      </w:r>
      <w:r>
        <w:rPr>
          <w:noProof/>
        </w:rPr>
        <w:tab/>
      </w:r>
      <w:r>
        <w:rPr>
          <w:noProof/>
        </w:rPr>
        <w:fldChar w:fldCharType="begin"/>
      </w:r>
      <w:r>
        <w:rPr>
          <w:noProof/>
        </w:rPr>
        <w:instrText xml:space="preserve"> PAGEREF _Toc74916199 \h </w:instrText>
      </w:r>
      <w:r>
        <w:rPr>
          <w:noProof/>
        </w:rPr>
      </w:r>
      <w:r>
        <w:rPr>
          <w:noProof/>
        </w:rPr>
        <w:fldChar w:fldCharType="separate"/>
      </w:r>
      <w:r w:rsidR="00A84D48">
        <w:rPr>
          <w:noProof/>
        </w:rPr>
        <w:t>80</w:t>
      </w:r>
      <w:r>
        <w:rPr>
          <w:noProof/>
        </w:rPr>
        <w:fldChar w:fldCharType="end"/>
      </w:r>
    </w:p>
    <w:p w14:paraId="255539EA" w14:textId="259ACAC1" w:rsidR="008144BE" w:rsidRDefault="008144BE">
      <w:pPr>
        <w:pStyle w:val="TOC4"/>
        <w:rPr>
          <w:rFonts w:asciiTheme="minorHAnsi" w:eastAsiaTheme="minorEastAsia" w:hAnsiTheme="minorHAnsi" w:cstheme="minorBidi"/>
          <w:b w:val="0"/>
          <w:noProof/>
          <w:kern w:val="0"/>
          <w:sz w:val="22"/>
          <w:szCs w:val="22"/>
        </w:rPr>
      </w:pPr>
      <w:r>
        <w:rPr>
          <w:noProof/>
        </w:rPr>
        <w:t>Subdivision 5.2.2—Consideration of application to be accredited person</w:t>
      </w:r>
      <w:r>
        <w:rPr>
          <w:noProof/>
        </w:rPr>
        <w:tab/>
      </w:r>
      <w:r>
        <w:rPr>
          <w:noProof/>
        </w:rPr>
        <w:fldChar w:fldCharType="begin"/>
      </w:r>
      <w:r>
        <w:rPr>
          <w:noProof/>
        </w:rPr>
        <w:instrText xml:space="preserve"> PAGEREF _Toc74916200 \h </w:instrText>
      </w:r>
      <w:r>
        <w:rPr>
          <w:noProof/>
        </w:rPr>
      </w:r>
      <w:r>
        <w:rPr>
          <w:noProof/>
        </w:rPr>
        <w:fldChar w:fldCharType="separate"/>
      </w:r>
      <w:r w:rsidR="00A84D48">
        <w:rPr>
          <w:noProof/>
        </w:rPr>
        <w:t>82</w:t>
      </w:r>
      <w:r>
        <w:rPr>
          <w:noProof/>
        </w:rPr>
        <w:fldChar w:fldCharType="end"/>
      </w:r>
    </w:p>
    <w:p w14:paraId="519B9B20" w14:textId="2DB16B0F" w:rsidR="008144BE" w:rsidRDefault="008144BE">
      <w:pPr>
        <w:pStyle w:val="TOC5"/>
        <w:rPr>
          <w:rFonts w:asciiTheme="minorHAnsi" w:eastAsiaTheme="minorEastAsia" w:hAnsiTheme="minorHAnsi" w:cstheme="minorBidi"/>
          <w:noProof/>
          <w:kern w:val="0"/>
          <w:sz w:val="22"/>
          <w:szCs w:val="22"/>
        </w:rPr>
      </w:pPr>
      <w:r>
        <w:rPr>
          <w:noProof/>
        </w:rPr>
        <w:t>5.3  Data Recipient Accreditor may request further information</w:t>
      </w:r>
      <w:r>
        <w:rPr>
          <w:noProof/>
        </w:rPr>
        <w:tab/>
      </w:r>
      <w:r>
        <w:rPr>
          <w:noProof/>
        </w:rPr>
        <w:fldChar w:fldCharType="begin"/>
      </w:r>
      <w:r>
        <w:rPr>
          <w:noProof/>
        </w:rPr>
        <w:instrText xml:space="preserve"> PAGEREF _Toc74916201 \h </w:instrText>
      </w:r>
      <w:r>
        <w:rPr>
          <w:noProof/>
        </w:rPr>
      </w:r>
      <w:r>
        <w:rPr>
          <w:noProof/>
        </w:rPr>
        <w:fldChar w:fldCharType="separate"/>
      </w:r>
      <w:r w:rsidR="00A84D48">
        <w:rPr>
          <w:noProof/>
        </w:rPr>
        <w:t>82</w:t>
      </w:r>
      <w:r>
        <w:rPr>
          <w:noProof/>
        </w:rPr>
        <w:fldChar w:fldCharType="end"/>
      </w:r>
    </w:p>
    <w:p w14:paraId="599B01A6" w14:textId="5CD594BA" w:rsidR="008144BE" w:rsidRDefault="008144BE">
      <w:pPr>
        <w:pStyle w:val="TOC5"/>
        <w:rPr>
          <w:rFonts w:asciiTheme="minorHAnsi" w:eastAsiaTheme="minorEastAsia" w:hAnsiTheme="minorHAnsi" w:cstheme="minorBidi"/>
          <w:noProof/>
          <w:kern w:val="0"/>
          <w:sz w:val="22"/>
          <w:szCs w:val="22"/>
        </w:rPr>
      </w:pPr>
      <w:r>
        <w:rPr>
          <w:noProof/>
        </w:rPr>
        <w:t>5.4  Data Recipient Accreditor may consult</w:t>
      </w:r>
      <w:r>
        <w:rPr>
          <w:noProof/>
        </w:rPr>
        <w:tab/>
      </w:r>
      <w:r>
        <w:rPr>
          <w:noProof/>
        </w:rPr>
        <w:fldChar w:fldCharType="begin"/>
      </w:r>
      <w:r>
        <w:rPr>
          <w:noProof/>
        </w:rPr>
        <w:instrText xml:space="preserve"> PAGEREF _Toc74916202 \h </w:instrText>
      </w:r>
      <w:r>
        <w:rPr>
          <w:noProof/>
        </w:rPr>
      </w:r>
      <w:r>
        <w:rPr>
          <w:noProof/>
        </w:rPr>
        <w:fldChar w:fldCharType="separate"/>
      </w:r>
      <w:r w:rsidR="00A84D48">
        <w:rPr>
          <w:noProof/>
        </w:rPr>
        <w:t>82</w:t>
      </w:r>
      <w:r>
        <w:rPr>
          <w:noProof/>
        </w:rPr>
        <w:fldChar w:fldCharType="end"/>
      </w:r>
    </w:p>
    <w:p w14:paraId="2A9B3425" w14:textId="069D056B" w:rsidR="008144BE" w:rsidRDefault="008144BE">
      <w:pPr>
        <w:pStyle w:val="TOC5"/>
        <w:rPr>
          <w:rFonts w:asciiTheme="minorHAnsi" w:eastAsiaTheme="minorEastAsia" w:hAnsiTheme="minorHAnsi" w:cstheme="minorBidi"/>
          <w:noProof/>
          <w:kern w:val="0"/>
          <w:sz w:val="22"/>
          <w:szCs w:val="22"/>
        </w:rPr>
      </w:pPr>
      <w:r>
        <w:rPr>
          <w:noProof/>
        </w:rPr>
        <w:t>5.5  Criteria for accreditation</w:t>
      </w:r>
      <w:r w:rsidRPr="00BC78CF">
        <w:rPr>
          <w:strike/>
          <w:noProof/>
          <w:color w:val="FF0000"/>
        </w:rPr>
        <w:t>—unrestricted level</w:t>
      </w:r>
      <w:r>
        <w:rPr>
          <w:noProof/>
        </w:rPr>
        <w:tab/>
      </w:r>
      <w:r>
        <w:rPr>
          <w:noProof/>
        </w:rPr>
        <w:fldChar w:fldCharType="begin"/>
      </w:r>
      <w:r>
        <w:rPr>
          <w:noProof/>
        </w:rPr>
        <w:instrText xml:space="preserve"> PAGEREF _Toc74916203 \h </w:instrText>
      </w:r>
      <w:r>
        <w:rPr>
          <w:noProof/>
        </w:rPr>
      </w:r>
      <w:r>
        <w:rPr>
          <w:noProof/>
        </w:rPr>
        <w:fldChar w:fldCharType="separate"/>
      </w:r>
      <w:r w:rsidR="00A84D48">
        <w:rPr>
          <w:noProof/>
        </w:rPr>
        <w:t>82</w:t>
      </w:r>
      <w:r>
        <w:rPr>
          <w:noProof/>
        </w:rPr>
        <w:fldChar w:fldCharType="end"/>
      </w:r>
    </w:p>
    <w:p w14:paraId="1F2C2611" w14:textId="1127641C" w:rsidR="008144BE" w:rsidRDefault="008144BE">
      <w:pPr>
        <w:pStyle w:val="TOC5"/>
        <w:rPr>
          <w:rFonts w:asciiTheme="minorHAnsi" w:eastAsiaTheme="minorEastAsia" w:hAnsiTheme="minorHAnsi" w:cstheme="minorBidi"/>
          <w:noProof/>
          <w:kern w:val="0"/>
          <w:sz w:val="22"/>
          <w:szCs w:val="22"/>
        </w:rPr>
      </w:pPr>
      <w:r w:rsidRPr="0094186E">
        <w:rPr>
          <w:noProof/>
          <w:color w:val="000000" w:themeColor="text1"/>
        </w:rPr>
        <w:t>5.6  Accreditation decision―accreditation number</w:t>
      </w:r>
      <w:r>
        <w:rPr>
          <w:noProof/>
        </w:rPr>
        <w:tab/>
      </w:r>
      <w:r>
        <w:rPr>
          <w:noProof/>
        </w:rPr>
        <w:fldChar w:fldCharType="begin"/>
      </w:r>
      <w:r>
        <w:rPr>
          <w:noProof/>
        </w:rPr>
        <w:instrText xml:space="preserve"> PAGEREF _Toc74916204 \h </w:instrText>
      </w:r>
      <w:r>
        <w:rPr>
          <w:noProof/>
        </w:rPr>
      </w:r>
      <w:r>
        <w:rPr>
          <w:noProof/>
        </w:rPr>
        <w:fldChar w:fldCharType="separate"/>
      </w:r>
      <w:r w:rsidR="00A84D48">
        <w:rPr>
          <w:noProof/>
        </w:rPr>
        <w:t>83</w:t>
      </w:r>
      <w:r>
        <w:rPr>
          <w:noProof/>
        </w:rPr>
        <w:fldChar w:fldCharType="end"/>
      </w:r>
    </w:p>
    <w:p w14:paraId="7BBD1D9C" w14:textId="1E4A0179" w:rsidR="008144BE" w:rsidRDefault="008144BE">
      <w:pPr>
        <w:pStyle w:val="TOC5"/>
        <w:rPr>
          <w:rFonts w:asciiTheme="minorHAnsi" w:eastAsiaTheme="minorEastAsia" w:hAnsiTheme="minorHAnsi" w:cstheme="minorBidi"/>
          <w:noProof/>
          <w:kern w:val="0"/>
          <w:sz w:val="22"/>
          <w:szCs w:val="22"/>
        </w:rPr>
      </w:pPr>
      <w:r w:rsidRPr="0094186E">
        <w:rPr>
          <w:noProof/>
          <w:color w:val="000000" w:themeColor="text1"/>
        </w:rPr>
        <w:t>5.7  Accreditation decision—notifying accreditation applicant</w:t>
      </w:r>
      <w:r>
        <w:rPr>
          <w:noProof/>
        </w:rPr>
        <w:tab/>
      </w:r>
      <w:r>
        <w:rPr>
          <w:noProof/>
        </w:rPr>
        <w:fldChar w:fldCharType="begin"/>
      </w:r>
      <w:r>
        <w:rPr>
          <w:noProof/>
        </w:rPr>
        <w:instrText xml:space="preserve"> PAGEREF _Toc74916205 \h </w:instrText>
      </w:r>
      <w:r>
        <w:rPr>
          <w:noProof/>
        </w:rPr>
      </w:r>
      <w:r>
        <w:rPr>
          <w:noProof/>
        </w:rPr>
        <w:fldChar w:fldCharType="separate"/>
      </w:r>
      <w:r w:rsidR="00A84D48">
        <w:rPr>
          <w:noProof/>
        </w:rPr>
        <w:t>83</w:t>
      </w:r>
      <w:r>
        <w:rPr>
          <w:noProof/>
        </w:rPr>
        <w:fldChar w:fldCharType="end"/>
      </w:r>
    </w:p>
    <w:p w14:paraId="2125D5CC" w14:textId="3794E6A5" w:rsidR="008144BE" w:rsidRDefault="008144BE">
      <w:pPr>
        <w:pStyle w:val="TOC5"/>
        <w:rPr>
          <w:rFonts w:asciiTheme="minorHAnsi" w:eastAsiaTheme="minorEastAsia" w:hAnsiTheme="minorHAnsi" w:cstheme="minorBidi"/>
          <w:noProof/>
          <w:kern w:val="0"/>
          <w:sz w:val="22"/>
          <w:szCs w:val="22"/>
        </w:rPr>
      </w:pPr>
      <w:r>
        <w:rPr>
          <w:noProof/>
        </w:rPr>
        <w:t>5.8  When accreditation takes effect</w:t>
      </w:r>
      <w:r>
        <w:rPr>
          <w:noProof/>
        </w:rPr>
        <w:tab/>
      </w:r>
      <w:r>
        <w:rPr>
          <w:noProof/>
        </w:rPr>
        <w:fldChar w:fldCharType="begin"/>
      </w:r>
      <w:r>
        <w:rPr>
          <w:noProof/>
        </w:rPr>
        <w:instrText xml:space="preserve"> PAGEREF _Toc74916206 \h </w:instrText>
      </w:r>
      <w:r>
        <w:rPr>
          <w:noProof/>
        </w:rPr>
      </w:r>
      <w:r>
        <w:rPr>
          <w:noProof/>
        </w:rPr>
        <w:fldChar w:fldCharType="separate"/>
      </w:r>
      <w:r w:rsidR="00A84D48">
        <w:rPr>
          <w:noProof/>
        </w:rPr>
        <w:t>83</w:t>
      </w:r>
      <w:r>
        <w:rPr>
          <w:noProof/>
        </w:rPr>
        <w:fldChar w:fldCharType="end"/>
      </w:r>
    </w:p>
    <w:p w14:paraId="4387AAC8" w14:textId="376B068E" w:rsidR="008144BE" w:rsidRDefault="008144BE">
      <w:pPr>
        <w:pStyle w:val="TOC5"/>
        <w:rPr>
          <w:rFonts w:asciiTheme="minorHAnsi" w:eastAsiaTheme="minorEastAsia" w:hAnsiTheme="minorHAnsi" w:cstheme="minorBidi"/>
          <w:noProof/>
          <w:kern w:val="0"/>
          <w:sz w:val="22"/>
          <w:szCs w:val="22"/>
        </w:rPr>
      </w:pPr>
      <w:r>
        <w:rPr>
          <w:noProof/>
        </w:rPr>
        <w:t>5.9  Default conditions on accreditation</w:t>
      </w:r>
      <w:r>
        <w:rPr>
          <w:noProof/>
        </w:rPr>
        <w:tab/>
      </w:r>
      <w:r>
        <w:rPr>
          <w:noProof/>
        </w:rPr>
        <w:fldChar w:fldCharType="begin"/>
      </w:r>
      <w:r>
        <w:rPr>
          <w:noProof/>
        </w:rPr>
        <w:instrText xml:space="preserve"> PAGEREF _Toc74916207 \h </w:instrText>
      </w:r>
      <w:r>
        <w:rPr>
          <w:noProof/>
        </w:rPr>
      </w:r>
      <w:r>
        <w:rPr>
          <w:noProof/>
        </w:rPr>
        <w:fldChar w:fldCharType="separate"/>
      </w:r>
      <w:r w:rsidR="00A84D48">
        <w:rPr>
          <w:noProof/>
        </w:rPr>
        <w:t>83</w:t>
      </w:r>
      <w:r>
        <w:rPr>
          <w:noProof/>
        </w:rPr>
        <w:fldChar w:fldCharType="end"/>
      </w:r>
    </w:p>
    <w:p w14:paraId="46AF92EC" w14:textId="041905BA" w:rsidR="008144BE" w:rsidRDefault="008144BE">
      <w:pPr>
        <w:pStyle w:val="TOC5"/>
        <w:rPr>
          <w:rFonts w:asciiTheme="minorHAnsi" w:eastAsiaTheme="minorEastAsia" w:hAnsiTheme="minorHAnsi" w:cstheme="minorBidi"/>
          <w:noProof/>
          <w:kern w:val="0"/>
          <w:sz w:val="22"/>
          <w:szCs w:val="22"/>
        </w:rPr>
      </w:pPr>
      <w:r>
        <w:rPr>
          <w:noProof/>
        </w:rPr>
        <w:t>5.10  Other conditions on accreditation</w:t>
      </w:r>
      <w:r>
        <w:rPr>
          <w:noProof/>
        </w:rPr>
        <w:tab/>
      </w:r>
      <w:r>
        <w:rPr>
          <w:noProof/>
        </w:rPr>
        <w:fldChar w:fldCharType="begin"/>
      </w:r>
      <w:r>
        <w:rPr>
          <w:noProof/>
        </w:rPr>
        <w:instrText xml:space="preserve"> PAGEREF _Toc74916208 \h </w:instrText>
      </w:r>
      <w:r>
        <w:rPr>
          <w:noProof/>
        </w:rPr>
      </w:r>
      <w:r>
        <w:rPr>
          <w:noProof/>
        </w:rPr>
        <w:fldChar w:fldCharType="separate"/>
      </w:r>
      <w:r w:rsidR="00A84D48">
        <w:rPr>
          <w:noProof/>
        </w:rPr>
        <w:t>83</w:t>
      </w:r>
      <w:r>
        <w:rPr>
          <w:noProof/>
        </w:rPr>
        <w:fldChar w:fldCharType="end"/>
      </w:r>
    </w:p>
    <w:p w14:paraId="58A44086" w14:textId="6A6CAC99" w:rsidR="008144BE" w:rsidRDefault="008144BE">
      <w:pPr>
        <w:pStyle w:val="TOC5"/>
        <w:rPr>
          <w:rFonts w:asciiTheme="minorHAnsi" w:eastAsiaTheme="minorEastAsia" w:hAnsiTheme="minorHAnsi" w:cstheme="minorBidi"/>
          <w:noProof/>
          <w:kern w:val="0"/>
          <w:sz w:val="22"/>
          <w:szCs w:val="22"/>
        </w:rPr>
      </w:pPr>
      <w:r w:rsidRPr="0094186E">
        <w:rPr>
          <w:noProof/>
          <w:color w:val="000000" w:themeColor="text1"/>
        </w:rPr>
        <w:t>5.11  Notification to accredited person relating to conditions</w:t>
      </w:r>
      <w:r>
        <w:rPr>
          <w:noProof/>
        </w:rPr>
        <w:tab/>
      </w:r>
      <w:r>
        <w:rPr>
          <w:noProof/>
        </w:rPr>
        <w:fldChar w:fldCharType="begin"/>
      </w:r>
      <w:r>
        <w:rPr>
          <w:noProof/>
        </w:rPr>
        <w:instrText xml:space="preserve"> PAGEREF _Toc74916209 \h </w:instrText>
      </w:r>
      <w:r>
        <w:rPr>
          <w:noProof/>
        </w:rPr>
      </w:r>
      <w:r>
        <w:rPr>
          <w:noProof/>
        </w:rPr>
        <w:fldChar w:fldCharType="separate"/>
      </w:r>
      <w:r w:rsidR="00A84D48">
        <w:rPr>
          <w:noProof/>
        </w:rPr>
        <w:t>84</w:t>
      </w:r>
      <w:r>
        <w:rPr>
          <w:noProof/>
        </w:rPr>
        <w:fldChar w:fldCharType="end"/>
      </w:r>
    </w:p>
    <w:p w14:paraId="304C37E3" w14:textId="67B2B859" w:rsidR="008144BE" w:rsidRDefault="008144BE">
      <w:pPr>
        <w:pStyle w:val="TOC4"/>
        <w:rPr>
          <w:rFonts w:asciiTheme="minorHAnsi" w:eastAsiaTheme="minorEastAsia" w:hAnsiTheme="minorHAnsi" w:cstheme="minorBidi"/>
          <w:b w:val="0"/>
          <w:noProof/>
          <w:kern w:val="0"/>
          <w:sz w:val="22"/>
          <w:szCs w:val="22"/>
        </w:rPr>
      </w:pPr>
      <w:r>
        <w:rPr>
          <w:noProof/>
        </w:rPr>
        <w:t>Subdivision 5.2.3—Obligations of accredited person</w:t>
      </w:r>
      <w:r>
        <w:rPr>
          <w:noProof/>
        </w:rPr>
        <w:tab/>
      </w:r>
      <w:r>
        <w:rPr>
          <w:noProof/>
        </w:rPr>
        <w:fldChar w:fldCharType="begin"/>
      </w:r>
      <w:r>
        <w:rPr>
          <w:noProof/>
        </w:rPr>
        <w:instrText xml:space="preserve"> PAGEREF _Toc74916210 \h </w:instrText>
      </w:r>
      <w:r>
        <w:rPr>
          <w:noProof/>
        </w:rPr>
      </w:r>
      <w:r>
        <w:rPr>
          <w:noProof/>
        </w:rPr>
        <w:fldChar w:fldCharType="separate"/>
      </w:r>
      <w:r w:rsidR="00A84D48">
        <w:rPr>
          <w:noProof/>
        </w:rPr>
        <w:t>85</w:t>
      </w:r>
      <w:r>
        <w:rPr>
          <w:noProof/>
        </w:rPr>
        <w:fldChar w:fldCharType="end"/>
      </w:r>
    </w:p>
    <w:p w14:paraId="7708C5D2" w14:textId="00595E30" w:rsidR="008144BE" w:rsidRDefault="008144BE">
      <w:pPr>
        <w:pStyle w:val="TOC5"/>
        <w:rPr>
          <w:rFonts w:asciiTheme="minorHAnsi" w:eastAsiaTheme="minorEastAsia" w:hAnsiTheme="minorHAnsi" w:cstheme="minorBidi"/>
          <w:noProof/>
          <w:kern w:val="0"/>
          <w:sz w:val="22"/>
          <w:szCs w:val="22"/>
        </w:rPr>
      </w:pPr>
      <w:r>
        <w:rPr>
          <w:noProof/>
        </w:rPr>
        <w:t>5.12  Obligations of accredited person</w:t>
      </w:r>
      <w:r w:rsidRPr="00BC78CF">
        <w:rPr>
          <w:strike/>
          <w:noProof/>
          <w:color w:val="FF0000"/>
        </w:rPr>
        <w:t xml:space="preserve"> at the “unrestricted” level</w:t>
      </w:r>
      <w:r>
        <w:rPr>
          <w:noProof/>
        </w:rPr>
        <w:tab/>
      </w:r>
      <w:r>
        <w:rPr>
          <w:noProof/>
        </w:rPr>
        <w:fldChar w:fldCharType="begin"/>
      </w:r>
      <w:r>
        <w:rPr>
          <w:noProof/>
        </w:rPr>
        <w:instrText xml:space="preserve"> PAGEREF _Toc74916211 \h </w:instrText>
      </w:r>
      <w:r>
        <w:rPr>
          <w:noProof/>
        </w:rPr>
      </w:r>
      <w:r>
        <w:rPr>
          <w:noProof/>
        </w:rPr>
        <w:fldChar w:fldCharType="separate"/>
      </w:r>
      <w:r w:rsidR="00A84D48">
        <w:rPr>
          <w:noProof/>
        </w:rPr>
        <w:t>85</w:t>
      </w:r>
      <w:r>
        <w:rPr>
          <w:noProof/>
        </w:rPr>
        <w:fldChar w:fldCharType="end"/>
      </w:r>
    </w:p>
    <w:p w14:paraId="2699F8A2" w14:textId="492B7529" w:rsidR="008144BE" w:rsidRDefault="008144BE">
      <w:pPr>
        <w:pStyle w:val="TOC5"/>
        <w:rPr>
          <w:rFonts w:asciiTheme="minorHAnsi" w:eastAsiaTheme="minorEastAsia" w:hAnsiTheme="minorHAnsi" w:cstheme="minorBidi"/>
          <w:noProof/>
          <w:kern w:val="0"/>
          <w:sz w:val="22"/>
          <w:szCs w:val="22"/>
        </w:rPr>
      </w:pPr>
      <w:r>
        <w:rPr>
          <w:noProof/>
        </w:rPr>
        <w:t>5.13 Accredited person must comply with conditions</w:t>
      </w:r>
      <w:r>
        <w:rPr>
          <w:noProof/>
        </w:rPr>
        <w:tab/>
      </w:r>
      <w:r>
        <w:rPr>
          <w:noProof/>
        </w:rPr>
        <w:fldChar w:fldCharType="begin"/>
      </w:r>
      <w:r>
        <w:rPr>
          <w:noProof/>
        </w:rPr>
        <w:instrText xml:space="preserve"> PAGEREF _Toc74916212 \h </w:instrText>
      </w:r>
      <w:r>
        <w:rPr>
          <w:noProof/>
        </w:rPr>
      </w:r>
      <w:r>
        <w:rPr>
          <w:noProof/>
        </w:rPr>
        <w:fldChar w:fldCharType="separate"/>
      </w:r>
      <w:r w:rsidR="00A84D48">
        <w:rPr>
          <w:noProof/>
        </w:rPr>
        <w:t>85</w:t>
      </w:r>
      <w:r>
        <w:rPr>
          <w:noProof/>
        </w:rPr>
        <w:fldChar w:fldCharType="end"/>
      </w:r>
    </w:p>
    <w:p w14:paraId="7BE435B1" w14:textId="18FAC1AD" w:rsidR="008144BE" w:rsidRDefault="008144BE">
      <w:pPr>
        <w:pStyle w:val="TOC5"/>
        <w:rPr>
          <w:rFonts w:asciiTheme="minorHAnsi" w:eastAsiaTheme="minorEastAsia" w:hAnsiTheme="minorHAnsi" w:cstheme="minorBidi"/>
          <w:noProof/>
          <w:kern w:val="0"/>
          <w:sz w:val="22"/>
          <w:szCs w:val="22"/>
        </w:rPr>
      </w:pPr>
      <w:r>
        <w:rPr>
          <w:noProof/>
        </w:rPr>
        <w:t>5.14  Notification requirements</w:t>
      </w:r>
      <w:r>
        <w:rPr>
          <w:noProof/>
        </w:rPr>
        <w:tab/>
      </w:r>
      <w:r>
        <w:rPr>
          <w:noProof/>
        </w:rPr>
        <w:fldChar w:fldCharType="begin"/>
      </w:r>
      <w:r>
        <w:rPr>
          <w:noProof/>
        </w:rPr>
        <w:instrText xml:space="preserve"> PAGEREF _Toc74916213 \h </w:instrText>
      </w:r>
      <w:r>
        <w:rPr>
          <w:noProof/>
        </w:rPr>
      </w:r>
      <w:r>
        <w:rPr>
          <w:noProof/>
        </w:rPr>
        <w:fldChar w:fldCharType="separate"/>
      </w:r>
      <w:r w:rsidR="00A84D48">
        <w:rPr>
          <w:noProof/>
        </w:rPr>
        <w:t>86</w:t>
      </w:r>
      <w:r>
        <w:rPr>
          <w:noProof/>
        </w:rPr>
        <w:fldChar w:fldCharType="end"/>
      </w:r>
    </w:p>
    <w:p w14:paraId="7CECB524" w14:textId="70346B57" w:rsidR="008144BE" w:rsidRDefault="008144BE">
      <w:pPr>
        <w:pStyle w:val="TOC5"/>
        <w:rPr>
          <w:rFonts w:asciiTheme="minorHAnsi" w:eastAsiaTheme="minorEastAsia" w:hAnsiTheme="minorHAnsi" w:cstheme="minorBidi"/>
          <w:noProof/>
          <w:kern w:val="0"/>
          <w:sz w:val="22"/>
          <w:szCs w:val="22"/>
        </w:rPr>
      </w:pPr>
      <w:r>
        <w:rPr>
          <w:noProof/>
        </w:rPr>
        <w:t>5.15  Provision of information to the Accreditation Registrar</w:t>
      </w:r>
      <w:r>
        <w:rPr>
          <w:noProof/>
        </w:rPr>
        <w:tab/>
      </w:r>
      <w:r>
        <w:rPr>
          <w:noProof/>
        </w:rPr>
        <w:fldChar w:fldCharType="begin"/>
      </w:r>
      <w:r>
        <w:rPr>
          <w:noProof/>
        </w:rPr>
        <w:instrText xml:space="preserve"> PAGEREF _Toc74916214 \h </w:instrText>
      </w:r>
      <w:r>
        <w:rPr>
          <w:noProof/>
        </w:rPr>
      </w:r>
      <w:r>
        <w:rPr>
          <w:noProof/>
        </w:rPr>
        <w:fldChar w:fldCharType="separate"/>
      </w:r>
      <w:r w:rsidR="00A84D48">
        <w:rPr>
          <w:noProof/>
        </w:rPr>
        <w:t>86</w:t>
      </w:r>
      <w:r>
        <w:rPr>
          <w:noProof/>
        </w:rPr>
        <w:fldChar w:fldCharType="end"/>
      </w:r>
    </w:p>
    <w:p w14:paraId="1FEE315F" w14:textId="6EC5857C" w:rsidR="008144BE" w:rsidRDefault="008144BE">
      <w:pPr>
        <w:pStyle w:val="TOC4"/>
        <w:rPr>
          <w:rFonts w:asciiTheme="minorHAnsi" w:eastAsiaTheme="minorEastAsia" w:hAnsiTheme="minorHAnsi" w:cstheme="minorBidi"/>
          <w:b w:val="0"/>
          <w:noProof/>
          <w:kern w:val="0"/>
          <w:sz w:val="22"/>
          <w:szCs w:val="22"/>
        </w:rPr>
      </w:pPr>
      <w:r>
        <w:rPr>
          <w:noProof/>
        </w:rPr>
        <w:t>Subdivision 5.2.4—Transfer, suspension</w:t>
      </w:r>
      <w:r w:rsidRPr="0094186E">
        <w:rPr>
          <w:noProof/>
          <w:color w:val="000000" w:themeColor="text1"/>
        </w:rPr>
        <w:t>, surrender</w:t>
      </w:r>
      <w:r>
        <w:rPr>
          <w:noProof/>
        </w:rPr>
        <w:t xml:space="preserve"> and revocation of accreditation</w:t>
      </w:r>
      <w:r>
        <w:rPr>
          <w:noProof/>
        </w:rPr>
        <w:tab/>
      </w:r>
      <w:r>
        <w:rPr>
          <w:noProof/>
        </w:rPr>
        <w:fldChar w:fldCharType="begin"/>
      </w:r>
      <w:r>
        <w:rPr>
          <w:noProof/>
        </w:rPr>
        <w:instrText xml:space="preserve"> PAGEREF _Toc74916215 \h </w:instrText>
      </w:r>
      <w:r>
        <w:rPr>
          <w:noProof/>
        </w:rPr>
      </w:r>
      <w:r>
        <w:rPr>
          <w:noProof/>
        </w:rPr>
        <w:fldChar w:fldCharType="separate"/>
      </w:r>
      <w:r w:rsidR="00A84D48">
        <w:rPr>
          <w:noProof/>
        </w:rPr>
        <w:t>87</w:t>
      </w:r>
      <w:r>
        <w:rPr>
          <w:noProof/>
        </w:rPr>
        <w:fldChar w:fldCharType="end"/>
      </w:r>
    </w:p>
    <w:p w14:paraId="0FE8D6C4" w14:textId="283F8D1C" w:rsidR="008144BE" w:rsidRDefault="008144BE">
      <w:pPr>
        <w:pStyle w:val="TOC5"/>
        <w:rPr>
          <w:rFonts w:asciiTheme="minorHAnsi" w:eastAsiaTheme="minorEastAsia" w:hAnsiTheme="minorHAnsi" w:cstheme="minorBidi"/>
          <w:noProof/>
          <w:kern w:val="0"/>
          <w:sz w:val="22"/>
          <w:szCs w:val="22"/>
        </w:rPr>
      </w:pPr>
      <w:r>
        <w:rPr>
          <w:noProof/>
        </w:rPr>
        <w:t>5.16  Transfer of accreditation</w:t>
      </w:r>
      <w:r>
        <w:rPr>
          <w:noProof/>
        </w:rPr>
        <w:tab/>
      </w:r>
      <w:r>
        <w:rPr>
          <w:noProof/>
        </w:rPr>
        <w:fldChar w:fldCharType="begin"/>
      </w:r>
      <w:r>
        <w:rPr>
          <w:noProof/>
        </w:rPr>
        <w:instrText xml:space="preserve"> PAGEREF _Toc74916216 \h </w:instrText>
      </w:r>
      <w:r>
        <w:rPr>
          <w:noProof/>
        </w:rPr>
      </w:r>
      <w:r>
        <w:rPr>
          <w:noProof/>
        </w:rPr>
        <w:fldChar w:fldCharType="separate"/>
      </w:r>
      <w:r w:rsidR="00A84D48">
        <w:rPr>
          <w:noProof/>
        </w:rPr>
        <w:t>87</w:t>
      </w:r>
      <w:r>
        <w:rPr>
          <w:noProof/>
        </w:rPr>
        <w:fldChar w:fldCharType="end"/>
      </w:r>
    </w:p>
    <w:p w14:paraId="7283DB17" w14:textId="300275E4" w:rsidR="008144BE" w:rsidRDefault="008144BE">
      <w:pPr>
        <w:pStyle w:val="TOC5"/>
        <w:rPr>
          <w:rFonts w:asciiTheme="minorHAnsi" w:eastAsiaTheme="minorEastAsia" w:hAnsiTheme="minorHAnsi" w:cstheme="minorBidi"/>
          <w:noProof/>
          <w:kern w:val="0"/>
          <w:sz w:val="22"/>
          <w:szCs w:val="22"/>
        </w:rPr>
      </w:pPr>
      <w:r>
        <w:rPr>
          <w:noProof/>
        </w:rPr>
        <w:t>5.17  Revocation, suspension, or surrender of accreditation</w:t>
      </w:r>
      <w:r>
        <w:rPr>
          <w:noProof/>
        </w:rPr>
        <w:tab/>
      </w:r>
      <w:r>
        <w:rPr>
          <w:noProof/>
        </w:rPr>
        <w:fldChar w:fldCharType="begin"/>
      </w:r>
      <w:r>
        <w:rPr>
          <w:noProof/>
        </w:rPr>
        <w:instrText xml:space="preserve"> PAGEREF _Toc74916217 \h </w:instrText>
      </w:r>
      <w:r>
        <w:rPr>
          <w:noProof/>
        </w:rPr>
      </w:r>
      <w:r>
        <w:rPr>
          <w:noProof/>
        </w:rPr>
        <w:fldChar w:fldCharType="separate"/>
      </w:r>
      <w:r w:rsidR="00A84D48">
        <w:rPr>
          <w:noProof/>
        </w:rPr>
        <w:t>87</w:t>
      </w:r>
      <w:r>
        <w:rPr>
          <w:noProof/>
        </w:rPr>
        <w:fldChar w:fldCharType="end"/>
      </w:r>
    </w:p>
    <w:p w14:paraId="477902E8" w14:textId="43AE9C75" w:rsidR="008144BE" w:rsidRDefault="008144BE">
      <w:pPr>
        <w:pStyle w:val="TOC5"/>
        <w:rPr>
          <w:rFonts w:asciiTheme="minorHAnsi" w:eastAsiaTheme="minorEastAsia" w:hAnsiTheme="minorHAnsi" w:cstheme="minorBidi"/>
          <w:noProof/>
          <w:kern w:val="0"/>
          <w:sz w:val="22"/>
          <w:szCs w:val="22"/>
        </w:rPr>
      </w:pPr>
      <w:r w:rsidRPr="0094186E">
        <w:rPr>
          <w:noProof/>
          <w:color w:val="000000"/>
        </w:rPr>
        <w:t>5.18  Revocation of accreditation—process</w:t>
      </w:r>
      <w:r>
        <w:rPr>
          <w:noProof/>
        </w:rPr>
        <w:tab/>
      </w:r>
      <w:r>
        <w:rPr>
          <w:noProof/>
        </w:rPr>
        <w:fldChar w:fldCharType="begin"/>
      </w:r>
      <w:r>
        <w:rPr>
          <w:noProof/>
        </w:rPr>
        <w:instrText xml:space="preserve"> PAGEREF _Toc74916218 \h </w:instrText>
      </w:r>
      <w:r>
        <w:rPr>
          <w:noProof/>
        </w:rPr>
      </w:r>
      <w:r>
        <w:rPr>
          <w:noProof/>
        </w:rPr>
        <w:fldChar w:fldCharType="separate"/>
      </w:r>
      <w:r w:rsidR="00A84D48">
        <w:rPr>
          <w:noProof/>
        </w:rPr>
        <w:t>89</w:t>
      </w:r>
      <w:r>
        <w:rPr>
          <w:noProof/>
        </w:rPr>
        <w:fldChar w:fldCharType="end"/>
      </w:r>
    </w:p>
    <w:p w14:paraId="08715A5F" w14:textId="675EC9E0" w:rsidR="008144BE" w:rsidRDefault="008144BE">
      <w:pPr>
        <w:pStyle w:val="TOC5"/>
        <w:rPr>
          <w:rFonts w:asciiTheme="minorHAnsi" w:eastAsiaTheme="minorEastAsia" w:hAnsiTheme="minorHAnsi" w:cstheme="minorBidi"/>
          <w:noProof/>
          <w:kern w:val="0"/>
          <w:sz w:val="22"/>
          <w:szCs w:val="22"/>
        </w:rPr>
      </w:pPr>
      <w:r>
        <w:rPr>
          <w:noProof/>
        </w:rPr>
        <w:t>5.19  Suspension of accreditation</w:t>
      </w:r>
      <w:r w:rsidRPr="0094186E">
        <w:rPr>
          <w:noProof/>
          <w:color w:val="000000"/>
        </w:rPr>
        <w:t>—duration</w:t>
      </w:r>
      <w:r>
        <w:rPr>
          <w:noProof/>
        </w:rPr>
        <w:tab/>
      </w:r>
      <w:r>
        <w:rPr>
          <w:noProof/>
        </w:rPr>
        <w:fldChar w:fldCharType="begin"/>
      </w:r>
      <w:r>
        <w:rPr>
          <w:noProof/>
        </w:rPr>
        <w:instrText xml:space="preserve"> PAGEREF _Toc74916219 \h </w:instrText>
      </w:r>
      <w:r>
        <w:rPr>
          <w:noProof/>
        </w:rPr>
      </w:r>
      <w:r>
        <w:rPr>
          <w:noProof/>
        </w:rPr>
        <w:fldChar w:fldCharType="separate"/>
      </w:r>
      <w:r w:rsidR="00A84D48">
        <w:rPr>
          <w:noProof/>
        </w:rPr>
        <w:t>89</w:t>
      </w:r>
      <w:r>
        <w:rPr>
          <w:noProof/>
        </w:rPr>
        <w:fldChar w:fldCharType="end"/>
      </w:r>
    </w:p>
    <w:p w14:paraId="7FA4AB0D" w14:textId="7A6B16BA" w:rsidR="008144BE" w:rsidRDefault="008144BE">
      <w:pPr>
        <w:pStyle w:val="TOC5"/>
        <w:rPr>
          <w:rFonts w:asciiTheme="minorHAnsi" w:eastAsiaTheme="minorEastAsia" w:hAnsiTheme="minorHAnsi" w:cstheme="minorBidi"/>
          <w:noProof/>
          <w:kern w:val="0"/>
          <w:sz w:val="22"/>
          <w:szCs w:val="22"/>
        </w:rPr>
      </w:pPr>
      <w:r w:rsidRPr="0094186E">
        <w:rPr>
          <w:noProof/>
          <w:color w:val="000000"/>
        </w:rPr>
        <w:t>5.20  General process for suspension of accreditation or extension of suspension</w:t>
      </w:r>
      <w:r>
        <w:rPr>
          <w:noProof/>
        </w:rPr>
        <w:tab/>
      </w:r>
      <w:r>
        <w:rPr>
          <w:noProof/>
        </w:rPr>
        <w:fldChar w:fldCharType="begin"/>
      </w:r>
      <w:r>
        <w:rPr>
          <w:noProof/>
        </w:rPr>
        <w:instrText xml:space="preserve"> PAGEREF _Toc74916220 \h </w:instrText>
      </w:r>
      <w:r>
        <w:rPr>
          <w:noProof/>
        </w:rPr>
      </w:r>
      <w:r>
        <w:rPr>
          <w:noProof/>
        </w:rPr>
        <w:fldChar w:fldCharType="separate"/>
      </w:r>
      <w:r w:rsidR="00A84D48">
        <w:rPr>
          <w:noProof/>
        </w:rPr>
        <w:t>90</w:t>
      </w:r>
      <w:r>
        <w:rPr>
          <w:noProof/>
        </w:rPr>
        <w:fldChar w:fldCharType="end"/>
      </w:r>
    </w:p>
    <w:p w14:paraId="6B4308EE" w14:textId="1F0002D1" w:rsidR="008144BE" w:rsidRDefault="008144BE">
      <w:pPr>
        <w:pStyle w:val="TOC5"/>
        <w:rPr>
          <w:rFonts w:asciiTheme="minorHAnsi" w:eastAsiaTheme="minorEastAsia" w:hAnsiTheme="minorHAnsi" w:cstheme="minorBidi"/>
          <w:noProof/>
          <w:kern w:val="0"/>
          <w:sz w:val="22"/>
          <w:szCs w:val="22"/>
        </w:rPr>
      </w:pPr>
      <w:r>
        <w:rPr>
          <w:noProof/>
        </w:rPr>
        <w:t>5.21  P</w:t>
      </w:r>
      <w:r w:rsidRPr="0094186E">
        <w:rPr>
          <w:noProof/>
          <w:color w:val="000000"/>
        </w:rPr>
        <w:t>rocess</w:t>
      </w:r>
      <w:r>
        <w:rPr>
          <w:noProof/>
        </w:rPr>
        <w:t xml:space="preserve"> for urgent suspensions or extensions</w:t>
      </w:r>
      <w:r>
        <w:rPr>
          <w:noProof/>
        </w:rPr>
        <w:tab/>
      </w:r>
      <w:r>
        <w:rPr>
          <w:noProof/>
        </w:rPr>
        <w:fldChar w:fldCharType="begin"/>
      </w:r>
      <w:r>
        <w:rPr>
          <w:noProof/>
        </w:rPr>
        <w:instrText xml:space="preserve"> PAGEREF _Toc74916221 \h </w:instrText>
      </w:r>
      <w:r>
        <w:rPr>
          <w:noProof/>
        </w:rPr>
      </w:r>
      <w:r>
        <w:rPr>
          <w:noProof/>
        </w:rPr>
        <w:fldChar w:fldCharType="separate"/>
      </w:r>
      <w:r w:rsidR="00A84D48">
        <w:rPr>
          <w:noProof/>
        </w:rPr>
        <w:t>90</w:t>
      </w:r>
      <w:r>
        <w:rPr>
          <w:noProof/>
        </w:rPr>
        <w:fldChar w:fldCharType="end"/>
      </w:r>
    </w:p>
    <w:p w14:paraId="05BA925E" w14:textId="5D24F81E" w:rsidR="008144BE" w:rsidRDefault="008144BE">
      <w:pPr>
        <w:pStyle w:val="TOC5"/>
        <w:rPr>
          <w:rFonts w:asciiTheme="minorHAnsi" w:eastAsiaTheme="minorEastAsia" w:hAnsiTheme="minorHAnsi" w:cstheme="minorBidi"/>
          <w:noProof/>
          <w:kern w:val="0"/>
          <w:sz w:val="22"/>
          <w:szCs w:val="22"/>
        </w:rPr>
      </w:pPr>
      <w:r>
        <w:rPr>
          <w:noProof/>
        </w:rPr>
        <w:t>5.22  When surrender, revocation or suspension takes effect</w:t>
      </w:r>
      <w:r>
        <w:rPr>
          <w:noProof/>
        </w:rPr>
        <w:tab/>
      </w:r>
      <w:r>
        <w:rPr>
          <w:noProof/>
        </w:rPr>
        <w:fldChar w:fldCharType="begin"/>
      </w:r>
      <w:r>
        <w:rPr>
          <w:noProof/>
        </w:rPr>
        <w:instrText xml:space="preserve"> PAGEREF _Toc74916222 \h </w:instrText>
      </w:r>
      <w:r>
        <w:rPr>
          <w:noProof/>
        </w:rPr>
      </w:r>
      <w:r>
        <w:rPr>
          <w:noProof/>
        </w:rPr>
        <w:fldChar w:fldCharType="separate"/>
      </w:r>
      <w:r w:rsidR="00A84D48">
        <w:rPr>
          <w:noProof/>
        </w:rPr>
        <w:t>91</w:t>
      </w:r>
      <w:r>
        <w:rPr>
          <w:noProof/>
        </w:rPr>
        <w:fldChar w:fldCharType="end"/>
      </w:r>
    </w:p>
    <w:p w14:paraId="618DD605" w14:textId="7B50F58D" w:rsidR="008144BE" w:rsidRDefault="008144BE">
      <w:pPr>
        <w:pStyle w:val="TOC5"/>
        <w:rPr>
          <w:rFonts w:asciiTheme="minorHAnsi" w:eastAsiaTheme="minorEastAsia" w:hAnsiTheme="minorHAnsi" w:cstheme="minorBidi"/>
          <w:noProof/>
          <w:kern w:val="0"/>
          <w:sz w:val="22"/>
          <w:szCs w:val="22"/>
        </w:rPr>
      </w:pPr>
      <w:r>
        <w:rPr>
          <w:noProof/>
        </w:rPr>
        <w:t>5.23  Consequences of surrender, suspension or revocation of accreditation</w:t>
      </w:r>
      <w:r>
        <w:rPr>
          <w:noProof/>
        </w:rPr>
        <w:tab/>
      </w:r>
      <w:r>
        <w:rPr>
          <w:noProof/>
        </w:rPr>
        <w:fldChar w:fldCharType="begin"/>
      </w:r>
      <w:r>
        <w:rPr>
          <w:noProof/>
        </w:rPr>
        <w:instrText xml:space="preserve"> PAGEREF _Toc74916223 \h </w:instrText>
      </w:r>
      <w:r>
        <w:rPr>
          <w:noProof/>
        </w:rPr>
      </w:r>
      <w:r>
        <w:rPr>
          <w:noProof/>
        </w:rPr>
        <w:fldChar w:fldCharType="separate"/>
      </w:r>
      <w:r w:rsidR="00A84D48">
        <w:rPr>
          <w:noProof/>
        </w:rPr>
        <w:t>91</w:t>
      </w:r>
      <w:r>
        <w:rPr>
          <w:noProof/>
        </w:rPr>
        <w:fldChar w:fldCharType="end"/>
      </w:r>
    </w:p>
    <w:p w14:paraId="19586EA9" w14:textId="6687A79F" w:rsidR="008144BE" w:rsidRDefault="008144BE">
      <w:pPr>
        <w:pStyle w:val="TOC3"/>
        <w:rPr>
          <w:rFonts w:asciiTheme="minorHAnsi" w:eastAsiaTheme="minorEastAsia" w:hAnsiTheme="minorHAnsi" w:cstheme="minorBidi"/>
          <w:b w:val="0"/>
          <w:noProof/>
          <w:kern w:val="0"/>
          <w:szCs w:val="22"/>
        </w:rPr>
      </w:pPr>
      <w:r>
        <w:rPr>
          <w:noProof/>
        </w:rPr>
        <w:t>Division 5.3—Rules relating to Register of Accredited Persons</w:t>
      </w:r>
      <w:r>
        <w:rPr>
          <w:noProof/>
        </w:rPr>
        <w:tab/>
      </w:r>
      <w:r>
        <w:rPr>
          <w:noProof/>
        </w:rPr>
        <w:fldChar w:fldCharType="begin"/>
      </w:r>
      <w:r>
        <w:rPr>
          <w:noProof/>
        </w:rPr>
        <w:instrText xml:space="preserve"> PAGEREF _Toc74916224 \h </w:instrText>
      </w:r>
      <w:r>
        <w:rPr>
          <w:noProof/>
        </w:rPr>
      </w:r>
      <w:r>
        <w:rPr>
          <w:noProof/>
        </w:rPr>
        <w:fldChar w:fldCharType="separate"/>
      </w:r>
      <w:r w:rsidR="00A84D48">
        <w:rPr>
          <w:noProof/>
        </w:rPr>
        <w:t>93</w:t>
      </w:r>
      <w:r>
        <w:rPr>
          <w:noProof/>
        </w:rPr>
        <w:fldChar w:fldCharType="end"/>
      </w:r>
    </w:p>
    <w:p w14:paraId="709A11FF" w14:textId="2E839D79" w:rsidR="008144BE" w:rsidRDefault="008144BE">
      <w:pPr>
        <w:pStyle w:val="TOC5"/>
        <w:rPr>
          <w:rFonts w:asciiTheme="minorHAnsi" w:eastAsiaTheme="minorEastAsia" w:hAnsiTheme="minorHAnsi" w:cstheme="minorBidi"/>
          <w:noProof/>
          <w:kern w:val="0"/>
          <w:sz w:val="22"/>
          <w:szCs w:val="22"/>
        </w:rPr>
      </w:pPr>
      <w:r>
        <w:rPr>
          <w:noProof/>
        </w:rPr>
        <w:t>5.24  Maintaining the Register of Accredited Persons</w:t>
      </w:r>
      <w:r>
        <w:rPr>
          <w:noProof/>
        </w:rPr>
        <w:tab/>
      </w:r>
      <w:r>
        <w:rPr>
          <w:noProof/>
        </w:rPr>
        <w:fldChar w:fldCharType="begin"/>
      </w:r>
      <w:r>
        <w:rPr>
          <w:noProof/>
        </w:rPr>
        <w:instrText xml:space="preserve"> PAGEREF _Toc74916225 \h </w:instrText>
      </w:r>
      <w:r>
        <w:rPr>
          <w:noProof/>
        </w:rPr>
      </w:r>
      <w:r>
        <w:rPr>
          <w:noProof/>
        </w:rPr>
        <w:fldChar w:fldCharType="separate"/>
      </w:r>
      <w:r w:rsidR="00A84D48">
        <w:rPr>
          <w:noProof/>
        </w:rPr>
        <w:t>93</w:t>
      </w:r>
      <w:r>
        <w:rPr>
          <w:noProof/>
        </w:rPr>
        <w:fldChar w:fldCharType="end"/>
      </w:r>
    </w:p>
    <w:p w14:paraId="61B16436" w14:textId="60446AEB" w:rsidR="008144BE" w:rsidRDefault="008144BE">
      <w:pPr>
        <w:pStyle w:val="TOC5"/>
        <w:rPr>
          <w:rFonts w:asciiTheme="minorHAnsi" w:eastAsiaTheme="minorEastAsia" w:hAnsiTheme="minorHAnsi" w:cstheme="minorBidi"/>
          <w:noProof/>
          <w:kern w:val="0"/>
          <w:sz w:val="22"/>
          <w:szCs w:val="22"/>
        </w:rPr>
      </w:pPr>
      <w:r>
        <w:rPr>
          <w:noProof/>
        </w:rPr>
        <w:t>5.25  Other information to be kept in association with Register of Accredited Persons</w:t>
      </w:r>
      <w:r>
        <w:rPr>
          <w:noProof/>
        </w:rPr>
        <w:tab/>
      </w:r>
      <w:r>
        <w:rPr>
          <w:noProof/>
        </w:rPr>
        <w:fldChar w:fldCharType="begin"/>
      </w:r>
      <w:r>
        <w:rPr>
          <w:noProof/>
        </w:rPr>
        <w:instrText xml:space="preserve"> PAGEREF _Toc74916226 \h </w:instrText>
      </w:r>
      <w:r>
        <w:rPr>
          <w:noProof/>
        </w:rPr>
      </w:r>
      <w:r>
        <w:rPr>
          <w:noProof/>
        </w:rPr>
        <w:fldChar w:fldCharType="separate"/>
      </w:r>
      <w:r w:rsidR="00A84D48">
        <w:rPr>
          <w:noProof/>
        </w:rPr>
        <w:t>94</w:t>
      </w:r>
      <w:r>
        <w:rPr>
          <w:noProof/>
        </w:rPr>
        <w:fldChar w:fldCharType="end"/>
      </w:r>
    </w:p>
    <w:p w14:paraId="6D5E6021" w14:textId="51235593" w:rsidR="008144BE" w:rsidRDefault="008144BE">
      <w:pPr>
        <w:pStyle w:val="TOC5"/>
        <w:rPr>
          <w:rFonts w:asciiTheme="minorHAnsi" w:eastAsiaTheme="minorEastAsia" w:hAnsiTheme="minorHAnsi" w:cstheme="minorBidi"/>
          <w:noProof/>
          <w:kern w:val="0"/>
          <w:sz w:val="22"/>
          <w:szCs w:val="22"/>
        </w:rPr>
      </w:pPr>
      <w:r>
        <w:rPr>
          <w:noProof/>
        </w:rPr>
        <w:t>5.26  Amendment and correction of entries in Register of Accredited Persons and database</w:t>
      </w:r>
      <w:r>
        <w:rPr>
          <w:noProof/>
        </w:rPr>
        <w:tab/>
      </w:r>
      <w:r>
        <w:rPr>
          <w:noProof/>
        </w:rPr>
        <w:fldChar w:fldCharType="begin"/>
      </w:r>
      <w:r>
        <w:rPr>
          <w:noProof/>
        </w:rPr>
        <w:instrText xml:space="preserve"> PAGEREF _Toc74916227 \h </w:instrText>
      </w:r>
      <w:r>
        <w:rPr>
          <w:noProof/>
        </w:rPr>
      </w:r>
      <w:r>
        <w:rPr>
          <w:noProof/>
        </w:rPr>
        <w:fldChar w:fldCharType="separate"/>
      </w:r>
      <w:r w:rsidR="00A84D48">
        <w:rPr>
          <w:noProof/>
        </w:rPr>
        <w:t>95</w:t>
      </w:r>
      <w:r>
        <w:rPr>
          <w:noProof/>
        </w:rPr>
        <w:fldChar w:fldCharType="end"/>
      </w:r>
    </w:p>
    <w:p w14:paraId="589ABD22" w14:textId="5AE887B6" w:rsidR="008144BE" w:rsidRDefault="008144BE">
      <w:pPr>
        <w:pStyle w:val="TOC5"/>
        <w:rPr>
          <w:rFonts w:asciiTheme="minorHAnsi" w:eastAsiaTheme="minorEastAsia" w:hAnsiTheme="minorHAnsi" w:cstheme="minorBidi"/>
          <w:noProof/>
          <w:kern w:val="0"/>
          <w:sz w:val="22"/>
          <w:szCs w:val="22"/>
        </w:rPr>
      </w:pPr>
      <w:r>
        <w:rPr>
          <w:noProof/>
        </w:rPr>
        <w:t>5.27  Publication or availability of specified information in the Register of Accredited Persons</w:t>
      </w:r>
      <w:r>
        <w:rPr>
          <w:noProof/>
        </w:rPr>
        <w:tab/>
      </w:r>
      <w:r>
        <w:rPr>
          <w:noProof/>
        </w:rPr>
        <w:fldChar w:fldCharType="begin"/>
      </w:r>
      <w:r>
        <w:rPr>
          <w:noProof/>
        </w:rPr>
        <w:instrText xml:space="preserve"> PAGEREF _Toc74916228 \h </w:instrText>
      </w:r>
      <w:r>
        <w:rPr>
          <w:noProof/>
        </w:rPr>
      </w:r>
      <w:r>
        <w:rPr>
          <w:noProof/>
        </w:rPr>
        <w:fldChar w:fldCharType="separate"/>
      </w:r>
      <w:r w:rsidR="00A84D48">
        <w:rPr>
          <w:noProof/>
        </w:rPr>
        <w:t>95</w:t>
      </w:r>
      <w:r>
        <w:rPr>
          <w:noProof/>
        </w:rPr>
        <w:fldChar w:fldCharType="end"/>
      </w:r>
    </w:p>
    <w:p w14:paraId="4356B7F7" w14:textId="325C8D86" w:rsidR="008144BE" w:rsidRDefault="008144BE">
      <w:pPr>
        <w:pStyle w:val="TOC5"/>
        <w:rPr>
          <w:rFonts w:asciiTheme="minorHAnsi" w:eastAsiaTheme="minorEastAsia" w:hAnsiTheme="minorHAnsi" w:cstheme="minorBidi"/>
          <w:noProof/>
          <w:kern w:val="0"/>
          <w:sz w:val="22"/>
          <w:szCs w:val="22"/>
        </w:rPr>
      </w:pPr>
      <w:r>
        <w:rPr>
          <w:noProof/>
        </w:rPr>
        <w:t>5.28  Making information available to the Commission, the Information Commissioner and the Data Recipient Accreditor</w:t>
      </w:r>
      <w:r>
        <w:rPr>
          <w:noProof/>
        </w:rPr>
        <w:tab/>
      </w:r>
      <w:r>
        <w:rPr>
          <w:noProof/>
        </w:rPr>
        <w:fldChar w:fldCharType="begin"/>
      </w:r>
      <w:r>
        <w:rPr>
          <w:noProof/>
        </w:rPr>
        <w:instrText xml:space="preserve"> PAGEREF _Toc74916229 \h </w:instrText>
      </w:r>
      <w:r>
        <w:rPr>
          <w:noProof/>
        </w:rPr>
      </w:r>
      <w:r>
        <w:rPr>
          <w:noProof/>
        </w:rPr>
        <w:fldChar w:fldCharType="separate"/>
      </w:r>
      <w:r w:rsidR="00A84D48">
        <w:rPr>
          <w:noProof/>
        </w:rPr>
        <w:t>95</w:t>
      </w:r>
      <w:r>
        <w:rPr>
          <w:noProof/>
        </w:rPr>
        <w:fldChar w:fldCharType="end"/>
      </w:r>
    </w:p>
    <w:p w14:paraId="70DC46CF" w14:textId="677495EC" w:rsidR="008144BE" w:rsidRDefault="008144BE">
      <w:pPr>
        <w:pStyle w:val="TOC5"/>
        <w:rPr>
          <w:rFonts w:asciiTheme="minorHAnsi" w:eastAsiaTheme="minorEastAsia" w:hAnsiTheme="minorHAnsi" w:cstheme="minorBidi"/>
          <w:noProof/>
          <w:kern w:val="0"/>
          <w:sz w:val="22"/>
          <w:szCs w:val="22"/>
        </w:rPr>
      </w:pPr>
      <w:r>
        <w:rPr>
          <w:noProof/>
        </w:rPr>
        <w:t>5.29  Publication of specified information by the Commission</w:t>
      </w:r>
      <w:r>
        <w:rPr>
          <w:noProof/>
        </w:rPr>
        <w:tab/>
      </w:r>
      <w:r>
        <w:rPr>
          <w:noProof/>
        </w:rPr>
        <w:fldChar w:fldCharType="begin"/>
      </w:r>
      <w:r>
        <w:rPr>
          <w:noProof/>
        </w:rPr>
        <w:instrText xml:space="preserve"> PAGEREF _Toc74916230 \h </w:instrText>
      </w:r>
      <w:r>
        <w:rPr>
          <w:noProof/>
        </w:rPr>
      </w:r>
      <w:r>
        <w:rPr>
          <w:noProof/>
        </w:rPr>
        <w:fldChar w:fldCharType="separate"/>
      </w:r>
      <w:r w:rsidR="00A84D48">
        <w:rPr>
          <w:noProof/>
        </w:rPr>
        <w:t>96</w:t>
      </w:r>
      <w:r>
        <w:rPr>
          <w:noProof/>
        </w:rPr>
        <w:fldChar w:fldCharType="end"/>
      </w:r>
    </w:p>
    <w:p w14:paraId="4D95695C" w14:textId="1F1AE5E2" w:rsidR="008144BE" w:rsidRDefault="008144BE">
      <w:pPr>
        <w:pStyle w:val="TOC5"/>
        <w:rPr>
          <w:rFonts w:asciiTheme="minorHAnsi" w:eastAsiaTheme="minorEastAsia" w:hAnsiTheme="minorHAnsi" w:cstheme="minorBidi"/>
          <w:noProof/>
          <w:kern w:val="0"/>
          <w:sz w:val="22"/>
          <w:szCs w:val="22"/>
        </w:rPr>
      </w:pPr>
      <w:r>
        <w:rPr>
          <w:noProof/>
        </w:rPr>
        <w:t>5.30  Other functions of Accreditation Registrar</w:t>
      </w:r>
      <w:r>
        <w:rPr>
          <w:noProof/>
        </w:rPr>
        <w:tab/>
      </w:r>
      <w:r>
        <w:rPr>
          <w:noProof/>
        </w:rPr>
        <w:fldChar w:fldCharType="begin"/>
      </w:r>
      <w:r>
        <w:rPr>
          <w:noProof/>
        </w:rPr>
        <w:instrText xml:space="preserve"> PAGEREF _Toc74916231 \h </w:instrText>
      </w:r>
      <w:r>
        <w:rPr>
          <w:noProof/>
        </w:rPr>
      </w:r>
      <w:r>
        <w:rPr>
          <w:noProof/>
        </w:rPr>
        <w:fldChar w:fldCharType="separate"/>
      </w:r>
      <w:r w:rsidR="00A84D48">
        <w:rPr>
          <w:noProof/>
        </w:rPr>
        <w:t>96</w:t>
      </w:r>
      <w:r>
        <w:rPr>
          <w:noProof/>
        </w:rPr>
        <w:fldChar w:fldCharType="end"/>
      </w:r>
    </w:p>
    <w:p w14:paraId="77F7D97E" w14:textId="07637233" w:rsidR="008144BE" w:rsidRDefault="008144BE">
      <w:pPr>
        <w:pStyle w:val="TOC5"/>
        <w:rPr>
          <w:rFonts w:asciiTheme="minorHAnsi" w:eastAsiaTheme="minorEastAsia" w:hAnsiTheme="minorHAnsi" w:cstheme="minorBidi"/>
          <w:noProof/>
          <w:kern w:val="0"/>
          <w:sz w:val="22"/>
          <w:szCs w:val="22"/>
        </w:rPr>
      </w:pPr>
      <w:r>
        <w:rPr>
          <w:noProof/>
        </w:rPr>
        <w:t>5.31  Obligation to comply with Accreditation Registrar’s request</w:t>
      </w:r>
      <w:r>
        <w:rPr>
          <w:noProof/>
        </w:rPr>
        <w:tab/>
      </w:r>
      <w:r>
        <w:rPr>
          <w:noProof/>
        </w:rPr>
        <w:fldChar w:fldCharType="begin"/>
      </w:r>
      <w:r>
        <w:rPr>
          <w:noProof/>
        </w:rPr>
        <w:instrText xml:space="preserve"> PAGEREF _Toc74916232 \h </w:instrText>
      </w:r>
      <w:r>
        <w:rPr>
          <w:noProof/>
        </w:rPr>
      </w:r>
      <w:r>
        <w:rPr>
          <w:noProof/>
        </w:rPr>
        <w:fldChar w:fldCharType="separate"/>
      </w:r>
      <w:r w:rsidR="00A84D48">
        <w:rPr>
          <w:noProof/>
        </w:rPr>
        <w:t>96</w:t>
      </w:r>
      <w:r>
        <w:rPr>
          <w:noProof/>
        </w:rPr>
        <w:fldChar w:fldCharType="end"/>
      </w:r>
    </w:p>
    <w:p w14:paraId="7A5FA643" w14:textId="3C9733D9" w:rsidR="008144BE" w:rsidRDefault="008144BE">
      <w:pPr>
        <w:pStyle w:val="TOC5"/>
        <w:rPr>
          <w:rFonts w:asciiTheme="minorHAnsi" w:eastAsiaTheme="minorEastAsia" w:hAnsiTheme="minorHAnsi" w:cstheme="minorBidi"/>
          <w:noProof/>
          <w:kern w:val="0"/>
          <w:sz w:val="22"/>
          <w:szCs w:val="22"/>
        </w:rPr>
      </w:pPr>
      <w:r>
        <w:rPr>
          <w:noProof/>
        </w:rPr>
        <w:t>5.32  Automated decision</w:t>
      </w:r>
      <w:r>
        <w:rPr>
          <w:noProof/>
        </w:rPr>
        <w:noBreakHyphen/>
        <w:t>making—Accreditation Registrar</w:t>
      </w:r>
      <w:r>
        <w:rPr>
          <w:noProof/>
        </w:rPr>
        <w:tab/>
      </w:r>
      <w:r>
        <w:rPr>
          <w:noProof/>
        </w:rPr>
        <w:fldChar w:fldCharType="begin"/>
      </w:r>
      <w:r>
        <w:rPr>
          <w:noProof/>
        </w:rPr>
        <w:instrText xml:space="preserve"> PAGEREF _Toc74916233 \h </w:instrText>
      </w:r>
      <w:r>
        <w:rPr>
          <w:noProof/>
        </w:rPr>
      </w:r>
      <w:r>
        <w:rPr>
          <w:noProof/>
        </w:rPr>
        <w:fldChar w:fldCharType="separate"/>
      </w:r>
      <w:r w:rsidR="00A84D48">
        <w:rPr>
          <w:noProof/>
        </w:rPr>
        <w:t>97</w:t>
      </w:r>
      <w:r>
        <w:rPr>
          <w:noProof/>
        </w:rPr>
        <w:fldChar w:fldCharType="end"/>
      </w:r>
    </w:p>
    <w:p w14:paraId="427A6355" w14:textId="74086AC7" w:rsidR="008144BE" w:rsidRDefault="008144BE">
      <w:pPr>
        <w:pStyle w:val="TOC5"/>
        <w:rPr>
          <w:rFonts w:asciiTheme="minorHAnsi" w:eastAsiaTheme="minorEastAsia" w:hAnsiTheme="minorHAnsi" w:cstheme="minorBidi"/>
          <w:noProof/>
          <w:kern w:val="0"/>
          <w:sz w:val="22"/>
          <w:szCs w:val="22"/>
        </w:rPr>
      </w:pPr>
      <w:r>
        <w:rPr>
          <w:noProof/>
        </w:rPr>
        <w:t>5.33  Temporary restriction on use of the Register in relation to data holder</w:t>
      </w:r>
      <w:r>
        <w:rPr>
          <w:noProof/>
        </w:rPr>
        <w:tab/>
      </w:r>
      <w:r>
        <w:rPr>
          <w:noProof/>
        </w:rPr>
        <w:fldChar w:fldCharType="begin"/>
      </w:r>
      <w:r>
        <w:rPr>
          <w:noProof/>
        </w:rPr>
        <w:instrText xml:space="preserve"> PAGEREF _Toc74916234 \h </w:instrText>
      </w:r>
      <w:r>
        <w:rPr>
          <w:noProof/>
        </w:rPr>
      </w:r>
      <w:r>
        <w:rPr>
          <w:noProof/>
        </w:rPr>
        <w:fldChar w:fldCharType="separate"/>
      </w:r>
      <w:r w:rsidR="00A84D48">
        <w:rPr>
          <w:noProof/>
        </w:rPr>
        <w:t>97</w:t>
      </w:r>
      <w:r>
        <w:rPr>
          <w:noProof/>
        </w:rPr>
        <w:fldChar w:fldCharType="end"/>
      </w:r>
    </w:p>
    <w:p w14:paraId="6C418B9E" w14:textId="3B3EA351" w:rsidR="008144BE" w:rsidRDefault="008144BE">
      <w:pPr>
        <w:pStyle w:val="TOC5"/>
        <w:rPr>
          <w:rFonts w:asciiTheme="minorHAnsi" w:eastAsiaTheme="minorEastAsia" w:hAnsiTheme="minorHAnsi" w:cstheme="minorBidi"/>
          <w:noProof/>
          <w:kern w:val="0"/>
          <w:sz w:val="22"/>
          <w:szCs w:val="22"/>
        </w:rPr>
      </w:pPr>
      <w:r>
        <w:rPr>
          <w:noProof/>
        </w:rPr>
        <w:t>5.34  Temporary direction to refrain from processing consumer data requests</w:t>
      </w:r>
      <w:r>
        <w:rPr>
          <w:noProof/>
        </w:rPr>
        <w:tab/>
      </w:r>
      <w:r>
        <w:rPr>
          <w:noProof/>
        </w:rPr>
        <w:fldChar w:fldCharType="begin"/>
      </w:r>
      <w:r>
        <w:rPr>
          <w:noProof/>
        </w:rPr>
        <w:instrText xml:space="preserve"> PAGEREF _Toc74916235 \h </w:instrText>
      </w:r>
      <w:r>
        <w:rPr>
          <w:noProof/>
        </w:rPr>
      </w:r>
      <w:r>
        <w:rPr>
          <w:noProof/>
        </w:rPr>
        <w:fldChar w:fldCharType="separate"/>
      </w:r>
      <w:r w:rsidR="00A84D48">
        <w:rPr>
          <w:noProof/>
        </w:rPr>
        <w:t>97</w:t>
      </w:r>
      <w:r>
        <w:rPr>
          <w:noProof/>
        </w:rPr>
        <w:fldChar w:fldCharType="end"/>
      </w:r>
    </w:p>
    <w:p w14:paraId="29962123" w14:textId="06697276" w:rsidR="008144BE" w:rsidRDefault="008144BE">
      <w:pPr>
        <w:pStyle w:val="TOC2"/>
        <w:rPr>
          <w:rFonts w:asciiTheme="minorHAnsi" w:eastAsiaTheme="minorEastAsia" w:hAnsiTheme="minorHAnsi" w:cstheme="minorBidi"/>
          <w:b w:val="0"/>
          <w:noProof/>
          <w:kern w:val="0"/>
          <w:sz w:val="22"/>
          <w:szCs w:val="22"/>
        </w:rPr>
      </w:pPr>
      <w:r>
        <w:rPr>
          <w:noProof/>
        </w:rPr>
        <w:t>Part 6—Rules relating to dispute resolution</w:t>
      </w:r>
      <w:r>
        <w:rPr>
          <w:noProof/>
        </w:rPr>
        <w:tab/>
      </w:r>
      <w:r>
        <w:rPr>
          <w:noProof/>
        </w:rPr>
        <w:fldChar w:fldCharType="begin"/>
      </w:r>
      <w:r>
        <w:rPr>
          <w:noProof/>
        </w:rPr>
        <w:instrText xml:space="preserve"> PAGEREF _Toc74916236 \h </w:instrText>
      </w:r>
      <w:r>
        <w:rPr>
          <w:noProof/>
        </w:rPr>
      </w:r>
      <w:r>
        <w:rPr>
          <w:noProof/>
        </w:rPr>
        <w:fldChar w:fldCharType="separate"/>
      </w:r>
      <w:r w:rsidR="00A84D48">
        <w:rPr>
          <w:noProof/>
        </w:rPr>
        <w:t>99</w:t>
      </w:r>
      <w:r>
        <w:rPr>
          <w:noProof/>
        </w:rPr>
        <w:fldChar w:fldCharType="end"/>
      </w:r>
    </w:p>
    <w:p w14:paraId="7F82158D" w14:textId="692B0C0D" w:rsidR="008144BE" w:rsidRDefault="008144BE">
      <w:pPr>
        <w:pStyle w:val="TOC5"/>
        <w:rPr>
          <w:rFonts w:asciiTheme="minorHAnsi" w:eastAsiaTheme="minorEastAsia" w:hAnsiTheme="minorHAnsi" w:cstheme="minorBidi"/>
          <w:noProof/>
          <w:kern w:val="0"/>
          <w:sz w:val="22"/>
          <w:szCs w:val="22"/>
        </w:rPr>
      </w:pPr>
      <w:r w:rsidRPr="0094186E">
        <w:rPr>
          <w:noProof/>
          <w:color w:val="000000" w:themeColor="text1"/>
        </w:rPr>
        <w:t>6.1  Requirement for data holders―internal dispute resolution</w:t>
      </w:r>
      <w:r>
        <w:rPr>
          <w:noProof/>
        </w:rPr>
        <w:tab/>
      </w:r>
      <w:r>
        <w:rPr>
          <w:noProof/>
        </w:rPr>
        <w:fldChar w:fldCharType="begin"/>
      </w:r>
      <w:r>
        <w:rPr>
          <w:noProof/>
        </w:rPr>
        <w:instrText xml:space="preserve"> PAGEREF _Toc74916237 \h </w:instrText>
      </w:r>
      <w:r>
        <w:rPr>
          <w:noProof/>
        </w:rPr>
      </w:r>
      <w:r>
        <w:rPr>
          <w:noProof/>
        </w:rPr>
        <w:fldChar w:fldCharType="separate"/>
      </w:r>
      <w:r w:rsidR="00A84D48">
        <w:rPr>
          <w:noProof/>
        </w:rPr>
        <w:t>99</w:t>
      </w:r>
      <w:r>
        <w:rPr>
          <w:noProof/>
        </w:rPr>
        <w:fldChar w:fldCharType="end"/>
      </w:r>
    </w:p>
    <w:p w14:paraId="3C81BA42" w14:textId="72A094E4" w:rsidR="008144BE" w:rsidRDefault="008144BE">
      <w:pPr>
        <w:pStyle w:val="TOC5"/>
        <w:rPr>
          <w:rFonts w:asciiTheme="minorHAnsi" w:eastAsiaTheme="minorEastAsia" w:hAnsiTheme="minorHAnsi" w:cstheme="minorBidi"/>
          <w:noProof/>
          <w:kern w:val="0"/>
          <w:sz w:val="22"/>
          <w:szCs w:val="22"/>
        </w:rPr>
      </w:pPr>
      <w:r>
        <w:rPr>
          <w:noProof/>
        </w:rPr>
        <w:t>6.2  Requirement for data holders―external dispute resolution</w:t>
      </w:r>
      <w:r>
        <w:rPr>
          <w:noProof/>
        </w:rPr>
        <w:tab/>
      </w:r>
      <w:r>
        <w:rPr>
          <w:noProof/>
        </w:rPr>
        <w:fldChar w:fldCharType="begin"/>
      </w:r>
      <w:r>
        <w:rPr>
          <w:noProof/>
        </w:rPr>
        <w:instrText xml:space="preserve"> PAGEREF _Toc74916238 \h </w:instrText>
      </w:r>
      <w:r>
        <w:rPr>
          <w:noProof/>
        </w:rPr>
      </w:r>
      <w:r>
        <w:rPr>
          <w:noProof/>
        </w:rPr>
        <w:fldChar w:fldCharType="separate"/>
      </w:r>
      <w:r w:rsidR="00A84D48">
        <w:rPr>
          <w:noProof/>
        </w:rPr>
        <w:t>99</w:t>
      </w:r>
      <w:r>
        <w:rPr>
          <w:noProof/>
        </w:rPr>
        <w:fldChar w:fldCharType="end"/>
      </w:r>
    </w:p>
    <w:p w14:paraId="57D34F84" w14:textId="75C54DD2" w:rsidR="008144BE" w:rsidRDefault="008144BE">
      <w:pPr>
        <w:pStyle w:val="TOC2"/>
        <w:rPr>
          <w:rFonts w:asciiTheme="minorHAnsi" w:eastAsiaTheme="minorEastAsia" w:hAnsiTheme="minorHAnsi" w:cstheme="minorBidi"/>
          <w:b w:val="0"/>
          <w:noProof/>
          <w:kern w:val="0"/>
          <w:sz w:val="22"/>
          <w:szCs w:val="22"/>
        </w:rPr>
      </w:pPr>
      <w:r>
        <w:rPr>
          <w:noProof/>
        </w:rPr>
        <w:t>Part 7—Rules relating to privacy safeguards</w:t>
      </w:r>
      <w:r>
        <w:rPr>
          <w:noProof/>
        </w:rPr>
        <w:tab/>
      </w:r>
      <w:r>
        <w:rPr>
          <w:noProof/>
        </w:rPr>
        <w:fldChar w:fldCharType="begin"/>
      </w:r>
      <w:r>
        <w:rPr>
          <w:noProof/>
        </w:rPr>
        <w:instrText xml:space="preserve"> PAGEREF _Toc74916239 \h </w:instrText>
      </w:r>
      <w:r>
        <w:rPr>
          <w:noProof/>
        </w:rPr>
      </w:r>
      <w:r>
        <w:rPr>
          <w:noProof/>
        </w:rPr>
        <w:fldChar w:fldCharType="separate"/>
      </w:r>
      <w:r w:rsidR="00A84D48">
        <w:rPr>
          <w:noProof/>
        </w:rPr>
        <w:t>100</w:t>
      </w:r>
      <w:r>
        <w:rPr>
          <w:noProof/>
        </w:rPr>
        <w:fldChar w:fldCharType="end"/>
      </w:r>
    </w:p>
    <w:p w14:paraId="609E571D" w14:textId="28E26035" w:rsidR="008144BE" w:rsidRDefault="008144BE">
      <w:pPr>
        <w:pStyle w:val="TOC3"/>
        <w:rPr>
          <w:rFonts w:asciiTheme="minorHAnsi" w:eastAsiaTheme="minorEastAsia" w:hAnsiTheme="minorHAnsi" w:cstheme="minorBidi"/>
          <w:b w:val="0"/>
          <w:noProof/>
          <w:kern w:val="0"/>
          <w:szCs w:val="22"/>
        </w:rPr>
      </w:pPr>
      <w:r>
        <w:rPr>
          <w:noProof/>
        </w:rPr>
        <w:t>Division 7.1—Preliminary</w:t>
      </w:r>
      <w:r>
        <w:rPr>
          <w:noProof/>
        </w:rPr>
        <w:tab/>
      </w:r>
      <w:r>
        <w:rPr>
          <w:noProof/>
        </w:rPr>
        <w:fldChar w:fldCharType="begin"/>
      </w:r>
      <w:r>
        <w:rPr>
          <w:noProof/>
        </w:rPr>
        <w:instrText xml:space="preserve"> PAGEREF _Toc74916240 \h </w:instrText>
      </w:r>
      <w:r>
        <w:rPr>
          <w:noProof/>
        </w:rPr>
      </w:r>
      <w:r>
        <w:rPr>
          <w:noProof/>
        </w:rPr>
        <w:fldChar w:fldCharType="separate"/>
      </w:r>
      <w:r w:rsidR="00A84D48">
        <w:rPr>
          <w:noProof/>
        </w:rPr>
        <w:t>100</w:t>
      </w:r>
      <w:r>
        <w:rPr>
          <w:noProof/>
        </w:rPr>
        <w:fldChar w:fldCharType="end"/>
      </w:r>
    </w:p>
    <w:p w14:paraId="3580DD69" w14:textId="6288A773" w:rsidR="008144BE" w:rsidRDefault="008144BE">
      <w:pPr>
        <w:pStyle w:val="TOC5"/>
        <w:rPr>
          <w:rFonts w:asciiTheme="minorHAnsi" w:eastAsiaTheme="minorEastAsia" w:hAnsiTheme="minorHAnsi" w:cstheme="minorBidi"/>
          <w:noProof/>
          <w:kern w:val="0"/>
          <w:sz w:val="22"/>
          <w:szCs w:val="22"/>
        </w:rPr>
      </w:pPr>
      <w:r>
        <w:rPr>
          <w:noProof/>
        </w:rPr>
        <w:t>7.1  Simplified outline of this Part</w:t>
      </w:r>
      <w:r>
        <w:rPr>
          <w:noProof/>
        </w:rPr>
        <w:tab/>
      </w:r>
      <w:r>
        <w:rPr>
          <w:noProof/>
        </w:rPr>
        <w:fldChar w:fldCharType="begin"/>
      </w:r>
      <w:r>
        <w:rPr>
          <w:noProof/>
        </w:rPr>
        <w:instrText xml:space="preserve"> PAGEREF _Toc74916241 \h </w:instrText>
      </w:r>
      <w:r>
        <w:rPr>
          <w:noProof/>
        </w:rPr>
      </w:r>
      <w:r>
        <w:rPr>
          <w:noProof/>
        </w:rPr>
        <w:fldChar w:fldCharType="separate"/>
      </w:r>
      <w:r w:rsidR="00A84D48">
        <w:rPr>
          <w:noProof/>
        </w:rPr>
        <w:t>100</w:t>
      </w:r>
      <w:r>
        <w:rPr>
          <w:noProof/>
        </w:rPr>
        <w:fldChar w:fldCharType="end"/>
      </w:r>
    </w:p>
    <w:p w14:paraId="2BBAD1DF" w14:textId="47F1061C" w:rsidR="008144BE" w:rsidRDefault="008144BE">
      <w:pPr>
        <w:pStyle w:val="TOC3"/>
        <w:rPr>
          <w:rFonts w:asciiTheme="minorHAnsi" w:eastAsiaTheme="minorEastAsia" w:hAnsiTheme="minorHAnsi" w:cstheme="minorBidi"/>
          <w:b w:val="0"/>
          <w:noProof/>
          <w:kern w:val="0"/>
          <w:szCs w:val="22"/>
        </w:rPr>
      </w:pPr>
      <w:r>
        <w:rPr>
          <w:noProof/>
        </w:rPr>
        <w:t>Division 7.2—Rules relating to privacy safeguards</w:t>
      </w:r>
      <w:r>
        <w:rPr>
          <w:noProof/>
        </w:rPr>
        <w:tab/>
      </w:r>
      <w:r>
        <w:rPr>
          <w:noProof/>
        </w:rPr>
        <w:fldChar w:fldCharType="begin"/>
      </w:r>
      <w:r>
        <w:rPr>
          <w:noProof/>
        </w:rPr>
        <w:instrText xml:space="preserve"> PAGEREF _Toc74916242 \h </w:instrText>
      </w:r>
      <w:r>
        <w:rPr>
          <w:noProof/>
        </w:rPr>
      </w:r>
      <w:r>
        <w:rPr>
          <w:noProof/>
        </w:rPr>
        <w:fldChar w:fldCharType="separate"/>
      </w:r>
      <w:r w:rsidR="00A84D48">
        <w:rPr>
          <w:noProof/>
        </w:rPr>
        <w:t>101</w:t>
      </w:r>
      <w:r>
        <w:rPr>
          <w:noProof/>
        </w:rPr>
        <w:fldChar w:fldCharType="end"/>
      </w:r>
    </w:p>
    <w:p w14:paraId="391231DA" w14:textId="612AE5D1" w:rsidR="008144BE" w:rsidRDefault="008144BE">
      <w:pPr>
        <w:pStyle w:val="TOC4"/>
        <w:rPr>
          <w:rFonts w:asciiTheme="minorHAnsi" w:eastAsiaTheme="minorEastAsia" w:hAnsiTheme="minorHAnsi" w:cstheme="minorBidi"/>
          <w:b w:val="0"/>
          <w:noProof/>
          <w:kern w:val="0"/>
          <w:sz w:val="22"/>
          <w:szCs w:val="22"/>
        </w:rPr>
      </w:pPr>
      <w:r>
        <w:rPr>
          <w:noProof/>
        </w:rPr>
        <w:t>Subdivision 7.2.1—Rules relating to consideration of CDR data privacy</w:t>
      </w:r>
      <w:r>
        <w:rPr>
          <w:noProof/>
        </w:rPr>
        <w:tab/>
      </w:r>
      <w:r>
        <w:rPr>
          <w:noProof/>
        </w:rPr>
        <w:fldChar w:fldCharType="begin"/>
      </w:r>
      <w:r>
        <w:rPr>
          <w:noProof/>
        </w:rPr>
        <w:instrText xml:space="preserve"> PAGEREF _Toc74916243 \h </w:instrText>
      </w:r>
      <w:r>
        <w:rPr>
          <w:noProof/>
        </w:rPr>
      </w:r>
      <w:r>
        <w:rPr>
          <w:noProof/>
        </w:rPr>
        <w:fldChar w:fldCharType="separate"/>
      </w:r>
      <w:r w:rsidR="00A84D48">
        <w:rPr>
          <w:noProof/>
        </w:rPr>
        <w:t>101</w:t>
      </w:r>
      <w:r>
        <w:rPr>
          <w:noProof/>
        </w:rPr>
        <w:fldChar w:fldCharType="end"/>
      </w:r>
    </w:p>
    <w:p w14:paraId="0A0F49DF" w14:textId="5E9AC038" w:rsidR="008144BE" w:rsidRDefault="008144BE">
      <w:pPr>
        <w:pStyle w:val="TOC5"/>
        <w:rPr>
          <w:rFonts w:asciiTheme="minorHAnsi" w:eastAsiaTheme="minorEastAsia" w:hAnsiTheme="minorHAnsi" w:cstheme="minorBidi"/>
          <w:noProof/>
          <w:kern w:val="0"/>
          <w:sz w:val="22"/>
          <w:szCs w:val="22"/>
        </w:rPr>
      </w:pPr>
      <w:r>
        <w:rPr>
          <w:noProof/>
        </w:rPr>
        <w:t>7.2  Rule relating to privacy safeguard 1—open and transparent management of CDR data</w:t>
      </w:r>
      <w:r>
        <w:rPr>
          <w:noProof/>
        </w:rPr>
        <w:tab/>
      </w:r>
      <w:r>
        <w:rPr>
          <w:noProof/>
        </w:rPr>
        <w:fldChar w:fldCharType="begin"/>
      </w:r>
      <w:r>
        <w:rPr>
          <w:noProof/>
        </w:rPr>
        <w:instrText xml:space="preserve"> PAGEREF _Toc74916244 \h </w:instrText>
      </w:r>
      <w:r>
        <w:rPr>
          <w:noProof/>
        </w:rPr>
      </w:r>
      <w:r>
        <w:rPr>
          <w:noProof/>
        </w:rPr>
        <w:fldChar w:fldCharType="separate"/>
      </w:r>
      <w:r w:rsidR="00A84D48">
        <w:rPr>
          <w:noProof/>
        </w:rPr>
        <w:t>101</w:t>
      </w:r>
      <w:r>
        <w:rPr>
          <w:noProof/>
        </w:rPr>
        <w:fldChar w:fldCharType="end"/>
      </w:r>
    </w:p>
    <w:p w14:paraId="0791A30B" w14:textId="63BE1A86" w:rsidR="008144BE" w:rsidRDefault="008144BE">
      <w:pPr>
        <w:pStyle w:val="TOC5"/>
        <w:rPr>
          <w:rFonts w:asciiTheme="minorHAnsi" w:eastAsiaTheme="minorEastAsia" w:hAnsiTheme="minorHAnsi" w:cstheme="minorBidi"/>
          <w:noProof/>
          <w:kern w:val="0"/>
          <w:sz w:val="22"/>
          <w:szCs w:val="22"/>
        </w:rPr>
      </w:pPr>
      <w:r>
        <w:rPr>
          <w:noProof/>
        </w:rPr>
        <w:t>7.3  Rule relating to privacy safeguard 2—anonymity and pseudonymity</w:t>
      </w:r>
      <w:r>
        <w:rPr>
          <w:noProof/>
        </w:rPr>
        <w:tab/>
      </w:r>
      <w:r>
        <w:rPr>
          <w:noProof/>
        </w:rPr>
        <w:fldChar w:fldCharType="begin"/>
      </w:r>
      <w:r>
        <w:rPr>
          <w:noProof/>
        </w:rPr>
        <w:instrText xml:space="preserve"> PAGEREF _Toc74916245 \h </w:instrText>
      </w:r>
      <w:r>
        <w:rPr>
          <w:noProof/>
        </w:rPr>
      </w:r>
      <w:r>
        <w:rPr>
          <w:noProof/>
        </w:rPr>
        <w:fldChar w:fldCharType="separate"/>
      </w:r>
      <w:r w:rsidR="00A84D48">
        <w:rPr>
          <w:noProof/>
        </w:rPr>
        <w:t>103</w:t>
      </w:r>
      <w:r>
        <w:rPr>
          <w:noProof/>
        </w:rPr>
        <w:fldChar w:fldCharType="end"/>
      </w:r>
    </w:p>
    <w:p w14:paraId="792884DB" w14:textId="6C383972" w:rsidR="008144BE" w:rsidRDefault="008144BE">
      <w:pPr>
        <w:pStyle w:val="TOC5"/>
        <w:rPr>
          <w:rFonts w:asciiTheme="minorHAnsi" w:eastAsiaTheme="minorEastAsia" w:hAnsiTheme="minorHAnsi" w:cstheme="minorBidi"/>
          <w:noProof/>
          <w:kern w:val="0"/>
          <w:sz w:val="22"/>
          <w:szCs w:val="22"/>
        </w:rPr>
      </w:pPr>
      <w:r w:rsidRPr="00BC78CF">
        <w:rPr>
          <w:noProof/>
          <w:color w:val="FF0000"/>
        </w:rPr>
        <w:t>7.3A  Rule relating to privacy safeguard 4—destruction of unsolicited data—CDR representative</w:t>
      </w:r>
      <w:r>
        <w:rPr>
          <w:noProof/>
        </w:rPr>
        <w:tab/>
      </w:r>
      <w:r>
        <w:rPr>
          <w:noProof/>
        </w:rPr>
        <w:fldChar w:fldCharType="begin"/>
      </w:r>
      <w:r>
        <w:rPr>
          <w:noProof/>
        </w:rPr>
        <w:instrText xml:space="preserve"> PAGEREF _Toc74916246 \h </w:instrText>
      </w:r>
      <w:r>
        <w:rPr>
          <w:noProof/>
        </w:rPr>
      </w:r>
      <w:r>
        <w:rPr>
          <w:noProof/>
        </w:rPr>
        <w:fldChar w:fldCharType="separate"/>
      </w:r>
      <w:r w:rsidR="00A84D48">
        <w:rPr>
          <w:noProof/>
        </w:rPr>
        <w:t>104</w:t>
      </w:r>
      <w:r>
        <w:rPr>
          <w:noProof/>
        </w:rPr>
        <w:fldChar w:fldCharType="end"/>
      </w:r>
    </w:p>
    <w:p w14:paraId="227DB7AD" w14:textId="6D4762B2" w:rsidR="008144BE" w:rsidRDefault="008144BE">
      <w:pPr>
        <w:pStyle w:val="TOC4"/>
        <w:rPr>
          <w:rFonts w:asciiTheme="minorHAnsi" w:eastAsiaTheme="minorEastAsia" w:hAnsiTheme="minorHAnsi" w:cstheme="minorBidi"/>
          <w:b w:val="0"/>
          <w:noProof/>
          <w:kern w:val="0"/>
          <w:sz w:val="22"/>
          <w:szCs w:val="22"/>
        </w:rPr>
      </w:pPr>
      <w:r>
        <w:rPr>
          <w:noProof/>
        </w:rPr>
        <w:t>Subdivision 7.2.2—Rules relating to collecting CDR data</w:t>
      </w:r>
      <w:r>
        <w:rPr>
          <w:noProof/>
        </w:rPr>
        <w:tab/>
      </w:r>
      <w:r>
        <w:rPr>
          <w:noProof/>
        </w:rPr>
        <w:fldChar w:fldCharType="begin"/>
      </w:r>
      <w:r>
        <w:rPr>
          <w:noProof/>
        </w:rPr>
        <w:instrText xml:space="preserve"> PAGEREF _Toc74916247 \h </w:instrText>
      </w:r>
      <w:r>
        <w:rPr>
          <w:noProof/>
        </w:rPr>
      </w:r>
      <w:r>
        <w:rPr>
          <w:noProof/>
        </w:rPr>
        <w:fldChar w:fldCharType="separate"/>
      </w:r>
      <w:r w:rsidR="00A84D48">
        <w:rPr>
          <w:noProof/>
        </w:rPr>
        <w:t>105</w:t>
      </w:r>
      <w:r>
        <w:rPr>
          <w:noProof/>
        </w:rPr>
        <w:fldChar w:fldCharType="end"/>
      </w:r>
    </w:p>
    <w:p w14:paraId="4BFC33E6" w14:textId="7769484A" w:rsidR="008144BE" w:rsidRDefault="008144BE">
      <w:pPr>
        <w:pStyle w:val="TOC5"/>
        <w:rPr>
          <w:rFonts w:asciiTheme="minorHAnsi" w:eastAsiaTheme="minorEastAsia" w:hAnsiTheme="minorHAnsi" w:cstheme="minorBidi"/>
          <w:noProof/>
          <w:kern w:val="0"/>
          <w:sz w:val="22"/>
          <w:szCs w:val="22"/>
        </w:rPr>
      </w:pPr>
      <w:r>
        <w:rPr>
          <w:noProof/>
        </w:rPr>
        <w:t>7.4  Rule relating to privacy safeguard 5—notifying of the collection of CDR data</w:t>
      </w:r>
      <w:r>
        <w:rPr>
          <w:noProof/>
        </w:rPr>
        <w:tab/>
      </w:r>
      <w:r>
        <w:rPr>
          <w:noProof/>
        </w:rPr>
        <w:fldChar w:fldCharType="begin"/>
      </w:r>
      <w:r>
        <w:rPr>
          <w:noProof/>
        </w:rPr>
        <w:instrText xml:space="preserve"> PAGEREF _Toc74916248 \h </w:instrText>
      </w:r>
      <w:r>
        <w:rPr>
          <w:noProof/>
        </w:rPr>
      </w:r>
      <w:r>
        <w:rPr>
          <w:noProof/>
        </w:rPr>
        <w:fldChar w:fldCharType="separate"/>
      </w:r>
      <w:r w:rsidR="00A84D48">
        <w:rPr>
          <w:noProof/>
        </w:rPr>
        <w:t>105</w:t>
      </w:r>
      <w:r>
        <w:rPr>
          <w:noProof/>
        </w:rPr>
        <w:fldChar w:fldCharType="end"/>
      </w:r>
    </w:p>
    <w:p w14:paraId="255FE668" w14:textId="3AAA19B4" w:rsidR="008144BE" w:rsidRDefault="008144BE">
      <w:pPr>
        <w:pStyle w:val="TOC4"/>
        <w:rPr>
          <w:rFonts w:asciiTheme="minorHAnsi" w:eastAsiaTheme="minorEastAsia" w:hAnsiTheme="minorHAnsi" w:cstheme="minorBidi"/>
          <w:b w:val="0"/>
          <w:noProof/>
          <w:kern w:val="0"/>
          <w:sz w:val="22"/>
          <w:szCs w:val="22"/>
        </w:rPr>
      </w:pPr>
      <w:r>
        <w:rPr>
          <w:noProof/>
        </w:rPr>
        <w:t>Subdivision 7.2.3—Rules relating to dealing with CDR data</w:t>
      </w:r>
      <w:r>
        <w:rPr>
          <w:noProof/>
        </w:rPr>
        <w:tab/>
      </w:r>
      <w:r>
        <w:rPr>
          <w:noProof/>
        </w:rPr>
        <w:fldChar w:fldCharType="begin"/>
      </w:r>
      <w:r>
        <w:rPr>
          <w:noProof/>
        </w:rPr>
        <w:instrText xml:space="preserve"> PAGEREF _Toc74916249 \h </w:instrText>
      </w:r>
      <w:r>
        <w:rPr>
          <w:noProof/>
        </w:rPr>
      </w:r>
      <w:r>
        <w:rPr>
          <w:noProof/>
        </w:rPr>
        <w:fldChar w:fldCharType="separate"/>
      </w:r>
      <w:r w:rsidR="00A84D48">
        <w:rPr>
          <w:noProof/>
        </w:rPr>
        <w:t>106</w:t>
      </w:r>
      <w:r>
        <w:rPr>
          <w:noProof/>
        </w:rPr>
        <w:fldChar w:fldCharType="end"/>
      </w:r>
    </w:p>
    <w:p w14:paraId="6B16F42D" w14:textId="29AEB5F7" w:rsidR="008144BE" w:rsidRDefault="008144BE">
      <w:pPr>
        <w:pStyle w:val="TOC5"/>
        <w:rPr>
          <w:rFonts w:asciiTheme="minorHAnsi" w:eastAsiaTheme="minorEastAsia" w:hAnsiTheme="minorHAnsi" w:cstheme="minorBidi"/>
          <w:noProof/>
          <w:kern w:val="0"/>
          <w:sz w:val="22"/>
          <w:szCs w:val="22"/>
        </w:rPr>
      </w:pPr>
      <w:r w:rsidRPr="0094186E">
        <w:rPr>
          <w:noProof/>
          <w:color w:val="000000" w:themeColor="text1"/>
        </w:rPr>
        <w:t xml:space="preserve">7.5  Meaning of </w:t>
      </w:r>
      <w:r w:rsidRPr="0094186E">
        <w:rPr>
          <w:i/>
          <w:noProof/>
          <w:color w:val="000000" w:themeColor="text1"/>
        </w:rPr>
        <w:t xml:space="preserve">permitted use or </w:t>
      </w:r>
      <w:r w:rsidRPr="0094186E">
        <w:rPr>
          <w:i/>
          <w:noProof/>
        </w:rPr>
        <w:t xml:space="preserve">disclosure </w:t>
      </w:r>
      <w:r>
        <w:rPr>
          <w:noProof/>
        </w:rPr>
        <w:t>and</w:t>
      </w:r>
      <w:r w:rsidRPr="0094186E">
        <w:rPr>
          <w:noProof/>
        </w:rPr>
        <w:t xml:space="preserve"> </w:t>
      </w:r>
      <w:r w:rsidRPr="0094186E">
        <w:rPr>
          <w:i/>
          <w:noProof/>
        </w:rPr>
        <w:t>relates to direct marketing</w:t>
      </w:r>
      <w:r>
        <w:rPr>
          <w:noProof/>
        </w:rPr>
        <w:tab/>
      </w:r>
      <w:r>
        <w:rPr>
          <w:noProof/>
        </w:rPr>
        <w:fldChar w:fldCharType="begin"/>
      </w:r>
      <w:r>
        <w:rPr>
          <w:noProof/>
        </w:rPr>
        <w:instrText xml:space="preserve"> PAGEREF _Toc74916250 \h </w:instrText>
      </w:r>
      <w:r>
        <w:rPr>
          <w:noProof/>
        </w:rPr>
      </w:r>
      <w:r>
        <w:rPr>
          <w:noProof/>
        </w:rPr>
        <w:fldChar w:fldCharType="separate"/>
      </w:r>
      <w:r w:rsidR="00A84D48">
        <w:rPr>
          <w:noProof/>
        </w:rPr>
        <w:t>106</w:t>
      </w:r>
      <w:r>
        <w:rPr>
          <w:noProof/>
        </w:rPr>
        <w:fldChar w:fldCharType="end"/>
      </w:r>
    </w:p>
    <w:p w14:paraId="6AA25EBA" w14:textId="219392F7" w:rsidR="008144BE" w:rsidRDefault="008144BE">
      <w:pPr>
        <w:pStyle w:val="TOC5"/>
        <w:rPr>
          <w:rFonts w:asciiTheme="minorHAnsi" w:eastAsiaTheme="minorEastAsia" w:hAnsiTheme="minorHAnsi" w:cstheme="minorBidi"/>
          <w:noProof/>
          <w:kern w:val="0"/>
          <w:sz w:val="22"/>
          <w:szCs w:val="22"/>
        </w:rPr>
      </w:pPr>
      <w:r>
        <w:rPr>
          <w:noProof/>
        </w:rPr>
        <w:t>7.5A  Limitation to disclosures of CDR data under a disclosure consent</w:t>
      </w:r>
      <w:r>
        <w:rPr>
          <w:noProof/>
        </w:rPr>
        <w:tab/>
      </w:r>
      <w:r>
        <w:rPr>
          <w:noProof/>
        </w:rPr>
        <w:fldChar w:fldCharType="begin"/>
      </w:r>
      <w:r>
        <w:rPr>
          <w:noProof/>
        </w:rPr>
        <w:instrText xml:space="preserve"> PAGEREF _Toc74916251 \h </w:instrText>
      </w:r>
      <w:r>
        <w:rPr>
          <w:noProof/>
        </w:rPr>
      </w:r>
      <w:r>
        <w:rPr>
          <w:noProof/>
        </w:rPr>
        <w:fldChar w:fldCharType="separate"/>
      </w:r>
      <w:r w:rsidR="00A84D48">
        <w:rPr>
          <w:noProof/>
        </w:rPr>
        <w:t>108</w:t>
      </w:r>
      <w:r>
        <w:rPr>
          <w:noProof/>
        </w:rPr>
        <w:fldChar w:fldCharType="end"/>
      </w:r>
    </w:p>
    <w:p w14:paraId="7218F37D" w14:textId="1F87CB4B" w:rsidR="008144BE" w:rsidRDefault="008144BE">
      <w:pPr>
        <w:pStyle w:val="TOC5"/>
        <w:rPr>
          <w:rFonts w:asciiTheme="minorHAnsi" w:eastAsiaTheme="minorEastAsia" w:hAnsiTheme="minorHAnsi" w:cstheme="minorBidi"/>
          <w:noProof/>
          <w:kern w:val="0"/>
          <w:sz w:val="22"/>
          <w:szCs w:val="22"/>
        </w:rPr>
      </w:pPr>
      <w:r>
        <w:rPr>
          <w:noProof/>
        </w:rPr>
        <w:t>7.6  Use or disclosure of CDR data by accredited data recipients</w:t>
      </w:r>
      <w:r w:rsidRPr="0094186E">
        <w:rPr>
          <w:noProof/>
          <w:color w:val="000000" w:themeColor="text1"/>
        </w:rPr>
        <w:t>,</w:t>
      </w:r>
      <w:r>
        <w:rPr>
          <w:noProof/>
        </w:rPr>
        <w:t xml:space="preserve"> outsourced service providers </w:t>
      </w:r>
      <w:r w:rsidRPr="0094186E">
        <w:rPr>
          <w:noProof/>
          <w:color w:val="000000" w:themeColor="text1"/>
        </w:rPr>
        <w:t>and others</w:t>
      </w:r>
      <w:r>
        <w:rPr>
          <w:noProof/>
        </w:rPr>
        <w:tab/>
      </w:r>
      <w:r>
        <w:rPr>
          <w:noProof/>
        </w:rPr>
        <w:fldChar w:fldCharType="begin"/>
      </w:r>
      <w:r>
        <w:rPr>
          <w:noProof/>
        </w:rPr>
        <w:instrText xml:space="preserve"> PAGEREF _Toc74916252 \h </w:instrText>
      </w:r>
      <w:r>
        <w:rPr>
          <w:noProof/>
        </w:rPr>
      </w:r>
      <w:r>
        <w:rPr>
          <w:noProof/>
        </w:rPr>
        <w:fldChar w:fldCharType="separate"/>
      </w:r>
      <w:r w:rsidR="00A84D48">
        <w:rPr>
          <w:noProof/>
        </w:rPr>
        <w:t>108</w:t>
      </w:r>
      <w:r>
        <w:rPr>
          <w:noProof/>
        </w:rPr>
        <w:fldChar w:fldCharType="end"/>
      </w:r>
    </w:p>
    <w:p w14:paraId="4241EE28" w14:textId="7981EC28" w:rsidR="008144BE" w:rsidRDefault="008144BE">
      <w:pPr>
        <w:pStyle w:val="TOC5"/>
        <w:rPr>
          <w:rFonts w:asciiTheme="minorHAnsi" w:eastAsiaTheme="minorEastAsia" w:hAnsiTheme="minorHAnsi" w:cstheme="minorBidi"/>
          <w:noProof/>
          <w:kern w:val="0"/>
          <w:sz w:val="22"/>
          <w:szCs w:val="22"/>
        </w:rPr>
      </w:pPr>
      <w:r>
        <w:rPr>
          <w:noProof/>
        </w:rPr>
        <w:t>7.7  Rule relating to privacy safeguard 6—use or disclosure of CDR data by accredited data recipients</w:t>
      </w:r>
      <w:r>
        <w:rPr>
          <w:noProof/>
        </w:rPr>
        <w:tab/>
      </w:r>
      <w:r>
        <w:rPr>
          <w:noProof/>
        </w:rPr>
        <w:fldChar w:fldCharType="begin"/>
      </w:r>
      <w:r>
        <w:rPr>
          <w:noProof/>
        </w:rPr>
        <w:instrText xml:space="preserve"> PAGEREF _Toc74916253 \h </w:instrText>
      </w:r>
      <w:r>
        <w:rPr>
          <w:noProof/>
        </w:rPr>
      </w:r>
      <w:r>
        <w:rPr>
          <w:noProof/>
        </w:rPr>
        <w:fldChar w:fldCharType="separate"/>
      </w:r>
      <w:r w:rsidR="00A84D48">
        <w:rPr>
          <w:noProof/>
        </w:rPr>
        <w:t>109</w:t>
      </w:r>
      <w:r>
        <w:rPr>
          <w:noProof/>
        </w:rPr>
        <w:fldChar w:fldCharType="end"/>
      </w:r>
    </w:p>
    <w:p w14:paraId="765A5629" w14:textId="2A911E25" w:rsidR="008144BE" w:rsidRDefault="008144BE">
      <w:pPr>
        <w:pStyle w:val="TOC5"/>
        <w:rPr>
          <w:rFonts w:asciiTheme="minorHAnsi" w:eastAsiaTheme="minorEastAsia" w:hAnsiTheme="minorHAnsi" w:cstheme="minorBidi"/>
          <w:noProof/>
          <w:kern w:val="0"/>
          <w:sz w:val="22"/>
          <w:szCs w:val="22"/>
        </w:rPr>
      </w:pPr>
      <w:r>
        <w:rPr>
          <w:noProof/>
        </w:rPr>
        <w:t>7.8  Rule relating to privacy safeguard 7—use or disclosure of CDR data for direct marketing by accredited data recipients</w:t>
      </w:r>
      <w:r>
        <w:rPr>
          <w:noProof/>
        </w:rPr>
        <w:tab/>
      </w:r>
      <w:r>
        <w:rPr>
          <w:noProof/>
        </w:rPr>
        <w:fldChar w:fldCharType="begin"/>
      </w:r>
      <w:r>
        <w:rPr>
          <w:noProof/>
        </w:rPr>
        <w:instrText xml:space="preserve"> PAGEREF _Toc74916254 \h </w:instrText>
      </w:r>
      <w:r>
        <w:rPr>
          <w:noProof/>
        </w:rPr>
      </w:r>
      <w:r>
        <w:rPr>
          <w:noProof/>
        </w:rPr>
        <w:fldChar w:fldCharType="separate"/>
      </w:r>
      <w:r w:rsidR="00A84D48">
        <w:rPr>
          <w:noProof/>
        </w:rPr>
        <w:t>109</w:t>
      </w:r>
      <w:r>
        <w:rPr>
          <w:noProof/>
        </w:rPr>
        <w:fldChar w:fldCharType="end"/>
      </w:r>
    </w:p>
    <w:p w14:paraId="02A856BD" w14:textId="1985213E" w:rsidR="008144BE" w:rsidRDefault="008144BE">
      <w:pPr>
        <w:pStyle w:val="TOC5"/>
        <w:rPr>
          <w:rFonts w:asciiTheme="minorHAnsi" w:eastAsiaTheme="minorEastAsia" w:hAnsiTheme="minorHAnsi" w:cstheme="minorBidi"/>
          <w:noProof/>
          <w:kern w:val="0"/>
          <w:sz w:val="22"/>
          <w:szCs w:val="22"/>
        </w:rPr>
      </w:pPr>
      <w:r>
        <w:rPr>
          <w:noProof/>
        </w:rPr>
        <w:t>7.9  Rule relating to privacy safeguard 10—notifying of the disclosure of CDR data</w:t>
      </w:r>
      <w:r>
        <w:rPr>
          <w:noProof/>
        </w:rPr>
        <w:tab/>
      </w:r>
      <w:r>
        <w:rPr>
          <w:noProof/>
        </w:rPr>
        <w:fldChar w:fldCharType="begin"/>
      </w:r>
      <w:r>
        <w:rPr>
          <w:noProof/>
        </w:rPr>
        <w:instrText xml:space="preserve"> PAGEREF _Toc74916255 \h </w:instrText>
      </w:r>
      <w:r>
        <w:rPr>
          <w:noProof/>
        </w:rPr>
      </w:r>
      <w:r>
        <w:rPr>
          <w:noProof/>
        </w:rPr>
        <w:fldChar w:fldCharType="separate"/>
      </w:r>
      <w:r w:rsidR="00A84D48">
        <w:rPr>
          <w:noProof/>
        </w:rPr>
        <w:t>109</w:t>
      </w:r>
      <w:r>
        <w:rPr>
          <w:noProof/>
        </w:rPr>
        <w:fldChar w:fldCharType="end"/>
      </w:r>
    </w:p>
    <w:p w14:paraId="0F143D3F" w14:textId="2703E7C9" w:rsidR="008144BE" w:rsidRDefault="008144BE">
      <w:pPr>
        <w:pStyle w:val="TOC4"/>
        <w:rPr>
          <w:rFonts w:asciiTheme="minorHAnsi" w:eastAsiaTheme="minorEastAsia" w:hAnsiTheme="minorHAnsi" w:cstheme="minorBidi"/>
          <w:b w:val="0"/>
          <w:noProof/>
          <w:kern w:val="0"/>
          <w:sz w:val="22"/>
          <w:szCs w:val="22"/>
        </w:rPr>
      </w:pPr>
      <w:r>
        <w:rPr>
          <w:noProof/>
        </w:rPr>
        <w:t>Subdivision 7.2.4—Rules relating to integrity and security of CDR data</w:t>
      </w:r>
      <w:r>
        <w:rPr>
          <w:noProof/>
        </w:rPr>
        <w:tab/>
      </w:r>
      <w:r>
        <w:rPr>
          <w:noProof/>
        </w:rPr>
        <w:fldChar w:fldCharType="begin"/>
      </w:r>
      <w:r>
        <w:rPr>
          <w:noProof/>
        </w:rPr>
        <w:instrText xml:space="preserve"> PAGEREF _Toc74916256 \h </w:instrText>
      </w:r>
      <w:r>
        <w:rPr>
          <w:noProof/>
        </w:rPr>
      </w:r>
      <w:r>
        <w:rPr>
          <w:noProof/>
        </w:rPr>
        <w:fldChar w:fldCharType="separate"/>
      </w:r>
      <w:r w:rsidR="00A84D48">
        <w:rPr>
          <w:noProof/>
        </w:rPr>
        <w:t>111</w:t>
      </w:r>
      <w:r>
        <w:rPr>
          <w:noProof/>
        </w:rPr>
        <w:fldChar w:fldCharType="end"/>
      </w:r>
    </w:p>
    <w:p w14:paraId="167E504A" w14:textId="369CE773" w:rsidR="008144BE" w:rsidRDefault="008144BE">
      <w:pPr>
        <w:pStyle w:val="TOC5"/>
        <w:rPr>
          <w:rFonts w:asciiTheme="minorHAnsi" w:eastAsiaTheme="minorEastAsia" w:hAnsiTheme="minorHAnsi" w:cstheme="minorBidi"/>
          <w:noProof/>
          <w:kern w:val="0"/>
          <w:sz w:val="22"/>
          <w:szCs w:val="22"/>
        </w:rPr>
      </w:pPr>
      <w:r>
        <w:rPr>
          <w:noProof/>
        </w:rPr>
        <w:t>7.10  Rule relating to privacy safeguard 11—quality of CDR data</w:t>
      </w:r>
      <w:r>
        <w:rPr>
          <w:noProof/>
        </w:rPr>
        <w:tab/>
      </w:r>
      <w:r>
        <w:rPr>
          <w:noProof/>
        </w:rPr>
        <w:fldChar w:fldCharType="begin"/>
      </w:r>
      <w:r>
        <w:rPr>
          <w:noProof/>
        </w:rPr>
        <w:instrText xml:space="preserve"> PAGEREF _Toc74916257 \h </w:instrText>
      </w:r>
      <w:r>
        <w:rPr>
          <w:noProof/>
        </w:rPr>
      </w:r>
      <w:r>
        <w:rPr>
          <w:noProof/>
        </w:rPr>
        <w:fldChar w:fldCharType="separate"/>
      </w:r>
      <w:r w:rsidR="00A84D48">
        <w:rPr>
          <w:noProof/>
        </w:rPr>
        <w:t>111</w:t>
      </w:r>
      <w:r>
        <w:rPr>
          <w:noProof/>
        </w:rPr>
        <w:fldChar w:fldCharType="end"/>
      </w:r>
    </w:p>
    <w:p w14:paraId="06DAEC6C" w14:textId="7B17F426" w:rsidR="008144BE" w:rsidRDefault="008144BE">
      <w:pPr>
        <w:pStyle w:val="TOC5"/>
        <w:rPr>
          <w:rFonts w:asciiTheme="minorHAnsi" w:eastAsiaTheme="minorEastAsia" w:hAnsiTheme="minorHAnsi" w:cstheme="minorBidi"/>
          <w:noProof/>
          <w:kern w:val="0"/>
          <w:sz w:val="22"/>
          <w:szCs w:val="22"/>
        </w:rPr>
      </w:pPr>
      <w:r w:rsidRPr="00BC78CF">
        <w:rPr>
          <w:noProof/>
          <w:color w:val="FF0000"/>
        </w:rPr>
        <w:t>7.10A  Rule relating to privacy safeguard 11—quality of data—CDR representative</w:t>
      </w:r>
      <w:r>
        <w:rPr>
          <w:noProof/>
        </w:rPr>
        <w:tab/>
      </w:r>
      <w:r>
        <w:rPr>
          <w:noProof/>
        </w:rPr>
        <w:fldChar w:fldCharType="begin"/>
      </w:r>
      <w:r>
        <w:rPr>
          <w:noProof/>
        </w:rPr>
        <w:instrText xml:space="preserve"> PAGEREF _Toc74916258 \h </w:instrText>
      </w:r>
      <w:r>
        <w:rPr>
          <w:noProof/>
        </w:rPr>
      </w:r>
      <w:r>
        <w:rPr>
          <w:noProof/>
        </w:rPr>
        <w:fldChar w:fldCharType="separate"/>
      </w:r>
      <w:r w:rsidR="00A84D48">
        <w:rPr>
          <w:noProof/>
        </w:rPr>
        <w:t>111</w:t>
      </w:r>
      <w:r>
        <w:rPr>
          <w:noProof/>
        </w:rPr>
        <w:fldChar w:fldCharType="end"/>
      </w:r>
    </w:p>
    <w:p w14:paraId="17AC8DEE" w14:textId="15539DCA" w:rsidR="008144BE" w:rsidRDefault="008144BE">
      <w:pPr>
        <w:pStyle w:val="TOC5"/>
        <w:rPr>
          <w:rFonts w:asciiTheme="minorHAnsi" w:eastAsiaTheme="minorEastAsia" w:hAnsiTheme="minorHAnsi" w:cstheme="minorBidi"/>
          <w:noProof/>
          <w:kern w:val="0"/>
          <w:sz w:val="22"/>
          <w:szCs w:val="22"/>
        </w:rPr>
      </w:pPr>
      <w:r>
        <w:rPr>
          <w:noProof/>
        </w:rPr>
        <w:t>7.11  Rule relating to privacy safeguard 12—security of CDR data</w:t>
      </w:r>
      <w:r>
        <w:rPr>
          <w:noProof/>
        </w:rPr>
        <w:tab/>
      </w:r>
      <w:r>
        <w:rPr>
          <w:noProof/>
        </w:rPr>
        <w:fldChar w:fldCharType="begin"/>
      </w:r>
      <w:r>
        <w:rPr>
          <w:noProof/>
        </w:rPr>
        <w:instrText xml:space="preserve"> PAGEREF _Toc74916259 \h </w:instrText>
      </w:r>
      <w:r>
        <w:rPr>
          <w:noProof/>
        </w:rPr>
      </w:r>
      <w:r>
        <w:rPr>
          <w:noProof/>
        </w:rPr>
        <w:fldChar w:fldCharType="separate"/>
      </w:r>
      <w:r w:rsidR="00A84D48">
        <w:rPr>
          <w:noProof/>
        </w:rPr>
        <w:t>111</w:t>
      </w:r>
      <w:r>
        <w:rPr>
          <w:noProof/>
        </w:rPr>
        <w:fldChar w:fldCharType="end"/>
      </w:r>
    </w:p>
    <w:p w14:paraId="51CD9AC2" w14:textId="76ECC94E" w:rsidR="008144BE" w:rsidRDefault="008144BE">
      <w:pPr>
        <w:pStyle w:val="TOC5"/>
        <w:rPr>
          <w:rFonts w:asciiTheme="minorHAnsi" w:eastAsiaTheme="minorEastAsia" w:hAnsiTheme="minorHAnsi" w:cstheme="minorBidi"/>
          <w:noProof/>
          <w:kern w:val="0"/>
          <w:sz w:val="22"/>
          <w:szCs w:val="22"/>
        </w:rPr>
      </w:pPr>
      <w:r>
        <w:rPr>
          <w:noProof/>
        </w:rPr>
        <w:t>7.12  Rule relating to privacy safeguard 12—de</w:t>
      </w:r>
      <w:r>
        <w:rPr>
          <w:noProof/>
        </w:rPr>
        <w:noBreakHyphen/>
        <w:t>identification of redundant data</w:t>
      </w:r>
      <w:r>
        <w:rPr>
          <w:noProof/>
        </w:rPr>
        <w:tab/>
      </w:r>
      <w:r>
        <w:rPr>
          <w:noProof/>
        </w:rPr>
        <w:fldChar w:fldCharType="begin"/>
      </w:r>
      <w:r>
        <w:rPr>
          <w:noProof/>
        </w:rPr>
        <w:instrText xml:space="preserve"> PAGEREF _Toc74916260 \h </w:instrText>
      </w:r>
      <w:r>
        <w:rPr>
          <w:noProof/>
        </w:rPr>
      </w:r>
      <w:r>
        <w:rPr>
          <w:noProof/>
        </w:rPr>
        <w:fldChar w:fldCharType="separate"/>
      </w:r>
      <w:r w:rsidR="00A84D48">
        <w:rPr>
          <w:noProof/>
        </w:rPr>
        <w:t>112</w:t>
      </w:r>
      <w:r>
        <w:rPr>
          <w:noProof/>
        </w:rPr>
        <w:fldChar w:fldCharType="end"/>
      </w:r>
    </w:p>
    <w:p w14:paraId="57B6E043" w14:textId="45EF90A4" w:rsidR="008144BE" w:rsidRDefault="008144BE">
      <w:pPr>
        <w:pStyle w:val="TOC5"/>
        <w:rPr>
          <w:rFonts w:asciiTheme="minorHAnsi" w:eastAsiaTheme="minorEastAsia" w:hAnsiTheme="minorHAnsi" w:cstheme="minorBidi"/>
          <w:noProof/>
          <w:kern w:val="0"/>
          <w:sz w:val="22"/>
          <w:szCs w:val="22"/>
        </w:rPr>
      </w:pPr>
      <w:r>
        <w:rPr>
          <w:noProof/>
        </w:rPr>
        <w:t>7.13  Rule relating to privacy safeguard 12—deletion of redundant data</w:t>
      </w:r>
      <w:r>
        <w:rPr>
          <w:noProof/>
        </w:rPr>
        <w:tab/>
      </w:r>
      <w:r>
        <w:rPr>
          <w:noProof/>
        </w:rPr>
        <w:fldChar w:fldCharType="begin"/>
      </w:r>
      <w:r>
        <w:rPr>
          <w:noProof/>
        </w:rPr>
        <w:instrText xml:space="preserve"> PAGEREF _Toc74916261 \h </w:instrText>
      </w:r>
      <w:r>
        <w:rPr>
          <w:noProof/>
        </w:rPr>
      </w:r>
      <w:r>
        <w:rPr>
          <w:noProof/>
        </w:rPr>
        <w:fldChar w:fldCharType="separate"/>
      </w:r>
      <w:r w:rsidR="00A84D48">
        <w:rPr>
          <w:noProof/>
        </w:rPr>
        <w:t>113</w:t>
      </w:r>
      <w:r>
        <w:rPr>
          <w:noProof/>
        </w:rPr>
        <w:fldChar w:fldCharType="end"/>
      </w:r>
    </w:p>
    <w:p w14:paraId="1DC657BD" w14:textId="39C7A083" w:rsidR="008144BE" w:rsidRDefault="008144BE">
      <w:pPr>
        <w:pStyle w:val="TOC4"/>
        <w:rPr>
          <w:rFonts w:asciiTheme="minorHAnsi" w:eastAsiaTheme="minorEastAsia" w:hAnsiTheme="minorHAnsi" w:cstheme="minorBidi"/>
          <w:b w:val="0"/>
          <w:noProof/>
          <w:kern w:val="0"/>
          <w:sz w:val="22"/>
          <w:szCs w:val="22"/>
        </w:rPr>
      </w:pPr>
      <w:r w:rsidRPr="0094186E">
        <w:rPr>
          <w:noProof/>
          <w:color w:val="000000"/>
        </w:rPr>
        <w:t>Subdivision 7.2.5—Rules relating to correction of CDR data</w:t>
      </w:r>
      <w:r>
        <w:rPr>
          <w:noProof/>
        </w:rPr>
        <w:tab/>
      </w:r>
      <w:r>
        <w:rPr>
          <w:noProof/>
        </w:rPr>
        <w:fldChar w:fldCharType="begin"/>
      </w:r>
      <w:r>
        <w:rPr>
          <w:noProof/>
        </w:rPr>
        <w:instrText xml:space="preserve"> PAGEREF _Toc74916262 \h </w:instrText>
      </w:r>
      <w:r>
        <w:rPr>
          <w:noProof/>
        </w:rPr>
      </w:r>
      <w:r>
        <w:rPr>
          <w:noProof/>
        </w:rPr>
        <w:fldChar w:fldCharType="separate"/>
      </w:r>
      <w:r w:rsidR="00A84D48">
        <w:rPr>
          <w:noProof/>
        </w:rPr>
        <w:t>114</w:t>
      </w:r>
      <w:r>
        <w:rPr>
          <w:noProof/>
        </w:rPr>
        <w:fldChar w:fldCharType="end"/>
      </w:r>
    </w:p>
    <w:p w14:paraId="5D20A8A1" w14:textId="67535945" w:rsidR="008144BE" w:rsidRDefault="008144BE">
      <w:pPr>
        <w:pStyle w:val="TOC5"/>
        <w:rPr>
          <w:rFonts w:asciiTheme="minorHAnsi" w:eastAsiaTheme="minorEastAsia" w:hAnsiTheme="minorHAnsi" w:cstheme="minorBidi"/>
          <w:noProof/>
          <w:kern w:val="0"/>
          <w:sz w:val="22"/>
          <w:szCs w:val="22"/>
        </w:rPr>
      </w:pPr>
      <w:r w:rsidRPr="0094186E">
        <w:rPr>
          <w:noProof/>
          <w:color w:val="000000"/>
        </w:rPr>
        <w:t>7.14  No fee for responding to or actioning correction request</w:t>
      </w:r>
      <w:r>
        <w:rPr>
          <w:noProof/>
        </w:rPr>
        <w:tab/>
      </w:r>
      <w:r>
        <w:rPr>
          <w:noProof/>
        </w:rPr>
        <w:fldChar w:fldCharType="begin"/>
      </w:r>
      <w:r>
        <w:rPr>
          <w:noProof/>
        </w:rPr>
        <w:instrText xml:space="preserve"> PAGEREF _Toc74916263 \h </w:instrText>
      </w:r>
      <w:r>
        <w:rPr>
          <w:noProof/>
        </w:rPr>
      </w:r>
      <w:r>
        <w:rPr>
          <w:noProof/>
        </w:rPr>
        <w:fldChar w:fldCharType="separate"/>
      </w:r>
      <w:r w:rsidR="00A84D48">
        <w:rPr>
          <w:noProof/>
        </w:rPr>
        <w:t>114</w:t>
      </w:r>
      <w:r>
        <w:rPr>
          <w:noProof/>
        </w:rPr>
        <w:fldChar w:fldCharType="end"/>
      </w:r>
    </w:p>
    <w:p w14:paraId="48F20074" w14:textId="75015A05" w:rsidR="008144BE" w:rsidRDefault="008144BE">
      <w:pPr>
        <w:pStyle w:val="TOC5"/>
        <w:rPr>
          <w:rFonts w:asciiTheme="minorHAnsi" w:eastAsiaTheme="minorEastAsia" w:hAnsiTheme="minorHAnsi" w:cstheme="minorBidi"/>
          <w:noProof/>
          <w:kern w:val="0"/>
          <w:sz w:val="22"/>
          <w:szCs w:val="22"/>
        </w:rPr>
      </w:pPr>
      <w:r w:rsidRPr="0094186E">
        <w:rPr>
          <w:noProof/>
          <w:color w:val="000000"/>
        </w:rPr>
        <w:t>7.15  Rule relating to privacy safeguard 13—steps to be taken when responding to correction request</w:t>
      </w:r>
      <w:r>
        <w:rPr>
          <w:noProof/>
        </w:rPr>
        <w:tab/>
      </w:r>
      <w:r>
        <w:rPr>
          <w:noProof/>
        </w:rPr>
        <w:fldChar w:fldCharType="begin"/>
      </w:r>
      <w:r>
        <w:rPr>
          <w:noProof/>
        </w:rPr>
        <w:instrText xml:space="preserve"> PAGEREF _Toc74916264 \h </w:instrText>
      </w:r>
      <w:r>
        <w:rPr>
          <w:noProof/>
        </w:rPr>
      </w:r>
      <w:r>
        <w:rPr>
          <w:noProof/>
        </w:rPr>
        <w:fldChar w:fldCharType="separate"/>
      </w:r>
      <w:r w:rsidR="00A84D48">
        <w:rPr>
          <w:noProof/>
        </w:rPr>
        <w:t>114</w:t>
      </w:r>
      <w:r>
        <w:rPr>
          <w:noProof/>
        </w:rPr>
        <w:fldChar w:fldCharType="end"/>
      </w:r>
    </w:p>
    <w:p w14:paraId="0708456D" w14:textId="78B86D7B" w:rsidR="008144BE" w:rsidRDefault="008144BE">
      <w:pPr>
        <w:pStyle w:val="TOC5"/>
        <w:rPr>
          <w:rFonts w:asciiTheme="minorHAnsi" w:eastAsiaTheme="minorEastAsia" w:hAnsiTheme="minorHAnsi" w:cstheme="minorBidi"/>
          <w:noProof/>
          <w:kern w:val="0"/>
          <w:sz w:val="22"/>
          <w:szCs w:val="22"/>
        </w:rPr>
      </w:pPr>
      <w:r w:rsidRPr="00BC78CF">
        <w:rPr>
          <w:noProof/>
          <w:color w:val="FF0000"/>
        </w:rPr>
        <w:t>7.10A  Rule relating to privacy safeguard 11—correction of data—CDR representative</w:t>
      </w:r>
      <w:r>
        <w:rPr>
          <w:noProof/>
        </w:rPr>
        <w:tab/>
      </w:r>
      <w:r>
        <w:rPr>
          <w:noProof/>
        </w:rPr>
        <w:fldChar w:fldCharType="begin"/>
      </w:r>
      <w:r>
        <w:rPr>
          <w:noProof/>
        </w:rPr>
        <w:instrText xml:space="preserve"> PAGEREF _Toc74916265 \h </w:instrText>
      </w:r>
      <w:r>
        <w:rPr>
          <w:noProof/>
        </w:rPr>
      </w:r>
      <w:r>
        <w:rPr>
          <w:noProof/>
        </w:rPr>
        <w:fldChar w:fldCharType="separate"/>
      </w:r>
      <w:r w:rsidR="00A84D48">
        <w:rPr>
          <w:noProof/>
        </w:rPr>
        <w:t>114</w:t>
      </w:r>
      <w:r>
        <w:rPr>
          <w:noProof/>
        </w:rPr>
        <w:fldChar w:fldCharType="end"/>
      </w:r>
    </w:p>
    <w:p w14:paraId="635C0D8F" w14:textId="621AD952" w:rsidR="008144BE" w:rsidRDefault="008144BE">
      <w:pPr>
        <w:pStyle w:val="TOC2"/>
        <w:rPr>
          <w:rFonts w:asciiTheme="minorHAnsi" w:eastAsiaTheme="minorEastAsia" w:hAnsiTheme="minorHAnsi" w:cstheme="minorBidi"/>
          <w:b w:val="0"/>
          <w:noProof/>
          <w:kern w:val="0"/>
          <w:sz w:val="22"/>
          <w:szCs w:val="22"/>
        </w:rPr>
      </w:pPr>
      <w:r>
        <w:rPr>
          <w:noProof/>
        </w:rPr>
        <w:t>Part 8—Rules relating to data standards</w:t>
      </w:r>
      <w:r>
        <w:rPr>
          <w:noProof/>
        </w:rPr>
        <w:tab/>
      </w:r>
      <w:r>
        <w:rPr>
          <w:noProof/>
        </w:rPr>
        <w:fldChar w:fldCharType="begin"/>
      </w:r>
      <w:r>
        <w:rPr>
          <w:noProof/>
        </w:rPr>
        <w:instrText xml:space="preserve"> PAGEREF _Toc74916266 \h </w:instrText>
      </w:r>
      <w:r>
        <w:rPr>
          <w:noProof/>
        </w:rPr>
      </w:r>
      <w:r>
        <w:rPr>
          <w:noProof/>
        </w:rPr>
        <w:fldChar w:fldCharType="separate"/>
      </w:r>
      <w:r w:rsidR="00A84D48">
        <w:rPr>
          <w:noProof/>
        </w:rPr>
        <w:t>116</w:t>
      </w:r>
      <w:r>
        <w:rPr>
          <w:noProof/>
        </w:rPr>
        <w:fldChar w:fldCharType="end"/>
      </w:r>
    </w:p>
    <w:p w14:paraId="5D81122C" w14:textId="6F32251D" w:rsidR="008144BE" w:rsidRDefault="008144BE">
      <w:pPr>
        <w:pStyle w:val="TOC3"/>
        <w:rPr>
          <w:rFonts w:asciiTheme="minorHAnsi" w:eastAsiaTheme="minorEastAsia" w:hAnsiTheme="minorHAnsi" w:cstheme="minorBidi"/>
          <w:b w:val="0"/>
          <w:noProof/>
          <w:kern w:val="0"/>
          <w:szCs w:val="22"/>
        </w:rPr>
      </w:pPr>
      <w:r>
        <w:rPr>
          <w:noProof/>
        </w:rPr>
        <w:t>Division 8.1—Preliminary</w:t>
      </w:r>
      <w:r>
        <w:rPr>
          <w:noProof/>
        </w:rPr>
        <w:tab/>
      </w:r>
      <w:r>
        <w:rPr>
          <w:noProof/>
        </w:rPr>
        <w:fldChar w:fldCharType="begin"/>
      </w:r>
      <w:r>
        <w:rPr>
          <w:noProof/>
        </w:rPr>
        <w:instrText xml:space="preserve"> PAGEREF _Toc74916267 \h </w:instrText>
      </w:r>
      <w:r>
        <w:rPr>
          <w:noProof/>
        </w:rPr>
      </w:r>
      <w:r>
        <w:rPr>
          <w:noProof/>
        </w:rPr>
        <w:fldChar w:fldCharType="separate"/>
      </w:r>
      <w:r w:rsidR="00A84D48">
        <w:rPr>
          <w:noProof/>
        </w:rPr>
        <w:t>116</w:t>
      </w:r>
      <w:r>
        <w:rPr>
          <w:noProof/>
        </w:rPr>
        <w:fldChar w:fldCharType="end"/>
      </w:r>
    </w:p>
    <w:p w14:paraId="3BA2F90D" w14:textId="710E16A6" w:rsidR="008144BE" w:rsidRDefault="008144BE">
      <w:pPr>
        <w:pStyle w:val="TOC5"/>
        <w:rPr>
          <w:rFonts w:asciiTheme="minorHAnsi" w:eastAsiaTheme="minorEastAsia" w:hAnsiTheme="minorHAnsi" w:cstheme="minorBidi"/>
          <w:noProof/>
          <w:kern w:val="0"/>
          <w:sz w:val="22"/>
          <w:szCs w:val="22"/>
        </w:rPr>
      </w:pPr>
      <w:r>
        <w:rPr>
          <w:noProof/>
        </w:rPr>
        <w:t>8.1  Simplified outline of this Part</w:t>
      </w:r>
      <w:r>
        <w:rPr>
          <w:noProof/>
        </w:rPr>
        <w:tab/>
      </w:r>
      <w:r>
        <w:rPr>
          <w:noProof/>
        </w:rPr>
        <w:fldChar w:fldCharType="begin"/>
      </w:r>
      <w:r>
        <w:rPr>
          <w:noProof/>
        </w:rPr>
        <w:instrText xml:space="preserve"> PAGEREF _Toc74916268 \h </w:instrText>
      </w:r>
      <w:r>
        <w:rPr>
          <w:noProof/>
        </w:rPr>
      </w:r>
      <w:r>
        <w:rPr>
          <w:noProof/>
        </w:rPr>
        <w:fldChar w:fldCharType="separate"/>
      </w:r>
      <w:r w:rsidR="00A84D48">
        <w:rPr>
          <w:noProof/>
        </w:rPr>
        <w:t>116</w:t>
      </w:r>
      <w:r>
        <w:rPr>
          <w:noProof/>
        </w:rPr>
        <w:fldChar w:fldCharType="end"/>
      </w:r>
    </w:p>
    <w:p w14:paraId="7639441B" w14:textId="2BC06F5B" w:rsidR="008144BE" w:rsidRDefault="008144BE">
      <w:pPr>
        <w:pStyle w:val="TOC3"/>
        <w:rPr>
          <w:rFonts w:asciiTheme="minorHAnsi" w:eastAsiaTheme="minorEastAsia" w:hAnsiTheme="minorHAnsi" w:cstheme="minorBidi"/>
          <w:b w:val="0"/>
          <w:noProof/>
          <w:kern w:val="0"/>
          <w:szCs w:val="22"/>
        </w:rPr>
      </w:pPr>
      <w:r>
        <w:rPr>
          <w:noProof/>
        </w:rPr>
        <w:t>Division 8.2—Data Standards Advisory Committee</w:t>
      </w:r>
      <w:r>
        <w:rPr>
          <w:noProof/>
        </w:rPr>
        <w:tab/>
      </w:r>
      <w:r>
        <w:rPr>
          <w:noProof/>
        </w:rPr>
        <w:fldChar w:fldCharType="begin"/>
      </w:r>
      <w:r>
        <w:rPr>
          <w:noProof/>
        </w:rPr>
        <w:instrText xml:space="preserve"> PAGEREF _Toc74916269 \h </w:instrText>
      </w:r>
      <w:r>
        <w:rPr>
          <w:noProof/>
        </w:rPr>
      </w:r>
      <w:r>
        <w:rPr>
          <w:noProof/>
        </w:rPr>
        <w:fldChar w:fldCharType="separate"/>
      </w:r>
      <w:r w:rsidR="00A84D48">
        <w:rPr>
          <w:noProof/>
        </w:rPr>
        <w:t>117</w:t>
      </w:r>
      <w:r>
        <w:rPr>
          <w:noProof/>
        </w:rPr>
        <w:fldChar w:fldCharType="end"/>
      </w:r>
    </w:p>
    <w:p w14:paraId="0DF6BE97" w14:textId="1A6F53B6" w:rsidR="008144BE" w:rsidRDefault="008144BE">
      <w:pPr>
        <w:pStyle w:val="TOC5"/>
        <w:rPr>
          <w:rFonts w:asciiTheme="minorHAnsi" w:eastAsiaTheme="minorEastAsia" w:hAnsiTheme="minorHAnsi" w:cstheme="minorBidi"/>
          <w:noProof/>
          <w:kern w:val="0"/>
          <w:sz w:val="22"/>
          <w:szCs w:val="22"/>
        </w:rPr>
      </w:pPr>
      <w:r>
        <w:rPr>
          <w:noProof/>
        </w:rPr>
        <w:t>8.2  Establishment of Data Standards Advisory Committee</w:t>
      </w:r>
      <w:r>
        <w:rPr>
          <w:noProof/>
        </w:rPr>
        <w:tab/>
      </w:r>
      <w:r>
        <w:rPr>
          <w:noProof/>
        </w:rPr>
        <w:fldChar w:fldCharType="begin"/>
      </w:r>
      <w:r>
        <w:rPr>
          <w:noProof/>
        </w:rPr>
        <w:instrText xml:space="preserve"> PAGEREF _Toc74916270 \h </w:instrText>
      </w:r>
      <w:r>
        <w:rPr>
          <w:noProof/>
        </w:rPr>
      </w:r>
      <w:r>
        <w:rPr>
          <w:noProof/>
        </w:rPr>
        <w:fldChar w:fldCharType="separate"/>
      </w:r>
      <w:r w:rsidR="00A84D48">
        <w:rPr>
          <w:noProof/>
        </w:rPr>
        <w:t>117</w:t>
      </w:r>
      <w:r>
        <w:rPr>
          <w:noProof/>
        </w:rPr>
        <w:fldChar w:fldCharType="end"/>
      </w:r>
    </w:p>
    <w:p w14:paraId="4DFA6738" w14:textId="46B8941B" w:rsidR="008144BE" w:rsidRDefault="008144BE">
      <w:pPr>
        <w:pStyle w:val="TOC5"/>
        <w:rPr>
          <w:rFonts w:asciiTheme="minorHAnsi" w:eastAsiaTheme="minorEastAsia" w:hAnsiTheme="minorHAnsi" w:cstheme="minorBidi"/>
          <w:noProof/>
          <w:kern w:val="0"/>
          <w:sz w:val="22"/>
          <w:szCs w:val="22"/>
        </w:rPr>
      </w:pPr>
      <w:r>
        <w:rPr>
          <w:noProof/>
        </w:rPr>
        <w:t>8.3  Functions of Data Standards Advisory Committee</w:t>
      </w:r>
      <w:r>
        <w:rPr>
          <w:noProof/>
        </w:rPr>
        <w:tab/>
      </w:r>
      <w:r>
        <w:rPr>
          <w:noProof/>
        </w:rPr>
        <w:fldChar w:fldCharType="begin"/>
      </w:r>
      <w:r>
        <w:rPr>
          <w:noProof/>
        </w:rPr>
        <w:instrText xml:space="preserve"> PAGEREF _Toc74916271 \h </w:instrText>
      </w:r>
      <w:r>
        <w:rPr>
          <w:noProof/>
        </w:rPr>
      </w:r>
      <w:r>
        <w:rPr>
          <w:noProof/>
        </w:rPr>
        <w:fldChar w:fldCharType="separate"/>
      </w:r>
      <w:r w:rsidR="00A84D48">
        <w:rPr>
          <w:noProof/>
        </w:rPr>
        <w:t>117</w:t>
      </w:r>
      <w:r>
        <w:rPr>
          <w:noProof/>
        </w:rPr>
        <w:fldChar w:fldCharType="end"/>
      </w:r>
    </w:p>
    <w:p w14:paraId="1A56AA4F" w14:textId="2A8B3613" w:rsidR="008144BE" w:rsidRDefault="008144BE">
      <w:pPr>
        <w:pStyle w:val="TOC5"/>
        <w:rPr>
          <w:rFonts w:asciiTheme="minorHAnsi" w:eastAsiaTheme="minorEastAsia" w:hAnsiTheme="minorHAnsi" w:cstheme="minorBidi"/>
          <w:noProof/>
          <w:kern w:val="0"/>
          <w:sz w:val="22"/>
          <w:szCs w:val="22"/>
        </w:rPr>
      </w:pPr>
      <w:r>
        <w:rPr>
          <w:noProof/>
        </w:rPr>
        <w:t>8.4  Appointment to Data Standards Advisory Committee</w:t>
      </w:r>
      <w:r>
        <w:rPr>
          <w:noProof/>
        </w:rPr>
        <w:tab/>
      </w:r>
      <w:r>
        <w:rPr>
          <w:noProof/>
        </w:rPr>
        <w:fldChar w:fldCharType="begin"/>
      </w:r>
      <w:r>
        <w:rPr>
          <w:noProof/>
        </w:rPr>
        <w:instrText xml:space="preserve"> PAGEREF _Toc74916272 \h </w:instrText>
      </w:r>
      <w:r>
        <w:rPr>
          <w:noProof/>
        </w:rPr>
      </w:r>
      <w:r>
        <w:rPr>
          <w:noProof/>
        </w:rPr>
        <w:fldChar w:fldCharType="separate"/>
      </w:r>
      <w:r w:rsidR="00A84D48">
        <w:rPr>
          <w:noProof/>
        </w:rPr>
        <w:t>117</w:t>
      </w:r>
      <w:r>
        <w:rPr>
          <w:noProof/>
        </w:rPr>
        <w:fldChar w:fldCharType="end"/>
      </w:r>
    </w:p>
    <w:p w14:paraId="09D05FCF" w14:textId="38106D43" w:rsidR="008144BE" w:rsidRDefault="008144BE">
      <w:pPr>
        <w:pStyle w:val="TOC5"/>
        <w:rPr>
          <w:rFonts w:asciiTheme="minorHAnsi" w:eastAsiaTheme="minorEastAsia" w:hAnsiTheme="minorHAnsi" w:cstheme="minorBidi"/>
          <w:noProof/>
          <w:kern w:val="0"/>
          <w:sz w:val="22"/>
          <w:szCs w:val="22"/>
        </w:rPr>
      </w:pPr>
      <w:r>
        <w:rPr>
          <w:noProof/>
        </w:rPr>
        <w:t>8.5  Termination of appointment and resignation</w:t>
      </w:r>
      <w:r>
        <w:rPr>
          <w:noProof/>
        </w:rPr>
        <w:tab/>
      </w:r>
      <w:r>
        <w:rPr>
          <w:noProof/>
        </w:rPr>
        <w:fldChar w:fldCharType="begin"/>
      </w:r>
      <w:r>
        <w:rPr>
          <w:noProof/>
        </w:rPr>
        <w:instrText xml:space="preserve"> PAGEREF _Toc74916273 \h </w:instrText>
      </w:r>
      <w:r>
        <w:rPr>
          <w:noProof/>
        </w:rPr>
      </w:r>
      <w:r>
        <w:rPr>
          <w:noProof/>
        </w:rPr>
        <w:fldChar w:fldCharType="separate"/>
      </w:r>
      <w:r w:rsidR="00A84D48">
        <w:rPr>
          <w:noProof/>
        </w:rPr>
        <w:t>117</w:t>
      </w:r>
      <w:r>
        <w:rPr>
          <w:noProof/>
        </w:rPr>
        <w:fldChar w:fldCharType="end"/>
      </w:r>
    </w:p>
    <w:p w14:paraId="19F84A24" w14:textId="508CC007" w:rsidR="008144BE" w:rsidRDefault="008144BE">
      <w:pPr>
        <w:pStyle w:val="TOC5"/>
        <w:rPr>
          <w:rFonts w:asciiTheme="minorHAnsi" w:eastAsiaTheme="minorEastAsia" w:hAnsiTheme="minorHAnsi" w:cstheme="minorBidi"/>
          <w:noProof/>
          <w:kern w:val="0"/>
          <w:sz w:val="22"/>
          <w:szCs w:val="22"/>
        </w:rPr>
      </w:pPr>
      <w:r>
        <w:rPr>
          <w:noProof/>
        </w:rPr>
        <w:t>8.6  Procedural directions</w:t>
      </w:r>
      <w:r>
        <w:rPr>
          <w:noProof/>
        </w:rPr>
        <w:tab/>
      </w:r>
      <w:r>
        <w:rPr>
          <w:noProof/>
        </w:rPr>
        <w:fldChar w:fldCharType="begin"/>
      </w:r>
      <w:r>
        <w:rPr>
          <w:noProof/>
        </w:rPr>
        <w:instrText xml:space="preserve"> PAGEREF _Toc74916274 \h </w:instrText>
      </w:r>
      <w:r>
        <w:rPr>
          <w:noProof/>
        </w:rPr>
      </w:r>
      <w:r>
        <w:rPr>
          <w:noProof/>
        </w:rPr>
        <w:fldChar w:fldCharType="separate"/>
      </w:r>
      <w:r w:rsidR="00A84D48">
        <w:rPr>
          <w:noProof/>
        </w:rPr>
        <w:t>117</w:t>
      </w:r>
      <w:r>
        <w:rPr>
          <w:noProof/>
        </w:rPr>
        <w:fldChar w:fldCharType="end"/>
      </w:r>
    </w:p>
    <w:p w14:paraId="6540F48F" w14:textId="6A940C7C" w:rsidR="008144BE" w:rsidRDefault="008144BE">
      <w:pPr>
        <w:pStyle w:val="TOC5"/>
        <w:rPr>
          <w:rFonts w:asciiTheme="minorHAnsi" w:eastAsiaTheme="minorEastAsia" w:hAnsiTheme="minorHAnsi" w:cstheme="minorBidi"/>
          <w:noProof/>
          <w:kern w:val="0"/>
          <w:sz w:val="22"/>
          <w:szCs w:val="22"/>
        </w:rPr>
      </w:pPr>
      <w:r>
        <w:rPr>
          <w:noProof/>
        </w:rPr>
        <w:t>8.7  Observers</w:t>
      </w:r>
      <w:r>
        <w:rPr>
          <w:noProof/>
        </w:rPr>
        <w:tab/>
      </w:r>
      <w:r>
        <w:rPr>
          <w:noProof/>
        </w:rPr>
        <w:fldChar w:fldCharType="begin"/>
      </w:r>
      <w:r>
        <w:rPr>
          <w:noProof/>
        </w:rPr>
        <w:instrText xml:space="preserve"> PAGEREF _Toc74916275 \h </w:instrText>
      </w:r>
      <w:r>
        <w:rPr>
          <w:noProof/>
        </w:rPr>
      </w:r>
      <w:r>
        <w:rPr>
          <w:noProof/>
        </w:rPr>
        <w:fldChar w:fldCharType="separate"/>
      </w:r>
      <w:r w:rsidR="00A84D48">
        <w:rPr>
          <w:noProof/>
        </w:rPr>
        <w:t>118</w:t>
      </w:r>
      <w:r>
        <w:rPr>
          <w:noProof/>
        </w:rPr>
        <w:fldChar w:fldCharType="end"/>
      </w:r>
    </w:p>
    <w:p w14:paraId="07F2F59C" w14:textId="0F8E5210" w:rsidR="008144BE" w:rsidRDefault="008144BE">
      <w:pPr>
        <w:pStyle w:val="TOC3"/>
        <w:rPr>
          <w:rFonts w:asciiTheme="minorHAnsi" w:eastAsiaTheme="minorEastAsia" w:hAnsiTheme="minorHAnsi" w:cstheme="minorBidi"/>
          <w:b w:val="0"/>
          <w:noProof/>
          <w:kern w:val="0"/>
          <w:szCs w:val="22"/>
        </w:rPr>
      </w:pPr>
      <w:r>
        <w:rPr>
          <w:noProof/>
        </w:rPr>
        <w:t>Division 8.3—Reviewing, developing and amending data standards</w:t>
      </w:r>
      <w:r>
        <w:rPr>
          <w:noProof/>
        </w:rPr>
        <w:tab/>
      </w:r>
      <w:r>
        <w:rPr>
          <w:noProof/>
        </w:rPr>
        <w:fldChar w:fldCharType="begin"/>
      </w:r>
      <w:r>
        <w:rPr>
          <w:noProof/>
        </w:rPr>
        <w:instrText xml:space="preserve"> PAGEREF _Toc74916276 \h </w:instrText>
      </w:r>
      <w:r>
        <w:rPr>
          <w:noProof/>
        </w:rPr>
      </w:r>
      <w:r>
        <w:rPr>
          <w:noProof/>
        </w:rPr>
        <w:fldChar w:fldCharType="separate"/>
      </w:r>
      <w:r w:rsidR="00A84D48">
        <w:rPr>
          <w:noProof/>
        </w:rPr>
        <w:t>119</w:t>
      </w:r>
      <w:r>
        <w:rPr>
          <w:noProof/>
        </w:rPr>
        <w:fldChar w:fldCharType="end"/>
      </w:r>
    </w:p>
    <w:p w14:paraId="0EC5051E" w14:textId="24394391" w:rsidR="008144BE" w:rsidRDefault="008144BE">
      <w:pPr>
        <w:pStyle w:val="TOC5"/>
        <w:rPr>
          <w:rFonts w:asciiTheme="minorHAnsi" w:eastAsiaTheme="minorEastAsia" w:hAnsiTheme="minorHAnsi" w:cstheme="minorBidi"/>
          <w:noProof/>
          <w:kern w:val="0"/>
          <w:sz w:val="22"/>
          <w:szCs w:val="22"/>
        </w:rPr>
      </w:pPr>
      <w:r w:rsidRPr="0094186E">
        <w:rPr>
          <w:noProof/>
          <w:color w:val="000000"/>
        </w:rPr>
        <w:t>8.8  Notification when developing or amending data standards</w:t>
      </w:r>
      <w:r>
        <w:rPr>
          <w:noProof/>
        </w:rPr>
        <w:tab/>
      </w:r>
      <w:r>
        <w:rPr>
          <w:noProof/>
        </w:rPr>
        <w:fldChar w:fldCharType="begin"/>
      </w:r>
      <w:r>
        <w:rPr>
          <w:noProof/>
        </w:rPr>
        <w:instrText xml:space="preserve"> PAGEREF _Toc74916277 \h </w:instrText>
      </w:r>
      <w:r>
        <w:rPr>
          <w:noProof/>
        </w:rPr>
      </w:r>
      <w:r>
        <w:rPr>
          <w:noProof/>
        </w:rPr>
        <w:fldChar w:fldCharType="separate"/>
      </w:r>
      <w:r w:rsidR="00A84D48">
        <w:rPr>
          <w:noProof/>
        </w:rPr>
        <w:t>119</w:t>
      </w:r>
      <w:r>
        <w:rPr>
          <w:noProof/>
        </w:rPr>
        <w:fldChar w:fldCharType="end"/>
      </w:r>
    </w:p>
    <w:p w14:paraId="37620027" w14:textId="4929C5C2" w:rsidR="008144BE" w:rsidRDefault="008144BE">
      <w:pPr>
        <w:pStyle w:val="TOC5"/>
        <w:rPr>
          <w:rFonts w:asciiTheme="minorHAnsi" w:eastAsiaTheme="minorEastAsia" w:hAnsiTheme="minorHAnsi" w:cstheme="minorBidi"/>
          <w:noProof/>
          <w:kern w:val="0"/>
          <w:sz w:val="22"/>
          <w:szCs w:val="22"/>
        </w:rPr>
      </w:pPr>
      <w:r>
        <w:rPr>
          <w:noProof/>
        </w:rPr>
        <w:t>8.9  Consultation when developing or amending data standards</w:t>
      </w:r>
      <w:r>
        <w:rPr>
          <w:noProof/>
        </w:rPr>
        <w:tab/>
      </w:r>
      <w:r>
        <w:rPr>
          <w:noProof/>
        </w:rPr>
        <w:fldChar w:fldCharType="begin"/>
      </w:r>
      <w:r>
        <w:rPr>
          <w:noProof/>
        </w:rPr>
        <w:instrText xml:space="preserve"> PAGEREF _Toc74916278 \h </w:instrText>
      </w:r>
      <w:r>
        <w:rPr>
          <w:noProof/>
        </w:rPr>
      </w:r>
      <w:r>
        <w:rPr>
          <w:noProof/>
        </w:rPr>
        <w:fldChar w:fldCharType="separate"/>
      </w:r>
      <w:r w:rsidR="00A84D48">
        <w:rPr>
          <w:noProof/>
        </w:rPr>
        <w:t>119</w:t>
      </w:r>
      <w:r>
        <w:rPr>
          <w:noProof/>
        </w:rPr>
        <w:fldChar w:fldCharType="end"/>
      </w:r>
    </w:p>
    <w:p w14:paraId="45ACB11C" w14:textId="78589E69" w:rsidR="008144BE" w:rsidRDefault="008144BE">
      <w:pPr>
        <w:pStyle w:val="TOC5"/>
        <w:rPr>
          <w:rFonts w:asciiTheme="minorHAnsi" w:eastAsiaTheme="minorEastAsia" w:hAnsiTheme="minorHAnsi" w:cstheme="minorBidi"/>
          <w:noProof/>
          <w:kern w:val="0"/>
          <w:sz w:val="22"/>
          <w:szCs w:val="22"/>
        </w:rPr>
      </w:pPr>
      <w:r>
        <w:rPr>
          <w:noProof/>
        </w:rPr>
        <w:t>8.10  Matters to have regard to when making or amending data standards</w:t>
      </w:r>
      <w:r>
        <w:rPr>
          <w:noProof/>
        </w:rPr>
        <w:tab/>
      </w:r>
      <w:r>
        <w:rPr>
          <w:noProof/>
        </w:rPr>
        <w:fldChar w:fldCharType="begin"/>
      </w:r>
      <w:r>
        <w:rPr>
          <w:noProof/>
        </w:rPr>
        <w:instrText xml:space="preserve"> PAGEREF _Toc74916279 \h </w:instrText>
      </w:r>
      <w:r>
        <w:rPr>
          <w:noProof/>
        </w:rPr>
      </w:r>
      <w:r>
        <w:rPr>
          <w:noProof/>
        </w:rPr>
        <w:fldChar w:fldCharType="separate"/>
      </w:r>
      <w:r w:rsidR="00A84D48">
        <w:rPr>
          <w:noProof/>
        </w:rPr>
        <w:t>119</w:t>
      </w:r>
      <w:r>
        <w:rPr>
          <w:noProof/>
        </w:rPr>
        <w:fldChar w:fldCharType="end"/>
      </w:r>
    </w:p>
    <w:p w14:paraId="0D1349F4" w14:textId="02C6B804" w:rsidR="008144BE" w:rsidRDefault="008144BE">
      <w:pPr>
        <w:pStyle w:val="TOC3"/>
        <w:rPr>
          <w:rFonts w:asciiTheme="minorHAnsi" w:eastAsiaTheme="minorEastAsia" w:hAnsiTheme="minorHAnsi" w:cstheme="minorBidi"/>
          <w:b w:val="0"/>
          <w:noProof/>
          <w:kern w:val="0"/>
          <w:szCs w:val="22"/>
        </w:rPr>
      </w:pPr>
      <w:r>
        <w:rPr>
          <w:noProof/>
        </w:rPr>
        <w:t>Division 8.4—Data standards that must be made</w:t>
      </w:r>
      <w:r>
        <w:rPr>
          <w:noProof/>
        </w:rPr>
        <w:tab/>
      </w:r>
      <w:r>
        <w:rPr>
          <w:noProof/>
        </w:rPr>
        <w:fldChar w:fldCharType="begin"/>
      </w:r>
      <w:r>
        <w:rPr>
          <w:noProof/>
        </w:rPr>
        <w:instrText xml:space="preserve"> PAGEREF _Toc74916280 \h </w:instrText>
      </w:r>
      <w:r>
        <w:rPr>
          <w:noProof/>
        </w:rPr>
      </w:r>
      <w:r>
        <w:rPr>
          <w:noProof/>
        </w:rPr>
        <w:fldChar w:fldCharType="separate"/>
      </w:r>
      <w:r w:rsidR="00A84D48">
        <w:rPr>
          <w:noProof/>
        </w:rPr>
        <w:t>121</w:t>
      </w:r>
      <w:r>
        <w:rPr>
          <w:noProof/>
        </w:rPr>
        <w:fldChar w:fldCharType="end"/>
      </w:r>
    </w:p>
    <w:p w14:paraId="3808D3C2" w14:textId="115730BA" w:rsidR="008144BE" w:rsidRDefault="008144BE">
      <w:pPr>
        <w:pStyle w:val="TOC5"/>
        <w:rPr>
          <w:rFonts w:asciiTheme="minorHAnsi" w:eastAsiaTheme="minorEastAsia" w:hAnsiTheme="minorHAnsi" w:cstheme="minorBidi"/>
          <w:noProof/>
          <w:kern w:val="0"/>
          <w:sz w:val="22"/>
          <w:szCs w:val="22"/>
        </w:rPr>
      </w:pPr>
      <w:r>
        <w:rPr>
          <w:noProof/>
        </w:rPr>
        <w:t>8.11  Data standards that must be made</w:t>
      </w:r>
      <w:r>
        <w:rPr>
          <w:noProof/>
        </w:rPr>
        <w:tab/>
      </w:r>
      <w:r>
        <w:rPr>
          <w:noProof/>
        </w:rPr>
        <w:fldChar w:fldCharType="begin"/>
      </w:r>
      <w:r>
        <w:rPr>
          <w:noProof/>
        </w:rPr>
        <w:instrText xml:space="preserve"> PAGEREF _Toc74916281 \h </w:instrText>
      </w:r>
      <w:r>
        <w:rPr>
          <w:noProof/>
        </w:rPr>
      </w:r>
      <w:r>
        <w:rPr>
          <w:noProof/>
        </w:rPr>
        <w:fldChar w:fldCharType="separate"/>
      </w:r>
      <w:r w:rsidR="00A84D48">
        <w:rPr>
          <w:noProof/>
        </w:rPr>
        <w:t>121</w:t>
      </w:r>
      <w:r>
        <w:rPr>
          <w:noProof/>
        </w:rPr>
        <w:fldChar w:fldCharType="end"/>
      </w:r>
    </w:p>
    <w:p w14:paraId="45B08335" w14:textId="4E4B6973" w:rsidR="008144BE" w:rsidRDefault="008144BE">
      <w:pPr>
        <w:pStyle w:val="TOC2"/>
        <w:rPr>
          <w:rFonts w:asciiTheme="minorHAnsi" w:eastAsiaTheme="minorEastAsia" w:hAnsiTheme="minorHAnsi" w:cstheme="minorBidi"/>
          <w:b w:val="0"/>
          <w:noProof/>
          <w:kern w:val="0"/>
          <w:sz w:val="22"/>
          <w:szCs w:val="22"/>
        </w:rPr>
      </w:pPr>
      <w:r>
        <w:rPr>
          <w:noProof/>
        </w:rPr>
        <w:t>Part 9—Other matters</w:t>
      </w:r>
      <w:r>
        <w:rPr>
          <w:noProof/>
        </w:rPr>
        <w:tab/>
      </w:r>
      <w:r>
        <w:rPr>
          <w:noProof/>
        </w:rPr>
        <w:fldChar w:fldCharType="begin"/>
      </w:r>
      <w:r>
        <w:rPr>
          <w:noProof/>
        </w:rPr>
        <w:instrText xml:space="preserve"> PAGEREF _Toc74916282 \h </w:instrText>
      </w:r>
      <w:r>
        <w:rPr>
          <w:noProof/>
        </w:rPr>
      </w:r>
      <w:r>
        <w:rPr>
          <w:noProof/>
        </w:rPr>
        <w:fldChar w:fldCharType="separate"/>
      </w:r>
      <w:r w:rsidR="00A84D48">
        <w:rPr>
          <w:noProof/>
        </w:rPr>
        <w:t>123</w:t>
      </w:r>
      <w:r>
        <w:rPr>
          <w:noProof/>
        </w:rPr>
        <w:fldChar w:fldCharType="end"/>
      </w:r>
    </w:p>
    <w:p w14:paraId="1FA657E8" w14:textId="67B13F2A" w:rsidR="008144BE" w:rsidRDefault="008144BE">
      <w:pPr>
        <w:pStyle w:val="TOC3"/>
        <w:rPr>
          <w:rFonts w:asciiTheme="minorHAnsi" w:eastAsiaTheme="minorEastAsia" w:hAnsiTheme="minorHAnsi" w:cstheme="minorBidi"/>
          <w:b w:val="0"/>
          <w:noProof/>
          <w:kern w:val="0"/>
          <w:szCs w:val="22"/>
        </w:rPr>
      </w:pPr>
      <w:r>
        <w:rPr>
          <w:noProof/>
        </w:rPr>
        <w:t>Division 9.1—Preliminary</w:t>
      </w:r>
      <w:r>
        <w:rPr>
          <w:noProof/>
        </w:rPr>
        <w:tab/>
      </w:r>
      <w:r>
        <w:rPr>
          <w:noProof/>
        </w:rPr>
        <w:fldChar w:fldCharType="begin"/>
      </w:r>
      <w:r>
        <w:rPr>
          <w:noProof/>
        </w:rPr>
        <w:instrText xml:space="preserve"> PAGEREF _Toc74916283 \h </w:instrText>
      </w:r>
      <w:r>
        <w:rPr>
          <w:noProof/>
        </w:rPr>
      </w:r>
      <w:r>
        <w:rPr>
          <w:noProof/>
        </w:rPr>
        <w:fldChar w:fldCharType="separate"/>
      </w:r>
      <w:r w:rsidR="00A84D48">
        <w:rPr>
          <w:noProof/>
        </w:rPr>
        <w:t>123</w:t>
      </w:r>
      <w:r>
        <w:rPr>
          <w:noProof/>
        </w:rPr>
        <w:fldChar w:fldCharType="end"/>
      </w:r>
    </w:p>
    <w:p w14:paraId="4B8715FB" w14:textId="1332AA96" w:rsidR="008144BE" w:rsidRDefault="008144BE">
      <w:pPr>
        <w:pStyle w:val="TOC5"/>
        <w:rPr>
          <w:rFonts w:asciiTheme="minorHAnsi" w:eastAsiaTheme="minorEastAsia" w:hAnsiTheme="minorHAnsi" w:cstheme="minorBidi"/>
          <w:noProof/>
          <w:kern w:val="0"/>
          <w:sz w:val="22"/>
          <w:szCs w:val="22"/>
        </w:rPr>
      </w:pPr>
      <w:r>
        <w:rPr>
          <w:noProof/>
        </w:rPr>
        <w:t>9.1  Simplified outline of this Part</w:t>
      </w:r>
      <w:r>
        <w:rPr>
          <w:noProof/>
        </w:rPr>
        <w:tab/>
      </w:r>
      <w:r>
        <w:rPr>
          <w:noProof/>
        </w:rPr>
        <w:fldChar w:fldCharType="begin"/>
      </w:r>
      <w:r>
        <w:rPr>
          <w:noProof/>
        </w:rPr>
        <w:instrText xml:space="preserve"> PAGEREF _Toc74916284 \h </w:instrText>
      </w:r>
      <w:r>
        <w:rPr>
          <w:noProof/>
        </w:rPr>
      </w:r>
      <w:r>
        <w:rPr>
          <w:noProof/>
        </w:rPr>
        <w:fldChar w:fldCharType="separate"/>
      </w:r>
      <w:r w:rsidR="00A84D48">
        <w:rPr>
          <w:noProof/>
        </w:rPr>
        <w:t>123</w:t>
      </w:r>
      <w:r>
        <w:rPr>
          <w:noProof/>
        </w:rPr>
        <w:fldChar w:fldCharType="end"/>
      </w:r>
    </w:p>
    <w:p w14:paraId="18630897" w14:textId="039CC47B" w:rsidR="008144BE" w:rsidRDefault="008144BE">
      <w:pPr>
        <w:pStyle w:val="TOC3"/>
        <w:rPr>
          <w:rFonts w:asciiTheme="minorHAnsi" w:eastAsiaTheme="minorEastAsia" w:hAnsiTheme="minorHAnsi" w:cstheme="minorBidi"/>
          <w:b w:val="0"/>
          <w:noProof/>
          <w:kern w:val="0"/>
          <w:szCs w:val="22"/>
        </w:rPr>
      </w:pPr>
      <w:r>
        <w:rPr>
          <w:noProof/>
        </w:rPr>
        <w:t>Division 9.2—Review of decisions</w:t>
      </w:r>
      <w:r>
        <w:rPr>
          <w:noProof/>
        </w:rPr>
        <w:tab/>
      </w:r>
      <w:r>
        <w:rPr>
          <w:noProof/>
        </w:rPr>
        <w:fldChar w:fldCharType="begin"/>
      </w:r>
      <w:r>
        <w:rPr>
          <w:noProof/>
        </w:rPr>
        <w:instrText xml:space="preserve"> PAGEREF _Toc74916285 \h </w:instrText>
      </w:r>
      <w:r>
        <w:rPr>
          <w:noProof/>
        </w:rPr>
      </w:r>
      <w:r>
        <w:rPr>
          <w:noProof/>
        </w:rPr>
        <w:fldChar w:fldCharType="separate"/>
      </w:r>
      <w:r w:rsidR="00A84D48">
        <w:rPr>
          <w:noProof/>
        </w:rPr>
        <w:t>124</w:t>
      </w:r>
      <w:r>
        <w:rPr>
          <w:noProof/>
        </w:rPr>
        <w:fldChar w:fldCharType="end"/>
      </w:r>
    </w:p>
    <w:p w14:paraId="2A4D4A7F" w14:textId="626C1DBF" w:rsidR="008144BE" w:rsidRDefault="008144BE">
      <w:pPr>
        <w:pStyle w:val="TOC5"/>
        <w:rPr>
          <w:rFonts w:asciiTheme="minorHAnsi" w:eastAsiaTheme="minorEastAsia" w:hAnsiTheme="minorHAnsi" w:cstheme="minorBidi"/>
          <w:noProof/>
          <w:kern w:val="0"/>
          <w:sz w:val="22"/>
          <w:szCs w:val="22"/>
        </w:rPr>
      </w:pPr>
      <w:r>
        <w:rPr>
          <w:noProof/>
        </w:rPr>
        <w:t>9.2  Review of decisions by the Administrative Appeals Tribunal</w:t>
      </w:r>
      <w:r>
        <w:rPr>
          <w:noProof/>
        </w:rPr>
        <w:tab/>
      </w:r>
      <w:r>
        <w:rPr>
          <w:noProof/>
        </w:rPr>
        <w:fldChar w:fldCharType="begin"/>
      </w:r>
      <w:r>
        <w:rPr>
          <w:noProof/>
        </w:rPr>
        <w:instrText xml:space="preserve"> PAGEREF _Toc74916286 \h </w:instrText>
      </w:r>
      <w:r>
        <w:rPr>
          <w:noProof/>
        </w:rPr>
      </w:r>
      <w:r>
        <w:rPr>
          <w:noProof/>
        </w:rPr>
        <w:fldChar w:fldCharType="separate"/>
      </w:r>
      <w:r w:rsidR="00A84D48">
        <w:rPr>
          <w:noProof/>
        </w:rPr>
        <w:t>124</w:t>
      </w:r>
      <w:r>
        <w:rPr>
          <w:noProof/>
        </w:rPr>
        <w:fldChar w:fldCharType="end"/>
      </w:r>
    </w:p>
    <w:p w14:paraId="722FA21B" w14:textId="5FF1B401" w:rsidR="008144BE" w:rsidRDefault="008144BE">
      <w:pPr>
        <w:pStyle w:val="TOC3"/>
        <w:rPr>
          <w:rFonts w:asciiTheme="minorHAnsi" w:eastAsiaTheme="minorEastAsia" w:hAnsiTheme="minorHAnsi" w:cstheme="minorBidi"/>
          <w:b w:val="0"/>
          <w:noProof/>
          <w:kern w:val="0"/>
          <w:szCs w:val="22"/>
        </w:rPr>
      </w:pPr>
      <w:r>
        <w:rPr>
          <w:noProof/>
        </w:rPr>
        <w:t>Division 9.3—Reporting, record keeping and audit</w:t>
      </w:r>
      <w:r>
        <w:rPr>
          <w:noProof/>
        </w:rPr>
        <w:tab/>
      </w:r>
      <w:r>
        <w:rPr>
          <w:noProof/>
        </w:rPr>
        <w:fldChar w:fldCharType="begin"/>
      </w:r>
      <w:r>
        <w:rPr>
          <w:noProof/>
        </w:rPr>
        <w:instrText xml:space="preserve"> PAGEREF _Toc74916287 \h </w:instrText>
      </w:r>
      <w:r>
        <w:rPr>
          <w:noProof/>
        </w:rPr>
      </w:r>
      <w:r>
        <w:rPr>
          <w:noProof/>
        </w:rPr>
        <w:fldChar w:fldCharType="separate"/>
      </w:r>
      <w:r w:rsidR="00A84D48">
        <w:rPr>
          <w:noProof/>
        </w:rPr>
        <w:t>125</w:t>
      </w:r>
      <w:r>
        <w:rPr>
          <w:noProof/>
        </w:rPr>
        <w:fldChar w:fldCharType="end"/>
      </w:r>
    </w:p>
    <w:p w14:paraId="286AD9F3" w14:textId="7055469A" w:rsidR="008144BE" w:rsidRDefault="008144BE">
      <w:pPr>
        <w:pStyle w:val="TOC4"/>
        <w:rPr>
          <w:rFonts w:asciiTheme="minorHAnsi" w:eastAsiaTheme="minorEastAsia" w:hAnsiTheme="minorHAnsi" w:cstheme="minorBidi"/>
          <w:b w:val="0"/>
          <w:noProof/>
          <w:kern w:val="0"/>
          <w:sz w:val="22"/>
          <w:szCs w:val="22"/>
        </w:rPr>
      </w:pPr>
      <w:r>
        <w:rPr>
          <w:noProof/>
        </w:rPr>
        <w:t>Subdivision 9.3.1—Reporting and record keeping</w:t>
      </w:r>
      <w:r>
        <w:rPr>
          <w:noProof/>
        </w:rPr>
        <w:tab/>
      </w:r>
      <w:r>
        <w:rPr>
          <w:noProof/>
        </w:rPr>
        <w:fldChar w:fldCharType="begin"/>
      </w:r>
      <w:r>
        <w:rPr>
          <w:noProof/>
        </w:rPr>
        <w:instrText xml:space="preserve"> PAGEREF _Toc74916288 \h </w:instrText>
      </w:r>
      <w:r>
        <w:rPr>
          <w:noProof/>
        </w:rPr>
      </w:r>
      <w:r>
        <w:rPr>
          <w:noProof/>
        </w:rPr>
        <w:fldChar w:fldCharType="separate"/>
      </w:r>
      <w:r w:rsidR="00A84D48">
        <w:rPr>
          <w:noProof/>
        </w:rPr>
        <w:t>125</w:t>
      </w:r>
      <w:r>
        <w:rPr>
          <w:noProof/>
        </w:rPr>
        <w:fldChar w:fldCharType="end"/>
      </w:r>
    </w:p>
    <w:p w14:paraId="263807BC" w14:textId="3226F061" w:rsidR="008144BE" w:rsidRDefault="008144BE">
      <w:pPr>
        <w:pStyle w:val="TOC5"/>
        <w:rPr>
          <w:rFonts w:asciiTheme="minorHAnsi" w:eastAsiaTheme="minorEastAsia" w:hAnsiTheme="minorHAnsi" w:cstheme="minorBidi"/>
          <w:noProof/>
          <w:kern w:val="0"/>
          <w:sz w:val="22"/>
          <w:szCs w:val="22"/>
        </w:rPr>
      </w:pPr>
      <w:r>
        <w:rPr>
          <w:noProof/>
        </w:rPr>
        <w:t>9.3  Records to be kept and maintained</w:t>
      </w:r>
      <w:r>
        <w:rPr>
          <w:noProof/>
        </w:rPr>
        <w:tab/>
      </w:r>
      <w:r>
        <w:rPr>
          <w:noProof/>
        </w:rPr>
        <w:fldChar w:fldCharType="begin"/>
      </w:r>
      <w:r>
        <w:rPr>
          <w:noProof/>
        </w:rPr>
        <w:instrText xml:space="preserve"> PAGEREF _Toc74916289 \h </w:instrText>
      </w:r>
      <w:r>
        <w:rPr>
          <w:noProof/>
        </w:rPr>
      </w:r>
      <w:r>
        <w:rPr>
          <w:noProof/>
        </w:rPr>
        <w:fldChar w:fldCharType="separate"/>
      </w:r>
      <w:r w:rsidR="00A84D48">
        <w:rPr>
          <w:noProof/>
        </w:rPr>
        <w:t>125</w:t>
      </w:r>
      <w:r>
        <w:rPr>
          <w:noProof/>
        </w:rPr>
        <w:fldChar w:fldCharType="end"/>
      </w:r>
    </w:p>
    <w:p w14:paraId="4E8D8393" w14:textId="340CDCB9" w:rsidR="008144BE" w:rsidRDefault="008144BE">
      <w:pPr>
        <w:pStyle w:val="TOC5"/>
        <w:rPr>
          <w:rFonts w:asciiTheme="minorHAnsi" w:eastAsiaTheme="minorEastAsia" w:hAnsiTheme="minorHAnsi" w:cstheme="minorBidi"/>
          <w:noProof/>
          <w:kern w:val="0"/>
          <w:sz w:val="22"/>
          <w:szCs w:val="22"/>
        </w:rPr>
      </w:pPr>
      <w:r>
        <w:rPr>
          <w:noProof/>
        </w:rPr>
        <w:t>9.4  Reporting requirements</w:t>
      </w:r>
      <w:r>
        <w:rPr>
          <w:noProof/>
        </w:rPr>
        <w:tab/>
      </w:r>
      <w:r>
        <w:rPr>
          <w:noProof/>
        </w:rPr>
        <w:fldChar w:fldCharType="begin"/>
      </w:r>
      <w:r>
        <w:rPr>
          <w:noProof/>
        </w:rPr>
        <w:instrText xml:space="preserve"> PAGEREF _Toc74916290 \h </w:instrText>
      </w:r>
      <w:r>
        <w:rPr>
          <w:noProof/>
        </w:rPr>
      </w:r>
      <w:r>
        <w:rPr>
          <w:noProof/>
        </w:rPr>
        <w:fldChar w:fldCharType="separate"/>
      </w:r>
      <w:r w:rsidR="00A84D48">
        <w:rPr>
          <w:noProof/>
        </w:rPr>
        <w:t>127</w:t>
      </w:r>
      <w:r>
        <w:rPr>
          <w:noProof/>
        </w:rPr>
        <w:fldChar w:fldCharType="end"/>
      </w:r>
    </w:p>
    <w:p w14:paraId="25FD74CC" w14:textId="7EEC237C" w:rsidR="008144BE" w:rsidRDefault="008144BE">
      <w:pPr>
        <w:pStyle w:val="TOC5"/>
        <w:rPr>
          <w:rFonts w:asciiTheme="minorHAnsi" w:eastAsiaTheme="minorEastAsia" w:hAnsiTheme="minorHAnsi" w:cstheme="minorBidi"/>
          <w:noProof/>
          <w:kern w:val="0"/>
          <w:sz w:val="22"/>
          <w:szCs w:val="22"/>
        </w:rPr>
      </w:pPr>
      <w:r>
        <w:rPr>
          <w:noProof/>
        </w:rPr>
        <w:t>9.5  Requests from CDR consumers for copies of records</w:t>
      </w:r>
      <w:r>
        <w:rPr>
          <w:noProof/>
        </w:rPr>
        <w:tab/>
      </w:r>
      <w:r>
        <w:rPr>
          <w:noProof/>
        </w:rPr>
        <w:fldChar w:fldCharType="begin"/>
      </w:r>
      <w:r>
        <w:rPr>
          <w:noProof/>
        </w:rPr>
        <w:instrText xml:space="preserve"> PAGEREF _Toc74916291 \h </w:instrText>
      </w:r>
      <w:r>
        <w:rPr>
          <w:noProof/>
        </w:rPr>
      </w:r>
      <w:r>
        <w:rPr>
          <w:noProof/>
        </w:rPr>
        <w:fldChar w:fldCharType="separate"/>
      </w:r>
      <w:r w:rsidR="00A84D48">
        <w:rPr>
          <w:noProof/>
        </w:rPr>
        <w:t>129</w:t>
      </w:r>
      <w:r>
        <w:rPr>
          <w:noProof/>
        </w:rPr>
        <w:fldChar w:fldCharType="end"/>
      </w:r>
    </w:p>
    <w:p w14:paraId="07767A26" w14:textId="401A02EE" w:rsidR="008144BE" w:rsidRDefault="008144BE">
      <w:pPr>
        <w:pStyle w:val="TOC4"/>
        <w:rPr>
          <w:rFonts w:asciiTheme="minorHAnsi" w:eastAsiaTheme="minorEastAsia" w:hAnsiTheme="minorHAnsi" w:cstheme="minorBidi"/>
          <w:b w:val="0"/>
          <w:noProof/>
          <w:kern w:val="0"/>
          <w:sz w:val="22"/>
          <w:szCs w:val="22"/>
        </w:rPr>
      </w:pPr>
      <w:r>
        <w:rPr>
          <w:noProof/>
        </w:rPr>
        <w:t>Subdivision 9.3.2—Audits</w:t>
      </w:r>
      <w:r>
        <w:rPr>
          <w:noProof/>
        </w:rPr>
        <w:tab/>
      </w:r>
      <w:r>
        <w:rPr>
          <w:noProof/>
        </w:rPr>
        <w:fldChar w:fldCharType="begin"/>
      </w:r>
      <w:r>
        <w:rPr>
          <w:noProof/>
        </w:rPr>
        <w:instrText xml:space="preserve"> PAGEREF _Toc74916292 \h </w:instrText>
      </w:r>
      <w:r>
        <w:rPr>
          <w:noProof/>
        </w:rPr>
      </w:r>
      <w:r>
        <w:rPr>
          <w:noProof/>
        </w:rPr>
        <w:fldChar w:fldCharType="separate"/>
      </w:r>
      <w:r w:rsidR="00A84D48">
        <w:rPr>
          <w:noProof/>
        </w:rPr>
        <w:t>131</w:t>
      </w:r>
      <w:r>
        <w:rPr>
          <w:noProof/>
        </w:rPr>
        <w:fldChar w:fldCharType="end"/>
      </w:r>
    </w:p>
    <w:p w14:paraId="6738B495" w14:textId="320E25FC" w:rsidR="008144BE" w:rsidRDefault="008144BE">
      <w:pPr>
        <w:pStyle w:val="TOC5"/>
        <w:rPr>
          <w:rFonts w:asciiTheme="minorHAnsi" w:eastAsiaTheme="minorEastAsia" w:hAnsiTheme="minorHAnsi" w:cstheme="minorBidi"/>
          <w:noProof/>
          <w:kern w:val="0"/>
          <w:sz w:val="22"/>
          <w:szCs w:val="22"/>
        </w:rPr>
      </w:pPr>
      <w:r>
        <w:rPr>
          <w:noProof/>
        </w:rPr>
        <w:t>9.6  Audits by the Commission and the Information Commissioner</w:t>
      </w:r>
      <w:r>
        <w:rPr>
          <w:noProof/>
        </w:rPr>
        <w:tab/>
      </w:r>
      <w:r>
        <w:rPr>
          <w:noProof/>
        </w:rPr>
        <w:fldChar w:fldCharType="begin"/>
      </w:r>
      <w:r>
        <w:rPr>
          <w:noProof/>
        </w:rPr>
        <w:instrText xml:space="preserve"> PAGEREF _Toc74916293 \h </w:instrText>
      </w:r>
      <w:r>
        <w:rPr>
          <w:noProof/>
        </w:rPr>
      </w:r>
      <w:r>
        <w:rPr>
          <w:noProof/>
        </w:rPr>
        <w:fldChar w:fldCharType="separate"/>
      </w:r>
      <w:r w:rsidR="00A84D48">
        <w:rPr>
          <w:noProof/>
        </w:rPr>
        <w:t>131</w:t>
      </w:r>
      <w:r>
        <w:rPr>
          <w:noProof/>
        </w:rPr>
        <w:fldChar w:fldCharType="end"/>
      </w:r>
    </w:p>
    <w:p w14:paraId="05749B7D" w14:textId="5A389220" w:rsidR="008144BE" w:rsidRDefault="008144BE">
      <w:pPr>
        <w:pStyle w:val="TOC5"/>
        <w:rPr>
          <w:rFonts w:asciiTheme="minorHAnsi" w:eastAsiaTheme="minorEastAsia" w:hAnsiTheme="minorHAnsi" w:cstheme="minorBidi"/>
          <w:noProof/>
          <w:kern w:val="0"/>
          <w:sz w:val="22"/>
          <w:szCs w:val="22"/>
        </w:rPr>
      </w:pPr>
      <w:r>
        <w:rPr>
          <w:noProof/>
        </w:rPr>
        <w:t>9.7  Audits by the Data Recipient Accreditor</w:t>
      </w:r>
      <w:r>
        <w:rPr>
          <w:noProof/>
        </w:rPr>
        <w:tab/>
      </w:r>
      <w:r>
        <w:rPr>
          <w:noProof/>
        </w:rPr>
        <w:fldChar w:fldCharType="begin"/>
      </w:r>
      <w:r>
        <w:rPr>
          <w:noProof/>
        </w:rPr>
        <w:instrText xml:space="preserve"> PAGEREF _Toc74916294 \h </w:instrText>
      </w:r>
      <w:r>
        <w:rPr>
          <w:noProof/>
        </w:rPr>
      </w:r>
      <w:r>
        <w:rPr>
          <w:noProof/>
        </w:rPr>
        <w:fldChar w:fldCharType="separate"/>
      </w:r>
      <w:r w:rsidR="00A84D48">
        <w:rPr>
          <w:noProof/>
        </w:rPr>
        <w:t>131</w:t>
      </w:r>
      <w:r>
        <w:rPr>
          <w:noProof/>
        </w:rPr>
        <w:fldChar w:fldCharType="end"/>
      </w:r>
    </w:p>
    <w:p w14:paraId="657DB857" w14:textId="19AFBD95" w:rsidR="008144BE" w:rsidRDefault="008144BE">
      <w:pPr>
        <w:pStyle w:val="TOC3"/>
        <w:rPr>
          <w:rFonts w:asciiTheme="minorHAnsi" w:eastAsiaTheme="minorEastAsia" w:hAnsiTheme="minorHAnsi" w:cstheme="minorBidi"/>
          <w:b w:val="0"/>
          <w:noProof/>
          <w:kern w:val="0"/>
          <w:szCs w:val="22"/>
        </w:rPr>
      </w:pPr>
      <w:r>
        <w:rPr>
          <w:noProof/>
        </w:rPr>
        <w:t>Division 9.4—Civil penalty provisions</w:t>
      </w:r>
      <w:r>
        <w:rPr>
          <w:noProof/>
        </w:rPr>
        <w:tab/>
      </w:r>
      <w:r>
        <w:rPr>
          <w:noProof/>
        </w:rPr>
        <w:fldChar w:fldCharType="begin"/>
      </w:r>
      <w:r>
        <w:rPr>
          <w:noProof/>
        </w:rPr>
        <w:instrText xml:space="preserve"> PAGEREF _Toc74916295 \h </w:instrText>
      </w:r>
      <w:r>
        <w:rPr>
          <w:noProof/>
        </w:rPr>
      </w:r>
      <w:r>
        <w:rPr>
          <w:noProof/>
        </w:rPr>
        <w:fldChar w:fldCharType="separate"/>
      </w:r>
      <w:r w:rsidR="00A84D48">
        <w:rPr>
          <w:noProof/>
        </w:rPr>
        <w:t>132</w:t>
      </w:r>
      <w:r>
        <w:rPr>
          <w:noProof/>
        </w:rPr>
        <w:fldChar w:fldCharType="end"/>
      </w:r>
    </w:p>
    <w:p w14:paraId="2315C8B5" w14:textId="19153D55" w:rsidR="008144BE" w:rsidRDefault="008144BE">
      <w:pPr>
        <w:pStyle w:val="TOC5"/>
        <w:rPr>
          <w:rFonts w:asciiTheme="minorHAnsi" w:eastAsiaTheme="minorEastAsia" w:hAnsiTheme="minorHAnsi" w:cstheme="minorBidi"/>
          <w:noProof/>
          <w:kern w:val="0"/>
          <w:sz w:val="22"/>
          <w:szCs w:val="22"/>
        </w:rPr>
      </w:pPr>
      <w:r>
        <w:rPr>
          <w:noProof/>
        </w:rPr>
        <w:t>9.8  Civil penalty provisions</w:t>
      </w:r>
      <w:r>
        <w:rPr>
          <w:noProof/>
        </w:rPr>
        <w:tab/>
      </w:r>
      <w:r>
        <w:rPr>
          <w:noProof/>
        </w:rPr>
        <w:fldChar w:fldCharType="begin"/>
      </w:r>
      <w:r>
        <w:rPr>
          <w:noProof/>
        </w:rPr>
        <w:instrText xml:space="preserve"> PAGEREF _Toc74916296 \h </w:instrText>
      </w:r>
      <w:r>
        <w:rPr>
          <w:noProof/>
        </w:rPr>
      </w:r>
      <w:r>
        <w:rPr>
          <w:noProof/>
        </w:rPr>
        <w:fldChar w:fldCharType="separate"/>
      </w:r>
      <w:r w:rsidR="00A84D48">
        <w:rPr>
          <w:noProof/>
        </w:rPr>
        <w:t>132</w:t>
      </w:r>
      <w:r>
        <w:rPr>
          <w:noProof/>
        </w:rPr>
        <w:fldChar w:fldCharType="end"/>
      </w:r>
    </w:p>
    <w:p w14:paraId="15C19F33" w14:textId="1FB906AF" w:rsidR="008144BE" w:rsidRDefault="008144BE">
      <w:pPr>
        <w:pStyle w:val="TOC6"/>
        <w:rPr>
          <w:rFonts w:asciiTheme="minorHAnsi" w:eastAsiaTheme="minorEastAsia" w:hAnsiTheme="minorHAnsi" w:cstheme="minorBidi"/>
          <w:b w:val="0"/>
          <w:noProof/>
          <w:kern w:val="0"/>
          <w:sz w:val="22"/>
          <w:szCs w:val="22"/>
        </w:rPr>
      </w:pPr>
      <w:r>
        <w:rPr>
          <w:noProof/>
        </w:rPr>
        <w:t>Schedule 1—Default conditions on accreditations</w:t>
      </w:r>
      <w:r>
        <w:rPr>
          <w:noProof/>
        </w:rPr>
        <w:tab/>
      </w:r>
      <w:r>
        <w:rPr>
          <w:noProof/>
        </w:rPr>
        <w:fldChar w:fldCharType="begin"/>
      </w:r>
      <w:r>
        <w:rPr>
          <w:noProof/>
        </w:rPr>
        <w:instrText xml:space="preserve"> PAGEREF _Toc74916297 \h </w:instrText>
      </w:r>
      <w:r>
        <w:rPr>
          <w:noProof/>
        </w:rPr>
      </w:r>
      <w:r>
        <w:rPr>
          <w:noProof/>
        </w:rPr>
        <w:fldChar w:fldCharType="separate"/>
      </w:r>
      <w:r w:rsidR="00A84D48">
        <w:rPr>
          <w:noProof/>
        </w:rPr>
        <w:t>134</w:t>
      </w:r>
      <w:r>
        <w:rPr>
          <w:noProof/>
        </w:rPr>
        <w:fldChar w:fldCharType="end"/>
      </w:r>
    </w:p>
    <w:p w14:paraId="40051A08" w14:textId="401F3954" w:rsidR="008144BE" w:rsidRDefault="008144BE">
      <w:pPr>
        <w:pStyle w:val="TOC2"/>
        <w:rPr>
          <w:rFonts w:asciiTheme="minorHAnsi" w:eastAsiaTheme="minorEastAsia" w:hAnsiTheme="minorHAnsi" w:cstheme="minorBidi"/>
          <w:b w:val="0"/>
          <w:noProof/>
          <w:kern w:val="0"/>
          <w:sz w:val="22"/>
          <w:szCs w:val="22"/>
        </w:rPr>
      </w:pPr>
      <w:r>
        <w:rPr>
          <w:noProof/>
        </w:rPr>
        <w:t>Part 1—Preliminary</w:t>
      </w:r>
      <w:r>
        <w:rPr>
          <w:noProof/>
        </w:rPr>
        <w:tab/>
      </w:r>
      <w:r>
        <w:rPr>
          <w:noProof/>
        </w:rPr>
        <w:fldChar w:fldCharType="begin"/>
      </w:r>
      <w:r>
        <w:rPr>
          <w:noProof/>
        </w:rPr>
        <w:instrText xml:space="preserve"> PAGEREF _Toc74916298 \h </w:instrText>
      </w:r>
      <w:r>
        <w:rPr>
          <w:noProof/>
        </w:rPr>
      </w:r>
      <w:r>
        <w:rPr>
          <w:noProof/>
        </w:rPr>
        <w:fldChar w:fldCharType="separate"/>
      </w:r>
      <w:r w:rsidR="00A84D48">
        <w:rPr>
          <w:noProof/>
        </w:rPr>
        <w:t>134</w:t>
      </w:r>
      <w:r>
        <w:rPr>
          <w:noProof/>
        </w:rPr>
        <w:fldChar w:fldCharType="end"/>
      </w:r>
    </w:p>
    <w:p w14:paraId="1EC468B8" w14:textId="252995E6" w:rsidR="008144BE" w:rsidRDefault="008144BE">
      <w:pPr>
        <w:pStyle w:val="TOC5"/>
        <w:rPr>
          <w:rFonts w:asciiTheme="minorHAnsi" w:eastAsiaTheme="minorEastAsia" w:hAnsiTheme="minorHAnsi" w:cstheme="minorBidi"/>
          <w:noProof/>
          <w:kern w:val="0"/>
          <w:sz w:val="22"/>
          <w:szCs w:val="22"/>
        </w:rPr>
      </w:pPr>
      <w:r>
        <w:rPr>
          <w:noProof/>
        </w:rPr>
        <w:t>1.1  Purpose of Schedule</w:t>
      </w:r>
      <w:r>
        <w:rPr>
          <w:noProof/>
        </w:rPr>
        <w:tab/>
      </w:r>
      <w:r>
        <w:rPr>
          <w:noProof/>
        </w:rPr>
        <w:fldChar w:fldCharType="begin"/>
      </w:r>
      <w:r>
        <w:rPr>
          <w:noProof/>
        </w:rPr>
        <w:instrText xml:space="preserve"> PAGEREF _Toc74916299 \h </w:instrText>
      </w:r>
      <w:r>
        <w:rPr>
          <w:noProof/>
        </w:rPr>
      </w:r>
      <w:r>
        <w:rPr>
          <w:noProof/>
        </w:rPr>
        <w:fldChar w:fldCharType="separate"/>
      </w:r>
      <w:r w:rsidR="00A84D48">
        <w:rPr>
          <w:noProof/>
        </w:rPr>
        <w:t>134</w:t>
      </w:r>
      <w:r>
        <w:rPr>
          <w:noProof/>
        </w:rPr>
        <w:fldChar w:fldCharType="end"/>
      </w:r>
    </w:p>
    <w:p w14:paraId="6FF21D14" w14:textId="099DE509" w:rsidR="008144BE" w:rsidRDefault="008144BE">
      <w:pPr>
        <w:pStyle w:val="TOC2"/>
        <w:rPr>
          <w:rFonts w:asciiTheme="minorHAnsi" w:eastAsiaTheme="minorEastAsia" w:hAnsiTheme="minorHAnsi" w:cstheme="minorBidi"/>
          <w:b w:val="0"/>
          <w:noProof/>
          <w:kern w:val="0"/>
          <w:sz w:val="22"/>
          <w:szCs w:val="22"/>
        </w:rPr>
      </w:pPr>
      <w:r>
        <w:rPr>
          <w:noProof/>
        </w:rPr>
        <w:t>Part 2—Default conditions on accreditations</w:t>
      </w:r>
      <w:r>
        <w:rPr>
          <w:noProof/>
        </w:rPr>
        <w:tab/>
      </w:r>
      <w:r>
        <w:rPr>
          <w:noProof/>
        </w:rPr>
        <w:fldChar w:fldCharType="begin"/>
      </w:r>
      <w:r>
        <w:rPr>
          <w:noProof/>
        </w:rPr>
        <w:instrText xml:space="preserve"> PAGEREF _Toc74916300 \h </w:instrText>
      </w:r>
      <w:r>
        <w:rPr>
          <w:noProof/>
        </w:rPr>
      </w:r>
      <w:r>
        <w:rPr>
          <w:noProof/>
        </w:rPr>
        <w:fldChar w:fldCharType="separate"/>
      </w:r>
      <w:r w:rsidR="00A84D48">
        <w:rPr>
          <w:noProof/>
        </w:rPr>
        <w:t>134</w:t>
      </w:r>
      <w:r>
        <w:rPr>
          <w:noProof/>
        </w:rPr>
        <w:fldChar w:fldCharType="end"/>
      </w:r>
    </w:p>
    <w:p w14:paraId="365277FC" w14:textId="7FB3B2F1" w:rsidR="008144BE" w:rsidRDefault="008144BE">
      <w:pPr>
        <w:pStyle w:val="TOC5"/>
        <w:rPr>
          <w:rFonts w:asciiTheme="minorHAnsi" w:eastAsiaTheme="minorEastAsia" w:hAnsiTheme="minorHAnsi" w:cstheme="minorBidi"/>
          <w:noProof/>
          <w:kern w:val="0"/>
          <w:sz w:val="22"/>
          <w:szCs w:val="22"/>
        </w:rPr>
      </w:pPr>
      <w:r>
        <w:rPr>
          <w:noProof/>
        </w:rPr>
        <w:t>2.1  Ongoing reporting obligation on accredited persons</w:t>
      </w:r>
      <w:r>
        <w:rPr>
          <w:noProof/>
        </w:rPr>
        <w:tab/>
      </w:r>
      <w:r>
        <w:rPr>
          <w:noProof/>
        </w:rPr>
        <w:fldChar w:fldCharType="begin"/>
      </w:r>
      <w:r>
        <w:rPr>
          <w:noProof/>
        </w:rPr>
        <w:instrText xml:space="preserve"> PAGEREF _Toc74916301 \h </w:instrText>
      </w:r>
      <w:r>
        <w:rPr>
          <w:noProof/>
        </w:rPr>
      </w:r>
      <w:r>
        <w:rPr>
          <w:noProof/>
        </w:rPr>
        <w:fldChar w:fldCharType="separate"/>
      </w:r>
      <w:r w:rsidR="00A84D48">
        <w:rPr>
          <w:noProof/>
        </w:rPr>
        <w:t>134</w:t>
      </w:r>
      <w:r>
        <w:rPr>
          <w:noProof/>
        </w:rPr>
        <w:fldChar w:fldCharType="end"/>
      </w:r>
    </w:p>
    <w:p w14:paraId="14D1D1CC" w14:textId="0345E37D" w:rsidR="008144BE" w:rsidRDefault="008144BE">
      <w:pPr>
        <w:pStyle w:val="TOC5"/>
        <w:rPr>
          <w:rFonts w:asciiTheme="minorHAnsi" w:eastAsiaTheme="minorEastAsia" w:hAnsiTheme="minorHAnsi" w:cstheme="minorBidi"/>
          <w:noProof/>
          <w:kern w:val="0"/>
          <w:sz w:val="22"/>
          <w:szCs w:val="22"/>
        </w:rPr>
      </w:pPr>
      <w:r w:rsidRPr="00BC78CF">
        <w:rPr>
          <w:noProof/>
          <w:color w:val="FF0000"/>
        </w:rPr>
        <w:t>2.2  Conditions on sponsors and potential sponsors</w:t>
      </w:r>
      <w:r>
        <w:rPr>
          <w:noProof/>
        </w:rPr>
        <w:tab/>
      </w:r>
      <w:r>
        <w:rPr>
          <w:noProof/>
        </w:rPr>
        <w:fldChar w:fldCharType="begin"/>
      </w:r>
      <w:r>
        <w:rPr>
          <w:noProof/>
        </w:rPr>
        <w:instrText xml:space="preserve"> PAGEREF _Toc74916302 \h </w:instrText>
      </w:r>
      <w:r>
        <w:rPr>
          <w:noProof/>
        </w:rPr>
      </w:r>
      <w:r>
        <w:rPr>
          <w:noProof/>
        </w:rPr>
        <w:fldChar w:fldCharType="separate"/>
      </w:r>
      <w:r w:rsidR="00A84D48">
        <w:rPr>
          <w:noProof/>
        </w:rPr>
        <w:t>136</w:t>
      </w:r>
      <w:r>
        <w:rPr>
          <w:noProof/>
        </w:rPr>
        <w:fldChar w:fldCharType="end"/>
      </w:r>
    </w:p>
    <w:p w14:paraId="506A2B04" w14:textId="24FFC2B0" w:rsidR="008144BE" w:rsidRDefault="008144BE">
      <w:pPr>
        <w:pStyle w:val="TOC5"/>
        <w:rPr>
          <w:rFonts w:asciiTheme="minorHAnsi" w:eastAsiaTheme="minorEastAsia" w:hAnsiTheme="minorHAnsi" w:cstheme="minorBidi"/>
          <w:noProof/>
          <w:kern w:val="0"/>
          <w:sz w:val="22"/>
          <w:szCs w:val="22"/>
        </w:rPr>
      </w:pPr>
      <w:r w:rsidRPr="00BC78CF">
        <w:rPr>
          <w:noProof/>
          <w:color w:val="FF0000"/>
        </w:rPr>
        <w:t>2.3  Conditions in relation to CDR representatives</w:t>
      </w:r>
      <w:r>
        <w:rPr>
          <w:noProof/>
        </w:rPr>
        <w:tab/>
      </w:r>
      <w:r>
        <w:rPr>
          <w:noProof/>
        </w:rPr>
        <w:fldChar w:fldCharType="begin"/>
      </w:r>
      <w:r>
        <w:rPr>
          <w:noProof/>
        </w:rPr>
        <w:instrText xml:space="preserve"> PAGEREF _Toc74916303 \h </w:instrText>
      </w:r>
      <w:r>
        <w:rPr>
          <w:noProof/>
        </w:rPr>
      </w:r>
      <w:r>
        <w:rPr>
          <w:noProof/>
        </w:rPr>
        <w:fldChar w:fldCharType="separate"/>
      </w:r>
      <w:r w:rsidR="00A84D48">
        <w:rPr>
          <w:noProof/>
        </w:rPr>
        <w:t>136</w:t>
      </w:r>
      <w:r>
        <w:rPr>
          <w:noProof/>
        </w:rPr>
        <w:fldChar w:fldCharType="end"/>
      </w:r>
    </w:p>
    <w:p w14:paraId="1401233B" w14:textId="64DBCE24" w:rsidR="008144BE" w:rsidRDefault="008144BE">
      <w:pPr>
        <w:pStyle w:val="TOC6"/>
        <w:rPr>
          <w:rFonts w:asciiTheme="minorHAnsi" w:eastAsiaTheme="minorEastAsia" w:hAnsiTheme="minorHAnsi" w:cstheme="minorBidi"/>
          <w:b w:val="0"/>
          <w:noProof/>
          <w:kern w:val="0"/>
          <w:sz w:val="22"/>
          <w:szCs w:val="22"/>
        </w:rPr>
      </w:pPr>
      <w:r w:rsidRPr="0094186E">
        <w:rPr>
          <w:noProof/>
          <w:color w:val="000000" w:themeColor="text1"/>
        </w:rPr>
        <w:t>Schedule 2—Steps for privacy safeguard 12</w:t>
      </w:r>
      <w:r w:rsidRPr="0094186E">
        <w:rPr>
          <w:rFonts w:cs="Arial"/>
          <w:noProof/>
          <w:color w:val="000000" w:themeColor="text1"/>
        </w:rPr>
        <w:t>—</w:t>
      </w:r>
      <w:r>
        <w:rPr>
          <w:noProof/>
        </w:rPr>
        <w:t>security of CDR data held by accredited data recipients</w:t>
      </w:r>
      <w:r>
        <w:rPr>
          <w:noProof/>
        </w:rPr>
        <w:tab/>
      </w:r>
      <w:r>
        <w:rPr>
          <w:noProof/>
        </w:rPr>
        <w:fldChar w:fldCharType="begin"/>
      </w:r>
      <w:r>
        <w:rPr>
          <w:noProof/>
        </w:rPr>
        <w:instrText xml:space="preserve"> PAGEREF _Toc74916304 \h </w:instrText>
      </w:r>
      <w:r>
        <w:rPr>
          <w:noProof/>
        </w:rPr>
      </w:r>
      <w:r>
        <w:rPr>
          <w:noProof/>
        </w:rPr>
        <w:fldChar w:fldCharType="separate"/>
      </w:r>
      <w:r w:rsidR="00A84D48">
        <w:rPr>
          <w:noProof/>
        </w:rPr>
        <w:t>137</w:t>
      </w:r>
      <w:r>
        <w:rPr>
          <w:noProof/>
        </w:rPr>
        <w:fldChar w:fldCharType="end"/>
      </w:r>
    </w:p>
    <w:p w14:paraId="0AB13BB2" w14:textId="50E01656" w:rsidR="008144BE" w:rsidRDefault="008144BE">
      <w:pPr>
        <w:pStyle w:val="TOC2"/>
        <w:rPr>
          <w:rFonts w:asciiTheme="minorHAnsi" w:eastAsiaTheme="minorEastAsia" w:hAnsiTheme="minorHAnsi" w:cstheme="minorBidi"/>
          <w:b w:val="0"/>
          <w:noProof/>
          <w:kern w:val="0"/>
          <w:sz w:val="22"/>
          <w:szCs w:val="22"/>
        </w:rPr>
      </w:pPr>
      <w:r>
        <w:rPr>
          <w:noProof/>
        </w:rPr>
        <w:t>Part 1—Steps for privacy safeguard 12</w:t>
      </w:r>
      <w:r>
        <w:rPr>
          <w:noProof/>
        </w:rPr>
        <w:tab/>
      </w:r>
      <w:r>
        <w:rPr>
          <w:noProof/>
        </w:rPr>
        <w:fldChar w:fldCharType="begin"/>
      </w:r>
      <w:r>
        <w:rPr>
          <w:noProof/>
        </w:rPr>
        <w:instrText xml:space="preserve"> PAGEREF _Toc74916305 \h </w:instrText>
      </w:r>
      <w:r>
        <w:rPr>
          <w:noProof/>
        </w:rPr>
      </w:r>
      <w:r>
        <w:rPr>
          <w:noProof/>
        </w:rPr>
        <w:fldChar w:fldCharType="separate"/>
      </w:r>
      <w:r w:rsidR="00A84D48">
        <w:rPr>
          <w:noProof/>
        </w:rPr>
        <w:t>137</w:t>
      </w:r>
      <w:r>
        <w:rPr>
          <w:noProof/>
        </w:rPr>
        <w:fldChar w:fldCharType="end"/>
      </w:r>
    </w:p>
    <w:p w14:paraId="4C4BC40D" w14:textId="21C06E1E" w:rsidR="008144BE" w:rsidRDefault="008144BE">
      <w:pPr>
        <w:pStyle w:val="TOC5"/>
        <w:rPr>
          <w:rFonts w:asciiTheme="minorHAnsi" w:eastAsiaTheme="minorEastAsia" w:hAnsiTheme="minorHAnsi" w:cstheme="minorBidi"/>
          <w:noProof/>
          <w:kern w:val="0"/>
          <w:sz w:val="22"/>
          <w:szCs w:val="22"/>
        </w:rPr>
      </w:pPr>
      <w:r>
        <w:rPr>
          <w:noProof/>
        </w:rPr>
        <w:t>1.1  Purpose of Part</w:t>
      </w:r>
      <w:r>
        <w:rPr>
          <w:noProof/>
        </w:rPr>
        <w:tab/>
      </w:r>
      <w:r>
        <w:rPr>
          <w:noProof/>
        </w:rPr>
        <w:fldChar w:fldCharType="begin"/>
      </w:r>
      <w:r>
        <w:rPr>
          <w:noProof/>
        </w:rPr>
        <w:instrText xml:space="preserve"> PAGEREF _Toc74916306 \h </w:instrText>
      </w:r>
      <w:r>
        <w:rPr>
          <w:noProof/>
        </w:rPr>
      </w:r>
      <w:r>
        <w:rPr>
          <w:noProof/>
        </w:rPr>
        <w:fldChar w:fldCharType="separate"/>
      </w:r>
      <w:r w:rsidR="00A84D48">
        <w:rPr>
          <w:noProof/>
        </w:rPr>
        <w:t>137</w:t>
      </w:r>
      <w:r>
        <w:rPr>
          <w:noProof/>
        </w:rPr>
        <w:fldChar w:fldCharType="end"/>
      </w:r>
    </w:p>
    <w:p w14:paraId="11ACFCE5" w14:textId="263FE0EE" w:rsidR="008144BE" w:rsidRDefault="008144BE">
      <w:pPr>
        <w:pStyle w:val="TOC5"/>
        <w:rPr>
          <w:rFonts w:asciiTheme="minorHAnsi" w:eastAsiaTheme="minorEastAsia" w:hAnsiTheme="minorHAnsi" w:cstheme="minorBidi"/>
          <w:noProof/>
          <w:kern w:val="0"/>
          <w:sz w:val="22"/>
          <w:szCs w:val="22"/>
        </w:rPr>
      </w:pPr>
      <w:r>
        <w:rPr>
          <w:noProof/>
        </w:rPr>
        <w:t>1.2  Interpretation</w:t>
      </w:r>
      <w:r>
        <w:rPr>
          <w:noProof/>
        </w:rPr>
        <w:tab/>
      </w:r>
      <w:r>
        <w:rPr>
          <w:noProof/>
        </w:rPr>
        <w:fldChar w:fldCharType="begin"/>
      </w:r>
      <w:r>
        <w:rPr>
          <w:noProof/>
        </w:rPr>
        <w:instrText xml:space="preserve"> PAGEREF _Toc74916307 \h </w:instrText>
      </w:r>
      <w:r>
        <w:rPr>
          <w:noProof/>
        </w:rPr>
      </w:r>
      <w:r>
        <w:rPr>
          <w:noProof/>
        </w:rPr>
        <w:fldChar w:fldCharType="separate"/>
      </w:r>
      <w:r w:rsidR="00A84D48">
        <w:rPr>
          <w:noProof/>
        </w:rPr>
        <w:t>137</w:t>
      </w:r>
      <w:r>
        <w:rPr>
          <w:noProof/>
        </w:rPr>
        <w:fldChar w:fldCharType="end"/>
      </w:r>
    </w:p>
    <w:p w14:paraId="346E8C53" w14:textId="7CC952D1" w:rsidR="008144BE" w:rsidRDefault="008144BE">
      <w:pPr>
        <w:pStyle w:val="TOC5"/>
        <w:rPr>
          <w:rFonts w:asciiTheme="minorHAnsi" w:eastAsiaTheme="minorEastAsia" w:hAnsiTheme="minorHAnsi" w:cstheme="minorBidi"/>
          <w:noProof/>
          <w:kern w:val="0"/>
          <w:sz w:val="22"/>
          <w:szCs w:val="22"/>
        </w:rPr>
      </w:pPr>
      <w:r>
        <w:rPr>
          <w:noProof/>
        </w:rPr>
        <w:t>1.3  Step 1—Define and implement security governance in relation to CDR data</w:t>
      </w:r>
      <w:r>
        <w:rPr>
          <w:noProof/>
        </w:rPr>
        <w:tab/>
      </w:r>
      <w:r>
        <w:rPr>
          <w:noProof/>
        </w:rPr>
        <w:fldChar w:fldCharType="begin"/>
      </w:r>
      <w:r>
        <w:rPr>
          <w:noProof/>
        </w:rPr>
        <w:instrText xml:space="preserve"> PAGEREF _Toc74916308 \h </w:instrText>
      </w:r>
      <w:r>
        <w:rPr>
          <w:noProof/>
        </w:rPr>
      </w:r>
      <w:r>
        <w:rPr>
          <w:noProof/>
        </w:rPr>
        <w:fldChar w:fldCharType="separate"/>
      </w:r>
      <w:r w:rsidR="00A84D48">
        <w:rPr>
          <w:noProof/>
        </w:rPr>
        <w:t>137</w:t>
      </w:r>
      <w:r>
        <w:rPr>
          <w:noProof/>
        </w:rPr>
        <w:fldChar w:fldCharType="end"/>
      </w:r>
    </w:p>
    <w:p w14:paraId="100A094C" w14:textId="592961C4" w:rsidR="008144BE" w:rsidRDefault="008144BE">
      <w:pPr>
        <w:pStyle w:val="TOC5"/>
        <w:rPr>
          <w:rFonts w:asciiTheme="minorHAnsi" w:eastAsiaTheme="minorEastAsia" w:hAnsiTheme="minorHAnsi" w:cstheme="minorBidi"/>
          <w:noProof/>
          <w:kern w:val="0"/>
          <w:sz w:val="22"/>
          <w:szCs w:val="22"/>
        </w:rPr>
      </w:pPr>
      <w:r>
        <w:rPr>
          <w:noProof/>
        </w:rPr>
        <w:t>1.4  Step 2—Define the boundaries of the CDR data environment</w:t>
      </w:r>
      <w:r>
        <w:rPr>
          <w:noProof/>
        </w:rPr>
        <w:tab/>
      </w:r>
      <w:r>
        <w:rPr>
          <w:noProof/>
        </w:rPr>
        <w:fldChar w:fldCharType="begin"/>
      </w:r>
      <w:r>
        <w:rPr>
          <w:noProof/>
        </w:rPr>
        <w:instrText xml:space="preserve"> PAGEREF _Toc74916309 \h </w:instrText>
      </w:r>
      <w:r>
        <w:rPr>
          <w:noProof/>
        </w:rPr>
      </w:r>
      <w:r>
        <w:rPr>
          <w:noProof/>
        </w:rPr>
        <w:fldChar w:fldCharType="separate"/>
      </w:r>
      <w:r w:rsidR="00A84D48">
        <w:rPr>
          <w:noProof/>
        </w:rPr>
        <w:t>138</w:t>
      </w:r>
      <w:r>
        <w:rPr>
          <w:noProof/>
        </w:rPr>
        <w:fldChar w:fldCharType="end"/>
      </w:r>
    </w:p>
    <w:p w14:paraId="6C13647A" w14:textId="2E39D009" w:rsidR="008144BE" w:rsidRPr="00BC78CF" w:rsidRDefault="008144BE">
      <w:pPr>
        <w:pStyle w:val="TOC5"/>
        <w:rPr>
          <w:rFonts w:asciiTheme="minorHAnsi" w:eastAsiaTheme="minorEastAsia" w:hAnsiTheme="minorHAnsi" w:cstheme="minorBidi"/>
          <w:noProof/>
          <w:color w:val="FF0000"/>
          <w:kern w:val="0"/>
          <w:sz w:val="22"/>
          <w:szCs w:val="22"/>
        </w:rPr>
      </w:pPr>
      <w:r>
        <w:rPr>
          <w:noProof/>
        </w:rPr>
        <w:t>1.5  Step 3—Have and maintain an information security capability</w:t>
      </w:r>
      <w:r>
        <w:rPr>
          <w:noProof/>
        </w:rPr>
        <w:tab/>
      </w:r>
      <w:r>
        <w:rPr>
          <w:noProof/>
        </w:rPr>
        <w:fldChar w:fldCharType="begin"/>
      </w:r>
      <w:r>
        <w:rPr>
          <w:noProof/>
        </w:rPr>
        <w:instrText xml:space="preserve"> PAGEREF _Toc74916310 \h </w:instrText>
      </w:r>
      <w:r>
        <w:rPr>
          <w:noProof/>
        </w:rPr>
      </w:r>
      <w:r>
        <w:rPr>
          <w:noProof/>
        </w:rPr>
        <w:fldChar w:fldCharType="separate"/>
      </w:r>
      <w:r w:rsidR="00A84D48">
        <w:rPr>
          <w:noProof/>
        </w:rPr>
        <w:t>138</w:t>
      </w:r>
      <w:r>
        <w:rPr>
          <w:noProof/>
        </w:rPr>
        <w:fldChar w:fldCharType="end"/>
      </w:r>
    </w:p>
    <w:p w14:paraId="3F027B2E" w14:textId="33304CD2" w:rsidR="008144BE" w:rsidRDefault="008144BE">
      <w:pPr>
        <w:pStyle w:val="TOC5"/>
        <w:rPr>
          <w:rFonts w:asciiTheme="minorHAnsi" w:eastAsiaTheme="minorEastAsia" w:hAnsiTheme="minorHAnsi" w:cstheme="minorBidi"/>
          <w:noProof/>
          <w:kern w:val="0"/>
          <w:sz w:val="22"/>
          <w:szCs w:val="22"/>
        </w:rPr>
      </w:pPr>
      <w:r>
        <w:rPr>
          <w:noProof/>
        </w:rPr>
        <w:t>1.6  Step 4—Implement a formal controls assessment program</w:t>
      </w:r>
      <w:r>
        <w:rPr>
          <w:noProof/>
        </w:rPr>
        <w:tab/>
      </w:r>
      <w:r>
        <w:rPr>
          <w:noProof/>
        </w:rPr>
        <w:fldChar w:fldCharType="begin"/>
      </w:r>
      <w:r>
        <w:rPr>
          <w:noProof/>
        </w:rPr>
        <w:instrText xml:space="preserve"> PAGEREF _Toc74916311 \h </w:instrText>
      </w:r>
      <w:r>
        <w:rPr>
          <w:noProof/>
        </w:rPr>
      </w:r>
      <w:r>
        <w:rPr>
          <w:noProof/>
        </w:rPr>
        <w:fldChar w:fldCharType="separate"/>
      </w:r>
      <w:r w:rsidR="00A84D48">
        <w:rPr>
          <w:noProof/>
        </w:rPr>
        <w:t>139</w:t>
      </w:r>
      <w:r>
        <w:rPr>
          <w:noProof/>
        </w:rPr>
        <w:fldChar w:fldCharType="end"/>
      </w:r>
    </w:p>
    <w:p w14:paraId="5D3C6C0D" w14:textId="1AEC3ED6" w:rsidR="008144BE" w:rsidRDefault="008144BE">
      <w:pPr>
        <w:pStyle w:val="TOC5"/>
        <w:rPr>
          <w:rFonts w:asciiTheme="minorHAnsi" w:eastAsiaTheme="minorEastAsia" w:hAnsiTheme="minorHAnsi" w:cstheme="minorBidi"/>
          <w:noProof/>
          <w:kern w:val="0"/>
          <w:sz w:val="22"/>
          <w:szCs w:val="22"/>
        </w:rPr>
      </w:pPr>
      <w:r>
        <w:rPr>
          <w:noProof/>
        </w:rPr>
        <w:t>1.7  Step 5—Manage and report security incidents</w:t>
      </w:r>
      <w:r>
        <w:rPr>
          <w:noProof/>
        </w:rPr>
        <w:tab/>
      </w:r>
      <w:r>
        <w:rPr>
          <w:noProof/>
        </w:rPr>
        <w:fldChar w:fldCharType="begin"/>
      </w:r>
      <w:r>
        <w:rPr>
          <w:noProof/>
        </w:rPr>
        <w:instrText xml:space="preserve"> PAGEREF _Toc74916312 \h </w:instrText>
      </w:r>
      <w:r>
        <w:rPr>
          <w:noProof/>
        </w:rPr>
      </w:r>
      <w:r>
        <w:rPr>
          <w:noProof/>
        </w:rPr>
        <w:fldChar w:fldCharType="separate"/>
      </w:r>
      <w:r w:rsidR="00A84D48">
        <w:rPr>
          <w:noProof/>
        </w:rPr>
        <w:t>139</w:t>
      </w:r>
      <w:r>
        <w:rPr>
          <w:noProof/>
        </w:rPr>
        <w:fldChar w:fldCharType="end"/>
      </w:r>
    </w:p>
    <w:p w14:paraId="720A0E7A" w14:textId="707D2222" w:rsidR="008144BE" w:rsidRDefault="008144BE">
      <w:pPr>
        <w:pStyle w:val="TOC2"/>
        <w:rPr>
          <w:rFonts w:asciiTheme="minorHAnsi" w:eastAsiaTheme="minorEastAsia" w:hAnsiTheme="minorHAnsi" w:cstheme="minorBidi"/>
          <w:b w:val="0"/>
          <w:noProof/>
          <w:kern w:val="0"/>
          <w:sz w:val="22"/>
          <w:szCs w:val="22"/>
        </w:rPr>
      </w:pPr>
      <w:r>
        <w:rPr>
          <w:noProof/>
        </w:rPr>
        <w:t>Part 2 —Minimum information security controls</w:t>
      </w:r>
      <w:r>
        <w:rPr>
          <w:noProof/>
        </w:rPr>
        <w:tab/>
      </w:r>
      <w:r>
        <w:rPr>
          <w:noProof/>
        </w:rPr>
        <w:fldChar w:fldCharType="begin"/>
      </w:r>
      <w:r>
        <w:rPr>
          <w:noProof/>
        </w:rPr>
        <w:instrText xml:space="preserve"> PAGEREF _Toc74916313 \h </w:instrText>
      </w:r>
      <w:r>
        <w:rPr>
          <w:noProof/>
        </w:rPr>
      </w:r>
      <w:r>
        <w:rPr>
          <w:noProof/>
        </w:rPr>
        <w:fldChar w:fldCharType="separate"/>
      </w:r>
      <w:r w:rsidR="00A84D48">
        <w:rPr>
          <w:noProof/>
        </w:rPr>
        <w:t>141</w:t>
      </w:r>
      <w:r>
        <w:rPr>
          <w:noProof/>
        </w:rPr>
        <w:fldChar w:fldCharType="end"/>
      </w:r>
    </w:p>
    <w:p w14:paraId="06DA63C5" w14:textId="2E9F3160" w:rsidR="008144BE" w:rsidRDefault="008144BE">
      <w:pPr>
        <w:pStyle w:val="TOC5"/>
        <w:rPr>
          <w:rFonts w:asciiTheme="minorHAnsi" w:eastAsiaTheme="minorEastAsia" w:hAnsiTheme="minorHAnsi" w:cstheme="minorBidi"/>
          <w:noProof/>
          <w:kern w:val="0"/>
          <w:sz w:val="22"/>
          <w:szCs w:val="22"/>
        </w:rPr>
      </w:pPr>
      <w:r>
        <w:rPr>
          <w:noProof/>
        </w:rPr>
        <w:t>2.1  Purpose of Part</w:t>
      </w:r>
      <w:r>
        <w:rPr>
          <w:noProof/>
        </w:rPr>
        <w:tab/>
      </w:r>
      <w:r>
        <w:rPr>
          <w:noProof/>
        </w:rPr>
        <w:fldChar w:fldCharType="begin"/>
      </w:r>
      <w:r>
        <w:rPr>
          <w:noProof/>
        </w:rPr>
        <w:instrText xml:space="preserve"> PAGEREF _Toc74916314 \h </w:instrText>
      </w:r>
      <w:r>
        <w:rPr>
          <w:noProof/>
        </w:rPr>
      </w:r>
      <w:r>
        <w:rPr>
          <w:noProof/>
        </w:rPr>
        <w:fldChar w:fldCharType="separate"/>
      </w:r>
      <w:r w:rsidR="00A84D48">
        <w:rPr>
          <w:noProof/>
        </w:rPr>
        <w:t>141</w:t>
      </w:r>
      <w:r>
        <w:rPr>
          <w:noProof/>
        </w:rPr>
        <w:fldChar w:fldCharType="end"/>
      </w:r>
    </w:p>
    <w:p w14:paraId="03324361" w14:textId="2CBE4A15" w:rsidR="008144BE" w:rsidRDefault="008144BE">
      <w:pPr>
        <w:pStyle w:val="TOC5"/>
        <w:rPr>
          <w:rFonts w:asciiTheme="minorHAnsi" w:eastAsiaTheme="minorEastAsia" w:hAnsiTheme="minorHAnsi" w:cstheme="minorBidi"/>
          <w:noProof/>
          <w:kern w:val="0"/>
          <w:sz w:val="22"/>
          <w:szCs w:val="22"/>
        </w:rPr>
      </w:pPr>
      <w:r>
        <w:rPr>
          <w:noProof/>
        </w:rPr>
        <w:t>2.2   Information security controls</w:t>
      </w:r>
      <w:r>
        <w:rPr>
          <w:noProof/>
        </w:rPr>
        <w:tab/>
      </w:r>
      <w:r>
        <w:rPr>
          <w:noProof/>
        </w:rPr>
        <w:fldChar w:fldCharType="begin"/>
      </w:r>
      <w:r>
        <w:rPr>
          <w:noProof/>
        </w:rPr>
        <w:instrText xml:space="preserve"> PAGEREF _Toc74916315 \h </w:instrText>
      </w:r>
      <w:r>
        <w:rPr>
          <w:noProof/>
        </w:rPr>
      </w:r>
      <w:r>
        <w:rPr>
          <w:noProof/>
        </w:rPr>
        <w:fldChar w:fldCharType="separate"/>
      </w:r>
      <w:r w:rsidR="00A84D48">
        <w:rPr>
          <w:noProof/>
        </w:rPr>
        <w:t>141</w:t>
      </w:r>
      <w:r>
        <w:rPr>
          <w:noProof/>
        </w:rPr>
        <w:fldChar w:fldCharType="end"/>
      </w:r>
    </w:p>
    <w:p w14:paraId="3A4F864D" w14:textId="1FED1725" w:rsidR="008144BE" w:rsidRDefault="008144BE">
      <w:pPr>
        <w:pStyle w:val="TOC6"/>
        <w:rPr>
          <w:rFonts w:asciiTheme="minorHAnsi" w:eastAsiaTheme="minorEastAsia" w:hAnsiTheme="minorHAnsi" w:cstheme="minorBidi"/>
          <w:b w:val="0"/>
          <w:noProof/>
          <w:kern w:val="0"/>
          <w:sz w:val="22"/>
          <w:szCs w:val="22"/>
        </w:rPr>
      </w:pPr>
      <w:r w:rsidRPr="0094186E">
        <w:rPr>
          <w:noProof/>
          <w:color w:val="000000" w:themeColor="text1"/>
        </w:rPr>
        <w:t>Schedule 3—Provisions relevant to the banking sector</w:t>
      </w:r>
      <w:r>
        <w:rPr>
          <w:noProof/>
        </w:rPr>
        <w:tab/>
      </w:r>
      <w:r>
        <w:rPr>
          <w:noProof/>
        </w:rPr>
        <w:fldChar w:fldCharType="begin"/>
      </w:r>
      <w:r>
        <w:rPr>
          <w:noProof/>
        </w:rPr>
        <w:instrText xml:space="preserve"> PAGEREF _Toc74916316 \h </w:instrText>
      </w:r>
      <w:r>
        <w:rPr>
          <w:noProof/>
        </w:rPr>
      </w:r>
      <w:r>
        <w:rPr>
          <w:noProof/>
        </w:rPr>
        <w:fldChar w:fldCharType="separate"/>
      </w:r>
      <w:r w:rsidR="00A84D48">
        <w:rPr>
          <w:noProof/>
        </w:rPr>
        <w:t>147</w:t>
      </w:r>
      <w:r>
        <w:rPr>
          <w:noProof/>
        </w:rPr>
        <w:fldChar w:fldCharType="end"/>
      </w:r>
    </w:p>
    <w:p w14:paraId="17E01C4F" w14:textId="6BAAAC95" w:rsidR="008144BE" w:rsidRDefault="008144BE">
      <w:pPr>
        <w:pStyle w:val="TOC2"/>
        <w:rPr>
          <w:rFonts w:asciiTheme="minorHAnsi" w:eastAsiaTheme="minorEastAsia" w:hAnsiTheme="minorHAnsi" w:cstheme="minorBidi"/>
          <w:b w:val="0"/>
          <w:noProof/>
          <w:kern w:val="0"/>
          <w:sz w:val="22"/>
          <w:szCs w:val="22"/>
        </w:rPr>
      </w:pPr>
      <w:r>
        <w:rPr>
          <w:noProof/>
        </w:rPr>
        <w:t>Part 1—Preliminary</w:t>
      </w:r>
      <w:r>
        <w:rPr>
          <w:noProof/>
        </w:rPr>
        <w:tab/>
      </w:r>
      <w:r>
        <w:rPr>
          <w:noProof/>
        </w:rPr>
        <w:fldChar w:fldCharType="begin"/>
      </w:r>
      <w:r>
        <w:rPr>
          <w:noProof/>
        </w:rPr>
        <w:instrText xml:space="preserve"> PAGEREF _Toc74916317 \h </w:instrText>
      </w:r>
      <w:r>
        <w:rPr>
          <w:noProof/>
        </w:rPr>
      </w:r>
      <w:r>
        <w:rPr>
          <w:noProof/>
        </w:rPr>
        <w:fldChar w:fldCharType="separate"/>
      </w:r>
      <w:r w:rsidR="00A84D48">
        <w:rPr>
          <w:noProof/>
        </w:rPr>
        <w:t>147</w:t>
      </w:r>
      <w:r>
        <w:rPr>
          <w:noProof/>
        </w:rPr>
        <w:fldChar w:fldCharType="end"/>
      </w:r>
    </w:p>
    <w:p w14:paraId="0BAAAF23" w14:textId="10702091" w:rsidR="008144BE" w:rsidRDefault="008144BE">
      <w:pPr>
        <w:pStyle w:val="TOC5"/>
        <w:rPr>
          <w:rFonts w:asciiTheme="minorHAnsi" w:eastAsiaTheme="minorEastAsia" w:hAnsiTheme="minorHAnsi" w:cstheme="minorBidi"/>
          <w:noProof/>
          <w:kern w:val="0"/>
          <w:sz w:val="22"/>
          <w:szCs w:val="22"/>
        </w:rPr>
      </w:pPr>
      <w:r>
        <w:rPr>
          <w:noProof/>
        </w:rPr>
        <w:t>1.1  Simplified outline of this Schedule</w:t>
      </w:r>
      <w:r>
        <w:rPr>
          <w:noProof/>
        </w:rPr>
        <w:tab/>
      </w:r>
      <w:r>
        <w:rPr>
          <w:noProof/>
        </w:rPr>
        <w:fldChar w:fldCharType="begin"/>
      </w:r>
      <w:r>
        <w:rPr>
          <w:noProof/>
        </w:rPr>
        <w:instrText xml:space="preserve"> PAGEREF _Toc74916318 \h </w:instrText>
      </w:r>
      <w:r>
        <w:rPr>
          <w:noProof/>
        </w:rPr>
      </w:r>
      <w:r>
        <w:rPr>
          <w:noProof/>
        </w:rPr>
        <w:fldChar w:fldCharType="separate"/>
      </w:r>
      <w:r w:rsidR="00A84D48">
        <w:rPr>
          <w:noProof/>
        </w:rPr>
        <w:t>147</w:t>
      </w:r>
      <w:r>
        <w:rPr>
          <w:noProof/>
        </w:rPr>
        <w:fldChar w:fldCharType="end"/>
      </w:r>
    </w:p>
    <w:p w14:paraId="2E0D7A2D" w14:textId="23F34FEF" w:rsidR="008144BE" w:rsidRDefault="008144BE">
      <w:pPr>
        <w:pStyle w:val="TOC5"/>
        <w:rPr>
          <w:rFonts w:asciiTheme="minorHAnsi" w:eastAsiaTheme="minorEastAsia" w:hAnsiTheme="minorHAnsi" w:cstheme="minorBidi"/>
          <w:noProof/>
          <w:kern w:val="0"/>
          <w:sz w:val="22"/>
          <w:szCs w:val="22"/>
        </w:rPr>
      </w:pPr>
      <w:r>
        <w:rPr>
          <w:noProof/>
        </w:rPr>
        <w:t>1.2  Interpretation</w:t>
      </w:r>
      <w:r>
        <w:rPr>
          <w:noProof/>
        </w:rPr>
        <w:tab/>
      </w:r>
      <w:r>
        <w:rPr>
          <w:noProof/>
        </w:rPr>
        <w:fldChar w:fldCharType="begin"/>
      </w:r>
      <w:r>
        <w:rPr>
          <w:noProof/>
        </w:rPr>
        <w:instrText xml:space="preserve"> PAGEREF _Toc74916319 \h </w:instrText>
      </w:r>
      <w:r>
        <w:rPr>
          <w:noProof/>
        </w:rPr>
      </w:r>
      <w:r>
        <w:rPr>
          <w:noProof/>
        </w:rPr>
        <w:fldChar w:fldCharType="separate"/>
      </w:r>
      <w:r w:rsidR="00A84D48">
        <w:rPr>
          <w:noProof/>
        </w:rPr>
        <w:t>147</w:t>
      </w:r>
      <w:r>
        <w:rPr>
          <w:noProof/>
        </w:rPr>
        <w:fldChar w:fldCharType="end"/>
      </w:r>
    </w:p>
    <w:p w14:paraId="5614ED7C" w14:textId="0021834E" w:rsidR="008144BE" w:rsidRDefault="008144BE">
      <w:pPr>
        <w:pStyle w:val="TOC5"/>
        <w:rPr>
          <w:rFonts w:asciiTheme="minorHAnsi" w:eastAsiaTheme="minorEastAsia" w:hAnsiTheme="minorHAnsi" w:cstheme="minorBidi"/>
          <w:noProof/>
          <w:kern w:val="0"/>
          <w:sz w:val="22"/>
          <w:szCs w:val="22"/>
        </w:rPr>
      </w:pPr>
      <w:r>
        <w:rPr>
          <w:noProof/>
        </w:rPr>
        <w:t xml:space="preserve">1.3  Meaning of </w:t>
      </w:r>
      <w:r w:rsidRPr="0094186E">
        <w:rPr>
          <w:i/>
          <w:noProof/>
        </w:rPr>
        <w:t>customer data</w:t>
      </w:r>
      <w:r>
        <w:rPr>
          <w:noProof/>
        </w:rPr>
        <w:t xml:space="preserve">, </w:t>
      </w:r>
      <w:r w:rsidRPr="0094186E">
        <w:rPr>
          <w:i/>
          <w:noProof/>
        </w:rPr>
        <w:t>account data</w:t>
      </w:r>
      <w:r>
        <w:rPr>
          <w:noProof/>
        </w:rPr>
        <w:t xml:space="preserve">, </w:t>
      </w:r>
      <w:r w:rsidRPr="0094186E">
        <w:rPr>
          <w:i/>
          <w:noProof/>
        </w:rPr>
        <w:t xml:space="preserve">transaction data </w:t>
      </w:r>
      <w:r>
        <w:rPr>
          <w:noProof/>
        </w:rPr>
        <w:t xml:space="preserve">and </w:t>
      </w:r>
      <w:r w:rsidRPr="0094186E">
        <w:rPr>
          <w:i/>
          <w:noProof/>
        </w:rPr>
        <w:t>product specific data</w:t>
      </w:r>
      <w:r>
        <w:rPr>
          <w:noProof/>
        </w:rPr>
        <w:tab/>
      </w:r>
      <w:r>
        <w:rPr>
          <w:noProof/>
        </w:rPr>
        <w:fldChar w:fldCharType="begin"/>
      </w:r>
      <w:r>
        <w:rPr>
          <w:noProof/>
        </w:rPr>
        <w:instrText xml:space="preserve"> PAGEREF _Toc74916320 \h </w:instrText>
      </w:r>
      <w:r>
        <w:rPr>
          <w:noProof/>
        </w:rPr>
      </w:r>
      <w:r>
        <w:rPr>
          <w:noProof/>
        </w:rPr>
        <w:fldChar w:fldCharType="separate"/>
      </w:r>
      <w:r w:rsidR="00A84D48">
        <w:rPr>
          <w:noProof/>
        </w:rPr>
        <w:t>148</w:t>
      </w:r>
      <w:r>
        <w:rPr>
          <w:noProof/>
        </w:rPr>
        <w:fldChar w:fldCharType="end"/>
      </w:r>
    </w:p>
    <w:p w14:paraId="7BE77F6A" w14:textId="28B7D89B" w:rsidR="008144BE" w:rsidRDefault="008144BE">
      <w:pPr>
        <w:pStyle w:val="TOC5"/>
        <w:rPr>
          <w:rFonts w:asciiTheme="minorHAnsi" w:eastAsiaTheme="minorEastAsia" w:hAnsiTheme="minorHAnsi" w:cstheme="minorBidi"/>
          <w:noProof/>
          <w:kern w:val="0"/>
          <w:sz w:val="22"/>
          <w:szCs w:val="22"/>
        </w:rPr>
      </w:pPr>
      <w:r>
        <w:rPr>
          <w:noProof/>
        </w:rPr>
        <w:t xml:space="preserve">1.4  Meaning of </w:t>
      </w:r>
      <w:r w:rsidRPr="0094186E">
        <w:rPr>
          <w:i/>
          <w:noProof/>
        </w:rPr>
        <w:t>phase 1 product</w:t>
      </w:r>
      <w:r>
        <w:rPr>
          <w:noProof/>
        </w:rPr>
        <w:t xml:space="preserve">, </w:t>
      </w:r>
      <w:r w:rsidRPr="0094186E">
        <w:rPr>
          <w:i/>
          <w:noProof/>
        </w:rPr>
        <w:t xml:space="preserve">phase 2 product </w:t>
      </w:r>
      <w:r>
        <w:rPr>
          <w:noProof/>
        </w:rPr>
        <w:t xml:space="preserve">and </w:t>
      </w:r>
      <w:r w:rsidRPr="0094186E">
        <w:rPr>
          <w:i/>
          <w:noProof/>
        </w:rPr>
        <w:t>phase 3 product</w:t>
      </w:r>
      <w:r>
        <w:rPr>
          <w:noProof/>
        </w:rPr>
        <w:tab/>
      </w:r>
      <w:r>
        <w:rPr>
          <w:noProof/>
        </w:rPr>
        <w:fldChar w:fldCharType="begin"/>
      </w:r>
      <w:r>
        <w:rPr>
          <w:noProof/>
        </w:rPr>
        <w:instrText xml:space="preserve"> PAGEREF _Toc74916321 \h </w:instrText>
      </w:r>
      <w:r>
        <w:rPr>
          <w:noProof/>
        </w:rPr>
      </w:r>
      <w:r>
        <w:rPr>
          <w:noProof/>
        </w:rPr>
        <w:fldChar w:fldCharType="separate"/>
      </w:r>
      <w:r w:rsidR="00A84D48">
        <w:rPr>
          <w:noProof/>
        </w:rPr>
        <w:t>150</w:t>
      </w:r>
      <w:r>
        <w:rPr>
          <w:noProof/>
        </w:rPr>
        <w:fldChar w:fldCharType="end"/>
      </w:r>
    </w:p>
    <w:p w14:paraId="7B100FBF" w14:textId="2A755C51" w:rsidR="008144BE" w:rsidRDefault="008144BE">
      <w:pPr>
        <w:pStyle w:val="TOC2"/>
        <w:rPr>
          <w:rFonts w:asciiTheme="minorHAnsi" w:eastAsiaTheme="minorEastAsia" w:hAnsiTheme="minorHAnsi" w:cstheme="minorBidi"/>
          <w:b w:val="0"/>
          <w:noProof/>
          <w:kern w:val="0"/>
          <w:sz w:val="22"/>
          <w:szCs w:val="22"/>
        </w:rPr>
      </w:pPr>
      <w:r>
        <w:rPr>
          <w:noProof/>
        </w:rPr>
        <w:t>Part 2—Eligible CDR consumers—banking sector</w:t>
      </w:r>
      <w:r>
        <w:rPr>
          <w:noProof/>
        </w:rPr>
        <w:tab/>
      </w:r>
      <w:r>
        <w:rPr>
          <w:noProof/>
        </w:rPr>
        <w:fldChar w:fldCharType="begin"/>
      </w:r>
      <w:r>
        <w:rPr>
          <w:noProof/>
        </w:rPr>
        <w:instrText xml:space="preserve"> PAGEREF _Toc74916322 \h </w:instrText>
      </w:r>
      <w:r>
        <w:rPr>
          <w:noProof/>
        </w:rPr>
      </w:r>
      <w:r>
        <w:rPr>
          <w:noProof/>
        </w:rPr>
        <w:fldChar w:fldCharType="separate"/>
      </w:r>
      <w:r w:rsidR="00A84D48">
        <w:rPr>
          <w:noProof/>
        </w:rPr>
        <w:t>152</w:t>
      </w:r>
      <w:r>
        <w:rPr>
          <w:noProof/>
        </w:rPr>
        <w:fldChar w:fldCharType="end"/>
      </w:r>
    </w:p>
    <w:p w14:paraId="32391789" w14:textId="4776CB20" w:rsidR="008144BE" w:rsidRDefault="008144BE">
      <w:pPr>
        <w:pStyle w:val="TOC5"/>
        <w:rPr>
          <w:rFonts w:asciiTheme="minorHAnsi" w:eastAsiaTheme="minorEastAsia" w:hAnsiTheme="minorHAnsi" w:cstheme="minorBidi"/>
          <w:noProof/>
          <w:kern w:val="0"/>
          <w:sz w:val="22"/>
          <w:szCs w:val="22"/>
        </w:rPr>
      </w:pPr>
      <w:r>
        <w:rPr>
          <w:noProof/>
        </w:rPr>
        <w:t xml:space="preserve">2.1  Meaning of </w:t>
      </w:r>
      <w:r w:rsidRPr="0094186E">
        <w:rPr>
          <w:i/>
          <w:noProof/>
        </w:rPr>
        <w:t>eligible</w:t>
      </w:r>
      <w:r>
        <w:rPr>
          <w:noProof/>
        </w:rPr>
        <w:t>—banking sector</w:t>
      </w:r>
      <w:r>
        <w:rPr>
          <w:noProof/>
        </w:rPr>
        <w:tab/>
      </w:r>
      <w:r>
        <w:rPr>
          <w:noProof/>
        </w:rPr>
        <w:fldChar w:fldCharType="begin"/>
      </w:r>
      <w:r>
        <w:rPr>
          <w:noProof/>
        </w:rPr>
        <w:instrText xml:space="preserve"> PAGEREF _Toc74916323 \h </w:instrText>
      </w:r>
      <w:r>
        <w:rPr>
          <w:noProof/>
        </w:rPr>
      </w:r>
      <w:r>
        <w:rPr>
          <w:noProof/>
        </w:rPr>
        <w:fldChar w:fldCharType="separate"/>
      </w:r>
      <w:r w:rsidR="00A84D48">
        <w:rPr>
          <w:noProof/>
        </w:rPr>
        <w:t>152</w:t>
      </w:r>
      <w:r>
        <w:rPr>
          <w:noProof/>
        </w:rPr>
        <w:fldChar w:fldCharType="end"/>
      </w:r>
    </w:p>
    <w:p w14:paraId="5348B411" w14:textId="54C533EB" w:rsidR="008144BE" w:rsidRDefault="008144BE">
      <w:pPr>
        <w:pStyle w:val="TOC5"/>
        <w:rPr>
          <w:rFonts w:asciiTheme="minorHAnsi" w:eastAsiaTheme="minorEastAsia" w:hAnsiTheme="minorHAnsi" w:cstheme="minorBidi"/>
          <w:noProof/>
          <w:kern w:val="0"/>
          <w:sz w:val="22"/>
          <w:szCs w:val="22"/>
        </w:rPr>
      </w:pPr>
      <w:r>
        <w:rPr>
          <w:noProof/>
        </w:rPr>
        <w:t xml:space="preserve">2.2  Meaning of </w:t>
      </w:r>
      <w:r w:rsidRPr="0094186E">
        <w:rPr>
          <w:i/>
          <w:noProof/>
        </w:rPr>
        <w:t>account privileges</w:t>
      </w:r>
      <w:r>
        <w:rPr>
          <w:noProof/>
        </w:rPr>
        <w:t>—banking sector</w:t>
      </w:r>
      <w:r>
        <w:rPr>
          <w:noProof/>
        </w:rPr>
        <w:tab/>
      </w:r>
      <w:r>
        <w:rPr>
          <w:noProof/>
        </w:rPr>
        <w:fldChar w:fldCharType="begin"/>
      </w:r>
      <w:r>
        <w:rPr>
          <w:noProof/>
        </w:rPr>
        <w:instrText xml:space="preserve"> PAGEREF _Toc74916324 \h </w:instrText>
      </w:r>
      <w:r>
        <w:rPr>
          <w:noProof/>
        </w:rPr>
      </w:r>
      <w:r>
        <w:rPr>
          <w:noProof/>
        </w:rPr>
        <w:fldChar w:fldCharType="separate"/>
      </w:r>
      <w:r w:rsidR="00A84D48">
        <w:rPr>
          <w:noProof/>
        </w:rPr>
        <w:t>152</w:t>
      </w:r>
      <w:r>
        <w:rPr>
          <w:noProof/>
        </w:rPr>
        <w:fldChar w:fldCharType="end"/>
      </w:r>
    </w:p>
    <w:p w14:paraId="2730CD17" w14:textId="51A114DF" w:rsidR="008144BE" w:rsidRDefault="008144BE">
      <w:pPr>
        <w:pStyle w:val="TOC2"/>
        <w:rPr>
          <w:rFonts w:asciiTheme="minorHAnsi" w:eastAsiaTheme="minorEastAsia" w:hAnsiTheme="minorHAnsi" w:cstheme="minorBidi"/>
          <w:b w:val="0"/>
          <w:noProof/>
          <w:kern w:val="0"/>
          <w:sz w:val="22"/>
          <w:szCs w:val="22"/>
        </w:rPr>
      </w:pPr>
      <w:r>
        <w:rPr>
          <w:noProof/>
        </w:rPr>
        <w:t>Part 3—CDR data that may be accessed under these rules—banking sector</w:t>
      </w:r>
      <w:r>
        <w:rPr>
          <w:noProof/>
        </w:rPr>
        <w:tab/>
      </w:r>
      <w:r>
        <w:rPr>
          <w:noProof/>
        </w:rPr>
        <w:fldChar w:fldCharType="begin"/>
      </w:r>
      <w:r>
        <w:rPr>
          <w:noProof/>
        </w:rPr>
        <w:instrText xml:space="preserve"> PAGEREF _Toc74916325 \h </w:instrText>
      </w:r>
      <w:r>
        <w:rPr>
          <w:noProof/>
        </w:rPr>
      </w:r>
      <w:r>
        <w:rPr>
          <w:noProof/>
        </w:rPr>
        <w:fldChar w:fldCharType="separate"/>
      </w:r>
      <w:r w:rsidR="00A84D48">
        <w:rPr>
          <w:noProof/>
        </w:rPr>
        <w:t>153</w:t>
      </w:r>
      <w:r>
        <w:rPr>
          <w:noProof/>
        </w:rPr>
        <w:fldChar w:fldCharType="end"/>
      </w:r>
    </w:p>
    <w:p w14:paraId="1638A7D3" w14:textId="4C33781F" w:rsidR="008144BE" w:rsidRDefault="008144BE">
      <w:pPr>
        <w:pStyle w:val="TOC5"/>
        <w:rPr>
          <w:rFonts w:asciiTheme="minorHAnsi" w:eastAsiaTheme="minorEastAsia" w:hAnsiTheme="minorHAnsi" w:cstheme="minorBidi"/>
          <w:noProof/>
          <w:kern w:val="0"/>
          <w:sz w:val="22"/>
          <w:szCs w:val="22"/>
        </w:rPr>
      </w:pPr>
      <w:r>
        <w:rPr>
          <w:noProof/>
        </w:rPr>
        <w:t>3.1A  Application of Part</w:t>
      </w:r>
      <w:r>
        <w:rPr>
          <w:noProof/>
        </w:rPr>
        <w:tab/>
      </w:r>
      <w:r>
        <w:rPr>
          <w:noProof/>
        </w:rPr>
        <w:fldChar w:fldCharType="begin"/>
      </w:r>
      <w:r>
        <w:rPr>
          <w:noProof/>
        </w:rPr>
        <w:instrText xml:space="preserve"> PAGEREF _Toc74916326 \h </w:instrText>
      </w:r>
      <w:r>
        <w:rPr>
          <w:noProof/>
        </w:rPr>
      </w:r>
      <w:r>
        <w:rPr>
          <w:noProof/>
        </w:rPr>
        <w:fldChar w:fldCharType="separate"/>
      </w:r>
      <w:r w:rsidR="00A84D48">
        <w:rPr>
          <w:noProof/>
        </w:rPr>
        <w:t>153</w:t>
      </w:r>
      <w:r>
        <w:rPr>
          <w:noProof/>
        </w:rPr>
        <w:fldChar w:fldCharType="end"/>
      </w:r>
    </w:p>
    <w:p w14:paraId="168B1389" w14:textId="643E9E03" w:rsidR="008144BE" w:rsidRDefault="008144BE">
      <w:pPr>
        <w:pStyle w:val="TOC5"/>
        <w:rPr>
          <w:rFonts w:asciiTheme="minorHAnsi" w:eastAsiaTheme="minorEastAsia" w:hAnsiTheme="minorHAnsi" w:cstheme="minorBidi"/>
          <w:noProof/>
          <w:kern w:val="0"/>
          <w:sz w:val="22"/>
          <w:szCs w:val="22"/>
        </w:rPr>
      </w:pPr>
      <w:r w:rsidRPr="0094186E">
        <w:rPr>
          <w:noProof/>
          <w:color w:val="000000"/>
        </w:rPr>
        <w:t xml:space="preserve">3.1  </w:t>
      </w:r>
      <w:r>
        <w:rPr>
          <w:noProof/>
        </w:rPr>
        <w:t xml:space="preserve">Meaning of </w:t>
      </w:r>
      <w:r w:rsidRPr="0094186E">
        <w:rPr>
          <w:i/>
          <w:noProof/>
        </w:rPr>
        <w:t>required product data</w:t>
      </w:r>
      <w:r>
        <w:rPr>
          <w:noProof/>
        </w:rPr>
        <w:t xml:space="preserve"> and </w:t>
      </w:r>
      <w:r w:rsidRPr="0094186E">
        <w:rPr>
          <w:i/>
          <w:noProof/>
        </w:rPr>
        <w:t>voluntary product data</w:t>
      </w:r>
      <w:r>
        <w:rPr>
          <w:noProof/>
        </w:rPr>
        <w:t>—banking sector</w:t>
      </w:r>
      <w:r>
        <w:rPr>
          <w:noProof/>
        </w:rPr>
        <w:tab/>
      </w:r>
      <w:r>
        <w:rPr>
          <w:noProof/>
        </w:rPr>
        <w:fldChar w:fldCharType="begin"/>
      </w:r>
      <w:r>
        <w:rPr>
          <w:noProof/>
        </w:rPr>
        <w:instrText xml:space="preserve"> PAGEREF _Toc74916327 \h </w:instrText>
      </w:r>
      <w:r>
        <w:rPr>
          <w:noProof/>
        </w:rPr>
      </w:r>
      <w:r>
        <w:rPr>
          <w:noProof/>
        </w:rPr>
        <w:fldChar w:fldCharType="separate"/>
      </w:r>
      <w:r w:rsidR="00A84D48">
        <w:rPr>
          <w:noProof/>
        </w:rPr>
        <w:t>153</w:t>
      </w:r>
      <w:r>
        <w:rPr>
          <w:noProof/>
        </w:rPr>
        <w:fldChar w:fldCharType="end"/>
      </w:r>
    </w:p>
    <w:p w14:paraId="707925FD" w14:textId="3F24EC32" w:rsidR="008144BE" w:rsidRDefault="008144BE">
      <w:pPr>
        <w:pStyle w:val="TOC5"/>
        <w:rPr>
          <w:rFonts w:asciiTheme="minorHAnsi" w:eastAsiaTheme="minorEastAsia" w:hAnsiTheme="minorHAnsi" w:cstheme="minorBidi"/>
          <w:noProof/>
          <w:kern w:val="0"/>
          <w:sz w:val="22"/>
          <w:szCs w:val="22"/>
        </w:rPr>
      </w:pPr>
      <w:r>
        <w:rPr>
          <w:noProof/>
        </w:rPr>
        <w:t xml:space="preserve">3.2  Meaning of </w:t>
      </w:r>
      <w:r w:rsidRPr="0094186E">
        <w:rPr>
          <w:i/>
          <w:noProof/>
        </w:rPr>
        <w:t>required consumer data</w:t>
      </w:r>
      <w:r>
        <w:rPr>
          <w:noProof/>
        </w:rPr>
        <w:t xml:space="preserve"> and </w:t>
      </w:r>
      <w:r w:rsidRPr="0094186E">
        <w:rPr>
          <w:i/>
          <w:noProof/>
        </w:rPr>
        <w:t>voluntary consumer data</w:t>
      </w:r>
      <w:r>
        <w:rPr>
          <w:noProof/>
        </w:rPr>
        <w:t>—banking sector</w:t>
      </w:r>
      <w:r>
        <w:rPr>
          <w:noProof/>
        </w:rPr>
        <w:tab/>
      </w:r>
      <w:r>
        <w:rPr>
          <w:noProof/>
        </w:rPr>
        <w:fldChar w:fldCharType="begin"/>
      </w:r>
      <w:r>
        <w:rPr>
          <w:noProof/>
        </w:rPr>
        <w:instrText xml:space="preserve"> PAGEREF _Toc74916328 \h </w:instrText>
      </w:r>
      <w:r>
        <w:rPr>
          <w:noProof/>
        </w:rPr>
      </w:r>
      <w:r>
        <w:rPr>
          <w:noProof/>
        </w:rPr>
        <w:fldChar w:fldCharType="separate"/>
      </w:r>
      <w:r w:rsidR="00A84D48">
        <w:rPr>
          <w:noProof/>
        </w:rPr>
        <w:t>153</w:t>
      </w:r>
      <w:r>
        <w:rPr>
          <w:noProof/>
        </w:rPr>
        <w:fldChar w:fldCharType="end"/>
      </w:r>
    </w:p>
    <w:p w14:paraId="72B35617" w14:textId="5FF10516" w:rsidR="008144BE" w:rsidRDefault="008144BE">
      <w:pPr>
        <w:pStyle w:val="TOC2"/>
        <w:rPr>
          <w:rFonts w:asciiTheme="minorHAnsi" w:eastAsiaTheme="minorEastAsia" w:hAnsiTheme="minorHAnsi" w:cstheme="minorBidi"/>
          <w:b w:val="0"/>
          <w:noProof/>
          <w:kern w:val="0"/>
          <w:sz w:val="22"/>
          <w:szCs w:val="22"/>
        </w:rPr>
      </w:pPr>
      <w:r w:rsidRPr="00BC78CF">
        <w:rPr>
          <w:strike/>
          <w:noProof/>
          <w:color w:val="FF0000"/>
        </w:rPr>
        <w:t>Part 4—Joint accounts</w:t>
      </w:r>
      <w:r>
        <w:rPr>
          <w:noProof/>
        </w:rPr>
        <w:tab/>
      </w:r>
      <w:r>
        <w:rPr>
          <w:noProof/>
        </w:rPr>
        <w:fldChar w:fldCharType="begin"/>
      </w:r>
      <w:r>
        <w:rPr>
          <w:noProof/>
        </w:rPr>
        <w:instrText xml:space="preserve"> PAGEREF _Toc74916329 \h </w:instrText>
      </w:r>
      <w:r>
        <w:rPr>
          <w:noProof/>
        </w:rPr>
      </w:r>
      <w:r>
        <w:rPr>
          <w:noProof/>
        </w:rPr>
        <w:fldChar w:fldCharType="separate"/>
      </w:r>
      <w:r w:rsidR="00A84D48">
        <w:rPr>
          <w:noProof/>
        </w:rPr>
        <w:t>155</w:t>
      </w:r>
      <w:r>
        <w:rPr>
          <w:noProof/>
        </w:rPr>
        <w:fldChar w:fldCharType="end"/>
      </w:r>
    </w:p>
    <w:p w14:paraId="64FAA1DF" w14:textId="5861796D" w:rsidR="008144BE" w:rsidRDefault="008144BE">
      <w:pPr>
        <w:pStyle w:val="TOC3"/>
        <w:rPr>
          <w:rFonts w:asciiTheme="minorHAnsi" w:eastAsiaTheme="minorEastAsia" w:hAnsiTheme="minorHAnsi" w:cstheme="minorBidi"/>
          <w:b w:val="0"/>
          <w:noProof/>
          <w:kern w:val="0"/>
          <w:szCs w:val="22"/>
        </w:rPr>
      </w:pPr>
      <w:r w:rsidRPr="00BC78CF">
        <w:rPr>
          <w:strike/>
          <w:noProof/>
          <w:color w:val="FF0000"/>
        </w:rPr>
        <w:t>Division 4.1—Preliminary</w:t>
      </w:r>
      <w:r>
        <w:rPr>
          <w:noProof/>
        </w:rPr>
        <w:tab/>
      </w:r>
      <w:r>
        <w:rPr>
          <w:noProof/>
        </w:rPr>
        <w:fldChar w:fldCharType="begin"/>
      </w:r>
      <w:r>
        <w:rPr>
          <w:noProof/>
        </w:rPr>
        <w:instrText xml:space="preserve"> PAGEREF _Toc74916330 \h </w:instrText>
      </w:r>
      <w:r>
        <w:rPr>
          <w:noProof/>
        </w:rPr>
      </w:r>
      <w:r>
        <w:rPr>
          <w:noProof/>
        </w:rPr>
        <w:fldChar w:fldCharType="separate"/>
      </w:r>
      <w:r w:rsidR="00A84D48">
        <w:rPr>
          <w:noProof/>
        </w:rPr>
        <w:t>155</w:t>
      </w:r>
      <w:r>
        <w:rPr>
          <w:noProof/>
        </w:rPr>
        <w:fldChar w:fldCharType="end"/>
      </w:r>
    </w:p>
    <w:p w14:paraId="7E20C90A" w14:textId="6BE4EA7A" w:rsidR="008144BE" w:rsidRDefault="008144BE">
      <w:pPr>
        <w:pStyle w:val="TOC5"/>
        <w:rPr>
          <w:rFonts w:asciiTheme="minorHAnsi" w:eastAsiaTheme="minorEastAsia" w:hAnsiTheme="minorHAnsi" w:cstheme="minorBidi"/>
          <w:noProof/>
          <w:kern w:val="0"/>
          <w:sz w:val="22"/>
          <w:szCs w:val="22"/>
        </w:rPr>
      </w:pPr>
      <w:r w:rsidRPr="00BC78CF">
        <w:rPr>
          <w:strike/>
          <w:noProof/>
          <w:color w:val="FF0000"/>
          <w:lang w:val="en-US"/>
        </w:rPr>
        <w:t>4.1  Purpose of Part</w:t>
      </w:r>
      <w:r>
        <w:rPr>
          <w:noProof/>
        </w:rPr>
        <w:tab/>
      </w:r>
      <w:r>
        <w:rPr>
          <w:noProof/>
        </w:rPr>
        <w:fldChar w:fldCharType="begin"/>
      </w:r>
      <w:r>
        <w:rPr>
          <w:noProof/>
        </w:rPr>
        <w:instrText xml:space="preserve"> PAGEREF _Toc74916331 \h </w:instrText>
      </w:r>
      <w:r>
        <w:rPr>
          <w:noProof/>
        </w:rPr>
      </w:r>
      <w:r>
        <w:rPr>
          <w:noProof/>
        </w:rPr>
        <w:fldChar w:fldCharType="separate"/>
      </w:r>
      <w:r w:rsidR="00A84D48">
        <w:rPr>
          <w:noProof/>
        </w:rPr>
        <w:t>155</w:t>
      </w:r>
      <w:r>
        <w:rPr>
          <w:noProof/>
        </w:rPr>
        <w:fldChar w:fldCharType="end"/>
      </w:r>
    </w:p>
    <w:p w14:paraId="4ACD8D74" w14:textId="6652D7F2" w:rsidR="008144BE" w:rsidRDefault="008144BE">
      <w:pPr>
        <w:pStyle w:val="TOC5"/>
        <w:rPr>
          <w:rFonts w:asciiTheme="minorHAnsi" w:eastAsiaTheme="minorEastAsia" w:hAnsiTheme="minorHAnsi" w:cstheme="minorBidi"/>
          <w:noProof/>
          <w:kern w:val="0"/>
          <w:sz w:val="22"/>
          <w:szCs w:val="22"/>
        </w:rPr>
      </w:pPr>
      <w:r w:rsidRPr="00BC78CF">
        <w:rPr>
          <w:strike/>
          <w:noProof/>
          <w:color w:val="FF0000"/>
          <w:lang w:val="en-US"/>
        </w:rPr>
        <w:t>4.2  Application of Part</w:t>
      </w:r>
      <w:r>
        <w:rPr>
          <w:noProof/>
        </w:rPr>
        <w:tab/>
      </w:r>
      <w:r>
        <w:rPr>
          <w:noProof/>
        </w:rPr>
        <w:fldChar w:fldCharType="begin"/>
      </w:r>
      <w:r>
        <w:rPr>
          <w:noProof/>
        </w:rPr>
        <w:instrText xml:space="preserve"> PAGEREF _Toc74916332 \h </w:instrText>
      </w:r>
      <w:r>
        <w:rPr>
          <w:noProof/>
        </w:rPr>
      </w:r>
      <w:r>
        <w:rPr>
          <w:noProof/>
        </w:rPr>
        <w:fldChar w:fldCharType="separate"/>
      </w:r>
      <w:r w:rsidR="00A84D48">
        <w:rPr>
          <w:noProof/>
        </w:rPr>
        <w:t>155</w:t>
      </w:r>
      <w:r>
        <w:rPr>
          <w:noProof/>
        </w:rPr>
        <w:fldChar w:fldCharType="end"/>
      </w:r>
    </w:p>
    <w:p w14:paraId="4AB868B1" w14:textId="2F6E31C7" w:rsidR="008144BE" w:rsidRDefault="008144BE">
      <w:pPr>
        <w:pStyle w:val="TOC5"/>
        <w:rPr>
          <w:rFonts w:asciiTheme="minorHAnsi" w:eastAsiaTheme="minorEastAsia" w:hAnsiTheme="minorHAnsi" w:cstheme="minorBidi"/>
          <w:noProof/>
          <w:kern w:val="0"/>
          <w:sz w:val="22"/>
          <w:szCs w:val="22"/>
        </w:rPr>
      </w:pPr>
      <w:r w:rsidRPr="00BC78CF">
        <w:rPr>
          <w:strike/>
          <w:noProof/>
          <w:color w:val="FF0000"/>
          <w:lang w:val="en-US"/>
        </w:rPr>
        <w:t>4.3  Simplified outline of this Part</w:t>
      </w:r>
      <w:r>
        <w:rPr>
          <w:noProof/>
        </w:rPr>
        <w:tab/>
      </w:r>
      <w:r>
        <w:rPr>
          <w:noProof/>
        </w:rPr>
        <w:fldChar w:fldCharType="begin"/>
      </w:r>
      <w:r>
        <w:rPr>
          <w:noProof/>
        </w:rPr>
        <w:instrText xml:space="preserve"> PAGEREF _Toc74916333 \h </w:instrText>
      </w:r>
      <w:r>
        <w:rPr>
          <w:noProof/>
        </w:rPr>
      </w:r>
      <w:r>
        <w:rPr>
          <w:noProof/>
        </w:rPr>
        <w:fldChar w:fldCharType="separate"/>
      </w:r>
      <w:r w:rsidR="00A84D48">
        <w:rPr>
          <w:noProof/>
        </w:rPr>
        <w:t>156</w:t>
      </w:r>
      <w:r>
        <w:rPr>
          <w:noProof/>
        </w:rPr>
        <w:fldChar w:fldCharType="end"/>
      </w:r>
    </w:p>
    <w:p w14:paraId="1F952811" w14:textId="73D4D5A7" w:rsidR="008144BE" w:rsidRDefault="008144BE">
      <w:pPr>
        <w:pStyle w:val="TOC3"/>
        <w:rPr>
          <w:rFonts w:asciiTheme="minorHAnsi" w:eastAsiaTheme="minorEastAsia" w:hAnsiTheme="minorHAnsi" w:cstheme="minorBidi"/>
          <w:b w:val="0"/>
          <w:noProof/>
          <w:kern w:val="0"/>
          <w:szCs w:val="22"/>
        </w:rPr>
      </w:pPr>
      <w:r w:rsidRPr="00BC78CF">
        <w:rPr>
          <w:strike/>
          <w:noProof/>
          <w:color w:val="FF0000"/>
          <w:lang w:val="en-US"/>
        </w:rPr>
        <w:t>Division 4.2—Disclosure options, joint account management service and notification requirements</w:t>
      </w:r>
      <w:r>
        <w:rPr>
          <w:noProof/>
        </w:rPr>
        <w:tab/>
      </w:r>
      <w:r>
        <w:rPr>
          <w:noProof/>
        </w:rPr>
        <w:fldChar w:fldCharType="begin"/>
      </w:r>
      <w:r>
        <w:rPr>
          <w:noProof/>
        </w:rPr>
        <w:instrText xml:space="preserve"> PAGEREF _Toc74916334 \h </w:instrText>
      </w:r>
      <w:r>
        <w:rPr>
          <w:noProof/>
        </w:rPr>
      </w:r>
      <w:r>
        <w:rPr>
          <w:noProof/>
        </w:rPr>
        <w:fldChar w:fldCharType="separate"/>
      </w:r>
      <w:r w:rsidR="00A84D48">
        <w:rPr>
          <w:noProof/>
        </w:rPr>
        <w:t>156</w:t>
      </w:r>
      <w:r>
        <w:rPr>
          <w:noProof/>
        </w:rPr>
        <w:fldChar w:fldCharType="end"/>
      </w:r>
    </w:p>
    <w:p w14:paraId="382EDEE1" w14:textId="1A0555EF" w:rsidR="008144BE" w:rsidRDefault="008144BE">
      <w:pPr>
        <w:pStyle w:val="TOC5"/>
        <w:rPr>
          <w:rFonts w:asciiTheme="minorHAnsi" w:eastAsiaTheme="minorEastAsia" w:hAnsiTheme="minorHAnsi" w:cstheme="minorBidi"/>
          <w:noProof/>
          <w:kern w:val="0"/>
          <w:sz w:val="22"/>
          <w:szCs w:val="22"/>
        </w:rPr>
      </w:pPr>
      <w:r w:rsidRPr="00BC78CF">
        <w:rPr>
          <w:strike/>
          <w:noProof/>
          <w:color w:val="FF0000"/>
          <w:lang w:val="en-US"/>
        </w:rPr>
        <w:t>4.4  Simplified outline of this Division</w:t>
      </w:r>
      <w:r>
        <w:rPr>
          <w:noProof/>
        </w:rPr>
        <w:tab/>
      </w:r>
      <w:r>
        <w:rPr>
          <w:noProof/>
        </w:rPr>
        <w:fldChar w:fldCharType="begin"/>
      </w:r>
      <w:r>
        <w:rPr>
          <w:noProof/>
        </w:rPr>
        <w:instrText xml:space="preserve"> PAGEREF _Toc74916335 \h </w:instrText>
      </w:r>
      <w:r>
        <w:rPr>
          <w:noProof/>
        </w:rPr>
      </w:r>
      <w:r>
        <w:rPr>
          <w:noProof/>
        </w:rPr>
        <w:fldChar w:fldCharType="separate"/>
      </w:r>
      <w:r w:rsidR="00A84D48">
        <w:rPr>
          <w:noProof/>
        </w:rPr>
        <w:t>156</w:t>
      </w:r>
      <w:r>
        <w:rPr>
          <w:noProof/>
        </w:rPr>
        <w:fldChar w:fldCharType="end"/>
      </w:r>
    </w:p>
    <w:p w14:paraId="79293B3F" w14:textId="789A28A2" w:rsidR="008144BE" w:rsidRDefault="008144BE">
      <w:pPr>
        <w:pStyle w:val="TOC5"/>
        <w:rPr>
          <w:rFonts w:asciiTheme="minorHAnsi" w:eastAsiaTheme="minorEastAsia" w:hAnsiTheme="minorHAnsi" w:cstheme="minorBidi"/>
          <w:noProof/>
          <w:kern w:val="0"/>
          <w:sz w:val="22"/>
          <w:szCs w:val="22"/>
        </w:rPr>
      </w:pPr>
      <w:r w:rsidRPr="00BC78CF">
        <w:rPr>
          <w:strike/>
          <w:noProof/>
          <w:color w:val="FF0000"/>
          <w:lang w:val="en-US"/>
        </w:rPr>
        <w:t>4.5  Disclosure options that can apply to joint accounts</w:t>
      </w:r>
      <w:r>
        <w:rPr>
          <w:noProof/>
        </w:rPr>
        <w:tab/>
      </w:r>
      <w:r>
        <w:rPr>
          <w:noProof/>
        </w:rPr>
        <w:fldChar w:fldCharType="begin"/>
      </w:r>
      <w:r>
        <w:rPr>
          <w:noProof/>
        </w:rPr>
        <w:instrText xml:space="preserve"> PAGEREF _Toc74916336 \h </w:instrText>
      </w:r>
      <w:r>
        <w:rPr>
          <w:noProof/>
        </w:rPr>
      </w:r>
      <w:r>
        <w:rPr>
          <w:noProof/>
        </w:rPr>
        <w:fldChar w:fldCharType="separate"/>
      </w:r>
      <w:r w:rsidR="00A84D48">
        <w:rPr>
          <w:noProof/>
        </w:rPr>
        <w:t>157</w:t>
      </w:r>
      <w:r>
        <w:rPr>
          <w:noProof/>
        </w:rPr>
        <w:fldChar w:fldCharType="end"/>
      </w:r>
    </w:p>
    <w:p w14:paraId="3DD2D41A" w14:textId="56BE1464" w:rsidR="008144BE" w:rsidRDefault="008144BE">
      <w:pPr>
        <w:pStyle w:val="TOC5"/>
        <w:rPr>
          <w:rFonts w:asciiTheme="minorHAnsi" w:eastAsiaTheme="minorEastAsia" w:hAnsiTheme="minorHAnsi" w:cstheme="minorBidi"/>
          <w:noProof/>
          <w:kern w:val="0"/>
          <w:sz w:val="22"/>
          <w:szCs w:val="22"/>
        </w:rPr>
      </w:pPr>
      <w:r w:rsidRPr="00BC78CF">
        <w:rPr>
          <w:strike/>
          <w:noProof/>
          <w:color w:val="FF0000"/>
          <w:lang w:val="en-US"/>
        </w:rPr>
        <w:t>4.6  Obligation to provide joint account management service</w:t>
      </w:r>
      <w:r>
        <w:rPr>
          <w:noProof/>
        </w:rPr>
        <w:tab/>
      </w:r>
      <w:r>
        <w:rPr>
          <w:noProof/>
        </w:rPr>
        <w:fldChar w:fldCharType="begin"/>
      </w:r>
      <w:r>
        <w:rPr>
          <w:noProof/>
        </w:rPr>
        <w:instrText xml:space="preserve"> PAGEREF _Toc74916337 \h </w:instrText>
      </w:r>
      <w:r>
        <w:rPr>
          <w:noProof/>
        </w:rPr>
      </w:r>
      <w:r>
        <w:rPr>
          <w:noProof/>
        </w:rPr>
        <w:fldChar w:fldCharType="separate"/>
      </w:r>
      <w:r w:rsidR="00A84D48">
        <w:rPr>
          <w:noProof/>
        </w:rPr>
        <w:t>157</w:t>
      </w:r>
      <w:r>
        <w:rPr>
          <w:noProof/>
        </w:rPr>
        <w:fldChar w:fldCharType="end"/>
      </w:r>
    </w:p>
    <w:p w14:paraId="5C1FB8CB" w14:textId="70BC6363" w:rsidR="008144BE" w:rsidRDefault="008144BE">
      <w:pPr>
        <w:pStyle w:val="TOC5"/>
        <w:rPr>
          <w:rFonts w:asciiTheme="minorHAnsi" w:eastAsiaTheme="minorEastAsia" w:hAnsiTheme="minorHAnsi" w:cstheme="minorBidi"/>
          <w:noProof/>
          <w:kern w:val="0"/>
          <w:sz w:val="22"/>
          <w:szCs w:val="22"/>
        </w:rPr>
      </w:pPr>
      <w:r w:rsidRPr="00BC78CF">
        <w:rPr>
          <w:strike/>
          <w:noProof/>
          <w:color w:val="FF0000"/>
        </w:rPr>
        <w:t>4.7  Asking other joint account holders to indicate disclosure option for joint account</w:t>
      </w:r>
      <w:r>
        <w:rPr>
          <w:noProof/>
        </w:rPr>
        <w:tab/>
      </w:r>
      <w:r>
        <w:rPr>
          <w:noProof/>
        </w:rPr>
        <w:fldChar w:fldCharType="begin"/>
      </w:r>
      <w:r>
        <w:rPr>
          <w:noProof/>
        </w:rPr>
        <w:instrText xml:space="preserve"> PAGEREF _Toc74916338 \h </w:instrText>
      </w:r>
      <w:r>
        <w:rPr>
          <w:noProof/>
        </w:rPr>
      </w:r>
      <w:r>
        <w:rPr>
          <w:noProof/>
        </w:rPr>
        <w:fldChar w:fldCharType="separate"/>
      </w:r>
      <w:r w:rsidR="00A84D48">
        <w:rPr>
          <w:noProof/>
        </w:rPr>
        <w:t>159</w:t>
      </w:r>
      <w:r>
        <w:rPr>
          <w:noProof/>
        </w:rPr>
        <w:fldChar w:fldCharType="end"/>
      </w:r>
    </w:p>
    <w:p w14:paraId="48012B4C" w14:textId="0A373058" w:rsidR="008144BE" w:rsidRDefault="008144BE">
      <w:pPr>
        <w:pStyle w:val="TOC3"/>
        <w:rPr>
          <w:rFonts w:asciiTheme="minorHAnsi" w:eastAsiaTheme="minorEastAsia" w:hAnsiTheme="minorHAnsi" w:cstheme="minorBidi"/>
          <w:b w:val="0"/>
          <w:noProof/>
          <w:kern w:val="0"/>
          <w:szCs w:val="22"/>
        </w:rPr>
      </w:pPr>
      <w:r w:rsidRPr="00BC78CF">
        <w:rPr>
          <w:strike/>
          <w:noProof/>
          <w:color w:val="FF0000"/>
        </w:rPr>
        <w:t>Division 4.3—Consumer data requests that relate to joint accounts</w:t>
      </w:r>
      <w:r>
        <w:rPr>
          <w:noProof/>
        </w:rPr>
        <w:tab/>
      </w:r>
      <w:r>
        <w:rPr>
          <w:noProof/>
        </w:rPr>
        <w:fldChar w:fldCharType="begin"/>
      </w:r>
      <w:r>
        <w:rPr>
          <w:noProof/>
        </w:rPr>
        <w:instrText xml:space="preserve"> PAGEREF _Toc74916339 \h </w:instrText>
      </w:r>
      <w:r>
        <w:rPr>
          <w:noProof/>
        </w:rPr>
      </w:r>
      <w:r>
        <w:rPr>
          <w:noProof/>
        </w:rPr>
        <w:fldChar w:fldCharType="separate"/>
      </w:r>
      <w:r w:rsidR="00A84D48">
        <w:rPr>
          <w:noProof/>
        </w:rPr>
        <w:t>159</w:t>
      </w:r>
      <w:r>
        <w:rPr>
          <w:noProof/>
        </w:rPr>
        <w:fldChar w:fldCharType="end"/>
      </w:r>
    </w:p>
    <w:p w14:paraId="6FE6DD7F" w14:textId="5CE84602" w:rsidR="008144BE" w:rsidRDefault="008144BE">
      <w:pPr>
        <w:pStyle w:val="TOC4"/>
        <w:rPr>
          <w:rFonts w:asciiTheme="minorHAnsi" w:eastAsiaTheme="minorEastAsia" w:hAnsiTheme="minorHAnsi" w:cstheme="minorBidi"/>
          <w:b w:val="0"/>
          <w:noProof/>
          <w:kern w:val="0"/>
          <w:sz w:val="22"/>
          <w:szCs w:val="22"/>
        </w:rPr>
      </w:pPr>
      <w:r w:rsidRPr="00BC78CF">
        <w:rPr>
          <w:strike/>
          <w:noProof/>
          <w:color w:val="FF0000"/>
        </w:rPr>
        <w:t>Subdivision 4.3.1—Preliminary</w:t>
      </w:r>
      <w:r>
        <w:rPr>
          <w:noProof/>
        </w:rPr>
        <w:tab/>
      </w:r>
      <w:r>
        <w:rPr>
          <w:noProof/>
        </w:rPr>
        <w:fldChar w:fldCharType="begin"/>
      </w:r>
      <w:r>
        <w:rPr>
          <w:noProof/>
        </w:rPr>
        <w:instrText xml:space="preserve"> PAGEREF _Toc74916340 \h </w:instrText>
      </w:r>
      <w:r>
        <w:rPr>
          <w:noProof/>
        </w:rPr>
      </w:r>
      <w:r>
        <w:rPr>
          <w:noProof/>
        </w:rPr>
        <w:fldChar w:fldCharType="separate"/>
      </w:r>
      <w:r w:rsidR="00A84D48">
        <w:rPr>
          <w:noProof/>
        </w:rPr>
        <w:t>159</w:t>
      </w:r>
      <w:r>
        <w:rPr>
          <w:noProof/>
        </w:rPr>
        <w:fldChar w:fldCharType="end"/>
      </w:r>
    </w:p>
    <w:p w14:paraId="06CC37A4" w14:textId="0F8E0E52" w:rsidR="008144BE" w:rsidRDefault="008144BE">
      <w:pPr>
        <w:pStyle w:val="TOC5"/>
        <w:rPr>
          <w:rFonts w:asciiTheme="minorHAnsi" w:eastAsiaTheme="minorEastAsia" w:hAnsiTheme="minorHAnsi" w:cstheme="minorBidi"/>
          <w:noProof/>
          <w:kern w:val="0"/>
          <w:sz w:val="22"/>
          <w:szCs w:val="22"/>
        </w:rPr>
      </w:pPr>
      <w:r w:rsidRPr="00BC78CF">
        <w:rPr>
          <w:strike/>
          <w:noProof/>
          <w:color w:val="FF0000"/>
          <w:lang w:val="en-US"/>
        </w:rPr>
        <w:t>4.8  Application of Division</w:t>
      </w:r>
      <w:r>
        <w:rPr>
          <w:noProof/>
        </w:rPr>
        <w:tab/>
      </w:r>
      <w:r>
        <w:rPr>
          <w:noProof/>
        </w:rPr>
        <w:fldChar w:fldCharType="begin"/>
      </w:r>
      <w:r>
        <w:rPr>
          <w:noProof/>
        </w:rPr>
        <w:instrText xml:space="preserve"> PAGEREF _Toc74916341 \h </w:instrText>
      </w:r>
      <w:r>
        <w:rPr>
          <w:noProof/>
        </w:rPr>
      </w:r>
      <w:r>
        <w:rPr>
          <w:noProof/>
        </w:rPr>
        <w:fldChar w:fldCharType="separate"/>
      </w:r>
      <w:r w:rsidR="00A84D48">
        <w:rPr>
          <w:noProof/>
        </w:rPr>
        <w:t>159</w:t>
      </w:r>
      <w:r>
        <w:rPr>
          <w:noProof/>
        </w:rPr>
        <w:fldChar w:fldCharType="end"/>
      </w:r>
    </w:p>
    <w:p w14:paraId="637F54A2" w14:textId="33C59049" w:rsidR="008144BE" w:rsidRDefault="008144BE">
      <w:pPr>
        <w:pStyle w:val="TOC5"/>
        <w:rPr>
          <w:rFonts w:asciiTheme="minorHAnsi" w:eastAsiaTheme="minorEastAsia" w:hAnsiTheme="minorHAnsi" w:cstheme="minorBidi"/>
          <w:noProof/>
          <w:kern w:val="0"/>
          <w:sz w:val="22"/>
          <w:szCs w:val="22"/>
        </w:rPr>
      </w:pPr>
      <w:r w:rsidRPr="00BC78CF">
        <w:rPr>
          <w:strike/>
          <w:noProof/>
          <w:color w:val="FF0000"/>
          <w:lang w:val="en-US"/>
        </w:rPr>
        <w:t>4.9  Interpretation</w:t>
      </w:r>
      <w:r>
        <w:rPr>
          <w:noProof/>
        </w:rPr>
        <w:tab/>
      </w:r>
      <w:r>
        <w:rPr>
          <w:noProof/>
        </w:rPr>
        <w:fldChar w:fldCharType="begin"/>
      </w:r>
      <w:r>
        <w:rPr>
          <w:noProof/>
        </w:rPr>
        <w:instrText xml:space="preserve"> PAGEREF _Toc74916342 \h </w:instrText>
      </w:r>
      <w:r>
        <w:rPr>
          <w:noProof/>
        </w:rPr>
      </w:r>
      <w:r>
        <w:rPr>
          <w:noProof/>
        </w:rPr>
        <w:fldChar w:fldCharType="separate"/>
      </w:r>
      <w:r w:rsidR="00A84D48">
        <w:rPr>
          <w:noProof/>
        </w:rPr>
        <w:t>160</w:t>
      </w:r>
      <w:r>
        <w:rPr>
          <w:noProof/>
        </w:rPr>
        <w:fldChar w:fldCharType="end"/>
      </w:r>
    </w:p>
    <w:p w14:paraId="26DEC4B0" w14:textId="6D038343" w:rsidR="008144BE" w:rsidRDefault="008144BE">
      <w:pPr>
        <w:pStyle w:val="TOC4"/>
        <w:rPr>
          <w:rFonts w:asciiTheme="minorHAnsi" w:eastAsiaTheme="minorEastAsia" w:hAnsiTheme="minorHAnsi" w:cstheme="minorBidi"/>
          <w:b w:val="0"/>
          <w:noProof/>
          <w:kern w:val="0"/>
          <w:sz w:val="22"/>
          <w:szCs w:val="22"/>
        </w:rPr>
      </w:pPr>
      <w:r w:rsidRPr="00BC78CF">
        <w:rPr>
          <w:strike/>
          <w:noProof/>
          <w:color w:val="FF0000"/>
          <w:lang w:val="en-US"/>
        </w:rPr>
        <w:t xml:space="preserve">Subdivision 4.3.2—How </w:t>
      </w:r>
      <w:r w:rsidRPr="00BC78CF">
        <w:rPr>
          <w:strike/>
          <w:noProof/>
          <w:color w:val="FF0000"/>
        </w:rPr>
        <w:t>consumer data requests to data holders under Part 4 of these rules that relate to joint accounts are handled</w:t>
      </w:r>
      <w:r>
        <w:rPr>
          <w:noProof/>
        </w:rPr>
        <w:tab/>
      </w:r>
      <w:r>
        <w:rPr>
          <w:noProof/>
        </w:rPr>
        <w:fldChar w:fldCharType="begin"/>
      </w:r>
      <w:r>
        <w:rPr>
          <w:noProof/>
        </w:rPr>
        <w:instrText xml:space="preserve"> PAGEREF _Toc74916343 \h </w:instrText>
      </w:r>
      <w:r>
        <w:rPr>
          <w:noProof/>
        </w:rPr>
      </w:r>
      <w:r>
        <w:rPr>
          <w:noProof/>
        </w:rPr>
        <w:fldChar w:fldCharType="separate"/>
      </w:r>
      <w:r w:rsidR="00A84D48">
        <w:rPr>
          <w:noProof/>
        </w:rPr>
        <w:t>160</w:t>
      </w:r>
      <w:r>
        <w:rPr>
          <w:noProof/>
        </w:rPr>
        <w:fldChar w:fldCharType="end"/>
      </w:r>
    </w:p>
    <w:p w14:paraId="4B2C54C0" w14:textId="49726EE2" w:rsidR="008144BE" w:rsidRDefault="008144BE">
      <w:pPr>
        <w:pStyle w:val="TOC5"/>
        <w:rPr>
          <w:rFonts w:asciiTheme="minorHAnsi" w:eastAsiaTheme="minorEastAsia" w:hAnsiTheme="minorHAnsi" w:cstheme="minorBidi"/>
          <w:noProof/>
          <w:kern w:val="0"/>
          <w:sz w:val="22"/>
          <w:szCs w:val="22"/>
        </w:rPr>
      </w:pPr>
      <w:r w:rsidRPr="00BC78CF">
        <w:rPr>
          <w:strike/>
          <w:noProof/>
          <w:color w:val="FF0000"/>
        </w:rPr>
        <w:t>4.10  Asking requesting account holder to indicate disclosure option for joint account</w:t>
      </w:r>
      <w:r>
        <w:rPr>
          <w:noProof/>
        </w:rPr>
        <w:tab/>
      </w:r>
      <w:r>
        <w:rPr>
          <w:noProof/>
        </w:rPr>
        <w:fldChar w:fldCharType="begin"/>
      </w:r>
      <w:r>
        <w:rPr>
          <w:noProof/>
        </w:rPr>
        <w:instrText xml:space="preserve"> PAGEREF _Toc74916344 \h </w:instrText>
      </w:r>
      <w:r>
        <w:rPr>
          <w:noProof/>
        </w:rPr>
      </w:r>
      <w:r>
        <w:rPr>
          <w:noProof/>
        </w:rPr>
        <w:fldChar w:fldCharType="separate"/>
      </w:r>
      <w:r w:rsidR="00A84D48">
        <w:rPr>
          <w:noProof/>
        </w:rPr>
        <w:t>160</w:t>
      </w:r>
      <w:r>
        <w:rPr>
          <w:noProof/>
        </w:rPr>
        <w:fldChar w:fldCharType="end"/>
      </w:r>
    </w:p>
    <w:p w14:paraId="7EBC2828" w14:textId="217332F5" w:rsidR="008144BE" w:rsidRDefault="008144BE">
      <w:pPr>
        <w:pStyle w:val="TOC5"/>
        <w:rPr>
          <w:rFonts w:asciiTheme="minorHAnsi" w:eastAsiaTheme="minorEastAsia" w:hAnsiTheme="minorHAnsi" w:cstheme="minorBidi"/>
          <w:noProof/>
          <w:kern w:val="0"/>
          <w:sz w:val="22"/>
          <w:szCs w:val="22"/>
        </w:rPr>
      </w:pPr>
      <w:r w:rsidRPr="00BC78CF">
        <w:rPr>
          <w:strike/>
          <w:noProof/>
          <w:color w:val="FF0000"/>
        </w:rPr>
        <w:t>4.11  Asking relevant account holders for approval to disclose joint account data</w:t>
      </w:r>
      <w:r>
        <w:rPr>
          <w:noProof/>
        </w:rPr>
        <w:tab/>
      </w:r>
      <w:r>
        <w:rPr>
          <w:noProof/>
        </w:rPr>
        <w:fldChar w:fldCharType="begin"/>
      </w:r>
      <w:r>
        <w:rPr>
          <w:noProof/>
        </w:rPr>
        <w:instrText xml:space="preserve"> PAGEREF _Toc74916345 \h </w:instrText>
      </w:r>
      <w:r>
        <w:rPr>
          <w:noProof/>
        </w:rPr>
      </w:r>
      <w:r>
        <w:rPr>
          <w:noProof/>
        </w:rPr>
        <w:fldChar w:fldCharType="separate"/>
      </w:r>
      <w:r w:rsidR="00A84D48">
        <w:rPr>
          <w:noProof/>
        </w:rPr>
        <w:t>161</w:t>
      </w:r>
      <w:r>
        <w:rPr>
          <w:noProof/>
        </w:rPr>
        <w:fldChar w:fldCharType="end"/>
      </w:r>
    </w:p>
    <w:p w14:paraId="135D81A4" w14:textId="745DE87A" w:rsidR="008144BE" w:rsidRDefault="008144BE">
      <w:pPr>
        <w:pStyle w:val="TOC5"/>
        <w:rPr>
          <w:rFonts w:asciiTheme="minorHAnsi" w:eastAsiaTheme="minorEastAsia" w:hAnsiTheme="minorHAnsi" w:cstheme="minorBidi"/>
          <w:noProof/>
          <w:kern w:val="0"/>
          <w:sz w:val="22"/>
          <w:szCs w:val="22"/>
        </w:rPr>
      </w:pPr>
      <w:r w:rsidRPr="00BC78CF">
        <w:rPr>
          <w:strike/>
          <w:noProof/>
          <w:color w:val="FF0000"/>
        </w:rPr>
        <w:t>4.12  Continuation and removal of approvals</w:t>
      </w:r>
      <w:r>
        <w:rPr>
          <w:noProof/>
        </w:rPr>
        <w:tab/>
      </w:r>
      <w:r>
        <w:rPr>
          <w:noProof/>
        </w:rPr>
        <w:fldChar w:fldCharType="begin"/>
      </w:r>
      <w:r>
        <w:rPr>
          <w:noProof/>
        </w:rPr>
        <w:instrText xml:space="preserve"> PAGEREF _Toc74916346 \h </w:instrText>
      </w:r>
      <w:r>
        <w:rPr>
          <w:noProof/>
        </w:rPr>
      </w:r>
      <w:r>
        <w:rPr>
          <w:noProof/>
        </w:rPr>
        <w:fldChar w:fldCharType="separate"/>
      </w:r>
      <w:r w:rsidR="00A84D48">
        <w:rPr>
          <w:noProof/>
        </w:rPr>
        <w:t>161</w:t>
      </w:r>
      <w:r>
        <w:rPr>
          <w:noProof/>
        </w:rPr>
        <w:fldChar w:fldCharType="end"/>
      </w:r>
    </w:p>
    <w:p w14:paraId="054334D7" w14:textId="5FE447E2" w:rsidR="008144BE" w:rsidRDefault="008144BE">
      <w:pPr>
        <w:pStyle w:val="TOC5"/>
        <w:rPr>
          <w:rFonts w:asciiTheme="minorHAnsi" w:eastAsiaTheme="minorEastAsia" w:hAnsiTheme="minorHAnsi" w:cstheme="minorBidi"/>
          <w:noProof/>
          <w:kern w:val="0"/>
          <w:sz w:val="22"/>
          <w:szCs w:val="22"/>
        </w:rPr>
      </w:pPr>
      <w:r w:rsidRPr="00BC78CF">
        <w:rPr>
          <w:strike/>
          <w:noProof/>
          <w:color w:val="FF0000"/>
          <w:lang w:val="en-US"/>
        </w:rPr>
        <w:t>4.13  Joint account data the data holder is authorised to disclose</w:t>
      </w:r>
      <w:r>
        <w:rPr>
          <w:noProof/>
        </w:rPr>
        <w:tab/>
      </w:r>
      <w:r>
        <w:rPr>
          <w:noProof/>
        </w:rPr>
        <w:fldChar w:fldCharType="begin"/>
      </w:r>
      <w:r>
        <w:rPr>
          <w:noProof/>
        </w:rPr>
        <w:instrText xml:space="preserve"> PAGEREF _Toc74916347 \h </w:instrText>
      </w:r>
      <w:r>
        <w:rPr>
          <w:noProof/>
        </w:rPr>
      </w:r>
      <w:r>
        <w:rPr>
          <w:noProof/>
        </w:rPr>
        <w:fldChar w:fldCharType="separate"/>
      </w:r>
      <w:r w:rsidR="00A84D48">
        <w:rPr>
          <w:noProof/>
        </w:rPr>
        <w:t>161</w:t>
      </w:r>
      <w:r>
        <w:rPr>
          <w:noProof/>
        </w:rPr>
        <w:fldChar w:fldCharType="end"/>
      </w:r>
    </w:p>
    <w:p w14:paraId="7E4EE1C9" w14:textId="36BAC08F" w:rsidR="008144BE" w:rsidRDefault="008144BE">
      <w:pPr>
        <w:pStyle w:val="TOC5"/>
        <w:rPr>
          <w:rFonts w:asciiTheme="minorHAnsi" w:eastAsiaTheme="minorEastAsia" w:hAnsiTheme="minorHAnsi" w:cstheme="minorBidi"/>
          <w:noProof/>
          <w:kern w:val="0"/>
          <w:sz w:val="22"/>
          <w:szCs w:val="22"/>
        </w:rPr>
      </w:pPr>
      <w:r w:rsidRPr="00BC78CF">
        <w:rPr>
          <w:strike/>
          <w:noProof/>
          <w:color w:val="FF0000"/>
        </w:rPr>
        <w:t>4.14  Consumer dashboard for relevant account holders</w:t>
      </w:r>
      <w:r>
        <w:rPr>
          <w:noProof/>
        </w:rPr>
        <w:tab/>
      </w:r>
      <w:r>
        <w:rPr>
          <w:noProof/>
        </w:rPr>
        <w:fldChar w:fldCharType="begin"/>
      </w:r>
      <w:r>
        <w:rPr>
          <w:noProof/>
        </w:rPr>
        <w:instrText xml:space="preserve"> PAGEREF _Toc74916348 \h </w:instrText>
      </w:r>
      <w:r>
        <w:rPr>
          <w:noProof/>
        </w:rPr>
      </w:r>
      <w:r>
        <w:rPr>
          <w:noProof/>
        </w:rPr>
        <w:fldChar w:fldCharType="separate"/>
      </w:r>
      <w:r w:rsidR="00A84D48">
        <w:rPr>
          <w:noProof/>
        </w:rPr>
        <w:t>162</w:t>
      </w:r>
      <w:r>
        <w:rPr>
          <w:noProof/>
        </w:rPr>
        <w:fldChar w:fldCharType="end"/>
      </w:r>
    </w:p>
    <w:p w14:paraId="3338D960" w14:textId="24560FE5" w:rsidR="008144BE" w:rsidRDefault="008144BE">
      <w:pPr>
        <w:pStyle w:val="TOC5"/>
        <w:rPr>
          <w:rFonts w:asciiTheme="minorHAnsi" w:eastAsiaTheme="minorEastAsia" w:hAnsiTheme="minorHAnsi" w:cstheme="minorBidi"/>
          <w:noProof/>
          <w:kern w:val="0"/>
          <w:sz w:val="22"/>
          <w:szCs w:val="22"/>
        </w:rPr>
      </w:pPr>
      <w:r w:rsidRPr="00BC78CF">
        <w:rPr>
          <w:strike/>
          <w:noProof/>
          <w:color w:val="FF0000"/>
        </w:rPr>
        <w:t>4.15  Consumer dashboard for the requester</w:t>
      </w:r>
      <w:r>
        <w:rPr>
          <w:noProof/>
        </w:rPr>
        <w:tab/>
      </w:r>
      <w:r>
        <w:rPr>
          <w:noProof/>
        </w:rPr>
        <w:fldChar w:fldCharType="begin"/>
      </w:r>
      <w:r>
        <w:rPr>
          <w:noProof/>
        </w:rPr>
        <w:instrText xml:space="preserve"> PAGEREF _Toc74916349 \h </w:instrText>
      </w:r>
      <w:r>
        <w:rPr>
          <w:noProof/>
        </w:rPr>
      </w:r>
      <w:r>
        <w:rPr>
          <w:noProof/>
        </w:rPr>
        <w:fldChar w:fldCharType="separate"/>
      </w:r>
      <w:r w:rsidR="00A84D48">
        <w:rPr>
          <w:noProof/>
        </w:rPr>
        <w:t>163</w:t>
      </w:r>
      <w:r>
        <w:rPr>
          <w:noProof/>
        </w:rPr>
        <w:fldChar w:fldCharType="end"/>
      </w:r>
    </w:p>
    <w:p w14:paraId="26F80D5F" w14:textId="3A3DACDA" w:rsidR="008144BE" w:rsidRDefault="008144BE">
      <w:pPr>
        <w:pStyle w:val="TOC5"/>
        <w:rPr>
          <w:rFonts w:asciiTheme="minorHAnsi" w:eastAsiaTheme="minorEastAsia" w:hAnsiTheme="minorHAnsi" w:cstheme="minorBidi"/>
          <w:noProof/>
          <w:kern w:val="0"/>
          <w:sz w:val="22"/>
          <w:szCs w:val="22"/>
        </w:rPr>
      </w:pPr>
      <w:r w:rsidRPr="00BC78CF">
        <w:rPr>
          <w:strike/>
          <w:noProof/>
          <w:color w:val="FF0000"/>
        </w:rPr>
        <w:t>4.16  Notification requirements for consumer data requests on joint accounts</w:t>
      </w:r>
      <w:r>
        <w:rPr>
          <w:noProof/>
        </w:rPr>
        <w:tab/>
      </w:r>
      <w:r>
        <w:rPr>
          <w:noProof/>
        </w:rPr>
        <w:fldChar w:fldCharType="begin"/>
      </w:r>
      <w:r>
        <w:rPr>
          <w:noProof/>
        </w:rPr>
        <w:instrText xml:space="preserve"> PAGEREF _Toc74916350 \h </w:instrText>
      </w:r>
      <w:r>
        <w:rPr>
          <w:noProof/>
        </w:rPr>
      </w:r>
      <w:r>
        <w:rPr>
          <w:noProof/>
        </w:rPr>
        <w:fldChar w:fldCharType="separate"/>
      </w:r>
      <w:r w:rsidR="00A84D48">
        <w:rPr>
          <w:noProof/>
        </w:rPr>
        <w:t>163</w:t>
      </w:r>
      <w:r>
        <w:rPr>
          <w:noProof/>
        </w:rPr>
        <w:fldChar w:fldCharType="end"/>
      </w:r>
    </w:p>
    <w:p w14:paraId="1525B2A8" w14:textId="4F9B8C06" w:rsidR="008144BE" w:rsidRDefault="008144BE">
      <w:pPr>
        <w:pStyle w:val="TOC2"/>
        <w:rPr>
          <w:rFonts w:asciiTheme="minorHAnsi" w:eastAsiaTheme="minorEastAsia" w:hAnsiTheme="minorHAnsi" w:cstheme="minorBidi"/>
          <w:b w:val="0"/>
          <w:noProof/>
          <w:kern w:val="0"/>
          <w:sz w:val="22"/>
          <w:szCs w:val="22"/>
        </w:rPr>
      </w:pPr>
      <w:r w:rsidRPr="0094186E">
        <w:rPr>
          <w:noProof/>
          <w:color w:val="000000" w:themeColor="text1"/>
        </w:rPr>
        <w:t>Part 5—Internal dispute resolution―banking sector</w:t>
      </w:r>
      <w:r>
        <w:rPr>
          <w:noProof/>
        </w:rPr>
        <w:tab/>
      </w:r>
      <w:r>
        <w:rPr>
          <w:noProof/>
        </w:rPr>
        <w:fldChar w:fldCharType="begin"/>
      </w:r>
      <w:r>
        <w:rPr>
          <w:noProof/>
        </w:rPr>
        <w:instrText xml:space="preserve"> PAGEREF _Toc74916351 \h </w:instrText>
      </w:r>
      <w:r>
        <w:rPr>
          <w:noProof/>
        </w:rPr>
      </w:r>
      <w:r>
        <w:rPr>
          <w:noProof/>
        </w:rPr>
        <w:fldChar w:fldCharType="separate"/>
      </w:r>
      <w:r w:rsidR="00A84D48">
        <w:rPr>
          <w:noProof/>
        </w:rPr>
        <w:t>165</w:t>
      </w:r>
      <w:r>
        <w:rPr>
          <w:noProof/>
        </w:rPr>
        <w:fldChar w:fldCharType="end"/>
      </w:r>
    </w:p>
    <w:p w14:paraId="624392E6" w14:textId="44CFC013" w:rsidR="008144BE" w:rsidRDefault="008144BE">
      <w:pPr>
        <w:pStyle w:val="TOC5"/>
        <w:rPr>
          <w:rFonts w:asciiTheme="minorHAnsi" w:eastAsiaTheme="minorEastAsia" w:hAnsiTheme="minorHAnsi" w:cstheme="minorBidi"/>
          <w:noProof/>
          <w:kern w:val="0"/>
          <w:sz w:val="22"/>
          <w:szCs w:val="22"/>
        </w:rPr>
      </w:pPr>
      <w:r w:rsidRPr="0094186E">
        <w:rPr>
          <w:noProof/>
          <w:color w:val="000000" w:themeColor="text1"/>
        </w:rPr>
        <w:t xml:space="preserve">5.1  </w:t>
      </w:r>
      <w:r>
        <w:rPr>
          <w:noProof/>
        </w:rPr>
        <w:t xml:space="preserve"> Internal dispute resolution</w:t>
      </w:r>
      <w:r w:rsidRPr="0094186E">
        <w:rPr>
          <w:noProof/>
          <w:color w:val="000000" w:themeColor="text1"/>
        </w:rPr>
        <w:t>―banking sector</w:t>
      </w:r>
      <w:r>
        <w:rPr>
          <w:noProof/>
        </w:rPr>
        <w:tab/>
      </w:r>
      <w:r>
        <w:rPr>
          <w:noProof/>
        </w:rPr>
        <w:fldChar w:fldCharType="begin"/>
      </w:r>
      <w:r>
        <w:rPr>
          <w:noProof/>
        </w:rPr>
        <w:instrText xml:space="preserve"> PAGEREF _Toc74916352 \h </w:instrText>
      </w:r>
      <w:r>
        <w:rPr>
          <w:noProof/>
        </w:rPr>
      </w:r>
      <w:r>
        <w:rPr>
          <w:noProof/>
        </w:rPr>
        <w:fldChar w:fldCharType="separate"/>
      </w:r>
      <w:r w:rsidR="00A84D48">
        <w:rPr>
          <w:noProof/>
        </w:rPr>
        <w:t>165</w:t>
      </w:r>
      <w:r>
        <w:rPr>
          <w:noProof/>
        </w:rPr>
        <w:fldChar w:fldCharType="end"/>
      </w:r>
    </w:p>
    <w:p w14:paraId="5567606A" w14:textId="6CEFEBA4" w:rsidR="008144BE" w:rsidRDefault="008144BE">
      <w:pPr>
        <w:pStyle w:val="TOC2"/>
        <w:rPr>
          <w:rFonts w:asciiTheme="minorHAnsi" w:eastAsiaTheme="minorEastAsia" w:hAnsiTheme="minorHAnsi" w:cstheme="minorBidi"/>
          <w:b w:val="0"/>
          <w:noProof/>
          <w:kern w:val="0"/>
          <w:sz w:val="22"/>
          <w:szCs w:val="22"/>
        </w:rPr>
      </w:pPr>
      <w:r>
        <w:rPr>
          <w:noProof/>
        </w:rPr>
        <w:t>Part 6—Staged application of these rules to the banking sector</w:t>
      </w:r>
      <w:r>
        <w:rPr>
          <w:noProof/>
        </w:rPr>
        <w:tab/>
      </w:r>
      <w:r>
        <w:rPr>
          <w:noProof/>
        </w:rPr>
        <w:fldChar w:fldCharType="begin"/>
      </w:r>
      <w:r>
        <w:rPr>
          <w:noProof/>
        </w:rPr>
        <w:instrText xml:space="preserve"> PAGEREF _Toc74916353 \h </w:instrText>
      </w:r>
      <w:r>
        <w:rPr>
          <w:noProof/>
        </w:rPr>
      </w:r>
      <w:r>
        <w:rPr>
          <w:noProof/>
        </w:rPr>
        <w:fldChar w:fldCharType="separate"/>
      </w:r>
      <w:r w:rsidR="00A84D48">
        <w:rPr>
          <w:noProof/>
        </w:rPr>
        <w:t>166</w:t>
      </w:r>
      <w:r>
        <w:rPr>
          <w:noProof/>
        </w:rPr>
        <w:fldChar w:fldCharType="end"/>
      </w:r>
    </w:p>
    <w:p w14:paraId="79EA9AB2" w14:textId="0673D795" w:rsidR="008144BE" w:rsidRDefault="008144BE">
      <w:pPr>
        <w:pStyle w:val="TOC3"/>
        <w:rPr>
          <w:rFonts w:asciiTheme="minorHAnsi" w:eastAsiaTheme="minorEastAsia" w:hAnsiTheme="minorHAnsi" w:cstheme="minorBidi"/>
          <w:b w:val="0"/>
          <w:noProof/>
          <w:kern w:val="0"/>
          <w:szCs w:val="22"/>
        </w:rPr>
      </w:pPr>
      <w:r>
        <w:rPr>
          <w:noProof/>
        </w:rPr>
        <w:t>Division 6.1—Preliminary</w:t>
      </w:r>
      <w:r>
        <w:rPr>
          <w:noProof/>
        </w:rPr>
        <w:tab/>
      </w:r>
      <w:r>
        <w:rPr>
          <w:noProof/>
        </w:rPr>
        <w:fldChar w:fldCharType="begin"/>
      </w:r>
      <w:r>
        <w:rPr>
          <w:noProof/>
        </w:rPr>
        <w:instrText xml:space="preserve"> PAGEREF _Toc74916354 \h </w:instrText>
      </w:r>
      <w:r>
        <w:rPr>
          <w:noProof/>
        </w:rPr>
      </w:r>
      <w:r>
        <w:rPr>
          <w:noProof/>
        </w:rPr>
        <w:fldChar w:fldCharType="separate"/>
      </w:r>
      <w:r w:rsidR="00A84D48">
        <w:rPr>
          <w:noProof/>
        </w:rPr>
        <w:t>166</w:t>
      </w:r>
      <w:r>
        <w:rPr>
          <w:noProof/>
        </w:rPr>
        <w:fldChar w:fldCharType="end"/>
      </w:r>
    </w:p>
    <w:p w14:paraId="383D96DA" w14:textId="2BD26C3F" w:rsidR="008144BE" w:rsidRDefault="008144BE">
      <w:pPr>
        <w:pStyle w:val="TOC5"/>
        <w:rPr>
          <w:rFonts w:asciiTheme="minorHAnsi" w:eastAsiaTheme="minorEastAsia" w:hAnsiTheme="minorHAnsi" w:cstheme="minorBidi"/>
          <w:noProof/>
          <w:kern w:val="0"/>
          <w:sz w:val="22"/>
          <w:szCs w:val="22"/>
        </w:rPr>
      </w:pPr>
      <w:r>
        <w:rPr>
          <w:noProof/>
        </w:rPr>
        <w:t>6.1  Interpretation</w:t>
      </w:r>
      <w:r>
        <w:rPr>
          <w:noProof/>
        </w:rPr>
        <w:tab/>
      </w:r>
      <w:r>
        <w:rPr>
          <w:noProof/>
        </w:rPr>
        <w:fldChar w:fldCharType="begin"/>
      </w:r>
      <w:r>
        <w:rPr>
          <w:noProof/>
        </w:rPr>
        <w:instrText xml:space="preserve"> PAGEREF _Toc74916355 \h </w:instrText>
      </w:r>
      <w:r>
        <w:rPr>
          <w:noProof/>
        </w:rPr>
      </w:r>
      <w:r>
        <w:rPr>
          <w:noProof/>
        </w:rPr>
        <w:fldChar w:fldCharType="separate"/>
      </w:r>
      <w:r w:rsidR="00A84D48">
        <w:rPr>
          <w:noProof/>
        </w:rPr>
        <w:t>166</w:t>
      </w:r>
      <w:r>
        <w:rPr>
          <w:noProof/>
        </w:rPr>
        <w:fldChar w:fldCharType="end"/>
      </w:r>
    </w:p>
    <w:p w14:paraId="2DD0EA29" w14:textId="14F458FB" w:rsidR="008144BE" w:rsidRDefault="008144BE">
      <w:pPr>
        <w:pStyle w:val="TOC5"/>
        <w:rPr>
          <w:rFonts w:asciiTheme="minorHAnsi" w:eastAsiaTheme="minorEastAsia" w:hAnsiTheme="minorHAnsi" w:cstheme="minorBidi"/>
          <w:noProof/>
          <w:kern w:val="0"/>
          <w:sz w:val="22"/>
          <w:szCs w:val="22"/>
        </w:rPr>
      </w:pPr>
      <w:r>
        <w:rPr>
          <w:noProof/>
        </w:rPr>
        <w:t xml:space="preserve">6.2  Meaning of </w:t>
      </w:r>
      <w:r w:rsidRPr="0094186E">
        <w:rPr>
          <w:i/>
          <w:noProof/>
        </w:rPr>
        <w:t>initial data holder</w:t>
      </w:r>
      <w:r>
        <w:rPr>
          <w:noProof/>
        </w:rPr>
        <w:t>,</w:t>
      </w:r>
      <w:r w:rsidRPr="0094186E">
        <w:rPr>
          <w:i/>
          <w:noProof/>
        </w:rPr>
        <w:t xml:space="preserve"> accredited ADI</w:t>
      </w:r>
      <w:r>
        <w:rPr>
          <w:noProof/>
        </w:rPr>
        <w:t xml:space="preserve">, </w:t>
      </w:r>
      <w:r w:rsidRPr="0094186E">
        <w:rPr>
          <w:i/>
          <w:noProof/>
        </w:rPr>
        <w:t>any other relevant ADI</w:t>
      </w:r>
      <w:r>
        <w:rPr>
          <w:noProof/>
        </w:rPr>
        <w:t xml:space="preserve"> and </w:t>
      </w:r>
      <w:r w:rsidRPr="0094186E">
        <w:rPr>
          <w:i/>
          <w:noProof/>
        </w:rPr>
        <w:t>accredited non</w:t>
      </w:r>
      <w:r w:rsidRPr="0094186E">
        <w:rPr>
          <w:i/>
          <w:noProof/>
        </w:rPr>
        <w:noBreakHyphen/>
        <w:t>ADI</w:t>
      </w:r>
      <w:r>
        <w:rPr>
          <w:noProof/>
        </w:rPr>
        <w:tab/>
      </w:r>
      <w:r>
        <w:rPr>
          <w:noProof/>
        </w:rPr>
        <w:fldChar w:fldCharType="begin"/>
      </w:r>
      <w:r>
        <w:rPr>
          <w:noProof/>
        </w:rPr>
        <w:instrText xml:space="preserve"> PAGEREF _Toc74916356 \h </w:instrText>
      </w:r>
      <w:r>
        <w:rPr>
          <w:noProof/>
        </w:rPr>
      </w:r>
      <w:r>
        <w:rPr>
          <w:noProof/>
        </w:rPr>
        <w:fldChar w:fldCharType="separate"/>
      </w:r>
      <w:r w:rsidR="00A84D48">
        <w:rPr>
          <w:noProof/>
        </w:rPr>
        <w:t>166</w:t>
      </w:r>
      <w:r>
        <w:rPr>
          <w:noProof/>
        </w:rPr>
        <w:fldChar w:fldCharType="end"/>
      </w:r>
    </w:p>
    <w:p w14:paraId="42B3ECE1" w14:textId="7737D4E1" w:rsidR="008144BE" w:rsidRDefault="008144BE">
      <w:pPr>
        <w:pStyle w:val="TOC3"/>
        <w:rPr>
          <w:rFonts w:asciiTheme="minorHAnsi" w:eastAsiaTheme="minorEastAsia" w:hAnsiTheme="minorHAnsi" w:cstheme="minorBidi"/>
          <w:b w:val="0"/>
          <w:noProof/>
          <w:kern w:val="0"/>
          <w:szCs w:val="22"/>
        </w:rPr>
      </w:pPr>
      <w:r w:rsidRPr="0094186E">
        <w:rPr>
          <w:noProof/>
          <w:color w:val="000000" w:themeColor="text1"/>
        </w:rPr>
        <w:t>Division 6.2—Staged application of rules</w:t>
      </w:r>
      <w:r>
        <w:rPr>
          <w:noProof/>
        </w:rPr>
        <w:tab/>
      </w:r>
      <w:r>
        <w:rPr>
          <w:noProof/>
        </w:rPr>
        <w:fldChar w:fldCharType="begin"/>
      </w:r>
      <w:r>
        <w:rPr>
          <w:noProof/>
        </w:rPr>
        <w:instrText xml:space="preserve"> PAGEREF _Toc74916357 \h </w:instrText>
      </w:r>
      <w:r>
        <w:rPr>
          <w:noProof/>
        </w:rPr>
      </w:r>
      <w:r>
        <w:rPr>
          <w:noProof/>
        </w:rPr>
        <w:fldChar w:fldCharType="separate"/>
      </w:r>
      <w:r w:rsidR="00A84D48">
        <w:rPr>
          <w:noProof/>
        </w:rPr>
        <w:t>168</w:t>
      </w:r>
      <w:r>
        <w:rPr>
          <w:noProof/>
        </w:rPr>
        <w:fldChar w:fldCharType="end"/>
      </w:r>
    </w:p>
    <w:p w14:paraId="0B93403E" w14:textId="681D24C3" w:rsidR="008144BE" w:rsidRDefault="008144BE">
      <w:pPr>
        <w:pStyle w:val="TOC5"/>
        <w:rPr>
          <w:rFonts w:asciiTheme="minorHAnsi" w:eastAsiaTheme="minorEastAsia" w:hAnsiTheme="minorHAnsi" w:cstheme="minorBidi"/>
          <w:noProof/>
          <w:kern w:val="0"/>
          <w:sz w:val="22"/>
          <w:szCs w:val="22"/>
        </w:rPr>
      </w:pPr>
      <w:r>
        <w:rPr>
          <w:noProof/>
        </w:rPr>
        <w:t>6.4  Staged application of rules―requirement to disclose CDR data</w:t>
      </w:r>
      <w:r>
        <w:rPr>
          <w:noProof/>
        </w:rPr>
        <w:tab/>
      </w:r>
      <w:r>
        <w:rPr>
          <w:noProof/>
        </w:rPr>
        <w:fldChar w:fldCharType="begin"/>
      </w:r>
      <w:r>
        <w:rPr>
          <w:noProof/>
        </w:rPr>
        <w:instrText xml:space="preserve"> PAGEREF _Toc74916358 \h </w:instrText>
      </w:r>
      <w:r>
        <w:rPr>
          <w:noProof/>
        </w:rPr>
      </w:r>
      <w:r>
        <w:rPr>
          <w:noProof/>
        </w:rPr>
        <w:fldChar w:fldCharType="separate"/>
      </w:r>
      <w:r w:rsidR="00A84D48">
        <w:rPr>
          <w:noProof/>
        </w:rPr>
        <w:t>168</w:t>
      </w:r>
      <w:r>
        <w:rPr>
          <w:noProof/>
        </w:rPr>
        <w:fldChar w:fldCharType="end"/>
      </w:r>
    </w:p>
    <w:p w14:paraId="2B144F76" w14:textId="59ACEF0F" w:rsidR="008144BE" w:rsidRDefault="008144BE">
      <w:pPr>
        <w:pStyle w:val="TOC5"/>
        <w:rPr>
          <w:rFonts w:asciiTheme="minorHAnsi" w:eastAsiaTheme="minorEastAsia" w:hAnsiTheme="minorHAnsi" w:cstheme="minorBidi"/>
          <w:noProof/>
          <w:kern w:val="0"/>
          <w:sz w:val="22"/>
          <w:szCs w:val="22"/>
        </w:rPr>
      </w:pPr>
      <w:r>
        <w:rPr>
          <w:noProof/>
        </w:rPr>
        <w:t>6.5  Authorisation to disclose CDR data before required to do so</w:t>
      </w:r>
      <w:r>
        <w:rPr>
          <w:noProof/>
        </w:rPr>
        <w:tab/>
      </w:r>
      <w:r>
        <w:rPr>
          <w:noProof/>
        </w:rPr>
        <w:fldChar w:fldCharType="begin"/>
      </w:r>
      <w:r>
        <w:rPr>
          <w:noProof/>
        </w:rPr>
        <w:instrText xml:space="preserve"> PAGEREF _Toc74916359 \h </w:instrText>
      </w:r>
      <w:r>
        <w:rPr>
          <w:noProof/>
        </w:rPr>
      </w:r>
      <w:r>
        <w:rPr>
          <w:noProof/>
        </w:rPr>
        <w:fldChar w:fldCharType="separate"/>
      </w:r>
      <w:r w:rsidR="00A84D48">
        <w:rPr>
          <w:noProof/>
        </w:rPr>
        <w:t>168</w:t>
      </w:r>
      <w:r>
        <w:rPr>
          <w:noProof/>
        </w:rPr>
        <w:fldChar w:fldCharType="end"/>
      </w:r>
    </w:p>
    <w:p w14:paraId="4539198A" w14:textId="14DAB52B" w:rsidR="008144BE" w:rsidRDefault="008144BE">
      <w:pPr>
        <w:pStyle w:val="TOC5"/>
        <w:rPr>
          <w:rFonts w:asciiTheme="minorHAnsi" w:eastAsiaTheme="minorEastAsia" w:hAnsiTheme="minorHAnsi" w:cstheme="minorBidi"/>
          <w:noProof/>
          <w:kern w:val="0"/>
          <w:sz w:val="22"/>
          <w:szCs w:val="22"/>
        </w:rPr>
      </w:pPr>
      <w:r>
        <w:rPr>
          <w:noProof/>
        </w:rPr>
        <w:t>6.6  Commencement table</w:t>
      </w:r>
      <w:r>
        <w:rPr>
          <w:noProof/>
        </w:rPr>
        <w:tab/>
      </w:r>
      <w:r>
        <w:rPr>
          <w:noProof/>
        </w:rPr>
        <w:fldChar w:fldCharType="begin"/>
      </w:r>
      <w:r>
        <w:rPr>
          <w:noProof/>
        </w:rPr>
        <w:instrText xml:space="preserve"> PAGEREF _Toc74916360 \h </w:instrText>
      </w:r>
      <w:r>
        <w:rPr>
          <w:noProof/>
        </w:rPr>
      </w:r>
      <w:r>
        <w:rPr>
          <w:noProof/>
        </w:rPr>
        <w:fldChar w:fldCharType="separate"/>
      </w:r>
      <w:r w:rsidR="00A84D48">
        <w:rPr>
          <w:noProof/>
        </w:rPr>
        <w:t>170</w:t>
      </w:r>
      <w:r>
        <w:rPr>
          <w:noProof/>
        </w:rPr>
        <w:fldChar w:fldCharType="end"/>
      </w:r>
    </w:p>
    <w:p w14:paraId="3A959B66" w14:textId="2C09F12D" w:rsidR="008144BE" w:rsidRDefault="008144BE">
      <w:pPr>
        <w:pStyle w:val="TOC5"/>
        <w:rPr>
          <w:rFonts w:asciiTheme="minorHAnsi" w:eastAsiaTheme="minorEastAsia" w:hAnsiTheme="minorHAnsi" w:cstheme="minorBidi"/>
          <w:noProof/>
          <w:kern w:val="0"/>
          <w:sz w:val="22"/>
          <w:szCs w:val="22"/>
        </w:rPr>
      </w:pPr>
      <w:r>
        <w:rPr>
          <w:noProof/>
        </w:rPr>
        <w:t>6.7  Application of certain rules</w:t>
      </w:r>
      <w:r>
        <w:rPr>
          <w:noProof/>
        </w:rPr>
        <w:tab/>
      </w:r>
      <w:r>
        <w:rPr>
          <w:noProof/>
        </w:rPr>
        <w:fldChar w:fldCharType="begin"/>
      </w:r>
      <w:r>
        <w:rPr>
          <w:noProof/>
        </w:rPr>
        <w:instrText xml:space="preserve"> PAGEREF _Toc74916361 \h </w:instrText>
      </w:r>
      <w:r>
        <w:rPr>
          <w:noProof/>
        </w:rPr>
      </w:r>
      <w:r>
        <w:rPr>
          <w:noProof/>
        </w:rPr>
        <w:fldChar w:fldCharType="separate"/>
      </w:r>
      <w:r w:rsidR="00A84D48">
        <w:rPr>
          <w:noProof/>
        </w:rPr>
        <w:t>171</w:t>
      </w:r>
      <w:r>
        <w:rPr>
          <w:noProof/>
        </w:rPr>
        <w:fldChar w:fldCharType="end"/>
      </w:r>
    </w:p>
    <w:p w14:paraId="187770D9" w14:textId="11D12762" w:rsidR="008144BE" w:rsidRDefault="008144BE">
      <w:pPr>
        <w:pStyle w:val="TOC2"/>
        <w:rPr>
          <w:rFonts w:asciiTheme="minorHAnsi" w:eastAsiaTheme="minorEastAsia" w:hAnsiTheme="minorHAnsi" w:cstheme="minorBidi"/>
          <w:b w:val="0"/>
          <w:noProof/>
          <w:kern w:val="0"/>
          <w:sz w:val="22"/>
          <w:szCs w:val="22"/>
        </w:rPr>
      </w:pPr>
      <w:r w:rsidRPr="0094186E">
        <w:rPr>
          <w:noProof/>
          <w:color w:val="000000" w:themeColor="text1"/>
        </w:rPr>
        <w:t xml:space="preserve">Part 7—Other </w:t>
      </w:r>
      <w:r>
        <w:rPr>
          <w:noProof/>
        </w:rPr>
        <w:t>rules, and modifications of these rules, for the banking sector</w:t>
      </w:r>
      <w:r>
        <w:rPr>
          <w:noProof/>
        </w:rPr>
        <w:tab/>
      </w:r>
      <w:r>
        <w:rPr>
          <w:noProof/>
        </w:rPr>
        <w:fldChar w:fldCharType="begin"/>
      </w:r>
      <w:r>
        <w:rPr>
          <w:noProof/>
        </w:rPr>
        <w:instrText xml:space="preserve"> PAGEREF _Toc74916362 \h </w:instrText>
      </w:r>
      <w:r>
        <w:rPr>
          <w:noProof/>
        </w:rPr>
      </w:r>
      <w:r>
        <w:rPr>
          <w:noProof/>
        </w:rPr>
        <w:fldChar w:fldCharType="separate"/>
      </w:r>
      <w:r w:rsidR="00A84D48">
        <w:rPr>
          <w:noProof/>
        </w:rPr>
        <w:t>172</w:t>
      </w:r>
      <w:r>
        <w:rPr>
          <w:noProof/>
        </w:rPr>
        <w:fldChar w:fldCharType="end"/>
      </w:r>
    </w:p>
    <w:p w14:paraId="3930F1AD" w14:textId="04AEC754" w:rsidR="008144BE" w:rsidRDefault="008144BE">
      <w:pPr>
        <w:pStyle w:val="TOC5"/>
        <w:rPr>
          <w:rFonts w:asciiTheme="minorHAnsi" w:eastAsiaTheme="minorEastAsia" w:hAnsiTheme="minorHAnsi" w:cstheme="minorBidi"/>
          <w:noProof/>
          <w:kern w:val="0"/>
          <w:sz w:val="22"/>
          <w:szCs w:val="22"/>
        </w:rPr>
      </w:pPr>
      <w:r>
        <w:rPr>
          <w:noProof/>
        </w:rPr>
        <w:t>7.1  Laws relevant to the management of CDR data—banking sector</w:t>
      </w:r>
      <w:r>
        <w:rPr>
          <w:noProof/>
        </w:rPr>
        <w:tab/>
      </w:r>
      <w:r>
        <w:rPr>
          <w:noProof/>
        </w:rPr>
        <w:fldChar w:fldCharType="begin"/>
      </w:r>
      <w:r>
        <w:rPr>
          <w:noProof/>
        </w:rPr>
        <w:instrText xml:space="preserve"> PAGEREF _Toc74916363 \h </w:instrText>
      </w:r>
      <w:r>
        <w:rPr>
          <w:noProof/>
        </w:rPr>
      </w:r>
      <w:r>
        <w:rPr>
          <w:noProof/>
        </w:rPr>
        <w:fldChar w:fldCharType="separate"/>
      </w:r>
      <w:r w:rsidR="00A84D48">
        <w:rPr>
          <w:noProof/>
        </w:rPr>
        <w:t>172</w:t>
      </w:r>
      <w:r>
        <w:rPr>
          <w:noProof/>
        </w:rPr>
        <w:fldChar w:fldCharType="end"/>
      </w:r>
    </w:p>
    <w:p w14:paraId="25B44035" w14:textId="6526B161" w:rsidR="008144BE" w:rsidRDefault="008144BE">
      <w:pPr>
        <w:pStyle w:val="TOC5"/>
        <w:rPr>
          <w:rFonts w:asciiTheme="minorHAnsi" w:eastAsiaTheme="minorEastAsia" w:hAnsiTheme="minorHAnsi" w:cstheme="minorBidi"/>
          <w:noProof/>
          <w:kern w:val="0"/>
          <w:sz w:val="22"/>
          <w:szCs w:val="22"/>
        </w:rPr>
      </w:pPr>
      <w:r>
        <w:rPr>
          <w:noProof/>
        </w:rPr>
        <w:t>7.2  Conditions for accredited person to be data holder</w:t>
      </w:r>
      <w:r>
        <w:rPr>
          <w:noProof/>
        </w:rPr>
        <w:tab/>
      </w:r>
      <w:r>
        <w:rPr>
          <w:noProof/>
        </w:rPr>
        <w:fldChar w:fldCharType="begin"/>
      </w:r>
      <w:r>
        <w:rPr>
          <w:noProof/>
        </w:rPr>
        <w:instrText xml:space="preserve"> PAGEREF _Toc74916364 \h </w:instrText>
      </w:r>
      <w:r>
        <w:rPr>
          <w:noProof/>
        </w:rPr>
      </w:r>
      <w:r>
        <w:rPr>
          <w:noProof/>
        </w:rPr>
        <w:fldChar w:fldCharType="separate"/>
      </w:r>
      <w:r w:rsidR="00A84D48">
        <w:rPr>
          <w:noProof/>
        </w:rPr>
        <w:t>172</w:t>
      </w:r>
      <w:r>
        <w:rPr>
          <w:noProof/>
        </w:rPr>
        <w:fldChar w:fldCharType="end"/>
      </w:r>
    </w:p>
    <w:p w14:paraId="0F0FFA3D" w14:textId="14FB64CE" w:rsidR="008144BE" w:rsidRDefault="008144BE">
      <w:pPr>
        <w:pStyle w:val="TOC5"/>
        <w:rPr>
          <w:rFonts w:asciiTheme="minorHAnsi" w:eastAsiaTheme="minorEastAsia" w:hAnsiTheme="minorHAnsi" w:cstheme="minorBidi"/>
          <w:noProof/>
          <w:kern w:val="0"/>
          <w:sz w:val="22"/>
          <w:szCs w:val="22"/>
        </w:rPr>
      </w:pPr>
      <w:r w:rsidRPr="0094186E">
        <w:rPr>
          <w:noProof/>
          <w:color w:val="000000" w:themeColor="text1"/>
        </w:rPr>
        <w:t>7.3  Streamlined accreditation—banking sector</w:t>
      </w:r>
      <w:r>
        <w:rPr>
          <w:noProof/>
        </w:rPr>
        <w:tab/>
      </w:r>
      <w:r>
        <w:rPr>
          <w:noProof/>
        </w:rPr>
        <w:fldChar w:fldCharType="begin"/>
      </w:r>
      <w:r>
        <w:rPr>
          <w:noProof/>
        </w:rPr>
        <w:instrText xml:space="preserve"> PAGEREF _Toc74916365 \h </w:instrText>
      </w:r>
      <w:r>
        <w:rPr>
          <w:noProof/>
        </w:rPr>
      </w:r>
      <w:r>
        <w:rPr>
          <w:noProof/>
        </w:rPr>
        <w:fldChar w:fldCharType="separate"/>
      </w:r>
      <w:r w:rsidR="00A84D48">
        <w:rPr>
          <w:noProof/>
        </w:rPr>
        <w:t>173</w:t>
      </w:r>
      <w:r>
        <w:rPr>
          <w:noProof/>
        </w:rPr>
        <w:fldChar w:fldCharType="end"/>
      </w:r>
    </w:p>
    <w:p w14:paraId="72FFA67C" w14:textId="2004FA48" w:rsidR="008144BE" w:rsidRDefault="008144BE">
      <w:pPr>
        <w:pStyle w:val="TOC5"/>
        <w:rPr>
          <w:rFonts w:asciiTheme="minorHAnsi" w:eastAsiaTheme="minorEastAsia" w:hAnsiTheme="minorHAnsi" w:cstheme="minorBidi"/>
          <w:noProof/>
          <w:kern w:val="0"/>
          <w:sz w:val="22"/>
          <w:szCs w:val="22"/>
        </w:rPr>
      </w:pPr>
      <w:r w:rsidRPr="0094186E">
        <w:rPr>
          <w:noProof/>
          <w:color w:val="000000" w:themeColor="text1"/>
        </w:rPr>
        <w:t>7.4  Exemptions to accreditation criteria—banking sector</w:t>
      </w:r>
      <w:r>
        <w:rPr>
          <w:noProof/>
        </w:rPr>
        <w:tab/>
      </w:r>
      <w:r>
        <w:rPr>
          <w:noProof/>
        </w:rPr>
        <w:fldChar w:fldCharType="begin"/>
      </w:r>
      <w:r>
        <w:rPr>
          <w:noProof/>
        </w:rPr>
        <w:instrText xml:space="preserve"> PAGEREF _Toc74916366 \h </w:instrText>
      </w:r>
      <w:r>
        <w:rPr>
          <w:noProof/>
        </w:rPr>
      </w:r>
      <w:r>
        <w:rPr>
          <w:noProof/>
        </w:rPr>
        <w:fldChar w:fldCharType="separate"/>
      </w:r>
      <w:r w:rsidR="00A84D48">
        <w:rPr>
          <w:noProof/>
        </w:rPr>
        <w:t>173</w:t>
      </w:r>
      <w:r>
        <w:rPr>
          <w:noProof/>
        </w:rPr>
        <w:fldChar w:fldCharType="end"/>
      </w:r>
    </w:p>
    <w:p w14:paraId="54A2E951" w14:textId="45682F04" w:rsidR="008144BE" w:rsidRDefault="008144BE">
      <w:pPr>
        <w:pStyle w:val="TOC5"/>
        <w:rPr>
          <w:rFonts w:asciiTheme="minorHAnsi" w:eastAsiaTheme="minorEastAsia" w:hAnsiTheme="minorHAnsi" w:cstheme="minorBidi"/>
          <w:noProof/>
          <w:kern w:val="0"/>
          <w:sz w:val="22"/>
          <w:szCs w:val="22"/>
        </w:rPr>
      </w:pPr>
      <w:r w:rsidRPr="0094186E">
        <w:rPr>
          <w:noProof/>
          <w:color w:val="FF0000"/>
        </w:rPr>
        <w:t>Transitional provisions (to go in amending instrument)</w:t>
      </w:r>
      <w:r>
        <w:rPr>
          <w:noProof/>
        </w:rPr>
        <w:tab/>
      </w:r>
      <w:r>
        <w:rPr>
          <w:noProof/>
        </w:rPr>
        <w:fldChar w:fldCharType="begin"/>
      </w:r>
      <w:r>
        <w:rPr>
          <w:noProof/>
        </w:rPr>
        <w:instrText xml:space="preserve"> PAGEREF _Toc74916367 \h </w:instrText>
      </w:r>
      <w:r>
        <w:rPr>
          <w:noProof/>
        </w:rPr>
      </w:r>
      <w:r>
        <w:rPr>
          <w:noProof/>
        </w:rPr>
        <w:fldChar w:fldCharType="separate"/>
      </w:r>
      <w:r w:rsidR="00A84D48">
        <w:rPr>
          <w:noProof/>
        </w:rPr>
        <w:t>173</w:t>
      </w:r>
      <w:r>
        <w:rPr>
          <w:noProof/>
        </w:rPr>
        <w:fldChar w:fldCharType="end"/>
      </w:r>
    </w:p>
    <w:p w14:paraId="56F6F06B" w14:textId="5F139273" w:rsidR="00CF0E3D" w:rsidRPr="008B1BE1" w:rsidRDefault="00CF0E3D" w:rsidP="00CF0E3D">
      <w:pPr>
        <w:outlineLvl w:val="0"/>
        <w:sectPr w:rsidR="00CF0E3D" w:rsidRPr="008B1BE1" w:rsidSect="003507D2">
          <w:headerReference w:type="even" r:id="rId8"/>
          <w:headerReference w:type="default" r:id="rId9"/>
          <w:footerReference w:type="even" r:id="rId10"/>
          <w:footerReference w:type="default" r:id="rId11"/>
          <w:headerReference w:type="first" r:id="rId12"/>
          <w:footerReference w:type="first" r:id="rId13"/>
          <w:pgSz w:w="11907" w:h="16839"/>
          <w:pgMar w:top="2099" w:right="1797" w:bottom="1440" w:left="1797" w:header="720" w:footer="709" w:gutter="0"/>
          <w:pgNumType w:fmt="lowerRoman" w:start="1"/>
          <w:cols w:space="708"/>
          <w:docGrid w:linePitch="360"/>
        </w:sectPr>
      </w:pPr>
      <w:r>
        <w:fldChar w:fldCharType="end"/>
      </w:r>
      <w:r>
        <w:tab/>
      </w:r>
    </w:p>
    <w:p w14:paraId="5A722584" w14:textId="247ED77C" w:rsidR="00CF0E3D" w:rsidRDefault="00CF0E3D" w:rsidP="00CF0E3D">
      <w:pPr>
        <w:pStyle w:val="ActHead2"/>
      </w:pPr>
      <w:bookmarkStart w:id="0" w:name="_Toc11771556"/>
      <w:bookmarkStart w:id="1" w:name="_Toc74916064"/>
      <w:r>
        <w:t>Part 1—Preliminary</w:t>
      </w:r>
      <w:bookmarkEnd w:id="0"/>
      <w:bookmarkEnd w:id="1"/>
    </w:p>
    <w:p w14:paraId="68162153" w14:textId="77777777" w:rsidR="00CF0E3D" w:rsidRPr="000C3240" w:rsidRDefault="00CF0E3D" w:rsidP="00CF0E3D">
      <w:pPr>
        <w:pStyle w:val="ActHead3"/>
        <w:rPr>
          <w:color w:val="000000" w:themeColor="text1"/>
        </w:rPr>
      </w:pPr>
      <w:bookmarkStart w:id="2" w:name="_Toc11771557"/>
      <w:bookmarkStart w:id="3" w:name="_Toc74916065"/>
      <w:r>
        <w:t>Division 1.1</w:t>
      </w:r>
      <w:r w:rsidRPr="00B3173B">
        <w:t>—Preliminary</w:t>
      </w:r>
      <w:bookmarkEnd w:id="2"/>
      <w:bookmarkEnd w:id="3"/>
    </w:p>
    <w:p w14:paraId="34096E54" w14:textId="77777777" w:rsidR="00CF0E3D" w:rsidRPr="00554826" w:rsidRDefault="00CF0E3D" w:rsidP="00CF0E3D">
      <w:pPr>
        <w:pStyle w:val="ActHead5"/>
      </w:pPr>
      <w:bookmarkStart w:id="4" w:name="_Toc11771558"/>
      <w:bookmarkStart w:id="5" w:name="_Toc74916066"/>
      <w:r>
        <w:t xml:space="preserve">1.1  </w:t>
      </w:r>
      <w:r w:rsidRPr="00554826">
        <w:t>Name</w:t>
      </w:r>
      <w:bookmarkEnd w:id="4"/>
      <w:bookmarkEnd w:id="5"/>
    </w:p>
    <w:p w14:paraId="68DA6C0C" w14:textId="77777777" w:rsidR="00CF0E3D" w:rsidRDefault="00CF0E3D" w:rsidP="00CF0E3D">
      <w:pPr>
        <w:pStyle w:val="subsection"/>
      </w:pPr>
      <w:r w:rsidRPr="009C2562">
        <w:tab/>
      </w:r>
      <w:r w:rsidRPr="009C2562">
        <w:tab/>
        <w:t xml:space="preserve">This </w:t>
      </w:r>
      <w:r>
        <w:t xml:space="preserve">instrument </w:t>
      </w:r>
      <w:r w:rsidRPr="009C2562">
        <w:t xml:space="preserve">is the </w:t>
      </w:r>
      <w:bookmarkStart w:id="6" w:name="BKCheck15B_3"/>
      <w:bookmarkEnd w:id="6"/>
      <w:r>
        <w:rPr>
          <w:i/>
          <w:noProof/>
        </w:rPr>
        <w:t>Competition and Consumer (Consumer Data Right) Rules 2020</w:t>
      </w:r>
      <w:r w:rsidRPr="009C2562">
        <w:t>.</w:t>
      </w:r>
    </w:p>
    <w:p w14:paraId="1E6FF8E7" w14:textId="77777777" w:rsidR="00CF0E3D" w:rsidRDefault="00CF0E3D" w:rsidP="00CF0E3D">
      <w:pPr>
        <w:pStyle w:val="ActHead5"/>
      </w:pPr>
      <w:bookmarkStart w:id="7" w:name="_Toc11771560"/>
      <w:bookmarkStart w:id="8" w:name="_Toc74916067"/>
      <w:r>
        <w:t xml:space="preserve">1.3  </w:t>
      </w:r>
      <w:r w:rsidRPr="00554826">
        <w:t>Authority</w:t>
      </w:r>
      <w:bookmarkEnd w:id="7"/>
      <w:bookmarkEnd w:id="8"/>
    </w:p>
    <w:p w14:paraId="48AC8903" w14:textId="77777777" w:rsidR="00CF0E3D" w:rsidRPr="00417701" w:rsidRDefault="00CF0E3D" w:rsidP="00CF0E3D">
      <w:pPr>
        <w:pStyle w:val="subsection"/>
        <w:rPr>
          <w:color w:val="0000FF"/>
        </w:rPr>
      </w:pPr>
      <w:r w:rsidRPr="009C2562">
        <w:tab/>
      </w:r>
      <w:r w:rsidRPr="009C2562">
        <w:tab/>
        <w:t>This instrument is made under</w:t>
      </w:r>
      <w:r>
        <w:t xml:space="preserve"> section 56BA of the </w:t>
      </w:r>
      <w:r>
        <w:rPr>
          <w:i/>
        </w:rPr>
        <w:t>Competition and Consumer Act 2010</w:t>
      </w:r>
      <w:r w:rsidRPr="009C2562">
        <w:t>.</w:t>
      </w:r>
    </w:p>
    <w:p w14:paraId="1E1122CA" w14:textId="77777777" w:rsidR="00CF0E3D" w:rsidRPr="00B3173B" w:rsidRDefault="00CF0E3D" w:rsidP="00CF0E3D">
      <w:pPr>
        <w:pStyle w:val="ActHead3"/>
        <w:pageBreakBefore/>
      </w:pPr>
      <w:bookmarkStart w:id="9" w:name="_Toc11771561"/>
      <w:bookmarkStart w:id="10" w:name="_Toc74916068"/>
      <w:r>
        <w:t>Division 1.2</w:t>
      </w:r>
      <w:r w:rsidRPr="00B3173B">
        <w:t>—Simplified outline and overview of these rules</w:t>
      </w:r>
      <w:bookmarkEnd w:id="9"/>
      <w:bookmarkEnd w:id="10"/>
    </w:p>
    <w:p w14:paraId="12706C0A" w14:textId="77777777" w:rsidR="00CF0E3D" w:rsidRDefault="00CF0E3D" w:rsidP="00CF0E3D">
      <w:pPr>
        <w:pStyle w:val="ActHead5"/>
      </w:pPr>
      <w:bookmarkStart w:id="11" w:name="_Toc11771562"/>
      <w:bookmarkStart w:id="12" w:name="_Toc74916069"/>
      <w:r>
        <w:t>1.4</w:t>
      </w:r>
      <w:r w:rsidRPr="00225545">
        <w:t xml:space="preserve">  Simplified outline of these rules</w:t>
      </w:r>
      <w:bookmarkEnd w:id="11"/>
      <w:bookmarkEnd w:id="12"/>
    </w:p>
    <w:p w14:paraId="7DED6823" w14:textId="77777777" w:rsidR="00CF0E3D" w:rsidRPr="00A20945" w:rsidRDefault="00CF0E3D" w:rsidP="00CF0E3D">
      <w:pPr>
        <w:pStyle w:val="SOText"/>
      </w:pPr>
      <w:r w:rsidRPr="00A20945">
        <w:t>There are 3 ways to request CDR data under these rules.</w:t>
      </w:r>
    </w:p>
    <w:p w14:paraId="17C102E0" w14:textId="77777777" w:rsidR="00CF0E3D" w:rsidRPr="00A20945" w:rsidRDefault="00CF0E3D" w:rsidP="00CF0E3D">
      <w:pPr>
        <w:pStyle w:val="SOHeadBold"/>
      </w:pPr>
      <w:r w:rsidRPr="00A20945">
        <w:t>Product data requests</w:t>
      </w:r>
    </w:p>
    <w:p w14:paraId="6297FE1A" w14:textId="77777777" w:rsidR="00CF0E3D" w:rsidRPr="00A20945" w:rsidRDefault="00CF0E3D" w:rsidP="00CF0E3D">
      <w:pPr>
        <w:pStyle w:val="SOText"/>
        <w:spacing w:before="40"/>
      </w:pPr>
      <w:r w:rsidRPr="00A20945">
        <w:t xml:space="preserve">Any person may request a data holder to disclose CDR data that relates to </w:t>
      </w:r>
      <w:r>
        <w:t>product</w:t>
      </w:r>
      <w:r w:rsidRPr="00A20945">
        <w:t xml:space="preserve">s offered by the data holder. Such a request is called </w:t>
      </w:r>
      <w:r w:rsidRPr="00A20945">
        <w:rPr>
          <w:rFonts w:cs="Times New Roman"/>
        </w:rPr>
        <w:t>a product data request</w:t>
      </w:r>
      <w:r w:rsidRPr="00A20945">
        <w:t>.</w:t>
      </w:r>
    </w:p>
    <w:p w14:paraId="7BFC0428" w14:textId="77777777" w:rsidR="00CF0E3D" w:rsidRPr="00A20945" w:rsidRDefault="00CF0E3D" w:rsidP="00CF0E3D">
      <w:pPr>
        <w:pStyle w:val="SOText"/>
      </w:pPr>
      <w:r w:rsidRPr="00A20945">
        <w:t xml:space="preserve">A product data request is made in accordance with relevant data standards, using a specialised service provided by the data holder. Such a request cannot be made for CDR data that relates to </w:t>
      </w:r>
      <w:r w:rsidRPr="007E69B9">
        <w:t xml:space="preserve">a </w:t>
      </w:r>
      <w:r w:rsidRPr="00A20945">
        <w:t>particular identifiable CDR consumer. The data is disclosed, in machine</w:t>
      </w:r>
      <w:r w:rsidRPr="00A20945">
        <w:noBreakHyphen/>
        <w:t>readable form, to the person who made the request.</w:t>
      </w:r>
      <w:r>
        <w:t xml:space="preserve"> </w:t>
      </w:r>
      <w:r w:rsidRPr="00796ADB">
        <w:t>The data holder cannot impose conditions, restrictions or limitations of any kind on the use of the disclosed data.</w:t>
      </w:r>
    </w:p>
    <w:p w14:paraId="0E387522" w14:textId="77777777" w:rsidR="00CF0E3D" w:rsidRPr="00A20945" w:rsidRDefault="00CF0E3D" w:rsidP="00CF0E3D">
      <w:pPr>
        <w:pStyle w:val="SOHeadBold"/>
      </w:pPr>
      <w:r w:rsidRPr="00A20945">
        <w:t xml:space="preserve">Consumer data requests made </w:t>
      </w:r>
      <w:r>
        <w:t>by CDR consumers</w:t>
      </w:r>
    </w:p>
    <w:p w14:paraId="26F263E8" w14:textId="77777777" w:rsidR="00CF0E3D" w:rsidRPr="00A20945" w:rsidRDefault="00CF0E3D" w:rsidP="00CF0E3D">
      <w:pPr>
        <w:pStyle w:val="SOText"/>
        <w:spacing w:before="40"/>
      </w:pPr>
      <w:r w:rsidRPr="00A20945">
        <w:t xml:space="preserve">A CDR consumer </w:t>
      </w:r>
      <w:r w:rsidRPr="00796ADB">
        <w:t>who, in accordance with a Schedule to these rules, is eligible to do so</w:t>
      </w:r>
      <w:r w:rsidRPr="007C39E2">
        <w:t xml:space="preserve"> </w:t>
      </w:r>
      <w:r w:rsidRPr="00A20945">
        <w:t>may</w:t>
      </w:r>
      <w:r>
        <w:t xml:space="preserve"> directly</w:t>
      </w:r>
      <w:r w:rsidRPr="00A20945">
        <w:t xml:space="preserve"> request a data holder to disclose CDR data </w:t>
      </w:r>
      <w:r>
        <w:t>that relates to them</w:t>
      </w:r>
      <w:r w:rsidRPr="00A20945">
        <w:t>.</w:t>
      </w:r>
      <w:r>
        <w:t xml:space="preserve"> Such a request is called a consumer data request.</w:t>
      </w:r>
    </w:p>
    <w:p w14:paraId="3BEF8ADB" w14:textId="77777777" w:rsidR="00CF0E3D" w:rsidRDefault="00CF0E3D" w:rsidP="00CF0E3D">
      <w:pPr>
        <w:pStyle w:val="SOText"/>
      </w:pPr>
      <w:r w:rsidRPr="00A20945">
        <w:t xml:space="preserve">A consumer data request that is made directly to a data holder is made using </w:t>
      </w:r>
      <w:r w:rsidRPr="00BD2AB7">
        <w:t xml:space="preserve">a specialised </w:t>
      </w:r>
      <w:r w:rsidRPr="00A20945">
        <w:t>online service provided by the data holder. The data is disclosed, in human</w:t>
      </w:r>
      <w:r w:rsidRPr="00A20945">
        <w:noBreakHyphen/>
        <w:t>readable form, to the CDR consumer who made the request.</w:t>
      </w:r>
    </w:p>
    <w:p w14:paraId="6FAEC9A6" w14:textId="77777777" w:rsidR="00CF0E3D" w:rsidRPr="00A20945" w:rsidRDefault="00CF0E3D" w:rsidP="00CF0E3D">
      <w:pPr>
        <w:pStyle w:val="SOHeadBold"/>
      </w:pPr>
      <w:r>
        <w:t>C</w:t>
      </w:r>
      <w:r w:rsidRPr="00A20945">
        <w:t xml:space="preserve">onsumer data requests made </w:t>
      </w:r>
      <w:r>
        <w:t>on behalf of CDR consumers</w:t>
      </w:r>
    </w:p>
    <w:p w14:paraId="1F7ADA32" w14:textId="77777777" w:rsidR="00CF0E3D" w:rsidRPr="00F07699" w:rsidRDefault="00CF0E3D" w:rsidP="00CF0E3D">
      <w:pPr>
        <w:pStyle w:val="SOText"/>
      </w:pPr>
      <w:r w:rsidRPr="00F07699">
        <w:t>A CDR consumer who, in accordance with a Schedule to these rules, is eligible to do so may request an accredited person to request a</w:t>
      </w:r>
      <w:r w:rsidRPr="00572C56">
        <w:t xml:space="preserve"> </w:t>
      </w:r>
      <w:r w:rsidRPr="00771FEA">
        <w:t xml:space="preserve">CDR participant </w:t>
      </w:r>
      <w:r w:rsidRPr="00F07699">
        <w:t>to disclose CDR data that relates to the consumer. The request made by the accredited person is called a consumer data request.</w:t>
      </w:r>
    </w:p>
    <w:p w14:paraId="4711716D" w14:textId="77777777" w:rsidR="00CF0E3D" w:rsidRPr="00F07699" w:rsidRDefault="00CF0E3D" w:rsidP="00CF0E3D">
      <w:pPr>
        <w:pStyle w:val="SOText"/>
      </w:pPr>
      <w:r w:rsidRPr="00F07699">
        <w:t xml:space="preserve">A consumer data request that is made </w:t>
      </w:r>
      <w:r w:rsidRPr="00771FEA">
        <w:t xml:space="preserve">to a data holder </w:t>
      </w:r>
      <w:r w:rsidRPr="00F07699">
        <w:t>on behalf of a CDR consumer by an accredited person must be made in accordance with relevant data standards, using a specialised service provided by the data holder. The data is disclosed, in machine</w:t>
      </w:r>
      <w:r w:rsidRPr="00F07699">
        <w:noBreakHyphen/>
        <w:t>readable form, to the accredited person.</w:t>
      </w:r>
    </w:p>
    <w:p w14:paraId="03394475" w14:textId="77777777" w:rsidR="00CF0E3D" w:rsidRDefault="00CF0E3D" w:rsidP="00CF0E3D">
      <w:pPr>
        <w:pStyle w:val="SOText"/>
      </w:pPr>
      <w:r w:rsidRPr="00F07699">
        <w:t xml:space="preserve">Under the data minimisation principle, the accredited person may only collect and use CDR data in order to provide goods or services in accordance with a request from a CDR </w:t>
      </w:r>
      <w:r w:rsidRPr="00771FEA">
        <w:t>consumer, and may only use it for that purpose, or for a limited number of other purposes which require an additional consent from the CDR consumer.</w:t>
      </w:r>
    </w:p>
    <w:p w14:paraId="4703F885" w14:textId="064DA5D5" w:rsidR="00CF0E3D" w:rsidRPr="007E7FBF" w:rsidRDefault="00CF0E3D" w:rsidP="00CF0E3D">
      <w:pPr>
        <w:pStyle w:val="SOText"/>
      </w:pPr>
      <w:r w:rsidRPr="007E7FBF">
        <w:t>These rules only apply in relation to certain classes of product and consumer CDR data that are set out in Schedules to these rules which relate to</w:t>
      </w:r>
      <w:r w:rsidRPr="007E7FBF">
        <w:rPr>
          <w:rFonts w:cs="Times New Roman"/>
        </w:rPr>
        <w:t xml:space="preserve"> different </w:t>
      </w:r>
      <w:r w:rsidRPr="007E7FBF">
        <w:t>designated sectors.</w:t>
      </w:r>
      <w:r w:rsidR="007A574D" w:rsidRPr="007E7FBF">
        <w:t xml:space="preserve"> </w:t>
      </w:r>
      <w:r w:rsidRPr="007E7FBF">
        <w:t>Schedule 3 relates to the banking sector. Initially, these rules will apply only in relation to certain products that are offered by certain data holders within the banking sector. These rules will then apply to a progressively broader range of data holders and products.</w:t>
      </w:r>
      <w:r w:rsidR="00674C29" w:rsidRPr="007E7FBF">
        <w:t xml:space="preserve"> </w:t>
      </w:r>
    </w:p>
    <w:p w14:paraId="02BE34D6" w14:textId="77777777" w:rsidR="007A574D" w:rsidRPr="007E7FBF" w:rsidRDefault="007A574D" w:rsidP="007A574D">
      <w:pPr>
        <w:pStyle w:val="SOText"/>
      </w:pPr>
      <w:r w:rsidRPr="007E7FBF">
        <w:t>These rules also deal with a range of ancillary and related matters.</w:t>
      </w:r>
    </w:p>
    <w:p w14:paraId="0EB8867D" w14:textId="77777777" w:rsidR="00CF0E3D" w:rsidRPr="000C3240" w:rsidRDefault="00CF0E3D" w:rsidP="00CF0E3D">
      <w:pPr>
        <w:pStyle w:val="ActHead5"/>
        <w:rPr>
          <w:color w:val="000000" w:themeColor="text1"/>
        </w:rPr>
      </w:pPr>
      <w:bookmarkStart w:id="13" w:name="_Toc11771563"/>
      <w:bookmarkStart w:id="14" w:name="_Toc74916070"/>
      <w:r>
        <w:rPr>
          <w:color w:val="000000" w:themeColor="text1"/>
        </w:rPr>
        <w:t>1.5</w:t>
      </w:r>
      <w:r w:rsidRPr="000C3240">
        <w:rPr>
          <w:color w:val="000000" w:themeColor="text1"/>
        </w:rPr>
        <w:t xml:space="preserve">  What these rules are about</w:t>
      </w:r>
      <w:bookmarkEnd w:id="13"/>
      <w:bookmarkEnd w:id="14"/>
    </w:p>
    <w:p w14:paraId="580C3310" w14:textId="77777777" w:rsidR="00CF0E3D" w:rsidRDefault="00CF0E3D" w:rsidP="00CF0E3D">
      <w:pPr>
        <w:pStyle w:val="subsection"/>
      </w:pPr>
      <w:r>
        <w:tab/>
      </w:r>
      <w:r>
        <w:rPr>
          <w:color w:val="000000" w:themeColor="text1"/>
        </w:rPr>
        <w:t>(1)</w:t>
      </w:r>
      <w:r>
        <w:tab/>
      </w:r>
      <w:r w:rsidRPr="00641354">
        <w:t>These rules set out details of how</w:t>
      </w:r>
      <w:r>
        <w:t xml:space="preserve"> the consumer data right works.</w:t>
      </w:r>
    </w:p>
    <w:p w14:paraId="670FDBDB" w14:textId="77777777" w:rsidR="00CF0E3D" w:rsidRPr="00641354" w:rsidRDefault="00CF0E3D" w:rsidP="00CF0E3D">
      <w:pPr>
        <w:pStyle w:val="subsection"/>
      </w:pPr>
      <w:r>
        <w:tab/>
      </w:r>
      <w:r>
        <w:rPr>
          <w:color w:val="000000" w:themeColor="text1"/>
        </w:rPr>
        <w:t>(2)</w:t>
      </w:r>
      <w:r>
        <w:tab/>
      </w:r>
      <w:r w:rsidRPr="00641354">
        <w:t>These rules should be read in conjunction with</w:t>
      </w:r>
      <w:r>
        <w:t xml:space="preserve"> the following</w:t>
      </w:r>
      <w:r w:rsidRPr="00641354">
        <w:t>:</w:t>
      </w:r>
    </w:p>
    <w:p w14:paraId="667241BD" w14:textId="77777777" w:rsidR="00CF0E3D" w:rsidRPr="00641354" w:rsidRDefault="00CF0E3D" w:rsidP="00CF0E3D">
      <w:pPr>
        <w:pStyle w:val="paragraph"/>
      </w:pPr>
      <w:r>
        <w:tab/>
        <w:t>(a)</w:t>
      </w:r>
      <w:r>
        <w:tab/>
      </w:r>
      <w:r w:rsidRPr="00641354">
        <w:t xml:space="preserve">the </w:t>
      </w:r>
      <w:r w:rsidRPr="00641354">
        <w:rPr>
          <w:i/>
        </w:rPr>
        <w:t xml:space="preserve">Competition and Consumer Act 2010 </w:t>
      </w:r>
      <w:r w:rsidRPr="00641354">
        <w:t xml:space="preserve">(the Act), </w:t>
      </w:r>
      <w:r>
        <w:t xml:space="preserve">and in particular, </w:t>
      </w:r>
      <w:r w:rsidRPr="00641354">
        <w:t xml:space="preserve">Part IVD of </w:t>
      </w:r>
      <w:r>
        <w:t xml:space="preserve">the Act, </w:t>
      </w:r>
      <w:r w:rsidRPr="00641354">
        <w:t>which sets out the general framework for how the consumer data right works;</w:t>
      </w:r>
    </w:p>
    <w:p w14:paraId="4850E00D" w14:textId="77777777" w:rsidR="00CF0E3D" w:rsidRPr="00641354" w:rsidRDefault="00CF0E3D" w:rsidP="00CF0E3D">
      <w:pPr>
        <w:pStyle w:val="paragraph"/>
      </w:pPr>
      <w:r>
        <w:tab/>
        <w:t>(b)</w:t>
      </w:r>
      <w:r>
        <w:tab/>
      </w:r>
      <w:r w:rsidRPr="00641354">
        <w:t>designation instruments made under section 56AC of the Act;</w:t>
      </w:r>
    </w:p>
    <w:p w14:paraId="61B03E3E" w14:textId="77777777" w:rsidR="00CF0E3D" w:rsidRPr="00BD2AB7" w:rsidRDefault="00CF0E3D" w:rsidP="00CF0E3D">
      <w:pPr>
        <w:pStyle w:val="paragraph"/>
      </w:pPr>
      <w:r>
        <w:tab/>
      </w:r>
      <w:r>
        <w:rPr>
          <w:color w:val="000000" w:themeColor="text1"/>
        </w:rPr>
        <w:t>(c)</w:t>
      </w:r>
      <w:r w:rsidRPr="000C3240">
        <w:rPr>
          <w:color w:val="000000" w:themeColor="text1"/>
        </w:rPr>
        <w:tab/>
        <w:t xml:space="preserve">guidelines </w:t>
      </w:r>
      <w:r>
        <w:rPr>
          <w:color w:val="000000" w:themeColor="text1"/>
        </w:rPr>
        <w:t xml:space="preserve">made </w:t>
      </w:r>
      <w:r w:rsidRPr="000C3240">
        <w:rPr>
          <w:color w:val="000000" w:themeColor="text1"/>
        </w:rPr>
        <w:t>by the Information Commissioner under section 56EQ of the Act</w:t>
      </w:r>
      <w:r w:rsidRPr="00BD2AB7">
        <w:t>;</w:t>
      </w:r>
    </w:p>
    <w:p w14:paraId="4150C377" w14:textId="77777777" w:rsidR="00CF0E3D" w:rsidRPr="00BD2AB7" w:rsidRDefault="00CF0E3D" w:rsidP="00CF0E3D">
      <w:pPr>
        <w:pStyle w:val="paragraph"/>
      </w:pPr>
      <w:r w:rsidRPr="00BD2AB7">
        <w:tab/>
      </w:r>
      <w:r>
        <w:t>(d)</w:t>
      </w:r>
      <w:r w:rsidRPr="00BD2AB7">
        <w:tab/>
        <w:t>data standards made under section 56FA of the Act;</w:t>
      </w:r>
    </w:p>
    <w:p w14:paraId="52677822" w14:textId="77777777" w:rsidR="00CF0E3D" w:rsidRPr="00641354" w:rsidRDefault="00CF0E3D" w:rsidP="00CF0E3D">
      <w:pPr>
        <w:pStyle w:val="paragraph"/>
      </w:pPr>
      <w:r w:rsidRPr="00BD2AB7">
        <w:tab/>
      </w:r>
      <w:r>
        <w:t>(e)</w:t>
      </w:r>
      <w:r w:rsidRPr="00BD2AB7">
        <w:tab/>
        <w:t>regulations</w:t>
      </w:r>
      <w:r>
        <w:t xml:space="preserve"> made</w:t>
      </w:r>
      <w:r w:rsidRPr="00BD2AB7">
        <w:t xml:space="preserve"> under section 172 of the Act.</w:t>
      </w:r>
    </w:p>
    <w:p w14:paraId="66788A43" w14:textId="77777777" w:rsidR="00CF0E3D" w:rsidRPr="009C5AAC" w:rsidRDefault="00CF0E3D" w:rsidP="00CF0E3D">
      <w:pPr>
        <w:pStyle w:val="ActHead5"/>
      </w:pPr>
      <w:bookmarkStart w:id="15" w:name="_Toc11771564"/>
      <w:bookmarkStart w:id="16" w:name="_Toc74916071"/>
      <w:r>
        <w:t xml:space="preserve">1.6  </w:t>
      </w:r>
      <w:r w:rsidRPr="009C5AAC">
        <w:t>Overview of these rules</w:t>
      </w:r>
      <w:bookmarkEnd w:id="15"/>
      <w:bookmarkEnd w:id="16"/>
    </w:p>
    <w:p w14:paraId="395D2B58" w14:textId="77777777" w:rsidR="00CF0E3D" w:rsidRDefault="00CF0E3D" w:rsidP="00CF0E3D">
      <w:pPr>
        <w:pStyle w:val="subsection"/>
      </w:pPr>
      <w:r>
        <w:tab/>
        <w:t>(1)</w:t>
      </w:r>
      <w:r>
        <w:tab/>
        <w:t>Part 1</w:t>
      </w:r>
      <w:r w:rsidRPr="009C5AAC">
        <w:t xml:space="preserve"> of these rules deals with preliminary matters, such as</w:t>
      </w:r>
      <w:r>
        <w:t>:</w:t>
      </w:r>
    </w:p>
    <w:p w14:paraId="4654A43D" w14:textId="77777777" w:rsidR="00CF0E3D" w:rsidRPr="007C39E2" w:rsidRDefault="00CF0E3D" w:rsidP="00CF0E3D">
      <w:pPr>
        <w:pStyle w:val="paragraph"/>
      </w:pPr>
      <w:r>
        <w:tab/>
        <w:t>(a)</w:t>
      </w:r>
      <w:r>
        <w:tab/>
      </w:r>
      <w:r w:rsidRPr="009C5AAC">
        <w:t>definitions of terms that are used in these rules</w:t>
      </w:r>
      <w:r>
        <w:t>;</w:t>
      </w:r>
      <w:r w:rsidRPr="007C39E2">
        <w:t xml:space="preserve"> and</w:t>
      </w:r>
    </w:p>
    <w:p w14:paraId="382D86C3" w14:textId="77777777" w:rsidR="00CF0E3D" w:rsidRPr="00796ADB" w:rsidRDefault="00CF0E3D" w:rsidP="00CF0E3D">
      <w:pPr>
        <w:pStyle w:val="paragraph"/>
      </w:pPr>
      <w:r>
        <w:tab/>
        <w:t>(b)</w:t>
      </w:r>
      <w:r>
        <w:tab/>
      </w:r>
      <w:r w:rsidRPr="00796ADB">
        <w:t>the usage, in these rules, of certain terms that are defined in the Act.</w:t>
      </w:r>
    </w:p>
    <w:p w14:paraId="4597AF12" w14:textId="77777777" w:rsidR="00CF0E3D" w:rsidRPr="00796ADB" w:rsidRDefault="00CF0E3D" w:rsidP="00CF0E3D">
      <w:pPr>
        <w:pStyle w:val="subsection"/>
        <w:spacing w:before="40"/>
      </w:pPr>
      <w:r w:rsidRPr="00796ADB">
        <w:tab/>
      </w:r>
      <w:r w:rsidRPr="00796ADB">
        <w:tab/>
        <w:t>The other provisions of these rules should be read together with these definitions and other interpretive provisions. Part 1 also deals with services that must be provided by data holders and accredited persons that allow consumers to make and manage requests for CDR data.</w:t>
      </w:r>
    </w:p>
    <w:p w14:paraId="67242346" w14:textId="0894F6C7" w:rsidR="00CF0E3D" w:rsidRPr="007E7FBF" w:rsidRDefault="00CF0E3D" w:rsidP="00CF0E3D">
      <w:pPr>
        <w:pStyle w:val="subsection"/>
      </w:pPr>
      <w:r w:rsidRPr="007E7FBF">
        <w:tab/>
        <w:t>(2)</w:t>
      </w:r>
      <w:r w:rsidRPr="007E7FBF">
        <w:tab/>
        <w:t>Part 2 of these rules deals with product data requests, and should be read in conjunction with relevant</w:t>
      </w:r>
      <w:r w:rsidR="00324D67" w:rsidRPr="007E7FBF">
        <w:t>.</w:t>
      </w:r>
      <w:r w:rsidR="003636C9" w:rsidRPr="007E7FBF">
        <w:t>Schedule</w:t>
      </w:r>
      <w:r w:rsidRPr="007E7FBF">
        <w:t>s to these rules that deal with particular designated sectors.</w:t>
      </w:r>
    </w:p>
    <w:p w14:paraId="706A172F" w14:textId="7B36CF11" w:rsidR="00CF0E3D" w:rsidRPr="007E7FBF" w:rsidRDefault="00CF0E3D" w:rsidP="00CF0E3D">
      <w:pPr>
        <w:pStyle w:val="subsection"/>
      </w:pPr>
      <w:r w:rsidRPr="007E7FBF">
        <w:tab/>
        <w:t>(3)</w:t>
      </w:r>
      <w:r w:rsidRPr="007E7FBF">
        <w:tab/>
        <w:t>Part 3 of these rules deals with consumer data requests that are made by CDR consumers, and should be read in conjunction with relevant</w:t>
      </w:r>
      <w:r w:rsidR="00324D67" w:rsidRPr="007E7FBF">
        <w:t>.</w:t>
      </w:r>
      <w:r w:rsidR="003636C9" w:rsidRPr="007E7FBF">
        <w:t xml:space="preserve"> Schedules to these rules that deal with particular designated sectors.</w:t>
      </w:r>
      <w:r w:rsidRPr="007E7FBF">
        <w:t xml:space="preserve"> Only CDR consumers who are eligible </w:t>
      </w:r>
      <w:r w:rsidR="002E1052" w:rsidRPr="007E7FBF">
        <w:t>to do so may make such requests</w:t>
      </w:r>
      <w:r w:rsidR="00727B02" w:rsidRPr="007E7FBF">
        <w:t>.</w:t>
      </w:r>
      <w:r w:rsidR="002E1052" w:rsidRPr="007E7FBF">
        <w:t xml:space="preserve"> </w:t>
      </w:r>
      <w:r w:rsidRPr="007E7FBF">
        <w:t>Schedule 3 to these rules sets out eligibility criteria for the banking sector.</w:t>
      </w:r>
    </w:p>
    <w:p w14:paraId="31084F5A" w14:textId="00B2C29B" w:rsidR="00CF0E3D" w:rsidRPr="007E7FBF" w:rsidRDefault="00CF0E3D" w:rsidP="00CF0E3D">
      <w:pPr>
        <w:pStyle w:val="subsection"/>
      </w:pPr>
      <w:r w:rsidRPr="007E7FBF">
        <w:tab/>
        <w:t>(4)</w:t>
      </w:r>
      <w:r w:rsidRPr="007E7FBF">
        <w:tab/>
        <w:t>Part 4 of these rules deals with consumer data requests that involve accredited persons, and should be read in conjunction with relevant</w:t>
      </w:r>
      <w:r w:rsidR="00324D67" w:rsidRPr="007E7FBF">
        <w:t>.</w:t>
      </w:r>
      <w:r w:rsidR="003636C9" w:rsidRPr="007E7FBF">
        <w:t xml:space="preserve"> Schedules to these rules that deal with particular designated sectors.</w:t>
      </w:r>
    </w:p>
    <w:p w14:paraId="26D8EB1E" w14:textId="77777777" w:rsidR="00CF0E3D" w:rsidRPr="009C5AAC" w:rsidRDefault="00CF0E3D" w:rsidP="00CF0E3D">
      <w:pPr>
        <w:pStyle w:val="subsection"/>
      </w:pPr>
      <w:r>
        <w:tab/>
        <w:t>(5)</w:t>
      </w:r>
      <w:r>
        <w:tab/>
        <w:t>Part 5</w:t>
      </w:r>
      <w:r w:rsidRPr="009C5AAC">
        <w:t xml:space="preserve"> of these rules deals with how persons can become accredited persons. It also deals with ancillary matters, such as revocation and suspension of accreditation, obligations of accredited persons, and the Register of Accredited Persons. The rules set out in this Part should be read in conjunction with Division 3 of Part IVD of the Act.</w:t>
      </w:r>
    </w:p>
    <w:p w14:paraId="6AC092F2" w14:textId="77777777" w:rsidR="00CF0E3D" w:rsidRPr="009C5AAC" w:rsidRDefault="00CF0E3D" w:rsidP="00CF0E3D">
      <w:pPr>
        <w:pStyle w:val="subsection"/>
      </w:pPr>
      <w:r>
        <w:tab/>
        <w:t>(6)</w:t>
      </w:r>
      <w:r>
        <w:tab/>
        <w:t>Part 6</w:t>
      </w:r>
      <w:r w:rsidRPr="009C5AAC">
        <w:t xml:space="preserve"> of these rules deals with dispute resolution.</w:t>
      </w:r>
    </w:p>
    <w:p w14:paraId="78D23ED4" w14:textId="77777777" w:rsidR="00CF0E3D" w:rsidRPr="009C5AAC" w:rsidRDefault="00CF0E3D" w:rsidP="00CF0E3D">
      <w:pPr>
        <w:pStyle w:val="subsection"/>
      </w:pPr>
      <w:r>
        <w:tab/>
        <w:t>(7)</w:t>
      </w:r>
      <w:r>
        <w:tab/>
        <w:t>Part 7</w:t>
      </w:r>
      <w:r w:rsidRPr="009C5AAC">
        <w:t xml:space="preserve"> of these rules deals with </w:t>
      </w:r>
      <w:r w:rsidRPr="00B31455">
        <w:t xml:space="preserve">rules relating to the privacy safeguards. The rules set out in this Part should be read in conjunction with Division 5 of Part IVD of the Act. </w:t>
      </w:r>
      <w:r>
        <w:t>Part 7</w:t>
      </w:r>
      <w:r w:rsidRPr="00B31455">
        <w:t xml:space="preserve"> also sets out some additional civil penalty provisions </w:t>
      </w:r>
      <w:r w:rsidRPr="00B31455">
        <w:rPr>
          <w:szCs w:val="22"/>
          <w:shd w:val="clear" w:color="auto" w:fill="FFFFFF"/>
        </w:rPr>
        <w:t>that protect the privacy or confidentiality of CDR consumers’ CDR data</w:t>
      </w:r>
      <w:r w:rsidRPr="00B31455">
        <w:t>.</w:t>
      </w:r>
    </w:p>
    <w:p w14:paraId="34C140F4" w14:textId="77777777" w:rsidR="00CF0E3D" w:rsidRPr="009C5AAC" w:rsidRDefault="00CF0E3D" w:rsidP="00CF0E3D">
      <w:pPr>
        <w:pStyle w:val="subsection"/>
      </w:pPr>
      <w:r>
        <w:tab/>
        <w:t>(8)</w:t>
      </w:r>
      <w:r>
        <w:tab/>
        <w:t xml:space="preserve">Part 8 </w:t>
      </w:r>
      <w:r w:rsidRPr="009C5AAC">
        <w:t>of these rules deals with data standards. The rules set out in this Part should be read in conjunction with Division 6 of Part IVD of the Act.</w:t>
      </w:r>
    </w:p>
    <w:p w14:paraId="74E5A6E1" w14:textId="77777777" w:rsidR="00CF0E3D" w:rsidRDefault="00CF0E3D" w:rsidP="00CF0E3D">
      <w:pPr>
        <w:pStyle w:val="subsection"/>
      </w:pPr>
      <w:r>
        <w:tab/>
        <w:t>(9)</w:t>
      </w:r>
      <w:r>
        <w:tab/>
        <w:t>Part 9</w:t>
      </w:r>
      <w:r w:rsidRPr="009C5AAC">
        <w:t xml:space="preserve"> of these rules deals with miscellaneous matters, such as review of decisions, reporting, record keeping and audit, and civil penalty provisions</w:t>
      </w:r>
      <w:r>
        <w:t xml:space="preserve"> </w:t>
      </w:r>
      <w:r w:rsidRPr="00B31455">
        <w:t>of the consumer data rules</w:t>
      </w:r>
      <w:r w:rsidRPr="009C5AAC">
        <w:t>.</w:t>
      </w:r>
    </w:p>
    <w:p w14:paraId="29400891" w14:textId="77777777" w:rsidR="00CF0E3D" w:rsidRPr="00796ADB" w:rsidRDefault="00CF0E3D" w:rsidP="00CF0E3D">
      <w:pPr>
        <w:pStyle w:val="subsection"/>
      </w:pPr>
      <w:r w:rsidRPr="00796ADB">
        <w:tab/>
      </w:r>
      <w:r>
        <w:t>(10)</w:t>
      </w:r>
      <w:r w:rsidRPr="00796ADB">
        <w:tab/>
      </w:r>
      <w:r>
        <w:t>Schedule 1</w:t>
      </w:r>
      <w:r w:rsidRPr="00796ADB">
        <w:t xml:space="preserve"> to these rules deals with default conditions on accreditations.</w:t>
      </w:r>
    </w:p>
    <w:p w14:paraId="18955BD9" w14:textId="05804F91" w:rsidR="00CF0E3D" w:rsidRPr="00BC78CF" w:rsidRDefault="00CF0E3D" w:rsidP="00CF0E3D">
      <w:pPr>
        <w:pStyle w:val="subsection"/>
        <w:rPr>
          <w:color w:val="FF0000"/>
        </w:rPr>
      </w:pPr>
      <w:r>
        <w:tab/>
        <w:t>(11)</w:t>
      </w:r>
      <w:r>
        <w:tab/>
        <w:t xml:space="preserve">Schedule 2 </w:t>
      </w:r>
      <w:r w:rsidRPr="00BD2AB7">
        <w:t xml:space="preserve">to these rules </w:t>
      </w:r>
      <w:r>
        <w:t xml:space="preserve">sets out detailed steps for privacy safeguard 12 (subsection 56EO(1) of the Act and rule 7.11 of these rules). </w:t>
      </w:r>
      <w:r w:rsidRPr="006F4A42">
        <w:t xml:space="preserve">These steps are also relevant to </w:t>
      </w:r>
      <w:r w:rsidRPr="005F3D40">
        <w:rPr>
          <w:color w:val="000000" w:themeColor="text1"/>
        </w:rPr>
        <w:t xml:space="preserve">persons who </w:t>
      </w:r>
      <w:r w:rsidRPr="004D57B9">
        <w:t xml:space="preserve">hold CDR data (service data) </w:t>
      </w:r>
      <w:r w:rsidRPr="005F3D40">
        <w:rPr>
          <w:color w:val="000000" w:themeColor="text1"/>
        </w:rPr>
        <w:t xml:space="preserve">under </w:t>
      </w:r>
      <w:r>
        <w:rPr>
          <w:color w:val="000000" w:themeColor="text1"/>
        </w:rPr>
        <w:t>a CDR</w:t>
      </w:r>
      <w:r w:rsidRPr="005F3D40">
        <w:rPr>
          <w:color w:val="000000" w:themeColor="text1"/>
        </w:rPr>
        <w:t xml:space="preserve"> outsourcing arrangement</w:t>
      </w:r>
      <w:r>
        <w:t>,</w:t>
      </w:r>
      <w:r w:rsidRPr="006F4A42">
        <w:t xml:space="preserve"> and are an element of the ongoing obligations of </w:t>
      </w:r>
      <w:r w:rsidR="00350945" w:rsidRPr="00BC78CF">
        <w:rPr>
          <w:strike/>
          <w:color w:val="FF0000"/>
        </w:rPr>
        <w:t xml:space="preserve">persons accredited at the “unrestricted” level </w:t>
      </w:r>
      <w:r w:rsidR="00350945" w:rsidRPr="00BC78CF">
        <w:rPr>
          <w:color w:val="FF0000"/>
        </w:rPr>
        <w:t>accredited persons</w:t>
      </w:r>
      <w:r w:rsidR="00350945" w:rsidRPr="006F4A42">
        <w:t xml:space="preserve"> </w:t>
      </w:r>
      <w:r w:rsidRPr="006F4A42">
        <w:t>(see paragraph </w:t>
      </w:r>
      <w:r>
        <w:t>5.12(1)(a)</w:t>
      </w:r>
      <w:r w:rsidRPr="006F4A42">
        <w:t>).</w:t>
      </w:r>
    </w:p>
    <w:p w14:paraId="34F15E03" w14:textId="77777777" w:rsidR="00CF0E3D" w:rsidRPr="00796ADB" w:rsidRDefault="00CF0E3D" w:rsidP="00CF0E3D">
      <w:pPr>
        <w:pStyle w:val="subsection"/>
      </w:pPr>
      <w:r w:rsidRPr="00796ADB">
        <w:tab/>
      </w:r>
      <w:r>
        <w:t>(12)</w:t>
      </w:r>
      <w:r w:rsidRPr="00796ADB">
        <w:tab/>
      </w:r>
      <w:r>
        <w:t>Schedule 3</w:t>
      </w:r>
      <w:r w:rsidRPr="00796ADB">
        <w:t xml:space="preserve"> to these rules contains details that are relevant to the banking sector. </w:t>
      </w:r>
      <w:r>
        <w:t>Schedule 3</w:t>
      </w:r>
      <w:r w:rsidRPr="00796ADB">
        <w:t>:</w:t>
      </w:r>
    </w:p>
    <w:p w14:paraId="2AB06C30" w14:textId="77777777" w:rsidR="00CF0E3D" w:rsidRPr="00796ADB" w:rsidRDefault="00CF0E3D" w:rsidP="00CF0E3D">
      <w:pPr>
        <w:pStyle w:val="paragraph"/>
      </w:pPr>
      <w:r w:rsidRPr="00796ADB">
        <w:tab/>
      </w:r>
      <w:r>
        <w:t>(a)</w:t>
      </w:r>
      <w:r w:rsidRPr="00796ADB">
        <w:tab/>
        <w:t>sets out the specific CDR data in respect of which requests under these rules may be made; and</w:t>
      </w:r>
    </w:p>
    <w:p w14:paraId="4D3331C6" w14:textId="77777777" w:rsidR="00CF0E3D" w:rsidRPr="00796ADB" w:rsidRDefault="00CF0E3D" w:rsidP="00CF0E3D">
      <w:pPr>
        <w:pStyle w:val="paragraph"/>
      </w:pPr>
      <w:r w:rsidRPr="00796ADB">
        <w:tab/>
      </w:r>
      <w:r>
        <w:t>(b)</w:t>
      </w:r>
      <w:r w:rsidRPr="00796ADB">
        <w:tab/>
        <w:t>sets out the circumstances in which CDR consumers are eligible in relation to requests for banking sector CDR data that relates to themselves; and</w:t>
      </w:r>
    </w:p>
    <w:p w14:paraId="40094595" w14:textId="77777777" w:rsidR="00CF0E3D" w:rsidRPr="00796ADB" w:rsidRDefault="00CF0E3D" w:rsidP="00CF0E3D">
      <w:pPr>
        <w:pStyle w:val="paragraph"/>
      </w:pPr>
      <w:r w:rsidRPr="00796ADB">
        <w:tab/>
      </w:r>
      <w:r>
        <w:t>(c)</w:t>
      </w:r>
      <w:r w:rsidRPr="00796ADB">
        <w:tab/>
        <w:t>deals with the progressive application of these rules to the banking sector.</w:t>
      </w:r>
    </w:p>
    <w:p w14:paraId="3EBF3800" w14:textId="77777777" w:rsidR="00CF0E3D" w:rsidRPr="00C560DF" w:rsidRDefault="00CF0E3D" w:rsidP="00CF0E3D">
      <w:pPr>
        <w:pStyle w:val="subsection"/>
        <w:spacing w:before="40"/>
      </w:pPr>
      <w:r>
        <w:tab/>
      </w:r>
      <w:r>
        <w:tab/>
      </w:r>
      <w:r w:rsidRPr="00C560DF">
        <w:t>It is intended that these rules will be amended at a later time to deal with additional sectors of the economy.</w:t>
      </w:r>
    </w:p>
    <w:p w14:paraId="48D42DCB" w14:textId="77777777" w:rsidR="00CF0E3D" w:rsidRPr="00B3173B" w:rsidRDefault="00CF0E3D" w:rsidP="00CF0E3D">
      <w:pPr>
        <w:pStyle w:val="ActHead3"/>
        <w:pageBreakBefore/>
      </w:pPr>
      <w:bookmarkStart w:id="17" w:name="_Toc11771565"/>
      <w:bookmarkStart w:id="18" w:name="_Toc74916072"/>
      <w:r>
        <w:t>Division 1.3</w:t>
      </w:r>
      <w:r w:rsidRPr="00B3173B">
        <w:t>—Interpretation</w:t>
      </w:r>
      <w:bookmarkEnd w:id="17"/>
      <w:bookmarkEnd w:id="18"/>
    </w:p>
    <w:p w14:paraId="0EED9DC4" w14:textId="77777777" w:rsidR="00CF0E3D" w:rsidRDefault="00CF0E3D" w:rsidP="00CF0E3D">
      <w:pPr>
        <w:pStyle w:val="ActHead5"/>
      </w:pPr>
      <w:bookmarkStart w:id="19" w:name="_Toc74916073"/>
      <w:r>
        <w:t>1.7  Definitions</w:t>
      </w:r>
      <w:bookmarkEnd w:id="19"/>
    </w:p>
    <w:p w14:paraId="4CCA1396" w14:textId="77777777" w:rsidR="00CF0E3D" w:rsidRPr="009C2562" w:rsidRDefault="00CF0E3D" w:rsidP="00CF0E3D">
      <w:pPr>
        <w:pStyle w:val="notetext"/>
      </w:pPr>
      <w:r w:rsidRPr="009C2562">
        <w:t>Note</w:t>
      </w:r>
      <w:r>
        <w:t xml:space="preserve"> 1</w:t>
      </w:r>
      <w:r w:rsidRPr="009C2562">
        <w:t>:</w:t>
      </w:r>
      <w:r w:rsidRPr="009C2562">
        <w:tab/>
        <w:t xml:space="preserve">A number of expressions used in this instrument are defined in </w:t>
      </w:r>
      <w:r>
        <w:t>the Act</w:t>
      </w:r>
      <w:r w:rsidRPr="009C2562">
        <w:t>, including the following:</w:t>
      </w:r>
    </w:p>
    <w:p w14:paraId="7F5E41D9" w14:textId="77777777" w:rsidR="00CF0E3D" w:rsidRPr="00000C1C" w:rsidRDefault="00CF0E3D" w:rsidP="00CF0E3D">
      <w:pPr>
        <w:pStyle w:val="notepara"/>
      </w:pPr>
      <w:r w:rsidRPr="00000C1C">
        <w:sym w:font="Symbol" w:char="F0B7"/>
      </w:r>
      <w:r w:rsidRPr="00000C1C">
        <w:tab/>
        <w:t>Accreditation Registrar;</w:t>
      </w:r>
    </w:p>
    <w:p w14:paraId="5E11124C" w14:textId="77777777" w:rsidR="00CF0E3D" w:rsidRDefault="00CF0E3D" w:rsidP="00CF0E3D">
      <w:pPr>
        <w:pStyle w:val="notepara"/>
      </w:pPr>
      <w:r>
        <w:sym w:font="Symbol" w:char="F0B7"/>
      </w:r>
      <w:r w:rsidRPr="009C2562">
        <w:tab/>
      </w:r>
      <w:r>
        <w:t>accredited data recipient;</w:t>
      </w:r>
    </w:p>
    <w:p w14:paraId="4FF7E02D" w14:textId="77777777" w:rsidR="00CF0E3D" w:rsidRDefault="00CF0E3D" w:rsidP="00CF0E3D">
      <w:pPr>
        <w:pStyle w:val="notepara"/>
      </w:pPr>
      <w:r>
        <w:sym w:font="Symbol" w:char="F0B7"/>
      </w:r>
      <w:r w:rsidRPr="009C2562">
        <w:tab/>
      </w:r>
      <w:r w:rsidRPr="00C560DF">
        <w:t>accredited person</w:t>
      </w:r>
      <w:r>
        <w:t>;</w:t>
      </w:r>
    </w:p>
    <w:p w14:paraId="735FEDC5" w14:textId="77777777" w:rsidR="00CF0E3D" w:rsidRDefault="00CF0E3D" w:rsidP="00CF0E3D">
      <w:pPr>
        <w:pStyle w:val="notepara"/>
      </w:pPr>
      <w:r>
        <w:sym w:font="Symbol" w:char="F0B7"/>
      </w:r>
      <w:r w:rsidRPr="009C2562">
        <w:tab/>
      </w:r>
      <w:r>
        <w:t>Australian Consumer Law;</w:t>
      </w:r>
    </w:p>
    <w:p w14:paraId="42318D16" w14:textId="77777777" w:rsidR="00CF0E3D" w:rsidRDefault="00CF0E3D" w:rsidP="00CF0E3D">
      <w:pPr>
        <w:pStyle w:val="notepara"/>
      </w:pPr>
      <w:r>
        <w:sym w:font="Symbol" w:char="F0B7"/>
      </w:r>
      <w:r w:rsidRPr="009C2562">
        <w:tab/>
      </w:r>
      <w:r w:rsidRPr="00C560DF">
        <w:t>binding data standard</w:t>
      </w:r>
      <w:r>
        <w:t>;</w:t>
      </w:r>
    </w:p>
    <w:p w14:paraId="01FE5BD7" w14:textId="77777777" w:rsidR="00CF0E3D" w:rsidRDefault="00CF0E3D" w:rsidP="00CF0E3D">
      <w:pPr>
        <w:pStyle w:val="notepara"/>
      </w:pPr>
      <w:r>
        <w:sym w:font="Symbol" w:char="F0B7"/>
      </w:r>
      <w:r w:rsidRPr="009C2562">
        <w:tab/>
      </w:r>
      <w:r>
        <w:t>CDR consumer;</w:t>
      </w:r>
    </w:p>
    <w:p w14:paraId="1615E83A" w14:textId="77777777" w:rsidR="00CF0E3D" w:rsidRDefault="00CF0E3D" w:rsidP="00CF0E3D">
      <w:pPr>
        <w:pStyle w:val="notepara"/>
      </w:pPr>
      <w:r>
        <w:sym w:font="Symbol" w:char="F0B7"/>
      </w:r>
      <w:r w:rsidRPr="009C2562">
        <w:tab/>
      </w:r>
      <w:r>
        <w:t>CDR data;</w:t>
      </w:r>
    </w:p>
    <w:p w14:paraId="617AB77C" w14:textId="77777777" w:rsidR="00CF0E3D" w:rsidRDefault="00CF0E3D" w:rsidP="00CF0E3D">
      <w:pPr>
        <w:pStyle w:val="notepara"/>
      </w:pPr>
      <w:r>
        <w:sym w:font="Symbol" w:char="F0B7"/>
      </w:r>
      <w:r w:rsidRPr="009C2562">
        <w:tab/>
      </w:r>
      <w:r>
        <w:t>CDR participant;</w:t>
      </w:r>
    </w:p>
    <w:p w14:paraId="3BDE0CA7" w14:textId="77777777" w:rsidR="00CF0E3D" w:rsidRDefault="00CF0E3D" w:rsidP="00CF0E3D">
      <w:pPr>
        <w:pStyle w:val="notepara"/>
      </w:pPr>
      <w:r>
        <w:sym w:font="Symbol" w:char="F0B7"/>
      </w:r>
      <w:r w:rsidRPr="009C2562">
        <w:tab/>
      </w:r>
      <w:r w:rsidRPr="00C560DF">
        <w:t>collects</w:t>
      </w:r>
      <w:r>
        <w:t>;</w:t>
      </w:r>
    </w:p>
    <w:p w14:paraId="50983F21" w14:textId="77777777" w:rsidR="00CF0E3D" w:rsidRDefault="00CF0E3D" w:rsidP="00CF0E3D">
      <w:pPr>
        <w:pStyle w:val="notepara"/>
      </w:pPr>
      <w:r>
        <w:sym w:font="Symbol" w:char="F0B7"/>
      </w:r>
      <w:r w:rsidRPr="009C2562">
        <w:tab/>
      </w:r>
      <w:r>
        <w:t>Commission;</w:t>
      </w:r>
    </w:p>
    <w:p w14:paraId="7BBAB45E" w14:textId="77777777" w:rsidR="00CF0E3D" w:rsidRDefault="00CF0E3D" w:rsidP="00CF0E3D">
      <w:pPr>
        <w:pStyle w:val="notepara"/>
      </w:pPr>
      <w:r>
        <w:sym w:font="Symbol" w:char="F0B7"/>
      </w:r>
      <w:r w:rsidRPr="009C2562">
        <w:tab/>
      </w:r>
      <w:r w:rsidRPr="00C560DF">
        <w:t>court/tribunal order</w:t>
      </w:r>
      <w:r>
        <w:t>;</w:t>
      </w:r>
    </w:p>
    <w:p w14:paraId="44A6831E" w14:textId="77777777" w:rsidR="00CF0E3D" w:rsidRDefault="00CF0E3D" w:rsidP="00CF0E3D">
      <w:pPr>
        <w:pStyle w:val="notepara"/>
      </w:pPr>
      <w:r>
        <w:sym w:font="Symbol" w:char="F0B7"/>
      </w:r>
      <w:r w:rsidRPr="009C2562">
        <w:tab/>
      </w:r>
      <w:r>
        <w:t>data holder;</w:t>
      </w:r>
    </w:p>
    <w:p w14:paraId="4300F13C" w14:textId="77777777" w:rsidR="00CF0E3D" w:rsidRPr="00000C1C" w:rsidRDefault="00CF0E3D" w:rsidP="00CF0E3D">
      <w:pPr>
        <w:pStyle w:val="notepara"/>
      </w:pPr>
      <w:r w:rsidRPr="00000C1C">
        <w:sym w:font="Symbol" w:char="F0B7"/>
      </w:r>
      <w:r w:rsidRPr="00000C1C">
        <w:tab/>
        <w:t>Data Recipient Accreditor;</w:t>
      </w:r>
    </w:p>
    <w:p w14:paraId="163374C0" w14:textId="77777777" w:rsidR="00CF0E3D" w:rsidRPr="00CB0342" w:rsidRDefault="00CF0E3D" w:rsidP="00CF0E3D">
      <w:pPr>
        <w:pStyle w:val="notepara"/>
      </w:pPr>
      <w:r>
        <w:sym w:font="Symbol" w:char="F0B7"/>
      </w:r>
      <w:r w:rsidRPr="009C2562">
        <w:tab/>
      </w:r>
      <w:r>
        <w:t>data standard;</w:t>
      </w:r>
    </w:p>
    <w:p w14:paraId="4F129715" w14:textId="77777777" w:rsidR="00CF0E3D" w:rsidRDefault="00CF0E3D" w:rsidP="00CF0E3D">
      <w:pPr>
        <w:pStyle w:val="notepara"/>
      </w:pPr>
      <w:r>
        <w:sym w:font="Symbol" w:char="F0B7"/>
      </w:r>
      <w:r w:rsidRPr="009C2562">
        <w:tab/>
      </w:r>
      <w:r>
        <w:t>Data Standards Body;</w:t>
      </w:r>
    </w:p>
    <w:p w14:paraId="173AD65A" w14:textId="77777777" w:rsidR="00CF0E3D" w:rsidRDefault="00CF0E3D" w:rsidP="00CF0E3D">
      <w:pPr>
        <w:pStyle w:val="notepara"/>
      </w:pPr>
      <w:r>
        <w:sym w:font="Symbol" w:char="F0B7"/>
      </w:r>
      <w:r w:rsidRPr="009C2562">
        <w:tab/>
      </w:r>
      <w:r>
        <w:t>Data Standards Chair;</w:t>
      </w:r>
    </w:p>
    <w:p w14:paraId="473DE661" w14:textId="77777777" w:rsidR="00CF0E3D" w:rsidRDefault="00CF0E3D" w:rsidP="00CF0E3D">
      <w:pPr>
        <w:pStyle w:val="notepara"/>
      </w:pPr>
      <w:r>
        <w:sym w:font="Symbol" w:char="F0B7"/>
      </w:r>
      <w:r w:rsidRPr="009C2562">
        <w:tab/>
      </w:r>
      <w:r>
        <w:t>designated sector</w:t>
      </w:r>
      <w:r w:rsidRPr="009C2562">
        <w:t>;</w:t>
      </w:r>
    </w:p>
    <w:p w14:paraId="2CBBED1C" w14:textId="77777777" w:rsidR="00CF0E3D" w:rsidRPr="00360E15" w:rsidRDefault="00CF0E3D" w:rsidP="00CF0E3D">
      <w:pPr>
        <w:pStyle w:val="notepara"/>
      </w:pPr>
      <w:r w:rsidRPr="00360E15">
        <w:sym w:font="Symbol" w:char="F0B7"/>
      </w:r>
      <w:r w:rsidRPr="00360E15">
        <w:tab/>
        <w:t>directly or indirectly derived;</w:t>
      </w:r>
    </w:p>
    <w:p w14:paraId="408404CB" w14:textId="77777777" w:rsidR="00CF0E3D" w:rsidRDefault="00CF0E3D" w:rsidP="00CF0E3D">
      <w:pPr>
        <w:pStyle w:val="notepara"/>
      </w:pPr>
      <w:r>
        <w:sym w:font="Symbol" w:char="F0B7"/>
      </w:r>
      <w:r w:rsidRPr="009C2562">
        <w:tab/>
      </w:r>
      <w:r>
        <w:t>privacy safeguards;</w:t>
      </w:r>
    </w:p>
    <w:p w14:paraId="23B8AD60" w14:textId="77777777" w:rsidR="00CF0E3D" w:rsidRDefault="00CF0E3D" w:rsidP="00CF0E3D">
      <w:pPr>
        <w:pStyle w:val="notepara"/>
      </w:pPr>
      <w:r>
        <w:sym w:font="Symbol" w:char="F0B7"/>
      </w:r>
      <w:r w:rsidRPr="009C2562">
        <w:tab/>
      </w:r>
      <w:r>
        <w:t>Regulatory Powers Act.</w:t>
      </w:r>
    </w:p>
    <w:p w14:paraId="7EDFF63E" w14:textId="77777777" w:rsidR="00CF0E3D" w:rsidRPr="00394674" w:rsidRDefault="00CF0E3D" w:rsidP="00CF0E3D">
      <w:pPr>
        <w:pStyle w:val="notetext"/>
      </w:pPr>
      <w:r>
        <w:t>Note 2:</w:t>
      </w:r>
      <w:r>
        <w:tab/>
      </w:r>
      <w:r>
        <w:rPr>
          <w:b/>
          <w:i/>
        </w:rPr>
        <w:t xml:space="preserve">Information Commissioner </w:t>
      </w:r>
      <w:r w:rsidRPr="00394674">
        <w:t>has the same meaning as in the Act</w:t>
      </w:r>
      <w:r>
        <w:t xml:space="preserve">: </w:t>
      </w:r>
      <w:r w:rsidRPr="00394674">
        <w:t>see</w:t>
      </w:r>
      <w:r>
        <w:rPr>
          <w:b/>
        </w:rPr>
        <w:t xml:space="preserve"> </w:t>
      </w:r>
      <w:r>
        <w:t xml:space="preserve">section 3A of the </w:t>
      </w:r>
      <w:r>
        <w:rPr>
          <w:i/>
        </w:rPr>
        <w:t xml:space="preserve">Australian Information Commissioner Act 2010 </w:t>
      </w:r>
      <w:r>
        <w:t xml:space="preserve">and paragraph 13(1)(b) of the </w:t>
      </w:r>
      <w:r>
        <w:rPr>
          <w:i/>
        </w:rPr>
        <w:t>Legislation Act 2003</w:t>
      </w:r>
      <w:r>
        <w:t>.</w:t>
      </w:r>
    </w:p>
    <w:p w14:paraId="70F69577" w14:textId="77777777" w:rsidR="00CF0E3D" w:rsidRDefault="00CF0E3D" w:rsidP="00CF0E3D">
      <w:pPr>
        <w:pStyle w:val="subsection"/>
      </w:pPr>
      <w:r>
        <w:tab/>
        <w:t>(1)</w:t>
      </w:r>
      <w:r>
        <w:tab/>
      </w:r>
      <w:r w:rsidRPr="009C2562">
        <w:t>In this instrument:</w:t>
      </w:r>
    </w:p>
    <w:p w14:paraId="3ED0FAA1" w14:textId="06A2AC1B" w:rsidR="00CF0E3D" w:rsidRPr="009B560D" w:rsidRDefault="00682D57" w:rsidP="00CF0E3D">
      <w:pPr>
        <w:pStyle w:val="Definition"/>
      </w:pPr>
      <w:r w:rsidRPr="009B560D">
        <w:rPr>
          <w:b/>
          <w:i/>
        </w:rPr>
        <w:t>account privileges</w:t>
      </w:r>
      <w:r w:rsidR="00CF0E3D" w:rsidRPr="009B560D">
        <w:t>, in relation to:</w:t>
      </w:r>
    </w:p>
    <w:p w14:paraId="722BCAD3" w14:textId="77777777" w:rsidR="00CF0E3D" w:rsidRPr="009B560D" w:rsidRDefault="00CF0E3D" w:rsidP="00CF0E3D">
      <w:pPr>
        <w:pStyle w:val="paragraph"/>
      </w:pPr>
      <w:r w:rsidRPr="009B560D">
        <w:tab/>
        <w:t>(a)</w:t>
      </w:r>
      <w:r w:rsidRPr="009B560D">
        <w:tab/>
        <w:t>an account with a data holder; and</w:t>
      </w:r>
    </w:p>
    <w:p w14:paraId="151106C7" w14:textId="77777777" w:rsidR="00CF0E3D" w:rsidRPr="009B560D" w:rsidRDefault="00CF0E3D" w:rsidP="00CF0E3D">
      <w:pPr>
        <w:pStyle w:val="paragraph"/>
      </w:pPr>
      <w:r w:rsidRPr="009B560D">
        <w:tab/>
        <w:t>(b)</w:t>
      </w:r>
      <w:r w:rsidRPr="009B560D">
        <w:tab/>
        <w:t>a particular designated sector;</w:t>
      </w:r>
    </w:p>
    <w:p w14:paraId="493DB92A" w14:textId="5C415EDB" w:rsidR="00CF0E3D" w:rsidRPr="009B560D" w:rsidRDefault="00CF0E3D" w:rsidP="002D51A1">
      <w:pPr>
        <w:pStyle w:val="subsection20"/>
      </w:pPr>
      <w:r w:rsidRPr="009B560D">
        <w:tab/>
      </w:r>
      <w:r w:rsidRPr="009B560D">
        <w:tab/>
        <w:t>has the meaning set out</w:t>
      </w:r>
      <w:r w:rsidR="003557E5" w:rsidRPr="009B560D">
        <w:t xml:space="preserve"> in</w:t>
      </w:r>
      <w:r w:rsidR="006F0D6C" w:rsidRPr="009B560D">
        <w:t xml:space="preserve"> a Schedule to these rules that relates to that sector.</w:t>
      </w:r>
    </w:p>
    <w:p w14:paraId="5FF554ED" w14:textId="77777777" w:rsidR="00CF0E3D" w:rsidRDefault="00CF0E3D" w:rsidP="00CF0E3D">
      <w:pPr>
        <w:pStyle w:val="Definition"/>
      </w:pPr>
      <w:r w:rsidRPr="000C3240">
        <w:rPr>
          <w:b/>
          <w:i/>
          <w:color w:val="000000" w:themeColor="text1"/>
        </w:rPr>
        <w:t xml:space="preserve">accreditation </w:t>
      </w:r>
      <w:r>
        <w:rPr>
          <w:b/>
          <w:i/>
        </w:rPr>
        <w:t xml:space="preserve">applicant </w:t>
      </w:r>
      <w:r>
        <w:t>means a person who has applied to be an accredited person under rule 5.2.</w:t>
      </w:r>
    </w:p>
    <w:p w14:paraId="61C7EBAD" w14:textId="77777777" w:rsidR="00CF0E3D" w:rsidRPr="00005026" w:rsidRDefault="00CF0E3D" w:rsidP="00CF0E3D">
      <w:pPr>
        <w:pStyle w:val="Definition"/>
      </w:pPr>
      <w:r w:rsidRPr="00005026">
        <w:rPr>
          <w:b/>
          <w:i/>
        </w:rPr>
        <w:t>accreditation number</w:t>
      </w:r>
      <w:r w:rsidRPr="00005026">
        <w:t xml:space="preserve"> of an accredited person has the meaning given by rule </w:t>
      </w:r>
      <w:r>
        <w:t>5.6</w:t>
      </w:r>
      <w:r w:rsidRPr="00005026">
        <w:t>.</w:t>
      </w:r>
    </w:p>
    <w:p w14:paraId="4DA9350C" w14:textId="77777777" w:rsidR="00CF0E3D" w:rsidRDefault="00CF0E3D" w:rsidP="00CF0E3D">
      <w:pPr>
        <w:pStyle w:val="Definition"/>
      </w:pPr>
      <w:r w:rsidRPr="0023036E">
        <w:rPr>
          <w:b/>
          <w:i/>
        </w:rPr>
        <w:t xml:space="preserve">accredited data recipient </w:t>
      </w:r>
      <w:r w:rsidRPr="0023036E">
        <w:t>has a meaning affected by subrule</w:t>
      </w:r>
      <w:r>
        <w:t> (2)</w:t>
      </w:r>
      <w:r w:rsidRPr="0023036E">
        <w:t>.</w:t>
      </w:r>
    </w:p>
    <w:p w14:paraId="6F64E818" w14:textId="77777777" w:rsidR="00CF0E3D" w:rsidRPr="00796ADB" w:rsidRDefault="00CF0E3D" w:rsidP="00CF0E3D">
      <w:pPr>
        <w:pStyle w:val="notetext"/>
      </w:pPr>
      <w:r w:rsidRPr="00796ADB">
        <w:t>Note:</w:t>
      </w:r>
      <w:r w:rsidRPr="00796ADB">
        <w:tab/>
        <w:t>The term “accredited data recipient” is defined in the Act: see section 56AK of the Act. Subrule </w:t>
      </w:r>
      <w:r>
        <w:t>(2)</w:t>
      </w:r>
      <w:r w:rsidRPr="00796ADB">
        <w:t xml:space="preserve"> deals with the usage of this term in these rules.</w:t>
      </w:r>
    </w:p>
    <w:p w14:paraId="0D28DFA7" w14:textId="77777777" w:rsidR="00CF0E3D" w:rsidRPr="006F4229" w:rsidRDefault="00CF0E3D" w:rsidP="00CF0E3D">
      <w:pPr>
        <w:pStyle w:val="Definition"/>
      </w:pPr>
      <w:r w:rsidRPr="006F4229">
        <w:rPr>
          <w:b/>
          <w:i/>
        </w:rPr>
        <w:t xml:space="preserve">accredited person request service </w:t>
      </w:r>
      <w:r w:rsidRPr="006F4229">
        <w:t>has the meaning given by subrule </w:t>
      </w:r>
      <w:r>
        <w:t>1.13(3)</w:t>
      </w:r>
      <w:r w:rsidRPr="006F4229">
        <w:t>.</w:t>
      </w:r>
    </w:p>
    <w:p w14:paraId="7418B1C0" w14:textId="77777777" w:rsidR="00CF0E3D" w:rsidRDefault="00CF0E3D" w:rsidP="00CF0E3D">
      <w:pPr>
        <w:pStyle w:val="Definition"/>
      </w:pPr>
      <w:r w:rsidRPr="009C2562">
        <w:rPr>
          <w:b/>
          <w:i/>
        </w:rPr>
        <w:t>Act</w:t>
      </w:r>
      <w:r w:rsidRPr="009C2562">
        <w:t xml:space="preserve"> means the </w:t>
      </w:r>
      <w:r>
        <w:rPr>
          <w:i/>
        </w:rPr>
        <w:t>Competition and Consumer Act 2010</w:t>
      </w:r>
      <w:r>
        <w:t>.</w:t>
      </w:r>
    </w:p>
    <w:p w14:paraId="726819C5" w14:textId="77777777" w:rsidR="00CF0E3D" w:rsidRPr="006F4A42" w:rsidRDefault="00CF0E3D" w:rsidP="00CF0E3D">
      <w:pPr>
        <w:pStyle w:val="Definition"/>
      </w:pPr>
      <w:r w:rsidRPr="006F4A42">
        <w:rPr>
          <w:b/>
          <w:i/>
        </w:rPr>
        <w:t>addresses for service</w:t>
      </w:r>
      <w:r w:rsidRPr="006F4A42">
        <w:t xml:space="preserve"> means both of the following:</w:t>
      </w:r>
    </w:p>
    <w:p w14:paraId="1EB180B2" w14:textId="77777777" w:rsidR="00CF0E3D" w:rsidRPr="006F4A42" w:rsidRDefault="00CF0E3D" w:rsidP="00CF0E3D">
      <w:pPr>
        <w:pStyle w:val="paragraph"/>
      </w:pPr>
      <w:r w:rsidRPr="006F4A42">
        <w:tab/>
        <w:t>(a)</w:t>
      </w:r>
      <w:r w:rsidRPr="006F4A42">
        <w:tab/>
        <w:t>a physical address for service in Australia;</w:t>
      </w:r>
    </w:p>
    <w:p w14:paraId="1AA2F652" w14:textId="77777777" w:rsidR="00CF0E3D" w:rsidRPr="006F4A42" w:rsidRDefault="00CF0E3D" w:rsidP="00CF0E3D">
      <w:pPr>
        <w:pStyle w:val="paragraph"/>
      </w:pPr>
      <w:r w:rsidRPr="006F4A42">
        <w:tab/>
        <w:t>(b)</w:t>
      </w:r>
      <w:r w:rsidRPr="006F4A42">
        <w:tab/>
        <w:t>an electronic address for service.</w:t>
      </w:r>
    </w:p>
    <w:p w14:paraId="78D07077" w14:textId="77777777" w:rsidR="00CF0E3D" w:rsidRDefault="00CF0E3D" w:rsidP="00CF0E3D">
      <w:pPr>
        <w:pStyle w:val="Definition"/>
      </w:pPr>
      <w:r>
        <w:rPr>
          <w:b/>
          <w:i/>
        </w:rPr>
        <w:t>ADI</w:t>
      </w:r>
      <w:r>
        <w:t xml:space="preserve"> (short for authorised deposit</w:t>
      </w:r>
      <w:r>
        <w:noBreakHyphen/>
        <w:t xml:space="preserve">taking institution) has the meaning given by the </w:t>
      </w:r>
      <w:r>
        <w:rPr>
          <w:i/>
        </w:rPr>
        <w:t>Banking Act 1959</w:t>
      </w:r>
      <w:r>
        <w:t>.</w:t>
      </w:r>
    </w:p>
    <w:p w14:paraId="2D5AF29A" w14:textId="77777777" w:rsidR="008A6C8F" w:rsidRPr="00771FEA" w:rsidRDefault="00350945" w:rsidP="008A6C8F">
      <w:pPr>
        <w:pStyle w:val="Definition"/>
      </w:pPr>
      <w:r w:rsidRPr="00BC78CF">
        <w:rPr>
          <w:b/>
          <w:i/>
          <w:color w:val="FF0000"/>
        </w:rPr>
        <w:t>affiliate</w:t>
      </w:r>
      <w:r w:rsidRPr="00BC78CF">
        <w:rPr>
          <w:color w:val="FF0000"/>
        </w:rPr>
        <w:t xml:space="preserve"> </w:t>
      </w:r>
      <w:r w:rsidR="008A6C8F" w:rsidRPr="00BC78CF">
        <w:rPr>
          <w:color w:val="FF0000"/>
        </w:rPr>
        <w:t>has the meaning given by by rule 1.10D.</w:t>
      </w:r>
      <w:r w:rsidR="008A6C8F" w:rsidRPr="008A6C8F">
        <w:t xml:space="preserve"> </w:t>
      </w:r>
    </w:p>
    <w:p w14:paraId="6F778CC6" w14:textId="1519CB80" w:rsidR="00CF0E3D" w:rsidRPr="00771FEA" w:rsidRDefault="00CF0E3D" w:rsidP="00CF0E3D">
      <w:pPr>
        <w:pStyle w:val="Definition"/>
      </w:pPr>
      <w:r w:rsidRPr="00771FEA">
        <w:rPr>
          <w:b/>
          <w:i/>
        </w:rPr>
        <w:t>AP disclosure consent</w:t>
      </w:r>
      <w:r w:rsidRPr="00771FEA">
        <w:t xml:space="preserve"> has the meaning given by rule 1.10A.</w:t>
      </w:r>
    </w:p>
    <w:p w14:paraId="58607865" w14:textId="77777777" w:rsidR="00CF0E3D" w:rsidRPr="000C3240" w:rsidRDefault="00CF0E3D" w:rsidP="00CF0E3D">
      <w:pPr>
        <w:pStyle w:val="Definition"/>
        <w:rPr>
          <w:color w:val="000000" w:themeColor="text1"/>
        </w:rPr>
      </w:pPr>
      <w:r w:rsidRPr="000C3240">
        <w:rPr>
          <w:b/>
          <w:i/>
          <w:color w:val="000000" w:themeColor="text1"/>
        </w:rPr>
        <w:t>associated person</w:t>
      </w:r>
      <w:r w:rsidRPr="000C3240">
        <w:rPr>
          <w:color w:val="000000" w:themeColor="text1"/>
        </w:rPr>
        <w:t>, of another person,</w:t>
      </w:r>
      <w:r w:rsidRPr="000C3240">
        <w:rPr>
          <w:b/>
          <w:i/>
          <w:color w:val="000000" w:themeColor="text1"/>
        </w:rPr>
        <w:t xml:space="preserve"> </w:t>
      </w:r>
      <w:r w:rsidRPr="000C3240">
        <w:rPr>
          <w:color w:val="000000" w:themeColor="text1"/>
        </w:rPr>
        <w:t xml:space="preserve">means </w:t>
      </w:r>
      <w:r w:rsidRPr="00466CCE">
        <w:t xml:space="preserve">any of </w:t>
      </w:r>
      <w:r w:rsidRPr="000C3240">
        <w:rPr>
          <w:color w:val="000000" w:themeColor="text1"/>
        </w:rPr>
        <w:t>the following:</w:t>
      </w:r>
    </w:p>
    <w:p w14:paraId="07F7AD43" w14:textId="77777777" w:rsidR="00CF0E3D" w:rsidRPr="000C3240" w:rsidRDefault="00CF0E3D" w:rsidP="00CF0E3D">
      <w:pPr>
        <w:pStyle w:val="paragraph"/>
        <w:rPr>
          <w:color w:val="000000" w:themeColor="text1"/>
        </w:rPr>
      </w:pPr>
      <w:r w:rsidRPr="000C3240">
        <w:rPr>
          <w:color w:val="000000" w:themeColor="text1"/>
        </w:rPr>
        <w:tab/>
        <w:t>(a)</w:t>
      </w:r>
      <w:r w:rsidRPr="000C3240">
        <w:rPr>
          <w:color w:val="000000" w:themeColor="text1"/>
        </w:rPr>
        <w:tab/>
      </w:r>
      <w:r w:rsidRPr="00466CCE">
        <w:t>a</w:t>
      </w:r>
      <w:r w:rsidRPr="000C3240">
        <w:rPr>
          <w:color w:val="000000" w:themeColor="text1"/>
        </w:rPr>
        <w:t xml:space="preserve"> person who:</w:t>
      </w:r>
    </w:p>
    <w:p w14:paraId="43BE8C67" w14:textId="77777777" w:rsidR="00CF0E3D" w:rsidRPr="000C3240" w:rsidRDefault="00CF0E3D" w:rsidP="00CF0E3D">
      <w:pPr>
        <w:pStyle w:val="paragraphsub"/>
        <w:rPr>
          <w:color w:val="000000" w:themeColor="text1"/>
        </w:rPr>
      </w:pPr>
      <w:r w:rsidRPr="000C3240">
        <w:rPr>
          <w:color w:val="000000" w:themeColor="text1"/>
        </w:rPr>
        <w:tab/>
        <w:t>(i)</w:t>
      </w:r>
      <w:r w:rsidRPr="000C3240">
        <w:rPr>
          <w:color w:val="000000" w:themeColor="text1"/>
        </w:rPr>
        <w:tab/>
        <w:t>makes or participates in making, or would (if the other person were an accredited person) make or participate in making, decisions that affect the management of CDR data</w:t>
      </w:r>
      <w:r w:rsidRPr="00596ABF">
        <w:rPr>
          <w:color w:val="000000" w:themeColor="text1"/>
        </w:rPr>
        <w:t xml:space="preserve"> </w:t>
      </w:r>
      <w:r w:rsidRPr="000C3240">
        <w:rPr>
          <w:color w:val="000000" w:themeColor="text1"/>
        </w:rPr>
        <w:t>by the other person; or</w:t>
      </w:r>
    </w:p>
    <w:p w14:paraId="001D1394" w14:textId="77777777" w:rsidR="00CF0E3D" w:rsidRPr="000C3240" w:rsidRDefault="00CF0E3D" w:rsidP="00CF0E3D">
      <w:pPr>
        <w:pStyle w:val="paragraphsub"/>
        <w:rPr>
          <w:color w:val="000000" w:themeColor="text1"/>
        </w:rPr>
      </w:pPr>
      <w:r w:rsidRPr="000C3240">
        <w:rPr>
          <w:color w:val="000000" w:themeColor="text1"/>
        </w:rPr>
        <w:tab/>
        <w:t>(ii)</w:t>
      </w:r>
      <w:r w:rsidRPr="000C3240">
        <w:rPr>
          <w:color w:val="000000" w:themeColor="text1"/>
        </w:rPr>
        <w:tab/>
        <w:t>has, or would have (if the other person were an accredited person), the capacity to significantly affect the other person’s management of CDR data;</w:t>
      </w:r>
    </w:p>
    <w:p w14:paraId="7684C52B" w14:textId="77777777" w:rsidR="00CF0E3D" w:rsidRPr="00AB73DF" w:rsidRDefault="00CF0E3D" w:rsidP="00CF0E3D">
      <w:pPr>
        <w:pStyle w:val="paragraph"/>
      </w:pPr>
      <w:r w:rsidRPr="000C3240">
        <w:rPr>
          <w:color w:val="000000" w:themeColor="text1"/>
        </w:rPr>
        <w:tab/>
        <w:t>(b)</w:t>
      </w:r>
      <w:r w:rsidRPr="000C3240">
        <w:rPr>
          <w:color w:val="000000" w:themeColor="text1"/>
        </w:rPr>
        <w:tab/>
        <w:t>if the other person is a body corporate</w:t>
      </w:r>
      <w:r w:rsidRPr="00AB73DF">
        <w:t>—a person who:</w:t>
      </w:r>
    </w:p>
    <w:p w14:paraId="5E8CE97F" w14:textId="77777777" w:rsidR="00CF0E3D" w:rsidRPr="00AB73DF" w:rsidRDefault="00CF0E3D" w:rsidP="00CF0E3D">
      <w:pPr>
        <w:pStyle w:val="paragraphsub"/>
      </w:pPr>
      <w:r w:rsidRPr="00AB73DF">
        <w:tab/>
        <w:t>(i)</w:t>
      </w:r>
      <w:r w:rsidRPr="00AB73DF">
        <w:tab/>
        <w:t xml:space="preserve">is an associate (within the meaning of the </w:t>
      </w:r>
      <w:r w:rsidRPr="00AB73DF">
        <w:rPr>
          <w:i/>
        </w:rPr>
        <w:t>Corporations Act 2001</w:t>
      </w:r>
      <w:r w:rsidRPr="00AB73DF">
        <w:t>) of the other person; or</w:t>
      </w:r>
    </w:p>
    <w:p w14:paraId="5EE6A47F" w14:textId="77777777" w:rsidR="00CF0E3D" w:rsidRPr="00AB73DF" w:rsidRDefault="00CF0E3D" w:rsidP="00CF0E3D">
      <w:pPr>
        <w:pStyle w:val="paragraphsub"/>
      </w:pPr>
      <w:r w:rsidRPr="00AB73DF">
        <w:tab/>
        <w:t>(ii)</w:t>
      </w:r>
      <w:r w:rsidRPr="00AB73DF">
        <w:tab/>
        <w:t xml:space="preserve">is an associated entity (within the meaning of the </w:t>
      </w:r>
      <w:r w:rsidRPr="00AB73DF">
        <w:rPr>
          <w:i/>
        </w:rPr>
        <w:t>Corporations Act 2001</w:t>
      </w:r>
      <w:r w:rsidRPr="00AB73DF">
        <w:t>) of the other person.</w:t>
      </w:r>
    </w:p>
    <w:p w14:paraId="51418389" w14:textId="77777777" w:rsidR="00CF0E3D" w:rsidRPr="00771FEA" w:rsidRDefault="00CF0E3D" w:rsidP="00CF0E3D">
      <w:pPr>
        <w:pStyle w:val="Definition"/>
      </w:pPr>
      <w:r w:rsidRPr="00771FEA">
        <w:rPr>
          <w:b/>
          <w:i/>
        </w:rPr>
        <w:t xml:space="preserve">authorisation </w:t>
      </w:r>
      <w:r w:rsidRPr="00771FEA">
        <w:t>to disclose CDR data means:</w:t>
      </w:r>
    </w:p>
    <w:p w14:paraId="59601215" w14:textId="77777777" w:rsidR="00CF0E3D" w:rsidRPr="00771FEA" w:rsidRDefault="00CF0E3D" w:rsidP="00CF0E3D">
      <w:pPr>
        <w:pStyle w:val="paragraph"/>
      </w:pPr>
      <w:r w:rsidRPr="00771FEA">
        <w:tab/>
        <w:t>(a)</w:t>
      </w:r>
      <w:r w:rsidRPr="00771FEA">
        <w:tab/>
        <w:t>an authorisation given by a CDR consumer under Part 4 to a data holder; or</w:t>
      </w:r>
    </w:p>
    <w:p w14:paraId="55A29E5F" w14:textId="77777777" w:rsidR="00CF0E3D" w:rsidRPr="00771FEA" w:rsidRDefault="00CF0E3D" w:rsidP="00CF0E3D">
      <w:pPr>
        <w:pStyle w:val="paragraph"/>
      </w:pPr>
      <w:r w:rsidRPr="00771FEA">
        <w:tab/>
        <w:t>(b)</w:t>
      </w:r>
      <w:r w:rsidRPr="00771FEA">
        <w:tab/>
        <w:t>such an authorisation as amended in accordance with these rules.</w:t>
      </w:r>
    </w:p>
    <w:p w14:paraId="5AA28E2F" w14:textId="77777777" w:rsidR="00CF0E3D" w:rsidRPr="00771FEA" w:rsidRDefault="00CF0E3D" w:rsidP="00CF0E3D">
      <w:pPr>
        <w:pStyle w:val="Definition"/>
      </w:pPr>
      <w:r w:rsidRPr="00771FEA">
        <w:rPr>
          <w:b/>
          <w:i/>
        </w:rPr>
        <w:t>category</w:t>
      </w:r>
      <w:r w:rsidRPr="00771FEA">
        <w:t>,</w:t>
      </w:r>
      <w:r w:rsidRPr="00771FEA">
        <w:rPr>
          <w:b/>
          <w:i/>
        </w:rPr>
        <w:t xml:space="preserve"> </w:t>
      </w:r>
      <w:r w:rsidRPr="00771FEA">
        <w:t>of consents, has the meaning given by rule 1.10A.</w:t>
      </w:r>
    </w:p>
    <w:p w14:paraId="29357B97" w14:textId="77777777" w:rsidR="00CF0E3D" w:rsidRPr="00964EDA" w:rsidRDefault="00CF0E3D" w:rsidP="00CF0E3D">
      <w:pPr>
        <w:pStyle w:val="Definition"/>
        <w:rPr>
          <w:color w:val="000000"/>
        </w:rPr>
      </w:pPr>
      <w:r w:rsidRPr="00964EDA">
        <w:rPr>
          <w:b/>
          <w:i/>
          <w:color w:val="000000"/>
        </w:rPr>
        <w:t>CDR complaint data</w:t>
      </w:r>
      <w:r>
        <w:rPr>
          <w:color w:val="000000"/>
        </w:rPr>
        <w:t>, in relation to a CDR participant,</w:t>
      </w:r>
      <w:r w:rsidRPr="00964EDA">
        <w:rPr>
          <w:b/>
          <w:color w:val="000000"/>
        </w:rPr>
        <w:t xml:space="preserve"> </w:t>
      </w:r>
      <w:r w:rsidRPr="00964EDA">
        <w:rPr>
          <w:color w:val="000000"/>
        </w:rPr>
        <w:t>means the following:</w:t>
      </w:r>
    </w:p>
    <w:p w14:paraId="03D31385" w14:textId="77777777" w:rsidR="00CF0E3D" w:rsidRPr="00964EDA" w:rsidRDefault="00CF0E3D" w:rsidP="00CF0E3D">
      <w:pPr>
        <w:pStyle w:val="paragraph"/>
        <w:rPr>
          <w:color w:val="000000"/>
        </w:rPr>
      </w:pPr>
      <w:r w:rsidRPr="00964EDA">
        <w:rPr>
          <w:color w:val="000000"/>
        </w:rPr>
        <w:tab/>
        <w:t>(a)</w:t>
      </w:r>
      <w:r w:rsidRPr="00964EDA">
        <w:rPr>
          <w:color w:val="000000"/>
        </w:rPr>
        <w:tab/>
        <w:t>the number of CDR consumer complaints</w:t>
      </w:r>
      <w:r>
        <w:rPr>
          <w:color w:val="000000"/>
        </w:rPr>
        <w:t xml:space="preserve"> received by the CDR participant</w:t>
      </w:r>
      <w:r w:rsidRPr="00964EDA">
        <w:rPr>
          <w:color w:val="000000"/>
        </w:rPr>
        <w:t>;</w:t>
      </w:r>
    </w:p>
    <w:p w14:paraId="53A0899E" w14:textId="77777777" w:rsidR="00CF0E3D" w:rsidRPr="00005026" w:rsidRDefault="00CF0E3D" w:rsidP="00CF0E3D">
      <w:pPr>
        <w:pStyle w:val="paragraph"/>
      </w:pPr>
      <w:r w:rsidRPr="00771FEA">
        <w:tab/>
        <w:t>(b)</w:t>
      </w:r>
      <w:r w:rsidRPr="00771FEA">
        <w:tab/>
        <w:t>the number of such complaints for each complaint type into which the CDR participant categorises complaints in accordance with i</w:t>
      </w:r>
      <w:r>
        <w:t>ts complaints handling process;</w:t>
      </w:r>
    </w:p>
    <w:p w14:paraId="50CC43FF" w14:textId="77777777" w:rsidR="00CF0E3D" w:rsidRPr="00005026" w:rsidRDefault="00CF0E3D" w:rsidP="00CF0E3D">
      <w:pPr>
        <w:pStyle w:val="paragraph"/>
      </w:pPr>
      <w:r w:rsidRPr="00005026">
        <w:tab/>
        <w:t>(c)</w:t>
      </w:r>
      <w:r w:rsidRPr="00005026">
        <w:tab/>
        <w:t>the number of such complaints resolved;</w:t>
      </w:r>
    </w:p>
    <w:p w14:paraId="4759600F" w14:textId="77777777" w:rsidR="00CF0E3D" w:rsidRPr="00005026" w:rsidRDefault="00CF0E3D" w:rsidP="00CF0E3D">
      <w:pPr>
        <w:pStyle w:val="paragraph"/>
      </w:pPr>
      <w:r w:rsidRPr="00005026">
        <w:tab/>
        <w:t>(d)</w:t>
      </w:r>
      <w:r w:rsidRPr="00005026">
        <w:tab/>
        <w:t>the average number of days taken to resolve CDR consumer complaints through internal dispute resolution;</w:t>
      </w:r>
    </w:p>
    <w:p w14:paraId="4AC6F1CC" w14:textId="77777777" w:rsidR="00CF0E3D" w:rsidRDefault="00CF0E3D" w:rsidP="00CF0E3D">
      <w:pPr>
        <w:pStyle w:val="paragraph"/>
        <w:rPr>
          <w:color w:val="000000"/>
        </w:rPr>
      </w:pPr>
      <w:r w:rsidRPr="00005026">
        <w:tab/>
        <w:t>(e)</w:t>
      </w:r>
      <w:r w:rsidRPr="00005026">
        <w:tab/>
        <w:t xml:space="preserve">the number of CDR consumer complaints referred to </w:t>
      </w:r>
      <w:r w:rsidRPr="00B31455">
        <w:t>a recognised external dispute resolution scheme</w:t>
      </w:r>
      <w:r w:rsidRPr="00964EDA">
        <w:rPr>
          <w:color w:val="000000"/>
        </w:rPr>
        <w:t>;</w:t>
      </w:r>
    </w:p>
    <w:p w14:paraId="4D36EA7D" w14:textId="77777777" w:rsidR="00CF0E3D" w:rsidRPr="00005026" w:rsidRDefault="00CF0E3D" w:rsidP="00CF0E3D">
      <w:pPr>
        <w:pStyle w:val="paragraph"/>
      </w:pPr>
      <w:r w:rsidRPr="00005026">
        <w:tab/>
        <w:t>(f)</w:t>
      </w:r>
      <w:r w:rsidRPr="00005026">
        <w:tab/>
        <w:t>the number of CDR consumer complaints resolved by external dispute resolution;</w:t>
      </w:r>
    </w:p>
    <w:p w14:paraId="4ECE8CE9" w14:textId="77777777" w:rsidR="00CF0E3D" w:rsidRPr="00005026" w:rsidRDefault="00CF0E3D" w:rsidP="00CF0E3D">
      <w:pPr>
        <w:pStyle w:val="paragraph"/>
      </w:pPr>
      <w:r w:rsidRPr="00771FEA">
        <w:tab/>
        <w:t>(g)</w:t>
      </w:r>
      <w:r w:rsidRPr="00771FEA">
        <w:tab/>
        <w:t>in relation to a CDR participant that is a data holder―the number of CDR pro</w:t>
      </w:r>
      <w:r>
        <w:t xml:space="preserve">duct data complaints received. </w:t>
      </w:r>
    </w:p>
    <w:p w14:paraId="650095C4" w14:textId="77777777" w:rsidR="00CF0E3D" w:rsidRPr="00005026" w:rsidRDefault="00CF0E3D" w:rsidP="00CF0E3D">
      <w:pPr>
        <w:pStyle w:val="notetext"/>
      </w:pPr>
      <w:r>
        <w:t>Note</w:t>
      </w:r>
      <w:r w:rsidRPr="00005026">
        <w:t xml:space="preserve">: </w:t>
      </w:r>
      <w:r w:rsidRPr="00005026">
        <w:tab/>
        <w:t>Complaints covered by paragraph (g) are not “CDR consumer complaints”.</w:t>
      </w:r>
    </w:p>
    <w:p w14:paraId="627E7936" w14:textId="77777777" w:rsidR="00CF0E3D" w:rsidRPr="0023036E" w:rsidRDefault="00CF0E3D" w:rsidP="00CF0E3D">
      <w:pPr>
        <w:pStyle w:val="Definition"/>
      </w:pPr>
      <w:r w:rsidRPr="0023036E">
        <w:rPr>
          <w:b/>
          <w:i/>
        </w:rPr>
        <w:t xml:space="preserve">CDR consumer </w:t>
      </w:r>
      <w:r w:rsidRPr="0023036E">
        <w:t>has a meaning affected by subrule</w:t>
      </w:r>
      <w:r>
        <w:t xml:space="preserve"> (2)</w:t>
      </w:r>
      <w:r w:rsidRPr="0023036E">
        <w:t>.</w:t>
      </w:r>
    </w:p>
    <w:p w14:paraId="28FCF3DF" w14:textId="77777777" w:rsidR="00CF0E3D" w:rsidRPr="00796ADB" w:rsidRDefault="00CF0E3D" w:rsidP="00CF0E3D">
      <w:pPr>
        <w:pStyle w:val="notetext"/>
      </w:pPr>
      <w:r w:rsidRPr="00796ADB">
        <w:t>Note:</w:t>
      </w:r>
      <w:r w:rsidRPr="00796ADB">
        <w:tab/>
        <w:t>The term “CDR consumer” is defined in the Act: see subsection 56AI(3) of the Act. Subrule </w:t>
      </w:r>
      <w:r>
        <w:t>(2)</w:t>
      </w:r>
      <w:r w:rsidRPr="00796ADB">
        <w:t xml:space="preserve"> deals with the usage of this term in these rules.</w:t>
      </w:r>
    </w:p>
    <w:p w14:paraId="0B247108" w14:textId="77777777" w:rsidR="00CF0E3D" w:rsidRPr="00796ADB" w:rsidRDefault="00CF0E3D" w:rsidP="00CF0E3D">
      <w:pPr>
        <w:pStyle w:val="Definition"/>
      </w:pPr>
      <w:r w:rsidRPr="00796ADB">
        <w:rPr>
          <w:b/>
          <w:i/>
        </w:rPr>
        <w:t>CDR consumer complaint</w:t>
      </w:r>
      <w:r w:rsidRPr="00796ADB">
        <w:t xml:space="preserve"> means any expression of dissatisfaction made by a CDR consumer to </w:t>
      </w:r>
      <w:r w:rsidRPr="00E1300D">
        <w:t xml:space="preserve">or about </w:t>
      </w:r>
      <w:r w:rsidRPr="00796ADB">
        <w:t>a CDR participant:</w:t>
      </w:r>
    </w:p>
    <w:p w14:paraId="1010EA2B" w14:textId="77777777" w:rsidR="00CF0E3D" w:rsidRPr="00796ADB" w:rsidRDefault="00CF0E3D" w:rsidP="00CF0E3D">
      <w:pPr>
        <w:pStyle w:val="paragraph"/>
      </w:pPr>
      <w:r w:rsidRPr="00796ADB">
        <w:tab/>
        <w:t>(a)</w:t>
      </w:r>
      <w:r w:rsidRPr="00796ADB">
        <w:tab/>
        <w:t>that relates to:</w:t>
      </w:r>
    </w:p>
    <w:p w14:paraId="73F4382D" w14:textId="77777777" w:rsidR="00CF0E3D" w:rsidRPr="00724397" w:rsidRDefault="00CF0E3D" w:rsidP="00CF0E3D">
      <w:pPr>
        <w:pStyle w:val="paragraphsub"/>
      </w:pPr>
      <w:r w:rsidRPr="00796ADB">
        <w:tab/>
        <w:t>(i)</w:t>
      </w:r>
      <w:r w:rsidRPr="00796ADB">
        <w:tab/>
      </w:r>
      <w:r w:rsidRPr="00724397">
        <w:t>the CDR participant’s obligations under or compliance with:</w:t>
      </w:r>
    </w:p>
    <w:p w14:paraId="7B1C1E44" w14:textId="77777777" w:rsidR="00CF0E3D" w:rsidRPr="00724397" w:rsidRDefault="00CF0E3D" w:rsidP="00CF0E3D">
      <w:pPr>
        <w:pStyle w:val="paragraphsub-sub"/>
      </w:pPr>
      <w:r w:rsidRPr="00724397">
        <w:tab/>
        <w:t>(A)</w:t>
      </w:r>
      <w:r w:rsidRPr="00724397">
        <w:tab/>
        <w:t>Part IVD of the Act; or</w:t>
      </w:r>
    </w:p>
    <w:p w14:paraId="00C203BA" w14:textId="77777777" w:rsidR="00CF0E3D" w:rsidRPr="00724397" w:rsidRDefault="00CF0E3D" w:rsidP="00CF0E3D">
      <w:pPr>
        <w:pStyle w:val="paragraphsub-sub"/>
      </w:pPr>
      <w:r w:rsidRPr="00724397">
        <w:tab/>
        <w:t>(B)</w:t>
      </w:r>
      <w:r w:rsidRPr="00724397">
        <w:tab/>
        <w:t>these rules; or</w:t>
      </w:r>
    </w:p>
    <w:p w14:paraId="2E15B523" w14:textId="77777777" w:rsidR="00CF0E3D" w:rsidRPr="00724397" w:rsidRDefault="00CF0E3D" w:rsidP="00CF0E3D">
      <w:pPr>
        <w:pStyle w:val="paragraphsub-sub"/>
      </w:pPr>
      <w:r w:rsidRPr="00724397">
        <w:tab/>
        <w:t>(C)</w:t>
      </w:r>
      <w:r w:rsidRPr="00724397">
        <w:tab/>
        <w:t>binding data standards; or</w:t>
      </w:r>
    </w:p>
    <w:p w14:paraId="11D2CCE5" w14:textId="77777777" w:rsidR="00CF0E3D" w:rsidRDefault="00CF0E3D" w:rsidP="00CF0E3D">
      <w:pPr>
        <w:pStyle w:val="paragraphsub"/>
      </w:pPr>
      <w:r w:rsidRPr="00724397">
        <w:tab/>
        <w:t>(ii)</w:t>
      </w:r>
      <w:r w:rsidRPr="00724397">
        <w:tab/>
        <w:t>the provision to the CDR consumer, by the CDR participant, of the goods or services in respect of which the consumer granted consent under Part 4</w:t>
      </w:r>
      <w:r w:rsidRPr="003F0A35">
        <w:t xml:space="preserve">; </w:t>
      </w:r>
      <w:r>
        <w:t>and</w:t>
      </w:r>
    </w:p>
    <w:p w14:paraId="5F0B2F9D" w14:textId="77777777" w:rsidR="00CF0E3D" w:rsidRDefault="00CF0E3D" w:rsidP="00CF0E3D">
      <w:pPr>
        <w:pStyle w:val="paragraph"/>
      </w:pPr>
      <w:r>
        <w:tab/>
        <w:t>(b)</w:t>
      </w:r>
      <w:r>
        <w:tab/>
      </w:r>
      <w:r w:rsidRPr="00796ADB">
        <w:t>for which a response or resolution could reasonably be expected.</w:t>
      </w:r>
    </w:p>
    <w:p w14:paraId="4B2E87FE" w14:textId="77777777" w:rsidR="00CF0E3D" w:rsidRDefault="00CF0E3D" w:rsidP="00CF0E3D">
      <w:pPr>
        <w:pStyle w:val="notetext"/>
      </w:pPr>
      <w:r>
        <w:t>Note:</w:t>
      </w:r>
      <w:r>
        <w:tab/>
        <w:t xml:space="preserve">Complaints of a kind referred to in </w:t>
      </w:r>
      <w:r w:rsidRPr="00FA14C2">
        <w:t>sub</w:t>
      </w:r>
      <w:r w:rsidRPr="00FA14C2">
        <w:noBreakHyphen/>
        <w:t xml:space="preserve">subparagraph (a)(i)(B) </w:t>
      </w:r>
      <w:r>
        <w:t>include a complaint relating to the participant’s obligations under, or compliance with, rules dealing with the handling of CDR consumer complaints.</w:t>
      </w:r>
    </w:p>
    <w:p w14:paraId="5323F749" w14:textId="77777777" w:rsidR="00CF0E3D" w:rsidRPr="00E53912" w:rsidRDefault="00CF0E3D" w:rsidP="00CF0E3D">
      <w:pPr>
        <w:pStyle w:val="Definition"/>
      </w:pPr>
      <w:r w:rsidRPr="00E53912">
        <w:rPr>
          <w:b/>
          <w:i/>
        </w:rPr>
        <w:t>CDR data de</w:t>
      </w:r>
      <w:r w:rsidRPr="00E53912">
        <w:rPr>
          <w:b/>
          <w:i/>
        </w:rPr>
        <w:noBreakHyphen/>
        <w:t>identification process</w:t>
      </w:r>
      <w:r w:rsidRPr="00E53912">
        <w:t xml:space="preserve"> has the meaning given by rule </w:t>
      </w:r>
      <w:r>
        <w:t>1.17</w:t>
      </w:r>
      <w:r w:rsidRPr="00E53912">
        <w:t>.</w:t>
      </w:r>
    </w:p>
    <w:p w14:paraId="25D28775" w14:textId="77777777" w:rsidR="00CF0E3D" w:rsidRPr="00E53912" w:rsidRDefault="00CF0E3D" w:rsidP="00CF0E3D">
      <w:pPr>
        <w:pStyle w:val="Definition"/>
      </w:pPr>
      <w:r w:rsidRPr="00E53912">
        <w:rPr>
          <w:b/>
          <w:i/>
        </w:rPr>
        <w:t>CDR data deletion process</w:t>
      </w:r>
      <w:r w:rsidRPr="00E53912">
        <w:t xml:space="preserve"> has the meaning given by rule </w:t>
      </w:r>
      <w:r>
        <w:t>1.18</w:t>
      </w:r>
      <w:r w:rsidRPr="00E53912">
        <w:t>.</w:t>
      </w:r>
    </w:p>
    <w:p w14:paraId="0F411416" w14:textId="4BCD2A01" w:rsidR="00883E94" w:rsidRPr="00BC78CF" w:rsidRDefault="00D65475" w:rsidP="00883E94">
      <w:pPr>
        <w:pStyle w:val="subsection"/>
        <w:rPr>
          <w:color w:val="FF0000"/>
        </w:rPr>
      </w:pPr>
      <w:r w:rsidRPr="00BC78CF">
        <w:rPr>
          <w:color w:val="FF0000"/>
        </w:rPr>
        <w:tab/>
      </w:r>
      <w:r w:rsidRPr="00BC78CF">
        <w:rPr>
          <w:color w:val="FF0000"/>
        </w:rPr>
        <w:tab/>
      </w:r>
      <w:r w:rsidRPr="00BC78CF">
        <w:rPr>
          <w:b/>
          <w:i/>
          <w:color w:val="FF0000"/>
        </w:rPr>
        <w:t>CDR insight</w:t>
      </w:r>
      <w:r w:rsidR="00883E94" w:rsidRPr="00BC78CF">
        <w:rPr>
          <w:color w:val="FF0000"/>
        </w:rPr>
        <w:t>, in relation to an insight disclosure consent, means the CDR data subject to the consent.</w:t>
      </w:r>
    </w:p>
    <w:p w14:paraId="18A3687A" w14:textId="77777777" w:rsidR="00CF0E3D" w:rsidRDefault="00CF0E3D" w:rsidP="00CF0E3D">
      <w:pPr>
        <w:pStyle w:val="Definition"/>
      </w:pPr>
      <w:r w:rsidRPr="00B61E66">
        <w:rPr>
          <w:b/>
          <w:bCs/>
          <w:i/>
          <w:iCs/>
        </w:rPr>
        <w:t>CDR logo</w:t>
      </w:r>
      <w:r w:rsidRPr="00B61E66">
        <w:t xml:space="preserve"> means a logo or symbol, including one whose use requires a licence or authorisation from a person other than the Commonwealth, approved by the Commission for the purposes of this definition. </w:t>
      </w:r>
    </w:p>
    <w:p w14:paraId="4FEBC30C" w14:textId="77777777" w:rsidR="00CF0E3D" w:rsidRDefault="00CF0E3D" w:rsidP="00CF0E3D">
      <w:pPr>
        <w:pStyle w:val="Definition"/>
        <w:rPr>
          <w:b/>
          <w:i/>
          <w:color w:val="000000" w:themeColor="text1"/>
        </w:rPr>
      </w:pPr>
      <w:r w:rsidRPr="005F3D40">
        <w:rPr>
          <w:b/>
          <w:i/>
          <w:color w:val="000000" w:themeColor="text1"/>
        </w:rPr>
        <w:t>CDR outsourcing arrangement</w:t>
      </w:r>
      <w:r w:rsidRPr="009C222D">
        <w:rPr>
          <w:color w:val="000000" w:themeColor="text1"/>
        </w:rPr>
        <w:t xml:space="preserve"> </w:t>
      </w:r>
      <w:r w:rsidRPr="009500AD">
        <w:t>has the meaning given by rule </w:t>
      </w:r>
      <w:r>
        <w:t>1.10</w:t>
      </w:r>
      <w:r w:rsidRPr="009500AD">
        <w:t>.</w:t>
      </w:r>
    </w:p>
    <w:p w14:paraId="22A67C14" w14:textId="77777777" w:rsidR="00CF0E3D" w:rsidRPr="00796ADB" w:rsidRDefault="00CF0E3D" w:rsidP="00CF0E3D">
      <w:pPr>
        <w:pStyle w:val="Definition"/>
      </w:pPr>
      <w:r w:rsidRPr="00796ADB">
        <w:rPr>
          <w:b/>
          <w:i/>
        </w:rPr>
        <w:t xml:space="preserve">CDR participant </w:t>
      </w:r>
      <w:r w:rsidRPr="00796ADB">
        <w:t>has a meaning affected by subrule </w:t>
      </w:r>
      <w:r>
        <w:t>(2)</w:t>
      </w:r>
      <w:r w:rsidRPr="00796ADB">
        <w:t>.</w:t>
      </w:r>
    </w:p>
    <w:p w14:paraId="67F2C123" w14:textId="77777777" w:rsidR="00CF0E3D" w:rsidRPr="00796ADB" w:rsidRDefault="00CF0E3D" w:rsidP="00CF0E3D">
      <w:pPr>
        <w:pStyle w:val="notetext"/>
      </w:pPr>
      <w:r w:rsidRPr="00796ADB">
        <w:t>Note:</w:t>
      </w:r>
      <w:r w:rsidRPr="00796ADB">
        <w:tab/>
        <w:t>The term “CDR participant” is defined in the Act: see subsection 56AL(1) of the Act. Subrule </w:t>
      </w:r>
      <w:r>
        <w:t>(2)</w:t>
      </w:r>
      <w:r w:rsidRPr="00796ADB">
        <w:t xml:space="preserve"> deals with the usage of this term in these rules.</w:t>
      </w:r>
    </w:p>
    <w:p w14:paraId="66E84C8E" w14:textId="77777777" w:rsidR="00CF0E3D" w:rsidRDefault="00CF0E3D" w:rsidP="00CF0E3D">
      <w:pPr>
        <w:pStyle w:val="Definition"/>
      </w:pPr>
      <w:r>
        <w:rPr>
          <w:b/>
          <w:i/>
        </w:rPr>
        <w:t xml:space="preserve">CDR policy </w:t>
      </w:r>
      <w:r w:rsidRPr="00925D00">
        <w:t xml:space="preserve">means a </w:t>
      </w:r>
      <w:r>
        <w:t>policy that a CDR participant has and maintains in compliance with subsection 56ED(3) of the Act.</w:t>
      </w:r>
    </w:p>
    <w:p w14:paraId="78CDD28D" w14:textId="77777777" w:rsidR="00CF0E3D" w:rsidRPr="00771FEA" w:rsidRDefault="00CF0E3D" w:rsidP="00CF0E3D">
      <w:pPr>
        <w:pStyle w:val="Definition"/>
      </w:pPr>
      <w:r w:rsidRPr="00771FEA">
        <w:rPr>
          <w:b/>
          <w:i/>
        </w:rPr>
        <w:t>CDR product data complaint</w:t>
      </w:r>
      <w:r w:rsidRPr="00771FEA">
        <w:t xml:space="preserve"> means an expression of dissatisfaction made to a data holder about its required product data or its voluntary product data for which a response or resolution could reasonably be expected.</w:t>
      </w:r>
    </w:p>
    <w:p w14:paraId="3CF97DE4" w14:textId="1568E693" w:rsidR="003B4F1E" w:rsidRPr="00BC78CF" w:rsidRDefault="00182338" w:rsidP="003B4F1E">
      <w:pPr>
        <w:pStyle w:val="Definition"/>
        <w:rPr>
          <w:b/>
          <w:i/>
          <w:color w:val="FF0000"/>
        </w:rPr>
      </w:pPr>
      <w:r w:rsidRPr="00BC78CF">
        <w:rPr>
          <w:b/>
          <w:i/>
          <w:color w:val="FF0000"/>
        </w:rPr>
        <w:t>CDR representative</w:t>
      </w:r>
      <w:r w:rsidR="003B4F1E" w:rsidRPr="00BC78CF">
        <w:rPr>
          <w:b/>
          <w:i/>
          <w:color w:val="FF0000"/>
        </w:rPr>
        <w:t xml:space="preserve"> </w:t>
      </w:r>
      <w:r w:rsidR="003B4F1E" w:rsidRPr="00BC78CF">
        <w:rPr>
          <w:color w:val="FF0000"/>
        </w:rPr>
        <w:t>has the meaning given by rule 1.10AA.</w:t>
      </w:r>
    </w:p>
    <w:p w14:paraId="61F93A5B" w14:textId="7BB7B8B5" w:rsidR="003B4F1E" w:rsidRPr="00BC78CF" w:rsidRDefault="00182338" w:rsidP="003B4F1E">
      <w:pPr>
        <w:pStyle w:val="Definition"/>
        <w:rPr>
          <w:b/>
          <w:i/>
          <w:color w:val="FF0000"/>
        </w:rPr>
      </w:pPr>
      <w:r w:rsidRPr="00BC78CF">
        <w:rPr>
          <w:b/>
          <w:i/>
          <w:color w:val="FF0000"/>
        </w:rPr>
        <w:t>CDR representative</w:t>
      </w:r>
      <w:r w:rsidR="003B4F1E" w:rsidRPr="00BC78CF">
        <w:rPr>
          <w:b/>
          <w:i/>
          <w:color w:val="FF0000"/>
        </w:rPr>
        <w:t xml:space="preserve"> arrangement</w:t>
      </w:r>
      <w:r w:rsidR="003B4F1E" w:rsidRPr="00BC78CF">
        <w:rPr>
          <w:color w:val="FF0000"/>
        </w:rPr>
        <w:t xml:space="preserve"> has the meaning given by rule 1.10AA.</w:t>
      </w:r>
    </w:p>
    <w:p w14:paraId="3140A215" w14:textId="51067BE3" w:rsidR="003B4F1E" w:rsidRPr="00BC78CF" w:rsidRDefault="003B4F1E" w:rsidP="003B4F1E">
      <w:pPr>
        <w:pStyle w:val="Definition"/>
        <w:rPr>
          <w:b/>
          <w:i/>
          <w:color w:val="FF0000"/>
        </w:rPr>
      </w:pPr>
      <w:r w:rsidRPr="00BC78CF">
        <w:rPr>
          <w:b/>
          <w:i/>
          <w:color w:val="FF0000"/>
        </w:rPr>
        <w:t xml:space="preserve">CDR principal </w:t>
      </w:r>
      <w:r w:rsidRPr="00BC78CF">
        <w:rPr>
          <w:color w:val="FF0000"/>
        </w:rPr>
        <w:t>has the meaning given by rule 1.10AA.</w:t>
      </w:r>
    </w:p>
    <w:p w14:paraId="459C1A0E" w14:textId="2F457A65" w:rsidR="00FE6A8A" w:rsidRPr="00BC78CF" w:rsidRDefault="00FE6A8A" w:rsidP="00FE6A8A">
      <w:pPr>
        <w:pStyle w:val="Definition"/>
        <w:rPr>
          <w:b/>
          <w:i/>
          <w:color w:val="FF0000"/>
        </w:rPr>
      </w:pPr>
      <w:r w:rsidRPr="00BC78CF">
        <w:rPr>
          <w:b/>
          <w:i/>
          <w:color w:val="FF0000"/>
        </w:rPr>
        <w:t xml:space="preserve">co-approval option </w:t>
      </w:r>
      <w:r w:rsidRPr="00BC78CF">
        <w:rPr>
          <w:color w:val="FF0000"/>
        </w:rPr>
        <w:t>has the meaning given by rule </w:t>
      </w:r>
      <w:r w:rsidR="000B1D10" w:rsidRPr="00BC78CF">
        <w:rPr>
          <w:color w:val="FF0000"/>
        </w:rPr>
        <w:t>4</w:t>
      </w:r>
      <w:r w:rsidR="00F976E0" w:rsidRPr="00BC78CF">
        <w:rPr>
          <w:color w:val="FF0000"/>
        </w:rPr>
        <w:t>A</w:t>
      </w:r>
      <w:r w:rsidR="000B1D10" w:rsidRPr="00BC78CF">
        <w:rPr>
          <w:color w:val="FF0000"/>
        </w:rPr>
        <w:t>.4</w:t>
      </w:r>
      <w:r w:rsidR="009D41D4" w:rsidRPr="00BC78CF">
        <w:rPr>
          <w:color w:val="FF0000"/>
        </w:rPr>
        <w:t>.</w:t>
      </w:r>
    </w:p>
    <w:p w14:paraId="0B136BCE" w14:textId="77777777" w:rsidR="00CF0E3D" w:rsidRPr="00771FEA" w:rsidRDefault="00CF0E3D" w:rsidP="00CF0E3D">
      <w:pPr>
        <w:pStyle w:val="Definition"/>
      </w:pPr>
      <w:r w:rsidRPr="00771FEA">
        <w:rPr>
          <w:b/>
          <w:i/>
        </w:rPr>
        <w:t xml:space="preserve">collection consent </w:t>
      </w:r>
      <w:r w:rsidRPr="00771FEA">
        <w:t>has the meaning given by rule 1.10A.</w:t>
      </w:r>
    </w:p>
    <w:p w14:paraId="031B65A0" w14:textId="77777777" w:rsidR="00CF0E3D" w:rsidRPr="00771FEA" w:rsidRDefault="00CF0E3D" w:rsidP="00CF0E3D">
      <w:pPr>
        <w:pStyle w:val="Definition"/>
        <w:rPr>
          <w:bCs/>
          <w:iCs/>
          <w:szCs w:val="22"/>
        </w:rPr>
      </w:pPr>
      <w:r w:rsidRPr="00771FEA">
        <w:rPr>
          <w:b/>
          <w:bCs/>
          <w:i/>
          <w:iCs/>
          <w:szCs w:val="22"/>
        </w:rPr>
        <w:t xml:space="preserve">consent </w:t>
      </w:r>
      <w:r w:rsidRPr="00771FEA">
        <w:rPr>
          <w:bCs/>
          <w:iCs/>
          <w:szCs w:val="22"/>
        </w:rPr>
        <w:t>means:</w:t>
      </w:r>
    </w:p>
    <w:p w14:paraId="4D166FE9" w14:textId="77777777" w:rsidR="00CF0E3D" w:rsidRPr="00771FEA" w:rsidRDefault="00CF0E3D" w:rsidP="00CF0E3D">
      <w:pPr>
        <w:pStyle w:val="paragraph"/>
      </w:pPr>
      <w:r w:rsidRPr="00771FEA">
        <w:tab/>
        <w:t>(a)</w:t>
      </w:r>
      <w:r w:rsidRPr="00771FEA">
        <w:tab/>
        <w:t>a collection consent, a use consent or a disclosure consent; or</w:t>
      </w:r>
    </w:p>
    <w:p w14:paraId="70D00DBE" w14:textId="77777777" w:rsidR="00CF0E3D" w:rsidRDefault="00CF0E3D" w:rsidP="00CF0E3D">
      <w:pPr>
        <w:pStyle w:val="paragraph"/>
      </w:pPr>
      <w:r w:rsidRPr="00771FEA">
        <w:tab/>
        <w:t>(b)</w:t>
      </w:r>
      <w:r w:rsidRPr="00771FEA">
        <w:tab/>
        <w:t>such a consent as amended in accordance with these rules.</w:t>
      </w:r>
    </w:p>
    <w:p w14:paraId="78AC2988" w14:textId="77777777" w:rsidR="00CF0E3D" w:rsidRPr="00B3173B" w:rsidRDefault="00CF0E3D" w:rsidP="00CF0E3D">
      <w:pPr>
        <w:pStyle w:val="Definition"/>
      </w:pPr>
      <w:r w:rsidRPr="00B3173B">
        <w:rPr>
          <w:b/>
          <w:i/>
        </w:rPr>
        <w:t>consumer dashboard</w:t>
      </w:r>
      <w:r w:rsidRPr="00B3173B">
        <w:t>:</w:t>
      </w:r>
    </w:p>
    <w:p w14:paraId="7FC23BD1" w14:textId="77777777" w:rsidR="00CF0E3D" w:rsidRPr="00B3173B" w:rsidRDefault="00CF0E3D" w:rsidP="00CF0E3D">
      <w:pPr>
        <w:pStyle w:val="paragraph"/>
      </w:pPr>
      <w:r w:rsidRPr="00B3173B">
        <w:tab/>
        <w:t>(</w:t>
      </w:r>
      <w:r>
        <w:t>a</w:t>
      </w:r>
      <w:r w:rsidRPr="00B3173B">
        <w:t>)</w:t>
      </w:r>
      <w:r w:rsidRPr="00B3173B">
        <w:tab/>
        <w:t>in relation to an accredited person—</w:t>
      </w:r>
      <w:r>
        <w:t>has the meaning given by</w:t>
      </w:r>
      <w:r w:rsidRPr="00B3173B">
        <w:t xml:space="preserve"> </w:t>
      </w:r>
      <w:r>
        <w:t>rule</w:t>
      </w:r>
      <w:r w:rsidRPr="00B3173B">
        <w:t> </w:t>
      </w:r>
      <w:r>
        <w:t>1.14; and</w:t>
      </w:r>
    </w:p>
    <w:p w14:paraId="597DB30A" w14:textId="08B10F6B" w:rsidR="00CF0E3D" w:rsidRPr="00B3173B" w:rsidRDefault="00CF0E3D" w:rsidP="00CF0E3D">
      <w:pPr>
        <w:pStyle w:val="paragraph"/>
      </w:pPr>
      <w:r w:rsidRPr="00B3173B">
        <w:tab/>
        <w:t>(</w:t>
      </w:r>
      <w:r>
        <w:t>b</w:t>
      </w:r>
      <w:r w:rsidRPr="00B3173B">
        <w:t>)</w:t>
      </w:r>
      <w:r w:rsidRPr="00B3173B">
        <w:tab/>
        <w:t>in relation to a data holder—</w:t>
      </w:r>
      <w:r>
        <w:t>has the meaning given by</w:t>
      </w:r>
      <w:r w:rsidR="006E4909" w:rsidRPr="00BC78CF">
        <w:rPr>
          <w:color w:val="FF0000"/>
        </w:rPr>
        <w:t xml:space="preserve"> rules 1.15 and 4A.15</w:t>
      </w:r>
      <w:r w:rsidR="006E4909" w:rsidRPr="00BC78CF">
        <w:rPr>
          <w:strike/>
          <w:color w:val="FF0000"/>
        </w:rPr>
        <w:t xml:space="preserve"> rule 1.15</w:t>
      </w:r>
      <w:r>
        <w:t>.</w:t>
      </w:r>
    </w:p>
    <w:p w14:paraId="464A790C" w14:textId="77777777" w:rsidR="00CF0E3D" w:rsidRPr="00F07699" w:rsidRDefault="00CF0E3D" w:rsidP="00CF0E3D">
      <w:pPr>
        <w:pStyle w:val="definition0"/>
        <w:shd w:val="clear" w:color="auto" w:fill="FFFFFF"/>
        <w:spacing w:before="180" w:beforeAutospacing="0" w:after="0" w:afterAutospacing="0"/>
        <w:ind w:left="1134"/>
        <w:rPr>
          <w:sz w:val="22"/>
          <w:szCs w:val="22"/>
        </w:rPr>
      </w:pPr>
      <w:r w:rsidRPr="00F07699">
        <w:rPr>
          <w:b/>
          <w:bCs/>
          <w:i/>
          <w:iCs/>
          <w:sz w:val="22"/>
          <w:szCs w:val="22"/>
        </w:rPr>
        <w:t>consumer data request</w:t>
      </w:r>
      <w:r w:rsidRPr="00F07699">
        <w:rPr>
          <w:sz w:val="22"/>
          <w:szCs w:val="22"/>
        </w:rPr>
        <w:t>:</w:t>
      </w:r>
    </w:p>
    <w:p w14:paraId="3212A936" w14:textId="77777777" w:rsidR="00CF0E3D" w:rsidRPr="00F07699" w:rsidRDefault="00CF0E3D" w:rsidP="00CF0E3D">
      <w:pPr>
        <w:pStyle w:val="paragraph"/>
      </w:pPr>
      <w:r w:rsidRPr="00F07699">
        <w:tab/>
        <w:t>(a)</w:t>
      </w:r>
      <w:r w:rsidRPr="00F07699">
        <w:tab/>
        <w:t>by a CDR consumer—has the meaning given by rule 3.3; and</w:t>
      </w:r>
    </w:p>
    <w:p w14:paraId="10F24D05" w14:textId="77777777" w:rsidR="00CF0E3D" w:rsidRPr="00771FEA" w:rsidRDefault="00CF0E3D" w:rsidP="00CF0E3D">
      <w:pPr>
        <w:pStyle w:val="paragraph"/>
      </w:pPr>
      <w:r w:rsidRPr="00F07699">
        <w:tab/>
        <w:t>(b)</w:t>
      </w:r>
      <w:r w:rsidRPr="00F07699">
        <w:tab/>
        <w:t>by an accredited person on behalf of a CDR consumer—has the meaning given by rule 4.</w:t>
      </w:r>
      <w:r w:rsidRPr="00771FEA">
        <w:t>4 or rule 4.7A.</w:t>
      </w:r>
    </w:p>
    <w:p w14:paraId="3A816879" w14:textId="77777777" w:rsidR="00CF0E3D" w:rsidRPr="00771FEA" w:rsidRDefault="00CF0E3D" w:rsidP="00CF0E3D">
      <w:pPr>
        <w:pStyle w:val="notetext"/>
      </w:pPr>
      <w:r w:rsidRPr="00771FEA">
        <w:t>Note:</w:t>
      </w:r>
      <w:r w:rsidRPr="00771FEA">
        <w:tab/>
        <w:t>The different types of consumer data request are summarised in the following table:</w:t>
      </w:r>
    </w:p>
    <w:p w14:paraId="1191B184" w14:textId="77777777" w:rsidR="00CF0E3D" w:rsidRPr="00771FEA" w:rsidRDefault="00CF0E3D" w:rsidP="00CF0E3D">
      <w:pPr>
        <w:pStyle w:val="note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8"/>
        <w:gridCol w:w="2078"/>
        <w:gridCol w:w="2078"/>
        <w:gridCol w:w="2079"/>
      </w:tblGrid>
      <w:tr w:rsidR="00CF0E3D" w:rsidRPr="00771FEA" w14:paraId="0C4843B2" w14:textId="77777777" w:rsidTr="007941AE">
        <w:trPr>
          <w:tblHeader/>
        </w:trPr>
        <w:tc>
          <w:tcPr>
            <w:tcW w:w="2078" w:type="dxa"/>
            <w:tcBorders>
              <w:top w:val="single" w:sz="12" w:space="0" w:color="auto"/>
              <w:bottom w:val="single" w:sz="12" w:space="0" w:color="auto"/>
            </w:tcBorders>
          </w:tcPr>
          <w:p w14:paraId="1D53DA57" w14:textId="77777777" w:rsidR="00CF0E3D" w:rsidRPr="00771FEA" w:rsidRDefault="00CF0E3D" w:rsidP="007941AE">
            <w:pPr>
              <w:pStyle w:val="notepara"/>
              <w:ind w:left="0" w:firstLine="0"/>
              <w:rPr>
                <w:b/>
              </w:rPr>
            </w:pPr>
            <w:r w:rsidRPr="00771FEA">
              <w:rPr>
                <w:b/>
              </w:rPr>
              <w:t>A consumer data request made under:</w:t>
            </w:r>
          </w:p>
        </w:tc>
        <w:tc>
          <w:tcPr>
            <w:tcW w:w="2078" w:type="dxa"/>
            <w:tcBorders>
              <w:top w:val="single" w:sz="12" w:space="0" w:color="auto"/>
              <w:bottom w:val="single" w:sz="12" w:space="0" w:color="auto"/>
            </w:tcBorders>
          </w:tcPr>
          <w:p w14:paraId="34EBF6BA" w14:textId="77777777" w:rsidR="00CF0E3D" w:rsidRPr="00771FEA" w:rsidRDefault="00CF0E3D" w:rsidP="007941AE">
            <w:pPr>
              <w:pStyle w:val="notepara"/>
              <w:ind w:left="0" w:firstLine="0"/>
              <w:rPr>
                <w:b/>
              </w:rPr>
            </w:pPr>
            <w:r w:rsidRPr="00771FEA">
              <w:rPr>
                <w:b/>
              </w:rPr>
              <w:t>is made by:</w:t>
            </w:r>
          </w:p>
        </w:tc>
        <w:tc>
          <w:tcPr>
            <w:tcW w:w="2078" w:type="dxa"/>
            <w:tcBorders>
              <w:top w:val="single" w:sz="12" w:space="0" w:color="auto"/>
              <w:bottom w:val="single" w:sz="12" w:space="0" w:color="auto"/>
            </w:tcBorders>
          </w:tcPr>
          <w:p w14:paraId="5B64FD1C" w14:textId="77777777" w:rsidR="00CF0E3D" w:rsidRPr="00771FEA" w:rsidRDefault="00CF0E3D" w:rsidP="007941AE">
            <w:pPr>
              <w:pStyle w:val="notepara"/>
              <w:ind w:left="0" w:firstLine="0"/>
              <w:rPr>
                <w:b/>
              </w:rPr>
            </w:pPr>
            <w:r w:rsidRPr="00771FEA">
              <w:rPr>
                <w:b/>
              </w:rPr>
              <w:t>to:</w:t>
            </w:r>
          </w:p>
        </w:tc>
        <w:tc>
          <w:tcPr>
            <w:tcW w:w="2079" w:type="dxa"/>
            <w:tcBorders>
              <w:top w:val="single" w:sz="12" w:space="0" w:color="auto"/>
              <w:bottom w:val="single" w:sz="12" w:space="0" w:color="auto"/>
            </w:tcBorders>
          </w:tcPr>
          <w:p w14:paraId="4C4EF636" w14:textId="77777777" w:rsidR="00CF0E3D" w:rsidRPr="00771FEA" w:rsidRDefault="00CF0E3D" w:rsidP="007941AE">
            <w:pPr>
              <w:pStyle w:val="notepara"/>
              <w:ind w:left="0" w:firstLine="0"/>
              <w:rPr>
                <w:b/>
              </w:rPr>
            </w:pPr>
            <w:r w:rsidRPr="00771FEA">
              <w:rPr>
                <w:b/>
              </w:rPr>
              <w:t>for disclosure of CDR data to:</w:t>
            </w:r>
          </w:p>
        </w:tc>
      </w:tr>
      <w:tr w:rsidR="00CF0E3D" w:rsidRPr="00771FEA" w14:paraId="26766803" w14:textId="77777777" w:rsidTr="007941AE">
        <w:tc>
          <w:tcPr>
            <w:tcW w:w="2078" w:type="dxa"/>
            <w:tcBorders>
              <w:top w:val="single" w:sz="12" w:space="0" w:color="auto"/>
              <w:bottom w:val="single" w:sz="2" w:space="0" w:color="auto"/>
            </w:tcBorders>
          </w:tcPr>
          <w:p w14:paraId="4B59C17B" w14:textId="77777777" w:rsidR="00CF0E3D" w:rsidRPr="00771FEA" w:rsidRDefault="00CF0E3D" w:rsidP="007941AE">
            <w:pPr>
              <w:pStyle w:val="notepara"/>
              <w:ind w:left="0" w:firstLine="0"/>
            </w:pPr>
            <w:r w:rsidRPr="00771FEA">
              <w:t>rule 3.3</w:t>
            </w:r>
          </w:p>
        </w:tc>
        <w:tc>
          <w:tcPr>
            <w:tcW w:w="2078" w:type="dxa"/>
            <w:tcBorders>
              <w:top w:val="single" w:sz="12" w:space="0" w:color="auto"/>
              <w:bottom w:val="single" w:sz="2" w:space="0" w:color="auto"/>
            </w:tcBorders>
          </w:tcPr>
          <w:p w14:paraId="4D605FE7" w14:textId="77777777" w:rsidR="00CF0E3D" w:rsidRPr="00771FEA" w:rsidRDefault="00CF0E3D" w:rsidP="007941AE">
            <w:pPr>
              <w:pStyle w:val="notepara"/>
              <w:ind w:left="0" w:firstLine="0"/>
            </w:pPr>
            <w:r w:rsidRPr="00771FEA">
              <w:t>a CDR consumer</w:t>
            </w:r>
          </w:p>
        </w:tc>
        <w:tc>
          <w:tcPr>
            <w:tcW w:w="2078" w:type="dxa"/>
            <w:tcBorders>
              <w:top w:val="single" w:sz="12" w:space="0" w:color="auto"/>
              <w:bottom w:val="single" w:sz="2" w:space="0" w:color="auto"/>
            </w:tcBorders>
          </w:tcPr>
          <w:p w14:paraId="054C010E" w14:textId="77777777" w:rsidR="00CF0E3D" w:rsidRPr="00771FEA" w:rsidRDefault="00CF0E3D" w:rsidP="007941AE">
            <w:pPr>
              <w:pStyle w:val="notepara"/>
              <w:ind w:left="0" w:firstLine="0"/>
            </w:pPr>
            <w:r w:rsidRPr="00771FEA">
              <w:t>a data holder</w:t>
            </w:r>
          </w:p>
        </w:tc>
        <w:tc>
          <w:tcPr>
            <w:tcW w:w="2079" w:type="dxa"/>
            <w:tcBorders>
              <w:top w:val="single" w:sz="12" w:space="0" w:color="auto"/>
              <w:bottom w:val="single" w:sz="2" w:space="0" w:color="auto"/>
            </w:tcBorders>
          </w:tcPr>
          <w:p w14:paraId="4FD12B49" w14:textId="77777777" w:rsidR="00CF0E3D" w:rsidRPr="00771FEA" w:rsidRDefault="00CF0E3D" w:rsidP="007941AE">
            <w:pPr>
              <w:pStyle w:val="notepara"/>
              <w:ind w:left="0" w:firstLine="0"/>
            </w:pPr>
            <w:r w:rsidRPr="00771FEA">
              <w:t>the CDR consumer</w:t>
            </w:r>
          </w:p>
        </w:tc>
      </w:tr>
      <w:tr w:rsidR="00CF0E3D" w:rsidRPr="00771FEA" w14:paraId="4FB25ADC" w14:textId="77777777" w:rsidTr="007941AE">
        <w:tc>
          <w:tcPr>
            <w:tcW w:w="2078" w:type="dxa"/>
            <w:tcBorders>
              <w:top w:val="single" w:sz="2" w:space="0" w:color="auto"/>
              <w:bottom w:val="single" w:sz="2" w:space="0" w:color="auto"/>
            </w:tcBorders>
          </w:tcPr>
          <w:p w14:paraId="2781026C" w14:textId="77777777" w:rsidR="00CF0E3D" w:rsidRPr="00771FEA" w:rsidRDefault="00CF0E3D" w:rsidP="007941AE">
            <w:pPr>
              <w:pStyle w:val="notepara"/>
              <w:ind w:left="0" w:firstLine="0"/>
            </w:pPr>
            <w:r w:rsidRPr="00771FEA">
              <w:t>rule 4.4</w:t>
            </w:r>
          </w:p>
        </w:tc>
        <w:tc>
          <w:tcPr>
            <w:tcW w:w="2078" w:type="dxa"/>
            <w:tcBorders>
              <w:top w:val="single" w:sz="2" w:space="0" w:color="auto"/>
              <w:bottom w:val="single" w:sz="2" w:space="0" w:color="auto"/>
            </w:tcBorders>
          </w:tcPr>
          <w:p w14:paraId="1B46C014" w14:textId="77777777" w:rsidR="00CF0E3D" w:rsidRPr="00771FEA" w:rsidRDefault="00CF0E3D" w:rsidP="007941AE">
            <w:pPr>
              <w:pStyle w:val="notepara"/>
              <w:ind w:left="0" w:firstLine="0"/>
            </w:pPr>
            <w:r w:rsidRPr="00771FEA">
              <w:t>an accredited person on behalf of a CDR consumer</w:t>
            </w:r>
          </w:p>
        </w:tc>
        <w:tc>
          <w:tcPr>
            <w:tcW w:w="2078" w:type="dxa"/>
            <w:tcBorders>
              <w:top w:val="single" w:sz="2" w:space="0" w:color="auto"/>
              <w:bottom w:val="single" w:sz="2" w:space="0" w:color="auto"/>
            </w:tcBorders>
          </w:tcPr>
          <w:p w14:paraId="044386C0" w14:textId="77777777" w:rsidR="00CF0E3D" w:rsidRPr="00771FEA" w:rsidRDefault="00CF0E3D" w:rsidP="007941AE">
            <w:pPr>
              <w:pStyle w:val="notepara"/>
              <w:ind w:left="0" w:firstLine="0"/>
            </w:pPr>
            <w:r w:rsidRPr="00771FEA">
              <w:t>a data holder</w:t>
            </w:r>
          </w:p>
        </w:tc>
        <w:tc>
          <w:tcPr>
            <w:tcW w:w="2079" w:type="dxa"/>
            <w:tcBorders>
              <w:top w:val="single" w:sz="2" w:space="0" w:color="auto"/>
              <w:bottom w:val="single" w:sz="2" w:space="0" w:color="auto"/>
            </w:tcBorders>
          </w:tcPr>
          <w:p w14:paraId="2D95322B" w14:textId="77777777" w:rsidR="00CF0E3D" w:rsidRPr="00771FEA" w:rsidRDefault="00CF0E3D" w:rsidP="007941AE">
            <w:pPr>
              <w:pStyle w:val="notepara"/>
              <w:ind w:left="0" w:firstLine="0"/>
            </w:pPr>
            <w:r w:rsidRPr="00771FEA">
              <w:t>the accredited person</w:t>
            </w:r>
          </w:p>
        </w:tc>
      </w:tr>
      <w:tr w:rsidR="00CF0E3D" w:rsidRPr="00771FEA" w14:paraId="1A3A9377" w14:textId="77777777" w:rsidTr="007941AE">
        <w:tc>
          <w:tcPr>
            <w:tcW w:w="2078" w:type="dxa"/>
            <w:tcBorders>
              <w:top w:val="single" w:sz="2" w:space="0" w:color="auto"/>
              <w:bottom w:val="single" w:sz="2" w:space="0" w:color="auto"/>
            </w:tcBorders>
          </w:tcPr>
          <w:p w14:paraId="08548F74" w14:textId="77777777" w:rsidR="00CF0E3D" w:rsidRPr="00771FEA" w:rsidRDefault="00CF0E3D" w:rsidP="007941AE">
            <w:pPr>
              <w:pStyle w:val="notepara"/>
              <w:ind w:left="0" w:firstLine="0"/>
            </w:pPr>
            <w:r w:rsidRPr="00771FEA">
              <w:t>rule 4.7A</w:t>
            </w:r>
          </w:p>
        </w:tc>
        <w:tc>
          <w:tcPr>
            <w:tcW w:w="2078" w:type="dxa"/>
            <w:tcBorders>
              <w:top w:val="single" w:sz="2" w:space="0" w:color="auto"/>
              <w:bottom w:val="single" w:sz="2" w:space="0" w:color="auto"/>
            </w:tcBorders>
          </w:tcPr>
          <w:p w14:paraId="2F100D57" w14:textId="77777777" w:rsidR="00CF0E3D" w:rsidRPr="00771FEA" w:rsidRDefault="00CF0E3D" w:rsidP="007941AE">
            <w:pPr>
              <w:pStyle w:val="notepara"/>
              <w:ind w:left="0" w:firstLine="0"/>
            </w:pPr>
            <w:r w:rsidRPr="00771FEA">
              <w:t>an accredited person on behalf of a CDR consumer</w:t>
            </w:r>
          </w:p>
        </w:tc>
        <w:tc>
          <w:tcPr>
            <w:tcW w:w="2078" w:type="dxa"/>
            <w:tcBorders>
              <w:top w:val="single" w:sz="2" w:space="0" w:color="auto"/>
              <w:bottom w:val="single" w:sz="2" w:space="0" w:color="auto"/>
            </w:tcBorders>
          </w:tcPr>
          <w:p w14:paraId="15DC7EED" w14:textId="77777777" w:rsidR="00CF0E3D" w:rsidRPr="00771FEA" w:rsidRDefault="00CF0E3D" w:rsidP="007941AE">
            <w:pPr>
              <w:pStyle w:val="notepara"/>
              <w:ind w:left="0" w:firstLine="0"/>
            </w:pPr>
            <w:r w:rsidRPr="00771FEA">
              <w:t>an accredited data recipient</w:t>
            </w:r>
          </w:p>
        </w:tc>
        <w:tc>
          <w:tcPr>
            <w:tcW w:w="2079" w:type="dxa"/>
            <w:tcBorders>
              <w:top w:val="single" w:sz="2" w:space="0" w:color="auto"/>
              <w:bottom w:val="single" w:sz="2" w:space="0" w:color="auto"/>
            </w:tcBorders>
          </w:tcPr>
          <w:p w14:paraId="46FE060A" w14:textId="77777777" w:rsidR="00CF0E3D" w:rsidRPr="00771FEA" w:rsidRDefault="00CF0E3D" w:rsidP="007941AE">
            <w:pPr>
              <w:pStyle w:val="notepara"/>
              <w:ind w:left="0" w:firstLine="0"/>
            </w:pPr>
            <w:r w:rsidRPr="00771FEA">
              <w:t>the accredited person</w:t>
            </w:r>
          </w:p>
        </w:tc>
      </w:tr>
    </w:tbl>
    <w:p w14:paraId="5437E9F0" w14:textId="77777777" w:rsidR="00CF0E3D" w:rsidRPr="00641354" w:rsidRDefault="00CF0E3D" w:rsidP="00CF0E3D">
      <w:pPr>
        <w:pStyle w:val="Definition"/>
      </w:pPr>
      <w:r w:rsidRPr="00641354">
        <w:rPr>
          <w:b/>
          <w:i/>
        </w:rPr>
        <w:t>current</w:t>
      </w:r>
      <w:r w:rsidRPr="00641354">
        <w:t>:</w:t>
      </w:r>
    </w:p>
    <w:p w14:paraId="00166E63" w14:textId="77777777" w:rsidR="00CF0E3D" w:rsidRPr="00641354" w:rsidRDefault="00CF0E3D" w:rsidP="00CF0E3D">
      <w:pPr>
        <w:pStyle w:val="paragraph"/>
      </w:pPr>
      <w:r w:rsidRPr="00641354">
        <w:tab/>
        <w:t>(a)</w:t>
      </w:r>
      <w:r w:rsidRPr="00641354">
        <w:tab/>
        <w:t xml:space="preserve">a </w:t>
      </w:r>
      <w:r>
        <w:t>consent</w:t>
      </w:r>
      <w:r w:rsidRPr="00641354">
        <w:t xml:space="preserve"> is </w:t>
      </w:r>
      <w:r w:rsidRPr="00641354">
        <w:rPr>
          <w:b/>
          <w:i/>
        </w:rPr>
        <w:t xml:space="preserve">current </w:t>
      </w:r>
      <w:r w:rsidRPr="00641354">
        <w:t xml:space="preserve">if it has not expired in accordance with </w:t>
      </w:r>
      <w:r>
        <w:t>rule</w:t>
      </w:r>
      <w:r w:rsidRPr="00641354">
        <w:t> </w:t>
      </w:r>
      <w:r>
        <w:t>4.14</w:t>
      </w:r>
      <w:r w:rsidRPr="00641354">
        <w:t>; and</w:t>
      </w:r>
    </w:p>
    <w:p w14:paraId="77958967" w14:textId="77777777" w:rsidR="00CF0E3D" w:rsidRPr="00641354" w:rsidRDefault="00CF0E3D" w:rsidP="00CF0E3D">
      <w:pPr>
        <w:pStyle w:val="paragraph"/>
      </w:pPr>
      <w:r w:rsidRPr="00641354">
        <w:tab/>
        <w:t>(</w:t>
      </w:r>
      <w:r w:rsidRPr="00E1300D">
        <w:t>b</w:t>
      </w:r>
      <w:r w:rsidRPr="00641354">
        <w:t>)</w:t>
      </w:r>
      <w:r w:rsidRPr="00641354">
        <w:tab/>
        <w:t>a</w:t>
      </w:r>
      <w:r>
        <w:t>n</w:t>
      </w:r>
      <w:r w:rsidRPr="00641354">
        <w:t xml:space="preserve"> </w:t>
      </w:r>
      <w:r>
        <w:t>authorisation</w:t>
      </w:r>
      <w:r w:rsidRPr="00641354">
        <w:t xml:space="preserve"> </w:t>
      </w:r>
      <w:r>
        <w:t xml:space="preserve">to disclose particular CDR data </w:t>
      </w:r>
      <w:r w:rsidRPr="00641354">
        <w:t xml:space="preserve">is </w:t>
      </w:r>
      <w:r w:rsidRPr="00641354">
        <w:rPr>
          <w:b/>
          <w:i/>
        </w:rPr>
        <w:t xml:space="preserve">current </w:t>
      </w:r>
      <w:r w:rsidRPr="00641354">
        <w:t xml:space="preserve">if it has not expired in accordance with </w:t>
      </w:r>
      <w:r>
        <w:t>rule</w:t>
      </w:r>
      <w:r w:rsidRPr="00641354">
        <w:t> </w:t>
      </w:r>
      <w:r>
        <w:t>4.26</w:t>
      </w:r>
      <w:r w:rsidRPr="00641354">
        <w:t>.</w:t>
      </w:r>
    </w:p>
    <w:p w14:paraId="3EC53286" w14:textId="77777777" w:rsidR="00CF0E3D" w:rsidRPr="00771FEA" w:rsidRDefault="00CF0E3D" w:rsidP="00CF0E3D">
      <w:pPr>
        <w:pStyle w:val="notetext"/>
      </w:pPr>
      <w:r w:rsidRPr="00771FEA">
        <w:t>Note:</w:t>
      </w:r>
      <w:r w:rsidRPr="00771FEA">
        <w:tab/>
        <w:t>For paragraph (a), there are the following 3 kinds of consent:</w:t>
      </w:r>
    </w:p>
    <w:p w14:paraId="2E301AC5" w14:textId="77777777" w:rsidR="00CF0E3D" w:rsidRPr="00771FEA" w:rsidRDefault="00CF0E3D" w:rsidP="00CF0E3D">
      <w:pPr>
        <w:pStyle w:val="notepara"/>
      </w:pPr>
      <w:r w:rsidRPr="00771FEA">
        <w:sym w:font="Symbol" w:char="F0B7"/>
      </w:r>
      <w:r w:rsidRPr="00771FEA">
        <w:tab/>
        <w:t>collection consents;</w:t>
      </w:r>
    </w:p>
    <w:p w14:paraId="067FB41D" w14:textId="77777777" w:rsidR="00CF0E3D" w:rsidRPr="00771FEA" w:rsidRDefault="00CF0E3D" w:rsidP="00CF0E3D">
      <w:pPr>
        <w:pStyle w:val="notepara"/>
      </w:pPr>
      <w:r w:rsidRPr="00771FEA">
        <w:sym w:font="Symbol" w:char="F0B7"/>
      </w:r>
      <w:r w:rsidRPr="00771FEA">
        <w:tab/>
        <w:t>use consents;</w:t>
      </w:r>
    </w:p>
    <w:p w14:paraId="6C2D6704" w14:textId="77777777" w:rsidR="00CF0E3D" w:rsidRPr="00771FEA" w:rsidRDefault="00CF0E3D" w:rsidP="00CF0E3D">
      <w:pPr>
        <w:pStyle w:val="notepara"/>
      </w:pPr>
      <w:r w:rsidRPr="00771FEA">
        <w:sym w:font="Symbol" w:char="F0B7"/>
      </w:r>
      <w:r w:rsidRPr="00771FEA">
        <w:tab/>
        <w:t>disclosure consents.</w:t>
      </w:r>
    </w:p>
    <w:p w14:paraId="24D60448" w14:textId="77777777" w:rsidR="00CF0E3D" w:rsidRPr="0023036E" w:rsidRDefault="00CF0E3D" w:rsidP="00CF0E3D">
      <w:pPr>
        <w:pStyle w:val="Definition"/>
      </w:pPr>
      <w:r w:rsidRPr="0023036E">
        <w:rPr>
          <w:b/>
          <w:i/>
        </w:rPr>
        <w:t xml:space="preserve">data holder </w:t>
      </w:r>
      <w:r w:rsidRPr="0023036E">
        <w:t>has a meaning affected by subrule</w:t>
      </w:r>
      <w:r>
        <w:t> (2)</w:t>
      </w:r>
      <w:r w:rsidRPr="0023036E">
        <w:t>.</w:t>
      </w:r>
    </w:p>
    <w:p w14:paraId="416F1380" w14:textId="77777777" w:rsidR="00CF0E3D" w:rsidRPr="00796ADB" w:rsidRDefault="00CF0E3D" w:rsidP="00CF0E3D">
      <w:pPr>
        <w:pStyle w:val="notetext"/>
      </w:pPr>
      <w:r w:rsidRPr="00796ADB">
        <w:t>Note:</w:t>
      </w:r>
      <w:r w:rsidRPr="00796ADB">
        <w:tab/>
        <w:t>The term “data holder” is defined in the Act: see subsection 56AJ of the Act. Subrule </w:t>
      </w:r>
      <w:r>
        <w:t>(2)</w:t>
      </w:r>
      <w:r w:rsidRPr="00796ADB">
        <w:t xml:space="preserve"> deals with the usage of this term in these rules.</w:t>
      </w:r>
    </w:p>
    <w:p w14:paraId="5D4BEB11" w14:textId="77777777" w:rsidR="00CF0E3D" w:rsidRPr="00E1300D" w:rsidRDefault="00CF0E3D" w:rsidP="00CF0E3D">
      <w:pPr>
        <w:pStyle w:val="Definition"/>
        <w:rPr>
          <w:color w:val="000000" w:themeColor="text1"/>
        </w:rPr>
      </w:pPr>
      <w:r w:rsidRPr="006F4A42">
        <w:rPr>
          <w:b/>
          <w:i/>
        </w:rPr>
        <w:t>data minimisation principle</w:t>
      </w:r>
      <w:r>
        <w:rPr>
          <w:b/>
          <w:i/>
        </w:rPr>
        <w:t xml:space="preserve"> </w:t>
      </w:r>
      <w:r w:rsidRPr="00E1300D">
        <w:t>has the meaning given by rule </w:t>
      </w:r>
      <w:r>
        <w:t>1.8</w:t>
      </w:r>
      <w:r w:rsidRPr="00E1300D">
        <w:rPr>
          <w:color w:val="000000" w:themeColor="text1"/>
        </w:rPr>
        <w:t>.</w:t>
      </w:r>
    </w:p>
    <w:p w14:paraId="4485D5A6" w14:textId="77777777" w:rsidR="00CF0E3D" w:rsidRPr="00964EDA" w:rsidRDefault="00CF0E3D" w:rsidP="00CF0E3D">
      <w:pPr>
        <w:pStyle w:val="Definition"/>
        <w:rPr>
          <w:color w:val="000000"/>
        </w:rPr>
      </w:pPr>
      <w:r w:rsidRPr="00964EDA">
        <w:rPr>
          <w:b/>
          <w:i/>
          <w:color w:val="000000"/>
        </w:rPr>
        <w:t xml:space="preserve">Data Standards Advisory </w:t>
      </w:r>
      <w:r>
        <w:rPr>
          <w:b/>
          <w:i/>
          <w:color w:val="000000"/>
        </w:rPr>
        <w:t>Committee</w:t>
      </w:r>
      <w:r w:rsidRPr="00964EDA">
        <w:rPr>
          <w:b/>
          <w:i/>
          <w:color w:val="000000"/>
        </w:rPr>
        <w:t xml:space="preserve"> </w:t>
      </w:r>
      <w:r>
        <w:rPr>
          <w:color w:val="000000"/>
        </w:rPr>
        <w:t>has the meaning given by</w:t>
      </w:r>
      <w:r w:rsidRPr="00964EDA">
        <w:rPr>
          <w:color w:val="000000"/>
        </w:rPr>
        <w:t xml:space="preserve"> </w:t>
      </w:r>
      <w:r>
        <w:rPr>
          <w:color w:val="000000"/>
        </w:rPr>
        <w:t>rule</w:t>
      </w:r>
      <w:r w:rsidRPr="00964EDA">
        <w:rPr>
          <w:color w:val="000000"/>
        </w:rPr>
        <w:t> </w:t>
      </w:r>
      <w:r>
        <w:rPr>
          <w:color w:val="000000"/>
        </w:rPr>
        <w:t>8.2</w:t>
      </w:r>
      <w:r w:rsidRPr="00964EDA">
        <w:rPr>
          <w:color w:val="000000"/>
        </w:rPr>
        <w:t>.</w:t>
      </w:r>
    </w:p>
    <w:p w14:paraId="5D621F6A" w14:textId="77777777" w:rsidR="00CF0E3D" w:rsidRPr="00B61E66" w:rsidRDefault="00CF0E3D" w:rsidP="00CF0E3D">
      <w:pPr>
        <w:pStyle w:val="Definition"/>
        <w:rPr>
          <w:szCs w:val="22"/>
        </w:rPr>
      </w:pPr>
      <w:r w:rsidRPr="00A32529">
        <w:rPr>
          <w:b/>
          <w:bCs/>
          <w:i/>
          <w:iCs/>
        </w:rPr>
        <w:t>de-identification consent</w:t>
      </w:r>
      <w:r w:rsidRPr="00B61E66">
        <w:t xml:space="preserve"> has the meaning given by rule 1.10A.</w:t>
      </w:r>
    </w:p>
    <w:p w14:paraId="185C04BF" w14:textId="77777777" w:rsidR="00CF0E3D" w:rsidRPr="00B61E66" w:rsidRDefault="00CF0E3D" w:rsidP="00CF0E3D">
      <w:pPr>
        <w:pStyle w:val="Definition"/>
      </w:pPr>
      <w:r w:rsidRPr="00B61E66">
        <w:rPr>
          <w:b/>
          <w:i/>
        </w:rPr>
        <w:t xml:space="preserve">direct marketing </w:t>
      </w:r>
      <w:r w:rsidRPr="00A32529">
        <w:rPr>
          <w:b/>
          <w:i/>
        </w:rPr>
        <w:t>consent</w:t>
      </w:r>
      <w:r w:rsidRPr="004F7FBE">
        <w:rPr>
          <w:b/>
          <w:i/>
        </w:rPr>
        <w:t xml:space="preserve"> </w:t>
      </w:r>
      <w:r w:rsidRPr="00B61E66">
        <w:t>has the meaning given by rule 1.10A.</w:t>
      </w:r>
    </w:p>
    <w:p w14:paraId="1D2EC1B2" w14:textId="77777777" w:rsidR="00CF0E3D" w:rsidRPr="00F87C2B" w:rsidRDefault="00CF0E3D" w:rsidP="00CF0E3D">
      <w:pPr>
        <w:pStyle w:val="Definition"/>
      </w:pPr>
      <w:r w:rsidRPr="00641354">
        <w:rPr>
          <w:b/>
          <w:i/>
        </w:rPr>
        <w:t>direct request</w:t>
      </w:r>
      <w:r>
        <w:rPr>
          <w:b/>
          <w:i/>
        </w:rPr>
        <w:t xml:space="preserve"> service </w:t>
      </w:r>
      <w:r>
        <w:t>has the meaning given by subrule 1.13(2).</w:t>
      </w:r>
    </w:p>
    <w:p w14:paraId="25C986E2" w14:textId="77777777" w:rsidR="00CF0E3D" w:rsidRDefault="00CF0E3D" w:rsidP="00CF0E3D">
      <w:pPr>
        <w:pStyle w:val="Definition"/>
      </w:pPr>
      <w:r w:rsidRPr="00771FEA">
        <w:rPr>
          <w:b/>
          <w:i/>
        </w:rPr>
        <w:t xml:space="preserve">disclosure consent </w:t>
      </w:r>
      <w:r w:rsidRPr="00771FEA">
        <w:t>has the meaning given by rule 1.10A.</w:t>
      </w:r>
    </w:p>
    <w:p w14:paraId="0E321B28" w14:textId="2EE7AFE8" w:rsidR="00FE6A8A" w:rsidRPr="00BC78CF" w:rsidRDefault="00FE6A8A" w:rsidP="00FE6A8A">
      <w:pPr>
        <w:pStyle w:val="Definition"/>
        <w:rPr>
          <w:b/>
          <w:i/>
          <w:color w:val="FF0000"/>
        </w:rPr>
      </w:pPr>
      <w:r w:rsidRPr="00BC78CF">
        <w:rPr>
          <w:b/>
          <w:i/>
          <w:color w:val="FF0000"/>
        </w:rPr>
        <w:t xml:space="preserve">disclosure option </w:t>
      </w:r>
      <w:r w:rsidRPr="00BC78CF">
        <w:rPr>
          <w:color w:val="FF0000"/>
        </w:rPr>
        <w:t>has the meaning given by rule </w:t>
      </w:r>
      <w:r w:rsidR="000B1D10" w:rsidRPr="00BC78CF">
        <w:rPr>
          <w:color w:val="FF0000"/>
        </w:rPr>
        <w:t>4</w:t>
      </w:r>
      <w:r w:rsidR="00F976E0" w:rsidRPr="00BC78CF">
        <w:rPr>
          <w:color w:val="FF0000"/>
        </w:rPr>
        <w:t>A</w:t>
      </w:r>
      <w:r w:rsidR="000B1D10" w:rsidRPr="00BC78CF">
        <w:rPr>
          <w:color w:val="FF0000"/>
        </w:rPr>
        <w:t>.4</w:t>
      </w:r>
      <w:r w:rsidRPr="00BC78CF">
        <w:rPr>
          <w:color w:val="FF0000"/>
        </w:rPr>
        <w:t>.</w:t>
      </w:r>
    </w:p>
    <w:p w14:paraId="39881387" w14:textId="7CE4CFD4" w:rsidR="00F55D7E" w:rsidRPr="00BC78CF" w:rsidRDefault="00F55D7E" w:rsidP="00F55D7E">
      <w:pPr>
        <w:pStyle w:val="Definition"/>
        <w:rPr>
          <w:color w:val="FF0000"/>
        </w:rPr>
      </w:pPr>
      <w:r w:rsidRPr="00BC78CF">
        <w:rPr>
          <w:b/>
          <w:i/>
          <w:color w:val="FF0000"/>
        </w:rPr>
        <w:t xml:space="preserve">disclosure option management service </w:t>
      </w:r>
      <w:r w:rsidRPr="00BC78CF">
        <w:rPr>
          <w:color w:val="FF0000"/>
        </w:rPr>
        <w:t>has the meaning given by rule </w:t>
      </w:r>
      <w:r w:rsidR="000B1D10" w:rsidRPr="00BC78CF">
        <w:rPr>
          <w:color w:val="FF0000"/>
        </w:rPr>
        <w:t>4</w:t>
      </w:r>
      <w:r w:rsidR="00F976E0" w:rsidRPr="00BC78CF">
        <w:rPr>
          <w:color w:val="FF0000"/>
        </w:rPr>
        <w:t>A</w:t>
      </w:r>
      <w:r w:rsidR="000B1D10" w:rsidRPr="00BC78CF">
        <w:rPr>
          <w:color w:val="FF0000"/>
        </w:rPr>
        <w:t>.5</w:t>
      </w:r>
      <w:r w:rsidRPr="00BC78CF">
        <w:rPr>
          <w:color w:val="FF0000"/>
        </w:rPr>
        <w:t>.</w:t>
      </w:r>
    </w:p>
    <w:p w14:paraId="531512D2" w14:textId="77777777" w:rsidR="002E1052" w:rsidRPr="007E7FBF" w:rsidRDefault="002E1052" w:rsidP="00CF0E3D">
      <w:pPr>
        <w:pStyle w:val="Definition"/>
        <w:rPr>
          <w:szCs w:val="22"/>
          <w:shd w:val="clear" w:color="auto" w:fill="FFFFFF"/>
        </w:rPr>
      </w:pPr>
      <w:r w:rsidRPr="007E7FBF">
        <w:rPr>
          <w:b/>
          <w:bCs/>
          <w:i/>
          <w:iCs/>
          <w:szCs w:val="22"/>
          <w:shd w:val="clear" w:color="auto" w:fill="FFFFFF"/>
        </w:rPr>
        <w:t>eligible</w:t>
      </w:r>
      <w:r w:rsidRPr="007E7FBF">
        <w:rPr>
          <w:szCs w:val="22"/>
          <w:shd w:val="clear" w:color="auto" w:fill="FFFFFF"/>
        </w:rPr>
        <w:t>,</w:t>
      </w:r>
      <w:r w:rsidRPr="007E7FBF">
        <w:rPr>
          <w:b/>
          <w:bCs/>
          <w:i/>
          <w:iCs/>
          <w:szCs w:val="22"/>
          <w:shd w:val="clear" w:color="auto" w:fill="FFFFFF"/>
        </w:rPr>
        <w:t> </w:t>
      </w:r>
      <w:r w:rsidRPr="007E7FBF">
        <w:rPr>
          <w:szCs w:val="22"/>
          <w:shd w:val="clear" w:color="auto" w:fill="FFFFFF"/>
        </w:rPr>
        <w:t>in relation to a particular designated sector, has the meaning set out in a Schedule to these rules that relates to that sector.</w:t>
      </w:r>
    </w:p>
    <w:p w14:paraId="62B0966A" w14:textId="77777777" w:rsidR="002E1052" w:rsidRPr="007E7FBF" w:rsidRDefault="002E1052" w:rsidP="002E1052">
      <w:pPr>
        <w:pStyle w:val="notetext"/>
      </w:pPr>
      <w:r w:rsidRPr="007E7FBF">
        <w:t>Note:</w:t>
      </w:r>
      <w:r w:rsidRPr="007E7FBF">
        <w:tab/>
        <w:t>For the banking sector, see clause 2.1 of Schedule 3 to these rules.</w:t>
      </w:r>
    </w:p>
    <w:p w14:paraId="7E4D87A9" w14:textId="77777777" w:rsidR="00CF0E3D" w:rsidRPr="007C18B8" w:rsidRDefault="00CF0E3D" w:rsidP="00CF0E3D">
      <w:pPr>
        <w:pStyle w:val="Definition"/>
      </w:pPr>
      <w:r>
        <w:rPr>
          <w:b/>
          <w:i/>
        </w:rPr>
        <w:t xml:space="preserve">fit and proper person criteria </w:t>
      </w:r>
      <w:r>
        <w:t>has the meaning given by rule 1.9.</w:t>
      </w:r>
    </w:p>
    <w:p w14:paraId="7F5A530E" w14:textId="77777777" w:rsidR="00CF0E3D" w:rsidRPr="00A90C37" w:rsidRDefault="00CF0E3D" w:rsidP="00CF0E3D">
      <w:pPr>
        <w:pStyle w:val="Definition"/>
        <w:rPr>
          <w:b/>
        </w:rPr>
      </w:pPr>
      <w:r w:rsidRPr="00A90C37">
        <w:rPr>
          <w:b/>
          <w:i/>
        </w:rPr>
        <w:t xml:space="preserve">foreign entity </w:t>
      </w:r>
      <w:r w:rsidRPr="00A90C37">
        <w:t>means a person who:</w:t>
      </w:r>
    </w:p>
    <w:p w14:paraId="4731393F" w14:textId="77777777" w:rsidR="00CF0E3D" w:rsidRPr="00A90C37" w:rsidRDefault="00CF0E3D" w:rsidP="00CF0E3D">
      <w:pPr>
        <w:pStyle w:val="paragraph"/>
      </w:pPr>
      <w:r w:rsidRPr="00A90C37">
        <w:tab/>
        <w:t>(a)</w:t>
      </w:r>
      <w:r w:rsidRPr="00A90C37">
        <w:tab/>
        <w:t>is not a body corporate established by or under a law of the Commonwealth, of a State or of a Territory; and</w:t>
      </w:r>
    </w:p>
    <w:p w14:paraId="466DF4C9" w14:textId="77777777" w:rsidR="00CF0E3D" w:rsidRPr="00A90C37" w:rsidRDefault="00CF0E3D" w:rsidP="00CF0E3D">
      <w:pPr>
        <w:pStyle w:val="paragraph"/>
      </w:pPr>
      <w:r w:rsidRPr="00A90C37">
        <w:tab/>
        <w:t>(b)</w:t>
      </w:r>
      <w:r w:rsidRPr="00A90C37">
        <w:tab/>
        <w:t xml:space="preserve">is neither an Australian citizen, nor a permanent resident (within the meaning of the </w:t>
      </w:r>
      <w:r w:rsidRPr="00A90C37">
        <w:rPr>
          <w:i/>
        </w:rPr>
        <w:t>Australian Citizenship Act 2007</w:t>
      </w:r>
      <w:r w:rsidRPr="00A90C37">
        <w:t>).</w:t>
      </w:r>
    </w:p>
    <w:p w14:paraId="0354A721" w14:textId="77777777" w:rsidR="00CF0E3D" w:rsidRDefault="00CF0E3D" w:rsidP="00CF0E3D">
      <w:pPr>
        <w:pStyle w:val="notetext"/>
      </w:pPr>
      <w:r w:rsidRPr="00A90C37">
        <w:t>Note:</w:t>
      </w:r>
      <w:r w:rsidRPr="00A90C37">
        <w:tab/>
        <w:t>See subsection 56C</w:t>
      </w:r>
      <w:r>
        <w:t>A</w:t>
      </w:r>
      <w:r w:rsidRPr="00A90C37">
        <w:t>(2) of the Act.</w:t>
      </w:r>
    </w:p>
    <w:p w14:paraId="619C43E0" w14:textId="77777777" w:rsidR="00CF0E3D" w:rsidRPr="00771FEA" w:rsidRDefault="00CF0E3D" w:rsidP="00CF0E3D">
      <w:pPr>
        <w:pStyle w:val="Definition"/>
      </w:pPr>
      <w:r w:rsidRPr="00771FEA">
        <w:rPr>
          <w:b/>
          <w:i/>
        </w:rPr>
        <w:t>general research</w:t>
      </w:r>
      <w:r w:rsidRPr="00771FEA">
        <w:t>, in relation to an accredited data recipient, means research by the accredited data recipient:</w:t>
      </w:r>
    </w:p>
    <w:p w14:paraId="42E4CCA2" w14:textId="77777777" w:rsidR="00CF0E3D" w:rsidRPr="00771FEA" w:rsidRDefault="00CF0E3D" w:rsidP="00CF0E3D">
      <w:pPr>
        <w:pStyle w:val="paragraph"/>
      </w:pPr>
      <w:r w:rsidRPr="00771FEA">
        <w:tab/>
        <w:t>(a)</w:t>
      </w:r>
      <w:r w:rsidRPr="00771FEA">
        <w:tab/>
        <w:t>using CDR data that has been de</w:t>
      </w:r>
      <w:r w:rsidRPr="00771FEA">
        <w:noBreakHyphen/>
        <w:t>identified in accordance with</w:t>
      </w:r>
      <w:r w:rsidRPr="00F2318F">
        <w:t xml:space="preserve"> </w:t>
      </w:r>
      <w:r w:rsidRPr="00B61E66">
        <w:t>the CDR data de-identification process</w:t>
      </w:r>
      <w:r w:rsidRPr="00771FEA">
        <w:t>; and</w:t>
      </w:r>
    </w:p>
    <w:p w14:paraId="5E8B2EAD" w14:textId="77777777" w:rsidR="00CF0E3D" w:rsidRPr="00771FEA" w:rsidRDefault="00CF0E3D" w:rsidP="00CF0E3D">
      <w:pPr>
        <w:pStyle w:val="paragraph"/>
      </w:pPr>
      <w:r w:rsidRPr="00771FEA">
        <w:tab/>
        <w:t>(b)</w:t>
      </w:r>
      <w:r w:rsidRPr="00771FEA">
        <w:tab/>
        <w:t>that does not relate to the provision of goods or services to any particular CDR consumer.</w:t>
      </w:r>
    </w:p>
    <w:p w14:paraId="1C8A9C29" w14:textId="77777777" w:rsidR="00CF0E3D" w:rsidRDefault="00CF0E3D" w:rsidP="00CF0E3D">
      <w:pPr>
        <w:pStyle w:val="Definition"/>
      </w:pPr>
      <w:r>
        <w:rPr>
          <w:b/>
          <w:i/>
        </w:rPr>
        <w:t xml:space="preserve">goods </w:t>
      </w:r>
      <w:r>
        <w:t>includes products.</w:t>
      </w:r>
    </w:p>
    <w:p w14:paraId="7D3B713C" w14:textId="77777777" w:rsidR="00CC28A8" w:rsidRPr="00BC78CF" w:rsidRDefault="00CC28A8" w:rsidP="00CC28A8">
      <w:pPr>
        <w:pStyle w:val="Definition"/>
        <w:rPr>
          <w:color w:val="FF0000"/>
        </w:rPr>
      </w:pPr>
      <w:r w:rsidRPr="00BC78CF">
        <w:rPr>
          <w:b/>
          <w:i/>
          <w:color w:val="FF0000"/>
        </w:rPr>
        <w:t>joint account</w:t>
      </w:r>
      <w:r w:rsidRPr="00BC78CF">
        <w:rPr>
          <w:color w:val="FF0000"/>
        </w:rPr>
        <w:t>:</w:t>
      </w:r>
    </w:p>
    <w:p w14:paraId="577BE7B9" w14:textId="77777777" w:rsidR="00624C46" w:rsidRPr="00BC78CF" w:rsidRDefault="00CC28A8" w:rsidP="00CC28A8">
      <w:pPr>
        <w:pStyle w:val="paragraph"/>
        <w:rPr>
          <w:color w:val="FF0000"/>
        </w:rPr>
      </w:pPr>
      <w:r w:rsidRPr="00BC78CF">
        <w:rPr>
          <w:color w:val="FF0000"/>
        </w:rPr>
        <w:tab/>
        <w:t>(a)</w:t>
      </w:r>
      <w:r w:rsidRPr="00BC78CF">
        <w:rPr>
          <w:color w:val="FF0000"/>
        </w:rPr>
        <w:tab/>
        <w:t>means a joint account with a data holder for which there are 2 or more joint account holders, each of which is an individual who</w:t>
      </w:r>
      <w:r w:rsidR="00624C46" w:rsidRPr="00BC78CF">
        <w:rPr>
          <w:color w:val="FF0000"/>
        </w:rPr>
        <w:t>:</w:t>
      </w:r>
    </w:p>
    <w:p w14:paraId="6C73FCC3" w14:textId="53ED1288" w:rsidR="00CC28A8" w:rsidRPr="00BC78CF" w:rsidRDefault="00624C46" w:rsidP="00624C46">
      <w:pPr>
        <w:pStyle w:val="paragraphsub"/>
        <w:rPr>
          <w:color w:val="FF0000"/>
        </w:rPr>
      </w:pPr>
      <w:r>
        <w:tab/>
      </w:r>
      <w:r w:rsidRPr="00BC78CF">
        <w:rPr>
          <w:color w:val="FF0000"/>
        </w:rPr>
        <w:t>(i)</w:t>
      </w:r>
      <w:r w:rsidRPr="00BC78CF">
        <w:rPr>
          <w:color w:val="FF0000"/>
        </w:rPr>
        <w:tab/>
      </w:r>
      <w:r w:rsidR="00CC28A8" w:rsidRPr="00BC78CF">
        <w:rPr>
          <w:color w:val="FF0000"/>
        </w:rPr>
        <w:t xml:space="preserve">so far as the data holder is aware, is acting in their own capacity and not </w:t>
      </w:r>
      <w:r w:rsidRPr="00BC78CF">
        <w:rPr>
          <w:color w:val="FF0000"/>
        </w:rPr>
        <w:t>on behalf of another person; and</w:t>
      </w:r>
    </w:p>
    <w:p w14:paraId="2A9C942C" w14:textId="3FB0C40A" w:rsidR="00624C46" w:rsidRPr="00BC78CF" w:rsidRDefault="00624C46" w:rsidP="00624C46">
      <w:pPr>
        <w:pStyle w:val="paragraphsub"/>
        <w:rPr>
          <w:color w:val="FF0000"/>
        </w:rPr>
      </w:pPr>
      <w:r w:rsidRPr="00BC78CF">
        <w:rPr>
          <w:color w:val="FF0000"/>
        </w:rPr>
        <w:tab/>
        <w:t>(ii)</w:t>
      </w:r>
      <w:r w:rsidRPr="00BC78CF">
        <w:rPr>
          <w:color w:val="FF0000"/>
        </w:rPr>
        <w:tab/>
        <w:t>is eligible in relation to the data holder; but</w:t>
      </w:r>
    </w:p>
    <w:p w14:paraId="38B4A952" w14:textId="77777777" w:rsidR="00CC28A8" w:rsidRPr="00BC78CF" w:rsidRDefault="00CC28A8" w:rsidP="00CC28A8">
      <w:pPr>
        <w:pStyle w:val="paragraph"/>
        <w:rPr>
          <w:color w:val="FF0000"/>
        </w:rPr>
      </w:pPr>
      <w:r w:rsidRPr="00BC78CF">
        <w:rPr>
          <w:color w:val="FF0000"/>
        </w:rPr>
        <w:tab/>
        <w:t>(b)</w:t>
      </w:r>
      <w:r w:rsidRPr="00BC78CF">
        <w:rPr>
          <w:color w:val="FF0000"/>
        </w:rPr>
        <w:tab/>
        <w:t>does not include a partnership account with a data holder.</w:t>
      </w:r>
    </w:p>
    <w:p w14:paraId="1BE8C16F" w14:textId="77777777" w:rsidR="00D65475" w:rsidRPr="00BC78CF" w:rsidRDefault="00D65475" w:rsidP="00D65475">
      <w:pPr>
        <w:pStyle w:val="Definition"/>
        <w:rPr>
          <w:color w:val="FF0000"/>
        </w:rPr>
      </w:pPr>
      <w:r w:rsidRPr="00BC78CF">
        <w:rPr>
          <w:b/>
          <w:i/>
          <w:color w:val="FF0000"/>
        </w:rPr>
        <w:t>insight disclosure consent</w:t>
      </w:r>
      <w:r w:rsidRPr="00BC78CF">
        <w:rPr>
          <w:color w:val="FF0000"/>
        </w:rPr>
        <w:t xml:space="preserve"> has the meaning given by rule 1.10A.</w:t>
      </w:r>
    </w:p>
    <w:p w14:paraId="0C95874C" w14:textId="77777777" w:rsidR="00CF0E3D" w:rsidRDefault="00CF0E3D" w:rsidP="00CF0E3D">
      <w:pPr>
        <w:pStyle w:val="Definition"/>
      </w:pPr>
      <w:r w:rsidRPr="00701680">
        <w:rPr>
          <w:b/>
          <w:i/>
        </w:rPr>
        <w:t>law releva</w:t>
      </w:r>
      <w:r>
        <w:rPr>
          <w:b/>
          <w:i/>
        </w:rPr>
        <w:t xml:space="preserve">nt to the management of CDR data </w:t>
      </w:r>
      <w:r>
        <w:t>means any of the following:</w:t>
      </w:r>
    </w:p>
    <w:p w14:paraId="5F741D23" w14:textId="77777777" w:rsidR="00CF0E3D" w:rsidRDefault="00CF0E3D" w:rsidP="00CF0E3D">
      <w:pPr>
        <w:pStyle w:val="paragraph"/>
      </w:pPr>
      <w:r>
        <w:tab/>
        <w:t>(a)</w:t>
      </w:r>
      <w:r>
        <w:tab/>
        <w:t>the Act;</w:t>
      </w:r>
    </w:p>
    <w:p w14:paraId="048EC034" w14:textId="77777777" w:rsidR="00CF0E3D" w:rsidRDefault="00CF0E3D" w:rsidP="00CF0E3D">
      <w:pPr>
        <w:pStyle w:val="paragraph"/>
      </w:pPr>
      <w:r>
        <w:tab/>
        <w:t>(b)</w:t>
      </w:r>
      <w:r>
        <w:tab/>
        <w:t>any regulation made for the purposes of the Act;</w:t>
      </w:r>
    </w:p>
    <w:p w14:paraId="7370415C" w14:textId="77777777" w:rsidR="00CF0E3D" w:rsidRDefault="00CF0E3D" w:rsidP="00CF0E3D">
      <w:pPr>
        <w:pStyle w:val="paragraph"/>
      </w:pPr>
      <w:r>
        <w:tab/>
        <w:t>(c)</w:t>
      </w:r>
      <w:r>
        <w:tab/>
        <w:t>these rules;</w:t>
      </w:r>
    </w:p>
    <w:p w14:paraId="348868A6" w14:textId="77777777" w:rsidR="00CF0E3D" w:rsidRPr="005D5E64" w:rsidRDefault="00CF0E3D" w:rsidP="00CF0E3D">
      <w:pPr>
        <w:pStyle w:val="paragraph"/>
        <w:rPr>
          <w:sz w:val="20"/>
        </w:rPr>
      </w:pPr>
      <w:r>
        <w:tab/>
      </w:r>
      <w:r w:rsidRPr="005D5E64">
        <w:t>(d)</w:t>
      </w:r>
      <w:r>
        <w:tab/>
      </w:r>
      <w:r w:rsidRPr="005D5E64">
        <w:t xml:space="preserve">the </w:t>
      </w:r>
      <w:r w:rsidRPr="005D5E64">
        <w:rPr>
          <w:i/>
          <w:iCs/>
        </w:rPr>
        <w:t xml:space="preserve">Corporations Act 2001 </w:t>
      </w:r>
      <w:r w:rsidRPr="005D5E64">
        <w:t>and the</w:t>
      </w:r>
      <w:r w:rsidRPr="005D5E64">
        <w:rPr>
          <w:i/>
          <w:iCs/>
        </w:rPr>
        <w:t xml:space="preserve"> Corporations Regulations 2001</w:t>
      </w:r>
      <w:r w:rsidRPr="005D5E64">
        <w:t>;</w:t>
      </w:r>
    </w:p>
    <w:p w14:paraId="70237674" w14:textId="77777777" w:rsidR="00CF0E3D" w:rsidRDefault="00CF0E3D" w:rsidP="00CF0E3D">
      <w:pPr>
        <w:pStyle w:val="paragraph"/>
        <w:rPr>
          <w:b/>
          <w:bCs/>
        </w:rPr>
      </w:pPr>
      <w:r>
        <w:tab/>
        <w:t>(e)</w:t>
      </w:r>
      <w:r>
        <w:tab/>
        <w:t xml:space="preserve">the </w:t>
      </w:r>
      <w:r>
        <w:rPr>
          <w:i/>
          <w:iCs/>
        </w:rPr>
        <w:t>Privacy Act 1988</w:t>
      </w:r>
      <w:r>
        <w:t>;</w:t>
      </w:r>
    </w:p>
    <w:p w14:paraId="0170F07F" w14:textId="55CBE87D" w:rsidR="002E1052" w:rsidRPr="007E7FBF" w:rsidRDefault="002E1052" w:rsidP="002E1052">
      <w:pPr>
        <w:pStyle w:val="paragraph"/>
      </w:pPr>
      <w:r>
        <w:tab/>
      </w:r>
      <w:r w:rsidRPr="007E7FBF">
        <w:t>(f)</w:t>
      </w:r>
      <w:r w:rsidRPr="007E7FBF">
        <w:tab/>
        <w:t>in relation to a particular designated sector—any law that is specified for the purposes of this paragraph in a Schedule to these rules that relates to that designated sector.</w:t>
      </w:r>
    </w:p>
    <w:p w14:paraId="01237980" w14:textId="4343D8C0" w:rsidR="00A5023D" w:rsidRPr="00A5023D" w:rsidRDefault="002E1052" w:rsidP="00A5023D">
      <w:pPr>
        <w:pStyle w:val="notetext"/>
        <w:rPr>
          <w:strike/>
        </w:rPr>
      </w:pPr>
      <w:r w:rsidRPr="007E7FBF">
        <w:t>Note:</w:t>
      </w:r>
      <w:r w:rsidR="00A5023D" w:rsidRPr="007E7FBF">
        <w:tab/>
        <w:t>In relation to paragraph (f), for the banking sector, see clause 7.1 of Schedule 3.</w:t>
      </w:r>
    </w:p>
    <w:p w14:paraId="2C5C5F63" w14:textId="77777777" w:rsidR="0059575F" w:rsidRPr="00BC78CF" w:rsidRDefault="0059575F" w:rsidP="0059575F">
      <w:pPr>
        <w:pStyle w:val="Definition"/>
        <w:rPr>
          <w:color w:val="FF0000"/>
        </w:rPr>
      </w:pPr>
      <w:r w:rsidRPr="00BC78CF">
        <w:rPr>
          <w:b/>
          <w:i/>
          <w:color w:val="FF0000"/>
        </w:rPr>
        <w:t>level</w:t>
      </w:r>
      <w:r w:rsidRPr="00BC78CF">
        <w:rPr>
          <w:color w:val="FF0000"/>
        </w:rPr>
        <w:t>, in relation to accreditation, has the meaning given by rule 5.1A.</w:t>
      </w:r>
    </w:p>
    <w:p w14:paraId="428F8E6F" w14:textId="77777777" w:rsidR="00CF0E3D" w:rsidRDefault="00CF0E3D" w:rsidP="00CF0E3D">
      <w:pPr>
        <w:pStyle w:val="Definition"/>
      </w:pPr>
      <w:r>
        <w:rPr>
          <w:b/>
          <w:i/>
        </w:rPr>
        <w:t>local agent</w:t>
      </w:r>
      <w:r>
        <w:t>, in relation to a foreign entity, means a person who:</w:t>
      </w:r>
    </w:p>
    <w:p w14:paraId="18580820" w14:textId="77777777" w:rsidR="00CF0E3D" w:rsidRDefault="00CF0E3D" w:rsidP="00CF0E3D">
      <w:pPr>
        <w:pStyle w:val="paragraph"/>
      </w:pPr>
      <w:r>
        <w:tab/>
        <w:t>(a)</w:t>
      </w:r>
      <w:r>
        <w:tab/>
        <w:t>is appointed by the foreign entity; and</w:t>
      </w:r>
    </w:p>
    <w:p w14:paraId="043C7843" w14:textId="77777777" w:rsidR="00CF0E3D" w:rsidRDefault="00CF0E3D" w:rsidP="00CF0E3D">
      <w:pPr>
        <w:pStyle w:val="paragraph"/>
      </w:pPr>
      <w:r>
        <w:tab/>
        <w:t>(b)</w:t>
      </w:r>
      <w:r>
        <w:tab/>
        <w:t>has addresses for service; and</w:t>
      </w:r>
    </w:p>
    <w:p w14:paraId="1EDE6481" w14:textId="77777777" w:rsidR="00CF0E3D" w:rsidRPr="00715048" w:rsidRDefault="00CF0E3D" w:rsidP="00CF0E3D">
      <w:pPr>
        <w:pStyle w:val="paragraph"/>
      </w:pPr>
      <w:r>
        <w:tab/>
        <w:t>(c)</w:t>
      </w:r>
      <w:r>
        <w:tab/>
        <w:t>is authorised to accept service of documents on behalf of the foreign entity.</w:t>
      </w:r>
    </w:p>
    <w:p w14:paraId="6DA25337" w14:textId="77777777" w:rsidR="002E1052" w:rsidRPr="007E7FBF" w:rsidRDefault="002E1052" w:rsidP="002E1052">
      <w:pPr>
        <w:pStyle w:val="Definition"/>
        <w:tabs>
          <w:tab w:val="left" w:pos="1985"/>
        </w:tabs>
        <w:rPr>
          <w:szCs w:val="22"/>
          <w:shd w:val="clear" w:color="auto" w:fill="FFFFFF"/>
        </w:rPr>
      </w:pPr>
      <w:r w:rsidRPr="007E7FBF">
        <w:rPr>
          <w:b/>
          <w:bCs/>
          <w:i/>
          <w:iCs/>
          <w:szCs w:val="22"/>
          <w:shd w:val="clear" w:color="auto" w:fill="FFFFFF"/>
        </w:rPr>
        <w:t>meet the internal dispute resolution requirements</w:t>
      </w:r>
      <w:r w:rsidRPr="007E7FBF">
        <w:rPr>
          <w:szCs w:val="22"/>
          <w:shd w:val="clear" w:color="auto" w:fill="FFFFFF"/>
        </w:rPr>
        <w:t>, in relation to the banking sector, has the meaning given by clause 5.1 of Schedule 3.</w:t>
      </w:r>
    </w:p>
    <w:p w14:paraId="41994D8B" w14:textId="77777777" w:rsidR="00CF0E3D" w:rsidRDefault="00CF0E3D" w:rsidP="00CF0E3D">
      <w:pPr>
        <w:pStyle w:val="Definition"/>
      </w:pPr>
      <w:r w:rsidRPr="00771FEA">
        <w:rPr>
          <w:b/>
          <w:i/>
        </w:rPr>
        <w:t xml:space="preserve">nominated representative </w:t>
      </w:r>
      <w:r w:rsidRPr="00771FEA">
        <w:t>has the meaning given by subparagraph 1.13(1)(c)(i) or subparagraph 1.13(1)(d)(i), as appropriate.</w:t>
      </w:r>
    </w:p>
    <w:p w14:paraId="5BFBF0E0" w14:textId="0C5296A1" w:rsidR="009D41D4" w:rsidRPr="00BC78CF" w:rsidRDefault="009D41D4" w:rsidP="009D41D4">
      <w:pPr>
        <w:pStyle w:val="Definition"/>
        <w:rPr>
          <w:b/>
          <w:i/>
          <w:color w:val="FF0000"/>
        </w:rPr>
      </w:pPr>
      <w:r w:rsidRPr="00BC78CF">
        <w:rPr>
          <w:b/>
          <w:i/>
          <w:color w:val="FF0000"/>
        </w:rPr>
        <w:t xml:space="preserve">non-disclosure option </w:t>
      </w:r>
      <w:r w:rsidRPr="00BC78CF">
        <w:rPr>
          <w:color w:val="FF0000"/>
        </w:rPr>
        <w:t xml:space="preserve">has the meaning given by rule </w:t>
      </w:r>
      <w:r w:rsidR="000B1D10" w:rsidRPr="00BC78CF">
        <w:rPr>
          <w:color w:val="FF0000"/>
        </w:rPr>
        <w:t>4</w:t>
      </w:r>
      <w:r w:rsidR="00F976E0" w:rsidRPr="00BC78CF">
        <w:rPr>
          <w:color w:val="FF0000"/>
        </w:rPr>
        <w:t>A</w:t>
      </w:r>
      <w:r w:rsidR="000B1D10" w:rsidRPr="00BC78CF">
        <w:rPr>
          <w:color w:val="FF0000"/>
        </w:rPr>
        <w:t>.4</w:t>
      </w:r>
      <w:r w:rsidRPr="00BC78CF">
        <w:rPr>
          <w:color w:val="FF0000"/>
        </w:rPr>
        <w:t>.</w:t>
      </w:r>
    </w:p>
    <w:p w14:paraId="3140986D" w14:textId="77777777" w:rsidR="00CF0E3D" w:rsidRPr="009500AD" w:rsidRDefault="00CF0E3D" w:rsidP="00CF0E3D">
      <w:pPr>
        <w:pStyle w:val="Definition"/>
      </w:pPr>
      <w:r w:rsidRPr="005F3D40">
        <w:rPr>
          <w:b/>
          <w:i/>
          <w:color w:val="000000" w:themeColor="text1"/>
        </w:rPr>
        <w:t xml:space="preserve">outsourced service provider </w:t>
      </w:r>
      <w:r w:rsidRPr="009500AD">
        <w:t>has the meaning given by rule </w:t>
      </w:r>
      <w:r>
        <w:t>1.10</w:t>
      </w:r>
      <w:r w:rsidRPr="009500AD">
        <w:t>.</w:t>
      </w:r>
    </w:p>
    <w:p w14:paraId="162459A7" w14:textId="77777777" w:rsidR="00CF0E3D" w:rsidRDefault="00CF0E3D" w:rsidP="00CF0E3D">
      <w:pPr>
        <w:pStyle w:val="Definition"/>
      </w:pPr>
      <w:r w:rsidRPr="00771FEA">
        <w:rPr>
          <w:b/>
          <w:i/>
        </w:rPr>
        <w:t>partnership account</w:t>
      </w:r>
      <w:r w:rsidRPr="00771FEA">
        <w:t>, with a data holder, means an account with a data holder that is held by or on behalf of a partnership or the partners in a partnership.</w:t>
      </w:r>
    </w:p>
    <w:p w14:paraId="657B028F" w14:textId="2FCBC8AC" w:rsidR="00AA7F0D" w:rsidRPr="00BC78CF" w:rsidRDefault="00AA7F0D" w:rsidP="00AA7F0D">
      <w:pPr>
        <w:pStyle w:val="Definition"/>
        <w:rPr>
          <w:b/>
          <w:i/>
          <w:color w:val="FF0000"/>
        </w:rPr>
      </w:pPr>
      <w:r w:rsidRPr="00BC78CF">
        <w:rPr>
          <w:b/>
          <w:i/>
          <w:color w:val="FF0000"/>
        </w:rPr>
        <w:t xml:space="preserve">pre-approval option </w:t>
      </w:r>
      <w:r w:rsidRPr="00BC78CF">
        <w:rPr>
          <w:color w:val="FF0000"/>
        </w:rPr>
        <w:t>has the meaning</w:t>
      </w:r>
      <w:r w:rsidR="009D41D4" w:rsidRPr="00BC78CF">
        <w:rPr>
          <w:color w:val="FF0000"/>
        </w:rPr>
        <w:t xml:space="preserve"> given by rule </w:t>
      </w:r>
      <w:r w:rsidR="000B1D10" w:rsidRPr="00BC78CF">
        <w:rPr>
          <w:color w:val="FF0000"/>
        </w:rPr>
        <w:t>4</w:t>
      </w:r>
      <w:r w:rsidR="00F976E0" w:rsidRPr="00BC78CF">
        <w:rPr>
          <w:color w:val="FF0000"/>
        </w:rPr>
        <w:t>A</w:t>
      </w:r>
      <w:r w:rsidR="000B1D10" w:rsidRPr="00BC78CF">
        <w:rPr>
          <w:color w:val="FF0000"/>
        </w:rPr>
        <w:t>.</w:t>
      </w:r>
      <w:r w:rsidR="00F976E0" w:rsidRPr="00BC78CF">
        <w:rPr>
          <w:color w:val="FF0000"/>
        </w:rPr>
        <w:t>4</w:t>
      </w:r>
      <w:r w:rsidR="009D41D4" w:rsidRPr="00BC78CF">
        <w:rPr>
          <w:color w:val="FF0000"/>
        </w:rPr>
        <w:t>.</w:t>
      </w:r>
    </w:p>
    <w:p w14:paraId="0B901D29" w14:textId="77777777" w:rsidR="00CF0E3D" w:rsidRPr="00641354" w:rsidRDefault="00CF0E3D" w:rsidP="00CF0E3D">
      <w:pPr>
        <w:pStyle w:val="Definition"/>
        <w:rPr>
          <w:color w:val="000000"/>
        </w:rPr>
      </w:pPr>
      <w:r w:rsidRPr="00641354">
        <w:rPr>
          <w:b/>
          <w:i/>
          <w:color w:val="000000"/>
        </w:rPr>
        <w:t xml:space="preserve">product data request </w:t>
      </w:r>
      <w:r w:rsidRPr="00B31455">
        <w:t xml:space="preserve">has the meaning given by </w:t>
      </w:r>
      <w:r>
        <w:rPr>
          <w:color w:val="000000"/>
        </w:rPr>
        <w:t>rule</w:t>
      </w:r>
      <w:r w:rsidRPr="00641354">
        <w:rPr>
          <w:color w:val="000000"/>
        </w:rPr>
        <w:t> </w:t>
      </w:r>
      <w:r>
        <w:rPr>
          <w:color w:val="000000"/>
        </w:rPr>
        <w:t>2.3</w:t>
      </w:r>
      <w:r w:rsidRPr="00641354">
        <w:rPr>
          <w:color w:val="000000"/>
        </w:rPr>
        <w:t>.</w:t>
      </w:r>
    </w:p>
    <w:p w14:paraId="32BB57EE" w14:textId="77777777" w:rsidR="00CF0E3D" w:rsidRDefault="00CF0E3D" w:rsidP="00CF0E3D">
      <w:pPr>
        <w:pStyle w:val="Definition"/>
        <w:rPr>
          <w:b/>
          <w:i/>
          <w:color w:val="000000"/>
        </w:rPr>
      </w:pPr>
      <w:r>
        <w:rPr>
          <w:b/>
          <w:i/>
        </w:rPr>
        <w:t>product data request service</w:t>
      </w:r>
      <w:r>
        <w:t xml:space="preserve"> has the meaning given by rule 1.12.</w:t>
      </w:r>
    </w:p>
    <w:p w14:paraId="58291B7A" w14:textId="77777777" w:rsidR="00CF0E3D" w:rsidRDefault="00CF0E3D" w:rsidP="00CF0E3D">
      <w:pPr>
        <w:pStyle w:val="Definition"/>
      </w:pPr>
      <w:r>
        <w:rPr>
          <w:b/>
          <w:i/>
        </w:rPr>
        <w:t xml:space="preserve">recognised </w:t>
      </w:r>
      <w:r w:rsidRPr="001C4BD2">
        <w:rPr>
          <w:b/>
          <w:i/>
        </w:rPr>
        <w:t>external dispute resolution scheme</w:t>
      </w:r>
      <w:r>
        <w:t xml:space="preserve"> means a dispute resolution scheme that is recognised under section 56DA of the Act.</w:t>
      </w:r>
    </w:p>
    <w:p w14:paraId="3C10053E" w14:textId="77777777" w:rsidR="00CF0E3D" w:rsidRPr="00005026" w:rsidRDefault="00CF0E3D" w:rsidP="00CF0E3D">
      <w:pPr>
        <w:pStyle w:val="Definition"/>
      </w:pPr>
      <w:r w:rsidRPr="00005026">
        <w:rPr>
          <w:b/>
          <w:i/>
        </w:rPr>
        <w:t>redundant data</w:t>
      </w:r>
      <w:r w:rsidRPr="00005026">
        <w:t xml:space="preserve"> has the meaning given by paragraph 56E</w:t>
      </w:r>
      <w:r>
        <w:t>O</w:t>
      </w:r>
      <w:r w:rsidRPr="00005026">
        <w:t>(2)(a) of the Act.</w:t>
      </w:r>
    </w:p>
    <w:p w14:paraId="4DA5E0E8" w14:textId="77777777" w:rsidR="00CF0E3D" w:rsidRDefault="00CF0E3D" w:rsidP="00CF0E3D">
      <w:pPr>
        <w:pStyle w:val="Definition"/>
      </w:pPr>
      <w:r w:rsidRPr="00FB522A">
        <w:rPr>
          <w:b/>
          <w:i/>
        </w:rPr>
        <w:t xml:space="preserve">Register of Accredited Persons </w:t>
      </w:r>
      <w:r w:rsidRPr="00FB522A">
        <w:t>means the</w:t>
      </w:r>
      <w:r>
        <w:t xml:space="preserve"> Register of Accredited Persons</w:t>
      </w:r>
      <w:r w:rsidRPr="00FB522A">
        <w:t xml:space="preserve"> established under subsection 56CE(1) of the Act.</w:t>
      </w:r>
    </w:p>
    <w:p w14:paraId="6FB205C3" w14:textId="77777777" w:rsidR="00CF0E3D" w:rsidRDefault="00CF0E3D" w:rsidP="00CF0E3D">
      <w:pPr>
        <w:pStyle w:val="Definition"/>
        <w:rPr>
          <w:b/>
          <w:i/>
        </w:rPr>
      </w:pPr>
      <w:r>
        <w:rPr>
          <w:b/>
          <w:i/>
        </w:rPr>
        <w:t>requester</w:t>
      </w:r>
      <w:r w:rsidRPr="006F4229">
        <w:t>, in relation to a product data request</w:t>
      </w:r>
      <w:r w:rsidRPr="00C131F7">
        <w:t>,</w:t>
      </w:r>
      <w:r w:rsidRPr="007C39E2">
        <w:t xml:space="preserve"> </w:t>
      </w:r>
      <w:r w:rsidRPr="006F4229">
        <w:t>means the person who made the request under rule </w:t>
      </w:r>
      <w:r>
        <w:t>2.3</w:t>
      </w:r>
      <w:r w:rsidRPr="006F4229">
        <w:t>.</w:t>
      </w:r>
    </w:p>
    <w:p w14:paraId="6525F88A" w14:textId="77777777" w:rsidR="002E1052" w:rsidRPr="007E7FBF" w:rsidRDefault="002E1052" w:rsidP="00CF0E3D">
      <w:pPr>
        <w:pStyle w:val="Definition"/>
        <w:rPr>
          <w:szCs w:val="22"/>
          <w:shd w:val="clear" w:color="auto" w:fill="FFFFFF"/>
        </w:rPr>
      </w:pPr>
      <w:r w:rsidRPr="007E7FBF">
        <w:rPr>
          <w:b/>
          <w:bCs/>
          <w:i/>
          <w:iCs/>
          <w:szCs w:val="22"/>
          <w:shd w:val="clear" w:color="auto" w:fill="FFFFFF"/>
        </w:rPr>
        <w:t>required consumer data</w:t>
      </w:r>
      <w:r w:rsidRPr="007E7FBF">
        <w:rPr>
          <w:szCs w:val="22"/>
          <w:shd w:val="clear" w:color="auto" w:fill="FFFFFF"/>
        </w:rPr>
        <w:t>, in relation to the banking sector,</w:t>
      </w:r>
      <w:r w:rsidRPr="007E7FBF">
        <w:rPr>
          <w:b/>
          <w:bCs/>
          <w:i/>
          <w:iCs/>
          <w:szCs w:val="22"/>
          <w:shd w:val="clear" w:color="auto" w:fill="FFFFFF"/>
        </w:rPr>
        <w:t> </w:t>
      </w:r>
      <w:r w:rsidRPr="007E7FBF">
        <w:rPr>
          <w:szCs w:val="22"/>
          <w:shd w:val="clear" w:color="auto" w:fill="FFFFFF"/>
        </w:rPr>
        <w:t>has the meaning given by clause 3.2 of Schedule 3.</w:t>
      </w:r>
    </w:p>
    <w:p w14:paraId="39C9D10B" w14:textId="2A1939AE" w:rsidR="00F70DDB" w:rsidRPr="007E7FBF" w:rsidRDefault="00F70DDB" w:rsidP="00CF0E3D">
      <w:pPr>
        <w:pStyle w:val="Definition"/>
        <w:rPr>
          <w:b/>
          <w:i/>
        </w:rPr>
      </w:pPr>
      <w:r w:rsidRPr="007E7FBF">
        <w:rPr>
          <w:b/>
          <w:bCs/>
          <w:i/>
          <w:iCs/>
          <w:szCs w:val="22"/>
          <w:shd w:val="clear" w:color="auto" w:fill="FFFFFF"/>
        </w:rPr>
        <w:t>required product data</w:t>
      </w:r>
      <w:r w:rsidRPr="007E7FBF">
        <w:rPr>
          <w:szCs w:val="22"/>
          <w:shd w:val="clear" w:color="auto" w:fill="FFFFFF"/>
        </w:rPr>
        <w:t>, in relation to the banking sector,</w:t>
      </w:r>
      <w:r w:rsidRPr="007E7FBF">
        <w:rPr>
          <w:b/>
          <w:bCs/>
          <w:i/>
          <w:iCs/>
          <w:szCs w:val="22"/>
          <w:shd w:val="clear" w:color="auto" w:fill="FFFFFF"/>
        </w:rPr>
        <w:t> </w:t>
      </w:r>
      <w:r w:rsidRPr="007E7FBF">
        <w:rPr>
          <w:szCs w:val="22"/>
          <w:shd w:val="clear" w:color="auto" w:fill="FFFFFF"/>
        </w:rPr>
        <w:t>has the meaning given by clause 3.1 of Schedule 3.</w:t>
      </w:r>
    </w:p>
    <w:p w14:paraId="4B245EE3" w14:textId="77777777" w:rsidR="00CF0E3D" w:rsidRPr="00636EDA" w:rsidRDefault="00CF0E3D" w:rsidP="00CF0E3D">
      <w:pPr>
        <w:pStyle w:val="Definition"/>
      </w:pPr>
      <w:r w:rsidRPr="00636EDA">
        <w:rPr>
          <w:b/>
          <w:i/>
        </w:rPr>
        <w:t xml:space="preserve">restricted ADI </w:t>
      </w:r>
      <w:r w:rsidRPr="00636EDA">
        <w:t xml:space="preserve">means an ADI that has an authority under section 9 of the </w:t>
      </w:r>
      <w:r w:rsidRPr="00636EDA">
        <w:rPr>
          <w:i/>
        </w:rPr>
        <w:t xml:space="preserve">Banking Act 1959 </w:t>
      </w:r>
      <w:r w:rsidRPr="00636EDA">
        <w:t>to carry on a banking business in Australia for a limited time specified in accordance with section 9D of that Act.</w:t>
      </w:r>
    </w:p>
    <w:p w14:paraId="4D590EA5" w14:textId="77777777" w:rsidR="00CF0E3D" w:rsidRPr="009B560D" w:rsidRDefault="00CF0E3D" w:rsidP="00CF0E3D">
      <w:pPr>
        <w:pStyle w:val="Definition"/>
      </w:pPr>
      <w:r w:rsidRPr="009B560D">
        <w:rPr>
          <w:b/>
          <w:i/>
        </w:rPr>
        <w:t>secondary user</w:t>
      </w:r>
      <w:r w:rsidRPr="009B560D">
        <w:t xml:space="preserve">: a person is a </w:t>
      </w:r>
      <w:r w:rsidRPr="009B560D">
        <w:rPr>
          <w:b/>
          <w:i/>
        </w:rPr>
        <w:t xml:space="preserve">secondary user </w:t>
      </w:r>
      <w:r w:rsidRPr="009B560D">
        <w:t>for an account with a data holder in a particular designated sector if:</w:t>
      </w:r>
    </w:p>
    <w:p w14:paraId="6C93A429" w14:textId="77777777" w:rsidR="00CF0E3D" w:rsidRPr="009B560D" w:rsidRDefault="00CF0E3D" w:rsidP="00CF0E3D">
      <w:pPr>
        <w:pStyle w:val="paragraph"/>
      </w:pPr>
      <w:r w:rsidRPr="009B560D">
        <w:tab/>
        <w:t>(a)</w:t>
      </w:r>
      <w:r w:rsidRPr="009B560D">
        <w:tab/>
        <w:t>the person has account privileges in relation to the account; and</w:t>
      </w:r>
    </w:p>
    <w:p w14:paraId="770D9906" w14:textId="26FC0BF8" w:rsidR="00CF0E3D" w:rsidRPr="009B560D" w:rsidRDefault="00CF0E3D" w:rsidP="00CF0E3D">
      <w:pPr>
        <w:pStyle w:val="paragraph"/>
      </w:pPr>
      <w:r w:rsidRPr="009B560D">
        <w:tab/>
        <w:t>(b)</w:t>
      </w:r>
      <w:r w:rsidRPr="009B560D">
        <w:tab/>
      </w:r>
      <w:r w:rsidR="00636DED" w:rsidRPr="009B560D">
        <w:t xml:space="preserve"> </w:t>
      </w:r>
      <w:r w:rsidRPr="009B560D">
        <w:t>the account holder has given the data holder an instruction to treat the person as a secondary user for the purposes of these rules.</w:t>
      </w:r>
    </w:p>
    <w:p w14:paraId="5FB47D2E" w14:textId="77777777" w:rsidR="00CF0E3D" w:rsidRPr="00771FEA" w:rsidRDefault="00CF0E3D" w:rsidP="00CF0E3D">
      <w:pPr>
        <w:pStyle w:val="Definition"/>
      </w:pPr>
      <w:r w:rsidRPr="00771FEA">
        <w:rPr>
          <w:b/>
          <w:i/>
        </w:rPr>
        <w:t xml:space="preserve">secondary user instruction </w:t>
      </w:r>
      <w:r w:rsidRPr="00771FEA">
        <w:t>means an instruction given for the purposes of paragraph (b) of the definition of secondary user.</w:t>
      </w:r>
    </w:p>
    <w:p w14:paraId="5F0627C3" w14:textId="77777777" w:rsidR="007A3BC8" w:rsidRPr="00BC78CF" w:rsidRDefault="00CF0E3D" w:rsidP="00CF0E3D">
      <w:pPr>
        <w:pStyle w:val="Definition"/>
        <w:rPr>
          <w:bCs/>
          <w:iCs/>
          <w:color w:val="FF0000"/>
        </w:rPr>
      </w:pPr>
      <w:r w:rsidRPr="00BC78CF">
        <w:rPr>
          <w:b/>
          <w:bCs/>
          <w:i/>
          <w:iCs/>
          <w:color w:val="FF0000"/>
        </w:rPr>
        <w:t>service data</w:t>
      </w:r>
      <w:r w:rsidR="007A3BC8" w:rsidRPr="00BC78CF">
        <w:rPr>
          <w:bCs/>
          <w:iCs/>
          <w:color w:val="FF0000"/>
        </w:rPr>
        <w:t>:</w:t>
      </w:r>
    </w:p>
    <w:p w14:paraId="13CE1E8A" w14:textId="77777777" w:rsidR="007A3BC8" w:rsidRPr="00BC78CF" w:rsidRDefault="007A3BC8" w:rsidP="007A3BC8">
      <w:pPr>
        <w:pStyle w:val="paragraph"/>
        <w:rPr>
          <w:color w:val="FF0000"/>
        </w:rPr>
      </w:pPr>
      <w:r w:rsidRPr="00BC78CF">
        <w:rPr>
          <w:color w:val="FF0000"/>
        </w:rPr>
        <w:tab/>
        <w:t>(a)</w:t>
      </w:r>
      <w:r w:rsidRPr="00BC78CF">
        <w:rPr>
          <w:color w:val="FF0000"/>
        </w:rPr>
        <w:tab/>
        <w:t>in relation to a CDR outsourcing arrangement—</w:t>
      </w:r>
      <w:r w:rsidR="00CF0E3D" w:rsidRPr="00BC78CF">
        <w:rPr>
          <w:color w:val="FF0000"/>
        </w:rPr>
        <w:t>has the meaning given by rule 1.10</w:t>
      </w:r>
      <w:r w:rsidRPr="00BC78CF">
        <w:rPr>
          <w:color w:val="FF0000"/>
        </w:rPr>
        <w:t>; and</w:t>
      </w:r>
    </w:p>
    <w:p w14:paraId="2A332D3F" w14:textId="786E26AA" w:rsidR="00CF0E3D" w:rsidRPr="004D57B9" w:rsidRDefault="007A3BC8" w:rsidP="007A3BC8">
      <w:pPr>
        <w:pStyle w:val="paragraph"/>
      </w:pPr>
      <w:r w:rsidRPr="00BC78CF">
        <w:rPr>
          <w:color w:val="FF0000"/>
        </w:rPr>
        <w:tab/>
        <w:t>(b)</w:t>
      </w:r>
      <w:r w:rsidRPr="00BC78CF">
        <w:rPr>
          <w:color w:val="FF0000"/>
        </w:rPr>
        <w:tab/>
        <w:t xml:space="preserve">in relation to a </w:t>
      </w:r>
      <w:r w:rsidR="00182338" w:rsidRPr="00BC78CF">
        <w:rPr>
          <w:color w:val="FF0000"/>
        </w:rPr>
        <w:t>CDR representative</w:t>
      </w:r>
      <w:r w:rsidRPr="00BC78CF">
        <w:rPr>
          <w:color w:val="FF0000"/>
        </w:rPr>
        <w:t xml:space="preserve"> arrangement— has the meaning given by rule 1.10AA</w:t>
      </w:r>
      <w:r w:rsidR="00CF0E3D" w:rsidRPr="004D57B9">
        <w:t>.</w:t>
      </w:r>
    </w:p>
    <w:p w14:paraId="6170D6E0" w14:textId="77777777" w:rsidR="00F70DDB" w:rsidRPr="00BC78CF" w:rsidRDefault="00F70DDB" w:rsidP="00F70DDB">
      <w:pPr>
        <w:pStyle w:val="Definition"/>
        <w:rPr>
          <w:strike/>
          <w:color w:val="FF0000"/>
        </w:rPr>
      </w:pPr>
      <w:r w:rsidRPr="00BC78CF">
        <w:rPr>
          <w:b/>
          <w:bCs/>
          <w:i/>
          <w:iCs/>
          <w:strike/>
          <w:color w:val="FF0000"/>
        </w:rPr>
        <w:t>service data</w:t>
      </w:r>
      <w:r w:rsidRPr="00BC78CF">
        <w:rPr>
          <w:bCs/>
          <w:iCs/>
          <w:strike/>
          <w:color w:val="FF0000"/>
        </w:rPr>
        <w:t xml:space="preserve"> </w:t>
      </w:r>
      <w:r w:rsidRPr="00BC78CF">
        <w:rPr>
          <w:strike/>
          <w:color w:val="FF0000"/>
        </w:rPr>
        <w:t>has the meaning given by rule 1.10</w:t>
      </w:r>
    </w:p>
    <w:p w14:paraId="35E9099F" w14:textId="786499C1" w:rsidR="008874F8" w:rsidRPr="00BC78CF" w:rsidRDefault="00350945" w:rsidP="00FC394C">
      <w:pPr>
        <w:pStyle w:val="Definition"/>
        <w:rPr>
          <w:color w:val="FF0000"/>
        </w:rPr>
      </w:pPr>
      <w:r w:rsidRPr="00BC78CF">
        <w:rPr>
          <w:b/>
          <w:i/>
          <w:color w:val="FF0000"/>
        </w:rPr>
        <w:t>sponsor</w:t>
      </w:r>
      <w:r w:rsidRPr="00BC78CF">
        <w:rPr>
          <w:color w:val="FF0000"/>
        </w:rPr>
        <w:t xml:space="preserve"> has the meaning given </w:t>
      </w:r>
      <w:r w:rsidR="008A6C8F" w:rsidRPr="00BC78CF">
        <w:rPr>
          <w:color w:val="FF0000"/>
        </w:rPr>
        <w:t>by rule 1.10D</w:t>
      </w:r>
      <w:r w:rsidR="00FC394C" w:rsidRPr="00BC78CF">
        <w:rPr>
          <w:color w:val="FF0000"/>
        </w:rPr>
        <w:t>.</w:t>
      </w:r>
    </w:p>
    <w:p w14:paraId="2AE7B23F" w14:textId="77777777" w:rsidR="00CF36F6" w:rsidRPr="00BC78CF" w:rsidRDefault="00CF36F6" w:rsidP="00CF36F6">
      <w:pPr>
        <w:pStyle w:val="Definition"/>
        <w:rPr>
          <w:color w:val="FF0000"/>
        </w:rPr>
      </w:pPr>
      <w:r w:rsidRPr="00BC78CF">
        <w:rPr>
          <w:b/>
          <w:i/>
          <w:color w:val="FF0000"/>
        </w:rPr>
        <w:t xml:space="preserve">sponsored accreditation </w:t>
      </w:r>
      <w:r w:rsidRPr="00BC78CF">
        <w:rPr>
          <w:color w:val="FF0000"/>
        </w:rPr>
        <w:t>means accreditation at the sponsored level mentioned in rule 5.1A.</w:t>
      </w:r>
    </w:p>
    <w:p w14:paraId="15ADD662" w14:textId="77777777" w:rsidR="00CF36F6" w:rsidRPr="00BC78CF" w:rsidRDefault="00CF36F6" w:rsidP="00CF36F6">
      <w:pPr>
        <w:pStyle w:val="notetext"/>
        <w:rPr>
          <w:b/>
          <w:i/>
          <w:color w:val="FF0000"/>
        </w:rPr>
      </w:pPr>
      <w:r w:rsidRPr="00BC78CF">
        <w:rPr>
          <w:color w:val="FF0000"/>
        </w:rPr>
        <w:t>Note:</w:t>
      </w:r>
      <w:r w:rsidRPr="00BC78CF">
        <w:rPr>
          <w:color w:val="FF0000"/>
        </w:rPr>
        <w:tab/>
        <w:t>See also rules 1.10D and 5.1B.</w:t>
      </w:r>
    </w:p>
    <w:p w14:paraId="295BA884" w14:textId="7289EE54" w:rsidR="00071EEB" w:rsidRPr="00BC78CF" w:rsidRDefault="00071EEB" w:rsidP="00071EEB">
      <w:pPr>
        <w:pStyle w:val="Definition"/>
        <w:rPr>
          <w:color w:val="FF0000"/>
        </w:rPr>
      </w:pPr>
      <w:r w:rsidRPr="00BC78CF">
        <w:rPr>
          <w:b/>
          <w:i/>
          <w:color w:val="FF0000"/>
        </w:rPr>
        <w:t>sponsorship arrangement</w:t>
      </w:r>
      <w:r w:rsidRPr="00BC78CF">
        <w:rPr>
          <w:color w:val="FF0000"/>
        </w:rPr>
        <w:t xml:space="preserve"> has the meaning given by rule 1.10D.</w:t>
      </w:r>
    </w:p>
    <w:p w14:paraId="09E141B8" w14:textId="77777777" w:rsidR="00D65475" w:rsidRPr="00BC78CF" w:rsidRDefault="00D65475" w:rsidP="00D65475">
      <w:pPr>
        <w:pStyle w:val="Definition"/>
        <w:rPr>
          <w:color w:val="FF0000"/>
        </w:rPr>
      </w:pPr>
      <w:r w:rsidRPr="00BC78CF">
        <w:rPr>
          <w:b/>
          <w:i/>
          <w:color w:val="FF0000"/>
        </w:rPr>
        <w:t>TA disclosure consent</w:t>
      </w:r>
      <w:r w:rsidRPr="00BC78CF">
        <w:rPr>
          <w:color w:val="FF0000"/>
        </w:rPr>
        <w:t xml:space="preserve"> has the meaning given by rule 1.10A.</w:t>
      </w:r>
    </w:p>
    <w:p w14:paraId="125FA999" w14:textId="707FAB61" w:rsidR="00D65475" w:rsidRPr="00BC78CF" w:rsidRDefault="0038477E" w:rsidP="00D65475">
      <w:pPr>
        <w:pStyle w:val="Definition"/>
        <w:rPr>
          <w:color w:val="FF0000"/>
        </w:rPr>
      </w:pPr>
      <w:r w:rsidRPr="00BC78CF">
        <w:rPr>
          <w:b/>
          <w:i/>
          <w:color w:val="FF0000"/>
        </w:rPr>
        <w:t>trusted advise</w:t>
      </w:r>
      <w:r w:rsidR="00D65475" w:rsidRPr="00BC78CF">
        <w:rPr>
          <w:b/>
          <w:i/>
          <w:color w:val="FF0000"/>
        </w:rPr>
        <w:t>r</w:t>
      </w:r>
      <w:r w:rsidR="00D65475" w:rsidRPr="00BC78CF">
        <w:rPr>
          <w:color w:val="FF0000"/>
        </w:rPr>
        <w:t xml:space="preserve"> has the meaning given by rule 1.10B.</w:t>
      </w:r>
      <w:r w:rsidR="00D65475" w:rsidRPr="00BC78CF">
        <w:rPr>
          <w:b/>
          <w:i/>
          <w:color w:val="FF0000"/>
        </w:rPr>
        <w:t xml:space="preserve"> </w:t>
      </w:r>
    </w:p>
    <w:p w14:paraId="085B9412" w14:textId="77777777" w:rsidR="00CF0E3D" w:rsidRDefault="00CF0E3D" w:rsidP="00CF0E3D">
      <w:pPr>
        <w:pStyle w:val="Definition"/>
      </w:pPr>
      <w:r w:rsidRPr="007E69B9">
        <w:rPr>
          <w:b/>
          <w:i/>
        </w:rPr>
        <w:t xml:space="preserve">type </w:t>
      </w:r>
      <w:r w:rsidRPr="007E69B9">
        <w:t>of CDR data means a type of data that is identified in the data standards.</w:t>
      </w:r>
    </w:p>
    <w:p w14:paraId="3C4C2346" w14:textId="56172107" w:rsidR="00CF0E3D" w:rsidRDefault="00CF0E3D" w:rsidP="00CF0E3D">
      <w:pPr>
        <w:pStyle w:val="notetext"/>
      </w:pPr>
      <w:r>
        <w:t>Note:</w:t>
      </w:r>
      <w:r>
        <w:tab/>
        <w:t>See paragraph 8.11(1)(d).</w:t>
      </w:r>
    </w:p>
    <w:p w14:paraId="1B58B35E" w14:textId="6614A385" w:rsidR="00DE2C29" w:rsidRPr="00BC78CF" w:rsidRDefault="00DE2C29" w:rsidP="00DE2C29">
      <w:pPr>
        <w:pStyle w:val="Definition"/>
        <w:rPr>
          <w:color w:val="FF0000"/>
        </w:rPr>
      </w:pPr>
      <w:r w:rsidRPr="00BC78CF">
        <w:rPr>
          <w:b/>
          <w:i/>
          <w:color w:val="FF0000"/>
        </w:rPr>
        <w:t xml:space="preserve">unrestricted accreditation </w:t>
      </w:r>
      <w:r w:rsidRPr="00BC78CF">
        <w:rPr>
          <w:color w:val="FF0000"/>
        </w:rPr>
        <w:t>means accreditation at the unrestricted level mentioned in rule 5.1A.</w:t>
      </w:r>
    </w:p>
    <w:p w14:paraId="4FF1F8C3" w14:textId="77777777" w:rsidR="00CF0E3D" w:rsidRPr="00771FEA" w:rsidRDefault="00CF0E3D" w:rsidP="00CF0E3D">
      <w:pPr>
        <w:pStyle w:val="Definition"/>
      </w:pPr>
      <w:r w:rsidRPr="00771FEA">
        <w:rPr>
          <w:b/>
          <w:i/>
        </w:rPr>
        <w:t xml:space="preserve">use consent </w:t>
      </w:r>
      <w:r w:rsidRPr="00771FEA">
        <w:t>has the meaning given by rule 1.10A.</w:t>
      </w:r>
    </w:p>
    <w:p w14:paraId="10E143DC" w14:textId="77777777" w:rsidR="00CF0E3D" w:rsidRPr="006527A0" w:rsidRDefault="00CF0E3D" w:rsidP="00CF0E3D">
      <w:pPr>
        <w:pStyle w:val="Definition"/>
      </w:pPr>
      <w:r w:rsidRPr="00FB6550">
        <w:rPr>
          <w:b/>
          <w:i/>
        </w:rPr>
        <w:t>valid</w:t>
      </w:r>
      <w:r>
        <w:rPr>
          <w:b/>
          <w:i/>
        </w:rPr>
        <w:t xml:space="preserve"> </w:t>
      </w:r>
      <w:r>
        <w:t>has the meaning given by subrule 3.3(3) or subrule 4.3(3) as appropriate.</w:t>
      </w:r>
    </w:p>
    <w:p w14:paraId="40F02D1C" w14:textId="6290A684" w:rsidR="00F70DDB" w:rsidRPr="007E7FBF" w:rsidRDefault="00F70DDB" w:rsidP="00727B02">
      <w:pPr>
        <w:pStyle w:val="Definition"/>
        <w:rPr>
          <w:b/>
          <w:i/>
        </w:rPr>
      </w:pPr>
      <w:r w:rsidRPr="007E7FBF">
        <w:rPr>
          <w:b/>
          <w:bCs/>
          <w:i/>
          <w:iCs/>
          <w:szCs w:val="22"/>
          <w:shd w:val="clear" w:color="auto" w:fill="FFFFFF"/>
        </w:rPr>
        <w:t>voluntary consumer data</w:t>
      </w:r>
      <w:r w:rsidRPr="007E7FBF">
        <w:rPr>
          <w:szCs w:val="22"/>
          <w:shd w:val="clear" w:color="auto" w:fill="FFFFFF"/>
        </w:rPr>
        <w:t>, in relation to the banking sector,</w:t>
      </w:r>
      <w:r w:rsidRPr="007E7FBF">
        <w:rPr>
          <w:b/>
          <w:bCs/>
          <w:i/>
          <w:iCs/>
          <w:szCs w:val="22"/>
          <w:shd w:val="clear" w:color="auto" w:fill="FFFFFF"/>
        </w:rPr>
        <w:t> </w:t>
      </w:r>
      <w:r w:rsidRPr="007E7FBF">
        <w:rPr>
          <w:szCs w:val="22"/>
          <w:shd w:val="clear" w:color="auto" w:fill="FFFFFF"/>
        </w:rPr>
        <w:t>has the meaning given by clause 3.2 of Schedule 3.</w:t>
      </w:r>
    </w:p>
    <w:p w14:paraId="47936162" w14:textId="7D88ECE7" w:rsidR="009471D5" w:rsidRPr="007E7FBF" w:rsidRDefault="009471D5" w:rsidP="009471D5">
      <w:pPr>
        <w:pStyle w:val="Definition"/>
      </w:pPr>
      <w:r w:rsidRPr="007E7FBF">
        <w:rPr>
          <w:b/>
          <w:bCs/>
          <w:i/>
          <w:iCs/>
          <w:shd w:val="clear" w:color="auto" w:fill="FFFFFF"/>
        </w:rPr>
        <w:t>voluntary product data</w:t>
      </w:r>
      <w:r w:rsidRPr="007E7FBF">
        <w:rPr>
          <w:shd w:val="clear" w:color="auto" w:fill="FFFFFF"/>
        </w:rPr>
        <w:t>, in relation to the banking sector,</w:t>
      </w:r>
      <w:r w:rsidRPr="007E7FBF">
        <w:rPr>
          <w:b/>
          <w:bCs/>
          <w:i/>
          <w:iCs/>
          <w:shd w:val="clear" w:color="auto" w:fill="FFFFFF"/>
        </w:rPr>
        <w:t> </w:t>
      </w:r>
      <w:r w:rsidRPr="007E7FBF">
        <w:rPr>
          <w:shd w:val="clear" w:color="auto" w:fill="FFFFFF"/>
        </w:rPr>
        <w:t>has the meaning given by clause 3.1 of Schedule 3.</w:t>
      </w:r>
    </w:p>
    <w:p w14:paraId="3D7E4521" w14:textId="77777777" w:rsidR="00CF0E3D" w:rsidRPr="00C87D53" w:rsidRDefault="00CF0E3D" w:rsidP="00CF0E3D">
      <w:pPr>
        <w:pStyle w:val="subsection"/>
      </w:pPr>
      <w:r>
        <w:tab/>
        <w:t>(2)</w:t>
      </w:r>
      <w:r>
        <w:tab/>
      </w:r>
      <w:r w:rsidRPr="00C87D53">
        <w:t>The table has effect:</w:t>
      </w:r>
    </w:p>
    <w:p w14:paraId="302ED4BD" w14:textId="77777777" w:rsidR="00CF0E3D" w:rsidRPr="007C39E2" w:rsidRDefault="00CF0E3D" w:rsidP="00CF0E3D">
      <w:pPr>
        <w:pStyle w:val="paragraph"/>
        <w:keepNext/>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6"/>
        <w:gridCol w:w="2634"/>
        <w:gridCol w:w="4903"/>
      </w:tblGrid>
      <w:tr w:rsidR="00CF0E3D" w:rsidRPr="00C87D53" w14:paraId="241FC723" w14:textId="77777777" w:rsidTr="007941AE">
        <w:trPr>
          <w:tblHeader/>
        </w:trPr>
        <w:tc>
          <w:tcPr>
            <w:tcW w:w="5000" w:type="pct"/>
            <w:gridSpan w:val="3"/>
            <w:tcBorders>
              <w:top w:val="single" w:sz="12" w:space="0" w:color="auto"/>
              <w:bottom w:val="single" w:sz="2" w:space="0" w:color="auto"/>
            </w:tcBorders>
          </w:tcPr>
          <w:p w14:paraId="0FA410A8" w14:textId="77777777" w:rsidR="00CF0E3D" w:rsidRPr="003772DE" w:rsidRDefault="00CF0E3D" w:rsidP="007941AE">
            <w:pPr>
              <w:pStyle w:val="TableHeading"/>
              <w:jc w:val="center"/>
            </w:pPr>
            <w:r w:rsidRPr="003772DE">
              <w:t>Meaning of references to certain terms</w:t>
            </w:r>
          </w:p>
        </w:tc>
      </w:tr>
      <w:tr w:rsidR="00CF0E3D" w:rsidRPr="00C87D53" w14:paraId="3138A824" w14:textId="77777777" w:rsidTr="007941AE">
        <w:trPr>
          <w:tblHeader/>
        </w:trPr>
        <w:tc>
          <w:tcPr>
            <w:tcW w:w="467" w:type="pct"/>
            <w:tcBorders>
              <w:top w:val="single" w:sz="2" w:space="0" w:color="auto"/>
              <w:bottom w:val="single" w:sz="12" w:space="0" w:color="auto"/>
              <w:right w:val="nil"/>
            </w:tcBorders>
          </w:tcPr>
          <w:p w14:paraId="722755D7" w14:textId="77777777" w:rsidR="00CF0E3D" w:rsidRPr="003772DE" w:rsidRDefault="00CF0E3D" w:rsidP="007941AE">
            <w:pPr>
              <w:pStyle w:val="TableHeading"/>
            </w:pPr>
          </w:p>
        </w:tc>
        <w:tc>
          <w:tcPr>
            <w:tcW w:w="1584" w:type="pct"/>
            <w:tcBorders>
              <w:top w:val="single" w:sz="2" w:space="0" w:color="auto"/>
              <w:left w:val="nil"/>
              <w:bottom w:val="single" w:sz="12" w:space="0" w:color="auto"/>
              <w:right w:val="nil"/>
            </w:tcBorders>
          </w:tcPr>
          <w:p w14:paraId="6A1507EC" w14:textId="77777777" w:rsidR="00CF0E3D" w:rsidRPr="003772DE" w:rsidRDefault="00CF0E3D" w:rsidP="007941AE">
            <w:pPr>
              <w:pStyle w:val="TableHeading"/>
            </w:pPr>
            <w:r w:rsidRPr="003772DE">
              <w:t>A reference, in a particular provision of these rules, to:</w:t>
            </w:r>
          </w:p>
        </w:tc>
        <w:tc>
          <w:tcPr>
            <w:tcW w:w="2949" w:type="pct"/>
            <w:tcBorders>
              <w:top w:val="single" w:sz="2" w:space="0" w:color="auto"/>
              <w:left w:val="nil"/>
              <w:bottom w:val="single" w:sz="12" w:space="0" w:color="auto"/>
              <w:right w:val="nil"/>
            </w:tcBorders>
          </w:tcPr>
          <w:p w14:paraId="43DDDB73" w14:textId="77777777" w:rsidR="00CF0E3D" w:rsidRPr="003772DE" w:rsidRDefault="00CF0E3D" w:rsidP="007941AE">
            <w:pPr>
              <w:pStyle w:val="TableHeading"/>
            </w:pPr>
            <w:r w:rsidRPr="003772DE">
              <w:t>is, depending on the context, a reference to:</w:t>
            </w:r>
          </w:p>
        </w:tc>
      </w:tr>
      <w:tr w:rsidR="00CF0E3D" w:rsidRPr="00C87D53" w14:paraId="75472CD3" w14:textId="77777777" w:rsidTr="007941AE">
        <w:tc>
          <w:tcPr>
            <w:tcW w:w="467" w:type="pct"/>
            <w:tcBorders>
              <w:top w:val="single" w:sz="12" w:space="0" w:color="auto"/>
              <w:bottom w:val="single" w:sz="4" w:space="0" w:color="auto"/>
              <w:right w:val="nil"/>
            </w:tcBorders>
          </w:tcPr>
          <w:p w14:paraId="65972CFD" w14:textId="77777777" w:rsidR="00CF0E3D" w:rsidRPr="003772DE" w:rsidRDefault="00CF0E3D" w:rsidP="007941AE">
            <w:pPr>
              <w:pStyle w:val="Tabletext"/>
            </w:pPr>
            <w:r w:rsidRPr="003772DE">
              <w:t>1</w:t>
            </w:r>
          </w:p>
        </w:tc>
        <w:tc>
          <w:tcPr>
            <w:tcW w:w="1584" w:type="pct"/>
            <w:tcBorders>
              <w:top w:val="single" w:sz="12" w:space="0" w:color="auto"/>
              <w:left w:val="nil"/>
              <w:bottom w:val="single" w:sz="4" w:space="0" w:color="auto"/>
              <w:right w:val="nil"/>
            </w:tcBorders>
          </w:tcPr>
          <w:p w14:paraId="73A5E3C9" w14:textId="77777777" w:rsidR="00CF0E3D" w:rsidRPr="003772DE" w:rsidRDefault="00CF0E3D" w:rsidP="007941AE">
            <w:pPr>
              <w:pStyle w:val="Tabletext"/>
            </w:pPr>
            <w:r w:rsidRPr="003772DE">
              <w:t>a CDR consumer</w:t>
            </w:r>
          </w:p>
        </w:tc>
        <w:tc>
          <w:tcPr>
            <w:tcW w:w="2949" w:type="pct"/>
            <w:tcBorders>
              <w:top w:val="single" w:sz="12" w:space="0" w:color="auto"/>
              <w:left w:val="nil"/>
              <w:bottom w:val="single" w:sz="4" w:space="0" w:color="auto"/>
              <w:right w:val="nil"/>
            </w:tcBorders>
          </w:tcPr>
          <w:p w14:paraId="3E209C37" w14:textId="77777777" w:rsidR="00CF0E3D" w:rsidRPr="003772DE" w:rsidRDefault="00CF0E3D" w:rsidP="007941AE">
            <w:pPr>
              <w:pStyle w:val="Tablea"/>
            </w:pPr>
            <w:r w:rsidRPr="003772DE">
              <w:tab/>
              <w:t>(</w:t>
            </w:r>
            <w:r>
              <w:t>a</w:t>
            </w:r>
            <w:r w:rsidRPr="003772DE">
              <w:t>)</w:t>
            </w:r>
            <w:r w:rsidRPr="003772DE">
              <w:tab/>
              <w:t>a CDR consumer for any CDR data; or</w:t>
            </w:r>
          </w:p>
          <w:p w14:paraId="0415D01D" w14:textId="77777777" w:rsidR="00CF0E3D" w:rsidRPr="003772DE" w:rsidRDefault="00CF0E3D" w:rsidP="007941AE">
            <w:pPr>
              <w:pStyle w:val="Tablea"/>
            </w:pPr>
            <w:r w:rsidRPr="003772DE">
              <w:t>(</w:t>
            </w:r>
            <w:r>
              <w:t>b</w:t>
            </w:r>
            <w:r w:rsidRPr="003772DE">
              <w:t>)</w:t>
            </w:r>
            <w:r w:rsidRPr="003772DE">
              <w:tab/>
              <w:t>a CDR consumer for the particular CDR data that is dealt with in relation to the reference</w:t>
            </w:r>
            <w:r>
              <w:t>.</w:t>
            </w:r>
          </w:p>
          <w:p w14:paraId="53DD8BC0" w14:textId="77777777" w:rsidR="00CF0E3D" w:rsidRPr="003772DE" w:rsidRDefault="00CF0E3D" w:rsidP="007941AE">
            <w:pPr>
              <w:pStyle w:val="Tablei"/>
            </w:pPr>
          </w:p>
        </w:tc>
      </w:tr>
      <w:tr w:rsidR="00CF0E3D" w:rsidRPr="00C87D53" w14:paraId="7A7C3235" w14:textId="77777777" w:rsidTr="007941AE">
        <w:tc>
          <w:tcPr>
            <w:tcW w:w="467" w:type="pct"/>
            <w:tcBorders>
              <w:top w:val="single" w:sz="4" w:space="0" w:color="auto"/>
              <w:bottom w:val="single" w:sz="4" w:space="0" w:color="auto"/>
              <w:right w:val="nil"/>
            </w:tcBorders>
          </w:tcPr>
          <w:p w14:paraId="468F7FF5" w14:textId="77777777" w:rsidR="00CF0E3D" w:rsidRPr="003772DE" w:rsidRDefault="00CF0E3D" w:rsidP="007941AE">
            <w:pPr>
              <w:pStyle w:val="Tabletext"/>
            </w:pPr>
            <w:r w:rsidRPr="003772DE">
              <w:t>2</w:t>
            </w:r>
          </w:p>
        </w:tc>
        <w:tc>
          <w:tcPr>
            <w:tcW w:w="1584" w:type="pct"/>
            <w:tcBorders>
              <w:top w:val="single" w:sz="4" w:space="0" w:color="auto"/>
              <w:left w:val="nil"/>
              <w:bottom w:val="single" w:sz="4" w:space="0" w:color="auto"/>
              <w:right w:val="nil"/>
            </w:tcBorders>
          </w:tcPr>
          <w:p w14:paraId="0A2CA3A9" w14:textId="77777777" w:rsidR="00CF0E3D" w:rsidRPr="003772DE" w:rsidRDefault="00CF0E3D" w:rsidP="007941AE">
            <w:pPr>
              <w:pStyle w:val="Tabletext"/>
              <w:rPr>
                <w:b/>
                <w:i/>
              </w:rPr>
            </w:pPr>
            <w:r w:rsidRPr="003772DE">
              <w:t>a data holder</w:t>
            </w:r>
          </w:p>
        </w:tc>
        <w:tc>
          <w:tcPr>
            <w:tcW w:w="2949" w:type="pct"/>
            <w:tcBorders>
              <w:top w:val="single" w:sz="4" w:space="0" w:color="auto"/>
              <w:left w:val="nil"/>
              <w:bottom w:val="single" w:sz="4" w:space="0" w:color="auto"/>
              <w:right w:val="nil"/>
            </w:tcBorders>
          </w:tcPr>
          <w:p w14:paraId="6D8F5313" w14:textId="77777777" w:rsidR="00CF0E3D" w:rsidRPr="003772DE" w:rsidRDefault="00CF0E3D" w:rsidP="007941AE">
            <w:pPr>
              <w:pStyle w:val="Tablea"/>
            </w:pPr>
            <w:r w:rsidRPr="003772DE">
              <w:t>(a)</w:t>
            </w:r>
            <w:r w:rsidRPr="003772DE">
              <w:tab/>
              <w:t>a data holder of any CDR data; or</w:t>
            </w:r>
          </w:p>
          <w:p w14:paraId="2E72E116" w14:textId="77777777" w:rsidR="00CF0E3D" w:rsidRPr="003772DE" w:rsidRDefault="00CF0E3D" w:rsidP="007941AE">
            <w:pPr>
              <w:pStyle w:val="Tablea"/>
            </w:pPr>
            <w:r w:rsidRPr="003772DE">
              <w:t>(b)</w:t>
            </w:r>
            <w:r w:rsidRPr="003772DE">
              <w:tab/>
              <w:t>the data holder of the particular CDR data that is dealt with in relation to the reference.</w:t>
            </w:r>
          </w:p>
          <w:p w14:paraId="0831D31A" w14:textId="77777777" w:rsidR="00CF0E3D" w:rsidRPr="003772DE" w:rsidRDefault="00CF0E3D" w:rsidP="007941AE">
            <w:pPr>
              <w:pStyle w:val="notemargin"/>
            </w:pPr>
          </w:p>
        </w:tc>
      </w:tr>
      <w:tr w:rsidR="00CF0E3D" w:rsidRPr="00C87D53" w14:paraId="664C8165" w14:textId="77777777" w:rsidTr="007941AE">
        <w:tc>
          <w:tcPr>
            <w:tcW w:w="467" w:type="pct"/>
            <w:tcBorders>
              <w:top w:val="single" w:sz="4" w:space="0" w:color="auto"/>
              <w:bottom w:val="single" w:sz="4" w:space="0" w:color="auto"/>
              <w:right w:val="nil"/>
            </w:tcBorders>
          </w:tcPr>
          <w:p w14:paraId="099F0A14" w14:textId="77777777" w:rsidR="00CF0E3D" w:rsidRPr="003772DE" w:rsidRDefault="00CF0E3D" w:rsidP="007941AE">
            <w:pPr>
              <w:pStyle w:val="Tabletext"/>
            </w:pPr>
            <w:r w:rsidRPr="003772DE">
              <w:t>3</w:t>
            </w:r>
          </w:p>
        </w:tc>
        <w:tc>
          <w:tcPr>
            <w:tcW w:w="1584" w:type="pct"/>
            <w:tcBorders>
              <w:top w:val="single" w:sz="4" w:space="0" w:color="auto"/>
              <w:left w:val="nil"/>
              <w:bottom w:val="single" w:sz="4" w:space="0" w:color="auto"/>
              <w:right w:val="nil"/>
            </w:tcBorders>
          </w:tcPr>
          <w:p w14:paraId="35524741" w14:textId="77777777" w:rsidR="00CF0E3D" w:rsidRPr="003772DE" w:rsidRDefault="00CF0E3D" w:rsidP="007941AE">
            <w:pPr>
              <w:pStyle w:val="Tabletext"/>
            </w:pPr>
            <w:r w:rsidRPr="003772DE">
              <w:t>an accredited data recipient</w:t>
            </w:r>
          </w:p>
        </w:tc>
        <w:tc>
          <w:tcPr>
            <w:tcW w:w="2949" w:type="pct"/>
            <w:tcBorders>
              <w:top w:val="single" w:sz="4" w:space="0" w:color="auto"/>
              <w:left w:val="nil"/>
              <w:bottom w:val="single" w:sz="4" w:space="0" w:color="auto"/>
              <w:right w:val="nil"/>
            </w:tcBorders>
          </w:tcPr>
          <w:p w14:paraId="308465FA" w14:textId="77777777" w:rsidR="00CF0E3D" w:rsidRPr="003772DE" w:rsidRDefault="00CF0E3D" w:rsidP="007941AE">
            <w:pPr>
              <w:pStyle w:val="Tablea"/>
            </w:pPr>
            <w:r w:rsidRPr="003772DE">
              <w:t>(a)</w:t>
            </w:r>
            <w:r w:rsidRPr="003772DE">
              <w:tab/>
              <w:t>an accredited data recipient of any CDR data; or</w:t>
            </w:r>
          </w:p>
          <w:p w14:paraId="6248E7BB" w14:textId="77777777" w:rsidR="00CF0E3D" w:rsidRPr="003772DE" w:rsidRDefault="00CF0E3D" w:rsidP="007941AE">
            <w:pPr>
              <w:pStyle w:val="Tablea"/>
            </w:pPr>
            <w:r w:rsidRPr="003772DE">
              <w:t>(b)</w:t>
            </w:r>
            <w:r w:rsidRPr="003772DE">
              <w:tab/>
              <w:t>the accredited data recipient of the particular CDR data that is dealt with in relation to the reference.</w:t>
            </w:r>
          </w:p>
          <w:p w14:paraId="21EEEED1" w14:textId="77777777" w:rsidR="00CF0E3D" w:rsidRPr="003772DE" w:rsidRDefault="00CF0E3D" w:rsidP="007941AE">
            <w:pPr>
              <w:pStyle w:val="Tablea"/>
            </w:pPr>
          </w:p>
        </w:tc>
      </w:tr>
      <w:tr w:rsidR="00CF0E3D" w:rsidRPr="00C87D53" w14:paraId="748DD1A8" w14:textId="77777777" w:rsidTr="007941AE">
        <w:tc>
          <w:tcPr>
            <w:tcW w:w="467" w:type="pct"/>
            <w:tcBorders>
              <w:top w:val="single" w:sz="4" w:space="0" w:color="auto"/>
              <w:bottom w:val="single" w:sz="12" w:space="0" w:color="auto"/>
              <w:right w:val="nil"/>
            </w:tcBorders>
          </w:tcPr>
          <w:p w14:paraId="200CE5BF" w14:textId="77777777" w:rsidR="00CF0E3D" w:rsidRPr="003772DE" w:rsidRDefault="00CF0E3D" w:rsidP="007941AE">
            <w:pPr>
              <w:pStyle w:val="Tabletext"/>
            </w:pPr>
            <w:r w:rsidRPr="003772DE">
              <w:t>4</w:t>
            </w:r>
          </w:p>
        </w:tc>
        <w:tc>
          <w:tcPr>
            <w:tcW w:w="1584" w:type="pct"/>
            <w:tcBorders>
              <w:top w:val="single" w:sz="4" w:space="0" w:color="auto"/>
              <w:left w:val="nil"/>
              <w:bottom w:val="single" w:sz="12" w:space="0" w:color="auto"/>
              <w:right w:val="nil"/>
            </w:tcBorders>
          </w:tcPr>
          <w:p w14:paraId="29D69300" w14:textId="77777777" w:rsidR="00CF0E3D" w:rsidRPr="003772DE" w:rsidRDefault="00CF0E3D" w:rsidP="007941AE">
            <w:pPr>
              <w:pStyle w:val="Tabletext"/>
            </w:pPr>
            <w:r w:rsidRPr="003772DE">
              <w:t>a CDR participant</w:t>
            </w:r>
          </w:p>
        </w:tc>
        <w:tc>
          <w:tcPr>
            <w:tcW w:w="2949" w:type="pct"/>
            <w:tcBorders>
              <w:top w:val="single" w:sz="4" w:space="0" w:color="auto"/>
              <w:left w:val="nil"/>
              <w:bottom w:val="single" w:sz="12" w:space="0" w:color="auto"/>
              <w:right w:val="nil"/>
            </w:tcBorders>
          </w:tcPr>
          <w:p w14:paraId="27D22CD6" w14:textId="77777777" w:rsidR="00CF0E3D" w:rsidRPr="003772DE" w:rsidRDefault="00CF0E3D" w:rsidP="007941AE">
            <w:pPr>
              <w:pStyle w:val="Tablea"/>
            </w:pPr>
            <w:r w:rsidRPr="003772DE">
              <w:t>(a)</w:t>
            </w:r>
            <w:r w:rsidRPr="003772DE">
              <w:tab/>
              <w:t>a CDR participant for any CDR data; or</w:t>
            </w:r>
          </w:p>
          <w:p w14:paraId="450ECC4F" w14:textId="77777777" w:rsidR="00CF0E3D" w:rsidRPr="003772DE" w:rsidRDefault="00CF0E3D" w:rsidP="007941AE">
            <w:pPr>
              <w:pStyle w:val="Tablea"/>
            </w:pPr>
            <w:r w:rsidRPr="003772DE">
              <w:t>(b)</w:t>
            </w:r>
            <w:r w:rsidRPr="003772DE">
              <w:tab/>
              <w:t>the CDR participant for the particular CDR data that is dealt with in relation to the reference.</w:t>
            </w:r>
          </w:p>
          <w:p w14:paraId="63C0BFE0" w14:textId="77777777" w:rsidR="00CF0E3D" w:rsidRPr="003772DE" w:rsidRDefault="00CF0E3D" w:rsidP="007941AE">
            <w:pPr>
              <w:pStyle w:val="Tablea"/>
            </w:pPr>
          </w:p>
        </w:tc>
      </w:tr>
    </w:tbl>
    <w:p w14:paraId="7FB11FB3" w14:textId="77777777" w:rsidR="00CF0E3D" w:rsidRPr="004F7B69" w:rsidRDefault="00CF0E3D" w:rsidP="00CF0E3D">
      <w:pPr>
        <w:pStyle w:val="SubsectionHead"/>
      </w:pPr>
      <w:r w:rsidRPr="004F7B69">
        <w:t xml:space="preserve">References to </w:t>
      </w:r>
      <w:r w:rsidRPr="004F7B69">
        <w:rPr>
          <w:b/>
        </w:rPr>
        <w:t>data holder</w:t>
      </w:r>
    </w:p>
    <w:p w14:paraId="491A1807" w14:textId="77777777" w:rsidR="00CF0E3D" w:rsidRPr="004F7B69" w:rsidRDefault="00CF0E3D" w:rsidP="00CF0E3D">
      <w:pPr>
        <w:pStyle w:val="subsection"/>
      </w:pPr>
      <w:r>
        <w:tab/>
        <w:t>(3)</w:t>
      </w:r>
      <w:r>
        <w:tab/>
      </w:r>
      <w:r w:rsidRPr="004F7B69">
        <w:t xml:space="preserve">In these rules, </w:t>
      </w:r>
      <w:r w:rsidRPr="00E206FA">
        <w:t xml:space="preserve">depending on the context, a reference to a data holder is a reference to a data holder that would be required or that is authorised </w:t>
      </w:r>
      <w:r w:rsidRPr="004F7B69">
        <w:t>to disclose CDR data in response to a product data request or a consumer data request that is made in accordance with these rules.</w:t>
      </w:r>
    </w:p>
    <w:p w14:paraId="6F6418CF" w14:textId="45BD7DF6" w:rsidR="0037678E" w:rsidRPr="007E7FBF" w:rsidRDefault="009471D5" w:rsidP="0037678E">
      <w:pPr>
        <w:pStyle w:val="notetext"/>
      </w:pPr>
      <w:r w:rsidRPr="007E7FBF">
        <w:t>Note:</w:t>
      </w:r>
      <w:r w:rsidR="0037678E" w:rsidRPr="007E7FBF">
        <w:tab/>
        <w:t>These rules will progressively apply to a broader range of data holders within the banking sector: see Part 6 of Schedule 3 to these rules.</w:t>
      </w:r>
    </w:p>
    <w:p w14:paraId="115B5D73" w14:textId="77777777" w:rsidR="00CF0E3D" w:rsidRPr="00796ADB" w:rsidRDefault="00CF0E3D" w:rsidP="00CF0E3D">
      <w:pPr>
        <w:pStyle w:val="SubsectionHead"/>
      </w:pPr>
      <w:r w:rsidRPr="00796ADB">
        <w:t>References to a person’s CDR data</w:t>
      </w:r>
    </w:p>
    <w:p w14:paraId="791CB182" w14:textId="77777777" w:rsidR="00CF0E3D" w:rsidRDefault="00CF0E3D" w:rsidP="00CF0E3D">
      <w:pPr>
        <w:pStyle w:val="subsection"/>
      </w:pPr>
      <w:r w:rsidRPr="00796ADB">
        <w:tab/>
      </w:r>
      <w:r>
        <w:t>(4)</w:t>
      </w:r>
      <w:r w:rsidRPr="00796ADB">
        <w:tab/>
        <w:t>In these rules, a reference to a person’s CDR data is a reference to the CDR data for which that person is a CDR consumer.</w:t>
      </w:r>
    </w:p>
    <w:p w14:paraId="5CD2B2EC" w14:textId="77777777" w:rsidR="00CF0E3D" w:rsidRPr="004D57B9" w:rsidRDefault="00CF0E3D" w:rsidP="00CF0E3D">
      <w:pPr>
        <w:pStyle w:val="SubsectionHead"/>
      </w:pPr>
      <w:r w:rsidRPr="004D57B9">
        <w:t xml:space="preserve">References to </w:t>
      </w:r>
      <w:r w:rsidRPr="004D57B9">
        <w:rPr>
          <w:b/>
        </w:rPr>
        <w:t>accredited person</w:t>
      </w:r>
    </w:p>
    <w:p w14:paraId="1A26FAC0" w14:textId="77777777" w:rsidR="00CF0E3D" w:rsidRPr="004D57B9" w:rsidRDefault="00CF0E3D" w:rsidP="00CF0E3D">
      <w:pPr>
        <w:pStyle w:val="subsection"/>
      </w:pPr>
      <w:r w:rsidRPr="004D57B9">
        <w:tab/>
        <w:t>(5)</w:t>
      </w:r>
      <w:r w:rsidRPr="004D57B9">
        <w:tab/>
        <w:t xml:space="preserve">In these rules, unless the contrary intention appears, a reference to an accredited person making a consumer data request, </w:t>
      </w:r>
      <w:r>
        <w:t>collecting CDR data</w:t>
      </w:r>
      <w:r w:rsidRPr="004D57B9">
        <w:t>, obtaining consents, providing a consumer dashboard, or using or disclosing CDR data does not include a reference to an accredited person doing those things on behalf of a principal in its capacity as the provider in an outsourced service arrangement, in accordance with the arrangement.</w:t>
      </w:r>
    </w:p>
    <w:p w14:paraId="646E6A9E" w14:textId="77777777" w:rsidR="00CF0E3D" w:rsidRPr="00005026" w:rsidRDefault="00CF0E3D" w:rsidP="00CF0E3D">
      <w:pPr>
        <w:pStyle w:val="ActHead5"/>
      </w:pPr>
      <w:bookmarkStart w:id="20" w:name="_Toc74916074"/>
      <w:r>
        <w:t>1.8</w:t>
      </w:r>
      <w:r w:rsidRPr="00005026">
        <w:t xml:space="preserve">  Data minimisation principle</w:t>
      </w:r>
      <w:bookmarkEnd w:id="20"/>
    </w:p>
    <w:p w14:paraId="7AFD2B8D" w14:textId="77777777" w:rsidR="00CF0E3D" w:rsidRPr="00005026" w:rsidRDefault="00CF0E3D" w:rsidP="00CF0E3D">
      <w:pPr>
        <w:pStyle w:val="notemargin"/>
      </w:pPr>
      <w:r w:rsidRPr="00005026">
        <w:t>Note:</w:t>
      </w:r>
      <w:r w:rsidRPr="00005026">
        <w:tab/>
        <w:t>The data minimisation principle</w:t>
      </w:r>
      <w:r w:rsidRPr="00005026">
        <w:rPr>
          <w:b/>
          <w:i/>
        </w:rPr>
        <w:t xml:space="preserve"> </w:t>
      </w:r>
      <w:r w:rsidRPr="00005026">
        <w:t>is relevant when:</w:t>
      </w:r>
    </w:p>
    <w:p w14:paraId="5D7CBF99" w14:textId="77777777" w:rsidR="00CF0E3D" w:rsidRPr="00005026" w:rsidRDefault="00CF0E3D" w:rsidP="00CF0E3D">
      <w:pPr>
        <w:pStyle w:val="notemargin"/>
        <w:spacing w:before="40"/>
        <w:ind w:left="1078" w:hanging="369"/>
      </w:pPr>
      <w:r w:rsidRPr="00005026">
        <w:sym w:font="Symbol" w:char="F0B7"/>
      </w:r>
      <w:r w:rsidRPr="00005026">
        <w:tab/>
        <w:t>a CDR consumer requests an accredited person to provide goods or services to the CDR consumer or to another person; and</w:t>
      </w:r>
    </w:p>
    <w:p w14:paraId="15CF48B2" w14:textId="77777777" w:rsidR="00CF0E3D" w:rsidRDefault="00CF0E3D" w:rsidP="00CF0E3D">
      <w:pPr>
        <w:pStyle w:val="notemargin"/>
        <w:spacing w:before="40"/>
        <w:ind w:left="1078" w:hanging="369"/>
      </w:pPr>
      <w:r w:rsidRPr="00005026">
        <w:sym w:font="Symbol" w:char="F0B7"/>
      </w:r>
      <w:r w:rsidRPr="00005026">
        <w:tab/>
        <w:t>the accredited person needs to access the CDR consumer’s CDR data in order to provide those goods or services.</w:t>
      </w:r>
    </w:p>
    <w:p w14:paraId="4C248EA8" w14:textId="77777777" w:rsidR="00CF0E3D" w:rsidRPr="005F3D40" w:rsidRDefault="00CF0E3D" w:rsidP="00CF0E3D">
      <w:pPr>
        <w:pStyle w:val="notemargin"/>
        <w:rPr>
          <w:color w:val="000000" w:themeColor="text1"/>
        </w:rPr>
      </w:pPr>
      <w:r>
        <w:tab/>
      </w:r>
      <w:r w:rsidRPr="005F3D40">
        <w:rPr>
          <w:color w:val="000000" w:themeColor="text1"/>
        </w:rPr>
        <w:t>The data minimisation principle is also relevant when an accredited person uses CDR data to provide requested goods or services to a CDR consumer.</w:t>
      </w:r>
    </w:p>
    <w:p w14:paraId="3181B380" w14:textId="77777777" w:rsidR="00CF0E3D" w:rsidRDefault="00CF0E3D" w:rsidP="00CF0E3D">
      <w:pPr>
        <w:pStyle w:val="notemargin"/>
      </w:pPr>
      <w:r>
        <w:tab/>
      </w:r>
      <w:r w:rsidRPr="00814B1D">
        <w:t>The data minimisation principle limits the CDR data that an accredited person can collect, and also limits the uses that the accredited person can make of collected CDR data.</w:t>
      </w:r>
    </w:p>
    <w:p w14:paraId="57D001A0" w14:textId="77777777" w:rsidR="00CF0E3D" w:rsidRPr="00005026" w:rsidRDefault="00CF0E3D" w:rsidP="00CF0E3D">
      <w:pPr>
        <w:pStyle w:val="subsection"/>
      </w:pPr>
      <w:r w:rsidRPr="00005026">
        <w:tab/>
      </w:r>
      <w:r w:rsidRPr="00005026">
        <w:tab/>
        <w:t xml:space="preserve">An accredited person </w:t>
      </w:r>
      <w:r w:rsidRPr="005F3D40">
        <w:rPr>
          <w:color w:val="000000" w:themeColor="text1"/>
        </w:rPr>
        <w:t xml:space="preserve">complies </w:t>
      </w:r>
      <w:r w:rsidRPr="00005026">
        <w:t xml:space="preserve">with </w:t>
      </w:r>
      <w:r w:rsidRPr="00005026">
        <w:rPr>
          <w:b/>
          <w:i/>
        </w:rPr>
        <w:t>the</w:t>
      </w:r>
      <w:r w:rsidRPr="00005026">
        <w:t xml:space="preserve"> </w:t>
      </w:r>
      <w:r w:rsidRPr="00005026">
        <w:rPr>
          <w:b/>
          <w:i/>
        </w:rPr>
        <w:t xml:space="preserve">data minimisation principle </w:t>
      </w:r>
      <w:r w:rsidRPr="00005026">
        <w:t>if:</w:t>
      </w:r>
    </w:p>
    <w:p w14:paraId="61DB45F1" w14:textId="77777777" w:rsidR="00CF0E3D" w:rsidRDefault="00CF0E3D" w:rsidP="00CF0E3D">
      <w:pPr>
        <w:pStyle w:val="paragraph"/>
      </w:pPr>
      <w:r w:rsidRPr="00005026">
        <w:tab/>
      </w:r>
      <w:r>
        <w:t>(a)</w:t>
      </w:r>
      <w:r w:rsidRPr="00005026">
        <w:tab/>
        <w:t xml:space="preserve">when making a consumer data request on behalf of a CDR consumer, </w:t>
      </w:r>
      <w:r w:rsidRPr="005F3D40">
        <w:rPr>
          <w:color w:val="000000" w:themeColor="text1"/>
        </w:rPr>
        <w:t xml:space="preserve">it </w:t>
      </w:r>
      <w:r w:rsidRPr="00005026">
        <w:t xml:space="preserve">does not </w:t>
      </w:r>
      <w:r w:rsidRPr="00E53912">
        <w:rPr>
          <w:color w:val="000000" w:themeColor="text1"/>
        </w:rPr>
        <w:t xml:space="preserve">seek to </w:t>
      </w:r>
      <w:r w:rsidRPr="00005026">
        <w:t>collect:</w:t>
      </w:r>
    </w:p>
    <w:p w14:paraId="34172131" w14:textId="77777777" w:rsidR="00CF0E3D" w:rsidRPr="00005026" w:rsidRDefault="00CF0E3D" w:rsidP="00CF0E3D">
      <w:pPr>
        <w:pStyle w:val="paragraphsub"/>
      </w:pPr>
      <w:r w:rsidRPr="00005026">
        <w:tab/>
      </w:r>
      <w:r>
        <w:t>(i)</w:t>
      </w:r>
      <w:r w:rsidRPr="00005026">
        <w:tab/>
        <w:t xml:space="preserve">more CDR data than is reasonably </w:t>
      </w:r>
      <w:r w:rsidRPr="00724397">
        <w:t>needed</w:t>
      </w:r>
      <w:r w:rsidRPr="00005026">
        <w:t>; or</w:t>
      </w:r>
    </w:p>
    <w:p w14:paraId="76612B31" w14:textId="77777777" w:rsidR="00CF0E3D" w:rsidRPr="00005026" w:rsidRDefault="00CF0E3D" w:rsidP="00CF0E3D">
      <w:pPr>
        <w:pStyle w:val="paragraphsub"/>
      </w:pPr>
      <w:r w:rsidRPr="00005026">
        <w:tab/>
      </w:r>
      <w:r>
        <w:t>(ii)</w:t>
      </w:r>
      <w:r w:rsidRPr="00005026">
        <w:tab/>
        <w:t xml:space="preserve">CDR data that relates to a longer time period than is reasonably </w:t>
      </w:r>
      <w:r>
        <w:t>needed</w:t>
      </w:r>
      <w:r w:rsidRPr="00005026">
        <w:t>;</w:t>
      </w:r>
    </w:p>
    <w:p w14:paraId="08C2E134" w14:textId="77777777" w:rsidR="00CF0E3D" w:rsidRPr="00005026" w:rsidRDefault="00CF0E3D" w:rsidP="00CF0E3D">
      <w:pPr>
        <w:pStyle w:val="paragraph"/>
      </w:pPr>
      <w:r w:rsidRPr="00005026">
        <w:tab/>
      </w:r>
      <w:r w:rsidRPr="00005026">
        <w:tab/>
        <w:t>in order to provide the goods or services requested by the CDR consumer; and</w:t>
      </w:r>
    </w:p>
    <w:p w14:paraId="374638AB" w14:textId="77777777" w:rsidR="00CF0E3D" w:rsidRDefault="00CF0E3D" w:rsidP="00CF0E3D">
      <w:pPr>
        <w:pStyle w:val="paragraph"/>
      </w:pPr>
      <w:r w:rsidRPr="00F07699">
        <w:tab/>
      </w:r>
      <w:r w:rsidRPr="00771FEA">
        <w:t>(b)</w:t>
      </w:r>
      <w:r w:rsidRPr="00771FEA">
        <w:tab/>
        <w:t>when providing the requested goods or services, or using collected CDR data for any other purpose consented to by the CDR consumer, it does not use the collected CDR data, or CDR data derived from it, beyond what is reasonably needed in order to provide the requested goods or services or fulfil the other purpose.</w:t>
      </w:r>
    </w:p>
    <w:p w14:paraId="1BF8DB7B" w14:textId="77777777" w:rsidR="00CF0E3D" w:rsidRDefault="00CF0E3D" w:rsidP="00CF0E3D">
      <w:pPr>
        <w:pStyle w:val="ActHead5"/>
      </w:pPr>
      <w:bookmarkStart w:id="21" w:name="_Toc11771568"/>
      <w:bookmarkStart w:id="22" w:name="_Toc74916075"/>
      <w:r>
        <w:t>1.9  Fit and proper person criteria</w:t>
      </w:r>
      <w:bookmarkEnd w:id="21"/>
      <w:bookmarkEnd w:id="22"/>
    </w:p>
    <w:p w14:paraId="3508AB9E" w14:textId="77777777" w:rsidR="00CF0E3D" w:rsidRDefault="00CF0E3D" w:rsidP="00CF0E3D">
      <w:pPr>
        <w:pStyle w:val="subsection"/>
      </w:pPr>
      <w:r>
        <w:tab/>
        <w:t>(1)</w:t>
      </w:r>
      <w:r>
        <w:tab/>
        <w:t xml:space="preserve">For these rules, the </w:t>
      </w:r>
      <w:r>
        <w:rPr>
          <w:b/>
          <w:i/>
        </w:rPr>
        <w:t>fit and proper person</w:t>
      </w:r>
      <w:r w:rsidRPr="00183F9C">
        <w:rPr>
          <w:i/>
        </w:rPr>
        <w:t xml:space="preserve"> </w:t>
      </w:r>
      <w:r w:rsidRPr="0043396A">
        <w:rPr>
          <w:b/>
          <w:i/>
        </w:rPr>
        <w:t>criteria</w:t>
      </w:r>
      <w:r>
        <w:t>, in relation to a person, are the following:</w:t>
      </w:r>
    </w:p>
    <w:p w14:paraId="28AC8D23" w14:textId="77777777" w:rsidR="00CF0E3D" w:rsidRDefault="00CF0E3D" w:rsidP="00CF0E3D">
      <w:pPr>
        <w:pStyle w:val="paragraph"/>
      </w:pPr>
      <w:r>
        <w:tab/>
        <w:t>(a)</w:t>
      </w:r>
      <w:r>
        <w:tab/>
        <w:t>whether the person, or any associated person, has, within the previous 10 years, been convicted of:</w:t>
      </w:r>
    </w:p>
    <w:p w14:paraId="7EAF4F27" w14:textId="77777777" w:rsidR="00CF0E3D" w:rsidRDefault="00CF0E3D" w:rsidP="00CF0E3D">
      <w:pPr>
        <w:pStyle w:val="paragraphsub"/>
      </w:pPr>
      <w:r>
        <w:tab/>
        <w:t>(i)</w:t>
      </w:r>
      <w:r>
        <w:tab/>
        <w:t>a serious criminal offence; or</w:t>
      </w:r>
    </w:p>
    <w:p w14:paraId="267C8A66" w14:textId="77777777" w:rsidR="00CF0E3D" w:rsidRDefault="00CF0E3D" w:rsidP="00CF0E3D">
      <w:pPr>
        <w:pStyle w:val="paragraphsub"/>
      </w:pPr>
      <w:r>
        <w:tab/>
        <w:t>(ii)</w:t>
      </w:r>
      <w:r>
        <w:tab/>
        <w:t>an offence of dishonesty;</w:t>
      </w:r>
    </w:p>
    <w:p w14:paraId="12D62F05" w14:textId="77777777" w:rsidR="00CF0E3D" w:rsidRDefault="00CF0E3D" w:rsidP="00CF0E3D">
      <w:pPr>
        <w:pStyle w:val="paragraph"/>
      </w:pPr>
      <w:r>
        <w:tab/>
      </w:r>
      <w:r>
        <w:tab/>
        <w:t>against any law of the Commonwealth or of a State or a Territory, or a law of a foreign jurisdiction;</w:t>
      </w:r>
    </w:p>
    <w:p w14:paraId="3DD67CA0" w14:textId="77777777" w:rsidR="00CF0E3D" w:rsidRDefault="00CF0E3D" w:rsidP="00CF0E3D">
      <w:pPr>
        <w:pStyle w:val="paragraph"/>
      </w:pPr>
      <w:r>
        <w:tab/>
        <w:t>(b)</w:t>
      </w:r>
      <w:r>
        <w:tab/>
        <w:t>whether the person, or any associated person, has been found to have contravened:</w:t>
      </w:r>
    </w:p>
    <w:p w14:paraId="6877ED99" w14:textId="77777777" w:rsidR="00CF0E3D" w:rsidRDefault="00CF0E3D" w:rsidP="00CF0E3D">
      <w:pPr>
        <w:pStyle w:val="paragraphsub"/>
      </w:pPr>
      <w:r>
        <w:tab/>
        <w:t>(i)</w:t>
      </w:r>
      <w:r>
        <w:tab/>
        <w:t>a law relevant to the management of CDR data; or</w:t>
      </w:r>
    </w:p>
    <w:p w14:paraId="5BE300DD" w14:textId="77777777" w:rsidR="00CF0E3D" w:rsidRPr="00706DF7" w:rsidRDefault="00CF0E3D" w:rsidP="00CF0E3D">
      <w:pPr>
        <w:pStyle w:val="paragraphsub"/>
      </w:pPr>
      <w:r>
        <w:tab/>
        <w:t>(ii)</w:t>
      </w:r>
      <w:r>
        <w:tab/>
        <w:t>a similar law of a foreign jurisdiction;</w:t>
      </w:r>
    </w:p>
    <w:p w14:paraId="2EA508E9" w14:textId="77777777" w:rsidR="00CF0E3D" w:rsidRPr="009C222D" w:rsidRDefault="00CF0E3D" w:rsidP="00CF0E3D">
      <w:pPr>
        <w:pStyle w:val="paragraph"/>
        <w:rPr>
          <w:color w:val="000000" w:themeColor="text1"/>
        </w:rPr>
      </w:pPr>
      <w:r>
        <w:tab/>
        <w:t>(c)</w:t>
      </w:r>
      <w:r>
        <w:tab/>
        <w:t>whether the person, or any associated person, has been the subject of</w:t>
      </w:r>
      <w:r w:rsidRPr="009C222D">
        <w:rPr>
          <w:color w:val="000000" w:themeColor="text1"/>
        </w:rPr>
        <w:t>:</w:t>
      </w:r>
    </w:p>
    <w:p w14:paraId="0C539855" w14:textId="77777777" w:rsidR="00CF0E3D" w:rsidRPr="009500AD" w:rsidRDefault="00CF0E3D" w:rsidP="00CF0E3D">
      <w:pPr>
        <w:pStyle w:val="paragraphsub"/>
      </w:pPr>
      <w:r>
        <w:tab/>
        <w:t>(i)</w:t>
      </w:r>
      <w:r>
        <w:tab/>
        <w:t xml:space="preserve">a determination </w:t>
      </w:r>
      <w:r w:rsidRPr="00641354">
        <w:t xml:space="preserve">under paragraph 52(1)(b) or any of paragraphs 52(1A)(a), (b), (c) or (d) of the </w:t>
      </w:r>
      <w:r w:rsidRPr="00641354">
        <w:rPr>
          <w:i/>
        </w:rPr>
        <w:t>Privacy Act 1988</w:t>
      </w:r>
      <w:r>
        <w:t xml:space="preserve">; </w:t>
      </w:r>
      <w:r w:rsidRPr="009500AD">
        <w:t>or</w:t>
      </w:r>
    </w:p>
    <w:p w14:paraId="7E07A581" w14:textId="77777777" w:rsidR="00CF0E3D" w:rsidRDefault="00CF0E3D" w:rsidP="00CF0E3D">
      <w:pPr>
        <w:pStyle w:val="paragraphsub"/>
      </w:pPr>
      <w:r w:rsidRPr="009500AD">
        <w:tab/>
      </w:r>
      <w:r>
        <w:t>(ii)</w:t>
      </w:r>
      <w:r w:rsidRPr="009500AD">
        <w:tab/>
        <w:t xml:space="preserve">a finding </w:t>
      </w:r>
      <w:r w:rsidRPr="0018564F">
        <w:t xml:space="preserve">or determination of a similar nature </w:t>
      </w:r>
      <w:r w:rsidRPr="009500AD">
        <w:t>under a similar law of a foreign jurisdiction;</w:t>
      </w:r>
    </w:p>
    <w:p w14:paraId="066541A6" w14:textId="77777777" w:rsidR="00CF0E3D" w:rsidRDefault="00CF0E3D" w:rsidP="00CF0E3D">
      <w:pPr>
        <w:pStyle w:val="paragraph"/>
      </w:pPr>
      <w:r>
        <w:tab/>
        <w:t>(d)</w:t>
      </w:r>
      <w:r>
        <w:tab/>
        <w:t xml:space="preserve">if the person is a body corporate—whether any of the directors </w:t>
      </w:r>
      <w:r w:rsidRPr="000C3240">
        <w:rPr>
          <w:color w:val="000000" w:themeColor="text1"/>
        </w:rPr>
        <w:t xml:space="preserve">(within the meaning of the </w:t>
      </w:r>
      <w:r w:rsidRPr="000C3240">
        <w:rPr>
          <w:i/>
          <w:color w:val="000000" w:themeColor="text1"/>
        </w:rPr>
        <w:t>Corporations Act 2001</w:t>
      </w:r>
      <w:r w:rsidRPr="000C3240">
        <w:rPr>
          <w:color w:val="000000" w:themeColor="text1"/>
        </w:rPr>
        <w:t>)</w:t>
      </w:r>
      <w:r>
        <w:rPr>
          <w:i/>
        </w:rPr>
        <w:t xml:space="preserve"> </w:t>
      </w:r>
      <w:r>
        <w:t xml:space="preserve">of the person, </w:t>
      </w:r>
      <w:r w:rsidRPr="00AB73DF">
        <w:t>or any associated person</w:t>
      </w:r>
      <w:r>
        <w:t>:</w:t>
      </w:r>
    </w:p>
    <w:p w14:paraId="7594337A" w14:textId="77777777" w:rsidR="00CF0E3D" w:rsidRDefault="00CF0E3D" w:rsidP="00CF0E3D">
      <w:pPr>
        <w:pStyle w:val="paragraphsub"/>
      </w:pPr>
      <w:r>
        <w:tab/>
        <w:t>(i)</w:t>
      </w:r>
      <w:r>
        <w:tab/>
        <w:t>has been disqualified from managing corporations; or</w:t>
      </w:r>
    </w:p>
    <w:p w14:paraId="5187B5AC" w14:textId="77777777" w:rsidR="00CF0E3D" w:rsidRDefault="00CF0E3D" w:rsidP="00CF0E3D">
      <w:pPr>
        <w:pStyle w:val="paragraphsub"/>
      </w:pPr>
      <w:r>
        <w:tab/>
        <w:t>(ii)</w:t>
      </w:r>
      <w:r>
        <w:tab/>
        <w:t>is subject to a banning order;</w:t>
      </w:r>
    </w:p>
    <w:p w14:paraId="5E51661E" w14:textId="77777777" w:rsidR="00CF0E3D" w:rsidRDefault="00CF0E3D" w:rsidP="00CF0E3D">
      <w:pPr>
        <w:pStyle w:val="paragraph"/>
      </w:pPr>
      <w:r>
        <w:tab/>
        <w:t>(e)</w:t>
      </w:r>
      <w:r>
        <w:tab/>
        <w:t>whether the person, or any associated person, has a history of insolvency or bankruptcy;</w:t>
      </w:r>
    </w:p>
    <w:p w14:paraId="73C7768B" w14:textId="77777777" w:rsidR="00CF0E3D" w:rsidRPr="00724397" w:rsidRDefault="00CF0E3D" w:rsidP="00CF0E3D">
      <w:pPr>
        <w:pStyle w:val="paragraph"/>
      </w:pPr>
      <w:r>
        <w:tab/>
        <w:t>(f)</w:t>
      </w:r>
      <w:r>
        <w:tab/>
      </w:r>
      <w:r w:rsidRPr="00B1545A">
        <w:t>whether the person</w:t>
      </w:r>
      <w:r>
        <w:t>,</w:t>
      </w:r>
      <w:r w:rsidRPr="00B1545A">
        <w:t xml:space="preserve"> or any associated person</w:t>
      </w:r>
      <w:r>
        <w:t>,</w:t>
      </w:r>
      <w:r w:rsidRPr="00B1545A">
        <w:t xml:space="preserve"> has been the subject of a determination made under</w:t>
      </w:r>
      <w:r w:rsidRPr="00724397">
        <w:t xml:space="preserve"> an external dispute resolution scheme that:</w:t>
      </w:r>
    </w:p>
    <w:p w14:paraId="461BB70B" w14:textId="77777777" w:rsidR="00CF0E3D" w:rsidRPr="00724397" w:rsidRDefault="00CF0E3D" w:rsidP="00CF0E3D">
      <w:pPr>
        <w:pStyle w:val="paragraphsub"/>
      </w:pPr>
      <w:r w:rsidRPr="00724397">
        <w:tab/>
      </w:r>
      <w:r>
        <w:t>(i)</w:t>
      </w:r>
      <w:r w:rsidRPr="00724397">
        <w:tab/>
        <w:t>included a requirement to pay monetary compensation; and</w:t>
      </w:r>
    </w:p>
    <w:p w14:paraId="304A0746" w14:textId="77777777" w:rsidR="00CF0E3D" w:rsidRPr="00724397" w:rsidRDefault="00CF0E3D" w:rsidP="00CF0E3D">
      <w:pPr>
        <w:pStyle w:val="paragraphsub"/>
      </w:pPr>
      <w:r w:rsidRPr="00724397">
        <w:tab/>
      </w:r>
      <w:r>
        <w:t>(ii)</w:t>
      </w:r>
      <w:r w:rsidRPr="00724397">
        <w:tab/>
        <w:t>was, at the time the determination was made:</w:t>
      </w:r>
    </w:p>
    <w:p w14:paraId="2305DFF3" w14:textId="77777777" w:rsidR="00CF0E3D" w:rsidRDefault="00CF0E3D" w:rsidP="00CF0E3D">
      <w:pPr>
        <w:pStyle w:val="paragraphsub-sub"/>
      </w:pPr>
      <w:r>
        <w:tab/>
        <w:t>(A)</w:t>
      </w:r>
      <w:r>
        <w:tab/>
      </w:r>
      <w:r w:rsidRPr="00B1545A">
        <w:t xml:space="preserve">recognised under the </w:t>
      </w:r>
      <w:r w:rsidRPr="00714089">
        <w:rPr>
          <w:i/>
        </w:rPr>
        <w:t>Privacy Act 1988</w:t>
      </w:r>
      <w:r>
        <w:t>; or</w:t>
      </w:r>
    </w:p>
    <w:p w14:paraId="336D26C0" w14:textId="77777777" w:rsidR="00CF0E3D" w:rsidRDefault="00CF0E3D" w:rsidP="00CF0E3D">
      <w:pPr>
        <w:pStyle w:val="paragraphsub-sub"/>
      </w:pPr>
      <w:r>
        <w:tab/>
        <w:t>(B)</w:t>
      </w:r>
      <w:r>
        <w:tab/>
        <w:t>a recognised external dispute resolution scheme;</w:t>
      </w:r>
    </w:p>
    <w:p w14:paraId="7D745370" w14:textId="77777777" w:rsidR="00CF0E3D" w:rsidRDefault="00CF0E3D" w:rsidP="00CF0E3D">
      <w:pPr>
        <w:pStyle w:val="paragraph"/>
      </w:pPr>
      <w:r>
        <w:tab/>
        <w:t>(g)</w:t>
      </w:r>
      <w:r>
        <w:tab/>
        <w:t>any other relevant matter, including but not limited to the objects of Part IVD of the Act.</w:t>
      </w:r>
    </w:p>
    <w:p w14:paraId="72B1D8A9" w14:textId="77777777" w:rsidR="00CF0E3D" w:rsidRDefault="00CF0E3D" w:rsidP="00CF0E3D">
      <w:pPr>
        <w:pStyle w:val="notetext"/>
      </w:pPr>
      <w:r>
        <w:t>Note:</w:t>
      </w:r>
      <w:r>
        <w:tab/>
        <w:t>The objects of Part IVD are set out in section 56AA of the Act.</w:t>
      </w:r>
    </w:p>
    <w:p w14:paraId="2BD1B7AB" w14:textId="77777777" w:rsidR="00CF0E3D" w:rsidRDefault="00CF0E3D" w:rsidP="00CF0E3D">
      <w:pPr>
        <w:pStyle w:val="subsection"/>
      </w:pPr>
      <w:r>
        <w:tab/>
        <w:t>(2)</w:t>
      </w:r>
      <w:r>
        <w:tab/>
        <w:t>In this rule:</w:t>
      </w:r>
    </w:p>
    <w:p w14:paraId="277FE0BB" w14:textId="77777777" w:rsidR="00CF0E3D" w:rsidRDefault="00CF0E3D" w:rsidP="00CF0E3D">
      <w:pPr>
        <w:pStyle w:val="Definition"/>
      </w:pPr>
      <w:r>
        <w:rPr>
          <w:b/>
          <w:i/>
        </w:rPr>
        <w:t xml:space="preserve">banning order </w:t>
      </w:r>
      <w:r>
        <w:t xml:space="preserve">has the same meaning as in the </w:t>
      </w:r>
      <w:r>
        <w:rPr>
          <w:i/>
        </w:rPr>
        <w:t>Corporations Act 2001</w:t>
      </w:r>
      <w:r>
        <w:t>.</w:t>
      </w:r>
    </w:p>
    <w:p w14:paraId="6FDD35F4" w14:textId="77777777" w:rsidR="00CF0E3D" w:rsidRDefault="00CF0E3D" w:rsidP="00CF0E3D">
      <w:pPr>
        <w:pStyle w:val="Definition"/>
      </w:pPr>
      <w:r>
        <w:rPr>
          <w:b/>
          <w:i/>
        </w:rPr>
        <w:t xml:space="preserve">serious criminal offence </w:t>
      </w:r>
      <w:r>
        <w:t>means an offence for which, if the act or omission had taken place in the Jervis Bay Territory, a person would be liable, on first conviction, to imprisonment for a period of not less than 5 years.</w:t>
      </w:r>
    </w:p>
    <w:p w14:paraId="146BD18C" w14:textId="77777777" w:rsidR="00CF0E3D" w:rsidRDefault="00CF0E3D" w:rsidP="00CF0E3D">
      <w:pPr>
        <w:pStyle w:val="notetext"/>
        <w:rPr>
          <w:shd w:val="clear" w:color="auto" w:fill="FFFFFF"/>
        </w:rPr>
      </w:pPr>
      <w:r>
        <w:rPr>
          <w:shd w:val="clear" w:color="auto" w:fill="FFFFFF"/>
        </w:rPr>
        <w:t>Note:</w:t>
      </w:r>
      <w:r>
        <w:rPr>
          <w:shd w:val="clear" w:color="auto" w:fill="FFFFFF"/>
        </w:rPr>
        <w:tab/>
        <w:t>Jervis Bay Territory is mentioned because it is a jurisdiction in which the Commonwealth has control over the criminal law.</w:t>
      </w:r>
    </w:p>
    <w:p w14:paraId="07529DBD" w14:textId="77777777" w:rsidR="00CF0E3D" w:rsidRPr="004D57B9" w:rsidRDefault="00CF0E3D" w:rsidP="00CF0E3D">
      <w:pPr>
        <w:pStyle w:val="ActHead5"/>
        <w:rPr>
          <w:i/>
          <w:strike/>
          <w:shd w:val="clear" w:color="auto" w:fill="FFFFFF"/>
        </w:rPr>
      </w:pPr>
      <w:bookmarkStart w:id="23" w:name="_Toc50041691"/>
      <w:bookmarkStart w:id="24" w:name="_Toc50708279"/>
      <w:bookmarkStart w:id="25" w:name="_Toc50708312"/>
      <w:bookmarkStart w:id="26" w:name="_Toc74916076"/>
      <w:r w:rsidRPr="004D57B9">
        <w:rPr>
          <w:shd w:val="clear" w:color="auto" w:fill="FFFFFF"/>
        </w:rPr>
        <w:t xml:space="preserve">1.10  Meaning of </w:t>
      </w:r>
      <w:r w:rsidRPr="004D57B9">
        <w:rPr>
          <w:i/>
          <w:shd w:val="clear" w:color="auto" w:fill="FFFFFF"/>
        </w:rPr>
        <w:t xml:space="preserve">outsourced service provider </w:t>
      </w:r>
      <w:r w:rsidRPr="004D57B9">
        <w:rPr>
          <w:shd w:val="clear" w:color="auto" w:fill="FFFFFF"/>
        </w:rPr>
        <w:t>and related terms</w:t>
      </w:r>
      <w:bookmarkEnd w:id="23"/>
      <w:bookmarkEnd w:id="24"/>
      <w:bookmarkEnd w:id="25"/>
      <w:bookmarkEnd w:id="26"/>
    </w:p>
    <w:p w14:paraId="0779FFC8" w14:textId="77777777" w:rsidR="00CF0E3D" w:rsidRPr="004D57B9" w:rsidRDefault="00CF0E3D" w:rsidP="00CF0E3D">
      <w:pPr>
        <w:pStyle w:val="subsection"/>
      </w:pPr>
      <w:r w:rsidRPr="004D57B9">
        <w:tab/>
        <w:t>(1)</w:t>
      </w:r>
      <w:r w:rsidRPr="004D57B9">
        <w:tab/>
        <w:t xml:space="preserve">For these rules, where two persons are the principal and the provider in a CDR outsourcing arrangement, the provider is an </w:t>
      </w:r>
      <w:r w:rsidRPr="004D57B9">
        <w:rPr>
          <w:b/>
          <w:i/>
        </w:rPr>
        <w:t xml:space="preserve">outsourced service provider </w:t>
      </w:r>
      <w:r w:rsidRPr="004D57B9">
        <w:t>of the principal.</w:t>
      </w:r>
    </w:p>
    <w:p w14:paraId="6E563DE5" w14:textId="77777777" w:rsidR="00CF0E3D" w:rsidRPr="004D57B9" w:rsidRDefault="00CF0E3D" w:rsidP="00CF0E3D">
      <w:pPr>
        <w:pStyle w:val="subsection"/>
      </w:pPr>
      <w:r w:rsidRPr="004D57B9">
        <w:tab/>
        <w:t>(2)</w:t>
      </w:r>
      <w:r w:rsidRPr="004D57B9">
        <w:tab/>
        <w:t xml:space="preserve">For these rules, a </w:t>
      </w:r>
      <w:r w:rsidRPr="004D57B9">
        <w:rPr>
          <w:b/>
          <w:i/>
        </w:rPr>
        <w:t>CDR</w:t>
      </w:r>
      <w:r w:rsidRPr="004D57B9">
        <w:t xml:space="preserve"> </w:t>
      </w:r>
      <w:r w:rsidRPr="004D57B9">
        <w:rPr>
          <w:b/>
          <w:i/>
        </w:rPr>
        <w:t>outsourcing arrangement</w:t>
      </w:r>
      <w:r w:rsidRPr="004D57B9">
        <w:t xml:space="preserve"> is a written contract between a person (the </w:t>
      </w:r>
      <w:r w:rsidRPr="004D57B9">
        <w:rPr>
          <w:b/>
          <w:i/>
        </w:rPr>
        <w:t>principal</w:t>
      </w:r>
      <w:r w:rsidRPr="004D57B9">
        <w:t>)</w:t>
      </w:r>
      <w:r w:rsidRPr="004D57B9">
        <w:rPr>
          <w:b/>
          <w:i/>
        </w:rPr>
        <w:t xml:space="preserve"> </w:t>
      </w:r>
      <w:r w:rsidRPr="004D57B9">
        <w:t xml:space="preserve">and another person (the </w:t>
      </w:r>
      <w:r w:rsidRPr="004D57B9">
        <w:rPr>
          <w:b/>
          <w:i/>
        </w:rPr>
        <w:t>provider</w:t>
      </w:r>
      <w:r w:rsidRPr="004D57B9">
        <w:t>) under which:</w:t>
      </w:r>
    </w:p>
    <w:p w14:paraId="228BB01D" w14:textId="77777777" w:rsidR="00026E80" w:rsidRPr="00BC78CF" w:rsidRDefault="00026E80" w:rsidP="00026E80">
      <w:pPr>
        <w:pStyle w:val="paragraph"/>
        <w:rPr>
          <w:color w:val="FF0000"/>
        </w:rPr>
      </w:pPr>
      <w:r w:rsidRPr="00BC78CF">
        <w:rPr>
          <w:color w:val="FF0000"/>
        </w:rPr>
        <w:tab/>
        <w:t>(a)</w:t>
      </w:r>
      <w:r w:rsidRPr="00BC78CF">
        <w:rPr>
          <w:color w:val="FF0000"/>
        </w:rPr>
        <w:tab/>
        <w:t>the provider will do one or both of the following:</w:t>
      </w:r>
    </w:p>
    <w:p w14:paraId="63F018EE" w14:textId="77777777" w:rsidR="00026E80" w:rsidRPr="00BC78CF" w:rsidRDefault="00026E80" w:rsidP="00026E80">
      <w:pPr>
        <w:pStyle w:val="paragraphsub"/>
        <w:rPr>
          <w:color w:val="FF0000"/>
        </w:rPr>
      </w:pPr>
      <w:r w:rsidRPr="00BC78CF">
        <w:rPr>
          <w:color w:val="FF0000"/>
        </w:rPr>
        <w:tab/>
        <w:t>(i)</w:t>
      </w:r>
      <w:r w:rsidRPr="00BC78CF">
        <w:rPr>
          <w:color w:val="FF0000"/>
        </w:rPr>
        <w:tab/>
        <w:t>collect CDR data from a CDR participant in accordance with these rules on behalf of the principal;</w:t>
      </w:r>
    </w:p>
    <w:p w14:paraId="0CF95ED8" w14:textId="77777777" w:rsidR="00026E80" w:rsidRPr="00BC78CF" w:rsidRDefault="00026E80" w:rsidP="00026E80">
      <w:pPr>
        <w:pStyle w:val="paragraphsub"/>
        <w:rPr>
          <w:color w:val="FF0000"/>
        </w:rPr>
      </w:pPr>
      <w:r w:rsidRPr="00BC78CF">
        <w:rPr>
          <w:color w:val="FF0000"/>
        </w:rPr>
        <w:tab/>
        <w:t>(ii)</w:t>
      </w:r>
      <w:r w:rsidRPr="00BC78CF">
        <w:rPr>
          <w:color w:val="FF0000"/>
        </w:rPr>
        <w:tab/>
        <w:t>provide goods or services to the principal using CDR data that it has collected on behalf of the the principal or that has been disclosed to it by the principal; and</w:t>
      </w:r>
    </w:p>
    <w:p w14:paraId="55B84C06" w14:textId="77777777" w:rsidR="00026E80" w:rsidRPr="00BC78CF" w:rsidRDefault="00026E80" w:rsidP="00026E80">
      <w:pPr>
        <w:pStyle w:val="paragraph"/>
        <w:rPr>
          <w:strike/>
          <w:color w:val="FF0000"/>
        </w:rPr>
      </w:pPr>
      <w:r w:rsidRPr="00BC78CF">
        <w:rPr>
          <w:strike/>
          <w:color w:val="FF0000"/>
        </w:rPr>
        <w:tab/>
        <w:t>(a)</w:t>
      </w:r>
      <w:r w:rsidRPr="00BC78CF">
        <w:rPr>
          <w:strike/>
          <w:color w:val="FF0000"/>
        </w:rPr>
        <w:tab/>
        <w:t>the provider will do one or both of the following:</w:t>
      </w:r>
    </w:p>
    <w:p w14:paraId="1A496DEE" w14:textId="77777777" w:rsidR="00026E80" w:rsidRPr="00BC78CF" w:rsidRDefault="00026E80" w:rsidP="00026E80">
      <w:pPr>
        <w:pStyle w:val="paragraphsub"/>
        <w:rPr>
          <w:strike/>
          <w:color w:val="FF0000"/>
        </w:rPr>
      </w:pPr>
      <w:r w:rsidRPr="00BC78CF">
        <w:rPr>
          <w:strike/>
          <w:color w:val="FF0000"/>
        </w:rPr>
        <w:tab/>
        <w:t>(i)</w:t>
      </w:r>
      <w:r w:rsidRPr="00BC78CF">
        <w:rPr>
          <w:strike/>
          <w:color w:val="FF0000"/>
        </w:rPr>
        <w:tab/>
        <w:t>if the provider is an accredited person―collect CDR data from a CDR participant in accordance with these rules on behalf of the principal;</w:t>
      </w:r>
    </w:p>
    <w:p w14:paraId="0E0AFE95" w14:textId="77777777" w:rsidR="00026E80" w:rsidRPr="00BC78CF" w:rsidRDefault="00026E80" w:rsidP="00026E80">
      <w:pPr>
        <w:pStyle w:val="paragraphsub"/>
        <w:rPr>
          <w:strike/>
          <w:color w:val="FF0000"/>
        </w:rPr>
      </w:pPr>
      <w:r w:rsidRPr="00BC78CF">
        <w:rPr>
          <w:strike/>
          <w:color w:val="FF0000"/>
        </w:rPr>
        <w:tab/>
        <w:t>(ii)</w:t>
      </w:r>
      <w:r w:rsidRPr="00BC78CF">
        <w:rPr>
          <w:strike/>
          <w:color w:val="FF0000"/>
        </w:rPr>
        <w:tab/>
        <w:t>in any case―provide goods or services to the principal using CDR data disclosed to it by the principal; and</w:t>
      </w:r>
    </w:p>
    <w:p w14:paraId="1F62F876" w14:textId="77777777" w:rsidR="00CF0E3D" w:rsidRPr="004D57B9" w:rsidRDefault="00CF0E3D" w:rsidP="00CF0E3D">
      <w:pPr>
        <w:pStyle w:val="paragraph"/>
      </w:pPr>
      <w:r w:rsidRPr="004D57B9">
        <w:tab/>
        <w:t>(b)</w:t>
      </w:r>
      <w:r w:rsidRPr="004D57B9">
        <w:tab/>
        <w:t>the provider is required to comply with the following requirements in relation to any service data:</w:t>
      </w:r>
    </w:p>
    <w:p w14:paraId="32E27CE4" w14:textId="77777777" w:rsidR="00CF0E3D" w:rsidRPr="004D57B9" w:rsidRDefault="00CF0E3D" w:rsidP="00CF0E3D">
      <w:pPr>
        <w:pStyle w:val="paragraphsub"/>
      </w:pPr>
      <w:r w:rsidRPr="004D57B9">
        <w:tab/>
        <w:t>(i)</w:t>
      </w:r>
      <w:r w:rsidRPr="004D57B9">
        <w:tab/>
        <w:t>the provider must take the steps in Schedule 2 to protect the service data as if it were an accredited data recipient; and</w:t>
      </w:r>
    </w:p>
    <w:p w14:paraId="35DE0F3F" w14:textId="77777777" w:rsidR="00CF0E3D" w:rsidRPr="004D57B9" w:rsidRDefault="00CF0E3D" w:rsidP="00CF0E3D">
      <w:pPr>
        <w:pStyle w:val="paragraphsub"/>
      </w:pPr>
      <w:r w:rsidRPr="004D57B9">
        <w:tab/>
        <w:t>(ii)</w:t>
      </w:r>
      <w:r w:rsidRPr="004D57B9">
        <w:tab/>
        <w:t>the provider must not use or disclose the service data other than in accordance with a contract with the principal; and</w:t>
      </w:r>
    </w:p>
    <w:p w14:paraId="22FBA441" w14:textId="77777777" w:rsidR="00CF0E3D" w:rsidRPr="004D57B9" w:rsidRDefault="00CF0E3D" w:rsidP="00CF0E3D">
      <w:pPr>
        <w:pStyle w:val="paragraphsub"/>
      </w:pPr>
      <w:r w:rsidRPr="004D57B9">
        <w:tab/>
        <w:t>(iii)</w:t>
      </w:r>
      <w:r w:rsidRPr="004D57B9">
        <w:tab/>
        <w:t>the provider must, when so directed by the principal, do any of the following:</w:t>
      </w:r>
    </w:p>
    <w:p w14:paraId="2AD90637" w14:textId="77777777" w:rsidR="00CF0E3D" w:rsidRPr="004D57B9" w:rsidRDefault="00CF0E3D" w:rsidP="00CF0E3D">
      <w:pPr>
        <w:pStyle w:val="paragraphsub-sub"/>
      </w:pPr>
      <w:r w:rsidRPr="004D57B9">
        <w:tab/>
        <w:t>(A)</w:t>
      </w:r>
      <w:r w:rsidRPr="004D57B9">
        <w:tab/>
        <w:t>provide the principal with access to any service data that it holds;</w:t>
      </w:r>
    </w:p>
    <w:p w14:paraId="62D03316" w14:textId="77777777" w:rsidR="00CF0E3D" w:rsidRPr="004D57B9" w:rsidRDefault="00CF0E3D" w:rsidP="00CF0E3D">
      <w:pPr>
        <w:pStyle w:val="paragraphsub-sub"/>
      </w:pPr>
      <w:r w:rsidRPr="004D57B9">
        <w:tab/>
        <w:t>(B)</w:t>
      </w:r>
      <w:r w:rsidRPr="004D57B9">
        <w:tab/>
        <w:t>return to the principal CDR data that the principal disclosed to it;</w:t>
      </w:r>
    </w:p>
    <w:p w14:paraId="6844BB4A" w14:textId="77777777" w:rsidR="00CF0E3D" w:rsidRPr="004D57B9" w:rsidRDefault="00CF0E3D" w:rsidP="00CF0E3D">
      <w:pPr>
        <w:pStyle w:val="paragraphsub-sub"/>
      </w:pPr>
      <w:r w:rsidRPr="004D57B9">
        <w:tab/>
        <w:t>(C)</w:t>
      </w:r>
      <w:r w:rsidRPr="004D57B9">
        <w:tab/>
        <w:t>delete any service data that it holds in accordance with the CDR data deletion process;</w:t>
      </w:r>
    </w:p>
    <w:p w14:paraId="2FD20018" w14:textId="77777777" w:rsidR="00CF0E3D" w:rsidRPr="004D57B9" w:rsidRDefault="00CF0E3D" w:rsidP="00CF0E3D">
      <w:pPr>
        <w:pStyle w:val="paragraphsub-sub"/>
      </w:pPr>
      <w:r w:rsidRPr="004D57B9">
        <w:tab/>
        <w:t>(D)</w:t>
      </w:r>
      <w:r w:rsidRPr="004D57B9">
        <w:tab/>
        <w:t>provide, to the principal, records of any deletion that are required to be made under the CDR data deletion process;</w:t>
      </w:r>
    </w:p>
    <w:p w14:paraId="265A5603" w14:textId="77777777" w:rsidR="00CF0E3D" w:rsidRPr="004D57B9" w:rsidRDefault="00CF0E3D" w:rsidP="00CF0E3D">
      <w:pPr>
        <w:pStyle w:val="paragraphsub-sub"/>
      </w:pPr>
      <w:r w:rsidRPr="004D57B9">
        <w:tab/>
        <w:t>(E)</w:t>
      </w:r>
      <w:r w:rsidRPr="004D57B9">
        <w:tab/>
        <w:t>direct any other person to which it has disclosed CDR data to take corresponding steps; and</w:t>
      </w:r>
    </w:p>
    <w:p w14:paraId="72A27AE4" w14:textId="12145D26" w:rsidR="00CF0E3D" w:rsidRPr="00A458A1" w:rsidRDefault="00CF0E3D" w:rsidP="00CF0E3D">
      <w:pPr>
        <w:pStyle w:val="paragraphsub"/>
        <w:rPr>
          <w:strike/>
          <w:color w:val="FF0000"/>
        </w:rPr>
      </w:pPr>
      <w:r w:rsidRPr="00A458A1">
        <w:rPr>
          <w:strike/>
          <w:color w:val="FF0000"/>
        </w:rPr>
        <w:tab/>
        <w:t>(iv)</w:t>
      </w:r>
      <w:r w:rsidRPr="00A458A1">
        <w:rPr>
          <w:strike/>
          <w:color w:val="FF0000"/>
        </w:rPr>
        <w:tab/>
        <w:t>where the provider is to collect CDR data under the contract as mentioned in subparagraph (a)(i)—the provider must not further outsource that collection; and</w:t>
      </w:r>
    </w:p>
    <w:p w14:paraId="5E5179CF" w14:textId="77777777" w:rsidR="00CF0E3D" w:rsidRPr="004D57B9" w:rsidRDefault="00CF0E3D" w:rsidP="00CF0E3D">
      <w:pPr>
        <w:pStyle w:val="paragraphsub"/>
        <w:rPr>
          <w:strike/>
        </w:rPr>
      </w:pPr>
      <w:r w:rsidRPr="004D57B9">
        <w:tab/>
        <w:t xml:space="preserve">  (v)</w:t>
      </w:r>
      <w:r w:rsidRPr="004D57B9">
        <w:tab/>
        <w:t>the provider must not disclose any service data to another person, otherwise than under a further CDR outsourcing arrangement; and</w:t>
      </w:r>
    </w:p>
    <w:p w14:paraId="76BAD323" w14:textId="77777777" w:rsidR="00CF0E3D" w:rsidRPr="004D57B9" w:rsidRDefault="00CF0E3D" w:rsidP="00CF0E3D">
      <w:pPr>
        <w:pStyle w:val="paragraphsub"/>
      </w:pPr>
      <w:r w:rsidRPr="004D57B9">
        <w:tab/>
        <w:t>(vi)</w:t>
      </w:r>
      <w:r w:rsidRPr="004D57B9">
        <w:tab/>
        <w:t>if the provider does disclose such CDR data in accordance with subparagraph (v), it must ensure that the other person complies with the requirements of the further CDR outsourcing arrangement.</w:t>
      </w:r>
    </w:p>
    <w:p w14:paraId="7842D6DA" w14:textId="77777777" w:rsidR="00CF0E3D" w:rsidRPr="004D57B9" w:rsidRDefault="00CF0E3D" w:rsidP="00CF0E3D">
      <w:pPr>
        <w:pStyle w:val="notetext"/>
      </w:pPr>
      <w:r w:rsidRPr="004D57B9">
        <w:t>Note:</w:t>
      </w:r>
      <w:r w:rsidRPr="004D57B9">
        <w:tab/>
        <w:t>See rule 1.18 for the definition of “CDR data deletion process”.</w:t>
      </w:r>
    </w:p>
    <w:p w14:paraId="37397430" w14:textId="77777777" w:rsidR="00CF0E3D" w:rsidRPr="004D57B9" w:rsidRDefault="00CF0E3D" w:rsidP="00CF0E3D">
      <w:pPr>
        <w:pStyle w:val="subsection"/>
      </w:pPr>
      <w:r w:rsidRPr="004D57B9">
        <w:tab/>
        <w:t>(3)</w:t>
      </w:r>
      <w:r w:rsidRPr="004D57B9">
        <w:tab/>
        <w:t>For subparagraph (2)(a)(ii), the principal is taken to disclose CDR data to the provider if the principal gives the provider permission to access or use CDR data collected by the provider on behalf of the principal.</w:t>
      </w:r>
    </w:p>
    <w:p w14:paraId="322B2D2E" w14:textId="77777777" w:rsidR="00CF0E3D" w:rsidRPr="004D57B9" w:rsidRDefault="00CF0E3D" w:rsidP="00CF0E3D">
      <w:pPr>
        <w:pStyle w:val="subsection"/>
      </w:pPr>
      <w:r w:rsidRPr="004D57B9">
        <w:tab/>
        <w:t>(4)</w:t>
      </w:r>
      <w:r w:rsidRPr="004D57B9">
        <w:tab/>
        <w:t xml:space="preserve">For these rules, the </w:t>
      </w:r>
      <w:r w:rsidRPr="004D57B9">
        <w:rPr>
          <w:b/>
          <w:i/>
        </w:rPr>
        <w:t xml:space="preserve">service data </w:t>
      </w:r>
      <w:r w:rsidRPr="004D57B9">
        <w:t xml:space="preserve">in relation to a CDR outsourcing arrangement consists of any CDR data that: </w:t>
      </w:r>
    </w:p>
    <w:p w14:paraId="3D710C16" w14:textId="77777777" w:rsidR="00CF0E3D" w:rsidRPr="004D57B9" w:rsidRDefault="00CF0E3D" w:rsidP="00CF0E3D">
      <w:pPr>
        <w:pStyle w:val="paragraph"/>
      </w:pPr>
      <w:r w:rsidRPr="004D57B9">
        <w:tab/>
        <w:t>(a)</w:t>
      </w:r>
      <w:r w:rsidRPr="004D57B9">
        <w:tab/>
      </w:r>
      <w:r w:rsidRPr="00BD1239">
        <w:t>was</w:t>
      </w:r>
      <w:r w:rsidRPr="004D57B9">
        <w:t xml:space="preserve"> collected from a CDR participant in accordance with the arrangement; or</w:t>
      </w:r>
    </w:p>
    <w:p w14:paraId="34E981AF" w14:textId="77777777" w:rsidR="00CF0E3D" w:rsidRPr="004D57B9" w:rsidRDefault="00CF0E3D" w:rsidP="00CF0E3D">
      <w:pPr>
        <w:pStyle w:val="paragraph"/>
      </w:pPr>
      <w:r w:rsidRPr="004D57B9">
        <w:tab/>
        <w:t>(b)</w:t>
      </w:r>
      <w:r w:rsidRPr="004D57B9">
        <w:tab/>
        <w:t>was disclosed to the provider in the CDR outsourcing arrangement for the purposes of the arrangement; or</w:t>
      </w:r>
    </w:p>
    <w:p w14:paraId="7D20DA4E" w14:textId="77777777" w:rsidR="00CF0E3D" w:rsidRDefault="00CF0E3D" w:rsidP="00CF0E3D">
      <w:pPr>
        <w:pStyle w:val="paragraph"/>
      </w:pPr>
      <w:r w:rsidRPr="004D57B9">
        <w:tab/>
        <w:t>(c)</w:t>
      </w:r>
      <w:r w:rsidRPr="004D57B9">
        <w:tab/>
        <w:t>directly or indirectly derives from such CDR data.</w:t>
      </w:r>
    </w:p>
    <w:p w14:paraId="0165421B" w14:textId="69AB4E87" w:rsidR="00B86207" w:rsidRPr="00BC78CF" w:rsidRDefault="00B86207" w:rsidP="00B86207">
      <w:pPr>
        <w:pStyle w:val="ActHead5"/>
        <w:rPr>
          <w:color w:val="FF0000"/>
          <w:shd w:val="clear" w:color="auto" w:fill="FFFFFF"/>
        </w:rPr>
      </w:pPr>
      <w:bookmarkStart w:id="27" w:name="_Toc74916077"/>
      <w:bookmarkStart w:id="28" w:name="_Toc57218973"/>
      <w:bookmarkStart w:id="29" w:name="_Toc59549121"/>
      <w:r w:rsidRPr="00BC78CF">
        <w:rPr>
          <w:color w:val="FF0000"/>
          <w:shd w:val="clear" w:color="auto" w:fill="FFFFFF"/>
        </w:rPr>
        <w:t xml:space="preserve">1.10AA  Meaning of </w:t>
      </w:r>
      <w:r w:rsidR="00182338" w:rsidRPr="00BC78CF">
        <w:rPr>
          <w:i/>
          <w:color w:val="FF0000"/>
          <w:shd w:val="clear" w:color="auto" w:fill="FFFFFF"/>
        </w:rPr>
        <w:t>CDR representative</w:t>
      </w:r>
      <w:r w:rsidRPr="00BC78CF">
        <w:rPr>
          <w:i/>
          <w:color w:val="FF0000"/>
          <w:shd w:val="clear" w:color="auto" w:fill="FFFFFF"/>
        </w:rPr>
        <w:t xml:space="preserve"> </w:t>
      </w:r>
      <w:r w:rsidRPr="00BC78CF">
        <w:rPr>
          <w:color w:val="FF0000"/>
          <w:shd w:val="clear" w:color="auto" w:fill="FFFFFF"/>
        </w:rPr>
        <w:t>and related terms</w:t>
      </w:r>
      <w:bookmarkEnd w:id="27"/>
    </w:p>
    <w:p w14:paraId="6BFC3FE7" w14:textId="2D464E11" w:rsidR="00B86207" w:rsidRPr="00BC78CF" w:rsidRDefault="00B86207" w:rsidP="00B86207">
      <w:pPr>
        <w:pStyle w:val="notemargin"/>
        <w:rPr>
          <w:color w:val="FF0000"/>
        </w:rPr>
      </w:pPr>
      <w:r w:rsidRPr="00BC78CF">
        <w:rPr>
          <w:color w:val="FF0000"/>
        </w:rPr>
        <w:t>Note:</w:t>
      </w:r>
      <w:r w:rsidRPr="00BC78CF">
        <w:rPr>
          <w:color w:val="FF0000"/>
        </w:rPr>
        <w:tab/>
        <w:t xml:space="preserve">From the point of view of a CDR consumer who is the customer of a </w:t>
      </w:r>
      <w:r w:rsidR="00182338" w:rsidRPr="00BC78CF">
        <w:rPr>
          <w:color w:val="FF0000"/>
        </w:rPr>
        <w:t>CDR representative</w:t>
      </w:r>
      <w:r w:rsidRPr="00BC78CF">
        <w:rPr>
          <w:color w:val="FF0000"/>
        </w:rPr>
        <w:t xml:space="preserve">, the consumer deals only with the </w:t>
      </w:r>
      <w:r w:rsidR="00182338" w:rsidRPr="00BC78CF">
        <w:rPr>
          <w:color w:val="FF0000"/>
        </w:rPr>
        <w:t>CDR representative</w:t>
      </w:r>
      <w:r w:rsidRPr="00BC78CF">
        <w:rPr>
          <w:color w:val="FF0000"/>
        </w:rPr>
        <w:t xml:space="preserve">, as if it were an accredited person.  The consumer requests the goods or services from the </w:t>
      </w:r>
      <w:r w:rsidR="00182338" w:rsidRPr="00BC78CF">
        <w:rPr>
          <w:color w:val="FF0000"/>
        </w:rPr>
        <w:t>CDR representative</w:t>
      </w:r>
      <w:r w:rsidRPr="00BC78CF">
        <w:rPr>
          <w:color w:val="FF0000"/>
        </w:rPr>
        <w:t xml:space="preserve">; the </w:t>
      </w:r>
      <w:r w:rsidR="00182338" w:rsidRPr="00BC78CF">
        <w:rPr>
          <w:color w:val="FF0000"/>
        </w:rPr>
        <w:t>CDR representative</w:t>
      </w:r>
      <w:r w:rsidRPr="00BC78CF">
        <w:rPr>
          <w:color w:val="FF0000"/>
        </w:rPr>
        <w:t xml:space="preserve"> identifies the CDR data that it needs in order to provide the goods and services; the consumer gives their consent to the </w:t>
      </w:r>
      <w:r w:rsidR="00182338" w:rsidRPr="00BC78CF">
        <w:rPr>
          <w:color w:val="FF0000"/>
        </w:rPr>
        <w:t>CDR representative</w:t>
      </w:r>
      <w:r w:rsidRPr="00BC78CF">
        <w:rPr>
          <w:color w:val="FF0000"/>
        </w:rPr>
        <w:t xml:space="preserve"> for the collection and use of the CDR data.  The consumer is informed that the CDR principal will do the actual collecting, but as a background detail.</w:t>
      </w:r>
    </w:p>
    <w:p w14:paraId="24A5B46A" w14:textId="005C3218" w:rsidR="00B86207" w:rsidRPr="00BC78CF" w:rsidRDefault="00B86207" w:rsidP="00B86207">
      <w:pPr>
        <w:pStyle w:val="subsection"/>
        <w:rPr>
          <w:color w:val="FF0000"/>
        </w:rPr>
      </w:pPr>
      <w:r w:rsidRPr="00BC78CF">
        <w:rPr>
          <w:color w:val="FF0000"/>
        </w:rPr>
        <w:tab/>
        <w:t>(1)</w:t>
      </w:r>
      <w:r w:rsidRPr="00BC78CF">
        <w:rPr>
          <w:color w:val="FF0000"/>
        </w:rPr>
        <w:tab/>
        <w:t xml:space="preserve">For these rules, where two persons are the principal and the </w:t>
      </w:r>
      <w:r w:rsidR="00182338" w:rsidRPr="00BC78CF">
        <w:rPr>
          <w:color w:val="FF0000"/>
        </w:rPr>
        <w:t>representative</w:t>
      </w:r>
      <w:r w:rsidRPr="00BC78CF">
        <w:rPr>
          <w:color w:val="FF0000"/>
        </w:rPr>
        <w:t xml:space="preserve"> in a </w:t>
      </w:r>
      <w:r w:rsidR="00182338" w:rsidRPr="00BC78CF">
        <w:rPr>
          <w:color w:val="FF0000"/>
        </w:rPr>
        <w:t>CDR representative</w:t>
      </w:r>
      <w:r w:rsidRPr="00BC78CF">
        <w:rPr>
          <w:color w:val="FF0000"/>
        </w:rPr>
        <w:t xml:space="preserve"> arrangement, the </w:t>
      </w:r>
      <w:r w:rsidR="00182338" w:rsidRPr="00BC78CF">
        <w:rPr>
          <w:color w:val="FF0000"/>
        </w:rPr>
        <w:t>representative</w:t>
      </w:r>
      <w:r w:rsidRPr="00BC78CF">
        <w:rPr>
          <w:color w:val="FF0000"/>
        </w:rPr>
        <w:t xml:space="preserve"> is a </w:t>
      </w:r>
      <w:r w:rsidR="00182338" w:rsidRPr="00BC78CF">
        <w:rPr>
          <w:b/>
          <w:i/>
          <w:color w:val="FF0000"/>
        </w:rPr>
        <w:t>CDR representative</w:t>
      </w:r>
      <w:r w:rsidRPr="00BC78CF">
        <w:rPr>
          <w:b/>
          <w:i/>
          <w:color w:val="FF0000"/>
        </w:rPr>
        <w:t xml:space="preserve"> </w:t>
      </w:r>
      <w:r w:rsidRPr="00BC78CF">
        <w:rPr>
          <w:color w:val="FF0000"/>
        </w:rPr>
        <w:t>of the principal.</w:t>
      </w:r>
    </w:p>
    <w:p w14:paraId="04071F9A" w14:textId="014D7C96" w:rsidR="00B86207" w:rsidRPr="00BC78CF" w:rsidRDefault="00B86207" w:rsidP="00B86207">
      <w:pPr>
        <w:pStyle w:val="subsection"/>
        <w:rPr>
          <w:color w:val="FF0000"/>
        </w:rPr>
      </w:pPr>
      <w:r w:rsidRPr="00BC78CF">
        <w:rPr>
          <w:color w:val="FF0000"/>
        </w:rPr>
        <w:tab/>
        <w:t>(2)</w:t>
      </w:r>
      <w:r w:rsidRPr="00BC78CF">
        <w:rPr>
          <w:color w:val="FF0000"/>
        </w:rPr>
        <w:tab/>
        <w:t xml:space="preserve">For these rules, a </w:t>
      </w:r>
      <w:r w:rsidR="00182338" w:rsidRPr="00BC78CF">
        <w:rPr>
          <w:b/>
          <w:i/>
          <w:color w:val="FF0000"/>
        </w:rPr>
        <w:t>CDR representative</w:t>
      </w:r>
      <w:r w:rsidRPr="00BC78CF">
        <w:rPr>
          <w:b/>
          <w:i/>
          <w:color w:val="FF0000"/>
        </w:rPr>
        <w:t xml:space="preserve"> arrangement</w:t>
      </w:r>
      <w:r w:rsidRPr="00BC78CF">
        <w:rPr>
          <w:color w:val="FF0000"/>
        </w:rPr>
        <w:t xml:space="preserve"> is a written contract between a person with unrestricted accreditation (the </w:t>
      </w:r>
      <w:r w:rsidRPr="00BC78CF">
        <w:rPr>
          <w:b/>
          <w:i/>
          <w:color w:val="FF0000"/>
        </w:rPr>
        <w:t>principal</w:t>
      </w:r>
      <w:r w:rsidRPr="00BC78CF">
        <w:rPr>
          <w:color w:val="FF0000"/>
        </w:rPr>
        <w:t>)</w:t>
      </w:r>
      <w:r w:rsidRPr="00BC78CF">
        <w:rPr>
          <w:b/>
          <w:i/>
          <w:color w:val="FF0000"/>
        </w:rPr>
        <w:t xml:space="preserve"> </w:t>
      </w:r>
      <w:r w:rsidRPr="00BC78CF">
        <w:rPr>
          <w:color w:val="FF0000"/>
        </w:rPr>
        <w:t xml:space="preserve">and a person without accreditation (the </w:t>
      </w:r>
      <w:r w:rsidR="00182338" w:rsidRPr="00BC78CF">
        <w:rPr>
          <w:b/>
          <w:i/>
          <w:color w:val="FF0000"/>
        </w:rPr>
        <w:t>representative</w:t>
      </w:r>
      <w:r w:rsidRPr="00BC78CF">
        <w:rPr>
          <w:color w:val="FF0000"/>
        </w:rPr>
        <w:t>) under which:</w:t>
      </w:r>
    </w:p>
    <w:p w14:paraId="205414CD" w14:textId="6BCACAA1" w:rsidR="00B86207" w:rsidRPr="00BC78CF" w:rsidRDefault="00B86207" w:rsidP="00B86207">
      <w:pPr>
        <w:pStyle w:val="paragraph"/>
        <w:rPr>
          <w:color w:val="FF0000"/>
        </w:rPr>
      </w:pPr>
      <w:r w:rsidRPr="00BC78CF">
        <w:rPr>
          <w:color w:val="FF0000"/>
        </w:rPr>
        <w:tab/>
        <w:t>(a)</w:t>
      </w:r>
      <w:r w:rsidRPr="00BC78CF">
        <w:rPr>
          <w:color w:val="FF0000"/>
        </w:rPr>
        <w:tab/>
        <w:t xml:space="preserve">where the </w:t>
      </w:r>
      <w:r w:rsidR="00182338" w:rsidRPr="00BC78CF">
        <w:rPr>
          <w:color w:val="FF0000"/>
        </w:rPr>
        <w:t>representative</w:t>
      </w:r>
      <w:r w:rsidRPr="00BC78CF">
        <w:rPr>
          <w:color w:val="FF0000"/>
        </w:rPr>
        <w:t xml:space="preserve"> has obtained the consent of a CDR consumer to the collection and use of CDR data in accordance with rule </w:t>
      </w:r>
      <w:r w:rsidR="00EC1939" w:rsidRPr="00BC78CF">
        <w:rPr>
          <w:color w:val="FF0000"/>
        </w:rPr>
        <w:t>4.3A</w:t>
      </w:r>
      <w:r w:rsidRPr="00BC78CF">
        <w:rPr>
          <w:color w:val="FF0000"/>
        </w:rPr>
        <w:t>:</w:t>
      </w:r>
    </w:p>
    <w:p w14:paraId="54AEC0FE" w14:textId="77777777" w:rsidR="00B86207" w:rsidRPr="00BC78CF" w:rsidRDefault="00B86207" w:rsidP="00B86207">
      <w:pPr>
        <w:pStyle w:val="paragraphsub"/>
        <w:rPr>
          <w:color w:val="FF0000"/>
        </w:rPr>
      </w:pPr>
      <w:r w:rsidRPr="00BC78CF">
        <w:rPr>
          <w:color w:val="FF0000"/>
        </w:rPr>
        <w:tab/>
        <w:t>(i)</w:t>
      </w:r>
      <w:r w:rsidRPr="00BC78CF">
        <w:rPr>
          <w:color w:val="FF0000"/>
        </w:rPr>
        <w:tab/>
        <w:t>the principal will:</w:t>
      </w:r>
    </w:p>
    <w:p w14:paraId="4F2EC187" w14:textId="77777777" w:rsidR="00B86207" w:rsidRPr="00BC78CF" w:rsidRDefault="00B86207" w:rsidP="00B86207">
      <w:pPr>
        <w:pStyle w:val="paragraphsub-sub"/>
        <w:rPr>
          <w:color w:val="FF0000"/>
        </w:rPr>
      </w:pPr>
      <w:r w:rsidRPr="00BC78CF">
        <w:rPr>
          <w:color w:val="FF0000"/>
        </w:rPr>
        <w:tab/>
        <w:t>(A)</w:t>
      </w:r>
      <w:r w:rsidRPr="00BC78CF">
        <w:rPr>
          <w:color w:val="FF0000"/>
        </w:rPr>
        <w:tab/>
        <w:t>make any appropriate consumer data request; and</w:t>
      </w:r>
    </w:p>
    <w:p w14:paraId="4FC333C1" w14:textId="086FB128" w:rsidR="00B86207" w:rsidRPr="00BC78CF" w:rsidRDefault="00B86207" w:rsidP="00B86207">
      <w:pPr>
        <w:pStyle w:val="paragraphsub-sub"/>
        <w:rPr>
          <w:color w:val="FF0000"/>
        </w:rPr>
      </w:pPr>
      <w:r w:rsidRPr="00BC78CF">
        <w:rPr>
          <w:color w:val="FF0000"/>
        </w:rPr>
        <w:tab/>
        <w:t>(B)</w:t>
      </w:r>
      <w:r w:rsidRPr="00BC78CF">
        <w:rPr>
          <w:color w:val="FF0000"/>
        </w:rPr>
        <w:tab/>
        <w:t xml:space="preserve">disclose the relevant CDR data to the </w:t>
      </w:r>
      <w:r w:rsidR="00182338" w:rsidRPr="00BC78CF">
        <w:rPr>
          <w:color w:val="FF0000"/>
        </w:rPr>
        <w:t>representative</w:t>
      </w:r>
      <w:r w:rsidRPr="00BC78CF">
        <w:rPr>
          <w:color w:val="FF0000"/>
        </w:rPr>
        <w:t>; and</w:t>
      </w:r>
    </w:p>
    <w:p w14:paraId="0EA5598B" w14:textId="5A583045" w:rsidR="00B86207" w:rsidRPr="00BC78CF" w:rsidRDefault="00B86207" w:rsidP="00B86207">
      <w:pPr>
        <w:pStyle w:val="paragraphsub"/>
        <w:rPr>
          <w:color w:val="FF0000"/>
        </w:rPr>
      </w:pPr>
      <w:r w:rsidRPr="00BC78CF">
        <w:rPr>
          <w:color w:val="FF0000"/>
        </w:rPr>
        <w:tab/>
        <w:t>(ii)</w:t>
      </w:r>
      <w:r w:rsidRPr="00BC78CF">
        <w:rPr>
          <w:color w:val="FF0000"/>
        </w:rPr>
        <w:tab/>
        <w:t xml:space="preserve">the </w:t>
      </w:r>
      <w:r w:rsidR="00182338" w:rsidRPr="00BC78CF">
        <w:rPr>
          <w:color w:val="FF0000"/>
        </w:rPr>
        <w:t>representative</w:t>
      </w:r>
      <w:r w:rsidRPr="00BC78CF">
        <w:rPr>
          <w:color w:val="FF0000"/>
        </w:rPr>
        <w:t xml:space="preserve"> will use the CDR data to provide the relevant goods or services to the CDR consumer; and</w:t>
      </w:r>
    </w:p>
    <w:p w14:paraId="7868E895" w14:textId="4060BF52" w:rsidR="00B86207" w:rsidRPr="00BC78CF" w:rsidRDefault="00B86207" w:rsidP="00B86207">
      <w:pPr>
        <w:pStyle w:val="paragraph"/>
        <w:rPr>
          <w:color w:val="FF0000"/>
        </w:rPr>
      </w:pPr>
      <w:r w:rsidRPr="00BC78CF">
        <w:rPr>
          <w:color w:val="FF0000"/>
        </w:rPr>
        <w:tab/>
        <w:t>(b)</w:t>
      </w:r>
      <w:r w:rsidRPr="00BC78CF">
        <w:rPr>
          <w:color w:val="FF0000"/>
        </w:rPr>
        <w:tab/>
        <w:t xml:space="preserve">the </w:t>
      </w:r>
      <w:r w:rsidR="00182338" w:rsidRPr="00BC78CF">
        <w:rPr>
          <w:color w:val="FF0000"/>
        </w:rPr>
        <w:t>representative</w:t>
      </w:r>
      <w:r w:rsidRPr="00BC78CF">
        <w:rPr>
          <w:color w:val="FF0000"/>
        </w:rPr>
        <w:t xml:space="preserve"> must not enter into another </w:t>
      </w:r>
      <w:r w:rsidR="00182338" w:rsidRPr="00BC78CF">
        <w:rPr>
          <w:color w:val="FF0000"/>
        </w:rPr>
        <w:t>CDR representative</w:t>
      </w:r>
      <w:r w:rsidRPr="00BC78CF">
        <w:rPr>
          <w:color w:val="FF0000"/>
        </w:rPr>
        <w:t xml:space="preserve"> arrangement;</w:t>
      </w:r>
    </w:p>
    <w:p w14:paraId="6BAF9A15" w14:textId="73BE6975" w:rsidR="00B86207" w:rsidRPr="00BC78CF" w:rsidRDefault="0088284A" w:rsidP="00B86207">
      <w:pPr>
        <w:pStyle w:val="paragraph"/>
        <w:rPr>
          <w:color w:val="FF0000"/>
        </w:rPr>
      </w:pPr>
      <w:r w:rsidRPr="00BC78CF">
        <w:rPr>
          <w:color w:val="FF0000"/>
        </w:rPr>
        <w:tab/>
        <w:t>(c</w:t>
      </w:r>
      <w:r w:rsidR="00B86207" w:rsidRPr="00BC78CF">
        <w:rPr>
          <w:color w:val="FF0000"/>
        </w:rPr>
        <w:t>)</w:t>
      </w:r>
      <w:r w:rsidR="00B86207" w:rsidRPr="00BC78CF">
        <w:rPr>
          <w:color w:val="FF0000"/>
        </w:rPr>
        <w:tab/>
        <w:t xml:space="preserve">the </w:t>
      </w:r>
      <w:r w:rsidR="00182338" w:rsidRPr="00BC78CF">
        <w:rPr>
          <w:color w:val="FF0000"/>
        </w:rPr>
        <w:t>representative</w:t>
      </w:r>
      <w:r w:rsidR="00B86207" w:rsidRPr="00BC78CF">
        <w:rPr>
          <w:color w:val="FF0000"/>
        </w:rPr>
        <w:t xml:space="preserve"> is required to comply with the following requirements in relation to any service data:</w:t>
      </w:r>
    </w:p>
    <w:p w14:paraId="22342D68" w14:textId="06F3086B" w:rsidR="000B109D" w:rsidRPr="00BC78CF" w:rsidRDefault="000B109D" w:rsidP="000B109D">
      <w:pPr>
        <w:pStyle w:val="paragraphsub"/>
        <w:rPr>
          <w:color w:val="FF0000"/>
        </w:rPr>
      </w:pPr>
      <w:r w:rsidRPr="00BC78CF">
        <w:rPr>
          <w:color w:val="FF0000"/>
        </w:rPr>
        <w:tab/>
        <w:t>(i)</w:t>
      </w:r>
      <w:r w:rsidRPr="00BC78CF">
        <w:rPr>
          <w:color w:val="FF0000"/>
        </w:rPr>
        <w:tab/>
        <w:t xml:space="preserve">in holding, using or disclosing the service data, the </w:t>
      </w:r>
      <w:r w:rsidR="00182338" w:rsidRPr="00BC78CF">
        <w:rPr>
          <w:color w:val="FF0000"/>
        </w:rPr>
        <w:t>representative</w:t>
      </w:r>
      <w:r w:rsidRPr="00BC78CF">
        <w:rPr>
          <w:color w:val="FF0000"/>
        </w:rPr>
        <w:t xml:space="preserve"> </w:t>
      </w:r>
      <w:r w:rsidR="00110ECD" w:rsidRPr="00BC78CF">
        <w:rPr>
          <w:color w:val="FF0000"/>
        </w:rPr>
        <w:t>must</w:t>
      </w:r>
      <w:r w:rsidRPr="00BC78CF">
        <w:rPr>
          <w:color w:val="FF0000"/>
        </w:rPr>
        <w:t xml:space="preserve"> comply with:</w:t>
      </w:r>
    </w:p>
    <w:p w14:paraId="46BEB297" w14:textId="240C68F4" w:rsidR="000B109D" w:rsidRPr="00BC78CF" w:rsidRDefault="000B109D" w:rsidP="000B109D">
      <w:pPr>
        <w:pStyle w:val="paragraphsub-sub"/>
        <w:rPr>
          <w:color w:val="FF0000"/>
        </w:rPr>
      </w:pPr>
      <w:r w:rsidRPr="00BC78CF">
        <w:rPr>
          <w:color w:val="FF0000"/>
        </w:rPr>
        <w:tab/>
        <w:t>(A)</w:t>
      </w:r>
      <w:r w:rsidRPr="00BC78CF">
        <w:rPr>
          <w:color w:val="FF0000"/>
        </w:rPr>
        <w:tab/>
        <w:t>section 52EE of the Act (privacy safeguard 2);</w:t>
      </w:r>
    </w:p>
    <w:p w14:paraId="1CD63375" w14:textId="0B232991" w:rsidR="000B109D" w:rsidRPr="00BC78CF" w:rsidRDefault="000B109D" w:rsidP="000B109D">
      <w:pPr>
        <w:pStyle w:val="paragraphsub-sub"/>
        <w:rPr>
          <w:color w:val="FF0000"/>
        </w:rPr>
      </w:pPr>
      <w:r w:rsidRPr="00BC78CF">
        <w:rPr>
          <w:color w:val="FF0000"/>
        </w:rPr>
        <w:tab/>
        <w:t>(b)</w:t>
      </w:r>
      <w:r w:rsidRPr="00BC78CF">
        <w:rPr>
          <w:color w:val="FF0000"/>
        </w:rPr>
        <w:tab/>
        <w:t xml:space="preserve">section 52EG of the Act (privacy safeguard 4); </w:t>
      </w:r>
    </w:p>
    <w:p w14:paraId="6080D8DB" w14:textId="13F058F2" w:rsidR="000B109D" w:rsidRPr="00BC78CF" w:rsidRDefault="000B109D" w:rsidP="000B109D">
      <w:pPr>
        <w:pStyle w:val="paragraphsub-sub"/>
        <w:rPr>
          <w:color w:val="FF0000"/>
        </w:rPr>
      </w:pPr>
      <w:r w:rsidRPr="00BC78CF">
        <w:rPr>
          <w:color w:val="FF0000"/>
        </w:rPr>
        <w:tab/>
        <w:t>(C)</w:t>
      </w:r>
      <w:r w:rsidRPr="00BC78CF">
        <w:rPr>
          <w:color w:val="FF0000"/>
        </w:rPr>
        <w:tab/>
        <w:t xml:space="preserve">subsection 56EN(2) of the Act (privacy safeguard 11); </w:t>
      </w:r>
    </w:p>
    <w:p w14:paraId="4A0C4318" w14:textId="03BAC44B" w:rsidR="000B109D" w:rsidRPr="00BC78CF" w:rsidRDefault="000B109D" w:rsidP="000B109D">
      <w:pPr>
        <w:pStyle w:val="paragraphsub-sub"/>
        <w:rPr>
          <w:color w:val="FF0000"/>
        </w:rPr>
      </w:pPr>
      <w:r w:rsidRPr="00BC78CF">
        <w:rPr>
          <w:color w:val="FF0000"/>
        </w:rPr>
        <w:tab/>
        <w:t>(D)</w:t>
      </w:r>
      <w:r w:rsidRPr="00BC78CF">
        <w:rPr>
          <w:color w:val="FF0000"/>
        </w:rPr>
        <w:tab/>
        <w:t>section 56EO of the Act (privacy safeguard 12)</w:t>
      </w:r>
      <w:r w:rsidR="00110ECD" w:rsidRPr="00BC78CF">
        <w:rPr>
          <w:color w:val="FF0000"/>
        </w:rPr>
        <w:t>; and</w:t>
      </w:r>
    </w:p>
    <w:p w14:paraId="2F092A1E" w14:textId="3F3B7616" w:rsidR="00110ECD" w:rsidRPr="00BC78CF" w:rsidRDefault="00110ECD" w:rsidP="000B109D">
      <w:pPr>
        <w:pStyle w:val="paragraphsub-sub"/>
        <w:rPr>
          <w:color w:val="FF0000"/>
        </w:rPr>
      </w:pPr>
      <w:r w:rsidRPr="00BC78CF">
        <w:rPr>
          <w:color w:val="FF0000"/>
        </w:rPr>
        <w:tab/>
        <w:t>(E)</w:t>
      </w:r>
      <w:r w:rsidRPr="00BC78CF">
        <w:rPr>
          <w:color w:val="FF0000"/>
        </w:rPr>
        <w:tab/>
        <w:t>subsection 56EP(2) of the Act (privacy safeguard 13);</w:t>
      </w:r>
    </w:p>
    <w:p w14:paraId="7D89955E" w14:textId="1D0D8748" w:rsidR="000B109D" w:rsidRPr="00BC78CF" w:rsidRDefault="000B109D" w:rsidP="000B109D">
      <w:pPr>
        <w:pStyle w:val="paragraphsub"/>
        <w:rPr>
          <w:color w:val="FF0000"/>
        </w:rPr>
      </w:pPr>
      <w:r w:rsidRPr="00BC78CF">
        <w:rPr>
          <w:color w:val="FF0000"/>
        </w:rPr>
        <w:tab/>
      </w:r>
      <w:r w:rsidRPr="00BC78CF">
        <w:rPr>
          <w:color w:val="FF0000"/>
        </w:rPr>
        <w:tab/>
        <w:t>as if it were the principal;</w:t>
      </w:r>
      <w:r w:rsidRPr="00BC78CF">
        <w:rPr>
          <w:color w:val="FF0000"/>
        </w:rPr>
        <w:tab/>
      </w:r>
    </w:p>
    <w:p w14:paraId="4AB6FE81" w14:textId="109F0DDB" w:rsidR="00B86207" w:rsidRPr="00BC78CF" w:rsidRDefault="00B86207" w:rsidP="00B86207">
      <w:pPr>
        <w:pStyle w:val="paragraphsub"/>
        <w:rPr>
          <w:color w:val="FF0000"/>
        </w:rPr>
      </w:pPr>
      <w:r w:rsidRPr="00BC78CF">
        <w:rPr>
          <w:color w:val="FF0000"/>
        </w:rPr>
        <w:tab/>
        <w:t>(</w:t>
      </w:r>
      <w:r w:rsidR="000B109D" w:rsidRPr="00BC78CF">
        <w:rPr>
          <w:color w:val="FF0000"/>
        </w:rPr>
        <w:t>i</w:t>
      </w:r>
      <w:r w:rsidRPr="00BC78CF">
        <w:rPr>
          <w:color w:val="FF0000"/>
        </w:rPr>
        <w:t>i)</w:t>
      </w:r>
      <w:r w:rsidRPr="00BC78CF">
        <w:rPr>
          <w:color w:val="FF0000"/>
        </w:rPr>
        <w:tab/>
        <w:t xml:space="preserve">the </w:t>
      </w:r>
      <w:r w:rsidR="00182338" w:rsidRPr="00BC78CF">
        <w:rPr>
          <w:color w:val="FF0000"/>
        </w:rPr>
        <w:t>representative</w:t>
      </w:r>
      <w:r w:rsidRPr="00BC78CF">
        <w:rPr>
          <w:color w:val="FF0000"/>
        </w:rPr>
        <w:t xml:space="preserve"> must take the steps in Schedule 2 to protect the service data as if it were </w:t>
      </w:r>
      <w:r w:rsidR="00110ECD" w:rsidRPr="00BC78CF">
        <w:rPr>
          <w:color w:val="FF0000"/>
        </w:rPr>
        <w:t>the principal</w:t>
      </w:r>
      <w:r w:rsidRPr="00BC78CF">
        <w:rPr>
          <w:color w:val="FF0000"/>
        </w:rPr>
        <w:t>; and</w:t>
      </w:r>
    </w:p>
    <w:p w14:paraId="694E83D6" w14:textId="67BBBD5B" w:rsidR="00B86207" w:rsidRPr="00BC78CF" w:rsidRDefault="00B86207" w:rsidP="00B86207">
      <w:pPr>
        <w:pStyle w:val="paragraphsub"/>
        <w:rPr>
          <w:color w:val="FF0000"/>
        </w:rPr>
      </w:pPr>
      <w:r w:rsidRPr="00BC78CF">
        <w:rPr>
          <w:color w:val="FF0000"/>
        </w:rPr>
        <w:tab/>
        <w:t>(i</w:t>
      </w:r>
      <w:r w:rsidR="000B109D" w:rsidRPr="00BC78CF">
        <w:rPr>
          <w:color w:val="FF0000"/>
        </w:rPr>
        <w:t>i</w:t>
      </w:r>
      <w:r w:rsidRPr="00BC78CF">
        <w:rPr>
          <w:color w:val="FF0000"/>
        </w:rPr>
        <w:t>i)</w:t>
      </w:r>
      <w:r w:rsidRPr="00BC78CF">
        <w:rPr>
          <w:color w:val="FF0000"/>
        </w:rPr>
        <w:tab/>
        <w:t xml:space="preserve">the </w:t>
      </w:r>
      <w:r w:rsidR="00182338" w:rsidRPr="00BC78CF">
        <w:rPr>
          <w:color w:val="FF0000"/>
        </w:rPr>
        <w:t>representative</w:t>
      </w:r>
      <w:r w:rsidRPr="00BC78CF">
        <w:rPr>
          <w:color w:val="FF0000"/>
        </w:rPr>
        <w:t xml:space="preserve"> must not use or disclose the service data other than in accordance with a contract with the principal;</w:t>
      </w:r>
    </w:p>
    <w:p w14:paraId="042494F1" w14:textId="73E1664F" w:rsidR="00B86207" w:rsidRPr="00BC78CF" w:rsidRDefault="00B86207" w:rsidP="00B86207">
      <w:pPr>
        <w:pStyle w:val="paragraphsub"/>
        <w:rPr>
          <w:color w:val="FF0000"/>
        </w:rPr>
      </w:pPr>
      <w:r w:rsidRPr="00BC78CF">
        <w:rPr>
          <w:color w:val="FF0000"/>
        </w:rPr>
        <w:tab/>
        <w:t>(</w:t>
      </w:r>
      <w:r w:rsidR="000B109D" w:rsidRPr="00BC78CF">
        <w:rPr>
          <w:color w:val="FF0000"/>
        </w:rPr>
        <w:t>iv</w:t>
      </w:r>
      <w:r w:rsidR="00110ECD" w:rsidRPr="00BC78CF">
        <w:rPr>
          <w:color w:val="FF0000"/>
        </w:rPr>
        <w:t>)</w:t>
      </w:r>
      <w:r w:rsidR="00110ECD" w:rsidRPr="00BC78CF">
        <w:rPr>
          <w:color w:val="FF0000"/>
        </w:rPr>
        <w:tab/>
      </w:r>
      <w:r w:rsidRPr="00BC78CF">
        <w:rPr>
          <w:color w:val="FF0000"/>
        </w:rPr>
        <w:t xml:space="preserve">the </w:t>
      </w:r>
      <w:r w:rsidR="00182338" w:rsidRPr="00BC78CF">
        <w:rPr>
          <w:color w:val="FF0000"/>
        </w:rPr>
        <w:t>representative</w:t>
      </w:r>
      <w:r w:rsidRPr="00BC78CF">
        <w:rPr>
          <w:color w:val="FF0000"/>
        </w:rPr>
        <w:t xml:space="preserve"> must, when so directed by the principal, do any of the following:</w:t>
      </w:r>
    </w:p>
    <w:p w14:paraId="0A72A01F" w14:textId="77777777" w:rsidR="00B86207" w:rsidRPr="00BC78CF" w:rsidRDefault="00B86207" w:rsidP="00B86207">
      <w:pPr>
        <w:pStyle w:val="paragraphsub-sub"/>
        <w:rPr>
          <w:color w:val="FF0000"/>
        </w:rPr>
      </w:pPr>
      <w:r w:rsidRPr="00BC78CF">
        <w:rPr>
          <w:color w:val="FF0000"/>
        </w:rPr>
        <w:tab/>
        <w:t>(A)</w:t>
      </w:r>
      <w:r w:rsidRPr="00BC78CF">
        <w:rPr>
          <w:color w:val="FF0000"/>
        </w:rPr>
        <w:tab/>
        <w:t>delete any service data that it holds in accordance with the CDR data deletion process;</w:t>
      </w:r>
    </w:p>
    <w:p w14:paraId="6A756C13" w14:textId="77777777" w:rsidR="00B86207" w:rsidRPr="00BC78CF" w:rsidRDefault="00B86207" w:rsidP="00B86207">
      <w:pPr>
        <w:pStyle w:val="paragraphsub-sub"/>
        <w:rPr>
          <w:color w:val="FF0000"/>
        </w:rPr>
      </w:pPr>
      <w:r w:rsidRPr="00BC78CF">
        <w:rPr>
          <w:color w:val="FF0000"/>
        </w:rPr>
        <w:tab/>
        <w:t>(B)</w:t>
      </w:r>
      <w:r w:rsidRPr="00BC78CF">
        <w:rPr>
          <w:color w:val="FF0000"/>
        </w:rPr>
        <w:tab/>
        <w:t>provide, to the principal, records of any deletion that are required to be made under the CDR data deletion process;</w:t>
      </w:r>
    </w:p>
    <w:p w14:paraId="7A7FA9DE" w14:textId="77777777" w:rsidR="001A281A" w:rsidRPr="00BC78CF" w:rsidRDefault="00B86207" w:rsidP="00B86207">
      <w:pPr>
        <w:pStyle w:val="paragraphsub-sub"/>
        <w:rPr>
          <w:color w:val="FF0000"/>
        </w:rPr>
      </w:pPr>
      <w:r w:rsidRPr="00BC78CF">
        <w:rPr>
          <w:color w:val="FF0000"/>
        </w:rPr>
        <w:tab/>
        <w:t>(C)</w:t>
      </w:r>
      <w:r w:rsidRPr="00BC78CF">
        <w:rPr>
          <w:color w:val="FF0000"/>
        </w:rPr>
        <w:tab/>
        <w:t xml:space="preserve">direct any </w:t>
      </w:r>
      <w:r w:rsidR="003C23E8" w:rsidRPr="00BC78CF">
        <w:rPr>
          <w:color w:val="FF0000"/>
        </w:rPr>
        <w:t>outsourced service provider</w:t>
      </w:r>
      <w:r w:rsidRPr="00BC78CF">
        <w:rPr>
          <w:color w:val="FF0000"/>
        </w:rPr>
        <w:t xml:space="preserve"> to which it has disclosed CDR data to take corresponding steps</w:t>
      </w:r>
      <w:r w:rsidR="001A281A" w:rsidRPr="00BC78CF">
        <w:rPr>
          <w:color w:val="FF0000"/>
        </w:rPr>
        <w:t>;</w:t>
      </w:r>
    </w:p>
    <w:p w14:paraId="35BFF230" w14:textId="4486B7C4" w:rsidR="00B86207" w:rsidRPr="00BC78CF" w:rsidRDefault="0088284A" w:rsidP="000B109D">
      <w:pPr>
        <w:pStyle w:val="paragraph"/>
        <w:rPr>
          <w:color w:val="FF0000"/>
        </w:rPr>
      </w:pPr>
      <w:r w:rsidRPr="00BC78CF">
        <w:rPr>
          <w:color w:val="FF0000"/>
        </w:rPr>
        <w:tab/>
        <w:t>(d</w:t>
      </w:r>
      <w:r w:rsidR="001A281A" w:rsidRPr="00BC78CF">
        <w:rPr>
          <w:color w:val="FF0000"/>
        </w:rPr>
        <w:t>)</w:t>
      </w:r>
      <w:r w:rsidR="001A281A" w:rsidRPr="00BC78CF">
        <w:rPr>
          <w:color w:val="FF0000"/>
        </w:rPr>
        <w:tab/>
        <w:t xml:space="preserve">the </w:t>
      </w:r>
      <w:r w:rsidR="00182338" w:rsidRPr="00BC78CF">
        <w:rPr>
          <w:color w:val="FF0000"/>
        </w:rPr>
        <w:t>representative</w:t>
      </w:r>
      <w:r w:rsidR="001A281A" w:rsidRPr="00BC78CF">
        <w:rPr>
          <w:color w:val="FF0000"/>
        </w:rPr>
        <w:t xml:space="preserve"> </w:t>
      </w:r>
      <w:r w:rsidR="007E0700" w:rsidRPr="00BC78CF">
        <w:rPr>
          <w:color w:val="FF0000"/>
        </w:rPr>
        <w:t>is required to</w:t>
      </w:r>
      <w:r w:rsidR="001A281A" w:rsidRPr="00BC78CF">
        <w:rPr>
          <w:color w:val="FF0000"/>
        </w:rPr>
        <w:t xml:space="preserve"> </w:t>
      </w:r>
      <w:r w:rsidR="0086671F" w:rsidRPr="00BC78CF">
        <w:rPr>
          <w:color w:val="FF0000"/>
        </w:rPr>
        <w:t xml:space="preserve">adopt and comply with the </w:t>
      </w:r>
      <w:r w:rsidR="001A281A" w:rsidRPr="00BC78CF">
        <w:rPr>
          <w:color w:val="FF0000"/>
        </w:rPr>
        <w:t>principal’s CDR policy in relation to the service data.</w:t>
      </w:r>
    </w:p>
    <w:p w14:paraId="1FBAFAC0" w14:textId="77777777" w:rsidR="00B86207" w:rsidRPr="00BC78CF" w:rsidRDefault="00B86207" w:rsidP="00B86207">
      <w:pPr>
        <w:pStyle w:val="notetext"/>
        <w:rPr>
          <w:color w:val="FF0000"/>
        </w:rPr>
      </w:pPr>
      <w:r w:rsidRPr="00BC78CF">
        <w:rPr>
          <w:color w:val="FF0000"/>
        </w:rPr>
        <w:t>Note:</w:t>
      </w:r>
      <w:r w:rsidRPr="00BC78CF">
        <w:rPr>
          <w:color w:val="FF0000"/>
        </w:rPr>
        <w:tab/>
        <w:t>See rule 1.18 for the definition of “CDR data deletion process”.</w:t>
      </w:r>
    </w:p>
    <w:p w14:paraId="63324D06" w14:textId="1BC5491A" w:rsidR="00B86207" w:rsidRPr="00BC78CF" w:rsidRDefault="00B86207" w:rsidP="00B86207">
      <w:pPr>
        <w:pStyle w:val="subsection"/>
        <w:rPr>
          <w:color w:val="FF0000"/>
        </w:rPr>
      </w:pPr>
      <w:r w:rsidRPr="00BC78CF">
        <w:rPr>
          <w:color w:val="FF0000"/>
        </w:rPr>
        <w:tab/>
        <w:t>(3)</w:t>
      </w:r>
      <w:r w:rsidRPr="00BC78CF">
        <w:rPr>
          <w:color w:val="FF0000"/>
        </w:rPr>
        <w:tab/>
        <w:t xml:space="preserve">For these rules, the </w:t>
      </w:r>
      <w:r w:rsidRPr="00BC78CF">
        <w:rPr>
          <w:b/>
          <w:i/>
          <w:color w:val="FF0000"/>
        </w:rPr>
        <w:t xml:space="preserve">service data </w:t>
      </w:r>
      <w:r w:rsidRPr="00BC78CF">
        <w:rPr>
          <w:color w:val="FF0000"/>
        </w:rPr>
        <w:t xml:space="preserve">in relation to a </w:t>
      </w:r>
      <w:r w:rsidR="00182338" w:rsidRPr="00BC78CF">
        <w:rPr>
          <w:color w:val="FF0000"/>
        </w:rPr>
        <w:t>CDR representative</w:t>
      </w:r>
      <w:r w:rsidRPr="00BC78CF">
        <w:rPr>
          <w:color w:val="FF0000"/>
        </w:rPr>
        <w:t xml:space="preserve"> arrangement consists of any CDR data that: </w:t>
      </w:r>
    </w:p>
    <w:p w14:paraId="1BC1BEA4" w14:textId="51EBFFE8" w:rsidR="00B86207" w:rsidRPr="00BC78CF" w:rsidRDefault="00B86207" w:rsidP="00B86207">
      <w:pPr>
        <w:pStyle w:val="paragraph"/>
        <w:rPr>
          <w:color w:val="FF0000"/>
        </w:rPr>
      </w:pPr>
      <w:r w:rsidRPr="00BC78CF">
        <w:rPr>
          <w:color w:val="FF0000"/>
        </w:rPr>
        <w:tab/>
        <w:t>(a)</w:t>
      </w:r>
      <w:r w:rsidRPr="00BC78CF">
        <w:rPr>
          <w:color w:val="FF0000"/>
        </w:rPr>
        <w:tab/>
        <w:t xml:space="preserve">was disclosed to the </w:t>
      </w:r>
      <w:r w:rsidR="00182338" w:rsidRPr="00BC78CF">
        <w:rPr>
          <w:color w:val="FF0000"/>
        </w:rPr>
        <w:t>CDR representative</w:t>
      </w:r>
      <w:r w:rsidRPr="00BC78CF">
        <w:rPr>
          <w:color w:val="FF0000"/>
        </w:rPr>
        <w:t xml:space="preserve"> for the purposes of the arrangement; or</w:t>
      </w:r>
    </w:p>
    <w:p w14:paraId="72BB5CC9" w14:textId="77777777" w:rsidR="00B86207" w:rsidRPr="00BC78CF" w:rsidRDefault="00B86207" w:rsidP="00B86207">
      <w:pPr>
        <w:pStyle w:val="paragraph"/>
        <w:rPr>
          <w:color w:val="FF0000"/>
        </w:rPr>
      </w:pPr>
      <w:r w:rsidRPr="00BC78CF">
        <w:rPr>
          <w:color w:val="FF0000"/>
        </w:rPr>
        <w:tab/>
        <w:t>(b)</w:t>
      </w:r>
      <w:r w:rsidRPr="00BC78CF">
        <w:rPr>
          <w:color w:val="FF0000"/>
        </w:rPr>
        <w:tab/>
        <w:t>directly or indirectly derives from such CDR data.</w:t>
      </w:r>
    </w:p>
    <w:p w14:paraId="7063EA54" w14:textId="77777777" w:rsidR="00CF0E3D" w:rsidRPr="00BB7AC8" w:rsidRDefault="00CF0E3D" w:rsidP="00CF0E3D">
      <w:pPr>
        <w:pStyle w:val="ActHead5"/>
      </w:pPr>
      <w:bookmarkStart w:id="30" w:name="_Toc74916078"/>
      <w:r w:rsidRPr="00BB7AC8">
        <w:t>1.10A  Types of consents</w:t>
      </w:r>
      <w:bookmarkEnd w:id="28"/>
      <w:bookmarkEnd w:id="29"/>
      <w:bookmarkEnd w:id="30"/>
    </w:p>
    <w:p w14:paraId="44218C6E" w14:textId="77777777" w:rsidR="00CF0E3D" w:rsidRPr="00BB7AC8" w:rsidRDefault="00CF0E3D" w:rsidP="00CF0E3D">
      <w:pPr>
        <w:pStyle w:val="subsection"/>
      </w:pPr>
      <w:r w:rsidRPr="00BB7AC8">
        <w:tab/>
        <w:t>(1)</w:t>
      </w:r>
      <w:r w:rsidRPr="00BB7AC8">
        <w:tab/>
        <w:t>For these rules:</w:t>
      </w:r>
    </w:p>
    <w:p w14:paraId="561531CD" w14:textId="6FB7BB4B" w:rsidR="00CF0E3D" w:rsidRPr="00BB7AC8" w:rsidRDefault="00CF0E3D" w:rsidP="00CF0E3D">
      <w:pPr>
        <w:pStyle w:val="paragraph"/>
      </w:pPr>
      <w:r w:rsidRPr="00BB7AC8">
        <w:rPr>
          <w:b/>
          <w:i/>
        </w:rPr>
        <w:tab/>
      </w:r>
      <w:r w:rsidRPr="00BB7AC8">
        <w:t>(a)</w:t>
      </w:r>
      <w:r w:rsidRPr="00BB7AC8">
        <w:tab/>
        <w:t xml:space="preserve">a </w:t>
      </w:r>
      <w:r w:rsidRPr="00BB7AC8">
        <w:rPr>
          <w:b/>
          <w:i/>
        </w:rPr>
        <w:t xml:space="preserve">collection consent </w:t>
      </w:r>
      <w:r w:rsidRPr="00BB7AC8">
        <w:t>is a consent given by a CDR consumer under these rules for an accredited person to</w:t>
      </w:r>
      <w:r w:rsidR="00B82440">
        <w:t xml:space="preserve"> </w:t>
      </w:r>
      <w:r w:rsidRPr="00BB7AC8">
        <w:t>collect particular CDR data from a CDR participant for that CDR data; and</w:t>
      </w:r>
    </w:p>
    <w:p w14:paraId="06245726" w14:textId="77777777" w:rsidR="00CF0E3D" w:rsidRPr="00BB7AC8" w:rsidRDefault="00CF0E3D" w:rsidP="00CF0E3D">
      <w:pPr>
        <w:pStyle w:val="paragraph"/>
      </w:pPr>
      <w:r w:rsidRPr="00BB7AC8">
        <w:rPr>
          <w:b/>
          <w:i/>
        </w:rPr>
        <w:tab/>
      </w:r>
      <w:r w:rsidRPr="00BB7AC8">
        <w:t>(b)</w:t>
      </w:r>
      <w:r w:rsidRPr="00BB7AC8">
        <w:rPr>
          <w:b/>
          <w:i/>
        </w:rPr>
        <w:tab/>
      </w:r>
      <w:r w:rsidRPr="00BB7AC8">
        <w:t>a</w:t>
      </w:r>
      <w:r w:rsidRPr="00BB7AC8">
        <w:rPr>
          <w:b/>
          <w:i/>
        </w:rPr>
        <w:t xml:space="preserve"> use consent </w:t>
      </w:r>
      <w:r w:rsidRPr="00BB7AC8">
        <w:t>is a consent given by a CDR consumer under these rules for an accredited data recipient of particular CDR data to use that CDR data in a particular way; and</w:t>
      </w:r>
    </w:p>
    <w:p w14:paraId="3B2FFFD5" w14:textId="77777777" w:rsidR="00CF0E3D" w:rsidRPr="00BB7AC8" w:rsidRDefault="00CF0E3D" w:rsidP="00CF0E3D">
      <w:pPr>
        <w:pStyle w:val="paragraph"/>
      </w:pPr>
      <w:r w:rsidRPr="00BB7AC8">
        <w:rPr>
          <w:b/>
          <w:i/>
        </w:rPr>
        <w:tab/>
      </w:r>
      <w:r w:rsidRPr="00BB7AC8">
        <w:t>(c)</w:t>
      </w:r>
      <w:r w:rsidRPr="00BB7AC8">
        <w:tab/>
        <w:t xml:space="preserve">a </w:t>
      </w:r>
      <w:r w:rsidRPr="00BB7AC8">
        <w:rPr>
          <w:b/>
          <w:i/>
        </w:rPr>
        <w:t xml:space="preserve">disclosure consent </w:t>
      </w:r>
      <w:r w:rsidRPr="00BB7AC8">
        <w:t>is a consent given by a CDR consumer under these rules for an accredited data recipient of particular CDR data to disclose that CDR data:</w:t>
      </w:r>
    </w:p>
    <w:p w14:paraId="3B765C9B" w14:textId="77777777" w:rsidR="00CF0E3D" w:rsidRPr="00BB7AC8" w:rsidRDefault="00CF0E3D" w:rsidP="00CF0E3D">
      <w:pPr>
        <w:pStyle w:val="paragraphsub"/>
      </w:pPr>
      <w:r w:rsidRPr="00BB7AC8">
        <w:tab/>
        <w:t>(i)</w:t>
      </w:r>
      <w:r w:rsidRPr="00BB7AC8">
        <w:tab/>
        <w:t xml:space="preserve">to an accredited person in response to a consumer data request (an </w:t>
      </w:r>
      <w:r w:rsidRPr="00BB7AC8">
        <w:rPr>
          <w:b/>
          <w:i/>
        </w:rPr>
        <w:t>AP disclosure consent</w:t>
      </w:r>
      <w:r w:rsidRPr="00BB7AC8">
        <w:t>); or</w:t>
      </w:r>
    </w:p>
    <w:p w14:paraId="5FD84B89" w14:textId="176A1A35" w:rsidR="00D65475" w:rsidRPr="00BC78CF" w:rsidRDefault="00CF0E3D" w:rsidP="00CF0E3D">
      <w:pPr>
        <w:pStyle w:val="paragraphsub"/>
        <w:rPr>
          <w:color w:val="FF0000"/>
        </w:rPr>
      </w:pPr>
      <w:r w:rsidRPr="00B61E66">
        <w:tab/>
      </w:r>
      <w:r w:rsidRPr="00450982">
        <w:t>(ii)</w:t>
      </w:r>
      <w:r w:rsidRPr="00450982">
        <w:tab/>
        <w:t>to an</w:t>
      </w:r>
      <w:r w:rsidRPr="00B61E66">
        <w:t xml:space="preserve"> accredited person for the purposes of direct marketing;</w:t>
      </w:r>
      <w:r w:rsidR="00D65475">
        <w:t xml:space="preserve"> </w:t>
      </w:r>
      <w:r w:rsidR="00D65475" w:rsidRPr="00BC78CF">
        <w:rPr>
          <w:color w:val="FF0000"/>
        </w:rPr>
        <w:t>or</w:t>
      </w:r>
    </w:p>
    <w:p w14:paraId="50802AF9" w14:textId="3102B610" w:rsidR="00D65475" w:rsidRPr="00BC78CF" w:rsidRDefault="00D65475" w:rsidP="00D65475">
      <w:pPr>
        <w:pStyle w:val="paragraphsub"/>
        <w:rPr>
          <w:color w:val="FF0000"/>
        </w:rPr>
      </w:pPr>
      <w:r w:rsidRPr="00BC78CF">
        <w:rPr>
          <w:color w:val="FF0000"/>
        </w:rPr>
        <w:tab/>
        <w:t>(iii)</w:t>
      </w:r>
      <w:r w:rsidR="0038477E" w:rsidRPr="00BC78CF">
        <w:rPr>
          <w:color w:val="FF0000"/>
        </w:rPr>
        <w:tab/>
        <w:t>to a trusted advise</w:t>
      </w:r>
      <w:r w:rsidRPr="00BC78CF">
        <w:rPr>
          <w:color w:val="FF0000"/>
        </w:rPr>
        <w:t xml:space="preserve">r of the CDR consumer (a </w:t>
      </w:r>
      <w:r w:rsidRPr="00BC78CF">
        <w:rPr>
          <w:b/>
          <w:i/>
          <w:color w:val="FF0000"/>
        </w:rPr>
        <w:t>TA disclosure consent</w:t>
      </w:r>
      <w:r w:rsidRPr="00BC78CF">
        <w:rPr>
          <w:color w:val="FF0000"/>
        </w:rPr>
        <w:t>); or</w:t>
      </w:r>
    </w:p>
    <w:p w14:paraId="46CB7210" w14:textId="2953C19B" w:rsidR="00CF0E3D" w:rsidRPr="00B61E66" w:rsidRDefault="00D65475" w:rsidP="00CF0E3D">
      <w:pPr>
        <w:pStyle w:val="paragraphsub"/>
      </w:pPr>
      <w:r w:rsidRPr="00BC78CF">
        <w:rPr>
          <w:color w:val="FF0000"/>
        </w:rPr>
        <w:tab/>
        <w:t>(iv)</w:t>
      </w:r>
      <w:r w:rsidRPr="00BC78CF">
        <w:rPr>
          <w:color w:val="FF0000"/>
        </w:rPr>
        <w:tab/>
      </w:r>
      <w:r w:rsidR="00F625CE" w:rsidRPr="00BC78CF">
        <w:rPr>
          <w:color w:val="FF0000"/>
        </w:rPr>
        <w:t xml:space="preserve">to a specified person </w:t>
      </w:r>
      <w:r w:rsidR="00883E94" w:rsidRPr="00BC78CF">
        <w:rPr>
          <w:color w:val="FF0000"/>
        </w:rPr>
        <w:t xml:space="preserve">in accordance with </w:t>
      </w:r>
      <w:r w:rsidRPr="00BC78CF">
        <w:rPr>
          <w:color w:val="FF0000"/>
        </w:rPr>
        <w:t>an insight disclosure consent;</w:t>
      </w:r>
      <w:r w:rsidR="00B82440" w:rsidRPr="00BC78CF">
        <w:rPr>
          <w:color w:val="FF0000"/>
        </w:rPr>
        <w:t xml:space="preserve"> </w:t>
      </w:r>
      <w:r w:rsidR="00CF0E3D" w:rsidRPr="00B61E66">
        <w:t>and</w:t>
      </w:r>
    </w:p>
    <w:p w14:paraId="05E39BCB" w14:textId="77777777" w:rsidR="00CF0E3D" w:rsidRPr="00B61E66" w:rsidRDefault="00CF0E3D" w:rsidP="00CF0E3D">
      <w:pPr>
        <w:pStyle w:val="paragraph"/>
      </w:pPr>
      <w:r w:rsidRPr="00B61E66">
        <w:tab/>
        <w:t>(d)</w:t>
      </w:r>
      <w:r w:rsidRPr="00B61E66">
        <w:tab/>
        <w:t xml:space="preserve">a </w:t>
      </w:r>
      <w:r w:rsidRPr="00B61E66">
        <w:rPr>
          <w:b/>
          <w:bCs/>
          <w:i/>
          <w:iCs/>
        </w:rPr>
        <w:t>direct marketing consent</w:t>
      </w:r>
      <w:r w:rsidRPr="00B61E66">
        <w:t xml:space="preserve"> is a consent given by a CDR consumer under these rules for an accredited data recipient of particular CDR data to use or disclose the CDR data for the purposes of direct marketing; and</w:t>
      </w:r>
    </w:p>
    <w:p w14:paraId="07DC7545" w14:textId="77777777" w:rsidR="00CF0E3D" w:rsidRPr="00B61E66" w:rsidRDefault="00CF0E3D" w:rsidP="00CF0E3D">
      <w:pPr>
        <w:pStyle w:val="paragraph"/>
      </w:pPr>
      <w:r w:rsidRPr="00B61E66">
        <w:tab/>
        <w:t>(e)</w:t>
      </w:r>
      <w:r w:rsidRPr="00B61E66">
        <w:tab/>
        <w:t xml:space="preserve">a </w:t>
      </w:r>
      <w:r w:rsidRPr="00A32529">
        <w:rPr>
          <w:b/>
          <w:bCs/>
          <w:i/>
          <w:iCs/>
        </w:rPr>
        <w:t>de-identification consent</w:t>
      </w:r>
      <w:r w:rsidRPr="00B61E66">
        <w:t xml:space="preserve"> is a consent given by a CDR consumer under these rules for an accredited data recipient of particular CDR data to de</w:t>
      </w:r>
      <w:r w:rsidRPr="00B61E66">
        <w:noBreakHyphen/>
        <w:t>identify some or all of the collected CDR data and</w:t>
      </w:r>
      <w:r>
        <w:t xml:space="preserve"> </w:t>
      </w:r>
      <w:r w:rsidRPr="00A32529">
        <w:t>do either or both of the following</w:t>
      </w:r>
      <w:r w:rsidRPr="00B61E66">
        <w:t>:</w:t>
      </w:r>
    </w:p>
    <w:p w14:paraId="2F8B8639" w14:textId="77777777" w:rsidR="00CF0E3D" w:rsidRPr="00D94CDD" w:rsidRDefault="00CF0E3D" w:rsidP="00CF0E3D">
      <w:pPr>
        <w:pStyle w:val="paragraphsub"/>
      </w:pPr>
      <w:r w:rsidRPr="00B61E66">
        <w:tab/>
        <w:t>(i)</w:t>
      </w:r>
      <w:r w:rsidRPr="00B61E66">
        <w:tab/>
        <w:t xml:space="preserve">use the de-identified </w:t>
      </w:r>
      <w:r w:rsidRPr="00D94CDD">
        <w:t>data for general research;</w:t>
      </w:r>
    </w:p>
    <w:p w14:paraId="1934025A" w14:textId="5F2E73F7" w:rsidR="00295D9E" w:rsidRPr="00D94CDD" w:rsidRDefault="00CF0E3D" w:rsidP="00CF0E3D">
      <w:pPr>
        <w:pStyle w:val="paragraphsub"/>
      </w:pPr>
      <w:r w:rsidRPr="00D94CDD">
        <w:tab/>
        <w:t>(ii)</w:t>
      </w:r>
      <w:r w:rsidRPr="00D94CDD">
        <w:tab/>
        <w:t>disclose (including by selling) the de</w:t>
      </w:r>
      <w:r w:rsidRPr="00D94CDD">
        <w:noBreakHyphen/>
        <w:t>identified data</w:t>
      </w:r>
      <w:r w:rsidR="00EE7C51" w:rsidRPr="00D94CDD">
        <w:t>.</w:t>
      </w:r>
    </w:p>
    <w:p w14:paraId="6E985DC5" w14:textId="77777777" w:rsidR="00CF0E3D" w:rsidRPr="00BB7AC8" w:rsidRDefault="00CF0E3D" w:rsidP="00CF0E3D">
      <w:pPr>
        <w:pStyle w:val="subsection"/>
      </w:pPr>
      <w:r w:rsidRPr="00D94CDD">
        <w:tab/>
        <w:t>(2)</w:t>
      </w:r>
      <w:r w:rsidRPr="00D94CDD">
        <w:tab/>
        <w:t>For these rules, each of the following</w:t>
      </w:r>
      <w:r w:rsidRPr="00BB7AC8">
        <w:t xml:space="preserve"> is a </w:t>
      </w:r>
      <w:r w:rsidRPr="00BB7AC8">
        <w:rPr>
          <w:b/>
          <w:i/>
        </w:rPr>
        <w:t xml:space="preserve">category </w:t>
      </w:r>
      <w:r w:rsidRPr="00BB7AC8">
        <w:t>of consents:</w:t>
      </w:r>
    </w:p>
    <w:p w14:paraId="66524EEB" w14:textId="77777777" w:rsidR="00CF0E3D" w:rsidRPr="00BB7AC8" w:rsidRDefault="00CF0E3D" w:rsidP="00CF0E3D">
      <w:pPr>
        <w:pStyle w:val="paragraph"/>
      </w:pPr>
      <w:r w:rsidRPr="00BB7AC8">
        <w:tab/>
        <w:t>(a)</w:t>
      </w:r>
      <w:r w:rsidRPr="00BB7AC8">
        <w:tab/>
        <w:t>collection consents;</w:t>
      </w:r>
    </w:p>
    <w:p w14:paraId="7EAA6D0D" w14:textId="77777777" w:rsidR="00CF0E3D" w:rsidRPr="00BB7AC8" w:rsidRDefault="00CF0E3D" w:rsidP="00CF0E3D">
      <w:pPr>
        <w:pStyle w:val="paragraph"/>
      </w:pPr>
      <w:r w:rsidRPr="00BB7AC8">
        <w:tab/>
        <w:t>(b)</w:t>
      </w:r>
      <w:r w:rsidRPr="00BB7AC8">
        <w:tab/>
        <w:t>use consents relating to the goods or services requested by the CDR consumer;</w:t>
      </w:r>
    </w:p>
    <w:p w14:paraId="6B268A33" w14:textId="77777777" w:rsidR="00CF0E3D" w:rsidRPr="00B61E66" w:rsidRDefault="00CF0E3D" w:rsidP="00CF0E3D">
      <w:pPr>
        <w:pStyle w:val="paragraph"/>
      </w:pPr>
      <w:bookmarkStart w:id="31" w:name="_Toc57218974"/>
      <w:r w:rsidRPr="00B61E66">
        <w:tab/>
        <w:t>(c)</w:t>
      </w:r>
      <w:r w:rsidRPr="00B61E66">
        <w:tab/>
        <w:t>direct marketing consents;</w:t>
      </w:r>
    </w:p>
    <w:p w14:paraId="4090B7BF" w14:textId="77777777" w:rsidR="00CF0E3D" w:rsidRPr="00B61E66" w:rsidRDefault="00CF0E3D" w:rsidP="00CF0E3D">
      <w:pPr>
        <w:pStyle w:val="paragraph"/>
      </w:pPr>
      <w:r w:rsidRPr="00B61E66">
        <w:tab/>
        <w:t>(d)</w:t>
      </w:r>
      <w:r w:rsidRPr="00B61E66">
        <w:tab/>
      </w:r>
      <w:r w:rsidRPr="00A32529">
        <w:t>de</w:t>
      </w:r>
      <w:r w:rsidRPr="00A32529">
        <w:noBreakHyphen/>
        <w:t>identification consents</w:t>
      </w:r>
      <w:r w:rsidRPr="00B61E66">
        <w:t>;</w:t>
      </w:r>
    </w:p>
    <w:p w14:paraId="689A54CB" w14:textId="77777777" w:rsidR="00D65475" w:rsidRPr="00BC78CF" w:rsidRDefault="00CF0E3D" w:rsidP="00D65475">
      <w:pPr>
        <w:pStyle w:val="paragraph"/>
        <w:rPr>
          <w:color w:val="FF0000"/>
        </w:rPr>
      </w:pPr>
      <w:r w:rsidRPr="00B61E66">
        <w:tab/>
        <w:t>(e)</w:t>
      </w:r>
      <w:r w:rsidRPr="00B61E66">
        <w:tab/>
        <w:t xml:space="preserve">AP disclosure </w:t>
      </w:r>
      <w:r w:rsidRPr="00450982">
        <w:t>consents</w:t>
      </w:r>
      <w:r w:rsidR="00D65475" w:rsidRPr="00BC78CF">
        <w:rPr>
          <w:color w:val="FF0000"/>
        </w:rPr>
        <w:t>;</w:t>
      </w:r>
    </w:p>
    <w:p w14:paraId="5AEEF429" w14:textId="77777777" w:rsidR="00D65475" w:rsidRPr="00BC78CF" w:rsidRDefault="00D65475" w:rsidP="00D65475">
      <w:pPr>
        <w:pStyle w:val="paragraph"/>
        <w:rPr>
          <w:color w:val="FF0000"/>
        </w:rPr>
      </w:pPr>
      <w:r w:rsidRPr="00BC78CF">
        <w:rPr>
          <w:color w:val="FF0000"/>
        </w:rPr>
        <w:tab/>
        <w:t>(f)</w:t>
      </w:r>
      <w:r w:rsidRPr="00BC78CF">
        <w:rPr>
          <w:color w:val="FF0000"/>
        </w:rPr>
        <w:tab/>
        <w:t>TA disclosure consents;</w:t>
      </w:r>
    </w:p>
    <w:p w14:paraId="0AE5DF8D" w14:textId="5B47C45D" w:rsidR="00CF0E3D" w:rsidRPr="00BC78CF" w:rsidRDefault="00D65475" w:rsidP="00D65475">
      <w:pPr>
        <w:pStyle w:val="paragraph"/>
        <w:rPr>
          <w:color w:val="FF0000"/>
        </w:rPr>
      </w:pPr>
      <w:r w:rsidRPr="00BC78CF">
        <w:rPr>
          <w:color w:val="FF0000"/>
        </w:rPr>
        <w:tab/>
        <w:t>(g)</w:t>
      </w:r>
      <w:r w:rsidRPr="00BC78CF">
        <w:rPr>
          <w:color w:val="FF0000"/>
        </w:rPr>
        <w:tab/>
      </w:r>
      <w:r w:rsidR="0053309B" w:rsidRPr="00BC78CF">
        <w:rPr>
          <w:color w:val="FF0000"/>
        </w:rPr>
        <w:t>insight disclosure consents</w:t>
      </w:r>
      <w:r w:rsidR="00CF0E3D" w:rsidRPr="00BC78CF">
        <w:rPr>
          <w:color w:val="FF0000"/>
        </w:rPr>
        <w:t>.</w:t>
      </w:r>
      <w:bookmarkEnd w:id="31"/>
    </w:p>
    <w:p w14:paraId="05CF4B7B" w14:textId="3558D014" w:rsidR="00AC652D" w:rsidRPr="00BC78CF" w:rsidRDefault="00AB7B51" w:rsidP="00AB7B51">
      <w:pPr>
        <w:pStyle w:val="subsection"/>
        <w:rPr>
          <w:color w:val="FF0000"/>
        </w:rPr>
      </w:pPr>
      <w:r w:rsidRPr="00BC78CF">
        <w:rPr>
          <w:color w:val="FF0000"/>
        </w:rPr>
        <w:tab/>
        <w:t>(3)</w:t>
      </w:r>
      <w:r w:rsidRPr="00BC78CF">
        <w:rPr>
          <w:color w:val="FF0000"/>
        </w:rPr>
        <w:tab/>
      </w:r>
      <w:r w:rsidR="00AC652D" w:rsidRPr="00BC78CF">
        <w:rPr>
          <w:color w:val="FF0000"/>
        </w:rPr>
        <w:t xml:space="preserve">For these rules, an </w:t>
      </w:r>
      <w:r w:rsidR="00AC652D" w:rsidRPr="00BC78CF">
        <w:rPr>
          <w:b/>
          <w:i/>
          <w:color w:val="FF0000"/>
        </w:rPr>
        <w:t>insight disclosure consent</w:t>
      </w:r>
      <w:r w:rsidR="007A5F06" w:rsidRPr="00BC78CF">
        <w:rPr>
          <w:color w:val="FF0000"/>
        </w:rPr>
        <w:t xml:space="preserve"> is a consent given by a CD</w:t>
      </w:r>
      <w:r w:rsidR="00AC652D" w:rsidRPr="00BC78CF">
        <w:rPr>
          <w:color w:val="FF0000"/>
        </w:rPr>
        <w:t xml:space="preserve">R consumer under these rules for an accredited data recipient of particular CDR data to disclose it to a specified person </w:t>
      </w:r>
      <w:r w:rsidR="007A73A4" w:rsidRPr="00BC78CF">
        <w:rPr>
          <w:color w:val="FF0000"/>
        </w:rPr>
        <w:t>for one of the following purposes</w:t>
      </w:r>
      <w:r w:rsidR="00AC652D" w:rsidRPr="00BC78CF">
        <w:rPr>
          <w:color w:val="FF0000"/>
        </w:rPr>
        <w:t>:</w:t>
      </w:r>
    </w:p>
    <w:p w14:paraId="7C8F4E46" w14:textId="3AEFA693" w:rsidR="00AC652D" w:rsidRPr="00BC78CF" w:rsidRDefault="00AC652D" w:rsidP="00AC652D">
      <w:pPr>
        <w:pStyle w:val="paragraph"/>
        <w:rPr>
          <w:color w:val="FF0000"/>
        </w:rPr>
      </w:pPr>
      <w:r w:rsidRPr="00BC78CF">
        <w:rPr>
          <w:color w:val="FF0000"/>
        </w:rPr>
        <w:tab/>
        <w:t>(a)</w:t>
      </w:r>
      <w:r w:rsidRPr="00BC78CF">
        <w:rPr>
          <w:color w:val="FF0000"/>
        </w:rPr>
        <w:tab/>
        <w:t>identifying the consumer;</w:t>
      </w:r>
    </w:p>
    <w:p w14:paraId="20BAD429" w14:textId="7683F43C" w:rsidR="00AC652D" w:rsidRPr="00BC78CF" w:rsidRDefault="00AC652D" w:rsidP="00AC652D">
      <w:pPr>
        <w:pStyle w:val="paragraph"/>
        <w:rPr>
          <w:color w:val="FF0000"/>
        </w:rPr>
      </w:pPr>
      <w:r w:rsidRPr="00BC78CF">
        <w:rPr>
          <w:color w:val="FF0000"/>
        </w:rPr>
        <w:tab/>
        <w:t>(b)</w:t>
      </w:r>
      <w:r w:rsidRPr="00BC78CF">
        <w:rPr>
          <w:color w:val="FF0000"/>
        </w:rPr>
        <w:tab/>
        <w:t>verifying</w:t>
      </w:r>
      <w:r w:rsidR="007A73A4" w:rsidRPr="00BC78CF">
        <w:rPr>
          <w:color w:val="FF0000"/>
        </w:rPr>
        <w:t xml:space="preserve"> the consumer’s account balance</w:t>
      </w:r>
      <w:r w:rsidRPr="00BC78CF">
        <w:rPr>
          <w:color w:val="FF0000"/>
        </w:rPr>
        <w:t>;</w:t>
      </w:r>
    </w:p>
    <w:p w14:paraId="3A69DEC5" w14:textId="16D62A60" w:rsidR="00AC652D" w:rsidRPr="00BC78CF" w:rsidRDefault="00AC652D" w:rsidP="00AC652D">
      <w:pPr>
        <w:pStyle w:val="paragraph"/>
        <w:rPr>
          <w:color w:val="FF0000"/>
        </w:rPr>
      </w:pPr>
      <w:r w:rsidRPr="00BC78CF">
        <w:rPr>
          <w:color w:val="FF0000"/>
        </w:rPr>
        <w:tab/>
        <w:t>(</w:t>
      </w:r>
      <w:r w:rsidR="00F625CE" w:rsidRPr="00BC78CF">
        <w:rPr>
          <w:color w:val="FF0000"/>
        </w:rPr>
        <w:t>c</w:t>
      </w:r>
      <w:r w:rsidRPr="00BC78CF">
        <w:rPr>
          <w:color w:val="FF0000"/>
        </w:rPr>
        <w:t>)</w:t>
      </w:r>
      <w:r w:rsidRPr="00BC78CF">
        <w:rPr>
          <w:color w:val="FF0000"/>
        </w:rPr>
        <w:tab/>
        <w:t>verifying the consumer’s income;</w:t>
      </w:r>
    </w:p>
    <w:p w14:paraId="79DBF191" w14:textId="3124579A" w:rsidR="00AC652D" w:rsidRPr="00BC78CF" w:rsidRDefault="00AC652D" w:rsidP="00F625CE">
      <w:pPr>
        <w:pStyle w:val="paragraph"/>
        <w:rPr>
          <w:color w:val="FF0000"/>
        </w:rPr>
      </w:pPr>
      <w:r w:rsidRPr="00BC78CF">
        <w:rPr>
          <w:color w:val="FF0000"/>
        </w:rPr>
        <w:tab/>
        <w:t>(</w:t>
      </w:r>
      <w:r w:rsidR="00F625CE" w:rsidRPr="00BC78CF">
        <w:rPr>
          <w:color w:val="FF0000"/>
        </w:rPr>
        <w:t>d</w:t>
      </w:r>
      <w:r w:rsidRPr="00BC78CF">
        <w:rPr>
          <w:color w:val="FF0000"/>
        </w:rPr>
        <w:t>)</w:t>
      </w:r>
      <w:r w:rsidRPr="00BC78CF">
        <w:rPr>
          <w:color w:val="FF0000"/>
        </w:rPr>
        <w:tab/>
        <w:t>verifying the consumer’s expenses.</w:t>
      </w:r>
    </w:p>
    <w:p w14:paraId="250BC7BB" w14:textId="5CA20573" w:rsidR="00B82440" w:rsidRPr="00BC78CF" w:rsidRDefault="00B82440" w:rsidP="00B82440">
      <w:pPr>
        <w:pStyle w:val="SubsectionHead"/>
        <w:rPr>
          <w:color w:val="FF0000"/>
        </w:rPr>
      </w:pPr>
      <w:r w:rsidRPr="00BC78CF">
        <w:rPr>
          <w:color w:val="FF0000"/>
        </w:rPr>
        <w:t xml:space="preserve">Consents in relation to </w:t>
      </w:r>
      <w:r w:rsidR="00182338" w:rsidRPr="00BC78CF">
        <w:rPr>
          <w:color w:val="FF0000"/>
        </w:rPr>
        <w:t>CDR representative</w:t>
      </w:r>
      <w:r w:rsidRPr="00BC78CF">
        <w:rPr>
          <w:color w:val="FF0000"/>
        </w:rPr>
        <w:t>s</w:t>
      </w:r>
    </w:p>
    <w:p w14:paraId="0B4B0C00" w14:textId="5DD9273A" w:rsidR="00B82440" w:rsidRPr="00BC78CF" w:rsidRDefault="00B82440" w:rsidP="00B82440">
      <w:pPr>
        <w:pStyle w:val="subsection"/>
        <w:rPr>
          <w:color w:val="FF0000"/>
        </w:rPr>
      </w:pPr>
      <w:r w:rsidRPr="00BC78CF">
        <w:rPr>
          <w:color w:val="FF0000"/>
        </w:rPr>
        <w:tab/>
        <w:t>(</w:t>
      </w:r>
      <w:r w:rsidR="00F625CE" w:rsidRPr="00BC78CF">
        <w:rPr>
          <w:color w:val="FF0000"/>
        </w:rPr>
        <w:t>4</w:t>
      </w:r>
      <w:r w:rsidRPr="00BC78CF">
        <w:rPr>
          <w:color w:val="FF0000"/>
        </w:rPr>
        <w:t>)</w:t>
      </w:r>
      <w:r w:rsidRPr="00BC78CF">
        <w:rPr>
          <w:color w:val="FF0000"/>
        </w:rPr>
        <w:tab/>
        <w:t xml:space="preserve">For an accredited person with a </w:t>
      </w:r>
      <w:r w:rsidR="00182338" w:rsidRPr="00BC78CF">
        <w:rPr>
          <w:color w:val="FF0000"/>
        </w:rPr>
        <w:t>CDR representative</w:t>
      </w:r>
      <w:r w:rsidRPr="00BC78CF">
        <w:rPr>
          <w:color w:val="FF0000"/>
        </w:rPr>
        <w:t xml:space="preserve">, a consent given by a CDR consumer under these rules to the </w:t>
      </w:r>
      <w:r w:rsidR="00182338" w:rsidRPr="00BC78CF">
        <w:rPr>
          <w:color w:val="FF0000"/>
        </w:rPr>
        <w:t>CDR representative</w:t>
      </w:r>
      <w:r w:rsidRPr="00BC78CF">
        <w:rPr>
          <w:color w:val="FF0000"/>
        </w:rPr>
        <w:t xml:space="preserve"> for the accredited person to collect particular CDR data from a CDR participant for that CDR data and disclose it to the </w:t>
      </w:r>
      <w:r w:rsidR="00182338" w:rsidRPr="00BC78CF">
        <w:rPr>
          <w:color w:val="FF0000"/>
        </w:rPr>
        <w:t>CDR representative</w:t>
      </w:r>
      <w:r w:rsidRPr="00BC78CF">
        <w:rPr>
          <w:color w:val="FF0000"/>
        </w:rPr>
        <w:t xml:space="preserve"> is also a </w:t>
      </w:r>
      <w:r w:rsidRPr="00BC78CF">
        <w:rPr>
          <w:b/>
          <w:i/>
          <w:color w:val="FF0000"/>
        </w:rPr>
        <w:t>collection consent</w:t>
      </w:r>
      <w:r w:rsidRPr="00BC78CF">
        <w:rPr>
          <w:color w:val="FF0000"/>
        </w:rPr>
        <w:t xml:space="preserve">. </w:t>
      </w:r>
    </w:p>
    <w:p w14:paraId="5D7EEB69" w14:textId="3F78D56E" w:rsidR="00696A1A" w:rsidRPr="00BC78CF" w:rsidRDefault="007A5F06" w:rsidP="00B82440">
      <w:pPr>
        <w:pStyle w:val="subsection"/>
        <w:rPr>
          <w:color w:val="FF0000"/>
        </w:rPr>
      </w:pPr>
      <w:r w:rsidRPr="00BC78CF">
        <w:rPr>
          <w:color w:val="FF0000"/>
        </w:rPr>
        <w:tab/>
        <w:t>(5</w:t>
      </w:r>
      <w:r w:rsidR="00B82440" w:rsidRPr="00BC78CF">
        <w:rPr>
          <w:color w:val="FF0000"/>
        </w:rPr>
        <w:t>)</w:t>
      </w:r>
      <w:r w:rsidR="00B82440" w:rsidRPr="00BC78CF">
        <w:rPr>
          <w:color w:val="FF0000"/>
        </w:rPr>
        <w:tab/>
        <w:t xml:space="preserve">In this rule, other than in relation to subparagraph (1)(c)(i), a reference to an accredited data recipient of particular CDR data includes a reference to a </w:t>
      </w:r>
      <w:r w:rsidR="00182338" w:rsidRPr="00BC78CF">
        <w:rPr>
          <w:color w:val="FF0000"/>
        </w:rPr>
        <w:t>CDR representative</w:t>
      </w:r>
      <w:r w:rsidR="00B82440" w:rsidRPr="00BC78CF">
        <w:rPr>
          <w:color w:val="FF0000"/>
        </w:rPr>
        <w:t xml:space="preserve"> that holds the CDR data as service data.</w:t>
      </w:r>
    </w:p>
    <w:p w14:paraId="44A2EA6A" w14:textId="3C4EC7B9" w:rsidR="00D65475" w:rsidRPr="00BC78CF" w:rsidRDefault="00D65475" w:rsidP="00D65475">
      <w:pPr>
        <w:pStyle w:val="ActHead5"/>
        <w:rPr>
          <w:color w:val="FF0000"/>
        </w:rPr>
      </w:pPr>
      <w:bookmarkStart w:id="32" w:name="_Toc74916079"/>
      <w:bookmarkStart w:id="33" w:name="_Toc11771569"/>
      <w:r w:rsidRPr="00BC78CF">
        <w:rPr>
          <w:color w:val="FF0000"/>
        </w:rPr>
        <w:t>1.10C</w:t>
      </w:r>
      <w:r w:rsidR="001F5289" w:rsidRPr="00BC78CF">
        <w:rPr>
          <w:color w:val="FF0000"/>
        </w:rPr>
        <w:t xml:space="preserve">  Trusted advise</w:t>
      </w:r>
      <w:r w:rsidRPr="00BC78CF">
        <w:rPr>
          <w:color w:val="FF0000"/>
        </w:rPr>
        <w:t>rs</w:t>
      </w:r>
      <w:bookmarkEnd w:id="32"/>
    </w:p>
    <w:p w14:paraId="3907D041" w14:textId="5AA39F94" w:rsidR="00D65475" w:rsidRPr="00BC78CF" w:rsidRDefault="00D65475" w:rsidP="00D65475">
      <w:pPr>
        <w:pStyle w:val="subsection"/>
        <w:rPr>
          <w:color w:val="FF0000"/>
        </w:rPr>
      </w:pPr>
      <w:r w:rsidRPr="00BC78CF">
        <w:rPr>
          <w:color w:val="FF0000"/>
        </w:rPr>
        <w:tab/>
      </w:r>
      <w:r w:rsidR="000E44B7" w:rsidRPr="00BC78CF">
        <w:rPr>
          <w:color w:val="FF0000"/>
        </w:rPr>
        <w:t>(1)</w:t>
      </w:r>
      <w:r w:rsidRPr="00BC78CF">
        <w:rPr>
          <w:color w:val="FF0000"/>
        </w:rPr>
        <w:tab/>
        <w:t xml:space="preserve">An accredited person may invite a CDR consumer to nominate one or more persons as </w:t>
      </w:r>
      <w:r w:rsidR="0038477E" w:rsidRPr="00BC78CF">
        <w:rPr>
          <w:b/>
          <w:i/>
          <w:color w:val="FF0000"/>
        </w:rPr>
        <w:t>trusted advise</w:t>
      </w:r>
      <w:r w:rsidRPr="00BC78CF">
        <w:rPr>
          <w:b/>
          <w:i/>
          <w:color w:val="FF0000"/>
        </w:rPr>
        <w:t>rs</w:t>
      </w:r>
      <w:r w:rsidRPr="00BC78CF">
        <w:rPr>
          <w:color w:val="FF0000"/>
        </w:rPr>
        <w:t xml:space="preserve"> of the CDR consumer for the purposes of this </w:t>
      </w:r>
      <w:r w:rsidR="0038477E" w:rsidRPr="00BC78CF">
        <w:rPr>
          <w:color w:val="FF0000"/>
        </w:rPr>
        <w:t>rule</w:t>
      </w:r>
      <w:r w:rsidRPr="00BC78CF">
        <w:rPr>
          <w:color w:val="FF0000"/>
        </w:rPr>
        <w:t>.</w:t>
      </w:r>
    </w:p>
    <w:p w14:paraId="4A002CE0" w14:textId="6F8F6B5A" w:rsidR="0038477E" w:rsidRPr="00BC78CF" w:rsidRDefault="0038477E" w:rsidP="0038477E">
      <w:pPr>
        <w:pStyle w:val="subsection"/>
        <w:rPr>
          <w:color w:val="FF0000"/>
        </w:rPr>
      </w:pPr>
      <w:r w:rsidRPr="00BC78CF">
        <w:rPr>
          <w:color w:val="FF0000"/>
        </w:rPr>
        <w:tab/>
        <w:t>(2)</w:t>
      </w:r>
      <w:r w:rsidRPr="00BC78CF">
        <w:rPr>
          <w:color w:val="FF0000"/>
        </w:rPr>
        <w:tab/>
        <w:t>A trusted adviser must belong to one of the following classes:</w:t>
      </w:r>
    </w:p>
    <w:p w14:paraId="03C663B2" w14:textId="77777777" w:rsidR="0038477E" w:rsidRPr="00BC78CF" w:rsidRDefault="0038477E" w:rsidP="0038477E">
      <w:pPr>
        <w:pStyle w:val="paragraph"/>
        <w:rPr>
          <w:color w:val="FF0000"/>
        </w:rPr>
      </w:pPr>
      <w:r w:rsidRPr="00BC78CF">
        <w:rPr>
          <w:color w:val="FF0000"/>
        </w:rPr>
        <w:tab/>
        <w:t>(a)</w:t>
      </w:r>
      <w:r w:rsidRPr="00BC78CF">
        <w:rPr>
          <w:color w:val="FF0000"/>
        </w:rPr>
        <w:tab/>
        <w:t xml:space="preserve">qualified accountants within the meaning of the </w:t>
      </w:r>
      <w:r w:rsidRPr="00BC78CF">
        <w:rPr>
          <w:i/>
          <w:color w:val="FF0000"/>
        </w:rPr>
        <w:t>Corporations Act 2001</w:t>
      </w:r>
      <w:r w:rsidRPr="00BC78CF">
        <w:rPr>
          <w:color w:val="FF0000"/>
        </w:rPr>
        <w:t xml:space="preserve">; </w:t>
      </w:r>
    </w:p>
    <w:p w14:paraId="1CEAC133" w14:textId="77777777" w:rsidR="0038477E" w:rsidRPr="00BC78CF" w:rsidRDefault="0038477E" w:rsidP="0038477E">
      <w:pPr>
        <w:pStyle w:val="paragraph"/>
        <w:rPr>
          <w:color w:val="FF0000"/>
        </w:rPr>
      </w:pPr>
      <w:r w:rsidRPr="00BC78CF">
        <w:rPr>
          <w:color w:val="FF0000"/>
        </w:rPr>
        <w:tab/>
        <w:t>(b)</w:t>
      </w:r>
      <w:r w:rsidRPr="00BC78CF">
        <w:rPr>
          <w:color w:val="FF0000"/>
        </w:rPr>
        <w:tab/>
        <w:t>persons who are admitted to the legal profession (however described) and hold a current practising certificate under a law of a State or Territory that regulates the legal profession;</w:t>
      </w:r>
    </w:p>
    <w:p w14:paraId="75027E4B" w14:textId="77777777" w:rsidR="0038477E" w:rsidRPr="00BC78CF" w:rsidRDefault="0038477E" w:rsidP="0038477E">
      <w:pPr>
        <w:pStyle w:val="paragraph"/>
        <w:rPr>
          <w:color w:val="FF0000"/>
        </w:rPr>
      </w:pPr>
      <w:r w:rsidRPr="00BC78CF">
        <w:rPr>
          <w:color w:val="FF0000"/>
        </w:rPr>
        <w:tab/>
        <w:t>(c)</w:t>
      </w:r>
      <w:r w:rsidRPr="00BC78CF">
        <w:rPr>
          <w:color w:val="FF0000"/>
        </w:rPr>
        <w:tab/>
        <w:t xml:space="preserve">registered tax agents, BAS agents and tax (financial) advisers within the meaning of the </w:t>
      </w:r>
      <w:r w:rsidRPr="00BC78CF">
        <w:rPr>
          <w:i/>
          <w:color w:val="FF0000"/>
        </w:rPr>
        <w:t>Tax Agent Services Act 2009</w:t>
      </w:r>
      <w:r w:rsidRPr="00BC78CF">
        <w:rPr>
          <w:color w:val="FF0000"/>
        </w:rPr>
        <w:t>;</w:t>
      </w:r>
    </w:p>
    <w:p w14:paraId="7BB3E8FF" w14:textId="77777777" w:rsidR="0038477E" w:rsidRPr="00BC78CF" w:rsidRDefault="0038477E" w:rsidP="0038477E">
      <w:pPr>
        <w:pStyle w:val="paragraph"/>
        <w:rPr>
          <w:color w:val="FF0000"/>
        </w:rPr>
      </w:pPr>
      <w:r w:rsidRPr="00BC78CF">
        <w:rPr>
          <w:color w:val="FF0000"/>
        </w:rPr>
        <w:tab/>
        <w:t>(d)</w:t>
      </w:r>
      <w:r w:rsidRPr="00BC78CF">
        <w:rPr>
          <w:color w:val="FF0000"/>
        </w:rPr>
        <w:tab/>
        <w:t xml:space="preserve">financial counselling agencies within the meaning of the </w:t>
      </w:r>
      <w:r w:rsidRPr="00BC78CF">
        <w:rPr>
          <w:i/>
          <w:iCs/>
          <w:color w:val="FF0000"/>
          <w:shd w:val="clear" w:color="auto" w:fill="FFFFFF"/>
        </w:rPr>
        <w:t>ASIC Corporations (Financial Counselling Agencies) Instrument 2017/792</w:t>
      </w:r>
      <w:r w:rsidRPr="00BC78CF">
        <w:rPr>
          <w:iCs/>
          <w:color w:val="FF0000"/>
          <w:shd w:val="clear" w:color="auto" w:fill="FFFFFF"/>
        </w:rPr>
        <w:t>;</w:t>
      </w:r>
    </w:p>
    <w:p w14:paraId="3FFE7240" w14:textId="71974F67" w:rsidR="0038477E" w:rsidRPr="00BC78CF" w:rsidRDefault="0038477E" w:rsidP="0038477E">
      <w:pPr>
        <w:pStyle w:val="paragraph"/>
        <w:rPr>
          <w:color w:val="FF0000"/>
        </w:rPr>
      </w:pPr>
      <w:r w:rsidRPr="00BC78CF">
        <w:rPr>
          <w:color w:val="FF0000"/>
        </w:rPr>
        <w:tab/>
        <w:t>(e)</w:t>
      </w:r>
      <w:r w:rsidRPr="00BC78CF">
        <w:rPr>
          <w:color w:val="FF0000"/>
        </w:rPr>
        <w:tab/>
        <w:t xml:space="preserve">relevant providers within the meaning of the </w:t>
      </w:r>
      <w:r w:rsidRPr="00BC78CF">
        <w:rPr>
          <w:i/>
          <w:color w:val="FF0000"/>
        </w:rPr>
        <w:t xml:space="preserve">Corporations Act 2001 </w:t>
      </w:r>
      <w:r w:rsidRPr="00BC78CF">
        <w:rPr>
          <w:color w:val="FF0000"/>
        </w:rPr>
        <w:t xml:space="preserve">who would not contravene subsection 923C(1) or (2) of the </w:t>
      </w:r>
      <w:r w:rsidRPr="00BC78CF">
        <w:rPr>
          <w:i/>
          <w:color w:val="FF0000"/>
        </w:rPr>
        <w:t xml:space="preserve">Corporations Act 2001 </w:t>
      </w:r>
      <w:r w:rsidRPr="00BC78CF">
        <w:rPr>
          <w:color w:val="FF0000"/>
        </w:rPr>
        <w:t>if they were to assume or use the expression “financial adviser” or “financial planner” in relation to a financial services busness or a financial service they carry on or provide;</w:t>
      </w:r>
    </w:p>
    <w:p w14:paraId="51C71501" w14:textId="6C164CD6" w:rsidR="0038477E" w:rsidRPr="00BC78CF" w:rsidRDefault="0038477E" w:rsidP="0038477E">
      <w:pPr>
        <w:pStyle w:val="paragraph"/>
        <w:rPr>
          <w:color w:val="FF0000"/>
        </w:rPr>
      </w:pPr>
      <w:r w:rsidRPr="00BC78CF">
        <w:rPr>
          <w:color w:val="FF0000"/>
        </w:rPr>
        <w:tab/>
        <w:t>(f)</w:t>
      </w:r>
      <w:r w:rsidRPr="00BC78CF">
        <w:rPr>
          <w:color w:val="FF0000"/>
        </w:rPr>
        <w:tab/>
        <w:t xml:space="preserve">mortgage brokers within the meaning of the </w:t>
      </w:r>
      <w:r w:rsidRPr="00BC78CF">
        <w:rPr>
          <w:i/>
          <w:color w:val="FF0000"/>
        </w:rPr>
        <w:t>National Consumer Credit Protection Act 2009</w:t>
      </w:r>
      <w:r w:rsidRPr="00BC78CF">
        <w:rPr>
          <w:color w:val="FF0000"/>
        </w:rPr>
        <w:t>.</w:t>
      </w:r>
    </w:p>
    <w:p w14:paraId="5E96A7E5" w14:textId="77777777" w:rsidR="0038477E" w:rsidRPr="00BC78CF" w:rsidRDefault="0038477E" w:rsidP="0038477E">
      <w:pPr>
        <w:pStyle w:val="subsection"/>
        <w:rPr>
          <w:color w:val="FF0000"/>
        </w:rPr>
      </w:pPr>
      <w:r w:rsidRPr="00BC78CF">
        <w:rPr>
          <w:color w:val="FF0000"/>
        </w:rPr>
        <w:tab/>
        <w:t>(3)</w:t>
      </w:r>
      <w:r w:rsidRPr="00BC78CF">
        <w:rPr>
          <w:color w:val="FF0000"/>
        </w:rPr>
        <w:tab/>
        <w:t>The accredited person must not make:</w:t>
      </w:r>
    </w:p>
    <w:p w14:paraId="54B3E47E" w14:textId="2E8E925F" w:rsidR="0038477E" w:rsidRPr="00BC78CF" w:rsidRDefault="0038477E" w:rsidP="0038477E">
      <w:pPr>
        <w:pStyle w:val="paragraph"/>
        <w:rPr>
          <w:color w:val="FF0000"/>
        </w:rPr>
      </w:pPr>
      <w:r w:rsidRPr="00BC78CF">
        <w:rPr>
          <w:color w:val="FF0000"/>
        </w:rPr>
        <w:tab/>
        <w:t>(a)</w:t>
      </w:r>
      <w:r w:rsidRPr="00BC78CF">
        <w:rPr>
          <w:color w:val="FF0000"/>
        </w:rPr>
        <w:tab/>
        <w:t>the nomination of a trusted adviser; or</w:t>
      </w:r>
    </w:p>
    <w:p w14:paraId="1451899F" w14:textId="2E921E41" w:rsidR="0038477E" w:rsidRPr="00BC78CF" w:rsidRDefault="0038477E" w:rsidP="0038477E">
      <w:pPr>
        <w:pStyle w:val="paragraph"/>
        <w:rPr>
          <w:color w:val="FF0000"/>
        </w:rPr>
      </w:pPr>
      <w:r w:rsidRPr="00BC78CF">
        <w:rPr>
          <w:color w:val="FF0000"/>
        </w:rPr>
        <w:tab/>
        <w:t>(b)</w:t>
      </w:r>
      <w:r w:rsidRPr="00BC78CF">
        <w:rPr>
          <w:color w:val="FF0000"/>
        </w:rPr>
        <w:tab/>
        <w:t>the nomination of a particular person as a trusted adviser; or</w:t>
      </w:r>
    </w:p>
    <w:p w14:paraId="1719560E" w14:textId="77777777" w:rsidR="0038477E" w:rsidRPr="00BC78CF" w:rsidRDefault="0038477E" w:rsidP="0038477E">
      <w:pPr>
        <w:pStyle w:val="paragraph"/>
        <w:rPr>
          <w:color w:val="FF0000"/>
        </w:rPr>
      </w:pPr>
      <w:r w:rsidRPr="00BC78CF">
        <w:rPr>
          <w:color w:val="FF0000"/>
        </w:rPr>
        <w:tab/>
        <w:t>(c)</w:t>
      </w:r>
      <w:r w:rsidRPr="00BC78CF">
        <w:rPr>
          <w:color w:val="FF0000"/>
        </w:rPr>
        <w:tab/>
        <w:t>the giving of a TA disclosure consent;</w:t>
      </w:r>
    </w:p>
    <w:p w14:paraId="420720E4" w14:textId="77777777" w:rsidR="0038477E" w:rsidRPr="00BC78CF" w:rsidRDefault="0038477E" w:rsidP="0038477E">
      <w:pPr>
        <w:pStyle w:val="subsection"/>
        <w:spacing w:before="100"/>
        <w:rPr>
          <w:color w:val="FF0000"/>
        </w:rPr>
      </w:pPr>
      <w:r w:rsidRPr="00BC78CF">
        <w:rPr>
          <w:color w:val="FF0000"/>
        </w:rPr>
        <w:tab/>
      </w:r>
      <w:r w:rsidRPr="00BC78CF">
        <w:rPr>
          <w:color w:val="FF0000"/>
        </w:rPr>
        <w:tab/>
        <w:t>a condition for supply of the goods or services requested by the CDR consumer.</w:t>
      </w:r>
    </w:p>
    <w:p w14:paraId="34C5AB45" w14:textId="319C1F3F" w:rsidR="001B3D4A" w:rsidRPr="00BC78CF" w:rsidRDefault="001B3D4A" w:rsidP="001B3D4A">
      <w:pPr>
        <w:pStyle w:val="ActHead5"/>
        <w:rPr>
          <w:bCs/>
          <w:i/>
          <w:iCs/>
          <w:color w:val="FF0000"/>
        </w:rPr>
      </w:pPr>
      <w:bookmarkStart w:id="34" w:name="_Toc74916080"/>
      <w:r w:rsidRPr="00BC78CF">
        <w:rPr>
          <w:color w:val="FF0000"/>
        </w:rPr>
        <w:t xml:space="preserve">1.10D  Meaning of </w:t>
      </w:r>
      <w:r w:rsidRPr="00BC78CF">
        <w:rPr>
          <w:i/>
          <w:color w:val="FF0000"/>
        </w:rPr>
        <w:t>sponsorship arrangement</w:t>
      </w:r>
      <w:r w:rsidR="00386C4A" w:rsidRPr="00BC78CF">
        <w:rPr>
          <w:iCs/>
          <w:color w:val="FF0000"/>
        </w:rPr>
        <w:t>,</w:t>
      </w:r>
      <w:r w:rsidR="004B4478" w:rsidRPr="00BC78CF">
        <w:rPr>
          <w:b w:val="0"/>
          <w:bCs/>
          <w:iCs/>
          <w:color w:val="FF0000"/>
        </w:rPr>
        <w:t xml:space="preserve"> </w:t>
      </w:r>
      <w:r w:rsidR="004B4478" w:rsidRPr="00BC78CF">
        <w:rPr>
          <w:i/>
          <w:color w:val="FF0000"/>
        </w:rPr>
        <w:t>sponsor</w:t>
      </w:r>
      <w:r w:rsidR="00686487" w:rsidRPr="00BC78CF">
        <w:rPr>
          <w:b w:val="0"/>
          <w:color w:val="FF0000"/>
        </w:rPr>
        <w:t xml:space="preserve"> and </w:t>
      </w:r>
      <w:r w:rsidR="00686487" w:rsidRPr="00BC78CF">
        <w:rPr>
          <w:i/>
          <w:color w:val="FF0000"/>
        </w:rPr>
        <w:t>affiliate</w:t>
      </w:r>
      <w:bookmarkEnd w:id="34"/>
    </w:p>
    <w:p w14:paraId="3B8513C5" w14:textId="5BD18871" w:rsidR="003801D6" w:rsidRPr="00BC78CF" w:rsidRDefault="001B3D4A" w:rsidP="001B3D4A">
      <w:pPr>
        <w:pStyle w:val="subsection"/>
        <w:rPr>
          <w:color w:val="FF0000"/>
        </w:rPr>
      </w:pPr>
      <w:r w:rsidRPr="00BC78CF">
        <w:rPr>
          <w:color w:val="FF0000"/>
        </w:rPr>
        <w:tab/>
        <w:t>(1)</w:t>
      </w:r>
      <w:r w:rsidRPr="00BC78CF">
        <w:rPr>
          <w:color w:val="FF0000"/>
        </w:rPr>
        <w:tab/>
        <w:t xml:space="preserve">A </w:t>
      </w:r>
      <w:r w:rsidR="00117A5B" w:rsidRPr="00BC78CF">
        <w:rPr>
          <w:b/>
          <w:bCs/>
          <w:i/>
          <w:iCs/>
          <w:color w:val="FF0000"/>
        </w:rPr>
        <w:t>sponsorship arrangement</w:t>
      </w:r>
      <w:r w:rsidR="00117A5B" w:rsidRPr="00BC78CF">
        <w:rPr>
          <w:color w:val="FF0000"/>
        </w:rPr>
        <w:t xml:space="preserve"> is </w:t>
      </w:r>
      <w:r w:rsidR="00E23BBA" w:rsidRPr="00BC78CF">
        <w:rPr>
          <w:color w:val="FF0000"/>
        </w:rPr>
        <w:t xml:space="preserve">a written contract </w:t>
      </w:r>
      <w:r w:rsidR="00117A5B" w:rsidRPr="00BC78CF">
        <w:rPr>
          <w:color w:val="FF0000"/>
        </w:rPr>
        <w:t xml:space="preserve">between a person with unrestricted </w:t>
      </w:r>
      <w:r w:rsidR="00EA67BC" w:rsidRPr="00BC78CF">
        <w:rPr>
          <w:color w:val="FF0000"/>
        </w:rPr>
        <w:t>accreditation</w:t>
      </w:r>
      <w:r w:rsidR="00117A5B" w:rsidRPr="00BC78CF">
        <w:rPr>
          <w:color w:val="FF0000"/>
        </w:rPr>
        <w:t xml:space="preserve"> </w:t>
      </w:r>
      <w:r w:rsidR="002C2F62" w:rsidRPr="00BC78CF">
        <w:rPr>
          <w:color w:val="FF0000"/>
        </w:rPr>
        <w:t xml:space="preserve">(the </w:t>
      </w:r>
      <w:r w:rsidR="002C2F62" w:rsidRPr="00BC78CF">
        <w:rPr>
          <w:b/>
          <w:i/>
          <w:color w:val="FF0000"/>
        </w:rPr>
        <w:t>sponsor</w:t>
      </w:r>
      <w:r w:rsidR="002C2F62" w:rsidRPr="00BC78CF">
        <w:rPr>
          <w:color w:val="FF0000"/>
        </w:rPr>
        <w:t>)</w:t>
      </w:r>
      <w:r w:rsidR="002C2F62" w:rsidRPr="00BC78CF">
        <w:rPr>
          <w:b/>
          <w:color w:val="FF0000"/>
        </w:rPr>
        <w:t xml:space="preserve"> </w:t>
      </w:r>
      <w:r w:rsidR="00117A5B" w:rsidRPr="00BC78CF">
        <w:rPr>
          <w:color w:val="FF0000"/>
        </w:rPr>
        <w:t xml:space="preserve">and </w:t>
      </w:r>
      <w:r w:rsidR="008A6C8F" w:rsidRPr="00BC78CF">
        <w:rPr>
          <w:color w:val="FF0000"/>
        </w:rPr>
        <w:t>a</w:t>
      </w:r>
      <w:r w:rsidR="00F3080A" w:rsidRPr="00BC78CF">
        <w:rPr>
          <w:color w:val="FF0000"/>
        </w:rPr>
        <w:t xml:space="preserve">nother </w:t>
      </w:r>
      <w:r w:rsidR="00686487" w:rsidRPr="00BC78CF">
        <w:rPr>
          <w:color w:val="FF0000"/>
        </w:rPr>
        <w:t xml:space="preserve">person </w:t>
      </w:r>
      <w:r w:rsidR="008A6C8F" w:rsidRPr="00BC78CF">
        <w:rPr>
          <w:color w:val="FF0000"/>
        </w:rPr>
        <w:t xml:space="preserve">(the </w:t>
      </w:r>
      <w:r w:rsidR="008A6C8F" w:rsidRPr="00BC78CF">
        <w:rPr>
          <w:b/>
          <w:i/>
          <w:color w:val="FF0000"/>
        </w:rPr>
        <w:t>affiliate</w:t>
      </w:r>
      <w:r w:rsidR="008A6C8F" w:rsidRPr="00BC78CF">
        <w:rPr>
          <w:color w:val="FF0000"/>
        </w:rPr>
        <w:t>)</w:t>
      </w:r>
      <w:r w:rsidR="00117A5B" w:rsidRPr="00BC78CF">
        <w:rPr>
          <w:color w:val="FF0000"/>
        </w:rPr>
        <w:t>, under which</w:t>
      </w:r>
      <w:r w:rsidR="003801D6" w:rsidRPr="00BC78CF">
        <w:rPr>
          <w:color w:val="FF0000"/>
        </w:rPr>
        <w:t>:</w:t>
      </w:r>
    </w:p>
    <w:p w14:paraId="44F839BC" w14:textId="0A569D71" w:rsidR="00DE57EB" w:rsidRPr="00BC78CF" w:rsidRDefault="003801D6" w:rsidP="00EA67BC">
      <w:pPr>
        <w:pStyle w:val="paragraph"/>
        <w:rPr>
          <w:color w:val="FF0000"/>
        </w:rPr>
      </w:pPr>
      <w:r w:rsidRPr="00BC78CF">
        <w:rPr>
          <w:color w:val="FF0000"/>
        </w:rPr>
        <w:tab/>
        <w:t>(a)</w:t>
      </w:r>
      <w:r w:rsidRPr="00BC78CF">
        <w:rPr>
          <w:color w:val="FF0000"/>
        </w:rPr>
        <w:tab/>
      </w:r>
      <w:r w:rsidR="00DE57EB" w:rsidRPr="00BC78CF">
        <w:rPr>
          <w:color w:val="FF0000"/>
        </w:rPr>
        <w:t xml:space="preserve">the </w:t>
      </w:r>
      <w:r w:rsidR="002C2F62" w:rsidRPr="00BC78CF">
        <w:rPr>
          <w:color w:val="FF0000"/>
        </w:rPr>
        <w:t>sponsor</w:t>
      </w:r>
      <w:r w:rsidR="00DE57EB" w:rsidRPr="00BC78CF">
        <w:rPr>
          <w:color w:val="FF0000"/>
        </w:rPr>
        <w:t xml:space="preserve"> agrees</w:t>
      </w:r>
      <w:r w:rsidR="00EA67BC" w:rsidRPr="00BC78CF">
        <w:rPr>
          <w:color w:val="FF0000"/>
        </w:rPr>
        <w:t xml:space="preserve"> </w:t>
      </w:r>
      <w:r w:rsidR="00DE57EB" w:rsidRPr="00BC78CF">
        <w:rPr>
          <w:color w:val="FF0000"/>
        </w:rPr>
        <w:t>to disclose</w:t>
      </w:r>
      <w:r w:rsidR="00686487" w:rsidRPr="00BC78CF">
        <w:rPr>
          <w:color w:val="FF0000"/>
        </w:rPr>
        <w:t xml:space="preserve"> to the affiliate, </w:t>
      </w:r>
      <w:r w:rsidR="00DE57EB" w:rsidRPr="00BC78CF">
        <w:rPr>
          <w:color w:val="FF0000"/>
        </w:rPr>
        <w:t>in response to a consumer data request</w:t>
      </w:r>
      <w:r w:rsidR="00686487" w:rsidRPr="00BC78CF">
        <w:rPr>
          <w:color w:val="FF0000"/>
        </w:rPr>
        <w:t xml:space="preserve"> </w:t>
      </w:r>
      <w:r w:rsidR="00F3080A" w:rsidRPr="00BC78CF">
        <w:rPr>
          <w:color w:val="FF0000"/>
        </w:rPr>
        <w:t xml:space="preserve">made </w:t>
      </w:r>
      <w:r w:rsidR="00686487" w:rsidRPr="00BC78CF">
        <w:rPr>
          <w:color w:val="FF0000"/>
        </w:rPr>
        <w:t xml:space="preserve">by the affiliate </w:t>
      </w:r>
      <w:r w:rsidR="00950F44" w:rsidRPr="00BC78CF">
        <w:rPr>
          <w:color w:val="FF0000"/>
        </w:rPr>
        <w:t>in accordance with rule 5.1B(2</w:t>
      </w:r>
      <w:r w:rsidR="00F3080A" w:rsidRPr="00BC78CF">
        <w:rPr>
          <w:color w:val="FF0000"/>
        </w:rPr>
        <w:t>)</w:t>
      </w:r>
      <w:r w:rsidR="00686487" w:rsidRPr="00BC78CF">
        <w:rPr>
          <w:color w:val="FF0000"/>
        </w:rPr>
        <w:t>, CDR data that it holds as an accredited data recipient</w:t>
      </w:r>
      <w:r w:rsidR="00DE57EB" w:rsidRPr="00BC78CF">
        <w:rPr>
          <w:color w:val="FF0000"/>
        </w:rPr>
        <w:t>; and</w:t>
      </w:r>
    </w:p>
    <w:p w14:paraId="35A3E1A0" w14:textId="2817F409" w:rsidR="00117A5B" w:rsidRPr="00BC78CF" w:rsidRDefault="003801D6" w:rsidP="003801D6">
      <w:pPr>
        <w:pStyle w:val="paragraph"/>
        <w:rPr>
          <w:color w:val="FF0000"/>
        </w:rPr>
      </w:pPr>
      <w:r w:rsidRPr="00BC78CF">
        <w:rPr>
          <w:color w:val="FF0000"/>
        </w:rPr>
        <w:tab/>
        <w:t>(b)</w:t>
      </w:r>
      <w:r w:rsidRPr="00BC78CF">
        <w:rPr>
          <w:color w:val="FF0000"/>
        </w:rPr>
        <w:tab/>
      </w:r>
      <w:r w:rsidR="00117A5B" w:rsidRPr="00BC78CF">
        <w:rPr>
          <w:color w:val="FF0000"/>
        </w:rPr>
        <w:t xml:space="preserve">the affiliate undertakes to provide the </w:t>
      </w:r>
      <w:r w:rsidR="002C2F62" w:rsidRPr="00BC78CF">
        <w:rPr>
          <w:color w:val="FF0000"/>
        </w:rPr>
        <w:t>sponsor</w:t>
      </w:r>
      <w:r w:rsidR="00117A5B" w:rsidRPr="00BC78CF">
        <w:rPr>
          <w:color w:val="FF0000"/>
        </w:rPr>
        <w:t xml:space="preserve"> with such information and access to its operations as is needed for the </w:t>
      </w:r>
      <w:r w:rsidR="002C2F62" w:rsidRPr="00BC78CF">
        <w:rPr>
          <w:color w:val="FF0000"/>
        </w:rPr>
        <w:t>sponsor</w:t>
      </w:r>
      <w:r w:rsidR="00117A5B" w:rsidRPr="00BC78CF">
        <w:rPr>
          <w:color w:val="FF0000"/>
        </w:rPr>
        <w:t xml:space="preserve"> to fulfil its obligations as a sponsor</w:t>
      </w:r>
      <w:r w:rsidR="004B4478" w:rsidRPr="00BC78CF">
        <w:rPr>
          <w:color w:val="FF0000"/>
        </w:rPr>
        <w:t>.</w:t>
      </w:r>
    </w:p>
    <w:p w14:paraId="261A4B4A" w14:textId="0655EC22" w:rsidR="00686487" w:rsidRPr="00BC78CF" w:rsidRDefault="00686487" w:rsidP="00686487">
      <w:pPr>
        <w:pStyle w:val="notetext"/>
        <w:rPr>
          <w:color w:val="FF0000"/>
        </w:rPr>
      </w:pPr>
      <w:r w:rsidRPr="00BC78CF">
        <w:rPr>
          <w:color w:val="FF0000"/>
        </w:rPr>
        <w:t>Note:</w:t>
      </w:r>
      <w:r w:rsidRPr="00BC78CF">
        <w:rPr>
          <w:color w:val="FF0000"/>
        </w:rPr>
        <w:tab/>
        <w:t>A person does not need to have sponsored accreditation to enter into a sponsorship arrangement as an affiliate, but will need it to make the consumer data requests mentioned in paragraph (a)</w:t>
      </w:r>
    </w:p>
    <w:p w14:paraId="4308874E" w14:textId="592E9249" w:rsidR="00EA67BC" w:rsidRPr="00BC78CF" w:rsidRDefault="003801D6" w:rsidP="003801D6">
      <w:pPr>
        <w:pStyle w:val="subsection"/>
        <w:rPr>
          <w:color w:val="FF0000"/>
        </w:rPr>
      </w:pPr>
      <w:r w:rsidRPr="00BC78CF">
        <w:rPr>
          <w:color w:val="FF0000"/>
        </w:rPr>
        <w:tab/>
        <w:t>(</w:t>
      </w:r>
      <w:r w:rsidR="007B24AA" w:rsidRPr="00BC78CF">
        <w:rPr>
          <w:color w:val="FF0000"/>
        </w:rPr>
        <w:t>2</w:t>
      </w:r>
      <w:r w:rsidRPr="00BC78CF">
        <w:rPr>
          <w:color w:val="FF0000"/>
        </w:rPr>
        <w:t>)</w:t>
      </w:r>
      <w:r w:rsidRPr="00BC78CF">
        <w:rPr>
          <w:color w:val="FF0000"/>
        </w:rPr>
        <w:tab/>
      </w:r>
      <w:r w:rsidR="00117A5B" w:rsidRPr="00BC78CF">
        <w:rPr>
          <w:color w:val="FF0000"/>
        </w:rPr>
        <w:t xml:space="preserve">A </w:t>
      </w:r>
      <w:r w:rsidR="00767F8D" w:rsidRPr="00BC78CF">
        <w:rPr>
          <w:color w:val="FF0000"/>
        </w:rPr>
        <w:t>sponsorship</w:t>
      </w:r>
      <w:r w:rsidR="00117A5B" w:rsidRPr="00BC78CF">
        <w:rPr>
          <w:color w:val="FF0000"/>
        </w:rPr>
        <w:t xml:space="preserve"> arrangement may also provide for</w:t>
      </w:r>
      <w:r w:rsidR="00EA67BC" w:rsidRPr="00BC78CF">
        <w:rPr>
          <w:color w:val="FF0000"/>
        </w:rPr>
        <w:t xml:space="preserve"> the </w:t>
      </w:r>
      <w:r w:rsidR="002C2F62" w:rsidRPr="00BC78CF">
        <w:rPr>
          <w:color w:val="FF0000"/>
        </w:rPr>
        <w:t>sponsor</w:t>
      </w:r>
      <w:r w:rsidR="00EA67BC" w:rsidRPr="00BC78CF">
        <w:rPr>
          <w:color w:val="FF0000"/>
        </w:rPr>
        <w:t xml:space="preserve"> to:</w:t>
      </w:r>
    </w:p>
    <w:p w14:paraId="37F05BDF" w14:textId="50B89499" w:rsidR="00EA67BC" w:rsidRPr="00BC78CF" w:rsidRDefault="00EA67BC" w:rsidP="00EA67BC">
      <w:pPr>
        <w:pStyle w:val="paragraph"/>
        <w:rPr>
          <w:color w:val="FF0000"/>
        </w:rPr>
      </w:pPr>
      <w:r w:rsidRPr="00BC78CF">
        <w:rPr>
          <w:color w:val="FF0000"/>
        </w:rPr>
        <w:tab/>
        <w:t>(a)</w:t>
      </w:r>
      <w:r w:rsidRPr="00BC78CF">
        <w:rPr>
          <w:color w:val="FF0000"/>
        </w:rPr>
        <w:tab/>
        <w:t xml:space="preserve">make consumer data requests </w:t>
      </w:r>
      <w:r w:rsidR="00741024" w:rsidRPr="00BC78CF">
        <w:rPr>
          <w:color w:val="FF0000"/>
        </w:rPr>
        <w:t xml:space="preserve">at the request of </w:t>
      </w:r>
      <w:r w:rsidRPr="00BC78CF">
        <w:rPr>
          <w:color w:val="FF0000"/>
        </w:rPr>
        <w:t>the affiliate; or</w:t>
      </w:r>
    </w:p>
    <w:p w14:paraId="6B268534" w14:textId="18FEF6D4" w:rsidR="00C204CD" w:rsidRPr="00BC78CF" w:rsidRDefault="00741024" w:rsidP="00EA67BC">
      <w:pPr>
        <w:pStyle w:val="paragraph"/>
        <w:rPr>
          <w:color w:val="FF0000"/>
        </w:rPr>
      </w:pPr>
      <w:r w:rsidRPr="00BC78CF">
        <w:rPr>
          <w:color w:val="FF0000"/>
        </w:rPr>
        <w:tab/>
        <w:t>(b</w:t>
      </w:r>
      <w:r w:rsidR="00EA67BC" w:rsidRPr="00BC78CF">
        <w:rPr>
          <w:color w:val="FF0000"/>
        </w:rPr>
        <w:t>)</w:t>
      </w:r>
      <w:r w:rsidR="00EA67BC" w:rsidRPr="00BC78CF">
        <w:rPr>
          <w:color w:val="FF0000"/>
        </w:rPr>
        <w:tab/>
      </w:r>
      <w:r w:rsidR="00117A5B" w:rsidRPr="00BC78CF">
        <w:rPr>
          <w:color w:val="FF0000"/>
        </w:rPr>
        <w:t xml:space="preserve">use or disclose CDR data </w:t>
      </w:r>
      <w:r w:rsidR="002E7573" w:rsidRPr="00BC78CF">
        <w:rPr>
          <w:color w:val="FF0000"/>
        </w:rPr>
        <w:t>at the request</w:t>
      </w:r>
      <w:r w:rsidR="00117A5B" w:rsidRPr="00BC78CF">
        <w:rPr>
          <w:color w:val="FF0000"/>
        </w:rPr>
        <w:t xml:space="preserve"> of the affiliate</w:t>
      </w:r>
      <w:r w:rsidR="00EA67BC" w:rsidRPr="00BC78CF">
        <w:rPr>
          <w:color w:val="FF0000"/>
        </w:rPr>
        <w:t>.</w:t>
      </w:r>
    </w:p>
    <w:p w14:paraId="71D8EAD5" w14:textId="77777777" w:rsidR="00B62842" w:rsidRPr="00132B22" w:rsidRDefault="00B62842" w:rsidP="00EA67BC">
      <w:pPr>
        <w:pStyle w:val="paragraph"/>
      </w:pPr>
    </w:p>
    <w:p w14:paraId="1F0BF698" w14:textId="5F421A65" w:rsidR="00CF0E3D" w:rsidRDefault="00CF0E3D" w:rsidP="00CF0E3D">
      <w:pPr>
        <w:pStyle w:val="ActHead3"/>
        <w:pageBreakBefore/>
        <w:rPr>
          <w:color w:val="000000"/>
        </w:rPr>
      </w:pPr>
      <w:bookmarkStart w:id="35" w:name="_Toc74916081"/>
      <w:r>
        <w:t>Division 1.4</w:t>
      </w:r>
      <w:r w:rsidRPr="00B3173B">
        <w:t>—</w:t>
      </w:r>
      <w:r w:rsidRPr="00964EDA">
        <w:rPr>
          <w:color w:val="000000"/>
        </w:rPr>
        <w:t>General provisions relating to data holders and to accredited persons</w:t>
      </w:r>
      <w:bookmarkEnd w:id="33"/>
      <w:bookmarkEnd w:id="35"/>
    </w:p>
    <w:p w14:paraId="28FFD8C5" w14:textId="77777777" w:rsidR="00CF0E3D" w:rsidRDefault="00CF0E3D" w:rsidP="00CF0E3D">
      <w:pPr>
        <w:pStyle w:val="ActHead4"/>
      </w:pPr>
      <w:bookmarkStart w:id="36" w:name="_Toc11771570"/>
      <w:bookmarkStart w:id="37" w:name="_Toc74916082"/>
      <w:r>
        <w:t>Subdivision 1.4.1—Preliminary</w:t>
      </w:r>
      <w:bookmarkEnd w:id="36"/>
      <w:bookmarkEnd w:id="37"/>
    </w:p>
    <w:p w14:paraId="7A2BD634" w14:textId="77777777" w:rsidR="00CF0E3D" w:rsidRDefault="00CF0E3D" w:rsidP="00CF0E3D">
      <w:pPr>
        <w:pStyle w:val="ActHead5"/>
      </w:pPr>
      <w:bookmarkStart w:id="38" w:name="_Toc11771571"/>
      <w:bookmarkStart w:id="39" w:name="_Toc74916083"/>
      <w:r>
        <w:t>1.11  Simplified outline of Division</w:t>
      </w:r>
      <w:bookmarkEnd w:id="38"/>
      <w:bookmarkEnd w:id="39"/>
    </w:p>
    <w:p w14:paraId="7EC58485" w14:textId="77777777" w:rsidR="00CF0E3D" w:rsidRPr="00EC31EF" w:rsidRDefault="00CF0E3D" w:rsidP="00CF0E3D">
      <w:pPr>
        <w:pStyle w:val="SOText"/>
      </w:pPr>
      <w:r w:rsidRPr="00EC31EF">
        <w:t>This Division sets out:</w:t>
      </w:r>
    </w:p>
    <w:p w14:paraId="7A79D76D" w14:textId="77777777" w:rsidR="00CF0E3D" w:rsidRPr="00EC31EF" w:rsidRDefault="00CF0E3D" w:rsidP="00CF0E3D">
      <w:pPr>
        <w:pStyle w:val="SOPara"/>
      </w:pPr>
      <w:r>
        <w:tab/>
      </w:r>
      <w:r w:rsidRPr="00EC31EF">
        <w:t>•</w:t>
      </w:r>
      <w:r w:rsidRPr="00EC31EF">
        <w:tab/>
        <w:t>general obligations of data holders which relate to product data requests and consumer data requests; and</w:t>
      </w:r>
    </w:p>
    <w:p w14:paraId="2F4A6D34" w14:textId="77777777" w:rsidR="00CF0E3D" w:rsidRPr="00724397" w:rsidRDefault="00CF0E3D" w:rsidP="00CF0E3D">
      <w:pPr>
        <w:pStyle w:val="SOPara"/>
      </w:pPr>
      <w:r>
        <w:tab/>
      </w:r>
      <w:r w:rsidRPr="007E69B9">
        <w:t>•</w:t>
      </w:r>
      <w:r w:rsidRPr="007E69B9">
        <w:tab/>
        <w:t xml:space="preserve">general obligations for data holders and accredited persons to provide CDR consumers with consumer dashboards, which contain information relating to consumer data requests, and a functionality for </w:t>
      </w:r>
      <w:r>
        <w:t>amending or withdrawing consents, and for withdrawing authorisations, under these rules</w:t>
      </w:r>
      <w:r w:rsidRPr="00724397">
        <w:t>.</w:t>
      </w:r>
    </w:p>
    <w:p w14:paraId="554C406D" w14:textId="77777777" w:rsidR="00CF0E3D" w:rsidRPr="007E69B9" w:rsidRDefault="00CF0E3D" w:rsidP="00CF0E3D">
      <w:pPr>
        <w:pStyle w:val="ActHead4"/>
        <w:pageBreakBefore/>
      </w:pPr>
      <w:bookmarkStart w:id="40" w:name="_Toc11771572"/>
      <w:bookmarkStart w:id="41" w:name="_Toc74916084"/>
      <w:r>
        <w:t>Subdivision 1.4.2</w:t>
      </w:r>
      <w:r w:rsidRPr="007E69B9">
        <w:t>—Services for making requests under these rules</w:t>
      </w:r>
      <w:bookmarkEnd w:id="40"/>
      <w:bookmarkEnd w:id="41"/>
    </w:p>
    <w:p w14:paraId="69507BF3" w14:textId="77777777" w:rsidR="00CF0E3D" w:rsidRDefault="00CF0E3D" w:rsidP="00CF0E3D">
      <w:pPr>
        <w:pStyle w:val="ActHead5"/>
      </w:pPr>
      <w:bookmarkStart w:id="42" w:name="_Toc11771573"/>
      <w:bookmarkStart w:id="43" w:name="_Toc74916085"/>
      <w:r>
        <w:t>1.12</w:t>
      </w:r>
      <w:r w:rsidRPr="00B3173B">
        <w:t xml:space="preserve">  Product data request </w:t>
      </w:r>
      <w:r>
        <w:t>service</w:t>
      </w:r>
      <w:bookmarkEnd w:id="42"/>
      <w:bookmarkEnd w:id="43"/>
    </w:p>
    <w:p w14:paraId="4FAFF7C3" w14:textId="77777777" w:rsidR="00CF0E3D" w:rsidRDefault="00CF0E3D" w:rsidP="00CF0E3D">
      <w:pPr>
        <w:pStyle w:val="subsection"/>
      </w:pPr>
      <w:r w:rsidRPr="00B3173B">
        <w:tab/>
      </w:r>
      <w:r>
        <w:t>(1)</w:t>
      </w:r>
      <w:r w:rsidRPr="00B3173B">
        <w:tab/>
        <w:t xml:space="preserve">A </w:t>
      </w:r>
      <w:r w:rsidRPr="00D02017">
        <w:t>data holder must provide an online service that</w:t>
      </w:r>
      <w:r>
        <w:t>:</w:t>
      </w:r>
    </w:p>
    <w:p w14:paraId="2CC0CF8E" w14:textId="77777777" w:rsidR="00CF0E3D" w:rsidRPr="00360E15" w:rsidRDefault="00CF0E3D" w:rsidP="00CF0E3D">
      <w:pPr>
        <w:pStyle w:val="paragraph"/>
      </w:pPr>
      <w:r>
        <w:tab/>
        <w:t>(a)</w:t>
      </w:r>
      <w:r>
        <w:tab/>
      </w:r>
      <w:r w:rsidRPr="00D02017">
        <w:t>can be used to make product data requests</w:t>
      </w:r>
      <w:r w:rsidRPr="00360E15">
        <w:t>; and</w:t>
      </w:r>
    </w:p>
    <w:p w14:paraId="7BE73AA5" w14:textId="77777777" w:rsidR="00CF0E3D" w:rsidRDefault="00CF0E3D" w:rsidP="00CF0E3D">
      <w:pPr>
        <w:pStyle w:val="paragraph"/>
      </w:pPr>
      <w:r w:rsidRPr="00360E15">
        <w:tab/>
      </w:r>
      <w:r>
        <w:t>(b)</w:t>
      </w:r>
      <w:r w:rsidRPr="00360E15">
        <w:tab/>
        <w:t>enables requested data to be disclosed in machine</w:t>
      </w:r>
      <w:r w:rsidRPr="00360E15">
        <w:noBreakHyphen/>
        <w:t>readable form; and</w:t>
      </w:r>
    </w:p>
    <w:p w14:paraId="70C1D7C1" w14:textId="77777777" w:rsidR="00CF0E3D" w:rsidRPr="00360E15" w:rsidRDefault="00CF0E3D" w:rsidP="00CF0E3D">
      <w:pPr>
        <w:pStyle w:val="paragraph"/>
      </w:pPr>
      <w:r w:rsidRPr="00360E15">
        <w:tab/>
      </w:r>
      <w:r>
        <w:t>(c)</w:t>
      </w:r>
      <w:r w:rsidRPr="00360E15">
        <w:tab/>
        <w:t>conforms with the data standards.</w:t>
      </w:r>
    </w:p>
    <w:p w14:paraId="577F0537" w14:textId="77777777" w:rsidR="00CF0E3D" w:rsidRPr="00E1300D" w:rsidRDefault="00CF0E3D" w:rsidP="00CF0E3D">
      <w:pPr>
        <w:pStyle w:val="notetext"/>
      </w:pPr>
      <w:r w:rsidRPr="00D02017">
        <w:t>Note</w:t>
      </w:r>
      <w:r>
        <w:t xml:space="preserve"> </w:t>
      </w:r>
      <w:r w:rsidRPr="00E1300D">
        <w:t>1:</w:t>
      </w:r>
      <w:r w:rsidRPr="00E1300D">
        <w:tab/>
        <w:t>See rule </w:t>
      </w:r>
      <w:r>
        <w:t>2.3</w:t>
      </w:r>
      <w:r w:rsidRPr="00E1300D">
        <w:t xml:space="preserve"> for the meaning of “product data request”.</w:t>
      </w:r>
    </w:p>
    <w:p w14:paraId="3EF803CB" w14:textId="77777777" w:rsidR="00CF0E3D" w:rsidRDefault="00CF0E3D" w:rsidP="00CF0E3D">
      <w:pPr>
        <w:pStyle w:val="notetext"/>
      </w:pPr>
      <w:r w:rsidRPr="00E1300D">
        <w:t>Note 2:</w:t>
      </w:r>
      <w:r w:rsidRPr="00E1300D">
        <w:tab/>
        <w:t>This subrule is a civil penalty provision (see rule </w:t>
      </w:r>
      <w:r>
        <w:t>9.8</w:t>
      </w:r>
      <w:r w:rsidRPr="00E1300D">
        <w:t>).</w:t>
      </w:r>
    </w:p>
    <w:p w14:paraId="4BB66367" w14:textId="77777777" w:rsidR="00CF0E3D" w:rsidRDefault="00CF0E3D" w:rsidP="00CF0E3D">
      <w:pPr>
        <w:pStyle w:val="subsection"/>
      </w:pPr>
      <w:r w:rsidRPr="00E1300D">
        <w:tab/>
      </w:r>
      <w:r>
        <w:t>(2)</w:t>
      </w:r>
      <w:r w:rsidRPr="00E1300D">
        <w:tab/>
        <w:t xml:space="preserve">Such a service is a </w:t>
      </w:r>
      <w:r w:rsidRPr="00E1300D">
        <w:rPr>
          <w:b/>
          <w:i/>
        </w:rPr>
        <w:t>product data request service</w:t>
      </w:r>
      <w:r w:rsidRPr="00E1300D">
        <w:t>.</w:t>
      </w:r>
    </w:p>
    <w:p w14:paraId="2F104C66" w14:textId="6FE9D8B2" w:rsidR="00CF0E3D" w:rsidRDefault="00CF0E3D" w:rsidP="00CF0E3D">
      <w:pPr>
        <w:pStyle w:val="ActHead5"/>
      </w:pPr>
      <w:bookmarkStart w:id="44" w:name="_Toc11771574"/>
      <w:bookmarkStart w:id="45" w:name="_Toc74916086"/>
      <w:r>
        <w:t>1.13</w:t>
      </w:r>
      <w:r w:rsidRPr="00B3173B">
        <w:t xml:space="preserve">  Consumer data request service</w:t>
      </w:r>
      <w:bookmarkEnd w:id="44"/>
      <w:bookmarkEnd w:id="45"/>
    </w:p>
    <w:p w14:paraId="0C60258D" w14:textId="77777777" w:rsidR="00E17C5F" w:rsidRPr="004C52E6" w:rsidRDefault="00E17C5F" w:rsidP="00E17C5F">
      <w:pPr>
        <w:pStyle w:val="subsection"/>
      </w:pPr>
      <w:bookmarkStart w:id="46" w:name="_Toc11771575"/>
      <w:r w:rsidRPr="004C52E6">
        <w:tab/>
        <w:t>(1)</w:t>
      </w:r>
      <w:r w:rsidRPr="004C52E6">
        <w:tab/>
        <w:t>A data holder must provide:</w:t>
      </w:r>
    </w:p>
    <w:p w14:paraId="5F8D4579" w14:textId="77777777" w:rsidR="00E17C5F" w:rsidRPr="004C52E6" w:rsidRDefault="00E17C5F" w:rsidP="00E17C5F">
      <w:pPr>
        <w:pStyle w:val="paragraph"/>
      </w:pPr>
      <w:r w:rsidRPr="004C52E6">
        <w:tab/>
        <w:t>(a)</w:t>
      </w:r>
      <w:r w:rsidRPr="004C52E6">
        <w:tab/>
        <w:t>an online service that:</w:t>
      </w:r>
    </w:p>
    <w:p w14:paraId="49AF1616" w14:textId="77777777" w:rsidR="00E17C5F" w:rsidRPr="004C52E6" w:rsidRDefault="00E17C5F" w:rsidP="00E17C5F">
      <w:pPr>
        <w:pStyle w:val="paragraphsub"/>
      </w:pPr>
      <w:r w:rsidRPr="004C52E6">
        <w:tab/>
        <w:t>(i)</w:t>
      </w:r>
      <w:r w:rsidRPr="004C52E6">
        <w:tab/>
        <w:t>can be used by eligible CDR consumers to make consumer data requests directly to the data holder; and</w:t>
      </w:r>
    </w:p>
    <w:p w14:paraId="5CEF2FBE" w14:textId="77777777" w:rsidR="00E17C5F" w:rsidRPr="004C52E6" w:rsidRDefault="00E17C5F" w:rsidP="00E17C5F">
      <w:pPr>
        <w:pStyle w:val="paragraphsub"/>
      </w:pPr>
      <w:r w:rsidRPr="004C52E6">
        <w:tab/>
        <w:t>(ii)</w:t>
      </w:r>
      <w:r w:rsidRPr="004C52E6">
        <w:tab/>
        <w:t>allows a request to be made in a manner that is no less timely, efficient and convenient than any of the online services that are ordinarily used by customers of the data holder to deal with it; and</w:t>
      </w:r>
    </w:p>
    <w:p w14:paraId="5F077F7D" w14:textId="77777777" w:rsidR="00E17C5F" w:rsidRPr="004C52E6" w:rsidRDefault="00E17C5F" w:rsidP="00E17C5F">
      <w:pPr>
        <w:pStyle w:val="paragraphsub"/>
      </w:pPr>
      <w:r w:rsidRPr="004C52E6">
        <w:tab/>
        <w:t>(iii)</w:t>
      </w:r>
      <w:r w:rsidRPr="004C52E6">
        <w:tab/>
        <w:t>enables requested data to be disclosed in human</w:t>
      </w:r>
      <w:r w:rsidRPr="004C52E6">
        <w:noBreakHyphen/>
        <w:t>readable form; and</w:t>
      </w:r>
    </w:p>
    <w:p w14:paraId="3DB2B4BA" w14:textId="77777777" w:rsidR="00E17C5F" w:rsidRPr="004C52E6" w:rsidRDefault="00E17C5F" w:rsidP="00E17C5F">
      <w:pPr>
        <w:pStyle w:val="paragraphsub"/>
      </w:pPr>
      <w:r w:rsidRPr="004C52E6">
        <w:tab/>
        <w:t>(iv)</w:t>
      </w:r>
      <w:r w:rsidRPr="004C52E6">
        <w:tab/>
        <w:t>sets out any fees for disclosure of voluntary consumer data; and</w:t>
      </w:r>
    </w:p>
    <w:p w14:paraId="0BCC2701" w14:textId="77777777" w:rsidR="00E17C5F" w:rsidRPr="004C52E6" w:rsidRDefault="00E17C5F" w:rsidP="00E17C5F">
      <w:pPr>
        <w:pStyle w:val="paragraphsub"/>
      </w:pPr>
      <w:r w:rsidRPr="004C52E6">
        <w:tab/>
        <w:t>(v)</w:t>
      </w:r>
      <w:r w:rsidRPr="004C52E6">
        <w:tab/>
        <w:t>conforms with the data standards; and</w:t>
      </w:r>
    </w:p>
    <w:p w14:paraId="32010644" w14:textId="77777777" w:rsidR="00E17C5F" w:rsidRPr="004C52E6" w:rsidRDefault="00E17C5F" w:rsidP="00E17C5F">
      <w:pPr>
        <w:pStyle w:val="paragraph"/>
      </w:pPr>
      <w:r w:rsidRPr="004C52E6">
        <w:tab/>
        <w:t>(b)</w:t>
      </w:r>
      <w:r w:rsidRPr="004C52E6">
        <w:tab/>
        <w:t>an online service that:</w:t>
      </w:r>
    </w:p>
    <w:p w14:paraId="6C5A1B51" w14:textId="77777777" w:rsidR="00E17C5F" w:rsidRPr="004C52E6" w:rsidRDefault="00E17C5F" w:rsidP="00E17C5F">
      <w:pPr>
        <w:pStyle w:val="paragraphsub"/>
      </w:pPr>
      <w:r w:rsidRPr="004C52E6">
        <w:tab/>
        <w:t>(i)</w:t>
      </w:r>
      <w:r w:rsidRPr="004C52E6">
        <w:tab/>
        <w:t>can be used by accredited persons to make consumer data requests, on behalf of eligible CDR consumers, to the data holder; and</w:t>
      </w:r>
    </w:p>
    <w:p w14:paraId="57D6F09B" w14:textId="77777777" w:rsidR="00E17C5F" w:rsidRPr="004C52E6" w:rsidRDefault="00E17C5F" w:rsidP="00E17C5F">
      <w:pPr>
        <w:pStyle w:val="paragraphsub"/>
      </w:pPr>
      <w:r w:rsidRPr="004C52E6">
        <w:tab/>
        <w:t>(ii)</w:t>
      </w:r>
      <w:r w:rsidRPr="004C52E6">
        <w:tab/>
        <w:t>enables requested data to be disclosed in machine</w:t>
      </w:r>
      <w:r w:rsidRPr="004C52E6">
        <w:noBreakHyphen/>
        <w:t>readable form; and</w:t>
      </w:r>
    </w:p>
    <w:p w14:paraId="6BD93FA6" w14:textId="77777777" w:rsidR="00E17C5F" w:rsidRPr="004C52E6" w:rsidRDefault="00E17C5F" w:rsidP="00E17C5F">
      <w:pPr>
        <w:pStyle w:val="paragraphsub"/>
      </w:pPr>
      <w:r w:rsidRPr="004C52E6">
        <w:tab/>
        <w:t>(iii)</w:t>
      </w:r>
      <w:r w:rsidRPr="004C52E6">
        <w:tab/>
        <w:t>conforms with the data standards; and</w:t>
      </w:r>
    </w:p>
    <w:p w14:paraId="086BBF3D" w14:textId="77777777" w:rsidR="00E17C5F" w:rsidRPr="004C52E6" w:rsidRDefault="00E17C5F" w:rsidP="00E17C5F">
      <w:pPr>
        <w:pStyle w:val="paragraph"/>
      </w:pPr>
      <w:r w:rsidRPr="004C52E6">
        <w:tab/>
        <w:t>(c)</w:t>
      </w:r>
      <w:r w:rsidRPr="004C52E6">
        <w:tab/>
        <w:t>for each eligible CDR consumer that is not an individual—a service that can be used to:</w:t>
      </w:r>
    </w:p>
    <w:p w14:paraId="28944B6C" w14:textId="77777777" w:rsidR="00E17C5F" w:rsidRPr="004C52E6" w:rsidRDefault="00E17C5F" w:rsidP="00E17C5F">
      <w:pPr>
        <w:pStyle w:val="paragraphsub"/>
      </w:pPr>
      <w:r w:rsidRPr="004C52E6">
        <w:tab/>
        <w:t>(i)</w:t>
      </w:r>
      <w:r w:rsidRPr="004C52E6">
        <w:tab/>
        <w:t>nominate one or more individuals (</w:t>
      </w:r>
      <w:r w:rsidRPr="004C52E6">
        <w:rPr>
          <w:b/>
          <w:i/>
        </w:rPr>
        <w:t>nominated representatives</w:t>
      </w:r>
      <w:r w:rsidRPr="004C52E6">
        <w:t>) who are able to give, amend and manage authorisations to disclose CDR data for the purposes of these rules on behalf of the CDR consumer; and</w:t>
      </w:r>
    </w:p>
    <w:p w14:paraId="5C1E33EB" w14:textId="77777777" w:rsidR="00E17C5F" w:rsidRPr="004C52E6" w:rsidRDefault="00E17C5F" w:rsidP="00E17C5F">
      <w:pPr>
        <w:pStyle w:val="paragraphsub"/>
      </w:pPr>
      <w:r w:rsidRPr="004C52E6">
        <w:tab/>
        <w:t>(ii)</w:t>
      </w:r>
      <w:r w:rsidRPr="004C52E6">
        <w:tab/>
        <w:t>revoke such a nomination; and</w:t>
      </w:r>
    </w:p>
    <w:p w14:paraId="0DBA955E" w14:textId="77777777" w:rsidR="00E17C5F" w:rsidRPr="004C52E6" w:rsidRDefault="00E17C5F" w:rsidP="00E17C5F">
      <w:pPr>
        <w:pStyle w:val="paragraph"/>
      </w:pPr>
      <w:r w:rsidRPr="004C52E6">
        <w:tab/>
        <w:t>(d)</w:t>
      </w:r>
      <w:r w:rsidRPr="004C52E6">
        <w:tab/>
        <w:t>for each partnership that relates to a partnership account with the data holder—a service that can be used to:</w:t>
      </w:r>
    </w:p>
    <w:p w14:paraId="4A00E634" w14:textId="77777777" w:rsidR="00E17C5F" w:rsidRPr="004C52E6" w:rsidRDefault="00E17C5F" w:rsidP="00E17C5F">
      <w:pPr>
        <w:pStyle w:val="paragraphsub"/>
      </w:pPr>
      <w:r w:rsidRPr="004C52E6">
        <w:tab/>
        <w:t>(i)</w:t>
      </w:r>
      <w:r w:rsidRPr="004C52E6">
        <w:tab/>
        <w:t>nominate one or more individuals (</w:t>
      </w:r>
      <w:r w:rsidRPr="004C52E6">
        <w:rPr>
          <w:b/>
          <w:i/>
        </w:rPr>
        <w:t>nominated representatives</w:t>
      </w:r>
      <w:r w:rsidRPr="004C52E6">
        <w:t xml:space="preserve">) who are able to give, amend and manage authorisations to disclose CDR data that relate to the partnership accounts of that partnership for the purposes of these rules on behalf of the CDR consumers who are its partners; and </w:t>
      </w:r>
    </w:p>
    <w:p w14:paraId="1F8C356E" w14:textId="77777777" w:rsidR="00E17C5F" w:rsidRPr="004C52E6" w:rsidRDefault="00E17C5F" w:rsidP="00E17C5F">
      <w:pPr>
        <w:pStyle w:val="paragraphsub"/>
      </w:pPr>
      <w:r w:rsidRPr="004C52E6">
        <w:tab/>
        <w:t>(ii)</w:t>
      </w:r>
      <w:r w:rsidRPr="004C52E6">
        <w:tab/>
        <w:t>revoke such a nomination; and</w:t>
      </w:r>
    </w:p>
    <w:p w14:paraId="60EA7CF3" w14:textId="268EE8D2" w:rsidR="00E17C5F" w:rsidRPr="004C52E6" w:rsidRDefault="00E17C5F" w:rsidP="00E17C5F">
      <w:pPr>
        <w:pStyle w:val="paragraph"/>
      </w:pPr>
      <w:r w:rsidRPr="004C52E6">
        <w:tab/>
        <w:t>(e)</w:t>
      </w:r>
      <w:r w:rsidRPr="004C52E6">
        <w:tab/>
        <w:t xml:space="preserve">in relation to each </w:t>
      </w:r>
      <w:r w:rsidRPr="00506306">
        <w:t xml:space="preserve">account in relation to which a person has account privileges―a </w:t>
      </w:r>
      <w:r w:rsidRPr="004C52E6">
        <w:t>service that can be used by the account holder to:</w:t>
      </w:r>
    </w:p>
    <w:p w14:paraId="1EC854C4" w14:textId="77777777" w:rsidR="00E17C5F" w:rsidRPr="004C52E6" w:rsidRDefault="00E17C5F" w:rsidP="00E17C5F">
      <w:pPr>
        <w:pStyle w:val="paragraphsub"/>
      </w:pPr>
      <w:r w:rsidRPr="004C52E6">
        <w:tab/>
        <w:t>(i)</w:t>
      </w:r>
      <w:r w:rsidRPr="004C52E6">
        <w:tab/>
        <w:t>make a secondary user instruction; and</w:t>
      </w:r>
    </w:p>
    <w:p w14:paraId="0668988E" w14:textId="77777777" w:rsidR="00E17C5F" w:rsidRPr="004C52E6" w:rsidRDefault="00E17C5F" w:rsidP="00E17C5F">
      <w:pPr>
        <w:pStyle w:val="paragraphsub"/>
      </w:pPr>
      <w:r w:rsidRPr="004C52E6">
        <w:tab/>
        <w:t>(ii)</w:t>
      </w:r>
      <w:r w:rsidRPr="004C52E6">
        <w:tab/>
        <w:t>revoke the instruction.</w:t>
      </w:r>
    </w:p>
    <w:p w14:paraId="75B13FA6" w14:textId="77777777" w:rsidR="00E17C5F" w:rsidRPr="004C52E6" w:rsidRDefault="00E17C5F" w:rsidP="00E17C5F">
      <w:pPr>
        <w:pStyle w:val="notetext"/>
      </w:pPr>
      <w:r w:rsidRPr="004C52E6">
        <w:t>Note 3:</w:t>
      </w:r>
      <w:r w:rsidRPr="004C52E6">
        <w:tab/>
        <w:t>In the circumstances of paragraphs (1)(c) and (d), a person or partnership that does not have a nominated representative will not able to give or amend authorisations, or use the dashboard to manage authorisations (see subrule 1.15(2A)), and accordingly, the data holder will be neither required nor permitted to disclose the requested CDR data under these rules.</w:t>
      </w:r>
    </w:p>
    <w:p w14:paraId="2BE3A8C2" w14:textId="77777777" w:rsidR="00E17C5F" w:rsidRPr="004C52E6" w:rsidRDefault="00E17C5F" w:rsidP="00E17C5F">
      <w:pPr>
        <w:pStyle w:val="notetext"/>
      </w:pPr>
      <w:r w:rsidRPr="004C52E6">
        <w:t>Note 4:</w:t>
      </w:r>
      <w:r w:rsidRPr="004C52E6">
        <w:tab/>
        <w:t>The services of paragraphs (c), (d) and (e) may, but need not, be online.</w:t>
      </w:r>
    </w:p>
    <w:p w14:paraId="57CDF237" w14:textId="77777777" w:rsidR="00E17C5F" w:rsidRPr="004C52E6" w:rsidRDefault="00E17C5F" w:rsidP="00E17C5F">
      <w:pPr>
        <w:pStyle w:val="notetext"/>
      </w:pPr>
      <w:r w:rsidRPr="004C52E6">
        <w:t>Note 5:</w:t>
      </w:r>
      <w:r w:rsidRPr="004C52E6">
        <w:tab/>
        <w:t>This subrule is a civil penalty provision (see rule 9.8).</w:t>
      </w:r>
    </w:p>
    <w:p w14:paraId="12D21CB9" w14:textId="77777777" w:rsidR="00E17C5F" w:rsidRPr="004C52E6" w:rsidRDefault="00E17C5F" w:rsidP="00E17C5F">
      <w:pPr>
        <w:pStyle w:val="subsection"/>
      </w:pPr>
      <w:r w:rsidRPr="004C52E6">
        <w:tab/>
        <w:t>(2)</w:t>
      </w:r>
      <w:r w:rsidRPr="004C52E6">
        <w:tab/>
        <w:t xml:space="preserve">The service referred to in paragraph (1)(a) is the data holder’s </w:t>
      </w:r>
      <w:r w:rsidRPr="004C52E6">
        <w:rPr>
          <w:b/>
          <w:i/>
        </w:rPr>
        <w:t>direct request</w:t>
      </w:r>
      <w:r w:rsidRPr="004C52E6">
        <w:t xml:space="preserve"> </w:t>
      </w:r>
      <w:r w:rsidRPr="004C52E6">
        <w:rPr>
          <w:b/>
          <w:i/>
        </w:rPr>
        <w:t>service</w:t>
      </w:r>
      <w:r w:rsidRPr="004C52E6">
        <w:t>.</w:t>
      </w:r>
    </w:p>
    <w:p w14:paraId="21A49889" w14:textId="77777777" w:rsidR="00E17C5F" w:rsidRPr="004C52E6" w:rsidRDefault="00E17C5F" w:rsidP="00E17C5F">
      <w:pPr>
        <w:pStyle w:val="subsection"/>
      </w:pPr>
      <w:r w:rsidRPr="004C52E6">
        <w:tab/>
        <w:t>(3)</w:t>
      </w:r>
      <w:r w:rsidRPr="004C52E6">
        <w:tab/>
        <w:t xml:space="preserve">The service referred to in paragraph (1)(b) is the data holder’s </w:t>
      </w:r>
      <w:r w:rsidRPr="004C52E6">
        <w:rPr>
          <w:b/>
          <w:i/>
        </w:rPr>
        <w:t>accredited person request service</w:t>
      </w:r>
      <w:r w:rsidRPr="004C52E6">
        <w:t>.</w:t>
      </w:r>
    </w:p>
    <w:p w14:paraId="427C8381" w14:textId="77777777" w:rsidR="00E17C5F" w:rsidRPr="004C52E6" w:rsidRDefault="00E17C5F" w:rsidP="00E17C5F">
      <w:pPr>
        <w:pStyle w:val="subsection"/>
      </w:pPr>
      <w:r w:rsidRPr="004C52E6">
        <w:tab/>
        <w:t>(4)</w:t>
      </w:r>
      <w:r w:rsidRPr="004C52E6">
        <w:tab/>
        <w:t>A data holder does not contravene subrule (1) in relation to subparagraph (1)(a)(ii) so long as it takes reasonable steps to ensure that the online service complies with that subparagraph.</w:t>
      </w:r>
    </w:p>
    <w:p w14:paraId="105645E1" w14:textId="77777777" w:rsidR="00CF0E3D" w:rsidRDefault="00CF0E3D" w:rsidP="00CF0E3D">
      <w:pPr>
        <w:pStyle w:val="ActHead4"/>
        <w:pageBreakBefore/>
      </w:pPr>
      <w:bookmarkStart w:id="47" w:name="_Toc74916087"/>
      <w:r>
        <w:t>Subdivision 1.4.3</w:t>
      </w:r>
      <w:r w:rsidRPr="007E69B9">
        <w:t xml:space="preserve">—Services for managing </w:t>
      </w:r>
      <w:r>
        <w:t xml:space="preserve">consumer data </w:t>
      </w:r>
      <w:r w:rsidRPr="007E69B9">
        <w:t xml:space="preserve">requests </w:t>
      </w:r>
      <w:r>
        <w:t>made by accredited persons</w:t>
      </w:r>
      <w:bookmarkEnd w:id="46"/>
      <w:bookmarkEnd w:id="47"/>
    </w:p>
    <w:p w14:paraId="58C38654" w14:textId="77777777" w:rsidR="00CF0E3D" w:rsidRPr="00B3173B" w:rsidRDefault="00CF0E3D" w:rsidP="00CF0E3D">
      <w:pPr>
        <w:pStyle w:val="ActHead5"/>
      </w:pPr>
      <w:bookmarkStart w:id="48" w:name="_Toc11771576"/>
      <w:bookmarkStart w:id="49" w:name="_Toc74916088"/>
      <w:r>
        <w:t>1.14</w:t>
      </w:r>
      <w:r w:rsidRPr="00B3173B">
        <w:t xml:space="preserve">  Consumer dashboard—accredited person</w:t>
      </w:r>
      <w:bookmarkEnd w:id="48"/>
      <w:bookmarkEnd w:id="49"/>
    </w:p>
    <w:p w14:paraId="60052A31" w14:textId="49E0E9FD" w:rsidR="00CF0E3D" w:rsidRPr="00F07699" w:rsidRDefault="00CF0E3D" w:rsidP="00CF0E3D">
      <w:pPr>
        <w:pStyle w:val="subsection"/>
      </w:pPr>
      <w:r w:rsidRPr="00F07699">
        <w:tab/>
        <w:t>(1)</w:t>
      </w:r>
      <w:r w:rsidRPr="00F07699">
        <w:tab/>
      </w:r>
      <w:r w:rsidR="00D60816" w:rsidRPr="00BC78CF">
        <w:rPr>
          <w:color w:val="FF0000"/>
        </w:rPr>
        <w:t xml:space="preserve">Subject to subrule (5), an </w:t>
      </w:r>
      <w:r w:rsidRPr="00BC78CF">
        <w:rPr>
          <w:strike/>
          <w:color w:val="FF0000"/>
        </w:rPr>
        <w:t xml:space="preserve">An </w:t>
      </w:r>
      <w:r w:rsidRPr="00F07699">
        <w:t>accredited person must provide an online service that:</w:t>
      </w:r>
    </w:p>
    <w:p w14:paraId="4130864C" w14:textId="547D7197" w:rsidR="00CF0E3D" w:rsidRPr="00F07699" w:rsidRDefault="00CF0E3D" w:rsidP="00CF0E3D">
      <w:pPr>
        <w:pStyle w:val="paragraph"/>
      </w:pPr>
      <w:r w:rsidRPr="00F07699">
        <w:tab/>
        <w:t>(a)</w:t>
      </w:r>
      <w:r w:rsidRPr="00F07699">
        <w:tab/>
        <w:t>can be used by each eligible CDR consumer on whose behalf the accredited person makes a consumer data request</w:t>
      </w:r>
      <w:r w:rsidRPr="00572C56">
        <w:t>,</w:t>
      </w:r>
      <w:r w:rsidRPr="00F07699">
        <w:t xml:space="preserve"> to manage:</w:t>
      </w:r>
    </w:p>
    <w:p w14:paraId="7D9CEC0B" w14:textId="77777777" w:rsidR="00CF0E3D" w:rsidRPr="00F07699" w:rsidRDefault="00CF0E3D" w:rsidP="00CF0E3D">
      <w:pPr>
        <w:pStyle w:val="paragraphsub"/>
      </w:pPr>
      <w:r w:rsidRPr="00F07699">
        <w:tab/>
        <w:t>(i)</w:t>
      </w:r>
      <w:r w:rsidRPr="00F07699">
        <w:tab/>
        <w:t>such requests; and</w:t>
      </w:r>
    </w:p>
    <w:p w14:paraId="08186B6B" w14:textId="77777777" w:rsidR="00CF0E3D" w:rsidRPr="00F07699" w:rsidRDefault="00CF0E3D" w:rsidP="00CF0E3D">
      <w:pPr>
        <w:pStyle w:val="paragraphsub"/>
      </w:pPr>
      <w:r w:rsidRPr="00F07699">
        <w:tab/>
        <w:t>(ii)</w:t>
      </w:r>
      <w:r w:rsidRPr="00F07699">
        <w:tab/>
        <w:t>associated consents</w:t>
      </w:r>
      <w:r w:rsidRPr="00531268">
        <w:t>; and</w:t>
      </w:r>
    </w:p>
    <w:p w14:paraId="2BDDA072" w14:textId="09C8D620" w:rsidR="00CF0E3D" w:rsidRPr="00F07699" w:rsidRDefault="00CF0E3D" w:rsidP="00CF0E3D">
      <w:pPr>
        <w:pStyle w:val="paragraph"/>
      </w:pPr>
      <w:r w:rsidRPr="00F07699">
        <w:tab/>
        <w:t>(b)</w:t>
      </w:r>
      <w:r w:rsidRPr="00F07699">
        <w:tab/>
        <w:t>contains the details of each consent specified in subrule (3)</w:t>
      </w:r>
      <w:r w:rsidR="00C7378A">
        <w:t xml:space="preserve"> </w:t>
      </w:r>
      <w:r w:rsidR="00C7378A" w:rsidRPr="00BC78CF">
        <w:rPr>
          <w:color w:val="FF0000"/>
        </w:rPr>
        <w:t>and the information specified in subrule (3A)</w:t>
      </w:r>
      <w:r w:rsidRPr="00F07699">
        <w:t>; and</w:t>
      </w:r>
    </w:p>
    <w:p w14:paraId="7060EE35" w14:textId="77777777" w:rsidR="00CF0E3D" w:rsidRPr="00F07699" w:rsidRDefault="00CF0E3D" w:rsidP="00CF0E3D">
      <w:pPr>
        <w:pStyle w:val="paragraph"/>
      </w:pPr>
      <w:r w:rsidRPr="00F07699">
        <w:tab/>
        <w:t>(c)</w:t>
      </w:r>
      <w:r w:rsidRPr="00F07699">
        <w:tab/>
        <w:t>has a functionality that:</w:t>
      </w:r>
    </w:p>
    <w:p w14:paraId="519F5B51" w14:textId="77777777" w:rsidR="00CF0E3D" w:rsidRPr="00F07699" w:rsidRDefault="00CF0E3D" w:rsidP="00CF0E3D">
      <w:pPr>
        <w:pStyle w:val="paragraphsub"/>
      </w:pPr>
      <w:r w:rsidRPr="00F07699">
        <w:tab/>
        <w:t>(i)</w:t>
      </w:r>
      <w:r w:rsidRPr="00F07699">
        <w:tab/>
        <w:t>allows a CDR consumer, at any time, to:</w:t>
      </w:r>
    </w:p>
    <w:p w14:paraId="697F1A33" w14:textId="77777777" w:rsidR="00CF0E3D" w:rsidRPr="00F9694F" w:rsidRDefault="00CF0E3D" w:rsidP="00CF0E3D">
      <w:pPr>
        <w:pStyle w:val="paragraphsub-sub"/>
      </w:pPr>
      <w:r w:rsidRPr="00F9694F">
        <w:tab/>
        <w:t>(A)</w:t>
      </w:r>
      <w:r w:rsidRPr="00F9694F">
        <w:tab/>
        <w:t>withdraw current consents; and</w:t>
      </w:r>
    </w:p>
    <w:p w14:paraId="4C1D0652" w14:textId="77777777" w:rsidR="00CF0E3D" w:rsidRPr="00F9694F" w:rsidRDefault="00CF0E3D" w:rsidP="00CF0E3D">
      <w:pPr>
        <w:pStyle w:val="paragraphsub-sub"/>
      </w:pPr>
      <w:r w:rsidRPr="00F9694F">
        <w:tab/>
        <w:t>(B)</w:t>
      </w:r>
      <w:r w:rsidRPr="00F9694F">
        <w:tab/>
        <w:t>elect that redundant data be deleted in accordance with these rules and withdraw such an election; and</w:t>
      </w:r>
    </w:p>
    <w:p w14:paraId="108851EE" w14:textId="77777777" w:rsidR="00CF0E3D" w:rsidRPr="00F9694F" w:rsidRDefault="00CF0E3D" w:rsidP="00CF0E3D">
      <w:pPr>
        <w:pStyle w:val="paragraphsub"/>
      </w:pPr>
      <w:r w:rsidRPr="00F9694F">
        <w:tab/>
        <w:t>(ii)</w:t>
      </w:r>
      <w:r w:rsidRPr="00F9694F">
        <w:tab/>
        <w:t>is simple and straightforward to use; and</w:t>
      </w:r>
    </w:p>
    <w:p w14:paraId="58BBDEA4" w14:textId="77777777" w:rsidR="00CF0E3D" w:rsidRPr="00F9694F" w:rsidRDefault="00CF0E3D" w:rsidP="00CF0E3D">
      <w:pPr>
        <w:pStyle w:val="paragraphsub"/>
      </w:pPr>
      <w:r w:rsidRPr="00F9694F">
        <w:tab/>
        <w:t>(iii)</w:t>
      </w:r>
      <w:r w:rsidRPr="00F9694F">
        <w:tab/>
        <w:t>is prominently displayed.</w:t>
      </w:r>
    </w:p>
    <w:p w14:paraId="3A5928D9" w14:textId="77777777" w:rsidR="00CF0E3D" w:rsidRDefault="00CF0E3D" w:rsidP="00CF0E3D">
      <w:pPr>
        <w:pStyle w:val="notetext"/>
      </w:pPr>
      <w:r w:rsidRPr="00E1300D">
        <w:t>Note:</w:t>
      </w:r>
      <w:r w:rsidRPr="00E1300D">
        <w:tab/>
        <w:t>This subrule is a civil penalty provision (see rule </w:t>
      </w:r>
      <w:r>
        <w:t>9.8</w:t>
      </w:r>
      <w:r w:rsidRPr="00E1300D">
        <w:t>).</w:t>
      </w:r>
    </w:p>
    <w:p w14:paraId="0980DC8F" w14:textId="77777777" w:rsidR="00CF0E3D" w:rsidRPr="00E1300D" w:rsidRDefault="00CF0E3D" w:rsidP="00CF0E3D">
      <w:pPr>
        <w:pStyle w:val="subsection"/>
      </w:pPr>
      <w:r w:rsidRPr="00E1300D">
        <w:tab/>
      </w:r>
      <w:r>
        <w:t>(2)</w:t>
      </w:r>
      <w:r w:rsidRPr="00E1300D">
        <w:tab/>
        <w:t xml:space="preserve">Such a service is the accredited person’s </w:t>
      </w:r>
      <w:r w:rsidRPr="00E1300D">
        <w:rPr>
          <w:b/>
          <w:i/>
        </w:rPr>
        <w:t xml:space="preserve">consumer dashboard </w:t>
      </w:r>
      <w:r w:rsidRPr="00E1300D">
        <w:t>for that consumer.</w:t>
      </w:r>
    </w:p>
    <w:p w14:paraId="2F9A179E" w14:textId="7C64AD1E" w:rsidR="00CF0E3D" w:rsidRDefault="00CF0E3D" w:rsidP="00CF0E3D">
      <w:pPr>
        <w:pStyle w:val="subsection"/>
      </w:pPr>
      <w:r w:rsidRPr="00F9694F">
        <w:tab/>
        <w:t>(2A)</w:t>
      </w:r>
      <w:r w:rsidRPr="00F9694F">
        <w:tab/>
        <w:t>The consumer dashboard may</w:t>
      </w:r>
      <w:r>
        <w:t>, on and after</w:t>
      </w:r>
      <w:r w:rsidRPr="00F9694F">
        <w:t xml:space="preserve"> </w:t>
      </w:r>
      <w:r w:rsidRPr="00ED309B">
        <w:t>1 July 2021</w:t>
      </w:r>
      <w:r>
        <w:t xml:space="preserve">, </w:t>
      </w:r>
      <w:r w:rsidRPr="00F9694F">
        <w:t>also include a functionality that allows a CDR consumer to amend a current consent.</w:t>
      </w:r>
    </w:p>
    <w:p w14:paraId="4588CEAE" w14:textId="77777777" w:rsidR="00CF0E3D" w:rsidRPr="00F9694F" w:rsidRDefault="00CF0E3D" w:rsidP="00CF0E3D">
      <w:pPr>
        <w:pStyle w:val="subsection"/>
      </w:pPr>
      <w:r w:rsidRPr="00F9694F">
        <w:tab/>
        <w:t>(3)</w:t>
      </w:r>
      <w:r w:rsidRPr="00F9694F">
        <w:tab/>
        <w:t>For paragraph (1)(b), the information is the following for each consent:</w:t>
      </w:r>
    </w:p>
    <w:p w14:paraId="2C6DD196" w14:textId="77777777" w:rsidR="00CF0E3D" w:rsidRPr="00F9694F" w:rsidRDefault="00CF0E3D" w:rsidP="00CF0E3D">
      <w:pPr>
        <w:pStyle w:val="paragraph"/>
      </w:pPr>
      <w:r w:rsidRPr="00F9694F">
        <w:tab/>
        <w:t>(a)</w:t>
      </w:r>
      <w:r w:rsidRPr="00F9694F">
        <w:tab/>
        <w:t>details of the CDR data to which the consent relates;</w:t>
      </w:r>
    </w:p>
    <w:p w14:paraId="0C0E424F" w14:textId="77777777" w:rsidR="00CF0E3D" w:rsidRPr="00F9694F" w:rsidRDefault="00CF0E3D" w:rsidP="00CF0E3D">
      <w:pPr>
        <w:pStyle w:val="paragraph"/>
      </w:pPr>
      <w:r w:rsidRPr="00F9694F">
        <w:tab/>
        <w:t>(b)</w:t>
      </w:r>
      <w:r w:rsidRPr="00F9694F">
        <w:tab/>
        <w:t>for a use consent―details of the specific use or uses for which the CDR consumer has given their consent;</w:t>
      </w:r>
    </w:p>
    <w:p w14:paraId="1A1289DF" w14:textId="77777777" w:rsidR="00CF0E3D" w:rsidRPr="00F9694F" w:rsidRDefault="00CF0E3D" w:rsidP="00CF0E3D">
      <w:pPr>
        <w:pStyle w:val="paragraph"/>
      </w:pPr>
      <w:r w:rsidRPr="00F9694F">
        <w:tab/>
        <w:t>(c)</w:t>
      </w:r>
      <w:r w:rsidRPr="00F9694F">
        <w:tab/>
        <w:t>when the CDR consumer gave the consent;</w:t>
      </w:r>
    </w:p>
    <w:p w14:paraId="543FFA31" w14:textId="77777777" w:rsidR="00CF0E3D" w:rsidRPr="00F9694F" w:rsidRDefault="00CF0E3D" w:rsidP="00CF0E3D">
      <w:pPr>
        <w:pStyle w:val="paragraph"/>
      </w:pPr>
      <w:r w:rsidRPr="00F9694F">
        <w:tab/>
        <w:t>(d)</w:t>
      </w:r>
      <w:r w:rsidRPr="00F9694F">
        <w:tab/>
        <w:t>whether the consent applies:</w:t>
      </w:r>
    </w:p>
    <w:p w14:paraId="356DFCE6" w14:textId="77777777" w:rsidR="00CF0E3D" w:rsidRPr="00F9694F" w:rsidRDefault="00CF0E3D" w:rsidP="00CF0E3D">
      <w:pPr>
        <w:pStyle w:val="paragraphsub"/>
      </w:pPr>
      <w:r w:rsidRPr="00F9694F">
        <w:tab/>
        <w:t>(i)</w:t>
      </w:r>
      <w:r w:rsidRPr="00F9694F">
        <w:tab/>
        <w:t>on a single occasion; or</w:t>
      </w:r>
    </w:p>
    <w:p w14:paraId="578BC7E3" w14:textId="77777777" w:rsidR="00CF0E3D" w:rsidRPr="00F9694F" w:rsidRDefault="00CF0E3D" w:rsidP="00CF0E3D">
      <w:pPr>
        <w:pStyle w:val="paragraphsub"/>
      </w:pPr>
      <w:r w:rsidRPr="00F9694F">
        <w:tab/>
        <w:t>(ii)</w:t>
      </w:r>
      <w:r w:rsidRPr="00F9694F">
        <w:tab/>
        <w:t>over a period of time;</w:t>
      </w:r>
    </w:p>
    <w:p w14:paraId="2880427B" w14:textId="77777777" w:rsidR="00CF0E3D" w:rsidRPr="00F9694F" w:rsidRDefault="00CF0E3D" w:rsidP="00CF0E3D">
      <w:pPr>
        <w:pStyle w:val="paragraph"/>
      </w:pPr>
      <w:r w:rsidRPr="00F9694F">
        <w:tab/>
        <w:t>(e)</w:t>
      </w:r>
      <w:r w:rsidRPr="00F9694F">
        <w:tab/>
        <w:t>if a collection consent or disclosure consent applies over a period of time:</w:t>
      </w:r>
    </w:p>
    <w:p w14:paraId="5B833B8E" w14:textId="77777777" w:rsidR="00CF0E3D" w:rsidRPr="00F9694F" w:rsidRDefault="00CF0E3D" w:rsidP="00CF0E3D">
      <w:pPr>
        <w:pStyle w:val="paragraphsub"/>
      </w:pPr>
      <w:r w:rsidRPr="00F9694F">
        <w:tab/>
        <w:t>(i)</w:t>
      </w:r>
      <w:r w:rsidRPr="00F9694F">
        <w:tab/>
        <w:t>what that period is; and</w:t>
      </w:r>
    </w:p>
    <w:p w14:paraId="54908C61" w14:textId="77777777" w:rsidR="00CF0E3D" w:rsidRPr="00F9694F" w:rsidRDefault="00CF0E3D" w:rsidP="00CF0E3D">
      <w:pPr>
        <w:pStyle w:val="paragraphsub"/>
      </w:pPr>
      <w:r w:rsidRPr="00F9694F">
        <w:tab/>
        <w:t>(ii)</w:t>
      </w:r>
      <w:r w:rsidRPr="00F9694F">
        <w:tab/>
        <w:t>how often data has been, and is expected to be, collected or disclosed over that period;</w:t>
      </w:r>
    </w:p>
    <w:p w14:paraId="245C6DF6" w14:textId="2CAEBF39" w:rsidR="00D65475" w:rsidRPr="00BC78CF" w:rsidRDefault="00D65475" w:rsidP="007A73A4">
      <w:pPr>
        <w:pStyle w:val="paragraph"/>
        <w:rPr>
          <w:color w:val="FF0000"/>
        </w:rPr>
      </w:pPr>
      <w:r w:rsidRPr="00BC78CF">
        <w:rPr>
          <w:color w:val="FF0000"/>
        </w:rPr>
        <w:tab/>
        <w:t>(ea)</w:t>
      </w:r>
      <w:r w:rsidRPr="00BC78CF">
        <w:rPr>
          <w:color w:val="FF0000"/>
        </w:rPr>
        <w:tab/>
        <w:t>fo</w:t>
      </w:r>
      <w:r w:rsidR="007A73A4" w:rsidRPr="00BC78CF">
        <w:rPr>
          <w:color w:val="FF0000"/>
        </w:rPr>
        <w:t>r an insight disclosure consent—</w:t>
      </w:r>
      <w:r w:rsidRPr="00BC78CF">
        <w:rPr>
          <w:color w:val="FF0000"/>
        </w:rPr>
        <w:t xml:space="preserve">a description of </w:t>
      </w:r>
      <w:r w:rsidR="00AB7B51" w:rsidRPr="00BC78CF">
        <w:rPr>
          <w:color w:val="FF0000"/>
        </w:rPr>
        <w:t xml:space="preserve">the CDR </w:t>
      </w:r>
      <w:r w:rsidR="002B4AC0" w:rsidRPr="00BC78CF">
        <w:rPr>
          <w:color w:val="FF0000"/>
        </w:rPr>
        <w:t>insight and</w:t>
      </w:r>
      <w:r w:rsidRPr="00BC78CF">
        <w:rPr>
          <w:color w:val="FF0000"/>
        </w:rPr>
        <w:t xml:space="preserve"> to</w:t>
      </w:r>
      <w:r w:rsidR="009C404C" w:rsidRPr="00BC78CF">
        <w:rPr>
          <w:color w:val="FF0000"/>
        </w:rPr>
        <w:t xml:space="preserve"> whom it was disclosed;</w:t>
      </w:r>
    </w:p>
    <w:p w14:paraId="48663E41" w14:textId="77777777" w:rsidR="00CF0E3D" w:rsidRPr="00F9694F" w:rsidRDefault="00CF0E3D" w:rsidP="00CF0E3D">
      <w:pPr>
        <w:pStyle w:val="paragraph"/>
      </w:pPr>
      <w:r w:rsidRPr="00F9694F">
        <w:tab/>
        <w:t>(f)</w:t>
      </w:r>
      <w:r w:rsidRPr="00F9694F">
        <w:tab/>
        <w:t>if the consent is current—when it is scheduled to expire;</w:t>
      </w:r>
    </w:p>
    <w:p w14:paraId="156F155D" w14:textId="77777777" w:rsidR="00CF0E3D" w:rsidRPr="00F9694F" w:rsidRDefault="00CF0E3D" w:rsidP="00CF0E3D">
      <w:pPr>
        <w:pStyle w:val="paragraph"/>
      </w:pPr>
      <w:r w:rsidRPr="00F9694F">
        <w:tab/>
        <w:t>(g)</w:t>
      </w:r>
      <w:r w:rsidRPr="00F9694F">
        <w:tab/>
        <w:t>if the consent is not current—when it expired;</w:t>
      </w:r>
    </w:p>
    <w:p w14:paraId="61934AC7" w14:textId="77777777" w:rsidR="00CF0E3D" w:rsidRPr="00F9694F" w:rsidRDefault="00CF0E3D" w:rsidP="00CF0E3D">
      <w:pPr>
        <w:pStyle w:val="paragraph"/>
      </w:pPr>
      <w:r w:rsidRPr="00F9694F">
        <w:tab/>
        <w:t>(h)</w:t>
      </w:r>
      <w:r w:rsidRPr="00F9694F">
        <w:tab/>
        <w:t>information relating to CDR data that was collected or disclosed pursuant to the consent (see rule 7.4 and rule 7.9);</w:t>
      </w:r>
    </w:p>
    <w:p w14:paraId="258A5240" w14:textId="26FDD91F" w:rsidR="00A72C8A" w:rsidRPr="00BC78CF" w:rsidRDefault="00A72C8A" w:rsidP="00A72C8A">
      <w:pPr>
        <w:pStyle w:val="paragraph"/>
        <w:rPr>
          <w:color w:val="FF0000"/>
        </w:rPr>
      </w:pPr>
      <w:r w:rsidRPr="00BC78CF">
        <w:rPr>
          <w:color w:val="FF0000"/>
        </w:rPr>
        <w:tab/>
        <w:t>(ha)</w:t>
      </w:r>
      <w:r w:rsidRPr="00BC78CF">
        <w:rPr>
          <w:color w:val="FF0000"/>
        </w:rPr>
        <w:tab/>
        <w:t xml:space="preserve">if the </w:t>
      </w:r>
      <w:r w:rsidR="0022182A" w:rsidRPr="00BC78CF">
        <w:rPr>
          <w:color w:val="FF0000"/>
        </w:rPr>
        <w:t xml:space="preserve">accredited person is an affiliate and the </w:t>
      </w:r>
      <w:r w:rsidRPr="00BC78CF">
        <w:rPr>
          <w:color w:val="FF0000"/>
        </w:rPr>
        <w:t xml:space="preserve">CDR data </w:t>
      </w:r>
      <w:r w:rsidR="0022182A" w:rsidRPr="00BC78CF">
        <w:rPr>
          <w:color w:val="FF0000"/>
        </w:rPr>
        <w:t xml:space="preserve">will </w:t>
      </w:r>
      <w:r w:rsidRPr="00BC78CF">
        <w:rPr>
          <w:color w:val="FF0000"/>
        </w:rPr>
        <w:t xml:space="preserve">be collected by </w:t>
      </w:r>
      <w:r w:rsidR="0022182A" w:rsidRPr="00BC78CF">
        <w:rPr>
          <w:color w:val="FF0000"/>
        </w:rPr>
        <w:t xml:space="preserve">a sponsor </w:t>
      </w:r>
      <w:r w:rsidR="00FD3D31" w:rsidRPr="00BC78CF">
        <w:rPr>
          <w:color w:val="FF0000"/>
        </w:rPr>
        <w:t>at its request</w:t>
      </w:r>
      <w:r w:rsidRPr="00BC78CF">
        <w:rPr>
          <w:color w:val="FF0000"/>
        </w:rPr>
        <w:t>;</w:t>
      </w:r>
    </w:p>
    <w:p w14:paraId="46822BCE" w14:textId="798EC4B6" w:rsidR="00A72C8A" w:rsidRPr="00BC78CF" w:rsidRDefault="00A72C8A" w:rsidP="00A72C8A">
      <w:pPr>
        <w:pStyle w:val="paragraphsub"/>
        <w:rPr>
          <w:color w:val="FF0000"/>
        </w:rPr>
      </w:pPr>
      <w:r w:rsidRPr="00BC78CF">
        <w:rPr>
          <w:color w:val="FF0000"/>
        </w:rPr>
        <w:tab/>
        <w:t>(i)</w:t>
      </w:r>
      <w:r w:rsidRPr="00BC78CF">
        <w:rPr>
          <w:color w:val="FF0000"/>
        </w:rPr>
        <w:tab/>
        <w:t xml:space="preserve">the </w:t>
      </w:r>
      <w:r w:rsidR="0022182A" w:rsidRPr="00BC78CF">
        <w:rPr>
          <w:color w:val="FF0000"/>
        </w:rPr>
        <w:t>sponsor</w:t>
      </w:r>
      <w:r w:rsidRPr="00BC78CF">
        <w:rPr>
          <w:color w:val="FF0000"/>
        </w:rPr>
        <w:t>’s name; and</w:t>
      </w:r>
    </w:p>
    <w:p w14:paraId="0AD74D6A" w14:textId="546582A8" w:rsidR="00A72C8A" w:rsidRPr="00BC78CF" w:rsidRDefault="00A72C8A" w:rsidP="00A72C8A">
      <w:pPr>
        <w:pStyle w:val="paragraphsub"/>
        <w:rPr>
          <w:color w:val="FF0000"/>
        </w:rPr>
      </w:pPr>
      <w:r w:rsidRPr="00BC78CF">
        <w:rPr>
          <w:color w:val="FF0000"/>
        </w:rPr>
        <w:tab/>
        <w:t>(ii)</w:t>
      </w:r>
      <w:r w:rsidRPr="00BC78CF">
        <w:rPr>
          <w:color w:val="FF0000"/>
        </w:rPr>
        <w:tab/>
        <w:t xml:space="preserve">the </w:t>
      </w:r>
      <w:r w:rsidR="0022182A" w:rsidRPr="00BC78CF">
        <w:rPr>
          <w:color w:val="FF0000"/>
        </w:rPr>
        <w:t>sponsor</w:t>
      </w:r>
      <w:r w:rsidRPr="00BC78CF">
        <w:rPr>
          <w:color w:val="FF0000"/>
        </w:rPr>
        <w:t>’s accreditation number;</w:t>
      </w:r>
    </w:p>
    <w:p w14:paraId="6AA8A4C2" w14:textId="77777777" w:rsidR="00CF0E3D" w:rsidRPr="00F9694F" w:rsidRDefault="00CF0E3D" w:rsidP="00CF0E3D">
      <w:pPr>
        <w:pStyle w:val="paragraph"/>
      </w:pPr>
      <w:r w:rsidRPr="00F9694F">
        <w:tab/>
        <w:t>(i)</w:t>
      </w:r>
      <w:r w:rsidRPr="00F9694F">
        <w:tab/>
        <w:t>details of each amendment (if any) that has been made to the consent.</w:t>
      </w:r>
    </w:p>
    <w:p w14:paraId="62C598F7" w14:textId="77777777" w:rsidR="00CF0E3D" w:rsidRPr="00F9694F" w:rsidRDefault="00CF0E3D" w:rsidP="00CF0E3D">
      <w:pPr>
        <w:pStyle w:val="notetext"/>
      </w:pPr>
      <w:r w:rsidRPr="00F9694F">
        <w:t>Note 1:</w:t>
      </w:r>
      <w:r w:rsidRPr="00F9694F">
        <w:tab/>
        <w:t>For paragraph (f), consents expire at the latest 12 months after they are given or, in some circumstances, amended: see paragraph 4.14(1)(d).</w:t>
      </w:r>
    </w:p>
    <w:p w14:paraId="518A2A8C" w14:textId="77777777" w:rsidR="00CF0E3D" w:rsidRPr="00F07699" w:rsidRDefault="00CF0E3D" w:rsidP="00CF0E3D">
      <w:pPr>
        <w:pStyle w:val="notetext"/>
      </w:pPr>
      <w:r w:rsidRPr="00F07699">
        <w:t xml:space="preserve">Note 2: </w:t>
      </w:r>
      <w:r w:rsidRPr="00F07699">
        <w:tab/>
        <w:t>For the specific uses that are possible, see the data minimisation principle (rule 1.8).</w:t>
      </w:r>
    </w:p>
    <w:p w14:paraId="3C8F2F80" w14:textId="77777777" w:rsidR="00CF0E3D" w:rsidRPr="00F07699" w:rsidRDefault="00CF0E3D" w:rsidP="00CF0E3D">
      <w:pPr>
        <w:pStyle w:val="notetext"/>
      </w:pPr>
      <w:r w:rsidRPr="00F07699">
        <w:t>Note 3:</w:t>
      </w:r>
      <w:r w:rsidRPr="00F07699">
        <w:tab/>
        <w:t>The consumer dashboard could contain other information too, for example, the written notices referred to in rule 7.15 (which deals with correction requests under privacy safeguard 13, section 56EP of the Act).</w:t>
      </w:r>
    </w:p>
    <w:p w14:paraId="51FF1951" w14:textId="77777777" w:rsidR="00C7378A" w:rsidRPr="00BC78CF" w:rsidRDefault="00C7378A" w:rsidP="00C7378A">
      <w:pPr>
        <w:pStyle w:val="subsection"/>
        <w:rPr>
          <w:color w:val="FF0000"/>
        </w:rPr>
      </w:pPr>
      <w:r w:rsidRPr="00BC78CF">
        <w:rPr>
          <w:color w:val="FF0000"/>
        </w:rPr>
        <w:tab/>
        <w:t>(3A)</w:t>
      </w:r>
      <w:r w:rsidRPr="00BC78CF">
        <w:rPr>
          <w:color w:val="FF0000"/>
        </w:rPr>
        <w:tab/>
        <w:t>For paragraph (1)(b), the other information is:</w:t>
      </w:r>
    </w:p>
    <w:p w14:paraId="58AF8A7F" w14:textId="205471D2" w:rsidR="00C7378A" w:rsidRPr="00BC78CF" w:rsidRDefault="00C7378A" w:rsidP="00C7378A">
      <w:pPr>
        <w:pStyle w:val="paragraph"/>
        <w:rPr>
          <w:color w:val="FF0000"/>
        </w:rPr>
      </w:pPr>
      <w:r w:rsidRPr="00BC78CF">
        <w:rPr>
          <w:color w:val="FF0000"/>
        </w:rPr>
        <w:tab/>
        <w:t>(a)</w:t>
      </w:r>
      <w:r w:rsidRPr="00BC78CF">
        <w:rPr>
          <w:color w:val="FF0000"/>
        </w:rPr>
        <w:tab/>
        <w:t>a statement that the CDR consumer is entitled to request further records in accordance with rule 9.5; and</w:t>
      </w:r>
    </w:p>
    <w:p w14:paraId="72BFEDC4" w14:textId="40FA619C" w:rsidR="00C7378A" w:rsidRPr="00BC78CF" w:rsidRDefault="00C7378A" w:rsidP="00C7378A">
      <w:pPr>
        <w:pStyle w:val="paragraph"/>
        <w:rPr>
          <w:color w:val="FF0000"/>
        </w:rPr>
      </w:pPr>
      <w:r w:rsidRPr="00BC78CF">
        <w:rPr>
          <w:color w:val="FF0000"/>
        </w:rPr>
        <w:tab/>
        <w:t>(b)</w:t>
      </w:r>
      <w:r w:rsidRPr="00BC78CF">
        <w:rPr>
          <w:color w:val="FF0000"/>
        </w:rPr>
        <w:tab/>
        <w:t>information about how to make such a request.</w:t>
      </w:r>
    </w:p>
    <w:p w14:paraId="5C1E17E4" w14:textId="274D279F" w:rsidR="00CF0E3D" w:rsidRDefault="00CF0E3D" w:rsidP="00CF0E3D">
      <w:pPr>
        <w:pStyle w:val="subsection"/>
      </w:pPr>
      <w:r w:rsidRPr="00360E15">
        <w:tab/>
      </w:r>
      <w:r>
        <w:t>(4)</w:t>
      </w:r>
      <w:r w:rsidRPr="00360E15">
        <w:tab/>
        <w:t>An accredited person does not contravene subrule </w:t>
      </w:r>
      <w:r>
        <w:t>(1)</w:t>
      </w:r>
      <w:r w:rsidRPr="00360E15">
        <w:t xml:space="preserve"> in relation to </w:t>
      </w:r>
      <w:r w:rsidRPr="00814B1D">
        <w:t>subparagraph </w:t>
      </w:r>
      <w:r>
        <w:t>(1)(c)(ii)</w:t>
      </w:r>
      <w:r w:rsidRPr="00360E15">
        <w:t xml:space="preserve"> so long as it takes reasonable steps to ensure that the functionality complies with </w:t>
      </w:r>
      <w:r>
        <w:t>that subparagraph</w:t>
      </w:r>
      <w:r w:rsidRPr="00360E15">
        <w:t>.</w:t>
      </w:r>
    </w:p>
    <w:p w14:paraId="3B73AF7E" w14:textId="4255CD64" w:rsidR="00171D2F" w:rsidRPr="00BC78CF" w:rsidRDefault="00171D2F" w:rsidP="00171D2F">
      <w:pPr>
        <w:pStyle w:val="SubsectionHead"/>
        <w:rPr>
          <w:color w:val="FF0000"/>
        </w:rPr>
      </w:pPr>
      <w:r w:rsidRPr="00BC78CF">
        <w:rPr>
          <w:color w:val="FF0000"/>
        </w:rPr>
        <w:t xml:space="preserve">Dashboard </w:t>
      </w:r>
      <w:r w:rsidR="00D60816" w:rsidRPr="00BC78CF">
        <w:rPr>
          <w:color w:val="FF0000"/>
        </w:rPr>
        <w:t xml:space="preserve">in relation to </w:t>
      </w:r>
      <w:r w:rsidR="00182338" w:rsidRPr="00BC78CF">
        <w:rPr>
          <w:color w:val="FF0000"/>
        </w:rPr>
        <w:t>CDR representative</w:t>
      </w:r>
    </w:p>
    <w:p w14:paraId="042521C3" w14:textId="76AE77CF" w:rsidR="00171D2F" w:rsidRPr="00BC78CF" w:rsidRDefault="00D60816" w:rsidP="00D60816">
      <w:pPr>
        <w:pStyle w:val="subsection"/>
        <w:rPr>
          <w:color w:val="FF0000"/>
        </w:rPr>
      </w:pPr>
      <w:r w:rsidRPr="00BC78CF">
        <w:rPr>
          <w:color w:val="FF0000"/>
        </w:rPr>
        <w:tab/>
        <w:t>(5)</w:t>
      </w:r>
      <w:r w:rsidRPr="00BC78CF">
        <w:rPr>
          <w:color w:val="FF0000"/>
        </w:rPr>
        <w:tab/>
        <w:t xml:space="preserve">Where a CDR principal makes a consumer data request at the request of a </w:t>
      </w:r>
      <w:r w:rsidR="00182338" w:rsidRPr="00BC78CF">
        <w:rPr>
          <w:color w:val="FF0000"/>
        </w:rPr>
        <w:t>CDR representative</w:t>
      </w:r>
      <w:r w:rsidRPr="00BC78CF">
        <w:rPr>
          <w:color w:val="FF0000"/>
        </w:rPr>
        <w:t xml:space="preserve">, </w:t>
      </w:r>
      <w:r w:rsidR="00C7378A" w:rsidRPr="00BC78CF">
        <w:rPr>
          <w:color w:val="FF0000"/>
        </w:rPr>
        <w:t>it may</w:t>
      </w:r>
      <w:r w:rsidR="00D936FC" w:rsidRPr="00BC78CF">
        <w:rPr>
          <w:color w:val="FF0000"/>
        </w:rPr>
        <w:t xml:space="preserve"> arrange for the </w:t>
      </w:r>
      <w:r w:rsidR="00182338" w:rsidRPr="00BC78CF">
        <w:rPr>
          <w:color w:val="FF0000"/>
        </w:rPr>
        <w:t>CDR representative</w:t>
      </w:r>
      <w:r w:rsidRPr="00BC78CF">
        <w:rPr>
          <w:color w:val="FF0000"/>
        </w:rPr>
        <w:t xml:space="preserve"> </w:t>
      </w:r>
      <w:r w:rsidR="00D936FC" w:rsidRPr="00BC78CF">
        <w:rPr>
          <w:color w:val="FF0000"/>
        </w:rPr>
        <w:t xml:space="preserve">to provide the </w:t>
      </w:r>
      <w:r w:rsidRPr="00BC78CF">
        <w:rPr>
          <w:color w:val="FF0000"/>
        </w:rPr>
        <w:t xml:space="preserve">consumer dashboard </w:t>
      </w:r>
      <w:r w:rsidR="00D936FC" w:rsidRPr="00BC78CF">
        <w:rPr>
          <w:color w:val="FF0000"/>
        </w:rPr>
        <w:t>on its behalf</w:t>
      </w:r>
      <w:r w:rsidRPr="00BC78CF">
        <w:rPr>
          <w:color w:val="FF0000"/>
        </w:rPr>
        <w:t>.</w:t>
      </w:r>
      <w:r w:rsidR="00171D2F" w:rsidRPr="00BC78CF">
        <w:rPr>
          <w:color w:val="FF0000"/>
        </w:rPr>
        <w:t xml:space="preserve"> </w:t>
      </w:r>
    </w:p>
    <w:p w14:paraId="0987703B" w14:textId="1A8B290B" w:rsidR="00CF0E3D" w:rsidRDefault="00CF0E3D" w:rsidP="00CF0E3D">
      <w:pPr>
        <w:pStyle w:val="ActHead5"/>
      </w:pPr>
      <w:bookmarkStart w:id="50" w:name="_Toc57390961"/>
      <w:bookmarkStart w:id="51" w:name="_Toc59549122"/>
      <w:bookmarkStart w:id="52" w:name="_Toc74916089"/>
      <w:r w:rsidRPr="004F7FBE">
        <w:t>1.15  Consumer dashboard—data holder</w:t>
      </w:r>
      <w:bookmarkEnd w:id="50"/>
      <w:bookmarkEnd w:id="51"/>
      <w:bookmarkEnd w:id="52"/>
    </w:p>
    <w:p w14:paraId="2BE93837" w14:textId="77777777" w:rsidR="00CF0E3D" w:rsidRPr="004F7FBE" w:rsidRDefault="00CF0E3D" w:rsidP="00CF0E3D">
      <w:pPr>
        <w:pStyle w:val="subsection"/>
      </w:pPr>
      <w:r w:rsidRPr="004F7FBE">
        <w:tab/>
        <w:t>(1)</w:t>
      </w:r>
      <w:r w:rsidRPr="004F7FBE">
        <w:tab/>
        <w:t>If a data holder receives a consumer data request from an accredited person on behalf of a CDR consumer, the data holder must ensure that the CDR consumer has an online service that:</w:t>
      </w:r>
    </w:p>
    <w:p w14:paraId="2D1E52F9" w14:textId="77777777" w:rsidR="00CF0E3D" w:rsidRPr="004F7FBE" w:rsidRDefault="00CF0E3D" w:rsidP="00CF0E3D">
      <w:pPr>
        <w:pStyle w:val="paragraph"/>
      </w:pPr>
      <w:r w:rsidRPr="004F7FBE">
        <w:tab/>
        <w:t>(a)</w:t>
      </w:r>
      <w:r w:rsidRPr="004F7FBE">
        <w:tab/>
        <w:t>can be used by the CDR consumer to manage authorisations to disclose CDR data in response to the request; and</w:t>
      </w:r>
    </w:p>
    <w:p w14:paraId="7F61EEBF" w14:textId="77777777" w:rsidR="00CF0E3D" w:rsidRPr="004F7FBE" w:rsidRDefault="00CF0E3D" w:rsidP="00CF0E3D">
      <w:pPr>
        <w:pStyle w:val="paragraph"/>
      </w:pPr>
      <w:r w:rsidRPr="004F7FBE">
        <w:tab/>
        <w:t>(b)</w:t>
      </w:r>
      <w:r w:rsidRPr="004F7FBE">
        <w:tab/>
        <w:t>contains the details of each authorisation to disclose CDR data specified in subrule (3); and</w:t>
      </w:r>
    </w:p>
    <w:p w14:paraId="6B1122D9" w14:textId="77777777" w:rsidR="00CF0E3D" w:rsidRPr="004F7FBE" w:rsidRDefault="00CF0E3D" w:rsidP="00CF0E3D">
      <w:pPr>
        <w:pStyle w:val="paragraph"/>
      </w:pPr>
      <w:r w:rsidRPr="004F7FBE">
        <w:tab/>
        <w:t>(ba)</w:t>
      </w:r>
      <w:r w:rsidRPr="004F7FBE">
        <w:tab/>
        <w:t>contains any information in the data standards that is specified as information for the purposes of this rule; and</w:t>
      </w:r>
    </w:p>
    <w:p w14:paraId="0B72DCA4" w14:textId="77777777" w:rsidR="00CF0E3D" w:rsidRPr="004F7FBE" w:rsidRDefault="00CF0E3D" w:rsidP="00CF0E3D">
      <w:pPr>
        <w:pStyle w:val="paragraph"/>
      </w:pPr>
      <w:r w:rsidRPr="004F7FBE">
        <w:tab/>
        <w:t>(bb)</w:t>
      </w:r>
      <w:r w:rsidRPr="004F7FBE">
        <w:tab/>
        <w:t>contains any information on the Register of Accredited Persons that is specified as information for the purposes of this rule; and</w:t>
      </w:r>
    </w:p>
    <w:p w14:paraId="50873227" w14:textId="77777777" w:rsidR="00CF0E3D" w:rsidRPr="004F7FBE" w:rsidRDefault="00CF0E3D" w:rsidP="00CF0E3D">
      <w:pPr>
        <w:pStyle w:val="paragraph"/>
      </w:pPr>
      <w:r w:rsidRPr="004F7FBE">
        <w:tab/>
        <w:t>(c)</w:t>
      </w:r>
      <w:r w:rsidRPr="004F7FBE">
        <w:tab/>
        <w:t>has a functionality that:</w:t>
      </w:r>
    </w:p>
    <w:p w14:paraId="6D9BF34F" w14:textId="77777777" w:rsidR="00CF0E3D" w:rsidRPr="004F7FBE" w:rsidRDefault="00CF0E3D" w:rsidP="00CF0E3D">
      <w:pPr>
        <w:pStyle w:val="paragraphsub"/>
      </w:pPr>
      <w:r w:rsidRPr="004F7FBE">
        <w:tab/>
        <w:t>(i)</w:t>
      </w:r>
      <w:r w:rsidRPr="004F7FBE">
        <w:tab/>
        <w:t>allows for withdrawal, at any time, of authorisations to disclose CDR data; and</w:t>
      </w:r>
    </w:p>
    <w:p w14:paraId="12D2022E" w14:textId="77777777" w:rsidR="00CF0E3D" w:rsidRPr="004F7FBE" w:rsidRDefault="00CF0E3D" w:rsidP="00CF0E3D">
      <w:pPr>
        <w:pStyle w:val="paragraphsub"/>
      </w:pPr>
      <w:r w:rsidRPr="004F7FBE">
        <w:tab/>
        <w:t>(ii)</w:t>
      </w:r>
      <w:r w:rsidRPr="004F7FBE">
        <w:tab/>
        <w:t>is simple and straightforward to use; and</w:t>
      </w:r>
    </w:p>
    <w:p w14:paraId="1DAA6885" w14:textId="77777777" w:rsidR="00CF0E3D" w:rsidRPr="004F7FBE" w:rsidRDefault="00CF0E3D" w:rsidP="00CF0E3D">
      <w:pPr>
        <w:pStyle w:val="paragraphsub"/>
      </w:pPr>
      <w:r w:rsidRPr="004F7FBE">
        <w:tab/>
        <w:t>(iii)</w:t>
      </w:r>
      <w:r w:rsidRPr="004F7FBE">
        <w:tab/>
        <w:t>is no more complicated to use than the process for giving the authorisation to disclose CDR data; and</w:t>
      </w:r>
    </w:p>
    <w:p w14:paraId="2D786692" w14:textId="77777777" w:rsidR="00CF0E3D" w:rsidRPr="004F7FBE" w:rsidRDefault="00CF0E3D" w:rsidP="00CF0E3D">
      <w:pPr>
        <w:pStyle w:val="paragraphsub"/>
      </w:pPr>
      <w:r w:rsidRPr="004F7FBE">
        <w:tab/>
        <w:t>(iv)</w:t>
      </w:r>
      <w:r w:rsidRPr="004F7FBE">
        <w:tab/>
        <w:t>is prominently displayed; and</w:t>
      </w:r>
    </w:p>
    <w:p w14:paraId="7F03C7FA" w14:textId="77777777" w:rsidR="00CF0E3D" w:rsidRPr="004F7FBE" w:rsidRDefault="00CF0E3D" w:rsidP="00CF0E3D">
      <w:pPr>
        <w:pStyle w:val="paragraphsub"/>
      </w:pPr>
      <w:r w:rsidRPr="004F7FBE">
        <w:tab/>
        <w:t>(v)</w:t>
      </w:r>
      <w:r w:rsidRPr="004F7FBE">
        <w:tab/>
        <w:t>as part of the withdrawal process, displays a message relating to the consequences of the withdrawal in accordance with the data standards; and</w:t>
      </w:r>
    </w:p>
    <w:p w14:paraId="3272396A" w14:textId="2C987323" w:rsidR="0088284A" w:rsidRPr="00BC78CF" w:rsidRDefault="0088284A" w:rsidP="0088284A">
      <w:pPr>
        <w:pStyle w:val="paragraph"/>
        <w:rPr>
          <w:color w:val="FF0000"/>
        </w:rPr>
      </w:pPr>
      <w:r w:rsidRPr="00BC78CF">
        <w:rPr>
          <w:color w:val="FF0000"/>
        </w:rPr>
        <w:tab/>
        <w:t>(d)</w:t>
      </w:r>
      <w:r w:rsidRPr="00BC78CF">
        <w:rPr>
          <w:color w:val="FF0000"/>
        </w:rPr>
        <w:tab/>
        <w:t>contains any other details, and has any other functionality, required by a provision of these rules.</w:t>
      </w:r>
    </w:p>
    <w:p w14:paraId="4F1BB2F6" w14:textId="7DF7FB17" w:rsidR="00CF0E3D" w:rsidRPr="00BC78CF" w:rsidRDefault="00CF0E3D" w:rsidP="00CF0E3D">
      <w:pPr>
        <w:pStyle w:val="paragraph"/>
        <w:rPr>
          <w:strike/>
          <w:color w:val="FF0000"/>
        </w:rPr>
      </w:pPr>
      <w:r w:rsidRPr="00BC78CF">
        <w:rPr>
          <w:strike/>
          <w:color w:val="FF0000"/>
        </w:rPr>
        <w:tab/>
        <w:t>(d)</w:t>
      </w:r>
      <w:r w:rsidRPr="00BC78CF">
        <w:rPr>
          <w:strike/>
          <w:color w:val="FF0000"/>
        </w:rPr>
        <w:tab/>
        <w:t xml:space="preserve">contains any other details, and has any other functionality, required by </w:t>
      </w:r>
      <w:r w:rsidR="0088284A" w:rsidRPr="00BC78CF">
        <w:rPr>
          <w:strike/>
          <w:color w:val="FF0000"/>
        </w:rPr>
        <w:t xml:space="preserve">a </w:t>
      </w:r>
      <w:r w:rsidR="00826EE4" w:rsidRPr="00BC78CF">
        <w:rPr>
          <w:strike/>
          <w:color w:val="FF0000"/>
        </w:rPr>
        <w:t>Schedule</w:t>
      </w:r>
      <w:r w:rsidRPr="00BC78CF">
        <w:rPr>
          <w:strike/>
          <w:color w:val="FF0000"/>
        </w:rPr>
        <w:t xml:space="preserve"> to these rules in relation to a particular designated sector.</w:t>
      </w:r>
    </w:p>
    <w:p w14:paraId="74AD6BFE" w14:textId="77777777" w:rsidR="00CF0E3D" w:rsidRPr="004F7FBE" w:rsidRDefault="00CF0E3D" w:rsidP="00CF0E3D">
      <w:pPr>
        <w:pStyle w:val="notetext"/>
      </w:pPr>
      <w:r w:rsidRPr="004F7FBE">
        <w:t>Note 1:</w:t>
      </w:r>
      <w:r w:rsidRPr="004F7FBE">
        <w:tab/>
        <w:t>This subrule is a civil penalty provision (see rule 9.8).</w:t>
      </w:r>
    </w:p>
    <w:p w14:paraId="3C14ED4E" w14:textId="77777777" w:rsidR="00CF0E3D" w:rsidRPr="004F7FBE" w:rsidRDefault="00CF0E3D" w:rsidP="00CF0E3D">
      <w:pPr>
        <w:pStyle w:val="notetext"/>
      </w:pPr>
      <w:r w:rsidRPr="004F7FBE">
        <w:t>Note 2:</w:t>
      </w:r>
      <w:r w:rsidRPr="004F7FBE">
        <w:tab/>
        <w:t>For paragraph (d), for the banking sector, see clause 4.14 of Schedule 3.</w:t>
      </w:r>
    </w:p>
    <w:p w14:paraId="09E090E5" w14:textId="77777777" w:rsidR="00CF0E3D" w:rsidRPr="004F7FBE" w:rsidRDefault="00CF0E3D" w:rsidP="00CF0E3D">
      <w:pPr>
        <w:pStyle w:val="subsection"/>
      </w:pPr>
      <w:r w:rsidRPr="004F7FBE">
        <w:tab/>
        <w:t>(2)</w:t>
      </w:r>
      <w:r w:rsidRPr="004F7FBE">
        <w:tab/>
        <w:t xml:space="preserve">Such a service is the data holder’s </w:t>
      </w:r>
      <w:r w:rsidRPr="004F7FBE">
        <w:rPr>
          <w:b/>
          <w:i/>
        </w:rPr>
        <w:t xml:space="preserve">consumer dashboard </w:t>
      </w:r>
      <w:r w:rsidRPr="004F7FBE">
        <w:t>for that consumer.</w:t>
      </w:r>
    </w:p>
    <w:p w14:paraId="07236694" w14:textId="77777777" w:rsidR="00CF0E3D" w:rsidRPr="004F7FBE" w:rsidRDefault="00CF0E3D" w:rsidP="00CF0E3D">
      <w:pPr>
        <w:pStyle w:val="notetext"/>
      </w:pPr>
      <w:r w:rsidRPr="004F7FBE">
        <w:t>Note:</w:t>
      </w:r>
      <w:r w:rsidRPr="004F7FBE">
        <w:tab/>
        <w:t>For the banking sector, if an accredited person makes a consumer data request that relates to a joint account on behalf of a secondary user or one joint account holder, the other joint account holders may also need to be provided with consumer dashboards: see clause 4.14 of Schedule 3.</w:t>
      </w:r>
    </w:p>
    <w:p w14:paraId="7422F6E2" w14:textId="77777777" w:rsidR="00CF0E3D" w:rsidRPr="004F7FBE" w:rsidRDefault="00CF0E3D" w:rsidP="00CF0E3D">
      <w:pPr>
        <w:pStyle w:val="subsection"/>
      </w:pPr>
      <w:r w:rsidRPr="004F7FBE">
        <w:tab/>
        <w:t>(2A)</w:t>
      </w:r>
      <w:r w:rsidRPr="004F7FBE">
        <w:tab/>
        <w:t>For subrule (1), the online service must allow only nominated representatives to manage authorisations in the following circumstances:</w:t>
      </w:r>
    </w:p>
    <w:p w14:paraId="7C662200" w14:textId="77777777" w:rsidR="00CF0E3D" w:rsidRPr="004F7FBE" w:rsidRDefault="00CF0E3D" w:rsidP="00CF0E3D">
      <w:pPr>
        <w:pStyle w:val="paragraph"/>
      </w:pPr>
      <w:r w:rsidRPr="004F7FBE">
        <w:tab/>
        <w:t>(a)</w:t>
      </w:r>
      <w:r w:rsidRPr="004F7FBE">
        <w:tab/>
        <w:t>where the CDR consumer is not an individual;</w:t>
      </w:r>
    </w:p>
    <w:p w14:paraId="75335B66" w14:textId="77777777" w:rsidR="00CF0E3D" w:rsidRPr="004F7FBE" w:rsidRDefault="00CF0E3D" w:rsidP="00CF0E3D">
      <w:pPr>
        <w:pStyle w:val="paragraph"/>
      </w:pPr>
      <w:r w:rsidRPr="004F7FBE">
        <w:tab/>
        <w:t>(b)</w:t>
      </w:r>
      <w:r w:rsidRPr="004F7FBE">
        <w:tab/>
        <w:t>where the CDR data relates to a partnership account.</w:t>
      </w:r>
    </w:p>
    <w:p w14:paraId="4E464C91" w14:textId="77777777" w:rsidR="00CF0E3D" w:rsidRPr="004F7FBE" w:rsidRDefault="00CF0E3D" w:rsidP="00CF0E3D">
      <w:pPr>
        <w:pStyle w:val="subsection"/>
      </w:pPr>
      <w:r w:rsidRPr="004F7FBE">
        <w:tab/>
        <w:t>(3)</w:t>
      </w:r>
      <w:r w:rsidRPr="004F7FBE">
        <w:tab/>
        <w:t>For paragraph (1)(b) and paragraph (5)(a), the information is the following:</w:t>
      </w:r>
    </w:p>
    <w:p w14:paraId="79F441E5" w14:textId="77777777" w:rsidR="00CF0E3D" w:rsidRPr="004F7FBE" w:rsidRDefault="00CF0E3D" w:rsidP="00CF0E3D">
      <w:pPr>
        <w:pStyle w:val="paragraph"/>
      </w:pPr>
      <w:r w:rsidRPr="004F7FBE">
        <w:tab/>
        <w:t>(a)</w:t>
      </w:r>
      <w:r w:rsidRPr="004F7FBE">
        <w:tab/>
        <w:t>details of the CDR data that has been authorised to be disclosed;</w:t>
      </w:r>
    </w:p>
    <w:p w14:paraId="2A90EB9F" w14:textId="77777777" w:rsidR="00CF0E3D" w:rsidRPr="004F7FBE" w:rsidRDefault="00CF0E3D" w:rsidP="00CF0E3D">
      <w:pPr>
        <w:pStyle w:val="paragraph"/>
      </w:pPr>
      <w:r w:rsidRPr="004F7FBE">
        <w:tab/>
        <w:t>(b)</w:t>
      </w:r>
      <w:r w:rsidRPr="004F7FBE">
        <w:tab/>
        <w:t>when the CDR consumer gave the authorisation;</w:t>
      </w:r>
    </w:p>
    <w:p w14:paraId="14AC0F4D" w14:textId="77777777" w:rsidR="00CF0E3D" w:rsidRPr="004F7FBE" w:rsidRDefault="00CF0E3D" w:rsidP="00CF0E3D">
      <w:pPr>
        <w:pStyle w:val="paragraph"/>
      </w:pPr>
      <w:r w:rsidRPr="004F7FBE">
        <w:tab/>
        <w:t>(c)</w:t>
      </w:r>
      <w:r w:rsidRPr="004F7FBE">
        <w:tab/>
        <w:t>the period for which the CDR consumer gave the authorisation;</w:t>
      </w:r>
    </w:p>
    <w:p w14:paraId="27D3BCF7" w14:textId="77777777" w:rsidR="00CF0E3D" w:rsidRPr="004F7FBE" w:rsidRDefault="00CF0E3D" w:rsidP="00CF0E3D">
      <w:pPr>
        <w:pStyle w:val="paragraph"/>
      </w:pPr>
      <w:r w:rsidRPr="004F7FBE">
        <w:tab/>
        <w:t>(d)</w:t>
      </w:r>
      <w:r w:rsidRPr="004F7FBE">
        <w:tab/>
        <w:t>if the authorisation is current—when it is scheduled to expire;</w:t>
      </w:r>
    </w:p>
    <w:p w14:paraId="010507DB" w14:textId="77777777" w:rsidR="00CF0E3D" w:rsidRPr="004F7FBE" w:rsidRDefault="00CF0E3D" w:rsidP="00CF0E3D">
      <w:pPr>
        <w:pStyle w:val="paragraph"/>
      </w:pPr>
      <w:r w:rsidRPr="004F7FBE">
        <w:tab/>
        <w:t>(e)</w:t>
      </w:r>
      <w:r w:rsidRPr="004F7FBE">
        <w:tab/>
        <w:t>if the authorisation is not current—when it expired;</w:t>
      </w:r>
    </w:p>
    <w:p w14:paraId="390B11E9" w14:textId="77777777" w:rsidR="00CF0E3D" w:rsidRPr="004F7FBE" w:rsidRDefault="00CF0E3D" w:rsidP="00CF0E3D">
      <w:pPr>
        <w:pStyle w:val="paragraph"/>
      </w:pPr>
      <w:r w:rsidRPr="004F7FBE">
        <w:tab/>
        <w:t>(f)</w:t>
      </w:r>
      <w:r w:rsidRPr="004F7FBE">
        <w:tab/>
        <w:t>information relating to CDR data that was disclosed pursuant to the authorisation (see rule 7.9);</w:t>
      </w:r>
    </w:p>
    <w:p w14:paraId="78BAD7B5" w14:textId="77777777" w:rsidR="00CF0E3D" w:rsidRPr="004F7FBE" w:rsidRDefault="00CF0E3D" w:rsidP="00CF0E3D">
      <w:pPr>
        <w:pStyle w:val="paragraph"/>
      </w:pPr>
      <w:r w:rsidRPr="004F7FBE">
        <w:tab/>
        <w:t>(g)</w:t>
      </w:r>
      <w:r w:rsidRPr="004F7FBE">
        <w:tab/>
        <w:t>for a disclosure of CDR data that relates to the authorisation but that was pursuant to a request under subsection 56EN(4) of the Act—that fact.</w:t>
      </w:r>
    </w:p>
    <w:p w14:paraId="32F22BAC" w14:textId="77777777" w:rsidR="00CF0E3D" w:rsidRPr="004F7FBE" w:rsidRDefault="00CF0E3D" w:rsidP="00CF0E3D">
      <w:pPr>
        <w:pStyle w:val="notetext"/>
      </w:pPr>
      <w:r w:rsidRPr="004F7FBE">
        <w:t>Note 1:</w:t>
      </w:r>
      <w:r w:rsidRPr="004F7FBE">
        <w:tab/>
        <w:t>For paragraph (d), authorisations to disclose CDR data expire at the latest 12 months after they are given: see paragraph 4.26(1)(e).</w:t>
      </w:r>
    </w:p>
    <w:p w14:paraId="0F823523" w14:textId="77777777" w:rsidR="00CF0E3D" w:rsidRPr="004F7FBE" w:rsidRDefault="00CF0E3D" w:rsidP="00CF0E3D">
      <w:pPr>
        <w:pStyle w:val="notetext"/>
      </w:pPr>
      <w:r w:rsidRPr="004F7FBE">
        <w:t>Note 2:</w:t>
      </w:r>
      <w:r w:rsidRPr="004F7FBE">
        <w:tab/>
        <w:t>The consumer dashboard could contain other information too, for example, the written notice referred to in rules 7.10 (which deals with quality of CDR data under privacy safeguard 11, section 56EN of the Act) and 7.15 (which deals with correction requests under privacy safeguard 13, section 56EP of the Act).</w:t>
      </w:r>
    </w:p>
    <w:p w14:paraId="113D366A" w14:textId="77777777" w:rsidR="00CF0E3D" w:rsidRPr="004F7FBE" w:rsidRDefault="00CF0E3D" w:rsidP="00CF0E3D">
      <w:pPr>
        <w:pStyle w:val="subsection"/>
      </w:pPr>
      <w:r w:rsidRPr="004F7FBE">
        <w:tab/>
        <w:t>(4)</w:t>
      </w:r>
      <w:r w:rsidRPr="004F7FBE">
        <w:tab/>
        <w:t>A data holder does not contravene subrule (1) in relation to subparagraphs (1)(c)(ii) and (iii) so long as it takes reasonable steps to ensure that the functionality complies with those subparagraphs.</w:t>
      </w:r>
    </w:p>
    <w:p w14:paraId="745D4AE9" w14:textId="77777777" w:rsidR="00CF0E3D" w:rsidRPr="004F7FBE" w:rsidRDefault="00CF0E3D" w:rsidP="00CF0E3D">
      <w:pPr>
        <w:pStyle w:val="SubsectionHead"/>
      </w:pPr>
      <w:r w:rsidRPr="004F7FBE">
        <w:t>Secondary users</w:t>
      </w:r>
    </w:p>
    <w:p w14:paraId="3A0FB4A5" w14:textId="77777777" w:rsidR="00CF0E3D" w:rsidRPr="004F7FBE" w:rsidRDefault="00CF0E3D" w:rsidP="00CF0E3D">
      <w:pPr>
        <w:pStyle w:val="subsection"/>
      </w:pPr>
      <w:r w:rsidRPr="004F7FBE">
        <w:tab/>
        <w:t>(5)</w:t>
      </w:r>
      <w:r w:rsidRPr="004F7FBE">
        <w:tab/>
        <w:t>If the CDR consumer is a secondary user for an account, the data holder must also provide the account holder with an online service that:</w:t>
      </w:r>
    </w:p>
    <w:p w14:paraId="0791FC48" w14:textId="77777777" w:rsidR="00CF0E3D" w:rsidRPr="004F7FBE" w:rsidRDefault="00CF0E3D" w:rsidP="00CF0E3D">
      <w:pPr>
        <w:pStyle w:val="paragraph"/>
      </w:pPr>
      <w:r w:rsidRPr="004F7FBE">
        <w:tab/>
        <w:t>(a)</w:t>
      </w:r>
      <w:r w:rsidRPr="004F7FBE">
        <w:tab/>
        <w:t>for each authorisation to disclose CDR data given by the secondary user—contains the details specified in subrule (3); and</w:t>
      </w:r>
    </w:p>
    <w:p w14:paraId="0687FD93" w14:textId="77777777" w:rsidR="00CF0E3D" w:rsidRPr="004F7FBE" w:rsidRDefault="00CF0E3D" w:rsidP="00CF0E3D">
      <w:pPr>
        <w:pStyle w:val="paragraph"/>
      </w:pPr>
      <w:r w:rsidRPr="004F7FBE">
        <w:tab/>
        <w:t>(b)</w:t>
      </w:r>
      <w:r w:rsidRPr="004F7FBE">
        <w:tab/>
        <w:t>has a functionality that:</w:t>
      </w:r>
    </w:p>
    <w:p w14:paraId="2A179259" w14:textId="77777777" w:rsidR="00CF0E3D" w:rsidRPr="004F7FBE" w:rsidRDefault="00CF0E3D" w:rsidP="00CF0E3D">
      <w:pPr>
        <w:pStyle w:val="paragraphsub"/>
      </w:pPr>
      <w:r w:rsidRPr="004F7FBE">
        <w:tab/>
        <w:t>(i)</w:t>
      </w:r>
      <w:r w:rsidRPr="004F7FBE">
        <w:tab/>
        <w:t>allows for the account holder to, at any time, give the indication referred to in subparagraph 4.6A(a)(ii) in relation to a particular accredited person; and</w:t>
      </w:r>
    </w:p>
    <w:p w14:paraId="65561EAC" w14:textId="77777777" w:rsidR="00CF0E3D" w:rsidRPr="004F7FBE" w:rsidRDefault="00CF0E3D" w:rsidP="00CF0E3D">
      <w:pPr>
        <w:pStyle w:val="paragraphsub"/>
      </w:pPr>
      <w:r w:rsidRPr="004F7FBE">
        <w:tab/>
        <w:t>(ii)</w:t>
      </w:r>
      <w:r w:rsidRPr="004F7FBE">
        <w:tab/>
        <w:t xml:space="preserve">allows for the withdrawal of the secondary user instruction; and </w:t>
      </w:r>
    </w:p>
    <w:p w14:paraId="33E38B1F" w14:textId="77777777" w:rsidR="00CF0E3D" w:rsidRPr="004F7FBE" w:rsidRDefault="00CF0E3D" w:rsidP="00CF0E3D">
      <w:pPr>
        <w:pStyle w:val="paragraphsub"/>
      </w:pPr>
      <w:r w:rsidRPr="004F7FBE">
        <w:tab/>
        <w:t>(iii)</w:t>
      </w:r>
      <w:r w:rsidRPr="004F7FBE">
        <w:tab/>
        <w:t>is simple and straightforward to use; and</w:t>
      </w:r>
    </w:p>
    <w:p w14:paraId="3B5CE78C" w14:textId="77777777" w:rsidR="00CF0E3D" w:rsidRPr="004F7FBE" w:rsidRDefault="00CF0E3D" w:rsidP="00CF0E3D">
      <w:pPr>
        <w:pStyle w:val="paragraphsub"/>
      </w:pPr>
      <w:r w:rsidRPr="004F7FBE">
        <w:tab/>
        <w:t>(iv)</w:t>
      </w:r>
      <w:r w:rsidRPr="004F7FBE">
        <w:tab/>
        <w:t>is no more complicated to use than the processes for giving the authorisations or instructions; and</w:t>
      </w:r>
    </w:p>
    <w:p w14:paraId="762BC40B" w14:textId="77777777" w:rsidR="00CF0E3D" w:rsidRPr="004F7FBE" w:rsidRDefault="00CF0E3D" w:rsidP="00CF0E3D">
      <w:pPr>
        <w:pStyle w:val="paragraphsub"/>
      </w:pPr>
      <w:r w:rsidRPr="004F7FBE">
        <w:tab/>
        <w:t>(v)</w:t>
      </w:r>
      <w:r w:rsidRPr="004F7FBE">
        <w:tab/>
        <w:t>is prominently displayed; and</w:t>
      </w:r>
    </w:p>
    <w:p w14:paraId="080CC034" w14:textId="77777777" w:rsidR="00CF0E3D" w:rsidRPr="004F7FBE" w:rsidRDefault="00CF0E3D" w:rsidP="00CF0E3D">
      <w:pPr>
        <w:pStyle w:val="paragraphsub"/>
      </w:pPr>
      <w:r w:rsidRPr="004F7FBE">
        <w:tab/>
        <w:t>(vi)</w:t>
      </w:r>
      <w:r w:rsidRPr="004F7FBE">
        <w:tab/>
        <w:t>as part of the withdrawal process, displays a message relating to the consequences of the withdrawal in accordance with the data standards.</w:t>
      </w:r>
    </w:p>
    <w:p w14:paraId="6C363513" w14:textId="77777777" w:rsidR="00CF0E3D" w:rsidRPr="004F7FBE" w:rsidRDefault="00CF0E3D" w:rsidP="00CF0E3D">
      <w:pPr>
        <w:pStyle w:val="notetext"/>
      </w:pPr>
      <w:r w:rsidRPr="004F7FBE">
        <w:t>Note 1:</w:t>
      </w:r>
      <w:r w:rsidRPr="004F7FBE">
        <w:tab/>
        <w:t>This subrule is a civil penalty provision (see rule 9.8).</w:t>
      </w:r>
    </w:p>
    <w:p w14:paraId="784F5AE0" w14:textId="77777777" w:rsidR="002B120D" w:rsidRDefault="00CF0E3D" w:rsidP="00CF0E3D">
      <w:pPr>
        <w:pStyle w:val="notetext"/>
      </w:pPr>
      <w:r w:rsidRPr="004F7FBE">
        <w:t xml:space="preserve">Note 2: </w:t>
      </w:r>
      <w:r w:rsidRPr="004F7FBE">
        <w:tab/>
        <w:t>If the account holder makes an indication in accordance with subparagraph (5)(b)(i), the data holder will no longer be able to disclose CDR data relating to that account to that accredited person: see subrules 4.6(2) and (4) and subrul</w:t>
      </w:r>
    </w:p>
    <w:p w14:paraId="769EFDDB" w14:textId="175E46CD" w:rsidR="00CF0E3D" w:rsidRPr="004F7FBE" w:rsidRDefault="00CF0E3D" w:rsidP="00CF0E3D">
      <w:pPr>
        <w:pStyle w:val="notetext"/>
      </w:pPr>
      <w:r w:rsidRPr="004F7FBE">
        <w:t>e 4.6A(1).</w:t>
      </w:r>
    </w:p>
    <w:p w14:paraId="4C7DA063" w14:textId="77777777" w:rsidR="00CF0E3D" w:rsidRPr="004F7FBE" w:rsidRDefault="00CF0E3D" w:rsidP="00CF0E3D">
      <w:pPr>
        <w:pStyle w:val="subsection"/>
      </w:pPr>
      <w:r w:rsidRPr="004F7FBE">
        <w:tab/>
        <w:t>(6)</w:t>
      </w:r>
      <w:r w:rsidRPr="004F7FBE">
        <w:tab/>
        <w:t>A data holder does not contravene subrule (5) in relation to subparagraphs (5)(b)(iii) and (iv) so long as it takes reasonable steps to ensure that the functionality complies with those subparagraphs.</w:t>
      </w:r>
    </w:p>
    <w:p w14:paraId="0A7ECA1D" w14:textId="77777777" w:rsidR="00CF0E3D" w:rsidRPr="004F7FBE" w:rsidRDefault="00CF0E3D" w:rsidP="00CF0E3D">
      <w:pPr>
        <w:pStyle w:val="subsection"/>
      </w:pPr>
      <w:r w:rsidRPr="004F7FBE">
        <w:tab/>
        <w:t>(7)</w:t>
      </w:r>
      <w:r w:rsidRPr="004F7FBE">
        <w:tab/>
        <w:t>If the data holder provides a consumer dashboard for the account holder, the service mentioned in subrule (5) must be included in the consumer dashboard.</w:t>
      </w:r>
    </w:p>
    <w:p w14:paraId="3D1C6D56" w14:textId="77777777" w:rsidR="00CF0E3D" w:rsidRDefault="00CF0E3D" w:rsidP="00CF0E3D">
      <w:pPr>
        <w:pStyle w:val="notetext"/>
      </w:pPr>
      <w:r w:rsidRPr="004F7FBE">
        <w:t>Note:</w:t>
      </w:r>
      <w:r w:rsidRPr="004F7FBE">
        <w:tab/>
        <w:t>This subrule is a civil penalty provision (see rule 9.8).</w:t>
      </w:r>
    </w:p>
    <w:p w14:paraId="351CB574" w14:textId="77777777" w:rsidR="005A712F" w:rsidRDefault="005A712F" w:rsidP="00CF0E3D">
      <w:pPr>
        <w:pStyle w:val="notetext"/>
      </w:pPr>
    </w:p>
    <w:p w14:paraId="265A7663" w14:textId="77777777" w:rsidR="005A712F" w:rsidRDefault="005A712F" w:rsidP="00CF0E3D">
      <w:pPr>
        <w:pStyle w:val="notetext"/>
      </w:pPr>
    </w:p>
    <w:p w14:paraId="069B5BEE" w14:textId="77777777" w:rsidR="00CF0E3D" w:rsidRPr="00E1300D" w:rsidRDefault="00CF0E3D" w:rsidP="00CF0E3D">
      <w:pPr>
        <w:pStyle w:val="ActHead4"/>
        <w:pageBreakBefore/>
      </w:pPr>
      <w:bookmarkStart w:id="53" w:name="_Toc74916090"/>
      <w:r>
        <w:t>Subdivision 1.4.4</w:t>
      </w:r>
      <w:r w:rsidRPr="00E1300D">
        <w:t>—Other obligations of accredited persons</w:t>
      </w:r>
      <w:bookmarkEnd w:id="53"/>
    </w:p>
    <w:p w14:paraId="11226B37" w14:textId="77777777" w:rsidR="00CF0E3D" w:rsidRPr="00EC7544" w:rsidRDefault="00CF0E3D" w:rsidP="00CF0E3D">
      <w:pPr>
        <w:pStyle w:val="ActHead5"/>
      </w:pPr>
      <w:bookmarkStart w:id="54" w:name="_Toc50041692"/>
      <w:bookmarkStart w:id="55" w:name="_Toc50708280"/>
      <w:bookmarkStart w:id="56" w:name="_Toc50708313"/>
      <w:bookmarkStart w:id="57" w:name="_Toc74916091"/>
      <w:r w:rsidRPr="00EC7544">
        <w:t>1.16  Obligations relating to CDR outsourcing arrangements</w:t>
      </w:r>
      <w:bookmarkEnd w:id="54"/>
      <w:bookmarkEnd w:id="55"/>
      <w:bookmarkEnd w:id="56"/>
      <w:bookmarkEnd w:id="57"/>
      <w:r w:rsidRPr="00EC7544">
        <w:t xml:space="preserve"> </w:t>
      </w:r>
    </w:p>
    <w:p w14:paraId="7077E7D5" w14:textId="77777777" w:rsidR="00CF0E3D" w:rsidRPr="00EC7544" w:rsidRDefault="00CF0E3D" w:rsidP="00CF0E3D">
      <w:pPr>
        <w:pStyle w:val="subsection"/>
      </w:pPr>
      <w:r w:rsidRPr="00EC7544">
        <w:tab/>
        <w:t>(1)</w:t>
      </w:r>
      <w:r w:rsidRPr="00EC7544">
        <w:tab/>
        <w:t>If an accredited person is the principal in a CDR outsourcing arrangement, it must ensure that the provider complies with its requirements under the arrangement.</w:t>
      </w:r>
    </w:p>
    <w:p w14:paraId="4305C1D4" w14:textId="77777777" w:rsidR="00CF0E3D" w:rsidRPr="00EC7544" w:rsidRDefault="00CF0E3D" w:rsidP="00CF0E3D">
      <w:pPr>
        <w:pStyle w:val="notetext"/>
      </w:pPr>
      <w:r w:rsidRPr="00EC7544">
        <w:t>Note:</w:t>
      </w:r>
      <w:r w:rsidRPr="00EC7544">
        <w:tab/>
        <w:t>This rule is a civil penalty provision (see rule 9.8).</w:t>
      </w:r>
    </w:p>
    <w:p w14:paraId="4EE9A7C6" w14:textId="77777777" w:rsidR="00CF0E3D" w:rsidRPr="00EC7544" w:rsidRDefault="00CF0E3D" w:rsidP="00CF0E3D">
      <w:pPr>
        <w:pStyle w:val="subsection"/>
      </w:pPr>
      <w:r w:rsidRPr="00EC7544">
        <w:tab/>
        <w:t>(2)</w:t>
      </w:r>
      <w:r w:rsidRPr="00EC7544">
        <w:tab/>
        <w:t xml:space="preserve">If an accredited person collects CDR data on behalf of another accredited person (the </w:t>
      </w:r>
      <w:r w:rsidRPr="00EC7544">
        <w:rPr>
          <w:b/>
          <w:i/>
        </w:rPr>
        <w:t>principal</w:t>
      </w:r>
      <w:r w:rsidRPr="00EC7544">
        <w:t>) under a CDR outsourcing arrangement:</w:t>
      </w:r>
    </w:p>
    <w:p w14:paraId="74D634E3" w14:textId="77777777" w:rsidR="00CF0E3D" w:rsidRPr="00EC7544" w:rsidRDefault="00CF0E3D" w:rsidP="00CF0E3D">
      <w:pPr>
        <w:pStyle w:val="paragraph"/>
      </w:pPr>
      <w:r w:rsidRPr="00EC7544">
        <w:tab/>
        <w:t>(a)</w:t>
      </w:r>
      <w:r w:rsidRPr="00EC7544">
        <w:tab/>
        <w:t>rule 7.4 and rule 7.9 apply only in relation to the principal; and</w:t>
      </w:r>
    </w:p>
    <w:p w14:paraId="58B7E020" w14:textId="77777777" w:rsidR="00CF0E3D" w:rsidRDefault="00CF0E3D" w:rsidP="00CF0E3D">
      <w:pPr>
        <w:pStyle w:val="paragraph"/>
      </w:pPr>
      <w:r w:rsidRPr="00EC7544">
        <w:tab/>
        <w:t>(b)</w:t>
      </w:r>
      <w:r w:rsidRPr="00EC7544">
        <w:tab/>
        <w:t>paragraph 7.10(1)(a) requires the principal to be identified.</w:t>
      </w:r>
    </w:p>
    <w:p w14:paraId="316F81FF" w14:textId="44AC4F69" w:rsidR="003B4F1E" w:rsidRPr="00BC78CF" w:rsidRDefault="003B4F1E" w:rsidP="003B4F1E">
      <w:pPr>
        <w:pStyle w:val="ActHead5"/>
        <w:rPr>
          <w:color w:val="FF0000"/>
        </w:rPr>
      </w:pPr>
      <w:bookmarkStart w:id="58" w:name="_Toc74916092"/>
      <w:r w:rsidRPr="00BC78CF">
        <w:rPr>
          <w:color w:val="FF0000"/>
        </w:rPr>
        <w:t xml:space="preserve">1.16A  Obligations relating to </w:t>
      </w:r>
      <w:r w:rsidR="00182338" w:rsidRPr="00BC78CF">
        <w:rPr>
          <w:color w:val="FF0000"/>
        </w:rPr>
        <w:t>CDR representative</w:t>
      </w:r>
      <w:r w:rsidRPr="00BC78CF">
        <w:rPr>
          <w:color w:val="FF0000"/>
        </w:rPr>
        <w:t xml:space="preserve"> arrangements</w:t>
      </w:r>
      <w:bookmarkEnd w:id="58"/>
      <w:r w:rsidRPr="00BC78CF">
        <w:rPr>
          <w:color w:val="FF0000"/>
        </w:rPr>
        <w:t xml:space="preserve"> </w:t>
      </w:r>
    </w:p>
    <w:p w14:paraId="1DDAE084" w14:textId="6D76997F" w:rsidR="003B4F1E" w:rsidRPr="00BC78CF" w:rsidRDefault="003B4F1E" w:rsidP="003B4F1E">
      <w:pPr>
        <w:pStyle w:val="subsection"/>
        <w:rPr>
          <w:color w:val="FF0000"/>
        </w:rPr>
      </w:pPr>
      <w:r w:rsidRPr="00BC78CF">
        <w:rPr>
          <w:color w:val="FF0000"/>
        </w:rPr>
        <w:tab/>
        <w:t>(1)</w:t>
      </w:r>
      <w:r w:rsidRPr="00BC78CF">
        <w:rPr>
          <w:color w:val="FF0000"/>
        </w:rPr>
        <w:tab/>
        <w:t xml:space="preserve">If an accredited person is the principal in a </w:t>
      </w:r>
      <w:r w:rsidR="00182338" w:rsidRPr="00BC78CF">
        <w:rPr>
          <w:color w:val="FF0000"/>
        </w:rPr>
        <w:t>CDR representative</w:t>
      </w:r>
      <w:r w:rsidRPr="00BC78CF">
        <w:rPr>
          <w:color w:val="FF0000"/>
        </w:rPr>
        <w:t xml:space="preserve"> arrangement, it must ensure that the </w:t>
      </w:r>
      <w:r w:rsidR="00182338" w:rsidRPr="00BC78CF">
        <w:rPr>
          <w:color w:val="FF0000"/>
        </w:rPr>
        <w:t>CDR representative</w:t>
      </w:r>
      <w:r w:rsidRPr="00BC78CF">
        <w:rPr>
          <w:color w:val="FF0000"/>
        </w:rPr>
        <w:t xml:space="preserve"> complies with its requirements under the arrangement.</w:t>
      </w:r>
    </w:p>
    <w:p w14:paraId="70E3E95D" w14:textId="77777777" w:rsidR="003B4F1E" w:rsidRPr="00BC78CF" w:rsidRDefault="003B4F1E" w:rsidP="003B4F1E">
      <w:pPr>
        <w:pStyle w:val="notetext"/>
        <w:rPr>
          <w:color w:val="FF0000"/>
        </w:rPr>
      </w:pPr>
      <w:r w:rsidRPr="00BC78CF">
        <w:rPr>
          <w:color w:val="FF0000"/>
        </w:rPr>
        <w:t>Note:</w:t>
      </w:r>
      <w:r w:rsidRPr="00BC78CF">
        <w:rPr>
          <w:color w:val="FF0000"/>
        </w:rPr>
        <w:tab/>
        <w:t>This rule is a civil penalty provision (see rule 9.8).</w:t>
      </w:r>
    </w:p>
    <w:p w14:paraId="727C8493" w14:textId="77777777" w:rsidR="003B4F1E" w:rsidRPr="00BC78CF" w:rsidRDefault="003B4F1E" w:rsidP="003B4F1E">
      <w:pPr>
        <w:pStyle w:val="subsection"/>
        <w:rPr>
          <w:color w:val="FF0000"/>
        </w:rPr>
      </w:pPr>
      <w:r w:rsidRPr="00BC78CF">
        <w:rPr>
          <w:color w:val="FF0000"/>
        </w:rPr>
        <w:tab/>
        <w:t>(2)</w:t>
      </w:r>
      <w:r w:rsidRPr="00BC78CF">
        <w:rPr>
          <w:color w:val="FF0000"/>
        </w:rPr>
        <w:tab/>
        <w:t xml:space="preserve">The accredited person must keep and maintain records that cover and explain: </w:t>
      </w:r>
    </w:p>
    <w:p w14:paraId="2DF6FBE8" w14:textId="5D2599C4" w:rsidR="003B4F1E" w:rsidRPr="00BC78CF" w:rsidRDefault="003B4F1E" w:rsidP="003B4F1E">
      <w:pPr>
        <w:pStyle w:val="paragraph"/>
        <w:rPr>
          <w:color w:val="FF0000"/>
        </w:rPr>
      </w:pPr>
      <w:r w:rsidRPr="00BC78CF">
        <w:rPr>
          <w:color w:val="FF0000"/>
        </w:rPr>
        <w:tab/>
        <w:t>(a)</w:t>
      </w:r>
      <w:r w:rsidRPr="00BC78CF">
        <w:rPr>
          <w:color w:val="FF0000"/>
        </w:rPr>
        <w:tab/>
        <w:t xml:space="preserve">each </w:t>
      </w:r>
      <w:r w:rsidR="00182338" w:rsidRPr="00BC78CF">
        <w:rPr>
          <w:color w:val="FF0000"/>
        </w:rPr>
        <w:t>CDR representative</w:t>
      </w:r>
      <w:r w:rsidRPr="00BC78CF">
        <w:rPr>
          <w:color w:val="FF0000"/>
        </w:rPr>
        <w:t xml:space="preserve"> arrangement; </w:t>
      </w:r>
    </w:p>
    <w:p w14:paraId="772ABA89" w14:textId="49C8487F" w:rsidR="003B4F1E" w:rsidRPr="00BC78CF" w:rsidRDefault="003B4F1E" w:rsidP="003B4F1E">
      <w:pPr>
        <w:pStyle w:val="paragraph"/>
        <w:rPr>
          <w:color w:val="FF0000"/>
        </w:rPr>
      </w:pPr>
      <w:r w:rsidRPr="00BC78CF">
        <w:rPr>
          <w:color w:val="FF0000"/>
        </w:rPr>
        <w:tab/>
        <w:t>(b)</w:t>
      </w:r>
      <w:r w:rsidRPr="00BC78CF">
        <w:rPr>
          <w:color w:val="FF0000"/>
        </w:rPr>
        <w:tab/>
        <w:t xml:space="preserve">the use and management of data by each </w:t>
      </w:r>
      <w:r w:rsidR="00182338" w:rsidRPr="00BC78CF">
        <w:rPr>
          <w:color w:val="FF0000"/>
        </w:rPr>
        <w:t>CDR representative</w:t>
      </w:r>
      <w:r w:rsidRPr="00BC78CF">
        <w:rPr>
          <w:color w:val="FF0000"/>
        </w:rPr>
        <w:t>; and</w:t>
      </w:r>
    </w:p>
    <w:p w14:paraId="3D431002" w14:textId="32CF61ED" w:rsidR="003B4F1E" w:rsidRPr="00BC78CF" w:rsidRDefault="003B4F1E" w:rsidP="003B4F1E">
      <w:pPr>
        <w:pStyle w:val="paragraph"/>
        <w:rPr>
          <w:color w:val="FF0000"/>
        </w:rPr>
      </w:pPr>
      <w:r w:rsidRPr="00BC78CF">
        <w:rPr>
          <w:color w:val="FF0000"/>
        </w:rPr>
        <w:tab/>
        <w:t>(c)</w:t>
      </w:r>
      <w:r w:rsidRPr="00BC78CF">
        <w:rPr>
          <w:color w:val="FF0000"/>
        </w:rPr>
        <w:tab/>
        <w:t xml:space="preserve">steps taken to ensure that any </w:t>
      </w:r>
      <w:r w:rsidR="00182338" w:rsidRPr="00BC78CF">
        <w:rPr>
          <w:color w:val="FF0000"/>
        </w:rPr>
        <w:t>CDR representative</w:t>
      </w:r>
      <w:r w:rsidRPr="00BC78CF">
        <w:rPr>
          <w:color w:val="FF0000"/>
        </w:rPr>
        <w:t>s comply with their requirements under the arrangements.</w:t>
      </w:r>
    </w:p>
    <w:p w14:paraId="50C9E87A" w14:textId="77777777" w:rsidR="003B4F1E" w:rsidRPr="00BC78CF" w:rsidRDefault="003B4F1E" w:rsidP="003B4F1E">
      <w:pPr>
        <w:pStyle w:val="notetext"/>
        <w:rPr>
          <w:color w:val="FF0000"/>
        </w:rPr>
      </w:pPr>
      <w:r w:rsidRPr="00BC78CF">
        <w:rPr>
          <w:color w:val="FF0000"/>
        </w:rPr>
        <w:t>Note:</w:t>
      </w:r>
      <w:r w:rsidRPr="00BC78CF">
        <w:rPr>
          <w:color w:val="FF0000"/>
        </w:rPr>
        <w:tab/>
        <w:t>This rule is a civil penalty provision (see rule 9.8).</w:t>
      </w:r>
    </w:p>
    <w:p w14:paraId="04FE0188" w14:textId="77777777" w:rsidR="007F0E09" w:rsidRPr="00BC78CF" w:rsidRDefault="007F0E09" w:rsidP="007F0E09">
      <w:pPr>
        <w:pStyle w:val="notetext"/>
        <w:rPr>
          <w:color w:val="FF0000"/>
        </w:rPr>
      </w:pPr>
    </w:p>
    <w:p w14:paraId="183D3279" w14:textId="77777777" w:rsidR="00CF0E3D" w:rsidRPr="00360E15" w:rsidRDefault="00CF0E3D" w:rsidP="00CF0E3D">
      <w:pPr>
        <w:pStyle w:val="ActHead4"/>
        <w:pageBreakBefore/>
      </w:pPr>
      <w:bookmarkStart w:id="59" w:name="_Toc74916093"/>
      <w:r>
        <w:t>Subdivision 1.4.5</w:t>
      </w:r>
      <w:r w:rsidRPr="00360E15">
        <w:t>—D</w:t>
      </w:r>
      <w:r w:rsidRPr="00E53912">
        <w:rPr>
          <w:color w:val="000000" w:themeColor="text1"/>
        </w:rPr>
        <w:t>eletion and d</w:t>
      </w:r>
      <w:r w:rsidRPr="00360E15">
        <w:t>e</w:t>
      </w:r>
      <w:r w:rsidRPr="00360E15">
        <w:noBreakHyphen/>
        <w:t>identification of CDR data</w:t>
      </w:r>
      <w:bookmarkEnd w:id="59"/>
    </w:p>
    <w:p w14:paraId="7EC611B6" w14:textId="77777777" w:rsidR="00CF0E3D" w:rsidRDefault="00CF0E3D" w:rsidP="00CF0E3D">
      <w:pPr>
        <w:pStyle w:val="ActHead5"/>
      </w:pPr>
      <w:bookmarkStart w:id="60" w:name="_Toc74916094"/>
      <w:r>
        <w:t>1.17</w:t>
      </w:r>
      <w:r w:rsidRPr="00360E15">
        <w:t xml:space="preserve">  CDR </w:t>
      </w:r>
      <w:r w:rsidRPr="00E53912">
        <w:rPr>
          <w:color w:val="000000" w:themeColor="text1"/>
        </w:rPr>
        <w:t xml:space="preserve">data </w:t>
      </w:r>
      <w:r w:rsidRPr="00360E15">
        <w:t>de</w:t>
      </w:r>
      <w:r w:rsidRPr="00360E15">
        <w:noBreakHyphen/>
        <w:t>identification process</w:t>
      </w:r>
      <w:bookmarkEnd w:id="60"/>
    </w:p>
    <w:p w14:paraId="0FA27772" w14:textId="77777777" w:rsidR="00CF0E3D" w:rsidRPr="00F90A37" w:rsidRDefault="00CF0E3D" w:rsidP="00CF0E3D">
      <w:pPr>
        <w:pStyle w:val="subsection"/>
      </w:pPr>
      <w:r w:rsidRPr="00360E15">
        <w:tab/>
      </w:r>
      <w:r>
        <w:t>(1)</w:t>
      </w:r>
      <w:r w:rsidRPr="00360E15">
        <w:tab/>
        <w:t xml:space="preserve">This rule sets out the </w:t>
      </w:r>
      <w:r w:rsidRPr="00360E15">
        <w:rPr>
          <w:b/>
          <w:i/>
        </w:rPr>
        <w:t xml:space="preserve">CDR </w:t>
      </w:r>
      <w:r w:rsidRPr="00E53912">
        <w:rPr>
          <w:b/>
          <w:i/>
          <w:color w:val="000000" w:themeColor="text1"/>
        </w:rPr>
        <w:t>data</w:t>
      </w:r>
      <w:r>
        <w:rPr>
          <w:b/>
          <w:i/>
        </w:rPr>
        <w:t xml:space="preserve"> </w:t>
      </w:r>
      <w:r w:rsidRPr="00360E15">
        <w:rPr>
          <w:b/>
          <w:i/>
        </w:rPr>
        <w:t>de</w:t>
      </w:r>
      <w:r w:rsidRPr="00360E15">
        <w:rPr>
          <w:b/>
          <w:i/>
        </w:rPr>
        <w:noBreakHyphen/>
        <w:t>identification process</w:t>
      </w:r>
      <w:r>
        <w:rPr>
          <w:b/>
          <w:i/>
        </w:rPr>
        <w:t xml:space="preserve"> </w:t>
      </w:r>
      <w:r w:rsidRPr="006D5CA7">
        <w:rPr>
          <w:color w:val="000000" w:themeColor="text1"/>
        </w:rPr>
        <w:t xml:space="preserve">for particular CDR data (the </w:t>
      </w:r>
      <w:r w:rsidRPr="00F90A37">
        <w:rPr>
          <w:b/>
          <w:i/>
        </w:rPr>
        <w:t>relevant</w:t>
      </w:r>
      <w:r w:rsidRPr="00F90A37">
        <w:t xml:space="preserve"> </w:t>
      </w:r>
      <w:r w:rsidRPr="00F90A37">
        <w:rPr>
          <w:b/>
          <w:i/>
        </w:rPr>
        <w:t>data</w:t>
      </w:r>
      <w:r w:rsidRPr="00F90A37">
        <w:t>).</w:t>
      </w:r>
    </w:p>
    <w:p w14:paraId="66CCFB7F" w14:textId="77777777" w:rsidR="00CF0E3D" w:rsidRPr="00F90A37" w:rsidRDefault="00CF0E3D" w:rsidP="00CF0E3D">
      <w:pPr>
        <w:pStyle w:val="notetext"/>
      </w:pPr>
      <w:r w:rsidRPr="00F90A37">
        <w:t>Note:</w:t>
      </w:r>
      <w:r w:rsidRPr="00F90A37">
        <w:tab/>
        <w:t>This process is applied by an accredited data recipient when de</w:t>
      </w:r>
      <w:r w:rsidRPr="00F90A37">
        <w:noBreakHyphen/>
        <w:t xml:space="preserve">identifying CDR data in accordance with a consent from a CDR consumer (see </w:t>
      </w:r>
      <w:r>
        <w:t>Subdivision 4.3.3</w:t>
      </w:r>
      <w:r w:rsidRPr="00F90A37">
        <w:t>) and when de</w:t>
      </w:r>
      <w:r w:rsidRPr="00F90A37">
        <w:noBreakHyphen/>
        <w:t>identifying redundant data for the purposes of privacy safeguard 12 (see rule </w:t>
      </w:r>
      <w:r>
        <w:t>7.12</w:t>
      </w:r>
      <w:r w:rsidRPr="00F90A37">
        <w:t>).</w:t>
      </w:r>
    </w:p>
    <w:p w14:paraId="60D921FC" w14:textId="77777777" w:rsidR="00CF0E3D" w:rsidRPr="00F90A37" w:rsidRDefault="00CF0E3D" w:rsidP="00CF0E3D">
      <w:pPr>
        <w:pStyle w:val="subsection"/>
      </w:pPr>
      <w:r w:rsidRPr="00F90A37">
        <w:tab/>
      </w:r>
      <w:r>
        <w:t>(2)</w:t>
      </w:r>
      <w:r w:rsidRPr="00F90A37">
        <w:tab/>
        <w:t>First, the accredited data recipient must consider whether, having regard to the following:</w:t>
      </w:r>
    </w:p>
    <w:p w14:paraId="04F99B24" w14:textId="77777777" w:rsidR="00CF0E3D" w:rsidRPr="00F90A37" w:rsidRDefault="00CF0E3D" w:rsidP="00CF0E3D">
      <w:pPr>
        <w:pStyle w:val="paragraph"/>
      </w:pPr>
      <w:r w:rsidRPr="00F90A37">
        <w:tab/>
      </w:r>
      <w:r>
        <w:t>(a)</w:t>
      </w:r>
      <w:r w:rsidRPr="00F90A37">
        <w:tab/>
        <w:t>the DDF;</w:t>
      </w:r>
    </w:p>
    <w:p w14:paraId="76C15857" w14:textId="77777777" w:rsidR="00CF0E3D" w:rsidRPr="00F90A37" w:rsidRDefault="00CF0E3D" w:rsidP="00CF0E3D">
      <w:pPr>
        <w:pStyle w:val="paragraph"/>
      </w:pPr>
      <w:r w:rsidRPr="00F90A37">
        <w:tab/>
      </w:r>
      <w:r>
        <w:t>(b)</w:t>
      </w:r>
      <w:r w:rsidRPr="00F90A37">
        <w:tab/>
        <w:t>the techniques that are available for de</w:t>
      </w:r>
      <w:r w:rsidRPr="00F90A37">
        <w:noBreakHyphen/>
        <w:t>identification of data;</w:t>
      </w:r>
    </w:p>
    <w:p w14:paraId="7266FE82" w14:textId="77777777" w:rsidR="00CF0E3D" w:rsidRPr="00F90A37" w:rsidRDefault="00CF0E3D" w:rsidP="00CF0E3D">
      <w:pPr>
        <w:pStyle w:val="paragraph"/>
      </w:pPr>
      <w:r w:rsidRPr="00F90A37">
        <w:tab/>
      </w:r>
      <w:r>
        <w:t>(c)</w:t>
      </w:r>
      <w:r w:rsidRPr="00F90A37">
        <w:tab/>
        <w:t>the extent to which it would be technically possible for any person to be once more identifiable, or reasonably identifiable, after de</w:t>
      </w:r>
      <w:r w:rsidRPr="00F90A37">
        <w:noBreakHyphen/>
        <w:t>identifi</w:t>
      </w:r>
      <w:r>
        <w:t>c</w:t>
      </w:r>
      <w:r w:rsidRPr="00F90A37">
        <w:t>ation in accordance with such techniques;</w:t>
      </w:r>
    </w:p>
    <w:p w14:paraId="743EB9A2" w14:textId="77777777" w:rsidR="00CF0E3D" w:rsidRPr="00CD0FA5" w:rsidRDefault="00CF0E3D" w:rsidP="00CF0E3D">
      <w:pPr>
        <w:pStyle w:val="paragraph"/>
      </w:pPr>
      <w:r w:rsidRPr="00CD0FA5">
        <w:tab/>
      </w:r>
      <w:r>
        <w:t>(d)</w:t>
      </w:r>
      <w:r w:rsidRPr="00CD0FA5">
        <w:tab/>
        <w:t>the likelihood (if any) of any person once more becoming so identifiable, or reasonably identifiable from the data after de</w:t>
      </w:r>
      <w:r w:rsidRPr="00CD0FA5">
        <w:noBreakHyphen/>
        <w:t>identification;</w:t>
      </w:r>
    </w:p>
    <w:p w14:paraId="25647829" w14:textId="77777777" w:rsidR="00CF0E3D" w:rsidRPr="00F90A37" w:rsidRDefault="00CF0E3D" w:rsidP="00CF0E3D">
      <w:pPr>
        <w:pStyle w:val="subsection"/>
        <w:spacing w:before="40"/>
      </w:pPr>
      <w:r w:rsidRPr="00F90A37">
        <w:tab/>
      </w:r>
      <w:r w:rsidRPr="00F90A37">
        <w:tab/>
        <w:t>it would be possible to de</w:t>
      </w:r>
      <w:r w:rsidRPr="00F90A37">
        <w:noBreakHyphen/>
        <w:t xml:space="preserve">identify the relevant data </w:t>
      </w:r>
      <w:r w:rsidRPr="00F949C1">
        <w:t xml:space="preserve">to the extent (the </w:t>
      </w:r>
      <w:r w:rsidRPr="0023590D">
        <w:rPr>
          <w:b/>
          <w:i/>
        </w:rPr>
        <w:t xml:space="preserve">required </w:t>
      </w:r>
      <w:r w:rsidRPr="00F949C1">
        <w:rPr>
          <w:b/>
          <w:i/>
        </w:rPr>
        <w:t>extent</w:t>
      </w:r>
      <w:r w:rsidRPr="00F949C1">
        <w:t xml:space="preserve">) </w:t>
      </w:r>
      <w:r w:rsidRPr="00F90A37">
        <w:t>that no person would any longer be identifiable, or reasonably identifiable, from:</w:t>
      </w:r>
    </w:p>
    <w:p w14:paraId="1A627D8F" w14:textId="77777777" w:rsidR="00CF0E3D" w:rsidRPr="009C222D" w:rsidRDefault="00CF0E3D" w:rsidP="00CF0E3D">
      <w:pPr>
        <w:pStyle w:val="paragraph"/>
        <w:rPr>
          <w:color w:val="000000" w:themeColor="text1"/>
        </w:rPr>
      </w:pPr>
      <w:r w:rsidRPr="00F90A37">
        <w:tab/>
      </w:r>
      <w:r>
        <w:t>(e)</w:t>
      </w:r>
      <w:r w:rsidRPr="00F90A37">
        <w:tab/>
        <w:t xml:space="preserve">the </w:t>
      </w:r>
      <w:r>
        <w:t xml:space="preserve">relevant </w:t>
      </w:r>
      <w:r w:rsidRPr="00F90A37">
        <w:t>data after the proposed de</w:t>
      </w:r>
      <w:r w:rsidRPr="00F90A37">
        <w:noBreakHyphen/>
        <w:t>identification;</w:t>
      </w:r>
      <w:r>
        <w:t xml:space="preserve"> </w:t>
      </w:r>
      <w:r w:rsidRPr="0018564F">
        <w:t>and</w:t>
      </w:r>
    </w:p>
    <w:p w14:paraId="4F77A76C" w14:textId="77777777" w:rsidR="00CF0E3D" w:rsidRDefault="00CF0E3D" w:rsidP="00CF0E3D">
      <w:pPr>
        <w:pStyle w:val="paragraph"/>
        <w:rPr>
          <w:color w:val="000000" w:themeColor="text1"/>
        </w:rPr>
      </w:pPr>
      <w:r w:rsidRPr="006D5CA7">
        <w:rPr>
          <w:color w:val="000000" w:themeColor="text1"/>
        </w:rPr>
        <w:tab/>
      </w:r>
      <w:r>
        <w:rPr>
          <w:color w:val="000000" w:themeColor="text1"/>
        </w:rPr>
        <w:t>(f)</w:t>
      </w:r>
      <w:r w:rsidRPr="006D5CA7">
        <w:rPr>
          <w:color w:val="000000" w:themeColor="text1"/>
        </w:rPr>
        <w:tab/>
        <w:t>other information that would be held, following the completion of the de</w:t>
      </w:r>
      <w:r w:rsidRPr="006D5CA7">
        <w:rPr>
          <w:color w:val="000000" w:themeColor="text1"/>
        </w:rPr>
        <w:noBreakHyphen/>
        <w:t>identification process, by any person.</w:t>
      </w:r>
    </w:p>
    <w:p w14:paraId="3C5EB739"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(3)</w:t>
      </w:r>
      <w:r w:rsidRPr="00464C22">
        <w:rPr>
          <w:color w:val="000000" w:themeColor="text1"/>
        </w:rPr>
        <w:tab/>
        <w:t>If this is possible, the accredited data recipient must:</w:t>
      </w:r>
    </w:p>
    <w:p w14:paraId="18A7C925"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determine the technique that is appropriate in the circumstances to de</w:t>
      </w:r>
      <w:r w:rsidRPr="00464C22">
        <w:rPr>
          <w:color w:val="000000" w:themeColor="text1"/>
        </w:rPr>
        <w:noBreakHyphen/>
        <w:t xml:space="preserve">identify the </w:t>
      </w:r>
      <w:r>
        <w:rPr>
          <w:color w:val="000000" w:themeColor="text1"/>
        </w:rPr>
        <w:t>relevant</w:t>
      </w:r>
      <w:r w:rsidRPr="00464C22">
        <w:rPr>
          <w:color w:val="000000" w:themeColor="text1"/>
        </w:rPr>
        <w:t xml:space="preserve"> data to </w:t>
      </w:r>
      <w:r w:rsidRPr="001451ED">
        <w:t xml:space="preserve">the </w:t>
      </w:r>
      <w:r w:rsidRPr="0023590D">
        <w:t xml:space="preserve">required </w:t>
      </w:r>
      <w:r w:rsidRPr="00464C22">
        <w:rPr>
          <w:color w:val="000000" w:themeColor="text1"/>
        </w:rPr>
        <w:t>extent; and</w:t>
      </w:r>
    </w:p>
    <w:p w14:paraId="77DC5632"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apply that technique to de</w:t>
      </w:r>
      <w:r w:rsidRPr="00464C22">
        <w:rPr>
          <w:color w:val="000000" w:themeColor="text1"/>
        </w:rPr>
        <w:noBreakHyphen/>
        <w:t xml:space="preserve">identify the </w:t>
      </w:r>
      <w:r>
        <w:rPr>
          <w:color w:val="000000" w:themeColor="text1"/>
        </w:rPr>
        <w:t>relevant</w:t>
      </w:r>
      <w:r w:rsidRPr="00464C22">
        <w:rPr>
          <w:color w:val="000000" w:themeColor="text1"/>
        </w:rPr>
        <w:t xml:space="preserve"> data to </w:t>
      </w:r>
      <w:r w:rsidRPr="001451ED">
        <w:t xml:space="preserve">the </w:t>
      </w:r>
      <w:r w:rsidRPr="0023590D">
        <w:t xml:space="preserve">required </w:t>
      </w:r>
      <w:r w:rsidRPr="00464C22">
        <w:rPr>
          <w:color w:val="000000" w:themeColor="text1"/>
        </w:rPr>
        <w:t>extent; and</w:t>
      </w:r>
    </w:p>
    <w:p w14:paraId="5AE3C07C" w14:textId="77777777" w:rsidR="00CF0E3D" w:rsidRDefault="00CF0E3D" w:rsidP="00CF0E3D">
      <w:pPr>
        <w:pStyle w:val="paragraph"/>
        <w:rPr>
          <w:color w:val="000000" w:themeColor="text1"/>
        </w:rPr>
      </w:pPr>
      <w:r w:rsidRPr="00464C22">
        <w:rPr>
          <w:color w:val="000000" w:themeColor="text1"/>
        </w:rPr>
        <w:tab/>
      </w:r>
      <w:r>
        <w:rPr>
          <w:color w:val="000000" w:themeColor="text1"/>
        </w:rPr>
        <w:t>(c)</w:t>
      </w:r>
      <w:r w:rsidRPr="00464C22">
        <w:rPr>
          <w:color w:val="000000" w:themeColor="text1"/>
        </w:rPr>
        <w:tab/>
        <w:t>delete</w:t>
      </w:r>
      <w:r w:rsidRPr="006D5CA7">
        <w:rPr>
          <w:color w:val="000000" w:themeColor="text1"/>
        </w:rPr>
        <w:t>, in accordance with the CDR data deletion process,</w:t>
      </w:r>
      <w:r w:rsidRPr="00464C22">
        <w:rPr>
          <w:color w:val="000000" w:themeColor="text1"/>
        </w:rPr>
        <w:t xml:space="preserve"> any CDR data that must be deleted in order to ensure that</w:t>
      </w:r>
      <w:r>
        <w:rPr>
          <w:color w:val="000000" w:themeColor="text1"/>
        </w:rPr>
        <w:t xml:space="preserve"> </w:t>
      </w:r>
      <w:r w:rsidRPr="006D5CA7">
        <w:rPr>
          <w:color w:val="000000" w:themeColor="text1"/>
        </w:rPr>
        <w:t xml:space="preserve">no person is any longer identifiable, or reasonably identifiable, from the information referred to in </w:t>
      </w:r>
      <w:r>
        <w:rPr>
          <w:color w:val="000000" w:themeColor="text1"/>
        </w:rPr>
        <w:t>paragraphs (2)(e) and (f)</w:t>
      </w:r>
      <w:r w:rsidRPr="00464C22">
        <w:rPr>
          <w:color w:val="000000" w:themeColor="text1"/>
        </w:rPr>
        <w:t>; and</w:t>
      </w:r>
    </w:p>
    <w:p w14:paraId="6E5C4CDB"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(d)</w:t>
      </w:r>
      <w:r w:rsidRPr="00464C22">
        <w:rPr>
          <w:color w:val="000000" w:themeColor="text1"/>
        </w:rPr>
        <w:tab/>
      </w:r>
      <w:r>
        <w:rPr>
          <w:color w:val="000000" w:themeColor="text1"/>
        </w:rPr>
        <w:t xml:space="preserve">as soon as practicable, </w:t>
      </w:r>
      <w:r w:rsidRPr="00464C22">
        <w:rPr>
          <w:color w:val="000000" w:themeColor="text1"/>
        </w:rPr>
        <w:t>make a record to evidence the following:</w:t>
      </w:r>
    </w:p>
    <w:p w14:paraId="65FD5868" w14:textId="77777777" w:rsidR="00CF0E3D" w:rsidRPr="00464C22" w:rsidRDefault="00CF0E3D" w:rsidP="00CF0E3D">
      <w:pPr>
        <w:pStyle w:val="paragraphsub"/>
        <w:rPr>
          <w:color w:val="000000" w:themeColor="text1"/>
        </w:rPr>
      </w:pPr>
      <w:r w:rsidRPr="00464C22">
        <w:rPr>
          <w:color w:val="000000" w:themeColor="text1"/>
        </w:rPr>
        <w:tab/>
      </w:r>
      <w:r>
        <w:rPr>
          <w:color w:val="000000" w:themeColor="text1"/>
        </w:rPr>
        <w:t>(i)</w:t>
      </w:r>
      <w:r w:rsidRPr="00464C22">
        <w:rPr>
          <w:color w:val="000000" w:themeColor="text1"/>
        </w:rPr>
        <w:tab/>
        <w:t>its assessment that it is possible to de</w:t>
      </w:r>
      <w:r w:rsidRPr="00464C22">
        <w:rPr>
          <w:color w:val="000000" w:themeColor="text1"/>
        </w:rPr>
        <w:noBreakHyphen/>
        <w:t xml:space="preserve">identify the </w:t>
      </w:r>
      <w:r>
        <w:rPr>
          <w:color w:val="000000" w:themeColor="text1"/>
        </w:rPr>
        <w:t xml:space="preserve">relevant </w:t>
      </w:r>
      <w:r w:rsidRPr="00464C22">
        <w:rPr>
          <w:color w:val="000000" w:themeColor="text1"/>
        </w:rPr>
        <w:t xml:space="preserve">data to the </w:t>
      </w:r>
      <w:r w:rsidRPr="0023590D">
        <w:t xml:space="preserve">required </w:t>
      </w:r>
      <w:r w:rsidRPr="00464C22">
        <w:rPr>
          <w:color w:val="000000" w:themeColor="text1"/>
        </w:rPr>
        <w:t>extent;</w:t>
      </w:r>
    </w:p>
    <w:p w14:paraId="43356885" w14:textId="77777777" w:rsidR="00CF0E3D" w:rsidRPr="00464C22" w:rsidRDefault="00CF0E3D" w:rsidP="00CF0E3D">
      <w:pPr>
        <w:pStyle w:val="paragraphsub"/>
        <w:rPr>
          <w:color w:val="000000" w:themeColor="text1"/>
        </w:rPr>
      </w:pPr>
      <w:r w:rsidRPr="00464C22">
        <w:rPr>
          <w:color w:val="000000" w:themeColor="text1"/>
        </w:rPr>
        <w:tab/>
      </w:r>
      <w:r>
        <w:rPr>
          <w:color w:val="000000" w:themeColor="text1"/>
        </w:rPr>
        <w:t>(ii)</w:t>
      </w:r>
      <w:r w:rsidRPr="00464C22">
        <w:rPr>
          <w:color w:val="000000" w:themeColor="text1"/>
        </w:rPr>
        <w:tab/>
        <w:t xml:space="preserve">that the </w:t>
      </w:r>
      <w:r>
        <w:rPr>
          <w:color w:val="000000" w:themeColor="text1"/>
        </w:rPr>
        <w:t xml:space="preserve">relevant </w:t>
      </w:r>
      <w:r w:rsidRPr="00464C22">
        <w:rPr>
          <w:color w:val="000000" w:themeColor="text1"/>
        </w:rPr>
        <w:t>data was de</w:t>
      </w:r>
      <w:r w:rsidRPr="00464C22">
        <w:rPr>
          <w:color w:val="000000" w:themeColor="text1"/>
        </w:rPr>
        <w:noBreakHyphen/>
        <w:t>identified to that extent;</w:t>
      </w:r>
    </w:p>
    <w:p w14:paraId="72F78EE1" w14:textId="77777777" w:rsidR="00CF0E3D" w:rsidRDefault="00CF0E3D" w:rsidP="00CF0E3D">
      <w:pPr>
        <w:pStyle w:val="paragraphsub"/>
        <w:rPr>
          <w:color w:val="000000" w:themeColor="text1"/>
        </w:rPr>
      </w:pPr>
      <w:r w:rsidRPr="00464C22">
        <w:rPr>
          <w:color w:val="000000" w:themeColor="text1"/>
        </w:rPr>
        <w:tab/>
      </w:r>
      <w:r>
        <w:rPr>
          <w:color w:val="000000" w:themeColor="text1"/>
        </w:rPr>
        <w:t>(iii)</w:t>
      </w:r>
      <w:r w:rsidRPr="00464C22">
        <w:rPr>
          <w:color w:val="000000" w:themeColor="text1"/>
        </w:rPr>
        <w:tab/>
        <w:t xml:space="preserve">how the </w:t>
      </w:r>
      <w:r>
        <w:rPr>
          <w:color w:val="000000" w:themeColor="text1"/>
        </w:rPr>
        <w:t xml:space="preserve">relevant </w:t>
      </w:r>
      <w:r w:rsidRPr="00464C22">
        <w:rPr>
          <w:color w:val="000000" w:themeColor="text1"/>
        </w:rPr>
        <w:t>data was de</w:t>
      </w:r>
      <w:r w:rsidRPr="00464C22">
        <w:rPr>
          <w:color w:val="000000" w:themeColor="text1"/>
        </w:rPr>
        <w:noBreakHyphen/>
        <w:t>identified, including records of the technique that was used;</w:t>
      </w:r>
    </w:p>
    <w:p w14:paraId="1E314267" w14:textId="77777777" w:rsidR="00CF0E3D" w:rsidRPr="00FA14C2" w:rsidRDefault="00CF0E3D" w:rsidP="00CF0E3D">
      <w:pPr>
        <w:pStyle w:val="paragraphsub"/>
      </w:pPr>
      <w:r w:rsidRPr="00FA14C2">
        <w:tab/>
      </w:r>
      <w:r>
        <w:t>(iv)</w:t>
      </w:r>
      <w:r w:rsidRPr="00FA14C2">
        <w:tab/>
      </w:r>
      <w:r w:rsidRPr="00464C22">
        <w:rPr>
          <w:color w:val="000000" w:themeColor="text1"/>
        </w:rPr>
        <w:t>any persons to whom the de</w:t>
      </w:r>
      <w:r w:rsidRPr="00464C22">
        <w:rPr>
          <w:color w:val="000000" w:themeColor="text1"/>
        </w:rPr>
        <w:noBreakHyphen/>
        <w:t>identified data is disclosed</w:t>
      </w:r>
      <w:r w:rsidRPr="00FA14C2">
        <w:t>.</w:t>
      </w:r>
    </w:p>
    <w:p w14:paraId="62CD3C36" w14:textId="77777777" w:rsidR="00CF0E3D" w:rsidRPr="003844C5" w:rsidRDefault="00CF0E3D" w:rsidP="00CF0E3D">
      <w:pPr>
        <w:pStyle w:val="subsection"/>
      </w:pPr>
      <w:r w:rsidRPr="003844C5">
        <w:tab/>
      </w:r>
      <w:r>
        <w:t>(4)</w:t>
      </w:r>
      <w:r w:rsidRPr="003844C5">
        <w:tab/>
        <w:t xml:space="preserve">If this is not possible, the accredited data recipient must delete the relevant data and any CDR data </w:t>
      </w:r>
      <w:r w:rsidRPr="0023590D">
        <w:t xml:space="preserve">directly or indirectly </w:t>
      </w:r>
      <w:r w:rsidRPr="003844C5">
        <w:t>derived from it in accordance with the CDR data deletion process.</w:t>
      </w:r>
    </w:p>
    <w:p w14:paraId="768BD8CD" w14:textId="77777777" w:rsidR="00CF0E3D" w:rsidRPr="003844C5" w:rsidRDefault="00CF0E3D" w:rsidP="00CF0E3D">
      <w:pPr>
        <w:pStyle w:val="notetext"/>
      </w:pPr>
      <w:r w:rsidRPr="003844C5">
        <w:t>Note:</w:t>
      </w:r>
      <w:r w:rsidRPr="003844C5">
        <w:tab/>
        <w:t>For the CDR data deletion process, see rule </w:t>
      </w:r>
      <w:r>
        <w:t>1.18</w:t>
      </w:r>
      <w:r w:rsidRPr="003844C5">
        <w:t>.</w:t>
      </w:r>
    </w:p>
    <w:p w14:paraId="6E0933F8"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(5)</w:t>
      </w:r>
      <w:r w:rsidRPr="00464C22">
        <w:rPr>
          <w:color w:val="000000" w:themeColor="text1"/>
        </w:rPr>
        <w:tab/>
        <w:t xml:space="preserve">For this rule, the </w:t>
      </w:r>
      <w:r w:rsidRPr="00464C22">
        <w:rPr>
          <w:b/>
          <w:i/>
          <w:color w:val="000000" w:themeColor="text1"/>
        </w:rPr>
        <w:t xml:space="preserve">DDF </w:t>
      </w:r>
      <w:r w:rsidRPr="00464C22">
        <w:rPr>
          <w:color w:val="000000" w:themeColor="text1"/>
        </w:rPr>
        <w:t xml:space="preserve">is </w:t>
      </w:r>
      <w:r w:rsidRPr="00464C22">
        <w:rPr>
          <w:i/>
          <w:color w:val="000000" w:themeColor="text1"/>
        </w:rPr>
        <w:t>The De</w:t>
      </w:r>
      <w:r w:rsidRPr="00464C22">
        <w:rPr>
          <w:i/>
          <w:color w:val="000000" w:themeColor="text1"/>
        </w:rPr>
        <w:noBreakHyphen/>
        <w:t>Identification Decision</w:t>
      </w:r>
      <w:r w:rsidRPr="00464C22">
        <w:rPr>
          <w:i/>
          <w:color w:val="000000" w:themeColor="text1"/>
        </w:rPr>
        <w:noBreakHyphen/>
        <w:t xml:space="preserve">Making Framework </w:t>
      </w:r>
      <w:r w:rsidRPr="00464C22">
        <w:rPr>
          <w:color w:val="000000" w:themeColor="text1"/>
        </w:rPr>
        <w:t xml:space="preserve">published by the Office of the Information </w:t>
      </w:r>
      <w:r w:rsidRPr="00814B1D">
        <w:t>Commissioner</w:t>
      </w:r>
      <w:r w:rsidRPr="00464C22">
        <w:rPr>
          <w:color w:val="000000" w:themeColor="text1"/>
        </w:rPr>
        <w:t xml:space="preserve"> and Data61, as in force from time to time.</w:t>
      </w:r>
    </w:p>
    <w:p w14:paraId="721BA8E7" w14:textId="77777777" w:rsidR="00CF0E3D" w:rsidRDefault="00CF0E3D" w:rsidP="00CF0E3D">
      <w:pPr>
        <w:pStyle w:val="notetext"/>
      </w:pPr>
      <w:r w:rsidRPr="00464C22">
        <w:rPr>
          <w:color w:val="000000" w:themeColor="text1"/>
        </w:rPr>
        <w:t>Note:</w:t>
      </w:r>
      <w:r w:rsidRPr="00464C22">
        <w:rPr>
          <w:color w:val="000000" w:themeColor="text1"/>
        </w:rPr>
        <w:tab/>
        <w:t xml:space="preserve">The </w:t>
      </w:r>
      <w:r w:rsidRPr="00464C22">
        <w:rPr>
          <w:i/>
          <w:color w:val="000000" w:themeColor="text1"/>
        </w:rPr>
        <w:t>De-Identification Decision-Making Framework</w:t>
      </w:r>
      <w:r w:rsidRPr="00464C22">
        <w:rPr>
          <w:color w:val="000000" w:themeColor="text1"/>
        </w:rPr>
        <w:t xml:space="preserve"> </w:t>
      </w:r>
      <w:r w:rsidRPr="00360E15">
        <w:t xml:space="preserve">could in </w:t>
      </w:r>
      <w:r>
        <w:t xml:space="preserve">2020 </w:t>
      </w:r>
      <w:r w:rsidRPr="00360E15">
        <w:t>be downloaded from Data61’s website (https://www.data61.csiro.au/).</w:t>
      </w:r>
    </w:p>
    <w:p w14:paraId="2A2B90D8" w14:textId="77777777" w:rsidR="00CF0E3D" w:rsidRDefault="00CF0E3D" w:rsidP="00CF0E3D">
      <w:pPr>
        <w:pStyle w:val="ActHead5"/>
      </w:pPr>
      <w:bookmarkStart w:id="61" w:name="_Toc74916095"/>
      <w:r>
        <w:t>1.17A  Identification of otherwise redundant data that is not to be deleted</w:t>
      </w:r>
      <w:bookmarkEnd w:id="61"/>
    </w:p>
    <w:p w14:paraId="646069BC" w14:textId="77777777" w:rsidR="00CF0E3D" w:rsidRDefault="00CF0E3D" w:rsidP="00CF0E3D">
      <w:pPr>
        <w:pStyle w:val="subsection"/>
      </w:pPr>
      <w:r>
        <w:tab/>
        <w:t>(1)</w:t>
      </w:r>
      <w:r>
        <w:tab/>
        <w:t>Where the accredited data recipient has identified CDR data as redundant, it must identify whether any of the following provisions of the Act apply to the CDR data:</w:t>
      </w:r>
    </w:p>
    <w:p w14:paraId="61C54522" w14:textId="77777777" w:rsidR="00CF0E3D" w:rsidRDefault="00CF0E3D" w:rsidP="00CF0E3D">
      <w:pPr>
        <w:pStyle w:val="paragraph"/>
      </w:pPr>
      <w:r>
        <w:tab/>
        <w:t>(a)</w:t>
      </w:r>
      <w:r>
        <w:tab/>
        <w:t>paragraphs 56BAA(2)(a), (b) or (c) of the Act (deletion request by consumer);</w:t>
      </w:r>
    </w:p>
    <w:p w14:paraId="67FA2282" w14:textId="77777777" w:rsidR="00CF0E3D" w:rsidRDefault="00CF0E3D" w:rsidP="00CF0E3D">
      <w:pPr>
        <w:pStyle w:val="paragraph"/>
      </w:pPr>
      <w:r>
        <w:tab/>
        <w:t>(b)</w:t>
      </w:r>
      <w:r>
        <w:tab/>
        <w:t>paragraphs 56EO(2)(b) or (c) of the Act (privacy safeguard 12).</w:t>
      </w:r>
    </w:p>
    <w:p w14:paraId="020ACA6B" w14:textId="77777777" w:rsidR="00CF0E3D" w:rsidRDefault="00CF0E3D" w:rsidP="00CF0E3D">
      <w:pPr>
        <w:pStyle w:val="subsection"/>
      </w:pPr>
      <w:r>
        <w:tab/>
        <w:t>(2)</w:t>
      </w:r>
      <w:r>
        <w:tab/>
        <w:t>Where one of those provisions applies, the accredited person must retain the CDR data while that provision applies.</w:t>
      </w:r>
    </w:p>
    <w:p w14:paraId="730421A4" w14:textId="77777777" w:rsidR="00CF0E3D" w:rsidRDefault="00CF0E3D" w:rsidP="00CF0E3D">
      <w:pPr>
        <w:pStyle w:val="subsection"/>
      </w:pPr>
      <w:r>
        <w:tab/>
        <w:t>(3)</w:t>
      </w:r>
      <w:r>
        <w:tab/>
        <w:t>For the purposes of paragraph 56BAA(2)(c) of the Act, in relation to CDR data of a CDR consumer, the person may:</w:t>
      </w:r>
    </w:p>
    <w:p w14:paraId="008B8852" w14:textId="77777777" w:rsidR="00CF0E3D" w:rsidRDefault="00CF0E3D" w:rsidP="00CF0E3D">
      <w:pPr>
        <w:pStyle w:val="paragraph"/>
      </w:pPr>
      <w:r>
        <w:tab/>
        <w:t>(a)</w:t>
      </w:r>
      <w:r>
        <w:tab/>
        <w:t>request the CDR consumer to state whether or not proceedings of the kind mentioned in that paragraph are current or anticipated; and</w:t>
      </w:r>
    </w:p>
    <w:p w14:paraId="03F96006" w14:textId="77777777" w:rsidR="00CF0E3D" w:rsidRDefault="00CF0E3D" w:rsidP="00CF0E3D">
      <w:pPr>
        <w:pStyle w:val="paragraph"/>
      </w:pPr>
      <w:r>
        <w:tab/>
        <w:t>(b)</w:t>
      </w:r>
      <w:r>
        <w:tab/>
        <w:t>rely on that statement.</w:t>
      </w:r>
    </w:p>
    <w:p w14:paraId="10E57C6F" w14:textId="77777777" w:rsidR="00CF0E3D" w:rsidRDefault="00CF0E3D" w:rsidP="00CF0E3D">
      <w:pPr>
        <w:pStyle w:val="ActHead5"/>
        <w:rPr>
          <w:color w:val="000000" w:themeColor="text1"/>
        </w:rPr>
      </w:pPr>
      <w:bookmarkStart w:id="62" w:name="_Toc74916096"/>
      <w:r>
        <w:rPr>
          <w:color w:val="000000" w:themeColor="text1"/>
        </w:rPr>
        <w:t>1.18</w:t>
      </w:r>
      <w:r w:rsidRPr="00E53912">
        <w:rPr>
          <w:color w:val="000000" w:themeColor="text1"/>
        </w:rPr>
        <w:t xml:space="preserve">  CDR data deletion process</w:t>
      </w:r>
      <w:bookmarkEnd w:id="62"/>
    </w:p>
    <w:p w14:paraId="4EE35A6A" w14:textId="77777777" w:rsidR="00CF0E3D" w:rsidRPr="00E53912" w:rsidRDefault="00CF0E3D" w:rsidP="00CF0E3D">
      <w:pPr>
        <w:pStyle w:val="subsection"/>
        <w:rPr>
          <w:color w:val="000000" w:themeColor="text1"/>
        </w:rPr>
      </w:pPr>
      <w:r w:rsidRPr="00E53912">
        <w:rPr>
          <w:color w:val="000000" w:themeColor="text1"/>
        </w:rPr>
        <w:tab/>
      </w:r>
      <w:r w:rsidRPr="00E53912">
        <w:rPr>
          <w:color w:val="000000" w:themeColor="text1"/>
        </w:rPr>
        <w:tab/>
        <w:t xml:space="preserve">For these rules, the </w:t>
      </w:r>
      <w:r w:rsidRPr="00E53912">
        <w:rPr>
          <w:b/>
          <w:i/>
          <w:color w:val="000000" w:themeColor="text1"/>
        </w:rPr>
        <w:t xml:space="preserve">CDR data deletion process </w:t>
      </w:r>
      <w:r>
        <w:rPr>
          <w:color w:val="000000" w:themeColor="text1"/>
        </w:rPr>
        <w:t xml:space="preserve">in relation to </w:t>
      </w:r>
      <w:r w:rsidRPr="005F3D40">
        <w:rPr>
          <w:color w:val="000000" w:themeColor="text1"/>
        </w:rPr>
        <w:t>a person that holds CDR data</w:t>
      </w:r>
      <w:r>
        <w:rPr>
          <w:color w:val="000000" w:themeColor="text1"/>
        </w:rPr>
        <w:t xml:space="preserve"> that is to be deleted</w:t>
      </w:r>
      <w:r w:rsidRPr="005F3D40">
        <w:rPr>
          <w:color w:val="000000" w:themeColor="text1"/>
        </w:rPr>
        <w:t xml:space="preserve"> </w:t>
      </w:r>
      <w:r w:rsidRPr="00E53912">
        <w:rPr>
          <w:color w:val="000000" w:themeColor="text1"/>
        </w:rPr>
        <w:t>consists of the following steps:</w:t>
      </w:r>
    </w:p>
    <w:p w14:paraId="031075E6" w14:textId="77777777" w:rsidR="00CF0E3D" w:rsidRPr="00E53912" w:rsidRDefault="00CF0E3D" w:rsidP="00CF0E3D">
      <w:pPr>
        <w:pStyle w:val="paragraph"/>
        <w:rPr>
          <w:color w:val="000000" w:themeColor="text1"/>
        </w:rPr>
      </w:pPr>
      <w:r w:rsidRPr="00E53912">
        <w:rPr>
          <w:color w:val="000000" w:themeColor="text1"/>
        </w:rPr>
        <w:tab/>
      </w:r>
      <w:r>
        <w:rPr>
          <w:color w:val="000000" w:themeColor="text1"/>
        </w:rPr>
        <w:t>(a)</w:t>
      </w:r>
      <w:r w:rsidRPr="00E53912">
        <w:rPr>
          <w:color w:val="000000" w:themeColor="text1"/>
        </w:rPr>
        <w:tab/>
        <w:t>delete</w:t>
      </w:r>
      <w:r w:rsidRPr="00EC5815">
        <w:t xml:space="preserve">, to the extent reasonably practicable, </w:t>
      </w:r>
      <w:r>
        <w:rPr>
          <w:color w:val="000000" w:themeColor="text1"/>
        </w:rPr>
        <w:t>that</w:t>
      </w:r>
      <w:r w:rsidRPr="00E53912">
        <w:rPr>
          <w:color w:val="000000" w:themeColor="text1"/>
        </w:rPr>
        <w:t xml:space="preserve"> </w:t>
      </w:r>
      <w:r w:rsidRPr="005F3D40">
        <w:rPr>
          <w:color w:val="000000" w:themeColor="text1"/>
        </w:rPr>
        <w:t xml:space="preserve">CDR </w:t>
      </w:r>
      <w:r w:rsidRPr="00E53912">
        <w:rPr>
          <w:color w:val="000000" w:themeColor="text1"/>
        </w:rPr>
        <w:t xml:space="preserve">data and any copies of </w:t>
      </w:r>
      <w:r>
        <w:rPr>
          <w:color w:val="000000" w:themeColor="text1"/>
        </w:rPr>
        <w:t xml:space="preserve">that </w:t>
      </w:r>
      <w:r w:rsidRPr="005F3D40">
        <w:rPr>
          <w:color w:val="000000" w:themeColor="text1"/>
        </w:rPr>
        <w:t xml:space="preserve">CDR </w:t>
      </w:r>
      <w:r w:rsidRPr="00E53912">
        <w:rPr>
          <w:color w:val="000000" w:themeColor="text1"/>
        </w:rPr>
        <w:t>data;</w:t>
      </w:r>
    </w:p>
    <w:p w14:paraId="2987B8FF" w14:textId="77777777" w:rsidR="00CF0E3D" w:rsidRDefault="00CF0E3D" w:rsidP="00CF0E3D">
      <w:pPr>
        <w:pStyle w:val="paragraph"/>
        <w:rPr>
          <w:color w:val="000000" w:themeColor="text1"/>
        </w:rPr>
      </w:pPr>
      <w:r w:rsidRPr="00E53912">
        <w:rPr>
          <w:color w:val="000000" w:themeColor="text1"/>
        </w:rPr>
        <w:tab/>
      </w:r>
      <w:r>
        <w:rPr>
          <w:color w:val="000000" w:themeColor="text1"/>
        </w:rPr>
        <w:t>(b)</w:t>
      </w:r>
      <w:r w:rsidRPr="00E53912">
        <w:rPr>
          <w:color w:val="000000" w:themeColor="text1"/>
        </w:rPr>
        <w:tab/>
        <w:t>make a record to evidence the deletion</w:t>
      </w:r>
      <w:r>
        <w:rPr>
          <w:color w:val="000000" w:themeColor="text1"/>
        </w:rPr>
        <w:t>; and</w:t>
      </w:r>
    </w:p>
    <w:p w14:paraId="56D0CA35" w14:textId="77777777" w:rsidR="00CF0E3D" w:rsidRDefault="00CF0E3D" w:rsidP="00CF0E3D">
      <w:pPr>
        <w:pStyle w:val="paragraph"/>
      </w:pPr>
      <w:r>
        <w:tab/>
      </w:r>
      <w:r w:rsidRPr="00D3706C">
        <w:t>(c)</w:t>
      </w:r>
      <w:r w:rsidRPr="00D3706C">
        <w:tab/>
        <w:t>where another person holds the CDR data on its behalf and will perform those steps—direct that person to notify it when those steps</w:t>
      </w:r>
      <w:r w:rsidRPr="00C81620">
        <w:t xml:space="preserve"> have been performed</w:t>
      </w:r>
      <w:r w:rsidRPr="00D3706C">
        <w:t>.</w:t>
      </w:r>
    </w:p>
    <w:p w14:paraId="22EA2D3F" w14:textId="77777777" w:rsidR="00CF0E3D" w:rsidRDefault="00CF0E3D" w:rsidP="00CF0E3D">
      <w:pPr>
        <w:pStyle w:val="notetext"/>
        <w:rPr>
          <w:color w:val="000000" w:themeColor="text1"/>
        </w:rPr>
      </w:pPr>
      <w:r w:rsidRPr="00E53912">
        <w:rPr>
          <w:color w:val="000000" w:themeColor="text1"/>
        </w:rPr>
        <w:t>Note:</w:t>
      </w:r>
      <w:r w:rsidRPr="00E53912">
        <w:rPr>
          <w:color w:val="000000" w:themeColor="text1"/>
        </w:rPr>
        <w:tab/>
        <w:t xml:space="preserve">The CDR data deletion process is applied by an accredited data recipient when deleting CDR data in accordance with a CDR consumer’s right to deletion (see </w:t>
      </w:r>
      <w:r>
        <w:rPr>
          <w:color w:val="000000" w:themeColor="text1"/>
        </w:rPr>
        <w:t>Subdivision 4.3.4</w:t>
      </w:r>
      <w:r w:rsidRPr="00E53912">
        <w:rPr>
          <w:color w:val="000000" w:themeColor="text1"/>
        </w:rPr>
        <w:t>) and when deleting redundant data for the purposes of privacy safeguard 12 (see rule </w:t>
      </w:r>
      <w:r>
        <w:rPr>
          <w:color w:val="000000" w:themeColor="text1"/>
        </w:rPr>
        <w:t>7.13</w:t>
      </w:r>
      <w:r w:rsidRPr="00E53912">
        <w:rPr>
          <w:color w:val="000000" w:themeColor="text1"/>
        </w:rPr>
        <w:t>).</w:t>
      </w:r>
    </w:p>
    <w:p w14:paraId="0CD68323" w14:textId="77777777" w:rsidR="00CF0E3D" w:rsidRPr="00641354" w:rsidRDefault="00CF0E3D" w:rsidP="00CF0E3D">
      <w:pPr>
        <w:pStyle w:val="ActHead2"/>
        <w:pageBreakBefore/>
      </w:pPr>
      <w:bookmarkStart w:id="63" w:name="_Toc11771578"/>
      <w:bookmarkStart w:id="64" w:name="_Toc74916097"/>
      <w:r>
        <w:t xml:space="preserve">Part 2—Product data </w:t>
      </w:r>
      <w:r w:rsidRPr="00641354">
        <w:t>requests</w:t>
      </w:r>
      <w:bookmarkEnd w:id="63"/>
      <w:bookmarkEnd w:id="64"/>
    </w:p>
    <w:p w14:paraId="1C718080" w14:textId="77777777" w:rsidR="00CF0E3D" w:rsidRPr="00641354" w:rsidRDefault="00CF0E3D" w:rsidP="00CF0E3D">
      <w:pPr>
        <w:pStyle w:val="ActHead5"/>
      </w:pPr>
      <w:bookmarkStart w:id="65" w:name="_Toc11771579"/>
      <w:bookmarkStart w:id="66" w:name="_Toc74916098"/>
      <w:r>
        <w:t>2.1</w:t>
      </w:r>
      <w:r w:rsidRPr="00641354">
        <w:t xml:space="preserve">  Simplified outline of this Part</w:t>
      </w:r>
      <w:bookmarkEnd w:id="65"/>
      <w:bookmarkEnd w:id="66"/>
    </w:p>
    <w:p w14:paraId="495B7D79" w14:textId="77777777" w:rsidR="00CF0E3D" w:rsidRPr="00B3173B" w:rsidRDefault="00CF0E3D" w:rsidP="00CF0E3D">
      <w:pPr>
        <w:pStyle w:val="SOText"/>
      </w:pPr>
      <w:r w:rsidRPr="00B3173B">
        <w:t xml:space="preserve">This Part deals with product data requests. Such requests are made </w:t>
      </w:r>
      <w:r w:rsidRPr="00964EDA">
        <w:rPr>
          <w:color w:val="000000"/>
        </w:rPr>
        <w:t xml:space="preserve">using </w:t>
      </w:r>
      <w:r w:rsidRPr="00B3173B">
        <w:t xml:space="preserve">a data holder’s product data request </w:t>
      </w:r>
      <w:r>
        <w:t>service</w:t>
      </w:r>
      <w:r w:rsidRPr="00B3173B">
        <w:t>.</w:t>
      </w:r>
      <w:r>
        <w:t xml:space="preserve"> </w:t>
      </w:r>
    </w:p>
    <w:p w14:paraId="55E97607" w14:textId="1E90E3BF" w:rsidR="00CF0E3D" w:rsidRPr="007E7FBF" w:rsidRDefault="00CF0E3D" w:rsidP="00CF0E3D">
      <w:pPr>
        <w:pStyle w:val="SOText"/>
      </w:pPr>
      <w:r w:rsidRPr="007E7FBF">
        <w:t>A product data request may be for required product data, voluntary product data, or both</w:t>
      </w:r>
      <w:r w:rsidR="0088284A" w:rsidRPr="007E7FBF">
        <w:t xml:space="preserve">.  </w:t>
      </w:r>
      <w:r w:rsidRPr="007E7FBF">
        <w:t>Schedule 3 to these rules provides for what is required product data and voluntary product data for the banking sector.</w:t>
      </w:r>
    </w:p>
    <w:p w14:paraId="7861DA08" w14:textId="77777777" w:rsidR="00CF0E3D" w:rsidRPr="00796ADB" w:rsidRDefault="00CF0E3D" w:rsidP="00CF0E3D">
      <w:pPr>
        <w:pStyle w:val="SOText"/>
      </w:pPr>
      <w:r w:rsidRPr="00796ADB">
        <w:t>When requested in accordance with this Part, a data holder:</w:t>
      </w:r>
    </w:p>
    <w:p w14:paraId="5CF66FE6" w14:textId="77777777" w:rsidR="00CF0E3D" w:rsidRPr="00796ADB" w:rsidRDefault="00CF0E3D" w:rsidP="00CF0E3D">
      <w:pPr>
        <w:pStyle w:val="SOPara"/>
      </w:pPr>
      <w:r w:rsidRPr="00796ADB">
        <w:tab/>
        <w:t>•</w:t>
      </w:r>
      <w:r w:rsidRPr="00796ADB">
        <w:tab/>
        <w:t>must, subject to an exception outlined in this Part, disclose required product data; and</w:t>
      </w:r>
    </w:p>
    <w:p w14:paraId="752FA24B" w14:textId="77777777" w:rsidR="00CF0E3D" w:rsidRPr="00796ADB" w:rsidRDefault="00CF0E3D" w:rsidP="00CF0E3D">
      <w:pPr>
        <w:pStyle w:val="SOPara"/>
      </w:pPr>
      <w:r w:rsidRPr="00796ADB">
        <w:tab/>
        <w:t>•</w:t>
      </w:r>
      <w:r w:rsidRPr="00796ADB">
        <w:tab/>
        <w:t>may, but is not required to, disclose voluntary product data.</w:t>
      </w:r>
    </w:p>
    <w:p w14:paraId="3F720BFC" w14:textId="77777777" w:rsidR="00CF0E3D" w:rsidRPr="00F27186" w:rsidRDefault="00CF0E3D" w:rsidP="00CF0E3D">
      <w:pPr>
        <w:pStyle w:val="SOText"/>
      </w:pPr>
      <w:r w:rsidRPr="00F27186">
        <w:t>In either case, the data is disclosed to the person who made the request, in machine</w:t>
      </w:r>
      <w:r w:rsidRPr="00F27186">
        <w:noBreakHyphen/>
        <w:t>readable form</w:t>
      </w:r>
      <w:r>
        <w:t xml:space="preserve"> and in accordance with the data standards</w:t>
      </w:r>
      <w:r w:rsidRPr="00F27186">
        <w:t xml:space="preserve">. </w:t>
      </w:r>
      <w:r w:rsidRPr="00FE1DF8">
        <w:t>A data holder must not impose conditions, restrictions or limitations of any kind on the use of the disclosed data.</w:t>
      </w:r>
    </w:p>
    <w:p w14:paraId="15429C64" w14:textId="77777777" w:rsidR="00CF0E3D" w:rsidRPr="00F27186" w:rsidRDefault="00CF0E3D" w:rsidP="00CF0E3D">
      <w:pPr>
        <w:pStyle w:val="SOText"/>
      </w:pPr>
      <w:r w:rsidRPr="00F27186">
        <w:t>A fee cannot be charged for the disclosure of required product data, but could be charged for the disclosure of voluntary product data.</w:t>
      </w:r>
    </w:p>
    <w:p w14:paraId="377653A3" w14:textId="77777777" w:rsidR="00CF0E3D" w:rsidRDefault="00CF0E3D" w:rsidP="00CF0E3D">
      <w:pPr>
        <w:pStyle w:val="ActHead5"/>
      </w:pPr>
      <w:bookmarkStart w:id="67" w:name="_Toc11771580"/>
      <w:bookmarkStart w:id="68" w:name="_Toc74916099"/>
      <w:r>
        <w:t>2.2  Making product data requests—flowchart</w:t>
      </w:r>
      <w:bookmarkEnd w:id="67"/>
      <w:bookmarkEnd w:id="68"/>
    </w:p>
    <w:p w14:paraId="51736D9B" w14:textId="77777777" w:rsidR="00CF0E3D" w:rsidRDefault="00CF0E3D" w:rsidP="00CF0E3D">
      <w:pPr>
        <w:pStyle w:val="subsection"/>
      </w:pPr>
      <w:r>
        <w:tab/>
      </w:r>
      <w:r>
        <w:tab/>
        <w:t>The following is a flowchart for how product data requests are made:</w:t>
      </w:r>
    </w:p>
    <w:p w14:paraId="5440A188" w14:textId="77777777" w:rsidR="00CF0E3D" w:rsidRDefault="00CF0E3D" w:rsidP="00CF0E3D">
      <w:pPr>
        <w:pStyle w:val="subsection"/>
      </w:pPr>
      <w:r>
        <w:rPr>
          <w:noProof/>
        </w:rPr>
        <mc:AlternateContent>
          <mc:Choice Requires="wpc">
            <w:drawing>
              <wp:inline distT="0" distB="0" distL="0" distR="0" wp14:anchorId="12EDD1F4" wp14:editId="5961BED9">
                <wp:extent cx="5278755" cy="2795286"/>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ectangle 3"/>
                        <wps:cNvSpPr/>
                        <wps:spPr>
                          <a:xfrm>
                            <a:off x="1148317" y="146318"/>
                            <a:ext cx="3019645" cy="603849"/>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8B26D" w14:textId="77777777" w:rsidR="00492D1F" w:rsidRPr="00362B69" w:rsidRDefault="00492D1F" w:rsidP="00CF0E3D">
                              <w:pPr>
                                <w:jc w:val="center"/>
                                <w:rPr>
                                  <w:sz w:val="20"/>
                                </w:rPr>
                              </w:pPr>
                              <w:r w:rsidRPr="00362B69">
                                <w:rPr>
                                  <w:color w:val="000000"/>
                                  <w:sz w:val="20"/>
                                </w:rPr>
                                <w:t xml:space="preserve">Person makes </w:t>
                              </w:r>
                              <w:r>
                                <w:rPr>
                                  <w:color w:val="000000"/>
                                  <w:sz w:val="20"/>
                                </w:rPr>
                                <w:t>a request</w:t>
                              </w:r>
                              <w:r w:rsidRPr="00362B69">
                                <w:rPr>
                                  <w:color w:val="000000"/>
                                  <w:sz w:val="20"/>
                                </w:rPr>
                                <w:t xml:space="preserve"> </w:t>
                              </w:r>
                              <w:r>
                                <w:rPr>
                                  <w:color w:val="000000"/>
                                  <w:sz w:val="20"/>
                                </w:rPr>
                                <w:t>for product data using a data holder’s product data request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148317" y="1075609"/>
                            <a:ext cx="3019646" cy="1615504"/>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1F20F" w14:textId="77777777" w:rsidR="00492D1F" w:rsidRPr="00796ADB" w:rsidRDefault="00492D1F" w:rsidP="00CF0E3D">
                              <w:pPr>
                                <w:jc w:val="center"/>
                                <w:rPr>
                                  <w:color w:val="000000" w:themeColor="text1"/>
                                  <w:sz w:val="20"/>
                                </w:rPr>
                              </w:pPr>
                              <w:r w:rsidRPr="00796ADB">
                                <w:rPr>
                                  <w:color w:val="000000" w:themeColor="text1"/>
                                  <w:sz w:val="20"/>
                                </w:rPr>
                                <w:t>For any required product data, the data holder must (unless covered by an exception) disclose the data to the requester.</w:t>
                              </w:r>
                            </w:p>
                            <w:p w14:paraId="65D005FC" w14:textId="77777777" w:rsidR="00492D1F" w:rsidRPr="00796ADB" w:rsidRDefault="00492D1F" w:rsidP="00CF0E3D">
                              <w:pPr>
                                <w:jc w:val="center"/>
                                <w:rPr>
                                  <w:color w:val="000000" w:themeColor="text1"/>
                                  <w:sz w:val="20"/>
                                </w:rPr>
                              </w:pPr>
                            </w:p>
                            <w:p w14:paraId="78827AE5" w14:textId="77777777" w:rsidR="00492D1F" w:rsidRPr="00796ADB" w:rsidRDefault="00492D1F" w:rsidP="00CF0E3D">
                              <w:pPr>
                                <w:jc w:val="center"/>
                                <w:rPr>
                                  <w:color w:val="000000" w:themeColor="text1"/>
                                  <w:sz w:val="20"/>
                                </w:rPr>
                              </w:pPr>
                              <w:r w:rsidRPr="00796ADB">
                                <w:rPr>
                                  <w:color w:val="000000" w:themeColor="text1"/>
                                  <w:sz w:val="20"/>
                                </w:rPr>
                                <w:t>For any voluntary product data, the data holder may, but is not required to, disclose the data to the requester.</w:t>
                              </w:r>
                            </w:p>
                            <w:p w14:paraId="40B1A80A" w14:textId="77777777" w:rsidR="00492D1F" w:rsidRPr="00796ADB" w:rsidRDefault="00492D1F" w:rsidP="00CF0E3D">
                              <w:pPr>
                                <w:jc w:val="center"/>
                                <w:rPr>
                                  <w:color w:val="000000" w:themeColor="text1"/>
                                  <w:sz w:val="20"/>
                                </w:rPr>
                              </w:pPr>
                            </w:p>
                            <w:p w14:paraId="7A88636B" w14:textId="77777777" w:rsidR="00492D1F" w:rsidRPr="00796ADB" w:rsidRDefault="00492D1F" w:rsidP="00CF0E3D">
                              <w:pPr>
                                <w:jc w:val="center"/>
                                <w:rPr>
                                  <w:color w:val="000000" w:themeColor="text1"/>
                                  <w:sz w:val="20"/>
                                </w:rPr>
                              </w:pPr>
                              <w:r w:rsidRPr="00796ADB">
                                <w:rPr>
                                  <w:color w:val="000000" w:themeColor="text1"/>
                                  <w:sz w:val="20"/>
                                </w:rPr>
                                <w:t>In either case, the data is disclosed through the data holder’s product data request service.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2389514" y="819329"/>
                            <a:ext cx="484632" cy="207214"/>
                          </a:xfrm>
                          <a:prstGeom prst="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2EDD1F4" id="Canvas 2" o:spid="_x0000_s1026" editas="canvas" style="width:415.65pt;height:220.1pt;mso-position-horizontal-relative:char;mso-position-vertical-relative:line" coordsize="52787,2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C5gAMAAGMOAAAOAAAAZHJzL2Uyb0RvYy54bWzsV0tv2zAMvg/YfxB0X2M7dl6oUwQpOgwo&#10;2qLt0LMiy4kBWfIkJU7260dJdl4tOrTbellycCiL+kiR1Cf6/GJdcrRiShdSpDg8CzBigsqsEPMU&#10;f3+8+jLASBsiMsKlYCneMI0vxp8/ndfViEVyIXnGFAIQoUd1leKFMdWo09F0wUqiz2TFBEzmUpXE&#10;wFDNO5kiNaCXvBMFQa9TS5VVSlKmNby99JN47PDznFFzm+eaGcRTDL4Z91TuObPPzvicjOaKVIuC&#10;Nm6Qd3hRkkKA0S3UJTEELVXxDKosqJJa5uaMyrIj87ygzO0BdhMGR7uZErEi2m2GQnRaB0H6i7iz&#10;OcQAIEc1JIM5GVKhq21S9J8Ze1iQirk96BG9Wd0pVGQp7mIkSAkFcQ8pImLOGeraZNSV03qo7lQz&#10;0iDayK5zVdp/iBlaQ6mF8aAb9jHagBz3uuHA55KtDaIw3w3CYS9OMKKg0Au6g3hoFTo7oEpp85XJ&#10;ElkhxQoccSkkq2ttvGqrYu1qyYvsquDcDWx9silXaEWgsmbzsAE/0OIC1eBJ2E8c8MGcVvPZdn3g&#10;fs8hwFsuwGkbFR8HJ5kNZ9YLLu5ZDuGE7UbewqFbhFImTOinFiRj3tvEWmuNtStcaBygRc5hn1vs&#10;BqDV9CAttg9Uo2+XMnfqtouD1xzzi7crnGUpzHZxWQipXgLgsKvGstdvg+RDY6Nk1rM1qFhxJrMN&#10;1J2S/vjril4VkPNros0dUXDegRmAw8wtPHIuIWeykTBaSPXzpfdWHw4GzGJUA3+kWP9YEsUw4t8E&#10;HJlhGMeWcNwgTvoRDNT+zGx/RizLqYRCCoEtK+pEq294K+ZKlk9AdRNrFaaIoGA7xdSodjA1nteA&#10;LCmbTJwakExFzLV4sJTh82hr+nH9RFTVFL6BI3Mj22NKRkf173VtaoScLI3MC3c4dnFtQg+U4aP9&#10;z7kjfs4dsa0G6xIwzBu5I+gnvcBxA9TuAXn0PHmEvTBJAmfhxB4p/n/Yw11Ujmd2xf57EjmRgiXb&#10;DycFuOl9Q3Epa4EmSskaJW9ihag7GCYhkAs0DINw2I2OSCEeQJsReU6Ign4Eqv4KajuTtltoeDUD&#10;R5wf7gI7YlXbeHhOtS0F4Njb3HYLzX35SrNh1u3dt9dQnDqF93cKp/bgo9oDaGTdh4xrNpuvLvup&#10;tD92zLH7Nhz/AgAA//8DAFBLAwQUAAYACAAAACEAZLajXd4AAAAFAQAADwAAAGRycy9kb3ducmV2&#10;LnhtbEyPwWrCQBCG7wXfYRmhF9FdjYhNsxERCj20Uq1Qj2t2mgSzsyG7avr2nfbSXgaG/+ebb7JV&#10;7xpxxS7UnjRMJwoEUuFtTaWGw/vTeAkiREPWNJ5QwxcGWOWDu8yk1t9oh9d9LAVDKKRGQxVjm0oZ&#10;igqdCRPfInH26TtnIq9dKW1nbgx3jZwptZDO1MQXKtPipsLivL84pjyM1qPtBz2/bvuXYrE7quT4&#10;prS+H/brRxAR+/hXhh99VoecnU7+QjaIRgM/En8nZ8tkmoA4aZjP1Qxknsn/9vk3AAAA//8DAFBL&#10;AQItABQABgAIAAAAIQC2gziS/gAAAOEBAAATAAAAAAAAAAAAAAAAAAAAAABbQ29udGVudF9UeXBl&#10;c10ueG1sUEsBAi0AFAAGAAgAAAAhADj9If/WAAAAlAEAAAsAAAAAAAAAAAAAAAAALwEAAF9yZWxz&#10;Ly5yZWxzUEsBAi0AFAAGAAgAAAAhAO0YALmAAwAAYw4AAA4AAAAAAAAAAAAAAAAALgIAAGRycy9l&#10;Mm9Eb2MueG1sUEsBAi0AFAAGAAgAAAAhAGS2o13eAAAABQEAAA8AAAAAAAAAAAAAAAAA2gUAAGRy&#10;cy9kb3ducmV2LnhtbFBLBQYAAAAABAAEAPMAAADl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87;height:27952;visibility:visible;mso-wrap-style:square">
                  <v:fill o:detectmouseclick="t"/>
                  <v:path o:connecttype="none"/>
                </v:shape>
                <v:rect id="Rectangle 3" o:spid="_x0000_s1028" style="position:absolute;left:11483;top:1463;width:30196;height:6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1nwAAAANoAAAAPAAAAZHJzL2Rvd25yZXYueG1sRI/NasMw&#10;EITvhb6D2EJvjdwU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Q4L9Z8AAAADaAAAADwAAAAAA&#10;AAAAAAAAAAAHAgAAZHJzL2Rvd25yZXYueG1sUEsFBgAAAAADAAMAtwAAAPQCAAAAAA==&#10;" fillcolor="white [3212]" strokeweight=".25pt">
                  <v:textbox>
                    <w:txbxContent>
                      <w:p w14:paraId="6468B26D" w14:textId="77777777" w:rsidR="00492D1F" w:rsidRPr="00362B69" w:rsidRDefault="00492D1F" w:rsidP="00CF0E3D">
                        <w:pPr>
                          <w:jc w:val="center"/>
                          <w:rPr>
                            <w:sz w:val="20"/>
                          </w:rPr>
                        </w:pPr>
                        <w:r w:rsidRPr="00362B69">
                          <w:rPr>
                            <w:color w:val="000000"/>
                            <w:sz w:val="20"/>
                          </w:rPr>
                          <w:t xml:space="preserve">Person makes </w:t>
                        </w:r>
                        <w:r>
                          <w:rPr>
                            <w:color w:val="000000"/>
                            <w:sz w:val="20"/>
                          </w:rPr>
                          <w:t>a request</w:t>
                        </w:r>
                        <w:r w:rsidRPr="00362B69">
                          <w:rPr>
                            <w:color w:val="000000"/>
                            <w:sz w:val="20"/>
                          </w:rPr>
                          <w:t xml:space="preserve"> </w:t>
                        </w:r>
                        <w:r>
                          <w:rPr>
                            <w:color w:val="000000"/>
                            <w:sz w:val="20"/>
                          </w:rPr>
                          <w:t>for product data using a data holder’s product data request service.</w:t>
                        </w:r>
                      </w:p>
                    </w:txbxContent>
                  </v:textbox>
                </v:rect>
                <v:rect id="Rectangle 4" o:spid="_x0000_s1029" style="position:absolute;left:11483;top:10756;width:30196;height:16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2UTwAAAANoAAAAPAAAAZHJzL2Rvd25yZXYueG1sRI/NasMw&#10;EITvhb6D2EJvjdxQ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zGtlE8AAAADaAAAADwAAAAAA&#10;AAAAAAAAAAAHAgAAZHJzL2Rvd25yZXYueG1sUEsFBgAAAAADAAMAtwAAAPQCAAAAAA==&#10;" fillcolor="white [3212]" strokeweight=".25pt">
                  <v:textbox>
                    <w:txbxContent>
                      <w:p w14:paraId="3EA1F20F" w14:textId="77777777" w:rsidR="00492D1F" w:rsidRPr="00796ADB" w:rsidRDefault="00492D1F" w:rsidP="00CF0E3D">
                        <w:pPr>
                          <w:jc w:val="center"/>
                          <w:rPr>
                            <w:color w:val="000000" w:themeColor="text1"/>
                            <w:sz w:val="20"/>
                          </w:rPr>
                        </w:pPr>
                        <w:r w:rsidRPr="00796ADB">
                          <w:rPr>
                            <w:color w:val="000000" w:themeColor="text1"/>
                            <w:sz w:val="20"/>
                          </w:rPr>
                          <w:t>For any required product data, the data holder must (unless covered by an exception) disclose the data to the requester.</w:t>
                        </w:r>
                      </w:p>
                      <w:p w14:paraId="65D005FC" w14:textId="77777777" w:rsidR="00492D1F" w:rsidRPr="00796ADB" w:rsidRDefault="00492D1F" w:rsidP="00CF0E3D">
                        <w:pPr>
                          <w:jc w:val="center"/>
                          <w:rPr>
                            <w:color w:val="000000" w:themeColor="text1"/>
                            <w:sz w:val="20"/>
                          </w:rPr>
                        </w:pPr>
                      </w:p>
                      <w:p w14:paraId="78827AE5" w14:textId="77777777" w:rsidR="00492D1F" w:rsidRPr="00796ADB" w:rsidRDefault="00492D1F" w:rsidP="00CF0E3D">
                        <w:pPr>
                          <w:jc w:val="center"/>
                          <w:rPr>
                            <w:color w:val="000000" w:themeColor="text1"/>
                            <w:sz w:val="20"/>
                          </w:rPr>
                        </w:pPr>
                        <w:r w:rsidRPr="00796ADB">
                          <w:rPr>
                            <w:color w:val="000000" w:themeColor="text1"/>
                            <w:sz w:val="20"/>
                          </w:rPr>
                          <w:t>For any voluntary product data, the data holder may, but is not required to, disclose the data to the requester.</w:t>
                        </w:r>
                      </w:p>
                      <w:p w14:paraId="40B1A80A" w14:textId="77777777" w:rsidR="00492D1F" w:rsidRPr="00796ADB" w:rsidRDefault="00492D1F" w:rsidP="00CF0E3D">
                        <w:pPr>
                          <w:jc w:val="center"/>
                          <w:rPr>
                            <w:color w:val="000000" w:themeColor="text1"/>
                            <w:sz w:val="20"/>
                          </w:rPr>
                        </w:pPr>
                      </w:p>
                      <w:p w14:paraId="7A88636B" w14:textId="77777777" w:rsidR="00492D1F" w:rsidRPr="00796ADB" w:rsidRDefault="00492D1F" w:rsidP="00CF0E3D">
                        <w:pPr>
                          <w:jc w:val="center"/>
                          <w:rPr>
                            <w:color w:val="000000" w:themeColor="text1"/>
                            <w:sz w:val="20"/>
                          </w:rPr>
                        </w:pPr>
                        <w:r w:rsidRPr="00796ADB">
                          <w:rPr>
                            <w:color w:val="000000" w:themeColor="text1"/>
                            <w:sz w:val="20"/>
                          </w:rPr>
                          <w:t>In either case, the data is disclosed through the data holder’s product data request service.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30" type="#_x0000_t67" style="position:absolute;left:23895;top:8193;width:4846;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xBwgAAANoAAAAPAAAAZHJzL2Rvd25yZXYueG1sRI9Pi8Iw&#10;FMTvwn6H8Ba8aeqCf6hGkYUV8SBql8Xjo3m2dZuX2kRbv70RBI/DzPyGmS1aU4ob1a6wrGDQj0AQ&#10;p1YXnCn4TX56ExDOI2ssLZOCOzlYzD86M4y1bXhPt4PPRICwi1FB7n0VS+nSnAy6vq2Ig3eytUEf&#10;ZJ1JXWMT4KaUX1E0kgYLDgs5VvSdU/p/uBoFfLkWKxzwcbyN/mi5a5Kt3pyV6n62yykIT61/h1/t&#10;tVYwhOeVcAPk/AEAAP//AwBQSwECLQAUAAYACAAAACEA2+H2y+4AAACFAQAAEwAAAAAAAAAAAAAA&#10;AAAAAAAAW0NvbnRlbnRfVHlwZXNdLnhtbFBLAQItABQABgAIAAAAIQBa9CxbvwAAABUBAAALAAAA&#10;AAAAAAAAAAAAAB8BAABfcmVscy8ucmVsc1BLAQItABQABgAIAAAAIQDBT5xBwgAAANoAAAAPAAAA&#10;AAAAAAAAAAAAAAcCAABkcnMvZG93bnJldi54bWxQSwUGAAAAAAMAAwC3AAAA9gIAAAAA&#10;" adj="10800" filled="f" strokecolor="black [3213]" strokeweight="0"/>
                <w10:anchorlock/>
              </v:group>
            </w:pict>
          </mc:Fallback>
        </mc:AlternateContent>
      </w:r>
    </w:p>
    <w:p w14:paraId="4E81D085" w14:textId="77777777" w:rsidR="00CF0E3D" w:rsidRPr="00641354" w:rsidRDefault="00CF0E3D" w:rsidP="00CF0E3D">
      <w:pPr>
        <w:pStyle w:val="ActHead5"/>
      </w:pPr>
      <w:bookmarkStart w:id="69" w:name="_Toc11771581"/>
      <w:bookmarkStart w:id="70" w:name="_Toc74916100"/>
      <w:r>
        <w:t>2.3</w:t>
      </w:r>
      <w:r w:rsidRPr="00641354">
        <w:t xml:space="preserve">  </w:t>
      </w:r>
      <w:r>
        <w:t>Product data request</w:t>
      </w:r>
      <w:r w:rsidRPr="00641354">
        <w:t>s</w:t>
      </w:r>
      <w:bookmarkEnd w:id="69"/>
      <w:bookmarkEnd w:id="70"/>
    </w:p>
    <w:p w14:paraId="652970A8" w14:textId="4CD3E91F" w:rsidR="00CF0E3D" w:rsidRPr="007E7FBF" w:rsidRDefault="0088284A" w:rsidP="0088284A">
      <w:pPr>
        <w:pStyle w:val="subsection"/>
      </w:pPr>
      <w:r w:rsidRPr="007E7FBF">
        <w:tab/>
      </w:r>
      <w:r w:rsidR="00CF0E3D" w:rsidRPr="007E7FBF">
        <w:t>(1)</w:t>
      </w:r>
      <w:r w:rsidR="00CF0E3D" w:rsidRPr="007E7FBF">
        <w:tab/>
        <w:t>A person may:</w:t>
      </w:r>
    </w:p>
    <w:p w14:paraId="01D3BDEB" w14:textId="77777777" w:rsidR="00CF0E3D" w:rsidRPr="007E7FBF" w:rsidRDefault="00CF0E3D" w:rsidP="00CF0E3D">
      <w:pPr>
        <w:pStyle w:val="paragraph"/>
      </w:pPr>
      <w:r w:rsidRPr="007E7FBF">
        <w:tab/>
        <w:t>(a)</w:t>
      </w:r>
      <w:r w:rsidRPr="007E7FBF">
        <w:tab/>
        <w:t>using the data holder’s product data request service; and</w:t>
      </w:r>
    </w:p>
    <w:p w14:paraId="33298E87" w14:textId="77777777" w:rsidR="00CF0E3D" w:rsidRPr="007E7FBF" w:rsidRDefault="00CF0E3D" w:rsidP="00CF0E3D">
      <w:pPr>
        <w:pStyle w:val="paragraph"/>
      </w:pPr>
      <w:r w:rsidRPr="007E7FBF">
        <w:tab/>
        <w:t>(b)</w:t>
      </w:r>
      <w:r w:rsidRPr="007E7FBF">
        <w:tab/>
        <w:t>in accordance with the data standards;</w:t>
      </w:r>
    </w:p>
    <w:p w14:paraId="5C4DA6B0" w14:textId="6E4E0D9D" w:rsidR="00CF0E3D" w:rsidRPr="007E7FBF" w:rsidRDefault="00CF0E3D" w:rsidP="00CF0E3D">
      <w:pPr>
        <w:pStyle w:val="subsection"/>
        <w:spacing w:before="40"/>
      </w:pPr>
      <w:r w:rsidRPr="007E7FBF">
        <w:tab/>
      </w:r>
      <w:r w:rsidRPr="007E7FBF">
        <w:tab/>
        <w:t>request a data holder to disclose some or all of the CDR data that relates to one or more products that are offered by or on behalf of the data holder.</w:t>
      </w:r>
    </w:p>
    <w:p w14:paraId="2A009005" w14:textId="436D2291" w:rsidR="00CF0E3D" w:rsidRPr="007E7FBF" w:rsidRDefault="00CF0E3D" w:rsidP="00CF0E3D">
      <w:pPr>
        <w:pStyle w:val="notetext"/>
      </w:pPr>
      <w:r w:rsidRPr="007E7FBF">
        <w:t>Note:</w:t>
      </w:r>
      <w:r w:rsidRPr="007E7FBF">
        <w:tab/>
        <w:t>These rules will progressively permit product data requests to be made to a broader range of data holders within the banking sector, and in relation to a broader range of CDR data, according to the timetable set out in Part 6 of Schedule</w:t>
      </w:r>
      <w:r w:rsidR="005233B0" w:rsidRPr="007E7FBF">
        <w:t> </w:t>
      </w:r>
      <w:r w:rsidRPr="007E7FBF">
        <w:t>3.</w:t>
      </w:r>
    </w:p>
    <w:p w14:paraId="72A1E0BC" w14:textId="77777777" w:rsidR="00CF0E3D" w:rsidRDefault="00CF0E3D" w:rsidP="00CF0E3D">
      <w:pPr>
        <w:pStyle w:val="subsection"/>
      </w:pPr>
      <w:r w:rsidRPr="00641354">
        <w:tab/>
      </w:r>
      <w:r>
        <w:t>(2)</w:t>
      </w:r>
      <w:r w:rsidRPr="00641354">
        <w:tab/>
        <w:t>Such a request is a</w:t>
      </w:r>
      <w:r>
        <w:t xml:space="preserve"> </w:t>
      </w:r>
      <w:r w:rsidRPr="00641354">
        <w:rPr>
          <w:b/>
          <w:i/>
        </w:rPr>
        <w:t>product data request</w:t>
      </w:r>
      <w:r w:rsidRPr="00641354">
        <w:t>.</w:t>
      </w:r>
    </w:p>
    <w:p w14:paraId="47379318" w14:textId="77777777" w:rsidR="00CF0E3D" w:rsidRDefault="00CF0E3D" w:rsidP="00CF0E3D">
      <w:pPr>
        <w:pStyle w:val="notetext"/>
        <w:rPr>
          <w:color w:val="000000" w:themeColor="text1"/>
        </w:rPr>
      </w:pPr>
      <w:r w:rsidRPr="000C3240">
        <w:rPr>
          <w:color w:val="000000" w:themeColor="text1"/>
        </w:rPr>
        <w:t>Note:</w:t>
      </w:r>
      <w:r w:rsidRPr="000C3240">
        <w:rPr>
          <w:color w:val="000000" w:themeColor="text1"/>
        </w:rPr>
        <w:tab/>
        <w:t>A fee cannot be charged for making a product data request.</w:t>
      </w:r>
    </w:p>
    <w:p w14:paraId="3A12D0DE" w14:textId="77777777" w:rsidR="00CF0E3D" w:rsidRDefault="00CF0E3D" w:rsidP="00CF0E3D">
      <w:pPr>
        <w:pStyle w:val="ActHead5"/>
      </w:pPr>
      <w:bookmarkStart w:id="71" w:name="_Toc11771582"/>
      <w:bookmarkStart w:id="72" w:name="_Toc74916101"/>
      <w:r>
        <w:t xml:space="preserve">2.4  Disclosing </w:t>
      </w:r>
      <w:r w:rsidRPr="00641354">
        <w:rPr>
          <w:color w:val="000000"/>
        </w:rPr>
        <w:t xml:space="preserve">product </w:t>
      </w:r>
      <w:r>
        <w:t>data in response to p</w:t>
      </w:r>
      <w:r w:rsidRPr="00641354">
        <w:rPr>
          <w:color w:val="000000"/>
        </w:rPr>
        <w:t>roduct data</w:t>
      </w:r>
      <w:r>
        <w:t xml:space="preserve"> request</w:t>
      </w:r>
      <w:bookmarkEnd w:id="71"/>
      <w:bookmarkEnd w:id="72"/>
    </w:p>
    <w:p w14:paraId="7EE3A39F" w14:textId="77777777" w:rsidR="00CF0E3D" w:rsidRPr="00796ADB" w:rsidRDefault="00CF0E3D" w:rsidP="00CF0E3D">
      <w:pPr>
        <w:pStyle w:val="subsection"/>
      </w:pPr>
      <w:r w:rsidRPr="00796ADB">
        <w:tab/>
      </w:r>
      <w:r>
        <w:t>(1)</w:t>
      </w:r>
      <w:r w:rsidRPr="00796ADB">
        <w:tab/>
        <w:t>This rule applies if a data holder has received a product data request.</w:t>
      </w:r>
    </w:p>
    <w:p w14:paraId="7E08F5D5" w14:textId="77777777" w:rsidR="00CF0E3D" w:rsidRPr="00E1300D" w:rsidRDefault="00CF0E3D" w:rsidP="00CF0E3D">
      <w:pPr>
        <w:pStyle w:val="subsection"/>
      </w:pPr>
      <w:r w:rsidRPr="00E1300D">
        <w:tab/>
      </w:r>
      <w:r>
        <w:t>(2)</w:t>
      </w:r>
      <w:r w:rsidRPr="00E1300D">
        <w:tab/>
        <w:t>The data holder may disclose any requested voluntary product data to the requester.</w:t>
      </w:r>
    </w:p>
    <w:p w14:paraId="22A9F084" w14:textId="78A318EF" w:rsidR="00AC3BA1" w:rsidRPr="007E7FBF" w:rsidRDefault="00B13F8B" w:rsidP="00AC3BA1">
      <w:pPr>
        <w:pStyle w:val="notetext"/>
      </w:pPr>
      <w:r w:rsidRPr="007E7FBF">
        <w:t>Note:</w:t>
      </w:r>
      <w:r w:rsidR="00AC3BA1" w:rsidRPr="007E7FBF">
        <w:t xml:space="preserve">  </w:t>
      </w:r>
      <w:r w:rsidR="00AC3BA1" w:rsidRPr="007E7FBF">
        <w:tab/>
        <w:t>See rule 1.7 for the definition of “voluntary product data”, and see clause 3.1 of Schedule 3 for the definition of “voluntary product data” in relation to the banking sector.</w:t>
      </w:r>
    </w:p>
    <w:p w14:paraId="7FC1BE95" w14:textId="77777777" w:rsidR="00CF0E3D" w:rsidRPr="00D3706C" w:rsidRDefault="00CF0E3D" w:rsidP="00CF0E3D">
      <w:pPr>
        <w:pStyle w:val="subsection"/>
      </w:pPr>
      <w:r w:rsidRPr="00D3706C">
        <w:tab/>
        <w:t>(2A)</w:t>
      </w:r>
      <w:r w:rsidRPr="00D3706C">
        <w:tab/>
        <w:t>If the data holder discloses any requested voluntary product data to the requester, it must do so:</w:t>
      </w:r>
    </w:p>
    <w:p w14:paraId="46B95B01" w14:textId="77777777" w:rsidR="00CF0E3D" w:rsidRPr="00D3706C" w:rsidRDefault="00CF0E3D" w:rsidP="00CF0E3D">
      <w:pPr>
        <w:pStyle w:val="paragraph"/>
      </w:pPr>
      <w:r w:rsidRPr="00D3706C">
        <w:tab/>
        <w:t>(a)</w:t>
      </w:r>
      <w:r w:rsidRPr="00D3706C">
        <w:tab/>
        <w:t>through its product data request service; and</w:t>
      </w:r>
    </w:p>
    <w:p w14:paraId="4FE51F63" w14:textId="77777777" w:rsidR="00CF0E3D" w:rsidRPr="00D3706C" w:rsidRDefault="00CF0E3D" w:rsidP="00CF0E3D">
      <w:pPr>
        <w:pStyle w:val="paragraph"/>
      </w:pPr>
      <w:r w:rsidRPr="00D3706C">
        <w:tab/>
        <w:t>(b)</w:t>
      </w:r>
      <w:r w:rsidRPr="00D3706C">
        <w:tab/>
        <w:t>in accordance with the data standards.</w:t>
      </w:r>
    </w:p>
    <w:p w14:paraId="23F1F3A1" w14:textId="77777777" w:rsidR="00CF0E3D" w:rsidRPr="00D3706C" w:rsidRDefault="00CF0E3D" w:rsidP="00CF0E3D">
      <w:pPr>
        <w:pStyle w:val="notetext"/>
      </w:pPr>
      <w:r w:rsidRPr="00D3706C">
        <w:t>Note:</w:t>
      </w:r>
      <w:r w:rsidRPr="00D3706C">
        <w:tab/>
        <w:t>This subrule is a civil penalty provision (see rule 9.8).</w:t>
      </w:r>
    </w:p>
    <w:p w14:paraId="141C3917" w14:textId="77777777" w:rsidR="00CF0E3D" w:rsidRPr="0029723C" w:rsidRDefault="00CF0E3D" w:rsidP="00CF0E3D">
      <w:pPr>
        <w:pStyle w:val="subsection"/>
      </w:pPr>
      <w:r w:rsidRPr="00E1300D">
        <w:tab/>
      </w:r>
      <w:r>
        <w:t>(3)</w:t>
      </w:r>
      <w:r w:rsidRPr="00E1300D">
        <w:tab/>
        <w:t>The data holder must, subject to</w:t>
      </w:r>
      <w:r>
        <w:t xml:space="preserve"> subrule (4) and</w:t>
      </w:r>
      <w:r w:rsidRPr="00E1300D">
        <w:t xml:space="preserve"> rule </w:t>
      </w:r>
      <w:r>
        <w:t>2.5</w:t>
      </w:r>
      <w:r w:rsidRPr="0029723C">
        <w:t>:</w:t>
      </w:r>
    </w:p>
    <w:p w14:paraId="19C6D36A" w14:textId="77777777" w:rsidR="00CF0E3D" w:rsidRPr="0029723C" w:rsidRDefault="00CF0E3D" w:rsidP="00CF0E3D">
      <w:pPr>
        <w:pStyle w:val="paragraph"/>
      </w:pPr>
      <w:r w:rsidRPr="0029723C">
        <w:tab/>
      </w:r>
      <w:r>
        <w:t>(a)</w:t>
      </w:r>
      <w:r w:rsidRPr="0029723C">
        <w:tab/>
        <w:t>disclose the requested required product data to the requester:</w:t>
      </w:r>
    </w:p>
    <w:p w14:paraId="7BA95BDA" w14:textId="77777777" w:rsidR="00CF0E3D" w:rsidRPr="0029723C" w:rsidRDefault="00CF0E3D" w:rsidP="00CF0E3D">
      <w:pPr>
        <w:pStyle w:val="paragraphsub"/>
      </w:pPr>
      <w:r w:rsidRPr="0029723C">
        <w:tab/>
      </w:r>
      <w:r>
        <w:t>(i)</w:t>
      </w:r>
      <w:r w:rsidRPr="0029723C">
        <w:tab/>
        <w:t>through its product data request service; and</w:t>
      </w:r>
    </w:p>
    <w:p w14:paraId="2B35ABF0" w14:textId="77777777" w:rsidR="00CF0E3D" w:rsidRPr="0029723C" w:rsidRDefault="00CF0E3D" w:rsidP="00CF0E3D">
      <w:pPr>
        <w:pStyle w:val="paragraphsub"/>
      </w:pPr>
      <w:r w:rsidRPr="0029723C">
        <w:tab/>
      </w:r>
      <w:r>
        <w:t>(ii)</w:t>
      </w:r>
      <w:r w:rsidRPr="0029723C">
        <w:tab/>
        <w:t>in accordance with the data standards; and</w:t>
      </w:r>
    </w:p>
    <w:p w14:paraId="4511E5D6" w14:textId="77777777" w:rsidR="00CF0E3D" w:rsidRPr="0029723C" w:rsidRDefault="00CF0E3D" w:rsidP="00CF0E3D">
      <w:pPr>
        <w:pStyle w:val="paragraph"/>
      </w:pPr>
      <w:r w:rsidRPr="0029723C">
        <w:tab/>
      </w:r>
      <w:r>
        <w:t>(b)</w:t>
      </w:r>
      <w:r w:rsidRPr="0029723C">
        <w:tab/>
        <w:t>include in the disclosed data any requ</w:t>
      </w:r>
      <w:r>
        <w:t>i</w:t>
      </w:r>
      <w:r w:rsidRPr="0029723C">
        <w:t>red product data that is:</w:t>
      </w:r>
    </w:p>
    <w:p w14:paraId="5AAB1FCD" w14:textId="77777777" w:rsidR="00CF0E3D" w:rsidRPr="0029723C" w:rsidRDefault="00CF0E3D" w:rsidP="00CF0E3D">
      <w:pPr>
        <w:pStyle w:val="paragraphsub"/>
      </w:pPr>
      <w:r w:rsidRPr="0029723C">
        <w:tab/>
      </w:r>
      <w:r>
        <w:t>(i)</w:t>
      </w:r>
      <w:r w:rsidRPr="0029723C">
        <w:tab/>
        <w:t>the subject of the product data request; and</w:t>
      </w:r>
    </w:p>
    <w:p w14:paraId="71EFEC3D" w14:textId="77777777" w:rsidR="00CF0E3D" w:rsidRPr="0029723C" w:rsidRDefault="00CF0E3D" w:rsidP="00CF0E3D">
      <w:pPr>
        <w:pStyle w:val="paragraphsub"/>
      </w:pPr>
      <w:r w:rsidRPr="0029723C">
        <w:tab/>
      </w:r>
      <w:r>
        <w:t>(ii)</w:t>
      </w:r>
      <w:r w:rsidRPr="0029723C">
        <w:tab/>
        <w:t>contained:</w:t>
      </w:r>
    </w:p>
    <w:p w14:paraId="1C46C82A" w14:textId="77777777" w:rsidR="00CF0E3D" w:rsidRPr="0029723C" w:rsidRDefault="00CF0E3D" w:rsidP="00CF0E3D">
      <w:pPr>
        <w:pStyle w:val="paragraphsub-sub"/>
      </w:pPr>
      <w:r w:rsidRPr="0029723C">
        <w:tab/>
      </w:r>
      <w:r>
        <w:t>(A)</w:t>
      </w:r>
      <w:r w:rsidRPr="0029723C">
        <w:tab/>
        <w:t>on the data holder’s website; or</w:t>
      </w:r>
    </w:p>
    <w:p w14:paraId="6279AB3A" w14:textId="77777777" w:rsidR="00CF0E3D" w:rsidRPr="00773999" w:rsidRDefault="00CF0E3D" w:rsidP="00CF0E3D">
      <w:pPr>
        <w:pStyle w:val="paragraphsub-sub"/>
        <w:rPr>
          <w:color w:val="000000" w:themeColor="text1"/>
        </w:rPr>
      </w:pPr>
      <w:r w:rsidRPr="0029723C">
        <w:tab/>
      </w:r>
      <w:r>
        <w:t>(B)</w:t>
      </w:r>
      <w:r w:rsidRPr="0029723C">
        <w:tab/>
        <w:t xml:space="preserve">in a </w:t>
      </w:r>
      <w:r>
        <w:t>disclosure document</w:t>
      </w:r>
      <w:r w:rsidRPr="0029723C">
        <w:t xml:space="preserve"> that relates to the product</w:t>
      </w:r>
      <w:r>
        <w:t>.</w:t>
      </w:r>
    </w:p>
    <w:p w14:paraId="78594359" w14:textId="41FD75A7" w:rsidR="00C4707E" w:rsidRPr="007E7FBF" w:rsidRDefault="00B13F8B" w:rsidP="00CF0E3D">
      <w:pPr>
        <w:pStyle w:val="notetext"/>
      </w:pPr>
      <w:r w:rsidRPr="007E7FBF">
        <w:t>Note 1</w:t>
      </w:r>
      <w:r w:rsidR="00AC3BA1" w:rsidRPr="007E7FBF">
        <w:tab/>
      </w:r>
      <w:r w:rsidR="00CF0E3D" w:rsidRPr="007E7FBF">
        <w:t>See rule 1.7 for the definition of “required</w:t>
      </w:r>
      <w:r w:rsidR="00CF0E3D" w:rsidRPr="007E7FBF">
        <w:rPr>
          <w:b/>
          <w:i/>
        </w:rPr>
        <w:t xml:space="preserve"> </w:t>
      </w:r>
      <w:r w:rsidR="00CF0E3D" w:rsidRPr="007E7FBF">
        <w:t>product data”, and see clause 3.1 of Schedule 3 for the definition of “required</w:t>
      </w:r>
      <w:r w:rsidR="00CF0E3D" w:rsidRPr="007E7FBF">
        <w:rPr>
          <w:b/>
          <w:i/>
        </w:rPr>
        <w:t xml:space="preserve"> </w:t>
      </w:r>
      <w:r w:rsidR="00CF0E3D" w:rsidRPr="007E7FBF">
        <w:t>product data” in relation to the banking sector.</w:t>
      </w:r>
    </w:p>
    <w:p w14:paraId="623613EC" w14:textId="77777777" w:rsidR="00CF0E3D" w:rsidRDefault="00CF0E3D" w:rsidP="00CF0E3D">
      <w:pPr>
        <w:pStyle w:val="notetext"/>
      </w:pPr>
      <w:r w:rsidRPr="00E1300D">
        <w:t>Note 2:</w:t>
      </w:r>
      <w:r w:rsidRPr="00E1300D">
        <w:tab/>
        <w:t>This subrule is a civil penalty provision (see rule </w:t>
      </w:r>
      <w:r>
        <w:t>9.8</w:t>
      </w:r>
      <w:r w:rsidRPr="00E1300D">
        <w:t>).</w:t>
      </w:r>
    </w:p>
    <w:p w14:paraId="4FA72983" w14:textId="77777777" w:rsidR="00CF0E3D" w:rsidRDefault="00CF0E3D" w:rsidP="00CF0E3D">
      <w:pPr>
        <w:pStyle w:val="notetext"/>
        <w:rPr>
          <w:color w:val="000000" w:themeColor="text1"/>
        </w:rPr>
      </w:pPr>
      <w:r w:rsidRPr="0029723C">
        <w:t>Note 3:</w:t>
      </w:r>
      <w:r w:rsidRPr="0029723C">
        <w:tab/>
        <w:t xml:space="preserve">A fee cannot be charged for the disclosure of required product </w:t>
      </w:r>
      <w:r w:rsidRPr="00464C22">
        <w:rPr>
          <w:color w:val="000000" w:themeColor="text1"/>
        </w:rPr>
        <w:t>data: see section 56BU of the Act.</w:t>
      </w:r>
    </w:p>
    <w:p w14:paraId="5AF06C31" w14:textId="77777777" w:rsidR="00CF0E3D" w:rsidRPr="00D3706C" w:rsidRDefault="00CF0E3D" w:rsidP="00CF0E3D">
      <w:pPr>
        <w:pStyle w:val="subsection"/>
      </w:pPr>
      <w:r w:rsidRPr="00D3706C">
        <w:tab/>
        <w:t>(4)</w:t>
      </w:r>
      <w:r w:rsidRPr="00D3706C">
        <w:tab/>
        <w:t>If:</w:t>
      </w:r>
    </w:p>
    <w:p w14:paraId="54737954" w14:textId="77777777" w:rsidR="00CF0E3D" w:rsidRPr="00D3706C" w:rsidRDefault="00CF0E3D" w:rsidP="00CF0E3D">
      <w:pPr>
        <w:pStyle w:val="paragraph"/>
      </w:pPr>
      <w:r w:rsidRPr="00D3706C">
        <w:tab/>
        <w:t>(a)</w:t>
      </w:r>
      <w:r w:rsidRPr="00D3706C">
        <w:tab/>
        <w:t xml:space="preserve">a data holder (the </w:t>
      </w:r>
      <w:r w:rsidRPr="00D3706C">
        <w:rPr>
          <w:b/>
          <w:i/>
        </w:rPr>
        <w:t>first data holder</w:t>
      </w:r>
      <w:r w:rsidRPr="00D3706C">
        <w:t xml:space="preserve">) receives a request for CDR data that relates to a product (the </w:t>
      </w:r>
      <w:r w:rsidRPr="00D3706C">
        <w:rPr>
          <w:b/>
          <w:i/>
        </w:rPr>
        <w:t>relevant product</w:t>
      </w:r>
      <w:r w:rsidRPr="00D3706C">
        <w:t>); and</w:t>
      </w:r>
    </w:p>
    <w:p w14:paraId="6D026A13" w14:textId="77777777" w:rsidR="00CF0E3D" w:rsidRPr="00D3706C" w:rsidRDefault="00CF0E3D" w:rsidP="00CF0E3D">
      <w:pPr>
        <w:pStyle w:val="paragraph"/>
      </w:pPr>
      <w:r w:rsidRPr="00D3706C">
        <w:tab/>
        <w:t>(b)</w:t>
      </w:r>
      <w:r w:rsidRPr="00D3706C">
        <w:tab/>
        <w:t xml:space="preserve">the first data holder offers the relevant product on behalf of another data holder (the </w:t>
      </w:r>
      <w:r w:rsidRPr="00D3706C">
        <w:rPr>
          <w:b/>
          <w:i/>
        </w:rPr>
        <w:t>second data holder</w:t>
      </w:r>
      <w:r w:rsidRPr="00D3706C">
        <w:t>), such that the second data holder is the data holder that enters into contracts with consumers to provide the relevant product;</w:t>
      </w:r>
    </w:p>
    <w:p w14:paraId="10AC3D96" w14:textId="77777777" w:rsidR="00CF0E3D" w:rsidRDefault="00CF0E3D" w:rsidP="00CF0E3D">
      <w:pPr>
        <w:pStyle w:val="subsection"/>
        <w:spacing w:before="40"/>
      </w:pPr>
      <w:r w:rsidRPr="00D3706C">
        <w:tab/>
      </w:r>
      <w:r w:rsidRPr="00D3706C">
        <w:tab/>
        <w:t>the first data holder is not required to disclose the requested required product data under subrule (3).</w:t>
      </w:r>
    </w:p>
    <w:p w14:paraId="3AC35F83" w14:textId="77777777" w:rsidR="00CF0E3D" w:rsidRPr="00D3706C" w:rsidRDefault="00CF0E3D" w:rsidP="00CF0E3D">
      <w:pPr>
        <w:pStyle w:val="subsection"/>
      </w:pPr>
      <w:r w:rsidRPr="00D3706C">
        <w:tab/>
        <w:t>(5)</w:t>
      </w:r>
      <w:r w:rsidRPr="00D3706C">
        <w:tab/>
        <w:t>If:</w:t>
      </w:r>
    </w:p>
    <w:p w14:paraId="7433EB05" w14:textId="77777777" w:rsidR="00CF0E3D" w:rsidRPr="00D3706C" w:rsidRDefault="00CF0E3D" w:rsidP="00CF0E3D">
      <w:pPr>
        <w:pStyle w:val="paragraph"/>
      </w:pPr>
      <w:r w:rsidRPr="00D3706C">
        <w:tab/>
        <w:t>(a)</w:t>
      </w:r>
      <w:r w:rsidRPr="00D3706C">
        <w:tab/>
        <w:t>the second data holder receives such a request; and</w:t>
      </w:r>
    </w:p>
    <w:p w14:paraId="06CC1522" w14:textId="77777777" w:rsidR="00CF0E3D" w:rsidRPr="00D3706C" w:rsidRDefault="00CF0E3D" w:rsidP="00CF0E3D">
      <w:pPr>
        <w:pStyle w:val="paragraph"/>
      </w:pPr>
      <w:r w:rsidRPr="00D3706C">
        <w:tab/>
        <w:t>(b)</w:t>
      </w:r>
      <w:r w:rsidRPr="00D3706C">
        <w:tab/>
        <w:t>the data holders have agreed in writing that, in such a case, the first data holder will disclose the requested required product data;</w:t>
      </w:r>
    </w:p>
    <w:p w14:paraId="5E5365A2" w14:textId="77777777" w:rsidR="00CF0E3D" w:rsidRPr="00D3706C" w:rsidRDefault="00CF0E3D" w:rsidP="00CF0E3D">
      <w:pPr>
        <w:pStyle w:val="subsection"/>
        <w:spacing w:before="40"/>
      </w:pPr>
      <w:r w:rsidRPr="00D3706C">
        <w:tab/>
      </w:r>
      <w:r w:rsidRPr="00D3706C">
        <w:tab/>
        <w:t>then:</w:t>
      </w:r>
    </w:p>
    <w:p w14:paraId="406EDF1A" w14:textId="77777777" w:rsidR="00CF0E3D" w:rsidRPr="00D3706C" w:rsidRDefault="00CF0E3D" w:rsidP="00CF0E3D">
      <w:pPr>
        <w:pStyle w:val="paragraph"/>
      </w:pPr>
      <w:r w:rsidRPr="00D3706C">
        <w:tab/>
        <w:t>(c)</w:t>
      </w:r>
      <w:r w:rsidRPr="00D3706C">
        <w:tab/>
        <w:t>subrule (3) applies as if:</w:t>
      </w:r>
    </w:p>
    <w:p w14:paraId="7871CDD2" w14:textId="77777777" w:rsidR="00CF0E3D" w:rsidRPr="00D3706C" w:rsidRDefault="00CF0E3D" w:rsidP="00CF0E3D">
      <w:pPr>
        <w:pStyle w:val="paragraphsub"/>
      </w:pPr>
      <w:r w:rsidRPr="00D3706C">
        <w:tab/>
        <w:t>(i)</w:t>
      </w:r>
      <w:r w:rsidRPr="00D3706C">
        <w:tab/>
        <w:t>it permitted the CDR data to be disclosed through the first data holder’s product data request service; and</w:t>
      </w:r>
    </w:p>
    <w:p w14:paraId="40F1E847" w14:textId="77777777" w:rsidR="00CF0E3D" w:rsidRPr="00D3706C" w:rsidRDefault="00CF0E3D" w:rsidP="00CF0E3D">
      <w:pPr>
        <w:pStyle w:val="paragraphsub"/>
      </w:pPr>
      <w:r w:rsidRPr="00D3706C">
        <w:tab/>
        <w:t>(ii)</w:t>
      </w:r>
      <w:r w:rsidRPr="00D3706C">
        <w:tab/>
        <w:t>in the case that the first data holder disclosed CDR data in response to the request―the reference to the data holder’s website in sub</w:t>
      </w:r>
      <w:r w:rsidRPr="00D3706C">
        <w:noBreakHyphen/>
        <w:t>subparagraph (3)(b)(ii)(A) was to the first data holder’s website; and</w:t>
      </w:r>
    </w:p>
    <w:p w14:paraId="1B68B05B" w14:textId="77777777" w:rsidR="00CF0E3D" w:rsidRPr="00D3706C" w:rsidRDefault="00CF0E3D" w:rsidP="00CF0E3D">
      <w:pPr>
        <w:pStyle w:val="paragraph"/>
        <w:tabs>
          <w:tab w:val="left" w:pos="2160"/>
          <w:tab w:val="left" w:pos="2880"/>
          <w:tab w:val="center" w:pos="4156"/>
        </w:tabs>
      </w:pPr>
      <w:r w:rsidRPr="00D3706C">
        <w:tab/>
        <w:t>(d)</w:t>
      </w:r>
      <w:r w:rsidRPr="00D3706C">
        <w:tab/>
        <w:t>rule 2.6 applies as if it applied in relation to each of the first data holder and the second data holder.</w:t>
      </w:r>
    </w:p>
    <w:p w14:paraId="1A424E41" w14:textId="77777777" w:rsidR="00CF0E3D" w:rsidRPr="00D3706C" w:rsidRDefault="00CF0E3D" w:rsidP="00CF0E3D">
      <w:pPr>
        <w:pStyle w:val="subsection"/>
      </w:pPr>
      <w:r w:rsidRPr="00D3706C">
        <w:tab/>
        <w:t>(6)</w:t>
      </w:r>
      <w:r w:rsidRPr="00D3706C">
        <w:tab/>
        <w:t xml:space="preserve">In this rule, </w:t>
      </w:r>
      <w:r w:rsidRPr="00D3706C">
        <w:rPr>
          <w:b/>
          <w:i/>
        </w:rPr>
        <w:t xml:space="preserve">disclosure document </w:t>
      </w:r>
      <w:r w:rsidRPr="00D3706C">
        <w:t>includes:</w:t>
      </w:r>
    </w:p>
    <w:p w14:paraId="7CC0DA1E" w14:textId="77777777" w:rsidR="00CF0E3D" w:rsidRPr="00D3706C" w:rsidRDefault="00CF0E3D" w:rsidP="00CF0E3D">
      <w:pPr>
        <w:pStyle w:val="paragraph"/>
      </w:pPr>
      <w:r w:rsidRPr="00D3706C">
        <w:tab/>
        <w:t>(a)</w:t>
      </w:r>
      <w:r w:rsidRPr="00D3706C">
        <w:tab/>
        <w:t xml:space="preserve">a Product Disclosure Statement within the meaning of the </w:t>
      </w:r>
      <w:r w:rsidRPr="00D3706C">
        <w:rPr>
          <w:i/>
        </w:rPr>
        <w:t>Corporations Act 2001</w:t>
      </w:r>
      <w:r w:rsidRPr="00D3706C">
        <w:t>; or</w:t>
      </w:r>
    </w:p>
    <w:p w14:paraId="0D7CAE2F" w14:textId="77777777" w:rsidR="00CF0E3D" w:rsidRPr="00D3706C" w:rsidRDefault="00CF0E3D" w:rsidP="00CF0E3D">
      <w:pPr>
        <w:pStyle w:val="paragraph"/>
      </w:pPr>
      <w:r w:rsidRPr="00D3706C">
        <w:tab/>
        <w:t>(b)</w:t>
      </w:r>
      <w:r w:rsidRPr="00D3706C">
        <w:tab/>
        <w:t xml:space="preserve">a key facts sheet within the meaning of the </w:t>
      </w:r>
      <w:r w:rsidRPr="00D3706C">
        <w:rPr>
          <w:i/>
        </w:rPr>
        <w:t>National Consumer Credit Protection Act 2009</w:t>
      </w:r>
      <w:r w:rsidRPr="00D3706C">
        <w:t xml:space="preserve">; or </w:t>
      </w:r>
    </w:p>
    <w:p w14:paraId="0332E92A" w14:textId="77777777" w:rsidR="00CF0E3D" w:rsidRPr="00D067D3" w:rsidRDefault="00CF0E3D" w:rsidP="00CF0E3D">
      <w:pPr>
        <w:pStyle w:val="paragraph"/>
      </w:pPr>
      <w:r w:rsidRPr="00D3706C">
        <w:tab/>
        <w:t xml:space="preserve">(c) </w:t>
      </w:r>
      <w:r w:rsidRPr="00D3706C">
        <w:tab/>
        <w:t>a similar document that is required by law to be disclosed to a customer prior to entering into a contract with that customer.</w:t>
      </w:r>
    </w:p>
    <w:p w14:paraId="5327AA8D" w14:textId="77777777" w:rsidR="00CF0E3D" w:rsidRPr="00BB5F96" w:rsidRDefault="00CF0E3D" w:rsidP="00CF0E3D">
      <w:pPr>
        <w:pStyle w:val="ActHead5"/>
      </w:pPr>
      <w:bookmarkStart w:id="73" w:name="_Toc11771583"/>
      <w:bookmarkStart w:id="74" w:name="_Toc74916102"/>
      <w:r>
        <w:t xml:space="preserve">2.5  Refusal to disclose </w:t>
      </w:r>
      <w:r w:rsidRPr="00BB5F96">
        <w:t>required product data in response to product data request</w:t>
      </w:r>
      <w:bookmarkEnd w:id="73"/>
      <w:bookmarkEnd w:id="74"/>
    </w:p>
    <w:p w14:paraId="33C6C934" w14:textId="77777777" w:rsidR="00CF0E3D" w:rsidRPr="00E1300D" w:rsidRDefault="00CF0E3D" w:rsidP="00CF0E3D">
      <w:pPr>
        <w:pStyle w:val="subsection"/>
      </w:pPr>
      <w:r w:rsidRPr="00E1300D">
        <w:tab/>
      </w:r>
      <w:r>
        <w:t>(1)</w:t>
      </w:r>
      <w:r w:rsidRPr="00E1300D">
        <w:tab/>
        <w:t xml:space="preserve">Despite </w:t>
      </w:r>
      <w:r w:rsidRPr="0029723C">
        <w:t>subrule </w:t>
      </w:r>
      <w:r>
        <w:t>2.4(3)</w:t>
      </w:r>
      <w:r w:rsidRPr="00E1300D">
        <w:t>, the data holder may refuse to disclose required product data in response to the request in circumstances (if any) set out in the data standards.</w:t>
      </w:r>
    </w:p>
    <w:p w14:paraId="6C21A289" w14:textId="77777777" w:rsidR="00CF0E3D" w:rsidRPr="00E1300D" w:rsidRDefault="00CF0E3D" w:rsidP="00CF0E3D">
      <w:pPr>
        <w:pStyle w:val="subsection"/>
      </w:pPr>
      <w:r w:rsidRPr="00E1300D">
        <w:tab/>
      </w:r>
      <w:r>
        <w:t>(2)</w:t>
      </w:r>
      <w:r w:rsidRPr="00E1300D">
        <w:tab/>
        <w:t>The data holder must inform the requester of such a refusal in accordance with the data standards.</w:t>
      </w:r>
    </w:p>
    <w:p w14:paraId="61654905" w14:textId="77777777" w:rsidR="00CF0E3D" w:rsidRPr="005F3D40" w:rsidRDefault="00CF0E3D" w:rsidP="00CF0E3D">
      <w:pPr>
        <w:pStyle w:val="subsection"/>
      </w:pPr>
      <w:r>
        <w:tab/>
      </w:r>
      <w:r>
        <w:tab/>
      </w:r>
      <w:r w:rsidRPr="005F3D40">
        <w:t>Civil penalty:</w:t>
      </w:r>
    </w:p>
    <w:p w14:paraId="05AF2A59" w14:textId="77777777" w:rsidR="00CF0E3D" w:rsidRPr="005F3D40" w:rsidRDefault="00CF0E3D" w:rsidP="00CF0E3D">
      <w:pPr>
        <w:pStyle w:val="paragraph"/>
        <w:rPr>
          <w:color w:val="000000" w:themeColor="text1"/>
        </w:rPr>
      </w:pPr>
      <w:r w:rsidRPr="005F3D40">
        <w:rPr>
          <w:color w:val="000000" w:themeColor="text1"/>
        </w:rPr>
        <w:tab/>
        <w:t>(a)</w:t>
      </w:r>
      <w:r w:rsidRPr="005F3D40">
        <w:rPr>
          <w:color w:val="000000" w:themeColor="text1"/>
        </w:rPr>
        <w:tab/>
        <w:t>for an individual―$50,000; and</w:t>
      </w:r>
    </w:p>
    <w:p w14:paraId="2BF85088" w14:textId="77777777" w:rsidR="00CF0E3D" w:rsidRDefault="00CF0E3D" w:rsidP="00CF0E3D">
      <w:pPr>
        <w:pStyle w:val="paragraph"/>
      </w:pPr>
      <w:r w:rsidRPr="005F3D40">
        <w:rPr>
          <w:color w:val="000000" w:themeColor="text1"/>
        </w:rPr>
        <w:tab/>
        <w:t>(b)</w:t>
      </w:r>
      <w:r w:rsidRPr="005F3D40">
        <w:rPr>
          <w:color w:val="000000" w:themeColor="text1"/>
        </w:rPr>
        <w:tab/>
        <w:t>for a body corporate―$250,000.</w:t>
      </w:r>
    </w:p>
    <w:p w14:paraId="70362DB9" w14:textId="77777777" w:rsidR="00CF0E3D" w:rsidRPr="00FE1DF8" w:rsidRDefault="00CF0E3D" w:rsidP="00CF0E3D">
      <w:pPr>
        <w:pStyle w:val="ActHead5"/>
      </w:pPr>
      <w:bookmarkStart w:id="75" w:name="_Toc11771584"/>
      <w:bookmarkStart w:id="76" w:name="_Toc74916103"/>
      <w:r>
        <w:t>2.6</w:t>
      </w:r>
      <w:r w:rsidRPr="00FE1DF8">
        <w:t xml:space="preserve">  Use of data disclosed pursuant to product data request</w:t>
      </w:r>
      <w:bookmarkEnd w:id="75"/>
      <w:bookmarkEnd w:id="76"/>
    </w:p>
    <w:p w14:paraId="6984F483" w14:textId="77777777" w:rsidR="00CF0E3D" w:rsidRPr="00FE1DF8" w:rsidRDefault="00CF0E3D" w:rsidP="00CF0E3D">
      <w:pPr>
        <w:pStyle w:val="subsection"/>
      </w:pPr>
      <w:r w:rsidRPr="00FE1DF8">
        <w:tab/>
      </w:r>
      <w:r w:rsidRPr="00FE1DF8">
        <w:tab/>
        <w:t>A data holder that discloses CDR data in response to a product data request must not impose conditions, restrictions or limitations of any kind on the use of the disclosed data.</w:t>
      </w:r>
    </w:p>
    <w:p w14:paraId="2CA52B6B" w14:textId="77777777" w:rsidR="00CF0E3D" w:rsidRPr="00FE1DF8" w:rsidRDefault="00CF0E3D" w:rsidP="00CF0E3D">
      <w:pPr>
        <w:pStyle w:val="notetext"/>
      </w:pPr>
      <w:r w:rsidRPr="00FE1DF8">
        <w:t>Note:</w:t>
      </w:r>
      <w:r w:rsidRPr="00FE1DF8">
        <w:tab/>
        <w:t>This rule is a civil penalty provision (see rule </w:t>
      </w:r>
      <w:r>
        <w:t>9.8</w:t>
      </w:r>
      <w:r w:rsidRPr="00FE1DF8">
        <w:t>).</w:t>
      </w:r>
    </w:p>
    <w:p w14:paraId="577F7BF1" w14:textId="77777777" w:rsidR="00CF0E3D" w:rsidRPr="00BB5F96" w:rsidRDefault="00CF0E3D" w:rsidP="00CF0E3D">
      <w:pPr>
        <w:pStyle w:val="ActHead2"/>
        <w:pageBreakBefore/>
      </w:pPr>
      <w:bookmarkStart w:id="77" w:name="_Toc11771585"/>
      <w:bookmarkStart w:id="78" w:name="_Toc74916104"/>
      <w:r>
        <w:t xml:space="preserve">Part 3—Consumer data </w:t>
      </w:r>
      <w:r w:rsidRPr="00641354">
        <w:rPr>
          <w:color w:val="000000"/>
        </w:rPr>
        <w:t>requests</w:t>
      </w:r>
      <w:r>
        <w:rPr>
          <w:color w:val="000000"/>
        </w:rPr>
        <w:t xml:space="preserve"> made by </w:t>
      </w:r>
      <w:r w:rsidRPr="00BB5F96">
        <w:t>eligible CDR consumers</w:t>
      </w:r>
      <w:bookmarkEnd w:id="77"/>
      <w:bookmarkEnd w:id="78"/>
    </w:p>
    <w:p w14:paraId="50C29EBF" w14:textId="77777777" w:rsidR="00CF0E3D" w:rsidRPr="00BB5F96" w:rsidRDefault="00CF0E3D" w:rsidP="00CF0E3D">
      <w:pPr>
        <w:pStyle w:val="ActHead3"/>
      </w:pPr>
      <w:bookmarkStart w:id="79" w:name="_Toc11771586"/>
      <w:bookmarkStart w:id="80" w:name="_Toc74916105"/>
      <w:r>
        <w:t>Division 3.1</w:t>
      </w:r>
      <w:r w:rsidRPr="00BB5F96">
        <w:t>—Preliminary</w:t>
      </w:r>
      <w:bookmarkEnd w:id="79"/>
      <w:bookmarkEnd w:id="80"/>
    </w:p>
    <w:p w14:paraId="5550E931" w14:textId="77777777" w:rsidR="00CF0E3D" w:rsidRPr="00BB5F96" w:rsidRDefault="00CF0E3D" w:rsidP="00CF0E3D">
      <w:pPr>
        <w:pStyle w:val="ActHead5"/>
      </w:pPr>
      <w:bookmarkStart w:id="81" w:name="_Toc11771587"/>
      <w:bookmarkStart w:id="82" w:name="_Toc74916106"/>
      <w:r>
        <w:t>3.1</w:t>
      </w:r>
      <w:r w:rsidRPr="00BB5F96">
        <w:t xml:space="preserve">  Simplified outline of this Part</w:t>
      </w:r>
      <w:bookmarkEnd w:id="81"/>
      <w:bookmarkEnd w:id="82"/>
    </w:p>
    <w:p w14:paraId="1C0ED48B" w14:textId="77777777" w:rsidR="00CF0E3D" w:rsidRPr="00BB5F96" w:rsidRDefault="00CF0E3D" w:rsidP="00CF0E3D">
      <w:pPr>
        <w:pStyle w:val="SOText"/>
      </w:pPr>
      <w:r w:rsidRPr="00BB5F96">
        <w:t>This Part deals with consumer data requests that are made directly by eligible CDR consumers to data holders. Such requests are made using the data holder’s direct request service.</w:t>
      </w:r>
    </w:p>
    <w:p w14:paraId="7FFCA6DE" w14:textId="77777777" w:rsidR="00CF0E3D" w:rsidRPr="00BB5F96" w:rsidRDefault="00CF0E3D" w:rsidP="00CF0E3D">
      <w:pPr>
        <w:pStyle w:val="SOText"/>
      </w:pPr>
      <w:r w:rsidRPr="00BB5F96">
        <w:t xml:space="preserve">A request may be for the CDR consumer’s required consumer data, their voluntary consumer data, or both. </w:t>
      </w:r>
      <w:r>
        <w:t>Schedule 3</w:t>
      </w:r>
      <w:r w:rsidRPr="00BB5F96">
        <w:t xml:space="preserve"> to these rules:</w:t>
      </w:r>
    </w:p>
    <w:p w14:paraId="1A9A92B4" w14:textId="77777777" w:rsidR="00CF0E3D" w:rsidRPr="00BB5F96" w:rsidRDefault="00CF0E3D" w:rsidP="00CF0E3D">
      <w:pPr>
        <w:pStyle w:val="SOPara"/>
      </w:pPr>
      <w:r w:rsidRPr="00BB5F96">
        <w:tab/>
        <w:t>•</w:t>
      </w:r>
      <w:r w:rsidRPr="00BB5F96">
        <w:tab/>
        <w:t xml:space="preserve">provides for what is required </w:t>
      </w:r>
      <w:r w:rsidRPr="005F3D40">
        <w:rPr>
          <w:color w:val="000000" w:themeColor="text1"/>
        </w:rPr>
        <w:t>consumer</w:t>
      </w:r>
      <w:r w:rsidRPr="00BB5F96">
        <w:t xml:space="preserve"> data and voluntary consumer data for the banking sector; and</w:t>
      </w:r>
    </w:p>
    <w:p w14:paraId="36FAC734" w14:textId="77777777" w:rsidR="00CF0E3D" w:rsidRPr="00BB5F96" w:rsidRDefault="00CF0E3D" w:rsidP="00CF0E3D">
      <w:pPr>
        <w:pStyle w:val="SOPara"/>
      </w:pPr>
      <w:r w:rsidRPr="00BB5F96">
        <w:tab/>
        <w:t>•</w:t>
      </w:r>
      <w:r w:rsidRPr="00BB5F96">
        <w:tab/>
        <w:t>sets out the circumstances in which CDR consumers are eligible to request their banking sector CDR data.</w:t>
      </w:r>
    </w:p>
    <w:p w14:paraId="4DB8D820" w14:textId="77777777" w:rsidR="00CF0E3D" w:rsidRPr="00BB5F96" w:rsidRDefault="00CF0E3D" w:rsidP="00CF0E3D">
      <w:pPr>
        <w:pStyle w:val="SOText"/>
      </w:pPr>
      <w:r w:rsidRPr="00BB5F96">
        <w:t xml:space="preserve">When </w:t>
      </w:r>
      <w:r w:rsidRPr="00E1300D">
        <w:rPr>
          <w:color w:val="000000" w:themeColor="text1"/>
        </w:rPr>
        <w:t xml:space="preserve">validly </w:t>
      </w:r>
      <w:r w:rsidRPr="00BB5F96">
        <w:t>requested in accordance with this Part, a data holder:</w:t>
      </w:r>
    </w:p>
    <w:p w14:paraId="47483358" w14:textId="77777777" w:rsidR="00CF0E3D" w:rsidRPr="00BB5F96" w:rsidRDefault="00CF0E3D" w:rsidP="00CF0E3D">
      <w:pPr>
        <w:pStyle w:val="SOPara"/>
      </w:pPr>
      <w:r w:rsidRPr="00BB5F96">
        <w:tab/>
        <w:t>•</w:t>
      </w:r>
      <w:r w:rsidRPr="00BB5F96">
        <w:tab/>
        <w:t>must, subject to an exception outlined in this Part, disclose required consumer data; and</w:t>
      </w:r>
    </w:p>
    <w:p w14:paraId="37E68A24" w14:textId="77777777" w:rsidR="00CF0E3D" w:rsidRPr="00BB5F96" w:rsidRDefault="00CF0E3D" w:rsidP="00CF0E3D">
      <w:pPr>
        <w:pStyle w:val="SOPara"/>
      </w:pPr>
      <w:r w:rsidRPr="00BB5F96">
        <w:tab/>
        <w:t>•</w:t>
      </w:r>
      <w:r w:rsidRPr="00BB5F96">
        <w:tab/>
        <w:t>may, but is not required to, disclose voluntary consumer data.</w:t>
      </w:r>
    </w:p>
    <w:p w14:paraId="224E5262" w14:textId="77777777" w:rsidR="00CF0E3D" w:rsidRPr="00F27186" w:rsidRDefault="00CF0E3D" w:rsidP="00CF0E3D">
      <w:pPr>
        <w:pStyle w:val="SOText"/>
      </w:pPr>
      <w:r w:rsidRPr="00F27186">
        <w:t>In either case, the data is disclosed to the CDR consumer who made the request, in human</w:t>
      </w:r>
      <w:r w:rsidRPr="00F27186">
        <w:noBreakHyphen/>
        <w:t>readable form</w:t>
      </w:r>
      <w:r>
        <w:t xml:space="preserve"> and in accordance with the data standards</w:t>
      </w:r>
      <w:r w:rsidRPr="00F27186">
        <w:t>.</w:t>
      </w:r>
    </w:p>
    <w:p w14:paraId="31BB4222" w14:textId="77777777" w:rsidR="00CF0E3D" w:rsidRPr="00F27186" w:rsidRDefault="00CF0E3D" w:rsidP="00CF0E3D">
      <w:pPr>
        <w:pStyle w:val="SOText"/>
      </w:pPr>
      <w:r w:rsidRPr="00F27186">
        <w:t xml:space="preserve">For the banking sector, special rules apply to joint accounts with 2 individual joint account holders. These are set out in </w:t>
      </w:r>
      <w:r>
        <w:t>Part 4</w:t>
      </w:r>
      <w:r w:rsidRPr="00F27186">
        <w:t xml:space="preserve"> of </w:t>
      </w:r>
      <w:r>
        <w:t>Schedule 3</w:t>
      </w:r>
      <w:r w:rsidRPr="00F27186">
        <w:t>.</w:t>
      </w:r>
    </w:p>
    <w:p w14:paraId="77E4E598" w14:textId="77777777" w:rsidR="00CF0E3D" w:rsidRPr="00F27186" w:rsidRDefault="00CF0E3D" w:rsidP="00CF0E3D">
      <w:pPr>
        <w:pStyle w:val="SOText"/>
      </w:pPr>
      <w:r w:rsidRPr="00F27186">
        <w:t>A fee cannot be charged for the disclosure of required consumer data, but could be charged for the disclosure of voluntary consumer data.</w:t>
      </w:r>
    </w:p>
    <w:p w14:paraId="2348F0DB" w14:textId="77777777" w:rsidR="00CF0E3D" w:rsidRPr="00BB5F96" w:rsidRDefault="00CF0E3D" w:rsidP="00CF0E3D">
      <w:pPr>
        <w:pStyle w:val="ActHead5"/>
      </w:pPr>
      <w:bookmarkStart w:id="83" w:name="_Toc11771588"/>
      <w:bookmarkStart w:id="84" w:name="_Toc74916107"/>
      <w:r>
        <w:t xml:space="preserve">3.2  How </w:t>
      </w:r>
      <w:r w:rsidRPr="00BB5F96">
        <w:t>an eligible CDR consumer makes a consumer data request—flowchart</w:t>
      </w:r>
      <w:bookmarkEnd w:id="83"/>
      <w:bookmarkEnd w:id="84"/>
    </w:p>
    <w:p w14:paraId="404CC61E" w14:textId="77777777" w:rsidR="00CF0E3D" w:rsidRDefault="00CF0E3D" w:rsidP="00CF0E3D">
      <w:pPr>
        <w:pStyle w:val="subsection"/>
        <w:keepNext/>
      </w:pPr>
      <w:r w:rsidRPr="00BB5F96">
        <w:tab/>
      </w:r>
      <w:r w:rsidRPr="00BB5F96">
        <w:tab/>
        <w:t xml:space="preserve">The following is a flowchart for how an eligible </w:t>
      </w:r>
      <w:r>
        <w:t>CDR consumer makes a consumer data request under this Part:</w:t>
      </w:r>
    </w:p>
    <w:p w14:paraId="5C594E74" w14:textId="77777777" w:rsidR="00CF0E3D" w:rsidRDefault="00CF0E3D" w:rsidP="00CF0E3D">
      <w:pPr>
        <w:pStyle w:val="subsection"/>
      </w:pPr>
      <w:r>
        <w:rPr>
          <w:noProof/>
        </w:rPr>
        <mc:AlternateContent>
          <mc:Choice Requires="wpc">
            <w:drawing>
              <wp:inline distT="0" distB="0" distL="0" distR="0" wp14:anchorId="2CB8CAB1" wp14:editId="4844A777">
                <wp:extent cx="5278755" cy="3084508"/>
                <wp:effectExtent l="0" t="0" r="0"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 name="Rectangle 24"/>
                        <wps:cNvSpPr/>
                        <wps:spPr>
                          <a:xfrm>
                            <a:off x="1121435" y="208864"/>
                            <a:ext cx="3071868" cy="603250"/>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D2B0A" w14:textId="77777777" w:rsidR="00492D1F" w:rsidRPr="00BB5F96" w:rsidRDefault="00492D1F" w:rsidP="00CF0E3D">
                              <w:pPr>
                                <w:pStyle w:val="NormalWeb"/>
                                <w:spacing w:line="260" w:lineRule="exact"/>
                                <w:jc w:val="center"/>
                                <w:rPr>
                                  <w:color w:val="000000" w:themeColor="text1"/>
                                </w:rPr>
                              </w:pPr>
                              <w:r>
                                <w:rPr>
                                  <w:color w:val="000000"/>
                                  <w:sz w:val="20"/>
                                </w:rPr>
                                <w:t xml:space="preserve">A </w:t>
                              </w:r>
                              <w:r w:rsidRPr="00BB5F96">
                                <w:rPr>
                                  <w:color w:val="000000" w:themeColor="text1"/>
                                  <w:sz w:val="20"/>
                                </w:rPr>
                                <w:t>CDR consumer who is eligible to do so makes a consumer data request to a data holder via the data holder’s direct request service</w:t>
                              </w:r>
                              <w:r>
                                <w:rPr>
                                  <w:color w:val="000000" w:themeColor="text1"/>
                                  <w:sz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121434" y="1136845"/>
                            <a:ext cx="3071868" cy="1762613"/>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97113" w14:textId="77777777" w:rsidR="00492D1F" w:rsidRPr="00BB5F96" w:rsidRDefault="00492D1F" w:rsidP="00CF0E3D">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required consumer data, the data holder must (unless covered by an exception) disclose the requested data to the CDR consumer.</w:t>
                              </w:r>
                            </w:p>
                            <w:p w14:paraId="48D3D997" w14:textId="77777777" w:rsidR="00492D1F" w:rsidRPr="00BB5F96" w:rsidRDefault="00492D1F" w:rsidP="00CF0E3D">
                              <w:pPr>
                                <w:pStyle w:val="NormalWeb"/>
                                <w:spacing w:line="260" w:lineRule="exact"/>
                                <w:jc w:val="center"/>
                                <w:rPr>
                                  <w:rFonts w:eastAsia="Calibri"/>
                                  <w:color w:val="000000" w:themeColor="text1"/>
                                  <w:sz w:val="20"/>
                                  <w:szCs w:val="20"/>
                                </w:rPr>
                              </w:pPr>
                            </w:p>
                            <w:p w14:paraId="024F6115" w14:textId="77777777" w:rsidR="00492D1F" w:rsidRPr="00BB5F96" w:rsidRDefault="00492D1F" w:rsidP="00CF0E3D">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voluntary consumer data, the data holder may (but is not required to) disclose the requested data to the CDR consumer.</w:t>
                              </w:r>
                            </w:p>
                            <w:p w14:paraId="3A4C1355" w14:textId="77777777" w:rsidR="00492D1F" w:rsidRPr="00BB5F96" w:rsidRDefault="00492D1F" w:rsidP="00CF0E3D">
                              <w:pPr>
                                <w:pStyle w:val="NormalWeb"/>
                                <w:spacing w:line="260" w:lineRule="exact"/>
                                <w:jc w:val="center"/>
                                <w:rPr>
                                  <w:rFonts w:eastAsia="Calibri"/>
                                  <w:color w:val="000000" w:themeColor="text1"/>
                                  <w:sz w:val="20"/>
                                  <w:szCs w:val="20"/>
                                </w:rPr>
                              </w:pPr>
                            </w:p>
                            <w:p w14:paraId="138E8045" w14:textId="77777777" w:rsidR="00492D1F" w:rsidRPr="009F2B01" w:rsidRDefault="00492D1F" w:rsidP="00CF0E3D">
                              <w:pPr>
                                <w:pStyle w:val="NormalWeb"/>
                                <w:spacing w:line="260" w:lineRule="exact"/>
                                <w:jc w:val="center"/>
                              </w:pPr>
                              <w:r w:rsidRPr="00BB5F96">
                                <w:rPr>
                                  <w:rFonts w:eastAsia="Calibri"/>
                                  <w:color w:val="000000" w:themeColor="text1"/>
                                  <w:sz w:val="20"/>
                                  <w:szCs w:val="20"/>
                                </w:rPr>
                                <w:t xml:space="preserve">In either case, the data is disclosed through the </w:t>
                              </w:r>
                              <w:r>
                                <w:rPr>
                                  <w:rFonts w:eastAsia="Calibri"/>
                                  <w:color w:val="000000"/>
                                  <w:sz w:val="20"/>
                                  <w:szCs w:val="20"/>
                                </w:rPr>
                                <w:t>data holder’s direct request service.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2410820" y="881401"/>
                            <a:ext cx="484505" cy="207010"/>
                          </a:xfrm>
                          <a:prstGeom prst="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CB8CAB1" id="Canvas 9" o:spid="_x0000_s1031" editas="canvas" style="width:415.65pt;height:242.85pt;mso-position-horizontal-relative:char;mso-position-vertical-relative:line" coordsize="52787,3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gAcgMAABAOAAAOAAAAZHJzL2Uyb0RvYy54bWzsV1Fr2zAQfh/sPwi9r7Edx/FMnRJSOgal&#10;K21HnxVZTgyy5ElK7O7X7yTZSdpuhXYbjJE8OJJ1993p7vTpfHrW1RxtmdKVFDkOTwKMmKCyqMQq&#10;x1/vLj6kGGlDREG4FCzHD0zjs9n7d6dtk7FIriUvmEIAInTWNjleG9Nko5Gma1YTfSIbJmCxlKom&#10;BqZqNSoUaQG95qMoCJJRK1XRKEmZ1vD23C/imcMvS0bNl7LUzCCeY/DNuKdyz6V9jmanJFsp0qwr&#10;2rtB3uBFTSoBRndQ58QQtFHVM6i6okpqWZoTKuuRLMuKMrcH2E0YPNnNgogt0W4zFKIzOAijP4i7&#10;XEEMADJrIRnMjSEVutklRf+esds1aZjbg87o1fZaoarIcRRjJEgNFXEDOSJixRmCd715kLttrlU/&#10;0zC0se1KVdt/iBrqoNjCKIzHE4weAC5I08Spk4x1BlFYHwfTME2g/igIJME4mrh0j/ZAjdLmE5M1&#10;soMcK/DEJZFsL7UB4yA6iFi7WvKquKg4dxNboWzBFdoSqK3lKrTOg8YjKS5QC56E04kDfrSm1Wq5&#10;0w/c7zkEAHIBuG2jMx8HNzIPnFkvuLhhJQQUtht5C4/dIpQyYUK/tCYF895OrLXB2KDhvHeAFrmE&#10;fe6we4BB0oMM2H7bvbxVZe7c7ZSDlxzzyjsNZ1kKs1OuKyHVzwA47Kq37OWHIPnQ2CiZbtn5YrOS&#10;9s1SFg9QgEp6HtANvagg9ZdEm2ui4OADRQCZwepaqu8YtUAMOdbfNkQxjPhnAWfhYxjHlkncJJ5M&#10;I5iow5Xl4YrY1AsJ9RECDTbUDa284cOwVLK+Bw6bW6uwRAQF2zmmRg2ThfGEBSxI2XzuxIA9GmIu&#10;xa3lAp8eW6p33T1RTV/PBk7ClRzOH8melLWXtREXcr4xsqxcze/j1EcUuMBH7++TAhzmZ6QwGZL3&#10;ClIAcoEzH4bjJI2d/i9YIZwmURKO+0Ia+GU480dasPz2/9KCy/u+3I+04G67f5AWkoEWzmUr0Fwp&#10;2aIoeRUvRHEYpJaqgRfSNIwDd3vsaSEGogiAfmyvEAVT6MVeJoUCPHGOuLvpCbPansLzqu0W4O6x&#10;F7VtBPqr8IU+wnTDtXbQKxybgLc3Accr/6CTfdXZhp7TfXW4C6D/RLLfNYdz1yLsP+RmPwAAAP//&#10;AwBQSwMEFAAGAAgAAAAhAAzmqH/eAAAABQEAAA8AAABkcnMvZG93bnJldi54bWxMj8FKw0AQhu+C&#10;77CM4KXY3RpbY8ymFEHoQYutgj1us2MSzM6G7LZN397Ri70MDP/PN9/k88G14oB9aDxpmIwVCKTS&#10;24YqDR/vzzcpiBANWdN6Qg0nDDAvLi9yk1l/pDUeNrESDKGQGQ11jF0mZShrdCaMfYfE2ZfvnYm8&#10;9pW0vTky3LXyVqmZdKYhvlCbDp9qLL83e8eUh9FitPqk5etqeCln661Ktm9K6+urYfEIIuIQ/8vw&#10;q8/qULDTzu/JBtFq4Efi3+QsTSYJiJ2Gu3R6D7LI5bl98QMAAP//AwBQSwECLQAUAAYACAAAACEA&#10;toM4kv4AAADhAQAAEwAAAAAAAAAAAAAAAAAAAAAAW0NvbnRlbnRfVHlwZXNdLnhtbFBLAQItABQA&#10;BgAIAAAAIQA4/SH/1gAAAJQBAAALAAAAAAAAAAAAAAAAAC8BAABfcmVscy8ucmVsc1BLAQItABQA&#10;BgAIAAAAIQCZH0gAcgMAABAOAAAOAAAAAAAAAAAAAAAAAC4CAABkcnMvZTJvRG9jLnhtbFBLAQIt&#10;ABQABgAIAAAAIQAM5qh/3gAAAAUBAAAPAAAAAAAAAAAAAAAAAMwFAABkcnMvZG93bnJldi54bWxQ&#10;SwUGAAAAAAQABADzAAAA1wYAAAAA&#10;">
                <v:shape id="_x0000_s1032" type="#_x0000_t75" style="position:absolute;width:52787;height:30841;visibility:visible;mso-wrap-style:square">
                  <v:fill o:detectmouseclick="t"/>
                  <v:path o:connecttype="none"/>
                </v:shape>
                <v:rect id="Rectangle 24" o:spid="_x0000_s1033" style="position:absolute;left:11214;top:2088;width:30719;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mzwQAAANsAAAAPAAAAZHJzL2Rvd25yZXYueG1sRI9Ba8JA&#10;FITvhf6H5RV6qxullBJdJQiCN9EEen1kX5PQ7Nslb03iv3cFocdhZr5hNrvZ9WqkQTrPBpaLDBRx&#10;7W3HjYGqPHx8g5KIbLH3TAZuJLDbvr5sMLd+4jONl9ioBGHJ0UAbY8i1lrolh7LwgTh5v35wGJMc&#10;Gm0HnBLc9XqVZV/aYcdpocVA+5bqv8vVGTiE29mXVykmCaeqOJWZ/IyVMe9vc7EGFWmO/+Fn+2gN&#10;rD7h8SX9AL29AwAA//8DAFBLAQItABQABgAIAAAAIQDb4fbL7gAAAIUBAAATAAAAAAAAAAAAAAAA&#10;AAAAAABbQ29udGVudF9UeXBlc10ueG1sUEsBAi0AFAAGAAgAAAAhAFr0LFu/AAAAFQEAAAsAAAAA&#10;AAAAAAAAAAAAHwEAAF9yZWxzLy5yZWxzUEsBAi0AFAAGAAgAAAAhAOGXGbPBAAAA2wAAAA8AAAAA&#10;AAAAAAAAAAAABwIAAGRycy9kb3ducmV2LnhtbFBLBQYAAAAAAwADALcAAAD1AgAAAAA=&#10;" fillcolor="white [3212]" strokeweight=".25pt">
                  <v:textbox>
                    <w:txbxContent>
                      <w:p w14:paraId="044D2B0A" w14:textId="77777777" w:rsidR="00492D1F" w:rsidRPr="00BB5F96" w:rsidRDefault="00492D1F" w:rsidP="00CF0E3D">
                        <w:pPr>
                          <w:pStyle w:val="NormalWeb"/>
                          <w:spacing w:line="260" w:lineRule="exact"/>
                          <w:jc w:val="center"/>
                          <w:rPr>
                            <w:color w:val="000000" w:themeColor="text1"/>
                          </w:rPr>
                        </w:pPr>
                        <w:r>
                          <w:rPr>
                            <w:color w:val="000000"/>
                            <w:sz w:val="20"/>
                          </w:rPr>
                          <w:t xml:space="preserve">A </w:t>
                        </w:r>
                        <w:r w:rsidRPr="00BB5F96">
                          <w:rPr>
                            <w:color w:val="000000" w:themeColor="text1"/>
                            <w:sz w:val="20"/>
                          </w:rPr>
                          <w:t>CDR consumer who is eligible to do so makes a consumer data request to a data holder via the data holder’s direct request service</w:t>
                        </w:r>
                        <w:r>
                          <w:rPr>
                            <w:color w:val="000000" w:themeColor="text1"/>
                            <w:sz w:val="20"/>
                          </w:rPr>
                          <w:t>.</w:t>
                        </w:r>
                      </w:p>
                    </w:txbxContent>
                  </v:textbox>
                </v:rect>
                <v:rect id="Rectangle 25" o:spid="_x0000_s1034" style="position:absolute;left:11214;top:11368;width:30719;height:17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7wowQAAANsAAAAPAAAAZHJzL2Rvd25yZXYueG1sRI9Ba8JA&#10;FITvhf6H5RV6qxuFlhJdJQiCN9EEen1kX5PQ7Nslb03iv3cFocdhZr5hNrvZ9WqkQTrPBpaLDBRx&#10;7W3HjYGqPHx8g5KIbLH3TAZuJLDbvr5sMLd+4jONl9ioBGHJ0UAbY8i1lrolh7LwgTh5v35wGJMc&#10;Gm0HnBLc9XqVZV/aYcdpocVA+5bqv8vVGTiE29mXVykmCaeqOJWZ/IyVMe9vc7EGFWmO/+Fn+2gN&#10;rD7h8SX9AL29AwAA//8DAFBLAQItABQABgAIAAAAIQDb4fbL7gAAAIUBAAATAAAAAAAAAAAAAAAA&#10;AAAAAABbQ29udGVudF9UeXBlc10ueG1sUEsBAi0AFAAGAAgAAAAhAFr0LFu/AAAAFQEAAAsAAAAA&#10;AAAAAAAAAAAAHwEAAF9yZWxzLy5yZWxzUEsBAi0AFAAGAAgAAAAhAI7bvCjBAAAA2wAAAA8AAAAA&#10;AAAAAAAAAAAABwIAAGRycy9kb3ducmV2LnhtbFBLBQYAAAAAAwADALcAAAD1AgAAAAA=&#10;" fillcolor="white [3212]" strokeweight=".25pt">
                  <v:textbox>
                    <w:txbxContent>
                      <w:p w14:paraId="78D97113" w14:textId="77777777" w:rsidR="00492D1F" w:rsidRPr="00BB5F96" w:rsidRDefault="00492D1F" w:rsidP="00CF0E3D">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required consumer data, the data holder must (unless covered by an exception) disclose the requested data to the CDR consumer.</w:t>
                        </w:r>
                      </w:p>
                      <w:p w14:paraId="48D3D997" w14:textId="77777777" w:rsidR="00492D1F" w:rsidRPr="00BB5F96" w:rsidRDefault="00492D1F" w:rsidP="00CF0E3D">
                        <w:pPr>
                          <w:pStyle w:val="NormalWeb"/>
                          <w:spacing w:line="260" w:lineRule="exact"/>
                          <w:jc w:val="center"/>
                          <w:rPr>
                            <w:rFonts w:eastAsia="Calibri"/>
                            <w:color w:val="000000" w:themeColor="text1"/>
                            <w:sz w:val="20"/>
                            <w:szCs w:val="20"/>
                          </w:rPr>
                        </w:pPr>
                      </w:p>
                      <w:p w14:paraId="024F6115" w14:textId="77777777" w:rsidR="00492D1F" w:rsidRPr="00BB5F96" w:rsidRDefault="00492D1F" w:rsidP="00CF0E3D">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voluntary consumer data, the data holder may (but is not required to) disclose the requested data to the CDR consumer.</w:t>
                        </w:r>
                      </w:p>
                      <w:p w14:paraId="3A4C1355" w14:textId="77777777" w:rsidR="00492D1F" w:rsidRPr="00BB5F96" w:rsidRDefault="00492D1F" w:rsidP="00CF0E3D">
                        <w:pPr>
                          <w:pStyle w:val="NormalWeb"/>
                          <w:spacing w:line="260" w:lineRule="exact"/>
                          <w:jc w:val="center"/>
                          <w:rPr>
                            <w:rFonts w:eastAsia="Calibri"/>
                            <w:color w:val="000000" w:themeColor="text1"/>
                            <w:sz w:val="20"/>
                            <w:szCs w:val="20"/>
                          </w:rPr>
                        </w:pPr>
                      </w:p>
                      <w:p w14:paraId="138E8045" w14:textId="77777777" w:rsidR="00492D1F" w:rsidRPr="009F2B01" w:rsidRDefault="00492D1F" w:rsidP="00CF0E3D">
                        <w:pPr>
                          <w:pStyle w:val="NormalWeb"/>
                          <w:spacing w:line="260" w:lineRule="exact"/>
                          <w:jc w:val="center"/>
                        </w:pPr>
                        <w:r w:rsidRPr="00BB5F96">
                          <w:rPr>
                            <w:rFonts w:eastAsia="Calibri"/>
                            <w:color w:val="000000" w:themeColor="text1"/>
                            <w:sz w:val="20"/>
                            <w:szCs w:val="20"/>
                          </w:rPr>
                          <w:t xml:space="preserve">In either case, the data is disclosed through the </w:t>
                        </w:r>
                        <w:r>
                          <w:rPr>
                            <w:rFonts w:eastAsia="Calibri"/>
                            <w:color w:val="000000"/>
                            <w:sz w:val="20"/>
                            <w:szCs w:val="20"/>
                          </w:rPr>
                          <w:t>data holder’s direct request service.</w:t>
                        </w:r>
                      </w:p>
                    </w:txbxContent>
                  </v:textbox>
                </v:rect>
                <v:shape id="Down Arrow 26" o:spid="_x0000_s1035" type="#_x0000_t67" style="position:absolute;left:24108;top:8814;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f8xAAAANsAAAAPAAAAZHJzL2Rvd25yZXYueG1sRI9Ba8JA&#10;FITvhf6H5RV6qxs9REndBBEspYfQxlJ6fGSfSTT7NmbXJP33bkHwOMzMN8w6m0wrBupdY1nBfBaB&#10;IC6tbrhS8L3fvaxAOI+ssbVMCv7IQZY+Pqwx0XbkLxoKX4kAYZeggtr7LpHSlTUZdDPbEQfvYHuD&#10;Psi+krrHMcBNKxdRFEuDDYeFGjva1lSeiotRwOdL84Zz/l3m0Q9tPsd9rj+OSj0/TZtXEJ4mfw/f&#10;2u9awSKG/y/hB8j0CgAA//8DAFBLAQItABQABgAIAAAAIQDb4fbL7gAAAIUBAAATAAAAAAAAAAAA&#10;AAAAAAAAAABbQ29udGVudF9UeXBlc10ueG1sUEsBAi0AFAAGAAgAAAAhAFr0LFu/AAAAFQEAAAsA&#10;AAAAAAAAAAAAAAAAHwEAAF9yZWxzLy5yZWxzUEsBAi0AFAAGAAgAAAAhAGJVV/zEAAAA2wAAAA8A&#10;AAAAAAAAAAAAAAAABwIAAGRycy9kb3ducmV2LnhtbFBLBQYAAAAAAwADALcAAAD4AgAAAAA=&#10;" adj="10800" filled="f" strokecolor="black [3213]" strokeweight="0"/>
                <w10:anchorlock/>
              </v:group>
            </w:pict>
          </mc:Fallback>
        </mc:AlternateContent>
      </w:r>
    </w:p>
    <w:p w14:paraId="6923A502" w14:textId="77777777" w:rsidR="00CF0E3D" w:rsidRDefault="00CF0E3D" w:rsidP="00CF0E3D">
      <w:pPr>
        <w:pStyle w:val="ActHead3"/>
        <w:pageBreakBefore/>
      </w:pPr>
      <w:bookmarkStart w:id="85" w:name="_Toc11771589"/>
      <w:bookmarkStart w:id="86" w:name="_Toc74916108"/>
      <w:r>
        <w:t>Division 3.2—Consumer data requests made by CDR consumers</w:t>
      </w:r>
      <w:bookmarkEnd w:id="85"/>
      <w:bookmarkEnd w:id="86"/>
    </w:p>
    <w:p w14:paraId="177E3B02" w14:textId="77777777" w:rsidR="00CF0E3D" w:rsidRPr="00641354" w:rsidRDefault="00CF0E3D" w:rsidP="00CF0E3D">
      <w:pPr>
        <w:pStyle w:val="ActHead5"/>
        <w:rPr>
          <w:color w:val="000000"/>
        </w:rPr>
      </w:pPr>
      <w:bookmarkStart w:id="87" w:name="_Toc11771590"/>
      <w:bookmarkStart w:id="88" w:name="_Toc74916109"/>
      <w:r>
        <w:rPr>
          <w:color w:val="000000"/>
        </w:rPr>
        <w:t>3.3</w:t>
      </w:r>
      <w:r w:rsidRPr="00641354">
        <w:rPr>
          <w:color w:val="000000"/>
        </w:rPr>
        <w:t xml:space="preserve">  </w:t>
      </w:r>
      <w:r>
        <w:rPr>
          <w:color w:val="000000"/>
        </w:rPr>
        <w:t>C</w:t>
      </w:r>
      <w:r w:rsidRPr="00641354">
        <w:rPr>
          <w:color w:val="000000"/>
        </w:rPr>
        <w:t>onsumer data requests</w:t>
      </w:r>
      <w:r>
        <w:rPr>
          <w:color w:val="000000"/>
        </w:rPr>
        <w:t xml:space="preserve"> made</w:t>
      </w:r>
      <w:r w:rsidRPr="00C57318">
        <w:t xml:space="preserve"> </w:t>
      </w:r>
      <w:r>
        <w:t>by CDR consumers</w:t>
      </w:r>
      <w:bookmarkEnd w:id="87"/>
      <w:bookmarkEnd w:id="88"/>
    </w:p>
    <w:p w14:paraId="60AA8A2D" w14:textId="77777777" w:rsidR="00CF0E3D" w:rsidRPr="00BB5F96" w:rsidRDefault="00CF0E3D" w:rsidP="00CF0E3D">
      <w:pPr>
        <w:pStyle w:val="subsection"/>
      </w:pPr>
      <w:r w:rsidRPr="0023036E">
        <w:tab/>
      </w:r>
      <w:r>
        <w:t>(1)</w:t>
      </w:r>
      <w:r w:rsidRPr="0023036E">
        <w:tab/>
      </w:r>
      <w:r w:rsidRPr="00F27186">
        <w:t xml:space="preserve">A </w:t>
      </w:r>
      <w:r w:rsidRPr="00BB5F96">
        <w:t>CDR consumer may</w:t>
      </w:r>
      <w:r w:rsidRPr="00E1300D">
        <w:rPr>
          <w:color w:val="000000" w:themeColor="text1"/>
        </w:rPr>
        <w:t>, using the data holder’s direct request service,</w:t>
      </w:r>
      <w:r w:rsidRPr="00BB5F96">
        <w:t xml:space="preserve"> request a data holder to disclose some or all of their CDR data.</w:t>
      </w:r>
    </w:p>
    <w:p w14:paraId="0D3B59F8" w14:textId="49F60F75" w:rsidR="00685E28" w:rsidRPr="007E7FBF" w:rsidRDefault="00CF0E3D" w:rsidP="00685E28">
      <w:pPr>
        <w:pStyle w:val="notetext"/>
      </w:pPr>
      <w:r w:rsidRPr="007E7FBF">
        <w:t>Note:</w:t>
      </w:r>
      <w:r w:rsidRPr="007E7FBF">
        <w:tab/>
      </w:r>
      <w:r w:rsidR="00685E28" w:rsidRPr="007E7FBF">
        <w:t xml:space="preserve">These rules will progressively permit </w:t>
      </w:r>
      <w:r w:rsidR="003B3EE0" w:rsidRPr="007E7FBF">
        <w:t xml:space="preserve">consumer </w:t>
      </w:r>
      <w:r w:rsidR="00685E28" w:rsidRPr="007E7FBF">
        <w:t>data requests to be made to a broader range of data holders within the banking sector, and in relation to a broader range of CDR data, according to the timetable set out in Part 6 of Schedule 3.</w:t>
      </w:r>
    </w:p>
    <w:p w14:paraId="1E902958" w14:textId="42DC2C74" w:rsidR="00CF0E3D" w:rsidRPr="00BB5F96" w:rsidRDefault="00685E28" w:rsidP="00CF0E3D">
      <w:pPr>
        <w:pStyle w:val="subsection"/>
      </w:pPr>
      <w:r>
        <w:tab/>
      </w:r>
      <w:r w:rsidR="00CF0E3D">
        <w:t>(2)</w:t>
      </w:r>
      <w:r w:rsidR="00CF0E3D" w:rsidRPr="00BB5F96">
        <w:tab/>
        <w:t xml:space="preserve">Such a request is a </w:t>
      </w:r>
      <w:r w:rsidR="00CF0E3D" w:rsidRPr="00BB5F96">
        <w:rPr>
          <w:b/>
          <w:i/>
        </w:rPr>
        <w:t>consumer data request</w:t>
      </w:r>
      <w:r w:rsidR="00CF0E3D" w:rsidRPr="00BB5F96">
        <w:t xml:space="preserve"> made by a CDR consumer.</w:t>
      </w:r>
    </w:p>
    <w:p w14:paraId="1B8ED09D" w14:textId="77777777" w:rsidR="00CF0E3D" w:rsidRPr="00464C22" w:rsidRDefault="00CF0E3D" w:rsidP="00CF0E3D">
      <w:pPr>
        <w:pStyle w:val="notetext"/>
        <w:rPr>
          <w:color w:val="000000" w:themeColor="text1"/>
        </w:rPr>
      </w:pPr>
      <w:r w:rsidRPr="00464C22">
        <w:rPr>
          <w:color w:val="000000" w:themeColor="text1"/>
        </w:rPr>
        <w:t>Note:</w:t>
      </w:r>
      <w:r w:rsidRPr="00464C22">
        <w:rPr>
          <w:color w:val="000000" w:themeColor="text1"/>
        </w:rPr>
        <w:tab/>
        <w:t>A fee cannot be charged for the disclosure of required consumer data: see section 56BU of the Act.</w:t>
      </w:r>
    </w:p>
    <w:p w14:paraId="50E5E0FD" w14:textId="77777777" w:rsidR="00CF0E3D" w:rsidRDefault="00CF0E3D" w:rsidP="00CF0E3D">
      <w:pPr>
        <w:pStyle w:val="subsection"/>
      </w:pPr>
      <w:r>
        <w:tab/>
        <w:t>(3)</w:t>
      </w:r>
      <w:r>
        <w:tab/>
      </w:r>
      <w:r w:rsidRPr="009F2B01">
        <w:t xml:space="preserve">A consumer data request made under this Part is </w:t>
      </w:r>
      <w:r w:rsidRPr="009F2B01">
        <w:rPr>
          <w:b/>
          <w:i/>
        </w:rPr>
        <w:t xml:space="preserve">valid </w:t>
      </w:r>
      <w:r w:rsidRPr="009F2B01">
        <w:t>if it is made</w:t>
      </w:r>
      <w:r w:rsidRPr="00E1300D">
        <w:rPr>
          <w:color w:val="000000" w:themeColor="text1"/>
        </w:rPr>
        <w:t xml:space="preserve"> </w:t>
      </w:r>
      <w:r w:rsidRPr="00F27186">
        <w:t>by a CDR consumer who is eligible to make the request</w:t>
      </w:r>
      <w:r>
        <w:t>.</w:t>
      </w:r>
    </w:p>
    <w:p w14:paraId="5CB88121" w14:textId="7FBBDF88" w:rsidR="00277660" w:rsidRPr="007E7FBF" w:rsidRDefault="00B13F8B" w:rsidP="00CF0E3D">
      <w:pPr>
        <w:pStyle w:val="notetext"/>
      </w:pPr>
      <w:r w:rsidRPr="007E7FBF">
        <w:t>Note:</w:t>
      </w:r>
      <w:r w:rsidR="00277660" w:rsidRPr="007E7FBF">
        <w:tab/>
        <w:t>See subrule 1.7(1) for the meaning of “eligible”. For the banking sector, see clause 2.1 of Schedule 3 for</w:t>
      </w:r>
      <w:r w:rsidR="00277660" w:rsidRPr="00277660">
        <w:rPr>
          <w:strike/>
        </w:rPr>
        <w:t xml:space="preserve"> </w:t>
      </w:r>
      <w:r w:rsidR="00277660" w:rsidRPr="007E7FBF">
        <w:t>when a CDR consumer is eligible.</w:t>
      </w:r>
    </w:p>
    <w:p w14:paraId="62045BED" w14:textId="77777777" w:rsidR="00CF0E3D" w:rsidRDefault="00CF0E3D" w:rsidP="00CF0E3D">
      <w:pPr>
        <w:pStyle w:val="ActHead5"/>
      </w:pPr>
      <w:bookmarkStart w:id="89" w:name="_Toc11771591"/>
      <w:bookmarkStart w:id="90" w:name="_Toc74916110"/>
      <w:r>
        <w:t xml:space="preserve">3.4  Disclosing </w:t>
      </w:r>
      <w:r w:rsidRPr="00C560DF">
        <w:t xml:space="preserve">consumer </w:t>
      </w:r>
      <w:r>
        <w:t xml:space="preserve">data in response to a valid </w:t>
      </w:r>
      <w:r w:rsidRPr="00641354">
        <w:rPr>
          <w:color w:val="000000"/>
        </w:rPr>
        <w:t xml:space="preserve">consumer data </w:t>
      </w:r>
      <w:r>
        <w:t>request</w:t>
      </w:r>
      <w:bookmarkEnd w:id="89"/>
      <w:bookmarkEnd w:id="90"/>
    </w:p>
    <w:p w14:paraId="5C4784FD" w14:textId="77777777" w:rsidR="00CF0E3D" w:rsidRPr="00F27186" w:rsidRDefault="00CF0E3D" w:rsidP="00CF0E3D">
      <w:pPr>
        <w:pStyle w:val="subsection"/>
      </w:pPr>
      <w:r w:rsidRPr="00B3173B">
        <w:tab/>
      </w:r>
      <w:r>
        <w:t>(1)</w:t>
      </w:r>
      <w:r w:rsidRPr="00F27186">
        <w:tab/>
        <w:t>This rule applies if a data holder has received a request that it reasonably believes to be a valid consumer data request made under this Part, for disclosure of CDR data of which it is the data holder.</w:t>
      </w:r>
    </w:p>
    <w:p w14:paraId="3EC5BB59" w14:textId="77777777" w:rsidR="00CF0E3D" w:rsidRPr="00E1300D" w:rsidRDefault="00CF0E3D" w:rsidP="00CF0E3D">
      <w:pPr>
        <w:pStyle w:val="subsection"/>
        <w:rPr>
          <w:color w:val="000000" w:themeColor="text1"/>
        </w:rPr>
      </w:pPr>
      <w:r w:rsidRPr="00E1300D">
        <w:rPr>
          <w:color w:val="000000" w:themeColor="text1"/>
        </w:rPr>
        <w:tab/>
      </w:r>
      <w:r>
        <w:rPr>
          <w:color w:val="000000" w:themeColor="text1"/>
        </w:rPr>
        <w:t>(2)</w:t>
      </w:r>
      <w:r w:rsidRPr="00E1300D">
        <w:rPr>
          <w:color w:val="000000" w:themeColor="text1"/>
        </w:rPr>
        <w:tab/>
        <w:t>The data holder may disclose any requested voluntary consumer data to the CDR consumer who made the request.</w:t>
      </w:r>
    </w:p>
    <w:p w14:paraId="42B10C37" w14:textId="77777777" w:rsidR="00CF0E3D" w:rsidRPr="00BB5F96" w:rsidRDefault="00CF0E3D" w:rsidP="00CF0E3D">
      <w:pPr>
        <w:pStyle w:val="notetext"/>
      </w:pPr>
      <w:r>
        <w:t>Note</w:t>
      </w:r>
      <w:r w:rsidRPr="00BB5F96">
        <w:t>:</w:t>
      </w:r>
      <w:r w:rsidRPr="00BB5F96">
        <w:tab/>
        <w:t>See rule </w:t>
      </w:r>
      <w:r>
        <w:t>1.7</w:t>
      </w:r>
      <w:r w:rsidRPr="00BB5F96">
        <w:t xml:space="preserve"> for the definition of “voluntary consumer data”, and see clause </w:t>
      </w:r>
      <w:r>
        <w:t>3.2</w:t>
      </w:r>
      <w:r w:rsidRPr="00BB5F96">
        <w:t xml:space="preserve"> of </w:t>
      </w:r>
      <w:r>
        <w:t>Schedule 3</w:t>
      </w:r>
      <w:r w:rsidRPr="00BB5F96">
        <w:t xml:space="preserve"> for the definition of “voluntary consumer data” in relation to the banking sector.</w:t>
      </w:r>
    </w:p>
    <w:p w14:paraId="1D2E6D61" w14:textId="77777777" w:rsidR="00CF0E3D" w:rsidRPr="00890388" w:rsidRDefault="00CF0E3D" w:rsidP="00CF0E3D">
      <w:pPr>
        <w:pStyle w:val="subsection"/>
      </w:pPr>
      <w:r w:rsidRPr="00890388">
        <w:tab/>
      </w:r>
      <w:r>
        <w:t>(3)</w:t>
      </w:r>
      <w:r w:rsidRPr="00890388">
        <w:tab/>
        <w:t>The data holder must, subject to rule </w:t>
      </w:r>
      <w:r>
        <w:t>3.5</w:t>
      </w:r>
      <w:r w:rsidRPr="00890388">
        <w:t>, disclose any requested required consumer data to the CDR consumer who made the request:</w:t>
      </w:r>
    </w:p>
    <w:p w14:paraId="1926DC16" w14:textId="77777777" w:rsidR="00CF0E3D" w:rsidRPr="00890388" w:rsidRDefault="00CF0E3D" w:rsidP="00CF0E3D">
      <w:pPr>
        <w:pStyle w:val="paragraph"/>
      </w:pPr>
      <w:r w:rsidRPr="00890388">
        <w:tab/>
      </w:r>
      <w:r>
        <w:t>(a)</w:t>
      </w:r>
      <w:r w:rsidRPr="00890388">
        <w:tab/>
        <w:t>through its direct request service; and</w:t>
      </w:r>
    </w:p>
    <w:p w14:paraId="02D5F42A" w14:textId="77777777" w:rsidR="00CF0E3D" w:rsidRPr="00890388" w:rsidRDefault="00CF0E3D" w:rsidP="00CF0E3D">
      <w:pPr>
        <w:pStyle w:val="paragraph"/>
      </w:pPr>
      <w:r w:rsidRPr="00890388">
        <w:tab/>
      </w:r>
      <w:r>
        <w:t>(b)</w:t>
      </w:r>
      <w:r w:rsidRPr="00890388">
        <w:tab/>
        <w:t>in accordance with the data standards.</w:t>
      </w:r>
    </w:p>
    <w:p w14:paraId="65049D43" w14:textId="040D6996" w:rsidR="00CF0E3D" w:rsidRPr="007E7FBF" w:rsidRDefault="00CF0E3D" w:rsidP="00CF0E3D">
      <w:pPr>
        <w:pStyle w:val="notetext"/>
      </w:pPr>
      <w:r w:rsidRPr="00BB5F96">
        <w:t>Note 1:</w:t>
      </w:r>
      <w:r w:rsidRPr="00BB5F96">
        <w:tab/>
      </w:r>
      <w:r w:rsidRPr="007E7FBF">
        <w:t>See rule 1.7 for the definition of “required consumer data”, and see clause 3.2 of Schedule 3 for the definition of “required consumer data” in relation to the banking sector.</w:t>
      </w:r>
    </w:p>
    <w:p w14:paraId="7D120169" w14:textId="77777777" w:rsidR="00CF0E3D" w:rsidRDefault="00CF0E3D" w:rsidP="00CF0E3D">
      <w:pPr>
        <w:pStyle w:val="notetext"/>
      </w:pPr>
      <w:r w:rsidRPr="00BB5F96">
        <w:t>Note 2:</w:t>
      </w:r>
      <w:r w:rsidRPr="00BB5F96">
        <w:tab/>
        <w:t>For the banking sector, for a request that relates to a joint account, see clause </w:t>
      </w:r>
      <w:r>
        <w:t>4.3</w:t>
      </w:r>
      <w:r w:rsidRPr="00BB5F96">
        <w:t xml:space="preserve"> of </w:t>
      </w:r>
      <w:r>
        <w:t>Schedule 3</w:t>
      </w:r>
      <w:r w:rsidRPr="00BB5F96">
        <w:t xml:space="preserve"> for an additional circumstance in which data relating to the joint account might not be disclosed under these rules.</w:t>
      </w:r>
    </w:p>
    <w:p w14:paraId="36CD0378" w14:textId="77777777" w:rsidR="00CF0E3D" w:rsidRPr="00E1300D" w:rsidRDefault="00CF0E3D" w:rsidP="00CF0E3D">
      <w:pPr>
        <w:pStyle w:val="notetext"/>
        <w:rPr>
          <w:color w:val="000000" w:themeColor="text1"/>
        </w:rPr>
      </w:pPr>
      <w:r w:rsidRPr="00E1300D">
        <w:rPr>
          <w:color w:val="000000" w:themeColor="text1"/>
        </w:rPr>
        <w:t>Note 3:</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720AE2D7" w14:textId="77777777" w:rsidR="00CF0E3D" w:rsidRPr="00464C22" w:rsidRDefault="00CF0E3D" w:rsidP="00CF0E3D">
      <w:pPr>
        <w:pStyle w:val="notetext"/>
        <w:rPr>
          <w:color w:val="000000" w:themeColor="text1"/>
        </w:rPr>
      </w:pPr>
      <w:r w:rsidRPr="00464C22">
        <w:rPr>
          <w:color w:val="000000" w:themeColor="text1"/>
        </w:rPr>
        <w:t>Note 4:</w:t>
      </w:r>
      <w:r w:rsidRPr="00464C22">
        <w:rPr>
          <w:color w:val="000000" w:themeColor="text1"/>
        </w:rPr>
        <w:tab/>
        <w:t>A fee cannot be charged for the disclosure of required consumer data: see section 56BU of the Act.</w:t>
      </w:r>
    </w:p>
    <w:p w14:paraId="26AD408D" w14:textId="77777777" w:rsidR="00CF0E3D" w:rsidRPr="00BB5F96" w:rsidRDefault="00CF0E3D" w:rsidP="00CF0E3D">
      <w:pPr>
        <w:pStyle w:val="ActHead5"/>
      </w:pPr>
      <w:bookmarkStart w:id="91" w:name="_Toc11771592"/>
      <w:bookmarkStart w:id="92" w:name="_Toc74916111"/>
      <w:r>
        <w:t>3.5</w:t>
      </w:r>
      <w:r w:rsidRPr="00BB5F96">
        <w:t xml:space="preserve">  Refusal to disclose required consumer data in response to consumer data request</w:t>
      </w:r>
      <w:bookmarkEnd w:id="91"/>
      <w:bookmarkEnd w:id="92"/>
    </w:p>
    <w:p w14:paraId="5F92312B" w14:textId="77777777" w:rsidR="00CF0E3D" w:rsidRPr="00F27186" w:rsidRDefault="00CF0E3D" w:rsidP="00CF0E3D">
      <w:pPr>
        <w:pStyle w:val="subsection"/>
      </w:pPr>
      <w:r w:rsidRPr="00BB5F96">
        <w:tab/>
      </w:r>
      <w:r>
        <w:t>(1)</w:t>
      </w:r>
      <w:r w:rsidRPr="00BB5F96">
        <w:tab/>
        <w:t xml:space="preserve">Despite </w:t>
      </w:r>
      <w:r>
        <w:t>subrule</w:t>
      </w:r>
      <w:r w:rsidRPr="00BB5F96">
        <w:t> </w:t>
      </w:r>
      <w:r>
        <w:t>3.4(3)</w:t>
      </w:r>
      <w:r w:rsidRPr="00BB5F96">
        <w:t>, the data holder may refuse to disclose required consumer data in response to the request</w:t>
      </w:r>
      <w:r w:rsidRPr="00F27186">
        <w:t>:</w:t>
      </w:r>
    </w:p>
    <w:p w14:paraId="0675378F" w14:textId="77777777" w:rsidR="00CF0E3D" w:rsidRDefault="00CF0E3D" w:rsidP="00CF0E3D">
      <w:pPr>
        <w:pStyle w:val="paragraph"/>
      </w:pPr>
      <w:r w:rsidRPr="00F27186">
        <w:tab/>
      </w:r>
      <w:r>
        <w:t>(a)</w:t>
      </w:r>
      <w:r w:rsidRPr="00F27186">
        <w:tab/>
        <w:t>if the data holder considers this to be necessary to prevent physical or financial harm or abuse; or</w:t>
      </w:r>
    </w:p>
    <w:p w14:paraId="59E122DE" w14:textId="77777777" w:rsidR="00CF0E3D" w:rsidRPr="00F86429" w:rsidRDefault="00CF0E3D" w:rsidP="00CF0E3D">
      <w:pPr>
        <w:pStyle w:val="paragraph"/>
      </w:pPr>
      <w:r w:rsidRPr="00F86429">
        <w:tab/>
        <w:t>(aa)</w:t>
      </w:r>
      <w:r w:rsidRPr="00F86429">
        <w:tab/>
        <w:t xml:space="preserve">in relation to an account that is blocked or suspended; or </w:t>
      </w:r>
    </w:p>
    <w:p w14:paraId="2D038826" w14:textId="77777777" w:rsidR="00CF0E3D" w:rsidRPr="00BB5F96" w:rsidRDefault="00CF0E3D" w:rsidP="00CF0E3D">
      <w:pPr>
        <w:pStyle w:val="paragraph"/>
      </w:pPr>
      <w:r w:rsidRPr="00F27186">
        <w:tab/>
      </w:r>
      <w:r>
        <w:t>(b)</w:t>
      </w:r>
      <w:r>
        <w:tab/>
      </w:r>
      <w:r w:rsidRPr="00BB5F96">
        <w:t>in circumstances (if any) set out in the data standards.</w:t>
      </w:r>
    </w:p>
    <w:p w14:paraId="7B8AEA0D" w14:textId="77777777" w:rsidR="00CF0E3D" w:rsidRDefault="00CF0E3D" w:rsidP="00CF0E3D">
      <w:pPr>
        <w:pStyle w:val="subsection"/>
      </w:pPr>
      <w:r w:rsidRPr="00083B86">
        <w:tab/>
      </w:r>
      <w:r>
        <w:t>(2)</w:t>
      </w:r>
      <w:r w:rsidRPr="00083B86">
        <w:tab/>
        <w:t xml:space="preserve">The data holder must inform the CDR consumer of </w:t>
      </w:r>
      <w:r w:rsidRPr="008F598B">
        <w:t xml:space="preserve">such </w:t>
      </w:r>
      <w:r w:rsidRPr="00083B86">
        <w:t>a refusal in accordance with the data standards.</w:t>
      </w:r>
    </w:p>
    <w:p w14:paraId="1B41E32B" w14:textId="77777777" w:rsidR="00CF0E3D" w:rsidRPr="005F3D40" w:rsidRDefault="00CF0E3D" w:rsidP="00CF0E3D">
      <w:pPr>
        <w:pStyle w:val="subsection"/>
        <w:rPr>
          <w:color w:val="000000" w:themeColor="text1"/>
        </w:rPr>
      </w:pPr>
      <w:r>
        <w:tab/>
      </w:r>
      <w:r>
        <w:tab/>
      </w:r>
      <w:r w:rsidRPr="005F3D40">
        <w:rPr>
          <w:color w:val="000000" w:themeColor="text1"/>
        </w:rPr>
        <w:t>Civil penalty:</w:t>
      </w:r>
    </w:p>
    <w:p w14:paraId="49B4B892" w14:textId="77777777" w:rsidR="00CF0E3D" w:rsidRPr="005F3D40" w:rsidRDefault="00CF0E3D" w:rsidP="00CF0E3D">
      <w:pPr>
        <w:pStyle w:val="paragraph"/>
        <w:rPr>
          <w:color w:val="000000" w:themeColor="text1"/>
        </w:rPr>
      </w:pPr>
      <w:r w:rsidRPr="005F3D40">
        <w:rPr>
          <w:color w:val="000000" w:themeColor="text1"/>
        </w:rPr>
        <w:tab/>
        <w:t>(a)</w:t>
      </w:r>
      <w:r w:rsidRPr="005F3D40">
        <w:rPr>
          <w:color w:val="000000" w:themeColor="text1"/>
        </w:rPr>
        <w:tab/>
        <w:t>for an individual―$50,000; and</w:t>
      </w:r>
    </w:p>
    <w:p w14:paraId="35198B9C" w14:textId="77777777" w:rsidR="00CF0E3D" w:rsidRDefault="00CF0E3D" w:rsidP="00CF0E3D">
      <w:pPr>
        <w:pStyle w:val="paragraph"/>
      </w:pPr>
      <w:r w:rsidRPr="005F3D40">
        <w:rPr>
          <w:color w:val="000000" w:themeColor="text1"/>
        </w:rPr>
        <w:tab/>
        <w:t>(b)</w:t>
      </w:r>
      <w:r w:rsidRPr="005F3D40">
        <w:rPr>
          <w:color w:val="000000" w:themeColor="text1"/>
        </w:rPr>
        <w:tab/>
        <w:t>for a body corporate―$250,000.</w:t>
      </w:r>
    </w:p>
    <w:p w14:paraId="300DBFF5" w14:textId="77777777" w:rsidR="00CF0E3D" w:rsidRDefault="00CF0E3D" w:rsidP="00CF0E3D">
      <w:pPr>
        <w:pStyle w:val="ActHead2"/>
        <w:pageBreakBefore/>
      </w:pPr>
      <w:bookmarkStart w:id="93" w:name="_Toc11771594"/>
      <w:bookmarkStart w:id="94" w:name="_Toc74916112"/>
      <w:r>
        <w:t>Part 4—</w:t>
      </w:r>
      <w:r>
        <w:rPr>
          <w:color w:val="000000"/>
        </w:rPr>
        <w:t>C</w:t>
      </w:r>
      <w:r w:rsidRPr="00641354">
        <w:rPr>
          <w:color w:val="000000"/>
        </w:rPr>
        <w:t>onsumer data requests</w:t>
      </w:r>
      <w:r>
        <w:rPr>
          <w:color w:val="000000"/>
        </w:rPr>
        <w:t xml:space="preserve"> made by accredited persons</w:t>
      </w:r>
      <w:bookmarkEnd w:id="93"/>
      <w:bookmarkEnd w:id="94"/>
    </w:p>
    <w:p w14:paraId="1A89DD24" w14:textId="77777777" w:rsidR="00CF0E3D" w:rsidRPr="00F07699" w:rsidRDefault="00CF0E3D" w:rsidP="00CF0E3D">
      <w:pPr>
        <w:pStyle w:val="ActHead3"/>
      </w:pPr>
      <w:bookmarkStart w:id="95" w:name="_Toc11771595"/>
      <w:bookmarkStart w:id="96" w:name="_Toc50633065"/>
      <w:bookmarkStart w:id="97" w:name="_Toc57219008"/>
      <w:bookmarkStart w:id="98" w:name="_Toc59549123"/>
      <w:bookmarkStart w:id="99" w:name="_Toc74916113"/>
      <w:bookmarkStart w:id="100" w:name="_Toc11771598"/>
      <w:r w:rsidRPr="00F07699">
        <w:t>Division 4.1—Preliminary</w:t>
      </w:r>
      <w:bookmarkEnd w:id="95"/>
      <w:bookmarkEnd w:id="96"/>
      <w:bookmarkEnd w:id="97"/>
      <w:bookmarkEnd w:id="98"/>
      <w:bookmarkEnd w:id="99"/>
    </w:p>
    <w:p w14:paraId="35F57E54" w14:textId="77777777" w:rsidR="00CF0E3D" w:rsidRPr="00F07699" w:rsidRDefault="00CF0E3D" w:rsidP="00CF0E3D">
      <w:pPr>
        <w:pStyle w:val="ActHead5"/>
      </w:pPr>
      <w:bookmarkStart w:id="101" w:name="_Toc59549124"/>
      <w:bookmarkStart w:id="102" w:name="_Toc74916114"/>
      <w:r w:rsidRPr="00F07699">
        <w:t>4.1  Simplified outline of this Part</w:t>
      </w:r>
      <w:bookmarkEnd w:id="101"/>
      <w:bookmarkEnd w:id="102"/>
    </w:p>
    <w:p w14:paraId="25FC2499" w14:textId="77777777" w:rsidR="00CF0E3D" w:rsidRPr="003565D0" w:rsidRDefault="00CF0E3D" w:rsidP="00CF0E3D">
      <w:pPr>
        <w:pStyle w:val="SOText"/>
      </w:pPr>
      <w:r w:rsidRPr="003565D0">
        <w:t xml:space="preserve">This Part deals with consumer data requests that are made to CDR </w:t>
      </w:r>
      <w:r>
        <w:t xml:space="preserve">participants </w:t>
      </w:r>
      <w:r w:rsidRPr="003565D0">
        <w:t>by accredited persons on behalf of CDR consumers. Such requests, if made to a data holder, are made using the data holder’s accredited person request service.</w:t>
      </w:r>
    </w:p>
    <w:p w14:paraId="5514D161" w14:textId="07C73D73" w:rsidR="00CF0E3D" w:rsidRPr="003565D0" w:rsidRDefault="00CF0E3D" w:rsidP="00CF0E3D">
      <w:pPr>
        <w:pStyle w:val="SOText"/>
      </w:pPr>
      <w:r w:rsidRPr="003565D0">
        <w:t>In order for such a request to be made, the CDR consumer must have first asked the accredited person</w:t>
      </w:r>
      <w:r w:rsidR="0051709B" w:rsidRPr="00BC78CF">
        <w:rPr>
          <w:color w:val="FF0000"/>
        </w:rPr>
        <w:t xml:space="preserve">, or a </w:t>
      </w:r>
      <w:r w:rsidR="00182338" w:rsidRPr="00BC78CF">
        <w:rPr>
          <w:color w:val="FF0000"/>
        </w:rPr>
        <w:t>CDR representative</w:t>
      </w:r>
      <w:r w:rsidR="0051709B" w:rsidRPr="00BC78CF">
        <w:rPr>
          <w:color w:val="FF0000"/>
        </w:rPr>
        <w:t xml:space="preserve"> of the accredited person, </w:t>
      </w:r>
      <w:r w:rsidRPr="003565D0">
        <w:t>to provide goods or services to the CDR consumer or to another person, where provision of those goods or services requires the use of the CDR consumer’s CDR data.</w:t>
      </w:r>
    </w:p>
    <w:p w14:paraId="1AB1613D" w14:textId="77777777" w:rsidR="00CF0E3D" w:rsidRPr="003565D0" w:rsidRDefault="00CF0E3D" w:rsidP="00CF0E3D">
      <w:pPr>
        <w:pStyle w:val="SOText"/>
      </w:pPr>
      <w:r w:rsidRPr="003565D0">
        <w:t>Before making a consumer data request on behalf of a CDR consumer, the consumer must first have consented to the accredited person collecting and using specified CDR data to provide the requested goods or services.</w:t>
      </w:r>
    </w:p>
    <w:p w14:paraId="21EC2353" w14:textId="77777777" w:rsidR="00CF0E3D" w:rsidRPr="003565D0" w:rsidRDefault="00CF0E3D" w:rsidP="00CF0E3D">
      <w:pPr>
        <w:pStyle w:val="SOText"/>
      </w:pPr>
      <w:r w:rsidRPr="003565D0">
        <w:t>Subject to certain limitations, the requested data can be any CDR data that relates to the CDR consumer.</w:t>
      </w:r>
    </w:p>
    <w:p w14:paraId="7B13E989" w14:textId="77777777" w:rsidR="00CF0E3D" w:rsidRPr="003565D0" w:rsidRDefault="00CF0E3D" w:rsidP="00CF0E3D">
      <w:pPr>
        <w:pStyle w:val="SOText"/>
      </w:pPr>
      <w:r w:rsidRPr="003565D0">
        <w:t>Collection and use of CDR data under this Part is limited by the data minimisation principle, under which the accredited person:</w:t>
      </w:r>
    </w:p>
    <w:p w14:paraId="45F32A6D" w14:textId="77777777" w:rsidR="00CF0E3D" w:rsidRPr="003565D0" w:rsidRDefault="00CF0E3D" w:rsidP="00CF0E3D">
      <w:pPr>
        <w:pStyle w:val="SOPara"/>
      </w:pPr>
      <w:r w:rsidRPr="003565D0">
        <w:tab/>
        <w:t>(a)</w:t>
      </w:r>
      <w:r w:rsidRPr="003565D0">
        <w:tab/>
        <w:t>must not collect more data than is reasonably needed in order to provide the requested goods or services; and</w:t>
      </w:r>
    </w:p>
    <w:p w14:paraId="1CAF629A" w14:textId="77777777" w:rsidR="00CF0E3D" w:rsidRPr="003565D0" w:rsidRDefault="00CF0E3D" w:rsidP="00CF0E3D">
      <w:pPr>
        <w:pStyle w:val="SOPara"/>
      </w:pPr>
      <w:r w:rsidRPr="003565D0">
        <w:tab/>
        <w:t>(b)</w:t>
      </w:r>
      <w:r w:rsidRPr="003565D0">
        <w:tab/>
        <w:t>may use the collected data only as reasonably needed in order to provide the requested goods or services or as otherwise consented to by the consumer.</w:t>
      </w:r>
    </w:p>
    <w:p w14:paraId="0F6680F8" w14:textId="77777777" w:rsidR="00CF0E3D" w:rsidRPr="00F07699" w:rsidRDefault="00CF0E3D" w:rsidP="00CF0E3D">
      <w:pPr>
        <w:pStyle w:val="SOText"/>
      </w:pPr>
      <w:r w:rsidRPr="00F07699">
        <w:t>A request may be for the CDR consumer’s required consumer data, their voluntary consumer data, or both. Schedule 3 to these rules:</w:t>
      </w:r>
    </w:p>
    <w:p w14:paraId="6A6E6775" w14:textId="77777777" w:rsidR="00CF0E3D" w:rsidRPr="00F07699" w:rsidRDefault="00CF0E3D" w:rsidP="00CF0E3D">
      <w:pPr>
        <w:pStyle w:val="SOPara"/>
      </w:pPr>
      <w:r w:rsidRPr="00F07699">
        <w:tab/>
        <w:t>•</w:t>
      </w:r>
      <w:r w:rsidRPr="00F07699">
        <w:tab/>
        <w:t>provides for what is required consumer data and voluntary consumer data for the banking sector; and</w:t>
      </w:r>
    </w:p>
    <w:p w14:paraId="2883EAA4" w14:textId="77777777" w:rsidR="00CF0E3D" w:rsidRPr="00F07699" w:rsidRDefault="00CF0E3D" w:rsidP="00CF0E3D">
      <w:pPr>
        <w:pStyle w:val="SOPara"/>
      </w:pPr>
      <w:r w:rsidRPr="00F07699">
        <w:tab/>
        <w:t>•</w:t>
      </w:r>
      <w:r w:rsidRPr="00F07699">
        <w:tab/>
        <w:t>sets out the circumstances in which CDR consumers are eligible in relation to a request for their banking sector CDR data.</w:t>
      </w:r>
    </w:p>
    <w:p w14:paraId="67CD6812" w14:textId="77777777" w:rsidR="00CF0E3D" w:rsidRPr="003565D0" w:rsidRDefault="00CF0E3D" w:rsidP="00CF0E3D">
      <w:pPr>
        <w:pStyle w:val="SOHeadBold"/>
      </w:pPr>
      <w:r w:rsidRPr="003565D0">
        <w:t>Consumer data requests made to data holders</w:t>
      </w:r>
    </w:p>
    <w:p w14:paraId="4E1E7A37" w14:textId="77777777" w:rsidR="00CF0E3D" w:rsidRPr="00F07699" w:rsidRDefault="00CF0E3D" w:rsidP="00CF0E3D">
      <w:pPr>
        <w:pStyle w:val="SOText"/>
        <w:spacing w:before="40"/>
      </w:pPr>
      <w:r w:rsidRPr="003565D0">
        <w:t xml:space="preserve">Subject to exceptions outlined in this Part, if a request is made to a data holder, </w:t>
      </w:r>
      <w:r w:rsidRPr="00F07699">
        <w:t>the data holder:</w:t>
      </w:r>
    </w:p>
    <w:p w14:paraId="02437D9B" w14:textId="77777777" w:rsidR="00CF0E3D" w:rsidRPr="00F07699" w:rsidRDefault="00CF0E3D" w:rsidP="00CF0E3D">
      <w:pPr>
        <w:pStyle w:val="SOPara"/>
      </w:pPr>
      <w:r w:rsidRPr="00F07699">
        <w:tab/>
        <w:t>•</w:t>
      </w:r>
      <w:r w:rsidRPr="00F07699">
        <w:tab/>
        <w:t>must seek the CDR consumer’s authorisation to disclose required consumer data; and</w:t>
      </w:r>
    </w:p>
    <w:p w14:paraId="72364CD1" w14:textId="77777777" w:rsidR="00CF0E3D" w:rsidRPr="00F07699" w:rsidRDefault="00CF0E3D" w:rsidP="00CF0E3D">
      <w:pPr>
        <w:pStyle w:val="SOPara"/>
      </w:pPr>
      <w:r w:rsidRPr="00F07699">
        <w:tab/>
        <w:t>•</w:t>
      </w:r>
      <w:r w:rsidRPr="00F07699">
        <w:tab/>
        <w:t>must seek the CDR consumer’s authorisation to disclose any voluntary consumer data that it intends to disclose.</w:t>
      </w:r>
    </w:p>
    <w:p w14:paraId="282DDFE5" w14:textId="77777777" w:rsidR="00CF0E3D" w:rsidRPr="00F07699" w:rsidRDefault="00CF0E3D" w:rsidP="00CF0E3D">
      <w:pPr>
        <w:pStyle w:val="SOText"/>
      </w:pPr>
      <w:r w:rsidRPr="00F07699">
        <w:t>The data holder then must disclose, to the accredited person, the required consumer data it is authorised to disclose, and may (but is not required to) disclose the voluntary consumer data it is authorised to disclose. The data is disclosed in machine</w:t>
      </w:r>
      <w:r w:rsidRPr="00F07699">
        <w:noBreakHyphen/>
        <w:t>readable form and in accordance with the data standards.</w:t>
      </w:r>
    </w:p>
    <w:p w14:paraId="02F3293D" w14:textId="77777777" w:rsidR="00CF0E3D" w:rsidRPr="003565D0" w:rsidRDefault="00CF0E3D" w:rsidP="00CF0E3D">
      <w:pPr>
        <w:pStyle w:val="SOHeadBold"/>
      </w:pPr>
      <w:r w:rsidRPr="003565D0">
        <w:t>Consumer data requests made to accredited data recipients</w:t>
      </w:r>
    </w:p>
    <w:p w14:paraId="4581C2DB" w14:textId="77777777" w:rsidR="00CF0E3D" w:rsidRPr="003565D0" w:rsidRDefault="00CF0E3D" w:rsidP="00CF0E3D">
      <w:pPr>
        <w:pStyle w:val="SOText"/>
        <w:spacing w:before="40"/>
      </w:pPr>
      <w:r w:rsidRPr="003565D0">
        <w:t>If a request is made to an accredited data recipient, the accredited data recipient:</w:t>
      </w:r>
    </w:p>
    <w:p w14:paraId="1E1D2028" w14:textId="77777777" w:rsidR="00CF0E3D" w:rsidRPr="003565D0" w:rsidRDefault="00CF0E3D" w:rsidP="00CF0E3D">
      <w:pPr>
        <w:pStyle w:val="SOPara"/>
      </w:pPr>
      <w:r w:rsidRPr="003565D0">
        <w:tab/>
        <w:t>•</w:t>
      </w:r>
      <w:r w:rsidRPr="003565D0">
        <w:tab/>
        <w:t>may (but is not required to) seek the CDR consumer’s consent to disclose the requested CDR data; and</w:t>
      </w:r>
    </w:p>
    <w:p w14:paraId="5E676BC8" w14:textId="77777777" w:rsidR="00CF0E3D" w:rsidRPr="003565D0" w:rsidRDefault="00CF0E3D" w:rsidP="00CF0E3D">
      <w:pPr>
        <w:pStyle w:val="SOPara"/>
      </w:pPr>
      <w:r w:rsidRPr="003565D0">
        <w:tab/>
        <w:t>•</w:t>
      </w:r>
      <w:r w:rsidRPr="003565D0">
        <w:tab/>
        <w:t>once that consent is obtained, may (but is not required to) disclose that CDR data to the accredited person.</w:t>
      </w:r>
    </w:p>
    <w:p w14:paraId="409EBBE9" w14:textId="77777777" w:rsidR="00CF0E3D" w:rsidRPr="003565D0" w:rsidRDefault="00CF0E3D" w:rsidP="00CF0E3D">
      <w:pPr>
        <w:pStyle w:val="SOText"/>
      </w:pPr>
      <w:r w:rsidRPr="00F07699">
        <w:t xml:space="preserve">For </w:t>
      </w:r>
      <w:r w:rsidRPr="003565D0">
        <w:t>the banking sector, special rules apply in relation to requests made to data holders where there are joint account holders. These are set out in Part 4 of Schedule 3.</w:t>
      </w:r>
    </w:p>
    <w:p w14:paraId="249BB4D6" w14:textId="77777777" w:rsidR="00CF0E3D" w:rsidRDefault="00CF0E3D" w:rsidP="00CF0E3D">
      <w:pPr>
        <w:pStyle w:val="SOText"/>
      </w:pPr>
      <w:r w:rsidRPr="003565D0">
        <w:t>A fee cannot be charged for the disclosure by a data holder of required consumer data, but could be charged for the disclosure by a data holder of voluntary consumer data, or by an accredited data recipient for disclosure of any CDR data</w:t>
      </w:r>
      <w:r w:rsidRPr="00F07699">
        <w:t>.</w:t>
      </w:r>
    </w:p>
    <w:p w14:paraId="04752B65" w14:textId="6D4A7B5E" w:rsidR="00CF0E3D" w:rsidRDefault="00CF0E3D" w:rsidP="00CF0E3D">
      <w:pPr>
        <w:pStyle w:val="ActHead3"/>
        <w:pageBreakBefore/>
      </w:pPr>
      <w:bookmarkStart w:id="103" w:name="_Toc74916115"/>
      <w:r>
        <w:t>Division 4.2—C</w:t>
      </w:r>
      <w:r w:rsidRPr="00641354">
        <w:t>onsumer data requests</w:t>
      </w:r>
      <w:r>
        <w:t xml:space="preserve"> made by accredited persons</w:t>
      </w:r>
      <w:bookmarkEnd w:id="100"/>
      <w:r>
        <w:t xml:space="preserve"> to CDR participants</w:t>
      </w:r>
      <w:bookmarkEnd w:id="103"/>
    </w:p>
    <w:p w14:paraId="1E0E7744" w14:textId="77777777" w:rsidR="00CF0E3D" w:rsidRPr="003565D0" w:rsidRDefault="00CF0E3D" w:rsidP="00CF0E3D">
      <w:pPr>
        <w:pStyle w:val="ActHead4"/>
      </w:pPr>
      <w:bookmarkStart w:id="104" w:name="_Toc50114020"/>
      <w:bookmarkStart w:id="105" w:name="_Toc57219011"/>
      <w:bookmarkStart w:id="106" w:name="_Toc59549125"/>
      <w:bookmarkStart w:id="107" w:name="_Toc74916116"/>
      <w:bookmarkStart w:id="108" w:name="_Toc50114023"/>
      <w:bookmarkStart w:id="109" w:name="_Toc50633069"/>
      <w:bookmarkStart w:id="110" w:name="_Toc57219014"/>
      <w:bookmarkStart w:id="111" w:name="_Toc59549128"/>
      <w:bookmarkStart w:id="112" w:name="_Toc11771599"/>
      <w:r w:rsidRPr="003565D0">
        <w:t>Subdivision 4.2.1—Preliminary</w:t>
      </w:r>
      <w:bookmarkEnd w:id="104"/>
      <w:bookmarkEnd w:id="105"/>
      <w:bookmarkEnd w:id="106"/>
      <w:bookmarkEnd w:id="107"/>
    </w:p>
    <w:p w14:paraId="2C0240AC" w14:textId="77777777" w:rsidR="00CF0E3D" w:rsidRPr="003565D0" w:rsidRDefault="00CF0E3D" w:rsidP="00CF0E3D">
      <w:pPr>
        <w:pStyle w:val="ActHead5"/>
      </w:pPr>
      <w:bookmarkStart w:id="113" w:name="_Toc50114021"/>
      <w:bookmarkStart w:id="114" w:name="_Toc57219012"/>
      <w:bookmarkStart w:id="115" w:name="_Toc59549126"/>
      <w:bookmarkStart w:id="116" w:name="_Toc74916117"/>
      <w:r w:rsidRPr="003565D0">
        <w:t>4.2  Consumer data requests made by accredited persons to CDR participants—flowchart</w:t>
      </w:r>
      <w:bookmarkEnd w:id="113"/>
      <w:bookmarkEnd w:id="114"/>
      <w:bookmarkEnd w:id="115"/>
      <w:bookmarkEnd w:id="116"/>
    </w:p>
    <w:p w14:paraId="6D77DF92" w14:textId="77777777" w:rsidR="00CF0E3D" w:rsidRPr="00F07699" w:rsidRDefault="00CF0E3D" w:rsidP="00CF0E3D">
      <w:pPr>
        <w:pStyle w:val="subsection"/>
        <w:keepNext/>
      </w:pPr>
      <w:r w:rsidRPr="003565D0">
        <w:tab/>
      </w:r>
      <w:r w:rsidRPr="003565D0">
        <w:tab/>
        <w:t>The following is a flowchart for how an accredited person makes a consumer data request to a CDR participant under this Division</w:t>
      </w:r>
      <w:r w:rsidRPr="0077773C">
        <w:t>.</w:t>
      </w:r>
    </w:p>
    <w:p w14:paraId="2AC8E31E" w14:textId="77777777" w:rsidR="00CF0E3D" w:rsidRPr="00466BDB" w:rsidRDefault="00CF0E3D" w:rsidP="00CF0E3D">
      <w:pPr>
        <w:pStyle w:val="subsection"/>
      </w:pPr>
      <w:r>
        <w:rPr>
          <w:noProof/>
        </w:rPr>
        <mc:AlternateContent>
          <mc:Choice Requires="wpc">
            <w:drawing>
              <wp:anchor distT="0" distB="0" distL="114300" distR="114300" simplePos="0" relativeHeight="251659264" behindDoc="0" locked="0" layoutInCell="1" allowOverlap="1" wp14:anchorId="0CD95ECB" wp14:editId="0A164E11">
                <wp:simplePos x="0" y="0"/>
                <wp:positionH relativeFrom="character">
                  <wp:posOffset>0</wp:posOffset>
                </wp:positionH>
                <wp:positionV relativeFrom="line">
                  <wp:posOffset>0</wp:posOffset>
                </wp:positionV>
                <wp:extent cx="5278755" cy="6791325"/>
                <wp:effectExtent l="0" t="0" r="0" b="1905"/>
                <wp:wrapNone/>
                <wp:docPr id="69" name="Canvas 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49"/>
                        <wps:cNvSpPr>
                          <a:spLocks noChangeArrowheads="1"/>
                        </wps:cNvSpPr>
                        <wps:spPr bwMode="auto">
                          <a:xfrm>
                            <a:off x="84701" y="57100"/>
                            <a:ext cx="5071753" cy="447702"/>
                          </a:xfrm>
                          <a:prstGeom prst="rect">
                            <a:avLst/>
                          </a:prstGeom>
                          <a:solidFill>
                            <a:schemeClr val="bg1">
                              <a:lumMod val="100000"/>
                              <a:lumOff val="0"/>
                            </a:schemeClr>
                          </a:solidFill>
                          <a:ln w="3175">
                            <a:solidFill>
                              <a:srgbClr val="000000"/>
                            </a:solidFill>
                            <a:miter lim="800000"/>
                            <a:headEnd/>
                            <a:tailEnd/>
                          </a:ln>
                        </wps:spPr>
                        <wps:txbx>
                          <w:txbxContent>
                            <w:p w14:paraId="709AA2EB" w14:textId="77777777" w:rsidR="00492D1F" w:rsidRPr="005825F5" w:rsidRDefault="00492D1F" w:rsidP="00CF0E3D">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A CDR consumer has requested an accredited person to provide goods or services, which require the use of the CDR consumer’s CDR data.</w:t>
                              </w:r>
                            </w:p>
                          </w:txbxContent>
                        </wps:txbx>
                        <wps:bodyPr rot="0" vert="horz" wrap="square" lIns="91440" tIns="45720" rIns="91440" bIns="45720" anchor="ctr" anchorCtr="0" upright="1">
                          <a:noAutofit/>
                        </wps:bodyPr>
                      </wps:wsp>
                      <wps:wsp>
                        <wps:cNvPr id="52" name="Rectangle 50"/>
                        <wps:cNvSpPr>
                          <a:spLocks noChangeArrowheads="1"/>
                        </wps:cNvSpPr>
                        <wps:spPr bwMode="auto">
                          <a:xfrm>
                            <a:off x="80201" y="847703"/>
                            <a:ext cx="5068653" cy="447602"/>
                          </a:xfrm>
                          <a:prstGeom prst="rect">
                            <a:avLst/>
                          </a:prstGeom>
                          <a:solidFill>
                            <a:schemeClr val="bg1">
                              <a:lumMod val="100000"/>
                              <a:lumOff val="0"/>
                            </a:schemeClr>
                          </a:solidFill>
                          <a:ln w="3175">
                            <a:solidFill>
                              <a:srgbClr val="000000"/>
                            </a:solidFill>
                            <a:miter lim="800000"/>
                            <a:headEnd/>
                            <a:tailEnd/>
                          </a:ln>
                        </wps:spPr>
                        <wps:txbx>
                          <w:txbxContent>
                            <w:p w14:paraId="151EC2CA" w14:textId="77777777" w:rsidR="00492D1F" w:rsidRPr="005825F5" w:rsidRDefault="00492D1F" w:rsidP="00CF0E3D">
                              <w:pPr>
                                <w:jc w:val="center"/>
                                <w:rPr>
                                  <w:color w:val="000000" w:themeColor="text1"/>
                                </w:rPr>
                              </w:pPr>
                              <w:r w:rsidRPr="005825F5">
                                <w:rPr>
                                  <w:color w:val="000000" w:themeColor="text1"/>
                                  <w:sz w:val="20"/>
                                </w:rPr>
                                <w:t>The CDR consumer consents to the accredited person collecting certain specified CDR data from a CDR participant and using it to provide those goods or serv</w:t>
                              </w:r>
                              <w:r w:rsidRPr="005825F5">
                                <w:rPr>
                                  <w:color w:val="000000" w:themeColor="text1"/>
                                </w:rPr>
                                <w:t>ices.</w:t>
                              </w:r>
                            </w:p>
                            <w:p w14:paraId="58238165" w14:textId="77777777" w:rsidR="00492D1F" w:rsidRPr="00572C56" w:rsidRDefault="00492D1F" w:rsidP="00CF0E3D">
                              <w:pPr>
                                <w:rPr>
                                  <w:color w:val="000000" w:themeColor="text1"/>
                                </w:rPr>
                              </w:pPr>
                            </w:p>
                          </w:txbxContent>
                        </wps:txbx>
                        <wps:bodyPr rot="0" vert="horz" wrap="square" lIns="91440" tIns="45720" rIns="91440" bIns="45720" anchor="ctr" anchorCtr="0" upright="1">
                          <a:noAutofit/>
                        </wps:bodyPr>
                      </wps:wsp>
                      <wps:wsp>
                        <wps:cNvPr id="53" name="Down Arrow 51"/>
                        <wps:cNvSpPr>
                          <a:spLocks noChangeArrowheads="1"/>
                        </wps:cNvSpPr>
                        <wps:spPr bwMode="auto">
                          <a:xfrm>
                            <a:off x="2407925" y="574502"/>
                            <a:ext cx="484605" cy="2072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 name="Rectangle 52"/>
                        <wps:cNvSpPr>
                          <a:spLocks noChangeArrowheads="1"/>
                        </wps:cNvSpPr>
                        <wps:spPr bwMode="auto">
                          <a:xfrm>
                            <a:off x="80201" y="1628706"/>
                            <a:ext cx="2502326" cy="951704"/>
                          </a:xfrm>
                          <a:prstGeom prst="rect">
                            <a:avLst/>
                          </a:prstGeom>
                          <a:solidFill>
                            <a:schemeClr val="bg1">
                              <a:lumMod val="100000"/>
                              <a:lumOff val="0"/>
                            </a:schemeClr>
                          </a:solidFill>
                          <a:ln w="3175">
                            <a:solidFill>
                              <a:srgbClr val="000000"/>
                            </a:solidFill>
                            <a:miter lim="800000"/>
                            <a:headEnd/>
                            <a:tailEnd/>
                          </a:ln>
                        </wps:spPr>
                        <wps:txbx>
                          <w:txbxContent>
                            <w:p w14:paraId="44F66666" w14:textId="77777777" w:rsidR="00492D1F" w:rsidRPr="005825F5" w:rsidRDefault="00492D1F" w:rsidP="00CF0E3D">
                              <w:pPr>
                                <w:pStyle w:val="NormalWeb"/>
                                <w:spacing w:line="260" w:lineRule="exact"/>
                                <w:jc w:val="center"/>
                                <w:rPr>
                                  <w:rFonts w:eastAsia="Calibri"/>
                                  <w:b/>
                                  <w:color w:val="000000" w:themeColor="text1"/>
                                  <w:sz w:val="20"/>
                                  <w:szCs w:val="22"/>
                                </w:rPr>
                              </w:pPr>
                              <w:r w:rsidRPr="005825F5">
                                <w:rPr>
                                  <w:rFonts w:eastAsia="Calibri"/>
                                  <w:b/>
                                  <w:color w:val="000000" w:themeColor="text1"/>
                                  <w:sz w:val="20"/>
                                  <w:szCs w:val="22"/>
                                </w:rPr>
                                <w:t>Consumer data request to data holder</w:t>
                              </w:r>
                            </w:p>
                            <w:p w14:paraId="3BC3213C" w14:textId="77777777" w:rsidR="00492D1F" w:rsidRPr="005825F5" w:rsidRDefault="00492D1F" w:rsidP="00CF0E3D">
                              <w:pPr>
                                <w:pStyle w:val="NormalWeb"/>
                                <w:spacing w:line="260" w:lineRule="exact"/>
                                <w:jc w:val="center"/>
                                <w:rPr>
                                  <w:color w:val="000000" w:themeColor="text1"/>
                                  <w:sz w:val="22"/>
                                </w:rPr>
                              </w:pPr>
                              <w:r w:rsidRPr="005825F5">
                                <w:rPr>
                                  <w:rFonts w:eastAsia="Calibri"/>
                                  <w:color w:val="000000" w:themeColor="text1"/>
                                  <w:sz w:val="20"/>
                                  <w:szCs w:val="22"/>
                                </w:rPr>
                                <w:t>The accredited person makes a consumer data request, on the CDR consumer’s behalf, to a data holder using the data holder’s accredited person request service.</w:t>
                              </w:r>
                            </w:p>
                          </w:txbxContent>
                        </wps:txbx>
                        <wps:bodyPr rot="0" vert="horz" wrap="square" lIns="91440" tIns="45720" rIns="91440" bIns="45720" anchor="ctr" anchorCtr="0" upright="1">
                          <a:noAutofit/>
                        </wps:bodyPr>
                      </wps:wsp>
                      <wps:wsp>
                        <wps:cNvPr id="55" name="Rectangle 54"/>
                        <wps:cNvSpPr>
                          <a:spLocks noChangeArrowheads="1"/>
                        </wps:cNvSpPr>
                        <wps:spPr bwMode="auto">
                          <a:xfrm>
                            <a:off x="79901" y="2894911"/>
                            <a:ext cx="2494326" cy="1305605"/>
                          </a:xfrm>
                          <a:prstGeom prst="rect">
                            <a:avLst/>
                          </a:prstGeom>
                          <a:solidFill>
                            <a:schemeClr val="bg1">
                              <a:lumMod val="100000"/>
                              <a:lumOff val="0"/>
                            </a:schemeClr>
                          </a:solidFill>
                          <a:ln w="3175">
                            <a:solidFill>
                              <a:srgbClr val="000000"/>
                            </a:solidFill>
                            <a:miter lim="800000"/>
                            <a:headEnd/>
                            <a:tailEnd/>
                          </a:ln>
                        </wps:spPr>
                        <wps:txbx>
                          <w:txbxContent>
                            <w:p w14:paraId="498D8E87" w14:textId="77777777" w:rsidR="00492D1F" w:rsidRPr="005825F5" w:rsidRDefault="00492D1F" w:rsidP="00CF0E3D">
                              <w:pPr>
                                <w:pStyle w:val="NormalWeb"/>
                                <w:spacing w:after="60" w:line="260" w:lineRule="exact"/>
                                <w:jc w:val="center"/>
                                <w:rPr>
                                  <w:color w:val="000000" w:themeColor="text1"/>
                                </w:rPr>
                              </w:pPr>
                              <w:r w:rsidRPr="005825F5">
                                <w:rPr>
                                  <w:rFonts w:eastAsia="Calibri"/>
                                  <w:color w:val="000000" w:themeColor="text1"/>
                                  <w:sz w:val="20"/>
                                  <w:szCs w:val="20"/>
                                </w:rPr>
                                <w:t>For any required consumer data, the data holder must (unless covered by an exception) ask the CDR consumer to authorise disclosure of the requested data. </w:t>
                              </w:r>
                            </w:p>
                            <w:p w14:paraId="56A19DB2" w14:textId="77777777" w:rsidR="00492D1F" w:rsidRPr="005825F5" w:rsidRDefault="00492D1F" w:rsidP="00CF0E3D">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For any voluntary consumer data, the data holder may (but is not required to) ask the CDR consumer to authorise disclosure.</w:t>
                              </w:r>
                            </w:p>
                          </w:txbxContent>
                        </wps:txbx>
                        <wps:bodyPr rot="0" vert="horz" wrap="square" lIns="91440" tIns="45720" rIns="91440" bIns="45720" anchor="ctr" anchorCtr="0" upright="1">
                          <a:noAutofit/>
                        </wps:bodyPr>
                      </wps:wsp>
                      <wps:wsp>
                        <wps:cNvPr id="56" name="Down Arrow 55"/>
                        <wps:cNvSpPr>
                          <a:spLocks noChangeArrowheads="1"/>
                        </wps:cNvSpPr>
                        <wps:spPr bwMode="auto">
                          <a:xfrm>
                            <a:off x="1101511" y="2644310"/>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7" name="Rectangle 56"/>
                        <wps:cNvSpPr>
                          <a:spLocks noChangeArrowheads="1"/>
                        </wps:cNvSpPr>
                        <wps:spPr bwMode="auto">
                          <a:xfrm>
                            <a:off x="72001" y="6132223"/>
                            <a:ext cx="5090253" cy="592402"/>
                          </a:xfrm>
                          <a:prstGeom prst="rect">
                            <a:avLst/>
                          </a:prstGeom>
                          <a:solidFill>
                            <a:schemeClr val="bg1">
                              <a:lumMod val="100000"/>
                              <a:lumOff val="0"/>
                            </a:schemeClr>
                          </a:solidFill>
                          <a:ln w="3175">
                            <a:solidFill>
                              <a:srgbClr val="000000"/>
                            </a:solidFill>
                            <a:miter lim="800000"/>
                            <a:headEnd/>
                            <a:tailEnd/>
                          </a:ln>
                        </wps:spPr>
                        <wps:txbx>
                          <w:txbxContent>
                            <w:p w14:paraId="4E21C590" w14:textId="77777777" w:rsidR="00492D1F" w:rsidRPr="005825F5" w:rsidRDefault="00492D1F" w:rsidP="00CF0E3D">
                              <w:pPr>
                                <w:pStyle w:val="NormalWeb"/>
                                <w:spacing w:line="260" w:lineRule="exact"/>
                                <w:jc w:val="center"/>
                                <w:rPr>
                                  <w:color w:val="000000" w:themeColor="text1"/>
                                </w:rPr>
                              </w:pPr>
                              <w:r w:rsidRPr="005825F5">
                                <w:rPr>
                                  <w:rFonts w:eastAsia="Calibri"/>
                                  <w:color w:val="000000" w:themeColor="text1"/>
                                  <w:sz w:val="20"/>
                                  <w:szCs w:val="20"/>
                                </w:rPr>
                                <w:t>The accredited person may use and disclose the CDR data it collects as a result of the consumer data request, in accordance with the Act and these rules, to provide the requested goods and services to the CDR consumer</w:t>
                              </w:r>
                              <w:r>
                                <w:rPr>
                                  <w:rFonts w:eastAsia="Calibri"/>
                                  <w:color w:val="000000" w:themeColor="text1"/>
                                  <w:sz w:val="20"/>
                                  <w:szCs w:val="20"/>
                                </w:rPr>
                                <w:t>, and as otherwise consented to by the CDR consumer</w:t>
                              </w:r>
                              <w:r w:rsidRPr="005825F5">
                                <w:rPr>
                                  <w:rFonts w:eastAsia="Calibri"/>
                                  <w:color w:val="000000" w:themeColor="text1"/>
                                  <w:sz w:val="20"/>
                                  <w:szCs w:val="20"/>
                                </w:rPr>
                                <w:t>.</w:t>
                              </w:r>
                            </w:p>
                          </w:txbxContent>
                        </wps:txbx>
                        <wps:bodyPr rot="0" vert="horz" wrap="square" lIns="91440" tIns="45720" rIns="91440" bIns="45720" anchor="ctr" anchorCtr="0" upright="1">
                          <a:noAutofit/>
                        </wps:bodyPr>
                      </wps:wsp>
                      <wps:wsp>
                        <wps:cNvPr id="58" name="Down Arrow 57"/>
                        <wps:cNvSpPr>
                          <a:spLocks noChangeArrowheads="1"/>
                        </wps:cNvSpPr>
                        <wps:spPr bwMode="auto">
                          <a:xfrm>
                            <a:off x="1111712" y="5857222"/>
                            <a:ext cx="484505" cy="2063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 name="Down Arrow 58"/>
                        <wps:cNvSpPr>
                          <a:spLocks noChangeArrowheads="1"/>
                        </wps:cNvSpPr>
                        <wps:spPr bwMode="auto">
                          <a:xfrm>
                            <a:off x="1122512" y="4259316"/>
                            <a:ext cx="484505" cy="2064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 name="Rectangle 59"/>
                        <wps:cNvSpPr>
                          <a:spLocks noChangeArrowheads="1"/>
                        </wps:cNvSpPr>
                        <wps:spPr bwMode="auto">
                          <a:xfrm>
                            <a:off x="76401" y="4513617"/>
                            <a:ext cx="2526426" cy="1287105"/>
                          </a:xfrm>
                          <a:prstGeom prst="rect">
                            <a:avLst/>
                          </a:prstGeom>
                          <a:solidFill>
                            <a:schemeClr val="bg1">
                              <a:lumMod val="100000"/>
                              <a:lumOff val="0"/>
                            </a:schemeClr>
                          </a:solidFill>
                          <a:ln w="3175">
                            <a:solidFill>
                              <a:srgbClr val="000000"/>
                            </a:solidFill>
                            <a:miter lim="800000"/>
                            <a:headEnd/>
                            <a:tailEnd/>
                          </a:ln>
                        </wps:spPr>
                        <wps:txbx>
                          <w:txbxContent>
                            <w:p w14:paraId="54BDAE43" w14:textId="77777777" w:rsidR="00492D1F" w:rsidRPr="005825F5" w:rsidRDefault="00492D1F" w:rsidP="00CF0E3D">
                              <w:pPr>
                                <w:pStyle w:val="NormalWeb"/>
                                <w:spacing w:after="60" w:line="260" w:lineRule="exact"/>
                                <w:jc w:val="center"/>
                                <w:rPr>
                                  <w:color w:val="000000" w:themeColor="text1"/>
                                </w:rPr>
                              </w:pPr>
                              <w:r w:rsidRPr="005825F5">
                                <w:rPr>
                                  <w:rFonts w:eastAsia="Calibri"/>
                                  <w:color w:val="000000" w:themeColor="text1"/>
                                  <w:sz w:val="20"/>
                                  <w:szCs w:val="20"/>
                                </w:rPr>
                                <w:t>The data holder must disclose, to the accredited person, the required consumer data it is authorised to disclose, and may disclose the voluntary consumer data it is authorised to disclose. </w:t>
                              </w:r>
                            </w:p>
                            <w:p w14:paraId="0BD320B4" w14:textId="77777777" w:rsidR="00492D1F" w:rsidRPr="005825F5" w:rsidRDefault="00492D1F" w:rsidP="00CF0E3D">
                              <w:pPr>
                                <w:pStyle w:val="NormalWeb"/>
                                <w:spacing w:line="260" w:lineRule="exact"/>
                                <w:jc w:val="center"/>
                                <w:rPr>
                                  <w:color w:val="000000" w:themeColor="text1"/>
                                </w:rPr>
                              </w:pPr>
                              <w:r w:rsidRPr="005825F5">
                                <w:rPr>
                                  <w:rFonts w:eastAsia="Calibri"/>
                                  <w:color w:val="000000" w:themeColor="text1"/>
                                  <w:sz w:val="20"/>
                                  <w:szCs w:val="20"/>
                                </w:rPr>
                                <w:t>In either case, the data is disclosed through the data holder’s direct request service.</w:t>
                              </w:r>
                            </w:p>
                          </w:txbxContent>
                        </wps:txbx>
                        <wps:bodyPr rot="0" vert="horz" wrap="square" lIns="91440" tIns="45720" rIns="91440" bIns="45720" anchor="ctr" anchorCtr="0" upright="1">
                          <a:noAutofit/>
                        </wps:bodyPr>
                      </wps:wsp>
                      <wps:wsp>
                        <wps:cNvPr id="61" name="Rectangle 61"/>
                        <wps:cNvSpPr>
                          <a:spLocks noChangeArrowheads="1"/>
                        </wps:cNvSpPr>
                        <wps:spPr bwMode="auto">
                          <a:xfrm>
                            <a:off x="2722228" y="1628706"/>
                            <a:ext cx="2426625" cy="951904"/>
                          </a:xfrm>
                          <a:prstGeom prst="rect">
                            <a:avLst/>
                          </a:prstGeom>
                          <a:solidFill>
                            <a:schemeClr val="bg1">
                              <a:lumMod val="100000"/>
                              <a:lumOff val="0"/>
                            </a:schemeClr>
                          </a:solidFill>
                          <a:ln w="3175">
                            <a:solidFill>
                              <a:srgbClr val="000000"/>
                            </a:solidFill>
                            <a:miter lim="800000"/>
                            <a:headEnd/>
                            <a:tailEnd/>
                          </a:ln>
                        </wps:spPr>
                        <wps:txbx>
                          <w:txbxContent>
                            <w:p w14:paraId="62DFD9B1" w14:textId="77777777" w:rsidR="00492D1F" w:rsidRPr="005825F5" w:rsidRDefault="00492D1F" w:rsidP="00CF0E3D">
                              <w:pPr>
                                <w:pStyle w:val="NormalWeb"/>
                                <w:spacing w:line="260" w:lineRule="exact"/>
                                <w:jc w:val="center"/>
                                <w:rPr>
                                  <w:rFonts w:eastAsia="Calibri"/>
                                  <w:b/>
                                  <w:color w:val="000000" w:themeColor="text1"/>
                                  <w:sz w:val="20"/>
                                  <w:szCs w:val="20"/>
                                </w:rPr>
                              </w:pPr>
                              <w:r w:rsidRPr="005825F5">
                                <w:rPr>
                                  <w:rFonts w:eastAsia="Calibri"/>
                                  <w:b/>
                                  <w:color w:val="000000" w:themeColor="text1"/>
                                  <w:sz w:val="20"/>
                                  <w:szCs w:val="20"/>
                                </w:rPr>
                                <w:t>Consumer data request to accredited data recipient</w:t>
                              </w:r>
                            </w:p>
                            <w:p w14:paraId="40AF3969" w14:textId="77777777" w:rsidR="00492D1F" w:rsidRPr="005825F5" w:rsidRDefault="00492D1F" w:rsidP="00CF0E3D">
                              <w:pPr>
                                <w:pStyle w:val="NormalWeb"/>
                                <w:spacing w:line="260" w:lineRule="exact"/>
                                <w:jc w:val="center"/>
                                <w:rPr>
                                  <w:color w:val="000000" w:themeColor="text1"/>
                                </w:rPr>
                              </w:pPr>
                              <w:r w:rsidRPr="005825F5">
                                <w:rPr>
                                  <w:rFonts w:eastAsia="Calibri"/>
                                  <w:color w:val="000000" w:themeColor="text1"/>
                                  <w:sz w:val="20"/>
                                  <w:szCs w:val="20"/>
                                </w:rPr>
                                <w:t>The accredited person makes a consumer data request, on the CDR consumer’s behalf, to an accredited data recipient.</w:t>
                              </w:r>
                            </w:p>
                          </w:txbxContent>
                        </wps:txbx>
                        <wps:bodyPr rot="0" vert="horz" wrap="square" lIns="91440" tIns="45720" rIns="91440" bIns="45720" anchor="ctr" anchorCtr="0" upright="1">
                          <a:noAutofit/>
                        </wps:bodyPr>
                      </wps:wsp>
                      <wps:wsp>
                        <wps:cNvPr id="62" name="Rectangle 62"/>
                        <wps:cNvSpPr>
                          <a:spLocks noChangeArrowheads="1"/>
                        </wps:cNvSpPr>
                        <wps:spPr bwMode="auto">
                          <a:xfrm>
                            <a:off x="2721628" y="2907811"/>
                            <a:ext cx="2426625" cy="1302205"/>
                          </a:xfrm>
                          <a:prstGeom prst="rect">
                            <a:avLst/>
                          </a:prstGeom>
                          <a:solidFill>
                            <a:schemeClr val="bg1">
                              <a:lumMod val="100000"/>
                              <a:lumOff val="0"/>
                            </a:schemeClr>
                          </a:solidFill>
                          <a:ln w="3175">
                            <a:solidFill>
                              <a:srgbClr val="000000"/>
                            </a:solidFill>
                            <a:miter lim="800000"/>
                            <a:headEnd/>
                            <a:tailEnd/>
                          </a:ln>
                        </wps:spPr>
                        <wps:txbx>
                          <w:txbxContent>
                            <w:p w14:paraId="612A6DE8" w14:textId="77777777" w:rsidR="00492D1F" w:rsidRPr="005825F5" w:rsidRDefault="00492D1F" w:rsidP="00CF0E3D">
                              <w:pPr>
                                <w:pStyle w:val="NormalWeb"/>
                                <w:spacing w:line="260" w:lineRule="exact"/>
                                <w:jc w:val="center"/>
                                <w:rPr>
                                  <w:color w:val="000000" w:themeColor="text1"/>
                                </w:rPr>
                              </w:pPr>
                              <w:r w:rsidRPr="005825F5">
                                <w:rPr>
                                  <w:rFonts w:eastAsia="Calibri"/>
                                  <w:color w:val="000000" w:themeColor="text1"/>
                                  <w:sz w:val="20"/>
                                  <w:szCs w:val="20"/>
                                </w:rPr>
                                <w:t>The accredited data recipient may (but is not required to) ask the CDR consumer to consent to it disclosing the requested CDR data to the accredited person</w:t>
                              </w:r>
                              <w:r w:rsidRPr="00275F9C">
                                <w:rPr>
                                  <w:rFonts w:eastAsia="Calibri"/>
                                  <w:sz w:val="20"/>
                                  <w:szCs w:val="20"/>
                                </w:rPr>
                                <w:t>, if such a consent is not already in place</w:t>
                              </w:r>
                              <w:r w:rsidRPr="005825F5">
                                <w:rPr>
                                  <w:rFonts w:eastAsia="Calibri"/>
                                  <w:color w:val="000000" w:themeColor="text1"/>
                                  <w:sz w:val="20"/>
                                  <w:szCs w:val="20"/>
                                </w:rPr>
                                <w:t>.</w:t>
                              </w:r>
                            </w:p>
                          </w:txbxContent>
                        </wps:txbx>
                        <wps:bodyPr rot="0" vert="horz" wrap="square" lIns="91440" tIns="45720" rIns="91440" bIns="45720" anchor="ctr" anchorCtr="0" upright="1">
                          <a:noAutofit/>
                        </wps:bodyPr>
                      </wps:wsp>
                      <wps:wsp>
                        <wps:cNvPr id="63" name="Down Arrow 63"/>
                        <wps:cNvSpPr>
                          <a:spLocks noChangeArrowheads="1"/>
                        </wps:cNvSpPr>
                        <wps:spPr bwMode="auto">
                          <a:xfrm>
                            <a:off x="3780439" y="2644310"/>
                            <a:ext cx="382504"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4" name="Rectangle 64"/>
                        <wps:cNvSpPr>
                          <a:spLocks noChangeArrowheads="1"/>
                        </wps:cNvSpPr>
                        <wps:spPr bwMode="auto">
                          <a:xfrm>
                            <a:off x="2735529" y="4513617"/>
                            <a:ext cx="2426725" cy="1287105"/>
                          </a:xfrm>
                          <a:prstGeom prst="rect">
                            <a:avLst/>
                          </a:prstGeom>
                          <a:solidFill>
                            <a:schemeClr val="bg1">
                              <a:lumMod val="100000"/>
                              <a:lumOff val="0"/>
                            </a:schemeClr>
                          </a:solidFill>
                          <a:ln w="3175">
                            <a:solidFill>
                              <a:srgbClr val="000000"/>
                            </a:solidFill>
                            <a:miter lim="800000"/>
                            <a:headEnd/>
                            <a:tailEnd/>
                          </a:ln>
                        </wps:spPr>
                        <wps:txbx>
                          <w:txbxContent>
                            <w:p w14:paraId="7E10211E" w14:textId="77777777" w:rsidR="00492D1F" w:rsidRPr="005825F5" w:rsidRDefault="00492D1F" w:rsidP="00CF0E3D">
                              <w:pPr>
                                <w:pStyle w:val="NormalWeb"/>
                                <w:spacing w:line="260" w:lineRule="exact"/>
                                <w:jc w:val="center"/>
                                <w:rPr>
                                  <w:color w:val="000000" w:themeColor="text1"/>
                                </w:rPr>
                              </w:pPr>
                              <w:r w:rsidRPr="005825F5">
                                <w:rPr>
                                  <w:rFonts w:eastAsia="Calibri"/>
                                  <w:color w:val="000000" w:themeColor="text1"/>
                                  <w:sz w:val="20"/>
                                  <w:szCs w:val="20"/>
                                </w:rPr>
                                <w:t xml:space="preserve">If the CDR consumer gives </w:t>
                              </w:r>
                              <w:r w:rsidRPr="00275F9C">
                                <w:rPr>
                                  <w:rFonts w:eastAsia="Calibri"/>
                                  <w:sz w:val="20"/>
                                  <w:szCs w:val="20"/>
                                </w:rPr>
                                <w:t>or has given</w:t>
                              </w:r>
                              <w:r w:rsidRPr="00572C56">
                                <w:rPr>
                                  <w:rFonts w:eastAsia="Calibri"/>
                                  <w:color w:val="000000" w:themeColor="text1"/>
                                  <w:sz w:val="20"/>
                                  <w:szCs w:val="20"/>
                                </w:rPr>
                                <w:t xml:space="preserve"> </w:t>
                              </w:r>
                              <w:r w:rsidRPr="005825F5">
                                <w:rPr>
                                  <w:rFonts w:eastAsia="Calibri"/>
                                  <w:color w:val="000000" w:themeColor="text1"/>
                                  <w:sz w:val="20"/>
                                  <w:szCs w:val="20"/>
                                </w:rPr>
                                <w:t xml:space="preserve">a disclosure consent, the accredited data recipient may (but is not required to) disclose the requested CDR data to the accredited person. </w:t>
                              </w:r>
                            </w:p>
                          </w:txbxContent>
                        </wps:txbx>
                        <wps:bodyPr rot="0" vert="horz" wrap="square" lIns="91440" tIns="45720" rIns="91440" bIns="45720" anchor="ctr" anchorCtr="0" upright="1">
                          <a:noAutofit/>
                        </wps:bodyPr>
                      </wps:wsp>
                      <wps:wsp>
                        <wps:cNvPr id="65" name="Down Arrow 65"/>
                        <wps:cNvSpPr>
                          <a:spLocks noChangeArrowheads="1"/>
                        </wps:cNvSpPr>
                        <wps:spPr bwMode="auto">
                          <a:xfrm>
                            <a:off x="3780439" y="4251416"/>
                            <a:ext cx="382504" cy="2064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6" name="Down Arrow 67"/>
                        <wps:cNvSpPr>
                          <a:spLocks noChangeArrowheads="1"/>
                        </wps:cNvSpPr>
                        <wps:spPr bwMode="auto">
                          <a:xfrm>
                            <a:off x="3726039" y="5857222"/>
                            <a:ext cx="382504" cy="2063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 name="Down Arrow 68"/>
                        <wps:cNvSpPr>
                          <a:spLocks noChangeArrowheads="1"/>
                        </wps:cNvSpPr>
                        <wps:spPr bwMode="auto">
                          <a:xfrm>
                            <a:off x="3734239" y="1351205"/>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 name="Down Arrow 69"/>
                        <wps:cNvSpPr>
                          <a:spLocks noChangeArrowheads="1"/>
                        </wps:cNvSpPr>
                        <wps:spPr bwMode="auto">
                          <a:xfrm>
                            <a:off x="1132012" y="1361405"/>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CD95ECB" id="Canvas 69" o:spid="_x0000_s1036" editas="canvas" style="position:absolute;margin-left:0;margin-top:0;width:415.65pt;height:534.75pt;z-index:251659264;mso-position-horizontal-relative:char;mso-position-vertical-relative:line" coordsize="52787,6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PaogUAAEQ5AAAOAAAAZHJzL2Uyb0RvYy54bWzsW11zozYUfe9M/wPDe9dICGE8cXZ2km6n&#10;M9t2p9v+ABmwTQuIChJ7++t7JD6MbfIQN+WlyoNjBL5I3HvuuR/i7v2xyJ3nVNWZLNcueee5TlrG&#10;MsnK3dr9/beP3y1dp25EmYhcluna/ZrW7vv7b7+5O1SrlMq9zJNUORBS1qtDtXb3TVOtFos63qeF&#10;qN/JKi1xcitVIRocqt0iUeIA6UW+oJ7HFwepkkrJOK1rjD62J917I3+7TePml+22ThsnX7uYW2M+&#10;lfnc6M/F/Z1Y7ZSo9lncTUPcMItCZCVuOoh6FI1wnlR2JarIYiVruW3exbJYyO02i1OzBqyGeBer&#10;eRDls6jNYmI8nX6C+PaGcjc7Pe9SfszyHE9jAekrPab/H6CfFIOHCtqpq0FP9b+7/5e9qFKzrHoV&#10;//z8WTlZsnYD4jqlKGAkv0JtotzlqcMirSF9e1z3pfqs9Fzr6pOM/6ydUj7scVn6QSl52KciwbSI&#10;vh5rGP1AH9T4qbM5/CQTiBdPjTTKOm5VoQVCDc5x7S5Z6GEOXzGVkHidbaTHxolxMvBCEga+68Q4&#10;z1gYetTcSqx6KZWqmx9SWTj6y9pVWIS5i3j+VDd6VmLVX2JWIfMs0Q/dHGh7Tx9y5TwLWOpmR8xP&#10;86cCU27HMCP8tQaLcZh1O26GINtARoswd6rH0vPSOaxdH/M3Us/O1Wq3Ge5rbjEIHIsosgY4zbMC&#10;j2k0Ef3Uvy8TrE6sGpHl7XfMJi87Negn32qwOW6ORtGs1+lGJl+hFyVbWMKN4Mteqr9d5wBIrt36&#10;ryehUtfJfyyh24gwpjFsDlgQUhyo8ZnN+IwoY4hau3GjXKc9eGha5D9VKtvtca/2KZfyAyximxkl&#10;aWtp59UtAHY/FwDoNQACo40ze/4PAeDBCRkAAAqh57fGdkIAX/IRArhFAKz+JgQEFgHTFAD/2lLA&#10;ozyUjnHsDnhhPg6gzAsjGnQswILWxsWqBwFbMu7htGYB6sEFtYTzIgskWIdZhvG8hgq0r9wl3TpF&#10;8gcQty1yRB1w/U5wcvLja+AZJq6Bn+0kXnDLwObaEWvf7004/nPKaY5vSjlvwBeWHdoopg+PWI+N&#10;U3gUmBhkdnYgnC5Dj5/TAwVWfMpbaEQBCT3D87BMGyC9MkAyT/YUiNgAqYcAHO9lhhAM0eQMGUIY&#10;RV2ARJcRi4hx/idyoCxiAwSI7wWaKtrI32LglRgIe9K3NHBOA/Cw1yHSEFDOAAJCPBLA9HWiTDlj&#10;Pumy0lGMFIxiJM/GSNNpuY2Rzmp9ryqNvVBCCntwjGKkgU1nwAYSgo4gOPEppVcpdOTRPoUOIiQb&#10;toh0Ywq9tPwwnUKj4H7NDwObzoABgr+QIGPVhdQlynTUGPkpTEIOPeIH7lt+sPwwU4shmgLH4Epm&#10;AQelQQcORoPIJxdp9AU4mAWHBcc84OBop1xl13P230KurV3TBguIz4khrRNt0ADZRl9gIqhAEZtd&#10;39qAGNRqs+uz7JrD/i4xgLEZ+w86XKKI4YCC6TIrIMB1g0J3IFBmjWyZ9VYQtHULW2dFb6hrIXR1&#10;Vj7RiMbYrCjQxt+WmCIvXF5XWkcoQKWVUssFN8Ng8G+WDM7JYKobzU1JZ6aWmx8uPeYjaYGvnyy1&#10;+ku03dAY7NrRttRqNlFd74Cypda3LrXyiXY0xubkCD8IaIuN6XwBkVLYR0o2X+j3Dt60YQkVi06z&#10;liPOOWJoSY92LPE523FjjkBFibDLitI5R5gcG7p8eV+G3bJ08xZXC45zcEz1qvmcvQg/pNzrAqjJ&#10;XsQFOGwvwgZQM+32Bg6uG3V8zl6EH/qMduAgProSbQ59qrie9yJCm11YcMwFjqkuNh+q1rM06nxs&#10;7m672LoZwSw4um1er3z56H+Vepu35/DmnImvu9cK9buA42N8H7/8eP8PAAAA//8DAFBLAwQUAAYA&#10;CAAAACEAE9aGLdwAAAAGAQAADwAAAGRycy9kb3ducmV2LnhtbEyPwW7CMBBE70j9B2sr9QZ2gkCQ&#10;xkFVpVa90AroB5h4SaLa6yg2kP59t72Uy0irGc28LTejd+KCQ+wCachmCgRSHWxHjYbPw8t0BSIm&#10;Q9a4QKjhGyNsqrtJaQobrrTDyz41gksoFkZDm1JfSBnrFr2Js9AjsXcKgzeJz6GRdjBXLvdO5kot&#10;pTcd8UJrenxusf7an72Gj4xy27v19uTewvt2VHnzuvBaP9yPT48gEo7pPwy/+IwOFTMdw5lsFE4D&#10;P5L+lL3VPJuDOHJILdcLkFUpb/GrHwAAAP//AwBQSwECLQAUAAYACAAAACEAtoM4kv4AAADhAQAA&#10;EwAAAAAAAAAAAAAAAAAAAAAAW0NvbnRlbnRfVHlwZXNdLnhtbFBLAQItABQABgAIAAAAIQA4/SH/&#10;1gAAAJQBAAALAAAAAAAAAAAAAAAAAC8BAABfcmVscy8ucmVsc1BLAQItABQABgAIAAAAIQDAmYPa&#10;ogUAAEQ5AAAOAAAAAAAAAAAAAAAAAC4CAABkcnMvZTJvRG9jLnhtbFBLAQItABQABgAIAAAAIQAT&#10;1oYt3AAAAAYBAAAPAAAAAAAAAAAAAAAAAPwHAABkcnMvZG93bnJldi54bWxQSwUGAAAAAAQABADz&#10;AAAABQkAAAAA&#10;">
                <v:shape id="_x0000_s1037" type="#_x0000_t75" style="position:absolute;width:52787;height:67913;visibility:visible;mso-wrap-style:square">
                  <v:fill o:detectmouseclick="t"/>
                  <v:path o:connecttype="none"/>
                </v:shape>
                <v:rect id="Rectangle 49" o:spid="_x0000_s1038" style="position:absolute;left:847;top:571;width:50717;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slWwQAAANsAAAAPAAAAZHJzL2Rvd25yZXYueG1sRI9Ba8JA&#10;FITvhf6H5Qne6saCpURXCYLQm2gCvT6yr0lo9u2Stybx33cFocdhZr5hdofZ9WqkQTrPBtarDBRx&#10;7W3HjYGqPL19gpKIbLH3TAbuJHDYv77sMLd+4guN19ioBGHJ0UAbY8i1lrolh7LygTh5P35wGJMc&#10;Gm0HnBLc9fo9yz60w47TQouBji3Vv9ebM3AK94svb1JMEs5VcS4z+R4rY5aLudiCijTH//Cz/WUN&#10;bNbw+JJ+gN7/AQAA//8DAFBLAQItABQABgAIAAAAIQDb4fbL7gAAAIUBAAATAAAAAAAAAAAAAAAA&#10;AAAAAABbQ29udGVudF9UeXBlc10ueG1sUEsBAi0AFAAGAAgAAAAhAFr0LFu/AAAAFQEAAAsAAAAA&#10;AAAAAAAAAAAAHwEAAF9yZWxzLy5yZWxzUEsBAi0AFAAGAAgAAAAhAKnmyVbBAAAA2wAAAA8AAAAA&#10;AAAAAAAAAAAABwIAAGRycy9kb3ducmV2LnhtbFBLBQYAAAAAAwADALcAAAD1AgAAAAA=&#10;" fillcolor="white [3212]" strokeweight=".25pt">
                  <v:textbox>
                    <w:txbxContent>
                      <w:p w14:paraId="709AA2EB" w14:textId="77777777" w:rsidR="00492D1F" w:rsidRPr="005825F5" w:rsidRDefault="00492D1F" w:rsidP="00CF0E3D">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A CDR consumer has requested an accredited person to provide goods or services, which require the use of the CDR consumer’s CDR data.</w:t>
                        </w:r>
                      </w:p>
                    </w:txbxContent>
                  </v:textbox>
                </v:rect>
                <v:rect id="Rectangle 50" o:spid="_x0000_s1039" style="position:absolute;left:802;top:8477;width:50686;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chwQAAANsAAAAPAAAAZHJzL2Rvd25yZXYueG1sRI9Ba8JA&#10;FITvhf6H5RV6qxuFlhJdJQiCN9EEen1kX5PQ7Nslb03iv3cFocdhZr5hNrvZ9WqkQTrPBpaLDBRx&#10;7W3HjYGqPHx8g5KIbLH3TAZuJLDbvr5sMLd+4jONl9ioBGHJ0UAbY8i1lrolh7LwgTh5v35wGJMc&#10;Gm0HnBLc9XqVZV/aYcdpocVA+5bqv8vVGTiE29mXVykmCaeqOJWZ/IyVMe9vc7EGFWmO/+Fn+2gN&#10;fK7g8SX9AL29AwAA//8DAFBLAQItABQABgAIAAAAIQDb4fbL7gAAAIUBAAATAAAAAAAAAAAAAAAA&#10;AAAAAABbQ29udGVudF9UeXBlc10ueG1sUEsBAi0AFAAGAAgAAAAhAFr0LFu/AAAAFQEAAAsAAAAA&#10;AAAAAAAAAAAAHwEAAF9yZWxzLy5yZWxzUEsBAi0AFAAGAAgAAAAhAFk0VyHBAAAA2wAAAA8AAAAA&#10;AAAAAAAAAAAABwIAAGRycy9kb3ducmV2LnhtbFBLBQYAAAAAAwADALcAAAD1AgAAAAA=&#10;" fillcolor="white [3212]" strokeweight=".25pt">
                  <v:textbox>
                    <w:txbxContent>
                      <w:p w14:paraId="151EC2CA" w14:textId="77777777" w:rsidR="00492D1F" w:rsidRPr="005825F5" w:rsidRDefault="00492D1F" w:rsidP="00CF0E3D">
                        <w:pPr>
                          <w:jc w:val="center"/>
                          <w:rPr>
                            <w:color w:val="000000" w:themeColor="text1"/>
                          </w:rPr>
                        </w:pPr>
                        <w:r w:rsidRPr="005825F5">
                          <w:rPr>
                            <w:color w:val="000000" w:themeColor="text1"/>
                            <w:sz w:val="20"/>
                          </w:rPr>
                          <w:t>The CDR consumer consents to the accredited person collecting certain specified CDR data from a CDR participant and using it to provide those goods or serv</w:t>
                        </w:r>
                        <w:r w:rsidRPr="005825F5">
                          <w:rPr>
                            <w:color w:val="000000" w:themeColor="text1"/>
                          </w:rPr>
                          <w:t>ices.</w:t>
                        </w:r>
                      </w:p>
                      <w:p w14:paraId="58238165" w14:textId="77777777" w:rsidR="00492D1F" w:rsidRPr="00572C56" w:rsidRDefault="00492D1F" w:rsidP="00CF0E3D">
                        <w:pPr>
                          <w:rPr>
                            <w:color w:val="000000" w:themeColor="text1"/>
                          </w:rPr>
                        </w:pPr>
                      </w:p>
                    </w:txbxContent>
                  </v:textbox>
                </v:rect>
                <v:shape id="Down Arrow 51" o:spid="_x0000_s1040" type="#_x0000_t67" style="position:absolute;left:24079;top:5745;width:4846;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cZxQAAANsAAAAPAAAAZHJzL2Rvd25yZXYueG1sRI9Pa8JA&#10;FMTvhX6H5RW81U0sakldgwgt4iH4p4jHR/Y1SZt9m2bXJP32XUHwOMzMb5hFOphadNS6yrKCeByB&#10;IM6trrhQ8Hl8f34F4TyyxtoyKfgjB+ny8WGBibY976k7+EIECLsEFZTeN4mULi/JoBvbhjh4X7Y1&#10;6INsC6lb7APc1HISRTNpsOKwUGJD65Lyn8PFKODfS/WBMZ/nWXSi1a4/Znr7rdToaVi9gfA0+Hv4&#10;1t5oBdMXuH4JP0Au/wEAAP//AwBQSwECLQAUAAYACAAAACEA2+H2y+4AAACFAQAAEwAAAAAAAAAA&#10;AAAAAAAAAAAAW0NvbnRlbnRfVHlwZXNdLnhtbFBLAQItABQABgAIAAAAIQBa9CxbvwAAABUBAAAL&#10;AAAAAAAAAAAAAAAAAB8BAABfcmVscy8ucmVsc1BLAQItABQABgAIAAAAIQAqJIcZxQAAANsAAAAP&#10;AAAAAAAAAAAAAAAAAAcCAABkcnMvZG93bnJldi54bWxQSwUGAAAAAAMAAwC3AAAA+QIAAAAA&#10;" adj="10800" filled="f" strokecolor="black [3213]" strokeweight="0"/>
                <v:rect id="Rectangle 52" o:spid="_x0000_s1041" style="position:absolute;left:802;top:16287;width:25023;height:9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rOwgAAANsAAAAPAAAAZHJzL2Rvd25yZXYueG1sRI/BasMw&#10;EETvhfyD2EJvjdzSluBECSYQ6C0kNuS6WBvbxFoJr2I7f18VCj0OM/OG2exm16uRBuk8G3hbZqCI&#10;a287bgxU5eF1BUoissXeMxl4kMBuu3jaYG79xCcaz7FRCcKSo4E2xpBrLXVLDmXpA3Hyrn5wGJMc&#10;Gm0HnBLc9fo9y760w47TQouB9i3Vt/PdGTiEx8mXdykmCceqOJaZXMbKmJfnuViDijTH//Bf+9sa&#10;+PyA3y/pB+jtDwAAAP//AwBQSwECLQAUAAYACAAAACEA2+H2y+4AAACFAQAAEwAAAAAAAAAAAAAA&#10;AAAAAAAAW0NvbnRlbnRfVHlwZXNdLnhtbFBLAQItABQABgAIAAAAIQBa9CxbvwAAABUBAAALAAAA&#10;AAAAAAAAAAAAAB8BAABfcmVscy8ucmVsc1BLAQItABQABgAIAAAAIQC5kWrOwgAAANsAAAAPAAAA&#10;AAAAAAAAAAAAAAcCAABkcnMvZG93bnJldi54bWxQSwUGAAAAAAMAAwC3AAAA9gIAAAAA&#10;" fillcolor="white [3212]" strokeweight=".25pt">
                  <v:textbox>
                    <w:txbxContent>
                      <w:p w14:paraId="44F66666" w14:textId="77777777" w:rsidR="00492D1F" w:rsidRPr="005825F5" w:rsidRDefault="00492D1F" w:rsidP="00CF0E3D">
                        <w:pPr>
                          <w:pStyle w:val="NormalWeb"/>
                          <w:spacing w:line="260" w:lineRule="exact"/>
                          <w:jc w:val="center"/>
                          <w:rPr>
                            <w:rFonts w:eastAsia="Calibri"/>
                            <w:b/>
                            <w:color w:val="000000" w:themeColor="text1"/>
                            <w:sz w:val="20"/>
                            <w:szCs w:val="22"/>
                          </w:rPr>
                        </w:pPr>
                        <w:r w:rsidRPr="005825F5">
                          <w:rPr>
                            <w:rFonts w:eastAsia="Calibri"/>
                            <w:b/>
                            <w:color w:val="000000" w:themeColor="text1"/>
                            <w:sz w:val="20"/>
                            <w:szCs w:val="22"/>
                          </w:rPr>
                          <w:t>Consumer data request to data holder</w:t>
                        </w:r>
                      </w:p>
                      <w:p w14:paraId="3BC3213C" w14:textId="77777777" w:rsidR="00492D1F" w:rsidRPr="005825F5" w:rsidRDefault="00492D1F" w:rsidP="00CF0E3D">
                        <w:pPr>
                          <w:pStyle w:val="NormalWeb"/>
                          <w:spacing w:line="260" w:lineRule="exact"/>
                          <w:jc w:val="center"/>
                          <w:rPr>
                            <w:color w:val="000000" w:themeColor="text1"/>
                            <w:sz w:val="22"/>
                          </w:rPr>
                        </w:pPr>
                        <w:r w:rsidRPr="005825F5">
                          <w:rPr>
                            <w:rFonts w:eastAsia="Calibri"/>
                            <w:color w:val="000000" w:themeColor="text1"/>
                            <w:sz w:val="20"/>
                            <w:szCs w:val="22"/>
                          </w:rPr>
                          <w:t>The accredited person makes a consumer data request, on the CDR consumer’s behalf, to a data holder using the data holder’s accredited person request service.</w:t>
                        </w:r>
                      </w:p>
                    </w:txbxContent>
                  </v:textbox>
                </v:rect>
                <v:rect id="Rectangle 54" o:spid="_x0000_s1042" style="position:absolute;left:799;top:28949;width:24943;height:13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c9VwQAAANsAAAAPAAAAZHJzL2Rvd25yZXYueG1sRI9Ba8JA&#10;FITvhf6H5RV6qxsFS4muEgTBm2gCvT6yr0lo9u2Stybx33cFocdhZr5htvvZ9WqkQTrPBpaLDBRx&#10;7W3HjYGqPH58gZKIbLH3TAbuJLDfvb5sMbd+4guN19ioBGHJ0UAbY8i1lrolh7LwgTh5P35wGJMc&#10;Gm0HnBLc9XqVZZ/aYcdpocVAh5bq3+vNGTiG+8WXNykmCeeqOJeZfI+VMe9vc7EBFWmO/+Fn+2QN&#10;rNfw+JJ+gN79AQAA//8DAFBLAQItABQABgAIAAAAIQDb4fbL7gAAAIUBAAATAAAAAAAAAAAAAAAA&#10;AAAAAABbQ29udGVudF9UeXBlc10ueG1sUEsBAi0AFAAGAAgAAAAhAFr0LFu/AAAAFQEAAAsAAAAA&#10;AAAAAAAAAAAAHwEAAF9yZWxzLy5yZWxzUEsBAi0AFAAGAAgAAAAhANbdz1XBAAAA2wAAAA8AAAAA&#10;AAAAAAAAAAAABwIAAGRycy9kb3ducmV2LnhtbFBLBQYAAAAAAwADALcAAAD1AgAAAAA=&#10;" fillcolor="white [3212]" strokeweight=".25pt">
                  <v:textbox>
                    <w:txbxContent>
                      <w:p w14:paraId="498D8E87" w14:textId="77777777" w:rsidR="00492D1F" w:rsidRPr="005825F5" w:rsidRDefault="00492D1F" w:rsidP="00CF0E3D">
                        <w:pPr>
                          <w:pStyle w:val="NormalWeb"/>
                          <w:spacing w:after="60" w:line="260" w:lineRule="exact"/>
                          <w:jc w:val="center"/>
                          <w:rPr>
                            <w:color w:val="000000" w:themeColor="text1"/>
                          </w:rPr>
                        </w:pPr>
                        <w:r w:rsidRPr="005825F5">
                          <w:rPr>
                            <w:rFonts w:eastAsia="Calibri"/>
                            <w:color w:val="000000" w:themeColor="text1"/>
                            <w:sz w:val="20"/>
                            <w:szCs w:val="20"/>
                          </w:rPr>
                          <w:t>For any required consumer data, the data holder must (unless covered by an exception) ask the CDR consumer to authorise disclosure of the requested data. </w:t>
                        </w:r>
                      </w:p>
                      <w:p w14:paraId="56A19DB2" w14:textId="77777777" w:rsidR="00492D1F" w:rsidRPr="005825F5" w:rsidRDefault="00492D1F" w:rsidP="00CF0E3D">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For any voluntary consumer data, the data holder may (but is not required to) ask the CDR consumer to authorise disclosure.</w:t>
                        </w:r>
                      </w:p>
                    </w:txbxContent>
                  </v:textbox>
                </v:rect>
                <v:shape id="Down Arrow 55" o:spid="_x0000_s1043" type="#_x0000_t67" style="position:absolute;left:11015;top:26443;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SBxAAAANsAAAAPAAAAZHJzL2Rvd25yZXYueG1sRI9Ba8JA&#10;FITvgv9heUJvZpNCbYlZJRRaigdRU0qPj+wzSZt9m2ZXE/+9KxQ8DjPzDZOtR9OKM/WusawgiWIQ&#10;xKXVDVcKPou3+QsI55E1tpZJwYUcrFfTSYaptgPv6XzwlQgQdikqqL3vUildWZNBF9mOOHhH2xv0&#10;QfaV1D0OAW5a+RjHC2mw4bBQY0evNZW/h5NRwH+n5h0T/n7exl+U74Ziqzc/Sj3MxnwJwtPo7+H/&#10;9odW8LSA25fwA+TqCgAA//8DAFBLAQItABQABgAIAAAAIQDb4fbL7gAAAIUBAAATAAAAAAAAAAAA&#10;AAAAAAAAAABbQ29udGVudF9UeXBlc10ueG1sUEsBAi0AFAAGAAgAAAAhAFr0LFu/AAAAFQEAAAsA&#10;AAAAAAAAAAAAAAAAHwEAAF9yZWxzLy5yZWxzUEsBAi0AFAAGAAgAAAAhADpTJIHEAAAA2wAAAA8A&#10;AAAAAAAAAAAAAAAABwIAAGRycy9kb3ducmV2LnhtbFBLBQYAAAAAAwADALcAAAD4AgAAAAA=&#10;" adj="10800" filled="f" strokecolor="black [3213]" strokeweight="0"/>
                <v:rect id="Rectangle 56" o:spid="_x0000_s1044" style="position:absolute;left:720;top:61322;width:50902;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5wgAAANsAAAAPAAAAZHJzL2Rvd25yZXYueG1sRI/BasMw&#10;EETvhfyD2EJvjdxC2+BECSYQ6C0kNuS6WBvbxFoJr2I7f18VCj0OM/OG2exm16uRBuk8G3hbZqCI&#10;a287bgxU5eF1BUoissXeMxl4kMBuu3jaYG79xCcaz7FRCcKSo4E2xpBrLXVLDmXpA3Hyrn5wGJMc&#10;Gm0HnBLc9fo9yz61w47TQouB9i3Vt/PdGTiEx8mXdykmCceqOJaZXMbKmJfnuViDijTH//Bf+9sa&#10;+PiC3y/pB+jtDwAAAP//AwBQSwECLQAUAAYACAAAACEA2+H2y+4AAACFAQAAEwAAAAAAAAAAAAAA&#10;AAAAAAAAW0NvbnRlbnRfVHlwZXNdLnhtbFBLAQItABQABgAIAAAAIQBa9CxbvwAAABUBAAALAAAA&#10;AAAAAAAAAAAAAB8BAABfcmVscy8ucmVsc1BLAQItABQABgAIAAAAIQBJQ/S5wgAAANsAAAAPAAAA&#10;AAAAAAAAAAAAAAcCAABkcnMvZG93bnJldi54bWxQSwUGAAAAAAMAAwC3AAAA9gIAAAAA&#10;" fillcolor="white [3212]" strokeweight=".25pt">
                  <v:textbox>
                    <w:txbxContent>
                      <w:p w14:paraId="4E21C590" w14:textId="77777777" w:rsidR="00492D1F" w:rsidRPr="005825F5" w:rsidRDefault="00492D1F" w:rsidP="00CF0E3D">
                        <w:pPr>
                          <w:pStyle w:val="NormalWeb"/>
                          <w:spacing w:line="260" w:lineRule="exact"/>
                          <w:jc w:val="center"/>
                          <w:rPr>
                            <w:color w:val="000000" w:themeColor="text1"/>
                          </w:rPr>
                        </w:pPr>
                        <w:r w:rsidRPr="005825F5">
                          <w:rPr>
                            <w:rFonts w:eastAsia="Calibri"/>
                            <w:color w:val="000000" w:themeColor="text1"/>
                            <w:sz w:val="20"/>
                            <w:szCs w:val="20"/>
                          </w:rPr>
                          <w:t>The accredited person may use and disclose the CDR data it collects as a result of the consumer data request, in accordance with the Act and these rules, to provide the requested goods and services to the CDR consumer</w:t>
                        </w:r>
                        <w:r>
                          <w:rPr>
                            <w:rFonts w:eastAsia="Calibri"/>
                            <w:color w:val="000000" w:themeColor="text1"/>
                            <w:sz w:val="20"/>
                            <w:szCs w:val="20"/>
                          </w:rPr>
                          <w:t>, and as otherwise consented to by the CDR consumer</w:t>
                        </w:r>
                        <w:r w:rsidRPr="005825F5">
                          <w:rPr>
                            <w:rFonts w:eastAsia="Calibri"/>
                            <w:color w:val="000000" w:themeColor="text1"/>
                            <w:sz w:val="20"/>
                            <w:szCs w:val="20"/>
                          </w:rPr>
                          <w:t>.</w:t>
                        </w:r>
                      </w:p>
                    </w:txbxContent>
                  </v:textbox>
                </v:rect>
                <v:shape id="Down Arrow 57" o:spid="_x0000_s1045" type="#_x0000_t67" style="position:absolute;left:11117;top:58572;width:4845;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VovwAAANsAAAAPAAAAZHJzL2Rvd25yZXYueG1sRE/LisIw&#10;FN0L/kO4gjtNFXzQMYoIirgQXwyzvDR32mpzU5to69+bheDycN6zRWMK8aTK5ZYVDPoRCOLE6pxT&#10;BZfzujcF4TyyxsIyKXiRg8W83ZphrG3NR3qefCpCCLsYFWTel7GULsnIoOvbkjhw/7Yy6AOsUqkr&#10;rEO4KeQwisbSYM6hIcOSVhklt9PDKOD7I9/ggP8m++iXlof6vNe7q1LdTrP8AeGp8V/xx73VCkZh&#10;bPgSfoCcvwEAAP//AwBQSwECLQAUAAYACAAAACEA2+H2y+4AAACFAQAAEwAAAAAAAAAAAAAAAAAA&#10;AAAAW0NvbnRlbnRfVHlwZXNdLnhtbFBLAQItABQABgAIAAAAIQBa9CxbvwAAABUBAAALAAAAAAAA&#10;AAAAAAAAAB8BAABfcmVscy8ucmVsc1BLAQItABQABgAIAAAAIQAkgBVovwAAANsAAAAPAAAAAAAA&#10;AAAAAAAAAAcCAABkcnMvZG93bnJldi54bWxQSwUGAAAAAAMAAwC3AAAA8wIAAAAA&#10;" adj="10800" filled="f" strokecolor="black [3213]" strokeweight="0"/>
                <v:shape id="Down Arrow 58" o:spid="_x0000_s1046" type="#_x0000_t67" style="position:absolute;left:11225;top:42593;width:4845;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DzxQAAANsAAAAPAAAAZHJzL2Rvd25yZXYueG1sRI9Pa8JA&#10;FMTvhX6H5RW81U2Eqk1dgwgt4iH4p4jHR/Y1SZt9m2bXJP32XUHwOMzMb5hFOphadNS6yrKCeByB&#10;IM6trrhQ8Hl8f56DcB5ZY22ZFPyRg3T5+LDARNue99QdfCEChF2CCkrvm0RKl5dk0I1tQxy8L9sa&#10;9EG2hdQt9gFuajmJoqk0WHFYKLGhdUn5z+FiFPDvpfrAmM+zLDrRatcfM739Vmr0NKzeQHga/D18&#10;a2+0gpdXuH4JP0Au/wEAAP//AwBQSwECLQAUAAYACAAAACEA2+H2y+4AAACFAQAAEwAAAAAAAAAA&#10;AAAAAAAAAAAAW0NvbnRlbnRfVHlwZXNdLnhtbFBLAQItABQABgAIAAAAIQBa9CxbvwAAABUBAAAL&#10;AAAAAAAAAAAAAAAAAB8BAABfcmVscy8ucmVsc1BLAQItABQABgAIAAAAIQBLzLDzxQAAANsAAAAP&#10;AAAAAAAAAAAAAAAAAAcCAABkcnMvZG93bnJldi54bWxQSwUGAAAAAAMAAwC3AAAA+QIAAAAA&#10;" adj="10800" filled="f" strokecolor="black [3213]" strokeweight="0"/>
                <v:rect id="Rectangle 59" o:spid="_x0000_s1047" style="position:absolute;left:764;top:45136;width:25264;height:1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ZwvQAAANsAAAAPAAAAZHJzL2Rvd25yZXYueG1sRE9Ni8Iw&#10;EL0L+x/CLOxNU/cgSzVKEYS9ibaw16EZ22IzCZ3Y1n9vDsIeH+97d5hdr0YapPNsYL3KQBHX3nbc&#10;GKjK0/IHlERki71nMvAkgcP+Y7HD3PqJLzReY6NSCEuOBtoYQ6611C05lJUPxIm7+cFhTHBotB1w&#10;SuGu199ZttEOO04NLQY6tlTfrw9n4BSeF18+pJgknKviXGbyN1bGfH3OxRZUpDn+i9/uX2tgk9an&#10;L+kH6P0LAAD//wMAUEsBAi0AFAAGAAgAAAAhANvh9svuAAAAhQEAABMAAAAAAAAAAAAAAAAAAAAA&#10;AFtDb250ZW50X1R5cGVzXS54bWxQSwECLQAUAAYACAAAACEAWvQsW78AAAAVAQAACwAAAAAAAAAA&#10;AAAAAAAfAQAAX3JlbHMvLnJlbHNQSwECLQAUAAYACAAAACEACMamcL0AAADbAAAADwAAAAAAAAAA&#10;AAAAAAAHAgAAZHJzL2Rvd25yZXYueG1sUEsFBgAAAAADAAMAtwAAAPECAAAAAA==&#10;" fillcolor="white [3212]" strokeweight=".25pt">
                  <v:textbox>
                    <w:txbxContent>
                      <w:p w14:paraId="54BDAE43" w14:textId="77777777" w:rsidR="00492D1F" w:rsidRPr="005825F5" w:rsidRDefault="00492D1F" w:rsidP="00CF0E3D">
                        <w:pPr>
                          <w:pStyle w:val="NormalWeb"/>
                          <w:spacing w:after="60" w:line="260" w:lineRule="exact"/>
                          <w:jc w:val="center"/>
                          <w:rPr>
                            <w:color w:val="000000" w:themeColor="text1"/>
                          </w:rPr>
                        </w:pPr>
                        <w:r w:rsidRPr="005825F5">
                          <w:rPr>
                            <w:rFonts w:eastAsia="Calibri"/>
                            <w:color w:val="000000" w:themeColor="text1"/>
                            <w:sz w:val="20"/>
                            <w:szCs w:val="20"/>
                          </w:rPr>
                          <w:t>The data holder must disclose, to the accredited person, the required consumer data it is authorised to disclose, and may disclose the voluntary consumer data it is authorised to disclose. </w:t>
                        </w:r>
                      </w:p>
                      <w:p w14:paraId="0BD320B4" w14:textId="77777777" w:rsidR="00492D1F" w:rsidRPr="005825F5" w:rsidRDefault="00492D1F" w:rsidP="00CF0E3D">
                        <w:pPr>
                          <w:pStyle w:val="NormalWeb"/>
                          <w:spacing w:line="260" w:lineRule="exact"/>
                          <w:jc w:val="center"/>
                          <w:rPr>
                            <w:color w:val="000000" w:themeColor="text1"/>
                          </w:rPr>
                        </w:pPr>
                        <w:r w:rsidRPr="005825F5">
                          <w:rPr>
                            <w:rFonts w:eastAsia="Calibri"/>
                            <w:color w:val="000000" w:themeColor="text1"/>
                            <w:sz w:val="20"/>
                            <w:szCs w:val="20"/>
                          </w:rPr>
                          <w:t>In either case, the data is disclosed through the data holder’s direct request service.</w:t>
                        </w:r>
                      </w:p>
                    </w:txbxContent>
                  </v:textbox>
                </v:rect>
                <v:rect id="Rectangle 61" o:spid="_x0000_s1048" style="position:absolute;left:27222;top:16287;width:24266;height:9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PrwQAAANsAAAAPAAAAZHJzL2Rvd25yZXYueG1sRI9Ba8JA&#10;FITvhf6H5Qne6sYepERXCYLQm2gCvT6yzySYfbvkrUn8912h0OMwM98wu8PsejXSIJ1nA+tVBoq4&#10;9rbjxkBVnj6+QElEtth7JgNPEjjs3992mFs/8YXGa2xUgrDkaKCNMeRaS92SQ1n5QJy8mx8cxiSH&#10;RtsBpwR3vf7Mso122HFaaDHQsaX6fn04A6fwvPjyIcUk4VwV5zKTn7EyZrmYiy2oSHP8D/+1v62B&#10;zRpeX9IP0PtfAAAA//8DAFBLAQItABQABgAIAAAAIQDb4fbL7gAAAIUBAAATAAAAAAAAAAAAAAAA&#10;AAAAAABbQ29udGVudF9UeXBlc10ueG1sUEsBAi0AFAAGAAgAAAAhAFr0LFu/AAAAFQEAAAsAAAAA&#10;AAAAAAAAAAAAHwEAAF9yZWxzLy5yZWxzUEsBAi0AFAAGAAgAAAAhAGeKA+vBAAAA2wAAAA8AAAAA&#10;AAAAAAAAAAAABwIAAGRycy9kb3ducmV2LnhtbFBLBQYAAAAAAwADALcAAAD1AgAAAAA=&#10;" fillcolor="white [3212]" strokeweight=".25pt">
                  <v:textbox>
                    <w:txbxContent>
                      <w:p w14:paraId="62DFD9B1" w14:textId="77777777" w:rsidR="00492D1F" w:rsidRPr="005825F5" w:rsidRDefault="00492D1F" w:rsidP="00CF0E3D">
                        <w:pPr>
                          <w:pStyle w:val="NormalWeb"/>
                          <w:spacing w:line="260" w:lineRule="exact"/>
                          <w:jc w:val="center"/>
                          <w:rPr>
                            <w:rFonts w:eastAsia="Calibri"/>
                            <w:b/>
                            <w:color w:val="000000" w:themeColor="text1"/>
                            <w:sz w:val="20"/>
                            <w:szCs w:val="20"/>
                          </w:rPr>
                        </w:pPr>
                        <w:r w:rsidRPr="005825F5">
                          <w:rPr>
                            <w:rFonts w:eastAsia="Calibri"/>
                            <w:b/>
                            <w:color w:val="000000" w:themeColor="text1"/>
                            <w:sz w:val="20"/>
                            <w:szCs w:val="20"/>
                          </w:rPr>
                          <w:t>Consumer data request to accredited data recipient</w:t>
                        </w:r>
                      </w:p>
                      <w:p w14:paraId="40AF3969" w14:textId="77777777" w:rsidR="00492D1F" w:rsidRPr="005825F5" w:rsidRDefault="00492D1F" w:rsidP="00CF0E3D">
                        <w:pPr>
                          <w:pStyle w:val="NormalWeb"/>
                          <w:spacing w:line="260" w:lineRule="exact"/>
                          <w:jc w:val="center"/>
                          <w:rPr>
                            <w:color w:val="000000" w:themeColor="text1"/>
                          </w:rPr>
                        </w:pPr>
                        <w:r w:rsidRPr="005825F5">
                          <w:rPr>
                            <w:rFonts w:eastAsia="Calibri"/>
                            <w:color w:val="000000" w:themeColor="text1"/>
                            <w:sz w:val="20"/>
                            <w:szCs w:val="20"/>
                          </w:rPr>
                          <w:t>The accredited person makes a consumer data request, on the CDR consumer’s behalf, to an accredited data recipient.</w:t>
                        </w:r>
                      </w:p>
                    </w:txbxContent>
                  </v:textbox>
                </v:rect>
                <v:rect id="Rectangle 62" o:spid="_x0000_s1049" style="position:absolute;left:27216;top:29078;width:24266;height:1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2cwQAAANsAAAAPAAAAZHJzL2Rvd25yZXYueG1sRI9Ba8JA&#10;FITvBf/D8gRvdaMHKdFVgiD0JppAr4/saxKafbvkrUn8912h0OMwM98wh9PsejXSIJ1nA5t1Boq4&#10;9rbjxkBVXt4/QElEtth7JgNPEjgdF28HzK2f+EbjPTYqQVhyNNDGGHKtpW7Joax9IE7etx8cxiSH&#10;RtsBpwR3vd5m2U477DgttBjo3FL9c384A5fwvPnyIcUk4VoV1zKTr7EyZrWciz2oSHP8D/+1P62B&#10;3RZeX9IP0MdfAAAA//8DAFBLAQItABQABgAIAAAAIQDb4fbL7gAAAIUBAAATAAAAAAAAAAAAAAAA&#10;AAAAAABbQ29udGVudF9UeXBlc10ueG1sUEsBAi0AFAAGAAgAAAAhAFr0LFu/AAAAFQEAAAsAAAAA&#10;AAAAAAAAAAAAHwEAAF9yZWxzLy5yZWxzUEsBAi0AFAAGAAgAAAAhAJdYnZzBAAAA2wAAAA8AAAAA&#10;AAAAAAAAAAAABwIAAGRycy9kb3ducmV2LnhtbFBLBQYAAAAAAwADALcAAAD1AgAAAAA=&#10;" fillcolor="white [3212]" strokeweight=".25pt">
                  <v:textbox>
                    <w:txbxContent>
                      <w:p w14:paraId="612A6DE8" w14:textId="77777777" w:rsidR="00492D1F" w:rsidRPr="005825F5" w:rsidRDefault="00492D1F" w:rsidP="00CF0E3D">
                        <w:pPr>
                          <w:pStyle w:val="NormalWeb"/>
                          <w:spacing w:line="260" w:lineRule="exact"/>
                          <w:jc w:val="center"/>
                          <w:rPr>
                            <w:color w:val="000000" w:themeColor="text1"/>
                          </w:rPr>
                        </w:pPr>
                        <w:r w:rsidRPr="005825F5">
                          <w:rPr>
                            <w:rFonts w:eastAsia="Calibri"/>
                            <w:color w:val="000000" w:themeColor="text1"/>
                            <w:sz w:val="20"/>
                            <w:szCs w:val="20"/>
                          </w:rPr>
                          <w:t>The accredited data recipient may (but is not required to) ask the CDR consumer to consent to it disclosing the requested CDR data to the accredited person</w:t>
                        </w:r>
                        <w:r w:rsidRPr="00275F9C">
                          <w:rPr>
                            <w:rFonts w:eastAsia="Calibri"/>
                            <w:sz w:val="20"/>
                            <w:szCs w:val="20"/>
                          </w:rPr>
                          <w:t>, if such a consent is not already in place</w:t>
                        </w:r>
                        <w:r w:rsidRPr="005825F5">
                          <w:rPr>
                            <w:rFonts w:eastAsia="Calibri"/>
                            <w:color w:val="000000" w:themeColor="text1"/>
                            <w:sz w:val="20"/>
                            <w:szCs w:val="20"/>
                          </w:rPr>
                          <w:t>.</w:t>
                        </w:r>
                      </w:p>
                    </w:txbxContent>
                  </v:textbox>
                </v:rect>
                <v:shape id="Down Arrow 63" o:spid="_x0000_s1050" type="#_x0000_t67" style="position:absolute;left:37804;top:26443;width:382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2kxAAAANsAAAAPAAAAZHJzL2Rvd25yZXYueG1sRI9Ba8JA&#10;FITvgv9heUJvZpMWbIlZJRRaigdRU0qPj+wzSZt9m2ZXE/+9KxQ8DjPzDZOtR9OKM/WusawgiWIQ&#10;xKXVDVcKPou3+QsI55E1tpZJwYUcrFfTSYaptgPv6XzwlQgQdikqqL3vUildWZNBF9mOOHhH2xv0&#10;QfaV1D0OAW5a+RjHC2mw4bBQY0evNZW/h5NRwH+n5h0T/n7exl+U74Ziqzc/Sj3MxnwJwtPo7+H/&#10;9odWsHiC25fwA+TqCgAA//8DAFBLAQItABQABgAIAAAAIQDb4fbL7gAAAIUBAAATAAAAAAAAAAAA&#10;AAAAAAAAAABbQ29udGVudF9UeXBlc10ueG1sUEsBAi0AFAAGAAgAAAAhAFr0LFu/AAAAFQEAAAsA&#10;AAAAAAAAAAAAAAAAHwEAAF9yZWxzLy5yZWxzUEsBAi0AFAAGAAgAAAAhAORITaTEAAAA2wAAAA8A&#10;AAAAAAAAAAAAAAAABwIAAGRycy9kb3ducmV2LnhtbFBLBQYAAAAAAwADALcAAAD4AgAAAAA=&#10;" adj="10800" filled="f" strokecolor="black [3213]" strokeweight="0"/>
                <v:rect id="Rectangle 64" o:spid="_x0000_s1051" style="position:absolute;left:27355;top:45136;width:24267;height:1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zwQAAANsAAAAPAAAAZHJzL2Rvd25yZXYueG1sRI9Ba8JA&#10;FITvhf6H5RW81Y1SpERXCYLgTTSBXh/Z1yQ0+3bJW5P477tCocdhZr5hdofZ9WqkQTrPBlbLDBRx&#10;7W3HjYGqPL1/gpKIbLH3TAYeJHDYv77sMLd+4iuNt9ioBGHJ0UAbY8i1lrolh7L0gTh5335wGJMc&#10;Gm0HnBLc9XqdZRvtsOO00GKgY0v1z+3uDJzC4+rLuxSThEtVXMpMvsbKmMXbXGxBRZrjf/ivfbYG&#10;Nh/w/JJ+gN7/AgAA//8DAFBLAQItABQABgAIAAAAIQDb4fbL7gAAAIUBAAATAAAAAAAAAAAAAAAA&#10;AAAAAABbQ29udGVudF9UeXBlc10ueG1sUEsBAi0AFAAGAAgAAAAhAFr0LFu/AAAAFQEAAAsAAAAA&#10;AAAAAAAAAAAAHwEAAF9yZWxzLy5yZWxzUEsBAi0AFAAGAAgAAAAhAHf9oHPBAAAA2wAAAA8AAAAA&#10;AAAAAAAAAAAABwIAAGRycy9kb3ducmV2LnhtbFBLBQYAAAAAAwADALcAAAD1AgAAAAA=&#10;" fillcolor="white [3212]" strokeweight=".25pt">
                  <v:textbox>
                    <w:txbxContent>
                      <w:p w14:paraId="7E10211E" w14:textId="77777777" w:rsidR="00492D1F" w:rsidRPr="005825F5" w:rsidRDefault="00492D1F" w:rsidP="00CF0E3D">
                        <w:pPr>
                          <w:pStyle w:val="NormalWeb"/>
                          <w:spacing w:line="260" w:lineRule="exact"/>
                          <w:jc w:val="center"/>
                          <w:rPr>
                            <w:color w:val="000000" w:themeColor="text1"/>
                          </w:rPr>
                        </w:pPr>
                        <w:r w:rsidRPr="005825F5">
                          <w:rPr>
                            <w:rFonts w:eastAsia="Calibri"/>
                            <w:color w:val="000000" w:themeColor="text1"/>
                            <w:sz w:val="20"/>
                            <w:szCs w:val="20"/>
                          </w:rPr>
                          <w:t xml:space="preserve">If the CDR consumer gives </w:t>
                        </w:r>
                        <w:r w:rsidRPr="00275F9C">
                          <w:rPr>
                            <w:rFonts w:eastAsia="Calibri"/>
                            <w:sz w:val="20"/>
                            <w:szCs w:val="20"/>
                          </w:rPr>
                          <w:t>or has given</w:t>
                        </w:r>
                        <w:r w:rsidRPr="00572C56">
                          <w:rPr>
                            <w:rFonts w:eastAsia="Calibri"/>
                            <w:color w:val="000000" w:themeColor="text1"/>
                            <w:sz w:val="20"/>
                            <w:szCs w:val="20"/>
                          </w:rPr>
                          <w:t xml:space="preserve"> </w:t>
                        </w:r>
                        <w:r w:rsidRPr="005825F5">
                          <w:rPr>
                            <w:rFonts w:eastAsia="Calibri"/>
                            <w:color w:val="000000" w:themeColor="text1"/>
                            <w:sz w:val="20"/>
                            <w:szCs w:val="20"/>
                          </w:rPr>
                          <w:t xml:space="preserve">a disclosure consent, the accredited data recipient may (but is not required to) disclose the requested CDR data to the accredited person. </w:t>
                        </w:r>
                      </w:p>
                    </w:txbxContent>
                  </v:textbox>
                </v:rect>
                <v:shape id="Down Arrow 65" o:spid="_x0000_s1052" type="#_x0000_t67" style="position:absolute;left:37804;top:42514;width:3825;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BLxAAAANsAAAAPAAAAZHJzL2Rvd25yZXYueG1sRI9Ba8JA&#10;FITvgv9heUJvZpNCbYlZJRRaigdRU0qPj+wzSZt9m2ZXE/+9KxQ8DjPzDZOtR9OKM/WusawgiWIQ&#10;xKXVDVcKPou3+QsI55E1tpZJwYUcrFfTSYaptgPv6XzwlQgQdikqqL3vUildWZNBF9mOOHhH2xv0&#10;QfaV1D0OAW5a+RjHC2mw4bBQY0evNZW/h5NRwH+n5h0T/n7exl+U74Ziqzc/Sj3MxnwJwtPo7+H/&#10;9odWsHiC25fwA+TqCgAA//8DAFBLAQItABQABgAIAAAAIQDb4fbL7gAAAIUBAAATAAAAAAAAAAAA&#10;AAAAAAAAAABbQ29udGVudF9UeXBlc10ueG1sUEsBAi0AFAAGAAgAAAAhAFr0LFu/AAAAFQEAAAsA&#10;AAAAAAAAAAAAAAAAHwEAAF9yZWxzLy5yZWxzUEsBAi0AFAAGAAgAAAAhAATtcEvEAAAA2wAAAA8A&#10;AAAAAAAAAAAAAAAABwIAAGRycy9kb3ducmV2LnhtbFBLBQYAAAAAAwADALcAAAD4AgAAAAA=&#10;" adj="10800" filled="f" strokecolor="black [3213]" strokeweight="0"/>
                <v:shape id="Down Arrow 67" o:spid="_x0000_s1053" type="#_x0000_t67" style="position:absolute;left:37260;top:58572;width:3825;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48xAAAANsAAAAPAAAAZHJzL2Rvd25yZXYueG1sRI9Pa8JA&#10;FMTvBb/D8oTemk16iBJdRQSl9BBaLaXHR/aZpM2+jdnNn357tyD0OMzMb5j1djKNGKhztWUFSRSD&#10;IC6srrlU8HE+PC1BOI+ssbFMCn7JwXYze1hjpu3I7zScfCkChF2GCirv20xKV1Rk0EW2JQ7exXYG&#10;fZBdKXWHY4CbRj7HcSoN1hwWKmxpX1Hxc+qNAr729RET/lrk8Sft3sZzrl+/lXqcT7sVCE+T/w/f&#10;2y9aQZrC35fwA+TmBgAA//8DAFBLAQItABQABgAIAAAAIQDb4fbL7gAAAIUBAAATAAAAAAAAAAAA&#10;AAAAAAAAAABbQ29udGVudF9UeXBlc10ueG1sUEsBAi0AFAAGAAgAAAAhAFr0LFu/AAAAFQEAAAsA&#10;AAAAAAAAAAAAAAAAHwEAAF9yZWxzLy5yZWxzUEsBAi0AFAAGAAgAAAAhAPQ/7jzEAAAA2wAAAA8A&#10;AAAAAAAAAAAAAAAABwIAAGRycy9kb3ducmV2LnhtbFBLBQYAAAAAAwADALcAAAD4AgAAAAA=&#10;" adj="10800" filled="f" strokecolor="black [3213]" strokeweight="0"/>
                <v:shape id="Down Arrow 68" o:spid="_x0000_s1054" type="#_x0000_t67" style="position:absolute;left:37342;top:13512;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0unxAAAANsAAAAPAAAAZHJzL2Rvd25yZXYueG1sRI9Ba8JA&#10;FITvhf6H5RW81U16MCV1E0RoKT2IjSI9PrLPJJp9m2Y3Jv57t1DwOMzMN8wyn0wrLtS7xrKCeB6B&#10;IC6tbrhSsN+9P7+CcB5ZY2uZFFzJQZ49Piwx1Xbkb7oUvhIBwi5FBbX3XSqlK2sy6Oa2Iw7e0fYG&#10;fZB9JXWPY4CbVr5E0UIabDgs1NjRuqbyXAxGAf8OzQfG/JNsogOttuNuo79OSs2eptUbCE+Tv4f/&#10;259awSKBvy/hB8jsBgAA//8DAFBLAQItABQABgAIAAAAIQDb4fbL7gAAAIUBAAATAAAAAAAAAAAA&#10;AAAAAAAAAABbQ29udGVudF9UeXBlc10ueG1sUEsBAi0AFAAGAAgAAAAhAFr0LFu/AAAAFQEAAAsA&#10;AAAAAAAAAAAAAAAAHwEAAF9yZWxzLy5yZWxzUEsBAi0AFAAGAAgAAAAhAJtzS6fEAAAA2wAAAA8A&#10;AAAAAAAAAAAAAAAABwIAAGRycy9kb3ducmV2LnhtbFBLBQYAAAAAAwADALcAAAD4AgAAAAA=&#10;" adj="10800" filled="f" strokecolor="black [3213]" strokeweight="0"/>
                <v:shape id="Down Arrow 69" o:spid="_x0000_s1055" type="#_x0000_t67" style="position:absolute;left:11320;top:13614;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N/VvwAAANsAAAAPAAAAZHJzL2Rvd25yZXYueG1sRE9Ni8Iw&#10;EL0L/ocwgjdN3YNKNYoIyuJBVivicWjGttpMahNt99+bg+Dx8b7ny9aU4kW1KywrGA0jEMSp1QVn&#10;Ck7JZjAF4TyyxtIyKfgnB8tFtzPHWNuGD/Q6+kyEEHYxKsi9r2IpXZqTQTe0FXHgrrY26AOsM6lr&#10;bEK4KeVPFI2lwYJDQ44VrXNK78enUcCPZ7HFEV8m++hMq78m2evdTal+r13NQHhq/Vf8cf9qBeMw&#10;NnwJP0Au3gAAAP//AwBQSwECLQAUAAYACAAAACEA2+H2y+4AAACFAQAAEwAAAAAAAAAAAAAAAAAA&#10;AAAAW0NvbnRlbnRfVHlwZXNdLnhtbFBLAQItABQABgAIAAAAIQBa9CxbvwAAABUBAAALAAAAAAAA&#10;AAAAAAAAAB8BAABfcmVscy8ucmVsc1BLAQItABQABgAIAAAAIQDq7N/VvwAAANsAAAAPAAAAAAAA&#10;AAAAAAAAAAcCAABkcnMvZG93bnJldi54bWxQSwUGAAAAAAMAAwC3AAAA8wIAAAAA&#10;" adj="10800" filled="f" strokecolor="black [3213]" strokeweight="0"/>
                <w10:wrap anchory="line"/>
              </v:group>
            </w:pict>
          </mc:Fallback>
        </mc:AlternateContent>
      </w:r>
      <w:r>
        <w:rPr>
          <w:noProof/>
        </w:rPr>
        <mc:AlternateContent>
          <mc:Choice Requires="wps">
            <w:drawing>
              <wp:inline distT="0" distB="0" distL="0" distR="0" wp14:anchorId="14BD9E1F" wp14:editId="4967CABA">
                <wp:extent cx="5280660" cy="6797040"/>
                <wp:effectExtent l="0" t="0" r="0" b="0"/>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80660" cy="679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11682" id="Rectangle 50" o:spid="_x0000_s1026" style="width:415.8pt;height:5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XuAIAALsFAAAOAAAAZHJzL2Uyb0RvYy54bWysVNuO0zAQfUfiHyy/Z3MhTZNo09XSNAhp&#10;gRULH+AmTmPh2MF2my6If2fstN129wUBeYhsz3jmzJnjub7Z9xztqNJMigKHVwFGVNSyYWJT4K9f&#10;Ki/FSBsiGsKloAV+pBrfLF6/uh6HnEayk7yhCkEQofNxKHBnzJD7vq472hN9JQcqwNhK1RMDW7Xx&#10;G0VGiN5zPwqCxB+lagYla6o1nJaTES9c/LaltfnUtpoaxAsM2Iz7K/df27+/uCb5RpGhY/UBBvkL&#10;FD1hApKeQpXEELRV7EWontVKatmaq1r2vmxbVlNXA1QTBs+qeejIQF0tQI4eTjTp/xe2/ri7V4g1&#10;BZ4BPYL00KPPwBoRG04RnAFB46Bz8HsY7pUtUQ93sv6mkZDLDtzorR7gAjQf7h+PlJJjR0kDSEMb&#10;wr+IYTcaoqH1+EE2kJFsjXT07VvV2xxADNq7Lj2eukT3BtVwOIvSIEkAbQ22ZJ7Ng9jB9El+vD4o&#10;bd5R2SO7KLACfC482d1pY+GQ/OhiswlZMc6dFLi4OADH6QSSw1VrszBcZ39mQbZKV2nsxVGy8uKg&#10;LL3bahl7SRXOZ+Wbcrksw182bxjnHWsaKmyao8rC+M+6eND7pI+TzrTkrLHhLCStNuslV2hHQOWV&#10;+xzpYHly8y9hOBKglmclhVEcvI0yr0rSuRdX8cwDflMvCLO3WRLEWVxWlyXdMUH/vSQ0FjibRTPX&#10;pTPQz2oL3PeyNpL3zMAc4awvcHpyIrnV4Eo0rrWGMD6tz6iw8J+ogHYfG+0Ua0U66X8tm0cQrJIg&#10;J5AeTDxYdFL9wGiE6VFg/X1LFMWIvxcg+iyMQZTIuE08m0ewUeeW9bmFiBpCFdhgNC2XZhpR20Gx&#10;TQeZQkeMkLfwUFrmJGwf0YTq8LxgQrhKDtPMjqDzvfN6mrmL3wAAAP//AwBQSwMEFAAGAAgAAAAh&#10;AAa7BKXeAAAABgEAAA8AAABkcnMvZG93bnJldi54bWxMj0FLw0AQhe+C/2EZwYu0u1WpJWZTpCAW&#10;EYpp7XmbHZNgdjbNbpP475160cuD4T3e+yZdjq4RPXah9qRhNlUgkApvayo17LbPkwWIEA1Z03hC&#10;Dd8YYJldXqQmsX6gd+zzWAouoZAYDVWMbSJlKCp0Jkx9i8Tep++ciXx2pbSdGbjcNfJWqbl0piZe&#10;qEyLqwqLr/zkNAzFpt9v317k5ma/9nRcH1f5x6vW11fj0yOIiGP8C8MZn9EhY6aDP5ENotHAj8Rf&#10;ZW9xN5uDOHBIPah7kFkq/+NnPwAAAP//AwBQSwECLQAUAAYACAAAACEAtoM4kv4AAADhAQAAEwAA&#10;AAAAAAAAAAAAAAAAAAAAW0NvbnRlbnRfVHlwZXNdLnhtbFBLAQItABQABgAIAAAAIQA4/SH/1gAA&#10;AJQBAAALAAAAAAAAAAAAAAAAAC8BAABfcmVscy8ucmVsc1BLAQItABQABgAIAAAAIQBeW+8XuAIA&#10;ALsFAAAOAAAAAAAAAAAAAAAAAC4CAABkcnMvZTJvRG9jLnhtbFBLAQItABQABgAIAAAAIQAGuwSl&#10;3gAAAAYBAAAPAAAAAAAAAAAAAAAAABIFAABkcnMvZG93bnJldi54bWxQSwUGAAAAAAQABADzAAAA&#10;HQYAAAAA&#10;" filled="f" stroked="f">
                <o:lock v:ext="edit" aspectratio="t"/>
                <w10:anchorlock/>
              </v:rect>
            </w:pict>
          </mc:Fallback>
        </mc:AlternateContent>
      </w:r>
    </w:p>
    <w:p w14:paraId="77BDD222" w14:textId="77777777" w:rsidR="00CF0E3D" w:rsidRPr="00ED4F4B" w:rsidRDefault="00CF0E3D" w:rsidP="00CF0E3D">
      <w:pPr>
        <w:pStyle w:val="ActHead4"/>
      </w:pPr>
      <w:bookmarkStart w:id="117" w:name="_Toc50114022"/>
      <w:bookmarkStart w:id="118" w:name="_Toc57219013"/>
      <w:bookmarkStart w:id="119" w:name="_Toc59549127"/>
      <w:bookmarkStart w:id="120" w:name="_Toc74916118"/>
      <w:r w:rsidRPr="00ED4F4B">
        <w:t>Subdivision 4.2.2—Requests to seek to collect CDR data from CDR participants</w:t>
      </w:r>
      <w:bookmarkEnd w:id="117"/>
      <w:bookmarkEnd w:id="118"/>
      <w:bookmarkEnd w:id="119"/>
      <w:bookmarkEnd w:id="120"/>
    </w:p>
    <w:p w14:paraId="48335332" w14:textId="77777777" w:rsidR="00CF0E3D" w:rsidRPr="00F07699" w:rsidRDefault="00CF0E3D" w:rsidP="00CF0E3D">
      <w:pPr>
        <w:pStyle w:val="ActHead5"/>
      </w:pPr>
      <w:bookmarkStart w:id="121" w:name="_Toc74916119"/>
      <w:r w:rsidRPr="00F07699">
        <w:t>4.3  Request for accredited person to seek to collect CDR data</w:t>
      </w:r>
      <w:bookmarkEnd w:id="108"/>
      <w:bookmarkEnd w:id="109"/>
      <w:bookmarkEnd w:id="110"/>
      <w:bookmarkEnd w:id="111"/>
      <w:bookmarkEnd w:id="121"/>
    </w:p>
    <w:p w14:paraId="740B6DEB" w14:textId="77777777" w:rsidR="00CF0E3D" w:rsidRPr="00F07699" w:rsidRDefault="00CF0E3D" w:rsidP="00CF0E3D">
      <w:pPr>
        <w:pStyle w:val="subsection"/>
      </w:pPr>
      <w:r w:rsidRPr="00F07699">
        <w:tab/>
        <w:t>(1)</w:t>
      </w:r>
      <w:r w:rsidRPr="00F07699">
        <w:tab/>
        <w:t>This rule applies if:</w:t>
      </w:r>
    </w:p>
    <w:p w14:paraId="7584B885" w14:textId="77777777" w:rsidR="00CF0E3D" w:rsidRPr="00F07699" w:rsidRDefault="00CF0E3D" w:rsidP="00CF0E3D">
      <w:pPr>
        <w:pStyle w:val="paragraph"/>
      </w:pPr>
      <w:r w:rsidRPr="00F07699">
        <w:tab/>
        <w:t>(a)</w:t>
      </w:r>
      <w:r w:rsidRPr="00F07699">
        <w:tab/>
        <w:t>a CDR consumer requests an accredited person to provide goods or services to the CDR consumer or to another person; and</w:t>
      </w:r>
    </w:p>
    <w:p w14:paraId="7FA7B2BC" w14:textId="77777777" w:rsidR="00CF0E3D" w:rsidRPr="00ED4F4B" w:rsidRDefault="00CF0E3D" w:rsidP="00CF0E3D">
      <w:pPr>
        <w:pStyle w:val="paragraph"/>
      </w:pPr>
      <w:r w:rsidRPr="00ED4F4B">
        <w:tab/>
        <w:t>(b)</w:t>
      </w:r>
      <w:r w:rsidRPr="00ED4F4B">
        <w:tab/>
        <w:t>the accredited person needs to collect the CDR consumer’s CDR data from a CDR participant under these rules and use it in order to provide those goods or services.</w:t>
      </w:r>
    </w:p>
    <w:p w14:paraId="5F80D034" w14:textId="77777777" w:rsidR="00CF0E3D" w:rsidRPr="00ED4F4B" w:rsidRDefault="00CF0E3D" w:rsidP="00CF0E3D">
      <w:pPr>
        <w:pStyle w:val="subsection"/>
      </w:pPr>
      <w:r w:rsidRPr="00ED4F4B">
        <w:tab/>
        <w:t>(2)</w:t>
      </w:r>
      <w:r w:rsidRPr="00ED4F4B">
        <w:tab/>
        <w:t>The accredited person may, in accordance with Division 4.3, ask the CDR consumer to give:</w:t>
      </w:r>
    </w:p>
    <w:p w14:paraId="6BC0491C" w14:textId="77777777" w:rsidR="00CF0E3D" w:rsidRPr="00ED4F4B" w:rsidRDefault="00CF0E3D" w:rsidP="00CF0E3D">
      <w:pPr>
        <w:pStyle w:val="paragraph"/>
      </w:pPr>
      <w:r>
        <w:tab/>
        <w:t>(a)</w:t>
      </w:r>
      <w:r>
        <w:tab/>
        <w:t xml:space="preserve">a collection consent for </w:t>
      </w:r>
      <w:r w:rsidRPr="00ED4F4B">
        <w:t>the accredited person to collect their CDR data from the CDR participant; and</w:t>
      </w:r>
    </w:p>
    <w:p w14:paraId="4AC1986E" w14:textId="77777777" w:rsidR="00CF0E3D" w:rsidRPr="00ED4F4B" w:rsidRDefault="00CF0E3D" w:rsidP="00CF0E3D">
      <w:pPr>
        <w:pStyle w:val="paragraph"/>
      </w:pPr>
      <w:r w:rsidRPr="00ED4F4B">
        <w:tab/>
        <w:t>(b)</w:t>
      </w:r>
      <w:r w:rsidRPr="00ED4F4B">
        <w:tab/>
        <w:t>a use consent for the accredited person to use that CDR data;</w:t>
      </w:r>
    </w:p>
    <w:p w14:paraId="0001851D" w14:textId="77777777" w:rsidR="00CF0E3D" w:rsidRPr="00ED4F4B" w:rsidRDefault="00CF0E3D" w:rsidP="00CF0E3D">
      <w:pPr>
        <w:pStyle w:val="subsection"/>
        <w:spacing w:before="40"/>
      </w:pPr>
      <w:r w:rsidRPr="00ED4F4B">
        <w:tab/>
      </w:r>
      <w:r w:rsidRPr="00ED4F4B">
        <w:tab/>
        <w:t>in order to provide those goods or services.</w:t>
      </w:r>
    </w:p>
    <w:p w14:paraId="555C5225" w14:textId="77777777" w:rsidR="00CF0E3D" w:rsidRPr="00F07699" w:rsidRDefault="00CF0E3D" w:rsidP="00CF0E3D">
      <w:pPr>
        <w:pStyle w:val="notetext"/>
      </w:pPr>
      <w:r w:rsidRPr="00F07699">
        <w:t>Note 1:</w:t>
      </w:r>
      <w:r w:rsidRPr="00F07699">
        <w:tab/>
        <w:t>In order to provide goods or services in accordance with the CDR consumer’s request, it might be necessary for the accredited person to request CDR data from more than 1</w:t>
      </w:r>
      <w:r w:rsidRPr="000639C3">
        <w:t xml:space="preserve"> </w:t>
      </w:r>
      <w:r w:rsidRPr="00ED4F4B">
        <w:t>CDR participant.</w:t>
      </w:r>
    </w:p>
    <w:p w14:paraId="51C84084" w14:textId="2F16D093" w:rsidR="00CF0E3D" w:rsidRDefault="00CF0E3D" w:rsidP="00CF0E3D">
      <w:pPr>
        <w:pStyle w:val="notetext"/>
      </w:pPr>
      <w:r w:rsidRPr="00F07699">
        <w:t>Note 2:</w:t>
      </w:r>
      <w:r w:rsidRPr="00F07699">
        <w:tab/>
        <w:t>The accredited person is able to collect and use CDR data only in accordance with the data minimisation principle: see rule 1.8.</w:t>
      </w:r>
    </w:p>
    <w:p w14:paraId="6FD29ABE" w14:textId="77777777" w:rsidR="00D60816" w:rsidRPr="00BC78CF" w:rsidRDefault="006D7F5E" w:rsidP="006D7F5E">
      <w:pPr>
        <w:pStyle w:val="subsection"/>
        <w:rPr>
          <w:color w:val="FF0000"/>
        </w:rPr>
      </w:pPr>
      <w:r w:rsidRPr="00BC78CF">
        <w:rPr>
          <w:color w:val="FF0000"/>
        </w:rPr>
        <w:tab/>
        <w:t>(2A)</w:t>
      </w:r>
      <w:r w:rsidRPr="00BC78CF">
        <w:rPr>
          <w:color w:val="FF0000"/>
        </w:rPr>
        <w:tab/>
      </w:r>
      <w:r w:rsidR="002403AE" w:rsidRPr="00BC78CF">
        <w:rPr>
          <w:color w:val="FF0000"/>
        </w:rPr>
        <w:t xml:space="preserve">If the accredited person is an affiliate and the CDR data will be collected by a sponsor </w:t>
      </w:r>
      <w:r w:rsidR="00FD3D31" w:rsidRPr="00BC78CF">
        <w:rPr>
          <w:color w:val="FF0000"/>
        </w:rPr>
        <w:t>at its request</w:t>
      </w:r>
      <w:r w:rsidR="00D60816" w:rsidRPr="00BC78CF">
        <w:rPr>
          <w:color w:val="FF0000"/>
        </w:rPr>
        <w:t>:</w:t>
      </w:r>
    </w:p>
    <w:p w14:paraId="194C7285" w14:textId="69456438" w:rsidR="006D7F5E" w:rsidRPr="00BC78CF" w:rsidRDefault="00D60816" w:rsidP="00D60816">
      <w:pPr>
        <w:pStyle w:val="paragraph"/>
        <w:rPr>
          <w:color w:val="FF0000"/>
        </w:rPr>
      </w:pPr>
      <w:r w:rsidRPr="00BC78CF">
        <w:rPr>
          <w:color w:val="FF0000"/>
        </w:rPr>
        <w:tab/>
        <w:t>(a)</w:t>
      </w:r>
      <w:r w:rsidRPr="00BC78CF">
        <w:rPr>
          <w:color w:val="FF0000"/>
        </w:rPr>
        <w:tab/>
      </w:r>
      <w:r w:rsidR="006D7F5E" w:rsidRPr="00BC78CF">
        <w:rPr>
          <w:color w:val="FF0000"/>
        </w:rPr>
        <w:t>the request for a collection</w:t>
      </w:r>
      <w:r w:rsidRPr="00BC78CF">
        <w:rPr>
          <w:color w:val="FF0000"/>
        </w:rPr>
        <w:t xml:space="preserve"> consent must specify that fact; and</w:t>
      </w:r>
    </w:p>
    <w:p w14:paraId="35E4660A" w14:textId="4A2B8B65" w:rsidR="00D60816" w:rsidRPr="00BC78CF" w:rsidRDefault="00D60816" w:rsidP="00D60816">
      <w:pPr>
        <w:pStyle w:val="paragraph"/>
        <w:rPr>
          <w:color w:val="FF0000"/>
        </w:rPr>
      </w:pPr>
      <w:r w:rsidRPr="00BC78CF">
        <w:rPr>
          <w:color w:val="FF0000"/>
        </w:rPr>
        <w:tab/>
        <w:t>(b)</w:t>
      </w:r>
      <w:r w:rsidRPr="00BC78CF">
        <w:rPr>
          <w:color w:val="FF0000"/>
        </w:rPr>
        <w:tab/>
        <w:t>a consent for the affiliate to collect the CDR data is taken to be consent for the sponsor to so collect it.</w:t>
      </w:r>
    </w:p>
    <w:p w14:paraId="0A5FDEF3" w14:textId="77777777" w:rsidR="00CF0E3D" w:rsidRPr="00F07699" w:rsidRDefault="00CF0E3D" w:rsidP="00CF0E3D">
      <w:pPr>
        <w:pStyle w:val="subsection"/>
      </w:pPr>
      <w:r w:rsidRPr="00F07699">
        <w:tab/>
        <w:t>(3)</w:t>
      </w:r>
      <w:r w:rsidRPr="00F07699">
        <w:tab/>
        <w:t xml:space="preserve">In </w:t>
      </w:r>
      <w:r w:rsidRPr="00275F9C">
        <w:t>giving the consent</w:t>
      </w:r>
      <w:r>
        <w:t>s</w:t>
      </w:r>
      <w:r w:rsidRPr="00275F9C">
        <w:t xml:space="preserve">, </w:t>
      </w:r>
      <w:r w:rsidRPr="00F07699">
        <w:t xml:space="preserve">the CDR consumer gives the accredited person a </w:t>
      </w:r>
      <w:r w:rsidRPr="00F07699">
        <w:rPr>
          <w:b/>
          <w:i/>
        </w:rPr>
        <w:t xml:space="preserve">valid </w:t>
      </w:r>
      <w:r w:rsidRPr="00F07699">
        <w:t xml:space="preserve">request to seek to collect that CDR data from </w:t>
      </w:r>
      <w:r w:rsidRPr="00ED4F4B">
        <w:t>the CDR participant</w:t>
      </w:r>
      <w:r w:rsidRPr="00F07699">
        <w:t>.</w:t>
      </w:r>
    </w:p>
    <w:p w14:paraId="1AF8BF56" w14:textId="77777777" w:rsidR="00CF0E3D" w:rsidRPr="00F07699" w:rsidRDefault="00CF0E3D" w:rsidP="00CF0E3D">
      <w:pPr>
        <w:pStyle w:val="notetext"/>
      </w:pPr>
      <w:r w:rsidRPr="00F07699">
        <w:t>Note:</w:t>
      </w:r>
      <w:r w:rsidRPr="00F07699">
        <w:tab/>
        <w:t>If the accredited person seeks to collect CDR data under this Part without a valid request, it will contravene privacy safeguard 3 (a civil penalty provision under the Act): see section 56EF of the Act.</w:t>
      </w:r>
    </w:p>
    <w:p w14:paraId="53D0FC6A" w14:textId="77777777" w:rsidR="00CF0E3D" w:rsidRPr="00ED4F4B" w:rsidRDefault="00CF0E3D" w:rsidP="00CF0E3D">
      <w:pPr>
        <w:pStyle w:val="subsection"/>
      </w:pPr>
      <w:r w:rsidRPr="00ED4F4B">
        <w:tab/>
        <w:t>(4)</w:t>
      </w:r>
      <w:r w:rsidRPr="00ED4F4B">
        <w:tab/>
        <w:t xml:space="preserve">The request ceases to be </w:t>
      </w:r>
      <w:r w:rsidRPr="00ED4F4B">
        <w:rPr>
          <w:b/>
          <w:i/>
        </w:rPr>
        <w:t>valid</w:t>
      </w:r>
      <w:r w:rsidRPr="00ED4F4B">
        <w:rPr>
          <w:b/>
        </w:rPr>
        <w:t xml:space="preserve"> </w:t>
      </w:r>
      <w:r w:rsidRPr="00ED4F4B">
        <w:t>if the collection consent is withdrawn.</w:t>
      </w:r>
    </w:p>
    <w:p w14:paraId="137054DD" w14:textId="77777777" w:rsidR="00CF0E3D" w:rsidRPr="00ED4F4B" w:rsidRDefault="00CF0E3D" w:rsidP="00CF0E3D">
      <w:pPr>
        <w:pStyle w:val="notetext"/>
      </w:pPr>
      <w:r w:rsidRPr="00ED4F4B">
        <w:t>Note:</w:t>
      </w:r>
      <w:r w:rsidRPr="00ED4F4B">
        <w:tab/>
        <w:t>So long as the use consent is not also withdrawn, the accredited person could continue to use CDR data it had already collected in order to provide the requested goods or services. However, the notification requirement of rule 4.18A would apply.</w:t>
      </w:r>
    </w:p>
    <w:p w14:paraId="57745A68" w14:textId="77777777" w:rsidR="00CF0E3D" w:rsidRPr="00ED4F4B" w:rsidRDefault="00CF0E3D" w:rsidP="00CF0E3D">
      <w:pPr>
        <w:pStyle w:val="subsection"/>
      </w:pPr>
      <w:r w:rsidRPr="00ED4F4B">
        <w:tab/>
        <w:t>(5)</w:t>
      </w:r>
      <w:r w:rsidRPr="00ED4F4B">
        <w:tab/>
        <w:t>If an accredited person asks for a CDR consumer’s consents for the purpose of making a consumer data request under this Part, the accredited person must do so in accordance with Division 4.3.</w:t>
      </w:r>
    </w:p>
    <w:p w14:paraId="25BD237F" w14:textId="77777777" w:rsidR="00CF0E3D" w:rsidRDefault="00CF0E3D" w:rsidP="00CF0E3D">
      <w:pPr>
        <w:pStyle w:val="notetext"/>
      </w:pPr>
      <w:r w:rsidRPr="00F07699">
        <w:t>Note:</w:t>
      </w:r>
      <w:r w:rsidRPr="00F07699">
        <w:tab/>
        <w:t>This subrule is a civil penalty provision (see rule 9.8).</w:t>
      </w:r>
    </w:p>
    <w:p w14:paraId="3429E866" w14:textId="1DB17E3C" w:rsidR="00B86207" w:rsidRPr="00BC78CF" w:rsidRDefault="00B86207" w:rsidP="00B86207">
      <w:pPr>
        <w:pStyle w:val="ActHead5"/>
        <w:rPr>
          <w:color w:val="FF0000"/>
        </w:rPr>
      </w:pPr>
      <w:bookmarkStart w:id="122" w:name="_Toc74916120"/>
      <w:r w:rsidRPr="00BC78CF">
        <w:rPr>
          <w:color w:val="FF0000"/>
        </w:rPr>
        <w:t xml:space="preserve">4.3A Request for accredited person to seek to collect CDR data, made to </w:t>
      </w:r>
      <w:r w:rsidR="00182338" w:rsidRPr="00BC78CF">
        <w:rPr>
          <w:color w:val="FF0000"/>
        </w:rPr>
        <w:t>CDR representative</w:t>
      </w:r>
      <w:bookmarkEnd w:id="122"/>
    </w:p>
    <w:p w14:paraId="46C54D86" w14:textId="77777777" w:rsidR="00B86207" w:rsidRPr="00BC78CF" w:rsidRDefault="00B86207" w:rsidP="00B86207">
      <w:pPr>
        <w:pStyle w:val="subsection"/>
        <w:rPr>
          <w:color w:val="FF0000"/>
        </w:rPr>
      </w:pPr>
      <w:r w:rsidRPr="00BC78CF">
        <w:rPr>
          <w:color w:val="FF0000"/>
        </w:rPr>
        <w:tab/>
        <w:t>(1)</w:t>
      </w:r>
      <w:r w:rsidRPr="00BC78CF">
        <w:rPr>
          <w:color w:val="FF0000"/>
        </w:rPr>
        <w:tab/>
        <w:t>This rule applies if:</w:t>
      </w:r>
    </w:p>
    <w:p w14:paraId="1A3BD790" w14:textId="09527692" w:rsidR="00B86207" w:rsidRPr="00BC78CF" w:rsidRDefault="00B86207" w:rsidP="00B86207">
      <w:pPr>
        <w:pStyle w:val="paragraph"/>
        <w:rPr>
          <w:color w:val="FF0000"/>
        </w:rPr>
      </w:pPr>
      <w:r w:rsidRPr="00BC78CF">
        <w:rPr>
          <w:color w:val="FF0000"/>
        </w:rPr>
        <w:tab/>
        <w:t>(a)</w:t>
      </w:r>
      <w:r w:rsidRPr="00BC78CF">
        <w:rPr>
          <w:color w:val="FF0000"/>
        </w:rPr>
        <w:tab/>
        <w:t xml:space="preserve">a CDR consumer requests a </w:t>
      </w:r>
      <w:r w:rsidR="00182338" w:rsidRPr="00BC78CF">
        <w:rPr>
          <w:color w:val="FF0000"/>
        </w:rPr>
        <w:t>CDR representative</w:t>
      </w:r>
      <w:r w:rsidRPr="00BC78CF">
        <w:rPr>
          <w:color w:val="FF0000"/>
        </w:rPr>
        <w:t xml:space="preserve"> to provide goods or services to the CDR consumer or to another person; and</w:t>
      </w:r>
    </w:p>
    <w:p w14:paraId="04C9668A" w14:textId="53267EE9" w:rsidR="00B86207" w:rsidRPr="00BC78CF" w:rsidRDefault="00B86207" w:rsidP="00B86207">
      <w:pPr>
        <w:pStyle w:val="paragraph"/>
        <w:rPr>
          <w:color w:val="FF0000"/>
        </w:rPr>
      </w:pPr>
      <w:r w:rsidRPr="00BC78CF">
        <w:rPr>
          <w:color w:val="FF0000"/>
        </w:rPr>
        <w:tab/>
        <w:t>(b)</w:t>
      </w:r>
      <w:r w:rsidRPr="00BC78CF">
        <w:rPr>
          <w:color w:val="FF0000"/>
        </w:rPr>
        <w:tab/>
        <w:t xml:space="preserve">the </w:t>
      </w:r>
      <w:r w:rsidR="00182338" w:rsidRPr="00BC78CF">
        <w:rPr>
          <w:color w:val="FF0000"/>
        </w:rPr>
        <w:t>CDR representative</w:t>
      </w:r>
      <w:r w:rsidRPr="00BC78CF">
        <w:rPr>
          <w:color w:val="FF0000"/>
        </w:rPr>
        <w:t xml:space="preserve"> needs to:</w:t>
      </w:r>
    </w:p>
    <w:p w14:paraId="3D6F6A97" w14:textId="77777777" w:rsidR="00B86207" w:rsidRPr="00BC78CF" w:rsidRDefault="00B86207" w:rsidP="00B86207">
      <w:pPr>
        <w:pStyle w:val="paragraphsub"/>
        <w:rPr>
          <w:color w:val="FF0000"/>
        </w:rPr>
      </w:pPr>
      <w:r w:rsidRPr="00BC78CF">
        <w:rPr>
          <w:color w:val="FF0000"/>
        </w:rPr>
        <w:tab/>
        <w:t>(i)</w:t>
      </w:r>
      <w:r w:rsidRPr="00BC78CF">
        <w:rPr>
          <w:color w:val="FF0000"/>
        </w:rPr>
        <w:tab/>
        <w:t>request its CDR principal to collect the CDR consumer’s CDR data from a CDR participant under these rules; and</w:t>
      </w:r>
    </w:p>
    <w:p w14:paraId="7658EE01" w14:textId="77777777" w:rsidR="00B86207" w:rsidRPr="00BC78CF" w:rsidRDefault="00B86207" w:rsidP="00B86207">
      <w:pPr>
        <w:pStyle w:val="paragraphsub"/>
        <w:rPr>
          <w:color w:val="FF0000"/>
        </w:rPr>
      </w:pPr>
      <w:r w:rsidRPr="00BC78CF">
        <w:rPr>
          <w:color w:val="FF0000"/>
        </w:rPr>
        <w:tab/>
        <w:t>(ii)</w:t>
      </w:r>
      <w:r w:rsidRPr="00BC78CF">
        <w:rPr>
          <w:color w:val="FF0000"/>
        </w:rPr>
        <w:tab/>
        <w:t>use it in order to provide those goods or services.</w:t>
      </w:r>
    </w:p>
    <w:p w14:paraId="4CAFA3AF" w14:textId="4C937D65" w:rsidR="00B86207" w:rsidRPr="00BC78CF" w:rsidRDefault="00B86207" w:rsidP="00B86207">
      <w:pPr>
        <w:pStyle w:val="subsection"/>
        <w:rPr>
          <w:color w:val="FF0000"/>
        </w:rPr>
      </w:pPr>
      <w:r w:rsidRPr="00BC78CF">
        <w:rPr>
          <w:color w:val="FF0000"/>
        </w:rPr>
        <w:tab/>
        <w:t>(2)</w:t>
      </w:r>
      <w:r w:rsidRPr="00BC78CF">
        <w:rPr>
          <w:color w:val="FF0000"/>
        </w:rPr>
        <w:tab/>
        <w:t xml:space="preserve">The </w:t>
      </w:r>
      <w:r w:rsidR="00182338" w:rsidRPr="00BC78CF">
        <w:rPr>
          <w:color w:val="FF0000"/>
        </w:rPr>
        <w:t>CDR representative</w:t>
      </w:r>
      <w:r w:rsidRPr="00BC78CF">
        <w:rPr>
          <w:color w:val="FF0000"/>
        </w:rPr>
        <w:t xml:space="preserve"> may, in accordance with Division 4.3, ask the CDR consumer to give:</w:t>
      </w:r>
    </w:p>
    <w:p w14:paraId="09274C37" w14:textId="77777777" w:rsidR="00B86207" w:rsidRPr="00BC78CF" w:rsidRDefault="00B86207" w:rsidP="00B86207">
      <w:pPr>
        <w:pStyle w:val="paragraph"/>
        <w:rPr>
          <w:color w:val="FF0000"/>
        </w:rPr>
      </w:pPr>
      <w:r w:rsidRPr="00BC78CF">
        <w:rPr>
          <w:color w:val="FF0000"/>
        </w:rPr>
        <w:tab/>
        <w:t>(a)</w:t>
      </w:r>
      <w:r w:rsidRPr="00BC78CF">
        <w:rPr>
          <w:color w:val="FF0000"/>
        </w:rPr>
        <w:tab/>
        <w:t>a collection consent for the CDR principal to collect their CDR data from the CDR participant; and</w:t>
      </w:r>
    </w:p>
    <w:p w14:paraId="43A39313" w14:textId="77777777" w:rsidR="00B86207" w:rsidRPr="00BC78CF" w:rsidRDefault="00B86207" w:rsidP="00B86207">
      <w:pPr>
        <w:pStyle w:val="paragraph"/>
        <w:rPr>
          <w:color w:val="FF0000"/>
        </w:rPr>
      </w:pPr>
      <w:r w:rsidRPr="00BC78CF">
        <w:rPr>
          <w:color w:val="FF0000"/>
        </w:rPr>
        <w:tab/>
        <w:t>(b)</w:t>
      </w:r>
      <w:r w:rsidRPr="00BC78CF">
        <w:rPr>
          <w:color w:val="FF0000"/>
        </w:rPr>
        <w:tab/>
        <w:t>a use consent for:</w:t>
      </w:r>
    </w:p>
    <w:p w14:paraId="754E2979" w14:textId="61CCC3F2" w:rsidR="00B86207" w:rsidRPr="00BC78CF" w:rsidRDefault="00B86207" w:rsidP="00B86207">
      <w:pPr>
        <w:pStyle w:val="paragraphsub"/>
        <w:rPr>
          <w:color w:val="FF0000"/>
        </w:rPr>
      </w:pPr>
      <w:r w:rsidRPr="00BC78CF">
        <w:rPr>
          <w:color w:val="FF0000"/>
        </w:rPr>
        <w:tab/>
        <w:t>(i)</w:t>
      </w:r>
      <w:r w:rsidRPr="00BC78CF">
        <w:rPr>
          <w:color w:val="FF0000"/>
        </w:rPr>
        <w:tab/>
        <w:t xml:space="preserve">the CDR principal to disclose that data to the </w:t>
      </w:r>
      <w:r w:rsidR="00182338" w:rsidRPr="00BC78CF">
        <w:rPr>
          <w:color w:val="FF0000"/>
        </w:rPr>
        <w:t>CDR representative</w:t>
      </w:r>
      <w:r w:rsidRPr="00BC78CF">
        <w:rPr>
          <w:color w:val="FF0000"/>
        </w:rPr>
        <w:t>; and</w:t>
      </w:r>
    </w:p>
    <w:p w14:paraId="529A0489" w14:textId="3E1BC776" w:rsidR="00B86207" w:rsidRPr="00BC78CF" w:rsidRDefault="00B86207" w:rsidP="00B86207">
      <w:pPr>
        <w:pStyle w:val="paragraphsub"/>
        <w:rPr>
          <w:color w:val="FF0000"/>
        </w:rPr>
      </w:pPr>
      <w:r w:rsidRPr="00BC78CF">
        <w:rPr>
          <w:color w:val="FF0000"/>
        </w:rPr>
        <w:tab/>
        <w:t>(ii)</w:t>
      </w:r>
      <w:r w:rsidRPr="00BC78CF">
        <w:rPr>
          <w:color w:val="FF0000"/>
        </w:rPr>
        <w:tab/>
        <w:t xml:space="preserve">for the </w:t>
      </w:r>
      <w:r w:rsidR="00182338" w:rsidRPr="00BC78CF">
        <w:rPr>
          <w:color w:val="FF0000"/>
        </w:rPr>
        <w:t>CDR representative</w:t>
      </w:r>
      <w:r w:rsidRPr="00BC78CF">
        <w:rPr>
          <w:color w:val="FF0000"/>
        </w:rPr>
        <w:t xml:space="preserve"> to use it in order to provide those goods or services.</w:t>
      </w:r>
    </w:p>
    <w:p w14:paraId="79ACE617" w14:textId="77777777" w:rsidR="00B86207" w:rsidRPr="00BC78CF" w:rsidRDefault="00B86207" w:rsidP="00B86207">
      <w:pPr>
        <w:pStyle w:val="notetext"/>
        <w:rPr>
          <w:color w:val="FF0000"/>
        </w:rPr>
      </w:pPr>
      <w:r w:rsidRPr="00BC78CF">
        <w:rPr>
          <w:color w:val="FF0000"/>
        </w:rPr>
        <w:t>Note 1:</w:t>
      </w:r>
      <w:r w:rsidRPr="00BC78CF">
        <w:rPr>
          <w:color w:val="FF0000"/>
        </w:rPr>
        <w:tab/>
        <w:t>In order to provide goods or services in accordance with the CDR consumer’s request, it might be necessary for the accredited person to request CDR data from more than 1 CDR participant.</w:t>
      </w:r>
    </w:p>
    <w:p w14:paraId="7903F6E4" w14:textId="77777777" w:rsidR="00B86207" w:rsidRPr="00BC78CF" w:rsidRDefault="00B86207" w:rsidP="00B86207">
      <w:pPr>
        <w:pStyle w:val="notetext"/>
        <w:rPr>
          <w:color w:val="FF0000"/>
        </w:rPr>
      </w:pPr>
      <w:r w:rsidRPr="00BC78CF">
        <w:rPr>
          <w:color w:val="FF0000"/>
        </w:rPr>
        <w:t>Note 2:</w:t>
      </w:r>
      <w:r w:rsidRPr="00BC78CF">
        <w:rPr>
          <w:color w:val="FF0000"/>
        </w:rPr>
        <w:tab/>
        <w:t>The CDR data may be collected and used only in accordance with the data minimisation principle: see rule 1.8.</w:t>
      </w:r>
    </w:p>
    <w:p w14:paraId="28237075" w14:textId="77777777" w:rsidR="00B86207" w:rsidRPr="00BC78CF" w:rsidRDefault="00B86207" w:rsidP="00B86207">
      <w:pPr>
        <w:pStyle w:val="subsection"/>
        <w:rPr>
          <w:color w:val="FF0000"/>
        </w:rPr>
      </w:pPr>
      <w:r w:rsidRPr="00BC78CF">
        <w:rPr>
          <w:color w:val="FF0000"/>
        </w:rPr>
        <w:tab/>
        <w:t>(3)</w:t>
      </w:r>
      <w:r w:rsidRPr="00BC78CF">
        <w:rPr>
          <w:color w:val="FF0000"/>
        </w:rPr>
        <w:tab/>
        <w:t xml:space="preserve">In giving the consents, the CDR consumer gives the CDR principal a </w:t>
      </w:r>
      <w:r w:rsidRPr="00BC78CF">
        <w:rPr>
          <w:b/>
          <w:i/>
          <w:color w:val="FF0000"/>
        </w:rPr>
        <w:t xml:space="preserve">valid </w:t>
      </w:r>
      <w:r w:rsidRPr="00BC78CF">
        <w:rPr>
          <w:color w:val="FF0000"/>
        </w:rPr>
        <w:t>request to seek to collect that CDR data from the CDR participant.</w:t>
      </w:r>
    </w:p>
    <w:p w14:paraId="729DF412" w14:textId="77777777" w:rsidR="00B86207" w:rsidRPr="00BC78CF" w:rsidRDefault="00B86207" w:rsidP="00B86207">
      <w:pPr>
        <w:pStyle w:val="notetext"/>
        <w:rPr>
          <w:color w:val="FF0000"/>
        </w:rPr>
      </w:pPr>
      <w:r w:rsidRPr="00BC78CF">
        <w:rPr>
          <w:color w:val="FF0000"/>
        </w:rPr>
        <w:t>Note:</w:t>
      </w:r>
      <w:r w:rsidRPr="00BC78CF">
        <w:rPr>
          <w:color w:val="FF0000"/>
        </w:rPr>
        <w:tab/>
        <w:t>If an accredited person seeks to collect CDR data under this Part without a valid request, it will contravene privacy safeguard 3 (a civil penalty provision under the Act): see section 56EF of the Act.</w:t>
      </w:r>
    </w:p>
    <w:p w14:paraId="30A93FE4" w14:textId="77777777" w:rsidR="00B86207" w:rsidRPr="00BC78CF" w:rsidRDefault="00B86207" w:rsidP="00B86207">
      <w:pPr>
        <w:pStyle w:val="subsection"/>
        <w:rPr>
          <w:color w:val="FF0000"/>
        </w:rPr>
      </w:pPr>
      <w:r w:rsidRPr="00BC78CF">
        <w:rPr>
          <w:color w:val="FF0000"/>
        </w:rPr>
        <w:tab/>
        <w:t>(4)</w:t>
      </w:r>
      <w:r w:rsidRPr="00BC78CF">
        <w:rPr>
          <w:color w:val="FF0000"/>
        </w:rPr>
        <w:tab/>
        <w:t xml:space="preserve">The request ceases to be </w:t>
      </w:r>
      <w:r w:rsidRPr="00BC78CF">
        <w:rPr>
          <w:b/>
          <w:i/>
          <w:color w:val="FF0000"/>
        </w:rPr>
        <w:t>valid</w:t>
      </w:r>
      <w:r w:rsidRPr="00BC78CF">
        <w:rPr>
          <w:b/>
          <w:color w:val="FF0000"/>
        </w:rPr>
        <w:t xml:space="preserve"> </w:t>
      </w:r>
      <w:r w:rsidRPr="00BC78CF">
        <w:rPr>
          <w:color w:val="FF0000"/>
        </w:rPr>
        <w:t>if the collection consent is withdrawn.</w:t>
      </w:r>
    </w:p>
    <w:p w14:paraId="6804D04A" w14:textId="1C73267D" w:rsidR="00B86207" w:rsidRPr="00BC78CF" w:rsidRDefault="00B86207" w:rsidP="00B86207">
      <w:pPr>
        <w:pStyle w:val="notetext"/>
        <w:rPr>
          <w:color w:val="FF0000"/>
        </w:rPr>
      </w:pPr>
      <w:r w:rsidRPr="00BC78CF">
        <w:rPr>
          <w:color w:val="FF0000"/>
        </w:rPr>
        <w:t>Note:</w:t>
      </w:r>
      <w:r w:rsidRPr="00BC78CF">
        <w:rPr>
          <w:color w:val="FF0000"/>
        </w:rPr>
        <w:tab/>
        <w:t xml:space="preserve">So long as the use consent is not also withdrawn, the CDR principal could continue to disclose CDR data it had already collected to the </w:t>
      </w:r>
      <w:r w:rsidR="00182338" w:rsidRPr="00BC78CF">
        <w:rPr>
          <w:color w:val="FF0000"/>
        </w:rPr>
        <w:t>CDR representative</w:t>
      </w:r>
      <w:r w:rsidRPr="00BC78CF">
        <w:rPr>
          <w:color w:val="FF0000"/>
        </w:rPr>
        <w:t xml:space="preserve">, and the </w:t>
      </w:r>
      <w:r w:rsidR="00182338" w:rsidRPr="00BC78CF">
        <w:rPr>
          <w:color w:val="FF0000"/>
        </w:rPr>
        <w:t>CDR representative</w:t>
      </w:r>
      <w:r w:rsidRPr="00BC78CF">
        <w:rPr>
          <w:color w:val="FF0000"/>
        </w:rPr>
        <w:t xml:space="preserve"> could use it in order to provide the requested goods or services. However, the notification requirement of rule 4.18A would apply.</w:t>
      </w:r>
    </w:p>
    <w:p w14:paraId="71A29368" w14:textId="5492748E" w:rsidR="00D22C3C" w:rsidRPr="00BC78CF" w:rsidRDefault="00D22C3C" w:rsidP="00EE0BA9">
      <w:pPr>
        <w:pStyle w:val="ActHead5"/>
        <w:rPr>
          <w:color w:val="FF0000"/>
        </w:rPr>
      </w:pPr>
      <w:bookmarkStart w:id="123" w:name="_Toc74916121"/>
      <w:r w:rsidRPr="00BC78CF">
        <w:rPr>
          <w:color w:val="FF0000"/>
        </w:rPr>
        <w:t>4.3B Modific</w:t>
      </w:r>
      <w:r w:rsidR="00EE0BA9" w:rsidRPr="00BC78CF">
        <w:rPr>
          <w:color w:val="FF0000"/>
        </w:rPr>
        <w:t>a</w:t>
      </w:r>
      <w:r w:rsidRPr="00BC78CF">
        <w:rPr>
          <w:color w:val="FF0000"/>
        </w:rPr>
        <w:t xml:space="preserve">tions of </w:t>
      </w:r>
      <w:r w:rsidR="00EE0BA9" w:rsidRPr="00BC78CF">
        <w:rPr>
          <w:color w:val="FF0000"/>
        </w:rPr>
        <w:t xml:space="preserve">Division 4.3 in relation to </w:t>
      </w:r>
      <w:r w:rsidR="00182338" w:rsidRPr="00BC78CF">
        <w:rPr>
          <w:color w:val="FF0000"/>
        </w:rPr>
        <w:t>CDR representative</w:t>
      </w:r>
      <w:bookmarkEnd w:id="123"/>
    </w:p>
    <w:p w14:paraId="1BB78525" w14:textId="577DC818" w:rsidR="00B86207" w:rsidRPr="00BC78CF" w:rsidRDefault="00B86207" w:rsidP="00B86207">
      <w:pPr>
        <w:pStyle w:val="subsection"/>
        <w:rPr>
          <w:color w:val="FF0000"/>
        </w:rPr>
      </w:pPr>
      <w:r w:rsidRPr="00BC78CF">
        <w:rPr>
          <w:color w:val="FF0000"/>
        </w:rPr>
        <w:tab/>
      </w:r>
      <w:r w:rsidRPr="00BC78CF">
        <w:rPr>
          <w:color w:val="FF0000"/>
        </w:rPr>
        <w:tab/>
      </w:r>
      <w:r w:rsidR="003C23E8" w:rsidRPr="00BC78CF">
        <w:rPr>
          <w:color w:val="FF0000"/>
        </w:rPr>
        <w:t xml:space="preserve">The </w:t>
      </w:r>
      <w:r w:rsidRPr="00BC78CF">
        <w:rPr>
          <w:color w:val="FF0000"/>
        </w:rPr>
        <w:t>CDR</w:t>
      </w:r>
      <w:r w:rsidR="003C23E8" w:rsidRPr="00BC78CF">
        <w:rPr>
          <w:color w:val="FF0000"/>
        </w:rPr>
        <w:t xml:space="preserve"> principal must ensure that, when the </w:t>
      </w:r>
      <w:r w:rsidR="00182338" w:rsidRPr="00BC78CF">
        <w:rPr>
          <w:color w:val="FF0000"/>
        </w:rPr>
        <w:t>CDR representative</w:t>
      </w:r>
      <w:r w:rsidR="003C23E8" w:rsidRPr="00BC78CF">
        <w:rPr>
          <w:color w:val="FF0000"/>
        </w:rPr>
        <w:t xml:space="preserve"> asks for the </w:t>
      </w:r>
      <w:r w:rsidRPr="00BC78CF">
        <w:rPr>
          <w:color w:val="FF0000"/>
        </w:rPr>
        <w:t xml:space="preserve">CDR consumer’s consents, </w:t>
      </w:r>
      <w:r w:rsidR="003C23E8" w:rsidRPr="00BC78CF">
        <w:rPr>
          <w:color w:val="FF0000"/>
        </w:rPr>
        <w:t>it</w:t>
      </w:r>
      <w:r w:rsidRPr="00BC78CF">
        <w:rPr>
          <w:color w:val="FF0000"/>
        </w:rPr>
        <w:t xml:space="preserve"> </w:t>
      </w:r>
      <w:r w:rsidR="003C23E8" w:rsidRPr="00BC78CF">
        <w:rPr>
          <w:color w:val="FF0000"/>
        </w:rPr>
        <w:t xml:space="preserve">does </w:t>
      </w:r>
      <w:r w:rsidRPr="00BC78CF">
        <w:rPr>
          <w:color w:val="FF0000"/>
        </w:rPr>
        <w:t>so in accordance with Division 4.3, applied with the following modifications:</w:t>
      </w:r>
    </w:p>
    <w:p w14:paraId="266E337B" w14:textId="563E7855" w:rsidR="00D936FC" w:rsidRPr="00BC78CF" w:rsidRDefault="00D936FC" w:rsidP="00A670EA">
      <w:pPr>
        <w:pStyle w:val="paragraph"/>
        <w:rPr>
          <w:color w:val="FF0000"/>
        </w:rPr>
      </w:pPr>
      <w:r w:rsidRPr="00BC78CF">
        <w:rPr>
          <w:color w:val="FF0000"/>
        </w:rPr>
        <w:tab/>
        <w:t>(a)</w:t>
      </w:r>
      <w:r w:rsidRPr="00BC78CF">
        <w:rPr>
          <w:color w:val="FF0000"/>
        </w:rPr>
        <w:tab/>
        <w:t>replace references to the accredited person</w:t>
      </w:r>
      <w:r w:rsidR="00A670EA" w:rsidRPr="00BC78CF">
        <w:rPr>
          <w:color w:val="FF0000"/>
        </w:rPr>
        <w:t xml:space="preserve"> with references to </w:t>
      </w:r>
      <w:r w:rsidRPr="00BC78CF">
        <w:rPr>
          <w:color w:val="FF0000"/>
        </w:rPr>
        <w:t xml:space="preserve">the </w:t>
      </w:r>
      <w:r w:rsidR="00182338" w:rsidRPr="00BC78CF">
        <w:rPr>
          <w:color w:val="FF0000"/>
        </w:rPr>
        <w:t>CDR representative</w:t>
      </w:r>
      <w:r w:rsidR="002A0156" w:rsidRPr="00BC78CF">
        <w:rPr>
          <w:color w:val="FF0000"/>
        </w:rPr>
        <w:t>, except in Sub</w:t>
      </w:r>
      <w:r w:rsidR="00A670EA" w:rsidRPr="00BC78CF">
        <w:rPr>
          <w:color w:val="FF0000"/>
        </w:rPr>
        <w:t>division 4.3.5;</w:t>
      </w:r>
    </w:p>
    <w:p w14:paraId="160B509C" w14:textId="4E72F8C9" w:rsidR="007303FA" w:rsidRPr="00BC78CF" w:rsidRDefault="007303FA" w:rsidP="00A670EA">
      <w:pPr>
        <w:pStyle w:val="paragraph"/>
        <w:rPr>
          <w:color w:val="FF0000"/>
        </w:rPr>
      </w:pPr>
      <w:r w:rsidRPr="00BC78CF">
        <w:rPr>
          <w:color w:val="FF0000"/>
        </w:rPr>
        <w:tab/>
        <w:t>(b)</w:t>
      </w:r>
      <w:r w:rsidRPr="00BC78CF">
        <w:rPr>
          <w:color w:val="FF0000"/>
        </w:rPr>
        <w:tab/>
        <w:t xml:space="preserve">in Subdivision 4.3.5, replace references to the accredited person with references to the </w:t>
      </w:r>
      <w:r w:rsidR="007A59AB" w:rsidRPr="00BC78CF">
        <w:rPr>
          <w:color w:val="FF0000"/>
        </w:rPr>
        <w:t xml:space="preserve">CDR </w:t>
      </w:r>
      <w:r w:rsidRPr="00BC78CF">
        <w:rPr>
          <w:color w:val="FF0000"/>
        </w:rPr>
        <w:t>principal;</w:t>
      </w:r>
    </w:p>
    <w:p w14:paraId="2D62A2FE" w14:textId="1F2805D3" w:rsidR="007A59AB" w:rsidRPr="00BC78CF" w:rsidRDefault="007A59AB" w:rsidP="00A670EA">
      <w:pPr>
        <w:pStyle w:val="paragraph"/>
        <w:rPr>
          <w:color w:val="FF0000"/>
        </w:rPr>
      </w:pPr>
      <w:r w:rsidRPr="00BC78CF">
        <w:rPr>
          <w:color w:val="FF0000"/>
        </w:rPr>
        <w:tab/>
        <w:t>(c)</w:t>
      </w:r>
      <w:r w:rsidRPr="00BC78CF">
        <w:rPr>
          <w:color w:val="FF0000"/>
        </w:rPr>
        <w:tab/>
        <w:t xml:space="preserve">replace references to the goods and services provided by the accredited person with references goods or services provided by the </w:t>
      </w:r>
      <w:r w:rsidR="00182338" w:rsidRPr="00BC78CF">
        <w:rPr>
          <w:color w:val="FF0000"/>
        </w:rPr>
        <w:t>CDR representative</w:t>
      </w:r>
      <w:r w:rsidRPr="00BC78CF">
        <w:rPr>
          <w:color w:val="FF0000"/>
        </w:rPr>
        <w:t>;</w:t>
      </w:r>
    </w:p>
    <w:p w14:paraId="14C1C20F" w14:textId="12964DA7" w:rsidR="007303FA" w:rsidRPr="00BC78CF" w:rsidRDefault="007303FA" w:rsidP="007303FA">
      <w:pPr>
        <w:pStyle w:val="paragraph"/>
        <w:rPr>
          <w:color w:val="FF0000"/>
        </w:rPr>
      </w:pPr>
      <w:r w:rsidRPr="00BC78CF">
        <w:rPr>
          <w:color w:val="FF0000"/>
        </w:rPr>
        <w:tab/>
        <w:t>(</w:t>
      </w:r>
      <w:r w:rsidR="007A59AB" w:rsidRPr="00BC78CF">
        <w:rPr>
          <w:color w:val="FF0000"/>
        </w:rPr>
        <w:t>d</w:t>
      </w:r>
      <w:r w:rsidRPr="00BC78CF">
        <w:rPr>
          <w:color w:val="FF0000"/>
        </w:rPr>
        <w:t>)</w:t>
      </w:r>
      <w:r w:rsidRPr="00BC78CF">
        <w:rPr>
          <w:color w:val="FF0000"/>
        </w:rPr>
        <w:tab/>
        <w:t>replace references to the consumer dashboard provided by the accredited person with references to the consumer dashb</w:t>
      </w:r>
      <w:r w:rsidR="00FF16E1" w:rsidRPr="00BC78CF">
        <w:rPr>
          <w:color w:val="FF0000"/>
        </w:rPr>
        <w:t>oard provided by the principal;</w:t>
      </w:r>
    </w:p>
    <w:p w14:paraId="2BFC52AF" w14:textId="46E1483F" w:rsidR="00FF16E1" w:rsidRPr="00BC78CF" w:rsidRDefault="00B13F8B" w:rsidP="00FF16E1">
      <w:pPr>
        <w:pStyle w:val="paragraph"/>
        <w:rPr>
          <w:color w:val="FF0000"/>
        </w:rPr>
      </w:pPr>
      <w:r w:rsidRPr="00BC78CF">
        <w:rPr>
          <w:color w:val="FF0000"/>
        </w:rPr>
        <w:tab/>
        <w:t>(e</w:t>
      </w:r>
      <w:r w:rsidR="00FF16E1" w:rsidRPr="00BC78CF">
        <w:rPr>
          <w:color w:val="FF0000"/>
        </w:rPr>
        <w:t>)</w:t>
      </w:r>
      <w:r w:rsidR="00FF16E1" w:rsidRPr="00BC78CF">
        <w:rPr>
          <w:color w:val="FF0000"/>
        </w:rPr>
        <w:tab/>
        <w:t xml:space="preserve">replace </w:t>
      </w:r>
      <w:r w:rsidR="00852EE8" w:rsidRPr="00BC78CF">
        <w:rPr>
          <w:color w:val="FF0000"/>
        </w:rPr>
        <w:t>references to the accredited person’s CDR policy with references to the CDR principal’s CDR policy;</w:t>
      </w:r>
      <w:r w:rsidR="00FF16E1" w:rsidRPr="00BC78CF">
        <w:rPr>
          <w:color w:val="FF0000"/>
        </w:rPr>
        <w:t xml:space="preserve"> </w:t>
      </w:r>
    </w:p>
    <w:p w14:paraId="2AE3E732" w14:textId="74832181" w:rsidR="00852EE8" w:rsidRPr="00BC78CF" w:rsidRDefault="00B13F8B" w:rsidP="00852EE8">
      <w:pPr>
        <w:pStyle w:val="paragraph"/>
        <w:rPr>
          <w:color w:val="FF0000"/>
        </w:rPr>
      </w:pPr>
      <w:r w:rsidRPr="00BC78CF">
        <w:rPr>
          <w:color w:val="FF0000"/>
        </w:rPr>
        <w:tab/>
        <w:t>(f</w:t>
      </w:r>
      <w:r w:rsidR="00852EE8" w:rsidRPr="00BC78CF">
        <w:rPr>
          <w:color w:val="FF0000"/>
        </w:rPr>
        <w:t>)</w:t>
      </w:r>
      <w:r w:rsidR="00852EE8" w:rsidRPr="00BC78CF">
        <w:rPr>
          <w:color w:val="FF0000"/>
        </w:rPr>
        <w:tab/>
        <w:t xml:space="preserve">replace references to an outsourced service provider of the accredited person with references to an outsourced service provider of the CDR principal or of the </w:t>
      </w:r>
      <w:r w:rsidR="00182338" w:rsidRPr="00BC78CF">
        <w:rPr>
          <w:color w:val="FF0000"/>
        </w:rPr>
        <w:t>CDR representative</w:t>
      </w:r>
      <w:r w:rsidR="00852EE8" w:rsidRPr="00BC78CF">
        <w:rPr>
          <w:color w:val="FF0000"/>
        </w:rPr>
        <w:t xml:space="preserve">; </w:t>
      </w:r>
    </w:p>
    <w:p w14:paraId="59BAF4BA" w14:textId="29822196" w:rsidR="00B82440" w:rsidRPr="00BC78CF" w:rsidRDefault="00B82440" w:rsidP="00B82440">
      <w:pPr>
        <w:pStyle w:val="paragraph"/>
        <w:rPr>
          <w:color w:val="FF0000"/>
        </w:rPr>
      </w:pPr>
      <w:r w:rsidRPr="00BC78CF">
        <w:rPr>
          <w:color w:val="FF0000"/>
        </w:rPr>
        <w:tab/>
      </w:r>
      <w:r w:rsidR="00A670EA" w:rsidRPr="00BC78CF">
        <w:rPr>
          <w:color w:val="FF0000"/>
        </w:rPr>
        <w:t>(</w:t>
      </w:r>
      <w:r w:rsidR="00B13F8B" w:rsidRPr="00BC78CF">
        <w:rPr>
          <w:color w:val="FF0000"/>
        </w:rPr>
        <w:t>g</w:t>
      </w:r>
      <w:r w:rsidRPr="00BC78CF">
        <w:rPr>
          <w:color w:val="FF0000"/>
        </w:rPr>
        <w:t>)</w:t>
      </w:r>
      <w:r w:rsidRPr="00BC78CF">
        <w:rPr>
          <w:color w:val="FF0000"/>
        </w:rPr>
        <w:tab/>
        <w:t xml:space="preserve">replace subrule 4.11(1A) with the following: </w:t>
      </w:r>
    </w:p>
    <w:p w14:paraId="07288D43" w14:textId="7281D0FD" w:rsidR="00B82440" w:rsidRPr="00BC78CF" w:rsidRDefault="00B82440" w:rsidP="00B82440">
      <w:pPr>
        <w:pStyle w:val="paragraph"/>
        <w:rPr>
          <w:color w:val="FF0000"/>
        </w:rPr>
      </w:pPr>
      <w:r w:rsidRPr="00BC78CF">
        <w:rPr>
          <w:color w:val="FF0000"/>
        </w:rPr>
        <w:tab/>
      </w:r>
      <w:r w:rsidRPr="00BC78CF">
        <w:rPr>
          <w:color w:val="FF0000"/>
        </w:rPr>
        <w:tab/>
        <w:t xml:space="preserve">“(1A)  A </w:t>
      </w:r>
      <w:r w:rsidR="00182338" w:rsidRPr="00BC78CF">
        <w:rPr>
          <w:color w:val="FF0000"/>
        </w:rPr>
        <w:t>CDR representative</w:t>
      </w:r>
      <w:r w:rsidRPr="00BC78CF">
        <w:rPr>
          <w:color w:val="FF0000"/>
        </w:rPr>
        <w:t xml:space="preserve"> must not ask a CDR consumer to give a disclosure consent for disclosure of CDR data by the </w:t>
      </w:r>
      <w:r w:rsidR="00182338" w:rsidRPr="00BC78CF">
        <w:rPr>
          <w:color w:val="FF0000"/>
        </w:rPr>
        <w:t>CDR representative</w:t>
      </w:r>
      <w:r w:rsidRPr="00BC78CF">
        <w:rPr>
          <w:color w:val="FF0000"/>
        </w:rPr>
        <w:t xml:space="preserve"> unless the consumer has already given the collection and use consents required for the data to be collected by the CDR principal and disclosed to and used by </w:t>
      </w:r>
      <w:r w:rsidR="00182338" w:rsidRPr="00BC78CF">
        <w:rPr>
          <w:color w:val="FF0000"/>
        </w:rPr>
        <w:t>CDR representative</w:t>
      </w:r>
      <w:r w:rsidRPr="00BC78CF">
        <w:rPr>
          <w:color w:val="FF0000"/>
        </w:rPr>
        <w:t>.”</w:t>
      </w:r>
      <w:r w:rsidR="00171D2F" w:rsidRPr="00BC78CF">
        <w:rPr>
          <w:color w:val="FF0000"/>
        </w:rPr>
        <w:t>;</w:t>
      </w:r>
    </w:p>
    <w:p w14:paraId="62F22C5F" w14:textId="7A49C594" w:rsidR="00171D2F" w:rsidRPr="00BC78CF" w:rsidRDefault="007303FA" w:rsidP="00171D2F">
      <w:pPr>
        <w:pStyle w:val="paragraph"/>
        <w:rPr>
          <w:color w:val="FF0000"/>
        </w:rPr>
      </w:pPr>
      <w:r w:rsidRPr="00BC78CF">
        <w:rPr>
          <w:color w:val="FF0000"/>
        </w:rPr>
        <w:tab/>
        <w:t>(</w:t>
      </w:r>
      <w:r w:rsidR="00B13F8B" w:rsidRPr="00BC78CF">
        <w:rPr>
          <w:color w:val="FF0000"/>
        </w:rPr>
        <w:t>h</w:t>
      </w:r>
      <w:r w:rsidR="00171D2F" w:rsidRPr="00BC78CF">
        <w:rPr>
          <w:color w:val="FF0000"/>
        </w:rPr>
        <w:t>)</w:t>
      </w:r>
      <w:r w:rsidR="00171D2F" w:rsidRPr="00BC78CF">
        <w:rPr>
          <w:color w:val="FF0000"/>
        </w:rPr>
        <w:tab/>
        <w:t>omit paragraph 4.11(3)(b);</w:t>
      </w:r>
    </w:p>
    <w:p w14:paraId="6A7BA33F" w14:textId="247176C0" w:rsidR="00B86207" w:rsidRPr="00BC78CF" w:rsidRDefault="007303FA" w:rsidP="00171D2F">
      <w:pPr>
        <w:pStyle w:val="paragraph"/>
        <w:rPr>
          <w:color w:val="FF0000"/>
        </w:rPr>
      </w:pPr>
      <w:r w:rsidRPr="00BC78CF">
        <w:rPr>
          <w:color w:val="FF0000"/>
        </w:rPr>
        <w:tab/>
        <w:t>(</w:t>
      </w:r>
      <w:r w:rsidR="00B13F8B" w:rsidRPr="00BC78CF">
        <w:rPr>
          <w:color w:val="FF0000"/>
        </w:rPr>
        <w:t>i</w:t>
      </w:r>
      <w:r w:rsidR="00171D2F" w:rsidRPr="00BC78CF">
        <w:rPr>
          <w:color w:val="FF0000"/>
        </w:rPr>
        <w:t>)</w:t>
      </w:r>
      <w:r w:rsidR="00171D2F" w:rsidRPr="00BC78CF">
        <w:rPr>
          <w:color w:val="FF0000"/>
        </w:rPr>
        <w:tab/>
        <w:t>replace paragraph 4.11(3)(i) with the following:</w:t>
      </w:r>
    </w:p>
    <w:p w14:paraId="223347D6" w14:textId="77AC1498" w:rsidR="00171D2F" w:rsidRPr="00BC78CF" w:rsidRDefault="00171D2F" w:rsidP="00171D2F">
      <w:pPr>
        <w:pStyle w:val="paragraph"/>
        <w:rPr>
          <w:color w:val="FF0000"/>
        </w:rPr>
      </w:pPr>
      <w:r w:rsidRPr="00BC78CF">
        <w:rPr>
          <w:color w:val="FF0000"/>
        </w:rPr>
        <w:tab/>
      </w:r>
      <w:r w:rsidRPr="00BC78CF">
        <w:rPr>
          <w:color w:val="FF0000"/>
        </w:rPr>
        <w:tab/>
        <w:t>“(i)</w:t>
      </w:r>
      <w:r w:rsidRPr="00BC78CF">
        <w:rPr>
          <w:color w:val="FF0000"/>
        </w:rPr>
        <w:tab/>
        <w:t xml:space="preserve">the fact that the person is a </w:t>
      </w:r>
      <w:r w:rsidR="00182338" w:rsidRPr="00BC78CF">
        <w:rPr>
          <w:color w:val="FF0000"/>
        </w:rPr>
        <w:t>CDR representative</w:t>
      </w:r>
      <w:r w:rsidRPr="00BC78CF">
        <w:rPr>
          <w:color w:val="FF0000"/>
        </w:rPr>
        <w:t xml:space="preserve"> and that the CDR data will be collected by its CDR principal at its request;</w:t>
      </w:r>
    </w:p>
    <w:p w14:paraId="2C6DFD21" w14:textId="2FE2A9E2" w:rsidR="0009551E" w:rsidRPr="00BC78CF" w:rsidRDefault="0009551E" w:rsidP="0009551E">
      <w:pPr>
        <w:pStyle w:val="paragraphsub"/>
        <w:rPr>
          <w:color w:val="FF0000"/>
        </w:rPr>
      </w:pPr>
      <w:r w:rsidRPr="00BC78CF">
        <w:rPr>
          <w:color w:val="FF0000"/>
        </w:rPr>
        <w:tab/>
        <w:t>(j)</w:t>
      </w:r>
      <w:r w:rsidRPr="00BC78CF">
        <w:rPr>
          <w:color w:val="FF0000"/>
        </w:rPr>
        <w:tab/>
        <w:t xml:space="preserve">if the </w:t>
      </w:r>
      <w:r w:rsidR="00182338" w:rsidRPr="00BC78CF">
        <w:rPr>
          <w:color w:val="FF0000"/>
        </w:rPr>
        <w:t>CDR representative</w:t>
      </w:r>
      <w:r w:rsidRPr="00BC78CF">
        <w:rPr>
          <w:color w:val="FF0000"/>
        </w:rPr>
        <w:t xml:space="preserve"> is not located in Australia—the country in which it is located;</w:t>
      </w:r>
    </w:p>
    <w:p w14:paraId="4E5B84FB" w14:textId="048DA1EE" w:rsidR="00171D2F" w:rsidRPr="00BC78CF" w:rsidRDefault="00171D2F" w:rsidP="00171D2F">
      <w:pPr>
        <w:pStyle w:val="paragraphsub"/>
        <w:rPr>
          <w:color w:val="FF0000"/>
        </w:rPr>
      </w:pPr>
      <w:r w:rsidRPr="00BC78CF">
        <w:rPr>
          <w:color w:val="FF0000"/>
        </w:rPr>
        <w:tab/>
        <w:t>(</w:t>
      </w:r>
      <w:r w:rsidR="0009551E" w:rsidRPr="00BC78CF">
        <w:rPr>
          <w:color w:val="FF0000"/>
        </w:rPr>
        <w:t>k</w:t>
      </w:r>
      <w:r w:rsidRPr="00BC78CF">
        <w:rPr>
          <w:color w:val="FF0000"/>
        </w:rPr>
        <w:t>)</w:t>
      </w:r>
      <w:r w:rsidRPr="00BC78CF">
        <w:rPr>
          <w:color w:val="FF0000"/>
        </w:rPr>
        <w:tab/>
        <w:t>the principal’s name; and</w:t>
      </w:r>
    </w:p>
    <w:p w14:paraId="28096FF8" w14:textId="0BFFE2E8" w:rsidR="00171D2F" w:rsidRPr="00BC78CF" w:rsidRDefault="00171D2F" w:rsidP="00171D2F">
      <w:pPr>
        <w:pStyle w:val="paragraphsub"/>
        <w:rPr>
          <w:color w:val="FF0000"/>
        </w:rPr>
      </w:pPr>
      <w:r w:rsidRPr="00BC78CF">
        <w:rPr>
          <w:color w:val="FF0000"/>
        </w:rPr>
        <w:tab/>
        <w:t>(l)</w:t>
      </w:r>
      <w:r w:rsidRPr="00BC78CF">
        <w:rPr>
          <w:color w:val="FF0000"/>
        </w:rPr>
        <w:tab/>
        <w:t>the prinicpal’s accreditation number; and</w:t>
      </w:r>
    </w:p>
    <w:p w14:paraId="0D194E52" w14:textId="3BEB6B89" w:rsidR="00171D2F" w:rsidRPr="00BC78CF" w:rsidRDefault="00171D2F" w:rsidP="00171D2F">
      <w:pPr>
        <w:pStyle w:val="paragraphsub"/>
        <w:rPr>
          <w:color w:val="FF0000"/>
        </w:rPr>
      </w:pPr>
      <w:r w:rsidRPr="00BC78CF">
        <w:rPr>
          <w:color w:val="FF0000"/>
        </w:rPr>
        <w:tab/>
        <w:t>(m)</w:t>
      </w:r>
      <w:r w:rsidRPr="00BC78CF">
        <w:rPr>
          <w:color w:val="FF0000"/>
        </w:rPr>
        <w:tab/>
        <w:t>a link to the principal’s CDR policy; and</w:t>
      </w:r>
    </w:p>
    <w:p w14:paraId="1EDE4F5F" w14:textId="180994F1" w:rsidR="00171D2F" w:rsidRPr="00BC78CF" w:rsidRDefault="00171D2F" w:rsidP="00171D2F">
      <w:pPr>
        <w:pStyle w:val="paragraphsub"/>
        <w:rPr>
          <w:color w:val="FF0000"/>
        </w:rPr>
      </w:pPr>
      <w:r w:rsidRPr="00BC78CF">
        <w:rPr>
          <w:color w:val="FF0000"/>
        </w:rPr>
        <w:tab/>
        <w:t>(n)</w:t>
      </w:r>
      <w:r w:rsidRPr="00BC78CF">
        <w:rPr>
          <w:color w:val="FF0000"/>
        </w:rPr>
        <w:tab/>
        <w:t>a statement that the CDR consumer can obtain further information about such collections or disclosures from the principal’s CDR policy if desired.”;</w:t>
      </w:r>
    </w:p>
    <w:p w14:paraId="44D6D993" w14:textId="0E4A06FC" w:rsidR="00171D2F" w:rsidRPr="00BC78CF" w:rsidRDefault="00171D2F" w:rsidP="00171D2F">
      <w:pPr>
        <w:pStyle w:val="paragraph"/>
        <w:rPr>
          <w:color w:val="FF0000"/>
        </w:rPr>
      </w:pPr>
      <w:r w:rsidRPr="00BC78CF">
        <w:rPr>
          <w:color w:val="FF0000"/>
        </w:rPr>
        <w:tab/>
        <w:t>(</w:t>
      </w:r>
      <w:r w:rsidR="00B13F8B" w:rsidRPr="00BC78CF">
        <w:rPr>
          <w:color w:val="FF0000"/>
        </w:rPr>
        <w:t>j</w:t>
      </w:r>
      <w:r w:rsidRPr="00BC78CF">
        <w:rPr>
          <w:color w:val="FF0000"/>
        </w:rPr>
        <w:t>)</w:t>
      </w:r>
      <w:r w:rsidRPr="00BC78CF">
        <w:rPr>
          <w:color w:val="FF0000"/>
        </w:rPr>
        <w:tab/>
        <w:t>replace subrules 4.14(1C) and (2) with the following:</w:t>
      </w:r>
    </w:p>
    <w:p w14:paraId="1FD9BA83" w14:textId="70E9BCE7" w:rsidR="00171D2F" w:rsidRPr="00BC78CF" w:rsidRDefault="00171D2F" w:rsidP="00171D2F">
      <w:pPr>
        <w:pStyle w:val="paragraph"/>
        <w:rPr>
          <w:color w:val="FF0000"/>
        </w:rPr>
      </w:pPr>
      <w:r w:rsidRPr="00BC78CF">
        <w:rPr>
          <w:color w:val="FF0000"/>
        </w:rPr>
        <w:tab/>
      </w:r>
      <w:r w:rsidRPr="00BC78CF">
        <w:rPr>
          <w:color w:val="FF0000"/>
        </w:rPr>
        <w:tab/>
        <w:t xml:space="preserve">“(1C)  If a CDR principal becomes a data holder, rather than an accredited data recipient, of particular CDR data as a result of subsection 56AJ(4) of the Act, all of the </w:t>
      </w:r>
      <w:r w:rsidR="00182338" w:rsidRPr="00BC78CF">
        <w:rPr>
          <w:color w:val="FF0000"/>
        </w:rPr>
        <w:t>CDR representative</w:t>
      </w:r>
      <w:r w:rsidRPr="00BC78CF">
        <w:rPr>
          <w:color w:val="FF0000"/>
        </w:rPr>
        <w:t>’s consents given under these rules that relate to that CDR data expire.</w:t>
      </w:r>
    </w:p>
    <w:p w14:paraId="15C9D14D" w14:textId="049901AD" w:rsidR="00171D2F" w:rsidRPr="00BC78CF" w:rsidRDefault="00171D2F" w:rsidP="00171D2F">
      <w:pPr>
        <w:pStyle w:val="paragraph"/>
        <w:rPr>
          <w:color w:val="FF0000"/>
        </w:rPr>
      </w:pPr>
      <w:r w:rsidRPr="00BC78CF">
        <w:rPr>
          <w:color w:val="FF0000"/>
        </w:rPr>
        <w:tab/>
      </w:r>
      <w:r w:rsidRPr="00BC78CF">
        <w:rPr>
          <w:color w:val="FF0000"/>
        </w:rPr>
        <w:tab/>
        <w:t xml:space="preserve">“(2)  If a CDR principal’s accreditation is revoked or surrendered in accordance with rule 5.17, all of the consents of any </w:t>
      </w:r>
      <w:r w:rsidR="00182338" w:rsidRPr="00BC78CF">
        <w:rPr>
          <w:color w:val="FF0000"/>
        </w:rPr>
        <w:t>CDR representative</w:t>
      </w:r>
      <w:r w:rsidRPr="00BC78CF">
        <w:rPr>
          <w:color w:val="FF0000"/>
        </w:rPr>
        <w:t xml:space="preserve"> expire when the revocation or surrender takes effect.”</w:t>
      </w:r>
      <w:r w:rsidR="00A670EA" w:rsidRPr="00BC78CF">
        <w:rPr>
          <w:color w:val="FF0000"/>
        </w:rPr>
        <w:t>;</w:t>
      </w:r>
    </w:p>
    <w:p w14:paraId="42F410BD" w14:textId="5312636B" w:rsidR="00D22C3C" w:rsidRPr="00BC78CF" w:rsidRDefault="007303FA" w:rsidP="00D22C3C">
      <w:pPr>
        <w:pStyle w:val="paragraph"/>
        <w:rPr>
          <w:color w:val="FF0000"/>
        </w:rPr>
      </w:pPr>
      <w:r w:rsidRPr="00BC78CF">
        <w:rPr>
          <w:color w:val="FF0000"/>
        </w:rPr>
        <w:tab/>
        <w:t>(</w:t>
      </w:r>
      <w:r w:rsidR="00B13F8B" w:rsidRPr="00BC78CF">
        <w:rPr>
          <w:color w:val="FF0000"/>
        </w:rPr>
        <w:t>k</w:t>
      </w:r>
      <w:r w:rsidR="00D22C3C" w:rsidRPr="00BC78CF">
        <w:rPr>
          <w:color w:val="FF0000"/>
        </w:rPr>
        <w:t>)</w:t>
      </w:r>
      <w:r w:rsidR="00D22C3C" w:rsidRPr="00BC78CF">
        <w:rPr>
          <w:color w:val="FF0000"/>
        </w:rPr>
        <w:tab/>
        <w:t>replace subrules 4.16(2) and (3) with the following:</w:t>
      </w:r>
    </w:p>
    <w:p w14:paraId="42346110" w14:textId="32EE7BC2" w:rsidR="00D22C3C" w:rsidRPr="00BC78CF" w:rsidRDefault="00D22C3C" w:rsidP="00D22C3C">
      <w:pPr>
        <w:pStyle w:val="paragraph"/>
        <w:rPr>
          <w:color w:val="FF0000"/>
        </w:rPr>
      </w:pPr>
      <w:r w:rsidRPr="00BC78CF">
        <w:rPr>
          <w:color w:val="FF0000"/>
        </w:rPr>
        <w:tab/>
      </w:r>
      <w:r w:rsidRPr="00BC78CF">
        <w:rPr>
          <w:color w:val="FF0000"/>
        </w:rPr>
        <w:tab/>
        <w:t>“(2)</w:t>
      </w:r>
      <w:r w:rsidRPr="00BC78CF">
        <w:rPr>
          <w:color w:val="FF0000"/>
        </w:rPr>
        <w:tab/>
        <w:t xml:space="preserve">The CDR consumer may make the election: </w:t>
      </w:r>
    </w:p>
    <w:p w14:paraId="6E7C70E3" w14:textId="03C05657" w:rsidR="00D22C3C" w:rsidRPr="00BC78CF" w:rsidRDefault="00D22C3C" w:rsidP="00D22C3C">
      <w:pPr>
        <w:pStyle w:val="paragraphsub-sub"/>
        <w:rPr>
          <w:color w:val="FF0000"/>
        </w:rPr>
      </w:pPr>
      <w:r w:rsidRPr="00BC78CF">
        <w:rPr>
          <w:color w:val="FF0000"/>
        </w:rPr>
        <w:tab/>
        <w:t>(a)</w:t>
      </w:r>
      <w:r w:rsidRPr="00BC78CF">
        <w:rPr>
          <w:color w:val="FF0000"/>
        </w:rPr>
        <w:tab/>
        <w:t xml:space="preserve">by communicating it to the CDR principal or </w:t>
      </w:r>
      <w:r w:rsidR="00182338" w:rsidRPr="00BC78CF">
        <w:rPr>
          <w:color w:val="FF0000"/>
        </w:rPr>
        <w:t>CDR representative</w:t>
      </w:r>
      <w:r w:rsidRPr="00BC78CF">
        <w:rPr>
          <w:color w:val="FF0000"/>
        </w:rPr>
        <w:t xml:space="preserve"> in writing; or</w:t>
      </w:r>
    </w:p>
    <w:p w14:paraId="370398A5" w14:textId="16913ED3" w:rsidR="00D22C3C" w:rsidRPr="00BC78CF" w:rsidRDefault="00D22C3C" w:rsidP="00D22C3C">
      <w:pPr>
        <w:pStyle w:val="paragraphsub-sub"/>
        <w:rPr>
          <w:color w:val="FF0000"/>
        </w:rPr>
      </w:pPr>
      <w:r w:rsidRPr="00BC78CF">
        <w:rPr>
          <w:color w:val="FF0000"/>
        </w:rPr>
        <w:tab/>
        <w:t>(b)</w:t>
      </w:r>
      <w:r w:rsidRPr="00BC78CF">
        <w:rPr>
          <w:color w:val="FF0000"/>
        </w:rPr>
        <w:tab/>
        <w:t>by using the CDR principal’s consumer dashboard.</w:t>
      </w:r>
    </w:p>
    <w:p w14:paraId="62D725BD" w14:textId="5E64040B" w:rsidR="00D22C3C" w:rsidRPr="00BC78CF" w:rsidRDefault="00D22C3C" w:rsidP="00D22C3C">
      <w:pPr>
        <w:pStyle w:val="paragraphsub"/>
        <w:rPr>
          <w:color w:val="FF0000"/>
        </w:rPr>
      </w:pPr>
      <w:r w:rsidRPr="00BC78CF">
        <w:rPr>
          <w:color w:val="FF0000"/>
        </w:rPr>
        <w:tab/>
        <w:t>(3)</w:t>
      </w:r>
      <w:r w:rsidRPr="00BC78CF">
        <w:rPr>
          <w:color w:val="FF0000"/>
        </w:rPr>
        <w:tab/>
        <w:t xml:space="preserve">This rule does not apply if, when seeking the consent, the </w:t>
      </w:r>
      <w:r w:rsidR="00182338" w:rsidRPr="00BC78CF">
        <w:rPr>
          <w:color w:val="FF0000"/>
        </w:rPr>
        <w:t>CDR representative</w:t>
      </w:r>
      <w:r w:rsidRPr="00BC78CF">
        <w:rPr>
          <w:color w:val="FF0000"/>
        </w:rPr>
        <w:t xml:space="preserve"> informs the CDR consumer that they and the CDR principal have a general policy of deleting CDR data when it becomes redundant data.”;</w:t>
      </w:r>
    </w:p>
    <w:p w14:paraId="7431976B" w14:textId="6A764D3B" w:rsidR="00A670EA" w:rsidRPr="00BC78CF" w:rsidRDefault="001D0808" w:rsidP="001D0808">
      <w:pPr>
        <w:pStyle w:val="paragraph"/>
        <w:rPr>
          <w:color w:val="FF0000"/>
        </w:rPr>
      </w:pPr>
      <w:r w:rsidRPr="00BC78CF">
        <w:rPr>
          <w:color w:val="FF0000"/>
        </w:rPr>
        <w:tab/>
      </w:r>
      <w:r w:rsidR="00D22C3C" w:rsidRPr="00BC78CF">
        <w:rPr>
          <w:color w:val="FF0000"/>
        </w:rPr>
        <w:t>(</w:t>
      </w:r>
      <w:r w:rsidR="00B13F8B" w:rsidRPr="00BC78CF">
        <w:rPr>
          <w:color w:val="FF0000"/>
        </w:rPr>
        <w:t>l</w:t>
      </w:r>
      <w:r w:rsidR="00A670EA" w:rsidRPr="00BC78CF">
        <w:rPr>
          <w:color w:val="FF0000"/>
        </w:rPr>
        <w:t>)</w:t>
      </w:r>
      <w:r w:rsidR="00A670EA" w:rsidRPr="00BC78CF">
        <w:rPr>
          <w:color w:val="FF0000"/>
        </w:rPr>
        <w:tab/>
        <w:t>add the fol</w:t>
      </w:r>
      <w:r w:rsidRPr="00BC78CF">
        <w:rPr>
          <w:color w:val="FF0000"/>
        </w:rPr>
        <w:t>lowing rule to Subdivision 4.3.5</w:t>
      </w:r>
      <w:r w:rsidR="00A670EA" w:rsidRPr="00BC78CF">
        <w:rPr>
          <w:color w:val="FF0000"/>
        </w:rPr>
        <w:t>:</w:t>
      </w:r>
    </w:p>
    <w:p w14:paraId="205B2300" w14:textId="09C57C61" w:rsidR="00A670EA" w:rsidRPr="00BC78CF" w:rsidRDefault="00A670EA" w:rsidP="00171D2F">
      <w:pPr>
        <w:pStyle w:val="paragraph"/>
        <w:rPr>
          <w:b/>
          <w:i/>
          <w:color w:val="FF0000"/>
        </w:rPr>
      </w:pPr>
      <w:r w:rsidRPr="00BC78CF">
        <w:rPr>
          <w:color w:val="FF0000"/>
        </w:rPr>
        <w:tab/>
      </w:r>
      <w:r w:rsidRPr="00BC78CF">
        <w:rPr>
          <w:color w:val="FF0000"/>
        </w:rPr>
        <w:tab/>
        <w:t>“</w:t>
      </w:r>
      <w:r w:rsidR="0009551E" w:rsidRPr="00BC78CF">
        <w:rPr>
          <w:b/>
          <w:i/>
          <w:color w:val="FF0000"/>
        </w:rPr>
        <w:t xml:space="preserve">4.20A  </w:t>
      </w:r>
      <w:r w:rsidRPr="00BC78CF">
        <w:rPr>
          <w:b/>
          <w:i/>
          <w:color w:val="FF0000"/>
        </w:rPr>
        <w:t xml:space="preserve">Application of subdivision to CDR principal and </w:t>
      </w:r>
      <w:r w:rsidR="00182338" w:rsidRPr="00BC78CF">
        <w:rPr>
          <w:b/>
          <w:i/>
          <w:color w:val="FF0000"/>
        </w:rPr>
        <w:t>CDR representative</w:t>
      </w:r>
    </w:p>
    <w:p w14:paraId="6CA7E8ED" w14:textId="0656E4E5" w:rsidR="00A670EA" w:rsidRPr="00BC78CF" w:rsidRDefault="00A670EA" w:rsidP="00171D2F">
      <w:pPr>
        <w:pStyle w:val="paragraph"/>
        <w:rPr>
          <w:color w:val="FF0000"/>
        </w:rPr>
      </w:pPr>
      <w:r w:rsidRPr="00BC78CF">
        <w:rPr>
          <w:color w:val="FF0000"/>
        </w:rPr>
        <w:tab/>
      </w:r>
      <w:r w:rsidRPr="00BC78CF">
        <w:rPr>
          <w:color w:val="FF0000"/>
        </w:rPr>
        <w:tab/>
      </w:r>
      <w:r w:rsidR="0009551E" w:rsidRPr="00BC78CF">
        <w:rPr>
          <w:color w:val="FF0000"/>
        </w:rPr>
        <w:t xml:space="preserve">Where an accredited person who is a CDR principal is required under this subdivision to give a notice to a CDR consumer in relation to a consumer data request made at the request of a </w:t>
      </w:r>
      <w:r w:rsidR="00182338" w:rsidRPr="00BC78CF">
        <w:rPr>
          <w:color w:val="FF0000"/>
        </w:rPr>
        <w:t>CDR representative</w:t>
      </w:r>
      <w:r w:rsidR="0009551E" w:rsidRPr="00BC78CF">
        <w:rPr>
          <w:color w:val="FF0000"/>
        </w:rPr>
        <w:t xml:space="preserve">, the notice may be given through the </w:t>
      </w:r>
      <w:r w:rsidR="00182338" w:rsidRPr="00BC78CF">
        <w:rPr>
          <w:color w:val="FF0000"/>
        </w:rPr>
        <w:t>CDR representative</w:t>
      </w:r>
      <w:r w:rsidR="0009551E" w:rsidRPr="00BC78CF">
        <w:rPr>
          <w:color w:val="FF0000"/>
        </w:rPr>
        <w:t>.”.</w:t>
      </w:r>
    </w:p>
    <w:p w14:paraId="2829D3E0" w14:textId="0F721DA2" w:rsidR="00B86207" w:rsidRPr="00BC78CF" w:rsidRDefault="00D60816" w:rsidP="00CF0E3D">
      <w:pPr>
        <w:pStyle w:val="notetext"/>
        <w:rPr>
          <w:color w:val="FF0000"/>
        </w:rPr>
      </w:pPr>
      <w:r w:rsidRPr="00BC78CF">
        <w:rPr>
          <w:color w:val="FF0000"/>
        </w:rPr>
        <w:t>Note:</w:t>
      </w:r>
      <w:r w:rsidRPr="00BC78CF">
        <w:rPr>
          <w:color w:val="FF0000"/>
        </w:rPr>
        <w:tab/>
        <w:t>This rule is a civil pe</w:t>
      </w:r>
      <w:r w:rsidR="00D936FC" w:rsidRPr="00BC78CF">
        <w:rPr>
          <w:color w:val="FF0000"/>
        </w:rPr>
        <w:t>nalty provision (see rule 9.8).</w:t>
      </w:r>
    </w:p>
    <w:p w14:paraId="64077F33" w14:textId="77777777" w:rsidR="00CF0E3D" w:rsidRPr="00ED4F4B" w:rsidRDefault="00CF0E3D" w:rsidP="00CF0E3D">
      <w:pPr>
        <w:pStyle w:val="ActHead4"/>
      </w:pPr>
      <w:bookmarkStart w:id="124" w:name="_Toc50114024"/>
      <w:bookmarkStart w:id="125" w:name="_Toc57219015"/>
      <w:bookmarkStart w:id="126" w:name="_Toc59549129"/>
      <w:bookmarkStart w:id="127" w:name="_Toc74916122"/>
      <w:r w:rsidRPr="00ED4F4B">
        <w:t xml:space="preserve">Subdivision </w:t>
      </w:r>
      <w:bookmarkStart w:id="128" w:name="_Toc50633070"/>
      <w:r w:rsidRPr="00ED4F4B">
        <w:t>4.2.3—Consumer data requests by accredited persons</w:t>
      </w:r>
      <w:bookmarkEnd w:id="128"/>
      <w:r w:rsidRPr="00ED4F4B">
        <w:t xml:space="preserve"> to data holders</w:t>
      </w:r>
      <w:bookmarkEnd w:id="124"/>
      <w:bookmarkEnd w:id="125"/>
      <w:bookmarkEnd w:id="126"/>
      <w:bookmarkEnd w:id="127"/>
    </w:p>
    <w:p w14:paraId="0EA7ACFC" w14:textId="77777777" w:rsidR="00CF0E3D" w:rsidRPr="000639C3" w:rsidRDefault="00CF0E3D" w:rsidP="00CF0E3D">
      <w:pPr>
        <w:pStyle w:val="ActHead5"/>
      </w:pPr>
      <w:bookmarkStart w:id="129" w:name="_Toc50114025"/>
      <w:bookmarkStart w:id="130" w:name="_Toc57219016"/>
      <w:bookmarkStart w:id="131" w:name="_Toc59549130"/>
      <w:bookmarkStart w:id="132" w:name="_Toc74916123"/>
      <w:r w:rsidRPr="00ED4F4B">
        <w:t>4.4  Consumer data request by accredited person to data holder</w:t>
      </w:r>
      <w:bookmarkEnd w:id="129"/>
      <w:bookmarkEnd w:id="130"/>
      <w:bookmarkEnd w:id="131"/>
      <w:bookmarkEnd w:id="132"/>
    </w:p>
    <w:p w14:paraId="51A3F0C6" w14:textId="77777777" w:rsidR="00CF0E3D" w:rsidRPr="00ED4F4B" w:rsidRDefault="00CF0E3D" w:rsidP="00CF0E3D">
      <w:pPr>
        <w:pStyle w:val="subsection"/>
      </w:pPr>
      <w:r w:rsidRPr="00ED4F4B">
        <w:tab/>
        <w:t>(1)</w:t>
      </w:r>
      <w:r w:rsidRPr="00ED4F4B">
        <w:tab/>
        <w:t>If:</w:t>
      </w:r>
    </w:p>
    <w:p w14:paraId="1958C2BC" w14:textId="000C9F35" w:rsidR="00CF0E3D" w:rsidRPr="00ED4F4B" w:rsidRDefault="00CF0E3D" w:rsidP="00CF0E3D">
      <w:pPr>
        <w:pStyle w:val="paragraph"/>
      </w:pPr>
      <w:r w:rsidRPr="00ED4F4B">
        <w:tab/>
        <w:t>(a)</w:t>
      </w:r>
      <w:r w:rsidRPr="00ED4F4B">
        <w:tab/>
        <w:t xml:space="preserve">a CDR consumer has given an accredited person a request under rule 4.3 </w:t>
      </w:r>
      <w:r w:rsidR="00A670EA" w:rsidRPr="00BC78CF">
        <w:rPr>
          <w:color w:val="FF0000"/>
        </w:rPr>
        <w:t xml:space="preserve">or 4.3A </w:t>
      </w:r>
      <w:r w:rsidRPr="00ED4F4B">
        <w:t>to seek to collect CDR data from a data holder; and</w:t>
      </w:r>
    </w:p>
    <w:p w14:paraId="7D3361DD" w14:textId="77777777" w:rsidR="00CF0E3D" w:rsidRPr="00ED4F4B" w:rsidRDefault="00CF0E3D" w:rsidP="00CF0E3D">
      <w:pPr>
        <w:pStyle w:val="paragraph"/>
      </w:pPr>
      <w:r w:rsidRPr="00ED4F4B">
        <w:tab/>
        <w:t>(b)</w:t>
      </w:r>
      <w:r w:rsidRPr="00ED4F4B">
        <w:tab/>
        <w:t>the request is valid;</w:t>
      </w:r>
    </w:p>
    <w:p w14:paraId="373E44A3" w14:textId="77777777" w:rsidR="00CF0E3D" w:rsidRPr="00ED4F4B" w:rsidRDefault="00CF0E3D" w:rsidP="00CF0E3D">
      <w:pPr>
        <w:pStyle w:val="subsection"/>
        <w:spacing w:before="40"/>
      </w:pPr>
      <w:r w:rsidRPr="00ED4F4B">
        <w:tab/>
      </w:r>
      <w:r w:rsidRPr="00ED4F4B">
        <w:tab/>
        <w:t>the accredited person may request the data holder to disclose, to the accredited person, some or all of the CDR data that:</w:t>
      </w:r>
    </w:p>
    <w:p w14:paraId="6ADBE3AD" w14:textId="77777777" w:rsidR="00CF0E3D" w:rsidRPr="00ED4F4B" w:rsidRDefault="00CF0E3D" w:rsidP="00CF0E3D">
      <w:pPr>
        <w:pStyle w:val="paragraph"/>
      </w:pPr>
      <w:r w:rsidRPr="00ED4F4B">
        <w:tab/>
        <w:t>(c)</w:t>
      </w:r>
      <w:r w:rsidRPr="00ED4F4B">
        <w:tab/>
        <w:t>is the subject of the relevant collection consent and use consent; and</w:t>
      </w:r>
    </w:p>
    <w:p w14:paraId="10BA421C" w14:textId="77777777" w:rsidR="00CF0E3D" w:rsidRPr="00ED4F4B" w:rsidRDefault="00CF0E3D" w:rsidP="00CF0E3D">
      <w:pPr>
        <w:pStyle w:val="paragraph"/>
      </w:pPr>
      <w:r w:rsidRPr="00ED4F4B">
        <w:tab/>
        <w:t>(d)</w:t>
      </w:r>
      <w:r w:rsidRPr="00ED4F4B">
        <w:tab/>
        <w:t>it is able to collect and use in compliance with the data minimisation principle.</w:t>
      </w:r>
    </w:p>
    <w:p w14:paraId="5486F321" w14:textId="77777777" w:rsidR="00CF0E3D" w:rsidRPr="00ED4F4B" w:rsidRDefault="00CF0E3D" w:rsidP="00CF0E3D">
      <w:pPr>
        <w:pStyle w:val="notetext"/>
      </w:pPr>
      <w:r w:rsidRPr="00ED4F4B">
        <w:t>Note:</w:t>
      </w:r>
      <w:r w:rsidRPr="00ED4F4B">
        <w:tab/>
        <w:t>See rule 1.8 for the definition of the “data minimisation principle”.</w:t>
      </w:r>
    </w:p>
    <w:p w14:paraId="582A135A" w14:textId="77777777" w:rsidR="00CF0E3D" w:rsidRPr="00ED4F4B" w:rsidRDefault="00CF0E3D" w:rsidP="00CF0E3D">
      <w:pPr>
        <w:pStyle w:val="subsection"/>
      </w:pPr>
      <w:r w:rsidRPr="00ED4F4B">
        <w:tab/>
        <w:t>(2)</w:t>
      </w:r>
      <w:r w:rsidRPr="00ED4F4B">
        <w:tab/>
        <w:t xml:space="preserve">Such a request is a </w:t>
      </w:r>
      <w:r w:rsidRPr="00ED4F4B">
        <w:rPr>
          <w:b/>
          <w:i/>
        </w:rPr>
        <w:t xml:space="preserve">consumer data request </w:t>
      </w:r>
      <w:r w:rsidRPr="00ED4F4B">
        <w:t>by an accredited person to a data holder on behalf of a CDR consumer.</w:t>
      </w:r>
    </w:p>
    <w:p w14:paraId="61353FC8" w14:textId="77777777" w:rsidR="00CF0E3D" w:rsidRDefault="00CF0E3D" w:rsidP="00CF0E3D">
      <w:pPr>
        <w:pStyle w:val="notetext"/>
      </w:pPr>
      <w:r w:rsidRPr="00ED4F4B">
        <w:t>Note 1:</w:t>
      </w:r>
      <w:r w:rsidRPr="00ED4F4B">
        <w:tab/>
        <w:t>An accredited person might need to make consumer data requests to several CDR participants in order to provide the goods or services requested by the CDR consumer, and might need to make regular consumer data requests over a period of time in order to provide those goods or services.</w:t>
      </w:r>
    </w:p>
    <w:p w14:paraId="52DCBE90" w14:textId="77777777" w:rsidR="00CF0E3D" w:rsidRPr="00ED4F4B" w:rsidRDefault="00CF0E3D" w:rsidP="00CF0E3D">
      <w:pPr>
        <w:pStyle w:val="notetext"/>
      </w:pPr>
      <w:r w:rsidRPr="00ED4F4B">
        <w:t>Note 2:</w:t>
      </w:r>
      <w:r w:rsidRPr="00ED4F4B">
        <w:tab/>
        <w:t>These rules will progressively permit consumer data requests to be made in relation to CDR data held by a broader range of data holders within the banking sector, and in relation to a broader range of CDR data, according to the timetable set out in Part 6 of Schedule 3.</w:t>
      </w:r>
    </w:p>
    <w:p w14:paraId="79876B28" w14:textId="77777777" w:rsidR="00CF0E3D" w:rsidRPr="00ED4F4B" w:rsidRDefault="00CF0E3D" w:rsidP="00CF0E3D">
      <w:pPr>
        <w:pStyle w:val="subsection"/>
      </w:pPr>
      <w:r w:rsidRPr="00ED4F4B">
        <w:rPr>
          <w:szCs w:val="22"/>
        </w:rPr>
        <w:tab/>
      </w:r>
      <w:r w:rsidRPr="00ED4F4B">
        <w:t>(3)</w:t>
      </w:r>
      <w:r w:rsidRPr="00ED4F4B">
        <w:rPr>
          <w:szCs w:val="22"/>
        </w:rPr>
        <w:tab/>
      </w:r>
      <w:r w:rsidRPr="00ED4F4B">
        <w:t>An accredited person must, if it makes a consumer data request under this Subdivision, make the request</w:t>
      </w:r>
      <w:r w:rsidRPr="00ED4F4B">
        <w:rPr>
          <w:szCs w:val="22"/>
        </w:rPr>
        <w:t>:</w:t>
      </w:r>
    </w:p>
    <w:p w14:paraId="5B26DD5C" w14:textId="77777777" w:rsidR="00CF0E3D" w:rsidRPr="00F07699" w:rsidRDefault="00CF0E3D" w:rsidP="00CF0E3D">
      <w:pPr>
        <w:pStyle w:val="paragraph"/>
        <w:rPr>
          <w:szCs w:val="22"/>
        </w:rPr>
      </w:pPr>
      <w:r w:rsidRPr="00F07699">
        <w:tab/>
        <w:t>(a)</w:t>
      </w:r>
      <w:r w:rsidRPr="00F07699">
        <w:tab/>
        <w:t>using the data holder’s accredited person</w:t>
      </w:r>
      <w:r w:rsidRPr="00F07699">
        <w:rPr>
          <w:b/>
          <w:bCs/>
          <w:i/>
          <w:iCs/>
        </w:rPr>
        <w:t xml:space="preserve"> </w:t>
      </w:r>
      <w:r w:rsidRPr="00F07699">
        <w:t>request service; and</w:t>
      </w:r>
    </w:p>
    <w:p w14:paraId="7D06E7C3" w14:textId="77777777" w:rsidR="00CF0E3D" w:rsidRPr="00F07699" w:rsidRDefault="00CF0E3D" w:rsidP="00CF0E3D">
      <w:pPr>
        <w:pStyle w:val="paragraph"/>
      </w:pPr>
      <w:r w:rsidRPr="00F07699">
        <w:tab/>
        <w:t>(b)</w:t>
      </w:r>
      <w:r w:rsidRPr="00F07699">
        <w:tab/>
        <w:t>in accordance with the data standards.</w:t>
      </w:r>
    </w:p>
    <w:p w14:paraId="0CF61FC6" w14:textId="77777777" w:rsidR="00CF0E3D" w:rsidRPr="00F07699" w:rsidRDefault="00CF0E3D" w:rsidP="00CF0E3D">
      <w:pPr>
        <w:pStyle w:val="notetext"/>
      </w:pPr>
      <w:r w:rsidRPr="00F07699">
        <w:t>Note 1:</w:t>
      </w:r>
      <w:r w:rsidRPr="00F07699">
        <w:tab/>
        <w:t>A data holder cannot charge an accredited person a fee for making a consumer data request in relation to required consumer data.</w:t>
      </w:r>
    </w:p>
    <w:p w14:paraId="592DB330" w14:textId="77777777" w:rsidR="00CF0E3D" w:rsidRDefault="00CF0E3D" w:rsidP="00CF0E3D">
      <w:pPr>
        <w:pStyle w:val="notetext"/>
      </w:pPr>
      <w:r w:rsidRPr="00F07699">
        <w:t>Note 2:</w:t>
      </w:r>
      <w:r w:rsidRPr="00F07699">
        <w:tab/>
        <w:t>This sub</w:t>
      </w:r>
      <w:r w:rsidRPr="004F7FBE">
        <w:t>rule is a civil penalty provision (see rule 9.8).</w:t>
      </w:r>
    </w:p>
    <w:p w14:paraId="4940247C" w14:textId="3F4B3482" w:rsidR="00CF0E3D" w:rsidRPr="007C39E2" w:rsidRDefault="00CF0E3D" w:rsidP="00CF0E3D">
      <w:pPr>
        <w:pStyle w:val="ActHead5"/>
      </w:pPr>
      <w:bookmarkStart w:id="133" w:name="_Toc11771601"/>
      <w:bookmarkStart w:id="134" w:name="_Toc74916124"/>
      <w:bookmarkEnd w:id="112"/>
      <w:r>
        <w:t>4.5</w:t>
      </w:r>
      <w:r w:rsidRPr="00B24FE2">
        <w:t xml:space="preserve">  Data holder must </w:t>
      </w:r>
      <w:r>
        <w:t xml:space="preserve">ask </w:t>
      </w:r>
      <w:r w:rsidRPr="007C39E2">
        <w:t>eligible CDR consumer to authorise disclosure</w:t>
      </w:r>
      <w:bookmarkEnd w:id="133"/>
      <w:bookmarkEnd w:id="134"/>
    </w:p>
    <w:p w14:paraId="3CC4800A"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(1)</w:t>
      </w:r>
      <w:r w:rsidRPr="00464C22">
        <w:rPr>
          <w:color w:val="000000" w:themeColor="text1"/>
        </w:rPr>
        <w:tab/>
        <w:t>This rule applies if:</w:t>
      </w:r>
    </w:p>
    <w:p w14:paraId="5970D50D"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 xml:space="preserve">a data holder receives a consumer data request under </w:t>
      </w:r>
      <w:r>
        <w:rPr>
          <w:color w:val="000000" w:themeColor="text1"/>
        </w:rPr>
        <w:t>rule 4.4</w:t>
      </w:r>
      <w:r w:rsidRPr="00464C22">
        <w:rPr>
          <w:color w:val="000000" w:themeColor="text1"/>
        </w:rPr>
        <w:t>; and</w:t>
      </w:r>
    </w:p>
    <w:p w14:paraId="58AA3042"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there is no current authorisation for the data holder to disclose the requested data to the person who made the request; and</w:t>
      </w:r>
    </w:p>
    <w:p w14:paraId="140A3A55"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(c)</w:t>
      </w:r>
      <w:r w:rsidRPr="00464C22">
        <w:rPr>
          <w:color w:val="000000" w:themeColor="text1"/>
        </w:rPr>
        <w:tab/>
        <w:t>the data holder reasonably believes that the request was made by an accredited person on behalf of an eligible CDR consumer.</w:t>
      </w:r>
    </w:p>
    <w:p w14:paraId="676C8700" w14:textId="77777777" w:rsidR="00CF0E3D" w:rsidRPr="00464C22" w:rsidRDefault="00CF0E3D" w:rsidP="00CF0E3D">
      <w:pPr>
        <w:pStyle w:val="notetext"/>
        <w:rPr>
          <w:color w:val="000000" w:themeColor="text1"/>
        </w:rPr>
      </w:pPr>
      <w:r w:rsidRPr="00464C22">
        <w:rPr>
          <w:color w:val="000000" w:themeColor="text1"/>
        </w:rPr>
        <w:t>Note:</w:t>
      </w:r>
      <w:r w:rsidRPr="00464C22">
        <w:rPr>
          <w:color w:val="000000" w:themeColor="text1"/>
        </w:rPr>
        <w:tab/>
        <w:t>See subrule </w:t>
      </w:r>
      <w:r>
        <w:rPr>
          <w:color w:val="000000" w:themeColor="text1"/>
        </w:rPr>
        <w:t>1.7(1)</w:t>
      </w:r>
      <w:r w:rsidRPr="00464C22">
        <w:rPr>
          <w:color w:val="000000" w:themeColor="text1"/>
        </w:rPr>
        <w:t xml:space="preserve"> for the meaning of “eligible”. For the banking sector, see clause </w:t>
      </w:r>
      <w:r>
        <w:rPr>
          <w:color w:val="000000" w:themeColor="text1"/>
        </w:rPr>
        <w:t>2.1</w:t>
      </w:r>
      <w:r w:rsidRPr="00464C22">
        <w:rPr>
          <w:color w:val="000000" w:themeColor="text1"/>
        </w:rPr>
        <w:t xml:space="preserve"> of </w:t>
      </w:r>
      <w:r>
        <w:rPr>
          <w:color w:val="000000" w:themeColor="text1"/>
        </w:rPr>
        <w:t>Schedule 3</w:t>
      </w:r>
      <w:r w:rsidRPr="00464C22">
        <w:rPr>
          <w:color w:val="000000" w:themeColor="text1"/>
        </w:rPr>
        <w:t xml:space="preserve"> for when a CDR consumer is eligible.</w:t>
      </w:r>
    </w:p>
    <w:p w14:paraId="4983E6B6"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(2)</w:t>
      </w:r>
      <w:r w:rsidRPr="00464C22">
        <w:rPr>
          <w:color w:val="000000" w:themeColor="text1"/>
        </w:rPr>
        <w:tab/>
        <w:t>If the data holder is considering disclosing any of the requested voluntary consumer data, the data holder must ask the CDR consumer on whose behalf the request was made to authorise the disclosure:</w:t>
      </w:r>
    </w:p>
    <w:p w14:paraId="6436BA8B"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 xml:space="preserve">in accordance with </w:t>
      </w:r>
      <w:r>
        <w:rPr>
          <w:color w:val="000000" w:themeColor="text1"/>
        </w:rPr>
        <w:t>Division 4.4</w:t>
      </w:r>
      <w:r w:rsidRPr="00464C22">
        <w:rPr>
          <w:color w:val="000000" w:themeColor="text1"/>
        </w:rPr>
        <w:t>; and</w:t>
      </w:r>
    </w:p>
    <w:p w14:paraId="229F4BF3"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in accordance with the data standards.</w:t>
      </w:r>
    </w:p>
    <w:p w14:paraId="543180DE" w14:textId="27E78C52" w:rsidR="00CF0E3D" w:rsidRPr="007E7FBF" w:rsidRDefault="00B13F8B" w:rsidP="00CF0E3D">
      <w:pPr>
        <w:pStyle w:val="notetext"/>
      </w:pPr>
      <w:r w:rsidRPr="007E7FBF">
        <w:t>Note 1:</w:t>
      </w:r>
      <w:r w:rsidR="00C4707E" w:rsidRPr="007E7FBF">
        <w:tab/>
      </w:r>
      <w:r w:rsidR="00CF0E3D" w:rsidRPr="007E7FBF">
        <w:t>See rule 1.7 for the definition of “voluntary consumer data”, and see clause 3.2 of Schedule 3 for the definition of “voluntary consumer data” in relation to the banking sector.</w:t>
      </w:r>
    </w:p>
    <w:p w14:paraId="0A29AB74" w14:textId="77777777" w:rsidR="00CF0E3D" w:rsidRPr="00F07699" w:rsidRDefault="00CF0E3D" w:rsidP="00CF0E3D">
      <w:pPr>
        <w:pStyle w:val="notetext"/>
      </w:pPr>
      <w:r w:rsidRPr="00F07699">
        <w:t>Note 2:</w:t>
      </w:r>
      <w:r w:rsidRPr="00F07699">
        <w:tab/>
        <w:t>This subrule is a civil penalty provision (see rule 9.8).</w:t>
      </w:r>
    </w:p>
    <w:p w14:paraId="7BA33CB5" w14:textId="77777777" w:rsidR="00CF0E3D" w:rsidRPr="00773999" w:rsidRDefault="00CF0E3D" w:rsidP="00CF0E3D">
      <w:pPr>
        <w:pStyle w:val="subsection"/>
        <w:rPr>
          <w:color w:val="000000" w:themeColor="text1"/>
        </w:rPr>
      </w:pPr>
      <w:r w:rsidRPr="00E1300D">
        <w:rPr>
          <w:color w:val="000000" w:themeColor="text1"/>
        </w:rPr>
        <w:tab/>
      </w:r>
      <w:r>
        <w:rPr>
          <w:color w:val="000000" w:themeColor="text1"/>
        </w:rPr>
        <w:t>(3)</w:t>
      </w:r>
      <w:r w:rsidRPr="00E1300D">
        <w:rPr>
          <w:color w:val="000000" w:themeColor="text1"/>
        </w:rPr>
        <w:tab/>
        <w:t>The data holder must, subject to rule 4.7, ask the CDR consumer on whose behalf the request was made to authorise the disclosure of any requested required consumer data</w:t>
      </w:r>
      <w:r w:rsidRPr="00813976">
        <w:t>:</w:t>
      </w:r>
    </w:p>
    <w:p w14:paraId="405CD51A" w14:textId="77777777" w:rsidR="00CF0E3D" w:rsidRPr="00813976" w:rsidRDefault="00CF0E3D" w:rsidP="00CF0E3D">
      <w:pPr>
        <w:pStyle w:val="paragraph"/>
      </w:pPr>
      <w:r w:rsidRPr="00813976">
        <w:tab/>
      </w:r>
      <w:r>
        <w:t>(a)</w:t>
      </w:r>
      <w:r w:rsidRPr="00813976">
        <w:tab/>
        <w:t xml:space="preserve">in accordance with </w:t>
      </w:r>
      <w:r>
        <w:t>Division 4.4</w:t>
      </w:r>
      <w:r w:rsidRPr="00813976">
        <w:t>; and</w:t>
      </w:r>
    </w:p>
    <w:p w14:paraId="44682F45" w14:textId="77777777" w:rsidR="00CF0E3D" w:rsidRPr="00813976" w:rsidRDefault="00CF0E3D" w:rsidP="00CF0E3D">
      <w:pPr>
        <w:pStyle w:val="paragraph"/>
      </w:pPr>
      <w:r w:rsidRPr="00813976">
        <w:tab/>
      </w:r>
      <w:r>
        <w:t>(b)</w:t>
      </w:r>
      <w:r w:rsidRPr="00813976">
        <w:tab/>
        <w:t>in accordance with the data standards.</w:t>
      </w:r>
    </w:p>
    <w:p w14:paraId="6BEA4853" w14:textId="78FEEFAA" w:rsidR="00CF0E3D" w:rsidRPr="007E7FBF" w:rsidRDefault="00B13F8B" w:rsidP="00F25A41">
      <w:pPr>
        <w:pStyle w:val="notetext"/>
      </w:pPr>
      <w:r w:rsidRPr="007E7FBF">
        <w:t>Note 1:</w:t>
      </w:r>
      <w:r w:rsidR="00F25A41" w:rsidRPr="007E7FBF">
        <w:tab/>
      </w:r>
      <w:r w:rsidR="00CF0E3D" w:rsidRPr="007E7FBF">
        <w:t>See rule 1.7 for the definition of “required consumer data”, and see</w:t>
      </w:r>
      <w:r w:rsidR="00F25A41" w:rsidRPr="007E7FBF">
        <w:t xml:space="preserve"> c</w:t>
      </w:r>
      <w:r w:rsidR="00CF0E3D" w:rsidRPr="007E7FBF">
        <w:t>lause 3.2 of Schedule 3 for the definition of “required consumer data” in relation to the banking sector.</w:t>
      </w:r>
    </w:p>
    <w:p w14:paraId="15E58553" w14:textId="77777777" w:rsidR="00CF0E3D" w:rsidRDefault="00CF0E3D" w:rsidP="00CF0E3D">
      <w:pPr>
        <w:pStyle w:val="notetext"/>
      </w:pPr>
      <w:r w:rsidRPr="00F07699">
        <w:t xml:space="preserve">Note 2: </w:t>
      </w:r>
      <w:r w:rsidRPr="00F07699">
        <w:tab/>
        <w:t>This subrule is a civil penalty provision (see rule 9.8).</w:t>
      </w:r>
    </w:p>
    <w:p w14:paraId="21388DA8" w14:textId="77777777" w:rsidR="00CF0E3D" w:rsidRPr="007C39E2" w:rsidRDefault="00CF0E3D" w:rsidP="00CF0E3D">
      <w:pPr>
        <w:pStyle w:val="ActHead5"/>
      </w:pPr>
      <w:bookmarkStart w:id="135" w:name="_Toc74916125"/>
      <w:r>
        <w:t>4.6</w:t>
      </w:r>
      <w:r w:rsidRPr="007C39E2">
        <w:t xml:space="preserve">  Disclosing consumer data in response to a consumer data request</w:t>
      </w:r>
      <w:bookmarkEnd w:id="135"/>
    </w:p>
    <w:p w14:paraId="119F2AF8" w14:textId="77777777" w:rsidR="00CF0E3D" w:rsidRPr="007C39E2" w:rsidRDefault="00CF0E3D" w:rsidP="00CF0E3D">
      <w:pPr>
        <w:pStyle w:val="subsection"/>
      </w:pPr>
      <w:r w:rsidRPr="007C39E2">
        <w:tab/>
      </w:r>
      <w:r>
        <w:t>(1)</w:t>
      </w:r>
      <w:r w:rsidRPr="007C39E2">
        <w:tab/>
        <w:t>This rule applies if:</w:t>
      </w:r>
    </w:p>
    <w:p w14:paraId="224023C5" w14:textId="77777777" w:rsidR="00CF0E3D" w:rsidRDefault="00CF0E3D" w:rsidP="00CF0E3D">
      <w:pPr>
        <w:pStyle w:val="paragraph"/>
      </w:pPr>
      <w:r w:rsidRPr="000374B5">
        <w:tab/>
      </w:r>
      <w:r>
        <w:t>(a)</w:t>
      </w:r>
      <w:r w:rsidRPr="000374B5">
        <w:tab/>
        <w:t>a data holder</w:t>
      </w:r>
      <w:r>
        <w:t xml:space="preserve"> has </w:t>
      </w:r>
      <w:r w:rsidRPr="000374B5">
        <w:t>receive</w:t>
      </w:r>
      <w:r>
        <w:t>d</w:t>
      </w:r>
      <w:r w:rsidRPr="000374B5">
        <w:t xml:space="preserve"> a consumer data request </w:t>
      </w:r>
      <w:r>
        <w:t>made under rule 4.4 for disclosure of CDR data</w:t>
      </w:r>
      <w:r w:rsidRPr="000374B5">
        <w:t>; and</w:t>
      </w:r>
    </w:p>
    <w:p w14:paraId="11A8EE79" w14:textId="77777777" w:rsidR="00CF0E3D" w:rsidRPr="007C39E2" w:rsidRDefault="00CF0E3D" w:rsidP="00CF0E3D">
      <w:pPr>
        <w:pStyle w:val="paragraph"/>
      </w:pPr>
      <w:r w:rsidRPr="000374B5">
        <w:tab/>
      </w:r>
      <w:r>
        <w:t>(b)</w:t>
      </w:r>
      <w:r w:rsidRPr="000374B5">
        <w:tab/>
      </w:r>
      <w:r>
        <w:t xml:space="preserve">the CDR consumer on whose behalf the request was made has given </w:t>
      </w:r>
      <w:r w:rsidRPr="00143470">
        <w:t xml:space="preserve">the data holder </w:t>
      </w:r>
      <w:r>
        <w:t>a current</w:t>
      </w:r>
      <w:r w:rsidRPr="000374B5">
        <w:t xml:space="preserve"> </w:t>
      </w:r>
      <w:r>
        <w:t>authorisation to disclose some or all of that CDR data</w:t>
      </w:r>
      <w:r w:rsidRPr="007C39E2">
        <w:t>.</w:t>
      </w:r>
    </w:p>
    <w:p w14:paraId="18D14A63"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(2)</w:t>
      </w:r>
      <w:r w:rsidRPr="00464C22">
        <w:rPr>
          <w:color w:val="000000" w:themeColor="text1"/>
        </w:rPr>
        <w:tab/>
        <w:t>The data holder may</w:t>
      </w:r>
      <w:r>
        <w:rPr>
          <w:color w:val="000000" w:themeColor="text1"/>
        </w:rPr>
        <w:t>, subject to rule 4.6A,</w:t>
      </w:r>
      <w:r w:rsidRPr="00464C22">
        <w:rPr>
          <w:color w:val="000000" w:themeColor="text1"/>
        </w:rPr>
        <w:t xml:space="preserve"> disclose, to the person who made the request, any of the requested voluntary consumer data that it is authorised to disclose.</w:t>
      </w:r>
    </w:p>
    <w:p w14:paraId="301F74CF" w14:textId="364E04A6" w:rsidR="00CF0E3D" w:rsidRPr="007E7FBF" w:rsidRDefault="00B13F8B" w:rsidP="00CF0E3D">
      <w:pPr>
        <w:pStyle w:val="notetext"/>
      </w:pPr>
      <w:r w:rsidRPr="007E7FBF">
        <w:t>Note 1:</w:t>
      </w:r>
      <w:r w:rsidR="00B00AE1" w:rsidRPr="007E7FBF">
        <w:tab/>
      </w:r>
      <w:r w:rsidR="00CF0E3D" w:rsidRPr="007E7FBF">
        <w:t>See rule 1.7 for the definition of “voluntary consumer data”, and see clause 3.2 of Schedule 3 for the definition of “voluntary consumer data” in relation to the banking sector.</w:t>
      </w:r>
    </w:p>
    <w:p w14:paraId="41D0EF8F" w14:textId="77777777" w:rsidR="00CF0E3D" w:rsidRPr="00ED4F4B" w:rsidRDefault="00CF0E3D" w:rsidP="00CF0E3D">
      <w:pPr>
        <w:pStyle w:val="notetext"/>
      </w:pPr>
      <w:r w:rsidRPr="00ED4F4B">
        <w:t>Note 2:</w:t>
      </w:r>
      <w:r w:rsidRPr="00ED4F4B">
        <w:tab/>
        <w:t>For the banking sector, for requests that relate to joint accounts, additional requirements need to be met in order for the data holder to be authorised to disclose requested CDR data that relates to the joint account: see Part 4 of Schedule 3 to these rules.</w:t>
      </w:r>
    </w:p>
    <w:p w14:paraId="078309EF"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(3)</w:t>
      </w:r>
      <w:r w:rsidRPr="00464C22">
        <w:rPr>
          <w:color w:val="000000" w:themeColor="text1"/>
        </w:rPr>
        <w:tab/>
        <w:t>It must do so:</w:t>
      </w:r>
    </w:p>
    <w:p w14:paraId="4920C627"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through its accredited person</w:t>
      </w:r>
      <w:r w:rsidRPr="00464C22">
        <w:rPr>
          <w:b/>
          <w:i/>
          <w:color w:val="000000" w:themeColor="text1"/>
        </w:rPr>
        <w:t xml:space="preserve"> </w:t>
      </w:r>
      <w:r w:rsidRPr="00464C22">
        <w:rPr>
          <w:color w:val="000000" w:themeColor="text1"/>
        </w:rPr>
        <w:t>request service; and</w:t>
      </w:r>
    </w:p>
    <w:p w14:paraId="095EA614"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in accordance with the data standards.</w:t>
      </w:r>
    </w:p>
    <w:p w14:paraId="37AB2D78" w14:textId="19CF5ACC" w:rsidR="0053384C" w:rsidRDefault="0053384C" w:rsidP="0053384C">
      <w:pPr>
        <w:pStyle w:val="notetext"/>
        <w:rPr>
          <w:color w:val="000000" w:themeColor="text1"/>
        </w:rPr>
      </w:pPr>
      <w:r w:rsidRPr="00464C22">
        <w:rPr>
          <w:color w:val="000000" w:themeColor="text1"/>
        </w:rPr>
        <w:t>Note:</w:t>
      </w:r>
      <w:r w:rsidRPr="00464C22">
        <w:rPr>
          <w:color w:val="000000" w:themeColor="text1"/>
        </w:rPr>
        <w:tab/>
        <w:t>This subrule is a civil penalty provision (see rule </w:t>
      </w:r>
      <w:r>
        <w:rPr>
          <w:color w:val="000000" w:themeColor="text1"/>
        </w:rPr>
        <w:t>9.8</w:t>
      </w:r>
      <w:r w:rsidRPr="00464C22">
        <w:rPr>
          <w:color w:val="000000" w:themeColor="text1"/>
        </w:rPr>
        <w:t>).</w:t>
      </w:r>
    </w:p>
    <w:p w14:paraId="5D072996"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(4)</w:t>
      </w:r>
      <w:r w:rsidRPr="00464C22">
        <w:rPr>
          <w:color w:val="000000" w:themeColor="text1"/>
        </w:rPr>
        <w:tab/>
        <w:t>The data holder must, subject to</w:t>
      </w:r>
      <w:r>
        <w:rPr>
          <w:color w:val="000000" w:themeColor="text1"/>
        </w:rPr>
        <w:t xml:space="preserve"> rule 4.6A and</w:t>
      </w:r>
      <w:r w:rsidRPr="00464C22">
        <w:rPr>
          <w:color w:val="000000" w:themeColor="text1"/>
        </w:rPr>
        <w:t xml:space="preserve"> rule 4.7, disclose, to the person who made the request, the requested required consumer data that it is authorised to disclose:</w:t>
      </w:r>
    </w:p>
    <w:p w14:paraId="76D34C0F"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through its accredited person</w:t>
      </w:r>
      <w:r w:rsidRPr="00464C22">
        <w:rPr>
          <w:b/>
          <w:i/>
          <w:color w:val="000000" w:themeColor="text1"/>
        </w:rPr>
        <w:t xml:space="preserve"> </w:t>
      </w:r>
      <w:r w:rsidRPr="00464C22">
        <w:rPr>
          <w:color w:val="000000" w:themeColor="text1"/>
        </w:rPr>
        <w:t>request service; and</w:t>
      </w:r>
    </w:p>
    <w:p w14:paraId="2319E339"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in accordance with the data standards.</w:t>
      </w:r>
    </w:p>
    <w:p w14:paraId="18C59652" w14:textId="6A15266D" w:rsidR="00D13726" w:rsidRPr="007E7FBF" w:rsidRDefault="00B13F8B" w:rsidP="00F25A41">
      <w:pPr>
        <w:pStyle w:val="notetext"/>
      </w:pPr>
      <w:r w:rsidRPr="007E7FBF">
        <w:t>Note 1:</w:t>
      </w:r>
      <w:r w:rsidR="00D13726" w:rsidRPr="007E7FBF">
        <w:tab/>
        <w:t>See rule 1.7 for the definition of “required consumer data”, and see</w:t>
      </w:r>
      <w:r w:rsidR="00F25A41" w:rsidRPr="007E7FBF">
        <w:t>c</w:t>
      </w:r>
      <w:r w:rsidR="00D13726" w:rsidRPr="007E7FBF">
        <w:t>lause 3.2 of Schedule 3 for the definition of “required consumer data” in relation to the banking sector.</w:t>
      </w:r>
    </w:p>
    <w:p w14:paraId="22AD14F4" w14:textId="77777777" w:rsidR="00CF0E3D" w:rsidRPr="00ED4F4B" w:rsidRDefault="00CF0E3D" w:rsidP="00CF0E3D">
      <w:pPr>
        <w:pStyle w:val="notetext"/>
      </w:pPr>
      <w:r w:rsidRPr="00ED4F4B">
        <w:t>Note 2:</w:t>
      </w:r>
      <w:r w:rsidRPr="00ED4F4B">
        <w:tab/>
        <w:t>For the banking sector, for requests that relate to joint accounts, additional requirements need to be met in order for the data holder to be authorised to disclose requested CDR data that relates to the joint account: see Part 4 of Schedule 3 to these rules.</w:t>
      </w:r>
    </w:p>
    <w:p w14:paraId="6509A257" w14:textId="77777777" w:rsidR="00CF0E3D" w:rsidRPr="00464C22" w:rsidRDefault="00CF0E3D" w:rsidP="00CF0E3D">
      <w:pPr>
        <w:pStyle w:val="notetext"/>
        <w:rPr>
          <w:color w:val="000000" w:themeColor="text1"/>
        </w:rPr>
      </w:pPr>
      <w:r w:rsidRPr="00464C22">
        <w:rPr>
          <w:color w:val="000000" w:themeColor="text1"/>
        </w:rPr>
        <w:t>Note 3:</w:t>
      </w:r>
      <w:r w:rsidRPr="00464C22">
        <w:rPr>
          <w:color w:val="000000" w:themeColor="text1"/>
        </w:rPr>
        <w:tab/>
        <w:t>A fee cannot be charged for the disclosure of required consumer data: see section 56BU of the Act.</w:t>
      </w:r>
    </w:p>
    <w:p w14:paraId="3DA5CB4F" w14:textId="77777777" w:rsidR="00CF0E3D" w:rsidRPr="00813976" w:rsidRDefault="00CF0E3D" w:rsidP="00CF0E3D">
      <w:pPr>
        <w:pStyle w:val="notetext"/>
      </w:pPr>
      <w:r w:rsidRPr="00813976">
        <w:t>Note 4:</w:t>
      </w:r>
      <w:r w:rsidRPr="00813976">
        <w:tab/>
        <w:t>Rule </w:t>
      </w:r>
      <w:r>
        <w:t>7.4</w:t>
      </w:r>
      <w:r w:rsidRPr="00813976">
        <w:t xml:space="preserve"> (which deals with privacy safeguard 5, paragraph 56EH(a) of the Act) requires the accredited person to update its consumer dashboard for the CDR consumer on whose behalf the request was made to indicate the CDR data that was collected.</w:t>
      </w:r>
    </w:p>
    <w:p w14:paraId="1C75582A" w14:textId="77777777" w:rsidR="00CF0E3D" w:rsidRPr="00813976" w:rsidRDefault="00CF0E3D" w:rsidP="00CF0E3D">
      <w:pPr>
        <w:pStyle w:val="notetext"/>
      </w:pPr>
      <w:r w:rsidRPr="00813976">
        <w:t>Note 5:</w:t>
      </w:r>
      <w:r w:rsidRPr="00813976">
        <w:tab/>
        <w:t>Rule </w:t>
      </w:r>
      <w:r>
        <w:t>7.9</w:t>
      </w:r>
      <w:r w:rsidRPr="00813976">
        <w:t xml:space="preserve"> (which deals with privacy safeguard 10, paragraph 56EM(1)(a) of the Act) requires the data holder to update its consumer dashboard for the CDR consumer on whose behalf the request was made to indicate the CDR data that was disclosed.</w:t>
      </w:r>
    </w:p>
    <w:p w14:paraId="5CC3FB27" w14:textId="77777777" w:rsidR="00CF0E3D" w:rsidRPr="00813976" w:rsidRDefault="00CF0E3D" w:rsidP="00CF0E3D">
      <w:pPr>
        <w:pStyle w:val="notetext"/>
      </w:pPr>
      <w:r w:rsidRPr="00813976">
        <w:t>Note 6:</w:t>
      </w:r>
      <w:r w:rsidRPr="00813976">
        <w:tab/>
        <w:t>This subrule is a civil penalty provision (see rule </w:t>
      </w:r>
      <w:r>
        <w:t>9.8</w:t>
      </w:r>
      <w:r w:rsidRPr="00813976">
        <w:t>).</w:t>
      </w:r>
    </w:p>
    <w:p w14:paraId="6586F456" w14:textId="77777777" w:rsidR="00CF0E3D" w:rsidRPr="00ED4F4B" w:rsidRDefault="00CF0E3D" w:rsidP="00CF0E3D">
      <w:pPr>
        <w:pStyle w:val="ActHead5"/>
      </w:pPr>
      <w:bookmarkStart w:id="136" w:name="_Toc57219019"/>
      <w:bookmarkStart w:id="137" w:name="_Toc59549131"/>
      <w:bookmarkStart w:id="138" w:name="_Toc74916126"/>
      <w:bookmarkStart w:id="139" w:name="_Toc11771603"/>
      <w:r w:rsidRPr="00ED4F4B">
        <w:t>4.6A  Disclosure of CDR data relating to account not permitted if not approved by account holder</w:t>
      </w:r>
      <w:bookmarkEnd w:id="136"/>
      <w:bookmarkEnd w:id="137"/>
      <w:bookmarkEnd w:id="138"/>
    </w:p>
    <w:p w14:paraId="05587A09" w14:textId="77777777" w:rsidR="00CF0E3D" w:rsidRPr="00ED4F4B" w:rsidRDefault="00CF0E3D" w:rsidP="00CF0E3D">
      <w:pPr>
        <w:pStyle w:val="subsection"/>
      </w:pPr>
      <w:r w:rsidRPr="00ED4F4B">
        <w:tab/>
      </w:r>
      <w:r w:rsidRPr="00ED4F4B">
        <w:tab/>
        <w:t>Despite subrules 4.6(2) and (4), the data holder must not disclose requested CDR data that relates to a particular account to the person who made the request if:</w:t>
      </w:r>
    </w:p>
    <w:p w14:paraId="2E4E693D" w14:textId="77777777" w:rsidR="00CF0E3D" w:rsidRPr="00ED4F4B" w:rsidRDefault="00CF0E3D" w:rsidP="00CF0E3D">
      <w:pPr>
        <w:pStyle w:val="paragraph"/>
      </w:pPr>
      <w:r w:rsidRPr="00ED4F4B">
        <w:tab/>
        <w:t>(a)</w:t>
      </w:r>
      <w:r w:rsidRPr="00ED4F4B">
        <w:tab/>
        <w:t>both of the following are satisfied:</w:t>
      </w:r>
    </w:p>
    <w:p w14:paraId="112804F5" w14:textId="77777777" w:rsidR="00CF0E3D" w:rsidRPr="00ED4F4B" w:rsidRDefault="00CF0E3D" w:rsidP="00CF0E3D">
      <w:pPr>
        <w:pStyle w:val="paragraphsub"/>
      </w:pPr>
      <w:r w:rsidRPr="00ED4F4B">
        <w:tab/>
        <w:t>(i)</w:t>
      </w:r>
      <w:r w:rsidRPr="00ED4F4B">
        <w:tab/>
        <w:t>the request was made on behalf of a secondary user of the account;</w:t>
      </w:r>
    </w:p>
    <w:p w14:paraId="4752DC88" w14:textId="77777777" w:rsidR="00CF0E3D" w:rsidRPr="00ED4F4B" w:rsidRDefault="00CF0E3D" w:rsidP="00CF0E3D">
      <w:pPr>
        <w:pStyle w:val="paragraphsub"/>
      </w:pPr>
      <w:r w:rsidRPr="00ED4F4B">
        <w:tab/>
        <w:t>(ii)</w:t>
      </w:r>
      <w:r w:rsidRPr="00ED4F4B">
        <w:tab/>
        <w:t>the account holder has indicated, through their consumer dashboard, that they no longer approve CDR data relating to that account being disclosed to that accredited person in response to consumer data requests made by that secondary user; or</w:t>
      </w:r>
    </w:p>
    <w:p w14:paraId="50E329B8" w14:textId="77777777" w:rsidR="00CF0E3D" w:rsidRPr="00ED4F4B" w:rsidRDefault="00CF0E3D" w:rsidP="00CF0E3D">
      <w:pPr>
        <w:pStyle w:val="paragraph"/>
      </w:pPr>
      <w:r w:rsidRPr="00ED4F4B">
        <w:tab/>
        <w:t>(b)</w:t>
      </w:r>
      <w:r w:rsidRPr="00ED4F4B">
        <w:tab/>
        <w:t>a Schedule to the rules provides that the requested CDR data must not be disclosed.</w:t>
      </w:r>
    </w:p>
    <w:p w14:paraId="35C4494B" w14:textId="77777777" w:rsidR="00CF0E3D" w:rsidRPr="00ED4F4B" w:rsidRDefault="00CF0E3D" w:rsidP="00CF0E3D">
      <w:pPr>
        <w:pStyle w:val="notetext"/>
      </w:pPr>
      <w:r w:rsidRPr="00ED4F4B">
        <w:t>Note 1:</w:t>
      </w:r>
      <w:r w:rsidRPr="00ED4F4B">
        <w:tab/>
        <w:t>For subparagraph (a)(ii), the account holder is able to indicate this using the functionality referred to in subparagraph 1.15(5)(b)(i).</w:t>
      </w:r>
    </w:p>
    <w:p w14:paraId="463C86BB" w14:textId="77777777" w:rsidR="00CF0E3D" w:rsidRPr="00ED4F4B" w:rsidRDefault="00CF0E3D" w:rsidP="00CF0E3D">
      <w:pPr>
        <w:pStyle w:val="notetext"/>
      </w:pPr>
      <w:r w:rsidRPr="00ED4F4B">
        <w:t xml:space="preserve">Note 2: </w:t>
      </w:r>
      <w:r w:rsidRPr="00ED4F4B">
        <w:tab/>
        <w:t>For paragraph (b), for the banking sector, see clause 4.13 of Schedule 3 to these rules.</w:t>
      </w:r>
    </w:p>
    <w:p w14:paraId="1B098E86" w14:textId="77777777" w:rsidR="00CF0E3D" w:rsidRDefault="00CF0E3D" w:rsidP="00CF0E3D">
      <w:pPr>
        <w:pStyle w:val="ActHead5"/>
      </w:pPr>
      <w:bookmarkStart w:id="140" w:name="_Toc74916127"/>
      <w:r>
        <w:t>4.7</w:t>
      </w:r>
      <w:r w:rsidRPr="007C39E2">
        <w:t xml:space="preserve">  Refusal to disclose required consumer data in response to consumer data </w:t>
      </w:r>
      <w:r>
        <w:t>request</w:t>
      </w:r>
      <w:bookmarkEnd w:id="139"/>
      <w:bookmarkEnd w:id="140"/>
    </w:p>
    <w:p w14:paraId="58AD754F" w14:textId="77777777" w:rsidR="00CF0E3D" w:rsidRPr="009C4726" w:rsidRDefault="00CF0E3D" w:rsidP="00CF0E3D">
      <w:pPr>
        <w:pStyle w:val="subsection"/>
      </w:pPr>
      <w:r>
        <w:tab/>
      </w:r>
      <w:r w:rsidRPr="009C4726">
        <w:t>(1)</w:t>
      </w:r>
      <w:r w:rsidRPr="009C4726">
        <w:tab/>
        <w:t>Despite subrules 4.5(3) and 4.6(4), a data holder may refuse to ask for an authorisation in relation to the relevant CDR data, or refuse to disclose required consumer data in response to the request:</w:t>
      </w:r>
    </w:p>
    <w:p w14:paraId="117A2E3F" w14:textId="77777777" w:rsidR="00CF0E3D" w:rsidRPr="009C4726" w:rsidRDefault="00CF0E3D" w:rsidP="00CF0E3D">
      <w:pPr>
        <w:pStyle w:val="paragraph"/>
      </w:pPr>
      <w:r w:rsidRPr="009C4726">
        <w:tab/>
        <w:t>(a)</w:t>
      </w:r>
      <w:r w:rsidRPr="009C4726">
        <w:tab/>
        <w:t>if the data holder considers this to be necessary to prevent physical or financial harm or abuse; or</w:t>
      </w:r>
    </w:p>
    <w:p w14:paraId="174CD27F" w14:textId="77777777" w:rsidR="00CF0E3D" w:rsidRPr="009C4726" w:rsidRDefault="00CF0E3D" w:rsidP="00CF0E3D">
      <w:pPr>
        <w:pStyle w:val="paragraph"/>
      </w:pPr>
      <w:r w:rsidRPr="009C4726">
        <w:tab/>
        <w:t>(b)</w:t>
      </w:r>
      <w:r w:rsidRPr="009C4726">
        <w:tab/>
        <w:t>if the data holder has reasonable grounds to believe that disclosure of some or all of that data would adversely impact the security, integrity or stability of:</w:t>
      </w:r>
    </w:p>
    <w:p w14:paraId="79342108" w14:textId="77777777" w:rsidR="00CF0E3D" w:rsidRPr="009C4726" w:rsidRDefault="00CF0E3D" w:rsidP="00CF0E3D">
      <w:pPr>
        <w:pStyle w:val="paragraphsub"/>
      </w:pPr>
      <w:r w:rsidRPr="009C4726">
        <w:tab/>
        <w:t>(i)</w:t>
      </w:r>
      <w:r w:rsidRPr="009C4726">
        <w:tab/>
        <w:t>the Register of Accredited Persons; or</w:t>
      </w:r>
    </w:p>
    <w:p w14:paraId="5FE43A5F" w14:textId="77777777" w:rsidR="00CF0E3D" w:rsidRPr="009C4726" w:rsidRDefault="00CF0E3D" w:rsidP="00CF0E3D">
      <w:pPr>
        <w:pStyle w:val="paragraphsub"/>
      </w:pPr>
      <w:r w:rsidRPr="009C4726">
        <w:tab/>
        <w:t>(ii)</w:t>
      </w:r>
      <w:r w:rsidRPr="009C4726">
        <w:tab/>
        <w:t>the data holder’s information and communication technology systems; or</w:t>
      </w:r>
    </w:p>
    <w:p w14:paraId="51A04220" w14:textId="77777777" w:rsidR="00CF0E3D" w:rsidRPr="009C4726" w:rsidRDefault="00CF0E3D" w:rsidP="00CF0E3D">
      <w:pPr>
        <w:pStyle w:val="paragraph"/>
      </w:pPr>
      <w:r w:rsidRPr="009C4726">
        <w:tab/>
        <w:t>(c)</w:t>
      </w:r>
      <w:r w:rsidRPr="009C4726">
        <w:tab/>
        <w:t>in relation to an account that is blocked or suspended; or</w:t>
      </w:r>
    </w:p>
    <w:p w14:paraId="0C15A9E2" w14:textId="77777777" w:rsidR="00CF0E3D" w:rsidRPr="009C4726" w:rsidRDefault="00CF0E3D" w:rsidP="00CF0E3D">
      <w:pPr>
        <w:pStyle w:val="paragraph"/>
      </w:pPr>
      <w:r w:rsidRPr="009C4726">
        <w:tab/>
        <w:t>(d)</w:t>
      </w:r>
      <w:r w:rsidRPr="009C4726">
        <w:tab/>
        <w:t>in circumstances (if any) set out in the data standards.</w:t>
      </w:r>
    </w:p>
    <w:p w14:paraId="3622F7ED" w14:textId="77777777" w:rsidR="00CF0E3D" w:rsidRPr="0023036E" w:rsidRDefault="00CF0E3D" w:rsidP="00CF0E3D">
      <w:pPr>
        <w:pStyle w:val="subsection"/>
      </w:pPr>
      <w:r w:rsidRPr="007C39E2">
        <w:tab/>
      </w:r>
      <w:r>
        <w:t>(3)</w:t>
      </w:r>
      <w:r w:rsidRPr="007C39E2">
        <w:tab/>
        <w:t>The data holder must inform the accredited person of such a refusal</w:t>
      </w:r>
      <w:r w:rsidRPr="0023036E">
        <w:t xml:space="preserve"> in accordance with the data standards.</w:t>
      </w:r>
    </w:p>
    <w:p w14:paraId="768E1B1B" w14:textId="77777777" w:rsidR="00CF0E3D" w:rsidRPr="005F3D40" w:rsidRDefault="00CF0E3D" w:rsidP="00CF0E3D">
      <w:pPr>
        <w:pStyle w:val="subsection"/>
        <w:rPr>
          <w:color w:val="000000" w:themeColor="text1"/>
        </w:rPr>
      </w:pPr>
      <w:r>
        <w:tab/>
      </w:r>
      <w:r>
        <w:tab/>
      </w:r>
      <w:r w:rsidRPr="005F3D40">
        <w:rPr>
          <w:color w:val="000000" w:themeColor="text1"/>
        </w:rPr>
        <w:t>Civil penalty:</w:t>
      </w:r>
    </w:p>
    <w:p w14:paraId="44B2DD1C" w14:textId="77777777" w:rsidR="00CF0E3D" w:rsidRPr="005F3D40" w:rsidRDefault="00CF0E3D" w:rsidP="00CF0E3D">
      <w:pPr>
        <w:pStyle w:val="paragraph"/>
        <w:rPr>
          <w:color w:val="000000" w:themeColor="text1"/>
        </w:rPr>
      </w:pPr>
      <w:r w:rsidRPr="005F3D40">
        <w:rPr>
          <w:color w:val="000000" w:themeColor="text1"/>
        </w:rPr>
        <w:tab/>
        <w:t>(a)</w:t>
      </w:r>
      <w:r w:rsidRPr="005F3D40">
        <w:rPr>
          <w:color w:val="000000" w:themeColor="text1"/>
        </w:rPr>
        <w:tab/>
        <w:t>for an individual―$50,000; and</w:t>
      </w:r>
    </w:p>
    <w:p w14:paraId="1CD95038" w14:textId="77777777" w:rsidR="00CF0E3D" w:rsidRDefault="00CF0E3D" w:rsidP="00CF0E3D">
      <w:pPr>
        <w:pStyle w:val="paragraph"/>
        <w:rPr>
          <w:color w:val="000000" w:themeColor="text1"/>
        </w:rPr>
      </w:pPr>
      <w:r w:rsidRPr="005F3D40">
        <w:rPr>
          <w:color w:val="000000" w:themeColor="text1"/>
        </w:rPr>
        <w:tab/>
        <w:t>(b)</w:t>
      </w:r>
      <w:r w:rsidRPr="005F3D40">
        <w:rPr>
          <w:color w:val="000000" w:themeColor="text1"/>
        </w:rPr>
        <w:tab/>
        <w:t>for a body corporate―$250,000.</w:t>
      </w:r>
    </w:p>
    <w:p w14:paraId="6909B8C1" w14:textId="77777777" w:rsidR="00D2745F" w:rsidRDefault="00D2745F" w:rsidP="00CF0E3D">
      <w:pPr>
        <w:pStyle w:val="paragraph"/>
        <w:rPr>
          <w:color w:val="000000" w:themeColor="text1"/>
        </w:rPr>
      </w:pPr>
    </w:p>
    <w:p w14:paraId="57E72E0A" w14:textId="77777777" w:rsidR="00CF0E3D" w:rsidRPr="004F7FBE" w:rsidRDefault="00CF0E3D" w:rsidP="00CF0E3D">
      <w:pPr>
        <w:pStyle w:val="ActHead4"/>
      </w:pPr>
      <w:bookmarkStart w:id="141" w:name="_Toc50114029"/>
      <w:bookmarkStart w:id="142" w:name="_Toc57390999"/>
      <w:bookmarkStart w:id="143" w:name="_Toc59549132"/>
      <w:bookmarkStart w:id="144" w:name="_Toc74916128"/>
      <w:bookmarkStart w:id="145" w:name="_Toc50114030"/>
      <w:bookmarkStart w:id="146" w:name="_Toc57219022"/>
      <w:r w:rsidRPr="004F7FBE">
        <w:t>Subdivision 4.2.4—Consumer data requests by accredited persons to accredited data recipients</w:t>
      </w:r>
      <w:bookmarkEnd w:id="141"/>
      <w:bookmarkEnd w:id="142"/>
      <w:bookmarkEnd w:id="143"/>
      <w:bookmarkEnd w:id="144"/>
    </w:p>
    <w:p w14:paraId="5ADE0A3A" w14:textId="77777777" w:rsidR="00CF0E3D" w:rsidRPr="00ED4F4B" w:rsidRDefault="00CF0E3D" w:rsidP="00CF0E3D">
      <w:pPr>
        <w:pStyle w:val="ActHead5"/>
      </w:pPr>
      <w:bookmarkStart w:id="147" w:name="_Toc59549133"/>
      <w:bookmarkStart w:id="148" w:name="_Toc74916129"/>
      <w:r w:rsidRPr="00ED4F4B">
        <w:t>4.7A  Consumer data request by accredited person to accredited data recipient</w:t>
      </w:r>
      <w:bookmarkEnd w:id="145"/>
      <w:bookmarkEnd w:id="146"/>
      <w:bookmarkEnd w:id="147"/>
      <w:bookmarkEnd w:id="148"/>
    </w:p>
    <w:p w14:paraId="133B2FAF" w14:textId="77777777" w:rsidR="00CF0E3D" w:rsidRPr="00ED4F4B" w:rsidRDefault="00CF0E3D" w:rsidP="00CF0E3D">
      <w:pPr>
        <w:pStyle w:val="subsection"/>
      </w:pPr>
      <w:r w:rsidRPr="00ED4F4B">
        <w:tab/>
        <w:t>(1)</w:t>
      </w:r>
      <w:r w:rsidRPr="00ED4F4B">
        <w:tab/>
        <w:t>If:</w:t>
      </w:r>
    </w:p>
    <w:p w14:paraId="60A11388" w14:textId="7BD0BA7C" w:rsidR="00CF0E3D" w:rsidRPr="00ED4F4B" w:rsidRDefault="00CF0E3D" w:rsidP="00CF0E3D">
      <w:pPr>
        <w:pStyle w:val="paragraph"/>
      </w:pPr>
      <w:r w:rsidRPr="00ED4F4B">
        <w:tab/>
        <w:t>(a)</w:t>
      </w:r>
      <w:r w:rsidRPr="00ED4F4B">
        <w:tab/>
        <w:t>a CDR consumer has given an accredited person a request under rule 4.3</w:t>
      </w:r>
      <w:r w:rsidR="00B86207">
        <w:t xml:space="preserve"> </w:t>
      </w:r>
      <w:r w:rsidR="00B86207" w:rsidRPr="00BC78CF">
        <w:rPr>
          <w:color w:val="FF0000"/>
        </w:rPr>
        <w:t>or 4.3A</w:t>
      </w:r>
      <w:r w:rsidRPr="00ED4F4B">
        <w:t xml:space="preserve"> to seek to collect CDR data from an accredited data recipient; and</w:t>
      </w:r>
    </w:p>
    <w:p w14:paraId="1E7722C6" w14:textId="77777777" w:rsidR="00CF0E3D" w:rsidRPr="00ED4F4B" w:rsidRDefault="00CF0E3D" w:rsidP="00CF0E3D">
      <w:pPr>
        <w:pStyle w:val="paragraph"/>
      </w:pPr>
      <w:r w:rsidRPr="00ED4F4B">
        <w:tab/>
        <w:t>(b)</w:t>
      </w:r>
      <w:r w:rsidRPr="00ED4F4B">
        <w:tab/>
        <w:t>the request is valid;</w:t>
      </w:r>
    </w:p>
    <w:p w14:paraId="5B7DBBA7" w14:textId="77777777" w:rsidR="00CF0E3D" w:rsidRPr="00ED4F4B" w:rsidRDefault="00CF0E3D" w:rsidP="00CF0E3D">
      <w:pPr>
        <w:pStyle w:val="subsection"/>
        <w:spacing w:before="40"/>
      </w:pPr>
      <w:r w:rsidRPr="00ED4F4B">
        <w:tab/>
      </w:r>
      <w:r w:rsidRPr="00ED4F4B">
        <w:tab/>
        <w:t>the accredited person may request the accredited data recipient to disclose, to the accredited person, some or all of the CDR data that:</w:t>
      </w:r>
    </w:p>
    <w:p w14:paraId="0194D894" w14:textId="77777777" w:rsidR="00CF0E3D" w:rsidRPr="00ED4F4B" w:rsidRDefault="00CF0E3D" w:rsidP="00CF0E3D">
      <w:pPr>
        <w:pStyle w:val="paragraph"/>
      </w:pPr>
      <w:r w:rsidRPr="00ED4F4B">
        <w:tab/>
        <w:t>(c)</w:t>
      </w:r>
      <w:r w:rsidRPr="00ED4F4B">
        <w:tab/>
        <w:t>is the subject of the relevant collection consent and use consent; and</w:t>
      </w:r>
    </w:p>
    <w:p w14:paraId="46455040" w14:textId="77777777" w:rsidR="00CF0E3D" w:rsidRPr="00ED4F4B" w:rsidRDefault="00CF0E3D" w:rsidP="00CF0E3D">
      <w:pPr>
        <w:pStyle w:val="paragraph"/>
      </w:pPr>
      <w:r w:rsidRPr="00ED4F4B">
        <w:tab/>
        <w:t>(d)</w:t>
      </w:r>
      <w:r w:rsidRPr="00ED4F4B">
        <w:tab/>
        <w:t>it is able to collect and use in compliance with the data minimisation principle.</w:t>
      </w:r>
    </w:p>
    <w:p w14:paraId="6C2480B7" w14:textId="77777777" w:rsidR="00CF0E3D" w:rsidRPr="00ED4F4B" w:rsidRDefault="00CF0E3D" w:rsidP="00CF0E3D">
      <w:pPr>
        <w:pStyle w:val="notetext"/>
      </w:pPr>
      <w:r w:rsidRPr="00ED4F4B">
        <w:t>Note:</w:t>
      </w:r>
      <w:r w:rsidRPr="00ED4F4B">
        <w:tab/>
        <w:t>See rule 1.8 for the definition of the “data minimisation principle”.</w:t>
      </w:r>
    </w:p>
    <w:p w14:paraId="4F6ACD23" w14:textId="77777777" w:rsidR="00CF0E3D" w:rsidRPr="00ED4F4B" w:rsidRDefault="00CF0E3D" w:rsidP="00CF0E3D">
      <w:pPr>
        <w:pStyle w:val="subsection"/>
      </w:pPr>
      <w:r w:rsidRPr="00ED4F4B">
        <w:tab/>
        <w:t>(2)</w:t>
      </w:r>
      <w:r w:rsidRPr="00ED4F4B">
        <w:tab/>
        <w:t xml:space="preserve">Such a request is a </w:t>
      </w:r>
      <w:r w:rsidRPr="00ED4F4B">
        <w:rPr>
          <w:b/>
          <w:i/>
        </w:rPr>
        <w:t xml:space="preserve">consumer data request </w:t>
      </w:r>
      <w:r w:rsidRPr="00ED4F4B">
        <w:t>by an accredited person to an accredited data recipient on behalf of a CDR consumer.</w:t>
      </w:r>
    </w:p>
    <w:p w14:paraId="4F4C9DD7" w14:textId="77777777" w:rsidR="00CF0E3D" w:rsidRPr="00ED4F4B" w:rsidRDefault="00CF0E3D" w:rsidP="00CF0E3D">
      <w:pPr>
        <w:pStyle w:val="notetext"/>
      </w:pPr>
      <w:r w:rsidRPr="00ED4F4B">
        <w:t>Note:</w:t>
      </w:r>
      <w:r w:rsidRPr="00ED4F4B">
        <w:tab/>
        <w:t>An accredited person might need to make consumer data requests to several CDR participants in order to provide the goods or services requested by the CDR consumer, and might need to make regular consumer data requests over a period of time in order to provide those goods or services.</w:t>
      </w:r>
    </w:p>
    <w:p w14:paraId="4950310C" w14:textId="77777777" w:rsidR="00CF0E3D" w:rsidRPr="00ED4F4B" w:rsidRDefault="00CF0E3D" w:rsidP="00CF0E3D">
      <w:pPr>
        <w:pStyle w:val="ActHead5"/>
      </w:pPr>
      <w:bookmarkStart w:id="149" w:name="_Toc50114031"/>
      <w:bookmarkStart w:id="150" w:name="_Toc57219023"/>
      <w:bookmarkStart w:id="151" w:name="_Toc59549134"/>
      <w:bookmarkStart w:id="152" w:name="_Toc74916130"/>
      <w:r w:rsidRPr="00ED4F4B">
        <w:t>4.7B  Accredited data recipient may ask eligible CDR consumer for AP disclosure consent</w:t>
      </w:r>
      <w:bookmarkEnd w:id="149"/>
      <w:bookmarkEnd w:id="150"/>
      <w:bookmarkEnd w:id="151"/>
      <w:bookmarkEnd w:id="152"/>
    </w:p>
    <w:p w14:paraId="24768170" w14:textId="77777777" w:rsidR="00CF0E3D" w:rsidRPr="00ED4F4B" w:rsidRDefault="00CF0E3D" w:rsidP="00CF0E3D">
      <w:pPr>
        <w:pStyle w:val="subsection"/>
      </w:pPr>
      <w:r w:rsidRPr="00ED4F4B">
        <w:tab/>
        <w:t>(1)</w:t>
      </w:r>
      <w:r w:rsidRPr="00ED4F4B">
        <w:tab/>
        <w:t>This rule applies if:</w:t>
      </w:r>
    </w:p>
    <w:p w14:paraId="715064A0" w14:textId="77777777" w:rsidR="00CF0E3D" w:rsidRPr="00ED4F4B" w:rsidRDefault="00CF0E3D" w:rsidP="00CF0E3D">
      <w:pPr>
        <w:pStyle w:val="paragraph"/>
      </w:pPr>
      <w:r w:rsidRPr="00ED4F4B">
        <w:tab/>
        <w:t>(a)</w:t>
      </w:r>
      <w:r w:rsidRPr="00ED4F4B">
        <w:tab/>
        <w:t>an accredited data recipient receives, or reasonably anticipates receiving, a consumer data request under rule 4.7A; and</w:t>
      </w:r>
    </w:p>
    <w:p w14:paraId="34313E25" w14:textId="77777777" w:rsidR="00CF0E3D" w:rsidRPr="00ED4F4B" w:rsidRDefault="00CF0E3D" w:rsidP="00CF0E3D">
      <w:pPr>
        <w:pStyle w:val="paragraph"/>
      </w:pPr>
      <w:r w:rsidRPr="00ED4F4B">
        <w:tab/>
        <w:t>(b)</w:t>
      </w:r>
      <w:r w:rsidRPr="00ED4F4B">
        <w:tab/>
        <w:t>there is no current AP disclosure consent for the accredited data recipient to disclose the requested data to the person who made the request; and</w:t>
      </w:r>
    </w:p>
    <w:p w14:paraId="6029DA32" w14:textId="77777777" w:rsidR="00CF0E3D" w:rsidRPr="00ED4F4B" w:rsidRDefault="00CF0E3D" w:rsidP="00CF0E3D">
      <w:pPr>
        <w:pStyle w:val="paragraph"/>
      </w:pPr>
      <w:r w:rsidRPr="00ED4F4B">
        <w:tab/>
        <w:t>(c)</w:t>
      </w:r>
      <w:r w:rsidRPr="00ED4F4B">
        <w:tab/>
        <w:t>the accredited data recipient reasonably believes that the request was or will be made by an accredited person on behalf of an eligible CDR consumer.</w:t>
      </w:r>
    </w:p>
    <w:p w14:paraId="40A49851" w14:textId="4870006F" w:rsidR="00CF0E3D" w:rsidRPr="007E7FBF" w:rsidRDefault="00B13F8B" w:rsidP="00CF0E3D">
      <w:pPr>
        <w:pStyle w:val="notetext"/>
      </w:pPr>
      <w:r w:rsidRPr="007E7FBF">
        <w:t>Note:</w:t>
      </w:r>
      <w:r w:rsidR="00F25A41" w:rsidRPr="007E7FBF">
        <w:tab/>
      </w:r>
      <w:r w:rsidR="00CF0E3D" w:rsidRPr="007E7FBF">
        <w:t>See subrule 1.7(1) for the meaning of “eligible”. For the banking sector, see clause 2.1 of Schedule 3 for when a CDR consumer is eligible.</w:t>
      </w:r>
    </w:p>
    <w:p w14:paraId="05742156" w14:textId="77777777" w:rsidR="00CF0E3D" w:rsidRPr="00ED4F4B" w:rsidRDefault="00CF0E3D" w:rsidP="00CF0E3D">
      <w:pPr>
        <w:pStyle w:val="subsection"/>
      </w:pPr>
      <w:r w:rsidRPr="00ED4F4B">
        <w:tab/>
        <w:t>(2)</w:t>
      </w:r>
      <w:r w:rsidRPr="00ED4F4B">
        <w:tab/>
        <w:t>The accredited data recipient may, in accordance with Division 4.3, ask the CDR consumer for such an AP disclosure consent.</w:t>
      </w:r>
    </w:p>
    <w:p w14:paraId="532FA5C6" w14:textId="77777777" w:rsidR="00CF0E3D" w:rsidRPr="00ED4F4B" w:rsidRDefault="00CF0E3D" w:rsidP="00CF0E3D">
      <w:pPr>
        <w:pStyle w:val="notetext"/>
      </w:pPr>
      <w:r w:rsidRPr="00ED4F4B">
        <w:t>Note:</w:t>
      </w:r>
      <w:r w:rsidRPr="00ED4F4B">
        <w:tab/>
        <w:t>If the CDR consumer consents to the disclosure, the accredited data recipient is authorised (but not required) to disclose the requested CDR data to the accredited person: see paragraph 7.5(1)(f) and rules 7.6, 7.7 and 7.8.</w:t>
      </w:r>
    </w:p>
    <w:p w14:paraId="65F78C59" w14:textId="77777777" w:rsidR="00CF0E3D" w:rsidRPr="00ED4F4B" w:rsidRDefault="00CF0E3D" w:rsidP="00CF0E3D">
      <w:pPr>
        <w:pStyle w:val="subsection"/>
      </w:pPr>
      <w:r w:rsidRPr="00ED4F4B">
        <w:tab/>
        <w:t>(3)</w:t>
      </w:r>
      <w:r w:rsidRPr="00ED4F4B">
        <w:tab/>
        <w:t>If an accredited data recipient asks for an AP disclosure consent for the purposes of subrule (2), it must do so in accordance with Division 4.3.</w:t>
      </w:r>
    </w:p>
    <w:p w14:paraId="64D00FFE" w14:textId="77777777" w:rsidR="00CF0E3D" w:rsidRDefault="00CF0E3D" w:rsidP="00CF0E3D">
      <w:pPr>
        <w:pStyle w:val="notetext"/>
      </w:pPr>
      <w:r w:rsidRPr="00ED4F4B">
        <w:t>Note:</w:t>
      </w:r>
      <w:r w:rsidRPr="00ED4F4B">
        <w:tab/>
        <w:t>This subrule is a civil penalty provision (see rule 9.8).</w:t>
      </w:r>
    </w:p>
    <w:p w14:paraId="1D025F10" w14:textId="77777777" w:rsidR="00CF0E3D" w:rsidRPr="002044A8" w:rsidRDefault="00CF0E3D" w:rsidP="00CF0E3D">
      <w:pPr>
        <w:pStyle w:val="ActHead3"/>
      </w:pPr>
      <w:bookmarkStart w:id="153" w:name="_Toc50114034"/>
      <w:bookmarkStart w:id="154" w:name="_Toc57219024"/>
      <w:bookmarkStart w:id="155" w:name="_Toc59549135"/>
      <w:bookmarkStart w:id="156" w:name="_Toc74916131"/>
      <w:bookmarkStart w:id="157" w:name="_Toc11771605"/>
      <w:r w:rsidRPr="002044A8">
        <w:t>Division 4.3—Giving and amending consents</w:t>
      </w:r>
      <w:bookmarkEnd w:id="153"/>
      <w:bookmarkEnd w:id="154"/>
      <w:bookmarkEnd w:id="155"/>
      <w:bookmarkEnd w:id="156"/>
    </w:p>
    <w:p w14:paraId="7F05AFD7" w14:textId="77777777" w:rsidR="00CF0E3D" w:rsidRPr="00F07699" w:rsidRDefault="00CF0E3D" w:rsidP="00CF0E3D">
      <w:pPr>
        <w:pStyle w:val="ActHead4"/>
      </w:pPr>
      <w:bookmarkStart w:id="158" w:name="_Toc50114035"/>
      <w:bookmarkStart w:id="159" w:name="_Toc50633075"/>
      <w:bookmarkStart w:id="160" w:name="_Toc57219025"/>
      <w:bookmarkStart w:id="161" w:name="_Toc59549136"/>
      <w:bookmarkStart w:id="162" w:name="_Toc74916132"/>
      <w:r w:rsidRPr="00F07699">
        <w:t>Subdivision 4.3.1—Preliminary</w:t>
      </w:r>
      <w:bookmarkEnd w:id="158"/>
      <w:bookmarkEnd w:id="159"/>
      <w:bookmarkEnd w:id="160"/>
      <w:bookmarkEnd w:id="161"/>
      <w:bookmarkEnd w:id="162"/>
    </w:p>
    <w:p w14:paraId="1837D2CE" w14:textId="77777777" w:rsidR="00CF0E3D" w:rsidRPr="00F07699" w:rsidRDefault="00CF0E3D" w:rsidP="00CF0E3D">
      <w:pPr>
        <w:pStyle w:val="ActHead5"/>
      </w:pPr>
      <w:bookmarkStart w:id="163" w:name="_Toc50114036"/>
      <w:bookmarkStart w:id="164" w:name="_Toc50633076"/>
      <w:bookmarkStart w:id="165" w:name="_Toc57219026"/>
      <w:bookmarkStart w:id="166" w:name="_Toc59549137"/>
      <w:bookmarkStart w:id="167" w:name="_Toc74916133"/>
      <w:r w:rsidRPr="00F07699">
        <w:t>4.8  Purpose of Division</w:t>
      </w:r>
      <w:bookmarkEnd w:id="163"/>
      <w:bookmarkEnd w:id="164"/>
      <w:bookmarkEnd w:id="165"/>
      <w:bookmarkEnd w:id="166"/>
      <w:bookmarkEnd w:id="167"/>
    </w:p>
    <w:p w14:paraId="309EDA84" w14:textId="77777777" w:rsidR="00CF0E3D" w:rsidRPr="00ED4F4B" w:rsidRDefault="00CF0E3D" w:rsidP="00CF0E3D">
      <w:pPr>
        <w:pStyle w:val="subsection"/>
      </w:pPr>
      <w:r w:rsidRPr="00ED4F4B">
        <w:tab/>
      </w:r>
      <w:r w:rsidRPr="00ED4F4B">
        <w:tab/>
        <w:t>This Division deals with giving and amending collection consents, use consents and disclosure consents, as well as related matters.</w:t>
      </w:r>
    </w:p>
    <w:p w14:paraId="5931BDD6" w14:textId="77777777" w:rsidR="00CF0E3D" w:rsidRPr="00F07699" w:rsidRDefault="00CF0E3D" w:rsidP="00CF0E3D">
      <w:pPr>
        <w:pStyle w:val="ActHead5"/>
      </w:pPr>
      <w:bookmarkStart w:id="168" w:name="_Toc50114037"/>
      <w:bookmarkStart w:id="169" w:name="_Toc50633077"/>
      <w:bookmarkStart w:id="170" w:name="_Toc57219027"/>
      <w:bookmarkStart w:id="171" w:name="_Toc59549138"/>
      <w:bookmarkStart w:id="172" w:name="_Toc74916134"/>
      <w:r w:rsidRPr="00F07699">
        <w:t>4.9  Object</w:t>
      </w:r>
      <w:bookmarkEnd w:id="168"/>
      <w:bookmarkEnd w:id="169"/>
      <w:bookmarkEnd w:id="170"/>
      <w:bookmarkEnd w:id="171"/>
      <w:bookmarkEnd w:id="172"/>
    </w:p>
    <w:p w14:paraId="644CAA4F" w14:textId="77777777" w:rsidR="00CF0E3D" w:rsidRPr="00F07699" w:rsidRDefault="00CF0E3D" w:rsidP="00CF0E3D">
      <w:pPr>
        <w:pStyle w:val="subsection"/>
      </w:pPr>
      <w:r w:rsidRPr="00F07699">
        <w:tab/>
      </w:r>
      <w:r w:rsidRPr="00F07699">
        <w:tab/>
        <w:t>The object of this Division is to ensure that a consent is:</w:t>
      </w:r>
    </w:p>
    <w:p w14:paraId="6C2E844B" w14:textId="77777777" w:rsidR="00CF0E3D" w:rsidRPr="00F07699" w:rsidRDefault="00CF0E3D" w:rsidP="00CF0E3D">
      <w:pPr>
        <w:pStyle w:val="paragraph"/>
      </w:pPr>
      <w:r w:rsidRPr="00F07699">
        <w:tab/>
        <w:t>(a)</w:t>
      </w:r>
      <w:r w:rsidRPr="00F07699">
        <w:tab/>
        <w:t>voluntary; and</w:t>
      </w:r>
    </w:p>
    <w:p w14:paraId="4F962B27" w14:textId="77777777" w:rsidR="00CF0E3D" w:rsidRPr="00F07699" w:rsidRDefault="00CF0E3D" w:rsidP="00CF0E3D">
      <w:pPr>
        <w:pStyle w:val="paragraph"/>
      </w:pPr>
      <w:r w:rsidRPr="00F07699">
        <w:tab/>
        <w:t>(b)</w:t>
      </w:r>
      <w:r w:rsidRPr="00F07699">
        <w:tab/>
        <w:t>express; and</w:t>
      </w:r>
    </w:p>
    <w:p w14:paraId="4F026563" w14:textId="77777777" w:rsidR="00CF0E3D" w:rsidRPr="00F07699" w:rsidRDefault="00CF0E3D" w:rsidP="00CF0E3D">
      <w:pPr>
        <w:pStyle w:val="paragraph"/>
      </w:pPr>
      <w:r w:rsidRPr="00F07699">
        <w:tab/>
        <w:t>(c)</w:t>
      </w:r>
      <w:r w:rsidRPr="00F07699">
        <w:tab/>
        <w:t>informed; and</w:t>
      </w:r>
    </w:p>
    <w:p w14:paraId="29F86839" w14:textId="77777777" w:rsidR="00CF0E3D" w:rsidRPr="00F07699" w:rsidRDefault="00CF0E3D" w:rsidP="00CF0E3D">
      <w:pPr>
        <w:pStyle w:val="paragraph"/>
      </w:pPr>
      <w:r w:rsidRPr="00F07699">
        <w:tab/>
        <w:t>(d)</w:t>
      </w:r>
      <w:r w:rsidRPr="00F07699">
        <w:tab/>
        <w:t>specific as to purpose; and</w:t>
      </w:r>
    </w:p>
    <w:p w14:paraId="39C323B5" w14:textId="77777777" w:rsidR="00CF0E3D" w:rsidRPr="00F07699" w:rsidRDefault="00CF0E3D" w:rsidP="00CF0E3D">
      <w:pPr>
        <w:pStyle w:val="paragraph"/>
      </w:pPr>
      <w:r w:rsidRPr="00F07699">
        <w:tab/>
        <w:t>(e)</w:t>
      </w:r>
      <w:r w:rsidRPr="00F07699">
        <w:tab/>
        <w:t>time limited; and</w:t>
      </w:r>
    </w:p>
    <w:p w14:paraId="0E3D97CC" w14:textId="77777777" w:rsidR="00CF0E3D" w:rsidRPr="00F07699" w:rsidRDefault="00CF0E3D" w:rsidP="00CF0E3D">
      <w:pPr>
        <w:pStyle w:val="paragraph"/>
      </w:pPr>
      <w:r w:rsidRPr="00F07699">
        <w:tab/>
        <w:t>(f)</w:t>
      </w:r>
      <w:r w:rsidRPr="00F07699">
        <w:tab/>
        <w:t>easily withdrawn.</w:t>
      </w:r>
    </w:p>
    <w:p w14:paraId="6BF513B2" w14:textId="77777777" w:rsidR="00CF0E3D" w:rsidRPr="00F07699" w:rsidRDefault="00CF0E3D" w:rsidP="00CF0E3D">
      <w:pPr>
        <w:pStyle w:val="ActHead4"/>
      </w:pPr>
      <w:bookmarkStart w:id="173" w:name="_Toc50633078"/>
      <w:bookmarkStart w:id="174" w:name="_Toc50114038"/>
      <w:bookmarkStart w:id="175" w:name="_Toc57219028"/>
      <w:bookmarkStart w:id="176" w:name="_Toc59549139"/>
      <w:bookmarkStart w:id="177" w:name="_Toc74916135"/>
      <w:r w:rsidRPr="00F07699">
        <w:t>Subdivision 4.3.2—</w:t>
      </w:r>
      <w:bookmarkEnd w:id="173"/>
      <w:r w:rsidRPr="00ED4F4B">
        <w:t>Giving consents</w:t>
      </w:r>
      <w:bookmarkEnd w:id="174"/>
      <w:bookmarkEnd w:id="175"/>
      <w:bookmarkEnd w:id="176"/>
      <w:bookmarkEnd w:id="177"/>
    </w:p>
    <w:p w14:paraId="34018269" w14:textId="77777777" w:rsidR="00CF0E3D" w:rsidRPr="00F07699" w:rsidRDefault="00CF0E3D" w:rsidP="00CF0E3D">
      <w:pPr>
        <w:pStyle w:val="notemargin"/>
      </w:pPr>
      <w:r w:rsidRPr="00F07699">
        <w:t>Note:</w:t>
      </w:r>
      <w:r w:rsidRPr="00F07699">
        <w:tab/>
        <w:t xml:space="preserve">Under rule 4.3, if an accredited person asks a CDR consumer for their consent to collect and use their CDR data, it must do so in accordance with this </w:t>
      </w:r>
      <w:r w:rsidRPr="00ED4F4B">
        <w:t>Division</w:t>
      </w:r>
      <w:r w:rsidRPr="00F07699">
        <w:t>, and in particular, rules 4.10, 4.11 and 4.12. A failure to do so could contravene one or more civil penalty provisions: see section 56EF of the Act and rule 4.3.</w:t>
      </w:r>
    </w:p>
    <w:p w14:paraId="38F4BB9B" w14:textId="77777777" w:rsidR="00CF0E3D" w:rsidRDefault="00CF0E3D" w:rsidP="00CF0E3D">
      <w:pPr>
        <w:pStyle w:val="ActHead5"/>
      </w:pPr>
      <w:bookmarkStart w:id="178" w:name="_Toc50114039"/>
      <w:bookmarkStart w:id="179" w:name="_Toc50633079"/>
      <w:bookmarkStart w:id="180" w:name="_Toc57560264"/>
      <w:bookmarkStart w:id="181" w:name="_Toc59549140"/>
      <w:bookmarkStart w:id="182" w:name="_Toc74916136"/>
      <w:bookmarkStart w:id="183" w:name="_Toc50114040"/>
      <w:bookmarkStart w:id="184" w:name="_Toc50633080"/>
      <w:bookmarkStart w:id="185" w:name="_Toc57219030"/>
      <w:r w:rsidRPr="00F07699">
        <w:t>4.10  Requirements relating to accredited person’s processes for seeking consent</w:t>
      </w:r>
      <w:bookmarkEnd w:id="178"/>
      <w:bookmarkEnd w:id="179"/>
      <w:bookmarkEnd w:id="180"/>
      <w:bookmarkEnd w:id="181"/>
      <w:bookmarkEnd w:id="182"/>
    </w:p>
    <w:p w14:paraId="1FCDEB66" w14:textId="77777777" w:rsidR="00CF0E3D" w:rsidRPr="00ED4F4B" w:rsidRDefault="00CF0E3D" w:rsidP="00CF0E3D">
      <w:pPr>
        <w:pStyle w:val="subsection"/>
      </w:pPr>
      <w:r w:rsidRPr="00ED4F4B">
        <w:tab/>
        <w:t>(1)</w:t>
      </w:r>
      <w:r w:rsidRPr="00ED4F4B">
        <w:tab/>
        <w:t>An accredited person’s processes for asking a CDR consumer to give and amend a consent:</w:t>
      </w:r>
    </w:p>
    <w:p w14:paraId="39CC6379" w14:textId="77777777" w:rsidR="00CF0E3D" w:rsidRPr="00ED4F4B" w:rsidRDefault="00CF0E3D" w:rsidP="00CF0E3D">
      <w:pPr>
        <w:pStyle w:val="paragraph"/>
      </w:pPr>
      <w:r w:rsidRPr="00ED4F4B">
        <w:tab/>
        <w:t>(a)</w:t>
      </w:r>
      <w:r w:rsidRPr="00ED4F4B">
        <w:tab/>
        <w:t>must:</w:t>
      </w:r>
    </w:p>
    <w:p w14:paraId="7110F45E" w14:textId="77777777" w:rsidR="00CF0E3D" w:rsidRPr="00ED4F4B" w:rsidRDefault="00CF0E3D" w:rsidP="00CF0E3D">
      <w:pPr>
        <w:pStyle w:val="paragraphsub"/>
      </w:pPr>
      <w:r w:rsidRPr="00ED4F4B">
        <w:tab/>
        <w:t>(i)</w:t>
      </w:r>
      <w:r w:rsidRPr="00ED4F4B">
        <w:tab/>
        <w:t>accord with any consumer experience data standards; and</w:t>
      </w:r>
    </w:p>
    <w:p w14:paraId="327BAB11" w14:textId="77777777" w:rsidR="00CF0E3D" w:rsidRPr="00ED4F4B" w:rsidRDefault="00CF0E3D" w:rsidP="00CF0E3D">
      <w:pPr>
        <w:pStyle w:val="paragraphsub"/>
      </w:pPr>
      <w:r w:rsidRPr="00ED4F4B">
        <w:tab/>
      </w:r>
      <w:r w:rsidRPr="00285CFD">
        <w:t>(ia)</w:t>
      </w:r>
      <w:r w:rsidRPr="00880559">
        <w:tab/>
      </w:r>
      <w:r w:rsidRPr="00880559">
        <w:tab/>
      </w:r>
      <w:r w:rsidRPr="00ED4F4B">
        <w:t>subject to subrule (2), accord with any other data standards; and</w:t>
      </w:r>
    </w:p>
    <w:p w14:paraId="4D5E7AD3" w14:textId="77777777" w:rsidR="00CF0E3D" w:rsidRPr="00ED4F4B" w:rsidRDefault="00CF0E3D" w:rsidP="00CF0E3D">
      <w:pPr>
        <w:pStyle w:val="paragraphsub"/>
      </w:pPr>
      <w:r w:rsidRPr="00ED4F4B">
        <w:tab/>
        <w:t>(ii)</w:t>
      </w:r>
      <w:r w:rsidRPr="00ED4F4B">
        <w:tab/>
        <w:t>having regard to any consumer experience guidelines developed by the Data Standards Body, be as easy to understand as practicable, including by use of concise language and, where appropriate, visual aids; and</w:t>
      </w:r>
    </w:p>
    <w:p w14:paraId="3C9ACDB7" w14:textId="77777777" w:rsidR="00CF0E3D" w:rsidRPr="00ED4F4B" w:rsidRDefault="00CF0E3D" w:rsidP="00CF0E3D">
      <w:pPr>
        <w:pStyle w:val="paragraph"/>
      </w:pPr>
      <w:r w:rsidRPr="00ED4F4B">
        <w:tab/>
        <w:t>(b)</w:t>
      </w:r>
      <w:r w:rsidRPr="00ED4F4B">
        <w:tab/>
        <w:t>must not:</w:t>
      </w:r>
    </w:p>
    <w:p w14:paraId="19D2AFE3" w14:textId="77777777" w:rsidR="00CF0E3D" w:rsidRPr="00ED4F4B" w:rsidRDefault="00CF0E3D" w:rsidP="00CF0E3D">
      <w:pPr>
        <w:pStyle w:val="paragraphsub"/>
      </w:pPr>
      <w:r w:rsidRPr="00ED4F4B">
        <w:tab/>
        <w:t>(i)</w:t>
      </w:r>
      <w:r w:rsidRPr="00ED4F4B">
        <w:tab/>
        <w:t>include or refer to the accredited person’s CDR policy or other documents so as to reduce comprehensibility; or</w:t>
      </w:r>
    </w:p>
    <w:p w14:paraId="42B2591A" w14:textId="77777777" w:rsidR="00CF0E3D" w:rsidRPr="00ED4F4B" w:rsidRDefault="00CF0E3D" w:rsidP="00CF0E3D">
      <w:pPr>
        <w:pStyle w:val="paragraphsub"/>
      </w:pPr>
      <w:r w:rsidRPr="00ED4F4B">
        <w:tab/>
        <w:t>(ii)</w:t>
      </w:r>
      <w:r w:rsidRPr="00ED4F4B">
        <w:tab/>
        <w:t>bundle consents with other directions, permissions, consents or agreements.</w:t>
      </w:r>
    </w:p>
    <w:p w14:paraId="4F1118C8" w14:textId="77777777" w:rsidR="00CF0E3D" w:rsidRPr="00ED4F4B" w:rsidRDefault="00CF0E3D" w:rsidP="00CF0E3D">
      <w:pPr>
        <w:pStyle w:val="subsection"/>
      </w:pPr>
      <w:r w:rsidRPr="00ED4F4B">
        <w:tab/>
        <w:t>(2)</w:t>
      </w:r>
      <w:r w:rsidRPr="00ED4F4B">
        <w:tab/>
        <w:t>Subparagraph (1)(a)(</w:t>
      </w:r>
      <w:r>
        <w:t>ia</w:t>
      </w:r>
      <w:r w:rsidRPr="00ED4F4B">
        <w:t>) does not apply to:</w:t>
      </w:r>
    </w:p>
    <w:p w14:paraId="5DF07E6E" w14:textId="77777777" w:rsidR="00CF0E3D" w:rsidRPr="00ED4F4B" w:rsidRDefault="00CF0E3D" w:rsidP="00CF0E3D">
      <w:pPr>
        <w:pStyle w:val="paragraph"/>
      </w:pPr>
      <w:r w:rsidRPr="00ED4F4B">
        <w:tab/>
        <w:t>(a)</w:t>
      </w:r>
      <w:r w:rsidRPr="00ED4F4B">
        <w:tab/>
        <w:t>a collection consent for collection of CDR data from an accredited data recipient; or</w:t>
      </w:r>
    </w:p>
    <w:p w14:paraId="6E2F30A1" w14:textId="77777777" w:rsidR="00CF0E3D" w:rsidRPr="00ED4F4B" w:rsidRDefault="00CF0E3D" w:rsidP="00CF0E3D">
      <w:pPr>
        <w:pStyle w:val="paragraph"/>
      </w:pPr>
      <w:r w:rsidRPr="00ED4F4B">
        <w:tab/>
        <w:t>(b)</w:t>
      </w:r>
      <w:r w:rsidRPr="00ED4F4B">
        <w:tab/>
        <w:t>a disclosure consent.</w:t>
      </w:r>
    </w:p>
    <w:p w14:paraId="23697532" w14:textId="77777777" w:rsidR="00CF0E3D" w:rsidRPr="00F07699" w:rsidRDefault="00CF0E3D" w:rsidP="00CF0E3D">
      <w:pPr>
        <w:pStyle w:val="ActHead5"/>
      </w:pPr>
      <w:bookmarkStart w:id="186" w:name="_Toc59549141"/>
      <w:bookmarkStart w:id="187" w:name="_Toc74916137"/>
      <w:r w:rsidRPr="00F07699">
        <w:t>4.11  Asking CDR consumer to give consent</w:t>
      </w:r>
      <w:bookmarkEnd w:id="183"/>
      <w:bookmarkEnd w:id="184"/>
      <w:bookmarkEnd w:id="185"/>
      <w:bookmarkEnd w:id="186"/>
      <w:bookmarkEnd w:id="187"/>
    </w:p>
    <w:p w14:paraId="1FC1B770" w14:textId="77777777" w:rsidR="00CF0E3D" w:rsidRPr="00ED4F4B" w:rsidRDefault="00CF0E3D" w:rsidP="00CF0E3D">
      <w:pPr>
        <w:pStyle w:val="SubsectionHead"/>
      </w:pPr>
      <w:r w:rsidRPr="00ED4F4B">
        <w:t>Asking CDR consumer to give consent</w:t>
      </w:r>
    </w:p>
    <w:p w14:paraId="65A706F9" w14:textId="77777777" w:rsidR="00CF0E3D" w:rsidRPr="00ED4F4B" w:rsidRDefault="00CF0E3D" w:rsidP="00CF0E3D">
      <w:pPr>
        <w:pStyle w:val="subsection"/>
      </w:pPr>
      <w:r w:rsidRPr="00ED4F4B">
        <w:tab/>
        <w:t>(1A)</w:t>
      </w:r>
      <w:r w:rsidRPr="00ED4F4B">
        <w:tab/>
        <w:t xml:space="preserve">An accredited person must not ask a CDR consumer to give a disclosure consent in relation to CDR data unless the consumer has already given the collection and use consents required to collect the CDR data to be disclosed. </w:t>
      </w:r>
    </w:p>
    <w:p w14:paraId="53C35CA4" w14:textId="77777777" w:rsidR="00CF0E3D" w:rsidRPr="00ED4F4B" w:rsidRDefault="00CF0E3D" w:rsidP="00CF0E3D">
      <w:pPr>
        <w:pStyle w:val="notetext"/>
      </w:pPr>
      <w:r w:rsidRPr="00ED4F4B">
        <w:t>Note:</w:t>
      </w:r>
      <w:r w:rsidRPr="00ED4F4B">
        <w:tab/>
        <w:t>This does not prevent the accredited person from asking for a disclosure consent in relation to CDR data that has yet to be collected.</w:t>
      </w:r>
    </w:p>
    <w:p w14:paraId="08C5E5C9" w14:textId="77777777" w:rsidR="00CF0E3D" w:rsidRPr="00ED4F4B" w:rsidRDefault="00CF0E3D" w:rsidP="00CF0E3D">
      <w:pPr>
        <w:pStyle w:val="subsection"/>
      </w:pPr>
      <w:r w:rsidRPr="00ED4F4B">
        <w:tab/>
        <w:t>(1)</w:t>
      </w:r>
      <w:r w:rsidRPr="00ED4F4B">
        <w:tab/>
        <w:t>When asking a CDR consumer to give a consent, an accredited person must:</w:t>
      </w:r>
    </w:p>
    <w:p w14:paraId="2B0CFA35" w14:textId="77777777" w:rsidR="00CF0E3D" w:rsidRPr="00ED4F4B" w:rsidRDefault="00CF0E3D" w:rsidP="00CF0E3D">
      <w:pPr>
        <w:pStyle w:val="paragraph"/>
      </w:pPr>
      <w:r w:rsidRPr="00ED4F4B">
        <w:tab/>
        <w:t>(a)</w:t>
      </w:r>
      <w:r w:rsidRPr="00ED4F4B">
        <w:tab/>
        <w:t>allow the CDR consumer to choose the types of CDR data to which the consent will apply by enabling the CDR consumer to actively select or otherwise clearly indicate:</w:t>
      </w:r>
    </w:p>
    <w:p w14:paraId="2BE780D9" w14:textId="77777777" w:rsidR="00CF0E3D" w:rsidRPr="00ED4F4B" w:rsidRDefault="00CF0E3D" w:rsidP="00CF0E3D">
      <w:pPr>
        <w:pStyle w:val="paragraphsub"/>
      </w:pPr>
      <w:r w:rsidRPr="00ED4F4B">
        <w:tab/>
        <w:t>(i)</w:t>
      </w:r>
      <w:r w:rsidRPr="00ED4F4B">
        <w:tab/>
        <w:t>in the case of a collection consent or a disclosure consent―the particular types of CDR data to which the consent will apply; and</w:t>
      </w:r>
    </w:p>
    <w:p w14:paraId="6B46C425" w14:textId="77777777" w:rsidR="00CF0E3D" w:rsidRPr="00ED4F4B" w:rsidRDefault="00CF0E3D" w:rsidP="00CF0E3D">
      <w:pPr>
        <w:pStyle w:val="paragraphsub"/>
      </w:pPr>
      <w:r w:rsidRPr="00ED4F4B">
        <w:tab/>
        <w:t>(ii)</w:t>
      </w:r>
      <w:r w:rsidRPr="00ED4F4B">
        <w:tab/>
        <w:t>in the case of a use consent―the specific uses of collected data to which they are consenting; and</w:t>
      </w:r>
    </w:p>
    <w:p w14:paraId="14DFABF1" w14:textId="77777777" w:rsidR="00CF0E3D" w:rsidRPr="00ED4F4B" w:rsidRDefault="00CF0E3D" w:rsidP="00CF0E3D">
      <w:pPr>
        <w:pStyle w:val="paragraph"/>
      </w:pPr>
      <w:r w:rsidRPr="00ED4F4B">
        <w:tab/>
        <w:t>(b)</w:t>
      </w:r>
      <w:r w:rsidRPr="00ED4F4B">
        <w:tab/>
        <w:t>allow the CDR consumer to choose the period of the collection consent, use consent, or disclosure consent (as appropriate) by enabling the CDR consumer to actively select or otherwise clearly indicate whether the consent would apply:</w:t>
      </w:r>
    </w:p>
    <w:p w14:paraId="63D3F0A0" w14:textId="77777777" w:rsidR="00CF0E3D" w:rsidRPr="00ED4F4B" w:rsidRDefault="00CF0E3D" w:rsidP="00CF0E3D">
      <w:pPr>
        <w:pStyle w:val="paragraphsub"/>
      </w:pPr>
      <w:r w:rsidRPr="00ED4F4B">
        <w:tab/>
        <w:t>(i)</w:t>
      </w:r>
      <w:r w:rsidRPr="00ED4F4B">
        <w:tab/>
        <w:t xml:space="preserve"> on a single occasion; or</w:t>
      </w:r>
    </w:p>
    <w:p w14:paraId="54C30D2E" w14:textId="77777777" w:rsidR="00CF0E3D" w:rsidRPr="00ED4F4B" w:rsidRDefault="00CF0E3D" w:rsidP="00CF0E3D">
      <w:pPr>
        <w:pStyle w:val="paragraphsub"/>
      </w:pPr>
      <w:r w:rsidRPr="00ED4F4B">
        <w:tab/>
        <w:t>(ii)</w:t>
      </w:r>
      <w:r w:rsidRPr="00ED4F4B">
        <w:tab/>
        <w:t xml:space="preserve"> over a specified period of time; and</w:t>
      </w:r>
    </w:p>
    <w:p w14:paraId="59DD7C7E" w14:textId="77777777" w:rsidR="00CF0E3D" w:rsidRPr="00ED4F4B" w:rsidRDefault="00CF0E3D" w:rsidP="00CF0E3D">
      <w:pPr>
        <w:pStyle w:val="paragraph"/>
      </w:pPr>
      <w:r w:rsidRPr="00ED4F4B">
        <w:tab/>
        <w:t>(ba)</w:t>
      </w:r>
      <w:r w:rsidRPr="00ED4F4B">
        <w:tab/>
        <w:t>in the case of a disclosure consent―allow the CDR consumer to select the person to whom the CDR data may be disclosed;</w:t>
      </w:r>
    </w:p>
    <w:p w14:paraId="20FDE55C" w14:textId="77777777" w:rsidR="00CF0E3D" w:rsidRPr="00ED4F4B" w:rsidRDefault="00CF0E3D" w:rsidP="00CF0E3D">
      <w:pPr>
        <w:pStyle w:val="paragraph"/>
      </w:pPr>
      <w:r w:rsidRPr="00ED4F4B">
        <w:tab/>
        <w:t>(c)</w:t>
      </w:r>
      <w:r w:rsidRPr="00ED4F4B">
        <w:tab/>
        <w:t>ask for the CDR consumer’s express consent to the choices referred to in paragraphs (a), (b) and (ba) for each relevant category of consents; and</w:t>
      </w:r>
    </w:p>
    <w:p w14:paraId="4754D05D" w14:textId="77777777" w:rsidR="00CF0E3D" w:rsidRPr="00ED4F4B" w:rsidRDefault="00CF0E3D" w:rsidP="00CF0E3D">
      <w:pPr>
        <w:pStyle w:val="paragraph"/>
      </w:pPr>
      <w:r w:rsidRPr="00ED4F4B">
        <w:tab/>
        <w:t>(d)</w:t>
      </w:r>
      <w:r w:rsidRPr="00ED4F4B">
        <w:tab/>
        <w:t>if the accredited person intends to charge a fee for disclosure of CDR data, or pass on to the CDR consumer a fee charged by a data holder for disclosure of CDR data:</w:t>
      </w:r>
    </w:p>
    <w:p w14:paraId="1BCA66BD" w14:textId="77777777" w:rsidR="00CF0E3D" w:rsidRPr="00ED4F4B" w:rsidRDefault="00CF0E3D" w:rsidP="00CF0E3D">
      <w:pPr>
        <w:pStyle w:val="paragraphsub"/>
      </w:pPr>
      <w:r w:rsidRPr="00ED4F4B">
        <w:tab/>
        <w:t>(i)</w:t>
      </w:r>
      <w:r w:rsidRPr="00ED4F4B">
        <w:tab/>
        <w:t>clearly distinguish between the CDR data for which a fee will, and will not, be charged or passed on; and</w:t>
      </w:r>
    </w:p>
    <w:p w14:paraId="3ED42A2A" w14:textId="77777777" w:rsidR="00CF0E3D" w:rsidRPr="00ED4F4B" w:rsidRDefault="00CF0E3D" w:rsidP="00CF0E3D">
      <w:pPr>
        <w:pStyle w:val="paragraphsub"/>
      </w:pPr>
      <w:r w:rsidRPr="00ED4F4B">
        <w:tab/>
        <w:t>(ii)</w:t>
      </w:r>
      <w:r w:rsidRPr="00ED4F4B">
        <w:tab/>
        <w:t>allow the CDR consumer to actively select or otherwise clearly indicate whether they consent to the collection or disclosure, as appropriate, of the CDR data for which a fee will be charged or passed on; and</w:t>
      </w:r>
    </w:p>
    <w:p w14:paraId="6C626E5D" w14:textId="77777777" w:rsidR="00CF0E3D" w:rsidRPr="00F07699" w:rsidRDefault="00CF0E3D" w:rsidP="00CF0E3D">
      <w:pPr>
        <w:pStyle w:val="paragraph"/>
      </w:pPr>
      <w:r>
        <w:tab/>
        <w:t>(e</w:t>
      </w:r>
      <w:r w:rsidRPr="00F07699">
        <w:t>)</w:t>
      </w:r>
      <w:r w:rsidRPr="00F07699">
        <w:tab/>
        <w:t>allow the CDR consumer to make an election in relation to deletion of redundant data in accordance with rule 4.16.</w:t>
      </w:r>
    </w:p>
    <w:p w14:paraId="1730CF36" w14:textId="77777777" w:rsidR="00CF0E3D" w:rsidRPr="00F07699" w:rsidRDefault="00CF0E3D" w:rsidP="00CF0E3D">
      <w:pPr>
        <w:pStyle w:val="notetext"/>
      </w:pPr>
      <w:r w:rsidRPr="00F07699">
        <w:t>Example:</w:t>
      </w:r>
      <w:r w:rsidRPr="00F07699">
        <w:tab/>
      </w:r>
      <w:r w:rsidRPr="00ED4F4B">
        <w:t xml:space="preserve">For a collection consent, an </w:t>
      </w:r>
      <w:r w:rsidRPr="00F07699">
        <w:t>accredited person could present the CDR consumer with a set of un</w:t>
      </w:r>
      <w:r w:rsidRPr="00F07699">
        <w:noBreakHyphen/>
        <w:t>filled boxes corresponding to different types of data, and permit the CDR consumer to select the boxes that correspond to the data they consent to the accredited person collecting.</w:t>
      </w:r>
    </w:p>
    <w:p w14:paraId="468A13F9" w14:textId="77777777" w:rsidR="00CF0E3D" w:rsidRPr="00F07699" w:rsidRDefault="00CF0E3D" w:rsidP="00CF0E3D">
      <w:pPr>
        <w:pStyle w:val="notetext"/>
      </w:pPr>
      <w:r w:rsidRPr="00F07699">
        <w:t>Note 1:</w:t>
      </w:r>
      <w:r w:rsidRPr="00F07699">
        <w:tab/>
        <w:t>An accredited person could not infer consent, or seek to rely on an implied consent.</w:t>
      </w:r>
    </w:p>
    <w:p w14:paraId="3A2D0AA1" w14:textId="77777777" w:rsidR="00CF0E3D" w:rsidRPr="00F07699" w:rsidRDefault="00CF0E3D" w:rsidP="00CF0E3D">
      <w:pPr>
        <w:pStyle w:val="notetext"/>
      </w:pPr>
      <w:r w:rsidRPr="00F07699">
        <w:t>Note 2:</w:t>
      </w:r>
      <w:r w:rsidRPr="00F07699">
        <w:tab/>
        <w:t>For paragraph (b), the specified period may not be more than 12 months: see subrule 4.12(1). After the end of the period, redundant data would need to be dealt with in accordance with subsection 56EO(2) of the Act (privacy safeguard 12) and rules 7.12 and 7.13.</w:t>
      </w:r>
    </w:p>
    <w:p w14:paraId="6CFD8DCA" w14:textId="77777777" w:rsidR="00CF0E3D" w:rsidRPr="00ED4F4B" w:rsidRDefault="00CF0E3D" w:rsidP="00CF0E3D">
      <w:pPr>
        <w:pStyle w:val="notetext"/>
      </w:pPr>
      <w:r w:rsidRPr="00ED4F4B">
        <w:t xml:space="preserve">Note 3: </w:t>
      </w:r>
      <w:r w:rsidRPr="00ED4F4B">
        <w:tab/>
        <w:t>For paragraph (d), a data holder could charge a fee for disclosure of voluntary consumer data, while an accredited data recipient could charge a fee for the disclosure of any CDR data.</w:t>
      </w:r>
    </w:p>
    <w:p w14:paraId="56356D47" w14:textId="77777777" w:rsidR="00CF0E3D" w:rsidRPr="00F07699" w:rsidRDefault="00CF0E3D" w:rsidP="00CF0E3D">
      <w:pPr>
        <w:pStyle w:val="subsection"/>
      </w:pPr>
      <w:r w:rsidRPr="00F07699">
        <w:tab/>
        <w:t>(2)</w:t>
      </w:r>
      <w:r w:rsidRPr="00F07699">
        <w:tab/>
        <w:t>The accredited person must not present pre</w:t>
      </w:r>
      <w:r w:rsidRPr="00F07699">
        <w:noBreakHyphen/>
        <w:t>selected options to the CDR consumer for the purposes of subrule (1).</w:t>
      </w:r>
    </w:p>
    <w:p w14:paraId="5AAE1009" w14:textId="77777777" w:rsidR="00CF0E3D" w:rsidRPr="00F07699" w:rsidRDefault="00CF0E3D" w:rsidP="00CF0E3D">
      <w:pPr>
        <w:pStyle w:val="SubsectionHead"/>
      </w:pPr>
      <w:r w:rsidRPr="00F07699">
        <w:t>Information presented to CDR consumer when asking for consent</w:t>
      </w:r>
    </w:p>
    <w:p w14:paraId="62AA21E7" w14:textId="77777777" w:rsidR="00CF0E3D" w:rsidRPr="00ED4F4B" w:rsidRDefault="00CF0E3D" w:rsidP="00CF0E3D">
      <w:pPr>
        <w:pStyle w:val="subsection"/>
      </w:pPr>
      <w:r w:rsidRPr="00ED4F4B">
        <w:tab/>
        <w:t>(3)</w:t>
      </w:r>
      <w:r w:rsidRPr="00ED4F4B">
        <w:tab/>
        <w:t>When asking a CDR consumer to give consent, the accredited person must give the CDR consumer the following information:</w:t>
      </w:r>
    </w:p>
    <w:p w14:paraId="33E385B1" w14:textId="77777777" w:rsidR="00CF0E3D" w:rsidRPr="00ED4F4B" w:rsidRDefault="00CF0E3D" w:rsidP="00CF0E3D">
      <w:pPr>
        <w:pStyle w:val="paragraph"/>
      </w:pPr>
      <w:r w:rsidRPr="00ED4F4B">
        <w:tab/>
        <w:t>(a)</w:t>
      </w:r>
      <w:r w:rsidRPr="00ED4F4B">
        <w:tab/>
        <w:t>its name;</w:t>
      </w:r>
    </w:p>
    <w:p w14:paraId="3A8CAAEC" w14:textId="77777777" w:rsidR="00CF0E3D" w:rsidRPr="00ED4F4B" w:rsidRDefault="00CF0E3D" w:rsidP="00CF0E3D">
      <w:pPr>
        <w:pStyle w:val="paragraph"/>
      </w:pPr>
      <w:r w:rsidRPr="00ED4F4B">
        <w:tab/>
        <w:t>(b)</w:t>
      </w:r>
      <w:r w:rsidRPr="00ED4F4B">
        <w:tab/>
        <w:t>its accreditation number;</w:t>
      </w:r>
    </w:p>
    <w:p w14:paraId="4185EE7C" w14:textId="77777777" w:rsidR="00CF0E3D" w:rsidRPr="00ED4F4B" w:rsidRDefault="00CF0E3D" w:rsidP="00CF0E3D">
      <w:pPr>
        <w:pStyle w:val="paragraph"/>
      </w:pPr>
      <w:r w:rsidRPr="00ED4F4B">
        <w:tab/>
        <w:t>(c)</w:t>
      </w:r>
      <w:r w:rsidRPr="00ED4F4B">
        <w:tab/>
        <w:t>in the case of a collection consent or a use consent―how the collection or use (as applicable) indicated in accordance with subrule (1) complies with the data minimisation principle, including how:</w:t>
      </w:r>
    </w:p>
    <w:p w14:paraId="4A1AE137" w14:textId="77777777" w:rsidR="00CF0E3D" w:rsidRPr="00ED4F4B" w:rsidRDefault="00CF0E3D" w:rsidP="00CF0E3D">
      <w:pPr>
        <w:pStyle w:val="paragraphsub"/>
      </w:pPr>
      <w:r w:rsidRPr="00ED4F4B">
        <w:tab/>
        <w:t>(i)</w:t>
      </w:r>
      <w:r w:rsidRPr="00ED4F4B">
        <w:tab/>
        <w:t>in the case of a collection c</w:t>
      </w:r>
      <w:r>
        <w:t xml:space="preserve">onsent―that collection </w:t>
      </w:r>
      <w:r w:rsidRPr="00ED4F4B">
        <w:t>is reasonably needed, and relates to no longer a time period than is reasonably needed; and</w:t>
      </w:r>
    </w:p>
    <w:p w14:paraId="043ED07A" w14:textId="77777777" w:rsidR="00CF0E3D" w:rsidRPr="00ED4F4B" w:rsidRDefault="00CF0E3D" w:rsidP="00CF0E3D">
      <w:pPr>
        <w:pStyle w:val="paragraphsub"/>
      </w:pPr>
      <w:r w:rsidRPr="00ED4F4B">
        <w:tab/>
        <w:t>(ii)</w:t>
      </w:r>
      <w:r w:rsidRPr="00ED4F4B">
        <w:tab/>
        <w:t>in the case of a use consent―that use would not go beyond what is reasonably needed;</w:t>
      </w:r>
    </w:p>
    <w:p w14:paraId="78D09575" w14:textId="77777777" w:rsidR="00CF0E3D" w:rsidRDefault="00CF0E3D" w:rsidP="00CF0E3D">
      <w:pPr>
        <w:pStyle w:val="paragraph"/>
      </w:pPr>
      <w:r w:rsidRPr="00ED4F4B">
        <w:tab/>
      </w:r>
      <w:r w:rsidRPr="00ED4F4B">
        <w:tab/>
        <w:t>in order to provide the requested goods or services to the CDR consumer or make the other uses consented to;</w:t>
      </w:r>
    </w:p>
    <w:p w14:paraId="29DD86F2" w14:textId="7185C590" w:rsidR="009C3B77" w:rsidRPr="00BC78CF" w:rsidRDefault="009C3B77" w:rsidP="00CF0E3D">
      <w:pPr>
        <w:pStyle w:val="paragraph"/>
        <w:rPr>
          <w:color w:val="FF0000"/>
        </w:rPr>
      </w:pPr>
      <w:r w:rsidRPr="00BC78CF">
        <w:rPr>
          <w:color w:val="FF0000"/>
        </w:rPr>
        <w:tab/>
        <w:t>(ca)</w:t>
      </w:r>
      <w:r w:rsidRPr="00BC78CF">
        <w:rPr>
          <w:color w:val="FF0000"/>
        </w:rPr>
        <w:tab/>
        <w:t>in the case of an insight disclosure consent—an explanation of the CDR insight that will make clear to the CDR consumer what the CDR insight would reveal or describe;</w:t>
      </w:r>
    </w:p>
    <w:p w14:paraId="7502B218" w14:textId="77777777" w:rsidR="00CF0E3D" w:rsidRPr="00ED4F4B" w:rsidRDefault="00CF0E3D" w:rsidP="00CF0E3D">
      <w:pPr>
        <w:pStyle w:val="paragraph"/>
      </w:pPr>
      <w:r w:rsidRPr="0032505D">
        <w:tab/>
        <w:t>(</w:t>
      </w:r>
      <w:r w:rsidRPr="00ED4F4B">
        <w:t>d)</w:t>
      </w:r>
      <w:r w:rsidRPr="00ED4F4B">
        <w:tab/>
        <w:t>if the accredited person intends passing a fee on, or charging a fee, to the CDR consumer a</w:t>
      </w:r>
      <w:r>
        <w:t>s described in paragraph (1)(d)</w:t>
      </w:r>
      <w:r w:rsidRPr="00ED4F4B">
        <w:t>―the following information:</w:t>
      </w:r>
    </w:p>
    <w:p w14:paraId="03774805" w14:textId="77777777" w:rsidR="00CF0E3D" w:rsidRPr="00ED4F4B" w:rsidRDefault="00CF0E3D" w:rsidP="00CF0E3D">
      <w:pPr>
        <w:pStyle w:val="paragraphsub"/>
      </w:pPr>
      <w:r w:rsidRPr="00ED4F4B">
        <w:tab/>
        <w:t>(i)</w:t>
      </w:r>
      <w:r w:rsidRPr="00ED4F4B">
        <w:tab/>
        <w:t>the amount of the fee;</w:t>
      </w:r>
    </w:p>
    <w:p w14:paraId="1212A0B1" w14:textId="77777777" w:rsidR="00CF0E3D" w:rsidRPr="00ED4F4B" w:rsidRDefault="00CF0E3D" w:rsidP="00CF0E3D">
      <w:pPr>
        <w:pStyle w:val="paragraphsub"/>
      </w:pPr>
      <w:r w:rsidRPr="00ED4F4B">
        <w:tab/>
        <w:t>(ii)</w:t>
      </w:r>
      <w:r w:rsidRPr="00ED4F4B">
        <w:tab/>
        <w:t>the consequences if the CDR consumer does not consent to the collection, or to the disclosure, of that data;</w:t>
      </w:r>
    </w:p>
    <w:p w14:paraId="6FAB549B" w14:textId="77777777" w:rsidR="00CF0E3D" w:rsidRPr="00F07699" w:rsidRDefault="00CF0E3D" w:rsidP="00CF0E3D">
      <w:pPr>
        <w:pStyle w:val="paragraph"/>
      </w:pPr>
      <w:r w:rsidRPr="00F07699">
        <w:tab/>
        <w:t>(e)</w:t>
      </w:r>
      <w:r w:rsidRPr="00F07699">
        <w:tab/>
        <w:t xml:space="preserve">if the accredited person is </w:t>
      </w:r>
      <w:r w:rsidRPr="00ED309B">
        <w:t xml:space="preserve">seeking a </w:t>
      </w:r>
      <w:r w:rsidRPr="00880559">
        <w:t>de</w:t>
      </w:r>
      <w:r w:rsidRPr="00880559">
        <w:noBreakHyphen/>
        <w:t>identification consent</w:t>
      </w:r>
      <w:r w:rsidRPr="00F07699">
        <w:t>—the additional information specified in rule 4.15;</w:t>
      </w:r>
    </w:p>
    <w:p w14:paraId="1AD9A1E4" w14:textId="77777777" w:rsidR="00CF0E3D" w:rsidRPr="00F07699" w:rsidRDefault="00CF0E3D" w:rsidP="00CF0E3D">
      <w:pPr>
        <w:pStyle w:val="paragraph"/>
      </w:pPr>
      <w:r w:rsidRPr="00F07699">
        <w:tab/>
        <w:t>(f)</w:t>
      </w:r>
      <w:r w:rsidRPr="00F07699">
        <w:tab/>
        <w:t>if the CDR data may be disclosed to, or collected by, an outsourced service provider (including one that is based overseas) of the accredited person:</w:t>
      </w:r>
    </w:p>
    <w:p w14:paraId="2A246ABE" w14:textId="77777777" w:rsidR="00CF0E3D" w:rsidRPr="00F07699" w:rsidRDefault="00CF0E3D" w:rsidP="00CF0E3D">
      <w:pPr>
        <w:pStyle w:val="paragraphsub"/>
      </w:pPr>
      <w:r w:rsidRPr="00F07699">
        <w:tab/>
        <w:t>(i)</w:t>
      </w:r>
      <w:r w:rsidRPr="00F07699">
        <w:tab/>
        <w:t>a statement of that fact; and</w:t>
      </w:r>
    </w:p>
    <w:p w14:paraId="521FB65E" w14:textId="77777777" w:rsidR="00CF0E3D" w:rsidRPr="00F07699" w:rsidRDefault="00CF0E3D" w:rsidP="00CF0E3D">
      <w:pPr>
        <w:pStyle w:val="paragraphsub"/>
      </w:pPr>
      <w:r w:rsidRPr="00F07699">
        <w:tab/>
        <w:t>(ii)</w:t>
      </w:r>
      <w:r w:rsidRPr="00F07699">
        <w:tab/>
        <w:t>a link to the accredited person’s CDR policy; and</w:t>
      </w:r>
    </w:p>
    <w:p w14:paraId="25A40898" w14:textId="77777777" w:rsidR="00CF0E3D" w:rsidRPr="00F07699" w:rsidRDefault="00CF0E3D" w:rsidP="00CF0E3D">
      <w:pPr>
        <w:pStyle w:val="paragraphsub"/>
      </w:pPr>
      <w:r w:rsidRPr="00F07699">
        <w:tab/>
        <w:t>(iii)</w:t>
      </w:r>
      <w:r w:rsidRPr="00F07699">
        <w:tab/>
        <w:t>a statement that the consumer can obtain further information about such disclosures from the policy if desired;</w:t>
      </w:r>
    </w:p>
    <w:p w14:paraId="20EA7DE5" w14:textId="77777777" w:rsidR="00CF0E3D" w:rsidRPr="00F07699" w:rsidRDefault="00CF0E3D" w:rsidP="00CF0E3D">
      <w:pPr>
        <w:pStyle w:val="paragraph"/>
      </w:pPr>
      <w:r w:rsidRPr="00F07699">
        <w:tab/>
        <w:t>(g)</w:t>
      </w:r>
      <w:r w:rsidRPr="00F07699">
        <w:tab/>
        <w:t>the following information about withdrawal of consents:</w:t>
      </w:r>
    </w:p>
    <w:p w14:paraId="5EEC8964" w14:textId="77777777" w:rsidR="00CF0E3D" w:rsidRPr="00F07699" w:rsidRDefault="00CF0E3D" w:rsidP="00CF0E3D">
      <w:pPr>
        <w:pStyle w:val="paragraphsub"/>
      </w:pPr>
      <w:r w:rsidRPr="00F07699">
        <w:tab/>
        <w:t>(i)</w:t>
      </w:r>
      <w:r w:rsidRPr="00F07699">
        <w:tab/>
        <w:t>a statement that, at any time, the consent can be withdrawn;</w:t>
      </w:r>
    </w:p>
    <w:p w14:paraId="335F9AF2" w14:textId="77777777" w:rsidR="00CF0E3D" w:rsidRPr="00F07699" w:rsidRDefault="00CF0E3D" w:rsidP="00CF0E3D">
      <w:pPr>
        <w:pStyle w:val="paragraphsub"/>
      </w:pPr>
      <w:r w:rsidRPr="00F07699">
        <w:tab/>
        <w:t>(ii)</w:t>
      </w:r>
      <w:r w:rsidRPr="00F07699">
        <w:tab/>
        <w:t>instructions for how the consent can be withdrawn;</w:t>
      </w:r>
    </w:p>
    <w:p w14:paraId="75C7F2AE" w14:textId="77777777" w:rsidR="00CF0E3D" w:rsidRPr="00F07699" w:rsidRDefault="00CF0E3D" w:rsidP="00CF0E3D">
      <w:pPr>
        <w:pStyle w:val="paragraphsub"/>
      </w:pPr>
      <w:r w:rsidRPr="00F07699">
        <w:tab/>
        <w:t>(iii)</w:t>
      </w:r>
      <w:r w:rsidRPr="00F07699">
        <w:tab/>
        <w:t>a statement indicating the consequences (if any) to the CDR consumer if they withdraw the consent;</w:t>
      </w:r>
    </w:p>
    <w:p w14:paraId="12B5E2F7" w14:textId="77777777" w:rsidR="00CF0E3D" w:rsidRPr="00F07699" w:rsidRDefault="00CF0E3D" w:rsidP="00CF0E3D">
      <w:pPr>
        <w:pStyle w:val="paragraph"/>
      </w:pPr>
      <w:r w:rsidRPr="00F07699">
        <w:tab/>
        <w:t>(h)</w:t>
      </w:r>
      <w:r w:rsidRPr="00F07699">
        <w:tab/>
        <w:t>the following information about redundant data:</w:t>
      </w:r>
    </w:p>
    <w:p w14:paraId="66D0EAFB" w14:textId="77777777" w:rsidR="00CF0E3D" w:rsidRPr="00F07699" w:rsidRDefault="00CF0E3D" w:rsidP="00CF0E3D">
      <w:pPr>
        <w:pStyle w:val="paragraphsub"/>
      </w:pPr>
      <w:r w:rsidRPr="00F07699">
        <w:tab/>
        <w:t>(i)</w:t>
      </w:r>
      <w:r w:rsidRPr="00F07699">
        <w:tab/>
        <w:t>a statement, in accordance with rule 4.17, regarding the accredited person’s intended treatment of redundant data;</w:t>
      </w:r>
    </w:p>
    <w:p w14:paraId="77D3836F" w14:textId="77777777" w:rsidR="00CF0E3D" w:rsidRPr="00F07699" w:rsidRDefault="00CF0E3D" w:rsidP="00CF0E3D">
      <w:pPr>
        <w:pStyle w:val="paragraphsub"/>
      </w:pPr>
      <w:r w:rsidRPr="00F07699">
        <w:tab/>
        <w:t>(ii)</w:t>
      </w:r>
      <w:r w:rsidRPr="00F07699">
        <w:tab/>
        <w:t>a statement outlining the CDR consumer’s right to elect that their redundant data be deleted;</w:t>
      </w:r>
    </w:p>
    <w:p w14:paraId="2A6631A9" w14:textId="6CA7AE23" w:rsidR="00A72C8A" w:rsidRPr="00A72C8A" w:rsidRDefault="00CF0E3D" w:rsidP="00A72C8A">
      <w:pPr>
        <w:pStyle w:val="paragraphsub"/>
      </w:pPr>
      <w:r w:rsidRPr="00F07699">
        <w:tab/>
        <w:t>(iii)</w:t>
      </w:r>
      <w:r w:rsidRPr="00F07699">
        <w:tab/>
        <w:t xml:space="preserve">instructions </w:t>
      </w:r>
      <w:r>
        <w:t>for how the election can be made</w:t>
      </w:r>
      <w:r w:rsidR="00A72C8A" w:rsidRPr="00BC78CF">
        <w:rPr>
          <w:color w:val="FF0000"/>
        </w:rPr>
        <w:t>;</w:t>
      </w:r>
      <w:r w:rsidR="00A72C8A" w:rsidRPr="00A72C8A">
        <w:t xml:space="preserve"> </w:t>
      </w:r>
    </w:p>
    <w:p w14:paraId="15E22179" w14:textId="12071F01" w:rsidR="00A72C8A" w:rsidRPr="00BC78CF" w:rsidRDefault="00A72C8A" w:rsidP="00A72C8A">
      <w:pPr>
        <w:pStyle w:val="paragraph"/>
        <w:rPr>
          <w:color w:val="FF0000"/>
        </w:rPr>
      </w:pPr>
      <w:r w:rsidRPr="00BC78CF">
        <w:rPr>
          <w:color w:val="FF0000"/>
        </w:rPr>
        <w:tab/>
        <w:t>(i)</w:t>
      </w:r>
      <w:r w:rsidRPr="00BC78CF">
        <w:rPr>
          <w:color w:val="FF0000"/>
        </w:rPr>
        <w:tab/>
      </w:r>
      <w:r w:rsidR="002403AE" w:rsidRPr="00BC78CF">
        <w:rPr>
          <w:color w:val="FF0000"/>
        </w:rPr>
        <w:t xml:space="preserve">if the accredited person is an affiliate and the CDR data will be collected by a sponsor </w:t>
      </w:r>
      <w:r w:rsidR="00FD3D31" w:rsidRPr="00BC78CF">
        <w:rPr>
          <w:color w:val="FF0000"/>
        </w:rPr>
        <w:t>at its request</w:t>
      </w:r>
      <w:r w:rsidR="002403AE" w:rsidRPr="00BC78CF">
        <w:rPr>
          <w:color w:val="FF0000"/>
        </w:rPr>
        <w:t>;</w:t>
      </w:r>
    </w:p>
    <w:p w14:paraId="1F2AEC36" w14:textId="77777777" w:rsidR="00A72C8A" w:rsidRPr="00BC78CF" w:rsidRDefault="00A72C8A" w:rsidP="00A72C8A">
      <w:pPr>
        <w:pStyle w:val="paragraphsub"/>
        <w:rPr>
          <w:color w:val="FF0000"/>
        </w:rPr>
      </w:pPr>
      <w:r w:rsidRPr="00BC78CF">
        <w:rPr>
          <w:color w:val="FF0000"/>
        </w:rPr>
        <w:tab/>
        <w:t>(i)</w:t>
      </w:r>
      <w:r w:rsidRPr="00BC78CF">
        <w:rPr>
          <w:color w:val="FF0000"/>
        </w:rPr>
        <w:tab/>
        <w:t>a statement of that fact; and</w:t>
      </w:r>
    </w:p>
    <w:p w14:paraId="4CB49182" w14:textId="0B0F4E35" w:rsidR="00A72C8A" w:rsidRPr="00BC78CF" w:rsidRDefault="00A72C8A" w:rsidP="00A72C8A">
      <w:pPr>
        <w:pStyle w:val="paragraphsub"/>
        <w:rPr>
          <w:color w:val="FF0000"/>
        </w:rPr>
      </w:pPr>
      <w:r w:rsidRPr="00BC78CF">
        <w:rPr>
          <w:color w:val="FF0000"/>
        </w:rPr>
        <w:tab/>
        <w:t>(ii)</w:t>
      </w:r>
      <w:r w:rsidRPr="00BC78CF">
        <w:rPr>
          <w:color w:val="FF0000"/>
        </w:rPr>
        <w:tab/>
        <w:t xml:space="preserve">the </w:t>
      </w:r>
      <w:r w:rsidR="002403AE" w:rsidRPr="00BC78CF">
        <w:rPr>
          <w:color w:val="FF0000"/>
        </w:rPr>
        <w:t>sponsor</w:t>
      </w:r>
      <w:r w:rsidRPr="00BC78CF">
        <w:rPr>
          <w:color w:val="FF0000"/>
        </w:rPr>
        <w:t>’s name; and</w:t>
      </w:r>
    </w:p>
    <w:p w14:paraId="463F036A" w14:textId="2FDFBD7F" w:rsidR="00A72C8A" w:rsidRPr="00BC78CF" w:rsidRDefault="00A72C8A" w:rsidP="00A72C8A">
      <w:pPr>
        <w:pStyle w:val="paragraphsub"/>
        <w:rPr>
          <w:color w:val="FF0000"/>
        </w:rPr>
      </w:pPr>
      <w:r w:rsidRPr="00BC78CF">
        <w:rPr>
          <w:color w:val="FF0000"/>
        </w:rPr>
        <w:tab/>
        <w:t>(iii)</w:t>
      </w:r>
      <w:r w:rsidRPr="00BC78CF">
        <w:rPr>
          <w:color w:val="FF0000"/>
        </w:rPr>
        <w:tab/>
        <w:t xml:space="preserve">the </w:t>
      </w:r>
      <w:r w:rsidR="002403AE" w:rsidRPr="00BC78CF">
        <w:rPr>
          <w:color w:val="FF0000"/>
        </w:rPr>
        <w:t>sponsor</w:t>
      </w:r>
      <w:r w:rsidRPr="00BC78CF">
        <w:rPr>
          <w:color w:val="FF0000"/>
        </w:rPr>
        <w:t>’s accreditation number; and</w:t>
      </w:r>
    </w:p>
    <w:p w14:paraId="7A72D584" w14:textId="7816D95D" w:rsidR="00A72C8A" w:rsidRPr="00BC78CF" w:rsidRDefault="00A72C8A" w:rsidP="00A72C8A">
      <w:pPr>
        <w:pStyle w:val="paragraphsub"/>
        <w:rPr>
          <w:color w:val="FF0000"/>
        </w:rPr>
      </w:pPr>
      <w:r w:rsidRPr="00BC78CF">
        <w:rPr>
          <w:color w:val="FF0000"/>
        </w:rPr>
        <w:tab/>
        <w:t>(iv)</w:t>
      </w:r>
      <w:r w:rsidRPr="00BC78CF">
        <w:rPr>
          <w:color w:val="FF0000"/>
        </w:rPr>
        <w:tab/>
        <w:t xml:space="preserve">a link to the </w:t>
      </w:r>
      <w:r w:rsidR="002403AE" w:rsidRPr="00BC78CF">
        <w:rPr>
          <w:color w:val="FF0000"/>
        </w:rPr>
        <w:t>sponsor</w:t>
      </w:r>
      <w:r w:rsidRPr="00BC78CF">
        <w:rPr>
          <w:color w:val="FF0000"/>
        </w:rPr>
        <w:t>’s CDR policy; and</w:t>
      </w:r>
    </w:p>
    <w:p w14:paraId="22762B41" w14:textId="7ED23B50" w:rsidR="00A72C8A" w:rsidRPr="00BC78CF" w:rsidRDefault="00A72C8A" w:rsidP="00A72C8A">
      <w:pPr>
        <w:pStyle w:val="paragraphsub"/>
        <w:rPr>
          <w:color w:val="FF0000"/>
        </w:rPr>
      </w:pPr>
      <w:r w:rsidRPr="00BC78CF">
        <w:rPr>
          <w:color w:val="FF0000"/>
        </w:rPr>
        <w:tab/>
        <w:t>(v)</w:t>
      </w:r>
      <w:r w:rsidRPr="00BC78CF">
        <w:rPr>
          <w:color w:val="FF0000"/>
        </w:rPr>
        <w:tab/>
        <w:t xml:space="preserve">a statement that the CDR consumer can obtain further information about such collections or disclosures from the </w:t>
      </w:r>
      <w:r w:rsidR="002403AE" w:rsidRPr="00BC78CF">
        <w:rPr>
          <w:color w:val="FF0000"/>
        </w:rPr>
        <w:t>sponsor</w:t>
      </w:r>
      <w:r w:rsidRPr="00BC78CF">
        <w:rPr>
          <w:color w:val="FF0000"/>
        </w:rPr>
        <w:t>’s CDR policy if desired.</w:t>
      </w:r>
    </w:p>
    <w:p w14:paraId="54ED7F76" w14:textId="77777777" w:rsidR="00CF0E3D" w:rsidRPr="00F07699" w:rsidRDefault="00CF0E3D" w:rsidP="00CF0E3D">
      <w:pPr>
        <w:pStyle w:val="notetext"/>
      </w:pPr>
      <w:r w:rsidRPr="00F07699">
        <w:t xml:space="preserve">Note: </w:t>
      </w:r>
      <w:r w:rsidRPr="00F07699">
        <w:tab/>
        <w:t>For paragraph (c), if the accredited person is seeking the CDR consumer’s consent to de</w:t>
      </w:r>
      <w:r w:rsidRPr="00F07699">
        <w:noBreakHyphen/>
        <w:t>identification as referred to in paragraph (e), the accredited person would need to indicate how that would comply with the data minimisation principle.</w:t>
      </w:r>
    </w:p>
    <w:p w14:paraId="363FB4C6" w14:textId="77777777" w:rsidR="00CF0E3D" w:rsidRPr="00F07699" w:rsidRDefault="00CF0E3D" w:rsidP="00CF0E3D">
      <w:pPr>
        <w:pStyle w:val="ActHead5"/>
      </w:pPr>
      <w:bookmarkStart w:id="188" w:name="_Toc50114041"/>
      <w:bookmarkStart w:id="189" w:name="_Toc50633081"/>
      <w:bookmarkStart w:id="190" w:name="_Toc57219031"/>
      <w:bookmarkStart w:id="191" w:name="_Toc59549142"/>
      <w:bookmarkStart w:id="192" w:name="_Toc74916138"/>
      <w:r w:rsidRPr="00F07699">
        <w:t>4.12  Restrictions on seeking consent</w:t>
      </w:r>
      <w:bookmarkEnd w:id="188"/>
      <w:bookmarkEnd w:id="189"/>
      <w:bookmarkEnd w:id="190"/>
      <w:bookmarkEnd w:id="191"/>
      <w:bookmarkEnd w:id="192"/>
    </w:p>
    <w:p w14:paraId="4506E0C7" w14:textId="77777777" w:rsidR="00CF0E3D" w:rsidRPr="00F07699" w:rsidRDefault="00CF0E3D" w:rsidP="00CF0E3D">
      <w:pPr>
        <w:pStyle w:val="subsection"/>
      </w:pPr>
      <w:r w:rsidRPr="00F07699">
        <w:tab/>
        <w:t>(1)</w:t>
      </w:r>
      <w:r w:rsidRPr="00F07699">
        <w:tab/>
        <w:t>An accredited person must not specify a period of time for the purposes of paragraph 4.11(1)(b) that is more than 12 months.</w:t>
      </w:r>
    </w:p>
    <w:p w14:paraId="33EA0BC2" w14:textId="77777777" w:rsidR="00CF0E3D" w:rsidRPr="00533E3F" w:rsidRDefault="00CF0E3D" w:rsidP="00CF0E3D">
      <w:pPr>
        <w:pStyle w:val="subsection"/>
      </w:pPr>
      <w:r w:rsidRPr="00F07699">
        <w:tab/>
        <w:t>(2)</w:t>
      </w:r>
      <w:r w:rsidRPr="00F07699">
        <w:tab/>
        <w:t xml:space="preserve">An accredited person must not ask </w:t>
      </w:r>
      <w:r w:rsidRPr="00533E3F">
        <w:t>for a colle</w:t>
      </w:r>
      <w:r>
        <w:t xml:space="preserve">ction consent or a use consent </w:t>
      </w:r>
      <w:r w:rsidRPr="00533E3F">
        <w:t>unless it would comply with the data minimisation principle in respect of that collection or those uses.</w:t>
      </w:r>
    </w:p>
    <w:p w14:paraId="34D1E6AC" w14:textId="77777777" w:rsidR="00CF0E3D" w:rsidRPr="00533E3F" w:rsidRDefault="00CF0E3D" w:rsidP="00CF0E3D">
      <w:pPr>
        <w:pStyle w:val="notetext"/>
      </w:pPr>
      <w:r w:rsidRPr="00533E3F">
        <w:t>Note:</w:t>
      </w:r>
      <w:r w:rsidRPr="00533E3F">
        <w:tab/>
        <w:t>See rule 1.8 for the definition of “data minimisation principle”.</w:t>
      </w:r>
    </w:p>
    <w:p w14:paraId="738B1C1D" w14:textId="77777777" w:rsidR="00CF0E3D" w:rsidRPr="00533E3F" w:rsidRDefault="00CF0E3D" w:rsidP="00CF0E3D">
      <w:pPr>
        <w:pStyle w:val="subsection"/>
      </w:pPr>
      <w:r w:rsidRPr="00533E3F">
        <w:t xml:space="preserve"> </w:t>
      </w:r>
      <w:r w:rsidRPr="00533E3F">
        <w:tab/>
        <w:t>(3)</w:t>
      </w:r>
      <w:r w:rsidRPr="00533E3F">
        <w:tab/>
        <w:t>An accredited person must not ask for a consent:</w:t>
      </w:r>
    </w:p>
    <w:p w14:paraId="3AC27740" w14:textId="77777777" w:rsidR="00CF0E3D" w:rsidRPr="00533E3F" w:rsidRDefault="00CF0E3D" w:rsidP="00CF0E3D">
      <w:pPr>
        <w:pStyle w:val="paragraph"/>
      </w:pPr>
      <w:r w:rsidRPr="00533E3F">
        <w:tab/>
        <w:t>(a)</w:t>
      </w:r>
      <w:r w:rsidRPr="00533E3F">
        <w:tab/>
        <w:t>that is not in a category of consents; or</w:t>
      </w:r>
    </w:p>
    <w:p w14:paraId="5165AFAF" w14:textId="75640C94" w:rsidR="00CF0E3D" w:rsidRPr="00F07699" w:rsidRDefault="00CF0E3D" w:rsidP="00CF0E3D">
      <w:pPr>
        <w:pStyle w:val="paragraph"/>
      </w:pPr>
      <w:r w:rsidRPr="00533E3F">
        <w:tab/>
        <w:t>(b)</w:t>
      </w:r>
      <w:r w:rsidRPr="00533E3F">
        <w:tab/>
        <w:t>subject to subrule (4), for using the C</w:t>
      </w:r>
      <w:r w:rsidRPr="00F07699">
        <w:t>DR data, including by aggregating the data, for the purpose of:</w:t>
      </w:r>
    </w:p>
    <w:p w14:paraId="4511B9D2" w14:textId="77777777" w:rsidR="00CF0E3D" w:rsidRPr="00F07699" w:rsidRDefault="00CF0E3D" w:rsidP="00CF0E3D">
      <w:pPr>
        <w:pStyle w:val="paragraphsub"/>
      </w:pPr>
      <w:r w:rsidRPr="00F07699">
        <w:tab/>
        <w:t>(i)</w:t>
      </w:r>
      <w:r w:rsidRPr="00F07699">
        <w:tab/>
        <w:t>identifying; or</w:t>
      </w:r>
    </w:p>
    <w:p w14:paraId="541280AF" w14:textId="77777777" w:rsidR="00CF0E3D" w:rsidRDefault="00CF0E3D" w:rsidP="00CF0E3D">
      <w:pPr>
        <w:pStyle w:val="paragraphsub"/>
      </w:pPr>
      <w:r w:rsidRPr="00F07699">
        <w:tab/>
        <w:t>(ii)</w:t>
      </w:r>
      <w:r w:rsidRPr="00F07699">
        <w:tab/>
        <w:t>compiling insights in relation to; or</w:t>
      </w:r>
    </w:p>
    <w:p w14:paraId="64DF99C8" w14:textId="77777777" w:rsidR="00CF0E3D" w:rsidRPr="00F07699" w:rsidRDefault="00CF0E3D" w:rsidP="00CF0E3D">
      <w:pPr>
        <w:pStyle w:val="paragraphsub"/>
      </w:pPr>
      <w:r w:rsidRPr="00F07699">
        <w:tab/>
        <w:t>(iii)</w:t>
      </w:r>
      <w:r w:rsidRPr="00F07699">
        <w:tab/>
        <w:t>building a profile in relation to;</w:t>
      </w:r>
    </w:p>
    <w:p w14:paraId="711B702F" w14:textId="77777777" w:rsidR="00CF0E3D" w:rsidRDefault="00CF0E3D" w:rsidP="00CF0E3D">
      <w:pPr>
        <w:pStyle w:val="paragraph"/>
      </w:pPr>
      <w:r w:rsidRPr="00F07699">
        <w:tab/>
      </w:r>
      <w:r w:rsidRPr="00F07699">
        <w:tab/>
        <w:t>any identifiable person who is not the CDR consumer who made the consumer data request.</w:t>
      </w:r>
    </w:p>
    <w:p w14:paraId="44ABB5CF" w14:textId="77777777" w:rsidR="00CF0E3D" w:rsidRPr="00F07699" w:rsidRDefault="00CF0E3D" w:rsidP="00CF0E3D">
      <w:pPr>
        <w:pStyle w:val="subsection"/>
      </w:pPr>
      <w:r w:rsidRPr="00F07699">
        <w:tab/>
        <w:t>(4)</w:t>
      </w:r>
      <w:r w:rsidRPr="00F07699">
        <w:tab/>
        <w:t>Paragraph (3)(b) does not apply in relation to a person whose identity is readily apparent from the CDR data, if the accredited person is seeking consent to:</w:t>
      </w:r>
    </w:p>
    <w:p w14:paraId="0A6A8E0F" w14:textId="77777777" w:rsidR="00CF0E3D" w:rsidRPr="00F07699" w:rsidRDefault="00CF0E3D" w:rsidP="00CF0E3D">
      <w:pPr>
        <w:pStyle w:val="paragraph"/>
      </w:pPr>
      <w:r w:rsidRPr="00F07699">
        <w:tab/>
        <w:t>(a)</w:t>
      </w:r>
      <w:r w:rsidRPr="00F07699">
        <w:tab/>
        <w:t>derive, from that CDR data, CDR data about that person’s interactions with the CDR consumer; and</w:t>
      </w:r>
    </w:p>
    <w:p w14:paraId="34D89058" w14:textId="77777777" w:rsidR="00CF0E3D" w:rsidRPr="00F07699" w:rsidRDefault="00CF0E3D" w:rsidP="00CF0E3D">
      <w:pPr>
        <w:pStyle w:val="paragraph"/>
      </w:pPr>
      <w:r w:rsidRPr="00F07699">
        <w:tab/>
        <w:t>(b)</w:t>
      </w:r>
      <w:r w:rsidRPr="00F07699">
        <w:tab/>
        <w:t>use that derived CDR data in order to provide the requested goods or services.</w:t>
      </w:r>
    </w:p>
    <w:p w14:paraId="732650F7" w14:textId="77777777" w:rsidR="00CF0E3D" w:rsidRPr="00533E3F" w:rsidRDefault="00CF0E3D" w:rsidP="00CF0E3D">
      <w:pPr>
        <w:pStyle w:val="ActHead4"/>
      </w:pPr>
      <w:bookmarkStart w:id="193" w:name="_Toc50114042"/>
      <w:bookmarkStart w:id="194" w:name="_Toc57219032"/>
      <w:bookmarkStart w:id="195" w:name="_Toc59549143"/>
      <w:bookmarkStart w:id="196" w:name="_Toc74916139"/>
      <w:r w:rsidRPr="00533E3F">
        <w:t>Subdivision </w:t>
      </w:r>
      <w:bookmarkStart w:id="197" w:name="_Toc50633082"/>
      <w:r w:rsidRPr="00533E3F">
        <w:t>4.3.2A—Amending consents</w:t>
      </w:r>
      <w:bookmarkEnd w:id="193"/>
      <w:bookmarkEnd w:id="194"/>
      <w:bookmarkEnd w:id="195"/>
      <w:bookmarkEnd w:id="196"/>
    </w:p>
    <w:p w14:paraId="1FFCFB22" w14:textId="77777777" w:rsidR="00CF0E3D" w:rsidRPr="00533E3F" w:rsidRDefault="00CF0E3D" w:rsidP="00CF0E3D">
      <w:pPr>
        <w:pStyle w:val="ActHead5"/>
      </w:pPr>
      <w:bookmarkStart w:id="198" w:name="_Toc50114043"/>
      <w:bookmarkStart w:id="199" w:name="_Toc57219033"/>
      <w:bookmarkStart w:id="200" w:name="_Toc59549144"/>
      <w:bookmarkStart w:id="201" w:name="_Toc74916140"/>
      <w:r w:rsidRPr="00533E3F">
        <w:t>4.12A  Amendment of consent</w:t>
      </w:r>
      <w:bookmarkEnd w:id="197"/>
      <w:bookmarkEnd w:id="198"/>
      <w:bookmarkEnd w:id="199"/>
      <w:bookmarkEnd w:id="200"/>
      <w:bookmarkEnd w:id="201"/>
    </w:p>
    <w:p w14:paraId="473B144E" w14:textId="77777777" w:rsidR="00CF0E3D" w:rsidRPr="00533E3F" w:rsidRDefault="00CF0E3D" w:rsidP="00CF0E3D">
      <w:pPr>
        <w:pStyle w:val="subsection"/>
      </w:pPr>
      <w:r w:rsidRPr="00533E3F">
        <w:tab/>
      </w:r>
      <w:r w:rsidRPr="00533E3F">
        <w:tab/>
        <w:t>An amendment of a consent takes effect when the CDR consumer amends the consent.</w:t>
      </w:r>
    </w:p>
    <w:p w14:paraId="4086BCB8" w14:textId="77777777" w:rsidR="00CF0E3D" w:rsidRPr="00533E3F" w:rsidRDefault="00CF0E3D" w:rsidP="00CF0E3D">
      <w:pPr>
        <w:pStyle w:val="notetext"/>
      </w:pPr>
      <w:r w:rsidRPr="00533E3F">
        <w:t>Note:</w:t>
      </w:r>
      <w:r w:rsidRPr="00533E3F">
        <w:tab/>
        <w:t>It is not possible for the CDR consumer to specify a different day or time.</w:t>
      </w:r>
    </w:p>
    <w:p w14:paraId="0C02A428" w14:textId="77777777" w:rsidR="00CF0E3D" w:rsidRPr="00533E3F" w:rsidRDefault="00CF0E3D" w:rsidP="00CF0E3D">
      <w:pPr>
        <w:pStyle w:val="ActHead5"/>
      </w:pPr>
      <w:bookmarkStart w:id="202" w:name="_Toc40970016"/>
      <w:bookmarkStart w:id="203" w:name="_Toc50114044"/>
      <w:bookmarkStart w:id="204" w:name="_Toc57219034"/>
      <w:bookmarkStart w:id="205" w:name="_Toc59549145"/>
      <w:bookmarkStart w:id="206" w:name="_Toc74916141"/>
      <w:bookmarkStart w:id="207" w:name="_Toc40626965"/>
      <w:r w:rsidRPr="00533E3F">
        <w:t>4.12B  Inviting CDR consumer to amend consent</w:t>
      </w:r>
      <w:bookmarkEnd w:id="202"/>
      <w:bookmarkEnd w:id="203"/>
      <w:bookmarkEnd w:id="204"/>
      <w:bookmarkEnd w:id="205"/>
      <w:bookmarkEnd w:id="206"/>
    </w:p>
    <w:p w14:paraId="5C6046AE" w14:textId="77777777" w:rsidR="00CF0E3D" w:rsidRPr="00533E3F" w:rsidRDefault="00CF0E3D" w:rsidP="00CF0E3D">
      <w:pPr>
        <w:pStyle w:val="subsection"/>
      </w:pPr>
      <w:r w:rsidRPr="00533E3F">
        <w:tab/>
        <w:t>(1)</w:t>
      </w:r>
      <w:r w:rsidRPr="00533E3F">
        <w:tab/>
        <w:t>An accredited person may invite a CDR consumer to amend a consent given in accordance with this Division only in accordance with this rule.</w:t>
      </w:r>
    </w:p>
    <w:p w14:paraId="74846B3B" w14:textId="77777777" w:rsidR="00CF0E3D" w:rsidRPr="00533E3F" w:rsidRDefault="00CF0E3D" w:rsidP="00CF0E3D">
      <w:pPr>
        <w:pStyle w:val="subsection"/>
      </w:pPr>
      <w:r w:rsidRPr="00533E3F">
        <w:tab/>
        <w:t>(2)</w:t>
      </w:r>
      <w:r w:rsidRPr="00533E3F">
        <w:tab/>
        <w:t>The accredited person may give the invitation:</w:t>
      </w:r>
    </w:p>
    <w:p w14:paraId="1712B777" w14:textId="77777777" w:rsidR="00CF0E3D" w:rsidRPr="00533E3F" w:rsidRDefault="00CF0E3D" w:rsidP="00CF0E3D">
      <w:pPr>
        <w:pStyle w:val="paragraph"/>
      </w:pPr>
      <w:r w:rsidRPr="00533E3F">
        <w:tab/>
        <w:t>(a)</w:t>
      </w:r>
      <w:r w:rsidRPr="00533E3F">
        <w:tab/>
        <w:t>if its consumer dashboard offers the consent amendment functionality referred to in subrule 1.</w:t>
      </w:r>
      <w:r w:rsidRPr="005F5B3D">
        <w:t>14</w:t>
      </w:r>
      <w:r w:rsidRPr="00533E3F">
        <w:t>(2A)―via its consumer dashboard; or</w:t>
      </w:r>
    </w:p>
    <w:p w14:paraId="4414FB9D" w14:textId="77777777" w:rsidR="00CF0E3D" w:rsidRPr="00533E3F" w:rsidRDefault="00CF0E3D" w:rsidP="00CF0E3D">
      <w:pPr>
        <w:pStyle w:val="paragraph"/>
      </w:pPr>
      <w:r w:rsidRPr="00533E3F">
        <w:tab/>
        <w:t>(b)</w:t>
      </w:r>
      <w:r w:rsidRPr="00533E3F">
        <w:tab/>
        <w:t>in writing directly to the CDR consumer.</w:t>
      </w:r>
    </w:p>
    <w:p w14:paraId="74059664" w14:textId="77777777" w:rsidR="00CF0E3D" w:rsidRPr="00533E3F" w:rsidRDefault="00CF0E3D" w:rsidP="00CF0E3D">
      <w:pPr>
        <w:pStyle w:val="subsection"/>
        <w:rPr>
          <w:sz w:val="24"/>
        </w:rPr>
      </w:pPr>
      <w:r w:rsidRPr="00533E3F">
        <w:tab/>
        <w:t>(3)</w:t>
      </w:r>
      <w:r w:rsidRPr="00533E3F">
        <w:tab/>
        <w:t>The accredited person may invite a CDR consumer to amend a current consent if:</w:t>
      </w:r>
    </w:p>
    <w:p w14:paraId="15676ACC" w14:textId="77777777" w:rsidR="00CF0E3D" w:rsidRPr="00533E3F" w:rsidRDefault="00CF0E3D" w:rsidP="00CF0E3D">
      <w:pPr>
        <w:pStyle w:val="paragraph"/>
      </w:pPr>
      <w:r w:rsidRPr="00533E3F">
        <w:tab/>
        <w:t>(a)</w:t>
      </w:r>
      <w:r w:rsidRPr="00533E3F">
        <w:tab/>
        <w:t xml:space="preserve">the amendment would better enable the accredited person to provide the goods or services referred to in paragraph 4.3(1)(a); or </w:t>
      </w:r>
    </w:p>
    <w:p w14:paraId="3B78E050" w14:textId="77777777" w:rsidR="00CF0E3D" w:rsidRPr="00533E3F" w:rsidRDefault="00CF0E3D" w:rsidP="00CF0E3D">
      <w:pPr>
        <w:pStyle w:val="paragraph"/>
        <w:rPr>
          <w:sz w:val="20"/>
        </w:rPr>
      </w:pPr>
      <w:r w:rsidRPr="00533E3F">
        <w:tab/>
        <w:t>(b)</w:t>
      </w:r>
      <w:r w:rsidRPr="00533E3F">
        <w:tab/>
        <w:t>the amendment would:</w:t>
      </w:r>
    </w:p>
    <w:p w14:paraId="27422C7D" w14:textId="77777777" w:rsidR="00CF0E3D" w:rsidRPr="00533E3F" w:rsidRDefault="00CF0E3D" w:rsidP="00CF0E3D">
      <w:pPr>
        <w:pStyle w:val="paragraphsub"/>
      </w:pPr>
      <w:r w:rsidRPr="00533E3F">
        <w:tab/>
        <w:t>(i)</w:t>
      </w:r>
      <w:r w:rsidRPr="00533E3F">
        <w:tab/>
        <w:t>be consequential to an agreement between the accredited person and the CDR consumer to modify those goods or services; and</w:t>
      </w:r>
    </w:p>
    <w:p w14:paraId="30B17F91" w14:textId="77777777" w:rsidR="00CF0E3D" w:rsidRPr="00533E3F" w:rsidRDefault="00CF0E3D" w:rsidP="00CF0E3D">
      <w:pPr>
        <w:pStyle w:val="paragraphsub"/>
      </w:pPr>
      <w:r w:rsidRPr="00533E3F">
        <w:tab/>
        <w:t>(ii)</w:t>
      </w:r>
      <w:r w:rsidRPr="00533E3F">
        <w:tab/>
        <w:t>enable the accredited person to provide the modified goods or services. </w:t>
      </w:r>
    </w:p>
    <w:p w14:paraId="2477B472" w14:textId="77777777" w:rsidR="00CF0E3D" w:rsidRPr="00533E3F" w:rsidRDefault="00CF0E3D" w:rsidP="00CF0E3D">
      <w:pPr>
        <w:pStyle w:val="subsection"/>
      </w:pPr>
      <w:r w:rsidRPr="00533E3F">
        <w:tab/>
      </w:r>
      <w:r w:rsidRPr="005F5B3D">
        <w:t>(</w:t>
      </w:r>
      <w:r>
        <w:t>4</w:t>
      </w:r>
      <w:r w:rsidRPr="005F5B3D">
        <w:t>)</w:t>
      </w:r>
      <w:r>
        <w:tab/>
      </w:r>
      <w:r w:rsidRPr="005F5B3D">
        <w:t>The</w:t>
      </w:r>
      <w:r w:rsidRPr="00E048C0">
        <w:t xml:space="preserve"> </w:t>
      </w:r>
      <w:r w:rsidRPr="00533E3F">
        <w:t>accredited person must not, for an invitation to amend the period referred to in paragraph 4.11(1)(b):</w:t>
      </w:r>
    </w:p>
    <w:p w14:paraId="1F5239EE" w14:textId="77777777" w:rsidR="00CF0E3D" w:rsidRPr="00533E3F" w:rsidRDefault="00CF0E3D" w:rsidP="00CF0E3D">
      <w:pPr>
        <w:pStyle w:val="paragraph"/>
      </w:pPr>
      <w:r w:rsidRPr="00533E3F">
        <w:tab/>
        <w:t>(a)</w:t>
      </w:r>
      <w:r w:rsidRPr="00533E3F">
        <w:tab/>
        <w:t>give the invitation any earlier than a reasonable period before the current consent is expected to expire; or</w:t>
      </w:r>
    </w:p>
    <w:p w14:paraId="30852200" w14:textId="77777777" w:rsidR="00CF0E3D" w:rsidRDefault="00CF0E3D" w:rsidP="00CF0E3D">
      <w:pPr>
        <w:pStyle w:val="paragraph"/>
      </w:pPr>
      <w:r w:rsidRPr="00533E3F">
        <w:tab/>
        <w:t>(b)</w:t>
      </w:r>
      <w:r w:rsidRPr="00533E3F">
        <w:tab/>
        <w:t>give more than a reasonable number of such invitations within this period.</w:t>
      </w:r>
      <w:bookmarkEnd w:id="207"/>
    </w:p>
    <w:p w14:paraId="7E7618DD" w14:textId="77777777" w:rsidR="00CF0E3D" w:rsidRPr="00ED309B" w:rsidRDefault="00CF0E3D" w:rsidP="00CF0E3D">
      <w:pPr>
        <w:pStyle w:val="subsection"/>
      </w:pPr>
      <w:r w:rsidRPr="00ED309B">
        <w:tab/>
      </w:r>
      <w:r w:rsidRPr="005F5B3D">
        <w:t>(5)</w:t>
      </w:r>
      <w:r w:rsidRPr="00ED309B">
        <w:tab/>
      </w:r>
      <w:r w:rsidRPr="005F5B3D">
        <w:t xml:space="preserve">The </w:t>
      </w:r>
      <w:r w:rsidRPr="00ED309B">
        <w:t>accredited person must not give such an invitation before 1 July 2021.</w:t>
      </w:r>
    </w:p>
    <w:p w14:paraId="13A4BF56" w14:textId="77777777" w:rsidR="00CF0E3D" w:rsidRPr="00533E3F" w:rsidRDefault="00CF0E3D" w:rsidP="00CF0E3D">
      <w:pPr>
        <w:pStyle w:val="ActHead5"/>
      </w:pPr>
      <w:bookmarkStart w:id="208" w:name="_Toc50114045"/>
      <w:bookmarkStart w:id="209" w:name="_Toc57219035"/>
      <w:bookmarkStart w:id="210" w:name="_Toc59549146"/>
      <w:bookmarkStart w:id="211" w:name="_Toc74916142"/>
      <w:r w:rsidRPr="00533E3F">
        <w:t>4.12C  Process for amending consents</w:t>
      </w:r>
      <w:bookmarkEnd w:id="208"/>
      <w:bookmarkEnd w:id="209"/>
      <w:bookmarkEnd w:id="210"/>
      <w:bookmarkEnd w:id="211"/>
    </w:p>
    <w:p w14:paraId="324D1332" w14:textId="77777777" w:rsidR="00CF0E3D" w:rsidRPr="00533E3F" w:rsidRDefault="00CF0E3D" w:rsidP="00CF0E3D">
      <w:pPr>
        <w:pStyle w:val="subsection"/>
      </w:pPr>
      <w:r w:rsidRPr="00533E3F">
        <w:tab/>
        <w:t>(1)</w:t>
      </w:r>
      <w:r w:rsidRPr="00533E3F">
        <w:tab/>
        <w:t>Subject to this rule, if an accredited person allows CDR consumers to amend consents, it must allow them to do so in the same manner that it asks for CDR consumers to give consents.</w:t>
      </w:r>
    </w:p>
    <w:p w14:paraId="51E62D8B" w14:textId="77777777" w:rsidR="00CF0E3D" w:rsidRPr="00533E3F" w:rsidRDefault="00CF0E3D" w:rsidP="00CF0E3D">
      <w:pPr>
        <w:pStyle w:val="subsection"/>
      </w:pPr>
      <w:r w:rsidRPr="00533E3F">
        <w:tab/>
        <w:t>(2)</w:t>
      </w:r>
      <w:r w:rsidRPr="00533E3F">
        <w:tab/>
        <w:t>Despite subrule 4.11(2), in the case of an amendment to a consent, an accredited person may present, as pre</w:t>
      </w:r>
      <w:r w:rsidRPr="00533E3F">
        <w:noBreakHyphen/>
        <w:t>selected options, the following details of the current consent:</w:t>
      </w:r>
    </w:p>
    <w:p w14:paraId="066E192C" w14:textId="77777777" w:rsidR="00CF0E3D" w:rsidRPr="00533E3F" w:rsidRDefault="00CF0E3D" w:rsidP="00CF0E3D">
      <w:pPr>
        <w:pStyle w:val="paragraph"/>
      </w:pPr>
      <w:r w:rsidRPr="00533E3F">
        <w:tab/>
        <w:t>(a)</w:t>
      </w:r>
      <w:r w:rsidRPr="00533E3F">
        <w:tab/>
        <w:t>the selections or indications referred to in paragraphs 4.11(1)(a), (b) and (ba);</w:t>
      </w:r>
    </w:p>
    <w:p w14:paraId="48C86122" w14:textId="77777777" w:rsidR="00CF0E3D" w:rsidRPr="00533E3F" w:rsidRDefault="00CF0E3D" w:rsidP="00CF0E3D">
      <w:pPr>
        <w:pStyle w:val="paragraph"/>
      </w:pPr>
      <w:r w:rsidRPr="00533E3F">
        <w:tab/>
        <w:t>(b)</w:t>
      </w:r>
      <w:r w:rsidRPr="00533E3F">
        <w:tab/>
        <w:t>the election (if any) referred to in paragraph 4.11(1)(e).</w:t>
      </w:r>
    </w:p>
    <w:p w14:paraId="4A433F60" w14:textId="77777777" w:rsidR="00CF0E3D" w:rsidRPr="00533E3F" w:rsidRDefault="00CF0E3D" w:rsidP="00CF0E3D">
      <w:pPr>
        <w:pStyle w:val="subsection"/>
      </w:pPr>
      <w:r w:rsidRPr="00533E3F">
        <w:tab/>
        <w:t>(3)</w:t>
      </w:r>
      <w:r w:rsidRPr="00533E3F">
        <w:tab/>
        <w:t>In the case of an amendment to a consent, in addition to the information referred to in subrule 4.11(3), the accredited person must give the CDR consumer:</w:t>
      </w:r>
    </w:p>
    <w:p w14:paraId="10E3208B" w14:textId="77777777" w:rsidR="00CF0E3D" w:rsidRPr="00533E3F" w:rsidRDefault="00CF0E3D" w:rsidP="00CF0E3D">
      <w:pPr>
        <w:pStyle w:val="paragraph"/>
      </w:pPr>
      <w:r w:rsidRPr="00533E3F">
        <w:tab/>
        <w:t>(a)</w:t>
      </w:r>
      <w:r w:rsidRPr="00533E3F">
        <w:tab/>
        <w:t>a statement that indicates the consequences of amending a consent; and</w:t>
      </w:r>
    </w:p>
    <w:p w14:paraId="74641FBA" w14:textId="77777777" w:rsidR="00CF0E3D" w:rsidRPr="00533E3F" w:rsidRDefault="00CF0E3D" w:rsidP="00CF0E3D">
      <w:pPr>
        <w:pStyle w:val="paragraph"/>
      </w:pPr>
      <w:r w:rsidRPr="00533E3F">
        <w:tab/>
        <w:t>(b)</w:t>
      </w:r>
      <w:r w:rsidRPr="00533E3F">
        <w:tab/>
        <w:t>a statement that the accredited person will be able to continue to use any CDR data that has already been disclosed to it to the extent allowed by the amended consent.</w:t>
      </w:r>
    </w:p>
    <w:p w14:paraId="40221B5B" w14:textId="77777777" w:rsidR="00CF0E3D" w:rsidRPr="00533E3F" w:rsidRDefault="00CF0E3D" w:rsidP="00CF0E3D">
      <w:pPr>
        <w:pStyle w:val="ActHead4"/>
      </w:pPr>
      <w:bookmarkStart w:id="212" w:name="_Toc50114046"/>
      <w:bookmarkStart w:id="213" w:name="_Toc57219036"/>
      <w:bookmarkStart w:id="214" w:name="_Toc59549147"/>
      <w:bookmarkStart w:id="215" w:name="_Toc74916143"/>
      <w:r w:rsidRPr="00533E3F">
        <w:t>Subdivision 4.3.2B—Withdrawing consents</w:t>
      </w:r>
      <w:bookmarkEnd w:id="212"/>
      <w:bookmarkEnd w:id="213"/>
      <w:bookmarkEnd w:id="214"/>
      <w:bookmarkEnd w:id="215"/>
      <w:r w:rsidRPr="00533E3F">
        <w:t xml:space="preserve"> </w:t>
      </w:r>
    </w:p>
    <w:p w14:paraId="77804467" w14:textId="77777777" w:rsidR="00CF0E3D" w:rsidRPr="00F07699" w:rsidRDefault="00CF0E3D" w:rsidP="00CF0E3D">
      <w:pPr>
        <w:pStyle w:val="ActHead5"/>
      </w:pPr>
      <w:bookmarkStart w:id="216" w:name="_Toc50114047"/>
      <w:bookmarkStart w:id="217" w:name="_Toc57219037"/>
      <w:bookmarkStart w:id="218" w:name="_Toc59549148"/>
      <w:bookmarkStart w:id="219" w:name="_Toc74916144"/>
      <w:r w:rsidRPr="00F07699">
        <w:t xml:space="preserve">4.13  Withdrawal of </w:t>
      </w:r>
      <w:r w:rsidRPr="00533E3F">
        <w:t>consents, and notifications</w:t>
      </w:r>
      <w:bookmarkEnd w:id="216"/>
      <w:bookmarkEnd w:id="217"/>
      <w:bookmarkEnd w:id="218"/>
      <w:bookmarkEnd w:id="219"/>
    </w:p>
    <w:p w14:paraId="0ECD152A" w14:textId="77777777" w:rsidR="00CF0E3D" w:rsidRPr="00F07699" w:rsidRDefault="00CF0E3D" w:rsidP="00CF0E3D">
      <w:pPr>
        <w:pStyle w:val="subsection"/>
      </w:pPr>
      <w:r w:rsidRPr="00F07699">
        <w:tab/>
        <w:t>(1)</w:t>
      </w:r>
      <w:r w:rsidRPr="00F07699">
        <w:tab/>
        <w:t>The CDR consumer who gave a consent</w:t>
      </w:r>
      <w:r w:rsidRPr="0048491E">
        <w:t xml:space="preserve"> </w:t>
      </w:r>
      <w:r w:rsidRPr="00F07699">
        <w:t>may withdraw the consent at any time:</w:t>
      </w:r>
    </w:p>
    <w:p w14:paraId="6CB1958A" w14:textId="77777777" w:rsidR="00CF0E3D" w:rsidRPr="00F07699" w:rsidRDefault="00CF0E3D" w:rsidP="00CF0E3D">
      <w:pPr>
        <w:pStyle w:val="paragraph"/>
      </w:pPr>
      <w:r w:rsidRPr="00F07699">
        <w:tab/>
        <w:t>(a)</w:t>
      </w:r>
      <w:r w:rsidRPr="00F07699">
        <w:tab/>
        <w:t>by using the accredited person’s consumer dashboard; or</w:t>
      </w:r>
    </w:p>
    <w:p w14:paraId="73C2D28E" w14:textId="77777777" w:rsidR="00CF0E3D" w:rsidRPr="00F07699" w:rsidRDefault="00CF0E3D" w:rsidP="00CF0E3D">
      <w:pPr>
        <w:pStyle w:val="paragraph"/>
      </w:pPr>
      <w:r w:rsidRPr="00F07699">
        <w:tab/>
        <w:t>(b)</w:t>
      </w:r>
      <w:r w:rsidRPr="00F07699">
        <w:tab/>
        <w:t>by using a simple alternative method of communication to be made available by the accredited person for that purpose.</w:t>
      </w:r>
    </w:p>
    <w:p w14:paraId="14148282" w14:textId="77777777" w:rsidR="00CF0E3D" w:rsidRPr="00F07699" w:rsidRDefault="00CF0E3D" w:rsidP="00CF0E3D">
      <w:pPr>
        <w:pStyle w:val="subsection"/>
      </w:pPr>
      <w:r w:rsidRPr="00F07699">
        <w:tab/>
        <w:t>(2)</w:t>
      </w:r>
      <w:r w:rsidRPr="00F07699">
        <w:tab/>
        <w:t>The accredited person must:</w:t>
      </w:r>
    </w:p>
    <w:p w14:paraId="71DF5E82" w14:textId="77777777" w:rsidR="00CF0E3D" w:rsidRPr="00F07699" w:rsidRDefault="00CF0E3D" w:rsidP="00CF0E3D">
      <w:pPr>
        <w:pStyle w:val="paragraph"/>
      </w:pPr>
      <w:r w:rsidRPr="00F07699">
        <w:tab/>
        <w:t>(a)</w:t>
      </w:r>
      <w:r w:rsidRPr="00F07699">
        <w:tab/>
        <w:t>if the withdrawal was in accordance with paragraph (1)(b)―give effect to the withdrawal as soon as practicable, and in any case within 2 business days after receiving the communication; and</w:t>
      </w:r>
    </w:p>
    <w:p w14:paraId="2139A4A7" w14:textId="77777777" w:rsidR="00CF0E3D" w:rsidRDefault="00CF0E3D" w:rsidP="00CF0E3D">
      <w:pPr>
        <w:pStyle w:val="paragraph"/>
      </w:pPr>
      <w:r w:rsidRPr="00F07699">
        <w:tab/>
      </w:r>
      <w:r w:rsidRPr="00533E3F">
        <w:t>(b)</w:t>
      </w:r>
      <w:r w:rsidRPr="00533E3F">
        <w:tab/>
        <w:t>if a collection consent was withdrawn, in any case―notify the data holder of the withdrawal in accordance with the data standards.</w:t>
      </w:r>
    </w:p>
    <w:p w14:paraId="3B6E6539" w14:textId="77777777" w:rsidR="00CF0E3D" w:rsidRPr="00533E3F" w:rsidRDefault="00CF0E3D" w:rsidP="00CF0E3D">
      <w:pPr>
        <w:pStyle w:val="notetext"/>
      </w:pPr>
      <w:r w:rsidRPr="00533E3F">
        <w:t>Note 1:</w:t>
      </w:r>
      <w:r w:rsidRPr="00533E3F">
        <w:tab/>
        <w:t>When a data holder is notified of the withdrawal of a collection consent, an authorisation to disclose the CDR data expires: see paragraph 4.26(1)(d).</w:t>
      </w:r>
    </w:p>
    <w:p w14:paraId="152E0B49" w14:textId="77777777" w:rsidR="00CF0E3D" w:rsidRPr="00533E3F" w:rsidRDefault="00CF0E3D" w:rsidP="00CF0E3D">
      <w:pPr>
        <w:pStyle w:val="notetext"/>
      </w:pPr>
      <w:r w:rsidRPr="00533E3F">
        <w:t>Note 2:</w:t>
      </w:r>
      <w:r w:rsidRPr="00533E3F">
        <w:tab/>
        <w:t>This subrule is a civil penalty provision (see rule 9.8).</w:t>
      </w:r>
    </w:p>
    <w:p w14:paraId="22739F40" w14:textId="77777777" w:rsidR="00CF0E3D" w:rsidRPr="00F07699" w:rsidRDefault="00CF0E3D" w:rsidP="00CF0E3D">
      <w:pPr>
        <w:pStyle w:val="subsection"/>
      </w:pPr>
      <w:r w:rsidRPr="00F07699">
        <w:tab/>
        <w:t>(3)</w:t>
      </w:r>
      <w:r w:rsidRPr="00F07699">
        <w:tab/>
        <w:t>Withdrawal of a consent does not affect an election under rule 4.16 that the CDR consumer’s collected CDR data be deleted once it becomes redundant.</w:t>
      </w:r>
    </w:p>
    <w:p w14:paraId="48B128C6" w14:textId="77777777" w:rsidR="00CF0E3D" w:rsidRPr="00533E3F" w:rsidRDefault="00CF0E3D" w:rsidP="00CF0E3D">
      <w:pPr>
        <w:pStyle w:val="ActHead4"/>
      </w:pPr>
      <w:bookmarkStart w:id="220" w:name="_Toc50114048"/>
      <w:bookmarkStart w:id="221" w:name="_Toc57219038"/>
      <w:bookmarkStart w:id="222" w:name="_Toc59549149"/>
      <w:bookmarkStart w:id="223" w:name="_Toc74916145"/>
      <w:r w:rsidRPr="00533E3F">
        <w:t>Subdivision 4.3.2C—Duration of consent</w:t>
      </w:r>
      <w:bookmarkEnd w:id="220"/>
      <w:bookmarkEnd w:id="221"/>
      <w:bookmarkEnd w:id="222"/>
      <w:bookmarkEnd w:id="223"/>
    </w:p>
    <w:p w14:paraId="4F761B8E" w14:textId="77777777" w:rsidR="00CF0E3D" w:rsidRPr="00F07699" w:rsidRDefault="00CF0E3D" w:rsidP="00CF0E3D">
      <w:pPr>
        <w:pStyle w:val="ActHead5"/>
      </w:pPr>
      <w:bookmarkStart w:id="224" w:name="_Toc50114049"/>
      <w:bookmarkStart w:id="225" w:name="_Toc50633083"/>
      <w:bookmarkStart w:id="226" w:name="_Toc57219039"/>
      <w:bookmarkStart w:id="227" w:name="_Toc59549150"/>
      <w:bookmarkStart w:id="228" w:name="_Toc74916146"/>
      <w:r w:rsidRPr="00F07699">
        <w:t>4.14  Duration of consent</w:t>
      </w:r>
      <w:bookmarkEnd w:id="224"/>
      <w:bookmarkEnd w:id="225"/>
      <w:bookmarkEnd w:id="226"/>
      <w:bookmarkEnd w:id="227"/>
      <w:bookmarkEnd w:id="228"/>
    </w:p>
    <w:p w14:paraId="010BF872" w14:textId="77777777" w:rsidR="00CF0E3D" w:rsidRPr="00F07699" w:rsidRDefault="00CF0E3D" w:rsidP="00CF0E3D">
      <w:pPr>
        <w:pStyle w:val="subsection"/>
      </w:pPr>
      <w:r w:rsidRPr="00F07699">
        <w:tab/>
        <w:t>(1)</w:t>
      </w:r>
      <w:r w:rsidRPr="00F07699">
        <w:tab/>
        <w:t>A consent expires at the earliest of the following:</w:t>
      </w:r>
    </w:p>
    <w:p w14:paraId="4346E96F" w14:textId="77777777" w:rsidR="00CF0E3D" w:rsidRPr="00F07699" w:rsidRDefault="00CF0E3D" w:rsidP="00CF0E3D">
      <w:pPr>
        <w:pStyle w:val="paragraph"/>
      </w:pPr>
      <w:r w:rsidRPr="00F07699">
        <w:tab/>
        <w:t>(a)</w:t>
      </w:r>
      <w:r w:rsidRPr="00F07699">
        <w:tab/>
        <w:t>if the consent was withdrawn in accordance with paragraph 4.13(1)(b)―the earlier of the following:</w:t>
      </w:r>
    </w:p>
    <w:p w14:paraId="12760DC3" w14:textId="77777777" w:rsidR="00CF0E3D" w:rsidRPr="00F07699" w:rsidRDefault="00CF0E3D" w:rsidP="00CF0E3D">
      <w:pPr>
        <w:pStyle w:val="paragraphsub"/>
      </w:pPr>
      <w:r w:rsidRPr="00F07699">
        <w:tab/>
        <w:t>(i)</w:t>
      </w:r>
      <w:r w:rsidRPr="00F07699">
        <w:tab/>
        <w:t>when the accredited person gave effect to the withdrawal;</w:t>
      </w:r>
    </w:p>
    <w:p w14:paraId="55FAA6E3" w14:textId="77777777" w:rsidR="00CF0E3D" w:rsidRPr="00F07699" w:rsidRDefault="00CF0E3D" w:rsidP="00CF0E3D">
      <w:pPr>
        <w:pStyle w:val="paragraphsub"/>
      </w:pPr>
      <w:r w:rsidRPr="00F07699">
        <w:tab/>
        <w:t>(ii)</w:t>
      </w:r>
      <w:r w:rsidRPr="00F07699">
        <w:tab/>
        <w:t>2 business days after the accredited person received the communication;</w:t>
      </w:r>
    </w:p>
    <w:p w14:paraId="0BE14363" w14:textId="77777777" w:rsidR="00CF0E3D" w:rsidRPr="00F07699" w:rsidRDefault="00CF0E3D" w:rsidP="00CF0E3D">
      <w:pPr>
        <w:pStyle w:val="paragraph"/>
      </w:pPr>
      <w:r w:rsidRPr="00F07699">
        <w:tab/>
        <w:t>(b)</w:t>
      </w:r>
      <w:r w:rsidRPr="00F07699">
        <w:tab/>
        <w:t>if the consent was withdrawn in accordance with paragraph 4.13(1)(a)―when the consent was withdrawn;</w:t>
      </w:r>
    </w:p>
    <w:p w14:paraId="5BE2D62D" w14:textId="77777777" w:rsidR="00CF0E3D" w:rsidRPr="00533E3F" w:rsidRDefault="00CF0E3D" w:rsidP="00CF0E3D">
      <w:pPr>
        <w:pStyle w:val="paragraph"/>
      </w:pPr>
      <w:r w:rsidRPr="00533E3F">
        <w:tab/>
        <w:t>(d)</w:t>
      </w:r>
      <w:r w:rsidRPr="00533E3F">
        <w:tab/>
        <w:t>the end of the period of 12 months after:</w:t>
      </w:r>
    </w:p>
    <w:p w14:paraId="283F5271" w14:textId="77777777" w:rsidR="00CF0E3D" w:rsidRPr="00533E3F" w:rsidRDefault="00CF0E3D" w:rsidP="00CF0E3D">
      <w:pPr>
        <w:pStyle w:val="paragraphsub"/>
      </w:pPr>
      <w:r w:rsidRPr="00533E3F">
        <w:tab/>
        <w:t>(i)</w:t>
      </w:r>
      <w:r w:rsidRPr="00533E3F">
        <w:tab/>
        <w:t>the consent was given; or</w:t>
      </w:r>
    </w:p>
    <w:p w14:paraId="204A8794" w14:textId="77777777" w:rsidR="00CF0E3D" w:rsidRPr="00533E3F" w:rsidRDefault="00CF0E3D" w:rsidP="00CF0E3D">
      <w:pPr>
        <w:pStyle w:val="paragraphsub"/>
      </w:pPr>
      <w:r w:rsidRPr="00533E3F">
        <w:tab/>
        <w:t>(ii)</w:t>
      </w:r>
      <w:r w:rsidRPr="00533E3F">
        <w:tab/>
        <w:t>if the period of the consent has been amended in accordance with this Subdivision―the consent was last amended;</w:t>
      </w:r>
    </w:p>
    <w:p w14:paraId="663FFA07" w14:textId="77777777" w:rsidR="00CF0E3D" w:rsidRPr="00F07699" w:rsidRDefault="00CF0E3D" w:rsidP="00CF0E3D">
      <w:pPr>
        <w:pStyle w:val="paragraph"/>
      </w:pPr>
      <w:r w:rsidRPr="00F07699">
        <w:tab/>
        <w:t>(e)</w:t>
      </w:r>
      <w:r w:rsidRPr="00F07699">
        <w:tab/>
        <w:t>at the end of the period the CDR consumer consented to in accordance with rule 4.11;</w:t>
      </w:r>
    </w:p>
    <w:p w14:paraId="3F67C066" w14:textId="77777777" w:rsidR="00CF0E3D" w:rsidRPr="00F07699" w:rsidRDefault="00CF0E3D" w:rsidP="00CF0E3D">
      <w:pPr>
        <w:pStyle w:val="paragraph"/>
      </w:pPr>
      <w:r w:rsidRPr="00F07699">
        <w:tab/>
        <w:t>(f)</w:t>
      </w:r>
      <w:r w:rsidRPr="00F07699">
        <w:tab/>
        <w:t>if the consent expires as a result of the operation of another provision of these rules that references this paragraph.</w:t>
      </w:r>
    </w:p>
    <w:p w14:paraId="0A4CEB70" w14:textId="77777777" w:rsidR="00CF0E3D" w:rsidRPr="00F07699" w:rsidRDefault="00CF0E3D" w:rsidP="00CF0E3D">
      <w:pPr>
        <w:pStyle w:val="notetext"/>
      </w:pPr>
      <w:r w:rsidRPr="00F07699">
        <w:t>Note:</w:t>
      </w:r>
      <w:r w:rsidRPr="00F07699">
        <w:tab/>
        <w:t>Clause 7.2 of Schedule 3 is an example of a provision referencing paragraph (f). This relates to when an accredited data recipient of CDR data becomes instead a data holder of that CDR data.</w:t>
      </w:r>
    </w:p>
    <w:p w14:paraId="43F0EE1F" w14:textId="77777777" w:rsidR="00CF0E3D" w:rsidRPr="00533E3F" w:rsidRDefault="00CF0E3D" w:rsidP="00CF0E3D">
      <w:pPr>
        <w:pStyle w:val="subsection"/>
        <w:tabs>
          <w:tab w:val="left" w:pos="4536"/>
        </w:tabs>
      </w:pPr>
      <w:r w:rsidRPr="00533E3F">
        <w:tab/>
        <w:t xml:space="preserve">(1A) </w:t>
      </w:r>
      <w:r w:rsidRPr="00533E3F">
        <w:tab/>
        <w:t>If:</w:t>
      </w:r>
    </w:p>
    <w:p w14:paraId="0CEBEB37" w14:textId="77777777" w:rsidR="00CF0E3D" w:rsidRPr="00533E3F" w:rsidRDefault="00CF0E3D" w:rsidP="00CF0E3D">
      <w:pPr>
        <w:pStyle w:val="paragraph"/>
      </w:pPr>
      <w:r w:rsidRPr="00533E3F">
        <w:tab/>
        <w:t>(a)</w:t>
      </w:r>
      <w:r w:rsidRPr="00533E3F">
        <w:tab/>
        <w:t>an accredited person is notified, under paragraph 4.25(2)(b), of the withdrawal of an authorisation to disclose CDR data; and</w:t>
      </w:r>
    </w:p>
    <w:p w14:paraId="51AB4930" w14:textId="77777777" w:rsidR="00CF0E3D" w:rsidRPr="00533E3F" w:rsidRDefault="00CF0E3D" w:rsidP="00CF0E3D">
      <w:pPr>
        <w:pStyle w:val="paragraph"/>
      </w:pPr>
      <w:r w:rsidRPr="00533E3F">
        <w:tab/>
        <w:t>(b)</w:t>
      </w:r>
      <w:r w:rsidRPr="00533E3F">
        <w:tab/>
        <w:t>the collection consent has not expired in accordance with subrule (1);</w:t>
      </w:r>
    </w:p>
    <w:p w14:paraId="332396B9" w14:textId="77777777" w:rsidR="00CF0E3D" w:rsidRPr="00533E3F" w:rsidRDefault="00CF0E3D" w:rsidP="00CF0E3D">
      <w:pPr>
        <w:pStyle w:val="subsection"/>
        <w:spacing w:before="40"/>
      </w:pPr>
      <w:r w:rsidRPr="00533E3F">
        <w:tab/>
      </w:r>
      <w:r w:rsidRPr="00533E3F">
        <w:tab/>
        <w:t>the collection consent to collect that CDR data expires when the accredited person receives that notification.</w:t>
      </w:r>
    </w:p>
    <w:p w14:paraId="7759FA57" w14:textId="77777777" w:rsidR="00CF0E3D" w:rsidRPr="00533E3F" w:rsidRDefault="00CF0E3D" w:rsidP="00CF0E3D">
      <w:pPr>
        <w:pStyle w:val="notetext"/>
      </w:pPr>
      <w:r w:rsidRPr="00533E3F">
        <w:t>Note:</w:t>
      </w:r>
      <w:r w:rsidRPr="00533E3F">
        <w:tab/>
        <w:t>This would not result in the use consent relating to any CDR data that had already been collected expiring. However, see the notification requirement of rule 4.18A.</w:t>
      </w:r>
    </w:p>
    <w:p w14:paraId="51E5D237" w14:textId="77777777" w:rsidR="00CF0E3D" w:rsidRPr="00533E3F" w:rsidRDefault="00CF0E3D" w:rsidP="00CF0E3D">
      <w:pPr>
        <w:pStyle w:val="subsection"/>
        <w:tabs>
          <w:tab w:val="left" w:pos="4536"/>
        </w:tabs>
      </w:pPr>
      <w:r w:rsidRPr="00533E3F">
        <w:tab/>
        <w:t>(1B)</w:t>
      </w:r>
      <w:r w:rsidRPr="00533E3F">
        <w:tab/>
        <w:t>If:</w:t>
      </w:r>
    </w:p>
    <w:p w14:paraId="78BE767F" w14:textId="77777777" w:rsidR="00CF0E3D" w:rsidRPr="00533E3F" w:rsidRDefault="00CF0E3D" w:rsidP="00CF0E3D">
      <w:pPr>
        <w:pStyle w:val="paragraph"/>
      </w:pPr>
      <w:r w:rsidRPr="00533E3F">
        <w:tab/>
        <w:t>(a)</w:t>
      </w:r>
      <w:r w:rsidRPr="00533E3F">
        <w:tab/>
        <w:t>an accredited person has a collection consent to collect particular CDR data from a particular accredited data recipient; and</w:t>
      </w:r>
    </w:p>
    <w:p w14:paraId="3DD4E344" w14:textId="77777777" w:rsidR="00CF0E3D" w:rsidRPr="00533E3F" w:rsidRDefault="00CF0E3D" w:rsidP="00CF0E3D">
      <w:pPr>
        <w:pStyle w:val="paragraph"/>
      </w:pPr>
      <w:r w:rsidRPr="00533E3F">
        <w:tab/>
        <w:t>(b)</w:t>
      </w:r>
      <w:r w:rsidRPr="00533E3F">
        <w:tab/>
        <w:t>the accredited data recipient has an AP disclosure consent to disclose that CDR data to that accredited person;</w:t>
      </w:r>
    </w:p>
    <w:p w14:paraId="2B1F8EBB" w14:textId="77777777" w:rsidR="00CF0E3D" w:rsidRPr="009B1CF7" w:rsidRDefault="00CF0E3D" w:rsidP="00CF0E3D">
      <w:pPr>
        <w:pStyle w:val="subsection"/>
        <w:spacing w:before="40"/>
      </w:pPr>
      <w:r w:rsidRPr="009B1CF7">
        <w:tab/>
      </w:r>
      <w:r w:rsidRPr="009B1CF7">
        <w:tab/>
        <w:t>then if one of those consents expires, the other expires when the accredited person or accredited data recipient is notified of the first</w:t>
      </w:r>
      <w:r>
        <w:noBreakHyphen/>
      </w:r>
      <w:r w:rsidRPr="009B1CF7">
        <w:t>mentioned expiry.</w:t>
      </w:r>
    </w:p>
    <w:p w14:paraId="74B36C67" w14:textId="77777777" w:rsidR="00CF0E3D" w:rsidRPr="009B1CF7" w:rsidRDefault="00CF0E3D" w:rsidP="00CF0E3D">
      <w:pPr>
        <w:pStyle w:val="subsection"/>
        <w:tabs>
          <w:tab w:val="left" w:pos="4536"/>
        </w:tabs>
      </w:pPr>
      <w:r w:rsidRPr="00533E3F">
        <w:tab/>
        <w:t>(1C)</w:t>
      </w:r>
      <w:r w:rsidRPr="00533E3F">
        <w:tab/>
        <w:t>If an accredited person becomes a data holder, rather than an accredited data recipient, of particular CDR data as a result of subsection 56AJ(4) of the Act</w:t>
      </w:r>
      <w:r w:rsidRPr="009B1CF7">
        <w:t>, all of that accredited person’s consents given under these rules that relate to that CDR data expire.</w:t>
      </w:r>
    </w:p>
    <w:p w14:paraId="2252AEC5" w14:textId="77777777" w:rsidR="00CF0E3D" w:rsidRDefault="00CF0E3D" w:rsidP="00CF0E3D">
      <w:pPr>
        <w:pStyle w:val="subsection"/>
        <w:tabs>
          <w:tab w:val="left" w:pos="4536"/>
        </w:tabs>
      </w:pPr>
      <w:r w:rsidRPr="00F07699">
        <w:tab/>
        <w:t>(2)</w:t>
      </w:r>
      <w:r w:rsidRPr="00F07699">
        <w:tab/>
        <w:t xml:space="preserve">If an accredited person’s accreditation is revoked or surrendered in accordance with rule 5.17, all </w:t>
      </w:r>
      <w:r w:rsidRPr="00533E3F">
        <w:t xml:space="preserve">of the accredited person’s </w:t>
      </w:r>
      <w:r w:rsidRPr="00D56478">
        <w:t xml:space="preserve">consents </w:t>
      </w:r>
      <w:r w:rsidRPr="00F07699">
        <w:t>expire when the revocation or surrender takes effect.</w:t>
      </w:r>
    </w:p>
    <w:p w14:paraId="59077F13" w14:textId="77777777" w:rsidR="00CF0E3D" w:rsidRPr="00F07699" w:rsidRDefault="00CF0E3D" w:rsidP="00CF0E3D">
      <w:pPr>
        <w:pStyle w:val="ActHead4"/>
      </w:pPr>
      <w:bookmarkStart w:id="229" w:name="_Toc50633084"/>
      <w:bookmarkStart w:id="230" w:name="_Toc57219040"/>
      <w:bookmarkStart w:id="231" w:name="_Toc59549151"/>
      <w:bookmarkStart w:id="232" w:name="_Toc74916147"/>
      <w:r w:rsidRPr="00F07699">
        <w:t>Subdivision 4.3.3—Information relating to de</w:t>
      </w:r>
      <w:r w:rsidRPr="00F07699">
        <w:noBreakHyphen/>
        <w:t>identification of CDR data</w:t>
      </w:r>
      <w:bookmarkEnd w:id="229"/>
      <w:bookmarkEnd w:id="230"/>
      <w:bookmarkEnd w:id="231"/>
      <w:bookmarkEnd w:id="232"/>
    </w:p>
    <w:p w14:paraId="0FA2EEFF" w14:textId="77777777" w:rsidR="00CF0E3D" w:rsidRPr="00F07699" w:rsidRDefault="00CF0E3D" w:rsidP="00CF0E3D">
      <w:pPr>
        <w:pStyle w:val="ActHead5"/>
      </w:pPr>
      <w:bookmarkStart w:id="233" w:name="_Toc50633085"/>
      <w:bookmarkStart w:id="234" w:name="_Toc57219041"/>
      <w:bookmarkStart w:id="235" w:name="_Toc59549152"/>
      <w:bookmarkStart w:id="236" w:name="_Toc74916148"/>
      <w:r w:rsidRPr="00F07699">
        <w:t>4.15  Additional information relating to de</w:t>
      </w:r>
      <w:r w:rsidRPr="00F07699">
        <w:noBreakHyphen/>
        <w:t>identification of CDR data</w:t>
      </w:r>
      <w:bookmarkEnd w:id="233"/>
      <w:bookmarkEnd w:id="234"/>
      <w:bookmarkEnd w:id="235"/>
      <w:bookmarkEnd w:id="236"/>
    </w:p>
    <w:p w14:paraId="78B7601C" w14:textId="77777777" w:rsidR="00CF0E3D" w:rsidRPr="00F07699" w:rsidRDefault="00CF0E3D" w:rsidP="00CF0E3D">
      <w:pPr>
        <w:pStyle w:val="subsection"/>
      </w:pPr>
      <w:r w:rsidRPr="00F07699">
        <w:tab/>
      </w:r>
      <w:r w:rsidRPr="00F07699">
        <w:tab/>
        <w:t>For paragraph 4.11(3)(e), the additional information relating to de</w:t>
      </w:r>
      <w:r w:rsidRPr="00F07699">
        <w:noBreakHyphen/>
        <w:t>identification is the following:</w:t>
      </w:r>
    </w:p>
    <w:p w14:paraId="2DEF0A35" w14:textId="77777777" w:rsidR="00CF0E3D" w:rsidRPr="00F07699" w:rsidRDefault="00CF0E3D" w:rsidP="00CF0E3D">
      <w:pPr>
        <w:pStyle w:val="paragraph"/>
      </w:pPr>
      <w:r w:rsidRPr="00F07699">
        <w:tab/>
        <w:t>(a)</w:t>
      </w:r>
      <w:r w:rsidRPr="00F07699">
        <w:tab/>
        <w:t>what the CDR data de</w:t>
      </w:r>
      <w:r w:rsidRPr="00F07699">
        <w:noBreakHyphen/>
        <w:t>identification process is;</w:t>
      </w:r>
    </w:p>
    <w:p w14:paraId="46676CCB" w14:textId="77777777" w:rsidR="00CF0E3D" w:rsidRPr="00A6091B" w:rsidRDefault="00CF0E3D" w:rsidP="00CF0E3D">
      <w:pPr>
        <w:pStyle w:val="paragraph"/>
      </w:pPr>
      <w:r w:rsidRPr="00A6091B">
        <w:tab/>
        <w:t>(b)</w:t>
      </w:r>
      <w:r w:rsidRPr="00A6091B">
        <w:tab/>
        <w:t>if it would disclose (by sale or otherwise) the de</w:t>
      </w:r>
      <w:r w:rsidRPr="00A6091B">
        <w:noBreakHyphen/>
        <w:t>identified data to one or more other persons;</w:t>
      </w:r>
    </w:p>
    <w:p w14:paraId="08C583E9" w14:textId="77777777" w:rsidR="00CF0E3D" w:rsidRPr="00A6091B" w:rsidRDefault="00CF0E3D" w:rsidP="00CF0E3D">
      <w:pPr>
        <w:pStyle w:val="paragraphsub"/>
      </w:pPr>
      <w:r w:rsidRPr="00A6091B">
        <w:tab/>
        <w:t>(i)</w:t>
      </w:r>
      <w:r w:rsidRPr="00A6091B">
        <w:tab/>
        <w:t>that fact; and</w:t>
      </w:r>
    </w:p>
    <w:p w14:paraId="1C624528" w14:textId="77777777" w:rsidR="00CF0E3D" w:rsidRPr="00A6091B" w:rsidRDefault="00CF0E3D" w:rsidP="00CF0E3D">
      <w:pPr>
        <w:pStyle w:val="paragraphsub"/>
      </w:pPr>
      <w:r w:rsidRPr="00A6091B">
        <w:tab/>
        <w:t>(ii)</w:t>
      </w:r>
      <w:r w:rsidRPr="00A6091B">
        <w:tab/>
        <w:t>the classes of persons to which it would disclose that data;</w:t>
      </w:r>
    </w:p>
    <w:p w14:paraId="0103DC43" w14:textId="77777777" w:rsidR="00CF0E3D" w:rsidRPr="00A6091B" w:rsidRDefault="00CF0E3D" w:rsidP="00CF0E3D">
      <w:pPr>
        <w:pStyle w:val="paragraphsub"/>
      </w:pPr>
      <w:r w:rsidRPr="00A6091B">
        <w:tab/>
        <w:t>(iii)</w:t>
      </w:r>
      <w:r w:rsidRPr="00A6091B">
        <w:tab/>
        <w:t>why it would so disclose that data;</w:t>
      </w:r>
    </w:p>
    <w:p w14:paraId="0C25A9D2" w14:textId="77777777" w:rsidR="00CF0E3D" w:rsidRPr="00A6091B" w:rsidRDefault="00CF0E3D" w:rsidP="00CF0E3D">
      <w:pPr>
        <w:pStyle w:val="paragraph"/>
        <w:rPr>
          <w:sz w:val="20"/>
        </w:rPr>
      </w:pPr>
      <w:r w:rsidRPr="00A6091B">
        <w:tab/>
        <w:t>(c)</w:t>
      </w:r>
      <w:r w:rsidRPr="00A6091B">
        <w:tab/>
        <w:t>if the accredited person would use the de</w:t>
      </w:r>
      <w:r w:rsidRPr="00A6091B">
        <w:noBreakHyphen/>
        <w:t>identified data for general research―that fact, together with a link to a description in the accredited person’s CDR policy of:</w:t>
      </w:r>
    </w:p>
    <w:p w14:paraId="1BF0889A" w14:textId="77777777" w:rsidR="00CF0E3D" w:rsidRPr="00A6091B" w:rsidRDefault="00CF0E3D" w:rsidP="00CF0E3D">
      <w:pPr>
        <w:pStyle w:val="paragraphsub"/>
      </w:pPr>
      <w:r w:rsidRPr="00A6091B">
        <w:tab/>
        <w:t>(i)</w:t>
      </w:r>
      <w:r w:rsidRPr="00A6091B">
        <w:tab/>
        <w:t>the research to be conducted; and</w:t>
      </w:r>
    </w:p>
    <w:p w14:paraId="75B53A78" w14:textId="77777777" w:rsidR="00CF0E3D" w:rsidRPr="00A6091B" w:rsidRDefault="00CF0E3D" w:rsidP="00CF0E3D">
      <w:pPr>
        <w:pStyle w:val="paragraphsub"/>
      </w:pPr>
      <w:r w:rsidRPr="00A6091B">
        <w:tab/>
        <w:t>(ii)</w:t>
      </w:r>
      <w:r w:rsidRPr="00A6091B">
        <w:tab/>
        <w:t>any additional benefit to be provided to the CDR consumer for consenting to the use;</w:t>
      </w:r>
    </w:p>
    <w:p w14:paraId="449110D5" w14:textId="77777777" w:rsidR="00CF0E3D" w:rsidRPr="00A6091B" w:rsidRDefault="00CF0E3D" w:rsidP="00CF0E3D">
      <w:pPr>
        <w:pStyle w:val="paragraph"/>
      </w:pPr>
      <w:r w:rsidRPr="00A6091B">
        <w:tab/>
        <w:t>(e)</w:t>
      </w:r>
      <w:r w:rsidRPr="00A6091B">
        <w:tab/>
        <w:t>that the CDR consumer would not be able to elect, in accordance with rule 4.16, to have the de</w:t>
      </w:r>
      <w:r w:rsidRPr="00A6091B">
        <w:noBreakHyphen/>
        <w:t>identified data deleted once it becomes redundant data.</w:t>
      </w:r>
    </w:p>
    <w:p w14:paraId="0C3F8796" w14:textId="77777777" w:rsidR="00CF0E3D" w:rsidRPr="00F07699" w:rsidRDefault="00CF0E3D" w:rsidP="00CF0E3D">
      <w:pPr>
        <w:pStyle w:val="ActHead4"/>
      </w:pPr>
      <w:bookmarkStart w:id="237" w:name="_Toc50633086"/>
      <w:bookmarkStart w:id="238" w:name="_Toc57219042"/>
      <w:bookmarkStart w:id="239" w:name="_Toc59549153"/>
      <w:bookmarkStart w:id="240" w:name="_Toc74916149"/>
      <w:r w:rsidRPr="00F07699">
        <w:t>Subdivision 4.3.4—Election to delete redundant data</w:t>
      </w:r>
      <w:bookmarkEnd w:id="237"/>
      <w:bookmarkEnd w:id="238"/>
      <w:bookmarkEnd w:id="239"/>
      <w:bookmarkEnd w:id="240"/>
    </w:p>
    <w:p w14:paraId="7C412E8D" w14:textId="77777777" w:rsidR="00CF0E3D" w:rsidRPr="00F07699" w:rsidRDefault="00CF0E3D" w:rsidP="00CF0E3D">
      <w:pPr>
        <w:pStyle w:val="ActHead5"/>
      </w:pPr>
      <w:bookmarkStart w:id="241" w:name="_Toc50114053"/>
      <w:bookmarkStart w:id="242" w:name="_Toc50633087"/>
      <w:bookmarkStart w:id="243" w:name="_Toc57219043"/>
      <w:bookmarkStart w:id="244" w:name="_Toc59549154"/>
      <w:bookmarkStart w:id="245" w:name="_Toc74916150"/>
      <w:r w:rsidRPr="00F07699">
        <w:t>4.16  Election to delete redundant data</w:t>
      </w:r>
      <w:bookmarkEnd w:id="241"/>
      <w:bookmarkEnd w:id="242"/>
      <w:bookmarkEnd w:id="243"/>
      <w:bookmarkEnd w:id="244"/>
      <w:bookmarkEnd w:id="245"/>
    </w:p>
    <w:p w14:paraId="6BA3C5BD" w14:textId="77777777" w:rsidR="00CF0E3D" w:rsidRPr="00533E3F" w:rsidRDefault="00CF0E3D" w:rsidP="00CF0E3D">
      <w:pPr>
        <w:pStyle w:val="subsection"/>
      </w:pPr>
      <w:r w:rsidRPr="00F07699">
        <w:tab/>
        <w:t>(1)</w:t>
      </w:r>
      <w:r w:rsidRPr="00F07699">
        <w:tab/>
        <w:t xml:space="preserve">The CDR consumer who gave a consent </w:t>
      </w:r>
      <w:r w:rsidRPr="00533E3F">
        <w:t>relating to particular CDR data may elect that the collected data, and any data derived from it, be deleted when it becomes redundant data:</w:t>
      </w:r>
    </w:p>
    <w:p w14:paraId="04E5E0DF" w14:textId="77777777" w:rsidR="00CF0E3D" w:rsidRPr="00533E3F" w:rsidRDefault="00CF0E3D" w:rsidP="00CF0E3D">
      <w:pPr>
        <w:pStyle w:val="paragraph"/>
      </w:pPr>
      <w:r w:rsidRPr="00533E3F">
        <w:tab/>
        <w:t>(a)</w:t>
      </w:r>
      <w:r w:rsidRPr="00533E3F">
        <w:tab/>
        <w:t>when giving the consent; or</w:t>
      </w:r>
    </w:p>
    <w:p w14:paraId="01F06C36" w14:textId="77777777" w:rsidR="00CF0E3D" w:rsidRPr="00533E3F" w:rsidRDefault="00CF0E3D" w:rsidP="00CF0E3D">
      <w:pPr>
        <w:pStyle w:val="paragraph"/>
      </w:pPr>
      <w:r w:rsidRPr="00533E3F">
        <w:tab/>
        <w:t>(b)</w:t>
      </w:r>
      <w:r w:rsidRPr="00533E3F">
        <w:tab/>
        <w:t>at any other time before the consent expires.</w:t>
      </w:r>
    </w:p>
    <w:p w14:paraId="7F73F2A2" w14:textId="77777777" w:rsidR="00CF0E3D" w:rsidRPr="00533E3F" w:rsidRDefault="00CF0E3D" w:rsidP="00CF0E3D">
      <w:pPr>
        <w:pStyle w:val="notetext"/>
      </w:pPr>
      <w:r w:rsidRPr="00533E3F">
        <w:t>Note:</w:t>
      </w:r>
      <w:r w:rsidRPr="00533E3F">
        <w:tab/>
        <w:t>See rule 7.12 for the effect of an election.</w:t>
      </w:r>
    </w:p>
    <w:p w14:paraId="1E3038B4" w14:textId="77777777" w:rsidR="00CF0E3D" w:rsidRPr="00533E3F" w:rsidRDefault="00CF0E3D" w:rsidP="00CF0E3D">
      <w:pPr>
        <w:pStyle w:val="subsection"/>
      </w:pPr>
      <w:r w:rsidRPr="00533E3F">
        <w:tab/>
        <w:t>(2)</w:t>
      </w:r>
      <w:r w:rsidRPr="00533E3F">
        <w:tab/>
        <w:t>The CDR consumer may make the election:</w:t>
      </w:r>
    </w:p>
    <w:p w14:paraId="3AFC0192" w14:textId="77777777" w:rsidR="00CF0E3D" w:rsidRPr="00533E3F" w:rsidRDefault="00CF0E3D" w:rsidP="00CF0E3D">
      <w:pPr>
        <w:pStyle w:val="paragraph"/>
      </w:pPr>
      <w:r w:rsidRPr="00533E3F">
        <w:tab/>
        <w:t>(a)</w:t>
      </w:r>
      <w:r w:rsidRPr="00533E3F">
        <w:tab/>
        <w:t>by communicating it to the accredited person in writing; or</w:t>
      </w:r>
    </w:p>
    <w:p w14:paraId="70D51002" w14:textId="77777777" w:rsidR="00CF0E3D" w:rsidRPr="00533E3F" w:rsidRDefault="00CF0E3D" w:rsidP="00CF0E3D">
      <w:pPr>
        <w:pStyle w:val="paragraph"/>
      </w:pPr>
      <w:r w:rsidRPr="00533E3F">
        <w:tab/>
        <w:t>(b)</w:t>
      </w:r>
      <w:r w:rsidRPr="00533E3F">
        <w:tab/>
        <w:t>by using the accredited person’s consumer dashboard.</w:t>
      </w:r>
    </w:p>
    <w:p w14:paraId="38D411FD" w14:textId="77777777" w:rsidR="00CF0E3D" w:rsidRPr="00F07699" w:rsidRDefault="00CF0E3D" w:rsidP="00CF0E3D">
      <w:pPr>
        <w:pStyle w:val="subsection"/>
      </w:pPr>
      <w:r w:rsidRPr="00533E3F">
        <w:tab/>
        <w:t>(3)</w:t>
      </w:r>
      <w:r w:rsidRPr="00533E3F">
        <w:tab/>
        <w:t>This rule does not apply if, when seeking the consent</w:t>
      </w:r>
      <w:r w:rsidRPr="00F07699">
        <w:t>, the accredited person informs the CDR consumer that they have a general policy of deleting CDR data when it becomes redundant data.</w:t>
      </w:r>
    </w:p>
    <w:p w14:paraId="3AC2FB17" w14:textId="285F4558" w:rsidR="00CF0E3D" w:rsidRPr="00F07699" w:rsidRDefault="00F25A41" w:rsidP="00F25A41">
      <w:pPr>
        <w:pStyle w:val="notetext"/>
      </w:pPr>
      <w:r>
        <w:t>Note:</w:t>
      </w:r>
      <w:r>
        <w:tab/>
      </w:r>
      <w:r w:rsidR="00CF0E3D" w:rsidRPr="00F07699">
        <w:t>See paragraph 4.17(1)(a).</w:t>
      </w:r>
    </w:p>
    <w:p w14:paraId="65277593" w14:textId="77777777" w:rsidR="00CF0E3D" w:rsidRPr="00F07699" w:rsidRDefault="00CF0E3D" w:rsidP="00CF0E3D">
      <w:pPr>
        <w:pStyle w:val="subsection"/>
      </w:pPr>
      <w:r w:rsidRPr="00F07699">
        <w:tab/>
        <w:t>(4)</w:t>
      </w:r>
      <w:r w:rsidRPr="00F07699">
        <w:tab/>
        <w:t>This rule does not require the deletion of derived CDR data that was de</w:t>
      </w:r>
      <w:r w:rsidRPr="00F07699">
        <w:noBreakHyphen/>
        <w:t>identified in accordance with the CDR data de</w:t>
      </w:r>
      <w:r w:rsidRPr="00F07699">
        <w:noBreakHyphen/>
        <w:t>identification process before the collected data from which it was derived became redundant.</w:t>
      </w:r>
    </w:p>
    <w:p w14:paraId="35D66889" w14:textId="77777777" w:rsidR="00CF0E3D" w:rsidRPr="00F07699" w:rsidRDefault="00CF0E3D" w:rsidP="00CF0E3D">
      <w:pPr>
        <w:pStyle w:val="ActHead5"/>
      </w:pPr>
      <w:bookmarkStart w:id="246" w:name="_Toc50114054"/>
      <w:bookmarkStart w:id="247" w:name="_Toc50633088"/>
      <w:bookmarkStart w:id="248" w:name="_Toc57219044"/>
      <w:bookmarkStart w:id="249" w:name="_Toc59549155"/>
      <w:bookmarkStart w:id="250" w:name="_Toc74916151"/>
      <w:r w:rsidRPr="00F07699">
        <w:t>4.17  Information relating to redundant data</w:t>
      </w:r>
      <w:bookmarkEnd w:id="246"/>
      <w:bookmarkEnd w:id="247"/>
      <w:bookmarkEnd w:id="248"/>
      <w:bookmarkEnd w:id="249"/>
      <w:bookmarkEnd w:id="250"/>
    </w:p>
    <w:p w14:paraId="7D752B54" w14:textId="77777777" w:rsidR="00CF0E3D" w:rsidRDefault="00CF0E3D" w:rsidP="00CF0E3D">
      <w:pPr>
        <w:pStyle w:val="subsection"/>
      </w:pPr>
      <w:r w:rsidRPr="00F07699">
        <w:tab/>
        <w:t>(1)</w:t>
      </w:r>
      <w:r w:rsidRPr="00F07699">
        <w:tab/>
        <w:t>For subparagraph 4.11(3)(h)</w:t>
      </w:r>
      <w:r w:rsidRPr="004E01F4">
        <w:t>(i)</w:t>
      </w:r>
      <w:r w:rsidRPr="00F07699">
        <w:t>, the accredited person must state whether they have a general policy, when collected CDR data becomes redundant data, of:</w:t>
      </w:r>
    </w:p>
    <w:p w14:paraId="130C345F" w14:textId="77777777" w:rsidR="00CF0E3D" w:rsidRPr="00F07699" w:rsidRDefault="00CF0E3D" w:rsidP="00CF0E3D">
      <w:pPr>
        <w:pStyle w:val="paragraph"/>
      </w:pPr>
      <w:r w:rsidRPr="00F07699">
        <w:tab/>
        <w:t>(a)</w:t>
      </w:r>
      <w:r w:rsidRPr="00F07699">
        <w:tab/>
        <w:t>deleting the redundant data; or</w:t>
      </w:r>
    </w:p>
    <w:p w14:paraId="5641E7EB" w14:textId="77777777" w:rsidR="00CF0E3D" w:rsidRPr="00F07699" w:rsidRDefault="00CF0E3D" w:rsidP="00CF0E3D">
      <w:pPr>
        <w:pStyle w:val="paragraph"/>
      </w:pPr>
      <w:r w:rsidRPr="00F07699">
        <w:tab/>
        <w:t>(b)</w:t>
      </w:r>
      <w:r w:rsidRPr="00F07699">
        <w:tab/>
        <w:t>de</w:t>
      </w:r>
      <w:r w:rsidRPr="00F07699">
        <w:noBreakHyphen/>
        <w:t>identifying the redundant data; or</w:t>
      </w:r>
    </w:p>
    <w:p w14:paraId="396B002F" w14:textId="77777777" w:rsidR="00CF0E3D" w:rsidRPr="00F07699" w:rsidRDefault="00CF0E3D" w:rsidP="00CF0E3D">
      <w:pPr>
        <w:pStyle w:val="paragraph"/>
      </w:pPr>
      <w:r w:rsidRPr="00F07699">
        <w:tab/>
        <w:t>(c)</w:t>
      </w:r>
      <w:r w:rsidRPr="00F07699">
        <w:tab/>
        <w:t>deciding, when the CDR data becomes redundant data, whether to delete it or de</w:t>
      </w:r>
      <w:r w:rsidRPr="00F07699">
        <w:noBreakHyphen/>
        <w:t>identify it.</w:t>
      </w:r>
    </w:p>
    <w:p w14:paraId="58F2CE6F" w14:textId="77777777" w:rsidR="00CF0E3D" w:rsidRPr="00F07699" w:rsidRDefault="00CF0E3D" w:rsidP="00CF0E3D">
      <w:pPr>
        <w:pStyle w:val="subsection"/>
      </w:pPr>
      <w:r w:rsidRPr="00F07699">
        <w:tab/>
        <w:t>(2)</w:t>
      </w:r>
      <w:r w:rsidRPr="00F07699">
        <w:tab/>
        <w:t>An accredited person that gives the statement referred to in paragraph (1)(b) or (c) must also state:</w:t>
      </w:r>
    </w:p>
    <w:p w14:paraId="75E65D79" w14:textId="77777777" w:rsidR="00CF0E3D" w:rsidRPr="00F07699" w:rsidRDefault="00CF0E3D" w:rsidP="00CF0E3D">
      <w:pPr>
        <w:pStyle w:val="paragraph"/>
      </w:pPr>
      <w:r w:rsidRPr="00F07699">
        <w:tab/>
        <w:t>(a)</w:t>
      </w:r>
      <w:r w:rsidRPr="00F07699">
        <w:tab/>
        <w:t>that, if it de</w:t>
      </w:r>
      <w:r w:rsidRPr="00F07699">
        <w:noBreakHyphen/>
        <w:t>identifies the redundant data:</w:t>
      </w:r>
    </w:p>
    <w:p w14:paraId="219CF367" w14:textId="77777777" w:rsidR="00CF0E3D" w:rsidRPr="00F07699" w:rsidRDefault="00CF0E3D" w:rsidP="00CF0E3D">
      <w:pPr>
        <w:pStyle w:val="paragraphsub"/>
      </w:pPr>
      <w:r w:rsidRPr="00F07699">
        <w:tab/>
        <w:t>(i)</w:t>
      </w:r>
      <w:r w:rsidRPr="00F07699">
        <w:tab/>
        <w:t>it would apply the CDR data de</w:t>
      </w:r>
      <w:r w:rsidRPr="00F07699">
        <w:noBreakHyphen/>
        <w:t>identification process; and</w:t>
      </w:r>
    </w:p>
    <w:p w14:paraId="1D32876B" w14:textId="77777777" w:rsidR="00CF0E3D" w:rsidRPr="00F07699" w:rsidRDefault="00CF0E3D" w:rsidP="00CF0E3D">
      <w:pPr>
        <w:pStyle w:val="paragraphsub"/>
      </w:pPr>
      <w:r w:rsidRPr="00F07699">
        <w:tab/>
        <w:t>(ii)</w:t>
      </w:r>
      <w:r w:rsidRPr="00F07699">
        <w:tab/>
        <w:t>it would be able to use or, if applicable, disclose (by sale or otherwise) the de</w:t>
      </w:r>
      <w:r w:rsidRPr="00F07699">
        <w:noBreakHyphen/>
        <w:t>identified redundant data without seeking further consent from the CDR consumer; and</w:t>
      </w:r>
    </w:p>
    <w:p w14:paraId="3681D4E9" w14:textId="77777777" w:rsidR="00CF0E3D" w:rsidRPr="00F07699" w:rsidRDefault="00CF0E3D" w:rsidP="00CF0E3D">
      <w:pPr>
        <w:pStyle w:val="paragraph"/>
      </w:pPr>
      <w:r w:rsidRPr="00F07699">
        <w:tab/>
        <w:t>(b)</w:t>
      </w:r>
      <w:r w:rsidRPr="00F07699">
        <w:tab/>
        <w:t>what de</w:t>
      </w:r>
      <w:r w:rsidRPr="00F07699">
        <w:noBreakHyphen/>
        <w:t>identification of CDR data in accordance with the CDR data de</w:t>
      </w:r>
      <w:r w:rsidRPr="00F07699">
        <w:noBreakHyphen/>
        <w:t>identification process means; and</w:t>
      </w:r>
    </w:p>
    <w:p w14:paraId="2DD1BB99" w14:textId="77777777" w:rsidR="00CF0E3D" w:rsidRPr="00F07699" w:rsidRDefault="00CF0E3D" w:rsidP="00CF0E3D">
      <w:pPr>
        <w:pStyle w:val="paragraph"/>
      </w:pPr>
      <w:r w:rsidRPr="00F07699">
        <w:tab/>
        <w:t>(c)</w:t>
      </w:r>
      <w:r w:rsidRPr="00F07699">
        <w:tab/>
        <w:t>if applicable, examples of how it could use the redundant data once de</w:t>
      </w:r>
      <w:r w:rsidRPr="00F07699">
        <w:noBreakHyphen/>
        <w:t>identified.</w:t>
      </w:r>
    </w:p>
    <w:p w14:paraId="6216A4F6" w14:textId="77777777" w:rsidR="00CF0E3D" w:rsidRPr="00F07699" w:rsidRDefault="00CF0E3D" w:rsidP="00CF0E3D">
      <w:pPr>
        <w:pStyle w:val="notetext"/>
      </w:pPr>
      <w:r w:rsidRPr="00F07699">
        <w:t xml:space="preserve">Note: </w:t>
      </w:r>
      <w:r w:rsidRPr="00F07699">
        <w:tab/>
        <w:t>For the CDR data de</w:t>
      </w:r>
      <w:r w:rsidRPr="00F07699">
        <w:noBreakHyphen/>
        <w:t>identification process, see rule 1.17.</w:t>
      </w:r>
    </w:p>
    <w:p w14:paraId="19C35D0B" w14:textId="77777777" w:rsidR="00CF0E3D" w:rsidRPr="00F07699" w:rsidRDefault="00CF0E3D" w:rsidP="00CF0E3D">
      <w:pPr>
        <w:pStyle w:val="ActHead4"/>
      </w:pPr>
      <w:bookmarkStart w:id="251" w:name="_Toc50633089"/>
      <w:bookmarkStart w:id="252" w:name="_Toc57219045"/>
      <w:bookmarkStart w:id="253" w:name="_Toc59549156"/>
      <w:bookmarkStart w:id="254" w:name="_Toc74916152"/>
      <w:r w:rsidRPr="00F07699">
        <w:t>Subdivision 4.3.5—Notification requirements</w:t>
      </w:r>
      <w:bookmarkEnd w:id="251"/>
      <w:bookmarkEnd w:id="252"/>
      <w:bookmarkEnd w:id="253"/>
      <w:bookmarkEnd w:id="254"/>
    </w:p>
    <w:p w14:paraId="76D52325" w14:textId="77777777" w:rsidR="00CF0E3D" w:rsidRPr="00F07699" w:rsidRDefault="00CF0E3D" w:rsidP="00CF0E3D">
      <w:pPr>
        <w:pStyle w:val="ActHead5"/>
      </w:pPr>
      <w:bookmarkStart w:id="255" w:name="_Toc50114056"/>
      <w:bookmarkStart w:id="256" w:name="_Toc50633090"/>
      <w:bookmarkStart w:id="257" w:name="_Toc57219046"/>
      <w:bookmarkStart w:id="258" w:name="_Toc59549157"/>
      <w:bookmarkStart w:id="259" w:name="_Toc74916153"/>
      <w:r w:rsidRPr="00F07699">
        <w:t>4.18  CDR receipts</w:t>
      </w:r>
      <w:bookmarkEnd w:id="255"/>
      <w:bookmarkEnd w:id="256"/>
      <w:bookmarkEnd w:id="257"/>
      <w:bookmarkEnd w:id="258"/>
      <w:bookmarkEnd w:id="259"/>
    </w:p>
    <w:p w14:paraId="69B22C76" w14:textId="77777777" w:rsidR="00CF0E3D" w:rsidRPr="00F07699" w:rsidRDefault="00CF0E3D" w:rsidP="00CF0E3D">
      <w:pPr>
        <w:pStyle w:val="subsection"/>
      </w:pPr>
      <w:r w:rsidRPr="00F07699">
        <w:tab/>
        <w:t>(1)</w:t>
      </w:r>
      <w:r w:rsidRPr="00F07699">
        <w:tab/>
        <w:t>The accredited person must give the CDR consumer a notice that complies with this rule (a</w:t>
      </w:r>
      <w:r w:rsidRPr="00F07699">
        <w:rPr>
          <w:b/>
          <w:i/>
        </w:rPr>
        <w:t xml:space="preserve"> CDR receipt</w:t>
      </w:r>
      <w:r w:rsidRPr="00F07699">
        <w:t>) as soon as practicable after:</w:t>
      </w:r>
    </w:p>
    <w:p w14:paraId="7360ABF7" w14:textId="77777777" w:rsidR="00CF0E3D" w:rsidRPr="004E01F4" w:rsidRDefault="00CF0E3D" w:rsidP="00CF0E3D">
      <w:pPr>
        <w:pStyle w:val="paragraph"/>
      </w:pPr>
      <w:r w:rsidRPr="004E01F4">
        <w:tab/>
        <w:t>(a)</w:t>
      </w:r>
      <w:r w:rsidRPr="004E01F4">
        <w:tab/>
        <w:t>the CDR consumer gives the accredited person a collection consent, a use consent or a disclosure consent; or</w:t>
      </w:r>
    </w:p>
    <w:p w14:paraId="5EB221A8" w14:textId="77777777" w:rsidR="00CF0E3D" w:rsidRPr="004E01F4" w:rsidRDefault="00CF0E3D" w:rsidP="00CF0E3D">
      <w:pPr>
        <w:pStyle w:val="paragraph"/>
      </w:pPr>
      <w:r w:rsidRPr="004E01F4">
        <w:tab/>
        <w:t>(aa)</w:t>
      </w:r>
      <w:r w:rsidRPr="004E01F4">
        <w:tab/>
        <w:t>the CDR consumer amends such a consent in accordance with this Part; or</w:t>
      </w:r>
    </w:p>
    <w:p w14:paraId="72C21ED7" w14:textId="77777777" w:rsidR="00CF0E3D" w:rsidRPr="004E01F4" w:rsidRDefault="00CF0E3D" w:rsidP="00CF0E3D">
      <w:pPr>
        <w:pStyle w:val="paragraph"/>
      </w:pPr>
      <w:r w:rsidRPr="004E01F4">
        <w:tab/>
        <w:t>(b)</w:t>
      </w:r>
      <w:r w:rsidRPr="004E01F4">
        <w:tab/>
        <w:t>the CDR consumer withdraws such a consent in accordance with rule 4.13</w:t>
      </w:r>
    </w:p>
    <w:p w14:paraId="1C262521" w14:textId="77777777" w:rsidR="00CF0E3D" w:rsidRPr="004E01F4" w:rsidRDefault="00CF0E3D" w:rsidP="00CF0E3D">
      <w:pPr>
        <w:pStyle w:val="notetext"/>
      </w:pPr>
      <w:r w:rsidRPr="004E01F4">
        <w:t>Note:</w:t>
      </w:r>
      <w:r w:rsidRPr="004E01F4">
        <w:tab/>
        <w:t>This subrule is a civil penalty provision (see rule 9.8).</w:t>
      </w:r>
    </w:p>
    <w:p w14:paraId="7E6B22C0" w14:textId="77777777" w:rsidR="00CF0E3D" w:rsidRPr="004E01F4" w:rsidRDefault="00CF0E3D" w:rsidP="00CF0E3D">
      <w:pPr>
        <w:pStyle w:val="subsection"/>
      </w:pPr>
      <w:r w:rsidRPr="004E01F4">
        <w:tab/>
        <w:t>(2)</w:t>
      </w:r>
      <w:r w:rsidRPr="004E01F4">
        <w:tab/>
        <w:t>A CDR receipt given for the purposes of paragraph (1)(a) must set out:</w:t>
      </w:r>
    </w:p>
    <w:p w14:paraId="6F210FB1" w14:textId="77777777" w:rsidR="00CF0E3D" w:rsidRPr="004E01F4" w:rsidRDefault="00CF0E3D" w:rsidP="00CF0E3D">
      <w:pPr>
        <w:pStyle w:val="paragraph"/>
      </w:pPr>
      <w:r w:rsidRPr="004E01F4">
        <w:tab/>
        <w:t>(a)</w:t>
      </w:r>
      <w:r w:rsidRPr="004E01F4">
        <w:tab/>
        <w:t>the details that relate to the consent that are listed in paragraphs 1.14(3)(a) to (f); and</w:t>
      </w:r>
    </w:p>
    <w:p w14:paraId="6263E186" w14:textId="77777777" w:rsidR="00CF0E3D" w:rsidRPr="004E01F4" w:rsidRDefault="00CF0E3D" w:rsidP="00CF0E3D">
      <w:pPr>
        <w:pStyle w:val="paragraph"/>
      </w:pPr>
      <w:r w:rsidRPr="004E01F4">
        <w:tab/>
        <w:t>(b)</w:t>
      </w:r>
      <w:r w:rsidRPr="004E01F4">
        <w:tab/>
        <w:t>in the case of a collection consent―th</w:t>
      </w:r>
      <w:r>
        <w:t xml:space="preserve">e name of each CDR participant </w:t>
      </w:r>
      <w:r w:rsidRPr="004E01F4">
        <w:t>the CDR consumer has consented to the collection of CDR data from; and</w:t>
      </w:r>
    </w:p>
    <w:p w14:paraId="2CCFC4FF" w14:textId="77777777" w:rsidR="00CF0E3D" w:rsidRPr="004E01F4" w:rsidRDefault="00CF0E3D" w:rsidP="00CF0E3D">
      <w:pPr>
        <w:pStyle w:val="paragraph"/>
      </w:pPr>
      <w:r w:rsidRPr="004E01F4">
        <w:tab/>
        <w:t>(ba)</w:t>
      </w:r>
      <w:r w:rsidRPr="004E01F4">
        <w:tab/>
        <w:t>in the case of a disclosure consent―the name of the person the CDR consumer has consented to the disclosure of CDR data to; and</w:t>
      </w:r>
    </w:p>
    <w:p w14:paraId="39C53305" w14:textId="77777777" w:rsidR="00CF0E3D" w:rsidRPr="004E01F4" w:rsidRDefault="00CF0E3D" w:rsidP="00CF0E3D">
      <w:pPr>
        <w:pStyle w:val="paragraph"/>
      </w:pPr>
      <w:r w:rsidRPr="004E01F4">
        <w:tab/>
        <w:t>(c)</w:t>
      </w:r>
      <w:r w:rsidRPr="004E01F4">
        <w:tab/>
        <w:t>any other information the accredited person provided to the CDR consumer when obtaining the consent (see rule 4.11).</w:t>
      </w:r>
    </w:p>
    <w:p w14:paraId="5D430C20" w14:textId="77777777" w:rsidR="00CF0E3D" w:rsidRPr="004E01F4" w:rsidRDefault="00CF0E3D" w:rsidP="00CF0E3D">
      <w:pPr>
        <w:pStyle w:val="subsection"/>
      </w:pPr>
      <w:r w:rsidRPr="004E01F4">
        <w:tab/>
        <w:t>(2A)</w:t>
      </w:r>
      <w:r w:rsidRPr="004E01F4">
        <w:tab/>
        <w:t>A CDR receipt given for the purposes of paragraph (1)(aa) must set out details of each amendment that has been made to the consent.</w:t>
      </w:r>
    </w:p>
    <w:p w14:paraId="70350223" w14:textId="77777777" w:rsidR="00CF0E3D" w:rsidRPr="00F07699" w:rsidRDefault="00CF0E3D" w:rsidP="00CF0E3D">
      <w:pPr>
        <w:pStyle w:val="subsection"/>
      </w:pPr>
      <w:r w:rsidRPr="00F07699">
        <w:tab/>
        <w:t>(3)</w:t>
      </w:r>
      <w:r w:rsidRPr="00F07699">
        <w:tab/>
        <w:t>A CDR receipt given for the purposes of paragraph (1)(b) must set out when the consent expired.</w:t>
      </w:r>
    </w:p>
    <w:p w14:paraId="3C9FE2BD" w14:textId="77777777" w:rsidR="00CF0E3D" w:rsidRPr="00F07699" w:rsidRDefault="00CF0E3D" w:rsidP="00CF0E3D">
      <w:pPr>
        <w:pStyle w:val="subsection"/>
      </w:pPr>
      <w:r w:rsidRPr="00F07699">
        <w:tab/>
        <w:t>(4)</w:t>
      </w:r>
      <w:r w:rsidRPr="00F07699">
        <w:tab/>
        <w:t>A CDR receipt must be given in writing otherwise than through the CDR consumer’s consumer dashboard.</w:t>
      </w:r>
    </w:p>
    <w:p w14:paraId="5CCA4766" w14:textId="77777777" w:rsidR="00CF0E3D" w:rsidRPr="00F07699" w:rsidRDefault="00CF0E3D" w:rsidP="00CF0E3D">
      <w:pPr>
        <w:pStyle w:val="subsection"/>
      </w:pPr>
      <w:r w:rsidRPr="00F07699">
        <w:tab/>
        <w:t>(5)</w:t>
      </w:r>
      <w:r w:rsidRPr="00F07699">
        <w:tab/>
        <w:t>A copy of the CDR receipt may be included in the CDR consumer’s consumer dashboard.</w:t>
      </w:r>
    </w:p>
    <w:p w14:paraId="5721EC9E" w14:textId="77777777" w:rsidR="00CF0E3D" w:rsidRPr="004E01F4" w:rsidRDefault="00CF0E3D" w:rsidP="00CF0E3D">
      <w:pPr>
        <w:pStyle w:val="ActHead5"/>
      </w:pPr>
      <w:bookmarkStart w:id="260" w:name="_Toc50114057"/>
      <w:bookmarkStart w:id="261" w:name="_Toc57219047"/>
      <w:bookmarkStart w:id="262" w:name="_Toc59549158"/>
      <w:bookmarkStart w:id="263" w:name="_Toc74916154"/>
      <w:r w:rsidRPr="004E01F4">
        <w:t>4.18A  Notification if collection consent expires</w:t>
      </w:r>
      <w:bookmarkEnd w:id="260"/>
      <w:bookmarkEnd w:id="261"/>
      <w:bookmarkEnd w:id="262"/>
      <w:bookmarkEnd w:id="263"/>
    </w:p>
    <w:p w14:paraId="4B7F5E10" w14:textId="77777777" w:rsidR="00CF0E3D" w:rsidRPr="004E01F4" w:rsidRDefault="00CF0E3D" w:rsidP="00CF0E3D">
      <w:pPr>
        <w:pStyle w:val="subsection"/>
      </w:pPr>
      <w:r w:rsidRPr="004E01F4">
        <w:tab/>
        <w:t>(1)</w:t>
      </w:r>
      <w:r w:rsidRPr="004E01F4">
        <w:tab/>
        <w:t>This rule applies if, in relation to particular goods or services an accredited person is providing as referred to in subrule 4.3(1):</w:t>
      </w:r>
    </w:p>
    <w:p w14:paraId="70485E88" w14:textId="77777777" w:rsidR="00CF0E3D" w:rsidRPr="004E01F4" w:rsidRDefault="00CF0E3D" w:rsidP="00CF0E3D">
      <w:pPr>
        <w:pStyle w:val="paragraph"/>
      </w:pPr>
      <w:r w:rsidRPr="004E01F4">
        <w:tab/>
        <w:t>(a)</w:t>
      </w:r>
      <w:r w:rsidRPr="004E01F4">
        <w:tab/>
        <w:t>the collection consent expires; but</w:t>
      </w:r>
    </w:p>
    <w:p w14:paraId="235F75A1" w14:textId="77777777" w:rsidR="00CF0E3D" w:rsidRPr="004E01F4" w:rsidRDefault="00CF0E3D" w:rsidP="00CF0E3D">
      <w:pPr>
        <w:pStyle w:val="paragraph"/>
      </w:pPr>
      <w:r w:rsidRPr="004E01F4">
        <w:tab/>
        <w:t>(b)</w:t>
      </w:r>
      <w:r w:rsidRPr="004E01F4">
        <w:tab/>
        <w:t>the use consent is current.</w:t>
      </w:r>
    </w:p>
    <w:p w14:paraId="20305C76" w14:textId="77777777" w:rsidR="00CF0E3D" w:rsidRPr="004E01F4" w:rsidRDefault="00CF0E3D" w:rsidP="00CF0E3D">
      <w:pPr>
        <w:pStyle w:val="subsection"/>
      </w:pPr>
      <w:r w:rsidRPr="004E01F4">
        <w:tab/>
        <w:t>(2)</w:t>
      </w:r>
      <w:r w:rsidRPr="004E01F4">
        <w:tab/>
        <w:t xml:space="preserve">The accredited person must notify the CDR consumer </w:t>
      </w:r>
      <w:r w:rsidRPr="00A6091B">
        <w:t xml:space="preserve">as soon as practicable </w:t>
      </w:r>
      <w:r w:rsidRPr="004E01F4">
        <w:t>that, at any time, they:</w:t>
      </w:r>
    </w:p>
    <w:p w14:paraId="7A57CC77" w14:textId="77777777" w:rsidR="00CF0E3D" w:rsidRPr="004E01F4" w:rsidRDefault="00CF0E3D" w:rsidP="00CF0E3D">
      <w:pPr>
        <w:pStyle w:val="paragraph"/>
      </w:pPr>
      <w:r w:rsidRPr="004E01F4">
        <w:tab/>
        <w:t>(a)</w:t>
      </w:r>
      <w:r w:rsidRPr="004E01F4">
        <w:tab/>
        <w:t>may withdraw the use consent; and</w:t>
      </w:r>
    </w:p>
    <w:p w14:paraId="154BFAE0" w14:textId="77777777" w:rsidR="00CF0E3D" w:rsidRPr="004E01F4" w:rsidRDefault="00CF0E3D" w:rsidP="00CF0E3D">
      <w:pPr>
        <w:pStyle w:val="paragraph"/>
      </w:pPr>
      <w:r w:rsidRPr="004E01F4">
        <w:tab/>
        <w:t>(b)</w:t>
      </w:r>
      <w:r w:rsidRPr="004E01F4">
        <w:tab/>
        <w:t>may make the election to delete redundant data in respect of that CDR data under rule 4.16.</w:t>
      </w:r>
    </w:p>
    <w:p w14:paraId="1EE430C7" w14:textId="77777777" w:rsidR="00CF0E3D" w:rsidRPr="004E01F4" w:rsidRDefault="00CF0E3D" w:rsidP="00CF0E3D">
      <w:pPr>
        <w:pStyle w:val="notetext"/>
      </w:pPr>
      <w:r w:rsidRPr="004E01F4">
        <w:t>Note:</w:t>
      </w:r>
      <w:r w:rsidRPr="004E01F4">
        <w:tab/>
        <w:t>This subrule is a civil penalty provision (see rule 9.8).</w:t>
      </w:r>
    </w:p>
    <w:p w14:paraId="33300E1F" w14:textId="77777777" w:rsidR="00CF0E3D" w:rsidRPr="004E01F4" w:rsidRDefault="00CF0E3D" w:rsidP="00CF0E3D">
      <w:pPr>
        <w:pStyle w:val="subsection"/>
      </w:pPr>
      <w:r w:rsidRPr="004E01F4">
        <w:tab/>
        <w:t>(3)</w:t>
      </w:r>
      <w:r w:rsidRPr="004E01F4">
        <w:tab/>
        <w:t>The notification must be given in writing otherwise than through the CDR consumer’s consumer dashboard.</w:t>
      </w:r>
    </w:p>
    <w:p w14:paraId="559A8E35" w14:textId="77777777" w:rsidR="00CF0E3D" w:rsidRPr="004E01F4" w:rsidRDefault="00CF0E3D" w:rsidP="00CF0E3D">
      <w:pPr>
        <w:pStyle w:val="subsection"/>
      </w:pPr>
      <w:r w:rsidRPr="004E01F4">
        <w:tab/>
        <w:t>(4)</w:t>
      </w:r>
      <w:r w:rsidRPr="004E01F4">
        <w:tab/>
        <w:t>The notification may also be included in the CDR consumer’s consumer dashboard.</w:t>
      </w:r>
    </w:p>
    <w:p w14:paraId="254E6404" w14:textId="77777777" w:rsidR="00CF0E3D" w:rsidRPr="004E01F4" w:rsidRDefault="00CF0E3D" w:rsidP="00CF0E3D">
      <w:pPr>
        <w:pStyle w:val="ActHead5"/>
      </w:pPr>
      <w:bookmarkStart w:id="264" w:name="_Toc50114058"/>
      <w:bookmarkStart w:id="265" w:name="_Toc57219048"/>
      <w:bookmarkStart w:id="266" w:name="_Toc59549159"/>
      <w:bookmarkStart w:id="267" w:name="_Toc74916155"/>
      <w:r w:rsidRPr="004E01F4">
        <w:t>4.18B  Notification if collection consent or AP disclosure consent</w:t>
      </w:r>
      <w:bookmarkEnd w:id="264"/>
      <w:r w:rsidRPr="004E01F4">
        <w:t xml:space="preserve"> expires</w:t>
      </w:r>
      <w:bookmarkEnd w:id="265"/>
      <w:bookmarkEnd w:id="266"/>
      <w:bookmarkEnd w:id="267"/>
    </w:p>
    <w:p w14:paraId="4B5FC259" w14:textId="77777777" w:rsidR="00CF0E3D" w:rsidRPr="004E01F4" w:rsidRDefault="00CF0E3D" w:rsidP="00CF0E3D">
      <w:pPr>
        <w:pStyle w:val="subsection"/>
        <w:tabs>
          <w:tab w:val="left" w:pos="4536"/>
        </w:tabs>
      </w:pPr>
      <w:r w:rsidRPr="004E01F4">
        <w:tab/>
        <w:t>(1)</w:t>
      </w:r>
      <w:r w:rsidRPr="004E01F4">
        <w:tab/>
        <w:t>This rule applies if:</w:t>
      </w:r>
    </w:p>
    <w:p w14:paraId="33AFA274" w14:textId="77777777" w:rsidR="00CF0E3D" w:rsidRPr="004E01F4" w:rsidRDefault="00CF0E3D" w:rsidP="00CF0E3D">
      <w:pPr>
        <w:pStyle w:val="paragraph"/>
      </w:pPr>
      <w:r w:rsidRPr="004E01F4">
        <w:tab/>
        <w:t>(a)</w:t>
      </w:r>
      <w:r w:rsidRPr="004E01F4">
        <w:tab/>
        <w:t>an accredited person has a collection consent relating to particular CDR data and a particular accredited data recipient; and</w:t>
      </w:r>
    </w:p>
    <w:p w14:paraId="73F818F9" w14:textId="77777777" w:rsidR="00CF0E3D" w:rsidRPr="004E01F4" w:rsidRDefault="00CF0E3D" w:rsidP="00CF0E3D">
      <w:pPr>
        <w:pStyle w:val="paragraph"/>
      </w:pPr>
      <w:r w:rsidRPr="004E01F4">
        <w:tab/>
        <w:t>(b)</w:t>
      </w:r>
      <w:r w:rsidRPr="004E01F4">
        <w:tab/>
        <w:t>the accredited data recipient has an AP disclosure consent relating to that CDR data and that accredited person.</w:t>
      </w:r>
    </w:p>
    <w:p w14:paraId="0FE30AB0" w14:textId="77777777" w:rsidR="00CF0E3D" w:rsidRPr="004E01F4" w:rsidRDefault="00CF0E3D" w:rsidP="00CF0E3D">
      <w:pPr>
        <w:pStyle w:val="subsection"/>
      </w:pPr>
      <w:r w:rsidRPr="004E01F4">
        <w:tab/>
        <w:t>(2)</w:t>
      </w:r>
      <w:r w:rsidRPr="004E01F4">
        <w:tab/>
        <w:t xml:space="preserve">If the collection consent expires in accordance with these rules, the accredited person must notify the accredited data recipient </w:t>
      </w:r>
      <w:r w:rsidRPr="00A6091B">
        <w:t xml:space="preserve">as soon as practicable </w:t>
      </w:r>
      <w:r w:rsidRPr="004E01F4">
        <w:t>of the expiry.</w:t>
      </w:r>
    </w:p>
    <w:p w14:paraId="141DA9BA" w14:textId="77777777" w:rsidR="00CF0E3D" w:rsidRPr="004E01F4" w:rsidRDefault="00CF0E3D" w:rsidP="00CF0E3D">
      <w:pPr>
        <w:pStyle w:val="notetext"/>
      </w:pPr>
      <w:r w:rsidRPr="004E01F4">
        <w:t>Note:</w:t>
      </w:r>
      <w:r w:rsidRPr="004E01F4">
        <w:tab/>
        <w:t>This subrule is a civil penalty provision (see rule 9.8).</w:t>
      </w:r>
    </w:p>
    <w:p w14:paraId="5105095B" w14:textId="77777777" w:rsidR="00CF0E3D" w:rsidRPr="004E01F4" w:rsidRDefault="00CF0E3D" w:rsidP="00CF0E3D">
      <w:pPr>
        <w:pStyle w:val="subsection"/>
      </w:pPr>
      <w:r w:rsidRPr="004E01F4">
        <w:tab/>
        <w:t>(3)</w:t>
      </w:r>
      <w:r w:rsidRPr="004E01F4">
        <w:tab/>
        <w:t xml:space="preserve">If the AP disclosure consent expires in accordance with these rules, the accredited data recipient must notify the accredited </w:t>
      </w:r>
      <w:r w:rsidRPr="00A6091B">
        <w:t xml:space="preserve">person as soon as practicable </w:t>
      </w:r>
      <w:r w:rsidRPr="004E01F4">
        <w:t>of the expiry.</w:t>
      </w:r>
    </w:p>
    <w:p w14:paraId="4944B828" w14:textId="77777777" w:rsidR="00CF0E3D" w:rsidRPr="004E01F4" w:rsidRDefault="00CF0E3D" w:rsidP="00CF0E3D">
      <w:pPr>
        <w:pStyle w:val="notetext"/>
      </w:pPr>
      <w:r w:rsidRPr="004E01F4">
        <w:t>Note:</w:t>
      </w:r>
      <w:r w:rsidRPr="004E01F4">
        <w:tab/>
        <w:t>This subrule is a civil penalty provision (see rule 9.8).</w:t>
      </w:r>
    </w:p>
    <w:p w14:paraId="6C59B709" w14:textId="77777777" w:rsidR="00CF0E3D" w:rsidRPr="004E01F4" w:rsidRDefault="00CF0E3D" w:rsidP="00CF0E3D">
      <w:pPr>
        <w:pStyle w:val="ActHead5"/>
      </w:pPr>
      <w:bookmarkStart w:id="268" w:name="_Toc50114059"/>
      <w:bookmarkStart w:id="269" w:name="_Toc57219049"/>
      <w:bookmarkStart w:id="270" w:name="_Toc59549160"/>
      <w:bookmarkStart w:id="271" w:name="_Toc74916156"/>
      <w:r w:rsidRPr="004E01F4">
        <w:t>4.18C  Notification if</w:t>
      </w:r>
      <w:r>
        <w:t xml:space="preserve"> </w:t>
      </w:r>
      <w:r w:rsidRPr="005F5B3D">
        <w:t>collection</w:t>
      </w:r>
      <w:r w:rsidRPr="004E01F4">
        <w:t xml:space="preserve"> consent is amended</w:t>
      </w:r>
      <w:bookmarkEnd w:id="268"/>
      <w:bookmarkEnd w:id="269"/>
      <w:bookmarkEnd w:id="270"/>
      <w:bookmarkEnd w:id="271"/>
    </w:p>
    <w:p w14:paraId="48CFD2AC" w14:textId="77777777" w:rsidR="00CF0E3D" w:rsidRPr="004E01F4" w:rsidRDefault="00CF0E3D" w:rsidP="00CF0E3D">
      <w:pPr>
        <w:pStyle w:val="subsection"/>
      </w:pPr>
      <w:r w:rsidRPr="004E01F4">
        <w:tab/>
        <w:t>(1)</w:t>
      </w:r>
      <w:r w:rsidRPr="004E01F4">
        <w:tab/>
        <w:t>This rule applies if:</w:t>
      </w:r>
    </w:p>
    <w:p w14:paraId="67D1FACE" w14:textId="77777777" w:rsidR="00CF0E3D" w:rsidRPr="004E01F4" w:rsidRDefault="00CF0E3D" w:rsidP="00CF0E3D">
      <w:pPr>
        <w:pStyle w:val="paragraph"/>
      </w:pPr>
      <w:r w:rsidRPr="004E01F4">
        <w:tab/>
        <w:t>(a)</w:t>
      </w:r>
      <w:r w:rsidRPr="004E01F4">
        <w:tab/>
        <w:t>an accredited person has a collection consent relating to particular CDR data and a particular CDR participant; and</w:t>
      </w:r>
    </w:p>
    <w:p w14:paraId="7D8FA75E" w14:textId="77777777" w:rsidR="00CF0E3D" w:rsidRPr="004E01F4" w:rsidRDefault="00CF0E3D" w:rsidP="00CF0E3D">
      <w:pPr>
        <w:pStyle w:val="paragraph"/>
      </w:pPr>
      <w:r w:rsidRPr="004E01F4">
        <w:tab/>
        <w:t>(b)</w:t>
      </w:r>
      <w:r w:rsidRPr="004E01F4">
        <w:tab/>
        <w:t>the CDR consumer amends the consent.</w:t>
      </w:r>
    </w:p>
    <w:p w14:paraId="0B14CEFE" w14:textId="77777777" w:rsidR="00CF0E3D" w:rsidRPr="004E01F4" w:rsidRDefault="00CF0E3D" w:rsidP="00CF0E3D">
      <w:pPr>
        <w:pStyle w:val="subsection"/>
      </w:pPr>
      <w:r w:rsidRPr="004E01F4">
        <w:tab/>
        <w:t>(2)</w:t>
      </w:r>
      <w:r w:rsidRPr="004E01F4">
        <w:tab/>
        <w:t>The accredited person must notify:</w:t>
      </w:r>
    </w:p>
    <w:p w14:paraId="385593E8" w14:textId="77777777" w:rsidR="00CF0E3D" w:rsidRPr="004E01F4" w:rsidRDefault="00CF0E3D" w:rsidP="00CF0E3D">
      <w:pPr>
        <w:pStyle w:val="paragraph"/>
      </w:pPr>
      <w:r w:rsidRPr="004E01F4">
        <w:tab/>
        <w:t>(a)</w:t>
      </w:r>
      <w:r w:rsidRPr="004E01F4">
        <w:tab/>
        <w:t>if the CDR participant is a data holder―the data holder, in accordance with the data standards, that the consent has been amended; and</w:t>
      </w:r>
    </w:p>
    <w:p w14:paraId="4617F682" w14:textId="77777777" w:rsidR="00CF0E3D" w:rsidRPr="004E01F4" w:rsidRDefault="00CF0E3D" w:rsidP="00CF0E3D">
      <w:pPr>
        <w:pStyle w:val="paragraph"/>
      </w:pPr>
      <w:r w:rsidRPr="004E01F4">
        <w:tab/>
        <w:t>(b)</w:t>
      </w:r>
      <w:r w:rsidRPr="004E01F4">
        <w:tab/>
        <w:t xml:space="preserve">if the CDR participant is an accredited data recipient―the accredited data recipient </w:t>
      </w:r>
      <w:r w:rsidRPr="00A6091B">
        <w:t xml:space="preserve">as soon as practicable </w:t>
      </w:r>
      <w:r w:rsidRPr="004E01F4">
        <w:t>that the consent has been amended.</w:t>
      </w:r>
    </w:p>
    <w:p w14:paraId="2058C128" w14:textId="77777777" w:rsidR="00CF0E3D" w:rsidRDefault="00CF0E3D" w:rsidP="00CF0E3D">
      <w:pPr>
        <w:pStyle w:val="notetext"/>
      </w:pPr>
      <w:r w:rsidRPr="004E01F4">
        <w:t>Note:</w:t>
      </w:r>
      <w:r w:rsidRPr="004E01F4">
        <w:tab/>
        <w:t>This subrule is a civil penalty provision (see rule 9.8).</w:t>
      </w:r>
    </w:p>
    <w:p w14:paraId="07F6CC8A" w14:textId="77777777" w:rsidR="00CF0E3D" w:rsidRPr="00F07699" w:rsidRDefault="00CF0E3D" w:rsidP="00CF0E3D">
      <w:pPr>
        <w:pStyle w:val="ActHead5"/>
      </w:pPr>
      <w:bookmarkStart w:id="272" w:name="_Toc50633091"/>
      <w:bookmarkStart w:id="273" w:name="_Toc57219050"/>
      <w:bookmarkStart w:id="274" w:name="_Toc59549161"/>
      <w:bookmarkStart w:id="275" w:name="_Toc74916157"/>
      <w:r w:rsidRPr="00F07699">
        <w:t>4.19  Updating consumer dashboard</w:t>
      </w:r>
      <w:bookmarkEnd w:id="272"/>
      <w:bookmarkEnd w:id="273"/>
      <w:bookmarkEnd w:id="274"/>
      <w:bookmarkEnd w:id="275"/>
    </w:p>
    <w:p w14:paraId="221175AB" w14:textId="77777777" w:rsidR="00CF0E3D" w:rsidRPr="00F07699" w:rsidRDefault="00CF0E3D" w:rsidP="00CF0E3D">
      <w:pPr>
        <w:pStyle w:val="subsection"/>
      </w:pPr>
      <w:r w:rsidRPr="00F07699">
        <w:tab/>
      </w:r>
      <w:r w:rsidRPr="00F07699">
        <w:tab/>
        <w:t>An accredited person must update a CDR consumer’s consumer dashboard as soon as practicable after the information required to be contained on the dashboard changes.</w:t>
      </w:r>
    </w:p>
    <w:p w14:paraId="12DBE90E" w14:textId="77777777" w:rsidR="00CF0E3D" w:rsidRPr="00F07699" w:rsidRDefault="00CF0E3D" w:rsidP="00CF0E3D">
      <w:pPr>
        <w:pStyle w:val="notetext"/>
      </w:pPr>
      <w:r w:rsidRPr="00F07699">
        <w:t>Note:</w:t>
      </w:r>
      <w:r w:rsidRPr="00F07699">
        <w:tab/>
        <w:t>This rule is a civil penalty provision (see rule 9.8).</w:t>
      </w:r>
    </w:p>
    <w:p w14:paraId="19887FF3" w14:textId="77777777" w:rsidR="00CF0E3D" w:rsidRPr="004E01F4" w:rsidRDefault="00CF0E3D" w:rsidP="00CF0E3D">
      <w:pPr>
        <w:pStyle w:val="ActHead5"/>
      </w:pPr>
      <w:bookmarkStart w:id="276" w:name="_Toc50633092"/>
      <w:bookmarkStart w:id="277" w:name="_Toc50114061"/>
      <w:bookmarkStart w:id="278" w:name="_Toc57219051"/>
      <w:bookmarkStart w:id="279" w:name="_Toc59549162"/>
      <w:bookmarkStart w:id="280" w:name="_Toc74916158"/>
      <w:r w:rsidRPr="004E01F4">
        <w:t xml:space="preserve">4.20  Ongoing notification requirement—collection consents and use </w:t>
      </w:r>
      <w:bookmarkEnd w:id="276"/>
      <w:r w:rsidRPr="004E01F4">
        <w:t>consents</w:t>
      </w:r>
      <w:bookmarkEnd w:id="277"/>
      <w:bookmarkEnd w:id="278"/>
      <w:bookmarkEnd w:id="279"/>
      <w:bookmarkEnd w:id="280"/>
      <w:r w:rsidRPr="004E01F4">
        <w:t xml:space="preserve"> </w:t>
      </w:r>
    </w:p>
    <w:p w14:paraId="24A15A28" w14:textId="77777777" w:rsidR="00CF0E3D" w:rsidRPr="004E01F4" w:rsidRDefault="00CF0E3D" w:rsidP="00CF0E3D">
      <w:pPr>
        <w:pStyle w:val="subsection"/>
      </w:pPr>
      <w:r w:rsidRPr="004E01F4">
        <w:tab/>
        <w:t>(1)</w:t>
      </w:r>
      <w:r w:rsidRPr="004E01F4">
        <w:tab/>
        <w:t>This rule applies in relation to a collection consent or a use consent if:</w:t>
      </w:r>
    </w:p>
    <w:p w14:paraId="5D0C71F1" w14:textId="77777777" w:rsidR="00CF0E3D" w:rsidRPr="004E01F4" w:rsidRDefault="00CF0E3D" w:rsidP="00CF0E3D">
      <w:pPr>
        <w:pStyle w:val="paragraph"/>
      </w:pPr>
      <w:r w:rsidRPr="004E01F4">
        <w:tab/>
        <w:t>(a)</w:t>
      </w:r>
      <w:r w:rsidRPr="004E01F4">
        <w:tab/>
        <w:t>the consent is current; and</w:t>
      </w:r>
    </w:p>
    <w:p w14:paraId="417C1A58" w14:textId="77777777" w:rsidR="00CF0E3D" w:rsidRPr="004E01F4" w:rsidRDefault="00CF0E3D" w:rsidP="00CF0E3D">
      <w:pPr>
        <w:pStyle w:val="paragraph"/>
      </w:pPr>
      <w:r w:rsidRPr="004E01F4">
        <w:tab/>
        <w:t>(b)</w:t>
      </w:r>
      <w:r w:rsidRPr="004E01F4">
        <w:tab/>
        <w:t>90 days have elapsed since the latest of the following:</w:t>
      </w:r>
    </w:p>
    <w:p w14:paraId="510B7C1B" w14:textId="77777777" w:rsidR="00CF0E3D" w:rsidRPr="004E01F4" w:rsidRDefault="00CF0E3D" w:rsidP="00CF0E3D">
      <w:pPr>
        <w:pStyle w:val="paragraphsub"/>
      </w:pPr>
      <w:r w:rsidRPr="004E01F4">
        <w:tab/>
        <w:t>(i)</w:t>
      </w:r>
      <w:r w:rsidRPr="004E01F4">
        <w:tab/>
        <w:t>the CDR consumer gave the consent;</w:t>
      </w:r>
    </w:p>
    <w:p w14:paraId="40A5055B" w14:textId="77777777" w:rsidR="00CF0E3D" w:rsidRPr="004E01F4" w:rsidRDefault="00CF0E3D" w:rsidP="00CF0E3D">
      <w:pPr>
        <w:pStyle w:val="paragraphsub"/>
      </w:pPr>
      <w:r w:rsidRPr="004E01F4">
        <w:tab/>
        <w:t>(ia)</w:t>
      </w:r>
      <w:r w:rsidRPr="004E01F4">
        <w:tab/>
        <w:t>the CDR consumer last amended the consent;</w:t>
      </w:r>
    </w:p>
    <w:p w14:paraId="15CB3CF7" w14:textId="77777777" w:rsidR="00CF0E3D" w:rsidRPr="00F07699" w:rsidRDefault="00CF0E3D" w:rsidP="00CF0E3D">
      <w:pPr>
        <w:pStyle w:val="paragraphsub"/>
      </w:pPr>
      <w:r w:rsidRPr="00F07699">
        <w:tab/>
        <w:t>(ii)</w:t>
      </w:r>
      <w:r w:rsidRPr="00F07699">
        <w:tab/>
        <w:t>the CDR consumer last used their consumer dashboard;</w:t>
      </w:r>
    </w:p>
    <w:p w14:paraId="30EE9F75" w14:textId="77777777" w:rsidR="00CF0E3D" w:rsidRPr="00F07699" w:rsidRDefault="00CF0E3D" w:rsidP="00CF0E3D">
      <w:pPr>
        <w:pStyle w:val="paragraphsub"/>
      </w:pPr>
      <w:r w:rsidRPr="00F07699">
        <w:tab/>
        <w:t>(iii)</w:t>
      </w:r>
      <w:r w:rsidRPr="00F07699">
        <w:tab/>
        <w:t>the accredited person last sent the CDR consumer a notification in accordance with this rule.</w:t>
      </w:r>
    </w:p>
    <w:p w14:paraId="4D68092B" w14:textId="77777777" w:rsidR="00CF0E3D" w:rsidRPr="00F07699" w:rsidRDefault="00CF0E3D" w:rsidP="00CF0E3D">
      <w:pPr>
        <w:pStyle w:val="subsection"/>
      </w:pPr>
      <w:r w:rsidRPr="00F07699">
        <w:tab/>
        <w:t>(2)</w:t>
      </w:r>
      <w:r w:rsidRPr="00F07699">
        <w:tab/>
        <w:t>The accredited person must notify the CDR consumer in accordance with this rule that the consent is still current.</w:t>
      </w:r>
    </w:p>
    <w:p w14:paraId="2B34A345" w14:textId="77777777" w:rsidR="00CF0E3D" w:rsidRPr="00F07699" w:rsidRDefault="00CF0E3D" w:rsidP="00CF0E3D">
      <w:pPr>
        <w:pStyle w:val="notetext"/>
      </w:pPr>
      <w:r w:rsidRPr="00F07699">
        <w:t>Note:</w:t>
      </w:r>
      <w:r w:rsidRPr="00F07699">
        <w:tab/>
        <w:t>This subrule is a civil penalty provision (see rule 9.8).</w:t>
      </w:r>
    </w:p>
    <w:p w14:paraId="1D685015" w14:textId="77777777" w:rsidR="00CF0E3D" w:rsidRPr="00F07699" w:rsidRDefault="00CF0E3D" w:rsidP="00CF0E3D">
      <w:pPr>
        <w:pStyle w:val="subsection"/>
      </w:pPr>
      <w:r w:rsidRPr="00F07699">
        <w:tab/>
        <w:t>(3)</w:t>
      </w:r>
      <w:r w:rsidRPr="00F07699">
        <w:tab/>
        <w:t>The notification must be given in writing otherwise than through the CDR consumer’s consumer dashboard.</w:t>
      </w:r>
    </w:p>
    <w:p w14:paraId="45D4EA14" w14:textId="77777777" w:rsidR="00CF0E3D" w:rsidRPr="00F07699" w:rsidRDefault="00CF0E3D" w:rsidP="00CF0E3D">
      <w:pPr>
        <w:pStyle w:val="subsection"/>
      </w:pPr>
      <w:r w:rsidRPr="00F07699">
        <w:tab/>
        <w:t>(4)</w:t>
      </w:r>
      <w:r w:rsidRPr="00F07699">
        <w:tab/>
        <w:t>A copy of the notification may be included in the CDR consumer’s consumer dashboard.</w:t>
      </w:r>
    </w:p>
    <w:p w14:paraId="1424E0CD" w14:textId="77777777" w:rsidR="00CF0E3D" w:rsidRPr="00F07699" w:rsidRDefault="00CF0E3D" w:rsidP="00CF0E3D">
      <w:pPr>
        <w:pStyle w:val="ActHead3"/>
      </w:pPr>
      <w:bookmarkStart w:id="281" w:name="_Toc50114062"/>
      <w:bookmarkStart w:id="282" w:name="_Toc50633093"/>
      <w:bookmarkStart w:id="283" w:name="_Toc57219052"/>
      <w:bookmarkStart w:id="284" w:name="_Toc59549163"/>
      <w:bookmarkStart w:id="285" w:name="_Toc74916159"/>
      <w:bookmarkStart w:id="286" w:name="_Toc11771619"/>
      <w:bookmarkEnd w:id="157"/>
      <w:r w:rsidRPr="00F07699">
        <w:t>Division 4.4—Authorisations to disclose CDR data</w:t>
      </w:r>
      <w:bookmarkEnd w:id="281"/>
      <w:bookmarkEnd w:id="282"/>
      <w:bookmarkEnd w:id="283"/>
      <w:bookmarkEnd w:id="284"/>
      <w:bookmarkEnd w:id="285"/>
    </w:p>
    <w:p w14:paraId="65D0E2A6" w14:textId="77777777" w:rsidR="00CF0E3D" w:rsidRPr="00F07699" w:rsidRDefault="00CF0E3D" w:rsidP="00CF0E3D">
      <w:pPr>
        <w:pStyle w:val="notemargin"/>
      </w:pPr>
      <w:r w:rsidRPr="00F07699">
        <w:t>Note:</w:t>
      </w:r>
      <w:r w:rsidRPr="00F07699">
        <w:tab/>
        <w:t>Under rule 4.5, if a data holder is considering disclosing voluntary consumer data in response to a consumer data request, or if required consumer data was requested, the data holder must seek an authorisation from the CDR consumer to disclose the CDR data in accordance with (among other things) this Division, and in particular, rules 4.23, 4.24 and 4.25. A failure to do so could contravene one or more civil penalty provisions: see rule 4.5.</w:t>
      </w:r>
    </w:p>
    <w:p w14:paraId="1993F3C4" w14:textId="77777777" w:rsidR="00CF0E3D" w:rsidRPr="00F07699" w:rsidRDefault="00CF0E3D" w:rsidP="00CF0E3D">
      <w:pPr>
        <w:pStyle w:val="ActHead5"/>
      </w:pPr>
      <w:bookmarkStart w:id="287" w:name="_Toc50114063"/>
      <w:bookmarkStart w:id="288" w:name="_Toc50633094"/>
      <w:bookmarkStart w:id="289" w:name="_Toc57219053"/>
      <w:bookmarkStart w:id="290" w:name="_Toc59549164"/>
      <w:bookmarkStart w:id="291" w:name="_Toc74916160"/>
      <w:r w:rsidRPr="00F07699">
        <w:t>4.21  Purpose of Division</w:t>
      </w:r>
      <w:bookmarkEnd w:id="287"/>
      <w:bookmarkEnd w:id="288"/>
      <w:bookmarkEnd w:id="289"/>
      <w:bookmarkEnd w:id="290"/>
      <w:bookmarkEnd w:id="291"/>
    </w:p>
    <w:p w14:paraId="5BFB6A89" w14:textId="77777777" w:rsidR="00CF0E3D" w:rsidRPr="00F07699" w:rsidRDefault="00CF0E3D" w:rsidP="00CF0E3D">
      <w:pPr>
        <w:pStyle w:val="subsection"/>
      </w:pPr>
      <w:r w:rsidRPr="00F07699">
        <w:tab/>
      </w:r>
      <w:r w:rsidRPr="00F07699">
        <w:tab/>
        <w:t>This Division deals with authorisations to disclose CDR data for the purposes of rule 4.5</w:t>
      </w:r>
      <w:r w:rsidRPr="004E01F4">
        <w:t>, and amendments to authorisations</w:t>
      </w:r>
      <w:r w:rsidRPr="00F07699">
        <w:t>.</w:t>
      </w:r>
    </w:p>
    <w:p w14:paraId="5732FCC9" w14:textId="77777777" w:rsidR="00CF0E3D" w:rsidRPr="00F07699" w:rsidRDefault="00CF0E3D" w:rsidP="00CF0E3D">
      <w:pPr>
        <w:pStyle w:val="ActHead5"/>
      </w:pPr>
      <w:bookmarkStart w:id="292" w:name="_Toc50114064"/>
      <w:bookmarkStart w:id="293" w:name="_Toc50633095"/>
      <w:bookmarkStart w:id="294" w:name="_Toc57219054"/>
      <w:bookmarkStart w:id="295" w:name="_Toc59549165"/>
      <w:bookmarkStart w:id="296" w:name="_Toc74916161"/>
      <w:r w:rsidRPr="00F07699">
        <w:t>4.22  Requirements relating to data holder’s processes for seeking authorisation</w:t>
      </w:r>
      <w:bookmarkEnd w:id="292"/>
      <w:bookmarkEnd w:id="293"/>
      <w:bookmarkEnd w:id="294"/>
      <w:bookmarkEnd w:id="295"/>
      <w:bookmarkEnd w:id="296"/>
    </w:p>
    <w:p w14:paraId="5A187DE4" w14:textId="77777777" w:rsidR="00CF0E3D" w:rsidRPr="00F07699" w:rsidRDefault="00CF0E3D" w:rsidP="00CF0E3D">
      <w:pPr>
        <w:pStyle w:val="subsection"/>
        <w:rPr>
          <w:lang w:val="en-GB"/>
        </w:rPr>
      </w:pPr>
      <w:r w:rsidRPr="00F07699">
        <w:tab/>
      </w:r>
      <w:r w:rsidRPr="00F07699">
        <w:tab/>
        <w:t xml:space="preserve">A data holder’s processes for asking a CDR consumer to give </w:t>
      </w:r>
      <w:r w:rsidRPr="004E01F4">
        <w:t xml:space="preserve">or amend an </w:t>
      </w:r>
      <w:r w:rsidRPr="00F07699">
        <w:t>authorisation must:</w:t>
      </w:r>
    </w:p>
    <w:p w14:paraId="78A2699E" w14:textId="77777777" w:rsidR="00CF0E3D" w:rsidRPr="00F07699" w:rsidRDefault="00CF0E3D" w:rsidP="00CF0E3D">
      <w:pPr>
        <w:pStyle w:val="paragraph"/>
        <w:rPr>
          <w:lang w:val="en-GB"/>
        </w:rPr>
      </w:pPr>
      <w:r w:rsidRPr="00F07699">
        <w:tab/>
        <w:t>(a)</w:t>
      </w:r>
      <w:r w:rsidRPr="00F07699">
        <w:tab/>
        <w:t>accord with the data standards; and</w:t>
      </w:r>
    </w:p>
    <w:p w14:paraId="09BAD1C8" w14:textId="77777777" w:rsidR="00CF0E3D" w:rsidRPr="00F07699" w:rsidRDefault="00CF0E3D" w:rsidP="00CF0E3D">
      <w:pPr>
        <w:pStyle w:val="paragraph"/>
        <w:rPr>
          <w:lang w:val="en-GB"/>
        </w:rPr>
      </w:pPr>
      <w:r w:rsidRPr="00F07699">
        <w:tab/>
        <w:t>(b)</w:t>
      </w:r>
      <w:r w:rsidRPr="00F07699">
        <w:tab/>
        <w:t>having regard to any consumer experience guidelines developed by the Data Standards Body, be as easy to understand as practicable, including by use of concise language and, where appropriate, visual aids.</w:t>
      </w:r>
    </w:p>
    <w:p w14:paraId="5F0E910A" w14:textId="77777777" w:rsidR="00CF0E3D" w:rsidRPr="004E01F4" w:rsidRDefault="00CF0E3D" w:rsidP="00CF0E3D">
      <w:pPr>
        <w:pStyle w:val="ActHead5"/>
      </w:pPr>
      <w:bookmarkStart w:id="297" w:name="_Toc50114065"/>
      <w:bookmarkStart w:id="298" w:name="_Toc57219055"/>
      <w:bookmarkStart w:id="299" w:name="_Toc59549166"/>
      <w:bookmarkStart w:id="300" w:name="_Toc74916162"/>
      <w:r w:rsidRPr="004E01F4">
        <w:t>4.22A  Inviting CDR consumer to amend a current authorisation</w:t>
      </w:r>
      <w:bookmarkEnd w:id="297"/>
      <w:bookmarkEnd w:id="298"/>
      <w:bookmarkEnd w:id="299"/>
      <w:bookmarkEnd w:id="300"/>
    </w:p>
    <w:p w14:paraId="4CDF0CFD" w14:textId="77777777" w:rsidR="00CF0E3D" w:rsidRPr="004E01F4" w:rsidRDefault="00CF0E3D" w:rsidP="00CF0E3D">
      <w:pPr>
        <w:pStyle w:val="subsection"/>
      </w:pPr>
      <w:r w:rsidRPr="004E01F4">
        <w:tab/>
        <w:t>(1)</w:t>
      </w:r>
      <w:r w:rsidRPr="004E01F4">
        <w:tab/>
        <w:t>If a data holder has received a notice under rule 4.18C, the data holder must, in accordance with this Division, invite the CDR consumer to amend the authorisation to disclose CDR data accordingly.</w:t>
      </w:r>
    </w:p>
    <w:p w14:paraId="24023661" w14:textId="77777777" w:rsidR="00CF0E3D" w:rsidRPr="004E01F4" w:rsidRDefault="00CF0E3D" w:rsidP="00CF0E3D">
      <w:pPr>
        <w:pStyle w:val="notetext"/>
      </w:pPr>
      <w:r w:rsidRPr="004E01F4">
        <w:t>Note:</w:t>
      </w:r>
      <w:r w:rsidRPr="004E01F4">
        <w:tab/>
        <w:t>This subrule is a civil penalty provision (see rule 9.8).</w:t>
      </w:r>
    </w:p>
    <w:p w14:paraId="03ECF35F" w14:textId="77777777" w:rsidR="00CF0E3D" w:rsidRPr="004E01F4" w:rsidRDefault="00CF0E3D" w:rsidP="00CF0E3D">
      <w:pPr>
        <w:pStyle w:val="subsection"/>
      </w:pPr>
      <w:r w:rsidRPr="004E01F4">
        <w:tab/>
        <w:t>(2)</w:t>
      </w:r>
      <w:r w:rsidRPr="004E01F4">
        <w:tab/>
        <w:t>An amendment of an authorisation to disclose CDR data other than in accordance with subrule (1) is of no effect.</w:t>
      </w:r>
    </w:p>
    <w:p w14:paraId="3441259B" w14:textId="77777777" w:rsidR="00CF0E3D" w:rsidRPr="004E01F4" w:rsidRDefault="00CF0E3D" w:rsidP="00CF0E3D">
      <w:pPr>
        <w:pStyle w:val="ActHead5"/>
      </w:pPr>
      <w:bookmarkStart w:id="301" w:name="_Toc50633096"/>
      <w:bookmarkStart w:id="302" w:name="_Toc50114066"/>
      <w:bookmarkStart w:id="303" w:name="_Toc57219056"/>
      <w:bookmarkStart w:id="304" w:name="_Toc59549167"/>
      <w:bookmarkStart w:id="305" w:name="_Toc74916163"/>
      <w:r w:rsidRPr="004E01F4">
        <w:t>4.23  Asking CDR consumer to give authorisation to disclose CDR data</w:t>
      </w:r>
      <w:bookmarkEnd w:id="301"/>
      <w:r w:rsidRPr="004E01F4">
        <w:t xml:space="preserve"> or inviting CDR consumer to amend a current authorisation</w:t>
      </w:r>
      <w:bookmarkEnd w:id="302"/>
      <w:bookmarkEnd w:id="303"/>
      <w:bookmarkEnd w:id="304"/>
      <w:bookmarkEnd w:id="305"/>
    </w:p>
    <w:p w14:paraId="424C7796" w14:textId="77777777" w:rsidR="00CF0E3D" w:rsidRPr="004E01F4" w:rsidRDefault="00CF0E3D" w:rsidP="00CF0E3D">
      <w:pPr>
        <w:pStyle w:val="subsection"/>
      </w:pPr>
      <w:r w:rsidRPr="004E01F4">
        <w:tab/>
        <w:t>(1)</w:t>
      </w:r>
      <w:r w:rsidRPr="004E01F4">
        <w:tab/>
        <w:t>When asking a CDR consumer to authorise the disclosure of CDR data, or amend a current authorisation, a data holder must give the CDR consumer the following information about the authorisation or amendment:</w:t>
      </w:r>
    </w:p>
    <w:p w14:paraId="0A948BE3" w14:textId="77777777" w:rsidR="00CF0E3D" w:rsidRPr="004E01F4" w:rsidRDefault="00CF0E3D" w:rsidP="00CF0E3D">
      <w:pPr>
        <w:pStyle w:val="paragraph"/>
      </w:pPr>
      <w:r w:rsidRPr="004E01F4">
        <w:tab/>
        <w:t>(a)</w:t>
      </w:r>
      <w:r w:rsidRPr="004E01F4">
        <w:tab/>
        <w:t>subject to subrule (2),</w:t>
      </w:r>
      <w:r w:rsidRPr="004E01F4">
        <w:rPr>
          <w:u w:val="words"/>
        </w:rPr>
        <w:t xml:space="preserve"> </w:t>
      </w:r>
      <w:r w:rsidRPr="004E01F4">
        <w:t>the name of the accredited person that made the request;</w:t>
      </w:r>
    </w:p>
    <w:p w14:paraId="7FC7477F" w14:textId="77777777" w:rsidR="00CF0E3D" w:rsidRPr="00F07699" w:rsidRDefault="00CF0E3D" w:rsidP="00CF0E3D">
      <w:pPr>
        <w:pStyle w:val="paragraph"/>
      </w:pPr>
      <w:r w:rsidRPr="00F07699">
        <w:tab/>
        <w:t>(b)</w:t>
      </w:r>
      <w:r w:rsidRPr="00F07699">
        <w:tab/>
        <w:t>the period of time to which the CDR data that was the subject of the request relates;</w:t>
      </w:r>
    </w:p>
    <w:p w14:paraId="1B0ED0A5" w14:textId="77777777" w:rsidR="00CF0E3D" w:rsidRPr="00F07699" w:rsidRDefault="00CF0E3D" w:rsidP="00CF0E3D">
      <w:pPr>
        <w:pStyle w:val="paragraph"/>
      </w:pPr>
      <w:r w:rsidRPr="00F07699">
        <w:tab/>
        <w:t>(c)</w:t>
      </w:r>
      <w:r w:rsidRPr="00F07699">
        <w:tab/>
        <w:t>the types of CDR data for which the data holder is seeking an authorisation to disclose;</w:t>
      </w:r>
    </w:p>
    <w:p w14:paraId="22670703" w14:textId="77777777" w:rsidR="00CF0E3D" w:rsidRPr="00F07699" w:rsidRDefault="00CF0E3D" w:rsidP="00CF0E3D">
      <w:pPr>
        <w:pStyle w:val="paragraph"/>
      </w:pPr>
      <w:r w:rsidRPr="00F07699">
        <w:tab/>
        <w:t>(d)</w:t>
      </w:r>
      <w:r w:rsidRPr="00F07699">
        <w:tab/>
        <w:t>whether the authorisation is being sought for:</w:t>
      </w:r>
    </w:p>
    <w:p w14:paraId="6584B2FD" w14:textId="77777777" w:rsidR="00CF0E3D" w:rsidRPr="00F07699" w:rsidRDefault="00CF0E3D" w:rsidP="00CF0E3D">
      <w:pPr>
        <w:pStyle w:val="paragraphsub"/>
      </w:pPr>
      <w:r w:rsidRPr="00F07699">
        <w:tab/>
        <w:t>(i)</w:t>
      </w:r>
      <w:r w:rsidRPr="00F07699">
        <w:tab/>
        <w:t>disclosure of CDR data on a single occasion; or</w:t>
      </w:r>
    </w:p>
    <w:p w14:paraId="2ED376E4" w14:textId="77777777" w:rsidR="00CF0E3D" w:rsidRPr="00F07699" w:rsidRDefault="00CF0E3D" w:rsidP="00CF0E3D">
      <w:pPr>
        <w:pStyle w:val="paragraphsub"/>
      </w:pPr>
      <w:r w:rsidRPr="00F07699">
        <w:tab/>
        <w:t>(ii)</w:t>
      </w:r>
      <w:r w:rsidRPr="00F07699">
        <w:tab/>
        <w:t>disclosure of CDR data over a period of time of not more than 12 months;</w:t>
      </w:r>
    </w:p>
    <w:p w14:paraId="0184E0A6" w14:textId="77777777" w:rsidR="00CF0E3D" w:rsidRPr="00F07699" w:rsidRDefault="00CF0E3D" w:rsidP="00CF0E3D">
      <w:pPr>
        <w:pStyle w:val="paragraph"/>
      </w:pPr>
      <w:r w:rsidRPr="00F07699">
        <w:tab/>
        <w:t>(e)</w:t>
      </w:r>
      <w:r w:rsidRPr="00F07699">
        <w:tab/>
        <w:t>if authorisation is being sought for disclosure over a period of time―what that period is;</w:t>
      </w:r>
    </w:p>
    <w:p w14:paraId="61AAEF48" w14:textId="77777777" w:rsidR="00CF0E3D" w:rsidRPr="00F07699" w:rsidRDefault="00CF0E3D" w:rsidP="00CF0E3D">
      <w:pPr>
        <w:pStyle w:val="paragraph"/>
      </w:pPr>
      <w:r w:rsidRPr="00F07699">
        <w:tab/>
        <w:t>(f)</w:t>
      </w:r>
      <w:r w:rsidRPr="00F07699">
        <w:tab/>
        <w:t>a statement that, at any time, the authorisation can be withdrawn;</w:t>
      </w:r>
    </w:p>
    <w:p w14:paraId="75AA9916" w14:textId="77777777" w:rsidR="00CF0E3D" w:rsidRPr="00F07699" w:rsidRDefault="00CF0E3D" w:rsidP="00CF0E3D">
      <w:pPr>
        <w:pStyle w:val="paragraph"/>
      </w:pPr>
      <w:r w:rsidRPr="00F07699">
        <w:tab/>
        <w:t>(g)</w:t>
      </w:r>
      <w:r w:rsidRPr="00F07699">
        <w:tab/>
        <w:t>instructions for how the authorisation can be withdrawn.</w:t>
      </w:r>
    </w:p>
    <w:p w14:paraId="2CBFD6EE" w14:textId="77777777" w:rsidR="00CF0E3D" w:rsidRPr="004E01F4" w:rsidRDefault="00CF0E3D" w:rsidP="00CF0E3D">
      <w:pPr>
        <w:pStyle w:val="subsection"/>
      </w:pPr>
      <w:r w:rsidRPr="004E01F4">
        <w:rPr>
          <w:u w:val="words"/>
        </w:rPr>
        <w:tab/>
      </w:r>
      <w:r w:rsidRPr="004E01F4">
        <w:t>(2)</w:t>
      </w:r>
      <w:r w:rsidRPr="004E01F4">
        <w:tab/>
        <w:t>The data holder must also give the CDR consumer any information that the Register of Accredited Persons holds in relation to the accredited person that is specified as information for the purposes of this rule.</w:t>
      </w:r>
    </w:p>
    <w:p w14:paraId="56A53EB4" w14:textId="77777777" w:rsidR="00CF0E3D" w:rsidRPr="00F07699" w:rsidRDefault="00CF0E3D" w:rsidP="00CF0E3D">
      <w:pPr>
        <w:pStyle w:val="ActHead5"/>
      </w:pPr>
      <w:bookmarkStart w:id="306" w:name="_Toc50114067"/>
      <w:bookmarkStart w:id="307" w:name="_Toc50633097"/>
      <w:bookmarkStart w:id="308" w:name="_Toc57219057"/>
      <w:bookmarkStart w:id="309" w:name="_Toc59549168"/>
      <w:bookmarkStart w:id="310" w:name="_Toc74916164"/>
      <w:r w:rsidRPr="00F07699">
        <w:t>4.24  Restrictions when asking CDR consumer to authorise disclosure of CDR data</w:t>
      </w:r>
      <w:bookmarkEnd w:id="306"/>
      <w:bookmarkEnd w:id="307"/>
      <w:bookmarkEnd w:id="308"/>
      <w:bookmarkEnd w:id="309"/>
      <w:bookmarkEnd w:id="310"/>
    </w:p>
    <w:p w14:paraId="1C635BDB" w14:textId="77777777" w:rsidR="00CF0E3D" w:rsidRPr="00F07699" w:rsidRDefault="00CF0E3D" w:rsidP="00CF0E3D">
      <w:pPr>
        <w:pStyle w:val="subsection"/>
      </w:pPr>
      <w:r w:rsidRPr="00F07699">
        <w:tab/>
      </w:r>
      <w:r w:rsidRPr="00F07699">
        <w:tab/>
        <w:t>When asking a CDR consumer to authorise the disclosure of CDR data</w:t>
      </w:r>
      <w:r w:rsidRPr="0077773C">
        <w:t xml:space="preserve"> </w:t>
      </w:r>
      <w:r w:rsidRPr="004E01F4">
        <w:t>or to amend a current authorisation,</w:t>
      </w:r>
      <w:r w:rsidRPr="00F07699">
        <w:t xml:space="preserve"> the data holder must not do any of the following:</w:t>
      </w:r>
    </w:p>
    <w:p w14:paraId="2AC79995" w14:textId="77777777" w:rsidR="00CF0E3D" w:rsidRPr="00F07699" w:rsidRDefault="00CF0E3D" w:rsidP="00CF0E3D">
      <w:pPr>
        <w:pStyle w:val="paragraph"/>
      </w:pPr>
      <w:r w:rsidRPr="00F07699">
        <w:tab/>
        <w:t>(a)</w:t>
      </w:r>
      <w:r w:rsidRPr="00F07699">
        <w:tab/>
        <w:t>add any requirements to the authorisation process beyond those specified in the data standards and these rules;</w:t>
      </w:r>
    </w:p>
    <w:p w14:paraId="465BA55F" w14:textId="77777777" w:rsidR="00CF0E3D" w:rsidRPr="00F07699" w:rsidRDefault="00CF0E3D" w:rsidP="00CF0E3D">
      <w:pPr>
        <w:pStyle w:val="paragraph"/>
      </w:pPr>
      <w:r w:rsidRPr="00F07699">
        <w:tab/>
        <w:t>(b)</w:t>
      </w:r>
      <w:r w:rsidRPr="00F07699">
        <w:tab/>
        <w:t>provide or request additional information during the authorisation process beyond that specified in the data standards and these rules;</w:t>
      </w:r>
    </w:p>
    <w:p w14:paraId="44E408D9" w14:textId="77777777" w:rsidR="00CF0E3D" w:rsidRPr="00F07699" w:rsidRDefault="00CF0E3D" w:rsidP="00CF0E3D">
      <w:pPr>
        <w:pStyle w:val="paragraph"/>
      </w:pPr>
      <w:r w:rsidRPr="00F07699">
        <w:tab/>
        <w:t>(c)</w:t>
      </w:r>
      <w:r w:rsidRPr="00F07699">
        <w:tab/>
        <w:t>offer additional or alternative services as part of the authorisation process;</w:t>
      </w:r>
    </w:p>
    <w:p w14:paraId="7B3456C7" w14:textId="77777777" w:rsidR="00CF0E3D" w:rsidRPr="00F07699" w:rsidRDefault="00CF0E3D" w:rsidP="00CF0E3D">
      <w:pPr>
        <w:pStyle w:val="paragraph"/>
      </w:pPr>
      <w:r w:rsidRPr="00F07699">
        <w:tab/>
        <w:t>(d)</w:t>
      </w:r>
      <w:r w:rsidRPr="00F07699">
        <w:tab/>
        <w:t>include or refer to other documents.</w:t>
      </w:r>
    </w:p>
    <w:p w14:paraId="21F20A5A" w14:textId="77777777" w:rsidR="00CF0E3D" w:rsidRPr="00F07699" w:rsidRDefault="00CF0E3D" w:rsidP="00CF0E3D">
      <w:pPr>
        <w:pStyle w:val="ActHead5"/>
      </w:pPr>
      <w:bookmarkStart w:id="311" w:name="_Toc50114068"/>
      <w:bookmarkStart w:id="312" w:name="_Toc50633098"/>
      <w:bookmarkStart w:id="313" w:name="_Toc57219058"/>
      <w:bookmarkStart w:id="314" w:name="_Toc59549169"/>
      <w:bookmarkStart w:id="315" w:name="_Toc74916165"/>
      <w:r w:rsidRPr="00F07699">
        <w:t>4.25  Withdrawal of authorisation to disclose CDR data and notification</w:t>
      </w:r>
      <w:bookmarkEnd w:id="311"/>
      <w:bookmarkEnd w:id="312"/>
      <w:bookmarkEnd w:id="313"/>
      <w:bookmarkEnd w:id="314"/>
      <w:bookmarkEnd w:id="315"/>
    </w:p>
    <w:p w14:paraId="5D83F47D" w14:textId="77777777" w:rsidR="00CF0E3D" w:rsidRPr="00F07699" w:rsidRDefault="00CF0E3D" w:rsidP="00CF0E3D">
      <w:pPr>
        <w:pStyle w:val="subsection"/>
      </w:pPr>
      <w:r w:rsidRPr="00F07699">
        <w:tab/>
        <w:t>(1)</w:t>
      </w:r>
      <w:r w:rsidRPr="00F07699">
        <w:tab/>
        <w:t>The CDR consumer who gave, to a data holder, an authorisation to disclose particular CDR data to an accredited person may withdraw the authorisation at any time:</w:t>
      </w:r>
    </w:p>
    <w:p w14:paraId="2A47386D" w14:textId="77777777" w:rsidR="00CF0E3D" w:rsidRPr="00F07699" w:rsidRDefault="00CF0E3D" w:rsidP="00CF0E3D">
      <w:pPr>
        <w:pStyle w:val="paragraph"/>
      </w:pPr>
      <w:r w:rsidRPr="00F07699">
        <w:tab/>
        <w:t>(a)</w:t>
      </w:r>
      <w:r w:rsidRPr="00F07699">
        <w:tab/>
        <w:t>by using the data holder’s consumer dashboard; or</w:t>
      </w:r>
    </w:p>
    <w:p w14:paraId="094C7F59" w14:textId="77777777" w:rsidR="00CF0E3D" w:rsidRPr="00F07699" w:rsidRDefault="00CF0E3D" w:rsidP="00CF0E3D">
      <w:pPr>
        <w:pStyle w:val="paragraph"/>
      </w:pPr>
      <w:r w:rsidRPr="00F07699">
        <w:tab/>
        <w:t>(b)</w:t>
      </w:r>
      <w:r w:rsidRPr="00F07699">
        <w:tab/>
        <w:t>by using a simple alternative method of communication to be made available by the data holder for that purpose.</w:t>
      </w:r>
    </w:p>
    <w:p w14:paraId="56BE3353" w14:textId="77777777" w:rsidR="00CF0E3D" w:rsidRPr="00F07699" w:rsidRDefault="00CF0E3D" w:rsidP="00CF0E3D">
      <w:pPr>
        <w:pStyle w:val="subsection"/>
      </w:pPr>
      <w:r w:rsidRPr="00F07699">
        <w:tab/>
        <w:t>(2)</w:t>
      </w:r>
      <w:r w:rsidRPr="00F07699">
        <w:tab/>
        <w:t>The data holder must:</w:t>
      </w:r>
    </w:p>
    <w:p w14:paraId="59C3E79E" w14:textId="77777777" w:rsidR="00CF0E3D" w:rsidRPr="00F07699" w:rsidRDefault="00CF0E3D" w:rsidP="00CF0E3D">
      <w:pPr>
        <w:pStyle w:val="paragraph"/>
      </w:pPr>
      <w:r w:rsidRPr="00F07699">
        <w:tab/>
        <w:t>(a)</w:t>
      </w:r>
      <w:r w:rsidRPr="00F07699">
        <w:tab/>
        <w:t>if the withdrawal was in accordance with paragraph (1)(b)―give effect to the withdrawal as soon as practicable, and in any case within 2 business days after receiving the communication; and</w:t>
      </w:r>
    </w:p>
    <w:p w14:paraId="4B998AE3" w14:textId="77777777" w:rsidR="00CF0E3D" w:rsidRPr="00F07699" w:rsidRDefault="00CF0E3D" w:rsidP="00CF0E3D">
      <w:pPr>
        <w:pStyle w:val="paragraph"/>
      </w:pPr>
      <w:r w:rsidRPr="00F07699">
        <w:tab/>
        <w:t>(b)</w:t>
      </w:r>
      <w:r w:rsidRPr="00F07699">
        <w:tab/>
        <w:t>in any case―notify the accredited person of the withdrawal in accordance with the data standards.</w:t>
      </w:r>
    </w:p>
    <w:p w14:paraId="5C721548" w14:textId="77777777" w:rsidR="00CF0E3D" w:rsidRPr="00F07699" w:rsidRDefault="00CF0E3D" w:rsidP="00CF0E3D">
      <w:pPr>
        <w:pStyle w:val="notetext"/>
      </w:pPr>
      <w:r>
        <w:t>Note 1:</w:t>
      </w:r>
      <w:r>
        <w:tab/>
        <w:t xml:space="preserve">Upon notification </w:t>
      </w:r>
      <w:r w:rsidRPr="004E01F4">
        <w:t xml:space="preserve">a consent for the accredited person to collect </w:t>
      </w:r>
      <w:r w:rsidRPr="00F07699">
        <w:t>the CDR data expires: see paragraph 4.14(1)(b).</w:t>
      </w:r>
    </w:p>
    <w:p w14:paraId="1FA75DCD" w14:textId="77777777" w:rsidR="00CF0E3D" w:rsidRPr="00F07699" w:rsidRDefault="00CF0E3D" w:rsidP="00CF0E3D">
      <w:pPr>
        <w:pStyle w:val="notetext"/>
      </w:pPr>
      <w:r w:rsidRPr="00F07699">
        <w:t>Note 2:</w:t>
      </w:r>
      <w:r w:rsidRPr="00F07699">
        <w:tab/>
        <w:t>This subrule is a civil penalty provision (see rule 9.8).</w:t>
      </w:r>
    </w:p>
    <w:p w14:paraId="72C63180" w14:textId="77777777" w:rsidR="00CF0E3D" w:rsidRPr="00F07699" w:rsidRDefault="00CF0E3D" w:rsidP="00CF0E3D">
      <w:pPr>
        <w:pStyle w:val="ActHead5"/>
      </w:pPr>
      <w:bookmarkStart w:id="316" w:name="_Toc50114069"/>
      <w:bookmarkStart w:id="317" w:name="_Toc50633099"/>
      <w:bookmarkStart w:id="318" w:name="_Toc57219059"/>
      <w:bookmarkStart w:id="319" w:name="_Toc59549170"/>
      <w:bookmarkStart w:id="320" w:name="_Toc74916166"/>
      <w:r w:rsidRPr="00F07699">
        <w:t>4.26  Duration of authorisation to disclose CDR data</w:t>
      </w:r>
      <w:bookmarkEnd w:id="316"/>
      <w:bookmarkEnd w:id="317"/>
      <w:bookmarkEnd w:id="318"/>
      <w:bookmarkEnd w:id="319"/>
      <w:bookmarkEnd w:id="320"/>
    </w:p>
    <w:p w14:paraId="3865E5E6" w14:textId="77777777" w:rsidR="00CF0E3D" w:rsidRPr="00F07699" w:rsidRDefault="00CF0E3D" w:rsidP="00CF0E3D">
      <w:pPr>
        <w:pStyle w:val="subsection"/>
      </w:pPr>
      <w:r w:rsidRPr="00F07699">
        <w:tab/>
        <w:t>(1)</w:t>
      </w:r>
      <w:r w:rsidRPr="00F07699">
        <w:tab/>
        <w:t>An authorisation to disclose particular CDR data to an accredited person expires at the earliest of the following:</w:t>
      </w:r>
    </w:p>
    <w:p w14:paraId="38317FB2" w14:textId="77777777" w:rsidR="00CF0E3D" w:rsidRPr="00F07699" w:rsidRDefault="00CF0E3D" w:rsidP="00CF0E3D">
      <w:pPr>
        <w:pStyle w:val="paragraph"/>
      </w:pPr>
      <w:r w:rsidRPr="00F07699">
        <w:tab/>
        <w:t>(a)</w:t>
      </w:r>
      <w:r w:rsidRPr="00F07699">
        <w:tab/>
        <w:t>if the authorisation was withdrawn in accordance with paragraph 4.25(1)(b)―the earlier of the following:</w:t>
      </w:r>
    </w:p>
    <w:p w14:paraId="5DFCB304" w14:textId="77777777" w:rsidR="00CF0E3D" w:rsidRPr="00F07699" w:rsidRDefault="00CF0E3D" w:rsidP="00CF0E3D">
      <w:pPr>
        <w:pStyle w:val="paragraphsub"/>
      </w:pPr>
      <w:r w:rsidRPr="00F07699">
        <w:tab/>
        <w:t>(i)</w:t>
      </w:r>
      <w:r w:rsidRPr="00F07699">
        <w:tab/>
        <w:t>when the data holder gave effect to the withdrawal;</w:t>
      </w:r>
    </w:p>
    <w:p w14:paraId="426C9B1C" w14:textId="77777777" w:rsidR="00CF0E3D" w:rsidRPr="00F07699" w:rsidRDefault="00CF0E3D" w:rsidP="00CF0E3D">
      <w:pPr>
        <w:pStyle w:val="paragraphsub"/>
      </w:pPr>
      <w:r w:rsidRPr="00F07699">
        <w:tab/>
        <w:t>(ii)</w:t>
      </w:r>
      <w:r w:rsidRPr="00F07699">
        <w:tab/>
        <w:t>2 business days after the data holder received the communication;</w:t>
      </w:r>
    </w:p>
    <w:p w14:paraId="5B876846" w14:textId="77777777" w:rsidR="00CF0E3D" w:rsidRPr="00F07699" w:rsidRDefault="00CF0E3D" w:rsidP="00CF0E3D">
      <w:pPr>
        <w:pStyle w:val="paragraph"/>
      </w:pPr>
      <w:r w:rsidRPr="00F07699">
        <w:tab/>
        <w:t>(b)</w:t>
      </w:r>
      <w:r w:rsidRPr="00F07699">
        <w:tab/>
        <w:t>if the authorisation was withdrawn in accordance with paragraph 4.25(1)(a)―when the authorisation was withdrawn;</w:t>
      </w:r>
    </w:p>
    <w:p w14:paraId="74B81CDE" w14:textId="77777777" w:rsidR="00CF0E3D" w:rsidRPr="00F07699" w:rsidRDefault="00CF0E3D" w:rsidP="00CF0E3D">
      <w:pPr>
        <w:pStyle w:val="paragraph"/>
      </w:pPr>
      <w:r w:rsidRPr="00F07699">
        <w:tab/>
        <w:t>(c)</w:t>
      </w:r>
      <w:r w:rsidRPr="00F07699">
        <w:tab/>
        <w:t>if the CDR consumer ceases to be eligible in relation to the data holder;</w:t>
      </w:r>
    </w:p>
    <w:p w14:paraId="56386FE0" w14:textId="77777777" w:rsidR="00CF0E3D" w:rsidRPr="00F07699" w:rsidRDefault="00CF0E3D" w:rsidP="00CF0E3D">
      <w:pPr>
        <w:pStyle w:val="paragraph"/>
      </w:pPr>
      <w:r w:rsidRPr="00F07699">
        <w:tab/>
        <w:t>(d)</w:t>
      </w:r>
      <w:r w:rsidRPr="00F07699">
        <w:tab/>
        <w:t>if the data holder was notified, under paragraph 4.13(2)(b), of the withdrawal of a consent to collect that CDR data―when the data holder received that notification;</w:t>
      </w:r>
    </w:p>
    <w:p w14:paraId="4E28CEB3" w14:textId="77777777" w:rsidR="00CF0E3D" w:rsidRPr="00F07699" w:rsidRDefault="00CF0E3D" w:rsidP="00CF0E3D">
      <w:pPr>
        <w:pStyle w:val="paragraph"/>
      </w:pPr>
      <w:r w:rsidRPr="00F07699">
        <w:tab/>
        <w:t>(e)</w:t>
      </w:r>
      <w:r w:rsidRPr="00F07699">
        <w:tab/>
        <w:t>the end of the period of 12 months after the authorisation was given;</w:t>
      </w:r>
    </w:p>
    <w:p w14:paraId="0E8E7934" w14:textId="77777777" w:rsidR="00CF0E3D" w:rsidRPr="00F07699" w:rsidRDefault="00CF0E3D" w:rsidP="00CF0E3D">
      <w:pPr>
        <w:pStyle w:val="paragraph"/>
      </w:pPr>
      <w:r w:rsidRPr="00F07699">
        <w:tab/>
        <w:t>(f)</w:t>
      </w:r>
      <w:r w:rsidRPr="00F07699">
        <w:tab/>
        <w:t>if the authorisation was for disclosure of CDR data on a single occasion—after the CDR data has been disclosed;</w:t>
      </w:r>
    </w:p>
    <w:p w14:paraId="0ACC8102" w14:textId="77777777" w:rsidR="00CF0E3D" w:rsidRPr="00F07699" w:rsidRDefault="00CF0E3D" w:rsidP="00CF0E3D">
      <w:pPr>
        <w:pStyle w:val="paragraph"/>
      </w:pPr>
      <w:r w:rsidRPr="00F07699">
        <w:tab/>
        <w:t>(g)</w:t>
      </w:r>
      <w:r w:rsidRPr="00F07699">
        <w:tab/>
        <w:t>if the authorisation was for disclosure of CDR data over a specified period—the end of</w:t>
      </w:r>
      <w:r w:rsidRPr="0077773C">
        <w:t>:</w:t>
      </w:r>
    </w:p>
    <w:p w14:paraId="627DD748" w14:textId="77777777" w:rsidR="00CF0E3D" w:rsidRPr="004E01F4" w:rsidRDefault="00CF0E3D" w:rsidP="00CF0E3D">
      <w:pPr>
        <w:pStyle w:val="paragraphsub"/>
      </w:pPr>
      <w:r w:rsidRPr="004E01F4">
        <w:tab/>
        <w:t>(i)</w:t>
      </w:r>
      <w:r w:rsidRPr="004E01F4">
        <w:tab/>
        <w:t>that period; or</w:t>
      </w:r>
    </w:p>
    <w:p w14:paraId="10B8CFC8" w14:textId="77777777" w:rsidR="00CF0E3D" w:rsidRPr="004E01F4" w:rsidRDefault="00CF0E3D" w:rsidP="00CF0E3D">
      <w:pPr>
        <w:pStyle w:val="paragraphsub"/>
      </w:pPr>
      <w:r w:rsidRPr="004E01F4">
        <w:tab/>
        <w:t>(ii)</w:t>
      </w:r>
      <w:r w:rsidRPr="004E01F4">
        <w:tab/>
        <w:t>if the period of the authorisation has been amended in accordance with this Division―that period as last amended;</w:t>
      </w:r>
    </w:p>
    <w:p w14:paraId="1D07F158" w14:textId="77777777" w:rsidR="00CF0E3D" w:rsidRPr="00F07699" w:rsidRDefault="00CF0E3D" w:rsidP="00CF0E3D">
      <w:pPr>
        <w:pStyle w:val="paragraph"/>
      </w:pPr>
      <w:r w:rsidRPr="00F07699">
        <w:tab/>
        <w:t>(h)</w:t>
      </w:r>
      <w:r w:rsidRPr="00F07699">
        <w:tab/>
        <w:t>if the authorisation expires as a result of the operation of a provision of these rules that references this paragraph.</w:t>
      </w:r>
    </w:p>
    <w:p w14:paraId="54C26D99" w14:textId="77777777" w:rsidR="00CF0E3D" w:rsidRPr="00F07699" w:rsidRDefault="00CF0E3D" w:rsidP="00CF0E3D">
      <w:pPr>
        <w:pStyle w:val="notetext"/>
      </w:pPr>
      <w:r w:rsidRPr="00F07699">
        <w:t>Note:</w:t>
      </w:r>
      <w:r w:rsidRPr="00F07699">
        <w:tab/>
        <w:t>Clause 7.2 of Schedule 3 is an example of a provision satisfying paragraph (h). This relates to when an accredited data recipient of CDR data becomes instead a data holder of that CDR data.</w:t>
      </w:r>
    </w:p>
    <w:p w14:paraId="41F35C00" w14:textId="77777777" w:rsidR="00CF0E3D" w:rsidRPr="00F07699" w:rsidRDefault="00CF0E3D" w:rsidP="00CF0E3D">
      <w:pPr>
        <w:pStyle w:val="subsection"/>
      </w:pPr>
      <w:r w:rsidRPr="00F07699">
        <w:tab/>
        <w:t>(2)</w:t>
      </w:r>
      <w:r w:rsidRPr="00F07699">
        <w:tab/>
        <w:t>If an accredited person’s accreditation is revoked or surrendered in accordance with rule 5.17, all authorisations for a data holder to disclose CDR data to that accredited person expire when the data holder is notified of the revocation or surrender.</w:t>
      </w:r>
    </w:p>
    <w:p w14:paraId="301D488A" w14:textId="77777777" w:rsidR="00CF0E3D" w:rsidRPr="00F07699" w:rsidRDefault="00CF0E3D" w:rsidP="00CF0E3D">
      <w:pPr>
        <w:pStyle w:val="ActHead5"/>
      </w:pPr>
      <w:bookmarkStart w:id="321" w:name="_Toc50633100"/>
      <w:bookmarkStart w:id="322" w:name="_Toc57219060"/>
      <w:bookmarkStart w:id="323" w:name="_Toc59549171"/>
      <w:bookmarkStart w:id="324" w:name="_Toc74916167"/>
      <w:r w:rsidRPr="00F07699">
        <w:t>4.27  Updating consumer dashboard</w:t>
      </w:r>
      <w:bookmarkEnd w:id="321"/>
      <w:bookmarkEnd w:id="322"/>
      <w:bookmarkEnd w:id="323"/>
      <w:bookmarkEnd w:id="324"/>
    </w:p>
    <w:p w14:paraId="6E74961E" w14:textId="77777777" w:rsidR="00CF0E3D" w:rsidRPr="00F07699" w:rsidRDefault="00CF0E3D" w:rsidP="00CF0E3D">
      <w:pPr>
        <w:pStyle w:val="subsection"/>
      </w:pPr>
      <w:r w:rsidRPr="00F07699">
        <w:tab/>
      </w:r>
      <w:r w:rsidRPr="00F07699">
        <w:tab/>
        <w:t>A data holder must update a CDR consumer’s consumer dashboard as soon as practicable after the information required to be contained on the dashboard changes.</w:t>
      </w:r>
    </w:p>
    <w:p w14:paraId="09B001C0" w14:textId="77777777" w:rsidR="00CF0E3D" w:rsidRPr="00F07699" w:rsidRDefault="00CF0E3D" w:rsidP="00CF0E3D">
      <w:pPr>
        <w:pStyle w:val="notetext"/>
      </w:pPr>
      <w:r w:rsidRPr="00F07699">
        <w:t>Note:</w:t>
      </w:r>
      <w:r w:rsidRPr="00F07699">
        <w:tab/>
        <w:t>This rule is a civil penalty provision (see rule 9.8).</w:t>
      </w:r>
    </w:p>
    <w:p w14:paraId="403FD82D" w14:textId="77777777" w:rsidR="00CF0E3D" w:rsidRPr="00A6091B" w:rsidRDefault="00CF0E3D" w:rsidP="00CF0E3D">
      <w:pPr>
        <w:pStyle w:val="ActHead5"/>
      </w:pPr>
      <w:bookmarkStart w:id="325" w:name="_Toc59549172"/>
      <w:bookmarkStart w:id="326" w:name="_Toc74916168"/>
      <w:r w:rsidRPr="00A6091B">
        <w:t>4.28  Notification requirements for consumer data requests on behalf of secondary users</w:t>
      </w:r>
      <w:bookmarkEnd w:id="325"/>
      <w:bookmarkEnd w:id="326"/>
    </w:p>
    <w:p w14:paraId="6C54FD61" w14:textId="77777777" w:rsidR="00CF0E3D" w:rsidRPr="00A6091B" w:rsidRDefault="00CF0E3D" w:rsidP="00CF0E3D">
      <w:pPr>
        <w:pStyle w:val="subsection"/>
      </w:pPr>
      <w:r w:rsidRPr="00A6091B">
        <w:tab/>
        <w:t>(1)</w:t>
      </w:r>
      <w:r w:rsidRPr="00A6091B">
        <w:tab/>
        <w:t>This rule applies if:</w:t>
      </w:r>
    </w:p>
    <w:p w14:paraId="13895393" w14:textId="77777777" w:rsidR="00CF0E3D" w:rsidRPr="00A6091B" w:rsidRDefault="00CF0E3D" w:rsidP="00CF0E3D">
      <w:pPr>
        <w:pStyle w:val="paragraph"/>
      </w:pPr>
      <w:r w:rsidRPr="00A6091B">
        <w:tab/>
        <w:t>(a)</w:t>
      </w:r>
      <w:r w:rsidRPr="00A6091B">
        <w:tab/>
        <w:t>an accredited person makes a consumer data request under this Part on behalf of a secondary user for a particular account; and</w:t>
      </w:r>
    </w:p>
    <w:p w14:paraId="1657E015" w14:textId="77777777" w:rsidR="00CF0E3D" w:rsidRPr="00A6091B" w:rsidRDefault="00CF0E3D" w:rsidP="00CF0E3D">
      <w:pPr>
        <w:pStyle w:val="paragraph"/>
      </w:pPr>
      <w:r w:rsidRPr="00A6091B">
        <w:tab/>
        <w:t>(b)</w:t>
      </w:r>
      <w:r w:rsidRPr="00A6091B">
        <w:tab/>
        <w:t>the secondary user amends or withdraws an authorisation, or an authorisation given by the secondary user expires.</w:t>
      </w:r>
    </w:p>
    <w:p w14:paraId="443C4984" w14:textId="77777777" w:rsidR="00CF0E3D" w:rsidRPr="00A6091B" w:rsidRDefault="00CF0E3D" w:rsidP="00CF0E3D">
      <w:pPr>
        <w:pStyle w:val="subsection"/>
      </w:pPr>
      <w:r w:rsidRPr="00A6091B">
        <w:tab/>
        <w:t>(2)</w:t>
      </w:r>
      <w:r w:rsidRPr="00A6091B">
        <w:tab/>
        <w:t>The data holder must, as soon as practicable, notify the account holder of that fact through its ordinary means of contacting the account holder.</w:t>
      </w:r>
    </w:p>
    <w:p w14:paraId="57DD1628" w14:textId="77777777" w:rsidR="00CF0E3D" w:rsidRPr="00A6091B" w:rsidRDefault="00CF0E3D" w:rsidP="00CF0E3D">
      <w:pPr>
        <w:pStyle w:val="notetext"/>
      </w:pPr>
      <w:r w:rsidRPr="00A6091B">
        <w:t>Note:</w:t>
      </w:r>
      <w:r w:rsidRPr="00A6091B">
        <w:tab/>
        <w:t>This subclause is a civil penalty provision (see rule 9.8).</w:t>
      </w:r>
    </w:p>
    <w:p w14:paraId="640DFE70" w14:textId="5D95F6AA" w:rsidR="00CC28A8" w:rsidRPr="00BC78CF" w:rsidRDefault="00832060" w:rsidP="000029CF">
      <w:pPr>
        <w:pStyle w:val="ActHead2"/>
        <w:rPr>
          <w:color w:val="FF0000"/>
        </w:rPr>
      </w:pPr>
      <w:bookmarkStart w:id="327" w:name="_Toc74916169"/>
      <w:bookmarkStart w:id="328" w:name="_Toc11771626"/>
      <w:bookmarkEnd w:id="286"/>
      <w:r w:rsidRPr="00BC78CF">
        <w:rPr>
          <w:color w:val="FF0000"/>
        </w:rPr>
        <w:t>Part 4</w:t>
      </w:r>
      <w:r w:rsidR="000029CF" w:rsidRPr="00BC78CF">
        <w:rPr>
          <w:color w:val="FF0000"/>
        </w:rPr>
        <w:t>A—</w:t>
      </w:r>
      <w:r w:rsidR="00CC28A8" w:rsidRPr="00BC78CF">
        <w:rPr>
          <w:color w:val="FF0000"/>
        </w:rPr>
        <w:t>Joint accounts</w:t>
      </w:r>
      <w:bookmarkEnd w:id="327"/>
    </w:p>
    <w:p w14:paraId="401C42C6" w14:textId="7484EACE" w:rsidR="008D1B60" w:rsidRPr="00BC78CF" w:rsidRDefault="008D1B60" w:rsidP="008D1B60">
      <w:pPr>
        <w:pStyle w:val="notemargin"/>
        <w:rPr>
          <w:color w:val="FF0000"/>
        </w:rPr>
      </w:pPr>
      <w:r w:rsidRPr="00BC78CF">
        <w:rPr>
          <w:color w:val="FF0000"/>
        </w:rPr>
        <w:t>Note:</w:t>
      </w:r>
      <w:r w:rsidRPr="00BC78CF">
        <w:rPr>
          <w:color w:val="FF0000"/>
        </w:rPr>
        <w:tab/>
        <w:t>When this Part commences, it will be subject to transitional provisions that operate until April 2022.</w:t>
      </w:r>
    </w:p>
    <w:p w14:paraId="07E6F305" w14:textId="3FB23D1C" w:rsidR="00CC28A8" w:rsidRPr="00BC78CF" w:rsidRDefault="00832060" w:rsidP="00085185">
      <w:pPr>
        <w:pStyle w:val="ActHead3"/>
        <w:rPr>
          <w:color w:val="FF0000"/>
        </w:rPr>
      </w:pPr>
      <w:bookmarkStart w:id="329" w:name="_Toc74916170"/>
      <w:r w:rsidRPr="00BC78CF">
        <w:rPr>
          <w:color w:val="FF0000"/>
        </w:rPr>
        <w:t>Division  4A.1</w:t>
      </w:r>
      <w:r w:rsidR="00CC28A8" w:rsidRPr="00BC78CF">
        <w:rPr>
          <w:color w:val="FF0000"/>
        </w:rPr>
        <w:t>—Preliminary</w:t>
      </w:r>
      <w:bookmarkEnd w:id="329"/>
    </w:p>
    <w:p w14:paraId="4205C29C" w14:textId="11BA2B87" w:rsidR="00CC28A8" w:rsidRPr="00BC78CF" w:rsidRDefault="00832060" w:rsidP="00CC28A8">
      <w:pPr>
        <w:pStyle w:val="ActHead5"/>
        <w:rPr>
          <w:noProof/>
          <w:color w:val="FF0000"/>
          <w:lang w:val="en-US"/>
        </w:rPr>
      </w:pPr>
      <w:r w:rsidRPr="00BC78CF">
        <w:rPr>
          <w:color w:val="FF0000"/>
          <w:lang w:val="en-US"/>
        </w:rPr>
        <w:t xml:space="preserve"> </w:t>
      </w:r>
      <w:bookmarkStart w:id="330" w:name="_Toc74916171"/>
      <w:r w:rsidRPr="00BC78CF">
        <w:rPr>
          <w:color w:val="FF0000"/>
          <w:lang w:val="en-US"/>
        </w:rPr>
        <w:t xml:space="preserve">4A.1 </w:t>
      </w:r>
      <w:r w:rsidR="00CC28A8" w:rsidRPr="00BC78CF">
        <w:rPr>
          <w:noProof/>
          <w:color w:val="FF0000"/>
          <w:lang w:val="en-US"/>
        </w:rPr>
        <w:t xml:space="preserve"> Purpose of Part</w:t>
      </w:r>
      <w:bookmarkEnd w:id="330"/>
    </w:p>
    <w:p w14:paraId="7207B28F" w14:textId="59988FF7" w:rsidR="00CC28A8" w:rsidRPr="00BC78CF" w:rsidRDefault="00CC28A8" w:rsidP="00CC28A8">
      <w:pPr>
        <w:pStyle w:val="subsection"/>
        <w:rPr>
          <w:strike/>
          <w:color w:val="FF0000"/>
          <w:lang w:val="en-US"/>
        </w:rPr>
      </w:pPr>
      <w:r w:rsidRPr="00BC78CF">
        <w:rPr>
          <w:color w:val="FF0000"/>
          <w:lang w:val="en-US"/>
        </w:rPr>
        <w:tab/>
      </w:r>
      <w:r w:rsidRPr="00BC78CF">
        <w:rPr>
          <w:color w:val="FF0000"/>
          <w:lang w:val="en-US"/>
        </w:rPr>
        <w:tab/>
        <w:t>Special rules apply in relation to consumer data requests under Part 4 under which there is a request for disclosure of CDR data that relates to one or more joint accounts. This Part sets out those rules.</w:t>
      </w:r>
    </w:p>
    <w:p w14:paraId="30B57AB7" w14:textId="4D612173" w:rsidR="00CC28A8" w:rsidRPr="00BC78CF" w:rsidRDefault="00832060" w:rsidP="00CC28A8">
      <w:pPr>
        <w:pStyle w:val="ActHead5"/>
        <w:rPr>
          <w:color w:val="FF0000"/>
          <w:lang w:val="en-US"/>
        </w:rPr>
      </w:pPr>
      <w:r w:rsidRPr="00BC78CF">
        <w:rPr>
          <w:color w:val="FF0000"/>
          <w:lang w:val="en-US"/>
        </w:rPr>
        <w:t xml:space="preserve"> </w:t>
      </w:r>
      <w:bookmarkStart w:id="331" w:name="_Toc74916172"/>
      <w:r w:rsidRPr="00BC78CF">
        <w:rPr>
          <w:color w:val="FF0000"/>
          <w:lang w:val="en-US"/>
        </w:rPr>
        <w:t xml:space="preserve">4A.2 </w:t>
      </w:r>
      <w:r w:rsidR="00CC28A8" w:rsidRPr="00BC78CF">
        <w:rPr>
          <w:color w:val="FF0000"/>
          <w:lang w:val="en-US"/>
        </w:rPr>
        <w:t>Simplified outline of this Part</w:t>
      </w:r>
      <w:bookmarkEnd w:id="331"/>
    </w:p>
    <w:p w14:paraId="322ED927" w14:textId="65F9395C" w:rsidR="00CC28A8" w:rsidRPr="00BC78CF" w:rsidRDefault="00CC28A8" w:rsidP="00CC28A8">
      <w:pPr>
        <w:pStyle w:val="SOText"/>
        <w:pBdr>
          <w:right w:val="single" w:sz="6" w:space="10" w:color="auto"/>
        </w:pBdr>
        <w:rPr>
          <w:color w:val="FF0000"/>
        </w:rPr>
      </w:pPr>
      <w:r w:rsidRPr="00BC78CF">
        <w:rPr>
          <w:color w:val="FF0000"/>
        </w:rPr>
        <w:t>CDR data that relates to a joint account</w:t>
      </w:r>
      <w:r w:rsidR="00624C46" w:rsidRPr="00BC78CF">
        <w:rPr>
          <w:color w:val="FF0000"/>
        </w:rPr>
        <w:t xml:space="preserve"> </w:t>
      </w:r>
      <w:r w:rsidRPr="00BC78CF">
        <w:rPr>
          <w:color w:val="FF0000"/>
        </w:rPr>
        <w:t>can be dis</w:t>
      </w:r>
      <w:r w:rsidR="00E85D43" w:rsidRPr="00BC78CF">
        <w:rPr>
          <w:color w:val="FF0000"/>
        </w:rPr>
        <w:t xml:space="preserve">closed under these rules only in accordance with the </w:t>
      </w:r>
      <w:r w:rsidRPr="00BC78CF">
        <w:rPr>
          <w:color w:val="FF0000"/>
        </w:rPr>
        <w:t xml:space="preserve">disclosure option </w:t>
      </w:r>
      <w:r w:rsidR="00E85D43" w:rsidRPr="00BC78CF">
        <w:rPr>
          <w:color w:val="FF0000"/>
        </w:rPr>
        <w:t xml:space="preserve">that </w:t>
      </w:r>
      <w:r w:rsidRPr="00BC78CF">
        <w:rPr>
          <w:color w:val="FF0000"/>
        </w:rPr>
        <w:t>applies to the account. Division 4</w:t>
      </w:r>
      <w:r w:rsidR="00794BC7" w:rsidRPr="00BC78CF">
        <w:rPr>
          <w:color w:val="FF0000"/>
        </w:rPr>
        <w:t>A</w:t>
      </w:r>
      <w:r w:rsidRPr="00BC78CF">
        <w:rPr>
          <w:color w:val="FF0000"/>
        </w:rPr>
        <w:t>.2 sets out:</w:t>
      </w:r>
    </w:p>
    <w:p w14:paraId="4A4D7C11" w14:textId="2FA39BD9" w:rsidR="00CC28A8" w:rsidRPr="00BC78CF" w:rsidRDefault="00CC28A8" w:rsidP="00CC28A8">
      <w:pPr>
        <w:pStyle w:val="SOPara"/>
        <w:pBdr>
          <w:right w:val="single" w:sz="6" w:space="10" w:color="auto"/>
        </w:pBdr>
        <w:rPr>
          <w:color w:val="FF0000"/>
        </w:rPr>
      </w:pPr>
      <w:r w:rsidRPr="00BC78CF">
        <w:rPr>
          <w:color w:val="FF0000"/>
        </w:rPr>
        <w:tab/>
        <w:t>•</w:t>
      </w:r>
      <w:r w:rsidRPr="00BC78CF">
        <w:rPr>
          <w:color w:val="FF0000"/>
        </w:rPr>
        <w:tab/>
        <w:t xml:space="preserve">the </w:t>
      </w:r>
      <w:r w:rsidR="00E85D43" w:rsidRPr="00BC78CF">
        <w:rPr>
          <w:color w:val="FF0000"/>
        </w:rPr>
        <w:t xml:space="preserve">three </w:t>
      </w:r>
      <w:r w:rsidRPr="00BC78CF">
        <w:rPr>
          <w:color w:val="FF0000"/>
        </w:rPr>
        <w:t>disclosure options</w:t>
      </w:r>
      <w:r w:rsidR="00E85D43" w:rsidRPr="00BC78CF">
        <w:rPr>
          <w:color w:val="FF0000"/>
        </w:rPr>
        <w:t>, with the default option being the pre-approval option</w:t>
      </w:r>
      <w:r w:rsidRPr="00BC78CF">
        <w:rPr>
          <w:color w:val="FF0000"/>
        </w:rPr>
        <w:t>; and</w:t>
      </w:r>
    </w:p>
    <w:p w14:paraId="0A3E4E70" w14:textId="77777777" w:rsidR="00506306" w:rsidRPr="00BC78CF" w:rsidRDefault="00CC28A8" w:rsidP="00CC28A8">
      <w:pPr>
        <w:pStyle w:val="SOPara"/>
        <w:pBdr>
          <w:right w:val="single" w:sz="6" w:space="10" w:color="auto"/>
        </w:pBdr>
        <w:rPr>
          <w:color w:val="FF0000"/>
        </w:rPr>
      </w:pPr>
      <w:r w:rsidRPr="00BC78CF">
        <w:rPr>
          <w:color w:val="FF0000"/>
        </w:rPr>
        <w:tab/>
        <w:t>•</w:t>
      </w:r>
      <w:r w:rsidRPr="00BC78CF">
        <w:rPr>
          <w:color w:val="FF0000"/>
        </w:rPr>
        <w:tab/>
        <w:t xml:space="preserve">an obligation for data holders to provide a service (a </w:t>
      </w:r>
      <w:r w:rsidR="00E85D43" w:rsidRPr="00BC78CF">
        <w:rPr>
          <w:color w:val="FF0000"/>
        </w:rPr>
        <w:t>disclosure option management service</w:t>
      </w:r>
      <w:r w:rsidRPr="00BC78CF">
        <w:rPr>
          <w:color w:val="FF0000"/>
        </w:rPr>
        <w:t>) for all joint accounts to which this Part applies through w</w:t>
      </w:r>
      <w:r w:rsidR="00624C46" w:rsidRPr="00BC78CF">
        <w:rPr>
          <w:color w:val="FF0000"/>
        </w:rPr>
        <w:t xml:space="preserve">hich joint account holders can </w:t>
      </w:r>
      <w:r w:rsidR="00506306" w:rsidRPr="00BC78CF">
        <w:rPr>
          <w:color w:val="FF0000"/>
        </w:rPr>
        <w:t xml:space="preserve">change the disclosure option that applies to the account, or propose a change to the </w:t>
      </w:r>
      <w:r w:rsidR="00624C46" w:rsidRPr="00BC78CF">
        <w:rPr>
          <w:color w:val="FF0000"/>
        </w:rPr>
        <w:t>other account holders</w:t>
      </w:r>
      <w:r w:rsidR="00506306" w:rsidRPr="00BC78CF">
        <w:rPr>
          <w:color w:val="FF0000"/>
        </w:rPr>
        <w:t>.</w:t>
      </w:r>
    </w:p>
    <w:p w14:paraId="49B5A368" w14:textId="329E9D30" w:rsidR="00CC28A8" w:rsidRPr="00BC78CF" w:rsidRDefault="00CC28A8" w:rsidP="00CC28A8">
      <w:pPr>
        <w:pStyle w:val="SOPara"/>
        <w:pBdr>
          <w:right w:val="single" w:sz="6" w:space="10" w:color="auto"/>
        </w:pBdr>
        <w:rPr>
          <w:color w:val="FF0000"/>
        </w:rPr>
      </w:pPr>
      <w:r w:rsidRPr="00BC78CF">
        <w:rPr>
          <w:color w:val="FF0000"/>
        </w:rPr>
        <w:tab/>
        <w:t>•</w:t>
      </w:r>
      <w:r w:rsidRPr="00BC78CF">
        <w:rPr>
          <w:color w:val="FF0000"/>
        </w:rPr>
        <w:tab/>
        <w:t xml:space="preserve">when one joint account holder </w:t>
      </w:r>
      <w:r w:rsidR="00777905" w:rsidRPr="00BC78CF">
        <w:rPr>
          <w:color w:val="FF0000"/>
        </w:rPr>
        <w:t xml:space="preserve">proposes </w:t>
      </w:r>
      <w:r w:rsidR="002373B6" w:rsidRPr="00BC78CF">
        <w:rPr>
          <w:color w:val="FF0000"/>
        </w:rPr>
        <w:t xml:space="preserve">to change the </w:t>
      </w:r>
      <w:r w:rsidRPr="00BC78CF">
        <w:rPr>
          <w:color w:val="FF0000"/>
        </w:rPr>
        <w:t xml:space="preserve">disclosure option―a process by which the other joint account holders can </w:t>
      </w:r>
      <w:r w:rsidR="00624C46" w:rsidRPr="00BC78CF">
        <w:rPr>
          <w:color w:val="FF0000"/>
        </w:rPr>
        <w:t>either agree with or reject</w:t>
      </w:r>
      <w:r w:rsidR="00777905" w:rsidRPr="00BC78CF">
        <w:rPr>
          <w:color w:val="FF0000"/>
        </w:rPr>
        <w:t xml:space="preserve"> the proposal</w:t>
      </w:r>
      <w:r w:rsidRPr="00BC78CF">
        <w:rPr>
          <w:color w:val="FF0000"/>
        </w:rPr>
        <w:t>; and</w:t>
      </w:r>
    </w:p>
    <w:p w14:paraId="584AB109" w14:textId="77777777" w:rsidR="00CC28A8" w:rsidRPr="00BC78CF" w:rsidRDefault="00CC28A8" w:rsidP="00CC28A8">
      <w:pPr>
        <w:pStyle w:val="SOPara"/>
        <w:pBdr>
          <w:right w:val="single" w:sz="6" w:space="10" w:color="auto"/>
        </w:pBdr>
        <w:rPr>
          <w:color w:val="FF0000"/>
        </w:rPr>
      </w:pPr>
      <w:r w:rsidRPr="00BC78CF">
        <w:rPr>
          <w:color w:val="FF0000"/>
        </w:rPr>
        <w:tab/>
        <w:t>•</w:t>
      </w:r>
      <w:r w:rsidRPr="00BC78CF">
        <w:rPr>
          <w:color w:val="FF0000"/>
        </w:rPr>
        <w:tab/>
        <w:t>some associated notification requirements.</w:t>
      </w:r>
    </w:p>
    <w:p w14:paraId="35B4E5B0" w14:textId="77777777" w:rsidR="00FA06B3" w:rsidRPr="00BC78CF" w:rsidRDefault="00CC28A8" w:rsidP="00CC28A8">
      <w:pPr>
        <w:pStyle w:val="SOText"/>
        <w:pBdr>
          <w:right w:val="single" w:sz="6" w:space="10" w:color="auto"/>
        </w:pBdr>
        <w:rPr>
          <w:color w:val="FF0000"/>
        </w:rPr>
      </w:pPr>
      <w:r w:rsidRPr="00BC78CF">
        <w:rPr>
          <w:color w:val="FF0000"/>
        </w:rPr>
        <w:t>A</w:t>
      </w:r>
      <w:r w:rsidR="00FA06B3" w:rsidRPr="00BC78CF">
        <w:rPr>
          <w:color w:val="FF0000"/>
        </w:rPr>
        <w:t>ny joint account holder can choose that the non-disclosure option will apply.</w:t>
      </w:r>
    </w:p>
    <w:p w14:paraId="7DCCA863" w14:textId="77777777" w:rsidR="00FA06B3" w:rsidRPr="00BC78CF" w:rsidRDefault="00FA06B3" w:rsidP="00CC28A8">
      <w:pPr>
        <w:pStyle w:val="SOText"/>
        <w:pBdr>
          <w:right w:val="single" w:sz="6" w:space="10" w:color="auto"/>
        </w:pBdr>
        <w:rPr>
          <w:color w:val="FF0000"/>
        </w:rPr>
      </w:pPr>
      <w:r w:rsidRPr="00BC78CF">
        <w:rPr>
          <w:color w:val="FF0000"/>
        </w:rPr>
        <w:t>If the pre-approval option applies, any joint account holder can choose that the co-approval option will apply.</w:t>
      </w:r>
    </w:p>
    <w:p w14:paraId="44768175" w14:textId="33ACE961" w:rsidR="00CC28A8" w:rsidRPr="00BC78CF" w:rsidRDefault="00FA06B3" w:rsidP="00CC28A8">
      <w:pPr>
        <w:pStyle w:val="SOText"/>
        <w:pBdr>
          <w:right w:val="single" w:sz="6" w:space="10" w:color="auto"/>
        </w:pBdr>
        <w:rPr>
          <w:color w:val="FF0000"/>
        </w:rPr>
      </w:pPr>
      <w:r w:rsidRPr="00BC78CF">
        <w:rPr>
          <w:color w:val="FF0000"/>
        </w:rPr>
        <w:t xml:space="preserve">A change from the non-disclosure option to another option, or a change from the co-approval option to the pre-approval option, requires the agreement of all the </w:t>
      </w:r>
      <w:r w:rsidR="00CC28A8" w:rsidRPr="00BC78CF">
        <w:rPr>
          <w:color w:val="FF0000"/>
        </w:rPr>
        <w:t>joint account holders.</w:t>
      </w:r>
    </w:p>
    <w:p w14:paraId="11514185" w14:textId="25C7FAC2" w:rsidR="00CC28A8" w:rsidRPr="00BC78CF" w:rsidRDefault="00CC28A8" w:rsidP="00CC28A8">
      <w:pPr>
        <w:pStyle w:val="SOText"/>
        <w:pBdr>
          <w:right w:val="single" w:sz="6" w:space="10" w:color="auto"/>
        </w:pBdr>
        <w:rPr>
          <w:color w:val="FF0000"/>
        </w:rPr>
      </w:pPr>
      <w:r w:rsidRPr="00BC78CF">
        <w:rPr>
          <w:color w:val="FF0000"/>
        </w:rPr>
        <w:t>When an accredited person makes a consumer data request under Part 4 on behalf of a CDR consumer, and the request includes CDR data relating to one or more joint accounts of which the CDR consumer is a j</w:t>
      </w:r>
      <w:r w:rsidR="00FA06B3" w:rsidRPr="00BC78CF">
        <w:rPr>
          <w:color w:val="FF0000"/>
        </w:rPr>
        <w:t>oint account holder, Division 4A.3</w:t>
      </w:r>
      <w:r w:rsidRPr="00BC78CF">
        <w:rPr>
          <w:color w:val="FF0000"/>
        </w:rPr>
        <w:t xml:space="preserve"> deals with how the request is processed.</w:t>
      </w:r>
    </w:p>
    <w:p w14:paraId="754B40E3" w14:textId="03EBBA20" w:rsidR="00CC28A8" w:rsidRPr="00BC78CF" w:rsidRDefault="00CC28A8" w:rsidP="00CC28A8">
      <w:pPr>
        <w:pStyle w:val="SOText"/>
        <w:pBdr>
          <w:right w:val="single" w:sz="6" w:space="10" w:color="auto"/>
        </w:pBdr>
        <w:rPr>
          <w:color w:val="FF0000"/>
        </w:rPr>
      </w:pPr>
      <w:r w:rsidRPr="00BC78CF">
        <w:rPr>
          <w:color w:val="FF0000"/>
        </w:rPr>
        <w:t>Division 4</w:t>
      </w:r>
      <w:r w:rsidR="00FA06B3" w:rsidRPr="00BC78CF">
        <w:rPr>
          <w:color w:val="FF0000"/>
        </w:rPr>
        <w:t>A</w:t>
      </w:r>
      <w:r w:rsidRPr="00BC78CF">
        <w:rPr>
          <w:color w:val="FF0000"/>
        </w:rPr>
        <w:t>.3 also deals with how requests are processed when the accredited person makes a consumer data request on behalf of a secondary user of the joint account.</w:t>
      </w:r>
    </w:p>
    <w:p w14:paraId="63053FCC" w14:textId="0453EC1B" w:rsidR="00CC28A8" w:rsidRPr="00BC78CF" w:rsidRDefault="00832060" w:rsidP="00794BC7">
      <w:pPr>
        <w:pStyle w:val="ActHead3"/>
        <w:rPr>
          <w:color w:val="FF0000"/>
          <w:lang w:val="en-US"/>
        </w:rPr>
      </w:pPr>
      <w:bookmarkStart w:id="332" w:name="_Toc74916173"/>
      <w:r w:rsidRPr="00BC78CF">
        <w:rPr>
          <w:color w:val="FF0000"/>
          <w:lang w:val="en-US"/>
        </w:rPr>
        <w:t>Division  4A.2</w:t>
      </w:r>
      <w:r w:rsidR="00D937A7" w:rsidRPr="00BC78CF">
        <w:rPr>
          <w:color w:val="FF0000"/>
          <w:lang w:val="en-US"/>
        </w:rPr>
        <w:t>A</w:t>
      </w:r>
      <w:r w:rsidR="00794BC7" w:rsidRPr="00BC78CF">
        <w:rPr>
          <w:color w:val="FF0000"/>
          <w:lang w:val="en-US"/>
        </w:rPr>
        <w:t xml:space="preserve">— </w:t>
      </w:r>
      <w:r w:rsidR="00085185" w:rsidRPr="00BC78CF">
        <w:rPr>
          <w:color w:val="FF0000"/>
          <w:lang w:val="en-US"/>
        </w:rPr>
        <w:t>Disclosure options</w:t>
      </w:r>
      <w:bookmarkEnd w:id="332"/>
    </w:p>
    <w:p w14:paraId="5B6D4E59" w14:textId="5B3A361B" w:rsidR="00CC28A8" w:rsidRPr="00BC78CF" w:rsidRDefault="00832060" w:rsidP="00CC28A8">
      <w:pPr>
        <w:pStyle w:val="ActHead5"/>
        <w:rPr>
          <w:color w:val="FF0000"/>
          <w:lang w:val="en-US"/>
        </w:rPr>
      </w:pPr>
      <w:r w:rsidRPr="00BC78CF">
        <w:rPr>
          <w:color w:val="FF0000"/>
          <w:lang w:val="en-US"/>
        </w:rPr>
        <w:t xml:space="preserve"> </w:t>
      </w:r>
      <w:bookmarkStart w:id="333" w:name="_Toc74916174"/>
      <w:r w:rsidRPr="00BC78CF">
        <w:rPr>
          <w:color w:val="FF0000"/>
          <w:lang w:val="en-US"/>
        </w:rPr>
        <w:t xml:space="preserve">4A.3 </w:t>
      </w:r>
      <w:r w:rsidR="00CC28A8" w:rsidRPr="00BC78CF">
        <w:rPr>
          <w:color w:val="FF0000"/>
          <w:lang w:val="en-US"/>
        </w:rPr>
        <w:t>Simplified outline of this Division</w:t>
      </w:r>
      <w:bookmarkEnd w:id="333"/>
    </w:p>
    <w:p w14:paraId="0B6392FD" w14:textId="65A87AAC" w:rsidR="00CC28A8" w:rsidRPr="00BC78CF" w:rsidRDefault="00CC28A8" w:rsidP="00CC28A8">
      <w:pPr>
        <w:pStyle w:val="SOText"/>
        <w:rPr>
          <w:color w:val="FF0000"/>
        </w:rPr>
      </w:pPr>
      <w:r w:rsidRPr="00BC78CF">
        <w:rPr>
          <w:color w:val="FF0000"/>
        </w:rPr>
        <w:t xml:space="preserve">This Division sets out the disclosure options that can apply to a joint account. These disclosure options are relevant when an </w:t>
      </w:r>
      <w:r w:rsidRPr="00BC78CF">
        <w:rPr>
          <w:color w:val="FF0000"/>
          <w:lang w:val="en-US"/>
        </w:rPr>
        <w:t>accredited person makes a consumer data request on behalf of one joint account holder or a secondary user under Part 4 .</w:t>
      </w:r>
    </w:p>
    <w:p w14:paraId="060AA18C" w14:textId="1353342E" w:rsidR="00CC28A8" w:rsidRPr="00BC78CF" w:rsidRDefault="00777905" w:rsidP="00CC28A8">
      <w:pPr>
        <w:pStyle w:val="SOText"/>
        <w:rPr>
          <w:color w:val="FF0000"/>
          <w:lang w:val="en-US"/>
        </w:rPr>
      </w:pPr>
      <w:r w:rsidRPr="00BC78CF">
        <w:rPr>
          <w:color w:val="FF0000"/>
          <w:lang w:val="en-US"/>
        </w:rPr>
        <w:t xml:space="preserve">The default is the </w:t>
      </w:r>
      <w:r w:rsidR="00CC28A8" w:rsidRPr="00BC78CF">
        <w:rPr>
          <w:color w:val="FF0000"/>
          <w:lang w:val="en-US"/>
        </w:rPr>
        <w:t>pre</w:t>
      </w:r>
      <w:r w:rsidR="00CC28A8" w:rsidRPr="00BC78CF">
        <w:rPr>
          <w:color w:val="FF0000"/>
          <w:lang w:val="en-US"/>
        </w:rPr>
        <w:noBreakHyphen/>
        <w:t xml:space="preserve">approval option. If </w:t>
      </w:r>
      <w:r w:rsidRPr="00BC78CF">
        <w:rPr>
          <w:color w:val="FF0000"/>
          <w:lang w:val="en-US"/>
        </w:rPr>
        <w:t>this option applies</w:t>
      </w:r>
      <w:r w:rsidR="00CC28A8" w:rsidRPr="00BC78CF">
        <w:rPr>
          <w:color w:val="FF0000"/>
        </w:rPr>
        <w:t xml:space="preserve">, </w:t>
      </w:r>
      <w:r w:rsidR="00CC28A8" w:rsidRPr="00BC78CF">
        <w:rPr>
          <w:color w:val="FF0000"/>
          <w:lang w:val="en-US"/>
        </w:rPr>
        <w:t>CDR data relating to the joint account can be disclosed in response to the request without the approval of the other account holder</w:t>
      </w:r>
      <w:r w:rsidR="00506306" w:rsidRPr="00BC78CF">
        <w:rPr>
          <w:color w:val="FF0000"/>
          <w:lang w:val="en-US"/>
        </w:rPr>
        <w:t>s</w:t>
      </w:r>
      <w:r w:rsidR="00CC28A8" w:rsidRPr="00BC78CF">
        <w:rPr>
          <w:color w:val="FF0000"/>
          <w:lang w:val="en-US"/>
        </w:rPr>
        <w:t>, but the other account holders can revoke the pre</w:t>
      </w:r>
      <w:r w:rsidR="00CC28A8" w:rsidRPr="00BC78CF">
        <w:rPr>
          <w:color w:val="FF0000"/>
          <w:lang w:val="en-US"/>
        </w:rPr>
        <w:noBreakHyphen/>
        <w:t>approval in relation to a particular consumer data request at any time.</w:t>
      </w:r>
    </w:p>
    <w:p w14:paraId="37FCFA52" w14:textId="14033AEF" w:rsidR="00777905" w:rsidRPr="00BC78CF" w:rsidRDefault="00777905" w:rsidP="00777905">
      <w:pPr>
        <w:pStyle w:val="SOText"/>
        <w:rPr>
          <w:color w:val="FF0000"/>
          <w:lang w:val="en-US"/>
        </w:rPr>
      </w:pPr>
      <w:r w:rsidRPr="00BC78CF">
        <w:rPr>
          <w:color w:val="FF0000"/>
          <w:lang w:val="en-US"/>
        </w:rPr>
        <w:t>Another option is the non-disclosure option. If this option applies, CDR data relating to the joint account cannot be disclosed under these rules.</w:t>
      </w:r>
    </w:p>
    <w:p w14:paraId="60E41CB9" w14:textId="0E6E50DB" w:rsidR="00CC28A8" w:rsidRPr="00BC78CF" w:rsidRDefault="00777905" w:rsidP="00CC28A8">
      <w:pPr>
        <w:pStyle w:val="SOText"/>
        <w:rPr>
          <w:color w:val="FF0000"/>
          <w:lang w:val="en-US"/>
        </w:rPr>
      </w:pPr>
      <w:r w:rsidRPr="00BC78CF">
        <w:rPr>
          <w:color w:val="FF0000"/>
          <w:lang w:val="en-US"/>
        </w:rPr>
        <w:t xml:space="preserve">The third option is the </w:t>
      </w:r>
      <w:r w:rsidR="00CC28A8" w:rsidRPr="00BC78CF">
        <w:rPr>
          <w:color w:val="FF0000"/>
          <w:lang w:val="en-US"/>
        </w:rPr>
        <w:t>co</w:t>
      </w:r>
      <w:r w:rsidR="00CC28A8" w:rsidRPr="00BC78CF">
        <w:rPr>
          <w:color w:val="FF0000"/>
          <w:lang w:val="en-US"/>
        </w:rPr>
        <w:noBreakHyphen/>
        <w:t>approval option. If</w:t>
      </w:r>
      <w:r w:rsidRPr="00BC78CF">
        <w:rPr>
          <w:color w:val="FF0000"/>
          <w:lang w:val="en-US"/>
        </w:rPr>
        <w:t xml:space="preserve"> this option applies</w:t>
      </w:r>
      <w:r w:rsidR="00CC28A8" w:rsidRPr="00BC78CF">
        <w:rPr>
          <w:color w:val="FF0000"/>
          <w:lang w:val="en-US"/>
        </w:rPr>
        <w:t>, CDR data relating to the joint account can be disclosed under these rules only with the approval of the all the account holders.</w:t>
      </w:r>
    </w:p>
    <w:p w14:paraId="2A2ECD22" w14:textId="518E012E" w:rsidR="00CC28A8" w:rsidRPr="00BC78CF" w:rsidRDefault="00CC28A8" w:rsidP="00CC28A8">
      <w:pPr>
        <w:pStyle w:val="SOText"/>
        <w:rPr>
          <w:color w:val="FF0000"/>
          <w:lang w:val="en-US"/>
        </w:rPr>
      </w:pPr>
      <w:r w:rsidRPr="00BC78CF">
        <w:rPr>
          <w:color w:val="FF0000"/>
          <w:lang w:val="en-US"/>
        </w:rPr>
        <w:t xml:space="preserve">Data holders must offer </w:t>
      </w:r>
      <w:r w:rsidR="00777905" w:rsidRPr="00BC78CF">
        <w:rPr>
          <w:color w:val="FF0000"/>
          <w:lang w:val="en-US"/>
        </w:rPr>
        <w:t xml:space="preserve">the </w:t>
      </w:r>
      <w:r w:rsidRPr="00BC78CF">
        <w:rPr>
          <w:color w:val="FF0000"/>
          <w:lang w:val="en-US"/>
        </w:rPr>
        <w:t>pre</w:t>
      </w:r>
      <w:r w:rsidRPr="00BC78CF">
        <w:rPr>
          <w:color w:val="FF0000"/>
          <w:lang w:val="en-US"/>
        </w:rPr>
        <w:noBreakHyphen/>
        <w:t>approval option</w:t>
      </w:r>
      <w:r w:rsidR="002373B6" w:rsidRPr="00BC78CF">
        <w:rPr>
          <w:color w:val="FF0000"/>
          <w:lang w:val="en-US"/>
        </w:rPr>
        <w:t xml:space="preserve"> and non-approval option</w:t>
      </w:r>
      <w:r w:rsidRPr="00BC78CF">
        <w:rPr>
          <w:color w:val="FF0000"/>
          <w:lang w:val="en-US"/>
        </w:rPr>
        <w:t xml:space="preserve"> on joint accounts, and may offer </w:t>
      </w:r>
      <w:r w:rsidR="00777905" w:rsidRPr="00BC78CF">
        <w:rPr>
          <w:color w:val="FF0000"/>
          <w:lang w:val="en-US"/>
        </w:rPr>
        <w:t>the c</w:t>
      </w:r>
      <w:r w:rsidR="002373B6" w:rsidRPr="00BC78CF">
        <w:rPr>
          <w:color w:val="FF0000"/>
          <w:lang w:val="en-US"/>
        </w:rPr>
        <w:t>o</w:t>
      </w:r>
      <w:r w:rsidR="002373B6" w:rsidRPr="00BC78CF">
        <w:rPr>
          <w:color w:val="FF0000"/>
          <w:lang w:val="en-US"/>
        </w:rPr>
        <w:noBreakHyphen/>
        <w:t>approval option</w:t>
      </w:r>
      <w:r w:rsidR="00777905" w:rsidRPr="00BC78CF">
        <w:rPr>
          <w:color w:val="FF0000"/>
          <w:lang w:val="en-US"/>
        </w:rPr>
        <w:t>.</w:t>
      </w:r>
    </w:p>
    <w:p w14:paraId="6971C0D9" w14:textId="218C4884" w:rsidR="00175787" w:rsidRPr="00BC78CF" w:rsidRDefault="00175787" w:rsidP="00175787">
      <w:pPr>
        <w:pStyle w:val="SOText"/>
        <w:rPr>
          <w:color w:val="FF0000"/>
          <w:lang w:val="en-US"/>
        </w:rPr>
      </w:pPr>
      <w:r w:rsidRPr="00BC78CF">
        <w:rPr>
          <w:color w:val="FF0000"/>
          <w:lang w:val="en-US"/>
        </w:rPr>
        <w:t>The process for changing the disclosure option is set out in this Division.</w:t>
      </w:r>
    </w:p>
    <w:p w14:paraId="44FA44DE" w14:textId="5C05CD10" w:rsidR="00CC28A8" w:rsidRPr="00BC78CF" w:rsidRDefault="00CC28A8" w:rsidP="00CC28A8">
      <w:pPr>
        <w:pStyle w:val="SOText"/>
        <w:rPr>
          <w:color w:val="FF0000"/>
        </w:rPr>
      </w:pPr>
      <w:r w:rsidRPr="00BC78CF">
        <w:rPr>
          <w:color w:val="FF0000"/>
        </w:rPr>
        <w:t xml:space="preserve">For each joint account to which this Part applies, a data holder must offer a </w:t>
      </w:r>
      <w:r w:rsidR="00E85D43" w:rsidRPr="00BC78CF">
        <w:rPr>
          <w:color w:val="FF0000"/>
        </w:rPr>
        <w:t>disclosure option management service</w:t>
      </w:r>
      <w:r w:rsidRPr="00BC78CF">
        <w:rPr>
          <w:color w:val="FF0000"/>
        </w:rPr>
        <w:t xml:space="preserve"> that can be used by joint account holders to select and manage these disclosure options.</w:t>
      </w:r>
    </w:p>
    <w:p w14:paraId="5030C586" w14:textId="5740C452" w:rsidR="00CC28A8" w:rsidRPr="00BC78CF" w:rsidRDefault="00832060" w:rsidP="00AA7F0D">
      <w:pPr>
        <w:pStyle w:val="ActHead5"/>
        <w:rPr>
          <w:color w:val="FF0000"/>
          <w:lang w:val="en-US"/>
        </w:rPr>
      </w:pPr>
      <w:r w:rsidRPr="00BC78CF">
        <w:rPr>
          <w:color w:val="FF0000"/>
          <w:lang w:val="en-US"/>
        </w:rPr>
        <w:t xml:space="preserve"> </w:t>
      </w:r>
      <w:bookmarkStart w:id="334" w:name="_Toc74916175"/>
      <w:r w:rsidRPr="00BC78CF">
        <w:rPr>
          <w:color w:val="FF0000"/>
          <w:lang w:val="en-US"/>
        </w:rPr>
        <w:t xml:space="preserve">4A.4 </w:t>
      </w:r>
      <w:r w:rsidR="00CC28A8" w:rsidRPr="00BC78CF">
        <w:rPr>
          <w:color w:val="FF0000"/>
          <w:lang w:val="en-US"/>
        </w:rPr>
        <w:t xml:space="preserve">Disclosure options </w:t>
      </w:r>
      <w:r w:rsidR="00190FE5" w:rsidRPr="00BC78CF">
        <w:rPr>
          <w:color w:val="FF0000"/>
          <w:lang w:val="en-US"/>
        </w:rPr>
        <w:t xml:space="preserve">for </w:t>
      </w:r>
      <w:r w:rsidR="00CC28A8" w:rsidRPr="00BC78CF">
        <w:rPr>
          <w:color w:val="FF0000"/>
          <w:lang w:val="en-US"/>
        </w:rPr>
        <w:t>joint accounts</w:t>
      </w:r>
      <w:bookmarkEnd w:id="334"/>
    </w:p>
    <w:p w14:paraId="50796552" w14:textId="31B44FB5" w:rsidR="002373B6" w:rsidRPr="00BC78CF" w:rsidRDefault="005A712F" w:rsidP="002373B6">
      <w:pPr>
        <w:pStyle w:val="SubsectionHead"/>
        <w:rPr>
          <w:color w:val="FF0000"/>
        </w:rPr>
      </w:pPr>
      <w:r w:rsidRPr="00BC78CF">
        <w:rPr>
          <w:color w:val="FF0000"/>
        </w:rPr>
        <w:t xml:space="preserve">Disclosure </w:t>
      </w:r>
      <w:r w:rsidR="002373B6" w:rsidRPr="00BC78CF">
        <w:rPr>
          <w:color w:val="FF0000"/>
        </w:rPr>
        <w:t>option</w:t>
      </w:r>
      <w:r w:rsidRPr="00BC78CF">
        <w:rPr>
          <w:color w:val="FF0000"/>
        </w:rPr>
        <w:t>s</w:t>
      </w:r>
    </w:p>
    <w:p w14:paraId="53B3F195" w14:textId="3D6F1022" w:rsidR="007F3929" w:rsidRPr="00BC78CF" w:rsidRDefault="007F3929" w:rsidP="007F3929">
      <w:pPr>
        <w:pStyle w:val="subsection"/>
        <w:rPr>
          <w:color w:val="FF0000"/>
        </w:rPr>
      </w:pPr>
      <w:r w:rsidRPr="00BC78CF">
        <w:rPr>
          <w:color w:val="FF0000"/>
          <w:lang w:val="en-US"/>
        </w:rPr>
        <w:tab/>
      </w:r>
      <w:r w:rsidR="00832060" w:rsidRPr="00BC78CF">
        <w:rPr>
          <w:color w:val="FF0000"/>
          <w:lang w:val="en-US"/>
        </w:rPr>
        <w:t>(1)</w:t>
      </w:r>
      <w:r w:rsidRPr="00BC78CF">
        <w:rPr>
          <w:color w:val="FF0000"/>
          <w:lang w:val="en-US"/>
        </w:rPr>
        <w:tab/>
      </w:r>
      <w:r w:rsidR="00C826C8" w:rsidRPr="00BC78CF">
        <w:rPr>
          <w:color w:val="FF0000"/>
          <w:lang w:val="en-US"/>
        </w:rPr>
        <w:t>D</w:t>
      </w:r>
      <w:r w:rsidRPr="00BC78CF">
        <w:rPr>
          <w:color w:val="FF0000"/>
          <w:lang w:val="en-US"/>
        </w:rPr>
        <w:t xml:space="preserve">isclosure of CDR data relating to a joint account </w:t>
      </w:r>
      <w:r w:rsidR="00C826C8" w:rsidRPr="00BC78CF">
        <w:rPr>
          <w:color w:val="FF0000"/>
          <w:lang w:val="en-US"/>
        </w:rPr>
        <w:t xml:space="preserve">to which this Part applies may be authorised </w:t>
      </w:r>
      <w:r w:rsidRPr="00BC78CF">
        <w:rPr>
          <w:color w:val="FF0000"/>
          <w:lang w:val="en-US"/>
        </w:rPr>
        <w:t xml:space="preserve"> </w:t>
      </w:r>
      <w:r w:rsidR="00C826C8" w:rsidRPr="00BC78CF">
        <w:rPr>
          <w:color w:val="FF0000"/>
          <w:lang w:val="en-US"/>
        </w:rPr>
        <w:t xml:space="preserve">only as permitted by </w:t>
      </w:r>
      <w:r w:rsidRPr="00BC78CF">
        <w:rPr>
          <w:color w:val="FF0000"/>
          <w:lang w:val="en-US"/>
        </w:rPr>
        <w:t xml:space="preserve">the </w:t>
      </w:r>
      <w:r w:rsidRPr="00BC78CF">
        <w:rPr>
          <w:b/>
          <w:i/>
          <w:color w:val="FF0000"/>
          <w:lang w:val="en-US"/>
        </w:rPr>
        <w:t>disclosure option</w:t>
      </w:r>
      <w:r w:rsidRPr="00BC78CF">
        <w:rPr>
          <w:color w:val="FF0000"/>
        </w:rPr>
        <w:t xml:space="preserve"> that applies</w:t>
      </w:r>
      <w:r w:rsidR="00190FE5" w:rsidRPr="00BC78CF">
        <w:rPr>
          <w:color w:val="FF0000"/>
        </w:rPr>
        <w:t xml:space="preserve"> to the joint accou</w:t>
      </w:r>
      <w:r w:rsidR="00506306" w:rsidRPr="00BC78CF">
        <w:rPr>
          <w:color w:val="FF0000"/>
        </w:rPr>
        <w:t>n</w:t>
      </w:r>
      <w:r w:rsidR="00190FE5" w:rsidRPr="00BC78CF">
        <w:rPr>
          <w:color w:val="FF0000"/>
        </w:rPr>
        <w:t>t</w:t>
      </w:r>
      <w:r w:rsidR="00C826C8" w:rsidRPr="00BC78CF">
        <w:rPr>
          <w:color w:val="FF0000"/>
        </w:rPr>
        <w:t xml:space="preserve">.  This may </w:t>
      </w:r>
      <w:r w:rsidRPr="00BC78CF">
        <w:rPr>
          <w:color w:val="FF0000"/>
        </w:rPr>
        <w:t>be</w:t>
      </w:r>
      <w:r w:rsidR="00175787" w:rsidRPr="00BC78CF">
        <w:rPr>
          <w:color w:val="FF0000"/>
        </w:rPr>
        <w:t xml:space="preserve"> any of the following</w:t>
      </w:r>
      <w:r w:rsidRPr="00BC78CF">
        <w:rPr>
          <w:color w:val="FF0000"/>
        </w:rPr>
        <w:t>:</w:t>
      </w:r>
    </w:p>
    <w:p w14:paraId="2060ED96" w14:textId="60AECE90" w:rsidR="007F3929" w:rsidRPr="00BC78CF" w:rsidRDefault="007F3929" w:rsidP="007F3929">
      <w:pPr>
        <w:pStyle w:val="paragraph"/>
        <w:rPr>
          <w:color w:val="FF0000"/>
        </w:rPr>
      </w:pPr>
      <w:r w:rsidRPr="00BC78CF">
        <w:rPr>
          <w:color w:val="FF0000"/>
        </w:rPr>
        <w:tab/>
      </w:r>
      <w:r w:rsidR="00832060" w:rsidRPr="00BC78CF">
        <w:rPr>
          <w:color w:val="FF0000"/>
        </w:rPr>
        <w:t>(a)</w:t>
      </w:r>
      <w:r w:rsidRPr="00BC78CF">
        <w:rPr>
          <w:color w:val="FF0000"/>
        </w:rPr>
        <w:tab/>
        <w:t xml:space="preserve">the </w:t>
      </w:r>
      <w:r w:rsidRPr="00BC78CF">
        <w:rPr>
          <w:b/>
          <w:i/>
          <w:color w:val="FF0000"/>
        </w:rPr>
        <w:t>pre-approval option</w:t>
      </w:r>
      <w:r w:rsidR="002C49A4" w:rsidRPr="00BC78CF">
        <w:rPr>
          <w:color w:val="FF0000"/>
        </w:rPr>
        <w:t xml:space="preserve">, under which CDR data relating to the joint account may be disclosed in response to a valid </w:t>
      </w:r>
      <w:r w:rsidR="00296C9B" w:rsidRPr="00BC78CF">
        <w:rPr>
          <w:color w:val="FF0000"/>
        </w:rPr>
        <w:t xml:space="preserve">consumer data </w:t>
      </w:r>
      <w:r w:rsidR="002C49A4" w:rsidRPr="00BC78CF">
        <w:rPr>
          <w:color w:val="FF0000"/>
        </w:rPr>
        <w:t>request by one joint account holder</w:t>
      </w:r>
      <w:r w:rsidR="002373B6" w:rsidRPr="00BC78CF">
        <w:rPr>
          <w:color w:val="FF0000"/>
        </w:rPr>
        <w:t xml:space="preserve"> on the authorisation of that joint account holder</w:t>
      </w:r>
      <w:r w:rsidR="002C49A4" w:rsidRPr="00BC78CF">
        <w:rPr>
          <w:color w:val="FF0000"/>
        </w:rPr>
        <w:t xml:space="preserve"> without </w:t>
      </w:r>
      <w:r w:rsidR="00506306" w:rsidRPr="00BC78CF">
        <w:rPr>
          <w:color w:val="FF0000"/>
        </w:rPr>
        <w:t>the approval of</w:t>
      </w:r>
      <w:r w:rsidR="007D0835" w:rsidRPr="00BC78CF">
        <w:rPr>
          <w:color w:val="FF0000"/>
        </w:rPr>
        <w:t xml:space="preserve"> other</w:t>
      </w:r>
      <w:r w:rsidR="00506306" w:rsidRPr="00BC78CF">
        <w:rPr>
          <w:color w:val="FF0000"/>
        </w:rPr>
        <w:t xml:space="preserve"> </w:t>
      </w:r>
      <w:r w:rsidR="002C49A4" w:rsidRPr="00BC78CF">
        <w:rPr>
          <w:color w:val="FF0000"/>
        </w:rPr>
        <w:t>account holders;</w:t>
      </w:r>
    </w:p>
    <w:p w14:paraId="799D9F22" w14:textId="2F1685BC" w:rsidR="002373B6" w:rsidRPr="00BC78CF" w:rsidRDefault="007F3929" w:rsidP="007F3929">
      <w:pPr>
        <w:pStyle w:val="paragraph"/>
        <w:rPr>
          <w:color w:val="FF0000"/>
        </w:rPr>
      </w:pPr>
      <w:r w:rsidRPr="00BC78CF">
        <w:rPr>
          <w:color w:val="FF0000"/>
        </w:rPr>
        <w:tab/>
      </w:r>
      <w:r w:rsidR="00832060" w:rsidRPr="00BC78CF">
        <w:rPr>
          <w:color w:val="FF0000"/>
        </w:rPr>
        <w:t>(b)</w:t>
      </w:r>
      <w:r w:rsidRPr="00BC78CF">
        <w:rPr>
          <w:color w:val="FF0000"/>
        </w:rPr>
        <w:tab/>
        <w:t xml:space="preserve">the </w:t>
      </w:r>
      <w:r w:rsidRPr="00BC78CF">
        <w:rPr>
          <w:b/>
          <w:i/>
          <w:color w:val="FF0000"/>
        </w:rPr>
        <w:t>co-approval option</w:t>
      </w:r>
      <w:r w:rsidR="002C49A4" w:rsidRPr="00BC78CF">
        <w:rPr>
          <w:color w:val="FF0000"/>
        </w:rPr>
        <w:t xml:space="preserve">, under which CDR data relating to the joint account may be disclosed in response to a valid </w:t>
      </w:r>
      <w:r w:rsidR="00506306" w:rsidRPr="00BC78CF">
        <w:rPr>
          <w:color w:val="FF0000"/>
        </w:rPr>
        <w:t>c</w:t>
      </w:r>
      <w:r w:rsidR="00296C9B" w:rsidRPr="00BC78CF">
        <w:rPr>
          <w:color w:val="FF0000"/>
        </w:rPr>
        <w:t xml:space="preserve">onsumer data </w:t>
      </w:r>
      <w:r w:rsidR="002C49A4" w:rsidRPr="00BC78CF">
        <w:rPr>
          <w:color w:val="FF0000"/>
        </w:rPr>
        <w:t>request by one joint account holder only after</w:t>
      </w:r>
      <w:r w:rsidR="002373B6" w:rsidRPr="00BC78CF">
        <w:rPr>
          <w:color w:val="FF0000"/>
        </w:rPr>
        <w:t>:</w:t>
      </w:r>
    </w:p>
    <w:p w14:paraId="760DF5B3" w14:textId="584200FB" w:rsidR="002373B6" w:rsidRPr="00BC78CF" w:rsidRDefault="002373B6" w:rsidP="002373B6">
      <w:pPr>
        <w:pStyle w:val="paragraphsub"/>
        <w:rPr>
          <w:color w:val="FF0000"/>
        </w:rPr>
      </w:pPr>
      <w:r w:rsidRPr="00BC78CF">
        <w:rPr>
          <w:color w:val="FF0000"/>
        </w:rPr>
        <w:tab/>
        <w:t>(i)</w:t>
      </w:r>
      <w:r w:rsidRPr="00BC78CF">
        <w:rPr>
          <w:color w:val="FF0000"/>
        </w:rPr>
        <w:tab/>
        <w:t>that joint account holder has authorised the disclosure; and</w:t>
      </w:r>
    </w:p>
    <w:p w14:paraId="28CF3D9E" w14:textId="7DC74118" w:rsidR="007F3929" w:rsidRPr="00BC78CF" w:rsidRDefault="002373B6" w:rsidP="002373B6">
      <w:pPr>
        <w:pStyle w:val="paragraphsub"/>
        <w:rPr>
          <w:color w:val="FF0000"/>
        </w:rPr>
      </w:pPr>
      <w:r w:rsidRPr="00BC78CF">
        <w:rPr>
          <w:color w:val="FF0000"/>
        </w:rPr>
        <w:tab/>
        <w:t>(ii)</w:t>
      </w:r>
      <w:r w:rsidRPr="00BC78CF">
        <w:rPr>
          <w:color w:val="FF0000"/>
        </w:rPr>
        <w:tab/>
        <w:t xml:space="preserve">each of the other joint account </w:t>
      </w:r>
      <w:r w:rsidR="002C49A4" w:rsidRPr="00BC78CF">
        <w:rPr>
          <w:color w:val="FF0000"/>
        </w:rPr>
        <w:t xml:space="preserve">holders has </w:t>
      </w:r>
      <w:r w:rsidRPr="00BC78CF">
        <w:rPr>
          <w:color w:val="FF0000"/>
        </w:rPr>
        <w:t xml:space="preserve">approved the </w:t>
      </w:r>
      <w:r w:rsidR="00506306" w:rsidRPr="00BC78CF">
        <w:rPr>
          <w:color w:val="FF0000"/>
          <w:lang w:val="en-US"/>
        </w:rPr>
        <w:t>disclosure</w:t>
      </w:r>
      <w:r w:rsidR="002C49A4" w:rsidRPr="00BC78CF">
        <w:rPr>
          <w:color w:val="FF0000"/>
        </w:rPr>
        <w:t xml:space="preserve">; </w:t>
      </w:r>
    </w:p>
    <w:p w14:paraId="64FF580B" w14:textId="2671C8F3" w:rsidR="007F3929" w:rsidRPr="00BC78CF" w:rsidRDefault="007F3929" w:rsidP="007F3929">
      <w:pPr>
        <w:pStyle w:val="paragraph"/>
        <w:rPr>
          <w:color w:val="FF0000"/>
        </w:rPr>
      </w:pPr>
      <w:r w:rsidRPr="00BC78CF">
        <w:rPr>
          <w:color w:val="FF0000"/>
        </w:rPr>
        <w:tab/>
      </w:r>
      <w:r w:rsidR="00832060" w:rsidRPr="00BC78CF">
        <w:rPr>
          <w:color w:val="FF0000"/>
        </w:rPr>
        <w:t>(c)</w:t>
      </w:r>
      <w:r w:rsidRPr="00BC78CF">
        <w:rPr>
          <w:color w:val="FF0000"/>
        </w:rPr>
        <w:tab/>
        <w:t xml:space="preserve">the </w:t>
      </w:r>
      <w:r w:rsidRPr="00BC78CF">
        <w:rPr>
          <w:b/>
          <w:i/>
          <w:color w:val="FF0000"/>
        </w:rPr>
        <w:t>non-disclosure option</w:t>
      </w:r>
      <w:r w:rsidR="002C49A4" w:rsidRPr="00BC78CF">
        <w:rPr>
          <w:color w:val="FF0000"/>
        </w:rPr>
        <w:t>, under which CDR data relating to the joint account may not be disclosed in response to a valid</w:t>
      </w:r>
      <w:r w:rsidR="00612DF6" w:rsidRPr="00BC78CF">
        <w:rPr>
          <w:color w:val="FF0000"/>
        </w:rPr>
        <w:t xml:space="preserve"> c</w:t>
      </w:r>
      <w:r w:rsidR="00296C9B" w:rsidRPr="00BC78CF">
        <w:rPr>
          <w:color w:val="FF0000"/>
        </w:rPr>
        <w:t xml:space="preserve">onsumer data </w:t>
      </w:r>
      <w:r w:rsidR="002C49A4" w:rsidRPr="00BC78CF">
        <w:rPr>
          <w:color w:val="FF0000"/>
        </w:rPr>
        <w:t>request by a joint account holder.</w:t>
      </w:r>
    </w:p>
    <w:p w14:paraId="4F536CEA" w14:textId="1505516E" w:rsidR="00673DF3" w:rsidRPr="00BC78CF" w:rsidRDefault="00673DF3" w:rsidP="00673DF3">
      <w:pPr>
        <w:pStyle w:val="subsection"/>
        <w:rPr>
          <w:color w:val="FF0000"/>
        </w:rPr>
      </w:pPr>
      <w:r w:rsidRPr="00BC78CF">
        <w:rPr>
          <w:color w:val="FF0000"/>
        </w:rPr>
        <w:tab/>
      </w:r>
      <w:r w:rsidR="00832060" w:rsidRPr="00BC78CF">
        <w:rPr>
          <w:color w:val="FF0000"/>
        </w:rPr>
        <w:t>(2)</w:t>
      </w:r>
      <w:r w:rsidRPr="00BC78CF">
        <w:rPr>
          <w:color w:val="FF0000"/>
        </w:rPr>
        <w:tab/>
        <w:t xml:space="preserve">The data holder must provide for the pre-approval and non-disclosure options to be available for a joint account </w:t>
      </w:r>
    </w:p>
    <w:p w14:paraId="004C2DF1" w14:textId="41107BFF" w:rsidR="002373B6" w:rsidRPr="00BC78CF" w:rsidRDefault="00624C46" w:rsidP="00624C46">
      <w:pPr>
        <w:pStyle w:val="subsection"/>
        <w:rPr>
          <w:color w:val="FF0000"/>
        </w:rPr>
      </w:pPr>
      <w:r w:rsidRPr="00BC78CF">
        <w:rPr>
          <w:color w:val="FF0000"/>
        </w:rPr>
        <w:tab/>
      </w:r>
      <w:r w:rsidR="00832060" w:rsidRPr="00BC78CF">
        <w:rPr>
          <w:color w:val="FF0000"/>
        </w:rPr>
        <w:t>(3)</w:t>
      </w:r>
      <w:r w:rsidRPr="00BC78CF">
        <w:rPr>
          <w:color w:val="FF0000"/>
        </w:rPr>
        <w:tab/>
        <w:t>The data holder may provide for the co-approval option to be available for a joint account</w:t>
      </w:r>
      <w:r w:rsidR="002373B6" w:rsidRPr="00BC78CF">
        <w:rPr>
          <w:color w:val="FF0000"/>
        </w:rPr>
        <w:t>.</w:t>
      </w:r>
    </w:p>
    <w:p w14:paraId="5485596A" w14:textId="746FDC81" w:rsidR="00E85D43" w:rsidRPr="00BC78CF" w:rsidRDefault="00E85D43" w:rsidP="00E85D43">
      <w:pPr>
        <w:pStyle w:val="subsection"/>
        <w:rPr>
          <w:color w:val="FF0000"/>
          <w:lang w:val="en-US"/>
        </w:rPr>
      </w:pPr>
      <w:r w:rsidRPr="00BC78CF">
        <w:rPr>
          <w:color w:val="FF0000"/>
          <w:lang w:val="en-US"/>
        </w:rPr>
        <w:tab/>
      </w:r>
      <w:r w:rsidR="00832060" w:rsidRPr="00BC78CF">
        <w:rPr>
          <w:color w:val="FF0000"/>
          <w:lang w:val="en-US"/>
        </w:rPr>
        <w:t>(4)</w:t>
      </w:r>
      <w:r w:rsidRPr="00BC78CF">
        <w:rPr>
          <w:color w:val="FF0000"/>
          <w:lang w:val="en-US"/>
        </w:rPr>
        <w:tab/>
        <w:t xml:space="preserve">For the purposes of rule </w:t>
      </w:r>
      <w:r w:rsidR="00832060" w:rsidRPr="00BC78CF">
        <w:rPr>
          <w:color w:val="FF0000"/>
          <w:lang w:val="en-US"/>
        </w:rPr>
        <w:t xml:space="preserve"> 4A.</w:t>
      </w:r>
      <w:r w:rsidR="000B1D10" w:rsidRPr="00BC78CF">
        <w:rPr>
          <w:color w:val="FF0000"/>
          <w:lang w:val="en-US"/>
        </w:rPr>
        <w:t>13</w:t>
      </w:r>
      <w:r w:rsidRPr="00BC78CF">
        <w:rPr>
          <w:color w:val="FF0000"/>
          <w:lang w:val="en-US"/>
        </w:rPr>
        <w:t>, where the pre-approval option applies to a joint account and a joint account holder authorises the disclosure of CDR data that relates to the account in response to a valid consumer data request:</w:t>
      </w:r>
    </w:p>
    <w:p w14:paraId="1AC4146C" w14:textId="4642CBE9" w:rsidR="00E85D43" w:rsidRPr="00BC78CF" w:rsidRDefault="00E85D43" w:rsidP="00E85D43">
      <w:pPr>
        <w:pStyle w:val="paragraph"/>
        <w:rPr>
          <w:color w:val="FF0000"/>
          <w:lang w:val="en-US"/>
        </w:rPr>
      </w:pPr>
      <w:r w:rsidRPr="00BC78CF">
        <w:rPr>
          <w:color w:val="FF0000"/>
          <w:lang w:val="en-US"/>
        </w:rPr>
        <w:tab/>
        <w:t>(</w:t>
      </w:r>
      <w:r w:rsidR="00612DF6" w:rsidRPr="00BC78CF">
        <w:rPr>
          <w:color w:val="FF0000"/>
          <w:lang w:val="en-US"/>
        </w:rPr>
        <w:t>a</w:t>
      </w:r>
      <w:r w:rsidRPr="00BC78CF">
        <w:rPr>
          <w:color w:val="FF0000"/>
          <w:lang w:val="en-US"/>
        </w:rPr>
        <w:t>)</w:t>
      </w:r>
      <w:r w:rsidRPr="00BC78CF">
        <w:rPr>
          <w:color w:val="FF0000"/>
          <w:lang w:val="en-US"/>
        </w:rPr>
        <w:tab/>
        <w:t xml:space="preserve">each relevant account holder is taken to have approved the </w:t>
      </w:r>
      <w:r w:rsidR="00506306" w:rsidRPr="00BC78CF">
        <w:rPr>
          <w:color w:val="FF0000"/>
          <w:lang w:val="en-US"/>
        </w:rPr>
        <w:t>disclosure</w:t>
      </w:r>
      <w:r w:rsidRPr="00BC78CF">
        <w:rPr>
          <w:color w:val="FF0000"/>
          <w:lang w:val="en-US"/>
        </w:rPr>
        <w:t>; and</w:t>
      </w:r>
    </w:p>
    <w:p w14:paraId="6F502FB3" w14:textId="7974AAC7" w:rsidR="00E85D43" w:rsidRPr="00BC78CF" w:rsidRDefault="00612DF6" w:rsidP="00E85D43">
      <w:pPr>
        <w:pStyle w:val="paragraph"/>
        <w:rPr>
          <w:color w:val="FF0000"/>
          <w:lang w:val="en-US"/>
        </w:rPr>
      </w:pPr>
      <w:r w:rsidRPr="00BC78CF">
        <w:rPr>
          <w:color w:val="FF0000"/>
          <w:lang w:val="en-US"/>
        </w:rPr>
        <w:tab/>
        <w:t>(b</w:t>
      </w:r>
      <w:r w:rsidR="00E85D43" w:rsidRPr="00BC78CF">
        <w:rPr>
          <w:color w:val="FF0000"/>
          <w:lang w:val="en-US"/>
        </w:rPr>
        <w:t>)</w:t>
      </w:r>
      <w:r w:rsidR="00E85D43" w:rsidRPr="00BC78CF">
        <w:rPr>
          <w:color w:val="FF0000"/>
          <w:lang w:val="en-US"/>
        </w:rPr>
        <w:tab/>
        <w:t>if an approval is withdrawn</w:t>
      </w:r>
      <w:r w:rsidRPr="00BC78CF">
        <w:rPr>
          <w:color w:val="FF0000"/>
          <w:lang w:val="en-US"/>
        </w:rPr>
        <w:t xml:space="preserve">, the CDR data </w:t>
      </w:r>
      <w:r w:rsidRPr="00BC78CF">
        <w:rPr>
          <w:color w:val="FF0000"/>
        </w:rPr>
        <w:t>relating to the joint account may not be disclosed despite the authorisation</w:t>
      </w:r>
      <w:r w:rsidR="00E85D43" w:rsidRPr="00BC78CF">
        <w:rPr>
          <w:color w:val="FF0000"/>
          <w:lang w:val="en-US"/>
        </w:rPr>
        <w:t>.</w:t>
      </w:r>
    </w:p>
    <w:p w14:paraId="7862C122" w14:textId="67811C32" w:rsidR="00624C46" w:rsidRPr="00BC78CF" w:rsidRDefault="002373B6" w:rsidP="002373B6">
      <w:pPr>
        <w:pStyle w:val="SubsectionHead"/>
        <w:rPr>
          <w:color w:val="FF0000"/>
        </w:rPr>
      </w:pPr>
      <w:r w:rsidRPr="00BC78CF">
        <w:rPr>
          <w:color w:val="FF0000"/>
        </w:rPr>
        <w:t>Default option</w:t>
      </w:r>
    </w:p>
    <w:p w14:paraId="4BDCB6C5" w14:textId="4F19FB77" w:rsidR="00E85D43" w:rsidRPr="00BC78CF" w:rsidRDefault="007F3929" w:rsidP="007F3929">
      <w:pPr>
        <w:pStyle w:val="subsection"/>
        <w:rPr>
          <w:color w:val="FF0000"/>
          <w:lang w:val="en-US"/>
        </w:rPr>
      </w:pPr>
      <w:r w:rsidRPr="00BC78CF">
        <w:rPr>
          <w:color w:val="FF0000"/>
          <w:lang w:val="en-US"/>
        </w:rPr>
        <w:tab/>
      </w:r>
      <w:r w:rsidR="00832060" w:rsidRPr="00BC78CF">
        <w:rPr>
          <w:color w:val="FF0000"/>
          <w:lang w:val="en-US"/>
        </w:rPr>
        <w:t>(5)</w:t>
      </w:r>
      <w:r w:rsidRPr="00BC78CF">
        <w:rPr>
          <w:color w:val="FF0000"/>
          <w:lang w:val="en-US"/>
        </w:rPr>
        <w:tab/>
      </w:r>
      <w:r w:rsidR="00E85D43" w:rsidRPr="00BC78CF">
        <w:rPr>
          <w:color w:val="FF0000"/>
          <w:lang w:val="en-US"/>
        </w:rPr>
        <w:t xml:space="preserve">Unless a sector </w:t>
      </w:r>
      <w:r w:rsidR="00612DF6" w:rsidRPr="00BC78CF">
        <w:rPr>
          <w:color w:val="FF0000"/>
          <w:lang w:val="en-US"/>
        </w:rPr>
        <w:t xml:space="preserve">Schedule provides otherwise, </w:t>
      </w:r>
      <w:r w:rsidR="00E85D43" w:rsidRPr="00BC78CF">
        <w:rPr>
          <w:color w:val="FF0000"/>
          <w:lang w:val="en-US"/>
        </w:rPr>
        <w:t xml:space="preserve">the </w:t>
      </w:r>
      <w:r w:rsidRPr="00BC78CF">
        <w:rPr>
          <w:color w:val="FF0000"/>
          <w:lang w:val="en-US"/>
        </w:rPr>
        <w:t>pr</w:t>
      </w:r>
      <w:r w:rsidR="00E33E5B" w:rsidRPr="00BC78CF">
        <w:rPr>
          <w:color w:val="FF0000"/>
          <w:lang w:val="en-US"/>
        </w:rPr>
        <w:t>e-approval option app</w:t>
      </w:r>
      <w:r w:rsidRPr="00BC78CF">
        <w:rPr>
          <w:color w:val="FF0000"/>
          <w:lang w:val="en-US"/>
        </w:rPr>
        <w:t xml:space="preserve">lies to a joint account </w:t>
      </w:r>
      <w:r w:rsidR="00E85D43" w:rsidRPr="00BC78CF">
        <w:rPr>
          <w:color w:val="FF0000"/>
          <w:lang w:val="en-US"/>
        </w:rPr>
        <w:t>by default.</w:t>
      </w:r>
    </w:p>
    <w:p w14:paraId="40B97D9E" w14:textId="63A9C92A" w:rsidR="00296C9B" w:rsidRPr="00BC78CF" w:rsidRDefault="00296C9B" w:rsidP="00E85D43">
      <w:pPr>
        <w:pStyle w:val="subsection"/>
        <w:rPr>
          <w:color w:val="FF0000"/>
          <w:lang w:val="en-US"/>
        </w:rPr>
      </w:pPr>
      <w:r w:rsidRPr="00BC78CF">
        <w:rPr>
          <w:color w:val="FF0000"/>
          <w:lang w:val="en-US"/>
        </w:rPr>
        <w:tab/>
      </w:r>
      <w:r w:rsidR="00832060" w:rsidRPr="00BC78CF">
        <w:rPr>
          <w:color w:val="FF0000"/>
          <w:lang w:val="en-US"/>
        </w:rPr>
        <w:t>(6)</w:t>
      </w:r>
      <w:r w:rsidRPr="00BC78CF">
        <w:rPr>
          <w:color w:val="FF0000"/>
          <w:lang w:val="en-US"/>
        </w:rPr>
        <w:tab/>
      </w:r>
      <w:r w:rsidR="00E85D43" w:rsidRPr="00BC78CF">
        <w:rPr>
          <w:color w:val="FF0000"/>
          <w:lang w:val="en-US"/>
        </w:rPr>
        <w:t>The disclosure option that applies to a joint account may be changed in accordan</w:t>
      </w:r>
      <w:r w:rsidR="00612DF6" w:rsidRPr="00BC78CF">
        <w:rPr>
          <w:color w:val="FF0000"/>
          <w:lang w:val="en-US"/>
        </w:rPr>
        <w:t>c</w:t>
      </w:r>
      <w:r w:rsidR="00E85D43" w:rsidRPr="00BC78CF">
        <w:rPr>
          <w:color w:val="FF0000"/>
          <w:lang w:val="en-US"/>
        </w:rPr>
        <w:t xml:space="preserve">e with rule </w:t>
      </w:r>
      <w:r w:rsidR="000B1D10" w:rsidRPr="00BC78CF">
        <w:rPr>
          <w:color w:val="FF0000"/>
          <w:lang w:val="en-US"/>
        </w:rPr>
        <w:t>4</w:t>
      </w:r>
      <w:r w:rsidR="00832060" w:rsidRPr="00BC78CF">
        <w:rPr>
          <w:color w:val="FF0000"/>
          <w:lang w:val="en-US"/>
        </w:rPr>
        <w:t>A</w:t>
      </w:r>
      <w:r w:rsidR="000B1D10" w:rsidRPr="00BC78CF">
        <w:rPr>
          <w:color w:val="FF0000"/>
          <w:lang w:val="en-US"/>
        </w:rPr>
        <w:t>.8</w:t>
      </w:r>
      <w:r w:rsidR="00E85D43" w:rsidRPr="00BC78CF">
        <w:rPr>
          <w:color w:val="FF0000"/>
          <w:lang w:val="en-US"/>
        </w:rPr>
        <w:t>.</w:t>
      </w:r>
    </w:p>
    <w:p w14:paraId="55880556" w14:textId="5D3EDB54" w:rsidR="00CC28A8" w:rsidRPr="00BC78CF" w:rsidRDefault="00832060" w:rsidP="00CC28A8">
      <w:pPr>
        <w:pStyle w:val="ActHead5"/>
        <w:rPr>
          <w:color w:val="FF0000"/>
          <w:lang w:val="en-US"/>
        </w:rPr>
      </w:pPr>
      <w:r w:rsidRPr="00BC78CF">
        <w:rPr>
          <w:color w:val="FF0000"/>
          <w:lang w:val="en-US"/>
        </w:rPr>
        <w:t xml:space="preserve"> </w:t>
      </w:r>
      <w:bookmarkStart w:id="335" w:name="_Toc74916176"/>
      <w:r w:rsidRPr="00BC78CF">
        <w:rPr>
          <w:color w:val="FF0000"/>
          <w:lang w:val="en-US"/>
        </w:rPr>
        <w:t xml:space="preserve">4A.5 </w:t>
      </w:r>
      <w:r w:rsidR="00CC28A8" w:rsidRPr="00BC78CF">
        <w:rPr>
          <w:color w:val="FF0000"/>
          <w:lang w:val="en-US"/>
        </w:rPr>
        <w:t xml:space="preserve">Obligation to provide </w:t>
      </w:r>
      <w:r w:rsidR="00E85D43" w:rsidRPr="00BC78CF">
        <w:rPr>
          <w:color w:val="FF0000"/>
          <w:lang w:val="en-US"/>
        </w:rPr>
        <w:t xml:space="preserve">disclosure option </w:t>
      </w:r>
      <w:r w:rsidR="00CC28A8" w:rsidRPr="00BC78CF">
        <w:rPr>
          <w:color w:val="FF0000"/>
          <w:lang w:val="en-US"/>
        </w:rPr>
        <w:t>management service</w:t>
      </w:r>
      <w:bookmarkEnd w:id="335"/>
    </w:p>
    <w:p w14:paraId="5E418AEF" w14:textId="332C5F96" w:rsidR="00CC28A8" w:rsidRPr="00BC78CF" w:rsidRDefault="00CC28A8" w:rsidP="00CC28A8">
      <w:pPr>
        <w:pStyle w:val="SubsectionHead"/>
        <w:rPr>
          <w:color w:val="FF0000"/>
          <w:lang w:val="en-US"/>
        </w:rPr>
      </w:pPr>
      <w:r w:rsidRPr="00BC78CF">
        <w:rPr>
          <w:color w:val="FF0000"/>
          <w:lang w:val="en-US"/>
        </w:rPr>
        <w:t xml:space="preserve">Obligation to provide </w:t>
      </w:r>
      <w:r w:rsidR="00E85D43" w:rsidRPr="00BC78CF">
        <w:rPr>
          <w:color w:val="FF0000"/>
          <w:lang w:val="en-US"/>
        </w:rPr>
        <w:t>disclosure option management service</w:t>
      </w:r>
    </w:p>
    <w:p w14:paraId="5EDDAC6C" w14:textId="77777777" w:rsidR="00175787" w:rsidRPr="00BC78CF" w:rsidRDefault="00CC28A8" w:rsidP="00175787">
      <w:pPr>
        <w:pStyle w:val="subsection"/>
        <w:rPr>
          <w:color w:val="FF0000"/>
          <w:lang w:val="en-US"/>
        </w:rPr>
      </w:pPr>
      <w:r w:rsidRPr="00BC78CF">
        <w:rPr>
          <w:color w:val="FF0000"/>
          <w:lang w:val="en-US"/>
        </w:rPr>
        <w:tab/>
        <w:t>(1)</w:t>
      </w:r>
      <w:r w:rsidRPr="00BC78CF">
        <w:rPr>
          <w:color w:val="FF0000"/>
          <w:lang w:val="en-US"/>
        </w:rPr>
        <w:tab/>
        <w:t>For each joint account to which this Part applies, the data holder must provide a service to</w:t>
      </w:r>
      <w:r w:rsidR="00175787" w:rsidRPr="00BC78CF">
        <w:rPr>
          <w:color w:val="FF0000"/>
          <w:lang w:val="en-US"/>
        </w:rPr>
        <w:t xml:space="preserve"> each joint account holder that </w:t>
      </w:r>
      <w:r w:rsidRPr="00BC78CF">
        <w:rPr>
          <w:color w:val="FF0000"/>
          <w:lang w:val="en-US"/>
        </w:rPr>
        <w:t>allows the joint account holder to</w:t>
      </w:r>
      <w:r w:rsidR="00175787" w:rsidRPr="00BC78CF">
        <w:rPr>
          <w:color w:val="FF0000"/>
          <w:lang w:val="en-US"/>
        </w:rPr>
        <w:t>:</w:t>
      </w:r>
    </w:p>
    <w:p w14:paraId="7EF8A7B8" w14:textId="3E150B51" w:rsidR="00612DF6" w:rsidRPr="00BC78CF" w:rsidRDefault="00175787" w:rsidP="00175787">
      <w:pPr>
        <w:pStyle w:val="paragraph"/>
        <w:rPr>
          <w:color w:val="FF0000"/>
          <w:lang w:val="en-US"/>
        </w:rPr>
      </w:pPr>
      <w:r w:rsidRPr="00BC78CF">
        <w:rPr>
          <w:color w:val="FF0000"/>
          <w:lang w:val="en-US"/>
        </w:rPr>
        <w:tab/>
        <w:t>(a)</w:t>
      </w:r>
      <w:r w:rsidRPr="00BC78CF">
        <w:rPr>
          <w:color w:val="FF0000"/>
          <w:lang w:val="en-US"/>
        </w:rPr>
        <w:tab/>
      </w:r>
      <w:r w:rsidR="00612DF6" w:rsidRPr="00BC78CF">
        <w:rPr>
          <w:color w:val="FF0000"/>
          <w:lang w:val="en-US"/>
        </w:rPr>
        <w:t>change the disclosure option that applies to the account</w:t>
      </w:r>
      <w:r w:rsidR="00405212" w:rsidRPr="00BC78CF">
        <w:rPr>
          <w:color w:val="FF0000"/>
          <w:lang w:val="en-US"/>
        </w:rPr>
        <w:t xml:space="preserve"> in accordance with rule </w:t>
      </w:r>
      <w:r w:rsidR="000B1D10" w:rsidRPr="00BC78CF">
        <w:rPr>
          <w:color w:val="FF0000"/>
          <w:lang w:val="en-US"/>
        </w:rPr>
        <w:t>4</w:t>
      </w:r>
      <w:r w:rsidR="00832060" w:rsidRPr="00BC78CF">
        <w:rPr>
          <w:color w:val="FF0000"/>
          <w:lang w:val="en-US"/>
        </w:rPr>
        <w:t>A</w:t>
      </w:r>
      <w:r w:rsidR="000B1D10" w:rsidRPr="00BC78CF">
        <w:rPr>
          <w:color w:val="FF0000"/>
          <w:lang w:val="en-US"/>
        </w:rPr>
        <w:t>.7</w:t>
      </w:r>
      <w:r w:rsidR="00612DF6" w:rsidRPr="00BC78CF">
        <w:rPr>
          <w:color w:val="FF0000"/>
          <w:lang w:val="en-US"/>
        </w:rPr>
        <w:t>; and</w:t>
      </w:r>
    </w:p>
    <w:p w14:paraId="4EE0B000" w14:textId="238063D8" w:rsidR="00175787" w:rsidRPr="00BC78CF" w:rsidRDefault="00612DF6" w:rsidP="00175787">
      <w:pPr>
        <w:pStyle w:val="paragraph"/>
        <w:rPr>
          <w:color w:val="FF0000"/>
          <w:lang w:val="en-US"/>
        </w:rPr>
      </w:pPr>
      <w:r w:rsidRPr="00BC78CF">
        <w:rPr>
          <w:color w:val="FF0000"/>
          <w:lang w:val="en-US"/>
        </w:rPr>
        <w:tab/>
        <w:t>(b)</w:t>
      </w:r>
      <w:r w:rsidRPr="00BC78CF">
        <w:rPr>
          <w:color w:val="FF0000"/>
          <w:lang w:val="en-US"/>
        </w:rPr>
        <w:tab/>
      </w:r>
      <w:r w:rsidR="00175787" w:rsidRPr="00BC78CF">
        <w:rPr>
          <w:color w:val="FF0000"/>
          <w:lang w:val="en-US"/>
        </w:rPr>
        <w:t>propose a change in the disclosure option to the other joint account holders</w:t>
      </w:r>
      <w:r w:rsidR="00513EE7" w:rsidRPr="00BC78CF">
        <w:rPr>
          <w:color w:val="FF0000"/>
          <w:lang w:val="en-US"/>
        </w:rPr>
        <w:t xml:space="preserve"> in accordance with rule </w:t>
      </w:r>
      <w:r w:rsidR="000B1D10" w:rsidRPr="00BC78CF">
        <w:rPr>
          <w:color w:val="FF0000"/>
        </w:rPr>
        <w:t>4</w:t>
      </w:r>
      <w:r w:rsidR="00832060" w:rsidRPr="00BC78CF">
        <w:rPr>
          <w:color w:val="FF0000"/>
        </w:rPr>
        <w:t>A</w:t>
      </w:r>
      <w:r w:rsidR="000B1D10" w:rsidRPr="00BC78CF">
        <w:rPr>
          <w:color w:val="FF0000"/>
        </w:rPr>
        <w:t>.8</w:t>
      </w:r>
      <w:r w:rsidR="00175787" w:rsidRPr="00BC78CF">
        <w:rPr>
          <w:color w:val="FF0000"/>
          <w:lang w:val="en-US"/>
        </w:rPr>
        <w:t>; and</w:t>
      </w:r>
    </w:p>
    <w:p w14:paraId="26F48C7E" w14:textId="24ECF55C" w:rsidR="00175787" w:rsidRPr="00BC78CF" w:rsidRDefault="00513EE7" w:rsidP="00CC28A8">
      <w:pPr>
        <w:pStyle w:val="paragraph"/>
        <w:rPr>
          <w:color w:val="FF0000"/>
          <w:lang w:val="en-US"/>
        </w:rPr>
      </w:pPr>
      <w:r w:rsidRPr="00BC78CF">
        <w:rPr>
          <w:color w:val="FF0000"/>
          <w:lang w:val="en-US"/>
        </w:rPr>
        <w:tab/>
        <w:t>(c</w:t>
      </w:r>
      <w:r w:rsidR="00175787" w:rsidRPr="00BC78CF">
        <w:rPr>
          <w:color w:val="FF0000"/>
          <w:lang w:val="en-US"/>
        </w:rPr>
        <w:t>)</w:t>
      </w:r>
      <w:r w:rsidR="00175787" w:rsidRPr="00BC78CF">
        <w:rPr>
          <w:color w:val="FF0000"/>
          <w:lang w:val="en-US"/>
        </w:rPr>
        <w:tab/>
        <w:t>respond to a proposal by another joint account holder to change the disclosure option.</w:t>
      </w:r>
    </w:p>
    <w:p w14:paraId="555D5B3F" w14:textId="29FBA8C8" w:rsidR="00CC28A8" w:rsidRPr="00BC78CF" w:rsidRDefault="00513EE7" w:rsidP="00CC28A8">
      <w:pPr>
        <w:pStyle w:val="notetext"/>
        <w:rPr>
          <w:color w:val="FF0000"/>
        </w:rPr>
      </w:pPr>
      <w:r w:rsidRPr="00BC78CF">
        <w:rPr>
          <w:color w:val="FF0000"/>
        </w:rPr>
        <w:t>Note</w:t>
      </w:r>
      <w:r w:rsidR="00CC28A8" w:rsidRPr="00BC78CF">
        <w:rPr>
          <w:color w:val="FF0000"/>
        </w:rPr>
        <w:t>:</w:t>
      </w:r>
      <w:r w:rsidR="00CC28A8" w:rsidRPr="00BC78CF">
        <w:rPr>
          <w:color w:val="FF0000"/>
        </w:rPr>
        <w:tab/>
        <w:t>This sub</w:t>
      </w:r>
      <w:r w:rsidR="008F7859" w:rsidRPr="00BC78CF">
        <w:rPr>
          <w:color w:val="FF0000"/>
        </w:rPr>
        <w:t>rule</w:t>
      </w:r>
      <w:r w:rsidR="00CC28A8" w:rsidRPr="00BC78CF">
        <w:rPr>
          <w:color w:val="FF0000"/>
        </w:rPr>
        <w:t xml:space="preserve"> is a civil penalty provision (see rule 9.8).</w:t>
      </w:r>
    </w:p>
    <w:p w14:paraId="1CB85834" w14:textId="08072052" w:rsidR="00CC28A8" w:rsidRPr="00BC78CF" w:rsidRDefault="00CC28A8" w:rsidP="00CC28A8">
      <w:pPr>
        <w:pStyle w:val="subsection"/>
        <w:rPr>
          <w:color w:val="FF0000"/>
        </w:rPr>
      </w:pPr>
      <w:r w:rsidRPr="00BC78CF">
        <w:rPr>
          <w:color w:val="FF0000"/>
        </w:rPr>
        <w:tab/>
        <w:t>(2)</w:t>
      </w:r>
      <w:r w:rsidRPr="00BC78CF">
        <w:rPr>
          <w:color w:val="FF0000"/>
        </w:rPr>
        <w:tab/>
        <w:t xml:space="preserve">Such a service is a </w:t>
      </w:r>
      <w:r w:rsidR="00E85D43" w:rsidRPr="00BC78CF">
        <w:rPr>
          <w:b/>
          <w:i/>
          <w:color w:val="FF0000"/>
        </w:rPr>
        <w:t>disclosure option</w:t>
      </w:r>
      <w:r w:rsidRPr="00BC78CF">
        <w:rPr>
          <w:b/>
          <w:i/>
          <w:color w:val="FF0000"/>
        </w:rPr>
        <w:t xml:space="preserve"> management service</w:t>
      </w:r>
      <w:r w:rsidRPr="00BC78CF">
        <w:rPr>
          <w:color w:val="FF0000"/>
        </w:rPr>
        <w:t>.</w:t>
      </w:r>
    </w:p>
    <w:p w14:paraId="671C9323" w14:textId="15450305" w:rsidR="00CC28A8" w:rsidRPr="00BC78CF" w:rsidRDefault="00CC28A8" w:rsidP="00CC28A8">
      <w:pPr>
        <w:pStyle w:val="SubsectionHead"/>
        <w:rPr>
          <w:color w:val="FF0000"/>
        </w:rPr>
      </w:pPr>
      <w:r w:rsidRPr="00BC78CF">
        <w:rPr>
          <w:color w:val="FF0000"/>
        </w:rPr>
        <w:t xml:space="preserve">Requirements for </w:t>
      </w:r>
      <w:r w:rsidR="00E85D43" w:rsidRPr="00BC78CF">
        <w:rPr>
          <w:color w:val="FF0000"/>
        </w:rPr>
        <w:t xml:space="preserve">disclosure option </w:t>
      </w:r>
      <w:r w:rsidRPr="00BC78CF">
        <w:rPr>
          <w:color w:val="FF0000"/>
        </w:rPr>
        <w:t>management service</w:t>
      </w:r>
    </w:p>
    <w:p w14:paraId="4E459429" w14:textId="77777777" w:rsidR="00CC28A8" w:rsidRPr="00BC78CF" w:rsidRDefault="00CC28A8" w:rsidP="00CC28A8">
      <w:pPr>
        <w:pStyle w:val="subsection"/>
        <w:rPr>
          <w:color w:val="FF0000"/>
        </w:rPr>
      </w:pPr>
      <w:r w:rsidRPr="00BC78CF">
        <w:rPr>
          <w:color w:val="FF0000"/>
        </w:rPr>
        <w:tab/>
        <w:t>(3)</w:t>
      </w:r>
      <w:r w:rsidRPr="00BC78CF">
        <w:rPr>
          <w:color w:val="FF0000"/>
        </w:rPr>
        <w:tab/>
        <w:t>The service must be provided online and, if there is a data holder’s consumer dashboard for a joint account holder, may be included in the dashboard.</w:t>
      </w:r>
    </w:p>
    <w:p w14:paraId="5E51B8B1" w14:textId="77777777" w:rsidR="00CC28A8" w:rsidRPr="00BC78CF" w:rsidRDefault="00CC28A8" w:rsidP="00CC28A8">
      <w:pPr>
        <w:pStyle w:val="subsection"/>
        <w:rPr>
          <w:color w:val="FF0000"/>
        </w:rPr>
      </w:pPr>
      <w:r w:rsidRPr="00BC78CF">
        <w:rPr>
          <w:color w:val="FF0000"/>
        </w:rPr>
        <w:tab/>
        <w:t>(4)</w:t>
      </w:r>
      <w:r w:rsidRPr="00BC78CF">
        <w:rPr>
          <w:color w:val="FF0000"/>
        </w:rPr>
        <w:tab/>
        <w:t>The service may, but need not, also be provided other than online.</w:t>
      </w:r>
    </w:p>
    <w:p w14:paraId="0027494D" w14:textId="5E711187" w:rsidR="00CC28A8" w:rsidRPr="00BC78CF" w:rsidRDefault="00CC28A8" w:rsidP="00CC28A8">
      <w:pPr>
        <w:pStyle w:val="subsection"/>
        <w:rPr>
          <w:color w:val="FF0000"/>
        </w:rPr>
      </w:pPr>
      <w:r w:rsidRPr="00BC78CF">
        <w:rPr>
          <w:color w:val="FF0000"/>
        </w:rPr>
        <w:tab/>
        <w:t>(5)</w:t>
      </w:r>
      <w:r w:rsidRPr="00BC78CF">
        <w:rPr>
          <w:color w:val="FF0000"/>
        </w:rPr>
        <w:tab/>
        <w:t xml:space="preserve">The service must give effect to a </w:t>
      </w:r>
      <w:r w:rsidR="00AF3D4C" w:rsidRPr="00BC78CF">
        <w:rPr>
          <w:color w:val="FF0000"/>
        </w:rPr>
        <w:t>change in the disclosure option</w:t>
      </w:r>
      <w:r w:rsidRPr="00BC78CF">
        <w:rPr>
          <w:color w:val="FF0000"/>
        </w:rPr>
        <w:t xml:space="preserve"> as soon as practicable.</w:t>
      </w:r>
    </w:p>
    <w:p w14:paraId="7E33D122" w14:textId="742AC096" w:rsidR="00CC28A8" w:rsidRPr="00BC78CF" w:rsidRDefault="002C49A4" w:rsidP="00CC28A8">
      <w:pPr>
        <w:pStyle w:val="subsection"/>
        <w:rPr>
          <w:color w:val="FF0000"/>
        </w:rPr>
      </w:pPr>
      <w:r w:rsidRPr="00BC78CF">
        <w:rPr>
          <w:color w:val="FF0000"/>
        </w:rPr>
        <w:tab/>
        <w:t>(6)</w:t>
      </w:r>
      <w:r w:rsidRPr="00BC78CF">
        <w:rPr>
          <w:color w:val="FF0000"/>
        </w:rPr>
        <w:tab/>
        <w:t xml:space="preserve">The service must not </w:t>
      </w:r>
      <w:r w:rsidR="00CC28A8" w:rsidRPr="00BC78CF">
        <w:rPr>
          <w:color w:val="FF0000"/>
        </w:rPr>
        <w:t>do any of the following</w:t>
      </w:r>
      <w:r w:rsidRPr="00BC78CF">
        <w:rPr>
          <w:color w:val="FF0000"/>
        </w:rPr>
        <w:t xml:space="preserve"> in relation to the </w:t>
      </w:r>
      <w:r w:rsidR="00634E2B" w:rsidRPr="00BC78CF">
        <w:rPr>
          <w:color w:val="FF0000"/>
        </w:rPr>
        <w:t>processes</w:t>
      </w:r>
      <w:r w:rsidRPr="00BC78CF">
        <w:rPr>
          <w:color w:val="FF0000"/>
        </w:rPr>
        <w:t xml:space="preserve"> </w:t>
      </w:r>
      <w:r w:rsidR="00C826C8" w:rsidRPr="00BC78CF">
        <w:rPr>
          <w:color w:val="FF0000"/>
        </w:rPr>
        <w:t xml:space="preserve">that it provides </w:t>
      </w:r>
      <w:r w:rsidR="00634E2B" w:rsidRPr="00BC78CF">
        <w:rPr>
          <w:color w:val="FF0000"/>
        </w:rPr>
        <w:t xml:space="preserve">for </w:t>
      </w:r>
      <w:r w:rsidRPr="00BC78CF">
        <w:rPr>
          <w:color w:val="FF0000"/>
        </w:rPr>
        <w:t>proposing to change the disclosure option that applies to the joint account, or responding to such a proposal</w:t>
      </w:r>
      <w:r w:rsidR="00634E2B" w:rsidRPr="00BC78CF">
        <w:rPr>
          <w:color w:val="FF0000"/>
        </w:rPr>
        <w:t xml:space="preserve"> (the </w:t>
      </w:r>
      <w:r w:rsidR="00634E2B" w:rsidRPr="00BC78CF">
        <w:rPr>
          <w:b/>
          <w:i/>
          <w:color w:val="FF0000"/>
        </w:rPr>
        <w:t>processes</w:t>
      </w:r>
      <w:r w:rsidR="00634E2B" w:rsidRPr="00BC78CF">
        <w:rPr>
          <w:color w:val="FF0000"/>
        </w:rPr>
        <w:t>)</w:t>
      </w:r>
      <w:r w:rsidR="00CC28A8" w:rsidRPr="00BC78CF">
        <w:rPr>
          <w:color w:val="FF0000"/>
        </w:rPr>
        <w:t>:</w:t>
      </w:r>
    </w:p>
    <w:p w14:paraId="24EAEE1B" w14:textId="363C90EE" w:rsidR="00CC28A8" w:rsidRPr="00BC78CF" w:rsidRDefault="00CC28A8" w:rsidP="00CC28A8">
      <w:pPr>
        <w:pStyle w:val="paragraph"/>
        <w:rPr>
          <w:color w:val="FF0000"/>
        </w:rPr>
      </w:pPr>
      <w:r w:rsidRPr="00BC78CF">
        <w:rPr>
          <w:color w:val="FF0000"/>
        </w:rPr>
        <w:tab/>
        <w:t>(a)</w:t>
      </w:r>
      <w:r w:rsidRPr="00BC78CF">
        <w:rPr>
          <w:color w:val="FF0000"/>
        </w:rPr>
        <w:tab/>
        <w:t>add any requirements to the process</w:t>
      </w:r>
      <w:r w:rsidR="00634E2B" w:rsidRPr="00BC78CF">
        <w:rPr>
          <w:color w:val="FF0000"/>
        </w:rPr>
        <w:t>es</w:t>
      </w:r>
      <w:r w:rsidRPr="00BC78CF">
        <w:rPr>
          <w:color w:val="FF0000"/>
        </w:rPr>
        <w:t xml:space="preserve"> beyond those specified in the data standards and these rules;</w:t>
      </w:r>
    </w:p>
    <w:p w14:paraId="63BD411F" w14:textId="4C90DCB1" w:rsidR="00CC28A8" w:rsidRPr="00BC78CF" w:rsidRDefault="00CC28A8" w:rsidP="00CC28A8">
      <w:pPr>
        <w:pStyle w:val="paragraph"/>
        <w:rPr>
          <w:color w:val="FF0000"/>
        </w:rPr>
      </w:pPr>
      <w:r w:rsidRPr="00BC78CF">
        <w:rPr>
          <w:color w:val="FF0000"/>
        </w:rPr>
        <w:tab/>
        <w:t>(b)</w:t>
      </w:r>
      <w:r w:rsidRPr="00BC78CF">
        <w:rPr>
          <w:color w:val="FF0000"/>
        </w:rPr>
        <w:tab/>
        <w:t>offer additional or alternative services as part of the process</w:t>
      </w:r>
      <w:r w:rsidR="00634E2B" w:rsidRPr="00BC78CF">
        <w:rPr>
          <w:color w:val="FF0000"/>
        </w:rPr>
        <w:t>es</w:t>
      </w:r>
      <w:r w:rsidRPr="00BC78CF">
        <w:rPr>
          <w:color w:val="FF0000"/>
        </w:rPr>
        <w:t>;</w:t>
      </w:r>
    </w:p>
    <w:p w14:paraId="6E782EC1" w14:textId="77777777" w:rsidR="00CC28A8" w:rsidRPr="00BC78CF" w:rsidRDefault="00CC28A8" w:rsidP="00CC28A8">
      <w:pPr>
        <w:pStyle w:val="paragraph"/>
        <w:rPr>
          <w:color w:val="FF0000"/>
          <w:szCs w:val="22"/>
          <w:shd w:val="clear" w:color="auto" w:fill="FFFFFF"/>
        </w:rPr>
      </w:pPr>
      <w:r w:rsidRPr="00BC78CF">
        <w:rPr>
          <w:color w:val="FF0000"/>
        </w:rPr>
        <w:tab/>
        <w:t>(c)</w:t>
      </w:r>
      <w:r w:rsidRPr="00BC78CF">
        <w:rPr>
          <w:color w:val="FF0000"/>
        </w:rPr>
        <w:tab/>
        <w:t xml:space="preserve">include or refer to other documents, or provide any other information, </w:t>
      </w:r>
      <w:r w:rsidRPr="00BC78CF">
        <w:rPr>
          <w:color w:val="FF0000"/>
          <w:szCs w:val="22"/>
          <w:shd w:val="clear" w:color="auto" w:fill="FFFFFF"/>
        </w:rPr>
        <w:t>so as to reduce comprehensibility;</w:t>
      </w:r>
    </w:p>
    <w:p w14:paraId="13A6A2EB" w14:textId="77777777" w:rsidR="00CC28A8" w:rsidRPr="00BC78CF" w:rsidRDefault="00CC28A8" w:rsidP="00CC28A8">
      <w:pPr>
        <w:pStyle w:val="paragraph"/>
        <w:rPr>
          <w:color w:val="FF0000"/>
        </w:rPr>
      </w:pPr>
      <w:r w:rsidRPr="00BC78CF">
        <w:rPr>
          <w:color w:val="FF0000"/>
        </w:rPr>
        <w:tab/>
        <w:t>(d)</w:t>
      </w:r>
      <w:r w:rsidRPr="00BC78CF">
        <w:rPr>
          <w:color w:val="FF0000"/>
        </w:rPr>
        <w:tab/>
        <w:t>offer any pre</w:t>
      </w:r>
      <w:r w:rsidRPr="00BC78CF">
        <w:rPr>
          <w:color w:val="FF0000"/>
        </w:rPr>
        <w:noBreakHyphen/>
        <w:t>selected options.</w:t>
      </w:r>
    </w:p>
    <w:p w14:paraId="72826D5D" w14:textId="77777777" w:rsidR="00B733BA" w:rsidRPr="00BC78CF" w:rsidRDefault="00B733BA" w:rsidP="00B733BA">
      <w:pPr>
        <w:pStyle w:val="subsection"/>
        <w:rPr>
          <w:color w:val="FF0000"/>
        </w:rPr>
      </w:pPr>
      <w:r w:rsidRPr="00BC78CF">
        <w:rPr>
          <w:color w:val="FF0000"/>
        </w:rPr>
        <w:tab/>
        <w:t>(7)</w:t>
      </w:r>
      <w:r w:rsidRPr="00BC78CF">
        <w:rPr>
          <w:color w:val="FF0000"/>
        </w:rPr>
        <w:tab/>
        <w:t>The service must notify the joint account holder:</w:t>
      </w:r>
    </w:p>
    <w:p w14:paraId="753FD2BB" w14:textId="35B24745" w:rsidR="00B733BA" w:rsidRPr="00BC78CF" w:rsidRDefault="00B733BA" w:rsidP="00B733BA">
      <w:pPr>
        <w:pStyle w:val="paragraph"/>
        <w:rPr>
          <w:color w:val="FF0000"/>
        </w:rPr>
      </w:pPr>
      <w:r w:rsidRPr="00BC78CF">
        <w:rPr>
          <w:color w:val="FF0000"/>
        </w:rPr>
        <w:tab/>
        <w:t>(a)</w:t>
      </w:r>
      <w:r w:rsidRPr="00BC78CF">
        <w:rPr>
          <w:color w:val="FF0000"/>
        </w:rPr>
        <w:tab/>
        <w:t xml:space="preserve">of the matters mentioned in subrule </w:t>
      </w:r>
      <w:r w:rsidR="00832060" w:rsidRPr="00BC78CF">
        <w:rPr>
          <w:color w:val="FF0000"/>
        </w:rPr>
        <w:t xml:space="preserve"> 4A.</w:t>
      </w:r>
      <w:r w:rsidR="000B1D10" w:rsidRPr="00BC78CF">
        <w:rPr>
          <w:color w:val="FF0000"/>
        </w:rPr>
        <w:t>6</w:t>
      </w:r>
      <w:r w:rsidRPr="00BC78CF">
        <w:rPr>
          <w:color w:val="FF0000"/>
        </w:rPr>
        <w:t xml:space="preserve">(1); and </w:t>
      </w:r>
    </w:p>
    <w:p w14:paraId="2C843430" w14:textId="64620865" w:rsidR="00B733BA" w:rsidRPr="00BC78CF" w:rsidRDefault="00B733BA" w:rsidP="00B733BA">
      <w:pPr>
        <w:pStyle w:val="paragraph"/>
        <w:rPr>
          <w:color w:val="FF0000"/>
        </w:rPr>
      </w:pPr>
      <w:r w:rsidRPr="00BC78CF">
        <w:rPr>
          <w:color w:val="FF0000"/>
        </w:rPr>
        <w:tab/>
        <w:t>(b)</w:t>
      </w:r>
      <w:r w:rsidRPr="00BC78CF">
        <w:rPr>
          <w:color w:val="FF0000"/>
        </w:rPr>
        <w:tab/>
        <w:t>which disclosure option currently applies.</w:t>
      </w:r>
    </w:p>
    <w:p w14:paraId="7897CC38" w14:textId="792F65F7" w:rsidR="00B733BA" w:rsidRPr="00BC78CF" w:rsidRDefault="00B733BA" w:rsidP="00BD1239">
      <w:pPr>
        <w:pStyle w:val="subsection"/>
        <w:rPr>
          <w:color w:val="FF0000"/>
        </w:rPr>
      </w:pPr>
      <w:r w:rsidRPr="00BC78CF">
        <w:rPr>
          <w:color w:val="FF0000"/>
        </w:rPr>
        <w:tab/>
        <w:t>(8)</w:t>
      </w:r>
      <w:r w:rsidRPr="00BC78CF">
        <w:rPr>
          <w:color w:val="FF0000"/>
        </w:rPr>
        <w:tab/>
        <w:t>The service must be in accordance with the data standards.</w:t>
      </w:r>
    </w:p>
    <w:p w14:paraId="18A127F0" w14:textId="23630D7E" w:rsidR="00B733BA" w:rsidRPr="00BC78CF" w:rsidRDefault="00832060" w:rsidP="00B733BA">
      <w:pPr>
        <w:pStyle w:val="ActHead5"/>
        <w:rPr>
          <w:color w:val="FF0000"/>
        </w:rPr>
      </w:pPr>
      <w:r w:rsidRPr="00BC78CF">
        <w:rPr>
          <w:color w:val="FF0000"/>
          <w:lang w:val="en-US"/>
        </w:rPr>
        <w:t xml:space="preserve"> </w:t>
      </w:r>
      <w:bookmarkStart w:id="336" w:name="_Toc74916177"/>
      <w:r w:rsidRPr="00BC78CF">
        <w:rPr>
          <w:color w:val="FF0000"/>
          <w:lang w:val="en-US"/>
        </w:rPr>
        <w:t xml:space="preserve">4A.6 </w:t>
      </w:r>
      <w:r w:rsidR="00B733BA" w:rsidRPr="00BC78CF">
        <w:rPr>
          <w:color w:val="FF0000"/>
          <w:lang w:val="en-US"/>
        </w:rPr>
        <w:t xml:space="preserve"> Obligation to inform joint account holders</w:t>
      </w:r>
      <w:bookmarkEnd w:id="336"/>
    </w:p>
    <w:p w14:paraId="7AC4CE22" w14:textId="53110DF2" w:rsidR="00CC28A8" w:rsidRPr="00BC78CF" w:rsidRDefault="00CC28A8" w:rsidP="00CC28A8">
      <w:pPr>
        <w:pStyle w:val="subsection"/>
        <w:rPr>
          <w:color w:val="FF0000"/>
        </w:rPr>
      </w:pPr>
      <w:r w:rsidRPr="00BC78CF">
        <w:rPr>
          <w:color w:val="FF0000"/>
        </w:rPr>
        <w:tab/>
        <w:t>(</w:t>
      </w:r>
      <w:r w:rsidR="00B733BA" w:rsidRPr="00BC78CF">
        <w:rPr>
          <w:color w:val="FF0000"/>
        </w:rPr>
        <w:t>1</w:t>
      </w:r>
      <w:r w:rsidRPr="00BC78CF">
        <w:rPr>
          <w:color w:val="FF0000"/>
        </w:rPr>
        <w:t>)</w:t>
      </w:r>
      <w:r w:rsidRPr="00BC78CF">
        <w:rPr>
          <w:color w:val="FF0000"/>
        </w:rPr>
        <w:tab/>
      </w:r>
      <w:r w:rsidR="00B733BA" w:rsidRPr="00BC78CF">
        <w:rPr>
          <w:color w:val="FF0000"/>
        </w:rPr>
        <w:t xml:space="preserve">A data holder must notify each joint account holder: </w:t>
      </w:r>
    </w:p>
    <w:p w14:paraId="04EDD0D9" w14:textId="6A6D1D6D" w:rsidR="00EE34EC" w:rsidRPr="00BC78CF" w:rsidRDefault="00EE34EC" w:rsidP="00EE34EC">
      <w:pPr>
        <w:pStyle w:val="paragraph"/>
        <w:rPr>
          <w:color w:val="FF0000"/>
        </w:rPr>
      </w:pPr>
      <w:r w:rsidRPr="00BC78CF">
        <w:rPr>
          <w:color w:val="FF0000"/>
        </w:rPr>
        <w:tab/>
        <w:t>(a)</w:t>
      </w:r>
      <w:r w:rsidRPr="00BC78CF">
        <w:rPr>
          <w:color w:val="FF0000"/>
        </w:rPr>
        <w:tab/>
      </w:r>
      <w:r w:rsidR="00634E2B" w:rsidRPr="00BC78CF">
        <w:rPr>
          <w:color w:val="FF0000"/>
        </w:rPr>
        <w:t>what disclosure options are available in relation to the joint account</w:t>
      </w:r>
      <w:r w:rsidRPr="00BC78CF">
        <w:rPr>
          <w:color w:val="FF0000"/>
        </w:rPr>
        <w:t>;</w:t>
      </w:r>
    </w:p>
    <w:p w14:paraId="0D853D80" w14:textId="714CAB55" w:rsidR="00634E2B" w:rsidRPr="00BC78CF" w:rsidRDefault="00EE34EC" w:rsidP="00EE34EC">
      <w:pPr>
        <w:pStyle w:val="paragraph"/>
        <w:rPr>
          <w:color w:val="FF0000"/>
        </w:rPr>
      </w:pPr>
      <w:r w:rsidRPr="00BC78CF">
        <w:rPr>
          <w:color w:val="FF0000"/>
        </w:rPr>
        <w:tab/>
        <w:t>(b)</w:t>
      </w:r>
      <w:r w:rsidRPr="00BC78CF">
        <w:rPr>
          <w:color w:val="FF0000"/>
        </w:rPr>
        <w:tab/>
        <w:t>the effect of each disclosure option and how it operates, including, if there is a secondary user for the joint account, how it operates in relation to the secondary user;</w:t>
      </w:r>
    </w:p>
    <w:p w14:paraId="6B24FA77" w14:textId="49960CEA" w:rsidR="00CC28A8" w:rsidRPr="00BC78CF" w:rsidRDefault="00EE34EC" w:rsidP="00EE34EC">
      <w:pPr>
        <w:pStyle w:val="paragraph"/>
        <w:rPr>
          <w:color w:val="FF0000"/>
        </w:rPr>
      </w:pPr>
      <w:r w:rsidRPr="00BC78CF">
        <w:rPr>
          <w:color w:val="FF0000"/>
        </w:rPr>
        <w:tab/>
        <w:t>(c)</w:t>
      </w:r>
      <w:r w:rsidRPr="00BC78CF">
        <w:rPr>
          <w:color w:val="FF0000"/>
        </w:rPr>
        <w:tab/>
      </w:r>
      <w:r w:rsidR="00B733BA" w:rsidRPr="00BC78CF">
        <w:rPr>
          <w:color w:val="FF0000"/>
        </w:rPr>
        <w:t>that the pre-approval option applies by default;</w:t>
      </w:r>
    </w:p>
    <w:p w14:paraId="3E6BDE2E" w14:textId="77777777" w:rsidR="00336F3E" w:rsidRPr="00BC78CF" w:rsidRDefault="00EE34EC" w:rsidP="00EE34EC">
      <w:pPr>
        <w:pStyle w:val="paragraph"/>
        <w:rPr>
          <w:color w:val="FF0000"/>
        </w:rPr>
      </w:pPr>
      <w:r w:rsidRPr="00BC78CF">
        <w:rPr>
          <w:color w:val="FF0000"/>
        </w:rPr>
        <w:tab/>
        <w:t>(d)</w:t>
      </w:r>
      <w:r w:rsidRPr="00BC78CF">
        <w:rPr>
          <w:color w:val="FF0000"/>
        </w:rPr>
        <w:tab/>
      </w:r>
      <w:r w:rsidR="00CC28A8" w:rsidRPr="00BC78CF">
        <w:rPr>
          <w:color w:val="FF0000"/>
        </w:rPr>
        <w:t xml:space="preserve">that they can </w:t>
      </w:r>
      <w:r w:rsidR="00634E2B" w:rsidRPr="00BC78CF">
        <w:rPr>
          <w:color w:val="FF0000"/>
        </w:rPr>
        <w:t>at any time</w:t>
      </w:r>
      <w:r w:rsidR="00336F3E" w:rsidRPr="00BC78CF">
        <w:rPr>
          <w:color w:val="FF0000"/>
        </w:rPr>
        <w:t>:</w:t>
      </w:r>
    </w:p>
    <w:p w14:paraId="5BCFE3D8" w14:textId="77777777" w:rsidR="00336F3E" w:rsidRPr="00BC78CF" w:rsidRDefault="00336F3E" w:rsidP="00336F3E">
      <w:pPr>
        <w:pStyle w:val="paragraphsub"/>
        <w:rPr>
          <w:color w:val="FF0000"/>
        </w:rPr>
      </w:pPr>
      <w:r w:rsidRPr="00BC78CF">
        <w:rPr>
          <w:color w:val="FF0000"/>
        </w:rPr>
        <w:tab/>
        <w:t>(i)</w:t>
      </w:r>
      <w:r w:rsidRPr="00BC78CF">
        <w:rPr>
          <w:color w:val="FF0000"/>
        </w:rPr>
        <w:tab/>
        <w:t xml:space="preserve">choose to change the disclosure option on the joint account to the non-disclosure option; or </w:t>
      </w:r>
    </w:p>
    <w:p w14:paraId="79A634CB" w14:textId="2F3C2371" w:rsidR="00CC28A8" w:rsidRPr="00BC78CF" w:rsidRDefault="00336F3E" w:rsidP="00336F3E">
      <w:pPr>
        <w:pStyle w:val="paragraphsub"/>
        <w:rPr>
          <w:color w:val="FF0000"/>
        </w:rPr>
      </w:pPr>
      <w:r w:rsidRPr="00BC78CF">
        <w:rPr>
          <w:color w:val="FF0000"/>
        </w:rPr>
        <w:tab/>
        <w:t>(ii)</w:t>
      </w:r>
      <w:r w:rsidRPr="00BC78CF">
        <w:rPr>
          <w:color w:val="FF0000"/>
        </w:rPr>
        <w:tab/>
      </w:r>
      <w:r w:rsidR="00634E2B" w:rsidRPr="00BC78CF">
        <w:rPr>
          <w:color w:val="FF0000"/>
        </w:rPr>
        <w:t xml:space="preserve">propose to the other joint account holders </w:t>
      </w:r>
      <w:r w:rsidRPr="00BC78CF">
        <w:rPr>
          <w:color w:val="FF0000"/>
        </w:rPr>
        <w:t xml:space="preserve">to </w:t>
      </w:r>
      <w:r w:rsidR="00634E2B" w:rsidRPr="00BC78CF">
        <w:rPr>
          <w:color w:val="FF0000"/>
        </w:rPr>
        <w:t xml:space="preserve">change </w:t>
      </w:r>
      <w:r w:rsidR="00BD1239" w:rsidRPr="00BC78CF">
        <w:rPr>
          <w:color w:val="FF0000"/>
        </w:rPr>
        <w:t xml:space="preserve">the </w:t>
      </w:r>
      <w:r w:rsidR="00634E2B" w:rsidRPr="00BC78CF">
        <w:rPr>
          <w:color w:val="FF0000"/>
        </w:rPr>
        <w:t>disclosure option</w:t>
      </w:r>
      <w:r w:rsidRPr="00BC78CF">
        <w:rPr>
          <w:color w:val="FF0000"/>
        </w:rPr>
        <w:t xml:space="preserve"> to either co-approval or pre-approval</w:t>
      </w:r>
      <w:r w:rsidR="00CC28A8" w:rsidRPr="00BC78CF">
        <w:rPr>
          <w:color w:val="FF0000"/>
        </w:rPr>
        <w:t>;</w:t>
      </w:r>
    </w:p>
    <w:p w14:paraId="78445843" w14:textId="572F47E3" w:rsidR="00CC28A8" w:rsidRPr="00BC78CF" w:rsidRDefault="00EE34EC" w:rsidP="00EE34EC">
      <w:pPr>
        <w:pStyle w:val="paragraph"/>
        <w:rPr>
          <w:color w:val="FF0000"/>
        </w:rPr>
      </w:pPr>
      <w:r w:rsidRPr="00BC78CF">
        <w:rPr>
          <w:color w:val="FF0000"/>
        </w:rPr>
        <w:tab/>
        <w:t>(e)</w:t>
      </w:r>
      <w:r w:rsidRPr="00BC78CF">
        <w:rPr>
          <w:color w:val="FF0000"/>
        </w:rPr>
        <w:tab/>
      </w:r>
      <w:r w:rsidR="00CC28A8" w:rsidRPr="00BC78CF">
        <w:rPr>
          <w:color w:val="FF0000"/>
        </w:rPr>
        <w:t xml:space="preserve">how they can </w:t>
      </w:r>
      <w:r w:rsidRPr="00BC78CF">
        <w:rPr>
          <w:color w:val="FF0000"/>
        </w:rPr>
        <w:t xml:space="preserve">make such a </w:t>
      </w:r>
      <w:r w:rsidR="00336F3E" w:rsidRPr="00BC78CF">
        <w:rPr>
          <w:color w:val="FF0000"/>
        </w:rPr>
        <w:t xml:space="preserve">choice or </w:t>
      </w:r>
      <w:r w:rsidRPr="00BC78CF">
        <w:rPr>
          <w:color w:val="FF0000"/>
        </w:rPr>
        <w:t>proposal</w:t>
      </w:r>
      <w:r w:rsidR="00CC28A8" w:rsidRPr="00BC78CF">
        <w:rPr>
          <w:color w:val="FF0000"/>
        </w:rPr>
        <w:t>;</w:t>
      </w:r>
    </w:p>
    <w:p w14:paraId="60C3A535" w14:textId="4BE5AF39" w:rsidR="00CC28A8" w:rsidRPr="00BC78CF" w:rsidRDefault="00EE34EC" w:rsidP="00EE34EC">
      <w:pPr>
        <w:pStyle w:val="paragraph"/>
        <w:rPr>
          <w:color w:val="FF0000"/>
        </w:rPr>
      </w:pPr>
      <w:r w:rsidRPr="00BC78CF">
        <w:rPr>
          <w:color w:val="FF0000"/>
        </w:rPr>
        <w:tab/>
        <w:t>(f)</w:t>
      </w:r>
      <w:r w:rsidRPr="00BC78CF">
        <w:rPr>
          <w:color w:val="FF0000"/>
        </w:rPr>
        <w:tab/>
        <w:t>how they can respond to such a proposal by another joint account holder</w:t>
      </w:r>
      <w:r w:rsidR="00CC28A8" w:rsidRPr="00BC78CF">
        <w:rPr>
          <w:color w:val="FF0000"/>
        </w:rPr>
        <w:t xml:space="preserve">; </w:t>
      </w:r>
    </w:p>
    <w:p w14:paraId="4CA5D86A" w14:textId="31287C25" w:rsidR="00CC28A8" w:rsidRPr="00BC78CF" w:rsidRDefault="00EE34EC" w:rsidP="00EE34EC">
      <w:pPr>
        <w:pStyle w:val="paragraph"/>
        <w:rPr>
          <w:color w:val="FF0000"/>
        </w:rPr>
      </w:pPr>
      <w:r w:rsidRPr="00BC78CF">
        <w:rPr>
          <w:color w:val="FF0000"/>
        </w:rPr>
        <w:tab/>
        <w:t>(g)</w:t>
      </w:r>
      <w:r w:rsidRPr="00BC78CF">
        <w:rPr>
          <w:color w:val="FF0000"/>
        </w:rPr>
        <w:tab/>
      </w:r>
      <w:r w:rsidR="00CC28A8" w:rsidRPr="00BC78CF">
        <w:rPr>
          <w:color w:val="FF0000"/>
        </w:rPr>
        <w:t xml:space="preserve">that when CDR data relating to the joint account is disclosed under these rules, the data holder will ordinarily provide </w:t>
      </w:r>
      <w:r w:rsidR="00CC28A8" w:rsidRPr="00BC78CF">
        <w:rPr>
          <w:color w:val="FF0000"/>
          <w:lang w:val="en-US"/>
        </w:rPr>
        <w:t xml:space="preserve">each </w:t>
      </w:r>
      <w:r w:rsidR="00CC28A8" w:rsidRPr="00BC78CF">
        <w:rPr>
          <w:color w:val="FF0000"/>
        </w:rPr>
        <w:t xml:space="preserve">joint account holder and, if applicable, each secondary user, with a consumer dashboard through which they will be able to see information about </w:t>
      </w:r>
      <w:r w:rsidR="00A75A8E" w:rsidRPr="00BC78CF">
        <w:rPr>
          <w:color w:val="FF0000"/>
        </w:rPr>
        <w:t>disclosures relating to the account</w:t>
      </w:r>
      <w:r w:rsidR="00CC28A8" w:rsidRPr="00BC78CF">
        <w:rPr>
          <w:color w:val="FF0000"/>
        </w:rPr>
        <w:t>.</w:t>
      </w:r>
    </w:p>
    <w:p w14:paraId="465BAD0A" w14:textId="77777777" w:rsidR="00B733BA" w:rsidRPr="00BC78CF" w:rsidRDefault="00B733BA" w:rsidP="00B733BA">
      <w:pPr>
        <w:pStyle w:val="subsection"/>
        <w:rPr>
          <w:color w:val="FF0000"/>
        </w:rPr>
      </w:pPr>
      <w:r w:rsidRPr="00BC78CF">
        <w:rPr>
          <w:color w:val="FF0000"/>
        </w:rPr>
        <w:tab/>
        <w:t>(2)</w:t>
      </w:r>
      <w:r w:rsidRPr="00BC78CF">
        <w:rPr>
          <w:color w:val="FF0000"/>
        </w:rPr>
        <w:tab/>
        <w:t>The notification must be done:</w:t>
      </w:r>
    </w:p>
    <w:p w14:paraId="7434CAA4" w14:textId="6109F6BB" w:rsidR="00B733BA" w:rsidRPr="00BC78CF" w:rsidRDefault="00B733BA" w:rsidP="00B733BA">
      <w:pPr>
        <w:pStyle w:val="paragraph"/>
        <w:rPr>
          <w:color w:val="FF0000"/>
        </w:rPr>
      </w:pPr>
      <w:r w:rsidRPr="00BC78CF">
        <w:rPr>
          <w:color w:val="FF0000"/>
        </w:rPr>
        <w:tab/>
        <w:t>(a)</w:t>
      </w:r>
      <w:r w:rsidRPr="00BC78CF">
        <w:rPr>
          <w:color w:val="FF0000"/>
        </w:rPr>
        <w:tab/>
        <w:t xml:space="preserve">if the account is opened </w:t>
      </w:r>
      <w:r w:rsidR="00442448" w:rsidRPr="00BC78CF">
        <w:rPr>
          <w:color w:val="FF0000"/>
        </w:rPr>
        <w:t xml:space="preserve">on or </w:t>
      </w:r>
      <w:r w:rsidRPr="00BC78CF">
        <w:rPr>
          <w:color w:val="FF0000"/>
        </w:rPr>
        <w:t xml:space="preserve">after </w:t>
      </w:r>
      <w:r w:rsidR="00442448" w:rsidRPr="00BC78CF">
        <w:rPr>
          <w:color w:val="FF0000"/>
        </w:rPr>
        <w:t>[the commencement day]</w:t>
      </w:r>
      <w:r w:rsidRPr="00BC78CF">
        <w:rPr>
          <w:color w:val="FF0000"/>
        </w:rPr>
        <w:t>—</w:t>
      </w:r>
      <w:r w:rsidR="00442448" w:rsidRPr="00BC78CF">
        <w:rPr>
          <w:color w:val="FF0000"/>
        </w:rPr>
        <w:t>at the time the account is opened; and</w:t>
      </w:r>
    </w:p>
    <w:p w14:paraId="268D8F38" w14:textId="22A702E9" w:rsidR="00442448" w:rsidRPr="00BC78CF" w:rsidRDefault="00442448" w:rsidP="00B733BA">
      <w:pPr>
        <w:pStyle w:val="paragraph"/>
        <w:rPr>
          <w:color w:val="FF0000"/>
        </w:rPr>
      </w:pPr>
      <w:r w:rsidRPr="00BC78CF">
        <w:rPr>
          <w:color w:val="FF0000"/>
        </w:rPr>
        <w:tab/>
        <w:t>(b)</w:t>
      </w:r>
      <w:r w:rsidRPr="00BC78CF">
        <w:rPr>
          <w:color w:val="FF0000"/>
        </w:rPr>
        <w:tab/>
        <w:t>otherwise—within 7 business days after [ the commencement day].</w:t>
      </w:r>
    </w:p>
    <w:p w14:paraId="116C4582" w14:textId="744E2029" w:rsidR="00CC28A8" w:rsidRPr="00BC78CF" w:rsidRDefault="00B733BA" w:rsidP="00CC28A8">
      <w:pPr>
        <w:pStyle w:val="subsection"/>
        <w:rPr>
          <w:color w:val="FF0000"/>
        </w:rPr>
      </w:pPr>
      <w:r w:rsidRPr="00BC78CF">
        <w:rPr>
          <w:color w:val="FF0000"/>
        </w:rPr>
        <w:tab/>
        <w:t>(3</w:t>
      </w:r>
      <w:r w:rsidR="00CC28A8" w:rsidRPr="00BC78CF">
        <w:rPr>
          <w:color w:val="FF0000"/>
        </w:rPr>
        <w:t>)</w:t>
      </w:r>
      <w:r w:rsidR="00CC28A8" w:rsidRPr="00BC78CF">
        <w:rPr>
          <w:color w:val="FF0000"/>
        </w:rPr>
        <w:tab/>
        <w:t xml:space="preserve">The </w:t>
      </w:r>
      <w:r w:rsidRPr="00BC78CF">
        <w:rPr>
          <w:color w:val="FF0000"/>
        </w:rPr>
        <w:t xml:space="preserve">notification </w:t>
      </w:r>
      <w:r w:rsidR="00CC28A8" w:rsidRPr="00BC78CF">
        <w:rPr>
          <w:color w:val="FF0000"/>
        </w:rPr>
        <w:t>must be in accordance with the data standards.</w:t>
      </w:r>
    </w:p>
    <w:p w14:paraId="1B7807B8" w14:textId="3ADDEDE2" w:rsidR="00442448" w:rsidRPr="00BC78CF" w:rsidRDefault="00442448" w:rsidP="00442448">
      <w:pPr>
        <w:pStyle w:val="nDrafterComment"/>
        <w:rPr>
          <w:color w:val="FF0000"/>
        </w:rPr>
      </w:pPr>
      <w:r w:rsidRPr="00BC78CF">
        <w:rPr>
          <w:b/>
          <w:i/>
          <w:color w:val="FF0000"/>
        </w:rPr>
        <w:t>Drafter's Comment:</w:t>
      </w:r>
      <w:r w:rsidRPr="00BC78CF">
        <w:rPr>
          <w:color w:val="FF0000"/>
        </w:rPr>
        <w:tab/>
        <w:t xml:space="preserve">If these amendments commence on a set date, that date can be used here.  If not, we will need a more elaborate reference. </w:t>
      </w:r>
    </w:p>
    <w:p w14:paraId="32AAE651" w14:textId="427EB9C0" w:rsidR="00336F3E" w:rsidRPr="00BC78CF" w:rsidRDefault="00832060" w:rsidP="00336F3E">
      <w:pPr>
        <w:pStyle w:val="ActHead5"/>
        <w:rPr>
          <w:color w:val="FF0000"/>
        </w:rPr>
      </w:pPr>
      <w:r w:rsidRPr="00BC78CF">
        <w:rPr>
          <w:color w:val="FF0000"/>
          <w:lang w:val="en-US"/>
        </w:rPr>
        <w:t xml:space="preserve"> </w:t>
      </w:r>
      <w:bookmarkStart w:id="337" w:name="_Toc74916178"/>
      <w:r w:rsidRPr="00BC78CF">
        <w:rPr>
          <w:color w:val="FF0000"/>
          <w:lang w:val="en-US"/>
        </w:rPr>
        <w:t xml:space="preserve">4A.7 </w:t>
      </w:r>
      <w:r w:rsidR="00336F3E" w:rsidRPr="00BC78CF">
        <w:rPr>
          <w:color w:val="FF0000"/>
        </w:rPr>
        <w:t xml:space="preserve"> Changing to </w:t>
      </w:r>
      <w:r w:rsidR="00BD1239" w:rsidRPr="00BC78CF">
        <w:rPr>
          <w:color w:val="FF0000"/>
        </w:rPr>
        <w:t xml:space="preserve">a more restrictive </w:t>
      </w:r>
      <w:r w:rsidR="00336F3E" w:rsidRPr="00BC78CF">
        <w:rPr>
          <w:color w:val="FF0000"/>
        </w:rPr>
        <w:t>non-disclosure option</w:t>
      </w:r>
      <w:bookmarkEnd w:id="337"/>
    </w:p>
    <w:p w14:paraId="5FB4890A" w14:textId="6AD63673" w:rsidR="00A75A8E" w:rsidRPr="00BC78CF" w:rsidRDefault="00336F3E" w:rsidP="00A75A8E">
      <w:pPr>
        <w:pStyle w:val="subsection"/>
        <w:rPr>
          <w:color w:val="FF0000"/>
        </w:rPr>
      </w:pPr>
      <w:r w:rsidRPr="00BC78CF">
        <w:rPr>
          <w:color w:val="FF0000"/>
        </w:rPr>
        <w:tab/>
      </w:r>
      <w:r w:rsidR="00BD1239" w:rsidRPr="00BC78CF">
        <w:rPr>
          <w:color w:val="FF0000"/>
        </w:rPr>
        <w:t>(1)</w:t>
      </w:r>
      <w:r w:rsidRPr="00BC78CF">
        <w:rPr>
          <w:color w:val="FF0000"/>
        </w:rPr>
        <w:tab/>
        <w:t xml:space="preserve">A joint account holder may at any time choose that the non-disclosure option will apply to the  </w:t>
      </w:r>
      <w:r w:rsidR="00C711D7" w:rsidRPr="00BC78CF">
        <w:rPr>
          <w:color w:val="FF0000"/>
        </w:rPr>
        <w:t xml:space="preserve">joint account, using the disclosure </w:t>
      </w:r>
      <w:r w:rsidR="00513EE7" w:rsidRPr="00BC78CF">
        <w:rPr>
          <w:color w:val="FF0000"/>
        </w:rPr>
        <w:t>option</w:t>
      </w:r>
      <w:r w:rsidR="00C711D7" w:rsidRPr="00BC78CF">
        <w:rPr>
          <w:color w:val="FF0000"/>
        </w:rPr>
        <w:t xml:space="preserve"> management service.</w:t>
      </w:r>
    </w:p>
    <w:p w14:paraId="187AC3A5" w14:textId="36F3DCC1" w:rsidR="00C711D7" w:rsidRPr="00BC78CF" w:rsidRDefault="00C711D7" w:rsidP="00336F3E">
      <w:pPr>
        <w:pStyle w:val="subsection"/>
        <w:rPr>
          <w:color w:val="FF0000"/>
        </w:rPr>
      </w:pPr>
      <w:r w:rsidRPr="00BC78CF">
        <w:rPr>
          <w:color w:val="FF0000"/>
        </w:rPr>
        <w:tab/>
      </w:r>
      <w:r w:rsidR="00BD1239" w:rsidRPr="00BC78CF">
        <w:rPr>
          <w:color w:val="FF0000"/>
        </w:rPr>
        <w:t>(2)</w:t>
      </w:r>
      <w:r w:rsidRPr="00BC78CF">
        <w:rPr>
          <w:color w:val="FF0000"/>
        </w:rPr>
        <w:tab/>
        <w:t xml:space="preserve">If the pre-approval option applies to a joint account, a joint account holder may at any time choose that the co-approval option will apply to the joint account, using the disclosure </w:t>
      </w:r>
      <w:r w:rsidR="00513EE7" w:rsidRPr="00BC78CF">
        <w:rPr>
          <w:color w:val="FF0000"/>
        </w:rPr>
        <w:t>option</w:t>
      </w:r>
      <w:r w:rsidRPr="00BC78CF">
        <w:rPr>
          <w:color w:val="FF0000"/>
        </w:rPr>
        <w:t xml:space="preserve"> management service.</w:t>
      </w:r>
    </w:p>
    <w:p w14:paraId="1E0C5C25" w14:textId="53252D01" w:rsidR="00BD1239" w:rsidRPr="00BC78CF" w:rsidRDefault="00BD1239" w:rsidP="00BD1239">
      <w:pPr>
        <w:pStyle w:val="subsection"/>
        <w:spacing w:before="240"/>
        <w:rPr>
          <w:color w:val="FF0000"/>
        </w:rPr>
      </w:pPr>
      <w:r w:rsidRPr="00BC78CF">
        <w:rPr>
          <w:color w:val="FF0000"/>
        </w:rPr>
        <w:tab/>
        <w:t>(3)</w:t>
      </w:r>
      <w:r w:rsidRPr="00BC78CF">
        <w:rPr>
          <w:color w:val="FF0000"/>
        </w:rPr>
        <w:tab/>
        <w:t>If a joint account holder (</w:t>
      </w:r>
      <w:r w:rsidRPr="00BC78CF">
        <w:rPr>
          <w:b/>
          <w:i/>
          <w:color w:val="FF0000"/>
        </w:rPr>
        <w:t>account holder A</w:t>
      </w:r>
      <w:r w:rsidRPr="00BC78CF">
        <w:rPr>
          <w:color w:val="FF0000"/>
        </w:rPr>
        <w:t>) changes the non-discloure option that applies to the account in accordance with this rule, the data holder must, through its ordinary methods for contacting the other joint account holders:</w:t>
      </w:r>
    </w:p>
    <w:p w14:paraId="5B37AB5E" w14:textId="77777777" w:rsidR="00BD1239" w:rsidRPr="00BC78CF" w:rsidRDefault="00BD1239" w:rsidP="00BD1239">
      <w:pPr>
        <w:pStyle w:val="paragraph"/>
        <w:rPr>
          <w:color w:val="FF0000"/>
        </w:rPr>
      </w:pPr>
      <w:r w:rsidRPr="00BC78CF">
        <w:rPr>
          <w:color w:val="FF0000"/>
        </w:rPr>
        <w:tab/>
        <w:t>(a)</w:t>
      </w:r>
      <w:r w:rsidRPr="00BC78CF">
        <w:rPr>
          <w:color w:val="FF0000"/>
        </w:rPr>
        <w:tab/>
        <w:t>explain to each of them what the consumer data right is; and</w:t>
      </w:r>
    </w:p>
    <w:p w14:paraId="01B60A45" w14:textId="77777777" w:rsidR="00BD1239" w:rsidRPr="00BC78CF" w:rsidRDefault="00BD1239" w:rsidP="00BD1239">
      <w:pPr>
        <w:pStyle w:val="paragraph"/>
        <w:rPr>
          <w:color w:val="FF0000"/>
        </w:rPr>
      </w:pPr>
      <w:r w:rsidRPr="00BC78CF">
        <w:rPr>
          <w:color w:val="FF0000"/>
        </w:rPr>
        <w:tab/>
        <w:t>(c)</w:t>
      </w:r>
      <w:r w:rsidRPr="00BC78CF">
        <w:rPr>
          <w:color w:val="FF0000"/>
        </w:rPr>
        <w:tab/>
        <w:t>inform them which disclosure option previously currently applied to the account; and</w:t>
      </w:r>
    </w:p>
    <w:p w14:paraId="3FB4B9BB" w14:textId="77777777" w:rsidR="00BD1239" w:rsidRPr="00BC78CF" w:rsidRDefault="00BD1239" w:rsidP="00BD1239">
      <w:pPr>
        <w:pStyle w:val="paragraph"/>
        <w:rPr>
          <w:color w:val="FF0000"/>
        </w:rPr>
      </w:pPr>
      <w:r w:rsidRPr="00BC78CF">
        <w:rPr>
          <w:color w:val="FF0000"/>
        </w:rPr>
        <w:tab/>
        <w:t>(b)</w:t>
      </w:r>
      <w:r w:rsidRPr="00BC78CF">
        <w:rPr>
          <w:color w:val="FF0000"/>
        </w:rPr>
        <w:tab/>
        <w:t>inform them that account holder A has changed the disclosure option, and of the disclosure option that now applies; and</w:t>
      </w:r>
    </w:p>
    <w:p w14:paraId="13460B69" w14:textId="77777777" w:rsidR="00BD1239" w:rsidRPr="00BC78CF" w:rsidRDefault="00BD1239" w:rsidP="00BD1239">
      <w:pPr>
        <w:pStyle w:val="paragraph"/>
        <w:rPr>
          <w:color w:val="FF0000"/>
        </w:rPr>
      </w:pPr>
      <w:r w:rsidRPr="00BC78CF">
        <w:rPr>
          <w:color w:val="FF0000"/>
        </w:rPr>
        <w:tab/>
        <w:t>(d)</w:t>
      </w:r>
      <w:r w:rsidRPr="00BC78CF">
        <w:rPr>
          <w:color w:val="FF0000"/>
        </w:rPr>
        <w:tab/>
        <w:t>explain to them the mechanisms for changing the disclosure option again.</w:t>
      </w:r>
    </w:p>
    <w:p w14:paraId="013088C6" w14:textId="77777777" w:rsidR="00BD1239" w:rsidRPr="00BC78CF" w:rsidRDefault="00BD1239" w:rsidP="00BD1239">
      <w:pPr>
        <w:pStyle w:val="notetext"/>
        <w:rPr>
          <w:color w:val="FF0000"/>
        </w:rPr>
      </w:pPr>
      <w:r w:rsidRPr="00BC78CF">
        <w:rPr>
          <w:color w:val="FF0000"/>
        </w:rPr>
        <w:t>Note:</w:t>
      </w:r>
      <w:r w:rsidRPr="00BC78CF">
        <w:rPr>
          <w:color w:val="FF0000"/>
        </w:rPr>
        <w:tab/>
        <w:t>This subrule is a civil penalty provision (see rule 9.8).</w:t>
      </w:r>
    </w:p>
    <w:p w14:paraId="3A88680C" w14:textId="77777777" w:rsidR="00BD1239" w:rsidRPr="00BC78CF" w:rsidRDefault="00BD1239" w:rsidP="00336F3E">
      <w:pPr>
        <w:pStyle w:val="subsection"/>
        <w:rPr>
          <w:color w:val="FF0000"/>
        </w:rPr>
      </w:pPr>
    </w:p>
    <w:p w14:paraId="01B34E64" w14:textId="702A4AF5" w:rsidR="00CC28A8" w:rsidRPr="00BC78CF" w:rsidRDefault="00832060" w:rsidP="00CC28A8">
      <w:pPr>
        <w:pStyle w:val="ActHead5"/>
        <w:rPr>
          <w:color w:val="FF0000"/>
        </w:rPr>
      </w:pPr>
      <w:r w:rsidRPr="00BC78CF">
        <w:rPr>
          <w:color w:val="FF0000"/>
          <w:lang w:val="en-US"/>
        </w:rPr>
        <w:t xml:space="preserve"> </w:t>
      </w:r>
      <w:bookmarkStart w:id="338" w:name="_Toc74916179"/>
      <w:r w:rsidRPr="00BC78CF">
        <w:rPr>
          <w:color w:val="FF0000"/>
          <w:lang w:val="en-US"/>
        </w:rPr>
        <w:t xml:space="preserve">4A.8 </w:t>
      </w:r>
      <w:r w:rsidR="00CC28A8" w:rsidRPr="00BC78CF">
        <w:rPr>
          <w:color w:val="FF0000"/>
        </w:rPr>
        <w:t xml:space="preserve"> </w:t>
      </w:r>
      <w:r w:rsidR="00C826C8" w:rsidRPr="00BC78CF">
        <w:rPr>
          <w:color w:val="FF0000"/>
        </w:rPr>
        <w:t>Obtaining agreement</w:t>
      </w:r>
      <w:r w:rsidR="00A75A8E" w:rsidRPr="00BC78CF">
        <w:rPr>
          <w:color w:val="FF0000"/>
        </w:rPr>
        <w:t xml:space="preserve"> </w:t>
      </w:r>
      <w:r w:rsidR="00C826C8" w:rsidRPr="00BC78CF">
        <w:rPr>
          <w:color w:val="FF0000"/>
        </w:rPr>
        <w:t xml:space="preserve">on </w:t>
      </w:r>
      <w:r w:rsidR="00C711D7" w:rsidRPr="00BC78CF">
        <w:rPr>
          <w:color w:val="FF0000"/>
        </w:rPr>
        <w:t>change</w:t>
      </w:r>
      <w:r w:rsidR="00BD1239" w:rsidRPr="00BC78CF">
        <w:rPr>
          <w:color w:val="FF0000"/>
        </w:rPr>
        <w:t xml:space="preserve"> to a less restrictive </w:t>
      </w:r>
      <w:r w:rsidR="00C826C8" w:rsidRPr="00BC78CF">
        <w:rPr>
          <w:color w:val="FF0000"/>
        </w:rPr>
        <w:t>disclosure option</w:t>
      </w:r>
      <w:bookmarkEnd w:id="338"/>
    </w:p>
    <w:p w14:paraId="56D314B7" w14:textId="4B5D8D52" w:rsidR="00CC28A8" w:rsidRPr="00BC78CF" w:rsidRDefault="00CC28A8" w:rsidP="00CC28A8">
      <w:pPr>
        <w:pStyle w:val="SubsectionHead"/>
        <w:rPr>
          <w:color w:val="FF0000"/>
        </w:rPr>
      </w:pPr>
      <w:r w:rsidRPr="00BC78CF">
        <w:rPr>
          <w:color w:val="FF0000"/>
        </w:rPr>
        <w:t xml:space="preserve">Application of </w:t>
      </w:r>
      <w:r w:rsidR="008F7859" w:rsidRPr="00BC78CF">
        <w:rPr>
          <w:color w:val="FF0000"/>
        </w:rPr>
        <w:t>rule</w:t>
      </w:r>
    </w:p>
    <w:p w14:paraId="0688AFD5" w14:textId="21C87E59" w:rsidR="00FA06B3" w:rsidRPr="00BC78CF" w:rsidRDefault="00CC28A8" w:rsidP="00CC28A8">
      <w:pPr>
        <w:pStyle w:val="subsection"/>
        <w:rPr>
          <w:color w:val="FF0000"/>
        </w:rPr>
      </w:pPr>
      <w:r w:rsidRPr="00BC78CF">
        <w:rPr>
          <w:color w:val="FF0000"/>
        </w:rPr>
        <w:tab/>
        <w:t>(1)</w:t>
      </w:r>
      <w:r w:rsidRPr="00BC78CF">
        <w:rPr>
          <w:color w:val="FF0000"/>
        </w:rPr>
        <w:tab/>
        <w:t xml:space="preserve">This </w:t>
      </w:r>
      <w:r w:rsidR="008F7859" w:rsidRPr="00BC78CF">
        <w:rPr>
          <w:color w:val="FF0000"/>
        </w:rPr>
        <w:t>rule</w:t>
      </w:r>
      <w:r w:rsidRPr="00BC78CF">
        <w:rPr>
          <w:color w:val="FF0000"/>
        </w:rPr>
        <w:t xml:space="preserve"> applies in relation to a particular joint account if</w:t>
      </w:r>
      <w:r w:rsidR="00FA06B3" w:rsidRPr="00BC78CF">
        <w:rPr>
          <w:color w:val="FF0000"/>
        </w:rPr>
        <w:t>:</w:t>
      </w:r>
    </w:p>
    <w:p w14:paraId="0A18BC4A" w14:textId="3E9C4CED" w:rsidR="00FA06B3" w:rsidRPr="00BC78CF" w:rsidRDefault="00A75A8E" w:rsidP="00A75A8E">
      <w:pPr>
        <w:pStyle w:val="paragraph"/>
        <w:rPr>
          <w:color w:val="FF0000"/>
        </w:rPr>
      </w:pPr>
      <w:r w:rsidRPr="00BC78CF">
        <w:rPr>
          <w:color w:val="FF0000"/>
        </w:rPr>
        <w:tab/>
      </w:r>
      <w:r w:rsidR="00FA06B3" w:rsidRPr="00BC78CF">
        <w:rPr>
          <w:color w:val="FF0000"/>
        </w:rPr>
        <w:t>(a)</w:t>
      </w:r>
      <w:r w:rsidR="00FA06B3" w:rsidRPr="00BC78CF">
        <w:rPr>
          <w:color w:val="FF0000"/>
        </w:rPr>
        <w:tab/>
        <w:t xml:space="preserve">the non-disclosure option applies to the account, and </w:t>
      </w:r>
      <w:r w:rsidR="00CC28A8" w:rsidRPr="00BC78CF">
        <w:rPr>
          <w:color w:val="FF0000"/>
        </w:rPr>
        <w:t>a joint account holder (</w:t>
      </w:r>
      <w:r w:rsidR="00CC28A8" w:rsidRPr="00BC78CF">
        <w:rPr>
          <w:b/>
          <w:i/>
          <w:color w:val="FF0000"/>
        </w:rPr>
        <w:t>account holder A</w:t>
      </w:r>
      <w:r w:rsidR="00CC28A8" w:rsidRPr="00BC78CF">
        <w:rPr>
          <w:color w:val="FF0000"/>
        </w:rPr>
        <w:t xml:space="preserve">) </w:t>
      </w:r>
      <w:r w:rsidR="00C826C8" w:rsidRPr="00BC78CF">
        <w:rPr>
          <w:color w:val="FF0000"/>
        </w:rPr>
        <w:t>proposes</w:t>
      </w:r>
      <w:r w:rsidR="00CC28A8" w:rsidRPr="00BC78CF">
        <w:rPr>
          <w:color w:val="FF0000"/>
        </w:rPr>
        <w:t xml:space="preserve">, using the </w:t>
      </w:r>
      <w:r w:rsidR="00E85D43" w:rsidRPr="00BC78CF">
        <w:rPr>
          <w:color w:val="FF0000"/>
        </w:rPr>
        <w:t>disclosure option management service</w:t>
      </w:r>
      <w:r w:rsidR="00CC28A8" w:rsidRPr="00BC78CF">
        <w:rPr>
          <w:color w:val="FF0000"/>
        </w:rPr>
        <w:t xml:space="preserve">, </w:t>
      </w:r>
      <w:r w:rsidR="00C826C8" w:rsidRPr="00BC78CF">
        <w:rPr>
          <w:color w:val="FF0000"/>
        </w:rPr>
        <w:t xml:space="preserve">to change </w:t>
      </w:r>
      <w:r w:rsidR="00BD1239" w:rsidRPr="00BC78CF">
        <w:rPr>
          <w:color w:val="FF0000"/>
        </w:rPr>
        <w:t xml:space="preserve">to the co-approval or pre-approval </w:t>
      </w:r>
      <w:r w:rsidR="00C826C8" w:rsidRPr="00BC78CF">
        <w:rPr>
          <w:color w:val="FF0000"/>
        </w:rPr>
        <w:t>disclosure option</w:t>
      </w:r>
      <w:r w:rsidR="00FA06B3" w:rsidRPr="00BC78CF">
        <w:rPr>
          <w:color w:val="FF0000"/>
        </w:rPr>
        <w:t>; or</w:t>
      </w:r>
    </w:p>
    <w:p w14:paraId="79A151D7" w14:textId="7C32E6F9" w:rsidR="00FA06B3" w:rsidRPr="00BC78CF" w:rsidRDefault="00C826C8" w:rsidP="00FA06B3">
      <w:pPr>
        <w:pStyle w:val="paragraph"/>
        <w:rPr>
          <w:color w:val="FF0000"/>
        </w:rPr>
      </w:pPr>
      <w:r w:rsidRPr="00BC78CF">
        <w:rPr>
          <w:color w:val="FF0000"/>
        </w:rPr>
        <w:t>.</w:t>
      </w:r>
      <w:r w:rsidR="00FA06B3" w:rsidRPr="00BC78CF">
        <w:rPr>
          <w:color w:val="FF0000"/>
        </w:rPr>
        <w:t xml:space="preserve"> </w:t>
      </w:r>
      <w:r w:rsidR="00FA06B3" w:rsidRPr="00BC78CF">
        <w:rPr>
          <w:color w:val="FF0000"/>
        </w:rPr>
        <w:tab/>
        <w:t>(b)</w:t>
      </w:r>
      <w:r w:rsidR="00FA06B3" w:rsidRPr="00BC78CF">
        <w:rPr>
          <w:color w:val="FF0000"/>
        </w:rPr>
        <w:tab/>
        <w:t>the co-</w:t>
      </w:r>
      <w:r w:rsidR="009234FB" w:rsidRPr="00BC78CF">
        <w:rPr>
          <w:color w:val="FF0000"/>
        </w:rPr>
        <w:t>approval</w:t>
      </w:r>
      <w:r w:rsidR="00FA06B3" w:rsidRPr="00BC78CF">
        <w:rPr>
          <w:color w:val="FF0000"/>
        </w:rPr>
        <w:t xml:space="preserve"> option applies to the account, and a joint account holder (</w:t>
      </w:r>
      <w:r w:rsidR="00FA06B3" w:rsidRPr="00BC78CF">
        <w:rPr>
          <w:b/>
          <w:i/>
          <w:color w:val="FF0000"/>
        </w:rPr>
        <w:t>account holder A</w:t>
      </w:r>
      <w:r w:rsidR="00FA06B3" w:rsidRPr="00BC78CF">
        <w:rPr>
          <w:color w:val="FF0000"/>
        </w:rPr>
        <w:t>) proposes, using the disclosure option management service, to change to the pre-</w:t>
      </w:r>
      <w:r w:rsidR="009234FB" w:rsidRPr="00BC78CF">
        <w:rPr>
          <w:color w:val="FF0000"/>
        </w:rPr>
        <w:t>approval</w:t>
      </w:r>
      <w:r w:rsidR="00FA06B3" w:rsidRPr="00BC78CF">
        <w:rPr>
          <w:color w:val="FF0000"/>
        </w:rPr>
        <w:t xml:space="preserve"> option.</w:t>
      </w:r>
    </w:p>
    <w:p w14:paraId="402D349D" w14:textId="512FFC75" w:rsidR="00CC28A8" w:rsidRPr="00BC78CF" w:rsidRDefault="00202719" w:rsidP="00CC28A8">
      <w:pPr>
        <w:pStyle w:val="SubsectionHead"/>
        <w:rPr>
          <w:color w:val="FF0000"/>
        </w:rPr>
      </w:pPr>
      <w:r w:rsidRPr="00BC78CF">
        <w:rPr>
          <w:color w:val="FF0000"/>
        </w:rPr>
        <w:t xml:space="preserve">Inviting </w:t>
      </w:r>
      <w:r w:rsidR="00CC28A8" w:rsidRPr="00BC78CF">
        <w:rPr>
          <w:color w:val="FF0000"/>
        </w:rPr>
        <w:t xml:space="preserve">other account holders to </w:t>
      </w:r>
      <w:r w:rsidR="00FA06B3" w:rsidRPr="00BC78CF">
        <w:rPr>
          <w:color w:val="FF0000"/>
        </w:rPr>
        <w:t>respond to proposal</w:t>
      </w:r>
    </w:p>
    <w:p w14:paraId="2148373D" w14:textId="77777777" w:rsidR="00CC28A8" w:rsidRPr="00BC78CF" w:rsidRDefault="00CC28A8" w:rsidP="00CC28A8">
      <w:pPr>
        <w:pStyle w:val="subsection"/>
        <w:rPr>
          <w:color w:val="FF0000"/>
        </w:rPr>
      </w:pPr>
      <w:r w:rsidRPr="00BC78CF">
        <w:rPr>
          <w:color w:val="FF0000"/>
        </w:rPr>
        <w:tab/>
        <w:t>(2)</w:t>
      </w:r>
      <w:r w:rsidRPr="00BC78CF">
        <w:rPr>
          <w:color w:val="FF0000"/>
        </w:rPr>
        <w:tab/>
        <w:t>The data holder must, through its ordinary methods for contacting the other joint account holders:</w:t>
      </w:r>
    </w:p>
    <w:p w14:paraId="6A7BEE95" w14:textId="77777777" w:rsidR="00CC28A8" w:rsidRPr="00BC78CF" w:rsidRDefault="00CC28A8" w:rsidP="00CC28A8">
      <w:pPr>
        <w:pStyle w:val="paragraph"/>
        <w:rPr>
          <w:color w:val="FF0000"/>
        </w:rPr>
      </w:pPr>
      <w:r w:rsidRPr="00BC78CF">
        <w:rPr>
          <w:color w:val="FF0000"/>
        </w:rPr>
        <w:tab/>
        <w:t>(a)</w:t>
      </w:r>
      <w:r w:rsidRPr="00BC78CF">
        <w:rPr>
          <w:color w:val="FF0000"/>
        </w:rPr>
        <w:tab/>
        <w:t>explain to each of them what the consumer data right is; and</w:t>
      </w:r>
    </w:p>
    <w:p w14:paraId="6CF8DCAD" w14:textId="7D62645B" w:rsidR="00202719" w:rsidRPr="00BC78CF" w:rsidRDefault="00202719" w:rsidP="00CC28A8">
      <w:pPr>
        <w:pStyle w:val="paragraph"/>
        <w:rPr>
          <w:color w:val="FF0000"/>
        </w:rPr>
      </w:pPr>
      <w:r w:rsidRPr="00BC78CF">
        <w:rPr>
          <w:color w:val="FF0000"/>
        </w:rPr>
        <w:tab/>
        <w:t>(c)</w:t>
      </w:r>
      <w:r w:rsidRPr="00BC78CF">
        <w:rPr>
          <w:color w:val="FF0000"/>
        </w:rPr>
        <w:tab/>
        <w:t>inform them which disclosure option currently applies to the account; and</w:t>
      </w:r>
    </w:p>
    <w:p w14:paraId="2F7CB8A6" w14:textId="2D135019" w:rsidR="00CC28A8" w:rsidRPr="00BC78CF" w:rsidRDefault="00CC28A8" w:rsidP="00CC28A8">
      <w:pPr>
        <w:pStyle w:val="paragraph"/>
        <w:rPr>
          <w:color w:val="FF0000"/>
        </w:rPr>
      </w:pPr>
      <w:r w:rsidRPr="00BC78CF">
        <w:rPr>
          <w:color w:val="FF0000"/>
        </w:rPr>
        <w:tab/>
        <w:t>(b)</w:t>
      </w:r>
      <w:r w:rsidRPr="00BC78CF">
        <w:rPr>
          <w:color w:val="FF0000"/>
        </w:rPr>
        <w:tab/>
        <w:t xml:space="preserve">inform them that account holder A has </w:t>
      </w:r>
      <w:r w:rsidR="00202719" w:rsidRPr="00BC78CF">
        <w:rPr>
          <w:color w:val="FF0000"/>
        </w:rPr>
        <w:t xml:space="preserve">proposed </w:t>
      </w:r>
      <w:r w:rsidR="00C32885" w:rsidRPr="00BC78CF">
        <w:rPr>
          <w:color w:val="FF0000"/>
        </w:rPr>
        <w:t>that</w:t>
      </w:r>
      <w:r w:rsidR="00BD1239" w:rsidRPr="00BC78CF">
        <w:rPr>
          <w:color w:val="FF0000"/>
        </w:rPr>
        <w:t xml:space="preserve"> the co-approval or pre-approval </w:t>
      </w:r>
      <w:r w:rsidR="00C32885" w:rsidRPr="00BC78CF">
        <w:rPr>
          <w:color w:val="FF0000"/>
        </w:rPr>
        <w:t>option apply to the account</w:t>
      </w:r>
      <w:r w:rsidR="00BD1239" w:rsidRPr="00BC78CF">
        <w:rPr>
          <w:color w:val="FF0000"/>
        </w:rPr>
        <w:t>, as the case may be</w:t>
      </w:r>
      <w:r w:rsidRPr="00BC78CF">
        <w:rPr>
          <w:color w:val="FF0000"/>
        </w:rPr>
        <w:t>; and</w:t>
      </w:r>
    </w:p>
    <w:p w14:paraId="35B18C6B" w14:textId="74017B0F" w:rsidR="00CC28A8" w:rsidRPr="00BC78CF" w:rsidRDefault="00CC28A8" w:rsidP="00CC28A8">
      <w:pPr>
        <w:pStyle w:val="paragraph"/>
        <w:rPr>
          <w:color w:val="FF0000"/>
        </w:rPr>
      </w:pPr>
      <w:r w:rsidRPr="00BC78CF">
        <w:rPr>
          <w:color w:val="FF0000"/>
        </w:rPr>
        <w:tab/>
        <w:t>(d)</w:t>
      </w:r>
      <w:r w:rsidRPr="00BC78CF">
        <w:rPr>
          <w:color w:val="FF0000"/>
        </w:rPr>
        <w:tab/>
        <w:t xml:space="preserve">explain to them that </w:t>
      </w:r>
      <w:r w:rsidR="00202719" w:rsidRPr="00BC78CF">
        <w:rPr>
          <w:color w:val="FF0000"/>
        </w:rPr>
        <w:t>th</w:t>
      </w:r>
      <w:r w:rsidR="00CA6E3F" w:rsidRPr="00BC78CF">
        <w:rPr>
          <w:color w:val="FF0000"/>
        </w:rPr>
        <w:t>is change requires the agreement of all account holders</w:t>
      </w:r>
      <w:r w:rsidRPr="00BC78CF">
        <w:rPr>
          <w:color w:val="FF0000"/>
        </w:rPr>
        <w:t>; and</w:t>
      </w:r>
    </w:p>
    <w:p w14:paraId="471D5D1B" w14:textId="15A23C83" w:rsidR="00E43DA0" w:rsidRPr="00BC78CF" w:rsidRDefault="00E43DA0" w:rsidP="00CC28A8">
      <w:pPr>
        <w:pStyle w:val="paragraph"/>
        <w:rPr>
          <w:color w:val="FF0000"/>
        </w:rPr>
      </w:pPr>
      <w:r w:rsidRPr="00BC78CF">
        <w:rPr>
          <w:color w:val="FF0000"/>
        </w:rPr>
        <w:tab/>
        <w:t>(e)</w:t>
      </w:r>
      <w:r w:rsidRPr="00BC78CF">
        <w:rPr>
          <w:color w:val="FF0000"/>
        </w:rPr>
        <w:tab/>
        <w:t xml:space="preserve">explain to them </w:t>
      </w:r>
      <w:r w:rsidR="00CA6E3F" w:rsidRPr="00BC78CF">
        <w:rPr>
          <w:color w:val="FF0000"/>
        </w:rPr>
        <w:t xml:space="preserve">any </w:t>
      </w:r>
      <w:r w:rsidR="00FA06B3" w:rsidRPr="00BC78CF">
        <w:rPr>
          <w:color w:val="FF0000"/>
        </w:rPr>
        <w:t>alternative options for change that are available and how they can be made</w:t>
      </w:r>
      <w:r w:rsidRPr="00BC78CF">
        <w:rPr>
          <w:color w:val="FF0000"/>
        </w:rPr>
        <w:t>; and</w:t>
      </w:r>
    </w:p>
    <w:p w14:paraId="1156EC40" w14:textId="63131735" w:rsidR="00E43DA0" w:rsidRPr="00BC78CF" w:rsidRDefault="00E43DA0" w:rsidP="00CC28A8">
      <w:pPr>
        <w:pStyle w:val="paragraph"/>
        <w:rPr>
          <w:color w:val="FF0000"/>
        </w:rPr>
      </w:pPr>
      <w:r w:rsidRPr="00BC78CF">
        <w:rPr>
          <w:color w:val="FF0000"/>
        </w:rPr>
        <w:tab/>
        <w:t>(f</w:t>
      </w:r>
      <w:r w:rsidR="00CC28A8" w:rsidRPr="00BC78CF">
        <w:rPr>
          <w:color w:val="FF0000"/>
        </w:rPr>
        <w:t>)</w:t>
      </w:r>
      <w:r w:rsidR="00CC28A8" w:rsidRPr="00BC78CF">
        <w:rPr>
          <w:color w:val="FF0000"/>
        </w:rPr>
        <w:tab/>
        <w:t xml:space="preserve">invite them to </w:t>
      </w:r>
      <w:r w:rsidRPr="00BC78CF">
        <w:rPr>
          <w:color w:val="FF0000"/>
        </w:rPr>
        <w:t>either agree to or reject the proposal</w:t>
      </w:r>
      <w:r w:rsidR="00CA6E3F" w:rsidRPr="00BC78CF">
        <w:rPr>
          <w:color w:val="FF0000"/>
        </w:rPr>
        <w:t xml:space="preserve"> </w:t>
      </w:r>
      <w:r w:rsidR="00085185" w:rsidRPr="00BC78CF">
        <w:rPr>
          <w:color w:val="FF0000"/>
        </w:rPr>
        <w:t>within a specified period</w:t>
      </w:r>
      <w:r w:rsidRPr="00BC78CF">
        <w:rPr>
          <w:color w:val="FF0000"/>
        </w:rPr>
        <w:t>.</w:t>
      </w:r>
    </w:p>
    <w:p w14:paraId="56087EC1" w14:textId="61A3E4A0" w:rsidR="008B606B" w:rsidRPr="00BC78CF" w:rsidRDefault="008B606B" w:rsidP="008B606B">
      <w:pPr>
        <w:pStyle w:val="notetext"/>
        <w:rPr>
          <w:color w:val="FF0000"/>
        </w:rPr>
      </w:pPr>
      <w:r w:rsidRPr="00BC78CF">
        <w:rPr>
          <w:color w:val="FF0000"/>
        </w:rPr>
        <w:t>Note:</w:t>
      </w:r>
      <w:r w:rsidRPr="00BC78CF">
        <w:rPr>
          <w:color w:val="FF0000"/>
        </w:rPr>
        <w:tab/>
        <w:t>This sub</w:t>
      </w:r>
      <w:r w:rsidR="008F7859" w:rsidRPr="00BC78CF">
        <w:rPr>
          <w:color w:val="FF0000"/>
        </w:rPr>
        <w:t>rule</w:t>
      </w:r>
      <w:r w:rsidRPr="00BC78CF">
        <w:rPr>
          <w:color w:val="FF0000"/>
        </w:rPr>
        <w:t xml:space="preserve"> is a civil penalty provision (see rule 9.8).</w:t>
      </w:r>
    </w:p>
    <w:p w14:paraId="54627723" w14:textId="467884A6" w:rsidR="00085185" w:rsidRPr="00BC78CF" w:rsidRDefault="00085185" w:rsidP="00085185">
      <w:pPr>
        <w:pStyle w:val="subsection"/>
        <w:rPr>
          <w:color w:val="FF0000"/>
        </w:rPr>
      </w:pPr>
      <w:r w:rsidRPr="00BC78CF">
        <w:rPr>
          <w:color w:val="FF0000"/>
        </w:rPr>
        <w:tab/>
      </w:r>
      <w:r w:rsidR="00CA6E3F" w:rsidRPr="00BC78CF">
        <w:rPr>
          <w:color w:val="FF0000"/>
        </w:rPr>
        <w:t>(3)</w:t>
      </w:r>
      <w:r w:rsidR="00CA6E3F" w:rsidRPr="00BC78CF">
        <w:rPr>
          <w:color w:val="FF0000"/>
        </w:rPr>
        <w:tab/>
      </w:r>
      <w:r w:rsidRPr="00BC78CF">
        <w:rPr>
          <w:color w:val="FF0000"/>
        </w:rPr>
        <w:t>At the</w:t>
      </w:r>
      <w:r w:rsidR="00CA6E3F" w:rsidRPr="00BC78CF">
        <w:rPr>
          <w:color w:val="FF0000"/>
        </w:rPr>
        <w:t xml:space="preserve"> end of the specified period</w:t>
      </w:r>
      <w:r w:rsidRPr="00BC78CF">
        <w:rPr>
          <w:color w:val="FF0000"/>
        </w:rPr>
        <w:t>, the data holder must inform the joint account holders whether:</w:t>
      </w:r>
    </w:p>
    <w:p w14:paraId="447E4A1B" w14:textId="10DC24BF" w:rsidR="00085185" w:rsidRPr="00BC78CF" w:rsidRDefault="00085185" w:rsidP="00085185">
      <w:pPr>
        <w:pStyle w:val="paragraph"/>
        <w:rPr>
          <w:color w:val="FF0000"/>
        </w:rPr>
      </w:pPr>
      <w:r w:rsidRPr="00BC78CF">
        <w:rPr>
          <w:color w:val="FF0000"/>
        </w:rPr>
        <w:tab/>
        <w:t>(a)</w:t>
      </w:r>
      <w:r w:rsidRPr="00BC78CF">
        <w:rPr>
          <w:color w:val="FF0000"/>
        </w:rPr>
        <w:tab/>
        <w:t xml:space="preserve">all the joint account holders have approved the change, and as a result the new disclosure option </w:t>
      </w:r>
      <w:r w:rsidR="008B606B" w:rsidRPr="00BC78CF">
        <w:rPr>
          <w:color w:val="FF0000"/>
        </w:rPr>
        <w:t>applies to the joint account; or</w:t>
      </w:r>
    </w:p>
    <w:p w14:paraId="7408CE38" w14:textId="717D9E21" w:rsidR="008B606B" w:rsidRPr="00BC78CF" w:rsidRDefault="008B606B" w:rsidP="00085185">
      <w:pPr>
        <w:pStyle w:val="paragraph"/>
        <w:rPr>
          <w:color w:val="FF0000"/>
        </w:rPr>
      </w:pPr>
      <w:r w:rsidRPr="00BC78CF">
        <w:rPr>
          <w:color w:val="FF0000"/>
        </w:rPr>
        <w:tab/>
        <w:t>(c)</w:t>
      </w:r>
      <w:r w:rsidRPr="00BC78CF">
        <w:rPr>
          <w:color w:val="FF0000"/>
        </w:rPr>
        <w:tab/>
        <w:t>not all the joint account holders have approved the change, and as a result the disclosure option is unchanged.</w:t>
      </w:r>
    </w:p>
    <w:p w14:paraId="54FA03DA" w14:textId="34313D0A" w:rsidR="00CC28A8" w:rsidRPr="00BC78CF" w:rsidRDefault="00CC28A8" w:rsidP="00CC28A8">
      <w:pPr>
        <w:pStyle w:val="notetext"/>
        <w:rPr>
          <w:color w:val="FF0000"/>
        </w:rPr>
      </w:pPr>
      <w:r w:rsidRPr="00BC78CF">
        <w:rPr>
          <w:color w:val="FF0000"/>
        </w:rPr>
        <w:t>Note:</w:t>
      </w:r>
      <w:r w:rsidRPr="00BC78CF">
        <w:rPr>
          <w:color w:val="FF0000"/>
        </w:rPr>
        <w:tab/>
        <w:t>This sub</w:t>
      </w:r>
      <w:r w:rsidR="008F7859" w:rsidRPr="00BC78CF">
        <w:rPr>
          <w:color w:val="FF0000"/>
        </w:rPr>
        <w:t>rule</w:t>
      </w:r>
      <w:r w:rsidRPr="00BC78CF">
        <w:rPr>
          <w:color w:val="FF0000"/>
        </w:rPr>
        <w:t xml:space="preserve"> is a civil penalty provision (see rule 9.8).</w:t>
      </w:r>
    </w:p>
    <w:p w14:paraId="1672960B" w14:textId="5CEADA96" w:rsidR="00CC28A8" w:rsidRPr="00BC78CF" w:rsidRDefault="00832060" w:rsidP="008B3536">
      <w:pPr>
        <w:pStyle w:val="ActHead3"/>
        <w:rPr>
          <w:color w:val="FF0000"/>
        </w:rPr>
      </w:pPr>
      <w:bookmarkStart w:id="339" w:name="_Toc74916180"/>
      <w:r w:rsidRPr="00BC78CF">
        <w:rPr>
          <w:color w:val="FF0000"/>
        </w:rPr>
        <w:t>Division 4A.3</w:t>
      </w:r>
      <w:r w:rsidR="008B3536" w:rsidRPr="00BC78CF">
        <w:rPr>
          <w:color w:val="FF0000"/>
        </w:rPr>
        <w:t>—</w:t>
      </w:r>
      <w:r w:rsidR="00CC28A8" w:rsidRPr="00BC78CF">
        <w:rPr>
          <w:color w:val="FF0000"/>
        </w:rPr>
        <w:t>Consumer data requests that relate to joint accounts</w:t>
      </w:r>
      <w:bookmarkEnd w:id="339"/>
    </w:p>
    <w:p w14:paraId="44F2E14A" w14:textId="3492C779" w:rsidR="00CC28A8" w:rsidRPr="00BC78CF" w:rsidRDefault="00832060" w:rsidP="008B3536">
      <w:pPr>
        <w:pStyle w:val="ActHead4"/>
        <w:rPr>
          <w:color w:val="FF0000"/>
        </w:rPr>
      </w:pPr>
      <w:bookmarkStart w:id="340" w:name="_Toc74916181"/>
      <w:r w:rsidRPr="00BC78CF">
        <w:rPr>
          <w:color w:val="FF0000"/>
        </w:rPr>
        <w:t>Subdivision 4A.3.1</w:t>
      </w:r>
      <w:r w:rsidR="008B3536" w:rsidRPr="00BC78CF">
        <w:rPr>
          <w:color w:val="FF0000"/>
        </w:rPr>
        <w:t>—</w:t>
      </w:r>
      <w:r w:rsidR="00CC28A8" w:rsidRPr="00BC78CF">
        <w:rPr>
          <w:color w:val="FF0000"/>
        </w:rPr>
        <w:t>Preliminary</w:t>
      </w:r>
      <w:bookmarkEnd w:id="340"/>
    </w:p>
    <w:p w14:paraId="34B99DB0" w14:textId="28D85450" w:rsidR="00CC28A8" w:rsidRPr="00BC78CF" w:rsidRDefault="00832060" w:rsidP="00CC28A8">
      <w:pPr>
        <w:pStyle w:val="ActHead5"/>
        <w:rPr>
          <w:color w:val="FF0000"/>
          <w:lang w:val="en-US"/>
        </w:rPr>
      </w:pPr>
      <w:r w:rsidRPr="00BC78CF">
        <w:rPr>
          <w:color w:val="FF0000"/>
          <w:lang w:val="en-US"/>
        </w:rPr>
        <w:t xml:space="preserve"> </w:t>
      </w:r>
      <w:bookmarkStart w:id="341" w:name="_Toc74916182"/>
      <w:r w:rsidRPr="00BC78CF">
        <w:rPr>
          <w:color w:val="FF0000"/>
          <w:lang w:val="en-US"/>
        </w:rPr>
        <w:t xml:space="preserve">4A.9 </w:t>
      </w:r>
      <w:r w:rsidR="00CC28A8" w:rsidRPr="00BC78CF">
        <w:rPr>
          <w:color w:val="FF0000"/>
          <w:lang w:val="en-US"/>
        </w:rPr>
        <w:t>Application of Division</w:t>
      </w:r>
      <w:bookmarkEnd w:id="341"/>
    </w:p>
    <w:p w14:paraId="43301805" w14:textId="77777777" w:rsidR="00415B40" w:rsidRPr="00BC78CF" w:rsidRDefault="00CC28A8" w:rsidP="00CC28A8">
      <w:pPr>
        <w:pStyle w:val="subsection"/>
        <w:rPr>
          <w:color w:val="FF0000"/>
        </w:rPr>
      </w:pPr>
      <w:r w:rsidRPr="00BC78CF">
        <w:rPr>
          <w:color w:val="FF0000"/>
          <w:lang w:val="en-US"/>
        </w:rPr>
        <w:tab/>
        <w:t>(1)</w:t>
      </w:r>
      <w:r w:rsidRPr="00BC78CF">
        <w:rPr>
          <w:color w:val="FF0000"/>
          <w:lang w:val="en-US"/>
        </w:rPr>
        <w:tab/>
        <w:t>This Division applies in relation to a consumer data reques</w:t>
      </w:r>
      <w:r w:rsidR="00B90EE2" w:rsidRPr="00BC78CF">
        <w:rPr>
          <w:color w:val="FF0000"/>
          <w:lang w:val="en-US"/>
        </w:rPr>
        <w:t>t to a data holder under Part 4</w:t>
      </w:r>
      <w:r w:rsidRPr="00BC78CF">
        <w:rPr>
          <w:color w:val="FF0000"/>
          <w:lang w:val="en-US"/>
        </w:rPr>
        <w:t xml:space="preserve"> that is for disclosure of </w:t>
      </w:r>
      <w:r w:rsidR="00415B40" w:rsidRPr="00BC78CF">
        <w:rPr>
          <w:color w:val="FF0000"/>
        </w:rPr>
        <w:t xml:space="preserve">CDR data </w:t>
      </w:r>
      <w:r w:rsidR="00415B40" w:rsidRPr="00BC78CF">
        <w:rPr>
          <w:color w:val="FF0000"/>
          <w:lang w:val="en-US"/>
        </w:rPr>
        <w:t>in relation to a particular joint account of a kind</w:t>
      </w:r>
      <w:r w:rsidR="00415B40" w:rsidRPr="00BC78CF">
        <w:rPr>
          <w:color w:val="FF0000"/>
        </w:rPr>
        <w:t xml:space="preserve"> specified for the purposes of this paragraph in a sector Schedule.</w:t>
      </w:r>
    </w:p>
    <w:p w14:paraId="1017B74D" w14:textId="77777777" w:rsidR="00CC28A8" w:rsidRPr="00BC78CF" w:rsidRDefault="00CC28A8" w:rsidP="00CC28A8">
      <w:pPr>
        <w:pStyle w:val="subsection"/>
        <w:rPr>
          <w:color w:val="FF0000"/>
          <w:lang w:val="en-US"/>
        </w:rPr>
      </w:pPr>
      <w:r w:rsidRPr="00BC78CF">
        <w:rPr>
          <w:color w:val="FF0000"/>
          <w:lang w:val="en-US"/>
        </w:rPr>
        <w:tab/>
        <w:t>(2)</w:t>
      </w:r>
      <w:r w:rsidRPr="00BC78CF">
        <w:rPr>
          <w:color w:val="FF0000"/>
          <w:lang w:val="en-US"/>
        </w:rPr>
        <w:tab/>
        <w:t>This Division applies whether or not the request is also for disclosure of other CDR data.</w:t>
      </w:r>
    </w:p>
    <w:p w14:paraId="78DFAE41" w14:textId="6DE1E452" w:rsidR="00CC28A8" w:rsidRPr="00BC78CF" w:rsidRDefault="00CC28A8" w:rsidP="00CC28A8">
      <w:pPr>
        <w:pStyle w:val="subsection"/>
        <w:rPr>
          <w:color w:val="FF0000"/>
          <w:lang w:val="en-US"/>
        </w:rPr>
      </w:pPr>
      <w:r w:rsidRPr="00BC78CF">
        <w:rPr>
          <w:color w:val="FF0000"/>
          <w:lang w:val="en-US"/>
        </w:rPr>
        <w:tab/>
        <w:t>(3)</w:t>
      </w:r>
      <w:r w:rsidRPr="00BC78CF">
        <w:rPr>
          <w:color w:val="FF0000"/>
          <w:lang w:val="en-US"/>
        </w:rPr>
        <w:tab/>
        <w:t>If a particular consumer data request to a data holder under Part 4  relates to more than one joint account to which this Part applies, this Division applies separately in relation to each such joint account.</w:t>
      </w:r>
    </w:p>
    <w:p w14:paraId="382CF70A" w14:textId="14F43752" w:rsidR="00CC28A8" w:rsidRPr="00BC78CF" w:rsidRDefault="00832060" w:rsidP="00CC28A8">
      <w:pPr>
        <w:pStyle w:val="ActHead5"/>
        <w:rPr>
          <w:color w:val="FF0000"/>
          <w:lang w:val="en-US"/>
        </w:rPr>
      </w:pPr>
      <w:r w:rsidRPr="00BC78CF">
        <w:rPr>
          <w:color w:val="FF0000"/>
          <w:lang w:val="en-US"/>
        </w:rPr>
        <w:t xml:space="preserve"> </w:t>
      </w:r>
      <w:bookmarkStart w:id="342" w:name="_Toc74916183"/>
      <w:r w:rsidRPr="00BC78CF">
        <w:rPr>
          <w:color w:val="FF0000"/>
          <w:lang w:val="en-US"/>
        </w:rPr>
        <w:t xml:space="preserve">4A.10 </w:t>
      </w:r>
      <w:r w:rsidR="00CC28A8" w:rsidRPr="00BC78CF">
        <w:rPr>
          <w:color w:val="FF0000"/>
          <w:lang w:val="en-US"/>
        </w:rPr>
        <w:t>Interpretation</w:t>
      </w:r>
      <w:bookmarkEnd w:id="342"/>
    </w:p>
    <w:p w14:paraId="300E0530" w14:textId="77777777" w:rsidR="00CC28A8" w:rsidRPr="00BC78CF" w:rsidRDefault="00CC28A8" w:rsidP="00CC28A8">
      <w:pPr>
        <w:pStyle w:val="subsection"/>
        <w:rPr>
          <w:color w:val="FF0000"/>
          <w:lang w:val="en-US"/>
        </w:rPr>
      </w:pPr>
      <w:r w:rsidRPr="00BC78CF">
        <w:rPr>
          <w:color w:val="FF0000"/>
          <w:lang w:val="en-US"/>
        </w:rPr>
        <w:tab/>
      </w:r>
      <w:r w:rsidRPr="00BC78CF">
        <w:rPr>
          <w:color w:val="FF0000"/>
          <w:lang w:val="en-US"/>
        </w:rPr>
        <w:tab/>
        <w:t>For this Division:</w:t>
      </w:r>
    </w:p>
    <w:p w14:paraId="24E9D203" w14:textId="598FC9CC" w:rsidR="00CC28A8" w:rsidRPr="00BC78CF" w:rsidRDefault="00CC28A8" w:rsidP="00CC28A8">
      <w:pPr>
        <w:pStyle w:val="paragraph"/>
        <w:rPr>
          <w:color w:val="FF0000"/>
          <w:lang w:val="en-US"/>
        </w:rPr>
      </w:pPr>
      <w:r w:rsidRPr="00BC78CF">
        <w:rPr>
          <w:color w:val="FF0000"/>
          <w:lang w:val="en-US"/>
        </w:rPr>
        <w:tab/>
        <w:t>(a)</w:t>
      </w:r>
      <w:r w:rsidRPr="00BC78CF">
        <w:rPr>
          <w:color w:val="FF0000"/>
          <w:lang w:val="en-US"/>
        </w:rPr>
        <w:tab/>
        <w:t>the</w:t>
      </w:r>
      <w:r w:rsidRPr="00BC78CF">
        <w:rPr>
          <w:b/>
          <w:i/>
          <w:color w:val="FF0000"/>
          <w:lang w:val="en-US"/>
        </w:rPr>
        <w:t xml:space="preserve"> requester </w:t>
      </w:r>
      <w:r w:rsidRPr="00BC78CF">
        <w:rPr>
          <w:color w:val="FF0000"/>
          <w:lang w:val="en-US"/>
        </w:rPr>
        <w:t xml:space="preserve">is the person on whose behalf the consumer data request referred to in </w:t>
      </w:r>
      <w:r w:rsidR="008F7859" w:rsidRPr="00BC78CF">
        <w:rPr>
          <w:color w:val="FF0000"/>
          <w:lang w:val="en-US"/>
        </w:rPr>
        <w:t>rule</w:t>
      </w:r>
      <w:r w:rsidRPr="00BC78CF">
        <w:rPr>
          <w:color w:val="FF0000"/>
          <w:lang w:val="en-US"/>
        </w:rPr>
        <w:t> </w:t>
      </w:r>
      <w:r w:rsidR="000B1D10" w:rsidRPr="00BC78CF">
        <w:rPr>
          <w:color w:val="FF0000"/>
        </w:rPr>
        <w:t>4</w:t>
      </w:r>
      <w:r w:rsidR="00832060" w:rsidRPr="00BC78CF">
        <w:rPr>
          <w:color w:val="FF0000"/>
        </w:rPr>
        <w:t>A</w:t>
      </w:r>
      <w:r w:rsidR="000B1D10" w:rsidRPr="00BC78CF">
        <w:rPr>
          <w:color w:val="FF0000"/>
        </w:rPr>
        <w:t>.9</w:t>
      </w:r>
      <w:r w:rsidR="00480F2B" w:rsidRPr="00BC78CF">
        <w:rPr>
          <w:color w:val="FF0000"/>
        </w:rPr>
        <w:t xml:space="preserve"> </w:t>
      </w:r>
      <w:r w:rsidRPr="00BC78CF">
        <w:rPr>
          <w:color w:val="FF0000"/>
          <w:lang w:val="en-US"/>
        </w:rPr>
        <w:t>was made; and</w:t>
      </w:r>
    </w:p>
    <w:p w14:paraId="392A932F" w14:textId="77777777" w:rsidR="00CC28A8" w:rsidRPr="00BC78CF" w:rsidRDefault="00CC28A8" w:rsidP="00CC28A8">
      <w:pPr>
        <w:pStyle w:val="paragraph"/>
        <w:rPr>
          <w:color w:val="FF0000"/>
          <w:lang w:val="en-US"/>
        </w:rPr>
      </w:pPr>
      <w:r w:rsidRPr="00BC78CF">
        <w:rPr>
          <w:color w:val="FF0000"/>
          <w:lang w:val="en-US"/>
        </w:rPr>
        <w:tab/>
        <w:t>(b)</w:t>
      </w:r>
      <w:r w:rsidRPr="00BC78CF">
        <w:rPr>
          <w:color w:val="FF0000"/>
          <w:lang w:val="en-US"/>
        </w:rPr>
        <w:tab/>
        <w:t xml:space="preserve">the </w:t>
      </w:r>
      <w:r w:rsidRPr="00BC78CF">
        <w:rPr>
          <w:b/>
          <w:i/>
          <w:color w:val="FF0000"/>
          <w:lang w:val="en-US"/>
        </w:rPr>
        <w:t>relevant account holders</w:t>
      </w:r>
      <w:r w:rsidRPr="00BC78CF">
        <w:rPr>
          <w:color w:val="FF0000"/>
          <w:lang w:val="en-US"/>
        </w:rPr>
        <w:t xml:space="preserve"> are:</w:t>
      </w:r>
    </w:p>
    <w:p w14:paraId="315D409A" w14:textId="5C2FFEF2" w:rsidR="00CC28A8" w:rsidRPr="00BC78CF" w:rsidRDefault="00CC28A8" w:rsidP="00480F2B">
      <w:pPr>
        <w:pStyle w:val="paragraphsub"/>
        <w:rPr>
          <w:color w:val="FF0000"/>
          <w:lang w:val="en-US"/>
        </w:rPr>
      </w:pPr>
      <w:r w:rsidRPr="00BC78CF">
        <w:rPr>
          <w:color w:val="FF0000"/>
          <w:lang w:val="en-US"/>
        </w:rPr>
        <w:tab/>
        <w:t>(i)</w:t>
      </w:r>
      <w:r w:rsidRPr="00BC78CF">
        <w:rPr>
          <w:color w:val="FF0000"/>
          <w:lang w:val="en-US"/>
        </w:rPr>
        <w:tab/>
        <w:t>if the requester is a secondary user―all joint account holders; and</w:t>
      </w:r>
    </w:p>
    <w:p w14:paraId="61841535" w14:textId="77777777" w:rsidR="00CC28A8" w:rsidRPr="00BC78CF" w:rsidRDefault="00CC28A8" w:rsidP="00CC28A8">
      <w:pPr>
        <w:pStyle w:val="paragraphsub"/>
        <w:rPr>
          <w:color w:val="FF0000"/>
          <w:lang w:val="en-US"/>
        </w:rPr>
      </w:pPr>
      <w:r w:rsidRPr="00BC78CF">
        <w:rPr>
          <w:color w:val="FF0000"/>
          <w:lang w:val="en-US"/>
        </w:rPr>
        <w:tab/>
        <w:t>(ii)</w:t>
      </w:r>
      <w:r w:rsidRPr="00BC78CF">
        <w:rPr>
          <w:color w:val="FF0000"/>
          <w:lang w:val="en-US"/>
        </w:rPr>
        <w:tab/>
        <w:t>if the requester is a joint account holder―the other joint account holders; and</w:t>
      </w:r>
    </w:p>
    <w:p w14:paraId="232E741D" w14:textId="7246D80B" w:rsidR="00CC28A8" w:rsidRPr="00BC78CF" w:rsidRDefault="00CC28A8" w:rsidP="00CC28A8">
      <w:pPr>
        <w:pStyle w:val="paragraph"/>
        <w:rPr>
          <w:color w:val="FF0000"/>
          <w:lang w:val="en-US"/>
        </w:rPr>
      </w:pPr>
      <w:r w:rsidRPr="00BC78CF">
        <w:rPr>
          <w:color w:val="FF0000"/>
          <w:lang w:val="en-US"/>
        </w:rPr>
        <w:tab/>
        <w:t>(c)</w:t>
      </w:r>
      <w:r w:rsidRPr="00BC78CF">
        <w:rPr>
          <w:color w:val="FF0000"/>
          <w:lang w:val="en-US"/>
        </w:rPr>
        <w:tab/>
      </w:r>
      <w:r w:rsidR="00E85D43" w:rsidRPr="00BC78CF">
        <w:rPr>
          <w:color w:val="FF0000"/>
          <w:lang w:val="en-US"/>
        </w:rPr>
        <w:t xml:space="preserve">the </w:t>
      </w:r>
      <w:r w:rsidRPr="00BC78CF">
        <w:rPr>
          <w:b/>
          <w:i/>
          <w:color w:val="FF0000"/>
          <w:lang w:val="en-US"/>
        </w:rPr>
        <w:t xml:space="preserve">joint account data </w:t>
      </w:r>
      <w:r w:rsidRPr="00BC78CF">
        <w:rPr>
          <w:color w:val="FF0000"/>
          <w:lang w:val="en-US"/>
        </w:rPr>
        <w:t xml:space="preserve">is the CDR data </w:t>
      </w:r>
      <w:r w:rsidR="008B3536" w:rsidRPr="00BC78CF">
        <w:rPr>
          <w:color w:val="FF0000"/>
          <w:lang w:val="en-US"/>
        </w:rPr>
        <w:t>that was the subject of the request</w:t>
      </w:r>
      <w:r w:rsidRPr="00BC78CF">
        <w:rPr>
          <w:color w:val="FF0000"/>
          <w:lang w:val="en-US"/>
        </w:rPr>
        <w:t xml:space="preserve"> referred to in subrule </w:t>
      </w:r>
      <w:r w:rsidR="00832060" w:rsidRPr="00BC78CF">
        <w:rPr>
          <w:color w:val="FF0000"/>
          <w:lang w:val="en-US"/>
        </w:rPr>
        <w:t xml:space="preserve"> 4A.</w:t>
      </w:r>
      <w:r w:rsidRPr="00BC78CF">
        <w:rPr>
          <w:color w:val="FF0000"/>
          <w:lang w:val="en-US"/>
        </w:rPr>
        <w:t>8(1).</w:t>
      </w:r>
    </w:p>
    <w:p w14:paraId="4829388D" w14:textId="0FEE5EBB" w:rsidR="00CC28A8" w:rsidRPr="00BC78CF" w:rsidRDefault="00832060" w:rsidP="008B3536">
      <w:pPr>
        <w:pStyle w:val="ActHead4"/>
        <w:rPr>
          <w:color w:val="FF0000"/>
        </w:rPr>
      </w:pPr>
      <w:bookmarkStart w:id="343" w:name="_Toc74916184"/>
      <w:r w:rsidRPr="00BC78CF">
        <w:rPr>
          <w:color w:val="FF0000"/>
          <w:lang w:val="en-US"/>
        </w:rPr>
        <w:t>Subdivision  4A.3.2</w:t>
      </w:r>
      <w:r w:rsidR="008B3536" w:rsidRPr="00BC78CF">
        <w:rPr>
          <w:color w:val="FF0000"/>
        </w:rPr>
        <w:t>—</w:t>
      </w:r>
      <w:r w:rsidR="00CC28A8" w:rsidRPr="00BC78CF">
        <w:rPr>
          <w:color w:val="FF0000"/>
          <w:lang w:val="en-US"/>
        </w:rPr>
        <w:t xml:space="preserve">How </w:t>
      </w:r>
      <w:r w:rsidR="00CC28A8" w:rsidRPr="00BC78CF">
        <w:rPr>
          <w:color w:val="FF0000"/>
        </w:rPr>
        <w:t>consumer data requests to data holders under Part 4 that relate to joint accounts are handled</w:t>
      </w:r>
      <w:bookmarkEnd w:id="343"/>
    </w:p>
    <w:p w14:paraId="48A514A3" w14:textId="232259DF" w:rsidR="00B90EE2" w:rsidRPr="00BC78CF" w:rsidRDefault="00832060" w:rsidP="00B90EE2">
      <w:pPr>
        <w:pStyle w:val="ActHead5"/>
        <w:rPr>
          <w:strike/>
          <w:color w:val="FF0000"/>
        </w:rPr>
      </w:pPr>
      <w:r w:rsidRPr="00BC78CF">
        <w:rPr>
          <w:color w:val="FF0000"/>
          <w:lang w:val="en-US"/>
        </w:rPr>
        <w:t xml:space="preserve"> </w:t>
      </w:r>
      <w:bookmarkStart w:id="344" w:name="_Toc74916185"/>
      <w:r w:rsidRPr="00BC78CF">
        <w:rPr>
          <w:color w:val="FF0000"/>
          <w:lang w:val="en-US"/>
        </w:rPr>
        <w:t xml:space="preserve">4A.11 </w:t>
      </w:r>
      <w:r w:rsidR="00B90EE2" w:rsidRPr="00BC78CF">
        <w:rPr>
          <w:color w:val="FF0000"/>
        </w:rPr>
        <w:t>How data holder is to deal with a consumer data request</w:t>
      </w:r>
      <w:bookmarkEnd w:id="344"/>
    </w:p>
    <w:p w14:paraId="08AFF288" w14:textId="2EECB275" w:rsidR="00D937A7" w:rsidRPr="00BC78CF" w:rsidRDefault="00B90EE2" w:rsidP="00B90EE2">
      <w:pPr>
        <w:pStyle w:val="subsection"/>
        <w:rPr>
          <w:color w:val="FF0000"/>
        </w:rPr>
      </w:pPr>
      <w:r w:rsidRPr="00BC78CF">
        <w:rPr>
          <w:color w:val="FF0000"/>
        </w:rPr>
        <w:tab/>
      </w:r>
      <w:r w:rsidR="006650B7" w:rsidRPr="00BC78CF">
        <w:rPr>
          <w:color w:val="FF0000"/>
        </w:rPr>
        <w:tab/>
        <w:t>When</w:t>
      </w:r>
      <w:r w:rsidR="00D937A7" w:rsidRPr="00BC78CF">
        <w:rPr>
          <w:color w:val="FF0000"/>
        </w:rPr>
        <w:t xml:space="preserve"> the data holder receives the consumer data request referred to in rule </w:t>
      </w:r>
      <w:r w:rsidR="000B1D10" w:rsidRPr="00BC78CF">
        <w:rPr>
          <w:color w:val="FF0000"/>
        </w:rPr>
        <w:t>4</w:t>
      </w:r>
      <w:r w:rsidR="00832060" w:rsidRPr="00BC78CF">
        <w:rPr>
          <w:color w:val="FF0000"/>
        </w:rPr>
        <w:t>A</w:t>
      </w:r>
      <w:r w:rsidR="000B1D10" w:rsidRPr="00BC78CF">
        <w:rPr>
          <w:color w:val="FF0000"/>
        </w:rPr>
        <w:t>.9</w:t>
      </w:r>
      <w:r w:rsidR="00D937A7" w:rsidRPr="00BC78CF">
        <w:rPr>
          <w:color w:val="FF0000"/>
        </w:rPr>
        <w:t>:</w:t>
      </w:r>
    </w:p>
    <w:p w14:paraId="2F836460" w14:textId="4B772E8A" w:rsidR="00D937A7" w:rsidRPr="00BC78CF" w:rsidRDefault="00D937A7" w:rsidP="00D937A7">
      <w:pPr>
        <w:pStyle w:val="paragraph"/>
        <w:rPr>
          <w:color w:val="FF0000"/>
        </w:rPr>
      </w:pPr>
      <w:r w:rsidRPr="00BC78CF">
        <w:rPr>
          <w:color w:val="FF0000"/>
        </w:rPr>
        <w:tab/>
      </w:r>
      <w:r w:rsidR="00832060" w:rsidRPr="00BC78CF">
        <w:rPr>
          <w:color w:val="FF0000"/>
        </w:rPr>
        <w:t>(a)</w:t>
      </w:r>
      <w:r w:rsidRPr="00BC78CF">
        <w:rPr>
          <w:color w:val="FF0000"/>
        </w:rPr>
        <w:tab/>
        <w:t xml:space="preserve">if the pre-approval disclosure option applies to the joint account—the data holder must respond to the request </w:t>
      </w:r>
      <w:r w:rsidR="006650B7" w:rsidRPr="00BC78CF">
        <w:rPr>
          <w:color w:val="FF0000"/>
        </w:rPr>
        <w:t>as if it were not a joint account and</w:t>
      </w:r>
      <w:r w:rsidR="006D4A46" w:rsidRPr="00BC78CF">
        <w:rPr>
          <w:color w:val="FF0000"/>
        </w:rPr>
        <w:t xml:space="preserve"> the requester were the only account holder</w:t>
      </w:r>
      <w:r w:rsidRPr="00BC78CF">
        <w:rPr>
          <w:color w:val="FF0000"/>
        </w:rPr>
        <w:t>; and</w:t>
      </w:r>
    </w:p>
    <w:p w14:paraId="1674ED58" w14:textId="391BFBFD" w:rsidR="00B667B5" w:rsidRPr="00BC78CF" w:rsidRDefault="00D937A7" w:rsidP="00D937A7">
      <w:pPr>
        <w:pStyle w:val="paragraph"/>
        <w:rPr>
          <w:color w:val="FF0000"/>
        </w:rPr>
      </w:pPr>
      <w:r w:rsidRPr="00BC78CF">
        <w:rPr>
          <w:color w:val="FF0000"/>
        </w:rPr>
        <w:tab/>
      </w:r>
      <w:r w:rsidR="00832060" w:rsidRPr="00BC78CF">
        <w:rPr>
          <w:color w:val="FF0000"/>
        </w:rPr>
        <w:t>(b)</w:t>
      </w:r>
      <w:r w:rsidRPr="00BC78CF">
        <w:rPr>
          <w:color w:val="FF0000"/>
        </w:rPr>
        <w:tab/>
        <w:t>if the co-</w:t>
      </w:r>
      <w:r w:rsidR="009234FB" w:rsidRPr="00BC78CF">
        <w:rPr>
          <w:color w:val="FF0000"/>
        </w:rPr>
        <w:t>approval</w:t>
      </w:r>
      <w:r w:rsidRPr="00BC78CF">
        <w:rPr>
          <w:color w:val="FF0000"/>
        </w:rPr>
        <w:t xml:space="preserve"> option applies to the joint account—</w:t>
      </w:r>
      <w:r w:rsidR="00B667B5" w:rsidRPr="00BC78CF">
        <w:rPr>
          <w:color w:val="FF0000"/>
        </w:rPr>
        <w:t>the data holder must:</w:t>
      </w:r>
    </w:p>
    <w:p w14:paraId="75C4E5F0" w14:textId="6BBDADCA" w:rsidR="00B667B5" w:rsidRPr="00BC78CF" w:rsidRDefault="00B667B5" w:rsidP="00B667B5">
      <w:pPr>
        <w:pStyle w:val="paragraphsub"/>
        <w:rPr>
          <w:color w:val="FF0000"/>
        </w:rPr>
      </w:pPr>
      <w:r w:rsidRPr="00BC78CF">
        <w:rPr>
          <w:color w:val="FF0000"/>
        </w:rPr>
        <w:tab/>
        <w:t>(i)</w:t>
      </w:r>
      <w:r w:rsidRPr="00BC78CF">
        <w:rPr>
          <w:color w:val="FF0000"/>
        </w:rPr>
        <w:tab/>
        <w:t>ask the requester for authorisation in accordance with rule 4.5 and Division 4.4; and</w:t>
      </w:r>
    </w:p>
    <w:p w14:paraId="1C46A977" w14:textId="1FE4D181" w:rsidR="00480F2B" w:rsidRPr="00BC78CF" w:rsidRDefault="00B667B5" w:rsidP="00B667B5">
      <w:pPr>
        <w:pStyle w:val="paragraphsub"/>
        <w:rPr>
          <w:color w:val="FF0000"/>
        </w:rPr>
      </w:pPr>
      <w:r w:rsidRPr="00BC78CF">
        <w:rPr>
          <w:color w:val="FF0000"/>
        </w:rPr>
        <w:tab/>
        <w:t>(ii)</w:t>
      </w:r>
      <w:r w:rsidRPr="00BC78CF">
        <w:rPr>
          <w:color w:val="FF0000"/>
        </w:rPr>
        <w:tab/>
        <w:t xml:space="preserve">if the authorisation is given, invite the approval of the relevant account holders in accordance with </w:t>
      </w:r>
      <w:r w:rsidR="00D937A7" w:rsidRPr="00BC78CF">
        <w:rPr>
          <w:color w:val="FF0000"/>
        </w:rPr>
        <w:t xml:space="preserve">rule </w:t>
      </w:r>
      <w:r w:rsidR="000B1D10" w:rsidRPr="00BC78CF">
        <w:rPr>
          <w:color w:val="FF0000"/>
        </w:rPr>
        <w:t>4</w:t>
      </w:r>
      <w:r w:rsidR="00832060" w:rsidRPr="00BC78CF">
        <w:rPr>
          <w:color w:val="FF0000"/>
        </w:rPr>
        <w:t>A</w:t>
      </w:r>
      <w:r w:rsidR="000B1D10" w:rsidRPr="00BC78CF">
        <w:rPr>
          <w:color w:val="FF0000"/>
        </w:rPr>
        <w:t>.12</w:t>
      </w:r>
      <w:r w:rsidR="00480F2B" w:rsidRPr="00BC78CF">
        <w:rPr>
          <w:color w:val="FF0000"/>
        </w:rPr>
        <w:t>; and</w:t>
      </w:r>
    </w:p>
    <w:p w14:paraId="08F2CA41" w14:textId="48D1780A" w:rsidR="00B667B5" w:rsidRPr="00BC78CF" w:rsidRDefault="00B667B5" w:rsidP="00B667B5">
      <w:pPr>
        <w:pStyle w:val="paragraphsub"/>
        <w:rPr>
          <w:color w:val="FF0000"/>
        </w:rPr>
      </w:pPr>
      <w:r w:rsidRPr="00BC78CF">
        <w:rPr>
          <w:color w:val="FF0000"/>
        </w:rPr>
        <w:tab/>
        <w:t>(iii)</w:t>
      </w:r>
      <w:r w:rsidRPr="00BC78CF">
        <w:rPr>
          <w:color w:val="FF0000"/>
        </w:rPr>
        <w:tab/>
        <w:t>if all the relevant account holders give their approval, comply with rules 4.6 and 4.7; and</w:t>
      </w:r>
    </w:p>
    <w:p w14:paraId="5246A4EE" w14:textId="08123A28" w:rsidR="00D937A7" w:rsidRPr="00BC78CF" w:rsidRDefault="00480F2B" w:rsidP="00480F2B">
      <w:pPr>
        <w:pStyle w:val="paragraph"/>
        <w:rPr>
          <w:color w:val="FF0000"/>
        </w:rPr>
      </w:pPr>
      <w:r w:rsidRPr="00BC78CF">
        <w:rPr>
          <w:color w:val="FF0000"/>
        </w:rPr>
        <w:tab/>
      </w:r>
      <w:r w:rsidR="00832060" w:rsidRPr="00BC78CF">
        <w:rPr>
          <w:color w:val="FF0000"/>
        </w:rPr>
        <w:t>(c)</w:t>
      </w:r>
      <w:r w:rsidRPr="00BC78CF">
        <w:rPr>
          <w:color w:val="FF0000"/>
        </w:rPr>
        <w:tab/>
        <w:t>if the non-disclosure option applies—</w:t>
      </w:r>
      <w:r w:rsidR="00D937A7" w:rsidRPr="00BC78CF">
        <w:rPr>
          <w:color w:val="FF0000"/>
        </w:rPr>
        <w:t>the data holder must refuse to disclose the requested CDR data</w:t>
      </w:r>
      <w:r w:rsidRPr="00BC78CF">
        <w:rPr>
          <w:color w:val="FF0000"/>
        </w:rPr>
        <w:t>.</w:t>
      </w:r>
    </w:p>
    <w:p w14:paraId="34E6F130" w14:textId="22F82D34" w:rsidR="00CC28A8" w:rsidRPr="00BC78CF" w:rsidRDefault="00832060" w:rsidP="00CC28A8">
      <w:pPr>
        <w:pStyle w:val="ActHead5"/>
        <w:rPr>
          <w:color w:val="FF0000"/>
        </w:rPr>
      </w:pPr>
      <w:r w:rsidRPr="00BC78CF">
        <w:rPr>
          <w:color w:val="FF0000"/>
          <w:lang w:val="en-US"/>
        </w:rPr>
        <w:t xml:space="preserve"> </w:t>
      </w:r>
      <w:bookmarkStart w:id="345" w:name="_Toc74916186"/>
      <w:r w:rsidRPr="00BC78CF">
        <w:rPr>
          <w:color w:val="FF0000"/>
          <w:lang w:val="en-US"/>
        </w:rPr>
        <w:t xml:space="preserve">4A.12 </w:t>
      </w:r>
      <w:r w:rsidR="00CC28A8" w:rsidRPr="00BC78CF">
        <w:rPr>
          <w:color w:val="FF0000"/>
        </w:rPr>
        <w:t>Asking relevant account holders for approval to disclose joint account data</w:t>
      </w:r>
      <w:bookmarkEnd w:id="345"/>
    </w:p>
    <w:p w14:paraId="1ABF8C84" w14:textId="26AD7F47" w:rsidR="00CC28A8" w:rsidRPr="00BC78CF" w:rsidRDefault="00CC28A8" w:rsidP="00CC28A8">
      <w:pPr>
        <w:pStyle w:val="subsection"/>
        <w:rPr>
          <w:color w:val="FF0000"/>
        </w:rPr>
      </w:pPr>
      <w:r w:rsidRPr="00BC78CF">
        <w:rPr>
          <w:color w:val="FF0000"/>
        </w:rPr>
        <w:tab/>
        <w:t>(1)</w:t>
      </w:r>
      <w:r w:rsidRPr="00BC78CF">
        <w:rPr>
          <w:color w:val="FF0000"/>
        </w:rPr>
        <w:tab/>
        <w:t xml:space="preserve">This </w:t>
      </w:r>
      <w:r w:rsidR="006650B7" w:rsidRPr="00BC78CF">
        <w:rPr>
          <w:color w:val="FF0000"/>
        </w:rPr>
        <w:t>rule</w:t>
      </w:r>
      <w:r w:rsidRPr="00BC78CF">
        <w:rPr>
          <w:color w:val="FF0000"/>
        </w:rPr>
        <w:t xml:space="preserve"> applies if:</w:t>
      </w:r>
    </w:p>
    <w:p w14:paraId="417E61C5" w14:textId="15C6B5B8" w:rsidR="00CC28A8" w:rsidRPr="00BC78CF" w:rsidRDefault="00CC28A8" w:rsidP="00CC28A8">
      <w:pPr>
        <w:pStyle w:val="paragraph"/>
        <w:rPr>
          <w:color w:val="FF0000"/>
        </w:rPr>
      </w:pPr>
      <w:r w:rsidRPr="00BC78CF">
        <w:rPr>
          <w:color w:val="FF0000"/>
        </w:rPr>
        <w:tab/>
        <w:t>(a)</w:t>
      </w:r>
      <w:r w:rsidRPr="00BC78CF">
        <w:rPr>
          <w:color w:val="FF0000"/>
        </w:rPr>
        <w:tab/>
        <w:t>the requester has</w:t>
      </w:r>
      <w:r w:rsidR="00660EA9" w:rsidRPr="00BC78CF">
        <w:rPr>
          <w:color w:val="FF0000"/>
        </w:rPr>
        <w:t xml:space="preserve"> authorised, under Division 4.4</w:t>
      </w:r>
      <w:r w:rsidRPr="00BC78CF">
        <w:rPr>
          <w:color w:val="FF0000"/>
        </w:rPr>
        <w:t>, the disclosure of the joint account data; and</w:t>
      </w:r>
    </w:p>
    <w:p w14:paraId="287996CA" w14:textId="77777777" w:rsidR="00CC28A8" w:rsidRPr="00BC78CF" w:rsidRDefault="00CC28A8" w:rsidP="00CC28A8">
      <w:pPr>
        <w:pStyle w:val="paragraph"/>
        <w:rPr>
          <w:color w:val="FF0000"/>
        </w:rPr>
      </w:pPr>
      <w:r w:rsidRPr="00BC78CF">
        <w:rPr>
          <w:color w:val="FF0000"/>
        </w:rPr>
        <w:tab/>
        <w:t>(b)</w:t>
      </w:r>
      <w:r w:rsidRPr="00BC78CF">
        <w:rPr>
          <w:color w:val="FF0000"/>
        </w:rPr>
        <w:tab/>
        <w:t>a co</w:t>
      </w:r>
      <w:r w:rsidRPr="00BC78CF">
        <w:rPr>
          <w:color w:val="FF0000"/>
        </w:rPr>
        <w:noBreakHyphen/>
        <w:t>approval option applies to the joint account.</w:t>
      </w:r>
    </w:p>
    <w:p w14:paraId="6B37099C" w14:textId="426E081B" w:rsidR="00660EA9" w:rsidRPr="00BC78CF" w:rsidRDefault="00E019B5" w:rsidP="00E019B5">
      <w:pPr>
        <w:pStyle w:val="notetext"/>
        <w:rPr>
          <w:color w:val="FF0000"/>
        </w:rPr>
      </w:pPr>
      <w:r w:rsidRPr="00BC78CF">
        <w:rPr>
          <w:color w:val="FF0000"/>
        </w:rPr>
        <w:t>Note:</w:t>
      </w:r>
      <w:r w:rsidRPr="00BC78CF">
        <w:rPr>
          <w:color w:val="FF0000"/>
        </w:rPr>
        <w:tab/>
      </w:r>
      <w:r w:rsidR="00660EA9" w:rsidRPr="00BC78CF">
        <w:rPr>
          <w:color w:val="FF0000"/>
        </w:rPr>
        <w:t xml:space="preserve">The data holder must provide each relevant account holder with consumer dashboard in accordance with </w:t>
      </w:r>
      <w:r w:rsidRPr="00BC78CF">
        <w:rPr>
          <w:color w:val="FF0000"/>
        </w:rPr>
        <w:t xml:space="preserve">rule </w:t>
      </w:r>
      <w:r w:rsidR="000B1D10" w:rsidRPr="00BC78CF">
        <w:rPr>
          <w:color w:val="FF0000"/>
        </w:rPr>
        <w:t>4</w:t>
      </w:r>
      <w:r w:rsidR="00832060" w:rsidRPr="00BC78CF">
        <w:rPr>
          <w:color w:val="FF0000"/>
        </w:rPr>
        <w:t>A</w:t>
      </w:r>
      <w:r w:rsidR="000B1D10" w:rsidRPr="00BC78CF">
        <w:rPr>
          <w:color w:val="FF0000"/>
        </w:rPr>
        <w:t>.15</w:t>
      </w:r>
      <w:r w:rsidR="00405212" w:rsidRPr="00BC78CF">
        <w:rPr>
          <w:color w:val="FF0000"/>
        </w:rPr>
        <w:t>.</w:t>
      </w:r>
    </w:p>
    <w:p w14:paraId="5B9A7D27" w14:textId="6962823C" w:rsidR="00CC28A8" w:rsidRPr="00BC78CF" w:rsidRDefault="00CC28A8" w:rsidP="00CC28A8">
      <w:pPr>
        <w:pStyle w:val="subsection"/>
        <w:rPr>
          <w:color w:val="FF0000"/>
        </w:rPr>
      </w:pPr>
      <w:r w:rsidRPr="00BC78CF">
        <w:rPr>
          <w:color w:val="FF0000"/>
        </w:rPr>
        <w:tab/>
      </w:r>
      <w:r w:rsidR="00E019B5" w:rsidRPr="00BC78CF">
        <w:rPr>
          <w:color w:val="FF0000"/>
        </w:rPr>
        <w:t>(2</w:t>
      </w:r>
      <w:r w:rsidRPr="00BC78CF">
        <w:rPr>
          <w:color w:val="FF0000"/>
        </w:rPr>
        <w:t>)</w:t>
      </w:r>
      <w:r w:rsidRPr="00BC78CF">
        <w:rPr>
          <w:color w:val="FF0000"/>
        </w:rPr>
        <w:tab/>
        <w:t xml:space="preserve">The data holder must, through its ordinary methods for contacting </w:t>
      </w:r>
      <w:r w:rsidR="003145EA" w:rsidRPr="00BC78CF">
        <w:rPr>
          <w:color w:val="FF0000"/>
        </w:rPr>
        <w:t>each relevant account holder</w:t>
      </w:r>
      <w:r w:rsidRPr="00BC78CF">
        <w:rPr>
          <w:color w:val="FF0000"/>
        </w:rPr>
        <w:t>:</w:t>
      </w:r>
    </w:p>
    <w:p w14:paraId="50C01CBB" w14:textId="1D292B76" w:rsidR="00CC28A8" w:rsidRPr="00BC78CF" w:rsidRDefault="00CC28A8" w:rsidP="00CC28A8">
      <w:pPr>
        <w:pStyle w:val="paragraph"/>
        <w:rPr>
          <w:color w:val="FF0000"/>
        </w:rPr>
      </w:pPr>
      <w:r w:rsidRPr="00BC78CF">
        <w:rPr>
          <w:color w:val="FF0000"/>
        </w:rPr>
        <w:tab/>
        <w:t>(a)</w:t>
      </w:r>
      <w:r w:rsidRPr="00BC78CF">
        <w:rPr>
          <w:color w:val="FF0000"/>
        </w:rPr>
        <w:tab/>
        <w:t xml:space="preserve">indicate that an accredited person has requested disclosure of CDR data that relates to the joint account </w:t>
      </w:r>
      <w:r w:rsidR="003145EA" w:rsidRPr="00BC78CF">
        <w:rPr>
          <w:color w:val="FF0000"/>
        </w:rPr>
        <w:t xml:space="preserve">(the </w:t>
      </w:r>
      <w:r w:rsidR="003145EA" w:rsidRPr="00BC78CF">
        <w:rPr>
          <w:b/>
          <w:i/>
          <w:color w:val="FF0000"/>
        </w:rPr>
        <w:t>requested data</w:t>
      </w:r>
      <w:r w:rsidR="003145EA" w:rsidRPr="00BC78CF">
        <w:rPr>
          <w:color w:val="FF0000"/>
        </w:rPr>
        <w:t>)</w:t>
      </w:r>
      <w:r w:rsidR="003145EA" w:rsidRPr="00BC78CF">
        <w:rPr>
          <w:b/>
          <w:i/>
          <w:color w:val="FF0000"/>
        </w:rPr>
        <w:t xml:space="preserve"> </w:t>
      </w:r>
      <w:r w:rsidRPr="00BC78CF">
        <w:rPr>
          <w:color w:val="FF0000"/>
        </w:rPr>
        <w:t>on behalf of the requester; and</w:t>
      </w:r>
    </w:p>
    <w:p w14:paraId="751B0A6C" w14:textId="53A3A43D" w:rsidR="00CC28A8" w:rsidRPr="00BC78CF" w:rsidRDefault="00CC28A8" w:rsidP="00CC28A8">
      <w:pPr>
        <w:pStyle w:val="paragraph"/>
        <w:rPr>
          <w:color w:val="FF0000"/>
        </w:rPr>
      </w:pPr>
      <w:r w:rsidRPr="00BC78CF">
        <w:rPr>
          <w:color w:val="FF0000"/>
        </w:rPr>
        <w:tab/>
        <w:t>(b)</w:t>
      </w:r>
      <w:r w:rsidRPr="00BC78CF">
        <w:rPr>
          <w:color w:val="FF0000"/>
        </w:rPr>
        <w:tab/>
        <w:t>outline the matters referred to in sub</w:t>
      </w:r>
      <w:r w:rsidR="008F7859" w:rsidRPr="00BC78CF">
        <w:rPr>
          <w:color w:val="FF0000"/>
        </w:rPr>
        <w:t>rule</w:t>
      </w:r>
      <w:r w:rsidRPr="00BC78CF">
        <w:rPr>
          <w:color w:val="FF0000"/>
        </w:rPr>
        <w:t> (1); and</w:t>
      </w:r>
    </w:p>
    <w:p w14:paraId="296BBEEE" w14:textId="144334BC" w:rsidR="00CC28A8" w:rsidRPr="00BC78CF" w:rsidRDefault="00CC28A8" w:rsidP="00CC28A8">
      <w:pPr>
        <w:pStyle w:val="paragraph"/>
        <w:rPr>
          <w:color w:val="FF0000"/>
        </w:rPr>
      </w:pPr>
      <w:r w:rsidRPr="00BC78CF">
        <w:rPr>
          <w:color w:val="FF0000"/>
        </w:rPr>
        <w:tab/>
        <w:t>(c)</w:t>
      </w:r>
      <w:r w:rsidRPr="00BC78CF">
        <w:rPr>
          <w:color w:val="FF0000"/>
        </w:rPr>
        <w:tab/>
        <w:t>indicate the matters referred to in paragraphs 4.23(a), (b), (c), (d) and (e)  so far as they relate to the request; and</w:t>
      </w:r>
    </w:p>
    <w:p w14:paraId="2588874E" w14:textId="73F2EB65" w:rsidR="00CC28A8" w:rsidRPr="00BC78CF" w:rsidRDefault="00CC28A8" w:rsidP="00CC28A8">
      <w:pPr>
        <w:pStyle w:val="paragraph"/>
        <w:rPr>
          <w:color w:val="FF0000"/>
        </w:rPr>
      </w:pPr>
      <w:r w:rsidRPr="00BC78CF">
        <w:rPr>
          <w:color w:val="FF0000"/>
        </w:rPr>
        <w:tab/>
        <w:t>(d)</w:t>
      </w:r>
      <w:r w:rsidRPr="00BC78CF">
        <w:rPr>
          <w:color w:val="FF0000"/>
        </w:rPr>
        <w:tab/>
      </w:r>
      <w:r w:rsidR="003145EA" w:rsidRPr="00BC78CF">
        <w:rPr>
          <w:color w:val="FF0000"/>
        </w:rPr>
        <w:t xml:space="preserve">ask the relevant account holder to approve or </w:t>
      </w:r>
      <w:r w:rsidR="005D0CE1" w:rsidRPr="00BC78CF">
        <w:rPr>
          <w:color w:val="FF0000"/>
        </w:rPr>
        <w:t xml:space="preserve">not </w:t>
      </w:r>
      <w:r w:rsidR="003145EA" w:rsidRPr="00BC78CF">
        <w:rPr>
          <w:color w:val="FF0000"/>
        </w:rPr>
        <w:t xml:space="preserve">approve </w:t>
      </w:r>
      <w:r w:rsidR="00E85D43" w:rsidRPr="00BC78CF">
        <w:rPr>
          <w:color w:val="FF0000"/>
        </w:rPr>
        <w:t xml:space="preserve">disclosure of the joint account </w:t>
      </w:r>
      <w:r w:rsidR="003145EA" w:rsidRPr="00BC78CF">
        <w:rPr>
          <w:color w:val="FF0000"/>
        </w:rPr>
        <w:t>data, using their consumer dashboard</w:t>
      </w:r>
      <w:r w:rsidRPr="00BC78CF">
        <w:rPr>
          <w:color w:val="FF0000"/>
        </w:rPr>
        <w:t>; and</w:t>
      </w:r>
    </w:p>
    <w:p w14:paraId="38194CBC" w14:textId="25701DF2" w:rsidR="003145EA" w:rsidRPr="00BC78CF" w:rsidRDefault="00CC28A8" w:rsidP="00CC28A8">
      <w:pPr>
        <w:pStyle w:val="paragraph"/>
        <w:rPr>
          <w:color w:val="FF0000"/>
        </w:rPr>
      </w:pPr>
      <w:r w:rsidRPr="00BC78CF">
        <w:rPr>
          <w:color w:val="FF0000"/>
        </w:rPr>
        <w:tab/>
        <w:t>(e)</w:t>
      </w:r>
      <w:r w:rsidRPr="00BC78CF">
        <w:rPr>
          <w:color w:val="FF0000"/>
        </w:rPr>
        <w:tab/>
      </w:r>
      <w:r w:rsidR="00660EA9" w:rsidRPr="00BC78CF">
        <w:rPr>
          <w:color w:val="FF0000"/>
        </w:rPr>
        <w:t xml:space="preserve">specify </w:t>
      </w:r>
      <w:r w:rsidRPr="00BC78CF">
        <w:rPr>
          <w:color w:val="FF0000"/>
        </w:rPr>
        <w:t>the time by which the data holder ne</w:t>
      </w:r>
      <w:r w:rsidR="003145EA" w:rsidRPr="00BC78CF">
        <w:rPr>
          <w:color w:val="FF0000"/>
        </w:rPr>
        <w:t xml:space="preserve">eds to receive any approval, and inform them that if an approval is not received by that time, the </w:t>
      </w:r>
      <w:r w:rsidR="00E85D43" w:rsidRPr="00BC78CF">
        <w:rPr>
          <w:color w:val="FF0000"/>
        </w:rPr>
        <w:t xml:space="preserve">joint account </w:t>
      </w:r>
      <w:r w:rsidR="003145EA" w:rsidRPr="00BC78CF">
        <w:rPr>
          <w:color w:val="FF0000"/>
        </w:rPr>
        <w:t>data will not be disclosed; and</w:t>
      </w:r>
    </w:p>
    <w:p w14:paraId="536E8EFF" w14:textId="578A817D" w:rsidR="00CC28A8" w:rsidRPr="00BC78CF" w:rsidRDefault="00CC28A8" w:rsidP="00CC28A8">
      <w:pPr>
        <w:pStyle w:val="paragraph"/>
        <w:rPr>
          <w:color w:val="FF0000"/>
        </w:rPr>
      </w:pPr>
      <w:r w:rsidRPr="00BC78CF">
        <w:rPr>
          <w:color w:val="FF0000"/>
        </w:rPr>
        <w:tab/>
        <w:t>(f)</w:t>
      </w:r>
      <w:r w:rsidRPr="00BC78CF">
        <w:rPr>
          <w:color w:val="FF0000"/>
        </w:rPr>
        <w:tab/>
        <w:t xml:space="preserve">inform them that any one of them may, at any time, </w:t>
      </w:r>
      <w:r w:rsidR="005D0CE1" w:rsidRPr="00BC78CF">
        <w:rPr>
          <w:color w:val="FF0000"/>
        </w:rPr>
        <w:t>withdraw</w:t>
      </w:r>
      <w:r w:rsidRPr="00BC78CF">
        <w:rPr>
          <w:color w:val="FF0000"/>
        </w:rPr>
        <w:t xml:space="preserve"> the approval</w:t>
      </w:r>
      <w:r w:rsidR="003145EA" w:rsidRPr="00BC78CF">
        <w:rPr>
          <w:color w:val="FF0000"/>
        </w:rPr>
        <w:t xml:space="preserve"> using their consumer dashboard</w:t>
      </w:r>
      <w:r w:rsidRPr="00BC78CF">
        <w:rPr>
          <w:color w:val="FF0000"/>
        </w:rPr>
        <w:t>; and</w:t>
      </w:r>
    </w:p>
    <w:p w14:paraId="5370A2CE" w14:textId="0ECE13A1" w:rsidR="00CC28A8" w:rsidRPr="00BC78CF" w:rsidRDefault="003145EA" w:rsidP="00CC28A8">
      <w:pPr>
        <w:pStyle w:val="paragraph"/>
        <w:rPr>
          <w:color w:val="FF0000"/>
        </w:rPr>
      </w:pPr>
      <w:r w:rsidRPr="00BC78CF">
        <w:rPr>
          <w:color w:val="FF0000"/>
        </w:rPr>
        <w:tab/>
        <w:t>(g</w:t>
      </w:r>
      <w:r w:rsidR="00CC28A8" w:rsidRPr="00BC78CF">
        <w:rPr>
          <w:color w:val="FF0000"/>
        </w:rPr>
        <w:t>)</w:t>
      </w:r>
      <w:r w:rsidR="00CC28A8" w:rsidRPr="00BC78CF">
        <w:rPr>
          <w:color w:val="FF0000"/>
        </w:rPr>
        <w:tab/>
        <w:t>indicate what the effect of removing the approval would be.</w:t>
      </w:r>
    </w:p>
    <w:p w14:paraId="306D2E8C" w14:textId="4FD51C7E" w:rsidR="00660EA9" w:rsidRPr="00BC78CF" w:rsidRDefault="00CC28A8" w:rsidP="00CC28A8">
      <w:pPr>
        <w:pStyle w:val="notetext"/>
        <w:rPr>
          <w:color w:val="FF0000"/>
        </w:rPr>
      </w:pPr>
      <w:r w:rsidRPr="00BC78CF">
        <w:rPr>
          <w:color w:val="FF0000"/>
        </w:rPr>
        <w:t>Note:</w:t>
      </w:r>
      <w:r w:rsidRPr="00BC78CF">
        <w:rPr>
          <w:color w:val="FF0000"/>
        </w:rPr>
        <w:tab/>
        <w:t xml:space="preserve">For removal of an approval, see </w:t>
      </w:r>
      <w:r w:rsidR="008F7859" w:rsidRPr="00BC78CF">
        <w:rPr>
          <w:color w:val="FF0000"/>
        </w:rPr>
        <w:t>rule</w:t>
      </w:r>
      <w:r w:rsidR="00552FA2" w:rsidRPr="00BC78CF">
        <w:rPr>
          <w:color w:val="FF0000"/>
        </w:rPr>
        <w:t> </w:t>
      </w:r>
      <w:r w:rsidR="000B1D10" w:rsidRPr="00BC78CF">
        <w:rPr>
          <w:color w:val="FF0000"/>
        </w:rPr>
        <w:t>4</w:t>
      </w:r>
      <w:r w:rsidR="00832060" w:rsidRPr="00BC78CF">
        <w:rPr>
          <w:color w:val="FF0000"/>
        </w:rPr>
        <w:t>A</w:t>
      </w:r>
      <w:r w:rsidR="000B1D10" w:rsidRPr="00BC78CF">
        <w:rPr>
          <w:color w:val="FF0000"/>
        </w:rPr>
        <w:t>.13</w:t>
      </w:r>
      <w:r w:rsidRPr="00BC78CF">
        <w:rPr>
          <w:color w:val="FF0000"/>
        </w:rPr>
        <w:t>.</w:t>
      </w:r>
    </w:p>
    <w:p w14:paraId="7FBB1004" w14:textId="132D068E" w:rsidR="00CC28A8" w:rsidRPr="00BC78CF" w:rsidRDefault="00832060" w:rsidP="00CC28A8">
      <w:pPr>
        <w:pStyle w:val="ActHead5"/>
        <w:rPr>
          <w:color w:val="FF0000"/>
        </w:rPr>
      </w:pPr>
      <w:r w:rsidRPr="00BC78CF">
        <w:rPr>
          <w:color w:val="FF0000"/>
          <w:lang w:val="en-US"/>
        </w:rPr>
        <w:t xml:space="preserve"> </w:t>
      </w:r>
      <w:bookmarkStart w:id="346" w:name="_Toc74916187"/>
      <w:r w:rsidRPr="00BC78CF">
        <w:rPr>
          <w:color w:val="FF0000"/>
          <w:lang w:val="en-US"/>
        </w:rPr>
        <w:t xml:space="preserve">4A.13 </w:t>
      </w:r>
      <w:r w:rsidR="00CC28A8" w:rsidRPr="00BC78CF">
        <w:rPr>
          <w:color w:val="FF0000"/>
        </w:rPr>
        <w:t>Continuation and removal of approvals</w:t>
      </w:r>
      <w:bookmarkEnd w:id="346"/>
    </w:p>
    <w:p w14:paraId="000ADFB6" w14:textId="03BD97C0" w:rsidR="00E85D43" w:rsidRPr="00BC78CF" w:rsidRDefault="00E85D43" w:rsidP="00CC28A8">
      <w:pPr>
        <w:pStyle w:val="subsection"/>
        <w:rPr>
          <w:color w:val="FF0000"/>
        </w:rPr>
      </w:pPr>
      <w:r w:rsidRPr="00BC78CF">
        <w:rPr>
          <w:color w:val="FF0000"/>
        </w:rPr>
        <w:tab/>
        <w:t>(1</w:t>
      </w:r>
      <w:r w:rsidR="00CC28A8" w:rsidRPr="00BC78CF">
        <w:rPr>
          <w:color w:val="FF0000"/>
        </w:rPr>
        <w:t>)</w:t>
      </w:r>
      <w:r w:rsidR="00CC28A8" w:rsidRPr="00BC78CF">
        <w:rPr>
          <w:color w:val="FF0000"/>
        </w:rPr>
        <w:tab/>
        <w:t xml:space="preserve">If </w:t>
      </w:r>
      <w:r w:rsidRPr="00BC78CF">
        <w:rPr>
          <w:color w:val="FF0000"/>
        </w:rPr>
        <w:t xml:space="preserve">a relevant </w:t>
      </w:r>
      <w:r w:rsidR="00CC28A8" w:rsidRPr="00BC78CF">
        <w:rPr>
          <w:color w:val="FF0000"/>
        </w:rPr>
        <w:t>account holder</w:t>
      </w:r>
      <w:r w:rsidRPr="00BC78CF">
        <w:rPr>
          <w:color w:val="FF0000"/>
        </w:rPr>
        <w:t>:</w:t>
      </w:r>
    </w:p>
    <w:p w14:paraId="49A3636C" w14:textId="6F015C6C" w:rsidR="00E85D43" w:rsidRPr="00BC78CF" w:rsidRDefault="00E85D43" w:rsidP="00E85D43">
      <w:pPr>
        <w:pStyle w:val="paragraph"/>
        <w:rPr>
          <w:color w:val="FF0000"/>
        </w:rPr>
      </w:pPr>
      <w:r w:rsidRPr="00BC78CF">
        <w:rPr>
          <w:color w:val="FF0000"/>
        </w:rPr>
        <w:tab/>
        <w:t>(a)</w:t>
      </w:r>
      <w:r w:rsidRPr="00BC78CF">
        <w:rPr>
          <w:color w:val="FF0000"/>
        </w:rPr>
        <w:tab/>
      </w:r>
      <w:r w:rsidR="00CC28A8" w:rsidRPr="00BC78CF">
        <w:rPr>
          <w:color w:val="FF0000"/>
        </w:rPr>
        <w:t xml:space="preserve">approves of the disclosure </w:t>
      </w:r>
      <w:r w:rsidRPr="00BC78CF">
        <w:rPr>
          <w:color w:val="FF0000"/>
        </w:rPr>
        <w:t xml:space="preserve">of joint account data </w:t>
      </w:r>
      <w:r w:rsidR="00CC28A8" w:rsidRPr="00BC78CF">
        <w:rPr>
          <w:color w:val="FF0000"/>
        </w:rPr>
        <w:t>in accordance with this Division</w:t>
      </w:r>
      <w:r w:rsidRPr="00BC78CF">
        <w:rPr>
          <w:color w:val="FF0000"/>
        </w:rPr>
        <w:t>; or</w:t>
      </w:r>
    </w:p>
    <w:p w14:paraId="0E24A412" w14:textId="12AE476A" w:rsidR="00E85D43" w:rsidRPr="00BC78CF" w:rsidRDefault="00E85D43" w:rsidP="00E85D43">
      <w:pPr>
        <w:pStyle w:val="paragraph"/>
        <w:rPr>
          <w:color w:val="FF0000"/>
        </w:rPr>
      </w:pPr>
      <w:r w:rsidRPr="00BC78CF">
        <w:rPr>
          <w:color w:val="FF0000"/>
        </w:rPr>
        <w:tab/>
        <w:t>(b)</w:t>
      </w:r>
      <w:r w:rsidRPr="00BC78CF">
        <w:rPr>
          <w:color w:val="FF0000"/>
        </w:rPr>
        <w:tab/>
        <w:t>is taken to have approved of the disclosure under the pre-apporval option;</w:t>
      </w:r>
    </w:p>
    <w:p w14:paraId="49BE154B" w14:textId="49768535" w:rsidR="00CC28A8" w:rsidRPr="00BC78CF" w:rsidRDefault="00E85D43" w:rsidP="00E85D43">
      <w:pPr>
        <w:pStyle w:val="subsection20"/>
        <w:rPr>
          <w:color w:val="FF0000"/>
        </w:rPr>
      </w:pPr>
      <w:r w:rsidRPr="00BC78CF">
        <w:rPr>
          <w:color w:val="FF0000"/>
        </w:rPr>
        <w:tab/>
      </w:r>
      <w:r w:rsidRPr="00BC78CF">
        <w:rPr>
          <w:color w:val="FF0000"/>
        </w:rPr>
        <w:tab/>
      </w:r>
      <w:r w:rsidR="00CC28A8" w:rsidRPr="00BC78CF">
        <w:rPr>
          <w:color w:val="FF0000"/>
        </w:rPr>
        <w:t>the approval is taken to apply while the authorisation referred to in paragraph </w:t>
      </w:r>
      <w:r w:rsidR="000B1D10" w:rsidRPr="00BC78CF">
        <w:rPr>
          <w:color w:val="FF0000"/>
        </w:rPr>
        <w:t>4</w:t>
      </w:r>
      <w:r w:rsidR="00832060" w:rsidRPr="00BC78CF">
        <w:rPr>
          <w:color w:val="FF0000"/>
        </w:rPr>
        <w:t>A</w:t>
      </w:r>
      <w:r w:rsidR="000B1D10" w:rsidRPr="00BC78CF">
        <w:rPr>
          <w:color w:val="FF0000"/>
        </w:rPr>
        <w:t>.11(b)</w:t>
      </w:r>
      <w:r w:rsidR="00CC28A8" w:rsidRPr="00BC78CF">
        <w:rPr>
          <w:color w:val="FF0000"/>
        </w:rPr>
        <w:t xml:space="preserve"> is current, unless </w:t>
      </w:r>
      <w:r w:rsidR="005D0CE1" w:rsidRPr="00BC78CF">
        <w:rPr>
          <w:color w:val="FF0000"/>
        </w:rPr>
        <w:t>withdrawn</w:t>
      </w:r>
      <w:r w:rsidR="00CC28A8" w:rsidRPr="00BC78CF">
        <w:rPr>
          <w:color w:val="FF0000"/>
        </w:rPr>
        <w:t xml:space="preserve"> sooner in accordance with this Division.</w:t>
      </w:r>
    </w:p>
    <w:p w14:paraId="31B26F68" w14:textId="53DD3B6C" w:rsidR="00E85D43" w:rsidRPr="00BC78CF" w:rsidRDefault="00E85D43" w:rsidP="00E85D43">
      <w:pPr>
        <w:pStyle w:val="subsection"/>
        <w:rPr>
          <w:color w:val="FF0000"/>
        </w:rPr>
      </w:pPr>
      <w:r w:rsidRPr="00BC78CF">
        <w:rPr>
          <w:color w:val="FF0000"/>
        </w:rPr>
        <w:tab/>
        <w:t>(2)</w:t>
      </w:r>
      <w:r w:rsidRPr="00BC78CF">
        <w:rPr>
          <w:color w:val="FF0000"/>
        </w:rPr>
        <w:tab/>
        <w:t xml:space="preserve">Any relevant account holder may </w:t>
      </w:r>
      <w:r w:rsidR="005D0CE1" w:rsidRPr="00BC78CF">
        <w:rPr>
          <w:color w:val="FF0000"/>
        </w:rPr>
        <w:t>withdraw</w:t>
      </w:r>
      <w:r w:rsidRPr="00BC78CF">
        <w:rPr>
          <w:color w:val="FF0000"/>
        </w:rPr>
        <w:t xml:space="preserve"> an approval given under this Division at any time, using their consumer dashboard.</w:t>
      </w:r>
    </w:p>
    <w:p w14:paraId="1C43BD68" w14:textId="6EFFED68" w:rsidR="00CC28A8" w:rsidRPr="00BC78CF" w:rsidRDefault="00832060" w:rsidP="00E85D43">
      <w:pPr>
        <w:pStyle w:val="ActHead5"/>
        <w:rPr>
          <w:color w:val="FF0000"/>
          <w:lang w:val="en-US"/>
        </w:rPr>
      </w:pPr>
      <w:r w:rsidRPr="00BC78CF">
        <w:rPr>
          <w:color w:val="FF0000"/>
          <w:lang w:val="en-US"/>
        </w:rPr>
        <w:t xml:space="preserve"> </w:t>
      </w:r>
      <w:bookmarkStart w:id="347" w:name="_Toc74916188"/>
      <w:r w:rsidRPr="00BC78CF">
        <w:rPr>
          <w:color w:val="FF0000"/>
          <w:lang w:val="en-US"/>
        </w:rPr>
        <w:t xml:space="preserve">4A.14 </w:t>
      </w:r>
      <w:r w:rsidR="00E85D43" w:rsidRPr="00BC78CF">
        <w:rPr>
          <w:color w:val="FF0000"/>
          <w:lang w:val="en-US"/>
        </w:rPr>
        <w:t xml:space="preserve"> </w:t>
      </w:r>
      <w:r w:rsidR="007D0835" w:rsidRPr="00BC78CF">
        <w:rPr>
          <w:color w:val="FF0000"/>
          <w:lang w:val="en-US"/>
        </w:rPr>
        <w:t>J</w:t>
      </w:r>
      <w:r w:rsidR="00CC28A8" w:rsidRPr="00BC78CF">
        <w:rPr>
          <w:color w:val="FF0000"/>
          <w:lang w:val="en-US"/>
        </w:rPr>
        <w:t>oint account data the data holder is authorised to disclose</w:t>
      </w:r>
      <w:bookmarkEnd w:id="347"/>
    </w:p>
    <w:p w14:paraId="6DC60C7B" w14:textId="1F3DC40E" w:rsidR="00CC28A8" w:rsidRPr="00BC78CF" w:rsidRDefault="00CC28A8" w:rsidP="00E85D43">
      <w:pPr>
        <w:pStyle w:val="subsection20"/>
        <w:rPr>
          <w:color w:val="FF0000"/>
          <w:lang w:val="en-US"/>
        </w:rPr>
      </w:pPr>
      <w:r w:rsidRPr="00BC78CF">
        <w:rPr>
          <w:color w:val="FF0000"/>
          <w:lang w:val="en-US"/>
        </w:rPr>
        <w:tab/>
        <w:t>(1)</w:t>
      </w:r>
      <w:r w:rsidRPr="00BC78CF">
        <w:rPr>
          <w:color w:val="FF0000"/>
          <w:lang w:val="en-US"/>
        </w:rPr>
        <w:tab/>
        <w:t>For paragraph 4</w:t>
      </w:r>
      <w:r w:rsidR="00832060" w:rsidRPr="00BC78CF">
        <w:rPr>
          <w:color w:val="FF0000"/>
          <w:lang w:val="en-US"/>
        </w:rPr>
        <w:t>A</w:t>
      </w:r>
      <w:r w:rsidRPr="00BC78CF">
        <w:rPr>
          <w:color w:val="FF0000"/>
          <w:lang w:val="en-US"/>
        </w:rPr>
        <w:t>.6(2) , the data holder must not disclose joint account data to the accredited person unless:</w:t>
      </w:r>
    </w:p>
    <w:p w14:paraId="61D9B262" w14:textId="7DF8F27E" w:rsidR="00CC28A8" w:rsidRPr="00BC78CF" w:rsidRDefault="00CC28A8" w:rsidP="00CC28A8">
      <w:pPr>
        <w:pStyle w:val="paragraph"/>
        <w:rPr>
          <w:color w:val="FF0000"/>
        </w:rPr>
      </w:pPr>
      <w:r w:rsidRPr="00BC78CF">
        <w:rPr>
          <w:color w:val="FF0000"/>
          <w:lang w:val="en-US"/>
        </w:rPr>
        <w:tab/>
        <w:t>(a)</w:t>
      </w:r>
      <w:r w:rsidRPr="00BC78CF">
        <w:rPr>
          <w:color w:val="FF0000"/>
          <w:lang w:val="en-US"/>
        </w:rPr>
        <w:tab/>
        <w:t xml:space="preserve">the requester </w:t>
      </w:r>
      <w:r w:rsidRPr="00BC78CF">
        <w:rPr>
          <w:color w:val="FF0000"/>
        </w:rPr>
        <w:t>has authorised the data holder to disclose that CDR data under Division 4.4; and</w:t>
      </w:r>
    </w:p>
    <w:p w14:paraId="779D426C" w14:textId="0C2F8529" w:rsidR="00CC28A8" w:rsidRPr="00BC78CF" w:rsidRDefault="00CC28A8" w:rsidP="00CC28A8">
      <w:pPr>
        <w:pStyle w:val="paragraph"/>
        <w:rPr>
          <w:color w:val="FF0000"/>
        </w:rPr>
      </w:pPr>
      <w:r w:rsidRPr="00BC78CF">
        <w:rPr>
          <w:color w:val="FF0000"/>
        </w:rPr>
        <w:tab/>
        <w:t>(b)</w:t>
      </w:r>
      <w:r w:rsidRPr="00BC78CF">
        <w:rPr>
          <w:color w:val="FF0000"/>
        </w:rPr>
        <w:tab/>
        <w:t>sub</w:t>
      </w:r>
      <w:r w:rsidR="008F7859" w:rsidRPr="00BC78CF">
        <w:rPr>
          <w:color w:val="FF0000"/>
        </w:rPr>
        <w:t>rule</w:t>
      </w:r>
      <w:r w:rsidRPr="00BC78CF">
        <w:rPr>
          <w:color w:val="FF0000"/>
        </w:rPr>
        <w:t xml:space="preserve"> (2), (3) or (4) applies.</w:t>
      </w:r>
    </w:p>
    <w:p w14:paraId="670A2DDB" w14:textId="77777777" w:rsidR="00CC28A8" w:rsidRPr="00BC78CF" w:rsidRDefault="00CC28A8" w:rsidP="00CC28A8">
      <w:pPr>
        <w:pStyle w:val="SubsectionHead"/>
        <w:rPr>
          <w:color w:val="FF0000"/>
        </w:rPr>
      </w:pPr>
      <w:r w:rsidRPr="00BC78CF">
        <w:rPr>
          <w:color w:val="FF0000"/>
        </w:rPr>
        <w:t>Pre</w:t>
      </w:r>
      <w:r w:rsidRPr="00BC78CF">
        <w:rPr>
          <w:color w:val="FF0000"/>
        </w:rPr>
        <w:noBreakHyphen/>
        <w:t>approval option</w:t>
      </w:r>
    </w:p>
    <w:p w14:paraId="0C8E17E2" w14:textId="205E3DD9" w:rsidR="00CC28A8" w:rsidRPr="00BC78CF" w:rsidRDefault="00CC28A8" w:rsidP="00CC28A8">
      <w:pPr>
        <w:pStyle w:val="subsection"/>
        <w:rPr>
          <w:color w:val="FF0000"/>
        </w:rPr>
      </w:pPr>
      <w:r w:rsidRPr="00BC78CF">
        <w:rPr>
          <w:color w:val="FF0000"/>
        </w:rPr>
        <w:tab/>
        <w:t>(2)</w:t>
      </w:r>
      <w:r w:rsidRPr="00BC78CF">
        <w:rPr>
          <w:color w:val="FF0000"/>
        </w:rPr>
        <w:tab/>
        <w:t>This sub</w:t>
      </w:r>
      <w:r w:rsidR="008F7859" w:rsidRPr="00BC78CF">
        <w:rPr>
          <w:color w:val="FF0000"/>
        </w:rPr>
        <w:t>rule</w:t>
      </w:r>
      <w:r w:rsidRPr="00BC78CF">
        <w:rPr>
          <w:color w:val="FF0000"/>
        </w:rPr>
        <w:t xml:space="preserve"> applies if:</w:t>
      </w:r>
    </w:p>
    <w:p w14:paraId="4236ED1A" w14:textId="6E79A2BE" w:rsidR="00CC28A8" w:rsidRPr="00BC78CF" w:rsidRDefault="00E85D43" w:rsidP="00CC28A8">
      <w:pPr>
        <w:pStyle w:val="paragraph"/>
        <w:rPr>
          <w:color w:val="FF0000"/>
        </w:rPr>
      </w:pPr>
      <w:r w:rsidRPr="00BC78CF">
        <w:rPr>
          <w:color w:val="FF0000"/>
        </w:rPr>
        <w:tab/>
        <w:t>(a)</w:t>
      </w:r>
      <w:r w:rsidRPr="00BC78CF">
        <w:rPr>
          <w:color w:val="FF0000"/>
        </w:rPr>
        <w:tab/>
        <w:t xml:space="preserve">the </w:t>
      </w:r>
      <w:r w:rsidR="00CC28A8" w:rsidRPr="00BC78CF">
        <w:rPr>
          <w:color w:val="FF0000"/>
        </w:rPr>
        <w:t>pre</w:t>
      </w:r>
      <w:r w:rsidR="00CC28A8" w:rsidRPr="00BC78CF">
        <w:rPr>
          <w:color w:val="FF0000"/>
        </w:rPr>
        <w:noBreakHyphen/>
        <w:t>approval option applies to the joint account; and</w:t>
      </w:r>
    </w:p>
    <w:p w14:paraId="5032DA88" w14:textId="13096C46" w:rsidR="00CC28A8" w:rsidRPr="00BC78CF" w:rsidRDefault="00CC28A8" w:rsidP="00CC28A8">
      <w:pPr>
        <w:pStyle w:val="paragraph"/>
        <w:rPr>
          <w:color w:val="FF0000"/>
        </w:rPr>
      </w:pPr>
      <w:r w:rsidRPr="00BC78CF">
        <w:rPr>
          <w:color w:val="FF0000"/>
        </w:rPr>
        <w:tab/>
        <w:t>(b)</w:t>
      </w:r>
      <w:r w:rsidRPr="00BC78CF">
        <w:rPr>
          <w:color w:val="FF0000"/>
        </w:rPr>
        <w:tab/>
        <w:t xml:space="preserve">no relevant account holder has </w:t>
      </w:r>
      <w:r w:rsidR="005D0CE1" w:rsidRPr="00BC78CF">
        <w:rPr>
          <w:color w:val="FF0000"/>
        </w:rPr>
        <w:t>withdrawn</w:t>
      </w:r>
      <w:r w:rsidRPr="00BC78CF">
        <w:rPr>
          <w:color w:val="FF0000"/>
        </w:rPr>
        <w:t xml:space="preserve"> the</w:t>
      </w:r>
      <w:r w:rsidR="00E85D43" w:rsidRPr="00BC78CF">
        <w:rPr>
          <w:color w:val="FF0000"/>
        </w:rPr>
        <w:t xml:space="preserve">ir </w:t>
      </w:r>
      <w:r w:rsidRPr="00BC78CF">
        <w:rPr>
          <w:color w:val="FF0000"/>
        </w:rPr>
        <w:t xml:space="preserve">approval using </w:t>
      </w:r>
      <w:r w:rsidR="00E85D43" w:rsidRPr="00BC78CF">
        <w:rPr>
          <w:color w:val="FF0000"/>
        </w:rPr>
        <w:t>their</w:t>
      </w:r>
      <w:r w:rsidRPr="00BC78CF">
        <w:rPr>
          <w:color w:val="FF0000"/>
        </w:rPr>
        <w:t xml:space="preserve"> consumer dashboard.</w:t>
      </w:r>
    </w:p>
    <w:p w14:paraId="49F67650" w14:textId="77777777" w:rsidR="00CC28A8" w:rsidRPr="00BC78CF" w:rsidRDefault="00CC28A8" w:rsidP="00CC28A8">
      <w:pPr>
        <w:pStyle w:val="SubsectionHead"/>
        <w:rPr>
          <w:color w:val="FF0000"/>
        </w:rPr>
      </w:pPr>
      <w:r w:rsidRPr="00BC78CF">
        <w:rPr>
          <w:color w:val="FF0000"/>
        </w:rPr>
        <w:t>Co</w:t>
      </w:r>
      <w:r w:rsidRPr="00BC78CF">
        <w:rPr>
          <w:color w:val="FF0000"/>
        </w:rPr>
        <w:noBreakHyphen/>
        <w:t>approval option</w:t>
      </w:r>
    </w:p>
    <w:p w14:paraId="0F25ABEA" w14:textId="3260F3EA" w:rsidR="00CC28A8" w:rsidRPr="00BC78CF" w:rsidRDefault="00CC28A8" w:rsidP="00CC28A8">
      <w:pPr>
        <w:pStyle w:val="subsection"/>
        <w:rPr>
          <w:color w:val="FF0000"/>
        </w:rPr>
      </w:pPr>
      <w:r w:rsidRPr="00BC78CF">
        <w:rPr>
          <w:color w:val="FF0000"/>
        </w:rPr>
        <w:tab/>
        <w:t>(3)</w:t>
      </w:r>
      <w:r w:rsidRPr="00BC78CF">
        <w:rPr>
          <w:color w:val="FF0000"/>
        </w:rPr>
        <w:tab/>
        <w:t>This sub</w:t>
      </w:r>
      <w:r w:rsidR="008F7859" w:rsidRPr="00BC78CF">
        <w:rPr>
          <w:color w:val="FF0000"/>
        </w:rPr>
        <w:t>rule</w:t>
      </w:r>
      <w:r w:rsidRPr="00BC78CF">
        <w:rPr>
          <w:color w:val="FF0000"/>
        </w:rPr>
        <w:t xml:space="preserve"> applies if:</w:t>
      </w:r>
    </w:p>
    <w:p w14:paraId="3340E31C" w14:textId="02A2434C" w:rsidR="00CC28A8" w:rsidRPr="00BC78CF" w:rsidRDefault="00CC28A8" w:rsidP="00CC28A8">
      <w:pPr>
        <w:pStyle w:val="paragraph"/>
        <w:rPr>
          <w:color w:val="FF0000"/>
        </w:rPr>
      </w:pPr>
      <w:r w:rsidRPr="00BC78CF">
        <w:rPr>
          <w:color w:val="FF0000"/>
        </w:rPr>
        <w:tab/>
        <w:t>(a)</w:t>
      </w:r>
      <w:r w:rsidRPr="00BC78CF">
        <w:rPr>
          <w:color w:val="FF0000"/>
        </w:rPr>
        <w:tab/>
      </w:r>
      <w:r w:rsidR="00E85D43" w:rsidRPr="00BC78CF">
        <w:rPr>
          <w:color w:val="FF0000"/>
        </w:rPr>
        <w:t xml:space="preserve">the </w:t>
      </w:r>
      <w:r w:rsidRPr="00BC78CF">
        <w:rPr>
          <w:color w:val="FF0000"/>
        </w:rPr>
        <w:t>co</w:t>
      </w:r>
      <w:r w:rsidRPr="00BC78CF">
        <w:rPr>
          <w:color w:val="FF0000"/>
        </w:rPr>
        <w:noBreakHyphen/>
        <w:t>approval option applies to the joint account; and</w:t>
      </w:r>
    </w:p>
    <w:p w14:paraId="5B557E5D" w14:textId="77777777" w:rsidR="00CC28A8" w:rsidRPr="00BC78CF" w:rsidRDefault="00CC28A8" w:rsidP="00CC28A8">
      <w:pPr>
        <w:pStyle w:val="paragraph"/>
        <w:rPr>
          <w:color w:val="FF0000"/>
        </w:rPr>
      </w:pPr>
      <w:r w:rsidRPr="00BC78CF">
        <w:rPr>
          <w:color w:val="FF0000"/>
        </w:rPr>
        <w:tab/>
        <w:t>(b)</w:t>
      </w:r>
      <w:r w:rsidRPr="00BC78CF">
        <w:rPr>
          <w:color w:val="FF0000"/>
        </w:rPr>
        <w:tab/>
        <w:t>for each relevant account holder, either:</w:t>
      </w:r>
    </w:p>
    <w:p w14:paraId="79DDA3C7" w14:textId="4B22DEE6" w:rsidR="00CC28A8" w:rsidRPr="00BC78CF" w:rsidRDefault="00CC28A8" w:rsidP="00CC28A8">
      <w:pPr>
        <w:pStyle w:val="paragraphsub"/>
        <w:rPr>
          <w:color w:val="FF0000"/>
        </w:rPr>
      </w:pPr>
      <w:r w:rsidRPr="00BC78CF">
        <w:rPr>
          <w:color w:val="FF0000"/>
        </w:rPr>
        <w:tab/>
        <w:t>(i)</w:t>
      </w:r>
      <w:r w:rsidRPr="00BC78CF">
        <w:rPr>
          <w:color w:val="FF0000"/>
        </w:rPr>
        <w:tab/>
        <w:t xml:space="preserve">the relevant account holder approved the disclosure in accordance with </w:t>
      </w:r>
      <w:r w:rsidR="00E85D43" w:rsidRPr="00BC78CF">
        <w:rPr>
          <w:color w:val="FF0000"/>
        </w:rPr>
        <w:t xml:space="preserve">rule </w:t>
      </w:r>
      <w:r w:rsidR="000B1D10" w:rsidRPr="00BC78CF">
        <w:rPr>
          <w:color w:val="FF0000"/>
        </w:rPr>
        <w:t>4</w:t>
      </w:r>
      <w:r w:rsidR="00832060" w:rsidRPr="00BC78CF">
        <w:rPr>
          <w:color w:val="FF0000"/>
        </w:rPr>
        <w:t>A</w:t>
      </w:r>
      <w:r w:rsidR="000B1D10" w:rsidRPr="00BC78CF">
        <w:rPr>
          <w:color w:val="FF0000"/>
        </w:rPr>
        <w:t>.12</w:t>
      </w:r>
      <w:r w:rsidR="00832060" w:rsidRPr="00BC78CF">
        <w:rPr>
          <w:color w:val="FF0000"/>
        </w:rPr>
        <w:t xml:space="preserve"> </w:t>
      </w:r>
      <w:r w:rsidRPr="00BC78CF">
        <w:rPr>
          <w:color w:val="FF0000"/>
        </w:rPr>
        <w:t xml:space="preserve">within the time </w:t>
      </w:r>
      <w:r w:rsidR="00E85D43" w:rsidRPr="00BC78CF">
        <w:rPr>
          <w:color w:val="FF0000"/>
        </w:rPr>
        <w:t xml:space="preserve">specified </w:t>
      </w:r>
      <w:r w:rsidRPr="00BC78CF">
        <w:rPr>
          <w:color w:val="FF0000"/>
        </w:rPr>
        <w:t xml:space="preserve">and has not </w:t>
      </w:r>
      <w:r w:rsidR="005D0CE1" w:rsidRPr="00BC78CF">
        <w:rPr>
          <w:color w:val="FF0000"/>
        </w:rPr>
        <w:t>withdrawn</w:t>
      </w:r>
      <w:r w:rsidRPr="00BC78CF">
        <w:rPr>
          <w:color w:val="FF0000"/>
        </w:rPr>
        <w:t xml:space="preserve"> the approval using their consumer dashboard; or</w:t>
      </w:r>
    </w:p>
    <w:p w14:paraId="46E0FC02" w14:textId="77777777" w:rsidR="00CC28A8" w:rsidRPr="00BC78CF" w:rsidRDefault="00CC28A8" w:rsidP="00CC28A8">
      <w:pPr>
        <w:pStyle w:val="paragraphsub"/>
        <w:rPr>
          <w:color w:val="FF0000"/>
        </w:rPr>
      </w:pPr>
      <w:r w:rsidRPr="00BC78CF">
        <w:rPr>
          <w:color w:val="FF0000"/>
        </w:rPr>
        <w:tab/>
        <w:t>(ii)</w:t>
      </w:r>
      <w:r w:rsidRPr="00BC78CF">
        <w:rPr>
          <w:color w:val="FF0000"/>
        </w:rPr>
        <w:tab/>
        <w:t>the data holder considers it necessary to avoid seeking the approval of the relevant account holder in order to prevent physical or financial harm or abuse.</w:t>
      </w:r>
    </w:p>
    <w:p w14:paraId="7912D69B" w14:textId="7FE35BA2" w:rsidR="005D0CE1" w:rsidRPr="00BC78CF" w:rsidRDefault="00CC28A8" w:rsidP="00CC28A8">
      <w:pPr>
        <w:pStyle w:val="notetext"/>
        <w:rPr>
          <w:color w:val="FF0000"/>
        </w:rPr>
      </w:pPr>
      <w:r w:rsidRPr="00BC78CF">
        <w:rPr>
          <w:color w:val="FF0000"/>
        </w:rPr>
        <w:t>Note:</w:t>
      </w:r>
      <w:r w:rsidRPr="00BC78CF">
        <w:rPr>
          <w:color w:val="FF0000"/>
        </w:rPr>
        <w:tab/>
      </w:r>
      <w:r w:rsidR="00F72122" w:rsidRPr="00BC78CF">
        <w:rPr>
          <w:color w:val="FF0000"/>
        </w:rPr>
        <w:t>Under subrule </w:t>
      </w:r>
      <w:r w:rsidR="000B1D10" w:rsidRPr="00BC78CF">
        <w:rPr>
          <w:color w:val="FF0000"/>
        </w:rPr>
        <w:t>4</w:t>
      </w:r>
      <w:r w:rsidR="00832060" w:rsidRPr="00BC78CF">
        <w:rPr>
          <w:color w:val="FF0000"/>
        </w:rPr>
        <w:t>A</w:t>
      </w:r>
      <w:r w:rsidR="000B1D10" w:rsidRPr="00BC78CF">
        <w:rPr>
          <w:color w:val="FF0000"/>
        </w:rPr>
        <w:t>.4</w:t>
      </w:r>
      <w:r w:rsidR="00F72122" w:rsidRPr="00BC78CF">
        <w:rPr>
          <w:color w:val="FF0000"/>
        </w:rPr>
        <w:t>, d</w:t>
      </w:r>
      <w:r w:rsidRPr="00BC78CF">
        <w:rPr>
          <w:color w:val="FF0000"/>
        </w:rPr>
        <w:t>ata holders are required to offer the</w:t>
      </w:r>
      <w:r w:rsidR="00F72122" w:rsidRPr="00BC78CF">
        <w:rPr>
          <w:color w:val="FF0000"/>
        </w:rPr>
        <w:t xml:space="preserve"> pre-approval</w:t>
      </w:r>
      <w:r w:rsidRPr="00BC78CF">
        <w:rPr>
          <w:color w:val="FF0000"/>
        </w:rPr>
        <w:t xml:space="preserve"> disclosure option</w:t>
      </w:r>
      <w:r w:rsidR="00F72122" w:rsidRPr="00BC78CF">
        <w:rPr>
          <w:color w:val="FF0000"/>
        </w:rPr>
        <w:t xml:space="preserve">, which applies by default.  </w:t>
      </w:r>
      <w:r w:rsidRPr="00BC78CF">
        <w:rPr>
          <w:color w:val="FF0000"/>
        </w:rPr>
        <w:t>Data holders may, but are not required to, offer the</w:t>
      </w:r>
      <w:r w:rsidR="00F72122" w:rsidRPr="00BC78CF">
        <w:rPr>
          <w:color w:val="FF0000"/>
        </w:rPr>
        <w:t xml:space="preserve"> co-approval option.</w:t>
      </w:r>
    </w:p>
    <w:p w14:paraId="21F74BF8" w14:textId="78F101D5" w:rsidR="005D0CE1" w:rsidRPr="00BC78CF" w:rsidRDefault="007D0835" w:rsidP="005D0CE1">
      <w:pPr>
        <w:pStyle w:val="SubsectionHead"/>
        <w:rPr>
          <w:color w:val="FF0000"/>
        </w:rPr>
      </w:pPr>
      <w:r w:rsidRPr="00BC78CF">
        <w:rPr>
          <w:color w:val="FF0000"/>
        </w:rPr>
        <w:t xml:space="preserve"> </w:t>
      </w:r>
      <w:r w:rsidR="00E743A8" w:rsidRPr="00BC78CF">
        <w:rPr>
          <w:color w:val="FF0000"/>
        </w:rPr>
        <w:t>Pre-approval</w:t>
      </w:r>
      <w:r w:rsidR="005D0CE1" w:rsidRPr="00BC78CF">
        <w:rPr>
          <w:color w:val="FF0000"/>
        </w:rPr>
        <w:t xml:space="preserve"> option </w:t>
      </w:r>
      <w:r w:rsidR="00216C26" w:rsidRPr="00BC78CF">
        <w:rPr>
          <w:color w:val="FF0000"/>
        </w:rPr>
        <w:t xml:space="preserve">does not </w:t>
      </w:r>
      <w:r w:rsidR="005D0CE1" w:rsidRPr="00BC78CF">
        <w:rPr>
          <w:color w:val="FF0000"/>
        </w:rPr>
        <w:t>appl</w:t>
      </w:r>
      <w:r w:rsidR="00216C26" w:rsidRPr="00BC78CF">
        <w:rPr>
          <w:color w:val="FF0000"/>
        </w:rPr>
        <w:t xml:space="preserve">y </w:t>
      </w:r>
      <w:r w:rsidR="005D0CE1" w:rsidRPr="00BC78CF">
        <w:rPr>
          <w:color w:val="FF0000"/>
        </w:rPr>
        <w:t>but circumstances of physical or financial harm or abuse might exist</w:t>
      </w:r>
    </w:p>
    <w:p w14:paraId="272A2929" w14:textId="77777777" w:rsidR="005D0CE1" w:rsidRPr="00BC78CF" w:rsidRDefault="005D0CE1" w:rsidP="005D0CE1">
      <w:pPr>
        <w:pStyle w:val="subsection"/>
        <w:rPr>
          <w:color w:val="FF0000"/>
        </w:rPr>
      </w:pPr>
      <w:r w:rsidRPr="00BC78CF">
        <w:rPr>
          <w:color w:val="FF0000"/>
        </w:rPr>
        <w:tab/>
        <w:t>(4)</w:t>
      </w:r>
      <w:r w:rsidRPr="00BC78CF">
        <w:rPr>
          <w:color w:val="FF0000"/>
        </w:rPr>
        <w:tab/>
        <w:t>This subclause applies if:</w:t>
      </w:r>
    </w:p>
    <w:p w14:paraId="1779C8FD" w14:textId="467366F6" w:rsidR="005D0CE1" w:rsidRPr="00BC78CF" w:rsidRDefault="005D0CE1" w:rsidP="005D0CE1">
      <w:pPr>
        <w:pStyle w:val="paragraph"/>
        <w:rPr>
          <w:color w:val="FF0000"/>
        </w:rPr>
      </w:pPr>
      <w:r w:rsidRPr="00BC78CF">
        <w:rPr>
          <w:color w:val="FF0000"/>
        </w:rPr>
        <w:tab/>
        <w:t>(a)</w:t>
      </w:r>
      <w:r w:rsidRPr="00BC78CF">
        <w:rPr>
          <w:color w:val="FF0000"/>
        </w:rPr>
        <w:tab/>
      </w:r>
      <w:r w:rsidR="00E743A8" w:rsidRPr="00BC78CF">
        <w:rPr>
          <w:color w:val="FF0000"/>
        </w:rPr>
        <w:t xml:space="preserve">the </w:t>
      </w:r>
      <w:r w:rsidR="00216C26" w:rsidRPr="00BC78CF">
        <w:rPr>
          <w:color w:val="FF0000"/>
        </w:rPr>
        <w:t>pre</w:t>
      </w:r>
      <w:r w:rsidR="00E743A8" w:rsidRPr="00BC78CF">
        <w:rPr>
          <w:color w:val="FF0000"/>
        </w:rPr>
        <w:t>-</w:t>
      </w:r>
      <w:r w:rsidRPr="00BC78CF">
        <w:rPr>
          <w:color w:val="FF0000"/>
        </w:rPr>
        <w:t xml:space="preserve">disclosure option </w:t>
      </w:r>
      <w:r w:rsidR="00216C26" w:rsidRPr="00BC78CF">
        <w:rPr>
          <w:color w:val="FF0000"/>
        </w:rPr>
        <w:t xml:space="preserve">does not apply </w:t>
      </w:r>
      <w:r w:rsidR="00E743A8" w:rsidRPr="00BC78CF">
        <w:rPr>
          <w:color w:val="FF0000"/>
        </w:rPr>
        <w:t xml:space="preserve">to the </w:t>
      </w:r>
      <w:r w:rsidRPr="00BC78CF">
        <w:rPr>
          <w:color w:val="FF0000"/>
        </w:rPr>
        <w:t>joint account; and</w:t>
      </w:r>
    </w:p>
    <w:p w14:paraId="056AE119" w14:textId="77777777" w:rsidR="00216C26" w:rsidRPr="00BC78CF" w:rsidRDefault="005D0CE1" w:rsidP="005D0CE1">
      <w:pPr>
        <w:pStyle w:val="paragraph"/>
        <w:rPr>
          <w:color w:val="FF0000"/>
        </w:rPr>
      </w:pPr>
      <w:r w:rsidRPr="00BC78CF">
        <w:rPr>
          <w:color w:val="FF0000"/>
        </w:rPr>
        <w:tab/>
        <w:t>(b)</w:t>
      </w:r>
      <w:r w:rsidRPr="00BC78CF">
        <w:rPr>
          <w:color w:val="FF0000"/>
        </w:rPr>
        <w:tab/>
        <w:t>the data holder considers it necessary</w:t>
      </w:r>
      <w:r w:rsidR="00216C26" w:rsidRPr="00BC78CF">
        <w:rPr>
          <w:color w:val="FF0000"/>
        </w:rPr>
        <w:t>,</w:t>
      </w:r>
      <w:r w:rsidRPr="00BC78CF">
        <w:rPr>
          <w:color w:val="FF0000"/>
        </w:rPr>
        <w:t xml:space="preserve"> in order to prevent physical</w:t>
      </w:r>
      <w:r w:rsidR="00E743A8" w:rsidRPr="00BC78CF">
        <w:rPr>
          <w:color w:val="FF0000"/>
        </w:rPr>
        <w:t xml:space="preserve"> or financial harm or abuse</w:t>
      </w:r>
      <w:r w:rsidR="00216C26" w:rsidRPr="00BC78CF">
        <w:rPr>
          <w:color w:val="FF0000"/>
        </w:rPr>
        <w:t>, to avoid inviting at least one of the relevant account holders to either approve a change to the disclosure option or approve disclosure under the co-approval option.</w:t>
      </w:r>
    </w:p>
    <w:p w14:paraId="504E4CC0" w14:textId="2B19CEB6" w:rsidR="00CC28A8" w:rsidRPr="00BC78CF" w:rsidRDefault="00832060" w:rsidP="00ED233D">
      <w:pPr>
        <w:pStyle w:val="ActHead5"/>
        <w:rPr>
          <w:color w:val="FF0000"/>
        </w:rPr>
      </w:pPr>
      <w:r w:rsidRPr="00BC78CF">
        <w:rPr>
          <w:color w:val="FF0000"/>
        </w:rPr>
        <w:t xml:space="preserve"> </w:t>
      </w:r>
      <w:bookmarkStart w:id="348" w:name="_Toc74916189"/>
      <w:r w:rsidRPr="00BC78CF">
        <w:rPr>
          <w:color w:val="FF0000"/>
        </w:rPr>
        <w:t xml:space="preserve">4A.15 </w:t>
      </w:r>
      <w:r w:rsidR="00ED233D" w:rsidRPr="00BC78CF">
        <w:rPr>
          <w:color w:val="FF0000"/>
        </w:rPr>
        <w:t xml:space="preserve"> </w:t>
      </w:r>
      <w:r w:rsidR="00CC28A8" w:rsidRPr="00BC78CF">
        <w:rPr>
          <w:color w:val="FF0000"/>
        </w:rPr>
        <w:t xml:space="preserve">Consumer dashboard for </w:t>
      </w:r>
      <w:r w:rsidR="00A021DB" w:rsidRPr="00BC78CF">
        <w:rPr>
          <w:color w:val="FF0000"/>
        </w:rPr>
        <w:t xml:space="preserve">joint </w:t>
      </w:r>
      <w:r w:rsidR="00CC28A8" w:rsidRPr="00BC78CF">
        <w:rPr>
          <w:color w:val="FF0000"/>
        </w:rPr>
        <w:t>account holders</w:t>
      </w:r>
      <w:bookmarkEnd w:id="348"/>
      <w:r w:rsidR="00CC28A8" w:rsidRPr="00BC78CF">
        <w:rPr>
          <w:color w:val="FF0000"/>
        </w:rPr>
        <w:t xml:space="preserve"> </w:t>
      </w:r>
    </w:p>
    <w:p w14:paraId="62C011A6" w14:textId="6FEDED9E" w:rsidR="00A021DB" w:rsidRPr="00BC78CF" w:rsidRDefault="00A021DB" w:rsidP="00A021DB">
      <w:pPr>
        <w:pStyle w:val="notemargin"/>
        <w:rPr>
          <w:color w:val="FF0000"/>
        </w:rPr>
      </w:pPr>
      <w:r w:rsidRPr="00BC78CF">
        <w:rPr>
          <w:color w:val="FF0000"/>
        </w:rPr>
        <w:t>Note:</w:t>
      </w:r>
      <w:r w:rsidRPr="00BC78CF">
        <w:rPr>
          <w:color w:val="FF0000"/>
        </w:rPr>
        <w:tab/>
        <w:t xml:space="preserve">Where this Division applies, the data holder must provide a consumer dashboard for the requester under rule 1.15.  This rule provides for the provision of a similar consumer dashboard for each </w:t>
      </w:r>
      <w:r w:rsidR="00460B9C" w:rsidRPr="00BC78CF">
        <w:rPr>
          <w:color w:val="FF0000"/>
        </w:rPr>
        <w:t>relevant account holder in some circumstances and requires additional functionality on the dashboards.</w:t>
      </w:r>
    </w:p>
    <w:p w14:paraId="66E34FD1" w14:textId="77777777" w:rsidR="00CC28A8" w:rsidRPr="00BC78CF" w:rsidRDefault="00CC28A8" w:rsidP="00CC28A8">
      <w:pPr>
        <w:pStyle w:val="SubsectionHead"/>
        <w:rPr>
          <w:color w:val="FF0000"/>
        </w:rPr>
      </w:pPr>
      <w:r w:rsidRPr="00BC78CF">
        <w:rPr>
          <w:color w:val="FF0000"/>
        </w:rPr>
        <w:t>Obligation for data holder to provide relevant account holders with consumer dashboard</w:t>
      </w:r>
    </w:p>
    <w:p w14:paraId="1A0E279A" w14:textId="77777777" w:rsidR="00460B9C" w:rsidRPr="00BC78CF" w:rsidRDefault="00CC28A8" w:rsidP="00A021DB">
      <w:pPr>
        <w:pStyle w:val="subsection"/>
        <w:rPr>
          <w:color w:val="FF0000"/>
        </w:rPr>
      </w:pPr>
      <w:r w:rsidRPr="00BC78CF">
        <w:rPr>
          <w:color w:val="FF0000"/>
        </w:rPr>
        <w:tab/>
        <w:t>(1)</w:t>
      </w:r>
      <w:r w:rsidRPr="00BC78CF">
        <w:rPr>
          <w:color w:val="FF0000"/>
        </w:rPr>
        <w:tab/>
      </w:r>
      <w:r w:rsidR="00460B9C" w:rsidRPr="00BC78CF">
        <w:rPr>
          <w:color w:val="FF0000"/>
        </w:rPr>
        <w:t>Where:</w:t>
      </w:r>
    </w:p>
    <w:p w14:paraId="7C5F3164" w14:textId="6A299627" w:rsidR="00460B9C" w:rsidRPr="00BC78CF" w:rsidRDefault="00460B9C" w:rsidP="00460B9C">
      <w:pPr>
        <w:pStyle w:val="paragraph"/>
        <w:rPr>
          <w:color w:val="FF0000"/>
        </w:rPr>
      </w:pPr>
      <w:r w:rsidRPr="00BC78CF">
        <w:rPr>
          <w:color w:val="FF0000"/>
        </w:rPr>
        <w:tab/>
        <w:t>(a)</w:t>
      </w:r>
      <w:r w:rsidRPr="00BC78CF">
        <w:rPr>
          <w:color w:val="FF0000"/>
        </w:rPr>
        <w:tab/>
        <w:t>this Division applies in relation to a consumer data request; and</w:t>
      </w:r>
    </w:p>
    <w:p w14:paraId="7425D23C" w14:textId="3642AE87" w:rsidR="00460B9C" w:rsidRPr="00BC78CF" w:rsidRDefault="00460B9C" w:rsidP="00460B9C">
      <w:pPr>
        <w:pStyle w:val="paragraph"/>
        <w:rPr>
          <w:color w:val="FF0000"/>
        </w:rPr>
      </w:pPr>
      <w:r w:rsidRPr="00BC78CF">
        <w:rPr>
          <w:color w:val="FF0000"/>
        </w:rPr>
        <w:tab/>
        <w:t>(b)</w:t>
      </w:r>
      <w:r w:rsidRPr="00BC78CF">
        <w:rPr>
          <w:color w:val="FF0000"/>
        </w:rPr>
        <w:tab/>
        <w:t>either the co-approval option or the pre-approval option applies</w:t>
      </w:r>
      <w:r w:rsidR="00F72122" w:rsidRPr="00BC78CF">
        <w:rPr>
          <w:color w:val="FF0000"/>
        </w:rPr>
        <w:t>, or has applied,</w:t>
      </w:r>
      <w:r w:rsidR="00325DB2" w:rsidRPr="00BC78CF">
        <w:rPr>
          <w:color w:val="FF0000"/>
        </w:rPr>
        <w:t xml:space="preserve"> </w:t>
      </w:r>
      <w:r w:rsidRPr="00BC78CF">
        <w:rPr>
          <w:color w:val="FF0000"/>
        </w:rPr>
        <w:t>to the joint account;</w:t>
      </w:r>
    </w:p>
    <w:p w14:paraId="3979FE9C" w14:textId="005EFC6A" w:rsidR="00CC28A8" w:rsidRPr="00BC78CF" w:rsidRDefault="00460B9C" w:rsidP="00460B9C">
      <w:pPr>
        <w:pStyle w:val="subsection20"/>
        <w:rPr>
          <w:color w:val="FF0000"/>
        </w:rPr>
      </w:pPr>
      <w:r w:rsidRPr="00BC78CF">
        <w:rPr>
          <w:color w:val="FF0000"/>
        </w:rPr>
        <w:tab/>
      </w:r>
      <w:r w:rsidRPr="00BC78CF">
        <w:rPr>
          <w:color w:val="FF0000"/>
        </w:rPr>
        <w:tab/>
      </w:r>
      <w:r w:rsidR="00CC28A8" w:rsidRPr="00BC78CF">
        <w:rPr>
          <w:color w:val="FF0000"/>
        </w:rPr>
        <w:t>the data holder must ensure that each relevant account holder has an online service that:</w:t>
      </w:r>
    </w:p>
    <w:p w14:paraId="0B1CF44D" w14:textId="03207910" w:rsidR="00CC28A8" w:rsidRPr="00BC78CF" w:rsidRDefault="00CC28A8" w:rsidP="00CC28A8">
      <w:pPr>
        <w:pStyle w:val="paragraph"/>
        <w:rPr>
          <w:color w:val="FF0000"/>
        </w:rPr>
      </w:pPr>
      <w:r w:rsidRPr="00BC78CF">
        <w:rPr>
          <w:color w:val="FF0000"/>
        </w:rPr>
        <w:tab/>
        <w:t>(</w:t>
      </w:r>
      <w:r w:rsidR="00402E88" w:rsidRPr="00BC78CF">
        <w:rPr>
          <w:color w:val="FF0000"/>
        </w:rPr>
        <w:t>c</w:t>
      </w:r>
      <w:r w:rsidRPr="00BC78CF">
        <w:rPr>
          <w:color w:val="FF0000"/>
        </w:rPr>
        <w:t>)</w:t>
      </w:r>
      <w:r w:rsidRPr="00BC78CF">
        <w:rPr>
          <w:color w:val="FF0000"/>
        </w:rPr>
        <w:tab/>
        <w:t xml:space="preserve">contains the details referred to in paragraph 1.15(1)(b)  that relate to </w:t>
      </w:r>
      <w:r w:rsidR="00325DB2" w:rsidRPr="00BC78CF">
        <w:rPr>
          <w:color w:val="FF0000"/>
        </w:rPr>
        <w:t>the joint account data</w:t>
      </w:r>
      <w:r w:rsidRPr="00BC78CF">
        <w:rPr>
          <w:color w:val="FF0000"/>
        </w:rPr>
        <w:t>; and</w:t>
      </w:r>
    </w:p>
    <w:p w14:paraId="41B282D7" w14:textId="7ECF569A" w:rsidR="00325DB2" w:rsidRPr="00BC78CF" w:rsidRDefault="00402E88" w:rsidP="00325DB2">
      <w:pPr>
        <w:pStyle w:val="paragraph"/>
        <w:rPr>
          <w:color w:val="FF0000"/>
        </w:rPr>
      </w:pPr>
      <w:r w:rsidRPr="00BC78CF">
        <w:rPr>
          <w:color w:val="FF0000"/>
        </w:rPr>
        <w:tab/>
        <w:t>(d</w:t>
      </w:r>
      <w:r w:rsidR="00CC28A8" w:rsidRPr="00BC78CF">
        <w:rPr>
          <w:color w:val="FF0000"/>
        </w:rPr>
        <w:t>)</w:t>
      </w:r>
      <w:r w:rsidR="00CC28A8" w:rsidRPr="00BC78CF">
        <w:rPr>
          <w:color w:val="FF0000"/>
        </w:rPr>
        <w:tab/>
        <w:t xml:space="preserve">has </w:t>
      </w:r>
      <w:r w:rsidR="00325DB2" w:rsidRPr="00BC78CF">
        <w:rPr>
          <w:color w:val="FF0000"/>
        </w:rPr>
        <w:t xml:space="preserve">a </w:t>
      </w:r>
      <w:r w:rsidR="00CC28A8" w:rsidRPr="00BC78CF">
        <w:rPr>
          <w:color w:val="FF0000"/>
        </w:rPr>
        <w:t xml:space="preserve">functionality </w:t>
      </w:r>
      <w:r w:rsidR="00325DB2" w:rsidRPr="00BC78CF">
        <w:rPr>
          <w:color w:val="FF0000"/>
        </w:rPr>
        <w:t>that:</w:t>
      </w:r>
    </w:p>
    <w:p w14:paraId="432794B2" w14:textId="422E3BCB" w:rsidR="00F72122" w:rsidRPr="00BC78CF" w:rsidRDefault="00F72122" w:rsidP="00F72122">
      <w:pPr>
        <w:pStyle w:val="paragraphsub"/>
        <w:rPr>
          <w:color w:val="FF0000"/>
        </w:rPr>
      </w:pPr>
      <w:r w:rsidRPr="00BC78CF">
        <w:rPr>
          <w:color w:val="FF0000"/>
        </w:rPr>
        <w:tab/>
        <w:t>(i)</w:t>
      </w:r>
      <w:r w:rsidRPr="00BC78CF">
        <w:rPr>
          <w:color w:val="FF0000"/>
        </w:rPr>
        <w:tab/>
        <w:t>can be used</w:t>
      </w:r>
      <w:r w:rsidR="00402E88" w:rsidRPr="00BC78CF">
        <w:rPr>
          <w:color w:val="FF0000"/>
        </w:rPr>
        <w:t xml:space="preserve"> by the relevant account holder</w:t>
      </w:r>
      <w:r w:rsidRPr="00BC78CF">
        <w:rPr>
          <w:color w:val="FF0000"/>
        </w:rPr>
        <w:t xml:space="preserve"> to manage approvals in relation to each authorisation to disclose joint account data made by </w:t>
      </w:r>
      <w:r w:rsidR="00402E88" w:rsidRPr="00BC78CF">
        <w:rPr>
          <w:color w:val="FF0000"/>
        </w:rPr>
        <w:t xml:space="preserve">a </w:t>
      </w:r>
      <w:r w:rsidRPr="00BC78CF">
        <w:rPr>
          <w:color w:val="FF0000"/>
        </w:rPr>
        <w:t>requester; and</w:t>
      </w:r>
    </w:p>
    <w:p w14:paraId="7852595B" w14:textId="055469D9" w:rsidR="00325DB2" w:rsidRPr="00BC78CF" w:rsidRDefault="00325DB2" w:rsidP="00325DB2">
      <w:pPr>
        <w:pStyle w:val="paragraphsub"/>
        <w:rPr>
          <w:color w:val="FF0000"/>
        </w:rPr>
      </w:pPr>
      <w:r w:rsidRPr="00BC78CF">
        <w:rPr>
          <w:color w:val="FF0000"/>
        </w:rPr>
        <w:tab/>
        <w:t>(i</w:t>
      </w:r>
      <w:r w:rsidR="00402E88" w:rsidRPr="00BC78CF">
        <w:rPr>
          <w:color w:val="FF0000"/>
        </w:rPr>
        <w:t>i</w:t>
      </w:r>
      <w:r w:rsidRPr="00BC78CF">
        <w:rPr>
          <w:color w:val="FF0000"/>
        </w:rPr>
        <w:t>)</w:t>
      </w:r>
      <w:r w:rsidRPr="00BC78CF">
        <w:rPr>
          <w:color w:val="FF0000"/>
        </w:rPr>
        <w:tab/>
        <w:t xml:space="preserve">allows for withdrawal, at any time, of </w:t>
      </w:r>
      <w:r w:rsidR="00402E88" w:rsidRPr="00BC78CF">
        <w:rPr>
          <w:color w:val="FF0000"/>
        </w:rPr>
        <w:t xml:space="preserve">such an </w:t>
      </w:r>
      <w:r w:rsidRPr="00BC78CF">
        <w:rPr>
          <w:color w:val="FF0000"/>
        </w:rPr>
        <w:t>approval; and</w:t>
      </w:r>
    </w:p>
    <w:p w14:paraId="0A3ADD71" w14:textId="0B211048" w:rsidR="00325DB2" w:rsidRPr="00BC78CF" w:rsidRDefault="00325DB2" w:rsidP="00325DB2">
      <w:pPr>
        <w:pStyle w:val="paragraphsub"/>
        <w:rPr>
          <w:color w:val="FF0000"/>
        </w:rPr>
      </w:pPr>
      <w:r w:rsidRPr="00BC78CF">
        <w:rPr>
          <w:color w:val="FF0000"/>
        </w:rPr>
        <w:tab/>
        <w:t>(</w:t>
      </w:r>
      <w:r w:rsidR="00402E88" w:rsidRPr="00BC78CF">
        <w:rPr>
          <w:color w:val="FF0000"/>
        </w:rPr>
        <w:t>ii</w:t>
      </w:r>
      <w:r w:rsidRPr="00BC78CF">
        <w:rPr>
          <w:color w:val="FF0000"/>
        </w:rPr>
        <w:t>i)</w:t>
      </w:r>
      <w:r w:rsidRPr="00BC78CF">
        <w:rPr>
          <w:color w:val="FF0000"/>
        </w:rPr>
        <w:tab/>
        <w:t>is simple and straightforward to use; and</w:t>
      </w:r>
    </w:p>
    <w:p w14:paraId="39F2BB7E" w14:textId="77777777" w:rsidR="00325DB2" w:rsidRPr="00BC78CF" w:rsidRDefault="00325DB2" w:rsidP="00325DB2">
      <w:pPr>
        <w:pStyle w:val="paragraphsub"/>
        <w:rPr>
          <w:color w:val="FF0000"/>
        </w:rPr>
      </w:pPr>
      <w:r w:rsidRPr="00BC78CF">
        <w:rPr>
          <w:color w:val="FF0000"/>
        </w:rPr>
        <w:tab/>
        <w:t>(iv)</w:t>
      </w:r>
      <w:r w:rsidRPr="00BC78CF">
        <w:rPr>
          <w:color w:val="FF0000"/>
        </w:rPr>
        <w:tab/>
        <w:t>is prominently displayed; and</w:t>
      </w:r>
    </w:p>
    <w:p w14:paraId="300FAE36" w14:textId="049C760E" w:rsidR="00325DB2" w:rsidRPr="00BC78CF" w:rsidRDefault="00325DB2" w:rsidP="00325DB2">
      <w:pPr>
        <w:pStyle w:val="paragraphsub"/>
        <w:rPr>
          <w:color w:val="FF0000"/>
        </w:rPr>
      </w:pPr>
      <w:r w:rsidRPr="00BC78CF">
        <w:rPr>
          <w:color w:val="FF0000"/>
        </w:rPr>
        <w:tab/>
        <w:t>(v)</w:t>
      </w:r>
      <w:r w:rsidRPr="00BC78CF">
        <w:rPr>
          <w:color w:val="FF0000"/>
        </w:rPr>
        <w:tab/>
        <w:t>as part of the withdrawal process, displays a message relating to the consequences of the withdrawal in accorda</w:t>
      </w:r>
      <w:r w:rsidR="00402E88" w:rsidRPr="00BC78CF">
        <w:rPr>
          <w:color w:val="FF0000"/>
        </w:rPr>
        <w:t>nce with the data standards.</w:t>
      </w:r>
    </w:p>
    <w:p w14:paraId="0F000B09" w14:textId="65BD946E" w:rsidR="00CC28A8" w:rsidRPr="00BC78CF" w:rsidRDefault="00CC28A8" w:rsidP="00CC28A8">
      <w:pPr>
        <w:pStyle w:val="notetext"/>
        <w:rPr>
          <w:color w:val="FF0000"/>
        </w:rPr>
      </w:pPr>
      <w:r w:rsidRPr="00BC78CF">
        <w:rPr>
          <w:color w:val="FF0000"/>
        </w:rPr>
        <w:t>Note:</w:t>
      </w:r>
      <w:r w:rsidRPr="00BC78CF">
        <w:rPr>
          <w:color w:val="FF0000"/>
        </w:rPr>
        <w:tab/>
        <w:t>This sub</w:t>
      </w:r>
      <w:r w:rsidR="008F7859" w:rsidRPr="00BC78CF">
        <w:rPr>
          <w:color w:val="FF0000"/>
        </w:rPr>
        <w:t>rule</w:t>
      </w:r>
      <w:r w:rsidRPr="00BC78CF">
        <w:rPr>
          <w:color w:val="FF0000"/>
        </w:rPr>
        <w:t xml:space="preserve"> is a civil penalty provision (see rule 9.8).</w:t>
      </w:r>
    </w:p>
    <w:p w14:paraId="0FB403F5" w14:textId="77777777" w:rsidR="00CC28A8" w:rsidRPr="00BC78CF" w:rsidRDefault="00CC28A8" w:rsidP="00CC28A8">
      <w:pPr>
        <w:pStyle w:val="subsection"/>
        <w:rPr>
          <w:color w:val="FF0000"/>
        </w:rPr>
      </w:pPr>
      <w:r w:rsidRPr="00BC78CF">
        <w:rPr>
          <w:color w:val="FF0000"/>
        </w:rPr>
        <w:tab/>
        <w:t>(2)</w:t>
      </w:r>
      <w:r w:rsidRPr="00BC78CF">
        <w:rPr>
          <w:color w:val="FF0000"/>
        </w:rPr>
        <w:tab/>
        <w:t xml:space="preserve">Such a service is the data holder’s </w:t>
      </w:r>
      <w:r w:rsidRPr="00BC78CF">
        <w:rPr>
          <w:b/>
          <w:i/>
          <w:color w:val="FF0000"/>
        </w:rPr>
        <w:t>consumer dashboard</w:t>
      </w:r>
      <w:r w:rsidRPr="00BC78CF">
        <w:rPr>
          <w:color w:val="FF0000"/>
        </w:rPr>
        <w:t xml:space="preserve"> for the relevant account holder.</w:t>
      </w:r>
    </w:p>
    <w:p w14:paraId="08087D83" w14:textId="2288A039" w:rsidR="00CC28A8" w:rsidRPr="00BC78CF" w:rsidRDefault="00CC28A8" w:rsidP="00CC28A8">
      <w:pPr>
        <w:pStyle w:val="subsection"/>
        <w:rPr>
          <w:color w:val="FF0000"/>
        </w:rPr>
      </w:pPr>
      <w:r w:rsidRPr="00BC78CF">
        <w:rPr>
          <w:color w:val="FF0000"/>
        </w:rPr>
        <w:tab/>
        <w:t>(3)</w:t>
      </w:r>
      <w:r w:rsidRPr="00BC78CF">
        <w:rPr>
          <w:color w:val="FF0000"/>
        </w:rPr>
        <w:tab/>
        <w:t>A data holder does not contravene subrule (1) i</w:t>
      </w:r>
      <w:r w:rsidR="00325DB2" w:rsidRPr="00BC78CF">
        <w:rPr>
          <w:color w:val="FF0000"/>
        </w:rPr>
        <w:t>n relation to subparagraphs </w:t>
      </w:r>
      <w:r w:rsidRPr="00BC78CF">
        <w:rPr>
          <w:color w:val="FF0000"/>
        </w:rPr>
        <w:t>(1)(c)(ii) and (iii) so long as it takes reasonable steps to ensure that the functionality complies with those subparagraphs.</w:t>
      </w:r>
    </w:p>
    <w:p w14:paraId="56B5CA1B" w14:textId="7FB88648" w:rsidR="00325DB2" w:rsidRPr="00BC78CF" w:rsidRDefault="00325DB2" w:rsidP="00325DB2">
      <w:pPr>
        <w:pStyle w:val="SubsectionHead"/>
        <w:rPr>
          <w:color w:val="FF0000"/>
        </w:rPr>
      </w:pPr>
      <w:r w:rsidRPr="00BC78CF">
        <w:rPr>
          <w:color w:val="FF0000"/>
        </w:rPr>
        <w:t xml:space="preserve">Common information on consumer </w:t>
      </w:r>
      <w:r w:rsidR="00AB3070" w:rsidRPr="00BC78CF">
        <w:rPr>
          <w:color w:val="FF0000"/>
        </w:rPr>
        <w:t>dashboard</w:t>
      </w:r>
    </w:p>
    <w:p w14:paraId="360058AC" w14:textId="202C0505" w:rsidR="00325DB2" w:rsidRPr="00BC78CF" w:rsidRDefault="00AB3070" w:rsidP="00CC28A8">
      <w:pPr>
        <w:pStyle w:val="subsection"/>
        <w:rPr>
          <w:color w:val="FF0000"/>
        </w:rPr>
      </w:pPr>
      <w:r w:rsidRPr="00BC78CF">
        <w:rPr>
          <w:color w:val="FF0000"/>
        </w:rPr>
        <w:tab/>
        <w:t>(4)</w:t>
      </w:r>
      <w:r w:rsidRPr="00BC78CF">
        <w:rPr>
          <w:color w:val="FF0000"/>
        </w:rPr>
        <w:tab/>
      </w:r>
      <w:r w:rsidR="00325DB2" w:rsidRPr="00BC78CF">
        <w:rPr>
          <w:color w:val="FF0000"/>
        </w:rPr>
        <w:t xml:space="preserve">For paragraph 1.15(1)(d) , if a relevant account holder’s consumer dashboard contains details of approvals under </w:t>
      </w:r>
      <w:r w:rsidRPr="00BC78CF">
        <w:rPr>
          <w:color w:val="FF0000"/>
        </w:rPr>
        <w:t>this Division</w:t>
      </w:r>
      <w:r w:rsidR="00325DB2" w:rsidRPr="00BC78CF">
        <w:rPr>
          <w:color w:val="FF0000"/>
        </w:rPr>
        <w:t>, the dashboards of the other joint account holders</w:t>
      </w:r>
      <w:r w:rsidRPr="00BC78CF">
        <w:rPr>
          <w:color w:val="FF0000"/>
        </w:rPr>
        <w:t xml:space="preserve"> </w:t>
      </w:r>
      <w:r w:rsidR="00325DB2" w:rsidRPr="00BC78CF">
        <w:rPr>
          <w:color w:val="FF0000"/>
        </w:rPr>
        <w:t>must contain those details.</w:t>
      </w:r>
    </w:p>
    <w:p w14:paraId="48C3C436" w14:textId="77777777" w:rsidR="00CC28A8" w:rsidRPr="00BC78CF" w:rsidRDefault="00CC28A8" w:rsidP="00CC28A8">
      <w:pPr>
        <w:pStyle w:val="SubsectionHead"/>
        <w:rPr>
          <w:color w:val="FF0000"/>
        </w:rPr>
      </w:pPr>
      <w:r w:rsidRPr="00BC78CF">
        <w:rPr>
          <w:color w:val="FF0000"/>
        </w:rPr>
        <w:t>Exception in the case of physical or financial harm or abuse</w:t>
      </w:r>
    </w:p>
    <w:p w14:paraId="194B193F" w14:textId="7168B2A7" w:rsidR="00CC28A8" w:rsidRPr="00BC78CF" w:rsidRDefault="008F7859" w:rsidP="00CC28A8">
      <w:pPr>
        <w:pStyle w:val="subsection"/>
        <w:rPr>
          <w:color w:val="FF0000"/>
        </w:rPr>
      </w:pPr>
      <w:r w:rsidRPr="00BC78CF">
        <w:rPr>
          <w:color w:val="FF0000"/>
        </w:rPr>
        <w:tab/>
        <w:t>(5</w:t>
      </w:r>
      <w:r w:rsidR="00CC28A8" w:rsidRPr="00BC78CF">
        <w:rPr>
          <w:color w:val="FF0000"/>
        </w:rPr>
        <w:t>)</w:t>
      </w:r>
      <w:r w:rsidR="00CC28A8" w:rsidRPr="00BC78CF">
        <w:rPr>
          <w:color w:val="FF0000"/>
        </w:rPr>
        <w:tab/>
        <w:t xml:space="preserve">Despite this </w:t>
      </w:r>
      <w:r w:rsidR="00AB3070" w:rsidRPr="00BC78CF">
        <w:rPr>
          <w:color w:val="FF0000"/>
        </w:rPr>
        <w:t>rule</w:t>
      </w:r>
      <w:r w:rsidR="00CC28A8" w:rsidRPr="00BC78CF">
        <w:rPr>
          <w:color w:val="FF0000"/>
        </w:rPr>
        <w:t>, the data holder may decline:</w:t>
      </w:r>
    </w:p>
    <w:p w14:paraId="71144041" w14:textId="77777777" w:rsidR="00CC28A8" w:rsidRPr="00BC78CF" w:rsidRDefault="00CC28A8" w:rsidP="00CC28A8">
      <w:pPr>
        <w:pStyle w:val="paragraph"/>
        <w:rPr>
          <w:color w:val="FF0000"/>
        </w:rPr>
      </w:pPr>
      <w:r w:rsidRPr="00BC78CF">
        <w:rPr>
          <w:color w:val="FF0000"/>
        </w:rPr>
        <w:tab/>
        <w:t>(a)</w:t>
      </w:r>
      <w:r w:rsidRPr="00BC78CF">
        <w:rPr>
          <w:color w:val="FF0000"/>
        </w:rPr>
        <w:tab/>
        <w:t>to provide a relevant account holder with a consumer dashboard; or</w:t>
      </w:r>
    </w:p>
    <w:p w14:paraId="30F1EA8F" w14:textId="09F5F2D7" w:rsidR="00CC28A8" w:rsidRPr="00BC78CF" w:rsidRDefault="00CC28A8" w:rsidP="00CC28A8">
      <w:pPr>
        <w:pStyle w:val="paragraph"/>
        <w:rPr>
          <w:color w:val="FF0000"/>
        </w:rPr>
      </w:pPr>
      <w:r w:rsidRPr="00BC78CF">
        <w:rPr>
          <w:color w:val="FF0000"/>
        </w:rPr>
        <w:tab/>
        <w:t>(b)</w:t>
      </w:r>
      <w:r w:rsidRPr="00BC78CF">
        <w:rPr>
          <w:color w:val="FF0000"/>
        </w:rPr>
        <w:tab/>
        <w:t xml:space="preserve">to reflect details </w:t>
      </w:r>
      <w:r w:rsidR="00AB3070" w:rsidRPr="00BC78CF">
        <w:rPr>
          <w:color w:val="FF0000"/>
        </w:rPr>
        <w:t xml:space="preserve">mentioned in paragraph (1)(d) or subrule (4) </w:t>
      </w:r>
      <w:r w:rsidRPr="00BC78CF">
        <w:rPr>
          <w:color w:val="FF0000"/>
        </w:rPr>
        <w:t>in the dashboard</w:t>
      </w:r>
      <w:r w:rsidR="00AB3070" w:rsidRPr="00BC78CF">
        <w:rPr>
          <w:color w:val="FF0000"/>
        </w:rPr>
        <w:t xml:space="preserve"> of a joint account holder</w:t>
      </w:r>
      <w:r w:rsidRPr="00BC78CF">
        <w:rPr>
          <w:color w:val="FF0000"/>
        </w:rPr>
        <w:t>;</w:t>
      </w:r>
    </w:p>
    <w:p w14:paraId="4BC04DFC" w14:textId="77777777" w:rsidR="00CC28A8" w:rsidRPr="00BC78CF" w:rsidRDefault="00CC28A8" w:rsidP="00CC28A8">
      <w:pPr>
        <w:pStyle w:val="subsection"/>
        <w:spacing w:before="40"/>
        <w:rPr>
          <w:color w:val="FF0000"/>
        </w:rPr>
      </w:pPr>
      <w:r w:rsidRPr="00BC78CF">
        <w:rPr>
          <w:color w:val="FF0000"/>
        </w:rPr>
        <w:tab/>
      </w:r>
      <w:r w:rsidRPr="00BC78CF">
        <w:rPr>
          <w:color w:val="FF0000"/>
        </w:rPr>
        <w:tab/>
        <w:t>if it considers it necessary to do either in order to prevent physical or financial harm or abuse.</w:t>
      </w:r>
    </w:p>
    <w:p w14:paraId="420CA2D7" w14:textId="00AC8CBA" w:rsidR="00425D83" w:rsidRPr="00BC78CF" w:rsidRDefault="00832060" w:rsidP="00425D83">
      <w:pPr>
        <w:pStyle w:val="ActHead5"/>
        <w:rPr>
          <w:color w:val="FF0000"/>
        </w:rPr>
      </w:pPr>
      <w:r w:rsidRPr="00BC78CF">
        <w:rPr>
          <w:color w:val="FF0000"/>
        </w:rPr>
        <w:t xml:space="preserve"> </w:t>
      </w:r>
      <w:bookmarkStart w:id="349" w:name="_Toc74916190"/>
      <w:r w:rsidRPr="00BC78CF">
        <w:rPr>
          <w:color w:val="FF0000"/>
        </w:rPr>
        <w:t>4A.16</w:t>
      </w:r>
      <w:r w:rsidR="00AB3070" w:rsidRPr="00BC78CF">
        <w:rPr>
          <w:color w:val="FF0000"/>
        </w:rPr>
        <w:t xml:space="preserve"> </w:t>
      </w:r>
      <w:r w:rsidR="00CC28A8" w:rsidRPr="00BC78CF">
        <w:rPr>
          <w:color w:val="FF0000"/>
        </w:rPr>
        <w:t>Notification requirements for consumer data requests on joint accounts</w:t>
      </w:r>
      <w:bookmarkEnd w:id="349"/>
    </w:p>
    <w:p w14:paraId="66C237CF" w14:textId="0A0FA2CA" w:rsidR="00425D83" w:rsidRPr="00BC78CF" w:rsidRDefault="00425D83" w:rsidP="00425D83">
      <w:pPr>
        <w:pStyle w:val="subsection"/>
        <w:rPr>
          <w:color w:val="FF0000"/>
        </w:rPr>
      </w:pPr>
      <w:r w:rsidRPr="00BC78CF">
        <w:rPr>
          <w:color w:val="FF0000"/>
        </w:rPr>
        <w:tab/>
        <w:t>(1)</w:t>
      </w:r>
      <w:r w:rsidRPr="00BC78CF">
        <w:rPr>
          <w:color w:val="FF0000"/>
        </w:rPr>
        <w:tab/>
        <w:t xml:space="preserve">For this </w:t>
      </w:r>
      <w:r w:rsidR="00E2351E" w:rsidRPr="00BC78CF">
        <w:rPr>
          <w:color w:val="FF0000"/>
        </w:rPr>
        <w:t>rule</w:t>
      </w:r>
      <w:r w:rsidRPr="00BC78CF">
        <w:rPr>
          <w:color w:val="FF0000"/>
        </w:rPr>
        <w:t>, a</w:t>
      </w:r>
      <w:r w:rsidR="005D38AF" w:rsidRPr="00BC78CF">
        <w:rPr>
          <w:color w:val="FF0000"/>
        </w:rPr>
        <w:t>n</w:t>
      </w:r>
      <w:r w:rsidRPr="00BC78CF">
        <w:rPr>
          <w:color w:val="FF0000"/>
        </w:rPr>
        <w:t xml:space="preserve"> </w:t>
      </w:r>
      <w:r w:rsidR="005D38AF" w:rsidRPr="00BC78CF">
        <w:rPr>
          <w:b/>
          <w:i/>
          <w:color w:val="FF0000"/>
        </w:rPr>
        <w:t>approval n</w:t>
      </w:r>
      <w:r w:rsidRPr="00BC78CF">
        <w:rPr>
          <w:b/>
          <w:i/>
          <w:color w:val="FF0000"/>
        </w:rPr>
        <w:t xml:space="preserve">otification </w:t>
      </w:r>
      <w:r w:rsidRPr="00BC78CF">
        <w:rPr>
          <w:color w:val="FF0000"/>
        </w:rPr>
        <w:t>is a notice given by the data holder</w:t>
      </w:r>
      <w:r w:rsidR="005D38AF" w:rsidRPr="00BC78CF">
        <w:rPr>
          <w:color w:val="FF0000"/>
        </w:rPr>
        <w:t>:</w:t>
      </w:r>
    </w:p>
    <w:p w14:paraId="751B95FE" w14:textId="2367C675" w:rsidR="005D38AF" w:rsidRPr="00BC78CF" w:rsidRDefault="005D38AF" w:rsidP="005D38AF">
      <w:pPr>
        <w:pStyle w:val="paragraph"/>
        <w:rPr>
          <w:color w:val="FF0000"/>
        </w:rPr>
      </w:pPr>
      <w:r w:rsidRPr="00BC78CF">
        <w:rPr>
          <w:color w:val="FF0000"/>
        </w:rPr>
        <w:tab/>
        <w:t>(a)</w:t>
      </w:r>
      <w:r w:rsidRPr="00BC78CF">
        <w:rPr>
          <w:color w:val="FF0000"/>
        </w:rPr>
        <w:tab/>
        <w:t xml:space="preserve">to a relevant account holder, to inform them that </w:t>
      </w:r>
      <w:r w:rsidR="00425D83" w:rsidRPr="00BC78CF">
        <w:rPr>
          <w:color w:val="FF0000"/>
        </w:rPr>
        <w:t xml:space="preserve">the requester </w:t>
      </w:r>
      <w:r w:rsidRPr="00BC78CF">
        <w:rPr>
          <w:color w:val="FF0000"/>
        </w:rPr>
        <w:t>has given, amended or withdrawn an authorisation, or that the authorisation has expired; or</w:t>
      </w:r>
    </w:p>
    <w:p w14:paraId="2E1C8A19" w14:textId="5F354BB2" w:rsidR="005D38AF" w:rsidRPr="00BC78CF" w:rsidRDefault="005D38AF" w:rsidP="005D38AF">
      <w:pPr>
        <w:pStyle w:val="paragraph"/>
        <w:rPr>
          <w:color w:val="FF0000"/>
        </w:rPr>
      </w:pPr>
      <w:r w:rsidRPr="00BC78CF">
        <w:rPr>
          <w:color w:val="FF0000"/>
        </w:rPr>
        <w:tab/>
        <w:t>(b)</w:t>
      </w:r>
      <w:r w:rsidRPr="00BC78CF">
        <w:rPr>
          <w:color w:val="FF0000"/>
        </w:rPr>
        <w:tab/>
        <w:t>to the requester, to inform them that:</w:t>
      </w:r>
    </w:p>
    <w:p w14:paraId="46E2A44A" w14:textId="5E068A6F" w:rsidR="005D38AF" w:rsidRPr="00BC78CF" w:rsidRDefault="005D38AF" w:rsidP="005D38AF">
      <w:pPr>
        <w:pStyle w:val="paragraphsub"/>
        <w:rPr>
          <w:color w:val="FF0000"/>
        </w:rPr>
      </w:pPr>
      <w:r w:rsidRPr="00BC78CF">
        <w:rPr>
          <w:color w:val="FF0000"/>
        </w:rPr>
        <w:tab/>
        <w:t>(a)</w:t>
      </w:r>
      <w:r w:rsidRPr="00BC78CF">
        <w:rPr>
          <w:color w:val="FF0000"/>
        </w:rPr>
        <w:tab/>
        <w:t xml:space="preserve">one or more of the relevant account holders has not given their approval for disclosure within </w:t>
      </w:r>
      <w:r w:rsidRPr="00BC78CF">
        <w:rPr>
          <w:color w:val="FF0000"/>
          <w:lang w:val="en-US"/>
        </w:rPr>
        <w:t>the time frame referred to in paragraph </w:t>
      </w:r>
      <w:r w:rsidR="000B1D10" w:rsidRPr="00BC78CF">
        <w:rPr>
          <w:color w:val="FF0000"/>
          <w:lang w:val="en-US"/>
        </w:rPr>
        <w:t>4</w:t>
      </w:r>
      <w:r w:rsidR="00832060" w:rsidRPr="00BC78CF">
        <w:rPr>
          <w:color w:val="FF0000"/>
          <w:lang w:val="en-US"/>
        </w:rPr>
        <w:t>A</w:t>
      </w:r>
      <w:r w:rsidR="000B1D10" w:rsidRPr="00BC78CF">
        <w:rPr>
          <w:color w:val="FF0000"/>
          <w:lang w:val="en-US"/>
        </w:rPr>
        <w:t>.12</w:t>
      </w:r>
      <w:r w:rsidRPr="00BC78CF">
        <w:rPr>
          <w:color w:val="FF0000"/>
          <w:lang w:val="en-US"/>
        </w:rPr>
        <w:t>(2)(e); or</w:t>
      </w:r>
    </w:p>
    <w:p w14:paraId="36167D80" w14:textId="77777777" w:rsidR="00856A1A" w:rsidRPr="00BC78CF" w:rsidRDefault="005D38AF" w:rsidP="005D38AF">
      <w:pPr>
        <w:pStyle w:val="paragraphsub"/>
        <w:rPr>
          <w:color w:val="FF0000"/>
        </w:rPr>
      </w:pPr>
      <w:r w:rsidRPr="00BC78CF">
        <w:rPr>
          <w:color w:val="FF0000"/>
        </w:rPr>
        <w:tab/>
        <w:t>(b)</w:t>
      </w:r>
      <w:r w:rsidRPr="00BC78CF">
        <w:rPr>
          <w:color w:val="FF0000"/>
        </w:rPr>
        <w:tab/>
        <w:t>a relevant account holder has withdrawn an approval previously given</w:t>
      </w:r>
      <w:r w:rsidR="00856A1A" w:rsidRPr="00BC78CF">
        <w:rPr>
          <w:color w:val="FF0000"/>
        </w:rPr>
        <w:t>;</w:t>
      </w:r>
    </w:p>
    <w:p w14:paraId="01709A98" w14:textId="58D5349F" w:rsidR="005D38AF" w:rsidRPr="00BC78CF" w:rsidRDefault="00856A1A" w:rsidP="00856A1A">
      <w:pPr>
        <w:pStyle w:val="subsection20"/>
        <w:rPr>
          <w:color w:val="FF0000"/>
        </w:rPr>
      </w:pPr>
      <w:r w:rsidRPr="00BC78CF">
        <w:rPr>
          <w:color w:val="FF0000"/>
        </w:rPr>
        <w:tab/>
      </w:r>
      <w:r w:rsidRPr="00BC78CF">
        <w:rPr>
          <w:color w:val="FF0000"/>
        </w:rPr>
        <w:tab/>
        <w:t>in accordance with the data standards.</w:t>
      </w:r>
    </w:p>
    <w:p w14:paraId="650920BF" w14:textId="14E4DDF3" w:rsidR="005D38AF" w:rsidRPr="00BC78CF" w:rsidRDefault="005D38AF" w:rsidP="005D38AF">
      <w:pPr>
        <w:pStyle w:val="subsection"/>
        <w:rPr>
          <w:color w:val="FF0000"/>
        </w:rPr>
      </w:pPr>
      <w:r w:rsidRPr="00BC78CF">
        <w:rPr>
          <w:color w:val="FF0000"/>
        </w:rPr>
        <w:tab/>
        <w:t>(2)</w:t>
      </w:r>
      <w:r w:rsidRPr="00BC78CF">
        <w:rPr>
          <w:color w:val="FF0000"/>
        </w:rPr>
        <w:tab/>
        <w:t xml:space="preserve">Subject to this rule, the data holder must make </w:t>
      </w:r>
      <w:r w:rsidR="00E2351E" w:rsidRPr="00BC78CF">
        <w:rPr>
          <w:color w:val="FF0000"/>
        </w:rPr>
        <w:t>the appropriate approval notifications when the events mentioned in subrule (1) occur, through its ordinary means of contacting the joint account holders.</w:t>
      </w:r>
    </w:p>
    <w:p w14:paraId="7D476AFF" w14:textId="77777777" w:rsidR="00E2351E" w:rsidRPr="00BC78CF" w:rsidRDefault="00E2351E" w:rsidP="00E2351E">
      <w:pPr>
        <w:pStyle w:val="notetext"/>
        <w:rPr>
          <w:color w:val="FF0000"/>
        </w:rPr>
      </w:pPr>
      <w:r w:rsidRPr="00BC78CF">
        <w:rPr>
          <w:color w:val="FF0000"/>
        </w:rPr>
        <w:t>Note:</w:t>
      </w:r>
      <w:r w:rsidRPr="00BC78CF">
        <w:rPr>
          <w:color w:val="FF0000"/>
        </w:rPr>
        <w:tab/>
        <w:t>This subrule is a civil penalty provision (see rule 9.8).</w:t>
      </w:r>
    </w:p>
    <w:p w14:paraId="74FA2EFD" w14:textId="77777777" w:rsidR="00C727C9" w:rsidRPr="00BC78CF" w:rsidRDefault="00C727C9" w:rsidP="00C727C9">
      <w:pPr>
        <w:pStyle w:val="subsection"/>
        <w:rPr>
          <w:color w:val="FF0000"/>
        </w:rPr>
      </w:pPr>
      <w:r w:rsidRPr="00BC78CF">
        <w:rPr>
          <w:color w:val="FF0000"/>
        </w:rPr>
        <w:tab/>
        <w:t>(3)</w:t>
      </w:r>
      <w:r w:rsidRPr="00BC78CF">
        <w:rPr>
          <w:color w:val="FF0000"/>
        </w:rPr>
        <w:tab/>
        <w:t>The data holder must, in accordance with any relevant data standards:</w:t>
      </w:r>
    </w:p>
    <w:p w14:paraId="3CE99CF7" w14:textId="77777777" w:rsidR="00C727C9" w:rsidRPr="00BC78CF" w:rsidRDefault="00C727C9" w:rsidP="00C727C9">
      <w:pPr>
        <w:pStyle w:val="paragraph"/>
        <w:rPr>
          <w:color w:val="FF0000"/>
        </w:rPr>
      </w:pPr>
      <w:r w:rsidRPr="00BC78CF">
        <w:rPr>
          <w:color w:val="FF0000"/>
        </w:rPr>
        <w:tab/>
        <w:t>(a)</w:t>
      </w:r>
      <w:r w:rsidRPr="00BC78CF">
        <w:rPr>
          <w:color w:val="FF0000"/>
        </w:rPr>
        <w:tab/>
        <w:t>provide for alternative notification mechanisms;</w:t>
      </w:r>
    </w:p>
    <w:p w14:paraId="69378FB6" w14:textId="77777777" w:rsidR="00C727C9" w:rsidRPr="00BC78CF" w:rsidRDefault="00C727C9" w:rsidP="00C727C9">
      <w:pPr>
        <w:pStyle w:val="paragraph"/>
        <w:rPr>
          <w:color w:val="FF0000"/>
        </w:rPr>
      </w:pPr>
      <w:r w:rsidRPr="00BC78CF">
        <w:rPr>
          <w:color w:val="FF0000"/>
        </w:rPr>
        <w:tab/>
        <w:t>(a)</w:t>
      </w:r>
      <w:r w:rsidRPr="00BC78CF">
        <w:rPr>
          <w:color w:val="FF0000"/>
        </w:rPr>
        <w:tab/>
        <w:t>give each joint account holder a means of selecting such an alternative, and of changing a selection; and</w:t>
      </w:r>
    </w:p>
    <w:p w14:paraId="13912D1C" w14:textId="77777777" w:rsidR="00C727C9" w:rsidRPr="00BC78CF" w:rsidRDefault="00C727C9" w:rsidP="00C727C9">
      <w:pPr>
        <w:pStyle w:val="paragraph"/>
        <w:rPr>
          <w:color w:val="FF0000"/>
        </w:rPr>
      </w:pPr>
      <w:r w:rsidRPr="00BC78CF">
        <w:rPr>
          <w:color w:val="FF0000"/>
        </w:rPr>
        <w:tab/>
        <w:t xml:space="preserve">(b) </w:t>
      </w:r>
      <w:r w:rsidRPr="00BC78CF">
        <w:rPr>
          <w:color w:val="FF0000"/>
        </w:rPr>
        <w:tab/>
        <w:t>make approval notifications in accordance with the selections.</w:t>
      </w:r>
    </w:p>
    <w:p w14:paraId="437C458B" w14:textId="77777777" w:rsidR="00C727C9" w:rsidRPr="00BC78CF" w:rsidRDefault="00C727C9" w:rsidP="00C727C9">
      <w:pPr>
        <w:pStyle w:val="notetext"/>
        <w:rPr>
          <w:color w:val="FF0000"/>
        </w:rPr>
      </w:pPr>
      <w:r w:rsidRPr="00BC78CF">
        <w:rPr>
          <w:color w:val="FF0000"/>
        </w:rPr>
        <w:t>Note:</w:t>
      </w:r>
      <w:r w:rsidRPr="00BC78CF">
        <w:rPr>
          <w:color w:val="FF0000"/>
        </w:rPr>
        <w:tab/>
        <w:t>This subrule is a civil penalty provision (see rule 9.8).</w:t>
      </w:r>
    </w:p>
    <w:p w14:paraId="646BC950" w14:textId="4A59B845" w:rsidR="00CC28A8" w:rsidRPr="00BC78CF" w:rsidRDefault="00856A1A" w:rsidP="00CC28A8">
      <w:pPr>
        <w:pStyle w:val="subsection"/>
        <w:rPr>
          <w:color w:val="FF0000"/>
          <w:shd w:val="clear" w:color="auto" w:fill="FFFFFF"/>
        </w:rPr>
      </w:pPr>
      <w:r w:rsidRPr="00BC78CF">
        <w:rPr>
          <w:color w:val="FF0000"/>
          <w:shd w:val="clear" w:color="auto" w:fill="FFFFFF"/>
        </w:rPr>
        <w:tab/>
        <w:t>(4</w:t>
      </w:r>
      <w:r w:rsidR="00CC28A8" w:rsidRPr="00BC78CF">
        <w:rPr>
          <w:color w:val="FF0000"/>
          <w:shd w:val="clear" w:color="auto" w:fill="FFFFFF"/>
        </w:rPr>
        <w:t>)</w:t>
      </w:r>
      <w:r w:rsidR="00CC28A8" w:rsidRPr="00BC78CF">
        <w:rPr>
          <w:color w:val="FF0000"/>
          <w:shd w:val="clear" w:color="auto" w:fill="FFFFFF"/>
        </w:rPr>
        <w:tab/>
        <w:t>However, a</w:t>
      </w:r>
      <w:r w:rsidRPr="00BC78CF">
        <w:rPr>
          <w:color w:val="FF0000"/>
          <w:shd w:val="clear" w:color="auto" w:fill="FFFFFF"/>
        </w:rPr>
        <w:t>n approval</w:t>
      </w:r>
      <w:r w:rsidR="00CC28A8" w:rsidRPr="00BC78CF">
        <w:rPr>
          <w:color w:val="FF0000"/>
          <w:shd w:val="clear" w:color="auto" w:fill="FFFFFF"/>
        </w:rPr>
        <w:t xml:space="preserve"> notification to a particular account holder under this </w:t>
      </w:r>
      <w:r w:rsidR="008F7859" w:rsidRPr="00BC78CF">
        <w:rPr>
          <w:color w:val="FF0000"/>
          <w:shd w:val="clear" w:color="auto" w:fill="FFFFFF"/>
        </w:rPr>
        <w:t>rule</w:t>
      </w:r>
      <w:r w:rsidR="00CC28A8" w:rsidRPr="00BC78CF">
        <w:rPr>
          <w:color w:val="FF0000"/>
          <w:shd w:val="clear" w:color="auto" w:fill="FFFFFF"/>
        </w:rPr>
        <w:t xml:space="preserve"> is not required if the data holder considers it necessary to avoid notifying that account holder in order to prevent physical or financial harm or abuse.</w:t>
      </w:r>
    </w:p>
    <w:p w14:paraId="57A7E821" w14:textId="47A60A19" w:rsidR="00CF0E3D" w:rsidRDefault="00CF0E3D" w:rsidP="00CF0E3D">
      <w:pPr>
        <w:pStyle w:val="ActHead2"/>
      </w:pPr>
      <w:bookmarkStart w:id="350" w:name="_Toc74916191"/>
      <w:r>
        <w:t>Part 5—Rules relating to accreditation etc.</w:t>
      </w:r>
      <w:bookmarkEnd w:id="328"/>
      <w:bookmarkEnd w:id="350"/>
    </w:p>
    <w:p w14:paraId="5F810D88" w14:textId="77777777" w:rsidR="00CF0E3D" w:rsidRPr="00641354" w:rsidRDefault="00CF0E3D" w:rsidP="00CF0E3D">
      <w:pPr>
        <w:pStyle w:val="ActHead3"/>
        <w:rPr>
          <w:color w:val="000000"/>
        </w:rPr>
      </w:pPr>
      <w:bookmarkStart w:id="351" w:name="_Toc11771627"/>
      <w:bookmarkStart w:id="352" w:name="_Toc74916192"/>
      <w:r>
        <w:rPr>
          <w:color w:val="000000"/>
        </w:rPr>
        <w:t>Division 5.1</w:t>
      </w:r>
      <w:r w:rsidRPr="00641354">
        <w:rPr>
          <w:color w:val="000000"/>
        </w:rPr>
        <w:t>—Preliminary</w:t>
      </w:r>
      <w:bookmarkEnd w:id="351"/>
      <w:bookmarkEnd w:id="352"/>
    </w:p>
    <w:p w14:paraId="74F1088C" w14:textId="77777777" w:rsidR="00CF0E3D" w:rsidRPr="00641354" w:rsidRDefault="00CF0E3D" w:rsidP="00CF0E3D">
      <w:pPr>
        <w:pStyle w:val="ActHead5"/>
        <w:rPr>
          <w:color w:val="000000"/>
        </w:rPr>
      </w:pPr>
      <w:bookmarkStart w:id="353" w:name="_Toc11771628"/>
      <w:bookmarkStart w:id="354" w:name="_Toc74916193"/>
      <w:r>
        <w:rPr>
          <w:color w:val="000000"/>
        </w:rPr>
        <w:t>5.1</w:t>
      </w:r>
      <w:r w:rsidRPr="00641354">
        <w:rPr>
          <w:color w:val="000000"/>
        </w:rPr>
        <w:t xml:space="preserve">  Simplified outline of this Part</w:t>
      </w:r>
      <w:bookmarkEnd w:id="353"/>
      <w:bookmarkEnd w:id="354"/>
    </w:p>
    <w:p w14:paraId="5DE1E382" w14:textId="77777777" w:rsidR="00CF0E3D" w:rsidRDefault="00CF0E3D" w:rsidP="00CF0E3D">
      <w:pPr>
        <w:pStyle w:val="SOText"/>
        <w:rPr>
          <w:color w:val="000000"/>
        </w:rPr>
      </w:pPr>
      <w:r>
        <w:rPr>
          <w:color w:val="000000"/>
        </w:rPr>
        <w:t xml:space="preserve">A person may apply under this Part to be an accredited person. The Data Recipient Accreditor </w:t>
      </w:r>
      <w:r w:rsidRPr="00005026">
        <w:t xml:space="preserve">may accredit </w:t>
      </w:r>
      <w:r>
        <w:rPr>
          <w:color w:val="000000"/>
        </w:rPr>
        <w:t>a person, under section 56CA of the Act, if satisfied that the person meets the criteria for accreditation specified in this Part. This Part also deals with:</w:t>
      </w:r>
    </w:p>
    <w:p w14:paraId="3DE1EDC9" w14:textId="77777777" w:rsidR="00CF0E3D" w:rsidRDefault="00CF0E3D" w:rsidP="00CF0E3D">
      <w:pPr>
        <w:pStyle w:val="SOPara"/>
      </w:pPr>
      <w:r>
        <w:tab/>
      </w:r>
      <w:r>
        <w:sym w:font="Symbol" w:char="F0B7"/>
      </w:r>
      <w:r>
        <w:tab/>
        <w:t>how applications are dealt with by the Data Recipient Accreditor; and</w:t>
      </w:r>
    </w:p>
    <w:p w14:paraId="1F6BFFA7" w14:textId="77777777" w:rsidR="00CF0E3D" w:rsidRDefault="00CF0E3D" w:rsidP="00CF0E3D">
      <w:pPr>
        <w:pStyle w:val="SOPara"/>
      </w:pPr>
      <w:r>
        <w:tab/>
      </w:r>
      <w:r>
        <w:sym w:font="Symbol" w:char="F0B7"/>
      </w:r>
      <w:r>
        <w:tab/>
        <w:t>obligations of accredited persons; and</w:t>
      </w:r>
    </w:p>
    <w:p w14:paraId="0D3B7606" w14:textId="77777777" w:rsidR="00CF0E3D" w:rsidRDefault="00CF0E3D" w:rsidP="00CF0E3D">
      <w:pPr>
        <w:pStyle w:val="SOPara"/>
      </w:pPr>
      <w:r>
        <w:tab/>
      </w:r>
      <w:r>
        <w:sym w:font="Symbol" w:char="F0B7"/>
      </w:r>
      <w:r>
        <w:tab/>
        <w:t>the transfer, suspension</w:t>
      </w:r>
      <w:r w:rsidRPr="000C3240">
        <w:rPr>
          <w:color w:val="000000" w:themeColor="text1"/>
        </w:rPr>
        <w:t>, surrender</w:t>
      </w:r>
      <w:r>
        <w:t xml:space="preserve"> and revocation of accreditations; and</w:t>
      </w:r>
    </w:p>
    <w:p w14:paraId="3D2B7B2D" w14:textId="77777777" w:rsidR="00CF0E3D" w:rsidRDefault="00CF0E3D" w:rsidP="00CF0E3D">
      <w:pPr>
        <w:pStyle w:val="SOPara"/>
      </w:pPr>
      <w:r>
        <w:tab/>
      </w:r>
      <w:r>
        <w:sym w:font="Symbol" w:char="F0B7"/>
      </w:r>
      <w:r>
        <w:tab/>
        <w:t>related functions of the Data Recipient Accreditor.</w:t>
      </w:r>
    </w:p>
    <w:p w14:paraId="482153A0" w14:textId="77777777" w:rsidR="00CF0E3D" w:rsidRDefault="00CF0E3D" w:rsidP="00CF0E3D">
      <w:pPr>
        <w:pStyle w:val="SOText"/>
        <w:rPr>
          <w:color w:val="000000"/>
        </w:rPr>
      </w:pPr>
      <w:r>
        <w:rPr>
          <w:color w:val="000000"/>
        </w:rPr>
        <w:t>This Part deals with how entries are added to the Register of Accredited Persons, and how that Register is updated, amended and corrected.</w:t>
      </w:r>
    </w:p>
    <w:p w14:paraId="4191F8A4" w14:textId="77777777" w:rsidR="00CF0E3D" w:rsidRDefault="00CF0E3D" w:rsidP="00CF0E3D">
      <w:pPr>
        <w:pStyle w:val="ActHead3"/>
        <w:pageBreakBefore/>
      </w:pPr>
      <w:bookmarkStart w:id="355" w:name="_Toc11771629"/>
      <w:bookmarkStart w:id="356" w:name="_Toc74916194"/>
      <w:r>
        <w:t>Division 5.2—Rules relating to accreditation process</w:t>
      </w:r>
      <w:bookmarkEnd w:id="355"/>
      <w:bookmarkEnd w:id="356"/>
    </w:p>
    <w:p w14:paraId="15A30F92" w14:textId="092024F8" w:rsidR="00350945" w:rsidRPr="00BC78CF" w:rsidRDefault="00350945" w:rsidP="00350945">
      <w:pPr>
        <w:pStyle w:val="ActHead4"/>
        <w:rPr>
          <w:color w:val="FF0000"/>
        </w:rPr>
      </w:pPr>
      <w:bookmarkStart w:id="357" w:name="_Toc56521536"/>
      <w:bookmarkStart w:id="358" w:name="_Toc74916195"/>
      <w:bookmarkStart w:id="359" w:name="_Toc11771630"/>
      <w:r w:rsidRPr="00BC78CF">
        <w:rPr>
          <w:color w:val="FF0000"/>
        </w:rPr>
        <w:t>Subdivision 5.2.1A—Levels of accreditation</w:t>
      </w:r>
      <w:bookmarkEnd w:id="357"/>
      <w:bookmarkEnd w:id="358"/>
    </w:p>
    <w:p w14:paraId="2B990B1D" w14:textId="3136FBD6" w:rsidR="00350945" w:rsidRPr="00BC78CF" w:rsidRDefault="00350945" w:rsidP="00350945">
      <w:pPr>
        <w:pStyle w:val="ActHead5"/>
        <w:rPr>
          <w:color w:val="FF0000"/>
        </w:rPr>
      </w:pPr>
      <w:bookmarkStart w:id="360" w:name="_Toc56521537"/>
      <w:bookmarkStart w:id="361" w:name="_Toc74916196"/>
      <w:r w:rsidRPr="00BC78CF">
        <w:rPr>
          <w:color w:val="FF0000"/>
        </w:rPr>
        <w:t>5.1A  Levels of accreditation</w:t>
      </w:r>
      <w:bookmarkEnd w:id="360"/>
      <w:bookmarkEnd w:id="361"/>
    </w:p>
    <w:p w14:paraId="294C1E6B" w14:textId="473CBD3D" w:rsidR="00350945" w:rsidRPr="00BC78CF" w:rsidRDefault="00350945" w:rsidP="00350945">
      <w:pPr>
        <w:pStyle w:val="subsection"/>
        <w:rPr>
          <w:color w:val="FF0000"/>
        </w:rPr>
      </w:pPr>
      <w:r w:rsidRPr="00BC78CF">
        <w:rPr>
          <w:color w:val="FF0000"/>
        </w:rPr>
        <w:tab/>
      </w:r>
      <w:r w:rsidR="004F42E2" w:rsidRPr="00BC78CF">
        <w:rPr>
          <w:color w:val="FF0000"/>
        </w:rPr>
        <w:tab/>
      </w:r>
      <w:r w:rsidRPr="00BC78CF">
        <w:rPr>
          <w:color w:val="FF0000"/>
        </w:rPr>
        <w:t xml:space="preserve">Accreditation may be at either of the following </w:t>
      </w:r>
      <w:r w:rsidRPr="00BC78CF">
        <w:rPr>
          <w:b/>
          <w:i/>
          <w:color w:val="FF0000"/>
        </w:rPr>
        <w:t>levels</w:t>
      </w:r>
      <w:r w:rsidRPr="00BC78CF">
        <w:rPr>
          <w:color w:val="FF0000"/>
        </w:rPr>
        <w:t>:</w:t>
      </w:r>
    </w:p>
    <w:p w14:paraId="6837C244" w14:textId="77777777" w:rsidR="00350945" w:rsidRPr="00BC78CF" w:rsidRDefault="00350945" w:rsidP="00350945">
      <w:pPr>
        <w:pStyle w:val="paragraph"/>
        <w:rPr>
          <w:color w:val="FF0000"/>
        </w:rPr>
      </w:pPr>
      <w:r w:rsidRPr="00BC78CF">
        <w:rPr>
          <w:color w:val="FF0000"/>
        </w:rPr>
        <w:tab/>
        <w:t>(a)</w:t>
      </w:r>
      <w:r w:rsidRPr="00BC78CF">
        <w:rPr>
          <w:color w:val="FF0000"/>
        </w:rPr>
        <w:tab/>
        <w:t>unrestricted;</w:t>
      </w:r>
    </w:p>
    <w:p w14:paraId="3E248AE9" w14:textId="7AB7F1B1" w:rsidR="00350945" w:rsidRPr="00BC78CF" w:rsidRDefault="00350945" w:rsidP="00350945">
      <w:pPr>
        <w:pStyle w:val="paragraph"/>
        <w:rPr>
          <w:color w:val="FF0000"/>
        </w:rPr>
      </w:pPr>
      <w:r w:rsidRPr="00BC78CF">
        <w:rPr>
          <w:color w:val="FF0000"/>
        </w:rPr>
        <w:tab/>
        <w:t>(b)</w:t>
      </w:r>
      <w:r w:rsidRPr="00BC78CF">
        <w:rPr>
          <w:color w:val="FF0000"/>
        </w:rPr>
        <w:tab/>
      </w:r>
      <w:r w:rsidR="00CF36F6" w:rsidRPr="00BC78CF">
        <w:rPr>
          <w:color w:val="FF0000"/>
        </w:rPr>
        <w:t>sponsored</w:t>
      </w:r>
      <w:r w:rsidRPr="00BC78CF">
        <w:rPr>
          <w:color w:val="FF0000"/>
        </w:rPr>
        <w:t>.</w:t>
      </w:r>
    </w:p>
    <w:p w14:paraId="6F015A88" w14:textId="72538D68" w:rsidR="00350945" w:rsidRPr="00BC78CF" w:rsidRDefault="00484A69" w:rsidP="00350945">
      <w:pPr>
        <w:pStyle w:val="ActHead5"/>
        <w:rPr>
          <w:color w:val="FF0000"/>
        </w:rPr>
      </w:pPr>
      <w:bookmarkStart w:id="362" w:name="_Toc56521540"/>
      <w:bookmarkStart w:id="363" w:name="_Toc74916197"/>
      <w:r w:rsidRPr="00BC78CF">
        <w:rPr>
          <w:color w:val="FF0000"/>
        </w:rPr>
        <w:t>5.1B</w:t>
      </w:r>
      <w:r w:rsidR="00350945" w:rsidRPr="00BC78CF">
        <w:rPr>
          <w:color w:val="FF0000"/>
        </w:rPr>
        <w:t xml:space="preserve">  </w:t>
      </w:r>
      <w:r w:rsidR="00CF36F6" w:rsidRPr="00BC78CF">
        <w:rPr>
          <w:color w:val="FF0000"/>
        </w:rPr>
        <w:t xml:space="preserve">Sponsored </w:t>
      </w:r>
      <w:r w:rsidR="00AD1C5D" w:rsidRPr="00BC78CF">
        <w:rPr>
          <w:color w:val="FF0000"/>
        </w:rPr>
        <w:t>accreditation</w:t>
      </w:r>
      <w:bookmarkEnd w:id="362"/>
      <w:bookmarkEnd w:id="363"/>
    </w:p>
    <w:p w14:paraId="1C734F50" w14:textId="602960F6" w:rsidR="006F57C5" w:rsidRPr="00BC78CF" w:rsidRDefault="00350945" w:rsidP="00350945">
      <w:pPr>
        <w:pStyle w:val="subsection"/>
        <w:rPr>
          <w:color w:val="FF0000"/>
        </w:rPr>
      </w:pPr>
      <w:r w:rsidRPr="00BC78CF">
        <w:rPr>
          <w:color w:val="FF0000"/>
        </w:rPr>
        <w:tab/>
        <w:t>(1)</w:t>
      </w:r>
      <w:r w:rsidRPr="00BC78CF">
        <w:rPr>
          <w:color w:val="FF0000"/>
        </w:rPr>
        <w:tab/>
        <w:t xml:space="preserve">A person with </w:t>
      </w:r>
      <w:r w:rsidR="00CF36F6" w:rsidRPr="00BC78CF">
        <w:rPr>
          <w:color w:val="FF0000"/>
        </w:rPr>
        <w:t xml:space="preserve">sponsored </w:t>
      </w:r>
      <w:r w:rsidR="00AD1C5D" w:rsidRPr="00BC78CF">
        <w:rPr>
          <w:color w:val="FF0000"/>
        </w:rPr>
        <w:t>accreditation</w:t>
      </w:r>
      <w:r w:rsidR="00A47C69" w:rsidRPr="00BC78CF">
        <w:rPr>
          <w:color w:val="FF0000"/>
        </w:rPr>
        <w:t xml:space="preserve"> must </w:t>
      </w:r>
      <w:r w:rsidRPr="00BC78CF">
        <w:rPr>
          <w:color w:val="FF0000"/>
        </w:rPr>
        <w:t>not make a consumer data request</w:t>
      </w:r>
      <w:r w:rsidR="006F57C5" w:rsidRPr="00BC78CF">
        <w:rPr>
          <w:color w:val="FF0000"/>
        </w:rPr>
        <w:t xml:space="preserve"> under these rules unless it has a sponsorship arrangement with a sponsor.</w:t>
      </w:r>
    </w:p>
    <w:p w14:paraId="3BDF6759" w14:textId="3382085A" w:rsidR="006F57C5" w:rsidRPr="00BC78CF" w:rsidRDefault="006F57C5" w:rsidP="006F57C5">
      <w:pPr>
        <w:pStyle w:val="notetext"/>
        <w:rPr>
          <w:color w:val="FF0000"/>
        </w:rPr>
      </w:pPr>
      <w:r w:rsidRPr="00BC78CF">
        <w:rPr>
          <w:color w:val="FF0000"/>
        </w:rPr>
        <w:t>Note:</w:t>
      </w:r>
      <w:r w:rsidRPr="00BC78CF">
        <w:rPr>
          <w:color w:val="FF0000"/>
        </w:rPr>
        <w:tab/>
        <w:t>This subrule is a civil penalty provision (see rule 9.8).</w:t>
      </w:r>
    </w:p>
    <w:p w14:paraId="33667075" w14:textId="70BA0454" w:rsidR="00350945" w:rsidRPr="00BC78CF" w:rsidRDefault="006F57C5" w:rsidP="00350945">
      <w:pPr>
        <w:pStyle w:val="subsection"/>
        <w:rPr>
          <w:color w:val="FF0000"/>
        </w:rPr>
      </w:pPr>
      <w:r w:rsidRPr="00BC78CF">
        <w:rPr>
          <w:color w:val="FF0000"/>
        </w:rPr>
        <w:tab/>
        <w:t>(2)</w:t>
      </w:r>
      <w:r w:rsidRPr="00BC78CF">
        <w:rPr>
          <w:color w:val="FF0000"/>
        </w:rPr>
        <w:tab/>
        <w:t>A person with sponsored accreditati</w:t>
      </w:r>
      <w:r w:rsidR="00D3132F" w:rsidRPr="00BC78CF">
        <w:rPr>
          <w:color w:val="FF0000"/>
        </w:rPr>
        <w:t>on must not make a consumer data</w:t>
      </w:r>
      <w:r w:rsidRPr="00BC78CF">
        <w:rPr>
          <w:color w:val="FF0000"/>
        </w:rPr>
        <w:t xml:space="preserve"> request</w:t>
      </w:r>
      <w:r w:rsidR="000D70B7" w:rsidRPr="00BC78CF">
        <w:rPr>
          <w:color w:val="FF0000"/>
        </w:rPr>
        <w:t xml:space="preserve"> </w:t>
      </w:r>
      <w:r w:rsidR="00350945" w:rsidRPr="00BC78CF">
        <w:rPr>
          <w:color w:val="FF0000"/>
        </w:rPr>
        <w:t xml:space="preserve"> under these rules otherwise than:</w:t>
      </w:r>
    </w:p>
    <w:p w14:paraId="0DDACDB1" w14:textId="77777777" w:rsidR="006F57C5" w:rsidRPr="00BC78CF" w:rsidRDefault="00350945" w:rsidP="00350945">
      <w:pPr>
        <w:pStyle w:val="paragraph"/>
        <w:rPr>
          <w:color w:val="FF0000"/>
        </w:rPr>
      </w:pPr>
      <w:r w:rsidRPr="00BC78CF">
        <w:rPr>
          <w:color w:val="FF0000"/>
        </w:rPr>
        <w:tab/>
        <w:t>(a)</w:t>
      </w:r>
      <w:r w:rsidRPr="00BC78CF">
        <w:rPr>
          <w:color w:val="FF0000"/>
        </w:rPr>
        <w:tab/>
      </w:r>
      <w:r w:rsidR="006F57C5" w:rsidRPr="00BC78CF">
        <w:rPr>
          <w:color w:val="FF0000"/>
        </w:rPr>
        <w:t>to an accredited data recipient under rule 4.7A; or</w:t>
      </w:r>
    </w:p>
    <w:p w14:paraId="7BF51290" w14:textId="77D0E944" w:rsidR="00350945" w:rsidRPr="00BC78CF" w:rsidRDefault="006F57C5" w:rsidP="00350945">
      <w:pPr>
        <w:pStyle w:val="paragraph"/>
        <w:rPr>
          <w:color w:val="FF0000"/>
        </w:rPr>
      </w:pPr>
      <w:r w:rsidRPr="00BC78CF">
        <w:rPr>
          <w:color w:val="FF0000"/>
        </w:rPr>
        <w:tab/>
        <w:t>(b)</w:t>
      </w:r>
      <w:r w:rsidRPr="00BC78CF">
        <w:rPr>
          <w:color w:val="FF0000"/>
        </w:rPr>
        <w:tab/>
      </w:r>
      <w:r w:rsidR="00350945" w:rsidRPr="00BC78CF">
        <w:rPr>
          <w:color w:val="FF0000"/>
        </w:rPr>
        <w:t xml:space="preserve">through </w:t>
      </w:r>
      <w:r w:rsidR="00651859" w:rsidRPr="00BC78CF">
        <w:rPr>
          <w:color w:val="FF0000"/>
        </w:rPr>
        <w:t>a</w:t>
      </w:r>
      <w:r w:rsidR="00350945" w:rsidRPr="00BC78CF">
        <w:rPr>
          <w:color w:val="FF0000"/>
        </w:rPr>
        <w:t xml:space="preserve"> sponsor acting </w:t>
      </w:r>
      <w:r w:rsidR="00FD3D31" w:rsidRPr="00BC78CF">
        <w:rPr>
          <w:color w:val="FF0000"/>
        </w:rPr>
        <w:t xml:space="preserve">at its request </w:t>
      </w:r>
      <w:r w:rsidR="00350945" w:rsidRPr="00BC78CF">
        <w:rPr>
          <w:color w:val="FF0000"/>
        </w:rPr>
        <w:t xml:space="preserve">under </w:t>
      </w:r>
      <w:r w:rsidR="008A6C8F" w:rsidRPr="00BC78CF">
        <w:rPr>
          <w:color w:val="FF0000"/>
        </w:rPr>
        <w:t>a</w:t>
      </w:r>
      <w:r w:rsidR="00117A5B" w:rsidRPr="00BC78CF">
        <w:rPr>
          <w:color w:val="FF0000"/>
        </w:rPr>
        <w:t xml:space="preserve"> sponsorship </w:t>
      </w:r>
      <w:r w:rsidR="00950F44" w:rsidRPr="00BC78CF">
        <w:rPr>
          <w:color w:val="FF0000"/>
        </w:rPr>
        <w:t>arrangement.</w:t>
      </w:r>
    </w:p>
    <w:p w14:paraId="4A4629B7" w14:textId="77777777" w:rsidR="00350945" w:rsidRPr="00BC78CF" w:rsidRDefault="00350945" w:rsidP="00350945">
      <w:pPr>
        <w:pStyle w:val="notetext"/>
        <w:rPr>
          <w:color w:val="FF0000"/>
        </w:rPr>
      </w:pPr>
      <w:r w:rsidRPr="00BC78CF">
        <w:rPr>
          <w:color w:val="FF0000"/>
        </w:rPr>
        <w:t>Note:</w:t>
      </w:r>
      <w:r w:rsidRPr="00BC78CF">
        <w:rPr>
          <w:color w:val="FF0000"/>
        </w:rPr>
        <w:tab/>
        <w:t>This subrule is a civil penalty provision (see rule 9.8).</w:t>
      </w:r>
    </w:p>
    <w:p w14:paraId="2FAE34BF" w14:textId="09189EFF" w:rsidR="00020D60" w:rsidRPr="00BC78CF" w:rsidRDefault="00950F44" w:rsidP="00790E2D">
      <w:pPr>
        <w:pStyle w:val="subsection"/>
        <w:rPr>
          <w:color w:val="FF0000"/>
        </w:rPr>
      </w:pPr>
      <w:r w:rsidRPr="00BC78CF">
        <w:rPr>
          <w:color w:val="FF0000"/>
        </w:rPr>
        <w:tab/>
        <w:t>(3</w:t>
      </w:r>
      <w:r w:rsidR="00020D60" w:rsidRPr="00BC78CF">
        <w:rPr>
          <w:color w:val="FF0000"/>
        </w:rPr>
        <w:t>)</w:t>
      </w:r>
      <w:r w:rsidR="00020D60" w:rsidRPr="00BC78CF">
        <w:rPr>
          <w:color w:val="FF0000"/>
        </w:rPr>
        <w:tab/>
        <w:t xml:space="preserve">A </w:t>
      </w:r>
      <w:r w:rsidR="008A6C8F" w:rsidRPr="00BC78CF">
        <w:rPr>
          <w:color w:val="FF0000"/>
        </w:rPr>
        <w:t xml:space="preserve">person with sponsored accreditation </w:t>
      </w:r>
      <w:r w:rsidR="00790E2D" w:rsidRPr="00BC78CF">
        <w:rPr>
          <w:color w:val="FF0000"/>
        </w:rPr>
        <w:t xml:space="preserve">must not </w:t>
      </w:r>
      <w:r w:rsidR="00020D60" w:rsidRPr="00BC78CF">
        <w:rPr>
          <w:color w:val="FF0000"/>
        </w:rPr>
        <w:t>engage a provider under a</w:t>
      </w:r>
      <w:r w:rsidR="00883CE2" w:rsidRPr="00BC78CF">
        <w:rPr>
          <w:color w:val="FF0000"/>
        </w:rPr>
        <w:t xml:space="preserve">n outsourced service </w:t>
      </w:r>
      <w:r w:rsidR="00020D60" w:rsidRPr="00BC78CF">
        <w:rPr>
          <w:color w:val="FF0000"/>
        </w:rPr>
        <w:t>arrangement to collect CDR data from a CDR participant on its behalf.</w:t>
      </w:r>
    </w:p>
    <w:p w14:paraId="52995486" w14:textId="77777777" w:rsidR="00CC1025" w:rsidRPr="00BC78CF" w:rsidRDefault="00CC1025" w:rsidP="00CC1025">
      <w:pPr>
        <w:pStyle w:val="notetext"/>
        <w:rPr>
          <w:color w:val="FF0000"/>
        </w:rPr>
      </w:pPr>
      <w:r w:rsidRPr="00BC78CF">
        <w:rPr>
          <w:color w:val="FF0000"/>
        </w:rPr>
        <w:t>Note:</w:t>
      </w:r>
      <w:r w:rsidRPr="00BC78CF">
        <w:rPr>
          <w:color w:val="FF0000"/>
        </w:rPr>
        <w:tab/>
        <w:t>This subrule is a civil penalty provision (see rule 9.8).</w:t>
      </w:r>
    </w:p>
    <w:p w14:paraId="0BCD5205" w14:textId="30ED1A7A" w:rsidR="00790E2D" w:rsidRPr="00BC78CF" w:rsidRDefault="00950F44" w:rsidP="00790E2D">
      <w:pPr>
        <w:pStyle w:val="subsection"/>
        <w:rPr>
          <w:color w:val="FF0000"/>
        </w:rPr>
      </w:pPr>
      <w:r w:rsidRPr="00BC78CF">
        <w:rPr>
          <w:color w:val="FF0000"/>
        </w:rPr>
        <w:tab/>
        <w:t>(4</w:t>
      </w:r>
      <w:r w:rsidR="0096455F" w:rsidRPr="00BC78CF">
        <w:rPr>
          <w:color w:val="FF0000"/>
        </w:rPr>
        <w:t>)</w:t>
      </w:r>
      <w:r w:rsidR="0096455F" w:rsidRPr="00BC78CF">
        <w:rPr>
          <w:color w:val="FF0000"/>
        </w:rPr>
        <w:tab/>
      </w:r>
      <w:r w:rsidR="008A6C8F" w:rsidRPr="00BC78CF">
        <w:rPr>
          <w:color w:val="FF0000"/>
        </w:rPr>
        <w:t xml:space="preserve">A person with sponsored accreditation </w:t>
      </w:r>
      <w:r w:rsidR="00A47C69" w:rsidRPr="00BC78CF">
        <w:rPr>
          <w:color w:val="FF0000"/>
        </w:rPr>
        <w:t xml:space="preserve">must not </w:t>
      </w:r>
      <w:r w:rsidR="00C46D5A" w:rsidRPr="00BC78CF">
        <w:rPr>
          <w:color w:val="FF0000"/>
        </w:rPr>
        <w:t xml:space="preserve">have a </w:t>
      </w:r>
      <w:r w:rsidR="00182338" w:rsidRPr="00BC78CF">
        <w:rPr>
          <w:color w:val="FF0000"/>
        </w:rPr>
        <w:t>CDR representative</w:t>
      </w:r>
      <w:r w:rsidR="00C46D5A" w:rsidRPr="00BC78CF">
        <w:rPr>
          <w:color w:val="FF0000"/>
        </w:rPr>
        <w:t>.</w:t>
      </w:r>
      <w:r w:rsidR="00790E2D" w:rsidRPr="00BC78CF">
        <w:rPr>
          <w:color w:val="FF0000"/>
        </w:rPr>
        <w:t xml:space="preserve"> </w:t>
      </w:r>
    </w:p>
    <w:p w14:paraId="14AF6814" w14:textId="77777777" w:rsidR="00CC1025" w:rsidRPr="00BC78CF" w:rsidRDefault="00CC1025" w:rsidP="00CC1025">
      <w:pPr>
        <w:pStyle w:val="notetext"/>
        <w:rPr>
          <w:color w:val="FF0000"/>
        </w:rPr>
      </w:pPr>
      <w:r w:rsidRPr="00BC78CF">
        <w:rPr>
          <w:color w:val="FF0000"/>
        </w:rPr>
        <w:t>Note:</w:t>
      </w:r>
      <w:r w:rsidRPr="00BC78CF">
        <w:rPr>
          <w:color w:val="FF0000"/>
        </w:rPr>
        <w:tab/>
        <w:t>This subrule is a civil penalty provision (see rule 9.8).</w:t>
      </w:r>
    </w:p>
    <w:p w14:paraId="3A87D1F8" w14:textId="6A091A3B" w:rsidR="00F22B17" w:rsidRPr="00BC78CF" w:rsidRDefault="00950F44" w:rsidP="00A47C69">
      <w:pPr>
        <w:pStyle w:val="subsection"/>
        <w:rPr>
          <w:color w:val="FF0000"/>
        </w:rPr>
      </w:pPr>
      <w:r w:rsidRPr="00BC78CF">
        <w:rPr>
          <w:color w:val="FF0000"/>
        </w:rPr>
        <w:tab/>
        <w:t xml:space="preserve"> (5</w:t>
      </w:r>
      <w:r w:rsidR="00A47C69" w:rsidRPr="00BC78CF">
        <w:rPr>
          <w:color w:val="FF0000"/>
        </w:rPr>
        <w:t>)</w:t>
      </w:r>
      <w:r w:rsidR="00A47C69" w:rsidRPr="00BC78CF">
        <w:rPr>
          <w:color w:val="FF0000"/>
        </w:rPr>
        <w:tab/>
        <w:t xml:space="preserve">The accreditation of </w:t>
      </w:r>
      <w:r w:rsidR="008A6C8F" w:rsidRPr="00BC78CF">
        <w:rPr>
          <w:color w:val="FF0000"/>
        </w:rPr>
        <w:t xml:space="preserve">a person with sponsored accreditation </w:t>
      </w:r>
      <w:r w:rsidR="00A47C69" w:rsidRPr="00BC78CF">
        <w:rPr>
          <w:color w:val="FF0000"/>
        </w:rPr>
        <w:t xml:space="preserve">lapses if the </w:t>
      </w:r>
      <w:r w:rsidR="008A6C8F" w:rsidRPr="00BC78CF">
        <w:rPr>
          <w:color w:val="FF0000"/>
        </w:rPr>
        <w:t xml:space="preserve">person </w:t>
      </w:r>
      <w:r w:rsidR="00A47C69" w:rsidRPr="00BC78CF">
        <w:rPr>
          <w:color w:val="FF0000"/>
        </w:rPr>
        <w:t xml:space="preserve"> does not have a sponsor for a period of </w:t>
      </w:r>
      <w:r w:rsidR="00C46D5A" w:rsidRPr="00BC78CF">
        <w:rPr>
          <w:color w:val="FF0000"/>
        </w:rPr>
        <w:t>4 months.</w:t>
      </w:r>
    </w:p>
    <w:p w14:paraId="19FD73D2" w14:textId="249D5263" w:rsidR="00350945" w:rsidRPr="00350945" w:rsidRDefault="00CF0E3D" w:rsidP="00350945">
      <w:pPr>
        <w:pStyle w:val="ActHead4"/>
      </w:pPr>
      <w:bookmarkStart w:id="364" w:name="_Toc74916198"/>
      <w:r>
        <w:t>Subdivision 5.2.1—Applying to be accredited person</w:t>
      </w:r>
      <w:bookmarkEnd w:id="359"/>
      <w:bookmarkEnd w:id="364"/>
    </w:p>
    <w:p w14:paraId="4E7D2132" w14:textId="77777777" w:rsidR="00CF0E3D" w:rsidRDefault="00CF0E3D" w:rsidP="00CF0E3D">
      <w:pPr>
        <w:pStyle w:val="ActHead5"/>
      </w:pPr>
      <w:bookmarkStart w:id="365" w:name="_Toc11771631"/>
      <w:bookmarkStart w:id="366" w:name="_Toc74916199"/>
      <w:r>
        <w:t>5.2  Applying to be an accredited person</w:t>
      </w:r>
      <w:bookmarkEnd w:id="365"/>
      <w:bookmarkEnd w:id="366"/>
    </w:p>
    <w:p w14:paraId="316F6424" w14:textId="77777777" w:rsidR="00CF0E3D" w:rsidRPr="00BC78CF" w:rsidRDefault="00CF0E3D" w:rsidP="00CF0E3D">
      <w:pPr>
        <w:pStyle w:val="notemargin"/>
        <w:rPr>
          <w:strike/>
          <w:color w:val="FF0000"/>
        </w:rPr>
      </w:pPr>
      <w:r w:rsidRPr="00BC78CF">
        <w:rPr>
          <w:strike/>
          <w:color w:val="FF0000"/>
        </w:rPr>
        <w:t>Note:</w:t>
      </w:r>
      <w:r w:rsidRPr="00BC78CF">
        <w:rPr>
          <w:strike/>
          <w:color w:val="FF0000"/>
        </w:rPr>
        <w:tab/>
        <w:t>There is currently only a single level of accreditation, the “unrestricted” level.</w:t>
      </w:r>
    </w:p>
    <w:p w14:paraId="19617EEA" w14:textId="77777777" w:rsidR="00CF0E3D" w:rsidRDefault="00CF0E3D" w:rsidP="00CF0E3D">
      <w:pPr>
        <w:pStyle w:val="subsection"/>
      </w:pPr>
      <w:r>
        <w:tab/>
        <w:t>(1)</w:t>
      </w:r>
      <w:r>
        <w:tab/>
        <w:t>A person may apply to the Data Recipient Accreditor to be an accredited person.</w:t>
      </w:r>
    </w:p>
    <w:p w14:paraId="4C4E9593" w14:textId="77777777" w:rsidR="00CF0E3D" w:rsidRDefault="00CF0E3D" w:rsidP="00CF0E3D">
      <w:pPr>
        <w:pStyle w:val="subsection"/>
      </w:pPr>
      <w:r>
        <w:tab/>
        <w:t>(2)</w:t>
      </w:r>
      <w:r>
        <w:tab/>
        <w:t>The application must:</w:t>
      </w:r>
    </w:p>
    <w:p w14:paraId="7DCCF593" w14:textId="77777777" w:rsidR="00CF0E3D" w:rsidRDefault="00CF0E3D" w:rsidP="00CF0E3D">
      <w:pPr>
        <w:pStyle w:val="paragraph"/>
      </w:pPr>
      <w:r>
        <w:tab/>
        <w:t>(a)</w:t>
      </w:r>
      <w:r>
        <w:tab/>
        <w:t xml:space="preserve">be in the form approved, by the Data Recipient Accreditor, for the purposes of this paragraph </w:t>
      </w:r>
      <w:r w:rsidRPr="00641354">
        <w:rPr>
          <w:color w:val="000000"/>
        </w:rPr>
        <w:t xml:space="preserve">(the </w:t>
      </w:r>
      <w:r w:rsidRPr="00641354">
        <w:rPr>
          <w:b/>
          <w:i/>
          <w:color w:val="000000"/>
        </w:rPr>
        <w:t>approved form</w:t>
      </w:r>
      <w:r w:rsidRPr="00641354">
        <w:rPr>
          <w:color w:val="000000"/>
        </w:rPr>
        <w:t>)</w:t>
      </w:r>
      <w:r>
        <w:t>; and</w:t>
      </w:r>
    </w:p>
    <w:p w14:paraId="1ECBB493" w14:textId="25680DFF" w:rsidR="00596868" w:rsidRPr="00BC78CF" w:rsidRDefault="00596868" w:rsidP="00596868">
      <w:pPr>
        <w:pStyle w:val="paragraph"/>
        <w:rPr>
          <w:color w:val="FF0000"/>
        </w:rPr>
      </w:pPr>
      <w:r w:rsidRPr="00BC78CF">
        <w:rPr>
          <w:color w:val="FF0000"/>
        </w:rPr>
        <w:tab/>
        <w:t>(aa)</w:t>
      </w:r>
      <w:r w:rsidRPr="00BC78CF">
        <w:rPr>
          <w:color w:val="FF0000"/>
        </w:rPr>
        <w:tab/>
        <w:t>indicate the level of accreditation that is sought; and</w:t>
      </w:r>
    </w:p>
    <w:p w14:paraId="3AF60C0D" w14:textId="77777777" w:rsidR="00CF0E3D" w:rsidRDefault="00CF0E3D" w:rsidP="00CF0E3D">
      <w:pPr>
        <w:pStyle w:val="paragraph"/>
      </w:pPr>
      <w:r>
        <w:tab/>
        <w:t>(b)</w:t>
      </w:r>
      <w:r>
        <w:tab/>
        <w:t xml:space="preserve">include any documentation or other information required by the </w:t>
      </w:r>
      <w:r w:rsidRPr="00641354">
        <w:rPr>
          <w:color w:val="000000"/>
        </w:rPr>
        <w:t>approved form</w:t>
      </w:r>
      <w:r>
        <w:t>; and</w:t>
      </w:r>
    </w:p>
    <w:p w14:paraId="0C392E1C" w14:textId="77777777" w:rsidR="00CF0E3D" w:rsidRPr="000C3240" w:rsidRDefault="00CF0E3D" w:rsidP="00CF0E3D">
      <w:pPr>
        <w:pStyle w:val="paragraph"/>
        <w:rPr>
          <w:color w:val="000000" w:themeColor="text1"/>
        </w:rPr>
      </w:pPr>
      <w:r w:rsidRPr="000C3240">
        <w:rPr>
          <w:color w:val="000000" w:themeColor="text1"/>
        </w:rPr>
        <w:tab/>
      </w:r>
      <w:r>
        <w:rPr>
          <w:color w:val="000000" w:themeColor="text1"/>
        </w:rPr>
        <w:t>(c)</w:t>
      </w:r>
      <w:r w:rsidRPr="000C3240">
        <w:rPr>
          <w:color w:val="000000" w:themeColor="text1"/>
        </w:rPr>
        <w:tab/>
        <w:t>state:</w:t>
      </w:r>
    </w:p>
    <w:p w14:paraId="08AAA46B" w14:textId="77777777" w:rsidR="00CF0E3D" w:rsidRPr="000C3240" w:rsidRDefault="00CF0E3D" w:rsidP="00CF0E3D">
      <w:pPr>
        <w:pStyle w:val="paragraphsub"/>
        <w:rPr>
          <w:color w:val="000000" w:themeColor="text1"/>
        </w:rPr>
      </w:pPr>
      <w:r w:rsidRPr="000C3240">
        <w:rPr>
          <w:color w:val="000000" w:themeColor="text1"/>
        </w:rPr>
        <w:tab/>
      </w:r>
      <w:r>
        <w:rPr>
          <w:color w:val="000000" w:themeColor="text1"/>
        </w:rPr>
        <w:t>(i)</w:t>
      </w:r>
      <w:r w:rsidRPr="000C3240">
        <w:rPr>
          <w:color w:val="000000" w:themeColor="text1"/>
        </w:rPr>
        <w:tab/>
        <w:t>the applicant’s address</w:t>
      </w:r>
      <w:r>
        <w:rPr>
          <w:color w:val="000000" w:themeColor="text1"/>
        </w:rPr>
        <w:t>es</w:t>
      </w:r>
      <w:r w:rsidRPr="000C3240">
        <w:rPr>
          <w:color w:val="000000" w:themeColor="text1"/>
        </w:rPr>
        <w:t xml:space="preserve"> for service; or</w:t>
      </w:r>
    </w:p>
    <w:p w14:paraId="157251D9" w14:textId="77777777" w:rsidR="00CF0E3D" w:rsidRPr="000C3240" w:rsidRDefault="00CF0E3D" w:rsidP="00CF0E3D">
      <w:pPr>
        <w:pStyle w:val="paragraphsub"/>
        <w:rPr>
          <w:color w:val="000000" w:themeColor="text1"/>
        </w:rPr>
      </w:pPr>
      <w:r w:rsidRPr="000C3240">
        <w:rPr>
          <w:color w:val="000000" w:themeColor="text1"/>
        </w:rPr>
        <w:tab/>
      </w:r>
      <w:r>
        <w:rPr>
          <w:color w:val="000000" w:themeColor="text1"/>
        </w:rPr>
        <w:t>(ii)</w:t>
      </w:r>
      <w:r w:rsidRPr="000C3240">
        <w:rPr>
          <w:color w:val="000000" w:themeColor="text1"/>
        </w:rPr>
        <w:tab/>
        <w:t>if the applicant is a foreign entity:</w:t>
      </w:r>
    </w:p>
    <w:p w14:paraId="5DBAB56A" w14:textId="77777777" w:rsidR="00CF0E3D" w:rsidRPr="000C3240" w:rsidRDefault="00CF0E3D" w:rsidP="00CF0E3D">
      <w:pPr>
        <w:pStyle w:val="paragraphsub-sub"/>
        <w:rPr>
          <w:color w:val="000000" w:themeColor="text1"/>
        </w:rPr>
      </w:pPr>
      <w:r w:rsidRPr="000C3240">
        <w:rPr>
          <w:color w:val="000000" w:themeColor="text1"/>
        </w:rPr>
        <w:tab/>
      </w:r>
      <w:r>
        <w:rPr>
          <w:color w:val="000000" w:themeColor="text1"/>
        </w:rPr>
        <w:t>(A)</w:t>
      </w:r>
      <w:r w:rsidRPr="000C3240">
        <w:rPr>
          <w:color w:val="000000" w:themeColor="text1"/>
        </w:rPr>
        <w:tab/>
        <w:t>the applicant’s local agent; and</w:t>
      </w:r>
    </w:p>
    <w:p w14:paraId="5ECE9D90" w14:textId="77777777" w:rsidR="00CF0E3D" w:rsidRPr="000C3240" w:rsidRDefault="00CF0E3D" w:rsidP="00CF0E3D">
      <w:pPr>
        <w:pStyle w:val="paragraphsub-sub"/>
        <w:rPr>
          <w:color w:val="000000" w:themeColor="text1"/>
        </w:rPr>
      </w:pPr>
      <w:r w:rsidRPr="000C3240">
        <w:rPr>
          <w:color w:val="000000" w:themeColor="text1"/>
        </w:rPr>
        <w:tab/>
      </w:r>
      <w:r>
        <w:rPr>
          <w:color w:val="000000" w:themeColor="text1"/>
        </w:rPr>
        <w:t>(B)</w:t>
      </w:r>
      <w:r w:rsidRPr="000C3240">
        <w:rPr>
          <w:color w:val="000000" w:themeColor="text1"/>
        </w:rPr>
        <w:tab/>
        <w:t>the local agent’s address</w:t>
      </w:r>
      <w:r>
        <w:rPr>
          <w:color w:val="000000" w:themeColor="text1"/>
        </w:rPr>
        <w:t>es</w:t>
      </w:r>
      <w:r w:rsidRPr="000C3240">
        <w:rPr>
          <w:color w:val="000000" w:themeColor="text1"/>
        </w:rPr>
        <w:t xml:space="preserve"> for service; and</w:t>
      </w:r>
    </w:p>
    <w:p w14:paraId="377F9965" w14:textId="77777777" w:rsidR="00CF0E3D" w:rsidRDefault="00CF0E3D" w:rsidP="00CF0E3D">
      <w:pPr>
        <w:pStyle w:val="paragraph"/>
      </w:pPr>
      <w:r>
        <w:tab/>
        <w:t>(d)</w:t>
      </w:r>
      <w:r>
        <w:tab/>
        <w:t xml:space="preserve">describe the sorts of </w:t>
      </w:r>
      <w:r w:rsidRPr="00964EDA">
        <w:rPr>
          <w:color w:val="000000"/>
        </w:rPr>
        <w:t xml:space="preserve">goods </w:t>
      </w:r>
      <w:r>
        <w:t xml:space="preserve">or services </w:t>
      </w:r>
      <w:r w:rsidRPr="00EA6240">
        <w:t xml:space="preserve">using CDR data that </w:t>
      </w:r>
      <w:r>
        <w:t xml:space="preserve">the applicant intends </w:t>
      </w:r>
      <w:r w:rsidRPr="00EA6240">
        <w:t xml:space="preserve">to </w:t>
      </w:r>
      <w:r>
        <w:t>offer to CDR consumers if they are accredited; and</w:t>
      </w:r>
    </w:p>
    <w:p w14:paraId="352C89BD" w14:textId="77777777" w:rsidR="00CF0E3D" w:rsidRDefault="00CF0E3D" w:rsidP="00CF0E3D">
      <w:pPr>
        <w:pStyle w:val="paragraph"/>
        <w:rPr>
          <w:color w:val="000000" w:themeColor="text1"/>
        </w:rPr>
      </w:pPr>
      <w:r>
        <w:tab/>
        <w:t>(e)</w:t>
      </w:r>
      <w:r>
        <w:tab/>
        <w:t xml:space="preserve">if the applicant is not </w:t>
      </w:r>
      <w:r w:rsidRPr="000C3240">
        <w:rPr>
          <w:color w:val="000000" w:themeColor="text1"/>
        </w:rPr>
        <w:t>a person who was specified in a designation instrument (see paragraph 56AC(2)(b) of the Act)</w:t>
      </w:r>
      <w:r>
        <w:t>—</w:t>
      </w:r>
      <w:r w:rsidRPr="007E69B9">
        <w:t>indicate whether it is</w:t>
      </w:r>
      <w:r>
        <w:t xml:space="preserve"> </w:t>
      </w:r>
      <w:r w:rsidRPr="00BD2AB7">
        <w:t>or expects to be</w:t>
      </w:r>
      <w:r w:rsidRPr="007E69B9">
        <w:t xml:space="preserve"> the data holder of any CDR data that is specified in a designation instrument</w:t>
      </w:r>
      <w:r w:rsidRPr="000C3240">
        <w:rPr>
          <w:color w:val="000000" w:themeColor="text1"/>
        </w:rPr>
        <w:t>.</w:t>
      </w:r>
    </w:p>
    <w:p w14:paraId="08ACED88" w14:textId="77777777" w:rsidR="00CF0E3D" w:rsidRDefault="00CF0E3D" w:rsidP="00CF0E3D">
      <w:pPr>
        <w:pStyle w:val="notetext"/>
        <w:rPr>
          <w:color w:val="000000"/>
        </w:rPr>
      </w:pPr>
      <w:r w:rsidRPr="00641354">
        <w:rPr>
          <w:color w:val="000000"/>
        </w:rPr>
        <w:t xml:space="preserve">Note 1: </w:t>
      </w:r>
      <w:r w:rsidRPr="00641354">
        <w:rPr>
          <w:color w:val="000000"/>
        </w:rPr>
        <w:tab/>
        <w:t>For paragraph</w:t>
      </w:r>
      <w:r>
        <w:rPr>
          <w:color w:val="000000"/>
        </w:rPr>
        <w:t xml:space="preserve"> (c)</w:t>
      </w:r>
      <w:r w:rsidRPr="00641354">
        <w:rPr>
          <w:color w:val="000000"/>
        </w:rPr>
        <w:t xml:space="preserve">, </w:t>
      </w:r>
      <w:r w:rsidRPr="006F4A42">
        <w:t>see rule </w:t>
      </w:r>
      <w:r>
        <w:t>1.7</w:t>
      </w:r>
      <w:r w:rsidRPr="006F4A42">
        <w:t xml:space="preserve"> for the meaning of “addresses for service”. T</w:t>
      </w:r>
      <w:r w:rsidRPr="00641354">
        <w:rPr>
          <w:color w:val="000000"/>
        </w:rPr>
        <w:t xml:space="preserve">he </w:t>
      </w:r>
      <w:r w:rsidRPr="006F4A42">
        <w:t xml:space="preserve">physical </w:t>
      </w:r>
      <w:r w:rsidRPr="00641354">
        <w:rPr>
          <w:color w:val="000000"/>
        </w:rPr>
        <w:t xml:space="preserve">address for service could be a registered office (within the meaning of the </w:t>
      </w:r>
      <w:r w:rsidRPr="00641354">
        <w:rPr>
          <w:i/>
          <w:color w:val="000000"/>
        </w:rPr>
        <w:t>Corporations Act 2001</w:t>
      </w:r>
      <w:r w:rsidRPr="00641354">
        <w:rPr>
          <w:color w:val="000000"/>
        </w:rPr>
        <w:t>).</w:t>
      </w:r>
    </w:p>
    <w:p w14:paraId="6D213406" w14:textId="77777777" w:rsidR="00CF0E3D" w:rsidRPr="000C3240" w:rsidRDefault="00CF0E3D" w:rsidP="00CF0E3D">
      <w:pPr>
        <w:pStyle w:val="notetext"/>
      </w:pPr>
      <w:r w:rsidRPr="00B3173B">
        <w:t xml:space="preserve">Note 2: </w:t>
      </w:r>
      <w:r w:rsidRPr="00B3173B">
        <w:tab/>
        <w:t>For paragraph</w:t>
      </w:r>
      <w:r>
        <w:t> </w:t>
      </w:r>
      <w:r>
        <w:rPr>
          <w:color w:val="000000"/>
        </w:rPr>
        <w:t>(c)</w:t>
      </w:r>
      <w:r w:rsidRPr="00B3173B">
        <w:t>, changes to the address</w:t>
      </w:r>
      <w:r>
        <w:t>es</w:t>
      </w:r>
      <w:r w:rsidRPr="00B3173B">
        <w:t xml:space="preserve"> for service must be notified in accordance with paragraph </w:t>
      </w:r>
      <w:r>
        <w:t>5.14(c)</w:t>
      </w:r>
      <w:r w:rsidRPr="00B3173B">
        <w:t xml:space="preserve">. Documents may be served on an applicant in accordance with regulation 12 of the </w:t>
      </w:r>
      <w:r w:rsidRPr="00B3173B">
        <w:rPr>
          <w:i/>
        </w:rPr>
        <w:t>Competition and Consumer Regulations 2010</w:t>
      </w:r>
      <w:r w:rsidRPr="00B3173B">
        <w:t xml:space="preserve"> by the Commission, or in accordance with section 28A of the </w:t>
      </w:r>
      <w:r w:rsidRPr="00B3173B">
        <w:rPr>
          <w:i/>
        </w:rPr>
        <w:t xml:space="preserve">Acts Interpretation Act 1901 </w:t>
      </w:r>
      <w:r w:rsidRPr="00B3173B">
        <w:t xml:space="preserve">and section 9 of the </w:t>
      </w:r>
      <w:r w:rsidRPr="00B3173B">
        <w:rPr>
          <w:i/>
        </w:rPr>
        <w:t>Electronic Transactions Act 1999</w:t>
      </w:r>
      <w:r w:rsidRPr="00B3173B">
        <w:t>.</w:t>
      </w:r>
    </w:p>
    <w:p w14:paraId="2DD5BE2C" w14:textId="77777777" w:rsidR="00CF0E3D" w:rsidRDefault="00CF0E3D" w:rsidP="00CF0E3D">
      <w:pPr>
        <w:pStyle w:val="ActHead4"/>
        <w:pageBreakBefore/>
      </w:pPr>
      <w:bookmarkStart w:id="367" w:name="_Toc11771632"/>
      <w:bookmarkStart w:id="368" w:name="_Toc74916200"/>
      <w:r>
        <w:t>Subdivision 5.2.2—Consideration of application to be accredited person</w:t>
      </w:r>
      <w:bookmarkEnd w:id="367"/>
      <w:bookmarkEnd w:id="368"/>
    </w:p>
    <w:p w14:paraId="7BED585A" w14:textId="77777777" w:rsidR="00CF0E3D" w:rsidRDefault="00CF0E3D" w:rsidP="00CF0E3D">
      <w:pPr>
        <w:pStyle w:val="ActHead5"/>
      </w:pPr>
      <w:bookmarkStart w:id="369" w:name="_Toc11771633"/>
      <w:bookmarkStart w:id="370" w:name="_Toc74916201"/>
      <w:r>
        <w:t>5.3</w:t>
      </w:r>
      <w:r w:rsidRPr="00195BA6">
        <w:t xml:space="preserve">  </w:t>
      </w:r>
      <w:r>
        <w:t xml:space="preserve">Data Recipient </w:t>
      </w:r>
      <w:r w:rsidRPr="00195BA6">
        <w:t>Accreditor may request further information</w:t>
      </w:r>
      <w:bookmarkEnd w:id="369"/>
      <w:bookmarkEnd w:id="370"/>
    </w:p>
    <w:p w14:paraId="5B6361A4" w14:textId="77777777" w:rsidR="00CF0E3D" w:rsidRPr="00005026" w:rsidRDefault="00CF0E3D" w:rsidP="00CF0E3D">
      <w:pPr>
        <w:pStyle w:val="subsection"/>
      </w:pPr>
      <w:r w:rsidRPr="00005026">
        <w:tab/>
      </w:r>
      <w:r>
        <w:t>(1)</w:t>
      </w:r>
      <w:r w:rsidRPr="00005026">
        <w:tab/>
        <w:t xml:space="preserve">The Data Recipient Accreditor may request that the accreditation applicant provide further information to support the application. </w:t>
      </w:r>
    </w:p>
    <w:p w14:paraId="0EA5AE9E" w14:textId="77777777" w:rsidR="00CF0E3D" w:rsidRPr="00005026" w:rsidRDefault="00CF0E3D" w:rsidP="00CF0E3D">
      <w:pPr>
        <w:pStyle w:val="subsection"/>
      </w:pPr>
      <w:r w:rsidRPr="00005026">
        <w:tab/>
      </w:r>
      <w:r>
        <w:t>(2)</w:t>
      </w:r>
      <w:r w:rsidRPr="00005026">
        <w:tab/>
        <w:t xml:space="preserve">Without limiting subrule </w:t>
      </w:r>
      <w:r>
        <w:t>(1)</w:t>
      </w:r>
      <w:r w:rsidRPr="00005026">
        <w:t xml:space="preserve">, the Data Recipient Accreditor may request the further information:  </w:t>
      </w:r>
    </w:p>
    <w:p w14:paraId="0528954E" w14:textId="77777777" w:rsidR="00CF0E3D" w:rsidRPr="00005026" w:rsidRDefault="00CF0E3D" w:rsidP="00CF0E3D">
      <w:pPr>
        <w:pStyle w:val="paragraph"/>
      </w:pPr>
      <w:r w:rsidRPr="00005026">
        <w:tab/>
      </w:r>
      <w:r>
        <w:t>(a)</w:t>
      </w:r>
      <w:r w:rsidRPr="00005026">
        <w:tab/>
        <w:t>in writing; or</w:t>
      </w:r>
    </w:p>
    <w:p w14:paraId="00F483C4" w14:textId="77777777" w:rsidR="00CF0E3D" w:rsidRPr="00005026" w:rsidRDefault="00CF0E3D" w:rsidP="00CF0E3D">
      <w:pPr>
        <w:pStyle w:val="paragraph"/>
      </w:pPr>
      <w:r w:rsidRPr="00005026">
        <w:tab/>
      </w:r>
      <w:r>
        <w:t>(b)</w:t>
      </w:r>
      <w:r w:rsidRPr="00005026">
        <w:tab/>
        <w:t>in an interview with the Data Recipient Accreditor; or</w:t>
      </w:r>
    </w:p>
    <w:p w14:paraId="3F6FB30C" w14:textId="77777777" w:rsidR="00CF0E3D" w:rsidRPr="00005026" w:rsidRDefault="00CF0E3D" w:rsidP="00CF0E3D">
      <w:pPr>
        <w:pStyle w:val="paragraph"/>
      </w:pPr>
      <w:r w:rsidRPr="00005026">
        <w:tab/>
      </w:r>
      <w:r>
        <w:t>(c)</w:t>
      </w:r>
      <w:r w:rsidRPr="00005026">
        <w:tab/>
        <w:t>by phone, email, videoconferencing or any other form of electronic communication.</w:t>
      </w:r>
    </w:p>
    <w:p w14:paraId="3B3499B8" w14:textId="77777777" w:rsidR="00CF0E3D" w:rsidRDefault="00CF0E3D" w:rsidP="00CF0E3D">
      <w:pPr>
        <w:pStyle w:val="notetext"/>
      </w:pPr>
      <w:r w:rsidRPr="00005026">
        <w:t>Note:</w:t>
      </w:r>
      <w:r w:rsidRPr="00005026">
        <w:tab/>
        <w:t>If the accreditation applicant does not provide the further information as requested under this rule, the Data Recipient Accreditor might not be in a position to be satisfied, under section 56CA of the Act, that the applicant meets the criteria for accreditation.</w:t>
      </w:r>
    </w:p>
    <w:p w14:paraId="6BF9FC49" w14:textId="77777777" w:rsidR="00CF0E3D" w:rsidRDefault="00CF0E3D" w:rsidP="00CF0E3D">
      <w:pPr>
        <w:pStyle w:val="ActHead5"/>
      </w:pPr>
      <w:bookmarkStart w:id="371" w:name="_Toc11771634"/>
      <w:bookmarkStart w:id="372" w:name="_Toc74916202"/>
      <w:r>
        <w:t>5.4  Data Recipient Accreditor may consult</w:t>
      </w:r>
      <w:bookmarkEnd w:id="371"/>
      <w:bookmarkEnd w:id="372"/>
    </w:p>
    <w:p w14:paraId="7050718E" w14:textId="77777777" w:rsidR="00CF0E3D" w:rsidRDefault="00CF0E3D" w:rsidP="00CF0E3D">
      <w:pPr>
        <w:pStyle w:val="subsection"/>
      </w:pPr>
      <w:r>
        <w:tab/>
        <w:t>(1)</w:t>
      </w:r>
      <w:r>
        <w:tab/>
        <w:t>When making a decision under this Part, the Data Recipient Accreditor may consult with:</w:t>
      </w:r>
    </w:p>
    <w:p w14:paraId="59214A4C" w14:textId="77777777" w:rsidR="00CF0E3D" w:rsidRDefault="00CF0E3D" w:rsidP="00CF0E3D">
      <w:pPr>
        <w:pStyle w:val="paragraph"/>
      </w:pPr>
      <w:r>
        <w:tab/>
        <w:t>(a)</w:t>
      </w:r>
      <w:r>
        <w:tab/>
        <w:t xml:space="preserve">other </w:t>
      </w:r>
      <w:r w:rsidRPr="000C3240">
        <w:rPr>
          <w:color w:val="000000" w:themeColor="text1"/>
        </w:rPr>
        <w:t xml:space="preserve">Commonwealth, State or Territory authorities </w:t>
      </w:r>
      <w:r>
        <w:t>as relevant, including, but not limited to:</w:t>
      </w:r>
    </w:p>
    <w:p w14:paraId="6D2C2D3C" w14:textId="77777777" w:rsidR="00CF0E3D" w:rsidRDefault="00CF0E3D" w:rsidP="00CF0E3D">
      <w:pPr>
        <w:pStyle w:val="paragraphsub"/>
      </w:pPr>
      <w:r>
        <w:tab/>
        <w:t>(i)</w:t>
      </w:r>
      <w:r>
        <w:tab/>
        <w:t>the Information Commissioner; and</w:t>
      </w:r>
    </w:p>
    <w:p w14:paraId="52D038A7" w14:textId="77777777" w:rsidR="00CF0E3D" w:rsidRDefault="00CF0E3D" w:rsidP="00CF0E3D">
      <w:pPr>
        <w:pStyle w:val="paragraphsub"/>
      </w:pPr>
      <w:r>
        <w:tab/>
        <w:t>(ii)</w:t>
      </w:r>
      <w:r>
        <w:tab/>
        <w:t>the Australian Securities and Investments Commission; and</w:t>
      </w:r>
    </w:p>
    <w:p w14:paraId="191A4134" w14:textId="77777777" w:rsidR="00CF0E3D" w:rsidRDefault="00CF0E3D" w:rsidP="00CF0E3D">
      <w:pPr>
        <w:pStyle w:val="paragraphsub"/>
      </w:pPr>
      <w:r>
        <w:tab/>
        <w:t>(iii)</w:t>
      </w:r>
      <w:r>
        <w:tab/>
      </w:r>
      <w:r w:rsidRPr="00641354">
        <w:t>the Australian Prudential Regulation Authority</w:t>
      </w:r>
      <w:r>
        <w:t>; and</w:t>
      </w:r>
    </w:p>
    <w:p w14:paraId="1F4415E6" w14:textId="77777777" w:rsidR="00CF0E3D" w:rsidRDefault="00CF0E3D" w:rsidP="00CF0E3D">
      <w:pPr>
        <w:pStyle w:val="paragraphsub"/>
      </w:pPr>
      <w:r>
        <w:tab/>
        <w:t>(iv)</w:t>
      </w:r>
      <w:r>
        <w:tab/>
        <w:t>the Australian Financial Complaints Authority; and</w:t>
      </w:r>
    </w:p>
    <w:p w14:paraId="1208E044" w14:textId="5AF811D8" w:rsidR="00CF0E3D" w:rsidRPr="00CC65F9" w:rsidRDefault="00CF0E3D" w:rsidP="00363CDE">
      <w:pPr>
        <w:pStyle w:val="paragraph"/>
      </w:pPr>
      <w:r w:rsidRPr="00CC65F9">
        <w:tab/>
        <w:t>(b)</w:t>
      </w:r>
      <w:r w:rsidRPr="00CC65F9">
        <w:tab/>
        <w:t>similar authorities of foreign jurisdictions</w:t>
      </w:r>
      <w:r w:rsidR="00CC65F9" w:rsidRPr="00CC65F9">
        <w:t>.</w:t>
      </w:r>
    </w:p>
    <w:p w14:paraId="79903DA8" w14:textId="77777777" w:rsidR="00CF0E3D" w:rsidRDefault="00CF0E3D" w:rsidP="00CF0E3D">
      <w:pPr>
        <w:pStyle w:val="subsection"/>
      </w:pPr>
      <w:r>
        <w:tab/>
        <w:t>(2)</w:t>
      </w:r>
      <w:r w:rsidRPr="007E69B9">
        <w:tab/>
        <w:t>The functions of the Australian Prudential Regulation Authority include providing the Data Recipient Accreditor with advice or assistance if consulted in accordance with this rule.</w:t>
      </w:r>
    </w:p>
    <w:p w14:paraId="2D9A55A3" w14:textId="77777777" w:rsidR="00CF0E3D" w:rsidRPr="007E69B9" w:rsidRDefault="00CF0E3D" w:rsidP="00CF0E3D">
      <w:pPr>
        <w:pStyle w:val="subsection"/>
      </w:pPr>
      <w:r>
        <w:tab/>
        <w:t>(3)</w:t>
      </w:r>
      <w:r>
        <w:tab/>
      </w:r>
      <w:r w:rsidRPr="007E69B9">
        <w:t xml:space="preserve">The </w:t>
      </w:r>
      <w:r w:rsidRPr="00222FCC">
        <w:t xml:space="preserve">Australian Securities and Investments Commission </w:t>
      </w:r>
      <w:r>
        <w:t xml:space="preserve">may disclose information as reasonably necessary in order to </w:t>
      </w:r>
      <w:r w:rsidRPr="007E69B9">
        <w:t>provid</w:t>
      </w:r>
      <w:r>
        <w:t>e</w:t>
      </w:r>
      <w:r w:rsidRPr="007E69B9">
        <w:t xml:space="preserve"> the Data Recipient Accreditor with advice or assistance if consulted in accordance with this rule.</w:t>
      </w:r>
    </w:p>
    <w:p w14:paraId="14D40E95" w14:textId="31211686" w:rsidR="00CF0E3D" w:rsidRDefault="00CF0E3D" w:rsidP="00CF0E3D">
      <w:pPr>
        <w:pStyle w:val="ActHead5"/>
      </w:pPr>
      <w:bookmarkStart w:id="373" w:name="_Toc11771636"/>
      <w:bookmarkStart w:id="374" w:name="_Toc74916203"/>
      <w:r>
        <w:t>5.5  Criteria for accreditation</w:t>
      </w:r>
      <w:r w:rsidRPr="00BC78CF">
        <w:rPr>
          <w:strike/>
          <w:color w:val="FF0000"/>
        </w:rPr>
        <w:t>—unrestricted level</w:t>
      </w:r>
      <w:bookmarkEnd w:id="373"/>
      <w:bookmarkEnd w:id="374"/>
    </w:p>
    <w:p w14:paraId="26401EBB" w14:textId="77777777" w:rsidR="00CF0E3D" w:rsidRDefault="00CF0E3D" w:rsidP="00CF0E3D">
      <w:pPr>
        <w:pStyle w:val="notemargin"/>
      </w:pPr>
      <w:r>
        <w:t>Note:</w:t>
      </w:r>
      <w:r>
        <w:tab/>
        <w:t>Under subsection 56CA(1) of the Act, the Data Recipient Accreditor may, in writing, accredit a person if the Data Recipient Accreditor is satisfied that the person meets the criteria for accreditation specified in the consumer data rules.</w:t>
      </w:r>
      <w:r w:rsidRPr="00BC78CF">
        <w:rPr>
          <w:strike/>
          <w:color w:val="FF0000"/>
        </w:rPr>
        <w:t xml:space="preserve"> This rule specifies those criteria for the “unrestricted” level of accreditation.</w:t>
      </w:r>
    </w:p>
    <w:p w14:paraId="04E7B30B" w14:textId="1FA7DE97" w:rsidR="00CF0E3D" w:rsidRPr="007C39E2" w:rsidRDefault="00CF0E3D" w:rsidP="00CF0E3D">
      <w:pPr>
        <w:pStyle w:val="subsection"/>
      </w:pPr>
      <w:r>
        <w:rPr>
          <w:color w:val="000000"/>
        </w:rPr>
        <w:tab/>
      </w:r>
      <w:r>
        <w:rPr>
          <w:color w:val="000000"/>
        </w:rPr>
        <w:tab/>
      </w:r>
      <w:r w:rsidRPr="00BD2AB7">
        <w:t>The criteri</w:t>
      </w:r>
      <w:r>
        <w:t>on</w:t>
      </w:r>
      <w:r w:rsidRPr="00BD2AB7">
        <w:t xml:space="preserve"> for accreditation </w:t>
      </w:r>
      <w:r w:rsidRPr="00BC78CF">
        <w:rPr>
          <w:strike/>
          <w:color w:val="FF0000"/>
        </w:rPr>
        <w:t>at the “unrestricted” level</w:t>
      </w:r>
      <w:r w:rsidRPr="00BC78CF">
        <w:rPr>
          <w:color w:val="FF0000"/>
        </w:rPr>
        <w:t xml:space="preserve"> </w:t>
      </w:r>
      <w:r>
        <w:t xml:space="preserve">is </w:t>
      </w:r>
      <w:r w:rsidRPr="00BD2AB7">
        <w:t>that</w:t>
      </w:r>
      <w:r>
        <w:t xml:space="preserve"> </w:t>
      </w:r>
      <w:r w:rsidRPr="00BD2AB7">
        <w:t>the accreditation applicant</w:t>
      </w:r>
      <w:r w:rsidRPr="007C39E2">
        <w:t>:</w:t>
      </w:r>
    </w:p>
    <w:p w14:paraId="47CC6EEF" w14:textId="77777777" w:rsidR="00CF0E3D" w:rsidRPr="00083B86" w:rsidRDefault="00CF0E3D" w:rsidP="00CF0E3D">
      <w:pPr>
        <w:pStyle w:val="paragraph"/>
      </w:pPr>
      <w:r>
        <w:tab/>
        <w:t>(a)</w:t>
      </w:r>
      <w:r>
        <w:tab/>
      </w:r>
      <w:r w:rsidRPr="00083B86">
        <w:t xml:space="preserve">would, if accredited, be able to comply with the obligations </w:t>
      </w:r>
      <w:r w:rsidRPr="00005026">
        <w:t>set out in</w:t>
      </w:r>
      <w:r w:rsidRPr="00083B86">
        <w:t xml:space="preserve"> rule </w:t>
      </w:r>
      <w:r>
        <w:t>5.12</w:t>
      </w:r>
      <w:r w:rsidRPr="00083B86">
        <w:t>; or</w:t>
      </w:r>
    </w:p>
    <w:p w14:paraId="08C89AAC" w14:textId="292285C7" w:rsidR="00CF0E3D" w:rsidRPr="00083B86" w:rsidRDefault="00CF0E3D" w:rsidP="00CF0E3D">
      <w:pPr>
        <w:pStyle w:val="paragraph"/>
      </w:pPr>
      <w:r>
        <w:tab/>
        <w:t>(b)</w:t>
      </w:r>
      <w:r>
        <w:tab/>
      </w:r>
      <w:r w:rsidRPr="00083B86">
        <w:t xml:space="preserve">where a </w:t>
      </w:r>
      <w:r w:rsidR="005032E9" w:rsidRPr="007E7FBF">
        <w:t xml:space="preserve">Schedule </w:t>
      </w:r>
      <w:r w:rsidR="00D813F1" w:rsidRPr="007E7FBF">
        <w:t>to these rules</w:t>
      </w:r>
      <w:r w:rsidRPr="00083B86">
        <w:t xml:space="preserve"> sets out criteria for streamlined accreditation in relation to the relevant designa</w:t>
      </w:r>
      <w:r>
        <w:t>ted sector―meets those criteria</w:t>
      </w:r>
      <w:r w:rsidRPr="0025444A">
        <w:t>.</w:t>
      </w:r>
    </w:p>
    <w:p w14:paraId="14CD1D1A" w14:textId="77777777" w:rsidR="00CF0E3D" w:rsidRPr="00BD2AB7" w:rsidRDefault="00CF0E3D" w:rsidP="00CF0E3D">
      <w:pPr>
        <w:pStyle w:val="notetext"/>
      </w:pPr>
      <w:r w:rsidRPr="00BD2AB7">
        <w:t xml:space="preserve">Note </w:t>
      </w:r>
      <w:r>
        <w:t>2</w:t>
      </w:r>
      <w:r w:rsidRPr="00BD2AB7">
        <w:t>:</w:t>
      </w:r>
      <w:r w:rsidRPr="00BD2AB7">
        <w:tab/>
        <w:t xml:space="preserve">See Schedules to these rules for </w:t>
      </w:r>
      <w:r>
        <w:t xml:space="preserve">other circumstances in which </w:t>
      </w:r>
      <w:r w:rsidRPr="00BD2AB7">
        <w:t>this provision might operate differently for different designated sectors.</w:t>
      </w:r>
    </w:p>
    <w:p w14:paraId="1BE21EB4" w14:textId="77777777" w:rsidR="00CF0E3D" w:rsidRDefault="00CF0E3D" w:rsidP="00CF0E3D">
      <w:pPr>
        <w:pStyle w:val="notetext"/>
      </w:pPr>
      <w:r w:rsidRPr="00BD2AB7">
        <w:t xml:space="preserve">Note </w:t>
      </w:r>
      <w:r>
        <w:t>3</w:t>
      </w:r>
      <w:r w:rsidRPr="00BD2AB7">
        <w:t>:</w:t>
      </w:r>
      <w:r w:rsidRPr="00BD2AB7">
        <w:tab/>
        <w:t xml:space="preserve">For the banking sector, see clause </w:t>
      </w:r>
      <w:r>
        <w:t>7.3</w:t>
      </w:r>
      <w:r w:rsidRPr="00BD2AB7">
        <w:t xml:space="preserve"> of </w:t>
      </w:r>
      <w:r>
        <w:t>Schedule 3</w:t>
      </w:r>
      <w:r w:rsidRPr="00BD2AB7">
        <w:t>.</w:t>
      </w:r>
    </w:p>
    <w:p w14:paraId="4CC091F7" w14:textId="77777777" w:rsidR="00CF0E3D" w:rsidRPr="00E1300D" w:rsidRDefault="00CF0E3D" w:rsidP="00CF0E3D">
      <w:pPr>
        <w:pStyle w:val="ActHead5"/>
        <w:rPr>
          <w:color w:val="000000" w:themeColor="text1"/>
        </w:rPr>
      </w:pPr>
      <w:bookmarkStart w:id="375" w:name="_Toc74916204"/>
      <w:r>
        <w:rPr>
          <w:color w:val="000000" w:themeColor="text1"/>
        </w:rPr>
        <w:t>5.6</w:t>
      </w:r>
      <w:r w:rsidRPr="00E1300D">
        <w:rPr>
          <w:color w:val="000000" w:themeColor="text1"/>
        </w:rPr>
        <w:t xml:space="preserve">  Accreditation decision―accreditation number</w:t>
      </w:r>
      <w:bookmarkEnd w:id="375"/>
    </w:p>
    <w:p w14:paraId="12ACA1E0" w14:textId="77777777" w:rsidR="00CF0E3D" w:rsidRPr="00E1300D" w:rsidRDefault="00CF0E3D" w:rsidP="00CF0E3D">
      <w:pPr>
        <w:pStyle w:val="subsection"/>
        <w:rPr>
          <w:color w:val="000000" w:themeColor="text1"/>
        </w:rPr>
      </w:pPr>
      <w:r>
        <w:tab/>
      </w:r>
      <w:r w:rsidRPr="00E1300D">
        <w:rPr>
          <w:color w:val="000000" w:themeColor="text1"/>
        </w:rPr>
        <w:tab/>
        <w:t xml:space="preserve">The Data Recipient Accreditor must, if it accredits an accreditation applicant, give the applicant a unique number by which it may be identified as an accredited person (their </w:t>
      </w:r>
      <w:r w:rsidRPr="00E1300D">
        <w:rPr>
          <w:b/>
          <w:i/>
          <w:color w:val="000000" w:themeColor="text1"/>
        </w:rPr>
        <w:t>accreditation number</w:t>
      </w:r>
      <w:r w:rsidRPr="00E1300D">
        <w:rPr>
          <w:color w:val="000000" w:themeColor="text1"/>
        </w:rPr>
        <w:t>).</w:t>
      </w:r>
    </w:p>
    <w:p w14:paraId="03CACC7F" w14:textId="77777777" w:rsidR="00CF0E3D" w:rsidRPr="000C3240" w:rsidRDefault="00CF0E3D" w:rsidP="00CF0E3D">
      <w:pPr>
        <w:pStyle w:val="ActHead5"/>
        <w:rPr>
          <w:color w:val="000000" w:themeColor="text1"/>
        </w:rPr>
      </w:pPr>
      <w:bookmarkStart w:id="376" w:name="_Toc11771638"/>
      <w:bookmarkStart w:id="377" w:name="_Toc74916205"/>
      <w:r>
        <w:rPr>
          <w:color w:val="000000" w:themeColor="text1"/>
        </w:rPr>
        <w:t>5.7</w:t>
      </w:r>
      <w:r w:rsidRPr="000C3240">
        <w:rPr>
          <w:color w:val="000000" w:themeColor="text1"/>
        </w:rPr>
        <w:t xml:space="preserve">  Accreditation decision—notifying accreditation applicant</w:t>
      </w:r>
      <w:bookmarkEnd w:id="376"/>
      <w:bookmarkEnd w:id="377"/>
    </w:p>
    <w:p w14:paraId="1613C781" w14:textId="77777777" w:rsidR="00CF0E3D" w:rsidRDefault="00CF0E3D" w:rsidP="00CF0E3D">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 xml:space="preserve">The Data Recipient Accreditor must notify an accreditation applicant, in writing, as soon as practicable after </w:t>
      </w:r>
      <w:r w:rsidRPr="00005026">
        <w:t>making a decision to accredit, or refuse</w:t>
      </w:r>
      <w:r w:rsidRPr="000C3240">
        <w:rPr>
          <w:color w:val="000000" w:themeColor="text1"/>
        </w:rPr>
        <w:t xml:space="preserve"> to accredit, the applicant under subsection 56CA(1) of the Act.</w:t>
      </w:r>
    </w:p>
    <w:p w14:paraId="0FD96F84" w14:textId="77777777" w:rsidR="00CF0E3D" w:rsidRPr="000C3240" w:rsidRDefault="00CF0E3D" w:rsidP="00CF0E3D">
      <w:pPr>
        <w:pStyle w:val="subsection"/>
        <w:rPr>
          <w:color w:val="000000" w:themeColor="text1"/>
        </w:rPr>
      </w:pPr>
      <w:r w:rsidRPr="000C3240">
        <w:rPr>
          <w:color w:val="000000" w:themeColor="text1"/>
        </w:rPr>
        <w:tab/>
      </w:r>
      <w:r>
        <w:rPr>
          <w:color w:val="000000" w:themeColor="text1"/>
        </w:rPr>
        <w:t>(2)</w:t>
      </w:r>
      <w:r w:rsidRPr="000C3240">
        <w:rPr>
          <w:color w:val="000000" w:themeColor="text1"/>
        </w:rPr>
        <w:tab/>
        <w:t xml:space="preserve">If the Accreditor </w:t>
      </w:r>
      <w:r w:rsidRPr="003F3AC9">
        <w:t xml:space="preserve">decided to accredit </w:t>
      </w:r>
      <w:r w:rsidRPr="000C3240">
        <w:rPr>
          <w:color w:val="000000" w:themeColor="text1"/>
        </w:rPr>
        <w:t>the applicant, the notice must include the following:</w:t>
      </w:r>
    </w:p>
    <w:p w14:paraId="2397D1A7" w14:textId="77777777" w:rsidR="00CF0E3D" w:rsidRPr="000C3240" w:rsidRDefault="00CF0E3D" w:rsidP="00CF0E3D">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that fact;</w:t>
      </w:r>
    </w:p>
    <w:p w14:paraId="1252BE13" w14:textId="764F769F" w:rsidR="00CF0E3D" w:rsidRDefault="00CF0E3D" w:rsidP="00CF0E3D">
      <w:pPr>
        <w:pStyle w:val="paragraph"/>
      </w:pPr>
      <w:r>
        <w:tab/>
        <w:t>(b)</w:t>
      </w:r>
      <w:r>
        <w:tab/>
        <w:t>the level of accreditation;</w:t>
      </w:r>
    </w:p>
    <w:p w14:paraId="0B52A08B" w14:textId="77777777" w:rsidR="00CF0E3D" w:rsidRPr="00E1300D" w:rsidRDefault="00CF0E3D" w:rsidP="00CF0E3D">
      <w:pPr>
        <w:pStyle w:val="paragraph"/>
        <w:rPr>
          <w:color w:val="000000" w:themeColor="text1"/>
        </w:rPr>
      </w:pPr>
      <w:r>
        <w:tab/>
      </w:r>
      <w:r>
        <w:rPr>
          <w:color w:val="000000" w:themeColor="text1"/>
        </w:rPr>
        <w:t>(c)</w:t>
      </w:r>
      <w:r w:rsidRPr="000C3240">
        <w:rPr>
          <w:color w:val="000000" w:themeColor="text1"/>
        </w:rPr>
        <w:tab/>
        <w:t>any conditions that were imposed when the accreditation decision was made</w:t>
      </w:r>
      <w:r w:rsidRPr="00E1300D">
        <w:rPr>
          <w:color w:val="000000" w:themeColor="text1"/>
        </w:rPr>
        <w:t>;</w:t>
      </w:r>
    </w:p>
    <w:p w14:paraId="0AB9D625" w14:textId="5EA60687" w:rsidR="00A80174" w:rsidRDefault="00CF0E3D" w:rsidP="00A80174">
      <w:pPr>
        <w:pStyle w:val="paragraph"/>
      </w:pPr>
      <w:r>
        <w:tab/>
      </w:r>
      <w:r>
        <w:rPr>
          <w:color w:val="000000" w:themeColor="text1"/>
        </w:rPr>
        <w:t>(d)</w:t>
      </w:r>
      <w:r w:rsidRPr="00E1300D">
        <w:rPr>
          <w:color w:val="000000" w:themeColor="text1"/>
        </w:rPr>
        <w:tab/>
        <w:t>their accreditation number</w:t>
      </w:r>
    </w:p>
    <w:p w14:paraId="7BE5AC77" w14:textId="70BAC2F0" w:rsidR="00CF0E3D" w:rsidRPr="00BC78CF" w:rsidRDefault="00CF0E3D" w:rsidP="00CF0E3D">
      <w:pPr>
        <w:pStyle w:val="paragraph"/>
        <w:rPr>
          <w:color w:val="FF0000"/>
        </w:rPr>
      </w:pPr>
      <w:r>
        <w:t>.</w:t>
      </w:r>
    </w:p>
    <w:p w14:paraId="3516455F" w14:textId="77777777" w:rsidR="00CF0E3D" w:rsidRPr="000C3240" w:rsidRDefault="00CF0E3D" w:rsidP="00CF0E3D">
      <w:pPr>
        <w:pStyle w:val="notetext"/>
        <w:rPr>
          <w:color w:val="000000" w:themeColor="text1"/>
        </w:rPr>
      </w:pPr>
      <w:r w:rsidRPr="000C3240">
        <w:rPr>
          <w:color w:val="000000" w:themeColor="text1"/>
        </w:rPr>
        <w:t>Note:</w:t>
      </w:r>
      <w:r w:rsidRPr="000C3240">
        <w:rPr>
          <w:color w:val="000000" w:themeColor="text1"/>
        </w:rPr>
        <w:tab/>
        <w:t>For paragraph </w:t>
      </w:r>
      <w:r>
        <w:rPr>
          <w:color w:val="000000" w:themeColor="text1"/>
        </w:rPr>
        <w:t>(c)</w:t>
      </w:r>
      <w:r w:rsidRPr="000C3240">
        <w:rPr>
          <w:color w:val="000000" w:themeColor="text1"/>
        </w:rPr>
        <w:t xml:space="preserve">, for conditions on accreditations, see </w:t>
      </w:r>
      <w:r>
        <w:rPr>
          <w:color w:val="000000" w:themeColor="text1"/>
        </w:rPr>
        <w:t>rule</w:t>
      </w:r>
      <w:r w:rsidRPr="000C3240">
        <w:rPr>
          <w:color w:val="000000" w:themeColor="text1"/>
        </w:rPr>
        <w:t> </w:t>
      </w:r>
      <w:r>
        <w:rPr>
          <w:color w:val="000000" w:themeColor="text1"/>
        </w:rPr>
        <w:t>5.10</w:t>
      </w:r>
      <w:r w:rsidRPr="000C3240">
        <w:rPr>
          <w:color w:val="000000" w:themeColor="text1"/>
        </w:rPr>
        <w:t>.</w:t>
      </w:r>
    </w:p>
    <w:p w14:paraId="327015F8" w14:textId="77777777" w:rsidR="00CF0E3D" w:rsidRPr="000C3240" w:rsidRDefault="00CF0E3D" w:rsidP="00CF0E3D">
      <w:pPr>
        <w:pStyle w:val="subsection"/>
        <w:rPr>
          <w:color w:val="000000" w:themeColor="text1"/>
        </w:rPr>
      </w:pPr>
      <w:r w:rsidRPr="000C3240">
        <w:rPr>
          <w:color w:val="000000" w:themeColor="text1"/>
        </w:rPr>
        <w:tab/>
      </w:r>
      <w:r>
        <w:rPr>
          <w:color w:val="000000" w:themeColor="text1"/>
        </w:rPr>
        <w:t>(3)</w:t>
      </w:r>
      <w:r w:rsidRPr="000C3240">
        <w:rPr>
          <w:color w:val="000000" w:themeColor="text1"/>
        </w:rPr>
        <w:tab/>
        <w:t xml:space="preserve">If the </w:t>
      </w:r>
      <w:r w:rsidRPr="003F3AC9">
        <w:t>Accreditor</w:t>
      </w:r>
      <w:r>
        <w:t xml:space="preserve"> </w:t>
      </w:r>
      <w:r w:rsidRPr="003F3AC9">
        <w:t>decided not to</w:t>
      </w:r>
      <w:r w:rsidRPr="000C3240">
        <w:rPr>
          <w:color w:val="000000" w:themeColor="text1"/>
        </w:rPr>
        <w:t xml:space="preserve"> accredit the applicant, the notice must include the following:</w:t>
      </w:r>
    </w:p>
    <w:p w14:paraId="11079760" w14:textId="77777777" w:rsidR="00CF0E3D" w:rsidRPr="000C3240" w:rsidRDefault="00CF0E3D" w:rsidP="00CF0E3D">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that fact;</w:t>
      </w:r>
    </w:p>
    <w:p w14:paraId="6B46EDE7" w14:textId="77777777" w:rsidR="00CF0E3D" w:rsidRDefault="00CF0E3D" w:rsidP="00CF0E3D">
      <w:pPr>
        <w:pStyle w:val="paragraph"/>
        <w:rPr>
          <w:color w:val="000000" w:themeColor="text1"/>
        </w:rPr>
      </w:pPr>
      <w:r>
        <w:tab/>
      </w:r>
      <w:r>
        <w:rPr>
          <w:color w:val="000000" w:themeColor="text1"/>
        </w:rPr>
        <w:t>(b)</w:t>
      </w:r>
      <w:r w:rsidRPr="000C3240">
        <w:rPr>
          <w:color w:val="000000" w:themeColor="text1"/>
        </w:rPr>
        <w:tab/>
        <w:t>the applicant’s rights to have the decision to refuse reviewed by the Administrative Appeals Tribunal.</w:t>
      </w:r>
    </w:p>
    <w:p w14:paraId="1B21A152" w14:textId="77777777" w:rsidR="00CF0E3D" w:rsidRPr="00005026" w:rsidRDefault="00CF0E3D" w:rsidP="00CF0E3D">
      <w:pPr>
        <w:pStyle w:val="ActHead5"/>
      </w:pPr>
      <w:bookmarkStart w:id="378" w:name="_Toc74916206"/>
      <w:r>
        <w:t>5.8</w:t>
      </w:r>
      <w:r w:rsidRPr="00005026">
        <w:t xml:space="preserve">  When accreditation takes effect</w:t>
      </w:r>
      <w:bookmarkEnd w:id="378"/>
    </w:p>
    <w:p w14:paraId="74367791" w14:textId="77777777" w:rsidR="00CF0E3D" w:rsidRPr="00005026" w:rsidRDefault="00CF0E3D" w:rsidP="00CF0E3D">
      <w:pPr>
        <w:pStyle w:val="subsection"/>
        <w:rPr>
          <w:sz w:val="24"/>
          <w:szCs w:val="24"/>
        </w:rPr>
      </w:pPr>
      <w:r w:rsidRPr="00005026">
        <w:tab/>
      </w:r>
      <w:r w:rsidRPr="00005026">
        <w:tab/>
        <w:t>An accreditation takes effect when the fact that the Data Recipient Accreditor has decided to accredit the person is included in the Register of Accredited Persons.</w:t>
      </w:r>
    </w:p>
    <w:p w14:paraId="6895D907" w14:textId="77777777" w:rsidR="00CF0E3D" w:rsidRPr="00956176" w:rsidRDefault="00CF0E3D" w:rsidP="00CF0E3D">
      <w:pPr>
        <w:pStyle w:val="ActHead5"/>
      </w:pPr>
      <w:bookmarkStart w:id="379" w:name="_Toc74916207"/>
      <w:r>
        <w:t>5.9</w:t>
      </w:r>
      <w:r w:rsidRPr="00956176">
        <w:t xml:space="preserve">  Default conditions on accreditation</w:t>
      </w:r>
      <w:bookmarkEnd w:id="379"/>
    </w:p>
    <w:p w14:paraId="57B3DC59" w14:textId="77777777" w:rsidR="00CF0E3D" w:rsidRPr="00956176" w:rsidRDefault="00CF0E3D" w:rsidP="00CF0E3D">
      <w:pPr>
        <w:pStyle w:val="subsection"/>
      </w:pPr>
      <w:r w:rsidRPr="00956176">
        <w:tab/>
      </w:r>
      <w:r w:rsidRPr="00956176">
        <w:tab/>
        <w:t xml:space="preserve">An accreditation is subject to the conditions set out in </w:t>
      </w:r>
      <w:r>
        <w:t>Schedule 1</w:t>
      </w:r>
      <w:r w:rsidRPr="00956176">
        <w:t>.</w:t>
      </w:r>
    </w:p>
    <w:p w14:paraId="2A19375F" w14:textId="77777777" w:rsidR="00CF0E3D" w:rsidRDefault="00CF0E3D" w:rsidP="00CF0E3D">
      <w:pPr>
        <w:pStyle w:val="ActHead5"/>
      </w:pPr>
      <w:bookmarkStart w:id="380" w:name="_Toc11771639"/>
      <w:bookmarkStart w:id="381" w:name="_Toc74916208"/>
      <w:r>
        <w:t>5.10</w:t>
      </w:r>
      <w:r w:rsidRPr="00956176">
        <w:t xml:space="preserve">  Other conditions on accreditation</w:t>
      </w:r>
      <w:bookmarkEnd w:id="380"/>
      <w:bookmarkEnd w:id="381"/>
    </w:p>
    <w:p w14:paraId="246E06B7" w14:textId="77777777" w:rsidR="00CF0E3D" w:rsidRPr="004E01F4" w:rsidRDefault="00CF0E3D" w:rsidP="00CF0E3D">
      <w:pPr>
        <w:pStyle w:val="subsection"/>
        <w:tabs>
          <w:tab w:val="left" w:pos="300"/>
        </w:tabs>
      </w:pPr>
      <w:r w:rsidRPr="004E01F4">
        <w:tab/>
      </w:r>
      <w:r>
        <w:tab/>
      </w:r>
      <w:r w:rsidRPr="004E01F4">
        <w:t>(1)</w:t>
      </w:r>
      <w:r w:rsidRPr="004E01F4">
        <w:tab/>
        <w:t>The Data Recipient Accreditor may, in writing:</w:t>
      </w:r>
    </w:p>
    <w:p w14:paraId="2C044DBC" w14:textId="77777777" w:rsidR="00CF0E3D" w:rsidRPr="004E01F4" w:rsidRDefault="00CF0E3D" w:rsidP="00CF0E3D">
      <w:pPr>
        <w:pStyle w:val="paragraph"/>
      </w:pPr>
      <w:r w:rsidRPr="004E01F4">
        <w:tab/>
        <w:t>(a)</w:t>
      </w:r>
      <w:r w:rsidRPr="004E01F4">
        <w:tab/>
        <w:t>impose any other condition on an accreditation; and</w:t>
      </w:r>
    </w:p>
    <w:p w14:paraId="3C26E210" w14:textId="77777777" w:rsidR="00CF0E3D" w:rsidRPr="004E01F4" w:rsidRDefault="00CF0E3D" w:rsidP="00CF0E3D">
      <w:pPr>
        <w:pStyle w:val="paragraph"/>
      </w:pPr>
      <w:r w:rsidRPr="004E01F4">
        <w:tab/>
        <w:t>(b)</w:t>
      </w:r>
      <w:r w:rsidRPr="004E01F4">
        <w:tab/>
        <w:t>vary or remove any conditions imposed under this rule or rule 5.9.</w:t>
      </w:r>
    </w:p>
    <w:p w14:paraId="3ABB6591" w14:textId="77777777" w:rsidR="00CF0E3D" w:rsidRPr="004E01F4" w:rsidRDefault="00CF0E3D" w:rsidP="00CF0E3D">
      <w:pPr>
        <w:pStyle w:val="subsection"/>
      </w:pPr>
      <w:r w:rsidRPr="004E01F4">
        <w:t xml:space="preserve"> </w:t>
      </w:r>
      <w:r w:rsidRPr="004E01F4">
        <w:tab/>
        <w:t>(1A)</w:t>
      </w:r>
      <w:r w:rsidRPr="004E01F4">
        <w:tab/>
        <w:t xml:space="preserve">The Data Recipient Accreditor may exercise a power under subrule (1): </w:t>
      </w:r>
    </w:p>
    <w:p w14:paraId="423438C7" w14:textId="77777777" w:rsidR="00CF0E3D" w:rsidRPr="004E01F4" w:rsidRDefault="00CF0E3D" w:rsidP="00CF0E3D">
      <w:pPr>
        <w:pStyle w:val="paragraph"/>
      </w:pPr>
      <w:r w:rsidRPr="004E01F4">
        <w:tab/>
        <w:t>(a)</w:t>
      </w:r>
      <w:r w:rsidRPr="004E01F4">
        <w:tab/>
        <w:t>at the time of accreditation under subsection 56CA(1) of the Act; or</w:t>
      </w:r>
    </w:p>
    <w:p w14:paraId="6873009C" w14:textId="77777777" w:rsidR="00CF0E3D" w:rsidRPr="004E01F4" w:rsidRDefault="00CF0E3D" w:rsidP="00CF0E3D">
      <w:pPr>
        <w:pStyle w:val="paragraph"/>
      </w:pPr>
      <w:r w:rsidRPr="004E01F4">
        <w:tab/>
        <w:t>(b)</w:t>
      </w:r>
      <w:r w:rsidRPr="004E01F4">
        <w:tab/>
        <w:t xml:space="preserve">at any time after accreditation. </w:t>
      </w:r>
    </w:p>
    <w:p w14:paraId="1EEB441B" w14:textId="77777777" w:rsidR="00CF0E3D" w:rsidRPr="00641354" w:rsidRDefault="00CF0E3D" w:rsidP="00CF0E3D">
      <w:pPr>
        <w:pStyle w:val="subsection"/>
        <w:rPr>
          <w:color w:val="000000"/>
        </w:rPr>
      </w:pPr>
      <w:r w:rsidRPr="00641354">
        <w:rPr>
          <w:color w:val="000000"/>
        </w:rPr>
        <w:tab/>
      </w:r>
      <w:r>
        <w:rPr>
          <w:color w:val="000000"/>
        </w:rPr>
        <w:t>(2)</w:t>
      </w:r>
      <w:r w:rsidRPr="00641354">
        <w:rPr>
          <w:color w:val="000000"/>
        </w:rPr>
        <w:tab/>
        <w:t xml:space="preserve">Before </w:t>
      </w:r>
      <w:r>
        <w:rPr>
          <w:color w:val="000000"/>
        </w:rPr>
        <w:t>exercising a power</w:t>
      </w:r>
      <w:r w:rsidRPr="00641354">
        <w:rPr>
          <w:color w:val="000000"/>
        </w:rPr>
        <w:t xml:space="preserve"> under this </w:t>
      </w:r>
      <w:r>
        <w:rPr>
          <w:color w:val="000000"/>
        </w:rPr>
        <w:t>rule</w:t>
      </w:r>
      <w:r w:rsidRPr="00641354">
        <w:rPr>
          <w:color w:val="000000"/>
        </w:rPr>
        <w:t>, the Accreditor must:</w:t>
      </w:r>
    </w:p>
    <w:p w14:paraId="42A074B5" w14:textId="77777777" w:rsidR="00CF0E3D" w:rsidRPr="00641354" w:rsidRDefault="00CF0E3D" w:rsidP="00CF0E3D">
      <w:pPr>
        <w:pStyle w:val="paragraph"/>
        <w:rPr>
          <w:color w:val="000000"/>
        </w:rPr>
      </w:pPr>
      <w:r w:rsidRPr="00641354">
        <w:rPr>
          <w:color w:val="000000"/>
        </w:rPr>
        <w:tab/>
      </w:r>
      <w:r>
        <w:rPr>
          <w:color w:val="000000"/>
        </w:rPr>
        <w:t>(a)</w:t>
      </w:r>
      <w:r w:rsidRPr="00641354">
        <w:rPr>
          <w:color w:val="000000"/>
        </w:rPr>
        <w:tab/>
        <w:t>inform the</w:t>
      </w:r>
      <w:r>
        <w:rPr>
          <w:color w:val="000000"/>
        </w:rPr>
        <w:t xml:space="preserve"> </w:t>
      </w:r>
      <w:r w:rsidRPr="000C3240">
        <w:rPr>
          <w:color w:val="000000" w:themeColor="text1"/>
        </w:rPr>
        <w:t>accreditation applicant or</w:t>
      </w:r>
      <w:r w:rsidRPr="00641354">
        <w:rPr>
          <w:color w:val="000000"/>
        </w:rPr>
        <w:t xml:space="preserve"> accredited person</w:t>
      </w:r>
      <w:r w:rsidRPr="000C3240">
        <w:rPr>
          <w:color w:val="000000" w:themeColor="text1"/>
        </w:rPr>
        <w:t>, as appropriate,</w:t>
      </w:r>
      <w:r w:rsidRPr="00641354">
        <w:rPr>
          <w:color w:val="000000"/>
        </w:rPr>
        <w:t xml:space="preserve"> of the proposed imposition or variation; and</w:t>
      </w:r>
    </w:p>
    <w:p w14:paraId="20AA26BD" w14:textId="77777777" w:rsidR="00CF0E3D" w:rsidRPr="00641354" w:rsidRDefault="00CF0E3D" w:rsidP="00CF0E3D">
      <w:pPr>
        <w:pStyle w:val="paragraph"/>
        <w:rPr>
          <w:color w:val="000000"/>
        </w:rPr>
      </w:pPr>
      <w:r w:rsidRPr="00641354">
        <w:rPr>
          <w:color w:val="000000"/>
        </w:rPr>
        <w:tab/>
      </w:r>
      <w:r>
        <w:rPr>
          <w:color w:val="000000"/>
        </w:rPr>
        <w:t>(b)</w:t>
      </w:r>
      <w:r w:rsidRPr="00641354">
        <w:rPr>
          <w:color w:val="000000"/>
        </w:rPr>
        <w:tab/>
        <w:t xml:space="preserve">give the </w:t>
      </w:r>
      <w:r w:rsidRPr="000C3240">
        <w:rPr>
          <w:color w:val="000000" w:themeColor="text1"/>
        </w:rPr>
        <w:t xml:space="preserve">accreditation applicant or </w:t>
      </w:r>
      <w:r w:rsidRPr="00641354">
        <w:rPr>
          <w:color w:val="000000"/>
        </w:rPr>
        <w:t>accredited person</w:t>
      </w:r>
      <w:r w:rsidRPr="000C3240">
        <w:rPr>
          <w:color w:val="000000" w:themeColor="text1"/>
        </w:rPr>
        <w:t>, as appropriate,</w:t>
      </w:r>
      <w:r w:rsidRPr="00641354">
        <w:rPr>
          <w:color w:val="000000"/>
        </w:rPr>
        <w:t xml:space="preserve"> a reasonable opportunity to be heard in relation to the proposal.</w:t>
      </w:r>
    </w:p>
    <w:p w14:paraId="3A9CD21D" w14:textId="77777777" w:rsidR="00CF0E3D" w:rsidRPr="000C3240" w:rsidRDefault="00CF0E3D" w:rsidP="00CF0E3D">
      <w:pPr>
        <w:pStyle w:val="notetext"/>
        <w:rPr>
          <w:color w:val="000000" w:themeColor="text1"/>
        </w:rPr>
      </w:pPr>
      <w:r w:rsidRPr="000C3240">
        <w:rPr>
          <w:color w:val="000000" w:themeColor="text1"/>
        </w:rPr>
        <w:t>Note 1:</w:t>
      </w:r>
      <w:r w:rsidRPr="000C3240">
        <w:rPr>
          <w:color w:val="000000" w:themeColor="text1"/>
        </w:rPr>
        <w:tab/>
        <w:t>Contravention of a condition could lead to suspension or revocation of accreditation</w:t>
      </w:r>
      <w:r>
        <w:rPr>
          <w:color w:val="000000" w:themeColor="text1"/>
        </w:rPr>
        <w:t>: s</w:t>
      </w:r>
      <w:r w:rsidRPr="000C3240">
        <w:rPr>
          <w:color w:val="000000" w:themeColor="text1"/>
        </w:rPr>
        <w:t xml:space="preserve">ee </w:t>
      </w:r>
      <w:r w:rsidRPr="0034500F">
        <w:rPr>
          <w:color w:val="000000" w:themeColor="text1"/>
        </w:rPr>
        <w:t>items</w:t>
      </w:r>
      <w:r>
        <w:t> </w:t>
      </w:r>
      <w:r w:rsidRPr="00CC5A54">
        <w:t xml:space="preserve">6 and 7 </w:t>
      </w:r>
      <w:r w:rsidRPr="000C3240">
        <w:rPr>
          <w:color w:val="000000" w:themeColor="text1"/>
        </w:rPr>
        <w:t xml:space="preserve">of the table to </w:t>
      </w:r>
      <w:r>
        <w:rPr>
          <w:color w:val="000000" w:themeColor="text1"/>
        </w:rPr>
        <w:t>rule</w:t>
      </w:r>
      <w:r w:rsidRPr="000C3240">
        <w:rPr>
          <w:color w:val="000000" w:themeColor="text1"/>
        </w:rPr>
        <w:t> </w:t>
      </w:r>
      <w:r>
        <w:rPr>
          <w:color w:val="000000" w:themeColor="text1"/>
        </w:rPr>
        <w:t>5.17</w:t>
      </w:r>
      <w:r w:rsidRPr="000C3240">
        <w:rPr>
          <w:color w:val="000000" w:themeColor="text1"/>
        </w:rPr>
        <w:t>.</w:t>
      </w:r>
    </w:p>
    <w:p w14:paraId="2D3577E1" w14:textId="77777777" w:rsidR="00CF0E3D" w:rsidRDefault="00CF0E3D" w:rsidP="00CF0E3D">
      <w:pPr>
        <w:pStyle w:val="notetext"/>
        <w:rPr>
          <w:color w:val="000000" w:themeColor="text1"/>
        </w:rPr>
      </w:pPr>
      <w:r w:rsidRPr="000C3240">
        <w:rPr>
          <w:color w:val="000000" w:themeColor="text1"/>
        </w:rPr>
        <w:t>Note 2:</w:t>
      </w:r>
      <w:r w:rsidRPr="000C3240">
        <w:rPr>
          <w:color w:val="000000" w:themeColor="text1"/>
        </w:rPr>
        <w:tab/>
        <w:t xml:space="preserve">Applications may be made to the Administrative Appeals Tribunal to review a decision under this </w:t>
      </w:r>
      <w:r>
        <w:rPr>
          <w:color w:val="000000" w:themeColor="text1"/>
        </w:rPr>
        <w:t>rule: see paragraph 9.2(a)</w:t>
      </w:r>
      <w:r w:rsidRPr="000C3240">
        <w:rPr>
          <w:color w:val="000000" w:themeColor="text1"/>
        </w:rPr>
        <w:t>.</w:t>
      </w:r>
    </w:p>
    <w:p w14:paraId="7744C84E" w14:textId="77777777" w:rsidR="00CF0E3D" w:rsidRDefault="00CF0E3D" w:rsidP="00CF0E3D">
      <w:pPr>
        <w:pStyle w:val="subsection"/>
      </w:pPr>
      <w:r w:rsidRPr="00005026">
        <w:tab/>
      </w:r>
      <w:r>
        <w:t>(3)</w:t>
      </w:r>
      <w:r w:rsidRPr="00005026">
        <w:tab/>
        <w:t>If the reasons for imposing or varying a condition on an existing accreditation are such that</w:t>
      </w:r>
      <w:r>
        <w:t>, in the opinion of the Data Recipient Accreditor,</w:t>
      </w:r>
      <w:r w:rsidRPr="00005026">
        <w:t xml:space="preserve"> complying with subrule </w:t>
      </w:r>
      <w:r>
        <w:t>(2)</w:t>
      </w:r>
      <w:r w:rsidRPr="00005026">
        <w:t xml:space="preserve"> would create a real risk of:</w:t>
      </w:r>
    </w:p>
    <w:p w14:paraId="24C542D0" w14:textId="77777777" w:rsidR="00CF0E3D" w:rsidRPr="00005026" w:rsidRDefault="00CF0E3D" w:rsidP="00CF0E3D">
      <w:pPr>
        <w:pStyle w:val="paragraph"/>
      </w:pPr>
      <w:r w:rsidRPr="00005026">
        <w:tab/>
      </w:r>
      <w:r>
        <w:t>(a)</w:t>
      </w:r>
      <w:r w:rsidRPr="00005026">
        <w:tab/>
        <w:t>harm or abuse to an individual; or</w:t>
      </w:r>
    </w:p>
    <w:p w14:paraId="3EA0DD62" w14:textId="77777777" w:rsidR="00CF0E3D" w:rsidRPr="00005026" w:rsidRDefault="00CF0E3D" w:rsidP="00CF0E3D">
      <w:pPr>
        <w:pStyle w:val="paragraph"/>
      </w:pPr>
      <w:r w:rsidRPr="00005026">
        <w:tab/>
      </w:r>
      <w:r>
        <w:t>(b)</w:t>
      </w:r>
      <w:r w:rsidRPr="00005026">
        <w:tab/>
        <w:t>adversely impacting the security, integrity or stability of:</w:t>
      </w:r>
    </w:p>
    <w:p w14:paraId="3C59DECE" w14:textId="77777777" w:rsidR="00CF0E3D" w:rsidRPr="00005026" w:rsidRDefault="00CF0E3D" w:rsidP="00CF0E3D">
      <w:pPr>
        <w:pStyle w:val="paragraphsub"/>
      </w:pPr>
      <w:r w:rsidRPr="00005026">
        <w:tab/>
      </w:r>
      <w:r>
        <w:t>(i)</w:t>
      </w:r>
      <w:r w:rsidRPr="00005026">
        <w:tab/>
        <w:t>the Register of Accredited Persons; or</w:t>
      </w:r>
    </w:p>
    <w:p w14:paraId="5EC55562" w14:textId="77777777" w:rsidR="00CF0E3D" w:rsidRPr="00005026" w:rsidRDefault="00CF0E3D" w:rsidP="00CF0E3D">
      <w:pPr>
        <w:pStyle w:val="paragraphsub"/>
      </w:pPr>
      <w:r w:rsidRPr="00005026">
        <w:tab/>
      </w:r>
      <w:r>
        <w:t>(ii)</w:t>
      </w:r>
      <w:r w:rsidRPr="00005026">
        <w:tab/>
        <w:t>information and communication technology systems that are used by CDR participants to disclose or collect CDR data;</w:t>
      </w:r>
    </w:p>
    <w:p w14:paraId="5369748E" w14:textId="77777777" w:rsidR="00CF0E3D" w:rsidRPr="00005026" w:rsidRDefault="00CF0E3D" w:rsidP="00CF0E3D">
      <w:pPr>
        <w:pStyle w:val="subsection"/>
        <w:spacing w:before="40"/>
      </w:pPr>
      <w:r w:rsidRPr="00005026">
        <w:tab/>
      </w:r>
      <w:r w:rsidRPr="00005026">
        <w:tab/>
        <w:t>the Accreditor may impose or vary the condition without complying with that subrule, but must, as soon as practicable, give the accredited person a reasonable opportunity to be heard in relation to the imposition or variation.</w:t>
      </w:r>
    </w:p>
    <w:p w14:paraId="0FA95144" w14:textId="77777777" w:rsidR="00CF0E3D" w:rsidRPr="000C3240" w:rsidRDefault="00CF0E3D" w:rsidP="00CF0E3D">
      <w:pPr>
        <w:pStyle w:val="subsection"/>
        <w:rPr>
          <w:color w:val="000000" w:themeColor="text1"/>
        </w:rPr>
      </w:pPr>
      <w:r>
        <w:tab/>
      </w:r>
      <w:r>
        <w:rPr>
          <w:color w:val="000000" w:themeColor="text1"/>
        </w:rPr>
        <w:t>(4)</w:t>
      </w:r>
      <w:r w:rsidRPr="000C3240">
        <w:rPr>
          <w:color w:val="000000" w:themeColor="text1"/>
        </w:rPr>
        <w:tab/>
        <w:t xml:space="preserve">A condition </w:t>
      </w:r>
      <w:r>
        <w:rPr>
          <w:color w:val="000000" w:themeColor="text1"/>
        </w:rPr>
        <w:t xml:space="preserve">imposed under this rule, </w:t>
      </w:r>
      <w:r w:rsidRPr="000C3240">
        <w:rPr>
          <w:color w:val="000000" w:themeColor="text1"/>
        </w:rPr>
        <w:t xml:space="preserve">or </w:t>
      </w:r>
      <w:r>
        <w:rPr>
          <w:color w:val="000000" w:themeColor="text1"/>
        </w:rPr>
        <w:t xml:space="preserve">a </w:t>
      </w:r>
      <w:r w:rsidRPr="000C3240">
        <w:rPr>
          <w:color w:val="000000" w:themeColor="text1"/>
        </w:rPr>
        <w:t xml:space="preserve">variation </w:t>
      </w:r>
      <w:r>
        <w:rPr>
          <w:color w:val="000000" w:themeColor="text1"/>
        </w:rPr>
        <w:t xml:space="preserve">of such a condition, </w:t>
      </w:r>
      <w:r w:rsidRPr="00B24FE2">
        <w:t>must</w:t>
      </w:r>
      <w:r w:rsidRPr="000C3240">
        <w:rPr>
          <w:color w:val="000000" w:themeColor="text1"/>
        </w:rPr>
        <w:t xml:space="preserve"> include the time or date on which it takes effect.</w:t>
      </w:r>
    </w:p>
    <w:p w14:paraId="6D9F63D5" w14:textId="77777777" w:rsidR="00CF0E3D" w:rsidRPr="000C3240" w:rsidRDefault="00CF0E3D" w:rsidP="00CF0E3D">
      <w:pPr>
        <w:pStyle w:val="notetext"/>
        <w:rPr>
          <w:color w:val="000000" w:themeColor="text1"/>
        </w:rPr>
      </w:pPr>
      <w:r w:rsidRPr="000C3240">
        <w:rPr>
          <w:color w:val="000000" w:themeColor="text1"/>
        </w:rPr>
        <w:t xml:space="preserve">Example: </w:t>
      </w:r>
      <w:r w:rsidRPr="000C3240">
        <w:rPr>
          <w:color w:val="000000" w:themeColor="text1"/>
        </w:rPr>
        <w:tab/>
        <w:t>A condition could take effect from when the accredited person receives notice of it.</w:t>
      </w:r>
    </w:p>
    <w:p w14:paraId="16C5E32F" w14:textId="77777777" w:rsidR="00CF0E3D" w:rsidRPr="000C3240" w:rsidRDefault="00CF0E3D" w:rsidP="00CF0E3D">
      <w:pPr>
        <w:pStyle w:val="subsection"/>
        <w:rPr>
          <w:color w:val="000000" w:themeColor="text1"/>
        </w:rPr>
      </w:pPr>
      <w:r>
        <w:tab/>
      </w:r>
      <w:r>
        <w:rPr>
          <w:color w:val="000000" w:themeColor="text1"/>
        </w:rPr>
        <w:t>(5)</w:t>
      </w:r>
      <w:r w:rsidRPr="000C3240">
        <w:rPr>
          <w:color w:val="000000" w:themeColor="text1"/>
        </w:rPr>
        <w:tab/>
        <w:t>The Accreditor:</w:t>
      </w:r>
    </w:p>
    <w:p w14:paraId="40A93ED7" w14:textId="77777777" w:rsidR="00CF0E3D" w:rsidRPr="000C3240" w:rsidRDefault="00CF0E3D" w:rsidP="00CF0E3D">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 xml:space="preserve">may, but need not, give public notice of </w:t>
      </w:r>
      <w:r w:rsidRPr="007554EF">
        <w:t xml:space="preserve">a condition or </w:t>
      </w:r>
      <w:r w:rsidRPr="000C3240">
        <w:rPr>
          <w:color w:val="000000" w:themeColor="text1"/>
        </w:rPr>
        <w:t>variation</w:t>
      </w:r>
      <w:r>
        <w:rPr>
          <w:color w:val="000000" w:themeColor="text1"/>
        </w:rPr>
        <w:t xml:space="preserve"> </w:t>
      </w:r>
      <w:r w:rsidRPr="007554EF">
        <w:t xml:space="preserve">imposed </w:t>
      </w:r>
      <w:r w:rsidRPr="00BD2AB7">
        <w:t xml:space="preserve">or removed </w:t>
      </w:r>
      <w:r w:rsidRPr="007554EF">
        <w:t>under this rule</w:t>
      </w:r>
      <w:r w:rsidRPr="000C3240">
        <w:rPr>
          <w:color w:val="000000" w:themeColor="text1"/>
        </w:rPr>
        <w:t>; and</w:t>
      </w:r>
    </w:p>
    <w:p w14:paraId="37DCA3DC" w14:textId="77777777" w:rsidR="00CF0E3D" w:rsidRDefault="00CF0E3D" w:rsidP="00CF0E3D">
      <w:pPr>
        <w:pStyle w:val="paragraph"/>
        <w:rPr>
          <w:color w:val="000000" w:themeColor="text1"/>
        </w:rPr>
      </w:pPr>
      <w:r w:rsidRPr="000C3240">
        <w:rPr>
          <w:color w:val="000000" w:themeColor="text1"/>
        </w:rPr>
        <w:tab/>
      </w:r>
      <w:r>
        <w:rPr>
          <w:color w:val="000000" w:themeColor="text1"/>
        </w:rPr>
        <w:t>(b)</w:t>
      </w:r>
      <w:r w:rsidRPr="000C3240">
        <w:rPr>
          <w:color w:val="000000" w:themeColor="text1"/>
        </w:rPr>
        <w:tab/>
        <w:t>may do so in any way that the Accreditor thinks fit.</w:t>
      </w:r>
    </w:p>
    <w:p w14:paraId="2686FC06" w14:textId="77777777" w:rsidR="00CF0E3D" w:rsidRPr="000C3240" w:rsidRDefault="00CF0E3D" w:rsidP="00CF0E3D">
      <w:pPr>
        <w:pStyle w:val="notetext"/>
      </w:pPr>
      <w:r>
        <w:t>Example:</w:t>
      </w:r>
      <w:r>
        <w:tab/>
        <w:t xml:space="preserve">The Accreditor could give public notice of </w:t>
      </w:r>
      <w:r w:rsidRPr="000C3240">
        <w:rPr>
          <w:color w:val="000000" w:themeColor="text1"/>
        </w:rPr>
        <w:t xml:space="preserve">a description of the effect of </w:t>
      </w:r>
      <w:r>
        <w:rPr>
          <w:color w:val="000000" w:themeColor="text1"/>
        </w:rPr>
        <w:t xml:space="preserve">the </w:t>
      </w:r>
      <w:r w:rsidRPr="000C3240">
        <w:rPr>
          <w:color w:val="000000" w:themeColor="text1"/>
        </w:rPr>
        <w:t>conditions</w:t>
      </w:r>
      <w:r>
        <w:rPr>
          <w:color w:val="000000" w:themeColor="text1"/>
        </w:rPr>
        <w:t>, rather than of the conditions themselves.</w:t>
      </w:r>
    </w:p>
    <w:p w14:paraId="237F4880" w14:textId="77777777" w:rsidR="00CF0E3D" w:rsidRDefault="00CF0E3D" w:rsidP="00CF0E3D">
      <w:pPr>
        <w:pStyle w:val="ActHead5"/>
        <w:rPr>
          <w:color w:val="000000" w:themeColor="text1"/>
        </w:rPr>
      </w:pPr>
      <w:bookmarkStart w:id="382" w:name="_Toc11771640"/>
      <w:bookmarkStart w:id="383" w:name="_Toc74916209"/>
      <w:r>
        <w:rPr>
          <w:color w:val="000000" w:themeColor="text1"/>
        </w:rPr>
        <w:t>5.11</w:t>
      </w:r>
      <w:r w:rsidRPr="000C3240">
        <w:rPr>
          <w:color w:val="000000" w:themeColor="text1"/>
        </w:rPr>
        <w:t xml:space="preserve">  Notification</w:t>
      </w:r>
      <w:r>
        <w:rPr>
          <w:color w:val="000000" w:themeColor="text1"/>
        </w:rPr>
        <w:t xml:space="preserve"> to accredited person</w:t>
      </w:r>
      <w:r w:rsidRPr="000C3240">
        <w:rPr>
          <w:color w:val="000000" w:themeColor="text1"/>
        </w:rPr>
        <w:t xml:space="preserve"> relating to conditions</w:t>
      </w:r>
      <w:bookmarkEnd w:id="382"/>
      <w:bookmarkEnd w:id="383"/>
    </w:p>
    <w:p w14:paraId="650D1391" w14:textId="77777777" w:rsidR="00CF0E3D" w:rsidRPr="000C3240" w:rsidRDefault="00CF0E3D" w:rsidP="00CF0E3D">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The Data Recipient Accreditor must notify the accredited person, in writing, as soon as practicable after the imposition</w:t>
      </w:r>
      <w:r>
        <w:rPr>
          <w:color w:val="000000" w:themeColor="text1"/>
        </w:rPr>
        <w:t>,</w:t>
      </w:r>
      <w:r w:rsidRPr="000C3240">
        <w:rPr>
          <w:color w:val="000000" w:themeColor="text1"/>
        </w:rPr>
        <w:t xml:space="preserve"> variation</w:t>
      </w:r>
      <w:r>
        <w:rPr>
          <w:color w:val="000000" w:themeColor="text1"/>
        </w:rPr>
        <w:t xml:space="preserve"> or removal </w:t>
      </w:r>
      <w:r w:rsidRPr="00BD2AB7">
        <w:t>of a condition on an accreditation</w:t>
      </w:r>
      <w:r w:rsidRPr="007C39E2">
        <w:t xml:space="preserve"> </w:t>
      </w:r>
      <w:r w:rsidRPr="00956176">
        <w:t xml:space="preserve">under rule </w:t>
      </w:r>
      <w:r>
        <w:t>5.10</w:t>
      </w:r>
      <w:r w:rsidRPr="000C3240">
        <w:rPr>
          <w:color w:val="000000" w:themeColor="text1"/>
        </w:rPr>
        <w:t>.</w:t>
      </w:r>
    </w:p>
    <w:p w14:paraId="41B47CF0" w14:textId="77777777" w:rsidR="00CF0E3D" w:rsidRDefault="00CF0E3D" w:rsidP="00CF0E3D">
      <w:pPr>
        <w:pStyle w:val="subsection"/>
        <w:rPr>
          <w:color w:val="000000" w:themeColor="text1"/>
        </w:rPr>
      </w:pPr>
      <w:r w:rsidRPr="000C3240">
        <w:rPr>
          <w:color w:val="000000" w:themeColor="text1"/>
        </w:rPr>
        <w:tab/>
      </w:r>
      <w:r>
        <w:rPr>
          <w:color w:val="000000" w:themeColor="text1"/>
        </w:rPr>
        <w:t>(2)</w:t>
      </w:r>
      <w:r w:rsidRPr="000C3240">
        <w:rPr>
          <w:color w:val="000000" w:themeColor="text1"/>
        </w:rPr>
        <w:tab/>
        <w:t>The notice must include the following:</w:t>
      </w:r>
    </w:p>
    <w:p w14:paraId="4429E62B" w14:textId="77777777" w:rsidR="00CF0E3D" w:rsidRPr="000C3240" w:rsidRDefault="00CF0E3D" w:rsidP="00CF0E3D">
      <w:pPr>
        <w:pStyle w:val="paragraph"/>
      </w:pPr>
      <w:r>
        <w:tab/>
        <w:t>(a)</w:t>
      </w:r>
      <w:r>
        <w:tab/>
        <w:t>if a condition is imposed or varied:</w:t>
      </w:r>
    </w:p>
    <w:p w14:paraId="166FD771" w14:textId="77777777" w:rsidR="00CF0E3D" w:rsidRPr="000C3240" w:rsidRDefault="00CF0E3D" w:rsidP="00CF0E3D">
      <w:pPr>
        <w:pStyle w:val="paragraphsub"/>
      </w:pPr>
      <w:r>
        <w:tab/>
        <w:t>(i)</w:t>
      </w:r>
      <w:r>
        <w:tab/>
      </w:r>
      <w:r w:rsidRPr="000C3240">
        <w:t>the condition or the condition as varied;</w:t>
      </w:r>
    </w:p>
    <w:p w14:paraId="5BA8B908" w14:textId="77777777" w:rsidR="00CF0E3D" w:rsidRDefault="00CF0E3D" w:rsidP="00CF0E3D">
      <w:pPr>
        <w:pStyle w:val="paragraphsub"/>
      </w:pPr>
      <w:r>
        <w:tab/>
        <w:t>(ii)</w:t>
      </w:r>
      <w:r>
        <w:tab/>
      </w:r>
      <w:r w:rsidRPr="00BD2AB7">
        <w:t>if applicable</w:t>
      </w:r>
      <w:r>
        <w:t>—</w:t>
      </w:r>
      <w:r w:rsidRPr="000C3240">
        <w:t xml:space="preserve">the applicant’s rights to have the decision reviewed by the </w:t>
      </w:r>
      <w:r>
        <w:t>Administrative Appeals Tribunal; and</w:t>
      </w:r>
    </w:p>
    <w:p w14:paraId="72CF3D79" w14:textId="77777777" w:rsidR="00CF0E3D" w:rsidRPr="000C3240" w:rsidRDefault="00CF0E3D" w:rsidP="00CF0E3D">
      <w:pPr>
        <w:pStyle w:val="paragraph"/>
      </w:pPr>
      <w:r>
        <w:tab/>
        <w:t>(b)</w:t>
      </w:r>
      <w:r>
        <w:tab/>
        <w:t>if a condition is removed—that fact.</w:t>
      </w:r>
    </w:p>
    <w:p w14:paraId="1376356F" w14:textId="77777777" w:rsidR="00CF0E3D" w:rsidRDefault="00CF0E3D" w:rsidP="00CF0E3D">
      <w:pPr>
        <w:pStyle w:val="ActHead4"/>
        <w:pageBreakBefore/>
      </w:pPr>
      <w:bookmarkStart w:id="384" w:name="_Toc11771641"/>
      <w:bookmarkStart w:id="385" w:name="_Toc74916210"/>
      <w:r>
        <w:t>Subdivision 5.2.3—Obligations of accredited person</w:t>
      </w:r>
      <w:bookmarkEnd w:id="384"/>
      <w:bookmarkEnd w:id="385"/>
    </w:p>
    <w:p w14:paraId="38EC9B26" w14:textId="77777777" w:rsidR="00CF0E3D" w:rsidRPr="00BD2AB7" w:rsidRDefault="00CF0E3D" w:rsidP="00CF0E3D">
      <w:pPr>
        <w:pStyle w:val="ActHead5"/>
      </w:pPr>
      <w:bookmarkStart w:id="386" w:name="_Toc11771642"/>
      <w:bookmarkStart w:id="387" w:name="_Toc74916211"/>
      <w:r>
        <w:t>5.12</w:t>
      </w:r>
      <w:r w:rsidRPr="00BD2AB7">
        <w:t xml:space="preserve">  Obligations of accredited person</w:t>
      </w:r>
      <w:r w:rsidRPr="00BC78CF">
        <w:rPr>
          <w:strike/>
          <w:color w:val="FF0000"/>
        </w:rPr>
        <w:t xml:space="preserve"> at the “unrestricted” level</w:t>
      </w:r>
      <w:bookmarkEnd w:id="386"/>
      <w:bookmarkEnd w:id="387"/>
    </w:p>
    <w:p w14:paraId="6808C0A4" w14:textId="55B3B6CA" w:rsidR="00CF0E3D" w:rsidRPr="00BD2AB7" w:rsidRDefault="00CF0E3D" w:rsidP="00CF0E3D">
      <w:pPr>
        <w:pStyle w:val="subsection"/>
      </w:pPr>
      <w:r>
        <w:tab/>
        <w:t>(1)</w:t>
      </w:r>
      <w:r>
        <w:tab/>
      </w:r>
      <w:r w:rsidR="00D1380B" w:rsidRPr="00BC78CF">
        <w:rPr>
          <w:strike/>
          <w:color w:val="FF0000"/>
        </w:rPr>
        <w:t xml:space="preserve">A </w:t>
      </w:r>
      <w:r w:rsidRPr="00BC78CF">
        <w:rPr>
          <w:strike/>
          <w:color w:val="FF0000"/>
        </w:rPr>
        <w:t>person who is accredited at the “unrestricted” level</w:t>
      </w:r>
      <w:r w:rsidR="00D1380B" w:rsidRPr="00BC78CF">
        <w:rPr>
          <w:strike/>
          <w:color w:val="FF0000"/>
        </w:rPr>
        <w:t xml:space="preserve"> </w:t>
      </w:r>
      <w:r w:rsidR="00D1380B" w:rsidRPr="00BC78CF">
        <w:rPr>
          <w:color w:val="FF0000"/>
        </w:rPr>
        <w:t>An accredited person</w:t>
      </w:r>
      <w:r w:rsidRPr="00BD2AB7">
        <w:t xml:space="preserve"> must:</w:t>
      </w:r>
    </w:p>
    <w:p w14:paraId="32D34A7E" w14:textId="77777777" w:rsidR="00CF0E3D" w:rsidRPr="006F4A42" w:rsidRDefault="00CF0E3D" w:rsidP="00CF0E3D">
      <w:pPr>
        <w:pStyle w:val="paragraph"/>
        <w:rPr>
          <w:szCs w:val="22"/>
        </w:rPr>
      </w:pPr>
      <w:r w:rsidRPr="006F4A42">
        <w:tab/>
      </w:r>
      <w:r>
        <w:t>(a)</w:t>
      </w:r>
      <w:r w:rsidRPr="006F4A42">
        <w:tab/>
        <w:t xml:space="preserve">take the steps outlined in </w:t>
      </w:r>
      <w:r>
        <w:t>Schedule 2</w:t>
      </w:r>
      <w:r w:rsidRPr="006F4A42">
        <w:t xml:space="preserve"> which relate to </w:t>
      </w:r>
      <w:r w:rsidRPr="006F4A42">
        <w:rPr>
          <w:szCs w:val="22"/>
        </w:rPr>
        <w:t>protecting CDR data from:</w:t>
      </w:r>
    </w:p>
    <w:p w14:paraId="6EDD815D" w14:textId="77777777" w:rsidR="00CF0E3D" w:rsidRPr="006F4A42" w:rsidRDefault="00CF0E3D" w:rsidP="00CF0E3D">
      <w:pPr>
        <w:pStyle w:val="paragraphsub"/>
      </w:pPr>
      <w:r w:rsidRPr="006F4A42">
        <w:tab/>
      </w:r>
      <w:r>
        <w:t>(i)</w:t>
      </w:r>
      <w:r w:rsidRPr="006F4A42">
        <w:tab/>
        <w:t>misuse, interference and loss; and</w:t>
      </w:r>
    </w:p>
    <w:p w14:paraId="42B8B277" w14:textId="77777777" w:rsidR="00CF0E3D" w:rsidRPr="006F4A42" w:rsidRDefault="00CF0E3D" w:rsidP="00CF0E3D">
      <w:pPr>
        <w:pStyle w:val="paragraphsub"/>
      </w:pPr>
      <w:r w:rsidRPr="006F4A42">
        <w:tab/>
      </w:r>
      <w:r>
        <w:t>(ii)</w:t>
      </w:r>
      <w:r w:rsidRPr="006F4A42">
        <w:tab/>
        <w:t>unauthorised access, modification or disclosure; and</w:t>
      </w:r>
    </w:p>
    <w:p w14:paraId="42A34570" w14:textId="77777777" w:rsidR="00CF0E3D" w:rsidRDefault="00CF0E3D" w:rsidP="00CF0E3D">
      <w:pPr>
        <w:pStyle w:val="paragraph"/>
      </w:pPr>
      <w:r w:rsidRPr="00BD2AB7">
        <w:tab/>
      </w:r>
      <w:r>
        <w:t>(b)</w:t>
      </w:r>
      <w:r w:rsidRPr="00BD2AB7">
        <w:tab/>
        <w:t xml:space="preserve">have internal dispute resolution processes that meet the </w:t>
      </w:r>
      <w:r w:rsidRPr="00E1300D">
        <w:rPr>
          <w:color w:val="000000" w:themeColor="text1"/>
        </w:rPr>
        <w:t>internal dispute resolution requirements in relation to one or more designated sectors</w:t>
      </w:r>
      <w:r w:rsidRPr="00BD2AB7">
        <w:t>; and</w:t>
      </w:r>
    </w:p>
    <w:p w14:paraId="0CABBB19" w14:textId="77777777" w:rsidR="00CF0E3D" w:rsidRPr="00BD2AB7" w:rsidRDefault="00CF0E3D" w:rsidP="00CF0E3D">
      <w:pPr>
        <w:pStyle w:val="paragraph"/>
      </w:pPr>
      <w:r w:rsidRPr="00BD2AB7">
        <w:tab/>
      </w:r>
      <w:r>
        <w:t>(c)</w:t>
      </w:r>
      <w:r w:rsidRPr="00BD2AB7">
        <w:tab/>
        <w:t xml:space="preserve">be a member of </w:t>
      </w:r>
      <w:r>
        <w:t>a</w:t>
      </w:r>
      <w:r w:rsidRPr="00BD2AB7">
        <w:t xml:space="preserve"> recognised external dispute resolution scheme in relation to</w:t>
      </w:r>
      <w:r>
        <w:t xml:space="preserve"> </w:t>
      </w:r>
      <w:r w:rsidRPr="00736B2E">
        <w:t>CDR consumer complaints</w:t>
      </w:r>
      <w:r w:rsidRPr="00BD2AB7">
        <w:t>; and</w:t>
      </w:r>
    </w:p>
    <w:p w14:paraId="333566A7" w14:textId="77777777" w:rsidR="00CF0E3D" w:rsidRDefault="00CF0E3D" w:rsidP="00CF0E3D">
      <w:pPr>
        <w:pStyle w:val="paragraph"/>
      </w:pPr>
      <w:r w:rsidRPr="00BD2AB7">
        <w:tab/>
      </w:r>
      <w:r>
        <w:t>(d)</w:t>
      </w:r>
      <w:r w:rsidRPr="00BD2AB7">
        <w:tab/>
        <w:t>have address</w:t>
      </w:r>
      <w:r>
        <w:t>es</w:t>
      </w:r>
      <w:r w:rsidRPr="00BD2AB7">
        <w:t xml:space="preserve"> for </w:t>
      </w:r>
      <w:r w:rsidRPr="00736B2E">
        <w:t>service</w:t>
      </w:r>
      <w:r w:rsidRPr="00BD2AB7">
        <w:t>; and</w:t>
      </w:r>
    </w:p>
    <w:p w14:paraId="22AFF3D4" w14:textId="77777777" w:rsidR="00CF0E3D" w:rsidRDefault="00CF0E3D" w:rsidP="00CF0E3D">
      <w:pPr>
        <w:pStyle w:val="paragraph"/>
      </w:pPr>
      <w:r w:rsidRPr="00BD2AB7">
        <w:tab/>
      </w:r>
      <w:r>
        <w:t>(e)</w:t>
      </w:r>
      <w:r w:rsidRPr="00BD2AB7">
        <w:tab/>
        <w:t>if the applicant is a foreign entity—have a local agent that has address</w:t>
      </w:r>
      <w:r>
        <w:t>es</w:t>
      </w:r>
      <w:r w:rsidRPr="00BD2AB7">
        <w:t xml:space="preserve"> for service</w:t>
      </w:r>
      <w:r>
        <w:t>; and</w:t>
      </w:r>
    </w:p>
    <w:p w14:paraId="5329D9B7" w14:textId="77777777" w:rsidR="00CF0E3D" w:rsidRPr="00BD2AB7" w:rsidRDefault="00CF0E3D" w:rsidP="00CF0E3D">
      <w:pPr>
        <w:pStyle w:val="paragraph"/>
      </w:pPr>
      <w:r>
        <w:tab/>
      </w:r>
      <w:r w:rsidRPr="009A6052">
        <w:t>(f)</w:t>
      </w:r>
      <w:r w:rsidRPr="009A6052">
        <w:tab/>
        <w:t>ensure that it is licensed or otherwise authorised to use any CDR logo</w:t>
      </w:r>
      <w:r>
        <w:t xml:space="preserve">, including </w:t>
      </w:r>
      <w:r w:rsidRPr="009A6052">
        <w:t xml:space="preserve">as required by the </w:t>
      </w:r>
      <w:r>
        <w:t xml:space="preserve">data </w:t>
      </w:r>
      <w:r w:rsidRPr="009A6052">
        <w:t>standards</w:t>
      </w:r>
      <w:r w:rsidRPr="00F07699">
        <w:t>.</w:t>
      </w:r>
    </w:p>
    <w:p w14:paraId="657F4607" w14:textId="2C72F57E" w:rsidR="005032E9" w:rsidRPr="00BD2AB7" w:rsidRDefault="005032E9" w:rsidP="005032E9">
      <w:pPr>
        <w:pStyle w:val="notetext"/>
      </w:pPr>
      <w:r w:rsidRPr="00BD2AB7">
        <w:t>Note 1:</w:t>
      </w:r>
      <w:r w:rsidRPr="00BD2AB7">
        <w:tab/>
        <w:t xml:space="preserve">See </w:t>
      </w:r>
      <w:r w:rsidRPr="007E7FBF">
        <w:t>Schedules to these rules</w:t>
      </w:r>
      <w:r w:rsidRPr="00BD2AB7">
        <w:t xml:space="preserve"> for how this provision might operate differently for different designated sectors.</w:t>
      </w:r>
    </w:p>
    <w:p w14:paraId="0D42B28A" w14:textId="77777777" w:rsidR="00CF0E3D" w:rsidRDefault="00CF0E3D" w:rsidP="00CF0E3D">
      <w:pPr>
        <w:pStyle w:val="notetext"/>
      </w:pPr>
      <w:r w:rsidRPr="00BD2AB7">
        <w:t>Note 2:</w:t>
      </w:r>
      <w:r w:rsidRPr="00BD2AB7">
        <w:tab/>
        <w:t xml:space="preserve">For the banking sector, see clause </w:t>
      </w:r>
      <w:r>
        <w:t>7.4</w:t>
      </w:r>
      <w:r w:rsidRPr="00BD2AB7">
        <w:t xml:space="preserve"> of </w:t>
      </w:r>
      <w:r>
        <w:t>Schedule 3</w:t>
      </w:r>
      <w:r w:rsidRPr="00BD2AB7">
        <w:t>.</w:t>
      </w:r>
    </w:p>
    <w:p w14:paraId="52C81007" w14:textId="77777777" w:rsidR="00CF0E3D" w:rsidRDefault="00CF0E3D" w:rsidP="00CF0E3D">
      <w:pPr>
        <w:pStyle w:val="notetext"/>
      </w:pPr>
      <w:r w:rsidRPr="006F4A42">
        <w:t>Note 3:</w:t>
      </w:r>
      <w:r w:rsidRPr="006F4A42">
        <w:tab/>
        <w:t>For paragraph </w:t>
      </w:r>
      <w:r>
        <w:t>(a)</w:t>
      </w:r>
      <w:r w:rsidRPr="006F4A42">
        <w:t xml:space="preserve">, the steps outlined in </w:t>
      </w:r>
      <w:r>
        <w:t>Schedule 2</w:t>
      </w:r>
      <w:r w:rsidRPr="006F4A42">
        <w:t xml:space="preserve"> relate to privacy safeguard 12 (see subsection 56EO(1) of the Act and rule </w:t>
      </w:r>
      <w:r>
        <w:t>7.11</w:t>
      </w:r>
      <w:r w:rsidRPr="006F4A42">
        <w:t xml:space="preserve"> of these rules).</w:t>
      </w:r>
    </w:p>
    <w:p w14:paraId="601BC9B6" w14:textId="4BA79D4F" w:rsidR="00CF0E3D" w:rsidRPr="007E7FBF" w:rsidRDefault="005032E9" w:rsidP="00CF0E3D">
      <w:pPr>
        <w:pStyle w:val="notetext"/>
      </w:pPr>
      <w:r w:rsidRPr="007E7FBF">
        <w:t>Note 4:</w:t>
      </w:r>
      <w:r w:rsidR="00994C1B" w:rsidRPr="007E7FBF">
        <w:tab/>
      </w:r>
      <w:r w:rsidR="00CF0E3D" w:rsidRPr="007E7FBF">
        <w:t>For paragraph (b), see the definition of “meets the internal dispute resolution requirements” in relation to the banking sector in subrule 1.7(1), and see clause 5.1 of Schedule 3.</w:t>
      </w:r>
    </w:p>
    <w:p w14:paraId="25163DE9" w14:textId="77777777" w:rsidR="00CF0E3D" w:rsidRDefault="00CF0E3D" w:rsidP="00CF0E3D">
      <w:pPr>
        <w:pStyle w:val="notetext"/>
      </w:pPr>
      <w:r w:rsidRPr="00E1300D">
        <w:rPr>
          <w:color w:val="000000" w:themeColor="text1"/>
        </w:rPr>
        <w:t>Note 5:</w:t>
      </w:r>
      <w:r w:rsidRPr="00E1300D">
        <w:rPr>
          <w:color w:val="000000" w:themeColor="text1"/>
        </w:rPr>
        <w:tab/>
      </w:r>
      <w:r w:rsidRPr="006F4A42">
        <w:t xml:space="preserve">For </w:t>
      </w:r>
      <w:r w:rsidRPr="00736B2E">
        <w:t xml:space="preserve">paragraphs </w:t>
      </w:r>
      <w:r>
        <w:t>(d)</w:t>
      </w:r>
      <w:r w:rsidRPr="00736B2E">
        <w:t xml:space="preserve"> and </w:t>
      </w:r>
      <w:r>
        <w:t>(e)</w:t>
      </w:r>
      <w:r w:rsidRPr="006F4A42">
        <w:t>, see rule </w:t>
      </w:r>
      <w:r>
        <w:t>1.7</w:t>
      </w:r>
      <w:r w:rsidRPr="006F4A42">
        <w:t xml:space="preserve"> for the meaning of “addresses for service”.</w:t>
      </w:r>
    </w:p>
    <w:p w14:paraId="6151D19C" w14:textId="77777777" w:rsidR="00CF0E3D" w:rsidRDefault="00CF0E3D" w:rsidP="00CF0E3D">
      <w:pPr>
        <w:pStyle w:val="notetext"/>
        <w:rPr>
          <w:color w:val="000000" w:themeColor="text1"/>
        </w:rPr>
      </w:pPr>
      <w:r w:rsidRPr="00E1300D">
        <w:rPr>
          <w:color w:val="000000" w:themeColor="text1"/>
        </w:rPr>
        <w:t>Note 6:</w:t>
      </w:r>
      <w:r w:rsidRPr="00E1300D">
        <w:rPr>
          <w:color w:val="000000" w:themeColor="text1"/>
        </w:rPr>
        <w:tab/>
        <w:t xml:space="preserve">This </w:t>
      </w:r>
      <w:r>
        <w:rPr>
          <w:color w:val="000000" w:themeColor="text1"/>
        </w:rPr>
        <w:t>sub</w:t>
      </w:r>
      <w:r w:rsidRPr="00E1300D">
        <w:rPr>
          <w:color w:val="000000" w:themeColor="text1"/>
        </w:rPr>
        <w:t>rule is a civil penalty provision (see rule </w:t>
      </w:r>
      <w:r>
        <w:rPr>
          <w:color w:val="000000" w:themeColor="text1"/>
        </w:rPr>
        <w:t>9.8</w:t>
      </w:r>
      <w:r w:rsidRPr="00E1300D">
        <w:rPr>
          <w:color w:val="000000" w:themeColor="text1"/>
        </w:rPr>
        <w:t>).</w:t>
      </w:r>
    </w:p>
    <w:p w14:paraId="1AE32FD5" w14:textId="172D7695" w:rsidR="00CF0E3D" w:rsidRPr="003F3AC9" w:rsidRDefault="00CF0E3D" w:rsidP="00CF0E3D">
      <w:pPr>
        <w:pStyle w:val="subsection"/>
      </w:pPr>
      <w:r w:rsidRPr="003F3AC9">
        <w:tab/>
      </w:r>
      <w:r>
        <w:t>(2)</w:t>
      </w:r>
      <w:r w:rsidRPr="003F3AC9">
        <w:tab/>
      </w:r>
      <w:r w:rsidR="00D1380B" w:rsidRPr="00BC78CF">
        <w:rPr>
          <w:strike/>
          <w:color w:val="FF0000"/>
        </w:rPr>
        <w:t xml:space="preserve">A person who is accredited at the “unrestricted” level </w:t>
      </w:r>
      <w:r w:rsidR="00D1380B" w:rsidRPr="00BC78CF">
        <w:rPr>
          <w:color w:val="FF0000"/>
        </w:rPr>
        <w:t>An accredited person</w:t>
      </w:r>
      <w:r w:rsidR="00D1380B" w:rsidRPr="00BD2AB7">
        <w:t xml:space="preserve"> </w:t>
      </w:r>
      <w:r w:rsidRPr="003F3AC9">
        <w:t>must:</w:t>
      </w:r>
    </w:p>
    <w:p w14:paraId="18AEAFE9" w14:textId="4BA8BABC" w:rsidR="00CF0E3D" w:rsidRPr="003F3AC9" w:rsidRDefault="00CF0E3D" w:rsidP="00CF0E3D">
      <w:pPr>
        <w:pStyle w:val="paragraph"/>
      </w:pPr>
      <w:r w:rsidRPr="003F3AC9">
        <w:tab/>
      </w:r>
      <w:r>
        <w:t>(a)</w:t>
      </w:r>
      <w:r w:rsidRPr="003F3AC9">
        <w:tab/>
        <w:t>be, having regard to the fit and proper person criteria, a fit and proper person</w:t>
      </w:r>
      <w:r>
        <w:t xml:space="preserve"> to </w:t>
      </w:r>
      <w:r w:rsidRPr="00EA67BC">
        <w:t>be accredited at that level</w:t>
      </w:r>
      <w:r w:rsidRPr="003F3AC9">
        <w:t>; and</w:t>
      </w:r>
    </w:p>
    <w:p w14:paraId="009F3399" w14:textId="07CABE08" w:rsidR="00CF0E3D" w:rsidRPr="006D5CA7" w:rsidRDefault="00CF0E3D" w:rsidP="00CF0E3D">
      <w:pPr>
        <w:pStyle w:val="paragraph"/>
        <w:rPr>
          <w:color w:val="000000" w:themeColor="text1"/>
        </w:rPr>
      </w:pPr>
      <w:r w:rsidRPr="003F3AC9">
        <w:tab/>
      </w:r>
      <w:r>
        <w:t>(b)</w:t>
      </w:r>
      <w:r w:rsidRPr="003F3AC9">
        <w:tab/>
        <w:t xml:space="preserve">have adequate insurance, or a comparable guarantee, </w:t>
      </w:r>
      <w:r w:rsidR="00D1380B" w:rsidRPr="00BC78CF">
        <w:rPr>
          <w:color w:val="FF0000"/>
        </w:rPr>
        <w:t xml:space="preserve">appropriate to the level of accreditation, </w:t>
      </w:r>
      <w:r w:rsidRPr="003F3AC9">
        <w:t xml:space="preserve">in light of the risk of CDR consumers not being properly compensated for any loss that might reasonably be expected to arise from a breach of obligations under </w:t>
      </w:r>
      <w:r w:rsidRPr="006D5CA7">
        <w:rPr>
          <w:color w:val="000000" w:themeColor="text1"/>
        </w:rPr>
        <w:t>any of the following to the extent that they are relevant to the management of CDR data:</w:t>
      </w:r>
    </w:p>
    <w:p w14:paraId="768B1FAA" w14:textId="77777777" w:rsidR="00CF0E3D" w:rsidRPr="006D5CA7" w:rsidRDefault="00CF0E3D" w:rsidP="00CF0E3D">
      <w:pPr>
        <w:pStyle w:val="paragraphsub"/>
        <w:rPr>
          <w:color w:val="000000" w:themeColor="text1"/>
        </w:rPr>
      </w:pPr>
      <w:r w:rsidRPr="006D5CA7">
        <w:rPr>
          <w:color w:val="000000" w:themeColor="text1"/>
        </w:rPr>
        <w:tab/>
      </w:r>
      <w:r>
        <w:rPr>
          <w:color w:val="000000" w:themeColor="text1"/>
        </w:rPr>
        <w:t>(i)</w:t>
      </w:r>
      <w:r w:rsidRPr="006D5CA7">
        <w:rPr>
          <w:color w:val="000000" w:themeColor="text1"/>
        </w:rPr>
        <w:tab/>
        <w:t>the Act;</w:t>
      </w:r>
    </w:p>
    <w:p w14:paraId="524AA79B" w14:textId="77777777" w:rsidR="00CF0E3D" w:rsidRPr="006D5CA7" w:rsidRDefault="00CF0E3D" w:rsidP="00CF0E3D">
      <w:pPr>
        <w:pStyle w:val="paragraphsub"/>
        <w:rPr>
          <w:color w:val="000000" w:themeColor="text1"/>
        </w:rPr>
      </w:pPr>
      <w:r w:rsidRPr="006D5CA7">
        <w:rPr>
          <w:color w:val="000000" w:themeColor="text1"/>
        </w:rPr>
        <w:tab/>
      </w:r>
      <w:r>
        <w:rPr>
          <w:color w:val="000000" w:themeColor="text1"/>
        </w:rPr>
        <w:t>(ii)</w:t>
      </w:r>
      <w:r w:rsidRPr="006D5CA7">
        <w:rPr>
          <w:color w:val="000000" w:themeColor="text1"/>
        </w:rPr>
        <w:tab/>
        <w:t>any regulation made for the purposes of the Act;</w:t>
      </w:r>
    </w:p>
    <w:p w14:paraId="150CCB70" w14:textId="77777777" w:rsidR="00CF0E3D" w:rsidRPr="006D5CA7" w:rsidRDefault="00CF0E3D" w:rsidP="00CF0E3D">
      <w:pPr>
        <w:pStyle w:val="paragraphsub"/>
        <w:rPr>
          <w:color w:val="000000" w:themeColor="text1"/>
        </w:rPr>
      </w:pPr>
      <w:r w:rsidRPr="006D5CA7">
        <w:rPr>
          <w:color w:val="000000" w:themeColor="text1"/>
        </w:rPr>
        <w:tab/>
      </w:r>
      <w:r>
        <w:rPr>
          <w:color w:val="000000" w:themeColor="text1"/>
        </w:rPr>
        <w:t>(iii)</w:t>
      </w:r>
      <w:r w:rsidRPr="006D5CA7">
        <w:rPr>
          <w:color w:val="000000" w:themeColor="text1"/>
        </w:rPr>
        <w:tab/>
        <w:t>these rules.</w:t>
      </w:r>
    </w:p>
    <w:p w14:paraId="26E55145" w14:textId="77777777" w:rsidR="00CF0E3D" w:rsidRPr="00A23141" w:rsidRDefault="00CF0E3D" w:rsidP="00CF0E3D">
      <w:pPr>
        <w:pStyle w:val="ActHead5"/>
      </w:pPr>
      <w:bookmarkStart w:id="388" w:name="_Toc74916212"/>
      <w:r>
        <w:t>5.13</w:t>
      </w:r>
      <w:r w:rsidRPr="00A23141">
        <w:t xml:space="preserve"> Accredited person must comply with conditions</w:t>
      </w:r>
      <w:bookmarkEnd w:id="388"/>
      <w:r w:rsidRPr="00A23141">
        <w:t xml:space="preserve"> </w:t>
      </w:r>
    </w:p>
    <w:p w14:paraId="466B85C7" w14:textId="77777777" w:rsidR="00CF0E3D" w:rsidRPr="00A23141" w:rsidRDefault="00CF0E3D" w:rsidP="00CF0E3D">
      <w:pPr>
        <w:pStyle w:val="subsection"/>
      </w:pPr>
      <w:r w:rsidRPr="00A23141">
        <w:tab/>
      </w:r>
      <w:r w:rsidRPr="00A23141">
        <w:tab/>
        <w:t xml:space="preserve">An accredited person must comply with the conditions of their accreditation. </w:t>
      </w:r>
    </w:p>
    <w:p w14:paraId="25F80899" w14:textId="77777777" w:rsidR="00CF0E3D" w:rsidRPr="00A23141" w:rsidRDefault="00CF0E3D" w:rsidP="00CF0E3D">
      <w:pPr>
        <w:pStyle w:val="notetext"/>
      </w:pPr>
      <w:r w:rsidRPr="00A23141">
        <w:t>Note 1:</w:t>
      </w:r>
      <w:r w:rsidRPr="00A23141">
        <w:tab/>
        <w:t xml:space="preserve">This rule applies to the default conditions set out in </w:t>
      </w:r>
      <w:r>
        <w:t>Schedule 1</w:t>
      </w:r>
      <w:r w:rsidRPr="00A23141">
        <w:t xml:space="preserve"> and any conditions imposed or varied under rule </w:t>
      </w:r>
      <w:r>
        <w:t>5.10</w:t>
      </w:r>
      <w:r w:rsidRPr="00A23141">
        <w:t>.</w:t>
      </w:r>
    </w:p>
    <w:p w14:paraId="376E9F3D" w14:textId="77777777" w:rsidR="00CF0E3D" w:rsidRPr="00A23141" w:rsidRDefault="00CF0E3D" w:rsidP="00CF0E3D">
      <w:pPr>
        <w:pStyle w:val="notetext"/>
      </w:pPr>
      <w:r w:rsidRPr="00A23141">
        <w:t>Note 2:</w:t>
      </w:r>
      <w:r w:rsidRPr="00A23141">
        <w:tab/>
        <w:t>This rule is a civil penalty provision (see rule </w:t>
      </w:r>
      <w:r>
        <w:t>9.8</w:t>
      </w:r>
      <w:r w:rsidRPr="00A23141">
        <w:t>).</w:t>
      </w:r>
    </w:p>
    <w:p w14:paraId="29DFAFD8" w14:textId="77777777" w:rsidR="00CF0E3D" w:rsidRPr="00BD2AB7" w:rsidRDefault="00CF0E3D" w:rsidP="00CF0E3D">
      <w:pPr>
        <w:pStyle w:val="ActHead5"/>
      </w:pPr>
      <w:bookmarkStart w:id="389" w:name="_Toc11771643"/>
      <w:bookmarkStart w:id="390" w:name="_Toc74916213"/>
      <w:r>
        <w:t xml:space="preserve">5.14  </w:t>
      </w:r>
      <w:r w:rsidRPr="00BD2AB7">
        <w:t>N</w:t>
      </w:r>
      <w:r w:rsidRPr="00D83E42">
        <w:t xml:space="preserve">otification </w:t>
      </w:r>
      <w:r>
        <w:t>requirement</w:t>
      </w:r>
      <w:r w:rsidRPr="00BD2AB7">
        <w:t>s</w:t>
      </w:r>
      <w:bookmarkEnd w:id="389"/>
      <w:bookmarkEnd w:id="390"/>
    </w:p>
    <w:p w14:paraId="0569AC4B" w14:textId="21A2B4D0" w:rsidR="00CF0E3D" w:rsidRDefault="00CF0E3D" w:rsidP="00CF0E3D">
      <w:pPr>
        <w:pStyle w:val="subsection"/>
      </w:pPr>
      <w:r>
        <w:tab/>
      </w:r>
      <w:r>
        <w:tab/>
        <w:t xml:space="preserve">An accredited person must notify the Data Recipient Accreditor </w:t>
      </w:r>
      <w:r w:rsidRPr="00005026">
        <w:t>within 5 business days if any of the following occurs</w:t>
      </w:r>
      <w:r>
        <w:t>:</w:t>
      </w:r>
    </w:p>
    <w:p w14:paraId="42035CEA" w14:textId="77777777" w:rsidR="00CF0E3D" w:rsidRDefault="00CF0E3D" w:rsidP="00CF0E3D">
      <w:pPr>
        <w:pStyle w:val="paragraph"/>
      </w:pPr>
      <w:r>
        <w:tab/>
        <w:t>(a)</w:t>
      </w:r>
      <w:r>
        <w:tab/>
        <w:t xml:space="preserve">any material change in its circumstances that might affect its ability to </w:t>
      </w:r>
      <w:r w:rsidRPr="000C3240">
        <w:rPr>
          <w:color w:val="000000" w:themeColor="text1"/>
        </w:rPr>
        <w:t xml:space="preserve">comply with </w:t>
      </w:r>
      <w:r w:rsidRPr="007E69B9">
        <w:t>its obligations under this Subdivision</w:t>
      </w:r>
      <w:r>
        <w:t>;</w:t>
      </w:r>
    </w:p>
    <w:p w14:paraId="1610422B" w14:textId="6FDDB1B1" w:rsidR="00CF0E3D" w:rsidRDefault="00CF0E3D" w:rsidP="00CF0E3D">
      <w:pPr>
        <w:pStyle w:val="paragraph"/>
      </w:pPr>
      <w:r>
        <w:tab/>
        <w:t>(b)</w:t>
      </w:r>
      <w:r>
        <w:tab/>
        <w:t xml:space="preserve">any matter that could be relevant to a decision as to whether the person </w:t>
      </w:r>
      <w:r w:rsidRPr="00B24FE2">
        <w:t xml:space="preserve">is, having regard to the </w:t>
      </w:r>
      <w:r>
        <w:t>fit and proper person criteria</w:t>
      </w:r>
      <w:r w:rsidRPr="00B24FE2">
        <w:t>, a fit and proper person</w:t>
      </w:r>
      <w:r>
        <w:t xml:space="preserve"> to</w:t>
      </w:r>
      <w:r w:rsidRPr="00CF0686">
        <w:t xml:space="preserve"> </w:t>
      </w:r>
      <w:r w:rsidRPr="00724397">
        <w:t>be accredited at the person’s level of accreditation</w:t>
      </w:r>
      <w:r>
        <w:t>;</w:t>
      </w:r>
    </w:p>
    <w:p w14:paraId="66B0A479" w14:textId="51397EBF" w:rsidR="00747BDB" w:rsidRPr="00BC78CF" w:rsidRDefault="00747BDB" w:rsidP="00747BDB">
      <w:pPr>
        <w:pStyle w:val="paragraph"/>
        <w:rPr>
          <w:color w:val="FF0000"/>
        </w:rPr>
      </w:pPr>
      <w:r w:rsidRPr="00BC78CF">
        <w:rPr>
          <w:color w:val="FF0000"/>
        </w:rPr>
        <w:tab/>
        <w:t>(ba)</w:t>
      </w:r>
      <w:r w:rsidRPr="00BC78CF">
        <w:rPr>
          <w:color w:val="FF0000"/>
        </w:rPr>
        <w:tab/>
        <w:t xml:space="preserve">the person becomes a sponsor of an affiliate; </w:t>
      </w:r>
    </w:p>
    <w:p w14:paraId="0F356256" w14:textId="438A6F53" w:rsidR="007A3BC8" w:rsidRPr="00BC78CF" w:rsidRDefault="00747BDB" w:rsidP="00142396">
      <w:pPr>
        <w:pStyle w:val="paragraph"/>
        <w:rPr>
          <w:color w:val="FF0000"/>
        </w:rPr>
      </w:pPr>
      <w:r w:rsidRPr="00BC78CF">
        <w:rPr>
          <w:color w:val="FF0000"/>
        </w:rPr>
        <w:tab/>
        <w:t>(bb</w:t>
      </w:r>
      <w:r w:rsidR="00142396" w:rsidRPr="00BC78CF">
        <w:rPr>
          <w:color w:val="FF0000"/>
        </w:rPr>
        <w:t>)</w:t>
      </w:r>
      <w:r w:rsidR="00142396" w:rsidRPr="00BC78CF">
        <w:rPr>
          <w:color w:val="FF0000"/>
        </w:rPr>
        <w:tab/>
        <w:t xml:space="preserve">where the accredited person is a sponsor of an affiliate―the sponsorship arrangement </w:t>
      </w:r>
      <w:r w:rsidR="00D3132F" w:rsidRPr="00BC78CF">
        <w:rPr>
          <w:color w:val="FF0000"/>
        </w:rPr>
        <w:t xml:space="preserve">is suspended, expires, or </w:t>
      </w:r>
      <w:r w:rsidR="00142396" w:rsidRPr="00BC78CF">
        <w:rPr>
          <w:color w:val="FF0000"/>
        </w:rPr>
        <w:t>is terminated;</w:t>
      </w:r>
    </w:p>
    <w:p w14:paraId="08C73834" w14:textId="77777777" w:rsidR="00CF0E3D" w:rsidRPr="007C39E2" w:rsidRDefault="00CF0E3D" w:rsidP="00CF0E3D">
      <w:pPr>
        <w:pStyle w:val="paragraph"/>
      </w:pPr>
      <w:r w:rsidRPr="00E71229">
        <w:tab/>
      </w:r>
      <w:r>
        <w:t>(c)</w:t>
      </w:r>
      <w:r w:rsidRPr="00E71229">
        <w:tab/>
        <w:t xml:space="preserve">there is a change to, or the accredited person becomes aware of an </w:t>
      </w:r>
      <w:r w:rsidRPr="00A804A8">
        <w:t>error</w:t>
      </w:r>
      <w:r w:rsidRPr="00E71229">
        <w:t xml:space="preserve"> in, any of the information provided to the Accreditor to be entered on the Register under rule </w:t>
      </w:r>
      <w:r>
        <w:t>5.24</w:t>
      </w:r>
      <w:r w:rsidRPr="00E71229">
        <w:t>.</w:t>
      </w:r>
    </w:p>
    <w:p w14:paraId="5DC3C86E" w14:textId="77777777" w:rsidR="00CF0E3D" w:rsidRPr="00E1300D" w:rsidRDefault="00CF0E3D" w:rsidP="00CF0E3D">
      <w:pPr>
        <w:pStyle w:val="notetext"/>
        <w:rPr>
          <w:color w:val="000000" w:themeColor="text1"/>
        </w:rPr>
      </w:pPr>
      <w:r>
        <w:rPr>
          <w:color w:val="000000" w:themeColor="text1"/>
        </w:rPr>
        <w:t>Note</w:t>
      </w:r>
      <w:r w:rsidRPr="00E1300D">
        <w:rPr>
          <w:color w:val="000000" w:themeColor="text1"/>
        </w:rPr>
        <w:t>:</w:t>
      </w:r>
      <w:r w:rsidRPr="00E1300D">
        <w:rPr>
          <w:color w:val="000000" w:themeColor="text1"/>
        </w:rPr>
        <w:tab/>
        <w:t>This rule is a civil penalty provision (see rule </w:t>
      </w:r>
      <w:r>
        <w:rPr>
          <w:color w:val="000000" w:themeColor="text1"/>
        </w:rPr>
        <w:t>9.8</w:t>
      </w:r>
      <w:r w:rsidRPr="00E1300D">
        <w:rPr>
          <w:color w:val="000000" w:themeColor="text1"/>
        </w:rPr>
        <w:t>).</w:t>
      </w:r>
    </w:p>
    <w:p w14:paraId="3AECFDE0" w14:textId="5FE9BE08" w:rsidR="00CF0E3D" w:rsidRPr="00E71229" w:rsidRDefault="00CF0E3D" w:rsidP="00CF0E3D">
      <w:pPr>
        <w:pStyle w:val="ActHead5"/>
      </w:pPr>
      <w:bookmarkStart w:id="391" w:name="_Toc74916214"/>
      <w:r>
        <w:t>5.15</w:t>
      </w:r>
      <w:r w:rsidRPr="00E71229">
        <w:t xml:space="preserve">  Provision of information to the Accreditation Registrar</w:t>
      </w:r>
      <w:bookmarkEnd w:id="391"/>
    </w:p>
    <w:p w14:paraId="30D45304" w14:textId="77777777" w:rsidR="00CF0E3D" w:rsidRPr="00E71229" w:rsidRDefault="00CF0E3D" w:rsidP="00CF0E3D">
      <w:pPr>
        <w:pStyle w:val="subsection"/>
      </w:pPr>
      <w:r w:rsidRPr="00E71229">
        <w:tab/>
      </w:r>
      <w:r w:rsidRPr="00E71229">
        <w:tab/>
        <w:t>The Data Recipient Accreditor must:</w:t>
      </w:r>
    </w:p>
    <w:p w14:paraId="5C8195B8" w14:textId="77777777" w:rsidR="00CF0E3D" w:rsidRPr="00E71229" w:rsidRDefault="00CF0E3D" w:rsidP="00CF0E3D">
      <w:pPr>
        <w:pStyle w:val="paragraph"/>
      </w:pPr>
      <w:r w:rsidRPr="00E71229">
        <w:tab/>
      </w:r>
      <w:r>
        <w:t>(a)</w:t>
      </w:r>
      <w:r w:rsidRPr="00E71229">
        <w:tab/>
        <w:t xml:space="preserve">notify the Accreditation Registrar, in writing, as soon as practicable after: </w:t>
      </w:r>
    </w:p>
    <w:p w14:paraId="0502AB1B" w14:textId="1011CDF7" w:rsidR="00390072" w:rsidRPr="00390072" w:rsidRDefault="00CF0E3D" w:rsidP="00CF0E3D">
      <w:pPr>
        <w:pStyle w:val="paragraphsub"/>
      </w:pPr>
      <w:r w:rsidRPr="00E71229">
        <w:tab/>
      </w:r>
      <w:r>
        <w:t>(i)</w:t>
      </w:r>
      <w:r w:rsidRPr="00E71229">
        <w:tab/>
        <w:t>an accreditation; or</w:t>
      </w:r>
    </w:p>
    <w:p w14:paraId="74ADD56D" w14:textId="77777777" w:rsidR="00CF0E3D" w:rsidRPr="00E71229" w:rsidRDefault="00CF0E3D" w:rsidP="00CF0E3D">
      <w:pPr>
        <w:pStyle w:val="paragraphsub"/>
      </w:pPr>
      <w:r w:rsidRPr="00E71229">
        <w:tab/>
      </w:r>
      <w:r>
        <w:t>(ii)</w:t>
      </w:r>
      <w:r w:rsidRPr="00E71229">
        <w:tab/>
        <w:t>the imposition, variation or removal of a condition on an accreditation; or</w:t>
      </w:r>
    </w:p>
    <w:p w14:paraId="4BE1BAB2" w14:textId="77777777" w:rsidR="00CF0E3D" w:rsidRPr="00E71229" w:rsidRDefault="00CF0E3D" w:rsidP="00CF0E3D">
      <w:pPr>
        <w:pStyle w:val="paragraphsub"/>
      </w:pPr>
      <w:r w:rsidRPr="00E71229">
        <w:tab/>
      </w:r>
      <w:r>
        <w:t>(iii)</w:t>
      </w:r>
      <w:r w:rsidRPr="00E71229">
        <w:tab/>
        <w:t>a surrender, suspension or an extension of a suspension</w:t>
      </w:r>
      <w:r>
        <w:t>;</w:t>
      </w:r>
      <w:r w:rsidRPr="00E71229">
        <w:t xml:space="preserve"> or </w:t>
      </w:r>
    </w:p>
    <w:p w14:paraId="2DC4217F" w14:textId="77777777" w:rsidR="00CF0E3D" w:rsidRPr="00E71229" w:rsidRDefault="00CF0E3D" w:rsidP="00CF0E3D">
      <w:pPr>
        <w:pStyle w:val="paragraphsub"/>
      </w:pPr>
      <w:r w:rsidRPr="00E71229">
        <w:tab/>
      </w:r>
      <w:r>
        <w:t>(iv)</w:t>
      </w:r>
      <w:r w:rsidRPr="00E71229">
        <w:tab/>
        <w:t xml:space="preserve">a suspension ceasing to have effect; or </w:t>
      </w:r>
    </w:p>
    <w:p w14:paraId="5845CF04" w14:textId="77777777" w:rsidR="00CF0E3D" w:rsidRPr="00E71229" w:rsidRDefault="00CF0E3D" w:rsidP="00CF0E3D">
      <w:pPr>
        <w:pStyle w:val="paragraphsub"/>
      </w:pPr>
      <w:r w:rsidRPr="00E71229">
        <w:tab/>
      </w:r>
      <w:r>
        <w:t>(v)</w:t>
      </w:r>
      <w:r w:rsidRPr="00E71229">
        <w:tab/>
        <w:t>a revocation of an accreditation; or</w:t>
      </w:r>
    </w:p>
    <w:p w14:paraId="0923AA0B" w14:textId="2F0CDFE6" w:rsidR="00CF0E3D" w:rsidRPr="00E71229" w:rsidRDefault="00CF0E3D" w:rsidP="00CF0E3D">
      <w:pPr>
        <w:pStyle w:val="paragraphsub"/>
      </w:pPr>
      <w:r w:rsidRPr="00E71229">
        <w:tab/>
      </w:r>
      <w:r>
        <w:t>(vi)</w:t>
      </w:r>
      <w:r w:rsidRPr="00E71229">
        <w:tab/>
        <w:t xml:space="preserve">a notification under paragraph </w:t>
      </w:r>
      <w:r w:rsidR="00390072" w:rsidRPr="00BC78CF">
        <w:rPr>
          <w:color w:val="FF0000"/>
        </w:rPr>
        <w:t>5.14(ba)</w:t>
      </w:r>
      <w:r w:rsidR="00747BDB" w:rsidRPr="00BC78CF">
        <w:rPr>
          <w:color w:val="FF0000"/>
        </w:rPr>
        <w:t>, (bb)</w:t>
      </w:r>
      <w:r w:rsidR="00390072" w:rsidRPr="00BC78CF">
        <w:rPr>
          <w:color w:val="FF0000"/>
        </w:rPr>
        <w:t xml:space="preserve"> or (c</w:t>
      </w:r>
      <w:r w:rsidR="00361AE4" w:rsidRPr="00BC78CF">
        <w:rPr>
          <w:color w:val="FF0000"/>
        </w:rPr>
        <w:t>), or subclause 2.3(3</w:t>
      </w:r>
      <w:r w:rsidR="009D005E" w:rsidRPr="00BC78CF">
        <w:rPr>
          <w:color w:val="FF0000"/>
        </w:rPr>
        <w:t>) of Schedule 1</w:t>
      </w:r>
      <w:r w:rsidR="00390072" w:rsidRPr="00BC78CF">
        <w:rPr>
          <w:strike/>
          <w:color w:val="FF0000"/>
        </w:rPr>
        <w:t xml:space="preserve"> </w:t>
      </w:r>
      <w:r w:rsidRPr="00BC78CF">
        <w:rPr>
          <w:strike/>
          <w:color w:val="FF0000"/>
        </w:rPr>
        <w:t>5.14(c)</w:t>
      </w:r>
      <w:r w:rsidRPr="00E71229">
        <w:t>; and</w:t>
      </w:r>
    </w:p>
    <w:p w14:paraId="383F1674" w14:textId="77777777" w:rsidR="00CF0E3D" w:rsidRPr="00E71229" w:rsidRDefault="00CF0E3D" w:rsidP="00CF0E3D">
      <w:pPr>
        <w:pStyle w:val="paragraph"/>
      </w:pPr>
      <w:r w:rsidRPr="00E71229">
        <w:tab/>
      </w:r>
      <w:r>
        <w:t>(b)</w:t>
      </w:r>
      <w:r w:rsidRPr="00E71229">
        <w:tab/>
        <w:t>include in the notice</w:t>
      </w:r>
      <w:r>
        <w:t>:</w:t>
      </w:r>
    </w:p>
    <w:p w14:paraId="674D2B4B" w14:textId="77777777" w:rsidR="00CF0E3D" w:rsidRPr="00E71229" w:rsidRDefault="00CF0E3D" w:rsidP="00CF0E3D">
      <w:pPr>
        <w:pStyle w:val="paragraphsub"/>
      </w:pPr>
      <w:r w:rsidRPr="00E71229">
        <w:tab/>
      </w:r>
      <w:r>
        <w:t>(i)</w:t>
      </w:r>
      <w:r w:rsidRPr="00E71229">
        <w:tab/>
        <w:t>any information the Registrar is required to enter into the Register</w:t>
      </w:r>
      <w:r>
        <w:t xml:space="preserve"> of Accredited Persons</w:t>
      </w:r>
      <w:r w:rsidRPr="00E71229">
        <w:t>; and</w:t>
      </w:r>
    </w:p>
    <w:p w14:paraId="1682BD35" w14:textId="77777777" w:rsidR="00CF0E3D" w:rsidRPr="00E71229" w:rsidRDefault="00CF0E3D" w:rsidP="00CF0E3D">
      <w:pPr>
        <w:pStyle w:val="paragraphsub"/>
      </w:pPr>
      <w:r w:rsidRPr="00E71229">
        <w:tab/>
      </w:r>
      <w:r>
        <w:t>(ii)</w:t>
      </w:r>
      <w:r w:rsidRPr="00E71229">
        <w:tab/>
        <w:t>any information the Registrar requires in order to amend an entry in the Register.</w:t>
      </w:r>
    </w:p>
    <w:p w14:paraId="30A14F61" w14:textId="77777777" w:rsidR="00CF0E3D" w:rsidRPr="00F6256A" w:rsidRDefault="00CF0E3D" w:rsidP="00CF0E3D">
      <w:pPr>
        <w:pStyle w:val="paragraphsub"/>
      </w:pPr>
    </w:p>
    <w:p w14:paraId="376F0DC3" w14:textId="77777777" w:rsidR="00CF0E3D" w:rsidRDefault="00CF0E3D" w:rsidP="00CF0E3D">
      <w:pPr>
        <w:pStyle w:val="ActHead4"/>
        <w:pageBreakBefore/>
      </w:pPr>
      <w:bookmarkStart w:id="392" w:name="_Toc11771644"/>
      <w:bookmarkStart w:id="393" w:name="_Toc74916215"/>
      <w:r>
        <w:t>Subdivision 5.2.4—Transfer, suspension</w:t>
      </w:r>
      <w:r w:rsidRPr="000C3240">
        <w:rPr>
          <w:color w:val="000000" w:themeColor="text1"/>
        </w:rPr>
        <w:t>, surrender</w:t>
      </w:r>
      <w:r>
        <w:t xml:space="preserve"> and revocation of accreditation</w:t>
      </w:r>
      <w:bookmarkEnd w:id="392"/>
      <w:bookmarkEnd w:id="393"/>
    </w:p>
    <w:p w14:paraId="3A6FBD4B" w14:textId="77777777" w:rsidR="00CF0E3D" w:rsidRDefault="00CF0E3D" w:rsidP="00CF0E3D">
      <w:pPr>
        <w:pStyle w:val="ActHead5"/>
      </w:pPr>
      <w:bookmarkStart w:id="394" w:name="_Toc11771645"/>
      <w:bookmarkStart w:id="395" w:name="_Toc74916216"/>
      <w:r>
        <w:t>5.16  Transfer of accreditation</w:t>
      </w:r>
      <w:bookmarkEnd w:id="394"/>
      <w:bookmarkEnd w:id="395"/>
    </w:p>
    <w:p w14:paraId="6BBDBCB6" w14:textId="77777777" w:rsidR="00CF0E3D" w:rsidRPr="001E3BC0" w:rsidRDefault="00CF0E3D" w:rsidP="00CF0E3D">
      <w:pPr>
        <w:pStyle w:val="subsection"/>
      </w:pPr>
      <w:r>
        <w:tab/>
      </w:r>
      <w:r>
        <w:tab/>
        <w:t>An accreditation cannot be transferred.</w:t>
      </w:r>
    </w:p>
    <w:p w14:paraId="68FD837B" w14:textId="77777777" w:rsidR="00CF0E3D" w:rsidRDefault="00CF0E3D" w:rsidP="00CF0E3D">
      <w:pPr>
        <w:pStyle w:val="ActHead5"/>
      </w:pPr>
      <w:bookmarkStart w:id="396" w:name="_Toc11771646"/>
      <w:bookmarkStart w:id="397" w:name="_Toc74916217"/>
      <w:r>
        <w:t>5.17  Revocation, suspension, or surrender of accreditation</w:t>
      </w:r>
      <w:bookmarkEnd w:id="396"/>
      <w:bookmarkEnd w:id="397"/>
    </w:p>
    <w:p w14:paraId="60A9FF24" w14:textId="77777777" w:rsidR="00CF0E3D" w:rsidRDefault="00CF0E3D" w:rsidP="00CF0E3D">
      <w:pPr>
        <w:pStyle w:val="subsection"/>
      </w:pPr>
      <w:r>
        <w:tab/>
      </w:r>
      <w:r>
        <w:rPr>
          <w:color w:val="000000" w:themeColor="text1"/>
        </w:rPr>
        <w:t>(1)</w:t>
      </w:r>
      <w:r>
        <w:tab/>
        <w:t>The table has effect:</w:t>
      </w:r>
    </w:p>
    <w:p w14:paraId="74ADF2C6" w14:textId="77777777" w:rsidR="00CF0E3D" w:rsidRDefault="00CF0E3D" w:rsidP="00CF0E3D">
      <w:pPr>
        <w:pStyle w:val="subsection"/>
      </w:pP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1"/>
        <w:gridCol w:w="4435"/>
        <w:gridCol w:w="3169"/>
      </w:tblGrid>
      <w:tr w:rsidR="00CF0E3D" w14:paraId="14D89AB0" w14:textId="77777777" w:rsidTr="007941AE">
        <w:trPr>
          <w:cantSplit/>
          <w:tblHeader/>
        </w:trPr>
        <w:tc>
          <w:tcPr>
            <w:tcW w:w="601" w:type="dxa"/>
            <w:tcBorders>
              <w:top w:val="single" w:sz="12" w:space="0" w:color="auto"/>
              <w:bottom w:val="single" w:sz="2" w:space="0" w:color="auto"/>
              <w:right w:val="nil"/>
            </w:tcBorders>
          </w:tcPr>
          <w:p w14:paraId="504788F2" w14:textId="77777777" w:rsidR="00CF0E3D" w:rsidRDefault="00CF0E3D" w:rsidP="007941AE">
            <w:pPr>
              <w:pStyle w:val="TableHeading"/>
            </w:pPr>
          </w:p>
        </w:tc>
        <w:tc>
          <w:tcPr>
            <w:tcW w:w="7604" w:type="dxa"/>
            <w:gridSpan w:val="2"/>
            <w:tcBorders>
              <w:top w:val="single" w:sz="12" w:space="0" w:color="auto"/>
              <w:left w:val="nil"/>
              <w:bottom w:val="single" w:sz="2" w:space="0" w:color="auto"/>
            </w:tcBorders>
          </w:tcPr>
          <w:p w14:paraId="635D7EDC" w14:textId="77777777" w:rsidR="00CF0E3D" w:rsidRDefault="00CF0E3D" w:rsidP="007941AE">
            <w:pPr>
              <w:pStyle w:val="TableHeading"/>
            </w:pPr>
            <w:r>
              <w:t>Grounds for revocation</w:t>
            </w:r>
            <w:r w:rsidRPr="00CC5A54">
              <w:t xml:space="preserve">, suspension and surrender </w:t>
            </w:r>
            <w:r>
              <w:t>of accreditation as accredited person</w:t>
            </w:r>
          </w:p>
        </w:tc>
      </w:tr>
      <w:tr w:rsidR="00CF0E3D" w14:paraId="6E98795C" w14:textId="77777777" w:rsidTr="007941AE">
        <w:trPr>
          <w:cantSplit/>
          <w:tblHeader/>
        </w:trPr>
        <w:tc>
          <w:tcPr>
            <w:tcW w:w="601" w:type="dxa"/>
            <w:tcBorders>
              <w:top w:val="single" w:sz="2" w:space="0" w:color="auto"/>
              <w:bottom w:val="single" w:sz="12" w:space="0" w:color="auto"/>
              <w:right w:val="nil"/>
            </w:tcBorders>
          </w:tcPr>
          <w:p w14:paraId="54B30078" w14:textId="77777777" w:rsidR="00CF0E3D" w:rsidRDefault="00CF0E3D" w:rsidP="007941AE">
            <w:pPr>
              <w:pStyle w:val="TableHeading"/>
            </w:pPr>
          </w:p>
        </w:tc>
        <w:tc>
          <w:tcPr>
            <w:tcW w:w="4435" w:type="dxa"/>
            <w:tcBorders>
              <w:top w:val="single" w:sz="2" w:space="0" w:color="auto"/>
              <w:left w:val="nil"/>
              <w:bottom w:val="single" w:sz="12" w:space="0" w:color="auto"/>
              <w:right w:val="nil"/>
            </w:tcBorders>
          </w:tcPr>
          <w:p w14:paraId="7225CDB6" w14:textId="77777777" w:rsidR="00CF0E3D" w:rsidRDefault="00CF0E3D" w:rsidP="007941AE">
            <w:pPr>
              <w:pStyle w:val="TableHeading"/>
            </w:pPr>
            <w:r>
              <w:t>If:</w:t>
            </w:r>
          </w:p>
        </w:tc>
        <w:tc>
          <w:tcPr>
            <w:tcW w:w="3169" w:type="dxa"/>
            <w:tcBorders>
              <w:top w:val="single" w:sz="2" w:space="0" w:color="auto"/>
              <w:left w:val="nil"/>
              <w:bottom w:val="single" w:sz="12" w:space="0" w:color="auto"/>
            </w:tcBorders>
          </w:tcPr>
          <w:p w14:paraId="2F51C251" w14:textId="77777777" w:rsidR="00CF0E3D" w:rsidRDefault="00CF0E3D" w:rsidP="007941AE">
            <w:pPr>
              <w:pStyle w:val="TableHeading"/>
            </w:pPr>
            <w:r>
              <w:t>the Data Recipient Accreditor:</w:t>
            </w:r>
          </w:p>
        </w:tc>
      </w:tr>
      <w:tr w:rsidR="00CF0E3D" w14:paraId="7E1840D1" w14:textId="77777777" w:rsidTr="007941AE">
        <w:trPr>
          <w:cantSplit/>
        </w:trPr>
        <w:tc>
          <w:tcPr>
            <w:tcW w:w="601" w:type="dxa"/>
            <w:tcBorders>
              <w:top w:val="single" w:sz="12" w:space="0" w:color="auto"/>
              <w:bottom w:val="single" w:sz="2" w:space="0" w:color="auto"/>
              <w:right w:val="nil"/>
            </w:tcBorders>
          </w:tcPr>
          <w:p w14:paraId="6A74B9C0" w14:textId="77777777" w:rsidR="00CF0E3D" w:rsidRDefault="00CF0E3D" w:rsidP="007941AE">
            <w:pPr>
              <w:pStyle w:val="Tabletext"/>
            </w:pPr>
            <w:r>
              <w:t>1</w:t>
            </w:r>
          </w:p>
        </w:tc>
        <w:tc>
          <w:tcPr>
            <w:tcW w:w="4435" w:type="dxa"/>
            <w:tcBorders>
              <w:top w:val="single" w:sz="12" w:space="0" w:color="auto"/>
              <w:left w:val="nil"/>
              <w:bottom w:val="single" w:sz="2" w:space="0" w:color="auto"/>
              <w:right w:val="nil"/>
            </w:tcBorders>
          </w:tcPr>
          <w:p w14:paraId="1B06FA5B" w14:textId="77777777" w:rsidR="00CF0E3D" w:rsidRDefault="00CF0E3D" w:rsidP="007941AE">
            <w:pPr>
              <w:pStyle w:val="Tabletext"/>
            </w:pPr>
            <w:r>
              <w:t>an accredited person applies to the Data Recipient Accreditor, in writing, to surrender their accreditation;</w:t>
            </w:r>
          </w:p>
          <w:p w14:paraId="75BF3558" w14:textId="77777777" w:rsidR="00CF0E3D" w:rsidRDefault="00CF0E3D" w:rsidP="007941AE">
            <w:pPr>
              <w:pStyle w:val="Tabletext"/>
            </w:pPr>
          </w:p>
        </w:tc>
        <w:tc>
          <w:tcPr>
            <w:tcW w:w="3169" w:type="dxa"/>
            <w:tcBorders>
              <w:top w:val="single" w:sz="12" w:space="0" w:color="auto"/>
              <w:left w:val="nil"/>
              <w:bottom w:val="single" w:sz="2" w:space="0" w:color="auto"/>
            </w:tcBorders>
          </w:tcPr>
          <w:p w14:paraId="436E6B54" w14:textId="77777777" w:rsidR="00CF0E3D" w:rsidRDefault="00CF0E3D" w:rsidP="007941AE">
            <w:pPr>
              <w:pStyle w:val="Tabletext"/>
            </w:pPr>
            <w:r>
              <w:t>must</w:t>
            </w:r>
            <w:r w:rsidRPr="000C3240">
              <w:rPr>
                <w:color w:val="000000" w:themeColor="text1"/>
              </w:rPr>
              <w:t>, in writing,</w:t>
            </w:r>
            <w:r>
              <w:t xml:space="preserve"> accept that surrender.</w:t>
            </w:r>
          </w:p>
        </w:tc>
      </w:tr>
      <w:tr w:rsidR="00CF0E3D" w14:paraId="551909F8" w14:textId="77777777" w:rsidTr="007941AE">
        <w:trPr>
          <w:cantSplit/>
        </w:trPr>
        <w:tc>
          <w:tcPr>
            <w:tcW w:w="601" w:type="dxa"/>
            <w:tcBorders>
              <w:top w:val="single" w:sz="2" w:space="0" w:color="auto"/>
              <w:bottom w:val="single" w:sz="4" w:space="0" w:color="auto"/>
              <w:right w:val="nil"/>
            </w:tcBorders>
          </w:tcPr>
          <w:p w14:paraId="037B80D3" w14:textId="77777777" w:rsidR="00CF0E3D" w:rsidRDefault="00CF0E3D" w:rsidP="007941AE">
            <w:pPr>
              <w:pStyle w:val="Tabletext"/>
            </w:pPr>
            <w:r>
              <w:t>2</w:t>
            </w:r>
          </w:p>
        </w:tc>
        <w:tc>
          <w:tcPr>
            <w:tcW w:w="4435" w:type="dxa"/>
            <w:tcBorders>
              <w:top w:val="single" w:sz="2" w:space="0" w:color="auto"/>
              <w:left w:val="nil"/>
              <w:bottom w:val="single" w:sz="4" w:space="0" w:color="auto"/>
              <w:right w:val="nil"/>
            </w:tcBorders>
          </w:tcPr>
          <w:p w14:paraId="3409CB89" w14:textId="77777777" w:rsidR="00CF0E3D" w:rsidRDefault="00CF0E3D" w:rsidP="007941AE">
            <w:pPr>
              <w:pStyle w:val="Tabletext"/>
            </w:pPr>
            <w:r>
              <w:t xml:space="preserve">the Data Recipient Accreditor is satisfied that an accredited person’s accreditation was granted as the result of statements or other information, by the </w:t>
            </w:r>
            <w:r w:rsidRPr="000C3240">
              <w:rPr>
                <w:color w:val="000000" w:themeColor="text1"/>
              </w:rPr>
              <w:t xml:space="preserve">accreditation </w:t>
            </w:r>
            <w:r>
              <w:t>applicant or by any other person, that were false or misleading in a material particular;</w:t>
            </w:r>
          </w:p>
          <w:p w14:paraId="76D2190A" w14:textId="77777777" w:rsidR="00CF0E3D" w:rsidRDefault="00CF0E3D" w:rsidP="007941AE">
            <w:pPr>
              <w:pStyle w:val="Tabletext"/>
            </w:pPr>
          </w:p>
        </w:tc>
        <w:tc>
          <w:tcPr>
            <w:tcW w:w="3169" w:type="dxa"/>
            <w:tcBorders>
              <w:top w:val="single" w:sz="2" w:space="0" w:color="auto"/>
              <w:left w:val="nil"/>
              <w:bottom w:val="single" w:sz="4" w:space="0" w:color="auto"/>
            </w:tcBorders>
          </w:tcPr>
          <w:p w14:paraId="75177F67" w14:textId="77777777" w:rsidR="00CF0E3D" w:rsidRDefault="00CF0E3D" w:rsidP="007941AE">
            <w:pPr>
              <w:pStyle w:val="Tabletext"/>
            </w:pPr>
            <w:r>
              <w:t>may</w:t>
            </w:r>
            <w:r w:rsidRPr="000C3240">
              <w:rPr>
                <w:color w:val="000000" w:themeColor="text1"/>
              </w:rPr>
              <w:t>, in writing</w:t>
            </w:r>
            <w:r>
              <w:t>:</w:t>
            </w:r>
          </w:p>
          <w:p w14:paraId="217F8C7A" w14:textId="77777777" w:rsidR="00CF0E3D" w:rsidRDefault="00CF0E3D" w:rsidP="007941AE">
            <w:pPr>
              <w:pStyle w:val="Tablea"/>
            </w:pPr>
            <w:r>
              <w:t>(a)</w:t>
            </w:r>
            <w:r>
              <w:tab/>
              <w:t>suspend; or</w:t>
            </w:r>
          </w:p>
          <w:p w14:paraId="353CFA1D" w14:textId="77777777" w:rsidR="00CF0E3D" w:rsidRDefault="00CF0E3D" w:rsidP="007941AE">
            <w:pPr>
              <w:pStyle w:val="Tablea"/>
            </w:pPr>
            <w:r>
              <w:t>(b)</w:t>
            </w:r>
            <w:r>
              <w:tab/>
              <w:t>revoke;</w:t>
            </w:r>
          </w:p>
          <w:p w14:paraId="7F54038C" w14:textId="77777777" w:rsidR="00CF0E3D" w:rsidRDefault="00CF0E3D" w:rsidP="007941AE">
            <w:pPr>
              <w:pStyle w:val="Tabletext"/>
            </w:pPr>
            <w:r>
              <w:t>the person’s accreditation, as appropriate.</w:t>
            </w:r>
          </w:p>
        </w:tc>
      </w:tr>
      <w:tr w:rsidR="00CF0E3D" w14:paraId="40CE8BEC" w14:textId="77777777" w:rsidTr="007941AE">
        <w:trPr>
          <w:cantSplit/>
        </w:trPr>
        <w:tc>
          <w:tcPr>
            <w:tcW w:w="601" w:type="dxa"/>
            <w:tcBorders>
              <w:right w:val="nil"/>
            </w:tcBorders>
          </w:tcPr>
          <w:p w14:paraId="3CA04F87" w14:textId="77777777" w:rsidR="00CF0E3D" w:rsidRDefault="00CF0E3D" w:rsidP="007941AE">
            <w:pPr>
              <w:pStyle w:val="Tabletext"/>
            </w:pPr>
            <w:r>
              <w:t>3</w:t>
            </w:r>
          </w:p>
        </w:tc>
        <w:tc>
          <w:tcPr>
            <w:tcW w:w="4435" w:type="dxa"/>
            <w:tcBorders>
              <w:left w:val="nil"/>
              <w:right w:val="nil"/>
            </w:tcBorders>
          </w:tcPr>
          <w:p w14:paraId="6D17BF1D" w14:textId="77777777" w:rsidR="00CF0E3D" w:rsidRPr="003F3AC9" w:rsidRDefault="00CF0E3D" w:rsidP="007941AE">
            <w:pPr>
              <w:pStyle w:val="Tabletext"/>
            </w:pPr>
            <w:r>
              <w:t xml:space="preserve">subject to items 6 and 7, the Data Recipient Accreditor is satisfied that </w:t>
            </w:r>
            <w:r w:rsidRPr="003F3AC9">
              <w:t>the accredited person or an associated person of the accredited person has been found to have contravened a law relevant to the management of CDR data;</w:t>
            </w:r>
          </w:p>
          <w:p w14:paraId="430BA9E8" w14:textId="77777777" w:rsidR="00CF0E3D" w:rsidRDefault="00CF0E3D" w:rsidP="007941AE">
            <w:pPr>
              <w:pStyle w:val="notemargin"/>
              <w:rPr>
                <w:color w:val="000000" w:themeColor="text1"/>
              </w:rPr>
            </w:pPr>
            <w:r w:rsidRPr="000C3240">
              <w:rPr>
                <w:color w:val="000000" w:themeColor="text1"/>
              </w:rPr>
              <w:t>Note:</w:t>
            </w:r>
            <w:r w:rsidRPr="000C3240">
              <w:rPr>
                <w:color w:val="000000" w:themeColor="text1"/>
              </w:rPr>
              <w:tab/>
              <w:t xml:space="preserve">See </w:t>
            </w:r>
            <w:r>
              <w:rPr>
                <w:color w:val="000000" w:themeColor="text1"/>
              </w:rPr>
              <w:t>rule</w:t>
            </w:r>
            <w:r w:rsidRPr="000C3240">
              <w:rPr>
                <w:color w:val="000000" w:themeColor="text1"/>
              </w:rPr>
              <w:t> </w:t>
            </w:r>
            <w:r>
              <w:rPr>
                <w:color w:val="000000" w:themeColor="text1"/>
              </w:rPr>
              <w:t>1.7</w:t>
            </w:r>
            <w:r w:rsidRPr="000C3240">
              <w:rPr>
                <w:color w:val="000000" w:themeColor="text1"/>
              </w:rPr>
              <w:t xml:space="preserve"> for the meaning of “associated person” and “law relevant to the management of CDR data”.</w:t>
            </w:r>
          </w:p>
          <w:p w14:paraId="3181F230" w14:textId="77777777" w:rsidR="00CF0E3D" w:rsidRPr="00BC78CF" w:rsidRDefault="00CF0E3D" w:rsidP="007941AE">
            <w:pPr>
              <w:pStyle w:val="nDrafterComment"/>
              <w:rPr>
                <w:color w:val="FF0000"/>
              </w:rPr>
            </w:pPr>
          </w:p>
        </w:tc>
        <w:tc>
          <w:tcPr>
            <w:tcW w:w="3169" w:type="dxa"/>
            <w:tcBorders>
              <w:left w:val="nil"/>
            </w:tcBorders>
          </w:tcPr>
          <w:p w14:paraId="6134EB29" w14:textId="77777777" w:rsidR="00CF0E3D" w:rsidRDefault="00CF0E3D" w:rsidP="007941AE">
            <w:pPr>
              <w:pStyle w:val="Tabletext"/>
            </w:pPr>
            <w:r>
              <w:t>may</w:t>
            </w:r>
            <w:r w:rsidRPr="00BD2AB7">
              <w:t>, in writing</w:t>
            </w:r>
            <w:r>
              <w:t>:</w:t>
            </w:r>
          </w:p>
          <w:p w14:paraId="462E67EC" w14:textId="77777777" w:rsidR="00CF0E3D" w:rsidRDefault="00CF0E3D" w:rsidP="007941AE">
            <w:pPr>
              <w:pStyle w:val="Tablea"/>
            </w:pPr>
            <w:r>
              <w:t>(a)</w:t>
            </w:r>
            <w:r>
              <w:tab/>
              <w:t>suspend; or</w:t>
            </w:r>
          </w:p>
          <w:p w14:paraId="7D55B561" w14:textId="77777777" w:rsidR="00CF0E3D" w:rsidRDefault="00CF0E3D" w:rsidP="007941AE">
            <w:pPr>
              <w:pStyle w:val="Tablea"/>
            </w:pPr>
            <w:r>
              <w:t>(b)</w:t>
            </w:r>
            <w:r>
              <w:tab/>
              <w:t>revoke;</w:t>
            </w:r>
          </w:p>
          <w:p w14:paraId="5C1C329D" w14:textId="77777777" w:rsidR="00CF0E3D" w:rsidRDefault="00CF0E3D" w:rsidP="007941AE">
            <w:pPr>
              <w:pStyle w:val="Tabletext"/>
            </w:pPr>
            <w:r>
              <w:t xml:space="preserve">the </w:t>
            </w:r>
            <w:r w:rsidRPr="00005026">
              <w:t xml:space="preserve">accredited </w:t>
            </w:r>
            <w:r>
              <w:t>person’s accreditation, as appropriate.</w:t>
            </w:r>
          </w:p>
        </w:tc>
      </w:tr>
      <w:tr w:rsidR="00CF0E3D" w14:paraId="15612A7C" w14:textId="77777777" w:rsidTr="007941AE">
        <w:trPr>
          <w:cantSplit/>
        </w:trPr>
        <w:tc>
          <w:tcPr>
            <w:tcW w:w="601" w:type="dxa"/>
            <w:tcBorders>
              <w:right w:val="nil"/>
            </w:tcBorders>
          </w:tcPr>
          <w:p w14:paraId="4EDAC33C" w14:textId="77777777" w:rsidR="00CF0E3D" w:rsidRDefault="00CF0E3D" w:rsidP="007941AE">
            <w:pPr>
              <w:pStyle w:val="Tabletext"/>
            </w:pPr>
            <w:r>
              <w:t>4</w:t>
            </w:r>
          </w:p>
        </w:tc>
        <w:tc>
          <w:tcPr>
            <w:tcW w:w="4435" w:type="dxa"/>
            <w:tcBorders>
              <w:left w:val="nil"/>
              <w:right w:val="nil"/>
            </w:tcBorders>
          </w:tcPr>
          <w:p w14:paraId="3980C138" w14:textId="77777777" w:rsidR="00CF0E3D" w:rsidRDefault="00CF0E3D" w:rsidP="007941AE">
            <w:pPr>
              <w:pStyle w:val="Tabletext"/>
            </w:pPr>
            <w:r>
              <w:t xml:space="preserve">the Data Recipient Accreditor </w:t>
            </w:r>
            <w:r w:rsidRPr="000C3240">
              <w:rPr>
                <w:color w:val="000000" w:themeColor="text1"/>
              </w:rPr>
              <w:t xml:space="preserve">reasonably believes </w:t>
            </w:r>
            <w:r>
              <w:t>that revocation or suspension is necessary in order to:</w:t>
            </w:r>
          </w:p>
          <w:p w14:paraId="1B8154D1" w14:textId="77777777" w:rsidR="00CF0E3D" w:rsidRDefault="00CF0E3D" w:rsidP="007941AE">
            <w:pPr>
              <w:pStyle w:val="Tablea"/>
            </w:pPr>
            <w:r>
              <w:t>(a)</w:t>
            </w:r>
            <w:r>
              <w:tab/>
              <w:t>protect consumers; or</w:t>
            </w:r>
          </w:p>
          <w:p w14:paraId="4B9F96BD" w14:textId="77777777" w:rsidR="00CF0E3D" w:rsidRDefault="00CF0E3D" w:rsidP="007941AE">
            <w:pPr>
              <w:pStyle w:val="Tablea"/>
            </w:pPr>
            <w:r>
              <w:t>(b)</w:t>
            </w:r>
            <w:r>
              <w:tab/>
              <w:t>protect the security, integrity and stability of:</w:t>
            </w:r>
          </w:p>
          <w:p w14:paraId="4466AF12" w14:textId="77777777" w:rsidR="00CF0E3D" w:rsidRPr="000C3240" w:rsidRDefault="00CF0E3D" w:rsidP="007941AE">
            <w:pPr>
              <w:pStyle w:val="Tablei"/>
            </w:pPr>
            <w:r w:rsidRPr="000C3240">
              <w:tab/>
              <w:t>(i)</w:t>
            </w:r>
            <w:r w:rsidRPr="000C3240">
              <w:tab/>
              <w:t>the Register of Accredited Persons</w:t>
            </w:r>
            <w:r>
              <w:t xml:space="preserve"> or the associated database</w:t>
            </w:r>
            <w:r w:rsidRPr="000C3240">
              <w:t>; or</w:t>
            </w:r>
          </w:p>
          <w:p w14:paraId="32571A49" w14:textId="77777777" w:rsidR="00CF0E3D" w:rsidRPr="000C3240" w:rsidRDefault="00CF0E3D" w:rsidP="007941AE">
            <w:pPr>
              <w:pStyle w:val="Tablei"/>
            </w:pPr>
            <w:r w:rsidRPr="000C3240">
              <w:tab/>
              <w:t>(ii)</w:t>
            </w:r>
            <w:r w:rsidRPr="000C3240">
              <w:tab/>
              <w:t>information and communication technology systems that are used by CDR participants to disclose or collect CDR data;</w:t>
            </w:r>
          </w:p>
          <w:p w14:paraId="529826B4" w14:textId="77777777" w:rsidR="00CF0E3D" w:rsidRPr="000C3240" w:rsidRDefault="00CF0E3D" w:rsidP="007941AE">
            <w:pPr>
              <w:pStyle w:val="notemargin"/>
              <w:rPr>
                <w:color w:val="000000" w:themeColor="text1"/>
              </w:rPr>
            </w:pPr>
            <w:r w:rsidRPr="000C3240">
              <w:rPr>
                <w:color w:val="000000" w:themeColor="text1"/>
              </w:rPr>
              <w:t>Note:</w:t>
            </w:r>
            <w:r w:rsidRPr="000C3240">
              <w:rPr>
                <w:color w:val="000000" w:themeColor="text1"/>
              </w:rPr>
              <w:tab/>
              <w:t xml:space="preserve">See </w:t>
            </w:r>
            <w:r>
              <w:rPr>
                <w:color w:val="000000" w:themeColor="text1"/>
              </w:rPr>
              <w:t>rule</w:t>
            </w:r>
            <w:r w:rsidRPr="000C3240">
              <w:rPr>
                <w:color w:val="000000" w:themeColor="text1"/>
              </w:rPr>
              <w:t> </w:t>
            </w:r>
            <w:r>
              <w:rPr>
                <w:color w:val="000000" w:themeColor="text1"/>
              </w:rPr>
              <w:t>1.7</w:t>
            </w:r>
            <w:r w:rsidRPr="000C3240">
              <w:rPr>
                <w:color w:val="000000" w:themeColor="text1"/>
              </w:rPr>
              <w:t xml:space="preserve"> for the meaning of “law relevant to the management of CDR data”.</w:t>
            </w:r>
          </w:p>
          <w:p w14:paraId="3211AC78" w14:textId="77777777" w:rsidR="00CF0E3D" w:rsidRDefault="00CF0E3D" w:rsidP="007941AE">
            <w:pPr>
              <w:pStyle w:val="Tabletext"/>
            </w:pPr>
          </w:p>
        </w:tc>
        <w:tc>
          <w:tcPr>
            <w:tcW w:w="3169" w:type="dxa"/>
            <w:tcBorders>
              <w:left w:val="nil"/>
            </w:tcBorders>
          </w:tcPr>
          <w:p w14:paraId="6B1252B4" w14:textId="77777777" w:rsidR="00CF0E3D" w:rsidRDefault="00CF0E3D" w:rsidP="007941AE">
            <w:pPr>
              <w:pStyle w:val="Tabletext"/>
            </w:pPr>
            <w:r>
              <w:t>may</w:t>
            </w:r>
            <w:r w:rsidRPr="000C3240">
              <w:rPr>
                <w:color w:val="000000" w:themeColor="text1"/>
              </w:rPr>
              <w:t>, in writing</w:t>
            </w:r>
            <w:r>
              <w:t>:</w:t>
            </w:r>
          </w:p>
          <w:p w14:paraId="38FBBECC" w14:textId="77777777" w:rsidR="00CF0E3D" w:rsidRDefault="00CF0E3D" w:rsidP="007941AE">
            <w:pPr>
              <w:pStyle w:val="Tablea"/>
            </w:pPr>
            <w:r>
              <w:t>(a)</w:t>
            </w:r>
            <w:r>
              <w:tab/>
              <w:t>suspend; or</w:t>
            </w:r>
          </w:p>
          <w:p w14:paraId="2CD3783E" w14:textId="77777777" w:rsidR="00CF0E3D" w:rsidRDefault="00CF0E3D" w:rsidP="007941AE">
            <w:pPr>
              <w:pStyle w:val="Tablea"/>
            </w:pPr>
            <w:r>
              <w:t>(b)</w:t>
            </w:r>
            <w:r>
              <w:tab/>
              <w:t>revoke;</w:t>
            </w:r>
          </w:p>
          <w:p w14:paraId="47B8BE16" w14:textId="77777777" w:rsidR="00CF0E3D" w:rsidRDefault="00CF0E3D" w:rsidP="007941AE">
            <w:pPr>
              <w:pStyle w:val="Tabletext"/>
            </w:pPr>
            <w:r>
              <w:t>the person’s accreditation, as appropriate.</w:t>
            </w:r>
          </w:p>
        </w:tc>
      </w:tr>
      <w:tr w:rsidR="00CF0E3D" w14:paraId="5C1EB266" w14:textId="77777777" w:rsidTr="007941AE">
        <w:trPr>
          <w:cantSplit/>
        </w:trPr>
        <w:tc>
          <w:tcPr>
            <w:tcW w:w="601" w:type="dxa"/>
            <w:tcBorders>
              <w:right w:val="nil"/>
            </w:tcBorders>
          </w:tcPr>
          <w:p w14:paraId="4BA79E61" w14:textId="77777777" w:rsidR="00CF0E3D" w:rsidRDefault="00CF0E3D" w:rsidP="007941AE">
            <w:pPr>
              <w:pStyle w:val="Tabletext"/>
            </w:pPr>
            <w:r>
              <w:t>5</w:t>
            </w:r>
          </w:p>
        </w:tc>
        <w:tc>
          <w:tcPr>
            <w:tcW w:w="4435" w:type="dxa"/>
            <w:tcBorders>
              <w:left w:val="nil"/>
              <w:right w:val="nil"/>
            </w:tcBorders>
          </w:tcPr>
          <w:p w14:paraId="7873C614" w14:textId="77777777" w:rsidR="00CF0E3D" w:rsidRPr="007E7FBF" w:rsidRDefault="00CF0E3D" w:rsidP="007941AE">
            <w:pPr>
              <w:pStyle w:val="Tabletext"/>
            </w:pPr>
            <w:r w:rsidRPr="007E7FBF">
              <w:t>the following are satisfied:</w:t>
            </w:r>
          </w:p>
          <w:p w14:paraId="0C82DB1D" w14:textId="77777777" w:rsidR="00CF0E3D" w:rsidRPr="007E7FBF" w:rsidRDefault="00CF0E3D" w:rsidP="007941AE">
            <w:pPr>
              <w:pStyle w:val="Tablea"/>
            </w:pPr>
            <w:r w:rsidRPr="007E7FBF">
              <w:t>(a)</w:t>
            </w:r>
            <w:r w:rsidRPr="007E7FBF">
              <w:tab/>
              <w:t>the accredited person was, at the time of the accreditation, an ADI;</w:t>
            </w:r>
          </w:p>
          <w:p w14:paraId="59839FED" w14:textId="77777777" w:rsidR="00CF0E3D" w:rsidRPr="007E7FBF" w:rsidRDefault="00CF0E3D" w:rsidP="00B00AE1">
            <w:pPr>
              <w:pStyle w:val="Tablea"/>
            </w:pPr>
            <w:r w:rsidRPr="007E7FBF">
              <w:t>(b)</w:t>
            </w:r>
            <w:r w:rsidRPr="007E7FBF">
              <w:tab/>
              <w:t xml:space="preserve">the accredited person is no longer an ADI for the reason that its authority to carry on banking business is no longer in </w:t>
            </w:r>
            <w:r w:rsidR="00B00AE1" w:rsidRPr="007E7FBF">
              <w:t>force;</w:t>
            </w:r>
          </w:p>
          <w:p w14:paraId="4D1D009F" w14:textId="1795FCE2" w:rsidR="00BB4D4F" w:rsidRPr="007E7FBF" w:rsidRDefault="00BB4D4F" w:rsidP="00B54E8C">
            <w:pPr>
              <w:pStyle w:val="nDrafterComment"/>
              <w:rPr>
                <w:color w:val="auto"/>
              </w:rPr>
            </w:pPr>
          </w:p>
        </w:tc>
        <w:tc>
          <w:tcPr>
            <w:tcW w:w="3169" w:type="dxa"/>
            <w:tcBorders>
              <w:left w:val="nil"/>
            </w:tcBorders>
          </w:tcPr>
          <w:p w14:paraId="6CADB10C" w14:textId="77777777" w:rsidR="00CF0E3D" w:rsidRDefault="00CF0E3D" w:rsidP="007941AE">
            <w:pPr>
              <w:pStyle w:val="Tabletext"/>
            </w:pPr>
            <w:r>
              <w:t>may</w:t>
            </w:r>
            <w:r w:rsidRPr="000C3240">
              <w:rPr>
                <w:color w:val="000000" w:themeColor="text1"/>
              </w:rPr>
              <w:t>, in writing</w:t>
            </w:r>
            <w:r>
              <w:t>:</w:t>
            </w:r>
          </w:p>
          <w:p w14:paraId="5E6DF8AB" w14:textId="77777777" w:rsidR="00CF0E3D" w:rsidRDefault="00CF0E3D" w:rsidP="007941AE">
            <w:pPr>
              <w:pStyle w:val="Tablea"/>
            </w:pPr>
            <w:r>
              <w:t>(a)</w:t>
            </w:r>
            <w:r>
              <w:tab/>
              <w:t>suspend; or</w:t>
            </w:r>
          </w:p>
          <w:p w14:paraId="3BE993C2" w14:textId="77777777" w:rsidR="00CF0E3D" w:rsidRDefault="00CF0E3D" w:rsidP="007941AE">
            <w:pPr>
              <w:pStyle w:val="Tablea"/>
            </w:pPr>
            <w:r>
              <w:t>(b)</w:t>
            </w:r>
            <w:r>
              <w:tab/>
              <w:t>revoke;</w:t>
            </w:r>
          </w:p>
          <w:p w14:paraId="0AD658F0" w14:textId="77777777" w:rsidR="00CF0E3D" w:rsidRDefault="00CF0E3D" w:rsidP="007941AE">
            <w:pPr>
              <w:pStyle w:val="Tabletext"/>
            </w:pPr>
            <w:r>
              <w:t>the person’s accreditation, as appropriate.</w:t>
            </w:r>
          </w:p>
        </w:tc>
      </w:tr>
      <w:tr w:rsidR="00CF0E3D" w14:paraId="051A759D" w14:textId="77777777" w:rsidTr="007941AE">
        <w:trPr>
          <w:cantSplit/>
        </w:trPr>
        <w:tc>
          <w:tcPr>
            <w:tcW w:w="601" w:type="dxa"/>
            <w:tcBorders>
              <w:bottom w:val="single" w:sz="4" w:space="0" w:color="auto"/>
              <w:right w:val="nil"/>
            </w:tcBorders>
          </w:tcPr>
          <w:p w14:paraId="20AECA46" w14:textId="0DAB641A" w:rsidR="00CF0E3D" w:rsidRDefault="00CF0E3D" w:rsidP="007941AE">
            <w:pPr>
              <w:pStyle w:val="Tabletext"/>
            </w:pPr>
            <w:r>
              <w:t>6</w:t>
            </w:r>
          </w:p>
        </w:tc>
        <w:tc>
          <w:tcPr>
            <w:tcW w:w="4435" w:type="dxa"/>
            <w:tcBorders>
              <w:left w:val="nil"/>
              <w:bottom w:val="single" w:sz="4" w:space="0" w:color="auto"/>
              <w:right w:val="nil"/>
            </w:tcBorders>
          </w:tcPr>
          <w:p w14:paraId="6C92A363" w14:textId="77777777" w:rsidR="00CF0E3D" w:rsidRPr="00E53912" w:rsidRDefault="00CF0E3D" w:rsidP="007941AE">
            <w:pPr>
              <w:pStyle w:val="Tabletext"/>
            </w:pPr>
            <w:r w:rsidRPr="00E53912">
              <w:t xml:space="preserve">the Data Recipient Accreditor </w:t>
            </w:r>
            <w:r w:rsidRPr="00E53912">
              <w:rPr>
                <w:color w:val="000000" w:themeColor="text1"/>
              </w:rPr>
              <w:t xml:space="preserve">reasonably believes </w:t>
            </w:r>
            <w:r w:rsidRPr="00E53912">
              <w:t>that the accredited person has or may have contravened:</w:t>
            </w:r>
          </w:p>
          <w:p w14:paraId="50930380" w14:textId="77777777" w:rsidR="00CF0E3D" w:rsidRPr="00E53912" w:rsidRDefault="00CF0E3D" w:rsidP="007941AE">
            <w:pPr>
              <w:pStyle w:val="Tablea"/>
            </w:pPr>
            <w:r w:rsidRPr="00E53912">
              <w:t>(a)</w:t>
            </w:r>
            <w:r w:rsidRPr="00E53912">
              <w:tab/>
            </w:r>
            <w:r w:rsidRPr="00E53912">
              <w:rPr>
                <w:color w:val="000000" w:themeColor="text1"/>
              </w:rPr>
              <w:t xml:space="preserve">an offence provision of the Act or </w:t>
            </w:r>
            <w:r w:rsidRPr="00E53912">
              <w:t>a civil penalty provision of</w:t>
            </w:r>
            <w:r w:rsidRPr="00E53912">
              <w:rPr>
                <w:color w:val="000000" w:themeColor="text1"/>
              </w:rPr>
              <w:t xml:space="preserve"> the Act or</w:t>
            </w:r>
            <w:r w:rsidRPr="00E53912">
              <w:t xml:space="preserve"> these rules; or</w:t>
            </w:r>
          </w:p>
          <w:p w14:paraId="32FA2D20" w14:textId="77777777" w:rsidR="00CF0E3D" w:rsidRPr="00E53912" w:rsidRDefault="00CF0E3D" w:rsidP="007941AE">
            <w:pPr>
              <w:pStyle w:val="Tablea"/>
            </w:pPr>
            <w:r w:rsidRPr="00E53912">
              <w:t>(b)</w:t>
            </w:r>
            <w:r w:rsidRPr="00E53912">
              <w:tab/>
            </w:r>
            <w:r w:rsidRPr="00E53912">
              <w:rPr>
                <w:color w:val="000000" w:themeColor="text1"/>
              </w:rPr>
              <w:t>one or more data</w:t>
            </w:r>
            <w:r w:rsidRPr="00E53912">
              <w:t xml:space="preserve"> standards;</w:t>
            </w:r>
          </w:p>
          <w:p w14:paraId="42A2067B" w14:textId="77777777" w:rsidR="00CF0E3D" w:rsidRPr="00E53912" w:rsidRDefault="00CF0E3D" w:rsidP="007941AE">
            <w:pPr>
              <w:pStyle w:val="Tabletext"/>
            </w:pPr>
          </w:p>
        </w:tc>
        <w:tc>
          <w:tcPr>
            <w:tcW w:w="3169" w:type="dxa"/>
            <w:tcBorders>
              <w:left w:val="nil"/>
              <w:bottom w:val="single" w:sz="4" w:space="0" w:color="auto"/>
            </w:tcBorders>
          </w:tcPr>
          <w:p w14:paraId="5CDF7F10" w14:textId="77777777" w:rsidR="00CF0E3D" w:rsidRDefault="00CF0E3D" w:rsidP="007941AE">
            <w:pPr>
              <w:pStyle w:val="Tabletext"/>
            </w:pPr>
            <w:r>
              <w:t>may</w:t>
            </w:r>
            <w:r w:rsidRPr="000C3240">
              <w:rPr>
                <w:color w:val="000000" w:themeColor="text1"/>
              </w:rPr>
              <w:t>, in writing,</w:t>
            </w:r>
            <w:r>
              <w:t xml:space="preserve"> suspend the person’s accreditation.</w:t>
            </w:r>
          </w:p>
        </w:tc>
      </w:tr>
      <w:tr w:rsidR="00CF0E3D" w14:paraId="01CE365E" w14:textId="77777777" w:rsidTr="007941AE">
        <w:trPr>
          <w:cantSplit/>
        </w:trPr>
        <w:tc>
          <w:tcPr>
            <w:tcW w:w="601" w:type="dxa"/>
            <w:tcBorders>
              <w:top w:val="single" w:sz="4" w:space="0" w:color="auto"/>
              <w:bottom w:val="single" w:sz="4" w:space="0" w:color="auto"/>
              <w:right w:val="nil"/>
            </w:tcBorders>
          </w:tcPr>
          <w:p w14:paraId="631EB19E" w14:textId="77777777" w:rsidR="00CF0E3D" w:rsidRDefault="00CF0E3D" w:rsidP="007941AE">
            <w:pPr>
              <w:pStyle w:val="Tabletext"/>
            </w:pPr>
            <w:r>
              <w:t>7</w:t>
            </w:r>
          </w:p>
        </w:tc>
        <w:tc>
          <w:tcPr>
            <w:tcW w:w="4435" w:type="dxa"/>
            <w:tcBorders>
              <w:top w:val="single" w:sz="4" w:space="0" w:color="auto"/>
              <w:left w:val="nil"/>
              <w:bottom w:val="single" w:sz="4" w:space="0" w:color="auto"/>
              <w:right w:val="nil"/>
            </w:tcBorders>
          </w:tcPr>
          <w:p w14:paraId="2B90F356" w14:textId="77777777" w:rsidR="00CF0E3D" w:rsidRPr="00E53912" w:rsidRDefault="00CF0E3D" w:rsidP="007941AE">
            <w:pPr>
              <w:pStyle w:val="Tabletext"/>
            </w:pPr>
            <w:r w:rsidRPr="00E53912">
              <w:t>the accredited person has been found to have contravened:</w:t>
            </w:r>
          </w:p>
          <w:p w14:paraId="72D3E429" w14:textId="77777777" w:rsidR="00CF0E3D" w:rsidRPr="00E53912" w:rsidRDefault="00CF0E3D" w:rsidP="007941AE">
            <w:pPr>
              <w:pStyle w:val="Tablea"/>
            </w:pPr>
            <w:r w:rsidRPr="00E53912">
              <w:t>(a)</w:t>
            </w:r>
            <w:r w:rsidRPr="00E53912">
              <w:tab/>
            </w:r>
            <w:r w:rsidRPr="00E53912">
              <w:rPr>
                <w:color w:val="000000" w:themeColor="text1"/>
              </w:rPr>
              <w:t xml:space="preserve">an offence provision of the Act or </w:t>
            </w:r>
            <w:r w:rsidRPr="00E53912">
              <w:t xml:space="preserve">a civil penalty provision of </w:t>
            </w:r>
            <w:r w:rsidRPr="00E53912">
              <w:rPr>
                <w:color w:val="000000" w:themeColor="text1"/>
              </w:rPr>
              <w:t>the Act or</w:t>
            </w:r>
            <w:r w:rsidRPr="00E53912">
              <w:t xml:space="preserve"> these rules; or</w:t>
            </w:r>
          </w:p>
          <w:p w14:paraId="45E4E265" w14:textId="77777777" w:rsidR="00CF0E3D" w:rsidRPr="00E53912" w:rsidRDefault="00CF0E3D" w:rsidP="007941AE">
            <w:pPr>
              <w:pStyle w:val="Tablea"/>
            </w:pPr>
            <w:r w:rsidRPr="00E53912">
              <w:t>(b)</w:t>
            </w:r>
            <w:r w:rsidRPr="00E53912">
              <w:tab/>
            </w:r>
            <w:r w:rsidRPr="00E53912">
              <w:rPr>
                <w:color w:val="000000" w:themeColor="text1"/>
              </w:rPr>
              <w:t xml:space="preserve">one or more data </w:t>
            </w:r>
            <w:r w:rsidRPr="00E53912">
              <w:t>standards;</w:t>
            </w:r>
          </w:p>
          <w:p w14:paraId="78CE0CF0" w14:textId="77777777" w:rsidR="00CF0E3D" w:rsidRPr="00E53912" w:rsidRDefault="00CF0E3D" w:rsidP="007941AE">
            <w:pPr>
              <w:pStyle w:val="Tabletext"/>
            </w:pPr>
          </w:p>
        </w:tc>
        <w:tc>
          <w:tcPr>
            <w:tcW w:w="3169" w:type="dxa"/>
            <w:tcBorders>
              <w:top w:val="single" w:sz="4" w:space="0" w:color="auto"/>
              <w:left w:val="nil"/>
              <w:bottom w:val="single" w:sz="4" w:space="0" w:color="auto"/>
            </w:tcBorders>
          </w:tcPr>
          <w:p w14:paraId="13D341A3" w14:textId="77777777" w:rsidR="00CF0E3D" w:rsidRDefault="00CF0E3D" w:rsidP="007941AE">
            <w:pPr>
              <w:pStyle w:val="Tabletext"/>
            </w:pPr>
            <w:r>
              <w:t>may</w:t>
            </w:r>
            <w:r w:rsidRPr="000C3240">
              <w:rPr>
                <w:color w:val="000000" w:themeColor="text1"/>
              </w:rPr>
              <w:t>, in writing</w:t>
            </w:r>
            <w:r>
              <w:t>:</w:t>
            </w:r>
          </w:p>
          <w:p w14:paraId="2A89B3CD" w14:textId="77777777" w:rsidR="00CF0E3D" w:rsidRDefault="00CF0E3D" w:rsidP="007941AE">
            <w:pPr>
              <w:pStyle w:val="Tablea"/>
            </w:pPr>
            <w:r>
              <w:t>(a)</w:t>
            </w:r>
            <w:r>
              <w:tab/>
              <w:t>suspend; or</w:t>
            </w:r>
          </w:p>
          <w:p w14:paraId="7FC3920A" w14:textId="77777777" w:rsidR="00CF0E3D" w:rsidRDefault="00CF0E3D" w:rsidP="007941AE">
            <w:pPr>
              <w:pStyle w:val="Tablea"/>
            </w:pPr>
            <w:r>
              <w:t>(b)</w:t>
            </w:r>
            <w:r>
              <w:tab/>
              <w:t>revoke;</w:t>
            </w:r>
          </w:p>
          <w:p w14:paraId="0CC69048" w14:textId="77777777" w:rsidR="00CF0E3D" w:rsidRDefault="00CF0E3D" w:rsidP="007941AE">
            <w:pPr>
              <w:pStyle w:val="Tabletext"/>
            </w:pPr>
            <w:r>
              <w:t>the person’s accreditation, as appropriate.</w:t>
            </w:r>
          </w:p>
          <w:p w14:paraId="3899DD5E" w14:textId="77777777" w:rsidR="00CF0E3D" w:rsidRDefault="00CF0E3D" w:rsidP="007941AE">
            <w:pPr>
              <w:pStyle w:val="Tabletext"/>
            </w:pPr>
          </w:p>
        </w:tc>
      </w:tr>
      <w:tr w:rsidR="00CF0E3D" w14:paraId="3A1ADAFE" w14:textId="77777777" w:rsidTr="007941AE">
        <w:trPr>
          <w:cantSplit/>
        </w:trPr>
        <w:tc>
          <w:tcPr>
            <w:tcW w:w="601" w:type="dxa"/>
            <w:tcBorders>
              <w:top w:val="single" w:sz="4" w:space="0" w:color="auto"/>
              <w:bottom w:val="single" w:sz="4" w:space="0" w:color="auto"/>
              <w:right w:val="nil"/>
            </w:tcBorders>
          </w:tcPr>
          <w:p w14:paraId="5F08781B" w14:textId="77777777" w:rsidR="00CF0E3D" w:rsidRDefault="00CF0E3D" w:rsidP="007941AE">
            <w:pPr>
              <w:pStyle w:val="Tabletext"/>
            </w:pPr>
            <w:r>
              <w:t>8</w:t>
            </w:r>
          </w:p>
        </w:tc>
        <w:tc>
          <w:tcPr>
            <w:tcW w:w="4435" w:type="dxa"/>
            <w:tcBorders>
              <w:top w:val="single" w:sz="4" w:space="0" w:color="auto"/>
              <w:left w:val="nil"/>
              <w:bottom w:val="single" w:sz="4" w:space="0" w:color="auto"/>
              <w:right w:val="nil"/>
            </w:tcBorders>
          </w:tcPr>
          <w:p w14:paraId="62F49A58" w14:textId="07E8DCBA" w:rsidR="00CF0E3D" w:rsidRDefault="00CF0E3D" w:rsidP="007941AE">
            <w:pPr>
              <w:pStyle w:val="Tabletext"/>
            </w:pPr>
            <w:r>
              <w:t xml:space="preserve">the Data Recipient Accreditor is no longer satisfied that the accredited person </w:t>
            </w:r>
            <w:r w:rsidRPr="000C3240">
              <w:rPr>
                <w:color w:val="000000" w:themeColor="text1"/>
              </w:rPr>
              <w:t xml:space="preserve">is, having regard to </w:t>
            </w:r>
            <w:r>
              <w:t>the fit and proper person criteria</w:t>
            </w:r>
            <w:r w:rsidRPr="000C3240">
              <w:rPr>
                <w:color w:val="000000" w:themeColor="text1"/>
              </w:rPr>
              <w:t>, a fit and proper person</w:t>
            </w:r>
            <w:r>
              <w:rPr>
                <w:color w:val="000000" w:themeColor="text1"/>
              </w:rPr>
              <w:t xml:space="preserve"> </w:t>
            </w:r>
            <w:r w:rsidRPr="00724397">
              <w:t>to be accredited at the person’s level of accreditation</w:t>
            </w:r>
            <w:r>
              <w:t>;</w:t>
            </w:r>
          </w:p>
          <w:p w14:paraId="5CD22072" w14:textId="77777777" w:rsidR="00CF0E3D" w:rsidRDefault="00CF0E3D" w:rsidP="007941AE">
            <w:pPr>
              <w:pStyle w:val="Tabletext"/>
            </w:pPr>
          </w:p>
        </w:tc>
        <w:tc>
          <w:tcPr>
            <w:tcW w:w="3169" w:type="dxa"/>
            <w:tcBorders>
              <w:top w:val="single" w:sz="4" w:space="0" w:color="auto"/>
              <w:left w:val="nil"/>
              <w:bottom w:val="single" w:sz="4" w:space="0" w:color="auto"/>
            </w:tcBorders>
          </w:tcPr>
          <w:p w14:paraId="0433A6A2" w14:textId="77777777" w:rsidR="00CF0E3D" w:rsidRDefault="00CF0E3D" w:rsidP="007941AE">
            <w:pPr>
              <w:pStyle w:val="Tabletext"/>
            </w:pPr>
            <w:r>
              <w:t>may</w:t>
            </w:r>
            <w:r w:rsidRPr="000C3240">
              <w:rPr>
                <w:color w:val="000000" w:themeColor="text1"/>
              </w:rPr>
              <w:t>, in writing</w:t>
            </w:r>
            <w:r>
              <w:t>:</w:t>
            </w:r>
          </w:p>
          <w:p w14:paraId="4C8C59EF" w14:textId="77777777" w:rsidR="00CF0E3D" w:rsidRDefault="00CF0E3D" w:rsidP="007941AE">
            <w:pPr>
              <w:pStyle w:val="Tablea"/>
            </w:pPr>
            <w:r>
              <w:t>(a)</w:t>
            </w:r>
            <w:r>
              <w:tab/>
              <w:t>suspend; or</w:t>
            </w:r>
          </w:p>
          <w:p w14:paraId="3F6311CC" w14:textId="77777777" w:rsidR="00CF0E3D" w:rsidRDefault="00CF0E3D" w:rsidP="007941AE">
            <w:pPr>
              <w:pStyle w:val="Tablea"/>
            </w:pPr>
            <w:r>
              <w:t>(b)</w:t>
            </w:r>
            <w:r>
              <w:tab/>
              <w:t>revoke;</w:t>
            </w:r>
          </w:p>
          <w:p w14:paraId="56AE8F22" w14:textId="77777777" w:rsidR="00CF0E3D" w:rsidRDefault="00CF0E3D" w:rsidP="007941AE">
            <w:pPr>
              <w:pStyle w:val="Tabletext"/>
            </w:pPr>
            <w:r>
              <w:t>the person’s accreditation, as appropriate.</w:t>
            </w:r>
          </w:p>
          <w:p w14:paraId="01B5E4E5" w14:textId="77777777" w:rsidR="00CF0E3D" w:rsidRDefault="00CF0E3D" w:rsidP="007941AE">
            <w:pPr>
              <w:pStyle w:val="Tabletext"/>
            </w:pPr>
          </w:p>
        </w:tc>
      </w:tr>
      <w:tr w:rsidR="00CF0E3D" w14:paraId="4283A1D2" w14:textId="77777777" w:rsidTr="007941AE">
        <w:trPr>
          <w:cantSplit/>
        </w:trPr>
        <w:tc>
          <w:tcPr>
            <w:tcW w:w="601" w:type="dxa"/>
            <w:tcBorders>
              <w:top w:val="single" w:sz="4" w:space="0" w:color="auto"/>
              <w:bottom w:val="single" w:sz="4" w:space="0" w:color="auto"/>
              <w:right w:val="nil"/>
            </w:tcBorders>
          </w:tcPr>
          <w:p w14:paraId="335005CA" w14:textId="77777777" w:rsidR="00CF0E3D" w:rsidRPr="00E53912" w:rsidRDefault="00CF0E3D" w:rsidP="007941AE">
            <w:pPr>
              <w:pStyle w:val="Tabletext"/>
              <w:rPr>
                <w:color w:val="000000" w:themeColor="text1"/>
              </w:rPr>
            </w:pPr>
            <w:r w:rsidRPr="00E1300D">
              <w:rPr>
                <w:color w:val="000000" w:themeColor="text1"/>
              </w:rPr>
              <w:t>9</w:t>
            </w:r>
          </w:p>
        </w:tc>
        <w:tc>
          <w:tcPr>
            <w:tcW w:w="4435" w:type="dxa"/>
            <w:tcBorders>
              <w:top w:val="single" w:sz="4" w:space="0" w:color="auto"/>
              <w:left w:val="nil"/>
              <w:bottom w:val="single" w:sz="4" w:space="0" w:color="auto"/>
              <w:right w:val="nil"/>
            </w:tcBorders>
          </w:tcPr>
          <w:p w14:paraId="1FFAD3C0" w14:textId="77777777" w:rsidR="00CF0E3D" w:rsidRPr="00E1300D" w:rsidRDefault="00CF0E3D" w:rsidP="007941AE">
            <w:pPr>
              <w:pStyle w:val="Tabletext"/>
              <w:rPr>
                <w:color w:val="000000" w:themeColor="text1"/>
              </w:rPr>
            </w:pPr>
            <w:r w:rsidRPr="00E1300D">
              <w:rPr>
                <w:color w:val="000000" w:themeColor="text1"/>
              </w:rPr>
              <w:t>a relevant contract between the accredited person and a CDR consumer has been found to have a term that is unfair;</w:t>
            </w:r>
          </w:p>
          <w:p w14:paraId="749A3D85" w14:textId="77777777" w:rsidR="00CF0E3D" w:rsidRPr="00E53912" w:rsidRDefault="00CF0E3D" w:rsidP="007941AE">
            <w:pPr>
              <w:pStyle w:val="Tabletext"/>
              <w:rPr>
                <w:color w:val="000000" w:themeColor="text1"/>
              </w:rPr>
            </w:pPr>
          </w:p>
        </w:tc>
        <w:tc>
          <w:tcPr>
            <w:tcW w:w="3169" w:type="dxa"/>
            <w:tcBorders>
              <w:top w:val="single" w:sz="4" w:space="0" w:color="auto"/>
              <w:left w:val="nil"/>
              <w:bottom w:val="single" w:sz="4" w:space="0" w:color="auto"/>
            </w:tcBorders>
          </w:tcPr>
          <w:p w14:paraId="5C37102D" w14:textId="77777777" w:rsidR="00CF0E3D" w:rsidRPr="00E1300D" w:rsidRDefault="00CF0E3D" w:rsidP="007941AE">
            <w:pPr>
              <w:pStyle w:val="Tabletext"/>
              <w:rPr>
                <w:color w:val="000000" w:themeColor="text1"/>
              </w:rPr>
            </w:pPr>
            <w:r w:rsidRPr="00E1300D">
              <w:rPr>
                <w:color w:val="000000" w:themeColor="text1"/>
              </w:rPr>
              <w:t>may, in writing:</w:t>
            </w:r>
          </w:p>
          <w:p w14:paraId="477467BD" w14:textId="77777777" w:rsidR="00CF0E3D" w:rsidRPr="00E1300D" w:rsidRDefault="00CF0E3D" w:rsidP="007941AE">
            <w:pPr>
              <w:pStyle w:val="Tablea"/>
              <w:rPr>
                <w:color w:val="000000" w:themeColor="text1"/>
              </w:rPr>
            </w:pPr>
            <w:r w:rsidRPr="00E1300D">
              <w:rPr>
                <w:color w:val="000000" w:themeColor="text1"/>
              </w:rPr>
              <w:t>(a)</w:t>
            </w:r>
            <w:r w:rsidRPr="00E1300D">
              <w:rPr>
                <w:color w:val="000000" w:themeColor="text1"/>
              </w:rPr>
              <w:tab/>
              <w:t>suspend; or</w:t>
            </w:r>
          </w:p>
          <w:p w14:paraId="57BC8BE2" w14:textId="77777777" w:rsidR="00CF0E3D" w:rsidRPr="00E1300D" w:rsidRDefault="00CF0E3D" w:rsidP="007941AE">
            <w:pPr>
              <w:pStyle w:val="Tablea"/>
              <w:rPr>
                <w:color w:val="000000" w:themeColor="text1"/>
              </w:rPr>
            </w:pPr>
            <w:r w:rsidRPr="00E1300D">
              <w:rPr>
                <w:color w:val="000000" w:themeColor="text1"/>
              </w:rPr>
              <w:t>(b)</w:t>
            </w:r>
            <w:r w:rsidRPr="00E1300D">
              <w:rPr>
                <w:color w:val="000000" w:themeColor="text1"/>
              </w:rPr>
              <w:tab/>
              <w:t>revoke;</w:t>
            </w:r>
          </w:p>
          <w:p w14:paraId="774F4F37" w14:textId="77777777" w:rsidR="00CF0E3D" w:rsidRPr="00E1300D" w:rsidRDefault="00CF0E3D" w:rsidP="007941AE">
            <w:pPr>
              <w:pStyle w:val="Tabletext"/>
              <w:rPr>
                <w:color w:val="000000" w:themeColor="text1"/>
              </w:rPr>
            </w:pPr>
            <w:r w:rsidRPr="00E1300D">
              <w:rPr>
                <w:color w:val="000000" w:themeColor="text1"/>
              </w:rPr>
              <w:t>the person’s accreditation, as appropriate.</w:t>
            </w:r>
          </w:p>
          <w:p w14:paraId="389EE352" w14:textId="77777777" w:rsidR="00CF0E3D" w:rsidRPr="00E1300D" w:rsidRDefault="00CF0E3D" w:rsidP="007941AE">
            <w:pPr>
              <w:pStyle w:val="Tabletext"/>
              <w:rPr>
                <w:color w:val="000000" w:themeColor="text1"/>
              </w:rPr>
            </w:pPr>
          </w:p>
        </w:tc>
      </w:tr>
      <w:tr w:rsidR="00D1380B" w14:paraId="105438E2" w14:textId="77777777" w:rsidTr="007941AE">
        <w:trPr>
          <w:cantSplit/>
        </w:trPr>
        <w:tc>
          <w:tcPr>
            <w:tcW w:w="601" w:type="dxa"/>
            <w:tcBorders>
              <w:top w:val="single" w:sz="4" w:space="0" w:color="auto"/>
              <w:bottom w:val="single" w:sz="4" w:space="0" w:color="auto"/>
              <w:right w:val="nil"/>
            </w:tcBorders>
          </w:tcPr>
          <w:p w14:paraId="293D15A3" w14:textId="1E955075" w:rsidR="00D1380B" w:rsidRPr="00E1300D" w:rsidRDefault="00D1380B" w:rsidP="00D1380B">
            <w:pPr>
              <w:pStyle w:val="Tabletext"/>
              <w:rPr>
                <w:color w:val="000000" w:themeColor="text1"/>
              </w:rPr>
            </w:pPr>
            <w:r w:rsidRPr="00E1300D">
              <w:rPr>
                <w:color w:val="000000" w:themeColor="text1"/>
              </w:rPr>
              <w:t>10</w:t>
            </w:r>
          </w:p>
        </w:tc>
        <w:tc>
          <w:tcPr>
            <w:tcW w:w="4435" w:type="dxa"/>
            <w:tcBorders>
              <w:top w:val="single" w:sz="4" w:space="0" w:color="auto"/>
              <w:left w:val="nil"/>
              <w:bottom w:val="single" w:sz="4" w:space="0" w:color="auto"/>
              <w:right w:val="nil"/>
            </w:tcBorders>
          </w:tcPr>
          <w:p w14:paraId="613C4A7B" w14:textId="77777777" w:rsidR="00D1380B" w:rsidRPr="00E1300D" w:rsidRDefault="00D1380B" w:rsidP="00D1380B">
            <w:pPr>
              <w:pStyle w:val="Tabletext"/>
              <w:rPr>
                <w:color w:val="000000" w:themeColor="text1"/>
              </w:rPr>
            </w:pPr>
            <w:r w:rsidRPr="00E1300D">
              <w:rPr>
                <w:color w:val="000000" w:themeColor="text1"/>
              </w:rPr>
              <w:t>the Data Recipient Accreditor reasonably believes that a relevant contract between the accredited person and a CDR consumer has a term that is unfair;</w:t>
            </w:r>
          </w:p>
          <w:p w14:paraId="2773C7D6" w14:textId="77777777" w:rsidR="00D1380B" w:rsidRPr="00E1300D" w:rsidRDefault="00D1380B" w:rsidP="00D1380B">
            <w:pPr>
              <w:pStyle w:val="Tabletext"/>
              <w:rPr>
                <w:color w:val="000000" w:themeColor="text1"/>
              </w:rPr>
            </w:pPr>
          </w:p>
        </w:tc>
        <w:tc>
          <w:tcPr>
            <w:tcW w:w="3169" w:type="dxa"/>
            <w:tcBorders>
              <w:top w:val="single" w:sz="4" w:space="0" w:color="auto"/>
              <w:left w:val="nil"/>
              <w:bottom w:val="single" w:sz="4" w:space="0" w:color="auto"/>
            </w:tcBorders>
          </w:tcPr>
          <w:p w14:paraId="1FC62A5F" w14:textId="61023071" w:rsidR="00D1380B" w:rsidRPr="00E1300D" w:rsidRDefault="00D1380B" w:rsidP="00D1380B">
            <w:pPr>
              <w:pStyle w:val="Tabletext"/>
              <w:rPr>
                <w:color w:val="000000" w:themeColor="text1"/>
              </w:rPr>
            </w:pPr>
            <w:r w:rsidRPr="00E1300D">
              <w:rPr>
                <w:color w:val="000000" w:themeColor="text1"/>
              </w:rPr>
              <w:t>may, in writing, suspend the person’s accreditation.</w:t>
            </w:r>
          </w:p>
        </w:tc>
      </w:tr>
      <w:tr w:rsidR="00D1380B" w14:paraId="37876F13" w14:textId="77777777" w:rsidTr="007941AE">
        <w:trPr>
          <w:cantSplit/>
        </w:trPr>
        <w:tc>
          <w:tcPr>
            <w:tcW w:w="601" w:type="dxa"/>
            <w:tcBorders>
              <w:top w:val="single" w:sz="4" w:space="0" w:color="auto"/>
              <w:bottom w:val="single" w:sz="12" w:space="0" w:color="auto"/>
              <w:right w:val="nil"/>
            </w:tcBorders>
          </w:tcPr>
          <w:p w14:paraId="4EE3D7BF" w14:textId="5357A80B" w:rsidR="00D1380B" w:rsidRPr="00E53912" w:rsidRDefault="00D1380B" w:rsidP="00D1380B">
            <w:pPr>
              <w:pStyle w:val="Tabletext"/>
              <w:rPr>
                <w:color w:val="000000" w:themeColor="text1"/>
              </w:rPr>
            </w:pPr>
            <w:r w:rsidRPr="00BC78CF">
              <w:rPr>
                <w:color w:val="FF0000"/>
              </w:rPr>
              <w:t>11</w:t>
            </w:r>
          </w:p>
        </w:tc>
        <w:tc>
          <w:tcPr>
            <w:tcW w:w="4435" w:type="dxa"/>
            <w:tcBorders>
              <w:top w:val="single" w:sz="4" w:space="0" w:color="auto"/>
              <w:left w:val="nil"/>
              <w:bottom w:val="single" w:sz="12" w:space="0" w:color="auto"/>
              <w:right w:val="nil"/>
            </w:tcBorders>
          </w:tcPr>
          <w:p w14:paraId="47E8427E" w14:textId="0E6AB8B5" w:rsidR="00D1380B" w:rsidRPr="00BC78CF" w:rsidRDefault="00D1380B" w:rsidP="00D1380B">
            <w:pPr>
              <w:pStyle w:val="Tabletext"/>
              <w:rPr>
                <w:color w:val="FF0000"/>
              </w:rPr>
            </w:pPr>
            <w:r w:rsidRPr="00BC78CF">
              <w:rPr>
                <w:color w:val="FF0000"/>
              </w:rPr>
              <w:t xml:space="preserve">for a person with </w:t>
            </w:r>
            <w:r w:rsidR="00CF36F6" w:rsidRPr="00BC78CF">
              <w:rPr>
                <w:color w:val="FF0000"/>
              </w:rPr>
              <w:t xml:space="preserve">sponsored </w:t>
            </w:r>
            <w:r w:rsidR="00AD1C5D" w:rsidRPr="00BC78CF">
              <w:rPr>
                <w:color w:val="FF0000"/>
              </w:rPr>
              <w:t>accreditation</w:t>
            </w:r>
            <w:r w:rsidRPr="00BC78CF">
              <w:rPr>
                <w:color w:val="FF0000"/>
              </w:rPr>
              <w:t xml:space="preserve">—the accreditation of </w:t>
            </w:r>
            <w:r w:rsidR="00651859" w:rsidRPr="00BC78CF">
              <w:rPr>
                <w:color w:val="FF0000"/>
              </w:rPr>
              <w:t>one or more of the</w:t>
            </w:r>
            <w:r w:rsidRPr="00BC78CF">
              <w:rPr>
                <w:color w:val="FF0000"/>
              </w:rPr>
              <w:t xml:space="preserve"> person’s sponsor</w:t>
            </w:r>
            <w:r w:rsidR="00651859" w:rsidRPr="00BC78CF">
              <w:rPr>
                <w:color w:val="FF0000"/>
              </w:rPr>
              <w:t>s</w:t>
            </w:r>
            <w:r w:rsidRPr="00BC78CF">
              <w:rPr>
                <w:color w:val="FF0000"/>
              </w:rPr>
              <w:t xml:space="preserve"> is suspended or revoked;</w:t>
            </w:r>
          </w:p>
          <w:p w14:paraId="2EDE1C36" w14:textId="77777777" w:rsidR="00D1380B" w:rsidRPr="00E53912" w:rsidRDefault="00D1380B" w:rsidP="00D1380B">
            <w:pPr>
              <w:pStyle w:val="Tabletext"/>
              <w:rPr>
                <w:color w:val="000000" w:themeColor="text1"/>
              </w:rPr>
            </w:pPr>
          </w:p>
        </w:tc>
        <w:tc>
          <w:tcPr>
            <w:tcW w:w="3169" w:type="dxa"/>
            <w:tcBorders>
              <w:top w:val="single" w:sz="4" w:space="0" w:color="auto"/>
              <w:left w:val="nil"/>
              <w:bottom w:val="single" w:sz="12" w:space="0" w:color="auto"/>
            </w:tcBorders>
          </w:tcPr>
          <w:p w14:paraId="57DC35B2" w14:textId="77777777" w:rsidR="00D1380B" w:rsidRPr="00BC78CF" w:rsidRDefault="00D1380B" w:rsidP="00D1380B">
            <w:pPr>
              <w:pStyle w:val="Tabletext"/>
              <w:rPr>
                <w:color w:val="FF0000"/>
              </w:rPr>
            </w:pPr>
            <w:r w:rsidRPr="00BC78CF">
              <w:rPr>
                <w:color w:val="FF0000"/>
              </w:rPr>
              <w:t>may, in writing:</w:t>
            </w:r>
          </w:p>
          <w:p w14:paraId="3604E0C1" w14:textId="77777777" w:rsidR="00D1380B" w:rsidRPr="00BC78CF" w:rsidRDefault="00D1380B" w:rsidP="00D1380B">
            <w:pPr>
              <w:pStyle w:val="Tablea"/>
              <w:rPr>
                <w:color w:val="FF0000"/>
              </w:rPr>
            </w:pPr>
            <w:r w:rsidRPr="00BC78CF">
              <w:rPr>
                <w:color w:val="FF0000"/>
              </w:rPr>
              <w:t>(a)</w:t>
            </w:r>
            <w:r w:rsidRPr="00BC78CF">
              <w:rPr>
                <w:color w:val="FF0000"/>
              </w:rPr>
              <w:tab/>
              <w:t>suspend; or</w:t>
            </w:r>
          </w:p>
          <w:p w14:paraId="742F25F3" w14:textId="77777777" w:rsidR="00D1380B" w:rsidRPr="00BC78CF" w:rsidRDefault="00D1380B" w:rsidP="00D1380B">
            <w:pPr>
              <w:pStyle w:val="Tablea"/>
              <w:rPr>
                <w:color w:val="FF0000"/>
              </w:rPr>
            </w:pPr>
            <w:r w:rsidRPr="00BC78CF">
              <w:rPr>
                <w:color w:val="FF0000"/>
              </w:rPr>
              <w:t>(b)</w:t>
            </w:r>
            <w:r w:rsidRPr="00BC78CF">
              <w:rPr>
                <w:color w:val="FF0000"/>
              </w:rPr>
              <w:tab/>
              <w:t>revoke;</w:t>
            </w:r>
          </w:p>
          <w:p w14:paraId="19ED1691" w14:textId="4FCFD350" w:rsidR="00D1380B" w:rsidRPr="00E1300D" w:rsidRDefault="00D1380B" w:rsidP="00D1380B">
            <w:pPr>
              <w:pStyle w:val="Tabletext"/>
              <w:rPr>
                <w:color w:val="000000" w:themeColor="text1"/>
              </w:rPr>
            </w:pPr>
            <w:r w:rsidRPr="00BC78CF">
              <w:rPr>
                <w:color w:val="FF0000"/>
              </w:rPr>
              <w:t>the person’s accreditation, as appropriate.</w:t>
            </w:r>
          </w:p>
        </w:tc>
      </w:tr>
    </w:tbl>
    <w:p w14:paraId="61BD00CB" w14:textId="77777777" w:rsidR="00CF0E3D" w:rsidRPr="00E1300D" w:rsidRDefault="00CF0E3D" w:rsidP="00CF0E3D">
      <w:pPr>
        <w:pStyle w:val="subsection"/>
        <w:rPr>
          <w:color w:val="000000" w:themeColor="text1"/>
        </w:rPr>
      </w:pPr>
      <w:r>
        <w:tab/>
      </w:r>
      <w:r>
        <w:rPr>
          <w:color w:val="000000" w:themeColor="text1"/>
        </w:rPr>
        <w:t>(2)</w:t>
      </w:r>
      <w:r w:rsidRPr="00E1300D">
        <w:rPr>
          <w:color w:val="000000" w:themeColor="text1"/>
        </w:rPr>
        <w:tab/>
        <w:t>For items 9 and 10:</w:t>
      </w:r>
    </w:p>
    <w:p w14:paraId="2AD4643B" w14:textId="77777777" w:rsidR="00CF0E3D" w:rsidRDefault="00CF0E3D" w:rsidP="00CF0E3D">
      <w:pPr>
        <w:pStyle w:val="paragraph"/>
      </w:pPr>
      <w:r w:rsidRPr="00724397">
        <w:tab/>
      </w:r>
      <w:r>
        <w:t>(a)</w:t>
      </w:r>
      <w:r w:rsidRPr="00724397">
        <w:tab/>
      </w:r>
      <w:r w:rsidRPr="00E1300D">
        <w:rPr>
          <w:b/>
          <w:i/>
          <w:color w:val="000000" w:themeColor="text1"/>
        </w:rPr>
        <w:t xml:space="preserve">relevant contract </w:t>
      </w:r>
      <w:r w:rsidRPr="00E1300D">
        <w:rPr>
          <w:color w:val="000000" w:themeColor="text1"/>
        </w:rPr>
        <w:t>means a</w:t>
      </w:r>
      <w:r w:rsidRPr="005C2347">
        <w:rPr>
          <w:color w:val="000000" w:themeColor="text1"/>
        </w:rPr>
        <w:t xml:space="preserve"> </w:t>
      </w:r>
      <w:r>
        <w:rPr>
          <w:color w:val="000000" w:themeColor="text1"/>
        </w:rPr>
        <w:t>standard form contract that is a consumer contract or a small business contract within the meaning of section 23 of the Australian Consumer Law</w:t>
      </w:r>
      <w:r w:rsidRPr="00E1300D">
        <w:rPr>
          <w:color w:val="000000" w:themeColor="text1"/>
        </w:rPr>
        <w:t xml:space="preserve"> that arises from a request by a CDR consumer under subrule </w:t>
      </w:r>
      <w:r>
        <w:t>4.3(1)</w:t>
      </w:r>
      <w:r w:rsidRPr="00E1300D">
        <w:rPr>
          <w:color w:val="000000" w:themeColor="text1"/>
        </w:rPr>
        <w:t>; and</w:t>
      </w:r>
    </w:p>
    <w:p w14:paraId="31160845" w14:textId="77777777" w:rsidR="00CF0E3D" w:rsidRPr="00724397" w:rsidRDefault="00CF0E3D" w:rsidP="00CF0E3D">
      <w:pPr>
        <w:pStyle w:val="paragraph"/>
      </w:pPr>
      <w:r w:rsidRPr="00724397">
        <w:tab/>
      </w:r>
      <w:r>
        <w:t>(b)</w:t>
      </w:r>
      <w:r w:rsidRPr="00724397">
        <w:tab/>
      </w:r>
      <w:r w:rsidRPr="00724397">
        <w:rPr>
          <w:b/>
          <w:i/>
        </w:rPr>
        <w:t xml:space="preserve">unfair </w:t>
      </w:r>
      <w:r w:rsidRPr="00724397">
        <w:t>has the meaning</w:t>
      </w:r>
      <w:r>
        <w:t xml:space="preserve"> </w:t>
      </w:r>
      <w:r w:rsidRPr="00724397">
        <w:t>given by section 24 of the Australian Consumer Law; and</w:t>
      </w:r>
    </w:p>
    <w:p w14:paraId="35481AEE"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(c)</w:t>
      </w:r>
      <w:r w:rsidRPr="00E1300D">
        <w:rPr>
          <w:color w:val="000000" w:themeColor="text1"/>
        </w:rPr>
        <w:tab/>
      </w:r>
      <w:r w:rsidRPr="00E1300D">
        <w:rPr>
          <w:b/>
          <w:i/>
          <w:color w:val="000000" w:themeColor="text1"/>
        </w:rPr>
        <w:t xml:space="preserve">Australian Consumer Law </w:t>
      </w:r>
      <w:r w:rsidRPr="00E1300D">
        <w:rPr>
          <w:color w:val="000000" w:themeColor="text1"/>
        </w:rPr>
        <w:t>has the meaning given by section 130 of the Act.</w:t>
      </w:r>
    </w:p>
    <w:p w14:paraId="2A3DEA77" w14:textId="77777777" w:rsidR="00CF0E3D" w:rsidRPr="00641354" w:rsidRDefault="00CF0E3D" w:rsidP="00CF0E3D">
      <w:pPr>
        <w:pStyle w:val="ActHead5"/>
        <w:rPr>
          <w:color w:val="000000"/>
        </w:rPr>
      </w:pPr>
      <w:bookmarkStart w:id="398" w:name="_Toc11771647"/>
      <w:bookmarkStart w:id="399" w:name="_Toc74916218"/>
      <w:r>
        <w:rPr>
          <w:color w:val="000000"/>
        </w:rPr>
        <w:t>5.18</w:t>
      </w:r>
      <w:r w:rsidRPr="00641354">
        <w:rPr>
          <w:color w:val="000000"/>
        </w:rPr>
        <w:t xml:space="preserve">  Revocation of accreditation—process</w:t>
      </w:r>
      <w:bookmarkEnd w:id="398"/>
      <w:bookmarkEnd w:id="399"/>
    </w:p>
    <w:p w14:paraId="24588E14" w14:textId="77777777" w:rsidR="00CF0E3D" w:rsidRPr="00641354" w:rsidRDefault="00CF0E3D" w:rsidP="00CF0E3D">
      <w:pPr>
        <w:pStyle w:val="subsection"/>
        <w:rPr>
          <w:color w:val="000000"/>
        </w:rPr>
      </w:pPr>
      <w:r w:rsidRPr="00641354">
        <w:rPr>
          <w:color w:val="000000"/>
        </w:rPr>
        <w:tab/>
      </w:r>
      <w:r>
        <w:rPr>
          <w:color w:val="000000"/>
        </w:rPr>
        <w:t>(1)</w:t>
      </w:r>
      <w:r w:rsidRPr="00641354">
        <w:rPr>
          <w:color w:val="000000"/>
        </w:rPr>
        <w:tab/>
        <w:t xml:space="preserve">Before revoking an accredited person’s </w:t>
      </w:r>
      <w:r>
        <w:rPr>
          <w:color w:val="000000"/>
        </w:rPr>
        <w:t>accreditation</w:t>
      </w:r>
      <w:r w:rsidRPr="00641354">
        <w:rPr>
          <w:color w:val="000000"/>
        </w:rPr>
        <w:t xml:space="preserve"> under </w:t>
      </w:r>
      <w:r>
        <w:rPr>
          <w:color w:val="000000"/>
        </w:rPr>
        <w:t>rule</w:t>
      </w:r>
      <w:r w:rsidRPr="00641354">
        <w:rPr>
          <w:color w:val="000000"/>
        </w:rPr>
        <w:t> </w:t>
      </w:r>
      <w:r>
        <w:rPr>
          <w:color w:val="000000"/>
        </w:rPr>
        <w:t>5.17</w:t>
      </w:r>
      <w:r w:rsidRPr="00641354">
        <w:rPr>
          <w:color w:val="000000"/>
        </w:rPr>
        <w:t>, the Data Recipient Accreditor must:</w:t>
      </w:r>
    </w:p>
    <w:p w14:paraId="744F6D9A" w14:textId="64D67F97" w:rsidR="00CF0E3D" w:rsidRDefault="00CF0E3D" w:rsidP="00CF0E3D">
      <w:pPr>
        <w:pStyle w:val="paragraph"/>
        <w:rPr>
          <w:color w:val="000000"/>
        </w:rPr>
      </w:pPr>
      <w:r w:rsidRPr="00641354">
        <w:rPr>
          <w:color w:val="000000"/>
        </w:rPr>
        <w:tab/>
      </w:r>
      <w:r>
        <w:rPr>
          <w:color w:val="000000"/>
        </w:rPr>
        <w:t>(a)</w:t>
      </w:r>
      <w:r w:rsidRPr="00641354">
        <w:rPr>
          <w:color w:val="000000"/>
        </w:rPr>
        <w:tab/>
        <w:t xml:space="preserve">inform the accredited person </w:t>
      </w:r>
      <w:r w:rsidR="00D1380B" w:rsidRPr="00BC78CF">
        <w:rPr>
          <w:color w:val="FF0000"/>
        </w:rPr>
        <w:t xml:space="preserve">and any associate </w:t>
      </w:r>
      <w:r w:rsidRPr="00641354">
        <w:rPr>
          <w:color w:val="000000"/>
        </w:rPr>
        <w:t>of</w:t>
      </w:r>
      <w:r>
        <w:rPr>
          <w:color w:val="000000"/>
        </w:rPr>
        <w:t>:</w:t>
      </w:r>
    </w:p>
    <w:p w14:paraId="262CB312" w14:textId="77777777" w:rsidR="00CF0E3D" w:rsidRDefault="00CF0E3D" w:rsidP="00CF0E3D">
      <w:pPr>
        <w:pStyle w:val="paragraphsub"/>
      </w:pPr>
      <w:r>
        <w:tab/>
        <w:t>(i)</w:t>
      </w:r>
      <w:r>
        <w:tab/>
      </w:r>
      <w:r w:rsidRPr="00641354">
        <w:t>the proposed revocation; and</w:t>
      </w:r>
    </w:p>
    <w:p w14:paraId="1BDE726A" w14:textId="77777777" w:rsidR="00CF0E3D" w:rsidRPr="007E69B9" w:rsidRDefault="00CF0E3D" w:rsidP="00CF0E3D">
      <w:pPr>
        <w:pStyle w:val="paragraphsub"/>
      </w:pPr>
      <w:r>
        <w:tab/>
        <w:t>(ii)</w:t>
      </w:r>
      <w:r w:rsidRPr="007E69B9">
        <w:tab/>
        <w:t>when it is proposed to take effect; and</w:t>
      </w:r>
    </w:p>
    <w:p w14:paraId="3FD7FAD0" w14:textId="08F6B1EE" w:rsidR="00CF0E3D" w:rsidRPr="00641354" w:rsidRDefault="00CF0E3D" w:rsidP="00CF0E3D">
      <w:pPr>
        <w:pStyle w:val="paragraph"/>
        <w:rPr>
          <w:color w:val="000000"/>
        </w:rPr>
      </w:pPr>
      <w:r w:rsidRPr="00641354">
        <w:rPr>
          <w:color w:val="000000"/>
        </w:rPr>
        <w:tab/>
      </w:r>
      <w:r>
        <w:rPr>
          <w:color w:val="000000"/>
        </w:rPr>
        <w:t>(b)</w:t>
      </w:r>
      <w:r w:rsidRPr="00641354">
        <w:rPr>
          <w:color w:val="000000"/>
        </w:rPr>
        <w:tab/>
        <w:t>give the accredited person</w:t>
      </w:r>
      <w:r w:rsidR="00D1380B">
        <w:rPr>
          <w:color w:val="000000"/>
        </w:rPr>
        <w:t xml:space="preserve"> </w:t>
      </w:r>
      <w:r w:rsidR="00D1380B" w:rsidRPr="00BC78CF">
        <w:rPr>
          <w:color w:val="FF0000"/>
        </w:rPr>
        <w:t>and any associate</w:t>
      </w:r>
      <w:r w:rsidRPr="00641354">
        <w:rPr>
          <w:color w:val="000000"/>
        </w:rPr>
        <w:t xml:space="preserve"> a reasonable opportunity to be heard in relation to the proposed revocation.</w:t>
      </w:r>
    </w:p>
    <w:p w14:paraId="5BBDE124" w14:textId="653A4AE5" w:rsidR="00CF0E3D" w:rsidRPr="00641354" w:rsidRDefault="00CF0E3D" w:rsidP="00CF0E3D">
      <w:pPr>
        <w:pStyle w:val="subsection"/>
        <w:rPr>
          <w:color w:val="000000"/>
        </w:rPr>
      </w:pPr>
      <w:r w:rsidRPr="00641354">
        <w:rPr>
          <w:color w:val="000000"/>
        </w:rPr>
        <w:tab/>
      </w:r>
      <w:r>
        <w:rPr>
          <w:color w:val="000000"/>
        </w:rPr>
        <w:t>(2)</w:t>
      </w:r>
      <w:r w:rsidRPr="00641354">
        <w:rPr>
          <w:color w:val="000000"/>
        </w:rPr>
        <w:tab/>
        <w:t xml:space="preserve">If the Accreditor revokes an accredited person’s accreditation under </w:t>
      </w:r>
      <w:r>
        <w:rPr>
          <w:color w:val="000000"/>
        </w:rPr>
        <w:t>rule</w:t>
      </w:r>
      <w:r w:rsidRPr="00641354">
        <w:rPr>
          <w:color w:val="000000"/>
        </w:rPr>
        <w:t> </w:t>
      </w:r>
      <w:r>
        <w:rPr>
          <w:color w:val="000000"/>
        </w:rPr>
        <w:t>5.17</w:t>
      </w:r>
      <w:r w:rsidRPr="00641354">
        <w:rPr>
          <w:color w:val="000000"/>
        </w:rPr>
        <w:t>, the Accreditor must notify the person</w:t>
      </w:r>
      <w:r w:rsidR="00D1380B">
        <w:rPr>
          <w:color w:val="000000"/>
        </w:rPr>
        <w:t xml:space="preserve"> </w:t>
      </w:r>
      <w:r w:rsidR="00D1380B" w:rsidRPr="00BC78CF">
        <w:rPr>
          <w:color w:val="FF0000"/>
        </w:rPr>
        <w:t>and any associate</w:t>
      </w:r>
      <w:r w:rsidRPr="00641354">
        <w:rPr>
          <w:color w:val="000000"/>
        </w:rPr>
        <w:t>, in writing, of the revocation.</w:t>
      </w:r>
    </w:p>
    <w:p w14:paraId="1E730B48" w14:textId="77777777" w:rsidR="00CF0E3D" w:rsidRPr="00641354" w:rsidRDefault="00CF0E3D" w:rsidP="00CF0E3D">
      <w:pPr>
        <w:pStyle w:val="notetext"/>
        <w:rPr>
          <w:color w:val="000000"/>
        </w:rPr>
      </w:pPr>
      <w:r w:rsidRPr="00641354">
        <w:rPr>
          <w:color w:val="000000"/>
        </w:rPr>
        <w:t>Note:</w:t>
      </w:r>
      <w:r w:rsidRPr="00641354">
        <w:rPr>
          <w:color w:val="000000"/>
        </w:rPr>
        <w:tab/>
        <w:t>The decision to revoke an accredited person’s accreditation can be reviewed by the Administrative Appeals Tribunal: see paragraph </w:t>
      </w:r>
      <w:r>
        <w:rPr>
          <w:color w:val="000000"/>
        </w:rPr>
        <w:t>9.2(b)</w:t>
      </w:r>
      <w:r w:rsidRPr="00641354">
        <w:rPr>
          <w:color w:val="000000"/>
        </w:rPr>
        <w:t>.</w:t>
      </w:r>
    </w:p>
    <w:p w14:paraId="1E4F6EA6" w14:textId="7B7E6E8D" w:rsidR="00D1380B" w:rsidRPr="00BC78CF" w:rsidRDefault="00D1380B" w:rsidP="00D1380B">
      <w:pPr>
        <w:pStyle w:val="subsection"/>
        <w:rPr>
          <w:color w:val="FF0000"/>
        </w:rPr>
      </w:pPr>
      <w:bookmarkStart w:id="400" w:name="_Toc11771648"/>
      <w:r w:rsidRPr="00BC78CF">
        <w:rPr>
          <w:color w:val="FF0000"/>
        </w:rPr>
        <w:tab/>
        <w:t>(3)</w:t>
      </w:r>
      <w:r w:rsidRPr="00BC78CF">
        <w:rPr>
          <w:color w:val="FF0000"/>
        </w:rPr>
        <w:tab/>
        <w:t xml:space="preserve">For this rule, each of the following is an </w:t>
      </w:r>
      <w:r w:rsidRPr="00BC78CF">
        <w:rPr>
          <w:b/>
          <w:i/>
          <w:color w:val="FF0000"/>
        </w:rPr>
        <w:t xml:space="preserve">associate </w:t>
      </w:r>
      <w:r w:rsidRPr="00BC78CF">
        <w:rPr>
          <w:color w:val="FF0000"/>
        </w:rPr>
        <w:t>of the accredited person:</w:t>
      </w:r>
    </w:p>
    <w:p w14:paraId="685490AC" w14:textId="3C640AFD" w:rsidR="00D1380B" w:rsidRPr="00BC78CF" w:rsidRDefault="00D1380B" w:rsidP="00D1380B">
      <w:pPr>
        <w:pStyle w:val="paragraph"/>
        <w:rPr>
          <w:color w:val="FF0000"/>
        </w:rPr>
      </w:pPr>
      <w:r w:rsidRPr="00BC78CF">
        <w:rPr>
          <w:color w:val="FF0000"/>
        </w:rPr>
        <w:tab/>
        <w:t>(a)</w:t>
      </w:r>
      <w:r w:rsidRPr="00BC78CF">
        <w:rPr>
          <w:color w:val="FF0000"/>
        </w:rPr>
        <w:tab/>
        <w:t>any sponsor;</w:t>
      </w:r>
    </w:p>
    <w:p w14:paraId="7F7370D8" w14:textId="08582F34" w:rsidR="00D1380B" w:rsidRPr="00BC78CF" w:rsidRDefault="00D1380B" w:rsidP="00D1380B">
      <w:pPr>
        <w:pStyle w:val="paragraph"/>
        <w:rPr>
          <w:color w:val="FF0000"/>
        </w:rPr>
      </w:pPr>
      <w:r w:rsidRPr="00BC78CF">
        <w:rPr>
          <w:color w:val="FF0000"/>
        </w:rPr>
        <w:tab/>
        <w:t>(b)</w:t>
      </w:r>
      <w:r w:rsidRPr="00BC78CF">
        <w:rPr>
          <w:color w:val="FF0000"/>
        </w:rPr>
        <w:tab/>
        <w:t>any affiliate.</w:t>
      </w:r>
    </w:p>
    <w:p w14:paraId="3E847D88" w14:textId="77777777" w:rsidR="00CF0E3D" w:rsidRPr="00641354" w:rsidRDefault="00CF0E3D" w:rsidP="00CF0E3D">
      <w:pPr>
        <w:pStyle w:val="ActHead5"/>
        <w:rPr>
          <w:color w:val="000000"/>
        </w:rPr>
      </w:pPr>
      <w:bookmarkStart w:id="401" w:name="_Toc74916219"/>
      <w:r>
        <w:t>5.19  Suspension of accreditation</w:t>
      </w:r>
      <w:r w:rsidRPr="00641354">
        <w:rPr>
          <w:color w:val="000000"/>
        </w:rPr>
        <w:t>—duration</w:t>
      </w:r>
      <w:bookmarkEnd w:id="400"/>
      <w:bookmarkEnd w:id="401"/>
    </w:p>
    <w:p w14:paraId="7BD0A2F8" w14:textId="77777777" w:rsidR="00CF0E3D" w:rsidRDefault="00CF0E3D" w:rsidP="00CF0E3D">
      <w:pPr>
        <w:pStyle w:val="subsection"/>
        <w:rPr>
          <w:color w:val="000000"/>
        </w:rPr>
      </w:pPr>
      <w:r w:rsidRPr="00641354">
        <w:rPr>
          <w:color w:val="000000"/>
        </w:rPr>
        <w:tab/>
      </w:r>
      <w:r>
        <w:rPr>
          <w:color w:val="000000"/>
        </w:rPr>
        <w:t>(1)</w:t>
      </w:r>
      <w:r>
        <w:rPr>
          <w:color w:val="000000"/>
        </w:rPr>
        <w:tab/>
        <w:t>Without limitation, t</w:t>
      </w:r>
      <w:r w:rsidRPr="00641354">
        <w:rPr>
          <w:color w:val="000000"/>
        </w:rPr>
        <w:t>he Data Recipient Accreditor</w:t>
      </w:r>
      <w:r>
        <w:rPr>
          <w:color w:val="000000"/>
        </w:rPr>
        <w:t xml:space="preserve">, </w:t>
      </w:r>
      <w:r w:rsidRPr="00641354">
        <w:rPr>
          <w:color w:val="000000"/>
        </w:rPr>
        <w:t xml:space="preserve">under </w:t>
      </w:r>
      <w:r>
        <w:rPr>
          <w:color w:val="000000"/>
        </w:rPr>
        <w:t>rule</w:t>
      </w:r>
      <w:r w:rsidRPr="00641354">
        <w:rPr>
          <w:color w:val="000000"/>
        </w:rPr>
        <w:t> </w:t>
      </w:r>
      <w:r>
        <w:rPr>
          <w:color w:val="000000"/>
        </w:rPr>
        <w:t>5.17:</w:t>
      </w:r>
    </w:p>
    <w:p w14:paraId="0E08F8C3" w14:textId="77777777" w:rsidR="00CF0E3D" w:rsidRPr="00641354" w:rsidRDefault="00CF0E3D" w:rsidP="00CF0E3D">
      <w:pPr>
        <w:pStyle w:val="paragraph"/>
      </w:pPr>
      <w:r>
        <w:tab/>
        <w:t>(a)</w:t>
      </w:r>
      <w:r>
        <w:tab/>
      </w:r>
      <w:r w:rsidRPr="00641354">
        <w:rPr>
          <w:color w:val="000000"/>
        </w:rPr>
        <w:t>may</w:t>
      </w:r>
      <w:r w:rsidRPr="00641354">
        <w:t xml:space="preserve"> suspend an accreditation:</w:t>
      </w:r>
    </w:p>
    <w:p w14:paraId="093BFD47" w14:textId="77777777" w:rsidR="00CF0E3D" w:rsidRPr="00641354" w:rsidRDefault="00CF0E3D" w:rsidP="00CF0E3D">
      <w:pPr>
        <w:pStyle w:val="paragraphsub"/>
      </w:pPr>
      <w:r>
        <w:tab/>
        <w:t>(i)</w:t>
      </w:r>
      <w:r>
        <w:tab/>
      </w:r>
      <w:r w:rsidRPr="00641354">
        <w:t>for a period of time that ends at a specified date; or</w:t>
      </w:r>
    </w:p>
    <w:p w14:paraId="5D703541" w14:textId="77777777" w:rsidR="00CF0E3D" w:rsidRDefault="00CF0E3D" w:rsidP="00CF0E3D">
      <w:pPr>
        <w:pStyle w:val="paragraphsub"/>
      </w:pPr>
      <w:r>
        <w:tab/>
        <w:t>(ii)</w:t>
      </w:r>
      <w:r>
        <w:tab/>
      </w:r>
      <w:r w:rsidRPr="00641354">
        <w:t>for a period of time that ends with the occurrence of a specified event</w:t>
      </w:r>
      <w:r>
        <w:t>; and</w:t>
      </w:r>
    </w:p>
    <w:p w14:paraId="34B7DBC0" w14:textId="77777777" w:rsidR="00CF0E3D" w:rsidRPr="00641354" w:rsidRDefault="00CF0E3D" w:rsidP="00CF0E3D">
      <w:pPr>
        <w:pStyle w:val="paragraph"/>
      </w:pPr>
      <w:r>
        <w:tab/>
        <w:t>(b)</w:t>
      </w:r>
      <w:r>
        <w:tab/>
      </w:r>
      <w:r w:rsidRPr="000374B5">
        <w:t>may, subject to the same conditions on which an accreditation was suspended, extend the suspension</w:t>
      </w:r>
      <w:r w:rsidRPr="000C3240">
        <w:rPr>
          <w:color w:val="000000" w:themeColor="text1"/>
        </w:rPr>
        <w:t>.</w:t>
      </w:r>
    </w:p>
    <w:p w14:paraId="0C762620" w14:textId="77777777" w:rsidR="00CF0E3D" w:rsidRDefault="00CF0E3D" w:rsidP="00CF0E3D">
      <w:pPr>
        <w:pStyle w:val="subsection"/>
      </w:pPr>
      <w:r>
        <w:tab/>
        <w:t>(2)</w:t>
      </w:r>
      <w:r>
        <w:tab/>
        <w:t xml:space="preserve">The Data Recipient Accreditor may, </w:t>
      </w:r>
      <w:r w:rsidRPr="000C3240">
        <w:rPr>
          <w:color w:val="000000" w:themeColor="text1"/>
        </w:rPr>
        <w:t xml:space="preserve">in writing, </w:t>
      </w:r>
      <w:r>
        <w:t>at any time, remove a suspension.</w:t>
      </w:r>
    </w:p>
    <w:p w14:paraId="2BA15725" w14:textId="77777777" w:rsidR="00CF0E3D" w:rsidRPr="00641354" w:rsidRDefault="00CF0E3D" w:rsidP="00CF0E3D">
      <w:pPr>
        <w:pStyle w:val="ActHead5"/>
        <w:rPr>
          <w:color w:val="000000"/>
        </w:rPr>
      </w:pPr>
      <w:bookmarkStart w:id="402" w:name="_Toc11771649"/>
      <w:bookmarkStart w:id="403" w:name="_Toc74916220"/>
      <w:r>
        <w:rPr>
          <w:color w:val="000000"/>
        </w:rPr>
        <w:t>5.20</w:t>
      </w:r>
      <w:r w:rsidRPr="00641354">
        <w:rPr>
          <w:color w:val="000000"/>
        </w:rPr>
        <w:t xml:space="preserve">  </w:t>
      </w:r>
      <w:r>
        <w:rPr>
          <w:color w:val="000000"/>
        </w:rPr>
        <w:t>General process for s</w:t>
      </w:r>
      <w:r w:rsidRPr="00641354">
        <w:rPr>
          <w:color w:val="000000"/>
        </w:rPr>
        <w:t>uspension of accreditation</w:t>
      </w:r>
      <w:r>
        <w:rPr>
          <w:color w:val="000000"/>
        </w:rPr>
        <w:t xml:space="preserve"> or extension of suspension</w:t>
      </w:r>
      <w:bookmarkEnd w:id="402"/>
      <w:bookmarkEnd w:id="403"/>
    </w:p>
    <w:p w14:paraId="6798DEC9" w14:textId="77777777" w:rsidR="00CF0E3D" w:rsidRDefault="00CF0E3D" w:rsidP="00CF0E3D">
      <w:pPr>
        <w:pStyle w:val="subsection"/>
      </w:pPr>
      <w:r>
        <w:tab/>
        <w:t>(1)</w:t>
      </w:r>
      <w:r>
        <w:tab/>
        <w:t>This rule applies subject to rule 5.21.</w:t>
      </w:r>
    </w:p>
    <w:p w14:paraId="6EA7B5A2" w14:textId="77777777" w:rsidR="00CF0E3D" w:rsidRDefault="00CF0E3D" w:rsidP="00CF0E3D">
      <w:pPr>
        <w:pStyle w:val="subsection"/>
      </w:pPr>
      <w:r w:rsidRPr="00641354">
        <w:rPr>
          <w:color w:val="000000"/>
        </w:rPr>
        <w:tab/>
      </w:r>
      <w:r>
        <w:rPr>
          <w:color w:val="000000"/>
        </w:rPr>
        <w:t>(2)</w:t>
      </w:r>
      <w:r w:rsidRPr="00641354">
        <w:rPr>
          <w:color w:val="000000"/>
        </w:rPr>
        <w:tab/>
      </w:r>
      <w:r>
        <w:rPr>
          <w:color w:val="000000" w:themeColor="text1"/>
        </w:rPr>
        <w:t>B</w:t>
      </w:r>
      <w:r w:rsidRPr="00641354">
        <w:rPr>
          <w:color w:val="000000"/>
        </w:rPr>
        <w:t xml:space="preserve">efore suspending an </w:t>
      </w:r>
      <w:r w:rsidRPr="000C3240">
        <w:rPr>
          <w:color w:val="000000" w:themeColor="text1"/>
        </w:rPr>
        <w:t xml:space="preserve">accreditation </w:t>
      </w:r>
      <w:r w:rsidRPr="00641354">
        <w:rPr>
          <w:color w:val="000000"/>
        </w:rPr>
        <w:t xml:space="preserve">under </w:t>
      </w:r>
      <w:r>
        <w:rPr>
          <w:color w:val="000000"/>
        </w:rPr>
        <w:t>rule</w:t>
      </w:r>
      <w:r w:rsidRPr="00641354">
        <w:rPr>
          <w:color w:val="000000"/>
        </w:rPr>
        <w:t> </w:t>
      </w:r>
      <w:r>
        <w:rPr>
          <w:color w:val="000000"/>
        </w:rPr>
        <w:t>5.17</w:t>
      </w:r>
      <w:r w:rsidRPr="00641354">
        <w:rPr>
          <w:color w:val="000000"/>
        </w:rPr>
        <w:t xml:space="preserve">, </w:t>
      </w:r>
      <w:r w:rsidRPr="000C3240">
        <w:rPr>
          <w:color w:val="000000" w:themeColor="text1"/>
        </w:rPr>
        <w:t xml:space="preserve">or extending a suspension, </w:t>
      </w:r>
      <w:r w:rsidRPr="00641354">
        <w:rPr>
          <w:color w:val="000000"/>
        </w:rPr>
        <w:t>the Data Recipient Accreditor must</w:t>
      </w:r>
      <w:r>
        <w:t>:</w:t>
      </w:r>
    </w:p>
    <w:p w14:paraId="32F00848" w14:textId="77777777" w:rsidR="00CF0E3D" w:rsidRDefault="00CF0E3D" w:rsidP="00CF0E3D">
      <w:pPr>
        <w:pStyle w:val="paragraph"/>
        <w:rPr>
          <w:color w:val="000000"/>
        </w:rPr>
      </w:pPr>
      <w:r w:rsidRPr="00641354">
        <w:rPr>
          <w:color w:val="000000"/>
        </w:rPr>
        <w:tab/>
      </w:r>
      <w:r>
        <w:rPr>
          <w:color w:val="000000"/>
        </w:rPr>
        <w:t>(a)</w:t>
      </w:r>
      <w:r w:rsidRPr="00641354">
        <w:rPr>
          <w:color w:val="000000"/>
        </w:rPr>
        <w:tab/>
        <w:t>inform the accredited person of</w:t>
      </w:r>
      <w:r>
        <w:rPr>
          <w:color w:val="000000"/>
        </w:rPr>
        <w:t>:</w:t>
      </w:r>
    </w:p>
    <w:p w14:paraId="3D7A7285" w14:textId="77777777" w:rsidR="00CF0E3D" w:rsidRDefault="00CF0E3D" w:rsidP="00CF0E3D">
      <w:pPr>
        <w:pStyle w:val="paragraphsub"/>
      </w:pPr>
      <w:r>
        <w:tab/>
        <w:t>(i)</w:t>
      </w:r>
      <w:r>
        <w:tab/>
      </w:r>
      <w:r w:rsidRPr="00641354">
        <w:t xml:space="preserve">the proposed suspension </w:t>
      </w:r>
      <w:r w:rsidRPr="000C3240">
        <w:rPr>
          <w:color w:val="000000" w:themeColor="text1"/>
        </w:rPr>
        <w:t xml:space="preserve">or extension </w:t>
      </w:r>
      <w:r w:rsidRPr="00641354">
        <w:t>(including the proposed duration); and</w:t>
      </w:r>
    </w:p>
    <w:p w14:paraId="1D883348" w14:textId="77777777" w:rsidR="00CF0E3D" w:rsidRPr="00641354" w:rsidRDefault="00CF0E3D" w:rsidP="00CF0E3D">
      <w:pPr>
        <w:pStyle w:val="paragraphsub"/>
      </w:pPr>
      <w:r>
        <w:tab/>
        <w:t>(ii)</w:t>
      </w:r>
      <w:r w:rsidRPr="007E69B9">
        <w:tab/>
        <w:t>in the case of a suspension—when it is proposed to take effect; and</w:t>
      </w:r>
    </w:p>
    <w:p w14:paraId="0D241844" w14:textId="77777777" w:rsidR="00CF0E3D" w:rsidRDefault="00CF0E3D" w:rsidP="00CF0E3D">
      <w:pPr>
        <w:pStyle w:val="paragraph"/>
        <w:rPr>
          <w:color w:val="000000"/>
        </w:rPr>
      </w:pPr>
      <w:r w:rsidRPr="00641354">
        <w:rPr>
          <w:color w:val="000000"/>
        </w:rPr>
        <w:tab/>
      </w:r>
      <w:r>
        <w:rPr>
          <w:color w:val="000000"/>
        </w:rPr>
        <w:t>(b)</w:t>
      </w:r>
      <w:r w:rsidRPr="00641354">
        <w:rPr>
          <w:color w:val="000000"/>
        </w:rPr>
        <w:tab/>
        <w:t>give the accredited person a reasonable opportunity to be heard in relation to the proposed suspension</w:t>
      </w:r>
      <w:r>
        <w:rPr>
          <w:color w:val="000000"/>
        </w:rPr>
        <w:t xml:space="preserve"> </w:t>
      </w:r>
      <w:r w:rsidRPr="000C3240">
        <w:rPr>
          <w:color w:val="000000" w:themeColor="text1"/>
        </w:rPr>
        <w:t>or extension</w:t>
      </w:r>
      <w:r w:rsidRPr="00641354">
        <w:rPr>
          <w:color w:val="000000"/>
        </w:rPr>
        <w:t>.</w:t>
      </w:r>
    </w:p>
    <w:p w14:paraId="3CC3AAA4" w14:textId="77777777" w:rsidR="00CF0E3D" w:rsidRDefault="00CF0E3D" w:rsidP="00CF0E3D">
      <w:pPr>
        <w:pStyle w:val="subsection"/>
        <w:rPr>
          <w:color w:val="000000"/>
        </w:rPr>
      </w:pPr>
      <w:r w:rsidRPr="00641354">
        <w:rPr>
          <w:color w:val="000000"/>
        </w:rPr>
        <w:tab/>
      </w:r>
      <w:r>
        <w:rPr>
          <w:color w:val="000000"/>
        </w:rPr>
        <w:t>(3)</w:t>
      </w:r>
      <w:r w:rsidRPr="00641354">
        <w:rPr>
          <w:color w:val="000000"/>
        </w:rPr>
        <w:tab/>
        <w:t xml:space="preserve">If the Accreditor suspends an accredited person’s accreditation under </w:t>
      </w:r>
      <w:r>
        <w:rPr>
          <w:color w:val="000000"/>
        </w:rPr>
        <w:t>rule</w:t>
      </w:r>
      <w:r w:rsidRPr="00641354">
        <w:rPr>
          <w:color w:val="000000"/>
        </w:rPr>
        <w:t> </w:t>
      </w:r>
      <w:r>
        <w:rPr>
          <w:color w:val="000000"/>
        </w:rPr>
        <w:t>5.17</w:t>
      </w:r>
      <w:r w:rsidRPr="00641354">
        <w:rPr>
          <w:color w:val="000000"/>
        </w:rPr>
        <w:t>, the Accreditor must notify the person, in writing, of the suspension and the period of the suspension.</w:t>
      </w:r>
    </w:p>
    <w:p w14:paraId="3976296C" w14:textId="77777777" w:rsidR="00CF0E3D" w:rsidRPr="00641354" w:rsidRDefault="00CF0E3D" w:rsidP="00CF0E3D">
      <w:pPr>
        <w:pStyle w:val="notetext"/>
        <w:rPr>
          <w:color w:val="000000"/>
        </w:rPr>
      </w:pPr>
      <w:r w:rsidRPr="00641354">
        <w:rPr>
          <w:color w:val="000000"/>
        </w:rPr>
        <w:t>Note:</w:t>
      </w:r>
      <w:r w:rsidRPr="00641354">
        <w:rPr>
          <w:color w:val="000000"/>
        </w:rPr>
        <w:tab/>
        <w:t xml:space="preserve">The decision to </w:t>
      </w:r>
      <w:r w:rsidRPr="000C3240">
        <w:rPr>
          <w:color w:val="000000" w:themeColor="text1"/>
        </w:rPr>
        <w:t xml:space="preserve">suspend </w:t>
      </w:r>
      <w:r w:rsidRPr="00641354">
        <w:rPr>
          <w:color w:val="000000"/>
        </w:rPr>
        <w:t>an accredited person’s accreditation can be reviewed by the Administrative Appeals Tribunal: see paragraph </w:t>
      </w:r>
      <w:r>
        <w:rPr>
          <w:color w:val="000000"/>
        </w:rPr>
        <w:t>9.2(b)</w:t>
      </w:r>
      <w:r w:rsidRPr="00641354">
        <w:rPr>
          <w:color w:val="000000"/>
        </w:rPr>
        <w:t>.</w:t>
      </w:r>
    </w:p>
    <w:p w14:paraId="051FF7E5" w14:textId="77777777" w:rsidR="00CF0E3D" w:rsidRPr="000C3240" w:rsidRDefault="00CF0E3D" w:rsidP="00CF0E3D">
      <w:pPr>
        <w:pStyle w:val="subsection"/>
        <w:rPr>
          <w:color w:val="000000" w:themeColor="text1"/>
        </w:rPr>
      </w:pPr>
      <w:r w:rsidRPr="000C3240">
        <w:rPr>
          <w:color w:val="000000" w:themeColor="text1"/>
        </w:rPr>
        <w:tab/>
      </w:r>
      <w:r>
        <w:rPr>
          <w:color w:val="000000" w:themeColor="text1"/>
        </w:rPr>
        <w:t>(4)</w:t>
      </w:r>
      <w:r w:rsidRPr="000C3240">
        <w:rPr>
          <w:color w:val="000000" w:themeColor="text1"/>
        </w:rPr>
        <w:tab/>
        <w:t>If the Accreditor extends a suspension, the Accreditor must notify the person, in writing, of the extension and the period of the suspension as extended.</w:t>
      </w:r>
    </w:p>
    <w:p w14:paraId="3675AFA2" w14:textId="77777777" w:rsidR="00CF0E3D" w:rsidRDefault="00CF0E3D" w:rsidP="00CF0E3D">
      <w:pPr>
        <w:pStyle w:val="notetext"/>
        <w:rPr>
          <w:color w:val="000000" w:themeColor="text1"/>
        </w:rPr>
      </w:pPr>
      <w:r w:rsidRPr="000C3240">
        <w:rPr>
          <w:color w:val="000000" w:themeColor="text1"/>
        </w:rPr>
        <w:t>Note:</w:t>
      </w:r>
      <w:r w:rsidRPr="000C3240">
        <w:rPr>
          <w:color w:val="000000" w:themeColor="text1"/>
        </w:rPr>
        <w:tab/>
        <w:t>The decision to extend a suspension can be reviewed by the Administrative Appeals Tribunal: see paragraph </w:t>
      </w:r>
      <w:r>
        <w:rPr>
          <w:color w:val="000000" w:themeColor="text1"/>
        </w:rPr>
        <w:t>9.2(b)</w:t>
      </w:r>
      <w:r w:rsidRPr="000C3240">
        <w:rPr>
          <w:color w:val="000000" w:themeColor="text1"/>
        </w:rPr>
        <w:t>.</w:t>
      </w:r>
    </w:p>
    <w:p w14:paraId="5BDFB078" w14:textId="77777777" w:rsidR="00CF0E3D" w:rsidRDefault="00CF0E3D" w:rsidP="00CF0E3D">
      <w:pPr>
        <w:pStyle w:val="ActHead5"/>
      </w:pPr>
      <w:bookmarkStart w:id="404" w:name="_Toc11771650"/>
      <w:bookmarkStart w:id="405" w:name="_Toc74916221"/>
      <w:r>
        <w:t>5.21  P</w:t>
      </w:r>
      <w:r w:rsidRPr="00641354">
        <w:rPr>
          <w:color w:val="000000"/>
        </w:rPr>
        <w:t>rocess</w:t>
      </w:r>
      <w:r>
        <w:t xml:space="preserve"> for urgent suspensions or extensions</w:t>
      </w:r>
      <w:bookmarkEnd w:id="404"/>
      <w:bookmarkEnd w:id="405"/>
    </w:p>
    <w:p w14:paraId="2F81C489" w14:textId="77777777" w:rsidR="00CF0E3D" w:rsidRDefault="00CF0E3D" w:rsidP="00CF0E3D">
      <w:pPr>
        <w:pStyle w:val="subsection"/>
        <w:rPr>
          <w:color w:val="000000" w:themeColor="text1"/>
        </w:rPr>
      </w:pPr>
      <w:r w:rsidRPr="00595E3D">
        <w:rPr>
          <w:color w:val="000000" w:themeColor="text1"/>
        </w:rPr>
        <w:tab/>
      </w:r>
      <w:r>
        <w:rPr>
          <w:color w:val="000000" w:themeColor="text1"/>
        </w:rPr>
        <w:t>(1)</w:t>
      </w:r>
      <w:r w:rsidRPr="00595E3D">
        <w:rPr>
          <w:color w:val="000000" w:themeColor="text1"/>
        </w:rPr>
        <w:tab/>
      </w:r>
      <w:r>
        <w:rPr>
          <w:color w:val="000000" w:themeColor="text1"/>
        </w:rPr>
        <w:t>This rule applies if:</w:t>
      </w:r>
    </w:p>
    <w:p w14:paraId="205D868D" w14:textId="77777777" w:rsidR="00CF0E3D" w:rsidRDefault="00CF0E3D" w:rsidP="00CF0E3D">
      <w:pPr>
        <w:pStyle w:val="paragraph"/>
      </w:pPr>
      <w:r>
        <w:tab/>
        <w:t>(a)</w:t>
      </w:r>
      <w:r>
        <w:tab/>
        <w:t xml:space="preserve">the Data Recipient Accreditor proposes to </w:t>
      </w:r>
      <w:r w:rsidRPr="00595E3D">
        <w:t>suspen</w:t>
      </w:r>
      <w:r>
        <w:t>d an accreditation, or extend a suspension,</w:t>
      </w:r>
      <w:r w:rsidRPr="00595E3D">
        <w:t xml:space="preserve"> on urgent grounds</w:t>
      </w:r>
      <w:r>
        <w:t>; and</w:t>
      </w:r>
    </w:p>
    <w:p w14:paraId="3EFF8D57" w14:textId="77777777" w:rsidR="00CF0E3D" w:rsidRDefault="00CF0E3D" w:rsidP="00CF0E3D">
      <w:pPr>
        <w:pStyle w:val="paragraph"/>
      </w:pPr>
      <w:r>
        <w:tab/>
        <w:t>(b)</w:t>
      </w:r>
      <w:r>
        <w:tab/>
        <w:t>in the opinion of the Data Recipient Accreditor, because of the urgency, it is not possible to comply with rule 5.20 prior to the suspension or extension.</w:t>
      </w:r>
    </w:p>
    <w:p w14:paraId="6CDE0C55" w14:textId="77777777" w:rsidR="00CF0E3D" w:rsidRDefault="00CF0E3D" w:rsidP="00CF0E3D">
      <w:pPr>
        <w:pStyle w:val="subsection"/>
      </w:pPr>
      <w:r>
        <w:tab/>
        <w:t>(2)</w:t>
      </w:r>
      <w:r>
        <w:tab/>
        <w:t>The Accreditor may suspend the accreditation, or extend the suspension, without first complying with rule 5.20.</w:t>
      </w:r>
    </w:p>
    <w:p w14:paraId="1D8C0EE5" w14:textId="77777777" w:rsidR="00CF0E3D" w:rsidRPr="00595E3D" w:rsidRDefault="00CF0E3D" w:rsidP="00CF0E3D">
      <w:pPr>
        <w:pStyle w:val="subsection"/>
      </w:pPr>
      <w:r>
        <w:tab/>
        <w:t>(3)</w:t>
      </w:r>
      <w:r>
        <w:tab/>
        <w:t>However, as soon as practicable after suspending the accreditation or extending the suspension, the Accreditor must</w:t>
      </w:r>
      <w:r w:rsidRPr="00595E3D">
        <w:t>:</w:t>
      </w:r>
    </w:p>
    <w:p w14:paraId="21241DF7" w14:textId="77777777" w:rsidR="00CF0E3D" w:rsidRPr="00595E3D" w:rsidRDefault="00CF0E3D" w:rsidP="00CF0E3D">
      <w:pPr>
        <w:pStyle w:val="paragraph"/>
        <w:rPr>
          <w:color w:val="000000" w:themeColor="text1"/>
        </w:rPr>
      </w:pPr>
      <w:r w:rsidRPr="00595E3D">
        <w:rPr>
          <w:color w:val="000000" w:themeColor="text1"/>
        </w:rPr>
        <w:tab/>
      </w:r>
      <w:r>
        <w:rPr>
          <w:color w:val="000000" w:themeColor="text1"/>
        </w:rPr>
        <w:t>(a)</w:t>
      </w:r>
      <w:r w:rsidRPr="00595E3D">
        <w:rPr>
          <w:color w:val="000000" w:themeColor="text1"/>
        </w:rPr>
        <w:tab/>
      </w:r>
      <w:r>
        <w:rPr>
          <w:color w:val="000000" w:themeColor="text1"/>
        </w:rPr>
        <w:t>inform the accredited person of the suspension or extension</w:t>
      </w:r>
      <w:r w:rsidRPr="00595E3D">
        <w:rPr>
          <w:color w:val="000000" w:themeColor="text1"/>
        </w:rPr>
        <w:t xml:space="preserve">; </w:t>
      </w:r>
      <w:r>
        <w:rPr>
          <w:color w:val="000000" w:themeColor="text1"/>
        </w:rPr>
        <w:t>and</w:t>
      </w:r>
    </w:p>
    <w:p w14:paraId="019E5E1B" w14:textId="77777777" w:rsidR="00CF0E3D" w:rsidRPr="00B6392A" w:rsidRDefault="00CF0E3D" w:rsidP="00CF0E3D">
      <w:pPr>
        <w:pStyle w:val="paragraph"/>
      </w:pPr>
      <w:r w:rsidRPr="00595E3D">
        <w:rPr>
          <w:color w:val="000000" w:themeColor="text1"/>
        </w:rPr>
        <w:tab/>
      </w:r>
      <w:r>
        <w:rPr>
          <w:color w:val="000000" w:themeColor="text1"/>
        </w:rPr>
        <w:t>(b)</w:t>
      </w:r>
      <w:r w:rsidRPr="00595E3D">
        <w:rPr>
          <w:color w:val="000000" w:themeColor="text1"/>
        </w:rPr>
        <w:tab/>
      </w:r>
      <w:r>
        <w:rPr>
          <w:color w:val="000000" w:themeColor="text1"/>
        </w:rPr>
        <w:t>give the accredited person a reasonable opportunity to be heard in relation to whether the suspension should be removed</w:t>
      </w:r>
      <w:r w:rsidRPr="00595E3D">
        <w:rPr>
          <w:color w:val="000000" w:themeColor="text1"/>
        </w:rPr>
        <w:t>.</w:t>
      </w:r>
    </w:p>
    <w:p w14:paraId="338CEF53" w14:textId="77777777" w:rsidR="00CF0E3D" w:rsidRPr="007E69B9" w:rsidRDefault="00CF0E3D" w:rsidP="00CF0E3D">
      <w:pPr>
        <w:pStyle w:val="ActHead5"/>
      </w:pPr>
      <w:bookmarkStart w:id="406" w:name="_Toc11771651"/>
      <w:bookmarkStart w:id="407" w:name="_Toc74916222"/>
      <w:r>
        <w:t>5.22</w:t>
      </w:r>
      <w:r w:rsidRPr="007E69B9">
        <w:t xml:space="preserve">  When </w:t>
      </w:r>
      <w:r w:rsidRPr="00005026">
        <w:t xml:space="preserve">surrender, </w:t>
      </w:r>
      <w:r w:rsidRPr="007E69B9">
        <w:t>revocation or suspension takes effect</w:t>
      </w:r>
      <w:bookmarkEnd w:id="406"/>
      <w:bookmarkEnd w:id="407"/>
    </w:p>
    <w:p w14:paraId="40C621DD" w14:textId="77777777" w:rsidR="00CF0E3D" w:rsidRDefault="00CF0E3D" w:rsidP="00CF0E3D">
      <w:pPr>
        <w:pStyle w:val="subsection"/>
      </w:pPr>
      <w:r w:rsidRPr="00005026">
        <w:tab/>
      </w:r>
      <w:r w:rsidRPr="00005026">
        <w:tab/>
        <w:t>A surrender, revocation or suspension takes effect when the fact that the accreditation has been surrendered, revoked or suspended is included in the Register of Accredited Persons.</w:t>
      </w:r>
    </w:p>
    <w:p w14:paraId="0C0DF10B" w14:textId="77777777" w:rsidR="00CF0E3D" w:rsidRDefault="00CF0E3D" w:rsidP="00CF0E3D">
      <w:pPr>
        <w:pStyle w:val="ActHead5"/>
      </w:pPr>
      <w:bookmarkStart w:id="408" w:name="_Toc11771653"/>
      <w:bookmarkStart w:id="409" w:name="_Toc74916223"/>
      <w:r>
        <w:t>5.23</w:t>
      </w:r>
      <w:r w:rsidRPr="00A10C92">
        <w:t xml:space="preserve">  Consequences of surrender, suspension or revocation of accreditation</w:t>
      </w:r>
      <w:bookmarkEnd w:id="408"/>
      <w:bookmarkEnd w:id="409"/>
    </w:p>
    <w:p w14:paraId="0DE4F563" w14:textId="77777777" w:rsidR="00CF0E3D" w:rsidRPr="002C34FA" w:rsidRDefault="00CF0E3D" w:rsidP="00CF0E3D">
      <w:pPr>
        <w:pStyle w:val="SubsectionHead"/>
      </w:pPr>
      <w:r w:rsidRPr="002C34FA">
        <w:t>Application of rule</w:t>
      </w:r>
    </w:p>
    <w:p w14:paraId="23A687E5" w14:textId="77777777" w:rsidR="00CF0E3D" w:rsidRDefault="00CF0E3D" w:rsidP="00CF0E3D">
      <w:pPr>
        <w:pStyle w:val="subsection"/>
      </w:pPr>
      <w:r>
        <w:tab/>
        <w:t>(1)</w:t>
      </w:r>
      <w:r>
        <w:tab/>
        <w:t xml:space="preserve">This rule applies if an accredited person’s accreditation is </w:t>
      </w:r>
      <w:r w:rsidRPr="006F4A42">
        <w:t xml:space="preserve">surrendered, </w:t>
      </w:r>
      <w:r>
        <w:t>suspended or revoked.</w:t>
      </w:r>
    </w:p>
    <w:p w14:paraId="46B8271F" w14:textId="77777777" w:rsidR="00CF0E3D" w:rsidRPr="002C34FA" w:rsidRDefault="00CF0E3D" w:rsidP="00CF0E3D">
      <w:pPr>
        <w:pStyle w:val="SubsectionHead"/>
      </w:pPr>
      <w:r w:rsidRPr="002C34FA">
        <w:t>O</w:t>
      </w:r>
      <w:r w:rsidRPr="00005026">
        <w:t>ngoing o</w:t>
      </w:r>
      <w:r w:rsidRPr="002C34FA">
        <w:t xml:space="preserve">bligations </w:t>
      </w:r>
      <w:r w:rsidRPr="00005026">
        <w:t>following surrender, suspension or revocation of an accreditation</w:t>
      </w:r>
    </w:p>
    <w:p w14:paraId="21C19C51" w14:textId="77777777" w:rsidR="00CF0E3D" w:rsidRPr="00E1300D" w:rsidRDefault="00CF0E3D" w:rsidP="00CF0E3D">
      <w:pPr>
        <w:pStyle w:val="subsection"/>
        <w:rPr>
          <w:color w:val="000000" w:themeColor="text1"/>
        </w:rPr>
      </w:pPr>
      <w:r>
        <w:tab/>
        <w:t>(2)</w:t>
      </w:r>
      <w:r>
        <w:tab/>
      </w:r>
      <w:r w:rsidRPr="00E1300D">
        <w:rPr>
          <w:color w:val="000000" w:themeColor="text1"/>
        </w:rPr>
        <w:t>If the person’s accreditation has been surrendered or revoked, the person must comply with the following provisions as if the person still were an accredited data recipient:</w:t>
      </w:r>
    </w:p>
    <w:p w14:paraId="1B9690EA"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(a)</w:t>
      </w:r>
      <w:r w:rsidRPr="00E1300D">
        <w:rPr>
          <w:color w:val="000000" w:themeColor="text1"/>
        </w:rPr>
        <w:tab/>
        <w:t>section 56EI of the Act (privacy safeguard 6);</w:t>
      </w:r>
    </w:p>
    <w:p w14:paraId="7A423167"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(b)</w:t>
      </w:r>
      <w:r w:rsidRPr="00E1300D">
        <w:rPr>
          <w:color w:val="000000" w:themeColor="text1"/>
        </w:rPr>
        <w:tab/>
        <w:t>section 56EJ of the Act (privacy safeguard 7);</w:t>
      </w:r>
    </w:p>
    <w:p w14:paraId="586E38CC"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(c)</w:t>
      </w:r>
      <w:r w:rsidRPr="00E1300D">
        <w:rPr>
          <w:color w:val="000000" w:themeColor="text1"/>
        </w:rPr>
        <w:tab/>
        <w:t>section 56EO of the Act (privacy safeguard 12).</w:t>
      </w:r>
    </w:p>
    <w:p w14:paraId="1785D808" w14:textId="77777777" w:rsidR="00CF0E3D" w:rsidRPr="00E1300D" w:rsidRDefault="00CF0E3D" w:rsidP="00CF0E3D">
      <w:pPr>
        <w:pStyle w:val="notetext"/>
        <w:rPr>
          <w:color w:val="000000" w:themeColor="text1"/>
        </w:rPr>
      </w:pPr>
      <w:r w:rsidRPr="00E1300D">
        <w:rPr>
          <w:color w:val="000000" w:themeColor="text1"/>
        </w:rPr>
        <w:t>Note:</w:t>
      </w:r>
      <w:r w:rsidRPr="00E1300D">
        <w:rPr>
          <w:color w:val="000000" w:themeColor="text1"/>
        </w:rPr>
        <w:tab/>
        <w:t xml:space="preserve">This subrule </w:t>
      </w:r>
      <w:r>
        <w:rPr>
          <w:color w:val="000000" w:themeColor="text1"/>
        </w:rPr>
        <w:t xml:space="preserve">is </w:t>
      </w:r>
      <w:r w:rsidRPr="00E1300D">
        <w:rPr>
          <w:color w:val="000000" w:themeColor="text1"/>
        </w:rPr>
        <w:t>a civil penalty provision (see rule </w:t>
      </w:r>
      <w:r>
        <w:rPr>
          <w:color w:val="000000" w:themeColor="text1"/>
        </w:rPr>
        <w:t>9.8</w:t>
      </w:r>
      <w:r w:rsidRPr="00E1300D">
        <w:rPr>
          <w:color w:val="000000" w:themeColor="text1"/>
        </w:rPr>
        <w:t>).</w:t>
      </w:r>
    </w:p>
    <w:p w14:paraId="04BD704B" w14:textId="77777777" w:rsidR="00CF0E3D" w:rsidRDefault="00CF0E3D" w:rsidP="00CF0E3D">
      <w:pPr>
        <w:pStyle w:val="subsection"/>
      </w:pPr>
      <w:r>
        <w:tab/>
        <w:t>(3)</w:t>
      </w:r>
      <w:r>
        <w:tab/>
        <w:t>The person:</w:t>
      </w:r>
    </w:p>
    <w:p w14:paraId="7289A85D" w14:textId="77777777" w:rsidR="00CF0E3D" w:rsidRDefault="00CF0E3D" w:rsidP="00CF0E3D">
      <w:pPr>
        <w:pStyle w:val="paragraph"/>
      </w:pPr>
      <w:r>
        <w:tab/>
        <w:t>(a)</w:t>
      </w:r>
      <w:r>
        <w:tab/>
        <w:t>must not</w:t>
      </w:r>
      <w:r w:rsidRPr="000C3240">
        <w:rPr>
          <w:color w:val="000000" w:themeColor="text1"/>
        </w:rPr>
        <w:t xml:space="preserve">, after the revocation </w:t>
      </w:r>
      <w:r>
        <w:rPr>
          <w:color w:val="000000" w:themeColor="text1"/>
        </w:rPr>
        <w:t xml:space="preserve">or surrender, </w:t>
      </w:r>
      <w:r w:rsidRPr="000C3240">
        <w:rPr>
          <w:color w:val="000000" w:themeColor="text1"/>
        </w:rPr>
        <w:t xml:space="preserve">or while the </w:t>
      </w:r>
      <w:r w:rsidRPr="006F4A42">
        <w:t>accreditation</w:t>
      </w:r>
      <w:r w:rsidRPr="000C3240">
        <w:rPr>
          <w:color w:val="000000" w:themeColor="text1"/>
        </w:rPr>
        <w:t xml:space="preserve"> is suspended,</w:t>
      </w:r>
      <w:r>
        <w:t xml:space="preserve"> </w:t>
      </w:r>
      <w:r w:rsidRPr="007E69B9">
        <w:t xml:space="preserve">seek to </w:t>
      </w:r>
      <w:r w:rsidRPr="000C3240">
        <w:rPr>
          <w:color w:val="000000" w:themeColor="text1"/>
        </w:rPr>
        <w:t xml:space="preserve">collect </w:t>
      </w:r>
      <w:r>
        <w:t>any, or any further, CDR data under these rules; and</w:t>
      </w:r>
    </w:p>
    <w:p w14:paraId="260CDDB1" w14:textId="77777777" w:rsidR="00CF0E3D" w:rsidRDefault="00CF0E3D" w:rsidP="00CF0E3D">
      <w:pPr>
        <w:pStyle w:val="paragraph"/>
      </w:pPr>
      <w:r>
        <w:tab/>
        <w:t>(b)</w:t>
      </w:r>
      <w:r>
        <w:tab/>
        <w:t xml:space="preserve">if the person has collected any CDR data under these rules—must notify </w:t>
      </w:r>
      <w:r w:rsidRPr="000C3240">
        <w:rPr>
          <w:color w:val="000000" w:themeColor="text1"/>
        </w:rPr>
        <w:t xml:space="preserve">each </w:t>
      </w:r>
      <w:r>
        <w:t>person who has consented to the accredited person collecting CDR data for which they are a CDR consumer:</w:t>
      </w:r>
    </w:p>
    <w:p w14:paraId="56A183F9" w14:textId="77777777" w:rsidR="00CF0E3D" w:rsidRDefault="00CF0E3D" w:rsidP="00CF0E3D">
      <w:pPr>
        <w:pStyle w:val="paragraphsub"/>
      </w:pPr>
      <w:r>
        <w:tab/>
        <w:t>(i)</w:t>
      </w:r>
      <w:r>
        <w:tab/>
        <w:t xml:space="preserve">that their accreditation has been </w:t>
      </w:r>
      <w:r w:rsidRPr="006F4A42">
        <w:t xml:space="preserve">surrendered, </w:t>
      </w:r>
      <w:r>
        <w:t>suspended or revoked, as the case may be; and</w:t>
      </w:r>
    </w:p>
    <w:p w14:paraId="0D50DBE6" w14:textId="77777777" w:rsidR="00CF0E3D" w:rsidRPr="003F3AC9" w:rsidRDefault="00CF0E3D" w:rsidP="00CF0E3D">
      <w:pPr>
        <w:pStyle w:val="paragraphsub"/>
      </w:pPr>
      <w:r>
        <w:tab/>
        <w:t>(ii)</w:t>
      </w:r>
      <w:r>
        <w:tab/>
        <w:t>in the case of a suspension—</w:t>
      </w:r>
      <w:r w:rsidRPr="003F3AC9">
        <w:t>of the following:</w:t>
      </w:r>
    </w:p>
    <w:p w14:paraId="7210C45E" w14:textId="77777777" w:rsidR="00CF0E3D" w:rsidRPr="003F3AC9" w:rsidRDefault="00CF0E3D" w:rsidP="00CF0E3D">
      <w:pPr>
        <w:pStyle w:val="paragraphsub-sub"/>
      </w:pPr>
      <w:r w:rsidRPr="003F3AC9">
        <w:tab/>
      </w:r>
      <w:r>
        <w:t>(A)</w:t>
      </w:r>
      <w:r w:rsidRPr="003F3AC9">
        <w:tab/>
        <w:t>that any consents to collect and to use CDR data may be withdrawn at any time; and</w:t>
      </w:r>
    </w:p>
    <w:p w14:paraId="084A44BC" w14:textId="77777777" w:rsidR="00CF0E3D" w:rsidRPr="003F3AC9" w:rsidRDefault="00CF0E3D" w:rsidP="00CF0E3D">
      <w:pPr>
        <w:pStyle w:val="paragraphsub-sub"/>
      </w:pPr>
      <w:r w:rsidRPr="003F3AC9">
        <w:tab/>
      </w:r>
      <w:r>
        <w:t>(B)</w:t>
      </w:r>
      <w:r w:rsidRPr="003F3AC9">
        <w:tab/>
        <w:t>the effect of any such withdrawal.</w:t>
      </w:r>
    </w:p>
    <w:p w14:paraId="243B9A12" w14:textId="77777777" w:rsidR="00CF0E3D" w:rsidRPr="003F3AC9" w:rsidRDefault="00CF0E3D" w:rsidP="00CF0E3D">
      <w:pPr>
        <w:pStyle w:val="notetext"/>
      </w:pPr>
      <w:r w:rsidRPr="003F3AC9">
        <w:t xml:space="preserve">Note 1: </w:t>
      </w:r>
      <w:r w:rsidRPr="003F3AC9">
        <w:tab/>
        <w:t>If an accredited person’s accreditation is suspended, they remain an accredited person, and continue to be subject to the obligations of an accredited person whose accreditation has not been suspended.</w:t>
      </w:r>
    </w:p>
    <w:p w14:paraId="1D9259BE" w14:textId="77777777" w:rsidR="00CF0E3D" w:rsidRPr="00E1300D" w:rsidRDefault="00CF0E3D" w:rsidP="00CF0E3D">
      <w:pPr>
        <w:pStyle w:val="notetext"/>
        <w:rPr>
          <w:color w:val="000000" w:themeColor="text1"/>
        </w:rPr>
      </w:pPr>
      <w:r w:rsidRPr="003F3AC9">
        <w:t>Note 2:</w:t>
      </w:r>
      <w:r w:rsidRPr="003F3AC9">
        <w:tab/>
        <w:t xml:space="preserve">This subrule </w:t>
      </w:r>
      <w:r>
        <w:t xml:space="preserve">is </w:t>
      </w:r>
      <w:r w:rsidRPr="003F3AC9">
        <w:t>a civil penalty provision (see rule </w:t>
      </w:r>
      <w:r>
        <w:t>9.8</w:t>
      </w:r>
      <w:r w:rsidRPr="00E1300D">
        <w:rPr>
          <w:color w:val="000000" w:themeColor="text1"/>
        </w:rPr>
        <w:t>).</w:t>
      </w:r>
    </w:p>
    <w:p w14:paraId="12898027" w14:textId="77777777" w:rsidR="00CF0E3D" w:rsidRDefault="00CF0E3D" w:rsidP="00CF0E3D">
      <w:pPr>
        <w:pStyle w:val="subsection"/>
      </w:pPr>
      <w:r>
        <w:tab/>
        <w:t>(4)</w:t>
      </w:r>
      <w:r>
        <w:tab/>
        <w:t>If:</w:t>
      </w:r>
    </w:p>
    <w:p w14:paraId="40061F80" w14:textId="77777777" w:rsidR="00CF0E3D" w:rsidRDefault="00CF0E3D" w:rsidP="00CF0E3D">
      <w:pPr>
        <w:pStyle w:val="paragraph"/>
      </w:pPr>
      <w:r>
        <w:tab/>
        <w:t>(a)</w:t>
      </w:r>
      <w:r>
        <w:tab/>
        <w:t xml:space="preserve">the person’s accreditation has been </w:t>
      </w:r>
      <w:r w:rsidRPr="006F4A42">
        <w:t xml:space="preserve">surrendered or </w:t>
      </w:r>
      <w:r>
        <w:t>revoked; and</w:t>
      </w:r>
    </w:p>
    <w:p w14:paraId="45F34858" w14:textId="77777777" w:rsidR="00CF0E3D" w:rsidRPr="00B24FE2" w:rsidRDefault="00CF0E3D" w:rsidP="00CF0E3D">
      <w:pPr>
        <w:pStyle w:val="paragraph"/>
      </w:pPr>
      <w:r>
        <w:tab/>
        <w:t>(b)</w:t>
      </w:r>
      <w:r>
        <w:tab/>
        <w:t xml:space="preserve">the person has </w:t>
      </w:r>
      <w:r w:rsidRPr="000C3240">
        <w:rPr>
          <w:color w:val="000000" w:themeColor="text1"/>
        </w:rPr>
        <w:t xml:space="preserve">collected </w:t>
      </w:r>
      <w:r>
        <w:t xml:space="preserve">CDR data under these rules; </w:t>
      </w:r>
      <w:r w:rsidRPr="00B24FE2">
        <w:t>and</w:t>
      </w:r>
    </w:p>
    <w:p w14:paraId="212B1F74" w14:textId="77777777" w:rsidR="00CF0E3D" w:rsidRPr="00005026" w:rsidRDefault="00CF0E3D" w:rsidP="00CF0E3D">
      <w:pPr>
        <w:pStyle w:val="paragraph"/>
      </w:pPr>
      <w:r>
        <w:tab/>
        <w:t>(c)</w:t>
      </w:r>
      <w:r w:rsidRPr="00B24FE2">
        <w:tab/>
        <w:t xml:space="preserve">the person is not required to </w:t>
      </w:r>
      <w:r w:rsidRPr="00B24FE2">
        <w:rPr>
          <w:szCs w:val="22"/>
          <w:shd w:val="clear" w:color="auto" w:fill="FFFFFF"/>
        </w:rPr>
        <w:t>retain that CDR data by or under an Australian law or a court/tribunal order;</w:t>
      </w:r>
      <w:r w:rsidRPr="00B24FE2">
        <w:t xml:space="preserve"> </w:t>
      </w:r>
      <w:r w:rsidRPr="00005026">
        <w:t>and</w:t>
      </w:r>
    </w:p>
    <w:p w14:paraId="0E62638F" w14:textId="77777777" w:rsidR="00CF0E3D" w:rsidRPr="00005026" w:rsidRDefault="00CF0E3D" w:rsidP="00CF0E3D">
      <w:pPr>
        <w:pStyle w:val="paragraph"/>
      </w:pPr>
      <w:r w:rsidRPr="00005026">
        <w:tab/>
      </w:r>
      <w:r>
        <w:t>(d)</w:t>
      </w:r>
      <w:r w:rsidRPr="00005026">
        <w:tab/>
        <w:t>the CDR data does not relate to any current or anticipated:</w:t>
      </w:r>
    </w:p>
    <w:p w14:paraId="6F922430" w14:textId="77777777" w:rsidR="00CF0E3D" w:rsidRPr="00005026" w:rsidRDefault="00CF0E3D" w:rsidP="00CF0E3D">
      <w:pPr>
        <w:pStyle w:val="paragraphsub"/>
      </w:pPr>
      <w:r w:rsidRPr="00005026">
        <w:tab/>
      </w:r>
      <w:r>
        <w:t>(i)</w:t>
      </w:r>
      <w:r w:rsidRPr="00005026">
        <w:tab/>
        <w:t>legal proceedings; or</w:t>
      </w:r>
    </w:p>
    <w:p w14:paraId="54832AF7" w14:textId="77777777" w:rsidR="00CF0E3D" w:rsidRPr="00005026" w:rsidRDefault="00CF0E3D" w:rsidP="00CF0E3D">
      <w:pPr>
        <w:pStyle w:val="paragraphsub"/>
      </w:pPr>
      <w:r w:rsidRPr="00005026">
        <w:tab/>
      </w:r>
      <w:r>
        <w:t>(ii)</w:t>
      </w:r>
      <w:r w:rsidRPr="00005026">
        <w:tab/>
        <w:t>dispute resolution proceedings;</w:t>
      </w:r>
    </w:p>
    <w:p w14:paraId="4714245D" w14:textId="77777777" w:rsidR="00CF0E3D" w:rsidRDefault="00CF0E3D" w:rsidP="00CF0E3D">
      <w:pPr>
        <w:pStyle w:val="paragraph"/>
      </w:pPr>
      <w:r w:rsidRPr="00005026">
        <w:tab/>
      </w:r>
      <w:r w:rsidRPr="00005026">
        <w:tab/>
        <w:t>to which the person is a party;</w:t>
      </w:r>
      <w:r>
        <w:t xml:space="preserve"> and</w:t>
      </w:r>
    </w:p>
    <w:p w14:paraId="6AC3ED6F" w14:textId="77777777" w:rsidR="00CF0E3D" w:rsidRDefault="00CF0E3D" w:rsidP="00CF0E3D">
      <w:pPr>
        <w:pStyle w:val="paragraph"/>
      </w:pPr>
      <w:r>
        <w:tab/>
        <w:t>(e)</w:t>
      </w:r>
      <w:r>
        <w:tab/>
        <w:t>where there is a CDR consumer for the CDR data, the CDR data does not relate to any current or anticipated:</w:t>
      </w:r>
    </w:p>
    <w:p w14:paraId="79789982" w14:textId="77777777" w:rsidR="00CF0E3D" w:rsidRDefault="00CF0E3D" w:rsidP="00CF0E3D">
      <w:pPr>
        <w:pStyle w:val="paragraphsub"/>
      </w:pPr>
      <w:r>
        <w:tab/>
        <w:t>(i)</w:t>
      </w:r>
      <w:r>
        <w:tab/>
        <w:t>legal proceedings; or</w:t>
      </w:r>
    </w:p>
    <w:p w14:paraId="22A5F66E" w14:textId="77777777" w:rsidR="00CF0E3D" w:rsidRDefault="00CF0E3D" w:rsidP="00CF0E3D">
      <w:pPr>
        <w:pStyle w:val="paragraphsub"/>
      </w:pPr>
      <w:r>
        <w:tab/>
        <w:t>(ii)</w:t>
      </w:r>
      <w:r>
        <w:tab/>
        <w:t>dispute resolution proceedings;</w:t>
      </w:r>
    </w:p>
    <w:p w14:paraId="53EBAA82" w14:textId="77777777" w:rsidR="00CF0E3D" w:rsidRPr="00005026" w:rsidRDefault="00CF0E3D" w:rsidP="00CF0E3D">
      <w:pPr>
        <w:pStyle w:val="paragraph"/>
      </w:pPr>
      <w:r>
        <w:tab/>
      </w:r>
      <w:r>
        <w:tab/>
      </w:r>
      <w:r w:rsidRPr="00357921">
        <w:t>to which the CDR consumer is a party;</w:t>
      </w:r>
    </w:p>
    <w:p w14:paraId="12F9212F" w14:textId="77777777" w:rsidR="00CF0E3D" w:rsidRDefault="00CF0E3D" w:rsidP="00CF0E3D">
      <w:pPr>
        <w:pStyle w:val="subsection"/>
        <w:spacing w:before="40"/>
      </w:pPr>
      <w:r w:rsidRPr="00005026">
        <w:tab/>
      </w:r>
      <w:r w:rsidRPr="00005026">
        <w:tab/>
        <w:t xml:space="preserve">the person must </w:t>
      </w:r>
      <w:r>
        <w:t>delete</w:t>
      </w:r>
      <w:r w:rsidRPr="00005026">
        <w:t xml:space="preserve"> or de</w:t>
      </w:r>
      <w:r w:rsidRPr="00005026">
        <w:noBreakHyphen/>
        <w:t xml:space="preserve">identify that data by taking the steps specified in </w:t>
      </w:r>
      <w:r w:rsidRPr="00086F26">
        <w:t>rule </w:t>
      </w:r>
      <w:r>
        <w:t>7.12 or 7.13</w:t>
      </w:r>
      <w:r w:rsidRPr="00086F26">
        <w:t>, as appropriate</w:t>
      </w:r>
      <w:r w:rsidRPr="00005026">
        <w:t>.</w:t>
      </w:r>
    </w:p>
    <w:p w14:paraId="7A7AC763" w14:textId="77777777" w:rsidR="00CF0E3D" w:rsidRPr="00DA031E" w:rsidRDefault="00CF0E3D" w:rsidP="00CF0E3D">
      <w:pPr>
        <w:pStyle w:val="notetext"/>
      </w:pPr>
      <w:r w:rsidRPr="00DA031E">
        <w:t>Note</w:t>
      </w:r>
      <w:r>
        <w:t xml:space="preserve"> 1</w:t>
      </w:r>
      <w:r w:rsidRPr="00DA031E">
        <w:t>:</w:t>
      </w:r>
      <w:r w:rsidRPr="00DA031E">
        <w:tab/>
        <w:t>In addition:</w:t>
      </w:r>
    </w:p>
    <w:p w14:paraId="53400D76" w14:textId="77777777" w:rsidR="00CF0E3D" w:rsidRDefault="00CF0E3D" w:rsidP="00CF0E3D">
      <w:pPr>
        <w:pStyle w:val="notepara"/>
      </w:pPr>
      <w:r w:rsidRPr="00DA031E">
        <w:sym w:font="Symbol" w:char="F0B7"/>
      </w:r>
      <w:r w:rsidRPr="00DA031E">
        <w:tab/>
        <w:t>if an accreditation is revoked</w:t>
      </w:r>
      <w:r>
        <w:t xml:space="preserve"> or surrendered:</w:t>
      </w:r>
    </w:p>
    <w:p w14:paraId="5B51424E" w14:textId="77777777" w:rsidR="00CF0E3D" w:rsidRDefault="00CF0E3D" w:rsidP="00CF0E3D">
      <w:pPr>
        <w:pStyle w:val="notepara"/>
        <w:ind w:left="2921"/>
      </w:pPr>
      <w:r>
        <w:t>–</w:t>
      </w:r>
      <w:r>
        <w:tab/>
      </w:r>
      <w:r w:rsidRPr="00DA031E">
        <w:t>any consents to collect</w:t>
      </w:r>
      <w:r>
        <w:t xml:space="preserve"> </w:t>
      </w:r>
      <w:r w:rsidRPr="00E1300D">
        <w:rPr>
          <w:color w:val="000000" w:themeColor="text1"/>
        </w:rPr>
        <w:t>and use</w:t>
      </w:r>
      <w:r w:rsidRPr="00DA031E">
        <w:t xml:space="preserve"> CDR data expire: see subrule </w:t>
      </w:r>
      <w:r>
        <w:t>4.14(2)</w:t>
      </w:r>
      <w:r w:rsidRPr="00DA031E">
        <w:t>; and</w:t>
      </w:r>
    </w:p>
    <w:p w14:paraId="57698D64" w14:textId="77777777" w:rsidR="00CF0E3D" w:rsidRDefault="00CF0E3D" w:rsidP="00CF0E3D">
      <w:pPr>
        <w:pStyle w:val="notepara"/>
        <w:ind w:left="2921"/>
      </w:pPr>
      <w:r>
        <w:t>–</w:t>
      </w:r>
      <w:r>
        <w:tab/>
        <w:t>any authorisations to disclose CDR data expire: see subrule 4.26(2); and</w:t>
      </w:r>
    </w:p>
    <w:p w14:paraId="0762141E" w14:textId="77777777" w:rsidR="00CF0E3D" w:rsidRDefault="00CF0E3D" w:rsidP="00CF0E3D">
      <w:pPr>
        <w:pStyle w:val="notepara"/>
      </w:pPr>
      <w:r w:rsidRPr="00712434">
        <w:sym w:font="Symbol" w:char="F0B7"/>
      </w:r>
      <w:r w:rsidRPr="00712434">
        <w:tab/>
        <w:t>if an accreditation is suspended, the accredited person is not able to collect data while the suspension is in effect.</w:t>
      </w:r>
    </w:p>
    <w:p w14:paraId="58AA6DC2" w14:textId="77777777" w:rsidR="00CF0E3D" w:rsidRDefault="00CF0E3D" w:rsidP="00CF0E3D">
      <w:pPr>
        <w:pStyle w:val="notetext"/>
        <w:rPr>
          <w:color w:val="000000" w:themeColor="text1"/>
        </w:rPr>
      </w:pPr>
      <w:r w:rsidRPr="003F3AC9">
        <w:t>Note 2:</w:t>
      </w:r>
      <w:r w:rsidRPr="003F3AC9">
        <w:tab/>
        <w:t xml:space="preserve">This subrule </w:t>
      </w:r>
      <w:r>
        <w:t xml:space="preserve">is </w:t>
      </w:r>
      <w:r w:rsidRPr="003F3AC9">
        <w:t>a civil penalty provision (see rule </w:t>
      </w:r>
      <w:r>
        <w:t>9.8</w:t>
      </w:r>
      <w:r w:rsidRPr="00E1300D">
        <w:rPr>
          <w:color w:val="000000" w:themeColor="text1"/>
        </w:rPr>
        <w:t>).</w:t>
      </w:r>
    </w:p>
    <w:p w14:paraId="1D41816C" w14:textId="77777777" w:rsidR="00CF0E3D" w:rsidRDefault="00CF0E3D" w:rsidP="00CF0E3D">
      <w:pPr>
        <w:pStyle w:val="subsection"/>
      </w:pPr>
      <w:r>
        <w:tab/>
        <w:t>(5)</w:t>
      </w:r>
      <w:r>
        <w:tab/>
        <w:t>For the purposes of paragraph (4)(e), if paragraphs (4)(a) to (d) apply in relation to the CDR data of the CDR consumer, the person may:</w:t>
      </w:r>
    </w:p>
    <w:p w14:paraId="750ECCD2" w14:textId="77777777" w:rsidR="00CF0E3D" w:rsidRDefault="00CF0E3D" w:rsidP="00CF0E3D">
      <w:pPr>
        <w:pStyle w:val="paragraph"/>
      </w:pPr>
      <w:r>
        <w:tab/>
        <w:t>(a)</w:t>
      </w:r>
      <w:r>
        <w:tab/>
        <w:t>request the CDR consumer to state whether or not such proceedings are current or anticipated; and</w:t>
      </w:r>
    </w:p>
    <w:p w14:paraId="53D48428" w14:textId="77777777" w:rsidR="00CF0E3D" w:rsidRPr="00E1300D" w:rsidRDefault="00CF0E3D" w:rsidP="00CF0E3D">
      <w:pPr>
        <w:pStyle w:val="paragraph"/>
        <w:rPr>
          <w:color w:val="000000" w:themeColor="text1"/>
        </w:rPr>
      </w:pPr>
      <w:r>
        <w:tab/>
        <w:t>(b)</w:t>
      </w:r>
      <w:r>
        <w:tab/>
        <w:t>rely on that statement.</w:t>
      </w:r>
    </w:p>
    <w:p w14:paraId="1ADED3B7" w14:textId="77777777" w:rsidR="00CF0E3D" w:rsidRDefault="00CF0E3D" w:rsidP="00CF0E3D">
      <w:pPr>
        <w:pStyle w:val="ActHead3"/>
        <w:pageBreakBefore/>
      </w:pPr>
      <w:bookmarkStart w:id="410" w:name="_Toc11771655"/>
      <w:bookmarkStart w:id="411" w:name="_Toc74916224"/>
      <w:r>
        <w:t>Division 5.3—Rules relating to Register of Accredited Persons</w:t>
      </w:r>
      <w:bookmarkEnd w:id="410"/>
      <w:bookmarkEnd w:id="411"/>
    </w:p>
    <w:p w14:paraId="716CDD82" w14:textId="77777777" w:rsidR="00CF0E3D" w:rsidRDefault="00CF0E3D" w:rsidP="00CF0E3D">
      <w:pPr>
        <w:pStyle w:val="ActHead5"/>
      </w:pPr>
      <w:bookmarkStart w:id="412" w:name="_Toc11771656"/>
      <w:bookmarkStart w:id="413" w:name="_Toc74916225"/>
      <w:r>
        <w:t>5.24  Maintaining the Register of Accredited Persons</w:t>
      </w:r>
      <w:bookmarkEnd w:id="412"/>
      <w:bookmarkEnd w:id="413"/>
    </w:p>
    <w:p w14:paraId="787AAFBF" w14:textId="77777777" w:rsidR="00CF0E3D" w:rsidRDefault="00CF0E3D" w:rsidP="00CF0E3D">
      <w:pPr>
        <w:pStyle w:val="subsection"/>
      </w:pPr>
      <w:r w:rsidRPr="001D69E9">
        <w:tab/>
      </w:r>
      <w:r w:rsidRPr="001D69E9">
        <w:tab/>
        <w:t xml:space="preserve">The </w:t>
      </w:r>
      <w:r>
        <w:t xml:space="preserve">Accreditation </w:t>
      </w:r>
      <w:r w:rsidRPr="001D69E9">
        <w:t>Registrar must enter the following details on the Register of Accredited Persons:</w:t>
      </w:r>
    </w:p>
    <w:p w14:paraId="15B52568" w14:textId="77777777" w:rsidR="00CF0E3D" w:rsidRPr="007E69B9" w:rsidRDefault="00CF0E3D" w:rsidP="00CF0E3D">
      <w:pPr>
        <w:pStyle w:val="paragraph"/>
      </w:pPr>
      <w:r w:rsidRPr="007E69B9">
        <w:tab/>
      </w:r>
      <w:r>
        <w:t>(a)</w:t>
      </w:r>
      <w:r w:rsidRPr="007E69B9">
        <w:tab/>
        <w:t>the following details about the accredited person:</w:t>
      </w:r>
    </w:p>
    <w:p w14:paraId="6168B35D" w14:textId="77777777" w:rsidR="00CF0E3D" w:rsidRDefault="00CF0E3D" w:rsidP="00CF0E3D">
      <w:pPr>
        <w:pStyle w:val="paragraphsub"/>
      </w:pPr>
      <w:r w:rsidRPr="007E69B9">
        <w:tab/>
      </w:r>
      <w:r>
        <w:t>(i)</w:t>
      </w:r>
      <w:r w:rsidRPr="007E69B9">
        <w:tab/>
        <w:t>the accredited person’s name;</w:t>
      </w:r>
    </w:p>
    <w:p w14:paraId="08B5D38D" w14:textId="77777777" w:rsidR="00CF0E3D" w:rsidRPr="00E1300D" w:rsidRDefault="00CF0E3D" w:rsidP="00CF0E3D">
      <w:pPr>
        <w:pStyle w:val="paragraphsub"/>
        <w:rPr>
          <w:color w:val="000000" w:themeColor="text1"/>
        </w:rPr>
      </w:pPr>
      <w:r>
        <w:tab/>
      </w:r>
      <w:r>
        <w:rPr>
          <w:color w:val="000000" w:themeColor="text1"/>
        </w:rPr>
        <w:t>(ii)</w:t>
      </w:r>
      <w:r w:rsidRPr="00E1300D">
        <w:rPr>
          <w:color w:val="000000" w:themeColor="text1"/>
        </w:rPr>
        <w:tab/>
        <w:t>the accredited person’s accreditation number;</w:t>
      </w:r>
    </w:p>
    <w:p w14:paraId="428176C1" w14:textId="77777777" w:rsidR="00CF0E3D" w:rsidRPr="007E69B9" w:rsidRDefault="00CF0E3D" w:rsidP="00CF0E3D">
      <w:pPr>
        <w:pStyle w:val="paragraphsub"/>
      </w:pPr>
      <w:r w:rsidRPr="007E69B9">
        <w:tab/>
      </w:r>
      <w:r>
        <w:t>(iii)</w:t>
      </w:r>
      <w:r w:rsidRPr="007E69B9">
        <w:tab/>
        <w:t>the accredited person’s address</w:t>
      </w:r>
      <w:r>
        <w:t>es</w:t>
      </w:r>
      <w:r w:rsidRPr="007E69B9">
        <w:t xml:space="preserve"> for service;</w:t>
      </w:r>
    </w:p>
    <w:p w14:paraId="7BB59C3B" w14:textId="77777777" w:rsidR="00CF0E3D" w:rsidRPr="007E69B9" w:rsidRDefault="00CF0E3D" w:rsidP="00CF0E3D">
      <w:pPr>
        <w:pStyle w:val="paragraphsub"/>
      </w:pPr>
      <w:r w:rsidRPr="007E69B9">
        <w:tab/>
      </w:r>
      <w:r>
        <w:t>(iv)</w:t>
      </w:r>
      <w:r w:rsidRPr="007E69B9">
        <w:tab/>
        <w:t>if the accredited person is a foreign entity—the name and address</w:t>
      </w:r>
      <w:r>
        <w:t>es</w:t>
      </w:r>
      <w:r w:rsidRPr="007E69B9">
        <w:t xml:space="preserve"> for service of the accredited person’s local agent;</w:t>
      </w:r>
    </w:p>
    <w:p w14:paraId="013786A3" w14:textId="6C769328" w:rsidR="00CF0E3D" w:rsidRDefault="00CF0E3D" w:rsidP="00CF0E3D">
      <w:pPr>
        <w:pStyle w:val="paragraph"/>
      </w:pPr>
      <w:r>
        <w:tab/>
        <w:t>(b)</w:t>
      </w:r>
      <w:r>
        <w:tab/>
        <w:t>the level of the person’s accreditation;</w:t>
      </w:r>
    </w:p>
    <w:p w14:paraId="067A400F" w14:textId="177961E1" w:rsidR="00D750E9" w:rsidRPr="00BC78CF" w:rsidRDefault="00390072" w:rsidP="00D750E9">
      <w:pPr>
        <w:pStyle w:val="paragraph"/>
        <w:rPr>
          <w:color w:val="FF0000"/>
        </w:rPr>
      </w:pPr>
      <w:r w:rsidRPr="00BC78CF">
        <w:rPr>
          <w:color w:val="FF0000"/>
        </w:rPr>
        <w:tab/>
        <w:t>(ba)</w:t>
      </w:r>
      <w:r w:rsidRPr="00BC78CF">
        <w:rPr>
          <w:color w:val="FF0000"/>
        </w:rPr>
        <w:tab/>
        <w:t>f</w:t>
      </w:r>
      <w:r w:rsidR="00D750E9" w:rsidRPr="00BC78CF">
        <w:rPr>
          <w:color w:val="FF0000"/>
        </w:rPr>
        <w:t>or</w:t>
      </w:r>
      <w:r w:rsidR="00F3080A" w:rsidRPr="00BC78CF">
        <w:rPr>
          <w:color w:val="FF0000"/>
        </w:rPr>
        <w:t xml:space="preserve"> a person with sponsored accreditation</w:t>
      </w:r>
      <w:r w:rsidR="00B96CC8" w:rsidRPr="00BC78CF">
        <w:rPr>
          <w:color w:val="FF0000"/>
        </w:rPr>
        <w:t>—any sponsor</w:t>
      </w:r>
      <w:r w:rsidR="00D750E9" w:rsidRPr="00BC78CF">
        <w:rPr>
          <w:color w:val="FF0000"/>
        </w:rPr>
        <w:t>;</w:t>
      </w:r>
    </w:p>
    <w:p w14:paraId="7D76717D" w14:textId="3473B956" w:rsidR="00390072" w:rsidRPr="00BC78CF" w:rsidRDefault="00390072" w:rsidP="00D750E9">
      <w:pPr>
        <w:pStyle w:val="paragraph"/>
        <w:rPr>
          <w:color w:val="FF0000"/>
        </w:rPr>
      </w:pPr>
      <w:r w:rsidRPr="00BC78CF">
        <w:rPr>
          <w:color w:val="FF0000"/>
        </w:rPr>
        <w:tab/>
        <w:t>(bb)</w:t>
      </w:r>
      <w:r w:rsidRPr="00BC78CF">
        <w:rPr>
          <w:color w:val="FF0000"/>
        </w:rPr>
        <w:tab/>
        <w:t>for a</w:t>
      </w:r>
      <w:r w:rsidR="00B96CC8" w:rsidRPr="00BC78CF">
        <w:rPr>
          <w:color w:val="FF0000"/>
        </w:rPr>
        <w:t xml:space="preserve"> sponsor</w:t>
      </w:r>
      <w:r w:rsidRPr="00BC78CF">
        <w:rPr>
          <w:color w:val="FF0000"/>
        </w:rPr>
        <w:t>—each affiliate;</w:t>
      </w:r>
    </w:p>
    <w:p w14:paraId="60ECD7B1" w14:textId="6FE6A4C8" w:rsidR="00657409" w:rsidRPr="00BC78CF" w:rsidRDefault="00657409" w:rsidP="00CF0E3D">
      <w:pPr>
        <w:pStyle w:val="paragraph"/>
        <w:rPr>
          <w:color w:val="FF0000"/>
        </w:rPr>
      </w:pPr>
      <w:r w:rsidRPr="00BC78CF">
        <w:rPr>
          <w:color w:val="FF0000"/>
        </w:rPr>
        <w:tab/>
        <w:t>(bc)</w:t>
      </w:r>
      <w:r w:rsidRPr="00BC78CF">
        <w:rPr>
          <w:color w:val="FF0000"/>
        </w:rPr>
        <w:tab/>
        <w:t>the name</w:t>
      </w:r>
      <w:r w:rsidR="00741024" w:rsidRPr="00BC78CF">
        <w:rPr>
          <w:color w:val="FF0000"/>
        </w:rPr>
        <w:t>,</w:t>
      </w:r>
      <w:r w:rsidR="00F54A8A" w:rsidRPr="00BC78CF">
        <w:rPr>
          <w:color w:val="FF0000"/>
        </w:rPr>
        <w:t xml:space="preserve"> ABN</w:t>
      </w:r>
      <w:r w:rsidR="00741024" w:rsidRPr="00BC78CF">
        <w:rPr>
          <w:color w:val="FF0000"/>
        </w:rPr>
        <w:t xml:space="preserve"> </w:t>
      </w:r>
      <w:r w:rsidRPr="00BC78CF">
        <w:rPr>
          <w:color w:val="FF0000"/>
        </w:rPr>
        <w:t xml:space="preserve">and business address of any </w:t>
      </w:r>
      <w:r w:rsidR="00182338" w:rsidRPr="00BC78CF">
        <w:rPr>
          <w:color w:val="FF0000"/>
        </w:rPr>
        <w:t>CDR representative</w:t>
      </w:r>
      <w:r w:rsidRPr="00BC78CF">
        <w:rPr>
          <w:color w:val="FF0000"/>
        </w:rPr>
        <w:t>;</w:t>
      </w:r>
      <w:r w:rsidR="00CF0E3D" w:rsidRPr="00BC78CF">
        <w:rPr>
          <w:color w:val="FF0000"/>
        </w:rPr>
        <w:tab/>
      </w:r>
    </w:p>
    <w:p w14:paraId="4A34D0CA" w14:textId="315802D5" w:rsidR="00CF0E3D" w:rsidRPr="001D69E9" w:rsidRDefault="00657409" w:rsidP="00CF0E3D">
      <w:pPr>
        <w:pStyle w:val="paragraph"/>
      </w:pPr>
      <w:r>
        <w:tab/>
      </w:r>
      <w:r w:rsidR="00CF0E3D">
        <w:t>(c)</w:t>
      </w:r>
      <w:r w:rsidR="00CF0E3D" w:rsidRPr="001D69E9">
        <w:tab/>
        <w:t xml:space="preserve">either: </w:t>
      </w:r>
    </w:p>
    <w:p w14:paraId="673AAA5A" w14:textId="77777777" w:rsidR="00CF0E3D" w:rsidRPr="001D69E9" w:rsidRDefault="00CF0E3D" w:rsidP="00CF0E3D">
      <w:pPr>
        <w:pStyle w:val="paragraphsub"/>
      </w:pPr>
      <w:r w:rsidRPr="001D69E9">
        <w:tab/>
      </w:r>
      <w:r>
        <w:t>(i)</w:t>
      </w:r>
      <w:r w:rsidRPr="001D69E9">
        <w:tab/>
        <w:t>any conditions on the accreditation; or</w:t>
      </w:r>
    </w:p>
    <w:p w14:paraId="50A62340" w14:textId="77777777" w:rsidR="00CF0E3D" w:rsidRPr="001D69E9" w:rsidRDefault="00CF0E3D" w:rsidP="00CF0E3D">
      <w:pPr>
        <w:pStyle w:val="paragraphsub"/>
      </w:pPr>
      <w:r w:rsidRPr="001D69E9">
        <w:tab/>
      </w:r>
      <w:r>
        <w:t>(ii)</w:t>
      </w:r>
      <w:r w:rsidRPr="001D69E9">
        <w:tab/>
      </w:r>
      <w:r w:rsidRPr="001151F8">
        <w:t>if the Data Recipient Accreditor so directs—</w:t>
      </w:r>
      <w:r w:rsidRPr="001D69E9">
        <w:t>a description of the effect of any such conditions;</w:t>
      </w:r>
    </w:p>
    <w:p w14:paraId="10A31EF3" w14:textId="77777777" w:rsidR="00CF0E3D" w:rsidRDefault="00CF0E3D" w:rsidP="00CF0E3D">
      <w:pPr>
        <w:pStyle w:val="paragraph"/>
      </w:pPr>
      <w:r>
        <w:tab/>
        <w:t>(d)</w:t>
      </w:r>
      <w:r>
        <w:tab/>
        <w:t>if the accreditation has been revoked—</w:t>
      </w:r>
      <w:r w:rsidRPr="000C3240">
        <w:rPr>
          <w:color w:val="000000" w:themeColor="text1"/>
        </w:rPr>
        <w:t>that fact</w:t>
      </w:r>
      <w:r>
        <w:rPr>
          <w:color w:val="000000" w:themeColor="text1"/>
        </w:rPr>
        <w:t xml:space="preserve"> </w:t>
      </w:r>
      <w:r w:rsidRPr="000C3240">
        <w:rPr>
          <w:color w:val="000000" w:themeColor="text1"/>
        </w:rPr>
        <w:t>and the date of the revocation</w:t>
      </w:r>
      <w:r>
        <w:rPr>
          <w:color w:val="000000" w:themeColor="text1"/>
        </w:rPr>
        <w:t>;</w:t>
      </w:r>
    </w:p>
    <w:p w14:paraId="5CE71BCE" w14:textId="77777777" w:rsidR="00CF0E3D" w:rsidRPr="000C3240" w:rsidRDefault="00CF0E3D" w:rsidP="00CF0E3D">
      <w:pPr>
        <w:pStyle w:val="paragraph"/>
        <w:rPr>
          <w:color w:val="000000" w:themeColor="text1"/>
        </w:rPr>
      </w:pPr>
      <w:r>
        <w:tab/>
        <w:t>(e)</w:t>
      </w:r>
      <w:r>
        <w:tab/>
        <w:t>if the accreditation has been suspended—</w:t>
      </w:r>
      <w:r>
        <w:rPr>
          <w:color w:val="000000" w:themeColor="text1"/>
        </w:rPr>
        <w:t>that fact and</w:t>
      </w:r>
      <w:r w:rsidRPr="000C3240">
        <w:rPr>
          <w:color w:val="000000" w:themeColor="text1"/>
        </w:rPr>
        <w:t xml:space="preserve"> the </w:t>
      </w:r>
      <w:r>
        <w:rPr>
          <w:color w:val="000000" w:themeColor="text1"/>
        </w:rPr>
        <w:t>period of the suspension;</w:t>
      </w:r>
    </w:p>
    <w:p w14:paraId="29228B46" w14:textId="77777777" w:rsidR="00CF0E3D" w:rsidRPr="000C3240" w:rsidRDefault="00CF0E3D" w:rsidP="00CF0E3D">
      <w:pPr>
        <w:pStyle w:val="paragraph"/>
        <w:rPr>
          <w:color w:val="000000" w:themeColor="text1"/>
        </w:rPr>
      </w:pPr>
      <w:r w:rsidRPr="000C3240">
        <w:rPr>
          <w:color w:val="000000" w:themeColor="text1"/>
        </w:rPr>
        <w:tab/>
      </w:r>
      <w:r>
        <w:rPr>
          <w:color w:val="000000" w:themeColor="text1"/>
        </w:rPr>
        <w:t>(f)</w:t>
      </w:r>
      <w:r w:rsidRPr="000C3240">
        <w:rPr>
          <w:color w:val="000000" w:themeColor="text1"/>
        </w:rPr>
        <w:tab/>
        <w:t>if a decision to suspend an accreditation has been revoked, or the suspension otherwise is no longer in effect:</w:t>
      </w:r>
    </w:p>
    <w:p w14:paraId="2D45C350" w14:textId="77777777" w:rsidR="00CF0E3D" w:rsidRPr="000C3240" w:rsidRDefault="00CF0E3D" w:rsidP="00CF0E3D">
      <w:pPr>
        <w:pStyle w:val="paragraphsub"/>
        <w:rPr>
          <w:color w:val="000000" w:themeColor="text1"/>
        </w:rPr>
      </w:pPr>
      <w:r w:rsidRPr="000C3240">
        <w:rPr>
          <w:color w:val="000000" w:themeColor="text1"/>
        </w:rPr>
        <w:tab/>
      </w:r>
      <w:r>
        <w:rPr>
          <w:color w:val="000000" w:themeColor="text1"/>
        </w:rPr>
        <w:t>(i)</w:t>
      </w:r>
      <w:r w:rsidRPr="000C3240">
        <w:rPr>
          <w:color w:val="000000" w:themeColor="text1"/>
        </w:rPr>
        <w:tab/>
        <w:t>that fact; and</w:t>
      </w:r>
    </w:p>
    <w:p w14:paraId="6862A775" w14:textId="77777777" w:rsidR="00CF0E3D" w:rsidRDefault="00CF0E3D" w:rsidP="00CF0E3D">
      <w:pPr>
        <w:pStyle w:val="paragraphsub"/>
        <w:rPr>
          <w:color w:val="000000" w:themeColor="text1"/>
        </w:rPr>
      </w:pPr>
      <w:r w:rsidRPr="000C3240">
        <w:rPr>
          <w:color w:val="000000" w:themeColor="text1"/>
        </w:rPr>
        <w:tab/>
      </w:r>
      <w:r>
        <w:rPr>
          <w:color w:val="000000" w:themeColor="text1"/>
        </w:rPr>
        <w:t>(ii)</w:t>
      </w:r>
      <w:r w:rsidRPr="000C3240">
        <w:rPr>
          <w:color w:val="000000" w:themeColor="text1"/>
        </w:rPr>
        <w:tab/>
        <w:t>the date from which the accreditation is once more in effect</w:t>
      </w:r>
      <w:r>
        <w:rPr>
          <w:color w:val="000000" w:themeColor="text1"/>
        </w:rPr>
        <w:t>;</w:t>
      </w:r>
    </w:p>
    <w:p w14:paraId="2BBF13B7" w14:textId="77777777" w:rsidR="00CF0E3D" w:rsidRPr="001D69E9" w:rsidRDefault="00CF0E3D" w:rsidP="00CF0E3D">
      <w:pPr>
        <w:pStyle w:val="paragraph"/>
      </w:pPr>
      <w:r w:rsidRPr="001D69E9">
        <w:tab/>
      </w:r>
      <w:r>
        <w:t>(g)</w:t>
      </w:r>
      <w:r w:rsidRPr="001D69E9">
        <w:tab/>
        <w:t xml:space="preserve">if the accreditation is surrendered—that fact and the date of the surrender; </w:t>
      </w:r>
    </w:p>
    <w:p w14:paraId="5C640FA5" w14:textId="77777777" w:rsidR="00CF0E3D" w:rsidRPr="001D69E9" w:rsidRDefault="00CF0E3D" w:rsidP="00CF0E3D">
      <w:pPr>
        <w:pStyle w:val="paragraph"/>
      </w:pPr>
      <w:r w:rsidRPr="001D69E9">
        <w:tab/>
      </w:r>
      <w:r>
        <w:t>(h)</w:t>
      </w:r>
      <w:r w:rsidRPr="001D69E9">
        <w:tab/>
        <w:t xml:space="preserve">each brand name under which the accredited person provides goods or services where, in order to provide the good or service, the accredited person needs to access a CDR consumer’s CDR data; </w:t>
      </w:r>
    </w:p>
    <w:p w14:paraId="05B927AE" w14:textId="77777777" w:rsidR="00CF0E3D" w:rsidRPr="001D08C5" w:rsidRDefault="00CF0E3D" w:rsidP="00CF0E3D">
      <w:pPr>
        <w:pStyle w:val="paragraph"/>
      </w:pPr>
      <w:r w:rsidRPr="001D08C5">
        <w:tab/>
      </w:r>
      <w:r>
        <w:t>(i)</w:t>
      </w:r>
      <w:r w:rsidRPr="001D08C5">
        <w:tab/>
        <w:t>a hyperlink to each of the following:</w:t>
      </w:r>
    </w:p>
    <w:p w14:paraId="2B33DF8E" w14:textId="77777777" w:rsidR="00CF0E3D" w:rsidRPr="001D08C5" w:rsidRDefault="00CF0E3D" w:rsidP="00CF0E3D">
      <w:pPr>
        <w:pStyle w:val="paragraphsub"/>
      </w:pPr>
      <w:r w:rsidRPr="001D08C5">
        <w:tab/>
      </w:r>
      <w:r>
        <w:t>(i)</w:t>
      </w:r>
      <w:r w:rsidRPr="001D08C5">
        <w:tab/>
        <w:t xml:space="preserve">the relevant web site address of the accredited person; </w:t>
      </w:r>
    </w:p>
    <w:p w14:paraId="00141DE9" w14:textId="77777777" w:rsidR="00CF0E3D" w:rsidRPr="001D08C5" w:rsidRDefault="00CF0E3D" w:rsidP="00CF0E3D">
      <w:pPr>
        <w:pStyle w:val="paragraphsub"/>
      </w:pPr>
      <w:r w:rsidRPr="001D08C5">
        <w:tab/>
      </w:r>
      <w:r>
        <w:t>(ii)</w:t>
      </w:r>
      <w:r w:rsidRPr="001D08C5">
        <w:tab/>
        <w:t xml:space="preserve">the accredited person’s CDR policy; </w:t>
      </w:r>
    </w:p>
    <w:p w14:paraId="1ECC2686" w14:textId="77777777" w:rsidR="00CF0E3D" w:rsidRPr="001D08C5" w:rsidRDefault="00CF0E3D" w:rsidP="00CF0E3D">
      <w:pPr>
        <w:pStyle w:val="paragraphsub"/>
      </w:pPr>
      <w:r w:rsidRPr="001D08C5">
        <w:tab/>
      </w:r>
      <w:r>
        <w:t>(iii)</w:t>
      </w:r>
      <w:r w:rsidRPr="001D08C5">
        <w:tab/>
        <w:t>if the accredited person has a CDR policy for a brand name under which the accredited person provides goods or services where, in order to provide the good or service, the accredited person needs to access a CDR consumer’s CDR data―that policy.</w:t>
      </w:r>
    </w:p>
    <w:p w14:paraId="18EEA2F9" w14:textId="77777777" w:rsidR="00CF0E3D" w:rsidRPr="000C3240" w:rsidRDefault="00CF0E3D" w:rsidP="00CF0E3D">
      <w:pPr>
        <w:pStyle w:val="notetext"/>
        <w:rPr>
          <w:color w:val="000000" w:themeColor="text1"/>
        </w:rPr>
      </w:pPr>
      <w:r w:rsidRPr="006F4A42">
        <w:t>Note 1:</w:t>
      </w:r>
      <w:r w:rsidRPr="006F4A42">
        <w:tab/>
        <w:t>For paragraphs </w:t>
      </w:r>
      <w:r>
        <w:t>(a)</w:t>
      </w:r>
      <w:r w:rsidRPr="006F4A42">
        <w:t>, see rule </w:t>
      </w:r>
      <w:r>
        <w:t>1.7</w:t>
      </w:r>
      <w:r w:rsidRPr="006F4A42">
        <w:t xml:space="preserve"> for the meaning of “addresses for service”.</w:t>
      </w:r>
    </w:p>
    <w:p w14:paraId="15EEE5BA" w14:textId="77777777" w:rsidR="00CF0E3D" w:rsidRPr="00BC78CF" w:rsidRDefault="00CF0E3D" w:rsidP="00CF0E3D">
      <w:pPr>
        <w:pStyle w:val="notetext"/>
        <w:rPr>
          <w:strike/>
          <w:color w:val="FF0000"/>
        </w:rPr>
      </w:pPr>
      <w:r w:rsidRPr="00BC78CF">
        <w:rPr>
          <w:strike/>
          <w:color w:val="FF0000"/>
        </w:rPr>
        <w:t>Note 2:</w:t>
      </w:r>
      <w:r w:rsidRPr="00BC78CF">
        <w:rPr>
          <w:strike/>
          <w:color w:val="FF0000"/>
        </w:rPr>
        <w:tab/>
        <w:t>For paragraph (b), the only level of accreditation is the “unrestricted” level.</w:t>
      </w:r>
    </w:p>
    <w:p w14:paraId="08EFDE0D" w14:textId="77777777" w:rsidR="00CF0E3D" w:rsidRPr="00956176" w:rsidRDefault="00CF0E3D" w:rsidP="00CF0E3D">
      <w:pPr>
        <w:pStyle w:val="notetext"/>
      </w:pPr>
      <w:r w:rsidRPr="00E53912">
        <w:rPr>
          <w:color w:val="000000" w:themeColor="text1"/>
        </w:rPr>
        <w:t>Note 3:</w:t>
      </w:r>
      <w:r w:rsidRPr="00E53912">
        <w:rPr>
          <w:color w:val="000000" w:themeColor="text1"/>
        </w:rPr>
        <w:tab/>
        <w:t xml:space="preserve">For paragraphs </w:t>
      </w:r>
      <w:r>
        <w:rPr>
          <w:color w:val="000000" w:themeColor="text1"/>
        </w:rPr>
        <w:t>(a)</w:t>
      </w:r>
      <w:r w:rsidRPr="00E53912">
        <w:rPr>
          <w:color w:val="000000" w:themeColor="text1"/>
        </w:rPr>
        <w:t xml:space="preserve"> to </w:t>
      </w:r>
      <w:r>
        <w:rPr>
          <w:color w:val="000000" w:themeColor="text1"/>
        </w:rPr>
        <w:t>(g),</w:t>
      </w:r>
      <w:r w:rsidRPr="00E53912">
        <w:rPr>
          <w:color w:val="000000" w:themeColor="text1"/>
        </w:rPr>
        <w:t xml:space="preserve"> see rule </w:t>
      </w:r>
      <w:r>
        <w:rPr>
          <w:color w:val="000000" w:themeColor="text1"/>
        </w:rPr>
        <w:t>5.15</w:t>
      </w:r>
      <w:r w:rsidRPr="00E53912">
        <w:rPr>
          <w:color w:val="000000" w:themeColor="text1"/>
        </w:rPr>
        <w:t>.</w:t>
      </w:r>
    </w:p>
    <w:p w14:paraId="75264527" w14:textId="77777777" w:rsidR="00CF0E3D" w:rsidRPr="0013792B" w:rsidRDefault="00CF0E3D" w:rsidP="00CF0E3D">
      <w:pPr>
        <w:pStyle w:val="ActHead5"/>
      </w:pPr>
      <w:bookmarkStart w:id="414" w:name="_Toc17199933"/>
      <w:bookmarkStart w:id="415" w:name="_Toc74916226"/>
      <w:r>
        <w:t>5.25</w:t>
      </w:r>
      <w:r w:rsidRPr="0013792B">
        <w:t xml:space="preserve">  Other information to be kept in association with Register of Accredited Persons</w:t>
      </w:r>
      <w:bookmarkEnd w:id="414"/>
      <w:bookmarkEnd w:id="415"/>
    </w:p>
    <w:p w14:paraId="651AC8B3" w14:textId="3F569F1D" w:rsidR="002F128A" w:rsidRPr="007E7FBF" w:rsidRDefault="002F128A" w:rsidP="002F128A">
      <w:pPr>
        <w:pStyle w:val="subsection"/>
      </w:pPr>
      <w:r w:rsidRPr="007E7FBF">
        <w:tab/>
        <w:t>(1)</w:t>
      </w:r>
      <w:r w:rsidRPr="007E7FBF">
        <w:tab/>
        <w:t>The Accreditation Registrar must create and maintain, in association with the Register of Accredited Persons, a database that includes:</w:t>
      </w:r>
    </w:p>
    <w:p w14:paraId="4F926619" w14:textId="3213ACEA" w:rsidR="002F128A" w:rsidRPr="007E7FBF" w:rsidRDefault="002F128A" w:rsidP="002F128A">
      <w:pPr>
        <w:pStyle w:val="paragraph"/>
      </w:pPr>
      <w:r w:rsidRPr="007E7FBF">
        <w:tab/>
        <w:t>(a)</w:t>
      </w:r>
      <w:r w:rsidRPr="007E7FBF">
        <w:tab/>
        <w:t>a list of data holders; and</w:t>
      </w:r>
    </w:p>
    <w:p w14:paraId="3E63BC93" w14:textId="49C25CDD" w:rsidR="002F128A" w:rsidRPr="007E7FBF" w:rsidRDefault="002F128A" w:rsidP="002F128A">
      <w:pPr>
        <w:pStyle w:val="paragraph"/>
      </w:pPr>
      <w:r w:rsidRPr="007E7FBF">
        <w:tab/>
        <w:t>(b)</w:t>
      </w:r>
      <w:r w:rsidRPr="007E7FBF">
        <w:tab/>
        <w:t>for each data holder:</w:t>
      </w:r>
    </w:p>
    <w:p w14:paraId="13463809" w14:textId="77777777" w:rsidR="002F128A" w:rsidRPr="007E7FBF" w:rsidRDefault="002F128A" w:rsidP="002F128A">
      <w:pPr>
        <w:pStyle w:val="paragraphsub"/>
      </w:pPr>
      <w:r w:rsidRPr="007E7FBF">
        <w:tab/>
        <w:t>(i)</w:t>
      </w:r>
      <w:r w:rsidRPr="007E7FBF">
        <w:tab/>
        <w:t>each brand name under which the data holder offers products in relation to which consumer data requests may be made under these rules; and</w:t>
      </w:r>
    </w:p>
    <w:p w14:paraId="07E06293" w14:textId="77777777" w:rsidR="002F128A" w:rsidRPr="007E7FBF" w:rsidRDefault="002F128A" w:rsidP="002F128A">
      <w:pPr>
        <w:pStyle w:val="paragraphsub"/>
      </w:pPr>
      <w:r w:rsidRPr="007E7FBF">
        <w:tab/>
        <w:t>(ii)</w:t>
      </w:r>
      <w:r w:rsidRPr="007E7FBF">
        <w:tab/>
        <w:t>a hyperlink to:</w:t>
      </w:r>
    </w:p>
    <w:p w14:paraId="463268CF" w14:textId="77777777" w:rsidR="002F128A" w:rsidRPr="007E7FBF" w:rsidRDefault="002F128A" w:rsidP="002F128A">
      <w:pPr>
        <w:pStyle w:val="paragraphsub-sub"/>
      </w:pPr>
      <w:r w:rsidRPr="007E7FBF">
        <w:tab/>
        <w:t>(A)</w:t>
      </w:r>
      <w:r w:rsidRPr="007E7FBF">
        <w:tab/>
        <w:t>the relevant web site address of the data holder; and</w:t>
      </w:r>
    </w:p>
    <w:p w14:paraId="16EBAB03" w14:textId="71B5AD2F" w:rsidR="002F128A" w:rsidRPr="007E7FBF" w:rsidRDefault="002F128A" w:rsidP="002F128A">
      <w:pPr>
        <w:pStyle w:val="paragraphsub-sub"/>
      </w:pPr>
      <w:r w:rsidRPr="007E7FBF">
        <w:tab/>
        <w:t>(B)</w:t>
      </w:r>
      <w:r w:rsidRPr="007E7FBF">
        <w:tab/>
        <w:t>the data holder’s CDR p</w:t>
      </w:r>
      <w:r w:rsidR="00F52EEB" w:rsidRPr="007E7FBF">
        <w:t>olicy</w:t>
      </w:r>
      <w:r w:rsidRPr="007E7FBF">
        <w:t>; and</w:t>
      </w:r>
    </w:p>
    <w:p w14:paraId="286CE4A2" w14:textId="407156A3" w:rsidR="00417701" w:rsidRPr="007E7FBF" w:rsidRDefault="00417701" w:rsidP="00417701">
      <w:pPr>
        <w:pStyle w:val="paragraphsub-sub"/>
      </w:pPr>
      <w:r w:rsidRPr="007E7FBF">
        <w:tab/>
        <w:t>(C)</w:t>
      </w:r>
      <w:r w:rsidRPr="007E7FBF">
        <w:tab/>
        <w:t>if the data holder has a CDR policy for a brand name under which the data holder offers products in relation which consumer data requests may be made under these rules―that policy; and</w:t>
      </w:r>
    </w:p>
    <w:p w14:paraId="748BDD9C" w14:textId="35116897" w:rsidR="00417701" w:rsidRPr="007E7FBF" w:rsidRDefault="002F128A" w:rsidP="00417701">
      <w:pPr>
        <w:pStyle w:val="paragraphsub"/>
      </w:pPr>
      <w:r w:rsidRPr="007E7FBF">
        <w:tab/>
        <w:t>(iii)</w:t>
      </w:r>
      <w:r w:rsidRPr="007E7FBF">
        <w:tab/>
        <w:t>the universal resource identifier for the data holder’s product data request service</w:t>
      </w:r>
      <w:r w:rsidR="00045173" w:rsidRPr="007E7FBF">
        <w:t>.</w:t>
      </w:r>
      <w:r w:rsidRPr="007E7FBF">
        <w:t>; and</w:t>
      </w:r>
    </w:p>
    <w:p w14:paraId="763701ED" w14:textId="39CB598E" w:rsidR="002F128A" w:rsidRPr="007E7FBF" w:rsidRDefault="002F128A" w:rsidP="002F128A">
      <w:pPr>
        <w:pStyle w:val="paragraph"/>
      </w:pPr>
      <w:r w:rsidRPr="007E7FBF">
        <w:tab/>
        <w:t>(c)</w:t>
      </w:r>
      <w:r w:rsidRPr="007E7FBF">
        <w:tab/>
        <w:t>such other information relating to each data holder and each accredited person as the Accreditation Registrar considers is required in order for requests under these rules to be processed in accordance with these rules and the data standards.</w:t>
      </w:r>
    </w:p>
    <w:p w14:paraId="5C794A7E" w14:textId="77777777" w:rsidR="002F128A" w:rsidRPr="007E7FBF" w:rsidRDefault="002F128A" w:rsidP="002F128A">
      <w:pPr>
        <w:pStyle w:val="notetext"/>
      </w:pPr>
      <w:r w:rsidRPr="007E7FBF">
        <w:t>Note 1:</w:t>
      </w:r>
      <w:r w:rsidRPr="007E7FBF">
        <w:tab/>
        <w:t xml:space="preserve">For subparagraph (b)(i), for the banking sector, see </w:t>
      </w:r>
      <w:r w:rsidRPr="007E7FBF">
        <w:rPr>
          <w:bCs/>
          <w:lang w:val="en-US"/>
        </w:rPr>
        <w:t>Part 6</w:t>
      </w:r>
      <w:r w:rsidRPr="007E7FBF">
        <w:t xml:space="preserve"> of </w:t>
      </w:r>
      <w:r w:rsidRPr="007E7FBF">
        <w:rPr>
          <w:bCs/>
          <w:lang w:val="en-US"/>
        </w:rPr>
        <w:t>Schedule 3</w:t>
      </w:r>
      <w:r w:rsidRPr="007E7FBF">
        <w:t xml:space="preserve"> for the staged application of these rules.</w:t>
      </w:r>
    </w:p>
    <w:p w14:paraId="63B8DE9D" w14:textId="77777777" w:rsidR="00060A81" w:rsidRPr="007E7FBF" w:rsidRDefault="00060A81" w:rsidP="00060A81">
      <w:pPr>
        <w:pStyle w:val="notetext"/>
      </w:pPr>
      <w:r w:rsidRPr="007E7FBF">
        <w:t>Note 2:</w:t>
      </w:r>
      <w:r w:rsidRPr="007E7FBF">
        <w:tab/>
        <w:t>For the banking sector, see subclause </w:t>
      </w:r>
      <w:r w:rsidRPr="007E7FBF">
        <w:rPr>
          <w:bCs/>
          <w:lang w:val="en-US"/>
        </w:rPr>
        <w:t>6.3(2)</w:t>
      </w:r>
      <w:r w:rsidRPr="007E7FBF">
        <w:t xml:space="preserve"> of </w:t>
      </w:r>
      <w:r w:rsidRPr="007E7FBF">
        <w:rPr>
          <w:bCs/>
          <w:lang w:val="en-US"/>
        </w:rPr>
        <w:t>Schedule 3</w:t>
      </w:r>
      <w:r w:rsidRPr="007E7FBF">
        <w:t xml:space="preserve"> for additional information to be included.</w:t>
      </w:r>
    </w:p>
    <w:p w14:paraId="2F2751C1" w14:textId="77777777" w:rsidR="00CF0E3D" w:rsidRPr="0013792B" w:rsidRDefault="00CF0E3D" w:rsidP="00CF0E3D">
      <w:pPr>
        <w:pStyle w:val="SubsectionHead"/>
      </w:pPr>
      <w:r w:rsidRPr="0013792B">
        <w:t>Accreditation Registrar may request further information</w:t>
      </w:r>
    </w:p>
    <w:p w14:paraId="127827F1" w14:textId="77777777" w:rsidR="00CF0E3D" w:rsidRPr="0020066B" w:rsidRDefault="00CF0E3D" w:rsidP="00CF0E3D">
      <w:pPr>
        <w:pStyle w:val="subsection"/>
      </w:pPr>
      <w:r w:rsidRPr="0020066B">
        <w:tab/>
      </w:r>
      <w:r>
        <w:t>(2)</w:t>
      </w:r>
      <w:r w:rsidRPr="0020066B">
        <w:tab/>
        <w:t>The Accreditation Registrar may:</w:t>
      </w:r>
    </w:p>
    <w:p w14:paraId="26A0FF53" w14:textId="4EB0C0F5" w:rsidR="00CF0E3D" w:rsidRPr="0020066B" w:rsidRDefault="00CF0E3D" w:rsidP="00CF0E3D">
      <w:pPr>
        <w:pStyle w:val="paragraph"/>
      </w:pPr>
      <w:r w:rsidRPr="0020066B">
        <w:tab/>
      </w:r>
      <w:r>
        <w:t>(a)</w:t>
      </w:r>
      <w:r w:rsidRPr="0020066B">
        <w:tab/>
        <w:t xml:space="preserve">request a data </w:t>
      </w:r>
      <w:r w:rsidRPr="0054321A">
        <w:t>holder</w:t>
      </w:r>
      <w:r w:rsidR="00617CBE" w:rsidRPr="0054321A">
        <w:t xml:space="preserve"> </w:t>
      </w:r>
      <w:r w:rsidRPr="0054321A">
        <w:t>or</w:t>
      </w:r>
      <w:r w:rsidRPr="0020066B">
        <w:t xml:space="preserve"> accredited person to provide the information referred to in subrule </w:t>
      </w:r>
      <w:r>
        <w:t>(1)</w:t>
      </w:r>
      <w:r w:rsidRPr="0020066B">
        <w:t>, or updates to that information; and</w:t>
      </w:r>
    </w:p>
    <w:p w14:paraId="096FE487" w14:textId="77777777" w:rsidR="00CF0E3D" w:rsidRPr="0020066B" w:rsidRDefault="00CF0E3D" w:rsidP="00CF0E3D">
      <w:pPr>
        <w:pStyle w:val="paragraph"/>
      </w:pPr>
      <w:r w:rsidRPr="0020066B">
        <w:tab/>
      </w:r>
      <w:r>
        <w:t>(b)</w:t>
      </w:r>
      <w:r w:rsidRPr="0020066B">
        <w:tab/>
        <w:t>specify the form in which the information or updates are to be provided.</w:t>
      </w:r>
    </w:p>
    <w:p w14:paraId="249ECC90" w14:textId="6DE755B6" w:rsidR="00CF0E3D" w:rsidRPr="00C02000" w:rsidRDefault="00CF0E3D" w:rsidP="00CF0E3D">
      <w:pPr>
        <w:pStyle w:val="subsection"/>
      </w:pPr>
      <w:r w:rsidRPr="00C02000">
        <w:tab/>
      </w:r>
      <w:r>
        <w:t>(3)</w:t>
      </w:r>
      <w:r w:rsidRPr="00C02000">
        <w:tab/>
      </w:r>
      <w:r w:rsidRPr="00EF1C66">
        <w:t xml:space="preserve">The data holder or </w:t>
      </w:r>
      <w:r w:rsidRPr="00C02000">
        <w:t xml:space="preserve">accredited person must comply with a request under subrule </w:t>
      </w:r>
      <w:r>
        <w:t>(2)</w:t>
      </w:r>
      <w:r w:rsidRPr="00C02000">
        <w:t>.</w:t>
      </w:r>
    </w:p>
    <w:p w14:paraId="7B1A68A8" w14:textId="77777777" w:rsidR="00CF0E3D" w:rsidRPr="00C02000" w:rsidRDefault="00CF0E3D" w:rsidP="00CF0E3D">
      <w:pPr>
        <w:pStyle w:val="subsection"/>
      </w:pPr>
      <w:r w:rsidRPr="00C02000">
        <w:tab/>
      </w:r>
      <w:r w:rsidRPr="00C02000">
        <w:tab/>
        <w:t>Civil penalty:</w:t>
      </w:r>
    </w:p>
    <w:p w14:paraId="3F2DE5A6" w14:textId="77777777" w:rsidR="00CF0E3D" w:rsidRPr="00C02000" w:rsidRDefault="00CF0E3D" w:rsidP="00CF0E3D">
      <w:pPr>
        <w:pStyle w:val="paragraph"/>
      </w:pPr>
      <w:r w:rsidRPr="00C02000">
        <w:tab/>
        <w:t>(a)</w:t>
      </w:r>
      <w:r w:rsidRPr="00C02000">
        <w:tab/>
        <w:t>for an individual―$50,000; and</w:t>
      </w:r>
    </w:p>
    <w:p w14:paraId="5ECFEB71" w14:textId="77777777" w:rsidR="00CF0E3D" w:rsidRPr="00C02000" w:rsidRDefault="00CF0E3D" w:rsidP="00CF0E3D">
      <w:pPr>
        <w:pStyle w:val="paragraph"/>
      </w:pPr>
      <w:r w:rsidRPr="00C02000">
        <w:tab/>
        <w:t>(b)</w:t>
      </w:r>
      <w:r w:rsidRPr="00C02000">
        <w:tab/>
        <w:t>for a body corporate―$250,000.</w:t>
      </w:r>
    </w:p>
    <w:p w14:paraId="69883B98" w14:textId="77777777" w:rsidR="00CF0E3D" w:rsidRPr="00956176" w:rsidRDefault="00CF0E3D" w:rsidP="00CF0E3D">
      <w:pPr>
        <w:pStyle w:val="SubsectionHead"/>
      </w:pPr>
      <w:r w:rsidRPr="00956176">
        <w:t>Obligation to inform Accreditation Registrar to keep information up</w:t>
      </w:r>
      <w:r w:rsidRPr="00956176">
        <w:noBreakHyphen/>
        <w:t>to</w:t>
      </w:r>
      <w:r w:rsidRPr="00956176">
        <w:noBreakHyphen/>
        <w:t>date</w:t>
      </w:r>
    </w:p>
    <w:p w14:paraId="2A63257D" w14:textId="77777777" w:rsidR="00CF0E3D" w:rsidRPr="007C39E2" w:rsidRDefault="00CF0E3D" w:rsidP="00CF0E3D">
      <w:pPr>
        <w:pStyle w:val="subsection"/>
      </w:pPr>
      <w:r w:rsidRPr="00956176">
        <w:tab/>
      </w:r>
      <w:r>
        <w:t>(4)</w:t>
      </w:r>
      <w:r w:rsidRPr="00956176">
        <w:tab/>
        <w:t>Subrule </w:t>
      </w:r>
      <w:r>
        <w:t>(5)</w:t>
      </w:r>
      <w:r w:rsidRPr="00956176">
        <w:t xml:space="preserve"> applies if</w:t>
      </w:r>
      <w:r>
        <w:t xml:space="preserve"> </w:t>
      </w:r>
      <w:r w:rsidRPr="007C39E2">
        <w:t>a data holder or an accredited person:</w:t>
      </w:r>
    </w:p>
    <w:p w14:paraId="38A1FC22" w14:textId="77777777" w:rsidR="00CF0E3D" w:rsidRPr="007C39E2" w:rsidRDefault="00CF0E3D" w:rsidP="00CF0E3D">
      <w:pPr>
        <w:pStyle w:val="paragraph"/>
      </w:pPr>
      <w:r w:rsidRPr="007C39E2">
        <w:tab/>
      </w:r>
      <w:r>
        <w:t>(a)</w:t>
      </w:r>
      <w:r w:rsidRPr="007C39E2">
        <w:tab/>
        <w:t>has provided information to the Accreditation Registrar in accordance with this rule; and</w:t>
      </w:r>
    </w:p>
    <w:p w14:paraId="39528862" w14:textId="77777777" w:rsidR="00CF0E3D" w:rsidRPr="007C39E2" w:rsidRDefault="00CF0E3D" w:rsidP="00CF0E3D">
      <w:pPr>
        <w:pStyle w:val="paragraph"/>
      </w:pPr>
      <w:r w:rsidRPr="007C39E2">
        <w:tab/>
      </w:r>
      <w:r>
        <w:t>(b)</w:t>
      </w:r>
      <w:r w:rsidRPr="007C39E2">
        <w:tab/>
        <w:t>becomes aware that the information:</w:t>
      </w:r>
    </w:p>
    <w:p w14:paraId="2E46DDE3" w14:textId="77777777" w:rsidR="00CF0E3D" w:rsidRPr="007C39E2" w:rsidRDefault="00CF0E3D" w:rsidP="00CF0E3D">
      <w:pPr>
        <w:pStyle w:val="paragraphsub"/>
      </w:pPr>
      <w:r w:rsidRPr="007C39E2">
        <w:tab/>
      </w:r>
      <w:r>
        <w:t>(i)</w:t>
      </w:r>
      <w:r w:rsidRPr="007C39E2">
        <w:tab/>
        <w:t>is out of date; or</w:t>
      </w:r>
    </w:p>
    <w:p w14:paraId="6FBB0F79" w14:textId="77777777" w:rsidR="00CF0E3D" w:rsidRPr="007C39E2" w:rsidRDefault="00CF0E3D" w:rsidP="00CF0E3D">
      <w:pPr>
        <w:pStyle w:val="paragraphsub"/>
      </w:pPr>
      <w:r w:rsidRPr="007C39E2">
        <w:tab/>
      </w:r>
      <w:r>
        <w:t>(ii)</w:t>
      </w:r>
      <w:r w:rsidRPr="007C39E2">
        <w:tab/>
        <w:t>needs to be amended in order for product data requests and consumer data requests made under these rules to be processed in accordance with these rules and the data standards.</w:t>
      </w:r>
    </w:p>
    <w:p w14:paraId="764D9621" w14:textId="77777777" w:rsidR="00CF0E3D" w:rsidRDefault="00CF0E3D" w:rsidP="00CF0E3D">
      <w:pPr>
        <w:pStyle w:val="subsection"/>
      </w:pPr>
      <w:r w:rsidRPr="007C39E2">
        <w:tab/>
      </w:r>
      <w:r>
        <w:t>(5)</w:t>
      </w:r>
      <w:r w:rsidRPr="007C39E2">
        <w:tab/>
        <w:t>The data holder or accredited person, as appropriate, must inform the Accreditation Registrar of the amendment that should be made to the database</w:t>
      </w:r>
      <w:r w:rsidRPr="00AF356E">
        <w:t xml:space="preserve"> </w:t>
      </w:r>
      <w:r w:rsidRPr="007C39E2">
        <w:t xml:space="preserve">in the form approved by the Registrar for the purposes of this </w:t>
      </w:r>
      <w:r>
        <w:t>subrule and as soon as practicable after the data holder or accredited person becomes aware of either of the matters mentioned in paragraph (4)(b)</w:t>
      </w:r>
      <w:r w:rsidRPr="007C39E2">
        <w:t>.</w:t>
      </w:r>
    </w:p>
    <w:p w14:paraId="198575E3" w14:textId="77777777" w:rsidR="00CF0E3D" w:rsidRPr="005F3D40" w:rsidRDefault="00CF0E3D" w:rsidP="00CF0E3D">
      <w:pPr>
        <w:pStyle w:val="subsection"/>
        <w:rPr>
          <w:color w:val="000000" w:themeColor="text1"/>
        </w:rPr>
      </w:pPr>
      <w:r>
        <w:tab/>
      </w:r>
      <w:r>
        <w:tab/>
      </w:r>
      <w:r w:rsidRPr="005F3D40">
        <w:rPr>
          <w:color w:val="000000" w:themeColor="text1"/>
        </w:rPr>
        <w:t>Civil penalty:</w:t>
      </w:r>
    </w:p>
    <w:p w14:paraId="30084FB8" w14:textId="77777777" w:rsidR="00CF0E3D" w:rsidRPr="005F3D40" w:rsidRDefault="00CF0E3D" w:rsidP="00CF0E3D">
      <w:pPr>
        <w:pStyle w:val="paragraph"/>
        <w:rPr>
          <w:color w:val="000000" w:themeColor="text1"/>
        </w:rPr>
      </w:pPr>
      <w:r w:rsidRPr="005F3D40">
        <w:rPr>
          <w:color w:val="000000" w:themeColor="text1"/>
        </w:rPr>
        <w:tab/>
        <w:t>(a)</w:t>
      </w:r>
      <w:r w:rsidRPr="005F3D40">
        <w:rPr>
          <w:color w:val="000000" w:themeColor="text1"/>
        </w:rPr>
        <w:tab/>
        <w:t>for an individual―$50,000; and</w:t>
      </w:r>
    </w:p>
    <w:p w14:paraId="49E71FE8" w14:textId="77777777" w:rsidR="00CF0E3D" w:rsidRDefault="00CF0E3D" w:rsidP="00CF0E3D">
      <w:pPr>
        <w:pStyle w:val="paragraph"/>
      </w:pPr>
      <w:r w:rsidRPr="005F3D40">
        <w:rPr>
          <w:color w:val="000000" w:themeColor="text1"/>
        </w:rPr>
        <w:tab/>
        <w:t>(b)</w:t>
      </w:r>
      <w:r w:rsidRPr="005F3D40">
        <w:rPr>
          <w:color w:val="000000" w:themeColor="text1"/>
        </w:rPr>
        <w:tab/>
        <w:t>for a body corporate―$250,000.</w:t>
      </w:r>
    </w:p>
    <w:p w14:paraId="42BFEDDC" w14:textId="77777777" w:rsidR="00CF0E3D" w:rsidRPr="0070205C" w:rsidRDefault="00CF0E3D" w:rsidP="00CF0E3D">
      <w:pPr>
        <w:pStyle w:val="ActHead5"/>
      </w:pPr>
      <w:bookmarkStart w:id="416" w:name="_Toc11771657"/>
      <w:bookmarkStart w:id="417" w:name="_Toc74916227"/>
      <w:r>
        <w:t>5.26</w:t>
      </w:r>
      <w:r w:rsidRPr="007C39E2">
        <w:t xml:space="preserve">  Amendment and correction of entries in Register of Accredited Persons</w:t>
      </w:r>
      <w:bookmarkEnd w:id="416"/>
      <w:r w:rsidRPr="007C39E2">
        <w:t xml:space="preserve"> </w:t>
      </w:r>
      <w:r w:rsidRPr="0070205C">
        <w:t>and database</w:t>
      </w:r>
      <w:bookmarkEnd w:id="417"/>
    </w:p>
    <w:p w14:paraId="5814DDF2" w14:textId="77777777" w:rsidR="00CF0E3D" w:rsidRPr="0070205C" w:rsidRDefault="00CF0E3D" w:rsidP="00CF0E3D">
      <w:pPr>
        <w:pStyle w:val="subsection"/>
      </w:pPr>
      <w:r w:rsidRPr="0070205C">
        <w:tab/>
      </w:r>
      <w:r w:rsidRPr="0070205C">
        <w:tab/>
        <w:t>The Accreditation Registrar:</w:t>
      </w:r>
    </w:p>
    <w:p w14:paraId="339382A1" w14:textId="77777777" w:rsidR="00CF0E3D" w:rsidRPr="001D08C5" w:rsidRDefault="00CF0E3D" w:rsidP="00CF0E3D">
      <w:pPr>
        <w:pStyle w:val="paragraph"/>
      </w:pPr>
      <w:r w:rsidRPr="001D08C5">
        <w:tab/>
      </w:r>
      <w:r>
        <w:t>(a)</w:t>
      </w:r>
      <w:r w:rsidRPr="001D08C5">
        <w:tab/>
        <w:t>must, as soon as practicable after receiving information from the Data Recipient Accreditor that must be entered on the Register, enter that information on the Register;</w:t>
      </w:r>
      <w:r>
        <w:t xml:space="preserve"> and</w:t>
      </w:r>
    </w:p>
    <w:p w14:paraId="3D071BAD" w14:textId="77777777" w:rsidR="00CF0E3D" w:rsidRPr="001D08C5" w:rsidRDefault="00CF0E3D" w:rsidP="00CF0E3D">
      <w:pPr>
        <w:pStyle w:val="paragraph"/>
      </w:pPr>
      <w:r w:rsidRPr="001D08C5">
        <w:tab/>
      </w:r>
      <w:r>
        <w:t>(b)</w:t>
      </w:r>
      <w:r w:rsidRPr="001D08C5">
        <w:tab/>
        <w:t>must, as soon as practicable after receiving information from the Data Recipient Accreditor that requires the Registrar to update information on the Register, update the Register;</w:t>
      </w:r>
      <w:r>
        <w:t xml:space="preserve"> and</w:t>
      </w:r>
    </w:p>
    <w:p w14:paraId="54BD96BC" w14:textId="77777777" w:rsidR="00CF0E3D" w:rsidRPr="0070205C" w:rsidRDefault="00CF0E3D" w:rsidP="00CF0E3D">
      <w:pPr>
        <w:pStyle w:val="paragraph"/>
      </w:pPr>
      <w:r w:rsidRPr="0070205C">
        <w:tab/>
      </w:r>
      <w:r>
        <w:t>(c)</w:t>
      </w:r>
      <w:r w:rsidRPr="0070205C">
        <w:tab/>
        <w:t xml:space="preserve">may, to the extent the Accreditation Registrar considers necessary, amend the database referred to in subrule </w:t>
      </w:r>
      <w:r w:rsidRPr="0018423B">
        <w:rPr>
          <w:bCs/>
          <w:lang w:val="en-US"/>
        </w:rPr>
        <w:t>5.25(1)</w:t>
      </w:r>
      <w:r w:rsidRPr="0070205C">
        <w:t xml:space="preserve"> to reflect any amendment the Registrar has been informed of in accordance with rule </w:t>
      </w:r>
      <w:r w:rsidRPr="0018423B">
        <w:rPr>
          <w:bCs/>
          <w:lang w:val="en-US"/>
        </w:rPr>
        <w:t>5.25</w:t>
      </w:r>
      <w:r w:rsidRPr="0070205C">
        <w:t>; and</w:t>
      </w:r>
    </w:p>
    <w:p w14:paraId="084C90CD" w14:textId="77777777" w:rsidR="00CF0E3D" w:rsidRPr="007C39E2" w:rsidRDefault="00CF0E3D" w:rsidP="00CF0E3D">
      <w:pPr>
        <w:pStyle w:val="paragraph"/>
      </w:pPr>
      <w:r w:rsidRPr="0070205C">
        <w:tab/>
      </w:r>
      <w:r>
        <w:t>(d)</w:t>
      </w:r>
      <w:r w:rsidRPr="0070205C">
        <w:tab/>
        <w:t xml:space="preserve">may </w:t>
      </w:r>
      <w:r w:rsidRPr="0070205C">
        <w:rPr>
          <w:color w:val="000000" w:themeColor="text1"/>
        </w:rPr>
        <w:t xml:space="preserve">make clerical </w:t>
      </w:r>
      <w:r w:rsidRPr="0070205C">
        <w:t>amend</w:t>
      </w:r>
      <w:r w:rsidRPr="0070205C">
        <w:rPr>
          <w:color w:val="000000" w:themeColor="text1"/>
        </w:rPr>
        <w:t>ments to</w:t>
      </w:r>
      <w:r w:rsidRPr="0070205C">
        <w:t xml:space="preserve"> entries in the Register or database as appropriate to ensure the accuracy of the Register or database.</w:t>
      </w:r>
    </w:p>
    <w:p w14:paraId="7C5BCE87" w14:textId="77777777" w:rsidR="00CF0E3D" w:rsidRPr="0020066B" w:rsidRDefault="00CF0E3D" w:rsidP="00CF0E3D">
      <w:pPr>
        <w:pStyle w:val="ActHead5"/>
      </w:pPr>
      <w:bookmarkStart w:id="418" w:name="_Toc74916228"/>
      <w:r>
        <w:t>5.27</w:t>
      </w:r>
      <w:r w:rsidRPr="0020066B">
        <w:t xml:space="preserve">  Publication or availability of specified information in the Register of Accredited Persons</w:t>
      </w:r>
      <w:bookmarkEnd w:id="418"/>
    </w:p>
    <w:p w14:paraId="690F0AE0" w14:textId="77777777" w:rsidR="00CF0E3D" w:rsidRPr="0020066B" w:rsidRDefault="00CF0E3D" w:rsidP="00CF0E3D">
      <w:pPr>
        <w:pStyle w:val="subsection"/>
      </w:pPr>
      <w:r w:rsidRPr="0020066B">
        <w:tab/>
      </w:r>
      <w:r w:rsidRPr="0020066B">
        <w:tab/>
        <w:t>For paragraph 56CE(4)(c) of the Act, the Accreditation Registrar must, in the manner the Registrar thinks fit, make the following information publicly available:</w:t>
      </w:r>
    </w:p>
    <w:p w14:paraId="01211AB5" w14:textId="77777777" w:rsidR="00CF0E3D" w:rsidRPr="0020066B" w:rsidRDefault="00CF0E3D" w:rsidP="00CF0E3D">
      <w:pPr>
        <w:pStyle w:val="paragraph"/>
      </w:pPr>
      <w:r w:rsidRPr="0020066B">
        <w:tab/>
      </w:r>
      <w:r>
        <w:t>(a)</w:t>
      </w:r>
      <w:r w:rsidRPr="0020066B">
        <w:tab/>
        <w:t>the information referred to in rule </w:t>
      </w:r>
      <w:r>
        <w:t>5.24</w:t>
      </w:r>
      <w:r w:rsidRPr="0020066B">
        <w:t>;</w:t>
      </w:r>
    </w:p>
    <w:p w14:paraId="6E0A315F" w14:textId="77777777" w:rsidR="00CF0E3D" w:rsidRPr="0020066B" w:rsidRDefault="00CF0E3D" w:rsidP="00CF0E3D">
      <w:pPr>
        <w:pStyle w:val="paragraph"/>
      </w:pPr>
      <w:r w:rsidRPr="0020066B">
        <w:tab/>
      </w:r>
      <w:r>
        <w:t>(b)</w:t>
      </w:r>
      <w:r w:rsidRPr="0020066B">
        <w:tab/>
        <w:t>the information referred to in paragraphs </w:t>
      </w:r>
      <w:r>
        <w:t>5.25(1)(a) and</w:t>
      </w:r>
      <w:r w:rsidRPr="0020066B">
        <w:t xml:space="preserve"> </w:t>
      </w:r>
      <w:r>
        <w:t>(b)</w:t>
      </w:r>
      <w:r w:rsidRPr="0020066B">
        <w:t>.</w:t>
      </w:r>
    </w:p>
    <w:p w14:paraId="1814FC61" w14:textId="77777777" w:rsidR="00CF0E3D" w:rsidRPr="0020066B" w:rsidRDefault="00CF0E3D" w:rsidP="00CF0E3D">
      <w:pPr>
        <w:pStyle w:val="notetext"/>
      </w:pPr>
      <w:r w:rsidRPr="0020066B">
        <w:t>Note:</w:t>
      </w:r>
      <w:r w:rsidRPr="0020066B">
        <w:tab/>
        <w:t>For the banking sector, see subclause </w:t>
      </w:r>
      <w:r>
        <w:t>6.3(3)</w:t>
      </w:r>
      <w:r w:rsidRPr="0020066B">
        <w:t xml:space="preserve"> of </w:t>
      </w:r>
      <w:r>
        <w:t>Schedule 3</w:t>
      </w:r>
      <w:r w:rsidRPr="0020066B">
        <w:t xml:space="preserve"> for other information the Accreditation Registrar must make publicly available.</w:t>
      </w:r>
    </w:p>
    <w:p w14:paraId="7822E5C8" w14:textId="77777777" w:rsidR="00CF0E3D" w:rsidRPr="001D08C5" w:rsidRDefault="00CF0E3D" w:rsidP="00CF0E3D">
      <w:pPr>
        <w:pStyle w:val="ActHead5"/>
      </w:pPr>
      <w:bookmarkStart w:id="419" w:name="_Toc74916229"/>
      <w:r>
        <w:t>5.28</w:t>
      </w:r>
      <w:r w:rsidRPr="001D08C5">
        <w:t xml:space="preserve">  Making information available to the Commission, the Information Commissioner and the Data Recipient Accreditor</w:t>
      </w:r>
      <w:bookmarkEnd w:id="419"/>
    </w:p>
    <w:p w14:paraId="6DD633F9" w14:textId="77777777" w:rsidR="00CF0E3D" w:rsidRPr="001D08C5" w:rsidRDefault="00CF0E3D" w:rsidP="00CF0E3D">
      <w:pPr>
        <w:pStyle w:val="subsection"/>
      </w:pPr>
      <w:r w:rsidRPr="001D08C5">
        <w:tab/>
      </w:r>
      <w:r w:rsidRPr="001D08C5">
        <w:tab/>
        <w:t>The Accreditation Registrar must make available to the Commission, the Information Commissioner and the Data Recipient Accreditor, on request:</w:t>
      </w:r>
    </w:p>
    <w:p w14:paraId="4D94BD49" w14:textId="77777777" w:rsidR="00CF0E3D" w:rsidRPr="001D08C5" w:rsidRDefault="00CF0E3D" w:rsidP="00CF0E3D">
      <w:pPr>
        <w:pStyle w:val="paragraph"/>
      </w:pPr>
      <w:r w:rsidRPr="001D08C5">
        <w:tab/>
      </w:r>
      <w:r>
        <w:t>(a)</w:t>
      </w:r>
      <w:r w:rsidRPr="001D08C5">
        <w:tab/>
        <w:t xml:space="preserve">all or part of the Register </w:t>
      </w:r>
      <w:r>
        <w:t xml:space="preserve">of Accredited Persons </w:t>
      </w:r>
      <w:r w:rsidRPr="001D08C5">
        <w:t>or the associated database; or</w:t>
      </w:r>
    </w:p>
    <w:p w14:paraId="5E2E6DAA" w14:textId="77777777" w:rsidR="00CF0E3D" w:rsidRPr="001D08C5" w:rsidRDefault="00CF0E3D" w:rsidP="00CF0E3D">
      <w:pPr>
        <w:pStyle w:val="paragraph"/>
      </w:pPr>
      <w:r w:rsidRPr="001D08C5">
        <w:tab/>
      </w:r>
      <w:r>
        <w:t>(b)</w:t>
      </w:r>
      <w:r w:rsidRPr="001D08C5">
        <w:tab/>
        <w:t>specified information in the Register or the associated database; or</w:t>
      </w:r>
    </w:p>
    <w:p w14:paraId="3631EBEC" w14:textId="77777777" w:rsidR="00CF0E3D" w:rsidRPr="001D08C5" w:rsidRDefault="00CF0E3D" w:rsidP="00CF0E3D">
      <w:pPr>
        <w:pStyle w:val="paragraph"/>
      </w:pPr>
      <w:r w:rsidRPr="001D08C5">
        <w:tab/>
      </w:r>
      <w:r>
        <w:t>(c)</w:t>
      </w:r>
      <w:r w:rsidRPr="001D08C5">
        <w:tab/>
        <w:t>any information held by the Registrar in relation to the Register or the associated database.</w:t>
      </w:r>
    </w:p>
    <w:p w14:paraId="34349C6B" w14:textId="77777777" w:rsidR="00CF0E3D" w:rsidRPr="001D08C5" w:rsidRDefault="00CF0E3D" w:rsidP="00CF0E3D">
      <w:pPr>
        <w:pStyle w:val="ActHead5"/>
      </w:pPr>
      <w:bookmarkStart w:id="420" w:name="_Toc74916230"/>
      <w:r>
        <w:t>5.29</w:t>
      </w:r>
      <w:r w:rsidRPr="001D08C5">
        <w:t xml:space="preserve">  Publication of specified information by the Commission</w:t>
      </w:r>
      <w:bookmarkEnd w:id="420"/>
    </w:p>
    <w:p w14:paraId="61618CFC" w14:textId="77777777" w:rsidR="00CF0E3D" w:rsidRPr="001D08C5" w:rsidRDefault="00CF0E3D" w:rsidP="00CF0E3D">
      <w:pPr>
        <w:pStyle w:val="subsection"/>
      </w:pPr>
      <w:r w:rsidRPr="001D08C5">
        <w:tab/>
      </w:r>
      <w:r w:rsidRPr="001D08C5">
        <w:tab/>
        <w:t>The Commission may publish information made available to it by the Accreditation Registrar relating to the performance and availability of systems to respon</w:t>
      </w:r>
      <w:r>
        <w:t>d to requests under these rules.</w:t>
      </w:r>
    </w:p>
    <w:p w14:paraId="766A90C3" w14:textId="77777777" w:rsidR="00CF0E3D" w:rsidRPr="00646E04" w:rsidRDefault="00CF0E3D" w:rsidP="00CF0E3D">
      <w:pPr>
        <w:pStyle w:val="ActHead5"/>
      </w:pPr>
      <w:bookmarkStart w:id="421" w:name="_Toc74916231"/>
      <w:r>
        <w:t xml:space="preserve">5.30  </w:t>
      </w:r>
      <w:r w:rsidRPr="00646E04">
        <w:t>Other functions of Accreditation Registrar</w:t>
      </w:r>
      <w:bookmarkEnd w:id="421"/>
    </w:p>
    <w:p w14:paraId="71407449" w14:textId="77777777" w:rsidR="00CF0E3D" w:rsidRDefault="00CF0E3D" w:rsidP="00CF0E3D">
      <w:pPr>
        <w:pStyle w:val="subsection"/>
      </w:pPr>
      <w:r>
        <w:tab/>
      </w:r>
      <w:r>
        <w:tab/>
      </w:r>
      <w:r w:rsidRPr="00646E04">
        <w:t>For paragraph 56CL(1)(b) of the Act, the other functions of the Accreditation Registrar include the following:</w:t>
      </w:r>
    </w:p>
    <w:p w14:paraId="50BA00A4" w14:textId="77974F62" w:rsidR="00CF0E3D" w:rsidRPr="0020066B" w:rsidRDefault="00CF0E3D" w:rsidP="00CF0E3D">
      <w:pPr>
        <w:pStyle w:val="paragraph"/>
      </w:pPr>
      <w:r w:rsidRPr="0020066B">
        <w:tab/>
      </w:r>
      <w:r>
        <w:t>(a)</w:t>
      </w:r>
      <w:r w:rsidRPr="0020066B">
        <w:tab/>
        <w:t xml:space="preserve">enabling information included in the Register of Accredited Persons </w:t>
      </w:r>
      <w:r w:rsidRPr="007C39E2">
        <w:t xml:space="preserve">and associated database </w:t>
      </w:r>
      <w:r w:rsidRPr="0020066B">
        <w:t xml:space="preserve">to be communicated to data holders and accredited persons to facilitate </w:t>
      </w:r>
      <w:r w:rsidRPr="00086F26">
        <w:t xml:space="preserve">the making and </w:t>
      </w:r>
      <w:r w:rsidRPr="0020066B">
        <w:t>processing of requests under these rules in accordance with these rules and the data standards;</w:t>
      </w:r>
    </w:p>
    <w:p w14:paraId="0AB7719E" w14:textId="02CD5818" w:rsidR="00CF0E3D" w:rsidRPr="003F3AC9" w:rsidRDefault="00CF0E3D" w:rsidP="00CF0E3D">
      <w:pPr>
        <w:pStyle w:val="paragraph"/>
      </w:pPr>
      <w:r w:rsidRPr="003F3AC9">
        <w:tab/>
      </w:r>
      <w:r>
        <w:t>(b)</w:t>
      </w:r>
      <w:r w:rsidRPr="003F3AC9">
        <w:tab/>
        <w:t>maintaining the security, integrity and stability of the Register and associated database</w:t>
      </w:r>
      <w:r w:rsidRPr="00086F26">
        <w:t xml:space="preserve">, including undertaking or facilitating any testing </w:t>
      </w:r>
      <w:r>
        <w:t xml:space="preserve">by </w:t>
      </w:r>
      <w:r w:rsidRPr="00CC65F9">
        <w:t>CDR participants</w:t>
      </w:r>
      <w:r w:rsidR="004676DA" w:rsidRPr="00CC65F9">
        <w:t xml:space="preserve"> </w:t>
      </w:r>
      <w:r w:rsidRPr="00CC65F9">
        <w:t>for that</w:t>
      </w:r>
      <w:r w:rsidRPr="00086F26">
        <w:t xml:space="preserve"> purpose</w:t>
      </w:r>
      <w:r w:rsidRPr="003F3AC9">
        <w:t>;</w:t>
      </w:r>
    </w:p>
    <w:p w14:paraId="3A8E6C4D" w14:textId="1AB93D01" w:rsidR="00CF0E3D" w:rsidRDefault="00CF0E3D" w:rsidP="00CF0E3D">
      <w:pPr>
        <w:pStyle w:val="paragraph"/>
      </w:pPr>
      <w:r w:rsidRPr="003F3AC9">
        <w:tab/>
      </w:r>
      <w:r>
        <w:t>(c)</w:t>
      </w:r>
      <w:r w:rsidRPr="003F3AC9">
        <w:tab/>
        <w:t>requesting a data holder or an accredited person to do specified things where that is necessary or convenient in order for the Accreditation Registrar to perform its functions or exercise its powers;</w:t>
      </w:r>
    </w:p>
    <w:p w14:paraId="04DD9EC4" w14:textId="77777777" w:rsidR="00CF0E3D" w:rsidRPr="00BF7C0A" w:rsidRDefault="00CF0E3D" w:rsidP="00CF0E3D">
      <w:pPr>
        <w:pStyle w:val="notetext"/>
      </w:pPr>
      <w:r w:rsidRPr="00623150">
        <w:t>Example:</w:t>
      </w:r>
      <w:r w:rsidRPr="00623150">
        <w:tab/>
        <w:t>The Accreditation Registrar could request data holders or accredited persons to undertake and complete testing where it is necessary or convenient for the Registrar to perform its</w:t>
      </w:r>
      <w:r>
        <w:t xml:space="preserve"> functions under paragraph (b).</w:t>
      </w:r>
    </w:p>
    <w:p w14:paraId="4520820B" w14:textId="77777777" w:rsidR="00CF0E3D" w:rsidRDefault="00CF0E3D" w:rsidP="00CF0E3D">
      <w:pPr>
        <w:pStyle w:val="paragraph"/>
      </w:pPr>
      <w:r w:rsidRPr="00005026">
        <w:tab/>
      </w:r>
      <w:r>
        <w:t>(d)</w:t>
      </w:r>
      <w:r w:rsidRPr="00005026">
        <w:tab/>
        <w:t>informing the Data Recipient Accreditor of any failure of an accredited person to comply with a condition of its accreditation or to do things requested by the Registrar in the performance of its functions or the exercise of its powers</w:t>
      </w:r>
      <w:r>
        <w:t>.</w:t>
      </w:r>
    </w:p>
    <w:p w14:paraId="0B29CCB8" w14:textId="77777777" w:rsidR="00CF0E3D" w:rsidRDefault="00CF0E3D" w:rsidP="00CF0E3D">
      <w:pPr>
        <w:pStyle w:val="notetext"/>
      </w:pPr>
      <w:r>
        <w:t>Note:</w:t>
      </w:r>
      <w:r>
        <w:tab/>
      </w:r>
      <w:r w:rsidRPr="00646E04">
        <w:t>The Accreditation Registrar has the power to do all things necessary or convenient to be done for or in connection with the performance of its functions. See subsection 56CL(2) of the Act.</w:t>
      </w:r>
    </w:p>
    <w:p w14:paraId="5D9F77D3" w14:textId="77777777" w:rsidR="00CF0E3D" w:rsidRPr="0020066B" w:rsidRDefault="00CF0E3D" w:rsidP="00CF0E3D">
      <w:pPr>
        <w:pStyle w:val="ActHead5"/>
      </w:pPr>
      <w:bookmarkStart w:id="422" w:name="_Toc74916232"/>
      <w:r>
        <w:t>5.31</w:t>
      </w:r>
      <w:r w:rsidRPr="0020066B">
        <w:t xml:space="preserve">  Obligation to comply with Accreditation Registrar’s request</w:t>
      </w:r>
      <w:bookmarkEnd w:id="422"/>
    </w:p>
    <w:p w14:paraId="49C4B058" w14:textId="4F661041" w:rsidR="00CF0E3D" w:rsidRPr="00540804" w:rsidRDefault="00CF0E3D" w:rsidP="00CF0E3D">
      <w:pPr>
        <w:pStyle w:val="subsection"/>
      </w:pPr>
      <w:r w:rsidRPr="0020066B">
        <w:tab/>
      </w:r>
      <w:r>
        <w:t>(1)</w:t>
      </w:r>
      <w:r w:rsidRPr="0020066B">
        <w:tab/>
        <w:t>The Accreditation Registrar may request a data holder</w:t>
      </w:r>
      <w:r>
        <w:t xml:space="preserve"> </w:t>
      </w:r>
      <w:r w:rsidRPr="00540804">
        <w:t>or an accredited person to do a specified thing in order to ensure the security, integrity and stability of the Register of Accredited Persons or associated database.</w:t>
      </w:r>
    </w:p>
    <w:p w14:paraId="19ADFFE1" w14:textId="198A63A2" w:rsidR="00CF0E3D" w:rsidRPr="00540804" w:rsidRDefault="00CF0E3D" w:rsidP="00CF0E3D">
      <w:pPr>
        <w:pStyle w:val="subsection"/>
      </w:pPr>
      <w:r w:rsidRPr="00540804">
        <w:tab/>
      </w:r>
      <w:r>
        <w:t>(2)</w:t>
      </w:r>
      <w:r w:rsidRPr="00540804">
        <w:tab/>
        <w:t>The data holder or accredited person must comply with such a request.</w:t>
      </w:r>
    </w:p>
    <w:p w14:paraId="433E2165" w14:textId="77777777" w:rsidR="00CF0E3D" w:rsidRPr="00540804" w:rsidRDefault="00CF0E3D" w:rsidP="00CF0E3D">
      <w:pPr>
        <w:pStyle w:val="notetext"/>
      </w:pPr>
      <w:r w:rsidRPr="00540804">
        <w:t>Note:</w:t>
      </w:r>
      <w:r w:rsidRPr="00540804">
        <w:tab/>
        <w:t>This subrule is a civil penalty provision (see rule </w:t>
      </w:r>
      <w:r>
        <w:t>9.8</w:t>
      </w:r>
      <w:r w:rsidRPr="00540804">
        <w:t xml:space="preserve">). </w:t>
      </w:r>
    </w:p>
    <w:p w14:paraId="4194048C" w14:textId="77777777" w:rsidR="00CF0E3D" w:rsidRPr="0097565F" w:rsidRDefault="00CF0E3D" w:rsidP="00CF0E3D">
      <w:pPr>
        <w:pStyle w:val="ActHead5"/>
      </w:pPr>
      <w:bookmarkStart w:id="423" w:name="_Toc11771658"/>
      <w:bookmarkStart w:id="424" w:name="_Toc74916233"/>
      <w:r>
        <w:t>5.32</w:t>
      </w:r>
      <w:r w:rsidRPr="0097565F">
        <w:t xml:space="preserve">  Automated decision</w:t>
      </w:r>
      <w:r w:rsidRPr="0097565F">
        <w:noBreakHyphen/>
        <w:t>making</w:t>
      </w:r>
      <w:r>
        <w:t>—Accreditation Registrar</w:t>
      </w:r>
      <w:bookmarkEnd w:id="423"/>
      <w:bookmarkEnd w:id="424"/>
    </w:p>
    <w:p w14:paraId="667F3511" w14:textId="77777777" w:rsidR="00CF0E3D" w:rsidRDefault="00CF0E3D" w:rsidP="00CF0E3D">
      <w:pPr>
        <w:pStyle w:val="subsection"/>
      </w:pPr>
      <w:r w:rsidRPr="0097565F">
        <w:tab/>
      </w:r>
      <w:r w:rsidRPr="0097565F">
        <w:tab/>
      </w:r>
      <w:r>
        <w:t xml:space="preserve">The Accreditation Registrar may </w:t>
      </w:r>
      <w:r w:rsidRPr="0097565F">
        <w:t>automate processes (including decision</w:t>
      </w:r>
      <w:r w:rsidRPr="0097565F">
        <w:noBreakHyphen/>
        <w:t>making) under these rules.</w:t>
      </w:r>
    </w:p>
    <w:p w14:paraId="3923AE95" w14:textId="77777777" w:rsidR="00CF0E3D" w:rsidRPr="00CE5ECF" w:rsidRDefault="00CF0E3D" w:rsidP="00CF0E3D">
      <w:pPr>
        <w:pStyle w:val="ActHead5"/>
      </w:pPr>
      <w:bookmarkStart w:id="425" w:name="_Toc36136024"/>
      <w:bookmarkStart w:id="426" w:name="_Toc57219101"/>
      <w:bookmarkStart w:id="427" w:name="_Toc59549173"/>
      <w:bookmarkStart w:id="428" w:name="_Toc74916234"/>
      <w:r w:rsidRPr="00CE5ECF">
        <w:t>5.33  Temporary restriction on use of the Register in relation to data holder</w:t>
      </w:r>
      <w:bookmarkEnd w:id="425"/>
      <w:bookmarkEnd w:id="426"/>
      <w:bookmarkEnd w:id="427"/>
      <w:bookmarkEnd w:id="428"/>
    </w:p>
    <w:p w14:paraId="28ED6911" w14:textId="77777777" w:rsidR="00CF0E3D" w:rsidRPr="00CE5ECF" w:rsidRDefault="00CF0E3D" w:rsidP="00CF0E3D">
      <w:pPr>
        <w:pStyle w:val="subsection"/>
      </w:pPr>
      <w:r w:rsidRPr="00CE5ECF">
        <w:tab/>
        <w:t>(1)</w:t>
      </w:r>
      <w:r w:rsidRPr="00CE5ECF">
        <w:tab/>
        <w:t>The Accreditation Registrar may take steps to prevent the Register of Accredited Persons and associated database from being used to make consumer data requests to a data holder, for a period of up to</w:t>
      </w:r>
      <w:r w:rsidRPr="00CE5ECF">
        <w:rPr>
          <w:i/>
        </w:rPr>
        <w:t xml:space="preserve"> </w:t>
      </w:r>
      <w:r w:rsidRPr="00CE5ECF">
        <w:t>10 days, if the Accreditation Registrar reasonably believes it is necessary to do so in order to ensure the security, integrity and stability of the Register or associated database.</w:t>
      </w:r>
    </w:p>
    <w:p w14:paraId="36E469F9" w14:textId="77777777" w:rsidR="00CF0E3D" w:rsidRPr="00CE5ECF" w:rsidRDefault="00CF0E3D" w:rsidP="00CF0E3D">
      <w:pPr>
        <w:pStyle w:val="subsection"/>
      </w:pPr>
      <w:r w:rsidRPr="00CE5ECF">
        <w:tab/>
        <w:t>(2)</w:t>
      </w:r>
      <w:r w:rsidRPr="00CE5ECF">
        <w:tab/>
        <w:t>The steps taken by the Accreditation Registrar may include amending the information in the associated database relating to a data holder that is used to facilitate the making and processing of requests.</w:t>
      </w:r>
    </w:p>
    <w:p w14:paraId="73C24328" w14:textId="77777777" w:rsidR="00CF0E3D" w:rsidRPr="00CE5ECF" w:rsidRDefault="00CF0E3D" w:rsidP="00CF0E3D">
      <w:pPr>
        <w:pStyle w:val="subsection"/>
      </w:pPr>
      <w:r w:rsidRPr="00CE5ECF">
        <w:tab/>
        <w:t>(3)</w:t>
      </w:r>
      <w:r w:rsidRPr="00CE5ECF">
        <w:tab/>
        <w:t>Before, or as soon as practicable after, taking steps under subrule (1), the Accreditation Registrar must:</w:t>
      </w:r>
    </w:p>
    <w:p w14:paraId="7E973D3A" w14:textId="77777777" w:rsidR="00CF0E3D" w:rsidRPr="00CE5ECF" w:rsidRDefault="00CF0E3D" w:rsidP="00CF0E3D">
      <w:pPr>
        <w:pStyle w:val="paragraph"/>
      </w:pPr>
      <w:r w:rsidRPr="00CE5ECF">
        <w:tab/>
        <w:t>(a)</w:t>
      </w:r>
      <w:r w:rsidRPr="00CE5ECF">
        <w:tab/>
        <w:t>inform the data holder of the steps to be taken, or that have been taken; and</w:t>
      </w:r>
    </w:p>
    <w:p w14:paraId="0B14E943" w14:textId="77777777" w:rsidR="00CF0E3D" w:rsidRPr="00CE5ECF" w:rsidRDefault="00CF0E3D" w:rsidP="00CF0E3D">
      <w:pPr>
        <w:pStyle w:val="paragraph"/>
      </w:pPr>
      <w:r w:rsidRPr="00CE5ECF">
        <w:tab/>
        <w:t>(b)</w:t>
      </w:r>
      <w:r w:rsidRPr="00CE5ECF">
        <w:tab/>
        <w:t>give the data holder a reasonable opportunity to be heard in relation to the matter.</w:t>
      </w:r>
    </w:p>
    <w:p w14:paraId="3C456750" w14:textId="77777777" w:rsidR="00CF0E3D" w:rsidRPr="00CE5ECF" w:rsidRDefault="00CF0E3D" w:rsidP="00CF0E3D">
      <w:pPr>
        <w:pStyle w:val="subsection"/>
      </w:pPr>
      <w:r w:rsidRPr="00CE5ECF">
        <w:tab/>
        <w:t>(4)</w:t>
      </w:r>
      <w:r w:rsidRPr="00CE5ECF">
        <w:tab/>
        <w:t>Despite anything else in these rules, a data holder is not required to disclose CDR data in response to a request, where responding to the request would require the data holder to use the Register of Accredited Persons or associated database in a way that is not available to the data holder at that time by reason of steps taken under this rule.</w:t>
      </w:r>
    </w:p>
    <w:p w14:paraId="4D9935D6" w14:textId="77777777" w:rsidR="00CF0E3D" w:rsidRPr="00CE5ECF" w:rsidRDefault="00CF0E3D" w:rsidP="00CF0E3D">
      <w:pPr>
        <w:pStyle w:val="ActHead5"/>
      </w:pPr>
      <w:bookmarkStart w:id="429" w:name="_Toc36136025"/>
      <w:bookmarkStart w:id="430" w:name="_Toc57219102"/>
      <w:bookmarkStart w:id="431" w:name="_Toc59549174"/>
      <w:bookmarkStart w:id="432" w:name="_Toc74916235"/>
      <w:r w:rsidRPr="00CE5ECF">
        <w:t>5.34  Temporary direction to refrain from processing consumer data requests</w:t>
      </w:r>
      <w:bookmarkEnd w:id="429"/>
      <w:bookmarkEnd w:id="430"/>
      <w:bookmarkEnd w:id="431"/>
      <w:bookmarkEnd w:id="432"/>
    </w:p>
    <w:p w14:paraId="09B3416A" w14:textId="77777777" w:rsidR="00CF0E3D" w:rsidRPr="00CE5ECF" w:rsidRDefault="00CF0E3D" w:rsidP="00CF0E3D">
      <w:pPr>
        <w:pStyle w:val="subsection"/>
      </w:pPr>
      <w:r w:rsidRPr="00CE5ECF">
        <w:tab/>
        <w:t>(1)</w:t>
      </w:r>
      <w:r w:rsidRPr="00CE5ECF">
        <w:tab/>
        <w:t>The Accreditation Registrar may, by written notice:</w:t>
      </w:r>
    </w:p>
    <w:p w14:paraId="3CE13DD9" w14:textId="77777777" w:rsidR="00CF0E3D" w:rsidRPr="00CE5ECF" w:rsidRDefault="00CF0E3D" w:rsidP="00CF0E3D">
      <w:pPr>
        <w:pStyle w:val="paragraph"/>
      </w:pPr>
      <w:r w:rsidRPr="00CE5ECF">
        <w:tab/>
        <w:t>(a)</w:t>
      </w:r>
      <w:r w:rsidRPr="00CE5ECF">
        <w:tab/>
        <w:t>direct an accredited person not to make consumer data requests; or</w:t>
      </w:r>
    </w:p>
    <w:p w14:paraId="280E8C78" w14:textId="77777777" w:rsidR="00CF0E3D" w:rsidRPr="00CE5ECF" w:rsidRDefault="00CF0E3D" w:rsidP="00CF0E3D">
      <w:pPr>
        <w:pStyle w:val="paragraph"/>
        <w:keepNext/>
      </w:pPr>
      <w:r w:rsidRPr="00CE5ECF">
        <w:tab/>
        <w:t>(b)</w:t>
      </w:r>
      <w:r w:rsidRPr="00CE5ECF">
        <w:tab/>
        <w:t>direct a data holder not to respond to consumer data requests;</w:t>
      </w:r>
    </w:p>
    <w:p w14:paraId="512F9AE1" w14:textId="77777777" w:rsidR="00CF0E3D" w:rsidRPr="00CE5ECF" w:rsidRDefault="00CF0E3D" w:rsidP="00CF0E3D">
      <w:pPr>
        <w:pStyle w:val="subsection"/>
        <w:spacing w:before="100"/>
      </w:pPr>
      <w:r w:rsidRPr="00CE5ECF">
        <w:tab/>
      </w:r>
      <w:r w:rsidRPr="00CE5ECF">
        <w:tab/>
        <w:t>for a period of up to</w:t>
      </w:r>
      <w:r w:rsidRPr="00CE5ECF">
        <w:rPr>
          <w:i/>
        </w:rPr>
        <w:t xml:space="preserve"> </w:t>
      </w:r>
      <w:r w:rsidRPr="00CE5ECF">
        <w:t>10 days, if the Accreditation Registrar reasonably believes it is necessary to do so in order to ensure the security, integrity and stability of the Register or associated database.</w:t>
      </w:r>
    </w:p>
    <w:p w14:paraId="2A5587ED" w14:textId="77777777" w:rsidR="00CF0E3D" w:rsidRPr="00CE5ECF" w:rsidRDefault="00CF0E3D" w:rsidP="00CF0E3D">
      <w:pPr>
        <w:pStyle w:val="subsection"/>
      </w:pPr>
      <w:r w:rsidRPr="00CE5ECF">
        <w:tab/>
        <w:t>(2)</w:t>
      </w:r>
      <w:r w:rsidRPr="00CE5ECF">
        <w:tab/>
        <w:t>The notice must specify:</w:t>
      </w:r>
    </w:p>
    <w:p w14:paraId="2E4C4EF0" w14:textId="77777777" w:rsidR="00CF0E3D" w:rsidRPr="00CE5ECF" w:rsidRDefault="00CF0E3D" w:rsidP="00CF0E3D">
      <w:pPr>
        <w:pStyle w:val="paragraph"/>
      </w:pPr>
      <w:r w:rsidRPr="00CE5ECF">
        <w:tab/>
        <w:t>(a)</w:t>
      </w:r>
      <w:r w:rsidRPr="00CE5ECF">
        <w:tab/>
        <w:t>whether the direction applies to all consumer data requests or to requests made to a particular data holder or by a particular accredited person; and</w:t>
      </w:r>
    </w:p>
    <w:p w14:paraId="407D1DBC" w14:textId="77777777" w:rsidR="00CF0E3D" w:rsidRPr="00CE5ECF" w:rsidRDefault="00CF0E3D" w:rsidP="00CF0E3D">
      <w:pPr>
        <w:pStyle w:val="paragraph"/>
      </w:pPr>
      <w:r w:rsidRPr="00CE5ECF">
        <w:tab/>
        <w:t>(b)</w:t>
      </w:r>
      <w:r w:rsidRPr="00CE5ECF">
        <w:tab/>
        <w:t>the period of application.</w:t>
      </w:r>
    </w:p>
    <w:p w14:paraId="1AEA9941" w14:textId="77777777" w:rsidR="00CF0E3D" w:rsidRPr="00CE5ECF" w:rsidRDefault="00CF0E3D" w:rsidP="00CF0E3D">
      <w:pPr>
        <w:pStyle w:val="subsection"/>
      </w:pPr>
      <w:r w:rsidRPr="00CE5ECF">
        <w:tab/>
        <w:t>(3)</w:t>
      </w:r>
      <w:r w:rsidRPr="00CE5ECF">
        <w:tab/>
        <w:t>Before, or as soon as practicable after, giving a direction, the Accreditation Registrar must give the accredited person or data holder a reasonable opportunity to be heard in relation to the matter.</w:t>
      </w:r>
    </w:p>
    <w:p w14:paraId="350611EE" w14:textId="77777777" w:rsidR="00CF0E3D" w:rsidRPr="00CE5ECF" w:rsidRDefault="00CF0E3D" w:rsidP="00CF0E3D">
      <w:pPr>
        <w:pStyle w:val="subsection"/>
      </w:pPr>
      <w:r w:rsidRPr="00CE5ECF">
        <w:tab/>
        <w:t>(4)</w:t>
      </w:r>
      <w:r w:rsidRPr="00CE5ECF">
        <w:tab/>
        <w:t>Despite anything else in these rules:</w:t>
      </w:r>
    </w:p>
    <w:p w14:paraId="44EA9D98" w14:textId="77777777" w:rsidR="00CF0E3D" w:rsidRPr="00CE5ECF" w:rsidRDefault="00CF0E3D" w:rsidP="00CF0E3D">
      <w:pPr>
        <w:pStyle w:val="paragraph"/>
      </w:pPr>
      <w:r w:rsidRPr="00CE5ECF">
        <w:tab/>
        <w:t>(a)</w:t>
      </w:r>
      <w:r w:rsidRPr="00CE5ECF">
        <w:tab/>
        <w:t>an accredited person must not make a consumer data request contrary to a direction it has received under this rule; and</w:t>
      </w:r>
    </w:p>
    <w:p w14:paraId="77ACAAA7" w14:textId="77777777" w:rsidR="00CF0E3D" w:rsidRPr="00CE5ECF" w:rsidRDefault="00CF0E3D" w:rsidP="00CF0E3D">
      <w:pPr>
        <w:pStyle w:val="paragraph"/>
      </w:pPr>
      <w:r w:rsidRPr="00CE5ECF">
        <w:tab/>
        <w:t>(b)</w:t>
      </w:r>
      <w:r w:rsidRPr="00CE5ECF">
        <w:tab/>
        <w:t>a data holder must not disclose CDR data in response to a consumer data request contrary to a direction it has received under this rule.</w:t>
      </w:r>
    </w:p>
    <w:p w14:paraId="361BD216" w14:textId="77777777" w:rsidR="00CF0E3D" w:rsidRPr="00CE5ECF" w:rsidRDefault="00CF0E3D" w:rsidP="00CF0E3D">
      <w:pPr>
        <w:pStyle w:val="subsection"/>
      </w:pPr>
      <w:r w:rsidRPr="00CE5ECF">
        <w:tab/>
      </w:r>
      <w:r w:rsidRPr="00CE5ECF">
        <w:tab/>
        <w:t>Civil penalty:</w:t>
      </w:r>
    </w:p>
    <w:p w14:paraId="645774ED" w14:textId="77777777" w:rsidR="00CF0E3D" w:rsidRPr="00CE5ECF" w:rsidRDefault="00CF0E3D" w:rsidP="00CF0E3D">
      <w:pPr>
        <w:pStyle w:val="paragraph"/>
      </w:pPr>
      <w:r w:rsidRPr="00CE5ECF">
        <w:tab/>
        <w:t>(a)</w:t>
      </w:r>
      <w:r w:rsidRPr="00CE5ECF">
        <w:tab/>
        <w:t>for an individual―$50,000; and</w:t>
      </w:r>
    </w:p>
    <w:p w14:paraId="0A2D8743" w14:textId="77777777" w:rsidR="00CF0E3D" w:rsidRDefault="00CF0E3D" w:rsidP="00CF0E3D">
      <w:pPr>
        <w:pStyle w:val="paragraph"/>
      </w:pPr>
      <w:r w:rsidRPr="00CE5ECF">
        <w:tab/>
        <w:t>(b)</w:t>
      </w:r>
      <w:r>
        <w:tab/>
        <w:t>for a body corporate―$250,000.</w:t>
      </w:r>
    </w:p>
    <w:p w14:paraId="0FAABCAE" w14:textId="77777777" w:rsidR="00CF0E3D" w:rsidRPr="00E64A41" w:rsidRDefault="00CF0E3D" w:rsidP="00CF0E3D">
      <w:pPr>
        <w:pStyle w:val="subsection"/>
        <w:sectPr w:rsidR="00CF0E3D" w:rsidRPr="00E64A41" w:rsidSect="00C81B0F">
          <w:headerReference w:type="even" r:id="rId14"/>
          <w:headerReference w:type="default" r:id="rId15"/>
          <w:footerReference w:type="even" r:id="rId16"/>
          <w:pgSz w:w="11907" w:h="16839" w:code="9"/>
          <w:pgMar w:top="2234" w:right="1797" w:bottom="1440" w:left="1797" w:header="720" w:footer="709" w:gutter="0"/>
          <w:cols w:space="708"/>
          <w:docGrid w:linePitch="360"/>
        </w:sectPr>
      </w:pPr>
    </w:p>
    <w:p w14:paraId="2415208D" w14:textId="77777777" w:rsidR="00CF0E3D" w:rsidRDefault="00CF0E3D" w:rsidP="00CF0E3D">
      <w:pPr>
        <w:pStyle w:val="ActHead2"/>
      </w:pPr>
      <w:bookmarkStart w:id="433" w:name="_Toc11771659"/>
      <w:bookmarkStart w:id="434" w:name="_Toc74916236"/>
      <w:r>
        <w:t>Part 6—Rules relating to dispute resolution</w:t>
      </w:r>
      <w:bookmarkEnd w:id="433"/>
      <w:bookmarkEnd w:id="434"/>
    </w:p>
    <w:p w14:paraId="598E83AF" w14:textId="77777777" w:rsidR="00CF0E3D" w:rsidRPr="00E1300D" w:rsidRDefault="00CF0E3D" w:rsidP="00CF0E3D">
      <w:pPr>
        <w:pStyle w:val="ActHead5"/>
        <w:rPr>
          <w:color w:val="000000" w:themeColor="text1"/>
        </w:rPr>
      </w:pPr>
      <w:bookmarkStart w:id="435" w:name="_Toc74916237"/>
      <w:bookmarkStart w:id="436" w:name="_Toc11771660"/>
      <w:r>
        <w:rPr>
          <w:color w:val="000000" w:themeColor="text1"/>
        </w:rPr>
        <w:t>6.1</w:t>
      </w:r>
      <w:r w:rsidRPr="00E1300D">
        <w:rPr>
          <w:color w:val="000000" w:themeColor="text1"/>
        </w:rPr>
        <w:t xml:space="preserve">  Requirement for data holders―internal dispute resolution</w:t>
      </w:r>
      <w:bookmarkEnd w:id="435"/>
    </w:p>
    <w:p w14:paraId="4B5EAED5" w14:textId="77777777" w:rsidR="00CF0E3D" w:rsidRPr="00E1300D" w:rsidRDefault="00CF0E3D" w:rsidP="00CF0E3D">
      <w:pPr>
        <w:pStyle w:val="subsection"/>
        <w:rPr>
          <w:color w:val="000000" w:themeColor="text1"/>
        </w:rPr>
      </w:pPr>
      <w:r w:rsidRPr="00E1300D">
        <w:rPr>
          <w:color w:val="000000" w:themeColor="text1"/>
        </w:rPr>
        <w:tab/>
      </w:r>
      <w:r w:rsidRPr="00E1300D">
        <w:rPr>
          <w:color w:val="000000" w:themeColor="text1"/>
        </w:rPr>
        <w:tab/>
        <w:t xml:space="preserve">A data holder in relation to a particular designated sector must have internal dispute resolution </w:t>
      </w:r>
      <w:r w:rsidRPr="00814B1D">
        <w:t xml:space="preserve">processes </w:t>
      </w:r>
      <w:r w:rsidRPr="00E1300D">
        <w:rPr>
          <w:color w:val="000000" w:themeColor="text1"/>
        </w:rPr>
        <w:t>that meet the internal dispute resolution requirements in relation to that sector.</w:t>
      </w:r>
    </w:p>
    <w:p w14:paraId="0A660E8E" w14:textId="11B61B79" w:rsidR="00CF0E3D" w:rsidRPr="007E7FBF" w:rsidRDefault="005032E9" w:rsidP="00CF0E3D">
      <w:pPr>
        <w:pStyle w:val="notetext"/>
      </w:pPr>
      <w:r w:rsidRPr="007E7FBF">
        <w:t>Note 1:</w:t>
      </w:r>
      <w:r w:rsidR="00994C1B" w:rsidRPr="007E7FBF">
        <w:tab/>
      </w:r>
      <w:r w:rsidR="00CF0E3D" w:rsidRPr="007E7FBF">
        <w:t>See the definition of “meets the internal dispute resolution requirements</w:t>
      </w:r>
      <w:r w:rsidR="00994C1B" w:rsidRPr="007E7FBF">
        <w:t>”</w:t>
      </w:r>
      <w:r w:rsidR="00CF0E3D" w:rsidRPr="007E7FBF">
        <w:t>in relation to the banking sector in subrule 1.7(1), see and clause 5.1 of Schedule 3.</w:t>
      </w:r>
    </w:p>
    <w:p w14:paraId="084903A7" w14:textId="77777777" w:rsidR="00CF0E3D" w:rsidRPr="00814B1D" w:rsidRDefault="00CF0E3D" w:rsidP="00CF0E3D">
      <w:pPr>
        <w:pStyle w:val="notetext"/>
      </w:pPr>
      <w:r w:rsidRPr="00E1300D">
        <w:rPr>
          <w:color w:val="000000" w:themeColor="text1"/>
        </w:rPr>
        <w:t>Note 2:</w:t>
      </w:r>
      <w:r w:rsidRPr="00E1300D">
        <w:rPr>
          <w:color w:val="000000" w:themeColor="text1"/>
        </w:rPr>
        <w:tab/>
      </w:r>
      <w:r w:rsidRPr="00814B1D">
        <w:t>An accredited person must also have internal dispute resolution processes that meet those internal dispute resolution requirements: see paragraph </w:t>
      </w:r>
      <w:r>
        <w:t>5.12(1)(b)</w:t>
      </w:r>
      <w:r w:rsidRPr="00814B1D">
        <w:t>.</w:t>
      </w:r>
    </w:p>
    <w:p w14:paraId="741DDBA1" w14:textId="68001165" w:rsidR="00CF0E3D" w:rsidRDefault="00CF0E3D" w:rsidP="00CF0E3D">
      <w:pPr>
        <w:pStyle w:val="notetext"/>
        <w:rPr>
          <w:color w:val="000000" w:themeColor="text1"/>
        </w:rPr>
      </w:pPr>
      <w:r w:rsidRPr="00814B1D">
        <w:t>Note 3:</w:t>
      </w:r>
      <w:r w:rsidRPr="00814B1D">
        <w:tab/>
      </w:r>
      <w:r w:rsidRPr="00E1300D">
        <w:rPr>
          <w:color w:val="000000" w:themeColor="text1"/>
        </w:rPr>
        <w:t>This rule is a civil penalty provision (see rule </w:t>
      </w:r>
      <w:r>
        <w:rPr>
          <w:color w:val="000000" w:themeColor="text1"/>
        </w:rPr>
        <w:t>9.8</w:t>
      </w:r>
      <w:r w:rsidRPr="00E1300D">
        <w:rPr>
          <w:color w:val="000000" w:themeColor="text1"/>
        </w:rPr>
        <w:t>).</w:t>
      </w:r>
      <w:bookmarkEnd w:id="436"/>
    </w:p>
    <w:p w14:paraId="387FB802" w14:textId="77777777" w:rsidR="00CF0E3D" w:rsidRPr="001151F8" w:rsidRDefault="00CF0E3D" w:rsidP="00CF0E3D">
      <w:pPr>
        <w:pStyle w:val="ActHead5"/>
      </w:pPr>
      <w:bookmarkStart w:id="437" w:name="_Toc74916238"/>
      <w:r>
        <w:t>6.2</w:t>
      </w:r>
      <w:r w:rsidRPr="001151F8">
        <w:t xml:space="preserve">  Requirement for data holders―external dispute resolution</w:t>
      </w:r>
      <w:bookmarkEnd w:id="437"/>
    </w:p>
    <w:p w14:paraId="16C2FCC5" w14:textId="77777777" w:rsidR="00CF0E3D" w:rsidRPr="001151F8" w:rsidRDefault="00CF0E3D" w:rsidP="00CF0E3D">
      <w:pPr>
        <w:pStyle w:val="subsection"/>
      </w:pPr>
      <w:r w:rsidRPr="001151F8">
        <w:tab/>
      </w:r>
      <w:r w:rsidRPr="001151F8">
        <w:tab/>
        <w:t>A data holder must be a member of a recognised external dispute resolution scheme in relation to CDR consumer complaints.</w:t>
      </w:r>
    </w:p>
    <w:p w14:paraId="5167D573" w14:textId="77777777" w:rsidR="00CF0E3D" w:rsidRPr="001151F8" w:rsidRDefault="00CF0E3D" w:rsidP="00CF0E3D">
      <w:pPr>
        <w:pStyle w:val="notetext"/>
      </w:pPr>
      <w:r w:rsidRPr="001151F8">
        <w:t>Note 1:</w:t>
      </w:r>
      <w:r w:rsidRPr="001151F8">
        <w:tab/>
        <w:t>See the definition of “recognised external dispute resolution scheme” in subrule </w:t>
      </w:r>
      <w:r>
        <w:t>1.7(1)</w:t>
      </w:r>
      <w:r w:rsidRPr="001151F8">
        <w:t>, and see subrule </w:t>
      </w:r>
      <w:r>
        <w:t>1.7(3)</w:t>
      </w:r>
      <w:r w:rsidRPr="001151F8">
        <w:t xml:space="preserve"> for the interpretation of references to “data holder”.</w:t>
      </w:r>
    </w:p>
    <w:p w14:paraId="17748C59" w14:textId="77777777" w:rsidR="00CF0E3D" w:rsidRPr="00814B1D" w:rsidRDefault="00CF0E3D" w:rsidP="00CF0E3D">
      <w:pPr>
        <w:pStyle w:val="notetext"/>
      </w:pPr>
      <w:r w:rsidRPr="001151F8">
        <w:t>Note 2:</w:t>
      </w:r>
      <w:r w:rsidRPr="001151F8">
        <w:tab/>
      </w:r>
      <w:r w:rsidRPr="00814B1D">
        <w:t>An accredited person must also be a member of such a recognised external dispute resolution scheme: see paragraph </w:t>
      </w:r>
      <w:r>
        <w:t>5.12(1)(c)</w:t>
      </w:r>
      <w:r w:rsidRPr="00814B1D">
        <w:t>.</w:t>
      </w:r>
    </w:p>
    <w:p w14:paraId="6D38F790" w14:textId="77777777" w:rsidR="00CF0E3D" w:rsidRPr="001151F8" w:rsidRDefault="00CF0E3D" w:rsidP="00CF0E3D">
      <w:pPr>
        <w:pStyle w:val="notetext"/>
      </w:pPr>
      <w:r w:rsidRPr="00814B1D">
        <w:t>Note 3:</w:t>
      </w:r>
      <w:r w:rsidRPr="00814B1D">
        <w:tab/>
      </w:r>
      <w:r w:rsidRPr="001151F8">
        <w:t>This rule is a civil penalty provision (see rule </w:t>
      </w:r>
      <w:r>
        <w:t>9.8).</w:t>
      </w:r>
    </w:p>
    <w:p w14:paraId="3D7E4939" w14:textId="77777777" w:rsidR="00CF0E3D" w:rsidRPr="00E1300D" w:rsidRDefault="00CF0E3D" w:rsidP="00CF0E3D">
      <w:pPr>
        <w:pStyle w:val="notetext"/>
        <w:rPr>
          <w:color w:val="000000" w:themeColor="text1"/>
        </w:rPr>
      </w:pPr>
    </w:p>
    <w:p w14:paraId="30CBD791" w14:textId="77777777" w:rsidR="00CF0E3D" w:rsidRPr="00E64A41" w:rsidRDefault="00CF0E3D" w:rsidP="00CF0E3D">
      <w:pPr>
        <w:pStyle w:val="subsection"/>
        <w:sectPr w:rsidR="00CF0E3D" w:rsidRPr="00E64A41" w:rsidSect="00C81B0F">
          <w:headerReference w:type="even" r:id="rId17"/>
          <w:headerReference w:type="default" r:id="rId18"/>
          <w:footerReference w:type="even" r:id="rId19"/>
          <w:pgSz w:w="11907" w:h="16839" w:code="9"/>
          <w:pgMar w:top="2234" w:right="1797" w:bottom="1440" w:left="1797" w:header="720" w:footer="709" w:gutter="0"/>
          <w:cols w:space="708"/>
          <w:docGrid w:linePitch="360"/>
        </w:sectPr>
      </w:pPr>
    </w:p>
    <w:p w14:paraId="17199092" w14:textId="77777777" w:rsidR="00CF0E3D" w:rsidRDefault="00CF0E3D" w:rsidP="00CF0E3D">
      <w:pPr>
        <w:pStyle w:val="ActHead2"/>
      </w:pPr>
      <w:bookmarkStart w:id="438" w:name="_Toc11771663"/>
      <w:bookmarkStart w:id="439" w:name="_Toc74916239"/>
      <w:r>
        <w:t>Part 7—Rules relating to privacy safeguards</w:t>
      </w:r>
      <w:bookmarkEnd w:id="438"/>
      <w:bookmarkEnd w:id="439"/>
    </w:p>
    <w:p w14:paraId="4ACC0209" w14:textId="77777777" w:rsidR="00CF0E3D" w:rsidRPr="00B3173B" w:rsidRDefault="00CF0E3D" w:rsidP="00CF0E3D">
      <w:pPr>
        <w:pStyle w:val="ActHead3"/>
      </w:pPr>
      <w:bookmarkStart w:id="440" w:name="_Toc11771664"/>
      <w:bookmarkStart w:id="441" w:name="_Toc74916240"/>
      <w:r>
        <w:t>Division 7.1</w:t>
      </w:r>
      <w:r w:rsidRPr="00B3173B">
        <w:t>—Preliminary</w:t>
      </w:r>
      <w:bookmarkEnd w:id="440"/>
      <w:bookmarkEnd w:id="441"/>
    </w:p>
    <w:p w14:paraId="0F76FAAD" w14:textId="77777777" w:rsidR="00CF0E3D" w:rsidRPr="00B3173B" w:rsidRDefault="00CF0E3D" w:rsidP="00CF0E3D">
      <w:pPr>
        <w:pStyle w:val="ActHead5"/>
      </w:pPr>
      <w:bookmarkStart w:id="442" w:name="_Toc11771665"/>
      <w:bookmarkStart w:id="443" w:name="_Toc74916241"/>
      <w:r>
        <w:t>7.1</w:t>
      </w:r>
      <w:r w:rsidRPr="00B3173B">
        <w:t xml:space="preserve">  Simplified outline of this Part</w:t>
      </w:r>
      <w:bookmarkEnd w:id="442"/>
      <w:bookmarkEnd w:id="443"/>
    </w:p>
    <w:p w14:paraId="627B656F" w14:textId="77777777" w:rsidR="00CF0E3D" w:rsidRPr="003F3AC9" w:rsidRDefault="00CF0E3D" w:rsidP="00CF0E3D">
      <w:pPr>
        <w:pStyle w:val="SOText"/>
      </w:pPr>
      <w:r>
        <w:rPr>
          <w:color w:val="000000"/>
        </w:rPr>
        <w:t xml:space="preserve">The privacy safeguards are an additional protection given to CDR data under Part IV of the Act. The privacy safeguards </w:t>
      </w:r>
      <w:r>
        <w:rPr>
          <w:color w:val="000000"/>
          <w:szCs w:val="22"/>
          <w:shd w:val="clear" w:color="auto" w:fill="FFFFFF"/>
        </w:rPr>
        <w:t>apply only to CDR data for which there are one or more CDR consumers (</w:t>
      </w:r>
      <w:r w:rsidRPr="001A26F9">
        <w:rPr>
          <w:szCs w:val="22"/>
          <w:shd w:val="clear" w:color="auto" w:fill="FFFFFF"/>
        </w:rPr>
        <w:t xml:space="preserve">such as </w:t>
      </w:r>
      <w:r>
        <w:rPr>
          <w:color w:val="000000"/>
          <w:szCs w:val="22"/>
          <w:shd w:val="clear" w:color="auto" w:fill="FFFFFF"/>
        </w:rPr>
        <w:t xml:space="preserve">required consumer </w:t>
      </w:r>
      <w:r w:rsidRPr="003F3AC9">
        <w:rPr>
          <w:szCs w:val="22"/>
          <w:shd w:val="clear" w:color="auto" w:fill="FFFFFF"/>
        </w:rPr>
        <w:t>data and voluntary consumer data); they do not apply to CDR data for which there are no CDR consumers (such as required product data and voluntary product data).</w:t>
      </w:r>
    </w:p>
    <w:p w14:paraId="32EF4212" w14:textId="77777777" w:rsidR="00CF0E3D" w:rsidRPr="003F3AC9" w:rsidRDefault="00CF0E3D" w:rsidP="00CF0E3D">
      <w:pPr>
        <w:pStyle w:val="SOText"/>
      </w:pPr>
      <w:r w:rsidRPr="003F3AC9">
        <w:t>Several of the privacy safeguards depend on matters specified in these rules for their operation. This Part sets out the rules that relate to the privacy safeguards.</w:t>
      </w:r>
    </w:p>
    <w:p w14:paraId="1FC671DA" w14:textId="77777777" w:rsidR="00CF0E3D" w:rsidRPr="003F3AC9" w:rsidRDefault="00CF0E3D" w:rsidP="00CF0E3D">
      <w:pPr>
        <w:pStyle w:val="SOText"/>
      </w:pPr>
      <w:r w:rsidRPr="003F3AC9">
        <w:t xml:space="preserve">This Part also sets out some additional civil penalty provisions </w:t>
      </w:r>
      <w:r w:rsidRPr="003F3AC9">
        <w:rPr>
          <w:szCs w:val="22"/>
          <w:shd w:val="clear" w:color="auto" w:fill="FFFFFF"/>
        </w:rPr>
        <w:t>that protect the privacy or confidentiality of CDR consumers’ CDR data</w:t>
      </w:r>
      <w:r w:rsidRPr="003F3AC9">
        <w:t>.</w:t>
      </w:r>
    </w:p>
    <w:p w14:paraId="1B0A6C59" w14:textId="77777777" w:rsidR="00CF0E3D" w:rsidRDefault="00CF0E3D" w:rsidP="00CF0E3D">
      <w:pPr>
        <w:pStyle w:val="ActHead3"/>
        <w:pageBreakBefore/>
      </w:pPr>
      <w:bookmarkStart w:id="444" w:name="_Toc11771666"/>
      <w:bookmarkStart w:id="445" w:name="_Toc74916242"/>
      <w:r>
        <w:t>Division 7.2—Rules relating to privacy safeguards</w:t>
      </w:r>
      <w:bookmarkEnd w:id="444"/>
      <w:bookmarkEnd w:id="445"/>
    </w:p>
    <w:p w14:paraId="79EB55FD" w14:textId="77777777" w:rsidR="00CF0E3D" w:rsidRPr="00865C66" w:rsidRDefault="00CF0E3D" w:rsidP="00CF0E3D">
      <w:pPr>
        <w:pStyle w:val="ActHead4"/>
      </w:pPr>
      <w:bookmarkStart w:id="446" w:name="_Toc11771667"/>
      <w:bookmarkStart w:id="447" w:name="_Toc74916243"/>
      <w:r>
        <w:t>Subdivision 7.2.1—Rules relating to consideration of CDR data privacy</w:t>
      </w:r>
      <w:bookmarkEnd w:id="446"/>
      <w:bookmarkEnd w:id="447"/>
    </w:p>
    <w:p w14:paraId="544ECBF0" w14:textId="77777777" w:rsidR="00CF0E3D" w:rsidRDefault="00CF0E3D" w:rsidP="00CF0E3D">
      <w:pPr>
        <w:pStyle w:val="ActHead5"/>
      </w:pPr>
      <w:bookmarkStart w:id="448" w:name="_Toc11771668"/>
      <w:bookmarkStart w:id="449" w:name="_Toc74916244"/>
      <w:r>
        <w:t>7.2  Rule relating to privacy safeguard 1—open and transparent management of CDR data</w:t>
      </w:r>
      <w:bookmarkEnd w:id="448"/>
      <w:bookmarkEnd w:id="449"/>
    </w:p>
    <w:p w14:paraId="6DF287EF" w14:textId="77777777" w:rsidR="00CF0E3D" w:rsidRPr="00AB16B4" w:rsidRDefault="00CF0E3D" w:rsidP="00CF0E3D">
      <w:pPr>
        <w:pStyle w:val="SubsectionHead"/>
      </w:pPr>
      <w:r>
        <w:t>Policy about the management of CDR data</w:t>
      </w:r>
    </w:p>
    <w:p w14:paraId="0C55BC2F" w14:textId="77777777" w:rsidR="00CF0E3D" w:rsidRDefault="00CF0E3D" w:rsidP="00CF0E3D">
      <w:pPr>
        <w:pStyle w:val="subsection"/>
      </w:pPr>
      <w:r>
        <w:tab/>
        <w:t>(1)</w:t>
      </w:r>
      <w:r>
        <w:tab/>
      </w:r>
      <w:r w:rsidRPr="00D06907">
        <w:t xml:space="preserve">For </w:t>
      </w:r>
      <w:r>
        <w:t>paragraph 56ED(3)(b) of the Act, the Information Commissioner may approve a form for a CDR policy.</w:t>
      </w:r>
    </w:p>
    <w:p w14:paraId="50212154" w14:textId="77777777" w:rsidR="00CF0E3D" w:rsidRPr="00086F26" w:rsidRDefault="00CF0E3D" w:rsidP="00CF0E3D">
      <w:pPr>
        <w:pStyle w:val="subsection"/>
      </w:pPr>
      <w:r>
        <w:tab/>
        <w:t>(2)</w:t>
      </w:r>
      <w:r w:rsidRPr="00086F26">
        <w:tab/>
        <w:t>For paragraph 56ED(3)(b) of the Act, a CDR entity’s CDR policy must be in the form of a document that is distinct from any of the CDR entity’s privacy policies.</w:t>
      </w:r>
    </w:p>
    <w:p w14:paraId="22086D95" w14:textId="77777777" w:rsidR="00CF0E3D" w:rsidRPr="00AB16B4" w:rsidRDefault="00CF0E3D" w:rsidP="00CF0E3D">
      <w:pPr>
        <w:pStyle w:val="SubsectionHead"/>
      </w:pPr>
      <w:r>
        <w:t>Additional information for CDR policy</w:t>
      </w:r>
    </w:p>
    <w:p w14:paraId="3860AD58" w14:textId="77777777" w:rsidR="00CF0E3D" w:rsidRPr="003F3AC9" w:rsidRDefault="00CF0E3D" w:rsidP="00CF0E3D">
      <w:pPr>
        <w:pStyle w:val="subsection"/>
      </w:pPr>
      <w:r w:rsidRPr="003F3AC9">
        <w:tab/>
      </w:r>
      <w:r>
        <w:t>(3)</w:t>
      </w:r>
      <w:r w:rsidRPr="003F3AC9">
        <w:tab/>
        <w:t>In addition to the information referred to in subsection 56ED(4) of the Act, a data holder’s CDR policy must indicate:</w:t>
      </w:r>
    </w:p>
    <w:p w14:paraId="6FE6D5FE" w14:textId="77777777" w:rsidR="00CF0E3D" w:rsidRPr="003F3AC9" w:rsidRDefault="00CF0E3D" w:rsidP="00CF0E3D">
      <w:pPr>
        <w:pStyle w:val="paragraph"/>
      </w:pPr>
      <w:r w:rsidRPr="003F3AC9">
        <w:tab/>
      </w:r>
      <w:r>
        <w:t>(a)</w:t>
      </w:r>
      <w:r w:rsidRPr="003F3AC9">
        <w:tab/>
        <w:t>whether it accepts requests for:</w:t>
      </w:r>
    </w:p>
    <w:p w14:paraId="05AC66FD" w14:textId="77777777" w:rsidR="00CF0E3D" w:rsidRPr="003F3AC9" w:rsidRDefault="00CF0E3D" w:rsidP="00CF0E3D">
      <w:pPr>
        <w:pStyle w:val="paragraphsub"/>
      </w:pPr>
      <w:r w:rsidRPr="003F3AC9">
        <w:tab/>
      </w:r>
      <w:r>
        <w:t>(i)</w:t>
      </w:r>
      <w:r w:rsidRPr="003F3AC9">
        <w:tab/>
        <w:t>voluntary product data; or</w:t>
      </w:r>
    </w:p>
    <w:p w14:paraId="41F7B92C" w14:textId="77777777" w:rsidR="00CF0E3D" w:rsidRPr="003F3AC9" w:rsidRDefault="00CF0E3D" w:rsidP="00CF0E3D">
      <w:pPr>
        <w:pStyle w:val="paragraphsub"/>
      </w:pPr>
      <w:r w:rsidRPr="003F3AC9">
        <w:tab/>
      </w:r>
      <w:r>
        <w:t>(ii)</w:t>
      </w:r>
      <w:r w:rsidRPr="003F3AC9">
        <w:tab/>
        <w:t>voluntary consumer data; and</w:t>
      </w:r>
    </w:p>
    <w:p w14:paraId="5787AED7" w14:textId="77777777" w:rsidR="00CF0E3D" w:rsidRPr="003F3AC9" w:rsidRDefault="00CF0E3D" w:rsidP="00CF0E3D">
      <w:pPr>
        <w:pStyle w:val="paragraph"/>
      </w:pPr>
      <w:r w:rsidRPr="003F3AC9">
        <w:tab/>
      </w:r>
      <w:r>
        <w:t>(b)</w:t>
      </w:r>
      <w:r w:rsidRPr="003F3AC9">
        <w:tab/>
        <w:t>if so:</w:t>
      </w:r>
    </w:p>
    <w:p w14:paraId="0B4B507D" w14:textId="77777777" w:rsidR="00CF0E3D" w:rsidRPr="003F3AC9" w:rsidRDefault="00CF0E3D" w:rsidP="00CF0E3D">
      <w:pPr>
        <w:pStyle w:val="paragraphsub"/>
      </w:pPr>
      <w:r w:rsidRPr="003F3AC9">
        <w:tab/>
      </w:r>
      <w:r>
        <w:t>(i)</w:t>
      </w:r>
      <w:r w:rsidRPr="003F3AC9">
        <w:tab/>
        <w:t>whether it charges fees for disclosure of such data; and</w:t>
      </w:r>
    </w:p>
    <w:p w14:paraId="635B91D7" w14:textId="77777777" w:rsidR="00CF0E3D" w:rsidRDefault="00CF0E3D" w:rsidP="00CF0E3D">
      <w:pPr>
        <w:pStyle w:val="paragraphsub"/>
      </w:pPr>
      <w:r w:rsidRPr="003F3AC9">
        <w:tab/>
      </w:r>
      <w:r>
        <w:t>(ii)</w:t>
      </w:r>
      <w:r w:rsidRPr="003F3AC9">
        <w:tab/>
        <w:t>if it does―</w:t>
      </w:r>
      <w:r w:rsidRPr="00B30263">
        <w:t>how information about those fees can be obtained</w:t>
      </w:r>
      <w:r w:rsidRPr="003F3AC9">
        <w:t>.</w:t>
      </w:r>
    </w:p>
    <w:p w14:paraId="4AF6DB6B" w14:textId="77777777" w:rsidR="00CF0E3D" w:rsidRDefault="00CF0E3D" w:rsidP="00CF0E3D">
      <w:pPr>
        <w:pStyle w:val="subsection"/>
      </w:pPr>
      <w:r>
        <w:tab/>
        <w:t>(4)</w:t>
      </w:r>
      <w:r>
        <w:tab/>
        <w:t>In addition to the information referred to in subsection 56ED(5) of the Act, an accredited data recipient’s CDR policy must:</w:t>
      </w:r>
    </w:p>
    <w:p w14:paraId="7B4C6A70" w14:textId="77777777" w:rsidR="00CF0E3D" w:rsidRDefault="00CF0E3D" w:rsidP="00CF0E3D">
      <w:pPr>
        <w:pStyle w:val="paragraph"/>
      </w:pPr>
      <w:r>
        <w:tab/>
      </w:r>
      <w:r>
        <w:rPr>
          <w:color w:val="000000" w:themeColor="text1"/>
        </w:rPr>
        <w:t>(a)</w:t>
      </w:r>
      <w:r w:rsidRPr="00E1300D">
        <w:rPr>
          <w:color w:val="000000" w:themeColor="text1"/>
        </w:rPr>
        <w:tab/>
        <w:t>include</w:t>
      </w:r>
      <w:r>
        <w:t xml:space="preserve"> </w:t>
      </w:r>
      <w:r w:rsidRPr="00E1300D">
        <w:rPr>
          <w:color w:val="000000" w:themeColor="text1"/>
        </w:rPr>
        <w:t xml:space="preserve">a statement indicating the consequences to the CDR consumer if they withdraw a consent to collect </w:t>
      </w:r>
      <w:r>
        <w:rPr>
          <w:color w:val="000000" w:themeColor="text1"/>
        </w:rPr>
        <w:t>and</w:t>
      </w:r>
      <w:r w:rsidRPr="00E1300D">
        <w:rPr>
          <w:color w:val="000000" w:themeColor="text1"/>
        </w:rPr>
        <w:t xml:space="preserve"> use CDR data; and</w:t>
      </w:r>
    </w:p>
    <w:p w14:paraId="7512D706" w14:textId="0CBAEAB2" w:rsidR="00587084" w:rsidRPr="00BC78CF" w:rsidRDefault="00587084" w:rsidP="00587084">
      <w:pPr>
        <w:pStyle w:val="paragraph"/>
        <w:rPr>
          <w:color w:val="FF0000"/>
        </w:rPr>
      </w:pPr>
      <w:r w:rsidRPr="00BC78CF">
        <w:rPr>
          <w:color w:val="FF0000"/>
        </w:rPr>
        <w:tab/>
        <w:t>(aa)</w:t>
      </w:r>
      <w:r w:rsidRPr="00BC78CF">
        <w:rPr>
          <w:color w:val="FF0000"/>
        </w:rPr>
        <w:tab/>
        <w:t xml:space="preserve">include a list of the accredited persons with whom the accredited data recipient has a </w:t>
      </w:r>
      <w:r w:rsidR="00FD1804" w:rsidRPr="00BC78CF">
        <w:rPr>
          <w:color w:val="FF0000"/>
        </w:rPr>
        <w:t>sponsorship arrangement</w:t>
      </w:r>
      <w:r w:rsidRPr="00BC78CF">
        <w:rPr>
          <w:color w:val="FF0000"/>
        </w:rPr>
        <w:t>; and</w:t>
      </w:r>
    </w:p>
    <w:p w14:paraId="6ECFE641" w14:textId="00A0D8A3" w:rsidR="00587084" w:rsidRPr="00BC78CF" w:rsidRDefault="00587084" w:rsidP="00587084">
      <w:pPr>
        <w:pStyle w:val="paragraph"/>
        <w:rPr>
          <w:color w:val="FF0000"/>
        </w:rPr>
      </w:pPr>
      <w:r w:rsidRPr="00BC78CF">
        <w:rPr>
          <w:color w:val="FF0000"/>
        </w:rPr>
        <w:tab/>
        <w:t>(ab)</w:t>
      </w:r>
      <w:r w:rsidRPr="00BC78CF">
        <w:rPr>
          <w:color w:val="FF0000"/>
        </w:rPr>
        <w:tab/>
        <w:t>for each such arrangement—include the nature of the services one party provides to the other party; and</w:t>
      </w:r>
    </w:p>
    <w:p w14:paraId="1692396B" w14:textId="56BF6888" w:rsidR="00363879" w:rsidRPr="00BC78CF" w:rsidRDefault="00363879" w:rsidP="00363879">
      <w:pPr>
        <w:pStyle w:val="paragraph"/>
        <w:rPr>
          <w:color w:val="FF0000"/>
        </w:rPr>
      </w:pPr>
      <w:r w:rsidRPr="00BC78CF">
        <w:rPr>
          <w:color w:val="FF0000"/>
        </w:rPr>
        <w:tab/>
        <w:t>(ac)</w:t>
      </w:r>
      <w:r w:rsidRPr="00BC78CF">
        <w:rPr>
          <w:color w:val="FF0000"/>
        </w:rPr>
        <w:tab/>
        <w:t xml:space="preserve">include a list of the </w:t>
      </w:r>
      <w:r w:rsidR="00182338" w:rsidRPr="00BC78CF">
        <w:rPr>
          <w:color w:val="FF0000"/>
        </w:rPr>
        <w:t>CDR representative</w:t>
      </w:r>
      <w:r w:rsidR="00EC1939" w:rsidRPr="00BC78CF">
        <w:rPr>
          <w:color w:val="FF0000"/>
        </w:rPr>
        <w:t>s</w:t>
      </w:r>
      <w:r w:rsidRPr="00BC78CF">
        <w:rPr>
          <w:color w:val="FF0000"/>
        </w:rPr>
        <w:t xml:space="preserve"> of the accredited data recipient; and</w:t>
      </w:r>
    </w:p>
    <w:p w14:paraId="3D9C5156" w14:textId="77777777" w:rsidR="00CF0E3D" w:rsidRDefault="00CF0E3D" w:rsidP="00CF0E3D">
      <w:pPr>
        <w:pStyle w:val="paragraph"/>
      </w:pPr>
      <w:r>
        <w:tab/>
        <w:t>(b)</w:t>
      </w:r>
      <w:r>
        <w:tab/>
        <w:t>include a list of the outsourced service providers</w:t>
      </w:r>
      <w:r w:rsidRPr="00C316B9">
        <w:t xml:space="preserve"> </w:t>
      </w:r>
      <w:r w:rsidRPr="00EC7544">
        <w:t xml:space="preserve">of the accredited data recipient </w:t>
      </w:r>
      <w:r>
        <w:t>(whether based in Australia or based overseas, and whether or not any is an accredited person); and</w:t>
      </w:r>
    </w:p>
    <w:p w14:paraId="30E91374" w14:textId="77777777" w:rsidR="00CF0E3D" w:rsidRDefault="00CF0E3D" w:rsidP="00CF0E3D">
      <w:pPr>
        <w:pStyle w:val="paragraph"/>
      </w:pPr>
      <w:r>
        <w:tab/>
        <w:t>(c)</w:t>
      </w:r>
      <w:r>
        <w:tab/>
        <w:t>for each such service provider—include:</w:t>
      </w:r>
    </w:p>
    <w:p w14:paraId="789C205B" w14:textId="77777777" w:rsidR="00CF0E3D" w:rsidRDefault="00CF0E3D" w:rsidP="00CF0E3D">
      <w:pPr>
        <w:pStyle w:val="paragraphsub"/>
      </w:pPr>
      <w:r>
        <w:tab/>
        <w:t>(i)</w:t>
      </w:r>
      <w:r>
        <w:tab/>
        <w:t>the nature of the services it provides; and</w:t>
      </w:r>
    </w:p>
    <w:p w14:paraId="18922D62" w14:textId="77777777" w:rsidR="00CF0E3D" w:rsidRDefault="00CF0E3D" w:rsidP="00CF0E3D">
      <w:pPr>
        <w:pStyle w:val="paragraphsub"/>
      </w:pPr>
      <w:r>
        <w:tab/>
        <w:t>(ii)</w:t>
      </w:r>
      <w:r>
        <w:tab/>
        <w:t xml:space="preserve">the </w:t>
      </w:r>
      <w:r w:rsidRPr="00B24FE2">
        <w:t xml:space="preserve">CDR data or classes </w:t>
      </w:r>
      <w:r>
        <w:t>of CDR data that may</w:t>
      </w:r>
      <w:r w:rsidRPr="00B24FE2">
        <w:t xml:space="preserve"> be </w:t>
      </w:r>
      <w:r>
        <w:t>disclosed to it; and</w:t>
      </w:r>
    </w:p>
    <w:p w14:paraId="3AE3D8DA" w14:textId="5140A037" w:rsidR="00CF0E3D" w:rsidRDefault="00CF0E3D" w:rsidP="00CF0E3D">
      <w:pPr>
        <w:pStyle w:val="paragraph"/>
      </w:pPr>
      <w:r w:rsidRPr="00CE5ECF">
        <w:tab/>
        <w:t>(ca)</w:t>
      </w:r>
      <w:r w:rsidRPr="00CE5ECF">
        <w:tab/>
        <w:t>if the accredited person wishes to undertake general research using the CDR data:</w:t>
      </w:r>
    </w:p>
    <w:p w14:paraId="5202EB47" w14:textId="77777777" w:rsidR="00CF0E3D" w:rsidRPr="00CE5ECF" w:rsidRDefault="00CF0E3D" w:rsidP="00CF0E3D">
      <w:pPr>
        <w:pStyle w:val="paragraphsub"/>
      </w:pPr>
      <w:r w:rsidRPr="00CE5ECF">
        <w:tab/>
        <w:t>(i)</w:t>
      </w:r>
      <w:r w:rsidRPr="00CE5ECF">
        <w:tab/>
        <w:t>a description of the research to be conducted; and</w:t>
      </w:r>
    </w:p>
    <w:p w14:paraId="5508D297" w14:textId="77777777" w:rsidR="00CF0E3D" w:rsidRPr="001F6AE3" w:rsidRDefault="00CF0E3D" w:rsidP="00CF0E3D">
      <w:pPr>
        <w:pStyle w:val="paragraphsub"/>
      </w:pPr>
      <w:r w:rsidRPr="00CE5ECF">
        <w:tab/>
        <w:t>(iii)</w:t>
      </w:r>
      <w:r w:rsidRPr="00CE5ECF">
        <w:tab/>
        <w:t>a description of any additional benefit to be provided to the CDR consumer for consenting to the use; and</w:t>
      </w:r>
    </w:p>
    <w:p w14:paraId="4E83D5DA" w14:textId="77777777" w:rsidR="00CF0E3D" w:rsidRDefault="00CF0E3D" w:rsidP="00CF0E3D">
      <w:pPr>
        <w:pStyle w:val="paragraph"/>
        <w:rPr>
          <w:color w:val="000000"/>
          <w:szCs w:val="22"/>
          <w:shd w:val="clear" w:color="auto" w:fill="FFFFFF"/>
        </w:rPr>
      </w:pPr>
      <w:r>
        <w:tab/>
        <w:t>(d)</w:t>
      </w:r>
      <w:r>
        <w:tab/>
      </w:r>
      <w:r>
        <w:rPr>
          <w:color w:val="000000"/>
          <w:szCs w:val="22"/>
          <w:shd w:val="clear" w:color="auto" w:fill="FFFFFF"/>
        </w:rPr>
        <w:t xml:space="preserve">if the </w:t>
      </w:r>
      <w:r w:rsidRPr="006F4A42">
        <w:rPr>
          <w:szCs w:val="22"/>
          <w:shd w:val="clear" w:color="auto" w:fill="FFFFFF"/>
        </w:rPr>
        <w:t xml:space="preserve">accredited data recipient </w:t>
      </w:r>
      <w:r>
        <w:rPr>
          <w:color w:val="000000"/>
          <w:szCs w:val="22"/>
          <w:shd w:val="clear" w:color="auto" w:fill="FFFFFF"/>
        </w:rPr>
        <w:t xml:space="preserve">is likely to disclose CDR data of a kind referred to in </w:t>
      </w:r>
      <w:r>
        <w:t>subsection 56ED(5) of the Act</w:t>
      </w:r>
      <w:r>
        <w:rPr>
          <w:color w:val="000000"/>
          <w:szCs w:val="22"/>
          <w:shd w:val="clear" w:color="auto" w:fill="FFFFFF"/>
        </w:rPr>
        <w:t xml:space="preserve"> to such a service provider that:</w:t>
      </w:r>
    </w:p>
    <w:p w14:paraId="32AFF4B9" w14:textId="77777777" w:rsidR="00CF0E3D" w:rsidRDefault="00CF0E3D" w:rsidP="00CF0E3D">
      <w:pPr>
        <w:pStyle w:val="paragraphsub"/>
        <w:rPr>
          <w:shd w:val="clear" w:color="auto" w:fill="FFFFFF"/>
        </w:rPr>
      </w:pPr>
      <w:r>
        <w:rPr>
          <w:shd w:val="clear" w:color="auto" w:fill="FFFFFF"/>
        </w:rPr>
        <w:tab/>
        <w:t>(i)</w:t>
      </w:r>
      <w:r>
        <w:rPr>
          <w:shd w:val="clear" w:color="auto" w:fill="FFFFFF"/>
        </w:rPr>
        <w:tab/>
        <w:t>is based overseas; and</w:t>
      </w:r>
    </w:p>
    <w:p w14:paraId="234C1F98" w14:textId="77777777" w:rsidR="00CF0E3D" w:rsidRDefault="00CF0E3D" w:rsidP="00CF0E3D">
      <w:pPr>
        <w:pStyle w:val="paragraphsub"/>
        <w:rPr>
          <w:shd w:val="clear" w:color="auto" w:fill="FFFFFF"/>
        </w:rPr>
      </w:pPr>
      <w:r>
        <w:rPr>
          <w:shd w:val="clear" w:color="auto" w:fill="FFFFFF"/>
        </w:rPr>
        <w:tab/>
        <w:t>(ii)</w:t>
      </w:r>
      <w:r>
        <w:rPr>
          <w:shd w:val="clear" w:color="auto" w:fill="FFFFFF"/>
        </w:rPr>
        <w:tab/>
        <w:t>is not an accredited person;</w:t>
      </w:r>
    </w:p>
    <w:p w14:paraId="3A64E183" w14:textId="77777777" w:rsidR="00CF0E3D" w:rsidRPr="00005026" w:rsidRDefault="00CF0E3D" w:rsidP="00CF0E3D">
      <w:pPr>
        <w:pStyle w:val="paragraph"/>
        <w:rPr>
          <w:shd w:val="clear" w:color="auto" w:fill="FFFFFF"/>
        </w:rPr>
      </w:pPr>
      <w:r>
        <w:rPr>
          <w:shd w:val="clear" w:color="auto" w:fill="FFFFFF"/>
        </w:rPr>
        <w:tab/>
      </w:r>
      <w:r>
        <w:rPr>
          <w:shd w:val="clear" w:color="auto" w:fill="FFFFFF"/>
        </w:rPr>
        <w:tab/>
      </w:r>
      <w:r>
        <w:t>include</w:t>
      </w:r>
      <w:r>
        <w:rPr>
          <w:shd w:val="clear" w:color="auto" w:fill="FFFFFF"/>
        </w:rPr>
        <w:t xml:space="preserve"> the countries in which such persons are likely to be based if it is practicable to specify those countries in the policy</w:t>
      </w:r>
      <w:r w:rsidRPr="00005026">
        <w:rPr>
          <w:shd w:val="clear" w:color="auto" w:fill="FFFFFF"/>
        </w:rPr>
        <w:t>; and</w:t>
      </w:r>
    </w:p>
    <w:p w14:paraId="4B2C2985" w14:textId="77777777" w:rsidR="00CF0E3D" w:rsidRPr="00005026" w:rsidRDefault="00CF0E3D" w:rsidP="00CF0E3D">
      <w:pPr>
        <w:pStyle w:val="paragraph"/>
        <w:rPr>
          <w:shd w:val="clear" w:color="auto" w:fill="FFFFFF"/>
        </w:rPr>
      </w:pPr>
      <w:r w:rsidRPr="00005026">
        <w:rPr>
          <w:shd w:val="clear" w:color="auto" w:fill="FFFFFF"/>
        </w:rPr>
        <w:tab/>
      </w:r>
      <w:r>
        <w:rPr>
          <w:shd w:val="clear" w:color="auto" w:fill="FFFFFF"/>
        </w:rPr>
        <w:t>(e)</w:t>
      </w:r>
      <w:r w:rsidRPr="00005026">
        <w:rPr>
          <w:shd w:val="clear" w:color="auto" w:fill="FFFFFF"/>
        </w:rPr>
        <w:tab/>
        <w:t>if applicable—</w:t>
      </w:r>
      <w:r w:rsidRPr="00E53912">
        <w:rPr>
          <w:color w:val="000000" w:themeColor="text1"/>
          <w:shd w:val="clear" w:color="auto" w:fill="FFFFFF"/>
        </w:rPr>
        <w:t xml:space="preserve">include </w:t>
      </w:r>
      <w:r w:rsidRPr="00005026">
        <w:rPr>
          <w:shd w:val="clear" w:color="auto" w:fill="FFFFFF"/>
        </w:rPr>
        <w:t>the following information about de</w:t>
      </w:r>
      <w:r w:rsidRPr="00005026">
        <w:rPr>
          <w:shd w:val="clear" w:color="auto" w:fill="FFFFFF"/>
        </w:rPr>
        <w:noBreakHyphen/>
        <w:t>identification of CDR data that is not redundant data:</w:t>
      </w:r>
    </w:p>
    <w:p w14:paraId="78419F5E" w14:textId="77777777" w:rsidR="00CF0E3D" w:rsidRDefault="00CF0E3D" w:rsidP="00CF0E3D">
      <w:pPr>
        <w:pStyle w:val="paragraphsub"/>
        <w:rPr>
          <w:shd w:val="clear" w:color="auto" w:fill="FFFFFF"/>
        </w:rPr>
      </w:pPr>
      <w:r w:rsidRPr="00005026">
        <w:rPr>
          <w:shd w:val="clear" w:color="auto" w:fill="FFFFFF"/>
        </w:rPr>
        <w:tab/>
      </w:r>
      <w:r>
        <w:rPr>
          <w:shd w:val="clear" w:color="auto" w:fill="FFFFFF"/>
        </w:rPr>
        <w:t>(i)</w:t>
      </w:r>
      <w:r w:rsidRPr="00005026">
        <w:rPr>
          <w:shd w:val="clear" w:color="auto" w:fill="FFFFFF"/>
        </w:rPr>
        <w:tab/>
      </w:r>
      <w:r w:rsidRPr="00906658">
        <w:rPr>
          <w:shd w:val="clear" w:color="auto" w:fill="FFFFFF"/>
        </w:rPr>
        <w:t xml:space="preserve">how the </w:t>
      </w:r>
      <w:r>
        <w:rPr>
          <w:shd w:val="clear" w:color="auto" w:fill="FFFFFF"/>
        </w:rPr>
        <w:t>accredited data recipient</w:t>
      </w:r>
      <w:r w:rsidRPr="00906658">
        <w:rPr>
          <w:shd w:val="clear" w:color="auto" w:fill="FFFFFF"/>
        </w:rPr>
        <w:t xml:space="preserve"> uses CDR data that has been de</w:t>
      </w:r>
      <w:r w:rsidRPr="00906658">
        <w:rPr>
          <w:shd w:val="clear" w:color="auto" w:fill="FFFFFF"/>
        </w:rPr>
        <w:noBreakHyphen/>
        <w:t>identified in accordance with the CDR data de</w:t>
      </w:r>
      <w:r w:rsidRPr="00906658">
        <w:rPr>
          <w:shd w:val="clear" w:color="auto" w:fill="FFFFFF"/>
        </w:rPr>
        <w:noBreakHyphen/>
        <w:t>identification process to provide goods or services to CDR consumers</w:t>
      </w:r>
      <w:r w:rsidRPr="00005026">
        <w:rPr>
          <w:shd w:val="clear" w:color="auto" w:fill="FFFFFF"/>
        </w:rPr>
        <w:t>;</w:t>
      </w:r>
    </w:p>
    <w:p w14:paraId="088BC101" w14:textId="77777777" w:rsidR="00CF0E3D" w:rsidRPr="00005026" w:rsidRDefault="00CF0E3D" w:rsidP="00CF0E3D">
      <w:pPr>
        <w:pStyle w:val="paragraphsub"/>
        <w:rPr>
          <w:shd w:val="clear" w:color="auto" w:fill="FFFFFF"/>
        </w:rPr>
      </w:pPr>
      <w:r w:rsidRPr="00005026">
        <w:rPr>
          <w:shd w:val="clear" w:color="auto" w:fill="FFFFFF"/>
        </w:rPr>
        <w:tab/>
      </w:r>
      <w:r>
        <w:rPr>
          <w:shd w:val="clear" w:color="auto" w:fill="FFFFFF"/>
        </w:rPr>
        <w:t>(ii)</w:t>
      </w:r>
      <w:r w:rsidRPr="00005026">
        <w:rPr>
          <w:shd w:val="clear" w:color="auto" w:fill="FFFFFF"/>
        </w:rPr>
        <w:tab/>
        <w:t>the further information specified in subrule </w:t>
      </w:r>
      <w:r>
        <w:rPr>
          <w:shd w:val="clear" w:color="auto" w:fill="FFFFFF"/>
        </w:rPr>
        <w:t>(5)</w:t>
      </w:r>
      <w:r w:rsidRPr="00005026">
        <w:rPr>
          <w:shd w:val="clear" w:color="auto" w:fill="FFFFFF"/>
        </w:rPr>
        <w:t>; and</w:t>
      </w:r>
    </w:p>
    <w:p w14:paraId="7477ED8C" w14:textId="77777777" w:rsidR="00CF0E3D" w:rsidRPr="00005026" w:rsidRDefault="00CF0E3D" w:rsidP="00CF0E3D">
      <w:pPr>
        <w:pStyle w:val="paragraph"/>
      </w:pPr>
      <w:r w:rsidRPr="00005026">
        <w:tab/>
      </w:r>
      <w:r>
        <w:t>(f)</w:t>
      </w:r>
      <w:r w:rsidRPr="00005026">
        <w:tab/>
      </w:r>
      <w:r w:rsidRPr="00E53912">
        <w:rPr>
          <w:color w:val="000000" w:themeColor="text1"/>
          <w:shd w:val="clear" w:color="auto" w:fill="FFFFFF"/>
        </w:rPr>
        <w:t xml:space="preserve">include </w:t>
      </w:r>
      <w:r w:rsidRPr="00005026">
        <w:t xml:space="preserve">the following information about </w:t>
      </w:r>
      <w:r>
        <w:t>deletion</w:t>
      </w:r>
      <w:r w:rsidRPr="00005026">
        <w:t xml:space="preserve"> of redundant CDR data:</w:t>
      </w:r>
    </w:p>
    <w:p w14:paraId="37E0F7D1" w14:textId="77777777" w:rsidR="00CF0E3D" w:rsidRPr="00005026" w:rsidRDefault="00CF0E3D" w:rsidP="00CF0E3D">
      <w:pPr>
        <w:pStyle w:val="paragraphsub"/>
      </w:pPr>
      <w:r w:rsidRPr="00005026">
        <w:tab/>
      </w:r>
      <w:r>
        <w:t>(i)</w:t>
      </w:r>
      <w:r w:rsidRPr="00005026">
        <w:tab/>
        <w:t xml:space="preserve">when it </w:t>
      </w:r>
      <w:r>
        <w:t>delete</w:t>
      </w:r>
      <w:r w:rsidRPr="00005026">
        <w:t>s redundant data;</w:t>
      </w:r>
    </w:p>
    <w:p w14:paraId="4C8FCC64" w14:textId="77777777" w:rsidR="00CF0E3D" w:rsidRPr="00005026" w:rsidRDefault="00CF0E3D" w:rsidP="00CF0E3D">
      <w:pPr>
        <w:pStyle w:val="paragraphsub"/>
      </w:pPr>
      <w:r w:rsidRPr="00005026">
        <w:tab/>
      </w:r>
      <w:r>
        <w:t>(ii)</w:t>
      </w:r>
      <w:r w:rsidRPr="00005026">
        <w:tab/>
        <w:t>how a CDR consumer may elect for this to happen;</w:t>
      </w:r>
    </w:p>
    <w:p w14:paraId="43A0EC66" w14:textId="77777777" w:rsidR="00CF0E3D" w:rsidRPr="00005026" w:rsidRDefault="00CF0E3D" w:rsidP="00CF0E3D">
      <w:pPr>
        <w:pStyle w:val="paragraphsub"/>
      </w:pPr>
      <w:r w:rsidRPr="00005026">
        <w:tab/>
      </w:r>
      <w:r>
        <w:t>(iii)</w:t>
      </w:r>
      <w:r w:rsidRPr="00005026">
        <w:tab/>
        <w:t xml:space="preserve">how it </w:t>
      </w:r>
      <w:r>
        <w:t xml:space="preserve">deletes </w:t>
      </w:r>
      <w:r w:rsidRPr="00005026">
        <w:t>redundant data; and</w:t>
      </w:r>
    </w:p>
    <w:p w14:paraId="0F99D741" w14:textId="77777777" w:rsidR="00CF0E3D" w:rsidRPr="00005026" w:rsidRDefault="00CF0E3D" w:rsidP="00CF0E3D">
      <w:pPr>
        <w:pStyle w:val="paragraph"/>
      </w:pPr>
      <w:r w:rsidRPr="00005026">
        <w:tab/>
      </w:r>
      <w:r>
        <w:t>(g)</w:t>
      </w:r>
      <w:r w:rsidRPr="00005026">
        <w:tab/>
      </w:r>
      <w:r w:rsidRPr="00005026">
        <w:rPr>
          <w:shd w:val="clear" w:color="auto" w:fill="FFFFFF"/>
        </w:rPr>
        <w:t>if applicable—</w:t>
      </w:r>
      <w:r w:rsidRPr="00E53912">
        <w:rPr>
          <w:color w:val="000000" w:themeColor="text1"/>
          <w:shd w:val="clear" w:color="auto" w:fill="FFFFFF"/>
        </w:rPr>
        <w:t xml:space="preserve">include </w:t>
      </w:r>
      <w:r w:rsidRPr="00005026">
        <w:t>the following information about de</w:t>
      </w:r>
      <w:r w:rsidRPr="00005026">
        <w:noBreakHyphen/>
        <w:t>identification of redundant CDR data:</w:t>
      </w:r>
    </w:p>
    <w:p w14:paraId="1BE3960F" w14:textId="77777777" w:rsidR="00CF0E3D" w:rsidRPr="00005026" w:rsidRDefault="00CF0E3D" w:rsidP="00CF0E3D">
      <w:pPr>
        <w:pStyle w:val="paragraphsub"/>
      </w:pPr>
      <w:r w:rsidRPr="00005026">
        <w:tab/>
      </w:r>
      <w:r>
        <w:t>(i)</w:t>
      </w:r>
      <w:r w:rsidRPr="00005026">
        <w:tab/>
        <w:t>if the de</w:t>
      </w:r>
      <w:r w:rsidRPr="00005026">
        <w:noBreakHyphen/>
        <w:t>identified data is used by the accredited data recipient—examples of how the accredited data recipient ordinarily uses de</w:t>
      </w:r>
      <w:r w:rsidRPr="00005026">
        <w:noBreakHyphen/>
        <w:t>identified data; and</w:t>
      </w:r>
    </w:p>
    <w:p w14:paraId="05006ED5" w14:textId="77777777" w:rsidR="00CF0E3D" w:rsidRDefault="00CF0E3D" w:rsidP="00CF0E3D">
      <w:pPr>
        <w:pStyle w:val="paragraphsub"/>
        <w:rPr>
          <w:shd w:val="clear" w:color="auto" w:fill="FFFFFF"/>
        </w:rPr>
      </w:pPr>
      <w:r w:rsidRPr="00005026">
        <w:rPr>
          <w:shd w:val="clear" w:color="auto" w:fill="FFFFFF"/>
        </w:rPr>
        <w:tab/>
      </w:r>
      <w:r>
        <w:rPr>
          <w:shd w:val="clear" w:color="auto" w:fill="FFFFFF"/>
        </w:rPr>
        <w:t>(ii)</w:t>
      </w:r>
      <w:r w:rsidRPr="00005026">
        <w:rPr>
          <w:shd w:val="clear" w:color="auto" w:fill="FFFFFF"/>
        </w:rPr>
        <w:tab/>
        <w:t>the further information specified in subrule </w:t>
      </w:r>
      <w:r>
        <w:rPr>
          <w:shd w:val="clear" w:color="auto" w:fill="FFFFFF"/>
        </w:rPr>
        <w:t>(5); and</w:t>
      </w:r>
    </w:p>
    <w:p w14:paraId="7CA88963" w14:textId="77777777" w:rsidR="00CF0E3D" w:rsidRPr="00E53912" w:rsidRDefault="00CF0E3D" w:rsidP="00CF0E3D">
      <w:pPr>
        <w:pStyle w:val="paragraph"/>
        <w:rPr>
          <w:color w:val="000000" w:themeColor="text1"/>
          <w:shd w:val="clear" w:color="auto" w:fill="FFFFFF"/>
        </w:rPr>
      </w:pPr>
      <w:r w:rsidRPr="00E53912">
        <w:rPr>
          <w:color w:val="000000" w:themeColor="text1"/>
          <w:shd w:val="clear" w:color="auto" w:fill="FFFFFF"/>
        </w:rPr>
        <w:tab/>
      </w:r>
      <w:r>
        <w:rPr>
          <w:color w:val="000000" w:themeColor="text1"/>
          <w:shd w:val="clear" w:color="auto" w:fill="FFFFFF"/>
        </w:rPr>
        <w:t>(h)</w:t>
      </w:r>
      <w:r w:rsidRPr="00E53912">
        <w:rPr>
          <w:color w:val="000000" w:themeColor="text1"/>
          <w:shd w:val="clear" w:color="auto" w:fill="FFFFFF"/>
        </w:rPr>
        <w:tab/>
        <w:t xml:space="preserve">include the following information about the CDR consumer’s </w:t>
      </w:r>
      <w:r>
        <w:rPr>
          <w:color w:val="000000" w:themeColor="text1"/>
          <w:shd w:val="clear" w:color="auto" w:fill="FFFFFF"/>
        </w:rPr>
        <w:t xml:space="preserve">election </w:t>
      </w:r>
      <w:r w:rsidRPr="00E53912">
        <w:rPr>
          <w:color w:val="000000" w:themeColor="text1"/>
          <w:shd w:val="clear" w:color="auto" w:fill="FFFFFF"/>
        </w:rPr>
        <w:t>to delet</w:t>
      </w:r>
      <w:r>
        <w:rPr>
          <w:color w:val="000000" w:themeColor="text1"/>
          <w:shd w:val="clear" w:color="auto" w:fill="FFFFFF"/>
        </w:rPr>
        <w:t>e</w:t>
      </w:r>
      <w:r w:rsidRPr="00E53912">
        <w:rPr>
          <w:color w:val="000000" w:themeColor="text1"/>
          <w:shd w:val="clear" w:color="auto" w:fill="FFFFFF"/>
        </w:rPr>
        <w:t xml:space="preserve"> their CDR data:</w:t>
      </w:r>
    </w:p>
    <w:p w14:paraId="68AB9B04" w14:textId="77777777" w:rsidR="00CF0E3D" w:rsidRPr="00E53912" w:rsidRDefault="00CF0E3D" w:rsidP="00CF0E3D">
      <w:pPr>
        <w:pStyle w:val="paragraphsub"/>
        <w:rPr>
          <w:color w:val="000000" w:themeColor="text1"/>
          <w:shd w:val="clear" w:color="auto" w:fill="FFFFFF"/>
        </w:rPr>
      </w:pPr>
      <w:r w:rsidRPr="00E53912">
        <w:rPr>
          <w:color w:val="000000" w:themeColor="text1"/>
          <w:shd w:val="clear" w:color="auto" w:fill="FFFFFF"/>
        </w:rPr>
        <w:tab/>
      </w:r>
      <w:r>
        <w:rPr>
          <w:color w:val="000000" w:themeColor="text1"/>
          <w:shd w:val="clear" w:color="auto" w:fill="FFFFFF"/>
        </w:rPr>
        <w:t>(i)</w:t>
      </w:r>
      <w:r w:rsidRPr="00E53912">
        <w:rPr>
          <w:color w:val="000000" w:themeColor="text1"/>
          <w:shd w:val="clear" w:color="auto" w:fill="FFFFFF"/>
        </w:rPr>
        <w:tab/>
        <w:t xml:space="preserve">information about how the </w:t>
      </w:r>
      <w:r>
        <w:rPr>
          <w:color w:val="000000" w:themeColor="text1"/>
          <w:shd w:val="clear" w:color="auto" w:fill="FFFFFF"/>
        </w:rPr>
        <w:t>election</w:t>
      </w:r>
      <w:r w:rsidRPr="00E53912">
        <w:rPr>
          <w:color w:val="000000" w:themeColor="text1"/>
          <w:shd w:val="clear" w:color="auto" w:fill="FFFFFF"/>
        </w:rPr>
        <w:t xml:space="preserve"> operates and its effect;</w:t>
      </w:r>
    </w:p>
    <w:p w14:paraId="1A66D2A1" w14:textId="77777777" w:rsidR="00CF0E3D" w:rsidRPr="00E53912" w:rsidRDefault="00CF0E3D" w:rsidP="00CF0E3D">
      <w:pPr>
        <w:pStyle w:val="paragraphsub"/>
        <w:rPr>
          <w:color w:val="000000" w:themeColor="text1"/>
          <w:shd w:val="clear" w:color="auto" w:fill="FFFFFF"/>
        </w:rPr>
      </w:pPr>
      <w:r w:rsidRPr="00E53912">
        <w:rPr>
          <w:color w:val="000000" w:themeColor="text1"/>
          <w:shd w:val="clear" w:color="auto" w:fill="FFFFFF"/>
        </w:rPr>
        <w:tab/>
      </w:r>
      <w:r>
        <w:rPr>
          <w:color w:val="000000" w:themeColor="text1"/>
          <w:shd w:val="clear" w:color="auto" w:fill="FFFFFF"/>
        </w:rPr>
        <w:t>(ii)</w:t>
      </w:r>
      <w:r w:rsidRPr="00E53912">
        <w:rPr>
          <w:color w:val="000000" w:themeColor="text1"/>
          <w:shd w:val="clear" w:color="auto" w:fill="FFFFFF"/>
        </w:rPr>
        <w:tab/>
        <w:t xml:space="preserve">information about how CDR consumers can exercise the </w:t>
      </w:r>
      <w:r>
        <w:rPr>
          <w:color w:val="000000" w:themeColor="text1"/>
          <w:shd w:val="clear" w:color="auto" w:fill="FFFFFF"/>
        </w:rPr>
        <w:t>election</w:t>
      </w:r>
      <w:r w:rsidRPr="00E53912">
        <w:rPr>
          <w:color w:val="000000" w:themeColor="text1"/>
          <w:shd w:val="clear" w:color="auto" w:fill="FFFFFF"/>
        </w:rPr>
        <w:t>.</w:t>
      </w:r>
    </w:p>
    <w:p w14:paraId="75AB2CB9" w14:textId="77777777" w:rsidR="00CF0E3D" w:rsidRDefault="00CF0E3D" w:rsidP="00CF0E3D">
      <w:pPr>
        <w:pStyle w:val="notetext"/>
      </w:pPr>
      <w:r>
        <w:t>Note 1:</w:t>
      </w:r>
      <w:r>
        <w:tab/>
        <w:t>The specified service providers are the accredited data recipient’s “outsourced service providers”.</w:t>
      </w:r>
    </w:p>
    <w:p w14:paraId="42DFA4ED" w14:textId="77777777" w:rsidR="00CF0E3D" w:rsidRDefault="00CF0E3D" w:rsidP="00CF0E3D">
      <w:pPr>
        <w:pStyle w:val="notetext"/>
      </w:pPr>
      <w:r>
        <w:t>Note 2:</w:t>
      </w:r>
      <w:r>
        <w:tab/>
        <w:t>For paragraph (d), if the service provider is an accredited person who is based overseas, paragraph 56ED(5)(f) of the Act requires similar information to be contained in the accredited data recipient’s CDR policy.</w:t>
      </w:r>
    </w:p>
    <w:p w14:paraId="18C6EB59" w14:textId="77777777" w:rsidR="00CF0E3D" w:rsidRPr="00E1300D" w:rsidRDefault="00CF0E3D" w:rsidP="00CF0E3D">
      <w:pPr>
        <w:pStyle w:val="notetext"/>
        <w:rPr>
          <w:color w:val="000000" w:themeColor="text1"/>
        </w:rPr>
      </w:pPr>
      <w:r w:rsidRPr="00E1300D">
        <w:rPr>
          <w:color w:val="000000" w:themeColor="text1"/>
        </w:rPr>
        <w:t xml:space="preserve">Note 3: </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223F613E" w14:textId="77777777" w:rsidR="00CF0E3D" w:rsidRPr="00005026" w:rsidRDefault="00CF0E3D" w:rsidP="00CF0E3D">
      <w:pPr>
        <w:pStyle w:val="subsection"/>
      </w:pPr>
      <w:r w:rsidRPr="00005026">
        <w:tab/>
      </w:r>
      <w:r>
        <w:t>(5)</w:t>
      </w:r>
      <w:r w:rsidRPr="00005026">
        <w:tab/>
        <w:t>For subparagraphs </w:t>
      </w:r>
      <w:r>
        <w:t>(4)(e)(ii)</w:t>
      </w:r>
      <w:r w:rsidRPr="00005026">
        <w:t xml:space="preserve"> and </w:t>
      </w:r>
      <w:r>
        <w:t>(g)(ii)</w:t>
      </w:r>
      <w:r w:rsidRPr="00005026">
        <w:t>, the further information is:</w:t>
      </w:r>
    </w:p>
    <w:p w14:paraId="74824BEE" w14:textId="77777777" w:rsidR="00CF0E3D" w:rsidRPr="00005026" w:rsidRDefault="00CF0E3D" w:rsidP="00CF0E3D">
      <w:pPr>
        <w:pStyle w:val="paragraph"/>
        <w:rPr>
          <w:shd w:val="clear" w:color="auto" w:fill="FFFFFF"/>
        </w:rPr>
      </w:pPr>
      <w:r w:rsidRPr="00005026">
        <w:rPr>
          <w:shd w:val="clear" w:color="auto" w:fill="FFFFFF"/>
        </w:rPr>
        <w:tab/>
      </w:r>
      <w:r>
        <w:rPr>
          <w:shd w:val="clear" w:color="auto" w:fill="FFFFFF"/>
        </w:rPr>
        <w:t>(a)</w:t>
      </w:r>
      <w:r w:rsidRPr="00005026">
        <w:rPr>
          <w:shd w:val="clear" w:color="auto" w:fill="FFFFFF"/>
        </w:rPr>
        <w:tab/>
        <w:t xml:space="preserve">how the </w:t>
      </w:r>
      <w:r>
        <w:rPr>
          <w:shd w:val="clear" w:color="auto" w:fill="FFFFFF"/>
        </w:rPr>
        <w:t>accredited data recipient</w:t>
      </w:r>
      <w:r w:rsidRPr="00005026">
        <w:rPr>
          <w:shd w:val="clear" w:color="auto" w:fill="FFFFFF"/>
        </w:rPr>
        <w:t xml:space="preserve"> de</w:t>
      </w:r>
      <w:r w:rsidRPr="00005026">
        <w:rPr>
          <w:shd w:val="clear" w:color="auto" w:fill="FFFFFF"/>
        </w:rPr>
        <w:noBreakHyphen/>
        <w:t>identifies CDR data, including a description of techniques that it uses to de</w:t>
      </w:r>
      <w:r w:rsidRPr="00005026">
        <w:rPr>
          <w:shd w:val="clear" w:color="auto" w:fill="FFFFFF"/>
        </w:rPr>
        <w:noBreakHyphen/>
        <w:t>identify data; and</w:t>
      </w:r>
    </w:p>
    <w:p w14:paraId="45A7E372" w14:textId="77777777" w:rsidR="00CF0E3D" w:rsidRPr="00005026" w:rsidRDefault="00CF0E3D" w:rsidP="00CF0E3D">
      <w:pPr>
        <w:pStyle w:val="paragraph"/>
      </w:pPr>
      <w:r w:rsidRPr="00005026">
        <w:tab/>
      </w:r>
      <w:r>
        <w:t>(b)</w:t>
      </w:r>
      <w:r w:rsidRPr="00005026">
        <w:tab/>
        <w:t xml:space="preserve">if the </w:t>
      </w:r>
      <w:r>
        <w:t>accredited data recipient</w:t>
      </w:r>
      <w:r w:rsidRPr="00005026">
        <w:t xml:space="preserve"> ordinarily discloses (by sale or otherwise) de</w:t>
      </w:r>
      <w:r w:rsidRPr="00005026">
        <w:noBreakHyphen/>
        <w:t>identified data to one or more other persons:</w:t>
      </w:r>
    </w:p>
    <w:p w14:paraId="54CD5B2A" w14:textId="77777777" w:rsidR="00CF0E3D" w:rsidRPr="00005026" w:rsidRDefault="00CF0E3D" w:rsidP="00CF0E3D">
      <w:pPr>
        <w:pStyle w:val="paragraphsub"/>
      </w:pPr>
      <w:r w:rsidRPr="00005026">
        <w:tab/>
      </w:r>
      <w:r>
        <w:t>(i)</w:t>
      </w:r>
      <w:r w:rsidRPr="00005026">
        <w:tab/>
        <w:t>that fact; and</w:t>
      </w:r>
    </w:p>
    <w:p w14:paraId="652F306C" w14:textId="77777777" w:rsidR="00CF0E3D" w:rsidRPr="00005026" w:rsidRDefault="00CF0E3D" w:rsidP="00CF0E3D">
      <w:pPr>
        <w:pStyle w:val="paragraphsub"/>
      </w:pPr>
      <w:r w:rsidRPr="00005026">
        <w:tab/>
      </w:r>
      <w:r>
        <w:t>(ii)</w:t>
      </w:r>
      <w:r w:rsidRPr="00005026">
        <w:tab/>
        <w:t xml:space="preserve">to what </w:t>
      </w:r>
      <w:r>
        <w:t xml:space="preserve">classes of person </w:t>
      </w:r>
      <w:r w:rsidRPr="00005026">
        <w:t>it ordinarily discloses such data; and</w:t>
      </w:r>
    </w:p>
    <w:p w14:paraId="5E619B17" w14:textId="77777777" w:rsidR="00CF0E3D" w:rsidRPr="00005026" w:rsidRDefault="00CF0E3D" w:rsidP="00CF0E3D">
      <w:pPr>
        <w:pStyle w:val="paragraphsub"/>
        <w:rPr>
          <w:shd w:val="clear" w:color="auto" w:fill="FFFFFF"/>
        </w:rPr>
      </w:pPr>
      <w:r w:rsidRPr="00005026">
        <w:tab/>
      </w:r>
      <w:r>
        <w:t>(iii)</w:t>
      </w:r>
      <w:r w:rsidRPr="00005026">
        <w:tab/>
        <w:t>why it so discloses such data</w:t>
      </w:r>
      <w:r w:rsidRPr="00005026">
        <w:rPr>
          <w:shd w:val="clear" w:color="auto" w:fill="FFFFFF"/>
        </w:rPr>
        <w:t>.</w:t>
      </w:r>
    </w:p>
    <w:p w14:paraId="6187A4DC" w14:textId="77777777" w:rsidR="00CF0E3D" w:rsidRPr="00B155ED" w:rsidRDefault="00CF0E3D" w:rsidP="00CF0E3D">
      <w:pPr>
        <w:pStyle w:val="subsection"/>
      </w:pPr>
      <w:r w:rsidRPr="00964EDA">
        <w:rPr>
          <w:color w:val="000000"/>
        </w:rPr>
        <w:tab/>
      </w:r>
      <w:r>
        <w:rPr>
          <w:color w:val="000000"/>
        </w:rPr>
        <w:t>(6)</w:t>
      </w:r>
      <w:r w:rsidRPr="00964EDA">
        <w:rPr>
          <w:color w:val="000000"/>
        </w:rPr>
        <w:tab/>
        <w:t xml:space="preserve">In addition to the information referred to </w:t>
      </w:r>
      <w:r w:rsidRPr="00B155ED">
        <w:rPr>
          <w:color w:val="000000"/>
        </w:rPr>
        <w:t xml:space="preserve">in paragraphs 56ED(4)(b) and (5)(d) of the Act, a CDR participant’s CDR policy must include </w:t>
      </w:r>
      <w:r w:rsidRPr="00B155ED">
        <w:t>the following information in relation to the participant’s internal dispute resolution processes:</w:t>
      </w:r>
    </w:p>
    <w:p w14:paraId="2BCC6E28" w14:textId="77777777" w:rsidR="00CF0E3D" w:rsidRPr="00B155ED" w:rsidRDefault="00CF0E3D" w:rsidP="00CF0E3D">
      <w:pPr>
        <w:pStyle w:val="paragraph"/>
      </w:pPr>
      <w:r w:rsidRPr="00B155ED">
        <w:tab/>
        <w:t>(a)</w:t>
      </w:r>
      <w:r w:rsidRPr="00B155ED">
        <w:tab/>
        <w:t>where a CDR consumer complaint can be made;</w:t>
      </w:r>
    </w:p>
    <w:p w14:paraId="5CAAAD07" w14:textId="77777777" w:rsidR="00CF0E3D" w:rsidRPr="00B155ED" w:rsidRDefault="00CF0E3D" w:rsidP="00CF0E3D">
      <w:pPr>
        <w:pStyle w:val="paragraph"/>
      </w:pPr>
      <w:r w:rsidRPr="00B155ED">
        <w:tab/>
        <w:t>(b)</w:t>
      </w:r>
      <w:r w:rsidRPr="00B155ED">
        <w:tab/>
        <w:t>how a CDR consumer complaint can be made;</w:t>
      </w:r>
    </w:p>
    <w:p w14:paraId="1ABCBDBC" w14:textId="77777777" w:rsidR="00CF0E3D" w:rsidRPr="00B155ED" w:rsidRDefault="00CF0E3D" w:rsidP="00CF0E3D">
      <w:pPr>
        <w:pStyle w:val="paragraph"/>
      </w:pPr>
      <w:r w:rsidRPr="00B155ED">
        <w:tab/>
        <w:t>(c)</w:t>
      </w:r>
      <w:r w:rsidRPr="00B155ED">
        <w:tab/>
        <w:t>when a CDR consumer complaint can be made;</w:t>
      </w:r>
    </w:p>
    <w:p w14:paraId="55C7A71E" w14:textId="77777777" w:rsidR="00CF0E3D" w:rsidRPr="00B155ED" w:rsidRDefault="00CF0E3D" w:rsidP="00CF0E3D">
      <w:pPr>
        <w:pStyle w:val="paragraph"/>
      </w:pPr>
      <w:r w:rsidRPr="00B155ED">
        <w:tab/>
        <w:t>(d)</w:t>
      </w:r>
      <w:r w:rsidRPr="00B155ED">
        <w:tab/>
        <w:t xml:space="preserve">when acknowledgement of </w:t>
      </w:r>
      <w:r w:rsidRPr="00B155ED">
        <w:rPr>
          <w:color w:val="000000" w:themeColor="text1"/>
        </w:rPr>
        <w:t>a CDR consumer complaint</w:t>
      </w:r>
      <w:r w:rsidRPr="00B155ED">
        <w:t xml:space="preserve"> can be expected;</w:t>
      </w:r>
    </w:p>
    <w:p w14:paraId="67631139" w14:textId="77777777" w:rsidR="00CF0E3D" w:rsidRPr="00B155ED" w:rsidRDefault="00CF0E3D" w:rsidP="00CF0E3D">
      <w:pPr>
        <w:pStyle w:val="paragraph"/>
      </w:pPr>
      <w:r w:rsidRPr="00B155ED">
        <w:tab/>
        <w:t>(e)</w:t>
      </w:r>
      <w:r w:rsidRPr="00B155ED">
        <w:tab/>
        <w:t>what information is required to be provided by the complainant;</w:t>
      </w:r>
    </w:p>
    <w:p w14:paraId="5E98A40D" w14:textId="77777777" w:rsidR="00CF0E3D" w:rsidRPr="00B155ED" w:rsidRDefault="00CF0E3D" w:rsidP="00CF0E3D">
      <w:pPr>
        <w:pStyle w:val="paragraph"/>
      </w:pPr>
      <w:r w:rsidRPr="00B155ED">
        <w:tab/>
        <w:t>(f)</w:t>
      </w:r>
      <w:r w:rsidRPr="00B155ED">
        <w:tab/>
        <w:t>the participant’s process for handling CDR consumer complaints;</w:t>
      </w:r>
    </w:p>
    <w:p w14:paraId="20DA7997" w14:textId="77777777" w:rsidR="00CF0E3D" w:rsidRPr="00B155ED" w:rsidRDefault="00CF0E3D" w:rsidP="00CF0E3D">
      <w:pPr>
        <w:pStyle w:val="paragraph"/>
      </w:pPr>
      <w:r w:rsidRPr="00B155ED">
        <w:tab/>
        <w:t>(g)</w:t>
      </w:r>
      <w:r w:rsidRPr="00B155ED">
        <w:tab/>
        <w:t>time periods associated with various stages in the CDR consumer complaint process;</w:t>
      </w:r>
    </w:p>
    <w:p w14:paraId="78775AC9" w14:textId="77777777" w:rsidR="00CF0E3D" w:rsidRPr="00B155ED" w:rsidRDefault="00CF0E3D" w:rsidP="00CF0E3D">
      <w:pPr>
        <w:pStyle w:val="paragraph"/>
      </w:pPr>
      <w:r w:rsidRPr="00B155ED">
        <w:tab/>
        <w:t>(h)</w:t>
      </w:r>
      <w:r w:rsidRPr="00B155ED">
        <w:tab/>
        <w:t>options for redress;</w:t>
      </w:r>
    </w:p>
    <w:p w14:paraId="15E2D56C" w14:textId="77777777" w:rsidR="00CF0E3D" w:rsidRPr="00B155ED" w:rsidRDefault="00CF0E3D" w:rsidP="00CF0E3D">
      <w:pPr>
        <w:pStyle w:val="paragraph"/>
      </w:pPr>
      <w:r w:rsidRPr="00B155ED">
        <w:tab/>
        <w:t>(i)</w:t>
      </w:r>
      <w:r w:rsidRPr="00B155ED">
        <w:tab/>
        <w:t>options for review, both internally (if available) and externally.</w:t>
      </w:r>
    </w:p>
    <w:p w14:paraId="3A224236" w14:textId="77777777" w:rsidR="00CF0E3D" w:rsidRPr="00B155ED" w:rsidRDefault="00CF0E3D" w:rsidP="00CF0E3D">
      <w:pPr>
        <w:pStyle w:val="notetext"/>
        <w:rPr>
          <w:color w:val="000000" w:themeColor="text1"/>
        </w:rPr>
      </w:pPr>
      <w:r w:rsidRPr="00B155ED">
        <w:rPr>
          <w:color w:val="000000" w:themeColor="text1"/>
        </w:rPr>
        <w:t>Note:</w:t>
      </w:r>
      <w:r w:rsidRPr="00B155ED">
        <w:rPr>
          <w:color w:val="000000" w:themeColor="text1"/>
        </w:rPr>
        <w:tab/>
        <w:t>This subrule is a civil penalty provision (see rule 9.8).</w:t>
      </w:r>
    </w:p>
    <w:p w14:paraId="4F52F160" w14:textId="77777777" w:rsidR="00CF0E3D" w:rsidRPr="00E1300D" w:rsidRDefault="00CF0E3D" w:rsidP="00CF0E3D">
      <w:pPr>
        <w:pStyle w:val="subsection"/>
        <w:rPr>
          <w:color w:val="000000" w:themeColor="text1"/>
        </w:rPr>
      </w:pPr>
      <w:r w:rsidRPr="00B155ED">
        <w:rPr>
          <w:color w:val="000000" w:themeColor="text1"/>
        </w:rPr>
        <w:tab/>
        <w:t>(7)</w:t>
      </w:r>
      <w:r w:rsidRPr="00B155ED">
        <w:rPr>
          <w:color w:val="000000" w:themeColor="text1"/>
        </w:rPr>
        <w:tab/>
        <w:t xml:space="preserve">If an accredited data recipient proposes to store CDR data other than in Australia or an external territory, its CDR policy must specify any </w:t>
      </w:r>
      <w:r w:rsidRPr="00E1300D">
        <w:rPr>
          <w:color w:val="000000" w:themeColor="text1"/>
        </w:rPr>
        <w:t>country in which they propose to store CDR data.</w:t>
      </w:r>
    </w:p>
    <w:p w14:paraId="3C02CEF6" w14:textId="77777777" w:rsidR="00CF0E3D" w:rsidRPr="00E1300D" w:rsidRDefault="00CF0E3D" w:rsidP="00CF0E3D">
      <w:pPr>
        <w:pStyle w:val="notetext"/>
        <w:rPr>
          <w:color w:val="000000" w:themeColor="text1"/>
        </w:rPr>
      </w:pPr>
      <w:r w:rsidRPr="00E1300D">
        <w:rPr>
          <w:color w:val="000000" w:themeColor="text1"/>
        </w:rPr>
        <w:t>Note:</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52CA7A19" w14:textId="77777777" w:rsidR="00CF0E3D" w:rsidRDefault="00CF0E3D" w:rsidP="00CF0E3D">
      <w:pPr>
        <w:pStyle w:val="SubsectionHead"/>
      </w:pPr>
      <w:r>
        <w:t>Availability of policy</w:t>
      </w:r>
    </w:p>
    <w:p w14:paraId="3CBAFCE8" w14:textId="6A6B4901" w:rsidR="00CF0E3D" w:rsidRPr="00E1300D" w:rsidRDefault="00CF0E3D" w:rsidP="00CF0E3D">
      <w:pPr>
        <w:pStyle w:val="subsection"/>
        <w:rPr>
          <w:color w:val="000000" w:themeColor="text1"/>
        </w:rPr>
      </w:pPr>
      <w:r>
        <w:tab/>
        <w:t>(8)</w:t>
      </w:r>
      <w:r>
        <w:tab/>
        <w:t xml:space="preserve">For paragraph 56ED(7)(b) of the Act, a CDR participant must make its CDR policy readily available </w:t>
      </w:r>
      <w:r w:rsidRPr="00E1300D">
        <w:rPr>
          <w:color w:val="000000" w:themeColor="text1"/>
        </w:rPr>
        <w:t xml:space="preserve">through each online </w:t>
      </w:r>
      <w:r>
        <w:rPr>
          <w:color w:val="000000" w:themeColor="text1"/>
        </w:rPr>
        <w:t>service</w:t>
      </w:r>
      <w:r w:rsidRPr="00E1300D">
        <w:rPr>
          <w:color w:val="000000" w:themeColor="text1"/>
        </w:rPr>
        <w:t xml:space="preserve"> by means of which the CDR participant</w:t>
      </w:r>
      <w:r w:rsidR="00ED3E59" w:rsidRPr="00BC78CF">
        <w:rPr>
          <w:color w:val="FF0000"/>
        </w:rPr>
        <w:t xml:space="preserve">, or a </w:t>
      </w:r>
      <w:r w:rsidR="00182338" w:rsidRPr="00BC78CF">
        <w:rPr>
          <w:color w:val="FF0000"/>
        </w:rPr>
        <w:t>CDR representative</w:t>
      </w:r>
      <w:r w:rsidR="00ED3E59" w:rsidRPr="00BC78CF">
        <w:rPr>
          <w:color w:val="FF0000"/>
        </w:rPr>
        <w:t xml:space="preserve"> of the CDR participant,</w:t>
      </w:r>
      <w:r w:rsidRPr="00E1300D">
        <w:rPr>
          <w:color w:val="000000" w:themeColor="text1"/>
        </w:rPr>
        <w:t xml:space="preserve"> ordinarily deals with CDR consumers.</w:t>
      </w:r>
    </w:p>
    <w:p w14:paraId="6C85125E" w14:textId="77777777" w:rsidR="00CF0E3D" w:rsidRPr="00E1300D" w:rsidRDefault="00CF0E3D" w:rsidP="00CF0E3D">
      <w:pPr>
        <w:pStyle w:val="notetext"/>
        <w:rPr>
          <w:color w:val="000000" w:themeColor="text1"/>
        </w:rPr>
      </w:pPr>
      <w:r w:rsidRPr="00E1300D">
        <w:rPr>
          <w:color w:val="000000" w:themeColor="text1"/>
        </w:rPr>
        <w:t>Note:</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481E81EE" w14:textId="77777777" w:rsidR="00CF0E3D" w:rsidRDefault="00CF0E3D" w:rsidP="00CF0E3D">
      <w:pPr>
        <w:pStyle w:val="subsection"/>
      </w:pPr>
      <w:r>
        <w:tab/>
        <w:t>(9)</w:t>
      </w:r>
      <w:r>
        <w:tab/>
        <w:t>For subsection 56ED(8) of the Act, if a copy of a the CDR participant’s policy is requested by a CDR consumer, the participant must give the CDR consumer a copy:</w:t>
      </w:r>
    </w:p>
    <w:p w14:paraId="556B62F3" w14:textId="77777777" w:rsidR="00CF0E3D" w:rsidRDefault="00CF0E3D" w:rsidP="00CF0E3D">
      <w:pPr>
        <w:pStyle w:val="paragraph"/>
      </w:pPr>
      <w:r>
        <w:tab/>
        <w:t>(a)</w:t>
      </w:r>
      <w:r>
        <w:tab/>
        <w:t>electronically; or</w:t>
      </w:r>
    </w:p>
    <w:p w14:paraId="13BFD5CD" w14:textId="77777777" w:rsidR="00CF0E3D" w:rsidRDefault="00CF0E3D" w:rsidP="00CF0E3D">
      <w:pPr>
        <w:pStyle w:val="paragraph"/>
      </w:pPr>
      <w:r>
        <w:tab/>
        <w:t>(b)</w:t>
      </w:r>
      <w:r>
        <w:tab/>
        <w:t>in hard copy;</w:t>
      </w:r>
    </w:p>
    <w:p w14:paraId="4179E4ED" w14:textId="77777777" w:rsidR="00CF0E3D" w:rsidRDefault="00CF0E3D" w:rsidP="002D51A1">
      <w:pPr>
        <w:pStyle w:val="subsection20"/>
      </w:pPr>
      <w:r>
        <w:tab/>
      </w:r>
      <w:r>
        <w:tab/>
        <w:t>as directed by the consumer.</w:t>
      </w:r>
    </w:p>
    <w:p w14:paraId="7C502E90" w14:textId="77777777" w:rsidR="00CF0E3D" w:rsidRPr="001151F8" w:rsidRDefault="00CF0E3D" w:rsidP="00CF0E3D">
      <w:pPr>
        <w:pStyle w:val="notetext"/>
      </w:pPr>
      <w:r w:rsidRPr="001151F8">
        <w:t>Note:</w:t>
      </w:r>
      <w:r w:rsidRPr="001151F8">
        <w:tab/>
        <w:t>This subrule is a civil penalty provision (see rule </w:t>
      </w:r>
      <w:r>
        <w:t>9.8</w:t>
      </w:r>
      <w:r w:rsidRPr="001151F8">
        <w:t>).</w:t>
      </w:r>
    </w:p>
    <w:p w14:paraId="2B173BAE" w14:textId="77777777" w:rsidR="00CF0E3D" w:rsidRPr="005C145A" w:rsidRDefault="00CF0E3D" w:rsidP="00CF0E3D">
      <w:pPr>
        <w:pStyle w:val="ActHead5"/>
      </w:pPr>
      <w:bookmarkStart w:id="450" w:name="_Toc11771669"/>
      <w:bookmarkStart w:id="451" w:name="_Toc74916245"/>
      <w:r>
        <w:t>7.3  Rule</w:t>
      </w:r>
      <w:r w:rsidRPr="005C145A">
        <w:t xml:space="preserve"> relating to privacy safeguard 2—anonymity and pseudonymity</w:t>
      </w:r>
      <w:bookmarkEnd w:id="450"/>
      <w:bookmarkEnd w:id="451"/>
    </w:p>
    <w:p w14:paraId="3559554F" w14:textId="61BFDFDB" w:rsidR="00CF0E3D" w:rsidRPr="00086F26" w:rsidRDefault="00CF0E3D" w:rsidP="00CF0E3D">
      <w:pPr>
        <w:pStyle w:val="subsection"/>
      </w:pPr>
      <w:r w:rsidRPr="00086F26">
        <w:tab/>
      </w:r>
      <w:r w:rsidR="00CE3CCF" w:rsidRPr="00BC78CF">
        <w:rPr>
          <w:color w:val="FF0000"/>
        </w:rPr>
        <w:t>(1)</w:t>
      </w:r>
      <w:r w:rsidRPr="00086F26">
        <w:tab/>
        <w:t>For subsection 56EE(3) of the Act, subsection 56EE(1) of the Act does not apply if:</w:t>
      </w:r>
    </w:p>
    <w:p w14:paraId="3F2A7C09" w14:textId="77777777" w:rsidR="00CF0E3D" w:rsidRPr="00086F26" w:rsidRDefault="00CF0E3D" w:rsidP="00CF0E3D">
      <w:pPr>
        <w:pStyle w:val="paragraph"/>
      </w:pPr>
      <w:r w:rsidRPr="00086F26">
        <w:tab/>
      </w:r>
      <w:r>
        <w:t>(a)</w:t>
      </w:r>
      <w:r w:rsidRPr="00086F26">
        <w:tab/>
        <w:t>the accredited data recipient is required or authorised by law or by a court/tribunal order to deal with an identified CDR consumer in relation to particular CDR data; or</w:t>
      </w:r>
    </w:p>
    <w:p w14:paraId="5BE531EB" w14:textId="77777777" w:rsidR="00CF0E3D" w:rsidRDefault="00CF0E3D" w:rsidP="00CF0E3D">
      <w:pPr>
        <w:pStyle w:val="paragraph"/>
      </w:pPr>
      <w:r w:rsidRPr="00086F26">
        <w:tab/>
      </w:r>
      <w:r>
        <w:t>(b)</w:t>
      </w:r>
      <w:r w:rsidRPr="00086F26">
        <w:tab/>
        <w:t>in relation to particular CDR data, it is impracticable for the accredited data recipient to deal with a CDR consumer that has not been identified.</w:t>
      </w:r>
    </w:p>
    <w:p w14:paraId="0800E8FE" w14:textId="184D9DCA" w:rsidR="001F103A" w:rsidRPr="00BC78CF" w:rsidRDefault="00CE3CCF" w:rsidP="001F103A">
      <w:pPr>
        <w:pStyle w:val="subsection"/>
        <w:rPr>
          <w:color w:val="FF0000"/>
        </w:rPr>
      </w:pPr>
      <w:r w:rsidRPr="00BC78CF">
        <w:rPr>
          <w:color w:val="FF0000"/>
        </w:rPr>
        <w:tab/>
        <w:t>(2)</w:t>
      </w:r>
      <w:r w:rsidRPr="00BC78CF">
        <w:rPr>
          <w:color w:val="FF0000"/>
        </w:rPr>
        <w:tab/>
      </w:r>
      <w:r w:rsidR="001F103A" w:rsidRPr="00BC78CF">
        <w:rPr>
          <w:color w:val="FF0000"/>
        </w:rPr>
        <w:t xml:space="preserve">A CDR principal breaches this subrule if its </w:t>
      </w:r>
      <w:r w:rsidR="00182338" w:rsidRPr="00BC78CF">
        <w:rPr>
          <w:color w:val="FF0000"/>
        </w:rPr>
        <w:t>CDR representative</w:t>
      </w:r>
      <w:r w:rsidR="001F103A" w:rsidRPr="00BC78CF">
        <w:rPr>
          <w:color w:val="FF0000"/>
        </w:rPr>
        <w:t xml:space="preserve"> fails to </w:t>
      </w:r>
      <w:r w:rsidRPr="00BC78CF">
        <w:rPr>
          <w:color w:val="FF0000"/>
        </w:rPr>
        <w:t xml:space="preserve">comply with section 56EE of the Act in relation to </w:t>
      </w:r>
      <w:r w:rsidR="001F103A" w:rsidRPr="00BC78CF">
        <w:rPr>
          <w:color w:val="FF0000"/>
        </w:rPr>
        <w:t xml:space="preserve">service </w:t>
      </w:r>
      <w:r w:rsidRPr="00BC78CF">
        <w:rPr>
          <w:color w:val="FF0000"/>
        </w:rPr>
        <w:t>data of a CDR consumer as if it were an accredited person</w:t>
      </w:r>
      <w:r w:rsidR="001F103A" w:rsidRPr="00BC78CF">
        <w:rPr>
          <w:color w:val="FF0000"/>
        </w:rPr>
        <w:t>.</w:t>
      </w:r>
    </w:p>
    <w:p w14:paraId="071E9D8F" w14:textId="5EC6AE5A" w:rsidR="00CE3CCF" w:rsidRPr="00BC78CF" w:rsidRDefault="00CE3CCF" w:rsidP="00CE3CCF">
      <w:pPr>
        <w:pStyle w:val="notetext"/>
        <w:rPr>
          <w:color w:val="FF0000"/>
        </w:rPr>
      </w:pPr>
      <w:r w:rsidRPr="00BC78CF">
        <w:rPr>
          <w:color w:val="FF0000"/>
        </w:rPr>
        <w:t>Note</w:t>
      </w:r>
      <w:r w:rsidR="001F103A" w:rsidRPr="00BC78CF">
        <w:rPr>
          <w:color w:val="FF0000"/>
        </w:rPr>
        <w:t xml:space="preserve"> 1</w:t>
      </w:r>
      <w:r w:rsidRPr="00BC78CF">
        <w:rPr>
          <w:color w:val="FF0000"/>
        </w:rPr>
        <w:t>:</w:t>
      </w:r>
      <w:r w:rsidRPr="00BC78CF">
        <w:rPr>
          <w:color w:val="FF0000"/>
        </w:rPr>
        <w:tab/>
        <w:t xml:space="preserve">See rule 1.10 for the definition of “service data” in relation to a </w:t>
      </w:r>
      <w:r w:rsidR="00182338" w:rsidRPr="00BC78CF">
        <w:rPr>
          <w:color w:val="FF0000"/>
        </w:rPr>
        <w:t>CDR representative</w:t>
      </w:r>
      <w:r w:rsidRPr="00BC78CF">
        <w:rPr>
          <w:color w:val="FF0000"/>
        </w:rPr>
        <w:t xml:space="preserve"> arrangement.</w:t>
      </w:r>
    </w:p>
    <w:p w14:paraId="596741B4" w14:textId="4EA930B3" w:rsidR="001F103A" w:rsidRPr="00BC78CF" w:rsidRDefault="001F103A" w:rsidP="001F103A">
      <w:pPr>
        <w:pStyle w:val="notetext"/>
        <w:rPr>
          <w:color w:val="FF0000"/>
        </w:rPr>
      </w:pPr>
      <w:r w:rsidRPr="00BC78CF">
        <w:rPr>
          <w:color w:val="FF0000"/>
        </w:rPr>
        <w:t>Note 2:</w:t>
      </w:r>
      <w:r w:rsidRPr="00BC78CF">
        <w:rPr>
          <w:color w:val="FF0000"/>
        </w:rPr>
        <w:tab/>
        <w:t>This subrule is a civil penalty provision (see rule 9.8).</w:t>
      </w:r>
    </w:p>
    <w:p w14:paraId="0EEDF1F0" w14:textId="23332FB3" w:rsidR="001F103A" w:rsidRPr="00BC78CF" w:rsidRDefault="001F103A" w:rsidP="001F103A">
      <w:pPr>
        <w:pStyle w:val="subsection"/>
        <w:rPr>
          <w:color w:val="FF0000"/>
        </w:rPr>
      </w:pPr>
      <w:r w:rsidRPr="00BC78CF">
        <w:rPr>
          <w:color w:val="FF0000"/>
        </w:rPr>
        <w:tab/>
        <w:t>(3)</w:t>
      </w:r>
      <w:r w:rsidRPr="00BC78CF">
        <w:rPr>
          <w:color w:val="FF0000"/>
        </w:rPr>
        <w:tab/>
        <w:t xml:space="preserve">For subrule (2), it is irrelevant whether the action of the </w:t>
      </w:r>
      <w:r w:rsidR="00182338" w:rsidRPr="00BC78CF">
        <w:rPr>
          <w:color w:val="FF0000"/>
        </w:rPr>
        <w:t>CDR representative</w:t>
      </w:r>
      <w:r w:rsidRPr="00BC78CF">
        <w:rPr>
          <w:color w:val="FF0000"/>
        </w:rPr>
        <w:t xml:space="preserve"> in relation to the service data is in accordance with the </w:t>
      </w:r>
      <w:r w:rsidR="00182338" w:rsidRPr="00BC78CF">
        <w:rPr>
          <w:color w:val="FF0000"/>
        </w:rPr>
        <w:t>CDR representative</w:t>
      </w:r>
      <w:r w:rsidRPr="00BC78CF">
        <w:rPr>
          <w:color w:val="FF0000"/>
        </w:rPr>
        <w:t xml:space="preserve"> arrangement.</w:t>
      </w:r>
    </w:p>
    <w:p w14:paraId="477B76CA" w14:textId="54AA36E1" w:rsidR="0084143B" w:rsidRPr="00BC78CF" w:rsidRDefault="0084143B" w:rsidP="0084143B">
      <w:pPr>
        <w:pStyle w:val="ActHead5"/>
        <w:rPr>
          <w:color w:val="FF0000"/>
        </w:rPr>
      </w:pPr>
      <w:bookmarkStart w:id="452" w:name="_Toc74916246"/>
      <w:bookmarkStart w:id="453" w:name="_Toc11771670"/>
      <w:r w:rsidRPr="00BC78CF">
        <w:rPr>
          <w:color w:val="FF0000"/>
        </w:rPr>
        <w:t>7.3A  Rule relating to privacy safeguard 4—destruction of unsolicited data</w:t>
      </w:r>
      <w:r w:rsidR="00333BC6" w:rsidRPr="00BC78CF">
        <w:rPr>
          <w:color w:val="FF0000"/>
        </w:rPr>
        <w:t>—</w:t>
      </w:r>
      <w:r w:rsidR="00182338" w:rsidRPr="00BC78CF">
        <w:rPr>
          <w:color w:val="FF0000"/>
        </w:rPr>
        <w:t>CDR representative</w:t>
      </w:r>
      <w:bookmarkEnd w:id="452"/>
    </w:p>
    <w:p w14:paraId="004E916F" w14:textId="52CE0A29" w:rsidR="0084143B" w:rsidRPr="00BC78CF" w:rsidRDefault="0084143B" w:rsidP="0084143B">
      <w:pPr>
        <w:pStyle w:val="subsection"/>
        <w:rPr>
          <w:color w:val="FF0000"/>
        </w:rPr>
      </w:pPr>
      <w:r w:rsidRPr="00BC78CF">
        <w:rPr>
          <w:color w:val="FF0000"/>
        </w:rPr>
        <w:tab/>
        <w:t>(1)</w:t>
      </w:r>
      <w:r w:rsidRPr="00BC78CF">
        <w:rPr>
          <w:color w:val="FF0000"/>
        </w:rPr>
        <w:tab/>
        <w:t xml:space="preserve">A CDR principal breaches this subrule if its </w:t>
      </w:r>
      <w:r w:rsidR="00182338" w:rsidRPr="00BC78CF">
        <w:rPr>
          <w:color w:val="FF0000"/>
        </w:rPr>
        <w:t>CDR representative</w:t>
      </w:r>
      <w:r w:rsidRPr="00BC78CF">
        <w:rPr>
          <w:color w:val="FF0000"/>
        </w:rPr>
        <w:t xml:space="preserve"> fails to comply with section 56EG of the Act in relation to service data of a CDR consumer as if;</w:t>
      </w:r>
    </w:p>
    <w:p w14:paraId="7BE80115" w14:textId="4C235B4E" w:rsidR="0084143B" w:rsidRPr="00BC78CF" w:rsidRDefault="0084143B" w:rsidP="0084143B">
      <w:pPr>
        <w:pStyle w:val="paragraph"/>
        <w:rPr>
          <w:color w:val="FF0000"/>
        </w:rPr>
      </w:pPr>
      <w:r w:rsidRPr="00BC78CF">
        <w:rPr>
          <w:color w:val="FF0000"/>
        </w:rPr>
        <w:tab/>
        <w:t>(a)</w:t>
      </w:r>
      <w:r w:rsidRPr="00BC78CF">
        <w:rPr>
          <w:color w:val="FF0000"/>
        </w:rPr>
        <w:tab/>
        <w:t>it were an accredited person; and</w:t>
      </w:r>
    </w:p>
    <w:p w14:paraId="6B69926D" w14:textId="29ADCD0C" w:rsidR="0084143B" w:rsidRPr="00BC78CF" w:rsidRDefault="0084143B" w:rsidP="0084143B">
      <w:pPr>
        <w:pStyle w:val="paragraph"/>
        <w:rPr>
          <w:color w:val="FF0000"/>
        </w:rPr>
      </w:pPr>
      <w:r w:rsidRPr="00BC78CF">
        <w:rPr>
          <w:color w:val="FF0000"/>
        </w:rPr>
        <w:tab/>
        <w:t>(b)</w:t>
      </w:r>
      <w:r w:rsidRPr="00BC78CF">
        <w:rPr>
          <w:color w:val="FF0000"/>
        </w:rPr>
        <w:tab/>
        <w:t xml:space="preserve">it had collected the service data. </w:t>
      </w:r>
    </w:p>
    <w:p w14:paraId="0E7E8C0D" w14:textId="5A91D677" w:rsidR="0084143B" w:rsidRPr="00BC78CF" w:rsidRDefault="0084143B" w:rsidP="0084143B">
      <w:pPr>
        <w:pStyle w:val="notetext"/>
        <w:rPr>
          <w:color w:val="FF0000"/>
        </w:rPr>
      </w:pPr>
      <w:r w:rsidRPr="00BC78CF">
        <w:rPr>
          <w:color w:val="FF0000"/>
        </w:rPr>
        <w:t>Note 1:</w:t>
      </w:r>
      <w:r w:rsidRPr="00BC78CF">
        <w:rPr>
          <w:color w:val="FF0000"/>
        </w:rPr>
        <w:tab/>
        <w:t xml:space="preserve">See rule 1.10 for the definition of “service data” in relation to a </w:t>
      </w:r>
      <w:r w:rsidR="00182338" w:rsidRPr="00BC78CF">
        <w:rPr>
          <w:color w:val="FF0000"/>
        </w:rPr>
        <w:t>CDR representative</w:t>
      </w:r>
      <w:r w:rsidRPr="00BC78CF">
        <w:rPr>
          <w:color w:val="FF0000"/>
        </w:rPr>
        <w:t xml:space="preserve"> arrangement.</w:t>
      </w:r>
    </w:p>
    <w:p w14:paraId="27CF874C" w14:textId="77777777" w:rsidR="0084143B" w:rsidRPr="00BC78CF" w:rsidRDefault="0084143B" w:rsidP="0084143B">
      <w:pPr>
        <w:pStyle w:val="notetext"/>
        <w:rPr>
          <w:color w:val="FF0000"/>
        </w:rPr>
      </w:pPr>
      <w:r w:rsidRPr="00BC78CF">
        <w:rPr>
          <w:color w:val="FF0000"/>
        </w:rPr>
        <w:t>Note 2:</w:t>
      </w:r>
      <w:r w:rsidRPr="00BC78CF">
        <w:rPr>
          <w:color w:val="FF0000"/>
        </w:rPr>
        <w:tab/>
        <w:t>This subrule is a civil penalty provision (see rule 9.8).</w:t>
      </w:r>
    </w:p>
    <w:p w14:paraId="5F862767" w14:textId="5835FBB3" w:rsidR="0084143B" w:rsidRPr="00BC78CF" w:rsidRDefault="0084143B" w:rsidP="0084143B">
      <w:pPr>
        <w:pStyle w:val="subsection"/>
        <w:rPr>
          <w:color w:val="FF0000"/>
        </w:rPr>
      </w:pPr>
      <w:r w:rsidRPr="00BC78CF">
        <w:rPr>
          <w:color w:val="FF0000"/>
        </w:rPr>
        <w:tab/>
        <w:t>(2)</w:t>
      </w:r>
      <w:r w:rsidRPr="00BC78CF">
        <w:rPr>
          <w:color w:val="FF0000"/>
        </w:rPr>
        <w:tab/>
        <w:t xml:space="preserve">For subrule (2), it is irrelevant whether the action of the </w:t>
      </w:r>
      <w:r w:rsidR="00182338" w:rsidRPr="00BC78CF">
        <w:rPr>
          <w:color w:val="FF0000"/>
        </w:rPr>
        <w:t>CDR representative</w:t>
      </w:r>
      <w:r w:rsidRPr="00BC78CF">
        <w:rPr>
          <w:color w:val="FF0000"/>
        </w:rPr>
        <w:t xml:space="preserve"> in relation to the service data is in accordance with the </w:t>
      </w:r>
      <w:r w:rsidR="00182338" w:rsidRPr="00BC78CF">
        <w:rPr>
          <w:color w:val="FF0000"/>
        </w:rPr>
        <w:t>CDR representative</w:t>
      </w:r>
      <w:r w:rsidRPr="00BC78CF">
        <w:rPr>
          <w:color w:val="FF0000"/>
        </w:rPr>
        <w:t xml:space="preserve"> arrangement.</w:t>
      </w:r>
    </w:p>
    <w:p w14:paraId="02B8FD9C" w14:textId="77777777" w:rsidR="00CF0E3D" w:rsidRDefault="00CF0E3D" w:rsidP="00CF0E3D">
      <w:pPr>
        <w:pStyle w:val="ActHead4"/>
        <w:pageBreakBefore/>
      </w:pPr>
      <w:bookmarkStart w:id="454" w:name="_Toc74916247"/>
      <w:r>
        <w:t>Subdivision 7.2.2—Rules relating to collecting CDR data</w:t>
      </w:r>
      <w:bookmarkEnd w:id="453"/>
      <w:bookmarkEnd w:id="454"/>
    </w:p>
    <w:p w14:paraId="0DE5F91B" w14:textId="77777777" w:rsidR="00CF0E3D" w:rsidRDefault="00CF0E3D" w:rsidP="00CF0E3D">
      <w:pPr>
        <w:pStyle w:val="ActHead5"/>
      </w:pPr>
      <w:bookmarkStart w:id="455" w:name="_Toc11771671"/>
      <w:bookmarkStart w:id="456" w:name="_Toc74916248"/>
      <w:r>
        <w:t>7.4  Rule relating to privacy safeguard 5—notifying of the collection of CDR data</w:t>
      </w:r>
      <w:bookmarkEnd w:id="455"/>
      <w:bookmarkEnd w:id="456"/>
    </w:p>
    <w:p w14:paraId="4A923376" w14:textId="77777777" w:rsidR="00CF0E3D" w:rsidRDefault="00CF0E3D" w:rsidP="00CF0E3D">
      <w:pPr>
        <w:pStyle w:val="subsection"/>
      </w:pPr>
      <w:r>
        <w:tab/>
      </w:r>
      <w:r>
        <w:tab/>
        <w:t xml:space="preserve">For section 56EH of the Act, an accredited person that collects CDR data in accordance with section 56EF of the Act </w:t>
      </w:r>
      <w:r w:rsidRPr="00C560DF">
        <w:t xml:space="preserve">as a result of a </w:t>
      </w:r>
      <w:r>
        <w:t xml:space="preserve">collection consent must update the person’s consumer dashboard </w:t>
      </w:r>
      <w:r w:rsidRPr="000C3240">
        <w:rPr>
          <w:color w:val="000000" w:themeColor="text1"/>
        </w:rPr>
        <w:t xml:space="preserve">as soon as practicable </w:t>
      </w:r>
      <w:r>
        <w:t>to indicate:</w:t>
      </w:r>
    </w:p>
    <w:p w14:paraId="65CD1E9D" w14:textId="77777777" w:rsidR="00CF0E3D" w:rsidRDefault="00CF0E3D" w:rsidP="00CF0E3D">
      <w:pPr>
        <w:pStyle w:val="paragraph"/>
      </w:pPr>
      <w:r>
        <w:tab/>
        <w:t>(a)</w:t>
      </w:r>
      <w:r>
        <w:tab/>
        <w:t xml:space="preserve">what CDR data </w:t>
      </w:r>
      <w:r w:rsidRPr="000C3240">
        <w:rPr>
          <w:color w:val="000000" w:themeColor="text1"/>
        </w:rPr>
        <w:t xml:space="preserve">was </w:t>
      </w:r>
      <w:r>
        <w:t>collected; and</w:t>
      </w:r>
    </w:p>
    <w:p w14:paraId="091C6AB2" w14:textId="77777777" w:rsidR="00CF0E3D" w:rsidRDefault="00CF0E3D" w:rsidP="00CF0E3D">
      <w:pPr>
        <w:pStyle w:val="paragraph"/>
      </w:pPr>
      <w:r>
        <w:tab/>
        <w:t>(b)</w:t>
      </w:r>
      <w:r>
        <w:tab/>
        <w:t>when the CDR data was collected; and</w:t>
      </w:r>
    </w:p>
    <w:p w14:paraId="30DFC02D" w14:textId="77777777" w:rsidR="00587084" w:rsidRPr="00BC78CF" w:rsidRDefault="00CF0E3D" w:rsidP="00587084">
      <w:pPr>
        <w:pStyle w:val="paragraph"/>
        <w:rPr>
          <w:color w:val="FF0000"/>
        </w:rPr>
      </w:pPr>
      <w:r w:rsidRPr="00CE5ECF">
        <w:tab/>
        <w:t>(c)</w:t>
      </w:r>
      <w:r w:rsidRPr="00CE5ECF">
        <w:tab/>
        <w:t>the CDR participant for the CDR data from which the CDR data was collected</w:t>
      </w:r>
      <w:r w:rsidR="00587084" w:rsidRPr="00BC78CF">
        <w:rPr>
          <w:color w:val="FF0000"/>
        </w:rPr>
        <w:t>; and</w:t>
      </w:r>
    </w:p>
    <w:p w14:paraId="2235D33B" w14:textId="11131EBD" w:rsidR="00CF0E3D" w:rsidRPr="00BC78CF" w:rsidRDefault="00587084" w:rsidP="00587084">
      <w:pPr>
        <w:pStyle w:val="paragraph"/>
        <w:rPr>
          <w:color w:val="FF0000"/>
        </w:rPr>
      </w:pPr>
      <w:r w:rsidRPr="00BC78CF">
        <w:rPr>
          <w:color w:val="FF0000"/>
        </w:rPr>
        <w:tab/>
        <w:t>(d)</w:t>
      </w:r>
      <w:r w:rsidRPr="00BC78CF">
        <w:rPr>
          <w:color w:val="FF0000"/>
        </w:rPr>
        <w:tab/>
        <w:t xml:space="preserve">if </w:t>
      </w:r>
      <w:r w:rsidR="00FD1804" w:rsidRPr="00BC78CF">
        <w:rPr>
          <w:color w:val="FF0000"/>
        </w:rPr>
        <w:t xml:space="preserve">the accredited person is an affiliate and </w:t>
      </w:r>
      <w:r w:rsidRPr="00BC78CF">
        <w:rPr>
          <w:color w:val="FF0000"/>
        </w:rPr>
        <w:t>the CDR data was collected by</w:t>
      </w:r>
      <w:r w:rsidR="008605D9" w:rsidRPr="00BC78CF">
        <w:rPr>
          <w:color w:val="FF0000"/>
        </w:rPr>
        <w:t xml:space="preserve"> </w:t>
      </w:r>
      <w:r w:rsidR="00FD1804" w:rsidRPr="00BC78CF">
        <w:rPr>
          <w:color w:val="FF0000"/>
        </w:rPr>
        <w:t>a sponsor</w:t>
      </w:r>
      <w:r w:rsidRPr="00BC78CF">
        <w:rPr>
          <w:color w:val="FF0000"/>
        </w:rPr>
        <w:t>—that fact</w:t>
      </w:r>
      <w:r w:rsidR="00CF0E3D" w:rsidRPr="00BC78CF">
        <w:rPr>
          <w:color w:val="FF0000"/>
        </w:rPr>
        <w:t>.</w:t>
      </w:r>
    </w:p>
    <w:p w14:paraId="05F54A7D" w14:textId="77777777" w:rsidR="00CF0E3D" w:rsidRPr="00EC7544" w:rsidRDefault="00CF0E3D" w:rsidP="00CF0E3D">
      <w:pPr>
        <w:pStyle w:val="notetext"/>
      </w:pPr>
      <w:r w:rsidRPr="00EC7544">
        <w:t>Note 1:</w:t>
      </w:r>
      <w:r w:rsidRPr="00EC7544">
        <w:tab/>
        <w:t>See paragraph 1.14(3)(h).</w:t>
      </w:r>
    </w:p>
    <w:p w14:paraId="2E375EE6" w14:textId="77777777" w:rsidR="00CF0E3D" w:rsidRPr="00EC7544" w:rsidRDefault="00CF0E3D" w:rsidP="00CF0E3D">
      <w:pPr>
        <w:pStyle w:val="notetext"/>
      </w:pPr>
      <w:r w:rsidRPr="00EC7544">
        <w:t>Note 2:</w:t>
      </w:r>
      <w:r w:rsidRPr="00EC7544">
        <w:tab/>
        <w:t>See rule 1.16 for how this rule applies in the case of a CDR outsourcing arrangement in which a provider collects CDR data on behalf of a principal.</w:t>
      </w:r>
    </w:p>
    <w:p w14:paraId="1D406DF5" w14:textId="77777777" w:rsidR="00CF0E3D" w:rsidRPr="00EC7544" w:rsidRDefault="00CF0E3D" w:rsidP="00CF0E3D">
      <w:pPr>
        <w:pStyle w:val="notetext"/>
        <w:rPr>
          <w:strike/>
        </w:rPr>
      </w:pPr>
    </w:p>
    <w:p w14:paraId="4BC6FFA8" w14:textId="77777777" w:rsidR="00CF0E3D" w:rsidRDefault="00CF0E3D" w:rsidP="00CF0E3D">
      <w:pPr>
        <w:pStyle w:val="ActHead4"/>
        <w:pageBreakBefore/>
      </w:pPr>
      <w:bookmarkStart w:id="457" w:name="_Toc11771672"/>
      <w:bookmarkStart w:id="458" w:name="_Toc74916249"/>
      <w:r>
        <w:t>Subdivision 7.2.3—Rules relating to dealing with CDR data</w:t>
      </w:r>
      <w:bookmarkEnd w:id="457"/>
      <w:bookmarkEnd w:id="458"/>
    </w:p>
    <w:p w14:paraId="2C4ABDF4" w14:textId="77777777" w:rsidR="00CF0E3D" w:rsidRPr="00724397" w:rsidRDefault="00CF0E3D" w:rsidP="00CF0E3D">
      <w:pPr>
        <w:pStyle w:val="ActHead5"/>
        <w:rPr>
          <w:i/>
        </w:rPr>
      </w:pPr>
      <w:bookmarkStart w:id="459" w:name="_Toc74916250"/>
      <w:r>
        <w:rPr>
          <w:color w:val="000000" w:themeColor="text1"/>
        </w:rPr>
        <w:t>7.5</w:t>
      </w:r>
      <w:r w:rsidRPr="005F3D40">
        <w:rPr>
          <w:color w:val="000000" w:themeColor="text1"/>
        </w:rPr>
        <w:t xml:space="preserve">  Meaning of </w:t>
      </w:r>
      <w:r w:rsidRPr="005F3D40">
        <w:rPr>
          <w:i/>
          <w:color w:val="000000" w:themeColor="text1"/>
        </w:rPr>
        <w:t xml:space="preserve">permitted use or </w:t>
      </w:r>
      <w:r w:rsidRPr="00C02086">
        <w:rPr>
          <w:i/>
        </w:rPr>
        <w:t xml:space="preserve">disclosure </w:t>
      </w:r>
      <w:r w:rsidRPr="00724397">
        <w:t>and</w:t>
      </w:r>
      <w:r w:rsidRPr="00724397">
        <w:rPr>
          <w:b w:val="0"/>
        </w:rPr>
        <w:t xml:space="preserve"> </w:t>
      </w:r>
      <w:r w:rsidRPr="00724397">
        <w:rPr>
          <w:i/>
        </w:rPr>
        <w:t>relates to direct marketing</w:t>
      </w:r>
      <w:bookmarkEnd w:id="459"/>
    </w:p>
    <w:p w14:paraId="4A65FF06" w14:textId="77777777" w:rsidR="00CF0E3D" w:rsidRPr="00C02086" w:rsidRDefault="00CF0E3D" w:rsidP="00CF0E3D">
      <w:pPr>
        <w:pStyle w:val="SubsectionHead"/>
      </w:pPr>
      <w:r w:rsidRPr="00C02086">
        <w:rPr>
          <w:b/>
        </w:rPr>
        <w:t>Permitted uses or disclosures</w:t>
      </w:r>
      <w:r w:rsidRPr="00C02086">
        <w:t xml:space="preserve"> that do not relate to direct marketing</w:t>
      </w:r>
    </w:p>
    <w:p w14:paraId="45F56AA9" w14:textId="77777777" w:rsidR="00CF0E3D" w:rsidRDefault="00CF0E3D" w:rsidP="00CF0E3D">
      <w:pPr>
        <w:pStyle w:val="subsection"/>
      </w:pPr>
      <w:r w:rsidRPr="00C02086">
        <w:tab/>
      </w:r>
      <w:r>
        <w:t>(1)</w:t>
      </w:r>
      <w:r w:rsidRPr="00C02086">
        <w:tab/>
        <w:t xml:space="preserve">For this Subdivision, for an accredited data recipient that has collected CDR data under a consumer data request under </w:t>
      </w:r>
      <w:r>
        <w:t>Part 4</w:t>
      </w:r>
      <w:r w:rsidRPr="00C02086">
        <w:t xml:space="preserve"> on behalf of a CDR consumer, each of the following is a </w:t>
      </w:r>
      <w:r w:rsidRPr="00C02086">
        <w:rPr>
          <w:b/>
          <w:i/>
        </w:rPr>
        <w:t>permitted use or disclosure</w:t>
      </w:r>
      <w:r w:rsidRPr="00C02086">
        <w:t>:</w:t>
      </w:r>
    </w:p>
    <w:p w14:paraId="7309BB4B" w14:textId="77777777" w:rsidR="00CF0E3D" w:rsidRPr="00F07699" w:rsidRDefault="00CF0E3D" w:rsidP="00CF0E3D">
      <w:pPr>
        <w:pStyle w:val="paragraph"/>
      </w:pPr>
      <w:r w:rsidRPr="00F07699">
        <w:tab/>
        <w:t>(a)</w:t>
      </w:r>
      <w:r w:rsidRPr="00F07699">
        <w:tab/>
        <w:t xml:space="preserve">using the CDR consumer’s CDR data to provide goods or services requested by the CDR consumer (the </w:t>
      </w:r>
      <w:r w:rsidRPr="00F07699">
        <w:rPr>
          <w:b/>
          <w:i/>
        </w:rPr>
        <w:t>existing goods or services</w:t>
      </w:r>
      <w:r w:rsidRPr="00F07699">
        <w:t>):</w:t>
      </w:r>
    </w:p>
    <w:p w14:paraId="57632DA5" w14:textId="77777777" w:rsidR="00CF0E3D" w:rsidRPr="00F07699" w:rsidRDefault="00CF0E3D" w:rsidP="00CF0E3D">
      <w:pPr>
        <w:pStyle w:val="paragraphsub"/>
      </w:pPr>
      <w:r w:rsidRPr="00F07699">
        <w:tab/>
        <w:t>(i)</w:t>
      </w:r>
      <w:r w:rsidRPr="00F07699">
        <w:tab/>
        <w:t>in compliance with the data minimisation principle; and</w:t>
      </w:r>
    </w:p>
    <w:p w14:paraId="12DB0775" w14:textId="77777777" w:rsidR="00CF0E3D" w:rsidRPr="00F07699" w:rsidRDefault="00CF0E3D" w:rsidP="00CF0E3D">
      <w:pPr>
        <w:pStyle w:val="paragraphsub"/>
      </w:pPr>
      <w:r w:rsidRPr="00F07699">
        <w:tab/>
        <w:t>(ii)</w:t>
      </w:r>
      <w:r w:rsidRPr="00F07699">
        <w:tab/>
        <w:t xml:space="preserve">in accordance with a current </w:t>
      </w:r>
      <w:r w:rsidRPr="00CE5ECF">
        <w:t xml:space="preserve">use </w:t>
      </w:r>
      <w:r w:rsidRPr="00F07699">
        <w:t>consent from the CDR consumer, other than a direct marketing consent;</w:t>
      </w:r>
    </w:p>
    <w:p w14:paraId="77B9D849" w14:textId="77777777" w:rsidR="00CF0E3D" w:rsidRPr="00880559" w:rsidRDefault="00CF0E3D" w:rsidP="00CF0E3D">
      <w:pPr>
        <w:pStyle w:val="paragraph"/>
      </w:pPr>
      <w:r w:rsidRPr="00880559">
        <w:tab/>
        <w:t>(aa)</w:t>
      </w:r>
      <w:r w:rsidRPr="00880559">
        <w:tab/>
        <w:t>in accordance with a current use consent, de</w:t>
      </w:r>
      <w:r w:rsidRPr="00880559">
        <w:noBreakHyphen/>
        <w:t>identifying the CDR consumer’s CDR data in accordance with the CDR data de</w:t>
      </w:r>
      <w:r w:rsidRPr="00880559">
        <w:noBreakHyphen/>
        <w:t>identification process and:</w:t>
      </w:r>
    </w:p>
    <w:p w14:paraId="2FAB5EFC" w14:textId="77777777" w:rsidR="00CF0E3D" w:rsidRPr="00880559" w:rsidRDefault="00CF0E3D" w:rsidP="00CF0E3D">
      <w:pPr>
        <w:pStyle w:val="paragraphsub"/>
      </w:pPr>
      <w:r w:rsidRPr="00880559">
        <w:tab/>
        <w:t>(i)</w:t>
      </w:r>
      <w:r w:rsidRPr="00880559">
        <w:tab/>
        <w:t>using the de</w:t>
      </w:r>
      <w:r w:rsidRPr="00880559">
        <w:noBreakHyphen/>
        <w:t>identified data for general research; or</w:t>
      </w:r>
    </w:p>
    <w:p w14:paraId="5C67A3C4" w14:textId="77777777" w:rsidR="00CF0E3D" w:rsidRPr="00880559" w:rsidRDefault="00CF0E3D" w:rsidP="00CF0E3D">
      <w:pPr>
        <w:pStyle w:val="paragraphsub"/>
      </w:pPr>
      <w:r w:rsidRPr="00880559">
        <w:tab/>
        <w:t>(ii)</w:t>
      </w:r>
      <w:r w:rsidRPr="00880559">
        <w:tab/>
        <w:t>disclosing (including by selling) the de</w:t>
      </w:r>
      <w:r w:rsidRPr="00880559">
        <w:noBreakHyphen/>
        <w:t>identified data;</w:t>
      </w:r>
    </w:p>
    <w:p w14:paraId="0F027537" w14:textId="719DC1C0" w:rsidR="00CF0E3D" w:rsidRPr="00CE5ECF" w:rsidRDefault="00CF0E3D" w:rsidP="00CF0E3D">
      <w:pPr>
        <w:pStyle w:val="paragraph"/>
      </w:pPr>
      <w:r w:rsidRPr="00CE5ECF">
        <w:tab/>
        <w:t>(b)</w:t>
      </w:r>
      <w:r w:rsidRPr="00CE5ECF">
        <w:tab/>
        <w:t xml:space="preserve">directly or indirectly deriving CDR data from the collected CDR data in order to use the data in accordance with paragraph (a) </w:t>
      </w:r>
      <w:r w:rsidRPr="00442213">
        <w:t>or</w:t>
      </w:r>
      <w:r w:rsidR="00864537" w:rsidRPr="00BC78CF">
        <w:rPr>
          <w:color w:val="FF0000"/>
        </w:rPr>
        <w:t xml:space="preserve"> </w:t>
      </w:r>
      <w:r w:rsidRPr="00CE5ECF">
        <w:t xml:space="preserve">(aa); </w:t>
      </w:r>
    </w:p>
    <w:p w14:paraId="6C577EBE" w14:textId="77777777" w:rsidR="00CF0E3D" w:rsidRPr="00CE5ECF" w:rsidRDefault="00CF0E3D" w:rsidP="00CF0E3D">
      <w:pPr>
        <w:pStyle w:val="paragraph"/>
      </w:pPr>
      <w:r w:rsidRPr="00CE5ECF">
        <w:tab/>
        <w:t>(c)</w:t>
      </w:r>
      <w:r w:rsidRPr="00CE5ECF">
        <w:tab/>
        <w:t>for the purpose of providing the existing goods or services—disclosing, to the CDR consumer, any of their CDR data;</w:t>
      </w:r>
    </w:p>
    <w:p w14:paraId="73A62EF7" w14:textId="77777777" w:rsidR="00CF0E3D" w:rsidRPr="00CE5ECF" w:rsidRDefault="00CF0E3D" w:rsidP="00CF0E3D">
      <w:pPr>
        <w:pStyle w:val="paragraph"/>
      </w:pPr>
      <w:r w:rsidRPr="00CE5ECF">
        <w:tab/>
        <w:t>(ca)</w:t>
      </w:r>
      <w:r w:rsidRPr="00CE5ECF">
        <w:tab/>
        <w:t>subject to rule 7.5A, disclosing the CDR consumer’s CDR data in accordance with a current disclosure consent;</w:t>
      </w:r>
    </w:p>
    <w:p w14:paraId="4964A1F5" w14:textId="63B8A746" w:rsidR="00CF0E3D" w:rsidRDefault="00CF0E3D" w:rsidP="00CF0E3D">
      <w:pPr>
        <w:pStyle w:val="paragraph"/>
      </w:pPr>
      <w:r w:rsidRPr="00C02086">
        <w:tab/>
      </w:r>
      <w:r>
        <w:t>(d)</w:t>
      </w:r>
      <w:r w:rsidRPr="00C02086">
        <w:tab/>
        <w:t>disclosing the CDR consumer’s CDR data to an outsourced service provider</w:t>
      </w:r>
      <w:r w:rsidRPr="00C316B9">
        <w:t xml:space="preserve"> </w:t>
      </w:r>
      <w:r w:rsidRPr="00EC7544">
        <w:t>of the accredited data recipient under a CDR outsourcing arrangement</w:t>
      </w:r>
      <w:r w:rsidR="00587084" w:rsidRPr="00BC78CF">
        <w:rPr>
          <w:color w:val="FF0000"/>
        </w:rPr>
        <w:t xml:space="preserve">, or to the other party </w:t>
      </w:r>
      <w:r w:rsidR="00FD1804" w:rsidRPr="00BC78CF">
        <w:rPr>
          <w:color w:val="FF0000"/>
        </w:rPr>
        <w:t xml:space="preserve">in a sponsorship </w:t>
      </w:r>
      <w:r w:rsidR="00587084" w:rsidRPr="00BC78CF">
        <w:rPr>
          <w:color w:val="FF0000"/>
        </w:rPr>
        <w:t>arrangement</w:t>
      </w:r>
      <w:r w:rsidRPr="00C02086">
        <w:t>:</w:t>
      </w:r>
    </w:p>
    <w:p w14:paraId="34A600F5" w14:textId="77777777" w:rsidR="00CF0E3D" w:rsidRPr="00C02086" w:rsidRDefault="00CF0E3D" w:rsidP="00CF0E3D">
      <w:pPr>
        <w:pStyle w:val="paragraphsub"/>
      </w:pPr>
      <w:r w:rsidRPr="00C02086">
        <w:tab/>
      </w:r>
      <w:r>
        <w:t>(i)</w:t>
      </w:r>
      <w:r w:rsidRPr="00C02086">
        <w:tab/>
        <w:t>for the purpose of doing the things referred to in paragraphs </w:t>
      </w:r>
      <w:r>
        <w:t>(a)</w:t>
      </w:r>
      <w:r w:rsidRPr="00C02086">
        <w:t xml:space="preserve"> to </w:t>
      </w:r>
      <w:r>
        <w:t>(c)</w:t>
      </w:r>
      <w:r w:rsidRPr="00C02086">
        <w:t>; and</w:t>
      </w:r>
    </w:p>
    <w:p w14:paraId="0301DAEE" w14:textId="407A9825" w:rsidR="003E400D" w:rsidRPr="00C02086" w:rsidRDefault="00CF0E3D" w:rsidP="00CF0E3D">
      <w:pPr>
        <w:pStyle w:val="paragraphsub"/>
      </w:pPr>
      <w:r w:rsidRPr="00C02086">
        <w:tab/>
      </w:r>
      <w:r>
        <w:t>(ii)</w:t>
      </w:r>
      <w:r w:rsidRPr="00C02086">
        <w:tab/>
        <w:t>to the extent reasonably needed to do those things;</w:t>
      </w:r>
    </w:p>
    <w:p w14:paraId="3946BE46" w14:textId="77777777" w:rsidR="00CF0E3D" w:rsidRPr="00EC7544" w:rsidRDefault="00CF0E3D" w:rsidP="00CF0E3D">
      <w:pPr>
        <w:pStyle w:val="paragraph"/>
      </w:pPr>
      <w:r w:rsidRPr="00C02086">
        <w:tab/>
      </w:r>
      <w:r>
        <w:t>(e)</w:t>
      </w:r>
      <w:r w:rsidRPr="00C02086">
        <w:tab/>
        <w:t>disclosing (by sale or otherwise), to any person, CDR data that has been de</w:t>
      </w:r>
      <w:r w:rsidRPr="00C02086">
        <w:noBreakHyphen/>
        <w:t>identified in accordance with the CDR data de</w:t>
      </w:r>
      <w:r w:rsidRPr="00C02086">
        <w:noBreakHyphen/>
        <w:t>identification process</w:t>
      </w:r>
      <w:r w:rsidRPr="00EC7544">
        <w:t>;</w:t>
      </w:r>
    </w:p>
    <w:p w14:paraId="69FE5DF1" w14:textId="77777777" w:rsidR="00CF0E3D" w:rsidRDefault="00CF0E3D" w:rsidP="00CF0E3D">
      <w:pPr>
        <w:pStyle w:val="paragraph"/>
      </w:pPr>
      <w:r w:rsidRPr="00EC7544">
        <w:tab/>
        <w:t>(f)</w:t>
      </w:r>
      <w:r w:rsidRPr="00EC7544">
        <w:tab/>
        <w:t>where the accredited data recipient collected the CDR data as a provider in a CDR outsourcing arrangement—disclosing service data to the principal under the arrangement</w:t>
      </w:r>
      <w:r>
        <w:t>;</w:t>
      </w:r>
    </w:p>
    <w:p w14:paraId="5E66D093" w14:textId="77777777" w:rsidR="00CF0E3D" w:rsidRPr="00CE5ECF" w:rsidRDefault="00CF0E3D" w:rsidP="00CF0E3D">
      <w:pPr>
        <w:pStyle w:val="paragraph"/>
      </w:pPr>
      <w:r>
        <w:tab/>
      </w:r>
      <w:r w:rsidRPr="00CE5ECF">
        <w:t>(g)</w:t>
      </w:r>
      <w:r w:rsidRPr="00CE5ECF">
        <w:tab/>
        <w:t>disclosing CDR data to an accredited person if the CDR consumer has:</w:t>
      </w:r>
    </w:p>
    <w:p w14:paraId="295C7211" w14:textId="77777777" w:rsidR="00CF0E3D" w:rsidRPr="00CE5ECF" w:rsidRDefault="00CF0E3D" w:rsidP="00CF0E3D">
      <w:pPr>
        <w:pStyle w:val="paragraphsub"/>
      </w:pPr>
      <w:r w:rsidRPr="00CE5ECF">
        <w:tab/>
        <w:t>(i)</w:t>
      </w:r>
      <w:r w:rsidRPr="00CE5ECF">
        <w:tab/>
        <w:t>given the accredited person:</w:t>
      </w:r>
    </w:p>
    <w:p w14:paraId="5A90C7C5" w14:textId="77777777" w:rsidR="00CF0E3D" w:rsidRPr="00CE5ECF" w:rsidRDefault="00CF0E3D" w:rsidP="00CF0E3D">
      <w:pPr>
        <w:pStyle w:val="paragraphsub-sub"/>
      </w:pPr>
      <w:r w:rsidRPr="00CE5ECF">
        <w:tab/>
        <w:t>(A)</w:t>
      </w:r>
      <w:r w:rsidRPr="00CE5ECF">
        <w:tab/>
        <w:t>a collection consent to collect the CDR data from the accredited data recipient; and</w:t>
      </w:r>
    </w:p>
    <w:p w14:paraId="7F4CC959" w14:textId="77777777" w:rsidR="00CF0E3D" w:rsidRPr="00CE5ECF" w:rsidRDefault="00CF0E3D" w:rsidP="00CF0E3D">
      <w:pPr>
        <w:pStyle w:val="paragraphsub-sub"/>
      </w:pPr>
      <w:r w:rsidRPr="00CE5ECF">
        <w:tab/>
        <w:t>(B)</w:t>
      </w:r>
      <w:r w:rsidRPr="00CE5ECF">
        <w:tab/>
        <w:t>a use consent; and</w:t>
      </w:r>
    </w:p>
    <w:p w14:paraId="3FD5540B" w14:textId="0020EF8B" w:rsidR="00CF0E3D" w:rsidRPr="00BC78CF" w:rsidRDefault="00CF0E3D" w:rsidP="00CF0E3D">
      <w:pPr>
        <w:pStyle w:val="paragraphsub"/>
        <w:rPr>
          <w:color w:val="FF0000"/>
        </w:rPr>
      </w:pPr>
      <w:r w:rsidRPr="00CE5ECF">
        <w:tab/>
        <w:t>(ii)</w:t>
      </w:r>
      <w:r w:rsidRPr="00CE5ECF">
        <w:tab/>
        <w:t>given the accredited data recipient an AP disclosure consent to disclose the CDR</w:t>
      </w:r>
      <w:r>
        <w:t xml:space="preserve"> data </w:t>
      </w:r>
      <w:r w:rsidR="003E400D">
        <w:t>to the accredited person</w:t>
      </w:r>
      <w:r w:rsidR="003E400D" w:rsidRPr="00BC78CF">
        <w:rPr>
          <w:color w:val="FF0000"/>
        </w:rPr>
        <w:t>;</w:t>
      </w:r>
    </w:p>
    <w:p w14:paraId="0A9250A3" w14:textId="39E7F1BA" w:rsidR="003E400D" w:rsidRPr="00BC78CF" w:rsidRDefault="003E400D" w:rsidP="003E400D">
      <w:pPr>
        <w:pStyle w:val="paragraph"/>
        <w:rPr>
          <w:color w:val="FF0000"/>
        </w:rPr>
      </w:pPr>
      <w:r w:rsidRPr="00BC78CF">
        <w:rPr>
          <w:color w:val="FF0000"/>
        </w:rPr>
        <w:tab/>
        <w:t>(h)</w:t>
      </w:r>
      <w:r w:rsidRPr="00BC78CF">
        <w:rPr>
          <w:color w:val="FF0000"/>
        </w:rPr>
        <w:tab/>
        <w:t xml:space="preserve">where the accredited person is a CDR principal—disclosing the CDR data to a </w:t>
      </w:r>
      <w:r w:rsidR="00182338" w:rsidRPr="00BC78CF">
        <w:rPr>
          <w:color w:val="FF0000"/>
        </w:rPr>
        <w:t>CDR representative</w:t>
      </w:r>
      <w:r w:rsidRPr="00BC78CF">
        <w:rPr>
          <w:color w:val="FF0000"/>
        </w:rPr>
        <w:t xml:space="preserve"> for the purposes of a use or disclosure by the the </w:t>
      </w:r>
      <w:r w:rsidR="00182338" w:rsidRPr="00BC78CF">
        <w:rPr>
          <w:color w:val="FF0000"/>
        </w:rPr>
        <w:t>CDR representative</w:t>
      </w:r>
      <w:r w:rsidRPr="00BC78CF">
        <w:rPr>
          <w:color w:val="FF0000"/>
        </w:rPr>
        <w:t xml:space="preserve"> that would be a permitted use or disclosure under paragraphs (a) to (g) if the </w:t>
      </w:r>
      <w:r w:rsidR="00182338" w:rsidRPr="00BC78CF">
        <w:rPr>
          <w:color w:val="FF0000"/>
        </w:rPr>
        <w:t>CDR representative</w:t>
      </w:r>
      <w:r w:rsidRPr="00BC78CF">
        <w:rPr>
          <w:color w:val="FF0000"/>
        </w:rPr>
        <w:t xml:space="preserve"> were an accredited person that had collected the CDR data under the consumer data request.</w:t>
      </w:r>
    </w:p>
    <w:p w14:paraId="7605F572" w14:textId="77777777" w:rsidR="00CF0E3D" w:rsidRPr="00C02086" w:rsidRDefault="00CF0E3D" w:rsidP="00CF0E3D">
      <w:pPr>
        <w:pStyle w:val="subsection"/>
      </w:pPr>
      <w:r w:rsidRPr="00C02086">
        <w:tab/>
      </w:r>
      <w:r>
        <w:t>(2)</w:t>
      </w:r>
      <w:r w:rsidRPr="00C02086">
        <w:tab/>
        <w:t>However, none of the uses or disclosures of CDR data referred to in subrule </w:t>
      </w:r>
      <w:r>
        <w:t>4.12(3)</w:t>
      </w:r>
      <w:r w:rsidRPr="00C02086">
        <w:t xml:space="preserve"> is a </w:t>
      </w:r>
      <w:r w:rsidRPr="00C02086">
        <w:rPr>
          <w:b/>
          <w:i/>
        </w:rPr>
        <w:t>permitted use or disclosure</w:t>
      </w:r>
      <w:r w:rsidRPr="00C02086">
        <w:t>.</w:t>
      </w:r>
    </w:p>
    <w:p w14:paraId="5DA6133E" w14:textId="77777777" w:rsidR="00CF0E3D" w:rsidRPr="00C02086" w:rsidRDefault="00CF0E3D" w:rsidP="00CF0E3D">
      <w:pPr>
        <w:pStyle w:val="SubsectionHead"/>
      </w:pPr>
      <w:r w:rsidRPr="00C02086">
        <w:rPr>
          <w:b/>
        </w:rPr>
        <w:t>Permitted uses or disclosures</w:t>
      </w:r>
      <w:r w:rsidRPr="00C02086">
        <w:t xml:space="preserve"> that </w:t>
      </w:r>
      <w:r w:rsidRPr="00C02086">
        <w:rPr>
          <w:b/>
        </w:rPr>
        <w:t>relate to direct marketing</w:t>
      </w:r>
    </w:p>
    <w:p w14:paraId="473D230A" w14:textId="77777777" w:rsidR="00CF0E3D" w:rsidRPr="00724397" w:rsidRDefault="00CF0E3D" w:rsidP="00CF0E3D">
      <w:pPr>
        <w:pStyle w:val="subsection"/>
      </w:pPr>
      <w:r w:rsidRPr="00724397">
        <w:tab/>
      </w:r>
      <w:r>
        <w:t>(3)</w:t>
      </w:r>
      <w:r w:rsidRPr="00724397">
        <w:tab/>
        <w:t xml:space="preserve">For this Subdivision, a use or disclosure of the CDR consumer’s CDR data that is not itself a permitted use or disclosure under subrule (1) is nevertheless a </w:t>
      </w:r>
      <w:r w:rsidRPr="00724397">
        <w:rPr>
          <w:b/>
          <w:i/>
        </w:rPr>
        <w:t xml:space="preserve">permitted use or disclosure </w:t>
      </w:r>
      <w:r w:rsidRPr="00724397">
        <w:t xml:space="preserve">that </w:t>
      </w:r>
      <w:r w:rsidRPr="00724397">
        <w:rPr>
          <w:b/>
          <w:i/>
        </w:rPr>
        <w:t xml:space="preserve">relates to direct marketing </w:t>
      </w:r>
      <w:r w:rsidRPr="00724397">
        <w:t>if it consists of one of the following:</w:t>
      </w:r>
    </w:p>
    <w:p w14:paraId="0F761798" w14:textId="77777777" w:rsidR="00CF0E3D" w:rsidRPr="00724397" w:rsidRDefault="00CF0E3D" w:rsidP="00CF0E3D">
      <w:pPr>
        <w:pStyle w:val="paragraph"/>
      </w:pPr>
      <w:r w:rsidRPr="00724397">
        <w:tab/>
      </w:r>
      <w:r>
        <w:t>(a)</w:t>
      </w:r>
      <w:r w:rsidRPr="00724397">
        <w:tab/>
        <w:t>in accordance with a direct marketing consent from the CDR consumer—sending to the CDR consumer:</w:t>
      </w:r>
    </w:p>
    <w:p w14:paraId="4073D758" w14:textId="77777777" w:rsidR="00CF0E3D" w:rsidRPr="00724397" w:rsidRDefault="00CF0E3D" w:rsidP="00CF0E3D">
      <w:pPr>
        <w:pStyle w:val="paragraphsub"/>
      </w:pPr>
      <w:r w:rsidRPr="00724397">
        <w:tab/>
      </w:r>
      <w:r>
        <w:t>(i)</w:t>
      </w:r>
      <w:r w:rsidRPr="00724397">
        <w:tab/>
        <w:t>information about upgraded or alternative goods or services to existing goods or services; or</w:t>
      </w:r>
    </w:p>
    <w:p w14:paraId="37191C7E" w14:textId="77777777" w:rsidR="00CF0E3D" w:rsidRPr="00724397" w:rsidRDefault="00CF0E3D" w:rsidP="00CF0E3D">
      <w:pPr>
        <w:pStyle w:val="paragraphsub"/>
      </w:pPr>
      <w:r w:rsidRPr="00724397">
        <w:tab/>
      </w:r>
      <w:r>
        <w:t>(ii)</w:t>
      </w:r>
      <w:r w:rsidRPr="00724397">
        <w:tab/>
        <w:t>an offer to renew existing goods or services when they expire; or</w:t>
      </w:r>
    </w:p>
    <w:p w14:paraId="5966D93A" w14:textId="77777777" w:rsidR="00CF0E3D" w:rsidRDefault="00CF0E3D" w:rsidP="00CF0E3D">
      <w:pPr>
        <w:pStyle w:val="paragraphsub"/>
      </w:pPr>
      <w:r w:rsidRPr="00724397">
        <w:tab/>
      </w:r>
      <w:r>
        <w:t>(iii)</w:t>
      </w:r>
      <w:r w:rsidRPr="00724397">
        <w:tab/>
        <w:t>information about the benefits of existing goods or services;</w:t>
      </w:r>
      <w:r>
        <w:t xml:space="preserve"> </w:t>
      </w:r>
      <w:r w:rsidRPr="00CE5ECF">
        <w:t>; or</w:t>
      </w:r>
      <w:r>
        <w:t xml:space="preserve">   </w:t>
      </w:r>
    </w:p>
    <w:p w14:paraId="59A85C89" w14:textId="77777777" w:rsidR="00CF0E3D" w:rsidRPr="00CE5ECF" w:rsidRDefault="00CF0E3D" w:rsidP="00CF0E3D">
      <w:pPr>
        <w:pStyle w:val="paragraphsub"/>
      </w:pPr>
      <w:r>
        <w:tab/>
      </w:r>
      <w:r w:rsidRPr="00CE5ECF">
        <w:t>(iv)</w:t>
      </w:r>
      <w:r w:rsidRPr="00CE5ECF">
        <w:tab/>
        <w:t>information about other goods or services provided by another accredited person, if the accredited data recipient:</w:t>
      </w:r>
    </w:p>
    <w:p w14:paraId="2AF2E523" w14:textId="77777777" w:rsidR="00CF0E3D" w:rsidRPr="00CE5ECF" w:rsidRDefault="00CF0E3D" w:rsidP="00CF0E3D">
      <w:pPr>
        <w:pStyle w:val="paragraphsub-sub"/>
      </w:pPr>
      <w:r w:rsidRPr="00CE5ECF">
        <w:tab/>
        <w:t>(A)</w:t>
      </w:r>
      <w:r w:rsidRPr="00CE5ECF">
        <w:tab/>
        <w:t>reasonably believes that the CDR consumer might benefit from those other goods or services; and</w:t>
      </w:r>
    </w:p>
    <w:p w14:paraId="434D42BC" w14:textId="77777777" w:rsidR="00CF0E3D" w:rsidRPr="00724397" w:rsidRDefault="00CF0E3D" w:rsidP="00CF0E3D">
      <w:pPr>
        <w:pStyle w:val="paragraphsub-sub"/>
      </w:pPr>
      <w:r w:rsidRPr="00CE5ECF">
        <w:tab/>
        <w:t xml:space="preserve">(B) </w:t>
      </w:r>
      <w:r w:rsidRPr="00CE5ECF">
        <w:tab/>
        <w:t>sends such information to the CDR consumer on no more than a reasonable number of occasions;</w:t>
      </w:r>
    </w:p>
    <w:p w14:paraId="06060A08" w14:textId="77777777" w:rsidR="00CF0E3D" w:rsidRPr="00CE5ECF" w:rsidRDefault="00CF0E3D" w:rsidP="00CF0E3D">
      <w:pPr>
        <w:pStyle w:val="paragraph"/>
      </w:pPr>
      <w:r w:rsidRPr="00CE5ECF">
        <w:tab/>
        <w:t>(aa)</w:t>
      </w:r>
      <w:r w:rsidRPr="00CE5ECF">
        <w:tab/>
        <w:t>in accordance with a direct marketing consent from the CDR consumer—disclosing CDR data to an accredited person to enable the accredited person to provide the goods or services referred to in subparagraph (a)(iv), if the CDR consumer has:</w:t>
      </w:r>
    </w:p>
    <w:p w14:paraId="30BB7F51" w14:textId="77777777" w:rsidR="00CF0E3D" w:rsidRPr="00CE5ECF" w:rsidRDefault="00CF0E3D" w:rsidP="00CF0E3D">
      <w:pPr>
        <w:pStyle w:val="paragraphsub"/>
      </w:pPr>
      <w:r w:rsidRPr="00CE5ECF">
        <w:tab/>
        <w:t>(i)</w:t>
      </w:r>
      <w:r w:rsidRPr="00CE5ECF">
        <w:tab/>
        <w:t>given the accredited person:</w:t>
      </w:r>
    </w:p>
    <w:p w14:paraId="241018ED" w14:textId="77777777" w:rsidR="00CF0E3D" w:rsidRPr="00CE5ECF" w:rsidRDefault="00CF0E3D" w:rsidP="00CF0E3D">
      <w:pPr>
        <w:pStyle w:val="paragraphsub-sub"/>
      </w:pPr>
      <w:r w:rsidRPr="00CE5ECF">
        <w:tab/>
        <w:t>(A)</w:t>
      </w:r>
      <w:r w:rsidRPr="00CE5ECF">
        <w:tab/>
        <w:t>a collection consent to collect the CDR data from the accredited data recipient; and</w:t>
      </w:r>
    </w:p>
    <w:p w14:paraId="1898EF0D" w14:textId="77777777" w:rsidR="00CF0E3D" w:rsidRPr="00CE5ECF" w:rsidRDefault="00CF0E3D" w:rsidP="00CF0E3D">
      <w:pPr>
        <w:pStyle w:val="paragraphsub-sub"/>
      </w:pPr>
      <w:r w:rsidRPr="00CE5ECF">
        <w:tab/>
        <w:t>(B)</w:t>
      </w:r>
      <w:r w:rsidRPr="00CE5ECF">
        <w:tab/>
        <w:t>a use consent; and</w:t>
      </w:r>
    </w:p>
    <w:p w14:paraId="3E178CFB" w14:textId="77777777" w:rsidR="00CF0E3D" w:rsidRPr="00CE5ECF" w:rsidRDefault="00CF0E3D" w:rsidP="00CF0E3D">
      <w:pPr>
        <w:pStyle w:val="paragraphsub"/>
      </w:pPr>
      <w:r w:rsidRPr="00CE5ECF">
        <w:tab/>
        <w:t>(ii)</w:t>
      </w:r>
      <w:r w:rsidRPr="00CE5ECF">
        <w:tab/>
        <w:t>given the accredited data recipient a disclosure consent to disclose the CDR data to the accredited person;</w:t>
      </w:r>
    </w:p>
    <w:p w14:paraId="2888490F" w14:textId="77777777" w:rsidR="00CF0E3D" w:rsidRPr="00EA6240" w:rsidRDefault="00CF0E3D" w:rsidP="00CF0E3D">
      <w:pPr>
        <w:pStyle w:val="paragraph"/>
      </w:pPr>
      <w:r w:rsidRPr="00724397">
        <w:tab/>
      </w:r>
      <w:r>
        <w:t>(b)</w:t>
      </w:r>
      <w:r w:rsidRPr="00724397">
        <w:tab/>
        <w:t xml:space="preserve">using the CDR data in a way </w:t>
      </w:r>
      <w:r w:rsidRPr="00EA6240">
        <w:t xml:space="preserve">and to the extent </w:t>
      </w:r>
      <w:r w:rsidRPr="00724397">
        <w:t>that is reasonably needed in order to send to the CDR consumer something permitted under paragraph </w:t>
      </w:r>
      <w:r>
        <w:t>(a) or paragraph (aa)</w:t>
      </w:r>
      <w:r w:rsidRPr="00EA6240">
        <w:t xml:space="preserve"> (including by analysing the CDR data to identify the appropriate information to send);</w:t>
      </w:r>
    </w:p>
    <w:p w14:paraId="0F67900E" w14:textId="77777777" w:rsidR="00CF0E3D" w:rsidRPr="00724397" w:rsidRDefault="00CF0E3D" w:rsidP="00CF0E3D">
      <w:pPr>
        <w:pStyle w:val="paragraph"/>
      </w:pPr>
      <w:r w:rsidRPr="00724397">
        <w:tab/>
      </w:r>
      <w:r>
        <w:t>(c)</w:t>
      </w:r>
      <w:r w:rsidRPr="00724397">
        <w:tab/>
        <w:t>disclosing the CDR consumer’s CDR data to an outsourced service provider</w:t>
      </w:r>
      <w:r w:rsidRPr="00EC7544">
        <w:t xml:space="preserve"> of the accredited data recipient</w:t>
      </w:r>
      <w:r w:rsidRPr="00724397">
        <w:t>:</w:t>
      </w:r>
    </w:p>
    <w:p w14:paraId="130E2721" w14:textId="77777777" w:rsidR="00CF0E3D" w:rsidRPr="00724397" w:rsidRDefault="00CF0E3D" w:rsidP="00CF0E3D">
      <w:pPr>
        <w:pStyle w:val="paragraphsub"/>
      </w:pPr>
      <w:r w:rsidRPr="00724397">
        <w:tab/>
      </w:r>
      <w:r>
        <w:t>(i)</w:t>
      </w:r>
      <w:r w:rsidRPr="00724397">
        <w:tab/>
        <w:t>for the purpose of doing the things referred to in paragraphs </w:t>
      </w:r>
      <w:r>
        <w:t>(a), (aa)</w:t>
      </w:r>
      <w:r w:rsidRPr="00724397">
        <w:t xml:space="preserve"> or </w:t>
      </w:r>
      <w:r>
        <w:t>(b)</w:t>
      </w:r>
      <w:r w:rsidRPr="00724397">
        <w:t>; and</w:t>
      </w:r>
    </w:p>
    <w:p w14:paraId="20FFDFC0" w14:textId="77777777" w:rsidR="00CF0E3D" w:rsidRPr="00C41AF8" w:rsidRDefault="00CF0E3D" w:rsidP="00CF0E3D">
      <w:pPr>
        <w:pStyle w:val="paragraphsub"/>
      </w:pPr>
      <w:r w:rsidRPr="00724397">
        <w:tab/>
      </w:r>
      <w:r>
        <w:t>(ii)</w:t>
      </w:r>
      <w:r w:rsidRPr="00724397">
        <w:tab/>
        <w:t>to the extent reason</w:t>
      </w:r>
      <w:r>
        <w:t>ably needed to do those things.</w:t>
      </w:r>
    </w:p>
    <w:p w14:paraId="54FD77D1" w14:textId="2757AD4E" w:rsidR="00D34637" w:rsidRDefault="00CF0E3D" w:rsidP="00D34637">
      <w:pPr>
        <w:pStyle w:val="ActHead5"/>
      </w:pPr>
      <w:bookmarkStart w:id="460" w:name="_Toc57219117"/>
      <w:bookmarkStart w:id="461" w:name="_Toc59549175"/>
      <w:bookmarkStart w:id="462" w:name="_Toc74916251"/>
      <w:r w:rsidRPr="00CE5ECF">
        <w:t>7.5A  Limitation to disclosures of CDR data under a disclosure consent</w:t>
      </w:r>
      <w:bookmarkEnd w:id="460"/>
      <w:bookmarkEnd w:id="461"/>
      <w:bookmarkEnd w:id="462"/>
    </w:p>
    <w:p w14:paraId="577C7700" w14:textId="4AE866A6" w:rsidR="00CF0E3D" w:rsidRPr="00E2289C" w:rsidRDefault="00D34637" w:rsidP="00CF0E3D">
      <w:pPr>
        <w:pStyle w:val="subsection"/>
      </w:pPr>
      <w:r w:rsidRPr="00BC78CF">
        <w:rPr>
          <w:color w:val="FF0000"/>
        </w:rPr>
        <w:tab/>
        <w:t>(1)</w:t>
      </w:r>
      <w:r w:rsidRPr="00BC78CF">
        <w:rPr>
          <w:color w:val="FF0000"/>
        </w:rPr>
        <w:tab/>
      </w:r>
      <w:r w:rsidR="00CF0E3D" w:rsidRPr="00E2289C">
        <w:t>Despite paragraph 7.5(1)</w:t>
      </w:r>
      <w:r w:rsidR="00CF0E3D">
        <w:t>(ca), disclosure of CDR data to</w:t>
      </w:r>
      <w:r w:rsidR="00CF0E3D" w:rsidRPr="004E3E9C">
        <w:t xml:space="preserve"> a</w:t>
      </w:r>
      <w:r w:rsidR="00CF0E3D" w:rsidRPr="00E2289C">
        <w:t xml:space="preserve">n accredited person </w:t>
      </w:r>
      <w:r w:rsidR="00CF0E3D" w:rsidRPr="00450982">
        <w:t>under a</w:t>
      </w:r>
      <w:r w:rsidR="00CF0E3D">
        <w:t>n</w:t>
      </w:r>
      <w:r w:rsidR="00CF0E3D" w:rsidRPr="00450982">
        <w:t xml:space="preserve"> </w:t>
      </w:r>
      <w:r w:rsidR="00CF0E3D">
        <w:t>AP</w:t>
      </w:r>
      <w:r w:rsidR="00CF0E3D" w:rsidRPr="00450982">
        <w:t xml:space="preserve"> disclosure</w:t>
      </w:r>
      <w:r w:rsidR="00CF0E3D" w:rsidRPr="00E2289C">
        <w:t xml:space="preserve"> consent is not a </w:t>
      </w:r>
      <w:r w:rsidR="00CF0E3D" w:rsidRPr="00E2289C">
        <w:rPr>
          <w:b/>
          <w:i/>
        </w:rPr>
        <w:t xml:space="preserve">permitted use or disclosure </w:t>
      </w:r>
      <w:r w:rsidR="00CF0E3D" w:rsidRPr="00E2289C">
        <w:t>until the earlier of the following:</w:t>
      </w:r>
    </w:p>
    <w:p w14:paraId="5CEE2F4A" w14:textId="2BC8E4C7" w:rsidR="00CF0E3D" w:rsidRPr="00D34637" w:rsidRDefault="00CF0E3D" w:rsidP="00CF0E3D">
      <w:pPr>
        <w:pStyle w:val="paragraph"/>
      </w:pPr>
      <w:r w:rsidRPr="00D34637">
        <w:tab/>
        <w:t>(a)</w:t>
      </w:r>
      <w:r w:rsidRPr="00D34637">
        <w:tab/>
        <w:t>1 July 2021;</w:t>
      </w:r>
    </w:p>
    <w:p w14:paraId="38990020" w14:textId="77777777" w:rsidR="00CF0E3D" w:rsidRPr="00E2289C" w:rsidRDefault="00CF0E3D" w:rsidP="00CF0E3D">
      <w:pPr>
        <w:pStyle w:val="paragraph"/>
      </w:pPr>
      <w:r w:rsidRPr="00E2289C">
        <w:tab/>
        <w:t>(b)</w:t>
      </w:r>
      <w:r w:rsidRPr="00E2289C">
        <w:tab/>
        <w:t>the day the Data Standards Chair makes the data standard about the matter referred to in subparagraph 8.11(1)(c)(iii).</w:t>
      </w:r>
    </w:p>
    <w:p w14:paraId="14BB8EC7" w14:textId="0AA57D85" w:rsidR="00D34637" w:rsidRPr="00BC78CF" w:rsidRDefault="00D34637" w:rsidP="007A5F06">
      <w:pPr>
        <w:pStyle w:val="subsection"/>
        <w:rPr>
          <w:color w:val="FF0000"/>
        </w:rPr>
      </w:pPr>
      <w:r w:rsidRPr="00BC78CF">
        <w:rPr>
          <w:color w:val="FF0000"/>
        </w:rPr>
        <w:tab/>
        <w:t>(2)</w:t>
      </w:r>
      <w:r w:rsidRPr="00BC78CF">
        <w:rPr>
          <w:color w:val="FF0000"/>
        </w:rPr>
        <w:tab/>
        <w:t>Despite paragraph 7.5(1)(ca), disclosure of CDR data to a</w:t>
      </w:r>
      <w:r w:rsidR="007F731E" w:rsidRPr="00BC78CF">
        <w:rPr>
          <w:color w:val="FF0000"/>
        </w:rPr>
        <w:t xml:space="preserve"> trusted adviser</w:t>
      </w:r>
      <w:r w:rsidR="00C31386" w:rsidRPr="00BC78CF">
        <w:rPr>
          <w:color w:val="FF0000"/>
        </w:rPr>
        <w:t xml:space="preserve"> under a</w:t>
      </w:r>
      <w:r w:rsidRPr="00BC78CF">
        <w:rPr>
          <w:color w:val="FF0000"/>
        </w:rPr>
        <w:t xml:space="preserve"> TA disclosure consent is not a </w:t>
      </w:r>
      <w:r w:rsidR="007F731E" w:rsidRPr="00BC78CF">
        <w:rPr>
          <w:b/>
          <w:i/>
          <w:color w:val="FF0000"/>
        </w:rPr>
        <w:t>permitted use or disclosure</w:t>
      </w:r>
      <w:r w:rsidR="007A5F06" w:rsidRPr="00BC78CF">
        <w:rPr>
          <w:b/>
          <w:i/>
          <w:color w:val="FF0000"/>
        </w:rPr>
        <w:t xml:space="preserve"> </w:t>
      </w:r>
      <w:r w:rsidR="007F731E" w:rsidRPr="00BC78CF">
        <w:rPr>
          <w:color w:val="FF0000"/>
        </w:rPr>
        <w:t>u</w:t>
      </w:r>
      <w:r w:rsidRPr="00BC78CF">
        <w:rPr>
          <w:color w:val="FF0000"/>
        </w:rPr>
        <w:t>ntil the earlier of the following:</w:t>
      </w:r>
    </w:p>
    <w:p w14:paraId="7A61267B" w14:textId="0D9E71E5" w:rsidR="00D34637" w:rsidRPr="00BC78CF" w:rsidRDefault="007A5F06" w:rsidP="007A5F06">
      <w:pPr>
        <w:pStyle w:val="paragraph"/>
        <w:rPr>
          <w:color w:val="FF0000"/>
        </w:rPr>
      </w:pPr>
      <w:r w:rsidRPr="00BC78CF">
        <w:rPr>
          <w:color w:val="FF0000"/>
        </w:rPr>
        <w:tab/>
        <w:t>(a)</w:t>
      </w:r>
      <w:r w:rsidRPr="00BC78CF">
        <w:rPr>
          <w:color w:val="FF0000"/>
        </w:rPr>
        <w:tab/>
        <w:t>[</w:t>
      </w:r>
      <w:r w:rsidR="00D34637" w:rsidRPr="00BC78CF">
        <w:rPr>
          <w:color w:val="FF0000"/>
        </w:rPr>
        <w:t>date tba];</w:t>
      </w:r>
    </w:p>
    <w:p w14:paraId="7C0E33BE" w14:textId="730AB7BC" w:rsidR="00D34637" w:rsidRPr="00BC78CF" w:rsidRDefault="007A5F06" w:rsidP="007A5F06">
      <w:pPr>
        <w:pStyle w:val="paragraph"/>
        <w:rPr>
          <w:color w:val="FF0000"/>
        </w:rPr>
      </w:pPr>
      <w:r w:rsidRPr="00BC78CF">
        <w:rPr>
          <w:color w:val="FF0000"/>
        </w:rPr>
        <w:tab/>
        <w:t>(b)</w:t>
      </w:r>
      <w:r w:rsidRPr="00BC78CF">
        <w:rPr>
          <w:color w:val="FF0000"/>
        </w:rPr>
        <w:tab/>
      </w:r>
      <w:r w:rsidR="00D34637" w:rsidRPr="00BC78CF">
        <w:rPr>
          <w:color w:val="FF0000"/>
        </w:rPr>
        <w:t>the day the Data Standards Chair makes the data standard about the matter referred to in subparagraph 8.11(1)(c)(iv</w:t>
      </w:r>
      <w:r w:rsidRPr="00BC78CF">
        <w:rPr>
          <w:color w:val="FF0000"/>
        </w:rPr>
        <w:t>).</w:t>
      </w:r>
    </w:p>
    <w:p w14:paraId="2010BB19" w14:textId="4977B7E2" w:rsidR="00A46C18" w:rsidRPr="00BC78CF" w:rsidRDefault="007A5F06" w:rsidP="007A5F06">
      <w:pPr>
        <w:pStyle w:val="subsection"/>
        <w:rPr>
          <w:color w:val="FF0000"/>
        </w:rPr>
      </w:pPr>
      <w:r w:rsidRPr="00BC78CF">
        <w:rPr>
          <w:color w:val="FF0000"/>
        </w:rPr>
        <w:tab/>
        <w:t>(3)</w:t>
      </w:r>
      <w:r w:rsidRPr="00BC78CF">
        <w:rPr>
          <w:color w:val="FF0000"/>
        </w:rPr>
        <w:tab/>
        <w:t xml:space="preserve">Despite paragraph 7.5(1)(ca), disclosure of CDR data to a trusted adviser under a TA disclosure consent is not a </w:t>
      </w:r>
      <w:r w:rsidRPr="00BC78CF">
        <w:rPr>
          <w:b/>
          <w:i/>
          <w:color w:val="FF0000"/>
        </w:rPr>
        <w:t xml:space="preserve">permitted use or disclosure </w:t>
      </w:r>
      <w:r w:rsidR="007F731E" w:rsidRPr="00BC78CF">
        <w:rPr>
          <w:color w:val="FF0000"/>
        </w:rPr>
        <w:t xml:space="preserve">unless the accredited data recipient has taken reasonable steps to </w:t>
      </w:r>
      <w:r w:rsidR="000E44B7" w:rsidRPr="00BC78CF">
        <w:rPr>
          <w:color w:val="FF0000"/>
        </w:rPr>
        <w:t xml:space="preserve">confirm that </w:t>
      </w:r>
      <w:r w:rsidR="00C31386" w:rsidRPr="00BC78CF">
        <w:rPr>
          <w:color w:val="FF0000"/>
        </w:rPr>
        <w:t>the trusted advise</w:t>
      </w:r>
      <w:r w:rsidR="007F731E" w:rsidRPr="00BC78CF">
        <w:rPr>
          <w:color w:val="FF0000"/>
        </w:rPr>
        <w:t xml:space="preserve">r </w:t>
      </w:r>
      <w:r w:rsidR="000E44B7" w:rsidRPr="00BC78CF">
        <w:rPr>
          <w:color w:val="FF0000"/>
        </w:rPr>
        <w:t>is currently a member of a class of trusted advis</w:t>
      </w:r>
      <w:r w:rsidR="001F5289" w:rsidRPr="00BC78CF">
        <w:rPr>
          <w:color w:val="FF0000"/>
        </w:rPr>
        <w:t>e</w:t>
      </w:r>
      <w:r w:rsidR="000E44B7" w:rsidRPr="00BC78CF">
        <w:rPr>
          <w:color w:val="FF0000"/>
        </w:rPr>
        <w:t xml:space="preserve">rs mentioned in subrule </w:t>
      </w:r>
      <w:r w:rsidR="007F731E" w:rsidRPr="00BC78CF">
        <w:rPr>
          <w:color w:val="FF0000"/>
        </w:rPr>
        <w:t>1.10C</w:t>
      </w:r>
      <w:r w:rsidR="000E44B7" w:rsidRPr="00BC78CF">
        <w:rPr>
          <w:color w:val="FF0000"/>
        </w:rPr>
        <w:t>(2)</w:t>
      </w:r>
      <w:r w:rsidR="007F731E" w:rsidRPr="00BC78CF">
        <w:rPr>
          <w:color w:val="FF0000"/>
        </w:rPr>
        <w:t>.</w:t>
      </w:r>
    </w:p>
    <w:p w14:paraId="14D7F2A5" w14:textId="1EF3DBA0" w:rsidR="00870D71" w:rsidRPr="00BC78CF" w:rsidRDefault="00D16D85" w:rsidP="001E3245">
      <w:pPr>
        <w:pStyle w:val="subsection"/>
        <w:rPr>
          <w:color w:val="FF0000"/>
        </w:rPr>
      </w:pPr>
      <w:r w:rsidRPr="00BC78CF">
        <w:rPr>
          <w:color w:val="FF0000"/>
        </w:rPr>
        <w:tab/>
      </w:r>
      <w:r w:rsidR="001E3245" w:rsidRPr="00BC78CF">
        <w:rPr>
          <w:color w:val="FF0000"/>
        </w:rPr>
        <w:t>(4</w:t>
      </w:r>
      <w:r w:rsidRPr="00BC78CF">
        <w:rPr>
          <w:color w:val="FF0000"/>
        </w:rPr>
        <w:t>)</w:t>
      </w:r>
      <w:r w:rsidRPr="00BC78CF">
        <w:rPr>
          <w:color w:val="FF0000"/>
        </w:rPr>
        <w:tab/>
      </w:r>
      <w:r w:rsidR="00A46C18" w:rsidRPr="00BC78CF">
        <w:rPr>
          <w:color w:val="FF0000"/>
        </w:rPr>
        <w:t xml:space="preserve">Despite paragraph 7.5(1)(ca), disclosure of a CDR insight under an insight disclosure consent is not a </w:t>
      </w:r>
      <w:r w:rsidR="00A46C18" w:rsidRPr="00BC78CF">
        <w:rPr>
          <w:b/>
          <w:i/>
          <w:color w:val="FF0000"/>
        </w:rPr>
        <w:t>permitted use or disclosure</w:t>
      </w:r>
      <w:r w:rsidR="001E3245" w:rsidRPr="00BC78CF">
        <w:rPr>
          <w:b/>
          <w:i/>
          <w:color w:val="FF0000"/>
        </w:rPr>
        <w:t xml:space="preserve"> </w:t>
      </w:r>
      <w:r w:rsidR="00870D71" w:rsidRPr="00BC78CF">
        <w:rPr>
          <w:color w:val="FF0000"/>
        </w:rPr>
        <w:t>until the earlier of the following:</w:t>
      </w:r>
    </w:p>
    <w:p w14:paraId="3B845FA9" w14:textId="740C6678" w:rsidR="00870D71" w:rsidRPr="00BC78CF" w:rsidRDefault="001E3245" w:rsidP="001E3245">
      <w:pPr>
        <w:pStyle w:val="paragraph"/>
        <w:rPr>
          <w:color w:val="FF0000"/>
        </w:rPr>
      </w:pPr>
      <w:r w:rsidRPr="00BC78CF">
        <w:rPr>
          <w:color w:val="FF0000"/>
        </w:rPr>
        <w:tab/>
        <w:t>(a)</w:t>
      </w:r>
      <w:r w:rsidRPr="00BC78CF">
        <w:rPr>
          <w:color w:val="FF0000"/>
        </w:rPr>
        <w:tab/>
        <w:t>[</w:t>
      </w:r>
      <w:r w:rsidR="00870D71" w:rsidRPr="00BC78CF">
        <w:rPr>
          <w:color w:val="FF0000"/>
        </w:rPr>
        <w:t>date tba];</w:t>
      </w:r>
    </w:p>
    <w:p w14:paraId="278D3E0F" w14:textId="2FAF52E8" w:rsidR="001E3245" w:rsidRPr="00BC78CF" w:rsidRDefault="001E3245" w:rsidP="001E3245">
      <w:pPr>
        <w:pStyle w:val="paragraph"/>
        <w:rPr>
          <w:color w:val="FF0000"/>
        </w:rPr>
      </w:pPr>
      <w:r w:rsidRPr="00BC78CF">
        <w:rPr>
          <w:color w:val="FF0000"/>
        </w:rPr>
        <w:tab/>
        <w:t>(b)</w:t>
      </w:r>
      <w:r w:rsidRPr="00BC78CF">
        <w:rPr>
          <w:color w:val="FF0000"/>
        </w:rPr>
        <w:tab/>
      </w:r>
      <w:r w:rsidR="00870D71" w:rsidRPr="00BC78CF">
        <w:rPr>
          <w:color w:val="FF0000"/>
        </w:rPr>
        <w:t xml:space="preserve">the day the Data Standards Chair makes the data standard about the matters </w:t>
      </w:r>
      <w:r w:rsidRPr="00BC78CF">
        <w:rPr>
          <w:color w:val="FF0000"/>
        </w:rPr>
        <w:t>referred to in subrule 8.11(1A).</w:t>
      </w:r>
    </w:p>
    <w:p w14:paraId="287B817F" w14:textId="3E4F0E17" w:rsidR="0075578A" w:rsidRPr="00BC78CF" w:rsidRDefault="001E3245" w:rsidP="001E3245">
      <w:pPr>
        <w:pStyle w:val="subsection"/>
        <w:rPr>
          <w:color w:val="FF0000"/>
        </w:rPr>
      </w:pPr>
      <w:r w:rsidRPr="00BC78CF">
        <w:rPr>
          <w:color w:val="FF0000"/>
        </w:rPr>
        <w:tab/>
        <w:t>(5)</w:t>
      </w:r>
      <w:r w:rsidRPr="00BC78CF">
        <w:rPr>
          <w:color w:val="FF0000"/>
        </w:rPr>
        <w:tab/>
        <w:t xml:space="preserve">Despite paragraph 7.5(1)(ca), disclosure of a CDR insight under an insight disclosure consent is not a </w:t>
      </w:r>
      <w:r w:rsidRPr="00BC78CF">
        <w:rPr>
          <w:b/>
          <w:i/>
          <w:color w:val="FF0000"/>
        </w:rPr>
        <w:t>permitted use or disclosure</w:t>
      </w:r>
      <w:r w:rsidRPr="00BC78CF">
        <w:rPr>
          <w:color w:val="FF0000"/>
        </w:rPr>
        <w:t xml:space="preserve"> </w:t>
      </w:r>
      <w:r w:rsidR="00A46C18" w:rsidRPr="00BC78CF">
        <w:rPr>
          <w:color w:val="FF0000"/>
        </w:rPr>
        <w:t xml:space="preserve">if the CDR insight includes </w:t>
      </w:r>
      <w:r w:rsidR="009C404C" w:rsidRPr="00BC78CF">
        <w:rPr>
          <w:color w:val="FF0000"/>
        </w:rPr>
        <w:t xml:space="preserve">or reveals </w:t>
      </w:r>
      <w:r w:rsidR="00A46C18" w:rsidRPr="00BC78CF">
        <w:rPr>
          <w:color w:val="FF0000"/>
        </w:rPr>
        <w:t xml:space="preserve">sensitive information within the meaning of the </w:t>
      </w:r>
      <w:r w:rsidR="00A46C18" w:rsidRPr="00BC78CF">
        <w:rPr>
          <w:i/>
          <w:color w:val="FF0000"/>
        </w:rPr>
        <w:t>Privacy Act 1988</w:t>
      </w:r>
      <w:r w:rsidR="0075578A" w:rsidRPr="00BC78CF">
        <w:rPr>
          <w:color w:val="FF0000"/>
        </w:rPr>
        <w:t>.</w:t>
      </w:r>
    </w:p>
    <w:p w14:paraId="60A6A816" w14:textId="77777777" w:rsidR="00CF0E3D" w:rsidRPr="005F3D40" w:rsidRDefault="00CF0E3D" w:rsidP="00CF0E3D">
      <w:pPr>
        <w:pStyle w:val="ActHead5"/>
        <w:rPr>
          <w:color w:val="000000" w:themeColor="text1"/>
        </w:rPr>
      </w:pPr>
      <w:bookmarkStart w:id="463" w:name="_Toc74916252"/>
      <w:r>
        <w:t>7.6  U</w:t>
      </w:r>
      <w:r w:rsidRPr="00EA1E07">
        <w:t>se or disclosure of CDR data by accredited data recipients</w:t>
      </w:r>
      <w:r w:rsidRPr="005F3D40">
        <w:rPr>
          <w:color w:val="000000" w:themeColor="text1"/>
        </w:rPr>
        <w:t>,</w:t>
      </w:r>
      <w:r>
        <w:t xml:space="preserve"> outsourced service providers </w:t>
      </w:r>
      <w:r w:rsidRPr="005F3D40">
        <w:rPr>
          <w:color w:val="000000" w:themeColor="text1"/>
        </w:rPr>
        <w:t>and others</w:t>
      </w:r>
      <w:bookmarkEnd w:id="463"/>
    </w:p>
    <w:p w14:paraId="748B335F" w14:textId="77777777" w:rsidR="00CF0E3D" w:rsidRPr="005F3D40" w:rsidRDefault="00CF0E3D" w:rsidP="00CF0E3D">
      <w:pPr>
        <w:pStyle w:val="subsection"/>
        <w:rPr>
          <w:color w:val="000000" w:themeColor="text1"/>
        </w:rPr>
      </w:pPr>
      <w:r w:rsidRPr="005F3D40">
        <w:rPr>
          <w:color w:val="000000" w:themeColor="text1"/>
        </w:rPr>
        <w:tab/>
      </w:r>
      <w:r>
        <w:rPr>
          <w:color w:val="000000" w:themeColor="text1"/>
        </w:rPr>
        <w:t>(1)</w:t>
      </w:r>
      <w:r w:rsidRPr="005F3D40">
        <w:rPr>
          <w:color w:val="000000" w:themeColor="text1"/>
        </w:rPr>
        <w:tab/>
        <w:t xml:space="preserve">Subject to the Act and these rules, an accredited data recipient that has collected CDR data under a consumer data request under </w:t>
      </w:r>
      <w:r>
        <w:rPr>
          <w:color w:val="000000" w:themeColor="text1"/>
        </w:rPr>
        <w:t>Part 4</w:t>
      </w:r>
      <w:r w:rsidRPr="005F3D40">
        <w:rPr>
          <w:color w:val="000000" w:themeColor="text1"/>
        </w:rPr>
        <w:t xml:space="preserve"> made on behalf of a CDR consumer must not use or disclose it, or CDR data directly or indirectly derived from it, other than for a permitted use or disclosure</w:t>
      </w:r>
      <w:r w:rsidRPr="0023590D">
        <w:t xml:space="preserve"> (whether or not one that relates to direct marketing)</w:t>
      </w:r>
      <w:r w:rsidRPr="005F3D40">
        <w:rPr>
          <w:color w:val="000000" w:themeColor="text1"/>
        </w:rPr>
        <w:t>.</w:t>
      </w:r>
    </w:p>
    <w:p w14:paraId="1B3ECC7C" w14:textId="77777777" w:rsidR="00CF0E3D" w:rsidRDefault="00CF0E3D" w:rsidP="00CF0E3D">
      <w:pPr>
        <w:pStyle w:val="notetext"/>
      </w:pPr>
      <w:r w:rsidRPr="00E1300D">
        <w:t>Note:</w:t>
      </w:r>
      <w:r w:rsidRPr="00E1300D">
        <w:tab/>
        <w:t>This subrule is a civil penalty provision (see rule </w:t>
      </w:r>
      <w:r>
        <w:t>9.8</w:t>
      </w:r>
      <w:r w:rsidRPr="00E1300D">
        <w:t>).</w:t>
      </w:r>
    </w:p>
    <w:p w14:paraId="53376605" w14:textId="77777777" w:rsidR="00CF0E3D" w:rsidRPr="00EC7544" w:rsidRDefault="00CF0E3D" w:rsidP="00CF0E3D">
      <w:pPr>
        <w:pStyle w:val="subsection"/>
      </w:pPr>
      <w:bookmarkStart w:id="464" w:name="_Toc11771673"/>
      <w:r w:rsidRPr="00EC7544">
        <w:tab/>
        <w:t>(2)</w:t>
      </w:r>
      <w:r w:rsidRPr="00EC7544">
        <w:tab/>
        <w:t>For this rule:</w:t>
      </w:r>
    </w:p>
    <w:p w14:paraId="0F51B7C5" w14:textId="77777777" w:rsidR="00CF0E3D" w:rsidRPr="00EC7544" w:rsidRDefault="00CF0E3D" w:rsidP="00CF0E3D">
      <w:pPr>
        <w:pStyle w:val="paragraph"/>
      </w:pPr>
      <w:r w:rsidRPr="00EC7544">
        <w:tab/>
        <w:t>(a)</w:t>
      </w:r>
      <w:r w:rsidRPr="00EC7544">
        <w:tab/>
        <w:t>any use or disclosure of service data by the provider under a CDR outsourcing arrangement is taken to have been by the principal under the arrangement; and</w:t>
      </w:r>
    </w:p>
    <w:p w14:paraId="4D03ADE6" w14:textId="77777777" w:rsidR="00CF0E3D" w:rsidRPr="00EC7544" w:rsidRDefault="00CF0E3D" w:rsidP="00CF0E3D">
      <w:pPr>
        <w:pStyle w:val="paragraph"/>
      </w:pPr>
      <w:r w:rsidRPr="00EC7544">
        <w:tab/>
        <w:t>(b)</w:t>
      </w:r>
      <w:r w:rsidRPr="00EC7544">
        <w:tab/>
        <w:t>it is irrelevant whether the use or disclosure:</w:t>
      </w:r>
    </w:p>
    <w:p w14:paraId="21332646" w14:textId="77777777" w:rsidR="00CF0E3D" w:rsidRPr="00EC7544" w:rsidRDefault="00CF0E3D" w:rsidP="00CF0E3D">
      <w:pPr>
        <w:pStyle w:val="paragraphsub"/>
      </w:pPr>
      <w:r w:rsidRPr="00EC7544">
        <w:tab/>
        <w:t>(i)</w:t>
      </w:r>
      <w:r w:rsidRPr="00EC7544">
        <w:tab/>
        <w:t>is in accordance with the arrangement; or</w:t>
      </w:r>
    </w:p>
    <w:p w14:paraId="42501D7A" w14:textId="77777777" w:rsidR="00CF0E3D" w:rsidRPr="00EC7544" w:rsidRDefault="00CF0E3D" w:rsidP="00CF0E3D">
      <w:pPr>
        <w:pStyle w:val="paragraphsub"/>
      </w:pPr>
      <w:r w:rsidRPr="00EC7544">
        <w:tab/>
        <w:t>(ii)</w:t>
      </w:r>
      <w:r w:rsidRPr="00EC7544">
        <w:tab/>
        <w:t>is taken to have been by the provider by an application of this subrule to another CDR outsourcing arrangement in which it is the principal.</w:t>
      </w:r>
    </w:p>
    <w:p w14:paraId="1687A731" w14:textId="5A725056" w:rsidR="00CF0E3D" w:rsidRDefault="00CF0E3D" w:rsidP="00CF0E3D">
      <w:pPr>
        <w:pStyle w:val="notetext"/>
      </w:pPr>
      <w:r w:rsidRPr="00EC7544">
        <w:t>Note:</w:t>
      </w:r>
      <w:r w:rsidRPr="00EC7544">
        <w:tab/>
        <w:t>See rule 1.10 for the definition of “service data”</w:t>
      </w:r>
      <w:r w:rsidR="007E05DB" w:rsidRPr="00BC78CF">
        <w:rPr>
          <w:color w:val="FF0000"/>
        </w:rPr>
        <w:t xml:space="preserve"> in</w:t>
      </w:r>
      <w:r w:rsidR="007A3BC8" w:rsidRPr="00BC78CF">
        <w:rPr>
          <w:color w:val="FF0000"/>
        </w:rPr>
        <w:t xml:space="preserve"> relation to</w:t>
      </w:r>
      <w:r w:rsidR="007E05DB" w:rsidRPr="00BC78CF">
        <w:rPr>
          <w:color w:val="FF0000"/>
        </w:rPr>
        <w:t xml:space="preserve"> a CDR outsourcing arrangement</w:t>
      </w:r>
      <w:r w:rsidRPr="00EC7544">
        <w:t>.</w:t>
      </w:r>
    </w:p>
    <w:p w14:paraId="066F2FF7" w14:textId="1E1772AE" w:rsidR="00EE6EEA" w:rsidRPr="00BC78CF" w:rsidRDefault="00EE6EEA" w:rsidP="00EE6EEA">
      <w:pPr>
        <w:pStyle w:val="subsection"/>
        <w:rPr>
          <w:color w:val="FF0000"/>
        </w:rPr>
      </w:pPr>
      <w:r w:rsidRPr="00BC78CF">
        <w:rPr>
          <w:color w:val="FF0000"/>
        </w:rPr>
        <w:tab/>
        <w:t>(3)</w:t>
      </w:r>
      <w:r w:rsidRPr="00BC78CF">
        <w:rPr>
          <w:color w:val="FF0000"/>
        </w:rPr>
        <w:tab/>
        <w:t>For this rule any CDR data collected by an accredited person at the request of an affiliate is taken also to have been collected by the affiliate.</w:t>
      </w:r>
    </w:p>
    <w:p w14:paraId="58A36F20" w14:textId="3D4C4741" w:rsidR="007E05DB" w:rsidRPr="00BC78CF" w:rsidRDefault="00EE6EEA" w:rsidP="007E05DB">
      <w:pPr>
        <w:pStyle w:val="subsection"/>
        <w:rPr>
          <w:color w:val="FF0000"/>
        </w:rPr>
      </w:pPr>
      <w:r w:rsidRPr="00BC78CF">
        <w:rPr>
          <w:color w:val="FF0000"/>
        </w:rPr>
        <w:tab/>
        <w:t>(4</w:t>
      </w:r>
      <w:r w:rsidR="007E05DB" w:rsidRPr="00BC78CF">
        <w:rPr>
          <w:color w:val="FF0000"/>
        </w:rPr>
        <w:t>)</w:t>
      </w:r>
      <w:r w:rsidR="007E05DB" w:rsidRPr="00BC78CF">
        <w:rPr>
          <w:color w:val="FF0000"/>
        </w:rPr>
        <w:tab/>
        <w:t>For this rule:</w:t>
      </w:r>
    </w:p>
    <w:p w14:paraId="10EAF339" w14:textId="071C3F2F" w:rsidR="007E05DB" w:rsidRPr="00BC78CF" w:rsidRDefault="007E05DB" w:rsidP="007E05DB">
      <w:pPr>
        <w:pStyle w:val="paragraph"/>
        <w:rPr>
          <w:color w:val="FF0000"/>
        </w:rPr>
      </w:pPr>
      <w:r w:rsidRPr="00BC78CF">
        <w:rPr>
          <w:color w:val="FF0000"/>
        </w:rPr>
        <w:tab/>
        <w:t>(a)</w:t>
      </w:r>
      <w:r w:rsidRPr="00BC78CF">
        <w:rPr>
          <w:color w:val="FF0000"/>
        </w:rPr>
        <w:tab/>
        <w:t xml:space="preserve">any use or disclosure of service data by </w:t>
      </w:r>
      <w:r w:rsidR="00834A6D" w:rsidRPr="00BC78CF">
        <w:rPr>
          <w:color w:val="FF0000"/>
        </w:rPr>
        <w:t>a</w:t>
      </w:r>
      <w:r w:rsidRPr="00BC78CF">
        <w:rPr>
          <w:color w:val="FF0000"/>
        </w:rPr>
        <w:t xml:space="preserve"> </w:t>
      </w:r>
      <w:r w:rsidR="00182338" w:rsidRPr="00BC78CF">
        <w:rPr>
          <w:color w:val="FF0000"/>
        </w:rPr>
        <w:t>CDR representative</w:t>
      </w:r>
      <w:r w:rsidR="00834A6D" w:rsidRPr="00BC78CF">
        <w:rPr>
          <w:color w:val="FF0000"/>
        </w:rPr>
        <w:t xml:space="preserve"> </w:t>
      </w:r>
      <w:r w:rsidRPr="00BC78CF">
        <w:rPr>
          <w:color w:val="FF0000"/>
        </w:rPr>
        <w:t xml:space="preserve">is taken to have been by the </w:t>
      </w:r>
      <w:r w:rsidR="00EC1939" w:rsidRPr="00BC78CF">
        <w:rPr>
          <w:color w:val="FF0000"/>
        </w:rPr>
        <w:t xml:space="preserve">CDR </w:t>
      </w:r>
      <w:r w:rsidRPr="00BC78CF">
        <w:rPr>
          <w:color w:val="FF0000"/>
        </w:rPr>
        <w:t>principal; and</w:t>
      </w:r>
    </w:p>
    <w:p w14:paraId="34181FBB" w14:textId="4EF07E61" w:rsidR="007E05DB" w:rsidRPr="00BC78CF" w:rsidRDefault="007E05DB" w:rsidP="007E05DB">
      <w:pPr>
        <w:pStyle w:val="paragraph"/>
        <w:rPr>
          <w:color w:val="FF0000"/>
        </w:rPr>
      </w:pPr>
      <w:r w:rsidRPr="00BC78CF">
        <w:rPr>
          <w:color w:val="FF0000"/>
        </w:rPr>
        <w:tab/>
        <w:t>(b)</w:t>
      </w:r>
      <w:r w:rsidRPr="00BC78CF">
        <w:rPr>
          <w:color w:val="FF0000"/>
        </w:rPr>
        <w:tab/>
        <w:t xml:space="preserve">it is irrelevant whether the use or disclosure is in accordance with the </w:t>
      </w:r>
      <w:r w:rsidR="00182338" w:rsidRPr="00BC78CF">
        <w:rPr>
          <w:color w:val="FF0000"/>
        </w:rPr>
        <w:t>CDR representative</w:t>
      </w:r>
      <w:r w:rsidR="00834A6D" w:rsidRPr="00BC78CF">
        <w:rPr>
          <w:color w:val="FF0000"/>
        </w:rPr>
        <w:t xml:space="preserve"> </w:t>
      </w:r>
      <w:r w:rsidRPr="00BC78CF">
        <w:rPr>
          <w:color w:val="FF0000"/>
        </w:rPr>
        <w:t>arrangement.</w:t>
      </w:r>
    </w:p>
    <w:p w14:paraId="651F8E9B" w14:textId="0EAA74A6" w:rsidR="003B4F1E" w:rsidRPr="00BC78CF" w:rsidRDefault="007E05DB" w:rsidP="003B4F1E">
      <w:pPr>
        <w:pStyle w:val="notetext"/>
        <w:rPr>
          <w:color w:val="FF0000"/>
        </w:rPr>
      </w:pPr>
      <w:r w:rsidRPr="00BC78CF">
        <w:rPr>
          <w:color w:val="FF0000"/>
        </w:rPr>
        <w:t>Note:</w:t>
      </w:r>
      <w:r w:rsidRPr="00BC78CF">
        <w:rPr>
          <w:color w:val="FF0000"/>
        </w:rPr>
        <w:tab/>
        <w:t xml:space="preserve">See rule 1.10 for the definition of “service data” in </w:t>
      </w:r>
      <w:r w:rsidR="007A3BC8" w:rsidRPr="00BC78CF">
        <w:rPr>
          <w:color w:val="FF0000"/>
        </w:rPr>
        <w:t xml:space="preserve">relation to </w:t>
      </w:r>
      <w:r w:rsidRPr="00BC78CF">
        <w:rPr>
          <w:color w:val="FF0000"/>
        </w:rPr>
        <w:t xml:space="preserve">a </w:t>
      </w:r>
      <w:r w:rsidR="00182338" w:rsidRPr="00BC78CF">
        <w:rPr>
          <w:color w:val="FF0000"/>
        </w:rPr>
        <w:t>CDR representative</w:t>
      </w:r>
      <w:r w:rsidR="00EC1939" w:rsidRPr="00BC78CF">
        <w:rPr>
          <w:color w:val="FF0000"/>
        </w:rPr>
        <w:t xml:space="preserve"> arrangement.</w:t>
      </w:r>
    </w:p>
    <w:p w14:paraId="6D25BC6B" w14:textId="0BFABE3D" w:rsidR="00CF0E3D" w:rsidRDefault="00CF0E3D" w:rsidP="00CF0E3D">
      <w:pPr>
        <w:pStyle w:val="ActHead5"/>
      </w:pPr>
      <w:bookmarkStart w:id="465" w:name="_Toc74916253"/>
      <w:r>
        <w:t>7.7</w:t>
      </w:r>
      <w:r w:rsidRPr="00EA1E07">
        <w:t xml:space="preserve">  Rule relating to privacy safeguard 6—use or disclosure of CDR data by accredited data recipients</w:t>
      </w:r>
      <w:bookmarkEnd w:id="464"/>
      <w:bookmarkEnd w:id="465"/>
    </w:p>
    <w:p w14:paraId="5BBA48DC" w14:textId="77777777" w:rsidR="00CF0E3D" w:rsidRPr="005F3D40" w:rsidRDefault="00CF0E3D" w:rsidP="00CF0E3D">
      <w:pPr>
        <w:pStyle w:val="notemargin"/>
        <w:rPr>
          <w:color w:val="000000" w:themeColor="text1"/>
        </w:rPr>
      </w:pPr>
      <w:r w:rsidRPr="005F3D40">
        <w:rPr>
          <w:color w:val="000000" w:themeColor="text1"/>
        </w:rPr>
        <w:t>Note:</w:t>
      </w:r>
      <w:r w:rsidRPr="005F3D40">
        <w:rPr>
          <w:color w:val="000000" w:themeColor="text1"/>
        </w:rPr>
        <w:tab/>
        <w:t>Paragraph 56EI(1)(b) of the Act provides that a</w:t>
      </w:r>
      <w:r w:rsidRPr="005F3D40">
        <w:rPr>
          <w:color w:val="000000" w:themeColor="text1"/>
          <w:szCs w:val="22"/>
        </w:rPr>
        <w:t xml:space="preserve">n accredited data recipient of CDR data must not use or disclose it unless the use or disclosure is otherwise required, or authorised, under the consumer data rules. </w:t>
      </w:r>
      <w:r w:rsidRPr="005F3D40">
        <w:rPr>
          <w:color w:val="000000" w:themeColor="text1"/>
        </w:rPr>
        <w:t>This rule provides an authorisation for that paragraph.</w:t>
      </w:r>
    </w:p>
    <w:p w14:paraId="148A00A8" w14:textId="77777777" w:rsidR="00CF0E3D" w:rsidRPr="005F3D40" w:rsidRDefault="00CF0E3D" w:rsidP="00CF0E3D">
      <w:pPr>
        <w:pStyle w:val="notemargin"/>
        <w:rPr>
          <w:color w:val="000000" w:themeColor="text1"/>
        </w:rPr>
      </w:pPr>
      <w:r w:rsidRPr="005F3D40">
        <w:rPr>
          <w:color w:val="000000" w:themeColor="text1"/>
        </w:rPr>
        <w:tab/>
        <w:t>Section 56EI of the Act applies only in relation to CDR data for which there are one or more CDR consumers: subsection 56EB(1) of the Act.</w:t>
      </w:r>
    </w:p>
    <w:p w14:paraId="0D47F39E" w14:textId="77777777" w:rsidR="00CF0E3D" w:rsidRDefault="00CF0E3D" w:rsidP="00CF0E3D">
      <w:pPr>
        <w:pStyle w:val="subsection"/>
      </w:pPr>
      <w:r>
        <w:tab/>
      </w:r>
      <w:r>
        <w:tab/>
      </w:r>
      <w:r w:rsidRPr="000F7E54">
        <w:t>For paragraph 56EI(1)(b) of the Act, the use or disclosure of CDR data for which there is a CDR consumer by an accredited data recipient of the CDR data is authorised under these rules if it is a</w:t>
      </w:r>
      <w:r>
        <w:t xml:space="preserve"> permitted</w:t>
      </w:r>
      <w:r w:rsidRPr="000F7E54">
        <w:t xml:space="preserve"> use or disclosure</w:t>
      </w:r>
      <w:r w:rsidRPr="0023590D">
        <w:t>, other than one t</w:t>
      </w:r>
      <w:r>
        <w:t>hat relates to direct marketing</w:t>
      </w:r>
      <w:r w:rsidRPr="000F7E54">
        <w:t>.</w:t>
      </w:r>
    </w:p>
    <w:p w14:paraId="1C59ABEC" w14:textId="77777777" w:rsidR="00CF0E3D" w:rsidRPr="0023590D" w:rsidRDefault="00CF0E3D" w:rsidP="00CF0E3D">
      <w:pPr>
        <w:pStyle w:val="ActHead5"/>
      </w:pPr>
      <w:bookmarkStart w:id="466" w:name="_Toc74916254"/>
      <w:r>
        <w:t>7.8</w:t>
      </w:r>
      <w:r w:rsidRPr="0023590D">
        <w:t xml:space="preserve">  Rule relating to privacy safeguard 7—use or disclosure of CDR data for direct marketing by accredited data recipients</w:t>
      </w:r>
      <w:bookmarkEnd w:id="466"/>
    </w:p>
    <w:p w14:paraId="37254710" w14:textId="77777777" w:rsidR="00CF0E3D" w:rsidRPr="0023590D" w:rsidRDefault="00CF0E3D" w:rsidP="00CF0E3D">
      <w:pPr>
        <w:pStyle w:val="notemargin"/>
      </w:pPr>
      <w:r w:rsidRPr="0023590D">
        <w:t>Note:</w:t>
      </w:r>
      <w:r w:rsidRPr="0023590D">
        <w:tab/>
        <w:t>Paragraph 56EJ(1)(b) of the Act provides that a</w:t>
      </w:r>
      <w:r w:rsidRPr="0023590D">
        <w:rPr>
          <w:szCs w:val="22"/>
        </w:rPr>
        <w:t xml:space="preserve">n accredited data recipient of CDR data must not use or disclose it for direct marketing unless the use or disclosure is authorised under the consumer data rules in accordance with a valid consent of a CDR consumer for the CDR data. </w:t>
      </w:r>
      <w:r w:rsidRPr="0023590D">
        <w:t>This rule provides an authorisation for that paragraph.</w:t>
      </w:r>
    </w:p>
    <w:p w14:paraId="2C2411D9" w14:textId="77777777" w:rsidR="00CF0E3D" w:rsidRPr="0023590D" w:rsidRDefault="00CF0E3D" w:rsidP="00CF0E3D">
      <w:pPr>
        <w:pStyle w:val="notemargin"/>
      </w:pPr>
      <w:r w:rsidRPr="0023590D">
        <w:tab/>
        <w:t>Section 56EJ of the Act applies only in relation to CDR data for which there are one or more CDR consumers: subsection 56EB(1) of the Act.</w:t>
      </w:r>
    </w:p>
    <w:p w14:paraId="7ECD6DEC" w14:textId="77777777" w:rsidR="00CF0E3D" w:rsidRPr="0023590D" w:rsidRDefault="00CF0E3D" w:rsidP="00CF0E3D">
      <w:pPr>
        <w:pStyle w:val="subsection"/>
      </w:pPr>
      <w:r w:rsidRPr="0023590D">
        <w:tab/>
      </w:r>
      <w:r w:rsidRPr="0023590D">
        <w:tab/>
        <w:t>For paragraph 56EJ(1)(b) of the Act, the use or disclosure of CDR data for which there is a CDR consumer by an accredited data recipient of the CDR data for direct marketing is authorised under these rules if it is a permitted use or disclosure that relates to direct marketing.</w:t>
      </w:r>
    </w:p>
    <w:p w14:paraId="29FEEA80" w14:textId="77777777" w:rsidR="00CF0E3D" w:rsidRDefault="00CF0E3D" w:rsidP="00CF0E3D">
      <w:pPr>
        <w:pStyle w:val="ActHead5"/>
      </w:pPr>
      <w:bookmarkStart w:id="467" w:name="_Toc11771674"/>
      <w:bookmarkStart w:id="468" w:name="_Toc74916255"/>
      <w:r>
        <w:t>7.9  Rule relating to privacy safeguard 10—notifying of the disclosure of CDR data</w:t>
      </w:r>
      <w:bookmarkEnd w:id="467"/>
      <w:bookmarkEnd w:id="468"/>
    </w:p>
    <w:p w14:paraId="3376FC67" w14:textId="77777777" w:rsidR="00CF0E3D" w:rsidRDefault="00CF0E3D" w:rsidP="00CF0E3D">
      <w:pPr>
        <w:pStyle w:val="subsection"/>
      </w:pPr>
      <w:r>
        <w:tab/>
        <w:t>(1)</w:t>
      </w:r>
      <w:r>
        <w:tab/>
        <w:t>For subsection 56EM(1) of the Act, a data holder that discloses CDR data to an accredited person as a result of</w:t>
      </w:r>
      <w:r w:rsidRPr="0020066B">
        <w:t xml:space="preserve"> </w:t>
      </w:r>
      <w:r>
        <w:t>a consumer data request must</w:t>
      </w:r>
      <w:r w:rsidRPr="00B1412F">
        <w:t>, as soon as practicable,</w:t>
      </w:r>
      <w:r>
        <w:t xml:space="preserve"> update each consumer dashboard that relates to the request to indicate:</w:t>
      </w:r>
    </w:p>
    <w:p w14:paraId="76BDD554" w14:textId="77777777" w:rsidR="00CF0E3D" w:rsidRDefault="00CF0E3D" w:rsidP="00CF0E3D">
      <w:pPr>
        <w:pStyle w:val="paragraph"/>
      </w:pPr>
      <w:r>
        <w:tab/>
        <w:t>(a)</w:t>
      </w:r>
      <w:r>
        <w:tab/>
        <w:t xml:space="preserve">what CDR data </w:t>
      </w:r>
      <w:r w:rsidRPr="00B3173B">
        <w:t>was</w:t>
      </w:r>
      <w:r>
        <w:t xml:space="preserve"> disclosed; and</w:t>
      </w:r>
    </w:p>
    <w:p w14:paraId="6BADF684" w14:textId="77777777" w:rsidR="00CF0E3D" w:rsidRDefault="00CF0E3D" w:rsidP="00CF0E3D">
      <w:pPr>
        <w:pStyle w:val="paragraph"/>
      </w:pPr>
      <w:r>
        <w:tab/>
        <w:t>(b)</w:t>
      </w:r>
      <w:r>
        <w:tab/>
      </w:r>
      <w:r w:rsidRPr="000C3240">
        <w:rPr>
          <w:color w:val="000000" w:themeColor="text1"/>
        </w:rPr>
        <w:t>when the CDR data was disclosed</w:t>
      </w:r>
      <w:r>
        <w:t>; and</w:t>
      </w:r>
    </w:p>
    <w:p w14:paraId="0BD721AA" w14:textId="77777777" w:rsidR="00CF0E3D" w:rsidRDefault="00CF0E3D" w:rsidP="00CF0E3D">
      <w:pPr>
        <w:pStyle w:val="paragraph"/>
      </w:pPr>
      <w:r>
        <w:tab/>
        <w:t>(c)</w:t>
      </w:r>
      <w:r>
        <w:tab/>
        <w:t>the accredited data recipient, identified in accordance with any entry on the Register of Accredited Persons specified as being for that purpose.</w:t>
      </w:r>
    </w:p>
    <w:p w14:paraId="57332609" w14:textId="77777777" w:rsidR="00CF0E3D" w:rsidRDefault="00CF0E3D" w:rsidP="00CF0E3D">
      <w:pPr>
        <w:pStyle w:val="notetext"/>
      </w:pPr>
      <w:r w:rsidRPr="007E69B9">
        <w:t>Note 1:</w:t>
      </w:r>
      <w:r w:rsidRPr="007E69B9">
        <w:tab/>
        <w:t xml:space="preserve">For correction requests, see section 56EP of the Act (privacy safeguard 13) and </w:t>
      </w:r>
      <w:r>
        <w:t>Subdivision 7.2.5 of these rules.</w:t>
      </w:r>
    </w:p>
    <w:p w14:paraId="15622E5D" w14:textId="55928B64" w:rsidR="00F976E0" w:rsidRPr="00BC78CF" w:rsidRDefault="00F976E0" w:rsidP="00F976E0">
      <w:pPr>
        <w:pStyle w:val="notetext"/>
        <w:rPr>
          <w:color w:val="FF0000"/>
        </w:rPr>
      </w:pPr>
      <w:r w:rsidRPr="00BC78CF">
        <w:rPr>
          <w:color w:val="FF0000"/>
        </w:rPr>
        <w:t>Note 2:</w:t>
      </w:r>
      <w:r w:rsidRPr="00BC78CF">
        <w:rPr>
          <w:color w:val="FF0000"/>
        </w:rPr>
        <w:tab/>
        <w:t>If a consumer data request is made that relates to a joint account, the other joint account holder’s consumer dashboard may not be required to be similarly updated. See clause 4A.15.</w:t>
      </w:r>
    </w:p>
    <w:p w14:paraId="604718B6" w14:textId="77777777" w:rsidR="00CF0E3D" w:rsidRPr="00BC78CF" w:rsidRDefault="00CF0E3D" w:rsidP="00CF0E3D">
      <w:pPr>
        <w:pStyle w:val="notetext"/>
        <w:rPr>
          <w:strike/>
          <w:color w:val="FF0000"/>
        </w:rPr>
      </w:pPr>
      <w:r w:rsidRPr="00BC78CF">
        <w:rPr>
          <w:strike/>
          <w:color w:val="FF0000"/>
        </w:rPr>
        <w:t>Note 2:</w:t>
      </w:r>
      <w:r w:rsidRPr="00BC78CF">
        <w:rPr>
          <w:strike/>
          <w:color w:val="FF0000"/>
        </w:rPr>
        <w:tab/>
        <w:t>For the banking sector, if a consumer data request is made that relates to a joint account, the other joint account holder’s consumer dashboard may not be required to be similarly updated. See clause 4.6 of Schedule 3.</w:t>
      </w:r>
    </w:p>
    <w:p w14:paraId="228BD81C" w14:textId="3C58D05E" w:rsidR="00CF0E3D" w:rsidRPr="006F4A42" w:rsidRDefault="00CF0E3D" w:rsidP="00F976E0">
      <w:pPr>
        <w:pStyle w:val="notetext"/>
        <w:tabs>
          <w:tab w:val="left" w:pos="720"/>
          <w:tab w:val="left" w:pos="1440"/>
          <w:tab w:val="left" w:pos="2160"/>
          <w:tab w:val="left" w:pos="2880"/>
          <w:tab w:val="left" w:pos="3600"/>
          <w:tab w:val="left" w:pos="4184"/>
        </w:tabs>
      </w:pPr>
      <w:r w:rsidRPr="006F4A42">
        <w:t xml:space="preserve">Note 3: </w:t>
      </w:r>
      <w:r w:rsidRPr="006F4A42">
        <w:tab/>
        <w:t>See</w:t>
      </w:r>
      <w:r>
        <w:t xml:space="preserve"> </w:t>
      </w:r>
      <w:r w:rsidRPr="006F4A42">
        <w:t>paragraph </w:t>
      </w:r>
      <w:r>
        <w:t>1.15(3)(f)</w:t>
      </w:r>
      <w:r w:rsidRPr="006F4A42">
        <w:t>.</w:t>
      </w:r>
      <w:r w:rsidR="00F976E0">
        <w:tab/>
      </w:r>
    </w:p>
    <w:p w14:paraId="69EE636A" w14:textId="77777777" w:rsidR="00CF0E3D" w:rsidRDefault="00CF0E3D" w:rsidP="00CF0E3D">
      <w:pPr>
        <w:pStyle w:val="notetext"/>
      </w:pPr>
      <w:bookmarkStart w:id="469" w:name="_Toc11771675"/>
      <w:r w:rsidRPr="00EC7544">
        <w:t>Note 4:</w:t>
      </w:r>
      <w:r w:rsidRPr="00EC7544">
        <w:tab/>
        <w:t>See rule 1.16 for how this rule applies in the case of a CDR outsourcing arrangement in which a provider collects CDR data on behalf of a principal.</w:t>
      </w:r>
    </w:p>
    <w:p w14:paraId="7968D104" w14:textId="77777777" w:rsidR="00CF0E3D" w:rsidRPr="00CE5ECF" w:rsidRDefault="00CF0E3D" w:rsidP="00CF0E3D">
      <w:pPr>
        <w:pStyle w:val="subsection"/>
      </w:pPr>
      <w:r w:rsidRPr="00CE5ECF">
        <w:tab/>
        <w:t>(2)</w:t>
      </w:r>
      <w:r w:rsidRPr="00CE5ECF">
        <w:tab/>
        <w:t>For subsection 56EM(2) of the Act, an accredited data recipient that discloses CDR data to an accredited person must, as soon as practicable, update each consumer dashboard that relates to the request to indicate:</w:t>
      </w:r>
    </w:p>
    <w:p w14:paraId="45277BCA" w14:textId="77777777" w:rsidR="00CF0E3D" w:rsidRPr="00CE5ECF" w:rsidRDefault="00CF0E3D" w:rsidP="00CF0E3D">
      <w:pPr>
        <w:pStyle w:val="paragraph"/>
      </w:pPr>
      <w:r w:rsidRPr="00CE5ECF">
        <w:tab/>
        <w:t>(a)</w:t>
      </w:r>
      <w:r w:rsidRPr="00CE5ECF">
        <w:tab/>
        <w:t>what CDR data was disclosed; and</w:t>
      </w:r>
    </w:p>
    <w:p w14:paraId="16C4DF9C" w14:textId="77777777" w:rsidR="00CF0E3D" w:rsidRPr="00CE5ECF" w:rsidRDefault="00CF0E3D" w:rsidP="00CF0E3D">
      <w:pPr>
        <w:pStyle w:val="paragraph"/>
      </w:pPr>
      <w:r w:rsidRPr="00CE5ECF">
        <w:tab/>
        <w:t>(b)</w:t>
      </w:r>
      <w:r w:rsidRPr="00CE5ECF">
        <w:tab/>
        <w:t>when the CDR data was disclosed; and</w:t>
      </w:r>
    </w:p>
    <w:p w14:paraId="1DD0EC65" w14:textId="49A381A6" w:rsidR="00F67401" w:rsidRDefault="00CF0E3D" w:rsidP="00CF0E3D">
      <w:pPr>
        <w:pStyle w:val="paragraph"/>
      </w:pPr>
      <w:r w:rsidRPr="00CE5ECF">
        <w:tab/>
        <w:t>(c)</w:t>
      </w:r>
      <w:r w:rsidRPr="00CE5ECF">
        <w:tab/>
        <w:t>the accredited person, identified in accordance with any entry on the Register of Accredited Persons specified as being for that purpose</w:t>
      </w:r>
      <w:r w:rsidRPr="00450982">
        <w:t>.</w:t>
      </w:r>
    </w:p>
    <w:p w14:paraId="354F33D6" w14:textId="5B421B0B" w:rsidR="000E44B7" w:rsidRPr="00BC78CF" w:rsidRDefault="000E44B7" w:rsidP="000E44B7">
      <w:pPr>
        <w:pStyle w:val="subsection"/>
        <w:rPr>
          <w:color w:val="FF0000"/>
        </w:rPr>
      </w:pPr>
      <w:r w:rsidRPr="00BC78CF">
        <w:rPr>
          <w:color w:val="FF0000"/>
        </w:rPr>
        <w:tab/>
        <w:t>(3)</w:t>
      </w:r>
      <w:r w:rsidRPr="00BC78CF">
        <w:rPr>
          <w:color w:val="FF0000"/>
        </w:rPr>
        <w:tab/>
        <w:t>For subsection 56EM(2) of the Act, an accredited data recipient that discloses CDR data to a</w:t>
      </w:r>
      <w:r w:rsidR="00C31386" w:rsidRPr="00BC78CF">
        <w:rPr>
          <w:color w:val="FF0000"/>
        </w:rPr>
        <w:t xml:space="preserve"> trust</w:t>
      </w:r>
      <w:r w:rsidRPr="00BC78CF">
        <w:rPr>
          <w:color w:val="FF0000"/>
        </w:rPr>
        <w:t>ed adviser must, as soon as practicable, update each consumer dashboard that relates to the request to indicate:</w:t>
      </w:r>
    </w:p>
    <w:p w14:paraId="3A845A4E" w14:textId="77777777" w:rsidR="000E44B7" w:rsidRPr="00BC78CF" w:rsidRDefault="000E44B7" w:rsidP="000E44B7">
      <w:pPr>
        <w:pStyle w:val="paragraph"/>
        <w:rPr>
          <w:color w:val="FF0000"/>
        </w:rPr>
      </w:pPr>
      <w:r w:rsidRPr="00BC78CF">
        <w:rPr>
          <w:color w:val="FF0000"/>
        </w:rPr>
        <w:tab/>
        <w:t>(a)</w:t>
      </w:r>
      <w:r w:rsidRPr="00BC78CF">
        <w:rPr>
          <w:color w:val="FF0000"/>
        </w:rPr>
        <w:tab/>
        <w:t>what CDR data was disclosed; and</w:t>
      </w:r>
    </w:p>
    <w:p w14:paraId="028939B5" w14:textId="77777777" w:rsidR="000E44B7" w:rsidRPr="00BC78CF" w:rsidRDefault="000E44B7" w:rsidP="000E44B7">
      <w:pPr>
        <w:pStyle w:val="paragraph"/>
        <w:rPr>
          <w:color w:val="FF0000"/>
        </w:rPr>
      </w:pPr>
      <w:r w:rsidRPr="00BC78CF">
        <w:rPr>
          <w:color w:val="FF0000"/>
        </w:rPr>
        <w:tab/>
        <w:t>(b)</w:t>
      </w:r>
      <w:r w:rsidRPr="00BC78CF">
        <w:rPr>
          <w:color w:val="FF0000"/>
        </w:rPr>
        <w:tab/>
        <w:t>when the CDR data was disclosed; and</w:t>
      </w:r>
    </w:p>
    <w:p w14:paraId="65778049" w14:textId="63C30820" w:rsidR="000E44B7" w:rsidRPr="00BC78CF" w:rsidRDefault="00C31386" w:rsidP="000E44B7">
      <w:pPr>
        <w:pStyle w:val="paragraph"/>
        <w:rPr>
          <w:color w:val="FF0000"/>
        </w:rPr>
      </w:pPr>
      <w:r w:rsidRPr="00BC78CF">
        <w:rPr>
          <w:color w:val="FF0000"/>
        </w:rPr>
        <w:tab/>
        <w:t>(c)</w:t>
      </w:r>
      <w:r w:rsidRPr="00BC78CF">
        <w:rPr>
          <w:color w:val="FF0000"/>
        </w:rPr>
        <w:tab/>
        <w:t>the trusted advise</w:t>
      </w:r>
      <w:r w:rsidR="000E44B7" w:rsidRPr="00BC78CF">
        <w:rPr>
          <w:color w:val="FF0000"/>
        </w:rPr>
        <w:t>r.</w:t>
      </w:r>
    </w:p>
    <w:p w14:paraId="797C35DB" w14:textId="023AE354" w:rsidR="00244AF6" w:rsidRPr="00BC78CF" w:rsidRDefault="00244AF6" w:rsidP="00244AF6">
      <w:pPr>
        <w:pStyle w:val="subsection"/>
        <w:rPr>
          <w:color w:val="FF0000"/>
        </w:rPr>
      </w:pPr>
      <w:r w:rsidRPr="00BC78CF">
        <w:rPr>
          <w:color w:val="FF0000"/>
        </w:rPr>
        <w:tab/>
        <w:t>(4)</w:t>
      </w:r>
      <w:r w:rsidRPr="00BC78CF">
        <w:rPr>
          <w:color w:val="FF0000"/>
        </w:rPr>
        <w:tab/>
        <w:t>For subsection 56EM(2) of the Act, an accredited data recipient that discloses a CDR insight must, as soon as practicable, update each consumer dashboard that relates to the request to indicate:</w:t>
      </w:r>
    </w:p>
    <w:p w14:paraId="2D2B1203" w14:textId="77777777" w:rsidR="00244AF6" w:rsidRPr="00BC78CF" w:rsidRDefault="00244AF6" w:rsidP="00244AF6">
      <w:pPr>
        <w:pStyle w:val="paragraph"/>
        <w:rPr>
          <w:color w:val="FF0000"/>
        </w:rPr>
      </w:pPr>
      <w:r w:rsidRPr="00BC78CF">
        <w:rPr>
          <w:color w:val="FF0000"/>
        </w:rPr>
        <w:tab/>
        <w:t>(a)</w:t>
      </w:r>
      <w:r w:rsidRPr="00BC78CF">
        <w:rPr>
          <w:color w:val="FF0000"/>
        </w:rPr>
        <w:tab/>
        <w:t>what CDR data was disclosed; and</w:t>
      </w:r>
    </w:p>
    <w:p w14:paraId="685ED5E1" w14:textId="77777777" w:rsidR="00244AF6" w:rsidRPr="00BC78CF" w:rsidRDefault="00244AF6" w:rsidP="00244AF6">
      <w:pPr>
        <w:pStyle w:val="paragraph"/>
        <w:rPr>
          <w:color w:val="FF0000"/>
        </w:rPr>
      </w:pPr>
      <w:r w:rsidRPr="00BC78CF">
        <w:rPr>
          <w:color w:val="FF0000"/>
        </w:rPr>
        <w:tab/>
        <w:t>(b)</w:t>
      </w:r>
      <w:r w:rsidRPr="00BC78CF">
        <w:rPr>
          <w:color w:val="FF0000"/>
        </w:rPr>
        <w:tab/>
        <w:t>when the CDR data was disclosed; and</w:t>
      </w:r>
    </w:p>
    <w:p w14:paraId="193FFBF2" w14:textId="6D79AE20" w:rsidR="00244AF6" w:rsidRPr="00BC78CF" w:rsidRDefault="00244AF6" w:rsidP="00244AF6">
      <w:pPr>
        <w:pStyle w:val="paragraph"/>
        <w:rPr>
          <w:color w:val="FF0000"/>
        </w:rPr>
      </w:pPr>
      <w:r w:rsidRPr="00BC78CF">
        <w:rPr>
          <w:color w:val="FF0000"/>
        </w:rPr>
        <w:tab/>
        <w:t>(c)</w:t>
      </w:r>
      <w:r w:rsidRPr="00BC78CF">
        <w:rPr>
          <w:color w:val="FF0000"/>
        </w:rPr>
        <w:tab/>
        <w:t>the person to whom it was disclosed.</w:t>
      </w:r>
    </w:p>
    <w:p w14:paraId="562E57ED" w14:textId="729DCB04" w:rsidR="006269DD" w:rsidRPr="00BC78CF" w:rsidRDefault="006269DD" w:rsidP="006269DD">
      <w:pPr>
        <w:pStyle w:val="subsection"/>
        <w:rPr>
          <w:color w:val="FF0000"/>
        </w:rPr>
      </w:pPr>
      <w:r w:rsidRPr="00BC78CF">
        <w:rPr>
          <w:color w:val="FF0000"/>
        </w:rPr>
        <w:tab/>
        <w:t>(5)</w:t>
      </w:r>
      <w:r w:rsidRPr="00BC78CF">
        <w:rPr>
          <w:color w:val="FF0000"/>
        </w:rPr>
        <w:tab/>
        <w:t>For this rule, where an accredited data recipient is a CDR principal, a disclosure</w:t>
      </w:r>
      <w:r w:rsidR="00333BC6" w:rsidRPr="00BC78CF">
        <w:rPr>
          <w:color w:val="FF0000"/>
        </w:rPr>
        <w:t xml:space="preserve"> </w:t>
      </w:r>
      <w:r w:rsidRPr="00BC78CF">
        <w:rPr>
          <w:color w:val="FF0000"/>
        </w:rPr>
        <w:t xml:space="preserve">of </w:t>
      </w:r>
      <w:r w:rsidR="00333BC6" w:rsidRPr="00BC78CF">
        <w:rPr>
          <w:color w:val="FF0000"/>
        </w:rPr>
        <w:t xml:space="preserve">service </w:t>
      </w:r>
      <w:r w:rsidRPr="00BC78CF">
        <w:rPr>
          <w:color w:val="FF0000"/>
        </w:rPr>
        <w:t xml:space="preserve">data by a </w:t>
      </w:r>
      <w:r w:rsidR="00182338" w:rsidRPr="00BC78CF">
        <w:rPr>
          <w:color w:val="FF0000"/>
        </w:rPr>
        <w:t>CDR representative</w:t>
      </w:r>
      <w:r w:rsidRPr="00BC78CF">
        <w:rPr>
          <w:color w:val="FF0000"/>
        </w:rPr>
        <w:t xml:space="preserve"> is taken to be a disclosure by the CDR principal.</w:t>
      </w:r>
    </w:p>
    <w:p w14:paraId="6BF18342" w14:textId="77777777" w:rsidR="00CF0E3D" w:rsidRDefault="00CF0E3D" w:rsidP="00CF0E3D">
      <w:pPr>
        <w:pStyle w:val="ActHead4"/>
        <w:pageBreakBefore/>
      </w:pPr>
      <w:bookmarkStart w:id="470" w:name="_Toc74916256"/>
      <w:r>
        <w:t>Subdivision 7.2.4—Rules relating to integrity and security of CDR data</w:t>
      </w:r>
      <w:bookmarkEnd w:id="469"/>
      <w:bookmarkEnd w:id="470"/>
    </w:p>
    <w:p w14:paraId="2B4579C2" w14:textId="77777777" w:rsidR="00CF0E3D" w:rsidRDefault="00CF0E3D" w:rsidP="00CF0E3D">
      <w:pPr>
        <w:pStyle w:val="ActHead5"/>
      </w:pPr>
      <w:bookmarkStart w:id="471" w:name="_Toc11771676"/>
      <w:bookmarkStart w:id="472" w:name="_Toc74916257"/>
      <w:r>
        <w:t>7.10</w:t>
      </w:r>
      <w:r w:rsidRPr="00EB4377">
        <w:t xml:space="preserve">  Rule relating to privacy safeguard 11—quality of CDR data</w:t>
      </w:r>
      <w:bookmarkEnd w:id="471"/>
      <w:bookmarkEnd w:id="472"/>
    </w:p>
    <w:p w14:paraId="235CC7D8" w14:textId="77777777" w:rsidR="00CF0E3D" w:rsidRPr="00EB4377" w:rsidRDefault="00CF0E3D" w:rsidP="00CF0E3D">
      <w:pPr>
        <w:pStyle w:val="subsection"/>
        <w:rPr>
          <w:color w:val="000000" w:themeColor="text1"/>
        </w:rPr>
      </w:pPr>
      <w:r w:rsidRPr="00EB4377">
        <w:tab/>
      </w:r>
      <w:r>
        <w:t>(1)</w:t>
      </w:r>
      <w:r w:rsidRPr="00EB4377">
        <w:tab/>
      </w:r>
      <w:r>
        <w:t xml:space="preserve">If a CDR participant makes a </w:t>
      </w:r>
      <w:r w:rsidRPr="00EB4377">
        <w:rPr>
          <w:color w:val="000000" w:themeColor="text1"/>
        </w:rPr>
        <w:t>disclosure of a kind referred to in paragraphs 56EN(3)(a) and (b)</w:t>
      </w:r>
      <w:r w:rsidRPr="00EB4377">
        <w:t xml:space="preserve"> of the Act</w:t>
      </w:r>
      <w:r>
        <w:t xml:space="preserve"> to an accredited person</w:t>
      </w:r>
      <w:r w:rsidRPr="00EB4377">
        <w:t xml:space="preserve">, the </w:t>
      </w:r>
      <w:r>
        <w:t>CDR participant</w:t>
      </w:r>
      <w:r w:rsidRPr="00EB4377">
        <w:t xml:space="preserve"> must </w:t>
      </w:r>
      <w:r w:rsidRPr="00EB4377">
        <w:rPr>
          <w:color w:val="000000" w:themeColor="text1"/>
        </w:rPr>
        <w:t>provide the CDR consumer</w:t>
      </w:r>
      <w:r>
        <w:rPr>
          <w:color w:val="000000" w:themeColor="text1"/>
        </w:rPr>
        <w:t xml:space="preserve"> on whose behalf the disclosure was made</w:t>
      </w:r>
      <w:r w:rsidRPr="00EB4377">
        <w:rPr>
          <w:color w:val="000000" w:themeColor="text1"/>
        </w:rPr>
        <w:t>, by electronic means, with a written notice that:</w:t>
      </w:r>
    </w:p>
    <w:p w14:paraId="396B5E12" w14:textId="77777777" w:rsidR="00CF0E3D" w:rsidRPr="00EB4377" w:rsidRDefault="00CF0E3D" w:rsidP="00CF0E3D">
      <w:pPr>
        <w:pStyle w:val="paragraph"/>
        <w:rPr>
          <w:color w:val="000000" w:themeColor="text1"/>
        </w:rPr>
      </w:pPr>
      <w:r w:rsidRPr="00EB4377">
        <w:rPr>
          <w:color w:val="000000" w:themeColor="text1"/>
        </w:rPr>
        <w:tab/>
      </w:r>
      <w:r>
        <w:rPr>
          <w:color w:val="000000" w:themeColor="text1"/>
        </w:rPr>
        <w:t>(a)</w:t>
      </w:r>
      <w:r w:rsidRPr="00EB4377">
        <w:rPr>
          <w:color w:val="000000" w:themeColor="text1"/>
        </w:rPr>
        <w:tab/>
      </w:r>
      <w:r>
        <w:rPr>
          <w:color w:val="000000" w:themeColor="text1"/>
        </w:rPr>
        <w:t xml:space="preserve">identifies </w:t>
      </w:r>
      <w:r w:rsidRPr="00EB4377">
        <w:rPr>
          <w:color w:val="000000" w:themeColor="text1"/>
        </w:rPr>
        <w:t xml:space="preserve">the </w:t>
      </w:r>
      <w:r>
        <w:rPr>
          <w:color w:val="000000" w:themeColor="text1"/>
        </w:rPr>
        <w:t xml:space="preserve">accredited person </w:t>
      </w:r>
      <w:r w:rsidRPr="00EB4377">
        <w:rPr>
          <w:color w:val="000000" w:themeColor="text1"/>
        </w:rPr>
        <w:t xml:space="preserve">to whom the </w:t>
      </w:r>
      <w:r>
        <w:rPr>
          <w:color w:val="000000" w:themeColor="text1"/>
        </w:rPr>
        <w:t xml:space="preserve">CDR </w:t>
      </w:r>
      <w:r w:rsidRPr="00EB4377">
        <w:rPr>
          <w:color w:val="000000" w:themeColor="text1"/>
        </w:rPr>
        <w:t>data was disclosed;</w:t>
      </w:r>
      <w:r>
        <w:rPr>
          <w:color w:val="000000" w:themeColor="text1"/>
        </w:rPr>
        <w:t xml:space="preserve"> and</w:t>
      </w:r>
    </w:p>
    <w:p w14:paraId="67049FA5" w14:textId="77777777" w:rsidR="00CF0E3D" w:rsidRPr="00EB4377" w:rsidRDefault="00CF0E3D" w:rsidP="00CF0E3D">
      <w:pPr>
        <w:pStyle w:val="paragraph"/>
        <w:rPr>
          <w:color w:val="000000" w:themeColor="text1"/>
        </w:rPr>
      </w:pPr>
      <w:r w:rsidRPr="00EB4377">
        <w:rPr>
          <w:color w:val="000000" w:themeColor="text1"/>
        </w:rPr>
        <w:tab/>
      </w:r>
      <w:r>
        <w:rPr>
          <w:color w:val="000000" w:themeColor="text1"/>
        </w:rPr>
        <w:t>(b)</w:t>
      </w:r>
      <w:r w:rsidRPr="00EB4377">
        <w:rPr>
          <w:color w:val="000000" w:themeColor="text1"/>
        </w:rPr>
        <w:tab/>
      </w:r>
      <w:r>
        <w:rPr>
          <w:color w:val="000000" w:themeColor="text1"/>
        </w:rPr>
        <w:t xml:space="preserve">states </w:t>
      </w:r>
      <w:r w:rsidRPr="00EB4377">
        <w:rPr>
          <w:color w:val="000000" w:themeColor="text1"/>
        </w:rPr>
        <w:t>the date of the disclosure;</w:t>
      </w:r>
      <w:r>
        <w:rPr>
          <w:color w:val="000000" w:themeColor="text1"/>
        </w:rPr>
        <w:t xml:space="preserve"> and</w:t>
      </w:r>
    </w:p>
    <w:p w14:paraId="376D653E" w14:textId="77777777" w:rsidR="00CF0E3D" w:rsidRPr="00EB4377" w:rsidRDefault="00CF0E3D" w:rsidP="00CF0E3D">
      <w:pPr>
        <w:pStyle w:val="paragraph"/>
        <w:rPr>
          <w:color w:val="000000" w:themeColor="text1"/>
        </w:rPr>
      </w:pPr>
      <w:r w:rsidRPr="00EB4377">
        <w:rPr>
          <w:color w:val="000000" w:themeColor="text1"/>
        </w:rPr>
        <w:tab/>
      </w:r>
      <w:r>
        <w:rPr>
          <w:color w:val="000000" w:themeColor="text1"/>
        </w:rPr>
        <w:t>(c)</w:t>
      </w:r>
      <w:r w:rsidRPr="00EB4377">
        <w:rPr>
          <w:color w:val="000000" w:themeColor="text1"/>
        </w:rPr>
        <w:tab/>
      </w:r>
      <w:r>
        <w:rPr>
          <w:color w:val="000000" w:themeColor="text1"/>
        </w:rPr>
        <w:t xml:space="preserve">identifies the CDR </w:t>
      </w:r>
      <w:r w:rsidRPr="00EB4377">
        <w:rPr>
          <w:color w:val="000000" w:themeColor="text1"/>
        </w:rPr>
        <w:t>data that was incorrect in the sense referred to in paragraph 56EN(3)(b) of the Act; and</w:t>
      </w:r>
    </w:p>
    <w:p w14:paraId="7AD1CF5D" w14:textId="77777777" w:rsidR="00CF0E3D" w:rsidRPr="00EB4377" w:rsidRDefault="00CF0E3D" w:rsidP="00CF0E3D">
      <w:pPr>
        <w:pStyle w:val="paragraph"/>
        <w:rPr>
          <w:color w:val="000000" w:themeColor="text1"/>
        </w:rPr>
      </w:pPr>
      <w:r w:rsidRPr="00EB4377">
        <w:rPr>
          <w:color w:val="000000" w:themeColor="text1"/>
        </w:rPr>
        <w:tab/>
      </w:r>
      <w:r>
        <w:rPr>
          <w:color w:val="000000" w:themeColor="text1"/>
        </w:rPr>
        <w:t>(d)</w:t>
      </w:r>
      <w:r w:rsidRPr="00EB4377">
        <w:rPr>
          <w:color w:val="000000" w:themeColor="text1"/>
        </w:rPr>
        <w:tab/>
      </w:r>
      <w:r>
        <w:rPr>
          <w:color w:val="000000" w:themeColor="text1"/>
        </w:rPr>
        <w:t>states that</w:t>
      </w:r>
      <w:r w:rsidRPr="00EB4377">
        <w:rPr>
          <w:color w:val="000000" w:themeColor="text1"/>
        </w:rPr>
        <w:t>:</w:t>
      </w:r>
    </w:p>
    <w:p w14:paraId="5E0D2CCD" w14:textId="77777777" w:rsidR="00CF0E3D" w:rsidRPr="00EB4377" w:rsidRDefault="00CF0E3D" w:rsidP="00CF0E3D">
      <w:pPr>
        <w:pStyle w:val="paragraphsub"/>
        <w:rPr>
          <w:color w:val="000000" w:themeColor="text1"/>
        </w:rPr>
      </w:pPr>
      <w:r w:rsidRPr="00EB4377">
        <w:rPr>
          <w:color w:val="000000" w:themeColor="text1"/>
        </w:rPr>
        <w:tab/>
      </w:r>
      <w:r>
        <w:rPr>
          <w:color w:val="000000" w:themeColor="text1"/>
        </w:rPr>
        <w:t>(i)</w:t>
      </w:r>
      <w:r w:rsidRPr="00EB4377">
        <w:rPr>
          <w:color w:val="000000" w:themeColor="text1"/>
        </w:rPr>
        <w:tab/>
        <w:t xml:space="preserve">the CDR consumer can request the </w:t>
      </w:r>
      <w:r>
        <w:rPr>
          <w:color w:val="000000" w:themeColor="text1"/>
        </w:rPr>
        <w:t xml:space="preserve">CDR participant </w:t>
      </w:r>
      <w:r w:rsidRPr="00EB4377">
        <w:rPr>
          <w:color w:val="000000" w:themeColor="text1"/>
        </w:rPr>
        <w:t xml:space="preserve">to disclose the corrected </w:t>
      </w:r>
      <w:r>
        <w:rPr>
          <w:color w:val="000000" w:themeColor="text1"/>
        </w:rPr>
        <w:t xml:space="preserve">CDR </w:t>
      </w:r>
      <w:r w:rsidRPr="00EB4377">
        <w:rPr>
          <w:color w:val="000000" w:themeColor="text1"/>
        </w:rPr>
        <w:t xml:space="preserve">data to the </w:t>
      </w:r>
      <w:r>
        <w:rPr>
          <w:color w:val="000000" w:themeColor="text1"/>
        </w:rPr>
        <w:t xml:space="preserve">accredited </w:t>
      </w:r>
      <w:r w:rsidRPr="00EB4377">
        <w:rPr>
          <w:color w:val="000000" w:themeColor="text1"/>
        </w:rPr>
        <w:t>person; and</w:t>
      </w:r>
    </w:p>
    <w:p w14:paraId="3A7CA4CA" w14:textId="77777777" w:rsidR="00CF0E3D" w:rsidRDefault="00CF0E3D" w:rsidP="00CF0E3D">
      <w:pPr>
        <w:pStyle w:val="paragraphsub"/>
        <w:rPr>
          <w:color w:val="000000" w:themeColor="text1"/>
        </w:rPr>
      </w:pPr>
      <w:r w:rsidRPr="00EB4377">
        <w:rPr>
          <w:color w:val="000000" w:themeColor="text1"/>
        </w:rPr>
        <w:tab/>
      </w:r>
      <w:r>
        <w:rPr>
          <w:color w:val="000000" w:themeColor="text1"/>
        </w:rPr>
        <w:t>(ii)</w:t>
      </w:r>
      <w:r w:rsidRPr="00EB4377">
        <w:rPr>
          <w:color w:val="000000" w:themeColor="text1"/>
        </w:rPr>
        <w:tab/>
        <w:t xml:space="preserve">if such a request is made, the corrected </w:t>
      </w:r>
      <w:r>
        <w:rPr>
          <w:color w:val="000000" w:themeColor="text1"/>
        </w:rPr>
        <w:t xml:space="preserve">CDR </w:t>
      </w:r>
      <w:r w:rsidRPr="00EB4377">
        <w:rPr>
          <w:color w:val="000000" w:themeColor="text1"/>
        </w:rPr>
        <w:t>data will be so disclosed.</w:t>
      </w:r>
    </w:p>
    <w:p w14:paraId="5ACABDEF" w14:textId="77777777" w:rsidR="00CF0E3D" w:rsidRPr="009E5F63" w:rsidRDefault="00CF0E3D" w:rsidP="00CF0E3D">
      <w:pPr>
        <w:pStyle w:val="notetext"/>
      </w:pPr>
      <w:r w:rsidRPr="009E5F63">
        <w:t>Note 1:</w:t>
      </w:r>
      <w:r w:rsidRPr="009E5F63">
        <w:tab/>
        <w:t>For paragraph (d), see subsection 56EN(4) of the Act.</w:t>
      </w:r>
    </w:p>
    <w:p w14:paraId="2EE570E3" w14:textId="77777777" w:rsidR="00CF0E3D" w:rsidRPr="009E5F63" w:rsidRDefault="00CF0E3D" w:rsidP="00CF0E3D">
      <w:pPr>
        <w:pStyle w:val="notetext"/>
      </w:pPr>
      <w:r w:rsidRPr="009E5F63">
        <w:t>Note 2:</w:t>
      </w:r>
      <w:r w:rsidRPr="009E5F63">
        <w:tab/>
        <w:t>The written notice could be given through the</w:t>
      </w:r>
      <w:r>
        <w:t xml:space="preserve"> CDR participant’s</w:t>
      </w:r>
      <w:r w:rsidRPr="009E5F63">
        <w:t xml:space="preserve"> consumer dashboard (see </w:t>
      </w:r>
      <w:r>
        <w:t xml:space="preserve">rule 1.14 and </w:t>
      </w:r>
      <w:r w:rsidRPr="009E5F63">
        <w:t>rule </w:t>
      </w:r>
      <w:r>
        <w:t>1.15</w:t>
      </w:r>
      <w:r w:rsidRPr="009E5F63">
        <w:t>).</w:t>
      </w:r>
    </w:p>
    <w:p w14:paraId="33287FFE" w14:textId="77777777" w:rsidR="00CF0E3D" w:rsidRPr="00EC7544" w:rsidRDefault="00CF0E3D" w:rsidP="00CF0E3D">
      <w:pPr>
        <w:pStyle w:val="notetext"/>
      </w:pPr>
      <w:r w:rsidRPr="00EC7544">
        <w:t>Note 3:</w:t>
      </w:r>
      <w:r w:rsidRPr="00EC7544">
        <w:tab/>
        <w:t>See rule 1.16 for how this rule applies in the case of a CDR outsourcing arrangement in which a provider collects CDR data on behalf of a principal.</w:t>
      </w:r>
    </w:p>
    <w:p w14:paraId="33C310B6" w14:textId="77777777" w:rsidR="00CF0E3D" w:rsidRPr="00EB4377" w:rsidRDefault="00CF0E3D" w:rsidP="00CF0E3D">
      <w:pPr>
        <w:pStyle w:val="subsection"/>
        <w:rPr>
          <w:color w:val="000000" w:themeColor="text1"/>
        </w:rPr>
      </w:pPr>
      <w:r w:rsidRPr="00EB4377">
        <w:rPr>
          <w:color w:val="000000" w:themeColor="text1"/>
        </w:rPr>
        <w:tab/>
      </w:r>
      <w:r>
        <w:rPr>
          <w:color w:val="000000" w:themeColor="text1"/>
        </w:rPr>
        <w:t>(2)</w:t>
      </w:r>
      <w:r w:rsidRPr="00EB4377">
        <w:rPr>
          <w:color w:val="000000" w:themeColor="text1"/>
        </w:rPr>
        <w:tab/>
        <w:t>A single notice may deal with one or more such disclosures.</w:t>
      </w:r>
    </w:p>
    <w:p w14:paraId="5D64DCFF" w14:textId="77777777" w:rsidR="00CF0E3D" w:rsidRPr="00EB4377" w:rsidRDefault="00CF0E3D" w:rsidP="00CF0E3D">
      <w:pPr>
        <w:pStyle w:val="subsection"/>
        <w:rPr>
          <w:color w:val="000000" w:themeColor="text1"/>
        </w:rPr>
      </w:pPr>
      <w:r w:rsidRPr="00EB4377">
        <w:tab/>
      </w:r>
      <w:r>
        <w:rPr>
          <w:color w:val="000000" w:themeColor="text1"/>
        </w:rPr>
        <w:t>(3)</w:t>
      </w:r>
      <w:r w:rsidRPr="00EB4377">
        <w:rPr>
          <w:color w:val="000000" w:themeColor="text1"/>
        </w:rPr>
        <w:tab/>
        <w:t>The notice must be provided:</w:t>
      </w:r>
    </w:p>
    <w:p w14:paraId="017F1C66" w14:textId="77777777" w:rsidR="00CF0E3D" w:rsidRPr="00EB4377" w:rsidRDefault="00CF0E3D" w:rsidP="00CF0E3D">
      <w:pPr>
        <w:pStyle w:val="paragraph"/>
      </w:pPr>
      <w:r w:rsidRPr="00EB4377">
        <w:tab/>
      </w:r>
      <w:r>
        <w:t>(a)</w:t>
      </w:r>
      <w:r w:rsidRPr="00EB4377">
        <w:tab/>
        <w:t>as soon as practicable; and</w:t>
      </w:r>
    </w:p>
    <w:p w14:paraId="04712EE7" w14:textId="77777777" w:rsidR="00CF0E3D" w:rsidRPr="00EB4377" w:rsidRDefault="00CF0E3D" w:rsidP="00CF0E3D">
      <w:pPr>
        <w:pStyle w:val="paragraph"/>
      </w:pPr>
      <w:r w:rsidRPr="00EB4377">
        <w:tab/>
      </w:r>
      <w:r>
        <w:t>(b)</w:t>
      </w:r>
      <w:r w:rsidRPr="00EB4377">
        <w:tab/>
        <w:t xml:space="preserve">in any event—within </w:t>
      </w:r>
      <w:r w:rsidRPr="00E1300D">
        <w:rPr>
          <w:color w:val="000000" w:themeColor="text1"/>
        </w:rPr>
        <w:t>5 business days</w:t>
      </w:r>
      <w:r w:rsidRPr="00EB4377">
        <w:t>;</w:t>
      </w:r>
    </w:p>
    <w:p w14:paraId="0A2C3FD1" w14:textId="4397D067" w:rsidR="00333BC6" w:rsidRDefault="00CF0E3D" w:rsidP="00CF0E3D">
      <w:pPr>
        <w:pStyle w:val="subsection"/>
        <w:spacing w:before="40"/>
      </w:pPr>
      <w:r w:rsidRPr="00EB4377">
        <w:tab/>
      </w:r>
      <w:r w:rsidRPr="00EB4377">
        <w:tab/>
        <w:t>after the CDR participant becomes aware of the matter referred to in paragraph 56EN(3)(b) of the Act.</w:t>
      </w:r>
    </w:p>
    <w:p w14:paraId="259B79C5" w14:textId="63EC49A8" w:rsidR="00E35C24" w:rsidRPr="00BC78CF" w:rsidRDefault="00E35C24" w:rsidP="00E35C24">
      <w:pPr>
        <w:pStyle w:val="ActHead5"/>
        <w:rPr>
          <w:color w:val="FF0000"/>
        </w:rPr>
      </w:pPr>
      <w:bookmarkStart w:id="473" w:name="_Toc74916258"/>
      <w:bookmarkStart w:id="474" w:name="_Toc11771677"/>
      <w:r w:rsidRPr="00BC78CF">
        <w:rPr>
          <w:color w:val="FF0000"/>
        </w:rPr>
        <w:t>7.10A  Rule relating to privacy safeguard 11—</w:t>
      </w:r>
      <w:r w:rsidR="00BE6864" w:rsidRPr="00BC78CF">
        <w:rPr>
          <w:color w:val="FF0000"/>
        </w:rPr>
        <w:t>quality of data—</w:t>
      </w:r>
      <w:r w:rsidR="00182338" w:rsidRPr="00BC78CF">
        <w:rPr>
          <w:color w:val="FF0000"/>
        </w:rPr>
        <w:t>CDR representative</w:t>
      </w:r>
      <w:bookmarkEnd w:id="473"/>
    </w:p>
    <w:p w14:paraId="589B3DED" w14:textId="7F34E32A" w:rsidR="00E35C24" w:rsidRPr="00BC78CF" w:rsidRDefault="00E35C24" w:rsidP="00E35C24">
      <w:pPr>
        <w:pStyle w:val="subsection"/>
        <w:rPr>
          <w:color w:val="FF0000"/>
        </w:rPr>
      </w:pPr>
      <w:r w:rsidRPr="00BC78CF">
        <w:rPr>
          <w:color w:val="FF0000"/>
        </w:rPr>
        <w:tab/>
        <w:t>(1)</w:t>
      </w:r>
      <w:r w:rsidRPr="00BC78CF">
        <w:rPr>
          <w:color w:val="FF0000"/>
        </w:rPr>
        <w:tab/>
        <w:t xml:space="preserve">A CDR principal breaches this subrule if its </w:t>
      </w:r>
      <w:r w:rsidR="00182338" w:rsidRPr="00BC78CF">
        <w:rPr>
          <w:color w:val="FF0000"/>
        </w:rPr>
        <w:t>CDR representative</w:t>
      </w:r>
      <w:r w:rsidRPr="00BC78CF">
        <w:rPr>
          <w:color w:val="FF0000"/>
        </w:rPr>
        <w:t xml:space="preserve"> fails to comply with subsection 56EN(2) of the Act in relation to service data of a CDR consumer as if it were an accredited person.</w:t>
      </w:r>
    </w:p>
    <w:p w14:paraId="56A39240" w14:textId="17A4F783" w:rsidR="00E35C24" w:rsidRPr="00BC78CF" w:rsidRDefault="00E35C24" w:rsidP="00E35C24">
      <w:pPr>
        <w:pStyle w:val="notetext"/>
        <w:rPr>
          <w:color w:val="FF0000"/>
        </w:rPr>
      </w:pPr>
      <w:r w:rsidRPr="00BC78CF">
        <w:rPr>
          <w:color w:val="FF0000"/>
        </w:rPr>
        <w:t>Note 1:</w:t>
      </w:r>
      <w:r w:rsidRPr="00BC78CF">
        <w:rPr>
          <w:color w:val="FF0000"/>
        </w:rPr>
        <w:tab/>
        <w:t xml:space="preserve">See rule 1.10 for the definition of “service data” in relation to a </w:t>
      </w:r>
      <w:r w:rsidR="00182338" w:rsidRPr="00BC78CF">
        <w:rPr>
          <w:color w:val="FF0000"/>
        </w:rPr>
        <w:t>CDR representative</w:t>
      </w:r>
      <w:r w:rsidRPr="00BC78CF">
        <w:rPr>
          <w:color w:val="FF0000"/>
        </w:rPr>
        <w:t xml:space="preserve"> arrangement.</w:t>
      </w:r>
    </w:p>
    <w:p w14:paraId="5C2E8354" w14:textId="77777777" w:rsidR="00E35C24" w:rsidRPr="00BC78CF" w:rsidRDefault="00E35C24" w:rsidP="00E35C24">
      <w:pPr>
        <w:pStyle w:val="notetext"/>
        <w:rPr>
          <w:color w:val="FF0000"/>
        </w:rPr>
      </w:pPr>
      <w:r w:rsidRPr="00BC78CF">
        <w:rPr>
          <w:color w:val="FF0000"/>
        </w:rPr>
        <w:t>Note 2:</w:t>
      </w:r>
      <w:r w:rsidRPr="00BC78CF">
        <w:rPr>
          <w:color w:val="FF0000"/>
        </w:rPr>
        <w:tab/>
        <w:t>This subrule is a civil penalty provision (see rule 9.8).</w:t>
      </w:r>
    </w:p>
    <w:p w14:paraId="7F7124CC" w14:textId="7DA8C15E" w:rsidR="00E35C24" w:rsidRPr="00BC78CF" w:rsidRDefault="00E35C24" w:rsidP="00E35C24">
      <w:pPr>
        <w:pStyle w:val="subsection"/>
        <w:rPr>
          <w:color w:val="FF0000"/>
        </w:rPr>
      </w:pPr>
      <w:r w:rsidRPr="00BC78CF">
        <w:rPr>
          <w:color w:val="FF0000"/>
        </w:rPr>
        <w:tab/>
        <w:t>(2)</w:t>
      </w:r>
      <w:r w:rsidRPr="00BC78CF">
        <w:rPr>
          <w:color w:val="FF0000"/>
        </w:rPr>
        <w:tab/>
        <w:t xml:space="preserve">For subrule (2), it is irrelevant whether the action of the </w:t>
      </w:r>
      <w:r w:rsidR="00182338" w:rsidRPr="00BC78CF">
        <w:rPr>
          <w:color w:val="FF0000"/>
        </w:rPr>
        <w:t>CDR representative</w:t>
      </w:r>
      <w:r w:rsidRPr="00BC78CF">
        <w:rPr>
          <w:color w:val="FF0000"/>
        </w:rPr>
        <w:t xml:space="preserve"> in relation to the service data is in accordance with the </w:t>
      </w:r>
      <w:r w:rsidR="00182338" w:rsidRPr="00BC78CF">
        <w:rPr>
          <w:color w:val="FF0000"/>
        </w:rPr>
        <w:t>CDR representative</w:t>
      </w:r>
      <w:r w:rsidRPr="00BC78CF">
        <w:rPr>
          <w:color w:val="FF0000"/>
        </w:rPr>
        <w:t xml:space="preserve"> arrangement.</w:t>
      </w:r>
    </w:p>
    <w:p w14:paraId="6072FBDB" w14:textId="77777777" w:rsidR="00CF0E3D" w:rsidRDefault="00CF0E3D" w:rsidP="00CF0E3D">
      <w:pPr>
        <w:pStyle w:val="ActHead5"/>
      </w:pPr>
      <w:bookmarkStart w:id="475" w:name="_Toc74916259"/>
      <w:r>
        <w:t>7.11  Rule relating to privacy safeguard 12—</w:t>
      </w:r>
      <w:r w:rsidRPr="008D2414">
        <w:t>security of CDR data</w:t>
      </w:r>
      <w:bookmarkEnd w:id="474"/>
      <w:bookmarkEnd w:id="475"/>
    </w:p>
    <w:p w14:paraId="3634F5A6" w14:textId="15F1E130" w:rsidR="00CF0E3D" w:rsidRDefault="00CF0E3D" w:rsidP="00CF0E3D">
      <w:pPr>
        <w:pStyle w:val="subsection"/>
      </w:pPr>
      <w:r>
        <w:tab/>
      </w:r>
      <w:r w:rsidR="00BE6864" w:rsidRPr="00BC78CF">
        <w:rPr>
          <w:color w:val="FF0000"/>
        </w:rPr>
        <w:t>(1)</w:t>
      </w:r>
      <w:r>
        <w:tab/>
        <w:t>For subsection 56EO(1) of the Act, the steps are set out in Schedule 2.</w:t>
      </w:r>
    </w:p>
    <w:p w14:paraId="28C0B7B3" w14:textId="77777777" w:rsidR="00CF0E3D" w:rsidRDefault="00CF0E3D" w:rsidP="00CF0E3D">
      <w:pPr>
        <w:pStyle w:val="notetext"/>
      </w:pPr>
      <w:r>
        <w:t>Note:</w:t>
      </w:r>
      <w:r>
        <w:tab/>
        <w:t>Broadly speaking, the steps are for an accredited data recipient of CDR data to:</w:t>
      </w:r>
    </w:p>
    <w:p w14:paraId="04541211" w14:textId="77777777" w:rsidR="00CF0E3D" w:rsidRDefault="00CF0E3D" w:rsidP="00CF0E3D">
      <w:pPr>
        <w:pStyle w:val="notepara"/>
      </w:pPr>
      <w:r>
        <w:sym w:font="Symbol" w:char="F0B7"/>
      </w:r>
      <w:r w:rsidRPr="009C2562">
        <w:tab/>
      </w:r>
      <w:r>
        <w:t>define and implement security governance in relation to CDR data; and</w:t>
      </w:r>
    </w:p>
    <w:p w14:paraId="2845C6F5" w14:textId="77777777" w:rsidR="00CF0E3D" w:rsidRDefault="00CF0E3D" w:rsidP="00CF0E3D">
      <w:pPr>
        <w:pStyle w:val="notepara"/>
      </w:pPr>
      <w:r>
        <w:sym w:font="Symbol" w:char="F0B7"/>
      </w:r>
      <w:r w:rsidRPr="009C2562">
        <w:tab/>
      </w:r>
      <w:r>
        <w:t>define the boundaries of the CDR data environment; and</w:t>
      </w:r>
    </w:p>
    <w:p w14:paraId="17EE6200" w14:textId="77777777" w:rsidR="00CF0E3D" w:rsidRDefault="00CF0E3D" w:rsidP="00CF0E3D">
      <w:pPr>
        <w:pStyle w:val="notepara"/>
      </w:pPr>
      <w:r>
        <w:sym w:font="Symbol" w:char="F0B7"/>
      </w:r>
      <w:r w:rsidRPr="009C2562">
        <w:tab/>
      </w:r>
      <w:r>
        <w:t>have and maintain an i</w:t>
      </w:r>
      <w:r w:rsidRPr="00CD6E65">
        <w:t>nformation security capability</w:t>
      </w:r>
      <w:r>
        <w:t>; and</w:t>
      </w:r>
    </w:p>
    <w:p w14:paraId="2F3247EF" w14:textId="77777777" w:rsidR="00CF0E3D" w:rsidRDefault="00CF0E3D" w:rsidP="00CF0E3D">
      <w:pPr>
        <w:pStyle w:val="notepara"/>
      </w:pPr>
      <w:r>
        <w:sym w:font="Symbol" w:char="F0B7"/>
      </w:r>
      <w:r w:rsidRPr="009C2562">
        <w:tab/>
      </w:r>
      <w:r>
        <w:t>implement a formal controls assessment program; and</w:t>
      </w:r>
    </w:p>
    <w:p w14:paraId="36FE5C90" w14:textId="77777777" w:rsidR="00CF0E3D" w:rsidRDefault="00CF0E3D" w:rsidP="00CF0E3D">
      <w:pPr>
        <w:pStyle w:val="notepara"/>
      </w:pPr>
      <w:r>
        <w:sym w:font="Symbol" w:char="F0B7"/>
      </w:r>
      <w:r w:rsidRPr="009C2562">
        <w:tab/>
      </w:r>
      <w:r>
        <w:t>m</w:t>
      </w:r>
      <w:r w:rsidRPr="00B04F55">
        <w:t>ana</w:t>
      </w:r>
      <w:r>
        <w:t>ge and report security incidents.</w:t>
      </w:r>
    </w:p>
    <w:p w14:paraId="15E0364C" w14:textId="3726818C" w:rsidR="00BE6864" w:rsidRPr="00BC78CF" w:rsidRDefault="00BE6864" w:rsidP="00BE6864">
      <w:pPr>
        <w:pStyle w:val="subsection"/>
        <w:rPr>
          <w:color w:val="FF0000"/>
        </w:rPr>
      </w:pPr>
      <w:r w:rsidRPr="00BC78CF">
        <w:rPr>
          <w:color w:val="FF0000"/>
        </w:rPr>
        <w:tab/>
        <w:t>(</w:t>
      </w:r>
      <w:r w:rsidR="000B109D" w:rsidRPr="00BC78CF">
        <w:rPr>
          <w:color w:val="FF0000"/>
        </w:rPr>
        <w:t>2</w:t>
      </w:r>
      <w:r w:rsidRPr="00BC78CF">
        <w:rPr>
          <w:color w:val="FF0000"/>
        </w:rPr>
        <w:t>)</w:t>
      </w:r>
      <w:r w:rsidRPr="00BC78CF">
        <w:rPr>
          <w:color w:val="FF0000"/>
        </w:rPr>
        <w:tab/>
        <w:t xml:space="preserve">For this rule, where an accredited data recipient is a CDR principal, a failure by a </w:t>
      </w:r>
      <w:r w:rsidR="00182338" w:rsidRPr="00BC78CF">
        <w:rPr>
          <w:color w:val="FF0000"/>
        </w:rPr>
        <w:t>CDR representative</w:t>
      </w:r>
      <w:r w:rsidRPr="00BC78CF">
        <w:rPr>
          <w:color w:val="FF0000"/>
        </w:rPr>
        <w:t xml:space="preserve"> </w:t>
      </w:r>
      <w:r w:rsidR="000B109D" w:rsidRPr="00BC78CF">
        <w:rPr>
          <w:color w:val="FF0000"/>
        </w:rPr>
        <w:t xml:space="preserve">to comply with Schedule 2 in relation to service data </w:t>
      </w:r>
      <w:r w:rsidRPr="00BC78CF">
        <w:rPr>
          <w:color w:val="FF0000"/>
        </w:rPr>
        <w:t xml:space="preserve">is taken to be a </w:t>
      </w:r>
      <w:r w:rsidR="000B109D" w:rsidRPr="00BC78CF">
        <w:rPr>
          <w:color w:val="FF0000"/>
        </w:rPr>
        <w:t xml:space="preserve">failure </w:t>
      </w:r>
      <w:r w:rsidRPr="00BC78CF">
        <w:rPr>
          <w:color w:val="FF0000"/>
        </w:rPr>
        <w:t>by the CDR principal.</w:t>
      </w:r>
    </w:p>
    <w:p w14:paraId="5731D7C1" w14:textId="77777777" w:rsidR="00CF0E3D" w:rsidRDefault="00CF0E3D" w:rsidP="00CF0E3D">
      <w:pPr>
        <w:pStyle w:val="ActHead5"/>
      </w:pPr>
      <w:bookmarkStart w:id="476" w:name="_Toc74916260"/>
      <w:r>
        <w:t>7.12  Rule</w:t>
      </w:r>
      <w:r w:rsidRPr="00005026">
        <w:t xml:space="preserve"> relating to privacy safeguard 12—de</w:t>
      </w:r>
      <w:r w:rsidRPr="00005026">
        <w:noBreakHyphen/>
        <w:t>identification of redundant data</w:t>
      </w:r>
      <w:bookmarkEnd w:id="476"/>
    </w:p>
    <w:p w14:paraId="2E2EDFFB" w14:textId="77777777" w:rsidR="00CF0E3D" w:rsidRPr="00005026" w:rsidRDefault="00CF0E3D" w:rsidP="00CF0E3D">
      <w:pPr>
        <w:pStyle w:val="subsection"/>
      </w:pPr>
      <w:r w:rsidRPr="00005026">
        <w:tab/>
      </w:r>
      <w:r>
        <w:t>(1)</w:t>
      </w:r>
      <w:r w:rsidRPr="00005026">
        <w:tab/>
        <w:t>For subsection 56EO(2) of the Act, this rule applies if:</w:t>
      </w:r>
    </w:p>
    <w:p w14:paraId="575363FE" w14:textId="77777777" w:rsidR="00CF0E3D" w:rsidRDefault="00CF0E3D" w:rsidP="00CF0E3D">
      <w:pPr>
        <w:pStyle w:val="paragraph"/>
      </w:pPr>
      <w:r w:rsidRPr="00005026">
        <w:tab/>
      </w:r>
      <w:r>
        <w:t>(a)</w:t>
      </w:r>
      <w:r w:rsidRPr="00005026">
        <w:tab/>
        <w:t xml:space="preserve">the accredited </w:t>
      </w:r>
      <w:r w:rsidRPr="00B30263">
        <w:t>data recipient</w:t>
      </w:r>
      <w:r>
        <w:t>, when it</w:t>
      </w:r>
      <w:r w:rsidRPr="00005026">
        <w:t xml:space="preserve"> asked for consent to collect and use the CDR data, gave the CDR consumer the statement referred to in paragraph </w:t>
      </w:r>
      <w:r>
        <w:t>4.17(1)(b) or (c)</w:t>
      </w:r>
      <w:r w:rsidRPr="00005026">
        <w:t>; and</w:t>
      </w:r>
    </w:p>
    <w:p w14:paraId="352FEFE0" w14:textId="77777777" w:rsidR="00CF0E3D" w:rsidRPr="00005026" w:rsidRDefault="00CF0E3D" w:rsidP="00CF0E3D">
      <w:pPr>
        <w:pStyle w:val="paragraph"/>
      </w:pPr>
      <w:r w:rsidRPr="00005026">
        <w:tab/>
      </w:r>
      <w:r>
        <w:t>(b)</w:t>
      </w:r>
      <w:r w:rsidRPr="00005026">
        <w:tab/>
        <w:t xml:space="preserve">the CDR consumer </w:t>
      </w:r>
      <w:r w:rsidRPr="006D5CA7">
        <w:rPr>
          <w:color w:val="000000" w:themeColor="text1"/>
        </w:rPr>
        <w:t>has not elected</w:t>
      </w:r>
      <w:r w:rsidRPr="00005026">
        <w:t xml:space="preserve">, in accordance with </w:t>
      </w:r>
      <w:r>
        <w:t>rule 4.16</w:t>
      </w:r>
      <w:r w:rsidRPr="00005026">
        <w:t xml:space="preserve">, that their redundant data should be </w:t>
      </w:r>
      <w:r>
        <w:t>delet</w:t>
      </w:r>
      <w:r w:rsidRPr="00005026">
        <w:t>ed; and</w:t>
      </w:r>
    </w:p>
    <w:p w14:paraId="0B122DBC" w14:textId="77777777" w:rsidR="00CF0E3D" w:rsidRDefault="00CF0E3D" w:rsidP="00CF0E3D">
      <w:pPr>
        <w:pStyle w:val="paragraph"/>
      </w:pPr>
      <w:r w:rsidRPr="0041531E">
        <w:tab/>
      </w:r>
      <w:r>
        <w:t>(c)</w:t>
      </w:r>
      <w:r w:rsidRPr="0041531E">
        <w:tab/>
        <w:t>in the case of a statement referred to in paragraph </w:t>
      </w:r>
      <w:r>
        <w:t>4.17(1)(c)</w:t>
      </w:r>
      <w:r w:rsidRPr="0041531E">
        <w:t>―the accredited person thinks it appropriate in the circumstances to de</w:t>
      </w:r>
      <w:r w:rsidRPr="0041531E">
        <w:noBreakHyphen/>
        <w:t xml:space="preserve">identify rather than </w:t>
      </w:r>
      <w:r>
        <w:t>delete</w:t>
      </w:r>
      <w:r w:rsidRPr="0041531E">
        <w:t xml:space="preserve"> the redundant data.</w:t>
      </w:r>
    </w:p>
    <w:p w14:paraId="5371321A" w14:textId="77777777" w:rsidR="00CF0E3D" w:rsidRDefault="00CF0E3D" w:rsidP="00CF0E3D">
      <w:pPr>
        <w:pStyle w:val="notetext"/>
      </w:pPr>
      <w:r w:rsidRPr="00876012">
        <w:t>Note</w:t>
      </w:r>
      <w:r>
        <w:t xml:space="preserve"> </w:t>
      </w:r>
      <w:r w:rsidRPr="00814B1D">
        <w:t>1</w:t>
      </w:r>
      <w:r w:rsidRPr="00876012">
        <w:t>:</w:t>
      </w:r>
      <w:r w:rsidRPr="00876012">
        <w:tab/>
        <w:t xml:space="preserve">The CDR </w:t>
      </w:r>
      <w:r w:rsidRPr="00E53912">
        <w:rPr>
          <w:color w:val="000000" w:themeColor="text1"/>
        </w:rPr>
        <w:t>data</w:t>
      </w:r>
      <w:r w:rsidRPr="00876012">
        <w:t xml:space="preserve"> de</w:t>
      </w:r>
      <w:r w:rsidRPr="00876012">
        <w:noBreakHyphen/>
        <w:t xml:space="preserve">identification process is set out in rule </w:t>
      </w:r>
      <w:r>
        <w:t>1.17</w:t>
      </w:r>
      <w:r w:rsidRPr="00876012">
        <w:t>.</w:t>
      </w:r>
    </w:p>
    <w:p w14:paraId="389C011D" w14:textId="77777777" w:rsidR="00CF0E3D" w:rsidRDefault="00CF0E3D" w:rsidP="00CF0E3D">
      <w:pPr>
        <w:pStyle w:val="notetext"/>
      </w:pPr>
      <w:r w:rsidRPr="00814B1D">
        <w:t>Note 2:</w:t>
      </w:r>
      <w:r w:rsidRPr="00814B1D">
        <w:tab/>
        <w:t xml:space="preserve">If this rule does not apply, rule </w:t>
      </w:r>
      <w:r>
        <w:t>7.13</w:t>
      </w:r>
      <w:r w:rsidRPr="00814B1D">
        <w:t xml:space="preserve"> applies: see subrule </w:t>
      </w:r>
      <w:r>
        <w:t>7.13(1)</w:t>
      </w:r>
      <w:r w:rsidRPr="00814B1D">
        <w:t>.</w:t>
      </w:r>
    </w:p>
    <w:p w14:paraId="53E37E11" w14:textId="77777777" w:rsidR="00CF0E3D" w:rsidRPr="00C02086" w:rsidRDefault="00CF0E3D" w:rsidP="00CF0E3D">
      <w:pPr>
        <w:pStyle w:val="subsection"/>
        <w:rPr>
          <w:color w:val="000000" w:themeColor="text1"/>
        </w:rPr>
      </w:pPr>
      <w:r w:rsidRPr="00D476C3">
        <w:tab/>
      </w:r>
      <w:r>
        <w:t>(2)</w:t>
      </w:r>
      <w:r w:rsidRPr="00D476C3">
        <w:tab/>
        <w:t>The steps are:</w:t>
      </w:r>
    </w:p>
    <w:p w14:paraId="5968256B" w14:textId="77777777" w:rsidR="00CF0E3D" w:rsidRPr="00D476C3" w:rsidRDefault="00CF0E3D" w:rsidP="00CF0E3D">
      <w:pPr>
        <w:pStyle w:val="paragraph"/>
      </w:pPr>
      <w:r w:rsidRPr="00D476C3">
        <w:tab/>
      </w:r>
      <w:r>
        <w:t>(a)</w:t>
      </w:r>
      <w:r w:rsidRPr="00D476C3">
        <w:tab/>
        <w:t>to apply the CDR data de</w:t>
      </w:r>
      <w:r w:rsidRPr="00D476C3">
        <w:noBreakHyphen/>
        <w:t>identification process to the redundant data; and</w:t>
      </w:r>
    </w:p>
    <w:p w14:paraId="0B707282" w14:textId="71993D48" w:rsidR="00CF0E3D" w:rsidRPr="00D476C3" w:rsidRDefault="00CF0E3D" w:rsidP="00CF0E3D">
      <w:pPr>
        <w:pStyle w:val="paragraph"/>
      </w:pPr>
      <w:r w:rsidRPr="00D476C3">
        <w:tab/>
      </w:r>
      <w:r>
        <w:t>(b)</w:t>
      </w:r>
      <w:r w:rsidRPr="00D476C3">
        <w:tab/>
        <w:t>direct any outsourced service provider</w:t>
      </w:r>
      <w:r w:rsidR="00323042" w:rsidRPr="00BC78CF">
        <w:rPr>
          <w:color w:val="FF0000"/>
        </w:rPr>
        <w:t xml:space="preserve">, </w:t>
      </w:r>
      <w:r w:rsidR="00182338" w:rsidRPr="00BC78CF">
        <w:rPr>
          <w:color w:val="FF0000"/>
        </w:rPr>
        <w:t>CDR representative</w:t>
      </w:r>
      <w:r w:rsidR="0076441D" w:rsidRPr="00BC78CF">
        <w:rPr>
          <w:color w:val="FF0000"/>
        </w:rPr>
        <w:t xml:space="preserve"> </w:t>
      </w:r>
      <w:r w:rsidR="00323042" w:rsidRPr="00BC78CF">
        <w:rPr>
          <w:color w:val="FF0000"/>
        </w:rPr>
        <w:t xml:space="preserve">or </w:t>
      </w:r>
      <w:r w:rsidR="0082342F" w:rsidRPr="00BC78CF">
        <w:rPr>
          <w:color w:val="FF0000"/>
        </w:rPr>
        <w:t>sponsor</w:t>
      </w:r>
      <w:r w:rsidRPr="00BC78CF">
        <w:rPr>
          <w:color w:val="FF0000"/>
        </w:rPr>
        <w:t xml:space="preserve"> </w:t>
      </w:r>
      <w:r w:rsidRPr="00EC7544">
        <w:t xml:space="preserve">of the accredited data recipient </w:t>
      </w:r>
      <w:r w:rsidRPr="00D476C3">
        <w:t>that had been provided with a copy of the redundant data:</w:t>
      </w:r>
    </w:p>
    <w:p w14:paraId="73E5A9A2" w14:textId="77777777" w:rsidR="00CF0E3D" w:rsidRPr="00D476C3" w:rsidRDefault="00CF0E3D" w:rsidP="00CF0E3D">
      <w:pPr>
        <w:pStyle w:val="paragraphsub"/>
      </w:pPr>
      <w:r w:rsidRPr="00D476C3">
        <w:tab/>
      </w:r>
      <w:r>
        <w:t>(i)</w:t>
      </w:r>
      <w:r w:rsidRPr="00D476C3">
        <w:tab/>
        <w:t>either to:</w:t>
      </w:r>
    </w:p>
    <w:p w14:paraId="4CA9A5D6" w14:textId="77777777" w:rsidR="00CF0E3D" w:rsidRPr="00D476C3" w:rsidRDefault="00CF0E3D" w:rsidP="00CF0E3D">
      <w:pPr>
        <w:pStyle w:val="paragraphsub-sub"/>
      </w:pPr>
      <w:r w:rsidRPr="00D476C3">
        <w:tab/>
      </w:r>
      <w:r>
        <w:t>(A)</w:t>
      </w:r>
      <w:r w:rsidRPr="00D476C3">
        <w:tab/>
        <w:t>return the redundant data to the accredited data recipient; or</w:t>
      </w:r>
    </w:p>
    <w:p w14:paraId="234BD17E" w14:textId="77777777" w:rsidR="00CF0E3D" w:rsidRPr="00D476C3" w:rsidRDefault="00CF0E3D" w:rsidP="00CF0E3D">
      <w:pPr>
        <w:pStyle w:val="paragraphsub-sub"/>
      </w:pPr>
      <w:r w:rsidRPr="00D476C3">
        <w:tab/>
      </w:r>
      <w:r>
        <w:t>(B)</w:t>
      </w:r>
      <w:r w:rsidRPr="00D476C3">
        <w:tab/>
        <w:t>delete the redundant data, as well as any CDR data that has been directly or indirectly derived from it, and notify the accredited data recipient of the deletion; and</w:t>
      </w:r>
    </w:p>
    <w:p w14:paraId="2EB0A4F1" w14:textId="77777777" w:rsidR="00CF0E3D" w:rsidRPr="00D476C3" w:rsidRDefault="00CF0E3D" w:rsidP="00CF0E3D">
      <w:pPr>
        <w:pStyle w:val="paragraphsub"/>
      </w:pPr>
      <w:r w:rsidRPr="00D476C3">
        <w:tab/>
      </w:r>
      <w:r>
        <w:t>(ii)</w:t>
      </w:r>
      <w:r w:rsidRPr="00D476C3">
        <w:tab/>
        <w:t>if the outsourced service provider has provided any such data to another person―to:</w:t>
      </w:r>
    </w:p>
    <w:p w14:paraId="49B4870B" w14:textId="77777777" w:rsidR="00CF0E3D" w:rsidRPr="00D476C3" w:rsidRDefault="00CF0E3D" w:rsidP="00CF0E3D">
      <w:pPr>
        <w:pStyle w:val="paragraphsub-sub"/>
      </w:pPr>
      <w:r w:rsidRPr="00D476C3">
        <w:tab/>
      </w:r>
      <w:r>
        <w:t>(A)</w:t>
      </w:r>
      <w:r w:rsidRPr="00D476C3">
        <w:tab/>
        <w:t>direct the person to take either of the steps referred to in subparagraph </w:t>
      </w:r>
      <w:r>
        <w:t>(i)</w:t>
      </w:r>
      <w:r w:rsidRPr="00D476C3">
        <w:t xml:space="preserve"> in relation to that data; and</w:t>
      </w:r>
    </w:p>
    <w:p w14:paraId="2DAD9481" w14:textId="77777777" w:rsidR="00CF0E3D" w:rsidRPr="00D476C3" w:rsidRDefault="00CF0E3D" w:rsidP="00CF0E3D">
      <w:pPr>
        <w:pStyle w:val="paragraphsub-sub"/>
      </w:pPr>
      <w:r w:rsidRPr="00D476C3">
        <w:tab/>
      </w:r>
      <w:r>
        <w:t>(B)</w:t>
      </w:r>
      <w:r w:rsidRPr="00D476C3">
        <w:tab/>
        <w:t>cause similar directions to be made to any person to whom such data has been further disclosed.</w:t>
      </w:r>
    </w:p>
    <w:p w14:paraId="7726D4BA" w14:textId="77777777" w:rsidR="00CF0E3D" w:rsidRDefault="00CF0E3D" w:rsidP="00CF0E3D">
      <w:pPr>
        <w:pStyle w:val="notetext"/>
      </w:pPr>
      <w:r w:rsidRPr="00D476C3">
        <w:t>Note:</w:t>
      </w:r>
      <w:r w:rsidRPr="00D476C3">
        <w:tab/>
        <w:t>If the redundant data cannot be de</w:t>
      </w:r>
      <w:r w:rsidRPr="00D476C3">
        <w:noBreakHyphen/>
        <w:t>identified in accordance with the CDR data de</w:t>
      </w:r>
      <w:r w:rsidRPr="00D476C3">
        <w:noBreakHyphen/>
        <w:t>identification process, it must be deleted in accordance with the CDR data deletion process: see subrule </w:t>
      </w:r>
      <w:r>
        <w:t>1.17(4)</w:t>
      </w:r>
      <w:r w:rsidRPr="00D476C3">
        <w:t>.</w:t>
      </w:r>
    </w:p>
    <w:p w14:paraId="7BC856AE" w14:textId="4C6BF7C3" w:rsidR="00110ECD" w:rsidRPr="00BC78CF" w:rsidRDefault="00110ECD" w:rsidP="00110ECD">
      <w:pPr>
        <w:pStyle w:val="subsection"/>
        <w:rPr>
          <w:color w:val="FF0000"/>
        </w:rPr>
      </w:pPr>
      <w:r w:rsidRPr="00BC78CF">
        <w:rPr>
          <w:color w:val="FF0000"/>
        </w:rPr>
        <w:tab/>
        <w:t>(3)</w:t>
      </w:r>
      <w:r w:rsidRPr="00BC78CF">
        <w:rPr>
          <w:color w:val="FF0000"/>
        </w:rPr>
        <w:tab/>
        <w:t xml:space="preserve">For this rule, where an accredited data recipient is a CDR principal, a failure by a </w:t>
      </w:r>
      <w:r w:rsidR="00182338" w:rsidRPr="00BC78CF">
        <w:rPr>
          <w:color w:val="FF0000"/>
        </w:rPr>
        <w:t>CDR representative</w:t>
      </w:r>
      <w:r w:rsidRPr="00BC78CF">
        <w:rPr>
          <w:color w:val="FF0000"/>
        </w:rPr>
        <w:t xml:space="preserve"> to comply with subsection 56EO(2) of the Act in relation to service data as if it were a CDR entity is taken to be a failure by the CDR principal.</w:t>
      </w:r>
    </w:p>
    <w:p w14:paraId="27BBE8CB" w14:textId="77777777" w:rsidR="00CF0E3D" w:rsidRPr="00005026" w:rsidRDefault="00CF0E3D" w:rsidP="00CF0E3D">
      <w:pPr>
        <w:pStyle w:val="ActHead5"/>
      </w:pPr>
      <w:bookmarkStart w:id="477" w:name="_Toc74916261"/>
      <w:r>
        <w:t>7.13  Rule</w:t>
      </w:r>
      <w:r w:rsidRPr="00005026">
        <w:t xml:space="preserve"> relating to privacy safeguard 12—</w:t>
      </w:r>
      <w:r>
        <w:t>deletion</w:t>
      </w:r>
      <w:r w:rsidRPr="00005026">
        <w:t xml:space="preserve"> of redundant data</w:t>
      </w:r>
      <w:bookmarkEnd w:id="477"/>
    </w:p>
    <w:p w14:paraId="6EDE8C16" w14:textId="77777777" w:rsidR="00CF0E3D" w:rsidRPr="00005026" w:rsidRDefault="00CF0E3D" w:rsidP="00CF0E3D">
      <w:pPr>
        <w:pStyle w:val="subsection"/>
      </w:pPr>
      <w:r w:rsidRPr="00005026">
        <w:tab/>
      </w:r>
      <w:r>
        <w:t>(1)</w:t>
      </w:r>
      <w:r w:rsidRPr="00005026">
        <w:tab/>
        <w:t>For subsection 56EO(2) of the Act, this rule applies if rule </w:t>
      </w:r>
      <w:r>
        <w:t>7.12</w:t>
      </w:r>
      <w:r w:rsidRPr="00005026">
        <w:t xml:space="preserve"> does not apply.</w:t>
      </w:r>
    </w:p>
    <w:p w14:paraId="6AB107C0" w14:textId="77777777" w:rsidR="00CF0E3D" w:rsidRDefault="00CF0E3D" w:rsidP="00CF0E3D">
      <w:pPr>
        <w:pStyle w:val="subsection"/>
      </w:pPr>
      <w:r w:rsidRPr="00005026">
        <w:tab/>
      </w:r>
      <w:r>
        <w:t>(2)</w:t>
      </w:r>
      <w:r w:rsidRPr="00005026">
        <w:tab/>
        <w:t xml:space="preserve">The </w:t>
      </w:r>
      <w:r w:rsidRPr="00A40A96">
        <w:t>step is to apply the CDR data deletion process to the redundant data</w:t>
      </w:r>
      <w:r>
        <w:t>.</w:t>
      </w:r>
    </w:p>
    <w:p w14:paraId="24832FFC" w14:textId="77777777" w:rsidR="00CF0E3D" w:rsidRPr="00E53912" w:rsidRDefault="00CF0E3D" w:rsidP="00CF0E3D">
      <w:pPr>
        <w:pStyle w:val="notetext"/>
        <w:rPr>
          <w:color w:val="000000" w:themeColor="text1"/>
        </w:rPr>
      </w:pPr>
      <w:r w:rsidRPr="00E53912">
        <w:rPr>
          <w:color w:val="000000" w:themeColor="text1"/>
        </w:rPr>
        <w:t>Note:</w:t>
      </w:r>
      <w:r w:rsidRPr="00E53912">
        <w:rPr>
          <w:color w:val="000000" w:themeColor="text1"/>
        </w:rPr>
        <w:tab/>
        <w:t>See rule </w:t>
      </w:r>
      <w:r>
        <w:rPr>
          <w:color w:val="000000" w:themeColor="text1"/>
        </w:rPr>
        <w:t>1.18</w:t>
      </w:r>
      <w:r w:rsidRPr="00E53912">
        <w:rPr>
          <w:color w:val="000000" w:themeColor="text1"/>
        </w:rPr>
        <w:t xml:space="preserve"> for the CDR data deletion process.</w:t>
      </w:r>
    </w:p>
    <w:p w14:paraId="57D4AB37" w14:textId="77777777" w:rsidR="00CF0E3D" w:rsidRPr="00964EDA" w:rsidRDefault="00CF0E3D" w:rsidP="00CF0E3D">
      <w:pPr>
        <w:pStyle w:val="ActHead4"/>
        <w:pageBreakBefore/>
        <w:rPr>
          <w:color w:val="000000"/>
        </w:rPr>
      </w:pPr>
      <w:bookmarkStart w:id="478" w:name="_Toc11771678"/>
      <w:bookmarkStart w:id="479" w:name="_Toc74916262"/>
      <w:r>
        <w:rPr>
          <w:color w:val="000000"/>
        </w:rPr>
        <w:t>Subdivision 7.2.5</w:t>
      </w:r>
      <w:r w:rsidRPr="00964EDA">
        <w:rPr>
          <w:color w:val="000000"/>
        </w:rPr>
        <w:t>—Rules relating to correction of CDR data</w:t>
      </w:r>
      <w:bookmarkEnd w:id="478"/>
      <w:bookmarkEnd w:id="479"/>
    </w:p>
    <w:p w14:paraId="14B94090" w14:textId="77777777" w:rsidR="00CF0E3D" w:rsidRPr="00964EDA" w:rsidRDefault="00CF0E3D" w:rsidP="00CF0E3D">
      <w:pPr>
        <w:pStyle w:val="ActHead5"/>
        <w:rPr>
          <w:color w:val="000000"/>
        </w:rPr>
      </w:pPr>
      <w:bookmarkStart w:id="480" w:name="_Toc11771679"/>
      <w:bookmarkStart w:id="481" w:name="_Toc74916263"/>
      <w:r>
        <w:rPr>
          <w:color w:val="000000"/>
        </w:rPr>
        <w:t>7.14</w:t>
      </w:r>
      <w:r w:rsidRPr="00964EDA">
        <w:rPr>
          <w:color w:val="000000"/>
        </w:rPr>
        <w:t xml:space="preserve">  No fee for responding to or actioning correction request</w:t>
      </w:r>
      <w:bookmarkEnd w:id="480"/>
      <w:bookmarkEnd w:id="481"/>
    </w:p>
    <w:p w14:paraId="21EE9727" w14:textId="77777777" w:rsidR="00CF0E3D" w:rsidRDefault="00CF0E3D" w:rsidP="00CF0E3D">
      <w:pPr>
        <w:pStyle w:val="subsection"/>
      </w:pPr>
      <w:r>
        <w:tab/>
        <w:t>(1)</w:t>
      </w:r>
      <w:r>
        <w:tab/>
      </w:r>
      <w:r w:rsidRPr="00964EDA">
        <w:t xml:space="preserve">A </w:t>
      </w:r>
      <w:r w:rsidRPr="00E1300D">
        <w:rPr>
          <w:color w:val="000000" w:themeColor="text1"/>
        </w:rPr>
        <w:t xml:space="preserve">data holder must not charge a </w:t>
      </w:r>
      <w:r w:rsidRPr="00964EDA">
        <w:t>fee for responding to or actioning a request</w:t>
      </w:r>
      <w:r>
        <w:t xml:space="preserve"> </w:t>
      </w:r>
      <w:r w:rsidRPr="00E1300D">
        <w:rPr>
          <w:color w:val="000000" w:themeColor="text1"/>
        </w:rPr>
        <w:t>under subsection 56EP(1) of the Act</w:t>
      </w:r>
      <w:r w:rsidRPr="00964EDA">
        <w:t>.</w:t>
      </w:r>
    </w:p>
    <w:p w14:paraId="5929678B" w14:textId="77777777" w:rsidR="00CF0E3D" w:rsidRPr="00E1300D" w:rsidRDefault="00CF0E3D" w:rsidP="00CF0E3D">
      <w:pPr>
        <w:pStyle w:val="notetext"/>
        <w:rPr>
          <w:color w:val="000000" w:themeColor="text1"/>
        </w:rPr>
      </w:pPr>
      <w:r w:rsidRPr="00E1300D">
        <w:rPr>
          <w:color w:val="000000" w:themeColor="text1"/>
        </w:rPr>
        <w:t>Note:</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24761810" w14:textId="77777777" w:rsidR="00CF0E3D" w:rsidRPr="00E1300D" w:rsidRDefault="00CF0E3D" w:rsidP="00CF0E3D">
      <w:pPr>
        <w:pStyle w:val="subsection"/>
        <w:rPr>
          <w:color w:val="000000" w:themeColor="text1"/>
        </w:rPr>
      </w:pPr>
      <w:r w:rsidRPr="00E1300D">
        <w:rPr>
          <w:color w:val="000000" w:themeColor="text1"/>
        </w:rPr>
        <w:tab/>
      </w:r>
      <w:r>
        <w:rPr>
          <w:color w:val="000000" w:themeColor="text1"/>
        </w:rPr>
        <w:t>(2)</w:t>
      </w:r>
      <w:r w:rsidRPr="00E1300D">
        <w:rPr>
          <w:color w:val="000000" w:themeColor="text1"/>
        </w:rPr>
        <w:tab/>
        <w:t>An accredited data recipient must not charge a fee for responding to or actioning a request under subsection 56EP(2) of the Act.</w:t>
      </w:r>
    </w:p>
    <w:p w14:paraId="6185EC1C" w14:textId="77777777" w:rsidR="00CF0E3D" w:rsidRPr="00E1300D" w:rsidRDefault="00CF0E3D" w:rsidP="00CF0E3D">
      <w:pPr>
        <w:pStyle w:val="notetext"/>
        <w:rPr>
          <w:color w:val="000000" w:themeColor="text1"/>
        </w:rPr>
      </w:pPr>
      <w:r w:rsidRPr="00E1300D">
        <w:rPr>
          <w:color w:val="000000" w:themeColor="text1"/>
        </w:rPr>
        <w:t>Note:</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69BFE741" w14:textId="77777777" w:rsidR="00CF0E3D" w:rsidRPr="00EF3347" w:rsidRDefault="00CF0E3D" w:rsidP="00CF0E3D">
      <w:pPr>
        <w:pStyle w:val="ActHead5"/>
        <w:rPr>
          <w:color w:val="000000"/>
        </w:rPr>
      </w:pPr>
      <w:bookmarkStart w:id="482" w:name="_Toc11771680"/>
      <w:bookmarkStart w:id="483" w:name="_Toc74916264"/>
      <w:r>
        <w:rPr>
          <w:color w:val="000000"/>
        </w:rPr>
        <w:t>7.15</w:t>
      </w:r>
      <w:r w:rsidRPr="00EF3347">
        <w:rPr>
          <w:color w:val="000000"/>
        </w:rPr>
        <w:t xml:space="preserve">  Rule relating to privacy safeguard 13—steps to be taken when responding to correction request</w:t>
      </w:r>
      <w:bookmarkEnd w:id="482"/>
      <w:bookmarkEnd w:id="483"/>
    </w:p>
    <w:p w14:paraId="021796D6" w14:textId="77777777" w:rsidR="00CF0E3D" w:rsidRPr="00EF3347" w:rsidRDefault="00CF0E3D" w:rsidP="00CF0E3D">
      <w:pPr>
        <w:pStyle w:val="subsection"/>
        <w:rPr>
          <w:color w:val="000000"/>
        </w:rPr>
      </w:pPr>
      <w:r w:rsidRPr="00EF3347">
        <w:rPr>
          <w:color w:val="000000"/>
        </w:rPr>
        <w:tab/>
      </w:r>
      <w:r w:rsidRPr="00EF3347">
        <w:rPr>
          <w:color w:val="000000"/>
        </w:rPr>
        <w:tab/>
        <w:t xml:space="preserve">The recipient </w:t>
      </w:r>
      <w:r>
        <w:rPr>
          <w:color w:val="000000"/>
        </w:rPr>
        <w:t xml:space="preserve">of a request under </w:t>
      </w:r>
      <w:r w:rsidRPr="00EF3347">
        <w:rPr>
          <w:color w:val="000000"/>
        </w:rPr>
        <w:t xml:space="preserve">subsection 56EP(1) </w:t>
      </w:r>
      <w:r>
        <w:rPr>
          <w:color w:val="000000"/>
        </w:rPr>
        <w:t xml:space="preserve">or </w:t>
      </w:r>
      <w:r w:rsidRPr="00EF3347">
        <w:rPr>
          <w:color w:val="000000"/>
        </w:rPr>
        <w:t>(2) of the Act must:</w:t>
      </w:r>
    </w:p>
    <w:p w14:paraId="5E024AA2" w14:textId="77777777" w:rsidR="00CF0E3D" w:rsidRPr="00EF3347" w:rsidRDefault="00CF0E3D" w:rsidP="00CF0E3D">
      <w:pPr>
        <w:pStyle w:val="paragraph"/>
        <w:rPr>
          <w:color w:val="000000"/>
        </w:rPr>
      </w:pPr>
      <w:r w:rsidRPr="00EF3347">
        <w:rPr>
          <w:color w:val="000000"/>
        </w:rPr>
        <w:tab/>
      </w:r>
      <w:r>
        <w:rPr>
          <w:color w:val="000000"/>
        </w:rPr>
        <w:t>(a)</w:t>
      </w:r>
      <w:r w:rsidRPr="00EF3347">
        <w:rPr>
          <w:color w:val="000000"/>
        </w:rPr>
        <w:tab/>
        <w:t>acknowledge receipt of the request as soon as practicable; and</w:t>
      </w:r>
    </w:p>
    <w:p w14:paraId="18F62038" w14:textId="77777777" w:rsidR="00CF0E3D" w:rsidRDefault="00CF0E3D" w:rsidP="00CF0E3D">
      <w:pPr>
        <w:pStyle w:val="paragraph"/>
        <w:rPr>
          <w:color w:val="000000"/>
        </w:rPr>
      </w:pPr>
      <w:r w:rsidRPr="00EF3347">
        <w:rPr>
          <w:color w:val="000000"/>
        </w:rPr>
        <w:tab/>
      </w:r>
      <w:r>
        <w:rPr>
          <w:color w:val="000000"/>
        </w:rPr>
        <w:t>(b)</w:t>
      </w:r>
      <w:r w:rsidRPr="00EF3347">
        <w:rPr>
          <w:color w:val="000000"/>
        </w:rPr>
        <w:tab/>
        <w:t>within 10 business days after receipt of the request</w:t>
      </w:r>
      <w:r>
        <w:rPr>
          <w:color w:val="000000"/>
        </w:rPr>
        <w:t>, and to the extent that the recipient considers appropriate in relation to the CDR data that was the subject of the request:</w:t>
      </w:r>
    </w:p>
    <w:p w14:paraId="353EB606" w14:textId="77777777" w:rsidR="00CF0E3D" w:rsidRDefault="00CF0E3D" w:rsidP="00CF0E3D">
      <w:pPr>
        <w:pStyle w:val="paragraphsub"/>
        <w:rPr>
          <w:color w:val="000000"/>
        </w:rPr>
      </w:pPr>
      <w:r w:rsidRPr="00EF3347">
        <w:rPr>
          <w:color w:val="000000"/>
        </w:rPr>
        <w:tab/>
      </w:r>
      <w:r>
        <w:rPr>
          <w:color w:val="000000"/>
        </w:rPr>
        <w:t>(i)</w:t>
      </w:r>
      <w:r w:rsidRPr="00EF3347">
        <w:rPr>
          <w:color w:val="000000"/>
        </w:rPr>
        <w:tab/>
      </w:r>
      <w:r w:rsidRPr="00E1300D">
        <w:rPr>
          <w:color w:val="000000" w:themeColor="text1"/>
        </w:rPr>
        <w:t xml:space="preserve">correct </w:t>
      </w:r>
      <w:r w:rsidRPr="00EF3347">
        <w:rPr>
          <w:color w:val="000000"/>
        </w:rPr>
        <w:t>the data;</w:t>
      </w:r>
      <w:r>
        <w:rPr>
          <w:color w:val="000000"/>
        </w:rPr>
        <w:t xml:space="preserve"> or</w:t>
      </w:r>
    </w:p>
    <w:p w14:paraId="41D9C811" w14:textId="77777777" w:rsidR="00CF0E3D" w:rsidRDefault="00CF0E3D" w:rsidP="00CF0E3D">
      <w:pPr>
        <w:pStyle w:val="paragraphsub"/>
        <w:rPr>
          <w:color w:val="000000"/>
        </w:rPr>
      </w:pPr>
      <w:r w:rsidRPr="00EF3347">
        <w:rPr>
          <w:color w:val="000000"/>
        </w:rPr>
        <w:tab/>
      </w:r>
      <w:r>
        <w:rPr>
          <w:color w:val="000000"/>
        </w:rPr>
        <w:t>(ii)</w:t>
      </w:r>
      <w:r w:rsidRPr="00EF3347">
        <w:rPr>
          <w:color w:val="000000"/>
        </w:rPr>
        <w:tab/>
      </w:r>
      <w:r>
        <w:rPr>
          <w:color w:val="000000"/>
        </w:rPr>
        <w:t>do both of the following:</w:t>
      </w:r>
    </w:p>
    <w:p w14:paraId="5ADCFD61" w14:textId="77777777" w:rsidR="00CF0E3D" w:rsidRDefault="00CF0E3D" w:rsidP="00CF0E3D">
      <w:pPr>
        <w:pStyle w:val="paragraphsub-sub"/>
      </w:pPr>
      <w:r>
        <w:tab/>
        <w:t>(A)</w:t>
      </w:r>
      <w:r>
        <w:tab/>
      </w:r>
      <w:r w:rsidRPr="00EF3347">
        <w:t xml:space="preserve">include a statement with the data to ensure that, having regard to the purpose for which </w:t>
      </w:r>
      <w:r>
        <w:t xml:space="preserve">it </w:t>
      </w:r>
      <w:r w:rsidRPr="00EF3347">
        <w:t>is held, the data is accurate, up to date, complete and not misleading</w:t>
      </w:r>
      <w:r>
        <w:t>;</w:t>
      </w:r>
    </w:p>
    <w:p w14:paraId="6AF15DD5" w14:textId="77777777" w:rsidR="00CF0E3D" w:rsidRDefault="00CF0E3D" w:rsidP="00CF0E3D">
      <w:pPr>
        <w:pStyle w:val="paragraphsub-sub"/>
      </w:pPr>
      <w:r>
        <w:tab/>
        <w:t>(B)</w:t>
      </w:r>
      <w:r>
        <w:tab/>
      </w:r>
      <w:r w:rsidRPr="00A804A8">
        <w:t xml:space="preserve">where practicable, </w:t>
      </w:r>
      <w:r>
        <w:t>attach</w:t>
      </w:r>
      <w:r w:rsidRPr="00EF3347">
        <w:t xml:space="preserve"> an electronic link to a digital record of the data</w:t>
      </w:r>
      <w:r>
        <w:t xml:space="preserve"> in such a way that the </w:t>
      </w:r>
      <w:r w:rsidRPr="00EF3347">
        <w:t xml:space="preserve">statement </w:t>
      </w:r>
      <w:r>
        <w:t xml:space="preserve">will be </w:t>
      </w:r>
      <w:r w:rsidRPr="00EF3347">
        <w:t>apparent to any users of the data; and</w:t>
      </w:r>
    </w:p>
    <w:p w14:paraId="48A9AE49" w14:textId="77777777" w:rsidR="00CF0E3D" w:rsidRDefault="00CF0E3D" w:rsidP="00CF0E3D">
      <w:pPr>
        <w:pStyle w:val="paragraph"/>
        <w:rPr>
          <w:color w:val="000000"/>
        </w:rPr>
      </w:pPr>
      <w:r>
        <w:tab/>
        <w:t>(c)</w:t>
      </w:r>
      <w:r>
        <w:tab/>
      </w:r>
      <w:r w:rsidRPr="00EF3347">
        <w:rPr>
          <w:color w:val="000000"/>
        </w:rPr>
        <w:t>give the requester a written notice, by electronic means, that</w:t>
      </w:r>
      <w:r>
        <w:rPr>
          <w:color w:val="000000"/>
        </w:rPr>
        <w:t>:</w:t>
      </w:r>
    </w:p>
    <w:p w14:paraId="309014BE" w14:textId="77777777" w:rsidR="00CF0E3D" w:rsidRDefault="00CF0E3D" w:rsidP="00CF0E3D">
      <w:pPr>
        <w:pStyle w:val="paragraphsub"/>
      </w:pPr>
      <w:r>
        <w:tab/>
        <w:t>(i)</w:t>
      </w:r>
      <w:r>
        <w:tab/>
        <w:t>indicates what the recipient did in response to the request; and</w:t>
      </w:r>
    </w:p>
    <w:p w14:paraId="227877EB" w14:textId="77777777" w:rsidR="00CF0E3D" w:rsidRPr="00E1300D" w:rsidRDefault="00CF0E3D" w:rsidP="00CF0E3D">
      <w:pPr>
        <w:pStyle w:val="paragraphsub"/>
        <w:rPr>
          <w:color w:val="000000" w:themeColor="text1"/>
        </w:rPr>
      </w:pPr>
      <w:r>
        <w:tab/>
      </w:r>
      <w:r>
        <w:rPr>
          <w:color w:val="000000" w:themeColor="text1"/>
        </w:rPr>
        <w:t>(ii)</w:t>
      </w:r>
      <w:r w:rsidRPr="00E1300D">
        <w:rPr>
          <w:color w:val="000000" w:themeColor="text1"/>
        </w:rPr>
        <w:tab/>
        <w:t>if the recipient did not think it appropriate to do either of the things referred to in subparagraphs </w:t>
      </w:r>
      <w:r>
        <w:rPr>
          <w:color w:val="000000" w:themeColor="text1"/>
        </w:rPr>
        <w:t>(b)(i)</w:t>
      </w:r>
      <w:r w:rsidRPr="00E1300D">
        <w:rPr>
          <w:color w:val="000000" w:themeColor="text1"/>
        </w:rPr>
        <w:t xml:space="preserve"> or </w:t>
      </w:r>
      <w:r>
        <w:rPr>
          <w:color w:val="000000" w:themeColor="text1"/>
        </w:rPr>
        <w:t>(ii)</w:t>
      </w:r>
      <w:r w:rsidRPr="00E1300D">
        <w:rPr>
          <w:color w:val="000000" w:themeColor="text1"/>
        </w:rPr>
        <w:t>―states why a correction or statement is unnecessary or inappropriate; and</w:t>
      </w:r>
    </w:p>
    <w:p w14:paraId="029D435F" w14:textId="77777777" w:rsidR="00CF0E3D" w:rsidRPr="00EF3347" w:rsidRDefault="00CF0E3D" w:rsidP="00CF0E3D">
      <w:pPr>
        <w:pStyle w:val="paragraphsub"/>
      </w:pPr>
      <w:r>
        <w:tab/>
        <w:t>(iii)</w:t>
      </w:r>
      <w:r>
        <w:tab/>
      </w:r>
      <w:r w:rsidRPr="00EF3347">
        <w:t>set</w:t>
      </w:r>
      <w:r>
        <w:t>s</w:t>
      </w:r>
      <w:r w:rsidRPr="00EF3347">
        <w:t xml:space="preserve"> out the complaint mechanisms available to the requester.</w:t>
      </w:r>
    </w:p>
    <w:p w14:paraId="662E548C" w14:textId="77777777" w:rsidR="00CF0E3D" w:rsidRPr="009E5F63" w:rsidRDefault="00CF0E3D" w:rsidP="00CF0E3D">
      <w:pPr>
        <w:pStyle w:val="notetext"/>
      </w:pPr>
      <w:r w:rsidRPr="009E5F63">
        <w:t>Note 1:</w:t>
      </w:r>
      <w:r w:rsidRPr="009E5F63">
        <w:tab/>
        <w:t>In relation to subparagraph </w:t>
      </w:r>
      <w:r>
        <w:t>(c)(iii)</w:t>
      </w:r>
      <w:r w:rsidRPr="009E5F63">
        <w:t xml:space="preserve">, see </w:t>
      </w:r>
      <w:r>
        <w:t>Part 6</w:t>
      </w:r>
      <w:r w:rsidRPr="009E5F63">
        <w:t>.</w:t>
      </w:r>
    </w:p>
    <w:p w14:paraId="1A6E722E" w14:textId="77777777" w:rsidR="00CF0E3D" w:rsidRDefault="00CF0E3D" w:rsidP="00CF0E3D">
      <w:pPr>
        <w:pStyle w:val="notetext"/>
      </w:pPr>
      <w:r w:rsidRPr="009E5F63">
        <w:t>Note 2:</w:t>
      </w:r>
      <w:r w:rsidRPr="009E5F63">
        <w:tab/>
        <w:t>The written notice could be given through the accredited person’s or the data holder’s consumer dashboard (see rules </w:t>
      </w:r>
      <w:r>
        <w:t>1.14</w:t>
      </w:r>
      <w:r w:rsidRPr="009E5F63">
        <w:t xml:space="preserve"> and </w:t>
      </w:r>
      <w:r>
        <w:t>1.15</w:t>
      </w:r>
      <w:r w:rsidRPr="009E5F63">
        <w:t>).</w:t>
      </w:r>
    </w:p>
    <w:p w14:paraId="7223BF13" w14:textId="3A7FD840" w:rsidR="00110ECD" w:rsidRPr="00BC78CF" w:rsidRDefault="00110ECD" w:rsidP="00110ECD">
      <w:pPr>
        <w:pStyle w:val="ActHead5"/>
        <w:rPr>
          <w:color w:val="FF0000"/>
        </w:rPr>
      </w:pPr>
      <w:bookmarkStart w:id="484" w:name="_Toc74916265"/>
      <w:r w:rsidRPr="00BC78CF">
        <w:rPr>
          <w:color w:val="FF0000"/>
        </w:rPr>
        <w:t>7.10A  Rule relating to privacy safeguard 11—</w:t>
      </w:r>
      <w:r w:rsidR="009C6E6B" w:rsidRPr="00BC78CF">
        <w:rPr>
          <w:color w:val="FF0000"/>
        </w:rPr>
        <w:t>correction of data</w:t>
      </w:r>
      <w:r w:rsidRPr="00BC78CF">
        <w:rPr>
          <w:color w:val="FF0000"/>
        </w:rPr>
        <w:t>—</w:t>
      </w:r>
      <w:r w:rsidR="00182338" w:rsidRPr="00BC78CF">
        <w:rPr>
          <w:color w:val="FF0000"/>
        </w:rPr>
        <w:t>CDR representative</w:t>
      </w:r>
      <w:bookmarkEnd w:id="484"/>
    </w:p>
    <w:p w14:paraId="60662B9E" w14:textId="3E465B01" w:rsidR="00110ECD" w:rsidRPr="00BC78CF" w:rsidRDefault="00110ECD" w:rsidP="00110ECD">
      <w:pPr>
        <w:pStyle w:val="subsection"/>
        <w:rPr>
          <w:color w:val="FF0000"/>
        </w:rPr>
      </w:pPr>
      <w:r w:rsidRPr="00BC78CF">
        <w:rPr>
          <w:color w:val="FF0000"/>
        </w:rPr>
        <w:tab/>
        <w:t>(1)</w:t>
      </w:r>
      <w:r w:rsidRPr="00BC78CF">
        <w:rPr>
          <w:color w:val="FF0000"/>
        </w:rPr>
        <w:tab/>
        <w:t xml:space="preserve">A CDR principal breaches this subrule if its </w:t>
      </w:r>
      <w:r w:rsidR="00182338" w:rsidRPr="00BC78CF">
        <w:rPr>
          <w:color w:val="FF0000"/>
        </w:rPr>
        <w:t>CDR representative</w:t>
      </w:r>
      <w:r w:rsidRPr="00BC78CF">
        <w:rPr>
          <w:color w:val="FF0000"/>
        </w:rPr>
        <w:t xml:space="preserve"> fails to comply with subsection 56E</w:t>
      </w:r>
      <w:r w:rsidR="009C6E6B" w:rsidRPr="00BC78CF">
        <w:rPr>
          <w:color w:val="FF0000"/>
        </w:rPr>
        <w:t>P</w:t>
      </w:r>
      <w:r w:rsidRPr="00BC78CF">
        <w:rPr>
          <w:color w:val="FF0000"/>
        </w:rPr>
        <w:t>(2) of the Act in relation to service data of a CDR consumer as if it were an accredited person.</w:t>
      </w:r>
    </w:p>
    <w:p w14:paraId="4AA44602" w14:textId="17C434DE" w:rsidR="00110ECD" w:rsidRPr="00BC78CF" w:rsidRDefault="00110ECD" w:rsidP="00110ECD">
      <w:pPr>
        <w:pStyle w:val="notetext"/>
        <w:rPr>
          <w:color w:val="FF0000"/>
        </w:rPr>
      </w:pPr>
      <w:r w:rsidRPr="00BC78CF">
        <w:rPr>
          <w:color w:val="FF0000"/>
        </w:rPr>
        <w:t>Note 1:</w:t>
      </w:r>
      <w:r w:rsidRPr="00BC78CF">
        <w:rPr>
          <w:color w:val="FF0000"/>
        </w:rPr>
        <w:tab/>
        <w:t xml:space="preserve">See rule 1.10 for the definition of “service data” in relation to a </w:t>
      </w:r>
      <w:r w:rsidR="00182338" w:rsidRPr="00BC78CF">
        <w:rPr>
          <w:color w:val="FF0000"/>
        </w:rPr>
        <w:t>CDR representative</w:t>
      </w:r>
      <w:r w:rsidRPr="00BC78CF">
        <w:rPr>
          <w:color w:val="FF0000"/>
        </w:rPr>
        <w:t xml:space="preserve"> arrangement.</w:t>
      </w:r>
    </w:p>
    <w:p w14:paraId="1B1E8D00" w14:textId="77777777" w:rsidR="00110ECD" w:rsidRPr="00BC78CF" w:rsidRDefault="00110ECD" w:rsidP="00110ECD">
      <w:pPr>
        <w:pStyle w:val="notetext"/>
        <w:rPr>
          <w:color w:val="FF0000"/>
        </w:rPr>
      </w:pPr>
      <w:r w:rsidRPr="00BC78CF">
        <w:rPr>
          <w:color w:val="FF0000"/>
        </w:rPr>
        <w:t>Note 2:</w:t>
      </w:r>
      <w:r w:rsidRPr="00BC78CF">
        <w:rPr>
          <w:color w:val="FF0000"/>
        </w:rPr>
        <w:tab/>
        <w:t>This subrule is a civil penalty provision (see rule 9.8).</w:t>
      </w:r>
    </w:p>
    <w:p w14:paraId="7C12A3D3" w14:textId="652CC71A" w:rsidR="00110ECD" w:rsidRPr="00BC78CF" w:rsidRDefault="00110ECD" w:rsidP="00DD6B28">
      <w:pPr>
        <w:pStyle w:val="subsection"/>
        <w:rPr>
          <w:color w:val="FF0000"/>
        </w:rPr>
      </w:pPr>
      <w:r w:rsidRPr="00BC78CF">
        <w:rPr>
          <w:color w:val="FF0000"/>
        </w:rPr>
        <w:tab/>
        <w:t>(2)</w:t>
      </w:r>
      <w:r w:rsidRPr="00BC78CF">
        <w:rPr>
          <w:color w:val="FF0000"/>
        </w:rPr>
        <w:tab/>
        <w:t xml:space="preserve">For subrule (2), it is irrelevant whether the action of the </w:t>
      </w:r>
      <w:r w:rsidR="00182338" w:rsidRPr="00BC78CF">
        <w:rPr>
          <w:color w:val="FF0000"/>
        </w:rPr>
        <w:t>CDR representative</w:t>
      </w:r>
      <w:r w:rsidRPr="00BC78CF">
        <w:rPr>
          <w:color w:val="FF0000"/>
        </w:rPr>
        <w:t xml:space="preserve"> in relation to the service data is in accordance with the </w:t>
      </w:r>
      <w:r w:rsidR="00182338" w:rsidRPr="00BC78CF">
        <w:rPr>
          <w:color w:val="FF0000"/>
        </w:rPr>
        <w:t>CDR representative</w:t>
      </w:r>
      <w:r w:rsidR="00DD6B28" w:rsidRPr="00BC78CF">
        <w:rPr>
          <w:color w:val="FF0000"/>
        </w:rPr>
        <w:t xml:space="preserve"> arrangement.</w:t>
      </w:r>
    </w:p>
    <w:p w14:paraId="1A1F07BC" w14:textId="77777777" w:rsidR="00CF0E3D" w:rsidRPr="009E5F63" w:rsidRDefault="00CF0E3D" w:rsidP="00CF0E3D">
      <w:pPr>
        <w:pStyle w:val="subsection"/>
        <w:sectPr w:rsidR="00CF0E3D" w:rsidRPr="009E5F63" w:rsidSect="00C81B0F">
          <w:headerReference w:type="even" r:id="rId20"/>
          <w:headerReference w:type="default" r:id="rId21"/>
          <w:footerReference w:type="even" r:id="rId22"/>
          <w:pgSz w:w="11907" w:h="16839" w:code="9"/>
          <w:pgMar w:top="2234" w:right="1797" w:bottom="1440" w:left="1797" w:header="720" w:footer="709" w:gutter="0"/>
          <w:cols w:space="708"/>
          <w:docGrid w:linePitch="360"/>
        </w:sectPr>
      </w:pPr>
    </w:p>
    <w:p w14:paraId="3378738A" w14:textId="77777777" w:rsidR="00CF0E3D" w:rsidRDefault="00CF0E3D" w:rsidP="00CF0E3D">
      <w:pPr>
        <w:pStyle w:val="ActHead2"/>
      </w:pPr>
      <w:bookmarkStart w:id="485" w:name="_Toc11771681"/>
      <w:bookmarkStart w:id="486" w:name="_Toc74916266"/>
      <w:r>
        <w:t>Part 8—Rules relating to data standards</w:t>
      </w:r>
      <w:bookmarkEnd w:id="485"/>
      <w:bookmarkEnd w:id="486"/>
    </w:p>
    <w:p w14:paraId="2EF55079" w14:textId="77777777" w:rsidR="00CF0E3D" w:rsidRPr="00B3173B" w:rsidRDefault="00CF0E3D" w:rsidP="00CF0E3D">
      <w:pPr>
        <w:pStyle w:val="ActHead3"/>
      </w:pPr>
      <w:bookmarkStart w:id="487" w:name="_Toc11771682"/>
      <w:bookmarkStart w:id="488" w:name="_Toc74916267"/>
      <w:r>
        <w:t>Division 8.1</w:t>
      </w:r>
      <w:r w:rsidRPr="00B3173B">
        <w:t>—</w:t>
      </w:r>
      <w:bookmarkEnd w:id="487"/>
      <w:r>
        <w:t>Preliminary</w:t>
      </w:r>
      <w:bookmarkEnd w:id="488"/>
    </w:p>
    <w:p w14:paraId="141CF58C" w14:textId="77777777" w:rsidR="00CF0E3D" w:rsidRPr="00B3173B" w:rsidRDefault="00CF0E3D" w:rsidP="00CF0E3D">
      <w:pPr>
        <w:pStyle w:val="ActHead5"/>
      </w:pPr>
      <w:bookmarkStart w:id="489" w:name="_Toc11771683"/>
      <w:bookmarkStart w:id="490" w:name="_Toc74916268"/>
      <w:r>
        <w:t>8.1</w:t>
      </w:r>
      <w:r w:rsidRPr="00B3173B">
        <w:t xml:space="preserve">  Simplified outline of this Part</w:t>
      </w:r>
      <w:bookmarkEnd w:id="489"/>
      <w:bookmarkEnd w:id="490"/>
    </w:p>
    <w:p w14:paraId="3604A931" w14:textId="77777777" w:rsidR="00CF0E3D" w:rsidRDefault="00CF0E3D" w:rsidP="00CF0E3D">
      <w:pPr>
        <w:pStyle w:val="SOText"/>
        <w:rPr>
          <w:color w:val="000000"/>
        </w:rPr>
      </w:pPr>
      <w:r>
        <w:rPr>
          <w:color w:val="000000"/>
        </w:rPr>
        <w:t>Product data requests and consumer data requests under these rules are made in accordance with data standards, which are made under Division 6 of Part IVD of the Act.</w:t>
      </w:r>
    </w:p>
    <w:p w14:paraId="6BDB9284" w14:textId="77777777" w:rsidR="00CF0E3D" w:rsidRDefault="00CF0E3D" w:rsidP="00CF0E3D">
      <w:pPr>
        <w:pStyle w:val="SOText"/>
        <w:rPr>
          <w:color w:val="000000"/>
        </w:rPr>
      </w:pPr>
      <w:r>
        <w:rPr>
          <w:color w:val="000000"/>
        </w:rPr>
        <w:t>This Part of these rules sets out rules relating to data standards.</w:t>
      </w:r>
    </w:p>
    <w:p w14:paraId="6190CA5C" w14:textId="77DC4CC7" w:rsidR="00CF0E3D" w:rsidRDefault="00CF0E3D" w:rsidP="00CF0E3D">
      <w:pPr>
        <w:pStyle w:val="SOText"/>
      </w:pPr>
      <w:r>
        <w:rPr>
          <w:color w:val="000000"/>
        </w:rPr>
        <w:t>The Data Standards Chair is established by the Act and is responsible for making data standards. The Data Standards Chair is required to establish</w:t>
      </w:r>
      <w:r w:rsidRPr="007E7FBF">
        <w:t xml:space="preserve"> a</w:t>
      </w:r>
      <w:r>
        <w:rPr>
          <w:color w:val="000000"/>
        </w:rPr>
        <w:t xml:space="preserve"> </w:t>
      </w:r>
      <w:r>
        <w:t>Data Standards Advisory Committee to advise the Chair about data standards.</w:t>
      </w:r>
    </w:p>
    <w:p w14:paraId="0AB027BB" w14:textId="77777777" w:rsidR="00CF0E3D" w:rsidRPr="00641354" w:rsidRDefault="00CF0E3D" w:rsidP="00CF0E3D">
      <w:pPr>
        <w:pStyle w:val="SOText"/>
        <w:rPr>
          <w:color w:val="000000"/>
        </w:rPr>
      </w:pPr>
      <w:r>
        <w:t>This Part also sets out procedural requirements for making, amending and reviewing data standards, and specifies data standards that the Data Standards Chair is required to make. These are all binding data standards.</w:t>
      </w:r>
    </w:p>
    <w:p w14:paraId="22F0F186" w14:textId="77777777" w:rsidR="00CF0E3D" w:rsidRPr="00F02FA2" w:rsidRDefault="00CF0E3D" w:rsidP="00CF0E3D">
      <w:pPr>
        <w:pStyle w:val="notemargin"/>
      </w:pPr>
    </w:p>
    <w:p w14:paraId="106E6B30" w14:textId="597A60EF" w:rsidR="00CF0E3D" w:rsidRDefault="00CF0E3D" w:rsidP="00CF0E3D">
      <w:pPr>
        <w:pStyle w:val="ActHead3"/>
        <w:pageBreakBefore/>
      </w:pPr>
      <w:bookmarkStart w:id="491" w:name="_Toc11771684"/>
      <w:bookmarkStart w:id="492" w:name="_Toc74916269"/>
      <w:r>
        <w:t xml:space="preserve">Division 8.2—Data Standards Advisory </w:t>
      </w:r>
      <w:bookmarkEnd w:id="491"/>
      <w:r w:rsidR="00C144A3">
        <w:t>Committee</w:t>
      </w:r>
      <w:bookmarkEnd w:id="492"/>
    </w:p>
    <w:p w14:paraId="7712CB2E" w14:textId="6B01B6C7" w:rsidR="00CF0E3D" w:rsidRDefault="00CF0E3D" w:rsidP="00CF0E3D">
      <w:pPr>
        <w:pStyle w:val="ActHead5"/>
      </w:pPr>
      <w:bookmarkStart w:id="493" w:name="_Toc11771685"/>
      <w:bookmarkStart w:id="494" w:name="_Toc74916270"/>
      <w:r>
        <w:t xml:space="preserve">8.2  Establishment of Data Standards Advisory </w:t>
      </w:r>
      <w:bookmarkEnd w:id="493"/>
      <w:r w:rsidR="00C144A3">
        <w:t>Committee</w:t>
      </w:r>
      <w:bookmarkEnd w:id="494"/>
    </w:p>
    <w:p w14:paraId="27098D23" w14:textId="38F79D35" w:rsidR="00CF0E3D" w:rsidRDefault="00CF0E3D" w:rsidP="00CF0E3D">
      <w:pPr>
        <w:pStyle w:val="subsection"/>
      </w:pPr>
      <w:r>
        <w:tab/>
      </w:r>
      <w:r>
        <w:tab/>
        <w:t xml:space="preserve">The Data Standards Chair must, by written instrument, establish and maintain </w:t>
      </w:r>
      <w:r w:rsidRPr="00B3173B">
        <w:t>a</w:t>
      </w:r>
      <w:r>
        <w:t xml:space="preserve"> committee</w:t>
      </w:r>
      <w:r w:rsidRPr="00B3173B">
        <w:t xml:space="preserve"> </w:t>
      </w:r>
      <w:r>
        <w:t>to advise the Chair about data standards</w:t>
      </w:r>
      <w:r w:rsidR="00DD6B28" w:rsidRPr="007E7FBF">
        <w:rPr>
          <w:b/>
          <w:i/>
        </w:rPr>
        <w:t xml:space="preserve"> </w:t>
      </w:r>
      <w:r w:rsidRPr="007E7FBF">
        <w:t>(the</w:t>
      </w:r>
      <w:r w:rsidR="002B7525" w:rsidRPr="007E7FBF">
        <w:t xml:space="preserve"> </w:t>
      </w:r>
      <w:r w:rsidRPr="007E7FBF">
        <w:rPr>
          <w:b/>
          <w:i/>
        </w:rPr>
        <w:t xml:space="preserve">Data </w:t>
      </w:r>
      <w:r w:rsidRPr="00DE18E7">
        <w:rPr>
          <w:b/>
          <w:i/>
        </w:rPr>
        <w:t xml:space="preserve">Standards </w:t>
      </w:r>
      <w:r>
        <w:rPr>
          <w:b/>
          <w:i/>
        </w:rPr>
        <w:t>Advisory Committee</w:t>
      </w:r>
      <w:r>
        <w:t>).</w:t>
      </w:r>
    </w:p>
    <w:p w14:paraId="34784112" w14:textId="77777777" w:rsidR="00CF0E3D" w:rsidRDefault="00CF0E3D" w:rsidP="00CF0E3D">
      <w:pPr>
        <w:pStyle w:val="notetext"/>
        <w:rPr>
          <w:shd w:val="clear" w:color="auto" w:fill="FFFFFF"/>
        </w:rPr>
      </w:pPr>
      <w:r>
        <w:rPr>
          <w:shd w:val="clear" w:color="auto" w:fill="FFFFFF"/>
        </w:rPr>
        <w:t>Note:</w:t>
      </w:r>
      <w:r>
        <w:rPr>
          <w:shd w:val="clear" w:color="auto" w:fill="FFFFFF"/>
        </w:rPr>
        <w:tab/>
        <w:t>For variation and revocation, see subsection 33(3) of the </w:t>
      </w:r>
      <w:r>
        <w:rPr>
          <w:i/>
          <w:iCs/>
          <w:shd w:val="clear" w:color="auto" w:fill="FFFFFF"/>
        </w:rPr>
        <w:t>Acts Interpretation Act 1901</w:t>
      </w:r>
      <w:r w:rsidRPr="00BD5418">
        <w:rPr>
          <w:iCs/>
        </w:rPr>
        <w:t xml:space="preserve"> </w:t>
      </w:r>
      <w:r>
        <w:rPr>
          <w:iCs/>
        </w:rPr>
        <w:t xml:space="preserve">and paragraph 13(1)(a) of the </w:t>
      </w:r>
      <w:r>
        <w:rPr>
          <w:i/>
          <w:iCs/>
        </w:rPr>
        <w:t>Legislation Act 2003</w:t>
      </w:r>
      <w:r>
        <w:rPr>
          <w:shd w:val="clear" w:color="auto" w:fill="FFFFFF"/>
        </w:rPr>
        <w:t>.</w:t>
      </w:r>
    </w:p>
    <w:p w14:paraId="046522B7" w14:textId="5CF076B9" w:rsidR="00CF0E3D" w:rsidRDefault="00CF0E3D" w:rsidP="00CF0E3D">
      <w:pPr>
        <w:pStyle w:val="ActHead5"/>
      </w:pPr>
      <w:bookmarkStart w:id="495" w:name="_Toc11771686"/>
      <w:bookmarkStart w:id="496" w:name="_Toc74916271"/>
      <w:r>
        <w:t xml:space="preserve">8.3  Functions of Data Standards Advisory </w:t>
      </w:r>
      <w:bookmarkEnd w:id="495"/>
      <w:r w:rsidR="00C144A3">
        <w:t>Committee</w:t>
      </w:r>
      <w:bookmarkEnd w:id="496"/>
    </w:p>
    <w:p w14:paraId="36F16B6C" w14:textId="0E56C8B5" w:rsidR="00CF0E3D" w:rsidRDefault="00CF0E3D" w:rsidP="00CF0E3D">
      <w:pPr>
        <w:pStyle w:val="subsection"/>
      </w:pPr>
      <w:r>
        <w:tab/>
      </w:r>
      <w:r>
        <w:tab/>
        <w:t xml:space="preserve">The function </w:t>
      </w:r>
      <w:r w:rsidR="00C144A3" w:rsidRPr="00C144A3">
        <w:t>of</w:t>
      </w:r>
      <w:r w:rsidR="00DD6B28">
        <w:t xml:space="preserve"> </w:t>
      </w:r>
      <w:r w:rsidR="00C144A3" w:rsidRPr="007E7FBF">
        <w:t xml:space="preserve">the </w:t>
      </w:r>
      <w:r w:rsidRPr="007E7FBF">
        <w:t xml:space="preserve">Data </w:t>
      </w:r>
      <w:r>
        <w:t>Standards Advisory Committee is to advise the Data Standards Chair about:</w:t>
      </w:r>
    </w:p>
    <w:p w14:paraId="66B2D6C3" w14:textId="77777777" w:rsidR="00CF0E3D" w:rsidRDefault="00CF0E3D" w:rsidP="00CF0E3D">
      <w:pPr>
        <w:pStyle w:val="paragraph"/>
      </w:pPr>
      <w:r>
        <w:tab/>
        <w:t>(a)</w:t>
      </w:r>
      <w:r>
        <w:tab/>
        <w:t>any matters identified in the instrument establishing the Committee; and</w:t>
      </w:r>
    </w:p>
    <w:p w14:paraId="75E5F072" w14:textId="77777777" w:rsidR="00CF0E3D" w:rsidRDefault="00CF0E3D" w:rsidP="00CF0E3D">
      <w:pPr>
        <w:pStyle w:val="paragraph"/>
      </w:pPr>
      <w:r>
        <w:tab/>
        <w:t>(b)</w:t>
      </w:r>
      <w:r>
        <w:tab/>
        <w:t>any other matter referred to the Committee by the Chair.</w:t>
      </w:r>
    </w:p>
    <w:p w14:paraId="11463E0D" w14:textId="60B91120" w:rsidR="00CF0E3D" w:rsidRDefault="00CF0E3D" w:rsidP="00CF0E3D">
      <w:pPr>
        <w:pStyle w:val="ActHead5"/>
      </w:pPr>
      <w:bookmarkStart w:id="497" w:name="_Toc11771687"/>
      <w:bookmarkStart w:id="498" w:name="_Toc74916272"/>
      <w:r>
        <w:t xml:space="preserve">8.4  Appointment to Data Standards Advisory </w:t>
      </w:r>
      <w:bookmarkEnd w:id="497"/>
      <w:r w:rsidR="00C144A3">
        <w:t>Committee</w:t>
      </w:r>
      <w:bookmarkEnd w:id="498"/>
    </w:p>
    <w:p w14:paraId="4EC73D48" w14:textId="77777777" w:rsidR="00CF0E3D" w:rsidRPr="000C3240" w:rsidRDefault="00CF0E3D" w:rsidP="00CF0E3D">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The Data Standards Chair:</w:t>
      </w:r>
    </w:p>
    <w:p w14:paraId="4C86D4B6" w14:textId="77F11664" w:rsidR="00CF0E3D" w:rsidRDefault="00CF0E3D" w:rsidP="00CF0E3D">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 xml:space="preserve">must appoint to </w:t>
      </w:r>
      <w:r w:rsidR="00DD6B28">
        <w:t xml:space="preserve">  </w:t>
      </w:r>
      <w:r w:rsidR="00DD6B28" w:rsidRPr="007E7FBF">
        <w:t xml:space="preserve">the Data </w:t>
      </w:r>
      <w:r w:rsidRPr="000C3240">
        <w:rPr>
          <w:color w:val="000000" w:themeColor="text1"/>
        </w:rPr>
        <w:t xml:space="preserve">Standards Advisory </w:t>
      </w:r>
      <w:r>
        <w:rPr>
          <w:color w:val="000000" w:themeColor="text1"/>
        </w:rPr>
        <w:t>Committee:</w:t>
      </w:r>
    </w:p>
    <w:p w14:paraId="6B9B36FC" w14:textId="77777777" w:rsidR="00CF0E3D" w:rsidRPr="00E53912" w:rsidRDefault="00CF0E3D" w:rsidP="00CF0E3D">
      <w:pPr>
        <w:pStyle w:val="paragraphsub"/>
        <w:rPr>
          <w:color w:val="000000" w:themeColor="text1"/>
        </w:rPr>
      </w:pPr>
      <w:r w:rsidRPr="00E53912">
        <w:rPr>
          <w:color w:val="000000" w:themeColor="text1"/>
        </w:rPr>
        <w:tab/>
      </w:r>
      <w:r>
        <w:rPr>
          <w:color w:val="000000" w:themeColor="text1"/>
        </w:rPr>
        <w:t>(i)</w:t>
      </w:r>
      <w:r w:rsidRPr="00E53912">
        <w:rPr>
          <w:color w:val="000000" w:themeColor="text1"/>
        </w:rPr>
        <w:tab/>
        <w:t>1 or more consumer representatives; and</w:t>
      </w:r>
    </w:p>
    <w:p w14:paraId="3C995ED4" w14:textId="77777777" w:rsidR="00CF0E3D" w:rsidRPr="00E53912" w:rsidRDefault="00CF0E3D" w:rsidP="00CF0E3D">
      <w:pPr>
        <w:pStyle w:val="paragraphsub"/>
        <w:rPr>
          <w:color w:val="000000" w:themeColor="text1"/>
        </w:rPr>
      </w:pPr>
      <w:r w:rsidRPr="00E53912">
        <w:rPr>
          <w:color w:val="000000" w:themeColor="text1"/>
        </w:rPr>
        <w:tab/>
      </w:r>
      <w:r>
        <w:rPr>
          <w:color w:val="000000" w:themeColor="text1"/>
        </w:rPr>
        <w:t>(ii)</w:t>
      </w:r>
      <w:r w:rsidRPr="00E53912">
        <w:rPr>
          <w:color w:val="000000" w:themeColor="text1"/>
        </w:rPr>
        <w:tab/>
        <w:t>1 or more privacy representatives; and</w:t>
      </w:r>
    </w:p>
    <w:p w14:paraId="62D7B977" w14:textId="77777777" w:rsidR="00CF0E3D" w:rsidRDefault="00CF0E3D" w:rsidP="00CF0E3D">
      <w:pPr>
        <w:pStyle w:val="paragraph"/>
        <w:rPr>
          <w:color w:val="000000" w:themeColor="text1"/>
        </w:rPr>
      </w:pPr>
      <w:r w:rsidRPr="000C3240">
        <w:rPr>
          <w:color w:val="000000" w:themeColor="text1"/>
        </w:rPr>
        <w:tab/>
      </w:r>
      <w:r>
        <w:rPr>
          <w:color w:val="000000" w:themeColor="text1"/>
        </w:rPr>
        <w:t>(b)</w:t>
      </w:r>
      <w:r w:rsidRPr="000C3240">
        <w:rPr>
          <w:color w:val="000000" w:themeColor="text1"/>
        </w:rPr>
        <w:tab/>
        <w:t xml:space="preserve">may appoint others to the </w:t>
      </w:r>
      <w:r>
        <w:rPr>
          <w:color w:val="000000" w:themeColor="text1"/>
        </w:rPr>
        <w:t>Committee</w:t>
      </w:r>
      <w:r w:rsidRPr="000C3240">
        <w:rPr>
          <w:color w:val="000000" w:themeColor="text1"/>
        </w:rPr>
        <w:t xml:space="preserve"> as the Chair sees fit.</w:t>
      </w:r>
    </w:p>
    <w:p w14:paraId="08F2EAE4" w14:textId="77777777" w:rsidR="00CF0E3D" w:rsidRPr="000C3240" w:rsidRDefault="00CF0E3D" w:rsidP="00CF0E3D">
      <w:pPr>
        <w:pStyle w:val="subsection"/>
      </w:pPr>
      <w:r>
        <w:tab/>
        <w:t>(2)</w:t>
      </w:r>
      <w:r>
        <w:tab/>
        <w:t>An appointment must be in writing</w:t>
      </w:r>
      <w:r>
        <w:rPr>
          <w:color w:val="000000" w:themeColor="text1"/>
        </w:rPr>
        <w:t>.</w:t>
      </w:r>
    </w:p>
    <w:p w14:paraId="6A29EC71" w14:textId="77777777" w:rsidR="00CF0E3D" w:rsidRDefault="00CF0E3D" w:rsidP="00CF0E3D">
      <w:pPr>
        <w:pStyle w:val="subsection"/>
      </w:pPr>
      <w:r>
        <w:tab/>
        <w:t>(3)</w:t>
      </w:r>
      <w:r>
        <w:tab/>
        <w:t xml:space="preserve">The Chair may determine </w:t>
      </w:r>
      <w:r w:rsidRPr="00963BBD">
        <w:t xml:space="preserve">the terms and conditions of </w:t>
      </w:r>
      <w:r>
        <w:t>an</w:t>
      </w:r>
      <w:r w:rsidRPr="00963BBD">
        <w:t xml:space="preserve"> appointment</w:t>
      </w:r>
      <w:r>
        <w:t xml:space="preserve"> in writing</w:t>
      </w:r>
      <w:r w:rsidRPr="00963BBD">
        <w:t>.</w:t>
      </w:r>
    </w:p>
    <w:p w14:paraId="65608D0E" w14:textId="77777777" w:rsidR="00CF0E3D" w:rsidRDefault="00CF0E3D" w:rsidP="00CF0E3D">
      <w:pPr>
        <w:pStyle w:val="notetext"/>
        <w:rPr>
          <w:iCs/>
        </w:rPr>
      </w:pPr>
      <w:r>
        <w:t>Note:</w:t>
      </w:r>
      <w:r>
        <w:tab/>
        <w:t xml:space="preserve">An appointee may be reappointed: see section 33AA of the </w:t>
      </w:r>
      <w:r>
        <w:rPr>
          <w:i/>
        </w:rPr>
        <w:t xml:space="preserve">Act Interpretation Act 1901 </w:t>
      </w:r>
      <w:r>
        <w:rPr>
          <w:iCs/>
        </w:rPr>
        <w:t xml:space="preserve">and paragraph 13(1)(a) of the </w:t>
      </w:r>
      <w:r>
        <w:rPr>
          <w:i/>
          <w:iCs/>
        </w:rPr>
        <w:t>Legislation Act 2003</w:t>
      </w:r>
      <w:r>
        <w:rPr>
          <w:iCs/>
        </w:rPr>
        <w:t>.</w:t>
      </w:r>
    </w:p>
    <w:p w14:paraId="44104267" w14:textId="77777777" w:rsidR="00CF0E3D" w:rsidRDefault="00CF0E3D" w:rsidP="00CF0E3D">
      <w:pPr>
        <w:pStyle w:val="ActHead5"/>
      </w:pPr>
      <w:bookmarkStart w:id="499" w:name="_Toc11771688"/>
      <w:bookmarkStart w:id="500" w:name="_Toc74916273"/>
      <w:r>
        <w:t>8.5  Termination of appointment and resignation</w:t>
      </w:r>
      <w:bookmarkEnd w:id="499"/>
      <w:bookmarkEnd w:id="500"/>
    </w:p>
    <w:p w14:paraId="3ED04DF9" w14:textId="2F7E2241" w:rsidR="00CF0E3D" w:rsidRPr="00963BBD" w:rsidRDefault="00CF0E3D" w:rsidP="00CF0E3D">
      <w:pPr>
        <w:pStyle w:val="subsection"/>
      </w:pPr>
      <w:r>
        <w:tab/>
        <w:t>(1)</w:t>
      </w:r>
      <w:r>
        <w:tab/>
      </w:r>
      <w:r w:rsidRPr="00963BBD">
        <w:t>The</w:t>
      </w:r>
      <w:r w:rsidRPr="0066619D">
        <w:rPr>
          <w:color w:val="000000" w:themeColor="text1"/>
        </w:rPr>
        <w:t xml:space="preserve"> </w:t>
      </w:r>
      <w:r w:rsidRPr="000C3240">
        <w:rPr>
          <w:color w:val="000000" w:themeColor="text1"/>
        </w:rPr>
        <w:t>Data Standards</w:t>
      </w:r>
      <w:r w:rsidRPr="00963BBD">
        <w:t xml:space="preserve"> </w:t>
      </w:r>
      <w:r>
        <w:t>Chair</w:t>
      </w:r>
      <w:r w:rsidRPr="00963BBD">
        <w:t xml:space="preserve"> may, </w:t>
      </w:r>
      <w:r>
        <w:t>by writing</w:t>
      </w:r>
      <w:r w:rsidRPr="00963BBD">
        <w:t xml:space="preserve">, terminate </w:t>
      </w:r>
      <w:r>
        <w:t>an</w:t>
      </w:r>
      <w:r w:rsidRPr="00963BBD">
        <w:t xml:space="preserve"> appointment</w:t>
      </w:r>
      <w:r>
        <w:t xml:space="preserve"> to </w:t>
      </w:r>
      <w:r w:rsidR="00DD6B28">
        <w:t xml:space="preserve">  </w:t>
      </w:r>
      <w:r w:rsidR="00DD6B28" w:rsidRPr="007E7FBF">
        <w:t xml:space="preserve">the Data </w:t>
      </w:r>
      <w:r>
        <w:t>Standards Advisory Committee</w:t>
      </w:r>
      <w:r w:rsidRPr="00963BBD">
        <w:t xml:space="preserve"> at any time.</w:t>
      </w:r>
    </w:p>
    <w:p w14:paraId="584C1A27" w14:textId="14F4ECF6" w:rsidR="00CF0E3D" w:rsidRDefault="00CF0E3D" w:rsidP="00CF0E3D">
      <w:pPr>
        <w:pStyle w:val="subsection"/>
      </w:pPr>
      <w:r>
        <w:tab/>
        <w:t>(2)</w:t>
      </w:r>
      <w:r>
        <w:tab/>
      </w:r>
      <w:r w:rsidRPr="00963BBD">
        <w:t xml:space="preserve">An appointee </w:t>
      </w:r>
      <w:r>
        <w:t xml:space="preserve">to </w:t>
      </w:r>
      <w:r w:rsidRPr="00963BBD">
        <w:t xml:space="preserve"> </w:t>
      </w:r>
      <w:r w:rsidR="00DD6B28" w:rsidRPr="007E7FBF">
        <w:t>the Committee</w:t>
      </w:r>
      <w:r w:rsidR="00DD6B28" w:rsidRPr="00963BBD">
        <w:t xml:space="preserve"> </w:t>
      </w:r>
      <w:r w:rsidRPr="00963BBD">
        <w:t xml:space="preserve">may resign his or her appointment by giving the </w:t>
      </w:r>
      <w:r>
        <w:t>Chair</w:t>
      </w:r>
      <w:r w:rsidRPr="00963BBD">
        <w:t xml:space="preserve"> a written resignation.</w:t>
      </w:r>
    </w:p>
    <w:p w14:paraId="7A943C0E" w14:textId="77777777" w:rsidR="00CF0E3D" w:rsidRPr="00963BBD" w:rsidRDefault="00CF0E3D" w:rsidP="00CF0E3D">
      <w:pPr>
        <w:pStyle w:val="subsection"/>
      </w:pPr>
      <w:r>
        <w:tab/>
        <w:t>(3)</w:t>
      </w:r>
      <w:r>
        <w:tab/>
      </w:r>
      <w:r w:rsidRPr="00963BBD">
        <w:t xml:space="preserve">The resignation takes effect on the day it is received by the </w:t>
      </w:r>
      <w:r>
        <w:t xml:space="preserve">Chair </w:t>
      </w:r>
      <w:r w:rsidRPr="00963BBD">
        <w:t>or, if a later day is specified in the resignation, on that later day.</w:t>
      </w:r>
    </w:p>
    <w:p w14:paraId="23D0E8E3" w14:textId="77777777" w:rsidR="00CF0E3D" w:rsidRDefault="00CF0E3D" w:rsidP="00CF0E3D">
      <w:pPr>
        <w:pStyle w:val="ActHead5"/>
      </w:pPr>
      <w:bookmarkStart w:id="501" w:name="_Toc518546481"/>
      <w:bookmarkStart w:id="502" w:name="_Toc11771689"/>
      <w:bookmarkStart w:id="503" w:name="_Toc74916274"/>
      <w:r>
        <w:t xml:space="preserve">8.6  </w:t>
      </w:r>
      <w:r w:rsidRPr="00497605">
        <w:t xml:space="preserve">Procedural </w:t>
      </w:r>
      <w:bookmarkEnd w:id="501"/>
      <w:r>
        <w:t>directions</w:t>
      </w:r>
      <w:bookmarkEnd w:id="502"/>
      <w:bookmarkEnd w:id="503"/>
    </w:p>
    <w:p w14:paraId="2083136D" w14:textId="3173F383" w:rsidR="00CF0E3D" w:rsidRPr="00497605" w:rsidRDefault="00CF0E3D" w:rsidP="00CF0E3D">
      <w:pPr>
        <w:pStyle w:val="subsection"/>
      </w:pPr>
      <w:r>
        <w:tab/>
      </w:r>
      <w:r>
        <w:tab/>
      </w:r>
      <w:r w:rsidRPr="00497605">
        <w:t>The</w:t>
      </w:r>
      <w:r>
        <w:t xml:space="preserve"> Data Standards Chair </w:t>
      </w:r>
      <w:r w:rsidRPr="00497605">
        <w:t xml:space="preserve">may give </w:t>
      </w:r>
      <w:r w:rsidR="00DD6B28">
        <w:t xml:space="preserve">  </w:t>
      </w:r>
      <w:r w:rsidR="00DD6B28" w:rsidRPr="007E7FBF">
        <w:t xml:space="preserve">the Data </w:t>
      </w:r>
      <w:r>
        <w:t xml:space="preserve">Standards Advisory Committee written </w:t>
      </w:r>
      <w:r w:rsidRPr="00497605">
        <w:t>directions as to:</w:t>
      </w:r>
    </w:p>
    <w:p w14:paraId="5F8CF099" w14:textId="77777777" w:rsidR="00CF0E3D" w:rsidRPr="00497605" w:rsidRDefault="00CF0E3D" w:rsidP="00CF0E3D">
      <w:pPr>
        <w:pStyle w:val="paragraph"/>
      </w:pPr>
      <w:r>
        <w:tab/>
        <w:t>(a)</w:t>
      </w:r>
      <w:r>
        <w:tab/>
      </w:r>
      <w:r w:rsidRPr="00497605">
        <w:t xml:space="preserve">the way in which the </w:t>
      </w:r>
      <w:r>
        <w:t>Committee</w:t>
      </w:r>
      <w:r w:rsidRPr="00497605">
        <w:t xml:space="preserve"> is to carry out its functions; and</w:t>
      </w:r>
    </w:p>
    <w:p w14:paraId="3CF6F9AB" w14:textId="77777777" w:rsidR="00CF0E3D" w:rsidRPr="00497605" w:rsidRDefault="00CF0E3D" w:rsidP="00CF0E3D">
      <w:pPr>
        <w:pStyle w:val="paragraph"/>
      </w:pPr>
      <w:r>
        <w:tab/>
        <w:t>(b)</w:t>
      </w:r>
      <w:r>
        <w:tab/>
      </w:r>
      <w:r w:rsidRPr="00497605">
        <w:t>procedures to be followed in relation to meetings.</w:t>
      </w:r>
    </w:p>
    <w:p w14:paraId="69D4F806" w14:textId="77777777" w:rsidR="00CF0E3D" w:rsidRPr="00497605" w:rsidRDefault="00CF0E3D" w:rsidP="00CF0E3D">
      <w:pPr>
        <w:pStyle w:val="notetext"/>
      </w:pPr>
      <w:r>
        <w:t>Note:</w:t>
      </w:r>
      <w:r>
        <w:tab/>
      </w:r>
      <w:r w:rsidRPr="00497605">
        <w:t>For variation and revocation, see subsection 33(3) of the </w:t>
      </w:r>
      <w:r w:rsidRPr="00497605">
        <w:rPr>
          <w:i/>
          <w:iCs/>
        </w:rPr>
        <w:t>Acts Interpretation Act 1901</w:t>
      </w:r>
      <w:r w:rsidRPr="00BD5418">
        <w:rPr>
          <w:iCs/>
        </w:rPr>
        <w:t xml:space="preserve"> </w:t>
      </w:r>
      <w:r>
        <w:rPr>
          <w:iCs/>
        </w:rPr>
        <w:t xml:space="preserve">and paragraph 13(1)(a) of the </w:t>
      </w:r>
      <w:r>
        <w:rPr>
          <w:i/>
          <w:iCs/>
        </w:rPr>
        <w:t>Legislation Act 2003</w:t>
      </w:r>
      <w:r w:rsidRPr="00497605">
        <w:t>.</w:t>
      </w:r>
    </w:p>
    <w:p w14:paraId="2A3BF564" w14:textId="77777777" w:rsidR="00CF0E3D" w:rsidRDefault="00CF0E3D" w:rsidP="00CF0E3D">
      <w:pPr>
        <w:pStyle w:val="ActHead5"/>
      </w:pPr>
      <w:bookmarkStart w:id="504" w:name="_Toc11771690"/>
      <w:bookmarkStart w:id="505" w:name="_Toc74916275"/>
      <w:r>
        <w:t>8.7  Observers</w:t>
      </w:r>
      <w:bookmarkEnd w:id="504"/>
      <w:bookmarkEnd w:id="505"/>
    </w:p>
    <w:p w14:paraId="5941D6CB" w14:textId="77777777" w:rsidR="00CF0E3D" w:rsidRDefault="00CF0E3D" w:rsidP="00CF0E3D">
      <w:pPr>
        <w:pStyle w:val="subsection"/>
      </w:pPr>
      <w:r>
        <w:tab/>
        <w:t>(1)</w:t>
      </w:r>
      <w:r>
        <w:tab/>
      </w:r>
      <w:r w:rsidRPr="00B24FE2">
        <w:t xml:space="preserve">Any </w:t>
      </w:r>
      <w:r>
        <w:t>of the following:</w:t>
      </w:r>
    </w:p>
    <w:p w14:paraId="4DD9FEF0" w14:textId="77777777" w:rsidR="00CF0E3D" w:rsidRPr="003367E7" w:rsidRDefault="00CF0E3D" w:rsidP="00CF0E3D">
      <w:pPr>
        <w:pStyle w:val="paragraph"/>
      </w:pPr>
      <w:r>
        <w:tab/>
        <w:t>(a)</w:t>
      </w:r>
      <w:r>
        <w:tab/>
        <w:t>the Commission;</w:t>
      </w:r>
    </w:p>
    <w:p w14:paraId="3F162B2F" w14:textId="77777777" w:rsidR="00CF0E3D" w:rsidRDefault="00CF0E3D" w:rsidP="00CF0E3D">
      <w:pPr>
        <w:pStyle w:val="paragraph"/>
      </w:pPr>
      <w:r>
        <w:tab/>
        <w:t>(b)</w:t>
      </w:r>
      <w:r>
        <w:tab/>
        <w:t>the Information Commissioner;</w:t>
      </w:r>
    </w:p>
    <w:p w14:paraId="5083766D" w14:textId="77777777" w:rsidR="00CF0E3D" w:rsidRPr="00BD2AB7" w:rsidRDefault="00CF0E3D" w:rsidP="00CF0E3D">
      <w:pPr>
        <w:pStyle w:val="paragraph"/>
      </w:pPr>
      <w:r>
        <w:tab/>
        <w:t>(c)</w:t>
      </w:r>
      <w:r w:rsidRPr="00BD2AB7">
        <w:tab/>
        <w:t>the Department of the Treasury;</w:t>
      </w:r>
    </w:p>
    <w:p w14:paraId="5E6310F5" w14:textId="0440A044" w:rsidR="00CF0E3D" w:rsidRDefault="00CF0E3D" w:rsidP="00CF0E3D">
      <w:pPr>
        <w:pStyle w:val="subsection"/>
        <w:spacing w:before="40"/>
      </w:pPr>
      <w:r>
        <w:tab/>
      </w:r>
      <w:r>
        <w:tab/>
        <w:t xml:space="preserve">may elect to be an observer on </w:t>
      </w:r>
      <w:r w:rsidR="00DD6B28">
        <w:t xml:space="preserve">  </w:t>
      </w:r>
      <w:r w:rsidR="00DD6B28" w:rsidRPr="007E7FBF">
        <w:t xml:space="preserve">the Data </w:t>
      </w:r>
      <w:r>
        <w:t>Standards Advisory Committee.</w:t>
      </w:r>
    </w:p>
    <w:p w14:paraId="198E6D49" w14:textId="3E50FF02" w:rsidR="00CF0E3D" w:rsidRDefault="00CF0E3D" w:rsidP="00CF0E3D">
      <w:pPr>
        <w:pStyle w:val="subsection"/>
      </w:pPr>
      <w:r>
        <w:tab/>
        <w:t>(2)</w:t>
      </w:r>
      <w:r>
        <w:tab/>
        <w:t xml:space="preserve">The Data Standards Chair may invite any other person to act as an observer on </w:t>
      </w:r>
      <w:r w:rsidR="00DD6B28" w:rsidRPr="00963BBD">
        <w:t xml:space="preserve"> </w:t>
      </w:r>
      <w:r w:rsidR="00DD6B28" w:rsidRPr="007E7FBF">
        <w:t>the Committee</w:t>
      </w:r>
      <w:r>
        <w:t>.</w:t>
      </w:r>
    </w:p>
    <w:p w14:paraId="08033AAD" w14:textId="77777777" w:rsidR="00CF0E3D" w:rsidRDefault="00CF0E3D" w:rsidP="00CF0E3D">
      <w:pPr>
        <w:pStyle w:val="ActHead3"/>
        <w:pageBreakBefore/>
      </w:pPr>
      <w:bookmarkStart w:id="506" w:name="_Toc11771691"/>
      <w:bookmarkStart w:id="507" w:name="_Toc74916276"/>
      <w:r>
        <w:t>Division 8.3—Reviewing, developing and amending data standards</w:t>
      </w:r>
      <w:bookmarkEnd w:id="506"/>
      <w:bookmarkEnd w:id="507"/>
    </w:p>
    <w:p w14:paraId="7EEEB850" w14:textId="77777777" w:rsidR="00CF0E3D" w:rsidRPr="00964EDA" w:rsidRDefault="00CF0E3D" w:rsidP="00CF0E3D">
      <w:pPr>
        <w:pStyle w:val="ActHead5"/>
        <w:rPr>
          <w:color w:val="000000"/>
        </w:rPr>
      </w:pPr>
      <w:bookmarkStart w:id="508" w:name="_Toc11771692"/>
      <w:bookmarkStart w:id="509" w:name="_Toc74916277"/>
      <w:r>
        <w:rPr>
          <w:color w:val="000000"/>
        </w:rPr>
        <w:t>8.8</w:t>
      </w:r>
      <w:r w:rsidRPr="00964EDA">
        <w:rPr>
          <w:color w:val="000000"/>
        </w:rPr>
        <w:t xml:space="preserve">  Notification when developing or amending data standards</w:t>
      </w:r>
      <w:bookmarkEnd w:id="508"/>
      <w:bookmarkEnd w:id="509"/>
    </w:p>
    <w:p w14:paraId="2721E17B" w14:textId="77777777" w:rsidR="00CF0E3D" w:rsidRPr="00964EDA" w:rsidRDefault="00CF0E3D" w:rsidP="00CF0E3D">
      <w:pPr>
        <w:pStyle w:val="subsection"/>
        <w:rPr>
          <w:color w:val="000000"/>
        </w:rPr>
      </w:pPr>
      <w:r w:rsidRPr="00964EDA">
        <w:rPr>
          <w:color w:val="000000"/>
        </w:rPr>
        <w:tab/>
      </w:r>
      <w:r>
        <w:rPr>
          <w:color w:val="000000"/>
        </w:rPr>
        <w:t>(1)</w:t>
      </w:r>
      <w:r w:rsidRPr="00964EDA">
        <w:rPr>
          <w:color w:val="000000"/>
        </w:rPr>
        <w:tab/>
      </w:r>
      <w:r>
        <w:rPr>
          <w:color w:val="000000"/>
        </w:rPr>
        <w:t>Subject to subrule (2), t</w:t>
      </w:r>
      <w:r w:rsidRPr="00964EDA">
        <w:rPr>
          <w:color w:val="000000"/>
        </w:rPr>
        <w:t>he Data Standards Chair must notify the Commission</w:t>
      </w:r>
      <w:r>
        <w:rPr>
          <w:color w:val="000000"/>
        </w:rPr>
        <w:t xml:space="preserve"> </w:t>
      </w:r>
      <w:r w:rsidRPr="00CB249E">
        <w:t>and the Information Commissioner</w:t>
      </w:r>
      <w:r w:rsidRPr="00964EDA">
        <w:rPr>
          <w:color w:val="000000"/>
        </w:rPr>
        <w:t>, in writing, of a proposal to make or amend a data standard.</w:t>
      </w:r>
    </w:p>
    <w:p w14:paraId="59D3EE72" w14:textId="77777777" w:rsidR="00CF0E3D" w:rsidRPr="00964EDA" w:rsidRDefault="00CF0E3D" w:rsidP="00CF0E3D">
      <w:pPr>
        <w:pStyle w:val="subsection"/>
        <w:rPr>
          <w:color w:val="000000"/>
        </w:rPr>
      </w:pPr>
      <w:r w:rsidRPr="00964EDA">
        <w:rPr>
          <w:color w:val="000000"/>
        </w:rPr>
        <w:tab/>
      </w:r>
      <w:r>
        <w:rPr>
          <w:color w:val="000000"/>
        </w:rPr>
        <w:t>(2)</w:t>
      </w:r>
      <w:r w:rsidRPr="00964EDA">
        <w:rPr>
          <w:color w:val="000000"/>
        </w:rPr>
        <w:tab/>
        <w:t xml:space="preserve">If the standard or amendment is urgent, the </w:t>
      </w:r>
      <w:r>
        <w:rPr>
          <w:color w:val="000000"/>
        </w:rPr>
        <w:t xml:space="preserve">Chair may instead notify the Commission </w:t>
      </w:r>
      <w:r w:rsidRPr="00CB249E">
        <w:t xml:space="preserve">and the Information Commissioner </w:t>
      </w:r>
      <w:r w:rsidRPr="00964EDA">
        <w:rPr>
          <w:color w:val="000000"/>
        </w:rPr>
        <w:t xml:space="preserve">after </w:t>
      </w:r>
      <w:r>
        <w:rPr>
          <w:color w:val="000000"/>
        </w:rPr>
        <w:t xml:space="preserve">it </w:t>
      </w:r>
      <w:r w:rsidRPr="00964EDA">
        <w:rPr>
          <w:color w:val="000000"/>
        </w:rPr>
        <w:t>has been made.</w:t>
      </w:r>
    </w:p>
    <w:p w14:paraId="326F5F2F" w14:textId="77777777" w:rsidR="00CF0E3D" w:rsidRPr="00964EDA" w:rsidRDefault="00CF0E3D" w:rsidP="00CF0E3D">
      <w:pPr>
        <w:pStyle w:val="subsection"/>
        <w:rPr>
          <w:color w:val="000000"/>
        </w:rPr>
      </w:pPr>
      <w:r w:rsidRPr="00964EDA">
        <w:rPr>
          <w:color w:val="000000"/>
        </w:rPr>
        <w:tab/>
      </w:r>
      <w:r>
        <w:rPr>
          <w:color w:val="000000"/>
        </w:rPr>
        <w:t>(3)</w:t>
      </w:r>
      <w:r w:rsidRPr="00964EDA">
        <w:rPr>
          <w:color w:val="000000"/>
        </w:rPr>
        <w:tab/>
        <w:t xml:space="preserve">A failure to comply with this </w:t>
      </w:r>
      <w:r>
        <w:rPr>
          <w:color w:val="000000"/>
        </w:rPr>
        <w:t>rule</w:t>
      </w:r>
      <w:r w:rsidRPr="00964EDA">
        <w:rPr>
          <w:color w:val="000000"/>
        </w:rPr>
        <w:t xml:space="preserve"> does not affect the validity or enforceability of a data standard or an amendment to a data standard.</w:t>
      </w:r>
    </w:p>
    <w:p w14:paraId="75A36AC2" w14:textId="77777777" w:rsidR="00CF0E3D" w:rsidRDefault="00CF0E3D" w:rsidP="00CF0E3D">
      <w:pPr>
        <w:pStyle w:val="ActHead5"/>
      </w:pPr>
      <w:bookmarkStart w:id="510" w:name="_Toc11771693"/>
      <w:bookmarkStart w:id="511" w:name="_Toc74916278"/>
      <w:r>
        <w:t>8.9  Consultation when developing or amending data standards</w:t>
      </w:r>
      <w:bookmarkEnd w:id="510"/>
      <w:bookmarkEnd w:id="511"/>
    </w:p>
    <w:p w14:paraId="194388C5" w14:textId="77777777" w:rsidR="00CF0E3D" w:rsidRDefault="00CF0E3D" w:rsidP="00CF0E3D">
      <w:pPr>
        <w:pStyle w:val="subsection"/>
      </w:pPr>
      <w:r>
        <w:tab/>
        <w:t>(1)</w:t>
      </w:r>
      <w:r>
        <w:tab/>
        <w:t xml:space="preserve">This rule does not apply in relation to: </w:t>
      </w:r>
    </w:p>
    <w:p w14:paraId="4EE29D72" w14:textId="77777777" w:rsidR="00CF0E3D" w:rsidRDefault="00CF0E3D" w:rsidP="00CF0E3D">
      <w:pPr>
        <w:pStyle w:val="paragraph"/>
      </w:pPr>
      <w:r>
        <w:tab/>
        <w:t>(a)</w:t>
      </w:r>
      <w:r>
        <w:tab/>
        <w:t>a data standard or an amendment to a data standard that is made before 1 August 2020</w:t>
      </w:r>
      <w:r w:rsidRPr="00BA3E85">
        <w:t>;</w:t>
      </w:r>
      <w:r>
        <w:t xml:space="preserve"> or</w:t>
      </w:r>
    </w:p>
    <w:p w14:paraId="66BEFAE0" w14:textId="77777777" w:rsidR="00CF0E3D" w:rsidRPr="00BA3E85" w:rsidRDefault="00CF0E3D" w:rsidP="00CF0E3D">
      <w:pPr>
        <w:pStyle w:val="paragraph"/>
        <w:rPr>
          <w:color w:val="000000"/>
        </w:rPr>
      </w:pPr>
      <w:r>
        <w:tab/>
        <w:t>(b)</w:t>
      </w:r>
      <w:r>
        <w:tab/>
      </w:r>
      <w:r w:rsidRPr="00BA3E85">
        <w:t>an amendment to a data standard that is, in the opinion of the Data Standards Chair, minor or urgent</w:t>
      </w:r>
      <w:r>
        <w:t>.</w:t>
      </w:r>
    </w:p>
    <w:p w14:paraId="47AB42C2" w14:textId="77777777" w:rsidR="00CF0E3D" w:rsidRDefault="00CF0E3D" w:rsidP="00CF0E3D">
      <w:pPr>
        <w:pStyle w:val="subsection"/>
      </w:pPr>
      <w:r>
        <w:tab/>
        <w:t>(2)</w:t>
      </w:r>
      <w:r>
        <w:tab/>
        <w:t>Before making or amending a data standard, the Data Standards Chair must:</w:t>
      </w:r>
    </w:p>
    <w:p w14:paraId="102CEF16" w14:textId="77777777" w:rsidR="00CF0E3D" w:rsidRDefault="00CF0E3D" w:rsidP="00CF0E3D">
      <w:pPr>
        <w:pStyle w:val="paragraph"/>
      </w:pPr>
      <w:r>
        <w:tab/>
        <w:t>(a)</w:t>
      </w:r>
      <w:r>
        <w:tab/>
        <w:t xml:space="preserve">prepare a draft of the proposed standard or amendment (the </w:t>
      </w:r>
      <w:r>
        <w:rPr>
          <w:b/>
          <w:i/>
        </w:rPr>
        <w:t>consultation draft</w:t>
      </w:r>
      <w:r>
        <w:t>); and</w:t>
      </w:r>
    </w:p>
    <w:p w14:paraId="26DCD3F8" w14:textId="77777777" w:rsidR="00CF0E3D" w:rsidRPr="00964EDA" w:rsidRDefault="00CF0E3D" w:rsidP="00CF0E3D">
      <w:pPr>
        <w:pStyle w:val="paragraph"/>
        <w:rPr>
          <w:color w:val="000000"/>
        </w:rPr>
      </w:pPr>
      <w:r>
        <w:tab/>
        <w:t>(b)</w:t>
      </w:r>
      <w:r>
        <w:tab/>
        <w:t>consult with</w:t>
      </w:r>
      <w:r w:rsidRPr="00964EDA">
        <w:rPr>
          <w:color w:val="000000"/>
        </w:rPr>
        <w:t>:</w:t>
      </w:r>
    </w:p>
    <w:p w14:paraId="00BC94AF" w14:textId="77777777" w:rsidR="00CF0E3D" w:rsidRPr="00964EDA" w:rsidRDefault="00CF0E3D" w:rsidP="00CF0E3D">
      <w:pPr>
        <w:pStyle w:val="paragraphsub"/>
        <w:rPr>
          <w:color w:val="000000"/>
        </w:rPr>
      </w:pPr>
      <w:r w:rsidRPr="00964EDA">
        <w:rPr>
          <w:color w:val="000000"/>
        </w:rPr>
        <w:tab/>
      </w:r>
      <w:r>
        <w:rPr>
          <w:color w:val="000000"/>
        </w:rPr>
        <w:t>(i)</w:t>
      </w:r>
      <w:r w:rsidRPr="00964EDA">
        <w:rPr>
          <w:color w:val="000000"/>
        </w:rPr>
        <w:tab/>
      </w:r>
      <w:r w:rsidRPr="00CB23DE">
        <w:t xml:space="preserve">the Data Standards Advisory </w:t>
      </w:r>
      <w:r>
        <w:t>Committee</w:t>
      </w:r>
      <w:r w:rsidRPr="00964EDA">
        <w:rPr>
          <w:color w:val="000000"/>
        </w:rPr>
        <w:t>; and</w:t>
      </w:r>
    </w:p>
    <w:p w14:paraId="5DA0AAE8" w14:textId="77777777" w:rsidR="00CF0E3D" w:rsidRPr="00964EDA" w:rsidRDefault="00CF0E3D" w:rsidP="00CF0E3D">
      <w:pPr>
        <w:pStyle w:val="paragraphsub"/>
        <w:rPr>
          <w:color w:val="000000"/>
        </w:rPr>
      </w:pPr>
      <w:r w:rsidRPr="00964EDA">
        <w:rPr>
          <w:color w:val="000000"/>
        </w:rPr>
        <w:tab/>
      </w:r>
      <w:r>
        <w:rPr>
          <w:color w:val="000000"/>
        </w:rPr>
        <w:t>(ii)</w:t>
      </w:r>
      <w:r w:rsidRPr="00964EDA">
        <w:rPr>
          <w:color w:val="000000"/>
        </w:rPr>
        <w:tab/>
        <w:t>the Commission; and</w:t>
      </w:r>
    </w:p>
    <w:p w14:paraId="77C95BFF" w14:textId="77777777" w:rsidR="00CF0E3D" w:rsidRPr="00964EDA" w:rsidRDefault="00CF0E3D" w:rsidP="00CF0E3D">
      <w:pPr>
        <w:pStyle w:val="paragraphsub"/>
        <w:rPr>
          <w:color w:val="000000"/>
        </w:rPr>
      </w:pPr>
      <w:r w:rsidRPr="00964EDA">
        <w:rPr>
          <w:color w:val="000000"/>
        </w:rPr>
        <w:tab/>
      </w:r>
      <w:r>
        <w:rPr>
          <w:color w:val="000000"/>
        </w:rPr>
        <w:t>(iii)</w:t>
      </w:r>
      <w:r w:rsidRPr="00964EDA">
        <w:rPr>
          <w:color w:val="000000"/>
        </w:rPr>
        <w:tab/>
        <w:t>the Information Commissioner;</w:t>
      </w:r>
    </w:p>
    <w:p w14:paraId="02DB4984" w14:textId="77777777" w:rsidR="00CF0E3D" w:rsidRDefault="00CF0E3D" w:rsidP="00CF0E3D">
      <w:pPr>
        <w:pStyle w:val="paragraph"/>
      </w:pPr>
      <w:r>
        <w:tab/>
      </w:r>
      <w:r>
        <w:tab/>
        <w:t>on the consultation draft; and</w:t>
      </w:r>
    </w:p>
    <w:p w14:paraId="319FF471" w14:textId="77777777" w:rsidR="00CF0E3D" w:rsidRDefault="00CF0E3D" w:rsidP="00CF0E3D">
      <w:pPr>
        <w:pStyle w:val="paragraph"/>
      </w:pPr>
      <w:r>
        <w:tab/>
        <w:t>(c)</w:t>
      </w:r>
      <w:r>
        <w:tab/>
        <w:t>cause the consultation draft to be published on the website of the Data Standards Body; and</w:t>
      </w:r>
    </w:p>
    <w:p w14:paraId="60716253" w14:textId="77777777" w:rsidR="00CF0E3D" w:rsidRPr="003F3AC9" w:rsidRDefault="00CF0E3D" w:rsidP="00CF0E3D">
      <w:pPr>
        <w:pStyle w:val="paragraph"/>
      </w:pPr>
      <w:r w:rsidRPr="003F3AC9">
        <w:tab/>
      </w:r>
      <w:r>
        <w:t>(d)</w:t>
      </w:r>
      <w:r w:rsidRPr="003F3AC9">
        <w:tab/>
        <w:t>invite submissions in relation to the consultation draft from interested members of the public to be made by a specified date that is no earlier than 28 days after the draft is published.</w:t>
      </w:r>
    </w:p>
    <w:p w14:paraId="78D601BC" w14:textId="77777777" w:rsidR="00CF0E3D" w:rsidRPr="003F3AC9" w:rsidRDefault="00CF0E3D" w:rsidP="00CF0E3D">
      <w:pPr>
        <w:pStyle w:val="subsection"/>
      </w:pPr>
      <w:r w:rsidRPr="003F3AC9">
        <w:tab/>
      </w:r>
      <w:r>
        <w:t>(3)</w:t>
      </w:r>
      <w:r w:rsidRPr="003F3AC9">
        <w:tab/>
        <w:t>The Data Standards Chair may extend the date for consultation.</w:t>
      </w:r>
    </w:p>
    <w:p w14:paraId="450D859A" w14:textId="77777777" w:rsidR="00CF0E3D" w:rsidRDefault="00CF0E3D" w:rsidP="00CF0E3D">
      <w:pPr>
        <w:pStyle w:val="subsection"/>
      </w:pPr>
      <w:r>
        <w:tab/>
        <w:t>(4)</w:t>
      </w:r>
      <w:r>
        <w:tab/>
        <w:t>A failure to comply with this rule does not affect the validity or enforceability of a data standard or an amendment to a data standard.</w:t>
      </w:r>
    </w:p>
    <w:p w14:paraId="32CB4BF9" w14:textId="77777777" w:rsidR="00CF0E3D" w:rsidRDefault="00CF0E3D" w:rsidP="00CF0E3D">
      <w:pPr>
        <w:pStyle w:val="ActHead5"/>
      </w:pPr>
      <w:bookmarkStart w:id="512" w:name="_Toc11771694"/>
      <w:bookmarkStart w:id="513" w:name="_Toc74916279"/>
      <w:r>
        <w:t>8.10  Matters to have regard to when making or amending data standards</w:t>
      </w:r>
      <w:bookmarkEnd w:id="512"/>
      <w:bookmarkEnd w:id="513"/>
    </w:p>
    <w:p w14:paraId="3C2E5FEE" w14:textId="77777777" w:rsidR="00CF0E3D" w:rsidRDefault="00CF0E3D" w:rsidP="00CF0E3D">
      <w:pPr>
        <w:pStyle w:val="subsection"/>
      </w:pPr>
      <w:r>
        <w:tab/>
      </w:r>
      <w:r>
        <w:tab/>
        <w:t>When making or amending a data standard, the Data Standards Chair must have regard to the following:</w:t>
      </w:r>
    </w:p>
    <w:p w14:paraId="5A230A72" w14:textId="77777777" w:rsidR="00CF0E3D" w:rsidRDefault="00CF0E3D" w:rsidP="00CF0E3D">
      <w:pPr>
        <w:pStyle w:val="paragraph"/>
      </w:pPr>
      <w:r>
        <w:tab/>
        <w:t>(a)</w:t>
      </w:r>
      <w:r>
        <w:tab/>
        <w:t xml:space="preserve">the advice </w:t>
      </w:r>
      <w:r w:rsidRPr="00964EDA">
        <w:rPr>
          <w:color w:val="000000"/>
        </w:rPr>
        <w:t xml:space="preserve">or submissions </w:t>
      </w:r>
      <w:r>
        <w:t>(if any) received from:</w:t>
      </w:r>
    </w:p>
    <w:p w14:paraId="0D54A137" w14:textId="77777777" w:rsidR="00CF0E3D" w:rsidRPr="00964EDA" w:rsidRDefault="00CF0E3D" w:rsidP="00CF0E3D">
      <w:pPr>
        <w:pStyle w:val="paragraphsub"/>
        <w:rPr>
          <w:color w:val="000000"/>
        </w:rPr>
      </w:pPr>
      <w:r w:rsidRPr="00964EDA">
        <w:rPr>
          <w:color w:val="000000"/>
        </w:rPr>
        <w:tab/>
      </w:r>
      <w:r>
        <w:rPr>
          <w:color w:val="000000"/>
        </w:rPr>
        <w:t>(i)</w:t>
      </w:r>
      <w:r w:rsidRPr="00964EDA">
        <w:rPr>
          <w:color w:val="000000"/>
        </w:rPr>
        <w:tab/>
      </w:r>
      <w:r w:rsidRPr="00CB23DE">
        <w:t xml:space="preserve">the Data Standards Advisory </w:t>
      </w:r>
      <w:r>
        <w:t>Committee</w:t>
      </w:r>
      <w:r w:rsidRPr="00964EDA">
        <w:rPr>
          <w:color w:val="000000"/>
        </w:rPr>
        <w:t>; or</w:t>
      </w:r>
    </w:p>
    <w:p w14:paraId="02B980BE" w14:textId="77777777" w:rsidR="00CF0E3D" w:rsidRPr="00964EDA" w:rsidRDefault="00CF0E3D" w:rsidP="00CF0E3D">
      <w:pPr>
        <w:pStyle w:val="paragraphsub"/>
        <w:rPr>
          <w:color w:val="000000"/>
        </w:rPr>
      </w:pPr>
      <w:r w:rsidRPr="00964EDA">
        <w:rPr>
          <w:color w:val="000000"/>
        </w:rPr>
        <w:tab/>
      </w:r>
      <w:r>
        <w:rPr>
          <w:color w:val="000000"/>
        </w:rPr>
        <w:t>(ii)</w:t>
      </w:r>
      <w:r w:rsidRPr="00964EDA">
        <w:rPr>
          <w:color w:val="000000"/>
        </w:rPr>
        <w:tab/>
        <w:t>the Commission; or</w:t>
      </w:r>
    </w:p>
    <w:p w14:paraId="218CB09F" w14:textId="77777777" w:rsidR="00CF0E3D" w:rsidRDefault="00CF0E3D" w:rsidP="00CF0E3D">
      <w:pPr>
        <w:pStyle w:val="paragraphsub"/>
      </w:pPr>
      <w:r w:rsidRPr="00964EDA">
        <w:rPr>
          <w:color w:val="000000"/>
        </w:rPr>
        <w:tab/>
      </w:r>
      <w:r>
        <w:rPr>
          <w:color w:val="000000"/>
        </w:rPr>
        <w:t>(iii)</w:t>
      </w:r>
      <w:r w:rsidRPr="00964EDA">
        <w:rPr>
          <w:color w:val="000000"/>
        </w:rPr>
        <w:tab/>
        <w:t>the Information Commissioner;</w:t>
      </w:r>
    </w:p>
    <w:p w14:paraId="2D609510" w14:textId="77777777" w:rsidR="00CF0E3D" w:rsidRDefault="00CF0E3D" w:rsidP="00CF0E3D">
      <w:pPr>
        <w:pStyle w:val="paragraph"/>
      </w:pPr>
      <w:r>
        <w:tab/>
      </w:r>
      <w:r>
        <w:tab/>
        <w:t xml:space="preserve">on a draft of the proposed standard or amendment (the </w:t>
      </w:r>
      <w:r>
        <w:rPr>
          <w:b/>
          <w:i/>
        </w:rPr>
        <w:t>consultation draft</w:t>
      </w:r>
      <w:r>
        <w:t>);</w:t>
      </w:r>
    </w:p>
    <w:p w14:paraId="6D43545C" w14:textId="77777777" w:rsidR="00CF0E3D" w:rsidRDefault="00CF0E3D" w:rsidP="00CF0E3D">
      <w:pPr>
        <w:pStyle w:val="paragraph"/>
      </w:pPr>
      <w:r>
        <w:tab/>
        <w:t>(b)</w:t>
      </w:r>
      <w:r>
        <w:tab/>
        <w:t xml:space="preserve">submissions (if any) received during the </w:t>
      </w:r>
      <w:r w:rsidRPr="00CB23DE">
        <w:t xml:space="preserve">public </w:t>
      </w:r>
      <w:r>
        <w:t>consultation (if any) that was undertaken in relation to the consultation draft in accordance with rule 8.9;</w:t>
      </w:r>
    </w:p>
    <w:p w14:paraId="4B084D8D" w14:textId="77777777" w:rsidR="00CF0E3D" w:rsidRDefault="00CF0E3D" w:rsidP="00CF0E3D">
      <w:pPr>
        <w:pStyle w:val="paragraph"/>
      </w:pPr>
      <w:r>
        <w:tab/>
        <w:t>(c)</w:t>
      </w:r>
      <w:r>
        <w:tab/>
        <w:t>any advice from any other relevant committee, advisory panel or consultative group that has been established by the Chair (see paragraph 56FH(2)(a) of the Act).</w:t>
      </w:r>
    </w:p>
    <w:p w14:paraId="1893E514" w14:textId="77777777" w:rsidR="00CF0E3D" w:rsidRPr="00B60869" w:rsidRDefault="00CF0E3D" w:rsidP="00CF0E3D">
      <w:pPr>
        <w:pStyle w:val="subsection"/>
      </w:pPr>
    </w:p>
    <w:p w14:paraId="7CC7F559" w14:textId="77777777" w:rsidR="00CF0E3D" w:rsidRDefault="00CF0E3D" w:rsidP="00CF0E3D">
      <w:pPr>
        <w:pStyle w:val="ActHead3"/>
        <w:pageBreakBefore/>
      </w:pPr>
      <w:bookmarkStart w:id="514" w:name="_Toc11771695"/>
      <w:bookmarkStart w:id="515" w:name="_Toc74916280"/>
      <w:r>
        <w:t>Division 8.4—Data standards that must be made</w:t>
      </w:r>
      <w:bookmarkEnd w:id="514"/>
      <w:bookmarkEnd w:id="515"/>
    </w:p>
    <w:p w14:paraId="1E1C434E" w14:textId="77777777" w:rsidR="00CF0E3D" w:rsidRDefault="00CF0E3D" w:rsidP="00CF0E3D">
      <w:pPr>
        <w:pStyle w:val="ActHead5"/>
      </w:pPr>
      <w:bookmarkStart w:id="516" w:name="_Toc11771696"/>
      <w:bookmarkStart w:id="517" w:name="_Toc74916281"/>
      <w:r>
        <w:t>8.11  Data standards that must be made</w:t>
      </w:r>
      <w:bookmarkEnd w:id="516"/>
      <w:bookmarkEnd w:id="517"/>
    </w:p>
    <w:p w14:paraId="3D4ED76F" w14:textId="77777777" w:rsidR="00CF0E3D" w:rsidRDefault="00CF0E3D" w:rsidP="00CF0E3D">
      <w:pPr>
        <w:pStyle w:val="subsection"/>
      </w:pPr>
      <w:r>
        <w:tab/>
        <w:t>(1)</w:t>
      </w:r>
      <w:r>
        <w:tab/>
        <w:t>The Data Standards Chair must make one or more data standards about each of the following:</w:t>
      </w:r>
    </w:p>
    <w:p w14:paraId="14AB9DD6" w14:textId="77777777" w:rsidR="00CF0E3D" w:rsidRPr="003F3AC9" w:rsidRDefault="00CF0E3D" w:rsidP="00CF0E3D">
      <w:pPr>
        <w:pStyle w:val="paragraph"/>
      </w:pPr>
      <w:r w:rsidRPr="003F3AC9">
        <w:tab/>
      </w:r>
      <w:r>
        <w:t>(a)</w:t>
      </w:r>
      <w:r w:rsidRPr="003F3AC9">
        <w:tab/>
        <w:t>the processes for:</w:t>
      </w:r>
    </w:p>
    <w:p w14:paraId="16D2CC6C" w14:textId="77777777" w:rsidR="00CF0E3D" w:rsidRPr="003F3AC9" w:rsidRDefault="00CF0E3D" w:rsidP="00CF0E3D">
      <w:pPr>
        <w:pStyle w:val="paragraphsub"/>
      </w:pPr>
      <w:r w:rsidRPr="003F3AC9">
        <w:tab/>
      </w:r>
      <w:r>
        <w:t>(i)</w:t>
      </w:r>
      <w:r w:rsidRPr="003F3AC9">
        <w:tab/>
        <w:t>making and responding to product data requests and consumer data requests; and</w:t>
      </w:r>
    </w:p>
    <w:p w14:paraId="7F6A3674" w14:textId="3C700615" w:rsidR="0054666F" w:rsidRPr="0054321A" w:rsidRDefault="00CF0E3D" w:rsidP="00CF0E3D">
      <w:pPr>
        <w:pStyle w:val="paragraphsub"/>
        <w:rPr>
          <w:color w:val="0000FF"/>
        </w:rPr>
      </w:pPr>
      <w:r w:rsidRPr="003F3AC9">
        <w:tab/>
      </w:r>
      <w:r>
        <w:t>(ii)</w:t>
      </w:r>
      <w:r w:rsidRPr="003F3AC9">
        <w:tab/>
        <w:t>obtaining authorisations and consents, and withdrawal of authorisations and consents;</w:t>
      </w:r>
    </w:p>
    <w:p w14:paraId="00C5E179" w14:textId="77777777" w:rsidR="00CF0E3D" w:rsidRPr="003F3AC9" w:rsidRDefault="00CF0E3D" w:rsidP="00CF0E3D">
      <w:pPr>
        <w:pStyle w:val="paragraph"/>
      </w:pPr>
      <w:r w:rsidRPr="003F3AC9">
        <w:tab/>
      </w:r>
      <w:r>
        <w:t>(b)</w:t>
      </w:r>
      <w:r w:rsidRPr="003F3AC9">
        <w:tab/>
        <w:t>the collection and use of CDR data, including requirements to be met by CDR participants in relation to seeking consent from CDR consumers;</w:t>
      </w:r>
    </w:p>
    <w:p w14:paraId="42677DD4" w14:textId="77777777" w:rsidR="00CF0E3D" w:rsidRPr="003F3AC9" w:rsidRDefault="00CF0E3D" w:rsidP="00CF0E3D">
      <w:pPr>
        <w:pStyle w:val="paragraph"/>
      </w:pPr>
      <w:r w:rsidRPr="003F3AC9">
        <w:tab/>
      </w:r>
      <w:r>
        <w:t>(c)</w:t>
      </w:r>
      <w:r w:rsidRPr="003F3AC9">
        <w:tab/>
        <w:t>the disclosure and security of CDR data, including:</w:t>
      </w:r>
    </w:p>
    <w:p w14:paraId="17530191" w14:textId="77777777" w:rsidR="00CF0E3D" w:rsidRPr="003F3AC9" w:rsidRDefault="00CF0E3D" w:rsidP="00CF0E3D">
      <w:pPr>
        <w:pStyle w:val="paragraphsub"/>
      </w:pPr>
      <w:r w:rsidRPr="003F3AC9">
        <w:tab/>
      </w:r>
      <w:r>
        <w:t>(i)</w:t>
      </w:r>
      <w:r w:rsidRPr="003F3AC9">
        <w:tab/>
        <w:t>authentication of CDR consumers to a standard which meets, in the opinion of the Chair, best practice security requirements; and</w:t>
      </w:r>
    </w:p>
    <w:p w14:paraId="666FC48E" w14:textId="77777777" w:rsidR="00CF0E3D" w:rsidRDefault="00CF0E3D" w:rsidP="00CF0E3D">
      <w:pPr>
        <w:pStyle w:val="paragraphsub"/>
      </w:pPr>
      <w:r>
        <w:tab/>
        <w:t>(ii)</w:t>
      </w:r>
      <w:r>
        <w:tab/>
        <w:t xml:space="preserve">seeking authorisations to disclose CDR data in response </w:t>
      </w:r>
      <w:r w:rsidRPr="003F3AC9">
        <w:t xml:space="preserve">to </w:t>
      </w:r>
      <w:r>
        <w:t xml:space="preserve">consumer data requests; </w:t>
      </w:r>
      <w:r w:rsidRPr="00CE5ECF">
        <w:t>and</w:t>
      </w:r>
      <w:r>
        <w:t xml:space="preserve"> </w:t>
      </w:r>
    </w:p>
    <w:p w14:paraId="68D47438" w14:textId="2BD8C6F4" w:rsidR="00CF0E3D" w:rsidRPr="00BC78CF" w:rsidRDefault="00CF0E3D" w:rsidP="00CF0E3D">
      <w:pPr>
        <w:pStyle w:val="paragraphsub"/>
        <w:rPr>
          <w:color w:val="FF0000"/>
        </w:rPr>
      </w:pPr>
      <w:r>
        <w:tab/>
      </w:r>
      <w:r w:rsidRPr="00CE5ECF">
        <w:t>(iii)</w:t>
      </w:r>
      <w:r w:rsidRPr="00CE5ECF">
        <w:tab/>
        <w:t>consumer experience data standards for disclosure of CDR data to accredited persons</w:t>
      </w:r>
      <w:r w:rsidRPr="00BC78CF">
        <w:rPr>
          <w:color w:val="FF0000"/>
        </w:rPr>
        <w:t>;</w:t>
      </w:r>
      <w:r w:rsidR="00D34637" w:rsidRPr="00BC78CF">
        <w:rPr>
          <w:color w:val="FF0000"/>
        </w:rPr>
        <w:t xml:space="preserve"> and</w:t>
      </w:r>
    </w:p>
    <w:p w14:paraId="1D85AA08" w14:textId="7C79C3F9" w:rsidR="00D34637" w:rsidRPr="00BC78CF" w:rsidRDefault="00D34637" w:rsidP="00D34637">
      <w:pPr>
        <w:pStyle w:val="paragraphsub"/>
        <w:rPr>
          <w:color w:val="FF0000"/>
        </w:rPr>
      </w:pPr>
      <w:r w:rsidRPr="00BC78CF">
        <w:rPr>
          <w:color w:val="FF0000"/>
        </w:rPr>
        <w:tab/>
        <w:t>(iv)</w:t>
      </w:r>
      <w:r w:rsidRPr="00BC78CF">
        <w:rPr>
          <w:color w:val="FF0000"/>
        </w:rPr>
        <w:tab/>
        <w:t>consumer experience data standards for disclosure of CDR data to trusted advisers;</w:t>
      </w:r>
    </w:p>
    <w:p w14:paraId="552CC1A6" w14:textId="5A732A0D" w:rsidR="00244AF6" w:rsidRPr="00BC78CF" w:rsidRDefault="00244AF6" w:rsidP="00244AF6">
      <w:pPr>
        <w:pStyle w:val="paragraphsub"/>
        <w:rPr>
          <w:color w:val="FF0000"/>
        </w:rPr>
      </w:pPr>
      <w:r w:rsidRPr="00BC78CF">
        <w:rPr>
          <w:color w:val="FF0000"/>
        </w:rPr>
        <w:tab/>
        <w:t>(v)</w:t>
      </w:r>
      <w:r w:rsidRPr="00BC78CF">
        <w:rPr>
          <w:color w:val="FF0000"/>
        </w:rPr>
        <w:tab/>
        <w:t>consumer experience data standards for disclosure of CDR insights;</w:t>
      </w:r>
    </w:p>
    <w:p w14:paraId="397B731E" w14:textId="77777777" w:rsidR="00CF0E3D" w:rsidRDefault="00CF0E3D" w:rsidP="00CF0E3D">
      <w:pPr>
        <w:pStyle w:val="paragraph"/>
      </w:pPr>
      <w:r>
        <w:tab/>
        <w:t>(d)</w:t>
      </w:r>
      <w:r>
        <w:tab/>
      </w:r>
      <w:r w:rsidRPr="006F4A42">
        <w:t xml:space="preserve">the types of </w:t>
      </w:r>
      <w:r>
        <w:t xml:space="preserve">CDR data </w:t>
      </w:r>
      <w:r w:rsidRPr="00E53912">
        <w:rPr>
          <w:color w:val="000000" w:themeColor="text1"/>
        </w:rPr>
        <w:t>and descriptions of those types,</w:t>
      </w:r>
      <w:r>
        <w:t xml:space="preserve"> to be used by CDR participants in making and responding to requests;</w:t>
      </w:r>
    </w:p>
    <w:p w14:paraId="4FFC1985" w14:textId="77777777" w:rsidR="00CF0E3D" w:rsidRDefault="00CF0E3D" w:rsidP="00CF0E3D">
      <w:pPr>
        <w:pStyle w:val="paragraph"/>
      </w:pPr>
      <w:r>
        <w:tab/>
        <w:t>(e)</w:t>
      </w:r>
      <w:r>
        <w:tab/>
        <w:t>the formats in which CDR data is to be provided in response to requests;</w:t>
      </w:r>
    </w:p>
    <w:p w14:paraId="156BD212" w14:textId="77777777" w:rsidR="00CF0E3D" w:rsidRDefault="00CF0E3D" w:rsidP="00CF0E3D">
      <w:pPr>
        <w:pStyle w:val="paragraph"/>
      </w:pPr>
      <w:r>
        <w:tab/>
        <w:t>(f)</w:t>
      </w:r>
      <w:r>
        <w:tab/>
        <w:t>requirements to be met by CDR participants in relation to:</w:t>
      </w:r>
    </w:p>
    <w:p w14:paraId="6466AC57" w14:textId="77777777" w:rsidR="00CF0E3D" w:rsidRDefault="00CF0E3D" w:rsidP="00CF0E3D">
      <w:pPr>
        <w:pStyle w:val="paragraphsub"/>
      </w:pPr>
      <w:r>
        <w:tab/>
        <w:t>(i)</w:t>
      </w:r>
      <w:r>
        <w:tab/>
        <w:t>performance and availability of systems to respond to requests; and</w:t>
      </w:r>
    </w:p>
    <w:p w14:paraId="51EE8176" w14:textId="77777777" w:rsidR="00CF0E3D" w:rsidRDefault="00CF0E3D" w:rsidP="00CF0E3D">
      <w:pPr>
        <w:pStyle w:val="paragraphsub"/>
      </w:pPr>
      <w:r>
        <w:tab/>
        <w:t>(ii)</w:t>
      </w:r>
      <w:r>
        <w:tab/>
        <w:t>public reporting of information relating to compliance with those requirements;</w:t>
      </w:r>
    </w:p>
    <w:p w14:paraId="45E96F5F" w14:textId="77777777" w:rsidR="00CF0E3D" w:rsidRPr="003F3AC9" w:rsidRDefault="00CF0E3D" w:rsidP="00CF0E3D">
      <w:pPr>
        <w:pStyle w:val="paragraph"/>
      </w:pPr>
      <w:r>
        <w:tab/>
        <w:t>(g)</w:t>
      </w:r>
      <w:r>
        <w:tab/>
        <w:t xml:space="preserve">the processes for CDR participants to notify other CDR participants of </w:t>
      </w:r>
      <w:r w:rsidRPr="003F3AC9">
        <w:t>withdrawal of consent or authorisations by CDR consumers;</w:t>
      </w:r>
    </w:p>
    <w:p w14:paraId="276271BF" w14:textId="24DD2343" w:rsidR="00CF0E3D" w:rsidRDefault="00CF0E3D" w:rsidP="006D2C58">
      <w:pPr>
        <w:pStyle w:val="paragraph"/>
      </w:pPr>
      <w:r w:rsidRPr="003F3AC9">
        <w:tab/>
      </w:r>
      <w:r>
        <w:t>(h)</w:t>
      </w:r>
      <w:r w:rsidRPr="003F3AC9">
        <w:tab/>
        <w:t>the provision of administrative or ancillary services by CDR participants to facilitate the management and receipt of communications between CDR participants</w:t>
      </w:r>
      <w:r w:rsidR="00A37ED0">
        <w:t>.</w:t>
      </w:r>
    </w:p>
    <w:p w14:paraId="06F3815A" w14:textId="576DD88A" w:rsidR="006C2A50" w:rsidRPr="00BC78CF" w:rsidRDefault="006C2A50" w:rsidP="006C2A50">
      <w:pPr>
        <w:pStyle w:val="subsection"/>
        <w:rPr>
          <w:color w:val="FF0000"/>
        </w:rPr>
      </w:pPr>
      <w:r w:rsidRPr="00BC78CF">
        <w:rPr>
          <w:color w:val="FF0000"/>
        </w:rPr>
        <w:tab/>
        <w:t>(1A)</w:t>
      </w:r>
      <w:r w:rsidRPr="00BC78CF">
        <w:rPr>
          <w:color w:val="FF0000"/>
        </w:rPr>
        <w:tab/>
        <w:t xml:space="preserve">The standards </w:t>
      </w:r>
      <w:r w:rsidR="00244AF6" w:rsidRPr="00BC78CF">
        <w:rPr>
          <w:color w:val="FF0000"/>
        </w:rPr>
        <w:t xml:space="preserve">for the purposes of paragraph (1)(a)(ii) that </w:t>
      </w:r>
      <w:r w:rsidRPr="00BC78CF">
        <w:rPr>
          <w:color w:val="FF0000"/>
        </w:rPr>
        <w:t>relat</w:t>
      </w:r>
      <w:r w:rsidR="00244AF6" w:rsidRPr="00BC78CF">
        <w:rPr>
          <w:color w:val="FF0000"/>
        </w:rPr>
        <w:t xml:space="preserve">e </w:t>
      </w:r>
      <w:r w:rsidRPr="00BC78CF">
        <w:rPr>
          <w:color w:val="FF0000"/>
        </w:rPr>
        <w:t>to obtaining insight disclosure consents must include provisions that cover the following:</w:t>
      </w:r>
    </w:p>
    <w:p w14:paraId="5826078E" w14:textId="7C573D86" w:rsidR="006C2A50" w:rsidRPr="00BC78CF" w:rsidRDefault="006C2A50" w:rsidP="006C2A50">
      <w:pPr>
        <w:pStyle w:val="paragraph"/>
        <w:rPr>
          <w:color w:val="FF0000"/>
        </w:rPr>
      </w:pPr>
      <w:r w:rsidRPr="00BC78CF">
        <w:rPr>
          <w:color w:val="FF0000"/>
        </w:rPr>
        <w:tab/>
        <w:t>(a)</w:t>
      </w:r>
      <w:r w:rsidRPr="00BC78CF">
        <w:rPr>
          <w:color w:val="FF0000"/>
        </w:rPr>
        <w:tab/>
        <w:t>how the accredited person can meet the requirement to explain a CDR insight in accordance with paragraph 4.11(3)(ca);</w:t>
      </w:r>
    </w:p>
    <w:p w14:paraId="45FCCA9F" w14:textId="045AA36B" w:rsidR="006C2A50" w:rsidRPr="00BC78CF" w:rsidRDefault="006C2A50" w:rsidP="006C2A50">
      <w:pPr>
        <w:pStyle w:val="paragraph"/>
        <w:rPr>
          <w:color w:val="FF0000"/>
        </w:rPr>
      </w:pPr>
      <w:r w:rsidRPr="00BC78CF">
        <w:rPr>
          <w:color w:val="FF0000"/>
        </w:rPr>
        <w:tab/>
        <w:t>(b)</w:t>
      </w:r>
      <w:r w:rsidRPr="00BC78CF">
        <w:rPr>
          <w:color w:val="FF0000"/>
        </w:rPr>
        <w:tab/>
        <w:t xml:space="preserve">ensuring that the CDR consumer is made aware that their data will leave the </w:t>
      </w:r>
      <w:r w:rsidR="00244AF6" w:rsidRPr="00BC78CF">
        <w:rPr>
          <w:color w:val="FF0000"/>
        </w:rPr>
        <w:t>CDR system when it is disclosed.</w:t>
      </w:r>
    </w:p>
    <w:p w14:paraId="06B264E3" w14:textId="5354015C" w:rsidR="00CF0E3D" w:rsidRPr="003F3AC9" w:rsidRDefault="00CF0E3D" w:rsidP="006C2A50">
      <w:pPr>
        <w:pStyle w:val="subsection"/>
      </w:pPr>
      <w:r w:rsidRPr="003F3AC9">
        <w:tab/>
      </w:r>
      <w:r>
        <w:t>(2)</w:t>
      </w:r>
      <w:r w:rsidRPr="003F3AC9">
        <w:tab/>
        <w:t>Each such standard must indicate that it is binding and must specify the date on which it commences and the date by which it must be fully complied with.</w:t>
      </w:r>
    </w:p>
    <w:p w14:paraId="04D50A4C" w14:textId="77777777" w:rsidR="00CF0E3D" w:rsidRPr="00B3173B" w:rsidRDefault="00CF0E3D" w:rsidP="00CF0E3D">
      <w:pPr>
        <w:pStyle w:val="notetext"/>
      </w:pPr>
      <w:r w:rsidRPr="00B3173B">
        <w:t>Note:</w:t>
      </w:r>
      <w:r w:rsidRPr="00B3173B">
        <w:tab/>
        <w:t>See sections 56FD and 56FE</w:t>
      </w:r>
      <w:r>
        <w:t xml:space="preserve"> </w:t>
      </w:r>
      <w:r w:rsidRPr="00C560DF">
        <w:t>of the Act</w:t>
      </w:r>
      <w:r w:rsidRPr="00B3173B">
        <w:t xml:space="preserve"> for the legal effect of a binding data standard.</w:t>
      </w:r>
    </w:p>
    <w:p w14:paraId="7BF8B111" w14:textId="77777777" w:rsidR="00CF0E3D" w:rsidRDefault="00CF0E3D" w:rsidP="00CF0E3D">
      <w:pPr>
        <w:pStyle w:val="subsection"/>
      </w:pPr>
      <w:r>
        <w:tab/>
        <w:t>(3)</w:t>
      </w:r>
      <w:r>
        <w:tab/>
        <w:t>The data standards must be subject to such consumer testing as the Data Standards Chair considers appropriate.</w:t>
      </w:r>
    </w:p>
    <w:p w14:paraId="0EADC081" w14:textId="77777777" w:rsidR="00CF0E3D" w:rsidRDefault="00CF0E3D" w:rsidP="00CF0E3D">
      <w:pPr>
        <w:pStyle w:val="ActHead2"/>
        <w:pageBreakBefore/>
      </w:pPr>
      <w:bookmarkStart w:id="518" w:name="_Toc11771697"/>
      <w:bookmarkStart w:id="519" w:name="_Toc74916282"/>
      <w:r>
        <w:t>Part 9—Other matters</w:t>
      </w:r>
      <w:bookmarkEnd w:id="518"/>
      <w:bookmarkEnd w:id="519"/>
    </w:p>
    <w:p w14:paraId="3ABEDAEC" w14:textId="77777777" w:rsidR="00CF0E3D" w:rsidRPr="00B3173B" w:rsidRDefault="00CF0E3D" w:rsidP="00CF0E3D">
      <w:pPr>
        <w:pStyle w:val="ActHead3"/>
      </w:pPr>
      <w:bookmarkStart w:id="520" w:name="_Toc11771698"/>
      <w:bookmarkStart w:id="521" w:name="_Toc74916283"/>
      <w:r>
        <w:t>Division 9.1</w:t>
      </w:r>
      <w:r w:rsidRPr="00B3173B">
        <w:t>—Preliminary</w:t>
      </w:r>
      <w:bookmarkEnd w:id="520"/>
      <w:bookmarkEnd w:id="521"/>
    </w:p>
    <w:p w14:paraId="46E16334" w14:textId="77777777" w:rsidR="00CF0E3D" w:rsidRPr="00B3173B" w:rsidRDefault="00CF0E3D" w:rsidP="00CF0E3D">
      <w:pPr>
        <w:pStyle w:val="ActHead5"/>
      </w:pPr>
      <w:bookmarkStart w:id="522" w:name="_Toc11771699"/>
      <w:bookmarkStart w:id="523" w:name="_Toc74916284"/>
      <w:r>
        <w:t>9.1</w:t>
      </w:r>
      <w:r w:rsidRPr="00B3173B">
        <w:t xml:space="preserve">  Simplified outline of this Part</w:t>
      </w:r>
      <w:bookmarkEnd w:id="522"/>
      <w:bookmarkEnd w:id="523"/>
    </w:p>
    <w:p w14:paraId="4FA7A911" w14:textId="77777777" w:rsidR="00CF0E3D" w:rsidRDefault="00CF0E3D" w:rsidP="00CF0E3D">
      <w:pPr>
        <w:pStyle w:val="SOText"/>
        <w:rPr>
          <w:color w:val="000000"/>
        </w:rPr>
      </w:pPr>
      <w:r>
        <w:rPr>
          <w:color w:val="000000"/>
        </w:rPr>
        <w:t>This Part deals with a range of miscellaneous matters, including:</w:t>
      </w:r>
    </w:p>
    <w:p w14:paraId="6E0DCF95" w14:textId="77777777" w:rsidR="00CF0E3D" w:rsidRDefault="00CF0E3D" w:rsidP="00CF0E3D">
      <w:pPr>
        <w:pStyle w:val="SOPara"/>
      </w:pPr>
      <w:r>
        <w:tab/>
      </w:r>
      <w:r>
        <w:sym w:font="Symbol" w:char="F0B7"/>
      </w:r>
      <w:r>
        <w:tab/>
        <w:t>decisions that can be reviewed by the Administrative Appeals Tribunal; and</w:t>
      </w:r>
    </w:p>
    <w:p w14:paraId="22E1823D" w14:textId="77777777" w:rsidR="00CF0E3D" w:rsidRDefault="00CF0E3D" w:rsidP="00CF0E3D">
      <w:pPr>
        <w:pStyle w:val="SOPara"/>
      </w:pPr>
      <w:r>
        <w:tab/>
      </w:r>
      <w:r>
        <w:sym w:font="Symbol" w:char="F0B7"/>
      </w:r>
      <w:r>
        <w:tab/>
        <w:t>rules relating to reporting, record</w:t>
      </w:r>
      <w:r>
        <w:noBreakHyphen/>
        <w:t>keeping and auditing; and</w:t>
      </w:r>
    </w:p>
    <w:p w14:paraId="404E226C" w14:textId="77777777" w:rsidR="00CF0E3D" w:rsidRPr="00641354" w:rsidRDefault="00CF0E3D" w:rsidP="00CF0E3D">
      <w:pPr>
        <w:pStyle w:val="SOPara"/>
      </w:pPr>
      <w:r>
        <w:tab/>
      </w:r>
      <w:r>
        <w:sym w:font="Symbol" w:char="F0B7"/>
      </w:r>
      <w:r>
        <w:tab/>
        <w:t xml:space="preserve">civil penalty provisions </w:t>
      </w:r>
      <w:r w:rsidRPr="00086F26">
        <w:t>of the consumer data rules</w:t>
      </w:r>
      <w:r>
        <w:t>, which are enforced under the enforcement provisions of the Act.</w:t>
      </w:r>
    </w:p>
    <w:p w14:paraId="108B4EEC" w14:textId="77777777" w:rsidR="00CF0E3D" w:rsidRPr="00A42F86" w:rsidRDefault="00CF0E3D" w:rsidP="00CF0E3D">
      <w:pPr>
        <w:pStyle w:val="ActHead3"/>
      </w:pPr>
    </w:p>
    <w:p w14:paraId="4B5F645D" w14:textId="77777777" w:rsidR="00CF0E3D" w:rsidRDefault="00CF0E3D" w:rsidP="00CF0E3D">
      <w:pPr>
        <w:pStyle w:val="ActHead3"/>
        <w:pageBreakBefore/>
      </w:pPr>
      <w:bookmarkStart w:id="524" w:name="_Toc11771700"/>
      <w:bookmarkStart w:id="525" w:name="_Toc74916285"/>
      <w:r>
        <w:t>Division 9.2—Review of decisions</w:t>
      </w:r>
      <w:bookmarkEnd w:id="524"/>
      <w:bookmarkEnd w:id="525"/>
    </w:p>
    <w:p w14:paraId="259A1935" w14:textId="77777777" w:rsidR="00CF0E3D" w:rsidRDefault="00CF0E3D" w:rsidP="00CF0E3D">
      <w:pPr>
        <w:pStyle w:val="ActHead5"/>
      </w:pPr>
      <w:bookmarkStart w:id="526" w:name="_Toc11771701"/>
      <w:bookmarkStart w:id="527" w:name="_Toc74916286"/>
      <w:r>
        <w:t>9.2  Review of decisions by the Administrative Appeals Tribunal</w:t>
      </w:r>
      <w:bookmarkEnd w:id="526"/>
      <w:bookmarkEnd w:id="527"/>
    </w:p>
    <w:p w14:paraId="23C5BC6E" w14:textId="77777777" w:rsidR="00CF0E3D" w:rsidRDefault="00CF0E3D" w:rsidP="00CF0E3D">
      <w:pPr>
        <w:pStyle w:val="subsection"/>
      </w:pPr>
      <w:r>
        <w:tab/>
      </w:r>
      <w:r>
        <w:tab/>
        <w:t>Applications may be made to the Administrative Appeals Tribunal to review any of the following decisions:</w:t>
      </w:r>
    </w:p>
    <w:p w14:paraId="73DA87F2" w14:textId="77777777" w:rsidR="00CF0E3D" w:rsidRDefault="00CF0E3D" w:rsidP="00CF0E3D">
      <w:pPr>
        <w:pStyle w:val="paragraph"/>
      </w:pPr>
      <w:r>
        <w:tab/>
        <w:t>(a)</w:t>
      </w:r>
      <w:r>
        <w:tab/>
        <w:t>a decision of the Data Recipient Accreditor under rule 5.10 to:</w:t>
      </w:r>
    </w:p>
    <w:p w14:paraId="219E53C4" w14:textId="77777777" w:rsidR="00CF0E3D" w:rsidRDefault="00CF0E3D" w:rsidP="00CF0E3D">
      <w:pPr>
        <w:pStyle w:val="paragraphsub"/>
      </w:pPr>
      <w:r>
        <w:tab/>
        <w:t>(i)</w:t>
      </w:r>
      <w:r>
        <w:tab/>
        <w:t>impose a condition on an accreditation; or</w:t>
      </w:r>
    </w:p>
    <w:p w14:paraId="52003BA0" w14:textId="77777777" w:rsidR="00CF0E3D" w:rsidRDefault="00CF0E3D" w:rsidP="00CF0E3D">
      <w:pPr>
        <w:pStyle w:val="paragraphsub"/>
      </w:pPr>
      <w:r>
        <w:tab/>
        <w:t>(ii)</w:t>
      </w:r>
      <w:r>
        <w:tab/>
        <w:t>vary a condition that has been imposed;</w:t>
      </w:r>
    </w:p>
    <w:p w14:paraId="6DFC5685" w14:textId="77777777" w:rsidR="00CF0E3D" w:rsidRDefault="00CF0E3D" w:rsidP="00CF0E3D">
      <w:pPr>
        <w:pStyle w:val="paragraph"/>
      </w:pPr>
      <w:r>
        <w:tab/>
        <w:t>(b)</w:t>
      </w:r>
      <w:r>
        <w:tab/>
        <w:t>a decision of the Data Recipient Accreditor under rule 5.17 to:</w:t>
      </w:r>
    </w:p>
    <w:p w14:paraId="04900DA7" w14:textId="77777777" w:rsidR="00CF0E3D" w:rsidRDefault="00CF0E3D" w:rsidP="00CF0E3D">
      <w:pPr>
        <w:pStyle w:val="paragraphsub"/>
      </w:pPr>
      <w:r>
        <w:tab/>
        <w:t>(i)</w:t>
      </w:r>
      <w:r>
        <w:tab/>
        <w:t>suspend</w:t>
      </w:r>
      <w:r w:rsidRPr="000C3240">
        <w:t xml:space="preserve"> an accreditation</w:t>
      </w:r>
      <w:r>
        <w:t>; or</w:t>
      </w:r>
    </w:p>
    <w:p w14:paraId="25687159" w14:textId="77777777" w:rsidR="00CF0E3D" w:rsidRDefault="00CF0E3D" w:rsidP="00CF0E3D">
      <w:pPr>
        <w:pStyle w:val="paragraphsub"/>
      </w:pPr>
      <w:r>
        <w:tab/>
        <w:t>(ii)</w:t>
      </w:r>
      <w:r>
        <w:tab/>
      </w:r>
      <w:r w:rsidRPr="000C3240">
        <w:t>extend a suspension</w:t>
      </w:r>
      <w:r>
        <w:t>; or</w:t>
      </w:r>
    </w:p>
    <w:p w14:paraId="32D12738" w14:textId="77777777" w:rsidR="00CF0E3D" w:rsidRPr="00F23160" w:rsidRDefault="00CF0E3D" w:rsidP="00CF0E3D">
      <w:pPr>
        <w:pStyle w:val="paragraphsub"/>
      </w:pPr>
      <w:r>
        <w:tab/>
        <w:t>(iii)</w:t>
      </w:r>
      <w:r>
        <w:tab/>
        <w:t>revoke an accreditation.</w:t>
      </w:r>
      <w:r w:rsidRPr="006F4A42">
        <w:t xml:space="preserve"> </w:t>
      </w:r>
    </w:p>
    <w:p w14:paraId="1CDA588D" w14:textId="77777777" w:rsidR="00CF0E3D" w:rsidRDefault="00CF0E3D" w:rsidP="00CF0E3D">
      <w:pPr>
        <w:pStyle w:val="ActHead3"/>
        <w:pageBreakBefore/>
      </w:pPr>
      <w:bookmarkStart w:id="528" w:name="_Toc11771702"/>
      <w:bookmarkStart w:id="529" w:name="_Toc74916287"/>
      <w:r>
        <w:t>Division 9.3—Reporting, record keeping and audit</w:t>
      </w:r>
      <w:bookmarkEnd w:id="528"/>
      <w:bookmarkEnd w:id="529"/>
    </w:p>
    <w:p w14:paraId="7F83DE74" w14:textId="77777777" w:rsidR="00CF0E3D" w:rsidRDefault="00CF0E3D" w:rsidP="00CF0E3D">
      <w:pPr>
        <w:pStyle w:val="ActHead4"/>
      </w:pPr>
      <w:bookmarkStart w:id="530" w:name="_Toc11771703"/>
      <w:bookmarkStart w:id="531" w:name="_Toc74916288"/>
      <w:r>
        <w:t>Subdivision 9.3.1—Reporting and record keeping</w:t>
      </w:r>
      <w:bookmarkEnd w:id="530"/>
      <w:bookmarkEnd w:id="531"/>
    </w:p>
    <w:p w14:paraId="00FA020E" w14:textId="77777777" w:rsidR="00CF0E3D" w:rsidRDefault="00CF0E3D" w:rsidP="00CF0E3D">
      <w:pPr>
        <w:pStyle w:val="ActHead5"/>
      </w:pPr>
      <w:bookmarkStart w:id="532" w:name="_Toc11771704"/>
      <w:bookmarkStart w:id="533" w:name="_Toc74916289"/>
      <w:r>
        <w:t>9.3  Records to be kept and maintained</w:t>
      </w:r>
      <w:bookmarkEnd w:id="532"/>
      <w:bookmarkEnd w:id="533"/>
    </w:p>
    <w:p w14:paraId="122D7495" w14:textId="77777777" w:rsidR="00CF0E3D" w:rsidRPr="00F07699" w:rsidRDefault="00CF0E3D" w:rsidP="00CF0E3D">
      <w:pPr>
        <w:pStyle w:val="SubsectionHead"/>
      </w:pPr>
      <w:r w:rsidRPr="00F07699">
        <w:t>Records to be kept and maintained—data holder</w:t>
      </w:r>
    </w:p>
    <w:p w14:paraId="74DE3305" w14:textId="77777777" w:rsidR="00CF0E3D" w:rsidRPr="00F07699" w:rsidRDefault="00CF0E3D" w:rsidP="00CF0E3D">
      <w:pPr>
        <w:pStyle w:val="subsection"/>
      </w:pPr>
      <w:r w:rsidRPr="00F07699">
        <w:tab/>
        <w:t>(1)</w:t>
      </w:r>
      <w:r w:rsidRPr="00F07699">
        <w:tab/>
        <w:t>A data holder must keep and maintain records that record and explain the following:</w:t>
      </w:r>
    </w:p>
    <w:p w14:paraId="0B5849AF" w14:textId="77777777" w:rsidR="00CF0E3D" w:rsidRPr="00A27D3A" w:rsidRDefault="00CF0E3D" w:rsidP="00CF0E3D">
      <w:pPr>
        <w:pStyle w:val="paragraph"/>
      </w:pPr>
      <w:r w:rsidRPr="00A27D3A">
        <w:tab/>
        <w:t>(a)</w:t>
      </w:r>
      <w:r w:rsidRPr="00A27D3A">
        <w:tab/>
        <w:t>authorisations given by CDR consumers to disclose CDR data;</w:t>
      </w:r>
    </w:p>
    <w:p w14:paraId="550F6802" w14:textId="77777777" w:rsidR="00CF0E3D" w:rsidRPr="00A27D3A" w:rsidRDefault="00CF0E3D" w:rsidP="00CF0E3D">
      <w:pPr>
        <w:pStyle w:val="paragraph"/>
      </w:pPr>
      <w:r w:rsidRPr="00A27D3A">
        <w:tab/>
        <w:t>(b)</w:t>
      </w:r>
      <w:r w:rsidRPr="00A27D3A">
        <w:tab/>
        <w:t>amendments to or withdrawals of authorisations to disclose CDR data;</w:t>
      </w:r>
    </w:p>
    <w:p w14:paraId="4B15FFB9" w14:textId="77777777" w:rsidR="00CF0E3D" w:rsidRDefault="00CF0E3D" w:rsidP="00CF0E3D">
      <w:pPr>
        <w:pStyle w:val="paragraph"/>
      </w:pPr>
      <w:r w:rsidRPr="00A27D3A">
        <w:tab/>
        <w:t>(c)</w:t>
      </w:r>
      <w:r w:rsidRPr="00A27D3A">
        <w:tab/>
        <w:t>notifications of withdrawals of consents to collect CDR data;</w:t>
      </w:r>
    </w:p>
    <w:p w14:paraId="13AB9A5E" w14:textId="394DC836" w:rsidR="00613049" w:rsidRPr="00613049" w:rsidRDefault="00CF0E3D" w:rsidP="00CF0E3D">
      <w:pPr>
        <w:pStyle w:val="paragraph"/>
      </w:pPr>
      <w:r w:rsidRPr="00A27D3A">
        <w:tab/>
        <w:t>(d)</w:t>
      </w:r>
      <w:r w:rsidRPr="00A27D3A">
        <w:tab/>
        <w:t>disclosures of CDR data made in response to consumer data requests;</w:t>
      </w:r>
    </w:p>
    <w:p w14:paraId="7359A2AE" w14:textId="77777777" w:rsidR="00CF0E3D" w:rsidRPr="00A27D3A" w:rsidRDefault="00CF0E3D" w:rsidP="00CF0E3D">
      <w:pPr>
        <w:pStyle w:val="paragraph"/>
      </w:pPr>
      <w:r w:rsidRPr="00A27D3A">
        <w:tab/>
        <w:t>(da)</w:t>
      </w:r>
      <w:r w:rsidRPr="00A27D3A">
        <w:tab/>
        <w:t>any written agreement of a kind referred to in subrule 2.4(5) the data holder has entered into;</w:t>
      </w:r>
    </w:p>
    <w:p w14:paraId="50C2EADD" w14:textId="77777777" w:rsidR="00CF0E3D" w:rsidRPr="00A27D3A" w:rsidRDefault="00CF0E3D" w:rsidP="00CF0E3D">
      <w:pPr>
        <w:pStyle w:val="paragraph"/>
      </w:pPr>
      <w:r w:rsidRPr="00A27D3A">
        <w:t xml:space="preserve"> </w:t>
      </w:r>
      <w:r w:rsidRPr="00A27D3A">
        <w:tab/>
        <w:t>(e)</w:t>
      </w:r>
      <w:r w:rsidRPr="00A27D3A">
        <w:tab/>
        <w:t>instances where the data holder has refused to disclose requested CDR data and the rule or data standard relied upon to refuse to disclose the CDR data;</w:t>
      </w:r>
    </w:p>
    <w:p w14:paraId="60B911A6" w14:textId="77777777" w:rsidR="00CF0E3D" w:rsidRPr="00A27D3A" w:rsidRDefault="00CF0E3D" w:rsidP="00CF0E3D">
      <w:pPr>
        <w:pStyle w:val="paragraph"/>
      </w:pPr>
      <w:r w:rsidRPr="00A27D3A">
        <w:tab/>
        <w:t>(f)</w:t>
      </w:r>
      <w:r w:rsidRPr="00A27D3A">
        <w:tab/>
        <w:t>CDR complaint data;</w:t>
      </w:r>
    </w:p>
    <w:p w14:paraId="36E706B0" w14:textId="77777777" w:rsidR="00CF0E3D" w:rsidRPr="00A27D3A" w:rsidRDefault="00CF0E3D" w:rsidP="00CF0E3D">
      <w:pPr>
        <w:pStyle w:val="paragraph"/>
      </w:pPr>
      <w:r w:rsidRPr="00A27D3A">
        <w:tab/>
        <w:t>(g)</w:t>
      </w:r>
      <w:r w:rsidRPr="00A27D3A">
        <w:tab/>
        <w:t>the processes by which the data holder asks CDR consumers for their authorisation to disclose CDR data and for an amendment to their authorisation, including a video of each process.</w:t>
      </w:r>
    </w:p>
    <w:p w14:paraId="57F871AA" w14:textId="77777777" w:rsidR="00CF0E3D" w:rsidRPr="00F07699" w:rsidRDefault="00CF0E3D" w:rsidP="00CF0E3D">
      <w:pPr>
        <w:pStyle w:val="subsection"/>
      </w:pPr>
      <w:r w:rsidRPr="00F07699">
        <w:tab/>
      </w:r>
      <w:r w:rsidRPr="00F07699">
        <w:tab/>
        <w:t>Civil penalty:</w:t>
      </w:r>
    </w:p>
    <w:p w14:paraId="712D7DE4" w14:textId="77777777" w:rsidR="00CF0E3D" w:rsidRPr="00F07699" w:rsidRDefault="00CF0E3D" w:rsidP="00CF0E3D">
      <w:pPr>
        <w:pStyle w:val="paragraph"/>
      </w:pPr>
      <w:r w:rsidRPr="00F07699">
        <w:tab/>
        <w:t>(a)</w:t>
      </w:r>
      <w:r w:rsidRPr="00F07699">
        <w:tab/>
        <w:t>for an individual―$50,000; and</w:t>
      </w:r>
    </w:p>
    <w:p w14:paraId="79438CAF" w14:textId="77777777" w:rsidR="00CF0E3D" w:rsidRDefault="00CF0E3D" w:rsidP="00CF0E3D">
      <w:pPr>
        <w:pStyle w:val="paragraph"/>
      </w:pPr>
      <w:r w:rsidRPr="00F07699">
        <w:tab/>
        <w:t>(b)</w:t>
      </w:r>
      <w:r w:rsidRPr="00F07699">
        <w:tab/>
        <w:t>for a body corporate―$250,000.</w:t>
      </w:r>
    </w:p>
    <w:p w14:paraId="2F791554" w14:textId="77777777" w:rsidR="00CF0E3D" w:rsidRPr="00F07699" w:rsidRDefault="00CF0E3D" w:rsidP="00CF0E3D">
      <w:pPr>
        <w:pStyle w:val="SubsectionHead"/>
      </w:pPr>
      <w:r w:rsidRPr="00F07699">
        <w:t>Records to be kept and maintained—accredited data recipient</w:t>
      </w:r>
    </w:p>
    <w:p w14:paraId="533405D1" w14:textId="77777777" w:rsidR="00CF0E3D" w:rsidRPr="00F07699" w:rsidRDefault="00CF0E3D" w:rsidP="00CF0E3D">
      <w:pPr>
        <w:pStyle w:val="subsection"/>
      </w:pPr>
      <w:r w:rsidRPr="00F07699">
        <w:tab/>
        <w:t>(2)</w:t>
      </w:r>
      <w:r w:rsidRPr="00F07699">
        <w:tab/>
        <w:t>An accredited data recipient must keep and maintain records that record and explain the following:</w:t>
      </w:r>
    </w:p>
    <w:p w14:paraId="0DCFF5A6" w14:textId="77777777" w:rsidR="00CF0E3D" w:rsidRPr="00A27D3A" w:rsidRDefault="00CF0E3D" w:rsidP="00CF0E3D">
      <w:pPr>
        <w:pStyle w:val="paragraph"/>
      </w:pPr>
      <w:r w:rsidRPr="00A27D3A">
        <w:tab/>
        <w:t>(a)</w:t>
      </w:r>
      <w:r w:rsidRPr="00A27D3A">
        <w:tab/>
        <w:t xml:space="preserve">all consents, including, if applicable, the uses of the CDR data that the CDR consumer has consented to under any use consents; </w:t>
      </w:r>
    </w:p>
    <w:p w14:paraId="7E0FA928" w14:textId="77777777" w:rsidR="00CF0E3D" w:rsidRPr="00A27D3A" w:rsidRDefault="00CF0E3D" w:rsidP="00CF0E3D">
      <w:pPr>
        <w:pStyle w:val="paragraph"/>
      </w:pPr>
      <w:r w:rsidRPr="00A27D3A">
        <w:tab/>
        <w:t>(b)</w:t>
      </w:r>
      <w:r w:rsidRPr="00A27D3A">
        <w:tab/>
        <w:t>amendments to or withdrawals of consents by CDR consumers;</w:t>
      </w:r>
    </w:p>
    <w:p w14:paraId="39D96B27" w14:textId="77777777" w:rsidR="00CF0E3D" w:rsidRPr="00A27D3A" w:rsidRDefault="00CF0E3D" w:rsidP="00CF0E3D">
      <w:pPr>
        <w:pStyle w:val="paragraph"/>
      </w:pPr>
      <w:r w:rsidRPr="00A27D3A">
        <w:tab/>
        <w:t>(c)</w:t>
      </w:r>
      <w:r w:rsidRPr="00A27D3A">
        <w:tab/>
        <w:t>notifications of withdrawals of authorisations received from data holders;</w:t>
      </w:r>
    </w:p>
    <w:p w14:paraId="64F08850" w14:textId="77777777" w:rsidR="00CF0E3D" w:rsidRPr="00A27D3A" w:rsidRDefault="00CF0E3D" w:rsidP="00CF0E3D">
      <w:pPr>
        <w:pStyle w:val="paragraph"/>
      </w:pPr>
      <w:r w:rsidRPr="00A27D3A">
        <w:tab/>
        <w:t>(d)</w:t>
      </w:r>
      <w:r w:rsidRPr="00A27D3A">
        <w:tab/>
        <w:t>CDR complaint data;</w:t>
      </w:r>
    </w:p>
    <w:p w14:paraId="7AAA5A66" w14:textId="77777777" w:rsidR="00CF0E3D" w:rsidRPr="00A27D3A" w:rsidRDefault="00CF0E3D" w:rsidP="00CF0E3D">
      <w:pPr>
        <w:pStyle w:val="paragraph"/>
      </w:pPr>
      <w:r w:rsidRPr="00A27D3A">
        <w:tab/>
        <w:t>(e)</w:t>
      </w:r>
      <w:r w:rsidRPr="00A27D3A">
        <w:tab/>
        <w:t>collections of CDR data under these rules;</w:t>
      </w:r>
    </w:p>
    <w:p w14:paraId="745AE620" w14:textId="77777777" w:rsidR="00CF0E3D" w:rsidRPr="00A27D3A" w:rsidRDefault="00CF0E3D" w:rsidP="00CF0E3D">
      <w:pPr>
        <w:pStyle w:val="paragraph"/>
      </w:pPr>
      <w:r w:rsidRPr="00A27D3A">
        <w:tab/>
        <w:t>(ea)</w:t>
      </w:r>
      <w:r w:rsidRPr="00A27D3A">
        <w:tab/>
        <w:t>disclosures of CDR data to accredited persons under these rules, and the accredited persons to which any CDR data was disclosed;</w:t>
      </w:r>
    </w:p>
    <w:p w14:paraId="52F859CF" w14:textId="534A180B" w:rsidR="0095772B" w:rsidRPr="00BC78CF" w:rsidRDefault="0095772B" w:rsidP="0095772B">
      <w:pPr>
        <w:pStyle w:val="paragraph"/>
        <w:rPr>
          <w:color w:val="FF0000"/>
        </w:rPr>
      </w:pPr>
      <w:r w:rsidRPr="00BC78CF">
        <w:rPr>
          <w:color w:val="FF0000"/>
        </w:rPr>
        <w:tab/>
        <w:t>(eb)</w:t>
      </w:r>
      <w:r w:rsidRPr="00BC78CF">
        <w:rPr>
          <w:color w:val="FF0000"/>
        </w:rPr>
        <w:tab/>
        <w:t>disclosur</w:t>
      </w:r>
      <w:r w:rsidR="00386C4A" w:rsidRPr="00BC78CF">
        <w:rPr>
          <w:color w:val="FF0000"/>
        </w:rPr>
        <w:t>es of CDR data to trusted advise</w:t>
      </w:r>
      <w:r w:rsidRPr="00BC78CF">
        <w:rPr>
          <w:color w:val="FF0000"/>
        </w:rPr>
        <w:t>rs, and t</w:t>
      </w:r>
      <w:r w:rsidR="00386C4A" w:rsidRPr="00BC78CF">
        <w:rPr>
          <w:color w:val="FF0000"/>
        </w:rPr>
        <w:t>rusted advise</w:t>
      </w:r>
      <w:r w:rsidRPr="00BC78CF">
        <w:rPr>
          <w:color w:val="FF0000"/>
        </w:rPr>
        <w:t>rs to whom CDR data was disclosed;</w:t>
      </w:r>
    </w:p>
    <w:p w14:paraId="1AE344B2" w14:textId="0DB659C6" w:rsidR="00CE12C3" w:rsidRPr="00BC78CF" w:rsidRDefault="00CE12C3" w:rsidP="0095772B">
      <w:pPr>
        <w:pStyle w:val="paragraph"/>
        <w:rPr>
          <w:color w:val="FF0000"/>
        </w:rPr>
      </w:pPr>
      <w:r w:rsidRPr="00BC78CF">
        <w:rPr>
          <w:color w:val="FF0000"/>
        </w:rPr>
        <w:tab/>
        <w:t>(ec)</w:t>
      </w:r>
      <w:r w:rsidRPr="00BC78CF">
        <w:rPr>
          <w:color w:val="FF0000"/>
        </w:rPr>
        <w:tab/>
        <w:t>the steps taken to confirm that a trusted advisor is a member of a class of trusted advisors for paragraph 7.5A(3);</w:t>
      </w:r>
    </w:p>
    <w:p w14:paraId="1C9A4E0A" w14:textId="615F1589" w:rsidR="0095772B" w:rsidRPr="00BC78CF" w:rsidRDefault="0095772B" w:rsidP="0095772B">
      <w:pPr>
        <w:pStyle w:val="paragraph"/>
        <w:rPr>
          <w:color w:val="FF0000"/>
        </w:rPr>
      </w:pPr>
      <w:r w:rsidRPr="00BC78CF">
        <w:rPr>
          <w:color w:val="FF0000"/>
        </w:rPr>
        <w:tab/>
        <w:t>(e</w:t>
      </w:r>
      <w:r w:rsidR="00CE12C3" w:rsidRPr="00BC78CF">
        <w:rPr>
          <w:color w:val="FF0000"/>
        </w:rPr>
        <w:t>d</w:t>
      </w:r>
      <w:r w:rsidRPr="00BC78CF">
        <w:rPr>
          <w:color w:val="FF0000"/>
        </w:rPr>
        <w:t>)</w:t>
      </w:r>
      <w:r w:rsidRPr="00BC78CF">
        <w:rPr>
          <w:color w:val="FF0000"/>
        </w:rPr>
        <w:tab/>
        <w:t xml:space="preserve">disclosures of </w:t>
      </w:r>
      <w:r w:rsidR="00AB7B51" w:rsidRPr="00BC78CF">
        <w:rPr>
          <w:color w:val="FF0000"/>
        </w:rPr>
        <w:t xml:space="preserve">CDR </w:t>
      </w:r>
      <w:r w:rsidRPr="00BC78CF">
        <w:rPr>
          <w:color w:val="FF0000"/>
        </w:rPr>
        <w:t xml:space="preserve">insights, including </w:t>
      </w:r>
      <w:r w:rsidR="00C7378A" w:rsidRPr="00BC78CF">
        <w:rPr>
          <w:color w:val="FF0000"/>
        </w:rPr>
        <w:t>a copy</w:t>
      </w:r>
      <w:r w:rsidRPr="00BC78CF">
        <w:rPr>
          <w:color w:val="FF0000"/>
        </w:rPr>
        <w:t xml:space="preserve"> of each </w:t>
      </w:r>
      <w:r w:rsidR="00AB7B51" w:rsidRPr="00BC78CF">
        <w:rPr>
          <w:color w:val="FF0000"/>
        </w:rPr>
        <w:t xml:space="preserve">CDR </w:t>
      </w:r>
      <w:r w:rsidRPr="00BC78CF">
        <w:rPr>
          <w:color w:val="FF0000"/>
        </w:rPr>
        <w:t>insight disclosed, to whom it was disclosed and when;</w:t>
      </w:r>
    </w:p>
    <w:p w14:paraId="5E3B4931" w14:textId="77777777" w:rsidR="00CF0E3D" w:rsidRPr="00A27D3A" w:rsidRDefault="00CF0E3D" w:rsidP="00CF0E3D">
      <w:pPr>
        <w:pStyle w:val="paragraph"/>
      </w:pPr>
      <w:r w:rsidRPr="00A27D3A">
        <w:tab/>
        <w:t>(f)</w:t>
      </w:r>
      <w:r w:rsidRPr="00A27D3A">
        <w:tab/>
        <w:t>elections to delete and withdrawals of those elections;</w:t>
      </w:r>
    </w:p>
    <w:p w14:paraId="2373C87A" w14:textId="77777777" w:rsidR="00CF0E3D" w:rsidRPr="00A27D3A" w:rsidRDefault="00CF0E3D" w:rsidP="00CF0E3D">
      <w:pPr>
        <w:pStyle w:val="paragraph"/>
      </w:pPr>
      <w:r w:rsidRPr="00A27D3A">
        <w:tab/>
        <w:t>(g)</w:t>
      </w:r>
      <w:r w:rsidRPr="00A27D3A">
        <w:tab/>
        <w:t>the use of CDR data by the accredited data recipient;</w:t>
      </w:r>
    </w:p>
    <w:p w14:paraId="2BDEA479" w14:textId="77777777" w:rsidR="00CF0E3D" w:rsidRPr="00A27D3A" w:rsidRDefault="00CF0E3D" w:rsidP="00CF0E3D">
      <w:pPr>
        <w:pStyle w:val="paragraph"/>
      </w:pPr>
      <w:r w:rsidRPr="00A27D3A">
        <w:tab/>
        <w:t>(h)</w:t>
      </w:r>
      <w:r w:rsidRPr="00A27D3A">
        <w:tab/>
        <w:t>the processes by which the accredited data recipient asks CDR consumers for their consent and for an amendment to their consent, including a video of each process;</w:t>
      </w:r>
    </w:p>
    <w:p w14:paraId="1758799F" w14:textId="77777777" w:rsidR="00CF0E3D" w:rsidRPr="0082342F" w:rsidRDefault="00CF0E3D" w:rsidP="00CF0E3D">
      <w:pPr>
        <w:pStyle w:val="paragraph"/>
      </w:pPr>
      <w:r w:rsidRPr="0082342F">
        <w:tab/>
        <w:t>(i)</w:t>
      </w:r>
      <w:r w:rsidRPr="0082342F">
        <w:tab/>
        <w:t>if applicable:</w:t>
      </w:r>
    </w:p>
    <w:p w14:paraId="383E7D10" w14:textId="1DD71459" w:rsidR="00CF0E3D" w:rsidRPr="0082342F" w:rsidRDefault="00CF0E3D" w:rsidP="00CF0E3D">
      <w:pPr>
        <w:pStyle w:val="paragraphsub"/>
      </w:pPr>
      <w:r w:rsidRPr="0082342F">
        <w:tab/>
        <w:t>(i)</w:t>
      </w:r>
      <w:r w:rsidRPr="0082342F">
        <w:tab/>
        <w:t>arrangements that may result in CDR data being collected by or disclosed to outsourced service providers</w:t>
      </w:r>
      <w:r w:rsidR="0082342F">
        <w:t xml:space="preserve"> </w:t>
      </w:r>
      <w:r w:rsidR="0082342F" w:rsidRPr="00BC78CF">
        <w:rPr>
          <w:color w:val="FF0000"/>
        </w:rPr>
        <w:t>or sponsors</w:t>
      </w:r>
      <w:r w:rsidRPr="0082342F">
        <w:t>, including copies of agreements with outsourced service providers</w:t>
      </w:r>
      <w:r w:rsidR="002D21EE" w:rsidRPr="00BC78CF">
        <w:rPr>
          <w:color w:val="FF0000"/>
        </w:rPr>
        <w:t xml:space="preserve"> or sponsors</w:t>
      </w:r>
      <w:r w:rsidRPr="0082342F">
        <w:t>; and</w:t>
      </w:r>
    </w:p>
    <w:p w14:paraId="5050A069" w14:textId="76D5D622" w:rsidR="00CF0E3D" w:rsidRPr="002D21EE" w:rsidRDefault="00CF0E3D" w:rsidP="00CF0E3D">
      <w:pPr>
        <w:pStyle w:val="paragraphsub"/>
      </w:pPr>
      <w:r w:rsidRPr="002D21EE">
        <w:tab/>
        <w:t>(ii)</w:t>
      </w:r>
      <w:r w:rsidRPr="002D21EE">
        <w:tab/>
        <w:t>the use and management of CDR data by those providers</w:t>
      </w:r>
      <w:r w:rsidR="002D21EE">
        <w:t xml:space="preserve"> </w:t>
      </w:r>
      <w:r w:rsidR="002D21EE" w:rsidRPr="00BC78CF">
        <w:rPr>
          <w:color w:val="FF0000"/>
        </w:rPr>
        <w:t>or sponsors</w:t>
      </w:r>
      <w:r w:rsidRPr="002D21EE">
        <w:t>;</w:t>
      </w:r>
    </w:p>
    <w:p w14:paraId="4026AE91" w14:textId="77777777" w:rsidR="00CF0E3D" w:rsidRPr="00F07699" w:rsidRDefault="00CF0E3D" w:rsidP="00CF0E3D">
      <w:pPr>
        <w:pStyle w:val="paragraph"/>
      </w:pPr>
      <w:r w:rsidRPr="00F07699">
        <w:tab/>
        <w:t>(j)</w:t>
      </w:r>
      <w:r w:rsidRPr="00F07699">
        <w:tab/>
        <w:t>if CDR data was de-identified in accordance with a consent referred to in paragraph 4.11(3)(e):</w:t>
      </w:r>
    </w:p>
    <w:p w14:paraId="2703C306" w14:textId="77777777" w:rsidR="00CF0E3D" w:rsidRPr="00F07699" w:rsidRDefault="00CF0E3D" w:rsidP="00CF0E3D">
      <w:pPr>
        <w:pStyle w:val="paragraphsub"/>
      </w:pPr>
      <w:r w:rsidRPr="00F07699">
        <w:tab/>
        <w:t>(i)</w:t>
      </w:r>
      <w:r w:rsidRPr="00F07699">
        <w:tab/>
        <w:t>how the data was de</w:t>
      </w:r>
      <w:r w:rsidRPr="00F07699">
        <w:noBreakHyphen/>
        <w:t>identified; and</w:t>
      </w:r>
    </w:p>
    <w:p w14:paraId="565D888E" w14:textId="77777777" w:rsidR="00CF0E3D" w:rsidRPr="00F07699" w:rsidRDefault="00CF0E3D" w:rsidP="00CF0E3D">
      <w:pPr>
        <w:pStyle w:val="paragraphsub"/>
      </w:pPr>
      <w:r w:rsidRPr="00F07699">
        <w:tab/>
        <w:t>(ii)</w:t>
      </w:r>
      <w:r w:rsidRPr="00F07699">
        <w:tab/>
        <w:t>how the accredited data recipient used the de</w:t>
      </w:r>
      <w:r w:rsidRPr="00F07699">
        <w:noBreakHyphen/>
        <w:t>identified data; and</w:t>
      </w:r>
    </w:p>
    <w:p w14:paraId="5D4CA572" w14:textId="77777777" w:rsidR="00CF0E3D" w:rsidRPr="00F07699" w:rsidRDefault="00CF0E3D" w:rsidP="00CF0E3D">
      <w:pPr>
        <w:pStyle w:val="paragraphsub"/>
      </w:pPr>
      <w:r w:rsidRPr="00F07699">
        <w:tab/>
        <w:t>(iii)</w:t>
      </w:r>
      <w:r w:rsidRPr="00F07699">
        <w:tab/>
        <w:t>if the accredited data recipient disclosed (by sale or otherwise) the de</w:t>
      </w:r>
      <w:r w:rsidRPr="00F07699">
        <w:noBreakHyphen/>
        <w:t>identified data to another person as referred to in paragraph 4.15(b):</w:t>
      </w:r>
    </w:p>
    <w:p w14:paraId="6073FBE6" w14:textId="77777777" w:rsidR="00CF0E3D" w:rsidRPr="00F07699" w:rsidRDefault="00CF0E3D" w:rsidP="00CF0E3D">
      <w:pPr>
        <w:pStyle w:val="paragraphsub-sub"/>
      </w:pPr>
      <w:r w:rsidRPr="00F07699">
        <w:tab/>
        <w:t>(A)</w:t>
      </w:r>
      <w:r w:rsidRPr="00F07699">
        <w:tab/>
        <w:t>to whom the data was so disclosed; and</w:t>
      </w:r>
    </w:p>
    <w:p w14:paraId="5C939F90" w14:textId="77777777" w:rsidR="00CF0E3D" w:rsidRDefault="00CF0E3D" w:rsidP="00CF0E3D">
      <w:pPr>
        <w:pStyle w:val="paragraphsub-sub"/>
      </w:pPr>
      <w:r w:rsidRPr="00F07699">
        <w:tab/>
        <w:t>(B)</w:t>
      </w:r>
      <w:r w:rsidRPr="00F07699">
        <w:tab/>
      </w:r>
      <w:r>
        <w:t>why the data was so disclosed;</w:t>
      </w:r>
    </w:p>
    <w:p w14:paraId="265D3E91" w14:textId="77777777" w:rsidR="00CF0E3D" w:rsidRPr="001B5F32" w:rsidRDefault="00CF0E3D" w:rsidP="00CF0E3D">
      <w:pPr>
        <w:pStyle w:val="paragraphsub"/>
      </w:pPr>
      <w:r w:rsidRPr="00572C56">
        <w:tab/>
      </w:r>
      <w:r w:rsidRPr="001B5F32">
        <w:t>(iv)</w:t>
      </w:r>
      <w:r w:rsidRPr="001B5F32">
        <w:tab/>
        <w:t>if the use is for general research―records of any additional benefit to be provided to the CDR consumer for consenting to the use;</w:t>
      </w:r>
    </w:p>
    <w:p w14:paraId="6235FFB0" w14:textId="77777777" w:rsidR="00CF0E3D" w:rsidRPr="00A27D3A" w:rsidRDefault="00CF0E3D" w:rsidP="00CF0E3D">
      <w:pPr>
        <w:pStyle w:val="paragraph"/>
      </w:pPr>
      <w:r w:rsidRPr="00A27D3A">
        <w:tab/>
        <w:t>(k)</w:t>
      </w:r>
      <w:r w:rsidRPr="00A27D3A">
        <w:tab/>
        <w:t>records that are required to be made for the purposes of the CDR data de</w:t>
      </w:r>
      <w:r w:rsidRPr="00A27D3A">
        <w:noBreakHyphen/>
        <w:t>identification process when applied as part of privacy safeguard 12;</w:t>
      </w:r>
    </w:p>
    <w:p w14:paraId="4C9EF9EC" w14:textId="77777777" w:rsidR="00CF0E3D" w:rsidRPr="00A27D3A" w:rsidRDefault="00CF0E3D" w:rsidP="00CF0E3D">
      <w:pPr>
        <w:pStyle w:val="paragraph"/>
      </w:pPr>
      <w:r w:rsidRPr="00A27D3A">
        <w:tab/>
        <w:t>(l)</w:t>
      </w:r>
      <w:r w:rsidRPr="00A27D3A">
        <w:tab/>
        <w:t>records of any matters that are required to be retained under Schedule 2 to these rules;</w:t>
      </w:r>
    </w:p>
    <w:p w14:paraId="09E6BDA9" w14:textId="77777777" w:rsidR="00CF0E3D" w:rsidRPr="00F07699" w:rsidRDefault="00CF0E3D" w:rsidP="00CF0E3D">
      <w:pPr>
        <w:pStyle w:val="paragraph"/>
      </w:pPr>
      <w:r w:rsidRPr="00A27D3A">
        <w:tab/>
        <w:t>(m)</w:t>
      </w:r>
      <w:r w:rsidRPr="00A27D3A">
        <w:tab/>
        <w:t xml:space="preserve">any terms and conditions on which the accredited data recipient offers goods or services where the accredited data recipient collects or uses, or discloses to an accredited person, CDR data in order to provide </w:t>
      </w:r>
      <w:r w:rsidRPr="00F07699">
        <w:t>the good or service.</w:t>
      </w:r>
    </w:p>
    <w:p w14:paraId="7406B796" w14:textId="77777777" w:rsidR="00CF0E3D" w:rsidRPr="00F07699" w:rsidRDefault="00CF0E3D" w:rsidP="00CF0E3D">
      <w:pPr>
        <w:pStyle w:val="notetext"/>
      </w:pPr>
      <w:r w:rsidRPr="00F07699">
        <w:t>Note:</w:t>
      </w:r>
      <w:r w:rsidRPr="00F07699">
        <w:tab/>
        <w:t>For paragraph (k), see section 56EO of the Act and rule 7.12.</w:t>
      </w:r>
    </w:p>
    <w:p w14:paraId="40BDE25D" w14:textId="77777777" w:rsidR="00CF0E3D" w:rsidRPr="00F07699" w:rsidRDefault="00CF0E3D" w:rsidP="00CF0E3D">
      <w:pPr>
        <w:pStyle w:val="subsection"/>
      </w:pPr>
      <w:r w:rsidRPr="00F07699">
        <w:tab/>
      </w:r>
      <w:r w:rsidRPr="00F07699">
        <w:tab/>
        <w:t>Civil penalty:</w:t>
      </w:r>
    </w:p>
    <w:p w14:paraId="4FA1E0C7" w14:textId="77777777" w:rsidR="00CF0E3D" w:rsidRPr="00F07699" w:rsidRDefault="00CF0E3D" w:rsidP="00CF0E3D">
      <w:pPr>
        <w:pStyle w:val="paragraph"/>
      </w:pPr>
      <w:r w:rsidRPr="00F07699">
        <w:tab/>
        <w:t>(a)</w:t>
      </w:r>
      <w:r w:rsidRPr="00F07699">
        <w:tab/>
        <w:t>for an individual―$50,000; and</w:t>
      </w:r>
    </w:p>
    <w:p w14:paraId="103907B7" w14:textId="77777777" w:rsidR="00CF0E3D" w:rsidRPr="00F07699" w:rsidRDefault="00CF0E3D" w:rsidP="00CF0E3D">
      <w:pPr>
        <w:pStyle w:val="paragraph"/>
      </w:pPr>
      <w:r w:rsidRPr="00F07699">
        <w:tab/>
        <w:t>(b)</w:t>
      </w:r>
      <w:r w:rsidRPr="00F07699">
        <w:tab/>
        <w:t>for a body corporate―$250,000.</w:t>
      </w:r>
    </w:p>
    <w:p w14:paraId="76E9ADA7" w14:textId="77777777" w:rsidR="00CF0E3D" w:rsidRPr="003F3AC9" w:rsidRDefault="00CF0E3D" w:rsidP="00CF0E3D">
      <w:pPr>
        <w:pStyle w:val="SubsectionHead"/>
      </w:pPr>
      <w:r w:rsidRPr="003F3AC9">
        <w:t>Specificity of records</w:t>
      </w:r>
    </w:p>
    <w:p w14:paraId="7DB7C604" w14:textId="77777777" w:rsidR="00CF0E3D" w:rsidRPr="003F3AC9" w:rsidRDefault="00CF0E3D" w:rsidP="00CF0E3D">
      <w:pPr>
        <w:pStyle w:val="subsection"/>
      </w:pPr>
      <w:r w:rsidRPr="003F3AC9">
        <w:tab/>
      </w:r>
      <w:r>
        <w:t>(3)</w:t>
      </w:r>
      <w:r w:rsidRPr="003F3AC9">
        <w:tab/>
        <w:t>Each record referred to in this rule must include the date and time when the record was made and, if applicable, the date and time when the event described by the record occurred.</w:t>
      </w:r>
    </w:p>
    <w:p w14:paraId="0E348C74" w14:textId="77777777" w:rsidR="00CF0E3D" w:rsidRPr="0072242E" w:rsidRDefault="00CF0E3D" w:rsidP="00CF0E3D">
      <w:pPr>
        <w:pStyle w:val="SubsectionHead"/>
      </w:pPr>
      <w:r w:rsidRPr="0072242E">
        <w:t>Translation of records</w:t>
      </w:r>
    </w:p>
    <w:p w14:paraId="10FD0181" w14:textId="77777777" w:rsidR="00CF0E3D" w:rsidRPr="0072242E" w:rsidRDefault="00CF0E3D" w:rsidP="00CF0E3D">
      <w:pPr>
        <w:pStyle w:val="subsection"/>
      </w:pPr>
      <w:r w:rsidRPr="0072242E">
        <w:tab/>
      </w:r>
      <w:r>
        <w:t>(4)</w:t>
      </w:r>
      <w:r w:rsidRPr="0072242E">
        <w:tab/>
        <w:t xml:space="preserve">Where a record referred to in this rule is kept in a language other than English, an English translation of the record must be made available within a reasonable time to a person who: </w:t>
      </w:r>
    </w:p>
    <w:p w14:paraId="552F70A7" w14:textId="77777777" w:rsidR="00CF0E3D" w:rsidRPr="0072242E" w:rsidRDefault="00CF0E3D" w:rsidP="00CF0E3D">
      <w:pPr>
        <w:pStyle w:val="paragraph"/>
      </w:pPr>
      <w:r w:rsidRPr="0072242E">
        <w:tab/>
      </w:r>
      <w:r>
        <w:t>(a)</w:t>
      </w:r>
      <w:r w:rsidRPr="0072242E">
        <w:tab/>
        <w:t xml:space="preserve">is entitled to inspect the records under </w:t>
      </w:r>
      <w:r>
        <w:t>Subdivision 9.3.2</w:t>
      </w:r>
      <w:r w:rsidRPr="0072242E">
        <w:t>; and</w:t>
      </w:r>
    </w:p>
    <w:p w14:paraId="180198C0" w14:textId="77777777" w:rsidR="00CF0E3D" w:rsidRPr="0072242E" w:rsidRDefault="00CF0E3D" w:rsidP="00CF0E3D">
      <w:pPr>
        <w:pStyle w:val="paragraph"/>
      </w:pPr>
      <w:r w:rsidRPr="0072242E">
        <w:tab/>
      </w:r>
      <w:r>
        <w:t>(b)</w:t>
      </w:r>
      <w:r w:rsidRPr="0072242E">
        <w:tab/>
        <w:t xml:space="preserve">asks for the English translation. </w:t>
      </w:r>
    </w:p>
    <w:p w14:paraId="104DCEAD" w14:textId="77777777" w:rsidR="00CF0E3D" w:rsidRPr="00BE2511" w:rsidRDefault="00CF0E3D" w:rsidP="00CF0E3D">
      <w:pPr>
        <w:pStyle w:val="SubsectionHead"/>
      </w:pPr>
      <w:r>
        <w:t>Period for retention of records</w:t>
      </w:r>
    </w:p>
    <w:p w14:paraId="13FE7CEC" w14:textId="77777777" w:rsidR="00CF0E3D" w:rsidRDefault="00CF0E3D" w:rsidP="00CF0E3D">
      <w:pPr>
        <w:pStyle w:val="subsection"/>
      </w:pPr>
      <w:r>
        <w:tab/>
        <w:t>(5)</w:t>
      </w:r>
      <w:r>
        <w:tab/>
        <w:t>Each record referred to in this rule must be kept for a period of 6 years beginning on the day the record was created.</w:t>
      </w:r>
    </w:p>
    <w:p w14:paraId="250B1472" w14:textId="77777777" w:rsidR="00CF0E3D" w:rsidRDefault="00CF0E3D" w:rsidP="00CF0E3D">
      <w:pPr>
        <w:pStyle w:val="subsection"/>
      </w:pPr>
      <w:r>
        <w:tab/>
      </w:r>
      <w:r>
        <w:tab/>
        <w:t>Civil penalty:</w:t>
      </w:r>
    </w:p>
    <w:p w14:paraId="351C216C" w14:textId="77777777" w:rsidR="00CF0E3D" w:rsidRDefault="00CF0E3D" w:rsidP="00CF0E3D">
      <w:pPr>
        <w:pStyle w:val="paragraph"/>
      </w:pPr>
      <w:r>
        <w:tab/>
        <w:t>(a)</w:t>
      </w:r>
      <w:r>
        <w:tab/>
        <w:t>for an individual―$50,000; and</w:t>
      </w:r>
    </w:p>
    <w:p w14:paraId="133AF511" w14:textId="77777777" w:rsidR="00CF0E3D" w:rsidRPr="00E1300D" w:rsidRDefault="00CF0E3D" w:rsidP="00CF0E3D">
      <w:pPr>
        <w:pStyle w:val="paragraph"/>
      </w:pPr>
      <w:r>
        <w:tab/>
        <w:t>(b)</w:t>
      </w:r>
      <w:r>
        <w:tab/>
        <w:t>for a body corporate―$250,000.</w:t>
      </w:r>
    </w:p>
    <w:p w14:paraId="57D855EE" w14:textId="77777777" w:rsidR="00CF0E3D" w:rsidRDefault="00CF0E3D" w:rsidP="00CF0E3D">
      <w:pPr>
        <w:pStyle w:val="ActHead5"/>
      </w:pPr>
      <w:bookmarkStart w:id="534" w:name="_Toc11771705"/>
      <w:bookmarkStart w:id="535" w:name="_Toc74916290"/>
      <w:r>
        <w:t>9.4  Reporting requirements</w:t>
      </w:r>
      <w:bookmarkEnd w:id="534"/>
      <w:bookmarkEnd w:id="535"/>
    </w:p>
    <w:p w14:paraId="2165739D" w14:textId="77777777" w:rsidR="00CF0E3D" w:rsidRPr="00435823" w:rsidRDefault="00CF0E3D" w:rsidP="00CF0E3D">
      <w:pPr>
        <w:pStyle w:val="SubsectionHead"/>
      </w:pPr>
      <w:r>
        <w:t>Reports that must be prepared—data holder</w:t>
      </w:r>
    </w:p>
    <w:p w14:paraId="4C1113F1" w14:textId="77777777" w:rsidR="00CF0E3D" w:rsidRDefault="00CF0E3D" w:rsidP="00CF0E3D">
      <w:pPr>
        <w:pStyle w:val="subsection"/>
      </w:pPr>
      <w:r>
        <w:tab/>
        <w:t>(1)</w:t>
      </w:r>
      <w:r>
        <w:tab/>
        <w:t>A data holder must prepare a report for each reporting period that:</w:t>
      </w:r>
    </w:p>
    <w:p w14:paraId="4636F073" w14:textId="77777777" w:rsidR="00CF0E3D" w:rsidRPr="001151F8" w:rsidRDefault="00CF0E3D" w:rsidP="00CF0E3D">
      <w:pPr>
        <w:pStyle w:val="paragraph"/>
      </w:pPr>
      <w:r w:rsidRPr="001151F8">
        <w:tab/>
      </w:r>
      <w:r>
        <w:t>(a)</w:t>
      </w:r>
      <w:r w:rsidRPr="001151F8">
        <w:tab/>
        <w:t>is in the form approved by the Commission for the purposes of this rule; and</w:t>
      </w:r>
    </w:p>
    <w:p w14:paraId="44B334D5" w14:textId="77777777" w:rsidR="00CF0E3D" w:rsidRPr="0072242E" w:rsidRDefault="00CF0E3D" w:rsidP="00CF0E3D">
      <w:pPr>
        <w:pStyle w:val="paragraph"/>
      </w:pPr>
      <w:r w:rsidRPr="0072242E">
        <w:tab/>
      </w:r>
      <w:r>
        <w:t>(b)</w:t>
      </w:r>
      <w:r w:rsidRPr="0072242E">
        <w:tab/>
        <w:t>summarises the CDR complaint data that relates to that reporting period; and</w:t>
      </w:r>
    </w:p>
    <w:p w14:paraId="29FEAD0A" w14:textId="77777777" w:rsidR="00CF0E3D" w:rsidRPr="0072242E" w:rsidRDefault="00CF0E3D" w:rsidP="00CF0E3D">
      <w:pPr>
        <w:pStyle w:val="paragraph"/>
      </w:pPr>
      <w:r w:rsidRPr="0072242E">
        <w:tab/>
      </w:r>
      <w:r>
        <w:t>(c)</w:t>
      </w:r>
      <w:r w:rsidRPr="0072242E">
        <w:tab/>
        <w:t>sets out the number (if any) of:</w:t>
      </w:r>
    </w:p>
    <w:p w14:paraId="2A41346C" w14:textId="77777777" w:rsidR="00CF0E3D" w:rsidRPr="0072242E" w:rsidRDefault="00CF0E3D" w:rsidP="00CF0E3D">
      <w:pPr>
        <w:pStyle w:val="paragraphsub"/>
      </w:pPr>
      <w:r w:rsidRPr="0072242E">
        <w:tab/>
      </w:r>
      <w:r>
        <w:t>(i)</w:t>
      </w:r>
      <w:r w:rsidRPr="0072242E">
        <w:tab/>
        <w:t>product data requests; and</w:t>
      </w:r>
    </w:p>
    <w:p w14:paraId="2284DA45" w14:textId="77777777" w:rsidR="00CF0E3D" w:rsidRPr="0072242E" w:rsidRDefault="00CF0E3D" w:rsidP="00CF0E3D">
      <w:pPr>
        <w:pStyle w:val="paragraphsub"/>
      </w:pPr>
      <w:r w:rsidRPr="0072242E">
        <w:tab/>
      </w:r>
      <w:r>
        <w:t>(ii)</w:t>
      </w:r>
      <w:r w:rsidRPr="0072242E">
        <w:tab/>
        <w:t>consumer data requests made by eligible CDR consumers; and</w:t>
      </w:r>
    </w:p>
    <w:p w14:paraId="5DB64409" w14:textId="77777777" w:rsidR="00CF0E3D" w:rsidRPr="0072242E" w:rsidRDefault="00CF0E3D" w:rsidP="00CF0E3D">
      <w:pPr>
        <w:pStyle w:val="paragraphsub"/>
      </w:pPr>
      <w:r w:rsidRPr="0072242E">
        <w:tab/>
      </w:r>
      <w:r>
        <w:t>(iii)</w:t>
      </w:r>
      <w:r w:rsidRPr="0072242E">
        <w:tab/>
        <w:t>consumer data requests made by accredited persons</w:t>
      </w:r>
      <w:r>
        <w:t xml:space="preserve"> </w:t>
      </w:r>
      <w:r w:rsidRPr="00A23141">
        <w:t>on behalf of eligible CDR consumers</w:t>
      </w:r>
      <w:r w:rsidRPr="0072242E">
        <w:t>;</w:t>
      </w:r>
    </w:p>
    <w:p w14:paraId="345CE53D" w14:textId="77777777" w:rsidR="00CF0E3D" w:rsidRPr="0072242E" w:rsidRDefault="00CF0E3D" w:rsidP="00CF0E3D">
      <w:pPr>
        <w:pStyle w:val="paragraph"/>
      </w:pPr>
      <w:r w:rsidRPr="0072242E">
        <w:tab/>
      </w:r>
      <w:r w:rsidRPr="0072242E">
        <w:tab/>
        <w:t>received by the data holder during the reporting period; and</w:t>
      </w:r>
    </w:p>
    <w:p w14:paraId="6AD31213" w14:textId="77777777" w:rsidR="00CF0E3D" w:rsidRPr="00CA7872" w:rsidRDefault="00CF0E3D" w:rsidP="00CF0E3D">
      <w:pPr>
        <w:pStyle w:val="paragraph"/>
      </w:pPr>
      <w:r w:rsidRPr="00CA7872">
        <w:tab/>
        <w:t>(d)</w:t>
      </w:r>
      <w:r w:rsidRPr="00CA7872">
        <w:tab/>
        <w:t>sets out, for each of the types of requests referred to in subparagraphs (c)(i), (ii) and (iii):</w:t>
      </w:r>
    </w:p>
    <w:p w14:paraId="3E695698" w14:textId="77777777" w:rsidR="00CF0E3D" w:rsidRPr="00CA7872" w:rsidRDefault="00CF0E3D" w:rsidP="00CF0E3D">
      <w:pPr>
        <w:pStyle w:val="paragraphsub"/>
      </w:pPr>
      <w:r w:rsidRPr="00CA7872">
        <w:tab/>
        <w:t>(i)</w:t>
      </w:r>
      <w:r w:rsidRPr="00CA7872">
        <w:tab/>
        <w:t>the number of times the data holder has refused to disclose CDR data; and</w:t>
      </w:r>
    </w:p>
    <w:p w14:paraId="6A2BCA13" w14:textId="77777777" w:rsidR="00CF0E3D" w:rsidRPr="00CA7872" w:rsidRDefault="00CF0E3D" w:rsidP="00CF0E3D">
      <w:pPr>
        <w:pStyle w:val="paragraphsub"/>
      </w:pPr>
      <w:r w:rsidRPr="00CA7872">
        <w:tab/>
        <w:t>(ii)</w:t>
      </w:r>
      <w:r w:rsidRPr="00CA7872">
        <w:tab/>
        <w:t>the rule or data standard relied upon to refuse to disclose that data; and</w:t>
      </w:r>
    </w:p>
    <w:p w14:paraId="2CF43855" w14:textId="77777777" w:rsidR="00CF0E3D" w:rsidRPr="00CA7872" w:rsidRDefault="00CF0E3D" w:rsidP="00CF0E3D">
      <w:pPr>
        <w:pStyle w:val="paragraphsub"/>
      </w:pPr>
      <w:r w:rsidRPr="00CA7872">
        <w:tab/>
        <w:t>(iii)</w:t>
      </w:r>
      <w:r w:rsidRPr="00CA7872">
        <w:tab/>
        <w:t>the number of times the data holder has relied on each of those rules or data standards as a ground of refusal.</w:t>
      </w:r>
    </w:p>
    <w:p w14:paraId="3021F144" w14:textId="77777777" w:rsidR="00CF0E3D" w:rsidRPr="00CA7872" w:rsidRDefault="00CF0E3D" w:rsidP="00CF0E3D">
      <w:pPr>
        <w:pStyle w:val="notetext"/>
      </w:pPr>
      <w:r w:rsidRPr="00CA7872">
        <w:t>Note:</w:t>
      </w:r>
      <w:r w:rsidRPr="00CA7872">
        <w:tab/>
        <w:t xml:space="preserve">For the meaning of </w:t>
      </w:r>
      <w:r w:rsidRPr="00CA7872">
        <w:rPr>
          <w:b/>
          <w:i/>
        </w:rPr>
        <w:t xml:space="preserve">product data request </w:t>
      </w:r>
      <w:r w:rsidRPr="00CA7872">
        <w:t xml:space="preserve">see rule 2.3. For the meaning of </w:t>
      </w:r>
      <w:r w:rsidRPr="00CA7872">
        <w:rPr>
          <w:b/>
          <w:i/>
        </w:rPr>
        <w:t xml:space="preserve">consumer data request </w:t>
      </w:r>
      <w:r w:rsidRPr="00CA7872">
        <w:t>see rule 3.3 (requests made by CDR consumers) and rules 4.4 and 4.7A (r</w:t>
      </w:r>
      <w:r>
        <w:t>equests by accredited persons).</w:t>
      </w:r>
    </w:p>
    <w:p w14:paraId="2131961F" w14:textId="77777777" w:rsidR="00CF0E3D" w:rsidRDefault="00CF0E3D" w:rsidP="00CF0E3D">
      <w:pPr>
        <w:pStyle w:val="subsection"/>
      </w:pPr>
      <w:r>
        <w:tab/>
      </w:r>
      <w:r>
        <w:tab/>
        <w:t>Civil penalty:</w:t>
      </w:r>
    </w:p>
    <w:p w14:paraId="0658E3A1" w14:textId="77777777" w:rsidR="00CF0E3D" w:rsidRDefault="00CF0E3D" w:rsidP="00CF0E3D">
      <w:pPr>
        <w:pStyle w:val="paragraph"/>
      </w:pPr>
      <w:r>
        <w:tab/>
        <w:t>(a)</w:t>
      </w:r>
      <w:r>
        <w:tab/>
        <w:t>for an individual―$50,000; and</w:t>
      </w:r>
    </w:p>
    <w:p w14:paraId="1B214C17" w14:textId="77777777" w:rsidR="00CF0E3D" w:rsidRPr="00E1300D" w:rsidRDefault="00CF0E3D" w:rsidP="00CF0E3D">
      <w:pPr>
        <w:pStyle w:val="paragraph"/>
      </w:pPr>
      <w:r>
        <w:tab/>
        <w:t>(b)</w:t>
      </w:r>
      <w:r>
        <w:tab/>
        <w:t>for a body corporate―$250,000.</w:t>
      </w:r>
    </w:p>
    <w:p w14:paraId="6770D576" w14:textId="77777777" w:rsidR="00CF0E3D" w:rsidRDefault="00CF0E3D" w:rsidP="00CF0E3D">
      <w:pPr>
        <w:pStyle w:val="SubsectionHead"/>
      </w:pPr>
      <w:r>
        <w:t>Reports that must be prepared—accredited data recipient</w:t>
      </w:r>
    </w:p>
    <w:p w14:paraId="6EB9F82A" w14:textId="77777777" w:rsidR="00CF0E3D" w:rsidRDefault="00CF0E3D" w:rsidP="00CF0E3D">
      <w:pPr>
        <w:pStyle w:val="subsection"/>
      </w:pPr>
      <w:r>
        <w:tab/>
        <w:t>(2)</w:t>
      </w:r>
      <w:r>
        <w:tab/>
        <w:t>An accredited data recipient must prepare a report for each reporting period that:</w:t>
      </w:r>
    </w:p>
    <w:p w14:paraId="6F725D77" w14:textId="77777777" w:rsidR="00CF0E3D" w:rsidRPr="001151F8" w:rsidRDefault="00CF0E3D" w:rsidP="00CF0E3D">
      <w:pPr>
        <w:pStyle w:val="paragraph"/>
      </w:pPr>
      <w:r w:rsidRPr="001151F8">
        <w:tab/>
      </w:r>
      <w:r>
        <w:t>(a)</w:t>
      </w:r>
      <w:r w:rsidRPr="001151F8">
        <w:tab/>
        <w:t>is in the form approved by the Commission for the purposes of this rule; and</w:t>
      </w:r>
    </w:p>
    <w:p w14:paraId="117881F7" w14:textId="77777777" w:rsidR="00CF0E3D" w:rsidRDefault="00CF0E3D" w:rsidP="00CF0E3D">
      <w:pPr>
        <w:pStyle w:val="paragraph"/>
      </w:pPr>
      <w:r>
        <w:tab/>
        <w:t>(b)</w:t>
      </w:r>
      <w:r>
        <w:tab/>
        <w:t xml:space="preserve">summarises the </w:t>
      </w:r>
      <w:r w:rsidRPr="00964EDA">
        <w:rPr>
          <w:color w:val="000000"/>
        </w:rPr>
        <w:t xml:space="preserve">CDR complaint data that relates to that </w:t>
      </w:r>
      <w:r>
        <w:t>reporting period; and</w:t>
      </w:r>
    </w:p>
    <w:p w14:paraId="571E8B37" w14:textId="77777777" w:rsidR="00CF0E3D" w:rsidRDefault="00CF0E3D" w:rsidP="00CF0E3D">
      <w:pPr>
        <w:pStyle w:val="paragraph"/>
      </w:pPr>
      <w:r>
        <w:tab/>
        <w:t>(c)</w:t>
      </w:r>
      <w:r>
        <w:tab/>
        <w:t xml:space="preserve">describes any </w:t>
      </w:r>
      <w:r w:rsidRPr="00B3173B">
        <w:t xml:space="preserve">goods or </w:t>
      </w:r>
      <w:r>
        <w:t>services that they offer to CDR consumers using CDR data that were not:</w:t>
      </w:r>
    </w:p>
    <w:p w14:paraId="49CF9672" w14:textId="77777777" w:rsidR="00CF0E3D" w:rsidRDefault="00CF0E3D" w:rsidP="00CF0E3D">
      <w:pPr>
        <w:pStyle w:val="paragraphsub"/>
      </w:pPr>
      <w:r>
        <w:tab/>
        <w:t>(i)</w:t>
      </w:r>
      <w:r>
        <w:tab/>
        <w:t>described in the relevant application to be an accredited person; or</w:t>
      </w:r>
    </w:p>
    <w:p w14:paraId="3BCB689C" w14:textId="77777777" w:rsidR="00CF0E3D" w:rsidRDefault="00CF0E3D" w:rsidP="00CF0E3D">
      <w:pPr>
        <w:pStyle w:val="paragraphsub"/>
      </w:pPr>
      <w:r>
        <w:tab/>
        <w:t>(ii)</w:t>
      </w:r>
      <w:r>
        <w:tab/>
        <w:t>previously included in a report prepared under this rule; and</w:t>
      </w:r>
    </w:p>
    <w:p w14:paraId="0578F04F" w14:textId="77777777" w:rsidR="00CF0E3D" w:rsidRPr="0072242E" w:rsidRDefault="00CF0E3D" w:rsidP="00CF0E3D">
      <w:pPr>
        <w:pStyle w:val="paragraph"/>
      </w:pPr>
      <w:r>
        <w:tab/>
        <w:t>(d)</w:t>
      </w:r>
      <w:r>
        <w:tab/>
      </w:r>
      <w:r w:rsidRPr="0072242E">
        <w:t xml:space="preserve">in relation to any good or service that is required to be described under paragraph </w:t>
      </w:r>
      <w:r>
        <w:t>(c)</w:t>
      </w:r>
      <w:r w:rsidRPr="0072242E">
        <w:t>:</w:t>
      </w:r>
    </w:p>
    <w:p w14:paraId="0BA7ACB1" w14:textId="77777777" w:rsidR="00CF0E3D" w:rsidRPr="0072242E" w:rsidRDefault="00CF0E3D" w:rsidP="00CF0E3D">
      <w:pPr>
        <w:pStyle w:val="paragraphsub"/>
      </w:pPr>
      <w:r>
        <w:tab/>
        <w:t>(i)</w:t>
      </w:r>
      <w:r>
        <w:tab/>
      </w:r>
      <w:r w:rsidRPr="0072242E">
        <w:t xml:space="preserve">describes the CDR data that </w:t>
      </w:r>
      <w:r>
        <w:t xml:space="preserve">is needed </w:t>
      </w:r>
      <w:r w:rsidRPr="0072242E">
        <w:t>in order to offer the good or service to CDR consumers; and</w:t>
      </w:r>
    </w:p>
    <w:p w14:paraId="3A98B94C" w14:textId="77777777" w:rsidR="00CF0E3D" w:rsidRPr="0072242E" w:rsidRDefault="00CF0E3D" w:rsidP="00CF0E3D">
      <w:pPr>
        <w:pStyle w:val="paragraphsub"/>
      </w:pPr>
      <w:r>
        <w:tab/>
        <w:t>(ii)</w:t>
      </w:r>
      <w:r>
        <w:tab/>
      </w:r>
      <w:r w:rsidRPr="0072242E">
        <w:t xml:space="preserve">explains why that data is </w:t>
      </w:r>
      <w:r>
        <w:t xml:space="preserve">needed </w:t>
      </w:r>
      <w:r w:rsidRPr="0072242E">
        <w:t>in order to offer the good or service to CDR consumers; and</w:t>
      </w:r>
    </w:p>
    <w:p w14:paraId="10097EE4" w14:textId="77777777" w:rsidR="00CF0E3D" w:rsidRPr="0072242E" w:rsidRDefault="00CF0E3D" w:rsidP="00CF0E3D">
      <w:pPr>
        <w:pStyle w:val="paragraph"/>
      </w:pPr>
      <w:r>
        <w:tab/>
        <w:t>(e)</w:t>
      </w:r>
      <w:r>
        <w:tab/>
      </w:r>
      <w:r w:rsidRPr="0072242E">
        <w:t xml:space="preserve">describes any material changes that have been made to any goods or services offered by the accredited data recipient since the previous reporting period, including any changes to the matters referred to in paragraph </w:t>
      </w:r>
      <w:r>
        <w:t>(c)</w:t>
      </w:r>
      <w:r w:rsidRPr="0072242E">
        <w:t>; and</w:t>
      </w:r>
    </w:p>
    <w:p w14:paraId="5755A1FB" w14:textId="77777777" w:rsidR="00CF0E3D" w:rsidRPr="00CA7872" w:rsidRDefault="00CF0E3D" w:rsidP="00CF0E3D">
      <w:pPr>
        <w:pStyle w:val="paragraph"/>
      </w:pPr>
      <w:r w:rsidRPr="00CA7872">
        <w:tab/>
        <w:t>(f)</w:t>
      </w:r>
      <w:r w:rsidRPr="00CA7872">
        <w:tab/>
        <w:t>sets out the following:</w:t>
      </w:r>
    </w:p>
    <w:p w14:paraId="0B33FA05" w14:textId="77777777" w:rsidR="00CF0E3D" w:rsidRPr="00CA7872" w:rsidRDefault="00CF0E3D" w:rsidP="00CF0E3D">
      <w:pPr>
        <w:pStyle w:val="paragraphsub"/>
      </w:pPr>
      <w:r w:rsidRPr="00CA7872">
        <w:tab/>
        <w:t>(i)</w:t>
      </w:r>
      <w:r w:rsidRPr="00CA7872">
        <w:tab/>
        <w:t>the number of consumer data requests made by the accredited data recipient during the reporting period;</w:t>
      </w:r>
    </w:p>
    <w:p w14:paraId="640B5181" w14:textId="77777777" w:rsidR="00CF0E3D" w:rsidRPr="00CA7872" w:rsidRDefault="00CF0E3D" w:rsidP="00CF0E3D">
      <w:pPr>
        <w:pStyle w:val="paragraphsub"/>
      </w:pPr>
      <w:r w:rsidRPr="00CA7872">
        <w:tab/>
        <w:t>(ii)</w:t>
      </w:r>
      <w:r w:rsidRPr="00CA7872">
        <w:tab/>
        <w:t>the proportion of CDR consumers who, at the date of the report, had exercised the election to delete, by reference to each brand of the accredited person;</w:t>
      </w:r>
    </w:p>
    <w:p w14:paraId="2142AAD7" w14:textId="77777777" w:rsidR="00CF0E3D" w:rsidRPr="00CA7872" w:rsidRDefault="00CF0E3D" w:rsidP="00CF0E3D">
      <w:pPr>
        <w:pStyle w:val="paragraphsub"/>
      </w:pPr>
      <w:r w:rsidRPr="00CA7872">
        <w:tab/>
        <w:t>(iii)</w:t>
      </w:r>
      <w:r w:rsidRPr="00CA7872">
        <w:tab/>
        <w:t>the number of consumer data requests the accredited data recipient received from an accredited person on behalf of a CDR consumer during the reporting period;</w:t>
      </w:r>
    </w:p>
    <w:p w14:paraId="15A0BFF1" w14:textId="77777777" w:rsidR="00CF0E3D" w:rsidRPr="00CA7872" w:rsidRDefault="00CF0E3D" w:rsidP="00CF0E3D">
      <w:pPr>
        <w:pStyle w:val="paragraphsub"/>
      </w:pPr>
      <w:r w:rsidRPr="00CA7872">
        <w:tab/>
        <w:t>(iv)</w:t>
      </w:r>
      <w:r w:rsidRPr="00CA7872">
        <w:tab/>
        <w:t>the number of times the accredited data recipient disclosed consumer data to an accredited person in response to such a consumer data request during the reporting period;</w:t>
      </w:r>
    </w:p>
    <w:p w14:paraId="7CDC311D" w14:textId="77777777" w:rsidR="009B3127" w:rsidRPr="00BC78CF" w:rsidRDefault="00CF0E3D" w:rsidP="00CF0E3D">
      <w:pPr>
        <w:pStyle w:val="paragraphsub"/>
        <w:rPr>
          <w:color w:val="FF0000"/>
        </w:rPr>
      </w:pPr>
      <w:r w:rsidRPr="00CA7872">
        <w:tab/>
        <w:t>(v)</w:t>
      </w:r>
      <w:r w:rsidRPr="00CA7872">
        <w:tab/>
        <w:t>the total number of CDR consumers the accredited data recipient provided goods or services to using CDR data during the reporting period</w:t>
      </w:r>
      <w:r w:rsidR="009B3127" w:rsidRPr="00BC78CF">
        <w:rPr>
          <w:color w:val="FF0000"/>
        </w:rPr>
        <w:t>;</w:t>
      </w:r>
    </w:p>
    <w:p w14:paraId="020275E5" w14:textId="77777777" w:rsidR="00D34637" w:rsidRPr="00BC78CF" w:rsidRDefault="009B3127" w:rsidP="009B3127">
      <w:pPr>
        <w:pStyle w:val="paragraphsub"/>
        <w:rPr>
          <w:rFonts w:eastAsia="Calibri"/>
          <w:strike/>
          <w:color w:val="FF0000"/>
        </w:rPr>
      </w:pPr>
      <w:r w:rsidRPr="00BC78CF">
        <w:rPr>
          <w:rFonts w:eastAsia="Calibri"/>
          <w:strike/>
          <w:color w:val="FF0000"/>
        </w:rPr>
        <w:tab/>
        <w:t>(vi)</w:t>
      </w:r>
      <w:r w:rsidRPr="00BC78CF">
        <w:rPr>
          <w:rFonts w:eastAsia="Calibri"/>
          <w:strike/>
          <w:color w:val="FF0000"/>
        </w:rPr>
        <w:tab/>
        <w:t>t</w:t>
      </w:r>
      <w:r w:rsidR="00D66C0B" w:rsidRPr="00BC78CF">
        <w:rPr>
          <w:rFonts w:eastAsia="Calibri"/>
          <w:strike/>
          <w:color w:val="FF0000"/>
        </w:rPr>
        <w:t xml:space="preserve">he percentage of consumer data consents given to the </w:t>
      </w:r>
      <w:r w:rsidRPr="00BC78CF">
        <w:rPr>
          <w:rFonts w:eastAsia="Calibri"/>
          <w:strike/>
          <w:color w:val="FF0000"/>
        </w:rPr>
        <w:t>accredited data recipient during the reporting period that</w:t>
      </w:r>
      <w:r w:rsidR="00B63415" w:rsidRPr="00BC78CF">
        <w:rPr>
          <w:rFonts w:eastAsia="Calibri"/>
          <w:strike/>
          <w:color w:val="FF0000"/>
        </w:rPr>
        <w:t xml:space="preserve"> were</w:t>
      </w:r>
      <w:r w:rsidR="00D66C0B" w:rsidRPr="00BC78CF">
        <w:rPr>
          <w:rFonts w:eastAsia="Calibri"/>
          <w:strike/>
          <w:color w:val="FF0000"/>
        </w:rPr>
        <w:t xml:space="preserve"> followed by an authorisation for disclosure being given</w:t>
      </w:r>
      <w:r w:rsidRPr="00BC78CF">
        <w:rPr>
          <w:rFonts w:eastAsia="Calibri"/>
          <w:strike/>
          <w:color w:val="FF0000"/>
        </w:rPr>
        <w:t>, for each data holder</w:t>
      </w:r>
      <w:r w:rsidR="00D34637" w:rsidRPr="00BC78CF">
        <w:rPr>
          <w:rFonts w:eastAsia="Calibri"/>
          <w:strike/>
          <w:color w:val="FF0000"/>
        </w:rPr>
        <w:t>;</w:t>
      </w:r>
    </w:p>
    <w:p w14:paraId="2ADDB49D" w14:textId="14321D61" w:rsidR="009B3127" w:rsidRPr="00BC78CF" w:rsidRDefault="00EC0094" w:rsidP="007F731E">
      <w:pPr>
        <w:pStyle w:val="paragraphsub"/>
        <w:rPr>
          <w:color w:val="FF0000"/>
        </w:rPr>
      </w:pPr>
      <w:r w:rsidRPr="00BC78CF">
        <w:rPr>
          <w:rFonts w:eastAsia="Calibri"/>
          <w:color w:val="FF0000"/>
        </w:rPr>
        <w:tab/>
        <w:t>(vi</w:t>
      </w:r>
      <w:r w:rsidR="00D34637" w:rsidRPr="00BC78CF">
        <w:rPr>
          <w:rFonts w:eastAsia="Calibri"/>
          <w:color w:val="FF0000"/>
        </w:rPr>
        <w:t>)</w:t>
      </w:r>
      <w:r w:rsidR="00D34637" w:rsidRPr="00BC78CF">
        <w:rPr>
          <w:rFonts w:eastAsia="Calibri"/>
          <w:color w:val="FF0000"/>
        </w:rPr>
        <w:tab/>
        <w:t xml:space="preserve">the </w:t>
      </w:r>
      <w:r w:rsidR="007F731E" w:rsidRPr="00BC78CF">
        <w:rPr>
          <w:rFonts w:eastAsia="Calibri"/>
          <w:color w:val="FF0000"/>
        </w:rPr>
        <w:t xml:space="preserve">number of </w:t>
      </w:r>
      <w:r w:rsidR="00D34637" w:rsidRPr="00BC78CF">
        <w:rPr>
          <w:color w:val="FF0000"/>
        </w:rPr>
        <w:t xml:space="preserve">consents </w:t>
      </w:r>
      <w:r w:rsidR="007F731E" w:rsidRPr="00BC78CF">
        <w:rPr>
          <w:color w:val="FF0000"/>
        </w:rPr>
        <w:t xml:space="preserve">received from CDR consumers </w:t>
      </w:r>
      <w:r w:rsidR="007F731E" w:rsidRPr="00BC78CF">
        <w:rPr>
          <w:rFonts w:eastAsia="Calibri"/>
          <w:color w:val="FF0000"/>
        </w:rPr>
        <w:t>during the reporting period</w:t>
      </w:r>
      <w:r w:rsidR="007F731E" w:rsidRPr="00BC78CF">
        <w:rPr>
          <w:color w:val="FF0000"/>
        </w:rPr>
        <w:t xml:space="preserve"> to disclose CDR data to trusted advisers;</w:t>
      </w:r>
    </w:p>
    <w:p w14:paraId="0D479648" w14:textId="4CACE229" w:rsidR="00E56AB5" w:rsidRPr="00BC78CF" w:rsidRDefault="007F731E" w:rsidP="007F731E">
      <w:pPr>
        <w:pStyle w:val="paragraphsub"/>
        <w:rPr>
          <w:color w:val="FF0000"/>
        </w:rPr>
      </w:pPr>
      <w:r w:rsidRPr="00BC78CF">
        <w:rPr>
          <w:color w:val="FF0000"/>
        </w:rPr>
        <w:tab/>
        <w:t>(</w:t>
      </w:r>
      <w:r w:rsidR="00EC0094" w:rsidRPr="00BC78CF">
        <w:rPr>
          <w:color w:val="FF0000"/>
        </w:rPr>
        <w:t>v</w:t>
      </w:r>
      <w:r w:rsidRPr="00BC78CF">
        <w:rPr>
          <w:color w:val="FF0000"/>
        </w:rPr>
        <w:t>ii)</w:t>
      </w:r>
      <w:r w:rsidRPr="00BC78CF">
        <w:rPr>
          <w:color w:val="FF0000"/>
        </w:rPr>
        <w:tab/>
        <w:t>for each class</w:t>
      </w:r>
      <w:r w:rsidR="00386C4A" w:rsidRPr="00BC78CF">
        <w:rPr>
          <w:color w:val="FF0000"/>
        </w:rPr>
        <w:t xml:space="preserve"> of trusted advise</w:t>
      </w:r>
      <w:r w:rsidRPr="00BC78CF">
        <w:rPr>
          <w:color w:val="FF0000"/>
        </w:rPr>
        <w:t xml:space="preserve">rs—the number of </w:t>
      </w:r>
      <w:r w:rsidR="00386C4A" w:rsidRPr="00BC78CF">
        <w:rPr>
          <w:color w:val="FF0000"/>
        </w:rPr>
        <w:t>trusted advise</w:t>
      </w:r>
      <w:r w:rsidRPr="00BC78CF">
        <w:rPr>
          <w:color w:val="FF0000"/>
        </w:rPr>
        <w:t>rs to whom CDR data was disclosed during the reporting period</w:t>
      </w:r>
      <w:r w:rsidR="00E56AB5" w:rsidRPr="00BC78CF">
        <w:rPr>
          <w:color w:val="FF0000"/>
        </w:rPr>
        <w:t>;</w:t>
      </w:r>
    </w:p>
    <w:p w14:paraId="644C0F4E" w14:textId="7C10D5E8" w:rsidR="007F731E" w:rsidRPr="00BC78CF" w:rsidRDefault="00E56AB5" w:rsidP="007F731E">
      <w:pPr>
        <w:pStyle w:val="paragraphsub"/>
        <w:rPr>
          <w:color w:val="FF0000"/>
        </w:rPr>
      </w:pPr>
      <w:r w:rsidRPr="00BC78CF">
        <w:rPr>
          <w:rFonts w:eastAsia="Calibri"/>
          <w:color w:val="FF0000"/>
        </w:rPr>
        <w:tab/>
        <w:t>(vi</w:t>
      </w:r>
      <w:r w:rsidR="00EC0094" w:rsidRPr="00BC78CF">
        <w:rPr>
          <w:rFonts w:eastAsia="Calibri"/>
          <w:color w:val="FF0000"/>
        </w:rPr>
        <w:t>i</w:t>
      </w:r>
      <w:r w:rsidRPr="00BC78CF">
        <w:rPr>
          <w:rFonts w:eastAsia="Calibri"/>
          <w:color w:val="FF0000"/>
        </w:rPr>
        <w:t>i)</w:t>
      </w:r>
      <w:r w:rsidRPr="00BC78CF">
        <w:rPr>
          <w:rFonts w:eastAsia="Calibri"/>
          <w:color w:val="FF0000"/>
        </w:rPr>
        <w:tab/>
        <w:t xml:space="preserve">the number of insight disclosure </w:t>
      </w:r>
      <w:r w:rsidRPr="00BC78CF">
        <w:rPr>
          <w:color w:val="FF0000"/>
        </w:rPr>
        <w:t xml:space="preserve">consents received from CDR consumers </w:t>
      </w:r>
      <w:r w:rsidRPr="00BC78CF">
        <w:rPr>
          <w:rFonts w:eastAsia="Calibri"/>
          <w:color w:val="FF0000"/>
        </w:rPr>
        <w:t>during the reporting period</w:t>
      </w:r>
      <w:r w:rsidRPr="00BC78CF">
        <w:rPr>
          <w:color w:val="FF0000"/>
        </w:rPr>
        <w:t>.</w:t>
      </w:r>
    </w:p>
    <w:p w14:paraId="65B22F13" w14:textId="77777777" w:rsidR="00CF0E3D" w:rsidRDefault="00CF0E3D" w:rsidP="00CF0E3D">
      <w:pPr>
        <w:pStyle w:val="subsection"/>
      </w:pPr>
      <w:r>
        <w:tab/>
      </w:r>
      <w:r>
        <w:tab/>
        <w:t>Civil penalty:</w:t>
      </w:r>
    </w:p>
    <w:p w14:paraId="7FC4C92F" w14:textId="77777777" w:rsidR="00CF0E3D" w:rsidRDefault="00CF0E3D" w:rsidP="00CF0E3D">
      <w:pPr>
        <w:pStyle w:val="paragraph"/>
      </w:pPr>
      <w:r>
        <w:tab/>
        <w:t>(a)</w:t>
      </w:r>
      <w:r>
        <w:tab/>
        <w:t>for an individual―$50,000; and</w:t>
      </w:r>
    </w:p>
    <w:p w14:paraId="3B6715BF" w14:textId="77777777" w:rsidR="00CF0E3D" w:rsidRPr="00E1300D" w:rsidRDefault="00CF0E3D" w:rsidP="00CF0E3D">
      <w:pPr>
        <w:pStyle w:val="paragraph"/>
      </w:pPr>
      <w:r>
        <w:tab/>
        <w:t>(b)</w:t>
      </w:r>
      <w:r>
        <w:tab/>
        <w:t>for a body corporate―$250,000.</w:t>
      </w:r>
    </w:p>
    <w:p w14:paraId="7CBA1C05" w14:textId="77777777" w:rsidR="00CF0E3D" w:rsidRDefault="00CF0E3D" w:rsidP="00CF0E3D">
      <w:pPr>
        <w:pStyle w:val="SubsectionHead"/>
      </w:pPr>
      <w:r>
        <w:t>Provision of reports</w:t>
      </w:r>
    </w:p>
    <w:p w14:paraId="0AD1F1A4" w14:textId="77777777" w:rsidR="00CF0E3D" w:rsidRDefault="00CF0E3D" w:rsidP="00CF0E3D">
      <w:pPr>
        <w:pStyle w:val="subsection"/>
      </w:pPr>
      <w:r>
        <w:tab/>
        <w:t>(3)</w:t>
      </w:r>
      <w:r>
        <w:tab/>
        <w:t>Each report must be submitted to:</w:t>
      </w:r>
    </w:p>
    <w:p w14:paraId="332FE3F1" w14:textId="77777777" w:rsidR="00CF0E3D" w:rsidRDefault="00CF0E3D" w:rsidP="00CF0E3D">
      <w:pPr>
        <w:pStyle w:val="paragraph"/>
      </w:pPr>
      <w:r>
        <w:tab/>
        <w:t>(a)</w:t>
      </w:r>
      <w:r>
        <w:tab/>
        <w:t>the Commission; and</w:t>
      </w:r>
    </w:p>
    <w:p w14:paraId="4F485357" w14:textId="77777777" w:rsidR="00CF0E3D" w:rsidRDefault="00CF0E3D" w:rsidP="00CF0E3D">
      <w:pPr>
        <w:pStyle w:val="paragraph"/>
      </w:pPr>
      <w:r>
        <w:tab/>
        <w:t>(b)</w:t>
      </w:r>
      <w:r>
        <w:tab/>
        <w:t>the Information Commissioner;</w:t>
      </w:r>
    </w:p>
    <w:p w14:paraId="24B212B0" w14:textId="77777777" w:rsidR="00CF0E3D" w:rsidRDefault="00CF0E3D" w:rsidP="00CF0E3D">
      <w:pPr>
        <w:pStyle w:val="subsection"/>
        <w:spacing w:before="40"/>
      </w:pPr>
      <w:r>
        <w:tab/>
      </w:r>
      <w:r>
        <w:tab/>
        <w:t>within 30 days after the end of each reporting period.</w:t>
      </w:r>
    </w:p>
    <w:p w14:paraId="5E83BADC" w14:textId="77777777" w:rsidR="00CF0E3D" w:rsidRDefault="00CF0E3D" w:rsidP="00CF0E3D">
      <w:pPr>
        <w:pStyle w:val="subsection"/>
      </w:pPr>
      <w:r>
        <w:tab/>
      </w:r>
      <w:r>
        <w:tab/>
        <w:t>Civil penalty:</w:t>
      </w:r>
    </w:p>
    <w:p w14:paraId="7EA46A5A" w14:textId="77777777" w:rsidR="00CF0E3D" w:rsidRDefault="00CF0E3D" w:rsidP="00CF0E3D">
      <w:pPr>
        <w:pStyle w:val="paragraph"/>
      </w:pPr>
      <w:r>
        <w:tab/>
        <w:t>(a)</w:t>
      </w:r>
      <w:r>
        <w:tab/>
        <w:t>for an individual―$50,000; and</w:t>
      </w:r>
    </w:p>
    <w:p w14:paraId="0490F623" w14:textId="77777777" w:rsidR="00CF0E3D" w:rsidRPr="00E1300D" w:rsidRDefault="00CF0E3D" w:rsidP="00CF0E3D">
      <w:pPr>
        <w:pStyle w:val="paragraph"/>
      </w:pPr>
      <w:r>
        <w:tab/>
        <w:t>(b)</w:t>
      </w:r>
      <w:r>
        <w:tab/>
        <w:t>for a body corporate―$250,000.</w:t>
      </w:r>
    </w:p>
    <w:p w14:paraId="483F3E82" w14:textId="77777777" w:rsidR="00CF0E3D" w:rsidRDefault="00CF0E3D" w:rsidP="00CF0E3D">
      <w:pPr>
        <w:pStyle w:val="subsection"/>
      </w:pPr>
      <w:r>
        <w:tab/>
        <w:t>(4)</w:t>
      </w:r>
      <w:r>
        <w:tab/>
        <w:t>Either the Commission or the Information Commissioner may:</w:t>
      </w:r>
    </w:p>
    <w:p w14:paraId="3D4DD7FE" w14:textId="0562A4EE" w:rsidR="00CF0E3D" w:rsidRDefault="00CF0E3D" w:rsidP="00CF0E3D">
      <w:pPr>
        <w:pStyle w:val="paragraph"/>
      </w:pPr>
      <w:r>
        <w:tab/>
        <w:t>(a)</w:t>
      </w:r>
      <w:r>
        <w:tab/>
        <w:t>pu</w:t>
      </w:r>
      <w:r w:rsidR="000D32E2">
        <w:t>blish any report received under</w:t>
      </w:r>
      <w:r w:rsidR="009B3127" w:rsidRPr="007E7FBF">
        <w:t xml:space="preserve"> this rule</w:t>
      </w:r>
      <w:r>
        <w:t>; or</w:t>
      </w:r>
    </w:p>
    <w:p w14:paraId="02E76460" w14:textId="77777777" w:rsidR="00D34637" w:rsidRDefault="00D34637" w:rsidP="00CF0E3D">
      <w:pPr>
        <w:pStyle w:val="paragraph"/>
      </w:pPr>
    </w:p>
    <w:p w14:paraId="6E641226" w14:textId="77777777" w:rsidR="00CF0E3D" w:rsidRDefault="00CF0E3D" w:rsidP="00CF0E3D">
      <w:pPr>
        <w:pStyle w:val="paragraph"/>
      </w:pPr>
      <w:r>
        <w:tab/>
        <w:t>(b)</w:t>
      </w:r>
      <w:r>
        <w:tab/>
        <w:t>require an accredited data recipient to publish, on its website, a report that it has prepared under subrule (2).</w:t>
      </w:r>
    </w:p>
    <w:p w14:paraId="101924B5" w14:textId="77777777" w:rsidR="00CF0E3D" w:rsidRDefault="00CF0E3D" w:rsidP="00CF0E3D">
      <w:pPr>
        <w:pStyle w:val="subsection"/>
      </w:pPr>
      <w:r>
        <w:tab/>
        <w:t>(5)</w:t>
      </w:r>
      <w:r>
        <w:tab/>
        <w:t xml:space="preserve">For this rule, the </w:t>
      </w:r>
      <w:r w:rsidRPr="00724C80">
        <w:rPr>
          <w:b/>
          <w:i/>
        </w:rPr>
        <w:t>reporting periods</w:t>
      </w:r>
      <w:r>
        <w:t xml:space="preserve"> are:</w:t>
      </w:r>
    </w:p>
    <w:p w14:paraId="2FA1F29F" w14:textId="77777777" w:rsidR="00CF0E3D" w:rsidRDefault="00CF0E3D" w:rsidP="00CF0E3D">
      <w:pPr>
        <w:pStyle w:val="paragraph"/>
      </w:pPr>
      <w:r>
        <w:tab/>
        <w:t>(a)</w:t>
      </w:r>
      <w:r>
        <w:tab/>
        <w:t>1 January to 30 June of each year; and</w:t>
      </w:r>
    </w:p>
    <w:p w14:paraId="72E58072" w14:textId="77777777" w:rsidR="00CF0E3D" w:rsidRDefault="00CF0E3D" w:rsidP="00CF0E3D">
      <w:pPr>
        <w:pStyle w:val="paragraph"/>
      </w:pPr>
      <w:r>
        <w:tab/>
        <w:t>(b)</w:t>
      </w:r>
      <w:r>
        <w:tab/>
        <w:t>1 July to 31 December of each year.</w:t>
      </w:r>
    </w:p>
    <w:p w14:paraId="697D8894" w14:textId="77777777" w:rsidR="00CF0E3D" w:rsidRDefault="00CF0E3D" w:rsidP="00CF0E3D">
      <w:pPr>
        <w:pStyle w:val="ActHead5"/>
      </w:pPr>
      <w:bookmarkStart w:id="536" w:name="_Toc11771706"/>
      <w:bookmarkStart w:id="537" w:name="_Toc74916291"/>
      <w:r>
        <w:t>9.5  Requests from CDR consumers for copies of records</w:t>
      </w:r>
      <w:bookmarkEnd w:id="536"/>
      <w:bookmarkEnd w:id="537"/>
    </w:p>
    <w:p w14:paraId="0FED76A7" w14:textId="77777777" w:rsidR="00CF0E3D" w:rsidRDefault="00CF0E3D" w:rsidP="00CF0E3D">
      <w:pPr>
        <w:pStyle w:val="SubsectionHead"/>
      </w:pPr>
      <w:r>
        <w:t>Requests to data holders of CDR data</w:t>
      </w:r>
    </w:p>
    <w:p w14:paraId="23ED92D3" w14:textId="58E503FB" w:rsidR="00CF0E3D" w:rsidRPr="009749EC" w:rsidRDefault="00CF0E3D" w:rsidP="00CF0E3D">
      <w:pPr>
        <w:pStyle w:val="subsection"/>
      </w:pPr>
      <w:r>
        <w:tab/>
        <w:t>(1)</w:t>
      </w:r>
      <w:r>
        <w:tab/>
        <w:t xml:space="preserve">A CDR consumer may request </w:t>
      </w:r>
      <w:r w:rsidRPr="009749EC">
        <w:t>a data holder for copies of records relating to the information referred to in paragraphs </w:t>
      </w:r>
      <w:r>
        <w:t>9.3(1)(a)</w:t>
      </w:r>
      <w:r w:rsidRPr="009749EC">
        <w:t>,</w:t>
      </w:r>
      <w:r>
        <w:t xml:space="preserve"> (b),</w:t>
      </w:r>
      <w:r w:rsidRPr="009749EC">
        <w:t xml:space="preserve"> </w:t>
      </w:r>
      <w:r>
        <w:t>(d)</w:t>
      </w:r>
      <w:r w:rsidRPr="009749EC">
        <w:t xml:space="preserve"> and </w:t>
      </w:r>
      <w:r>
        <w:t>(f)</w:t>
      </w:r>
      <w:r w:rsidRPr="009749EC">
        <w:t xml:space="preserve"> that relates to the CDR consumer.</w:t>
      </w:r>
    </w:p>
    <w:p w14:paraId="6C267E4B" w14:textId="77777777" w:rsidR="00CF0E3D" w:rsidRPr="009749EC" w:rsidRDefault="00CF0E3D" w:rsidP="00CF0E3D">
      <w:pPr>
        <w:pStyle w:val="SubsectionHead"/>
      </w:pPr>
      <w:r w:rsidRPr="009749EC">
        <w:t>Requests to accredited data recipients</w:t>
      </w:r>
    </w:p>
    <w:p w14:paraId="1BC7F4B1" w14:textId="144CCCF7" w:rsidR="00CF0E3D" w:rsidRPr="009749EC" w:rsidRDefault="00CF0E3D" w:rsidP="00CF0E3D">
      <w:pPr>
        <w:pStyle w:val="subsection"/>
      </w:pPr>
      <w:r>
        <w:tab/>
        <w:t>(2)</w:t>
      </w:r>
      <w:r>
        <w:tab/>
        <w:t xml:space="preserve">A CDR consumer may request an </w:t>
      </w:r>
      <w:r w:rsidRPr="009749EC">
        <w:t>accredited data recipient for copies of records relating to the information referred to in paragraphs </w:t>
      </w:r>
      <w:r>
        <w:t>9.3(2)(a), (b), (c), (d), (e), (ea), (eb),</w:t>
      </w:r>
      <w:r w:rsidR="00B51B10">
        <w:t xml:space="preserve"> </w:t>
      </w:r>
      <w:r w:rsidR="00B51B10" w:rsidRPr="00BC78CF">
        <w:rPr>
          <w:color w:val="FF0000"/>
        </w:rPr>
        <w:t xml:space="preserve">(ec), </w:t>
      </w:r>
      <w:r>
        <w:t xml:space="preserve"> (f) and (m)</w:t>
      </w:r>
      <w:r w:rsidRPr="009749EC">
        <w:t>that relates to the CDR consumer.</w:t>
      </w:r>
    </w:p>
    <w:p w14:paraId="6102DE13" w14:textId="77777777" w:rsidR="00CF0E3D" w:rsidRPr="00435823" w:rsidRDefault="00CF0E3D" w:rsidP="00CF0E3D">
      <w:pPr>
        <w:pStyle w:val="SubsectionHead"/>
        <w:rPr>
          <w:b/>
        </w:rPr>
      </w:pPr>
      <w:r>
        <w:t>Form for requests</w:t>
      </w:r>
    </w:p>
    <w:p w14:paraId="460E6C73" w14:textId="77777777" w:rsidR="00CF0E3D" w:rsidRDefault="00CF0E3D" w:rsidP="00CF0E3D">
      <w:pPr>
        <w:pStyle w:val="subsection"/>
      </w:pPr>
      <w:r>
        <w:tab/>
        <w:t>(3)</w:t>
      </w:r>
      <w:r>
        <w:tab/>
        <w:t>A request under this rule must be in the form (if any) approved by the Commission for the purposes of this subrule.</w:t>
      </w:r>
    </w:p>
    <w:p w14:paraId="326340AF" w14:textId="77777777" w:rsidR="00CF0E3D" w:rsidRDefault="00CF0E3D" w:rsidP="00CF0E3D">
      <w:pPr>
        <w:pStyle w:val="SubsectionHead"/>
      </w:pPr>
      <w:r>
        <w:t>Dealing with requests under this rule</w:t>
      </w:r>
    </w:p>
    <w:p w14:paraId="24B5494D" w14:textId="77777777" w:rsidR="00CF0E3D" w:rsidRDefault="00CF0E3D" w:rsidP="00CF0E3D">
      <w:pPr>
        <w:pStyle w:val="subsection"/>
      </w:pPr>
      <w:r>
        <w:tab/>
        <w:t>(4)</w:t>
      </w:r>
      <w:r>
        <w:tab/>
        <w:t>A person who receives a request under this rule must provide the requested copies, in the form (if any) approved by the Commission for the purposes of this rule, as soon as practicable, but no later than 10 business days, after receiving the request.</w:t>
      </w:r>
    </w:p>
    <w:p w14:paraId="59C9CCA3" w14:textId="77777777" w:rsidR="00CF0E3D" w:rsidRDefault="00CF0E3D" w:rsidP="00CF0E3D">
      <w:pPr>
        <w:pStyle w:val="subsection"/>
      </w:pPr>
      <w:r>
        <w:tab/>
      </w:r>
      <w:r>
        <w:tab/>
        <w:t>Civil penalty:</w:t>
      </w:r>
    </w:p>
    <w:p w14:paraId="2DBC75DD" w14:textId="77777777" w:rsidR="00CF0E3D" w:rsidRDefault="00CF0E3D" w:rsidP="00CF0E3D">
      <w:pPr>
        <w:pStyle w:val="paragraph"/>
      </w:pPr>
      <w:r>
        <w:tab/>
        <w:t>(a)</w:t>
      </w:r>
      <w:r>
        <w:tab/>
        <w:t>for an individual―$50,000; and</w:t>
      </w:r>
    </w:p>
    <w:p w14:paraId="3202614C" w14:textId="77777777" w:rsidR="00CF0E3D" w:rsidRPr="00E1300D" w:rsidRDefault="00CF0E3D" w:rsidP="00CF0E3D">
      <w:pPr>
        <w:pStyle w:val="paragraph"/>
      </w:pPr>
      <w:r>
        <w:tab/>
        <w:t>(b)</w:t>
      </w:r>
      <w:r>
        <w:tab/>
        <w:t>for a body corporate―$250,000.</w:t>
      </w:r>
    </w:p>
    <w:p w14:paraId="205B7B6D" w14:textId="77777777" w:rsidR="00CF0E3D" w:rsidRDefault="00CF0E3D" w:rsidP="00CF0E3D">
      <w:pPr>
        <w:pStyle w:val="subsection"/>
      </w:pPr>
      <w:r>
        <w:tab/>
        <w:t>(5)</w:t>
      </w:r>
      <w:r>
        <w:tab/>
        <w:t xml:space="preserve">A </w:t>
      </w:r>
      <w:r w:rsidRPr="00E1300D">
        <w:rPr>
          <w:color w:val="000000" w:themeColor="text1"/>
        </w:rPr>
        <w:t xml:space="preserve">data holder must not charge a </w:t>
      </w:r>
      <w:r>
        <w:t xml:space="preserve">fee for making or responding to a request </w:t>
      </w:r>
      <w:r w:rsidRPr="00E1300D">
        <w:rPr>
          <w:color w:val="000000" w:themeColor="text1"/>
        </w:rPr>
        <w:t>under subrule </w:t>
      </w:r>
      <w:r>
        <w:rPr>
          <w:color w:val="000000" w:themeColor="text1"/>
        </w:rPr>
        <w:t>(1)</w:t>
      </w:r>
      <w:r>
        <w:t>.</w:t>
      </w:r>
    </w:p>
    <w:p w14:paraId="709ABDC4" w14:textId="77777777" w:rsidR="00CF0E3D" w:rsidRDefault="00CF0E3D" w:rsidP="00CF0E3D">
      <w:pPr>
        <w:pStyle w:val="subsection"/>
      </w:pPr>
      <w:r>
        <w:tab/>
      </w:r>
      <w:r>
        <w:tab/>
        <w:t>Civil penalty:</w:t>
      </w:r>
    </w:p>
    <w:p w14:paraId="7B6EF8BE" w14:textId="77777777" w:rsidR="00CF0E3D" w:rsidRDefault="00CF0E3D" w:rsidP="00CF0E3D">
      <w:pPr>
        <w:pStyle w:val="paragraph"/>
      </w:pPr>
      <w:r>
        <w:tab/>
        <w:t>(a)</w:t>
      </w:r>
      <w:r>
        <w:tab/>
        <w:t>for an individual―$50,000; and</w:t>
      </w:r>
    </w:p>
    <w:p w14:paraId="6B498AA1" w14:textId="77777777" w:rsidR="00CF0E3D" w:rsidRPr="00E1300D" w:rsidRDefault="00CF0E3D" w:rsidP="00CF0E3D">
      <w:pPr>
        <w:pStyle w:val="paragraph"/>
      </w:pPr>
      <w:r>
        <w:tab/>
        <w:t>(b)</w:t>
      </w:r>
      <w:r>
        <w:tab/>
        <w:t>for a body corporate―$250,000.</w:t>
      </w:r>
    </w:p>
    <w:p w14:paraId="7F583B32" w14:textId="77777777" w:rsidR="00CF0E3D" w:rsidRDefault="00CF0E3D" w:rsidP="00CF0E3D">
      <w:pPr>
        <w:pStyle w:val="subsection"/>
      </w:pPr>
      <w:r>
        <w:tab/>
        <w:t>(6)</w:t>
      </w:r>
      <w:r>
        <w:tab/>
        <w:t>A</w:t>
      </w:r>
      <w:r w:rsidRPr="00E1300D">
        <w:rPr>
          <w:color w:val="000000" w:themeColor="text1"/>
        </w:rPr>
        <w:t>n accredited data recipient must not charge a</w:t>
      </w:r>
      <w:r>
        <w:t xml:space="preserve"> fee for making or responding to a request</w:t>
      </w:r>
      <w:r w:rsidRPr="00E1300D">
        <w:rPr>
          <w:color w:val="000000" w:themeColor="text1"/>
        </w:rPr>
        <w:t xml:space="preserve"> under subrule </w:t>
      </w:r>
      <w:r>
        <w:rPr>
          <w:color w:val="000000" w:themeColor="text1"/>
        </w:rPr>
        <w:t>(2)</w:t>
      </w:r>
      <w:r>
        <w:t>.</w:t>
      </w:r>
    </w:p>
    <w:p w14:paraId="76E3DEFA" w14:textId="77777777" w:rsidR="00CF0E3D" w:rsidRDefault="00CF0E3D" w:rsidP="00CF0E3D">
      <w:pPr>
        <w:pStyle w:val="subsection"/>
      </w:pPr>
      <w:r>
        <w:tab/>
      </w:r>
      <w:r>
        <w:tab/>
        <w:t>Civil penalty:</w:t>
      </w:r>
    </w:p>
    <w:p w14:paraId="1EEE19BA" w14:textId="77777777" w:rsidR="00CF0E3D" w:rsidRDefault="00CF0E3D" w:rsidP="00CF0E3D">
      <w:pPr>
        <w:pStyle w:val="paragraph"/>
      </w:pPr>
      <w:r>
        <w:tab/>
        <w:t>(a)</w:t>
      </w:r>
      <w:r>
        <w:tab/>
        <w:t>for an individual―$50,000; and</w:t>
      </w:r>
    </w:p>
    <w:p w14:paraId="2F5DC69E" w14:textId="77777777" w:rsidR="00CF0E3D" w:rsidRPr="00E1300D" w:rsidRDefault="00CF0E3D" w:rsidP="00CF0E3D">
      <w:pPr>
        <w:pStyle w:val="paragraph"/>
      </w:pPr>
      <w:r>
        <w:tab/>
        <w:t>(b)</w:t>
      </w:r>
      <w:r>
        <w:tab/>
        <w:t>for a body corporate―$250,000.</w:t>
      </w:r>
    </w:p>
    <w:p w14:paraId="3B997144" w14:textId="77777777" w:rsidR="00CF0E3D" w:rsidRDefault="00CF0E3D" w:rsidP="00CF0E3D">
      <w:pPr>
        <w:pStyle w:val="subsection"/>
      </w:pPr>
    </w:p>
    <w:p w14:paraId="089B1DB1" w14:textId="77777777" w:rsidR="00CF0E3D" w:rsidRDefault="00CF0E3D" w:rsidP="00CF0E3D">
      <w:pPr>
        <w:pStyle w:val="ActHead4"/>
        <w:pageBreakBefore/>
      </w:pPr>
      <w:bookmarkStart w:id="538" w:name="_Toc11771707"/>
      <w:bookmarkStart w:id="539" w:name="_Toc74916292"/>
      <w:r>
        <w:t>Subdivision 9.3.2—Audits</w:t>
      </w:r>
      <w:bookmarkEnd w:id="538"/>
      <w:bookmarkEnd w:id="539"/>
    </w:p>
    <w:p w14:paraId="41CEB690" w14:textId="77777777" w:rsidR="00CF0E3D" w:rsidRDefault="00CF0E3D" w:rsidP="00CF0E3D">
      <w:pPr>
        <w:pStyle w:val="ActHead5"/>
      </w:pPr>
      <w:bookmarkStart w:id="540" w:name="_Toc11771708"/>
      <w:bookmarkStart w:id="541" w:name="_Toc74916293"/>
      <w:r>
        <w:t>9.6  Audits</w:t>
      </w:r>
      <w:r w:rsidRPr="00EA1E07">
        <w:t xml:space="preserve"> by the Commission and the Information Commissioner</w:t>
      </w:r>
      <w:bookmarkEnd w:id="540"/>
      <w:bookmarkEnd w:id="541"/>
    </w:p>
    <w:p w14:paraId="323E930C" w14:textId="77777777" w:rsidR="00CF0E3D" w:rsidRDefault="00CF0E3D" w:rsidP="00CF0E3D">
      <w:pPr>
        <w:pStyle w:val="subsection"/>
      </w:pPr>
      <w:r>
        <w:tab/>
        <w:t>(1)</w:t>
      </w:r>
      <w:r>
        <w:tab/>
        <w:t>The Commission may, at any time, audit the compliance of any CDR participant with any or all of the following:</w:t>
      </w:r>
    </w:p>
    <w:p w14:paraId="259BF9F2" w14:textId="77777777" w:rsidR="00CF0E3D" w:rsidRDefault="00CF0E3D" w:rsidP="00CF0E3D">
      <w:pPr>
        <w:pStyle w:val="paragraph"/>
      </w:pPr>
      <w:r>
        <w:tab/>
        <w:t>(a)</w:t>
      </w:r>
      <w:r>
        <w:tab/>
        <w:t xml:space="preserve">Part IVD of the Act, including </w:t>
      </w:r>
      <w:r w:rsidRPr="000C3240">
        <w:rPr>
          <w:color w:val="000000" w:themeColor="text1"/>
        </w:rPr>
        <w:t>Division 5 of Part IVD</w:t>
      </w:r>
      <w:r>
        <w:rPr>
          <w:color w:val="000000" w:themeColor="text1"/>
        </w:rPr>
        <w:t xml:space="preserve"> to the extent that it relates to these rules</w:t>
      </w:r>
      <w:r>
        <w:t>;</w:t>
      </w:r>
    </w:p>
    <w:p w14:paraId="6BD0706F" w14:textId="77777777" w:rsidR="00CF0E3D" w:rsidRDefault="00CF0E3D" w:rsidP="00CF0E3D">
      <w:pPr>
        <w:pStyle w:val="paragraph"/>
      </w:pPr>
      <w:r>
        <w:tab/>
        <w:t>(b)</w:t>
      </w:r>
      <w:r>
        <w:tab/>
        <w:t>these rules;</w:t>
      </w:r>
    </w:p>
    <w:p w14:paraId="36764304" w14:textId="77777777" w:rsidR="00CF0E3D" w:rsidRPr="002352F7" w:rsidRDefault="00CF0E3D" w:rsidP="00CF0E3D">
      <w:pPr>
        <w:pStyle w:val="paragraph"/>
      </w:pPr>
      <w:r>
        <w:tab/>
        <w:t>(c)</w:t>
      </w:r>
      <w:r>
        <w:tab/>
        <w:t>the data standards.</w:t>
      </w:r>
    </w:p>
    <w:p w14:paraId="71F5D17C" w14:textId="77777777" w:rsidR="00CF0E3D" w:rsidRDefault="00CF0E3D" w:rsidP="00CF0E3D">
      <w:pPr>
        <w:pStyle w:val="subsection"/>
      </w:pPr>
      <w:r>
        <w:tab/>
        <w:t>(2)</w:t>
      </w:r>
      <w:r>
        <w:tab/>
        <w:t>The Information Commissioner may, at any time, audit the compliance of any CDR participant with any or all of the following:</w:t>
      </w:r>
    </w:p>
    <w:p w14:paraId="7E726480" w14:textId="77777777" w:rsidR="00CF0E3D" w:rsidRDefault="00CF0E3D" w:rsidP="00CF0E3D">
      <w:pPr>
        <w:pStyle w:val="paragraph"/>
      </w:pPr>
      <w:r>
        <w:tab/>
        <w:t>(a)</w:t>
      </w:r>
      <w:r>
        <w:tab/>
        <w:t>the privacy safeguards (Division 5 of Part IVD of the Act);</w:t>
      </w:r>
    </w:p>
    <w:p w14:paraId="0586766B" w14:textId="77777777" w:rsidR="00CF0E3D" w:rsidRDefault="00CF0E3D" w:rsidP="00CF0E3D">
      <w:pPr>
        <w:pStyle w:val="paragraph"/>
      </w:pPr>
      <w:r>
        <w:tab/>
        <w:t>(b)</w:t>
      </w:r>
      <w:r>
        <w:tab/>
        <w:t>these rules to the extent that they relate to:</w:t>
      </w:r>
    </w:p>
    <w:p w14:paraId="12799A5A" w14:textId="77777777" w:rsidR="00CF0E3D" w:rsidRDefault="00CF0E3D" w:rsidP="00CF0E3D">
      <w:pPr>
        <w:pStyle w:val="paragraphsub"/>
      </w:pPr>
      <w:r>
        <w:tab/>
        <w:t>(i)</w:t>
      </w:r>
      <w:r>
        <w:tab/>
        <w:t>the privacy safeguards (see in particular Part 7 of these rules); or</w:t>
      </w:r>
    </w:p>
    <w:p w14:paraId="5E231A01" w14:textId="77777777" w:rsidR="00CF0E3D" w:rsidRDefault="00CF0E3D" w:rsidP="00CF0E3D">
      <w:pPr>
        <w:pStyle w:val="paragraphsub"/>
      </w:pPr>
      <w:r>
        <w:tab/>
        <w:t>(ii)</w:t>
      </w:r>
      <w:r>
        <w:tab/>
        <w:t>the privacy and confidentiality of CDR data.</w:t>
      </w:r>
    </w:p>
    <w:p w14:paraId="03A971C2" w14:textId="77777777" w:rsidR="00CF0E3D" w:rsidRPr="00F365ED" w:rsidRDefault="00CF0E3D" w:rsidP="00CF0E3D">
      <w:pPr>
        <w:pStyle w:val="subsection"/>
      </w:pPr>
      <w:r>
        <w:tab/>
        <w:t>(3)</w:t>
      </w:r>
      <w:r w:rsidRPr="00F365ED">
        <w:tab/>
        <w:t xml:space="preserve">For the purposes of conducting an audit </w:t>
      </w:r>
      <w:r w:rsidRPr="002D3298">
        <w:t xml:space="preserve">or otherwise monitoring the compliance of the CDR participant with the provisions mentioned in subrules </w:t>
      </w:r>
      <w:r>
        <w:t>(1)</w:t>
      </w:r>
      <w:r w:rsidRPr="002D3298">
        <w:t xml:space="preserve"> and </w:t>
      </w:r>
      <w:r>
        <w:t>(2)</w:t>
      </w:r>
      <w:r w:rsidRPr="00F365ED">
        <w:t>, the Commission, or the Information Commissioner, may give a CDR participant a written notice that requests the CDR participant to produce</w:t>
      </w:r>
      <w:r w:rsidRPr="00EC5815">
        <w:t>, within the time specified in the notice</w:t>
      </w:r>
      <w:r w:rsidRPr="00F365ED">
        <w:t>:</w:t>
      </w:r>
    </w:p>
    <w:p w14:paraId="167DC757" w14:textId="77777777" w:rsidR="00CF0E3D" w:rsidRPr="00F365ED" w:rsidRDefault="00CF0E3D" w:rsidP="00CF0E3D">
      <w:pPr>
        <w:pStyle w:val="paragraph"/>
      </w:pPr>
      <w:r w:rsidRPr="00F365ED">
        <w:tab/>
      </w:r>
      <w:r>
        <w:t>(a)</w:t>
      </w:r>
      <w:r w:rsidRPr="00F365ED">
        <w:tab/>
        <w:t>copies of records that are required by this Division to be kept; or</w:t>
      </w:r>
    </w:p>
    <w:p w14:paraId="7255205B" w14:textId="77777777" w:rsidR="00CF0E3D" w:rsidRPr="00F365ED" w:rsidRDefault="00CF0E3D" w:rsidP="00CF0E3D">
      <w:pPr>
        <w:pStyle w:val="paragraph"/>
      </w:pPr>
      <w:r w:rsidRPr="00F365ED">
        <w:tab/>
      </w:r>
      <w:r>
        <w:t>(b)</w:t>
      </w:r>
      <w:r w:rsidRPr="00F365ED">
        <w:tab/>
        <w:t>information from such records.</w:t>
      </w:r>
    </w:p>
    <w:p w14:paraId="46C73566" w14:textId="77777777" w:rsidR="00CF0E3D" w:rsidRPr="00A276A9" w:rsidRDefault="00CF0E3D" w:rsidP="00CF0E3D">
      <w:pPr>
        <w:pStyle w:val="subsection"/>
      </w:pPr>
      <w:r w:rsidRPr="00F365ED">
        <w:tab/>
      </w:r>
      <w:r>
        <w:t>(4)</w:t>
      </w:r>
      <w:r w:rsidRPr="00F365ED">
        <w:tab/>
      </w:r>
      <w:r w:rsidRPr="00A276A9">
        <w:t xml:space="preserve">The CDR participant must comply with a request under subrule </w:t>
      </w:r>
      <w:r>
        <w:t>(3)</w:t>
      </w:r>
      <w:r w:rsidRPr="00A276A9">
        <w:t>.</w:t>
      </w:r>
    </w:p>
    <w:p w14:paraId="63586B16" w14:textId="77777777" w:rsidR="00CF0E3D" w:rsidRDefault="00CF0E3D" w:rsidP="00CF0E3D">
      <w:pPr>
        <w:pStyle w:val="notetext"/>
      </w:pPr>
      <w:r w:rsidRPr="00A276A9">
        <w:t>Note:</w:t>
      </w:r>
      <w:r w:rsidRPr="00A276A9">
        <w:tab/>
        <w:t xml:space="preserve">This </w:t>
      </w:r>
      <w:r>
        <w:t>sub</w:t>
      </w:r>
      <w:r w:rsidRPr="00A276A9">
        <w:t>rule is a civil penalty provision (see rule </w:t>
      </w:r>
      <w:r>
        <w:rPr>
          <w:bCs/>
          <w:lang w:val="en-US"/>
        </w:rPr>
        <w:t>9.8</w:t>
      </w:r>
      <w:r w:rsidRPr="00A276A9">
        <w:t>).</w:t>
      </w:r>
    </w:p>
    <w:p w14:paraId="52110D72" w14:textId="77777777" w:rsidR="00CF0E3D" w:rsidRDefault="00CF0E3D" w:rsidP="00CF0E3D">
      <w:pPr>
        <w:pStyle w:val="ActHead5"/>
      </w:pPr>
      <w:bookmarkStart w:id="542" w:name="_Toc11771709"/>
      <w:bookmarkStart w:id="543" w:name="_Toc74916294"/>
      <w:r>
        <w:t>9.7  Audits by the Data Recipient Accreditor</w:t>
      </w:r>
      <w:bookmarkEnd w:id="542"/>
      <w:bookmarkEnd w:id="543"/>
    </w:p>
    <w:p w14:paraId="733DC22D" w14:textId="77777777" w:rsidR="00CF0E3D" w:rsidRDefault="00CF0E3D" w:rsidP="00CF0E3D">
      <w:pPr>
        <w:pStyle w:val="subsection"/>
        <w:rPr>
          <w:sz w:val="20"/>
        </w:rPr>
      </w:pPr>
      <w:r>
        <w:tab/>
        <w:t>(1)</w:t>
      </w:r>
      <w:r>
        <w:tab/>
        <w:t>The Data Recipient Accreditor may, at any time, audit the compliance of an accredited data recipient with any or all of the following:</w:t>
      </w:r>
    </w:p>
    <w:p w14:paraId="234F2A8A" w14:textId="77777777" w:rsidR="00CF0E3D" w:rsidRDefault="00CF0E3D" w:rsidP="00CF0E3D">
      <w:pPr>
        <w:pStyle w:val="paragraph"/>
      </w:pPr>
      <w:r>
        <w:tab/>
        <w:t>(a)</w:t>
      </w:r>
      <w:r>
        <w:tab/>
        <w:t>the obligations under rule 5.12;</w:t>
      </w:r>
    </w:p>
    <w:p w14:paraId="2F1FC314" w14:textId="77777777" w:rsidR="00CF0E3D" w:rsidRDefault="00CF0E3D" w:rsidP="00CF0E3D">
      <w:pPr>
        <w:pStyle w:val="paragraph"/>
      </w:pPr>
      <w:r>
        <w:tab/>
        <w:t>(b)</w:t>
      </w:r>
      <w:r>
        <w:tab/>
        <w:t>any conditions imposed on their accreditation.</w:t>
      </w:r>
    </w:p>
    <w:p w14:paraId="708BB306" w14:textId="77777777" w:rsidR="00CF0E3D" w:rsidRPr="00A276A9" w:rsidRDefault="00CF0E3D" w:rsidP="00CF0E3D">
      <w:pPr>
        <w:pStyle w:val="subsection"/>
      </w:pPr>
      <w:r w:rsidRPr="00A276A9">
        <w:tab/>
      </w:r>
      <w:r>
        <w:t>(2)</w:t>
      </w:r>
      <w:r w:rsidRPr="00A276A9">
        <w:tab/>
        <w:t xml:space="preserve">For the purposes of conducting an audit </w:t>
      </w:r>
      <w:r w:rsidRPr="002D3298">
        <w:t xml:space="preserve">or otherwise monitoring the compliance of the CDR participant with the criteria and conditions mentioned in subrule </w:t>
      </w:r>
      <w:r>
        <w:t>(1)</w:t>
      </w:r>
      <w:r w:rsidRPr="00A276A9">
        <w:t>, the Data Recipient Accreditor may give an accredited data recipient a written notice that requests the accredited data recipient to produce:</w:t>
      </w:r>
    </w:p>
    <w:p w14:paraId="3A5FE870" w14:textId="77777777" w:rsidR="00CF0E3D" w:rsidRPr="00CC65F9" w:rsidRDefault="00CF0E3D" w:rsidP="00CF0E3D">
      <w:pPr>
        <w:pStyle w:val="paragraph"/>
      </w:pPr>
      <w:r w:rsidRPr="00A276A9">
        <w:tab/>
      </w:r>
      <w:r>
        <w:t>(a)</w:t>
      </w:r>
      <w:r w:rsidRPr="00A276A9">
        <w:tab/>
        <w:t xml:space="preserve">copies of records that are required </w:t>
      </w:r>
      <w:r w:rsidRPr="00CC65F9">
        <w:t>by this Division to be kept; or</w:t>
      </w:r>
    </w:p>
    <w:p w14:paraId="0C64E2E3" w14:textId="77777777" w:rsidR="00CF0E3D" w:rsidRPr="00CC65F9" w:rsidRDefault="00CF0E3D" w:rsidP="00CF0E3D">
      <w:pPr>
        <w:pStyle w:val="paragraph"/>
      </w:pPr>
      <w:r w:rsidRPr="00CC65F9">
        <w:tab/>
        <w:t>(b)</w:t>
      </w:r>
      <w:r w:rsidRPr="00CC65F9">
        <w:tab/>
        <w:t>information from such records.</w:t>
      </w:r>
    </w:p>
    <w:p w14:paraId="1560DBE9" w14:textId="77777777" w:rsidR="00CF0E3D" w:rsidRPr="00A276A9" w:rsidRDefault="00CF0E3D" w:rsidP="00CF0E3D">
      <w:pPr>
        <w:pStyle w:val="subsection"/>
      </w:pPr>
      <w:r w:rsidRPr="00A276A9">
        <w:tab/>
      </w:r>
      <w:r>
        <w:t>(3)</w:t>
      </w:r>
      <w:r w:rsidRPr="00A276A9">
        <w:tab/>
        <w:t>The accredited data recipient must comply</w:t>
      </w:r>
      <w:r>
        <w:t xml:space="preserve"> with</w:t>
      </w:r>
      <w:r w:rsidRPr="00A276A9">
        <w:t xml:space="preserve"> a request under subrule </w:t>
      </w:r>
      <w:r>
        <w:t>(2)</w:t>
      </w:r>
      <w:r w:rsidRPr="00A276A9">
        <w:t xml:space="preserve">. </w:t>
      </w:r>
    </w:p>
    <w:p w14:paraId="3FE12B06" w14:textId="77777777" w:rsidR="00CF0E3D" w:rsidRPr="00A276A9" w:rsidRDefault="00CF0E3D" w:rsidP="00CF0E3D">
      <w:pPr>
        <w:pStyle w:val="notetext"/>
      </w:pPr>
      <w:r w:rsidRPr="00A276A9">
        <w:t>Note:</w:t>
      </w:r>
      <w:r w:rsidRPr="00A276A9">
        <w:tab/>
        <w:t xml:space="preserve">This </w:t>
      </w:r>
      <w:r>
        <w:t>sub</w:t>
      </w:r>
      <w:r w:rsidRPr="00A276A9">
        <w:t>rule is a civil penalty provision (see rule </w:t>
      </w:r>
      <w:r>
        <w:rPr>
          <w:bCs/>
          <w:lang w:val="en-US"/>
        </w:rPr>
        <w:t>9.8</w:t>
      </w:r>
      <w:r w:rsidRPr="00A276A9">
        <w:t>).</w:t>
      </w:r>
    </w:p>
    <w:p w14:paraId="3C3C538E" w14:textId="77777777" w:rsidR="00CF0E3D" w:rsidRPr="006E6044" w:rsidRDefault="00CF0E3D" w:rsidP="00CF0E3D">
      <w:pPr>
        <w:pStyle w:val="subsection"/>
      </w:pPr>
      <w:r>
        <w:tab/>
        <w:t>(4)</w:t>
      </w:r>
      <w:r>
        <w:tab/>
        <w:t>The Data Recipient Accreditor must provide a copy of any audit report to the Commission and the Information Commissioner.</w:t>
      </w:r>
    </w:p>
    <w:p w14:paraId="715E4846" w14:textId="77777777" w:rsidR="00CF0E3D" w:rsidRDefault="00CF0E3D" w:rsidP="00CF0E3D">
      <w:pPr>
        <w:pStyle w:val="ActHead3"/>
        <w:pageBreakBefore/>
      </w:pPr>
      <w:bookmarkStart w:id="544" w:name="_Toc11771710"/>
      <w:bookmarkStart w:id="545" w:name="_Toc74916295"/>
      <w:r>
        <w:t>Division 9.4—Civil penalty provisions</w:t>
      </w:r>
      <w:bookmarkEnd w:id="544"/>
      <w:bookmarkEnd w:id="545"/>
    </w:p>
    <w:p w14:paraId="49078F87" w14:textId="77777777" w:rsidR="00CF0E3D" w:rsidRDefault="00CF0E3D" w:rsidP="00CF0E3D">
      <w:pPr>
        <w:pStyle w:val="ActHead5"/>
      </w:pPr>
      <w:bookmarkStart w:id="546" w:name="_Toc74916296"/>
      <w:r>
        <w:t>9.8  Civil penalty provisions</w:t>
      </w:r>
      <w:bookmarkEnd w:id="546"/>
    </w:p>
    <w:p w14:paraId="1F1EA837" w14:textId="32D978F2" w:rsidR="0001019A" w:rsidRPr="00BC78CF" w:rsidRDefault="0001019A" w:rsidP="0001019A">
      <w:pPr>
        <w:pStyle w:val="nDrafterComment"/>
        <w:rPr>
          <w:color w:val="FF0000"/>
        </w:rPr>
      </w:pPr>
      <w:r w:rsidRPr="00BC78CF">
        <w:rPr>
          <w:b/>
          <w:i/>
          <w:color w:val="FF0000"/>
        </w:rPr>
        <w:t>Drafter's Comment:</w:t>
      </w:r>
      <w:r w:rsidRPr="00BC78CF">
        <w:rPr>
          <w:color w:val="FF0000"/>
        </w:rPr>
        <w:tab/>
        <w:t>This rule will need to be updated when new amendments are settled.</w:t>
      </w:r>
    </w:p>
    <w:p w14:paraId="421A0FAD" w14:textId="77777777" w:rsidR="00CF0E3D" w:rsidRPr="00E1300D" w:rsidRDefault="00CF0E3D" w:rsidP="00CF0E3D">
      <w:pPr>
        <w:pStyle w:val="subsection"/>
        <w:rPr>
          <w:color w:val="000000" w:themeColor="text1"/>
        </w:rPr>
      </w:pPr>
      <w:r w:rsidRPr="00E1300D">
        <w:rPr>
          <w:color w:val="000000" w:themeColor="text1"/>
        </w:rPr>
        <w:tab/>
      </w:r>
      <w:r w:rsidRPr="00E1300D">
        <w:rPr>
          <w:color w:val="000000" w:themeColor="text1"/>
        </w:rPr>
        <w:tab/>
        <w:t>For section 56BL of the Act, the following provisions of these rules are civil penalty provisions (within the meaning of the Regulatory Powers Act):</w:t>
      </w:r>
    </w:p>
    <w:p w14:paraId="7CD82D52"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(a)</w:t>
      </w:r>
      <w:r w:rsidRPr="001151F8">
        <w:rPr>
          <w:color w:val="000000" w:themeColor="text1"/>
        </w:rPr>
        <w:tab/>
        <w:t>subrule </w:t>
      </w:r>
      <w:r>
        <w:rPr>
          <w:color w:val="000000" w:themeColor="text1"/>
        </w:rPr>
        <w:t>1.12(1)</w:t>
      </w:r>
      <w:r w:rsidRPr="001151F8">
        <w:rPr>
          <w:color w:val="000000" w:themeColor="text1"/>
        </w:rPr>
        <w:t>; </w:t>
      </w:r>
    </w:p>
    <w:p w14:paraId="0C4F9BF4"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(b)</w:t>
      </w:r>
      <w:r w:rsidRPr="001151F8">
        <w:rPr>
          <w:color w:val="000000" w:themeColor="text1"/>
        </w:rPr>
        <w:tab/>
        <w:t>subrule </w:t>
      </w:r>
      <w:r>
        <w:rPr>
          <w:color w:val="000000" w:themeColor="text1"/>
        </w:rPr>
        <w:t>1.13(1)</w:t>
      </w:r>
      <w:r w:rsidRPr="001151F8">
        <w:rPr>
          <w:color w:val="000000" w:themeColor="text1"/>
        </w:rPr>
        <w:t>;</w:t>
      </w:r>
    </w:p>
    <w:p w14:paraId="651E882D"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(c)</w:t>
      </w:r>
      <w:r w:rsidRPr="001151F8">
        <w:rPr>
          <w:color w:val="000000" w:themeColor="text1"/>
        </w:rPr>
        <w:tab/>
        <w:t>subrule </w:t>
      </w:r>
      <w:r>
        <w:rPr>
          <w:color w:val="000000" w:themeColor="text1"/>
        </w:rPr>
        <w:t>1.14(1)</w:t>
      </w:r>
      <w:r w:rsidRPr="001151F8">
        <w:rPr>
          <w:color w:val="000000" w:themeColor="text1"/>
        </w:rPr>
        <w:t>;</w:t>
      </w:r>
    </w:p>
    <w:p w14:paraId="5F5B0A73"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(d)</w:t>
      </w:r>
      <w:r w:rsidRPr="001151F8">
        <w:rPr>
          <w:color w:val="000000" w:themeColor="text1"/>
        </w:rPr>
        <w:tab/>
        <w:t>subrule </w:t>
      </w:r>
      <w:r>
        <w:rPr>
          <w:color w:val="000000" w:themeColor="text1"/>
        </w:rPr>
        <w:t>1.15(1)</w:t>
      </w:r>
      <w:r w:rsidRPr="001151F8">
        <w:rPr>
          <w:color w:val="000000" w:themeColor="text1"/>
        </w:rPr>
        <w:t>;</w:t>
      </w:r>
    </w:p>
    <w:p w14:paraId="42ACD164" w14:textId="77777777" w:rsidR="00CF0E3D" w:rsidRDefault="00CF0E3D" w:rsidP="00CF0E3D">
      <w:pPr>
        <w:pStyle w:val="paragraph"/>
      </w:pPr>
      <w:r w:rsidRPr="00EC7544">
        <w:tab/>
      </w:r>
      <w:r>
        <w:t>(da)</w:t>
      </w:r>
      <w:r>
        <w:tab/>
        <w:t>subrule 1.15(5)</w:t>
      </w:r>
    </w:p>
    <w:p w14:paraId="7AE9CD94" w14:textId="77777777" w:rsidR="00CF0E3D" w:rsidRDefault="00CF0E3D" w:rsidP="00CF0E3D">
      <w:pPr>
        <w:pStyle w:val="paragraph"/>
      </w:pPr>
      <w:r>
        <w:tab/>
        <w:t>(db)</w:t>
      </w:r>
      <w:r>
        <w:tab/>
        <w:t>subrule 1.15(7)</w:t>
      </w:r>
    </w:p>
    <w:p w14:paraId="7680A850" w14:textId="77777777" w:rsidR="00CF0E3D" w:rsidRDefault="00CF0E3D" w:rsidP="00CF0E3D">
      <w:pPr>
        <w:pStyle w:val="paragraph"/>
      </w:pPr>
      <w:r>
        <w:tab/>
      </w:r>
      <w:r w:rsidRPr="00EC7544">
        <w:t>(e)</w:t>
      </w:r>
      <w:r w:rsidRPr="00EC7544">
        <w:tab/>
        <w:t>subrule 1.16(1);</w:t>
      </w:r>
    </w:p>
    <w:p w14:paraId="40C60783" w14:textId="1A649256" w:rsidR="00CF0E3D" w:rsidRPr="0054321A" w:rsidRDefault="005947E5" w:rsidP="0054321A">
      <w:pPr>
        <w:pStyle w:val="paragraph"/>
        <w:tabs>
          <w:tab w:val="left" w:pos="2160"/>
          <w:tab w:val="left" w:pos="2880"/>
          <w:tab w:val="left" w:pos="3550"/>
        </w:tabs>
      </w:pPr>
      <w:r w:rsidRPr="005B412F">
        <w:rPr>
          <w:color w:val="0000FF"/>
        </w:rPr>
        <w:tab/>
      </w:r>
      <w:r w:rsidR="00CF0E3D" w:rsidRPr="00CC65F9">
        <w:t>(ea)</w:t>
      </w:r>
      <w:r w:rsidR="00CF0E3D" w:rsidRPr="00CC65F9">
        <w:tab/>
      </w:r>
      <w:r w:rsidR="00CF0E3D">
        <w:rPr>
          <w:color w:val="000000" w:themeColor="text1"/>
        </w:rPr>
        <w:t>subrule 2.4(</w:t>
      </w:r>
      <w:r w:rsidR="00CF0E3D" w:rsidRPr="0054321A">
        <w:t>2A)</w:t>
      </w:r>
      <w:r w:rsidR="0054321A" w:rsidRPr="0054321A">
        <w:t>;</w:t>
      </w:r>
      <w:r w:rsidR="0054321A" w:rsidRPr="0054321A">
        <w:tab/>
      </w:r>
    </w:p>
    <w:p w14:paraId="081B0F93" w14:textId="77777777" w:rsidR="00CF0E3D" w:rsidRPr="0054321A" w:rsidRDefault="00CF0E3D" w:rsidP="00CF0E3D">
      <w:pPr>
        <w:pStyle w:val="paragraph"/>
      </w:pPr>
      <w:r w:rsidRPr="0054321A">
        <w:tab/>
        <w:t>(f)</w:t>
      </w:r>
      <w:r w:rsidRPr="0054321A">
        <w:tab/>
        <w:t>subrule 2.4(3);</w:t>
      </w:r>
    </w:p>
    <w:p w14:paraId="2DDC9358" w14:textId="579A8C6D" w:rsidR="005947E5" w:rsidRPr="001151F8" w:rsidRDefault="00CF0E3D" w:rsidP="0054321A">
      <w:pPr>
        <w:pStyle w:val="paragraph"/>
        <w:rPr>
          <w:color w:val="000000" w:themeColor="text1"/>
        </w:rPr>
      </w:pPr>
      <w:r w:rsidRPr="001151F8">
        <w:rPr>
          <w:color w:val="000000" w:themeColor="text1"/>
        </w:rPr>
        <w:tab/>
      </w:r>
      <w:r>
        <w:rPr>
          <w:color w:val="000000" w:themeColor="text1"/>
        </w:rPr>
        <w:t>(g)</w:t>
      </w:r>
      <w:r w:rsidRPr="001151F8">
        <w:rPr>
          <w:color w:val="000000" w:themeColor="text1"/>
        </w:rPr>
        <w:tab/>
        <w:t>rule </w:t>
      </w:r>
      <w:r>
        <w:rPr>
          <w:color w:val="000000" w:themeColor="text1"/>
        </w:rPr>
        <w:t>2.6</w:t>
      </w:r>
      <w:r w:rsidRPr="001151F8">
        <w:rPr>
          <w:color w:val="000000" w:themeColor="text1"/>
        </w:rPr>
        <w:t>;</w:t>
      </w:r>
    </w:p>
    <w:p w14:paraId="266C45E7" w14:textId="77777777" w:rsidR="00CF0E3D" w:rsidRDefault="00CF0E3D" w:rsidP="00CF0E3D">
      <w:pPr>
        <w:pStyle w:val="paragraph"/>
        <w:rPr>
          <w:color w:val="000000" w:themeColor="text1"/>
        </w:rPr>
      </w:pPr>
      <w:r w:rsidRPr="001151F8">
        <w:rPr>
          <w:color w:val="000000" w:themeColor="text1"/>
        </w:rPr>
        <w:tab/>
      </w:r>
      <w:r>
        <w:rPr>
          <w:color w:val="000000" w:themeColor="text1"/>
        </w:rPr>
        <w:t>(h)</w:t>
      </w:r>
      <w:r w:rsidRPr="001151F8">
        <w:rPr>
          <w:color w:val="000000" w:themeColor="text1"/>
        </w:rPr>
        <w:tab/>
        <w:t>subrule </w:t>
      </w:r>
      <w:r>
        <w:rPr>
          <w:color w:val="000000" w:themeColor="text1"/>
        </w:rPr>
        <w:t>3.4(3)</w:t>
      </w:r>
      <w:r w:rsidRPr="001151F8">
        <w:rPr>
          <w:color w:val="000000" w:themeColor="text1"/>
        </w:rPr>
        <w:t>;</w:t>
      </w:r>
    </w:p>
    <w:p w14:paraId="22C2847D" w14:textId="77777777" w:rsidR="00CF0E3D" w:rsidRPr="00EC5815" w:rsidRDefault="00CF0E3D" w:rsidP="00CF0E3D">
      <w:pPr>
        <w:pStyle w:val="paragraph"/>
      </w:pPr>
      <w:r w:rsidRPr="00EC5815">
        <w:tab/>
      </w:r>
      <w:r>
        <w:t>(i)</w:t>
      </w:r>
      <w:r w:rsidRPr="00EC5815">
        <w:tab/>
        <w:t>subrule </w:t>
      </w:r>
      <w:r>
        <w:t>4.3(5)</w:t>
      </w:r>
      <w:r w:rsidRPr="00EC5815">
        <w:t>;</w:t>
      </w:r>
    </w:p>
    <w:p w14:paraId="1B617386"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(j)</w:t>
      </w:r>
      <w:r w:rsidRPr="001151F8">
        <w:rPr>
          <w:color w:val="000000" w:themeColor="text1"/>
        </w:rPr>
        <w:tab/>
        <w:t>subrule </w:t>
      </w:r>
      <w:r>
        <w:rPr>
          <w:color w:val="000000" w:themeColor="text1"/>
        </w:rPr>
        <w:t>4.4(3)</w:t>
      </w:r>
      <w:r w:rsidRPr="001151F8">
        <w:rPr>
          <w:color w:val="000000" w:themeColor="text1"/>
        </w:rPr>
        <w:t>;</w:t>
      </w:r>
    </w:p>
    <w:p w14:paraId="0499936E"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(k)</w:t>
      </w:r>
      <w:r w:rsidRPr="001151F8">
        <w:rPr>
          <w:color w:val="000000" w:themeColor="text1"/>
        </w:rPr>
        <w:tab/>
        <w:t>subrule </w:t>
      </w:r>
      <w:r>
        <w:rPr>
          <w:color w:val="000000" w:themeColor="text1"/>
        </w:rPr>
        <w:t>4.5(2)</w:t>
      </w:r>
      <w:r w:rsidRPr="001151F8">
        <w:rPr>
          <w:color w:val="000000" w:themeColor="text1"/>
        </w:rPr>
        <w:t>;</w:t>
      </w:r>
    </w:p>
    <w:p w14:paraId="12B99BD6"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(l)</w:t>
      </w:r>
      <w:r w:rsidRPr="001151F8">
        <w:rPr>
          <w:color w:val="000000" w:themeColor="text1"/>
        </w:rPr>
        <w:tab/>
        <w:t>subrule </w:t>
      </w:r>
      <w:r>
        <w:rPr>
          <w:color w:val="000000" w:themeColor="text1"/>
        </w:rPr>
        <w:t>4.5(3)</w:t>
      </w:r>
      <w:r w:rsidRPr="001151F8">
        <w:rPr>
          <w:color w:val="000000" w:themeColor="text1"/>
        </w:rPr>
        <w:t>;</w:t>
      </w:r>
    </w:p>
    <w:p w14:paraId="759C0F0C"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(m)</w:t>
      </w:r>
      <w:r w:rsidRPr="001151F8">
        <w:rPr>
          <w:color w:val="000000" w:themeColor="text1"/>
        </w:rPr>
        <w:tab/>
        <w:t>subrule </w:t>
      </w:r>
      <w:r>
        <w:rPr>
          <w:color w:val="000000" w:themeColor="text1"/>
        </w:rPr>
        <w:t>4.6(3)</w:t>
      </w:r>
      <w:r w:rsidRPr="001151F8">
        <w:rPr>
          <w:color w:val="000000" w:themeColor="text1"/>
        </w:rPr>
        <w:t>;</w:t>
      </w:r>
    </w:p>
    <w:p w14:paraId="7EFA22F0"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(n)</w:t>
      </w:r>
      <w:r w:rsidRPr="001151F8">
        <w:rPr>
          <w:color w:val="000000" w:themeColor="text1"/>
        </w:rPr>
        <w:tab/>
        <w:t>subrule </w:t>
      </w:r>
      <w:r>
        <w:rPr>
          <w:color w:val="000000" w:themeColor="text1"/>
        </w:rPr>
        <w:t>4.6(4)</w:t>
      </w:r>
      <w:r w:rsidRPr="001151F8">
        <w:rPr>
          <w:color w:val="000000" w:themeColor="text1"/>
        </w:rPr>
        <w:t>;</w:t>
      </w:r>
    </w:p>
    <w:p w14:paraId="5D1B3A76" w14:textId="77777777" w:rsidR="00CF0E3D" w:rsidRDefault="00CF0E3D" w:rsidP="00CF0E3D">
      <w:pPr>
        <w:pStyle w:val="paragraph"/>
        <w:rPr>
          <w:color w:val="000000" w:themeColor="text1"/>
        </w:rPr>
      </w:pPr>
      <w:r>
        <w:rPr>
          <w:color w:val="000000" w:themeColor="text1"/>
        </w:rPr>
        <w:tab/>
        <w:t>(na)</w:t>
      </w:r>
      <w:r>
        <w:rPr>
          <w:color w:val="000000" w:themeColor="text1"/>
        </w:rPr>
        <w:tab/>
        <w:t>subrule 4.7B(3)</w:t>
      </w:r>
    </w:p>
    <w:p w14:paraId="789EA2A5"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(o)</w:t>
      </w:r>
      <w:r w:rsidRPr="001151F8">
        <w:rPr>
          <w:color w:val="000000" w:themeColor="text1"/>
        </w:rPr>
        <w:tab/>
        <w:t>subrule </w:t>
      </w:r>
      <w:r>
        <w:rPr>
          <w:color w:val="000000" w:themeColor="text1"/>
        </w:rPr>
        <w:t>4.13(2)</w:t>
      </w:r>
      <w:r w:rsidRPr="001151F8">
        <w:rPr>
          <w:color w:val="000000" w:themeColor="text1"/>
        </w:rPr>
        <w:t>;</w:t>
      </w:r>
    </w:p>
    <w:p w14:paraId="78D295B7"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(p)</w:t>
      </w:r>
      <w:r w:rsidRPr="001151F8">
        <w:rPr>
          <w:color w:val="000000" w:themeColor="text1"/>
        </w:rPr>
        <w:tab/>
        <w:t>subrule </w:t>
      </w:r>
      <w:r>
        <w:rPr>
          <w:color w:val="000000" w:themeColor="text1"/>
        </w:rPr>
        <w:t>4.18(1)</w:t>
      </w:r>
      <w:r w:rsidRPr="001151F8">
        <w:rPr>
          <w:color w:val="000000" w:themeColor="text1"/>
        </w:rPr>
        <w:t>;</w:t>
      </w:r>
    </w:p>
    <w:p w14:paraId="41C67E66" w14:textId="77777777" w:rsidR="00CF0E3D" w:rsidRPr="0021150F" w:rsidRDefault="00CF0E3D" w:rsidP="00CF0E3D">
      <w:pPr>
        <w:pStyle w:val="paragraph"/>
        <w:rPr>
          <w:color w:val="000000" w:themeColor="text1"/>
        </w:rPr>
      </w:pPr>
      <w:r>
        <w:rPr>
          <w:color w:val="000000" w:themeColor="text1"/>
        </w:rPr>
        <w:tab/>
        <w:t>(pa)</w:t>
      </w:r>
      <w:r>
        <w:rPr>
          <w:color w:val="000000" w:themeColor="text1"/>
        </w:rPr>
        <w:tab/>
      </w:r>
      <w:r w:rsidRPr="0021150F">
        <w:rPr>
          <w:color w:val="000000" w:themeColor="text1"/>
        </w:rPr>
        <w:t>subrule 4.18A(2);</w:t>
      </w:r>
    </w:p>
    <w:p w14:paraId="76EBDEB3" w14:textId="77777777" w:rsidR="00CF0E3D" w:rsidRPr="0021150F" w:rsidRDefault="00CF0E3D" w:rsidP="00CF0E3D">
      <w:pPr>
        <w:pStyle w:val="paragraph"/>
        <w:rPr>
          <w:color w:val="000000" w:themeColor="text1"/>
        </w:rPr>
      </w:pPr>
      <w:r>
        <w:rPr>
          <w:color w:val="000000" w:themeColor="text1"/>
        </w:rPr>
        <w:tab/>
      </w:r>
      <w:r w:rsidRPr="0021150F">
        <w:rPr>
          <w:color w:val="000000" w:themeColor="text1"/>
        </w:rPr>
        <w:t>(pb)</w:t>
      </w:r>
      <w:r w:rsidRPr="0021150F">
        <w:rPr>
          <w:color w:val="000000" w:themeColor="text1"/>
        </w:rPr>
        <w:tab/>
        <w:t>subrule 4.18B(2);</w:t>
      </w:r>
    </w:p>
    <w:p w14:paraId="51CB7C73" w14:textId="77777777" w:rsidR="00CF0E3D" w:rsidRPr="0021150F" w:rsidRDefault="00CF0E3D" w:rsidP="00CF0E3D">
      <w:pPr>
        <w:pStyle w:val="paragraph"/>
        <w:rPr>
          <w:color w:val="000000" w:themeColor="text1"/>
        </w:rPr>
      </w:pPr>
      <w:r>
        <w:rPr>
          <w:color w:val="000000" w:themeColor="text1"/>
        </w:rPr>
        <w:tab/>
      </w:r>
      <w:r w:rsidRPr="0021150F">
        <w:rPr>
          <w:color w:val="000000" w:themeColor="text1"/>
        </w:rPr>
        <w:t>(pc)</w:t>
      </w:r>
      <w:r w:rsidRPr="0021150F">
        <w:rPr>
          <w:color w:val="000000" w:themeColor="text1"/>
        </w:rPr>
        <w:tab/>
        <w:t>subrule 4.18B(3);</w:t>
      </w:r>
    </w:p>
    <w:p w14:paraId="067238B3" w14:textId="77777777" w:rsidR="00CF0E3D" w:rsidRPr="0054321A" w:rsidRDefault="00CF0E3D" w:rsidP="00CF0E3D">
      <w:pPr>
        <w:pStyle w:val="paragraph"/>
      </w:pPr>
      <w:r>
        <w:rPr>
          <w:color w:val="000000" w:themeColor="text1"/>
        </w:rPr>
        <w:tab/>
      </w:r>
      <w:r w:rsidRPr="0021150F">
        <w:rPr>
          <w:color w:val="000000" w:themeColor="text1"/>
        </w:rPr>
        <w:t>(pd)</w:t>
      </w:r>
      <w:r w:rsidRPr="0021150F">
        <w:rPr>
          <w:color w:val="000000" w:themeColor="text1"/>
        </w:rPr>
        <w:tab/>
        <w:t>subrule 4.</w:t>
      </w:r>
      <w:r w:rsidRPr="0054321A">
        <w:t>18C(2);</w:t>
      </w:r>
    </w:p>
    <w:p w14:paraId="66F5D43C" w14:textId="77777777" w:rsidR="00CF0E3D" w:rsidRPr="0054321A" w:rsidRDefault="00CF0E3D" w:rsidP="00CF0E3D">
      <w:pPr>
        <w:pStyle w:val="paragraph"/>
      </w:pPr>
      <w:r w:rsidRPr="0054321A">
        <w:tab/>
        <w:t>(q)</w:t>
      </w:r>
      <w:r w:rsidRPr="0054321A">
        <w:tab/>
        <w:t>rule 4.19;</w:t>
      </w:r>
    </w:p>
    <w:p w14:paraId="7FDBFE40"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(r)</w:t>
      </w:r>
      <w:r w:rsidRPr="001151F8">
        <w:rPr>
          <w:color w:val="000000" w:themeColor="text1"/>
        </w:rPr>
        <w:tab/>
        <w:t>subrule </w:t>
      </w:r>
      <w:r>
        <w:rPr>
          <w:color w:val="000000" w:themeColor="text1"/>
        </w:rPr>
        <w:t>4.20(2)</w:t>
      </w:r>
      <w:r w:rsidRPr="001151F8">
        <w:rPr>
          <w:color w:val="000000" w:themeColor="text1"/>
        </w:rPr>
        <w:t>;</w:t>
      </w:r>
    </w:p>
    <w:p w14:paraId="35B5D224" w14:textId="77777777" w:rsidR="00CF0E3D" w:rsidRDefault="00CF0E3D" w:rsidP="00CF0E3D">
      <w:pPr>
        <w:pStyle w:val="paragraph"/>
        <w:rPr>
          <w:color w:val="000000" w:themeColor="text1"/>
        </w:rPr>
      </w:pPr>
      <w:r>
        <w:rPr>
          <w:color w:val="000000" w:themeColor="text1"/>
        </w:rPr>
        <w:tab/>
        <w:t>(ra)</w:t>
      </w:r>
      <w:r>
        <w:rPr>
          <w:color w:val="000000" w:themeColor="text1"/>
        </w:rPr>
        <w:tab/>
        <w:t>subrule 4.22A(1)</w:t>
      </w:r>
    </w:p>
    <w:p w14:paraId="1B4B7058"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(s)</w:t>
      </w:r>
      <w:r w:rsidRPr="001151F8">
        <w:rPr>
          <w:color w:val="000000" w:themeColor="text1"/>
        </w:rPr>
        <w:tab/>
        <w:t>subrule </w:t>
      </w:r>
      <w:r>
        <w:rPr>
          <w:color w:val="000000" w:themeColor="text1"/>
        </w:rPr>
        <w:t>4.25(2)</w:t>
      </w:r>
      <w:r w:rsidRPr="001151F8">
        <w:rPr>
          <w:color w:val="000000" w:themeColor="text1"/>
        </w:rPr>
        <w:t>;</w:t>
      </w:r>
    </w:p>
    <w:p w14:paraId="38219B76"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(t)</w:t>
      </w:r>
      <w:r w:rsidRPr="001151F8">
        <w:rPr>
          <w:color w:val="000000" w:themeColor="text1"/>
        </w:rPr>
        <w:tab/>
        <w:t>rule </w:t>
      </w:r>
      <w:r>
        <w:rPr>
          <w:color w:val="000000" w:themeColor="text1"/>
        </w:rPr>
        <w:t>4.27</w:t>
      </w:r>
      <w:r w:rsidRPr="001151F8">
        <w:rPr>
          <w:color w:val="000000" w:themeColor="text1"/>
        </w:rPr>
        <w:t>;</w:t>
      </w:r>
    </w:p>
    <w:p w14:paraId="7C55E03F" w14:textId="77777777" w:rsidR="00CF0E3D" w:rsidRDefault="00CF0E3D" w:rsidP="00CF0E3D">
      <w:pPr>
        <w:pStyle w:val="paragraph"/>
        <w:rPr>
          <w:color w:val="000000" w:themeColor="text1"/>
        </w:rPr>
      </w:pPr>
      <w:r>
        <w:rPr>
          <w:color w:val="000000" w:themeColor="text1"/>
        </w:rPr>
        <w:tab/>
        <w:t>(ta)</w:t>
      </w:r>
      <w:r>
        <w:rPr>
          <w:color w:val="000000" w:themeColor="text1"/>
        </w:rPr>
        <w:tab/>
        <w:t>subrule 4.28(2)</w:t>
      </w:r>
    </w:p>
    <w:p w14:paraId="0588BDB0"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(u)</w:t>
      </w:r>
      <w:r w:rsidRPr="001151F8">
        <w:rPr>
          <w:color w:val="000000" w:themeColor="text1"/>
        </w:rPr>
        <w:tab/>
        <w:t>subrule </w:t>
      </w:r>
      <w:r>
        <w:rPr>
          <w:color w:val="000000" w:themeColor="text1"/>
        </w:rPr>
        <w:t>5.12(1)</w:t>
      </w:r>
      <w:r w:rsidRPr="001151F8">
        <w:rPr>
          <w:color w:val="000000" w:themeColor="text1"/>
        </w:rPr>
        <w:t>;</w:t>
      </w:r>
    </w:p>
    <w:p w14:paraId="69E1B285"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(v)</w:t>
      </w:r>
      <w:r w:rsidRPr="001151F8">
        <w:rPr>
          <w:color w:val="000000" w:themeColor="text1"/>
        </w:rPr>
        <w:tab/>
        <w:t>rule </w:t>
      </w:r>
      <w:r>
        <w:rPr>
          <w:color w:val="000000" w:themeColor="text1"/>
        </w:rPr>
        <w:t>5.13</w:t>
      </w:r>
      <w:r w:rsidRPr="001151F8">
        <w:rPr>
          <w:color w:val="000000" w:themeColor="text1"/>
        </w:rPr>
        <w:t>;</w:t>
      </w:r>
    </w:p>
    <w:p w14:paraId="128A9141"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(w)</w:t>
      </w:r>
      <w:r w:rsidRPr="001151F8">
        <w:rPr>
          <w:color w:val="000000" w:themeColor="text1"/>
        </w:rPr>
        <w:tab/>
        <w:t xml:space="preserve">rule </w:t>
      </w:r>
      <w:r>
        <w:rPr>
          <w:color w:val="000000" w:themeColor="text1"/>
        </w:rPr>
        <w:t>5.14</w:t>
      </w:r>
      <w:r w:rsidRPr="001151F8">
        <w:rPr>
          <w:color w:val="000000" w:themeColor="text1"/>
        </w:rPr>
        <w:t>;</w:t>
      </w:r>
    </w:p>
    <w:p w14:paraId="68F32488"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(x)</w:t>
      </w:r>
      <w:r w:rsidRPr="001151F8">
        <w:rPr>
          <w:color w:val="000000" w:themeColor="text1"/>
        </w:rPr>
        <w:tab/>
        <w:t xml:space="preserve">subrule </w:t>
      </w:r>
      <w:r>
        <w:rPr>
          <w:color w:val="000000" w:themeColor="text1"/>
        </w:rPr>
        <w:t>5.23(2)</w:t>
      </w:r>
      <w:r w:rsidRPr="001151F8">
        <w:rPr>
          <w:color w:val="000000" w:themeColor="text1"/>
        </w:rPr>
        <w:t>;</w:t>
      </w:r>
    </w:p>
    <w:p w14:paraId="52CD5EE8" w14:textId="77777777" w:rsidR="00CF0E3D" w:rsidRDefault="00CF0E3D" w:rsidP="00CF0E3D">
      <w:pPr>
        <w:pStyle w:val="paragraph"/>
        <w:rPr>
          <w:color w:val="000000" w:themeColor="text1"/>
        </w:rPr>
      </w:pPr>
      <w:r w:rsidRPr="001151F8">
        <w:rPr>
          <w:color w:val="000000" w:themeColor="text1"/>
        </w:rPr>
        <w:tab/>
      </w:r>
      <w:r>
        <w:rPr>
          <w:color w:val="000000" w:themeColor="text1"/>
        </w:rPr>
        <w:t>(y)</w:t>
      </w:r>
      <w:r w:rsidRPr="001151F8">
        <w:rPr>
          <w:color w:val="000000" w:themeColor="text1"/>
        </w:rPr>
        <w:tab/>
        <w:t xml:space="preserve">subrule </w:t>
      </w:r>
      <w:r>
        <w:rPr>
          <w:color w:val="000000" w:themeColor="text1"/>
        </w:rPr>
        <w:t>5.23(3)</w:t>
      </w:r>
      <w:r w:rsidRPr="001151F8">
        <w:rPr>
          <w:color w:val="000000" w:themeColor="text1"/>
        </w:rPr>
        <w:t>;</w:t>
      </w:r>
    </w:p>
    <w:p w14:paraId="2BBEBA88" w14:textId="77777777" w:rsidR="00CF0E3D" w:rsidRPr="001151F8" w:rsidRDefault="00CF0E3D" w:rsidP="00CF0E3D">
      <w:pPr>
        <w:pStyle w:val="paragraph"/>
      </w:pPr>
      <w:r>
        <w:tab/>
        <w:t>(z)</w:t>
      </w:r>
      <w:r>
        <w:tab/>
        <w:t>subrule 5.23(4);</w:t>
      </w:r>
      <w:r w:rsidRPr="001151F8">
        <w:t xml:space="preserve"> </w:t>
      </w:r>
    </w:p>
    <w:p w14:paraId="4F06BB7D"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(aa)</w:t>
      </w:r>
      <w:r w:rsidRPr="001151F8">
        <w:rPr>
          <w:color w:val="000000" w:themeColor="text1"/>
        </w:rPr>
        <w:tab/>
        <w:t>subrule </w:t>
      </w:r>
      <w:r>
        <w:rPr>
          <w:color w:val="000000" w:themeColor="text1"/>
        </w:rPr>
        <w:t>5.31(2)</w:t>
      </w:r>
      <w:r w:rsidRPr="001151F8">
        <w:rPr>
          <w:color w:val="000000" w:themeColor="text1"/>
        </w:rPr>
        <w:t>;</w:t>
      </w:r>
    </w:p>
    <w:p w14:paraId="50537A35"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(bb)</w:t>
      </w:r>
      <w:r w:rsidRPr="001151F8">
        <w:rPr>
          <w:color w:val="000000" w:themeColor="text1"/>
        </w:rPr>
        <w:tab/>
        <w:t>rule </w:t>
      </w:r>
      <w:r>
        <w:rPr>
          <w:color w:val="000000" w:themeColor="text1"/>
        </w:rPr>
        <w:t>6.1</w:t>
      </w:r>
      <w:r w:rsidRPr="001151F8">
        <w:rPr>
          <w:color w:val="000000" w:themeColor="text1"/>
        </w:rPr>
        <w:t>;</w:t>
      </w:r>
    </w:p>
    <w:p w14:paraId="2D842E41" w14:textId="77777777" w:rsidR="00CF0E3D" w:rsidRPr="009749EC" w:rsidRDefault="00CF0E3D" w:rsidP="00CF0E3D">
      <w:pPr>
        <w:pStyle w:val="paragraph"/>
      </w:pPr>
      <w:r w:rsidRPr="009749EC">
        <w:tab/>
      </w:r>
      <w:r>
        <w:t>(cc)</w:t>
      </w:r>
      <w:r w:rsidRPr="009749EC">
        <w:tab/>
        <w:t>rule </w:t>
      </w:r>
      <w:r>
        <w:t>6.2</w:t>
      </w:r>
      <w:r w:rsidRPr="009749EC">
        <w:t>;</w:t>
      </w:r>
    </w:p>
    <w:p w14:paraId="42EF35C6"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(dd)</w:t>
      </w:r>
      <w:r w:rsidRPr="001151F8">
        <w:rPr>
          <w:color w:val="000000" w:themeColor="text1"/>
        </w:rPr>
        <w:tab/>
        <w:t>subrule </w:t>
      </w:r>
      <w:r>
        <w:rPr>
          <w:color w:val="000000" w:themeColor="text1"/>
        </w:rPr>
        <w:t>7.2(4)</w:t>
      </w:r>
      <w:r w:rsidRPr="001151F8">
        <w:rPr>
          <w:color w:val="000000" w:themeColor="text1"/>
        </w:rPr>
        <w:t>;</w:t>
      </w:r>
    </w:p>
    <w:p w14:paraId="6DEED5AD"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(ee)</w:t>
      </w:r>
      <w:r w:rsidRPr="001151F8">
        <w:rPr>
          <w:color w:val="000000" w:themeColor="text1"/>
        </w:rPr>
        <w:tab/>
        <w:t>subrule </w:t>
      </w:r>
      <w:r>
        <w:rPr>
          <w:color w:val="000000" w:themeColor="text1"/>
        </w:rPr>
        <w:t>7.2(6)</w:t>
      </w:r>
      <w:r w:rsidRPr="001151F8">
        <w:rPr>
          <w:color w:val="000000" w:themeColor="text1"/>
        </w:rPr>
        <w:t>;</w:t>
      </w:r>
    </w:p>
    <w:p w14:paraId="7E884B80"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(ff)</w:t>
      </w:r>
      <w:r w:rsidRPr="001151F8">
        <w:rPr>
          <w:color w:val="000000" w:themeColor="text1"/>
        </w:rPr>
        <w:tab/>
        <w:t>subrule </w:t>
      </w:r>
      <w:r>
        <w:rPr>
          <w:color w:val="000000" w:themeColor="text1"/>
        </w:rPr>
        <w:t>7.2(7)</w:t>
      </w:r>
      <w:r w:rsidRPr="001151F8">
        <w:rPr>
          <w:color w:val="000000" w:themeColor="text1"/>
        </w:rPr>
        <w:t>;</w:t>
      </w:r>
    </w:p>
    <w:p w14:paraId="4DC55EDE"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(gg)</w:t>
      </w:r>
      <w:r w:rsidRPr="001151F8">
        <w:rPr>
          <w:color w:val="000000" w:themeColor="text1"/>
        </w:rPr>
        <w:tab/>
        <w:t>subrule </w:t>
      </w:r>
      <w:r>
        <w:rPr>
          <w:color w:val="000000" w:themeColor="text1"/>
        </w:rPr>
        <w:t>7.2(8)</w:t>
      </w:r>
      <w:r w:rsidRPr="001151F8">
        <w:rPr>
          <w:color w:val="000000" w:themeColor="text1"/>
        </w:rPr>
        <w:t>;</w:t>
      </w:r>
    </w:p>
    <w:p w14:paraId="27D53DBF"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(hh)</w:t>
      </w:r>
      <w:r w:rsidRPr="001151F8">
        <w:rPr>
          <w:color w:val="000000" w:themeColor="text1"/>
        </w:rPr>
        <w:tab/>
        <w:t>subrule </w:t>
      </w:r>
      <w:r>
        <w:rPr>
          <w:color w:val="000000" w:themeColor="text1"/>
        </w:rPr>
        <w:t>7.2(9)</w:t>
      </w:r>
      <w:r w:rsidRPr="001151F8">
        <w:rPr>
          <w:color w:val="000000" w:themeColor="text1"/>
        </w:rPr>
        <w:t>;</w:t>
      </w:r>
    </w:p>
    <w:p w14:paraId="3AAE8CB9"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(ii)</w:t>
      </w:r>
      <w:r w:rsidRPr="001151F8">
        <w:rPr>
          <w:color w:val="000000" w:themeColor="text1"/>
        </w:rPr>
        <w:tab/>
        <w:t>subrule </w:t>
      </w:r>
      <w:r>
        <w:rPr>
          <w:color w:val="000000" w:themeColor="text1"/>
        </w:rPr>
        <w:t>7.6(1)</w:t>
      </w:r>
      <w:r w:rsidRPr="001151F8">
        <w:rPr>
          <w:color w:val="000000" w:themeColor="text1"/>
        </w:rPr>
        <w:t>;</w:t>
      </w:r>
    </w:p>
    <w:p w14:paraId="555961DC"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(jj)</w:t>
      </w:r>
      <w:r w:rsidRPr="001151F8">
        <w:rPr>
          <w:color w:val="000000" w:themeColor="text1"/>
        </w:rPr>
        <w:tab/>
        <w:t>subrule </w:t>
      </w:r>
      <w:r>
        <w:rPr>
          <w:color w:val="000000" w:themeColor="text1"/>
        </w:rPr>
        <w:t>7.14(1)</w:t>
      </w:r>
      <w:r w:rsidRPr="001151F8">
        <w:rPr>
          <w:color w:val="000000" w:themeColor="text1"/>
        </w:rPr>
        <w:t>;</w:t>
      </w:r>
    </w:p>
    <w:p w14:paraId="610C07CA"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(kk)</w:t>
      </w:r>
      <w:r w:rsidRPr="001151F8">
        <w:rPr>
          <w:color w:val="000000" w:themeColor="text1"/>
        </w:rPr>
        <w:tab/>
        <w:t xml:space="preserve">subrule </w:t>
      </w:r>
      <w:r>
        <w:rPr>
          <w:color w:val="000000" w:themeColor="text1"/>
        </w:rPr>
        <w:t>7.14(2)</w:t>
      </w:r>
      <w:r w:rsidRPr="001151F8">
        <w:rPr>
          <w:color w:val="000000" w:themeColor="text1"/>
        </w:rPr>
        <w:t>;</w:t>
      </w:r>
    </w:p>
    <w:p w14:paraId="2593CC8A"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(ll)</w:t>
      </w:r>
      <w:r w:rsidRPr="001151F8">
        <w:rPr>
          <w:color w:val="000000" w:themeColor="text1"/>
        </w:rPr>
        <w:tab/>
        <w:t>subrule </w:t>
      </w:r>
      <w:r>
        <w:rPr>
          <w:color w:val="000000" w:themeColor="text1"/>
        </w:rPr>
        <w:t>9.6(4)</w:t>
      </w:r>
      <w:r w:rsidRPr="001151F8">
        <w:rPr>
          <w:color w:val="000000" w:themeColor="text1"/>
        </w:rPr>
        <w:t>;</w:t>
      </w:r>
    </w:p>
    <w:p w14:paraId="321AA326"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(mm)</w:t>
      </w:r>
      <w:r w:rsidRPr="001151F8">
        <w:rPr>
          <w:color w:val="000000" w:themeColor="text1"/>
        </w:rPr>
        <w:tab/>
        <w:t>subrule </w:t>
      </w:r>
      <w:r>
        <w:rPr>
          <w:color w:val="000000" w:themeColor="text1"/>
        </w:rPr>
        <w:t>9.7(3)</w:t>
      </w:r>
      <w:r w:rsidRPr="001151F8">
        <w:rPr>
          <w:color w:val="000000" w:themeColor="text1"/>
        </w:rPr>
        <w:t>;</w:t>
      </w:r>
    </w:p>
    <w:p w14:paraId="42F1BA8D" w14:textId="77777777" w:rsidR="00CF0E3D" w:rsidRPr="0021150F" w:rsidRDefault="00CF0E3D" w:rsidP="00CF0E3D">
      <w:pPr>
        <w:pStyle w:val="paragraph"/>
        <w:rPr>
          <w:color w:val="000000" w:themeColor="text1"/>
        </w:rPr>
      </w:pPr>
      <w:r>
        <w:rPr>
          <w:color w:val="000000" w:themeColor="text1"/>
        </w:rPr>
        <w:tab/>
      </w:r>
      <w:r w:rsidRPr="0021150F">
        <w:rPr>
          <w:color w:val="000000" w:themeColor="text1"/>
        </w:rPr>
        <w:t>(nn)</w:t>
      </w:r>
      <w:r w:rsidRPr="0021150F">
        <w:rPr>
          <w:color w:val="000000" w:themeColor="text1"/>
        </w:rPr>
        <w:tab/>
        <w:t>subclause 4.6(1) of Schedule 3;</w:t>
      </w:r>
    </w:p>
    <w:p w14:paraId="4E8E9394" w14:textId="77777777" w:rsidR="00CF0E3D" w:rsidRPr="0021150F" w:rsidRDefault="00CF0E3D" w:rsidP="00CF0E3D">
      <w:pPr>
        <w:pStyle w:val="paragraph"/>
        <w:rPr>
          <w:color w:val="000000" w:themeColor="text1"/>
        </w:rPr>
      </w:pPr>
      <w:r>
        <w:rPr>
          <w:color w:val="000000" w:themeColor="text1"/>
        </w:rPr>
        <w:tab/>
      </w:r>
      <w:r w:rsidRPr="0021150F">
        <w:rPr>
          <w:color w:val="000000" w:themeColor="text1"/>
        </w:rPr>
        <w:t>(oo)</w:t>
      </w:r>
      <w:r w:rsidRPr="0021150F">
        <w:rPr>
          <w:color w:val="000000" w:themeColor="text1"/>
        </w:rPr>
        <w:tab/>
        <w:t>subclause 4.7(2) of Schedule 3;</w:t>
      </w:r>
    </w:p>
    <w:p w14:paraId="4EC0853B" w14:textId="77777777" w:rsidR="00CF0E3D" w:rsidRPr="0021150F" w:rsidRDefault="00CF0E3D" w:rsidP="00CF0E3D">
      <w:pPr>
        <w:pStyle w:val="paragraph"/>
        <w:rPr>
          <w:color w:val="000000" w:themeColor="text1"/>
        </w:rPr>
      </w:pPr>
      <w:r>
        <w:rPr>
          <w:color w:val="000000" w:themeColor="text1"/>
        </w:rPr>
        <w:tab/>
      </w:r>
      <w:r w:rsidRPr="0021150F">
        <w:rPr>
          <w:color w:val="000000" w:themeColor="text1"/>
        </w:rPr>
        <w:t>(pp)</w:t>
      </w:r>
      <w:r w:rsidRPr="0021150F">
        <w:rPr>
          <w:color w:val="000000" w:themeColor="text1"/>
        </w:rPr>
        <w:tab/>
        <w:t>subclause 4.10(2) of Schedule 3;</w:t>
      </w:r>
    </w:p>
    <w:p w14:paraId="4AC41AEC" w14:textId="77777777" w:rsidR="00CF0E3D" w:rsidRPr="0021150F" w:rsidRDefault="00CF0E3D" w:rsidP="00CF0E3D">
      <w:pPr>
        <w:pStyle w:val="paragraph"/>
        <w:rPr>
          <w:color w:val="000000" w:themeColor="text1"/>
        </w:rPr>
      </w:pPr>
      <w:r>
        <w:rPr>
          <w:color w:val="000000" w:themeColor="text1"/>
        </w:rPr>
        <w:tab/>
      </w:r>
      <w:r w:rsidRPr="0021150F">
        <w:rPr>
          <w:color w:val="000000" w:themeColor="text1"/>
        </w:rPr>
        <w:t>(qq)</w:t>
      </w:r>
      <w:r w:rsidRPr="0021150F">
        <w:rPr>
          <w:color w:val="000000" w:themeColor="text1"/>
        </w:rPr>
        <w:tab/>
        <w:t>subclause 4.14(1) of Schedule 3;</w:t>
      </w:r>
    </w:p>
    <w:p w14:paraId="6049BE8D" w14:textId="77777777" w:rsidR="00CF0E3D" w:rsidRPr="0021150F" w:rsidRDefault="00CF0E3D" w:rsidP="00CF0E3D">
      <w:pPr>
        <w:pStyle w:val="paragraph"/>
        <w:rPr>
          <w:color w:val="000000" w:themeColor="text1"/>
        </w:rPr>
      </w:pPr>
      <w:r>
        <w:rPr>
          <w:color w:val="000000" w:themeColor="text1"/>
        </w:rPr>
        <w:tab/>
      </w:r>
      <w:r w:rsidRPr="0021150F">
        <w:rPr>
          <w:color w:val="000000" w:themeColor="text1"/>
        </w:rPr>
        <w:t>(rr)</w:t>
      </w:r>
      <w:r w:rsidRPr="0021150F">
        <w:rPr>
          <w:color w:val="000000" w:themeColor="text1"/>
        </w:rPr>
        <w:tab/>
        <w:t>subclause 4.16(1)of Schedule 3;</w:t>
      </w:r>
    </w:p>
    <w:p w14:paraId="082019DE" w14:textId="77777777" w:rsidR="00CF0E3D" w:rsidRDefault="00CF0E3D" w:rsidP="00CF0E3D">
      <w:pPr>
        <w:pStyle w:val="paragraph"/>
        <w:rPr>
          <w:color w:val="000000" w:themeColor="text1"/>
        </w:rPr>
      </w:pPr>
      <w:r>
        <w:rPr>
          <w:color w:val="000000" w:themeColor="text1"/>
        </w:rPr>
        <w:tab/>
      </w:r>
      <w:r w:rsidRPr="0021150F">
        <w:rPr>
          <w:color w:val="000000" w:themeColor="text1"/>
        </w:rPr>
        <w:t>(ss)</w:t>
      </w:r>
      <w:r w:rsidRPr="0021150F">
        <w:rPr>
          <w:color w:val="000000" w:themeColor="text1"/>
        </w:rPr>
        <w:tab/>
        <w:t>subclause 4.16(2) of Schedule 3.</w:t>
      </w:r>
    </w:p>
    <w:p w14:paraId="528D09AD" w14:textId="77777777" w:rsidR="00CF0E3D" w:rsidRPr="00A276A9" w:rsidRDefault="00CF0E3D" w:rsidP="00CF0E3D">
      <w:pPr>
        <w:pStyle w:val="notetext"/>
      </w:pPr>
      <w:r w:rsidRPr="00F918B2">
        <w:t>Note:</w:t>
      </w:r>
      <w:r w:rsidRPr="00F918B2">
        <w:tab/>
      </w:r>
      <w:r w:rsidRPr="00F918B2">
        <w:rPr>
          <w:bCs/>
          <w:lang w:val="en-US"/>
        </w:rPr>
        <w:t xml:space="preserve">Subrules </w:t>
      </w:r>
      <w:r>
        <w:rPr>
          <w:color w:val="000000" w:themeColor="text1"/>
        </w:rPr>
        <w:t xml:space="preserve">2.5(2), 3.5(2), 4.7(3), 5.25(3), 5.25(5), 5.34(4), </w:t>
      </w:r>
      <w:r>
        <w:rPr>
          <w:bCs/>
          <w:lang w:val="en-US"/>
        </w:rPr>
        <w:t>9.3(1)</w:t>
      </w:r>
      <w:r w:rsidRPr="00F918B2">
        <w:rPr>
          <w:bCs/>
          <w:lang w:val="en-US"/>
        </w:rPr>
        <w:t xml:space="preserve">, </w:t>
      </w:r>
      <w:r>
        <w:rPr>
          <w:bCs/>
          <w:lang w:val="en-US"/>
        </w:rPr>
        <w:t>9.3(2)</w:t>
      </w:r>
      <w:r w:rsidRPr="00F918B2">
        <w:rPr>
          <w:bCs/>
          <w:lang w:val="en-US"/>
        </w:rPr>
        <w:t xml:space="preserve">, </w:t>
      </w:r>
      <w:r>
        <w:rPr>
          <w:bCs/>
          <w:lang w:val="en-US"/>
        </w:rPr>
        <w:t>9.3(5)</w:t>
      </w:r>
      <w:r w:rsidRPr="00F918B2">
        <w:rPr>
          <w:bCs/>
          <w:lang w:val="en-US"/>
        </w:rPr>
        <w:t xml:space="preserve">, </w:t>
      </w:r>
      <w:r>
        <w:rPr>
          <w:bCs/>
          <w:lang w:val="en-US"/>
        </w:rPr>
        <w:t>9.4(1)</w:t>
      </w:r>
      <w:r w:rsidRPr="00F918B2">
        <w:rPr>
          <w:bCs/>
          <w:lang w:val="en-US"/>
        </w:rPr>
        <w:t xml:space="preserve">, </w:t>
      </w:r>
      <w:r>
        <w:rPr>
          <w:bCs/>
          <w:lang w:val="en-US"/>
        </w:rPr>
        <w:t>9.4</w:t>
      </w:r>
      <w:r>
        <w:t>(2)</w:t>
      </w:r>
      <w:r w:rsidRPr="00F918B2">
        <w:rPr>
          <w:bCs/>
          <w:lang w:val="en-US"/>
        </w:rPr>
        <w:t xml:space="preserve">, </w:t>
      </w:r>
      <w:r>
        <w:rPr>
          <w:bCs/>
          <w:lang w:val="en-US"/>
        </w:rPr>
        <w:t>9.4(3)</w:t>
      </w:r>
      <w:r w:rsidRPr="00F918B2">
        <w:rPr>
          <w:bCs/>
          <w:lang w:val="en-US"/>
        </w:rPr>
        <w:t xml:space="preserve">, </w:t>
      </w:r>
      <w:r>
        <w:rPr>
          <w:bCs/>
          <w:lang w:val="en-US"/>
        </w:rPr>
        <w:t>9.5(4)</w:t>
      </w:r>
      <w:r w:rsidRPr="00F918B2">
        <w:rPr>
          <w:bCs/>
          <w:lang w:val="en-US"/>
        </w:rPr>
        <w:t xml:space="preserve">, </w:t>
      </w:r>
      <w:r>
        <w:rPr>
          <w:bCs/>
          <w:lang w:val="en-US"/>
        </w:rPr>
        <w:t>9.5(5)</w:t>
      </w:r>
      <w:r w:rsidRPr="00F918B2">
        <w:rPr>
          <w:bCs/>
          <w:lang w:val="en-US"/>
        </w:rPr>
        <w:t xml:space="preserve"> and </w:t>
      </w:r>
      <w:r>
        <w:rPr>
          <w:bCs/>
          <w:lang w:val="en-US"/>
        </w:rPr>
        <w:t>9.5(6)</w:t>
      </w:r>
      <w:r w:rsidRPr="00F918B2">
        <w:rPr>
          <w:bCs/>
          <w:lang w:val="en-US"/>
        </w:rPr>
        <w:t xml:space="preserve"> are also civil penalty provisions within the meaning of the Regulatory Powers Act.</w:t>
      </w:r>
      <w:r>
        <w:rPr>
          <w:bCs/>
          <w:lang w:val="en-US"/>
        </w:rPr>
        <w:t xml:space="preserve"> </w:t>
      </w:r>
    </w:p>
    <w:p w14:paraId="07B91C40" w14:textId="77777777" w:rsidR="00CF0E3D" w:rsidRDefault="00CF0E3D" w:rsidP="00CF0E3D">
      <w:pPr>
        <w:pStyle w:val="subsection"/>
        <w:sectPr w:rsidR="00CF0E3D" w:rsidSect="002B25A2">
          <w:headerReference w:type="default" r:id="rId23"/>
          <w:pgSz w:w="11907" w:h="16839" w:code="9"/>
          <w:pgMar w:top="2234" w:right="1797" w:bottom="1440" w:left="1797" w:header="720" w:footer="709" w:gutter="0"/>
          <w:cols w:space="708"/>
          <w:docGrid w:linePitch="360"/>
        </w:sectPr>
      </w:pPr>
    </w:p>
    <w:p w14:paraId="637D7407" w14:textId="77777777" w:rsidR="00CF0E3D" w:rsidRDefault="00CF0E3D" w:rsidP="00CF0E3D">
      <w:pPr>
        <w:pStyle w:val="ActHead6"/>
      </w:pPr>
      <w:bookmarkStart w:id="547" w:name="_Toc74916297"/>
      <w:r>
        <w:t>Schedule 1</w:t>
      </w:r>
      <w:r w:rsidRPr="00956176">
        <w:t>—Default conditions on accreditations</w:t>
      </w:r>
      <w:bookmarkEnd w:id="547"/>
    </w:p>
    <w:p w14:paraId="5ED913E5" w14:textId="77777777" w:rsidR="00CF0E3D" w:rsidRPr="00956176" w:rsidRDefault="00CF0E3D" w:rsidP="00CF0E3D">
      <w:pPr>
        <w:pStyle w:val="ActHead2"/>
      </w:pPr>
      <w:bookmarkStart w:id="548" w:name="_Toc74916298"/>
      <w:r>
        <w:t>Part 1</w:t>
      </w:r>
      <w:r w:rsidRPr="00956176">
        <w:t>—Preliminary</w:t>
      </w:r>
      <w:bookmarkEnd w:id="548"/>
    </w:p>
    <w:p w14:paraId="48DD32D9" w14:textId="77777777" w:rsidR="00CF0E3D" w:rsidRPr="00956176" w:rsidRDefault="00CF0E3D" w:rsidP="00CF0E3D">
      <w:pPr>
        <w:pStyle w:val="ActHead5"/>
      </w:pPr>
      <w:bookmarkStart w:id="549" w:name="_Toc74916299"/>
      <w:r>
        <w:t>1.1</w:t>
      </w:r>
      <w:r w:rsidRPr="00956176">
        <w:t xml:space="preserve">  Purpose of Schedule</w:t>
      </w:r>
      <w:bookmarkEnd w:id="549"/>
    </w:p>
    <w:p w14:paraId="68F495EE" w14:textId="77777777" w:rsidR="00CF0E3D" w:rsidRPr="00956176" w:rsidRDefault="00CF0E3D" w:rsidP="00CF0E3D">
      <w:pPr>
        <w:pStyle w:val="subsection"/>
      </w:pPr>
      <w:r w:rsidRPr="00956176">
        <w:tab/>
      </w:r>
      <w:r w:rsidRPr="00956176">
        <w:tab/>
        <w:t>This Schedule sets out the default conditions on accreditations, for rule </w:t>
      </w:r>
      <w:r>
        <w:t xml:space="preserve">5.9 </w:t>
      </w:r>
      <w:r w:rsidRPr="00E1300D">
        <w:rPr>
          <w:color w:val="000000" w:themeColor="text1"/>
        </w:rPr>
        <w:t>of these rules</w:t>
      </w:r>
      <w:r w:rsidRPr="00956176">
        <w:t>.</w:t>
      </w:r>
    </w:p>
    <w:p w14:paraId="59BE0E91" w14:textId="77777777" w:rsidR="00CF0E3D" w:rsidRDefault="00CF0E3D" w:rsidP="00CF0E3D">
      <w:pPr>
        <w:pStyle w:val="ActHead2"/>
      </w:pPr>
      <w:bookmarkStart w:id="550" w:name="_Toc74916300"/>
      <w:r>
        <w:t>Part 2</w:t>
      </w:r>
      <w:r w:rsidRPr="00956176">
        <w:t>—Default conditions on accreditations</w:t>
      </w:r>
      <w:bookmarkEnd w:id="550"/>
    </w:p>
    <w:p w14:paraId="6B41BAD9" w14:textId="77777777" w:rsidR="00CF0E3D" w:rsidRDefault="00CF0E3D" w:rsidP="00CF0E3D">
      <w:pPr>
        <w:pStyle w:val="ActHead5"/>
      </w:pPr>
      <w:bookmarkStart w:id="551" w:name="_Toc17450943"/>
      <w:bookmarkStart w:id="552" w:name="_Toc74916301"/>
      <w:r>
        <w:t>2.1</w:t>
      </w:r>
      <w:r w:rsidRPr="00A110B0">
        <w:t xml:space="preserve">  Ongoing reporting obligation on accredited persons</w:t>
      </w:r>
      <w:bookmarkEnd w:id="551"/>
      <w:bookmarkEnd w:id="552"/>
    </w:p>
    <w:p w14:paraId="53A9FF6E" w14:textId="77777777" w:rsidR="00CF0E3D" w:rsidRDefault="00CF0E3D" w:rsidP="00CF0E3D">
      <w:pPr>
        <w:pStyle w:val="subsection"/>
      </w:pPr>
      <w:r>
        <w:tab/>
        <w:t>(1)</w:t>
      </w:r>
      <w:r>
        <w:tab/>
        <w:t>In this clause:</w:t>
      </w:r>
    </w:p>
    <w:p w14:paraId="3BB90EAE" w14:textId="77777777" w:rsidR="00CF0E3D" w:rsidRDefault="00CF0E3D" w:rsidP="00CF0E3D">
      <w:pPr>
        <w:pStyle w:val="Definition"/>
      </w:pPr>
      <w:r>
        <w:rPr>
          <w:b/>
          <w:i/>
        </w:rPr>
        <w:t xml:space="preserve">ASAE </w:t>
      </w:r>
      <w:r>
        <w:t xml:space="preserve">followed by a number means the standard with that number issued by the Auditing and Assurance Standards Board of the Australian Government (AUASB). </w:t>
      </w:r>
    </w:p>
    <w:p w14:paraId="4574FC62" w14:textId="77777777" w:rsidR="00CF0E3D" w:rsidRDefault="00CF0E3D" w:rsidP="00CF0E3D">
      <w:pPr>
        <w:pStyle w:val="Definition"/>
      </w:pPr>
      <w:r w:rsidRPr="00CA7872">
        <w:rPr>
          <w:b/>
          <w:i/>
        </w:rPr>
        <w:t>approved</w:t>
      </w:r>
      <w:r w:rsidRPr="00CA7872">
        <w:t xml:space="preserve"> means approved for the purposes of this clause in guidelines issued by the Data Recipient Accreditor.</w:t>
      </w:r>
    </w:p>
    <w:p w14:paraId="5DBCC4BC" w14:textId="77777777" w:rsidR="00B82353" w:rsidRPr="00BC78CF" w:rsidRDefault="00B82353" w:rsidP="00B82353">
      <w:pPr>
        <w:pStyle w:val="Definition"/>
        <w:rPr>
          <w:color w:val="FF0000"/>
        </w:rPr>
      </w:pPr>
      <w:r w:rsidRPr="00BC78CF">
        <w:rPr>
          <w:b/>
          <w:i/>
          <w:color w:val="FF0000"/>
        </w:rPr>
        <w:t xml:space="preserve">assurance report </w:t>
      </w:r>
      <w:r w:rsidRPr="00BC78CF">
        <w:rPr>
          <w:color w:val="FF0000"/>
        </w:rPr>
        <w:t>means:</w:t>
      </w:r>
    </w:p>
    <w:p w14:paraId="2DD4521D" w14:textId="77777777" w:rsidR="00B82353" w:rsidRPr="00BC78CF" w:rsidRDefault="00B82353" w:rsidP="00B82353">
      <w:pPr>
        <w:pStyle w:val="paragraph"/>
        <w:rPr>
          <w:color w:val="FF0000"/>
        </w:rPr>
      </w:pPr>
      <w:r w:rsidRPr="00BC78CF">
        <w:rPr>
          <w:color w:val="FF0000"/>
        </w:rPr>
        <w:tab/>
        <w:t>(a)</w:t>
      </w:r>
      <w:r w:rsidRPr="00BC78CF">
        <w:rPr>
          <w:color w:val="FF0000"/>
        </w:rPr>
        <w:tab/>
        <w:t xml:space="preserve">for a person with unrestricted accreditation—a report that is made in accordance with: </w:t>
      </w:r>
    </w:p>
    <w:p w14:paraId="455EF901" w14:textId="77777777" w:rsidR="00B82353" w:rsidRPr="00BC78CF" w:rsidRDefault="00B82353" w:rsidP="00B82353">
      <w:pPr>
        <w:pStyle w:val="paragraphsub"/>
        <w:rPr>
          <w:color w:val="FF0000"/>
        </w:rPr>
      </w:pPr>
      <w:r w:rsidRPr="00BC78CF">
        <w:rPr>
          <w:color w:val="FF0000"/>
        </w:rPr>
        <w:tab/>
        <w:t>(i)</w:t>
      </w:r>
      <w:r w:rsidRPr="00BC78CF">
        <w:rPr>
          <w:color w:val="FF0000"/>
        </w:rPr>
        <w:tab/>
        <w:t>ASAE 3150; or</w:t>
      </w:r>
    </w:p>
    <w:p w14:paraId="6783665D" w14:textId="77777777" w:rsidR="00B82353" w:rsidRPr="00BC78CF" w:rsidRDefault="00B82353" w:rsidP="00B82353">
      <w:pPr>
        <w:pStyle w:val="paragraphsub"/>
        <w:rPr>
          <w:color w:val="FF0000"/>
        </w:rPr>
      </w:pPr>
      <w:r w:rsidRPr="00BC78CF">
        <w:rPr>
          <w:color w:val="FF0000"/>
        </w:rPr>
        <w:tab/>
        <w:t>(ii)</w:t>
      </w:r>
      <w:r w:rsidRPr="00BC78CF">
        <w:rPr>
          <w:color w:val="FF0000"/>
        </w:rPr>
        <w:tab/>
        <w:t>an approved standard, report or framework; and</w:t>
      </w:r>
      <w:r w:rsidRPr="00BC78CF">
        <w:rPr>
          <w:color w:val="FF0000"/>
        </w:rPr>
        <w:tab/>
      </w:r>
    </w:p>
    <w:p w14:paraId="36FAF72B" w14:textId="77777777" w:rsidR="00B82353" w:rsidRPr="00BC78CF" w:rsidRDefault="00B82353" w:rsidP="00B82353">
      <w:pPr>
        <w:pStyle w:val="notetext"/>
        <w:rPr>
          <w:color w:val="FF0000"/>
        </w:rPr>
      </w:pPr>
      <w:r w:rsidRPr="00BC78CF">
        <w:rPr>
          <w:color w:val="FF0000"/>
        </w:rPr>
        <w:t>Note:</w:t>
      </w:r>
      <w:r w:rsidRPr="00BC78CF">
        <w:rPr>
          <w:color w:val="FF0000"/>
        </w:rPr>
        <w:tab/>
        <w:t xml:space="preserve">See the </w:t>
      </w:r>
      <w:r w:rsidRPr="00BC78CF">
        <w:rPr>
          <w:i/>
          <w:color w:val="FF0000"/>
        </w:rPr>
        <w:t>CDR Accreditation Guidelines</w:t>
      </w:r>
      <w:r w:rsidRPr="00BC78CF">
        <w:rPr>
          <w:color w:val="FF0000"/>
        </w:rPr>
        <w:t>, which could in 2020 be downloaded from the Commission’s website (</w:t>
      </w:r>
      <w:r w:rsidRPr="00BC78CF">
        <w:rPr>
          <w:rStyle w:val="Hyperlink"/>
          <w:color w:val="FF0000"/>
        </w:rPr>
        <w:t>https://www.accc.gov.au</w:t>
      </w:r>
      <w:r w:rsidRPr="00BC78CF">
        <w:rPr>
          <w:color w:val="FF0000"/>
        </w:rPr>
        <w:t>).</w:t>
      </w:r>
    </w:p>
    <w:p w14:paraId="54E9105A" w14:textId="77777777" w:rsidR="00B82353" w:rsidRPr="00BC78CF" w:rsidRDefault="00B82353" w:rsidP="00B82353">
      <w:pPr>
        <w:pStyle w:val="notetext"/>
        <w:rPr>
          <w:color w:val="FF0000"/>
        </w:rPr>
      </w:pPr>
      <w:r w:rsidRPr="00BC78CF">
        <w:rPr>
          <w:color w:val="FF0000"/>
        </w:rPr>
        <w:tab/>
        <w:t xml:space="preserve">ASAE 3150 </w:t>
      </w:r>
      <w:r w:rsidRPr="00BC78CF">
        <w:rPr>
          <w:rFonts w:eastAsiaTheme="minorHAnsi"/>
          <w:color w:val="FF0000"/>
        </w:rPr>
        <w:t>could in 2020 be downloaded from the Auditing and Assurance Standards Board’s website (https://www.auasb.gov.au/admin/file/content102/c3/Jan15_ASAE_3150_Assurance_Engagements_on_Controls.pdf).</w:t>
      </w:r>
    </w:p>
    <w:p w14:paraId="0C251D79" w14:textId="77777777" w:rsidR="00B82353" w:rsidRPr="00BC78CF" w:rsidRDefault="00B82353" w:rsidP="00B82353">
      <w:pPr>
        <w:pStyle w:val="paragraph"/>
        <w:rPr>
          <w:color w:val="FF0000"/>
        </w:rPr>
      </w:pPr>
      <w:r w:rsidRPr="00BC78CF">
        <w:rPr>
          <w:color w:val="FF0000"/>
        </w:rPr>
        <w:tab/>
        <w:t>(b)</w:t>
      </w:r>
      <w:r w:rsidRPr="00BC78CF">
        <w:rPr>
          <w:color w:val="FF0000"/>
        </w:rPr>
        <w:tab/>
        <w:t>for a person with sponsored accreditation—an assessement of its capacity to comply with Schedule 2 that is made in accordance with any approved requirements;</w:t>
      </w:r>
    </w:p>
    <w:p w14:paraId="1A61E6AC" w14:textId="77777777" w:rsidR="00B82353" w:rsidRPr="00BC78CF" w:rsidRDefault="00B82353" w:rsidP="00B82353">
      <w:pPr>
        <w:pStyle w:val="subsection2"/>
        <w:rPr>
          <w:color w:val="FF0000"/>
        </w:rPr>
      </w:pPr>
      <w:r w:rsidRPr="00BC78CF">
        <w:rPr>
          <w:color w:val="FF0000"/>
        </w:rPr>
        <w:t xml:space="preserve">that does not include the information that must be provided in an attestation statement. </w:t>
      </w:r>
    </w:p>
    <w:p w14:paraId="340306E8" w14:textId="59C319BF" w:rsidR="00CF0E3D" w:rsidRPr="00BC78CF" w:rsidRDefault="00CF0E3D" w:rsidP="00CF0E3D">
      <w:pPr>
        <w:pStyle w:val="Definition"/>
        <w:rPr>
          <w:strike/>
          <w:color w:val="FF0000"/>
        </w:rPr>
      </w:pPr>
      <w:r w:rsidRPr="00BC78CF">
        <w:rPr>
          <w:b/>
          <w:i/>
          <w:strike/>
          <w:color w:val="FF0000"/>
        </w:rPr>
        <w:t xml:space="preserve">assurance report </w:t>
      </w:r>
      <w:r w:rsidRPr="00BC78CF">
        <w:rPr>
          <w:strike/>
          <w:color w:val="FF0000"/>
        </w:rPr>
        <w:t>means</w:t>
      </w:r>
      <w:r w:rsidR="00447487" w:rsidRPr="00BC78CF">
        <w:rPr>
          <w:strike/>
          <w:color w:val="FF0000"/>
        </w:rPr>
        <w:t>:</w:t>
      </w:r>
    </w:p>
    <w:p w14:paraId="732CBACF" w14:textId="48C417E6" w:rsidR="00CF0E3D" w:rsidRPr="00BC78CF" w:rsidRDefault="00CF0E3D" w:rsidP="00CF0E3D">
      <w:pPr>
        <w:pStyle w:val="paragraph"/>
        <w:rPr>
          <w:strike/>
          <w:color w:val="FF0000"/>
        </w:rPr>
      </w:pPr>
      <w:r w:rsidRPr="00BC78CF">
        <w:rPr>
          <w:strike/>
          <w:color w:val="FF0000"/>
        </w:rPr>
        <w:tab/>
        <w:t>(a)</w:t>
      </w:r>
      <w:r w:rsidRPr="00BC78CF">
        <w:rPr>
          <w:strike/>
          <w:color w:val="FF0000"/>
        </w:rPr>
        <w:tab/>
      </w:r>
      <w:r w:rsidR="00447487" w:rsidRPr="00BC78CF">
        <w:rPr>
          <w:strike/>
          <w:color w:val="FF0000"/>
        </w:rPr>
        <w:t xml:space="preserve">a report that </w:t>
      </w:r>
      <w:r w:rsidRPr="00BC78CF">
        <w:rPr>
          <w:strike/>
          <w:color w:val="FF0000"/>
        </w:rPr>
        <w:t xml:space="preserve">is made in accordance with: </w:t>
      </w:r>
    </w:p>
    <w:p w14:paraId="160790D0" w14:textId="77777777" w:rsidR="00CF0E3D" w:rsidRPr="00BC78CF" w:rsidRDefault="00CF0E3D" w:rsidP="00CF0E3D">
      <w:pPr>
        <w:pStyle w:val="paragraphsub"/>
        <w:rPr>
          <w:strike/>
          <w:color w:val="FF0000"/>
        </w:rPr>
      </w:pPr>
      <w:r w:rsidRPr="00BC78CF">
        <w:rPr>
          <w:strike/>
          <w:color w:val="FF0000"/>
        </w:rPr>
        <w:tab/>
        <w:t>(i)</w:t>
      </w:r>
      <w:r w:rsidRPr="00BC78CF">
        <w:rPr>
          <w:strike/>
          <w:color w:val="FF0000"/>
        </w:rPr>
        <w:tab/>
        <w:t>ASAE 3150; or</w:t>
      </w:r>
    </w:p>
    <w:p w14:paraId="3B4B278C" w14:textId="77777777" w:rsidR="00CF0E3D" w:rsidRPr="00BC78CF" w:rsidRDefault="00CF0E3D" w:rsidP="00CF0E3D">
      <w:pPr>
        <w:pStyle w:val="paragraphsub"/>
        <w:rPr>
          <w:strike/>
          <w:color w:val="FF0000"/>
        </w:rPr>
      </w:pPr>
      <w:r w:rsidRPr="00BC78CF">
        <w:rPr>
          <w:strike/>
          <w:color w:val="FF0000"/>
        </w:rPr>
        <w:tab/>
        <w:t>(ii)</w:t>
      </w:r>
      <w:r w:rsidRPr="00BC78CF">
        <w:rPr>
          <w:strike/>
          <w:color w:val="FF0000"/>
        </w:rPr>
        <w:tab/>
        <w:t>an approved standard, report or framework; and</w:t>
      </w:r>
      <w:r w:rsidRPr="00BC78CF">
        <w:rPr>
          <w:strike/>
          <w:color w:val="FF0000"/>
        </w:rPr>
        <w:tab/>
      </w:r>
    </w:p>
    <w:p w14:paraId="4D38F13D" w14:textId="7FF8F2FC" w:rsidR="00CF0E3D" w:rsidRPr="00BC78CF" w:rsidRDefault="00CF0E3D" w:rsidP="00CF0E3D">
      <w:pPr>
        <w:pStyle w:val="notetext"/>
        <w:rPr>
          <w:strike/>
          <w:color w:val="FF0000"/>
        </w:rPr>
      </w:pPr>
      <w:r w:rsidRPr="00BC78CF">
        <w:rPr>
          <w:strike/>
          <w:color w:val="FF0000"/>
        </w:rPr>
        <w:t>Note:</w:t>
      </w:r>
      <w:r w:rsidRPr="00BC78CF">
        <w:rPr>
          <w:strike/>
          <w:color w:val="FF0000"/>
        </w:rPr>
        <w:tab/>
        <w:t xml:space="preserve">See the </w:t>
      </w:r>
      <w:r w:rsidRPr="00BC78CF">
        <w:rPr>
          <w:i/>
          <w:strike/>
          <w:color w:val="FF0000"/>
        </w:rPr>
        <w:t>CDR Accreditation Guidelines</w:t>
      </w:r>
      <w:r w:rsidRPr="00BC78CF">
        <w:rPr>
          <w:strike/>
          <w:color w:val="FF0000"/>
        </w:rPr>
        <w:t>, which could in 2020 be downloaded from the Commission’s website (</w:t>
      </w:r>
      <w:r w:rsidRPr="00BC78CF">
        <w:rPr>
          <w:rStyle w:val="Hyperlink"/>
          <w:strike/>
          <w:color w:val="FF0000"/>
        </w:rPr>
        <w:t>https://www</w:t>
      </w:r>
      <w:r w:rsidR="006D2C58" w:rsidRPr="00BC78CF">
        <w:rPr>
          <w:rStyle w:val="Hyperlink"/>
          <w:strike/>
          <w:color w:val="FF0000"/>
        </w:rPr>
        <w:t>.</w:t>
      </w:r>
      <w:r w:rsidRPr="00BC78CF">
        <w:rPr>
          <w:rStyle w:val="Hyperlink"/>
          <w:strike/>
          <w:color w:val="FF0000"/>
        </w:rPr>
        <w:t>accc.gov.au</w:t>
      </w:r>
      <w:r w:rsidRPr="00BC78CF">
        <w:rPr>
          <w:strike/>
          <w:color w:val="FF0000"/>
        </w:rPr>
        <w:t>).</w:t>
      </w:r>
    </w:p>
    <w:p w14:paraId="1C8B80A9" w14:textId="77777777" w:rsidR="00CF0E3D" w:rsidRPr="00BC78CF" w:rsidRDefault="00CF0E3D" w:rsidP="00CF0E3D">
      <w:pPr>
        <w:pStyle w:val="notetext"/>
        <w:rPr>
          <w:strike/>
          <w:color w:val="FF0000"/>
        </w:rPr>
      </w:pPr>
      <w:r w:rsidRPr="00BC78CF">
        <w:rPr>
          <w:strike/>
          <w:color w:val="FF0000"/>
        </w:rPr>
        <w:tab/>
        <w:t xml:space="preserve">ASAE 3150 </w:t>
      </w:r>
      <w:r w:rsidRPr="00BC78CF">
        <w:rPr>
          <w:rFonts w:eastAsiaTheme="minorHAnsi"/>
          <w:strike/>
          <w:color w:val="FF0000"/>
        </w:rPr>
        <w:t>could in 2020 be downloaded from the Auditing and Assurance Standards Board’s website (https://www.auasb.gov.au/admin/file/content102/c3/Jan15_ASAE_3150_Assurance_Engagements_on_Controls.pdf).</w:t>
      </w:r>
    </w:p>
    <w:p w14:paraId="2ED3A285" w14:textId="19C4B7AB" w:rsidR="00CF0E3D" w:rsidRPr="00BC78CF" w:rsidRDefault="00447487" w:rsidP="00B82353">
      <w:pPr>
        <w:pStyle w:val="paragraph"/>
        <w:rPr>
          <w:strike/>
          <w:color w:val="FF0000"/>
        </w:rPr>
      </w:pPr>
      <w:r w:rsidRPr="00BC78CF">
        <w:rPr>
          <w:strike/>
          <w:color w:val="FF0000"/>
        </w:rPr>
        <w:tab/>
        <w:t>(b)</w:t>
      </w:r>
      <w:r w:rsidRPr="00BC78CF">
        <w:rPr>
          <w:strike/>
          <w:color w:val="FF0000"/>
        </w:rPr>
        <w:tab/>
        <w:t xml:space="preserve">does not </w:t>
      </w:r>
      <w:r w:rsidR="00CF0E3D" w:rsidRPr="00BC78CF">
        <w:rPr>
          <w:strike/>
          <w:color w:val="FF0000"/>
        </w:rPr>
        <w:t xml:space="preserve">include the information that must be provided in an attestation statement. </w:t>
      </w:r>
    </w:p>
    <w:p w14:paraId="5C01A92A" w14:textId="77777777" w:rsidR="0001019A" w:rsidRPr="00BC78CF" w:rsidRDefault="00CF0E3D" w:rsidP="00CF0E3D">
      <w:pPr>
        <w:pStyle w:val="Definition"/>
        <w:rPr>
          <w:color w:val="FF0000"/>
        </w:rPr>
      </w:pPr>
      <w:r w:rsidRPr="00BC78CF">
        <w:rPr>
          <w:b/>
          <w:i/>
          <w:color w:val="FF0000"/>
        </w:rPr>
        <w:t>attestation statement</w:t>
      </w:r>
      <w:r w:rsidRPr="00BC78CF">
        <w:rPr>
          <w:color w:val="FF0000"/>
        </w:rPr>
        <w:t xml:space="preserve"> means</w:t>
      </w:r>
      <w:r w:rsidR="0001019A" w:rsidRPr="00BC78CF">
        <w:rPr>
          <w:color w:val="FF0000"/>
        </w:rPr>
        <w:t>:</w:t>
      </w:r>
    </w:p>
    <w:p w14:paraId="13EC67D6" w14:textId="4CE3672B" w:rsidR="0001019A" w:rsidRPr="00BC78CF" w:rsidRDefault="0001019A" w:rsidP="0001019A">
      <w:pPr>
        <w:pStyle w:val="paragraph"/>
        <w:rPr>
          <w:color w:val="FF0000"/>
        </w:rPr>
      </w:pPr>
      <w:r w:rsidRPr="00BC78CF">
        <w:rPr>
          <w:color w:val="FF0000"/>
        </w:rPr>
        <w:tab/>
        <w:t>(a)</w:t>
      </w:r>
      <w:r w:rsidRPr="00BC78CF">
        <w:rPr>
          <w:color w:val="FF0000"/>
        </w:rPr>
        <w:tab/>
        <w:t xml:space="preserve">for </w:t>
      </w:r>
      <w:r w:rsidR="00B96CC8" w:rsidRPr="00BC78CF">
        <w:rPr>
          <w:color w:val="FF0000"/>
        </w:rPr>
        <w:t xml:space="preserve">a </w:t>
      </w:r>
      <w:r w:rsidRPr="00BC78CF">
        <w:rPr>
          <w:color w:val="FF0000"/>
        </w:rPr>
        <w:t>person with unrestricted accreditation—</w:t>
      </w:r>
      <w:r w:rsidR="00CF0E3D" w:rsidRPr="00BC78CF">
        <w:rPr>
          <w:color w:val="FF0000"/>
        </w:rPr>
        <w:t>a statement in the form of a responsible party’s statement on controls and system description that is made in accordance with ASAE 3150</w:t>
      </w:r>
      <w:r w:rsidRPr="00BC78CF">
        <w:rPr>
          <w:color w:val="FF0000"/>
        </w:rPr>
        <w:t>; and</w:t>
      </w:r>
    </w:p>
    <w:p w14:paraId="17EB2F73" w14:textId="5355A429" w:rsidR="007B7EB2" w:rsidRPr="00BC78CF" w:rsidRDefault="0001019A" w:rsidP="0001019A">
      <w:pPr>
        <w:pStyle w:val="paragraph"/>
        <w:rPr>
          <w:color w:val="FF0000"/>
        </w:rPr>
      </w:pPr>
      <w:r w:rsidRPr="00BC78CF">
        <w:rPr>
          <w:color w:val="FF0000"/>
        </w:rPr>
        <w:tab/>
        <w:t>(b)</w:t>
      </w:r>
      <w:r w:rsidRPr="00BC78CF">
        <w:rPr>
          <w:color w:val="FF0000"/>
        </w:rPr>
        <w:tab/>
        <w:t xml:space="preserve">for </w:t>
      </w:r>
      <w:r w:rsidR="00F3080A" w:rsidRPr="00BC78CF">
        <w:rPr>
          <w:color w:val="FF0000"/>
        </w:rPr>
        <w:t>a person with sponsored accreditation</w:t>
      </w:r>
      <w:r w:rsidRPr="00BC78CF">
        <w:rPr>
          <w:color w:val="FF0000"/>
        </w:rPr>
        <w:t>—a statement about its compliance with Schedule 2 that is made in accordance with any approved requirements</w:t>
      </w:r>
      <w:r w:rsidR="00CF0E3D" w:rsidRPr="00BC78CF">
        <w:rPr>
          <w:color w:val="FF0000"/>
        </w:rPr>
        <w:t>.</w:t>
      </w:r>
    </w:p>
    <w:p w14:paraId="05F35BFE" w14:textId="1F11E73B" w:rsidR="00B82353" w:rsidRPr="00BC78CF" w:rsidRDefault="00B82353" w:rsidP="00B82353">
      <w:pPr>
        <w:pStyle w:val="Definition"/>
        <w:rPr>
          <w:strike/>
          <w:color w:val="FF0000"/>
        </w:rPr>
      </w:pPr>
      <w:r w:rsidRPr="00BC78CF">
        <w:rPr>
          <w:b/>
          <w:i/>
          <w:strike/>
          <w:color w:val="FF0000"/>
        </w:rPr>
        <w:t>attestation statement</w:t>
      </w:r>
      <w:r w:rsidRPr="00BC78CF">
        <w:rPr>
          <w:strike/>
          <w:color w:val="FF0000"/>
        </w:rPr>
        <w:t xml:space="preserve"> means a statement in the form of a responsible party’s statement on controls and system description that is made in accordance with ASAE 3150.</w:t>
      </w:r>
    </w:p>
    <w:p w14:paraId="335BB69F" w14:textId="77777777" w:rsidR="00CF0E3D" w:rsidRDefault="00CF0E3D" w:rsidP="00CF0E3D">
      <w:pPr>
        <w:pStyle w:val="SubsectionHead"/>
      </w:pPr>
      <w:r>
        <w:t>Attestation statements</w:t>
      </w:r>
    </w:p>
    <w:p w14:paraId="6079B0C6" w14:textId="77777777" w:rsidR="00CF0E3D" w:rsidRDefault="00CF0E3D" w:rsidP="00CF0E3D">
      <w:pPr>
        <w:pStyle w:val="subsection"/>
      </w:pPr>
      <w:r>
        <w:tab/>
        <w:t>(2)</w:t>
      </w:r>
      <w:r>
        <w:tab/>
        <w:t>The accredited person must provide an attestation statement to the Data Recipient Accreditor within 3 months after the end of:</w:t>
      </w:r>
    </w:p>
    <w:p w14:paraId="377F92EB" w14:textId="77777777" w:rsidR="00CF0E3D" w:rsidRDefault="00CF0E3D" w:rsidP="00CF0E3D">
      <w:pPr>
        <w:pStyle w:val="paragraph"/>
      </w:pPr>
      <w:r>
        <w:tab/>
        <w:t>(a)</w:t>
      </w:r>
      <w:r>
        <w:tab/>
        <w:t>the first reporting period; and</w:t>
      </w:r>
    </w:p>
    <w:p w14:paraId="343405EE" w14:textId="77777777" w:rsidR="00CF0E3D" w:rsidRDefault="00CF0E3D" w:rsidP="00CF0E3D">
      <w:pPr>
        <w:pStyle w:val="paragraph"/>
      </w:pPr>
      <w:r>
        <w:tab/>
        <w:t>(b)</w:t>
      </w:r>
      <w:r>
        <w:tab/>
        <w:t>every second reporting period thereafter;</w:t>
      </w:r>
    </w:p>
    <w:p w14:paraId="4AD45D04" w14:textId="77777777" w:rsidR="00CF0E3D" w:rsidRDefault="00CF0E3D" w:rsidP="00CF0E3D">
      <w:pPr>
        <w:pStyle w:val="subsection"/>
        <w:spacing w:before="40"/>
      </w:pPr>
      <w:r>
        <w:tab/>
      </w:r>
      <w:r>
        <w:tab/>
        <w:t xml:space="preserve">that covers the reporting period. </w:t>
      </w:r>
    </w:p>
    <w:p w14:paraId="50014F53" w14:textId="77777777" w:rsidR="00CF0E3D" w:rsidRDefault="00CF0E3D" w:rsidP="00CF0E3D">
      <w:pPr>
        <w:pStyle w:val="SubsectionHead"/>
      </w:pPr>
      <w:r>
        <w:t>Assurance reports</w:t>
      </w:r>
    </w:p>
    <w:p w14:paraId="5D4CFA11" w14:textId="77777777" w:rsidR="00CF0E3D" w:rsidRDefault="00CF0E3D" w:rsidP="00CF0E3D">
      <w:pPr>
        <w:pStyle w:val="subsection"/>
      </w:pPr>
      <w:r>
        <w:tab/>
        <w:t>(3)</w:t>
      </w:r>
      <w:r>
        <w:tab/>
        <w:t>The accredited person must provide an assurance report to the Data Recipient Accreditor within 3 months after the end of:</w:t>
      </w:r>
    </w:p>
    <w:p w14:paraId="6D2252FD" w14:textId="77777777" w:rsidR="00CF0E3D" w:rsidRDefault="00CF0E3D" w:rsidP="00CF0E3D">
      <w:pPr>
        <w:pStyle w:val="paragraph"/>
      </w:pPr>
      <w:r>
        <w:tab/>
        <w:t>(a)</w:t>
      </w:r>
      <w:r>
        <w:tab/>
        <w:t>the reporting period after the first reporting period; and</w:t>
      </w:r>
    </w:p>
    <w:p w14:paraId="58D69491" w14:textId="77777777" w:rsidR="00CF0E3D" w:rsidRDefault="00CF0E3D" w:rsidP="00CF0E3D">
      <w:pPr>
        <w:pStyle w:val="paragraph"/>
      </w:pPr>
      <w:r>
        <w:tab/>
        <w:t>(b)</w:t>
      </w:r>
      <w:r>
        <w:tab/>
        <w:t>every second reporting period thereafter;</w:t>
      </w:r>
    </w:p>
    <w:p w14:paraId="3B0E64CE" w14:textId="77777777" w:rsidR="00CF0E3D" w:rsidRDefault="00CF0E3D" w:rsidP="00CF0E3D">
      <w:pPr>
        <w:pStyle w:val="subsection"/>
        <w:spacing w:before="40"/>
      </w:pPr>
      <w:r>
        <w:tab/>
      </w:r>
      <w:r>
        <w:tab/>
        <w:t>that covers the reporting period.</w:t>
      </w:r>
    </w:p>
    <w:p w14:paraId="323DFC6B" w14:textId="77777777" w:rsidR="00CF0E3D" w:rsidRPr="00CA7872" w:rsidRDefault="00CF0E3D" w:rsidP="00CF0E3D">
      <w:pPr>
        <w:pStyle w:val="SubsectionHead"/>
      </w:pPr>
      <w:r w:rsidRPr="00CA7872">
        <w:t>Reporting periods</w:t>
      </w:r>
    </w:p>
    <w:p w14:paraId="0F095696" w14:textId="77777777" w:rsidR="00CF0E3D" w:rsidRPr="00CA7872" w:rsidRDefault="00CF0E3D" w:rsidP="00CF0E3D">
      <w:pPr>
        <w:pStyle w:val="subsection"/>
      </w:pPr>
      <w:r w:rsidRPr="00CA7872">
        <w:tab/>
        <w:t>(4)</w:t>
      </w:r>
      <w:r w:rsidRPr="00CA7872">
        <w:tab/>
        <w:t xml:space="preserve">For this clause, subject to subclause (5), a </w:t>
      </w:r>
      <w:r w:rsidRPr="00CA7872">
        <w:rPr>
          <w:b/>
          <w:i/>
        </w:rPr>
        <w:t>reporting period</w:t>
      </w:r>
      <w:r w:rsidRPr="00CA7872">
        <w:t xml:space="preserve"> for an accredited person is either a financial year or a calendar year, as determined for the accredited person by the Data Recipient Accreditor.</w:t>
      </w:r>
    </w:p>
    <w:p w14:paraId="744B776E" w14:textId="77777777" w:rsidR="00CF0E3D" w:rsidRPr="00CA7872" w:rsidRDefault="00CF0E3D" w:rsidP="00CF0E3D">
      <w:pPr>
        <w:pStyle w:val="subsection"/>
      </w:pPr>
      <w:r w:rsidRPr="00CA7872">
        <w:tab/>
        <w:t>(5)</w:t>
      </w:r>
      <w:r w:rsidRPr="00CA7872">
        <w:tab/>
        <w:t xml:space="preserve">However the </w:t>
      </w:r>
      <w:r w:rsidRPr="00CA7872">
        <w:rPr>
          <w:b/>
          <w:i/>
        </w:rPr>
        <w:t>first</w:t>
      </w:r>
      <w:r w:rsidRPr="00CA7872">
        <w:t xml:space="preserve"> reporting period for an accredited person is taken to be the period that:  </w:t>
      </w:r>
    </w:p>
    <w:p w14:paraId="0E31A6FB" w14:textId="77777777" w:rsidR="00CF0E3D" w:rsidRPr="00CA7872" w:rsidRDefault="00CF0E3D" w:rsidP="00CF0E3D">
      <w:pPr>
        <w:pStyle w:val="paragraph"/>
      </w:pPr>
      <w:r w:rsidRPr="00CA7872">
        <w:tab/>
        <w:t>(a)</w:t>
      </w:r>
      <w:r w:rsidRPr="00CA7872">
        <w:tab/>
        <w:t>if the accreditation decision takes effect within 3 months before the end of a reporting period—starts on the day the accreditation takes effect and ends on the last day of the following reporting period; and</w:t>
      </w:r>
    </w:p>
    <w:p w14:paraId="21DFB3F1" w14:textId="77777777" w:rsidR="00CF0E3D" w:rsidRPr="00CA7872" w:rsidRDefault="00CF0E3D" w:rsidP="00CF0E3D">
      <w:pPr>
        <w:pStyle w:val="paragraph"/>
      </w:pPr>
      <w:r w:rsidRPr="00CA7872">
        <w:tab/>
        <w:t>(b)</w:t>
      </w:r>
      <w:r w:rsidRPr="00CA7872">
        <w:tab/>
        <w:t>otherwise—starts on the day the accreditation decision takes effect and ends on the last day of that reporting period.</w:t>
      </w:r>
    </w:p>
    <w:p w14:paraId="1E06E657" w14:textId="77777777" w:rsidR="00CF0E3D" w:rsidRPr="007F68A3" w:rsidRDefault="00CF0E3D" w:rsidP="00CF0E3D">
      <w:pPr>
        <w:pStyle w:val="notetext"/>
      </w:pPr>
      <w:r w:rsidRPr="007F68A3">
        <w:t>Example 1:</w:t>
      </w:r>
      <w:r w:rsidRPr="007F68A3">
        <w:tab/>
        <w:t>For paragraph (a) if an accreditation decision takes effect on 30 May 2022, the first reporting period starts on 30 May 2022</w:t>
      </w:r>
      <w:r>
        <w:t xml:space="preserve"> and</w:t>
      </w:r>
      <w:r w:rsidRPr="007F68A3">
        <w:t xml:space="preserve"> ends on 30 June 2023.</w:t>
      </w:r>
    </w:p>
    <w:p w14:paraId="09BF5D84" w14:textId="77777777" w:rsidR="00CF0E3D" w:rsidRPr="00C02000" w:rsidRDefault="00CF0E3D" w:rsidP="00CF0E3D">
      <w:pPr>
        <w:pStyle w:val="notetext"/>
      </w:pPr>
      <w:r w:rsidRPr="007F68A3">
        <w:t>Example 2:</w:t>
      </w:r>
      <w:r w:rsidRPr="007F68A3">
        <w:tab/>
        <w:t>For paragraph (b) if an accreditation decision takes effect on 1 January 2023, the first reporting period starts on 1 January 2023 and ends on 30 June 2023.</w:t>
      </w:r>
    </w:p>
    <w:p w14:paraId="57061609" w14:textId="28B4E72F" w:rsidR="00492173" w:rsidRPr="00BC78CF" w:rsidRDefault="002B5119" w:rsidP="00492173">
      <w:pPr>
        <w:pStyle w:val="ActHead5"/>
        <w:rPr>
          <w:color w:val="FF0000"/>
        </w:rPr>
      </w:pPr>
      <w:bookmarkStart w:id="553" w:name="_Toc74916302"/>
      <w:r w:rsidRPr="00BC78CF">
        <w:rPr>
          <w:color w:val="FF0000"/>
        </w:rPr>
        <w:t xml:space="preserve">2.2  Conditions </w:t>
      </w:r>
      <w:r w:rsidR="00492173" w:rsidRPr="00BC78CF">
        <w:rPr>
          <w:color w:val="FF0000"/>
        </w:rPr>
        <w:t>on sponsors and potential sponsors</w:t>
      </w:r>
      <w:bookmarkEnd w:id="553"/>
    </w:p>
    <w:p w14:paraId="4AB0B623" w14:textId="303FDEA6" w:rsidR="00492173" w:rsidRPr="00BC78CF" w:rsidRDefault="00492173" w:rsidP="00492173">
      <w:pPr>
        <w:pStyle w:val="subsection"/>
        <w:rPr>
          <w:color w:val="FF0000"/>
        </w:rPr>
      </w:pPr>
      <w:r w:rsidRPr="00BC78CF">
        <w:rPr>
          <w:color w:val="FF0000"/>
        </w:rPr>
        <w:tab/>
        <w:t>(1)</w:t>
      </w:r>
      <w:r w:rsidRPr="00BC78CF">
        <w:rPr>
          <w:color w:val="FF0000"/>
        </w:rPr>
        <w:tab/>
        <w:t xml:space="preserve">An accredited person </w:t>
      </w:r>
      <w:r w:rsidR="000E567B" w:rsidRPr="00BC78CF">
        <w:rPr>
          <w:color w:val="FF0000"/>
        </w:rPr>
        <w:t>that</w:t>
      </w:r>
      <w:r w:rsidRPr="00BC78CF">
        <w:rPr>
          <w:color w:val="FF0000"/>
        </w:rPr>
        <w:t xml:space="preserve"> proposes to become the sponsor of </w:t>
      </w:r>
      <w:r w:rsidR="00F3080A" w:rsidRPr="00BC78CF">
        <w:rPr>
          <w:color w:val="FF0000"/>
        </w:rPr>
        <w:t xml:space="preserve">a person </w:t>
      </w:r>
      <w:r w:rsidR="003C7E71" w:rsidRPr="00BC78CF">
        <w:rPr>
          <w:color w:val="FF0000"/>
        </w:rPr>
        <w:t xml:space="preserve">that has, or proposes to apply for, </w:t>
      </w:r>
      <w:r w:rsidR="00F3080A" w:rsidRPr="00BC78CF">
        <w:rPr>
          <w:color w:val="FF0000"/>
        </w:rPr>
        <w:t xml:space="preserve">sponsored accreditation </w:t>
      </w:r>
      <w:r w:rsidRPr="00BC78CF">
        <w:rPr>
          <w:color w:val="FF0000"/>
        </w:rPr>
        <w:t>must:</w:t>
      </w:r>
    </w:p>
    <w:p w14:paraId="07089945" w14:textId="34CCA442" w:rsidR="00492173" w:rsidRPr="00BC78CF" w:rsidRDefault="00492173" w:rsidP="00492173">
      <w:pPr>
        <w:pStyle w:val="paragraph"/>
        <w:rPr>
          <w:color w:val="FF0000"/>
        </w:rPr>
      </w:pPr>
      <w:r w:rsidRPr="00BC78CF">
        <w:rPr>
          <w:color w:val="FF0000"/>
        </w:rPr>
        <w:tab/>
        <w:t>(a)</w:t>
      </w:r>
      <w:r w:rsidRPr="00BC78CF">
        <w:rPr>
          <w:color w:val="FF0000"/>
        </w:rPr>
        <w:tab/>
        <w:t>undertake due diligence to ensure that the proposed affiliate is a suitable person for that role; and</w:t>
      </w:r>
    </w:p>
    <w:p w14:paraId="5F5519BD" w14:textId="29AE1CE3" w:rsidR="00492173" w:rsidRPr="00BC78CF" w:rsidRDefault="00492173" w:rsidP="00361FBC">
      <w:pPr>
        <w:pStyle w:val="paragraph"/>
        <w:rPr>
          <w:color w:val="FF0000"/>
        </w:rPr>
      </w:pPr>
      <w:r w:rsidRPr="00BC78CF">
        <w:rPr>
          <w:color w:val="FF0000"/>
        </w:rPr>
        <w:tab/>
        <w:t>(b)</w:t>
      </w:r>
      <w:r w:rsidRPr="00BC78CF">
        <w:rPr>
          <w:color w:val="FF0000"/>
        </w:rPr>
        <w:tab/>
        <w:t>provide any appropriate assistance or training in technical and compliance matters</w:t>
      </w:r>
      <w:r w:rsidR="00F3080A" w:rsidRPr="00BC78CF">
        <w:rPr>
          <w:color w:val="FF0000"/>
        </w:rPr>
        <w:t>.</w:t>
      </w:r>
    </w:p>
    <w:p w14:paraId="09FD7675" w14:textId="77777777" w:rsidR="00361FBC" w:rsidRPr="00BC78CF" w:rsidRDefault="00492173" w:rsidP="00492173">
      <w:pPr>
        <w:pStyle w:val="subsection"/>
        <w:rPr>
          <w:color w:val="FF0000"/>
        </w:rPr>
      </w:pPr>
      <w:r w:rsidRPr="00BC78CF">
        <w:rPr>
          <w:color w:val="FF0000"/>
        </w:rPr>
        <w:tab/>
        <w:t>(2)</w:t>
      </w:r>
      <w:r w:rsidRPr="00BC78CF">
        <w:rPr>
          <w:color w:val="FF0000"/>
        </w:rPr>
        <w:tab/>
        <w:t>The sponsor of an affiliate must</w:t>
      </w:r>
      <w:r w:rsidR="00361FBC" w:rsidRPr="00BC78CF">
        <w:rPr>
          <w:color w:val="FF0000"/>
        </w:rPr>
        <w:t>:</w:t>
      </w:r>
    </w:p>
    <w:p w14:paraId="1EF1992F" w14:textId="51C457BE" w:rsidR="00361FBC" w:rsidRPr="00BC78CF" w:rsidRDefault="00361FBC" w:rsidP="00361FBC">
      <w:pPr>
        <w:pStyle w:val="paragraph"/>
        <w:rPr>
          <w:color w:val="FF0000"/>
        </w:rPr>
      </w:pPr>
      <w:r w:rsidRPr="00BC78CF">
        <w:rPr>
          <w:color w:val="FF0000"/>
        </w:rPr>
        <w:tab/>
        <w:t>(a)</w:t>
      </w:r>
      <w:r w:rsidRPr="00BC78CF">
        <w:rPr>
          <w:color w:val="FF0000"/>
        </w:rPr>
        <w:tab/>
        <w:t>continue to provide any appropriate assistance or training in technical and compliance matters; and</w:t>
      </w:r>
    </w:p>
    <w:p w14:paraId="3B35B913" w14:textId="7F86E02F" w:rsidR="00492173" w:rsidRPr="00BC78CF" w:rsidRDefault="00361FBC" w:rsidP="00361FBC">
      <w:pPr>
        <w:pStyle w:val="paragraph"/>
        <w:rPr>
          <w:color w:val="FF0000"/>
        </w:rPr>
      </w:pPr>
      <w:r w:rsidRPr="00BC78CF">
        <w:rPr>
          <w:color w:val="FF0000"/>
        </w:rPr>
        <w:tab/>
        <w:t>(b)</w:t>
      </w:r>
      <w:r w:rsidRPr="00BC78CF">
        <w:rPr>
          <w:color w:val="FF0000"/>
        </w:rPr>
        <w:tab/>
      </w:r>
      <w:r w:rsidR="00492173" w:rsidRPr="00BC78CF">
        <w:rPr>
          <w:color w:val="FF0000"/>
        </w:rPr>
        <w:t>take reasonable steps to ensure that the affiliate complies with its obligations as an accredited person.</w:t>
      </w:r>
    </w:p>
    <w:p w14:paraId="6C04B032" w14:textId="2795C6D3" w:rsidR="003B4F1E" w:rsidRPr="00BC78CF" w:rsidRDefault="003B4F1E" w:rsidP="003B4F1E">
      <w:pPr>
        <w:pStyle w:val="ActHead5"/>
        <w:rPr>
          <w:color w:val="FF0000"/>
        </w:rPr>
      </w:pPr>
      <w:bookmarkStart w:id="554" w:name="_Toc74916303"/>
      <w:bookmarkStart w:id="555" w:name="_Toc11771711"/>
      <w:r w:rsidRPr="00BC78CF">
        <w:rPr>
          <w:color w:val="FF0000"/>
        </w:rPr>
        <w:t xml:space="preserve">2.3  Conditions in relation to </w:t>
      </w:r>
      <w:r w:rsidR="00182338" w:rsidRPr="00BC78CF">
        <w:rPr>
          <w:color w:val="FF0000"/>
        </w:rPr>
        <w:t>CDR representative</w:t>
      </w:r>
      <w:r w:rsidRPr="00BC78CF">
        <w:rPr>
          <w:color w:val="FF0000"/>
        </w:rPr>
        <w:t>s</w:t>
      </w:r>
      <w:bookmarkEnd w:id="554"/>
    </w:p>
    <w:p w14:paraId="0AE86920" w14:textId="75DAE192" w:rsidR="003B4F1E" w:rsidRPr="00BC78CF" w:rsidRDefault="003B4F1E" w:rsidP="003B4F1E">
      <w:pPr>
        <w:pStyle w:val="subsection"/>
        <w:rPr>
          <w:color w:val="FF0000"/>
        </w:rPr>
      </w:pPr>
      <w:r w:rsidRPr="00BC78CF">
        <w:rPr>
          <w:color w:val="FF0000"/>
        </w:rPr>
        <w:tab/>
        <w:t>(1)</w:t>
      </w:r>
      <w:r w:rsidRPr="00BC78CF">
        <w:rPr>
          <w:color w:val="FF0000"/>
        </w:rPr>
        <w:tab/>
        <w:t xml:space="preserve">This rule applies in relation to an accredited person that is, or proposes to become, the CDR principal in a </w:t>
      </w:r>
      <w:r w:rsidR="00182338" w:rsidRPr="00BC78CF">
        <w:rPr>
          <w:color w:val="FF0000"/>
        </w:rPr>
        <w:t>CDR representative</w:t>
      </w:r>
      <w:r w:rsidRPr="00BC78CF">
        <w:rPr>
          <w:color w:val="FF0000"/>
        </w:rPr>
        <w:t xml:space="preserve"> arrangement.</w:t>
      </w:r>
    </w:p>
    <w:p w14:paraId="1115A6F4" w14:textId="77777777" w:rsidR="003B4F1E" w:rsidRPr="00BC78CF" w:rsidRDefault="003B4F1E" w:rsidP="003B4F1E">
      <w:pPr>
        <w:pStyle w:val="subsection"/>
        <w:rPr>
          <w:color w:val="FF0000"/>
        </w:rPr>
      </w:pPr>
      <w:r w:rsidRPr="00BC78CF">
        <w:rPr>
          <w:color w:val="FF0000"/>
        </w:rPr>
        <w:tab/>
        <w:t>(2)</w:t>
      </w:r>
      <w:r w:rsidRPr="00BC78CF">
        <w:rPr>
          <w:color w:val="FF0000"/>
        </w:rPr>
        <w:tab/>
        <w:t>Within 30 business days of entering into the arrangement, the person must notify the Data Recipient Accreditor that they have done so.</w:t>
      </w:r>
    </w:p>
    <w:p w14:paraId="06B28635" w14:textId="77777777" w:rsidR="003B4F1E" w:rsidRPr="00BC78CF" w:rsidRDefault="003B4F1E" w:rsidP="003B4F1E">
      <w:pPr>
        <w:pStyle w:val="subsection"/>
        <w:rPr>
          <w:color w:val="FF0000"/>
        </w:rPr>
      </w:pPr>
      <w:r w:rsidRPr="00BC78CF">
        <w:rPr>
          <w:color w:val="FF0000"/>
        </w:rPr>
        <w:tab/>
        <w:t>(3)</w:t>
      </w:r>
      <w:r w:rsidRPr="00BC78CF">
        <w:rPr>
          <w:color w:val="FF0000"/>
        </w:rPr>
        <w:tab/>
        <w:t>The notification must include the following:</w:t>
      </w:r>
      <w:r w:rsidRPr="00BC78CF">
        <w:rPr>
          <w:color w:val="FF0000"/>
        </w:rPr>
        <w:tab/>
      </w:r>
    </w:p>
    <w:p w14:paraId="09D34F23" w14:textId="24AC5BDC" w:rsidR="003B4F1E" w:rsidRPr="00BC78CF" w:rsidRDefault="003B4F1E" w:rsidP="003B4F1E">
      <w:pPr>
        <w:pStyle w:val="paragraph"/>
        <w:rPr>
          <w:color w:val="FF0000"/>
        </w:rPr>
      </w:pPr>
      <w:r w:rsidRPr="00BC78CF">
        <w:rPr>
          <w:color w:val="FF0000"/>
        </w:rPr>
        <w:tab/>
        <w:t>(a)</w:t>
      </w:r>
      <w:r w:rsidRPr="00BC78CF">
        <w:rPr>
          <w:color w:val="FF0000"/>
        </w:rPr>
        <w:tab/>
        <w:t xml:space="preserve">the name, ABN and Australian business address of the </w:t>
      </w:r>
      <w:r w:rsidR="00182338" w:rsidRPr="00BC78CF">
        <w:rPr>
          <w:color w:val="FF0000"/>
        </w:rPr>
        <w:t>CDR representative</w:t>
      </w:r>
      <w:r w:rsidRPr="00BC78CF">
        <w:rPr>
          <w:color w:val="FF0000"/>
        </w:rPr>
        <w:t xml:space="preserve">; </w:t>
      </w:r>
    </w:p>
    <w:p w14:paraId="0A8FA7D1" w14:textId="35C21CBF" w:rsidR="003B4F1E" w:rsidRPr="00BC78CF" w:rsidRDefault="003B4F1E" w:rsidP="003B4F1E">
      <w:pPr>
        <w:pStyle w:val="paragraph"/>
        <w:rPr>
          <w:color w:val="FF0000"/>
        </w:rPr>
      </w:pPr>
      <w:r w:rsidRPr="00BC78CF">
        <w:rPr>
          <w:color w:val="FF0000"/>
        </w:rPr>
        <w:tab/>
        <w:t>(b)</w:t>
      </w:r>
      <w:r w:rsidRPr="00BC78CF">
        <w:rPr>
          <w:color w:val="FF0000"/>
        </w:rPr>
        <w:tab/>
        <w:t xml:space="preserve">the names and contact details of the directors or any persons responsible for the </w:t>
      </w:r>
      <w:r w:rsidR="00182338" w:rsidRPr="00BC78CF">
        <w:rPr>
          <w:color w:val="FF0000"/>
        </w:rPr>
        <w:t>CDR representative</w:t>
      </w:r>
      <w:r w:rsidRPr="00BC78CF">
        <w:rPr>
          <w:color w:val="FF0000"/>
        </w:rPr>
        <w:t xml:space="preserve">; </w:t>
      </w:r>
    </w:p>
    <w:p w14:paraId="4425B5F2" w14:textId="09F6E1D3" w:rsidR="003B4F1E" w:rsidRPr="00BC78CF" w:rsidRDefault="003B4F1E" w:rsidP="003B4F1E">
      <w:pPr>
        <w:pStyle w:val="paragraph"/>
        <w:rPr>
          <w:color w:val="FF0000"/>
        </w:rPr>
      </w:pPr>
      <w:r w:rsidRPr="00BC78CF">
        <w:rPr>
          <w:color w:val="FF0000"/>
        </w:rPr>
        <w:tab/>
        <w:t>(c)</w:t>
      </w:r>
      <w:r w:rsidRPr="00BC78CF">
        <w:rPr>
          <w:color w:val="FF0000"/>
        </w:rPr>
        <w:tab/>
        <w:t xml:space="preserve">the nature of any goods and services to be provided by </w:t>
      </w:r>
      <w:r w:rsidR="00182338" w:rsidRPr="00BC78CF">
        <w:rPr>
          <w:color w:val="FF0000"/>
        </w:rPr>
        <w:t>CDR representative</w:t>
      </w:r>
      <w:r w:rsidRPr="00BC78CF">
        <w:rPr>
          <w:color w:val="FF0000"/>
        </w:rPr>
        <w:t xml:space="preserve"> </w:t>
      </w:r>
      <w:r w:rsidR="00EC1939" w:rsidRPr="00BC78CF">
        <w:rPr>
          <w:color w:val="FF0000"/>
        </w:rPr>
        <w:t>using CDR data</w:t>
      </w:r>
      <w:r w:rsidRPr="00BC78CF">
        <w:rPr>
          <w:color w:val="FF0000"/>
        </w:rPr>
        <w:t xml:space="preserve">; </w:t>
      </w:r>
    </w:p>
    <w:p w14:paraId="2ADBB4A8" w14:textId="06451FE7" w:rsidR="003B4F1E" w:rsidRPr="00BC78CF" w:rsidRDefault="003B4F1E" w:rsidP="003B4F1E">
      <w:pPr>
        <w:pStyle w:val="paragraph"/>
        <w:rPr>
          <w:color w:val="FF0000"/>
        </w:rPr>
      </w:pPr>
      <w:r w:rsidRPr="00BC78CF">
        <w:rPr>
          <w:color w:val="FF0000"/>
        </w:rPr>
        <w:tab/>
        <w:t>(e)</w:t>
      </w:r>
      <w:r w:rsidRPr="00BC78CF">
        <w:rPr>
          <w:color w:val="FF0000"/>
        </w:rPr>
        <w:tab/>
        <w:t xml:space="preserve">any information specified in writing by the Data Recipient Accreditor for the purposes of this paragraph as being necessary for the purposes of evaluating the </w:t>
      </w:r>
      <w:r w:rsidR="00182338" w:rsidRPr="00BC78CF">
        <w:rPr>
          <w:color w:val="FF0000"/>
        </w:rPr>
        <w:t>CDR representative</w:t>
      </w:r>
      <w:r w:rsidRPr="00BC78CF">
        <w:rPr>
          <w:color w:val="FF0000"/>
        </w:rPr>
        <w:t xml:space="preserve">. </w:t>
      </w:r>
    </w:p>
    <w:p w14:paraId="535A9E43" w14:textId="119270DC" w:rsidR="002B5119" w:rsidRPr="00EC1939" w:rsidRDefault="002B5119" w:rsidP="00952F7A">
      <w:pPr>
        <w:pStyle w:val="paragraph"/>
      </w:pPr>
      <w:r w:rsidRPr="00EC1939">
        <w:t xml:space="preserve"> </w:t>
      </w:r>
    </w:p>
    <w:p w14:paraId="1CC9C278" w14:textId="6B19AEFA" w:rsidR="00CF0E3D" w:rsidRDefault="00CF0E3D" w:rsidP="004120DF">
      <w:pPr>
        <w:pStyle w:val="ActHead6"/>
        <w:pageBreakBefore/>
      </w:pPr>
      <w:bookmarkStart w:id="556" w:name="_Toc74916304"/>
      <w:r>
        <w:rPr>
          <w:color w:val="000000" w:themeColor="text1"/>
        </w:rPr>
        <w:t>Schedule 2</w:t>
      </w:r>
      <w:r w:rsidRPr="00A34C1D">
        <w:rPr>
          <w:color w:val="000000" w:themeColor="text1"/>
        </w:rPr>
        <w:t>—</w:t>
      </w:r>
      <w:r>
        <w:rPr>
          <w:color w:val="000000" w:themeColor="text1"/>
        </w:rPr>
        <w:t>Steps for privacy safeguard 12</w:t>
      </w:r>
      <w:r>
        <w:rPr>
          <w:rFonts w:cs="Arial"/>
          <w:color w:val="000000" w:themeColor="text1"/>
        </w:rPr>
        <w:t>—</w:t>
      </w:r>
      <w:r>
        <w:t>security of CDR data held by accredited data recipients</w:t>
      </w:r>
      <w:bookmarkEnd w:id="555"/>
      <w:bookmarkEnd w:id="556"/>
    </w:p>
    <w:p w14:paraId="03362CE5" w14:textId="77777777" w:rsidR="00CF0E3D" w:rsidRDefault="00CF0E3D" w:rsidP="00CF0E3D">
      <w:pPr>
        <w:pStyle w:val="ActHead2"/>
      </w:pPr>
      <w:bookmarkStart w:id="557" w:name="_Toc11771712"/>
      <w:bookmarkStart w:id="558" w:name="_Toc74916305"/>
      <w:r>
        <w:t>Part 1—Steps for privacy safeguard 12</w:t>
      </w:r>
      <w:bookmarkEnd w:id="557"/>
      <w:bookmarkEnd w:id="558"/>
    </w:p>
    <w:p w14:paraId="5065029D" w14:textId="77777777" w:rsidR="00CF0E3D" w:rsidRDefault="00CF0E3D" w:rsidP="00CF0E3D">
      <w:pPr>
        <w:pStyle w:val="ActHead5"/>
      </w:pPr>
      <w:bookmarkStart w:id="559" w:name="_Toc11771713"/>
      <w:bookmarkStart w:id="560" w:name="_Toc74916306"/>
      <w:r>
        <w:t>1.1  Purpose of Part</w:t>
      </w:r>
      <w:bookmarkEnd w:id="559"/>
      <w:bookmarkEnd w:id="560"/>
    </w:p>
    <w:p w14:paraId="4E222E6F" w14:textId="77777777" w:rsidR="00CF0E3D" w:rsidRDefault="00CF0E3D" w:rsidP="00CF0E3D">
      <w:pPr>
        <w:pStyle w:val="subsection"/>
      </w:pPr>
      <w:r>
        <w:tab/>
      </w:r>
      <w:r>
        <w:tab/>
        <w:t>This Part sets out steps for the purpose of subsection 56EO(1) of the Act, which relate to privacy safeguard 12 (see rule 7.11</w:t>
      </w:r>
      <w:r w:rsidRPr="00BD2AB7">
        <w:t xml:space="preserve"> and paragraph </w:t>
      </w:r>
      <w:r>
        <w:t>5.12(1)(a)</w:t>
      </w:r>
      <w:r w:rsidRPr="00A54607">
        <w:t xml:space="preserve"> </w:t>
      </w:r>
      <w:r>
        <w:t>of these rules).</w:t>
      </w:r>
    </w:p>
    <w:p w14:paraId="105C2A4D" w14:textId="77777777" w:rsidR="00CF0E3D" w:rsidRPr="00E53912" w:rsidRDefault="00CF0E3D" w:rsidP="00CF0E3D">
      <w:pPr>
        <w:pStyle w:val="notetext"/>
        <w:rPr>
          <w:color w:val="000000" w:themeColor="text1"/>
        </w:rPr>
      </w:pPr>
      <w:r>
        <w:t>Note:</w:t>
      </w:r>
      <w:r>
        <w:tab/>
        <w:t xml:space="preserve">An accredited data recipient must take the steps set out in this Schedule to protect CDR data </w:t>
      </w:r>
      <w:r w:rsidRPr="00DA66A4">
        <w:rPr>
          <w:iCs/>
        </w:rPr>
        <w:t xml:space="preserve">from misuse, interference </w:t>
      </w:r>
      <w:r>
        <w:rPr>
          <w:iCs/>
        </w:rPr>
        <w:t xml:space="preserve">and </w:t>
      </w:r>
      <w:r w:rsidRPr="00DA66A4">
        <w:rPr>
          <w:iCs/>
        </w:rPr>
        <w:t>loss</w:t>
      </w:r>
      <w:r>
        <w:rPr>
          <w:iCs/>
        </w:rPr>
        <w:t>,</w:t>
      </w:r>
      <w:r w:rsidRPr="00DA66A4">
        <w:rPr>
          <w:iCs/>
        </w:rPr>
        <w:t xml:space="preserve"> and unauthorised access, modification or disclosure</w:t>
      </w:r>
      <w:r>
        <w:rPr>
          <w:iCs/>
        </w:rPr>
        <w:t>,</w:t>
      </w:r>
      <w:r>
        <w:rPr>
          <w:i/>
          <w:iCs/>
        </w:rPr>
        <w:t xml:space="preserve"> </w:t>
      </w:r>
      <w:r>
        <w:t>under subsection 56EO(1) of the Act. Subsection 56EO(1) is a civil penalty provision (see section 56EU of the Act).</w:t>
      </w:r>
    </w:p>
    <w:p w14:paraId="3ACF7482" w14:textId="77777777" w:rsidR="00CF0E3D" w:rsidRDefault="00CF0E3D" w:rsidP="00CF0E3D">
      <w:pPr>
        <w:pStyle w:val="ActHead5"/>
      </w:pPr>
      <w:bookmarkStart w:id="561" w:name="_Toc11771714"/>
      <w:bookmarkStart w:id="562" w:name="_Toc74916307"/>
      <w:r>
        <w:t>1.2  Interpretation</w:t>
      </w:r>
      <w:bookmarkEnd w:id="561"/>
      <w:bookmarkEnd w:id="562"/>
    </w:p>
    <w:p w14:paraId="43B58355" w14:textId="77777777" w:rsidR="00CF0E3D" w:rsidRDefault="00CF0E3D" w:rsidP="00CF0E3D">
      <w:pPr>
        <w:pStyle w:val="subsection"/>
      </w:pPr>
      <w:r>
        <w:tab/>
      </w:r>
      <w:r>
        <w:tab/>
        <w:t>In this Schedule:</w:t>
      </w:r>
    </w:p>
    <w:p w14:paraId="257C2122" w14:textId="77777777" w:rsidR="00CF0E3D" w:rsidRPr="0072242E" w:rsidRDefault="00CF0E3D" w:rsidP="00CF0E3D">
      <w:pPr>
        <w:pStyle w:val="Definition"/>
      </w:pPr>
      <w:r w:rsidRPr="00CA2DFA">
        <w:rPr>
          <w:b/>
          <w:i/>
        </w:rPr>
        <w:t>CDR data environment</w:t>
      </w:r>
      <w:r w:rsidRPr="0072242E">
        <w:t xml:space="preserve"> means the information technology systems used for, and processes that relate to, the management of CDR data.</w:t>
      </w:r>
    </w:p>
    <w:p w14:paraId="260FD33F" w14:textId="77777777" w:rsidR="00CF0E3D" w:rsidRDefault="00CF0E3D" w:rsidP="00CF0E3D">
      <w:pPr>
        <w:pStyle w:val="Definition"/>
      </w:pPr>
      <w:r>
        <w:rPr>
          <w:b/>
          <w:i/>
        </w:rPr>
        <w:t xml:space="preserve">information security </w:t>
      </w:r>
      <w:r w:rsidRPr="00872423">
        <w:rPr>
          <w:b/>
          <w:i/>
        </w:rPr>
        <w:t>capability</w:t>
      </w:r>
      <w:r>
        <w:t>, of an accredited data recipient:</w:t>
      </w:r>
    </w:p>
    <w:p w14:paraId="4827CCB6" w14:textId="77777777" w:rsidR="00CF0E3D" w:rsidRDefault="00CF0E3D" w:rsidP="00CF0E3D">
      <w:pPr>
        <w:pStyle w:val="paragraph"/>
      </w:pPr>
      <w:r>
        <w:tab/>
        <w:t>(a)</w:t>
      </w:r>
      <w:r>
        <w:tab/>
        <w:t>means the accredited data recipient’s a</w:t>
      </w:r>
      <w:r w:rsidRPr="00872423">
        <w:t>bility</w:t>
      </w:r>
      <w:r w:rsidRPr="00070D86">
        <w:t xml:space="preserve"> to manage the security of its CDR data environment in practice through the implementation and operation of processes and control</w:t>
      </w:r>
      <w:r>
        <w:t>s; and</w:t>
      </w:r>
    </w:p>
    <w:p w14:paraId="39E53E21" w14:textId="77777777" w:rsidR="00CF0E3D" w:rsidRDefault="00CF0E3D" w:rsidP="00CF0E3D">
      <w:pPr>
        <w:pStyle w:val="paragraph"/>
        <w:rPr>
          <w:b/>
          <w:i/>
        </w:rPr>
      </w:pPr>
      <w:r>
        <w:tab/>
        <w:t>(b)</w:t>
      </w:r>
      <w:r>
        <w:tab/>
        <w:t>includes the accredited data recipient being able to allocate adequate budget and resources, and provide for management oversight.</w:t>
      </w:r>
    </w:p>
    <w:p w14:paraId="2A8D53ED" w14:textId="77777777" w:rsidR="00CF0E3D" w:rsidRDefault="00CF0E3D" w:rsidP="00CF0E3D">
      <w:pPr>
        <w:pStyle w:val="Definition"/>
      </w:pPr>
      <w:r>
        <w:rPr>
          <w:b/>
          <w:i/>
        </w:rPr>
        <w:t>senior management</w:t>
      </w:r>
      <w:r w:rsidRPr="00CA2DFA">
        <w:t xml:space="preserve">, of </w:t>
      </w:r>
      <w:r>
        <w:t>an accredited data recipient that is a body corporate, means:</w:t>
      </w:r>
    </w:p>
    <w:p w14:paraId="0AD98012" w14:textId="77777777" w:rsidR="00CF0E3D" w:rsidRDefault="00CF0E3D" w:rsidP="00CF0E3D">
      <w:pPr>
        <w:pStyle w:val="paragraph"/>
      </w:pPr>
      <w:r>
        <w:tab/>
        <w:t>(a)</w:t>
      </w:r>
      <w:r>
        <w:tab/>
        <w:t>the accredited data recipient’s directors; and</w:t>
      </w:r>
    </w:p>
    <w:p w14:paraId="5512E544" w14:textId="77777777" w:rsidR="00CF0E3D" w:rsidRPr="00CA2DFA" w:rsidRDefault="00CF0E3D" w:rsidP="00CF0E3D">
      <w:pPr>
        <w:pStyle w:val="paragraph"/>
      </w:pPr>
      <w:r>
        <w:tab/>
        <w:t>(b)</w:t>
      </w:r>
      <w:r>
        <w:tab/>
      </w:r>
      <w:r w:rsidRPr="00EA1E07">
        <w:t>any person who is an associated person, within the meaning of paragraph (a) of the definition of that term, of the accredited data recipient</w:t>
      </w:r>
      <w:r>
        <w:t>.</w:t>
      </w:r>
    </w:p>
    <w:p w14:paraId="50F23A6B" w14:textId="77777777" w:rsidR="00CF0E3D" w:rsidRPr="00CD6E65" w:rsidRDefault="00CF0E3D" w:rsidP="00CF0E3D">
      <w:pPr>
        <w:pStyle w:val="ActHead5"/>
      </w:pPr>
      <w:bookmarkStart w:id="563" w:name="_Toc11771715"/>
      <w:bookmarkStart w:id="564" w:name="_Toc74916308"/>
      <w:r>
        <w:t>1.3  Step 1—Define and implement security governance in relation to CDR data</w:t>
      </w:r>
      <w:bookmarkEnd w:id="563"/>
      <w:bookmarkEnd w:id="564"/>
    </w:p>
    <w:p w14:paraId="77B7F71B" w14:textId="77777777" w:rsidR="00CF0E3D" w:rsidRDefault="00CF0E3D" w:rsidP="00CF0E3D">
      <w:pPr>
        <w:pStyle w:val="subsection"/>
      </w:pPr>
      <w:r>
        <w:tab/>
        <w:t>(1)</w:t>
      </w:r>
      <w:r>
        <w:tab/>
        <w:t xml:space="preserve">An accredited data recipient of CDR data must establish a </w:t>
      </w:r>
      <w:r w:rsidRPr="00CA2DFA">
        <w:t xml:space="preserve">formal governance framework </w:t>
      </w:r>
      <w:r>
        <w:t>for managing information security risks relating to CDR data</w:t>
      </w:r>
      <w:r w:rsidRPr="00EF0E15">
        <w:t xml:space="preserve"> setting out the policies, processes, roles and responsibilities required to facilitate the oversight and management of information security</w:t>
      </w:r>
      <w:r>
        <w:t>.</w:t>
      </w:r>
    </w:p>
    <w:p w14:paraId="678FB7A6" w14:textId="77777777" w:rsidR="00CF0E3D" w:rsidRDefault="00CF0E3D" w:rsidP="00CF0E3D">
      <w:pPr>
        <w:pStyle w:val="subsection"/>
      </w:pPr>
      <w:r>
        <w:tab/>
        <w:t>(2)</w:t>
      </w:r>
      <w:r>
        <w:tab/>
        <w:t xml:space="preserve">The accredited data recipient </w:t>
      </w:r>
      <w:r w:rsidRPr="00CD6E65">
        <w:t xml:space="preserve">must clearly </w:t>
      </w:r>
      <w:r>
        <w:t>document</w:t>
      </w:r>
      <w:r w:rsidRPr="00CD6E65">
        <w:t xml:space="preserve"> </w:t>
      </w:r>
      <w:r>
        <w:t xml:space="preserve">its practices and procedures relating to </w:t>
      </w:r>
      <w:r w:rsidRPr="00CD6E65">
        <w:t>information security</w:t>
      </w:r>
      <w:r>
        <w:t xml:space="preserve"> and management of CDR data, including the </w:t>
      </w:r>
      <w:r w:rsidRPr="001B6A1B">
        <w:t xml:space="preserve">specific </w:t>
      </w:r>
      <w:r>
        <w:t xml:space="preserve">responsibilities of </w:t>
      </w:r>
      <w:r w:rsidRPr="00CD6E65">
        <w:t>senior management</w:t>
      </w:r>
      <w:r>
        <w:t>.</w:t>
      </w:r>
    </w:p>
    <w:p w14:paraId="0F854A6D" w14:textId="77777777" w:rsidR="00CF0E3D" w:rsidRDefault="00CF0E3D" w:rsidP="00CF0E3D">
      <w:pPr>
        <w:pStyle w:val="subsection"/>
      </w:pPr>
      <w:r>
        <w:tab/>
        <w:t>(3)</w:t>
      </w:r>
      <w:r>
        <w:tab/>
        <w:t xml:space="preserve">The accredited data recipient </w:t>
      </w:r>
      <w:r w:rsidRPr="00CD6E65">
        <w:t>must</w:t>
      </w:r>
      <w:r>
        <w:t xml:space="preserve"> have and</w:t>
      </w:r>
      <w:r w:rsidRPr="00CD6E65">
        <w:t xml:space="preserve"> maintain an information security policy</w:t>
      </w:r>
      <w:r>
        <w:t xml:space="preserve"> that details:</w:t>
      </w:r>
    </w:p>
    <w:p w14:paraId="0784F963" w14:textId="77777777" w:rsidR="00CF0E3D" w:rsidRDefault="00CF0E3D" w:rsidP="00CF0E3D">
      <w:pPr>
        <w:pStyle w:val="paragraph"/>
      </w:pPr>
      <w:r>
        <w:tab/>
        <w:t>(a)</w:t>
      </w:r>
      <w:r>
        <w:tab/>
        <w:t xml:space="preserve">its information security </w:t>
      </w:r>
      <w:r w:rsidRPr="00CD6E65">
        <w:t>risk posture</w:t>
      </w:r>
      <w:r>
        <w:t xml:space="preserve"> setting out t</w:t>
      </w:r>
      <w:r w:rsidRPr="00253C4D">
        <w:t xml:space="preserve">he exposure and potential for harm to </w:t>
      </w:r>
      <w:r>
        <w:t>the accredited data recipient’s information assets,</w:t>
      </w:r>
      <w:r w:rsidRPr="00253C4D">
        <w:t xml:space="preserve"> </w:t>
      </w:r>
      <w:r>
        <w:t xml:space="preserve">including CDR data that it holds, </w:t>
      </w:r>
      <w:r w:rsidRPr="00253C4D">
        <w:t>from security</w:t>
      </w:r>
      <w:r>
        <w:t xml:space="preserve"> threats; and</w:t>
      </w:r>
    </w:p>
    <w:p w14:paraId="136010E0" w14:textId="77777777" w:rsidR="00CF0E3D" w:rsidRPr="00CD6E65" w:rsidRDefault="00CF0E3D" w:rsidP="00CF0E3D">
      <w:pPr>
        <w:pStyle w:val="paragraph"/>
      </w:pPr>
      <w:r>
        <w:tab/>
        <w:t>(b)</w:t>
      </w:r>
      <w:r>
        <w:tab/>
      </w:r>
      <w:r w:rsidRPr="00CD6E65">
        <w:t xml:space="preserve">how </w:t>
      </w:r>
      <w:r>
        <w:t xml:space="preserve">its </w:t>
      </w:r>
      <w:r w:rsidRPr="00CD6E65">
        <w:t xml:space="preserve">information security </w:t>
      </w:r>
      <w:r>
        <w:t>practices and procedures,</w:t>
      </w:r>
      <w:r w:rsidRPr="00CD6E65">
        <w:t xml:space="preserve"> and</w:t>
      </w:r>
      <w:r>
        <w:t xml:space="preserve"> its</w:t>
      </w:r>
      <w:r w:rsidRPr="00CD6E65">
        <w:t xml:space="preserve"> </w:t>
      </w:r>
      <w:r>
        <w:t xml:space="preserve">information security </w:t>
      </w:r>
      <w:r w:rsidRPr="00CD6E65">
        <w:t>controls</w:t>
      </w:r>
      <w:r>
        <w:t>, are designed, implemented and operated</w:t>
      </w:r>
      <w:r w:rsidRPr="00CD6E65">
        <w:t xml:space="preserve"> to mitigate those risks.</w:t>
      </w:r>
    </w:p>
    <w:p w14:paraId="677426E8" w14:textId="77777777" w:rsidR="00CF0E3D" w:rsidRDefault="00CF0E3D" w:rsidP="00CF0E3D">
      <w:pPr>
        <w:pStyle w:val="subsection"/>
      </w:pPr>
      <w:r>
        <w:tab/>
        <w:t>(4)</w:t>
      </w:r>
      <w:r>
        <w:tab/>
        <w:t>The accredited data recipient must review and update the framework for appropriateness:</w:t>
      </w:r>
    </w:p>
    <w:p w14:paraId="6E0581B2" w14:textId="77777777" w:rsidR="00CF0E3D" w:rsidRDefault="00CF0E3D" w:rsidP="00CF0E3D">
      <w:pPr>
        <w:pStyle w:val="paragraph"/>
      </w:pPr>
      <w:r>
        <w:tab/>
        <w:t>(a)</w:t>
      </w:r>
      <w:r>
        <w:tab/>
        <w:t>in response</w:t>
      </w:r>
      <w:r w:rsidRPr="00CD6E65">
        <w:t xml:space="preserve"> </w:t>
      </w:r>
      <w:r>
        <w:t xml:space="preserve">to material </w:t>
      </w:r>
      <w:r w:rsidRPr="00CD6E65">
        <w:t xml:space="preserve">changes </w:t>
      </w:r>
      <w:r>
        <w:t xml:space="preserve">to both the extent and nature of threats to its CDR data environment and </w:t>
      </w:r>
      <w:r w:rsidRPr="00CD6E65">
        <w:t xml:space="preserve">its </w:t>
      </w:r>
      <w:r>
        <w:t>operating environment; or</w:t>
      </w:r>
    </w:p>
    <w:p w14:paraId="644D8DB0" w14:textId="77777777" w:rsidR="00CF0E3D" w:rsidRDefault="00CF0E3D" w:rsidP="00CF0E3D">
      <w:pPr>
        <w:pStyle w:val="paragraph"/>
      </w:pPr>
      <w:r>
        <w:tab/>
        <w:t>(b)</w:t>
      </w:r>
      <w:r>
        <w:tab/>
        <w:t>where no such material changes occur—at least annually</w:t>
      </w:r>
      <w:r w:rsidRPr="00CD6E65">
        <w:t>.</w:t>
      </w:r>
    </w:p>
    <w:p w14:paraId="0E4174E1" w14:textId="77777777" w:rsidR="00CF0E3D" w:rsidRDefault="00CF0E3D" w:rsidP="00CF0E3D">
      <w:pPr>
        <w:pStyle w:val="ActHead5"/>
      </w:pPr>
      <w:bookmarkStart w:id="565" w:name="_Toc11771716"/>
      <w:bookmarkStart w:id="566" w:name="_Toc74916309"/>
      <w:r>
        <w:t>1.4  Step 2—Define the boundaries of the CDR data environment</w:t>
      </w:r>
      <w:bookmarkEnd w:id="565"/>
      <w:bookmarkEnd w:id="566"/>
    </w:p>
    <w:p w14:paraId="002D8A59" w14:textId="77777777" w:rsidR="00CF0E3D" w:rsidRDefault="00CF0E3D" w:rsidP="00CF0E3D">
      <w:pPr>
        <w:pStyle w:val="subsection"/>
      </w:pPr>
      <w:r>
        <w:tab/>
        <w:t>(1)</w:t>
      </w:r>
      <w:r>
        <w:tab/>
        <w:t>An accredited data recipient must assess, define and document the boundaries of its CDR data environment.</w:t>
      </w:r>
    </w:p>
    <w:p w14:paraId="6E212B0E" w14:textId="77777777" w:rsidR="00CF0E3D" w:rsidRDefault="00CF0E3D" w:rsidP="00CF0E3D">
      <w:pPr>
        <w:pStyle w:val="subsection"/>
      </w:pPr>
      <w:r>
        <w:tab/>
        <w:t>(2)</w:t>
      </w:r>
      <w:r>
        <w:tab/>
        <w:t>The accredited data recipient must review the boundaries of its CDR data environment for completeness and accuracy:</w:t>
      </w:r>
    </w:p>
    <w:p w14:paraId="097DB72B" w14:textId="77777777" w:rsidR="00CF0E3D" w:rsidRDefault="00CF0E3D" w:rsidP="00CF0E3D">
      <w:pPr>
        <w:pStyle w:val="paragraph"/>
      </w:pPr>
      <w:r>
        <w:tab/>
        <w:t>(a)</w:t>
      </w:r>
      <w:r>
        <w:tab/>
        <w:t>as soon as practicable when it becomes aware of material changes to the extent and nature of threats to its CDR data environment; or</w:t>
      </w:r>
    </w:p>
    <w:p w14:paraId="36E8B0E2" w14:textId="77777777" w:rsidR="00CF0E3D" w:rsidRPr="008E4BBC" w:rsidRDefault="00CF0E3D" w:rsidP="00CF0E3D">
      <w:pPr>
        <w:pStyle w:val="paragraph"/>
      </w:pPr>
      <w:r>
        <w:tab/>
        <w:t>(b)</w:t>
      </w:r>
      <w:r>
        <w:tab/>
        <w:t>where no such material changes occur—at least annually.</w:t>
      </w:r>
    </w:p>
    <w:p w14:paraId="17D693CA" w14:textId="77777777" w:rsidR="00CF0E3D" w:rsidRDefault="00CF0E3D" w:rsidP="00CF0E3D">
      <w:pPr>
        <w:pStyle w:val="ActHead5"/>
      </w:pPr>
      <w:bookmarkStart w:id="567" w:name="_Toc11771717"/>
      <w:bookmarkStart w:id="568" w:name="_Toc74916310"/>
      <w:r>
        <w:t>1.5  Step 3—Have and maintain an information security capability</w:t>
      </w:r>
      <w:bookmarkEnd w:id="567"/>
      <w:bookmarkEnd w:id="568"/>
    </w:p>
    <w:p w14:paraId="1DF05D04" w14:textId="77777777" w:rsidR="00CF0E3D" w:rsidRPr="00EF501E" w:rsidRDefault="00CF0E3D" w:rsidP="00CF0E3D">
      <w:pPr>
        <w:pStyle w:val="subsection"/>
      </w:pPr>
      <w:r w:rsidRPr="00EF501E">
        <w:tab/>
      </w:r>
      <w:r>
        <w:t>(1)</w:t>
      </w:r>
      <w:r w:rsidRPr="00EF501E">
        <w:tab/>
        <w:t>The accredited data recipient must have and maintain an information security capability that:</w:t>
      </w:r>
    </w:p>
    <w:p w14:paraId="598D5D26" w14:textId="47FB7D88" w:rsidR="00C53540" w:rsidRPr="00BC78CF" w:rsidRDefault="00CF0E3D" w:rsidP="00CF0E3D">
      <w:pPr>
        <w:pStyle w:val="paragraph"/>
        <w:rPr>
          <w:color w:val="FF0000"/>
        </w:rPr>
      </w:pPr>
      <w:r w:rsidRPr="00EF501E">
        <w:tab/>
      </w:r>
      <w:r>
        <w:t>(a)</w:t>
      </w:r>
      <w:r w:rsidRPr="00EF501E">
        <w:tab/>
        <w:t xml:space="preserve">complies with the </w:t>
      </w:r>
      <w:r w:rsidR="00C53540" w:rsidRPr="00BC78CF">
        <w:rPr>
          <w:color w:val="FF0000"/>
        </w:rPr>
        <w:t xml:space="preserve">applicable </w:t>
      </w:r>
      <w:r w:rsidRPr="00EF501E">
        <w:t xml:space="preserve">information security controls specified in </w:t>
      </w:r>
      <w:r>
        <w:t>Part 2</w:t>
      </w:r>
      <w:r w:rsidRPr="00EF501E">
        <w:t xml:space="preserve"> of this Schedule</w:t>
      </w:r>
      <w:r w:rsidR="00C53540">
        <w:t>;</w:t>
      </w:r>
    </w:p>
    <w:p w14:paraId="410584C3" w14:textId="77777777" w:rsidR="00CF0E3D" w:rsidRPr="00EF501E" w:rsidRDefault="00CF0E3D" w:rsidP="00CF0E3D">
      <w:pPr>
        <w:pStyle w:val="paragraph"/>
      </w:pPr>
      <w:r w:rsidRPr="00EF501E">
        <w:tab/>
      </w:r>
      <w:r>
        <w:t>(b)</w:t>
      </w:r>
      <w:r w:rsidRPr="00EF501E">
        <w:tab/>
        <w:t>is appropriate and adapted to respond to risks to information security, having regard to:</w:t>
      </w:r>
    </w:p>
    <w:p w14:paraId="0BC31332" w14:textId="77777777" w:rsidR="00CF0E3D" w:rsidRPr="00EF501E" w:rsidRDefault="00CF0E3D" w:rsidP="00CF0E3D">
      <w:pPr>
        <w:pStyle w:val="paragraphsub"/>
      </w:pPr>
      <w:r w:rsidRPr="00EF501E">
        <w:tab/>
      </w:r>
      <w:r>
        <w:t>(i)</w:t>
      </w:r>
      <w:r w:rsidRPr="00EF501E">
        <w:tab/>
        <w:t xml:space="preserve">the extent and nature of threats to CDR data that it holds; and </w:t>
      </w:r>
    </w:p>
    <w:p w14:paraId="55C41D49" w14:textId="77777777" w:rsidR="00CF0E3D" w:rsidRPr="00EF501E" w:rsidRDefault="00CF0E3D" w:rsidP="00CF0E3D">
      <w:pPr>
        <w:pStyle w:val="paragraphsub"/>
      </w:pPr>
      <w:r w:rsidRPr="00EF501E">
        <w:tab/>
      </w:r>
      <w:r>
        <w:t>(ii)</w:t>
      </w:r>
      <w:r w:rsidRPr="00EF501E">
        <w:tab/>
        <w:t xml:space="preserve">the extent and nature of CDR data that it holds; and </w:t>
      </w:r>
    </w:p>
    <w:p w14:paraId="5FA4553B" w14:textId="77777777" w:rsidR="00CF0E3D" w:rsidRPr="00EF501E" w:rsidRDefault="00CF0E3D" w:rsidP="00CF0E3D">
      <w:pPr>
        <w:pStyle w:val="paragraphsub"/>
      </w:pPr>
      <w:r w:rsidRPr="00EF501E">
        <w:tab/>
      </w:r>
      <w:r>
        <w:t>(iii)</w:t>
      </w:r>
      <w:r w:rsidRPr="00EF501E">
        <w:tab/>
        <w:t>the potential loss or damage to one or more CDR consumers if all or part of the consumer’s data were to be:</w:t>
      </w:r>
    </w:p>
    <w:p w14:paraId="3E669EDC" w14:textId="77777777" w:rsidR="00CF0E3D" w:rsidRPr="00EF501E" w:rsidRDefault="00CF0E3D" w:rsidP="00CF0E3D">
      <w:pPr>
        <w:pStyle w:val="paragraphsub-sub"/>
      </w:pPr>
      <w:r w:rsidRPr="00EF501E">
        <w:tab/>
      </w:r>
      <w:r>
        <w:t>(A)</w:t>
      </w:r>
      <w:r w:rsidRPr="00EF501E">
        <w:tab/>
        <w:t>misused, interfered with or lost; or</w:t>
      </w:r>
    </w:p>
    <w:p w14:paraId="01E94361" w14:textId="77777777" w:rsidR="00CF0E3D" w:rsidRPr="00EF501E" w:rsidRDefault="00CF0E3D" w:rsidP="00CF0E3D">
      <w:pPr>
        <w:pStyle w:val="paragraphsub-sub"/>
      </w:pPr>
      <w:r w:rsidRPr="00EF501E">
        <w:tab/>
      </w:r>
      <w:r>
        <w:t>(B)</w:t>
      </w:r>
      <w:r w:rsidRPr="00EF501E">
        <w:tab/>
        <w:t>accessed, modified or disclosed without authorisation.</w:t>
      </w:r>
    </w:p>
    <w:p w14:paraId="6CCA9177" w14:textId="77777777" w:rsidR="00CF0E3D" w:rsidRDefault="00CF0E3D" w:rsidP="00CF0E3D">
      <w:pPr>
        <w:pStyle w:val="subsection"/>
      </w:pPr>
      <w:r>
        <w:tab/>
        <w:t>(2)</w:t>
      </w:r>
      <w:r>
        <w:tab/>
        <w:t xml:space="preserve">The accredited data recipient </w:t>
      </w:r>
      <w:r w:rsidRPr="00CD6E65">
        <w:t xml:space="preserve">must </w:t>
      </w:r>
      <w:r>
        <w:t xml:space="preserve">review and adjust its </w:t>
      </w:r>
      <w:r w:rsidRPr="00CD6E65">
        <w:t>information security capability</w:t>
      </w:r>
      <w:r>
        <w:t>:</w:t>
      </w:r>
    </w:p>
    <w:p w14:paraId="323B6909" w14:textId="77777777" w:rsidR="00CF0E3D" w:rsidRDefault="00CF0E3D" w:rsidP="00CF0E3D">
      <w:pPr>
        <w:pStyle w:val="paragraph"/>
      </w:pPr>
      <w:r>
        <w:tab/>
        <w:t>(a)</w:t>
      </w:r>
      <w:r>
        <w:tab/>
        <w:t>in response</w:t>
      </w:r>
      <w:r w:rsidRPr="00CD6E65">
        <w:t xml:space="preserve"> </w:t>
      </w:r>
      <w:r>
        <w:t xml:space="preserve">to material </w:t>
      </w:r>
      <w:r w:rsidRPr="00CD6E65">
        <w:t xml:space="preserve">changes </w:t>
      </w:r>
      <w:r>
        <w:t xml:space="preserve">to both the nature and extent of threats and </w:t>
      </w:r>
      <w:r w:rsidRPr="00CD6E65">
        <w:t xml:space="preserve">its </w:t>
      </w:r>
      <w:r>
        <w:t>CDR data</w:t>
      </w:r>
      <w:r w:rsidRPr="00CD6E65">
        <w:t xml:space="preserve"> environment</w:t>
      </w:r>
      <w:r>
        <w:t>; or</w:t>
      </w:r>
    </w:p>
    <w:p w14:paraId="2C3950EB" w14:textId="77777777" w:rsidR="00CF0E3D" w:rsidRDefault="00CF0E3D" w:rsidP="00CF0E3D">
      <w:pPr>
        <w:pStyle w:val="paragraph"/>
      </w:pPr>
      <w:r>
        <w:tab/>
        <w:t>(b)</w:t>
      </w:r>
      <w:r>
        <w:tab/>
        <w:t>where no such material changes occur—at least annually</w:t>
      </w:r>
      <w:r w:rsidRPr="00CD6E65">
        <w:t>.</w:t>
      </w:r>
    </w:p>
    <w:p w14:paraId="2DE20843" w14:textId="77777777" w:rsidR="00CF0E3D" w:rsidRPr="00CD6E65" w:rsidRDefault="00CF0E3D" w:rsidP="00CF0E3D">
      <w:pPr>
        <w:pStyle w:val="ActHead5"/>
      </w:pPr>
      <w:bookmarkStart w:id="569" w:name="_Toc11771718"/>
      <w:bookmarkStart w:id="570" w:name="_Toc74916311"/>
      <w:r>
        <w:t>1.6  Step 4—Implement a formal controls assessment program</w:t>
      </w:r>
      <w:bookmarkEnd w:id="569"/>
      <w:bookmarkEnd w:id="570"/>
    </w:p>
    <w:p w14:paraId="5363B15B" w14:textId="77777777" w:rsidR="00CF0E3D" w:rsidRDefault="00CF0E3D" w:rsidP="00CF0E3D">
      <w:pPr>
        <w:pStyle w:val="subsection"/>
      </w:pPr>
      <w:r>
        <w:tab/>
        <w:t>(1)</w:t>
      </w:r>
      <w:r>
        <w:tab/>
        <w:t>An accredited data recipient must establish and implement a testing program to review and assess the effectiveness of its information security capability which:</w:t>
      </w:r>
    </w:p>
    <w:p w14:paraId="3297C0AF" w14:textId="77777777" w:rsidR="00CF0E3D" w:rsidRPr="00CD6E65" w:rsidRDefault="00CF0E3D" w:rsidP="00CF0E3D">
      <w:pPr>
        <w:pStyle w:val="paragraph"/>
      </w:pPr>
      <w:r>
        <w:tab/>
        <w:t>(a)</w:t>
      </w:r>
      <w:r>
        <w:tab/>
        <w:t>is appropriate having regard to the factors set out in paragraph 1.5(1)(b); and</w:t>
      </w:r>
    </w:p>
    <w:p w14:paraId="02C7BE23" w14:textId="77777777" w:rsidR="00CF0E3D" w:rsidRDefault="00CF0E3D" w:rsidP="00CF0E3D">
      <w:pPr>
        <w:pStyle w:val="paragraph"/>
      </w:pPr>
      <w:r>
        <w:tab/>
        <w:t>(b)</w:t>
      </w:r>
      <w:r>
        <w:tab/>
        <w:t>requires testing at a frequency, and to an extent, that is appropriate having regard to:</w:t>
      </w:r>
    </w:p>
    <w:p w14:paraId="43D5FFE9" w14:textId="77777777" w:rsidR="00CF0E3D" w:rsidRPr="00EF501E" w:rsidRDefault="00CF0E3D" w:rsidP="00CF0E3D">
      <w:pPr>
        <w:pStyle w:val="paragraphsub"/>
      </w:pPr>
      <w:r>
        <w:tab/>
        <w:t>(i)</w:t>
      </w:r>
      <w:r w:rsidRPr="00EF501E">
        <w:tab/>
      </w:r>
      <w:r>
        <w:t>t</w:t>
      </w:r>
      <w:r w:rsidRPr="00CD6E65">
        <w:t>he rate at which vulnerabilities and threats change</w:t>
      </w:r>
      <w:r>
        <w:t>;</w:t>
      </w:r>
      <w:r w:rsidRPr="00CD6E65">
        <w:t xml:space="preserve"> </w:t>
      </w:r>
      <w:r>
        <w:t>and</w:t>
      </w:r>
      <w:r w:rsidRPr="00EF501E">
        <w:t xml:space="preserve"> </w:t>
      </w:r>
    </w:p>
    <w:p w14:paraId="03C75429" w14:textId="77777777" w:rsidR="00CF0E3D" w:rsidRDefault="00CF0E3D" w:rsidP="00CF0E3D">
      <w:pPr>
        <w:pStyle w:val="paragraphsub"/>
      </w:pPr>
      <w:r w:rsidRPr="00EF501E">
        <w:tab/>
      </w:r>
      <w:r>
        <w:t>(ii)</w:t>
      </w:r>
      <w:r w:rsidRPr="00EF501E">
        <w:tab/>
      </w:r>
      <w:r>
        <w:t>material changes to the boundaries of its CDR data environment; and</w:t>
      </w:r>
    </w:p>
    <w:p w14:paraId="10F44A17" w14:textId="77777777" w:rsidR="00CF0E3D" w:rsidRDefault="00CF0E3D" w:rsidP="00CF0E3D">
      <w:pPr>
        <w:pStyle w:val="paragraphsub"/>
      </w:pPr>
      <w:r>
        <w:tab/>
        <w:t>(iii)</w:t>
      </w:r>
      <w:r>
        <w:tab/>
        <w:t>the likelihood of failure of controls having regard to the results of previous testing.</w:t>
      </w:r>
    </w:p>
    <w:p w14:paraId="06CB19BE" w14:textId="77777777" w:rsidR="00CF0E3D" w:rsidRDefault="00CF0E3D" w:rsidP="00CF0E3D">
      <w:pPr>
        <w:pStyle w:val="subsection"/>
      </w:pPr>
      <w:r w:rsidRPr="00133F4F">
        <w:tab/>
      </w:r>
      <w:r>
        <w:t>(2)</w:t>
      </w:r>
      <w:r w:rsidRPr="00133F4F">
        <w:tab/>
        <w:t>The accredited data recipient must monitor and evaluate</w:t>
      </w:r>
      <w:r>
        <w:t xml:space="preserve"> the design, implementation and operating effectiveness of its security controls relating to the </w:t>
      </w:r>
      <w:r w:rsidRPr="00133F4F">
        <w:t>management of CDR data in accordance with its obligations under Part IVD of the Act and these rules</w:t>
      </w:r>
      <w:r>
        <w:t>, and having regard to</w:t>
      </w:r>
      <w:r w:rsidRPr="00133F4F">
        <w:t xml:space="preserve"> </w:t>
      </w:r>
      <w:r>
        <w:t xml:space="preserve">the information security controls </w:t>
      </w:r>
      <w:r w:rsidRPr="00872423">
        <w:t xml:space="preserve">in </w:t>
      </w:r>
      <w:r>
        <w:t>Part 2</w:t>
      </w:r>
      <w:r w:rsidRPr="00872423">
        <w:t xml:space="preserve"> of this Schedule</w:t>
      </w:r>
      <w:r w:rsidRPr="00133F4F">
        <w:t>.</w:t>
      </w:r>
    </w:p>
    <w:p w14:paraId="38A74925" w14:textId="77777777" w:rsidR="00CF0E3D" w:rsidRPr="00CD6E65" w:rsidRDefault="00CF0E3D" w:rsidP="00CF0E3D">
      <w:pPr>
        <w:pStyle w:val="subsection"/>
      </w:pPr>
      <w:r>
        <w:tab/>
        <w:t>(3)</w:t>
      </w:r>
      <w:r>
        <w:tab/>
        <w:t xml:space="preserve">The accredited data recipient </w:t>
      </w:r>
      <w:r w:rsidRPr="00CD6E65">
        <w:t>must escalate and repo</w:t>
      </w:r>
      <w:r>
        <w:t>rt</w:t>
      </w:r>
      <w:r w:rsidRPr="00CD6E65">
        <w:t xml:space="preserve"> to senior management</w:t>
      </w:r>
      <w:r>
        <w:t xml:space="preserve"> the results of </w:t>
      </w:r>
      <w:r w:rsidRPr="00CD6E65">
        <w:t>any testing that identif</w:t>
      </w:r>
      <w:r>
        <w:t>ies</w:t>
      </w:r>
      <w:r w:rsidRPr="00CD6E65">
        <w:t xml:space="preserve"> </w:t>
      </w:r>
      <w:r>
        <w:t xml:space="preserve">design, implementation or operational deficiencies in </w:t>
      </w:r>
      <w:r w:rsidRPr="00CD6E65">
        <w:t>information security control</w:t>
      </w:r>
      <w:r>
        <w:t>s relevant to its CDR data environment.</w:t>
      </w:r>
    </w:p>
    <w:p w14:paraId="04ADCFFC" w14:textId="77777777" w:rsidR="00CF0E3D" w:rsidRPr="00CD6E65" w:rsidRDefault="00CF0E3D" w:rsidP="00CF0E3D">
      <w:pPr>
        <w:pStyle w:val="subsection"/>
      </w:pPr>
      <w:r>
        <w:tab/>
        <w:t>(4)</w:t>
      </w:r>
      <w:r>
        <w:tab/>
        <w:t xml:space="preserve">The accredited data recipient </w:t>
      </w:r>
      <w:r w:rsidRPr="00CD6E65">
        <w:t xml:space="preserve">must ensure that testing is conducted by appropriately skilled </w:t>
      </w:r>
      <w:r>
        <w:t>persons who are independent from the performance of controls over the CDR data environment.</w:t>
      </w:r>
    </w:p>
    <w:p w14:paraId="1B10AB39" w14:textId="77777777" w:rsidR="00CF0E3D" w:rsidRDefault="00CF0E3D" w:rsidP="00CF0E3D">
      <w:pPr>
        <w:pStyle w:val="subsection"/>
      </w:pPr>
      <w:r>
        <w:tab/>
        <w:t>(5)</w:t>
      </w:r>
      <w:r>
        <w:tab/>
        <w:t xml:space="preserve">The accredited data recipient </w:t>
      </w:r>
      <w:r w:rsidRPr="00CD6E65">
        <w:t>must review the sufficiency of its testing program</w:t>
      </w:r>
      <w:r>
        <w:t xml:space="preserve"> referred to in subclause (1):</w:t>
      </w:r>
    </w:p>
    <w:p w14:paraId="698577C8" w14:textId="77777777" w:rsidR="00CF0E3D" w:rsidRDefault="00CF0E3D" w:rsidP="00CF0E3D">
      <w:pPr>
        <w:pStyle w:val="paragraph"/>
      </w:pPr>
      <w:r>
        <w:tab/>
        <w:t>(a)</w:t>
      </w:r>
      <w:r>
        <w:tab/>
      </w:r>
      <w:r w:rsidRPr="00CD6E65">
        <w:t xml:space="preserve">when there is a material change to </w:t>
      </w:r>
      <w:r>
        <w:t>the nature and extent of threats to its CDR data environment or to the boundaries of its CDR data environment—as soon as practicable; or</w:t>
      </w:r>
    </w:p>
    <w:p w14:paraId="405117D6" w14:textId="77777777" w:rsidR="00CF0E3D" w:rsidRDefault="00CF0E3D" w:rsidP="00CF0E3D">
      <w:pPr>
        <w:pStyle w:val="paragraph"/>
      </w:pPr>
      <w:r>
        <w:tab/>
        <w:t>(b)</w:t>
      </w:r>
      <w:r>
        <w:tab/>
        <w:t>where no such material changes occur—</w:t>
      </w:r>
      <w:r w:rsidRPr="00CD6E65">
        <w:t>at least annually.</w:t>
      </w:r>
    </w:p>
    <w:p w14:paraId="020C40F7" w14:textId="77777777" w:rsidR="00CF0E3D" w:rsidRPr="00817A63" w:rsidRDefault="00CF0E3D" w:rsidP="00CF0E3D">
      <w:pPr>
        <w:pStyle w:val="ActHead5"/>
      </w:pPr>
      <w:bookmarkStart w:id="571" w:name="_Toc11771719"/>
      <w:bookmarkStart w:id="572" w:name="_Toc74916312"/>
      <w:r>
        <w:t>1.7  Step</w:t>
      </w:r>
      <w:r w:rsidRPr="00817A63">
        <w:t xml:space="preserve"> 5</w:t>
      </w:r>
      <w:r>
        <w:t>—</w:t>
      </w:r>
      <w:r w:rsidRPr="00817A63">
        <w:t>Manage and report security incidents</w:t>
      </w:r>
      <w:bookmarkEnd w:id="571"/>
      <w:bookmarkEnd w:id="572"/>
    </w:p>
    <w:p w14:paraId="2B24FD80" w14:textId="77777777" w:rsidR="00CF0E3D" w:rsidRPr="00CD6E65" w:rsidRDefault="00CF0E3D" w:rsidP="00CF0E3D">
      <w:pPr>
        <w:pStyle w:val="subsection"/>
      </w:pPr>
      <w:r>
        <w:tab/>
        <w:t>(1)</w:t>
      </w:r>
      <w:r>
        <w:tab/>
        <w:t xml:space="preserve">An accredited data recipient </w:t>
      </w:r>
      <w:r w:rsidRPr="00CD6E65">
        <w:t xml:space="preserve">must have </w:t>
      </w:r>
      <w:r>
        <w:t>procedures and practices</w:t>
      </w:r>
      <w:r w:rsidRPr="00CD6E65">
        <w:t xml:space="preserve"> in place to detect, record, and respond to information securit</w:t>
      </w:r>
      <w:r>
        <w:t xml:space="preserve">y incidents </w:t>
      </w:r>
      <w:r w:rsidRPr="00005026">
        <w:t>as soon as practicable</w:t>
      </w:r>
      <w:r>
        <w:t>.</w:t>
      </w:r>
    </w:p>
    <w:p w14:paraId="451DF311" w14:textId="77777777" w:rsidR="00CF0E3D" w:rsidRPr="00CD6E65" w:rsidRDefault="00CF0E3D" w:rsidP="00CF0E3D">
      <w:pPr>
        <w:pStyle w:val="subsection"/>
      </w:pPr>
      <w:r>
        <w:tab/>
        <w:t>(2)</w:t>
      </w:r>
      <w:r>
        <w:tab/>
        <w:t xml:space="preserve">The accredited data recipient </w:t>
      </w:r>
      <w:r w:rsidRPr="00CD6E65">
        <w:t xml:space="preserve">must </w:t>
      </w:r>
      <w:r>
        <w:t xml:space="preserve">create and </w:t>
      </w:r>
      <w:r w:rsidRPr="00CD6E65">
        <w:t xml:space="preserve">maintain plans to respond to information security incidents that </w:t>
      </w:r>
      <w:r>
        <w:t xml:space="preserve">it </w:t>
      </w:r>
      <w:r w:rsidRPr="00CD6E65">
        <w:t>considers could plausibly occur (</w:t>
      </w:r>
      <w:r w:rsidRPr="00EE2EA1">
        <w:rPr>
          <w:b/>
          <w:i/>
        </w:rPr>
        <w:t>CDR data security response plans</w:t>
      </w:r>
      <w:r>
        <w:t>).</w:t>
      </w:r>
    </w:p>
    <w:p w14:paraId="29029C4F" w14:textId="77777777" w:rsidR="00CF0E3D" w:rsidRPr="00CD6E65" w:rsidRDefault="00CF0E3D" w:rsidP="00CF0E3D">
      <w:pPr>
        <w:pStyle w:val="subsection"/>
      </w:pPr>
      <w:r>
        <w:tab/>
        <w:t>(3)</w:t>
      </w:r>
      <w:r>
        <w:tab/>
        <w:t xml:space="preserve">The accredited data recipient’s </w:t>
      </w:r>
      <w:r w:rsidRPr="00CD6E65">
        <w:t xml:space="preserve">CDR data security response plans must include </w:t>
      </w:r>
      <w:r>
        <w:t>procedures</w:t>
      </w:r>
      <w:r w:rsidRPr="00CD6E65">
        <w:t xml:space="preserve"> for: </w:t>
      </w:r>
    </w:p>
    <w:p w14:paraId="643340F6" w14:textId="77777777" w:rsidR="00CF0E3D" w:rsidRDefault="00CF0E3D" w:rsidP="00CF0E3D">
      <w:pPr>
        <w:pStyle w:val="paragraph"/>
      </w:pPr>
      <w:r>
        <w:tab/>
        <w:t>(a)</w:t>
      </w:r>
      <w:r>
        <w:tab/>
        <w:t>m</w:t>
      </w:r>
      <w:r w:rsidRPr="00CD6E65">
        <w:t>anaging all relevant stages of an incident, from detection to post-incident review</w:t>
      </w:r>
      <w:r>
        <w:t>;</w:t>
      </w:r>
      <w:r w:rsidRPr="00CD6E65">
        <w:t xml:space="preserve"> </w:t>
      </w:r>
      <w:r>
        <w:t>and</w:t>
      </w:r>
    </w:p>
    <w:p w14:paraId="1D501B66" w14:textId="77777777" w:rsidR="00CF0E3D" w:rsidRPr="00005026" w:rsidRDefault="00CF0E3D" w:rsidP="00CF0E3D">
      <w:pPr>
        <w:pStyle w:val="paragraph"/>
      </w:pPr>
      <w:r>
        <w:tab/>
        <w:t>(b)</w:t>
      </w:r>
      <w:r>
        <w:tab/>
        <w:t xml:space="preserve">notifying CDR data security breaches to the Information Commissioner and to CDR consumers as required under Part IIIC of the </w:t>
      </w:r>
      <w:r>
        <w:rPr>
          <w:i/>
        </w:rPr>
        <w:t>Privacy Act 1988</w:t>
      </w:r>
      <w:r w:rsidRPr="00005026">
        <w:t>; and</w:t>
      </w:r>
    </w:p>
    <w:p w14:paraId="2537DF77" w14:textId="77777777" w:rsidR="00CF0E3D" w:rsidRPr="00005026" w:rsidRDefault="00CF0E3D" w:rsidP="00CF0E3D">
      <w:pPr>
        <w:pStyle w:val="paragraph"/>
      </w:pPr>
      <w:r w:rsidRPr="00005026">
        <w:tab/>
      </w:r>
      <w:r>
        <w:t>(c)</w:t>
      </w:r>
      <w:r w:rsidRPr="00005026">
        <w:tab/>
        <w:t xml:space="preserve">notifying information security incidents to the Australian Cyber Security Centre </w:t>
      </w:r>
      <w:r w:rsidRPr="007115C0">
        <w:t>as soon as</w:t>
      </w:r>
      <w:r w:rsidRPr="00005026">
        <w:t xml:space="preserve"> practicable and in any case no later than 30 days after the accredited data recipient becomes aware of the security incident.</w:t>
      </w:r>
    </w:p>
    <w:p w14:paraId="6B848FAD" w14:textId="77777777" w:rsidR="00CF0E3D" w:rsidRPr="00751616" w:rsidRDefault="00CF0E3D" w:rsidP="00CF0E3D">
      <w:pPr>
        <w:pStyle w:val="notetext"/>
      </w:pPr>
      <w:r>
        <w:t>Note:</w:t>
      </w:r>
      <w:r>
        <w:tab/>
        <w:t xml:space="preserve">For paragraph (3)(b), see section 56ES of the Act for the extended application of Part IIIC of the </w:t>
      </w:r>
      <w:r>
        <w:rPr>
          <w:i/>
        </w:rPr>
        <w:t>Privacy Act 1988</w:t>
      </w:r>
      <w:r>
        <w:t>.</w:t>
      </w:r>
    </w:p>
    <w:p w14:paraId="5788C992" w14:textId="77777777" w:rsidR="00CF0E3D" w:rsidRDefault="00CF0E3D" w:rsidP="00CF0E3D">
      <w:pPr>
        <w:pStyle w:val="subsection"/>
      </w:pPr>
      <w:r>
        <w:tab/>
        <w:t>(4)</w:t>
      </w:r>
      <w:r>
        <w:tab/>
        <w:t xml:space="preserve">The accredited data recipient </w:t>
      </w:r>
      <w:r w:rsidRPr="00CD6E65">
        <w:t xml:space="preserve">must review and test its </w:t>
      </w:r>
      <w:r>
        <w:t xml:space="preserve">CDR data </w:t>
      </w:r>
      <w:r w:rsidRPr="00CD6E65">
        <w:t>security response plans</w:t>
      </w:r>
      <w:r>
        <w:t>:</w:t>
      </w:r>
    </w:p>
    <w:p w14:paraId="35A9CB45" w14:textId="77777777" w:rsidR="00CF0E3D" w:rsidRDefault="00CF0E3D" w:rsidP="00CF0E3D">
      <w:pPr>
        <w:pStyle w:val="paragraph"/>
      </w:pPr>
      <w:r>
        <w:tab/>
        <w:t>(a)</w:t>
      </w:r>
      <w:r>
        <w:tab/>
        <w:t>when there is a material change to the nature and extent of threats to its CDR data environment or to the boundaries of its CDR data environment—as soon as practicable;</w:t>
      </w:r>
      <w:r w:rsidRPr="00CD6E65">
        <w:t xml:space="preserve"> </w:t>
      </w:r>
      <w:r>
        <w:t>and</w:t>
      </w:r>
    </w:p>
    <w:p w14:paraId="67DFCBA7" w14:textId="77777777" w:rsidR="00361FBC" w:rsidRDefault="00CF0E3D" w:rsidP="00CF0E3D">
      <w:pPr>
        <w:pStyle w:val="paragraph"/>
      </w:pPr>
      <w:r>
        <w:tab/>
        <w:t>(b)</w:t>
      </w:r>
      <w:r>
        <w:tab/>
        <w:t>where no such material changes occur—at least annually.</w:t>
      </w:r>
    </w:p>
    <w:p w14:paraId="527330EA" w14:textId="77777777" w:rsidR="00CF0E3D" w:rsidRPr="00005026" w:rsidRDefault="00CF0E3D" w:rsidP="00CF0E3D">
      <w:pPr>
        <w:pStyle w:val="subsection"/>
      </w:pPr>
      <w:r w:rsidRPr="00005026">
        <w:tab/>
      </w:r>
      <w:r>
        <w:t>(5)</w:t>
      </w:r>
      <w:r w:rsidRPr="00005026">
        <w:tab/>
        <w:t>In this clause:</w:t>
      </w:r>
    </w:p>
    <w:p w14:paraId="282861D1" w14:textId="77777777" w:rsidR="00CF0E3D" w:rsidRPr="00005026" w:rsidRDefault="00CF0E3D" w:rsidP="00CF0E3D">
      <w:pPr>
        <w:pStyle w:val="Definition"/>
      </w:pPr>
      <w:r w:rsidRPr="00005026">
        <w:rPr>
          <w:b/>
          <w:i/>
        </w:rPr>
        <w:t xml:space="preserve">Australian Cyber Security Centre </w:t>
      </w:r>
      <w:r w:rsidRPr="00005026">
        <w:t>means the cyber security function within the Australian Signals Directorate.</w:t>
      </w:r>
    </w:p>
    <w:p w14:paraId="303D5C7A" w14:textId="77777777" w:rsidR="00CF0E3D" w:rsidRDefault="00CF0E3D" w:rsidP="00CF0E3D">
      <w:pPr>
        <w:pStyle w:val="subsection"/>
        <w:sectPr w:rsidR="00CF0E3D" w:rsidSect="00AA730A">
          <w:headerReference w:type="default" r:id="rId24"/>
          <w:pgSz w:w="11907" w:h="16839" w:code="9"/>
          <w:pgMar w:top="2234" w:right="1797" w:bottom="1440" w:left="1797" w:header="720" w:footer="709" w:gutter="0"/>
          <w:cols w:space="708"/>
          <w:docGrid w:linePitch="360"/>
        </w:sectPr>
      </w:pPr>
    </w:p>
    <w:p w14:paraId="3D118E16" w14:textId="375C9B7B" w:rsidR="00CF0E3D" w:rsidRDefault="00CF0E3D" w:rsidP="00CF0E3D">
      <w:pPr>
        <w:pStyle w:val="ActHead2"/>
        <w:pageBreakBefore/>
      </w:pPr>
      <w:bookmarkStart w:id="573" w:name="_Toc11771720"/>
      <w:bookmarkStart w:id="574" w:name="_Toc74916313"/>
      <w:r>
        <w:t>Part 2</w:t>
      </w:r>
      <w:r w:rsidR="00A81512">
        <w:t xml:space="preserve"> </w:t>
      </w:r>
      <w:r>
        <w:t>—Minimum information security controls</w:t>
      </w:r>
      <w:bookmarkEnd w:id="573"/>
      <w:bookmarkEnd w:id="574"/>
    </w:p>
    <w:p w14:paraId="6584ACB2" w14:textId="77777777" w:rsidR="00CF0E3D" w:rsidRDefault="00CF0E3D" w:rsidP="00CF0E3D">
      <w:pPr>
        <w:pStyle w:val="ActHead5"/>
      </w:pPr>
      <w:bookmarkStart w:id="575" w:name="_Toc11771721"/>
      <w:bookmarkStart w:id="576" w:name="_Toc74916314"/>
      <w:r>
        <w:t>2.1  Purpose of Part</w:t>
      </w:r>
      <w:bookmarkEnd w:id="575"/>
      <w:bookmarkEnd w:id="576"/>
    </w:p>
    <w:p w14:paraId="2DE2062D" w14:textId="77777777" w:rsidR="00CF0E3D" w:rsidRDefault="00CF0E3D" w:rsidP="00CF0E3D">
      <w:pPr>
        <w:pStyle w:val="subsection"/>
      </w:pPr>
      <w:r>
        <w:tab/>
      </w:r>
      <w:r>
        <w:tab/>
        <w:t>This Part sets out the information security controls, for the purpose of paragraph 1.5(1)(a) of this Schedule.</w:t>
      </w:r>
    </w:p>
    <w:p w14:paraId="5313BA33" w14:textId="1AE31576" w:rsidR="00CF0E3D" w:rsidRPr="00743F12" w:rsidRDefault="00CF0E3D" w:rsidP="00CF0E3D">
      <w:pPr>
        <w:pStyle w:val="ActHead5"/>
      </w:pPr>
      <w:bookmarkStart w:id="577" w:name="_Toc11771722"/>
      <w:bookmarkStart w:id="578" w:name="_Toc74916315"/>
      <w:r>
        <w:t xml:space="preserve">2.2 </w:t>
      </w:r>
      <w:r w:rsidR="001E5E31">
        <w:t xml:space="preserve"> </w:t>
      </w:r>
      <w:r>
        <w:t xml:space="preserve"> Information security controls</w:t>
      </w:r>
      <w:bookmarkEnd w:id="577"/>
      <w:bookmarkEnd w:id="578"/>
    </w:p>
    <w:p w14:paraId="688D5D7D" w14:textId="6A38AB62" w:rsidR="00A81512" w:rsidRPr="00B96CC8" w:rsidRDefault="00CF0E3D" w:rsidP="00B96CC8">
      <w:pPr>
        <w:pStyle w:val="subsection"/>
      </w:pPr>
      <w:r>
        <w:tab/>
      </w:r>
      <w:r>
        <w:tab/>
        <w:t>The information security controls are set out in the following table:</w:t>
      </w:r>
      <w:bookmarkStart w:id="579" w:name="_Toc11771723"/>
    </w:p>
    <w:p w14:paraId="12486E5D" w14:textId="77777777" w:rsidR="00A81512" w:rsidRDefault="00A81512" w:rsidP="00CF0E3D">
      <w:pPr>
        <w:pStyle w:val="ActHead6"/>
        <w:rPr>
          <w:color w:val="000000" w:themeColor="text1"/>
        </w:rPr>
      </w:pPr>
    </w:p>
    <w:tbl>
      <w:tblPr>
        <w:tblStyle w:val="TableGrid"/>
        <w:tblW w:w="5780" w:type="pct"/>
        <w:tblLook w:val="04A0" w:firstRow="1" w:lastRow="0" w:firstColumn="1" w:lastColumn="0" w:noHBand="0" w:noVBand="1"/>
      </w:tblPr>
      <w:tblGrid>
        <w:gridCol w:w="450"/>
        <w:gridCol w:w="2241"/>
        <w:gridCol w:w="499"/>
        <w:gridCol w:w="5715"/>
        <w:gridCol w:w="6302"/>
      </w:tblGrid>
      <w:tr w:rsidR="00D001AB" w:rsidRPr="00F07699" w14:paraId="7ECB02F0" w14:textId="77777777" w:rsidTr="00B96CC8">
        <w:trPr>
          <w:tblHeader/>
        </w:trPr>
        <w:tc>
          <w:tcPr>
            <w:tcW w:w="148" w:type="pct"/>
          </w:tcPr>
          <w:p w14:paraId="4F8865EC" w14:textId="77777777" w:rsidR="00D001AB" w:rsidRPr="00BC78CF" w:rsidRDefault="00D001AB" w:rsidP="003B6F71">
            <w:pPr>
              <w:pStyle w:val="TableHeading"/>
              <w:rPr>
                <w:color w:val="FF0000"/>
              </w:rPr>
            </w:pPr>
          </w:p>
        </w:tc>
        <w:tc>
          <w:tcPr>
            <w:tcW w:w="737" w:type="pct"/>
          </w:tcPr>
          <w:p w14:paraId="3EBAF22A" w14:textId="77777777" w:rsidR="00D001AB" w:rsidRPr="00F07699" w:rsidRDefault="00D001AB" w:rsidP="003B6F71">
            <w:pPr>
              <w:pStyle w:val="TableHeading"/>
            </w:pPr>
            <w:r w:rsidRPr="00F07699">
              <w:t>Control requirements</w:t>
            </w:r>
          </w:p>
        </w:tc>
        <w:tc>
          <w:tcPr>
            <w:tcW w:w="164" w:type="pct"/>
          </w:tcPr>
          <w:p w14:paraId="24E91086" w14:textId="77777777" w:rsidR="00D001AB" w:rsidRPr="00BC78CF" w:rsidRDefault="00D001AB" w:rsidP="003B6F71">
            <w:pPr>
              <w:pStyle w:val="TableHeading"/>
              <w:rPr>
                <w:color w:val="FF0000"/>
              </w:rPr>
            </w:pPr>
          </w:p>
        </w:tc>
        <w:tc>
          <w:tcPr>
            <w:tcW w:w="1879" w:type="pct"/>
          </w:tcPr>
          <w:p w14:paraId="1C2BA14D" w14:textId="77777777" w:rsidR="00D001AB" w:rsidRPr="00F07699" w:rsidRDefault="00D001AB" w:rsidP="003B6F71">
            <w:pPr>
              <w:pStyle w:val="TableHeading"/>
            </w:pPr>
            <w:r w:rsidRPr="00F07699">
              <w:t>Minimum controls</w:t>
            </w:r>
          </w:p>
        </w:tc>
        <w:tc>
          <w:tcPr>
            <w:tcW w:w="2072" w:type="pct"/>
          </w:tcPr>
          <w:p w14:paraId="50D7B86D" w14:textId="77777777" w:rsidR="00D001AB" w:rsidRPr="00F07699" w:rsidRDefault="00D001AB" w:rsidP="003B6F71">
            <w:pPr>
              <w:pStyle w:val="TableHeading"/>
            </w:pPr>
            <w:r w:rsidRPr="00F07699">
              <w:t>Description of minimum controls</w:t>
            </w:r>
          </w:p>
        </w:tc>
      </w:tr>
      <w:tr w:rsidR="00D001AB" w:rsidRPr="00F07699" w14:paraId="6054964D" w14:textId="77777777" w:rsidTr="00B96CC8">
        <w:trPr>
          <w:trHeight w:val="33"/>
        </w:trPr>
        <w:tc>
          <w:tcPr>
            <w:tcW w:w="148" w:type="pct"/>
            <w:vMerge w:val="restart"/>
          </w:tcPr>
          <w:p w14:paraId="4D3CAD1E" w14:textId="77777777" w:rsidR="00D001AB" w:rsidRPr="00BC78CF" w:rsidRDefault="00D001AB" w:rsidP="003B6F71">
            <w:pPr>
              <w:pStyle w:val="Tabletext"/>
              <w:rPr>
                <w:color w:val="FF0000"/>
              </w:rPr>
            </w:pPr>
            <w:r w:rsidRPr="00BC78CF">
              <w:rPr>
                <w:color w:val="FF0000"/>
              </w:rPr>
              <w:t>(1)</w:t>
            </w:r>
          </w:p>
        </w:tc>
        <w:tc>
          <w:tcPr>
            <w:tcW w:w="737" w:type="pct"/>
            <w:vMerge w:val="restart"/>
          </w:tcPr>
          <w:p w14:paraId="2BCA4286" w14:textId="77777777" w:rsidR="00D001AB" w:rsidRPr="00F07699" w:rsidRDefault="00D001AB" w:rsidP="003B6F71">
            <w:pPr>
              <w:pStyle w:val="Tabletext"/>
            </w:pPr>
            <w:r w:rsidRPr="00F07699">
              <w:t>An accredited data recipient must have processes in place to limit the risk of inappropriate or unauthorised access to its CDR data environment.</w:t>
            </w:r>
          </w:p>
        </w:tc>
        <w:tc>
          <w:tcPr>
            <w:tcW w:w="164" w:type="pct"/>
          </w:tcPr>
          <w:p w14:paraId="0966D45E" w14:textId="77777777" w:rsidR="00D001AB" w:rsidRPr="00BC78CF" w:rsidRDefault="00D001AB" w:rsidP="003B6F71">
            <w:pPr>
              <w:pStyle w:val="Tabletext"/>
              <w:rPr>
                <w:color w:val="FF0000"/>
                <w:lang w:eastAsia="en-US"/>
              </w:rPr>
            </w:pPr>
            <w:r w:rsidRPr="00BC78CF">
              <w:rPr>
                <w:color w:val="FF0000"/>
              </w:rPr>
              <w:t>(a)</w:t>
            </w:r>
          </w:p>
        </w:tc>
        <w:tc>
          <w:tcPr>
            <w:tcW w:w="1879" w:type="pct"/>
          </w:tcPr>
          <w:p w14:paraId="48EDCAC7" w14:textId="77777777" w:rsidR="00D001AB" w:rsidRPr="00F07699" w:rsidRDefault="00D001AB" w:rsidP="003B6F71">
            <w:pPr>
              <w:pStyle w:val="Tabletext"/>
              <w:rPr>
                <w:lang w:eastAsia="en-US"/>
              </w:rPr>
            </w:pPr>
            <w:r w:rsidRPr="00F07699">
              <w:rPr>
                <w:lang w:eastAsia="en-US"/>
              </w:rPr>
              <w:t>Multi-factor authentication or equivalent control</w:t>
            </w:r>
          </w:p>
        </w:tc>
        <w:tc>
          <w:tcPr>
            <w:tcW w:w="2072" w:type="pct"/>
          </w:tcPr>
          <w:p w14:paraId="658909B6" w14:textId="77777777" w:rsidR="00D001AB" w:rsidRPr="00F07699" w:rsidRDefault="00D001AB" w:rsidP="003B6F71">
            <w:pPr>
              <w:pStyle w:val="Tabletext"/>
              <w:rPr>
                <w:lang w:eastAsia="en-US"/>
              </w:rPr>
            </w:pPr>
            <w:r w:rsidRPr="00F07699">
              <w:rPr>
                <w:lang w:eastAsia="en-US"/>
              </w:rPr>
              <w:t>Multi-factor authentication or equivalent control is required for all access to CDR data.</w:t>
            </w:r>
          </w:p>
          <w:p w14:paraId="554667A7" w14:textId="77777777" w:rsidR="00D001AB" w:rsidRPr="00F07699" w:rsidRDefault="00D001AB" w:rsidP="003B6F71">
            <w:pPr>
              <w:pStyle w:val="notemargin"/>
            </w:pPr>
            <w:r w:rsidRPr="00F07699">
              <w:t xml:space="preserve">Note:       This minimum control does not apply to access to CDR data by CDR consumers. </w:t>
            </w:r>
          </w:p>
          <w:p w14:paraId="09035806" w14:textId="77777777" w:rsidR="00D001AB" w:rsidRPr="00F07699" w:rsidRDefault="00D001AB" w:rsidP="003B6F71">
            <w:pPr>
              <w:pStyle w:val="Tabletext"/>
              <w:rPr>
                <w:lang w:eastAsia="en-US"/>
              </w:rPr>
            </w:pPr>
          </w:p>
        </w:tc>
      </w:tr>
      <w:tr w:rsidR="00D001AB" w:rsidRPr="00F07699" w14:paraId="4007C68C" w14:textId="77777777" w:rsidTr="00B96CC8">
        <w:trPr>
          <w:trHeight w:val="31"/>
        </w:trPr>
        <w:tc>
          <w:tcPr>
            <w:tcW w:w="148" w:type="pct"/>
            <w:vMerge/>
          </w:tcPr>
          <w:p w14:paraId="2816E3B0" w14:textId="77777777" w:rsidR="00D001AB" w:rsidRPr="00BC78CF" w:rsidRDefault="00D001AB" w:rsidP="003B6F71">
            <w:pPr>
              <w:pStyle w:val="Tabletext"/>
              <w:rPr>
                <w:color w:val="FF0000"/>
              </w:rPr>
            </w:pPr>
          </w:p>
        </w:tc>
        <w:tc>
          <w:tcPr>
            <w:tcW w:w="737" w:type="pct"/>
            <w:vMerge/>
          </w:tcPr>
          <w:p w14:paraId="11299701" w14:textId="77777777" w:rsidR="00D001AB" w:rsidRPr="00F07699" w:rsidRDefault="00D001AB" w:rsidP="003B6F71">
            <w:pPr>
              <w:pStyle w:val="Tabletext"/>
            </w:pPr>
          </w:p>
        </w:tc>
        <w:tc>
          <w:tcPr>
            <w:tcW w:w="164" w:type="pct"/>
          </w:tcPr>
          <w:p w14:paraId="0392C075" w14:textId="77777777" w:rsidR="00D001AB" w:rsidRPr="00BC78CF" w:rsidRDefault="00D001AB" w:rsidP="003B6F71">
            <w:pPr>
              <w:pStyle w:val="Tabletext"/>
              <w:rPr>
                <w:color w:val="FF0000"/>
              </w:rPr>
            </w:pPr>
            <w:r w:rsidRPr="00BC78CF">
              <w:rPr>
                <w:color w:val="FF0000"/>
              </w:rPr>
              <w:t>(b)</w:t>
            </w:r>
          </w:p>
        </w:tc>
        <w:tc>
          <w:tcPr>
            <w:tcW w:w="1879" w:type="pct"/>
          </w:tcPr>
          <w:p w14:paraId="2FEDF9BC" w14:textId="77777777" w:rsidR="00D001AB" w:rsidRPr="00F07699" w:rsidRDefault="00D001AB" w:rsidP="003B6F71">
            <w:pPr>
              <w:pStyle w:val="Tabletext"/>
            </w:pPr>
            <w:r w:rsidRPr="00F07699">
              <w:t xml:space="preserve">Restrict administrative privileges </w:t>
            </w:r>
          </w:p>
        </w:tc>
        <w:tc>
          <w:tcPr>
            <w:tcW w:w="2072" w:type="pct"/>
          </w:tcPr>
          <w:p w14:paraId="579261BC" w14:textId="77777777" w:rsidR="00D001AB" w:rsidRPr="00F07699" w:rsidRDefault="00D001AB" w:rsidP="003B6F71">
            <w:pPr>
              <w:pStyle w:val="Tabletext"/>
              <w:rPr>
                <w:rFonts w:cs="Arial"/>
              </w:rPr>
            </w:pPr>
            <w:r w:rsidRPr="00F07699">
              <w:rPr>
                <w:rFonts w:cs="Arial"/>
              </w:rPr>
              <w:t>Administrative privileges are granted only on an as needs basis for users to perform their duties and only for the period they are required for.</w:t>
            </w:r>
          </w:p>
          <w:p w14:paraId="25BC4B3B" w14:textId="77777777" w:rsidR="00D001AB" w:rsidRPr="00F07699" w:rsidRDefault="00D001AB" w:rsidP="003B6F71">
            <w:pPr>
              <w:pStyle w:val="Tabletext"/>
              <w:rPr>
                <w:rFonts w:cs="Arial"/>
              </w:rPr>
            </w:pPr>
            <w:r w:rsidRPr="00F07699">
              <w:rPr>
                <w:rFonts w:cs="Arial"/>
              </w:rPr>
              <w:t>Privileges granted on an ongoing basis are regularly reviewed to confirm their ongoing need.</w:t>
            </w:r>
          </w:p>
          <w:p w14:paraId="439ED96B" w14:textId="77777777" w:rsidR="00D001AB" w:rsidRPr="00F07699" w:rsidRDefault="00D001AB" w:rsidP="003B6F71">
            <w:pPr>
              <w:pStyle w:val="Tabletext"/>
              <w:rPr>
                <w:rFonts w:cs="Arial"/>
              </w:rPr>
            </w:pPr>
          </w:p>
        </w:tc>
      </w:tr>
      <w:tr w:rsidR="00D001AB" w:rsidRPr="00F07699" w14:paraId="760699DA" w14:textId="77777777" w:rsidTr="00B96CC8">
        <w:trPr>
          <w:trHeight w:val="31"/>
        </w:trPr>
        <w:tc>
          <w:tcPr>
            <w:tcW w:w="148" w:type="pct"/>
            <w:vMerge/>
          </w:tcPr>
          <w:p w14:paraId="0558B930" w14:textId="77777777" w:rsidR="00D001AB" w:rsidRPr="00BC78CF" w:rsidRDefault="00D001AB" w:rsidP="003B6F71">
            <w:pPr>
              <w:pStyle w:val="Tabletext"/>
              <w:rPr>
                <w:color w:val="FF0000"/>
              </w:rPr>
            </w:pPr>
          </w:p>
        </w:tc>
        <w:tc>
          <w:tcPr>
            <w:tcW w:w="737" w:type="pct"/>
            <w:vMerge/>
          </w:tcPr>
          <w:p w14:paraId="37C50F20" w14:textId="77777777" w:rsidR="00D001AB" w:rsidRPr="00F07699" w:rsidRDefault="00D001AB" w:rsidP="003B6F71">
            <w:pPr>
              <w:pStyle w:val="Tabletext"/>
            </w:pPr>
          </w:p>
        </w:tc>
        <w:tc>
          <w:tcPr>
            <w:tcW w:w="164" w:type="pct"/>
          </w:tcPr>
          <w:p w14:paraId="1DE20A4E" w14:textId="77777777" w:rsidR="00D001AB" w:rsidRPr="00BC78CF" w:rsidRDefault="00D001AB" w:rsidP="003B6F71">
            <w:pPr>
              <w:pStyle w:val="Tabletext"/>
              <w:rPr>
                <w:color w:val="FF0000"/>
              </w:rPr>
            </w:pPr>
            <w:r w:rsidRPr="00BC78CF">
              <w:rPr>
                <w:color w:val="FF0000"/>
              </w:rPr>
              <w:t>(c)</w:t>
            </w:r>
          </w:p>
        </w:tc>
        <w:tc>
          <w:tcPr>
            <w:tcW w:w="1879" w:type="pct"/>
          </w:tcPr>
          <w:p w14:paraId="03B21759" w14:textId="77777777" w:rsidR="00D001AB" w:rsidRPr="00F07699" w:rsidRDefault="00D001AB" w:rsidP="003B6F71">
            <w:pPr>
              <w:pStyle w:val="Tabletext"/>
            </w:pPr>
            <w:r w:rsidRPr="00F07699">
              <w:t>Audit logging and monitoring</w:t>
            </w:r>
          </w:p>
        </w:tc>
        <w:tc>
          <w:tcPr>
            <w:tcW w:w="2072" w:type="pct"/>
          </w:tcPr>
          <w:p w14:paraId="62366FF8" w14:textId="77777777" w:rsidR="00D001AB" w:rsidRPr="00F07699" w:rsidRDefault="00D001AB" w:rsidP="003B6F71">
            <w:pPr>
              <w:pStyle w:val="Tabletext"/>
              <w:rPr>
                <w:rFonts w:cs="Arial"/>
              </w:rPr>
            </w:pPr>
            <w:r w:rsidRPr="00F07699">
              <w:rPr>
                <w:rFonts w:cs="Arial"/>
              </w:rPr>
              <w:t>Critical events are identified, logged and retained to help ensure traceability and accountability of actions. These logs are reviewed regularly to identify irregularities and deviations from expected processing.</w:t>
            </w:r>
          </w:p>
          <w:p w14:paraId="5D72779A" w14:textId="77777777" w:rsidR="00D001AB" w:rsidRPr="00F07699" w:rsidRDefault="00D001AB" w:rsidP="003B6F71">
            <w:pPr>
              <w:pStyle w:val="notemargin"/>
            </w:pPr>
            <w:r w:rsidRPr="00F07699">
              <w:t>Note:</w:t>
            </w:r>
            <w:r w:rsidRPr="00F07699">
              <w:tab/>
              <w:t>In relation to retention, see paragraph 9.3(2)(l) of these rules.</w:t>
            </w:r>
          </w:p>
          <w:p w14:paraId="0B63281D" w14:textId="77777777" w:rsidR="00D001AB" w:rsidRPr="00F07699" w:rsidRDefault="00D001AB" w:rsidP="003B6F71">
            <w:pPr>
              <w:pStyle w:val="Tabletext"/>
              <w:rPr>
                <w:rFonts w:cs="Arial"/>
                <w:i/>
              </w:rPr>
            </w:pPr>
          </w:p>
        </w:tc>
      </w:tr>
      <w:tr w:rsidR="00D001AB" w:rsidRPr="00F07699" w14:paraId="7AF7D9DA" w14:textId="77777777" w:rsidTr="00B96CC8">
        <w:trPr>
          <w:trHeight w:val="31"/>
        </w:trPr>
        <w:tc>
          <w:tcPr>
            <w:tcW w:w="148" w:type="pct"/>
            <w:vMerge/>
          </w:tcPr>
          <w:p w14:paraId="76493EAC" w14:textId="77777777" w:rsidR="00D001AB" w:rsidRPr="00BC78CF" w:rsidRDefault="00D001AB" w:rsidP="003B6F71">
            <w:pPr>
              <w:pStyle w:val="Tabletext"/>
              <w:rPr>
                <w:color w:val="FF0000"/>
              </w:rPr>
            </w:pPr>
          </w:p>
        </w:tc>
        <w:tc>
          <w:tcPr>
            <w:tcW w:w="737" w:type="pct"/>
            <w:vMerge/>
          </w:tcPr>
          <w:p w14:paraId="72F63DB3" w14:textId="77777777" w:rsidR="00D001AB" w:rsidRPr="00F07699" w:rsidRDefault="00D001AB" w:rsidP="003B6F71">
            <w:pPr>
              <w:pStyle w:val="Tabletext"/>
            </w:pPr>
          </w:p>
        </w:tc>
        <w:tc>
          <w:tcPr>
            <w:tcW w:w="164" w:type="pct"/>
          </w:tcPr>
          <w:p w14:paraId="6BA9E78C" w14:textId="77777777" w:rsidR="00D001AB" w:rsidRPr="00BC78CF" w:rsidRDefault="00D001AB" w:rsidP="003B6F71">
            <w:pPr>
              <w:pStyle w:val="Tabletext"/>
              <w:rPr>
                <w:color w:val="FF0000"/>
              </w:rPr>
            </w:pPr>
            <w:r w:rsidRPr="00BC78CF">
              <w:rPr>
                <w:color w:val="FF0000"/>
              </w:rPr>
              <w:t>(d)</w:t>
            </w:r>
          </w:p>
        </w:tc>
        <w:tc>
          <w:tcPr>
            <w:tcW w:w="1879" w:type="pct"/>
          </w:tcPr>
          <w:p w14:paraId="7024D8DF" w14:textId="77777777" w:rsidR="00D001AB" w:rsidRPr="00F07699" w:rsidRDefault="00D001AB" w:rsidP="003B6F71">
            <w:pPr>
              <w:pStyle w:val="Tabletext"/>
            </w:pPr>
            <w:r w:rsidRPr="00F07699">
              <w:t>Access security</w:t>
            </w:r>
          </w:p>
        </w:tc>
        <w:tc>
          <w:tcPr>
            <w:tcW w:w="2072" w:type="pct"/>
          </w:tcPr>
          <w:p w14:paraId="50A0DC52" w14:textId="77777777" w:rsidR="00D001AB" w:rsidRPr="00F07699" w:rsidRDefault="00D001AB" w:rsidP="003B6F71">
            <w:pPr>
              <w:pStyle w:val="Tabletext"/>
              <w:rPr>
                <w:rFonts w:cs="Arial"/>
              </w:rPr>
            </w:pPr>
            <w:r w:rsidRPr="00F07699">
              <w:rPr>
                <w:rFonts w:cs="Arial"/>
              </w:rPr>
              <w:t xml:space="preserve">Processes, including automatic processes, are implemented to limit unauthorised access to the CDR data environment. At the minimum these include: </w:t>
            </w:r>
          </w:p>
          <w:p w14:paraId="463112A0" w14:textId="77777777" w:rsidR="00D001AB" w:rsidRPr="00F07699" w:rsidRDefault="00D001AB" w:rsidP="003B6F71">
            <w:pPr>
              <w:pStyle w:val="Tablea"/>
            </w:pPr>
            <w:r w:rsidRPr="00F07699">
              <w:t>(a)</w:t>
            </w:r>
            <w:r w:rsidRPr="00F07699">
              <w:tab/>
              <w:t>provision and timely revocation for users who no longer need access; and</w:t>
            </w:r>
          </w:p>
          <w:p w14:paraId="63A45FFC" w14:textId="77777777" w:rsidR="00D001AB" w:rsidRPr="00F07699" w:rsidRDefault="00D001AB" w:rsidP="003B6F71">
            <w:pPr>
              <w:pStyle w:val="Tablea"/>
            </w:pPr>
            <w:r w:rsidRPr="00F07699">
              <w:t>(b)</w:t>
            </w:r>
            <w:r w:rsidRPr="00F07699">
              <w:tab/>
              <w:t>monitoring and review of the appropriateness of user access privileges on at least a quarterly basis.</w:t>
            </w:r>
          </w:p>
          <w:p w14:paraId="34033AE9" w14:textId="77777777" w:rsidR="00D001AB" w:rsidRPr="00F07699" w:rsidRDefault="00D001AB" w:rsidP="003B6F71">
            <w:pPr>
              <w:pStyle w:val="Tablea"/>
            </w:pPr>
          </w:p>
        </w:tc>
      </w:tr>
      <w:tr w:rsidR="00D001AB" w:rsidRPr="00F07699" w14:paraId="7F9CC906" w14:textId="77777777" w:rsidTr="00B96CC8">
        <w:trPr>
          <w:trHeight w:val="31"/>
        </w:trPr>
        <w:tc>
          <w:tcPr>
            <w:tcW w:w="148" w:type="pct"/>
            <w:vMerge/>
          </w:tcPr>
          <w:p w14:paraId="116D7EE7" w14:textId="77777777" w:rsidR="00D001AB" w:rsidRPr="00BC78CF" w:rsidRDefault="00D001AB" w:rsidP="003B6F71">
            <w:pPr>
              <w:pStyle w:val="Tabletext"/>
              <w:rPr>
                <w:color w:val="FF0000"/>
              </w:rPr>
            </w:pPr>
          </w:p>
        </w:tc>
        <w:tc>
          <w:tcPr>
            <w:tcW w:w="737" w:type="pct"/>
            <w:vMerge/>
          </w:tcPr>
          <w:p w14:paraId="30AA1D64" w14:textId="77777777" w:rsidR="00D001AB" w:rsidRPr="00F07699" w:rsidRDefault="00D001AB" w:rsidP="003B6F71">
            <w:pPr>
              <w:pStyle w:val="Tabletext"/>
            </w:pPr>
          </w:p>
        </w:tc>
        <w:tc>
          <w:tcPr>
            <w:tcW w:w="164" w:type="pct"/>
          </w:tcPr>
          <w:p w14:paraId="09364505" w14:textId="77777777" w:rsidR="00D001AB" w:rsidRPr="00BC78CF" w:rsidRDefault="00D001AB" w:rsidP="003B6F71">
            <w:pPr>
              <w:pStyle w:val="Tabletext"/>
              <w:rPr>
                <w:color w:val="FF0000"/>
              </w:rPr>
            </w:pPr>
            <w:r w:rsidRPr="00BC78CF">
              <w:rPr>
                <w:color w:val="FF0000"/>
              </w:rPr>
              <w:t>(e)</w:t>
            </w:r>
          </w:p>
        </w:tc>
        <w:tc>
          <w:tcPr>
            <w:tcW w:w="1879" w:type="pct"/>
          </w:tcPr>
          <w:p w14:paraId="0202936F" w14:textId="77777777" w:rsidR="00D001AB" w:rsidRPr="00F07699" w:rsidRDefault="00D001AB" w:rsidP="003B6F71">
            <w:pPr>
              <w:pStyle w:val="Tabletext"/>
            </w:pPr>
            <w:r w:rsidRPr="00F07699">
              <w:t xml:space="preserve">Limit physical access </w:t>
            </w:r>
          </w:p>
        </w:tc>
        <w:tc>
          <w:tcPr>
            <w:tcW w:w="2072" w:type="pct"/>
          </w:tcPr>
          <w:p w14:paraId="37DEA8CC" w14:textId="77777777" w:rsidR="00D001AB" w:rsidRPr="00F07699" w:rsidRDefault="00D001AB" w:rsidP="003B6F71">
            <w:pPr>
              <w:pStyle w:val="Tabletext"/>
              <w:rPr>
                <w:rFonts w:cs="Arial"/>
              </w:rPr>
            </w:pPr>
            <w:r w:rsidRPr="00F07699">
              <w:rPr>
                <w:rFonts w:cs="Arial"/>
              </w:rPr>
              <w:t>Physical access to facilities where CDR data is stored, hosted or accessed (including server rooms, communications rooms, and premises of business operation) is restricted to authorised individuals.</w:t>
            </w:r>
          </w:p>
          <w:p w14:paraId="73FE58AD" w14:textId="77777777" w:rsidR="00D001AB" w:rsidRPr="00F07699" w:rsidRDefault="00D001AB" w:rsidP="003B6F71">
            <w:pPr>
              <w:pStyle w:val="Tabletext"/>
              <w:rPr>
                <w:rFonts w:cs="Arial"/>
              </w:rPr>
            </w:pPr>
          </w:p>
        </w:tc>
      </w:tr>
      <w:tr w:rsidR="00D001AB" w:rsidRPr="00F07699" w14:paraId="72925C5D" w14:textId="77777777" w:rsidTr="00B96CC8">
        <w:trPr>
          <w:trHeight w:val="31"/>
        </w:trPr>
        <w:tc>
          <w:tcPr>
            <w:tcW w:w="148" w:type="pct"/>
            <w:vMerge/>
          </w:tcPr>
          <w:p w14:paraId="3CD8E5D6" w14:textId="77777777" w:rsidR="00D001AB" w:rsidRPr="00BC78CF" w:rsidRDefault="00D001AB" w:rsidP="003B6F71">
            <w:pPr>
              <w:pStyle w:val="Tabletext"/>
              <w:rPr>
                <w:color w:val="FF0000"/>
              </w:rPr>
            </w:pPr>
          </w:p>
        </w:tc>
        <w:tc>
          <w:tcPr>
            <w:tcW w:w="737" w:type="pct"/>
            <w:vMerge/>
          </w:tcPr>
          <w:p w14:paraId="67F629EB" w14:textId="77777777" w:rsidR="00D001AB" w:rsidRPr="00F07699" w:rsidRDefault="00D001AB" w:rsidP="003B6F71">
            <w:pPr>
              <w:pStyle w:val="Tabletext"/>
            </w:pPr>
          </w:p>
        </w:tc>
        <w:tc>
          <w:tcPr>
            <w:tcW w:w="164" w:type="pct"/>
          </w:tcPr>
          <w:p w14:paraId="69B2FAC7" w14:textId="77777777" w:rsidR="00D001AB" w:rsidRPr="00BC78CF" w:rsidRDefault="00D001AB" w:rsidP="003B6F71">
            <w:pPr>
              <w:pStyle w:val="Tabletext"/>
              <w:rPr>
                <w:color w:val="FF0000"/>
              </w:rPr>
            </w:pPr>
            <w:r w:rsidRPr="00BC78CF">
              <w:rPr>
                <w:color w:val="FF0000"/>
              </w:rPr>
              <w:t>(f)</w:t>
            </w:r>
          </w:p>
        </w:tc>
        <w:tc>
          <w:tcPr>
            <w:tcW w:w="1879" w:type="pct"/>
          </w:tcPr>
          <w:p w14:paraId="124B9F67" w14:textId="77777777" w:rsidR="00D001AB" w:rsidRPr="00F07699" w:rsidRDefault="00D001AB" w:rsidP="003B6F71">
            <w:pPr>
              <w:pStyle w:val="Tabletext"/>
            </w:pPr>
            <w:r w:rsidRPr="00F07699">
              <w:t>Role based access</w:t>
            </w:r>
          </w:p>
        </w:tc>
        <w:tc>
          <w:tcPr>
            <w:tcW w:w="2072" w:type="pct"/>
          </w:tcPr>
          <w:p w14:paraId="7A2EF699" w14:textId="77777777" w:rsidR="00D001AB" w:rsidRPr="00F07699" w:rsidRDefault="00D001AB" w:rsidP="003B6F71">
            <w:pPr>
              <w:pStyle w:val="Tabletext"/>
              <w:rPr>
                <w:rFonts w:cs="Arial"/>
              </w:rPr>
            </w:pPr>
            <w:r w:rsidRPr="00F07699">
              <w:rPr>
                <w:rFonts w:cs="Arial"/>
              </w:rPr>
              <w:t>Role</w:t>
            </w:r>
            <w:r w:rsidRPr="00F07699">
              <w:rPr>
                <w:rFonts w:cs="Arial"/>
              </w:rPr>
              <w:noBreakHyphen/>
              <w:t>based access is implemented to limit user access rights to only that necessary for personnel to perform their assigned responsibilities. Role</w:t>
            </w:r>
            <w:r w:rsidRPr="00F07699">
              <w:rPr>
                <w:rFonts w:cs="Arial"/>
              </w:rPr>
              <w:noBreakHyphen/>
              <w:t>based access is assigned in accordance with the principle of least necessary privileges and segregation of duties.</w:t>
            </w:r>
          </w:p>
          <w:p w14:paraId="76B75705" w14:textId="77777777" w:rsidR="00D001AB" w:rsidRPr="00F07699" w:rsidRDefault="00D001AB" w:rsidP="003B6F71">
            <w:pPr>
              <w:pStyle w:val="Tabletext"/>
              <w:rPr>
                <w:rFonts w:cs="Arial"/>
              </w:rPr>
            </w:pPr>
          </w:p>
        </w:tc>
      </w:tr>
      <w:tr w:rsidR="00D001AB" w:rsidRPr="00F07699" w14:paraId="7DB212E9" w14:textId="77777777" w:rsidTr="00B96CC8">
        <w:trPr>
          <w:trHeight w:val="31"/>
        </w:trPr>
        <w:tc>
          <w:tcPr>
            <w:tcW w:w="148" w:type="pct"/>
            <w:vMerge/>
          </w:tcPr>
          <w:p w14:paraId="73EE5E3C" w14:textId="77777777" w:rsidR="00D001AB" w:rsidRPr="00BC78CF" w:rsidRDefault="00D001AB" w:rsidP="003B6F71">
            <w:pPr>
              <w:pStyle w:val="Tabletext"/>
              <w:rPr>
                <w:color w:val="FF0000"/>
              </w:rPr>
            </w:pPr>
          </w:p>
        </w:tc>
        <w:tc>
          <w:tcPr>
            <w:tcW w:w="737" w:type="pct"/>
            <w:vMerge/>
          </w:tcPr>
          <w:p w14:paraId="1AA206C8" w14:textId="77777777" w:rsidR="00D001AB" w:rsidRPr="00F07699" w:rsidRDefault="00D001AB" w:rsidP="003B6F71">
            <w:pPr>
              <w:pStyle w:val="Tabletext"/>
            </w:pPr>
          </w:p>
        </w:tc>
        <w:tc>
          <w:tcPr>
            <w:tcW w:w="164" w:type="pct"/>
          </w:tcPr>
          <w:p w14:paraId="54EAD82F" w14:textId="77777777" w:rsidR="00D001AB" w:rsidRPr="00BC78CF" w:rsidRDefault="00D001AB" w:rsidP="003B6F71">
            <w:pPr>
              <w:pStyle w:val="Tabletext"/>
              <w:rPr>
                <w:color w:val="FF0000"/>
              </w:rPr>
            </w:pPr>
            <w:r w:rsidRPr="00BC78CF">
              <w:rPr>
                <w:color w:val="FF0000"/>
              </w:rPr>
              <w:t>(g)</w:t>
            </w:r>
          </w:p>
        </w:tc>
        <w:tc>
          <w:tcPr>
            <w:tcW w:w="1879" w:type="pct"/>
          </w:tcPr>
          <w:p w14:paraId="50745F63" w14:textId="77777777" w:rsidR="00D001AB" w:rsidRPr="00F07699" w:rsidRDefault="00D001AB" w:rsidP="003B6F71">
            <w:pPr>
              <w:pStyle w:val="Tabletext"/>
            </w:pPr>
            <w:r w:rsidRPr="00F07699">
              <w:t>Unique IDs</w:t>
            </w:r>
          </w:p>
        </w:tc>
        <w:tc>
          <w:tcPr>
            <w:tcW w:w="2072" w:type="pct"/>
          </w:tcPr>
          <w:p w14:paraId="1B7C2A6A" w14:textId="77777777" w:rsidR="00D001AB" w:rsidRPr="00F07699" w:rsidRDefault="00D001AB" w:rsidP="003B6F71">
            <w:pPr>
              <w:pStyle w:val="Tabletext"/>
              <w:rPr>
                <w:rFonts w:cs="Arial"/>
              </w:rPr>
            </w:pPr>
            <w:r w:rsidRPr="00F07699">
              <w:rPr>
                <w:rFonts w:cs="Arial"/>
              </w:rPr>
              <w:t>Use of generic, shared and/or default accounts is restricted to those necessary to run a service or a system. Where generic, shared and/or default accounts are used, actions performed using these accounts are monitored and logs are retained.</w:t>
            </w:r>
          </w:p>
          <w:p w14:paraId="0573E8FF" w14:textId="77777777" w:rsidR="00D001AB" w:rsidRPr="00F07699" w:rsidRDefault="00D001AB" w:rsidP="003B6F71">
            <w:pPr>
              <w:pStyle w:val="notemargin"/>
            </w:pPr>
            <w:r w:rsidRPr="00F07699">
              <w:t>Note:</w:t>
            </w:r>
            <w:r w:rsidRPr="00F07699">
              <w:tab/>
              <w:t>In relation to retention, see paragraph 9.3(2)(l) of these rules.</w:t>
            </w:r>
          </w:p>
          <w:p w14:paraId="4ABE32DD" w14:textId="77777777" w:rsidR="00D001AB" w:rsidRPr="00F07699" w:rsidRDefault="00D001AB" w:rsidP="003B6F71">
            <w:pPr>
              <w:pStyle w:val="Tabletext"/>
              <w:rPr>
                <w:rFonts w:cs="Arial"/>
              </w:rPr>
            </w:pPr>
          </w:p>
        </w:tc>
      </w:tr>
      <w:tr w:rsidR="00D001AB" w:rsidRPr="00F07699" w14:paraId="03564763" w14:textId="77777777" w:rsidTr="00B96CC8">
        <w:trPr>
          <w:trHeight w:val="31"/>
        </w:trPr>
        <w:tc>
          <w:tcPr>
            <w:tcW w:w="148" w:type="pct"/>
            <w:vMerge/>
          </w:tcPr>
          <w:p w14:paraId="338C718D" w14:textId="77777777" w:rsidR="00D001AB" w:rsidRPr="00BC78CF" w:rsidRDefault="00D001AB" w:rsidP="003B6F71">
            <w:pPr>
              <w:pStyle w:val="Tabletext"/>
              <w:rPr>
                <w:color w:val="FF0000"/>
              </w:rPr>
            </w:pPr>
          </w:p>
        </w:tc>
        <w:tc>
          <w:tcPr>
            <w:tcW w:w="737" w:type="pct"/>
            <w:vMerge/>
          </w:tcPr>
          <w:p w14:paraId="2DED0045" w14:textId="77777777" w:rsidR="00D001AB" w:rsidRPr="00F07699" w:rsidRDefault="00D001AB" w:rsidP="003B6F71">
            <w:pPr>
              <w:pStyle w:val="Tabletext"/>
            </w:pPr>
          </w:p>
        </w:tc>
        <w:tc>
          <w:tcPr>
            <w:tcW w:w="164" w:type="pct"/>
          </w:tcPr>
          <w:p w14:paraId="78302CEE" w14:textId="77777777" w:rsidR="00D001AB" w:rsidRPr="00BC78CF" w:rsidRDefault="00D001AB" w:rsidP="003B6F71">
            <w:pPr>
              <w:pStyle w:val="Tabletext"/>
              <w:rPr>
                <w:color w:val="FF0000"/>
              </w:rPr>
            </w:pPr>
            <w:r w:rsidRPr="00BC78CF">
              <w:rPr>
                <w:color w:val="FF0000"/>
              </w:rPr>
              <w:t>(h)</w:t>
            </w:r>
          </w:p>
        </w:tc>
        <w:tc>
          <w:tcPr>
            <w:tcW w:w="1879" w:type="pct"/>
          </w:tcPr>
          <w:p w14:paraId="6B38ACCE" w14:textId="77777777" w:rsidR="00D001AB" w:rsidRPr="00F07699" w:rsidRDefault="00D001AB" w:rsidP="003B6F71">
            <w:pPr>
              <w:pStyle w:val="Tabletext"/>
            </w:pPr>
            <w:r w:rsidRPr="00F07699">
              <w:t>Password authentication</w:t>
            </w:r>
          </w:p>
        </w:tc>
        <w:tc>
          <w:tcPr>
            <w:tcW w:w="2072" w:type="pct"/>
          </w:tcPr>
          <w:p w14:paraId="784A4EE6" w14:textId="77777777" w:rsidR="00D001AB" w:rsidRPr="00F07699" w:rsidRDefault="00D001AB" w:rsidP="003B6F71">
            <w:pPr>
              <w:pStyle w:val="Tabletext"/>
              <w:rPr>
                <w:rFonts w:cs="Arial"/>
              </w:rPr>
            </w:pPr>
            <w:r w:rsidRPr="00F07699">
              <w:rPr>
                <w:rFonts w:cs="Arial"/>
              </w:rPr>
              <w:t>Strong authentication mechanisms are enforced prior to allowing users to access systems within the CDR data environment, including, but not limited to, general security requirements relating to password complexity, account lockout, password history, and password ageing.</w:t>
            </w:r>
          </w:p>
          <w:p w14:paraId="55C1B554" w14:textId="77777777" w:rsidR="00D001AB" w:rsidRPr="00F07699" w:rsidRDefault="00D001AB" w:rsidP="003B6F71">
            <w:pPr>
              <w:pStyle w:val="Tabletext"/>
              <w:rPr>
                <w:rFonts w:cs="Arial"/>
              </w:rPr>
            </w:pPr>
          </w:p>
        </w:tc>
      </w:tr>
      <w:tr w:rsidR="00D001AB" w:rsidRPr="00F07699" w14:paraId="1C045028" w14:textId="77777777" w:rsidTr="00B96CC8">
        <w:trPr>
          <w:trHeight w:val="31"/>
        </w:trPr>
        <w:tc>
          <w:tcPr>
            <w:tcW w:w="148" w:type="pct"/>
            <w:vMerge/>
          </w:tcPr>
          <w:p w14:paraId="1FFD5BB6" w14:textId="77777777" w:rsidR="00D001AB" w:rsidRPr="00BC78CF" w:rsidRDefault="00D001AB" w:rsidP="003B6F71">
            <w:pPr>
              <w:pStyle w:val="Tabletext"/>
              <w:rPr>
                <w:color w:val="FF0000"/>
              </w:rPr>
            </w:pPr>
          </w:p>
        </w:tc>
        <w:tc>
          <w:tcPr>
            <w:tcW w:w="737" w:type="pct"/>
            <w:vMerge/>
          </w:tcPr>
          <w:p w14:paraId="55B4182D" w14:textId="77777777" w:rsidR="00D001AB" w:rsidRPr="00F07699" w:rsidRDefault="00D001AB" w:rsidP="003B6F71">
            <w:pPr>
              <w:pStyle w:val="Tabletext"/>
            </w:pPr>
          </w:p>
        </w:tc>
        <w:tc>
          <w:tcPr>
            <w:tcW w:w="164" w:type="pct"/>
          </w:tcPr>
          <w:p w14:paraId="791065FD" w14:textId="77777777" w:rsidR="00D001AB" w:rsidRPr="00BC78CF" w:rsidRDefault="00D001AB" w:rsidP="003B6F71">
            <w:pPr>
              <w:pStyle w:val="Tabletext"/>
              <w:rPr>
                <w:color w:val="FF0000"/>
              </w:rPr>
            </w:pPr>
            <w:r w:rsidRPr="00BC78CF">
              <w:rPr>
                <w:color w:val="FF0000"/>
              </w:rPr>
              <w:t>(i)</w:t>
            </w:r>
          </w:p>
        </w:tc>
        <w:tc>
          <w:tcPr>
            <w:tcW w:w="1879" w:type="pct"/>
          </w:tcPr>
          <w:p w14:paraId="05258D7B" w14:textId="77777777" w:rsidR="00D001AB" w:rsidRPr="00F07699" w:rsidRDefault="00D001AB" w:rsidP="003B6F71">
            <w:pPr>
              <w:pStyle w:val="Tabletext"/>
            </w:pPr>
            <w:r w:rsidRPr="00F07699">
              <w:t>Encryption in transit</w:t>
            </w:r>
          </w:p>
        </w:tc>
        <w:tc>
          <w:tcPr>
            <w:tcW w:w="2072" w:type="pct"/>
          </w:tcPr>
          <w:p w14:paraId="0CB150D3" w14:textId="77777777" w:rsidR="00D001AB" w:rsidRPr="00F07699" w:rsidRDefault="00D001AB" w:rsidP="003B6F71">
            <w:pPr>
              <w:pStyle w:val="Tabletext"/>
            </w:pPr>
            <w:r w:rsidRPr="00F07699">
              <w:t>Implement robust network security controls to help protect data in transit, including: encrypting data in transit and authenticating access to data in accordance with the data standards (if any) and industry best practice, implementing processes to audit data access and use, and implementing processes to verify the identity of communications.</w:t>
            </w:r>
          </w:p>
          <w:p w14:paraId="0976576B" w14:textId="77777777" w:rsidR="00D001AB" w:rsidRPr="00F07699" w:rsidRDefault="00D001AB" w:rsidP="003B6F71">
            <w:pPr>
              <w:pStyle w:val="Tabletext"/>
              <w:tabs>
                <w:tab w:val="left" w:pos="1905"/>
              </w:tabs>
            </w:pPr>
            <w:r w:rsidRPr="00F07699">
              <w:tab/>
            </w:r>
          </w:p>
        </w:tc>
      </w:tr>
      <w:tr w:rsidR="00D001AB" w:rsidRPr="00F07699" w14:paraId="00F9E1B7" w14:textId="77777777" w:rsidTr="00B96CC8">
        <w:trPr>
          <w:trHeight w:val="64"/>
        </w:trPr>
        <w:tc>
          <w:tcPr>
            <w:tcW w:w="148" w:type="pct"/>
            <w:vMerge w:val="restart"/>
          </w:tcPr>
          <w:p w14:paraId="6C83CF6B" w14:textId="77777777" w:rsidR="00D001AB" w:rsidRPr="00BC78CF" w:rsidRDefault="00D001AB" w:rsidP="003B6F71">
            <w:pPr>
              <w:pStyle w:val="Tabletext"/>
              <w:rPr>
                <w:color w:val="FF0000"/>
              </w:rPr>
            </w:pPr>
            <w:r w:rsidRPr="00BC78CF">
              <w:rPr>
                <w:color w:val="FF0000"/>
              </w:rPr>
              <w:t>(2)</w:t>
            </w:r>
          </w:p>
        </w:tc>
        <w:tc>
          <w:tcPr>
            <w:tcW w:w="737" w:type="pct"/>
            <w:vMerge w:val="restart"/>
          </w:tcPr>
          <w:p w14:paraId="17B92140" w14:textId="77777777" w:rsidR="00D001AB" w:rsidRPr="00F07699" w:rsidRDefault="00D001AB" w:rsidP="003B6F71">
            <w:pPr>
              <w:pStyle w:val="Tabletext"/>
              <w:rPr>
                <w:rFonts w:cs="Arial"/>
              </w:rPr>
            </w:pPr>
            <w:r w:rsidRPr="00F07699">
              <w:rPr>
                <w:rFonts w:cs="Arial"/>
              </w:rPr>
              <w:t>An accredited data recipient of CDR data must take steps to secure their network and systems within the CDR data environment.</w:t>
            </w:r>
          </w:p>
        </w:tc>
        <w:tc>
          <w:tcPr>
            <w:tcW w:w="164" w:type="pct"/>
          </w:tcPr>
          <w:p w14:paraId="343D64F3" w14:textId="77777777" w:rsidR="00D001AB" w:rsidRPr="00BC78CF" w:rsidRDefault="00D001AB" w:rsidP="003B6F71">
            <w:pPr>
              <w:pStyle w:val="Tabletext"/>
              <w:rPr>
                <w:color w:val="FF0000"/>
              </w:rPr>
            </w:pPr>
            <w:r w:rsidRPr="00BC78CF">
              <w:rPr>
                <w:color w:val="FF0000"/>
              </w:rPr>
              <w:t>(a)</w:t>
            </w:r>
          </w:p>
        </w:tc>
        <w:tc>
          <w:tcPr>
            <w:tcW w:w="1879" w:type="pct"/>
          </w:tcPr>
          <w:p w14:paraId="325689CE" w14:textId="77777777" w:rsidR="00D001AB" w:rsidRPr="00F07699" w:rsidRDefault="00D001AB" w:rsidP="003B6F71">
            <w:pPr>
              <w:pStyle w:val="Tabletext"/>
            </w:pPr>
            <w:r w:rsidRPr="00F07699">
              <w:t>Encryption</w:t>
            </w:r>
          </w:p>
        </w:tc>
        <w:tc>
          <w:tcPr>
            <w:tcW w:w="2072" w:type="pct"/>
          </w:tcPr>
          <w:p w14:paraId="3CF18146" w14:textId="77777777" w:rsidR="00D001AB" w:rsidRPr="00F07699" w:rsidRDefault="00D001AB" w:rsidP="003B6F71">
            <w:pPr>
              <w:pStyle w:val="Tabletext"/>
              <w:rPr>
                <w:rFonts w:cs="Arial"/>
              </w:rPr>
            </w:pPr>
            <w:r w:rsidRPr="00F07699">
              <w:rPr>
                <w:rFonts w:cs="Arial"/>
              </w:rPr>
              <w:t xml:space="preserve">Encryption methods are utilised to secure CDR data at rest by encrypting file systems, end-user devices, portable storage media and backup media. Cryptographic keys are securely stored, backed-up and retained. </w:t>
            </w:r>
          </w:p>
          <w:p w14:paraId="17F92151" w14:textId="77777777" w:rsidR="00D001AB" w:rsidRPr="00F07699" w:rsidRDefault="00D001AB" w:rsidP="003B6F71">
            <w:pPr>
              <w:pStyle w:val="Tabletext"/>
              <w:rPr>
                <w:rFonts w:cs="Arial"/>
              </w:rPr>
            </w:pPr>
            <w:r w:rsidRPr="00F07699">
              <w:rPr>
                <w:rFonts w:cs="Arial"/>
              </w:rPr>
              <w:t>Appropriate user authentication controls (consistent with control requirement 1) are in place for access to encryption solutions and cryptographic keys.</w:t>
            </w:r>
          </w:p>
          <w:p w14:paraId="4B7FCD75" w14:textId="77777777" w:rsidR="00D001AB" w:rsidRPr="00F07699" w:rsidRDefault="00D001AB" w:rsidP="003B6F71">
            <w:pPr>
              <w:pStyle w:val="Tabletext"/>
              <w:rPr>
                <w:rFonts w:cs="Arial"/>
              </w:rPr>
            </w:pPr>
          </w:p>
        </w:tc>
      </w:tr>
      <w:tr w:rsidR="00D001AB" w:rsidRPr="00F07699" w14:paraId="3F039E22" w14:textId="77777777" w:rsidTr="00B96CC8">
        <w:trPr>
          <w:trHeight w:val="62"/>
        </w:trPr>
        <w:tc>
          <w:tcPr>
            <w:tcW w:w="148" w:type="pct"/>
            <w:vMerge/>
          </w:tcPr>
          <w:p w14:paraId="0D54E5A7" w14:textId="77777777" w:rsidR="00D001AB" w:rsidRPr="00BC78CF" w:rsidRDefault="00D001AB" w:rsidP="003B6F71">
            <w:pPr>
              <w:pStyle w:val="Tabletext"/>
              <w:rPr>
                <w:color w:val="FF0000"/>
              </w:rPr>
            </w:pPr>
          </w:p>
        </w:tc>
        <w:tc>
          <w:tcPr>
            <w:tcW w:w="737" w:type="pct"/>
            <w:vMerge/>
          </w:tcPr>
          <w:p w14:paraId="0CFAE5AE" w14:textId="77777777" w:rsidR="00D001AB" w:rsidRPr="00F07699" w:rsidRDefault="00D001AB" w:rsidP="003B6F71">
            <w:pPr>
              <w:pStyle w:val="Tabletext"/>
            </w:pPr>
          </w:p>
        </w:tc>
        <w:tc>
          <w:tcPr>
            <w:tcW w:w="164" w:type="pct"/>
          </w:tcPr>
          <w:p w14:paraId="1049F10F" w14:textId="77777777" w:rsidR="00D001AB" w:rsidRPr="00BC78CF" w:rsidRDefault="00D001AB" w:rsidP="003B6F71">
            <w:pPr>
              <w:pStyle w:val="Tabletext"/>
              <w:rPr>
                <w:rFonts w:cs="Arial"/>
                <w:color w:val="FF0000"/>
              </w:rPr>
            </w:pPr>
            <w:r w:rsidRPr="00BC78CF">
              <w:rPr>
                <w:color w:val="FF0000"/>
              </w:rPr>
              <w:t>(b)</w:t>
            </w:r>
          </w:p>
        </w:tc>
        <w:tc>
          <w:tcPr>
            <w:tcW w:w="1879" w:type="pct"/>
          </w:tcPr>
          <w:p w14:paraId="7FB1880D" w14:textId="77777777" w:rsidR="00D001AB" w:rsidRPr="00F07699" w:rsidRDefault="00D001AB" w:rsidP="003B6F71">
            <w:pPr>
              <w:pStyle w:val="Tabletext"/>
              <w:rPr>
                <w:rFonts w:cs="Arial"/>
              </w:rPr>
            </w:pPr>
            <w:r w:rsidRPr="00F07699">
              <w:rPr>
                <w:rFonts w:cs="Arial"/>
              </w:rPr>
              <w:t>Firewalls</w:t>
            </w:r>
          </w:p>
        </w:tc>
        <w:tc>
          <w:tcPr>
            <w:tcW w:w="2072" w:type="pct"/>
          </w:tcPr>
          <w:p w14:paraId="58BD5ABD" w14:textId="77777777" w:rsidR="00D001AB" w:rsidRPr="00F07699" w:rsidRDefault="00D001AB" w:rsidP="003B6F71">
            <w:pPr>
              <w:pStyle w:val="Tabletext"/>
              <w:rPr>
                <w:rFonts w:cs="Arial"/>
              </w:rPr>
            </w:pPr>
            <w:r w:rsidRPr="00F07699">
              <w:rPr>
                <w:rFonts w:cs="Arial"/>
              </w:rPr>
              <w:t xml:space="preserve">Firewalls are used to limit traffic from untrusted sources. This could be achieved by implementing a combination of strategies including, but not limited to: </w:t>
            </w:r>
          </w:p>
          <w:p w14:paraId="734ED834" w14:textId="77777777" w:rsidR="00D001AB" w:rsidRPr="00F07699" w:rsidRDefault="00D001AB" w:rsidP="003B6F71">
            <w:pPr>
              <w:pStyle w:val="Tablea"/>
            </w:pPr>
            <w:r w:rsidRPr="00F07699">
              <w:rPr>
                <w:rFonts w:cs="Arial"/>
              </w:rPr>
              <w:t>(</w:t>
            </w:r>
            <w:r w:rsidRPr="00F07699">
              <w:t>a)</w:t>
            </w:r>
            <w:r w:rsidRPr="00F07699">
              <w:tab/>
              <w:t>restricting all access from untrusted networks; and</w:t>
            </w:r>
          </w:p>
          <w:p w14:paraId="32C93109" w14:textId="77777777" w:rsidR="00D001AB" w:rsidRPr="00F07699" w:rsidRDefault="00D001AB" w:rsidP="003B6F71">
            <w:pPr>
              <w:pStyle w:val="Tablea"/>
            </w:pPr>
            <w:r w:rsidRPr="00F07699">
              <w:t>(b)</w:t>
            </w:r>
            <w:r w:rsidRPr="00F07699">
              <w:tab/>
              <w:t>denying all traffic aside from necessary protocols; and</w:t>
            </w:r>
          </w:p>
          <w:p w14:paraId="6B6B00B5" w14:textId="77777777" w:rsidR="00D001AB" w:rsidRPr="00F07699" w:rsidRDefault="00D001AB" w:rsidP="003B6F71">
            <w:pPr>
              <w:pStyle w:val="Tablea"/>
            </w:pPr>
            <w:r w:rsidRPr="00F07699">
              <w:t>(c)</w:t>
            </w:r>
            <w:r w:rsidRPr="00F07699">
              <w:tab/>
              <w:t>restricting access to configuring firewalls, and review configurations on a regular basis.</w:t>
            </w:r>
          </w:p>
          <w:p w14:paraId="030702D0" w14:textId="77777777" w:rsidR="00D001AB" w:rsidRPr="00F07699" w:rsidRDefault="00D001AB" w:rsidP="003B6F71">
            <w:pPr>
              <w:pStyle w:val="nDrafterComment"/>
              <w:rPr>
                <w:rFonts w:cs="Arial"/>
                <w:color w:val="auto"/>
              </w:rPr>
            </w:pPr>
          </w:p>
        </w:tc>
      </w:tr>
      <w:tr w:rsidR="00D001AB" w:rsidRPr="00F07699" w14:paraId="0341FC47" w14:textId="77777777" w:rsidTr="00B96CC8">
        <w:trPr>
          <w:trHeight w:val="62"/>
        </w:trPr>
        <w:tc>
          <w:tcPr>
            <w:tcW w:w="148" w:type="pct"/>
            <w:vMerge/>
          </w:tcPr>
          <w:p w14:paraId="08D65D84" w14:textId="77777777" w:rsidR="00D001AB" w:rsidRPr="00BC78CF" w:rsidRDefault="00D001AB" w:rsidP="003B6F71">
            <w:pPr>
              <w:pStyle w:val="Tabletext"/>
              <w:rPr>
                <w:color w:val="FF0000"/>
              </w:rPr>
            </w:pPr>
          </w:p>
        </w:tc>
        <w:tc>
          <w:tcPr>
            <w:tcW w:w="737" w:type="pct"/>
            <w:vMerge/>
          </w:tcPr>
          <w:p w14:paraId="22CE4F4C" w14:textId="77777777" w:rsidR="00D001AB" w:rsidRPr="00F07699" w:rsidRDefault="00D001AB" w:rsidP="003B6F71">
            <w:pPr>
              <w:pStyle w:val="Tabletext"/>
            </w:pPr>
          </w:p>
        </w:tc>
        <w:tc>
          <w:tcPr>
            <w:tcW w:w="164" w:type="pct"/>
          </w:tcPr>
          <w:p w14:paraId="5FC4CEE1" w14:textId="77777777" w:rsidR="00D001AB" w:rsidRPr="00BC78CF" w:rsidRDefault="00D001AB" w:rsidP="003B6F71">
            <w:pPr>
              <w:pStyle w:val="Tabletext"/>
              <w:rPr>
                <w:rFonts w:cs="Arial"/>
                <w:color w:val="FF0000"/>
              </w:rPr>
            </w:pPr>
            <w:r w:rsidRPr="00BC78CF">
              <w:rPr>
                <w:color w:val="FF0000"/>
              </w:rPr>
              <w:t>(c)</w:t>
            </w:r>
          </w:p>
        </w:tc>
        <w:tc>
          <w:tcPr>
            <w:tcW w:w="1879" w:type="pct"/>
          </w:tcPr>
          <w:p w14:paraId="1C417764" w14:textId="77777777" w:rsidR="00D001AB" w:rsidRPr="00F07699" w:rsidRDefault="00D001AB" w:rsidP="003B6F71">
            <w:pPr>
              <w:pStyle w:val="Tabletext"/>
              <w:rPr>
                <w:rFonts w:cs="Arial"/>
              </w:rPr>
            </w:pPr>
            <w:r w:rsidRPr="00F07699">
              <w:rPr>
                <w:rFonts w:cs="Arial"/>
              </w:rPr>
              <w:t>Server hardening</w:t>
            </w:r>
          </w:p>
        </w:tc>
        <w:tc>
          <w:tcPr>
            <w:tcW w:w="2072" w:type="pct"/>
          </w:tcPr>
          <w:p w14:paraId="168DEF27" w14:textId="77777777" w:rsidR="00D001AB" w:rsidRPr="00F07699" w:rsidRDefault="00D001AB" w:rsidP="003B6F71">
            <w:pPr>
              <w:pStyle w:val="Tabletext"/>
              <w:rPr>
                <w:rFonts w:cs="Arial"/>
              </w:rPr>
            </w:pPr>
            <w:r w:rsidRPr="00F07699">
              <w:rPr>
                <w:rFonts w:cs="Arial"/>
              </w:rPr>
              <w:t>Processes are in place to harden servers running applications, databases and operating systems in accordance with accepted industry standards.</w:t>
            </w:r>
          </w:p>
          <w:p w14:paraId="5E1C6B01" w14:textId="77777777" w:rsidR="00D001AB" w:rsidRPr="00F07699" w:rsidRDefault="00D001AB" w:rsidP="003B6F71">
            <w:pPr>
              <w:pStyle w:val="Tabletext"/>
              <w:rPr>
                <w:rFonts w:cs="Arial"/>
              </w:rPr>
            </w:pPr>
          </w:p>
        </w:tc>
      </w:tr>
      <w:tr w:rsidR="00D001AB" w:rsidRPr="00F07699" w14:paraId="16DCE51F" w14:textId="77777777" w:rsidTr="00B96CC8">
        <w:trPr>
          <w:trHeight w:val="62"/>
        </w:trPr>
        <w:tc>
          <w:tcPr>
            <w:tcW w:w="148" w:type="pct"/>
            <w:vMerge/>
          </w:tcPr>
          <w:p w14:paraId="1577ED63" w14:textId="77777777" w:rsidR="00D001AB" w:rsidRPr="00BC78CF" w:rsidRDefault="00D001AB" w:rsidP="003B6F71">
            <w:pPr>
              <w:pStyle w:val="Tabletext"/>
              <w:rPr>
                <w:color w:val="FF0000"/>
              </w:rPr>
            </w:pPr>
          </w:p>
        </w:tc>
        <w:tc>
          <w:tcPr>
            <w:tcW w:w="737" w:type="pct"/>
            <w:vMerge/>
          </w:tcPr>
          <w:p w14:paraId="34DAAE48" w14:textId="77777777" w:rsidR="00D001AB" w:rsidRPr="00F07699" w:rsidRDefault="00D001AB" w:rsidP="003B6F71">
            <w:pPr>
              <w:pStyle w:val="Tabletext"/>
            </w:pPr>
          </w:p>
        </w:tc>
        <w:tc>
          <w:tcPr>
            <w:tcW w:w="164" w:type="pct"/>
          </w:tcPr>
          <w:p w14:paraId="445CDD4B" w14:textId="77777777" w:rsidR="00D001AB" w:rsidRPr="00BC78CF" w:rsidRDefault="00D001AB" w:rsidP="003B6F71">
            <w:pPr>
              <w:pStyle w:val="Tabletext"/>
              <w:rPr>
                <w:rFonts w:cs="Arial"/>
                <w:color w:val="FF0000"/>
              </w:rPr>
            </w:pPr>
            <w:r w:rsidRPr="00BC78CF">
              <w:rPr>
                <w:color w:val="FF0000"/>
              </w:rPr>
              <w:t>(d)</w:t>
            </w:r>
          </w:p>
        </w:tc>
        <w:tc>
          <w:tcPr>
            <w:tcW w:w="1879" w:type="pct"/>
          </w:tcPr>
          <w:p w14:paraId="39A2579E" w14:textId="77777777" w:rsidR="00D001AB" w:rsidRPr="00F07699" w:rsidRDefault="00D001AB" w:rsidP="003B6F71">
            <w:pPr>
              <w:pStyle w:val="Tabletext"/>
              <w:rPr>
                <w:rFonts w:cs="Arial"/>
              </w:rPr>
            </w:pPr>
            <w:r w:rsidRPr="00F07699">
              <w:rPr>
                <w:rFonts w:cs="Arial"/>
              </w:rPr>
              <w:t>End-user devices</w:t>
            </w:r>
          </w:p>
        </w:tc>
        <w:tc>
          <w:tcPr>
            <w:tcW w:w="2072" w:type="pct"/>
          </w:tcPr>
          <w:p w14:paraId="24082C48" w14:textId="77777777" w:rsidR="00D001AB" w:rsidRPr="00F07699" w:rsidRDefault="00D001AB" w:rsidP="003B6F71">
            <w:pPr>
              <w:pStyle w:val="Tabletext"/>
              <w:rPr>
                <w:rFonts w:cs="Arial"/>
              </w:rPr>
            </w:pPr>
            <w:r w:rsidRPr="00F07699">
              <w:rPr>
                <w:rFonts w:cs="Arial"/>
              </w:rPr>
              <w:t>End-user devices, including bring</w:t>
            </w:r>
            <w:r w:rsidRPr="00F07699">
              <w:rPr>
                <w:rFonts w:cs="Arial"/>
              </w:rPr>
              <w:noBreakHyphen/>
              <w:t>your</w:t>
            </w:r>
            <w:r w:rsidRPr="00F07699">
              <w:rPr>
                <w:rFonts w:cs="Arial"/>
              </w:rPr>
              <w:noBreakHyphen/>
              <w:t>own</w:t>
            </w:r>
            <w:r w:rsidRPr="00F07699">
              <w:rPr>
                <w:rFonts w:cs="Arial"/>
              </w:rPr>
              <w:noBreakHyphen/>
              <w:t>device (BYOD) systems, are hardened in accordance with accepted industry standards.</w:t>
            </w:r>
          </w:p>
          <w:p w14:paraId="68977E80" w14:textId="77777777" w:rsidR="00D001AB" w:rsidRPr="00F07699" w:rsidRDefault="00D001AB" w:rsidP="003B6F71">
            <w:pPr>
              <w:pStyle w:val="nDrafterComment"/>
              <w:rPr>
                <w:rFonts w:cs="Arial"/>
                <w:color w:val="auto"/>
              </w:rPr>
            </w:pPr>
          </w:p>
        </w:tc>
      </w:tr>
      <w:tr w:rsidR="00D001AB" w:rsidRPr="00F07699" w14:paraId="1AD74C3E" w14:textId="77777777" w:rsidTr="00B96CC8">
        <w:trPr>
          <w:trHeight w:val="62"/>
        </w:trPr>
        <w:tc>
          <w:tcPr>
            <w:tcW w:w="148" w:type="pct"/>
            <w:vMerge/>
          </w:tcPr>
          <w:p w14:paraId="334E89F7" w14:textId="77777777" w:rsidR="00D001AB" w:rsidRPr="00BC78CF" w:rsidRDefault="00D001AB" w:rsidP="003B6F71">
            <w:pPr>
              <w:pStyle w:val="Tabletext"/>
              <w:rPr>
                <w:color w:val="FF0000"/>
              </w:rPr>
            </w:pPr>
          </w:p>
        </w:tc>
        <w:tc>
          <w:tcPr>
            <w:tcW w:w="737" w:type="pct"/>
            <w:vMerge/>
          </w:tcPr>
          <w:p w14:paraId="670F88F1" w14:textId="77777777" w:rsidR="00D001AB" w:rsidRPr="00F07699" w:rsidRDefault="00D001AB" w:rsidP="003B6F71">
            <w:pPr>
              <w:pStyle w:val="Tabletext"/>
            </w:pPr>
          </w:p>
        </w:tc>
        <w:tc>
          <w:tcPr>
            <w:tcW w:w="164" w:type="pct"/>
          </w:tcPr>
          <w:p w14:paraId="5A0578F0" w14:textId="77777777" w:rsidR="00D001AB" w:rsidRPr="00BC78CF" w:rsidRDefault="00D001AB" w:rsidP="003B6F71">
            <w:pPr>
              <w:pStyle w:val="Tabletext"/>
              <w:rPr>
                <w:rFonts w:cs="Arial"/>
                <w:color w:val="FF0000"/>
              </w:rPr>
            </w:pPr>
            <w:r w:rsidRPr="00BC78CF">
              <w:rPr>
                <w:color w:val="FF0000"/>
              </w:rPr>
              <w:t>(e)</w:t>
            </w:r>
          </w:p>
        </w:tc>
        <w:tc>
          <w:tcPr>
            <w:tcW w:w="1879" w:type="pct"/>
          </w:tcPr>
          <w:p w14:paraId="1EFD84E7" w14:textId="77777777" w:rsidR="00D001AB" w:rsidRPr="00F07699" w:rsidRDefault="00D001AB" w:rsidP="003B6F71">
            <w:pPr>
              <w:pStyle w:val="Tabletext"/>
            </w:pPr>
            <w:r w:rsidRPr="00F07699">
              <w:t>Data Segregation</w:t>
            </w:r>
          </w:p>
        </w:tc>
        <w:tc>
          <w:tcPr>
            <w:tcW w:w="2072" w:type="pct"/>
          </w:tcPr>
          <w:p w14:paraId="7EE0531A" w14:textId="270F8EBA" w:rsidR="00D001AB" w:rsidRPr="00F07699" w:rsidRDefault="00D001AB" w:rsidP="003B6F71">
            <w:pPr>
              <w:pStyle w:val="Tabletext"/>
            </w:pPr>
            <w:r w:rsidRPr="00F07699">
              <w:t xml:space="preserve">CDR data that is stored or hosted on behalf of an accredited data recipient </w:t>
            </w:r>
            <w:r w:rsidR="00CE12C3">
              <w:rPr>
                <w:color w:val="FF0000"/>
              </w:rPr>
              <w:t xml:space="preserve">or CDR representative </w:t>
            </w:r>
            <w:r w:rsidRPr="00F07699">
              <w:t>is segregated from other CDR data to ensure it is accessible only by the accredited data recipient for whom consent was given and remains directly attributable to that accredited data recipient.</w:t>
            </w:r>
          </w:p>
          <w:p w14:paraId="7EE10DB1" w14:textId="77777777" w:rsidR="00D001AB" w:rsidRPr="00F07699" w:rsidRDefault="00D001AB" w:rsidP="003B6F71">
            <w:pPr>
              <w:pStyle w:val="Tabletext"/>
            </w:pPr>
          </w:p>
        </w:tc>
      </w:tr>
      <w:tr w:rsidR="00D001AB" w:rsidRPr="00F07699" w14:paraId="1F201DA8" w14:textId="77777777" w:rsidTr="00B96CC8">
        <w:tc>
          <w:tcPr>
            <w:tcW w:w="148" w:type="pct"/>
            <w:vMerge w:val="restart"/>
          </w:tcPr>
          <w:p w14:paraId="5094B3A0" w14:textId="77777777" w:rsidR="00D001AB" w:rsidRPr="00BC78CF" w:rsidRDefault="00D001AB" w:rsidP="003B6F71">
            <w:pPr>
              <w:pStyle w:val="Tabletext"/>
              <w:rPr>
                <w:color w:val="FF0000"/>
              </w:rPr>
            </w:pPr>
            <w:r w:rsidRPr="00BC78CF">
              <w:rPr>
                <w:color w:val="FF0000"/>
              </w:rPr>
              <w:t>(3)</w:t>
            </w:r>
          </w:p>
        </w:tc>
        <w:tc>
          <w:tcPr>
            <w:tcW w:w="737" w:type="pct"/>
            <w:vMerge w:val="restart"/>
          </w:tcPr>
          <w:p w14:paraId="73BBD771" w14:textId="77777777" w:rsidR="00D001AB" w:rsidRPr="00F07699" w:rsidRDefault="00D001AB" w:rsidP="003B6F71">
            <w:pPr>
              <w:pStyle w:val="Tabletext"/>
              <w:rPr>
                <w:rFonts w:cs="Arial"/>
              </w:rPr>
            </w:pPr>
            <w:r w:rsidRPr="00F07699">
              <w:rPr>
                <w:rFonts w:cs="Arial"/>
              </w:rPr>
              <w:t>An accredited data recipient must securely manage information assets within the CDR data environment over their lifecycle.</w:t>
            </w:r>
          </w:p>
          <w:p w14:paraId="0844ED7C" w14:textId="77777777" w:rsidR="00D001AB" w:rsidRPr="00F07699" w:rsidRDefault="00D001AB" w:rsidP="003B6F71">
            <w:pPr>
              <w:pStyle w:val="Tabletext"/>
              <w:rPr>
                <w:rFonts w:cs="Arial"/>
              </w:rPr>
            </w:pPr>
          </w:p>
        </w:tc>
        <w:tc>
          <w:tcPr>
            <w:tcW w:w="164" w:type="pct"/>
          </w:tcPr>
          <w:p w14:paraId="57576305" w14:textId="77777777" w:rsidR="00D001AB" w:rsidRPr="00BC78CF" w:rsidRDefault="00D001AB" w:rsidP="003B6F71">
            <w:pPr>
              <w:pStyle w:val="Tabletext"/>
              <w:rPr>
                <w:rFonts w:cs="Arial"/>
                <w:color w:val="FF0000"/>
              </w:rPr>
            </w:pPr>
            <w:r w:rsidRPr="00BC78CF">
              <w:rPr>
                <w:color w:val="FF0000"/>
              </w:rPr>
              <w:t>(a)</w:t>
            </w:r>
          </w:p>
        </w:tc>
        <w:tc>
          <w:tcPr>
            <w:tcW w:w="1879" w:type="pct"/>
          </w:tcPr>
          <w:p w14:paraId="4E7EA0C4" w14:textId="77777777" w:rsidR="00D001AB" w:rsidRPr="00F07699" w:rsidRDefault="00D001AB" w:rsidP="003B6F71">
            <w:pPr>
              <w:pStyle w:val="Tabletext"/>
              <w:rPr>
                <w:rFonts w:cs="Arial"/>
              </w:rPr>
            </w:pPr>
            <w:r w:rsidRPr="00F07699">
              <w:rPr>
                <w:rFonts w:cs="Arial"/>
              </w:rPr>
              <w:t>Data loss prevention</w:t>
            </w:r>
          </w:p>
        </w:tc>
        <w:tc>
          <w:tcPr>
            <w:tcW w:w="2072" w:type="pct"/>
          </w:tcPr>
          <w:p w14:paraId="6AEA52E5" w14:textId="77777777" w:rsidR="00D001AB" w:rsidRPr="00F07699" w:rsidRDefault="00D001AB" w:rsidP="003B6F71">
            <w:pPr>
              <w:pStyle w:val="Tabletext"/>
            </w:pPr>
            <w:r w:rsidRPr="00F07699">
              <w:t>Data loss and leakage prevention mechanisms are implemented to prevent data leaving the CDR data environment, including, but not limited to:</w:t>
            </w:r>
          </w:p>
          <w:p w14:paraId="3A7B1746" w14:textId="77777777" w:rsidR="00D001AB" w:rsidRPr="00F07699" w:rsidRDefault="00D001AB" w:rsidP="003B6F71">
            <w:pPr>
              <w:pStyle w:val="Tablea"/>
            </w:pPr>
            <w:r w:rsidRPr="00F07699">
              <w:t>(a)</w:t>
            </w:r>
            <w:r w:rsidRPr="00F07699">
              <w:tab/>
              <w:t>blocking access to unapproved cloud computing services; and</w:t>
            </w:r>
          </w:p>
          <w:p w14:paraId="1F38AA7A" w14:textId="77777777" w:rsidR="00D001AB" w:rsidRPr="00F07699" w:rsidRDefault="00D001AB" w:rsidP="003B6F71">
            <w:pPr>
              <w:pStyle w:val="Tablea"/>
            </w:pPr>
            <w:r w:rsidRPr="00F07699">
              <w:t>(b)</w:t>
            </w:r>
            <w:r w:rsidRPr="00F07699">
              <w:tab/>
              <w:t>logging and monitoring the recipient, file size and frequency of outbound emails; and</w:t>
            </w:r>
          </w:p>
          <w:p w14:paraId="5BF0E030" w14:textId="77777777" w:rsidR="00D001AB" w:rsidRPr="00F07699" w:rsidRDefault="00D001AB" w:rsidP="003B6F71">
            <w:pPr>
              <w:pStyle w:val="Tablea"/>
            </w:pPr>
            <w:r w:rsidRPr="00F07699">
              <w:t xml:space="preserve">(c) </w:t>
            </w:r>
            <w:r w:rsidRPr="00F07699">
              <w:tab/>
              <w:t>email filtering and blocking methods that block emails with CDR data in text and attachments; and</w:t>
            </w:r>
          </w:p>
          <w:p w14:paraId="42D5716C" w14:textId="77777777" w:rsidR="00D001AB" w:rsidRPr="00F07699" w:rsidRDefault="00D001AB" w:rsidP="003B6F71">
            <w:pPr>
              <w:pStyle w:val="Tablea"/>
            </w:pPr>
            <w:r w:rsidRPr="00F07699">
              <w:t xml:space="preserve">(d) </w:t>
            </w:r>
            <w:r w:rsidRPr="00F07699">
              <w:tab/>
              <w:t>blocking data write access to portable storage media.</w:t>
            </w:r>
          </w:p>
          <w:p w14:paraId="116D09DD" w14:textId="77777777" w:rsidR="00D001AB" w:rsidRPr="00F07699" w:rsidRDefault="00D001AB" w:rsidP="003B6F71">
            <w:pPr>
              <w:pStyle w:val="Tablea"/>
            </w:pPr>
          </w:p>
        </w:tc>
      </w:tr>
      <w:tr w:rsidR="00D001AB" w:rsidRPr="00F07699" w14:paraId="64BA5D53" w14:textId="77777777" w:rsidTr="00B96CC8">
        <w:tc>
          <w:tcPr>
            <w:tcW w:w="148" w:type="pct"/>
            <w:vMerge/>
          </w:tcPr>
          <w:p w14:paraId="2E1E7C9D" w14:textId="77777777" w:rsidR="00D001AB" w:rsidRPr="00BC78CF" w:rsidRDefault="00D001AB" w:rsidP="003B6F71">
            <w:pPr>
              <w:pStyle w:val="Tabletext"/>
              <w:rPr>
                <w:color w:val="FF0000"/>
              </w:rPr>
            </w:pPr>
          </w:p>
        </w:tc>
        <w:tc>
          <w:tcPr>
            <w:tcW w:w="737" w:type="pct"/>
            <w:vMerge/>
          </w:tcPr>
          <w:p w14:paraId="629F70EB" w14:textId="77777777" w:rsidR="00D001AB" w:rsidRPr="00F07699" w:rsidRDefault="00D001AB" w:rsidP="003B6F71">
            <w:pPr>
              <w:pStyle w:val="Tabletext"/>
              <w:rPr>
                <w:rFonts w:cs="Arial"/>
              </w:rPr>
            </w:pPr>
          </w:p>
        </w:tc>
        <w:tc>
          <w:tcPr>
            <w:tcW w:w="164" w:type="pct"/>
          </w:tcPr>
          <w:p w14:paraId="19BBD811" w14:textId="77777777" w:rsidR="00D001AB" w:rsidRPr="00BC78CF" w:rsidRDefault="00D001AB" w:rsidP="003B6F71">
            <w:pPr>
              <w:pStyle w:val="Tabletext"/>
              <w:rPr>
                <w:rFonts w:cs="Arial"/>
                <w:color w:val="FF0000"/>
              </w:rPr>
            </w:pPr>
            <w:r w:rsidRPr="00BC78CF">
              <w:rPr>
                <w:color w:val="FF0000"/>
              </w:rPr>
              <w:t>(b)</w:t>
            </w:r>
          </w:p>
        </w:tc>
        <w:tc>
          <w:tcPr>
            <w:tcW w:w="1879" w:type="pct"/>
          </w:tcPr>
          <w:p w14:paraId="565CBED8" w14:textId="77777777" w:rsidR="00D001AB" w:rsidRPr="00F07699" w:rsidRDefault="00D001AB" w:rsidP="003B6F71">
            <w:pPr>
              <w:pStyle w:val="Tabletext"/>
              <w:rPr>
                <w:rFonts w:cs="Arial"/>
              </w:rPr>
            </w:pPr>
            <w:r w:rsidRPr="00F07699">
              <w:rPr>
                <w:rFonts w:cs="Arial"/>
              </w:rPr>
              <w:t>CDR data in non-production environments</w:t>
            </w:r>
          </w:p>
        </w:tc>
        <w:tc>
          <w:tcPr>
            <w:tcW w:w="2072" w:type="pct"/>
          </w:tcPr>
          <w:p w14:paraId="3F1246ED" w14:textId="77777777" w:rsidR="00D001AB" w:rsidRPr="00F07699" w:rsidRDefault="00D001AB" w:rsidP="003B6F71">
            <w:pPr>
              <w:pStyle w:val="Tabletext"/>
              <w:rPr>
                <w:rFonts w:cs="Arial"/>
              </w:rPr>
            </w:pPr>
            <w:r w:rsidRPr="00F07699">
              <w:rPr>
                <w:rFonts w:cs="Arial"/>
              </w:rPr>
              <w:t xml:space="preserve">CDR data is secured from unauthorised access by masking data, prior to being made available in non-production environments. </w:t>
            </w:r>
          </w:p>
          <w:p w14:paraId="3B37BF80" w14:textId="77777777" w:rsidR="00D001AB" w:rsidRPr="00F07699" w:rsidRDefault="00D001AB" w:rsidP="003B6F71">
            <w:pPr>
              <w:pStyle w:val="Tabletext"/>
              <w:rPr>
                <w:rFonts w:cs="Arial"/>
              </w:rPr>
            </w:pPr>
          </w:p>
        </w:tc>
      </w:tr>
      <w:tr w:rsidR="00D001AB" w:rsidRPr="00F07699" w14:paraId="6A6783EC" w14:textId="77777777" w:rsidTr="00B96CC8">
        <w:tc>
          <w:tcPr>
            <w:tcW w:w="148" w:type="pct"/>
            <w:vMerge/>
          </w:tcPr>
          <w:p w14:paraId="5C9B3276" w14:textId="77777777" w:rsidR="00D001AB" w:rsidRPr="00BC78CF" w:rsidRDefault="00D001AB" w:rsidP="003B6F71">
            <w:pPr>
              <w:pStyle w:val="Tabletext"/>
              <w:rPr>
                <w:color w:val="FF0000"/>
              </w:rPr>
            </w:pPr>
          </w:p>
        </w:tc>
        <w:tc>
          <w:tcPr>
            <w:tcW w:w="737" w:type="pct"/>
            <w:vMerge/>
          </w:tcPr>
          <w:p w14:paraId="48EBB5A1" w14:textId="77777777" w:rsidR="00D001AB" w:rsidRPr="00F07699" w:rsidRDefault="00D001AB" w:rsidP="003B6F71">
            <w:pPr>
              <w:pStyle w:val="Tabletext"/>
              <w:rPr>
                <w:rFonts w:cs="Arial"/>
              </w:rPr>
            </w:pPr>
          </w:p>
        </w:tc>
        <w:tc>
          <w:tcPr>
            <w:tcW w:w="164" w:type="pct"/>
          </w:tcPr>
          <w:p w14:paraId="15A3B663" w14:textId="77777777" w:rsidR="00D001AB" w:rsidRPr="00BC78CF" w:rsidRDefault="00D001AB" w:rsidP="003B6F71">
            <w:pPr>
              <w:pStyle w:val="Tabletext"/>
              <w:rPr>
                <w:rFonts w:cs="Arial"/>
                <w:color w:val="FF0000"/>
              </w:rPr>
            </w:pPr>
            <w:r w:rsidRPr="00BC78CF">
              <w:rPr>
                <w:color w:val="FF0000"/>
              </w:rPr>
              <w:t>(c)</w:t>
            </w:r>
          </w:p>
        </w:tc>
        <w:tc>
          <w:tcPr>
            <w:tcW w:w="1879" w:type="pct"/>
          </w:tcPr>
          <w:p w14:paraId="44989FB9" w14:textId="77777777" w:rsidR="00D001AB" w:rsidRPr="00F07699" w:rsidRDefault="00D001AB" w:rsidP="003B6F71">
            <w:pPr>
              <w:pStyle w:val="Tabletext"/>
              <w:rPr>
                <w:rFonts w:cs="Arial"/>
              </w:rPr>
            </w:pPr>
            <w:r w:rsidRPr="00F07699">
              <w:rPr>
                <w:rFonts w:cs="Arial"/>
              </w:rPr>
              <w:t>Information asset lifecycle (as it relates to CDR data)</w:t>
            </w:r>
          </w:p>
        </w:tc>
        <w:tc>
          <w:tcPr>
            <w:tcW w:w="2072" w:type="pct"/>
          </w:tcPr>
          <w:p w14:paraId="2E34590B" w14:textId="77777777" w:rsidR="00D001AB" w:rsidRPr="00F07699" w:rsidRDefault="00D001AB" w:rsidP="003B6F71">
            <w:pPr>
              <w:pStyle w:val="Tabletext"/>
            </w:pPr>
            <w:r w:rsidRPr="00F07699">
              <w:t>The accredited data recipient must document and implement processes that relate to the management of CDR data over its lifecycle, including an information classification and handling policy (which must address the confidentiality and sensitivity of CDR data) and processes relating to CDR data backup, retention, and, in accordance with rules 7.12 and 7.13, deletion and de</w:t>
            </w:r>
            <w:r w:rsidRPr="00F07699">
              <w:noBreakHyphen/>
              <w:t>identification.</w:t>
            </w:r>
          </w:p>
          <w:p w14:paraId="2948D6DC" w14:textId="77777777" w:rsidR="00D001AB" w:rsidRPr="00F07699" w:rsidRDefault="00D001AB" w:rsidP="003B6F71">
            <w:pPr>
              <w:pStyle w:val="Tabletext"/>
            </w:pPr>
          </w:p>
        </w:tc>
      </w:tr>
      <w:tr w:rsidR="00D001AB" w:rsidRPr="00F07699" w14:paraId="40E5D571" w14:textId="77777777" w:rsidTr="00B96CC8">
        <w:trPr>
          <w:trHeight w:val="389"/>
        </w:trPr>
        <w:tc>
          <w:tcPr>
            <w:tcW w:w="148" w:type="pct"/>
            <w:vMerge w:val="restart"/>
          </w:tcPr>
          <w:p w14:paraId="203CD1F3" w14:textId="77777777" w:rsidR="00D001AB" w:rsidRPr="00BC78CF" w:rsidRDefault="00D001AB" w:rsidP="003B6F71">
            <w:pPr>
              <w:pStyle w:val="Tabletext"/>
              <w:rPr>
                <w:color w:val="FF0000"/>
              </w:rPr>
            </w:pPr>
            <w:r w:rsidRPr="00BC78CF">
              <w:rPr>
                <w:color w:val="FF0000"/>
              </w:rPr>
              <w:t>(4)</w:t>
            </w:r>
          </w:p>
        </w:tc>
        <w:tc>
          <w:tcPr>
            <w:tcW w:w="737" w:type="pct"/>
            <w:vMerge w:val="restart"/>
          </w:tcPr>
          <w:p w14:paraId="584F0941" w14:textId="77777777" w:rsidR="00D001AB" w:rsidRPr="00F07699" w:rsidRDefault="00D001AB" w:rsidP="003B6F71">
            <w:pPr>
              <w:pStyle w:val="Tabletext"/>
              <w:rPr>
                <w:rFonts w:cs="Arial"/>
              </w:rPr>
            </w:pPr>
            <w:r w:rsidRPr="00F07699">
              <w:rPr>
                <w:rFonts w:cs="Arial"/>
              </w:rPr>
              <w:t>An accredited data recipient must implement a formal vulnerability management program to identify, track and remediate vulnerabilities within the CDR data environment in a timely manner.</w:t>
            </w:r>
          </w:p>
        </w:tc>
        <w:tc>
          <w:tcPr>
            <w:tcW w:w="164" w:type="pct"/>
          </w:tcPr>
          <w:p w14:paraId="6B22E25F" w14:textId="77777777" w:rsidR="00D001AB" w:rsidRPr="00BC78CF" w:rsidRDefault="00D001AB" w:rsidP="003B6F71">
            <w:pPr>
              <w:pStyle w:val="Tabletext"/>
              <w:rPr>
                <w:rFonts w:cs="Arial"/>
                <w:color w:val="FF0000"/>
              </w:rPr>
            </w:pPr>
            <w:r w:rsidRPr="00BC78CF">
              <w:rPr>
                <w:color w:val="FF0000"/>
              </w:rPr>
              <w:t>(a)</w:t>
            </w:r>
          </w:p>
        </w:tc>
        <w:tc>
          <w:tcPr>
            <w:tcW w:w="1879" w:type="pct"/>
          </w:tcPr>
          <w:p w14:paraId="34533599" w14:textId="77777777" w:rsidR="00D001AB" w:rsidRPr="00F07699" w:rsidRDefault="00D001AB" w:rsidP="003B6F71">
            <w:pPr>
              <w:pStyle w:val="Tabletext"/>
              <w:rPr>
                <w:rFonts w:cs="Arial"/>
              </w:rPr>
            </w:pPr>
            <w:r w:rsidRPr="00F07699">
              <w:rPr>
                <w:rFonts w:cs="Arial"/>
              </w:rPr>
              <w:t>Security patching</w:t>
            </w:r>
          </w:p>
        </w:tc>
        <w:tc>
          <w:tcPr>
            <w:tcW w:w="2072" w:type="pct"/>
          </w:tcPr>
          <w:p w14:paraId="773BF563" w14:textId="77777777" w:rsidR="00D001AB" w:rsidRPr="00F07699" w:rsidRDefault="00D001AB" w:rsidP="003B6F71">
            <w:pPr>
              <w:pStyle w:val="Tabletext"/>
              <w:rPr>
                <w:rFonts w:cs="Arial"/>
              </w:rPr>
            </w:pPr>
            <w:r w:rsidRPr="00F07699">
              <w:rPr>
                <w:rFonts w:cs="Arial"/>
              </w:rPr>
              <w:t>A formal program is implemented for identifying, assessing the risk of and applying security patches to applications and operating as soon as practicable.</w:t>
            </w:r>
          </w:p>
          <w:p w14:paraId="5241C9C1" w14:textId="77777777" w:rsidR="00D001AB" w:rsidRPr="00F07699" w:rsidRDefault="00D001AB" w:rsidP="003B6F71">
            <w:pPr>
              <w:pStyle w:val="Tabletext"/>
              <w:rPr>
                <w:rFonts w:cs="Arial"/>
              </w:rPr>
            </w:pPr>
          </w:p>
        </w:tc>
      </w:tr>
      <w:tr w:rsidR="00D001AB" w:rsidRPr="00F07699" w14:paraId="30FDB0A8" w14:textId="77777777" w:rsidTr="00B96CC8">
        <w:trPr>
          <w:trHeight w:val="388"/>
        </w:trPr>
        <w:tc>
          <w:tcPr>
            <w:tcW w:w="148" w:type="pct"/>
            <w:vMerge/>
          </w:tcPr>
          <w:p w14:paraId="4C3A3235" w14:textId="77777777" w:rsidR="00D001AB" w:rsidRPr="00BC78CF" w:rsidRDefault="00D001AB" w:rsidP="003B6F71">
            <w:pPr>
              <w:pStyle w:val="Tabletext"/>
              <w:rPr>
                <w:color w:val="FF0000"/>
              </w:rPr>
            </w:pPr>
          </w:p>
        </w:tc>
        <w:tc>
          <w:tcPr>
            <w:tcW w:w="737" w:type="pct"/>
            <w:vMerge/>
          </w:tcPr>
          <w:p w14:paraId="6FA4F324" w14:textId="77777777" w:rsidR="00D001AB" w:rsidRPr="00F07699" w:rsidRDefault="00D001AB" w:rsidP="003B6F71">
            <w:pPr>
              <w:pStyle w:val="Tabletext"/>
              <w:rPr>
                <w:rFonts w:cs="Arial"/>
              </w:rPr>
            </w:pPr>
          </w:p>
        </w:tc>
        <w:tc>
          <w:tcPr>
            <w:tcW w:w="164" w:type="pct"/>
          </w:tcPr>
          <w:p w14:paraId="2610AEC1" w14:textId="77777777" w:rsidR="00D001AB" w:rsidRPr="00BC78CF" w:rsidRDefault="00D001AB" w:rsidP="003B6F71">
            <w:pPr>
              <w:pStyle w:val="Tabletext"/>
              <w:rPr>
                <w:rFonts w:cs="Arial"/>
                <w:color w:val="FF0000"/>
              </w:rPr>
            </w:pPr>
            <w:r w:rsidRPr="00BC78CF">
              <w:rPr>
                <w:color w:val="FF0000"/>
              </w:rPr>
              <w:t>(b)</w:t>
            </w:r>
          </w:p>
        </w:tc>
        <w:tc>
          <w:tcPr>
            <w:tcW w:w="1879" w:type="pct"/>
          </w:tcPr>
          <w:p w14:paraId="690CF38F" w14:textId="77777777" w:rsidR="00D001AB" w:rsidRPr="00F07699" w:rsidRDefault="00D001AB" w:rsidP="003B6F71">
            <w:pPr>
              <w:pStyle w:val="Tabletext"/>
              <w:rPr>
                <w:rFonts w:cs="Arial"/>
              </w:rPr>
            </w:pPr>
            <w:r w:rsidRPr="00F07699">
              <w:rPr>
                <w:rFonts w:cs="Arial"/>
              </w:rPr>
              <w:t>Secure coding</w:t>
            </w:r>
          </w:p>
        </w:tc>
        <w:tc>
          <w:tcPr>
            <w:tcW w:w="2072" w:type="pct"/>
          </w:tcPr>
          <w:p w14:paraId="30E89FCC" w14:textId="77777777" w:rsidR="00D001AB" w:rsidRPr="00F07699" w:rsidRDefault="00D001AB" w:rsidP="003B6F71">
            <w:pPr>
              <w:pStyle w:val="Tabletext"/>
              <w:rPr>
                <w:rFonts w:cs="Arial"/>
              </w:rPr>
            </w:pPr>
            <w:r w:rsidRPr="00F07699">
              <w:rPr>
                <w:rFonts w:cs="Arial"/>
              </w:rPr>
              <w:t>Changes to the accredited data recipient’s systems (including its CDR data environment) are designed and developed consistent with industry accepted secure coding practices, and are appropriately tested prior to release into the production environment.</w:t>
            </w:r>
          </w:p>
          <w:p w14:paraId="67472FB2" w14:textId="77777777" w:rsidR="00D001AB" w:rsidRPr="00F07699" w:rsidRDefault="00D001AB" w:rsidP="003B6F71">
            <w:pPr>
              <w:pStyle w:val="Tabletext"/>
              <w:rPr>
                <w:rFonts w:cs="Arial"/>
              </w:rPr>
            </w:pPr>
          </w:p>
        </w:tc>
      </w:tr>
      <w:tr w:rsidR="00D001AB" w:rsidRPr="00F07699" w14:paraId="24884D61" w14:textId="77777777" w:rsidTr="00B96CC8">
        <w:trPr>
          <w:trHeight w:val="388"/>
        </w:trPr>
        <w:tc>
          <w:tcPr>
            <w:tcW w:w="148" w:type="pct"/>
            <w:vMerge/>
          </w:tcPr>
          <w:p w14:paraId="0F6EF394" w14:textId="77777777" w:rsidR="00D001AB" w:rsidRPr="00BC78CF" w:rsidRDefault="00D001AB" w:rsidP="003B6F71">
            <w:pPr>
              <w:pStyle w:val="Tabletext"/>
              <w:rPr>
                <w:color w:val="FF0000"/>
              </w:rPr>
            </w:pPr>
          </w:p>
        </w:tc>
        <w:tc>
          <w:tcPr>
            <w:tcW w:w="737" w:type="pct"/>
            <w:vMerge/>
          </w:tcPr>
          <w:p w14:paraId="2E832060" w14:textId="77777777" w:rsidR="00D001AB" w:rsidRPr="00F07699" w:rsidRDefault="00D001AB" w:rsidP="003B6F71">
            <w:pPr>
              <w:pStyle w:val="Tabletext"/>
              <w:rPr>
                <w:rFonts w:cs="Arial"/>
              </w:rPr>
            </w:pPr>
          </w:p>
        </w:tc>
        <w:tc>
          <w:tcPr>
            <w:tcW w:w="164" w:type="pct"/>
          </w:tcPr>
          <w:p w14:paraId="777DD1C5" w14:textId="77777777" w:rsidR="00D001AB" w:rsidRPr="00BC78CF" w:rsidRDefault="00D001AB" w:rsidP="003B6F71">
            <w:pPr>
              <w:pStyle w:val="Tabletext"/>
              <w:rPr>
                <w:rFonts w:cs="Arial"/>
                <w:color w:val="FF0000"/>
              </w:rPr>
            </w:pPr>
            <w:r w:rsidRPr="00BC78CF">
              <w:rPr>
                <w:color w:val="FF0000"/>
              </w:rPr>
              <w:t>(c)</w:t>
            </w:r>
          </w:p>
        </w:tc>
        <w:tc>
          <w:tcPr>
            <w:tcW w:w="1879" w:type="pct"/>
          </w:tcPr>
          <w:p w14:paraId="30E57D09" w14:textId="77777777" w:rsidR="00D001AB" w:rsidRPr="00F07699" w:rsidRDefault="00D001AB" w:rsidP="003B6F71">
            <w:pPr>
              <w:pStyle w:val="Tabletext"/>
              <w:rPr>
                <w:rFonts w:cs="Arial"/>
              </w:rPr>
            </w:pPr>
            <w:r w:rsidRPr="00F07699">
              <w:rPr>
                <w:rFonts w:cs="Arial"/>
              </w:rPr>
              <w:t>Vulnerability management</w:t>
            </w:r>
          </w:p>
        </w:tc>
        <w:tc>
          <w:tcPr>
            <w:tcW w:w="2072" w:type="pct"/>
          </w:tcPr>
          <w:p w14:paraId="6EFA8F85" w14:textId="77777777" w:rsidR="00D001AB" w:rsidRPr="00F07699" w:rsidRDefault="00D001AB" w:rsidP="003B6F71">
            <w:pPr>
              <w:pStyle w:val="Tabletext"/>
              <w:rPr>
                <w:rFonts w:cs="Arial"/>
              </w:rPr>
            </w:pPr>
            <w:r w:rsidRPr="00F07699">
              <w:rPr>
                <w:rFonts w:cs="Arial"/>
              </w:rPr>
              <w:t>A formal vulnerability management program is designed and implemented, which includes regular vulnerability scanning and penetration testing on systems within the CDR data environment.</w:t>
            </w:r>
          </w:p>
          <w:p w14:paraId="1D60C593" w14:textId="77777777" w:rsidR="00D001AB" w:rsidRPr="00F07699" w:rsidRDefault="00D001AB" w:rsidP="003B6F71">
            <w:pPr>
              <w:pStyle w:val="Tabletext"/>
              <w:rPr>
                <w:rFonts w:cs="Arial"/>
              </w:rPr>
            </w:pPr>
          </w:p>
        </w:tc>
      </w:tr>
      <w:tr w:rsidR="00D001AB" w:rsidRPr="00F07699" w14:paraId="3F425853" w14:textId="77777777" w:rsidTr="00B96CC8">
        <w:trPr>
          <w:trHeight w:val="318"/>
        </w:trPr>
        <w:tc>
          <w:tcPr>
            <w:tcW w:w="148" w:type="pct"/>
            <w:vMerge w:val="restart"/>
          </w:tcPr>
          <w:p w14:paraId="1C0D45D3" w14:textId="77777777" w:rsidR="00D001AB" w:rsidRPr="00BC78CF" w:rsidRDefault="00D001AB" w:rsidP="003B6F71">
            <w:pPr>
              <w:pStyle w:val="Tabletext"/>
              <w:rPr>
                <w:color w:val="FF0000"/>
              </w:rPr>
            </w:pPr>
            <w:r w:rsidRPr="00BC78CF">
              <w:rPr>
                <w:color w:val="FF0000"/>
              </w:rPr>
              <w:t>(5)</w:t>
            </w:r>
          </w:p>
        </w:tc>
        <w:tc>
          <w:tcPr>
            <w:tcW w:w="737" w:type="pct"/>
            <w:vMerge w:val="restart"/>
          </w:tcPr>
          <w:p w14:paraId="443C8359" w14:textId="77777777" w:rsidR="00D001AB" w:rsidRPr="00F07699" w:rsidRDefault="00D001AB" w:rsidP="003B6F71">
            <w:pPr>
              <w:pStyle w:val="Tabletext"/>
              <w:rPr>
                <w:rFonts w:cs="Arial"/>
              </w:rPr>
            </w:pPr>
            <w:r w:rsidRPr="00F07699">
              <w:rPr>
                <w:rFonts w:cs="Arial"/>
              </w:rPr>
              <w:t>An accredited data recipient must take steps to limit prevent, detect and remove malware in regards to their CDR data environment.</w:t>
            </w:r>
          </w:p>
        </w:tc>
        <w:tc>
          <w:tcPr>
            <w:tcW w:w="164" w:type="pct"/>
          </w:tcPr>
          <w:p w14:paraId="6087C30C" w14:textId="77777777" w:rsidR="00D001AB" w:rsidRPr="00BC78CF" w:rsidRDefault="00D001AB" w:rsidP="003B6F71">
            <w:pPr>
              <w:pStyle w:val="Tabletext"/>
              <w:rPr>
                <w:rFonts w:cs="Arial"/>
                <w:color w:val="FF0000"/>
              </w:rPr>
            </w:pPr>
            <w:r w:rsidRPr="00BC78CF">
              <w:rPr>
                <w:color w:val="FF0000"/>
              </w:rPr>
              <w:t>(a)</w:t>
            </w:r>
          </w:p>
        </w:tc>
        <w:tc>
          <w:tcPr>
            <w:tcW w:w="1879" w:type="pct"/>
          </w:tcPr>
          <w:p w14:paraId="53529BC5" w14:textId="77777777" w:rsidR="00D001AB" w:rsidRPr="00F07699" w:rsidRDefault="00D001AB" w:rsidP="003B6F71">
            <w:pPr>
              <w:pStyle w:val="Tabletext"/>
              <w:rPr>
                <w:rFonts w:cs="Arial"/>
              </w:rPr>
            </w:pPr>
            <w:r w:rsidRPr="00F07699">
              <w:rPr>
                <w:rFonts w:cs="Arial"/>
              </w:rPr>
              <w:t>Anti-malware anti-virus</w:t>
            </w:r>
          </w:p>
        </w:tc>
        <w:tc>
          <w:tcPr>
            <w:tcW w:w="2072" w:type="pct"/>
          </w:tcPr>
          <w:p w14:paraId="232EAA70" w14:textId="77777777" w:rsidR="00D001AB" w:rsidRPr="00F07699" w:rsidRDefault="00D001AB" w:rsidP="003B6F71">
            <w:pPr>
              <w:pStyle w:val="Tabletext"/>
              <w:rPr>
                <w:rFonts w:cs="Arial"/>
              </w:rPr>
            </w:pPr>
            <w:r w:rsidRPr="00F07699">
              <w:rPr>
                <w:rFonts w:cs="Arial"/>
              </w:rPr>
              <w:t>Anti-virus and anti-malware solutions are implemented on endpoint devices and on servers to detect and remove malware from the CDR data environment and are updated on a regular basis. End-user systems are updated with the latest virus definitions when they connect to the network. Reports or dashboards highlighting compliance metrics are regularly generated and monitored, and non-compliant items are actioned as soon as practicable.</w:t>
            </w:r>
          </w:p>
          <w:p w14:paraId="504D444F" w14:textId="77777777" w:rsidR="00D001AB" w:rsidRPr="00F07699" w:rsidRDefault="00D001AB" w:rsidP="003B6F71">
            <w:pPr>
              <w:pStyle w:val="Tabletext"/>
              <w:rPr>
                <w:rFonts w:cs="Arial"/>
              </w:rPr>
            </w:pPr>
          </w:p>
        </w:tc>
      </w:tr>
      <w:tr w:rsidR="00D001AB" w:rsidRPr="00F07699" w14:paraId="6720936E" w14:textId="77777777" w:rsidTr="00B96CC8">
        <w:trPr>
          <w:trHeight w:val="317"/>
        </w:trPr>
        <w:tc>
          <w:tcPr>
            <w:tcW w:w="148" w:type="pct"/>
            <w:vMerge/>
          </w:tcPr>
          <w:p w14:paraId="6F4348E2" w14:textId="77777777" w:rsidR="00D001AB" w:rsidRPr="00BC78CF" w:rsidRDefault="00D001AB" w:rsidP="003B6F71">
            <w:pPr>
              <w:pStyle w:val="Tabletext"/>
              <w:rPr>
                <w:color w:val="FF0000"/>
              </w:rPr>
            </w:pPr>
          </w:p>
        </w:tc>
        <w:tc>
          <w:tcPr>
            <w:tcW w:w="737" w:type="pct"/>
            <w:vMerge/>
          </w:tcPr>
          <w:p w14:paraId="034FF30D" w14:textId="77777777" w:rsidR="00D001AB" w:rsidRPr="00F07699" w:rsidRDefault="00D001AB" w:rsidP="003B6F71">
            <w:pPr>
              <w:pStyle w:val="Tabletext"/>
              <w:rPr>
                <w:rFonts w:cs="Arial"/>
              </w:rPr>
            </w:pPr>
          </w:p>
        </w:tc>
        <w:tc>
          <w:tcPr>
            <w:tcW w:w="164" w:type="pct"/>
          </w:tcPr>
          <w:p w14:paraId="2D2BF165" w14:textId="77777777" w:rsidR="00D001AB" w:rsidRPr="00BC78CF" w:rsidRDefault="00D001AB" w:rsidP="003B6F71">
            <w:pPr>
              <w:pStyle w:val="Tabletext"/>
              <w:rPr>
                <w:rFonts w:cs="Arial"/>
                <w:color w:val="FF0000"/>
              </w:rPr>
            </w:pPr>
            <w:r w:rsidRPr="00BC78CF">
              <w:rPr>
                <w:color w:val="FF0000"/>
              </w:rPr>
              <w:t>(b)</w:t>
            </w:r>
          </w:p>
        </w:tc>
        <w:tc>
          <w:tcPr>
            <w:tcW w:w="1879" w:type="pct"/>
          </w:tcPr>
          <w:p w14:paraId="09D887F7" w14:textId="77777777" w:rsidR="00D001AB" w:rsidRPr="00F07699" w:rsidRDefault="00D001AB" w:rsidP="003B6F71">
            <w:pPr>
              <w:pStyle w:val="Tabletext"/>
              <w:rPr>
                <w:rFonts w:cs="Arial"/>
              </w:rPr>
            </w:pPr>
            <w:r w:rsidRPr="00F07699">
              <w:rPr>
                <w:rFonts w:cs="Arial"/>
              </w:rPr>
              <w:t>Web and email content filtering</w:t>
            </w:r>
          </w:p>
        </w:tc>
        <w:tc>
          <w:tcPr>
            <w:tcW w:w="2072" w:type="pct"/>
          </w:tcPr>
          <w:p w14:paraId="52E4B1CC" w14:textId="77777777" w:rsidR="00D001AB" w:rsidRPr="00F07699" w:rsidRDefault="00D001AB" w:rsidP="003B6F71">
            <w:pPr>
              <w:pStyle w:val="Tabletext"/>
              <w:rPr>
                <w:rFonts w:cs="Arial"/>
              </w:rPr>
            </w:pPr>
            <w:r w:rsidRPr="00F07699">
              <w:rPr>
                <w:rFonts w:cs="Arial"/>
              </w:rPr>
              <w:t>Solutions are implemented to identify, quarantine and block suspicious content arising from email and the web.</w:t>
            </w:r>
          </w:p>
          <w:p w14:paraId="2A85B940" w14:textId="77777777" w:rsidR="00D001AB" w:rsidRPr="00F07699" w:rsidRDefault="00D001AB" w:rsidP="003B6F71">
            <w:pPr>
              <w:pStyle w:val="Tabletext"/>
              <w:rPr>
                <w:rFonts w:cs="Arial"/>
              </w:rPr>
            </w:pPr>
          </w:p>
        </w:tc>
      </w:tr>
      <w:tr w:rsidR="00D001AB" w:rsidRPr="00F07699" w14:paraId="1B229450" w14:textId="77777777" w:rsidTr="00B96CC8">
        <w:trPr>
          <w:trHeight w:val="317"/>
        </w:trPr>
        <w:tc>
          <w:tcPr>
            <w:tcW w:w="148" w:type="pct"/>
            <w:vMerge/>
          </w:tcPr>
          <w:p w14:paraId="67C4D23A" w14:textId="77777777" w:rsidR="00D001AB" w:rsidRPr="00BC78CF" w:rsidRDefault="00D001AB" w:rsidP="003B6F71">
            <w:pPr>
              <w:pStyle w:val="Tabletext"/>
              <w:rPr>
                <w:color w:val="FF0000"/>
              </w:rPr>
            </w:pPr>
          </w:p>
        </w:tc>
        <w:tc>
          <w:tcPr>
            <w:tcW w:w="737" w:type="pct"/>
            <w:vMerge/>
          </w:tcPr>
          <w:p w14:paraId="04C1F129" w14:textId="77777777" w:rsidR="00D001AB" w:rsidRPr="00F07699" w:rsidRDefault="00D001AB" w:rsidP="003B6F71">
            <w:pPr>
              <w:pStyle w:val="Tabletext"/>
              <w:rPr>
                <w:rFonts w:cs="Arial"/>
              </w:rPr>
            </w:pPr>
          </w:p>
        </w:tc>
        <w:tc>
          <w:tcPr>
            <w:tcW w:w="164" w:type="pct"/>
          </w:tcPr>
          <w:p w14:paraId="1F4D6F90" w14:textId="77777777" w:rsidR="00D001AB" w:rsidRPr="00BC78CF" w:rsidRDefault="00D001AB" w:rsidP="003B6F71">
            <w:pPr>
              <w:pStyle w:val="Tabletext"/>
              <w:rPr>
                <w:rFonts w:cs="Arial"/>
                <w:color w:val="FF0000"/>
              </w:rPr>
            </w:pPr>
            <w:r w:rsidRPr="00BC78CF">
              <w:rPr>
                <w:color w:val="FF0000"/>
              </w:rPr>
              <w:t>(c)</w:t>
            </w:r>
          </w:p>
        </w:tc>
        <w:tc>
          <w:tcPr>
            <w:tcW w:w="1879" w:type="pct"/>
          </w:tcPr>
          <w:p w14:paraId="78BDAD98" w14:textId="77777777" w:rsidR="00D001AB" w:rsidRPr="00F07699" w:rsidRDefault="00D001AB" w:rsidP="003B6F71">
            <w:pPr>
              <w:pStyle w:val="Tabletext"/>
              <w:rPr>
                <w:rFonts w:cs="Arial"/>
              </w:rPr>
            </w:pPr>
            <w:r w:rsidRPr="00F07699">
              <w:rPr>
                <w:rFonts w:cs="Arial"/>
              </w:rPr>
              <w:t>Application whitelisting</w:t>
            </w:r>
          </w:p>
        </w:tc>
        <w:tc>
          <w:tcPr>
            <w:tcW w:w="2072" w:type="pct"/>
          </w:tcPr>
          <w:p w14:paraId="1FB98899" w14:textId="77777777" w:rsidR="00D001AB" w:rsidRPr="00F07699" w:rsidRDefault="00D001AB" w:rsidP="003B6F71">
            <w:pPr>
              <w:pStyle w:val="Tabletext"/>
              <w:rPr>
                <w:rFonts w:cs="Arial"/>
              </w:rPr>
            </w:pPr>
            <w:r w:rsidRPr="00F07699">
              <w:rPr>
                <w:rFonts w:cs="Arial"/>
              </w:rPr>
              <w:t xml:space="preserve">Download of executables and installation of software on infrastructure and end-user devices (including on BYOD devices) is restricted to authorised software only. </w:t>
            </w:r>
          </w:p>
          <w:p w14:paraId="2BBA0A1C" w14:textId="77777777" w:rsidR="00D001AB" w:rsidRPr="00F07699" w:rsidRDefault="00D001AB" w:rsidP="003B6F71">
            <w:pPr>
              <w:pStyle w:val="Tabletext"/>
              <w:rPr>
                <w:rFonts w:cs="Arial"/>
              </w:rPr>
            </w:pPr>
          </w:p>
        </w:tc>
      </w:tr>
      <w:tr w:rsidR="00D001AB" w:rsidRPr="00F07699" w14:paraId="31FAB02E" w14:textId="77777777" w:rsidTr="00B96CC8">
        <w:trPr>
          <w:trHeight w:val="318"/>
        </w:trPr>
        <w:tc>
          <w:tcPr>
            <w:tcW w:w="148" w:type="pct"/>
            <w:vMerge w:val="restart"/>
          </w:tcPr>
          <w:p w14:paraId="18A08720" w14:textId="77777777" w:rsidR="00D001AB" w:rsidRPr="00BC78CF" w:rsidRDefault="00D001AB" w:rsidP="003B6F71">
            <w:pPr>
              <w:pStyle w:val="Tabletext"/>
              <w:rPr>
                <w:color w:val="FF0000"/>
              </w:rPr>
            </w:pPr>
            <w:r w:rsidRPr="00BC78CF">
              <w:rPr>
                <w:color w:val="FF0000"/>
              </w:rPr>
              <w:t>(6)</w:t>
            </w:r>
          </w:p>
        </w:tc>
        <w:tc>
          <w:tcPr>
            <w:tcW w:w="737" w:type="pct"/>
            <w:vMerge w:val="restart"/>
          </w:tcPr>
          <w:p w14:paraId="616C83BB" w14:textId="77777777" w:rsidR="00D001AB" w:rsidRPr="00F07699" w:rsidRDefault="00D001AB" w:rsidP="003B6F71">
            <w:pPr>
              <w:pStyle w:val="Tabletext"/>
              <w:rPr>
                <w:rFonts w:cs="Arial"/>
              </w:rPr>
            </w:pPr>
            <w:r w:rsidRPr="00F07699">
              <w:rPr>
                <w:rFonts w:cs="Arial"/>
              </w:rPr>
              <w:t>An accredited data recipient must implement a formal information security training and awareness program for all personnel interacting with CDR data.</w:t>
            </w:r>
          </w:p>
        </w:tc>
        <w:tc>
          <w:tcPr>
            <w:tcW w:w="164" w:type="pct"/>
          </w:tcPr>
          <w:p w14:paraId="1B06841D" w14:textId="77777777" w:rsidR="00D001AB" w:rsidRPr="00BC78CF" w:rsidRDefault="00D001AB" w:rsidP="003B6F71">
            <w:pPr>
              <w:pStyle w:val="Tabletext"/>
              <w:rPr>
                <w:rFonts w:cs="Arial"/>
                <w:color w:val="FF0000"/>
              </w:rPr>
            </w:pPr>
            <w:r w:rsidRPr="00BC78CF">
              <w:rPr>
                <w:color w:val="FF0000"/>
              </w:rPr>
              <w:t>(a)</w:t>
            </w:r>
          </w:p>
        </w:tc>
        <w:tc>
          <w:tcPr>
            <w:tcW w:w="1879" w:type="pct"/>
          </w:tcPr>
          <w:p w14:paraId="64070494" w14:textId="77777777" w:rsidR="00D001AB" w:rsidRPr="00F07699" w:rsidRDefault="00D001AB" w:rsidP="003B6F71">
            <w:pPr>
              <w:pStyle w:val="Tabletext"/>
              <w:rPr>
                <w:rFonts w:cs="Arial"/>
              </w:rPr>
            </w:pPr>
            <w:r w:rsidRPr="00F07699">
              <w:rPr>
                <w:rFonts w:cs="Arial"/>
              </w:rPr>
              <w:t xml:space="preserve">Security training and awareness </w:t>
            </w:r>
          </w:p>
        </w:tc>
        <w:tc>
          <w:tcPr>
            <w:tcW w:w="2072" w:type="pct"/>
          </w:tcPr>
          <w:p w14:paraId="7C479CDF" w14:textId="77777777" w:rsidR="00D001AB" w:rsidRPr="00F07699" w:rsidRDefault="00D001AB" w:rsidP="003B6F71">
            <w:pPr>
              <w:pStyle w:val="Tabletext"/>
              <w:rPr>
                <w:rFonts w:cs="Arial"/>
              </w:rPr>
            </w:pPr>
            <w:r w:rsidRPr="00F07699">
              <w:rPr>
                <w:rFonts w:cs="Arial"/>
              </w:rPr>
              <w:t xml:space="preserve">All users undergo mandatory security and privacy training prior to interacting with the CDR data environment, with ‘refresher courses’ provided at least annually. </w:t>
            </w:r>
          </w:p>
          <w:p w14:paraId="625A018F" w14:textId="77777777" w:rsidR="00D001AB" w:rsidRPr="00F07699" w:rsidRDefault="00D001AB" w:rsidP="003B6F71">
            <w:pPr>
              <w:pStyle w:val="Tabletext"/>
              <w:rPr>
                <w:rFonts w:cs="Arial"/>
              </w:rPr>
            </w:pPr>
          </w:p>
        </w:tc>
      </w:tr>
      <w:tr w:rsidR="00D001AB" w:rsidRPr="00F07699" w14:paraId="2695DBDD" w14:textId="77777777" w:rsidTr="00B96CC8">
        <w:trPr>
          <w:trHeight w:val="317"/>
        </w:trPr>
        <w:tc>
          <w:tcPr>
            <w:tcW w:w="148" w:type="pct"/>
            <w:vMerge/>
          </w:tcPr>
          <w:p w14:paraId="79459765" w14:textId="77777777" w:rsidR="00D001AB" w:rsidRPr="00BC78CF" w:rsidRDefault="00D001AB" w:rsidP="003B6F71">
            <w:pPr>
              <w:pStyle w:val="Tabletext"/>
              <w:rPr>
                <w:color w:val="FF0000"/>
              </w:rPr>
            </w:pPr>
          </w:p>
        </w:tc>
        <w:tc>
          <w:tcPr>
            <w:tcW w:w="737" w:type="pct"/>
            <w:vMerge/>
          </w:tcPr>
          <w:p w14:paraId="7DCDF0DA" w14:textId="77777777" w:rsidR="00D001AB" w:rsidRPr="00F07699" w:rsidRDefault="00D001AB" w:rsidP="003B6F71">
            <w:pPr>
              <w:pStyle w:val="Tabletext"/>
              <w:rPr>
                <w:rFonts w:cs="Arial"/>
              </w:rPr>
            </w:pPr>
          </w:p>
        </w:tc>
        <w:tc>
          <w:tcPr>
            <w:tcW w:w="164" w:type="pct"/>
          </w:tcPr>
          <w:p w14:paraId="609DE270" w14:textId="77777777" w:rsidR="00D001AB" w:rsidRPr="00BC78CF" w:rsidRDefault="00D001AB" w:rsidP="003B6F71">
            <w:pPr>
              <w:pStyle w:val="Tabletext"/>
              <w:rPr>
                <w:rFonts w:cs="Arial"/>
                <w:color w:val="FF0000"/>
              </w:rPr>
            </w:pPr>
            <w:r w:rsidRPr="00BC78CF">
              <w:rPr>
                <w:color w:val="FF0000"/>
              </w:rPr>
              <w:t>(b)</w:t>
            </w:r>
          </w:p>
        </w:tc>
        <w:tc>
          <w:tcPr>
            <w:tcW w:w="1879" w:type="pct"/>
          </w:tcPr>
          <w:p w14:paraId="2404DDA6" w14:textId="77777777" w:rsidR="00D001AB" w:rsidRPr="00F07699" w:rsidRDefault="00D001AB" w:rsidP="003B6F71">
            <w:pPr>
              <w:pStyle w:val="Tabletext"/>
              <w:rPr>
                <w:rFonts w:cs="Arial"/>
              </w:rPr>
            </w:pPr>
            <w:r w:rsidRPr="00F07699">
              <w:rPr>
                <w:rFonts w:cs="Arial"/>
              </w:rPr>
              <w:t>Acceptable use of technology</w:t>
            </w:r>
          </w:p>
        </w:tc>
        <w:tc>
          <w:tcPr>
            <w:tcW w:w="2072" w:type="pct"/>
          </w:tcPr>
          <w:p w14:paraId="69B7DF8D" w14:textId="77777777" w:rsidR="00D001AB" w:rsidRPr="00F07699" w:rsidRDefault="00D001AB" w:rsidP="003B6F71">
            <w:pPr>
              <w:pStyle w:val="Tabletext"/>
              <w:rPr>
                <w:rFonts w:cs="Arial"/>
              </w:rPr>
            </w:pPr>
            <w:r w:rsidRPr="00F07699">
              <w:rPr>
                <w:rFonts w:cs="Arial"/>
              </w:rPr>
              <w:t>A policy relating to the CDR data environment is created, implemented, communicated and agreed to by all personnel prior to being able to access the CDR data environment. This policy sets out the responsibilities of these personnel in interacting with the CDR data environment and is regularly made aware to personnel.</w:t>
            </w:r>
          </w:p>
          <w:p w14:paraId="4E08118B" w14:textId="77777777" w:rsidR="00D001AB" w:rsidRPr="00F07699" w:rsidRDefault="00D001AB" w:rsidP="003B6F71">
            <w:pPr>
              <w:pStyle w:val="Tabletext"/>
              <w:rPr>
                <w:rFonts w:cs="Arial"/>
              </w:rPr>
            </w:pPr>
          </w:p>
        </w:tc>
      </w:tr>
      <w:tr w:rsidR="00D001AB" w:rsidRPr="00F07699" w14:paraId="41586FEC" w14:textId="77777777" w:rsidTr="00B96CC8">
        <w:trPr>
          <w:trHeight w:val="317"/>
        </w:trPr>
        <w:tc>
          <w:tcPr>
            <w:tcW w:w="148" w:type="pct"/>
            <w:vMerge/>
          </w:tcPr>
          <w:p w14:paraId="5E206302" w14:textId="77777777" w:rsidR="00D001AB" w:rsidRPr="00BC78CF" w:rsidRDefault="00D001AB" w:rsidP="003B6F71">
            <w:pPr>
              <w:pStyle w:val="Tabletext"/>
              <w:rPr>
                <w:color w:val="FF0000"/>
              </w:rPr>
            </w:pPr>
          </w:p>
        </w:tc>
        <w:tc>
          <w:tcPr>
            <w:tcW w:w="737" w:type="pct"/>
            <w:vMerge/>
          </w:tcPr>
          <w:p w14:paraId="1B8326A2" w14:textId="77777777" w:rsidR="00D001AB" w:rsidRPr="00F07699" w:rsidRDefault="00D001AB" w:rsidP="003B6F71">
            <w:pPr>
              <w:pStyle w:val="Tabletext"/>
              <w:rPr>
                <w:rFonts w:cs="Arial"/>
              </w:rPr>
            </w:pPr>
          </w:p>
        </w:tc>
        <w:tc>
          <w:tcPr>
            <w:tcW w:w="164" w:type="pct"/>
          </w:tcPr>
          <w:p w14:paraId="116DE5B4" w14:textId="77777777" w:rsidR="00D001AB" w:rsidRPr="00BC78CF" w:rsidRDefault="00D001AB" w:rsidP="003B6F71">
            <w:pPr>
              <w:pStyle w:val="Tabletext"/>
              <w:rPr>
                <w:rFonts w:cs="Arial"/>
                <w:color w:val="FF0000"/>
              </w:rPr>
            </w:pPr>
            <w:r w:rsidRPr="00BC78CF">
              <w:rPr>
                <w:color w:val="FF0000"/>
              </w:rPr>
              <w:t>(c)</w:t>
            </w:r>
          </w:p>
        </w:tc>
        <w:tc>
          <w:tcPr>
            <w:tcW w:w="1879" w:type="pct"/>
          </w:tcPr>
          <w:p w14:paraId="4011DD7E" w14:textId="77777777" w:rsidR="00D001AB" w:rsidRPr="00F07699" w:rsidRDefault="00D001AB" w:rsidP="003B6F71">
            <w:pPr>
              <w:pStyle w:val="Tabletext"/>
              <w:rPr>
                <w:rFonts w:cs="Arial"/>
              </w:rPr>
            </w:pPr>
            <w:r w:rsidRPr="00F07699">
              <w:rPr>
                <w:rFonts w:cs="Arial"/>
              </w:rPr>
              <w:t>Human resource security</w:t>
            </w:r>
          </w:p>
        </w:tc>
        <w:tc>
          <w:tcPr>
            <w:tcW w:w="2072" w:type="pct"/>
          </w:tcPr>
          <w:p w14:paraId="086AFFF8" w14:textId="77777777" w:rsidR="00D001AB" w:rsidRPr="00F07699" w:rsidRDefault="00D001AB" w:rsidP="003B6F71">
            <w:pPr>
              <w:pStyle w:val="Tabletext"/>
              <w:rPr>
                <w:rFonts w:cs="Arial"/>
              </w:rPr>
            </w:pPr>
            <w:r w:rsidRPr="00F07699">
              <w:rPr>
                <w:rFonts w:cs="Arial"/>
              </w:rPr>
              <w:t>Background checks are performed on all personnel prior to being able to access the CDR data environment. These may include, but are not limited to, reference checks and police checks.</w:t>
            </w:r>
          </w:p>
          <w:p w14:paraId="0BEA94BB" w14:textId="77777777" w:rsidR="00D001AB" w:rsidRPr="00F07699" w:rsidRDefault="00D001AB" w:rsidP="003B6F71">
            <w:pPr>
              <w:pStyle w:val="Tabletext"/>
              <w:rPr>
                <w:rFonts w:cs="Arial"/>
              </w:rPr>
            </w:pPr>
          </w:p>
        </w:tc>
      </w:tr>
      <w:tr w:rsidR="00D001AB" w:rsidRPr="00A33F1A" w14:paraId="5051E737" w14:textId="77777777" w:rsidTr="00B96CC8">
        <w:trPr>
          <w:trHeight w:val="317"/>
        </w:trPr>
        <w:tc>
          <w:tcPr>
            <w:tcW w:w="148" w:type="pct"/>
          </w:tcPr>
          <w:p w14:paraId="78CA8E18" w14:textId="77777777" w:rsidR="00D001AB" w:rsidRPr="00BC78CF" w:rsidRDefault="00D001AB" w:rsidP="003B6F71">
            <w:pPr>
              <w:pStyle w:val="Tabletext"/>
              <w:rPr>
                <w:color w:val="FF0000"/>
              </w:rPr>
            </w:pPr>
            <w:r w:rsidRPr="00BC78CF">
              <w:rPr>
                <w:color w:val="FF0000"/>
              </w:rPr>
              <w:t>(7)</w:t>
            </w:r>
          </w:p>
        </w:tc>
        <w:tc>
          <w:tcPr>
            <w:tcW w:w="737" w:type="pct"/>
          </w:tcPr>
          <w:p w14:paraId="0DBA1500" w14:textId="06020835" w:rsidR="00D001AB" w:rsidRPr="00BC78CF" w:rsidRDefault="00C10087" w:rsidP="003B6F71">
            <w:pPr>
              <w:pStyle w:val="Tabletext"/>
              <w:rPr>
                <w:rFonts w:cs="Arial"/>
                <w:color w:val="FF0000"/>
              </w:rPr>
            </w:pPr>
            <w:r w:rsidRPr="00BC78CF">
              <w:rPr>
                <w:color w:val="FF0000"/>
              </w:rPr>
              <w:t xml:space="preserve">A sponsor must implement a third party </w:t>
            </w:r>
            <w:r w:rsidR="00D001AB" w:rsidRPr="00BC78CF">
              <w:rPr>
                <w:color w:val="FF0000"/>
              </w:rPr>
              <w:t>management</w:t>
            </w:r>
            <w:r w:rsidRPr="00BC78CF">
              <w:rPr>
                <w:color w:val="FF0000"/>
              </w:rPr>
              <w:t xml:space="preserve"> fra</w:t>
            </w:r>
            <w:r w:rsidR="00B1387B" w:rsidRPr="00BC78CF">
              <w:rPr>
                <w:color w:val="FF0000"/>
              </w:rPr>
              <w:t>mework</w:t>
            </w:r>
          </w:p>
        </w:tc>
        <w:tc>
          <w:tcPr>
            <w:tcW w:w="164" w:type="pct"/>
          </w:tcPr>
          <w:p w14:paraId="36C4523B" w14:textId="77777777" w:rsidR="00D001AB" w:rsidRPr="00BC78CF" w:rsidRDefault="00D001AB" w:rsidP="003B6F71">
            <w:pPr>
              <w:pStyle w:val="Tabletext"/>
              <w:rPr>
                <w:color w:val="FF0000"/>
              </w:rPr>
            </w:pPr>
            <w:r w:rsidRPr="00BC78CF">
              <w:rPr>
                <w:color w:val="FF0000"/>
              </w:rPr>
              <w:t>(a)</w:t>
            </w:r>
          </w:p>
        </w:tc>
        <w:tc>
          <w:tcPr>
            <w:tcW w:w="1879" w:type="pct"/>
          </w:tcPr>
          <w:p w14:paraId="249361E0" w14:textId="77777777" w:rsidR="00D001AB" w:rsidRPr="00BC78CF" w:rsidRDefault="00D001AB" w:rsidP="003B6F71">
            <w:pPr>
              <w:pStyle w:val="Tabletext"/>
              <w:rPr>
                <w:rFonts w:cs="Arial"/>
                <w:color w:val="FF0000"/>
              </w:rPr>
            </w:pPr>
            <w:r w:rsidRPr="00BC78CF">
              <w:rPr>
                <w:color w:val="FF0000"/>
              </w:rPr>
              <w:t>Implementation and maintenance of a third-party management framework</w:t>
            </w:r>
          </w:p>
        </w:tc>
        <w:tc>
          <w:tcPr>
            <w:tcW w:w="2072" w:type="pct"/>
          </w:tcPr>
          <w:p w14:paraId="451E89F1" w14:textId="3B02187C" w:rsidR="00D001AB" w:rsidRPr="00BC78CF" w:rsidRDefault="00C10087" w:rsidP="003B6F71">
            <w:pPr>
              <w:spacing w:line="240" w:lineRule="atLeast"/>
              <w:rPr>
                <w:rFonts w:cs="Times New Roman"/>
                <w:color w:val="FF0000"/>
                <w:sz w:val="20"/>
                <w:lang w:eastAsia="en-AU"/>
              </w:rPr>
            </w:pPr>
            <w:r w:rsidRPr="00BC78CF">
              <w:rPr>
                <w:rFonts w:cs="Times New Roman"/>
                <w:color w:val="FF0000"/>
                <w:sz w:val="20"/>
                <w:lang w:eastAsia="en-AU"/>
              </w:rPr>
              <w:t>A</w:t>
            </w:r>
            <w:r w:rsidR="00D001AB" w:rsidRPr="00BC78CF">
              <w:rPr>
                <w:rFonts w:cs="Times New Roman"/>
                <w:color w:val="FF0000"/>
                <w:sz w:val="20"/>
                <w:lang w:eastAsia="en-AU"/>
              </w:rPr>
              <w:t>ffiliates must be managed by the sponsor in line with a defined third-party management framework, which should include requirements and activities relating to:</w:t>
            </w:r>
          </w:p>
          <w:p w14:paraId="3F9ECBE6" w14:textId="192F1F19" w:rsidR="00D001AB" w:rsidRPr="00BC78CF" w:rsidRDefault="00C10087" w:rsidP="003B6F71">
            <w:pPr>
              <w:pStyle w:val="ListParagraph"/>
              <w:numPr>
                <w:ilvl w:val="0"/>
                <w:numId w:val="8"/>
              </w:numPr>
              <w:spacing w:before="60" w:after="60" w:line="240" w:lineRule="atLeast"/>
              <w:ind w:left="367"/>
              <w:rPr>
                <w:rFonts w:cs="Times New Roman"/>
                <w:color w:val="FF0000"/>
                <w:sz w:val="20"/>
                <w:lang w:eastAsia="en-AU"/>
              </w:rPr>
            </w:pPr>
            <w:r w:rsidRPr="00BC78CF">
              <w:rPr>
                <w:rFonts w:cs="Times New Roman"/>
                <w:color w:val="FF0000"/>
                <w:sz w:val="20"/>
                <w:lang w:eastAsia="en-AU"/>
              </w:rPr>
              <w:t>d</w:t>
            </w:r>
            <w:r w:rsidR="00D001AB" w:rsidRPr="00BC78CF">
              <w:rPr>
                <w:rFonts w:cs="Times New Roman"/>
                <w:color w:val="FF0000"/>
                <w:sz w:val="20"/>
                <w:lang w:eastAsia="en-AU"/>
              </w:rPr>
              <w:t>ue diligence prior to establishing new relationships or contracts</w:t>
            </w:r>
            <w:r w:rsidRPr="00BC78CF">
              <w:rPr>
                <w:rFonts w:cs="Times New Roman"/>
                <w:color w:val="FF0000"/>
                <w:sz w:val="20"/>
                <w:lang w:eastAsia="en-AU"/>
              </w:rPr>
              <w:t>;</w:t>
            </w:r>
          </w:p>
          <w:p w14:paraId="4A011F3B" w14:textId="41FBABE2" w:rsidR="00D001AB" w:rsidRPr="00BC78CF" w:rsidRDefault="00C10087" w:rsidP="003B6F71">
            <w:pPr>
              <w:pStyle w:val="ListParagraph"/>
              <w:numPr>
                <w:ilvl w:val="0"/>
                <w:numId w:val="8"/>
              </w:numPr>
              <w:spacing w:before="60" w:after="60" w:line="240" w:lineRule="atLeast"/>
              <w:ind w:left="367"/>
              <w:rPr>
                <w:rFonts w:cs="Times New Roman"/>
                <w:color w:val="FF0000"/>
                <w:sz w:val="20"/>
                <w:lang w:eastAsia="en-AU"/>
              </w:rPr>
            </w:pPr>
            <w:r w:rsidRPr="00BC78CF">
              <w:rPr>
                <w:rFonts w:cs="Times New Roman"/>
                <w:color w:val="FF0000"/>
                <w:sz w:val="20"/>
                <w:lang w:eastAsia="en-AU"/>
              </w:rPr>
              <w:t>c</w:t>
            </w:r>
            <w:r w:rsidR="00D001AB" w:rsidRPr="00BC78CF">
              <w:rPr>
                <w:rFonts w:cs="Times New Roman"/>
                <w:color w:val="FF0000"/>
                <w:sz w:val="20"/>
                <w:lang w:eastAsia="en-AU"/>
              </w:rPr>
              <w:t>ontractual agreements reflective of responsibilities for the CDR data and data environment</w:t>
            </w:r>
            <w:r w:rsidRPr="00BC78CF">
              <w:rPr>
                <w:rFonts w:cs="Times New Roman"/>
                <w:color w:val="FF0000"/>
                <w:sz w:val="20"/>
                <w:lang w:eastAsia="en-AU"/>
              </w:rPr>
              <w:t>;</w:t>
            </w:r>
          </w:p>
          <w:p w14:paraId="2817EAC2" w14:textId="36F6DE27" w:rsidR="00D001AB" w:rsidRPr="00BC78CF" w:rsidRDefault="00C10087" w:rsidP="003B6F71">
            <w:pPr>
              <w:pStyle w:val="ListParagraph"/>
              <w:numPr>
                <w:ilvl w:val="0"/>
                <w:numId w:val="8"/>
              </w:numPr>
              <w:spacing w:before="60" w:after="60" w:line="240" w:lineRule="atLeast"/>
              <w:ind w:left="367"/>
              <w:rPr>
                <w:rFonts w:cs="Times New Roman"/>
                <w:color w:val="FF0000"/>
                <w:sz w:val="20"/>
                <w:lang w:eastAsia="en-AU"/>
              </w:rPr>
            </w:pPr>
            <w:r w:rsidRPr="00BC78CF">
              <w:rPr>
                <w:rFonts w:cs="Times New Roman"/>
                <w:color w:val="FF0000"/>
                <w:sz w:val="20"/>
                <w:lang w:eastAsia="en-AU"/>
              </w:rPr>
              <w:t>a</w:t>
            </w:r>
            <w:r w:rsidR="00D001AB" w:rsidRPr="00BC78CF">
              <w:rPr>
                <w:rFonts w:cs="Times New Roman"/>
                <w:color w:val="FF0000"/>
                <w:sz w:val="20"/>
                <w:lang w:eastAsia="en-AU"/>
              </w:rPr>
              <w:t>nnual review and assurance activities</w:t>
            </w:r>
            <w:r w:rsidRPr="00BC78CF">
              <w:rPr>
                <w:rFonts w:cs="Times New Roman"/>
                <w:color w:val="FF0000"/>
                <w:sz w:val="20"/>
                <w:lang w:eastAsia="en-AU"/>
              </w:rPr>
              <w:t>;</w:t>
            </w:r>
          </w:p>
          <w:p w14:paraId="3895E387" w14:textId="1CA15721" w:rsidR="00D001AB" w:rsidRPr="00BC78CF" w:rsidRDefault="00C10087" w:rsidP="003B6F71">
            <w:pPr>
              <w:pStyle w:val="ListParagraph"/>
              <w:numPr>
                <w:ilvl w:val="0"/>
                <w:numId w:val="8"/>
              </w:numPr>
              <w:spacing w:before="60" w:after="60" w:line="240" w:lineRule="atLeast"/>
              <w:ind w:left="367"/>
              <w:rPr>
                <w:rFonts w:cs="Times New Roman"/>
                <w:color w:val="FF0000"/>
                <w:sz w:val="20"/>
                <w:lang w:eastAsia="en-AU"/>
              </w:rPr>
            </w:pPr>
            <w:r w:rsidRPr="00BC78CF">
              <w:rPr>
                <w:rFonts w:cs="Times New Roman"/>
                <w:color w:val="FF0000"/>
                <w:sz w:val="20"/>
                <w:lang w:eastAsia="en-AU"/>
              </w:rPr>
              <w:t>r</w:t>
            </w:r>
            <w:r w:rsidR="00D001AB" w:rsidRPr="00BC78CF">
              <w:rPr>
                <w:rFonts w:cs="Times New Roman"/>
                <w:color w:val="FF0000"/>
                <w:sz w:val="20"/>
                <w:lang w:eastAsia="en-AU"/>
              </w:rPr>
              <w:t>eporting requirements</w:t>
            </w:r>
            <w:r w:rsidRPr="00BC78CF">
              <w:rPr>
                <w:rFonts w:cs="Times New Roman"/>
                <w:color w:val="FF0000"/>
                <w:sz w:val="20"/>
                <w:lang w:eastAsia="en-AU"/>
              </w:rPr>
              <w:t>;</w:t>
            </w:r>
          </w:p>
          <w:p w14:paraId="22E41571" w14:textId="77777777" w:rsidR="00D001AB" w:rsidRPr="00BC78CF" w:rsidRDefault="00C10087" w:rsidP="003B6F71">
            <w:pPr>
              <w:pStyle w:val="ListParagraph"/>
              <w:numPr>
                <w:ilvl w:val="0"/>
                <w:numId w:val="8"/>
              </w:numPr>
              <w:spacing w:before="60" w:after="60" w:line="240" w:lineRule="atLeast"/>
              <w:ind w:left="367"/>
              <w:rPr>
                <w:rFonts w:cs="Times New Roman"/>
                <w:color w:val="FF0000"/>
                <w:sz w:val="20"/>
                <w:lang w:eastAsia="en-AU"/>
              </w:rPr>
            </w:pPr>
            <w:r w:rsidRPr="00BC78CF">
              <w:rPr>
                <w:rFonts w:cs="Times New Roman"/>
                <w:color w:val="FF0000"/>
                <w:sz w:val="20"/>
                <w:lang w:eastAsia="en-AU"/>
              </w:rPr>
              <w:t>p</w:t>
            </w:r>
            <w:r w:rsidRPr="00BC78CF">
              <w:rPr>
                <w:color w:val="FF0000"/>
                <w:sz w:val="20"/>
              </w:rPr>
              <w:t>ost-contract requirements.</w:t>
            </w:r>
          </w:p>
          <w:p w14:paraId="69467DB8" w14:textId="177948A1" w:rsidR="00C10087" w:rsidRPr="00BC78CF" w:rsidRDefault="00C10087" w:rsidP="00C10087">
            <w:pPr>
              <w:pStyle w:val="ListParagraph"/>
              <w:spacing w:before="60" w:after="60" w:line="240" w:lineRule="atLeast"/>
              <w:ind w:left="367"/>
              <w:rPr>
                <w:rFonts w:cs="Times New Roman"/>
                <w:color w:val="FF0000"/>
                <w:sz w:val="20"/>
                <w:lang w:eastAsia="en-AU"/>
              </w:rPr>
            </w:pPr>
          </w:p>
        </w:tc>
      </w:tr>
    </w:tbl>
    <w:p w14:paraId="232A4321" w14:textId="77777777" w:rsidR="00D001AB" w:rsidRDefault="00D001AB" w:rsidP="00D001AB">
      <w:pPr>
        <w:pStyle w:val="ActHead7"/>
      </w:pPr>
    </w:p>
    <w:p w14:paraId="275E0861" w14:textId="77777777" w:rsidR="00D001AB" w:rsidRDefault="00D001AB" w:rsidP="00D001AB">
      <w:pPr>
        <w:pStyle w:val="ItemHead"/>
      </w:pPr>
    </w:p>
    <w:p w14:paraId="5D743E57" w14:textId="77777777" w:rsidR="00D001AB" w:rsidRPr="00D001AB" w:rsidRDefault="00D001AB" w:rsidP="00D001AB">
      <w:pPr>
        <w:pStyle w:val="Item"/>
      </w:pPr>
    </w:p>
    <w:p w14:paraId="4D1EBB9E" w14:textId="77777777" w:rsidR="00A81512" w:rsidRDefault="00A81512" w:rsidP="00A81512">
      <w:pPr>
        <w:pStyle w:val="subsection"/>
        <w:sectPr w:rsidR="00A81512" w:rsidSect="007744AA">
          <w:pgSz w:w="16839" w:h="11907" w:orient="landscape" w:code="9"/>
          <w:pgMar w:top="1797" w:right="2234" w:bottom="1797" w:left="1440" w:header="720" w:footer="709" w:gutter="0"/>
          <w:cols w:space="708"/>
          <w:docGrid w:linePitch="360"/>
        </w:sectPr>
      </w:pPr>
    </w:p>
    <w:p w14:paraId="7FBE931D" w14:textId="77777777" w:rsidR="00A81512" w:rsidRDefault="00A81512" w:rsidP="00CF0E3D">
      <w:pPr>
        <w:pStyle w:val="ActHead6"/>
        <w:rPr>
          <w:color w:val="000000" w:themeColor="text1"/>
        </w:rPr>
      </w:pPr>
    </w:p>
    <w:p w14:paraId="461B9ED6" w14:textId="77777777" w:rsidR="00CF0E3D" w:rsidRDefault="00CF0E3D" w:rsidP="00CF0E3D">
      <w:pPr>
        <w:pStyle w:val="ActHead6"/>
        <w:rPr>
          <w:color w:val="000000" w:themeColor="text1"/>
        </w:rPr>
      </w:pPr>
      <w:bookmarkStart w:id="580" w:name="_Toc74916316"/>
      <w:r>
        <w:rPr>
          <w:color w:val="000000" w:themeColor="text1"/>
        </w:rPr>
        <w:t>Schedule 3</w:t>
      </w:r>
      <w:r w:rsidRPr="00A34C1D">
        <w:rPr>
          <w:color w:val="000000" w:themeColor="text1"/>
        </w:rPr>
        <w:t>—</w:t>
      </w:r>
      <w:r>
        <w:rPr>
          <w:color w:val="000000" w:themeColor="text1"/>
        </w:rPr>
        <w:t>Provisions relevant to the banking sector</w:t>
      </w:r>
      <w:bookmarkEnd w:id="579"/>
      <w:bookmarkEnd w:id="580"/>
    </w:p>
    <w:p w14:paraId="2CA958ED" w14:textId="77777777" w:rsidR="00CF0E3D" w:rsidRDefault="00CF0E3D" w:rsidP="00CF0E3D">
      <w:pPr>
        <w:pStyle w:val="ActHead2"/>
      </w:pPr>
      <w:bookmarkStart w:id="581" w:name="_Toc11771724"/>
      <w:bookmarkStart w:id="582" w:name="_Toc74916317"/>
      <w:r>
        <w:t>Part 1—Preliminary</w:t>
      </w:r>
      <w:bookmarkEnd w:id="581"/>
      <w:bookmarkEnd w:id="582"/>
    </w:p>
    <w:p w14:paraId="77C54620" w14:textId="77777777" w:rsidR="00CF0E3D" w:rsidRPr="00B3173B" w:rsidRDefault="00CF0E3D" w:rsidP="00CF0E3D">
      <w:pPr>
        <w:pStyle w:val="ActHead5"/>
      </w:pPr>
      <w:bookmarkStart w:id="583" w:name="_Toc11771725"/>
      <w:bookmarkStart w:id="584" w:name="_Toc74916318"/>
      <w:r>
        <w:t>1.1</w:t>
      </w:r>
      <w:r w:rsidRPr="00B3173B">
        <w:t xml:space="preserve">  Simplified outline of this Schedule</w:t>
      </w:r>
      <w:bookmarkEnd w:id="583"/>
      <w:bookmarkEnd w:id="584"/>
    </w:p>
    <w:p w14:paraId="66202525" w14:textId="77777777" w:rsidR="00CF0E3D" w:rsidRPr="00DA53C7" w:rsidRDefault="00CF0E3D" w:rsidP="00CF0E3D">
      <w:pPr>
        <w:pStyle w:val="SOText"/>
      </w:pPr>
      <w:r w:rsidRPr="00DA53C7">
        <w:t>This Schedule deals with how these rules apply in relation to the banking sector.</w:t>
      </w:r>
    </w:p>
    <w:p w14:paraId="7A3DEF74" w14:textId="77777777" w:rsidR="00CF0E3D" w:rsidRPr="007C39E2" w:rsidRDefault="00CF0E3D" w:rsidP="00CF0E3D">
      <w:pPr>
        <w:pStyle w:val="SOText"/>
      </w:pPr>
      <w:r w:rsidRPr="00DA53C7">
        <w:t>Some defined terms apply only in relation to the banking sector</w:t>
      </w:r>
      <w:r w:rsidRPr="007C39E2">
        <w:t xml:space="preserve">. These are defined in </w:t>
      </w:r>
      <w:r>
        <w:t>Part 1</w:t>
      </w:r>
      <w:r w:rsidRPr="007C39E2">
        <w:t xml:space="preserve"> of this Schedule.</w:t>
      </w:r>
    </w:p>
    <w:p w14:paraId="35182E60" w14:textId="77777777" w:rsidR="00CF0E3D" w:rsidRPr="007C39E2" w:rsidRDefault="00CF0E3D" w:rsidP="00CF0E3D">
      <w:pPr>
        <w:pStyle w:val="SOText"/>
      </w:pPr>
      <w:r>
        <w:t>Part 2</w:t>
      </w:r>
      <w:r w:rsidRPr="007C39E2">
        <w:t xml:space="preserve"> of this Schedule deals with eligible CDR consumers in relation to the banking sector.</w:t>
      </w:r>
    </w:p>
    <w:p w14:paraId="7BB7EED0" w14:textId="77777777" w:rsidR="00CF0E3D" w:rsidRPr="00DA53C7" w:rsidRDefault="00CF0E3D" w:rsidP="00CF0E3D">
      <w:pPr>
        <w:pStyle w:val="SOText"/>
      </w:pPr>
      <w:r>
        <w:t>Part 3</w:t>
      </w:r>
      <w:r w:rsidRPr="00DA53C7">
        <w:t xml:space="preserve"> of this Schedule deals with CDR data that can </w:t>
      </w:r>
      <w:r w:rsidRPr="007C39E2">
        <w:t xml:space="preserve">or must </w:t>
      </w:r>
      <w:r w:rsidRPr="00DA53C7">
        <w:t>be disclosed when product data requests and consumer data requests are made in relation to the banking sector.</w:t>
      </w:r>
    </w:p>
    <w:p w14:paraId="5A51AEE0" w14:textId="77777777" w:rsidR="00CF0E3D" w:rsidRDefault="00CF0E3D" w:rsidP="00CF0E3D">
      <w:pPr>
        <w:pStyle w:val="SOText"/>
      </w:pPr>
      <w:r>
        <w:t>Part 4</w:t>
      </w:r>
      <w:r w:rsidRPr="00DA53C7">
        <w:t xml:space="preserve"> of this Schedule deals with joint accounts within the banking sector.</w:t>
      </w:r>
    </w:p>
    <w:p w14:paraId="0AAEB765" w14:textId="77777777" w:rsidR="00CF0E3D" w:rsidRPr="00DA53C7" w:rsidRDefault="00CF0E3D" w:rsidP="00CF0E3D">
      <w:pPr>
        <w:pStyle w:val="SOText"/>
      </w:pPr>
      <w:r>
        <w:t>Part 5 of this Schedule deals with internal dispute resolution requirements in relation to the banking sector.</w:t>
      </w:r>
    </w:p>
    <w:p w14:paraId="6BBE665F" w14:textId="77777777" w:rsidR="00CF0E3D" w:rsidRPr="00DA53C7" w:rsidRDefault="00CF0E3D" w:rsidP="00CF0E3D">
      <w:pPr>
        <w:pStyle w:val="SOText"/>
      </w:pPr>
      <w:r>
        <w:t>Part 6</w:t>
      </w:r>
      <w:r w:rsidRPr="00DA53C7">
        <w:t xml:space="preserve"> of these rules deals with the staged application of these rules to the banking sector. Over time, as set out in this Part, these rules will apply to a progressively broader range of data holders within the banking sector, and to a progressively broader range of banking products.</w:t>
      </w:r>
    </w:p>
    <w:p w14:paraId="026A2BB3" w14:textId="77777777" w:rsidR="00CF0E3D" w:rsidRPr="00DA53C7" w:rsidRDefault="00CF0E3D" w:rsidP="00CF0E3D">
      <w:pPr>
        <w:pStyle w:val="SOText"/>
      </w:pPr>
      <w:r>
        <w:t>Part 7</w:t>
      </w:r>
      <w:r w:rsidRPr="00DA53C7">
        <w:t xml:space="preserve"> deals with provisions of these rules that apply differently in relation to the banking sector.</w:t>
      </w:r>
    </w:p>
    <w:p w14:paraId="3E1B15C5" w14:textId="77777777" w:rsidR="00CF0E3D" w:rsidRDefault="00CF0E3D" w:rsidP="00CF0E3D">
      <w:pPr>
        <w:pStyle w:val="ActHead5"/>
      </w:pPr>
      <w:bookmarkStart w:id="585" w:name="_Toc11771726"/>
      <w:bookmarkStart w:id="586" w:name="_Toc74916319"/>
      <w:r>
        <w:t>1.2  Interpretation</w:t>
      </w:r>
      <w:bookmarkEnd w:id="585"/>
      <w:bookmarkEnd w:id="586"/>
    </w:p>
    <w:p w14:paraId="301EF2B2" w14:textId="77777777" w:rsidR="00CF0E3D" w:rsidRDefault="00CF0E3D" w:rsidP="00CF0E3D">
      <w:pPr>
        <w:pStyle w:val="subsection"/>
      </w:pPr>
      <w:r>
        <w:tab/>
      </w:r>
      <w:r>
        <w:tab/>
        <w:t>In this Schedule:</w:t>
      </w:r>
    </w:p>
    <w:p w14:paraId="2E517620" w14:textId="77777777" w:rsidR="00CF0E3D" w:rsidRDefault="00CF0E3D" w:rsidP="00CF0E3D">
      <w:pPr>
        <w:pStyle w:val="Definition"/>
      </w:pPr>
      <w:r>
        <w:rPr>
          <w:b/>
          <w:i/>
        </w:rPr>
        <w:t xml:space="preserve">account data </w:t>
      </w:r>
      <w:r>
        <w:t>has the meaning given by clause 1.3 of this Schedule.</w:t>
      </w:r>
    </w:p>
    <w:p w14:paraId="062D6CD7" w14:textId="77777777" w:rsidR="00CF0E3D" w:rsidRPr="00A605C3" w:rsidRDefault="00CF0E3D" w:rsidP="00CF0E3D">
      <w:pPr>
        <w:pStyle w:val="Definition"/>
      </w:pPr>
      <w:r>
        <w:rPr>
          <w:b/>
          <w:i/>
        </w:rPr>
        <w:t xml:space="preserve">accredited ADI </w:t>
      </w:r>
      <w:r>
        <w:t>has the meaning given by clause 6.2 of this Schedule.</w:t>
      </w:r>
    </w:p>
    <w:p w14:paraId="17B524F6" w14:textId="77777777" w:rsidR="00CF0E3D" w:rsidRPr="00DA53C7" w:rsidRDefault="00CF0E3D" w:rsidP="00CF0E3D">
      <w:pPr>
        <w:pStyle w:val="Definition"/>
      </w:pPr>
      <w:r w:rsidRPr="00DA53C7">
        <w:rPr>
          <w:b/>
          <w:i/>
        </w:rPr>
        <w:t xml:space="preserve">any other relevant ADI </w:t>
      </w:r>
      <w:r w:rsidRPr="00DA53C7">
        <w:t xml:space="preserve">has the meaning given by clause </w:t>
      </w:r>
      <w:r>
        <w:t>6.2</w:t>
      </w:r>
      <w:r w:rsidRPr="00DA53C7">
        <w:t xml:space="preserve"> of this Schedule.</w:t>
      </w:r>
    </w:p>
    <w:p w14:paraId="1B57B554" w14:textId="77777777" w:rsidR="00CF0E3D" w:rsidRPr="006B5200" w:rsidRDefault="00CF0E3D" w:rsidP="00CF0E3D">
      <w:pPr>
        <w:pStyle w:val="Definition"/>
        <w:rPr>
          <w:b/>
          <w:i/>
        </w:rPr>
      </w:pPr>
      <w:r>
        <w:rPr>
          <w:b/>
          <w:i/>
        </w:rPr>
        <w:t xml:space="preserve">associate </w:t>
      </w:r>
      <w:r>
        <w:t xml:space="preserve">has the meaning given by the </w:t>
      </w:r>
      <w:r w:rsidRPr="00965076">
        <w:t>banking</w:t>
      </w:r>
      <w:r>
        <w:t xml:space="preserve"> sector</w:t>
      </w:r>
      <w:r w:rsidRPr="00965076">
        <w:t xml:space="preserve"> designation</w:t>
      </w:r>
      <w:r>
        <w:t xml:space="preserve"> instrument.</w:t>
      </w:r>
    </w:p>
    <w:p w14:paraId="0ED427B1" w14:textId="77777777" w:rsidR="00CF0E3D" w:rsidRPr="006B5200" w:rsidRDefault="00CF0E3D" w:rsidP="00CF0E3D">
      <w:pPr>
        <w:pStyle w:val="Definition"/>
        <w:rPr>
          <w:b/>
          <w:i/>
        </w:rPr>
      </w:pPr>
      <w:r>
        <w:rPr>
          <w:b/>
          <w:i/>
        </w:rPr>
        <w:t xml:space="preserve">banking business </w:t>
      </w:r>
      <w:r>
        <w:t xml:space="preserve">has the meaning given by the </w:t>
      </w:r>
      <w:r w:rsidRPr="00965076">
        <w:t xml:space="preserve">banking </w:t>
      </w:r>
      <w:r>
        <w:t>sector</w:t>
      </w:r>
      <w:r w:rsidRPr="00965076">
        <w:t xml:space="preserve"> designation</w:t>
      </w:r>
      <w:r>
        <w:t xml:space="preserve"> instrument.</w:t>
      </w:r>
    </w:p>
    <w:p w14:paraId="7C037269" w14:textId="77777777" w:rsidR="00CF0E3D" w:rsidRDefault="00CF0E3D" w:rsidP="00CF0E3D">
      <w:pPr>
        <w:pStyle w:val="Definition"/>
      </w:pPr>
      <w:r>
        <w:rPr>
          <w:b/>
          <w:i/>
        </w:rPr>
        <w:t xml:space="preserve">banking sector </w:t>
      </w:r>
      <w:r>
        <w:t xml:space="preserve">means the sector of the Australian economy that is designated by the </w:t>
      </w:r>
      <w:r w:rsidRPr="00965076">
        <w:t xml:space="preserve">banking </w:t>
      </w:r>
      <w:r>
        <w:t>sector</w:t>
      </w:r>
      <w:r w:rsidRPr="00965076">
        <w:t xml:space="preserve"> designation</w:t>
      </w:r>
      <w:r>
        <w:t xml:space="preserve"> instrument.</w:t>
      </w:r>
    </w:p>
    <w:p w14:paraId="2B49206E" w14:textId="77777777" w:rsidR="00CF0E3D" w:rsidRDefault="00CF0E3D" w:rsidP="00CF0E3D">
      <w:pPr>
        <w:pStyle w:val="Definition"/>
      </w:pPr>
      <w:r>
        <w:rPr>
          <w:b/>
          <w:i/>
        </w:rPr>
        <w:t xml:space="preserve">banking sector designation instrument </w:t>
      </w:r>
      <w:r>
        <w:t xml:space="preserve">means the </w:t>
      </w:r>
      <w:r>
        <w:rPr>
          <w:i/>
        </w:rPr>
        <w:t>Consumer Data Right (Authorised Deposit</w:t>
      </w:r>
      <w:r>
        <w:rPr>
          <w:i/>
        </w:rPr>
        <w:noBreakHyphen/>
        <w:t>Taking Institutions) Designation 2019</w:t>
      </w:r>
      <w:r w:rsidRPr="007E7FBF">
        <w:t xml:space="preserve"> as in force from time to time</w:t>
      </w:r>
      <w:r>
        <w:t>.</w:t>
      </w:r>
    </w:p>
    <w:p w14:paraId="2F6DE039" w14:textId="77777777" w:rsidR="00CF0E3D" w:rsidRPr="00956176" w:rsidRDefault="00CF0E3D" w:rsidP="00CF0E3D">
      <w:pPr>
        <w:pStyle w:val="Definition"/>
      </w:pPr>
      <w:r w:rsidRPr="00956176">
        <w:rPr>
          <w:b/>
          <w:i/>
        </w:rPr>
        <w:t>customer data</w:t>
      </w:r>
      <w:r w:rsidRPr="00956176">
        <w:t xml:space="preserve"> has the meaning given by clause </w:t>
      </w:r>
      <w:r>
        <w:t>1.3</w:t>
      </w:r>
      <w:r w:rsidRPr="00956176">
        <w:t xml:space="preserve"> of this Schedule.</w:t>
      </w:r>
    </w:p>
    <w:p w14:paraId="253FB064" w14:textId="77777777" w:rsidR="00CF0E3D" w:rsidRPr="00956176" w:rsidRDefault="00CF0E3D" w:rsidP="00CF0E3D">
      <w:pPr>
        <w:pStyle w:val="Definition"/>
      </w:pPr>
      <w:r w:rsidRPr="00956176">
        <w:rPr>
          <w:b/>
          <w:i/>
        </w:rPr>
        <w:t xml:space="preserve">foreign ADI </w:t>
      </w:r>
      <w:r w:rsidRPr="00956176">
        <w:t xml:space="preserve">has the meaning given by the </w:t>
      </w:r>
      <w:r w:rsidRPr="00956176">
        <w:rPr>
          <w:i/>
        </w:rPr>
        <w:t>Banking Act 1959</w:t>
      </w:r>
      <w:r w:rsidRPr="00956176">
        <w:t>.</w:t>
      </w:r>
    </w:p>
    <w:p w14:paraId="175EC353" w14:textId="77777777" w:rsidR="00CF0E3D" w:rsidRPr="00A605C3" w:rsidRDefault="00CF0E3D" w:rsidP="00CF0E3D">
      <w:pPr>
        <w:pStyle w:val="Definition"/>
      </w:pPr>
      <w:r w:rsidRPr="00B3173B">
        <w:rPr>
          <w:b/>
          <w:i/>
        </w:rPr>
        <w:t>initial</w:t>
      </w:r>
      <w:r>
        <w:rPr>
          <w:b/>
          <w:i/>
        </w:rPr>
        <w:t xml:space="preserve"> data holder </w:t>
      </w:r>
      <w:r>
        <w:t>has the meaning given by clause 6.2 of this Schedule.</w:t>
      </w:r>
    </w:p>
    <w:p w14:paraId="2977F636" w14:textId="77777777" w:rsidR="00CF0E3D" w:rsidRPr="00BC78CF" w:rsidRDefault="00CF0E3D" w:rsidP="00CF0E3D">
      <w:pPr>
        <w:pStyle w:val="Definition"/>
        <w:rPr>
          <w:strike/>
          <w:color w:val="FF0000"/>
        </w:rPr>
      </w:pPr>
      <w:r w:rsidRPr="00BC78CF">
        <w:rPr>
          <w:b/>
          <w:i/>
          <w:strike/>
          <w:color w:val="FF0000"/>
        </w:rPr>
        <w:t>joint account</w:t>
      </w:r>
      <w:r w:rsidRPr="00BC78CF">
        <w:rPr>
          <w:strike/>
          <w:color w:val="FF0000"/>
        </w:rPr>
        <w:t>:</w:t>
      </w:r>
    </w:p>
    <w:p w14:paraId="7A2D2BCA"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means a joint account with a data holder for which there are 2 or more joint account holders, each of which is an individual who, so far as the data holder is aware, is acting in their own capacity and not on behalf of another person; but</w:t>
      </w:r>
    </w:p>
    <w:p w14:paraId="31F5CABC"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does not include a partnership account with a data holder.</w:t>
      </w:r>
    </w:p>
    <w:p w14:paraId="3D6F6CEF" w14:textId="398EFB2D" w:rsidR="00CF0E3D" w:rsidRPr="00BC78CF" w:rsidRDefault="00CF0E3D" w:rsidP="00CF0E3D">
      <w:pPr>
        <w:pStyle w:val="Definition"/>
        <w:rPr>
          <w:strike/>
          <w:color w:val="FF0000"/>
        </w:rPr>
      </w:pPr>
      <w:r w:rsidRPr="00BC78CF">
        <w:rPr>
          <w:b/>
          <w:i/>
          <w:strike/>
          <w:color w:val="FF0000"/>
        </w:rPr>
        <w:t xml:space="preserve">joint account management service </w:t>
      </w:r>
      <w:r w:rsidRPr="00BC78CF">
        <w:rPr>
          <w:strike/>
          <w:color w:val="FF0000"/>
        </w:rPr>
        <w:t xml:space="preserve">has the meaning given by subclause 4.6(2) of this </w:t>
      </w:r>
      <w:r w:rsidR="00B54B80" w:rsidRPr="00BC78CF">
        <w:rPr>
          <w:strike/>
          <w:color w:val="FF0000"/>
        </w:rPr>
        <w:t>Schedule</w:t>
      </w:r>
      <w:r w:rsidR="00CC28A8" w:rsidRPr="00BC78CF">
        <w:rPr>
          <w:strike/>
          <w:color w:val="FF0000"/>
        </w:rPr>
        <w:t>.</w:t>
      </w:r>
    </w:p>
    <w:p w14:paraId="76B2D01B" w14:textId="77777777" w:rsidR="00CF0E3D" w:rsidRPr="00924062" w:rsidRDefault="00CF0E3D" w:rsidP="00CF0E3D">
      <w:pPr>
        <w:pStyle w:val="Definition"/>
      </w:pPr>
      <w:r w:rsidRPr="00924062">
        <w:rPr>
          <w:b/>
          <w:i/>
        </w:rPr>
        <w:t xml:space="preserve">phase 1 product </w:t>
      </w:r>
      <w:r w:rsidRPr="00924062">
        <w:t xml:space="preserve">has the meaning given by </w:t>
      </w:r>
      <w:r>
        <w:t>clause 1.4</w:t>
      </w:r>
      <w:r w:rsidRPr="00924062">
        <w:t xml:space="preserve"> of this Schedule.</w:t>
      </w:r>
    </w:p>
    <w:p w14:paraId="44E6A05B" w14:textId="77777777" w:rsidR="00CF0E3D" w:rsidRPr="00D96444" w:rsidRDefault="00CF0E3D" w:rsidP="00CF0E3D">
      <w:pPr>
        <w:pStyle w:val="Definition"/>
      </w:pPr>
      <w:r w:rsidRPr="00924062">
        <w:rPr>
          <w:b/>
          <w:i/>
        </w:rPr>
        <w:t xml:space="preserve">phase 2 product </w:t>
      </w:r>
      <w:r w:rsidRPr="00924062">
        <w:t xml:space="preserve">has the meaning given by </w:t>
      </w:r>
      <w:r>
        <w:t>clause 1.4</w:t>
      </w:r>
      <w:r w:rsidRPr="00924062">
        <w:t xml:space="preserve"> of this Schedule.</w:t>
      </w:r>
    </w:p>
    <w:p w14:paraId="5EA2A956" w14:textId="77777777" w:rsidR="00CF0E3D" w:rsidRPr="00D96444" w:rsidRDefault="00CF0E3D" w:rsidP="00CF0E3D">
      <w:pPr>
        <w:pStyle w:val="Definition"/>
      </w:pPr>
      <w:r w:rsidRPr="00924062">
        <w:rPr>
          <w:b/>
          <w:i/>
        </w:rPr>
        <w:t xml:space="preserve">phase 3 product </w:t>
      </w:r>
      <w:r w:rsidRPr="00924062">
        <w:t xml:space="preserve">has the meaning given by </w:t>
      </w:r>
      <w:r>
        <w:t>clause 1.4</w:t>
      </w:r>
      <w:r w:rsidRPr="00924062">
        <w:t xml:space="preserve"> of this Schedule.</w:t>
      </w:r>
    </w:p>
    <w:p w14:paraId="21471FC3" w14:textId="77777777" w:rsidR="00CF0E3D" w:rsidRDefault="00CF0E3D" w:rsidP="00CF0E3D">
      <w:pPr>
        <w:pStyle w:val="Definition"/>
      </w:pPr>
      <w:r>
        <w:rPr>
          <w:b/>
          <w:i/>
        </w:rPr>
        <w:t xml:space="preserve">product </w:t>
      </w:r>
      <w:r>
        <w:t xml:space="preserve">has the meaning given by the </w:t>
      </w:r>
      <w:r w:rsidRPr="00965076">
        <w:t xml:space="preserve">banking </w:t>
      </w:r>
      <w:r>
        <w:t>sector</w:t>
      </w:r>
      <w:r w:rsidRPr="00965076">
        <w:t xml:space="preserve"> designation</w:t>
      </w:r>
      <w:r>
        <w:t xml:space="preserve"> instrument.</w:t>
      </w:r>
    </w:p>
    <w:p w14:paraId="409A354F" w14:textId="77777777" w:rsidR="00CF0E3D" w:rsidRPr="001C1B2B" w:rsidRDefault="00CF0E3D" w:rsidP="00CF0E3D">
      <w:pPr>
        <w:pStyle w:val="Definition"/>
      </w:pPr>
      <w:r>
        <w:rPr>
          <w:b/>
          <w:i/>
        </w:rPr>
        <w:t>product specific data</w:t>
      </w:r>
      <w:r>
        <w:t xml:space="preserve"> has the meaning given by clause 1.3 of this Schedule.</w:t>
      </w:r>
    </w:p>
    <w:p w14:paraId="76FBFDC0" w14:textId="77777777" w:rsidR="00CF0E3D" w:rsidRPr="001C1B2B" w:rsidRDefault="00CF0E3D" w:rsidP="00CF0E3D">
      <w:pPr>
        <w:pStyle w:val="Definition"/>
      </w:pPr>
      <w:r>
        <w:rPr>
          <w:b/>
          <w:i/>
        </w:rPr>
        <w:t>transaction data</w:t>
      </w:r>
      <w:r>
        <w:t xml:space="preserve"> has the meaning given by clause 1.3 of this Schedule.</w:t>
      </w:r>
    </w:p>
    <w:p w14:paraId="3C4297BA" w14:textId="77777777" w:rsidR="00CF0E3D" w:rsidRDefault="00CF0E3D" w:rsidP="00CF0E3D">
      <w:pPr>
        <w:pStyle w:val="ActHead5"/>
        <w:rPr>
          <w:i/>
        </w:rPr>
      </w:pPr>
      <w:bookmarkStart w:id="587" w:name="_Toc11771727"/>
      <w:bookmarkStart w:id="588" w:name="_Toc74916320"/>
      <w:r>
        <w:t xml:space="preserve">1.3  Meaning of </w:t>
      </w:r>
      <w:r>
        <w:rPr>
          <w:i/>
        </w:rPr>
        <w:t>customer data</w:t>
      </w:r>
      <w:r>
        <w:t xml:space="preserve">, </w:t>
      </w:r>
      <w:r>
        <w:rPr>
          <w:i/>
        </w:rPr>
        <w:t>account data</w:t>
      </w:r>
      <w:r>
        <w:t xml:space="preserve">, </w:t>
      </w:r>
      <w:r>
        <w:rPr>
          <w:i/>
        </w:rPr>
        <w:t xml:space="preserve">transaction data </w:t>
      </w:r>
      <w:r>
        <w:t xml:space="preserve">and </w:t>
      </w:r>
      <w:r>
        <w:rPr>
          <w:i/>
        </w:rPr>
        <w:t>product specific</w:t>
      </w:r>
      <w:r>
        <w:rPr>
          <w:b w:val="0"/>
          <w:i/>
        </w:rPr>
        <w:t xml:space="preserve"> </w:t>
      </w:r>
      <w:r>
        <w:rPr>
          <w:i/>
        </w:rPr>
        <w:t>data</w:t>
      </w:r>
      <w:bookmarkEnd w:id="587"/>
      <w:bookmarkEnd w:id="588"/>
    </w:p>
    <w:p w14:paraId="61C3807A" w14:textId="77777777" w:rsidR="00CF0E3D" w:rsidRDefault="00CF0E3D" w:rsidP="00CF0E3D">
      <w:pPr>
        <w:pStyle w:val="subsection"/>
      </w:pPr>
      <w:r>
        <w:tab/>
      </w:r>
      <w:r>
        <w:tab/>
        <w:t>For this Schedule, a term listed in column 1 of the table has the meaning given by column 2.</w:t>
      </w:r>
    </w:p>
    <w:p w14:paraId="2424B438" w14:textId="77777777" w:rsidR="00CF0E3D" w:rsidRDefault="00CF0E3D" w:rsidP="00CF0E3D">
      <w:pPr>
        <w:pStyle w:val="subsection"/>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CF0E3D" w14:paraId="5C30D3B7" w14:textId="77777777" w:rsidTr="007941AE">
        <w:trPr>
          <w:tblHeader/>
        </w:trPr>
        <w:tc>
          <w:tcPr>
            <w:tcW w:w="5000" w:type="pct"/>
            <w:gridSpan w:val="3"/>
            <w:tcBorders>
              <w:top w:val="single" w:sz="12" w:space="0" w:color="auto"/>
              <w:bottom w:val="single" w:sz="2" w:space="0" w:color="auto"/>
            </w:tcBorders>
          </w:tcPr>
          <w:p w14:paraId="2F229166" w14:textId="77777777" w:rsidR="00CF0E3D" w:rsidRDefault="00CF0E3D" w:rsidP="007941AE">
            <w:pPr>
              <w:pStyle w:val="TableHeading"/>
              <w:jc w:val="center"/>
            </w:pPr>
            <w:r>
              <w:t xml:space="preserve">Meaning of </w:t>
            </w:r>
            <w:r>
              <w:rPr>
                <w:i/>
              </w:rPr>
              <w:t>customer data</w:t>
            </w:r>
            <w:r>
              <w:t xml:space="preserve">, </w:t>
            </w:r>
            <w:r>
              <w:rPr>
                <w:i/>
              </w:rPr>
              <w:t>account data</w:t>
            </w:r>
            <w:r>
              <w:t xml:space="preserve">, </w:t>
            </w:r>
            <w:r>
              <w:rPr>
                <w:i/>
              </w:rPr>
              <w:t xml:space="preserve">transaction data </w:t>
            </w:r>
            <w:r>
              <w:t xml:space="preserve">and </w:t>
            </w:r>
            <w:r>
              <w:rPr>
                <w:i/>
              </w:rPr>
              <w:t>product specific</w:t>
            </w:r>
            <w:r>
              <w:rPr>
                <w:b w:val="0"/>
                <w:i/>
              </w:rPr>
              <w:t xml:space="preserve"> </w:t>
            </w:r>
            <w:r>
              <w:rPr>
                <w:i/>
              </w:rPr>
              <w:t>data</w:t>
            </w:r>
          </w:p>
        </w:tc>
      </w:tr>
      <w:tr w:rsidR="00CF0E3D" w14:paraId="40FE1379" w14:textId="77777777" w:rsidTr="007941AE">
        <w:trPr>
          <w:tblHeader/>
        </w:trPr>
        <w:tc>
          <w:tcPr>
            <w:tcW w:w="256" w:type="pct"/>
            <w:tcBorders>
              <w:top w:val="single" w:sz="2" w:space="0" w:color="auto"/>
              <w:bottom w:val="single" w:sz="12" w:space="0" w:color="auto"/>
              <w:right w:val="nil"/>
            </w:tcBorders>
          </w:tcPr>
          <w:p w14:paraId="5836EF44" w14:textId="77777777" w:rsidR="00CF0E3D" w:rsidRDefault="00CF0E3D" w:rsidP="007941AE">
            <w:pPr>
              <w:pStyle w:val="TableHeading"/>
            </w:pPr>
          </w:p>
        </w:tc>
        <w:tc>
          <w:tcPr>
            <w:tcW w:w="1187" w:type="pct"/>
            <w:tcBorders>
              <w:top w:val="single" w:sz="2" w:space="0" w:color="auto"/>
              <w:left w:val="nil"/>
              <w:bottom w:val="single" w:sz="12" w:space="0" w:color="auto"/>
              <w:right w:val="nil"/>
            </w:tcBorders>
          </w:tcPr>
          <w:p w14:paraId="4E85F119" w14:textId="77777777" w:rsidR="00CF0E3D" w:rsidRDefault="00CF0E3D" w:rsidP="007941AE">
            <w:pPr>
              <w:pStyle w:val="TableHeading"/>
            </w:pPr>
            <w:r>
              <w:t>Column 1</w:t>
            </w:r>
          </w:p>
        </w:tc>
        <w:tc>
          <w:tcPr>
            <w:tcW w:w="3557" w:type="pct"/>
            <w:tcBorders>
              <w:top w:val="single" w:sz="2" w:space="0" w:color="auto"/>
              <w:left w:val="nil"/>
              <w:bottom w:val="single" w:sz="12" w:space="0" w:color="auto"/>
              <w:right w:val="nil"/>
            </w:tcBorders>
          </w:tcPr>
          <w:p w14:paraId="037F2D6B" w14:textId="77777777" w:rsidR="00CF0E3D" w:rsidRDefault="00CF0E3D" w:rsidP="007941AE">
            <w:pPr>
              <w:pStyle w:val="TableHeading"/>
            </w:pPr>
            <w:r>
              <w:t>Column 2</w:t>
            </w:r>
          </w:p>
        </w:tc>
      </w:tr>
      <w:tr w:rsidR="00CF0E3D" w14:paraId="1B6B2269" w14:textId="77777777" w:rsidTr="007941AE">
        <w:tc>
          <w:tcPr>
            <w:tcW w:w="256" w:type="pct"/>
            <w:tcBorders>
              <w:top w:val="single" w:sz="12" w:space="0" w:color="auto"/>
              <w:bottom w:val="single" w:sz="2" w:space="0" w:color="auto"/>
              <w:right w:val="nil"/>
            </w:tcBorders>
          </w:tcPr>
          <w:p w14:paraId="6E3DEC3C" w14:textId="77777777" w:rsidR="00CF0E3D" w:rsidRDefault="00CF0E3D" w:rsidP="007941AE">
            <w:pPr>
              <w:pStyle w:val="Tabletext"/>
            </w:pPr>
            <w:r>
              <w:t>1</w:t>
            </w:r>
          </w:p>
        </w:tc>
        <w:tc>
          <w:tcPr>
            <w:tcW w:w="1187" w:type="pct"/>
            <w:tcBorders>
              <w:top w:val="single" w:sz="12" w:space="0" w:color="auto"/>
              <w:left w:val="nil"/>
              <w:bottom w:val="single" w:sz="2" w:space="0" w:color="auto"/>
              <w:right w:val="nil"/>
            </w:tcBorders>
          </w:tcPr>
          <w:p w14:paraId="589CAD7C" w14:textId="77777777" w:rsidR="00CF0E3D" w:rsidRPr="000C3240" w:rsidRDefault="00CF0E3D" w:rsidP="007941AE">
            <w:pPr>
              <w:pStyle w:val="Tabletext"/>
              <w:rPr>
                <w:color w:val="000000" w:themeColor="text1"/>
              </w:rPr>
            </w:pPr>
            <w:r w:rsidRPr="00645EDE">
              <w:rPr>
                <w:b/>
                <w:i/>
              </w:rPr>
              <w:t>customer data</w:t>
            </w:r>
            <w:r w:rsidRPr="00645EDE">
              <w:t>, in relation to a particular person</w:t>
            </w:r>
          </w:p>
        </w:tc>
        <w:tc>
          <w:tcPr>
            <w:tcW w:w="3557" w:type="pct"/>
            <w:tcBorders>
              <w:top w:val="single" w:sz="12" w:space="0" w:color="auto"/>
              <w:left w:val="nil"/>
              <w:bottom w:val="single" w:sz="2" w:space="0" w:color="auto"/>
              <w:right w:val="nil"/>
            </w:tcBorders>
          </w:tcPr>
          <w:p w14:paraId="0DB85946" w14:textId="77777777" w:rsidR="00CF0E3D" w:rsidRDefault="00CF0E3D" w:rsidP="007941AE">
            <w:pPr>
              <w:pStyle w:val="Tablea"/>
            </w:pPr>
            <w:r w:rsidRPr="00E1300D">
              <w:rPr>
                <w:color w:val="000000" w:themeColor="text1"/>
              </w:rPr>
              <w:t>(a)</w:t>
            </w:r>
            <w:r w:rsidRPr="00E1300D">
              <w:rPr>
                <w:color w:val="000000" w:themeColor="text1"/>
              </w:rPr>
              <w:tab/>
            </w:r>
            <w:r w:rsidRPr="006A44C9">
              <w:t>means</w:t>
            </w:r>
            <w:r>
              <w:t xml:space="preserve"> </w:t>
            </w:r>
            <w:r w:rsidRPr="00E1300D">
              <w:rPr>
                <w:color w:val="000000" w:themeColor="text1"/>
              </w:rPr>
              <w:t>information that identifies or is about the person; and</w:t>
            </w:r>
          </w:p>
          <w:p w14:paraId="74458321" w14:textId="77777777" w:rsidR="00CF0E3D" w:rsidRPr="00E1300D" w:rsidRDefault="00CF0E3D" w:rsidP="007941AE">
            <w:pPr>
              <w:pStyle w:val="Tablea"/>
              <w:rPr>
                <w:color w:val="000000" w:themeColor="text1"/>
              </w:rPr>
            </w:pPr>
            <w:r>
              <w:tab/>
              <w:t>(b)</w:t>
            </w:r>
            <w:r w:rsidRPr="00645EDE">
              <w:tab/>
            </w:r>
            <w:r w:rsidRPr="00E1300D">
              <w:rPr>
                <w:color w:val="000000" w:themeColor="text1"/>
              </w:rPr>
              <w:t>includes:</w:t>
            </w:r>
          </w:p>
          <w:p w14:paraId="29C48BBD" w14:textId="77777777" w:rsidR="00CF0E3D" w:rsidRPr="00645EDE" w:rsidRDefault="00CF0E3D" w:rsidP="007941AE">
            <w:pPr>
              <w:pStyle w:val="Tablei"/>
            </w:pPr>
            <w:r w:rsidRPr="00E1300D">
              <w:rPr>
                <w:color w:val="000000" w:themeColor="text1"/>
              </w:rPr>
              <w:tab/>
              <w:t>(i)</w:t>
            </w:r>
            <w:r w:rsidRPr="00E1300D">
              <w:rPr>
                <w:color w:val="000000" w:themeColor="text1"/>
              </w:rPr>
              <w:tab/>
            </w:r>
            <w:r w:rsidRPr="00645EDE">
              <w:t>the person’s name; and</w:t>
            </w:r>
          </w:p>
          <w:p w14:paraId="7431AA26" w14:textId="77777777" w:rsidR="00CF0E3D" w:rsidRDefault="00CF0E3D" w:rsidP="007941AE">
            <w:pPr>
              <w:pStyle w:val="Tablei"/>
            </w:pPr>
            <w:r w:rsidRPr="00645EDE">
              <w:tab/>
              <w:t>(</w:t>
            </w:r>
            <w:r>
              <w:t>ii</w:t>
            </w:r>
            <w:r w:rsidRPr="00645EDE">
              <w:t>)</w:t>
            </w:r>
            <w:r w:rsidRPr="00645EDE">
              <w:tab/>
              <w:t>the person’s contact details, including</w:t>
            </w:r>
            <w:r>
              <w:t xml:space="preserve"> their:</w:t>
            </w:r>
          </w:p>
          <w:p w14:paraId="30596180" w14:textId="77777777" w:rsidR="00CF0E3D" w:rsidRDefault="00CF0E3D" w:rsidP="007941AE">
            <w:pPr>
              <w:pStyle w:val="TableAA"/>
            </w:pPr>
            <w:r>
              <w:tab/>
              <w:t>(A)</w:t>
            </w:r>
            <w:r>
              <w:tab/>
            </w:r>
            <w:r w:rsidRPr="00645EDE">
              <w:t>telephone number</w:t>
            </w:r>
            <w:r>
              <w:t>; and</w:t>
            </w:r>
          </w:p>
          <w:p w14:paraId="6FFE4257" w14:textId="77777777" w:rsidR="00CF0E3D" w:rsidRDefault="00CF0E3D" w:rsidP="007941AE">
            <w:pPr>
              <w:pStyle w:val="TableAA"/>
            </w:pPr>
            <w:r>
              <w:tab/>
              <w:t>(B)</w:t>
            </w:r>
            <w:r>
              <w:tab/>
            </w:r>
            <w:r w:rsidRPr="00645EDE">
              <w:t>email address</w:t>
            </w:r>
            <w:r>
              <w:t>; and</w:t>
            </w:r>
          </w:p>
          <w:p w14:paraId="0843F174" w14:textId="77777777" w:rsidR="00CF0E3D" w:rsidRPr="00645EDE" w:rsidRDefault="00CF0E3D" w:rsidP="007941AE">
            <w:pPr>
              <w:pStyle w:val="TableAA"/>
            </w:pPr>
            <w:r>
              <w:tab/>
              <w:t>(C)</w:t>
            </w:r>
            <w:r>
              <w:tab/>
            </w:r>
            <w:r w:rsidRPr="00645EDE">
              <w:t>physical address; and</w:t>
            </w:r>
          </w:p>
          <w:p w14:paraId="3192ADB5" w14:textId="77777777" w:rsidR="00CF0E3D" w:rsidRPr="00645EDE" w:rsidRDefault="00CF0E3D" w:rsidP="007941AE">
            <w:pPr>
              <w:pStyle w:val="Tablei"/>
            </w:pPr>
            <w:r w:rsidRPr="00645EDE">
              <w:tab/>
              <w:t>(</w:t>
            </w:r>
            <w:r>
              <w:t>iii</w:t>
            </w:r>
            <w:r w:rsidRPr="00645EDE">
              <w:t>)</w:t>
            </w:r>
            <w:r w:rsidRPr="00645EDE">
              <w:tab/>
              <w:t>any information that:</w:t>
            </w:r>
          </w:p>
          <w:p w14:paraId="631EC5EE" w14:textId="77777777" w:rsidR="00CF0E3D" w:rsidRPr="00645EDE" w:rsidRDefault="00CF0E3D" w:rsidP="007941AE">
            <w:pPr>
              <w:pStyle w:val="TableAA"/>
            </w:pPr>
            <w:r w:rsidRPr="00645EDE">
              <w:tab/>
              <w:t>(</w:t>
            </w:r>
            <w:r>
              <w:t>A</w:t>
            </w:r>
            <w:r w:rsidRPr="00645EDE">
              <w:t>)</w:t>
            </w:r>
            <w:r w:rsidRPr="00645EDE">
              <w:tab/>
              <w:t xml:space="preserve">the person provided at the time of acquiring a particular </w:t>
            </w:r>
            <w:r>
              <w:t>product</w:t>
            </w:r>
            <w:r w:rsidRPr="00645EDE">
              <w:t>; and</w:t>
            </w:r>
          </w:p>
          <w:p w14:paraId="2E9C18C0" w14:textId="77777777" w:rsidR="00CF0E3D" w:rsidRPr="00645EDE" w:rsidRDefault="00CF0E3D" w:rsidP="007941AE">
            <w:pPr>
              <w:pStyle w:val="TableAA"/>
            </w:pPr>
            <w:r w:rsidRPr="00645EDE">
              <w:tab/>
              <w:t>(</w:t>
            </w:r>
            <w:r>
              <w:t>B</w:t>
            </w:r>
            <w:r w:rsidRPr="00645EDE">
              <w:t>)</w:t>
            </w:r>
            <w:r w:rsidRPr="00645EDE">
              <w:tab/>
              <w:t xml:space="preserve">relates to their eligibility to acquire that </w:t>
            </w:r>
            <w:r>
              <w:t>product</w:t>
            </w:r>
            <w:r w:rsidRPr="00645EDE">
              <w:t>; and</w:t>
            </w:r>
          </w:p>
          <w:p w14:paraId="356E36B2" w14:textId="77777777" w:rsidR="00CF0E3D" w:rsidRPr="00645EDE" w:rsidRDefault="00CF0E3D" w:rsidP="007941AE">
            <w:pPr>
              <w:pStyle w:val="Tablei"/>
            </w:pPr>
            <w:r w:rsidRPr="00645EDE">
              <w:tab/>
              <w:t>(</w:t>
            </w:r>
            <w:r>
              <w:t>iv</w:t>
            </w:r>
            <w:r w:rsidRPr="00645EDE">
              <w:t>)</w:t>
            </w:r>
            <w:r w:rsidRPr="00645EDE">
              <w:tab/>
              <w:t>if the person operates a business—the following:</w:t>
            </w:r>
          </w:p>
          <w:p w14:paraId="6035264D" w14:textId="77777777" w:rsidR="00CF0E3D" w:rsidRPr="00645EDE" w:rsidRDefault="00CF0E3D" w:rsidP="007941AE">
            <w:pPr>
              <w:pStyle w:val="TableAA"/>
            </w:pPr>
            <w:r w:rsidRPr="00645EDE">
              <w:tab/>
              <w:t>(</w:t>
            </w:r>
            <w:r>
              <w:t>A</w:t>
            </w:r>
            <w:r w:rsidRPr="00645EDE">
              <w:t>)</w:t>
            </w:r>
            <w:r w:rsidRPr="00645EDE">
              <w:tab/>
              <w:t>the person’s business name;</w:t>
            </w:r>
            <w:r w:rsidRPr="009A0E68">
              <w:t xml:space="preserve"> </w:t>
            </w:r>
          </w:p>
          <w:p w14:paraId="720B376E" w14:textId="77777777" w:rsidR="00CF0E3D" w:rsidRPr="00645EDE" w:rsidRDefault="00CF0E3D" w:rsidP="007941AE">
            <w:pPr>
              <w:pStyle w:val="TableAA"/>
            </w:pPr>
            <w:r w:rsidRPr="00645EDE">
              <w:tab/>
              <w:t>(</w:t>
            </w:r>
            <w:r>
              <w:t>B</w:t>
            </w:r>
            <w:r w:rsidRPr="00645EDE">
              <w:t>)</w:t>
            </w:r>
            <w:r w:rsidRPr="00645EDE">
              <w:tab/>
              <w:t xml:space="preserve">the person’s ABN (within the meaning of the </w:t>
            </w:r>
            <w:r w:rsidRPr="00645EDE">
              <w:rPr>
                <w:i/>
              </w:rPr>
              <w:t>A New Tax System (Australian Business Number) Act 1999</w:t>
            </w:r>
            <w:r w:rsidRPr="00645EDE">
              <w:t>);</w:t>
            </w:r>
          </w:p>
          <w:p w14:paraId="335A6089" w14:textId="77777777" w:rsidR="00CF0E3D" w:rsidRPr="00645EDE" w:rsidRDefault="00CF0E3D" w:rsidP="007941AE">
            <w:pPr>
              <w:pStyle w:val="TableAA"/>
            </w:pPr>
            <w:r w:rsidRPr="00645EDE">
              <w:tab/>
              <w:t>(</w:t>
            </w:r>
            <w:r>
              <w:t>C</w:t>
            </w:r>
            <w:r w:rsidRPr="00645EDE">
              <w:t>)</w:t>
            </w:r>
            <w:r w:rsidRPr="00645EDE">
              <w:tab/>
              <w:t xml:space="preserve">the person’s ACN (within the meaning of the </w:t>
            </w:r>
            <w:r w:rsidRPr="00645EDE">
              <w:rPr>
                <w:i/>
              </w:rPr>
              <w:t>Corporations Act 2001</w:t>
            </w:r>
            <w:r w:rsidRPr="00645EDE">
              <w:t>);</w:t>
            </w:r>
          </w:p>
          <w:p w14:paraId="2D363F10" w14:textId="77777777" w:rsidR="00CF0E3D" w:rsidRPr="00645EDE" w:rsidRDefault="00CF0E3D" w:rsidP="007941AE">
            <w:pPr>
              <w:pStyle w:val="TableAA"/>
            </w:pPr>
            <w:r w:rsidRPr="00645EDE">
              <w:tab/>
              <w:t>(</w:t>
            </w:r>
            <w:r>
              <w:t>D)</w:t>
            </w:r>
            <w:r>
              <w:tab/>
              <w:t xml:space="preserve">the </w:t>
            </w:r>
            <w:r w:rsidRPr="00645EDE">
              <w:t>type of business;</w:t>
            </w:r>
          </w:p>
          <w:p w14:paraId="151E13BE" w14:textId="77777777" w:rsidR="00CF0E3D" w:rsidRPr="00645EDE" w:rsidRDefault="00CF0E3D" w:rsidP="007941AE">
            <w:pPr>
              <w:pStyle w:val="TableAA"/>
            </w:pPr>
            <w:r w:rsidRPr="00645EDE">
              <w:tab/>
              <w:t>(</w:t>
            </w:r>
            <w:r>
              <w:t>E</w:t>
            </w:r>
            <w:r w:rsidRPr="00645EDE">
              <w:t>)</w:t>
            </w:r>
            <w:r w:rsidRPr="00645EDE">
              <w:tab/>
              <w:t>the date the business was</w:t>
            </w:r>
            <w:r>
              <w:t xml:space="preserve"> </w:t>
            </w:r>
            <w:r w:rsidRPr="00645EDE">
              <w:t>established;</w:t>
            </w:r>
          </w:p>
          <w:p w14:paraId="3DE82C13" w14:textId="77777777" w:rsidR="00CF0E3D" w:rsidRPr="00645EDE" w:rsidRDefault="00CF0E3D" w:rsidP="007941AE">
            <w:pPr>
              <w:pStyle w:val="TableAA"/>
            </w:pPr>
            <w:r w:rsidRPr="00645EDE">
              <w:tab/>
              <w:t>(</w:t>
            </w:r>
            <w:r>
              <w:t>F</w:t>
            </w:r>
            <w:r w:rsidRPr="00645EDE">
              <w:t>)</w:t>
            </w:r>
            <w:r w:rsidRPr="00645EDE">
              <w:tab/>
              <w:t xml:space="preserve">the </w:t>
            </w:r>
            <w:r>
              <w:t>registration date</w:t>
            </w:r>
            <w:r w:rsidRPr="00645EDE">
              <w:t>;</w:t>
            </w:r>
          </w:p>
          <w:p w14:paraId="0EEFBCC2" w14:textId="77777777" w:rsidR="00CF0E3D" w:rsidRPr="00645EDE" w:rsidRDefault="00CF0E3D" w:rsidP="007941AE">
            <w:pPr>
              <w:pStyle w:val="TableAA"/>
            </w:pPr>
            <w:r w:rsidRPr="00645EDE">
              <w:tab/>
              <w:t>(</w:t>
            </w:r>
            <w:r>
              <w:t>G</w:t>
            </w:r>
            <w:r w:rsidRPr="00645EDE">
              <w:t>)</w:t>
            </w:r>
            <w:r w:rsidRPr="00645EDE">
              <w:tab/>
              <w:t xml:space="preserve">the organisation type; </w:t>
            </w:r>
          </w:p>
          <w:p w14:paraId="1E290884" w14:textId="77777777" w:rsidR="00CF0E3D" w:rsidRPr="00645EDE" w:rsidRDefault="00CF0E3D" w:rsidP="007941AE">
            <w:pPr>
              <w:pStyle w:val="TableAA"/>
            </w:pPr>
            <w:r w:rsidRPr="00645EDE">
              <w:tab/>
              <w:t>(</w:t>
            </w:r>
            <w:r>
              <w:t>H</w:t>
            </w:r>
            <w:r w:rsidRPr="00645EDE">
              <w:t>)</w:t>
            </w:r>
            <w:r w:rsidRPr="00645EDE">
              <w:tab/>
              <w:t>the country of registration;</w:t>
            </w:r>
          </w:p>
          <w:p w14:paraId="27385F9C" w14:textId="77777777" w:rsidR="00CF0E3D" w:rsidRPr="007C39E2" w:rsidRDefault="00CF0E3D" w:rsidP="007941AE">
            <w:pPr>
              <w:pStyle w:val="TableAA"/>
            </w:pPr>
            <w:r w:rsidRPr="00645EDE">
              <w:tab/>
              <w:t>(</w:t>
            </w:r>
            <w:r>
              <w:t>I</w:t>
            </w:r>
            <w:r w:rsidRPr="00645EDE">
              <w:t>)</w:t>
            </w:r>
            <w:r w:rsidRPr="00645EDE">
              <w:tab/>
              <w:t>whether the business is a charitable or not</w:t>
            </w:r>
            <w:r w:rsidRPr="00645EDE">
              <w:noBreakHyphen/>
              <w:t>for</w:t>
            </w:r>
            <w:r w:rsidRPr="00645EDE">
              <w:noBreakHyphen/>
              <w:t>profit organisation</w:t>
            </w:r>
            <w:r w:rsidRPr="00E1300D">
              <w:rPr>
                <w:color w:val="000000" w:themeColor="text1"/>
              </w:rPr>
              <w:t>; and</w:t>
            </w:r>
          </w:p>
          <w:p w14:paraId="38B8AB3B" w14:textId="77777777" w:rsidR="00CF0E3D" w:rsidRDefault="00CF0E3D" w:rsidP="007941AE">
            <w:pPr>
              <w:pStyle w:val="Tablea"/>
            </w:pPr>
            <w:r w:rsidRPr="00E1300D">
              <w:rPr>
                <w:color w:val="000000" w:themeColor="text1"/>
              </w:rPr>
              <w:t xml:space="preserve">(c) </w:t>
            </w:r>
            <w:r w:rsidRPr="00E1300D">
              <w:rPr>
                <w:color w:val="000000" w:themeColor="text1"/>
              </w:rPr>
              <w:tab/>
            </w:r>
            <w:r>
              <w:t xml:space="preserve">if </w:t>
            </w:r>
            <w:r w:rsidRPr="00645EDE">
              <w:t>the person is an individual</w:t>
            </w:r>
            <w:r w:rsidRPr="00E1300D">
              <w:rPr>
                <w:color w:val="000000" w:themeColor="text1"/>
              </w:rPr>
              <w:t>―</w:t>
            </w:r>
            <w:r w:rsidRPr="00645EDE">
              <w:t xml:space="preserve">does not include the person’s date </w:t>
            </w:r>
            <w:r>
              <w:t>of birth.</w:t>
            </w:r>
          </w:p>
          <w:p w14:paraId="1F8DBBD2" w14:textId="77777777" w:rsidR="00CF0E3D" w:rsidRDefault="00CF0E3D" w:rsidP="007941AE">
            <w:pPr>
              <w:pStyle w:val="Tablea"/>
            </w:pPr>
          </w:p>
        </w:tc>
      </w:tr>
      <w:tr w:rsidR="00CF0E3D" w14:paraId="68CDA857" w14:textId="77777777" w:rsidTr="007941AE">
        <w:tc>
          <w:tcPr>
            <w:tcW w:w="256" w:type="pct"/>
            <w:tcBorders>
              <w:top w:val="single" w:sz="2" w:space="0" w:color="auto"/>
              <w:bottom w:val="single" w:sz="4" w:space="0" w:color="auto"/>
              <w:right w:val="nil"/>
            </w:tcBorders>
          </w:tcPr>
          <w:p w14:paraId="7813D5AE" w14:textId="77777777" w:rsidR="00CF0E3D" w:rsidRDefault="00CF0E3D" w:rsidP="007941AE">
            <w:pPr>
              <w:pStyle w:val="Tabletext"/>
            </w:pPr>
            <w:r>
              <w:t>2</w:t>
            </w:r>
          </w:p>
        </w:tc>
        <w:tc>
          <w:tcPr>
            <w:tcW w:w="1187" w:type="pct"/>
            <w:tcBorders>
              <w:top w:val="single" w:sz="2" w:space="0" w:color="auto"/>
              <w:left w:val="nil"/>
              <w:bottom w:val="single" w:sz="4" w:space="0" w:color="auto"/>
              <w:right w:val="nil"/>
            </w:tcBorders>
          </w:tcPr>
          <w:p w14:paraId="2BF9759D" w14:textId="77777777" w:rsidR="00CF0E3D" w:rsidRPr="002E2401" w:rsidRDefault="00CF0E3D" w:rsidP="007941AE">
            <w:pPr>
              <w:pStyle w:val="Tabletext"/>
            </w:pPr>
            <w:r w:rsidRPr="002E2401">
              <w:rPr>
                <w:b/>
                <w:i/>
              </w:rPr>
              <w:t>account data</w:t>
            </w:r>
            <w:r w:rsidRPr="002E2401">
              <w:t>, in relation to a particular account</w:t>
            </w:r>
          </w:p>
        </w:tc>
        <w:tc>
          <w:tcPr>
            <w:tcW w:w="3557" w:type="pct"/>
            <w:tcBorders>
              <w:top w:val="single" w:sz="2" w:space="0" w:color="auto"/>
              <w:left w:val="nil"/>
              <w:bottom w:val="single" w:sz="4" w:space="0" w:color="auto"/>
              <w:right w:val="nil"/>
            </w:tcBorders>
          </w:tcPr>
          <w:p w14:paraId="1C21D630" w14:textId="77777777" w:rsidR="00CF0E3D" w:rsidRDefault="00CF0E3D" w:rsidP="007941AE">
            <w:pPr>
              <w:pStyle w:val="Tablea"/>
            </w:pPr>
            <w:r w:rsidRPr="00E1300D">
              <w:rPr>
                <w:color w:val="000000" w:themeColor="text1"/>
              </w:rPr>
              <w:t>(a)</w:t>
            </w:r>
            <w:r w:rsidRPr="00E1300D">
              <w:rPr>
                <w:color w:val="000000" w:themeColor="text1"/>
              </w:rPr>
              <w:tab/>
            </w:r>
            <w:r w:rsidRPr="002E2401">
              <w:t>means</w:t>
            </w:r>
            <w:r>
              <w:t xml:space="preserve"> </w:t>
            </w:r>
            <w:r w:rsidRPr="00E1300D">
              <w:rPr>
                <w:color w:val="000000" w:themeColor="text1"/>
              </w:rPr>
              <w:t>information that identifies or is about the operation of the account; and</w:t>
            </w:r>
          </w:p>
          <w:p w14:paraId="5922B438" w14:textId="77777777" w:rsidR="00CF0E3D" w:rsidRPr="00E1300D" w:rsidRDefault="00CF0E3D" w:rsidP="007941AE">
            <w:pPr>
              <w:pStyle w:val="Tablea"/>
              <w:rPr>
                <w:color w:val="000000" w:themeColor="text1"/>
              </w:rPr>
            </w:pPr>
            <w:r w:rsidRPr="00E1300D">
              <w:rPr>
                <w:color w:val="000000" w:themeColor="text1"/>
              </w:rPr>
              <w:t>(b)</w:t>
            </w:r>
            <w:r w:rsidRPr="00E1300D">
              <w:rPr>
                <w:color w:val="000000" w:themeColor="text1"/>
              </w:rPr>
              <w:tab/>
              <w:t>includes:</w:t>
            </w:r>
          </w:p>
          <w:p w14:paraId="2368BECF" w14:textId="77777777" w:rsidR="00CF0E3D" w:rsidRDefault="00CF0E3D" w:rsidP="007941AE">
            <w:pPr>
              <w:pStyle w:val="Tablei"/>
            </w:pPr>
            <w:r w:rsidRPr="002E2401">
              <w:tab/>
              <w:t>(</w:t>
            </w:r>
            <w:r>
              <w:t>i</w:t>
            </w:r>
            <w:r w:rsidRPr="002E2401">
              <w:t>)</w:t>
            </w:r>
            <w:r w:rsidRPr="002E2401">
              <w:tab/>
            </w:r>
            <w:r>
              <w:t xml:space="preserve">the </w:t>
            </w:r>
            <w:r w:rsidRPr="002E2401">
              <w:t>account number</w:t>
            </w:r>
            <w:r w:rsidRPr="009E5F63">
              <w:t>, other than to the extent that an account number is masked (whether as required by law or in accordance with any applicable standard or industry practice)</w:t>
            </w:r>
            <w:r>
              <w:t>; and</w:t>
            </w:r>
          </w:p>
          <w:p w14:paraId="046CC559" w14:textId="77777777" w:rsidR="00CF0E3D" w:rsidRPr="002E2401" w:rsidRDefault="00CF0E3D" w:rsidP="007941AE">
            <w:pPr>
              <w:pStyle w:val="Tablei"/>
            </w:pPr>
            <w:r>
              <w:tab/>
              <w:t>(ii)</w:t>
            </w:r>
            <w:r>
              <w:tab/>
              <w:t xml:space="preserve">the </w:t>
            </w:r>
            <w:r w:rsidRPr="002E2401">
              <w:t>account name; and</w:t>
            </w:r>
          </w:p>
          <w:p w14:paraId="5BDB9902" w14:textId="77777777" w:rsidR="00CF0E3D" w:rsidRPr="002E2401" w:rsidRDefault="00CF0E3D" w:rsidP="007941AE">
            <w:pPr>
              <w:pStyle w:val="Tablei"/>
            </w:pPr>
            <w:r w:rsidRPr="002E2401">
              <w:tab/>
              <w:t>(</w:t>
            </w:r>
            <w:r>
              <w:t>iii</w:t>
            </w:r>
            <w:r w:rsidRPr="002E2401">
              <w:t>)</w:t>
            </w:r>
            <w:r w:rsidRPr="002E2401">
              <w:tab/>
            </w:r>
            <w:r>
              <w:t>account balances</w:t>
            </w:r>
            <w:r w:rsidRPr="002E2401">
              <w:t>; and</w:t>
            </w:r>
          </w:p>
          <w:p w14:paraId="1289CBFA" w14:textId="77777777" w:rsidR="00CF0E3D" w:rsidRPr="002E2401" w:rsidRDefault="00CF0E3D" w:rsidP="007941AE">
            <w:pPr>
              <w:pStyle w:val="Tablei"/>
            </w:pPr>
            <w:r w:rsidRPr="002E2401">
              <w:tab/>
              <w:t>(</w:t>
            </w:r>
            <w:r>
              <w:t>iv</w:t>
            </w:r>
            <w:r w:rsidRPr="002E2401">
              <w:t>)</w:t>
            </w:r>
            <w:r w:rsidRPr="002E2401">
              <w:tab/>
              <w:t>any authorisations on the account, including:</w:t>
            </w:r>
          </w:p>
          <w:p w14:paraId="4B62FF06" w14:textId="77777777" w:rsidR="00CF0E3D" w:rsidRPr="002E2401" w:rsidRDefault="00CF0E3D" w:rsidP="007941AE">
            <w:pPr>
              <w:pStyle w:val="TableAA"/>
            </w:pPr>
            <w:r w:rsidRPr="002E2401">
              <w:tab/>
              <w:t>(</w:t>
            </w:r>
            <w:r>
              <w:t>A</w:t>
            </w:r>
            <w:r w:rsidRPr="002E2401">
              <w:t>)</w:t>
            </w:r>
            <w:r w:rsidRPr="002E2401">
              <w:tab/>
              <w:t>direct debit deductions, including, to the extent available:</w:t>
            </w:r>
          </w:p>
          <w:p w14:paraId="2FDE74C7" w14:textId="77777777" w:rsidR="00CF0E3D" w:rsidRPr="002E2401" w:rsidRDefault="00CF0E3D" w:rsidP="007941AE">
            <w:pPr>
              <w:pStyle w:val="TableAAA"/>
            </w:pPr>
            <w:r w:rsidRPr="002E2401">
              <w:t>(</w:t>
            </w:r>
            <w:r>
              <w:t>I</w:t>
            </w:r>
            <w:r w:rsidRPr="002E2401">
              <w:t>)</w:t>
            </w:r>
            <w:r w:rsidRPr="002E2401">
              <w:tab/>
              <w:t>identifying information for the merchant or party that has debited the account; and</w:t>
            </w:r>
          </w:p>
          <w:p w14:paraId="0432C9D8" w14:textId="77777777" w:rsidR="00CF0E3D" w:rsidRPr="002E2401" w:rsidRDefault="00CF0E3D" w:rsidP="007941AE">
            <w:pPr>
              <w:pStyle w:val="TableAAA"/>
            </w:pPr>
            <w:r w:rsidRPr="002E2401">
              <w:t>(</w:t>
            </w:r>
            <w:r>
              <w:t>II</w:t>
            </w:r>
            <w:r w:rsidRPr="002E2401">
              <w:t>)</w:t>
            </w:r>
            <w:r w:rsidRPr="002E2401">
              <w:tab/>
              <w:t xml:space="preserve">the amount the merchant or party has debited on </w:t>
            </w:r>
            <w:r>
              <w:t>the last</w:t>
            </w:r>
            <w:r w:rsidRPr="002E2401">
              <w:t xml:space="preserve"> occasion; and</w:t>
            </w:r>
          </w:p>
          <w:p w14:paraId="2B7604E3" w14:textId="77777777" w:rsidR="00CF0E3D" w:rsidRPr="002E2401" w:rsidRDefault="00CF0E3D" w:rsidP="007941AE">
            <w:pPr>
              <w:pStyle w:val="TableAAA"/>
            </w:pPr>
            <w:r w:rsidRPr="002E2401">
              <w:t>(</w:t>
            </w:r>
            <w:r>
              <w:t>III</w:t>
            </w:r>
            <w:r w:rsidRPr="002E2401">
              <w:t>)the date the merchant or party has debited the account; and</w:t>
            </w:r>
          </w:p>
          <w:p w14:paraId="69A652C0" w14:textId="77777777" w:rsidR="00CF0E3D" w:rsidRPr="002E2401" w:rsidRDefault="00CF0E3D" w:rsidP="007941AE">
            <w:pPr>
              <w:pStyle w:val="TableAA"/>
            </w:pPr>
            <w:r w:rsidRPr="002E2401">
              <w:tab/>
              <w:t>(</w:t>
            </w:r>
            <w:r>
              <w:t>B</w:t>
            </w:r>
            <w:r w:rsidRPr="002E2401">
              <w:t>)</w:t>
            </w:r>
            <w:r w:rsidRPr="002E2401">
              <w:tab/>
              <w:t>scheduled payments (for example, regular payments, payments to billers and international payments); and</w:t>
            </w:r>
          </w:p>
          <w:p w14:paraId="2CC18B3C" w14:textId="77777777" w:rsidR="00CF0E3D" w:rsidRPr="007C39E2" w:rsidRDefault="00CF0E3D" w:rsidP="007941AE">
            <w:pPr>
              <w:pStyle w:val="TableAA"/>
            </w:pPr>
            <w:r w:rsidRPr="002E2401">
              <w:tab/>
              <w:t>(</w:t>
            </w:r>
            <w:r>
              <w:t>C</w:t>
            </w:r>
            <w:r w:rsidRPr="002E2401">
              <w:t>)</w:t>
            </w:r>
            <w:r w:rsidRPr="002E2401">
              <w:tab/>
              <w:t>details of payees stored with the account, such as those entered by the customer in a payee address book</w:t>
            </w:r>
            <w:r>
              <w:t>.</w:t>
            </w:r>
          </w:p>
          <w:p w14:paraId="18073D76" w14:textId="77777777" w:rsidR="00CF0E3D" w:rsidRPr="002E2401" w:rsidRDefault="00CF0E3D" w:rsidP="007941AE">
            <w:pPr>
              <w:pStyle w:val="Tablea"/>
            </w:pPr>
          </w:p>
        </w:tc>
      </w:tr>
      <w:tr w:rsidR="00CF0E3D" w14:paraId="5CA48992" w14:textId="77777777" w:rsidTr="007941AE">
        <w:tc>
          <w:tcPr>
            <w:tcW w:w="256" w:type="pct"/>
            <w:tcBorders>
              <w:top w:val="single" w:sz="4" w:space="0" w:color="auto"/>
              <w:bottom w:val="single" w:sz="4" w:space="0" w:color="auto"/>
              <w:right w:val="nil"/>
            </w:tcBorders>
          </w:tcPr>
          <w:p w14:paraId="34BFEE98" w14:textId="77777777" w:rsidR="00CF0E3D" w:rsidRDefault="00CF0E3D" w:rsidP="007941AE">
            <w:pPr>
              <w:pStyle w:val="Tabletext"/>
            </w:pPr>
            <w:r>
              <w:t>3</w:t>
            </w:r>
          </w:p>
        </w:tc>
        <w:tc>
          <w:tcPr>
            <w:tcW w:w="1187" w:type="pct"/>
            <w:tcBorders>
              <w:top w:val="single" w:sz="4" w:space="0" w:color="auto"/>
              <w:left w:val="nil"/>
              <w:bottom w:val="single" w:sz="4" w:space="0" w:color="auto"/>
              <w:right w:val="nil"/>
            </w:tcBorders>
          </w:tcPr>
          <w:p w14:paraId="423100A8" w14:textId="77777777" w:rsidR="00CF0E3D" w:rsidRPr="000C3240" w:rsidRDefault="00CF0E3D" w:rsidP="007941AE">
            <w:pPr>
              <w:pStyle w:val="Tabletext"/>
              <w:rPr>
                <w:color w:val="000000" w:themeColor="text1"/>
              </w:rPr>
            </w:pPr>
            <w:r>
              <w:rPr>
                <w:b/>
                <w:i/>
              </w:rPr>
              <w:t>transaction data</w:t>
            </w:r>
            <w:r w:rsidRPr="000C3240">
              <w:rPr>
                <w:color w:val="000000" w:themeColor="text1"/>
              </w:rPr>
              <w:t>, in relation to a particular transaction</w:t>
            </w:r>
          </w:p>
        </w:tc>
        <w:tc>
          <w:tcPr>
            <w:tcW w:w="3557" w:type="pct"/>
            <w:tcBorders>
              <w:top w:val="single" w:sz="4" w:space="0" w:color="auto"/>
              <w:left w:val="nil"/>
              <w:bottom w:val="single" w:sz="4" w:space="0" w:color="auto"/>
              <w:right w:val="nil"/>
            </w:tcBorders>
          </w:tcPr>
          <w:p w14:paraId="6CF2F2C9" w14:textId="77777777" w:rsidR="00CF0E3D" w:rsidRDefault="00CF0E3D" w:rsidP="007941AE">
            <w:pPr>
              <w:pStyle w:val="Tablea"/>
            </w:pPr>
            <w:r w:rsidRPr="00E1300D">
              <w:rPr>
                <w:color w:val="000000" w:themeColor="text1"/>
              </w:rPr>
              <w:t>(a)</w:t>
            </w:r>
            <w:r>
              <w:tab/>
              <w:t xml:space="preserve">means </w:t>
            </w:r>
            <w:r w:rsidRPr="00E1300D">
              <w:rPr>
                <w:color w:val="000000" w:themeColor="text1"/>
              </w:rPr>
              <w:t>information that identifies or describes the characteristics of the transaction; and</w:t>
            </w:r>
          </w:p>
          <w:p w14:paraId="3F590D58" w14:textId="77777777" w:rsidR="00CF0E3D" w:rsidRPr="00E1300D" w:rsidRDefault="00CF0E3D" w:rsidP="007941AE">
            <w:pPr>
              <w:pStyle w:val="Tablea"/>
              <w:rPr>
                <w:color w:val="000000" w:themeColor="text1"/>
              </w:rPr>
            </w:pPr>
            <w:r>
              <w:tab/>
              <w:t>(b)</w:t>
            </w:r>
            <w:r>
              <w:tab/>
            </w:r>
            <w:r w:rsidRPr="00E1300D">
              <w:rPr>
                <w:color w:val="000000" w:themeColor="text1"/>
              </w:rPr>
              <w:t>includes:</w:t>
            </w:r>
          </w:p>
          <w:p w14:paraId="5661BA6A" w14:textId="77777777" w:rsidR="00CF0E3D" w:rsidRDefault="00CF0E3D" w:rsidP="007941AE">
            <w:pPr>
              <w:pStyle w:val="Tablei"/>
            </w:pPr>
            <w:r>
              <w:tab/>
              <w:t>(i)</w:t>
            </w:r>
            <w:r>
              <w:tab/>
              <w:t>the date on which the transaction occurred; and</w:t>
            </w:r>
          </w:p>
          <w:p w14:paraId="7E395F5A" w14:textId="77777777" w:rsidR="00CF0E3D" w:rsidRDefault="00CF0E3D" w:rsidP="007941AE">
            <w:pPr>
              <w:pStyle w:val="Tablei"/>
            </w:pPr>
            <w:r>
              <w:tab/>
              <w:t>(ii)</w:t>
            </w:r>
            <w:r>
              <w:tab/>
              <w:t>any identifier for the counter-party to the transaction; and</w:t>
            </w:r>
          </w:p>
          <w:p w14:paraId="7A0C00A5" w14:textId="77777777" w:rsidR="00CF0E3D" w:rsidRDefault="00CF0E3D" w:rsidP="007941AE">
            <w:pPr>
              <w:pStyle w:val="Tablei"/>
            </w:pPr>
            <w:r>
              <w:tab/>
              <w:t>(iii)</w:t>
            </w:r>
            <w:r>
              <w:tab/>
              <w:t>if the counter-party is a merchant—any information that was provided by the merchant in relation to the transaction; and</w:t>
            </w:r>
          </w:p>
          <w:p w14:paraId="3981AB02" w14:textId="77777777" w:rsidR="00CF0E3D" w:rsidRDefault="00CF0E3D" w:rsidP="007941AE">
            <w:pPr>
              <w:pStyle w:val="Tablei"/>
            </w:pPr>
            <w:r>
              <w:tab/>
              <w:t>(iv)</w:t>
            </w:r>
            <w:r>
              <w:tab/>
              <w:t>the amount debited or credited pursuant to the transaction; and</w:t>
            </w:r>
          </w:p>
          <w:p w14:paraId="3E8A4950" w14:textId="77777777" w:rsidR="00CF0E3D" w:rsidRDefault="00CF0E3D" w:rsidP="007941AE">
            <w:pPr>
              <w:pStyle w:val="Tablei"/>
            </w:pPr>
            <w:r>
              <w:tab/>
              <w:t>(v)</w:t>
            </w:r>
            <w:r>
              <w:tab/>
              <w:t>any description of the transaction; and</w:t>
            </w:r>
          </w:p>
          <w:p w14:paraId="5A2B56E1" w14:textId="77777777" w:rsidR="00CF0E3D" w:rsidRPr="007C39E2" w:rsidRDefault="00CF0E3D" w:rsidP="007941AE">
            <w:pPr>
              <w:pStyle w:val="Tablei"/>
            </w:pPr>
            <w:r>
              <w:tab/>
              <w:t>(vi)</w:t>
            </w:r>
            <w:r>
              <w:tab/>
              <w:t>the “simple categorisation” of the transaction (for example, whether the transaction is a debit, a credit, a fee or interest).</w:t>
            </w:r>
          </w:p>
          <w:p w14:paraId="4BB0E741" w14:textId="77777777" w:rsidR="00CF0E3D" w:rsidRDefault="00CF0E3D" w:rsidP="007941AE">
            <w:pPr>
              <w:pStyle w:val="Tablea"/>
            </w:pPr>
          </w:p>
        </w:tc>
      </w:tr>
      <w:tr w:rsidR="00CF0E3D" w14:paraId="08C5D8BF" w14:textId="77777777" w:rsidTr="007941AE">
        <w:tc>
          <w:tcPr>
            <w:tcW w:w="256" w:type="pct"/>
            <w:tcBorders>
              <w:top w:val="single" w:sz="4" w:space="0" w:color="auto"/>
              <w:bottom w:val="single" w:sz="12" w:space="0" w:color="auto"/>
              <w:right w:val="nil"/>
            </w:tcBorders>
          </w:tcPr>
          <w:p w14:paraId="2F3E8187" w14:textId="77777777" w:rsidR="00CF0E3D" w:rsidRDefault="00CF0E3D" w:rsidP="007941AE">
            <w:pPr>
              <w:pStyle w:val="Tabletext"/>
            </w:pPr>
            <w:r>
              <w:t>4</w:t>
            </w:r>
          </w:p>
        </w:tc>
        <w:tc>
          <w:tcPr>
            <w:tcW w:w="1187" w:type="pct"/>
            <w:tcBorders>
              <w:top w:val="single" w:sz="4" w:space="0" w:color="auto"/>
              <w:left w:val="nil"/>
              <w:bottom w:val="single" w:sz="12" w:space="0" w:color="auto"/>
              <w:right w:val="nil"/>
            </w:tcBorders>
          </w:tcPr>
          <w:p w14:paraId="0BFBE992" w14:textId="77777777" w:rsidR="00CF0E3D" w:rsidRPr="000C3240" w:rsidRDefault="00CF0E3D" w:rsidP="007941AE">
            <w:pPr>
              <w:pStyle w:val="Tabletext"/>
              <w:rPr>
                <w:color w:val="000000" w:themeColor="text1"/>
              </w:rPr>
            </w:pPr>
            <w:r>
              <w:rPr>
                <w:b/>
                <w:i/>
              </w:rPr>
              <w:t>product specific data</w:t>
            </w:r>
            <w:r w:rsidRPr="000C3240">
              <w:rPr>
                <w:color w:val="000000" w:themeColor="text1"/>
              </w:rPr>
              <w:t xml:space="preserve">, in relation to a particular </w:t>
            </w:r>
            <w:r>
              <w:rPr>
                <w:color w:val="000000" w:themeColor="text1"/>
              </w:rPr>
              <w:t>product</w:t>
            </w:r>
          </w:p>
        </w:tc>
        <w:tc>
          <w:tcPr>
            <w:tcW w:w="3557" w:type="pct"/>
            <w:tcBorders>
              <w:top w:val="single" w:sz="4" w:space="0" w:color="auto"/>
              <w:left w:val="nil"/>
              <w:bottom w:val="single" w:sz="12" w:space="0" w:color="auto"/>
              <w:right w:val="nil"/>
            </w:tcBorders>
          </w:tcPr>
          <w:p w14:paraId="5A3C2B21" w14:textId="77777777" w:rsidR="00CF0E3D" w:rsidRPr="00E1300D" w:rsidRDefault="00CF0E3D" w:rsidP="007941AE">
            <w:pPr>
              <w:pStyle w:val="Tablea"/>
              <w:rPr>
                <w:color w:val="000000" w:themeColor="text1"/>
              </w:rPr>
            </w:pPr>
            <w:r w:rsidRPr="00E1300D">
              <w:rPr>
                <w:color w:val="000000" w:themeColor="text1"/>
              </w:rPr>
              <w:t>(a)</w:t>
            </w:r>
            <w:r w:rsidRPr="00E1300D">
              <w:rPr>
                <w:color w:val="000000" w:themeColor="text1"/>
              </w:rPr>
              <w:tab/>
            </w:r>
            <w:r>
              <w:t xml:space="preserve">means </w:t>
            </w:r>
            <w:r w:rsidRPr="00E1300D">
              <w:rPr>
                <w:color w:val="000000" w:themeColor="text1"/>
              </w:rPr>
              <w:t>information that identifies or describes the characteristics of the product; and</w:t>
            </w:r>
          </w:p>
          <w:p w14:paraId="514F6774" w14:textId="77777777" w:rsidR="00CF0E3D" w:rsidRDefault="00CF0E3D" w:rsidP="007941AE">
            <w:pPr>
              <w:pStyle w:val="Tablea"/>
            </w:pPr>
            <w:r w:rsidRPr="00E1300D">
              <w:rPr>
                <w:color w:val="000000" w:themeColor="text1"/>
              </w:rPr>
              <w:t>(b)</w:t>
            </w:r>
            <w:r w:rsidRPr="00E1300D">
              <w:rPr>
                <w:color w:val="000000" w:themeColor="text1"/>
              </w:rPr>
              <w:tab/>
              <w:t xml:space="preserve">includes </w:t>
            </w:r>
            <w:r w:rsidRPr="000C3240">
              <w:rPr>
                <w:color w:val="000000" w:themeColor="text1"/>
              </w:rPr>
              <w:t>the following</w:t>
            </w:r>
            <w:r>
              <w:t xml:space="preserve"> data about</w:t>
            </w:r>
            <w:r w:rsidRPr="000C3240">
              <w:rPr>
                <w:color w:val="000000" w:themeColor="text1"/>
              </w:rPr>
              <w:t xml:space="preserve"> the </w:t>
            </w:r>
            <w:r>
              <w:t>product:</w:t>
            </w:r>
          </w:p>
          <w:p w14:paraId="6E40BE81" w14:textId="77777777" w:rsidR="00CF0E3D" w:rsidRDefault="00CF0E3D" w:rsidP="007941AE">
            <w:pPr>
              <w:pStyle w:val="Tablei"/>
            </w:pPr>
            <w:r>
              <w:tab/>
              <w:t>(i)</w:t>
            </w:r>
            <w:r>
              <w:tab/>
            </w:r>
            <w:r w:rsidRPr="000C3240">
              <w:rPr>
                <w:color w:val="000000" w:themeColor="text1"/>
              </w:rPr>
              <w:t xml:space="preserve">its </w:t>
            </w:r>
            <w:r>
              <w:t>type;</w:t>
            </w:r>
          </w:p>
          <w:p w14:paraId="44D9543F" w14:textId="77777777" w:rsidR="00CF0E3D" w:rsidRDefault="00CF0E3D" w:rsidP="007941AE">
            <w:pPr>
              <w:pStyle w:val="Tablei"/>
            </w:pPr>
            <w:r>
              <w:tab/>
              <w:t>(ii)</w:t>
            </w:r>
            <w:r>
              <w:tab/>
            </w:r>
            <w:r w:rsidRPr="00B60065">
              <w:t xml:space="preserve">its </w:t>
            </w:r>
            <w:r>
              <w:t>name;</w:t>
            </w:r>
          </w:p>
          <w:p w14:paraId="6081D89D" w14:textId="77777777" w:rsidR="00CF0E3D" w:rsidRDefault="00CF0E3D" w:rsidP="007941AE">
            <w:pPr>
              <w:pStyle w:val="Tablei"/>
            </w:pPr>
            <w:r>
              <w:tab/>
              <w:t>(iii)</w:t>
            </w:r>
            <w:r>
              <w:tab/>
            </w:r>
            <w:r w:rsidRPr="00B60065">
              <w:t xml:space="preserve">its </w:t>
            </w:r>
            <w:r>
              <w:t>price, including fees, charges and interest rates (however described);</w:t>
            </w:r>
          </w:p>
          <w:p w14:paraId="705FF62B" w14:textId="77777777" w:rsidR="00CF0E3D" w:rsidRDefault="00CF0E3D" w:rsidP="007941AE">
            <w:pPr>
              <w:pStyle w:val="Tablei"/>
            </w:pPr>
            <w:r>
              <w:tab/>
              <w:t>(iv)</w:t>
            </w:r>
            <w:r>
              <w:tab/>
            </w:r>
            <w:r w:rsidRPr="00B60065">
              <w:t xml:space="preserve">associated </w:t>
            </w:r>
            <w:r>
              <w:t>features and benefits, including discounts and bundles;</w:t>
            </w:r>
          </w:p>
          <w:p w14:paraId="2C73C87B" w14:textId="77777777" w:rsidR="00CF0E3D" w:rsidRDefault="00CF0E3D" w:rsidP="007941AE">
            <w:pPr>
              <w:pStyle w:val="Tablei"/>
            </w:pPr>
            <w:r>
              <w:tab/>
              <w:t>(v)</w:t>
            </w:r>
            <w:r>
              <w:tab/>
            </w:r>
            <w:r w:rsidRPr="00B60065">
              <w:t xml:space="preserve">associated </w:t>
            </w:r>
            <w:r>
              <w:t>terms and conditions;</w:t>
            </w:r>
          </w:p>
          <w:p w14:paraId="70DEF012" w14:textId="77777777" w:rsidR="00CF0E3D" w:rsidRDefault="00CF0E3D" w:rsidP="007941AE">
            <w:pPr>
              <w:pStyle w:val="Tablei"/>
            </w:pPr>
            <w:r>
              <w:tab/>
              <w:t>(vi)</w:t>
            </w:r>
            <w:r>
              <w:tab/>
              <w:t>customer eligibility requirements.</w:t>
            </w:r>
          </w:p>
          <w:p w14:paraId="33ACD721" w14:textId="77777777" w:rsidR="00CF0E3D" w:rsidRPr="00BC78CF" w:rsidRDefault="00CF0E3D" w:rsidP="007941AE">
            <w:pPr>
              <w:pStyle w:val="nDrafterComment"/>
              <w:rPr>
                <w:color w:val="FF0000"/>
              </w:rPr>
            </w:pPr>
          </w:p>
        </w:tc>
      </w:tr>
    </w:tbl>
    <w:p w14:paraId="2918BD01" w14:textId="77777777" w:rsidR="00CF0E3D" w:rsidRPr="0000297B" w:rsidRDefault="00CF0E3D" w:rsidP="00CF0E3D">
      <w:pPr>
        <w:pStyle w:val="ActHead5"/>
        <w:rPr>
          <w:i/>
        </w:rPr>
      </w:pPr>
      <w:bookmarkStart w:id="589" w:name="_Toc74916321"/>
      <w:r>
        <w:t>1.4</w:t>
      </w:r>
      <w:r w:rsidRPr="0000297B">
        <w:t xml:space="preserve">  Meaning of </w:t>
      </w:r>
      <w:r w:rsidRPr="0000297B">
        <w:rPr>
          <w:i/>
        </w:rPr>
        <w:t>phase 1 product</w:t>
      </w:r>
      <w:r w:rsidRPr="0000297B">
        <w:t xml:space="preserve">, </w:t>
      </w:r>
      <w:r w:rsidRPr="0000297B">
        <w:rPr>
          <w:i/>
        </w:rPr>
        <w:t xml:space="preserve">phase 2 product </w:t>
      </w:r>
      <w:r w:rsidRPr="0000297B">
        <w:t xml:space="preserve">and </w:t>
      </w:r>
      <w:r w:rsidRPr="0000297B">
        <w:rPr>
          <w:i/>
        </w:rPr>
        <w:t>phase 3 product</w:t>
      </w:r>
      <w:bookmarkEnd w:id="589"/>
    </w:p>
    <w:p w14:paraId="351789E2" w14:textId="77777777" w:rsidR="00CF0E3D" w:rsidRPr="0000297B" w:rsidRDefault="00CF0E3D" w:rsidP="00CF0E3D">
      <w:pPr>
        <w:pStyle w:val="subsection"/>
      </w:pPr>
      <w:r w:rsidRPr="0000297B">
        <w:tab/>
      </w:r>
      <w:r w:rsidRPr="0000297B">
        <w:tab/>
        <w:t>For this Schedule, the table has effect:</w:t>
      </w:r>
    </w:p>
    <w:p w14:paraId="6311779E" w14:textId="77777777" w:rsidR="00CF0E3D" w:rsidRPr="00E91310" w:rsidRDefault="00CF0E3D" w:rsidP="00CF0E3D">
      <w:pPr>
        <w:pStyle w:val="subsection"/>
        <w:ind w:left="0" w:firstLine="0"/>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
        <w:gridCol w:w="1638"/>
        <w:gridCol w:w="6187"/>
      </w:tblGrid>
      <w:tr w:rsidR="00CF0E3D" w:rsidRPr="0000297B" w14:paraId="5F1534DC" w14:textId="77777777" w:rsidTr="007941AE">
        <w:trPr>
          <w:tblHeader/>
        </w:trPr>
        <w:tc>
          <w:tcPr>
            <w:tcW w:w="5000" w:type="pct"/>
            <w:gridSpan w:val="3"/>
            <w:tcBorders>
              <w:top w:val="single" w:sz="12" w:space="0" w:color="auto"/>
              <w:bottom w:val="single" w:sz="2" w:space="0" w:color="auto"/>
            </w:tcBorders>
          </w:tcPr>
          <w:p w14:paraId="3026E468" w14:textId="77777777" w:rsidR="00CF0E3D" w:rsidRPr="0000297B" w:rsidRDefault="00CF0E3D" w:rsidP="007941AE">
            <w:pPr>
              <w:pStyle w:val="TableHeading"/>
              <w:jc w:val="center"/>
            </w:pPr>
            <w:r w:rsidRPr="0000297B">
              <w:t xml:space="preserve">Meaning of </w:t>
            </w:r>
            <w:r w:rsidRPr="0000297B">
              <w:rPr>
                <w:i/>
              </w:rPr>
              <w:t>phase 1 product</w:t>
            </w:r>
            <w:r w:rsidRPr="0000297B">
              <w:t xml:space="preserve">, </w:t>
            </w:r>
            <w:r w:rsidRPr="0000297B">
              <w:rPr>
                <w:i/>
              </w:rPr>
              <w:t xml:space="preserve">phase 2 product </w:t>
            </w:r>
            <w:r w:rsidRPr="0000297B">
              <w:t xml:space="preserve">and </w:t>
            </w:r>
            <w:r w:rsidRPr="0000297B">
              <w:rPr>
                <w:i/>
              </w:rPr>
              <w:t>phase 3 product</w:t>
            </w:r>
          </w:p>
        </w:tc>
      </w:tr>
      <w:tr w:rsidR="00CF0E3D" w:rsidRPr="0000297B" w14:paraId="607FC0D0" w14:textId="77777777" w:rsidTr="007941AE">
        <w:trPr>
          <w:tblHeader/>
        </w:trPr>
        <w:tc>
          <w:tcPr>
            <w:tcW w:w="294" w:type="pct"/>
            <w:tcBorders>
              <w:top w:val="single" w:sz="2" w:space="0" w:color="auto"/>
              <w:bottom w:val="single" w:sz="12" w:space="0" w:color="auto"/>
              <w:right w:val="nil"/>
            </w:tcBorders>
          </w:tcPr>
          <w:p w14:paraId="4B99B5E9" w14:textId="77777777" w:rsidR="00CF0E3D" w:rsidRPr="0000297B" w:rsidRDefault="00CF0E3D" w:rsidP="007941AE">
            <w:pPr>
              <w:pStyle w:val="TableHeading"/>
            </w:pPr>
          </w:p>
        </w:tc>
        <w:tc>
          <w:tcPr>
            <w:tcW w:w="985" w:type="pct"/>
            <w:tcBorders>
              <w:top w:val="single" w:sz="2" w:space="0" w:color="auto"/>
              <w:left w:val="nil"/>
              <w:bottom w:val="single" w:sz="12" w:space="0" w:color="auto"/>
              <w:right w:val="nil"/>
            </w:tcBorders>
          </w:tcPr>
          <w:p w14:paraId="62E48B40" w14:textId="77777777" w:rsidR="00CF0E3D" w:rsidRPr="0000297B" w:rsidRDefault="00CF0E3D" w:rsidP="007941AE">
            <w:pPr>
              <w:pStyle w:val="TableHeading"/>
            </w:pPr>
            <w:r w:rsidRPr="0000297B">
              <w:t>The following term:</w:t>
            </w:r>
          </w:p>
        </w:tc>
        <w:tc>
          <w:tcPr>
            <w:tcW w:w="3721" w:type="pct"/>
            <w:tcBorders>
              <w:top w:val="single" w:sz="2" w:space="0" w:color="auto"/>
              <w:left w:val="nil"/>
              <w:bottom w:val="single" w:sz="12" w:space="0" w:color="auto"/>
              <w:right w:val="nil"/>
            </w:tcBorders>
          </w:tcPr>
          <w:p w14:paraId="74BF0DC2" w14:textId="77777777" w:rsidR="00CF0E3D" w:rsidRPr="0000297B" w:rsidRDefault="00CF0E3D" w:rsidP="007941AE">
            <w:pPr>
              <w:pStyle w:val="TableHeading"/>
            </w:pPr>
            <w:r w:rsidRPr="0000297B">
              <w:t>means a product that is publicly offered and is generally known as being of any of the following types:</w:t>
            </w:r>
          </w:p>
        </w:tc>
      </w:tr>
      <w:tr w:rsidR="00CF0E3D" w:rsidRPr="0000297B" w14:paraId="495E645D" w14:textId="77777777" w:rsidTr="007941AE">
        <w:tc>
          <w:tcPr>
            <w:tcW w:w="294" w:type="pct"/>
            <w:tcBorders>
              <w:top w:val="single" w:sz="12" w:space="0" w:color="auto"/>
              <w:bottom w:val="single" w:sz="2" w:space="0" w:color="auto"/>
              <w:right w:val="nil"/>
            </w:tcBorders>
          </w:tcPr>
          <w:p w14:paraId="2014D6CA" w14:textId="77777777" w:rsidR="00CF0E3D" w:rsidRPr="0000297B" w:rsidRDefault="00CF0E3D" w:rsidP="007941AE">
            <w:pPr>
              <w:pStyle w:val="Tabletext"/>
            </w:pPr>
            <w:r w:rsidRPr="0000297B">
              <w:t>1</w:t>
            </w:r>
          </w:p>
        </w:tc>
        <w:tc>
          <w:tcPr>
            <w:tcW w:w="985" w:type="pct"/>
            <w:tcBorders>
              <w:top w:val="single" w:sz="12" w:space="0" w:color="auto"/>
              <w:left w:val="nil"/>
              <w:bottom w:val="single" w:sz="2" w:space="0" w:color="auto"/>
              <w:right w:val="nil"/>
            </w:tcBorders>
          </w:tcPr>
          <w:p w14:paraId="5A80B416" w14:textId="77777777" w:rsidR="00CF0E3D" w:rsidRPr="0000297B" w:rsidRDefault="00CF0E3D" w:rsidP="007941AE">
            <w:pPr>
              <w:pStyle w:val="Tabletext"/>
              <w:rPr>
                <w:b/>
                <w:i/>
              </w:rPr>
            </w:pPr>
            <w:r w:rsidRPr="0000297B">
              <w:rPr>
                <w:b/>
                <w:i/>
              </w:rPr>
              <w:t>phase 1 product</w:t>
            </w:r>
          </w:p>
        </w:tc>
        <w:tc>
          <w:tcPr>
            <w:tcW w:w="3721" w:type="pct"/>
            <w:tcBorders>
              <w:top w:val="single" w:sz="12" w:space="0" w:color="auto"/>
              <w:left w:val="nil"/>
              <w:bottom w:val="single" w:sz="2" w:space="0" w:color="auto"/>
              <w:right w:val="nil"/>
            </w:tcBorders>
          </w:tcPr>
          <w:p w14:paraId="16898C62" w14:textId="77777777" w:rsidR="00CF0E3D" w:rsidRPr="0000297B" w:rsidRDefault="00CF0E3D" w:rsidP="007941AE">
            <w:pPr>
              <w:pStyle w:val="Tablea"/>
            </w:pPr>
            <w:r w:rsidRPr="0000297B">
              <w:tab/>
              <w:t>(a)</w:t>
            </w:r>
            <w:r w:rsidRPr="0000297B">
              <w:tab/>
              <w:t>a savings account;</w:t>
            </w:r>
          </w:p>
          <w:p w14:paraId="35DB3DA8" w14:textId="77777777" w:rsidR="00CF0E3D" w:rsidRPr="0000297B" w:rsidRDefault="00CF0E3D" w:rsidP="007941AE">
            <w:pPr>
              <w:pStyle w:val="Tablea"/>
            </w:pPr>
            <w:r w:rsidRPr="0000297B">
              <w:tab/>
              <w:t>(b)</w:t>
            </w:r>
            <w:r w:rsidRPr="0000297B">
              <w:tab/>
              <w:t>a call account;</w:t>
            </w:r>
          </w:p>
          <w:p w14:paraId="36D91665" w14:textId="77777777" w:rsidR="00CF0E3D" w:rsidRPr="0000297B" w:rsidRDefault="00CF0E3D" w:rsidP="007941AE">
            <w:pPr>
              <w:pStyle w:val="Tablea"/>
            </w:pPr>
            <w:r w:rsidRPr="0000297B">
              <w:tab/>
              <w:t>(c)</w:t>
            </w:r>
            <w:r w:rsidRPr="0000297B">
              <w:tab/>
              <w:t>a term deposit;</w:t>
            </w:r>
          </w:p>
          <w:p w14:paraId="413CFBA8" w14:textId="77777777" w:rsidR="00CF0E3D" w:rsidRPr="0000297B" w:rsidRDefault="00CF0E3D" w:rsidP="007941AE">
            <w:pPr>
              <w:pStyle w:val="Tablea"/>
            </w:pPr>
            <w:r w:rsidRPr="0000297B">
              <w:tab/>
              <w:t>(d)</w:t>
            </w:r>
            <w:r w:rsidRPr="0000297B">
              <w:tab/>
              <w:t>a current account;</w:t>
            </w:r>
          </w:p>
          <w:p w14:paraId="5B8F2323" w14:textId="77777777" w:rsidR="00CF0E3D" w:rsidRPr="0000297B" w:rsidRDefault="00CF0E3D" w:rsidP="007941AE">
            <w:pPr>
              <w:pStyle w:val="Tablea"/>
            </w:pPr>
            <w:r w:rsidRPr="0000297B">
              <w:tab/>
              <w:t>(e)</w:t>
            </w:r>
            <w:r w:rsidRPr="0000297B">
              <w:tab/>
              <w:t>a cheque account;</w:t>
            </w:r>
          </w:p>
          <w:p w14:paraId="1D43DE04" w14:textId="77777777" w:rsidR="00CF0E3D" w:rsidRPr="0000297B" w:rsidRDefault="00CF0E3D" w:rsidP="007941AE">
            <w:pPr>
              <w:pStyle w:val="Tablea"/>
            </w:pPr>
            <w:r w:rsidRPr="0000297B">
              <w:tab/>
              <w:t>(f)</w:t>
            </w:r>
            <w:r w:rsidRPr="0000297B">
              <w:tab/>
              <w:t>a debit card account;</w:t>
            </w:r>
          </w:p>
          <w:p w14:paraId="4FA9134C" w14:textId="77777777" w:rsidR="00CF0E3D" w:rsidRPr="0000297B" w:rsidRDefault="00CF0E3D" w:rsidP="007941AE">
            <w:pPr>
              <w:pStyle w:val="Tablea"/>
            </w:pPr>
            <w:r w:rsidRPr="0000297B">
              <w:tab/>
              <w:t>(g)</w:t>
            </w:r>
            <w:r w:rsidRPr="0000297B">
              <w:tab/>
              <w:t>a transaction account;</w:t>
            </w:r>
          </w:p>
          <w:p w14:paraId="24562E44" w14:textId="77777777" w:rsidR="00CF0E3D" w:rsidRPr="0000297B" w:rsidRDefault="00CF0E3D" w:rsidP="007941AE">
            <w:pPr>
              <w:pStyle w:val="Tablea"/>
            </w:pPr>
            <w:r w:rsidRPr="0000297B">
              <w:tab/>
              <w:t>(h)</w:t>
            </w:r>
            <w:r w:rsidRPr="0000297B">
              <w:tab/>
              <w:t>a personal basic account;</w:t>
            </w:r>
          </w:p>
          <w:p w14:paraId="1939B083" w14:textId="77777777" w:rsidR="00CF0E3D" w:rsidRPr="0000297B" w:rsidRDefault="00CF0E3D" w:rsidP="007941AE">
            <w:pPr>
              <w:pStyle w:val="Tablea"/>
            </w:pPr>
            <w:r w:rsidRPr="0000297B">
              <w:tab/>
              <w:t>(i)</w:t>
            </w:r>
            <w:r w:rsidRPr="0000297B">
              <w:tab/>
              <w:t>a GST or tax account;</w:t>
            </w:r>
          </w:p>
          <w:p w14:paraId="553541D8" w14:textId="77777777" w:rsidR="00CF0E3D" w:rsidRPr="0000297B" w:rsidRDefault="00CF0E3D" w:rsidP="007941AE">
            <w:pPr>
              <w:pStyle w:val="Tablea"/>
            </w:pPr>
            <w:r w:rsidRPr="0000297B">
              <w:t>(j)</w:t>
            </w:r>
            <w:r w:rsidRPr="0000297B">
              <w:tab/>
              <w:t>a personal credit or charge card account;</w:t>
            </w:r>
          </w:p>
          <w:p w14:paraId="772BD468" w14:textId="77777777" w:rsidR="00CF0E3D" w:rsidRPr="0000297B" w:rsidRDefault="00CF0E3D" w:rsidP="007941AE">
            <w:pPr>
              <w:pStyle w:val="Tablea"/>
            </w:pPr>
            <w:r w:rsidRPr="0000297B">
              <w:tab/>
              <w:t>(k)</w:t>
            </w:r>
            <w:r w:rsidRPr="0000297B">
              <w:tab/>
              <w:t>a business credit or charge card  account.</w:t>
            </w:r>
          </w:p>
          <w:p w14:paraId="67808AEC" w14:textId="77777777" w:rsidR="00CF0E3D" w:rsidRPr="0000297B" w:rsidRDefault="00CF0E3D" w:rsidP="007941AE">
            <w:pPr>
              <w:pStyle w:val="Tablea"/>
            </w:pPr>
            <w:r w:rsidRPr="0000297B">
              <w:tab/>
            </w:r>
          </w:p>
        </w:tc>
      </w:tr>
      <w:tr w:rsidR="00CF0E3D" w:rsidRPr="0000297B" w14:paraId="7E9E769C" w14:textId="77777777" w:rsidTr="007941AE">
        <w:tc>
          <w:tcPr>
            <w:tcW w:w="294" w:type="pct"/>
            <w:tcBorders>
              <w:top w:val="single" w:sz="2" w:space="0" w:color="auto"/>
              <w:bottom w:val="single" w:sz="4" w:space="0" w:color="auto"/>
              <w:right w:val="nil"/>
            </w:tcBorders>
          </w:tcPr>
          <w:p w14:paraId="453D1B74" w14:textId="77777777" w:rsidR="00CF0E3D" w:rsidRPr="0000297B" w:rsidRDefault="00CF0E3D" w:rsidP="007941AE">
            <w:pPr>
              <w:pStyle w:val="Tabletext"/>
            </w:pPr>
            <w:r w:rsidRPr="0000297B">
              <w:t>2</w:t>
            </w:r>
          </w:p>
        </w:tc>
        <w:tc>
          <w:tcPr>
            <w:tcW w:w="985" w:type="pct"/>
            <w:tcBorders>
              <w:top w:val="single" w:sz="2" w:space="0" w:color="auto"/>
              <w:left w:val="nil"/>
              <w:bottom w:val="single" w:sz="4" w:space="0" w:color="auto"/>
              <w:right w:val="nil"/>
            </w:tcBorders>
          </w:tcPr>
          <w:p w14:paraId="5452F88C" w14:textId="77777777" w:rsidR="00CF0E3D" w:rsidRPr="0000297B" w:rsidRDefault="00CF0E3D" w:rsidP="007941AE">
            <w:pPr>
              <w:pStyle w:val="Tabletext"/>
              <w:rPr>
                <w:b/>
                <w:i/>
              </w:rPr>
            </w:pPr>
            <w:r w:rsidRPr="0000297B">
              <w:rPr>
                <w:b/>
                <w:i/>
              </w:rPr>
              <w:t xml:space="preserve">phase 2 product </w:t>
            </w:r>
          </w:p>
          <w:p w14:paraId="0E15F0AC" w14:textId="77777777" w:rsidR="00CF0E3D" w:rsidRPr="0000297B" w:rsidRDefault="00CF0E3D" w:rsidP="007941AE">
            <w:pPr>
              <w:pStyle w:val="Tabletext"/>
            </w:pPr>
          </w:p>
        </w:tc>
        <w:tc>
          <w:tcPr>
            <w:tcW w:w="3721" w:type="pct"/>
            <w:tcBorders>
              <w:top w:val="single" w:sz="2" w:space="0" w:color="auto"/>
              <w:left w:val="nil"/>
              <w:bottom w:val="single" w:sz="4" w:space="0" w:color="auto"/>
              <w:right w:val="nil"/>
            </w:tcBorders>
          </w:tcPr>
          <w:p w14:paraId="7ABEB9D7" w14:textId="77777777" w:rsidR="00CF0E3D" w:rsidRPr="0000297B" w:rsidRDefault="00CF0E3D" w:rsidP="007941AE">
            <w:pPr>
              <w:pStyle w:val="Tablea"/>
            </w:pPr>
            <w:r w:rsidRPr="0000297B">
              <w:tab/>
              <w:t>(a)</w:t>
            </w:r>
            <w:r w:rsidRPr="0000297B">
              <w:tab/>
              <w:t>a residential home loan;</w:t>
            </w:r>
          </w:p>
          <w:p w14:paraId="01EC78A0" w14:textId="77777777" w:rsidR="00CF0E3D" w:rsidRPr="0000297B" w:rsidRDefault="00CF0E3D" w:rsidP="007941AE">
            <w:pPr>
              <w:pStyle w:val="Tablea"/>
            </w:pPr>
            <w:r w:rsidRPr="0000297B">
              <w:t>(b)</w:t>
            </w:r>
            <w:r w:rsidRPr="0000297B">
              <w:tab/>
              <w:t>a home loan for an investment property;</w:t>
            </w:r>
          </w:p>
          <w:p w14:paraId="67DC4DFE" w14:textId="77777777" w:rsidR="00CF0E3D" w:rsidRPr="0000297B" w:rsidRDefault="00CF0E3D" w:rsidP="007941AE">
            <w:pPr>
              <w:pStyle w:val="Tablea"/>
            </w:pPr>
            <w:r w:rsidRPr="0000297B">
              <w:t>(c)</w:t>
            </w:r>
            <w:r w:rsidRPr="0000297B">
              <w:tab/>
              <w:t>a mortgage offset account;</w:t>
            </w:r>
          </w:p>
          <w:p w14:paraId="09A8E823" w14:textId="77777777" w:rsidR="00CF0E3D" w:rsidRPr="0000297B" w:rsidRDefault="00CF0E3D" w:rsidP="007941AE">
            <w:pPr>
              <w:pStyle w:val="Tablea"/>
              <w:rPr>
                <w:rStyle w:val="CommentReference"/>
                <w:rFonts w:eastAsiaTheme="minorHAnsi" w:cstheme="minorBidi"/>
                <w:lang w:eastAsia="en-US"/>
              </w:rPr>
            </w:pPr>
            <w:r w:rsidRPr="0000297B">
              <w:t>(d)</w:t>
            </w:r>
            <w:r w:rsidRPr="0000297B">
              <w:tab/>
              <w:t>a personal loan.</w:t>
            </w:r>
          </w:p>
          <w:p w14:paraId="2FDE4F8C" w14:textId="77777777" w:rsidR="00CF0E3D" w:rsidRPr="0000297B" w:rsidRDefault="00CF0E3D" w:rsidP="007941AE">
            <w:pPr>
              <w:pStyle w:val="Tablea"/>
            </w:pPr>
          </w:p>
        </w:tc>
      </w:tr>
      <w:tr w:rsidR="00CF0E3D" w:rsidRPr="0000297B" w14:paraId="27E504C5" w14:textId="77777777" w:rsidTr="007941AE">
        <w:tc>
          <w:tcPr>
            <w:tcW w:w="294" w:type="pct"/>
            <w:tcBorders>
              <w:top w:val="single" w:sz="4" w:space="0" w:color="auto"/>
              <w:bottom w:val="single" w:sz="12" w:space="0" w:color="auto"/>
              <w:right w:val="nil"/>
            </w:tcBorders>
          </w:tcPr>
          <w:p w14:paraId="20394D30" w14:textId="77777777" w:rsidR="00CF0E3D" w:rsidRPr="0000297B" w:rsidRDefault="00CF0E3D" w:rsidP="007941AE">
            <w:pPr>
              <w:pStyle w:val="Tabletext"/>
            </w:pPr>
            <w:r w:rsidRPr="0000297B">
              <w:t>3</w:t>
            </w:r>
          </w:p>
        </w:tc>
        <w:tc>
          <w:tcPr>
            <w:tcW w:w="985" w:type="pct"/>
            <w:tcBorders>
              <w:top w:val="single" w:sz="4" w:space="0" w:color="auto"/>
              <w:left w:val="nil"/>
              <w:bottom w:val="single" w:sz="12" w:space="0" w:color="auto"/>
              <w:right w:val="nil"/>
            </w:tcBorders>
          </w:tcPr>
          <w:p w14:paraId="5152F07F" w14:textId="77777777" w:rsidR="00CF0E3D" w:rsidRPr="0000297B" w:rsidRDefault="00CF0E3D" w:rsidP="007941AE">
            <w:pPr>
              <w:pStyle w:val="Tabletext"/>
            </w:pPr>
            <w:r w:rsidRPr="0000297B">
              <w:rPr>
                <w:b/>
                <w:i/>
              </w:rPr>
              <w:t>phase 3 product</w:t>
            </w:r>
          </w:p>
        </w:tc>
        <w:tc>
          <w:tcPr>
            <w:tcW w:w="3721" w:type="pct"/>
            <w:tcBorders>
              <w:top w:val="single" w:sz="4" w:space="0" w:color="auto"/>
              <w:left w:val="nil"/>
              <w:bottom w:val="single" w:sz="12" w:space="0" w:color="auto"/>
              <w:right w:val="nil"/>
            </w:tcBorders>
          </w:tcPr>
          <w:p w14:paraId="75E10B9B" w14:textId="77777777" w:rsidR="00CF0E3D" w:rsidRPr="0000297B" w:rsidRDefault="00CF0E3D" w:rsidP="007941AE">
            <w:pPr>
              <w:pStyle w:val="Tablea"/>
            </w:pPr>
            <w:r w:rsidRPr="0000297B">
              <w:tab/>
              <w:t>(a)</w:t>
            </w:r>
            <w:r w:rsidRPr="0000297B">
              <w:tab/>
              <w:t>business finance;</w:t>
            </w:r>
          </w:p>
          <w:p w14:paraId="5587207C" w14:textId="77777777" w:rsidR="00CF0E3D" w:rsidRPr="0000297B" w:rsidRDefault="00CF0E3D" w:rsidP="007941AE">
            <w:pPr>
              <w:pStyle w:val="Tablea"/>
            </w:pPr>
            <w:r w:rsidRPr="0000297B">
              <w:tab/>
              <w:t>(b)</w:t>
            </w:r>
            <w:r w:rsidRPr="0000297B">
              <w:tab/>
              <w:t>a loan for an investment;</w:t>
            </w:r>
          </w:p>
          <w:p w14:paraId="3BF61388" w14:textId="77777777" w:rsidR="00CF0E3D" w:rsidRPr="0000297B" w:rsidRDefault="00CF0E3D" w:rsidP="007941AE">
            <w:pPr>
              <w:pStyle w:val="Tablea"/>
            </w:pPr>
            <w:r w:rsidRPr="0000297B">
              <w:tab/>
              <w:t>(c)</w:t>
            </w:r>
            <w:r w:rsidRPr="0000297B">
              <w:tab/>
              <w:t>a line of credit (personal);</w:t>
            </w:r>
          </w:p>
          <w:p w14:paraId="6A58241E" w14:textId="77777777" w:rsidR="00CF0E3D" w:rsidRPr="0000297B" w:rsidRDefault="00CF0E3D" w:rsidP="007941AE">
            <w:pPr>
              <w:pStyle w:val="Tablea"/>
            </w:pPr>
            <w:r w:rsidRPr="0000297B">
              <w:tab/>
              <w:t>(d)</w:t>
            </w:r>
            <w:r w:rsidRPr="0000297B">
              <w:tab/>
              <w:t>a line of credit (business);</w:t>
            </w:r>
          </w:p>
          <w:p w14:paraId="526E7953" w14:textId="77777777" w:rsidR="00CF0E3D" w:rsidRPr="0000297B" w:rsidRDefault="00CF0E3D" w:rsidP="007941AE">
            <w:pPr>
              <w:pStyle w:val="Tablea"/>
            </w:pPr>
            <w:r w:rsidRPr="0000297B">
              <w:tab/>
              <w:t>(e)</w:t>
            </w:r>
            <w:r w:rsidRPr="0000297B">
              <w:tab/>
              <w:t>an overdraft (personal);</w:t>
            </w:r>
          </w:p>
          <w:p w14:paraId="73314A9A" w14:textId="77777777" w:rsidR="00CF0E3D" w:rsidRPr="0000297B" w:rsidRDefault="00CF0E3D" w:rsidP="007941AE">
            <w:pPr>
              <w:pStyle w:val="Tablea"/>
            </w:pPr>
            <w:r w:rsidRPr="0000297B">
              <w:tab/>
              <w:t>(f)</w:t>
            </w:r>
            <w:r w:rsidRPr="0000297B">
              <w:tab/>
              <w:t>an overdraft (business);</w:t>
            </w:r>
          </w:p>
          <w:p w14:paraId="4507F3E6" w14:textId="77777777" w:rsidR="00CF0E3D" w:rsidRPr="0000297B" w:rsidRDefault="00CF0E3D" w:rsidP="007941AE">
            <w:pPr>
              <w:pStyle w:val="Tablea"/>
            </w:pPr>
            <w:r w:rsidRPr="0000297B">
              <w:tab/>
              <w:t>(g)</w:t>
            </w:r>
            <w:r w:rsidRPr="0000297B">
              <w:tab/>
              <w:t>asset finance (including leases);</w:t>
            </w:r>
          </w:p>
          <w:p w14:paraId="5D24A56E" w14:textId="77777777" w:rsidR="00CF0E3D" w:rsidRPr="0000297B" w:rsidRDefault="00CF0E3D" w:rsidP="007941AE">
            <w:pPr>
              <w:pStyle w:val="Tablea"/>
            </w:pPr>
            <w:r w:rsidRPr="0000297B">
              <w:tab/>
              <w:t>(h)</w:t>
            </w:r>
            <w:r w:rsidRPr="0000297B">
              <w:tab/>
              <w:t>a cash management account;</w:t>
            </w:r>
          </w:p>
          <w:p w14:paraId="61EB55DC" w14:textId="77777777" w:rsidR="00CF0E3D" w:rsidRPr="0000297B" w:rsidRDefault="00CF0E3D" w:rsidP="007941AE">
            <w:pPr>
              <w:pStyle w:val="Tablea"/>
            </w:pPr>
            <w:r w:rsidRPr="0000297B">
              <w:tab/>
              <w:t>(i)</w:t>
            </w:r>
            <w:r w:rsidRPr="0000297B">
              <w:tab/>
              <w:t>a farm management account;</w:t>
            </w:r>
          </w:p>
          <w:p w14:paraId="1C49BE27" w14:textId="77777777" w:rsidR="00CF0E3D" w:rsidRPr="0000297B" w:rsidRDefault="00CF0E3D" w:rsidP="007941AE">
            <w:pPr>
              <w:pStyle w:val="Tablea"/>
            </w:pPr>
            <w:r w:rsidRPr="0000297B">
              <w:tab/>
              <w:t>(j)</w:t>
            </w:r>
            <w:r w:rsidRPr="0000297B">
              <w:tab/>
              <w:t>a pensioner deeming account;</w:t>
            </w:r>
          </w:p>
          <w:p w14:paraId="5410A0DA" w14:textId="77777777" w:rsidR="00CF0E3D" w:rsidRPr="0000297B" w:rsidRDefault="00CF0E3D" w:rsidP="007941AE">
            <w:pPr>
              <w:pStyle w:val="Tablea"/>
            </w:pPr>
            <w:r w:rsidRPr="0000297B">
              <w:tab/>
              <w:t>(k)</w:t>
            </w:r>
            <w:r w:rsidRPr="0000297B">
              <w:tab/>
              <w:t>a retirement savings account;</w:t>
            </w:r>
          </w:p>
          <w:p w14:paraId="1CF7BE5D" w14:textId="77777777" w:rsidR="00CF0E3D" w:rsidRPr="0000297B" w:rsidRDefault="00CF0E3D" w:rsidP="007941AE">
            <w:pPr>
              <w:pStyle w:val="Tablea"/>
            </w:pPr>
            <w:r w:rsidRPr="0000297B">
              <w:tab/>
              <w:t>(l)</w:t>
            </w:r>
            <w:r w:rsidRPr="0000297B">
              <w:tab/>
              <w:t>a trust account;</w:t>
            </w:r>
          </w:p>
          <w:p w14:paraId="674EB03A" w14:textId="77777777" w:rsidR="00CF0E3D" w:rsidRPr="0000297B" w:rsidRDefault="00CF0E3D" w:rsidP="007941AE">
            <w:pPr>
              <w:pStyle w:val="Tablea"/>
            </w:pPr>
            <w:r w:rsidRPr="0000297B">
              <w:tab/>
              <w:t>(m)</w:t>
            </w:r>
            <w:r w:rsidRPr="0000297B">
              <w:tab/>
              <w:t>a foreign currency account;</w:t>
            </w:r>
          </w:p>
          <w:p w14:paraId="50CB94FC" w14:textId="77777777" w:rsidR="00CF0E3D" w:rsidRPr="0000297B" w:rsidRDefault="00CF0E3D" w:rsidP="007941AE">
            <w:pPr>
              <w:pStyle w:val="Tablea"/>
            </w:pPr>
            <w:r w:rsidRPr="0000297B">
              <w:tab/>
              <w:t>(n)</w:t>
            </w:r>
            <w:r w:rsidRPr="0000297B">
              <w:tab/>
              <w:t>a consumer lease.</w:t>
            </w:r>
          </w:p>
          <w:p w14:paraId="2D1F6150" w14:textId="77777777" w:rsidR="00CF0E3D" w:rsidRPr="0000297B" w:rsidRDefault="00CF0E3D" w:rsidP="007941AE">
            <w:pPr>
              <w:pStyle w:val="Tablea"/>
            </w:pPr>
          </w:p>
        </w:tc>
      </w:tr>
    </w:tbl>
    <w:p w14:paraId="17F4B0B7" w14:textId="77777777" w:rsidR="00CF0E3D" w:rsidRDefault="00CF0E3D" w:rsidP="00CF0E3D">
      <w:pPr>
        <w:pStyle w:val="paragraphsub-sub"/>
      </w:pPr>
    </w:p>
    <w:p w14:paraId="3660CE27" w14:textId="77777777" w:rsidR="00CF0E3D" w:rsidRPr="00C378D9" w:rsidRDefault="00CF0E3D" w:rsidP="00CF0E3D">
      <w:pPr>
        <w:pStyle w:val="ActHead2"/>
        <w:pageBreakBefore/>
      </w:pPr>
      <w:bookmarkStart w:id="590" w:name="_Toc74916322"/>
      <w:r w:rsidRPr="00C378D9">
        <w:t>Part 2—Eligible CDR consumers—banking sector</w:t>
      </w:r>
      <w:bookmarkEnd w:id="590"/>
    </w:p>
    <w:p w14:paraId="3AD18EC0" w14:textId="77777777" w:rsidR="00CF0E3D" w:rsidRPr="007E7FBF" w:rsidRDefault="00CF0E3D" w:rsidP="00CF0E3D">
      <w:pPr>
        <w:pStyle w:val="ActHead5"/>
      </w:pPr>
      <w:bookmarkStart w:id="591" w:name="_Toc74916323"/>
      <w:r w:rsidRPr="007E7FBF">
        <w:t xml:space="preserve">2.1  Meaning of </w:t>
      </w:r>
      <w:r w:rsidRPr="007E7FBF">
        <w:rPr>
          <w:i/>
        </w:rPr>
        <w:t>eligible</w:t>
      </w:r>
      <w:r w:rsidRPr="007E7FBF">
        <w:t>—banking sector</w:t>
      </w:r>
      <w:bookmarkEnd w:id="591"/>
    </w:p>
    <w:p w14:paraId="145E3AC3" w14:textId="77777777" w:rsidR="00CF0E3D" w:rsidRPr="007E7FBF" w:rsidRDefault="00CF0E3D" w:rsidP="00CF0E3D">
      <w:pPr>
        <w:pStyle w:val="subsection"/>
      </w:pPr>
      <w:r w:rsidRPr="007E7FBF">
        <w:tab/>
        <w:t>(1)</w:t>
      </w:r>
      <w:r w:rsidRPr="007E7FBF">
        <w:tab/>
        <w:t xml:space="preserve">This clause is made for the purposes of the definition of </w:t>
      </w:r>
      <w:r w:rsidRPr="007E7FBF">
        <w:rPr>
          <w:b/>
          <w:i/>
        </w:rPr>
        <w:t xml:space="preserve">eligible </w:t>
      </w:r>
      <w:r w:rsidRPr="007E7FBF">
        <w:t>in subrule 1.7(1) of these rules.</w:t>
      </w:r>
    </w:p>
    <w:p w14:paraId="7E010A9A" w14:textId="77777777" w:rsidR="00CF0E3D" w:rsidRPr="007E7FBF" w:rsidRDefault="00CF0E3D" w:rsidP="00CF0E3D">
      <w:pPr>
        <w:pStyle w:val="subsection"/>
      </w:pPr>
      <w:r w:rsidRPr="007E7FBF">
        <w:tab/>
        <w:t>(2)</w:t>
      </w:r>
      <w:r w:rsidRPr="007E7FBF">
        <w:tab/>
        <w:t xml:space="preserve">For the banking sector, in relation to a particular data holder at a particular time, a CDR consumer is </w:t>
      </w:r>
      <w:r w:rsidRPr="007E7FBF">
        <w:rPr>
          <w:b/>
          <w:i/>
        </w:rPr>
        <w:t>eligible</w:t>
      </w:r>
      <w:r w:rsidRPr="007E7FBF">
        <w:t xml:space="preserve"> if, at that time, the CDR consumer:</w:t>
      </w:r>
    </w:p>
    <w:p w14:paraId="0900A5E4" w14:textId="77777777" w:rsidR="00CF0E3D" w:rsidRPr="007E7FBF" w:rsidRDefault="00CF0E3D" w:rsidP="00CF0E3D">
      <w:pPr>
        <w:pStyle w:val="paragraph"/>
      </w:pPr>
      <w:r w:rsidRPr="007E7FBF">
        <w:tab/>
        <w:t>(a)</w:t>
      </w:r>
      <w:r w:rsidRPr="007E7FBF">
        <w:tab/>
        <w:t>is either:</w:t>
      </w:r>
    </w:p>
    <w:p w14:paraId="78E8DDB0" w14:textId="77777777" w:rsidR="00CF0E3D" w:rsidRPr="007E7FBF" w:rsidRDefault="00CF0E3D" w:rsidP="00CF0E3D">
      <w:pPr>
        <w:pStyle w:val="paragraphsub"/>
      </w:pPr>
      <w:r w:rsidRPr="007E7FBF">
        <w:tab/>
        <w:t>(i)</w:t>
      </w:r>
      <w:r w:rsidRPr="007E7FBF">
        <w:tab/>
        <w:t>an individual who is 18 years of age or older; or</w:t>
      </w:r>
    </w:p>
    <w:p w14:paraId="188D9C2E" w14:textId="77777777" w:rsidR="00CF0E3D" w:rsidRPr="007E7FBF" w:rsidRDefault="00CF0E3D" w:rsidP="00CF0E3D">
      <w:pPr>
        <w:pStyle w:val="paragraphsub"/>
      </w:pPr>
      <w:r w:rsidRPr="007E7FBF">
        <w:tab/>
        <w:t>(ii)</w:t>
      </w:r>
      <w:r w:rsidRPr="007E7FBF">
        <w:tab/>
        <w:t>a person who is not an individual; and</w:t>
      </w:r>
    </w:p>
    <w:p w14:paraId="0BAD5247" w14:textId="77777777" w:rsidR="00CF0E3D" w:rsidRPr="007E7FBF" w:rsidRDefault="00CF0E3D" w:rsidP="00CF0E3D">
      <w:pPr>
        <w:pStyle w:val="paragraph"/>
      </w:pPr>
      <w:r w:rsidRPr="007E7FBF">
        <w:tab/>
        <w:t>(b)</w:t>
      </w:r>
      <w:r w:rsidRPr="007E7FBF">
        <w:tab/>
        <w:t>is an account holder or a secondary user for an account with the data holder that:</w:t>
      </w:r>
    </w:p>
    <w:p w14:paraId="133A1ECD" w14:textId="77777777" w:rsidR="00CF0E3D" w:rsidRPr="007E7FBF" w:rsidRDefault="00CF0E3D" w:rsidP="00CF0E3D">
      <w:pPr>
        <w:pStyle w:val="paragraphsub"/>
      </w:pPr>
      <w:r w:rsidRPr="007E7FBF">
        <w:tab/>
        <w:t>(i)</w:t>
      </w:r>
      <w:r w:rsidRPr="007E7FBF">
        <w:tab/>
        <w:t>is open; and</w:t>
      </w:r>
    </w:p>
    <w:p w14:paraId="37BC4A02" w14:textId="77777777" w:rsidR="00CF0E3D" w:rsidRPr="007E7FBF" w:rsidRDefault="00CF0E3D" w:rsidP="00CF0E3D">
      <w:pPr>
        <w:pStyle w:val="paragraphsub"/>
      </w:pPr>
      <w:r w:rsidRPr="007E7FBF">
        <w:tab/>
        <w:t>(ii)</w:t>
      </w:r>
      <w:r w:rsidRPr="007E7FBF">
        <w:tab/>
        <w:t>is set up in such a way that it can be accessed online by the CDR consumer.</w:t>
      </w:r>
    </w:p>
    <w:p w14:paraId="4D6FF6A8" w14:textId="77777777" w:rsidR="00CF0E3D" w:rsidRPr="007E7FBF" w:rsidRDefault="00CF0E3D" w:rsidP="00CF0E3D">
      <w:pPr>
        <w:pStyle w:val="subsection"/>
      </w:pPr>
      <w:r w:rsidRPr="007E7FBF">
        <w:tab/>
        <w:t>(3)</w:t>
      </w:r>
      <w:r w:rsidRPr="007E7FBF">
        <w:tab/>
        <w:t xml:space="preserve">For the banking sector, in relation to a particular data holder at a particular time, a CDR consumer is also </w:t>
      </w:r>
      <w:r w:rsidRPr="007E7FBF">
        <w:rPr>
          <w:b/>
          <w:i/>
        </w:rPr>
        <w:t xml:space="preserve">eligible </w:t>
      </w:r>
      <w:r w:rsidRPr="007E7FBF">
        <w:t>if, at that time:</w:t>
      </w:r>
    </w:p>
    <w:p w14:paraId="5B567341" w14:textId="77777777" w:rsidR="00CF0E3D" w:rsidRPr="007E7FBF" w:rsidRDefault="00CF0E3D" w:rsidP="00CF0E3D">
      <w:pPr>
        <w:pStyle w:val="paragraph"/>
      </w:pPr>
      <w:r w:rsidRPr="007E7FBF">
        <w:tab/>
        <w:t>(a)</w:t>
      </w:r>
      <w:r w:rsidRPr="007E7FBF">
        <w:tab/>
        <w:t>the CDR consumer is a partner in a partnership for which there is a partnership account with the data holder; and</w:t>
      </w:r>
    </w:p>
    <w:p w14:paraId="1E9077DB" w14:textId="77777777" w:rsidR="00CF0E3D" w:rsidRPr="007E7FBF" w:rsidRDefault="00CF0E3D" w:rsidP="00CF0E3D">
      <w:pPr>
        <w:pStyle w:val="paragraph"/>
      </w:pPr>
      <w:r w:rsidRPr="007E7FBF">
        <w:tab/>
        <w:t>(b)</w:t>
      </w:r>
      <w:r w:rsidRPr="007E7FBF">
        <w:tab/>
        <w:t>the partnership account:</w:t>
      </w:r>
    </w:p>
    <w:p w14:paraId="2752CDF9" w14:textId="77777777" w:rsidR="00CF0E3D" w:rsidRPr="007E7FBF" w:rsidRDefault="00CF0E3D" w:rsidP="00CF0E3D">
      <w:pPr>
        <w:pStyle w:val="paragraphsub"/>
      </w:pPr>
      <w:r w:rsidRPr="007E7FBF">
        <w:tab/>
        <w:t>(i)</w:t>
      </w:r>
      <w:r w:rsidRPr="007E7FBF">
        <w:tab/>
        <w:t>is open; and</w:t>
      </w:r>
    </w:p>
    <w:p w14:paraId="2EB492E3" w14:textId="77777777" w:rsidR="00CF0E3D" w:rsidRPr="007E7FBF" w:rsidRDefault="00CF0E3D" w:rsidP="00CF0E3D">
      <w:pPr>
        <w:pStyle w:val="paragraphsub"/>
      </w:pPr>
      <w:r w:rsidRPr="007E7FBF">
        <w:tab/>
        <w:t>(ii)</w:t>
      </w:r>
      <w:r w:rsidRPr="007E7FBF">
        <w:tab/>
        <w:t>is set up in such a way that it can be accessed online.</w:t>
      </w:r>
    </w:p>
    <w:p w14:paraId="6073E89A" w14:textId="77777777" w:rsidR="00CF0E3D" w:rsidRPr="00B809E9" w:rsidRDefault="00CF0E3D" w:rsidP="00CF0E3D">
      <w:pPr>
        <w:pStyle w:val="ActHead5"/>
      </w:pPr>
      <w:bookmarkStart w:id="592" w:name="_Toc57219186"/>
      <w:bookmarkStart w:id="593" w:name="_Toc59549176"/>
      <w:bookmarkStart w:id="594" w:name="_Toc74916324"/>
      <w:r w:rsidRPr="00B809E9">
        <w:t xml:space="preserve">2.2  Meaning of </w:t>
      </w:r>
      <w:r w:rsidRPr="00B809E9">
        <w:rPr>
          <w:i/>
        </w:rPr>
        <w:t>account privileges</w:t>
      </w:r>
      <w:r w:rsidRPr="00B809E9">
        <w:t>—banking sector</w:t>
      </w:r>
      <w:bookmarkEnd w:id="592"/>
      <w:bookmarkEnd w:id="593"/>
      <w:bookmarkEnd w:id="594"/>
    </w:p>
    <w:p w14:paraId="59AF497D" w14:textId="77777777" w:rsidR="00CF0E3D" w:rsidRPr="00B809E9" w:rsidRDefault="00CF0E3D" w:rsidP="00CF0E3D">
      <w:pPr>
        <w:pStyle w:val="subsection"/>
      </w:pPr>
      <w:r w:rsidRPr="00B809E9">
        <w:tab/>
        <w:t>(1)</w:t>
      </w:r>
      <w:r w:rsidRPr="00B809E9">
        <w:tab/>
        <w:t xml:space="preserve">This clause is made for the purposes of the definition of </w:t>
      </w:r>
      <w:r w:rsidRPr="00B809E9">
        <w:rPr>
          <w:b/>
          <w:i/>
        </w:rPr>
        <w:t xml:space="preserve">account privileges </w:t>
      </w:r>
      <w:r w:rsidRPr="00B809E9">
        <w:t>in subrule 1.7(1) of these rules.</w:t>
      </w:r>
    </w:p>
    <w:p w14:paraId="34A32FAE" w14:textId="77777777" w:rsidR="00CF0E3D" w:rsidRPr="00B809E9" w:rsidRDefault="00CF0E3D" w:rsidP="00CF0E3D">
      <w:pPr>
        <w:pStyle w:val="subsection"/>
      </w:pPr>
      <w:r w:rsidRPr="00B809E9">
        <w:tab/>
        <w:t>(2)</w:t>
      </w:r>
      <w:r w:rsidRPr="00B809E9">
        <w:tab/>
        <w:t>For the banking sector, a person has account privileges in relation to an account with a data holder if:</w:t>
      </w:r>
    </w:p>
    <w:p w14:paraId="7368F5EF" w14:textId="77777777" w:rsidR="00CF0E3D" w:rsidRPr="00B809E9" w:rsidRDefault="00CF0E3D" w:rsidP="00CF0E3D">
      <w:pPr>
        <w:pStyle w:val="paragraph"/>
      </w:pPr>
      <w:r w:rsidRPr="00B809E9">
        <w:tab/>
        <w:t xml:space="preserve"> (a)</w:t>
      </w:r>
      <w:r w:rsidRPr="00B809E9">
        <w:tab/>
        <w:t>the account is for a phase 1, a phase 2 or a phase 3 product; and</w:t>
      </w:r>
    </w:p>
    <w:p w14:paraId="1CAFB5DB" w14:textId="77777777" w:rsidR="00CF0E3D" w:rsidRDefault="00CF0E3D" w:rsidP="00CF0E3D">
      <w:pPr>
        <w:pStyle w:val="paragraph"/>
      </w:pPr>
      <w:r w:rsidRPr="00B809E9">
        <w:tab/>
        <w:t xml:space="preserve"> (b)</w:t>
      </w:r>
      <w:r w:rsidRPr="00B809E9">
        <w:tab/>
        <w:t>the person is able to make transactions on the account.</w:t>
      </w:r>
    </w:p>
    <w:p w14:paraId="66FB78B5" w14:textId="585298DC" w:rsidR="00B809E9" w:rsidRPr="00B809E9" w:rsidRDefault="00B809E9" w:rsidP="00CF0E3D">
      <w:pPr>
        <w:pStyle w:val="paragraph"/>
      </w:pPr>
    </w:p>
    <w:p w14:paraId="08BFF85B" w14:textId="77777777" w:rsidR="00CF0E3D" w:rsidRDefault="00CF0E3D" w:rsidP="00CF0E3D">
      <w:pPr>
        <w:pStyle w:val="ActHead2"/>
        <w:pageBreakBefore/>
      </w:pPr>
      <w:bookmarkStart w:id="595" w:name="_Toc11771728"/>
      <w:bookmarkStart w:id="596" w:name="_Toc74916325"/>
      <w:r>
        <w:t>Part 3—CDR data that may be accessed under these rules—banking sector</w:t>
      </w:r>
      <w:bookmarkEnd w:id="595"/>
      <w:bookmarkEnd w:id="596"/>
    </w:p>
    <w:p w14:paraId="47A76B63" w14:textId="77777777" w:rsidR="00CF0E3D" w:rsidRPr="0000297B" w:rsidRDefault="00CF0E3D" w:rsidP="00CF0E3D">
      <w:pPr>
        <w:pStyle w:val="ActHead5"/>
      </w:pPr>
      <w:bookmarkStart w:id="597" w:name="_Toc74916326"/>
      <w:r w:rsidRPr="0000297B">
        <w:t>3.1A  Application of Part</w:t>
      </w:r>
      <w:bookmarkEnd w:id="597"/>
    </w:p>
    <w:p w14:paraId="7CCF94DF" w14:textId="77777777" w:rsidR="00CF0E3D" w:rsidRPr="0000297B" w:rsidRDefault="00CF0E3D" w:rsidP="00CF0E3D">
      <w:pPr>
        <w:pStyle w:val="subsection"/>
      </w:pPr>
      <w:r w:rsidRPr="0000297B">
        <w:tab/>
      </w:r>
      <w:r w:rsidRPr="0000297B">
        <w:tab/>
        <w:t>This Part applies in relation to:</w:t>
      </w:r>
    </w:p>
    <w:p w14:paraId="428F1C08" w14:textId="77777777" w:rsidR="00CF0E3D" w:rsidRPr="0000297B" w:rsidRDefault="00CF0E3D" w:rsidP="00CF0E3D">
      <w:pPr>
        <w:pStyle w:val="paragraph"/>
      </w:pPr>
      <w:r w:rsidRPr="0000297B">
        <w:tab/>
        <w:t>(a)</w:t>
      </w:r>
      <w:r w:rsidRPr="0000297B">
        <w:tab/>
        <w:t>phase 1 products; and</w:t>
      </w:r>
    </w:p>
    <w:p w14:paraId="073343D7" w14:textId="77777777" w:rsidR="00CF0E3D" w:rsidRPr="0000297B" w:rsidRDefault="00CF0E3D" w:rsidP="00CF0E3D">
      <w:pPr>
        <w:pStyle w:val="paragraph"/>
      </w:pPr>
      <w:r w:rsidRPr="0000297B">
        <w:tab/>
        <w:t>(b)</w:t>
      </w:r>
      <w:r w:rsidRPr="0000297B">
        <w:tab/>
        <w:t>phase 2 products; and</w:t>
      </w:r>
    </w:p>
    <w:p w14:paraId="54BE35EB" w14:textId="77777777" w:rsidR="00CF0E3D" w:rsidRPr="0000297B" w:rsidRDefault="00CF0E3D" w:rsidP="00CF0E3D">
      <w:pPr>
        <w:pStyle w:val="paragraph"/>
      </w:pPr>
      <w:r w:rsidRPr="0000297B">
        <w:tab/>
        <w:t>(c)</w:t>
      </w:r>
      <w:r w:rsidRPr="0000297B">
        <w:tab/>
        <w:t>phase 3 products.</w:t>
      </w:r>
    </w:p>
    <w:p w14:paraId="202755A9" w14:textId="77777777" w:rsidR="00CF0E3D" w:rsidRPr="0000297B" w:rsidRDefault="00CF0E3D" w:rsidP="00CF0E3D">
      <w:pPr>
        <w:pStyle w:val="notetext"/>
      </w:pPr>
      <w:r w:rsidRPr="0000297B">
        <w:t>Note:</w:t>
      </w:r>
      <w:r w:rsidRPr="0000297B">
        <w:tab/>
        <w:t xml:space="preserve">See </w:t>
      </w:r>
      <w:r>
        <w:t>Part 6</w:t>
      </w:r>
      <w:r w:rsidRPr="0000297B">
        <w:t xml:space="preserve"> of this Schedule for the staged application of these rules to the banking sector. CDR data relating to different phase products will become available at different times, </w:t>
      </w:r>
      <w:r>
        <w:t xml:space="preserve">in accordance with </w:t>
      </w:r>
      <w:r w:rsidRPr="0000297B">
        <w:t>that Part.</w:t>
      </w:r>
    </w:p>
    <w:p w14:paraId="200DED58" w14:textId="77777777" w:rsidR="00CF0E3D" w:rsidRDefault="00CF0E3D" w:rsidP="00CF0E3D">
      <w:pPr>
        <w:pStyle w:val="ActHead5"/>
      </w:pPr>
      <w:bookmarkStart w:id="598" w:name="_Toc11771729"/>
      <w:bookmarkStart w:id="599" w:name="_Toc74916327"/>
      <w:r>
        <w:rPr>
          <w:color w:val="000000"/>
        </w:rPr>
        <w:t>3.1</w:t>
      </w:r>
      <w:r w:rsidRPr="00641354">
        <w:rPr>
          <w:color w:val="000000"/>
        </w:rPr>
        <w:t xml:space="preserve">  </w:t>
      </w:r>
      <w:r w:rsidRPr="0023036E">
        <w:t xml:space="preserve">Meaning of </w:t>
      </w:r>
      <w:r w:rsidRPr="0023036E">
        <w:rPr>
          <w:i/>
        </w:rPr>
        <w:t>required product data</w:t>
      </w:r>
      <w:r w:rsidRPr="0023036E">
        <w:t xml:space="preserve"> and </w:t>
      </w:r>
      <w:r w:rsidRPr="0023036E">
        <w:rPr>
          <w:i/>
        </w:rPr>
        <w:t>voluntary product data</w:t>
      </w:r>
      <w:r w:rsidRPr="0023036E">
        <w:t>—banking sector</w:t>
      </w:r>
      <w:bookmarkEnd w:id="598"/>
      <w:bookmarkEnd w:id="599"/>
    </w:p>
    <w:p w14:paraId="5156FE3E" w14:textId="1F4EAE5B" w:rsidR="00CF0E3D" w:rsidRPr="0023036E" w:rsidRDefault="00CF0E3D" w:rsidP="00CF0E3D">
      <w:pPr>
        <w:pStyle w:val="subsection"/>
      </w:pPr>
      <w:r w:rsidRPr="0023036E">
        <w:tab/>
      </w:r>
      <w:r>
        <w:t>(1)</w:t>
      </w:r>
      <w:r w:rsidRPr="0023036E">
        <w:tab/>
        <w:t xml:space="preserve">For these rules, </w:t>
      </w:r>
      <w:r w:rsidRPr="0023036E">
        <w:rPr>
          <w:b/>
          <w:i/>
        </w:rPr>
        <w:t>required product data</w:t>
      </w:r>
      <w:r w:rsidRPr="0023036E">
        <w:t>,</w:t>
      </w:r>
      <w:r>
        <w:t xml:space="preserve"> </w:t>
      </w:r>
      <w:r w:rsidRPr="0023036E">
        <w:t>in relation to the banking sector, means CDR data</w:t>
      </w:r>
      <w:r w:rsidRPr="00814B1D">
        <w:t xml:space="preserve"> for which there are no CDR consumers</w:t>
      </w:r>
      <w:r w:rsidRPr="0023036E">
        <w:t>:</w:t>
      </w:r>
    </w:p>
    <w:p w14:paraId="11646FFC" w14:textId="77777777" w:rsidR="00CF0E3D" w:rsidRPr="007E1269" w:rsidRDefault="00CF0E3D" w:rsidP="00CF0E3D">
      <w:pPr>
        <w:pStyle w:val="paragraph"/>
      </w:pPr>
      <w:r w:rsidRPr="007E1269">
        <w:tab/>
      </w:r>
      <w:r>
        <w:t>(a)</w:t>
      </w:r>
      <w:r w:rsidRPr="007E1269">
        <w:tab/>
      </w:r>
      <w:r w:rsidRPr="00814B1D">
        <w:t>that is</w:t>
      </w:r>
      <w:r w:rsidRPr="007E1269">
        <w:t xml:space="preserve"> within a class of information specified in the banking sector designation instrument; and</w:t>
      </w:r>
    </w:p>
    <w:p w14:paraId="5528D9C2" w14:textId="77777777" w:rsidR="00CF0E3D" w:rsidRPr="0023036E" w:rsidRDefault="00CF0E3D" w:rsidP="00CF0E3D">
      <w:pPr>
        <w:pStyle w:val="paragraph"/>
      </w:pPr>
      <w:r w:rsidRPr="0023036E">
        <w:tab/>
      </w:r>
      <w:r>
        <w:t>(b)</w:t>
      </w:r>
      <w:r w:rsidRPr="0023036E">
        <w:tab/>
      </w:r>
      <w:r w:rsidRPr="007E1269">
        <w:t xml:space="preserve">that is </w:t>
      </w:r>
      <w:r w:rsidRPr="0023036E">
        <w:t>about the eligibility criteria, terms and conditions, price, availability or performance of a product; and</w:t>
      </w:r>
    </w:p>
    <w:p w14:paraId="1B36BEB2" w14:textId="77777777" w:rsidR="00CF0E3D" w:rsidRPr="0023036E" w:rsidRDefault="00CF0E3D" w:rsidP="00CF0E3D">
      <w:pPr>
        <w:pStyle w:val="paragraph"/>
      </w:pPr>
      <w:r w:rsidRPr="0023036E">
        <w:tab/>
      </w:r>
      <w:r>
        <w:t>(c)</w:t>
      </w:r>
      <w:r w:rsidRPr="0023036E">
        <w:tab/>
        <w:t>in the case where the CDR data is about availability or performance—</w:t>
      </w:r>
      <w:r w:rsidRPr="007E1269">
        <w:t xml:space="preserve">that is </w:t>
      </w:r>
      <w:r w:rsidRPr="0023036E">
        <w:t>publicly available; and</w:t>
      </w:r>
    </w:p>
    <w:p w14:paraId="1E3E76A0" w14:textId="77777777" w:rsidR="00CF0E3D" w:rsidRPr="0023036E" w:rsidRDefault="00CF0E3D" w:rsidP="00CF0E3D">
      <w:pPr>
        <w:pStyle w:val="paragraph"/>
      </w:pPr>
      <w:r w:rsidRPr="0023036E">
        <w:tab/>
      </w:r>
      <w:r>
        <w:t>(d)</w:t>
      </w:r>
      <w:r w:rsidRPr="0023036E">
        <w:tab/>
      </w:r>
      <w:r w:rsidRPr="007E1269">
        <w:t xml:space="preserve">that is </w:t>
      </w:r>
      <w:r w:rsidRPr="0023036E">
        <w:t>product specific data about</w:t>
      </w:r>
      <w:r>
        <w:t xml:space="preserve"> </w:t>
      </w:r>
      <w:r w:rsidRPr="00814B1D">
        <w:t>a</w:t>
      </w:r>
      <w:r>
        <w:t xml:space="preserve"> </w:t>
      </w:r>
      <w:r w:rsidRPr="0023036E">
        <w:t>product; and</w:t>
      </w:r>
    </w:p>
    <w:p w14:paraId="5D59A84C" w14:textId="77777777" w:rsidR="00CF0E3D" w:rsidRPr="0023036E" w:rsidRDefault="00CF0E3D" w:rsidP="00CF0E3D">
      <w:pPr>
        <w:pStyle w:val="paragraph"/>
      </w:pPr>
      <w:r w:rsidRPr="0023036E">
        <w:tab/>
      </w:r>
      <w:r>
        <w:t>(e)</w:t>
      </w:r>
      <w:r w:rsidRPr="0023036E">
        <w:tab/>
      </w:r>
      <w:r w:rsidRPr="007E1269">
        <w:t xml:space="preserve">that is </w:t>
      </w:r>
      <w:r w:rsidRPr="0023036E">
        <w:t>held in a digital form.</w:t>
      </w:r>
    </w:p>
    <w:p w14:paraId="539A5316" w14:textId="77777777" w:rsidR="00CF0E3D" w:rsidRPr="008E428F" w:rsidRDefault="00CF0E3D" w:rsidP="00CF0E3D">
      <w:pPr>
        <w:pStyle w:val="notetext"/>
      </w:pPr>
      <w:r w:rsidRPr="008E428F">
        <w:t xml:space="preserve">Note: </w:t>
      </w:r>
      <w:r w:rsidRPr="008E428F">
        <w:tab/>
        <w:t>Paragraphs </w:t>
      </w:r>
      <w:r>
        <w:t>(b)</w:t>
      </w:r>
      <w:r w:rsidRPr="008E428F">
        <w:t xml:space="preserve"> and </w:t>
      </w:r>
      <w:r>
        <w:t>(c)</w:t>
      </w:r>
      <w:r w:rsidRPr="008E428F">
        <w:t xml:space="preserve"> are based on subsection 56BF(1) of the Act.</w:t>
      </w:r>
    </w:p>
    <w:p w14:paraId="627246E9" w14:textId="2883ACFB" w:rsidR="00CF0E3D" w:rsidRDefault="00CF0E3D" w:rsidP="00CF0E3D">
      <w:pPr>
        <w:pStyle w:val="subsection"/>
      </w:pPr>
      <w:r w:rsidRPr="0023036E">
        <w:tab/>
      </w:r>
      <w:r>
        <w:t>(2)</w:t>
      </w:r>
      <w:r w:rsidRPr="0023036E">
        <w:tab/>
        <w:t xml:space="preserve">For these rules, </w:t>
      </w:r>
      <w:r w:rsidRPr="0023036E">
        <w:rPr>
          <w:b/>
          <w:i/>
        </w:rPr>
        <w:t>voluntary product data</w:t>
      </w:r>
      <w:r w:rsidRPr="0023036E">
        <w:t>, in relation to the banking sector, means CDR data</w:t>
      </w:r>
      <w:r>
        <w:t xml:space="preserve"> </w:t>
      </w:r>
      <w:r w:rsidRPr="00814B1D">
        <w:t>for which there are no CDR consumers</w:t>
      </w:r>
      <w:r w:rsidRPr="007C39E2">
        <w:t>:</w:t>
      </w:r>
    </w:p>
    <w:p w14:paraId="55174344" w14:textId="77777777" w:rsidR="00CF0E3D" w:rsidRPr="00814B1D" w:rsidRDefault="00CF0E3D" w:rsidP="00CF0E3D">
      <w:pPr>
        <w:pStyle w:val="paragraph"/>
      </w:pPr>
      <w:r w:rsidRPr="00814B1D">
        <w:tab/>
      </w:r>
      <w:r>
        <w:t>(a)</w:t>
      </w:r>
      <w:r w:rsidRPr="00814B1D">
        <w:tab/>
        <w:t>that is within a class of information specified in the banking sector designation instrument; and</w:t>
      </w:r>
    </w:p>
    <w:p w14:paraId="787C73BF" w14:textId="77777777" w:rsidR="00CF0E3D" w:rsidRDefault="00CF0E3D" w:rsidP="00CF0E3D">
      <w:pPr>
        <w:pStyle w:val="paragraph"/>
        <w:rPr>
          <w:color w:val="000000" w:themeColor="text1"/>
        </w:rPr>
      </w:pPr>
      <w:r>
        <w:tab/>
      </w:r>
      <w:r>
        <w:rPr>
          <w:color w:val="000000" w:themeColor="text1"/>
        </w:rPr>
        <w:t>(b)</w:t>
      </w:r>
      <w:r w:rsidRPr="00E53912">
        <w:rPr>
          <w:color w:val="000000" w:themeColor="text1"/>
        </w:rPr>
        <w:tab/>
        <w:t>that is</w:t>
      </w:r>
      <w:r>
        <w:rPr>
          <w:color w:val="000000" w:themeColor="text1"/>
        </w:rPr>
        <w:t xml:space="preserve"> </w:t>
      </w:r>
      <w:r w:rsidRPr="00814B1D">
        <w:t>product specific data</w:t>
      </w:r>
      <w:r w:rsidRPr="00E53912">
        <w:rPr>
          <w:color w:val="000000" w:themeColor="text1"/>
        </w:rPr>
        <w:t xml:space="preserve"> about a product; and</w:t>
      </w:r>
    </w:p>
    <w:p w14:paraId="597163BE" w14:textId="77777777" w:rsidR="00CF0E3D" w:rsidRDefault="00CF0E3D" w:rsidP="00CF0E3D">
      <w:pPr>
        <w:pStyle w:val="paragraph"/>
      </w:pPr>
      <w:r w:rsidRPr="007C39E2">
        <w:tab/>
      </w:r>
      <w:r>
        <w:t>(c)</w:t>
      </w:r>
      <w:r w:rsidRPr="007C39E2">
        <w:tab/>
        <w:t>that is not required product data.</w:t>
      </w:r>
    </w:p>
    <w:p w14:paraId="6E0C4584" w14:textId="77777777" w:rsidR="00CF0E3D" w:rsidRDefault="00CF0E3D" w:rsidP="00CF0E3D">
      <w:pPr>
        <w:pStyle w:val="ActHead5"/>
      </w:pPr>
      <w:bookmarkStart w:id="600" w:name="_Toc11771730"/>
      <w:bookmarkStart w:id="601" w:name="_Toc74916328"/>
      <w:r>
        <w:t>3.2</w:t>
      </w:r>
      <w:r w:rsidRPr="0023036E">
        <w:t xml:space="preserve">  Meaning of </w:t>
      </w:r>
      <w:r w:rsidRPr="0023036E">
        <w:rPr>
          <w:i/>
        </w:rPr>
        <w:t>required consumer data</w:t>
      </w:r>
      <w:r w:rsidRPr="0023036E">
        <w:t xml:space="preserve"> and </w:t>
      </w:r>
      <w:r w:rsidRPr="0023036E">
        <w:rPr>
          <w:i/>
        </w:rPr>
        <w:t>voluntary consumer data</w:t>
      </w:r>
      <w:r w:rsidRPr="0023036E">
        <w:t>—banking sector</w:t>
      </w:r>
      <w:bookmarkEnd w:id="600"/>
      <w:bookmarkEnd w:id="601"/>
    </w:p>
    <w:p w14:paraId="67D3BC75" w14:textId="77777777" w:rsidR="00CF0E3D" w:rsidRPr="00105D54" w:rsidRDefault="00CF0E3D" w:rsidP="00CF0E3D">
      <w:pPr>
        <w:pStyle w:val="subsection"/>
      </w:pPr>
      <w:r w:rsidRPr="00105D54">
        <w:tab/>
      </w:r>
      <w:r>
        <w:t>(1)</w:t>
      </w:r>
      <w:r w:rsidRPr="00105D54">
        <w:tab/>
        <w:t xml:space="preserve">For these rules, subject to this clause, </w:t>
      </w:r>
      <w:r w:rsidRPr="00105D54">
        <w:rPr>
          <w:b/>
          <w:i/>
        </w:rPr>
        <w:t>required consumer data</w:t>
      </w:r>
      <w:r w:rsidRPr="00BF3A1C">
        <w:rPr>
          <w:i/>
        </w:rPr>
        <w:t>,</w:t>
      </w:r>
      <w:r w:rsidRPr="00105D54">
        <w:rPr>
          <w:b/>
          <w:i/>
        </w:rPr>
        <w:t xml:space="preserve"> </w:t>
      </w:r>
      <w:r w:rsidRPr="00105D54">
        <w:t>in relation to the banking sector</w:t>
      </w:r>
      <w:r w:rsidRPr="00814B1D">
        <w:t>, means CDR data for which there are one or more CDR consumers</w:t>
      </w:r>
      <w:r w:rsidRPr="00105D54">
        <w:t>:</w:t>
      </w:r>
    </w:p>
    <w:p w14:paraId="40F1B6BC" w14:textId="77777777" w:rsidR="00CF0E3D" w:rsidRPr="00814B1D" w:rsidRDefault="00CF0E3D" w:rsidP="00CF0E3D">
      <w:pPr>
        <w:pStyle w:val="paragraph"/>
      </w:pPr>
      <w:r w:rsidRPr="00814B1D">
        <w:tab/>
      </w:r>
      <w:r>
        <w:t>(a)</w:t>
      </w:r>
      <w:r w:rsidRPr="00814B1D">
        <w:tab/>
        <w:t>that is within a class of information specified in the banking sector designation instrument; and</w:t>
      </w:r>
    </w:p>
    <w:p w14:paraId="13FC2929" w14:textId="77777777" w:rsidR="00CF0E3D" w:rsidRPr="00105D54" w:rsidRDefault="00CF0E3D" w:rsidP="00CF0E3D">
      <w:pPr>
        <w:pStyle w:val="paragraph"/>
      </w:pPr>
      <w:r w:rsidRPr="00105D54">
        <w:tab/>
      </w:r>
      <w:r>
        <w:t>(b)</w:t>
      </w:r>
      <w:r w:rsidRPr="00105D54">
        <w:tab/>
      </w:r>
      <w:r w:rsidRPr="00814B1D">
        <w:t xml:space="preserve">that </w:t>
      </w:r>
      <w:r w:rsidRPr="00105D54">
        <w:t>is:</w:t>
      </w:r>
    </w:p>
    <w:p w14:paraId="4BC3BBB9" w14:textId="77777777" w:rsidR="00CF0E3D" w:rsidRPr="00105D54" w:rsidRDefault="00CF0E3D" w:rsidP="00CF0E3D">
      <w:pPr>
        <w:pStyle w:val="paragraphsub"/>
      </w:pPr>
      <w:r w:rsidRPr="00105D54">
        <w:tab/>
      </w:r>
      <w:r>
        <w:t>(i)</w:t>
      </w:r>
      <w:r w:rsidRPr="00105D54">
        <w:tab/>
        <w:t xml:space="preserve">customer data in relation to </w:t>
      </w:r>
      <w:r w:rsidRPr="00814B1D">
        <w:t xml:space="preserve">a CDR </w:t>
      </w:r>
      <w:r w:rsidRPr="00105D54">
        <w:t>consumer; or</w:t>
      </w:r>
    </w:p>
    <w:p w14:paraId="2F057A08" w14:textId="77777777" w:rsidR="00CF0E3D" w:rsidRPr="00CA7872" w:rsidRDefault="00CF0E3D" w:rsidP="00CF0E3D">
      <w:pPr>
        <w:pStyle w:val="paragraphsub"/>
      </w:pPr>
      <w:r w:rsidRPr="00CA7872">
        <w:tab/>
        <w:t>(ii)</w:t>
      </w:r>
      <w:r w:rsidRPr="00CA7872">
        <w:tab/>
        <w:t>account data in relation to an account of any of the following types (whether or not the account can be accessed online, and, subject to subclauses (4) and (5), whether or not open):</w:t>
      </w:r>
    </w:p>
    <w:p w14:paraId="002745E0" w14:textId="77777777" w:rsidR="00CF0E3D" w:rsidRPr="00CA7872" w:rsidRDefault="00CF0E3D" w:rsidP="00CF0E3D">
      <w:pPr>
        <w:pStyle w:val="paragraphsub-sub"/>
      </w:pPr>
      <w:r w:rsidRPr="00CA7872">
        <w:tab/>
        <w:t>(A)</w:t>
      </w:r>
      <w:r w:rsidRPr="00CA7872">
        <w:tab/>
        <w:t>an account held by a CDR consumer in their name alone;</w:t>
      </w:r>
    </w:p>
    <w:p w14:paraId="7DB041FE" w14:textId="77777777" w:rsidR="00CF0E3D" w:rsidRPr="00CA7872" w:rsidRDefault="00CF0E3D" w:rsidP="00CF0E3D">
      <w:pPr>
        <w:pStyle w:val="paragraphsub-sub"/>
      </w:pPr>
      <w:r w:rsidRPr="00CA7872">
        <w:tab/>
        <w:t>(B)</w:t>
      </w:r>
      <w:r w:rsidRPr="00CA7872">
        <w:tab/>
        <w:t>a joint account;</w:t>
      </w:r>
    </w:p>
    <w:p w14:paraId="6DE0A023" w14:textId="77777777" w:rsidR="00CF0E3D" w:rsidRPr="00CA7872" w:rsidRDefault="00CF0E3D" w:rsidP="00CF0E3D">
      <w:pPr>
        <w:pStyle w:val="paragraphsub-sub"/>
      </w:pPr>
      <w:r w:rsidRPr="00CA7872">
        <w:tab/>
        <w:t>(C)</w:t>
      </w:r>
      <w:r w:rsidRPr="00CA7872">
        <w:tab/>
        <w:t>a partnership account; or</w:t>
      </w:r>
      <w:r w:rsidRPr="00CA7872">
        <w:tab/>
      </w:r>
    </w:p>
    <w:p w14:paraId="5D6C5879" w14:textId="77777777" w:rsidR="00CF0E3D" w:rsidRPr="00105D54" w:rsidRDefault="00CF0E3D" w:rsidP="00CF0E3D">
      <w:pPr>
        <w:pStyle w:val="paragraphsub"/>
      </w:pPr>
      <w:r w:rsidRPr="00105D54">
        <w:tab/>
      </w:r>
      <w:r>
        <w:t>(iii)</w:t>
      </w:r>
      <w:r w:rsidRPr="00105D54">
        <w:tab/>
        <w:t xml:space="preserve">transaction data in relation to a transaction </w:t>
      </w:r>
      <w:r w:rsidRPr="00AB210C">
        <w:t xml:space="preserve">on any such </w:t>
      </w:r>
      <w:r w:rsidRPr="00105D54">
        <w:t>account; or</w:t>
      </w:r>
    </w:p>
    <w:p w14:paraId="208AFA3E" w14:textId="77777777" w:rsidR="00CF0E3D" w:rsidRDefault="00CF0E3D" w:rsidP="00CF0E3D">
      <w:pPr>
        <w:pStyle w:val="paragraphsub"/>
      </w:pPr>
      <w:r w:rsidRPr="00105D54">
        <w:tab/>
      </w:r>
      <w:r>
        <w:t>(iv)</w:t>
      </w:r>
      <w:r w:rsidRPr="00105D54">
        <w:tab/>
        <w:t xml:space="preserve">product specific data in relation to a product that </w:t>
      </w:r>
      <w:r w:rsidRPr="00814B1D">
        <w:t xml:space="preserve">a CDR </w:t>
      </w:r>
      <w:r w:rsidRPr="00105D54">
        <w:t>consumer uses</w:t>
      </w:r>
      <w:r>
        <w:t xml:space="preserve"> and that relates to any such account</w:t>
      </w:r>
      <w:r w:rsidRPr="00105D54">
        <w:t>; and</w:t>
      </w:r>
    </w:p>
    <w:p w14:paraId="0EAEDFAA" w14:textId="77777777" w:rsidR="00CF0E3D" w:rsidRDefault="00CF0E3D" w:rsidP="00CF0E3D">
      <w:pPr>
        <w:pStyle w:val="paragraph"/>
      </w:pPr>
      <w:r w:rsidRPr="00105D54">
        <w:tab/>
      </w:r>
      <w:r>
        <w:t>(c)</w:t>
      </w:r>
      <w:r w:rsidRPr="00105D54">
        <w:tab/>
        <w:t xml:space="preserve">that is held by the data holder </w:t>
      </w:r>
      <w:r w:rsidRPr="008D4396">
        <w:t>in a digital form</w:t>
      </w:r>
      <w:r w:rsidRPr="007C39E2">
        <w:t>.</w:t>
      </w:r>
    </w:p>
    <w:p w14:paraId="65C726A4" w14:textId="77777777" w:rsidR="00CF0E3D" w:rsidRDefault="00CF0E3D" w:rsidP="00CF0E3D">
      <w:pPr>
        <w:pStyle w:val="notetext"/>
      </w:pPr>
      <w:r>
        <w:t>Note 1:</w:t>
      </w:r>
      <w:r>
        <w:tab/>
        <w:t>For sub</w:t>
      </w:r>
      <w:r>
        <w:noBreakHyphen/>
        <w:t>subparagraph (b)(i</w:t>
      </w:r>
      <w:r w:rsidRPr="00572C56">
        <w:t>i</w:t>
      </w:r>
      <w:r>
        <w:t xml:space="preserve">)(B), consumer data requests cannot be made under these rules in relation to </w:t>
      </w:r>
      <w:r w:rsidRPr="002069FE">
        <w:t xml:space="preserve">any other kinds of </w:t>
      </w:r>
      <w:r>
        <w:t>joint accounts.</w:t>
      </w:r>
    </w:p>
    <w:p w14:paraId="24225006" w14:textId="77777777" w:rsidR="00CF0E3D" w:rsidRDefault="00CF0E3D" w:rsidP="00CF0E3D">
      <w:pPr>
        <w:pStyle w:val="notetext"/>
      </w:pPr>
      <w:r>
        <w:t>Note 2</w:t>
      </w:r>
      <w:r w:rsidRPr="00384313">
        <w:t>:</w:t>
      </w:r>
      <w:r w:rsidRPr="00384313">
        <w:tab/>
      </w:r>
      <w:r>
        <w:t>For subparagraph (b)(iv), for a consumer data request, product specific data could include the following:</w:t>
      </w:r>
    </w:p>
    <w:p w14:paraId="5364C5FA" w14:textId="77777777" w:rsidR="00CF0E3D" w:rsidRDefault="00CF0E3D" w:rsidP="00CF0E3D">
      <w:pPr>
        <w:pStyle w:val="notepara"/>
      </w:pPr>
      <w:r w:rsidRPr="00000C1C">
        <w:sym w:font="Symbol" w:char="F0B7"/>
      </w:r>
      <w:r w:rsidRPr="00000C1C">
        <w:tab/>
      </w:r>
      <w:r>
        <w:t xml:space="preserve">any product prices that were negotiated individually with </w:t>
      </w:r>
      <w:r w:rsidRPr="00814B1D">
        <w:t xml:space="preserve">a CDR </w:t>
      </w:r>
      <w:r>
        <w:t>consumer;</w:t>
      </w:r>
    </w:p>
    <w:p w14:paraId="5C0BF2D1" w14:textId="77777777" w:rsidR="00CF0E3D" w:rsidRDefault="00CF0E3D" w:rsidP="00CF0E3D">
      <w:pPr>
        <w:pStyle w:val="notepara"/>
      </w:pPr>
      <w:r w:rsidRPr="00000C1C">
        <w:sym w:font="Symbol" w:char="F0B7"/>
      </w:r>
      <w:r w:rsidRPr="00000C1C">
        <w:tab/>
      </w:r>
      <w:r>
        <w:t>the interest rates that are current at the time of the request, as well as any other interest rates applicable to the product, and any terms and conditions associated with those interest rates;</w:t>
      </w:r>
    </w:p>
    <w:p w14:paraId="516F2473" w14:textId="77777777" w:rsidR="00CF0E3D" w:rsidRDefault="00CF0E3D" w:rsidP="00CF0E3D">
      <w:pPr>
        <w:pStyle w:val="notepara"/>
      </w:pPr>
      <w:r w:rsidRPr="00000C1C">
        <w:sym w:font="Symbol" w:char="F0B7"/>
      </w:r>
      <w:r w:rsidRPr="00000C1C">
        <w:tab/>
      </w:r>
      <w:r>
        <w:t xml:space="preserve">any features and benefits negotiated individually with </w:t>
      </w:r>
      <w:r w:rsidRPr="00814B1D">
        <w:t xml:space="preserve">a CDR </w:t>
      </w:r>
      <w:r>
        <w:t>consumer.</w:t>
      </w:r>
    </w:p>
    <w:p w14:paraId="2FD63887" w14:textId="77777777" w:rsidR="00CF0E3D" w:rsidRPr="007C39E2" w:rsidRDefault="00CF0E3D" w:rsidP="00CF0E3D">
      <w:pPr>
        <w:pStyle w:val="notetext"/>
      </w:pPr>
      <w:r w:rsidRPr="007C39E2">
        <w:t xml:space="preserve">Note </w:t>
      </w:r>
      <w:r>
        <w:t>3</w:t>
      </w:r>
      <w:r w:rsidRPr="007C39E2">
        <w:t>:</w:t>
      </w:r>
      <w:r w:rsidRPr="007C39E2">
        <w:tab/>
        <w:t xml:space="preserve">So long as the CDR consumer is eligible to make a consumer data request in relation to a particular data holder, they will be able to make or cause to be made a consumer data request that relates to any account they have with the data holder, including closed </w:t>
      </w:r>
      <w:r>
        <w:t xml:space="preserve">accounts (subject to subclauses (4) and (5)) </w:t>
      </w:r>
      <w:r w:rsidRPr="007C39E2">
        <w:t>or accounts that cannot be accessed online.</w:t>
      </w:r>
    </w:p>
    <w:p w14:paraId="48436A56" w14:textId="77777777" w:rsidR="00CF0E3D" w:rsidRPr="007C39E2" w:rsidRDefault="00CF0E3D" w:rsidP="00CF0E3D">
      <w:pPr>
        <w:pStyle w:val="notetext"/>
      </w:pPr>
      <w:r w:rsidRPr="007C39E2">
        <w:t xml:space="preserve">Note </w:t>
      </w:r>
      <w:r>
        <w:t>4</w:t>
      </w:r>
      <w:r w:rsidRPr="007C39E2">
        <w:t>:</w:t>
      </w:r>
      <w:r w:rsidRPr="007C39E2">
        <w:tab/>
        <w:t>A person is not a data holder of CDR data that was held by or on behalf of them before the earliest holding day (see paragraph 56AJ(1)(b) of the Act). Accordingly, such data cannot be requested under these rules.</w:t>
      </w:r>
    </w:p>
    <w:p w14:paraId="5D53302B" w14:textId="77777777" w:rsidR="00CF0E3D" w:rsidRPr="007C39E2" w:rsidRDefault="00CF0E3D" w:rsidP="00CF0E3D">
      <w:pPr>
        <w:pStyle w:val="subsection"/>
      </w:pPr>
      <w:r w:rsidRPr="007C39E2">
        <w:tab/>
      </w:r>
      <w:r>
        <w:t>(2)</w:t>
      </w:r>
      <w:r w:rsidRPr="007C39E2">
        <w:tab/>
        <w:t xml:space="preserve">For these rules, subject to this clause, CDR data is </w:t>
      </w:r>
      <w:r w:rsidRPr="007C39E2">
        <w:rPr>
          <w:b/>
          <w:i/>
        </w:rPr>
        <w:t xml:space="preserve">voluntary consumer data </w:t>
      </w:r>
      <w:r w:rsidRPr="007C39E2">
        <w:t>in relation to the banking sector if:</w:t>
      </w:r>
    </w:p>
    <w:p w14:paraId="5B6BD409" w14:textId="77777777" w:rsidR="00CF0E3D" w:rsidRPr="007C39E2" w:rsidRDefault="00CF0E3D" w:rsidP="00CF0E3D">
      <w:pPr>
        <w:pStyle w:val="paragraph"/>
      </w:pPr>
      <w:r w:rsidRPr="007C39E2">
        <w:tab/>
      </w:r>
      <w:r>
        <w:t>(a)</w:t>
      </w:r>
      <w:r w:rsidRPr="007C39E2">
        <w:tab/>
        <w:t>there is a CDR consumer for the CDR data; and</w:t>
      </w:r>
    </w:p>
    <w:p w14:paraId="52B2451F" w14:textId="77777777" w:rsidR="00CF0E3D" w:rsidRPr="007C39E2" w:rsidRDefault="00CF0E3D" w:rsidP="00CF0E3D">
      <w:pPr>
        <w:pStyle w:val="paragraph"/>
      </w:pPr>
      <w:r w:rsidRPr="007C39E2">
        <w:tab/>
      </w:r>
      <w:r>
        <w:t>(b)</w:t>
      </w:r>
      <w:r w:rsidRPr="007C39E2">
        <w:tab/>
        <w:t>the CDR data is not required consumer data.</w:t>
      </w:r>
    </w:p>
    <w:p w14:paraId="1C1286AA" w14:textId="24D0FCB1" w:rsidR="00CF0E3D" w:rsidRPr="00F07699" w:rsidRDefault="00CF0E3D" w:rsidP="00CF0E3D">
      <w:pPr>
        <w:pStyle w:val="subsection"/>
      </w:pPr>
      <w:r w:rsidRPr="00F07699">
        <w:tab/>
        <w:t>(3)</w:t>
      </w:r>
      <w:r w:rsidRPr="00F07699">
        <w:tab/>
        <w:t>For this clause:</w:t>
      </w:r>
      <w:r w:rsidR="006F0D6C">
        <w:t xml:space="preserve">.  </w:t>
      </w:r>
    </w:p>
    <w:p w14:paraId="0DC4D76A" w14:textId="77777777" w:rsidR="00CF0E3D" w:rsidRPr="00BE51CD" w:rsidRDefault="00CF0E3D" w:rsidP="00CF0E3D">
      <w:pPr>
        <w:pStyle w:val="paragraph"/>
      </w:pPr>
      <w:r w:rsidRPr="00BE51CD">
        <w:tab/>
        <w:t>(a)</w:t>
      </w:r>
      <w:r w:rsidRPr="00BE51CD">
        <w:tab/>
        <w:t xml:space="preserve">CDR data is neither </w:t>
      </w:r>
      <w:r w:rsidRPr="00BE51CD">
        <w:rPr>
          <w:b/>
          <w:i/>
        </w:rPr>
        <w:t xml:space="preserve">required consumer data </w:t>
      </w:r>
      <w:r w:rsidRPr="00BE51CD">
        <w:t xml:space="preserve">nor </w:t>
      </w:r>
      <w:r w:rsidRPr="00BE51CD">
        <w:rPr>
          <w:b/>
          <w:i/>
        </w:rPr>
        <w:t>voluntary consumer data</w:t>
      </w:r>
      <w:r w:rsidRPr="00BE51CD">
        <w:t xml:space="preserve"> at a particular time if the data is:</w:t>
      </w:r>
    </w:p>
    <w:p w14:paraId="5388C510" w14:textId="77777777" w:rsidR="00CF0E3D" w:rsidRPr="00BE51CD" w:rsidRDefault="00CF0E3D" w:rsidP="00CF0E3D">
      <w:pPr>
        <w:pStyle w:val="paragraphsub"/>
      </w:pPr>
      <w:r w:rsidRPr="00BE51CD">
        <w:tab/>
        <w:t>(i)</w:t>
      </w:r>
      <w:r w:rsidRPr="00BE51CD">
        <w:tab/>
        <w:t>account data in relation to an account that is not any of the following:</w:t>
      </w:r>
    </w:p>
    <w:p w14:paraId="40FCE28F" w14:textId="77777777" w:rsidR="00CF0E3D" w:rsidRPr="00BE51CD" w:rsidRDefault="00CF0E3D" w:rsidP="00CF0E3D">
      <w:pPr>
        <w:pStyle w:val="paragraphsub-sub"/>
      </w:pPr>
      <w:r w:rsidRPr="00BE51CD">
        <w:tab/>
        <w:t>(A)</w:t>
      </w:r>
      <w:r w:rsidRPr="00BE51CD">
        <w:tab/>
        <w:t>an account held in the name of a single person;</w:t>
      </w:r>
    </w:p>
    <w:p w14:paraId="408C696E" w14:textId="77777777" w:rsidR="00CF0E3D" w:rsidRPr="00BE51CD" w:rsidRDefault="00CF0E3D" w:rsidP="00CF0E3D">
      <w:pPr>
        <w:pStyle w:val="paragraphsub-sub"/>
      </w:pPr>
      <w:r w:rsidRPr="00BE51CD">
        <w:tab/>
        <w:t>(B)</w:t>
      </w:r>
      <w:r w:rsidRPr="00BE51CD">
        <w:tab/>
        <w:t>a joint account;</w:t>
      </w:r>
    </w:p>
    <w:p w14:paraId="65B586DD" w14:textId="77777777" w:rsidR="00CF0E3D" w:rsidRPr="00BE51CD" w:rsidRDefault="00CF0E3D" w:rsidP="00CF0E3D">
      <w:pPr>
        <w:pStyle w:val="paragraphsub-sub"/>
      </w:pPr>
      <w:r w:rsidRPr="00BE51CD">
        <w:tab/>
        <w:t>(C)</w:t>
      </w:r>
      <w:r w:rsidRPr="00BE51CD">
        <w:tab/>
        <w:t>a partnership account; or</w:t>
      </w:r>
    </w:p>
    <w:p w14:paraId="0003A754" w14:textId="77777777" w:rsidR="00CF0E3D" w:rsidRPr="00BE51CD" w:rsidRDefault="00CF0E3D" w:rsidP="00CF0E3D">
      <w:pPr>
        <w:pStyle w:val="paragraphsub"/>
      </w:pPr>
      <w:r w:rsidRPr="00BE51CD">
        <w:tab/>
        <w:t>(ii)</w:t>
      </w:r>
      <w:r w:rsidRPr="00BE51CD">
        <w:tab/>
        <w:t>account data in relation to a joint account or partnership account for which any of the individuals who are</w:t>
      </w:r>
      <w:r w:rsidRPr="00BE51CD">
        <w:rPr>
          <w:u w:val="words"/>
        </w:rPr>
        <w:t xml:space="preserve"> </w:t>
      </w:r>
      <w:r w:rsidRPr="00BE51CD">
        <w:t>account holders is less than 18 years of age at that time; or</w:t>
      </w:r>
    </w:p>
    <w:p w14:paraId="2736E93B" w14:textId="77777777" w:rsidR="00CF0E3D" w:rsidRPr="00BE51CD" w:rsidRDefault="00CF0E3D" w:rsidP="00CF0E3D">
      <w:pPr>
        <w:pStyle w:val="paragraphsub"/>
      </w:pPr>
      <w:r w:rsidRPr="00BE51CD">
        <w:tab/>
        <w:t>(iv)</w:t>
      </w:r>
      <w:r w:rsidRPr="00BE51CD">
        <w:tab/>
        <w:t>transaction data in relation to a transaction on any such account; or</w:t>
      </w:r>
    </w:p>
    <w:p w14:paraId="009E3A41" w14:textId="77777777" w:rsidR="00CF0E3D" w:rsidRPr="00BE51CD" w:rsidRDefault="00CF0E3D" w:rsidP="00CF0E3D">
      <w:pPr>
        <w:pStyle w:val="paragraphsub"/>
      </w:pPr>
      <w:r w:rsidRPr="00BE51CD">
        <w:tab/>
        <w:t>(v)</w:t>
      </w:r>
      <w:r w:rsidRPr="00BE51CD">
        <w:tab/>
        <w:t>product specific data in relation to a product relating to any such account; and</w:t>
      </w:r>
    </w:p>
    <w:p w14:paraId="512D8B4B" w14:textId="77777777" w:rsidR="00CF0E3D" w:rsidRPr="00BE51CD" w:rsidRDefault="00CF0E3D" w:rsidP="00CF0E3D">
      <w:pPr>
        <w:pStyle w:val="paragraph"/>
      </w:pPr>
      <w:r w:rsidRPr="00BE51CD">
        <w:tab/>
        <w:t>(b)</w:t>
      </w:r>
      <w:r w:rsidRPr="00BE51CD">
        <w:tab/>
        <w:t xml:space="preserve">for a consumer data request made by or on behalf of a particular person, customer data in relation to any account holder or secondary user other than that person is neither </w:t>
      </w:r>
      <w:r w:rsidRPr="00BE51CD">
        <w:rPr>
          <w:b/>
          <w:i/>
        </w:rPr>
        <w:t xml:space="preserve">required consumer data </w:t>
      </w:r>
      <w:r w:rsidRPr="00BE51CD">
        <w:t xml:space="preserve">nor </w:t>
      </w:r>
      <w:r w:rsidRPr="00BE51CD">
        <w:rPr>
          <w:b/>
          <w:i/>
        </w:rPr>
        <w:t>voluntary consumer data</w:t>
      </w:r>
      <w:r w:rsidRPr="00BE51CD">
        <w:t>.</w:t>
      </w:r>
    </w:p>
    <w:p w14:paraId="5B459CDE" w14:textId="77777777" w:rsidR="00CF0E3D" w:rsidRPr="00BE51CD" w:rsidRDefault="00CF0E3D" w:rsidP="00CF0E3D">
      <w:pPr>
        <w:pStyle w:val="SubsectionHead"/>
      </w:pPr>
      <w:r w:rsidRPr="00BE51CD">
        <w:t xml:space="preserve">Exception to </w:t>
      </w:r>
      <w:r w:rsidRPr="00BE51CD">
        <w:rPr>
          <w:b/>
        </w:rPr>
        <w:t>required consumer data</w:t>
      </w:r>
      <w:r w:rsidRPr="00BE51CD">
        <w:t>―open accounts</w:t>
      </w:r>
    </w:p>
    <w:p w14:paraId="189FCB77" w14:textId="77777777" w:rsidR="00CF0E3D" w:rsidRPr="00BE51CD" w:rsidRDefault="00CF0E3D" w:rsidP="00CF0E3D">
      <w:pPr>
        <w:pStyle w:val="subsection"/>
      </w:pPr>
      <w:r w:rsidRPr="00BE51CD">
        <w:tab/>
        <w:t>(4)</w:t>
      </w:r>
      <w:r w:rsidRPr="00BE51CD">
        <w:tab/>
        <w:t xml:space="preserve">Despite subclause (1), for an account that is open at a particular time, the following CDR data is not </w:t>
      </w:r>
      <w:r w:rsidRPr="00BE51CD">
        <w:rPr>
          <w:b/>
          <w:i/>
        </w:rPr>
        <w:t xml:space="preserve">required consumer data </w:t>
      </w:r>
      <w:r w:rsidRPr="00BE51CD">
        <w:t>at that time:</w:t>
      </w:r>
    </w:p>
    <w:p w14:paraId="454D4D67" w14:textId="77777777" w:rsidR="00CF0E3D" w:rsidRPr="00BE51CD" w:rsidRDefault="00CF0E3D" w:rsidP="00CF0E3D">
      <w:pPr>
        <w:pStyle w:val="paragraph"/>
      </w:pPr>
      <w:r w:rsidRPr="00BE51CD">
        <w:tab/>
        <w:t>(a)</w:t>
      </w:r>
      <w:r w:rsidRPr="00BE51CD">
        <w:tab/>
        <w:t>transaction data in relation to a transaction that occurred more than 7 years before that time;</w:t>
      </w:r>
    </w:p>
    <w:p w14:paraId="419F3299" w14:textId="77777777" w:rsidR="00CF0E3D" w:rsidRPr="00BE51CD" w:rsidRDefault="00CF0E3D" w:rsidP="00CF0E3D">
      <w:pPr>
        <w:pStyle w:val="paragraph"/>
      </w:pPr>
      <w:r w:rsidRPr="00BE51CD">
        <w:tab/>
        <w:t>(b)</w:t>
      </w:r>
      <w:r w:rsidRPr="00BE51CD">
        <w:tab/>
        <w:t>account data that relates to an authorisation on an account for a direct debit deduction that occurred more than 13 months before that time.</w:t>
      </w:r>
    </w:p>
    <w:p w14:paraId="1364EAAE" w14:textId="77777777" w:rsidR="00CF0E3D" w:rsidRPr="00BE51CD" w:rsidRDefault="00CF0E3D" w:rsidP="00CF0E3D">
      <w:pPr>
        <w:pStyle w:val="notetext"/>
      </w:pPr>
      <w:r w:rsidRPr="00BE51CD">
        <w:t>Note:</w:t>
      </w:r>
      <w:r w:rsidRPr="00BE51CD">
        <w:tab/>
        <w:t xml:space="preserve">As a result, such CDR data would be </w:t>
      </w:r>
      <w:r w:rsidRPr="00BE51CD">
        <w:rPr>
          <w:b/>
          <w:i/>
        </w:rPr>
        <w:t>voluntary consumer data</w:t>
      </w:r>
      <w:r w:rsidRPr="00BE51CD">
        <w:t>.</w:t>
      </w:r>
    </w:p>
    <w:p w14:paraId="218BD98C" w14:textId="77777777" w:rsidR="00CF0E3D" w:rsidRPr="00BE51CD" w:rsidRDefault="00CF0E3D" w:rsidP="00CF0E3D">
      <w:pPr>
        <w:pStyle w:val="SubsectionHead"/>
      </w:pPr>
      <w:r w:rsidRPr="00BE51CD">
        <w:t xml:space="preserve">Exception to </w:t>
      </w:r>
      <w:r w:rsidRPr="00BE51CD">
        <w:rPr>
          <w:b/>
        </w:rPr>
        <w:t>required consumer data</w:t>
      </w:r>
      <w:r w:rsidRPr="00BE51CD">
        <w:t>―closed accounts</w:t>
      </w:r>
    </w:p>
    <w:p w14:paraId="0D259C84" w14:textId="77777777" w:rsidR="00CF0E3D" w:rsidRPr="00BE51CD" w:rsidRDefault="00CF0E3D" w:rsidP="00CF0E3D">
      <w:pPr>
        <w:pStyle w:val="subsection"/>
      </w:pPr>
      <w:r w:rsidRPr="00BE51CD">
        <w:tab/>
        <w:t>(5)</w:t>
      </w:r>
      <w:r w:rsidRPr="00BE51CD">
        <w:tab/>
        <w:t xml:space="preserve">Despite subclause (1), for an account that is closed at a particular time, the following CDR data is not </w:t>
      </w:r>
      <w:r w:rsidRPr="00BE51CD">
        <w:rPr>
          <w:b/>
          <w:i/>
        </w:rPr>
        <w:t xml:space="preserve">required consumer data </w:t>
      </w:r>
      <w:r w:rsidRPr="00BE51CD">
        <w:t>at that time:</w:t>
      </w:r>
    </w:p>
    <w:p w14:paraId="76F22075" w14:textId="77777777" w:rsidR="00CF0E3D" w:rsidRPr="00BE51CD" w:rsidRDefault="00CF0E3D" w:rsidP="00CF0E3D">
      <w:pPr>
        <w:pStyle w:val="paragraph"/>
      </w:pPr>
      <w:r w:rsidRPr="00BE51CD">
        <w:tab/>
        <w:t>(a)</w:t>
      </w:r>
      <w:r w:rsidRPr="00BE51CD">
        <w:tab/>
        <w:t>account data that relates to an authorisation on an account for direct debit deductions;</w:t>
      </w:r>
    </w:p>
    <w:p w14:paraId="41D424A9" w14:textId="77777777" w:rsidR="00CF0E3D" w:rsidRPr="00BE51CD" w:rsidRDefault="00CF0E3D" w:rsidP="00CF0E3D">
      <w:pPr>
        <w:pStyle w:val="paragraph"/>
      </w:pPr>
      <w:r w:rsidRPr="00BE51CD">
        <w:tab/>
        <w:t>(b)</w:t>
      </w:r>
      <w:r w:rsidRPr="00BE51CD">
        <w:tab/>
        <w:t>where the account was closed no more than 24 months before that time―transaction data in relation to a transaction that occurred more than 12 months before the account was closed;</w:t>
      </w:r>
    </w:p>
    <w:p w14:paraId="028F407D" w14:textId="77777777" w:rsidR="00CF0E3D" w:rsidRPr="00BE51CD" w:rsidRDefault="00CF0E3D" w:rsidP="00CF0E3D">
      <w:pPr>
        <w:pStyle w:val="paragraph"/>
      </w:pPr>
      <w:r w:rsidRPr="00BE51CD">
        <w:tab/>
        <w:t>(c)</w:t>
      </w:r>
      <w:r w:rsidRPr="00BE51CD">
        <w:tab/>
        <w:t>where the account was closed more than 24 months before that time:</w:t>
      </w:r>
    </w:p>
    <w:p w14:paraId="4CA9ADC3" w14:textId="77777777" w:rsidR="00CF0E3D" w:rsidRPr="00BE51CD" w:rsidRDefault="00CF0E3D" w:rsidP="00CF0E3D">
      <w:pPr>
        <w:pStyle w:val="paragraphsub"/>
      </w:pPr>
      <w:r w:rsidRPr="00BE51CD">
        <w:tab/>
        <w:t>(i)</w:t>
      </w:r>
      <w:r w:rsidRPr="00BE51CD">
        <w:tab/>
        <w:t>account data that relates to the account; and</w:t>
      </w:r>
    </w:p>
    <w:p w14:paraId="247BEE15" w14:textId="77777777" w:rsidR="00CF0E3D" w:rsidRPr="00BE51CD" w:rsidRDefault="00CF0E3D" w:rsidP="00CF0E3D">
      <w:pPr>
        <w:pStyle w:val="paragraphsub"/>
      </w:pPr>
      <w:r w:rsidRPr="00BE51CD">
        <w:tab/>
        <w:t>(ii)</w:t>
      </w:r>
      <w:r w:rsidRPr="00BE51CD">
        <w:tab/>
        <w:t>transaction data that relates to any transaction on the account; and</w:t>
      </w:r>
    </w:p>
    <w:p w14:paraId="416956BF" w14:textId="77777777" w:rsidR="00CF0E3D" w:rsidRPr="00BE51CD" w:rsidRDefault="00CF0E3D" w:rsidP="00CF0E3D">
      <w:pPr>
        <w:pStyle w:val="paragraphsub"/>
      </w:pPr>
      <w:r w:rsidRPr="00BE51CD">
        <w:tab/>
        <w:t>(iii)</w:t>
      </w:r>
      <w:r w:rsidRPr="00BE51CD">
        <w:tab/>
        <w:t>product specific data in relation to a product relating to any such account.</w:t>
      </w:r>
    </w:p>
    <w:p w14:paraId="0131C34B" w14:textId="77777777" w:rsidR="00CF0E3D" w:rsidRPr="0096277A" w:rsidRDefault="00CF0E3D" w:rsidP="00CF0E3D">
      <w:pPr>
        <w:pStyle w:val="notetext"/>
      </w:pPr>
      <w:r w:rsidRPr="00BE51CD">
        <w:t>Note:</w:t>
      </w:r>
      <w:r w:rsidRPr="00BE51CD">
        <w:tab/>
        <w:t xml:space="preserve">As a result, such CDR data would be </w:t>
      </w:r>
      <w:r w:rsidRPr="00BE51CD">
        <w:rPr>
          <w:b/>
          <w:i/>
        </w:rPr>
        <w:t>voluntary consumer data</w:t>
      </w:r>
      <w:r>
        <w:t>.</w:t>
      </w:r>
    </w:p>
    <w:p w14:paraId="6D1DC8EB" w14:textId="77777777" w:rsidR="00CF0E3D" w:rsidRPr="00BC78CF" w:rsidRDefault="00CF0E3D" w:rsidP="00CF0E3D">
      <w:pPr>
        <w:pStyle w:val="ActHead2"/>
        <w:rPr>
          <w:strike/>
          <w:color w:val="FF0000"/>
        </w:rPr>
      </w:pPr>
      <w:bookmarkStart w:id="602" w:name="_Toc59549177"/>
      <w:bookmarkStart w:id="603" w:name="_Toc74916329"/>
      <w:bookmarkStart w:id="604" w:name="_Toc11771731"/>
      <w:r w:rsidRPr="00BC78CF">
        <w:rPr>
          <w:strike/>
          <w:color w:val="FF0000"/>
        </w:rPr>
        <w:t>Part 4—Joint accounts</w:t>
      </w:r>
      <w:bookmarkEnd w:id="602"/>
      <w:bookmarkEnd w:id="603"/>
    </w:p>
    <w:p w14:paraId="2AB1D3D0" w14:textId="77777777" w:rsidR="00CF0E3D" w:rsidRPr="00BC78CF" w:rsidRDefault="00CF0E3D" w:rsidP="00CF0E3D">
      <w:pPr>
        <w:pStyle w:val="ActHead3"/>
        <w:rPr>
          <w:strike/>
          <w:color w:val="FF0000"/>
        </w:rPr>
      </w:pPr>
      <w:bookmarkStart w:id="605" w:name="_Toc51337620"/>
      <w:bookmarkStart w:id="606" w:name="_Toc50633228"/>
      <w:bookmarkStart w:id="607" w:name="_Toc57219192"/>
      <w:bookmarkStart w:id="608" w:name="_Toc59549178"/>
      <w:bookmarkStart w:id="609" w:name="_Toc74916330"/>
      <w:r w:rsidRPr="00BC78CF">
        <w:rPr>
          <w:strike/>
          <w:color w:val="FF0000"/>
        </w:rPr>
        <w:t>Division 4.1—Preliminary</w:t>
      </w:r>
      <w:bookmarkEnd w:id="605"/>
      <w:bookmarkEnd w:id="606"/>
      <w:bookmarkEnd w:id="607"/>
      <w:bookmarkEnd w:id="608"/>
      <w:bookmarkEnd w:id="609"/>
    </w:p>
    <w:p w14:paraId="03179BEC" w14:textId="77777777" w:rsidR="00CF0E3D" w:rsidRPr="00BC78CF" w:rsidRDefault="00CF0E3D" w:rsidP="00CF0E3D">
      <w:pPr>
        <w:pStyle w:val="ActHead5"/>
        <w:rPr>
          <w:strike/>
          <w:noProof/>
          <w:color w:val="FF0000"/>
          <w:lang w:val="en-US"/>
        </w:rPr>
      </w:pPr>
      <w:bookmarkStart w:id="610" w:name="_Toc51337621"/>
      <w:bookmarkStart w:id="611" w:name="_Toc50633229"/>
      <w:bookmarkStart w:id="612" w:name="_Toc57219193"/>
      <w:bookmarkStart w:id="613" w:name="_Toc59549179"/>
      <w:bookmarkStart w:id="614" w:name="_Toc74916331"/>
      <w:r w:rsidRPr="00BC78CF">
        <w:rPr>
          <w:strike/>
          <w:noProof/>
          <w:color w:val="FF0000"/>
          <w:lang w:val="en-US"/>
        </w:rPr>
        <w:t>4.1  Purpose of Part</w:t>
      </w:r>
      <w:bookmarkEnd w:id="610"/>
      <w:bookmarkEnd w:id="611"/>
      <w:bookmarkEnd w:id="612"/>
      <w:bookmarkEnd w:id="613"/>
      <w:bookmarkEnd w:id="614"/>
    </w:p>
    <w:p w14:paraId="3BC5598B" w14:textId="77777777" w:rsidR="00CF0E3D" w:rsidRPr="00BC78CF" w:rsidRDefault="00CF0E3D" w:rsidP="00CF0E3D">
      <w:pPr>
        <w:pStyle w:val="subsection"/>
        <w:rPr>
          <w:strike/>
          <w:color w:val="FF0000"/>
          <w:lang w:val="en-US"/>
        </w:rPr>
      </w:pPr>
      <w:r w:rsidRPr="00BC78CF">
        <w:rPr>
          <w:strike/>
          <w:color w:val="FF0000"/>
          <w:lang w:val="en-US"/>
        </w:rPr>
        <w:tab/>
      </w:r>
      <w:r w:rsidRPr="00BC78CF">
        <w:rPr>
          <w:strike/>
          <w:color w:val="FF0000"/>
          <w:lang w:val="en-US"/>
        </w:rPr>
        <w:tab/>
        <w:t>Special rules apply in relation to consumer data requests under Part 4 of these rules under which there is a request for disclosure of CDR data that relates to one or more joint accounts within the banking sector. This Part sets out those rules.</w:t>
      </w:r>
    </w:p>
    <w:p w14:paraId="1D08F4CE" w14:textId="77777777" w:rsidR="00CF0E3D" w:rsidRPr="00BC78CF" w:rsidRDefault="00CF0E3D" w:rsidP="00CF0E3D">
      <w:pPr>
        <w:pStyle w:val="ActHead5"/>
        <w:rPr>
          <w:strike/>
          <w:color w:val="FF0000"/>
          <w:lang w:val="en-US"/>
        </w:rPr>
      </w:pPr>
      <w:bookmarkStart w:id="615" w:name="_Toc50633230"/>
      <w:bookmarkStart w:id="616" w:name="_Toc51337622"/>
      <w:bookmarkStart w:id="617" w:name="_Toc57219194"/>
      <w:bookmarkStart w:id="618" w:name="_Toc59549180"/>
      <w:bookmarkStart w:id="619" w:name="_Toc74916332"/>
      <w:r w:rsidRPr="00BC78CF">
        <w:rPr>
          <w:strike/>
          <w:color w:val="FF0000"/>
          <w:lang w:val="en-US"/>
        </w:rPr>
        <w:t xml:space="preserve">4.2  </w:t>
      </w:r>
      <w:bookmarkEnd w:id="615"/>
      <w:r w:rsidRPr="00BC78CF">
        <w:rPr>
          <w:strike/>
          <w:color w:val="FF0000"/>
          <w:lang w:val="en-US"/>
        </w:rPr>
        <w:t>Application of Part</w:t>
      </w:r>
      <w:bookmarkEnd w:id="616"/>
      <w:bookmarkEnd w:id="617"/>
      <w:bookmarkEnd w:id="618"/>
      <w:bookmarkEnd w:id="619"/>
    </w:p>
    <w:p w14:paraId="7BA43C01" w14:textId="77777777" w:rsidR="00CF0E3D" w:rsidRPr="00BC78CF" w:rsidRDefault="00CF0E3D" w:rsidP="00CF0E3D">
      <w:pPr>
        <w:pStyle w:val="notemargin"/>
        <w:rPr>
          <w:strike/>
          <w:color w:val="FF0000"/>
          <w:lang w:val="en-US"/>
        </w:rPr>
      </w:pPr>
      <w:r w:rsidRPr="00BC78CF">
        <w:rPr>
          <w:strike/>
          <w:color w:val="FF0000"/>
          <w:lang w:val="en-US"/>
        </w:rPr>
        <w:t>Note:</w:t>
      </w:r>
      <w:r w:rsidRPr="00BC78CF">
        <w:rPr>
          <w:strike/>
          <w:color w:val="FF0000"/>
          <w:lang w:val="en-US"/>
        </w:rPr>
        <w:tab/>
        <w:t>This Part does not apply to all joint accounts with data holders. This clause sets out the joint accounts to which this Part applies.</w:t>
      </w:r>
    </w:p>
    <w:p w14:paraId="669EE2E7" w14:textId="77777777" w:rsidR="00CF0E3D" w:rsidRPr="00BC78CF" w:rsidRDefault="00CF0E3D" w:rsidP="00CF0E3D">
      <w:pPr>
        <w:pStyle w:val="subsection"/>
        <w:rPr>
          <w:strike/>
          <w:color w:val="FF0000"/>
          <w:lang w:val="en-US"/>
        </w:rPr>
      </w:pPr>
      <w:r w:rsidRPr="00BC78CF">
        <w:rPr>
          <w:strike/>
          <w:color w:val="FF0000"/>
          <w:lang w:val="en-US"/>
        </w:rPr>
        <w:tab/>
      </w:r>
      <w:r w:rsidRPr="00BC78CF">
        <w:rPr>
          <w:strike/>
          <w:color w:val="FF0000"/>
          <w:lang w:val="en-US"/>
        </w:rPr>
        <w:tab/>
        <w:t>This Part applies to a joint account with a data holder if all joint account holders are eligible in relation to the data holder.</w:t>
      </w:r>
    </w:p>
    <w:p w14:paraId="7873B186" w14:textId="77777777" w:rsidR="00CF0E3D" w:rsidRPr="00BC78CF" w:rsidRDefault="00CF0E3D" w:rsidP="00CF0E3D">
      <w:pPr>
        <w:pStyle w:val="notetext"/>
        <w:rPr>
          <w:strike/>
          <w:color w:val="FF0000"/>
          <w:shd w:val="clear" w:color="auto" w:fill="FFFFFF"/>
        </w:rPr>
      </w:pPr>
      <w:r w:rsidRPr="00BC78CF">
        <w:rPr>
          <w:strike/>
          <w:color w:val="FF0000"/>
          <w:shd w:val="clear" w:color="auto" w:fill="FFFFFF"/>
        </w:rPr>
        <w:t>Note:</w:t>
      </w:r>
      <w:r w:rsidRPr="00BC78CF">
        <w:rPr>
          <w:strike/>
          <w:color w:val="FF0000"/>
          <w:shd w:val="clear" w:color="auto" w:fill="FFFFFF"/>
        </w:rPr>
        <w:tab/>
        <w:t>See subrule 1.7(1) for the meaning of “eligible”. For the banking sector, see clause 2.1 of this Schedule for when a CDR consumer is eligible.</w:t>
      </w:r>
    </w:p>
    <w:p w14:paraId="096E5A51" w14:textId="77777777" w:rsidR="00CF0E3D" w:rsidRPr="00BC78CF" w:rsidRDefault="00CF0E3D" w:rsidP="00CF0E3D">
      <w:pPr>
        <w:pStyle w:val="ActHead5"/>
        <w:rPr>
          <w:strike/>
          <w:color w:val="FF0000"/>
          <w:lang w:val="en-US"/>
        </w:rPr>
      </w:pPr>
      <w:bookmarkStart w:id="620" w:name="_Toc51329590"/>
      <w:bookmarkStart w:id="621" w:name="_Toc51337623"/>
      <w:bookmarkStart w:id="622" w:name="_Toc57219196"/>
      <w:bookmarkStart w:id="623" w:name="_Toc59549181"/>
      <w:bookmarkStart w:id="624" w:name="_Toc74916333"/>
      <w:r w:rsidRPr="00BC78CF">
        <w:rPr>
          <w:strike/>
          <w:color w:val="FF0000"/>
          <w:lang w:val="en-US"/>
        </w:rPr>
        <w:t>4.3  Simplified outline of this Part</w:t>
      </w:r>
      <w:bookmarkEnd w:id="620"/>
      <w:bookmarkEnd w:id="621"/>
      <w:bookmarkEnd w:id="622"/>
      <w:bookmarkEnd w:id="623"/>
      <w:bookmarkEnd w:id="624"/>
    </w:p>
    <w:p w14:paraId="698B99FC" w14:textId="77777777" w:rsidR="00CF0E3D" w:rsidRPr="00BC78CF" w:rsidRDefault="00CF0E3D" w:rsidP="00CF0E3D">
      <w:pPr>
        <w:pStyle w:val="SOText"/>
        <w:pBdr>
          <w:right w:val="single" w:sz="6" w:space="10" w:color="auto"/>
        </w:pBdr>
        <w:rPr>
          <w:strike/>
          <w:color w:val="FF0000"/>
        </w:rPr>
      </w:pPr>
      <w:r w:rsidRPr="00BC78CF">
        <w:rPr>
          <w:strike/>
          <w:color w:val="FF0000"/>
        </w:rPr>
        <w:t>This Part does not apply to all joint accounts in the banking sector. Division 4.1 of this Part sets out, among other things, the joint accounts to which this Part applies.</w:t>
      </w:r>
    </w:p>
    <w:p w14:paraId="2B9F3A1B" w14:textId="77777777" w:rsidR="00CF0E3D" w:rsidRPr="00BC78CF" w:rsidRDefault="00CF0E3D" w:rsidP="00CF0E3D">
      <w:pPr>
        <w:pStyle w:val="SOText"/>
        <w:pBdr>
          <w:right w:val="single" w:sz="6" w:space="10" w:color="auto"/>
        </w:pBdr>
        <w:rPr>
          <w:strike/>
          <w:color w:val="FF0000"/>
        </w:rPr>
      </w:pPr>
      <w:r w:rsidRPr="00BC78CF">
        <w:rPr>
          <w:strike/>
          <w:color w:val="FF0000"/>
        </w:rPr>
        <w:t>CDR data that relates to a joint account to which this Part applies can be disclosed under these rules only if, among other things, an available disclosure option applies to the account. Division 4.2 of this Part sets out:</w:t>
      </w:r>
    </w:p>
    <w:p w14:paraId="1684E452" w14:textId="77777777" w:rsidR="00CF0E3D" w:rsidRPr="00BC78CF" w:rsidRDefault="00CF0E3D" w:rsidP="00CF0E3D">
      <w:pPr>
        <w:pStyle w:val="SOPara"/>
        <w:pBdr>
          <w:right w:val="single" w:sz="6" w:space="10" w:color="auto"/>
        </w:pBdr>
        <w:rPr>
          <w:strike/>
          <w:color w:val="FF0000"/>
        </w:rPr>
      </w:pPr>
      <w:r w:rsidRPr="00BC78CF">
        <w:rPr>
          <w:strike/>
          <w:color w:val="FF0000"/>
        </w:rPr>
        <w:tab/>
        <w:t>•</w:t>
      </w:r>
      <w:r w:rsidRPr="00BC78CF">
        <w:rPr>
          <w:strike/>
          <w:color w:val="FF0000"/>
        </w:rPr>
        <w:tab/>
        <w:t>what the available disclosure options are; and</w:t>
      </w:r>
    </w:p>
    <w:p w14:paraId="0337CE59" w14:textId="77777777" w:rsidR="00CF0E3D" w:rsidRPr="00BC78CF" w:rsidRDefault="00CF0E3D" w:rsidP="00CF0E3D">
      <w:pPr>
        <w:pStyle w:val="SOPara"/>
        <w:pBdr>
          <w:right w:val="single" w:sz="6" w:space="10" w:color="auto"/>
        </w:pBdr>
        <w:rPr>
          <w:strike/>
          <w:color w:val="FF0000"/>
        </w:rPr>
      </w:pPr>
      <w:r w:rsidRPr="00BC78CF">
        <w:rPr>
          <w:strike/>
          <w:color w:val="FF0000"/>
        </w:rPr>
        <w:tab/>
        <w:t>•</w:t>
      </w:r>
      <w:r w:rsidRPr="00BC78CF">
        <w:rPr>
          <w:strike/>
          <w:color w:val="FF0000"/>
        </w:rPr>
        <w:tab/>
        <w:t>an obligation for data holders to provide a service (a joint account management service) for all joint accounts to which this Part applies through which joint account holders can indicate the disclosure option they would like to apply to the account; and</w:t>
      </w:r>
    </w:p>
    <w:p w14:paraId="0EF3D46C" w14:textId="77777777" w:rsidR="00CF0E3D" w:rsidRPr="00BC78CF" w:rsidRDefault="00CF0E3D" w:rsidP="00CF0E3D">
      <w:pPr>
        <w:pStyle w:val="SOPara"/>
        <w:pBdr>
          <w:right w:val="single" w:sz="6" w:space="10" w:color="auto"/>
        </w:pBdr>
        <w:rPr>
          <w:strike/>
          <w:color w:val="FF0000"/>
        </w:rPr>
      </w:pPr>
      <w:r w:rsidRPr="00BC78CF">
        <w:rPr>
          <w:strike/>
          <w:color w:val="FF0000"/>
        </w:rPr>
        <w:tab/>
        <w:t>•</w:t>
      </w:r>
      <w:r w:rsidRPr="00BC78CF">
        <w:rPr>
          <w:strike/>
          <w:color w:val="FF0000"/>
        </w:rPr>
        <w:tab/>
        <w:t>when one joint account holder selects a disclosure option to apply to a joint account―a process by which the other joint account holders can select a disclosure option to apply; and</w:t>
      </w:r>
    </w:p>
    <w:p w14:paraId="3B28ED88" w14:textId="77777777" w:rsidR="00CF0E3D" w:rsidRPr="00BC78CF" w:rsidRDefault="00CF0E3D" w:rsidP="00CF0E3D">
      <w:pPr>
        <w:pStyle w:val="SOPara"/>
        <w:pBdr>
          <w:right w:val="single" w:sz="6" w:space="10" w:color="auto"/>
        </w:pBdr>
        <w:rPr>
          <w:strike/>
          <w:color w:val="FF0000"/>
        </w:rPr>
      </w:pPr>
      <w:r w:rsidRPr="00BC78CF">
        <w:rPr>
          <w:strike/>
          <w:color w:val="FF0000"/>
        </w:rPr>
        <w:tab/>
        <w:t>•</w:t>
      </w:r>
      <w:r w:rsidRPr="00BC78CF">
        <w:rPr>
          <w:strike/>
          <w:color w:val="FF0000"/>
        </w:rPr>
        <w:tab/>
        <w:t>some associated notification requirements.</w:t>
      </w:r>
    </w:p>
    <w:p w14:paraId="2C2D5106" w14:textId="77777777" w:rsidR="00CF0E3D" w:rsidRPr="00BC78CF" w:rsidRDefault="00CF0E3D" w:rsidP="00CF0E3D">
      <w:pPr>
        <w:pStyle w:val="SOText"/>
        <w:pBdr>
          <w:right w:val="single" w:sz="6" w:space="10" w:color="auto"/>
        </w:pBdr>
        <w:rPr>
          <w:strike/>
          <w:color w:val="FF0000"/>
        </w:rPr>
      </w:pPr>
      <w:r w:rsidRPr="00BC78CF">
        <w:rPr>
          <w:strike/>
          <w:color w:val="FF0000"/>
        </w:rPr>
        <w:t>All joint account holders must indicate that they would like the same disclosure option to apply to the joint account in order for the disclosure option to apply.</w:t>
      </w:r>
    </w:p>
    <w:p w14:paraId="618A2C1E" w14:textId="77777777" w:rsidR="00CF0E3D" w:rsidRPr="00BC78CF" w:rsidRDefault="00CF0E3D" w:rsidP="00CF0E3D">
      <w:pPr>
        <w:pStyle w:val="SOText"/>
        <w:pBdr>
          <w:right w:val="single" w:sz="6" w:space="10" w:color="auto"/>
        </w:pBdr>
        <w:rPr>
          <w:strike/>
          <w:color w:val="FF0000"/>
        </w:rPr>
      </w:pPr>
      <w:r w:rsidRPr="00BC78CF">
        <w:rPr>
          <w:strike/>
          <w:color w:val="FF0000"/>
        </w:rPr>
        <w:t>When an accredited person makes a consumer data request under Part 4 of these rules on behalf of a CDR consumer, and the request includes CDR data relating to one or more joint accounts of which the CDR consumer is a joint account holder, Division 4.3 deals with how the request is processed.</w:t>
      </w:r>
    </w:p>
    <w:p w14:paraId="0CCB6C0B" w14:textId="77777777" w:rsidR="00CF0E3D" w:rsidRPr="00BC78CF" w:rsidRDefault="00CF0E3D" w:rsidP="00CF0E3D">
      <w:pPr>
        <w:pStyle w:val="SOText"/>
        <w:pBdr>
          <w:right w:val="single" w:sz="6" w:space="10" w:color="auto"/>
        </w:pBdr>
        <w:rPr>
          <w:strike/>
          <w:color w:val="FF0000"/>
        </w:rPr>
      </w:pPr>
      <w:r w:rsidRPr="00BC78CF">
        <w:rPr>
          <w:strike/>
          <w:color w:val="FF0000"/>
        </w:rPr>
        <w:t>Division 4.3 also deals with how requests are processed when the accredited person makes a consumer data request on behalf of a secondary user of the joint account.</w:t>
      </w:r>
    </w:p>
    <w:p w14:paraId="72FCA01C" w14:textId="77777777" w:rsidR="00CF0E3D" w:rsidRPr="00BC78CF" w:rsidRDefault="00CF0E3D" w:rsidP="00CF0E3D">
      <w:pPr>
        <w:pStyle w:val="ActHead3"/>
        <w:rPr>
          <w:strike/>
          <w:color w:val="FF0000"/>
          <w:lang w:val="en-US"/>
        </w:rPr>
      </w:pPr>
      <w:bookmarkStart w:id="625" w:name="_Toc51329591"/>
      <w:bookmarkStart w:id="626" w:name="_Toc51337624"/>
      <w:bookmarkStart w:id="627" w:name="_Toc57219197"/>
      <w:bookmarkStart w:id="628" w:name="_Toc59549182"/>
      <w:bookmarkStart w:id="629" w:name="_Toc74916334"/>
      <w:r w:rsidRPr="00BC78CF">
        <w:rPr>
          <w:strike/>
          <w:color w:val="FF0000"/>
          <w:lang w:val="en-US"/>
        </w:rPr>
        <w:t>Division 4.2—Disclosure options, joint account management service and notification requirements</w:t>
      </w:r>
      <w:bookmarkEnd w:id="625"/>
      <w:bookmarkEnd w:id="626"/>
      <w:bookmarkEnd w:id="627"/>
      <w:bookmarkEnd w:id="628"/>
      <w:bookmarkEnd w:id="629"/>
    </w:p>
    <w:p w14:paraId="60974243" w14:textId="77777777" w:rsidR="00CF0E3D" w:rsidRPr="00BC78CF" w:rsidRDefault="00CF0E3D" w:rsidP="00CF0E3D">
      <w:pPr>
        <w:pStyle w:val="ActHead5"/>
        <w:rPr>
          <w:strike/>
          <w:color w:val="FF0000"/>
          <w:lang w:val="en-US"/>
        </w:rPr>
      </w:pPr>
      <w:bookmarkStart w:id="630" w:name="_Toc51329592"/>
      <w:bookmarkStart w:id="631" w:name="_Toc51337625"/>
      <w:bookmarkStart w:id="632" w:name="_Toc57219198"/>
      <w:bookmarkStart w:id="633" w:name="_Toc59549183"/>
      <w:bookmarkStart w:id="634" w:name="_Toc74916335"/>
      <w:r w:rsidRPr="00BC78CF">
        <w:rPr>
          <w:strike/>
          <w:color w:val="FF0000"/>
          <w:lang w:val="en-US"/>
        </w:rPr>
        <w:t>4.4  Simplified outline of this Division</w:t>
      </w:r>
      <w:bookmarkEnd w:id="630"/>
      <w:bookmarkEnd w:id="631"/>
      <w:bookmarkEnd w:id="632"/>
      <w:bookmarkEnd w:id="633"/>
      <w:bookmarkEnd w:id="634"/>
    </w:p>
    <w:p w14:paraId="25D5FA5B" w14:textId="77777777" w:rsidR="00CF0E3D" w:rsidRPr="00BC78CF" w:rsidRDefault="00CF0E3D" w:rsidP="00CF0E3D">
      <w:pPr>
        <w:pStyle w:val="SOText"/>
        <w:rPr>
          <w:strike/>
          <w:color w:val="FF0000"/>
        </w:rPr>
      </w:pPr>
      <w:r w:rsidRPr="00BC78CF">
        <w:rPr>
          <w:strike/>
          <w:color w:val="FF0000"/>
        </w:rPr>
        <w:t xml:space="preserve">This Division sets out the disclosure options that can apply to a joint account. These disclosure options are relevant when an </w:t>
      </w:r>
      <w:r w:rsidRPr="00BC78CF">
        <w:rPr>
          <w:strike/>
          <w:color w:val="FF0000"/>
          <w:lang w:val="en-US"/>
        </w:rPr>
        <w:t>accredited person makes a consumer data request on behalf of one joint account holder or a secondary user under Part 4 of these rules.</w:t>
      </w:r>
    </w:p>
    <w:p w14:paraId="1CF22BC2" w14:textId="77777777" w:rsidR="00CF0E3D" w:rsidRPr="00BC78CF" w:rsidRDefault="00CF0E3D" w:rsidP="00CF0E3D">
      <w:pPr>
        <w:pStyle w:val="SOText"/>
        <w:rPr>
          <w:strike/>
          <w:color w:val="FF0000"/>
          <w:lang w:val="en-US"/>
        </w:rPr>
      </w:pPr>
      <w:r w:rsidRPr="00BC78CF">
        <w:rPr>
          <w:strike/>
          <w:color w:val="FF0000"/>
          <w:lang w:val="en-US"/>
        </w:rPr>
        <w:t>One is a pre</w:t>
      </w:r>
      <w:r w:rsidRPr="00BC78CF">
        <w:rPr>
          <w:strike/>
          <w:color w:val="FF0000"/>
          <w:lang w:val="en-US"/>
        </w:rPr>
        <w:noBreakHyphen/>
        <w:t xml:space="preserve">approval option. If all </w:t>
      </w:r>
      <w:r w:rsidRPr="00BC78CF">
        <w:rPr>
          <w:strike/>
          <w:color w:val="FF0000"/>
        </w:rPr>
        <w:t xml:space="preserve">joint account holders indicate that they would like a </w:t>
      </w:r>
      <w:r w:rsidRPr="00BC78CF">
        <w:rPr>
          <w:strike/>
          <w:color w:val="FF0000"/>
          <w:lang w:val="en-US"/>
        </w:rPr>
        <w:t>pre</w:t>
      </w:r>
      <w:r w:rsidRPr="00BC78CF">
        <w:rPr>
          <w:strike/>
          <w:color w:val="FF0000"/>
          <w:lang w:val="en-US"/>
        </w:rPr>
        <w:noBreakHyphen/>
        <w:t xml:space="preserve">approval </w:t>
      </w:r>
      <w:r w:rsidRPr="00BC78CF">
        <w:rPr>
          <w:strike/>
          <w:color w:val="FF0000"/>
        </w:rPr>
        <w:t xml:space="preserve">option to apply to a joint account, </w:t>
      </w:r>
      <w:r w:rsidRPr="00BC78CF">
        <w:rPr>
          <w:strike/>
          <w:color w:val="FF0000"/>
          <w:lang w:val="en-US"/>
        </w:rPr>
        <w:t>CDR data relating to the joint account can be disclosed in response to the request without the approval of the other account holder, but the other account holders can revoke the pre</w:t>
      </w:r>
      <w:r w:rsidRPr="00BC78CF">
        <w:rPr>
          <w:strike/>
          <w:color w:val="FF0000"/>
          <w:lang w:val="en-US"/>
        </w:rPr>
        <w:noBreakHyphen/>
        <w:t>approval in relation to a particular consumer data request at any time.</w:t>
      </w:r>
    </w:p>
    <w:p w14:paraId="11857BE2" w14:textId="77777777" w:rsidR="00CF0E3D" w:rsidRPr="00BC78CF" w:rsidRDefault="00CF0E3D" w:rsidP="00CF0E3D">
      <w:pPr>
        <w:pStyle w:val="SOText"/>
        <w:rPr>
          <w:strike/>
          <w:color w:val="FF0000"/>
          <w:lang w:val="en-US"/>
        </w:rPr>
      </w:pPr>
      <w:r w:rsidRPr="00BC78CF">
        <w:rPr>
          <w:strike/>
          <w:color w:val="FF0000"/>
          <w:lang w:val="en-US"/>
        </w:rPr>
        <w:t>Another is a co</w:t>
      </w:r>
      <w:r w:rsidRPr="00BC78CF">
        <w:rPr>
          <w:strike/>
          <w:color w:val="FF0000"/>
          <w:lang w:val="en-US"/>
        </w:rPr>
        <w:noBreakHyphen/>
        <w:t>approval option. If all joint account holders indicate that they would like a co</w:t>
      </w:r>
      <w:r w:rsidRPr="00BC78CF">
        <w:rPr>
          <w:strike/>
          <w:color w:val="FF0000"/>
          <w:lang w:val="en-US"/>
        </w:rPr>
        <w:noBreakHyphen/>
        <w:t>approval option to apply to a joint account, CDR data relating to the joint account can be disclosed under these rules only with the approval of the all the account holders.</w:t>
      </w:r>
    </w:p>
    <w:p w14:paraId="48EE4EBD" w14:textId="77777777" w:rsidR="00CF0E3D" w:rsidRPr="00BC78CF" w:rsidRDefault="00CF0E3D" w:rsidP="00CF0E3D">
      <w:pPr>
        <w:pStyle w:val="SOText"/>
        <w:rPr>
          <w:strike/>
          <w:color w:val="FF0000"/>
          <w:lang w:val="en-US"/>
        </w:rPr>
      </w:pPr>
      <w:r w:rsidRPr="00BC78CF">
        <w:rPr>
          <w:strike/>
          <w:color w:val="FF0000"/>
          <w:lang w:val="en-US"/>
        </w:rPr>
        <w:t>Data holders must offer pre</w:t>
      </w:r>
      <w:r w:rsidRPr="00BC78CF">
        <w:rPr>
          <w:strike/>
          <w:color w:val="FF0000"/>
          <w:lang w:val="en-US"/>
        </w:rPr>
        <w:noBreakHyphen/>
        <w:t>approval options on joint accounts, and may offer co</w:t>
      </w:r>
      <w:r w:rsidRPr="00BC78CF">
        <w:rPr>
          <w:strike/>
          <w:color w:val="FF0000"/>
          <w:lang w:val="en-US"/>
        </w:rPr>
        <w:noBreakHyphen/>
        <w:t>approval options.</w:t>
      </w:r>
    </w:p>
    <w:p w14:paraId="794F86FE" w14:textId="77777777" w:rsidR="00CF0E3D" w:rsidRPr="00BC78CF" w:rsidRDefault="00CF0E3D" w:rsidP="00CF0E3D">
      <w:pPr>
        <w:pStyle w:val="SOText"/>
        <w:rPr>
          <w:strike/>
          <w:color w:val="FF0000"/>
          <w:lang w:val="en-US"/>
        </w:rPr>
      </w:pPr>
      <w:r w:rsidRPr="00BC78CF">
        <w:rPr>
          <w:strike/>
          <w:color w:val="FF0000"/>
          <w:lang w:val="en-US"/>
        </w:rPr>
        <w:t>Neither disclosure option applies to a joint account if:</w:t>
      </w:r>
    </w:p>
    <w:p w14:paraId="7AFAB269" w14:textId="77777777" w:rsidR="00CF0E3D" w:rsidRPr="00BC78CF" w:rsidRDefault="00CF0E3D" w:rsidP="00CF0E3D">
      <w:pPr>
        <w:pStyle w:val="SOPara"/>
        <w:rPr>
          <w:strike/>
          <w:color w:val="FF0000"/>
        </w:rPr>
      </w:pPr>
      <w:r w:rsidRPr="00BC78CF">
        <w:rPr>
          <w:strike/>
          <w:color w:val="FF0000"/>
        </w:rPr>
        <w:tab/>
        <w:t>•</w:t>
      </w:r>
      <w:r w:rsidRPr="00BC78CF">
        <w:rPr>
          <w:strike/>
          <w:color w:val="FF0000"/>
        </w:rPr>
        <w:tab/>
        <w:t>the joint account holders indicate that they would like different disclosure options to apply to the account; or</w:t>
      </w:r>
    </w:p>
    <w:p w14:paraId="7E9B54F6" w14:textId="77777777" w:rsidR="00CF0E3D" w:rsidRPr="00BC78CF" w:rsidRDefault="00CF0E3D" w:rsidP="00CF0E3D">
      <w:pPr>
        <w:pStyle w:val="SOPara"/>
        <w:rPr>
          <w:strike/>
          <w:color w:val="FF0000"/>
        </w:rPr>
      </w:pPr>
      <w:r w:rsidRPr="00BC78CF">
        <w:rPr>
          <w:strike/>
          <w:color w:val="FF0000"/>
        </w:rPr>
        <w:tab/>
        <w:t>•</w:t>
      </w:r>
      <w:r w:rsidRPr="00BC78CF">
        <w:rPr>
          <w:strike/>
          <w:color w:val="FF0000"/>
        </w:rPr>
        <w:tab/>
        <w:t>any of the joint account holders do not indicate a disclosure option they would like to apply.</w:t>
      </w:r>
    </w:p>
    <w:p w14:paraId="28175416" w14:textId="77777777" w:rsidR="00CF0E3D" w:rsidRPr="00BC78CF" w:rsidRDefault="00CF0E3D" w:rsidP="00CF0E3D">
      <w:pPr>
        <w:pStyle w:val="SOText"/>
        <w:rPr>
          <w:strike/>
          <w:color w:val="FF0000"/>
        </w:rPr>
      </w:pPr>
      <w:r w:rsidRPr="00BC78CF">
        <w:rPr>
          <w:strike/>
          <w:color w:val="FF0000"/>
        </w:rPr>
        <w:t>For each joint account to which this Part applies, a data holder must offer a joint account management service that can be used by joint account holders to select and manage these disclosure options.</w:t>
      </w:r>
    </w:p>
    <w:p w14:paraId="22018711" w14:textId="77777777" w:rsidR="00CF0E3D" w:rsidRPr="00BC78CF" w:rsidRDefault="00CF0E3D" w:rsidP="00CF0E3D">
      <w:pPr>
        <w:pStyle w:val="ActHead5"/>
        <w:rPr>
          <w:strike/>
          <w:color w:val="FF0000"/>
          <w:lang w:val="en-US"/>
        </w:rPr>
      </w:pPr>
      <w:bookmarkStart w:id="635" w:name="_Toc51337626"/>
      <w:bookmarkStart w:id="636" w:name="_Toc57219199"/>
      <w:bookmarkStart w:id="637" w:name="_Toc59549184"/>
      <w:bookmarkStart w:id="638" w:name="_Toc74916336"/>
      <w:r w:rsidRPr="00BC78CF">
        <w:rPr>
          <w:strike/>
          <w:color w:val="FF0000"/>
          <w:lang w:val="en-US"/>
        </w:rPr>
        <w:t>4.5  Disclosure options that can apply to joint accounts</w:t>
      </w:r>
      <w:bookmarkEnd w:id="635"/>
      <w:bookmarkEnd w:id="636"/>
      <w:bookmarkEnd w:id="637"/>
      <w:bookmarkEnd w:id="638"/>
    </w:p>
    <w:p w14:paraId="2FA75E0F" w14:textId="77777777" w:rsidR="00CF0E3D" w:rsidRPr="00BC78CF" w:rsidRDefault="00CF0E3D" w:rsidP="00CF0E3D">
      <w:pPr>
        <w:pStyle w:val="subsection"/>
        <w:rPr>
          <w:strike/>
          <w:color w:val="FF0000"/>
          <w:lang w:val="en-US"/>
        </w:rPr>
      </w:pPr>
      <w:r w:rsidRPr="00BC78CF">
        <w:rPr>
          <w:strike/>
          <w:color w:val="FF0000"/>
          <w:lang w:val="en-US"/>
        </w:rPr>
        <w:tab/>
        <w:t>(1)</w:t>
      </w:r>
      <w:r w:rsidRPr="00BC78CF">
        <w:rPr>
          <w:strike/>
          <w:color w:val="FF0000"/>
          <w:lang w:val="en-US"/>
        </w:rPr>
        <w:tab/>
        <w:t xml:space="preserve">For this Part, a </w:t>
      </w:r>
      <w:r w:rsidRPr="00BC78CF">
        <w:rPr>
          <w:b/>
          <w:i/>
          <w:strike/>
          <w:color w:val="FF0000"/>
          <w:lang w:val="en-US"/>
        </w:rPr>
        <w:t>pre</w:t>
      </w:r>
      <w:r w:rsidRPr="00BC78CF">
        <w:rPr>
          <w:b/>
          <w:i/>
          <w:strike/>
          <w:color w:val="FF0000"/>
          <w:lang w:val="en-US"/>
        </w:rPr>
        <w:noBreakHyphen/>
        <w:t>approval option</w:t>
      </w:r>
      <w:r w:rsidRPr="00BC78CF">
        <w:rPr>
          <w:strike/>
          <w:color w:val="FF0000"/>
          <w:lang w:val="en-US"/>
        </w:rPr>
        <w:t xml:space="preserve"> applies to a joint account at a particular time if, at that time:</w:t>
      </w:r>
    </w:p>
    <w:p w14:paraId="42D038D8" w14:textId="77777777" w:rsidR="00CF0E3D" w:rsidRPr="00BC78CF" w:rsidRDefault="00CF0E3D" w:rsidP="00CF0E3D">
      <w:pPr>
        <w:pStyle w:val="paragraph"/>
        <w:rPr>
          <w:strike/>
          <w:color w:val="FF0000"/>
          <w:lang w:val="en-US"/>
        </w:rPr>
      </w:pPr>
      <w:r w:rsidRPr="00BC78CF">
        <w:rPr>
          <w:strike/>
          <w:color w:val="FF0000"/>
          <w:lang w:val="en-US"/>
        </w:rPr>
        <w:tab/>
        <w:t>(a)</w:t>
      </w:r>
      <w:r w:rsidRPr="00BC78CF">
        <w:rPr>
          <w:strike/>
          <w:color w:val="FF0000"/>
          <w:lang w:val="en-US"/>
        </w:rPr>
        <w:tab/>
        <w:t>all joint account holders have indicated that they would like that disclosure option to apply to the account; and</w:t>
      </w:r>
    </w:p>
    <w:p w14:paraId="492196AD" w14:textId="77777777" w:rsidR="00CF0E3D" w:rsidRPr="00BC78CF" w:rsidRDefault="00CF0E3D" w:rsidP="00CF0E3D">
      <w:pPr>
        <w:pStyle w:val="paragraph"/>
        <w:rPr>
          <w:strike/>
          <w:color w:val="FF0000"/>
          <w:lang w:val="en-US"/>
        </w:rPr>
      </w:pPr>
      <w:r w:rsidRPr="00BC78CF">
        <w:rPr>
          <w:strike/>
          <w:color w:val="FF0000"/>
          <w:lang w:val="en-US"/>
        </w:rPr>
        <w:tab/>
        <w:t>(b)</w:t>
      </w:r>
      <w:r w:rsidRPr="00BC78CF">
        <w:rPr>
          <w:strike/>
          <w:color w:val="FF0000"/>
          <w:lang w:val="en-US"/>
        </w:rPr>
        <w:tab/>
        <w:t>none has indicated that they no longer want that disclosure option to apply.</w:t>
      </w:r>
    </w:p>
    <w:p w14:paraId="289E4D61" w14:textId="77777777" w:rsidR="00CF0E3D" w:rsidRPr="00BC78CF" w:rsidRDefault="00CF0E3D" w:rsidP="00CF0E3D">
      <w:pPr>
        <w:pStyle w:val="subsection"/>
        <w:rPr>
          <w:strike/>
          <w:color w:val="FF0000"/>
          <w:lang w:val="en-US"/>
        </w:rPr>
      </w:pPr>
      <w:r w:rsidRPr="00BC78CF">
        <w:rPr>
          <w:strike/>
          <w:color w:val="FF0000"/>
          <w:lang w:val="en-US"/>
        </w:rPr>
        <w:tab/>
        <w:t>(2)</w:t>
      </w:r>
      <w:r w:rsidRPr="00BC78CF">
        <w:rPr>
          <w:strike/>
          <w:color w:val="FF0000"/>
          <w:lang w:val="en-US"/>
        </w:rPr>
        <w:tab/>
        <w:t xml:space="preserve">For this Part, a </w:t>
      </w:r>
      <w:r w:rsidRPr="00BC78CF">
        <w:rPr>
          <w:b/>
          <w:i/>
          <w:strike/>
          <w:color w:val="FF0000"/>
          <w:lang w:val="en-US"/>
        </w:rPr>
        <w:t>co</w:t>
      </w:r>
      <w:r w:rsidRPr="00BC78CF">
        <w:rPr>
          <w:b/>
          <w:i/>
          <w:strike/>
          <w:color w:val="FF0000"/>
          <w:lang w:val="en-US"/>
        </w:rPr>
        <w:noBreakHyphen/>
        <w:t xml:space="preserve">approval option </w:t>
      </w:r>
      <w:r w:rsidRPr="00BC78CF">
        <w:rPr>
          <w:strike/>
          <w:color w:val="FF0000"/>
          <w:lang w:val="en-US"/>
        </w:rPr>
        <w:t>applies to a joint account at a particular time if, at that time:</w:t>
      </w:r>
    </w:p>
    <w:p w14:paraId="5C0B569B" w14:textId="77777777" w:rsidR="00CF0E3D" w:rsidRPr="00BC78CF" w:rsidRDefault="00CF0E3D" w:rsidP="00CF0E3D">
      <w:pPr>
        <w:pStyle w:val="paragraph"/>
        <w:rPr>
          <w:strike/>
          <w:color w:val="FF0000"/>
          <w:lang w:val="en-US"/>
        </w:rPr>
      </w:pPr>
      <w:r w:rsidRPr="00BC78CF">
        <w:rPr>
          <w:strike/>
          <w:color w:val="FF0000"/>
          <w:lang w:val="en-US"/>
        </w:rPr>
        <w:tab/>
        <w:t>(a)</w:t>
      </w:r>
      <w:r w:rsidRPr="00BC78CF">
        <w:rPr>
          <w:strike/>
          <w:color w:val="FF0000"/>
          <w:lang w:val="en-US"/>
        </w:rPr>
        <w:tab/>
        <w:t>that disclosure option is offered on the account; and</w:t>
      </w:r>
    </w:p>
    <w:p w14:paraId="3A066661" w14:textId="77777777" w:rsidR="00CF0E3D" w:rsidRPr="00BC78CF" w:rsidRDefault="00CF0E3D" w:rsidP="00CF0E3D">
      <w:pPr>
        <w:pStyle w:val="paragraph"/>
        <w:rPr>
          <w:strike/>
          <w:color w:val="FF0000"/>
          <w:lang w:val="en-US"/>
        </w:rPr>
      </w:pPr>
      <w:r w:rsidRPr="00BC78CF">
        <w:rPr>
          <w:strike/>
          <w:color w:val="FF0000"/>
          <w:lang w:val="en-US"/>
        </w:rPr>
        <w:tab/>
        <w:t>(b)</w:t>
      </w:r>
      <w:r w:rsidRPr="00BC78CF">
        <w:rPr>
          <w:strike/>
          <w:color w:val="FF0000"/>
          <w:lang w:val="en-US"/>
        </w:rPr>
        <w:tab/>
        <w:t>all joint account holders have indicated that they would like that disclosure option to apply to the account; and</w:t>
      </w:r>
    </w:p>
    <w:p w14:paraId="22926A90" w14:textId="77777777" w:rsidR="00CF0E3D" w:rsidRPr="00BC78CF" w:rsidRDefault="00CF0E3D" w:rsidP="00CF0E3D">
      <w:pPr>
        <w:pStyle w:val="paragraph"/>
        <w:rPr>
          <w:strike/>
          <w:color w:val="FF0000"/>
          <w:lang w:val="en-US"/>
        </w:rPr>
      </w:pPr>
      <w:r w:rsidRPr="00BC78CF">
        <w:rPr>
          <w:strike/>
          <w:color w:val="FF0000"/>
          <w:lang w:val="en-US"/>
        </w:rPr>
        <w:tab/>
        <w:t>(c)</w:t>
      </w:r>
      <w:r w:rsidRPr="00BC78CF">
        <w:rPr>
          <w:strike/>
          <w:color w:val="FF0000"/>
          <w:lang w:val="en-US"/>
        </w:rPr>
        <w:tab/>
        <w:t>none has indicated that they no longer want that disclosure option to apply.</w:t>
      </w:r>
    </w:p>
    <w:p w14:paraId="660EC930" w14:textId="77777777" w:rsidR="00CF0E3D" w:rsidRPr="00BC78CF" w:rsidRDefault="00CF0E3D" w:rsidP="00CF0E3D">
      <w:pPr>
        <w:pStyle w:val="subsection"/>
        <w:rPr>
          <w:strike/>
          <w:color w:val="FF0000"/>
          <w:lang w:val="en-US"/>
        </w:rPr>
      </w:pPr>
      <w:r w:rsidRPr="00BC78CF">
        <w:rPr>
          <w:strike/>
          <w:color w:val="FF0000"/>
          <w:lang w:val="en-US"/>
        </w:rPr>
        <w:tab/>
        <w:t>(3)</w:t>
      </w:r>
      <w:r w:rsidRPr="00BC78CF">
        <w:rPr>
          <w:strike/>
          <w:color w:val="FF0000"/>
          <w:lang w:val="en-US"/>
        </w:rPr>
        <w:tab/>
        <w:t xml:space="preserve">For this Part, a </w:t>
      </w:r>
      <w:r w:rsidRPr="00BC78CF">
        <w:rPr>
          <w:b/>
          <w:i/>
          <w:strike/>
          <w:color w:val="FF0000"/>
          <w:lang w:val="en-US"/>
        </w:rPr>
        <w:t>disclosure option</w:t>
      </w:r>
      <w:r w:rsidRPr="00BC78CF">
        <w:rPr>
          <w:strike/>
          <w:color w:val="FF0000"/>
          <w:lang w:val="en-US"/>
        </w:rPr>
        <w:t xml:space="preserve"> applies to a joint account</w:t>
      </w:r>
      <w:r w:rsidRPr="00BC78CF">
        <w:rPr>
          <w:b/>
          <w:i/>
          <w:strike/>
          <w:color w:val="FF0000"/>
          <w:lang w:val="en-US"/>
        </w:rPr>
        <w:t xml:space="preserve"> </w:t>
      </w:r>
      <w:r w:rsidRPr="00BC78CF">
        <w:rPr>
          <w:strike/>
          <w:color w:val="FF0000"/>
          <w:lang w:val="en-US"/>
        </w:rPr>
        <w:t>if a pre</w:t>
      </w:r>
      <w:r w:rsidRPr="00BC78CF">
        <w:rPr>
          <w:strike/>
          <w:color w:val="FF0000"/>
          <w:lang w:val="en-US"/>
        </w:rPr>
        <w:noBreakHyphen/>
        <w:t>approval option or a co</w:t>
      </w:r>
      <w:r w:rsidRPr="00BC78CF">
        <w:rPr>
          <w:strike/>
          <w:color w:val="FF0000"/>
          <w:lang w:val="en-US"/>
        </w:rPr>
        <w:noBreakHyphen/>
        <w:t>approval option applies to the joint account.</w:t>
      </w:r>
    </w:p>
    <w:p w14:paraId="60491D16" w14:textId="77777777" w:rsidR="00CF0E3D" w:rsidRPr="00BC78CF" w:rsidRDefault="00CF0E3D" w:rsidP="00CF0E3D">
      <w:pPr>
        <w:pStyle w:val="ActHead5"/>
        <w:rPr>
          <w:strike/>
          <w:color w:val="FF0000"/>
          <w:lang w:val="en-US"/>
        </w:rPr>
      </w:pPr>
      <w:bookmarkStart w:id="639" w:name="_Toc51337627"/>
      <w:bookmarkStart w:id="640" w:name="_Toc57219200"/>
      <w:bookmarkStart w:id="641" w:name="_Toc59549185"/>
      <w:bookmarkStart w:id="642" w:name="_Toc74916337"/>
      <w:r w:rsidRPr="00BC78CF">
        <w:rPr>
          <w:strike/>
          <w:color w:val="FF0000"/>
          <w:lang w:val="en-US"/>
        </w:rPr>
        <w:t>4.6  Obligation to provide joint account management service</w:t>
      </w:r>
      <w:bookmarkEnd w:id="639"/>
      <w:bookmarkEnd w:id="640"/>
      <w:bookmarkEnd w:id="641"/>
      <w:bookmarkEnd w:id="642"/>
    </w:p>
    <w:p w14:paraId="6FEDCF59" w14:textId="77777777" w:rsidR="00CF0E3D" w:rsidRPr="00BC78CF" w:rsidRDefault="00CF0E3D" w:rsidP="00CF0E3D">
      <w:pPr>
        <w:pStyle w:val="SubsectionHead"/>
        <w:rPr>
          <w:strike/>
          <w:color w:val="FF0000"/>
          <w:lang w:val="en-US"/>
        </w:rPr>
      </w:pPr>
      <w:r w:rsidRPr="00BC78CF">
        <w:rPr>
          <w:strike/>
          <w:color w:val="FF0000"/>
          <w:lang w:val="en-US"/>
        </w:rPr>
        <w:t>Obligation to provide joint account management service</w:t>
      </w:r>
    </w:p>
    <w:p w14:paraId="11387AED" w14:textId="77777777" w:rsidR="00CF0E3D" w:rsidRPr="00BC78CF" w:rsidRDefault="00CF0E3D" w:rsidP="00CF0E3D">
      <w:pPr>
        <w:pStyle w:val="subsection"/>
        <w:rPr>
          <w:strike/>
          <w:color w:val="FF0000"/>
          <w:lang w:val="en-US"/>
        </w:rPr>
      </w:pPr>
      <w:r w:rsidRPr="00BC78CF">
        <w:rPr>
          <w:strike/>
          <w:color w:val="FF0000"/>
          <w:lang w:val="en-US"/>
        </w:rPr>
        <w:tab/>
        <w:t>(1)</w:t>
      </w:r>
      <w:r w:rsidRPr="00BC78CF">
        <w:rPr>
          <w:strike/>
          <w:color w:val="FF0000"/>
          <w:lang w:val="en-US"/>
        </w:rPr>
        <w:tab/>
        <w:t>For each joint account to which this Part applies, the data holder must provide a service to each joint account holder that:</w:t>
      </w:r>
    </w:p>
    <w:p w14:paraId="3ED097A9" w14:textId="77777777" w:rsidR="00CF0E3D" w:rsidRPr="00BC78CF" w:rsidRDefault="00CF0E3D" w:rsidP="00CF0E3D">
      <w:pPr>
        <w:pStyle w:val="paragraph"/>
        <w:rPr>
          <w:strike/>
          <w:color w:val="FF0000"/>
          <w:lang w:val="en-US"/>
        </w:rPr>
      </w:pPr>
      <w:r w:rsidRPr="00BC78CF">
        <w:rPr>
          <w:strike/>
          <w:color w:val="FF0000"/>
          <w:lang w:val="en-US"/>
        </w:rPr>
        <w:tab/>
        <w:t>(a)</w:t>
      </w:r>
      <w:r w:rsidRPr="00BC78CF">
        <w:rPr>
          <w:strike/>
          <w:color w:val="FF0000"/>
          <w:lang w:val="en-US"/>
        </w:rPr>
        <w:tab/>
        <w:t>allows the joint account holder to indicate whether they would like:</w:t>
      </w:r>
    </w:p>
    <w:p w14:paraId="635705C2" w14:textId="77777777" w:rsidR="00CF0E3D" w:rsidRPr="00BC78CF" w:rsidRDefault="00CF0E3D" w:rsidP="00CF0E3D">
      <w:pPr>
        <w:pStyle w:val="paragraphsub"/>
        <w:rPr>
          <w:strike/>
          <w:color w:val="FF0000"/>
          <w:lang w:val="en-US"/>
        </w:rPr>
      </w:pPr>
      <w:r w:rsidRPr="00BC78CF">
        <w:rPr>
          <w:strike/>
          <w:color w:val="FF0000"/>
          <w:lang w:val="en-US"/>
        </w:rPr>
        <w:tab/>
        <w:t>(i)</w:t>
      </w:r>
      <w:r w:rsidRPr="00BC78CF">
        <w:rPr>
          <w:strike/>
          <w:color w:val="FF0000"/>
          <w:lang w:val="en-US"/>
        </w:rPr>
        <w:tab/>
        <w:t>the pre</w:t>
      </w:r>
      <w:r w:rsidRPr="00BC78CF">
        <w:rPr>
          <w:strike/>
          <w:color w:val="FF0000"/>
          <w:lang w:val="en-US"/>
        </w:rPr>
        <w:noBreakHyphen/>
        <w:t>approval option to apply; or</w:t>
      </w:r>
    </w:p>
    <w:p w14:paraId="1C84DBBD" w14:textId="77777777" w:rsidR="00CF0E3D" w:rsidRPr="00BC78CF" w:rsidRDefault="00CF0E3D" w:rsidP="00CF0E3D">
      <w:pPr>
        <w:pStyle w:val="paragraphsub"/>
        <w:rPr>
          <w:strike/>
          <w:color w:val="FF0000"/>
          <w:lang w:val="en-US"/>
        </w:rPr>
      </w:pPr>
      <w:r w:rsidRPr="00BC78CF">
        <w:rPr>
          <w:strike/>
          <w:color w:val="FF0000"/>
          <w:lang w:val="en-US"/>
        </w:rPr>
        <w:tab/>
        <w:t>(ii)</w:t>
      </w:r>
      <w:r w:rsidRPr="00BC78CF">
        <w:rPr>
          <w:strike/>
          <w:color w:val="FF0000"/>
          <w:lang w:val="en-US"/>
        </w:rPr>
        <w:tab/>
        <w:t>if offered by the data holder―the co</w:t>
      </w:r>
      <w:r w:rsidRPr="00BC78CF">
        <w:rPr>
          <w:strike/>
          <w:color w:val="FF0000"/>
          <w:lang w:val="en-US"/>
        </w:rPr>
        <w:noBreakHyphen/>
        <w:t>approval option to apply; and</w:t>
      </w:r>
    </w:p>
    <w:p w14:paraId="2FEEA998" w14:textId="77777777" w:rsidR="00CF0E3D" w:rsidRPr="00BC78CF" w:rsidRDefault="00CF0E3D" w:rsidP="00CF0E3D">
      <w:pPr>
        <w:pStyle w:val="paragraph"/>
        <w:rPr>
          <w:strike/>
          <w:color w:val="FF0000"/>
          <w:lang w:val="en-US"/>
        </w:rPr>
      </w:pPr>
      <w:r w:rsidRPr="00BC78CF">
        <w:rPr>
          <w:strike/>
          <w:color w:val="FF0000"/>
          <w:lang w:val="en-US"/>
        </w:rPr>
        <w:tab/>
        <w:t>(b)</w:t>
      </w:r>
      <w:r w:rsidRPr="00BC78CF">
        <w:rPr>
          <w:strike/>
          <w:color w:val="FF0000"/>
          <w:lang w:val="en-US"/>
        </w:rPr>
        <w:tab/>
        <w:t>allows the joint account holder to indicate whether they would like a different disclosure option, or no disclosure option, to apply; and</w:t>
      </w:r>
    </w:p>
    <w:p w14:paraId="71ECEE14" w14:textId="77777777" w:rsidR="00CF0E3D" w:rsidRPr="00BC78CF" w:rsidRDefault="00CF0E3D" w:rsidP="00CF0E3D">
      <w:pPr>
        <w:pStyle w:val="paragraph"/>
        <w:rPr>
          <w:strike/>
          <w:color w:val="FF0000"/>
          <w:lang w:val="en-US"/>
        </w:rPr>
      </w:pPr>
      <w:r w:rsidRPr="00BC78CF">
        <w:rPr>
          <w:strike/>
          <w:color w:val="FF0000"/>
          <w:lang w:val="en-US"/>
        </w:rPr>
        <w:tab/>
        <w:t>(c)</w:t>
      </w:r>
      <w:r w:rsidRPr="00BC78CF">
        <w:rPr>
          <w:strike/>
          <w:color w:val="FF0000"/>
          <w:lang w:val="en-US"/>
        </w:rPr>
        <w:tab/>
        <w:t>complies with this clause.</w:t>
      </w:r>
    </w:p>
    <w:p w14:paraId="29766882" w14:textId="77777777" w:rsidR="00CF0E3D" w:rsidRPr="00BC78CF" w:rsidRDefault="00CF0E3D" w:rsidP="00CF0E3D">
      <w:pPr>
        <w:pStyle w:val="notetext"/>
        <w:rPr>
          <w:strike/>
          <w:color w:val="FF0000"/>
        </w:rPr>
      </w:pPr>
      <w:r w:rsidRPr="00BC78CF">
        <w:rPr>
          <w:strike/>
          <w:color w:val="FF0000"/>
        </w:rPr>
        <w:t>Note 1:</w:t>
      </w:r>
      <w:r w:rsidRPr="00BC78CF">
        <w:rPr>
          <w:strike/>
          <w:color w:val="FF0000"/>
        </w:rPr>
        <w:tab/>
        <w:t>This subclause is a civil penalty provision (see rule 9.8).</w:t>
      </w:r>
    </w:p>
    <w:p w14:paraId="3E9404CA" w14:textId="77777777" w:rsidR="00CF0E3D" w:rsidRPr="00BC78CF" w:rsidRDefault="00CF0E3D" w:rsidP="00CF0E3D">
      <w:pPr>
        <w:pStyle w:val="notetext"/>
        <w:rPr>
          <w:strike/>
          <w:color w:val="FF0000"/>
        </w:rPr>
      </w:pPr>
      <w:r w:rsidRPr="00BC78CF">
        <w:rPr>
          <w:strike/>
          <w:color w:val="FF0000"/>
        </w:rPr>
        <w:t>Note 2:</w:t>
      </w:r>
      <w:r w:rsidRPr="00BC78CF">
        <w:rPr>
          <w:strike/>
          <w:color w:val="FF0000"/>
        </w:rPr>
        <w:tab/>
      </w:r>
      <w:r w:rsidRPr="00BC78CF">
        <w:rPr>
          <w:strike/>
          <w:color w:val="FF0000"/>
          <w:lang w:val="en-US"/>
        </w:rPr>
        <w:t xml:space="preserve">All </w:t>
      </w:r>
      <w:r w:rsidRPr="00BC78CF">
        <w:rPr>
          <w:strike/>
          <w:color w:val="FF0000"/>
        </w:rPr>
        <w:t>joint account holders must indicate that they would like the same disclosure option to apply in order for the disclosure option to apply to the joint account: see subclauses 4.5(1) and (2) of this Schedule.</w:t>
      </w:r>
    </w:p>
    <w:p w14:paraId="4F8890C0" w14:textId="77777777" w:rsidR="00CF0E3D" w:rsidRPr="00BC78CF" w:rsidRDefault="00CF0E3D" w:rsidP="00CF0E3D">
      <w:pPr>
        <w:pStyle w:val="subsection"/>
        <w:rPr>
          <w:strike/>
          <w:color w:val="FF0000"/>
        </w:rPr>
      </w:pPr>
      <w:r w:rsidRPr="00BC78CF">
        <w:rPr>
          <w:strike/>
          <w:color w:val="FF0000"/>
        </w:rPr>
        <w:tab/>
        <w:t>(2)</w:t>
      </w:r>
      <w:r w:rsidRPr="00BC78CF">
        <w:rPr>
          <w:strike/>
          <w:color w:val="FF0000"/>
        </w:rPr>
        <w:tab/>
        <w:t xml:space="preserve">Such a service is a </w:t>
      </w:r>
      <w:r w:rsidRPr="00BC78CF">
        <w:rPr>
          <w:b/>
          <w:i/>
          <w:strike/>
          <w:color w:val="FF0000"/>
        </w:rPr>
        <w:t>joint account management service</w:t>
      </w:r>
      <w:r w:rsidRPr="00BC78CF">
        <w:rPr>
          <w:strike/>
          <w:color w:val="FF0000"/>
        </w:rPr>
        <w:t>.</w:t>
      </w:r>
    </w:p>
    <w:p w14:paraId="4525E7A6" w14:textId="77777777" w:rsidR="00CF0E3D" w:rsidRPr="00BC78CF" w:rsidRDefault="00CF0E3D" w:rsidP="00CF0E3D">
      <w:pPr>
        <w:pStyle w:val="SubsectionHead"/>
        <w:rPr>
          <w:strike/>
          <w:color w:val="FF0000"/>
        </w:rPr>
      </w:pPr>
      <w:r w:rsidRPr="00BC78CF">
        <w:rPr>
          <w:strike/>
          <w:color w:val="FF0000"/>
        </w:rPr>
        <w:t>Requirements for joint account management service</w:t>
      </w:r>
    </w:p>
    <w:p w14:paraId="5A34933C" w14:textId="77777777" w:rsidR="00CF0E3D" w:rsidRPr="00BC78CF" w:rsidRDefault="00CF0E3D" w:rsidP="00CF0E3D">
      <w:pPr>
        <w:pStyle w:val="subsection"/>
        <w:rPr>
          <w:strike/>
          <w:color w:val="FF0000"/>
        </w:rPr>
      </w:pPr>
      <w:r w:rsidRPr="00BC78CF">
        <w:rPr>
          <w:strike/>
          <w:color w:val="FF0000"/>
        </w:rPr>
        <w:tab/>
        <w:t>(3)</w:t>
      </w:r>
      <w:r w:rsidRPr="00BC78CF">
        <w:rPr>
          <w:strike/>
          <w:color w:val="FF0000"/>
        </w:rPr>
        <w:tab/>
        <w:t>The service must be provided online and, if there is a data holder’s consumer dashboard for a joint account holder, may be included in the dashboard.</w:t>
      </w:r>
    </w:p>
    <w:p w14:paraId="2E014D06" w14:textId="77777777" w:rsidR="00CF0E3D" w:rsidRPr="00BC78CF" w:rsidRDefault="00CF0E3D" w:rsidP="00CF0E3D">
      <w:pPr>
        <w:pStyle w:val="subsection"/>
        <w:rPr>
          <w:strike/>
          <w:color w:val="FF0000"/>
        </w:rPr>
      </w:pPr>
      <w:r w:rsidRPr="00BC78CF">
        <w:rPr>
          <w:strike/>
          <w:color w:val="FF0000"/>
        </w:rPr>
        <w:tab/>
        <w:t>(4)</w:t>
      </w:r>
      <w:r w:rsidRPr="00BC78CF">
        <w:rPr>
          <w:strike/>
          <w:color w:val="FF0000"/>
        </w:rPr>
        <w:tab/>
        <w:t>The service may, but need not, also be provided other than online.</w:t>
      </w:r>
    </w:p>
    <w:p w14:paraId="02F4AC0F" w14:textId="77777777" w:rsidR="00CF0E3D" w:rsidRPr="00BC78CF" w:rsidRDefault="00CF0E3D" w:rsidP="00CF0E3D">
      <w:pPr>
        <w:pStyle w:val="subsection"/>
        <w:rPr>
          <w:strike/>
          <w:color w:val="FF0000"/>
        </w:rPr>
      </w:pPr>
      <w:r w:rsidRPr="00BC78CF">
        <w:rPr>
          <w:strike/>
          <w:color w:val="FF0000"/>
        </w:rPr>
        <w:tab/>
        <w:t>(5)</w:t>
      </w:r>
      <w:r w:rsidRPr="00BC78CF">
        <w:rPr>
          <w:strike/>
          <w:color w:val="FF0000"/>
        </w:rPr>
        <w:tab/>
        <w:t>The service must give effect to a disclosure option applying or no longer applying as soon as practicable.</w:t>
      </w:r>
    </w:p>
    <w:p w14:paraId="7F797CDC" w14:textId="77777777" w:rsidR="00CF0E3D" w:rsidRPr="00BC78CF" w:rsidRDefault="00CF0E3D" w:rsidP="00CF0E3D">
      <w:pPr>
        <w:pStyle w:val="subsection"/>
        <w:rPr>
          <w:strike/>
          <w:color w:val="FF0000"/>
        </w:rPr>
      </w:pPr>
      <w:r w:rsidRPr="00BC78CF">
        <w:rPr>
          <w:strike/>
          <w:color w:val="FF0000"/>
        </w:rPr>
        <w:tab/>
        <w:t>(6)</w:t>
      </w:r>
      <w:r w:rsidRPr="00BC78CF">
        <w:rPr>
          <w:strike/>
          <w:color w:val="FF0000"/>
        </w:rPr>
        <w:tab/>
        <w:t>The service must not, when allowing joint account holders to indicate which disclosure option they would like to apply, do any of the following:</w:t>
      </w:r>
    </w:p>
    <w:p w14:paraId="72B7F3B7"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add any requirements to the process beyond those specified in the data standards and these rules;</w:t>
      </w:r>
    </w:p>
    <w:p w14:paraId="160DA4B3"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offer additional or alternative services as part of the process;</w:t>
      </w:r>
    </w:p>
    <w:p w14:paraId="24742C30" w14:textId="77777777" w:rsidR="00CF0E3D" w:rsidRPr="00BC78CF" w:rsidRDefault="00CF0E3D" w:rsidP="00CF0E3D">
      <w:pPr>
        <w:pStyle w:val="paragraph"/>
        <w:rPr>
          <w:strike/>
          <w:color w:val="FF0000"/>
          <w:szCs w:val="22"/>
          <w:shd w:val="clear" w:color="auto" w:fill="FFFFFF"/>
        </w:rPr>
      </w:pPr>
      <w:r w:rsidRPr="00BC78CF">
        <w:rPr>
          <w:strike/>
          <w:color w:val="FF0000"/>
        </w:rPr>
        <w:tab/>
        <w:t>(c)</w:t>
      </w:r>
      <w:r w:rsidRPr="00BC78CF">
        <w:rPr>
          <w:strike/>
          <w:color w:val="FF0000"/>
        </w:rPr>
        <w:tab/>
        <w:t xml:space="preserve">include or refer to other documents, or provide any other information, </w:t>
      </w:r>
      <w:r w:rsidRPr="00BC78CF">
        <w:rPr>
          <w:strike/>
          <w:color w:val="FF0000"/>
          <w:szCs w:val="22"/>
          <w:shd w:val="clear" w:color="auto" w:fill="FFFFFF"/>
        </w:rPr>
        <w:t>so as to reduce comprehensibility;</w:t>
      </w:r>
    </w:p>
    <w:p w14:paraId="17CFFA04" w14:textId="77777777" w:rsidR="00CF0E3D" w:rsidRPr="00BC78CF" w:rsidRDefault="00CF0E3D" w:rsidP="00CF0E3D">
      <w:pPr>
        <w:pStyle w:val="paragraph"/>
        <w:rPr>
          <w:strike/>
          <w:color w:val="FF0000"/>
        </w:rPr>
      </w:pPr>
      <w:r w:rsidRPr="00BC78CF">
        <w:rPr>
          <w:strike/>
          <w:color w:val="FF0000"/>
        </w:rPr>
        <w:tab/>
        <w:t>(d)</w:t>
      </w:r>
      <w:r w:rsidRPr="00BC78CF">
        <w:rPr>
          <w:strike/>
          <w:color w:val="FF0000"/>
        </w:rPr>
        <w:tab/>
        <w:t>offer any pre</w:t>
      </w:r>
      <w:r w:rsidRPr="00BC78CF">
        <w:rPr>
          <w:strike/>
          <w:color w:val="FF0000"/>
        </w:rPr>
        <w:noBreakHyphen/>
        <w:t>selected options.</w:t>
      </w:r>
    </w:p>
    <w:p w14:paraId="20B7375C" w14:textId="77777777" w:rsidR="00CF0E3D" w:rsidRPr="00BC78CF" w:rsidRDefault="00CF0E3D" w:rsidP="00CF0E3D">
      <w:pPr>
        <w:pStyle w:val="subsection"/>
        <w:rPr>
          <w:strike/>
          <w:color w:val="FF0000"/>
        </w:rPr>
      </w:pPr>
      <w:r w:rsidRPr="00BC78CF">
        <w:rPr>
          <w:strike/>
          <w:color w:val="FF0000"/>
        </w:rPr>
        <w:tab/>
        <w:t>(7)</w:t>
      </w:r>
      <w:r w:rsidRPr="00BC78CF">
        <w:rPr>
          <w:strike/>
          <w:color w:val="FF0000"/>
        </w:rPr>
        <w:tab/>
        <w:t>The service must, when allowing a joint account holder to indicate which disclosure option they would like to apply, notify them:</w:t>
      </w:r>
    </w:p>
    <w:p w14:paraId="2FD377F9"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of the following information about each disclosure option offered using the service:</w:t>
      </w:r>
    </w:p>
    <w:p w14:paraId="5EAE6418" w14:textId="77777777" w:rsidR="00CF0E3D" w:rsidRPr="00BC78CF" w:rsidRDefault="00CF0E3D" w:rsidP="00CF0E3D">
      <w:pPr>
        <w:pStyle w:val="paragraphsub"/>
        <w:rPr>
          <w:strike/>
          <w:color w:val="FF0000"/>
        </w:rPr>
      </w:pPr>
      <w:r w:rsidRPr="00BC78CF">
        <w:rPr>
          <w:strike/>
          <w:color w:val="FF0000"/>
        </w:rPr>
        <w:tab/>
        <w:t>(i)</w:t>
      </w:r>
      <w:r w:rsidRPr="00BC78CF">
        <w:rPr>
          <w:strike/>
          <w:color w:val="FF0000"/>
        </w:rPr>
        <w:tab/>
        <w:t>what the effect of the disclosure option applying is;</w:t>
      </w:r>
    </w:p>
    <w:p w14:paraId="6342E859" w14:textId="77777777" w:rsidR="00CF0E3D" w:rsidRPr="00BC78CF" w:rsidRDefault="00CF0E3D" w:rsidP="00CF0E3D">
      <w:pPr>
        <w:pStyle w:val="paragraphsub"/>
        <w:rPr>
          <w:strike/>
          <w:color w:val="FF0000"/>
        </w:rPr>
      </w:pPr>
      <w:r w:rsidRPr="00BC78CF">
        <w:rPr>
          <w:strike/>
          <w:color w:val="FF0000"/>
        </w:rPr>
        <w:tab/>
        <w:t>(ii)</w:t>
      </w:r>
      <w:r w:rsidRPr="00BC78CF">
        <w:rPr>
          <w:strike/>
          <w:color w:val="FF0000"/>
        </w:rPr>
        <w:tab/>
        <w:t>that they can indicate at any time that they would no longer like the disclosure option to apply;</w:t>
      </w:r>
    </w:p>
    <w:p w14:paraId="18D8934C" w14:textId="77777777" w:rsidR="00CF0E3D" w:rsidRPr="00BC78CF" w:rsidRDefault="00CF0E3D" w:rsidP="00CF0E3D">
      <w:pPr>
        <w:pStyle w:val="paragraphsub"/>
        <w:rPr>
          <w:strike/>
          <w:color w:val="FF0000"/>
        </w:rPr>
      </w:pPr>
      <w:r w:rsidRPr="00BC78CF">
        <w:rPr>
          <w:strike/>
          <w:color w:val="FF0000"/>
        </w:rPr>
        <w:tab/>
        <w:t>(iii)</w:t>
      </w:r>
      <w:r w:rsidRPr="00BC78CF">
        <w:rPr>
          <w:strike/>
          <w:color w:val="FF0000"/>
        </w:rPr>
        <w:tab/>
        <w:t>how they can indicate this;</w:t>
      </w:r>
    </w:p>
    <w:p w14:paraId="479792D7" w14:textId="77777777" w:rsidR="00CF0E3D" w:rsidRPr="00BC78CF" w:rsidRDefault="00CF0E3D" w:rsidP="00CF0E3D">
      <w:pPr>
        <w:pStyle w:val="paragraphsub"/>
        <w:rPr>
          <w:strike/>
          <w:color w:val="FF0000"/>
        </w:rPr>
      </w:pPr>
      <w:r w:rsidRPr="00BC78CF">
        <w:rPr>
          <w:strike/>
          <w:color w:val="FF0000"/>
        </w:rPr>
        <w:tab/>
        <w:t>(iv)</w:t>
      </w:r>
      <w:r w:rsidRPr="00BC78CF">
        <w:rPr>
          <w:strike/>
          <w:color w:val="FF0000"/>
        </w:rPr>
        <w:tab/>
        <w:t xml:space="preserve">what the effect of indicating this is; </w:t>
      </w:r>
    </w:p>
    <w:p w14:paraId="1CE91FD8" w14:textId="77777777" w:rsidR="00CF0E3D" w:rsidRPr="00BC78CF" w:rsidRDefault="00CF0E3D" w:rsidP="00CF0E3D">
      <w:pPr>
        <w:pStyle w:val="paragraphsub"/>
        <w:rPr>
          <w:strike/>
          <w:color w:val="FF0000"/>
        </w:rPr>
      </w:pPr>
      <w:r w:rsidRPr="00BC78CF">
        <w:rPr>
          <w:strike/>
          <w:color w:val="FF0000"/>
        </w:rPr>
        <w:tab/>
        <w:t>(v)</w:t>
      </w:r>
      <w:r w:rsidRPr="00BC78CF">
        <w:rPr>
          <w:strike/>
          <w:color w:val="FF0000"/>
        </w:rPr>
        <w:tab/>
        <w:t>how the disclosure option operates if there is a secondary user for the joint account; and</w:t>
      </w:r>
    </w:p>
    <w:p w14:paraId="36775DDD"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if more than one disclosure option is available―of the difference between the available disclosure options; and</w:t>
      </w:r>
    </w:p>
    <w:p w14:paraId="1C58AA33" w14:textId="77777777" w:rsidR="00CF0E3D" w:rsidRPr="00BC78CF" w:rsidRDefault="00CF0E3D" w:rsidP="00CF0E3D">
      <w:pPr>
        <w:pStyle w:val="paragraph"/>
        <w:rPr>
          <w:strike/>
          <w:color w:val="FF0000"/>
        </w:rPr>
      </w:pPr>
      <w:r w:rsidRPr="00BC78CF">
        <w:rPr>
          <w:strike/>
          <w:color w:val="FF0000"/>
        </w:rPr>
        <w:tab/>
        <w:t>(c)</w:t>
      </w:r>
      <w:r w:rsidRPr="00BC78CF">
        <w:rPr>
          <w:strike/>
          <w:color w:val="FF0000"/>
        </w:rPr>
        <w:tab/>
        <w:t>that, if joint account holders do not indicate that they would like the same disclosure option to apply to the joint account, disclosure of joint account data relating to the account will ordinarily not be authorised under these rules; and</w:t>
      </w:r>
    </w:p>
    <w:p w14:paraId="108621E0" w14:textId="77777777" w:rsidR="00CF0E3D" w:rsidRPr="00BC78CF" w:rsidRDefault="00CF0E3D" w:rsidP="00CF0E3D">
      <w:pPr>
        <w:pStyle w:val="paragraph"/>
        <w:rPr>
          <w:strike/>
          <w:color w:val="FF0000"/>
        </w:rPr>
      </w:pPr>
      <w:r w:rsidRPr="00BC78CF">
        <w:rPr>
          <w:strike/>
          <w:color w:val="FF0000"/>
        </w:rPr>
        <w:tab/>
        <w:t>(d)</w:t>
      </w:r>
      <w:r w:rsidRPr="00BC78CF">
        <w:rPr>
          <w:strike/>
          <w:color w:val="FF0000"/>
        </w:rPr>
        <w:tab/>
        <w:t xml:space="preserve">that when CDR data relating to the joint account is disclosed under these rules, the data holder will ordinarily provide </w:t>
      </w:r>
      <w:r w:rsidRPr="00BC78CF">
        <w:rPr>
          <w:strike/>
          <w:color w:val="FF0000"/>
          <w:lang w:val="en-US"/>
        </w:rPr>
        <w:t xml:space="preserve">each </w:t>
      </w:r>
      <w:r w:rsidRPr="00BC78CF">
        <w:rPr>
          <w:strike/>
          <w:color w:val="FF0000"/>
        </w:rPr>
        <w:t>joint account holder and, if applicable, each secondary user, with a consumer dashboard through which they will be able to see information about the disclosure.</w:t>
      </w:r>
    </w:p>
    <w:p w14:paraId="04CE3C76" w14:textId="77777777" w:rsidR="00CF0E3D" w:rsidRPr="00BC78CF" w:rsidRDefault="00CF0E3D" w:rsidP="00CF0E3D">
      <w:pPr>
        <w:pStyle w:val="subsection"/>
        <w:rPr>
          <w:strike/>
          <w:color w:val="FF0000"/>
        </w:rPr>
      </w:pPr>
      <w:r w:rsidRPr="00BC78CF">
        <w:rPr>
          <w:strike/>
          <w:color w:val="FF0000"/>
        </w:rPr>
        <w:tab/>
        <w:t>(8)</w:t>
      </w:r>
      <w:r w:rsidRPr="00BC78CF">
        <w:rPr>
          <w:strike/>
          <w:color w:val="FF0000"/>
        </w:rPr>
        <w:tab/>
        <w:t>The service must be in accordance with the data standards.</w:t>
      </w:r>
    </w:p>
    <w:p w14:paraId="76F2232D" w14:textId="77777777" w:rsidR="00CF0E3D" w:rsidRPr="00BC78CF" w:rsidRDefault="00CF0E3D" w:rsidP="00CF0E3D">
      <w:pPr>
        <w:pStyle w:val="ActHead5"/>
        <w:rPr>
          <w:strike/>
          <w:color w:val="FF0000"/>
        </w:rPr>
      </w:pPr>
      <w:bookmarkStart w:id="643" w:name="_Toc51337628"/>
      <w:bookmarkStart w:id="644" w:name="_Toc57219201"/>
      <w:bookmarkStart w:id="645" w:name="_Toc59549186"/>
      <w:bookmarkStart w:id="646" w:name="_Toc74916338"/>
      <w:r w:rsidRPr="00BC78CF">
        <w:rPr>
          <w:strike/>
          <w:color w:val="FF0000"/>
        </w:rPr>
        <w:t>4.7  Asking other joint account holders to indicate disclosure option for joint account</w:t>
      </w:r>
      <w:bookmarkEnd w:id="643"/>
      <w:bookmarkEnd w:id="644"/>
      <w:bookmarkEnd w:id="645"/>
      <w:bookmarkEnd w:id="646"/>
    </w:p>
    <w:p w14:paraId="423C6AE9" w14:textId="77777777" w:rsidR="00CF0E3D" w:rsidRPr="00BC78CF" w:rsidRDefault="00CF0E3D" w:rsidP="00CF0E3D">
      <w:pPr>
        <w:pStyle w:val="SubsectionHead"/>
        <w:rPr>
          <w:strike/>
          <w:color w:val="FF0000"/>
        </w:rPr>
      </w:pPr>
      <w:r w:rsidRPr="00BC78CF">
        <w:rPr>
          <w:strike/>
          <w:color w:val="FF0000"/>
        </w:rPr>
        <w:t>Application of clause</w:t>
      </w:r>
    </w:p>
    <w:p w14:paraId="22DE4656" w14:textId="77777777" w:rsidR="00CF0E3D" w:rsidRPr="00BC78CF" w:rsidRDefault="00CF0E3D" w:rsidP="00CF0E3D">
      <w:pPr>
        <w:pStyle w:val="subsection"/>
        <w:rPr>
          <w:strike/>
          <w:color w:val="FF0000"/>
        </w:rPr>
      </w:pPr>
      <w:r w:rsidRPr="00BC78CF">
        <w:rPr>
          <w:strike/>
          <w:color w:val="FF0000"/>
        </w:rPr>
        <w:tab/>
        <w:t>(1)</w:t>
      </w:r>
      <w:r w:rsidRPr="00BC78CF">
        <w:rPr>
          <w:strike/>
          <w:color w:val="FF0000"/>
        </w:rPr>
        <w:tab/>
        <w:t>This clause applies in relation to a particular joint account to which this Part applies if a joint account holder (</w:t>
      </w:r>
      <w:r w:rsidRPr="00BC78CF">
        <w:rPr>
          <w:b/>
          <w:i/>
          <w:strike/>
          <w:color w:val="FF0000"/>
        </w:rPr>
        <w:t>account holder A</w:t>
      </w:r>
      <w:r w:rsidRPr="00BC78CF">
        <w:rPr>
          <w:strike/>
          <w:color w:val="FF0000"/>
        </w:rPr>
        <w:t>) indicates, using the joint account management service, that they would like:</w:t>
      </w:r>
    </w:p>
    <w:p w14:paraId="443D14FA"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if no disclosure option applies to the account―a particular disclosure option to apply; or</w:t>
      </w:r>
    </w:p>
    <w:p w14:paraId="765A9C73"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if a disclosure option applies to the account―a different, or no, disclosure option to apply.</w:t>
      </w:r>
    </w:p>
    <w:p w14:paraId="0D30DB9F" w14:textId="77777777" w:rsidR="00CF0E3D" w:rsidRPr="00BC78CF" w:rsidRDefault="00CF0E3D" w:rsidP="00CF0E3D">
      <w:pPr>
        <w:pStyle w:val="SubsectionHead"/>
        <w:rPr>
          <w:strike/>
          <w:color w:val="FF0000"/>
        </w:rPr>
      </w:pPr>
      <w:r w:rsidRPr="00BC78CF">
        <w:rPr>
          <w:strike/>
          <w:color w:val="FF0000"/>
        </w:rPr>
        <w:t>Obligation to invite other account holders to indicate disclosure option</w:t>
      </w:r>
    </w:p>
    <w:p w14:paraId="26660F59" w14:textId="77777777" w:rsidR="00CF0E3D" w:rsidRPr="00BC78CF" w:rsidRDefault="00CF0E3D" w:rsidP="00CF0E3D">
      <w:pPr>
        <w:pStyle w:val="subsection"/>
        <w:rPr>
          <w:strike/>
          <w:color w:val="FF0000"/>
        </w:rPr>
      </w:pPr>
      <w:r w:rsidRPr="00BC78CF">
        <w:rPr>
          <w:strike/>
          <w:color w:val="FF0000"/>
        </w:rPr>
        <w:tab/>
        <w:t>(2)</w:t>
      </w:r>
      <w:r w:rsidRPr="00BC78CF">
        <w:rPr>
          <w:strike/>
          <w:color w:val="FF0000"/>
        </w:rPr>
        <w:tab/>
        <w:t>The data holder must, through its ordinary methods for contacting the other joint account holders:</w:t>
      </w:r>
    </w:p>
    <w:p w14:paraId="34677FBB"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explain to each of them what the consumer data right is; and</w:t>
      </w:r>
    </w:p>
    <w:p w14:paraId="019BFDD5"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inform them that account holder A has indicated that they would like the disclosure option referred to in subclause (1), or no disclosure option, to apply to the account, as applicable; and</w:t>
      </w:r>
    </w:p>
    <w:p w14:paraId="58658023" w14:textId="77777777" w:rsidR="00CF0E3D" w:rsidRPr="00BC78CF" w:rsidRDefault="00CF0E3D" w:rsidP="00CF0E3D">
      <w:pPr>
        <w:pStyle w:val="paragraph"/>
        <w:rPr>
          <w:strike/>
          <w:color w:val="FF0000"/>
        </w:rPr>
      </w:pPr>
      <w:r w:rsidRPr="00BC78CF">
        <w:rPr>
          <w:strike/>
          <w:color w:val="FF0000"/>
        </w:rPr>
        <w:tab/>
        <w:t>(c)</w:t>
      </w:r>
      <w:r w:rsidRPr="00BC78CF">
        <w:rPr>
          <w:strike/>
          <w:color w:val="FF0000"/>
        </w:rPr>
        <w:tab/>
        <w:t>inform them that, at present, no disclosure option applies to the account; and</w:t>
      </w:r>
    </w:p>
    <w:p w14:paraId="48F19B8D" w14:textId="77777777" w:rsidR="00CF0E3D" w:rsidRPr="00BC78CF" w:rsidRDefault="00CF0E3D" w:rsidP="00CF0E3D">
      <w:pPr>
        <w:pStyle w:val="paragraph"/>
        <w:rPr>
          <w:strike/>
          <w:color w:val="FF0000"/>
        </w:rPr>
      </w:pPr>
      <w:r w:rsidRPr="00BC78CF">
        <w:rPr>
          <w:strike/>
          <w:color w:val="FF0000"/>
        </w:rPr>
        <w:tab/>
        <w:t>(d)</w:t>
      </w:r>
      <w:r w:rsidRPr="00BC78CF">
        <w:rPr>
          <w:strike/>
          <w:color w:val="FF0000"/>
        </w:rPr>
        <w:tab/>
        <w:t>explain to them that no disclosure option will apply to the account unless all account holders have indicated that they would like the same disclosure option to apply; and</w:t>
      </w:r>
    </w:p>
    <w:p w14:paraId="77E9578C" w14:textId="77777777" w:rsidR="00CF0E3D" w:rsidRPr="00BC78CF" w:rsidRDefault="00CF0E3D" w:rsidP="00CF0E3D">
      <w:pPr>
        <w:pStyle w:val="paragraph"/>
        <w:rPr>
          <w:strike/>
          <w:color w:val="FF0000"/>
        </w:rPr>
      </w:pPr>
      <w:r w:rsidRPr="00BC78CF">
        <w:rPr>
          <w:strike/>
          <w:color w:val="FF0000"/>
        </w:rPr>
        <w:tab/>
        <w:t>(e)</w:t>
      </w:r>
      <w:r w:rsidRPr="00BC78CF">
        <w:rPr>
          <w:strike/>
          <w:color w:val="FF0000"/>
        </w:rPr>
        <w:tab/>
        <w:t>if account holder A selected a particular disclosure option―invite them to indicate that they would like the same disclosure option as indicated by account holder A to apply to the account; and</w:t>
      </w:r>
    </w:p>
    <w:p w14:paraId="4DD08235" w14:textId="77777777" w:rsidR="00CF0E3D" w:rsidRPr="00BC78CF" w:rsidRDefault="00CF0E3D" w:rsidP="00CF0E3D">
      <w:pPr>
        <w:pStyle w:val="paragraph"/>
        <w:rPr>
          <w:strike/>
          <w:color w:val="FF0000"/>
        </w:rPr>
      </w:pPr>
      <w:r w:rsidRPr="00BC78CF">
        <w:rPr>
          <w:strike/>
          <w:color w:val="FF0000"/>
        </w:rPr>
        <w:tab/>
        <w:t xml:space="preserve"> (f)</w:t>
      </w:r>
      <w:r w:rsidRPr="00BC78CF">
        <w:rPr>
          <w:strike/>
          <w:color w:val="FF0000"/>
        </w:rPr>
        <w:tab/>
        <w:t>if account holder A gave an indication pursuant to clause 4.10 of this Schedule—identify the accredited person.</w:t>
      </w:r>
    </w:p>
    <w:p w14:paraId="531FF7E8" w14:textId="77777777" w:rsidR="00CF0E3D" w:rsidRPr="00BC78CF" w:rsidRDefault="00CF0E3D" w:rsidP="00CF0E3D">
      <w:pPr>
        <w:pStyle w:val="notetext"/>
        <w:rPr>
          <w:strike/>
          <w:color w:val="FF0000"/>
        </w:rPr>
      </w:pPr>
      <w:r w:rsidRPr="00BC78CF">
        <w:rPr>
          <w:strike/>
          <w:color w:val="FF0000"/>
        </w:rPr>
        <w:t>Note:</w:t>
      </w:r>
      <w:r w:rsidRPr="00BC78CF">
        <w:rPr>
          <w:strike/>
          <w:color w:val="FF0000"/>
        </w:rPr>
        <w:tab/>
        <w:t>This subclause is a civil penalty provision (see rule 9.8).</w:t>
      </w:r>
    </w:p>
    <w:p w14:paraId="0C765228" w14:textId="77777777" w:rsidR="00CF0E3D" w:rsidRPr="00BC78CF" w:rsidRDefault="00CF0E3D" w:rsidP="00CF0E3D">
      <w:pPr>
        <w:pStyle w:val="ActHead3"/>
        <w:rPr>
          <w:strike/>
          <w:color w:val="FF0000"/>
        </w:rPr>
      </w:pPr>
      <w:bookmarkStart w:id="647" w:name="_Toc51337629"/>
      <w:bookmarkStart w:id="648" w:name="_Toc50633231"/>
      <w:bookmarkStart w:id="649" w:name="_Toc57219202"/>
      <w:bookmarkStart w:id="650" w:name="_Toc59549187"/>
      <w:bookmarkStart w:id="651" w:name="_Toc74916339"/>
      <w:r w:rsidRPr="00BC78CF">
        <w:rPr>
          <w:strike/>
          <w:color w:val="FF0000"/>
        </w:rPr>
        <w:t>Division 4.3—Consumer data requests that relate to joint accounts</w:t>
      </w:r>
      <w:bookmarkEnd w:id="647"/>
      <w:bookmarkEnd w:id="648"/>
      <w:bookmarkEnd w:id="649"/>
      <w:bookmarkEnd w:id="650"/>
      <w:bookmarkEnd w:id="651"/>
    </w:p>
    <w:p w14:paraId="323A77F6" w14:textId="77777777" w:rsidR="00CF0E3D" w:rsidRPr="00BC78CF" w:rsidRDefault="00CF0E3D" w:rsidP="00CF0E3D">
      <w:pPr>
        <w:pStyle w:val="ActHead4"/>
        <w:rPr>
          <w:strike/>
          <w:color w:val="FF0000"/>
        </w:rPr>
      </w:pPr>
      <w:bookmarkStart w:id="652" w:name="_Toc51337630"/>
      <w:bookmarkStart w:id="653" w:name="_Toc57219203"/>
      <w:bookmarkStart w:id="654" w:name="_Toc59549188"/>
      <w:bookmarkStart w:id="655" w:name="_Toc74916340"/>
      <w:r w:rsidRPr="00BC78CF">
        <w:rPr>
          <w:strike/>
          <w:color w:val="FF0000"/>
        </w:rPr>
        <w:t>Subdivision 4.3.1—Preliminary</w:t>
      </w:r>
      <w:bookmarkEnd w:id="652"/>
      <w:bookmarkEnd w:id="653"/>
      <w:bookmarkEnd w:id="654"/>
      <w:bookmarkEnd w:id="655"/>
    </w:p>
    <w:p w14:paraId="0818F163" w14:textId="77777777" w:rsidR="00CF0E3D" w:rsidRPr="00BC78CF" w:rsidRDefault="00CF0E3D" w:rsidP="00CF0E3D">
      <w:pPr>
        <w:pStyle w:val="ActHead5"/>
        <w:rPr>
          <w:strike/>
          <w:color w:val="FF0000"/>
          <w:lang w:val="en-US"/>
        </w:rPr>
      </w:pPr>
      <w:bookmarkStart w:id="656" w:name="_Toc51337631"/>
      <w:bookmarkStart w:id="657" w:name="_Toc57219204"/>
      <w:bookmarkStart w:id="658" w:name="_Toc59549189"/>
      <w:bookmarkStart w:id="659" w:name="_Toc74916341"/>
      <w:r w:rsidRPr="00BC78CF">
        <w:rPr>
          <w:strike/>
          <w:color w:val="FF0000"/>
          <w:lang w:val="en-US"/>
        </w:rPr>
        <w:t>4.8  Application of Division</w:t>
      </w:r>
      <w:bookmarkEnd w:id="656"/>
      <w:bookmarkEnd w:id="657"/>
      <w:bookmarkEnd w:id="658"/>
      <w:bookmarkEnd w:id="659"/>
    </w:p>
    <w:p w14:paraId="3FF10E59" w14:textId="77777777" w:rsidR="00CF0E3D" w:rsidRPr="00BC78CF" w:rsidRDefault="00CF0E3D" w:rsidP="00CF0E3D">
      <w:pPr>
        <w:pStyle w:val="subsection"/>
        <w:rPr>
          <w:strike/>
          <w:color w:val="FF0000"/>
          <w:lang w:val="en-US"/>
        </w:rPr>
      </w:pPr>
      <w:r w:rsidRPr="00BC78CF">
        <w:rPr>
          <w:strike/>
          <w:color w:val="FF0000"/>
          <w:lang w:val="en-US"/>
        </w:rPr>
        <w:tab/>
        <w:t>(1)</w:t>
      </w:r>
      <w:r w:rsidRPr="00BC78CF">
        <w:rPr>
          <w:strike/>
          <w:color w:val="FF0000"/>
          <w:lang w:val="en-US"/>
        </w:rPr>
        <w:tab/>
        <w:t>This Division applies in relation to a consumer data request to a data holder under Part 4 of these rules that is for disclosure of any of the following CDR data in relation to a particular joint account to which this Part applies:</w:t>
      </w:r>
    </w:p>
    <w:p w14:paraId="1DC04CB1" w14:textId="77777777" w:rsidR="00CF0E3D" w:rsidRPr="00BC78CF" w:rsidRDefault="00CF0E3D" w:rsidP="00CF0E3D">
      <w:pPr>
        <w:pStyle w:val="paragraph"/>
        <w:rPr>
          <w:strike/>
          <w:color w:val="FF0000"/>
          <w:lang w:val="en-US"/>
        </w:rPr>
      </w:pPr>
      <w:r w:rsidRPr="00BC78CF">
        <w:rPr>
          <w:strike/>
          <w:color w:val="FF0000"/>
          <w:lang w:val="en-US"/>
        </w:rPr>
        <w:tab/>
        <w:t xml:space="preserve">(a) </w:t>
      </w:r>
      <w:r w:rsidRPr="00BC78CF">
        <w:rPr>
          <w:strike/>
          <w:color w:val="FF0000"/>
          <w:lang w:val="en-US"/>
        </w:rPr>
        <w:tab/>
        <w:t>account data in relation to the joint account;</w:t>
      </w:r>
    </w:p>
    <w:p w14:paraId="754AEC67" w14:textId="77777777" w:rsidR="00CF0E3D" w:rsidRPr="00BC78CF" w:rsidRDefault="00CF0E3D" w:rsidP="00CF0E3D">
      <w:pPr>
        <w:pStyle w:val="paragraph"/>
        <w:rPr>
          <w:strike/>
          <w:color w:val="FF0000"/>
          <w:lang w:val="en-US"/>
        </w:rPr>
      </w:pPr>
      <w:r w:rsidRPr="00BC78CF">
        <w:rPr>
          <w:strike/>
          <w:color w:val="FF0000"/>
          <w:lang w:val="en-US"/>
        </w:rPr>
        <w:tab/>
        <w:t>(b)</w:t>
      </w:r>
      <w:r w:rsidRPr="00BC78CF">
        <w:rPr>
          <w:strike/>
          <w:color w:val="FF0000"/>
          <w:lang w:val="en-US"/>
        </w:rPr>
        <w:tab/>
        <w:t>transaction data in relation to the joint account;</w:t>
      </w:r>
    </w:p>
    <w:p w14:paraId="565C1DE8" w14:textId="77777777" w:rsidR="00CF0E3D" w:rsidRPr="00BC78CF" w:rsidRDefault="00CF0E3D" w:rsidP="00CF0E3D">
      <w:pPr>
        <w:pStyle w:val="paragraph"/>
        <w:rPr>
          <w:strike/>
          <w:color w:val="FF0000"/>
          <w:lang w:val="en-US"/>
        </w:rPr>
      </w:pPr>
      <w:r w:rsidRPr="00BC78CF">
        <w:rPr>
          <w:strike/>
          <w:color w:val="FF0000"/>
          <w:lang w:val="en-US"/>
        </w:rPr>
        <w:tab/>
        <w:t>(c)</w:t>
      </w:r>
      <w:r w:rsidRPr="00BC78CF">
        <w:rPr>
          <w:strike/>
          <w:color w:val="FF0000"/>
          <w:lang w:val="en-US"/>
        </w:rPr>
        <w:tab/>
        <w:t>product specific data in relation to a product that a joint account holder uses and that relates to the joint account.</w:t>
      </w:r>
    </w:p>
    <w:p w14:paraId="26F43C1A" w14:textId="77777777" w:rsidR="00CF0E3D" w:rsidRPr="00BC78CF" w:rsidRDefault="00CF0E3D" w:rsidP="00CF0E3D">
      <w:pPr>
        <w:pStyle w:val="subsection"/>
        <w:rPr>
          <w:strike/>
          <w:color w:val="FF0000"/>
          <w:lang w:val="en-US"/>
        </w:rPr>
      </w:pPr>
      <w:r w:rsidRPr="00BC78CF">
        <w:rPr>
          <w:strike/>
          <w:color w:val="FF0000"/>
          <w:lang w:val="en-US"/>
        </w:rPr>
        <w:tab/>
        <w:t>(2)</w:t>
      </w:r>
      <w:r w:rsidRPr="00BC78CF">
        <w:rPr>
          <w:strike/>
          <w:color w:val="FF0000"/>
          <w:lang w:val="en-US"/>
        </w:rPr>
        <w:tab/>
        <w:t>This Division applies whether or not the request is also for disclosure of other CDR data.</w:t>
      </w:r>
    </w:p>
    <w:p w14:paraId="02B27DBA" w14:textId="77777777" w:rsidR="00CF0E3D" w:rsidRPr="00BC78CF" w:rsidRDefault="00CF0E3D" w:rsidP="00CF0E3D">
      <w:pPr>
        <w:pStyle w:val="subsection"/>
        <w:rPr>
          <w:strike/>
          <w:color w:val="FF0000"/>
          <w:lang w:val="en-US"/>
        </w:rPr>
      </w:pPr>
      <w:r w:rsidRPr="00BC78CF">
        <w:rPr>
          <w:strike/>
          <w:color w:val="FF0000"/>
          <w:lang w:val="en-US"/>
        </w:rPr>
        <w:tab/>
        <w:t>(3)</w:t>
      </w:r>
      <w:r w:rsidRPr="00BC78CF">
        <w:rPr>
          <w:strike/>
          <w:color w:val="FF0000"/>
          <w:lang w:val="en-US"/>
        </w:rPr>
        <w:tab/>
        <w:t>If a particular consumer data request to a data holder under Part 4 of these rules relates to more than one joint account to which this Part applies, this Division applies separately in relation to each such joint account.</w:t>
      </w:r>
    </w:p>
    <w:p w14:paraId="148DF89A" w14:textId="77777777" w:rsidR="00CF0E3D" w:rsidRPr="00BC78CF" w:rsidRDefault="00CF0E3D" w:rsidP="00CF0E3D">
      <w:pPr>
        <w:pStyle w:val="ActHead5"/>
        <w:rPr>
          <w:strike/>
          <w:color w:val="FF0000"/>
          <w:lang w:val="en-US"/>
        </w:rPr>
      </w:pPr>
      <w:bookmarkStart w:id="660" w:name="_Toc51337632"/>
      <w:bookmarkStart w:id="661" w:name="_Toc57219205"/>
      <w:bookmarkStart w:id="662" w:name="_Toc59549190"/>
      <w:bookmarkStart w:id="663" w:name="_Toc74916342"/>
      <w:r w:rsidRPr="00BC78CF">
        <w:rPr>
          <w:strike/>
          <w:color w:val="FF0000"/>
          <w:lang w:val="en-US"/>
        </w:rPr>
        <w:t>4.9  Interpretation</w:t>
      </w:r>
      <w:bookmarkEnd w:id="660"/>
      <w:bookmarkEnd w:id="661"/>
      <w:bookmarkEnd w:id="662"/>
      <w:bookmarkEnd w:id="663"/>
    </w:p>
    <w:p w14:paraId="2586EFFC" w14:textId="77777777" w:rsidR="00CF0E3D" w:rsidRPr="00BC78CF" w:rsidRDefault="00CF0E3D" w:rsidP="00CF0E3D">
      <w:pPr>
        <w:pStyle w:val="subsection"/>
        <w:rPr>
          <w:strike/>
          <w:color w:val="FF0000"/>
          <w:lang w:val="en-US"/>
        </w:rPr>
      </w:pPr>
      <w:r w:rsidRPr="00BC78CF">
        <w:rPr>
          <w:strike/>
          <w:color w:val="FF0000"/>
          <w:lang w:val="en-US"/>
        </w:rPr>
        <w:tab/>
      </w:r>
      <w:r w:rsidRPr="00BC78CF">
        <w:rPr>
          <w:strike/>
          <w:color w:val="FF0000"/>
          <w:lang w:val="en-US"/>
        </w:rPr>
        <w:tab/>
        <w:t>For this Division:</w:t>
      </w:r>
    </w:p>
    <w:p w14:paraId="44B15E54" w14:textId="77777777" w:rsidR="00CF0E3D" w:rsidRPr="00BC78CF" w:rsidRDefault="00CF0E3D" w:rsidP="00CF0E3D">
      <w:pPr>
        <w:pStyle w:val="paragraph"/>
        <w:rPr>
          <w:strike/>
          <w:color w:val="FF0000"/>
          <w:lang w:val="en-US"/>
        </w:rPr>
      </w:pPr>
      <w:r w:rsidRPr="00BC78CF">
        <w:rPr>
          <w:strike/>
          <w:color w:val="FF0000"/>
          <w:lang w:val="en-US"/>
        </w:rPr>
        <w:tab/>
        <w:t>(a)</w:t>
      </w:r>
      <w:r w:rsidRPr="00BC78CF">
        <w:rPr>
          <w:strike/>
          <w:color w:val="FF0000"/>
          <w:lang w:val="en-US"/>
        </w:rPr>
        <w:tab/>
        <w:t>the</w:t>
      </w:r>
      <w:r w:rsidRPr="00BC78CF">
        <w:rPr>
          <w:b/>
          <w:i/>
          <w:strike/>
          <w:color w:val="FF0000"/>
          <w:lang w:val="en-US"/>
        </w:rPr>
        <w:t xml:space="preserve"> requester </w:t>
      </w:r>
      <w:r w:rsidRPr="00BC78CF">
        <w:rPr>
          <w:strike/>
          <w:color w:val="FF0000"/>
          <w:lang w:val="en-US"/>
        </w:rPr>
        <w:t>is the person on whose behalf the consumer data request referred to in clause 4.8 was made; and</w:t>
      </w:r>
    </w:p>
    <w:p w14:paraId="637C96CD" w14:textId="77777777" w:rsidR="00CF0E3D" w:rsidRPr="00BC78CF" w:rsidRDefault="00CF0E3D" w:rsidP="00CF0E3D">
      <w:pPr>
        <w:pStyle w:val="paragraph"/>
        <w:rPr>
          <w:strike/>
          <w:color w:val="FF0000"/>
          <w:lang w:val="en-US"/>
        </w:rPr>
      </w:pPr>
      <w:r w:rsidRPr="00BC78CF">
        <w:rPr>
          <w:strike/>
          <w:color w:val="FF0000"/>
          <w:lang w:val="en-US"/>
        </w:rPr>
        <w:tab/>
        <w:t>(b)</w:t>
      </w:r>
      <w:r w:rsidRPr="00BC78CF">
        <w:rPr>
          <w:strike/>
          <w:color w:val="FF0000"/>
          <w:lang w:val="en-US"/>
        </w:rPr>
        <w:tab/>
        <w:t xml:space="preserve">the </w:t>
      </w:r>
      <w:r w:rsidRPr="00BC78CF">
        <w:rPr>
          <w:b/>
          <w:i/>
          <w:strike/>
          <w:color w:val="FF0000"/>
          <w:lang w:val="en-US"/>
        </w:rPr>
        <w:t>relevant account holders</w:t>
      </w:r>
      <w:r w:rsidRPr="00BC78CF">
        <w:rPr>
          <w:strike/>
          <w:color w:val="FF0000"/>
          <w:lang w:val="en-US"/>
        </w:rPr>
        <w:t xml:space="preserve"> are:</w:t>
      </w:r>
    </w:p>
    <w:p w14:paraId="3DB231F4" w14:textId="77777777" w:rsidR="00CF0E3D" w:rsidRPr="00BC78CF" w:rsidRDefault="00CF0E3D" w:rsidP="00CF0E3D">
      <w:pPr>
        <w:pStyle w:val="paragraphsub"/>
        <w:rPr>
          <w:strike/>
          <w:color w:val="FF0000"/>
          <w:lang w:val="en-US"/>
        </w:rPr>
      </w:pPr>
      <w:r w:rsidRPr="00BC78CF">
        <w:rPr>
          <w:strike/>
          <w:color w:val="FF0000"/>
          <w:lang w:val="en-US"/>
        </w:rPr>
        <w:tab/>
        <w:t>(i)</w:t>
      </w:r>
      <w:r w:rsidRPr="00BC78CF">
        <w:rPr>
          <w:strike/>
          <w:color w:val="FF0000"/>
          <w:lang w:val="en-US"/>
        </w:rPr>
        <w:tab/>
        <w:t>if the requester is a secondary user―all joint account holders; and</w:t>
      </w:r>
    </w:p>
    <w:p w14:paraId="783344AA" w14:textId="77777777" w:rsidR="00CF0E3D" w:rsidRPr="00BC78CF" w:rsidRDefault="00CF0E3D" w:rsidP="00CF0E3D">
      <w:pPr>
        <w:pStyle w:val="paragraphsub"/>
        <w:rPr>
          <w:strike/>
          <w:color w:val="FF0000"/>
          <w:lang w:val="en-US"/>
        </w:rPr>
      </w:pPr>
      <w:r w:rsidRPr="00BC78CF">
        <w:rPr>
          <w:strike/>
          <w:color w:val="FF0000"/>
          <w:lang w:val="en-US"/>
        </w:rPr>
        <w:tab/>
        <w:t>(ii)</w:t>
      </w:r>
      <w:r w:rsidRPr="00BC78CF">
        <w:rPr>
          <w:strike/>
          <w:color w:val="FF0000"/>
          <w:lang w:val="en-US"/>
        </w:rPr>
        <w:tab/>
        <w:t>if the requester is a joint account holder―the other joint account holders; and</w:t>
      </w:r>
    </w:p>
    <w:p w14:paraId="61DE2498" w14:textId="77777777" w:rsidR="00CF0E3D" w:rsidRPr="00BC78CF" w:rsidRDefault="00CF0E3D" w:rsidP="00CF0E3D">
      <w:pPr>
        <w:pStyle w:val="paragraph"/>
        <w:rPr>
          <w:strike/>
          <w:color w:val="FF0000"/>
          <w:lang w:val="en-US"/>
        </w:rPr>
      </w:pPr>
      <w:r w:rsidRPr="00BC78CF">
        <w:rPr>
          <w:strike/>
          <w:color w:val="FF0000"/>
          <w:lang w:val="en-US"/>
        </w:rPr>
        <w:tab/>
        <w:t>(c)</w:t>
      </w:r>
      <w:r w:rsidRPr="00BC78CF">
        <w:rPr>
          <w:strike/>
          <w:color w:val="FF0000"/>
          <w:lang w:val="en-US"/>
        </w:rPr>
        <w:tab/>
      </w:r>
      <w:r w:rsidRPr="00BC78CF">
        <w:rPr>
          <w:b/>
          <w:i/>
          <w:strike/>
          <w:color w:val="FF0000"/>
          <w:lang w:val="en-US"/>
        </w:rPr>
        <w:t xml:space="preserve">joint account data </w:t>
      </w:r>
      <w:r w:rsidRPr="00BC78CF">
        <w:rPr>
          <w:strike/>
          <w:color w:val="FF0000"/>
          <w:lang w:val="en-US"/>
        </w:rPr>
        <w:t>is the CDR data that is referred to in subrule 4.8(1) of this Schedule that was the subject of the request.</w:t>
      </w:r>
    </w:p>
    <w:p w14:paraId="222EB85B" w14:textId="77777777" w:rsidR="00CF0E3D" w:rsidRPr="00BC78CF" w:rsidRDefault="00CF0E3D" w:rsidP="00CF0E3D">
      <w:pPr>
        <w:pStyle w:val="ActHead4"/>
        <w:rPr>
          <w:strike/>
          <w:color w:val="FF0000"/>
        </w:rPr>
      </w:pPr>
      <w:bookmarkStart w:id="664" w:name="_Toc51337633"/>
      <w:bookmarkStart w:id="665" w:name="_Toc57219206"/>
      <w:bookmarkStart w:id="666" w:name="_Toc59549191"/>
      <w:bookmarkStart w:id="667" w:name="_Toc74916343"/>
      <w:r w:rsidRPr="00BC78CF">
        <w:rPr>
          <w:strike/>
          <w:color w:val="FF0000"/>
          <w:lang w:val="en-US"/>
        </w:rPr>
        <w:t xml:space="preserve">Subdivision 4.3.2—How </w:t>
      </w:r>
      <w:r w:rsidRPr="00BC78CF">
        <w:rPr>
          <w:strike/>
          <w:color w:val="FF0000"/>
        </w:rPr>
        <w:t>consumer data requests to data holders under Part 4 of these rules that relate to joint accounts are handled</w:t>
      </w:r>
      <w:bookmarkEnd w:id="664"/>
      <w:bookmarkEnd w:id="665"/>
      <w:bookmarkEnd w:id="666"/>
      <w:bookmarkEnd w:id="667"/>
    </w:p>
    <w:p w14:paraId="75634C6E" w14:textId="77777777" w:rsidR="00CF0E3D" w:rsidRPr="00BC78CF" w:rsidRDefault="00CF0E3D" w:rsidP="00CF0E3D">
      <w:pPr>
        <w:pStyle w:val="ActHead5"/>
        <w:rPr>
          <w:strike/>
          <w:color w:val="FF0000"/>
        </w:rPr>
      </w:pPr>
      <w:bookmarkStart w:id="668" w:name="_Toc51337634"/>
      <w:bookmarkStart w:id="669" w:name="_Toc57219207"/>
      <w:bookmarkStart w:id="670" w:name="_Toc59549192"/>
      <w:bookmarkStart w:id="671" w:name="_Toc74916344"/>
      <w:r w:rsidRPr="00BC78CF">
        <w:rPr>
          <w:strike/>
          <w:color w:val="FF0000"/>
        </w:rPr>
        <w:t>4.10  Asking requesting account holder to indicate disclosure option for joint account</w:t>
      </w:r>
      <w:bookmarkEnd w:id="668"/>
      <w:bookmarkEnd w:id="669"/>
      <w:bookmarkEnd w:id="670"/>
      <w:bookmarkEnd w:id="671"/>
    </w:p>
    <w:p w14:paraId="7D77FBD6" w14:textId="77777777" w:rsidR="00CF0E3D" w:rsidRPr="00BC78CF" w:rsidRDefault="00CF0E3D" w:rsidP="00CF0E3D">
      <w:pPr>
        <w:pStyle w:val="subsection"/>
        <w:rPr>
          <w:strike/>
          <w:color w:val="FF0000"/>
        </w:rPr>
      </w:pPr>
      <w:r w:rsidRPr="00BC78CF">
        <w:rPr>
          <w:strike/>
          <w:color w:val="FF0000"/>
        </w:rPr>
        <w:tab/>
        <w:t>(1)</w:t>
      </w:r>
      <w:r w:rsidRPr="00BC78CF">
        <w:rPr>
          <w:strike/>
          <w:color w:val="FF0000"/>
        </w:rPr>
        <w:tab/>
        <w:t>This clause applies if:</w:t>
      </w:r>
    </w:p>
    <w:p w14:paraId="7F0545E3"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the requester is a joint account holder; and</w:t>
      </w:r>
    </w:p>
    <w:p w14:paraId="08570D21"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a data holder asks the requester to authorise disclosure in accordance with Division 4.4 of these rules; and</w:t>
      </w:r>
    </w:p>
    <w:p w14:paraId="0E9F619D" w14:textId="77777777" w:rsidR="00CF0E3D" w:rsidRPr="00BC78CF" w:rsidRDefault="00CF0E3D" w:rsidP="00CF0E3D">
      <w:pPr>
        <w:pStyle w:val="paragraph"/>
        <w:rPr>
          <w:strike/>
          <w:color w:val="FF0000"/>
        </w:rPr>
      </w:pPr>
      <w:r w:rsidRPr="00BC78CF">
        <w:rPr>
          <w:strike/>
          <w:color w:val="FF0000"/>
        </w:rPr>
        <w:tab/>
        <w:t>(c)</w:t>
      </w:r>
      <w:r w:rsidRPr="00BC78CF">
        <w:rPr>
          <w:strike/>
          <w:color w:val="FF0000"/>
        </w:rPr>
        <w:tab/>
        <w:t>the requester has not indicated which disclosure option they would like to apply to the account.</w:t>
      </w:r>
    </w:p>
    <w:p w14:paraId="13708779" w14:textId="77777777" w:rsidR="00CF0E3D" w:rsidRPr="00BC78CF" w:rsidRDefault="00CF0E3D" w:rsidP="00CF0E3D">
      <w:pPr>
        <w:pStyle w:val="subsection"/>
        <w:rPr>
          <w:strike/>
          <w:color w:val="FF0000"/>
        </w:rPr>
      </w:pPr>
      <w:r w:rsidRPr="00BC78CF">
        <w:rPr>
          <w:strike/>
          <w:color w:val="FF0000"/>
        </w:rPr>
        <w:tab/>
        <w:t>(2)</w:t>
      </w:r>
      <w:r w:rsidRPr="00BC78CF">
        <w:rPr>
          <w:strike/>
          <w:color w:val="FF0000"/>
        </w:rPr>
        <w:tab/>
        <w:t>The data holder must also ask the requester to indicate:</w:t>
      </w:r>
    </w:p>
    <w:p w14:paraId="5F09F2B7"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through the joint account management service; and</w:t>
      </w:r>
    </w:p>
    <w:p w14:paraId="1BB13471"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in accordance with the data standards;</w:t>
      </w:r>
    </w:p>
    <w:p w14:paraId="7835A458" w14:textId="77777777" w:rsidR="00CF0E3D" w:rsidRPr="00BC78CF" w:rsidRDefault="00CF0E3D" w:rsidP="002D51A1">
      <w:pPr>
        <w:pStyle w:val="subsection20"/>
        <w:rPr>
          <w:strike/>
          <w:color w:val="FF0000"/>
        </w:rPr>
      </w:pPr>
      <w:r w:rsidRPr="00BC78CF">
        <w:rPr>
          <w:strike/>
          <w:color w:val="FF0000"/>
        </w:rPr>
        <w:tab/>
      </w:r>
      <w:r w:rsidRPr="00BC78CF">
        <w:rPr>
          <w:strike/>
          <w:color w:val="FF0000"/>
        </w:rPr>
        <w:tab/>
        <w:t>the disclosure option they would like to apply to the account.</w:t>
      </w:r>
    </w:p>
    <w:p w14:paraId="3CEEC73E" w14:textId="77777777" w:rsidR="00CF0E3D" w:rsidRPr="00BC78CF" w:rsidRDefault="00CF0E3D" w:rsidP="00CF0E3D">
      <w:pPr>
        <w:pStyle w:val="notetext"/>
        <w:rPr>
          <w:strike/>
          <w:color w:val="FF0000"/>
        </w:rPr>
      </w:pPr>
      <w:r w:rsidRPr="00BC78CF">
        <w:rPr>
          <w:strike/>
          <w:color w:val="FF0000"/>
        </w:rPr>
        <w:t>Note 1:</w:t>
      </w:r>
      <w:r w:rsidRPr="00BC78CF">
        <w:rPr>
          <w:strike/>
          <w:color w:val="FF0000"/>
        </w:rPr>
        <w:tab/>
        <w:t>This subclause is a civil penalty provision (see rule 9.8).</w:t>
      </w:r>
    </w:p>
    <w:p w14:paraId="2F5E785B" w14:textId="77777777" w:rsidR="00CF0E3D" w:rsidRPr="00BC78CF" w:rsidRDefault="00CF0E3D" w:rsidP="00CF0E3D">
      <w:pPr>
        <w:pStyle w:val="notetext"/>
        <w:rPr>
          <w:strike/>
          <w:color w:val="FF0000"/>
        </w:rPr>
      </w:pPr>
      <w:r w:rsidRPr="00BC78CF">
        <w:rPr>
          <w:strike/>
          <w:color w:val="FF0000"/>
        </w:rPr>
        <w:t>Note 2:</w:t>
      </w:r>
      <w:r w:rsidRPr="00BC78CF">
        <w:rPr>
          <w:strike/>
          <w:color w:val="FF0000"/>
        </w:rPr>
        <w:tab/>
        <w:t>The disclosure option will not apply to the account unless the relevant account holders indicate that they would like the same disclosure option to apply.</w:t>
      </w:r>
    </w:p>
    <w:p w14:paraId="563C04F0" w14:textId="77777777" w:rsidR="00CF0E3D" w:rsidRPr="00BC78CF" w:rsidRDefault="00CF0E3D" w:rsidP="00CF0E3D">
      <w:pPr>
        <w:pStyle w:val="notetext"/>
        <w:rPr>
          <w:strike/>
          <w:color w:val="FF0000"/>
        </w:rPr>
      </w:pPr>
      <w:r w:rsidRPr="00BC78CF">
        <w:rPr>
          <w:strike/>
          <w:color w:val="FF0000"/>
        </w:rPr>
        <w:t>Note 3:</w:t>
      </w:r>
      <w:r w:rsidRPr="00BC78CF">
        <w:rPr>
          <w:strike/>
          <w:color w:val="FF0000"/>
        </w:rPr>
        <w:tab/>
        <w:t>If the requester indicates a disclosure option that they would like to apply to the joint account, the data holder would then need to ask the relevant account holders to indicate which disclosure option they would like to apply to the joint account in accordance with clause 4.7 of this Schedule.</w:t>
      </w:r>
    </w:p>
    <w:p w14:paraId="579648C6" w14:textId="77777777" w:rsidR="00CF0E3D" w:rsidRPr="00BC78CF" w:rsidRDefault="00CF0E3D" w:rsidP="00CF0E3D">
      <w:pPr>
        <w:pStyle w:val="notetext"/>
        <w:rPr>
          <w:strike/>
          <w:color w:val="FF0000"/>
        </w:rPr>
      </w:pPr>
      <w:r w:rsidRPr="00BC78CF">
        <w:rPr>
          <w:strike/>
          <w:color w:val="FF0000"/>
        </w:rPr>
        <w:t>Note 4:</w:t>
      </w:r>
      <w:r w:rsidRPr="00BC78CF">
        <w:rPr>
          <w:strike/>
          <w:color w:val="FF0000"/>
        </w:rPr>
        <w:tab/>
        <w:t>See paragraph 4.16(1)(b) of this Schedule for a similar requirement in the case that the requester is a secondary user of the joint account.</w:t>
      </w:r>
    </w:p>
    <w:p w14:paraId="3B72A8C0" w14:textId="77777777" w:rsidR="00CF0E3D" w:rsidRPr="00BC78CF" w:rsidRDefault="00CF0E3D" w:rsidP="00CF0E3D">
      <w:pPr>
        <w:pStyle w:val="ActHead5"/>
        <w:rPr>
          <w:strike/>
          <w:color w:val="FF0000"/>
        </w:rPr>
      </w:pPr>
      <w:bookmarkStart w:id="672" w:name="_Toc51337635"/>
      <w:bookmarkStart w:id="673" w:name="_Toc57219208"/>
      <w:bookmarkStart w:id="674" w:name="_Toc59549193"/>
      <w:bookmarkStart w:id="675" w:name="_Toc74916345"/>
      <w:r w:rsidRPr="00BC78CF">
        <w:rPr>
          <w:strike/>
          <w:color w:val="FF0000"/>
        </w:rPr>
        <w:t>4.11  Asking relevant account holders for approval to disclose joint account data</w:t>
      </w:r>
      <w:bookmarkEnd w:id="672"/>
      <w:bookmarkEnd w:id="673"/>
      <w:bookmarkEnd w:id="674"/>
      <w:bookmarkEnd w:id="675"/>
    </w:p>
    <w:p w14:paraId="38C098E7" w14:textId="77777777" w:rsidR="00CF0E3D" w:rsidRPr="00BC78CF" w:rsidRDefault="00CF0E3D" w:rsidP="00CF0E3D">
      <w:pPr>
        <w:pStyle w:val="subsection"/>
        <w:rPr>
          <w:strike/>
          <w:color w:val="FF0000"/>
        </w:rPr>
      </w:pPr>
      <w:r w:rsidRPr="00BC78CF">
        <w:rPr>
          <w:strike/>
          <w:color w:val="FF0000"/>
        </w:rPr>
        <w:tab/>
        <w:t>(1)</w:t>
      </w:r>
      <w:r w:rsidRPr="00BC78CF">
        <w:rPr>
          <w:strike/>
          <w:color w:val="FF0000"/>
        </w:rPr>
        <w:tab/>
        <w:t>This clause applies if:</w:t>
      </w:r>
    </w:p>
    <w:p w14:paraId="4FB6B6E0"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the requester has authorised, under Division 4.4 of these rules, the disclosure of the joint account data; and</w:t>
      </w:r>
    </w:p>
    <w:p w14:paraId="2F928ADD"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a co</w:t>
      </w:r>
      <w:r w:rsidRPr="00BC78CF">
        <w:rPr>
          <w:strike/>
          <w:color w:val="FF0000"/>
        </w:rPr>
        <w:noBreakHyphen/>
        <w:t>approval option applies to the joint account.</w:t>
      </w:r>
    </w:p>
    <w:p w14:paraId="23E611CF" w14:textId="77777777" w:rsidR="00CF0E3D" w:rsidRPr="00BC78CF" w:rsidRDefault="00CF0E3D" w:rsidP="00CF0E3D">
      <w:pPr>
        <w:pStyle w:val="subsection"/>
        <w:rPr>
          <w:strike/>
          <w:color w:val="FF0000"/>
        </w:rPr>
      </w:pPr>
      <w:r w:rsidRPr="00BC78CF">
        <w:rPr>
          <w:strike/>
          <w:color w:val="FF0000"/>
        </w:rPr>
        <w:tab/>
        <w:t>(2)</w:t>
      </w:r>
      <w:r w:rsidRPr="00BC78CF">
        <w:rPr>
          <w:strike/>
          <w:color w:val="FF0000"/>
        </w:rPr>
        <w:tab/>
        <w:t>The data holder must, through its ordinary methods for contacting the relevant account holders:</w:t>
      </w:r>
    </w:p>
    <w:p w14:paraId="4C45FDA7"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indicate that an accredited person has requested disclosure of CDR data that relates to the joint account on behalf of the requester; and</w:t>
      </w:r>
    </w:p>
    <w:p w14:paraId="3420C623"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outline the matters referred to in subclause (1); and</w:t>
      </w:r>
    </w:p>
    <w:p w14:paraId="685DF7B7" w14:textId="77777777" w:rsidR="00CF0E3D" w:rsidRPr="00BC78CF" w:rsidRDefault="00CF0E3D" w:rsidP="00CF0E3D">
      <w:pPr>
        <w:pStyle w:val="paragraph"/>
        <w:rPr>
          <w:strike/>
          <w:color w:val="FF0000"/>
        </w:rPr>
      </w:pPr>
      <w:r w:rsidRPr="00BC78CF">
        <w:rPr>
          <w:strike/>
          <w:color w:val="FF0000"/>
        </w:rPr>
        <w:tab/>
        <w:t>(c)</w:t>
      </w:r>
      <w:r w:rsidRPr="00BC78CF">
        <w:rPr>
          <w:strike/>
          <w:color w:val="FF0000"/>
        </w:rPr>
        <w:tab/>
        <w:t>indicate the matters referred to in paragraphs 4.23(a), (b), (c), (d) and (e) of these rules so far as they relate to the request; and</w:t>
      </w:r>
    </w:p>
    <w:p w14:paraId="77F520DC" w14:textId="77777777" w:rsidR="00CF0E3D" w:rsidRPr="00BC78CF" w:rsidRDefault="00CF0E3D" w:rsidP="00CF0E3D">
      <w:pPr>
        <w:pStyle w:val="paragraph"/>
        <w:rPr>
          <w:strike/>
          <w:color w:val="FF0000"/>
        </w:rPr>
      </w:pPr>
      <w:r w:rsidRPr="00BC78CF">
        <w:rPr>
          <w:strike/>
          <w:color w:val="FF0000"/>
        </w:rPr>
        <w:tab/>
        <w:t>(d)</w:t>
      </w:r>
      <w:r w:rsidRPr="00BC78CF">
        <w:rPr>
          <w:strike/>
          <w:color w:val="FF0000"/>
        </w:rPr>
        <w:tab/>
        <w:t>ask the relevant account holders whether they approve the joint account data being disclosed; and</w:t>
      </w:r>
    </w:p>
    <w:p w14:paraId="11FAA205" w14:textId="77777777" w:rsidR="00CF0E3D" w:rsidRPr="00BC78CF" w:rsidRDefault="00CF0E3D" w:rsidP="00CF0E3D">
      <w:pPr>
        <w:pStyle w:val="paragraph"/>
        <w:rPr>
          <w:strike/>
          <w:color w:val="FF0000"/>
        </w:rPr>
      </w:pPr>
      <w:r w:rsidRPr="00BC78CF">
        <w:rPr>
          <w:strike/>
          <w:color w:val="FF0000"/>
        </w:rPr>
        <w:tab/>
        <w:t>(e)</w:t>
      </w:r>
      <w:r w:rsidRPr="00BC78CF">
        <w:rPr>
          <w:strike/>
          <w:color w:val="FF0000"/>
        </w:rPr>
        <w:tab/>
        <w:t>indicate the time by which the data holder needs the relevant account holders to give this approval; and</w:t>
      </w:r>
    </w:p>
    <w:p w14:paraId="5726444D" w14:textId="77777777" w:rsidR="00CF0E3D" w:rsidRPr="00BC78CF" w:rsidRDefault="00CF0E3D" w:rsidP="00CF0E3D">
      <w:pPr>
        <w:pStyle w:val="paragraph"/>
        <w:rPr>
          <w:strike/>
          <w:color w:val="FF0000"/>
        </w:rPr>
      </w:pPr>
      <w:r w:rsidRPr="00BC78CF">
        <w:rPr>
          <w:strike/>
          <w:color w:val="FF0000"/>
        </w:rPr>
        <w:tab/>
        <w:t>(f)</w:t>
      </w:r>
      <w:r w:rsidRPr="00BC78CF">
        <w:rPr>
          <w:strike/>
          <w:color w:val="FF0000"/>
        </w:rPr>
        <w:tab/>
        <w:t>inform them that any one of them may, at any time, remove the approval; and</w:t>
      </w:r>
    </w:p>
    <w:p w14:paraId="7217176F" w14:textId="77777777" w:rsidR="00CF0E3D" w:rsidRPr="00BC78CF" w:rsidRDefault="00CF0E3D" w:rsidP="00CF0E3D">
      <w:pPr>
        <w:pStyle w:val="paragraph"/>
        <w:rPr>
          <w:strike/>
          <w:color w:val="FF0000"/>
        </w:rPr>
      </w:pPr>
      <w:r w:rsidRPr="00BC78CF">
        <w:rPr>
          <w:strike/>
          <w:color w:val="FF0000"/>
        </w:rPr>
        <w:tab/>
        <w:t>(g)</w:t>
      </w:r>
      <w:r w:rsidRPr="00BC78CF">
        <w:rPr>
          <w:strike/>
          <w:color w:val="FF0000"/>
        </w:rPr>
        <w:tab/>
        <w:t>provide them with instructions for how to remove the approval; and</w:t>
      </w:r>
    </w:p>
    <w:p w14:paraId="7AEAF8E1" w14:textId="77777777" w:rsidR="00CF0E3D" w:rsidRPr="00BC78CF" w:rsidRDefault="00CF0E3D" w:rsidP="00CF0E3D">
      <w:pPr>
        <w:pStyle w:val="paragraph"/>
        <w:rPr>
          <w:strike/>
          <w:color w:val="FF0000"/>
        </w:rPr>
      </w:pPr>
      <w:r w:rsidRPr="00BC78CF">
        <w:rPr>
          <w:strike/>
          <w:color w:val="FF0000"/>
        </w:rPr>
        <w:tab/>
        <w:t>(h)</w:t>
      </w:r>
      <w:r w:rsidRPr="00BC78CF">
        <w:rPr>
          <w:strike/>
          <w:color w:val="FF0000"/>
        </w:rPr>
        <w:tab/>
        <w:t>indicate what the effect of removing the approval would be.</w:t>
      </w:r>
    </w:p>
    <w:p w14:paraId="235ABDCF" w14:textId="77777777" w:rsidR="00CF0E3D" w:rsidRPr="00BC78CF" w:rsidRDefault="00CF0E3D" w:rsidP="00CF0E3D">
      <w:pPr>
        <w:pStyle w:val="notetext"/>
        <w:rPr>
          <w:strike/>
          <w:color w:val="FF0000"/>
        </w:rPr>
      </w:pPr>
      <w:r w:rsidRPr="00BC78CF">
        <w:rPr>
          <w:strike/>
          <w:color w:val="FF0000"/>
        </w:rPr>
        <w:t>Note:</w:t>
      </w:r>
      <w:r w:rsidRPr="00BC78CF">
        <w:rPr>
          <w:strike/>
          <w:color w:val="FF0000"/>
        </w:rPr>
        <w:tab/>
        <w:t>For removal of an approval, see clause 4.14 of this Schedule.</w:t>
      </w:r>
    </w:p>
    <w:p w14:paraId="6B308198" w14:textId="77777777" w:rsidR="00CF0E3D" w:rsidRPr="00BC78CF" w:rsidRDefault="00CF0E3D" w:rsidP="00CF0E3D">
      <w:pPr>
        <w:pStyle w:val="ActHead5"/>
        <w:rPr>
          <w:strike/>
          <w:color w:val="FF0000"/>
        </w:rPr>
      </w:pPr>
      <w:bookmarkStart w:id="676" w:name="_Toc51337636"/>
      <w:bookmarkStart w:id="677" w:name="_Toc57219209"/>
      <w:bookmarkStart w:id="678" w:name="_Toc59549194"/>
      <w:bookmarkStart w:id="679" w:name="_Toc74916346"/>
      <w:r w:rsidRPr="00BC78CF">
        <w:rPr>
          <w:strike/>
          <w:color w:val="FF0000"/>
        </w:rPr>
        <w:t>4.12  Continuation and removal of approvals</w:t>
      </w:r>
      <w:bookmarkEnd w:id="676"/>
      <w:bookmarkEnd w:id="677"/>
      <w:bookmarkEnd w:id="678"/>
      <w:bookmarkEnd w:id="679"/>
    </w:p>
    <w:p w14:paraId="3EE8846D" w14:textId="77777777" w:rsidR="00CF0E3D" w:rsidRPr="00BC78CF" w:rsidRDefault="00CF0E3D" w:rsidP="00CF0E3D">
      <w:pPr>
        <w:pStyle w:val="subsection"/>
        <w:rPr>
          <w:strike/>
          <w:color w:val="FF0000"/>
        </w:rPr>
      </w:pPr>
      <w:r w:rsidRPr="00BC78CF">
        <w:rPr>
          <w:strike/>
          <w:color w:val="FF0000"/>
        </w:rPr>
        <w:tab/>
        <w:t>(1)</w:t>
      </w:r>
      <w:r w:rsidRPr="00BC78CF">
        <w:rPr>
          <w:strike/>
          <w:color w:val="FF0000"/>
        </w:rPr>
        <w:tab/>
        <w:t>Any relevant account holder may remove an approval given under this Division at any time (regardless of whether the approval was given expressly under a co</w:t>
      </w:r>
      <w:r w:rsidRPr="00BC78CF">
        <w:rPr>
          <w:strike/>
          <w:color w:val="FF0000"/>
        </w:rPr>
        <w:noBreakHyphen/>
        <w:t>approval option or whether a pre</w:t>
      </w:r>
      <w:r w:rsidRPr="00BC78CF">
        <w:rPr>
          <w:strike/>
          <w:color w:val="FF0000"/>
        </w:rPr>
        <w:noBreakHyphen/>
        <w:t>approval option applies).</w:t>
      </w:r>
    </w:p>
    <w:p w14:paraId="792D2C20" w14:textId="77777777" w:rsidR="00CF0E3D" w:rsidRPr="00BC78CF" w:rsidRDefault="00CF0E3D" w:rsidP="00CF0E3D">
      <w:pPr>
        <w:pStyle w:val="subsection"/>
        <w:rPr>
          <w:strike/>
          <w:color w:val="FF0000"/>
        </w:rPr>
      </w:pPr>
      <w:r w:rsidRPr="00BC78CF">
        <w:rPr>
          <w:strike/>
          <w:color w:val="FF0000"/>
        </w:rPr>
        <w:tab/>
        <w:t>(2)</w:t>
      </w:r>
      <w:r w:rsidRPr="00BC78CF">
        <w:rPr>
          <w:strike/>
          <w:color w:val="FF0000"/>
        </w:rPr>
        <w:tab/>
        <w:t>If each relevant account holder approves of the disclosure in accordance with this Division, the approval is taken to apply while the authorisation referred to in paragraph 4.11(1)(a) of this Schedule is current, unless removed sooner in accordance with this Division.</w:t>
      </w:r>
    </w:p>
    <w:p w14:paraId="5502C25B" w14:textId="77777777" w:rsidR="00CF0E3D" w:rsidRPr="00BC78CF" w:rsidRDefault="00CF0E3D" w:rsidP="00CF0E3D">
      <w:pPr>
        <w:pStyle w:val="ActHead5"/>
        <w:rPr>
          <w:strike/>
          <w:color w:val="FF0000"/>
          <w:lang w:val="en-US"/>
        </w:rPr>
      </w:pPr>
      <w:bookmarkStart w:id="680" w:name="_Toc51337637"/>
      <w:bookmarkStart w:id="681" w:name="_Toc57219210"/>
      <w:bookmarkStart w:id="682" w:name="_Toc59549195"/>
      <w:bookmarkStart w:id="683" w:name="_Toc74916347"/>
      <w:r w:rsidRPr="00BC78CF">
        <w:rPr>
          <w:strike/>
          <w:color w:val="FF0000"/>
          <w:lang w:val="en-US"/>
        </w:rPr>
        <w:t>4.13  Joint account data the data holder is authorised to disclose</w:t>
      </w:r>
      <w:bookmarkEnd w:id="680"/>
      <w:bookmarkEnd w:id="681"/>
      <w:bookmarkEnd w:id="682"/>
      <w:bookmarkEnd w:id="683"/>
    </w:p>
    <w:p w14:paraId="65E70B47" w14:textId="77777777" w:rsidR="00CF0E3D" w:rsidRPr="00BC78CF" w:rsidRDefault="00CF0E3D" w:rsidP="00CF0E3D">
      <w:pPr>
        <w:pStyle w:val="subsection"/>
        <w:rPr>
          <w:strike/>
          <w:color w:val="FF0000"/>
          <w:lang w:val="en-US"/>
        </w:rPr>
      </w:pPr>
      <w:r w:rsidRPr="00BC78CF">
        <w:rPr>
          <w:strike/>
          <w:color w:val="FF0000"/>
          <w:lang w:val="en-US"/>
        </w:rPr>
        <w:tab/>
        <w:t>(1)</w:t>
      </w:r>
      <w:r w:rsidRPr="00BC78CF">
        <w:rPr>
          <w:strike/>
          <w:color w:val="FF0000"/>
          <w:lang w:val="en-US"/>
        </w:rPr>
        <w:tab/>
        <w:t>For paragraph 4.6A(2) of these rules, the data holder must not disclose joint account data to the accredited person unless:</w:t>
      </w:r>
    </w:p>
    <w:p w14:paraId="6BA8840C" w14:textId="77777777" w:rsidR="00CF0E3D" w:rsidRPr="00BC78CF" w:rsidRDefault="00CF0E3D" w:rsidP="00CF0E3D">
      <w:pPr>
        <w:pStyle w:val="paragraph"/>
        <w:rPr>
          <w:strike/>
          <w:color w:val="FF0000"/>
        </w:rPr>
      </w:pPr>
      <w:r w:rsidRPr="00BC78CF">
        <w:rPr>
          <w:strike/>
          <w:color w:val="FF0000"/>
          <w:lang w:val="en-US"/>
        </w:rPr>
        <w:tab/>
        <w:t>(a)</w:t>
      </w:r>
      <w:r w:rsidRPr="00BC78CF">
        <w:rPr>
          <w:strike/>
          <w:color w:val="FF0000"/>
          <w:lang w:val="en-US"/>
        </w:rPr>
        <w:tab/>
        <w:t xml:space="preserve">the requester </w:t>
      </w:r>
      <w:r w:rsidRPr="00BC78CF">
        <w:rPr>
          <w:strike/>
          <w:color w:val="FF0000"/>
        </w:rPr>
        <w:t>has authorised the data holder to disclose that CDR data under Division 4.4 of these rules; and</w:t>
      </w:r>
    </w:p>
    <w:p w14:paraId="3ADEB7B9"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subclause (2), (3) or (4) applies.</w:t>
      </w:r>
    </w:p>
    <w:p w14:paraId="0D3AF553" w14:textId="77777777" w:rsidR="00CF0E3D" w:rsidRPr="00BC78CF" w:rsidRDefault="00CF0E3D" w:rsidP="00CF0E3D">
      <w:pPr>
        <w:pStyle w:val="SubsectionHead"/>
        <w:rPr>
          <w:strike/>
          <w:color w:val="FF0000"/>
        </w:rPr>
      </w:pPr>
      <w:r w:rsidRPr="00BC78CF">
        <w:rPr>
          <w:strike/>
          <w:color w:val="FF0000"/>
        </w:rPr>
        <w:t>Pre</w:t>
      </w:r>
      <w:r w:rsidRPr="00BC78CF">
        <w:rPr>
          <w:strike/>
          <w:color w:val="FF0000"/>
        </w:rPr>
        <w:noBreakHyphen/>
        <w:t>approval option</w:t>
      </w:r>
    </w:p>
    <w:p w14:paraId="29E21EB6" w14:textId="77777777" w:rsidR="00CF0E3D" w:rsidRPr="00BC78CF" w:rsidRDefault="00CF0E3D" w:rsidP="00CF0E3D">
      <w:pPr>
        <w:pStyle w:val="subsection"/>
        <w:rPr>
          <w:strike/>
          <w:color w:val="FF0000"/>
        </w:rPr>
      </w:pPr>
      <w:r w:rsidRPr="00BC78CF">
        <w:rPr>
          <w:strike/>
          <w:color w:val="FF0000"/>
        </w:rPr>
        <w:tab/>
        <w:t>(2)</w:t>
      </w:r>
      <w:r w:rsidRPr="00BC78CF">
        <w:rPr>
          <w:strike/>
          <w:color w:val="FF0000"/>
        </w:rPr>
        <w:tab/>
        <w:t>This subclause applies if:</w:t>
      </w:r>
    </w:p>
    <w:p w14:paraId="62C0F060"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a pre</w:t>
      </w:r>
      <w:r w:rsidRPr="00BC78CF">
        <w:rPr>
          <w:strike/>
          <w:color w:val="FF0000"/>
        </w:rPr>
        <w:noBreakHyphen/>
        <w:t>approval option applies to the joint account; and</w:t>
      </w:r>
    </w:p>
    <w:p w14:paraId="1ED27EED"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no relevant account holder has removed the approval using its consumer dashboard.</w:t>
      </w:r>
    </w:p>
    <w:p w14:paraId="0C5BFABB" w14:textId="77777777" w:rsidR="00CF0E3D" w:rsidRPr="00BC78CF" w:rsidRDefault="00CF0E3D" w:rsidP="00CF0E3D">
      <w:pPr>
        <w:pStyle w:val="SubsectionHead"/>
        <w:rPr>
          <w:strike/>
          <w:color w:val="FF0000"/>
        </w:rPr>
      </w:pPr>
      <w:r w:rsidRPr="00BC78CF">
        <w:rPr>
          <w:strike/>
          <w:color w:val="FF0000"/>
        </w:rPr>
        <w:t>Co</w:t>
      </w:r>
      <w:r w:rsidRPr="00BC78CF">
        <w:rPr>
          <w:strike/>
          <w:color w:val="FF0000"/>
        </w:rPr>
        <w:noBreakHyphen/>
        <w:t>approval option</w:t>
      </w:r>
    </w:p>
    <w:p w14:paraId="3FAE86FD" w14:textId="77777777" w:rsidR="00CF0E3D" w:rsidRPr="00BC78CF" w:rsidRDefault="00CF0E3D" w:rsidP="00CF0E3D">
      <w:pPr>
        <w:pStyle w:val="subsection"/>
        <w:rPr>
          <w:strike/>
          <w:color w:val="FF0000"/>
        </w:rPr>
      </w:pPr>
      <w:r w:rsidRPr="00BC78CF">
        <w:rPr>
          <w:strike/>
          <w:color w:val="FF0000"/>
        </w:rPr>
        <w:tab/>
        <w:t>(3)</w:t>
      </w:r>
      <w:r w:rsidRPr="00BC78CF">
        <w:rPr>
          <w:strike/>
          <w:color w:val="FF0000"/>
        </w:rPr>
        <w:tab/>
        <w:t>This subclause applies if:</w:t>
      </w:r>
    </w:p>
    <w:p w14:paraId="257D7473"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a co</w:t>
      </w:r>
      <w:r w:rsidRPr="00BC78CF">
        <w:rPr>
          <w:strike/>
          <w:color w:val="FF0000"/>
        </w:rPr>
        <w:noBreakHyphen/>
        <w:t>approval option applies to the joint account; and</w:t>
      </w:r>
    </w:p>
    <w:p w14:paraId="58E91FC4"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for each relevant account holder, either:</w:t>
      </w:r>
    </w:p>
    <w:p w14:paraId="027480B1" w14:textId="77777777" w:rsidR="00CF0E3D" w:rsidRPr="00BC78CF" w:rsidRDefault="00CF0E3D" w:rsidP="00CF0E3D">
      <w:pPr>
        <w:pStyle w:val="paragraphsub"/>
        <w:rPr>
          <w:strike/>
          <w:color w:val="FF0000"/>
        </w:rPr>
      </w:pPr>
      <w:r w:rsidRPr="00BC78CF">
        <w:rPr>
          <w:strike/>
          <w:color w:val="FF0000"/>
        </w:rPr>
        <w:tab/>
        <w:t>(i)</w:t>
      </w:r>
      <w:r w:rsidRPr="00BC78CF">
        <w:rPr>
          <w:strike/>
          <w:color w:val="FF0000"/>
        </w:rPr>
        <w:tab/>
        <w:t>the relevant account holder approved the disclosure in accordance with clause 4.11 of this Schedule within the time frame referred to in paragraph 4.11(2)(e) of this Schedule and has not removed the approval using their consumer dashboard; or</w:t>
      </w:r>
    </w:p>
    <w:p w14:paraId="4A79BBA6" w14:textId="77777777" w:rsidR="00CF0E3D" w:rsidRPr="00BC78CF" w:rsidRDefault="00CF0E3D" w:rsidP="00CF0E3D">
      <w:pPr>
        <w:pStyle w:val="paragraphsub"/>
        <w:rPr>
          <w:strike/>
          <w:color w:val="FF0000"/>
        </w:rPr>
      </w:pPr>
      <w:r w:rsidRPr="00BC78CF">
        <w:rPr>
          <w:strike/>
          <w:color w:val="FF0000"/>
        </w:rPr>
        <w:tab/>
        <w:t>(ii)</w:t>
      </w:r>
      <w:r w:rsidRPr="00BC78CF">
        <w:rPr>
          <w:strike/>
          <w:color w:val="FF0000"/>
        </w:rPr>
        <w:tab/>
        <w:t>the data holder considers it necessary to avoid seeking the approval of the relevant account holder in order to prevent physical or financial harm or abuse.</w:t>
      </w:r>
    </w:p>
    <w:p w14:paraId="3B20B5BC" w14:textId="77777777" w:rsidR="00CF0E3D" w:rsidRPr="00BC78CF" w:rsidRDefault="00CF0E3D" w:rsidP="00CF0E3D">
      <w:pPr>
        <w:pStyle w:val="notetext"/>
        <w:rPr>
          <w:strike/>
          <w:color w:val="FF0000"/>
        </w:rPr>
      </w:pPr>
      <w:r w:rsidRPr="00BC78CF">
        <w:rPr>
          <w:strike/>
          <w:color w:val="FF0000"/>
        </w:rPr>
        <w:t>Note:</w:t>
      </w:r>
      <w:r w:rsidRPr="00BC78CF">
        <w:rPr>
          <w:strike/>
          <w:color w:val="FF0000"/>
        </w:rPr>
        <w:tab/>
        <w:t>Data holders are required to offer the disclosure option referred to in subclause (2). Data holders may, but are not required to, offer the disclosure option referred to in subclause (3). See subclause 4.6(1) of this Schedule.</w:t>
      </w:r>
    </w:p>
    <w:p w14:paraId="70E8C363" w14:textId="77777777" w:rsidR="00CF0E3D" w:rsidRPr="00BC78CF" w:rsidRDefault="00CF0E3D" w:rsidP="00CF0E3D">
      <w:pPr>
        <w:pStyle w:val="SubsectionHead"/>
        <w:rPr>
          <w:strike/>
          <w:color w:val="FF0000"/>
        </w:rPr>
      </w:pPr>
      <w:r w:rsidRPr="00BC78CF">
        <w:rPr>
          <w:strike/>
          <w:color w:val="FF0000"/>
        </w:rPr>
        <w:t>No disclosure option applies but circumstances of physical or financial harm or abuse might exist</w:t>
      </w:r>
    </w:p>
    <w:p w14:paraId="2C9CA1DB" w14:textId="77777777" w:rsidR="00CF0E3D" w:rsidRPr="00BC78CF" w:rsidRDefault="00CF0E3D" w:rsidP="00CF0E3D">
      <w:pPr>
        <w:pStyle w:val="subsection"/>
        <w:rPr>
          <w:strike/>
          <w:color w:val="FF0000"/>
        </w:rPr>
      </w:pPr>
      <w:r w:rsidRPr="00BC78CF">
        <w:rPr>
          <w:strike/>
          <w:color w:val="FF0000"/>
        </w:rPr>
        <w:tab/>
        <w:t>(4)</w:t>
      </w:r>
      <w:r w:rsidRPr="00BC78CF">
        <w:rPr>
          <w:strike/>
          <w:color w:val="FF0000"/>
        </w:rPr>
        <w:tab/>
      </w:r>
      <w:bookmarkStart w:id="684" w:name="_Ref48226337"/>
      <w:bookmarkEnd w:id="684"/>
      <w:r w:rsidRPr="00BC78CF">
        <w:rPr>
          <w:strike/>
          <w:color w:val="FF0000"/>
        </w:rPr>
        <w:t>This subclause applies if:</w:t>
      </w:r>
    </w:p>
    <w:p w14:paraId="0FFA0FD3"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no disclosure option applies to the joint account; and</w:t>
      </w:r>
    </w:p>
    <w:p w14:paraId="073DCD26"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the data holder considers it necessary to avoid inviting at least one of the relevant account holders to choose a disclosure option in order to prevent physical or financial harm or abuse.</w:t>
      </w:r>
    </w:p>
    <w:p w14:paraId="68F3E6D2" w14:textId="77777777" w:rsidR="00CF0E3D" w:rsidRPr="00BC78CF" w:rsidRDefault="00CF0E3D" w:rsidP="00CF0E3D">
      <w:pPr>
        <w:pStyle w:val="ActHead5"/>
        <w:rPr>
          <w:strike/>
          <w:color w:val="FF0000"/>
        </w:rPr>
      </w:pPr>
      <w:bookmarkStart w:id="685" w:name="_Toc41042950"/>
      <w:bookmarkStart w:id="686" w:name="_Toc57219211"/>
      <w:bookmarkStart w:id="687" w:name="_Toc59549196"/>
      <w:bookmarkStart w:id="688" w:name="_Toc74916348"/>
      <w:bookmarkStart w:id="689" w:name="_Toc51337638"/>
      <w:r w:rsidRPr="00BC78CF">
        <w:rPr>
          <w:strike/>
          <w:color w:val="FF0000"/>
        </w:rPr>
        <w:t xml:space="preserve">4.14  Consumer dashboard </w:t>
      </w:r>
      <w:bookmarkEnd w:id="685"/>
      <w:r w:rsidRPr="00BC78CF">
        <w:rPr>
          <w:strike/>
          <w:color w:val="FF0000"/>
        </w:rPr>
        <w:t>for relevant account holders</w:t>
      </w:r>
      <w:bookmarkEnd w:id="686"/>
      <w:bookmarkEnd w:id="687"/>
      <w:bookmarkEnd w:id="688"/>
      <w:r w:rsidRPr="00BC78CF">
        <w:rPr>
          <w:strike/>
          <w:color w:val="FF0000"/>
        </w:rPr>
        <w:t xml:space="preserve"> </w:t>
      </w:r>
      <w:bookmarkEnd w:id="689"/>
    </w:p>
    <w:p w14:paraId="6FEAF315" w14:textId="77777777" w:rsidR="00CF0E3D" w:rsidRPr="00BC78CF" w:rsidRDefault="00CF0E3D" w:rsidP="00CF0E3D">
      <w:pPr>
        <w:pStyle w:val="SubsectionHead"/>
        <w:rPr>
          <w:strike/>
          <w:color w:val="FF0000"/>
        </w:rPr>
      </w:pPr>
      <w:r w:rsidRPr="00BC78CF">
        <w:rPr>
          <w:strike/>
          <w:color w:val="FF0000"/>
        </w:rPr>
        <w:t>Obligation for data holder to provide relevant account holders with consumer dashboard</w:t>
      </w:r>
    </w:p>
    <w:p w14:paraId="237C62F1" w14:textId="77777777" w:rsidR="00CF0E3D" w:rsidRPr="00BC78CF" w:rsidRDefault="00CF0E3D" w:rsidP="00CF0E3D">
      <w:pPr>
        <w:pStyle w:val="subsection"/>
        <w:rPr>
          <w:strike/>
          <w:color w:val="FF0000"/>
        </w:rPr>
      </w:pPr>
      <w:r w:rsidRPr="00BC78CF">
        <w:rPr>
          <w:strike/>
          <w:color w:val="FF0000"/>
        </w:rPr>
        <w:tab/>
        <w:t>(1)</w:t>
      </w:r>
      <w:r w:rsidRPr="00BC78CF">
        <w:rPr>
          <w:strike/>
          <w:color w:val="FF0000"/>
        </w:rPr>
        <w:tab/>
        <w:t>If a disclosure option applies or has applied to the joint account, the data holder must ensure that each relevant account holder has an online service that:</w:t>
      </w:r>
    </w:p>
    <w:p w14:paraId="75EC8A32"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if a disclosure option applies to the account―can be used by the relevant account holders to manage approvals to disclose CDR data in response to consumer data requests under Part 4 of these rules for CDR in relation to the joint account; and</w:t>
      </w:r>
    </w:p>
    <w:p w14:paraId="0E7E876B"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contains the details referred to in paragraph 1.15(1)(b) of these rules that relate to requests for CDR data under Part 4 of these rules in relation to the joint account; and</w:t>
      </w:r>
    </w:p>
    <w:p w14:paraId="271DD30A" w14:textId="77777777" w:rsidR="00CF0E3D" w:rsidRPr="00BC78CF" w:rsidRDefault="00CF0E3D" w:rsidP="00CF0E3D">
      <w:pPr>
        <w:pStyle w:val="paragraph"/>
        <w:rPr>
          <w:strike/>
          <w:color w:val="FF0000"/>
        </w:rPr>
      </w:pPr>
      <w:r w:rsidRPr="00BC78CF">
        <w:rPr>
          <w:strike/>
          <w:color w:val="FF0000"/>
        </w:rPr>
        <w:tab/>
        <w:t>(c)</w:t>
      </w:r>
      <w:r w:rsidRPr="00BC78CF">
        <w:rPr>
          <w:strike/>
          <w:color w:val="FF0000"/>
        </w:rPr>
        <w:tab/>
        <w:t>if a disclosure option applies to the account―has the functionality referred to in paragraph 1.15(1)(c) of these rules, as if:</w:t>
      </w:r>
    </w:p>
    <w:p w14:paraId="3E35DED4" w14:textId="77777777" w:rsidR="00CF0E3D" w:rsidRPr="00BC78CF" w:rsidRDefault="00CF0E3D" w:rsidP="00CF0E3D">
      <w:pPr>
        <w:pStyle w:val="paragraphsub"/>
        <w:rPr>
          <w:strike/>
          <w:color w:val="FF0000"/>
        </w:rPr>
      </w:pPr>
      <w:r w:rsidRPr="00BC78CF">
        <w:rPr>
          <w:strike/>
          <w:color w:val="FF0000"/>
        </w:rPr>
        <w:tab/>
        <w:t>(i)</w:t>
      </w:r>
      <w:r w:rsidRPr="00BC78CF">
        <w:rPr>
          <w:strike/>
          <w:color w:val="FF0000"/>
        </w:rPr>
        <w:tab/>
        <w:t>references in that paragraph to authorisations were instead references to approvals; and</w:t>
      </w:r>
    </w:p>
    <w:p w14:paraId="33B24DB2" w14:textId="77777777" w:rsidR="00CF0E3D" w:rsidRPr="00BC78CF" w:rsidRDefault="00CF0E3D" w:rsidP="00CF0E3D">
      <w:pPr>
        <w:pStyle w:val="paragraphsub"/>
        <w:rPr>
          <w:strike/>
          <w:color w:val="FF0000"/>
        </w:rPr>
      </w:pPr>
      <w:r w:rsidRPr="00BC78CF">
        <w:rPr>
          <w:strike/>
          <w:color w:val="FF0000"/>
        </w:rPr>
        <w:tab/>
        <w:t>(ii)</w:t>
      </w:r>
      <w:r w:rsidRPr="00BC78CF">
        <w:rPr>
          <w:strike/>
          <w:color w:val="FF0000"/>
        </w:rPr>
        <w:tab/>
        <w:t>references in that paragraph to withdrawals were instead references to removals.</w:t>
      </w:r>
    </w:p>
    <w:p w14:paraId="5A5B87F8" w14:textId="77777777" w:rsidR="00CF0E3D" w:rsidRPr="00BC78CF" w:rsidRDefault="00CF0E3D" w:rsidP="00CF0E3D">
      <w:pPr>
        <w:pStyle w:val="notetext"/>
        <w:rPr>
          <w:strike/>
          <w:color w:val="FF0000"/>
        </w:rPr>
      </w:pPr>
      <w:r w:rsidRPr="00BC78CF">
        <w:rPr>
          <w:strike/>
          <w:color w:val="FF0000"/>
        </w:rPr>
        <w:t>Note:</w:t>
      </w:r>
      <w:r w:rsidRPr="00BC78CF">
        <w:rPr>
          <w:strike/>
          <w:color w:val="FF0000"/>
        </w:rPr>
        <w:tab/>
        <w:t>This subclause is a civil penalty provision (see rule 9.8).</w:t>
      </w:r>
    </w:p>
    <w:p w14:paraId="047C1AED" w14:textId="77777777" w:rsidR="00CF0E3D" w:rsidRPr="00BC78CF" w:rsidRDefault="00CF0E3D" w:rsidP="00CF0E3D">
      <w:pPr>
        <w:pStyle w:val="subsection"/>
        <w:rPr>
          <w:strike/>
          <w:color w:val="FF0000"/>
        </w:rPr>
      </w:pPr>
      <w:bookmarkStart w:id="690" w:name="_Toc50633233"/>
      <w:r w:rsidRPr="00BC78CF">
        <w:rPr>
          <w:strike/>
          <w:color w:val="FF0000"/>
        </w:rPr>
        <w:tab/>
        <w:t>(2)</w:t>
      </w:r>
      <w:r w:rsidRPr="00BC78CF">
        <w:rPr>
          <w:strike/>
          <w:color w:val="FF0000"/>
        </w:rPr>
        <w:tab/>
        <w:t xml:space="preserve">Such a service is the data holder’s </w:t>
      </w:r>
      <w:r w:rsidRPr="00BC78CF">
        <w:rPr>
          <w:b/>
          <w:i/>
          <w:strike/>
          <w:color w:val="FF0000"/>
        </w:rPr>
        <w:t>consumer dashboard</w:t>
      </w:r>
      <w:r w:rsidRPr="00BC78CF">
        <w:rPr>
          <w:strike/>
          <w:color w:val="FF0000"/>
        </w:rPr>
        <w:t xml:space="preserve"> for </w:t>
      </w:r>
      <w:bookmarkEnd w:id="690"/>
      <w:r w:rsidRPr="00BC78CF">
        <w:rPr>
          <w:strike/>
          <w:color w:val="FF0000"/>
        </w:rPr>
        <w:t>the relevant account holder.</w:t>
      </w:r>
    </w:p>
    <w:p w14:paraId="2821A3CE" w14:textId="77777777" w:rsidR="00CF0E3D" w:rsidRPr="00BC78CF" w:rsidRDefault="00CF0E3D" w:rsidP="00CF0E3D">
      <w:pPr>
        <w:pStyle w:val="subsection"/>
        <w:rPr>
          <w:strike/>
          <w:color w:val="FF0000"/>
        </w:rPr>
      </w:pPr>
      <w:r w:rsidRPr="00BC78CF">
        <w:rPr>
          <w:strike/>
          <w:color w:val="FF0000"/>
        </w:rPr>
        <w:tab/>
        <w:t>(3)</w:t>
      </w:r>
      <w:r w:rsidRPr="00BC78CF">
        <w:rPr>
          <w:strike/>
          <w:color w:val="FF0000"/>
        </w:rPr>
        <w:tab/>
        <w:t>A data holder does not contravene subrule (1) in relation to subparagraphs 1.15(1)(c)(ii) and (iii) of these rules as referenced by paragraph (1)(c) so long as it takes reasonable steps to ensure that the functionality complies with those subparagraphs.</w:t>
      </w:r>
    </w:p>
    <w:p w14:paraId="2D95E809" w14:textId="77777777" w:rsidR="00CF0E3D" w:rsidRPr="00BC78CF" w:rsidRDefault="00CF0E3D" w:rsidP="00CF0E3D">
      <w:pPr>
        <w:pStyle w:val="SubsectionHead"/>
        <w:rPr>
          <w:strike/>
          <w:color w:val="FF0000"/>
        </w:rPr>
      </w:pPr>
      <w:r w:rsidRPr="00BC78CF">
        <w:rPr>
          <w:strike/>
          <w:color w:val="FF0000"/>
        </w:rPr>
        <w:t>Exception in the case of physical or financial harm or abuse</w:t>
      </w:r>
    </w:p>
    <w:p w14:paraId="6AF35EB5" w14:textId="77777777" w:rsidR="00CF0E3D" w:rsidRPr="00BC78CF" w:rsidRDefault="00CF0E3D" w:rsidP="00CF0E3D">
      <w:pPr>
        <w:pStyle w:val="subsection"/>
        <w:rPr>
          <w:strike/>
          <w:color w:val="FF0000"/>
        </w:rPr>
      </w:pPr>
      <w:r w:rsidRPr="00BC78CF">
        <w:rPr>
          <w:strike/>
          <w:color w:val="FF0000"/>
        </w:rPr>
        <w:tab/>
        <w:t>(4)</w:t>
      </w:r>
      <w:r w:rsidRPr="00BC78CF">
        <w:rPr>
          <w:strike/>
          <w:color w:val="FF0000"/>
        </w:rPr>
        <w:tab/>
        <w:t>Despite this clause and clause 4.15 of this Schedule, the data holder may decline:</w:t>
      </w:r>
    </w:p>
    <w:p w14:paraId="158543DC"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to provide a relevant account holder with a consumer dashboard; or</w:t>
      </w:r>
    </w:p>
    <w:p w14:paraId="34891D5F"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if a relevant account holder already has a consumer dashboard―to reflect details of the request relating to the joint account in their dashboard;</w:t>
      </w:r>
    </w:p>
    <w:p w14:paraId="0B38A62C" w14:textId="77777777" w:rsidR="00CF0E3D" w:rsidRPr="00BC78CF" w:rsidRDefault="00CF0E3D" w:rsidP="00CF0E3D">
      <w:pPr>
        <w:pStyle w:val="subsection"/>
        <w:spacing w:before="40"/>
        <w:rPr>
          <w:strike/>
          <w:color w:val="FF0000"/>
        </w:rPr>
      </w:pPr>
      <w:r w:rsidRPr="00BC78CF">
        <w:rPr>
          <w:strike/>
          <w:color w:val="FF0000"/>
        </w:rPr>
        <w:tab/>
      </w:r>
      <w:r w:rsidRPr="00BC78CF">
        <w:rPr>
          <w:strike/>
          <w:color w:val="FF0000"/>
        </w:rPr>
        <w:tab/>
        <w:t>if it considers it necessary to do either in order to prevent physical or financial harm or abuse.</w:t>
      </w:r>
    </w:p>
    <w:p w14:paraId="174BA59A" w14:textId="77777777" w:rsidR="00CF0E3D" w:rsidRPr="00BC78CF" w:rsidRDefault="00CF0E3D" w:rsidP="00CF0E3D">
      <w:pPr>
        <w:pStyle w:val="ActHead5"/>
        <w:rPr>
          <w:strike/>
          <w:color w:val="FF0000"/>
        </w:rPr>
      </w:pPr>
      <w:bookmarkStart w:id="691" w:name="_Toc51337639"/>
      <w:bookmarkStart w:id="692" w:name="_Toc57219212"/>
      <w:bookmarkStart w:id="693" w:name="_Toc59549197"/>
      <w:bookmarkStart w:id="694" w:name="_Toc74916349"/>
      <w:r w:rsidRPr="00BC78CF">
        <w:rPr>
          <w:strike/>
          <w:color w:val="FF0000"/>
        </w:rPr>
        <w:t>4.15  Consumer dashboard for the requester</w:t>
      </w:r>
      <w:bookmarkEnd w:id="691"/>
      <w:bookmarkEnd w:id="692"/>
      <w:bookmarkEnd w:id="693"/>
      <w:bookmarkEnd w:id="694"/>
    </w:p>
    <w:p w14:paraId="4C1CC096" w14:textId="77777777" w:rsidR="00CF0E3D" w:rsidRPr="00BC78CF" w:rsidRDefault="00CF0E3D" w:rsidP="00CF0E3D">
      <w:pPr>
        <w:pStyle w:val="subsection"/>
        <w:rPr>
          <w:strike/>
          <w:color w:val="FF0000"/>
        </w:rPr>
      </w:pPr>
      <w:r w:rsidRPr="00BC78CF">
        <w:rPr>
          <w:strike/>
          <w:color w:val="FF0000"/>
        </w:rPr>
        <w:tab/>
      </w:r>
      <w:r w:rsidRPr="00BC78CF">
        <w:rPr>
          <w:strike/>
          <w:color w:val="FF0000"/>
        </w:rPr>
        <w:tab/>
        <w:t>For paragraph 1.15(1)(d) of these rules, if a relevant account holder’s consumer dashboard contains details of approvals under clause 4.14 of this Schedule, the dashboards of the other joint account holders must contain those details.</w:t>
      </w:r>
    </w:p>
    <w:p w14:paraId="06152AD0" w14:textId="77777777" w:rsidR="00CF0E3D" w:rsidRPr="00BC78CF" w:rsidRDefault="00CF0E3D" w:rsidP="00CF0E3D">
      <w:pPr>
        <w:pStyle w:val="ActHead5"/>
        <w:rPr>
          <w:strike/>
          <w:color w:val="FF0000"/>
        </w:rPr>
      </w:pPr>
      <w:bookmarkStart w:id="695" w:name="_Toc51337640"/>
      <w:bookmarkStart w:id="696" w:name="_Toc57219213"/>
      <w:bookmarkStart w:id="697" w:name="_Toc59549198"/>
      <w:bookmarkStart w:id="698" w:name="_Toc74916350"/>
      <w:r w:rsidRPr="00BC78CF">
        <w:rPr>
          <w:strike/>
          <w:color w:val="FF0000"/>
        </w:rPr>
        <w:t>4.16  Notification requirements for consumer data requests on joint accounts</w:t>
      </w:r>
      <w:bookmarkEnd w:id="695"/>
      <w:bookmarkEnd w:id="696"/>
      <w:bookmarkEnd w:id="697"/>
      <w:bookmarkEnd w:id="698"/>
    </w:p>
    <w:p w14:paraId="75182BC0" w14:textId="77777777" w:rsidR="00CF0E3D" w:rsidRPr="00BC78CF" w:rsidRDefault="00CF0E3D" w:rsidP="00CF0E3D">
      <w:pPr>
        <w:pStyle w:val="subsection"/>
        <w:rPr>
          <w:strike/>
          <w:color w:val="FF0000"/>
        </w:rPr>
      </w:pPr>
      <w:r w:rsidRPr="00BC78CF">
        <w:rPr>
          <w:strike/>
          <w:color w:val="FF0000"/>
        </w:rPr>
        <w:tab/>
        <w:t>(1)</w:t>
      </w:r>
      <w:r w:rsidRPr="00BC78CF">
        <w:rPr>
          <w:strike/>
          <w:color w:val="FF0000"/>
        </w:rPr>
        <w:tab/>
        <w:t>If the requester gives, amends or withdraws an authorisation, or if an authorisation expires, the data holder must:</w:t>
      </w:r>
    </w:p>
    <w:p w14:paraId="3B535BD0"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as soon as practicable, notify each relevant account holder through its ordinary means of contacting them; and</w:t>
      </w:r>
    </w:p>
    <w:p w14:paraId="07F6062B"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if:</w:t>
      </w:r>
    </w:p>
    <w:p w14:paraId="04575DAA" w14:textId="77777777" w:rsidR="00CF0E3D" w:rsidRPr="00BC78CF" w:rsidRDefault="00CF0E3D" w:rsidP="00CF0E3D">
      <w:pPr>
        <w:pStyle w:val="paragraphsub"/>
        <w:rPr>
          <w:strike/>
          <w:color w:val="FF0000"/>
        </w:rPr>
      </w:pPr>
      <w:r w:rsidRPr="00BC78CF">
        <w:rPr>
          <w:strike/>
          <w:color w:val="FF0000"/>
        </w:rPr>
        <w:tab/>
        <w:t>(i)</w:t>
      </w:r>
      <w:r w:rsidRPr="00BC78CF">
        <w:rPr>
          <w:strike/>
          <w:color w:val="FF0000"/>
        </w:rPr>
        <w:tab/>
        <w:t>the requester is a secondary user of the joint account; and</w:t>
      </w:r>
    </w:p>
    <w:p w14:paraId="26B10585" w14:textId="77777777" w:rsidR="00CF0E3D" w:rsidRPr="00BC78CF" w:rsidRDefault="00CF0E3D" w:rsidP="00CF0E3D">
      <w:pPr>
        <w:pStyle w:val="paragraphsub"/>
        <w:rPr>
          <w:strike/>
          <w:color w:val="FF0000"/>
        </w:rPr>
      </w:pPr>
      <w:r w:rsidRPr="00BC78CF">
        <w:rPr>
          <w:strike/>
          <w:color w:val="FF0000"/>
        </w:rPr>
        <w:tab/>
        <w:t>(ii)</w:t>
      </w:r>
      <w:r w:rsidRPr="00BC78CF">
        <w:rPr>
          <w:strike/>
          <w:color w:val="FF0000"/>
        </w:rPr>
        <w:tab/>
        <w:t>no disclosure option applies to the joint account;</w:t>
      </w:r>
    </w:p>
    <w:p w14:paraId="702D9315" w14:textId="77777777" w:rsidR="00CF0E3D" w:rsidRPr="00BC78CF" w:rsidRDefault="00CF0E3D" w:rsidP="00CF0E3D">
      <w:pPr>
        <w:pStyle w:val="paragraph"/>
        <w:rPr>
          <w:strike/>
          <w:color w:val="FF0000"/>
        </w:rPr>
      </w:pPr>
      <w:r w:rsidRPr="00BC78CF">
        <w:rPr>
          <w:strike/>
          <w:color w:val="FF0000"/>
        </w:rPr>
        <w:tab/>
      </w:r>
      <w:r w:rsidRPr="00BC78CF">
        <w:rPr>
          <w:strike/>
          <w:color w:val="FF0000"/>
        </w:rPr>
        <w:tab/>
        <w:t>ask the relevant account holders to indicate which disclosure option they would like to apply to the account:</w:t>
      </w:r>
    </w:p>
    <w:p w14:paraId="1F708FAE" w14:textId="77777777" w:rsidR="00CF0E3D" w:rsidRPr="00BC78CF" w:rsidRDefault="00CF0E3D" w:rsidP="00CF0E3D">
      <w:pPr>
        <w:pStyle w:val="paragraphsub"/>
        <w:rPr>
          <w:strike/>
          <w:color w:val="FF0000"/>
        </w:rPr>
      </w:pPr>
      <w:r w:rsidRPr="00BC78CF">
        <w:rPr>
          <w:strike/>
          <w:color w:val="FF0000"/>
        </w:rPr>
        <w:tab/>
        <w:t>(iii)</w:t>
      </w:r>
      <w:r w:rsidRPr="00BC78CF">
        <w:rPr>
          <w:strike/>
          <w:color w:val="FF0000"/>
        </w:rPr>
        <w:tab/>
        <w:t>through the joint account management service; and</w:t>
      </w:r>
    </w:p>
    <w:p w14:paraId="3C44D436" w14:textId="77777777" w:rsidR="00CF0E3D" w:rsidRPr="00BC78CF" w:rsidRDefault="00CF0E3D" w:rsidP="00CF0E3D">
      <w:pPr>
        <w:pStyle w:val="paragraphsub"/>
        <w:rPr>
          <w:strike/>
          <w:color w:val="FF0000"/>
        </w:rPr>
      </w:pPr>
      <w:r w:rsidRPr="00BC78CF">
        <w:rPr>
          <w:strike/>
          <w:color w:val="FF0000"/>
        </w:rPr>
        <w:tab/>
        <w:t>(iv)</w:t>
      </w:r>
      <w:r w:rsidRPr="00BC78CF">
        <w:rPr>
          <w:strike/>
          <w:color w:val="FF0000"/>
        </w:rPr>
        <w:tab/>
        <w:t>in accordance with the data standards; and</w:t>
      </w:r>
    </w:p>
    <w:p w14:paraId="378DF8D4" w14:textId="77777777" w:rsidR="00CF0E3D" w:rsidRPr="00BC78CF" w:rsidRDefault="00CF0E3D" w:rsidP="00CF0E3D">
      <w:pPr>
        <w:pStyle w:val="paragraph"/>
        <w:rPr>
          <w:strike/>
          <w:color w:val="FF0000"/>
        </w:rPr>
      </w:pPr>
      <w:r w:rsidRPr="00BC78CF">
        <w:rPr>
          <w:strike/>
          <w:color w:val="FF0000"/>
        </w:rPr>
        <w:tab/>
        <w:t>(c)</w:t>
      </w:r>
      <w:r w:rsidRPr="00BC78CF">
        <w:rPr>
          <w:strike/>
          <w:color w:val="FF0000"/>
        </w:rPr>
        <w:tab/>
        <w:t>if a co</w:t>
      </w:r>
      <w:r w:rsidRPr="00BC78CF">
        <w:rPr>
          <w:strike/>
          <w:color w:val="FF0000"/>
        </w:rPr>
        <w:noBreakHyphen/>
        <w:t>approval option applies to the account―in the case of an amendment, include in the notification:</w:t>
      </w:r>
    </w:p>
    <w:p w14:paraId="5C8FB55B" w14:textId="77777777" w:rsidR="00CF0E3D" w:rsidRPr="00BC78CF" w:rsidRDefault="00CF0E3D" w:rsidP="00CF0E3D">
      <w:pPr>
        <w:pStyle w:val="paragraphsub"/>
        <w:rPr>
          <w:strike/>
          <w:color w:val="FF0000"/>
        </w:rPr>
      </w:pPr>
      <w:r w:rsidRPr="00BC78CF">
        <w:rPr>
          <w:strike/>
          <w:color w:val="FF0000"/>
        </w:rPr>
        <w:tab/>
        <w:t>(i)</w:t>
      </w:r>
      <w:r w:rsidRPr="00BC78CF">
        <w:rPr>
          <w:strike/>
          <w:color w:val="FF0000"/>
        </w:rPr>
        <w:tab/>
        <w:t>the nature of the amendment; and</w:t>
      </w:r>
    </w:p>
    <w:p w14:paraId="102D43D2" w14:textId="77777777" w:rsidR="00CF0E3D" w:rsidRPr="00BC78CF" w:rsidRDefault="00CF0E3D" w:rsidP="00CF0E3D">
      <w:pPr>
        <w:pStyle w:val="paragraphsub"/>
        <w:rPr>
          <w:strike/>
          <w:color w:val="FF0000"/>
        </w:rPr>
      </w:pPr>
      <w:r w:rsidRPr="00BC78CF">
        <w:rPr>
          <w:strike/>
          <w:color w:val="FF0000"/>
        </w:rPr>
        <w:tab/>
        <w:t>(ii)</w:t>
      </w:r>
      <w:r w:rsidRPr="00BC78CF">
        <w:rPr>
          <w:strike/>
          <w:color w:val="FF0000"/>
        </w:rPr>
        <w:tab/>
        <w:t>how they can remove an approval to prevent further CDR data relating to the joint account being disclosed under these rules.</w:t>
      </w:r>
    </w:p>
    <w:p w14:paraId="338F8803" w14:textId="77777777" w:rsidR="00CF0E3D" w:rsidRPr="00BC78CF" w:rsidRDefault="00CF0E3D" w:rsidP="00CF0E3D">
      <w:pPr>
        <w:pStyle w:val="notetext"/>
        <w:rPr>
          <w:strike/>
          <w:color w:val="FF0000"/>
        </w:rPr>
      </w:pPr>
      <w:r w:rsidRPr="00BC78CF">
        <w:rPr>
          <w:strike/>
          <w:color w:val="FF0000"/>
        </w:rPr>
        <w:t>Note:</w:t>
      </w:r>
      <w:r w:rsidRPr="00BC78CF">
        <w:rPr>
          <w:strike/>
          <w:color w:val="FF0000"/>
        </w:rPr>
        <w:tab/>
        <w:t>This subclause is a civil penalty provision (see rule 9.8).</w:t>
      </w:r>
    </w:p>
    <w:p w14:paraId="2461A1D3" w14:textId="77777777" w:rsidR="00CF0E3D" w:rsidRPr="00BC78CF" w:rsidRDefault="00CF0E3D" w:rsidP="00CF0E3D">
      <w:pPr>
        <w:pStyle w:val="subsection"/>
        <w:rPr>
          <w:strike/>
          <w:color w:val="FF0000"/>
        </w:rPr>
      </w:pPr>
      <w:r w:rsidRPr="00BC78CF">
        <w:rPr>
          <w:strike/>
          <w:color w:val="FF0000"/>
        </w:rPr>
        <w:tab/>
        <w:t>(2)</w:t>
      </w:r>
      <w:r w:rsidRPr="00BC78CF">
        <w:rPr>
          <w:strike/>
          <w:color w:val="FF0000"/>
        </w:rPr>
        <w:tab/>
        <w:t>If a relevant account holder:</w:t>
      </w:r>
    </w:p>
    <w:p w14:paraId="5089E11C" w14:textId="77777777" w:rsidR="00CF0E3D" w:rsidRPr="00BC78CF" w:rsidRDefault="00CF0E3D" w:rsidP="00CF0E3D">
      <w:pPr>
        <w:pStyle w:val="paragraph"/>
        <w:rPr>
          <w:strike/>
          <w:color w:val="FF0000"/>
        </w:rPr>
      </w:pPr>
      <w:r w:rsidRPr="00BC78CF">
        <w:rPr>
          <w:strike/>
          <w:color w:val="FF0000"/>
        </w:rPr>
        <w:tab/>
        <w:t>(a)</w:t>
      </w:r>
      <w:r w:rsidRPr="00BC78CF">
        <w:rPr>
          <w:strike/>
          <w:color w:val="FF0000"/>
        </w:rPr>
        <w:tab/>
        <w:t>using their consumer dashboard, gives or removes an approval; or</w:t>
      </w:r>
    </w:p>
    <w:p w14:paraId="548DD79F" w14:textId="77777777" w:rsidR="00CF0E3D" w:rsidRPr="00BC78CF" w:rsidRDefault="00CF0E3D" w:rsidP="00CF0E3D">
      <w:pPr>
        <w:pStyle w:val="paragraph"/>
        <w:rPr>
          <w:strike/>
          <w:color w:val="FF0000"/>
        </w:rPr>
      </w:pPr>
      <w:r w:rsidRPr="00BC78CF">
        <w:rPr>
          <w:strike/>
          <w:color w:val="FF0000"/>
        </w:rPr>
        <w:tab/>
        <w:t>(b)</w:t>
      </w:r>
      <w:r w:rsidRPr="00BC78CF">
        <w:rPr>
          <w:strike/>
          <w:color w:val="FF0000"/>
        </w:rPr>
        <w:tab/>
        <w:t xml:space="preserve">does not provide an approval within </w:t>
      </w:r>
      <w:r w:rsidRPr="00BC78CF">
        <w:rPr>
          <w:strike/>
          <w:color w:val="FF0000"/>
          <w:lang w:val="en-US"/>
        </w:rPr>
        <w:t xml:space="preserve">the time frame referred to in paragraph 4.11(2)(e) </w:t>
      </w:r>
      <w:r w:rsidRPr="00BC78CF">
        <w:rPr>
          <w:strike/>
          <w:color w:val="FF0000"/>
        </w:rPr>
        <w:t>of this Schedule;</w:t>
      </w:r>
    </w:p>
    <w:p w14:paraId="6095D08B" w14:textId="77777777" w:rsidR="00CF0E3D" w:rsidRPr="00BC78CF" w:rsidRDefault="00CF0E3D" w:rsidP="002D51A1">
      <w:pPr>
        <w:pStyle w:val="subsection20"/>
        <w:rPr>
          <w:strike/>
          <w:color w:val="FF0000"/>
        </w:rPr>
      </w:pPr>
      <w:r w:rsidRPr="00BC78CF">
        <w:rPr>
          <w:strike/>
          <w:color w:val="FF0000"/>
        </w:rPr>
        <w:tab/>
      </w:r>
      <w:r w:rsidRPr="00BC78CF">
        <w:rPr>
          <w:strike/>
          <w:color w:val="FF0000"/>
        </w:rPr>
        <w:tab/>
        <w:t>the data holder must notify the requester and any other relevant account holder through its ordinary means of contacting them.</w:t>
      </w:r>
    </w:p>
    <w:p w14:paraId="6E6E3FE8" w14:textId="77777777" w:rsidR="00CF0E3D" w:rsidRPr="00BC78CF" w:rsidRDefault="00CF0E3D" w:rsidP="00CF0E3D">
      <w:pPr>
        <w:pStyle w:val="notetext"/>
        <w:rPr>
          <w:strike/>
          <w:color w:val="FF0000"/>
        </w:rPr>
      </w:pPr>
      <w:r w:rsidRPr="00BC78CF">
        <w:rPr>
          <w:strike/>
          <w:color w:val="FF0000"/>
        </w:rPr>
        <w:t>Note:</w:t>
      </w:r>
      <w:r w:rsidRPr="00BC78CF">
        <w:rPr>
          <w:strike/>
          <w:color w:val="FF0000"/>
        </w:rPr>
        <w:tab/>
        <w:t>This subclause is a civil penalty provision (see rule 9.8).</w:t>
      </w:r>
    </w:p>
    <w:p w14:paraId="16969833" w14:textId="77777777" w:rsidR="00CF0E3D" w:rsidRPr="00BC78CF" w:rsidRDefault="00CF0E3D" w:rsidP="00CF0E3D">
      <w:pPr>
        <w:pStyle w:val="subsection"/>
        <w:rPr>
          <w:strike/>
          <w:color w:val="FF0000"/>
          <w:shd w:val="clear" w:color="auto" w:fill="FFFFFF"/>
        </w:rPr>
      </w:pPr>
      <w:r w:rsidRPr="00BC78CF">
        <w:rPr>
          <w:strike/>
          <w:color w:val="FF0000"/>
          <w:shd w:val="clear" w:color="auto" w:fill="FFFFFF"/>
        </w:rPr>
        <w:tab/>
        <w:t>(3)</w:t>
      </w:r>
      <w:r w:rsidRPr="00BC78CF">
        <w:rPr>
          <w:strike/>
          <w:color w:val="FF0000"/>
          <w:shd w:val="clear" w:color="auto" w:fill="FFFFFF"/>
        </w:rPr>
        <w:tab/>
        <w:t>However, a notification to a particular account holder under this clause is not required if the data holder considers it necessary to avoid notifying that account holder in order to prevent physical or financial harm or abuse.</w:t>
      </w:r>
    </w:p>
    <w:bookmarkEnd w:id="604"/>
    <w:p w14:paraId="2A59AC2E" w14:textId="2F106E72" w:rsidR="00A81512" w:rsidRDefault="00CF0E3D" w:rsidP="00CF0E3D">
      <w:pPr>
        <w:pStyle w:val="subsection"/>
        <w:spacing w:before="40"/>
      </w:pPr>
      <w:r>
        <w:tab/>
      </w:r>
      <w:r>
        <w:tab/>
      </w:r>
    </w:p>
    <w:p w14:paraId="17259DB5" w14:textId="77777777" w:rsidR="00A81512" w:rsidRPr="00A81512" w:rsidRDefault="00A81512" w:rsidP="00A81512">
      <w:pPr>
        <w:rPr>
          <w:lang w:eastAsia="en-AU"/>
        </w:rPr>
      </w:pPr>
    </w:p>
    <w:p w14:paraId="77590934" w14:textId="77777777" w:rsidR="00A81512" w:rsidRPr="00A81512" w:rsidRDefault="00A81512" w:rsidP="00A81512">
      <w:pPr>
        <w:rPr>
          <w:lang w:eastAsia="en-AU"/>
        </w:rPr>
      </w:pPr>
    </w:p>
    <w:p w14:paraId="2FE8737C" w14:textId="77777777" w:rsidR="00A81512" w:rsidRPr="00A81512" w:rsidRDefault="00A81512" w:rsidP="00A81512">
      <w:pPr>
        <w:rPr>
          <w:lang w:eastAsia="en-AU"/>
        </w:rPr>
      </w:pPr>
    </w:p>
    <w:p w14:paraId="2469E149" w14:textId="03A31DB0" w:rsidR="00A81512" w:rsidRDefault="00A81512" w:rsidP="00A81512">
      <w:pPr>
        <w:rPr>
          <w:lang w:eastAsia="en-AU"/>
        </w:rPr>
      </w:pPr>
    </w:p>
    <w:p w14:paraId="23B6A0E9" w14:textId="77777777" w:rsidR="00CF0E3D" w:rsidRPr="00A81512" w:rsidRDefault="00CF0E3D" w:rsidP="00A81512">
      <w:pPr>
        <w:jc w:val="center"/>
        <w:rPr>
          <w:lang w:eastAsia="en-AU"/>
        </w:rPr>
      </w:pPr>
    </w:p>
    <w:p w14:paraId="4D2F1768" w14:textId="77777777" w:rsidR="00CF0E3D" w:rsidRPr="00E1300D" w:rsidRDefault="00CF0E3D" w:rsidP="00CF0E3D">
      <w:pPr>
        <w:pStyle w:val="ActHead2"/>
        <w:pageBreakBefore/>
        <w:rPr>
          <w:color w:val="000000" w:themeColor="text1"/>
        </w:rPr>
      </w:pPr>
      <w:bookmarkStart w:id="699" w:name="_Toc74916351"/>
      <w:r>
        <w:rPr>
          <w:color w:val="000000" w:themeColor="text1"/>
        </w:rPr>
        <w:t>Part 5</w:t>
      </w:r>
      <w:r w:rsidRPr="00E1300D">
        <w:rPr>
          <w:color w:val="000000" w:themeColor="text1"/>
        </w:rPr>
        <w:t>—Internal dispute resolution―banking sector</w:t>
      </w:r>
      <w:bookmarkEnd w:id="699"/>
    </w:p>
    <w:p w14:paraId="22A1E18D" w14:textId="77777777" w:rsidR="00CF0E3D" w:rsidRDefault="00CF0E3D" w:rsidP="00CF0E3D">
      <w:pPr>
        <w:pStyle w:val="notemargin"/>
        <w:rPr>
          <w:color w:val="000000" w:themeColor="text1"/>
        </w:rPr>
      </w:pPr>
      <w:r w:rsidRPr="00E1300D">
        <w:rPr>
          <w:color w:val="000000" w:themeColor="text1"/>
        </w:rPr>
        <w:t>Note:</w:t>
      </w:r>
      <w:r w:rsidRPr="00E1300D">
        <w:rPr>
          <w:color w:val="000000" w:themeColor="text1"/>
        </w:rPr>
        <w:tab/>
        <w:t>See the definition of “meets the internal dispute resolution requirements” in subrule </w:t>
      </w:r>
      <w:r>
        <w:rPr>
          <w:color w:val="000000" w:themeColor="text1"/>
        </w:rPr>
        <w:t>1.7(1)</w:t>
      </w:r>
      <w:r w:rsidRPr="00E1300D">
        <w:rPr>
          <w:color w:val="000000" w:themeColor="text1"/>
        </w:rPr>
        <w:t xml:space="preserve"> of these rules, paragraph </w:t>
      </w:r>
      <w:r>
        <w:rPr>
          <w:color w:val="000000" w:themeColor="text1"/>
        </w:rPr>
        <w:t>5.12(b)</w:t>
      </w:r>
      <w:r w:rsidRPr="00E1300D">
        <w:rPr>
          <w:color w:val="000000" w:themeColor="text1"/>
        </w:rPr>
        <w:t xml:space="preserve"> of these rules, and rule </w:t>
      </w:r>
      <w:r>
        <w:rPr>
          <w:color w:val="000000" w:themeColor="text1"/>
        </w:rPr>
        <w:t>6.1</w:t>
      </w:r>
      <w:r w:rsidRPr="00E1300D">
        <w:rPr>
          <w:color w:val="000000" w:themeColor="text1"/>
        </w:rPr>
        <w:t xml:space="preserve"> of these rules.</w:t>
      </w:r>
    </w:p>
    <w:p w14:paraId="37569FDC" w14:textId="5E8FDD71" w:rsidR="00CF0E3D" w:rsidRDefault="00CF0E3D" w:rsidP="00CF0E3D">
      <w:pPr>
        <w:pStyle w:val="ActHead5"/>
        <w:rPr>
          <w:color w:val="000000" w:themeColor="text1"/>
        </w:rPr>
      </w:pPr>
      <w:bookmarkStart w:id="700" w:name="_Toc74916352"/>
      <w:r>
        <w:rPr>
          <w:color w:val="000000" w:themeColor="text1"/>
        </w:rPr>
        <w:t>5.1</w:t>
      </w:r>
      <w:r w:rsidRPr="00E1300D">
        <w:rPr>
          <w:color w:val="000000" w:themeColor="text1"/>
        </w:rPr>
        <w:t xml:space="preserve">  </w:t>
      </w:r>
      <w:r w:rsidR="00175FD7" w:rsidRPr="007E7FBF">
        <w:t xml:space="preserve"> </w:t>
      </w:r>
      <w:r w:rsidRPr="007E7FBF">
        <w:t>Internal dispute resolution</w:t>
      </w:r>
      <w:r w:rsidRPr="00E1300D">
        <w:rPr>
          <w:color w:val="000000" w:themeColor="text1"/>
        </w:rPr>
        <w:t>―banking sector</w:t>
      </w:r>
      <w:bookmarkEnd w:id="700"/>
    </w:p>
    <w:p w14:paraId="113F9943" w14:textId="77777777" w:rsidR="00CF0E3D" w:rsidRPr="00E1300D" w:rsidRDefault="00CF0E3D" w:rsidP="00CF0E3D">
      <w:pPr>
        <w:pStyle w:val="subsection"/>
        <w:rPr>
          <w:color w:val="000000" w:themeColor="text1"/>
        </w:rPr>
      </w:pPr>
      <w:r w:rsidRPr="00E1300D">
        <w:rPr>
          <w:color w:val="000000" w:themeColor="text1"/>
        </w:rPr>
        <w:tab/>
      </w:r>
      <w:r>
        <w:rPr>
          <w:color w:val="000000" w:themeColor="text1"/>
        </w:rPr>
        <w:t>(1)</w:t>
      </w:r>
      <w:r w:rsidRPr="00E1300D">
        <w:rPr>
          <w:color w:val="000000" w:themeColor="text1"/>
        </w:rPr>
        <w:tab/>
        <w:t xml:space="preserve">For the banking sector, a </w:t>
      </w:r>
      <w:r w:rsidRPr="00814B1D">
        <w:t xml:space="preserve">CDR participant </w:t>
      </w:r>
      <w:r w:rsidRPr="00E1300D">
        <w:rPr>
          <w:b/>
          <w:i/>
          <w:color w:val="000000" w:themeColor="text1"/>
        </w:rPr>
        <w:t>meets the internal dispute resolution requirements</w:t>
      </w:r>
      <w:r w:rsidRPr="00E1300D">
        <w:rPr>
          <w:color w:val="000000" w:themeColor="text1"/>
        </w:rPr>
        <w:t xml:space="preserve"> if </w:t>
      </w:r>
      <w:r w:rsidRPr="00814B1D">
        <w:t xml:space="preserve">its </w:t>
      </w:r>
      <w:r w:rsidRPr="00E1300D">
        <w:rPr>
          <w:color w:val="000000" w:themeColor="text1"/>
        </w:rPr>
        <w:t>internal dispute resolution processes comply with provisions of Regulatory Guide 165 that deal with the following:</w:t>
      </w:r>
    </w:p>
    <w:p w14:paraId="4FE746C0"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(a)</w:t>
      </w:r>
      <w:r w:rsidRPr="00E1300D">
        <w:rPr>
          <w:color w:val="000000" w:themeColor="text1"/>
        </w:rPr>
        <w:tab/>
        <w:t xml:space="preserve">guiding principles or standards that </w:t>
      </w:r>
      <w:r w:rsidRPr="00814B1D">
        <w:t xml:space="preserve">its </w:t>
      </w:r>
      <w:r w:rsidRPr="00E1300D">
        <w:rPr>
          <w:color w:val="000000" w:themeColor="text1"/>
        </w:rPr>
        <w:t>internal dispute resolution</w:t>
      </w:r>
      <w:r>
        <w:rPr>
          <w:color w:val="000000" w:themeColor="text1"/>
        </w:rPr>
        <w:t xml:space="preserve"> procedures</w:t>
      </w:r>
      <w:r w:rsidRPr="00E1300D">
        <w:rPr>
          <w:color w:val="000000" w:themeColor="text1"/>
        </w:rPr>
        <w:t xml:space="preserve"> </w:t>
      </w:r>
      <w:r>
        <w:rPr>
          <w:color w:val="000000" w:themeColor="text1"/>
        </w:rPr>
        <w:t xml:space="preserve">or processes </w:t>
      </w:r>
      <w:r w:rsidRPr="00E1300D">
        <w:rPr>
          <w:color w:val="000000" w:themeColor="text1"/>
        </w:rPr>
        <w:t>must meet regarding the following:</w:t>
      </w:r>
    </w:p>
    <w:p w14:paraId="7692226B"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(i)</w:t>
      </w:r>
      <w:r w:rsidRPr="00E1300D">
        <w:rPr>
          <w:color w:val="000000" w:themeColor="text1"/>
        </w:rPr>
        <w:tab/>
        <w:t xml:space="preserve">commitment and culture; </w:t>
      </w:r>
    </w:p>
    <w:p w14:paraId="5F3F4793"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(ii)</w:t>
      </w:r>
      <w:r w:rsidRPr="00E1300D">
        <w:rPr>
          <w:color w:val="000000" w:themeColor="text1"/>
        </w:rPr>
        <w:tab/>
        <w:t>the enabling of complaints;</w:t>
      </w:r>
    </w:p>
    <w:p w14:paraId="19A9B10A"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(iii)</w:t>
      </w:r>
      <w:r w:rsidRPr="00E1300D">
        <w:rPr>
          <w:color w:val="000000" w:themeColor="text1"/>
        </w:rPr>
        <w:tab/>
        <w:t>resourcing;</w:t>
      </w:r>
    </w:p>
    <w:p w14:paraId="1DF98FEC"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(iv)</w:t>
      </w:r>
      <w:r w:rsidRPr="00E1300D">
        <w:rPr>
          <w:color w:val="000000" w:themeColor="text1"/>
        </w:rPr>
        <w:tab/>
        <w:t>responsiveness;</w:t>
      </w:r>
    </w:p>
    <w:p w14:paraId="0A13088F"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(v)</w:t>
      </w:r>
      <w:r w:rsidRPr="00E1300D">
        <w:rPr>
          <w:color w:val="000000" w:themeColor="text1"/>
        </w:rPr>
        <w:tab/>
        <w:t>objectivity;</w:t>
      </w:r>
    </w:p>
    <w:p w14:paraId="173C15CA"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(vi)</w:t>
      </w:r>
      <w:r w:rsidRPr="00E1300D">
        <w:rPr>
          <w:color w:val="000000" w:themeColor="text1"/>
        </w:rPr>
        <w:tab/>
        <w:t>fairness;</w:t>
      </w:r>
    </w:p>
    <w:p w14:paraId="771CB6ED"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(vii)</w:t>
      </w:r>
      <w:r w:rsidRPr="00E1300D">
        <w:rPr>
          <w:color w:val="000000" w:themeColor="text1"/>
        </w:rPr>
        <w:tab/>
        <w:t>complaint data collection or recording;</w:t>
      </w:r>
    </w:p>
    <w:p w14:paraId="23A2AC6B"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(viii)</w:t>
      </w:r>
      <w:r w:rsidRPr="00E1300D">
        <w:rPr>
          <w:color w:val="000000" w:themeColor="text1"/>
        </w:rPr>
        <w:tab/>
        <w:t>internal reporting and analysis of complaint data;</w:t>
      </w:r>
    </w:p>
    <w:p w14:paraId="32BD4456"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(b)</w:t>
      </w:r>
      <w:r w:rsidRPr="00E1300D">
        <w:rPr>
          <w:color w:val="000000" w:themeColor="text1"/>
        </w:rPr>
        <w:tab/>
        <w:t xml:space="preserve">outsourcing internal dispute resolution </w:t>
      </w:r>
      <w:r>
        <w:rPr>
          <w:color w:val="000000" w:themeColor="text1"/>
        </w:rPr>
        <w:t>procedures</w:t>
      </w:r>
      <w:r w:rsidRPr="00E1300D">
        <w:rPr>
          <w:color w:val="000000" w:themeColor="text1"/>
        </w:rPr>
        <w:t>;</w:t>
      </w:r>
    </w:p>
    <w:p w14:paraId="21F36B50"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(c)</w:t>
      </w:r>
      <w:r w:rsidRPr="00E1300D">
        <w:rPr>
          <w:color w:val="000000" w:themeColor="text1"/>
        </w:rPr>
        <w:tab/>
        <w:t xml:space="preserve">the manner in which, and timeframes within which, </w:t>
      </w:r>
      <w:r w:rsidRPr="00814B1D">
        <w:t xml:space="preserve">it </w:t>
      </w:r>
      <w:r w:rsidRPr="00E1300D">
        <w:rPr>
          <w:color w:val="000000" w:themeColor="text1"/>
        </w:rPr>
        <w:t>should acknowledge, respond to and seek to resolve complaints;</w:t>
      </w:r>
    </w:p>
    <w:p w14:paraId="1268AE43"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(d)</w:t>
      </w:r>
      <w:r w:rsidRPr="00E1300D">
        <w:rPr>
          <w:color w:val="000000" w:themeColor="text1"/>
        </w:rPr>
        <w:tab/>
        <w:t xml:space="preserve">multi-tiered internal dispute resolution </w:t>
      </w:r>
      <w:r>
        <w:rPr>
          <w:color w:val="000000" w:themeColor="text1"/>
        </w:rPr>
        <w:t>procedures</w:t>
      </w:r>
      <w:r w:rsidRPr="00E1300D">
        <w:rPr>
          <w:color w:val="000000" w:themeColor="text1"/>
        </w:rPr>
        <w:t>;</w:t>
      </w:r>
    </w:p>
    <w:p w14:paraId="54F1FDC8"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(e)</w:t>
      </w:r>
      <w:r w:rsidRPr="00E1300D">
        <w:rPr>
          <w:color w:val="000000" w:themeColor="text1"/>
        </w:rPr>
        <w:tab/>
        <w:t xml:space="preserve">tailoring internal dispute resolution </w:t>
      </w:r>
      <w:r>
        <w:rPr>
          <w:color w:val="000000" w:themeColor="text1"/>
        </w:rPr>
        <w:t>procedures</w:t>
      </w:r>
      <w:r w:rsidRPr="00E1300D">
        <w:rPr>
          <w:color w:val="000000" w:themeColor="text1"/>
        </w:rPr>
        <w:t xml:space="preserve"> to </w:t>
      </w:r>
      <w:r w:rsidRPr="00814B1D">
        <w:t xml:space="preserve">its </w:t>
      </w:r>
      <w:r w:rsidRPr="00E1300D">
        <w:rPr>
          <w:color w:val="000000" w:themeColor="text1"/>
        </w:rPr>
        <w:t>business;</w:t>
      </w:r>
    </w:p>
    <w:p w14:paraId="62A1B965" w14:textId="77777777" w:rsidR="00CF0E3D" w:rsidRDefault="00CF0E3D" w:rsidP="00CF0E3D">
      <w:pPr>
        <w:pStyle w:val="paragraph"/>
        <w:rPr>
          <w:color w:val="000000" w:themeColor="text1"/>
        </w:rPr>
      </w:pPr>
      <w:r w:rsidRPr="00E1300D">
        <w:rPr>
          <w:color w:val="000000" w:themeColor="text1"/>
        </w:rPr>
        <w:tab/>
      </w:r>
      <w:r>
        <w:rPr>
          <w:color w:val="000000" w:themeColor="text1"/>
        </w:rPr>
        <w:t>(f)</w:t>
      </w:r>
      <w:r w:rsidRPr="00E1300D">
        <w:rPr>
          <w:color w:val="000000" w:themeColor="text1"/>
        </w:rPr>
        <w:tab/>
        <w:t>documenting internal facing internal dispute resolution processes</w:t>
      </w:r>
      <w:r w:rsidRPr="009556C6">
        <w:t>, policies and/or procedures</w:t>
      </w:r>
      <w:r w:rsidRPr="00E1300D">
        <w:rPr>
          <w:color w:val="000000" w:themeColor="text1"/>
        </w:rPr>
        <w:t>;</w:t>
      </w:r>
    </w:p>
    <w:p w14:paraId="71524C6D"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(g)</w:t>
      </w:r>
      <w:r w:rsidRPr="00E1300D">
        <w:rPr>
          <w:color w:val="000000" w:themeColor="text1"/>
        </w:rPr>
        <w:tab/>
        <w:t>establishing appropriate links between internal dispute resolution and external dispute resolution;</w:t>
      </w:r>
    </w:p>
    <w:p w14:paraId="7D4AF1A6" w14:textId="77777777" w:rsidR="00CF0E3D" w:rsidRPr="00E1300D" w:rsidRDefault="00CF0E3D" w:rsidP="00CF0E3D">
      <w:pPr>
        <w:pStyle w:val="subsection"/>
        <w:spacing w:before="40"/>
        <w:rPr>
          <w:color w:val="000000" w:themeColor="text1"/>
        </w:rPr>
      </w:pPr>
      <w:r w:rsidRPr="00E1300D">
        <w:rPr>
          <w:color w:val="000000" w:themeColor="text1"/>
        </w:rPr>
        <w:tab/>
      </w:r>
      <w:r w:rsidRPr="00E1300D">
        <w:rPr>
          <w:color w:val="000000" w:themeColor="text1"/>
        </w:rPr>
        <w:tab/>
        <w:t>as if</w:t>
      </w:r>
      <w:r>
        <w:rPr>
          <w:color w:val="000000" w:themeColor="text1"/>
        </w:rPr>
        <w:t xml:space="preserve"> </w:t>
      </w:r>
      <w:r w:rsidRPr="00814B1D">
        <w:t xml:space="preserve">references in </w:t>
      </w:r>
      <w:r w:rsidRPr="00C55EF2">
        <w:rPr>
          <w:rFonts w:eastAsia="Calibri"/>
        </w:rPr>
        <w:t>Regulatory Guide 165</w:t>
      </w:r>
      <w:r w:rsidRPr="00C55EF2">
        <w:rPr>
          <w:rFonts w:eastAsia="Calibri"/>
          <w:i/>
        </w:rPr>
        <w:t xml:space="preserve"> </w:t>
      </w:r>
      <w:r w:rsidRPr="00814B1D">
        <w:t>to</w:t>
      </w:r>
      <w:r w:rsidRPr="00E1300D">
        <w:rPr>
          <w:color w:val="000000" w:themeColor="text1"/>
        </w:rPr>
        <w:t>:</w:t>
      </w:r>
    </w:p>
    <w:p w14:paraId="3F25577A"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(h)</w:t>
      </w:r>
      <w:r w:rsidRPr="00E1300D">
        <w:rPr>
          <w:color w:val="000000" w:themeColor="text1"/>
        </w:rPr>
        <w:tab/>
        <w:t>complaints or disputes were references to CDR consumer complaints; and</w:t>
      </w:r>
    </w:p>
    <w:p w14:paraId="1699CBFF" w14:textId="77777777" w:rsidR="00CF0E3D" w:rsidRPr="00CF0686" w:rsidRDefault="00CF0E3D" w:rsidP="00CF0E3D">
      <w:pPr>
        <w:pStyle w:val="paragraph"/>
        <w:rPr>
          <w:color w:val="000000" w:themeColor="text1"/>
        </w:rPr>
      </w:pPr>
      <w:r w:rsidRPr="00E1300D">
        <w:rPr>
          <w:color w:val="000000" w:themeColor="text1"/>
        </w:rPr>
        <w:tab/>
      </w:r>
      <w:r>
        <w:rPr>
          <w:color w:val="000000" w:themeColor="text1"/>
        </w:rPr>
        <w:t>(i)</w:t>
      </w:r>
      <w:r>
        <w:rPr>
          <w:color w:val="000000" w:themeColor="text1"/>
        </w:rPr>
        <w:tab/>
      </w:r>
      <w:r w:rsidRPr="00814B1D">
        <w:t xml:space="preserve">financial firms and financial service providers </w:t>
      </w:r>
      <w:r w:rsidRPr="00E1300D">
        <w:rPr>
          <w:color w:val="000000" w:themeColor="text1"/>
        </w:rPr>
        <w:t>were references to CDR participants.</w:t>
      </w:r>
    </w:p>
    <w:p w14:paraId="2533C5F6" w14:textId="77777777" w:rsidR="00CF0E3D" w:rsidRPr="00E1300D" w:rsidRDefault="00CF0E3D" w:rsidP="00CF0E3D">
      <w:pPr>
        <w:pStyle w:val="subsection"/>
        <w:rPr>
          <w:color w:val="000000" w:themeColor="text1"/>
        </w:rPr>
      </w:pPr>
      <w:r w:rsidRPr="00E1300D">
        <w:rPr>
          <w:color w:val="000000" w:themeColor="text1"/>
        </w:rPr>
        <w:tab/>
      </w:r>
      <w:r>
        <w:rPr>
          <w:color w:val="000000" w:themeColor="text1"/>
        </w:rPr>
        <w:t>(2)</w:t>
      </w:r>
      <w:r w:rsidRPr="00E1300D">
        <w:rPr>
          <w:color w:val="000000" w:themeColor="text1"/>
        </w:rPr>
        <w:tab/>
      </w:r>
      <w:r w:rsidRPr="00814B1D">
        <w:t xml:space="preserve">In </w:t>
      </w:r>
      <w:r w:rsidRPr="00E1300D">
        <w:rPr>
          <w:color w:val="000000" w:themeColor="text1"/>
        </w:rPr>
        <w:t>this clause:</w:t>
      </w:r>
    </w:p>
    <w:p w14:paraId="4E3E3D6A" w14:textId="77777777" w:rsidR="00CF0E3D" w:rsidRPr="00E1300D" w:rsidRDefault="00CF0E3D" w:rsidP="00CF0E3D">
      <w:pPr>
        <w:pStyle w:val="Definition"/>
        <w:rPr>
          <w:rFonts w:eastAsia="Calibri"/>
          <w:color w:val="000000" w:themeColor="text1"/>
        </w:rPr>
      </w:pPr>
      <w:r w:rsidRPr="00E1300D">
        <w:rPr>
          <w:rFonts w:eastAsia="Calibri"/>
          <w:b/>
          <w:i/>
          <w:color w:val="000000" w:themeColor="text1"/>
        </w:rPr>
        <w:t xml:space="preserve">Regulatory Guide 165 </w:t>
      </w:r>
      <w:r w:rsidRPr="00E1300D">
        <w:rPr>
          <w:rFonts w:eastAsia="Calibri"/>
          <w:color w:val="000000" w:themeColor="text1"/>
        </w:rPr>
        <w:t>means Regulatory Guide 165</w:t>
      </w:r>
      <w:r w:rsidRPr="00E1300D">
        <w:rPr>
          <w:rFonts w:eastAsia="Calibri"/>
          <w:i/>
          <w:color w:val="000000" w:themeColor="text1"/>
        </w:rPr>
        <w:t xml:space="preserve"> </w:t>
      </w:r>
      <w:r w:rsidRPr="00E1300D">
        <w:rPr>
          <w:rFonts w:eastAsia="Calibri"/>
          <w:color w:val="000000" w:themeColor="text1"/>
        </w:rPr>
        <w:t>published by the Australian Securities &amp; Investments Commission, as in force from time to time.</w:t>
      </w:r>
    </w:p>
    <w:p w14:paraId="44C6FD8C" w14:textId="77777777" w:rsidR="00CF0E3D" w:rsidRPr="00E1300D" w:rsidRDefault="00CF0E3D" w:rsidP="00CF0E3D">
      <w:pPr>
        <w:pStyle w:val="notetext"/>
        <w:rPr>
          <w:rFonts w:eastAsia="Calibri"/>
          <w:color w:val="000000" w:themeColor="text1"/>
        </w:rPr>
      </w:pPr>
      <w:r w:rsidRPr="00E1300D">
        <w:rPr>
          <w:rFonts w:eastAsia="Calibri"/>
          <w:color w:val="000000" w:themeColor="text1"/>
        </w:rPr>
        <w:t>Note:</w:t>
      </w:r>
      <w:r w:rsidRPr="00E1300D">
        <w:rPr>
          <w:rFonts w:eastAsia="Calibri"/>
          <w:color w:val="000000" w:themeColor="text1"/>
        </w:rPr>
        <w:tab/>
        <w:t>Regulatory Guide 165</w:t>
      </w:r>
      <w:r w:rsidRPr="00E1300D">
        <w:rPr>
          <w:rFonts w:eastAsia="Calibri"/>
          <w:i/>
          <w:color w:val="000000" w:themeColor="text1"/>
        </w:rPr>
        <w:t xml:space="preserve"> </w:t>
      </w:r>
      <w:r w:rsidRPr="00E1300D">
        <w:rPr>
          <w:rFonts w:eastAsia="Calibri"/>
          <w:color w:val="000000" w:themeColor="text1"/>
        </w:rPr>
        <w:t xml:space="preserve">could in </w:t>
      </w:r>
      <w:r>
        <w:rPr>
          <w:rFonts w:eastAsia="Calibri"/>
          <w:color w:val="000000" w:themeColor="text1"/>
        </w:rPr>
        <w:t>2020</w:t>
      </w:r>
      <w:r w:rsidRPr="00E1300D">
        <w:rPr>
          <w:rFonts w:eastAsia="Calibri"/>
          <w:color w:val="000000" w:themeColor="text1"/>
        </w:rPr>
        <w:t xml:space="preserve"> be accessed from the Australian Securities &amp; Investments Commission’s website (https://asic.gov.au).</w:t>
      </w:r>
    </w:p>
    <w:p w14:paraId="20F9CF3C" w14:textId="77777777" w:rsidR="00CF0E3D" w:rsidRDefault="00CF0E3D" w:rsidP="00CF0E3D">
      <w:pPr>
        <w:pStyle w:val="ActHead2"/>
        <w:pageBreakBefore/>
      </w:pPr>
      <w:bookmarkStart w:id="701" w:name="_Toc11771743"/>
      <w:bookmarkStart w:id="702" w:name="_Toc74916353"/>
      <w:r>
        <w:t>Part 6—Staged application of these rules to the banking sector</w:t>
      </w:r>
      <w:bookmarkEnd w:id="701"/>
      <w:bookmarkEnd w:id="702"/>
    </w:p>
    <w:p w14:paraId="2A8FEF70" w14:textId="77777777" w:rsidR="00CF0E3D" w:rsidRPr="00961618" w:rsidRDefault="00CF0E3D" w:rsidP="00CF0E3D">
      <w:pPr>
        <w:pStyle w:val="ActHead3"/>
      </w:pPr>
      <w:bookmarkStart w:id="703" w:name="_Toc74916354"/>
      <w:r>
        <w:t>Division 6.1</w:t>
      </w:r>
      <w:r w:rsidRPr="0072242E">
        <w:t>—</w:t>
      </w:r>
      <w:r w:rsidRPr="00961618">
        <w:t>Preliminary</w:t>
      </w:r>
      <w:bookmarkEnd w:id="703"/>
    </w:p>
    <w:p w14:paraId="6EE16FD4" w14:textId="77777777" w:rsidR="00CF0E3D" w:rsidRPr="00961618" w:rsidRDefault="00CF0E3D" w:rsidP="00CF0E3D">
      <w:pPr>
        <w:pStyle w:val="ActHead5"/>
      </w:pPr>
      <w:bookmarkStart w:id="704" w:name="_Toc74916355"/>
      <w:r>
        <w:t>6.1</w:t>
      </w:r>
      <w:r w:rsidRPr="00961618">
        <w:t xml:space="preserve">  Interpretation</w:t>
      </w:r>
      <w:bookmarkEnd w:id="704"/>
    </w:p>
    <w:p w14:paraId="598C178B" w14:textId="77777777" w:rsidR="00CF0E3D" w:rsidRPr="00961618" w:rsidRDefault="00CF0E3D" w:rsidP="00CF0E3D">
      <w:pPr>
        <w:pStyle w:val="subsection"/>
      </w:pPr>
      <w:r w:rsidRPr="00961618">
        <w:tab/>
      </w:r>
      <w:r w:rsidRPr="00961618">
        <w:tab/>
        <w:t>In this Part:</w:t>
      </w:r>
    </w:p>
    <w:p w14:paraId="6E700F54" w14:textId="77777777" w:rsidR="00CF0E3D" w:rsidRPr="00961618" w:rsidRDefault="00CF0E3D" w:rsidP="00CF0E3D">
      <w:pPr>
        <w:pStyle w:val="Definition"/>
      </w:pPr>
      <w:r w:rsidRPr="00961618">
        <w:rPr>
          <w:b/>
          <w:i/>
        </w:rPr>
        <w:t xml:space="preserve">commencement table </w:t>
      </w:r>
      <w:r w:rsidRPr="00961618">
        <w:t>has the meaning given by clause </w:t>
      </w:r>
      <w:r>
        <w:t>6.6</w:t>
      </w:r>
      <w:r w:rsidRPr="00961618">
        <w:t>.</w:t>
      </w:r>
    </w:p>
    <w:p w14:paraId="5C08EF91" w14:textId="77777777" w:rsidR="00CF0E3D" w:rsidRPr="00961618" w:rsidRDefault="00CF0E3D" w:rsidP="00CF0E3D">
      <w:pPr>
        <w:pStyle w:val="Definition"/>
      </w:pPr>
      <w:r w:rsidRPr="00961618">
        <w:rPr>
          <w:b/>
          <w:i/>
        </w:rPr>
        <w:t xml:space="preserve">Phase 1 </w:t>
      </w:r>
      <w:r w:rsidRPr="00961618">
        <w:t>means phase 1 product.</w:t>
      </w:r>
    </w:p>
    <w:p w14:paraId="5DDB76CC" w14:textId="77777777" w:rsidR="00CF0E3D" w:rsidRDefault="00CF0E3D" w:rsidP="00CF0E3D">
      <w:pPr>
        <w:pStyle w:val="Definition"/>
      </w:pPr>
      <w:r w:rsidRPr="00961618">
        <w:rPr>
          <w:b/>
          <w:i/>
        </w:rPr>
        <w:t xml:space="preserve">Phase 2 </w:t>
      </w:r>
      <w:r>
        <w:t>means phase 2 product.</w:t>
      </w:r>
    </w:p>
    <w:p w14:paraId="47696A3E" w14:textId="77777777" w:rsidR="00CF0E3D" w:rsidRPr="00EC5815" w:rsidRDefault="00CF0E3D" w:rsidP="00CF0E3D">
      <w:pPr>
        <w:pStyle w:val="ActHead5"/>
      </w:pPr>
      <w:bookmarkStart w:id="705" w:name="_Toc11771744"/>
      <w:bookmarkStart w:id="706" w:name="_Toc74916356"/>
      <w:r>
        <w:t xml:space="preserve">6.2  Meaning of </w:t>
      </w:r>
      <w:r w:rsidRPr="00961618">
        <w:rPr>
          <w:i/>
        </w:rPr>
        <w:t>initial data holder</w:t>
      </w:r>
      <w:r>
        <w:t>,</w:t>
      </w:r>
      <w:r>
        <w:rPr>
          <w:i/>
        </w:rPr>
        <w:t xml:space="preserve"> </w:t>
      </w:r>
      <w:r w:rsidRPr="00814B1D">
        <w:rPr>
          <w:i/>
        </w:rPr>
        <w:t>accredited ADI</w:t>
      </w:r>
      <w:r w:rsidRPr="00814B1D">
        <w:t xml:space="preserve">, </w:t>
      </w:r>
      <w:r w:rsidRPr="00814B1D">
        <w:rPr>
          <w:i/>
        </w:rPr>
        <w:t>any other relevant ADI</w:t>
      </w:r>
      <w:bookmarkEnd w:id="705"/>
      <w:r>
        <w:t xml:space="preserve"> and </w:t>
      </w:r>
      <w:r w:rsidRPr="00976E52">
        <w:rPr>
          <w:i/>
        </w:rPr>
        <w:t>accredited non</w:t>
      </w:r>
      <w:r w:rsidRPr="00976E52">
        <w:rPr>
          <w:i/>
        </w:rPr>
        <w:noBreakHyphen/>
        <w:t>ADI</w:t>
      </w:r>
      <w:bookmarkEnd w:id="706"/>
      <w:r>
        <w:t xml:space="preserve"> </w:t>
      </w:r>
    </w:p>
    <w:p w14:paraId="321DA936" w14:textId="77777777" w:rsidR="00CF0E3D" w:rsidRDefault="00CF0E3D" w:rsidP="00CF0E3D">
      <w:pPr>
        <w:pStyle w:val="subsection"/>
      </w:pPr>
      <w:r>
        <w:tab/>
      </w:r>
      <w:r>
        <w:tab/>
        <w:t>For this Part, a term listed in column 1 of the table has the meaning given by column 2.</w:t>
      </w:r>
    </w:p>
    <w:p w14:paraId="36F14A8B" w14:textId="77777777" w:rsidR="00CF0E3D" w:rsidRDefault="00CF0E3D" w:rsidP="00CF0E3D">
      <w:pPr>
        <w:pStyle w:val="subsection"/>
        <w:ind w:left="0" w:firstLine="0"/>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
        <w:gridCol w:w="2088"/>
        <w:gridCol w:w="5761"/>
      </w:tblGrid>
      <w:tr w:rsidR="00CF0E3D" w:rsidRPr="00976E52" w14:paraId="72B50B1E" w14:textId="77777777" w:rsidTr="007941AE">
        <w:trPr>
          <w:tblHeader/>
        </w:trPr>
        <w:tc>
          <w:tcPr>
            <w:tcW w:w="5000" w:type="pct"/>
            <w:gridSpan w:val="3"/>
            <w:tcBorders>
              <w:top w:val="single" w:sz="12" w:space="0" w:color="auto"/>
              <w:bottom w:val="single" w:sz="2" w:space="0" w:color="auto"/>
            </w:tcBorders>
          </w:tcPr>
          <w:p w14:paraId="61C58CBD" w14:textId="77777777" w:rsidR="00CF0E3D" w:rsidRPr="00976E52" w:rsidRDefault="00CF0E3D" w:rsidP="007941AE">
            <w:pPr>
              <w:pStyle w:val="TableHeading"/>
              <w:jc w:val="center"/>
            </w:pPr>
            <w:r>
              <w:t xml:space="preserve">Meaning of </w:t>
            </w:r>
            <w:r w:rsidRPr="00961618">
              <w:rPr>
                <w:i/>
              </w:rPr>
              <w:t>initial data holder</w:t>
            </w:r>
            <w:r w:rsidRPr="00961618">
              <w:t xml:space="preserve">, </w:t>
            </w:r>
            <w:r w:rsidRPr="00814B1D">
              <w:rPr>
                <w:i/>
              </w:rPr>
              <w:t>accredited ADI</w:t>
            </w:r>
            <w:r w:rsidRPr="00814B1D">
              <w:t xml:space="preserve">, </w:t>
            </w:r>
            <w:r w:rsidRPr="00814B1D">
              <w:rPr>
                <w:i/>
              </w:rPr>
              <w:t>any other relevant ADI</w:t>
            </w:r>
            <w:r>
              <w:rPr>
                <w:i/>
              </w:rPr>
              <w:t xml:space="preserve"> </w:t>
            </w:r>
            <w:r>
              <w:t xml:space="preserve">and </w:t>
            </w:r>
            <w:r w:rsidRPr="00976E52">
              <w:rPr>
                <w:i/>
              </w:rPr>
              <w:t>accredited non</w:t>
            </w:r>
            <w:r w:rsidRPr="00976E52">
              <w:rPr>
                <w:i/>
              </w:rPr>
              <w:noBreakHyphen/>
              <w:t>ADI</w:t>
            </w:r>
          </w:p>
        </w:tc>
      </w:tr>
      <w:tr w:rsidR="00CF0E3D" w14:paraId="42CF9B01" w14:textId="77777777" w:rsidTr="007941AE">
        <w:trPr>
          <w:tblHeader/>
        </w:trPr>
        <w:tc>
          <w:tcPr>
            <w:tcW w:w="279" w:type="pct"/>
            <w:tcBorders>
              <w:top w:val="single" w:sz="2" w:space="0" w:color="auto"/>
              <w:bottom w:val="single" w:sz="12" w:space="0" w:color="auto"/>
              <w:right w:val="nil"/>
            </w:tcBorders>
          </w:tcPr>
          <w:p w14:paraId="267883A6" w14:textId="77777777" w:rsidR="00CF0E3D" w:rsidRDefault="00CF0E3D" w:rsidP="007941AE">
            <w:pPr>
              <w:pStyle w:val="TableHeading"/>
            </w:pPr>
          </w:p>
        </w:tc>
        <w:tc>
          <w:tcPr>
            <w:tcW w:w="1256" w:type="pct"/>
            <w:tcBorders>
              <w:top w:val="single" w:sz="2" w:space="0" w:color="auto"/>
              <w:left w:val="nil"/>
              <w:bottom w:val="single" w:sz="12" w:space="0" w:color="auto"/>
              <w:right w:val="nil"/>
            </w:tcBorders>
          </w:tcPr>
          <w:p w14:paraId="785F339E" w14:textId="77777777" w:rsidR="00CF0E3D" w:rsidRDefault="00CF0E3D" w:rsidP="007941AE">
            <w:pPr>
              <w:pStyle w:val="TableHeading"/>
            </w:pPr>
            <w:r>
              <w:t>Column 1</w:t>
            </w:r>
          </w:p>
        </w:tc>
        <w:tc>
          <w:tcPr>
            <w:tcW w:w="3465" w:type="pct"/>
            <w:tcBorders>
              <w:top w:val="single" w:sz="2" w:space="0" w:color="auto"/>
              <w:left w:val="nil"/>
              <w:bottom w:val="single" w:sz="12" w:space="0" w:color="auto"/>
              <w:right w:val="nil"/>
            </w:tcBorders>
          </w:tcPr>
          <w:p w14:paraId="774C3D11" w14:textId="77777777" w:rsidR="00CF0E3D" w:rsidRDefault="00CF0E3D" w:rsidP="007941AE">
            <w:pPr>
              <w:pStyle w:val="TableHeading"/>
            </w:pPr>
            <w:r>
              <w:t>Column 2</w:t>
            </w:r>
          </w:p>
        </w:tc>
      </w:tr>
      <w:tr w:rsidR="00CF0E3D" w14:paraId="584A3B7E" w14:textId="77777777" w:rsidTr="007941AE">
        <w:tc>
          <w:tcPr>
            <w:tcW w:w="279" w:type="pct"/>
            <w:tcBorders>
              <w:top w:val="single" w:sz="2" w:space="0" w:color="auto"/>
              <w:bottom w:val="single" w:sz="4" w:space="0" w:color="auto"/>
              <w:right w:val="nil"/>
            </w:tcBorders>
          </w:tcPr>
          <w:p w14:paraId="317A4982" w14:textId="77777777" w:rsidR="00CF0E3D" w:rsidRPr="00961618" w:rsidRDefault="00CF0E3D" w:rsidP="007941AE">
            <w:pPr>
              <w:pStyle w:val="Tabletext"/>
            </w:pPr>
            <w:r w:rsidRPr="00961618">
              <w:t>1</w:t>
            </w:r>
          </w:p>
        </w:tc>
        <w:tc>
          <w:tcPr>
            <w:tcW w:w="1256" w:type="pct"/>
            <w:tcBorders>
              <w:top w:val="single" w:sz="2" w:space="0" w:color="auto"/>
              <w:left w:val="nil"/>
              <w:bottom w:val="single" w:sz="4" w:space="0" w:color="auto"/>
              <w:right w:val="nil"/>
            </w:tcBorders>
          </w:tcPr>
          <w:p w14:paraId="3B62D964" w14:textId="77777777" w:rsidR="00CF0E3D" w:rsidRPr="00961618" w:rsidRDefault="00CF0E3D" w:rsidP="007941AE">
            <w:pPr>
              <w:pStyle w:val="Tabletext"/>
              <w:rPr>
                <w:b/>
                <w:i/>
              </w:rPr>
            </w:pPr>
            <w:r w:rsidRPr="00961618">
              <w:rPr>
                <w:b/>
                <w:i/>
              </w:rPr>
              <w:t>initial data holder</w:t>
            </w:r>
          </w:p>
        </w:tc>
        <w:tc>
          <w:tcPr>
            <w:tcW w:w="3465" w:type="pct"/>
            <w:tcBorders>
              <w:top w:val="single" w:sz="2" w:space="0" w:color="auto"/>
              <w:left w:val="nil"/>
              <w:bottom w:val="single" w:sz="4" w:space="0" w:color="auto"/>
              <w:right w:val="nil"/>
            </w:tcBorders>
          </w:tcPr>
          <w:p w14:paraId="5A3AB103" w14:textId="77777777" w:rsidR="00CF0E3D" w:rsidRPr="00961618" w:rsidRDefault="00CF0E3D" w:rsidP="007941AE">
            <w:pPr>
              <w:pStyle w:val="Tabletext"/>
            </w:pPr>
            <w:r w:rsidRPr="00961618">
              <w:t>Any of the following ADIs:</w:t>
            </w:r>
          </w:p>
          <w:p w14:paraId="18A59835" w14:textId="77777777" w:rsidR="00CF0E3D" w:rsidRPr="00961618" w:rsidRDefault="00CF0E3D" w:rsidP="007941AE">
            <w:pPr>
              <w:pStyle w:val="Tablea"/>
            </w:pPr>
            <w:r w:rsidRPr="00961618">
              <w:t>(a)</w:t>
            </w:r>
            <w:r w:rsidRPr="00961618">
              <w:tab/>
              <w:t>Australia and New Zealand Banking Group Limited (ANZ);</w:t>
            </w:r>
          </w:p>
          <w:p w14:paraId="23CCF41C" w14:textId="77777777" w:rsidR="00CF0E3D" w:rsidRPr="00961618" w:rsidRDefault="00CF0E3D" w:rsidP="007941AE">
            <w:pPr>
              <w:pStyle w:val="Tablea"/>
            </w:pPr>
            <w:r w:rsidRPr="00961618">
              <w:t>(b)</w:t>
            </w:r>
            <w:r w:rsidRPr="00961618">
              <w:tab/>
              <w:t>Commonwealth Bank of Australia (CBA);</w:t>
            </w:r>
          </w:p>
          <w:p w14:paraId="08BD9B42" w14:textId="77777777" w:rsidR="00CF0E3D" w:rsidRPr="00961618" w:rsidRDefault="00CF0E3D" w:rsidP="007941AE">
            <w:pPr>
              <w:pStyle w:val="Tablea"/>
            </w:pPr>
            <w:r w:rsidRPr="00961618">
              <w:t>(c)</w:t>
            </w:r>
            <w:r w:rsidRPr="00961618">
              <w:tab/>
              <w:t>National Australia Bank Limited (NAB);</w:t>
            </w:r>
          </w:p>
          <w:p w14:paraId="6CF9F895" w14:textId="77777777" w:rsidR="00CF0E3D" w:rsidRPr="00961618" w:rsidRDefault="00CF0E3D" w:rsidP="007941AE">
            <w:pPr>
              <w:pStyle w:val="Tablea"/>
            </w:pPr>
            <w:r w:rsidRPr="00961618">
              <w:t>(d)</w:t>
            </w:r>
            <w:r w:rsidRPr="00961618">
              <w:tab/>
              <w:t>Westpac Banking Corporation (Westpac).</w:t>
            </w:r>
          </w:p>
          <w:p w14:paraId="4CC26284" w14:textId="77777777" w:rsidR="00CF0E3D" w:rsidRPr="00961618" w:rsidRDefault="00CF0E3D" w:rsidP="007941AE">
            <w:pPr>
              <w:pStyle w:val="Tablea"/>
            </w:pPr>
          </w:p>
        </w:tc>
      </w:tr>
      <w:tr w:rsidR="00CF0E3D" w14:paraId="22989380" w14:textId="77777777" w:rsidTr="007941AE">
        <w:tc>
          <w:tcPr>
            <w:tcW w:w="279" w:type="pct"/>
            <w:tcBorders>
              <w:top w:val="single" w:sz="2" w:space="0" w:color="auto"/>
              <w:bottom w:val="single" w:sz="4" w:space="0" w:color="auto"/>
              <w:right w:val="nil"/>
            </w:tcBorders>
          </w:tcPr>
          <w:p w14:paraId="32D92CF0" w14:textId="77777777" w:rsidR="00CF0E3D" w:rsidRPr="00961618" w:rsidRDefault="00CF0E3D" w:rsidP="007941AE">
            <w:pPr>
              <w:pStyle w:val="Tabletext"/>
            </w:pPr>
            <w:r w:rsidRPr="00961618">
              <w:t>2</w:t>
            </w:r>
          </w:p>
        </w:tc>
        <w:tc>
          <w:tcPr>
            <w:tcW w:w="1256" w:type="pct"/>
            <w:tcBorders>
              <w:top w:val="single" w:sz="2" w:space="0" w:color="auto"/>
              <w:left w:val="nil"/>
              <w:bottom w:val="single" w:sz="4" w:space="0" w:color="auto"/>
              <w:right w:val="nil"/>
            </w:tcBorders>
          </w:tcPr>
          <w:p w14:paraId="509DB6B2" w14:textId="77777777" w:rsidR="00CF0E3D" w:rsidRDefault="00CF0E3D" w:rsidP="007941AE">
            <w:pPr>
              <w:pStyle w:val="Tabletext"/>
            </w:pPr>
            <w:r>
              <w:rPr>
                <w:b/>
                <w:i/>
              </w:rPr>
              <w:t>accredited ADI</w:t>
            </w:r>
          </w:p>
        </w:tc>
        <w:tc>
          <w:tcPr>
            <w:tcW w:w="3465" w:type="pct"/>
            <w:tcBorders>
              <w:top w:val="single" w:sz="2" w:space="0" w:color="auto"/>
              <w:left w:val="nil"/>
              <w:bottom w:val="single" w:sz="4" w:space="0" w:color="auto"/>
              <w:right w:val="nil"/>
            </w:tcBorders>
          </w:tcPr>
          <w:p w14:paraId="4D76BDC1" w14:textId="77777777" w:rsidR="00CF0E3D" w:rsidRDefault="00CF0E3D" w:rsidP="007941AE">
            <w:pPr>
              <w:pStyle w:val="Tabletext"/>
            </w:pPr>
            <w:r>
              <w:t>An ADI that:</w:t>
            </w:r>
          </w:p>
          <w:p w14:paraId="5F5A6EF3" w14:textId="77777777" w:rsidR="00CF0E3D" w:rsidRPr="00EA1E07" w:rsidRDefault="00CF0E3D" w:rsidP="007941AE">
            <w:pPr>
              <w:pStyle w:val="Tablea"/>
            </w:pPr>
            <w:r>
              <w:t>(a)</w:t>
            </w:r>
            <w:r>
              <w:tab/>
              <w:t xml:space="preserve">is </w:t>
            </w:r>
            <w:r w:rsidRPr="00EA1E07">
              <w:t>an accredited person; and</w:t>
            </w:r>
          </w:p>
          <w:p w14:paraId="2B5F5850" w14:textId="77777777" w:rsidR="00CF0E3D" w:rsidRDefault="00CF0E3D" w:rsidP="007941AE">
            <w:pPr>
              <w:pStyle w:val="Tablea"/>
            </w:pPr>
            <w:r>
              <w:t>(b)</w:t>
            </w:r>
            <w:r>
              <w:tab/>
              <w:t>is not:</w:t>
            </w:r>
          </w:p>
          <w:p w14:paraId="03CBCE75" w14:textId="77777777" w:rsidR="00CF0E3D" w:rsidRDefault="00CF0E3D" w:rsidP="007941AE">
            <w:pPr>
              <w:pStyle w:val="Tablei"/>
            </w:pPr>
            <w:r>
              <w:tab/>
              <w:t>(i)</w:t>
            </w:r>
            <w:r>
              <w:tab/>
            </w:r>
            <w:r w:rsidRPr="00B3173B">
              <w:t xml:space="preserve">an initial </w:t>
            </w:r>
            <w:r>
              <w:t>data holder; or</w:t>
            </w:r>
          </w:p>
          <w:p w14:paraId="3CBC065E" w14:textId="77777777" w:rsidR="00CF0E3D" w:rsidRPr="00956176" w:rsidRDefault="00CF0E3D" w:rsidP="007941AE">
            <w:pPr>
              <w:pStyle w:val="Tablei"/>
            </w:pPr>
            <w:r w:rsidRPr="00956176">
              <w:tab/>
              <w:t>(ii)</w:t>
            </w:r>
            <w:r w:rsidRPr="00956176">
              <w:tab/>
              <w:t>a foreign ADI; or</w:t>
            </w:r>
          </w:p>
          <w:p w14:paraId="144D0FE7" w14:textId="77777777" w:rsidR="00CF0E3D" w:rsidRPr="00956176" w:rsidRDefault="00CF0E3D" w:rsidP="007941AE">
            <w:pPr>
              <w:pStyle w:val="Tablei"/>
            </w:pPr>
            <w:r w:rsidRPr="00956176">
              <w:tab/>
              <w:t>(iii)</w:t>
            </w:r>
            <w:r w:rsidRPr="00956176">
              <w:tab/>
              <w:t>a foreign branch of a domestic bank.</w:t>
            </w:r>
          </w:p>
          <w:p w14:paraId="6B67DCE5" w14:textId="77777777" w:rsidR="00CF0E3D" w:rsidRPr="00956176" w:rsidRDefault="00CF0E3D" w:rsidP="007941AE">
            <w:pPr>
              <w:pStyle w:val="notemargin"/>
            </w:pPr>
            <w:r w:rsidRPr="00956176">
              <w:t>Note:</w:t>
            </w:r>
            <w:r w:rsidRPr="00956176">
              <w:tab/>
              <w:t>A restricted ADI could be an “accredited ADI”. However, a restricted ADI could not be an “initial data holder”, a “voluntarily participating ADI” or “any other relevant ADI”.</w:t>
            </w:r>
          </w:p>
          <w:p w14:paraId="0A921E14" w14:textId="77777777" w:rsidR="00CF0E3D" w:rsidRDefault="00CF0E3D" w:rsidP="007941AE">
            <w:pPr>
              <w:pStyle w:val="notetext"/>
              <w:ind w:left="851"/>
            </w:pPr>
          </w:p>
        </w:tc>
      </w:tr>
      <w:tr w:rsidR="00CF0E3D" w14:paraId="30FBF456" w14:textId="77777777" w:rsidTr="007941AE">
        <w:tc>
          <w:tcPr>
            <w:tcW w:w="279" w:type="pct"/>
            <w:tcBorders>
              <w:top w:val="single" w:sz="4" w:space="0" w:color="auto"/>
              <w:bottom w:val="single" w:sz="4" w:space="0" w:color="auto"/>
              <w:right w:val="nil"/>
            </w:tcBorders>
          </w:tcPr>
          <w:p w14:paraId="525F4BBF" w14:textId="77777777" w:rsidR="00CF0E3D" w:rsidRPr="00961618" w:rsidRDefault="00CF0E3D" w:rsidP="007941AE">
            <w:pPr>
              <w:pStyle w:val="Tabletext"/>
            </w:pPr>
            <w:r w:rsidRPr="00961618">
              <w:t>4</w:t>
            </w:r>
          </w:p>
        </w:tc>
        <w:tc>
          <w:tcPr>
            <w:tcW w:w="1256" w:type="pct"/>
            <w:tcBorders>
              <w:top w:val="single" w:sz="4" w:space="0" w:color="auto"/>
              <w:left w:val="nil"/>
              <w:bottom w:val="single" w:sz="4" w:space="0" w:color="auto"/>
              <w:right w:val="nil"/>
            </w:tcBorders>
          </w:tcPr>
          <w:p w14:paraId="2CE9CBB5" w14:textId="77777777" w:rsidR="00CF0E3D" w:rsidRPr="00EA1E07" w:rsidRDefault="00CF0E3D" w:rsidP="007941AE">
            <w:pPr>
              <w:pStyle w:val="Tabletext"/>
              <w:rPr>
                <w:b/>
                <w:i/>
              </w:rPr>
            </w:pPr>
            <w:r>
              <w:rPr>
                <w:b/>
                <w:i/>
              </w:rPr>
              <w:t>any other relevant ADI</w:t>
            </w:r>
          </w:p>
        </w:tc>
        <w:tc>
          <w:tcPr>
            <w:tcW w:w="3465" w:type="pct"/>
            <w:tcBorders>
              <w:top w:val="single" w:sz="4" w:space="0" w:color="auto"/>
              <w:left w:val="nil"/>
              <w:bottom w:val="single" w:sz="4" w:space="0" w:color="auto"/>
              <w:right w:val="nil"/>
            </w:tcBorders>
          </w:tcPr>
          <w:p w14:paraId="2038B91F" w14:textId="77777777" w:rsidR="00CF0E3D" w:rsidRDefault="00CF0E3D" w:rsidP="007941AE">
            <w:pPr>
              <w:pStyle w:val="Tabletext"/>
            </w:pPr>
            <w:r>
              <w:t>An ADI that is not:</w:t>
            </w:r>
          </w:p>
          <w:p w14:paraId="3B228FFC" w14:textId="77777777" w:rsidR="00CF0E3D" w:rsidRDefault="00CF0E3D" w:rsidP="007941AE">
            <w:pPr>
              <w:pStyle w:val="Tablea"/>
            </w:pPr>
            <w:r>
              <w:t>(a)</w:t>
            </w:r>
            <w:r>
              <w:tab/>
              <w:t>an initial data holder; or</w:t>
            </w:r>
          </w:p>
          <w:p w14:paraId="37FA9974" w14:textId="77777777" w:rsidR="00CF0E3D" w:rsidRDefault="00CF0E3D" w:rsidP="007941AE">
            <w:pPr>
              <w:pStyle w:val="Tablea"/>
            </w:pPr>
            <w:r>
              <w:t>(c)</w:t>
            </w:r>
            <w:r>
              <w:tab/>
              <w:t>an accredited ADI; or</w:t>
            </w:r>
          </w:p>
          <w:p w14:paraId="23DDC7FE" w14:textId="77777777" w:rsidR="00CF0E3D" w:rsidRPr="00956176" w:rsidRDefault="00CF0E3D" w:rsidP="007941AE">
            <w:pPr>
              <w:pStyle w:val="Tablea"/>
            </w:pPr>
            <w:r>
              <w:t>(d)</w:t>
            </w:r>
            <w:r>
              <w:tab/>
              <w:t>a</w:t>
            </w:r>
            <w:r w:rsidRPr="00956176">
              <w:t xml:space="preserve"> foreign ADI; or</w:t>
            </w:r>
          </w:p>
          <w:p w14:paraId="0E4E0E61" w14:textId="77777777" w:rsidR="00CF0E3D" w:rsidRPr="00956176" w:rsidRDefault="00CF0E3D" w:rsidP="007941AE">
            <w:pPr>
              <w:pStyle w:val="Tablea"/>
            </w:pPr>
            <w:r w:rsidRPr="00956176">
              <w:tab/>
              <w:t>(e)</w:t>
            </w:r>
            <w:r w:rsidRPr="00956176">
              <w:tab/>
              <w:t>a foreign bank branch of a domestic bank; or</w:t>
            </w:r>
          </w:p>
          <w:p w14:paraId="638A4E11" w14:textId="77777777" w:rsidR="00CF0E3D" w:rsidRPr="00956176" w:rsidRDefault="00CF0E3D" w:rsidP="007941AE">
            <w:pPr>
              <w:pStyle w:val="Tablea"/>
            </w:pPr>
            <w:r w:rsidRPr="00956176">
              <w:t>(f)</w:t>
            </w:r>
            <w:r w:rsidRPr="00956176">
              <w:tab/>
              <w:t>a restricted ADI.</w:t>
            </w:r>
          </w:p>
          <w:p w14:paraId="4BE1D02C" w14:textId="77777777" w:rsidR="00CF0E3D" w:rsidRDefault="00CF0E3D" w:rsidP="007941AE">
            <w:pPr>
              <w:pStyle w:val="Tablea"/>
            </w:pPr>
          </w:p>
        </w:tc>
      </w:tr>
      <w:tr w:rsidR="00CF0E3D" w:rsidRPr="00814B1D" w14:paraId="10A6DA8F" w14:textId="77777777" w:rsidTr="007941AE">
        <w:tc>
          <w:tcPr>
            <w:tcW w:w="279" w:type="pct"/>
            <w:tcBorders>
              <w:top w:val="single" w:sz="4" w:space="0" w:color="auto"/>
              <w:bottom w:val="single" w:sz="12" w:space="0" w:color="auto"/>
              <w:right w:val="nil"/>
            </w:tcBorders>
          </w:tcPr>
          <w:p w14:paraId="4CD9649A" w14:textId="77777777" w:rsidR="00CF0E3D" w:rsidRPr="00961618" w:rsidRDefault="00CF0E3D" w:rsidP="007941AE">
            <w:pPr>
              <w:pStyle w:val="Tabletext"/>
            </w:pPr>
            <w:r w:rsidRPr="00961618">
              <w:t>5</w:t>
            </w:r>
          </w:p>
        </w:tc>
        <w:tc>
          <w:tcPr>
            <w:tcW w:w="1256" w:type="pct"/>
            <w:tcBorders>
              <w:top w:val="single" w:sz="4" w:space="0" w:color="auto"/>
              <w:left w:val="nil"/>
              <w:bottom w:val="single" w:sz="12" w:space="0" w:color="auto"/>
              <w:right w:val="nil"/>
            </w:tcBorders>
          </w:tcPr>
          <w:p w14:paraId="4AF54E39" w14:textId="77777777" w:rsidR="00CF0E3D" w:rsidRPr="005F3D40" w:rsidRDefault="00CF0E3D" w:rsidP="007941AE">
            <w:pPr>
              <w:pStyle w:val="Tabletext"/>
              <w:rPr>
                <w:b/>
                <w:i/>
                <w:color w:val="000000" w:themeColor="text1"/>
              </w:rPr>
            </w:pPr>
            <w:r w:rsidRPr="00814B1D">
              <w:rPr>
                <w:b/>
                <w:i/>
              </w:rPr>
              <w:t>accredited non</w:t>
            </w:r>
            <w:r w:rsidRPr="00814B1D">
              <w:rPr>
                <w:b/>
                <w:i/>
              </w:rPr>
              <w:noBreakHyphen/>
              <w:t>ADI</w:t>
            </w:r>
          </w:p>
        </w:tc>
        <w:tc>
          <w:tcPr>
            <w:tcW w:w="3465" w:type="pct"/>
            <w:tcBorders>
              <w:top w:val="single" w:sz="4" w:space="0" w:color="auto"/>
              <w:left w:val="nil"/>
              <w:bottom w:val="single" w:sz="12" w:space="0" w:color="auto"/>
              <w:right w:val="nil"/>
            </w:tcBorders>
          </w:tcPr>
          <w:p w14:paraId="3FC6B839" w14:textId="77777777" w:rsidR="00CF0E3D" w:rsidRPr="00814B1D" w:rsidRDefault="00CF0E3D" w:rsidP="007941AE">
            <w:pPr>
              <w:pStyle w:val="Tabletext"/>
            </w:pPr>
            <w:r w:rsidRPr="00814B1D">
              <w:t>An accredited person that is:</w:t>
            </w:r>
          </w:p>
          <w:p w14:paraId="4596428A" w14:textId="77777777" w:rsidR="00CF0E3D" w:rsidRPr="00814B1D" w:rsidRDefault="00CF0E3D" w:rsidP="007941AE">
            <w:pPr>
              <w:pStyle w:val="Tablea"/>
            </w:pPr>
            <w:r w:rsidRPr="00814B1D">
              <w:t>(a)</w:t>
            </w:r>
            <w:r w:rsidRPr="00814B1D">
              <w:tab/>
              <w:t>a data holder; but</w:t>
            </w:r>
          </w:p>
          <w:p w14:paraId="30838E30" w14:textId="77777777" w:rsidR="00CF0E3D" w:rsidRPr="00814B1D" w:rsidRDefault="00CF0E3D" w:rsidP="007941AE">
            <w:pPr>
              <w:pStyle w:val="Tablea"/>
            </w:pPr>
            <w:r w:rsidRPr="00814B1D">
              <w:t>(b)</w:t>
            </w:r>
            <w:r w:rsidRPr="00814B1D">
              <w:tab/>
              <w:t>not an ADI.</w:t>
            </w:r>
          </w:p>
          <w:p w14:paraId="41F28A0D" w14:textId="77777777" w:rsidR="00CF0E3D" w:rsidRPr="00814B1D" w:rsidRDefault="00CF0E3D" w:rsidP="007941AE">
            <w:pPr>
              <w:pStyle w:val="Tablea"/>
            </w:pPr>
          </w:p>
        </w:tc>
      </w:tr>
    </w:tbl>
    <w:p w14:paraId="6C1B5E83" w14:textId="77777777" w:rsidR="00CF0E3D" w:rsidRDefault="00CF0E3D" w:rsidP="00CF0E3D">
      <w:pPr>
        <w:pStyle w:val="subsection"/>
      </w:pPr>
    </w:p>
    <w:p w14:paraId="7105BB20" w14:textId="77777777" w:rsidR="00CF0E3D" w:rsidRDefault="00CF0E3D" w:rsidP="00CF0E3D">
      <w:pPr>
        <w:pStyle w:val="ActHead3"/>
        <w:pageBreakBefore/>
        <w:rPr>
          <w:color w:val="000000" w:themeColor="text1"/>
        </w:rPr>
      </w:pPr>
      <w:bookmarkStart w:id="707" w:name="_Toc74916357"/>
      <w:r>
        <w:rPr>
          <w:color w:val="000000" w:themeColor="text1"/>
        </w:rPr>
        <w:t>Division 6.2</w:t>
      </w:r>
      <w:r w:rsidRPr="0072242E">
        <w:rPr>
          <w:color w:val="000000" w:themeColor="text1"/>
        </w:rPr>
        <w:t>—Staged application of rules</w:t>
      </w:r>
      <w:bookmarkEnd w:id="707"/>
    </w:p>
    <w:p w14:paraId="03E8BE6E" w14:textId="77777777" w:rsidR="00CF0E3D" w:rsidRPr="004166C9" w:rsidRDefault="00CF0E3D" w:rsidP="00CF0E3D">
      <w:pPr>
        <w:pStyle w:val="ActHead5"/>
      </w:pPr>
      <w:bookmarkStart w:id="708" w:name="_Toc74916358"/>
      <w:r>
        <w:t>6.4</w:t>
      </w:r>
      <w:r w:rsidRPr="004166C9">
        <w:t xml:space="preserve">  Staged application of rules―requirement to disclose CDR data</w:t>
      </w:r>
      <w:bookmarkEnd w:id="708"/>
    </w:p>
    <w:p w14:paraId="12DE228F" w14:textId="77777777" w:rsidR="00CF0E3D" w:rsidRPr="004166C9" w:rsidRDefault="00CF0E3D" w:rsidP="00CF0E3D">
      <w:pPr>
        <w:pStyle w:val="subsection"/>
      </w:pPr>
      <w:r w:rsidRPr="004166C9">
        <w:tab/>
      </w:r>
      <w:r>
        <w:t>(1)</w:t>
      </w:r>
      <w:r w:rsidRPr="004166C9">
        <w:tab/>
        <w:t>This clause applies if:</w:t>
      </w:r>
    </w:p>
    <w:p w14:paraId="6EE07BF2" w14:textId="77777777" w:rsidR="00CF0E3D" w:rsidRPr="0087060A" w:rsidRDefault="00CF0E3D" w:rsidP="00CF0E3D">
      <w:pPr>
        <w:pStyle w:val="paragraph"/>
      </w:pPr>
      <w:r w:rsidRPr="0087060A">
        <w:tab/>
        <w:t>(a)</w:t>
      </w:r>
      <w:r w:rsidRPr="0087060A">
        <w:tab/>
        <w:t>a product data request or a consumer data request is made to a data holder of a kind referred to in column 1 of the commencement table; and</w:t>
      </w:r>
    </w:p>
    <w:p w14:paraId="34FFF55D" w14:textId="77777777" w:rsidR="00CF0E3D" w:rsidRPr="004166C9" w:rsidRDefault="00CF0E3D" w:rsidP="00CF0E3D">
      <w:pPr>
        <w:pStyle w:val="paragraph"/>
      </w:pPr>
      <w:r w:rsidRPr="004166C9">
        <w:tab/>
      </w:r>
      <w:r>
        <w:t>(b)</w:t>
      </w:r>
      <w:r w:rsidRPr="004166C9">
        <w:tab/>
        <w:t>the request is made under a Part of these rules referred to in column 2 of the commencement table; and</w:t>
      </w:r>
    </w:p>
    <w:p w14:paraId="5A74D3C4" w14:textId="77777777" w:rsidR="00CF0E3D" w:rsidRPr="004166C9" w:rsidRDefault="00CF0E3D" w:rsidP="00CF0E3D">
      <w:pPr>
        <w:pStyle w:val="paragraph"/>
      </w:pPr>
      <w:r w:rsidRPr="004166C9">
        <w:tab/>
      </w:r>
      <w:r>
        <w:t>(c)</w:t>
      </w:r>
      <w:r w:rsidRPr="004166C9">
        <w:tab/>
        <w:t xml:space="preserve">the request is </w:t>
      </w:r>
      <w:r w:rsidRPr="00F275B4">
        <w:t xml:space="preserve">made after the commencement of these rules and during </w:t>
      </w:r>
      <w:r w:rsidRPr="004166C9">
        <w:t xml:space="preserve">a period referred to in any of </w:t>
      </w:r>
      <w:r>
        <w:t>the other columns</w:t>
      </w:r>
      <w:r w:rsidRPr="004166C9">
        <w:t xml:space="preserve"> of the commencement table.</w:t>
      </w:r>
    </w:p>
    <w:p w14:paraId="4EECDE05" w14:textId="77777777" w:rsidR="00CF0E3D" w:rsidRPr="004166C9" w:rsidRDefault="00CF0E3D" w:rsidP="00CF0E3D">
      <w:pPr>
        <w:pStyle w:val="subsection"/>
      </w:pPr>
      <w:r w:rsidRPr="004166C9">
        <w:tab/>
      </w:r>
      <w:r>
        <w:t>(2)</w:t>
      </w:r>
      <w:r w:rsidRPr="004166C9">
        <w:tab/>
        <w:t xml:space="preserve">Despite clause 3.1A of this Schedule, for the request, </w:t>
      </w:r>
      <w:r>
        <w:t>Part 3</w:t>
      </w:r>
      <w:r w:rsidRPr="004166C9">
        <w:t xml:space="preserve"> of this Schedule applies in relation to the kinds of product referred to in the relevant cell of the commencement table.</w:t>
      </w:r>
    </w:p>
    <w:p w14:paraId="5506FEFE" w14:textId="1D8EFF41" w:rsidR="00AD3411" w:rsidRPr="00AD3411" w:rsidRDefault="00AD3411" w:rsidP="00AD3411">
      <w:pPr>
        <w:pStyle w:val="subsection"/>
        <w:rPr>
          <w:color w:val="FF0000"/>
        </w:rPr>
      </w:pPr>
      <w:r w:rsidRPr="00AD3411">
        <w:rPr>
          <w:color w:val="FF0000"/>
        </w:rPr>
        <w:tab/>
        <w:t>(3)</w:t>
      </w:r>
      <w:r w:rsidRPr="00AD3411">
        <w:rPr>
          <w:color w:val="FF0000"/>
        </w:rPr>
        <w:tab/>
        <w:t xml:space="preserve">Where a table cell includes the term </w:t>
      </w:r>
      <w:r w:rsidRPr="00AD3411">
        <w:rPr>
          <w:b/>
          <w:i/>
          <w:color w:val="FF0000"/>
        </w:rPr>
        <w:t>JAE</w:t>
      </w:r>
      <w:r w:rsidRPr="00AD3411">
        <w:rPr>
          <w:i/>
          <w:color w:val="FF0000"/>
        </w:rPr>
        <w:t xml:space="preserve"> </w:t>
      </w:r>
      <w:r w:rsidRPr="00AD3411">
        <w:rPr>
          <w:color w:val="FF0000"/>
        </w:rPr>
        <w:t>(for “joint accounts excepted”), despite these rules, the data holder is not required to disclose required consumer data about a product that relates to joint accounts.</w:t>
      </w:r>
    </w:p>
    <w:p w14:paraId="64001F97" w14:textId="52F14665" w:rsidR="00AD3411" w:rsidRPr="00AD3411" w:rsidRDefault="00AD3411" w:rsidP="00AD3411">
      <w:pPr>
        <w:pStyle w:val="subsection"/>
        <w:rPr>
          <w:color w:val="FF0000"/>
        </w:rPr>
      </w:pPr>
      <w:r w:rsidRPr="00AD3411">
        <w:rPr>
          <w:color w:val="FF0000"/>
        </w:rPr>
        <w:tab/>
        <w:t>(4)</w:t>
      </w:r>
      <w:r w:rsidRPr="00AD3411">
        <w:rPr>
          <w:color w:val="FF0000"/>
        </w:rPr>
        <w:tab/>
        <w:t xml:space="preserve">Where a table cell includes the term </w:t>
      </w:r>
      <w:r w:rsidR="005D3DB0">
        <w:rPr>
          <w:b/>
          <w:i/>
          <w:color w:val="FF0000"/>
        </w:rPr>
        <w:t>COD</w:t>
      </w:r>
      <w:r w:rsidRPr="00AD3411">
        <w:rPr>
          <w:b/>
          <w:i/>
          <w:color w:val="FF0000"/>
        </w:rPr>
        <w:t>E</w:t>
      </w:r>
      <w:r w:rsidRPr="00AD3411">
        <w:rPr>
          <w:i/>
          <w:color w:val="FF0000"/>
        </w:rPr>
        <w:t xml:space="preserve"> </w:t>
      </w:r>
      <w:r w:rsidRPr="00AD3411">
        <w:rPr>
          <w:color w:val="FF0000"/>
        </w:rPr>
        <w:t>(for “</w:t>
      </w:r>
      <w:r w:rsidR="005D3DB0">
        <w:rPr>
          <w:color w:val="FF0000"/>
        </w:rPr>
        <w:t xml:space="preserve">certain </w:t>
      </w:r>
      <w:r w:rsidRPr="00AD3411">
        <w:rPr>
          <w:color w:val="FF0000"/>
        </w:rPr>
        <w:t xml:space="preserve">other </w:t>
      </w:r>
      <w:r w:rsidR="005D3DB0">
        <w:rPr>
          <w:color w:val="FF0000"/>
        </w:rPr>
        <w:t>data</w:t>
      </w:r>
      <w:r w:rsidRPr="00AD3411">
        <w:rPr>
          <w:color w:val="FF0000"/>
        </w:rPr>
        <w:t xml:space="preserve"> excepted”), despite these rules, the data holder is not required to disclose required consumer data about </w:t>
      </w:r>
      <w:r w:rsidR="0029451B">
        <w:rPr>
          <w:color w:val="FF0000"/>
        </w:rPr>
        <w:t xml:space="preserve">a </w:t>
      </w:r>
      <w:r w:rsidRPr="0029451B">
        <w:rPr>
          <w:color w:val="FF0000"/>
        </w:rPr>
        <w:t xml:space="preserve">phase 1 </w:t>
      </w:r>
      <w:r w:rsidRPr="00AD3411">
        <w:rPr>
          <w:color w:val="FF0000"/>
        </w:rPr>
        <w:t>product that:</w:t>
      </w:r>
    </w:p>
    <w:p w14:paraId="73C8D5D2" w14:textId="77777777" w:rsidR="00AD3411" w:rsidRPr="00AD3411" w:rsidRDefault="00AD3411" w:rsidP="00AD3411">
      <w:pPr>
        <w:pStyle w:val="paragraph"/>
        <w:rPr>
          <w:color w:val="FF0000"/>
        </w:rPr>
      </w:pPr>
      <w:r w:rsidRPr="00AD3411">
        <w:rPr>
          <w:color w:val="FF0000"/>
        </w:rPr>
        <w:tab/>
        <w:t>(a)</w:t>
      </w:r>
      <w:r w:rsidRPr="00AD3411">
        <w:rPr>
          <w:color w:val="FF0000"/>
        </w:rPr>
        <w:tab/>
        <w:t>relates to any of the following:</w:t>
      </w:r>
    </w:p>
    <w:p w14:paraId="28DD186D" w14:textId="7017011F" w:rsidR="00AD3411" w:rsidRPr="00AD3411" w:rsidRDefault="00AD3411" w:rsidP="00AD3411">
      <w:pPr>
        <w:pStyle w:val="paragraphsub"/>
        <w:rPr>
          <w:color w:val="FF0000"/>
        </w:rPr>
      </w:pPr>
      <w:r w:rsidRPr="00AD3411">
        <w:rPr>
          <w:color w:val="FF0000"/>
        </w:rPr>
        <w:tab/>
        <w:t>(i)</w:t>
      </w:r>
      <w:r w:rsidRPr="00AD3411">
        <w:rPr>
          <w:color w:val="FF0000"/>
        </w:rPr>
        <w:tab/>
        <w:t>closed accounts;</w:t>
      </w:r>
    </w:p>
    <w:p w14:paraId="44FEE171" w14:textId="3D9305FC" w:rsidR="00AD3411" w:rsidRPr="00AD3411" w:rsidRDefault="00AD3411" w:rsidP="00AD3411">
      <w:pPr>
        <w:pStyle w:val="paragraphsub"/>
        <w:rPr>
          <w:color w:val="FF0000"/>
        </w:rPr>
      </w:pPr>
      <w:r w:rsidRPr="00AD3411">
        <w:rPr>
          <w:color w:val="FF0000"/>
        </w:rPr>
        <w:tab/>
        <w:t>(ii)</w:t>
      </w:r>
      <w:r w:rsidRPr="00AD3411">
        <w:rPr>
          <w:color w:val="FF0000"/>
        </w:rPr>
        <w:tab/>
        <w:t>direct debits;</w:t>
      </w:r>
    </w:p>
    <w:p w14:paraId="011B8FB6" w14:textId="1FCF87EA" w:rsidR="00AD3411" w:rsidRPr="00AD3411" w:rsidRDefault="00AD3411" w:rsidP="00AD3411">
      <w:pPr>
        <w:pStyle w:val="paragraphsub"/>
        <w:rPr>
          <w:color w:val="FF0000"/>
        </w:rPr>
      </w:pPr>
      <w:r w:rsidRPr="00AD3411">
        <w:rPr>
          <w:color w:val="FF0000"/>
        </w:rPr>
        <w:tab/>
        <w:t>(iii)</w:t>
      </w:r>
      <w:r w:rsidRPr="00AD3411">
        <w:rPr>
          <w:color w:val="FF0000"/>
        </w:rPr>
        <w:tab/>
        <w:t>scheduled payments;</w:t>
      </w:r>
    </w:p>
    <w:p w14:paraId="1964DC90" w14:textId="779DCD3C" w:rsidR="00AD3411" w:rsidRPr="00AD3411" w:rsidRDefault="00AD3411" w:rsidP="00AD3411">
      <w:pPr>
        <w:pStyle w:val="paragraphsub"/>
        <w:rPr>
          <w:color w:val="FF0000"/>
        </w:rPr>
      </w:pPr>
      <w:r w:rsidRPr="00AD3411">
        <w:rPr>
          <w:color w:val="FF0000"/>
        </w:rPr>
        <w:tab/>
        <w:t>(iv)</w:t>
      </w:r>
      <w:r w:rsidRPr="00AD3411">
        <w:rPr>
          <w:color w:val="FF0000"/>
        </w:rPr>
        <w:tab/>
        <w:t>payees; or</w:t>
      </w:r>
    </w:p>
    <w:p w14:paraId="4D6E3091" w14:textId="77777777" w:rsidR="00AD3411" w:rsidRPr="00AD3411" w:rsidRDefault="00AD3411" w:rsidP="00AD3411">
      <w:pPr>
        <w:pStyle w:val="paragraph"/>
        <w:rPr>
          <w:color w:val="FF0000"/>
        </w:rPr>
      </w:pPr>
      <w:r w:rsidRPr="00AD3411">
        <w:rPr>
          <w:color w:val="FF0000"/>
        </w:rPr>
        <w:tab/>
        <w:t>(b)</w:t>
      </w:r>
      <w:r w:rsidRPr="00AD3411">
        <w:rPr>
          <w:color w:val="FF0000"/>
        </w:rPr>
        <w:tab/>
        <w:t>is “get account detail” or “get customer detail” data within the meaning of the data standards.</w:t>
      </w:r>
    </w:p>
    <w:p w14:paraId="700E3B28" w14:textId="42F55AE7" w:rsidR="00CF0E3D" w:rsidRPr="00AD3411" w:rsidRDefault="00AD3411" w:rsidP="00AD3411">
      <w:pPr>
        <w:pStyle w:val="subsection"/>
        <w:rPr>
          <w:strike/>
          <w:color w:val="FF0000"/>
        </w:rPr>
      </w:pPr>
      <w:r w:rsidRPr="00AD3411">
        <w:rPr>
          <w:strike/>
          <w:color w:val="FF0000"/>
        </w:rPr>
        <w:t xml:space="preserve"> </w:t>
      </w:r>
      <w:r w:rsidRPr="00AD3411">
        <w:rPr>
          <w:strike/>
          <w:color w:val="FF0000"/>
        </w:rPr>
        <w:tab/>
      </w:r>
      <w:r w:rsidR="00CF0E3D" w:rsidRPr="00AD3411">
        <w:rPr>
          <w:strike/>
          <w:color w:val="FF0000"/>
        </w:rPr>
        <w:t>(3)</w:t>
      </w:r>
      <w:r w:rsidR="00CF0E3D" w:rsidRPr="00AD3411">
        <w:rPr>
          <w:strike/>
          <w:color w:val="FF0000"/>
        </w:rPr>
        <w:tab/>
        <w:t>Where a table cell refers to this subclause, despite these rules, the data holder is not required to disclose required consumer data about a phase 1 product that:</w:t>
      </w:r>
    </w:p>
    <w:p w14:paraId="6D006976" w14:textId="77777777" w:rsidR="00CF0E3D" w:rsidRPr="00AD3411" w:rsidRDefault="00CF0E3D" w:rsidP="00CF0E3D">
      <w:pPr>
        <w:pStyle w:val="paragraph"/>
        <w:rPr>
          <w:strike/>
          <w:color w:val="FF0000"/>
        </w:rPr>
      </w:pPr>
      <w:r w:rsidRPr="00AD3411">
        <w:rPr>
          <w:strike/>
          <w:color w:val="FF0000"/>
        </w:rPr>
        <w:tab/>
        <w:t>(a)</w:t>
      </w:r>
      <w:r w:rsidRPr="00AD3411">
        <w:rPr>
          <w:strike/>
          <w:color w:val="FF0000"/>
        </w:rPr>
        <w:tab/>
        <w:t>relates to any of the following:</w:t>
      </w:r>
    </w:p>
    <w:p w14:paraId="43DABE7E" w14:textId="77777777" w:rsidR="00CF0E3D" w:rsidRPr="00AD3411" w:rsidRDefault="00CF0E3D" w:rsidP="00CF0E3D">
      <w:pPr>
        <w:pStyle w:val="paragraphsub"/>
        <w:rPr>
          <w:strike/>
          <w:color w:val="FF0000"/>
        </w:rPr>
      </w:pPr>
      <w:r w:rsidRPr="00AD3411">
        <w:rPr>
          <w:strike/>
          <w:color w:val="FF0000"/>
        </w:rPr>
        <w:tab/>
        <w:t>(i)</w:t>
      </w:r>
      <w:r w:rsidRPr="00AD3411">
        <w:rPr>
          <w:strike/>
          <w:color w:val="FF0000"/>
        </w:rPr>
        <w:tab/>
        <w:t>joint accounts;</w:t>
      </w:r>
    </w:p>
    <w:p w14:paraId="39CAAD88" w14:textId="77777777" w:rsidR="00CF0E3D" w:rsidRPr="00AD3411" w:rsidRDefault="00CF0E3D" w:rsidP="00CF0E3D">
      <w:pPr>
        <w:pStyle w:val="paragraphsub"/>
        <w:rPr>
          <w:strike/>
          <w:color w:val="FF0000"/>
        </w:rPr>
      </w:pPr>
      <w:r w:rsidRPr="00AD3411">
        <w:rPr>
          <w:strike/>
          <w:color w:val="FF0000"/>
        </w:rPr>
        <w:tab/>
        <w:t>(ii)</w:t>
      </w:r>
      <w:r w:rsidRPr="00AD3411">
        <w:rPr>
          <w:strike/>
          <w:color w:val="FF0000"/>
        </w:rPr>
        <w:tab/>
        <w:t>closed accounts;</w:t>
      </w:r>
    </w:p>
    <w:p w14:paraId="2F70185E" w14:textId="77777777" w:rsidR="00CF0E3D" w:rsidRPr="00AD3411" w:rsidRDefault="00CF0E3D" w:rsidP="00CF0E3D">
      <w:pPr>
        <w:pStyle w:val="paragraphsub"/>
        <w:rPr>
          <w:strike/>
          <w:color w:val="FF0000"/>
        </w:rPr>
      </w:pPr>
      <w:r w:rsidRPr="00AD3411">
        <w:rPr>
          <w:strike/>
          <w:color w:val="FF0000"/>
        </w:rPr>
        <w:tab/>
        <w:t>(iii)</w:t>
      </w:r>
      <w:r w:rsidRPr="00AD3411">
        <w:rPr>
          <w:strike/>
          <w:color w:val="FF0000"/>
        </w:rPr>
        <w:tab/>
        <w:t>direct debits;</w:t>
      </w:r>
    </w:p>
    <w:p w14:paraId="7A639F71" w14:textId="77777777" w:rsidR="00CF0E3D" w:rsidRPr="00AD3411" w:rsidRDefault="00CF0E3D" w:rsidP="00CF0E3D">
      <w:pPr>
        <w:pStyle w:val="paragraphsub"/>
        <w:rPr>
          <w:strike/>
          <w:color w:val="FF0000"/>
        </w:rPr>
      </w:pPr>
      <w:r w:rsidRPr="00AD3411">
        <w:rPr>
          <w:strike/>
          <w:color w:val="FF0000"/>
        </w:rPr>
        <w:tab/>
        <w:t>(iv)</w:t>
      </w:r>
      <w:r w:rsidRPr="00AD3411">
        <w:rPr>
          <w:strike/>
          <w:color w:val="FF0000"/>
        </w:rPr>
        <w:tab/>
        <w:t>scheduled payments;</w:t>
      </w:r>
    </w:p>
    <w:p w14:paraId="5AE8B553" w14:textId="77777777" w:rsidR="00CF0E3D" w:rsidRPr="00AD3411" w:rsidRDefault="00CF0E3D" w:rsidP="00CF0E3D">
      <w:pPr>
        <w:pStyle w:val="paragraphsub"/>
        <w:rPr>
          <w:strike/>
          <w:color w:val="FF0000"/>
        </w:rPr>
      </w:pPr>
      <w:r w:rsidRPr="00AD3411">
        <w:rPr>
          <w:strike/>
          <w:color w:val="FF0000"/>
        </w:rPr>
        <w:tab/>
        <w:t>(v)</w:t>
      </w:r>
      <w:r w:rsidRPr="00AD3411">
        <w:rPr>
          <w:strike/>
          <w:color w:val="FF0000"/>
        </w:rPr>
        <w:tab/>
        <w:t>payees; or</w:t>
      </w:r>
    </w:p>
    <w:p w14:paraId="2C8113FC" w14:textId="77777777" w:rsidR="00CF0E3D" w:rsidRPr="00AD3411" w:rsidRDefault="00CF0E3D" w:rsidP="00CF0E3D">
      <w:pPr>
        <w:pStyle w:val="paragraph"/>
        <w:rPr>
          <w:strike/>
          <w:color w:val="FF0000"/>
        </w:rPr>
      </w:pPr>
      <w:r w:rsidRPr="00AD3411">
        <w:rPr>
          <w:strike/>
          <w:color w:val="FF0000"/>
        </w:rPr>
        <w:tab/>
        <w:t>(b)</w:t>
      </w:r>
      <w:r w:rsidRPr="00AD3411">
        <w:rPr>
          <w:strike/>
          <w:color w:val="FF0000"/>
        </w:rPr>
        <w:tab/>
        <w:t>is “get account detail” or “get customer detail” data within the meaning of the data standards.</w:t>
      </w:r>
    </w:p>
    <w:p w14:paraId="6EE8746C" w14:textId="77777777" w:rsidR="00CF0E3D" w:rsidRPr="0087060A" w:rsidRDefault="00CF0E3D" w:rsidP="00CF0E3D">
      <w:pPr>
        <w:pStyle w:val="ActHead5"/>
      </w:pPr>
      <w:bookmarkStart w:id="709" w:name="_Toc50633245"/>
      <w:bookmarkStart w:id="710" w:name="_Toc57219222"/>
      <w:bookmarkStart w:id="711" w:name="_Toc57219453"/>
      <w:bookmarkStart w:id="712" w:name="_Toc59549199"/>
      <w:bookmarkStart w:id="713" w:name="_Toc74916359"/>
      <w:r w:rsidRPr="0087060A">
        <w:t>6.5  Authorisation to disclose CDR data before required to do so</w:t>
      </w:r>
      <w:bookmarkEnd w:id="709"/>
      <w:bookmarkEnd w:id="710"/>
      <w:bookmarkEnd w:id="711"/>
      <w:bookmarkEnd w:id="712"/>
      <w:bookmarkEnd w:id="713"/>
    </w:p>
    <w:p w14:paraId="66C7572E" w14:textId="77777777" w:rsidR="00CF0E3D" w:rsidRPr="0087060A" w:rsidRDefault="00CF0E3D" w:rsidP="00CF0E3D">
      <w:pPr>
        <w:pStyle w:val="subsection"/>
        <w:rPr>
          <w:sz w:val="20"/>
        </w:rPr>
      </w:pPr>
      <w:r w:rsidRPr="0087060A">
        <w:tab/>
        <w:t>(1)</w:t>
      </w:r>
      <w:r w:rsidRPr="0087060A">
        <w:tab/>
        <w:t>This clause applies if:</w:t>
      </w:r>
    </w:p>
    <w:p w14:paraId="08687AF9" w14:textId="77777777" w:rsidR="00CF0E3D" w:rsidRPr="0087060A" w:rsidRDefault="00CF0E3D" w:rsidP="00CF0E3D">
      <w:pPr>
        <w:pStyle w:val="paragraph"/>
      </w:pPr>
      <w:r w:rsidRPr="0087060A">
        <w:tab/>
        <w:t>(a)</w:t>
      </w:r>
      <w:r w:rsidRPr="0087060A">
        <w:tab/>
        <w:t xml:space="preserve">a request for disclosure of CDR data has been made in accordance with Part 2, Part 3 or Part 4 of these rules (the </w:t>
      </w:r>
      <w:r w:rsidRPr="0087060A">
        <w:rPr>
          <w:b/>
          <w:bCs/>
          <w:i/>
          <w:iCs/>
        </w:rPr>
        <w:t>relevant data request Part</w:t>
      </w:r>
      <w:r w:rsidRPr="0087060A">
        <w:t>); and</w:t>
      </w:r>
    </w:p>
    <w:p w14:paraId="2B424E37" w14:textId="77777777" w:rsidR="00CF0E3D" w:rsidRPr="0087060A" w:rsidRDefault="00CF0E3D" w:rsidP="00CF0E3D">
      <w:pPr>
        <w:pStyle w:val="paragraph"/>
      </w:pPr>
      <w:r w:rsidRPr="0087060A">
        <w:tab/>
        <w:t>(b)</w:t>
      </w:r>
      <w:r w:rsidRPr="0087060A">
        <w:tab/>
        <w:t>the requested CDR data is any of the following:</w:t>
      </w:r>
    </w:p>
    <w:p w14:paraId="29BF70D1" w14:textId="77777777" w:rsidR="00CF0E3D" w:rsidRPr="0087060A" w:rsidRDefault="00CF0E3D" w:rsidP="00CF0E3D">
      <w:pPr>
        <w:pStyle w:val="paragraphsub"/>
      </w:pPr>
      <w:r w:rsidRPr="0087060A">
        <w:tab/>
        <w:t>(i)</w:t>
      </w:r>
      <w:r w:rsidRPr="0087060A">
        <w:tab/>
        <w:t>required product data;</w:t>
      </w:r>
    </w:p>
    <w:p w14:paraId="3057DDCA" w14:textId="77777777" w:rsidR="00CF0E3D" w:rsidRPr="0087060A" w:rsidRDefault="00CF0E3D" w:rsidP="00CF0E3D">
      <w:pPr>
        <w:pStyle w:val="paragraphsub"/>
      </w:pPr>
      <w:r w:rsidRPr="0087060A">
        <w:tab/>
        <w:t>(ii)</w:t>
      </w:r>
      <w:r w:rsidRPr="0087060A">
        <w:tab/>
        <w:t>voluntary product data;</w:t>
      </w:r>
    </w:p>
    <w:p w14:paraId="35E45C62" w14:textId="77777777" w:rsidR="00CF0E3D" w:rsidRPr="0087060A" w:rsidRDefault="00CF0E3D" w:rsidP="00CF0E3D">
      <w:pPr>
        <w:pStyle w:val="paragraphsub"/>
      </w:pPr>
      <w:r w:rsidRPr="0087060A">
        <w:tab/>
        <w:t>(iii)</w:t>
      </w:r>
      <w:r w:rsidRPr="0087060A">
        <w:tab/>
        <w:t>required consumer data;</w:t>
      </w:r>
    </w:p>
    <w:p w14:paraId="14B8F8D1" w14:textId="77777777" w:rsidR="00CF0E3D" w:rsidRPr="0087060A" w:rsidRDefault="00CF0E3D" w:rsidP="00CF0E3D">
      <w:pPr>
        <w:pStyle w:val="paragraphsub"/>
      </w:pPr>
      <w:r w:rsidRPr="0087060A">
        <w:tab/>
        <w:t>(iv)</w:t>
      </w:r>
      <w:r w:rsidRPr="0087060A">
        <w:tab/>
        <w:t>voluntary consumer data; and</w:t>
      </w:r>
    </w:p>
    <w:p w14:paraId="172E1BE8" w14:textId="77777777" w:rsidR="00CF0E3D" w:rsidRPr="0087060A" w:rsidRDefault="00CF0E3D" w:rsidP="00CF0E3D">
      <w:pPr>
        <w:pStyle w:val="paragraph"/>
      </w:pPr>
      <w:r w:rsidRPr="0087060A">
        <w:tab/>
        <w:t>(c)</w:t>
      </w:r>
      <w:r w:rsidRPr="0087060A">
        <w:tab/>
        <w:t>the requested CDR data includes some pre</w:t>
      </w:r>
      <w:r w:rsidRPr="0087060A">
        <w:noBreakHyphen/>
        <w:t>application CDR data.</w:t>
      </w:r>
    </w:p>
    <w:p w14:paraId="5EF14CAD" w14:textId="77777777" w:rsidR="00CF0E3D" w:rsidRPr="0087060A" w:rsidRDefault="00CF0E3D" w:rsidP="00CF0E3D">
      <w:pPr>
        <w:pStyle w:val="subsection"/>
      </w:pPr>
      <w:r w:rsidRPr="0087060A">
        <w:tab/>
        <w:t>(2)</w:t>
      </w:r>
      <w:r w:rsidRPr="0087060A">
        <w:tab/>
        <w:t>For these rules, the data holder may disclose any or all of the pre</w:t>
      </w:r>
      <w:r w:rsidRPr="0087060A">
        <w:noBreakHyphen/>
        <w:t>application CDR data in response to the request in accordance with the relevant data request Part.</w:t>
      </w:r>
    </w:p>
    <w:p w14:paraId="6A1767EE" w14:textId="77777777" w:rsidR="00CF0E3D" w:rsidRDefault="00CF0E3D" w:rsidP="00CF0E3D">
      <w:pPr>
        <w:pStyle w:val="subsection"/>
      </w:pPr>
      <w:r w:rsidRPr="0087060A">
        <w:tab/>
        <w:t>(3)</w:t>
      </w:r>
      <w:r w:rsidRPr="0087060A">
        <w:tab/>
        <w:t xml:space="preserve">In this clause, </w:t>
      </w:r>
      <w:r w:rsidRPr="0087060A">
        <w:rPr>
          <w:b/>
          <w:bCs/>
          <w:i/>
          <w:iCs/>
        </w:rPr>
        <w:t>pre-application CDR data</w:t>
      </w:r>
      <w:r w:rsidRPr="0087060A">
        <w:t xml:space="preserve"> means CDR data that, but for the operation of this Part, the data holder would be required or authorised by the relevant data request Part to disclose in response to the request.</w:t>
      </w:r>
    </w:p>
    <w:p w14:paraId="1EFB028F" w14:textId="77777777" w:rsidR="00CF0E3D" w:rsidRPr="00F07699" w:rsidRDefault="00CF0E3D" w:rsidP="00CF0E3D">
      <w:pPr>
        <w:pStyle w:val="ActHead5"/>
        <w:pageBreakBefore/>
      </w:pPr>
      <w:bookmarkStart w:id="714" w:name="_Toc50633246"/>
      <w:bookmarkStart w:id="715" w:name="_Toc57219223"/>
      <w:bookmarkStart w:id="716" w:name="_Toc57219454"/>
      <w:bookmarkStart w:id="717" w:name="_Toc59549200"/>
      <w:bookmarkStart w:id="718" w:name="_Toc74916360"/>
      <w:r w:rsidRPr="00F07699">
        <w:t>6.6  Commencement table</w:t>
      </w:r>
      <w:bookmarkEnd w:id="714"/>
      <w:bookmarkEnd w:id="715"/>
      <w:bookmarkEnd w:id="716"/>
      <w:bookmarkEnd w:id="717"/>
      <w:bookmarkEnd w:id="718"/>
    </w:p>
    <w:p w14:paraId="72C19FA8" w14:textId="77777777" w:rsidR="00D32F77" w:rsidRDefault="00CF0E3D" w:rsidP="00D32F77">
      <w:pPr>
        <w:pStyle w:val="subsection"/>
        <w:spacing w:after="120"/>
      </w:pPr>
      <w:r w:rsidRPr="0087060A">
        <w:tab/>
      </w:r>
      <w:r w:rsidR="00D32F77" w:rsidRPr="0087060A">
        <w:t>(1)</w:t>
      </w:r>
      <w:r w:rsidR="00D32F77" w:rsidRPr="0087060A">
        <w:tab/>
        <w:t xml:space="preserve">For this Part, the </w:t>
      </w:r>
      <w:r w:rsidR="00D32F77" w:rsidRPr="0087060A">
        <w:rPr>
          <w:b/>
          <w:i/>
        </w:rPr>
        <w:t xml:space="preserve">commencement table </w:t>
      </w:r>
      <w:r w:rsidR="00D32F77" w:rsidRPr="0087060A">
        <w:t>is: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9"/>
        <w:gridCol w:w="1134"/>
        <w:gridCol w:w="1016"/>
        <w:gridCol w:w="1016"/>
        <w:gridCol w:w="1016"/>
        <w:gridCol w:w="1058"/>
        <w:gridCol w:w="992"/>
        <w:gridCol w:w="993"/>
        <w:gridCol w:w="850"/>
      </w:tblGrid>
      <w:tr w:rsidR="006B4528" w:rsidRPr="000A6118" w14:paraId="45681F4A" w14:textId="77777777" w:rsidTr="00A5799F">
        <w:trPr>
          <w:tblHeader/>
        </w:trPr>
        <w:tc>
          <w:tcPr>
            <w:tcW w:w="1139" w:type="dxa"/>
            <w:tcBorders>
              <w:top w:val="single" w:sz="18" w:space="0" w:color="auto"/>
              <w:bottom w:val="single" w:sz="18" w:space="0" w:color="auto"/>
            </w:tcBorders>
            <w:vAlign w:val="center"/>
          </w:tcPr>
          <w:p w14:paraId="4C301180" w14:textId="77777777" w:rsidR="006B4528" w:rsidRPr="000A6118" w:rsidRDefault="006B4528" w:rsidP="00A5799F">
            <w:pPr>
              <w:pStyle w:val="TableHeading"/>
              <w:jc w:val="center"/>
              <w:rPr>
                <w:color w:val="FF0000"/>
                <w:szCs w:val="18"/>
              </w:rPr>
            </w:pPr>
            <w:r w:rsidRPr="000A6118">
              <w:rPr>
                <w:color w:val="FF0000"/>
                <w:szCs w:val="18"/>
              </w:rPr>
              <w:t>Data holder</w:t>
            </w:r>
          </w:p>
        </w:tc>
        <w:tc>
          <w:tcPr>
            <w:tcW w:w="1134" w:type="dxa"/>
            <w:tcBorders>
              <w:top w:val="single" w:sz="18" w:space="0" w:color="auto"/>
              <w:bottom w:val="single" w:sz="18" w:space="0" w:color="auto"/>
            </w:tcBorders>
            <w:vAlign w:val="center"/>
          </w:tcPr>
          <w:p w14:paraId="6B1C4153" w14:textId="77777777" w:rsidR="006B4528" w:rsidRPr="000A6118" w:rsidRDefault="006B4528" w:rsidP="00A5799F">
            <w:pPr>
              <w:pStyle w:val="TableHeading"/>
              <w:jc w:val="center"/>
              <w:rPr>
                <w:color w:val="FF0000"/>
                <w:szCs w:val="18"/>
              </w:rPr>
            </w:pPr>
            <w:r w:rsidRPr="000A6118">
              <w:rPr>
                <w:color w:val="FF0000"/>
                <w:szCs w:val="18"/>
              </w:rPr>
              <w:t>Data sharing obligations</w:t>
            </w:r>
          </w:p>
        </w:tc>
        <w:tc>
          <w:tcPr>
            <w:tcW w:w="1016" w:type="dxa"/>
            <w:tcBorders>
              <w:top w:val="single" w:sz="18" w:space="0" w:color="auto"/>
              <w:bottom w:val="single" w:sz="18" w:space="0" w:color="auto"/>
            </w:tcBorders>
            <w:shd w:val="clear" w:color="auto" w:fill="D9D9D9" w:themeFill="background1" w:themeFillShade="D9"/>
            <w:vAlign w:val="center"/>
          </w:tcPr>
          <w:p w14:paraId="36030796" w14:textId="77777777" w:rsidR="006B4528" w:rsidRPr="000A6118" w:rsidRDefault="006B4528" w:rsidP="00A5799F">
            <w:pPr>
              <w:pStyle w:val="TableHeading"/>
              <w:jc w:val="center"/>
              <w:rPr>
                <w:color w:val="FF0000"/>
                <w:szCs w:val="18"/>
              </w:rPr>
            </w:pPr>
            <w:r w:rsidRPr="000A6118">
              <w:rPr>
                <w:color w:val="FF0000"/>
                <w:szCs w:val="18"/>
              </w:rPr>
              <w:t xml:space="preserve">Start date </w:t>
            </w:r>
            <w:r w:rsidRPr="000A6118">
              <w:rPr>
                <w:color w:val="FF0000"/>
                <w:szCs w:val="18"/>
              </w:rPr>
              <w:br/>
              <w:t>to</w:t>
            </w:r>
            <w:r w:rsidRPr="000A6118">
              <w:rPr>
                <w:color w:val="FF0000"/>
                <w:szCs w:val="18"/>
              </w:rPr>
              <w:br/>
              <w:t>31 Jan 2021</w:t>
            </w:r>
          </w:p>
        </w:tc>
        <w:tc>
          <w:tcPr>
            <w:tcW w:w="1016" w:type="dxa"/>
            <w:tcBorders>
              <w:top w:val="single" w:sz="18" w:space="0" w:color="auto"/>
              <w:bottom w:val="single" w:sz="18" w:space="0" w:color="auto"/>
            </w:tcBorders>
            <w:vAlign w:val="center"/>
          </w:tcPr>
          <w:p w14:paraId="2D46D7D7" w14:textId="77777777" w:rsidR="006B4528" w:rsidRPr="000A6118" w:rsidRDefault="006B4528" w:rsidP="00A5799F">
            <w:pPr>
              <w:pStyle w:val="TableHeading"/>
              <w:jc w:val="center"/>
              <w:rPr>
                <w:color w:val="FF0000"/>
                <w:szCs w:val="18"/>
              </w:rPr>
            </w:pPr>
            <w:r w:rsidRPr="000A6118">
              <w:rPr>
                <w:color w:val="FF0000"/>
                <w:szCs w:val="18"/>
              </w:rPr>
              <w:t>1 Feb 2021</w:t>
            </w:r>
            <w:r w:rsidRPr="000A6118">
              <w:rPr>
                <w:color w:val="FF0000"/>
                <w:szCs w:val="18"/>
              </w:rPr>
              <w:br/>
              <w:t>to</w:t>
            </w:r>
            <w:r w:rsidRPr="000A6118">
              <w:rPr>
                <w:color w:val="FF0000"/>
                <w:szCs w:val="18"/>
              </w:rPr>
              <w:br/>
              <w:t>28 Feb 2021</w:t>
            </w:r>
          </w:p>
        </w:tc>
        <w:tc>
          <w:tcPr>
            <w:tcW w:w="1016" w:type="dxa"/>
            <w:tcBorders>
              <w:top w:val="single" w:sz="18" w:space="0" w:color="auto"/>
              <w:bottom w:val="single" w:sz="18" w:space="0" w:color="auto"/>
            </w:tcBorders>
            <w:shd w:val="clear" w:color="auto" w:fill="D9D9D9" w:themeFill="background1" w:themeFillShade="D9"/>
            <w:vAlign w:val="center"/>
          </w:tcPr>
          <w:p w14:paraId="11D31E7D" w14:textId="77777777" w:rsidR="006B4528" w:rsidRPr="000A6118" w:rsidRDefault="006B4528" w:rsidP="00A5799F">
            <w:pPr>
              <w:pStyle w:val="TableHeading"/>
              <w:jc w:val="center"/>
              <w:rPr>
                <w:color w:val="FF0000"/>
                <w:szCs w:val="18"/>
              </w:rPr>
            </w:pPr>
            <w:r w:rsidRPr="000A6118">
              <w:rPr>
                <w:color w:val="FF0000"/>
                <w:szCs w:val="18"/>
              </w:rPr>
              <w:t>1 Mar 2021</w:t>
            </w:r>
            <w:r w:rsidRPr="000A6118">
              <w:rPr>
                <w:color w:val="FF0000"/>
                <w:szCs w:val="18"/>
              </w:rPr>
              <w:br/>
              <w:t>to</w:t>
            </w:r>
            <w:r w:rsidRPr="000A6118">
              <w:rPr>
                <w:color w:val="FF0000"/>
                <w:szCs w:val="18"/>
              </w:rPr>
              <w:br/>
              <w:t>30 Jun 2021</w:t>
            </w:r>
          </w:p>
        </w:tc>
        <w:tc>
          <w:tcPr>
            <w:tcW w:w="1058" w:type="dxa"/>
            <w:tcBorders>
              <w:top w:val="single" w:sz="18" w:space="0" w:color="auto"/>
              <w:bottom w:val="single" w:sz="18" w:space="0" w:color="auto"/>
            </w:tcBorders>
            <w:vAlign w:val="center"/>
          </w:tcPr>
          <w:p w14:paraId="6B454A8B" w14:textId="77777777" w:rsidR="006B4528" w:rsidRPr="000A6118" w:rsidRDefault="006B4528" w:rsidP="00A5799F">
            <w:pPr>
              <w:pStyle w:val="TableHeading"/>
              <w:jc w:val="center"/>
              <w:rPr>
                <w:color w:val="FF0000"/>
                <w:szCs w:val="18"/>
              </w:rPr>
            </w:pPr>
            <w:r w:rsidRPr="000A6118">
              <w:rPr>
                <w:color w:val="FF0000"/>
                <w:szCs w:val="18"/>
              </w:rPr>
              <w:t>1 Jul 2021</w:t>
            </w:r>
            <w:r w:rsidRPr="000A6118">
              <w:rPr>
                <w:color w:val="FF0000"/>
                <w:szCs w:val="18"/>
              </w:rPr>
              <w:br/>
              <w:t>to</w:t>
            </w:r>
            <w:r w:rsidRPr="000A6118">
              <w:rPr>
                <w:color w:val="FF0000"/>
                <w:szCs w:val="18"/>
              </w:rPr>
              <w:br/>
              <w:t>31 Oct 2021</w:t>
            </w:r>
          </w:p>
        </w:tc>
        <w:tc>
          <w:tcPr>
            <w:tcW w:w="992" w:type="dxa"/>
            <w:tcBorders>
              <w:top w:val="single" w:sz="18" w:space="0" w:color="auto"/>
              <w:bottom w:val="single" w:sz="18" w:space="0" w:color="auto"/>
            </w:tcBorders>
            <w:shd w:val="clear" w:color="auto" w:fill="D9D9D9" w:themeFill="background1" w:themeFillShade="D9"/>
            <w:vAlign w:val="center"/>
          </w:tcPr>
          <w:p w14:paraId="5C49ABFB" w14:textId="77777777" w:rsidR="006B4528" w:rsidRPr="000A6118" w:rsidRDefault="006B4528" w:rsidP="00A5799F">
            <w:pPr>
              <w:pStyle w:val="TableHeading"/>
              <w:jc w:val="center"/>
              <w:rPr>
                <w:color w:val="FF0000"/>
                <w:szCs w:val="18"/>
              </w:rPr>
            </w:pPr>
            <w:r w:rsidRPr="000A6118">
              <w:rPr>
                <w:color w:val="FF0000"/>
                <w:szCs w:val="18"/>
              </w:rPr>
              <w:t xml:space="preserve">1 Nov 2021 </w:t>
            </w:r>
            <w:r w:rsidRPr="000A6118">
              <w:rPr>
                <w:color w:val="FF0000"/>
                <w:szCs w:val="18"/>
              </w:rPr>
              <w:br/>
              <w:t>to</w:t>
            </w:r>
            <w:r w:rsidRPr="000A6118">
              <w:rPr>
                <w:color w:val="FF0000"/>
                <w:szCs w:val="18"/>
              </w:rPr>
              <w:br/>
              <w:t>31 Jan 2022</w:t>
            </w:r>
          </w:p>
        </w:tc>
        <w:tc>
          <w:tcPr>
            <w:tcW w:w="993" w:type="dxa"/>
            <w:tcBorders>
              <w:top w:val="single" w:sz="18" w:space="0" w:color="auto"/>
              <w:bottom w:val="single" w:sz="18" w:space="0" w:color="auto"/>
            </w:tcBorders>
            <w:vAlign w:val="center"/>
          </w:tcPr>
          <w:p w14:paraId="1157B532" w14:textId="77777777" w:rsidR="006B4528" w:rsidRPr="000A6118" w:rsidRDefault="006B4528" w:rsidP="00A5799F">
            <w:pPr>
              <w:pStyle w:val="TableHeading"/>
              <w:jc w:val="center"/>
              <w:rPr>
                <w:color w:val="FF0000"/>
                <w:szCs w:val="18"/>
              </w:rPr>
            </w:pPr>
            <w:r w:rsidRPr="000A6118">
              <w:rPr>
                <w:color w:val="FF0000"/>
                <w:szCs w:val="18"/>
              </w:rPr>
              <w:t xml:space="preserve">1 Feb 2022 </w:t>
            </w:r>
            <w:r w:rsidRPr="000A6118">
              <w:rPr>
                <w:color w:val="FF0000"/>
                <w:szCs w:val="18"/>
              </w:rPr>
              <w:br/>
              <w:t>to</w:t>
            </w:r>
          </w:p>
          <w:p w14:paraId="6CCF000D" w14:textId="77777777" w:rsidR="006B4528" w:rsidRPr="000A6118" w:rsidRDefault="006B4528" w:rsidP="00A5799F">
            <w:pPr>
              <w:pStyle w:val="TableHeading"/>
              <w:jc w:val="center"/>
              <w:rPr>
                <w:color w:val="FF0000"/>
                <w:szCs w:val="18"/>
              </w:rPr>
            </w:pPr>
            <w:r w:rsidRPr="000A6118">
              <w:rPr>
                <w:color w:val="FF0000"/>
                <w:szCs w:val="18"/>
              </w:rPr>
              <w:t>31 Mar</w:t>
            </w:r>
          </w:p>
          <w:p w14:paraId="5C41D819" w14:textId="77777777" w:rsidR="006B4528" w:rsidRPr="000A6118" w:rsidRDefault="006B4528" w:rsidP="00A5799F">
            <w:pPr>
              <w:pStyle w:val="TableHeading"/>
              <w:jc w:val="center"/>
              <w:rPr>
                <w:color w:val="FF0000"/>
                <w:szCs w:val="18"/>
              </w:rPr>
            </w:pPr>
            <w:r w:rsidRPr="000A6118">
              <w:rPr>
                <w:color w:val="FF0000"/>
                <w:szCs w:val="18"/>
              </w:rPr>
              <w:t xml:space="preserve">2022 </w:t>
            </w:r>
          </w:p>
        </w:tc>
        <w:tc>
          <w:tcPr>
            <w:tcW w:w="850" w:type="dxa"/>
            <w:tcBorders>
              <w:top w:val="single" w:sz="18" w:space="0" w:color="auto"/>
              <w:bottom w:val="single" w:sz="18" w:space="0" w:color="auto"/>
            </w:tcBorders>
          </w:tcPr>
          <w:p w14:paraId="650C2E24" w14:textId="77777777" w:rsidR="006B4528" w:rsidRPr="000A6118" w:rsidRDefault="006B4528" w:rsidP="00A5799F">
            <w:pPr>
              <w:pStyle w:val="TableHeading"/>
              <w:jc w:val="center"/>
              <w:rPr>
                <w:color w:val="FF0000"/>
                <w:szCs w:val="18"/>
              </w:rPr>
            </w:pPr>
          </w:p>
          <w:p w14:paraId="1F530CF9" w14:textId="77777777" w:rsidR="006B4528" w:rsidRPr="000A6118" w:rsidRDefault="006B4528" w:rsidP="00A5799F">
            <w:pPr>
              <w:pStyle w:val="TableHeading"/>
              <w:jc w:val="center"/>
              <w:rPr>
                <w:color w:val="FF0000"/>
                <w:szCs w:val="18"/>
              </w:rPr>
            </w:pPr>
            <w:r w:rsidRPr="000A6118">
              <w:rPr>
                <w:color w:val="FF0000"/>
                <w:szCs w:val="18"/>
              </w:rPr>
              <w:t>1 Apr 2022</w:t>
            </w:r>
          </w:p>
          <w:p w14:paraId="50256387" w14:textId="77777777" w:rsidR="006B4528" w:rsidRPr="000A6118" w:rsidRDefault="006B4528" w:rsidP="00A5799F">
            <w:pPr>
              <w:pStyle w:val="TableHeading"/>
              <w:jc w:val="center"/>
              <w:rPr>
                <w:color w:val="FF0000"/>
                <w:szCs w:val="18"/>
              </w:rPr>
            </w:pPr>
            <w:r w:rsidRPr="000A6118">
              <w:rPr>
                <w:color w:val="FF0000"/>
                <w:szCs w:val="18"/>
              </w:rPr>
              <w:t xml:space="preserve"> onward</w:t>
            </w:r>
          </w:p>
        </w:tc>
      </w:tr>
      <w:tr w:rsidR="006B4528" w:rsidRPr="000A6118" w14:paraId="65112C03" w14:textId="77777777" w:rsidTr="00A5799F">
        <w:tc>
          <w:tcPr>
            <w:tcW w:w="1139" w:type="dxa"/>
            <w:vMerge w:val="restart"/>
            <w:tcBorders>
              <w:top w:val="single" w:sz="18" w:space="0" w:color="auto"/>
            </w:tcBorders>
            <w:vAlign w:val="center"/>
          </w:tcPr>
          <w:p w14:paraId="46852D47" w14:textId="77777777" w:rsidR="006B4528" w:rsidRPr="000A6118" w:rsidRDefault="006B4528" w:rsidP="00A5799F">
            <w:pPr>
              <w:pStyle w:val="Tabletext"/>
              <w:rPr>
                <w:color w:val="FF0000"/>
                <w:szCs w:val="18"/>
              </w:rPr>
            </w:pPr>
            <w:r w:rsidRPr="000A6118">
              <w:rPr>
                <w:color w:val="FF0000"/>
                <w:szCs w:val="18"/>
              </w:rPr>
              <w:t>Initial data holders (NAB, CBA, ANZ, Westpac branded products)</w:t>
            </w:r>
          </w:p>
        </w:tc>
        <w:tc>
          <w:tcPr>
            <w:tcW w:w="1134" w:type="dxa"/>
            <w:tcBorders>
              <w:top w:val="single" w:sz="18" w:space="0" w:color="auto"/>
              <w:bottom w:val="single" w:sz="2" w:space="0" w:color="auto"/>
            </w:tcBorders>
            <w:vAlign w:val="center"/>
          </w:tcPr>
          <w:p w14:paraId="7E26DCFF" w14:textId="77777777" w:rsidR="006B4528" w:rsidRPr="000A6118" w:rsidRDefault="006B4528" w:rsidP="00A5799F">
            <w:pPr>
              <w:pStyle w:val="Tabletext"/>
              <w:rPr>
                <w:color w:val="FF0000"/>
                <w:szCs w:val="18"/>
              </w:rPr>
            </w:pPr>
            <w:r w:rsidRPr="000A6118">
              <w:rPr>
                <w:color w:val="FF0000"/>
                <w:szCs w:val="18"/>
              </w:rPr>
              <w:t xml:space="preserve">Part 2 </w:t>
            </w:r>
          </w:p>
        </w:tc>
        <w:tc>
          <w:tcPr>
            <w:tcW w:w="1016" w:type="dxa"/>
            <w:tcBorders>
              <w:top w:val="single" w:sz="18" w:space="0" w:color="auto"/>
              <w:bottom w:val="single" w:sz="2" w:space="0" w:color="auto"/>
            </w:tcBorders>
            <w:shd w:val="clear" w:color="auto" w:fill="D9D9D9" w:themeFill="background1" w:themeFillShade="D9"/>
          </w:tcPr>
          <w:p w14:paraId="33F92B88"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1016" w:type="dxa"/>
            <w:tcBorders>
              <w:top w:val="single" w:sz="18" w:space="0" w:color="auto"/>
              <w:bottom w:val="single" w:sz="2" w:space="0" w:color="auto"/>
            </w:tcBorders>
          </w:tcPr>
          <w:p w14:paraId="7907D4D9"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3C7D7DDF"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1058" w:type="dxa"/>
            <w:tcBorders>
              <w:top w:val="single" w:sz="18" w:space="0" w:color="auto"/>
              <w:bottom w:val="single" w:sz="2" w:space="0" w:color="auto"/>
            </w:tcBorders>
          </w:tcPr>
          <w:p w14:paraId="3552A35D"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992" w:type="dxa"/>
            <w:tcBorders>
              <w:top w:val="single" w:sz="18" w:space="0" w:color="auto"/>
              <w:bottom w:val="single" w:sz="2" w:space="0" w:color="auto"/>
            </w:tcBorders>
            <w:shd w:val="clear" w:color="auto" w:fill="D9D9D9" w:themeFill="background1" w:themeFillShade="D9"/>
          </w:tcPr>
          <w:p w14:paraId="3E51E7F9"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993" w:type="dxa"/>
            <w:tcBorders>
              <w:top w:val="single" w:sz="18" w:space="0" w:color="auto"/>
              <w:bottom w:val="single" w:sz="2" w:space="0" w:color="auto"/>
            </w:tcBorders>
          </w:tcPr>
          <w:p w14:paraId="673D1658"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850" w:type="dxa"/>
            <w:tcBorders>
              <w:top w:val="single" w:sz="18" w:space="0" w:color="auto"/>
              <w:bottom w:val="single" w:sz="2" w:space="0" w:color="auto"/>
            </w:tcBorders>
          </w:tcPr>
          <w:p w14:paraId="2D8F1479" w14:textId="77777777" w:rsidR="006B4528" w:rsidRPr="000A6118" w:rsidRDefault="006B4528" w:rsidP="00A5799F">
            <w:pPr>
              <w:pStyle w:val="Tabletext"/>
              <w:rPr>
                <w:color w:val="FF0000"/>
                <w:szCs w:val="18"/>
              </w:rPr>
            </w:pPr>
            <w:r w:rsidRPr="000A6118">
              <w:rPr>
                <w:color w:val="FF0000"/>
                <w:szCs w:val="18"/>
              </w:rPr>
              <w:t xml:space="preserve">All product phases </w:t>
            </w:r>
          </w:p>
        </w:tc>
      </w:tr>
      <w:tr w:rsidR="006B4528" w:rsidRPr="000A6118" w14:paraId="78714FE2" w14:textId="77777777" w:rsidTr="00A5799F">
        <w:tc>
          <w:tcPr>
            <w:tcW w:w="1139" w:type="dxa"/>
            <w:vMerge/>
            <w:vAlign w:val="center"/>
          </w:tcPr>
          <w:p w14:paraId="5ED268EC" w14:textId="77777777" w:rsidR="006B4528" w:rsidRPr="000A6118" w:rsidRDefault="006B4528" w:rsidP="00A5799F">
            <w:pPr>
              <w:pStyle w:val="Tabletext"/>
              <w:rPr>
                <w:color w:val="FF0000"/>
                <w:szCs w:val="18"/>
              </w:rPr>
            </w:pPr>
          </w:p>
        </w:tc>
        <w:tc>
          <w:tcPr>
            <w:tcW w:w="1134" w:type="dxa"/>
            <w:tcBorders>
              <w:top w:val="single" w:sz="2" w:space="0" w:color="auto"/>
              <w:bottom w:val="single" w:sz="2" w:space="0" w:color="auto"/>
            </w:tcBorders>
            <w:vAlign w:val="center"/>
          </w:tcPr>
          <w:p w14:paraId="49100CE9" w14:textId="77777777" w:rsidR="006B4528" w:rsidRPr="000A6118" w:rsidRDefault="006B4528" w:rsidP="00A5799F">
            <w:pPr>
              <w:pStyle w:val="Tabletext"/>
              <w:rPr>
                <w:color w:val="FF0000"/>
                <w:szCs w:val="18"/>
              </w:rPr>
            </w:pPr>
            <w:r w:rsidRPr="000A6118">
              <w:rPr>
                <w:color w:val="FF0000"/>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07CC250F" w14:textId="77777777" w:rsidR="006B4528" w:rsidRPr="000A6118" w:rsidRDefault="006B4528" w:rsidP="00A5799F">
            <w:pPr>
              <w:pStyle w:val="Tabletext"/>
              <w:rPr>
                <w:color w:val="FF0000"/>
                <w:szCs w:val="18"/>
              </w:rPr>
            </w:pPr>
            <w:r w:rsidRPr="000A6118">
              <w:rPr>
                <w:color w:val="FF0000"/>
                <w:szCs w:val="18"/>
              </w:rPr>
              <w:t>-</w:t>
            </w:r>
          </w:p>
        </w:tc>
        <w:tc>
          <w:tcPr>
            <w:tcW w:w="1016" w:type="dxa"/>
            <w:tcBorders>
              <w:top w:val="single" w:sz="2" w:space="0" w:color="auto"/>
              <w:bottom w:val="single" w:sz="2" w:space="0" w:color="auto"/>
            </w:tcBorders>
            <w:vAlign w:val="center"/>
          </w:tcPr>
          <w:p w14:paraId="3DB65ED5" w14:textId="77777777" w:rsidR="006B4528" w:rsidRPr="000A6118" w:rsidRDefault="006B4528" w:rsidP="00A5799F">
            <w:pPr>
              <w:pStyle w:val="Tabletext"/>
              <w:rPr>
                <w:color w:val="FF0000"/>
                <w:szCs w:val="18"/>
              </w:rPr>
            </w:pPr>
            <w:r w:rsidRPr="000A6118">
              <w:rPr>
                <w:color w:val="FF0000"/>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1860D591" w14:textId="77777777" w:rsidR="006B4528" w:rsidRPr="000A6118" w:rsidRDefault="006B4528" w:rsidP="00A5799F">
            <w:pPr>
              <w:pStyle w:val="Tabletext"/>
              <w:rPr>
                <w:color w:val="FF0000"/>
                <w:szCs w:val="18"/>
              </w:rPr>
            </w:pPr>
            <w:r w:rsidRPr="000A6118">
              <w:rPr>
                <w:color w:val="FF0000"/>
                <w:szCs w:val="18"/>
              </w:rPr>
              <w:t>-</w:t>
            </w:r>
          </w:p>
        </w:tc>
        <w:tc>
          <w:tcPr>
            <w:tcW w:w="1058" w:type="dxa"/>
            <w:tcBorders>
              <w:top w:val="single" w:sz="2" w:space="0" w:color="auto"/>
              <w:bottom w:val="single" w:sz="2" w:space="0" w:color="auto"/>
            </w:tcBorders>
            <w:vAlign w:val="center"/>
          </w:tcPr>
          <w:p w14:paraId="55EDDA64" w14:textId="77777777" w:rsidR="006B4528" w:rsidRPr="000A6118" w:rsidRDefault="006B4528" w:rsidP="00A5799F">
            <w:pPr>
              <w:pStyle w:val="Tabletext"/>
              <w:rPr>
                <w:color w:val="FF0000"/>
                <w:szCs w:val="18"/>
              </w:rPr>
            </w:pPr>
            <w:r w:rsidRPr="000A6118">
              <w:rPr>
                <w:color w:val="FF0000"/>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20E00971" w14:textId="77777777" w:rsidR="006B4528" w:rsidRPr="000A6118" w:rsidRDefault="006B4528" w:rsidP="00A5799F">
            <w:pPr>
              <w:pStyle w:val="Tabletext"/>
              <w:rPr>
                <w:color w:val="FF0000"/>
                <w:szCs w:val="18"/>
              </w:rPr>
            </w:pPr>
            <w:r w:rsidRPr="000A6118">
              <w:rPr>
                <w:color w:val="FF0000"/>
                <w:szCs w:val="18"/>
              </w:rPr>
              <w:t>-</w:t>
            </w:r>
          </w:p>
        </w:tc>
        <w:tc>
          <w:tcPr>
            <w:tcW w:w="993" w:type="dxa"/>
            <w:tcBorders>
              <w:top w:val="single" w:sz="2" w:space="0" w:color="auto"/>
              <w:bottom w:val="single" w:sz="2" w:space="0" w:color="auto"/>
            </w:tcBorders>
            <w:vAlign w:val="center"/>
          </w:tcPr>
          <w:p w14:paraId="4DD70918" w14:textId="77777777" w:rsidR="006B4528" w:rsidRPr="000A6118" w:rsidRDefault="006B4528" w:rsidP="00A5799F">
            <w:pPr>
              <w:pStyle w:val="Tabletext"/>
              <w:rPr>
                <w:color w:val="FF0000"/>
                <w:szCs w:val="18"/>
              </w:rPr>
            </w:pPr>
            <w:r w:rsidRPr="000A6118">
              <w:rPr>
                <w:color w:val="FF0000"/>
                <w:szCs w:val="18"/>
              </w:rPr>
              <w:t>-</w:t>
            </w:r>
          </w:p>
        </w:tc>
        <w:tc>
          <w:tcPr>
            <w:tcW w:w="850" w:type="dxa"/>
            <w:tcBorders>
              <w:top w:val="single" w:sz="2" w:space="0" w:color="auto"/>
              <w:bottom w:val="single" w:sz="2" w:space="0" w:color="auto"/>
            </w:tcBorders>
            <w:vAlign w:val="center"/>
          </w:tcPr>
          <w:p w14:paraId="4D84BDC7" w14:textId="77777777" w:rsidR="006B4528" w:rsidRPr="000A6118" w:rsidRDefault="006B4528" w:rsidP="00A5799F">
            <w:pPr>
              <w:pStyle w:val="Tabletext"/>
              <w:rPr>
                <w:color w:val="FF0000"/>
                <w:szCs w:val="18"/>
              </w:rPr>
            </w:pPr>
            <w:r w:rsidRPr="000A6118">
              <w:rPr>
                <w:color w:val="FF0000"/>
                <w:szCs w:val="18"/>
              </w:rPr>
              <w:t>-</w:t>
            </w:r>
          </w:p>
        </w:tc>
      </w:tr>
      <w:tr w:rsidR="006B4528" w:rsidRPr="000A6118" w14:paraId="79142559" w14:textId="77777777" w:rsidTr="00A5799F">
        <w:tc>
          <w:tcPr>
            <w:tcW w:w="1139" w:type="dxa"/>
            <w:vMerge/>
            <w:tcBorders>
              <w:bottom w:val="single" w:sz="12" w:space="0" w:color="auto"/>
            </w:tcBorders>
            <w:vAlign w:val="center"/>
          </w:tcPr>
          <w:p w14:paraId="2E129414" w14:textId="77777777" w:rsidR="006B4528" w:rsidRPr="000A6118" w:rsidRDefault="006B4528" w:rsidP="00A5799F">
            <w:pPr>
              <w:pStyle w:val="Tabletext"/>
              <w:rPr>
                <w:color w:val="FF0000"/>
                <w:szCs w:val="18"/>
              </w:rPr>
            </w:pPr>
          </w:p>
        </w:tc>
        <w:tc>
          <w:tcPr>
            <w:tcW w:w="1134" w:type="dxa"/>
            <w:tcBorders>
              <w:top w:val="single" w:sz="2" w:space="0" w:color="auto"/>
              <w:bottom w:val="single" w:sz="12" w:space="0" w:color="auto"/>
            </w:tcBorders>
            <w:vAlign w:val="center"/>
          </w:tcPr>
          <w:p w14:paraId="19C78A3A" w14:textId="77777777" w:rsidR="006B4528" w:rsidRPr="000A6118" w:rsidRDefault="006B4528" w:rsidP="00A5799F">
            <w:pPr>
              <w:pStyle w:val="Tabletext"/>
              <w:rPr>
                <w:color w:val="FF0000"/>
                <w:szCs w:val="18"/>
              </w:rPr>
            </w:pPr>
            <w:r w:rsidRPr="000A6118">
              <w:rPr>
                <w:color w:val="FF0000"/>
                <w:szCs w:val="18"/>
              </w:rPr>
              <w:t xml:space="preserve">Part 4 </w:t>
            </w:r>
          </w:p>
        </w:tc>
        <w:tc>
          <w:tcPr>
            <w:tcW w:w="1016" w:type="dxa"/>
            <w:tcBorders>
              <w:top w:val="single" w:sz="2" w:space="0" w:color="auto"/>
              <w:bottom w:val="single" w:sz="12" w:space="0" w:color="auto"/>
            </w:tcBorders>
            <w:shd w:val="clear" w:color="auto" w:fill="D9D9D9" w:themeFill="background1" w:themeFillShade="D9"/>
          </w:tcPr>
          <w:p w14:paraId="170E8713" w14:textId="77777777" w:rsidR="006B4528" w:rsidRPr="000A6118" w:rsidRDefault="006B4528" w:rsidP="00A5799F">
            <w:pPr>
              <w:pStyle w:val="Tabletext"/>
              <w:rPr>
                <w:color w:val="FF0000"/>
                <w:szCs w:val="18"/>
              </w:rPr>
            </w:pPr>
            <w:r w:rsidRPr="000A6118">
              <w:rPr>
                <w:color w:val="FF0000"/>
                <w:szCs w:val="18"/>
              </w:rPr>
              <w:t>Phase 1</w:t>
            </w:r>
            <w:r w:rsidRPr="000A6118">
              <w:rPr>
                <w:color w:val="FF0000"/>
                <w:szCs w:val="18"/>
              </w:rPr>
              <w:br/>
              <w:t xml:space="preserve">Phase 2 </w:t>
            </w:r>
          </w:p>
        </w:tc>
        <w:tc>
          <w:tcPr>
            <w:tcW w:w="1016" w:type="dxa"/>
            <w:tcBorders>
              <w:top w:val="single" w:sz="2" w:space="0" w:color="auto"/>
              <w:bottom w:val="single" w:sz="12" w:space="0" w:color="auto"/>
            </w:tcBorders>
          </w:tcPr>
          <w:p w14:paraId="236099A1" w14:textId="77777777" w:rsidR="006B4528" w:rsidRPr="000A6118" w:rsidRDefault="006B4528" w:rsidP="00A5799F">
            <w:pPr>
              <w:pStyle w:val="Tabletext"/>
              <w:rPr>
                <w:color w:val="FF0000"/>
                <w:szCs w:val="18"/>
              </w:rPr>
            </w:pPr>
            <w:r w:rsidRPr="000A6118">
              <w:rPr>
                <w:color w:val="FF0000"/>
                <w:szCs w:val="18"/>
              </w:rPr>
              <w:t>All product phases</w:t>
            </w:r>
          </w:p>
        </w:tc>
        <w:tc>
          <w:tcPr>
            <w:tcW w:w="1016" w:type="dxa"/>
            <w:tcBorders>
              <w:top w:val="single" w:sz="2" w:space="0" w:color="auto"/>
              <w:bottom w:val="single" w:sz="12" w:space="0" w:color="auto"/>
            </w:tcBorders>
            <w:shd w:val="clear" w:color="auto" w:fill="D9D9D9" w:themeFill="background1" w:themeFillShade="D9"/>
          </w:tcPr>
          <w:p w14:paraId="4BF27208"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1058" w:type="dxa"/>
            <w:tcBorders>
              <w:top w:val="single" w:sz="2" w:space="0" w:color="auto"/>
              <w:bottom w:val="single" w:sz="12" w:space="0" w:color="auto"/>
            </w:tcBorders>
          </w:tcPr>
          <w:p w14:paraId="2F0D6DC1"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992" w:type="dxa"/>
            <w:tcBorders>
              <w:top w:val="single" w:sz="2" w:space="0" w:color="auto"/>
              <w:bottom w:val="single" w:sz="12" w:space="0" w:color="auto"/>
            </w:tcBorders>
            <w:shd w:val="clear" w:color="auto" w:fill="D9D9D9" w:themeFill="background1" w:themeFillShade="D9"/>
          </w:tcPr>
          <w:p w14:paraId="31385E94"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993" w:type="dxa"/>
            <w:tcBorders>
              <w:top w:val="single" w:sz="2" w:space="0" w:color="auto"/>
              <w:bottom w:val="single" w:sz="12" w:space="0" w:color="auto"/>
            </w:tcBorders>
          </w:tcPr>
          <w:p w14:paraId="5A9128F5"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850" w:type="dxa"/>
            <w:tcBorders>
              <w:top w:val="single" w:sz="2" w:space="0" w:color="auto"/>
              <w:bottom w:val="single" w:sz="12" w:space="0" w:color="auto"/>
            </w:tcBorders>
          </w:tcPr>
          <w:p w14:paraId="0DDD2D01" w14:textId="77777777" w:rsidR="006B4528" w:rsidRPr="000A6118" w:rsidRDefault="006B4528" w:rsidP="00A5799F">
            <w:pPr>
              <w:pStyle w:val="Tabletext"/>
              <w:rPr>
                <w:color w:val="FF0000"/>
                <w:szCs w:val="18"/>
              </w:rPr>
            </w:pPr>
            <w:r w:rsidRPr="000A6118">
              <w:rPr>
                <w:color w:val="FF0000"/>
                <w:szCs w:val="18"/>
              </w:rPr>
              <w:t xml:space="preserve">All product phases </w:t>
            </w:r>
          </w:p>
        </w:tc>
      </w:tr>
      <w:tr w:rsidR="006B4528" w:rsidRPr="000A6118" w14:paraId="33757083" w14:textId="77777777" w:rsidTr="00A5799F">
        <w:tc>
          <w:tcPr>
            <w:tcW w:w="1139" w:type="dxa"/>
            <w:vMerge w:val="restart"/>
            <w:tcBorders>
              <w:top w:val="single" w:sz="12" w:space="0" w:color="auto"/>
            </w:tcBorders>
            <w:vAlign w:val="center"/>
          </w:tcPr>
          <w:p w14:paraId="14E9CB0F" w14:textId="77777777" w:rsidR="006B4528" w:rsidRPr="000A6118" w:rsidRDefault="006B4528" w:rsidP="00A5799F">
            <w:pPr>
              <w:pStyle w:val="Tabletext"/>
              <w:rPr>
                <w:color w:val="FF0000"/>
                <w:szCs w:val="18"/>
              </w:rPr>
            </w:pPr>
            <w:r w:rsidRPr="000A6118">
              <w:rPr>
                <w:color w:val="FF0000"/>
                <w:szCs w:val="18"/>
              </w:rPr>
              <w:t>Any other relevant ADI and initial data holders for non-primary brands</w:t>
            </w:r>
          </w:p>
        </w:tc>
        <w:tc>
          <w:tcPr>
            <w:tcW w:w="1134" w:type="dxa"/>
            <w:tcBorders>
              <w:top w:val="single" w:sz="12" w:space="0" w:color="auto"/>
              <w:bottom w:val="single" w:sz="2" w:space="0" w:color="auto"/>
            </w:tcBorders>
            <w:vAlign w:val="center"/>
          </w:tcPr>
          <w:p w14:paraId="681FBE83" w14:textId="77777777" w:rsidR="006B4528" w:rsidRPr="000A6118" w:rsidRDefault="006B4528" w:rsidP="00A5799F">
            <w:pPr>
              <w:pStyle w:val="Tabletext"/>
              <w:rPr>
                <w:color w:val="FF0000"/>
                <w:szCs w:val="18"/>
              </w:rPr>
            </w:pPr>
            <w:r w:rsidRPr="000A6118">
              <w:rPr>
                <w:color w:val="FF0000"/>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24DC8D0B" w14:textId="77777777" w:rsidR="006B4528" w:rsidRPr="000A6118" w:rsidRDefault="006B4528" w:rsidP="00A5799F">
            <w:pPr>
              <w:pStyle w:val="Tabletext"/>
              <w:rPr>
                <w:color w:val="FF0000"/>
                <w:szCs w:val="18"/>
              </w:rPr>
            </w:pPr>
            <w:r w:rsidRPr="000A6118">
              <w:rPr>
                <w:color w:val="FF0000"/>
                <w:szCs w:val="18"/>
              </w:rPr>
              <w:t>Phase 1</w:t>
            </w:r>
          </w:p>
        </w:tc>
        <w:tc>
          <w:tcPr>
            <w:tcW w:w="1016" w:type="dxa"/>
            <w:tcBorders>
              <w:top w:val="single" w:sz="12" w:space="0" w:color="auto"/>
              <w:bottom w:val="single" w:sz="2" w:space="0" w:color="auto"/>
            </w:tcBorders>
          </w:tcPr>
          <w:p w14:paraId="3C1BB696" w14:textId="77777777" w:rsidR="006B4528" w:rsidRPr="000A6118" w:rsidRDefault="006B4528" w:rsidP="00A5799F">
            <w:pPr>
              <w:pStyle w:val="Tabletext"/>
              <w:rPr>
                <w:color w:val="FF0000"/>
                <w:szCs w:val="18"/>
              </w:rPr>
            </w:pPr>
            <w:r w:rsidRPr="000A6118">
              <w:rPr>
                <w:color w:val="FF0000"/>
                <w:szCs w:val="18"/>
              </w:rPr>
              <w:t>Phase 1</w:t>
            </w:r>
            <w:r w:rsidRPr="000A6118">
              <w:rPr>
                <w:color w:val="FF0000"/>
                <w:szCs w:val="18"/>
              </w:rPr>
              <w:br/>
              <w:t xml:space="preserve">Phase 2 </w:t>
            </w:r>
          </w:p>
        </w:tc>
        <w:tc>
          <w:tcPr>
            <w:tcW w:w="1016" w:type="dxa"/>
            <w:tcBorders>
              <w:top w:val="single" w:sz="12" w:space="0" w:color="auto"/>
              <w:bottom w:val="single" w:sz="2" w:space="0" w:color="auto"/>
            </w:tcBorders>
            <w:shd w:val="clear" w:color="auto" w:fill="D9D9D9" w:themeFill="background1" w:themeFillShade="D9"/>
          </w:tcPr>
          <w:p w14:paraId="0E387F4C" w14:textId="77777777" w:rsidR="006B4528" w:rsidRPr="000A6118" w:rsidRDefault="006B4528" w:rsidP="00A5799F">
            <w:pPr>
              <w:pStyle w:val="Tabletext"/>
              <w:rPr>
                <w:color w:val="FF0000"/>
                <w:szCs w:val="18"/>
              </w:rPr>
            </w:pPr>
            <w:r w:rsidRPr="000A6118">
              <w:rPr>
                <w:color w:val="FF0000"/>
                <w:szCs w:val="18"/>
              </w:rPr>
              <w:t>Phase 1</w:t>
            </w:r>
            <w:r w:rsidRPr="000A6118">
              <w:rPr>
                <w:color w:val="FF0000"/>
                <w:szCs w:val="18"/>
              </w:rPr>
              <w:br/>
              <w:t xml:space="preserve">Phase 2 </w:t>
            </w:r>
          </w:p>
        </w:tc>
        <w:tc>
          <w:tcPr>
            <w:tcW w:w="1058" w:type="dxa"/>
            <w:tcBorders>
              <w:top w:val="single" w:sz="12" w:space="0" w:color="auto"/>
              <w:bottom w:val="single" w:sz="2" w:space="0" w:color="auto"/>
            </w:tcBorders>
          </w:tcPr>
          <w:p w14:paraId="2878422E" w14:textId="77777777" w:rsidR="006B4528" w:rsidRPr="000A6118" w:rsidRDefault="006B4528" w:rsidP="00A5799F">
            <w:pPr>
              <w:pStyle w:val="Tabletext"/>
              <w:rPr>
                <w:color w:val="FF0000"/>
                <w:szCs w:val="18"/>
              </w:rPr>
            </w:pPr>
            <w:r w:rsidRPr="000A6118">
              <w:rPr>
                <w:color w:val="FF0000"/>
                <w:szCs w:val="18"/>
              </w:rPr>
              <w:t>All product phases</w:t>
            </w:r>
          </w:p>
        </w:tc>
        <w:tc>
          <w:tcPr>
            <w:tcW w:w="992" w:type="dxa"/>
            <w:tcBorders>
              <w:top w:val="single" w:sz="12" w:space="0" w:color="auto"/>
              <w:bottom w:val="single" w:sz="2" w:space="0" w:color="auto"/>
            </w:tcBorders>
            <w:shd w:val="clear" w:color="auto" w:fill="D9D9D9" w:themeFill="background1" w:themeFillShade="D9"/>
          </w:tcPr>
          <w:p w14:paraId="288FA1B3"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993" w:type="dxa"/>
            <w:tcBorders>
              <w:top w:val="single" w:sz="12" w:space="0" w:color="auto"/>
              <w:bottom w:val="single" w:sz="2" w:space="0" w:color="auto"/>
            </w:tcBorders>
          </w:tcPr>
          <w:p w14:paraId="293B1257"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850" w:type="dxa"/>
            <w:tcBorders>
              <w:top w:val="single" w:sz="12" w:space="0" w:color="auto"/>
              <w:bottom w:val="single" w:sz="2" w:space="0" w:color="auto"/>
            </w:tcBorders>
          </w:tcPr>
          <w:p w14:paraId="5A3B63ED" w14:textId="77777777" w:rsidR="006B4528" w:rsidRPr="000A6118" w:rsidRDefault="006B4528" w:rsidP="00A5799F">
            <w:pPr>
              <w:pStyle w:val="Tabletext"/>
              <w:rPr>
                <w:color w:val="FF0000"/>
                <w:szCs w:val="18"/>
              </w:rPr>
            </w:pPr>
            <w:r w:rsidRPr="000A6118">
              <w:rPr>
                <w:color w:val="FF0000"/>
                <w:szCs w:val="18"/>
              </w:rPr>
              <w:t xml:space="preserve">All product phases </w:t>
            </w:r>
          </w:p>
        </w:tc>
      </w:tr>
      <w:tr w:rsidR="006B4528" w:rsidRPr="000A6118" w14:paraId="2C74725C" w14:textId="77777777" w:rsidTr="00A5799F">
        <w:tc>
          <w:tcPr>
            <w:tcW w:w="1139" w:type="dxa"/>
            <w:vMerge/>
            <w:vAlign w:val="center"/>
          </w:tcPr>
          <w:p w14:paraId="3B6A1D45" w14:textId="77777777" w:rsidR="006B4528" w:rsidRPr="000A6118" w:rsidRDefault="006B4528" w:rsidP="00A5799F">
            <w:pPr>
              <w:pStyle w:val="Tabletext"/>
              <w:rPr>
                <w:color w:val="FF0000"/>
                <w:szCs w:val="18"/>
              </w:rPr>
            </w:pPr>
          </w:p>
        </w:tc>
        <w:tc>
          <w:tcPr>
            <w:tcW w:w="1134" w:type="dxa"/>
            <w:tcBorders>
              <w:top w:val="single" w:sz="2" w:space="0" w:color="auto"/>
              <w:bottom w:val="single" w:sz="2" w:space="0" w:color="auto"/>
            </w:tcBorders>
            <w:vAlign w:val="center"/>
          </w:tcPr>
          <w:p w14:paraId="70F1A513" w14:textId="77777777" w:rsidR="006B4528" w:rsidRPr="000A6118" w:rsidRDefault="006B4528" w:rsidP="00A5799F">
            <w:pPr>
              <w:pStyle w:val="Tabletext"/>
              <w:rPr>
                <w:color w:val="FF0000"/>
                <w:szCs w:val="18"/>
              </w:rPr>
            </w:pPr>
            <w:r w:rsidRPr="000A6118">
              <w:rPr>
                <w:color w:val="FF0000"/>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0156AEE9" w14:textId="77777777" w:rsidR="006B4528" w:rsidRPr="000A6118" w:rsidRDefault="006B4528" w:rsidP="00A5799F">
            <w:pPr>
              <w:pStyle w:val="Tabletext"/>
              <w:rPr>
                <w:color w:val="FF0000"/>
                <w:szCs w:val="18"/>
              </w:rPr>
            </w:pPr>
            <w:r w:rsidRPr="000A6118">
              <w:rPr>
                <w:color w:val="FF0000"/>
                <w:szCs w:val="18"/>
              </w:rPr>
              <w:t>-</w:t>
            </w:r>
          </w:p>
        </w:tc>
        <w:tc>
          <w:tcPr>
            <w:tcW w:w="1016" w:type="dxa"/>
            <w:tcBorders>
              <w:top w:val="single" w:sz="2" w:space="0" w:color="auto"/>
              <w:bottom w:val="single" w:sz="2" w:space="0" w:color="auto"/>
            </w:tcBorders>
            <w:vAlign w:val="center"/>
          </w:tcPr>
          <w:p w14:paraId="7580CE6C" w14:textId="77777777" w:rsidR="006B4528" w:rsidRPr="000A6118" w:rsidRDefault="006B4528" w:rsidP="00A5799F">
            <w:pPr>
              <w:pStyle w:val="Tabletext"/>
              <w:rPr>
                <w:color w:val="FF0000"/>
                <w:szCs w:val="18"/>
              </w:rPr>
            </w:pPr>
            <w:r w:rsidRPr="000A6118">
              <w:rPr>
                <w:color w:val="FF0000"/>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697C04C3" w14:textId="77777777" w:rsidR="006B4528" w:rsidRPr="000A6118" w:rsidRDefault="006B4528" w:rsidP="00A5799F">
            <w:pPr>
              <w:pStyle w:val="Tabletext"/>
              <w:rPr>
                <w:color w:val="FF0000"/>
                <w:szCs w:val="18"/>
              </w:rPr>
            </w:pPr>
            <w:r w:rsidRPr="000A6118">
              <w:rPr>
                <w:color w:val="FF0000"/>
                <w:szCs w:val="18"/>
              </w:rPr>
              <w:t>-</w:t>
            </w:r>
          </w:p>
        </w:tc>
        <w:tc>
          <w:tcPr>
            <w:tcW w:w="1058" w:type="dxa"/>
            <w:tcBorders>
              <w:top w:val="single" w:sz="2" w:space="0" w:color="auto"/>
              <w:bottom w:val="single" w:sz="2" w:space="0" w:color="auto"/>
            </w:tcBorders>
            <w:vAlign w:val="center"/>
          </w:tcPr>
          <w:p w14:paraId="55CF9810" w14:textId="77777777" w:rsidR="006B4528" w:rsidRPr="000A6118" w:rsidRDefault="006B4528" w:rsidP="00A5799F">
            <w:pPr>
              <w:pStyle w:val="Tabletext"/>
              <w:rPr>
                <w:color w:val="FF0000"/>
                <w:szCs w:val="18"/>
              </w:rPr>
            </w:pPr>
            <w:r w:rsidRPr="000A6118">
              <w:rPr>
                <w:color w:val="FF0000"/>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180974E2" w14:textId="77777777" w:rsidR="006B4528" w:rsidRPr="000A6118" w:rsidRDefault="006B4528" w:rsidP="00A5799F">
            <w:pPr>
              <w:pStyle w:val="Tabletext"/>
              <w:rPr>
                <w:color w:val="FF0000"/>
                <w:szCs w:val="18"/>
              </w:rPr>
            </w:pPr>
            <w:r w:rsidRPr="000A6118">
              <w:rPr>
                <w:color w:val="FF0000"/>
                <w:szCs w:val="18"/>
              </w:rPr>
              <w:t>-</w:t>
            </w:r>
          </w:p>
        </w:tc>
        <w:tc>
          <w:tcPr>
            <w:tcW w:w="993" w:type="dxa"/>
            <w:tcBorders>
              <w:top w:val="single" w:sz="2" w:space="0" w:color="auto"/>
              <w:bottom w:val="single" w:sz="2" w:space="0" w:color="auto"/>
            </w:tcBorders>
            <w:vAlign w:val="center"/>
          </w:tcPr>
          <w:p w14:paraId="3DD5B820" w14:textId="77777777" w:rsidR="006B4528" w:rsidRPr="000A6118" w:rsidRDefault="006B4528" w:rsidP="00A5799F">
            <w:pPr>
              <w:pStyle w:val="Tabletext"/>
              <w:rPr>
                <w:color w:val="FF0000"/>
                <w:szCs w:val="18"/>
              </w:rPr>
            </w:pPr>
            <w:r w:rsidRPr="000A6118">
              <w:rPr>
                <w:color w:val="FF0000"/>
                <w:szCs w:val="18"/>
              </w:rPr>
              <w:t>-</w:t>
            </w:r>
          </w:p>
        </w:tc>
        <w:tc>
          <w:tcPr>
            <w:tcW w:w="850" w:type="dxa"/>
            <w:tcBorders>
              <w:top w:val="single" w:sz="2" w:space="0" w:color="auto"/>
              <w:bottom w:val="single" w:sz="2" w:space="0" w:color="auto"/>
            </w:tcBorders>
            <w:vAlign w:val="center"/>
          </w:tcPr>
          <w:p w14:paraId="4B057C0A" w14:textId="77777777" w:rsidR="006B4528" w:rsidRPr="000A6118" w:rsidRDefault="006B4528" w:rsidP="00A5799F">
            <w:pPr>
              <w:pStyle w:val="Tabletext"/>
              <w:rPr>
                <w:color w:val="FF0000"/>
                <w:szCs w:val="18"/>
              </w:rPr>
            </w:pPr>
            <w:r w:rsidRPr="000A6118">
              <w:rPr>
                <w:color w:val="FF0000"/>
                <w:szCs w:val="18"/>
              </w:rPr>
              <w:t>-</w:t>
            </w:r>
          </w:p>
        </w:tc>
      </w:tr>
      <w:tr w:rsidR="006B4528" w:rsidRPr="000A6118" w14:paraId="78291B84" w14:textId="77777777" w:rsidTr="00A5799F">
        <w:tc>
          <w:tcPr>
            <w:tcW w:w="1139" w:type="dxa"/>
            <w:vMerge/>
            <w:tcBorders>
              <w:bottom w:val="single" w:sz="12" w:space="0" w:color="auto"/>
            </w:tcBorders>
            <w:vAlign w:val="center"/>
          </w:tcPr>
          <w:p w14:paraId="0A540E63" w14:textId="77777777" w:rsidR="006B4528" w:rsidRPr="000A6118" w:rsidRDefault="006B4528" w:rsidP="00A5799F">
            <w:pPr>
              <w:pStyle w:val="Tabletext"/>
              <w:rPr>
                <w:color w:val="FF0000"/>
                <w:szCs w:val="18"/>
              </w:rPr>
            </w:pPr>
          </w:p>
        </w:tc>
        <w:tc>
          <w:tcPr>
            <w:tcW w:w="1134" w:type="dxa"/>
            <w:tcBorders>
              <w:top w:val="single" w:sz="2" w:space="0" w:color="auto"/>
              <w:bottom w:val="single" w:sz="12" w:space="0" w:color="auto"/>
            </w:tcBorders>
            <w:vAlign w:val="center"/>
          </w:tcPr>
          <w:p w14:paraId="55B8B312" w14:textId="77777777" w:rsidR="006B4528" w:rsidRPr="000A6118" w:rsidRDefault="006B4528" w:rsidP="00A5799F">
            <w:pPr>
              <w:pStyle w:val="Tabletext"/>
              <w:rPr>
                <w:color w:val="FF0000"/>
                <w:szCs w:val="18"/>
              </w:rPr>
            </w:pPr>
            <w:r w:rsidRPr="000A6118">
              <w:rPr>
                <w:color w:val="FF0000"/>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29BAA1D7" w14:textId="77777777" w:rsidR="006B4528" w:rsidRPr="000A6118" w:rsidRDefault="006B4528" w:rsidP="00A5799F">
            <w:pPr>
              <w:pStyle w:val="Tabletext"/>
              <w:rPr>
                <w:color w:val="FF0000"/>
                <w:szCs w:val="18"/>
              </w:rPr>
            </w:pPr>
            <w:r w:rsidRPr="000A6118">
              <w:rPr>
                <w:color w:val="FF0000"/>
                <w:szCs w:val="18"/>
              </w:rPr>
              <w:t>-</w:t>
            </w:r>
          </w:p>
        </w:tc>
        <w:tc>
          <w:tcPr>
            <w:tcW w:w="1016" w:type="dxa"/>
            <w:tcBorders>
              <w:top w:val="single" w:sz="2" w:space="0" w:color="auto"/>
              <w:bottom w:val="single" w:sz="12" w:space="0" w:color="auto"/>
            </w:tcBorders>
            <w:vAlign w:val="center"/>
          </w:tcPr>
          <w:p w14:paraId="77DF88F2" w14:textId="77777777" w:rsidR="006B4528" w:rsidRPr="000A6118" w:rsidRDefault="006B4528" w:rsidP="00A5799F">
            <w:pPr>
              <w:pStyle w:val="Tabletext"/>
              <w:rPr>
                <w:color w:val="FF0000"/>
                <w:szCs w:val="18"/>
              </w:rPr>
            </w:pPr>
            <w:r w:rsidRPr="000A6118">
              <w:rPr>
                <w:color w:val="FF0000"/>
                <w:szCs w:val="18"/>
              </w:rPr>
              <w:t>-</w:t>
            </w:r>
          </w:p>
        </w:tc>
        <w:tc>
          <w:tcPr>
            <w:tcW w:w="1016" w:type="dxa"/>
            <w:tcBorders>
              <w:top w:val="single" w:sz="2" w:space="0" w:color="auto"/>
              <w:bottom w:val="single" w:sz="12" w:space="0" w:color="auto"/>
            </w:tcBorders>
            <w:shd w:val="clear" w:color="auto" w:fill="D9D9D9" w:themeFill="background1" w:themeFillShade="D9"/>
            <w:vAlign w:val="center"/>
          </w:tcPr>
          <w:p w14:paraId="5595B5EE" w14:textId="77777777" w:rsidR="006B4528" w:rsidRPr="000A6118" w:rsidRDefault="006B4528" w:rsidP="00A5799F">
            <w:pPr>
              <w:pStyle w:val="Tabletext"/>
              <w:rPr>
                <w:color w:val="FF0000"/>
                <w:szCs w:val="18"/>
              </w:rPr>
            </w:pPr>
            <w:r w:rsidRPr="000A6118">
              <w:rPr>
                <w:color w:val="FF0000"/>
                <w:szCs w:val="18"/>
              </w:rPr>
              <w:t>-</w:t>
            </w:r>
          </w:p>
        </w:tc>
        <w:tc>
          <w:tcPr>
            <w:tcW w:w="1058" w:type="dxa"/>
            <w:tcBorders>
              <w:top w:val="single" w:sz="2" w:space="0" w:color="auto"/>
              <w:bottom w:val="single" w:sz="12" w:space="0" w:color="auto"/>
            </w:tcBorders>
          </w:tcPr>
          <w:p w14:paraId="6B715BC7" w14:textId="77777777" w:rsidR="006B4528" w:rsidRPr="000A6118" w:rsidRDefault="006B4528" w:rsidP="00A5799F">
            <w:pPr>
              <w:pStyle w:val="Tabletext"/>
              <w:rPr>
                <w:color w:val="FF0000"/>
                <w:szCs w:val="18"/>
              </w:rPr>
            </w:pPr>
            <w:r w:rsidRPr="000A6118">
              <w:rPr>
                <w:color w:val="FF0000"/>
                <w:szCs w:val="18"/>
              </w:rPr>
              <w:t>Phase 1 JAE</w:t>
            </w:r>
          </w:p>
          <w:p w14:paraId="76DAC5D8" w14:textId="77777777" w:rsidR="006B4528" w:rsidRPr="000A6118" w:rsidRDefault="006B4528" w:rsidP="00A5799F">
            <w:pPr>
              <w:pStyle w:val="Tabletext"/>
              <w:rPr>
                <w:color w:val="FF0000"/>
                <w:szCs w:val="18"/>
              </w:rPr>
            </w:pPr>
            <w:r w:rsidRPr="000A6118">
              <w:rPr>
                <w:color w:val="FF0000"/>
                <w:szCs w:val="18"/>
              </w:rPr>
              <w:t xml:space="preserve">CODE  </w:t>
            </w:r>
          </w:p>
        </w:tc>
        <w:tc>
          <w:tcPr>
            <w:tcW w:w="992" w:type="dxa"/>
            <w:tcBorders>
              <w:top w:val="single" w:sz="2" w:space="0" w:color="auto"/>
              <w:bottom w:val="single" w:sz="12" w:space="0" w:color="auto"/>
            </w:tcBorders>
            <w:shd w:val="clear" w:color="auto" w:fill="D9D9D9" w:themeFill="background1" w:themeFillShade="D9"/>
          </w:tcPr>
          <w:p w14:paraId="41E4E6AE" w14:textId="77777777" w:rsidR="006B4528" w:rsidRPr="000A6118" w:rsidRDefault="006B4528" w:rsidP="00A5799F">
            <w:pPr>
              <w:pStyle w:val="Tabletext"/>
              <w:rPr>
                <w:color w:val="FF0000"/>
                <w:szCs w:val="18"/>
              </w:rPr>
            </w:pPr>
            <w:r w:rsidRPr="000A6118">
              <w:rPr>
                <w:color w:val="FF0000"/>
                <w:szCs w:val="18"/>
              </w:rPr>
              <w:t>Phase 1</w:t>
            </w:r>
            <w:r w:rsidRPr="000A6118">
              <w:rPr>
                <w:color w:val="FF0000"/>
                <w:szCs w:val="18"/>
              </w:rPr>
              <w:br/>
              <w:t>Phase 2</w:t>
            </w:r>
            <w:r w:rsidRPr="000A6118">
              <w:rPr>
                <w:color w:val="FF0000"/>
                <w:szCs w:val="18"/>
              </w:rPr>
              <w:br/>
              <w:t xml:space="preserve"> JAE</w:t>
            </w:r>
          </w:p>
        </w:tc>
        <w:tc>
          <w:tcPr>
            <w:tcW w:w="993" w:type="dxa"/>
            <w:tcBorders>
              <w:top w:val="single" w:sz="2" w:space="0" w:color="auto"/>
              <w:bottom w:val="single" w:sz="12" w:space="0" w:color="auto"/>
            </w:tcBorders>
          </w:tcPr>
          <w:p w14:paraId="05727AC1" w14:textId="77777777" w:rsidR="006B4528" w:rsidRPr="000A6118" w:rsidRDefault="006B4528" w:rsidP="00A5799F">
            <w:pPr>
              <w:pStyle w:val="Tabletext"/>
              <w:rPr>
                <w:color w:val="FF0000"/>
                <w:szCs w:val="18"/>
              </w:rPr>
            </w:pPr>
            <w:r w:rsidRPr="000A6118">
              <w:rPr>
                <w:color w:val="FF0000"/>
                <w:szCs w:val="18"/>
              </w:rPr>
              <w:t>All product phases</w:t>
            </w:r>
            <w:r w:rsidRPr="000A6118">
              <w:rPr>
                <w:color w:val="FF0000"/>
                <w:szCs w:val="18"/>
              </w:rPr>
              <w:br/>
              <w:t>JAE</w:t>
            </w:r>
          </w:p>
        </w:tc>
        <w:tc>
          <w:tcPr>
            <w:tcW w:w="850" w:type="dxa"/>
            <w:tcBorders>
              <w:top w:val="single" w:sz="2" w:space="0" w:color="auto"/>
              <w:bottom w:val="single" w:sz="12" w:space="0" w:color="auto"/>
            </w:tcBorders>
          </w:tcPr>
          <w:p w14:paraId="13DBF3EA" w14:textId="77777777" w:rsidR="006B4528" w:rsidRPr="000A6118" w:rsidRDefault="006B4528" w:rsidP="00A5799F">
            <w:pPr>
              <w:pStyle w:val="Tabletext"/>
              <w:rPr>
                <w:color w:val="FF0000"/>
                <w:szCs w:val="18"/>
              </w:rPr>
            </w:pPr>
            <w:r w:rsidRPr="000A6118">
              <w:rPr>
                <w:color w:val="FF0000"/>
                <w:szCs w:val="18"/>
              </w:rPr>
              <w:t>All product phases</w:t>
            </w:r>
          </w:p>
        </w:tc>
      </w:tr>
      <w:tr w:rsidR="006B4528" w:rsidRPr="000A6118" w14:paraId="3278EFCB" w14:textId="77777777" w:rsidTr="00A5799F">
        <w:tc>
          <w:tcPr>
            <w:tcW w:w="1139" w:type="dxa"/>
            <w:vMerge w:val="restart"/>
            <w:tcBorders>
              <w:top w:val="single" w:sz="12" w:space="0" w:color="auto"/>
            </w:tcBorders>
            <w:vAlign w:val="center"/>
          </w:tcPr>
          <w:p w14:paraId="5C118A0B" w14:textId="77777777" w:rsidR="006B4528" w:rsidRPr="000A6118" w:rsidRDefault="006B4528" w:rsidP="00A5799F">
            <w:pPr>
              <w:pStyle w:val="Tabletext"/>
              <w:rPr>
                <w:color w:val="FF0000"/>
                <w:szCs w:val="18"/>
              </w:rPr>
            </w:pPr>
            <w:r w:rsidRPr="000A6118">
              <w:rPr>
                <w:color w:val="FF0000"/>
                <w:szCs w:val="18"/>
              </w:rPr>
              <w:t>Accredited ADI and accredited non-ADI (reciprocal data holder)</w:t>
            </w:r>
          </w:p>
        </w:tc>
        <w:tc>
          <w:tcPr>
            <w:tcW w:w="1134" w:type="dxa"/>
            <w:tcBorders>
              <w:top w:val="single" w:sz="12" w:space="0" w:color="auto"/>
              <w:bottom w:val="single" w:sz="2" w:space="0" w:color="auto"/>
            </w:tcBorders>
            <w:vAlign w:val="center"/>
          </w:tcPr>
          <w:p w14:paraId="27E9A1D6" w14:textId="77777777" w:rsidR="006B4528" w:rsidRPr="000A6118" w:rsidRDefault="006B4528" w:rsidP="00A5799F">
            <w:pPr>
              <w:pStyle w:val="Tabletext"/>
              <w:rPr>
                <w:color w:val="FF0000"/>
                <w:szCs w:val="18"/>
              </w:rPr>
            </w:pPr>
            <w:r w:rsidRPr="000A6118">
              <w:rPr>
                <w:color w:val="FF0000"/>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48F2606A"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1016" w:type="dxa"/>
            <w:tcBorders>
              <w:top w:val="single" w:sz="12" w:space="0" w:color="auto"/>
              <w:bottom w:val="single" w:sz="2" w:space="0" w:color="auto"/>
            </w:tcBorders>
          </w:tcPr>
          <w:p w14:paraId="15699BE6"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0F8E94C8"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1058" w:type="dxa"/>
            <w:tcBorders>
              <w:top w:val="single" w:sz="12" w:space="0" w:color="auto"/>
              <w:bottom w:val="single" w:sz="2" w:space="0" w:color="auto"/>
            </w:tcBorders>
          </w:tcPr>
          <w:p w14:paraId="6BEE8868"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992" w:type="dxa"/>
            <w:tcBorders>
              <w:top w:val="single" w:sz="12" w:space="0" w:color="auto"/>
              <w:bottom w:val="single" w:sz="2" w:space="0" w:color="auto"/>
            </w:tcBorders>
            <w:shd w:val="clear" w:color="auto" w:fill="D9D9D9" w:themeFill="background1" w:themeFillShade="D9"/>
          </w:tcPr>
          <w:p w14:paraId="38F3F01F"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993" w:type="dxa"/>
            <w:tcBorders>
              <w:top w:val="single" w:sz="12" w:space="0" w:color="auto"/>
              <w:bottom w:val="single" w:sz="2" w:space="0" w:color="auto"/>
            </w:tcBorders>
          </w:tcPr>
          <w:p w14:paraId="014FB64C" w14:textId="77777777" w:rsidR="006B4528" w:rsidRPr="000A6118" w:rsidRDefault="006B4528" w:rsidP="00A5799F">
            <w:pPr>
              <w:pStyle w:val="Tabletext"/>
              <w:rPr>
                <w:color w:val="FF0000"/>
                <w:szCs w:val="18"/>
              </w:rPr>
            </w:pPr>
            <w:r w:rsidRPr="000A6118">
              <w:rPr>
                <w:color w:val="FF0000"/>
                <w:szCs w:val="18"/>
              </w:rPr>
              <w:t xml:space="preserve">All product phases </w:t>
            </w:r>
          </w:p>
        </w:tc>
        <w:tc>
          <w:tcPr>
            <w:tcW w:w="850" w:type="dxa"/>
            <w:tcBorders>
              <w:top w:val="single" w:sz="12" w:space="0" w:color="auto"/>
              <w:bottom w:val="single" w:sz="2" w:space="0" w:color="auto"/>
            </w:tcBorders>
          </w:tcPr>
          <w:p w14:paraId="6A113DB3" w14:textId="77777777" w:rsidR="006B4528" w:rsidRPr="000A6118" w:rsidRDefault="006B4528" w:rsidP="00A5799F">
            <w:pPr>
              <w:pStyle w:val="Tabletext"/>
              <w:rPr>
                <w:color w:val="FF0000"/>
                <w:szCs w:val="18"/>
              </w:rPr>
            </w:pPr>
            <w:r w:rsidRPr="000A6118">
              <w:rPr>
                <w:color w:val="FF0000"/>
                <w:szCs w:val="18"/>
              </w:rPr>
              <w:t xml:space="preserve">All product phases </w:t>
            </w:r>
          </w:p>
        </w:tc>
      </w:tr>
      <w:tr w:rsidR="006B4528" w:rsidRPr="000A6118" w14:paraId="490EA7A5" w14:textId="77777777" w:rsidTr="00A5799F">
        <w:tc>
          <w:tcPr>
            <w:tcW w:w="1139" w:type="dxa"/>
            <w:vMerge/>
            <w:vAlign w:val="center"/>
          </w:tcPr>
          <w:p w14:paraId="64941609" w14:textId="77777777" w:rsidR="006B4528" w:rsidRPr="000A6118" w:rsidRDefault="006B4528" w:rsidP="00A5799F">
            <w:pPr>
              <w:pStyle w:val="Tabletext"/>
              <w:rPr>
                <w:color w:val="FF0000"/>
                <w:szCs w:val="18"/>
              </w:rPr>
            </w:pPr>
          </w:p>
        </w:tc>
        <w:tc>
          <w:tcPr>
            <w:tcW w:w="1134" w:type="dxa"/>
            <w:tcBorders>
              <w:top w:val="single" w:sz="2" w:space="0" w:color="auto"/>
              <w:bottom w:val="single" w:sz="2" w:space="0" w:color="auto"/>
            </w:tcBorders>
            <w:vAlign w:val="center"/>
          </w:tcPr>
          <w:p w14:paraId="201E4890" w14:textId="77777777" w:rsidR="006B4528" w:rsidRPr="000A6118" w:rsidRDefault="006B4528" w:rsidP="00A5799F">
            <w:pPr>
              <w:pStyle w:val="Tabletext"/>
              <w:rPr>
                <w:color w:val="FF0000"/>
                <w:szCs w:val="18"/>
              </w:rPr>
            </w:pPr>
            <w:r w:rsidRPr="000A6118">
              <w:rPr>
                <w:color w:val="FF0000"/>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44D2885D" w14:textId="77777777" w:rsidR="006B4528" w:rsidRPr="000A6118" w:rsidRDefault="006B4528" w:rsidP="00A5799F">
            <w:pPr>
              <w:pStyle w:val="Tabletext"/>
              <w:rPr>
                <w:color w:val="FF0000"/>
                <w:szCs w:val="18"/>
              </w:rPr>
            </w:pPr>
            <w:r w:rsidRPr="000A6118">
              <w:rPr>
                <w:color w:val="FF0000"/>
                <w:szCs w:val="18"/>
              </w:rPr>
              <w:t>-</w:t>
            </w:r>
          </w:p>
        </w:tc>
        <w:tc>
          <w:tcPr>
            <w:tcW w:w="1016" w:type="dxa"/>
            <w:tcBorders>
              <w:top w:val="single" w:sz="2" w:space="0" w:color="auto"/>
              <w:bottom w:val="single" w:sz="2" w:space="0" w:color="auto"/>
            </w:tcBorders>
            <w:vAlign w:val="center"/>
          </w:tcPr>
          <w:p w14:paraId="5BC63FA2" w14:textId="77777777" w:rsidR="006B4528" w:rsidRPr="000A6118" w:rsidRDefault="006B4528" w:rsidP="00A5799F">
            <w:pPr>
              <w:pStyle w:val="Tabletext"/>
              <w:rPr>
                <w:color w:val="FF0000"/>
                <w:szCs w:val="18"/>
              </w:rPr>
            </w:pPr>
            <w:r w:rsidRPr="000A6118">
              <w:rPr>
                <w:color w:val="FF0000"/>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5F84209C" w14:textId="77777777" w:rsidR="006B4528" w:rsidRPr="000A6118" w:rsidRDefault="006B4528" w:rsidP="00A5799F">
            <w:pPr>
              <w:pStyle w:val="Tabletext"/>
              <w:rPr>
                <w:color w:val="FF0000"/>
                <w:szCs w:val="18"/>
              </w:rPr>
            </w:pPr>
            <w:r w:rsidRPr="000A6118">
              <w:rPr>
                <w:color w:val="FF0000"/>
                <w:szCs w:val="18"/>
              </w:rPr>
              <w:t>-</w:t>
            </w:r>
          </w:p>
        </w:tc>
        <w:tc>
          <w:tcPr>
            <w:tcW w:w="1058" w:type="dxa"/>
            <w:tcBorders>
              <w:top w:val="single" w:sz="2" w:space="0" w:color="auto"/>
              <w:bottom w:val="single" w:sz="2" w:space="0" w:color="auto"/>
            </w:tcBorders>
            <w:vAlign w:val="center"/>
          </w:tcPr>
          <w:p w14:paraId="6AE3FD0D" w14:textId="77777777" w:rsidR="006B4528" w:rsidRPr="000A6118" w:rsidRDefault="006B4528" w:rsidP="00A5799F">
            <w:pPr>
              <w:pStyle w:val="Tabletext"/>
              <w:rPr>
                <w:color w:val="FF0000"/>
                <w:szCs w:val="18"/>
              </w:rPr>
            </w:pPr>
            <w:r w:rsidRPr="000A6118">
              <w:rPr>
                <w:color w:val="FF0000"/>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476FC9A4" w14:textId="77777777" w:rsidR="006B4528" w:rsidRPr="000A6118" w:rsidRDefault="006B4528" w:rsidP="00A5799F">
            <w:pPr>
              <w:pStyle w:val="Tabletext"/>
              <w:rPr>
                <w:strike/>
                <w:color w:val="FF0000"/>
                <w:szCs w:val="18"/>
              </w:rPr>
            </w:pPr>
            <w:r w:rsidRPr="000A6118">
              <w:rPr>
                <w:color w:val="FF0000"/>
                <w:szCs w:val="18"/>
              </w:rPr>
              <w:t>-</w:t>
            </w:r>
          </w:p>
        </w:tc>
        <w:tc>
          <w:tcPr>
            <w:tcW w:w="993" w:type="dxa"/>
            <w:tcBorders>
              <w:top w:val="single" w:sz="2" w:space="0" w:color="auto"/>
              <w:bottom w:val="single" w:sz="2" w:space="0" w:color="auto"/>
            </w:tcBorders>
            <w:vAlign w:val="center"/>
          </w:tcPr>
          <w:p w14:paraId="26978467" w14:textId="77777777" w:rsidR="006B4528" w:rsidRPr="000A6118" w:rsidRDefault="006B4528" w:rsidP="00A5799F">
            <w:pPr>
              <w:pStyle w:val="Tabletext"/>
              <w:rPr>
                <w:strike/>
                <w:color w:val="FF0000"/>
                <w:szCs w:val="18"/>
              </w:rPr>
            </w:pPr>
            <w:r w:rsidRPr="000A6118">
              <w:rPr>
                <w:color w:val="FF0000"/>
                <w:szCs w:val="18"/>
              </w:rPr>
              <w:t>-</w:t>
            </w:r>
          </w:p>
        </w:tc>
        <w:tc>
          <w:tcPr>
            <w:tcW w:w="850" w:type="dxa"/>
            <w:tcBorders>
              <w:top w:val="single" w:sz="2" w:space="0" w:color="auto"/>
              <w:bottom w:val="single" w:sz="2" w:space="0" w:color="auto"/>
            </w:tcBorders>
            <w:vAlign w:val="center"/>
          </w:tcPr>
          <w:p w14:paraId="1DBF2582" w14:textId="77777777" w:rsidR="006B4528" w:rsidRPr="000A6118" w:rsidRDefault="006B4528" w:rsidP="00A5799F">
            <w:pPr>
              <w:pStyle w:val="Tabletext"/>
              <w:rPr>
                <w:color w:val="FF0000"/>
                <w:szCs w:val="18"/>
              </w:rPr>
            </w:pPr>
            <w:r w:rsidRPr="000A6118">
              <w:rPr>
                <w:color w:val="FF0000"/>
                <w:szCs w:val="18"/>
              </w:rPr>
              <w:t>-</w:t>
            </w:r>
          </w:p>
        </w:tc>
      </w:tr>
      <w:tr w:rsidR="006B4528" w:rsidRPr="000A6118" w14:paraId="77FE075D" w14:textId="77777777" w:rsidTr="00A5799F">
        <w:tc>
          <w:tcPr>
            <w:tcW w:w="1139" w:type="dxa"/>
            <w:vMerge/>
            <w:tcBorders>
              <w:bottom w:val="single" w:sz="12" w:space="0" w:color="auto"/>
            </w:tcBorders>
            <w:vAlign w:val="center"/>
          </w:tcPr>
          <w:p w14:paraId="5242405A" w14:textId="77777777" w:rsidR="006B4528" w:rsidRPr="000A6118" w:rsidRDefault="006B4528" w:rsidP="00A5799F">
            <w:pPr>
              <w:pStyle w:val="Tabletext"/>
              <w:rPr>
                <w:color w:val="FF0000"/>
                <w:szCs w:val="18"/>
              </w:rPr>
            </w:pPr>
          </w:p>
        </w:tc>
        <w:tc>
          <w:tcPr>
            <w:tcW w:w="1134" w:type="dxa"/>
            <w:tcBorders>
              <w:top w:val="single" w:sz="2" w:space="0" w:color="auto"/>
              <w:bottom w:val="single" w:sz="12" w:space="0" w:color="auto"/>
            </w:tcBorders>
            <w:vAlign w:val="center"/>
          </w:tcPr>
          <w:p w14:paraId="52ABAD9D" w14:textId="77777777" w:rsidR="006B4528" w:rsidRPr="000A6118" w:rsidRDefault="006B4528" w:rsidP="00A5799F">
            <w:pPr>
              <w:pStyle w:val="Tabletext"/>
              <w:rPr>
                <w:color w:val="FF0000"/>
                <w:szCs w:val="18"/>
              </w:rPr>
            </w:pPr>
            <w:r w:rsidRPr="000A6118">
              <w:rPr>
                <w:color w:val="FF0000"/>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1F302F9D" w14:textId="77777777" w:rsidR="006B4528" w:rsidRPr="000A6118" w:rsidRDefault="006B4528" w:rsidP="00A5799F">
            <w:pPr>
              <w:pStyle w:val="Tabletext"/>
              <w:rPr>
                <w:color w:val="FF0000"/>
                <w:szCs w:val="18"/>
              </w:rPr>
            </w:pPr>
            <w:r w:rsidRPr="000A6118">
              <w:rPr>
                <w:color w:val="FF0000"/>
                <w:szCs w:val="18"/>
              </w:rPr>
              <w:t>-</w:t>
            </w:r>
          </w:p>
        </w:tc>
        <w:tc>
          <w:tcPr>
            <w:tcW w:w="1016" w:type="dxa"/>
            <w:tcBorders>
              <w:top w:val="single" w:sz="2" w:space="0" w:color="auto"/>
              <w:bottom w:val="single" w:sz="12" w:space="0" w:color="auto"/>
            </w:tcBorders>
            <w:vAlign w:val="center"/>
          </w:tcPr>
          <w:p w14:paraId="169F49C4" w14:textId="77777777" w:rsidR="006B4528" w:rsidRPr="000A6118" w:rsidRDefault="006B4528" w:rsidP="00A5799F">
            <w:pPr>
              <w:pStyle w:val="Tabletext"/>
              <w:rPr>
                <w:color w:val="FF0000"/>
                <w:szCs w:val="18"/>
              </w:rPr>
            </w:pPr>
            <w:r w:rsidRPr="000A6118">
              <w:rPr>
                <w:color w:val="FF0000"/>
                <w:szCs w:val="18"/>
              </w:rPr>
              <w:t>-</w:t>
            </w:r>
          </w:p>
        </w:tc>
        <w:tc>
          <w:tcPr>
            <w:tcW w:w="1016" w:type="dxa"/>
            <w:tcBorders>
              <w:top w:val="single" w:sz="2" w:space="0" w:color="auto"/>
              <w:bottom w:val="single" w:sz="12" w:space="0" w:color="auto"/>
            </w:tcBorders>
            <w:shd w:val="clear" w:color="auto" w:fill="D9D9D9" w:themeFill="background1" w:themeFillShade="D9"/>
          </w:tcPr>
          <w:p w14:paraId="77DDB2BA" w14:textId="77777777" w:rsidR="006B4528" w:rsidRPr="000A6118" w:rsidRDefault="006B4528" w:rsidP="00A5799F">
            <w:pPr>
              <w:pStyle w:val="Tabletext"/>
              <w:rPr>
                <w:color w:val="FF0000"/>
                <w:szCs w:val="18"/>
              </w:rPr>
            </w:pPr>
            <w:r w:rsidRPr="000A6118">
              <w:rPr>
                <w:color w:val="FF0000"/>
                <w:szCs w:val="18"/>
              </w:rPr>
              <w:t>Phase 1 JAE</w:t>
            </w:r>
          </w:p>
          <w:p w14:paraId="0F1E7133" w14:textId="77777777" w:rsidR="006B4528" w:rsidRPr="000A6118" w:rsidRDefault="006B4528" w:rsidP="00A5799F">
            <w:pPr>
              <w:pStyle w:val="Tabletext"/>
              <w:rPr>
                <w:color w:val="FF0000"/>
                <w:szCs w:val="18"/>
              </w:rPr>
            </w:pPr>
            <w:r w:rsidRPr="000A6118">
              <w:rPr>
                <w:color w:val="FF0000"/>
                <w:szCs w:val="18"/>
              </w:rPr>
              <w:t>CODE</w:t>
            </w:r>
          </w:p>
        </w:tc>
        <w:tc>
          <w:tcPr>
            <w:tcW w:w="1058" w:type="dxa"/>
            <w:tcBorders>
              <w:top w:val="single" w:sz="2" w:space="0" w:color="auto"/>
              <w:bottom w:val="single" w:sz="12" w:space="0" w:color="auto"/>
            </w:tcBorders>
          </w:tcPr>
          <w:p w14:paraId="1DE96D19" w14:textId="77777777" w:rsidR="006B4528" w:rsidRPr="000A6118" w:rsidRDefault="006B4528" w:rsidP="00A5799F">
            <w:pPr>
              <w:pStyle w:val="Tabletext"/>
              <w:rPr>
                <w:color w:val="FF0000"/>
                <w:szCs w:val="18"/>
              </w:rPr>
            </w:pPr>
            <w:r w:rsidRPr="000A6118">
              <w:rPr>
                <w:color w:val="FF0000"/>
                <w:szCs w:val="18"/>
              </w:rPr>
              <w:t>All product phases</w:t>
            </w:r>
            <w:r w:rsidRPr="000A6118">
              <w:rPr>
                <w:color w:val="FF0000"/>
                <w:szCs w:val="18"/>
              </w:rPr>
              <w:br/>
              <w:t xml:space="preserve">JAE </w:t>
            </w:r>
          </w:p>
        </w:tc>
        <w:tc>
          <w:tcPr>
            <w:tcW w:w="992" w:type="dxa"/>
            <w:tcBorders>
              <w:top w:val="single" w:sz="2" w:space="0" w:color="auto"/>
              <w:bottom w:val="single" w:sz="12" w:space="0" w:color="auto"/>
            </w:tcBorders>
            <w:shd w:val="clear" w:color="auto" w:fill="D9D9D9" w:themeFill="background1" w:themeFillShade="D9"/>
          </w:tcPr>
          <w:p w14:paraId="1F0B1B12" w14:textId="77777777" w:rsidR="006B4528" w:rsidRPr="000A6118" w:rsidRDefault="006B4528" w:rsidP="00A5799F">
            <w:pPr>
              <w:pStyle w:val="Tabletext"/>
              <w:rPr>
                <w:color w:val="FF0000"/>
                <w:szCs w:val="18"/>
              </w:rPr>
            </w:pPr>
            <w:r w:rsidRPr="000A6118">
              <w:rPr>
                <w:color w:val="FF0000"/>
                <w:szCs w:val="18"/>
              </w:rPr>
              <w:t>All product phases</w:t>
            </w:r>
            <w:r w:rsidRPr="000A6118">
              <w:rPr>
                <w:color w:val="FF0000"/>
                <w:szCs w:val="18"/>
              </w:rPr>
              <w:br/>
              <w:t>JAE</w:t>
            </w:r>
          </w:p>
        </w:tc>
        <w:tc>
          <w:tcPr>
            <w:tcW w:w="993" w:type="dxa"/>
            <w:tcBorders>
              <w:top w:val="single" w:sz="2" w:space="0" w:color="auto"/>
              <w:bottom w:val="single" w:sz="12" w:space="0" w:color="auto"/>
            </w:tcBorders>
          </w:tcPr>
          <w:p w14:paraId="081A43DB" w14:textId="77777777" w:rsidR="006B4528" w:rsidRPr="000A6118" w:rsidRDefault="006B4528" w:rsidP="00A5799F">
            <w:pPr>
              <w:pStyle w:val="Tabletext"/>
              <w:rPr>
                <w:color w:val="FF0000"/>
                <w:szCs w:val="18"/>
              </w:rPr>
            </w:pPr>
            <w:r w:rsidRPr="000A6118">
              <w:rPr>
                <w:color w:val="FF0000"/>
                <w:szCs w:val="18"/>
              </w:rPr>
              <w:t>All product phases</w:t>
            </w:r>
            <w:r w:rsidRPr="000A6118">
              <w:rPr>
                <w:color w:val="FF0000"/>
                <w:szCs w:val="18"/>
              </w:rPr>
              <w:br/>
              <w:t>JAE</w:t>
            </w:r>
          </w:p>
        </w:tc>
        <w:tc>
          <w:tcPr>
            <w:tcW w:w="850" w:type="dxa"/>
            <w:tcBorders>
              <w:top w:val="single" w:sz="2" w:space="0" w:color="auto"/>
              <w:bottom w:val="single" w:sz="12" w:space="0" w:color="auto"/>
            </w:tcBorders>
          </w:tcPr>
          <w:p w14:paraId="72A9D284" w14:textId="77777777" w:rsidR="006B4528" w:rsidRPr="000A6118" w:rsidRDefault="006B4528" w:rsidP="00A5799F">
            <w:pPr>
              <w:pStyle w:val="Tabletext"/>
              <w:rPr>
                <w:color w:val="FF0000"/>
                <w:szCs w:val="18"/>
              </w:rPr>
            </w:pPr>
            <w:r w:rsidRPr="000A6118">
              <w:rPr>
                <w:color w:val="FF0000"/>
                <w:szCs w:val="18"/>
              </w:rPr>
              <w:t>All product phases</w:t>
            </w:r>
          </w:p>
        </w:tc>
      </w:tr>
    </w:tbl>
    <w:p w14:paraId="676D6CE6" w14:textId="77777777" w:rsidR="006B4528" w:rsidRDefault="006B4528" w:rsidP="006B4528">
      <w:pPr>
        <w:pStyle w:val="subsection"/>
        <w:spacing w:after="120"/>
      </w:pPr>
    </w:p>
    <w:tbl>
      <w:tblPr>
        <w:tblStyle w:val="TableGrid"/>
        <w:tblW w:w="836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9"/>
        <w:gridCol w:w="1134"/>
        <w:gridCol w:w="1016"/>
        <w:gridCol w:w="1016"/>
        <w:gridCol w:w="1016"/>
        <w:gridCol w:w="1016"/>
        <w:gridCol w:w="1016"/>
        <w:gridCol w:w="1016"/>
      </w:tblGrid>
      <w:tr w:rsidR="00D32F77" w:rsidRPr="00260C8A" w14:paraId="2944F1D5" w14:textId="77777777" w:rsidTr="00832060">
        <w:trPr>
          <w:tblHeader/>
        </w:trPr>
        <w:tc>
          <w:tcPr>
            <w:tcW w:w="1139" w:type="dxa"/>
            <w:tcBorders>
              <w:top w:val="single" w:sz="18" w:space="0" w:color="auto"/>
              <w:bottom w:val="single" w:sz="18" w:space="0" w:color="auto"/>
            </w:tcBorders>
            <w:vAlign w:val="center"/>
          </w:tcPr>
          <w:p w14:paraId="22210B85" w14:textId="77777777" w:rsidR="00D32F77" w:rsidRPr="00260C8A" w:rsidRDefault="00D32F77" w:rsidP="00832060">
            <w:pPr>
              <w:pStyle w:val="TableHeading"/>
              <w:jc w:val="center"/>
              <w:rPr>
                <w:strike/>
                <w:color w:val="FF0000"/>
                <w:szCs w:val="18"/>
              </w:rPr>
            </w:pPr>
            <w:r w:rsidRPr="00260C8A">
              <w:rPr>
                <w:strike/>
                <w:color w:val="FF0000"/>
                <w:szCs w:val="18"/>
              </w:rPr>
              <w:t>Data holder</w:t>
            </w:r>
          </w:p>
        </w:tc>
        <w:tc>
          <w:tcPr>
            <w:tcW w:w="1134" w:type="dxa"/>
            <w:tcBorders>
              <w:top w:val="single" w:sz="18" w:space="0" w:color="auto"/>
              <w:bottom w:val="single" w:sz="18" w:space="0" w:color="auto"/>
            </w:tcBorders>
            <w:vAlign w:val="center"/>
          </w:tcPr>
          <w:p w14:paraId="68C3A5E3" w14:textId="77777777" w:rsidR="00D32F77" w:rsidRPr="00260C8A" w:rsidRDefault="00D32F77" w:rsidP="00832060">
            <w:pPr>
              <w:pStyle w:val="TableHeading"/>
              <w:jc w:val="center"/>
              <w:rPr>
                <w:strike/>
                <w:color w:val="FF0000"/>
                <w:szCs w:val="18"/>
              </w:rPr>
            </w:pPr>
            <w:r w:rsidRPr="00260C8A">
              <w:rPr>
                <w:strike/>
                <w:color w:val="FF0000"/>
                <w:szCs w:val="18"/>
              </w:rPr>
              <w:t>Data sharing obligations</w:t>
            </w:r>
          </w:p>
        </w:tc>
        <w:tc>
          <w:tcPr>
            <w:tcW w:w="1016" w:type="dxa"/>
            <w:tcBorders>
              <w:top w:val="single" w:sz="18" w:space="0" w:color="auto"/>
              <w:bottom w:val="single" w:sz="18" w:space="0" w:color="auto"/>
            </w:tcBorders>
            <w:shd w:val="clear" w:color="auto" w:fill="D9D9D9" w:themeFill="background1" w:themeFillShade="D9"/>
            <w:vAlign w:val="center"/>
          </w:tcPr>
          <w:p w14:paraId="34BFD4A0" w14:textId="77777777" w:rsidR="00D32F77" w:rsidRPr="00260C8A" w:rsidRDefault="00D32F77" w:rsidP="00832060">
            <w:pPr>
              <w:pStyle w:val="TableHeading"/>
              <w:jc w:val="center"/>
              <w:rPr>
                <w:strike/>
                <w:color w:val="FF0000"/>
                <w:szCs w:val="18"/>
              </w:rPr>
            </w:pPr>
            <w:r w:rsidRPr="00260C8A">
              <w:rPr>
                <w:strike/>
                <w:color w:val="FF0000"/>
                <w:szCs w:val="18"/>
              </w:rPr>
              <w:t xml:space="preserve">Start date </w:t>
            </w:r>
            <w:r w:rsidRPr="00260C8A">
              <w:rPr>
                <w:strike/>
                <w:color w:val="FF0000"/>
                <w:szCs w:val="18"/>
              </w:rPr>
              <w:br/>
              <w:t>to</w:t>
            </w:r>
            <w:r w:rsidRPr="00260C8A">
              <w:rPr>
                <w:strike/>
                <w:color w:val="FF0000"/>
                <w:szCs w:val="18"/>
              </w:rPr>
              <w:br/>
              <w:t>31 Jan 2021</w:t>
            </w:r>
          </w:p>
        </w:tc>
        <w:tc>
          <w:tcPr>
            <w:tcW w:w="1016" w:type="dxa"/>
            <w:tcBorders>
              <w:top w:val="single" w:sz="18" w:space="0" w:color="auto"/>
              <w:bottom w:val="single" w:sz="18" w:space="0" w:color="auto"/>
            </w:tcBorders>
            <w:vAlign w:val="center"/>
          </w:tcPr>
          <w:p w14:paraId="3E4CCBD3" w14:textId="77777777" w:rsidR="00D32F77" w:rsidRPr="00260C8A" w:rsidRDefault="00D32F77" w:rsidP="00832060">
            <w:pPr>
              <w:pStyle w:val="TableHeading"/>
              <w:jc w:val="center"/>
              <w:rPr>
                <w:strike/>
                <w:color w:val="FF0000"/>
                <w:szCs w:val="18"/>
              </w:rPr>
            </w:pPr>
            <w:r w:rsidRPr="00260C8A">
              <w:rPr>
                <w:strike/>
                <w:color w:val="FF0000"/>
                <w:szCs w:val="18"/>
              </w:rPr>
              <w:t>1 Feb 2021</w:t>
            </w:r>
            <w:r w:rsidRPr="00260C8A">
              <w:rPr>
                <w:strike/>
                <w:color w:val="FF0000"/>
                <w:szCs w:val="18"/>
              </w:rPr>
              <w:br/>
              <w:t>to</w:t>
            </w:r>
            <w:r w:rsidRPr="00260C8A">
              <w:rPr>
                <w:strike/>
                <w:color w:val="FF0000"/>
                <w:szCs w:val="18"/>
              </w:rPr>
              <w:br/>
              <w:t>28 Feb 2021</w:t>
            </w:r>
          </w:p>
        </w:tc>
        <w:tc>
          <w:tcPr>
            <w:tcW w:w="1016" w:type="dxa"/>
            <w:tcBorders>
              <w:top w:val="single" w:sz="18" w:space="0" w:color="auto"/>
              <w:bottom w:val="single" w:sz="18" w:space="0" w:color="auto"/>
            </w:tcBorders>
            <w:shd w:val="clear" w:color="auto" w:fill="D9D9D9" w:themeFill="background1" w:themeFillShade="D9"/>
            <w:vAlign w:val="center"/>
          </w:tcPr>
          <w:p w14:paraId="2334455B" w14:textId="77777777" w:rsidR="00D32F77" w:rsidRPr="00260C8A" w:rsidRDefault="00D32F77" w:rsidP="00832060">
            <w:pPr>
              <w:pStyle w:val="TableHeading"/>
              <w:jc w:val="center"/>
              <w:rPr>
                <w:strike/>
                <w:color w:val="FF0000"/>
                <w:szCs w:val="18"/>
              </w:rPr>
            </w:pPr>
            <w:r w:rsidRPr="00260C8A">
              <w:rPr>
                <w:strike/>
                <w:color w:val="FF0000"/>
                <w:szCs w:val="18"/>
              </w:rPr>
              <w:t>1 Mar 2021</w:t>
            </w:r>
            <w:r w:rsidRPr="00260C8A">
              <w:rPr>
                <w:strike/>
                <w:color w:val="FF0000"/>
                <w:szCs w:val="18"/>
              </w:rPr>
              <w:br/>
              <w:t>to</w:t>
            </w:r>
            <w:r w:rsidRPr="00260C8A">
              <w:rPr>
                <w:strike/>
                <w:color w:val="FF0000"/>
                <w:szCs w:val="18"/>
              </w:rPr>
              <w:br/>
              <w:t>30 Jun 2021</w:t>
            </w:r>
          </w:p>
        </w:tc>
        <w:tc>
          <w:tcPr>
            <w:tcW w:w="1016" w:type="dxa"/>
            <w:tcBorders>
              <w:top w:val="single" w:sz="18" w:space="0" w:color="auto"/>
              <w:bottom w:val="single" w:sz="18" w:space="0" w:color="auto"/>
            </w:tcBorders>
            <w:vAlign w:val="center"/>
          </w:tcPr>
          <w:p w14:paraId="27557686" w14:textId="77777777" w:rsidR="00D32F77" w:rsidRPr="00260C8A" w:rsidRDefault="00D32F77" w:rsidP="00832060">
            <w:pPr>
              <w:pStyle w:val="TableHeading"/>
              <w:jc w:val="center"/>
              <w:rPr>
                <w:strike/>
                <w:color w:val="FF0000"/>
                <w:szCs w:val="18"/>
              </w:rPr>
            </w:pPr>
            <w:r w:rsidRPr="00260C8A">
              <w:rPr>
                <w:strike/>
                <w:color w:val="FF0000"/>
                <w:szCs w:val="18"/>
              </w:rPr>
              <w:t>1 Jul 2021</w:t>
            </w:r>
            <w:r w:rsidRPr="00260C8A">
              <w:rPr>
                <w:strike/>
                <w:color w:val="FF0000"/>
                <w:szCs w:val="18"/>
              </w:rPr>
              <w:br/>
              <w:t>to</w:t>
            </w:r>
            <w:r w:rsidRPr="00260C8A">
              <w:rPr>
                <w:strike/>
                <w:color w:val="FF0000"/>
                <w:szCs w:val="18"/>
              </w:rPr>
              <w:br/>
              <w:t>31 Oct 2021</w:t>
            </w:r>
          </w:p>
        </w:tc>
        <w:tc>
          <w:tcPr>
            <w:tcW w:w="1016" w:type="dxa"/>
            <w:tcBorders>
              <w:top w:val="single" w:sz="18" w:space="0" w:color="auto"/>
              <w:bottom w:val="single" w:sz="18" w:space="0" w:color="auto"/>
            </w:tcBorders>
            <w:shd w:val="clear" w:color="auto" w:fill="D9D9D9" w:themeFill="background1" w:themeFillShade="D9"/>
            <w:vAlign w:val="center"/>
          </w:tcPr>
          <w:p w14:paraId="14B0AA94" w14:textId="77777777" w:rsidR="00D32F77" w:rsidRPr="00260C8A" w:rsidRDefault="00D32F77" w:rsidP="00832060">
            <w:pPr>
              <w:pStyle w:val="TableHeading"/>
              <w:jc w:val="center"/>
              <w:rPr>
                <w:strike/>
                <w:color w:val="FF0000"/>
                <w:szCs w:val="18"/>
              </w:rPr>
            </w:pPr>
            <w:r w:rsidRPr="00260C8A">
              <w:rPr>
                <w:strike/>
                <w:color w:val="FF0000"/>
                <w:szCs w:val="18"/>
              </w:rPr>
              <w:t xml:space="preserve">1 Nov 2021 </w:t>
            </w:r>
            <w:r w:rsidRPr="00260C8A">
              <w:rPr>
                <w:strike/>
                <w:color w:val="FF0000"/>
                <w:szCs w:val="18"/>
              </w:rPr>
              <w:br/>
              <w:t>to</w:t>
            </w:r>
            <w:r w:rsidRPr="00260C8A">
              <w:rPr>
                <w:strike/>
                <w:color w:val="FF0000"/>
                <w:szCs w:val="18"/>
              </w:rPr>
              <w:br/>
              <w:t>31 Jan 2022</w:t>
            </w:r>
          </w:p>
        </w:tc>
        <w:tc>
          <w:tcPr>
            <w:tcW w:w="1016" w:type="dxa"/>
            <w:tcBorders>
              <w:top w:val="single" w:sz="18" w:space="0" w:color="auto"/>
              <w:bottom w:val="single" w:sz="18" w:space="0" w:color="auto"/>
            </w:tcBorders>
            <w:vAlign w:val="center"/>
          </w:tcPr>
          <w:p w14:paraId="588CB692" w14:textId="77777777" w:rsidR="00D32F77" w:rsidRPr="00260C8A" w:rsidRDefault="00D32F77" w:rsidP="00832060">
            <w:pPr>
              <w:pStyle w:val="TableHeading"/>
              <w:jc w:val="center"/>
              <w:rPr>
                <w:strike/>
                <w:color w:val="FF0000"/>
                <w:szCs w:val="18"/>
              </w:rPr>
            </w:pPr>
            <w:r w:rsidRPr="00260C8A">
              <w:rPr>
                <w:strike/>
                <w:color w:val="FF0000"/>
                <w:szCs w:val="18"/>
              </w:rPr>
              <w:t>1 Feb 2022 onward</w:t>
            </w:r>
          </w:p>
        </w:tc>
      </w:tr>
      <w:tr w:rsidR="00D32F77" w:rsidRPr="00260C8A" w14:paraId="6DD5CCD9" w14:textId="77777777" w:rsidTr="00832060">
        <w:tc>
          <w:tcPr>
            <w:tcW w:w="1139" w:type="dxa"/>
            <w:vMerge w:val="restart"/>
            <w:tcBorders>
              <w:top w:val="single" w:sz="18" w:space="0" w:color="auto"/>
            </w:tcBorders>
            <w:vAlign w:val="center"/>
          </w:tcPr>
          <w:p w14:paraId="54FE3658" w14:textId="77777777" w:rsidR="00D32F77" w:rsidRPr="00260C8A" w:rsidRDefault="00D32F77" w:rsidP="00832060">
            <w:pPr>
              <w:pStyle w:val="Tabletext"/>
              <w:rPr>
                <w:strike/>
                <w:color w:val="FF0000"/>
                <w:szCs w:val="18"/>
              </w:rPr>
            </w:pPr>
            <w:r w:rsidRPr="00260C8A">
              <w:rPr>
                <w:strike/>
                <w:color w:val="FF0000"/>
                <w:szCs w:val="18"/>
              </w:rPr>
              <w:t>Initial data holders (NAB, CBA, ANZ, Westpac branded products)</w:t>
            </w:r>
          </w:p>
        </w:tc>
        <w:tc>
          <w:tcPr>
            <w:tcW w:w="1134" w:type="dxa"/>
            <w:tcBorders>
              <w:top w:val="single" w:sz="18" w:space="0" w:color="auto"/>
              <w:bottom w:val="single" w:sz="2" w:space="0" w:color="auto"/>
            </w:tcBorders>
            <w:vAlign w:val="center"/>
          </w:tcPr>
          <w:p w14:paraId="3777B020" w14:textId="77777777" w:rsidR="00D32F77" w:rsidRPr="00260C8A" w:rsidRDefault="00D32F77" w:rsidP="00832060">
            <w:pPr>
              <w:pStyle w:val="Tabletext"/>
              <w:rPr>
                <w:strike/>
                <w:color w:val="FF0000"/>
                <w:szCs w:val="18"/>
              </w:rPr>
            </w:pPr>
            <w:r w:rsidRPr="00260C8A">
              <w:rPr>
                <w:strike/>
                <w:color w:val="FF0000"/>
                <w:szCs w:val="18"/>
              </w:rPr>
              <w:t xml:space="preserve">Part 2 </w:t>
            </w:r>
          </w:p>
        </w:tc>
        <w:tc>
          <w:tcPr>
            <w:tcW w:w="1016" w:type="dxa"/>
            <w:tcBorders>
              <w:top w:val="single" w:sz="18" w:space="0" w:color="auto"/>
              <w:bottom w:val="single" w:sz="2" w:space="0" w:color="auto"/>
            </w:tcBorders>
            <w:shd w:val="clear" w:color="auto" w:fill="D9D9D9" w:themeFill="background1" w:themeFillShade="D9"/>
          </w:tcPr>
          <w:p w14:paraId="05AC9385"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8" w:space="0" w:color="auto"/>
              <w:bottom w:val="single" w:sz="2" w:space="0" w:color="auto"/>
            </w:tcBorders>
          </w:tcPr>
          <w:p w14:paraId="48A40B44"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58510126"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8" w:space="0" w:color="auto"/>
              <w:bottom w:val="single" w:sz="2" w:space="0" w:color="auto"/>
            </w:tcBorders>
          </w:tcPr>
          <w:p w14:paraId="36A5F9A7"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18675642"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8" w:space="0" w:color="auto"/>
              <w:bottom w:val="single" w:sz="2" w:space="0" w:color="auto"/>
            </w:tcBorders>
          </w:tcPr>
          <w:p w14:paraId="4F64EC9B"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r>
      <w:tr w:rsidR="00D32F77" w:rsidRPr="00260C8A" w14:paraId="339B7BE7" w14:textId="77777777" w:rsidTr="00832060">
        <w:tc>
          <w:tcPr>
            <w:tcW w:w="1139" w:type="dxa"/>
            <w:vMerge/>
            <w:vAlign w:val="center"/>
          </w:tcPr>
          <w:p w14:paraId="3E20992B" w14:textId="77777777" w:rsidR="00D32F77" w:rsidRPr="00260C8A" w:rsidRDefault="00D32F77" w:rsidP="00832060">
            <w:pPr>
              <w:pStyle w:val="Tabletext"/>
              <w:rPr>
                <w:strike/>
                <w:color w:val="FF0000"/>
                <w:szCs w:val="18"/>
              </w:rPr>
            </w:pPr>
          </w:p>
        </w:tc>
        <w:tc>
          <w:tcPr>
            <w:tcW w:w="1134" w:type="dxa"/>
            <w:tcBorders>
              <w:top w:val="single" w:sz="2" w:space="0" w:color="auto"/>
              <w:bottom w:val="single" w:sz="2" w:space="0" w:color="auto"/>
            </w:tcBorders>
            <w:vAlign w:val="center"/>
          </w:tcPr>
          <w:p w14:paraId="03A0D5AD" w14:textId="77777777" w:rsidR="00D32F77" w:rsidRPr="00260C8A" w:rsidRDefault="00D32F77" w:rsidP="00832060">
            <w:pPr>
              <w:pStyle w:val="Tabletext"/>
              <w:rPr>
                <w:strike/>
                <w:color w:val="FF0000"/>
                <w:szCs w:val="18"/>
              </w:rPr>
            </w:pPr>
            <w:r w:rsidRPr="00260C8A">
              <w:rPr>
                <w:strike/>
                <w:color w:val="FF0000"/>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4C31F329"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vAlign w:val="center"/>
          </w:tcPr>
          <w:p w14:paraId="334A5745"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4602B0B5"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vAlign w:val="center"/>
          </w:tcPr>
          <w:p w14:paraId="7041E3E5"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shd w:val="clear" w:color="auto" w:fill="D9D9D9" w:themeFill="background1" w:themeFillShade="D9"/>
          </w:tcPr>
          <w:p w14:paraId="2AD0C7B9" w14:textId="77777777" w:rsidR="00D32F77" w:rsidRPr="00260C8A" w:rsidRDefault="00D32F77" w:rsidP="00832060">
            <w:pPr>
              <w:pStyle w:val="Tabletext"/>
              <w:rPr>
                <w:strike/>
                <w:color w:val="FF0000"/>
                <w:szCs w:val="18"/>
              </w:rPr>
            </w:pPr>
            <w:r w:rsidRPr="00260C8A">
              <w:rPr>
                <w:strike/>
                <w:color w:val="FF0000"/>
                <w:szCs w:val="18"/>
              </w:rPr>
              <w:t>All product phases</w:t>
            </w:r>
          </w:p>
        </w:tc>
        <w:tc>
          <w:tcPr>
            <w:tcW w:w="1016" w:type="dxa"/>
            <w:tcBorders>
              <w:top w:val="single" w:sz="2" w:space="0" w:color="auto"/>
              <w:bottom w:val="single" w:sz="2" w:space="0" w:color="auto"/>
            </w:tcBorders>
          </w:tcPr>
          <w:p w14:paraId="268ABDAE" w14:textId="77777777" w:rsidR="00D32F77" w:rsidRPr="00260C8A" w:rsidRDefault="00D32F77" w:rsidP="00832060">
            <w:pPr>
              <w:pStyle w:val="Tabletext"/>
              <w:rPr>
                <w:strike/>
                <w:color w:val="FF0000"/>
                <w:szCs w:val="18"/>
              </w:rPr>
            </w:pPr>
            <w:r w:rsidRPr="00260C8A">
              <w:rPr>
                <w:strike/>
                <w:color w:val="FF0000"/>
                <w:szCs w:val="18"/>
              </w:rPr>
              <w:t>All product phases</w:t>
            </w:r>
          </w:p>
        </w:tc>
      </w:tr>
      <w:tr w:rsidR="00D32F77" w:rsidRPr="00260C8A" w14:paraId="40D78F1B" w14:textId="77777777" w:rsidTr="00832060">
        <w:tc>
          <w:tcPr>
            <w:tcW w:w="1139" w:type="dxa"/>
            <w:vMerge/>
            <w:tcBorders>
              <w:bottom w:val="single" w:sz="12" w:space="0" w:color="auto"/>
            </w:tcBorders>
            <w:vAlign w:val="center"/>
          </w:tcPr>
          <w:p w14:paraId="6EED0F87" w14:textId="77777777" w:rsidR="00D32F77" w:rsidRPr="00260C8A" w:rsidRDefault="00D32F77" w:rsidP="00832060">
            <w:pPr>
              <w:pStyle w:val="Tabletext"/>
              <w:rPr>
                <w:strike/>
                <w:color w:val="FF0000"/>
                <w:szCs w:val="18"/>
              </w:rPr>
            </w:pPr>
          </w:p>
        </w:tc>
        <w:tc>
          <w:tcPr>
            <w:tcW w:w="1134" w:type="dxa"/>
            <w:tcBorders>
              <w:top w:val="single" w:sz="2" w:space="0" w:color="auto"/>
              <w:bottom w:val="single" w:sz="12" w:space="0" w:color="auto"/>
            </w:tcBorders>
            <w:vAlign w:val="center"/>
          </w:tcPr>
          <w:p w14:paraId="17799A3E" w14:textId="77777777" w:rsidR="00D32F77" w:rsidRPr="00260C8A" w:rsidRDefault="00D32F77" w:rsidP="00832060">
            <w:pPr>
              <w:pStyle w:val="Tabletext"/>
              <w:rPr>
                <w:strike/>
                <w:color w:val="FF0000"/>
                <w:szCs w:val="18"/>
              </w:rPr>
            </w:pPr>
            <w:r w:rsidRPr="00260C8A">
              <w:rPr>
                <w:strike/>
                <w:color w:val="FF0000"/>
                <w:szCs w:val="18"/>
              </w:rPr>
              <w:t xml:space="preserve">Part 4 </w:t>
            </w:r>
          </w:p>
        </w:tc>
        <w:tc>
          <w:tcPr>
            <w:tcW w:w="1016" w:type="dxa"/>
            <w:tcBorders>
              <w:top w:val="single" w:sz="2" w:space="0" w:color="auto"/>
              <w:bottom w:val="single" w:sz="12" w:space="0" w:color="auto"/>
            </w:tcBorders>
            <w:shd w:val="clear" w:color="auto" w:fill="D9D9D9" w:themeFill="background1" w:themeFillShade="D9"/>
          </w:tcPr>
          <w:p w14:paraId="2F1EFB17" w14:textId="77777777" w:rsidR="00D32F77" w:rsidRPr="00260C8A" w:rsidRDefault="00D32F77" w:rsidP="00832060">
            <w:pPr>
              <w:pStyle w:val="Tabletext"/>
              <w:rPr>
                <w:strike/>
                <w:color w:val="FF0000"/>
                <w:szCs w:val="18"/>
              </w:rPr>
            </w:pPr>
            <w:r w:rsidRPr="00260C8A">
              <w:rPr>
                <w:strike/>
                <w:color w:val="FF0000"/>
                <w:szCs w:val="18"/>
              </w:rPr>
              <w:t>Phase 1</w:t>
            </w:r>
            <w:r w:rsidRPr="00260C8A">
              <w:rPr>
                <w:strike/>
                <w:color w:val="FF0000"/>
                <w:szCs w:val="18"/>
              </w:rPr>
              <w:br/>
              <w:t xml:space="preserve">Phase 2 </w:t>
            </w:r>
          </w:p>
        </w:tc>
        <w:tc>
          <w:tcPr>
            <w:tcW w:w="1016" w:type="dxa"/>
            <w:tcBorders>
              <w:top w:val="single" w:sz="2" w:space="0" w:color="auto"/>
              <w:bottom w:val="single" w:sz="12" w:space="0" w:color="auto"/>
            </w:tcBorders>
          </w:tcPr>
          <w:p w14:paraId="52936E88" w14:textId="77777777" w:rsidR="00D32F77" w:rsidRPr="00260C8A" w:rsidRDefault="00D32F77" w:rsidP="00832060">
            <w:pPr>
              <w:pStyle w:val="Tabletext"/>
              <w:rPr>
                <w:strike/>
                <w:color w:val="FF0000"/>
                <w:szCs w:val="18"/>
              </w:rPr>
            </w:pPr>
            <w:r w:rsidRPr="00260C8A">
              <w:rPr>
                <w:strike/>
                <w:color w:val="FF0000"/>
                <w:szCs w:val="18"/>
              </w:rPr>
              <w:t>All product phases</w:t>
            </w:r>
          </w:p>
        </w:tc>
        <w:tc>
          <w:tcPr>
            <w:tcW w:w="1016" w:type="dxa"/>
            <w:tcBorders>
              <w:top w:val="single" w:sz="2" w:space="0" w:color="auto"/>
              <w:bottom w:val="single" w:sz="12" w:space="0" w:color="auto"/>
            </w:tcBorders>
            <w:shd w:val="clear" w:color="auto" w:fill="D9D9D9" w:themeFill="background1" w:themeFillShade="D9"/>
          </w:tcPr>
          <w:p w14:paraId="7D0434B0"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2" w:space="0" w:color="auto"/>
              <w:bottom w:val="single" w:sz="12" w:space="0" w:color="auto"/>
            </w:tcBorders>
          </w:tcPr>
          <w:p w14:paraId="2566499D"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2" w:space="0" w:color="auto"/>
              <w:bottom w:val="single" w:sz="12" w:space="0" w:color="auto"/>
            </w:tcBorders>
            <w:shd w:val="clear" w:color="auto" w:fill="D9D9D9" w:themeFill="background1" w:themeFillShade="D9"/>
          </w:tcPr>
          <w:p w14:paraId="6022C14F"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2" w:space="0" w:color="auto"/>
              <w:bottom w:val="single" w:sz="12" w:space="0" w:color="auto"/>
            </w:tcBorders>
          </w:tcPr>
          <w:p w14:paraId="305ED329"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r>
      <w:tr w:rsidR="00D32F77" w:rsidRPr="00260C8A" w14:paraId="5CA069A3" w14:textId="77777777" w:rsidTr="00832060">
        <w:tc>
          <w:tcPr>
            <w:tcW w:w="1139" w:type="dxa"/>
            <w:vMerge w:val="restart"/>
            <w:tcBorders>
              <w:top w:val="single" w:sz="12" w:space="0" w:color="auto"/>
            </w:tcBorders>
            <w:vAlign w:val="center"/>
          </w:tcPr>
          <w:p w14:paraId="2899D607" w14:textId="77777777" w:rsidR="00D32F77" w:rsidRPr="00260C8A" w:rsidRDefault="00D32F77" w:rsidP="00832060">
            <w:pPr>
              <w:pStyle w:val="Tabletext"/>
              <w:rPr>
                <w:strike/>
                <w:color w:val="FF0000"/>
                <w:szCs w:val="18"/>
              </w:rPr>
            </w:pPr>
            <w:r w:rsidRPr="00260C8A">
              <w:rPr>
                <w:strike/>
                <w:color w:val="FF0000"/>
                <w:szCs w:val="18"/>
              </w:rPr>
              <w:t>Any other relevant ADI and initial data holders for non-primary brands</w:t>
            </w:r>
          </w:p>
        </w:tc>
        <w:tc>
          <w:tcPr>
            <w:tcW w:w="1134" w:type="dxa"/>
            <w:tcBorders>
              <w:top w:val="single" w:sz="12" w:space="0" w:color="auto"/>
              <w:bottom w:val="single" w:sz="2" w:space="0" w:color="auto"/>
            </w:tcBorders>
            <w:vAlign w:val="center"/>
          </w:tcPr>
          <w:p w14:paraId="30B48E81" w14:textId="77777777" w:rsidR="00D32F77" w:rsidRPr="00260C8A" w:rsidRDefault="00D32F77" w:rsidP="00832060">
            <w:pPr>
              <w:pStyle w:val="Tabletext"/>
              <w:rPr>
                <w:strike/>
                <w:color w:val="FF0000"/>
                <w:szCs w:val="18"/>
              </w:rPr>
            </w:pPr>
            <w:r w:rsidRPr="00260C8A">
              <w:rPr>
                <w:strike/>
                <w:color w:val="FF0000"/>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19CBBB0A" w14:textId="77777777" w:rsidR="00D32F77" w:rsidRPr="00260C8A" w:rsidRDefault="00D32F77" w:rsidP="00832060">
            <w:pPr>
              <w:pStyle w:val="Tabletext"/>
              <w:rPr>
                <w:strike/>
                <w:color w:val="FF0000"/>
                <w:szCs w:val="18"/>
              </w:rPr>
            </w:pPr>
            <w:r w:rsidRPr="00260C8A">
              <w:rPr>
                <w:strike/>
                <w:color w:val="FF0000"/>
                <w:szCs w:val="18"/>
              </w:rPr>
              <w:t>Phase 1</w:t>
            </w:r>
          </w:p>
        </w:tc>
        <w:tc>
          <w:tcPr>
            <w:tcW w:w="1016" w:type="dxa"/>
            <w:tcBorders>
              <w:top w:val="single" w:sz="12" w:space="0" w:color="auto"/>
              <w:bottom w:val="single" w:sz="2" w:space="0" w:color="auto"/>
            </w:tcBorders>
          </w:tcPr>
          <w:p w14:paraId="37D32FBF" w14:textId="77777777" w:rsidR="00D32F77" w:rsidRPr="00260C8A" w:rsidRDefault="00D32F77" w:rsidP="00832060">
            <w:pPr>
              <w:pStyle w:val="Tabletext"/>
              <w:rPr>
                <w:strike/>
                <w:color w:val="FF0000"/>
                <w:szCs w:val="18"/>
              </w:rPr>
            </w:pPr>
            <w:r w:rsidRPr="00260C8A">
              <w:rPr>
                <w:strike/>
                <w:color w:val="FF0000"/>
                <w:szCs w:val="18"/>
              </w:rPr>
              <w:t>Phase 1</w:t>
            </w:r>
            <w:r w:rsidRPr="00260C8A">
              <w:rPr>
                <w:strike/>
                <w:color w:val="FF0000"/>
                <w:szCs w:val="18"/>
              </w:rPr>
              <w:br/>
              <w:t xml:space="preserve">Phase 2 </w:t>
            </w:r>
          </w:p>
        </w:tc>
        <w:tc>
          <w:tcPr>
            <w:tcW w:w="1016" w:type="dxa"/>
            <w:tcBorders>
              <w:top w:val="single" w:sz="12" w:space="0" w:color="auto"/>
              <w:bottom w:val="single" w:sz="2" w:space="0" w:color="auto"/>
            </w:tcBorders>
            <w:shd w:val="clear" w:color="auto" w:fill="D9D9D9" w:themeFill="background1" w:themeFillShade="D9"/>
          </w:tcPr>
          <w:p w14:paraId="3BDB864F" w14:textId="77777777" w:rsidR="00D32F77" w:rsidRPr="00260C8A" w:rsidRDefault="00D32F77" w:rsidP="00832060">
            <w:pPr>
              <w:pStyle w:val="Tabletext"/>
              <w:rPr>
                <w:strike/>
                <w:color w:val="FF0000"/>
                <w:szCs w:val="18"/>
              </w:rPr>
            </w:pPr>
            <w:r w:rsidRPr="00260C8A">
              <w:rPr>
                <w:strike/>
                <w:color w:val="FF0000"/>
                <w:szCs w:val="18"/>
              </w:rPr>
              <w:t>Phase 1</w:t>
            </w:r>
            <w:r w:rsidRPr="00260C8A">
              <w:rPr>
                <w:strike/>
                <w:color w:val="FF0000"/>
                <w:szCs w:val="18"/>
              </w:rPr>
              <w:br/>
              <w:t xml:space="preserve">Phase 2 </w:t>
            </w:r>
          </w:p>
        </w:tc>
        <w:tc>
          <w:tcPr>
            <w:tcW w:w="1016" w:type="dxa"/>
            <w:tcBorders>
              <w:top w:val="single" w:sz="12" w:space="0" w:color="auto"/>
              <w:bottom w:val="single" w:sz="2" w:space="0" w:color="auto"/>
            </w:tcBorders>
          </w:tcPr>
          <w:p w14:paraId="6FBC48F5" w14:textId="77777777" w:rsidR="00D32F77" w:rsidRPr="00260C8A" w:rsidRDefault="00D32F77" w:rsidP="00832060">
            <w:pPr>
              <w:pStyle w:val="Tabletext"/>
              <w:rPr>
                <w:strike/>
                <w:color w:val="FF0000"/>
                <w:szCs w:val="18"/>
              </w:rPr>
            </w:pPr>
            <w:r w:rsidRPr="00260C8A">
              <w:rPr>
                <w:strike/>
                <w:color w:val="FF0000"/>
                <w:szCs w:val="18"/>
              </w:rPr>
              <w:t>All product phases</w:t>
            </w:r>
          </w:p>
        </w:tc>
        <w:tc>
          <w:tcPr>
            <w:tcW w:w="1016" w:type="dxa"/>
            <w:tcBorders>
              <w:top w:val="single" w:sz="12" w:space="0" w:color="auto"/>
              <w:bottom w:val="single" w:sz="2" w:space="0" w:color="auto"/>
            </w:tcBorders>
            <w:shd w:val="clear" w:color="auto" w:fill="D9D9D9" w:themeFill="background1" w:themeFillShade="D9"/>
          </w:tcPr>
          <w:p w14:paraId="2547CB0D"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2" w:space="0" w:color="auto"/>
              <w:bottom w:val="single" w:sz="2" w:space="0" w:color="auto"/>
            </w:tcBorders>
          </w:tcPr>
          <w:p w14:paraId="4E4588DD"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r>
      <w:tr w:rsidR="00D32F77" w:rsidRPr="00260C8A" w14:paraId="44EAB4AE" w14:textId="77777777" w:rsidTr="00832060">
        <w:tc>
          <w:tcPr>
            <w:tcW w:w="1139" w:type="dxa"/>
            <w:vMerge/>
            <w:vAlign w:val="center"/>
          </w:tcPr>
          <w:p w14:paraId="11018CE0" w14:textId="77777777" w:rsidR="00D32F77" w:rsidRPr="00260C8A" w:rsidRDefault="00D32F77" w:rsidP="00832060">
            <w:pPr>
              <w:pStyle w:val="Tabletext"/>
              <w:rPr>
                <w:strike/>
                <w:color w:val="FF0000"/>
                <w:szCs w:val="18"/>
              </w:rPr>
            </w:pPr>
          </w:p>
        </w:tc>
        <w:tc>
          <w:tcPr>
            <w:tcW w:w="1134" w:type="dxa"/>
            <w:tcBorders>
              <w:top w:val="single" w:sz="2" w:space="0" w:color="auto"/>
              <w:bottom w:val="single" w:sz="2" w:space="0" w:color="auto"/>
            </w:tcBorders>
            <w:vAlign w:val="center"/>
          </w:tcPr>
          <w:p w14:paraId="03862E1E" w14:textId="77777777" w:rsidR="00D32F77" w:rsidRPr="00260C8A" w:rsidRDefault="00D32F77" w:rsidP="00832060">
            <w:pPr>
              <w:pStyle w:val="Tabletext"/>
              <w:rPr>
                <w:strike/>
                <w:color w:val="FF0000"/>
                <w:szCs w:val="18"/>
              </w:rPr>
            </w:pPr>
            <w:r w:rsidRPr="00260C8A">
              <w:rPr>
                <w:strike/>
                <w:color w:val="FF0000"/>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4DA3E5FA"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vAlign w:val="center"/>
          </w:tcPr>
          <w:p w14:paraId="23BA80B0"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44E7A3BF"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vAlign w:val="center"/>
          </w:tcPr>
          <w:p w14:paraId="0581BEFE"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shd w:val="clear" w:color="auto" w:fill="D9D9D9" w:themeFill="background1" w:themeFillShade="D9"/>
          </w:tcPr>
          <w:p w14:paraId="5D88B943" w14:textId="77777777" w:rsidR="00D32F77" w:rsidRPr="00260C8A" w:rsidRDefault="00D32F77" w:rsidP="00832060">
            <w:pPr>
              <w:pStyle w:val="Tabletext"/>
              <w:rPr>
                <w:strike/>
                <w:color w:val="FF0000"/>
                <w:szCs w:val="18"/>
              </w:rPr>
            </w:pPr>
            <w:r w:rsidRPr="00260C8A">
              <w:rPr>
                <w:strike/>
                <w:color w:val="FF0000"/>
                <w:szCs w:val="18"/>
              </w:rPr>
              <w:t>All product phases</w:t>
            </w:r>
          </w:p>
        </w:tc>
        <w:tc>
          <w:tcPr>
            <w:tcW w:w="1016" w:type="dxa"/>
            <w:tcBorders>
              <w:top w:val="single" w:sz="2" w:space="0" w:color="auto"/>
              <w:bottom w:val="single" w:sz="2" w:space="0" w:color="auto"/>
            </w:tcBorders>
          </w:tcPr>
          <w:p w14:paraId="613838DF" w14:textId="77777777" w:rsidR="00D32F77" w:rsidRPr="00260C8A" w:rsidRDefault="00D32F77" w:rsidP="00832060">
            <w:pPr>
              <w:pStyle w:val="Tabletext"/>
              <w:rPr>
                <w:strike/>
                <w:color w:val="FF0000"/>
                <w:szCs w:val="18"/>
              </w:rPr>
            </w:pPr>
            <w:r w:rsidRPr="00260C8A">
              <w:rPr>
                <w:strike/>
                <w:color w:val="FF0000"/>
                <w:szCs w:val="18"/>
              </w:rPr>
              <w:t>All product phases</w:t>
            </w:r>
          </w:p>
        </w:tc>
      </w:tr>
      <w:tr w:rsidR="00D32F77" w:rsidRPr="00260C8A" w14:paraId="61C7FDC4" w14:textId="77777777" w:rsidTr="00832060">
        <w:tc>
          <w:tcPr>
            <w:tcW w:w="1139" w:type="dxa"/>
            <w:vMerge/>
            <w:tcBorders>
              <w:bottom w:val="single" w:sz="12" w:space="0" w:color="auto"/>
            </w:tcBorders>
            <w:vAlign w:val="center"/>
          </w:tcPr>
          <w:p w14:paraId="7B223FBD" w14:textId="77777777" w:rsidR="00D32F77" w:rsidRPr="00260C8A" w:rsidRDefault="00D32F77" w:rsidP="00832060">
            <w:pPr>
              <w:pStyle w:val="Tabletext"/>
              <w:rPr>
                <w:strike/>
                <w:color w:val="FF0000"/>
                <w:szCs w:val="18"/>
              </w:rPr>
            </w:pPr>
          </w:p>
        </w:tc>
        <w:tc>
          <w:tcPr>
            <w:tcW w:w="1134" w:type="dxa"/>
            <w:tcBorders>
              <w:top w:val="single" w:sz="2" w:space="0" w:color="auto"/>
              <w:bottom w:val="single" w:sz="12" w:space="0" w:color="auto"/>
            </w:tcBorders>
            <w:vAlign w:val="center"/>
          </w:tcPr>
          <w:p w14:paraId="6BF42F44" w14:textId="77777777" w:rsidR="00D32F77" w:rsidRPr="00260C8A" w:rsidRDefault="00D32F77" w:rsidP="00832060">
            <w:pPr>
              <w:pStyle w:val="Tabletext"/>
              <w:rPr>
                <w:strike/>
                <w:color w:val="FF0000"/>
                <w:szCs w:val="18"/>
              </w:rPr>
            </w:pPr>
            <w:r w:rsidRPr="00260C8A">
              <w:rPr>
                <w:strike/>
                <w:color w:val="FF0000"/>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11C63C6A"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12" w:space="0" w:color="auto"/>
            </w:tcBorders>
            <w:vAlign w:val="center"/>
          </w:tcPr>
          <w:p w14:paraId="7D0879F5"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12" w:space="0" w:color="auto"/>
            </w:tcBorders>
            <w:shd w:val="clear" w:color="auto" w:fill="D9D9D9" w:themeFill="background1" w:themeFillShade="D9"/>
            <w:vAlign w:val="center"/>
          </w:tcPr>
          <w:p w14:paraId="493BA8D6"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12" w:space="0" w:color="auto"/>
            </w:tcBorders>
          </w:tcPr>
          <w:p w14:paraId="10C8E4E6" w14:textId="77777777" w:rsidR="00D32F77" w:rsidRPr="00260C8A" w:rsidRDefault="00D32F77" w:rsidP="00832060">
            <w:pPr>
              <w:pStyle w:val="Tabletext"/>
              <w:rPr>
                <w:strike/>
                <w:color w:val="FF0000"/>
                <w:szCs w:val="18"/>
              </w:rPr>
            </w:pPr>
            <w:r w:rsidRPr="00260C8A">
              <w:rPr>
                <w:strike/>
                <w:color w:val="FF0000"/>
                <w:szCs w:val="18"/>
              </w:rPr>
              <w:t xml:space="preserve">Phase 1 (see sc 6.4(3))  </w:t>
            </w:r>
          </w:p>
        </w:tc>
        <w:tc>
          <w:tcPr>
            <w:tcW w:w="1016" w:type="dxa"/>
            <w:tcBorders>
              <w:top w:val="single" w:sz="2" w:space="0" w:color="auto"/>
              <w:bottom w:val="single" w:sz="12" w:space="0" w:color="auto"/>
            </w:tcBorders>
            <w:shd w:val="clear" w:color="auto" w:fill="D9D9D9" w:themeFill="background1" w:themeFillShade="D9"/>
          </w:tcPr>
          <w:p w14:paraId="06020627" w14:textId="77777777" w:rsidR="00D32F77" w:rsidRPr="00260C8A" w:rsidRDefault="00D32F77" w:rsidP="00832060">
            <w:pPr>
              <w:pStyle w:val="Tabletext"/>
              <w:rPr>
                <w:strike/>
                <w:color w:val="FF0000"/>
                <w:szCs w:val="18"/>
              </w:rPr>
            </w:pPr>
            <w:r w:rsidRPr="00260C8A">
              <w:rPr>
                <w:strike/>
                <w:color w:val="FF0000"/>
                <w:szCs w:val="18"/>
              </w:rPr>
              <w:t>Phase 1</w:t>
            </w:r>
            <w:r w:rsidRPr="00260C8A">
              <w:rPr>
                <w:strike/>
                <w:color w:val="FF0000"/>
                <w:szCs w:val="18"/>
              </w:rPr>
              <w:br/>
              <w:t xml:space="preserve">Phase 2 </w:t>
            </w:r>
          </w:p>
        </w:tc>
        <w:tc>
          <w:tcPr>
            <w:tcW w:w="1016" w:type="dxa"/>
            <w:tcBorders>
              <w:top w:val="single" w:sz="2" w:space="0" w:color="auto"/>
              <w:bottom w:val="single" w:sz="12" w:space="0" w:color="auto"/>
            </w:tcBorders>
          </w:tcPr>
          <w:p w14:paraId="16B2BB4C" w14:textId="77777777" w:rsidR="00D32F77" w:rsidRPr="00260C8A" w:rsidRDefault="00D32F77" w:rsidP="00832060">
            <w:pPr>
              <w:pStyle w:val="Tabletext"/>
              <w:rPr>
                <w:strike/>
                <w:color w:val="FF0000"/>
                <w:szCs w:val="18"/>
              </w:rPr>
            </w:pPr>
            <w:r w:rsidRPr="00260C8A">
              <w:rPr>
                <w:strike/>
                <w:color w:val="FF0000"/>
                <w:szCs w:val="18"/>
              </w:rPr>
              <w:t>All product phases</w:t>
            </w:r>
          </w:p>
        </w:tc>
      </w:tr>
      <w:tr w:rsidR="00D32F77" w:rsidRPr="00260C8A" w14:paraId="25F6B74C" w14:textId="77777777" w:rsidTr="00832060">
        <w:tc>
          <w:tcPr>
            <w:tcW w:w="1139" w:type="dxa"/>
            <w:vMerge w:val="restart"/>
            <w:tcBorders>
              <w:top w:val="single" w:sz="12" w:space="0" w:color="auto"/>
            </w:tcBorders>
            <w:vAlign w:val="center"/>
          </w:tcPr>
          <w:p w14:paraId="505F3A05" w14:textId="77777777" w:rsidR="00D32F77" w:rsidRPr="00260C8A" w:rsidRDefault="00D32F77" w:rsidP="00832060">
            <w:pPr>
              <w:pStyle w:val="Tabletext"/>
              <w:rPr>
                <w:strike/>
                <w:color w:val="FF0000"/>
                <w:szCs w:val="18"/>
              </w:rPr>
            </w:pPr>
            <w:r w:rsidRPr="00260C8A">
              <w:rPr>
                <w:strike/>
                <w:color w:val="FF0000"/>
                <w:szCs w:val="18"/>
              </w:rPr>
              <w:t>Accredited ADI and accredited non-ADI (reciprocal data holder)</w:t>
            </w:r>
          </w:p>
        </w:tc>
        <w:tc>
          <w:tcPr>
            <w:tcW w:w="1134" w:type="dxa"/>
            <w:tcBorders>
              <w:top w:val="single" w:sz="12" w:space="0" w:color="auto"/>
              <w:bottom w:val="single" w:sz="2" w:space="0" w:color="auto"/>
            </w:tcBorders>
            <w:vAlign w:val="center"/>
          </w:tcPr>
          <w:p w14:paraId="7041A848" w14:textId="77777777" w:rsidR="00D32F77" w:rsidRPr="00260C8A" w:rsidRDefault="00D32F77" w:rsidP="00832060">
            <w:pPr>
              <w:pStyle w:val="Tabletext"/>
              <w:rPr>
                <w:strike/>
                <w:color w:val="FF0000"/>
                <w:szCs w:val="18"/>
              </w:rPr>
            </w:pPr>
            <w:r w:rsidRPr="00260C8A">
              <w:rPr>
                <w:strike/>
                <w:color w:val="FF0000"/>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21E1C386"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2" w:space="0" w:color="auto"/>
              <w:bottom w:val="single" w:sz="2" w:space="0" w:color="auto"/>
            </w:tcBorders>
          </w:tcPr>
          <w:p w14:paraId="6D16BEC6"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1CA19CA1"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2" w:space="0" w:color="auto"/>
              <w:bottom w:val="single" w:sz="2" w:space="0" w:color="auto"/>
            </w:tcBorders>
          </w:tcPr>
          <w:p w14:paraId="7F029923"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21B9CCF3"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12" w:space="0" w:color="auto"/>
              <w:bottom w:val="single" w:sz="2" w:space="0" w:color="auto"/>
            </w:tcBorders>
          </w:tcPr>
          <w:p w14:paraId="6FF85C38"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r>
      <w:tr w:rsidR="00D32F77" w:rsidRPr="00260C8A" w14:paraId="4ADAE86B" w14:textId="77777777" w:rsidTr="00832060">
        <w:tc>
          <w:tcPr>
            <w:tcW w:w="1139" w:type="dxa"/>
            <w:vMerge/>
            <w:vAlign w:val="center"/>
          </w:tcPr>
          <w:p w14:paraId="04E2A845" w14:textId="77777777" w:rsidR="00D32F77" w:rsidRPr="00260C8A" w:rsidRDefault="00D32F77" w:rsidP="00832060">
            <w:pPr>
              <w:pStyle w:val="Tabletext"/>
              <w:rPr>
                <w:strike/>
                <w:color w:val="FF0000"/>
                <w:szCs w:val="18"/>
              </w:rPr>
            </w:pPr>
          </w:p>
        </w:tc>
        <w:tc>
          <w:tcPr>
            <w:tcW w:w="1134" w:type="dxa"/>
            <w:tcBorders>
              <w:top w:val="single" w:sz="2" w:space="0" w:color="auto"/>
              <w:bottom w:val="single" w:sz="2" w:space="0" w:color="auto"/>
            </w:tcBorders>
            <w:vAlign w:val="center"/>
          </w:tcPr>
          <w:p w14:paraId="065E0163" w14:textId="77777777" w:rsidR="00D32F77" w:rsidRPr="00260C8A" w:rsidRDefault="00D32F77" w:rsidP="00832060">
            <w:pPr>
              <w:pStyle w:val="Tabletext"/>
              <w:rPr>
                <w:strike/>
                <w:color w:val="FF0000"/>
                <w:szCs w:val="18"/>
              </w:rPr>
            </w:pPr>
            <w:r w:rsidRPr="00260C8A">
              <w:rPr>
                <w:strike/>
                <w:color w:val="FF0000"/>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5F67EDC8"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vAlign w:val="center"/>
          </w:tcPr>
          <w:p w14:paraId="311A020D"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4DCD71E2"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vAlign w:val="center"/>
          </w:tcPr>
          <w:p w14:paraId="5D96B7AD"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2" w:space="0" w:color="auto"/>
            </w:tcBorders>
            <w:shd w:val="clear" w:color="auto" w:fill="D9D9D9" w:themeFill="background1" w:themeFillShade="D9"/>
          </w:tcPr>
          <w:p w14:paraId="7A115A1C"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2" w:space="0" w:color="auto"/>
              <w:bottom w:val="single" w:sz="2" w:space="0" w:color="auto"/>
            </w:tcBorders>
          </w:tcPr>
          <w:p w14:paraId="06BAE474"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r>
      <w:tr w:rsidR="00D32F77" w:rsidRPr="00260C8A" w14:paraId="66456F4A" w14:textId="77777777" w:rsidTr="00832060">
        <w:tc>
          <w:tcPr>
            <w:tcW w:w="1139" w:type="dxa"/>
            <w:vMerge/>
            <w:tcBorders>
              <w:bottom w:val="single" w:sz="12" w:space="0" w:color="auto"/>
            </w:tcBorders>
            <w:vAlign w:val="center"/>
          </w:tcPr>
          <w:p w14:paraId="4B132624" w14:textId="77777777" w:rsidR="00D32F77" w:rsidRPr="00260C8A" w:rsidRDefault="00D32F77" w:rsidP="00832060">
            <w:pPr>
              <w:pStyle w:val="Tabletext"/>
              <w:rPr>
                <w:strike/>
                <w:color w:val="FF0000"/>
                <w:szCs w:val="18"/>
              </w:rPr>
            </w:pPr>
          </w:p>
        </w:tc>
        <w:tc>
          <w:tcPr>
            <w:tcW w:w="1134" w:type="dxa"/>
            <w:tcBorders>
              <w:top w:val="single" w:sz="2" w:space="0" w:color="auto"/>
              <w:bottom w:val="single" w:sz="12" w:space="0" w:color="auto"/>
            </w:tcBorders>
            <w:vAlign w:val="center"/>
          </w:tcPr>
          <w:p w14:paraId="38AB01AE" w14:textId="77777777" w:rsidR="00D32F77" w:rsidRPr="00260C8A" w:rsidRDefault="00D32F77" w:rsidP="00832060">
            <w:pPr>
              <w:pStyle w:val="Tabletext"/>
              <w:rPr>
                <w:strike/>
                <w:color w:val="FF0000"/>
                <w:szCs w:val="18"/>
              </w:rPr>
            </w:pPr>
            <w:r w:rsidRPr="00260C8A">
              <w:rPr>
                <w:strike/>
                <w:color w:val="FF0000"/>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136C3872"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12" w:space="0" w:color="auto"/>
            </w:tcBorders>
            <w:vAlign w:val="center"/>
          </w:tcPr>
          <w:p w14:paraId="39BE24C9" w14:textId="77777777" w:rsidR="00D32F77" w:rsidRPr="00260C8A" w:rsidRDefault="00D32F77" w:rsidP="00832060">
            <w:pPr>
              <w:pStyle w:val="Tabletext"/>
              <w:rPr>
                <w:strike/>
                <w:color w:val="FF0000"/>
                <w:szCs w:val="18"/>
              </w:rPr>
            </w:pPr>
            <w:r w:rsidRPr="00260C8A">
              <w:rPr>
                <w:strike/>
                <w:color w:val="FF0000"/>
                <w:szCs w:val="18"/>
              </w:rPr>
              <w:t>-</w:t>
            </w:r>
          </w:p>
        </w:tc>
        <w:tc>
          <w:tcPr>
            <w:tcW w:w="1016" w:type="dxa"/>
            <w:tcBorders>
              <w:top w:val="single" w:sz="2" w:space="0" w:color="auto"/>
              <w:bottom w:val="single" w:sz="12" w:space="0" w:color="auto"/>
            </w:tcBorders>
            <w:shd w:val="clear" w:color="auto" w:fill="D9D9D9" w:themeFill="background1" w:themeFillShade="D9"/>
          </w:tcPr>
          <w:p w14:paraId="4E9615C6" w14:textId="77777777" w:rsidR="00D32F77" w:rsidRPr="00260C8A" w:rsidRDefault="00D32F77" w:rsidP="00832060">
            <w:pPr>
              <w:pStyle w:val="Tabletext"/>
              <w:rPr>
                <w:strike/>
                <w:color w:val="FF0000"/>
                <w:szCs w:val="18"/>
              </w:rPr>
            </w:pPr>
            <w:r w:rsidRPr="00260C8A">
              <w:rPr>
                <w:strike/>
                <w:color w:val="FF0000"/>
                <w:szCs w:val="18"/>
              </w:rPr>
              <w:t>Phase 1 (see sc 6.4(3))</w:t>
            </w:r>
          </w:p>
        </w:tc>
        <w:tc>
          <w:tcPr>
            <w:tcW w:w="1016" w:type="dxa"/>
            <w:tcBorders>
              <w:top w:val="single" w:sz="2" w:space="0" w:color="auto"/>
              <w:bottom w:val="single" w:sz="12" w:space="0" w:color="auto"/>
            </w:tcBorders>
          </w:tcPr>
          <w:p w14:paraId="6ECE3634" w14:textId="77777777" w:rsidR="00D32F77" w:rsidRPr="00260C8A" w:rsidRDefault="00D32F77" w:rsidP="00832060">
            <w:pPr>
              <w:pStyle w:val="Tabletext"/>
              <w:rPr>
                <w:strike/>
                <w:color w:val="FF0000"/>
                <w:szCs w:val="18"/>
              </w:rPr>
            </w:pPr>
            <w:r w:rsidRPr="00260C8A">
              <w:rPr>
                <w:strike/>
                <w:color w:val="FF0000"/>
                <w:szCs w:val="18"/>
              </w:rPr>
              <w:t xml:space="preserve">All product phases  </w:t>
            </w:r>
          </w:p>
        </w:tc>
        <w:tc>
          <w:tcPr>
            <w:tcW w:w="1016" w:type="dxa"/>
            <w:tcBorders>
              <w:top w:val="single" w:sz="2" w:space="0" w:color="auto"/>
              <w:bottom w:val="single" w:sz="12" w:space="0" w:color="auto"/>
            </w:tcBorders>
            <w:shd w:val="clear" w:color="auto" w:fill="D9D9D9" w:themeFill="background1" w:themeFillShade="D9"/>
          </w:tcPr>
          <w:p w14:paraId="78024A98" w14:textId="77777777" w:rsidR="00D32F77" w:rsidRPr="00260C8A" w:rsidRDefault="00D32F77" w:rsidP="00832060">
            <w:pPr>
              <w:pStyle w:val="Tabletext"/>
              <w:rPr>
                <w:strike/>
                <w:color w:val="FF0000"/>
                <w:szCs w:val="18"/>
              </w:rPr>
            </w:pPr>
            <w:r w:rsidRPr="00260C8A">
              <w:rPr>
                <w:strike/>
                <w:color w:val="FF0000"/>
                <w:szCs w:val="18"/>
              </w:rPr>
              <w:t>All product phases</w:t>
            </w:r>
          </w:p>
        </w:tc>
        <w:tc>
          <w:tcPr>
            <w:tcW w:w="1016" w:type="dxa"/>
            <w:tcBorders>
              <w:top w:val="single" w:sz="2" w:space="0" w:color="auto"/>
              <w:bottom w:val="single" w:sz="12" w:space="0" w:color="auto"/>
            </w:tcBorders>
          </w:tcPr>
          <w:p w14:paraId="0AF4A408" w14:textId="77777777" w:rsidR="00D32F77" w:rsidRPr="00260C8A" w:rsidRDefault="00D32F77" w:rsidP="00832060">
            <w:pPr>
              <w:pStyle w:val="Tabletext"/>
              <w:rPr>
                <w:strike/>
                <w:color w:val="FF0000"/>
                <w:szCs w:val="18"/>
              </w:rPr>
            </w:pPr>
            <w:r w:rsidRPr="00260C8A">
              <w:rPr>
                <w:strike/>
                <w:color w:val="FF0000"/>
                <w:szCs w:val="18"/>
              </w:rPr>
              <w:t>All product phases</w:t>
            </w:r>
          </w:p>
        </w:tc>
      </w:tr>
    </w:tbl>
    <w:p w14:paraId="4DF788C8" w14:textId="77777777" w:rsidR="00D32F77" w:rsidRDefault="00D32F77" w:rsidP="00CF0E3D">
      <w:pPr>
        <w:pStyle w:val="notemargin"/>
      </w:pPr>
    </w:p>
    <w:p w14:paraId="7C271178" w14:textId="77777777" w:rsidR="00CF0E3D" w:rsidRPr="0087060A" w:rsidRDefault="00CF0E3D" w:rsidP="00CF0E3D">
      <w:pPr>
        <w:pStyle w:val="notemargin"/>
      </w:pPr>
      <w:r w:rsidRPr="0087060A">
        <w:t>Note:</w:t>
      </w:r>
      <w:r w:rsidRPr="0087060A">
        <w:tab/>
        <w:t>Part 2 of these rules deals with product reference data. Part 3 of these rules deals with consumer data requests made by eligible CDR consumers. Part 4 of these rules deals with consumer data requests made by accredited persons.</w:t>
      </w:r>
    </w:p>
    <w:p w14:paraId="01D62C8C" w14:textId="77777777" w:rsidR="00CF0E3D" w:rsidRPr="0087060A" w:rsidRDefault="00CF0E3D" w:rsidP="00CF0E3D">
      <w:pPr>
        <w:pStyle w:val="subsection"/>
      </w:pPr>
      <w:r w:rsidRPr="0087060A">
        <w:tab/>
        <w:t>(2)</w:t>
      </w:r>
      <w:r w:rsidRPr="0087060A">
        <w:tab/>
        <w:t xml:space="preserve">For this clause, the </w:t>
      </w:r>
      <w:r w:rsidRPr="0087060A">
        <w:rPr>
          <w:b/>
          <w:i/>
        </w:rPr>
        <w:t xml:space="preserve">start date </w:t>
      </w:r>
      <w:r w:rsidRPr="0087060A">
        <w:t xml:space="preserve">is the day the </w:t>
      </w:r>
      <w:r w:rsidRPr="0087060A">
        <w:rPr>
          <w:i/>
        </w:rPr>
        <w:t>Competition and Consumer (Consumer Data Right) Amendment Rules (No. 3) 2020</w:t>
      </w:r>
      <w:r w:rsidRPr="0087060A">
        <w:t xml:space="preserve"> commenced.</w:t>
      </w:r>
    </w:p>
    <w:p w14:paraId="1077A565" w14:textId="77777777" w:rsidR="00CF0E3D" w:rsidRPr="00703CC8" w:rsidRDefault="00CF0E3D" w:rsidP="00CF0E3D">
      <w:pPr>
        <w:pStyle w:val="ActHead5"/>
        <w:tabs>
          <w:tab w:val="center" w:pos="3929"/>
        </w:tabs>
      </w:pPr>
      <w:bookmarkStart w:id="719" w:name="_Toc57391204"/>
      <w:bookmarkStart w:id="720" w:name="_Toc59549201"/>
      <w:bookmarkStart w:id="721" w:name="_Toc74916361"/>
      <w:r w:rsidRPr="00703CC8">
        <w:t>6.7  Application of certain rules</w:t>
      </w:r>
      <w:bookmarkEnd w:id="719"/>
      <w:bookmarkEnd w:id="720"/>
      <w:bookmarkEnd w:id="721"/>
    </w:p>
    <w:p w14:paraId="5910BF73" w14:textId="77777777" w:rsidR="00CF0E3D" w:rsidRPr="00703CC8" w:rsidRDefault="00CF0E3D" w:rsidP="00CF0E3D">
      <w:pPr>
        <w:pStyle w:val="subsection"/>
      </w:pPr>
      <w:r w:rsidRPr="00703CC8">
        <w:tab/>
        <w:t>(1)</w:t>
      </w:r>
      <w:r w:rsidRPr="00703CC8">
        <w:tab/>
        <w:t xml:space="preserve">In this clause, the </w:t>
      </w:r>
      <w:r w:rsidRPr="00703CC8">
        <w:rPr>
          <w:b/>
          <w:i/>
        </w:rPr>
        <w:t xml:space="preserve">affected provisions </w:t>
      </w:r>
      <w:r w:rsidRPr="00703CC8">
        <w:t>are provisions of these rules that impose obligations on data holders in relation to:</w:t>
      </w:r>
    </w:p>
    <w:p w14:paraId="728D929D" w14:textId="77777777" w:rsidR="00CF0E3D" w:rsidRPr="00703CC8" w:rsidRDefault="00CF0E3D" w:rsidP="00CF0E3D">
      <w:pPr>
        <w:pStyle w:val="paragraph"/>
      </w:pPr>
      <w:r w:rsidRPr="00703CC8">
        <w:tab/>
        <w:t>(a)</w:t>
      </w:r>
      <w:r w:rsidRPr="00703CC8">
        <w:tab/>
        <w:t>CDR consumers that are not individuals; or</w:t>
      </w:r>
    </w:p>
    <w:p w14:paraId="3C3E8A32" w14:textId="77777777" w:rsidR="00CF0E3D" w:rsidRPr="00703CC8" w:rsidRDefault="00CF0E3D" w:rsidP="00CF0E3D">
      <w:pPr>
        <w:pStyle w:val="paragraph"/>
      </w:pPr>
      <w:r w:rsidRPr="00703CC8">
        <w:tab/>
        <w:t>(b)</w:t>
      </w:r>
      <w:r w:rsidRPr="00703CC8">
        <w:tab/>
        <w:t>partnerships; or</w:t>
      </w:r>
    </w:p>
    <w:p w14:paraId="46486F10" w14:textId="77777777" w:rsidR="00CF0E3D" w:rsidRPr="00703CC8" w:rsidRDefault="00CF0E3D" w:rsidP="00CF0E3D">
      <w:pPr>
        <w:pStyle w:val="paragraph"/>
      </w:pPr>
      <w:r w:rsidRPr="00703CC8">
        <w:tab/>
        <w:t>(c)</w:t>
      </w:r>
      <w:r w:rsidRPr="00703CC8">
        <w:tab/>
        <w:t>nominated representatives; or</w:t>
      </w:r>
    </w:p>
    <w:p w14:paraId="63D99CEA" w14:textId="77777777" w:rsidR="00CF0E3D" w:rsidRPr="00703CC8" w:rsidRDefault="00CF0E3D" w:rsidP="00CF0E3D">
      <w:pPr>
        <w:pStyle w:val="paragraph"/>
      </w:pPr>
      <w:r w:rsidRPr="00703CC8">
        <w:tab/>
        <w:t>(d)</w:t>
      </w:r>
      <w:r w:rsidRPr="00703CC8">
        <w:tab/>
        <w:t>secondary users.</w:t>
      </w:r>
    </w:p>
    <w:p w14:paraId="2E65B0A0" w14:textId="77777777" w:rsidR="00CF0E3D" w:rsidRPr="00C81620" w:rsidRDefault="00CF0E3D" w:rsidP="00CF0E3D">
      <w:pPr>
        <w:pStyle w:val="subsection"/>
      </w:pPr>
      <w:r w:rsidRPr="00C81620">
        <w:tab/>
        <w:t>(2)</w:t>
      </w:r>
      <w:r w:rsidRPr="00C81620">
        <w:tab/>
        <w:t xml:space="preserve">The affected provisions apply in relation to initial data holders in respect of </w:t>
      </w:r>
      <w:r w:rsidRPr="004F7FBE">
        <w:rPr>
          <w:szCs w:val="18"/>
        </w:rPr>
        <w:t>NAB, CBA, ANZ, Westpac branded products</w:t>
      </w:r>
      <w:r w:rsidRPr="004F7FBE">
        <w:t xml:space="preserve"> </w:t>
      </w:r>
      <w:r w:rsidRPr="00C81620">
        <w:t>on and from 1 November 2021.</w:t>
      </w:r>
    </w:p>
    <w:p w14:paraId="0E35A805" w14:textId="77777777" w:rsidR="00CF0E3D" w:rsidRDefault="00CF0E3D" w:rsidP="00CF0E3D">
      <w:pPr>
        <w:pStyle w:val="subsection"/>
      </w:pPr>
      <w:r w:rsidRPr="00703CC8">
        <w:tab/>
        <w:t>(3)</w:t>
      </w:r>
      <w:r w:rsidRPr="00703CC8">
        <w:tab/>
        <w:t>Otherwise, the affected provisions apply in relation to data holders on and from 1 November 2022.</w:t>
      </w:r>
    </w:p>
    <w:p w14:paraId="3B7B7CA4" w14:textId="77777777" w:rsidR="00CF0E3D" w:rsidRPr="001164F0" w:rsidRDefault="00CF0E3D" w:rsidP="00CF0E3D">
      <w:pPr>
        <w:pStyle w:val="ActHead2"/>
        <w:pageBreakBefore/>
      </w:pPr>
      <w:bookmarkStart w:id="722" w:name="_Toc11771748"/>
      <w:bookmarkStart w:id="723" w:name="_Toc74916362"/>
      <w:r>
        <w:rPr>
          <w:color w:val="000000" w:themeColor="text1"/>
        </w:rPr>
        <w:t>Part 7</w:t>
      </w:r>
      <w:r w:rsidRPr="0072242E">
        <w:rPr>
          <w:color w:val="000000" w:themeColor="text1"/>
        </w:rPr>
        <w:t xml:space="preserve">—Other </w:t>
      </w:r>
      <w:r w:rsidRPr="001164F0">
        <w:t>rules, and modifications of these rules, for the banking sector</w:t>
      </w:r>
      <w:bookmarkEnd w:id="722"/>
      <w:bookmarkEnd w:id="723"/>
    </w:p>
    <w:p w14:paraId="0B697B98" w14:textId="77777777" w:rsidR="00CF0E3D" w:rsidRPr="001164F0" w:rsidRDefault="00CF0E3D" w:rsidP="00CF0E3D">
      <w:pPr>
        <w:pStyle w:val="ActHead5"/>
      </w:pPr>
      <w:bookmarkStart w:id="724" w:name="_Toc11771749"/>
      <w:bookmarkStart w:id="725" w:name="_Toc17301639"/>
      <w:bookmarkStart w:id="726" w:name="_Toc74916363"/>
      <w:r>
        <w:t>7.1</w:t>
      </w:r>
      <w:r w:rsidRPr="001164F0">
        <w:t xml:space="preserve">  Laws relevant to the management of CDR data—banking sector</w:t>
      </w:r>
      <w:bookmarkEnd w:id="724"/>
      <w:bookmarkEnd w:id="725"/>
      <w:bookmarkEnd w:id="726"/>
    </w:p>
    <w:p w14:paraId="68B72BCA" w14:textId="77777777" w:rsidR="00CF0E3D" w:rsidRPr="001164F0" w:rsidRDefault="00CF0E3D" w:rsidP="00CF0E3D">
      <w:pPr>
        <w:pStyle w:val="subsection"/>
      </w:pPr>
      <w:r>
        <w:tab/>
      </w:r>
      <w:r>
        <w:tab/>
      </w:r>
      <w:r w:rsidRPr="001164F0">
        <w:t>For paragraph (f) of the definition of “law relevant to the management of CDR data” in rule </w:t>
      </w:r>
      <w:r>
        <w:t>1.7</w:t>
      </w:r>
      <w:r w:rsidRPr="001164F0">
        <w:t xml:space="preserve"> of these rules, the </w:t>
      </w:r>
      <w:r w:rsidRPr="001164F0">
        <w:rPr>
          <w:i/>
          <w:iCs/>
        </w:rPr>
        <w:t xml:space="preserve">Australian Securities and Investments Commission Act 2001 </w:t>
      </w:r>
      <w:r w:rsidRPr="001164F0">
        <w:t>is a law relevant to the management of CDR data in relation to the banking sector.</w:t>
      </w:r>
    </w:p>
    <w:p w14:paraId="5617DFB7" w14:textId="77777777" w:rsidR="00CF0E3D" w:rsidRPr="00D476C3" w:rsidRDefault="00CF0E3D" w:rsidP="00CF0E3D">
      <w:pPr>
        <w:pStyle w:val="ActHead5"/>
      </w:pPr>
      <w:bookmarkStart w:id="727" w:name="_Toc74916364"/>
      <w:r>
        <w:t>7.2</w:t>
      </w:r>
      <w:r w:rsidRPr="00D476C3">
        <w:t xml:space="preserve">  Conditions for accredited person to be data holder</w:t>
      </w:r>
      <w:bookmarkEnd w:id="727"/>
    </w:p>
    <w:p w14:paraId="6CEE4891" w14:textId="77777777" w:rsidR="00CF0E3D" w:rsidRDefault="00CF0E3D" w:rsidP="00CF0E3D">
      <w:pPr>
        <w:pStyle w:val="subsection"/>
      </w:pPr>
      <w:r w:rsidRPr="00D476C3">
        <w:tab/>
      </w:r>
      <w:r>
        <w:t>(1)</w:t>
      </w:r>
      <w:r w:rsidRPr="00D476C3">
        <w:tab/>
        <w:t xml:space="preserve">For paragraph 56AJ(4)(c) of the Act, this clause sets out conditions for a person that has collected CDR data in accordance with a consumer data request under </w:t>
      </w:r>
      <w:r>
        <w:t>Part 4</w:t>
      </w:r>
      <w:r w:rsidRPr="00EF1C66">
        <w:t xml:space="preserve"> </w:t>
      </w:r>
      <w:r w:rsidRPr="00D476C3">
        <w:t xml:space="preserve">of these rules to be a data holder (rather than an accredited data recipient) of that CDR data and any CDR data that it directly or indirectly derived from that CDR data (together, the </w:t>
      </w:r>
      <w:r w:rsidRPr="00D476C3">
        <w:rPr>
          <w:b/>
          <w:i/>
        </w:rPr>
        <w:t xml:space="preserve">relevant </w:t>
      </w:r>
      <w:r w:rsidRPr="00D476C3">
        <w:t>CDR data</w:t>
      </w:r>
      <w:r w:rsidRPr="00D476C3">
        <w:rPr>
          <w:b/>
        </w:rPr>
        <w:t>)</w:t>
      </w:r>
      <w:r w:rsidRPr="00D476C3">
        <w:t>.</w:t>
      </w:r>
    </w:p>
    <w:p w14:paraId="0C62E1C2" w14:textId="77777777" w:rsidR="00CF0E3D" w:rsidRPr="00FA14C2" w:rsidRDefault="00CF0E3D" w:rsidP="00CF0E3D">
      <w:pPr>
        <w:pStyle w:val="subsection"/>
      </w:pPr>
      <w:r w:rsidRPr="00FA14C2">
        <w:tab/>
      </w:r>
      <w:r>
        <w:t>(2)</w:t>
      </w:r>
      <w:r w:rsidRPr="00FA14C2">
        <w:tab/>
        <w:t>The conditions are that:</w:t>
      </w:r>
    </w:p>
    <w:p w14:paraId="487B855A" w14:textId="77777777" w:rsidR="00CF0E3D" w:rsidRPr="00FA14C2" w:rsidRDefault="00CF0E3D" w:rsidP="00CF0E3D">
      <w:pPr>
        <w:pStyle w:val="paragraph"/>
      </w:pPr>
      <w:r w:rsidRPr="00FA14C2">
        <w:tab/>
      </w:r>
      <w:r>
        <w:t>(a)</w:t>
      </w:r>
      <w:r w:rsidRPr="00FA14C2">
        <w:tab/>
        <w:t>the person is an ADI; and</w:t>
      </w:r>
    </w:p>
    <w:p w14:paraId="45B7982D" w14:textId="77777777" w:rsidR="00CF0E3D" w:rsidRPr="00FA14C2" w:rsidRDefault="00CF0E3D" w:rsidP="00CF0E3D">
      <w:pPr>
        <w:pStyle w:val="paragraph"/>
      </w:pPr>
      <w:r w:rsidRPr="00FA14C2">
        <w:tab/>
      </w:r>
      <w:r>
        <w:t>(b)</w:t>
      </w:r>
      <w:r w:rsidRPr="00FA14C2">
        <w:tab/>
        <w:t>the CDR consumer has acquired a product from the person; and</w:t>
      </w:r>
    </w:p>
    <w:p w14:paraId="2F55BEF4" w14:textId="77777777" w:rsidR="00CF0E3D" w:rsidRPr="00FA14C2" w:rsidRDefault="00CF0E3D" w:rsidP="00CF0E3D">
      <w:pPr>
        <w:pStyle w:val="paragraph"/>
      </w:pPr>
      <w:r w:rsidRPr="00FA14C2">
        <w:tab/>
      </w:r>
      <w:r>
        <w:t>(c)</w:t>
      </w:r>
      <w:r w:rsidRPr="00FA14C2">
        <w:tab/>
        <w:t>the person:</w:t>
      </w:r>
    </w:p>
    <w:p w14:paraId="078B70DC" w14:textId="77777777" w:rsidR="00CF0E3D" w:rsidRPr="00FA14C2" w:rsidRDefault="00CF0E3D" w:rsidP="00CF0E3D">
      <w:pPr>
        <w:pStyle w:val="paragraphsub"/>
      </w:pPr>
      <w:r w:rsidRPr="00FA14C2">
        <w:tab/>
      </w:r>
      <w:r>
        <w:t>(i)</w:t>
      </w:r>
      <w:r w:rsidRPr="00FA14C2">
        <w:tab/>
        <w:t>reasonably believes that the relevant CDR data is relevant to its provision of the product to the CDR consumer; and</w:t>
      </w:r>
    </w:p>
    <w:p w14:paraId="0B754FB6" w14:textId="77777777" w:rsidR="00CF0E3D" w:rsidRPr="00FA14C2" w:rsidRDefault="00CF0E3D" w:rsidP="00CF0E3D">
      <w:pPr>
        <w:pStyle w:val="paragraphsub"/>
      </w:pPr>
      <w:r w:rsidRPr="00FA14C2">
        <w:tab/>
      </w:r>
      <w:r>
        <w:t>(ii)</w:t>
      </w:r>
      <w:r w:rsidRPr="00FA14C2">
        <w:tab/>
        <w:t>has asked the CDR consumer to agree to the person being a data holder, rather than an accredited data recipient, of the relevant CDR data; and</w:t>
      </w:r>
    </w:p>
    <w:p w14:paraId="2E7FBDE7" w14:textId="77777777" w:rsidR="00CF0E3D" w:rsidRPr="00FA14C2" w:rsidRDefault="00CF0E3D" w:rsidP="00CF0E3D">
      <w:pPr>
        <w:pStyle w:val="paragraphsub"/>
      </w:pPr>
      <w:r w:rsidRPr="00FA14C2">
        <w:tab/>
      </w:r>
      <w:r>
        <w:t>(iii)</w:t>
      </w:r>
      <w:r w:rsidRPr="00FA14C2">
        <w:tab/>
        <w:t>has explained to the CDR consumer:</w:t>
      </w:r>
    </w:p>
    <w:p w14:paraId="75A51703" w14:textId="77777777" w:rsidR="00CF0E3D" w:rsidRPr="00FA14C2" w:rsidRDefault="00CF0E3D" w:rsidP="00CF0E3D">
      <w:pPr>
        <w:pStyle w:val="paragraphsub-sub"/>
      </w:pPr>
      <w:r w:rsidRPr="00FA14C2">
        <w:tab/>
      </w:r>
      <w:r>
        <w:t>(A)</w:t>
      </w:r>
      <w:r w:rsidRPr="00FA14C2">
        <w:tab/>
        <w:t>that, as a result, the privacy safeguards, to the extent that they apply to an accredited data recipient of CDR data, would no longer apply to the person in relation to the relevant CDR data; and</w:t>
      </w:r>
    </w:p>
    <w:p w14:paraId="5970D4F6" w14:textId="77777777" w:rsidR="00CF0E3D" w:rsidRPr="00FA14C2" w:rsidRDefault="00CF0E3D" w:rsidP="00CF0E3D">
      <w:pPr>
        <w:pStyle w:val="paragraphsub-sub"/>
      </w:pPr>
      <w:r w:rsidRPr="00FA14C2">
        <w:tab/>
      </w:r>
      <w:r>
        <w:t>(B)</w:t>
      </w:r>
      <w:r w:rsidRPr="00FA14C2">
        <w:tab/>
        <w:t>the manner in which it proposes to treat the relevant CDR data; and</w:t>
      </w:r>
    </w:p>
    <w:p w14:paraId="58A6B968" w14:textId="77777777" w:rsidR="00CF0E3D" w:rsidRPr="00FA14C2" w:rsidRDefault="00CF0E3D" w:rsidP="00CF0E3D">
      <w:pPr>
        <w:pStyle w:val="paragraphsub-sub"/>
      </w:pPr>
      <w:r w:rsidRPr="00FA14C2">
        <w:tab/>
      </w:r>
      <w:r>
        <w:t>(C)</w:t>
      </w:r>
      <w:r w:rsidRPr="00FA14C2">
        <w:tab/>
        <w:t>why it is entitled to provide the CDR consumer with this option; and</w:t>
      </w:r>
    </w:p>
    <w:p w14:paraId="0F23B508" w14:textId="77777777" w:rsidR="00CF0E3D" w:rsidRPr="00FA14C2" w:rsidRDefault="00CF0E3D" w:rsidP="00CF0E3D">
      <w:pPr>
        <w:pStyle w:val="paragraphsub"/>
      </w:pPr>
      <w:r w:rsidRPr="00FA14C2">
        <w:tab/>
      </w:r>
      <w:r>
        <w:t>(iv)</w:t>
      </w:r>
      <w:r w:rsidRPr="00FA14C2">
        <w:tab/>
        <w:t>has outlined the consequences, to the CDR consumer, of not agreeing to this; and</w:t>
      </w:r>
    </w:p>
    <w:p w14:paraId="67E4BD1C" w14:textId="77777777" w:rsidR="00CF0E3D" w:rsidRPr="00FA14C2" w:rsidRDefault="00CF0E3D" w:rsidP="00CF0E3D">
      <w:pPr>
        <w:pStyle w:val="paragraph"/>
      </w:pPr>
      <w:r w:rsidRPr="00FA14C2">
        <w:tab/>
      </w:r>
      <w:r>
        <w:t>(d)</w:t>
      </w:r>
      <w:r w:rsidRPr="00FA14C2">
        <w:tab/>
        <w:t>the CDR consumer has agreed to the person being a data holder, rather than an accredited data recipient, of the relevant CDR data.</w:t>
      </w:r>
    </w:p>
    <w:p w14:paraId="4D37C6C5" w14:textId="77777777" w:rsidR="00CF0E3D" w:rsidRPr="00D476C3" w:rsidRDefault="00CF0E3D" w:rsidP="00CF0E3D">
      <w:pPr>
        <w:pStyle w:val="SubsectionHead"/>
      </w:pPr>
      <w:r w:rsidRPr="00D476C3">
        <w:t>Related modifications of these rules</w:t>
      </w:r>
    </w:p>
    <w:p w14:paraId="6FD1471C" w14:textId="77777777" w:rsidR="00CF0E3D" w:rsidRPr="00D476C3" w:rsidRDefault="00CF0E3D" w:rsidP="00CF0E3D">
      <w:pPr>
        <w:pStyle w:val="subsection"/>
      </w:pPr>
      <w:r w:rsidRPr="00D476C3">
        <w:tab/>
      </w:r>
      <w:r>
        <w:t>(3)</w:t>
      </w:r>
      <w:r w:rsidRPr="00D476C3">
        <w:tab/>
        <w:t>If a person becomes a data holder, rather than an accredited data recipient, of CDR data as a result of subsection 56AJ(4) of the Act and this clause:</w:t>
      </w:r>
    </w:p>
    <w:p w14:paraId="4AA1EB51" w14:textId="77777777" w:rsidR="00CF0E3D" w:rsidRPr="00D476C3" w:rsidRDefault="00CF0E3D" w:rsidP="00CF0E3D">
      <w:pPr>
        <w:pStyle w:val="paragraph"/>
      </w:pPr>
      <w:r w:rsidRPr="00D476C3">
        <w:tab/>
      </w:r>
      <w:r>
        <w:t>(b)</w:t>
      </w:r>
      <w:r w:rsidRPr="00D476C3">
        <w:tab/>
      </w:r>
      <w:r w:rsidRPr="00EC5815">
        <w:t>for paragraph </w:t>
      </w:r>
      <w:r>
        <w:t>4.26(1)(h)</w:t>
      </w:r>
      <w:r w:rsidRPr="00EC5815">
        <w:t xml:space="preserve"> of these rules,</w:t>
      </w:r>
      <w:r w:rsidRPr="009C222D">
        <w:rPr>
          <w:color w:val="000000" w:themeColor="text1"/>
        </w:rPr>
        <w:t xml:space="preserve"> </w:t>
      </w:r>
      <w:r w:rsidRPr="00D476C3">
        <w:t>any authorisations to disclose CDR data in relation to the consumer data request expire; and</w:t>
      </w:r>
    </w:p>
    <w:p w14:paraId="40CD5CDD" w14:textId="77777777" w:rsidR="00CF0E3D" w:rsidRPr="00D476C3" w:rsidRDefault="00CF0E3D" w:rsidP="00CF0E3D">
      <w:pPr>
        <w:pStyle w:val="paragraph"/>
      </w:pPr>
      <w:r w:rsidRPr="00D476C3">
        <w:tab/>
      </w:r>
      <w:r>
        <w:t>(c)</w:t>
      </w:r>
      <w:r w:rsidRPr="00D476C3">
        <w:tab/>
        <w:t>if the person’s accreditation has been surrendered or revoked, the following do not apply to the person in relation to that CDR data:</w:t>
      </w:r>
    </w:p>
    <w:p w14:paraId="21706D58" w14:textId="77777777" w:rsidR="00CF0E3D" w:rsidRPr="00D476C3" w:rsidRDefault="00CF0E3D" w:rsidP="00CF0E3D">
      <w:pPr>
        <w:pStyle w:val="paragraphsub"/>
      </w:pPr>
      <w:r w:rsidRPr="00D476C3">
        <w:tab/>
      </w:r>
      <w:r>
        <w:t>(i)</w:t>
      </w:r>
      <w:r w:rsidRPr="00D476C3">
        <w:tab/>
        <w:t>subrule </w:t>
      </w:r>
      <w:r>
        <w:t>5.23(2)</w:t>
      </w:r>
      <w:r w:rsidRPr="00D476C3">
        <w:t>;</w:t>
      </w:r>
    </w:p>
    <w:p w14:paraId="711F8163" w14:textId="77777777" w:rsidR="00CF0E3D" w:rsidRDefault="00CF0E3D" w:rsidP="00CF0E3D">
      <w:pPr>
        <w:pStyle w:val="paragraphsub"/>
      </w:pPr>
      <w:r w:rsidRPr="00D476C3">
        <w:tab/>
      </w:r>
      <w:r>
        <w:t>(ii)</w:t>
      </w:r>
      <w:r w:rsidRPr="00D476C3">
        <w:tab/>
        <w:t>paragraph </w:t>
      </w:r>
      <w:r>
        <w:t>5.23(3)(b)</w:t>
      </w:r>
      <w:r w:rsidRPr="00D476C3">
        <w:t>.</w:t>
      </w:r>
    </w:p>
    <w:p w14:paraId="60B3AA8C" w14:textId="77777777" w:rsidR="00CF0E3D" w:rsidRPr="0072242E" w:rsidRDefault="00CF0E3D" w:rsidP="00CF0E3D">
      <w:pPr>
        <w:pStyle w:val="ActHead5"/>
        <w:rPr>
          <w:color w:val="000000" w:themeColor="text1"/>
        </w:rPr>
      </w:pPr>
      <w:bookmarkStart w:id="728" w:name="_Toc74916365"/>
      <w:r>
        <w:rPr>
          <w:color w:val="000000" w:themeColor="text1"/>
        </w:rPr>
        <w:t>7.3</w:t>
      </w:r>
      <w:r w:rsidRPr="0072242E">
        <w:rPr>
          <w:color w:val="000000" w:themeColor="text1"/>
        </w:rPr>
        <w:t xml:space="preserve">  Streamlined accreditation—banking sector</w:t>
      </w:r>
      <w:bookmarkEnd w:id="728"/>
    </w:p>
    <w:p w14:paraId="67A2B92A" w14:textId="77777777" w:rsidR="00CF0E3D" w:rsidRPr="0072242E" w:rsidRDefault="00CF0E3D" w:rsidP="00CF0E3D">
      <w:pPr>
        <w:pStyle w:val="subsection"/>
        <w:rPr>
          <w:color w:val="000000" w:themeColor="text1"/>
        </w:rPr>
      </w:pPr>
      <w:r w:rsidRPr="0072242E">
        <w:rPr>
          <w:color w:val="000000" w:themeColor="text1"/>
        </w:rPr>
        <w:tab/>
      </w:r>
      <w:r w:rsidRPr="0072242E">
        <w:rPr>
          <w:color w:val="000000" w:themeColor="text1"/>
        </w:rPr>
        <w:tab/>
        <w:t>For paragraph </w:t>
      </w:r>
      <w:r>
        <w:rPr>
          <w:color w:val="000000" w:themeColor="text1"/>
        </w:rPr>
        <w:t>5.5</w:t>
      </w:r>
      <w:r>
        <w:t>(b)</w:t>
      </w:r>
      <w:r w:rsidRPr="0072242E">
        <w:rPr>
          <w:color w:val="000000" w:themeColor="text1"/>
        </w:rPr>
        <w:t xml:space="preserve"> of these rules, for the banking sector, the criteria for streamlined accreditation are that the accreditation applicant:</w:t>
      </w:r>
    </w:p>
    <w:p w14:paraId="68A66735" w14:textId="77777777" w:rsidR="00CF0E3D" w:rsidRPr="0072242E" w:rsidRDefault="00CF0E3D" w:rsidP="00CF0E3D">
      <w:pPr>
        <w:pStyle w:val="paragraph"/>
        <w:rPr>
          <w:color w:val="000000" w:themeColor="text1"/>
        </w:rPr>
      </w:pPr>
      <w:r w:rsidRPr="0072242E">
        <w:rPr>
          <w:color w:val="000000" w:themeColor="text1"/>
        </w:rPr>
        <w:tab/>
      </w:r>
      <w:r>
        <w:rPr>
          <w:color w:val="000000" w:themeColor="text1"/>
        </w:rPr>
        <w:t>(a)</w:t>
      </w:r>
      <w:r w:rsidRPr="0072242E">
        <w:rPr>
          <w:color w:val="000000" w:themeColor="text1"/>
        </w:rPr>
        <w:tab/>
        <w:t>is an ADI; but</w:t>
      </w:r>
    </w:p>
    <w:p w14:paraId="52D24C1F" w14:textId="77777777" w:rsidR="00CF0E3D" w:rsidRPr="0072242E" w:rsidRDefault="00CF0E3D" w:rsidP="00CF0E3D">
      <w:pPr>
        <w:pStyle w:val="paragraph"/>
        <w:rPr>
          <w:color w:val="000000" w:themeColor="text1"/>
        </w:rPr>
      </w:pPr>
      <w:r w:rsidRPr="0072242E">
        <w:rPr>
          <w:color w:val="000000" w:themeColor="text1"/>
        </w:rPr>
        <w:tab/>
      </w:r>
      <w:r>
        <w:rPr>
          <w:color w:val="000000" w:themeColor="text1"/>
        </w:rPr>
        <w:t>(b)</w:t>
      </w:r>
      <w:r w:rsidRPr="0072242E">
        <w:rPr>
          <w:color w:val="000000" w:themeColor="text1"/>
        </w:rPr>
        <w:tab/>
        <w:t>is not a restricted ADI.</w:t>
      </w:r>
    </w:p>
    <w:p w14:paraId="68BF225E" w14:textId="77777777" w:rsidR="00CF0E3D" w:rsidRPr="0072242E" w:rsidRDefault="00CF0E3D" w:rsidP="00CF0E3D">
      <w:pPr>
        <w:pStyle w:val="ActHead5"/>
        <w:rPr>
          <w:color w:val="000000" w:themeColor="text1"/>
        </w:rPr>
      </w:pPr>
      <w:bookmarkStart w:id="729" w:name="_Toc11771750"/>
      <w:bookmarkStart w:id="730" w:name="_Toc74916366"/>
      <w:r>
        <w:rPr>
          <w:color w:val="000000" w:themeColor="text1"/>
        </w:rPr>
        <w:t>7.4</w:t>
      </w:r>
      <w:r w:rsidRPr="0072242E">
        <w:rPr>
          <w:color w:val="000000" w:themeColor="text1"/>
        </w:rPr>
        <w:t xml:space="preserve">  Exemptions to accreditation criteria—banking sector</w:t>
      </w:r>
      <w:bookmarkEnd w:id="729"/>
      <w:bookmarkEnd w:id="730"/>
    </w:p>
    <w:p w14:paraId="07965994" w14:textId="77777777" w:rsidR="00CF0E3D" w:rsidRPr="0072242E" w:rsidRDefault="00CF0E3D" w:rsidP="00CF0E3D">
      <w:pPr>
        <w:pStyle w:val="subsection"/>
        <w:rPr>
          <w:color w:val="000000" w:themeColor="text1"/>
        </w:rPr>
      </w:pPr>
      <w:r w:rsidRPr="0072242E">
        <w:rPr>
          <w:color w:val="000000" w:themeColor="text1"/>
        </w:rPr>
        <w:tab/>
      </w:r>
      <w:r>
        <w:rPr>
          <w:color w:val="000000" w:themeColor="text1"/>
        </w:rPr>
        <w:t>(1)</w:t>
      </w:r>
      <w:r w:rsidRPr="0072242E">
        <w:rPr>
          <w:color w:val="000000" w:themeColor="text1"/>
        </w:rPr>
        <w:tab/>
        <w:t xml:space="preserve">This clause sets out how the accreditation criteria operate in relation to the banking sector, for the purposes of rule </w:t>
      </w:r>
      <w:r>
        <w:rPr>
          <w:color w:val="000000" w:themeColor="text1"/>
        </w:rPr>
        <w:t>5.12</w:t>
      </w:r>
      <w:r w:rsidRPr="0072242E">
        <w:rPr>
          <w:color w:val="000000" w:themeColor="text1"/>
        </w:rPr>
        <w:t xml:space="preserve"> of these rules.</w:t>
      </w:r>
    </w:p>
    <w:p w14:paraId="2DF725AF" w14:textId="77777777" w:rsidR="00CF0E3D" w:rsidRPr="0072242E" w:rsidRDefault="00CF0E3D" w:rsidP="00CF0E3D">
      <w:pPr>
        <w:pStyle w:val="subsection"/>
        <w:rPr>
          <w:color w:val="000000" w:themeColor="text1"/>
        </w:rPr>
      </w:pPr>
      <w:r w:rsidRPr="0072242E">
        <w:rPr>
          <w:color w:val="000000" w:themeColor="text1"/>
        </w:rPr>
        <w:tab/>
      </w:r>
      <w:r>
        <w:rPr>
          <w:color w:val="000000" w:themeColor="text1"/>
        </w:rPr>
        <w:t>(2)</w:t>
      </w:r>
      <w:r w:rsidRPr="0072242E">
        <w:rPr>
          <w:color w:val="000000" w:themeColor="text1"/>
        </w:rPr>
        <w:tab/>
        <w:t>An accredited person that:</w:t>
      </w:r>
    </w:p>
    <w:p w14:paraId="7D6D76C6" w14:textId="77777777" w:rsidR="00CF0E3D" w:rsidRPr="0072242E" w:rsidRDefault="00CF0E3D" w:rsidP="00CF0E3D">
      <w:pPr>
        <w:pStyle w:val="paragraph"/>
        <w:rPr>
          <w:color w:val="000000" w:themeColor="text1"/>
        </w:rPr>
      </w:pPr>
      <w:r w:rsidRPr="0072242E">
        <w:rPr>
          <w:color w:val="000000" w:themeColor="text1"/>
        </w:rPr>
        <w:tab/>
      </w:r>
      <w:r>
        <w:rPr>
          <w:color w:val="000000" w:themeColor="text1"/>
        </w:rPr>
        <w:t>(a)</w:t>
      </w:r>
      <w:r w:rsidRPr="0072242E">
        <w:rPr>
          <w:color w:val="000000" w:themeColor="text1"/>
        </w:rPr>
        <w:tab/>
        <w:t>is an ADI; but</w:t>
      </w:r>
    </w:p>
    <w:p w14:paraId="6B727FB7" w14:textId="77777777" w:rsidR="00CF0E3D" w:rsidRPr="0072242E" w:rsidRDefault="00CF0E3D" w:rsidP="00CF0E3D">
      <w:pPr>
        <w:pStyle w:val="paragraph"/>
        <w:rPr>
          <w:color w:val="000000" w:themeColor="text1"/>
        </w:rPr>
      </w:pPr>
      <w:r w:rsidRPr="0072242E">
        <w:rPr>
          <w:color w:val="000000" w:themeColor="text1"/>
        </w:rPr>
        <w:tab/>
      </w:r>
      <w:r>
        <w:rPr>
          <w:color w:val="000000" w:themeColor="text1"/>
        </w:rPr>
        <w:t>(b)</w:t>
      </w:r>
      <w:r w:rsidRPr="0072242E">
        <w:rPr>
          <w:color w:val="000000" w:themeColor="text1"/>
        </w:rPr>
        <w:tab/>
        <w:t>is not a restricted ADI;</w:t>
      </w:r>
    </w:p>
    <w:p w14:paraId="229A7E00" w14:textId="77777777" w:rsidR="00CF0E3D" w:rsidRDefault="00CF0E3D" w:rsidP="00CF0E3D">
      <w:pPr>
        <w:pStyle w:val="subsection"/>
        <w:spacing w:before="40" w:after="100" w:afterAutospacing="1"/>
        <w:rPr>
          <w:color w:val="000000" w:themeColor="text1"/>
        </w:rPr>
      </w:pPr>
      <w:r w:rsidRPr="0072242E">
        <w:rPr>
          <w:color w:val="000000" w:themeColor="text1"/>
        </w:rPr>
        <w:tab/>
      </w:r>
      <w:r w:rsidRPr="0072242E">
        <w:rPr>
          <w:color w:val="000000" w:themeColor="text1"/>
        </w:rPr>
        <w:tab/>
        <w:t>need not comply with paragraph </w:t>
      </w:r>
      <w:r>
        <w:rPr>
          <w:color w:val="000000" w:themeColor="text1"/>
        </w:rPr>
        <w:t>5.12(2)(b) of these rules.</w:t>
      </w:r>
    </w:p>
    <w:p w14:paraId="09282C3A" w14:textId="77777777" w:rsidR="005848BC" w:rsidRPr="007E7FBF" w:rsidRDefault="005848BC" w:rsidP="00D51F64">
      <w:pPr>
        <w:pStyle w:val="paragraph"/>
      </w:pPr>
    </w:p>
    <w:p w14:paraId="51DA6B21" w14:textId="77777777" w:rsidR="005848BC" w:rsidRDefault="005848BC" w:rsidP="00D51F64">
      <w:pPr>
        <w:pStyle w:val="paragraph"/>
        <w:rPr>
          <w:color w:val="0000FF"/>
        </w:rPr>
      </w:pPr>
    </w:p>
    <w:p w14:paraId="434CA7AE" w14:textId="2A555A5A" w:rsidR="005848BC" w:rsidRDefault="005848BC" w:rsidP="005848BC">
      <w:pPr>
        <w:pStyle w:val="paragraph"/>
      </w:pPr>
      <w:r>
        <w:tab/>
        <w:t>===========================================================================================================</w:t>
      </w:r>
    </w:p>
    <w:p w14:paraId="5C0E440C" w14:textId="77777777" w:rsidR="005848BC" w:rsidRDefault="005848BC" w:rsidP="005848BC">
      <w:pPr>
        <w:pStyle w:val="paragraph"/>
      </w:pPr>
    </w:p>
    <w:p w14:paraId="43FA4E2A" w14:textId="66FA563C" w:rsidR="005848BC" w:rsidRDefault="00F05B86" w:rsidP="00F05B86">
      <w:pPr>
        <w:pStyle w:val="ActHead5"/>
        <w:rPr>
          <w:color w:val="FF0000"/>
        </w:rPr>
      </w:pPr>
      <w:r w:rsidRPr="00A01A25">
        <w:rPr>
          <w:color w:val="FF0000"/>
        </w:rPr>
        <w:t xml:space="preserve">  </w:t>
      </w:r>
      <w:bookmarkStart w:id="731" w:name="_Toc74916367"/>
      <w:r w:rsidR="005848BC" w:rsidRPr="00A01A25">
        <w:rPr>
          <w:color w:val="FF0000"/>
        </w:rPr>
        <w:t>Transitional provisions (to go in amending instrument)</w:t>
      </w:r>
      <w:bookmarkEnd w:id="731"/>
    </w:p>
    <w:p w14:paraId="7E13A4EA" w14:textId="795CD15C" w:rsidR="00B86DB6" w:rsidRDefault="009C7376" w:rsidP="009C7376">
      <w:pPr>
        <w:pStyle w:val="notemargin"/>
        <w:rPr>
          <w:color w:val="FF0000"/>
          <w:sz w:val="16"/>
          <w:szCs w:val="16"/>
          <w:shd w:val="clear" w:color="auto" w:fill="FFFFFF"/>
        </w:rPr>
      </w:pPr>
      <w:r w:rsidRPr="009C7376">
        <w:rPr>
          <w:color w:val="FF0000"/>
        </w:rPr>
        <w:t>Note:</w:t>
      </w:r>
      <w:r w:rsidRPr="009C7376">
        <w:rPr>
          <w:color w:val="FF0000"/>
        </w:rPr>
        <w:tab/>
      </w:r>
      <w:r>
        <w:rPr>
          <w:color w:val="FF0000"/>
        </w:rPr>
        <w:t>A set of joint account provisions</w:t>
      </w:r>
      <w:r w:rsidR="00B86DB6">
        <w:rPr>
          <w:color w:val="FF0000"/>
        </w:rPr>
        <w:t xml:space="preserve"> in relation to the banking sector</w:t>
      </w:r>
      <w:r>
        <w:rPr>
          <w:color w:val="FF0000"/>
        </w:rPr>
        <w:t xml:space="preserve"> was included in the principal rules as made</w:t>
      </w:r>
      <w:r w:rsidR="00B86DB6">
        <w:rPr>
          <w:color w:val="FF0000"/>
        </w:rPr>
        <w:t xml:space="preserve"> (Part 4 of Schedule 3)</w:t>
      </w:r>
      <w:r>
        <w:rPr>
          <w:color w:val="FF0000"/>
        </w:rPr>
        <w:t>.</w:t>
      </w:r>
      <w:r>
        <w:rPr>
          <w:color w:val="FF0000"/>
          <w:sz w:val="16"/>
          <w:szCs w:val="16"/>
          <w:shd w:val="clear" w:color="auto" w:fill="FFFFFF"/>
        </w:rPr>
        <w:t xml:space="preserve"> These are the “former joint account provisons” for this item.  </w:t>
      </w:r>
      <w:r w:rsidR="00B86DB6">
        <w:rPr>
          <w:color w:val="FF0000"/>
          <w:sz w:val="16"/>
          <w:szCs w:val="16"/>
          <w:shd w:val="clear" w:color="auto" w:fill="FFFFFF"/>
        </w:rPr>
        <w:t xml:space="preserve">The earlier amendment rules replaced </w:t>
      </w:r>
      <w:r w:rsidR="001E0C5D">
        <w:rPr>
          <w:color w:val="FF0000"/>
          <w:sz w:val="16"/>
          <w:szCs w:val="16"/>
          <w:shd w:val="clear" w:color="auto" w:fill="FFFFFF"/>
        </w:rPr>
        <w:t>that Part</w:t>
      </w:r>
      <w:r w:rsidR="00B86DB6">
        <w:rPr>
          <w:color w:val="FF0000"/>
          <w:sz w:val="16"/>
          <w:szCs w:val="16"/>
          <w:shd w:val="clear" w:color="auto" w:fill="FFFFFF"/>
        </w:rPr>
        <w:t>, but the transition provisions allowed data holders to continue to apply the former joint account provions for some time.  Th</w:t>
      </w:r>
      <w:r w:rsidR="001E0C5D">
        <w:rPr>
          <w:color w:val="FF0000"/>
          <w:sz w:val="16"/>
          <w:szCs w:val="16"/>
          <w:shd w:val="clear" w:color="auto" w:fill="FFFFFF"/>
        </w:rPr>
        <w:t xml:space="preserve">is item allows </w:t>
      </w:r>
      <w:r w:rsidR="00B86DB6">
        <w:rPr>
          <w:color w:val="FF0000"/>
          <w:sz w:val="16"/>
          <w:szCs w:val="16"/>
          <w:shd w:val="clear" w:color="auto" w:fill="FFFFFF"/>
        </w:rPr>
        <w:t>those data holders to continue to use the former transition provisions until 1 April 2022, when they must begin to comply with the current Part 4A inserted by these amendment rules.</w:t>
      </w:r>
    </w:p>
    <w:p w14:paraId="64910546" w14:textId="00289614" w:rsidR="005848BC" w:rsidRPr="00A01A25" w:rsidRDefault="005848BC" w:rsidP="005848BC">
      <w:pPr>
        <w:shd w:val="clear" w:color="auto" w:fill="FFFFFF"/>
        <w:spacing w:before="240" w:line="240" w:lineRule="auto"/>
        <w:ind w:left="1134"/>
        <w:rPr>
          <w:rFonts w:eastAsia="Times New Roman" w:cs="Times New Roman"/>
          <w:i/>
          <w:iCs/>
          <w:color w:val="FF0000"/>
          <w:szCs w:val="22"/>
          <w:lang w:eastAsia="en-AU"/>
        </w:rPr>
      </w:pPr>
      <w:r w:rsidRPr="00A01A25">
        <w:rPr>
          <w:rFonts w:eastAsia="Times New Roman" w:cs="Times New Roman"/>
          <w:i/>
          <w:iCs/>
          <w:color w:val="FF0000"/>
          <w:szCs w:val="22"/>
          <w:lang w:eastAsia="en-AU"/>
        </w:rPr>
        <w:t>Compliance with Part 4A</w:t>
      </w:r>
      <w:r w:rsidR="00AC51A3" w:rsidRPr="00A01A25">
        <w:rPr>
          <w:rFonts w:eastAsia="Times New Roman" w:cs="Times New Roman"/>
          <w:i/>
          <w:iCs/>
          <w:color w:val="FF0000"/>
          <w:szCs w:val="22"/>
          <w:lang w:eastAsia="en-AU"/>
        </w:rPr>
        <w:t xml:space="preserve"> before 1 April 2022</w:t>
      </w:r>
    </w:p>
    <w:p w14:paraId="2A842D4A" w14:textId="36AFCBF3" w:rsidR="005848BC" w:rsidRPr="00A01A25" w:rsidRDefault="002B76FA" w:rsidP="002B76FA">
      <w:pPr>
        <w:pStyle w:val="subsection"/>
        <w:rPr>
          <w:color w:val="FF0000"/>
        </w:rPr>
      </w:pPr>
      <w:r w:rsidRPr="00A01A25">
        <w:rPr>
          <w:color w:val="FF0000"/>
        </w:rPr>
        <w:tab/>
        <w:t>(1)</w:t>
      </w:r>
      <w:r w:rsidRPr="00A01A25">
        <w:rPr>
          <w:color w:val="FF0000"/>
        </w:rPr>
        <w:tab/>
      </w:r>
      <w:r w:rsidR="005848BC" w:rsidRPr="00A01A25">
        <w:rPr>
          <w:color w:val="FF0000"/>
        </w:rPr>
        <w:t>A particular data holder is taken to comply with the current Part 4A if the data holder:</w:t>
      </w:r>
    </w:p>
    <w:p w14:paraId="2BCA4813" w14:textId="59729591" w:rsidR="005848BC" w:rsidRPr="00A01A25" w:rsidRDefault="002B76FA" w:rsidP="002B76FA">
      <w:pPr>
        <w:pStyle w:val="paragraph"/>
        <w:rPr>
          <w:color w:val="FF0000"/>
        </w:rPr>
      </w:pPr>
      <w:r w:rsidRPr="00A01A25">
        <w:rPr>
          <w:color w:val="FF0000"/>
        </w:rPr>
        <w:tab/>
        <w:t>(a)</w:t>
      </w:r>
      <w:r w:rsidRPr="00A01A25">
        <w:rPr>
          <w:color w:val="FF0000"/>
        </w:rPr>
        <w:tab/>
      </w:r>
      <w:r w:rsidR="005848BC" w:rsidRPr="00A01A25">
        <w:rPr>
          <w:color w:val="FF0000"/>
        </w:rPr>
        <w:t>either:</w:t>
      </w:r>
    </w:p>
    <w:p w14:paraId="0A3BD2BA" w14:textId="6C43CEFF" w:rsidR="005848BC" w:rsidRDefault="002B76FA" w:rsidP="002B76FA">
      <w:pPr>
        <w:pStyle w:val="paragraphsub"/>
        <w:rPr>
          <w:color w:val="FF0000"/>
        </w:rPr>
      </w:pPr>
      <w:r w:rsidRPr="00A01A25">
        <w:rPr>
          <w:color w:val="FF0000"/>
        </w:rPr>
        <w:tab/>
        <w:t>(i)</w:t>
      </w:r>
      <w:r w:rsidRPr="00A01A25">
        <w:rPr>
          <w:color w:val="FF0000"/>
        </w:rPr>
        <w:tab/>
      </w:r>
      <w:r w:rsidR="005848BC" w:rsidRPr="00A01A25">
        <w:rPr>
          <w:color w:val="FF0000"/>
        </w:rPr>
        <w:t xml:space="preserve">was required, before the amendment date, to comply with </w:t>
      </w:r>
      <w:r w:rsidR="00A01A25">
        <w:rPr>
          <w:color w:val="FF0000"/>
        </w:rPr>
        <w:t>Part 4 of Schedule 3 as it stood immediately before the amendment date; or</w:t>
      </w:r>
    </w:p>
    <w:p w14:paraId="241E4D1C" w14:textId="4C4A445C" w:rsidR="002B76FA" w:rsidRPr="00A01A25" w:rsidRDefault="002B76FA" w:rsidP="002B76FA">
      <w:pPr>
        <w:pStyle w:val="paragraphsub"/>
        <w:rPr>
          <w:color w:val="FF0000"/>
        </w:rPr>
      </w:pPr>
      <w:r w:rsidRPr="00A01A25">
        <w:rPr>
          <w:color w:val="FF0000"/>
        </w:rPr>
        <w:tab/>
        <w:t>(ii)</w:t>
      </w:r>
      <w:r w:rsidRPr="00A01A25">
        <w:rPr>
          <w:color w:val="FF0000"/>
        </w:rPr>
        <w:tab/>
        <w:t xml:space="preserve">before the amendment date, </w:t>
      </w:r>
      <w:r w:rsidR="008B739B" w:rsidRPr="00A01A25">
        <w:rPr>
          <w:color w:val="FF0000"/>
        </w:rPr>
        <w:t xml:space="preserve">complied with the former </w:t>
      </w:r>
      <w:r w:rsidR="00A01A25">
        <w:rPr>
          <w:color w:val="FF0000"/>
        </w:rPr>
        <w:t xml:space="preserve">joint account provisions </w:t>
      </w:r>
      <w:r w:rsidR="008B739B" w:rsidRPr="00A01A25">
        <w:rPr>
          <w:color w:val="FF0000"/>
        </w:rPr>
        <w:t xml:space="preserve">in order to satisfy paragraph 105(4)(b) of Schedule </w:t>
      </w:r>
      <w:r w:rsidR="00083030" w:rsidRPr="00A01A25">
        <w:rPr>
          <w:color w:val="FF0000"/>
        </w:rPr>
        <w:t>1 to the earlier amendment rules; or</w:t>
      </w:r>
    </w:p>
    <w:p w14:paraId="340FEA89" w14:textId="0BBFCD45" w:rsidR="005848BC" w:rsidRPr="00A01A25" w:rsidRDefault="002B76FA" w:rsidP="002B76FA">
      <w:pPr>
        <w:pStyle w:val="paragraphsub"/>
        <w:rPr>
          <w:color w:val="FF0000"/>
        </w:rPr>
      </w:pPr>
      <w:r w:rsidRPr="00A01A25">
        <w:rPr>
          <w:color w:val="FF0000"/>
        </w:rPr>
        <w:tab/>
        <w:t>(iii)</w:t>
      </w:r>
      <w:r w:rsidRPr="00A01A25">
        <w:rPr>
          <w:color w:val="FF0000"/>
        </w:rPr>
        <w:tab/>
      </w:r>
      <w:r w:rsidR="005848BC" w:rsidRPr="00A01A25">
        <w:rPr>
          <w:color w:val="FF0000"/>
        </w:rPr>
        <w:t>is an accredited person; and</w:t>
      </w:r>
    </w:p>
    <w:p w14:paraId="61A54FC0" w14:textId="16FC1CF9" w:rsidR="005848BC" w:rsidRPr="00A01A25" w:rsidRDefault="002B76FA" w:rsidP="002B76FA">
      <w:pPr>
        <w:pStyle w:val="paragraph"/>
        <w:rPr>
          <w:color w:val="FF0000"/>
        </w:rPr>
      </w:pPr>
      <w:r w:rsidRPr="00A01A25">
        <w:rPr>
          <w:color w:val="FF0000"/>
        </w:rPr>
        <w:tab/>
        <w:t>(b)</w:t>
      </w:r>
      <w:r w:rsidRPr="00A01A25">
        <w:rPr>
          <w:color w:val="FF0000"/>
        </w:rPr>
        <w:tab/>
      </w:r>
      <w:r w:rsidR="005848BC" w:rsidRPr="00A01A25">
        <w:rPr>
          <w:color w:val="FF0000"/>
        </w:rPr>
        <w:t xml:space="preserve">between the amendment date and </w:t>
      </w:r>
      <w:r w:rsidR="00083030" w:rsidRPr="00A01A25">
        <w:rPr>
          <w:color w:val="FF0000"/>
        </w:rPr>
        <w:t>3</w:t>
      </w:r>
      <w:r w:rsidR="005848BC" w:rsidRPr="00A01A25">
        <w:rPr>
          <w:color w:val="FF0000"/>
        </w:rPr>
        <w:t>1 </w:t>
      </w:r>
      <w:r w:rsidR="00083030" w:rsidRPr="00A01A25">
        <w:rPr>
          <w:color w:val="FF0000"/>
        </w:rPr>
        <w:t>March</w:t>
      </w:r>
      <w:r w:rsidR="00E01326" w:rsidRPr="00A01A25">
        <w:rPr>
          <w:color w:val="FF0000"/>
        </w:rPr>
        <w:t xml:space="preserve"> 2022</w:t>
      </w:r>
      <w:r w:rsidR="005848BC" w:rsidRPr="00A01A25">
        <w:rPr>
          <w:color w:val="FF0000"/>
        </w:rPr>
        <w:t xml:space="preserve">, complies with the former </w:t>
      </w:r>
      <w:r w:rsidR="00A01A25">
        <w:rPr>
          <w:color w:val="FF0000"/>
        </w:rPr>
        <w:t>joint account provisions</w:t>
      </w:r>
      <w:r w:rsidR="005848BC" w:rsidRPr="00A01A25">
        <w:rPr>
          <w:color w:val="FF0000"/>
        </w:rPr>
        <w:t xml:space="preserve"> (as varied to the extent reasonably necessary so that it operates in accordance with these rules as amended by the</w:t>
      </w:r>
      <w:r w:rsidR="00083030" w:rsidRPr="00A01A25">
        <w:rPr>
          <w:color w:val="FF0000"/>
        </w:rPr>
        <w:t xml:space="preserve">se rules </w:t>
      </w:r>
      <w:r w:rsidR="005848BC" w:rsidRPr="00A01A25">
        <w:rPr>
          <w:color w:val="FF0000"/>
        </w:rPr>
        <w:t>instead of the current Part 4A.</w:t>
      </w:r>
    </w:p>
    <w:p w14:paraId="1DF16B9E" w14:textId="580E19AF" w:rsidR="005848BC" w:rsidRDefault="00083030" w:rsidP="002B76FA">
      <w:pPr>
        <w:pStyle w:val="SubsectionHead"/>
        <w:rPr>
          <w:color w:val="FF0000"/>
        </w:rPr>
      </w:pPr>
      <w:r w:rsidRPr="00083030">
        <w:rPr>
          <w:color w:val="FF0000"/>
        </w:rPr>
        <w:t xml:space="preserve">Application of Part 4A to existing </w:t>
      </w:r>
      <w:r w:rsidR="00474C2B" w:rsidRPr="00083030">
        <w:rPr>
          <w:color w:val="FF0000"/>
        </w:rPr>
        <w:t>joint account</w:t>
      </w:r>
    </w:p>
    <w:p w14:paraId="089A17FC" w14:textId="707D5C63" w:rsidR="00083030" w:rsidRPr="006765B7" w:rsidRDefault="00083030" w:rsidP="00083030">
      <w:pPr>
        <w:pStyle w:val="subsection"/>
        <w:rPr>
          <w:color w:val="FF0000"/>
        </w:rPr>
      </w:pPr>
      <w:r w:rsidRPr="006765B7">
        <w:rPr>
          <w:color w:val="FF0000"/>
        </w:rPr>
        <w:tab/>
        <w:t>(2)</w:t>
      </w:r>
      <w:r w:rsidRPr="006765B7">
        <w:rPr>
          <w:color w:val="FF0000"/>
        </w:rPr>
        <w:tab/>
        <w:t>Subitem</w:t>
      </w:r>
      <w:r w:rsidR="006765B7">
        <w:rPr>
          <w:color w:val="FF0000"/>
        </w:rPr>
        <w:t>s</w:t>
      </w:r>
      <w:r w:rsidRPr="006765B7">
        <w:rPr>
          <w:color w:val="FF0000"/>
        </w:rPr>
        <w:t xml:space="preserve"> (3) </w:t>
      </w:r>
      <w:r w:rsidR="006765B7">
        <w:rPr>
          <w:color w:val="FF0000"/>
        </w:rPr>
        <w:t xml:space="preserve">and (4) </w:t>
      </w:r>
      <w:r w:rsidRPr="006765B7">
        <w:rPr>
          <w:color w:val="FF0000"/>
        </w:rPr>
        <w:t>appl</w:t>
      </w:r>
      <w:r w:rsidR="006765B7">
        <w:rPr>
          <w:color w:val="FF0000"/>
        </w:rPr>
        <w:t>y</w:t>
      </w:r>
      <w:r w:rsidRPr="006765B7">
        <w:rPr>
          <w:color w:val="FF0000"/>
        </w:rPr>
        <w:t xml:space="preserve"> in relation to a joint account with a data holder that is in existence</w:t>
      </w:r>
      <w:r w:rsidR="00AC51A3">
        <w:rPr>
          <w:color w:val="FF0000"/>
        </w:rPr>
        <w:t xml:space="preserve"> immediately before</w:t>
      </w:r>
      <w:r w:rsidR="00A81095">
        <w:rPr>
          <w:color w:val="FF0000"/>
        </w:rPr>
        <w:t xml:space="preserve"> the following day (the </w:t>
      </w:r>
      <w:r w:rsidR="00A81095" w:rsidRPr="00A81095">
        <w:rPr>
          <w:b/>
          <w:i/>
          <w:color w:val="FF0000"/>
        </w:rPr>
        <w:t>Part 4A day</w:t>
      </w:r>
      <w:r w:rsidR="00A81095">
        <w:rPr>
          <w:color w:val="FF0000"/>
        </w:rPr>
        <w:t>)</w:t>
      </w:r>
      <w:r w:rsidRPr="006765B7">
        <w:rPr>
          <w:color w:val="FF0000"/>
        </w:rPr>
        <w:t>:</w:t>
      </w:r>
    </w:p>
    <w:p w14:paraId="34217279" w14:textId="78D8B9C5" w:rsidR="006765B7" w:rsidRPr="006765B7" w:rsidRDefault="00083030" w:rsidP="00083030">
      <w:pPr>
        <w:pStyle w:val="paragraph"/>
        <w:rPr>
          <w:color w:val="FF0000"/>
        </w:rPr>
      </w:pPr>
      <w:r w:rsidRPr="006765B7">
        <w:rPr>
          <w:color w:val="FF0000"/>
        </w:rPr>
        <w:tab/>
        <w:t>(a)</w:t>
      </w:r>
      <w:r w:rsidRPr="006765B7">
        <w:rPr>
          <w:color w:val="FF0000"/>
        </w:rPr>
        <w:tab/>
        <w:t>if the data holder does not make use of paragraph (1)(b)</w:t>
      </w:r>
      <w:r w:rsidR="00A81095">
        <w:rPr>
          <w:color w:val="FF0000"/>
        </w:rPr>
        <w:t xml:space="preserve"> in relation to the account (an </w:t>
      </w:r>
      <w:r w:rsidR="00A81095">
        <w:rPr>
          <w:b/>
          <w:i/>
          <w:color w:val="FF0000"/>
        </w:rPr>
        <w:t>una</w:t>
      </w:r>
      <w:r w:rsidR="00A81095" w:rsidRPr="00A81095">
        <w:rPr>
          <w:b/>
          <w:i/>
          <w:color w:val="FF0000"/>
        </w:rPr>
        <w:t>ffected</w:t>
      </w:r>
      <w:r w:rsidR="00A81095">
        <w:rPr>
          <w:color w:val="FF0000"/>
        </w:rPr>
        <w:t xml:space="preserve"> account)</w:t>
      </w:r>
      <w:r w:rsidRPr="006765B7">
        <w:rPr>
          <w:color w:val="FF0000"/>
        </w:rPr>
        <w:t>—</w:t>
      </w:r>
      <w:r w:rsidR="00AC51A3">
        <w:rPr>
          <w:color w:val="FF0000"/>
        </w:rPr>
        <w:t>the day</w:t>
      </w:r>
      <w:r w:rsidR="00AC51A3" w:rsidRPr="006765B7">
        <w:rPr>
          <w:color w:val="FF0000"/>
        </w:rPr>
        <w:t xml:space="preserve"> </w:t>
      </w:r>
      <w:r w:rsidR="006765B7" w:rsidRPr="006765B7">
        <w:rPr>
          <w:color w:val="FF0000"/>
        </w:rPr>
        <w:t>when the data holder is first required to comply with the current Part 4A; or</w:t>
      </w:r>
    </w:p>
    <w:p w14:paraId="0AEB3222" w14:textId="6A1DE873" w:rsidR="006765B7" w:rsidRPr="006765B7" w:rsidRDefault="006765B7" w:rsidP="006765B7">
      <w:pPr>
        <w:pStyle w:val="paragraph"/>
        <w:rPr>
          <w:color w:val="FF0000"/>
        </w:rPr>
      </w:pPr>
      <w:r w:rsidRPr="006765B7">
        <w:rPr>
          <w:color w:val="FF0000"/>
        </w:rPr>
        <w:tab/>
        <w:t>(b)</w:t>
      </w:r>
      <w:r w:rsidRPr="006765B7">
        <w:rPr>
          <w:color w:val="FF0000"/>
        </w:rPr>
        <w:tab/>
        <w:t>if the data holder makes use of paragraph (1)(b)</w:t>
      </w:r>
      <w:r w:rsidR="00A81095">
        <w:rPr>
          <w:color w:val="FF0000"/>
        </w:rPr>
        <w:t xml:space="preserve"> in relation to the account (an </w:t>
      </w:r>
      <w:r w:rsidR="00A81095">
        <w:rPr>
          <w:b/>
          <w:i/>
          <w:color w:val="FF0000"/>
        </w:rPr>
        <w:t>affected account</w:t>
      </w:r>
      <w:r w:rsidR="00A81095">
        <w:rPr>
          <w:color w:val="FF0000"/>
        </w:rPr>
        <w:t>)</w:t>
      </w:r>
      <w:r w:rsidRPr="006765B7">
        <w:rPr>
          <w:color w:val="FF0000"/>
        </w:rPr>
        <w:t>—</w:t>
      </w:r>
      <w:r w:rsidR="00AC51A3">
        <w:rPr>
          <w:color w:val="FF0000"/>
        </w:rPr>
        <w:t>the e</w:t>
      </w:r>
      <w:r w:rsidRPr="006765B7">
        <w:rPr>
          <w:color w:val="FF0000"/>
        </w:rPr>
        <w:t>arlier of:</w:t>
      </w:r>
    </w:p>
    <w:p w14:paraId="6786C3DA" w14:textId="77777777" w:rsidR="006765B7" w:rsidRPr="006765B7" w:rsidRDefault="006765B7" w:rsidP="006765B7">
      <w:pPr>
        <w:pStyle w:val="paragraphsub"/>
        <w:rPr>
          <w:color w:val="FF0000"/>
        </w:rPr>
      </w:pPr>
      <w:r w:rsidRPr="006765B7">
        <w:rPr>
          <w:color w:val="FF0000"/>
        </w:rPr>
        <w:tab/>
        <w:t>(i)</w:t>
      </w:r>
      <w:r w:rsidRPr="006765B7">
        <w:rPr>
          <w:color w:val="FF0000"/>
        </w:rPr>
        <w:tab/>
        <w:t>the day that data holder ceases to make use of paragraph (1)(b); and</w:t>
      </w:r>
    </w:p>
    <w:p w14:paraId="74C67BD8" w14:textId="6731ED3E" w:rsidR="006765B7" w:rsidRDefault="006765B7" w:rsidP="006765B7">
      <w:pPr>
        <w:pStyle w:val="paragraphsub"/>
        <w:rPr>
          <w:color w:val="FF0000"/>
        </w:rPr>
      </w:pPr>
      <w:r w:rsidRPr="006765B7">
        <w:rPr>
          <w:color w:val="FF0000"/>
        </w:rPr>
        <w:tab/>
        <w:t>(ii)</w:t>
      </w:r>
      <w:r w:rsidRPr="006765B7">
        <w:rPr>
          <w:color w:val="FF0000"/>
        </w:rPr>
        <w:tab/>
      </w:r>
      <w:r w:rsidR="00AC51A3">
        <w:rPr>
          <w:color w:val="FF0000"/>
        </w:rPr>
        <w:t xml:space="preserve">1 April </w:t>
      </w:r>
      <w:r>
        <w:rPr>
          <w:color w:val="FF0000"/>
        </w:rPr>
        <w:t>2022.</w:t>
      </w:r>
    </w:p>
    <w:p w14:paraId="13E9BB0A" w14:textId="31C8EBAD" w:rsidR="005D3DB0" w:rsidRPr="00C173FE" w:rsidRDefault="005D3DB0" w:rsidP="005D3DB0">
      <w:pPr>
        <w:pStyle w:val="subsection"/>
        <w:rPr>
          <w:color w:val="FF0000"/>
        </w:rPr>
      </w:pPr>
      <w:r w:rsidRPr="00AC51A3">
        <w:rPr>
          <w:color w:val="FF0000"/>
        </w:rPr>
        <w:tab/>
      </w:r>
      <w:r w:rsidRPr="00C173FE">
        <w:rPr>
          <w:color w:val="FF0000"/>
        </w:rPr>
        <w:t>(3)</w:t>
      </w:r>
      <w:r w:rsidRPr="00C173FE">
        <w:rPr>
          <w:color w:val="FF0000"/>
        </w:rPr>
        <w:tab/>
      </w:r>
      <w:r w:rsidR="00A01A25" w:rsidRPr="00C173FE">
        <w:rPr>
          <w:color w:val="FF0000"/>
        </w:rPr>
        <w:t>For an affected account</w:t>
      </w:r>
      <w:r w:rsidR="00C173FE" w:rsidRPr="00C173FE">
        <w:rPr>
          <w:color w:val="FF0000"/>
        </w:rPr>
        <w:t xml:space="preserve"> to which a disclosure option has at any time applied under the former joint account provisions</w:t>
      </w:r>
      <w:r w:rsidR="00A01A25" w:rsidRPr="00C173FE">
        <w:rPr>
          <w:color w:val="FF0000"/>
        </w:rPr>
        <w:t>:</w:t>
      </w:r>
    </w:p>
    <w:p w14:paraId="08B937FE" w14:textId="2D5BA471" w:rsidR="005D3DB0" w:rsidRPr="00C173FE" w:rsidRDefault="005D3DB0" w:rsidP="005D3DB0">
      <w:pPr>
        <w:pStyle w:val="paragraph"/>
        <w:rPr>
          <w:color w:val="FF0000"/>
        </w:rPr>
      </w:pPr>
      <w:r w:rsidRPr="00C173FE">
        <w:rPr>
          <w:color w:val="FF0000"/>
        </w:rPr>
        <w:tab/>
        <w:t>(a)</w:t>
      </w:r>
      <w:r w:rsidRPr="00C173FE">
        <w:rPr>
          <w:color w:val="FF0000"/>
        </w:rPr>
        <w:tab/>
        <w:t xml:space="preserve">if a disclosure option applied </w:t>
      </w:r>
      <w:r w:rsidR="004672DE" w:rsidRPr="00C173FE">
        <w:rPr>
          <w:color w:val="FF0000"/>
        </w:rPr>
        <w:t>immediately before the Part 4A day</w:t>
      </w:r>
      <w:r w:rsidRPr="00C173FE">
        <w:rPr>
          <w:color w:val="FF0000"/>
        </w:rPr>
        <w:t>—the equivalent disclosure option under the current Part 4A</w:t>
      </w:r>
      <w:r w:rsidR="00A01A25" w:rsidRPr="00C173FE">
        <w:rPr>
          <w:color w:val="FF0000"/>
        </w:rPr>
        <w:t xml:space="preserve"> applies to the </w:t>
      </w:r>
      <w:r w:rsidR="004672DE" w:rsidRPr="00C173FE">
        <w:rPr>
          <w:color w:val="FF0000"/>
        </w:rPr>
        <w:t>account on and after the Part 4A</w:t>
      </w:r>
      <w:r w:rsidR="001E0C5D">
        <w:rPr>
          <w:color w:val="FF0000"/>
        </w:rPr>
        <w:t xml:space="preserve"> day</w:t>
      </w:r>
      <w:r w:rsidRPr="00C173FE">
        <w:rPr>
          <w:color w:val="FF0000"/>
        </w:rPr>
        <w:t>;</w:t>
      </w:r>
      <w:r w:rsidR="00C173FE" w:rsidRPr="00C173FE">
        <w:rPr>
          <w:color w:val="FF0000"/>
        </w:rPr>
        <w:t xml:space="preserve"> and</w:t>
      </w:r>
    </w:p>
    <w:p w14:paraId="2E3E88A5" w14:textId="58FBA981" w:rsidR="004672DE" w:rsidRPr="00C173FE" w:rsidRDefault="005D3DB0" w:rsidP="004672DE">
      <w:pPr>
        <w:pStyle w:val="paragraph"/>
        <w:rPr>
          <w:color w:val="FF0000"/>
        </w:rPr>
      </w:pPr>
      <w:r w:rsidRPr="00C173FE">
        <w:rPr>
          <w:color w:val="FF0000"/>
        </w:rPr>
        <w:tab/>
        <w:t>(b)</w:t>
      </w:r>
      <w:r w:rsidRPr="00C173FE">
        <w:rPr>
          <w:color w:val="FF0000"/>
        </w:rPr>
        <w:tab/>
      </w:r>
      <w:r w:rsidR="004672DE" w:rsidRPr="00C173FE">
        <w:rPr>
          <w:color w:val="FF0000"/>
        </w:rPr>
        <w:t>if no disclosure option applied to the account immediately before the Part 4A day</w:t>
      </w:r>
      <w:r w:rsidR="00C173FE" w:rsidRPr="00C173FE">
        <w:rPr>
          <w:color w:val="FF0000"/>
        </w:rPr>
        <w:t>—</w:t>
      </w:r>
      <w:r w:rsidR="004672DE" w:rsidRPr="00C173FE">
        <w:rPr>
          <w:color w:val="FF0000"/>
        </w:rPr>
        <w:t>the non-disclosure option applies to the account on and after the Part 4A day</w:t>
      </w:r>
      <w:r w:rsidR="00C173FE" w:rsidRPr="00C173FE">
        <w:rPr>
          <w:color w:val="FF0000"/>
        </w:rPr>
        <w:t>.</w:t>
      </w:r>
    </w:p>
    <w:p w14:paraId="36709E39" w14:textId="027C394C" w:rsidR="004672DE" w:rsidRPr="00C173FE" w:rsidRDefault="00C173FE" w:rsidP="00C173FE">
      <w:pPr>
        <w:pStyle w:val="subsection"/>
        <w:rPr>
          <w:color w:val="FF0000"/>
        </w:rPr>
      </w:pPr>
      <w:r w:rsidRPr="00C173FE">
        <w:rPr>
          <w:color w:val="FF0000"/>
        </w:rPr>
        <w:tab/>
        <w:t>(4)</w:t>
      </w:r>
      <w:r w:rsidRPr="00C173FE">
        <w:rPr>
          <w:color w:val="FF0000"/>
        </w:rPr>
        <w:tab/>
        <w:t>For an unaffected account, or an affected account to which a disclosure option has never applied:</w:t>
      </w:r>
    </w:p>
    <w:p w14:paraId="5A42E910" w14:textId="5A7EE029" w:rsidR="004672DE" w:rsidRPr="00C173FE" w:rsidRDefault="00C173FE" w:rsidP="00C173FE">
      <w:pPr>
        <w:pStyle w:val="paragraph"/>
        <w:rPr>
          <w:color w:val="FF0000"/>
        </w:rPr>
      </w:pPr>
      <w:r w:rsidRPr="00C173FE">
        <w:rPr>
          <w:color w:val="FF0000"/>
        </w:rPr>
        <w:tab/>
        <w:t>(a)</w:t>
      </w:r>
      <w:r w:rsidRPr="00C173FE">
        <w:rPr>
          <w:color w:val="FF0000"/>
        </w:rPr>
        <w:tab/>
      </w:r>
      <w:r w:rsidR="004672DE" w:rsidRPr="00C173FE">
        <w:rPr>
          <w:color w:val="FF0000"/>
        </w:rPr>
        <w:t>the non-disclosure option applies to the account on and after the Part 4A day for 7 business days; and</w:t>
      </w:r>
    </w:p>
    <w:p w14:paraId="7AE52404" w14:textId="506A59F0" w:rsidR="00C173FE" w:rsidRPr="00C173FE" w:rsidRDefault="00C173FE" w:rsidP="00C173FE">
      <w:pPr>
        <w:pStyle w:val="paragraph"/>
        <w:rPr>
          <w:color w:val="FF0000"/>
        </w:rPr>
      </w:pPr>
      <w:r w:rsidRPr="00C173FE">
        <w:rPr>
          <w:color w:val="FF0000"/>
        </w:rPr>
        <w:tab/>
        <w:t>(b)</w:t>
      </w:r>
      <w:r w:rsidRPr="00C173FE">
        <w:rPr>
          <w:color w:val="FF0000"/>
        </w:rPr>
        <w:tab/>
      </w:r>
      <w:r w:rsidR="004672DE" w:rsidRPr="00C173FE">
        <w:rPr>
          <w:color w:val="FF0000"/>
        </w:rPr>
        <w:t>after the seventh business day, the pre-disclosure option applies to the account unless</w:t>
      </w:r>
      <w:r w:rsidRPr="00C173FE">
        <w:rPr>
          <w:color w:val="FF0000"/>
        </w:rPr>
        <w:t>, before that day:</w:t>
      </w:r>
    </w:p>
    <w:p w14:paraId="43A39F32" w14:textId="59FBAFB8" w:rsidR="00C173FE" w:rsidRPr="00C173FE" w:rsidRDefault="00C173FE" w:rsidP="00C173FE">
      <w:pPr>
        <w:pStyle w:val="paragraphsub"/>
        <w:rPr>
          <w:color w:val="FF0000"/>
        </w:rPr>
      </w:pPr>
      <w:r w:rsidRPr="00C173FE">
        <w:rPr>
          <w:color w:val="FF0000"/>
        </w:rPr>
        <w:tab/>
        <w:t>(i)</w:t>
      </w:r>
      <w:r w:rsidRPr="00C173FE">
        <w:rPr>
          <w:color w:val="FF0000"/>
        </w:rPr>
        <w:tab/>
        <w:t>an account holder applies the non-disclosure option to the account; or</w:t>
      </w:r>
    </w:p>
    <w:p w14:paraId="771F10CF" w14:textId="2791005C" w:rsidR="00C173FE" w:rsidRPr="00C173FE" w:rsidRDefault="00C173FE" w:rsidP="00C173FE">
      <w:pPr>
        <w:pStyle w:val="paragraphsub"/>
        <w:rPr>
          <w:color w:val="FF0000"/>
        </w:rPr>
      </w:pPr>
      <w:r w:rsidRPr="00C173FE">
        <w:rPr>
          <w:color w:val="FF0000"/>
        </w:rPr>
        <w:tab/>
        <w:t>(ii)</w:t>
      </w:r>
      <w:r w:rsidRPr="00C173FE">
        <w:rPr>
          <w:color w:val="FF0000"/>
        </w:rPr>
        <w:tab/>
        <w:t>an account holder proposes the co-disclosure option to apply to the account and the other account holders approve the disclosure option.</w:t>
      </w:r>
    </w:p>
    <w:p w14:paraId="0759A424" w14:textId="437A8A22" w:rsidR="006765B7" w:rsidRPr="00AC51A3" w:rsidRDefault="009C7376" w:rsidP="00B23D2C">
      <w:pPr>
        <w:pStyle w:val="subsection"/>
        <w:rPr>
          <w:color w:val="FF0000"/>
        </w:rPr>
      </w:pPr>
      <w:r>
        <w:rPr>
          <w:color w:val="FF0000"/>
        </w:rPr>
        <w:tab/>
        <w:t>(5</w:t>
      </w:r>
      <w:r w:rsidR="00B23D2C" w:rsidRPr="00AC51A3">
        <w:rPr>
          <w:color w:val="FF0000"/>
        </w:rPr>
        <w:t>)</w:t>
      </w:r>
      <w:r w:rsidR="00B23D2C" w:rsidRPr="00AC51A3">
        <w:rPr>
          <w:color w:val="FF0000"/>
        </w:rPr>
        <w:tab/>
      </w:r>
      <w:r w:rsidR="006765B7" w:rsidRPr="00AC51A3">
        <w:rPr>
          <w:color w:val="FF0000"/>
        </w:rPr>
        <w:t xml:space="preserve">The data holder must inform </w:t>
      </w:r>
      <w:r w:rsidR="00B23D2C" w:rsidRPr="00AC51A3">
        <w:rPr>
          <w:color w:val="FF0000"/>
        </w:rPr>
        <w:t xml:space="preserve">each </w:t>
      </w:r>
      <w:r w:rsidR="006765B7" w:rsidRPr="00AC51A3">
        <w:rPr>
          <w:color w:val="FF0000"/>
        </w:rPr>
        <w:t>joint account holders</w:t>
      </w:r>
      <w:r w:rsidR="00B40043" w:rsidRPr="00AC51A3">
        <w:rPr>
          <w:color w:val="FF0000"/>
        </w:rPr>
        <w:t xml:space="preserve"> of the following</w:t>
      </w:r>
      <w:r w:rsidR="006765B7" w:rsidRPr="00AC51A3">
        <w:rPr>
          <w:color w:val="FF0000"/>
        </w:rPr>
        <w:t>, through its ordinary means of contacting them:</w:t>
      </w:r>
    </w:p>
    <w:p w14:paraId="3CD33D26" w14:textId="6EF05E80" w:rsidR="00B23D2C" w:rsidRPr="00AC51A3" w:rsidRDefault="006765B7" w:rsidP="006765B7">
      <w:pPr>
        <w:pStyle w:val="paragraph"/>
        <w:rPr>
          <w:color w:val="FF0000"/>
        </w:rPr>
      </w:pPr>
      <w:r w:rsidRPr="00AC51A3">
        <w:rPr>
          <w:color w:val="FF0000"/>
        </w:rPr>
        <w:tab/>
        <w:t>(a)</w:t>
      </w:r>
      <w:r w:rsidRPr="00AC51A3">
        <w:rPr>
          <w:color w:val="FF0000"/>
        </w:rPr>
        <w:tab/>
        <w:t xml:space="preserve">that </w:t>
      </w:r>
      <w:r w:rsidR="001E0C5D">
        <w:rPr>
          <w:color w:val="FF0000"/>
        </w:rPr>
        <w:t xml:space="preserve">the current </w:t>
      </w:r>
      <w:r w:rsidR="00B23D2C" w:rsidRPr="00AC51A3">
        <w:rPr>
          <w:color w:val="FF0000"/>
        </w:rPr>
        <w:t xml:space="preserve">Part 4A now applies to the account; </w:t>
      </w:r>
    </w:p>
    <w:p w14:paraId="6BA9E120" w14:textId="2B2F5ECA" w:rsidR="00B23D2C" w:rsidRPr="00AC51A3" w:rsidRDefault="00B23D2C" w:rsidP="006765B7">
      <w:pPr>
        <w:pStyle w:val="paragraph"/>
        <w:rPr>
          <w:color w:val="FF0000"/>
        </w:rPr>
      </w:pPr>
      <w:r w:rsidRPr="00AC51A3">
        <w:rPr>
          <w:color w:val="FF0000"/>
        </w:rPr>
        <w:tab/>
        <w:t>(b)</w:t>
      </w:r>
      <w:r w:rsidRPr="00AC51A3">
        <w:rPr>
          <w:color w:val="FF0000"/>
        </w:rPr>
        <w:tab/>
      </w:r>
      <w:r w:rsidR="001E0C5D">
        <w:rPr>
          <w:color w:val="FF0000"/>
        </w:rPr>
        <w:t>that the data holder is providing the disclosure option management service, with instructions on how to access it;</w:t>
      </w:r>
      <w:r w:rsidRPr="00AC51A3">
        <w:rPr>
          <w:color w:val="FF0000"/>
        </w:rPr>
        <w:t xml:space="preserve"> </w:t>
      </w:r>
    </w:p>
    <w:p w14:paraId="0FA96C94" w14:textId="16E23C1B" w:rsidR="00B23D2C" w:rsidRPr="00AC51A3" w:rsidRDefault="00B23D2C" w:rsidP="006765B7">
      <w:pPr>
        <w:pStyle w:val="paragraph"/>
        <w:rPr>
          <w:color w:val="FF0000"/>
        </w:rPr>
      </w:pPr>
      <w:r w:rsidRPr="00AC51A3">
        <w:rPr>
          <w:color w:val="FF0000"/>
        </w:rPr>
        <w:tab/>
        <w:t>(c)</w:t>
      </w:r>
      <w:r w:rsidRPr="00AC51A3">
        <w:rPr>
          <w:color w:val="FF0000"/>
        </w:rPr>
        <w:tab/>
        <w:t xml:space="preserve">the matters mentioned in </w:t>
      </w:r>
      <w:r w:rsidR="00B40043" w:rsidRPr="00AC51A3">
        <w:rPr>
          <w:color w:val="FF0000"/>
        </w:rPr>
        <w:t>paragraphs 4.6A(1)(a), (b) and (c) to (f) of the</w:t>
      </w:r>
      <w:r w:rsidR="00AC51A3">
        <w:rPr>
          <w:color w:val="FF0000"/>
        </w:rPr>
        <w:t xml:space="preserve"> principal</w:t>
      </w:r>
      <w:r w:rsidR="00B40043" w:rsidRPr="00AC51A3">
        <w:rPr>
          <w:color w:val="FF0000"/>
        </w:rPr>
        <w:t xml:space="preserve"> rules (obligation to inform joint account holders);</w:t>
      </w:r>
    </w:p>
    <w:p w14:paraId="0F840F9E" w14:textId="5E8A9B1A" w:rsidR="00AC51A3" w:rsidRPr="00AC51A3" w:rsidRDefault="00B40043" w:rsidP="009C7376">
      <w:pPr>
        <w:pStyle w:val="paragraph"/>
        <w:rPr>
          <w:color w:val="FF0000"/>
        </w:rPr>
      </w:pPr>
      <w:r w:rsidRPr="00AC51A3">
        <w:rPr>
          <w:color w:val="FF0000"/>
        </w:rPr>
        <w:tab/>
        <w:t>(d)</w:t>
      </w:r>
      <w:r w:rsidRPr="00AC51A3">
        <w:rPr>
          <w:color w:val="FF0000"/>
        </w:rPr>
        <w:tab/>
        <w:t xml:space="preserve">of the disclosure option that currently applies to the account as a result </w:t>
      </w:r>
      <w:r w:rsidR="00AC51A3">
        <w:rPr>
          <w:color w:val="FF0000"/>
        </w:rPr>
        <w:t xml:space="preserve">of </w:t>
      </w:r>
      <w:r w:rsidRPr="00AC51A3">
        <w:rPr>
          <w:color w:val="FF0000"/>
        </w:rPr>
        <w:t>subitem (3)</w:t>
      </w:r>
      <w:r w:rsidR="009C7376">
        <w:rPr>
          <w:color w:val="FF0000"/>
        </w:rPr>
        <w:t xml:space="preserve"> or (4) and the effect of that </w:t>
      </w:r>
      <w:r w:rsidR="001E0C5D">
        <w:rPr>
          <w:color w:val="FF0000"/>
        </w:rPr>
        <w:t>subitem</w:t>
      </w:r>
      <w:r w:rsidR="009C7376">
        <w:rPr>
          <w:color w:val="FF0000"/>
        </w:rPr>
        <w:t>.</w:t>
      </w:r>
    </w:p>
    <w:p w14:paraId="4CFBA156" w14:textId="555A0272" w:rsidR="00083030" w:rsidRPr="006765B7" w:rsidRDefault="00083030" w:rsidP="006765B7">
      <w:pPr>
        <w:pStyle w:val="SubsectionHead"/>
        <w:rPr>
          <w:color w:val="FF0000"/>
        </w:rPr>
      </w:pPr>
      <w:r w:rsidRPr="006765B7">
        <w:rPr>
          <w:color w:val="FF0000"/>
        </w:rPr>
        <w:t>Definitions</w:t>
      </w:r>
    </w:p>
    <w:p w14:paraId="3D7F594A" w14:textId="136EB177" w:rsidR="005848BC" w:rsidRPr="005D3DB0" w:rsidRDefault="00083030" w:rsidP="00083030">
      <w:pPr>
        <w:pStyle w:val="subsection"/>
        <w:rPr>
          <w:color w:val="FF0000"/>
        </w:rPr>
      </w:pPr>
      <w:r w:rsidRPr="00083030">
        <w:rPr>
          <w:color w:val="92D050"/>
        </w:rPr>
        <w:tab/>
      </w:r>
      <w:r w:rsidR="00AC51A3" w:rsidRPr="005D3DB0">
        <w:rPr>
          <w:color w:val="FF0000"/>
        </w:rPr>
        <w:t>(</w:t>
      </w:r>
      <w:r w:rsidR="009C7376">
        <w:rPr>
          <w:color w:val="FF0000"/>
        </w:rPr>
        <w:t>6</w:t>
      </w:r>
      <w:r w:rsidRPr="005D3DB0">
        <w:rPr>
          <w:color w:val="FF0000"/>
        </w:rPr>
        <w:t>)</w:t>
      </w:r>
      <w:r w:rsidRPr="005D3DB0">
        <w:rPr>
          <w:color w:val="FF0000"/>
        </w:rPr>
        <w:tab/>
      </w:r>
      <w:r w:rsidR="005848BC" w:rsidRPr="005D3DB0">
        <w:rPr>
          <w:color w:val="FF0000"/>
        </w:rPr>
        <w:t>In this item:</w:t>
      </w:r>
    </w:p>
    <w:p w14:paraId="65D0F008" w14:textId="796F072E" w:rsidR="008B739B" w:rsidRPr="005D3DB0" w:rsidRDefault="005848BC" w:rsidP="002B76FA">
      <w:pPr>
        <w:pStyle w:val="Definition"/>
        <w:rPr>
          <w:color w:val="FF0000"/>
        </w:rPr>
      </w:pPr>
      <w:r w:rsidRPr="005D3DB0">
        <w:rPr>
          <w:b/>
          <w:bCs/>
          <w:i/>
          <w:color w:val="FF0000"/>
        </w:rPr>
        <w:t>amendment date</w:t>
      </w:r>
      <w:r w:rsidRPr="005D3DB0">
        <w:rPr>
          <w:b/>
          <w:bCs/>
          <w:color w:val="FF0000"/>
        </w:rPr>
        <w:t> </w:t>
      </w:r>
      <w:r w:rsidRPr="005D3DB0">
        <w:rPr>
          <w:color w:val="FF0000"/>
        </w:rPr>
        <w:t xml:space="preserve">means the day Schedule 1 to </w:t>
      </w:r>
      <w:r w:rsidR="008B739B" w:rsidRPr="005D3DB0">
        <w:rPr>
          <w:color w:val="FF0000"/>
        </w:rPr>
        <w:t xml:space="preserve">these rules </w:t>
      </w:r>
      <w:r w:rsidRPr="005D3DB0">
        <w:rPr>
          <w:color w:val="FF0000"/>
        </w:rPr>
        <w:t>commenced.</w:t>
      </w:r>
    </w:p>
    <w:p w14:paraId="36739C9A" w14:textId="5C533ADF" w:rsidR="005848BC" w:rsidRPr="005D3DB0" w:rsidRDefault="005848BC" w:rsidP="002B76FA">
      <w:pPr>
        <w:pStyle w:val="Definition"/>
        <w:rPr>
          <w:color w:val="FF0000"/>
        </w:rPr>
      </w:pPr>
      <w:r w:rsidRPr="005D3DB0">
        <w:rPr>
          <w:b/>
          <w:bCs/>
          <w:i/>
          <w:iCs/>
          <w:color w:val="FF0000"/>
        </w:rPr>
        <w:t>current Part 4</w:t>
      </w:r>
      <w:r w:rsidR="00474C2B" w:rsidRPr="005D3DB0">
        <w:rPr>
          <w:b/>
          <w:bCs/>
          <w:i/>
          <w:iCs/>
          <w:color w:val="FF0000"/>
        </w:rPr>
        <w:t>A</w:t>
      </w:r>
      <w:r w:rsidRPr="005D3DB0">
        <w:rPr>
          <w:color w:val="FF0000"/>
        </w:rPr>
        <w:t> means Part 4</w:t>
      </w:r>
      <w:r w:rsidR="00474C2B" w:rsidRPr="005D3DB0">
        <w:rPr>
          <w:color w:val="FF0000"/>
        </w:rPr>
        <w:t>A</w:t>
      </w:r>
      <w:r w:rsidRPr="005D3DB0">
        <w:rPr>
          <w:color w:val="FF0000"/>
        </w:rPr>
        <w:t xml:space="preserve"> </w:t>
      </w:r>
      <w:r w:rsidR="00474C2B" w:rsidRPr="005D3DB0">
        <w:rPr>
          <w:color w:val="FF0000"/>
        </w:rPr>
        <w:t>of</w:t>
      </w:r>
      <w:r w:rsidRPr="005D3DB0">
        <w:rPr>
          <w:color w:val="FF0000"/>
        </w:rPr>
        <w:t xml:space="preserve"> the </w:t>
      </w:r>
      <w:r w:rsidR="00AC51A3" w:rsidRPr="005D3DB0">
        <w:rPr>
          <w:color w:val="FF0000"/>
        </w:rPr>
        <w:t xml:space="preserve">principal </w:t>
      </w:r>
      <w:r w:rsidRPr="005D3DB0">
        <w:rPr>
          <w:color w:val="FF0000"/>
        </w:rPr>
        <w:t>rules as in force on and from the amendment date.</w:t>
      </w:r>
    </w:p>
    <w:p w14:paraId="742301B7" w14:textId="77777777" w:rsidR="008B739B" w:rsidRPr="005D3DB0" w:rsidRDefault="008B739B" w:rsidP="008B739B">
      <w:pPr>
        <w:pStyle w:val="Definition"/>
        <w:rPr>
          <w:color w:val="FF0000"/>
        </w:rPr>
      </w:pPr>
      <w:r w:rsidRPr="005D3DB0">
        <w:rPr>
          <w:b/>
          <w:i/>
          <w:color w:val="FF0000"/>
        </w:rPr>
        <w:t xml:space="preserve">earlier amendment rules </w:t>
      </w:r>
      <w:r w:rsidRPr="005D3DB0">
        <w:rPr>
          <w:color w:val="FF0000"/>
        </w:rPr>
        <w:t xml:space="preserve"> means the </w:t>
      </w:r>
      <w:r w:rsidRPr="005D3DB0">
        <w:rPr>
          <w:i/>
          <w:iCs/>
          <w:color w:val="FF0000"/>
        </w:rPr>
        <w:t>Competition and Consumer (Consumer Data Right) Amendment Rules (No. 3) 2020</w:t>
      </w:r>
      <w:r w:rsidRPr="005D3DB0">
        <w:rPr>
          <w:color w:val="FF0000"/>
        </w:rPr>
        <w:t>.</w:t>
      </w:r>
    </w:p>
    <w:p w14:paraId="4DCACF52" w14:textId="26CFE096" w:rsidR="00AC1909" w:rsidRPr="005D3DB0" w:rsidRDefault="005848BC" w:rsidP="002B76FA">
      <w:pPr>
        <w:pStyle w:val="Definition"/>
        <w:rPr>
          <w:color w:val="FF0000"/>
        </w:rPr>
      </w:pPr>
      <w:r w:rsidRPr="005D3DB0">
        <w:rPr>
          <w:b/>
          <w:bCs/>
          <w:i/>
          <w:iCs/>
          <w:color w:val="FF0000"/>
        </w:rPr>
        <w:t xml:space="preserve">former </w:t>
      </w:r>
      <w:r w:rsidR="00A01A25">
        <w:rPr>
          <w:b/>
          <w:bCs/>
          <w:i/>
          <w:iCs/>
          <w:color w:val="FF0000"/>
        </w:rPr>
        <w:t>joint account provisions</w:t>
      </w:r>
      <w:r w:rsidRPr="005D3DB0">
        <w:rPr>
          <w:color w:val="FF0000"/>
        </w:rPr>
        <w:t xml:space="preserve"> means Part 4 of Schedule 3 to the </w:t>
      </w:r>
      <w:r w:rsidR="00AC51A3" w:rsidRPr="005D3DB0">
        <w:rPr>
          <w:color w:val="FF0000"/>
        </w:rPr>
        <w:t xml:space="preserve">principal  </w:t>
      </w:r>
      <w:r w:rsidRPr="005D3DB0">
        <w:rPr>
          <w:color w:val="FF0000"/>
        </w:rPr>
        <w:t xml:space="preserve">rules as in force immediately before the </w:t>
      </w:r>
      <w:r w:rsidR="00AC1909" w:rsidRPr="005D3DB0">
        <w:rPr>
          <w:color w:val="FF0000"/>
        </w:rPr>
        <w:t xml:space="preserve">commencement of Schedule 1 to the </w:t>
      </w:r>
      <w:r w:rsidR="008B739B" w:rsidRPr="005D3DB0">
        <w:rPr>
          <w:iCs/>
          <w:color w:val="FF0000"/>
        </w:rPr>
        <w:t>earlier amendment rules</w:t>
      </w:r>
      <w:r w:rsidR="00AC1909" w:rsidRPr="005D3DB0">
        <w:rPr>
          <w:color w:val="FF0000"/>
        </w:rPr>
        <w:t>.</w:t>
      </w:r>
    </w:p>
    <w:p w14:paraId="3E59094D" w14:textId="6FEDA03D" w:rsidR="005848BC" w:rsidRPr="00A84CCE" w:rsidRDefault="00AC51A3" w:rsidP="00A84CCE">
      <w:pPr>
        <w:pStyle w:val="Definition"/>
        <w:rPr>
          <w:color w:val="FF0000"/>
        </w:rPr>
      </w:pPr>
      <w:r w:rsidRPr="005D3DB0">
        <w:rPr>
          <w:b/>
          <w:bCs/>
          <w:i/>
          <w:color w:val="FF0000"/>
        </w:rPr>
        <w:t xml:space="preserve">principal </w:t>
      </w:r>
      <w:r w:rsidR="005848BC" w:rsidRPr="005D3DB0">
        <w:rPr>
          <w:b/>
          <w:bCs/>
          <w:i/>
          <w:color w:val="FF0000"/>
        </w:rPr>
        <w:t>rules</w:t>
      </w:r>
      <w:r w:rsidR="005848BC" w:rsidRPr="005D3DB0">
        <w:rPr>
          <w:color w:val="FF0000"/>
        </w:rPr>
        <w:t> means the </w:t>
      </w:r>
      <w:r w:rsidR="005848BC" w:rsidRPr="005D3DB0">
        <w:rPr>
          <w:i/>
          <w:color w:val="FF0000"/>
        </w:rPr>
        <w:t>Competition and Consumer (Consumer Data Right) Rules 2020</w:t>
      </w:r>
      <w:r w:rsidR="00A84CCE">
        <w:rPr>
          <w:color w:val="FF0000"/>
        </w:rPr>
        <w:t>.</w:t>
      </w:r>
    </w:p>
    <w:sectPr w:rsidR="005848BC" w:rsidRPr="00A84CCE" w:rsidSect="00122D63">
      <w:headerReference w:type="even" r:id="rId25"/>
      <w:headerReference w:type="default" r:id="rId26"/>
      <w:footerReference w:type="even" r:id="rId27"/>
      <w:headerReference w:type="first" r:id="rId28"/>
      <w:footerReference w:type="first" r:id="rId29"/>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F58BB" w14:textId="77777777" w:rsidR="00EF28B0" w:rsidRDefault="00EF28B0" w:rsidP="00715914">
      <w:pPr>
        <w:spacing w:line="240" w:lineRule="auto"/>
      </w:pPr>
      <w:r>
        <w:separator/>
      </w:r>
    </w:p>
  </w:endnote>
  <w:endnote w:type="continuationSeparator" w:id="0">
    <w:p w14:paraId="0751A302" w14:textId="77777777" w:rsidR="00EF28B0" w:rsidRDefault="00EF28B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2715" w14:textId="77777777" w:rsidR="00492D1F" w:rsidRPr="002B0EA5" w:rsidRDefault="00492D1F"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92D1F" w14:paraId="63E65265" w14:textId="77777777" w:rsidTr="003507D2">
      <w:tc>
        <w:tcPr>
          <w:tcW w:w="365" w:type="pct"/>
        </w:tcPr>
        <w:p w14:paraId="431A3149" w14:textId="77777777" w:rsidR="00492D1F" w:rsidRDefault="00492D1F"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xlviii</w:t>
          </w:r>
          <w:r w:rsidRPr="00ED79B6">
            <w:rPr>
              <w:i/>
              <w:sz w:val="18"/>
            </w:rPr>
            <w:fldChar w:fldCharType="end"/>
          </w:r>
        </w:p>
      </w:tc>
      <w:tc>
        <w:tcPr>
          <w:tcW w:w="3688" w:type="pct"/>
        </w:tcPr>
        <w:p w14:paraId="5EE1A37F" w14:textId="4A9C0D37" w:rsidR="00492D1F" w:rsidRDefault="00492D1F"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84D48">
            <w:rPr>
              <w:i/>
              <w:noProof/>
              <w:sz w:val="18"/>
            </w:rPr>
            <w:t>Competition and Consumer (Consumer Data Right) Rules 2020 with proposed amendments</w:t>
          </w:r>
          <w:r w:rsidRPr="004E1307">
            <w:rPr>
              <w:i/>
              <w:sz w:val="18"/>
            </w:rPr>
            <w:fldChar w:fldCharType="end"/>
          </w:r>
        </w:p>
      </w:tc>
      <w:tc>
        <w:tcPr>
          <w:tcW w:w="947" w:type="pct"/>
        </w:tcPr>
        <w:p w14:paraId="114A2125" w14:textId="77777777" w:rsidR="00492D1F" w:rsidRDefault="00492D1F" w:rsidP="003507D2">
          <w:pPr>
            <w:spacing w:line="0" w:lineRule="atLeast"/>
            <w:jc w:val="right"/>
            <w:rPr>
              <w:sz w:val="18"/>
            </w:rPr>
          </w:pPr>
        </w:p>
      </w:tc>
    </w:tr>
    <w:tr w:rsidR="00492D1F" w14:paraId="45AF2E96" w14:textId="77777777" w:rsidTr="003507D2">
      <w:tc>
        <w:tcPr>
          <w:tcW w:w="5000" w:type="pct"/>
          <w:gridSpan w:val="3"/>
        </w:tcPr>
        <w:p w14:paraId="15F3D140" w14:textId="77777777" w:rsidR="00492D1F" w:rsidRDefault="00492D1F" w:rsidP="003507D2">
          <w:pPr>
            <w:jc w:val="right"/>
            <w:rPr>
              <w:sz w:val="18"/>
            </w:rPr>
          </w:pPr>
        </w:p>
      </w:tc>
    </w:tr>
  </w:tbl>
  <w:p w14:paraId="6C9AFC04" w14:textId="77777777" w:rsidR="00492D1F" w:rsidRPr="00ED79B6" w:rsidRDefault="00492D1F" w:rsidP="003507D2">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301CA" w14:textId="77777777" w:rsidR="00492D1F" w:rsidRPr="00E33C1C" w:rsidRDefault="00492D1F" w:rsidP="00BA29D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492D1F" w14:paraId="3014EE52" w14:textId="77777777" w:rsidTr="00250B4B">
      <w:tc>
        <w:tcPr>
          <w:tcW w:w="947" w:type="pct"/>
          <w:tcBorders>
            <w:top w:val="nil"/>
            <w:left w:val="nil"/>
            <w:bottom w:val="nil"/>
            <w:right w:val="nil"/>
          </w:tcBorders>
        </w:tcPr>
        <w:p w14:paraId="0E78872A" w14:textId="77777777" w:rsidR="00492D1F" w:rsidRDefault="00492D1F" w:rsidP="00BA29D6">
          <w:pPr>
            <w:spacing w:line="0" w:lineRule="atLeast"/>
            <w:rPr>
              <w:sz w:val="18"/>
            </w:rPr>
          </w:pPr>
        </w:p>
      </w:tc>
      <w:tc>
        <w:tcPr>
          <w:tcW w:w="3688" w:type="pct"/>
          <w:tcBorders>
            <w:top w:val="nil"/>
            <w:left w:val="nil"/>
            <w:bottom w:val="nil"/>
            <w:right w:val="nil"/>
          </w:tcBorders>
        </w:tcPr>
        <w:p w14:paraId="40E6157F" w14:textId="64F076EA" w:rsidR="00492D1F" w:rsidRPr="00B20990" w:rsidRDefault="00492D1F" w:rsidP="00BA29D6">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71038">
            <w:rPr>
              <w:i/>
              <w:noProof/>
              <w:sz w:val="18"/>
            </w:rPr>
            <w:t>Competition and Consumer (Consumer Data Right) Rules 2020 with proposed amendments</w:t>
          </w:r>
          <w:r w:rsidRPr="00B20990">
            <w:rPr>
              <w:i/>
              <w:sz w:val="18"/>
            </w:rPr>
            <w:fldChar w:fldCharType="end"/>
          </w:r>
        </w:p>
      </w:tc>
      <w:tc>
        <w:tcPr>
          <w:tcW w:w="365" w:type="pct"/>
          <w:tcBorders>
            <w:top w:val="nil"/>
            <w:left w:val="nil"/>
            <w:bottom w:val="nil"/>
            <w:right w:val="nil"/>
          </w:tcBorders>
        </w:tcPr>
        <w:p w14:paraId="55D38EAA" w14:textId="77777777" w:rsidR="00492D1F" w:rsidRDefault="00492D1F" w:rsidP="00BA29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9451B">
            <w:rPr>
              <w:i/>
              <w:noProof/>
              <w:sz w:val="18"/>
            </w:rPr>
            <w:t>168</w:t>
          </w:r>
          <w:r w:rsidRPr="00ED79B6">
            <w:rPr>
              <w:i/>
              <w:sz w:val="18"/>
            </w:rPr>
            <w:fldChar w:fldCharType="end"/>
          </w:r>
        </w:p>
      </w:tc>
    </w:tr>
    <w:tr w:rsidR="00BC78CF" w:rsidRPr="00BC78CF" w14:paraId="7030FA1D" w14:textId="77777777" w:rsidTr="00250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E077C1C" w14:textId="55034065" w:rsidR="00492D1F" w:rsidRPr="00BC78CF" w:rsidRDefault="00EA4F44" w:rsidP="00EA4F44">
          <w:pPr>
            <w:jc w:val="center"/>
            <w:rPr>
              <w:sz w:val="28"/>
              <w:szCs w:val="28"/>
            </w:rPr>
          </w:pPr>
          <w:r w:rsidRPr="00BC78CF">
            <w:rPr>
              <w:sz w:val="28"/>
              <w:szCs w:val="28"/>
            </w:rPr>
            <w:t>CDR Amendments mark-up—</w:t>
          </w:r>
          <w:r w:rsidR="003B3C35">
            <w:rPr>
              <w:sz w:val="28"/>
              <w:szCs w:val="28"/>
            </w:rPr>
            <w:t>Exposure</w:t>
          </w:r>
          <w:r w:rsidRPr="00BC78CF">
            <w:rPr>
              <w:sz w:val="28"/>
              <w:szCs w:val="28"/>
            </w:rPr>
            <w:t xml:space="preserve"> draf</w:t>
          </w:r>
          <w:r w:rsidR="00AC78BF">
            <w:rPr>
              <w:sz w:val="28"/>
              <w:szCs w:val="28"/>
            </w:rPr>
            <w:t>t</w:t>
          </w:r>
        </w:p>
      </w:tc>
    </w:tr>
  </w:tbl>
  <w:p w14:paraId="449893EE" w14:textId="77777777" w:rsidR="00492D1F" w:rsidRPr="00DA7A82" w:rsidRDefault="00492D1F" w:rsidP="00BA2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13167" w14:textId="77777777" w:rsidR="00D07413" w:rsidRDefault="00D074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C1CA9" w14:textId="77777777" w:rsidR="00492D1F" w:rsidRPr="002B0EA5" w:rsidRDefault="00492D1F"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92D1F" w14:paraId="296A7085" w14:textId="77777777" w:rsidTr="003507D2">
      <w:tc>
        <w:tcPr>
          <w:tcW w:w="365" w:type="pct"/>
        </w:tcPr>
        <w:p w14:paraId="04846D78" w14:textId="77777777" w:rsidR="00492D1F" w:rsidRDefault="00492D1F"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6768418C" w14:textId="1C45DEE9" w:rsidR="00492D1F" w:rsidRDefault="00492D1F"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84D48">
            <w:rPr>
              <w:i/>
              <w:noProof/>
              <w:sz w:val="18"/>
            </w:rPr>
            <w:t>Competition and Consumer (Consumer Data Right) Rules 2020 with proposed amendments</w:t>
          </w:r>
          <w:r w:rsidRPr="004E1307">
            <w:rPr>
              <w:i/>
              <w:sz w:val="18"/>
            </w:rPr>
            <w:fldChar w:fldCharType="end"/>
          </w:r>
        </w:p>
      </w:tc>
      <w:tc>
        <w:tcPr>
          <w:tcW w:w="947" w:type="pct"/>
        </w:tcPr>
        <w:p w14:paraId="25A79777" w14:textId="77777777" w:rsidR="00492D1F" w:rsidRDefault="00492D1F" w:rsidP="003507D2">
          <w:pPr>
            <w:spacing w:line="0" w:lineRule="atLeast"/>
            <w:jc w:val="right"/>
            <w:rPr>
              <w:sz w:val="18"/>
            </w:rPr>
          </w:pPr>
        </w:p>
      </w:tc>
    </w:tr>
    <w:tr w:rsidR="00492D1F" w14:paraId="7C0D324A" w14:textId="77777777" w:rsidTr="003507D2">
      <w:tc>
        <w:tcPr>
          <w:tcW w:w="5000" w:type="pct"/>
          <w:gridSpan w:val="3"/>
        </w:tcPr>
        <w:p w14:paraId="736B724F" w14:textId="77777777" w:rsidR="00492D1F" w:rsidRDefault="00492D1F" w:rsidP="003507D2">
          <w:pPr>
            <w:jc w:val="right"/>
            <w:rPr>
              <w:sz w:val="18"/>
            </w:rPr>
          </w:pPr>
        </w:p>
      </w:tc>
    </w:tr>
  </w:tbl>
  <w:p w14:paraId="214F28D0" w14:textId="77777777" w:rsidR="00492D1F" w:rsidRPr="00ED79B6" w:rsidRDefault="00492D1F" w:rsidP="003507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63007" w14:textId="77777777" w:rsidR="00492D1F" w:rsidRPr="002B0EA5" w:rsidRDefault="00492D1F"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92D1F" w14:paraId="5F33C386" w14:textId="77777777" w:rsidTr="003507D2">
      <w:tc>
        <w:tcPr>
          <w:tcW w:w="365" w:type="pct"/>
        </w:tcPr>
        <w:p w14:paraId="469D84FD" w14:textId="77777777" w:rsidR="00492D1F" w:rsidRDefault="00492D1F"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2403AEE9" w14:textId="7AE2F945" w:rsidR="00492D1F" w:rsidRDefault="00492D1F"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84D48">
            <w:rPr>
              <w:i/>
              <w:noProof/>
              <w:sz w:val="18"/>
            </w:rPr>
            <w:t>Competition and Consumer (Consumer Data Right) Rules 2020 with proposed amendments</w:t>
          </w:r>
          <w:r w:rsidRPr="004E1307">
            <w:rPr>
              <w:i/>
              <w:sz w:val="18"/>
            </w:rPr>
            <w:fldChar w:fldCharType="end"/>
          </w:r>
        </w:p>
      </w:tc>
      <w:tc>
        <w:tcPr>
          <w:tcW w:w="947" w:type="pct"/>
        </w:tcPr>
        <w:p w14:paraId="3C59E1AF" w14:textId="77777777" w:rsidR="00492D1F" w:rsidRDefault="00492D1F" w:rsidP="003507D2">
          <w:pPr>
            <w:spacing w:line="0" w:lineRule="atLeast"/>
            <w:jc w:val="right"/>
            <w:rPr>
              <w:sz w:val="18"/>
            </w:rPr>
          </w:pPr>
        </w:p>
      </w:tc>
    </w:tr>
    <w:tr w:rsidR="00492D1F" w14:paraId="50284CE8" w14:textId="77777777" w:rsidTr="003507D2">
      <w:tc>
        <w:tcPr>
          <w:tcW w:w="5000" w:type="pct"/>
          <w:gridSpan w:val="3"/>
        </w:tcPr>
        <w:p w14:paraId="5FE0DA6C" w14:textId="77777777" w:rsidR="00492D1F" w:rsidRDefault="00492D1F" w:rsidP="003507D2">
          <w:pPr>
            <w:jc w:val="right"/>
            <w:rPr>
              <w:sz w:val="18"/>
            </w:rPr>
          </w:pPr>
        </w:p>
      </w:tc>
    </w:tr>
  </w:tbl>
  <w:p w14:paraId="351B3ACC" w14:textId="77777777" w:rsidR="00492D1F" w:rsidRPr="00ED79B6" w:rsidRDefault="00492D1F" w:rsidP="003507D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EF5B6" w14:textId="77777777" w:rsidR="00492D1F" w:rsidRPr="002B0EA5" w:rsidRDefault="00492D1F"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92D1F" w14:paraId="34F7AC9F" w14:textId="77777777" w:rsidTr="003507D2">
      <w:tc>
        <w:tcPr>
          <w:tcW w:w="365" w:type="pct"/>
        </w:tcPr>
        <w:p w14:paraId="07C51CCE" w14:textId="77777777" w:rsidR="00492D1F" w:rsidRDefault="00492D1F"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2FEEB6D2" w14:textId="3D051625" w:rsidR="00492D1F" w:rsidRDefault="00492D1F"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84D48">
            <w:rPr>
              <w:i/>
              <w:noProof/>
              <w:sz w:val="18"/>
            </w:rPr>
            <w:t>Competition and Consumer (Consumer Data Right) Rules 2020 with proposed amendments</w:t>
          </w:r>
          <w:r w:rsidRPr="004E1307">
            <w:rPr>
              <w:i/>
              <w:sz w:val="18"/>
            </w:rPr>
            <w:fldChar w:fldCharType="end"/>
          </w:r>
        </w:p>
      </w:tc>
      <w:tc>
        <w:tcPr>
          <w:tcW w:w="947" w:type="pct"/>
        </w:tcPr>
        <w:p w14:paraId="73E861AA" w14:textId="77777777" w:rsidR="00492D1F" w:rsidRDefault="00492D1F" w:rsidP="003507D2">
          <w:pPr>
            <w:spacing w:line="0" w:lineRule="atLeast"/>
            <w:jc w:val="right"/>
            <w:rPr>
              <w:sz w:val="18"/>
            </w:rPr>
          </w:pPr>
        </w:p>
      </w:tc>
    </w:tr>
    <w:tr w:rsidR="00492D1F" w14:paraId="2BFE9CFC" w14:textId="77777777" w:rsidTr="003507D2">
      <w:tc>
        <w:tcPr>
          <w:tcW w:w="5000" w:type="pct"/>
          <w:gridSpan w:val="3"/>
        </w:tcPr>
        <w:p w14:paraId="1CA61EF7" w14:textId="77777777" w:rsidR="00492D1F" w:rsidRDefault="00492D1F" w:rsidP="003507D2">
          <w:pPr>
            <w:jc w:val="right"/>
            <w:rPr>
              <w:sz w:val="18"/>
            </w:rPr>
          </w:pPr>
        </w:p>
      </w:tc>
    </w:tr>
  </w:tbl>
  <w:p w14:paraId="61D92C50" w14:textId="77777777" w:rsidR="00492D1F" w:rsidRPr="00ED79B6" w:rsidRDefault="00492D1F" w:rsidP="003507D2">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A2CE9" w14:textId="77777777" w:rsidR="00492D1F" w:rsidRDefault="00492D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E94CE" w14:textId="77777777" w:rsidR="00492D1F" w:rsidRDefault="00492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3BB5A" w14:textId="77777777" w:rsidR="00EF28B0" w:rsidRDefault="00EF28B0" w:rsidP="00715914">
      <w:pPr>
        <w:spacing w:line="240" w:lineRule="auto"/>
      </w:pPr>
      <w:r>
        <w:separator/>
      </w:r>
    </w:p>
  </w:footnote>
  <w:footnote w:type="continuationSeparator" w:id="0">
    <w:p w14:paraId="2A7E2D3B" w14:textId="77777777" w:rsidR="00EF28B0" w:rsidRDefault="00EF28B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15A4" w14:textId="77777777" w:rsidR="00492D1F" w:rsidRPr="00ED79B6" w:rsidRDefault="00492D1F" w:rsidP="003507D2">
    <w:pPr>
      <w:pBdr>
        <w:bottom w:val="single" w:sz="6" w:space="1" w:color="auto"/>
      </w:pBdr>
      <w:spacing w:before="100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2DB1C" w14:textId="77777777" w:rsidR="00492D1F" w:rsidRPr="007A1328" w:rsidRDefault="00492D1F" w:rsidP="00715914">
    <w:pPr>
      <w:jc w:val="right"/>
      <w:rPr>
        <w:sz w:val="20"/>
      </w:rPr>
    </w:pPr>
  </w:p>
  <w:p w14:paraId="7C2CA3B3" w14:textId="77777777" w:rsidR="00492D1F" w:rsidRPr="007A1328" w:rsidRDefault="00492D1F" w:rsidP="00715914">
    <w:pPr>
      <w:jc w:val="right"/>
      <w:rPr>
        <w:sz w:val="20"/>
      </w:rPr>
    </w:pPr>
  </w:p>
  <w:p w14:paraId="579104C2" w14:textId="77777777" w:rsidR="00492D1F" w:rsidRPr="007A1328" w:rsidRDefault="00492D1F" w:rsidP="00715914">
    <w:pPr>
      <w:jc w:val="right"/>
      <w:rPr>
        <w:sz w:val="20"/>
      </w:rPr>
    </w:pPr>
  </w:p>
  <w:p w14:paraId="717074B2" w14:textId="77777777" w:rsidR="00492D1F" w:rsidRPr="007A1328" w:rsidRDefault="00492D1F" w:rsidP="00715914">
    <w:pPr>
      <w:jc w:val="right"/>
      <w:rPr>
        <w:b/>
        <w:sz w:val="24"/>
      </w:rPr>
    </w:pPr>
  </w:p>
  <w:p w14:paraId="0239B1ED" w14:textId="77777777" w:rsidR="00492D1F" w:rsidRPr="007A1328" w:rsidRDefault="00492D1F" w:rsidP="00D6537E">
    <w:pPr>
      <w:pBdr>
        <w:bottom w:val="single" w:sz="6" w:space="1" w:color="auto"/>
      </w:pBdr>
      <w:spacing w:after="120"/>
      <w:jc w:val="right"/>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9ABD" w14:textId="77777777" w:rsidR="00492D1F" w:rsidRPr="007A1328" w:rsidRDefault="00492D1F" w:rsidP="00715914">
    <w:pPr>
      <w:jc w:val="right"/>
      <w:rPr>
        <w:sz w:val="20"/>
      </w:rPr>
    </w:pPr>
  </w:p>
  <w:p w14:paraId="54D83FC4" w14:textId="77777777" w:rsidR="00492D1F" w:rsidRPr="007A1328" w:rsidRDefault="00492D1F" w:rsidP="00715914">
    <w:pPr>
      <w:jc w:val="right"/>
      <w:rPr>
        <w:sz w:val="20"/>
      </w:rPr>
    </w:pPr>
  </w:p>
  <w:p w14:paraId="07132CD4" w14:textId="77777777" w:rsidR="00492D1F" w:rsidRPr="007A1328" w:rsidRDefault="00492D1F" w:rsidP="00715914">
    <w:pPr>
      <w:jc w:val="right"/>
      <w:rPr>
        <w:sz w:val="20"/>
      </w:rPr>
    </w:pPr>
  </w:p>
  <w:p w14:paraId="205B5805" w14:textId="77777777" w:rsidR="00492D1F" w:rsidRPr="007A1328" w:rsidRDefault="00492D1F" w:rsidP="00D6537E">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45A0" w14:textId="77777777" w:rsidR="00492D1F" w:rsidRDefault="00492D1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18B45" w14:textId="77777777" w:rsidR="00492D1F" w:rsidRPr="007A1328" w:rsidRDefault="00492D1F" w:rsidP="00715914">
    <w:pPr>
      <w:jc w:val="right"/>
      <w:rPr>
        <w:sz w:val="20"/>
      </w:rPr>
    </w:pPr>
  </w:p>
  <w:p w14:paraId="5BD8AD0F" w14:textId="77777777" w:rsidR="00492D1F" w:rsidRPr="007A1328" w:rsidRDefault="00492D1F" w:rsidP="00715914">
    <w:pPr>
      <w:jc w:val="right"/>
      <w:rPr>
        <w:sz w:val="20"/>
      </w:rPr>
    </w:pPr>
  </w:p>
  <w:p w14:paraId="2273EDDF" w14:textId="77777777" w:rsidR="00492D1F" w:rsidRPr="007A1328" w:rsidRDefault="00492D1F" w:rsidP="00715914">
    <w:pPr>
      <w:jc w:val="right"/>
      <w:rPr>
        <w:sz w:val="20"/>
      </w:rPr>
    </w:pPr>
  </w:p>
  <w:p w14:paraId="49BA036D" w14:textId="77777777" w:rsidR="00492D1F" w:rsidRPr="007A1328" w:rsidRDefault="00492D1F" w:rsidP="00D6537E">
    <w:pPr>
      <w:pBdr>
        <w:bottom w:val="single" w:sz="6" w:space="1" w:color="auto"/>
      </w:pBdr>
      <w:spacing w:after="120"/>
      <w:jc w:val="right"/>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E483" w14:textId="77777777" w:rsidR="00492D1F" w:rsidRDefault="00492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0BDBB" w14:textId="77777777" w:rsidR="00492D1F" w:rsidRPr="00ED79B6" w:rsidRDefault="00492D1F" w:rsidP="003507D2">
    <w:pPr>
      <w:pBdr>
        <w:bottom w:val="single" w:sz="6"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26992" w14:textId="77777777" w:rsidR="00492D1F" w:rsidRPr="00ED79B6" w:rsidRDefault="00492D1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5AB82" w14:textId="77777777" w:rsidR="00492D1F" w:rsidRDefault="00492D1F" w:rsidP="00715914">
    <w:pPr>
      <w:rPr>
        <w:sz w:val="20"/>
      </w:rPr>
    </w:pPr>
  </w:p>
  <w:p w14:paraId="5E4156C4" w14:textId="77777777" w:rsidR="00492D1F" w:rsidRDefault="00492D1F" w:rsidP="00715914">
    <w:pPr>
      <w:rPr>
        <w:sz w:val="20"/>
      </w:rPr>
    </w:pPr>
  </w:p>
  <w:p w14:paraId="0BAA946B" w14:textId="77777777" w:rsidR="00492D1F" w:rsidRPr="007A1328" w:rsidRDefault="00492D1F" w:rsidP="00715914">
    <w:pPr>
      <w:rPr>
        <w:sz w:val="20"/>
      </w:rPr>
    </w:pPr>
  </w:p>
  <w:p w14:paraId="2A0C7FF9" w14:textId="77777777" w:rsidR="00492D1F" w:rsidRPr="007A1328" w:rsidRDefault="00492D1F" w:rsidP="00715914">
    <w:pPr>
      <w:rPr>
        <w:b/>
        <w:sz w:val="24"/>
      </w:rPr>
    </w:pPr>
  </w:p>
  <w:p w14:paraId="3C9648A7" w14:textId="77777777" w:rsidR="00492D1F" w:rsidRPr="007A1328" w:rsidRDefault="00492D1F" w:rsidP="00D6537E">
    <w:pPr>
      <w:pBdr>
        <w:bottom w:val="single" w:sz="6" w:space="1" w:color="auto"/>
      </w:pBdr>
      <w:spacing w:after="12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01B4C" w14:textId="77777777" w:rsidR="00492D1F" w:rsidRDefault="00492D1F" w:rsidP="00D6537E">
    <w:pPr>
      <w:pBdr>
        <w:bottom w:val="single" w:sz="6" w:space="1" w:color="auto"/>
      </w:pBdr>
      <w:spacing w:after="120"/>
      <w:jc w:val="right"/>
    </w:pPr>
  </w:p>
  <w:p w14:paraId="3A4C4986" w14:textId="77777777" w:rsidR="00492D1F" w:rsidRDefault="00492D1F" w:rsidP="00D6537E">
    <w:pPr>
      <w:pBdr>
        <w:bottom w:val="single" w:sz="6" w:space="1" w:color="auto"/>
      </w:pBdr>
      <w:spacing w:after="120"/>
      <w:jc w:val="right"/>
    </w:pPr>
  </w:p>
  <w:p w14:paraId="1BAD77DE" w14:textId="77777777" w:rsidR="00492D1F" w:rsidRPr="007A1328" w:rsidRDefault="00492D1F" w:rsidP="00D6537E">
    <w:pPr>
      <w:pBdr>
        <w:bottom w:val="single" w:sz="6" w:space="1" w:color="auto"/>
      </w:pBdr>
      <w:spacing w:after="120"/>
      <w:jc w:val="right"/>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AC071" w14:textId="77777777" w:rsidR="00492D1F" w:rsidRDefault="00492D1F" w:rsidP="00715914">
    <w:pPr>
      <w:rPr>
        <w:sz w:val="20"/>
      </w:rPr>
    </w:pPr>
  </w:p>
  <w:p w14:paraId="5665995F" w14:textId="77777777" w:rsidR="00492D1F" w:rsidRDefault="00492D1F" w:rsidP="00715914">
    <w:pPr>
      <w:rPr>
        <w:sz w:val="20"/>
      </w:rPr>
    </w:pPr>
  </w:p>
  <w:p w14:paraId="12B9C820" w14:textId="77777777" w:rsidR="00492D1F" w:rsidRPr="007A1328" w:rsidRDefault="00492D1F" w:rsidP="00715914">
    <w:pPr>
      <w:rPr>
        <w:sz w:val="20"/>
      </w:rPr>
    </w:pPr>
  </w:p>
  <w:p w14:paraId="7C3F3BB4" w14:textId="77777777" w:rsidR="00492D1F" w:rsidRPr="007A1328" w:rsidRDefault="00492D1F" w:rsidP="00715914">
    <w:pPr>
      <w:rPr>
        <w:b/>
        <w:sz w:val="24"/>
      </w:rPr>
    </w:pPr>
  </w:p>
  <w:p w14:paraId="20E25E8E" w14:textId="77777777" w:rsidR="00492D1F" w:rsidRPr="007A1328" w:rsidRDefault="00492D1F"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056BE" w14:textId="77777777" w:rsidR="00492D1F" w:rsidRPr="007A1328" w:rsidRDefault="00492D1F" w:rsidP="00715914">
    <w:pPr>
      <w:jc w:val="right"/>
      <w:rPr>
        <w:sz w:val="20"/>
      </w:rPr>
    </w:pPr>
  </w:p>
  <w:p w14:paraId="65EC7549" w14:textId="77777777" w:rsidR="00492D1F" w:rsidRPr="007A1328" w:rsidRDefault="00492D1F" w:rsidP="00715914">
    <w:pPr>
      <w:jc w:val="right"/>
      <w:rPr>
        <w:sz w:val="20"/>
      </w:rPr>
    </w:pPr>
  </w:p>
  <w:p w14:paraId="3B5C6F8D" w14:textId="77777777" w:rsidR="00492D1F" w:rsidRPr="007A1328" w:rsidRDefault="00492D1F" w:rsidP="00715914">
    <w:pPr>
      <w:jc w:val="right"/>
      <w:rPr>
        <w:sz w:val="20"/>
      </w:rPr>
    </w:pPr>
  </w:p>
  <w:p w14:paraId="64303BA1" w14:textId="77777777" w:rsidR="00492D1F" w:rsidRPr="007A1328" w:rsidRDefault="00492D1F" w:rsidP="00715914">
    <w:pPr>
      <w:jc w:val="right"/>
      <w:rPr>
        <w:b/>
        <w:sz w:val="24"/>
      </w:rPr>
    </w:pPr>
  </w:p>
  <w:p w14:paraId="296C6D4D" w14:textId="77777777" w:rsidR="00492D1F" w:rsidRPr="007A1328" w:rsidRDefault="00492D1F"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8CB3A" w14:textId="77777777" w:rsidR="00492D1F" w:rsidRDefault="00492D1F" w:rsidP="00715914">
    <w:pPr>
      <w:rPr>
        <w:sz w:val="20"/>
      </w:rPr>
    </w:pPr>
  </w:p>
  <w:p w14:paraId="1E59682F" w14:textId="77777777" w:rsidR="00492D1F" w:rsidRDefault="00492D1F" w:rsidP="00715914">
    <w:pPr>
      <w:rPr>
        <w:sz w:val="20"/>
      </w:rPr>
    </w:pPr>
  </w:p>
  <w:p w14:paraId="66FE8D24" w14:textId="77777777" w:rsidR="00492D1F" w:rsidRPr="007A1328" w:rsidRDefault="00492D1F" w:rsidP="00715914">
    <w:pPr>
      <w:rPr>
        <w:sz w:val="20"/>
      </w:rPr>
    </w:pPr>
  </w:p>
  <w:p w14:paraId="4E799583" w14:textId="77777777" w:rsidR="00492D1F" w:rsidRPr="007A1328" w:rsidRDefault="00492D1F" w:rsidP="00715914">
    <w:pPr>
      <w:rPr>
        <w:b/>
        <w:sz w:val="24"/>
      </w:rPr>
    </w:pPr>
  </w:p>
  <w:p w14:paraId="2969B0F6" w14:textId="77777777" w:rsidR="00492D1F" w:rsidRPr="007A1328" w:rsidRDefault="00492D1F" w:rsidP="00D6537E">
    <w:pPr>
      <w:pBdr>
        <w:bottom w:val="single" w:sz="6" w:space="1" w:color="auto"/>
      </w:pBdr>
      <w:spacing w:after="120"/>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CEB49" w14:textId="77777777" w:rsidR="00492D1F" w:rsidRPr="007A1328" w:rsidRDefault="00492D1F" w:rsidP="00715914">
    <w:pPr>
      <w:jc w:val="right"/>
      <w:rPr>
        <w:sz w:val="20"/>
      </w:rPr>
    </w:pPr>
  </w:p>
  <w:p w14:paraId="45CB114E" w14:textId="77777777" w:rsidR="00492D1F" w:rsidRPr="007A1328" w:rsidRDefault="00492D1F" w:rsidP="00715914">
    <w:pPr>
      <w:jc w:val="right"/>
      <w:rPr>
        <w:sz w:val="20"/>
      </w:rPr>
    </w:pPr>
  </w:p>
  <w:p w14:paraId="1A63C99C" w14:textId="77777777" w:rsidR="00492D1F" w:rsidRPr="007A1328" w:rsidRDefault="00492D1F" w:rsidP="00715914">
    <w:pPr>
      <w:jc w:val="right"/>
      <w:rPr>
        <w:sz w:val="20"/>
      </w:rPr>
    </w:pPr>
  </w:p>
  <w:p w14:paraId="013A2B36" w14:textId="77777777" w:rsidR="00492D1F" w:rsidRPr="007A1328" w:rsidRDefault="00492D1F" w:rsidP="00715914">
    <w:pPr>
      <w:jc w:val="right"/>
      <w:rPr>
        <w:b/>
        <w:sz w:val="24"/>
      </w:rPr>
    </w:pPr>
  </w:p>
  <w:p w14:paraId="2F98594F" w14:textId="77777777" w:rsidR="00492D1F" w:rsidRPr="007A1328" w:rsidRDefault="00492D1F"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4F0E5682"/>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2"/>
      <w:lvlText w:val="%2.%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83"/>
    <w:multiLevelType w:val="multilevel"/>
    <w:tmpl w:val="9C001D92"/>
    <w:name w:val="schedule numbering"/>
    <w:lvl w:ilvl="0">
      <w:start w:val="1"/>
      <w:numFmt w:val="decimal"/>
      <w:lvlRestart w:val="0"/>
      <w:lvlText w:val="Schedule %1"/>
      <w:lvlJc w:val="left"/>
      <w:pPr>
        <w:ind w:left="0" w:firstLine="0"/>
      </w:pPr>
      <w:rPr>
        <w:rFonts w:ascii="Symbol" w:hAnsi="Symbol" w:hint="default"/>
      </w:r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0574182"/>
    <w:multiLevelType w:val="hybridMultilevel"/>
    <w:tmpl w:val="A9BAC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07E0959"/>
    <w:multiLevelType w:val="multilevel"/>
    <w:tmpl w:val="3BEC1CC6"/>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D50133"/>
    <w:multiLevelType w:val="hybridMultilevel"/>
    <w:tmpl w:val="3D122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2647770"/>
    <w:multiLevelType w:val="hybridMultilevel"/>
    <w:tmpl w:val="B89CCC6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6" w15:restartNumberingAfterBreak="0">
    <w:nsid w:val="03E04AB7"/>
    <w:multiLevelType w:val="hybridMultilevel"/>
    <w:tmpl w:val="05EEF58C"/>
    <w:lvl w:ilvl="0" w:tplc="0C090001">
      <w:start w:val="1"/>
      <w:numFmt w:val="bullet"/>
      <w:lvlText w:val=""/>
      <w:lvlJc w:val="left"/>
      <w:pPr>
        <w:ind w:left="1854"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55660A2"/>
    <w:multiLevelType w:val="hybridMultilevel"/>
    <w:tmpl w:val="D5663352"/>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9" w15:restartNumberingAfterBreak="0">
    <w:nsid w:val="093269E7"/>
    <w:multiLevelType w:val="hybridMultilevel"/>
    <w:tmpl w:val="31E80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DD2542B"/>
    <w:multiLevelType w:val="hybridMultilevel"/>
    <w:tmpl w:val="1FDE067C"/>
    <w:lvl w:ilvl="0" w:tplc="FFFAA1D6">
      <w:start w:val="1"/>
      <w:numFmt w:val="decimal"/>
      <w:lvlText w:val="%1."/>
      <w:lvlJc w:val="left"/>
      <w:pPr>
        <w:ind w:left="340" w:hanging="34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10AF2B12"/>
    <w:multiLevelType w:val="hybridMultilevel"/>
    <w:tmpl w:val="0F3CB0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0948C7"/>
    <w:multiLevelType w:val="hybridMultilevel"/>
    <w:tmpl w:val="81202F4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3" w15:restartNumberingAfterBreak="0">
    <w:nsid w:val="14FC4931"/>
    <w:multiLevelType w:val="hybridMultilevel"/>
    <w:tmpl w:val="3E54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9C7E4E"/>
    <w:multiLevelType w:val="hybridMultilevel"/>
    <w:tmpl w:val="A558C800"/>
    <w:lvl w:ilvl="0" w:tplc="D91C9702">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6" w15:restartNumberingAfterBreak="0">
    <w:nsid w:val="18746276"/>
    <w:multiLevelType w:val="hybridMultilevel"/>
    <w:tmpl w:val="39B2B3E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8A2ADE"/>
    <w:multiLevelType w:val="hybridMultilevel"/>
    <w:tmpl w:val="658884AE"/>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9"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4C082C"/>
    <w:multiLevelType w:val="hybridMultilevel"/>
    <w:tmpl w:val="754C4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C51781"/>
    <w:multiLevelType w:val="hybridMultilevel"/>
    <w:tmpl w:val="BE94D9EC"/>
    <w:lvl w:ilvl="0" w:tplc="0C090001">
      <w:start w:val="1"/>
      <w:numFmt w:val="bullet"/>
      <w:lvlText w:val=""/>
      <w:lvlJc w:val="left"/>
      <w:pPr>
        <w:ind w:left="1854"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23D84996"/>
    <w:multiLevelType w:val="hybridMultilevel"/>
    <w:tmpl w:val="A41A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1117E9"/>
    <w:multiLevelType w:val="hybridMultilevel"/>
    <w:tmpl w:val="FBB878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2E95344F"/>
    <w:multiLevelType w:val="hybridMultilevel"/>
    <w:tmpl w:val="FB048F04"/>
    <w:lvl w:ilvl="0" w:tplc="BE484BBC">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25" w15:restartNumberingAfterBreak="0">
    <w:nsid w:val="2FD81EE5"/>
    <w:multiLevelType w:val="hybridMultilevel"/>
    <w:tmpl w:val="D9D68A44"/>
    <w:lvl w:ilvl="0" w:tplc="87EE19A2">
      <w:start w:val="1"/>
      <w:numFmt w:val="lowerLetter"/>
      <w:lvlText w:val="(%1)"/>
      <w:lvlJc w:val="left"/>
      <w:pPr>
        <w:ind w:left="2000" w:hanging="460"/>
      </w:pPr>
    </w:lvl>
    <w:lvl w:ilvl="1" w:tplc="0C090019">
      <w:start w:val="1"/>
      <w:numFmt w:val="lowerLetter"/>
      <w:lvlText w:val="%2."/>
      <w:lvlJc w:val="left"/>
      <w:pPr>
        <w:ind w:left="2620" w:hanging="360"/>
      </w:pPr>
    </w:lvl>
    <w:lvl w:ilvl="2" w:tplc="0C09001B">
      <w:start w:val="1"/>
      <w:numFmt w:val="lowerRoman"/>
      <w:lvlText w:val="%3."/>
      <w:lvlJc w:val="right"/>
      <w:pPr>
        <w:ind w:left="3340" w:hanging="180"/>
      </w:pPr>
    </w:lvl>
    <w:lvl w:ilvl="3" w:tplc="0C09000F">
      <w:start w:val="1"/>
      <w:numFmt w:val="decimal"/>
      <w:lvlText w:val="%4."/>
      <w:lvlJc w:val="left"/>
      <w:pPr>
        <w:ind w:left="4060" w:hanging="360"/>
      </w:pPr>
    </w:lvl>
    <w:lvl w:ilvl="4" w:tplc="0C090019">
      <w:start w:val="1"/>
      <w:numFmt w:val="lowerLetter"/>
      <w:lvlText w:val="%5."/>
      <w:lvlJc w:val="left"/>
      <w:pPr>
        <w:ind w:left="4780" w:hanging="360"/>
      </w:pPr>
    </w:lvl>
    <w:lvl w:ilvl="5" w:tplc="0C09001B">
      <w:start w:val="1"/>
      <w:numFmt w:val="lowerRoman"/>
      <w:lvlText w:val="%6."/>
      <w:lvlJc w:val="right"/>
      <w:pPr>
        <w:ind w:left="5500" w:hanging="180"/>
      </w:pPr>
    </w:lvl>
    <w:lvl w:ilvl="6" w:tplc="0C09000F">
      <w:start w:val="1"/>
      <w:numFmt w:val="decimal"/>
      <w:lvlText w:val="%7."/>
      <w:lvlJc w:val="left"/>
      <w:pPr>
        <w:ind w:left="6220" w:hanging="360"/>
      </w:pPr>
    </w:lvl>
    <w:lvl w:ilvl="7" w:tplc="0C090019">
      <w:start w:val="1"/>
      <w:numFmt w:val="lowerLetter"/>
      <w:lvlText w:val="%8."/>
      <w:lvlJc w:val="left"/>
      <w:pPr>
        <w:ind w:left="6940" w:hanging="360"/>
      </w:pPr>
    </w:lvl>
    <w:lvl w:ilvl="8" w:tplc="0C09001B">
      <w:start w:val="1"/>
      <w:numFmt w:val="lowerRoman"/>
      <w:lvlText w:val="%9."/>
      <w:lvlJc w:val="right"/>
      <w:pPr>
        <w:ind w:left="7660" w:hanging="180"/>
      </w:pPr>
    </w:lvl>
  </w:abstractNum>
  <w:abstractNum w:abstractNumId="26" w15:restartNumberingAfterBreak="0">
    <w:nsid w:val="30C35D23"/>
    <w:multiLevelType w:val="hybridMultilevel"/>
    <w:tmpl w:val="9D1844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35524A1F"/>
    <w:multiLevelType w:val="hybridMultilevel"/>
    <w:tmpl w:val="7F78A0F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37F6094D"/>
    <w:multiLevelType w:val="hybridMultilevel"/>
    <w:tmpl w:val="0F965CF4"/>
    <w:lvl w:ilvl="0" w:tplc="0C090001">
      <w:start w:val="1"/>
      <w:numFmt w:val="bullet"/>
      <w:lvlText w:val=""/>
      <w:lvlJc w:val="left"/>
      <w:pPr>
        <w:ind w:left="2345" w:hanging="360"/>
      </w:pPr>
      <w:rPr>
        <w:rFonts w:ascii="Symbol" w:hAnsi="Symbol" w:hint="default"/>
      </w:rPr>
    </w:lvl>
    <w:lvl w:ilvl="1" w:tplc="0C090003">
      <w:start w:val="1"/>
      <w:numFmt w:val="bullet"/>
      <w:lvlText w:val="o"/>
      <w:lvlJc w:val="left"/>
      <w:pPr>
        <w:ind w:left="3065" w:hanging="360"/>
      </w:pPr>
      <w:rPr>
        <w:rFonts w:ascii="Courier New" w:hAnsi="Courier New" w:cs="Courier New" w:hint="default"/>
      </w:rPr>
    </w:lvl>
    <w:lvl w:ilvl="2" w:tplc="0C090005">
      <w:start w:val="1"/>
      <w:numFmt w:val="bullet"/>
      <w:lvlText w:val=""/>
      <w:lvlJc w:val="left"/>
      <w:pPr>
        <w:ind w:left="3785" w:hanging="360"/>
      </w:pPr>
      <w:rPr>
        <w:rFonts w:ascii="Wingdings" w:hAnsi="Wingdings" w:hint="default"/>
      </w:rPr>
    </w:lvl>
    <w:lvl w:ilvl="3" w:tplc="0C090001">
      <w:start w:val="1"/>
      <w:numFmt w:val="bullet"/>
      <w:lvlText w:val=""/>
      <w:lvlJc w:val="left"/>
      <w:pPr>
        <w:ind w:left="4505" w:hanging="360"/>
      </w:pPr>
      <w:rPr>
        <w:rFonts w:ascii="Symbol" w:hAnsi="Symbol" w:hint="default"/>
      </w:rPr>
    </w:lvl>
    <w:lvl w:ilvl="4" w:tplc="0C090003">
      <w:start w:val="1"/>
      <w:numFmt w:val="bullet"/>
      <w:lvlText w:val="o"/>
      <w:lvlJc w:val="left"/>
      <w:pPr>
        <w:ind w:left="5225" w:hanging="360"/>
      </w:pPr>
      <w:rPr>
        <w:rFonts w:ascii="Courier New" w:hAnsi="Courier New" w:cs="Courier New" w:hint="default"/>
      </w:rPr>
    </w:lvl>
    <w:lvl w:ilvl="5" w:tplc="0C090005">
      <w:start w:val="1"/>
      <w:numFmt w:val="bullet"/>
      <w:lvlText w:val=""/>
      <w:lvlJc w:val="left"/>
      <w:pPr>
        <w:ind w:left="5945" w:hanging="360"/>
      </w:pPr>
      <w:rPr>
        <w:rFonts w:ascii="Wingdings" w:hAnsi="Wingdings" w:hint="default"/>
      </w:rPr>
    </w:lvl>
    <w:lvl w:ilvl="6" w:tplc="0C090001">
      <w:start w:val="1"/>
      <w:numFmt w:val="bullet"/>
      <w:lvlText w:val=""/>
      <w:lvlJc w:val="left"/>
      <w:pPr>
        <w:ind w:left="6665" w:hanging="360"/>
      </w:pPr>
      <w:rPr>
        <w:rFonts w:ascii="Symbol" w:hAnsi="Symbol" w:hint="default"/>
      </w:rPr>
    </w:lvl>
    <w:lvl w:ilvl="7" w:tplc="0C090003">
      <w:start w:val="1"/>
      <w:numFmt w:val="bullet"/>
      <w:lvlText w:val="o"/>
      <w:lvlJc w:val="left"/>
      <w:pPr>
        <w:ind w:left="7385" w:hanging="360"/>
      </w:pPr>
      <w:rPr>
        <w:rFonts w:ascii="Courier New" w:hAnsi="Courier New" w:cs="Courier New" w:hint="default"/>
      </w:rPr>
    </w:lvl>
    <w:lvl w:ilvl="8" w:tplc="0C090005">
      <w:start w:val="1"/>
      <w:numFmt w:val="bullet"/>
      <w:lvlText w:val=""/>
      <w:lvlJc w:val="left"/>
      <w:pPr>
        <w:ind w:left="8105" w:hanging="360"/>
      </w:pPr>
      <w:rPr>
        <w:rFonts w:ascii="Wingdings" w:hAnsi="Wingdings" w:hint="default"/>
      </w:rPr>
    </w:lvl>
  </w:abstractNum>
  <w:abstractNum w:abstractNumId="29" w15:restartNumberingAfterBreak="0">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0" w15:restartNumberingAfterBreak="0">
    <w:nsid w:val="44BD5402"/>
    <w:multiLevelType w:val="hybridMultilevel"/>
    <w:tmpl w:val="6AE6816A"/>
    <w:lvl w:ilvl="0" w:tplc="BD945B0C">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1" w15:restartNumberingAfterBreak="0">
    <w:nsid w:val="475D0952"/>
    <w:multiLevelType w:val="hybridMultilevel"/>
    <w:tmpl w:val="953A4CD6"/>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32" w15:restartNumberingAfterBreak="0">
    <w:nsid w:val="4A586836"/>
    <w:multiLevelType w:val="hybridMultilevel"/>
    <w:tmpl w:val="6F76969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33" w15:restartNumberingAfterBreak="0">
    <w:nsid w:val="4C0E763F"/>
    <w:multiLevelType w:val="hybridMultilevel"/>
    <w:tmpl w:val="C7A0EC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4DA31F19"/>
    <w:multiLevelType w:val="hybridMultilevel"/>
    <w:tmpl w:val="580C190A"/>
    <w:lvl w:ilvl="0" w:tplc="6EE490AA">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790646"/>
    <w:multiLevelType w:val="hybridMultilevel"/>
    <w:tmpl w:val="9DA0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6E7EB9"/>
    <w:multiLevelType w:val="multilevel"/>
    <w:tmpl w:val="6B3C73E6"/>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7" w15:restartNumberingAfterBreak="0">
    <w:nsid w:val="542C53B3"/>
    <w:multiLevelType w:val="hybridMultilevel"/>
    <w:tmpl w:val="6076E49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8" w15:restartNumberingAfterBreak="0">
    <w:nsid w:val="54F44D90"/>
    <w:multiLevelType w:val="hybridMultilevel"/>
    <w:tmpl w:val="BD18B08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39" w15:restartNumberingAfterBreak="0">
    <w:nsid w:val="55295AA5"/>
    <w:multiLevelType w:val="hybridMultilevel"/>
    <w:tmpl w:val="861ECB38"/>
    <w:lvl w:ilvl="0" w:tplc="021E8868">
      <w:start w:val="1"/>
      <w:numFmt w:val="decimal"/>
      <w:lvlText w:val="%1."/>
      <w:lvlJc w:val="left"/>
      <w:pPr>
        <w:ind w:left="340" w:hanging="34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2E5987"/>
    <w:multiLevelType w:val="hybridMultilevel"/>
    <w:tmpl w:val="B2306A9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42" w15:restartNumberingAfterBreak="0">
    <w:nsid w:val="5C451C3F"/>
    <w:multiLevelType w:val="hybridMultilevel"/>
    <w:tmpl w:val="B42EFB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BC7E8D"/>
    <w:multiLevelType w:val="singleLevel"/>
    <w:tmpl w:val="FFFCF7D0"/>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44" w15:restartNumberingAfterBreak="0">
    <w:nsid w:val="60B25E6A"/>
    <w:multiLevelType w:val="hybridMultilevel"/>
    <w:tmpl w:val="B54822DA"/>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5" w15:restartNumberingAfterBreak="0">
    <w:nsid w:val="6B7E02D6"/>
    <w:multiLevelType w:val="hybridMultilevel"/>
    <w:tmpl w:val="EFD8D6FE"/>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6" w15:restartNumberingAfterBreak="0">
    <w:nsid w:val="7F982C2C"/>
    <w:multiLevelType w:val="hybridMultilevel"/>
    <w:tmpl w:val="8242A95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7"/>
  </w:num>
  <w:num w:numId="2">
    <w:abstractNumId w:val="15"/>
  </w:num>
  <w:num w:numId="3">
    <w:abstractNumId w:val="7"/>
  </w:num>
  <w:num w:numId="4">
    <w:abstractNumId w:val="19"/>
  </w:num>
  <w:num w:numId="5">
    <w:abstractNumId w:val="29"/>
  </w:num>
  <w:num w:numId="6">
    <w:abstractNumId w:val="40"/>
  </w:num>
  <w:num w:numId="7">
    <w:abstractNumId w:val="0"/>
  </w:num>
  <w:num w:numId="8">
    <w:abstractNumId w:val="4"/>
  </w:num>
  <w:num w:numId="9">
    <w:abstractNumId w:val="9"/>
  </w:num>
  <w:num w:numId="10">
    <w:abstractNumId w:val="3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22"/>
  </w:num>
  <w:num w:numId="16">
    <w:abstractNumId w:val="35"/>
  </w:num>
  <w:num w:numId="17">
    <w:abstractNumId w:val="1"/>
  </w:num>
  <w:num w:numId="18">
    <w:abstractNumId w:val="10"/>
  </w:num>
  <w:num w:numId="19">
    <w:abstractNumId w:val="31"/>
  </w:num>
  <w:num w:numId="20">
    <w:abstractNumId w:val="16"/>
  </w:num>
  <w:num w:numId="21">
    <w:abstractNumId w:val="6"/>
  </w:num>
  <w:num w:numId="22">
    <w:abstractNumId w:val="23"/>
  </w:num>
  <w:num w:numId="23">
    <w:abstractNumId w:val="27"/>
  </w:num>
  <w:num w:numId="24">
    <w:abstractNumId w:val="12"/>
  </w:num>
  <w:num w:numId="25">
    <w:abstractNumId w:val="26"/>
  </w:num>
  <w:num w:numId="26">
    <w:abstractNumId w:val="32"/>
  </w:num>
  <w:num w:numId="27">
    <w:abstractNumId w:val="44"/>
  </w:num>
  <w:num w:numId="28">
    <w:abstractNumId w:val="21"/>
  </w:num>
  <w:num w:numId="29">
    <w:abstractNumId w:val="18"/>
  </w:num>
  <w:num w:numId="30">
    <w:abstractNumId w:val="46"/>
  </w:num>
  <w:num w:numId="31">
    <w:abstractNumId w:val="37"/>
  </w:num>
  <w:num w:numId="32">
    <w:abstractNumId w:val="5"/>
  </w:num>
  <w:num w:numId="33">
    <w:abstractNumId w:val="28"/>
  </w:num>
  <w:num w:numId="34">
    <w:abstractNumId w:val="32"/>
  </w:num>
  <w:num w:numId="35">
    <w:abstractNumId w:val="8"/>
  </w:num>
  <w:num w:numId="36">
    <w:abstractNumId w:val="41"/>
  </w:num>
  <w:num w:numId="37">
    <w:abstractNumId w:val="45"/>
    <w:lvlOverride w:ilvl="0"/>
    <w:lvlOverride w:ilvl="1">
      <w:startOverride w:val="1"/>
    </w:lvlOverride>
    <w:lvlOverride w:ilvl="2"/>
    <w:lvlOverride w:ilvl="3"/>
    <w:lvlOverride w:ilvl="4"/>
    <w:lvlOverride w:ilvl="5"/>
    <w:lvlOverride w:ilvl="6"/>
    <w:lvlOverride w:ilvl="7"/>
    <w:lvlOverride w:ilvl="8"/>
  </w:num>
  <w:num w:numId="38">
    <w:abstractNumId w:val="33"/>
  </w:num>
  <w:num w:numId="39">
    <w:abstractNumId w:val="23"/>
  </w:num>
  <w:num w:numId="40">
    <w:abstractNumId w:val="39"/>
  </w:num>
  <w:num w:numId="41">
    <w:abstractNumId w:val="45"/>
  </w:num>
  <w:num w:numId="42">
    <w:abstractNumId w:val="20"/>
  </w:num>
  <w:num w:numId="43">
    <w:abstractNumId w:val="42"/>
  </w:num>
  <w:num w:numId="44">
    <w:abstractNumId w:val="43"/>
  </w:num>
  <w:num w:numId="45">
    <w:abstractNumId w:val="3"/>
  </w:num>
  <w:num w:numId="46">
    <w:abstractNumId w:val="34"/>
  </w:num>
  <w:num w:numId="47">
    <w:abstractNumId w:val="14"/>
  </w:num>
  <w:num w:numId="48">
    <w:abstractNumId w:val="11"/>
  </w:num>
  <w:num w:numId="49">
    <w:abstractNumId w:val="30"/>
  </w:num>
  <w:num w:numId="5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A4"/>
    <w:rsid w:val="000004FE"/>
    <w:rsid w:val="00000B47"/>
    <w:rsid w:val="00000C1C"/>
    <w:rsid w:val="000010D4"/>
    <w:rsid w:val="000014BB"/>
    <w:rsid w:val="000015DC"/>
    <w:rsid w:val="00001AC8"/>
    <w:rsid w:val="00002032"/>
    <w:rsid w:val="00002316"/>
    <w:rsid w:val="0000297B"/>
    <w:rsid w:val="000029CF"/>
    <w:rsid w:val="00002B3E"/>
    <w:rsid w:val="00002D2D"/>
    <w:rsid w:val="00002F2E"/>
    <w:rsid w:val="00003178"/>
    <w:rsid w:val="00003317"/>
    <w:rsid w:val="00003547"/>
    <w:rsid w:val="00003864"/>
    <w:rsid w:val="000038BE"/>
    <w:rsid w:val="000038CC"/>
    <w:rsid w:val="00003B5E"/>
    <w:rsid w:val="00003D14"/>
    <w:rsid w:val="00004174"/>
    <w:rsid w:val="0000436D"/>
    <w:rsid w:val="000043D8"/>
    <w:rsid w:val="00004470"/>
    <w:rsid w:val="0000460C"/>
    <w:rsid w:val="0000482F"/>
    <w:rsid w:val="00004877"/>
    <w:rsid w:val="00005026"/>
    <w:rsid w:val="000052E0"/>
    <w:rsid w:val="0000562C"/>
    <w:rsid w:val="000057F0"/>
    <w:rsid w:val="0000593B"/>
    <w:rsid w:val="00005C2C"/>
    <w:rsid w:val="00006207"/>
    <w:rsid w:val="000063E7"/>
    <w:rsid w:val="00006535"/>
    <w:rsid w:val="00006575"/>
    <w:rsid w:val="00006916"/>
    <w:rsid w:val="00006D92"/>
    <w:rsid w:val="00006E3C"/>
    <w:rsid w:val="00006E6A"/>
    <w:rsid w:val="00006FC0"/>
    <w:rsid w:val="00007052"/>
    <w:rsid w:val="00007518"/>
    <w:rsid w:val="00007993"/>
    <w:rsid w:val="00007D25"/>
    <w:rsid w:val="0001019A"/>
    <w:rsid w:val="00010772"/>
    <w:rsid w:val="0001096A"/>
    <w:rsid w:val="00010AE8"/>
    <w:rsid w:val="00011026"/>
    <w:rsid w:val="00011A8A"/>
    <w:rsid w:val="00011B58"/>
    <w:rsid w:val="00011D01"/>
    <w:rsid w:val="00012107"/>
    <w:rsid w:val="00012B74"/>
    <w:rsid w:val="00012C70"/>
    <w:rsid w:val="00012D8F"/>
    <w:rsid w:val="00012F49"/>
    <w:rsid w:val="00013240"/>
    <w:rsid w:val="000136AF"/>
    <w:rsid w:val="000136B4"/>
    <w:rsid w:val="000136C2"/>
    <w:rsid w:val="00013A8F"/>
    <w:rsid w:val="00013BE8"/>
    <w:rsid w:val="0001417F"/>
    <w:rsid w:val="0001466B"/>
    <w:rsid w:val="000151A0"/>
    <w:rsid w:val="00015AB6"/>
    <w:rsid w:val="00016145"/>
    <w:rsid w:val="000162FF"/>
    <w:rsid w:val="0001632F"/>
    <w:rsid w:val="000165DF"/>
    <w:rsid w:val="00016B80"/>
    <w:rsid w:val="00017004"/>
    <w:rsid w:val="00017267"/>
    <w:rsid w:val="000175D3"/>
    <w:rsid w:val="00017D5A"/>
    <w:rsid w:val="00017DD5"/>
    <w:rsid w:val="00020736"/>
    <w:rsid w:val="00020C98"/>
    <w:rsid w:val="00020D60"/>
    <w:rsid w:val="00020E90"/>
    <w:rsid w:val="00021A26"/>
    <w:rsid w:val="00021D4E"/>
    <w:rsid w:val="00022033"/>
    <w:rsid w:val="00022E13"/>
    <w:rsid w:val="00022E28"/>
    <w:rsid w:val="00022E4A"/>
    <w:rsid w:val="0002356D"/>
    <w:rsid w:val="000237D1"/>
    <w:rsid w:val="00023B44"/>
    <w:rsid w:val="00024899"/>
    <w:rsid w:val="00024F18"/>
    <w:rsid w:val="00025281"/>
    <w:rsid w:val="000258B1"/>
    <w:rsid w:val="00025951"/>
    <w:rsid w:val="00026097"/>
    <w:rsid w:val="000260BB"/>
    <w:rsid w:val="0002643A"/>
    <w:rsid w:val="00026BC4"/>
    <w:rsid w:val="00026E80"/>
    <w:rsid w:val="00026F8E"/>
    <w:rsid w:val="00026F94"/>
    <w:rsid w:val="0002703B"/>
    <w:rsid w:val="00027514"/>
    <w:rsid w:val="000278B2"/>
    <w:rsid w:val="00027D8F"/>
    <w:rsid w:val="0003006F"/>
    <w:rsid w:val="0003017A"/>
    <w:rsid w:val="000302C9"/>
    <w:rsid w:val="000303F8"/>
    <w:rsid w:val="00030E47"/>
    <w:rsid w:val="000311F5"/>
    <w:rsid w:val="0003138C"/>
    <w:rsid w:val="0003164B"/>
    <w:rsid w:val="000316CE"/>
    <w:rsid w:val="00031737"/>
    <w:rsid w:val="00032C51"/>
    <w:rsid w:val="000334D5"/>
    <w:rsid w:val="00033B3C"/>
    <w:rsid w:val="000340CE"/>
    <w:rsid w:val="00034289"/>
    <w:rsid w:val="00034929"/>
    <w:rsid w:val="000349D9"/>
    <w:rsid w:val="00034D60"/>
    <w:rsid w:val="00034F57"/>
    <w:rsid w:val="00035159"/>
    <w:rsid w:val="000358F9"/>
    <w:rsid w:val="00035A92"/>
    <w:rsid w:val="000361AC"/>
    <w:rsid w:val="000362F3"/>
    <w:rsid w:val="00036732"/>
    <w:rsid w:val="000368AE"/>
    <w:rsid w:val="00036920"/>
    <w:rsid w:val="000369AF"/>
    <w:rsid w:val="00036AFB"/>
    <w:rsid w:val="000374B5"/>
    <w:rsid w:val="000379D2"/>
    <w:rsid w:val="00037AAA"/>
    <w:rsid w:val="00037B75"/>
    <w:rsid w:val="00037DD2"/>
    <w:rsid w:val="00040124"/>
    <w:rsid w:val="00040645"/>
    <w:rsid w:val="00040653"/>
    <w:rsid w:val="000407DF"/>
    <w:rsid w:val="00040A89"/>
    <w:rsid w:val="00040B16"/>
    <w:rsid w:val="0004127F"/>
    <w:rsid w:val="00041538"/>
    <w:rsid w:val="00041A0A"/>
    <w:rsid w:val="00041B4F"/>
    <w:rsid w:val="00041BBD"/>
    <w:rsid w:val="00041F0E"/>
    <w:rsid w:val="00042249"/>
    <w:rsid w:val="00042563"/>
    <w:rsid w:val="00042700"/>
    <w:rsid w:val="000427FF"/>
    <w:rsid w:val="0004284A"/>
    <w:rsid w:val="00042898"/>
    <w:rsid w:val="00042AAA"/>
    <w:rsid w:val="00042B62"/>
    <w:rsid w:val="00042CD5"/>
    <w:rsid w:val="00042CE6"/>
    <w:rsid w:val="00042D06"/>
    <w:rsid w:val="00042EC6"/>
    <w:rsid w:val="00042F8A"/>
    <w:rsid w:val="0004339E"/>
    <w:rsid w:val="000435F2"/>
    <w:rsid w:val="000437C1"/>
    <w:rsid w:val="00044150"/>
    <w:rsid w:val="000444E8"/>
    <w:rsid w:val="0004455A"/>
    <w:rsid w:val="000447DD"/>
    <w:rsid w:val="0004497C"/>
    <w:rsid w:val="00045173"/>
    <w:rsid w:val="00045351"/>
    <w:rsid w:val="000453E4"/>
    <w:rsid w:val="00045936"/>
    <w:rsid w:val="00045D01"/>
    <w:rsid w:val="00045D17"/>
    <w:rsid w:val="00045DA6"/>
    <w:rsid w:val="00045F9D"/>
    <w:rsid w:val="00046763"/>
    <w:rsid w:val="00046E2E"/>
    <w:rsid w:val="000472EB"/>
    <w:rsid w:val="000473F6"/>
    <w:rsid w:val="000478B4"/>
    <w:rsid w:val="00047943"/>
    <w:rsid w:val="00047B5C"/>
    <w:rsid w:val="000506EB"/>
    <w:rsid w:val="00050F67"/>
    <w:rsid w:val="00051938"/>
    <w:rsid w:val="00052385"/>
    <w:rsid w:val="0005261C"/>
    <w:rsid w:val="000529ED"/>
    <w:rsid w:val="00052EBC"/>
    <w:rsid w:val="0005365D"/>
    <w:rsid w:val="000536BF"/>
    <w:rsid w:val="0005458D"/>
    <w:rsid w:val="0005461D"/>
    <w:rsid w:val="00054807"/>
    <w:rsid w:val="00054E6F"/>
    <w:rsid w:val="00054E93"/>
    <w:rsid w:val="00054F5C"/>
    <w:rsid w:val="0005509A"/>
    <w:rsid w:val="0005526C"/>
    <w:rsid w:val="000552F2"/>
    <w:rsid w:val="000553D0"/>
    <w:rsid w:val="00055586"/>
    <w:rsid w:val="00055798"/>
    <w:rsid w:val="00056495"/>
    <w:rsid w:val="00056ACE"/>
    <w:rsid w:val="00056B53"/>
    <w:rsid w:val="00056DB7"/>
    <w:rsid w:val="000577AC"/>
    <w:rsid w:val="000577E0"/>
    <w:rsid w:val="000601A7"/>
    <w:rsid w:val="000602F2"/>
    <w:rsid w:val="0006044B"/>
    <w:rsid w:val="0006078A"/>
    <w:rsid w:val="0006083C"/>
    <w:rsid w:val="00060A81"/>
    <w:rsid w:val="00061130"/>
    <w:rsid w:val="000614BF"/>
    <w:rsid w:val="000615CE"/>
    <w:rsid w:val="00062340"/>
    <w:rsid w:val="00062720"/>
    <w:rsid w:val="000627BD"/>
    <w:rsid w:val="00062AA7"/>
    <w:rsid w:val="00062C64"/>
    <w:rsid w:val="00062F40"/>
    <w:rsid w:val="00062F54"/>
    <w:rsid w:val="000630A9"/>
    <w:rsid w:val="00063570"/>
    <w:rsid w:val="0006377B"/>
    <w:rsid w:val="00063853"/>
    <w:rsid w:val="000639C3"/>
    <w:rsid w:val="000640BF"/>
    <w:rsid w:val="000648BC"/>
    <w:rsid w:val="00064CA1"/>
    <w:rsid w:val="000655A9"/>
    <w:rsid w:val="00065983"/>
    <w:rsid w:val="00065BD9"/>
    <w:rsid w:val="00065C83"/>
    <w:rsid w:val="00065EBA"/>
    <w:rsid w:val="00066477"/>
    <w:rsid w:val="000666BC"/>
    <w:rsid w:val="00066BDA"/>
    <w:rsid w:val="00066C0F"/>
    <w:rsid w:val="0006709C"/>
    <w:rsid w:val="00067172"/>
    <w:rsid w:val="00067D62"/>
    <w:rsid w:val="00067F34"/>
    <w:rsid w:val="000701F4"/>
    <w:rsid w:val="000703E8"/>
    <w:rsid w:val="00070E21"/>
    <w:rsid w:val="000711FA"/>
    <w:rsid w:val="00071211"/>
    <w:rsid w:val="00071221"/>
    <w:rsid w:val="000718C8"/>
    <w:rsid w:val="00071A24"/>
    <w:rsid w:val="00071CA7"/>
    <w:rsid w:val="00071EEB"/>
    <w:rsid w:val="00071FC7"/>
    <w:rsid w:val="00072063"/>
    <w:rsid w:val="000726A1"/>
    <w:rsid w:val="00073309"/>
    <w:rsid w:val="00073592"/>
    <w:rsid w:val="0007377D"/>
    <w:rsid w:val="00074376"/>
    <w:rsid w:val="00074497"/>
    <w:rsid w:val="00074632"/>
    <w:rsid w:val="0007488F"/>
    <w:rsid w:val="000748EF"/>
    <w:rsid w:val="0007498F"/>
    <w:rsid w:val="00074B55"/>
    <w:rsid w:val="00074CC2"/>
    <w:rsid w:val="00074CD8"/>
    <w:rsid w:val="00075409"/>
    <w:rsid w:val="0007595B"/>
    <w:rsid w:val="00075961"/>
    <w:rsid w:val="00076113"/>
    <w:rsid w:val="0007614E"/>
    <w:rsid w:val="0007619D"/>
    <w:rsid w:val="00076B1E"/>
    <w:rsid w:val="00076BD5"/>
    <w:rsid w:val="00076E53"/>
    <w:rsid w:val="00076F01"/>
    <w:rsid w:val="000770CE"/>
    <w:rsid w:val="00077646"/>
    <w:rsid w:val="00077E29"/>
    <w:rsid w:val="0008061D"/>
    <w:rsid w:val="00080640"/>
    <w:rsid w:val="00080A5B"/>
    <w:rsid w:val="00080B8A"/>
    <w:rsid w:val="00080DAE"/>
    <w:rsid w:val="00080DCD"/>
    <w:rsid w:val="00080FA2"/>
    <w:rsid w:val="000810CC"/>
    <w:rsid w:val="00081482"/>
    <w:rsid w:val="00081947"/>
    <w:rsid w:val="00081D0A"/>
    <w:rsid w:val="000829F7"/>
    <w:rsid w:val="00082F48"/>
    <w:rsid w:val="00083030"/>
    <w:rsid w:val="000834BB"/>
    <w:rsid w:val="00083732"/>
    <w:rsid w:val="00083802"/>
    <w:rsid w:val="00083B6E"/>
    <w:rsid w:val="00083FE2"/>
    <w:rsid w:val="000843C9"/>
    <w:rsid w:val="00084885"/>
    <w:rsid w:val="00084B94"/>
    <w:rsid w:val="00084D04"/>
    <w:rsid w:val="00085185"/>
    <w:rsid w:val="00085367"/>
    <w:rsid w:val="00085475"/>
    <w:rsid w:val="000854DF"/>
    <w:rsid w:val="000857D2"/>
    <w:rsid w:val="000858D9"/>
    <w:rsid w:val="000861B2"/>
    <w:rsid w:val="00086952"/>
    <w:rsid w:val="00086AA3"/>
    <w:rsid w:val="00086BB0"/>
    <w:rsid w:val="00086F26"/>
    <w:rsid w:val="000877F2"/>
    <w:rsid w:val="00087828"/>
    <w:rsid w:val="00087C4B"/>
    <w:rsid w:val="00087DC3"/>
    <w:rsid w:val="00087E7F"/>
    <w:rsid w:val="00090086"/>
    <w:rsid w:val="0009036D"/>
    <w:rsid w:val="000909C1"/>
    <w:rsid w:val="00090BEC"/>
    <w:rsid w:val="00091395"/>
    <w:rsid w:val="0009220E"/>
    <w:rsid w:val="00092668"/>
    <w:rsid w:val="000929EB"/>
    <w:rsid w:val="00092C49"/>
    <w:rsid w:val="00092F4B"/>
    <w:rsid w:val="00093486"/>
    <w:rsid w:val="00093561"/>
    <w:rsid w:val="00093630"/>
    <w:rsid w:val="00093972"/>
    <w:rsid w:val="00093E02"/>
    <w:rsid w:val="00093E17"/>
    <w:rsid w:val="00093E7A"/>
    <w:rsid w:val="000941E8"/>
    <w:rsid w:val="000943B1"/>
    <w:rsid w:val="00094822"/>
    <w:rsid w:val="0009485B"/>
    <w:rsid w:val="0009493C"/>
    <w:rsid w:val="000949CD"/>
    <w:rsid w:val="00094A9C"/>
    <w:rsid w:val="00094E68"/>
    <w:rsid w:val="0009551E"/>
    <w:rsid w:val="0009557A"/>
    <w:rsid w:val="00095766"/>
    <w:rsid w:val="0009599F"/>
    <w:rsid w:val="00095A03"/>
    <w:rsid w:val="00095B5C"/>
    <w:rsid w:val="00095C65"/>
    <w:rsid w:val="00095FBE"/>
    <w:rsid w:val="000960ED"/>
    <w:rsid w:val="00096113"/>
    <w:rsid w:val="00096C95"/>
    <w:rsid w:val="000971BE"/>
    <w:rsid w:val="00097220"/>
    <w:rsid w:val="0009724B"/>
    <w:rsid w:val="0009739F"/>
    <w:rsid w:val="0009767A"/>
    <w:rsid w:val="000978F5"/>
    <w:rsid w:val="000A011C"/>
    <w:rsid w:val="000A0646"/>
    <w:rsid w:val="000A071F"/>
    <w:rsid w:val="000A0A4B"/>
    <w:rsid w:val="000A0E20"/>
    <w:rsid w:val="000A1189"/>
    <w:rsid w:val="000A191C"/>
    <w:rsid w:val="000A1B6F"/>
    <w:rsid w:val="000A2AE2"/>
    <w:rsid w:val="000A3072"/>
    <w:rsid w:val="000A328D"/>
    <w:rsid w:val="000A35F8"/>
    <w:rsid w:val="000A384B"/>
    <w:rsid w:val="000A3A31"/>
    <w:rsid w:val="000A401A"/>
    <w:rsid w:val="000A4077"/>
    <w:rsid w:val="000A49A0"/>
    <w:rsid w:val="000A4AE0"/>
    <w:rsid w:val="000A4C94"/>
    <w:rsid w:val="000A4D49"/>
    <w:rsid w:val="000A4F2D"/>
    <w:rsid w:val="000A50A7"/>
    <w:rsid w:val="000A51A5"/>
    <w:rsid w:val="000A52A8"/>
    <w:rsid w:val="000A598B"/>
    <w:rsid w:val="000A5A98"/>
    <w:rsid w:val="000A63AE"/>
    <w:rsid w:val="000A651F"/>
    <w:rsid w:val="000A6E14"/>
    <w:rsid w:val="000A711C"/>
    <w:rsid w:val="000A72A6"/>
    <w:rsid w:val="000A753D"/>
    <w:rsid w:val="000A77D6"/>
    <w:rsid w:val="000A7944"/>
    <w:rsid w:val="000B06E8"/>
    <w:rsid w:val="000B0AFB"/>
    <w:rsid w:val="000B0E00"/>
    <w:rsid w:val="000B109D"/>
    <w:rsid w:val="000B15CD"/>
    <w:rsid w:val="000B1757"/>
    <w:rsid w:val="000B17A5"/>
    <w:rsid w:val="000B1972"/>
    <w:rsid w:val="000B1C0E"/>
    <w:rsid w:val="000B1D10"/>
    <w:rsid w:val="000B26C6"/>
    <w:rsid w:val="000B282C"/>
    <w:rsid w:val="000B2D69"/>
    <w:rsid w:val="000B2DB0"/>
    <w:rsid w:val="000B3217"/>
    <w:rsid w:val="000B35EB"/>
    <w:rsid w:val="000B3623"/>
    <w:rsid w:val="000B3705"/>
    <w:rsid w:val="000B38CA"/>
    <w:rsid w:val="000B3A11"/>
    <w:rsid w:val="000B3BC0"/>
    <w:rsid w:val="000B4277"/>
    <w:rsid w:val="000B430A"/>
    <w:rsid w:val="000B4CD0"/>
    <w:rsid w:val="000B4D0F"/>
    <w:rsid w:val="000B4E10"/>
    <w:rsid w:val="000B5134"/>
    <w:rsid w:val="000B5141"/>
    <w:rsid w:val="000B52EF"/>
    <w:rsid w:val="000B536B"/>
    <w:rsid w:val="000B597B"/>
    <w:rsid w:val="000B5E2D"/>
    <w:rsid w:val="000B64B3"/>
    <w:rsid w:val="000B6EE2"/>
    <w:rsid w:val="000B754F"/>
    <w:rsid w:val="000B7614"/>
    <w:rsid w:val="000C00D2"/>
    <w:rsid w:val="000C01B5"/>
    <w:rsid w:val="000C046B"/>
    <w:rsid w:val="000C0D49"/>
    <w:rsid w:val="000C0EBB"/>
    <w:rsid w:val="000C0EFC"/>
    <w:rsid w:val="000C1371"/>
    <w:rsid w:val="000C1432"/>
    <w:rsid w:val="000C1928"/>
    <w:rsid w:val="000C1B95"/>
    <w:rsid w:val="000C1E27"/>
    <w:rsid w:val="000C21A4"/>
    <w:rsid w:val="000C2299"/>
    <w:rsid w:val="000C3240"/>
    <w:rsid w:val="000C34C2"/>
    <w:rsid w:val="000C3571"/>
    <w:rsid w:val="000C3665"/>
    <w:rsid w:val="000C3787"/>
    <w:rsid w:val="000C38CC"/>
    <w:rsid w:val="000C39A9"/>
    <w:rsid w:val="000C3C91"/>
    <w:rsid w:val="000C3DFB"/>
    <w:rsid w:val="000C4412"/>
    <w:rsid w:val="000C4508"/>
    <w:rsid w:val="000C4798"/>
    <w:rsid w:val="000C488B"/>
    <w:rsid w:val="000C4966"/>
    <w:rsid w:val="000C4A9C"/>
    <w:rsid w:val="000C4BAC"/>
    <w:rsid w:val="000C51BB"/>
    <w:rsid w:val="000C5266"/>
    <w:rsid w:val="000C584A"/>
    <w:rsid w:val="000C5A00"/>
    <w:rsid w:val="000C5A8A"/>
    <w:rsid w:val="000C5D03"/>
    <w:rsid w:val="000C5D35"/>
    <w:rsid w:val="000C5D65"/>
    <w:rsid w:val="000C6022"/>
    <w:rsid w:val="000C623D"/>
    <w:rsid w:val="000C637B"/>
    <w:rsid w:val="000C64ED"/>
    <w:rsid w:val="000C6A63"/>
    <w:rsid w:val="000C6E8D"/>
    <w:rsid w:val="000C744F"/>
    <w:rsid w:val="000C7656"/>
    <w:rsid w:val="000C7AFC"/>
    <w:rsid w:val="000C7E80"/>
    <w:rsid w:val="000D01C5"/>
    <w:rsid w:val="000D029B"/>
    <w:rsid w:val="000D05EF"/>
    <w:rsid w:val="000D08AE"/>
    <w:rsid w:val="000D0E87"/>
    <w:rsid w:val="000D1D53"/>
    <w:rsid w:val="000D1EC0"/>
    <w:rsid w:val="000D1EFC"/>
    <w:rsid w:val="000D2831"/>
    <w:rsid w:val="000D2835"/>
    <w:rsid w:val="000D2EBF"/>
    <w:rsid w:val="000D309E"/>
    <w:rsid w:val="000D3113"/>
    <w:rsid w:val="000D32E2"/>
    <w:rsid w:val="000D349B"/>
    <w:rsid w:val="000D3A7C"/>
    <w:rsid w:val="000D3C70"/>
    <w:rsid w:val="000D3E52"/>
    <w:rsid w:val="000D410A"/>
    <w:rsid w:val="000D4AF2"/>
    <w:rsid w:val="000D4B83"/>
    <w:rsid w:val="000D4D1F"/>
    <w:rsid w:val="000D4F48"/>
    <w:rsid w:val="000D4F5D"/>
    <w:rsid w:val="000D5247"/>
    <w:rsid w:val="000D574F"/>
    <w:rsid w:val="000D579C"/>
    <w:rsid w:val="000D5CD4"/>
    <w:rsid w:val="000D60B2"/>
    <w:rsid w:val="000D6697"/>
    <w:rsid w:val="000D6768"/>
    <w:rsid w:val="000D67FB"/>
    <w:rsid w:val="000D6828"/>
    <w:rsid w:val="000D6B88"/>
    <w:rsid w:val="000D6BEA"/>
    <w:rsid w:val="000D6C0D"/>
    <w:rsid w:val="000D6C3D"/>
    <w:rsid w:val="000D70B7"/>
    <w:rsid w:val="000D72AF"/>
    <w:rsid w:val="000D7ACF"/>
    <w:rsid w:val="000E0644"/>
    <w:rsid w:val="000E1174"/>
    <w:rsid w:val="000E12F8"/>
    <w:rsid w:val="000E146C"/>
    <w:rsid w:val="000E15A3"/>
    <w:rsid w:val="000E16F8"/>
    <w:rsid w:val="000E1F80"/>
    <w:rsid w:val="000E225F"/>
    <w:rsid w:val="000E2261"/>
    <w:rsid w:val="000E269C"/>
    <w:rsid w:val="000E2997"/>
    <w:rsid w:val="000E2F5E"/>
    <w:rsid w:val="000E315F"/>
    <w:rsid w:val="000E3686"/>
    <w:rsid w:val="000E3D9B"/>
    <w:rsid w:val="000E4122"/>
    <w:rsid w:val="000E432C"/>
    <w:rsid w:val="000E44B7"/>
    <w:rsid w:val="000E468B"/>
    <w:rsid w:val="000E47CD"/>
    <w:rsid w:val="000E4B36"/>
    <w:rsid w:val="000E503D"/>
    <w:rsid w:val="000E55F1"/>
    <w:rsid w:val="000E567B"/>
    <w:rsid w:val="000E57AE"/>
    <w:rsid w:val="000E58DB"/>
    <w:rsid w:val="000E5E90"/>
    <w:rsid w:val="000E5FB8"/>
    <w:rsid w:val="000E66E1"/>
    <w:rsid w:val="000E6864"/>
    <w:rsid w:val="000E6B76"/>
    <w:rsid w:val="000E6FA8"/>
    <w:rsid w:val="000E7533"/>
    <w:rsid w:val="000E78B7"/>
    <w:rsid w:val="000E7B33"/>
    <w:rsid w:val="000F01D5"/>
    <w:rsid w:val="000F07F6"/>
    <w:rsid w:val="000F0A15"/>
    <w:rsid w:val="000F0BE6"/>
    <w:rsid w:val="000F0CDF"/>
    <w:rsid w:val="000F0DA5"/>
    <w:rsid w:val="000F1077"/>
    <w:rsid w:val="000F160E"/>
    <w:rsid w:val="000F1B65"/>
    <w:rsid w:val="000F1ECA"/>
    <w:rsid w:val="000F210A"/>
    <w:rsid w:val="000F21C1"/>
    <w:rsid w:val="000F3932"/>
    <w:rsid w:val="000F3AF4"/>
    <w:rsid w:val="000F3CE2"/>
    <w:rsid w:val="000F3DEB"/>
    <w:rsid w:val="000F443D"/>
    <w:rsid w:val="000F4615"/>
    <w:rsid w:val="000F4629"/>
    <w:rsid w:val="000F4D27"/>
    <w:rsid w:val="000F53E9"/>
    <w:rsid w:val="000F5CF1"/>
    <w:rsid w:val="000F5E70"/>
    <w:rsid w:val="000F5F6B"/>
    <w:rsid w:val="000F6029"/>
    <w:rsid w:val="000F6121"/>
    <w:rsid w:val="000F6183"/>
    <w:rsid w:val="000F6443"/>
    <w:rsid w:val="000F6A74"/>
    <w:rsid w:val="000F6EEB"/>
    <w:rsid w:val="000F71F1"/>
    <w:rsid w:val="000F72F5"/>
    <w:rsid w:val="000F74C3"/>
    <w:rsid w:val="000F77E4"/>
    <w:rsid w:val="000F7E89"/>
    <w:rsid w:val="000F7F2D"/>
    <w:rsid w:val="000F7F45"/>
    <w:rsid w:val="001000E3"/>
    <w:rsid w:val="0010040E"/>
    <w:rsid w:val="001015C8"/>
    <w:rsid w:val="001019B2"/>
    <w:rsid w:val="001021BE"/>
    <w:rsid w:val="00102201"/>
    <w:rsid w:val="001024FA"/>
    <w:rsid w:val="00102EB7"/>
    <w:rsid w:val="00102FEE"/>
    <w:rsid w:val="00103324"/>
    <w:rsid w:val="001036F2"/>
    <w:rsid w:val="001044E5"/>
    <w:rsid w:val="00104CDF"/>
    <w:rsid w:val="00104E76"/>
    <w:rsid w:val="00104F89"/>
    <w:rsid w:val="00104FCB"/>
    <w:rsid w:val="0010551E"/>
    <w:rsid w:val="00105596"/>
    <w:rsid w:val="00105820"/>
    <w:rsid w:val="00105CD0"/>
    <w:rsid w:val="00105D54"/>
    <w:rsid w:val="00105DBF"/>
    <w:rsid w:val="0010615D"/>
    <w:rsid w:val="00106230"/>
    <w:rsid w:val="0010633B"/>
    <w:rsid w:val="0010668A"/>
    <w:rsid w:val="00106A45"/>
    <w:rsid w:val="00106B62"/>
    <w:rsid w:val="00106FF5"/>
    <w:rsid w:val="00107016"/>
    <w:rsid w:val="0010710B"/>
    <w:rsid w:val="001071FF"/>
    <w:rsid w:val="0010745C"/>
    <w:rsid w:val="001074C6"/>
    <w:rsid w:val="00107832"/>
    <w:rsid w:val="00107AF3"/>
    <w:rsid w:val="00107F67"/>
    <w:rsid w:val="0011005F"/>
    <w:rsid w:val="0011015B"/>
    <w:rsid w:val="0011036D"/>
    <w:rsid w:val="001108A3"/>
    <w:rsid w:val="00110BAD"/>
    <w:rsid w:val="00110BCF"/>
    <w:rsid w:val="00110EBC"/>
    <w:rsid w:val="00110ECD"/>
    <w:rsid w:val="001110A4"/>
    <w:rsid w:val="0011179A"/>
    <w:rsid w:val="00112254"/>
    <w:rsid w:val="0011231E"/>
    <w:rsid w:val="00112D61"/>
    <w:rsid w:val="00113092"/>
    <w:rsid w:val="001133AF"/>
    <w:rsid w:val="00113461"/>
    <w:rsid w:val="001134ED"/>
    <w:rsid w:val="00113596"/>
    <w:rsid w:val="00113774"/>
    <w:rsid w:val="00113BBD"/>
    <w:rsid w:val="00113E94"/>
    <w:rsid w:val="001142E4"/>
    <w:rsid w:val="0011439E"/>
    <w:rsid w:val="001144A0"/>
    <w:rsid w:val="00114577"/>
    <w:rsid w:val="00114C2F"/>
    <w:rsid w:val="00114E5B"/>
    <w:rsid w:val="0011505E"/>
    <w:rsid w:val="00115166"/>
    <w:rsid w:val="001151F8"/>
    <w:rsid w:val="00115217"/>
    <w:rsid w:val="001153BA"/>
    <w:rsid w:val="001164F0"/>
    <w:rsid w:val="0011685A"/>
    <w:rsid w:val="00116990"/>
    <w:rsid w:val="001169FA"/>
    <w:rsid w:val="00116DBF"/>
    <w:rsid w:val="00117158"/>
    <w:rsid w:val="001176F3"/>
    <w:rsid w:val="001178CA"/>
    <w:rsid w:val="00117A5B"/>
    <w:rsid w:val="00120084"/>
    <w:rsid w:val="00121366"/>
    <w:rsid w:val="00121AD9"/>
    <w:rsid w:val="00122248"/>
    <w:rsid w:val="00122882"/>
    <w:rsid w:val="00122D63"/>
    <w:rsid w:val="00122E08"/>
    <w:rsid w:val="001243DA"/>
    <w:rsid w:val="00124833"/>
    <w:rsid w:val="001249D1"/>
    <w:rsid w:val="00124B23"/>
    <w:rsid w:val="00124EB3"/>
    <w:rsid w:val="001252A4"/>
    <w:rsid w:val="001253BA"/>
    <w:rsid w:val="00125E2C"/>
    <w:rsid w:val="00126425"/>
    <w:rsid w:val="0012658B"/>
    <w:rsid w:val="00126660"/>
    <w:rsid w:val="00126E19"/>
    <w:rsid w:val="00126F70"/>
    <w:rsid w:val="00127008"/>
    <w:rsid w:val="001272DD"/>
    <w:rsid w:val="00127469"/>
    <w:rsid w:val="001274D7"/>
    <w:rsid w:val="00127865"/>
    <w:rsid w:val="00127A96"/>
    <w:rsid w:val="00127CE1"/>
    <w:rsid w:val="00127DDD"/>
    <w:rsid w:val="00127FCD"/>
    <w:rsid w:val="00130040"/>
    <w:rsid w:val="0013019B"/>
    <w:rsid w:val="00130A57"/>
    <w:rsid w:val="00130D1E"/>
    <w:rsid w:val="00130DAF"/>
    <w:rsid w:val="00130FEA"/>
    <w:rsid w:val="00131539"/>
    <w:rsid w:val="001316E8"/>
    <w:rsid w:val="001317AB"/>
    <w:rsid w:val="001317F3"/>
    <w:rsid w:val="00132144"/>
    <w:rsid w:val="0013268B"/>
    <w:rsid w:val="00132B05"/>
    <w:rsid w:val="00132B22"/>
    <w:rsid w:val="00132CEB"/>
    <w:rsid w:val="00132F52"/>
    <w:rsid w:val="00133216"/>
    <w:rsid w:val="00133461"/>
    <w:rsid w:val="00133481"/>
    <w:rsid w:val="001335CD"/>
    <w:rsid w:val="001339B0"/>
    <w:rsid w:val="00133B74"/>
    <w:rsid w:val="00133BD2"/>
    <w:rsid w:val="00133F4F"/>
    <w:rsid w:val="001340AC"/>
    <w:rsid w:val="00134192"/>
    <w:rsid w:val="001346EB"/>
    <w:rsid w:val="001349C5"/>
    <w:rsid w:val="00134E7A"/>
    <w:rsid w:val="00135454"/>
    <w:rsid w:val="0013547F"/>
    <w:rsid w:val="0013549B"/>
    <w:rsid w:val="00135608"/>
    <w:rsid w:val="001359BD"/>
    <w:rsid w:val="00135DB7"/>
    <w:rsid w:val="00135EF1"/>
    <w:rsid w:val="00136135"/>
    <w:rsid w:val="00137990"/>
    <w:rsid w:val="001402E6"/>
    <w:rsid w:val="001405D3"/>
    <w:rsid w:val="001406F3"/>
    <w:rsid w:val="00140ABC"/>
    <w:rsid w:val="00140E4E"/>
    <w:rsid w:val="00140F83"/>
    <w:rsid w:val="00141056"/>
    <w:rsid w:val="001417D0"/>
    <w:rsid w:val="00141B48"/>
    <w:rsid w:val="00141F3D"/>
    <w:rsid w:val="00142006"/>
    <w:rsid w:val="00142396"/>
    <w:rsid w:val="001423D8"/>
    <w:rsid w:val="00142875"/>
    <w:rsid w:val="00142B62"/>
    <w:rsid w:val="00142CB6"/>
    <w:rsid w:val="00142DA8"/>
    <w:rsid w:val="00143470"/>
    <w:rsid w:val="0014379A"/>
    <w:rsid w:val="00143CA4"/>
    <w:rsid w:val="00143FF7"/>
    <w:rsid w:val="00144092"/>
    <w:rsid w:val="001441B7"/>
    <w:rsid w:val="001444F8"/>
    <w:rsid w:val="00144A2C"/>
    <w:rsid w:val="00144CB2"/>
    <w:rsid w:val="00144DBD"/>
    <w:rsid w:val="00144F24"/>
    <w:rsid w:val="00144F6C"/>
    <w:rsid w:val="001450CE"/>
    <w:rsid w:val="001451ED"/>
    <w:rsid w:val="0014552F"/>
    <w:rsid w:val="00145983"/>
    <w:rsid w:val="00145DEC"/>
    <w:rsid w:val="00145FF5"/>
    <w:rsid w:val="001460EB"/>
    <w:rsid w:val="001463C6"/>
    <w:rsid w:val="0014663C"/>
    <w:rsid w:val="001467BB"/>
    <w:rsid w:val="00146951"/>
    <w:rsid w:val="00146AC7"/>
    <w:rsid w:val="00146B44"/>
    <w:rsid w:val="00146EDC"/>
    <w:rsid w:val="0014717F"/>
    <w:rsid w:val="0014728C"/>
    <w:rsid w:val="0014771E"/>
    <w:rsid w:val="0015029D"/>
    <w:rsid w:val="001502A6"/>
    <w:rsid w:val="001506DD"/>
    <w:rsid w:val="001506FF"/>
    <w:rsid w:val="00150916"/>
    <w:rsid w:val="00150B21"/>
    <w:rsid w:val="00150E6E"/>
    <w:rsid w:val="0015110A"/>
    <w:rsid w:val="00151375"/>
    <w:rsid w:val="001516CB"/>
    <w:rsid w:val="0015180B"/>
    <w:rsid w:val="001519CF"/>
    <w:rsid w:val="00151D23"/>
    <w:rsid w:val="00151D80"/>
    <w:rsid w:val="001520B4"/>
    <w:rsid w:val="00152336"/>
    <w:rsid w:val="00152631"/>
    <w:rsid w:val="001528A4"/>
    <w:rsid w:val="00152E16"/>
    <w:rsid w:val="00153366"/>
    <w:rsid w:val="001535F7"/>
    <w:rsid w:val="0015375D"/>
    <w:rsid w:val="00153982"/>
    <w:rsid w:val="00153AE3"/>
    <w:rsid w:val="00153AEA"/>
    <w:rsid w:val="0015496D"/>
    <w:rsid w:val="001549BC"/>
    <w:rsid w:val="00154A6D"/>
    <w:rsid w:val="00154BEC"/>
    <w:rsid w:val="00154CF5"/>
    <w:rsid w:val="00154DEE"/>
    <w:rsid w:val="00154F18"/>
    <w:rsid w:val="001550CB"/>
    <w:rsid w:val="00155306"/>
    <w:rsid w:val="0015590B"/>
    <w:rsid w:val="00155C49"/>
    <w:rsid w:val="00155CE5"/>
    <w:rsid w:val="00155D62"/>
    <w:rsid w:val="00156024"/>
    <w:rsid w:val="00156302"/>
    <w:rsid w:val="001563FE"/>
    <w:rsid w:val="00156D34"/>
    <w:rsid w:val="001572F3"/>
    <w:rsid w:val="00157690"/>
    <w:rsid w:val="00157B8B"/>
    <w:rsid w:val="00157BE6"/>
    <w:rsid w:val="0016011F"/>
    <w:rsid w:val="00160B13"/>
    <w:rsid w:val="00160B16"/>
    <w:rsid w:val="00160BB9"/>
    <w:rsid w:val="00161275"/>
    <w:rsid w:val="0016133C"/>
    <w:rsid w:val="0016193D"/>
    <w:rsid w:val="001619C7"/>
    <w:rsid w:val="00161E70"/>
    <w:rsid w:val="0016273D"/>
    <w:rsid w:val="001627D4"/>
    <w:rsid w:val="0016299E"/>
    <w:rsid w:val="00162ACA"/>
    <w:rsid w:val="00162EFF"/>
    <w:rsid w:val="0016338D"/>
    <w:rsid w:val="00163450"/>
    <w:rsid w:val="00163500"/>
    <w:rsid w:val="00163C95"/>
    <w:rsid w:val="00164105"/>
    <w:rsid w:val="0016441A"/>
    <w:rsid w:val="001644D0"/>
    <w:rsid w:val="00164612"/>
    <w:rsid w:val="00164816"/>
    <w:rsid w:val="00164DBE"/>
    <w:rsid w:val="001653E5"/>
    <w:rsid w:val="0016547D"/>
    <w:rsid w:val="0016617B"/>
    <w:rsid w:val="001661D5"/>
    <w:rsid w:val="001663C4"/>
    <w:rsid w:val="00166403"/>
    <w:rsid w:val="0016674B"/>
    <w:rsid w:val="00166840"/>
    <w:rsid w:val="00166A26"/>
    <w:rsid w:val="00166A6B"/>
    <w:rsid w:val="00166C2F"/>
    <w:rsid w:val="00166CEE"/>
    <w:rsid w:val="001675E0"/>
    <w:rsid w:val="001677E7"/>
    <w:rsid w:val="00167827"/>
    <w:rsid w:val="00167C6F"/>
    <w:rsid w:val="00170840"/>
    <w:rsid w:val="00170CBA"/>
    <w:rsid w:val="001710FA"/>
    <w:rsid w:val="00171211"/>
    <w:rsid w:val="001713EE"/>
    <w:rsid w:val="00171432"/>
    <w:rsid w:val="00171713"/>
    <w:rsid w:val="00171C3A"/>
    <w:rsid w:val="00171C7B"/>
    <w:rsid w:val="00171D2F"/>
    <w:rsid w:val="00171FD8"/>
    <w:rsid w:val="001724A4"/>
    <w:rsid w:val="0017250B"/>
    <w:rsid w:val="00172578"/>
    <w:rsid w:val="001727DA"/>
    <w:rsid w:val="00172809"/>
    <w:rsid w:val="00172A26"/>
    <w:rsid w:val="00172C8B"/>
    <w:rsid w:val="00172D5C"/>
    <w:rsid w:val="00172E95"/>
    <w:rsid w:val="00172F47"/>
    <w:rsid w:val="001730E0"/>
    <w:rsid w:val="00174D1D"/>
    <w:rsid w:val="00174ED2"/>
    <w:rsid w:val="00174FA0"/>
    <w:rsid w:val="0017539D"/>
    <w:rsid w:val="001755BA"/>
    <w:rsid w:val="00175787"/>
    <w:rsid w:val="00175885"/>
    <w:rsid w:val="00175A8B"/>
    <w:rsid w:val="00175FD7"/>
    <w:rsid w:val="001762F1"/>
    <w:rsid w:val="0017675C"/>
    <w:rsid w:val="0017675F"/>
    <w:rsid w:val="00176EB0"/>
    <w:rsid w:val="00176F0A"/>
    <w:rsid w:val="0017706D"/>
    <w:rsid w:val="0017780A"/>
    <w:rsid w:val="0017782A"/>
    <w:rsid w:val="00177E8F"/>
    <w:rsid w:val="00180508"/>
    <w:rsid w:val="00180735"/>
    <w:rsid w:val="00180943"/>
    <w:rsid w:val="001809D7"/>
    <w:rsid w:val="00180D7C"/>
    <w:rsid w:val="00180D8A"/>
    <w:rsid w:val="00180F77"/>
    <w:rsid w:val="001810C5"/>
    <w:rsid w:val="001821A5"/>
    <w:rsid w:val="00182338"/>
    <w:rsid w:val="00182710"/>
    <w:rsid w:val="00183274"/>
    <w:rsid w:val="001833C2"/>
    <w:rsid w:val="00183C00"/>
    <w:rsid w:val="00183F9C"/>
    <w:rsid w:val="00184064"/>
    <w:rsid w:val="0018423B"/>
    <w:rsid w:val="00184565"/>
    <w:rsid w:val="001847E2"/>
    <w:rsid w:val="00184954"/>
    <w:rsid w:val="00184AE3"/>
    <w:rsid w:val="00185199"/>
    <w:rsid w:val="00185228"/>
    <w:rsid w:val="00185519"/>
    <w:rsid w:val="0018564F"/>
    <w:rsid w:val="0018567B"/>
    <w:rsid w:val="00185868"/>
    <w:rsid w:val="00185ACE"/>
    <w:rsid w:val="00185CE2"/>
    <w:rsid w:val="00185D52"/>
    <w:rsid w:val="00186195"/>
    <w:rsid w:val="00186641"/>
    <w:rsid w:val="00186B40"/>
    <w:rsid w:val="00186C08"/>
    <w:rsid w:val="00186EE1"/>
    <w:rsid w:val="00186F26"/>
    <w:rsid w:val="00187310"/>
    <w:rsid w:val="00187BF7"/>
    <w:rsid w:val="001903CC"/>
    <w:rsid w:val="001908D8"/>
    <w:rsid w:val="00190FE5"/>
    <w:rsid w:val="0019115F"/>
    <w:rsid w:val="0019150D"/>
    <w:rsid w:val="0019158F"/>
    <w:rsid w:val="001918C7"/>
    <w:rsid w:val="00191A78"/>
    <w:rsid w:val="00191F1B"/>
    <w:rsid w:val="00191FA1"/>
    <w:rsid w:val="00192C40"/>
    <w:rsid w:val="00192D52"/>
    <w:rsid w:val="00192DD9"/>
    <w:rsid w:val="00192FC9"/>
    <w:rsid w:val="001930D2"/>
    <w:rsid w:val="00193133"/>
    <w:rsid w:val="00193298"/>
    <w:rsid w:val="001935D9"/>
    <w:rsid w:val="001939E1"/>
    <w:rsid w:val="00193F7F"/>
    <w:rsid w:val="00194107"/>
    <w:rsid w:val="001942C1"/>
    <w:rsid w:val="00194420"/>
    <w:rsid w:val="001944BC"/>
    <w:rsid w:val="00194510"/>
    <w:rsid w:val="00194591"/>
    <w:rsid w:val="00194B45"/>
    <w:rsid w:val="00194C3E"/>
    <w:rsid w:val="00194D0C"/>
    <w:rsid w:val="00194D59"/>
    <w:rsid w:val="00195382"/>
    <w:rsid w:val="00195B81"/>
    <w:rsid w:val="00195BA6"/>
    <w:rsid w:val="00195BD9"/>
    <w:rsid w:val="00195C73"/>
    <w:rsid w:val="00195CCA"/>
    <w:rsid w:val="00195E94"/>
    <w:rsid w:val="00195EF8"/>
    <w:rsid w:val="001961B2"/>
    <w:rsid w:val="00196300"/>
    <w:rsid w:val="00196934"/>
    <w:rsid w:val="00196CD5"/>
    <w:rsid w:val="00196CE2"/>
    <w:rsid w:val="001978E3"/>
    <w:rsid w:val="00197C30"/>
    <w:rsid w:val="00197D42"/>
    <w:rsid w:val="00197DD6"/>
    <w:rsid w:val="001A0165"/>
    <w:rsid w:val="001A09B9"/>
    <w:rsid w:val="001A0D22"/>
    <w:rsid w:val="001A0E87"/>
    <w:rsid w:val="001A0FEB"/>
    <w:rsid w:val="001A1584"/>
    <w:rsid w:val="001A15D5"/>
    <w:rsid w:val="001A1CC7"/>
    <w:rsid w:val="001A26F9"/>
    <w:rsid w:val="001A281A"/>
    <w:rsid w:val="001A2947"/>
    <w:rsid w:val="001A2EB7"/>
    <w:rsid w:val="001A2F52"/>
    <w:rsid w:val="001A32E8"/>
    <w:rsid w:val="001A35E9"/>
    <w:rsid w:val="001A3849"/>
    <w:rsid w:val="001A3BEA"/>
    <w:rsid w:val="001A3D34"/>
    <w:rsid w:val="001A3D67"/>
    <w:rsid w:val="001A4152"/>
    <w:rsid w:val="001A6165"/>
    <w:rsid w:val="001A6576"/>
    <w:rsid w:val="001A65B1"/>
    <w:rsid w:val="001A6A50"/>
    <w:rsid w:val="001A6AB6"/>
    <w:rsid w:val="001A71E4"/>
    <w:rsid w:val="001A721D"/>
    <w:rsid w:val="001A7749"/>
    <w:rsid w:val="001A7983"/>
    <w:rsid w:val="001A7AB7"/>
    <w:rsid w:val="001A7EA5"/>
    <w:rsid w:val="001A7FF1"/>
    <w:rsid w:val="001B028E"/>
    <w:rsid w:val="001B02F8"/>
    <w:rsid w:val="001B03B7"/>
    <w:rsid w:val="001B048D"/>
    <w:rsid w:val="001B0803"/>
    <w:rsid w:val="001B0DC8"/>
    <w:rsid w:val="001B12F3"/>
    <w:rsid w:val="001B1640"/>
    <w:rsid w:val="001B16CE"/>
    <w:rsid w:val="001B2063"/>
    <w:rsid w:val="001B269E"/>
    <w:rsid w:val="001B289F"/>
    <w:rsid w:val="001B2CA0"/>
    <w:rsid w:val="001B2CB6"/>
    <w:rsid w:val="001B2D89"/>
    <w:rsid w:val="001B3029"/>
    <w:rsid w:val="001B33AB"/>
    <w:rsid w:val="001B35B7"/>
    <w:rsid w:val="001B3916"/>
    <w:rsid w:val="001B3A32"/>
    <w:rsid w:val="001B3D4A"/>
    <w:rsid w:val="001B4016"/>
    <w:rsid w:val="001B4325"/>
    <w:rsid w:val="001B4514"/>
    <w:rsid w:val="001B45DE"/>
    <w:rsid w:val="001B4CEB"/>
    <w:rsid w:val="001B4D30"/>
    <w:rsid w:val="001B4E8A"/>
    <w:rsid w:val="001B526A"/>
    <w:rsid w:val="001B53FE"/>
    <w:rsid w:val="001B5512"/>
    <w:rsid w:val="001B5696"/>
    <w:rsid w:val="001B634B"/>
    <w:rsid w:val="001B6A1B"/>
    <w:rsid w:val="001B6B37"/>
    <w:rsid w:val="001B6CB3"/>
    <w:rsid w:val="001B6E3E"/>
    <w:rsid w:val="001B70B6"/>
    <w:rsid w:val="001B741F"/>
    <w:rsid w:val="001B7630"/>
    <w:rsid w:val="001B7731"/>
    <w:rsid w:val="001B78D0"/>
    <w:rsid w:val="001B7C95"/>
    <w:rsid w:val="001C0329"/>
    <w:rsid w:val="001C05EC"/>
    <w:rsid w:val="001C06C1"/>
    <w:rsid w:val="001C09C2"/>
    <w:rsid w:val="001C0E58"/>
    <w:rsid w:val="001C1508"/>
    <w:rsid w:val="001C1717"/>
    <w:rsid w:val="001C1781"/>
    <w:rsid w:val="001C181A"/>
    <w:rsid w:val="001C1B2B"/>
    <w:rsid w:val="001C1CEC"/>
    <w:rsid w:val="001C3018"/>
    <w:rsid w:val="001C311F"/>
    <w:rsid w:val="001C3602"/>
    <w:rsid w:val="001C373E"/>
    <w:rsid w:val="001C398E"/>
    <w:rsid w:val="001C3CE3"/>
    <w:rsid w:val="001C448B"/>
    <w:rsid w:val="001C457D"/>
    <w:rsid w:val="001C48E4"/>
    <w:rsid w:val="001C4A71"/>
    <w:rsid w:val="001C4B2C"/>
    <w:rsid w:val="001C4BD2"/>
    <w:rsid w:val="001C4C36"/>
    <w:rsid w:val="001C4D9D"/>
    <w:rsid w:val="001C4E81"/>
    <w:rsid w:val="001C51BB"/>
    <w:rsid w:val="001C534A"/>
    <w:rsid w:val="001C539A"/>
    <w:rsid w:val="001C5540"/>
    <w:rsid w:val="001C58D3"/>
    <w:rsid w:val="001C5912"/>
    <w:rsid w:val="001C5EB5"/>
    <w:rsid w:val="001C5ECC"/>
    <w:rsid w:val="001C61C5"/>
    <w:rsid w:val="001C64C1"/>
    <w:rsid w:val="001C66D1"/>
    <w:rsid w:val="001C69C4"/>
    <w:rsid w:val="001C6A71"/>
    <w:rsid w:val="001C6DDE"/>
    <w:rsid w:val="001C74FB"/>
    <w:rsid w:val="001C7709"/>
    <w:rsid w:val="001C7A73"/>
    <w:rsid w:val="001C7B93"/>
    <w:rsid w:val="001C7BC4"/>
    <w:rsid w:val="001C7EFF"/>
    <w:rsid w:val="001D023B"/>
    <w:rsid w:val="001D0675"/>
    <w:rsid w:val="001D0808"/>
    <w:rsid w:val="001D08C5"/>
    <w:rsid w:val="001D0A72"/>
    <w:rsid w:val="001D0CAA"/>
    <w:rsid w:val="001D0DE0"/>
    <w:rsid w:val="001D0DE1"/>
    <w:rsid w:val="001D0FCD"/>
    <w:rsid w:val="001D12C6"/>
    <w:rsid w:val="001D13C9"/>
    <w:rsid w:val="001D1CC8"/>
    <w:rsid w:val="001D2162"/>
    <w:rsid w:val="001D2328"/>
    <w:rsid w:val="001D26D9"/>
    <w:rsid w:val="001D290E"/>
    <w:rsid w:val="001D2EC8"/>
    <w:rsid w:val="001D2ED8"/>
    <w:rsid w:val="001D34C5"/>
    <w:rsid w:val="001D360E"/>
    <w:rsid w:val="001D37EF"/>
    <w:rsid w:val="001D3A50"/>
    <w:rsid w:val="001D3BE0"/>
    <w:rsid w:val="001D3E30"/>
    <w:rsid w:val="001D44AA"/>
    <w:rsid w:val="001D4707"/>
    <w:rsid w:val="001D486C"/>
    <w:rsid w:val="001D4967"/>
    <w:rsid w:val="001D4C5C"/>
    <w:rsid w:val="001D4FEC"/>
    <w:rsid w:val="001D67EC"/>
    <w:rsid w:val="001D69E9"/>
    <w:rsid w:val="001D6A3A"/>
    <w:rsid w:val="001D6A62"/>
    <w:rsid w:val="001D6B9B"/>
    <w:rsid w:val="001D6EAB"/>
    <w:rsid w:val="001D7424"/>
    <w:rsid w:val="001D77E6"/>
    <w:rsid w:val="001D7B7E"/>
    <w:rsid w:val="001D7CAF"/>
    <w:rsid w:val="001E01D2"/>
    <w:rsid w:val="001E044D"/>
    <w:rsid w:val="001E0C5D"/>
    <w:rsid w:val="001E11DF"/>
    <w:rsid w:val="001E145E"/>
    <w:rsid w:val="001E14EA"/>
    <w:rsid w:val="001E1778"/>
    <w:rsid w:val="001E1AAE"/>
    <w:rsid w:val="001E1B96"/>
    <w:rsid w:val="001E1C42"/>
    <w:rsid w:val="001E1E6E"/>
    <w:rsid w:val="001E21AC"/>
    <w:rsid w:val="001E25A9"/>
    <w:rsid w:val="001E25FE"/>
    <w:rsid w:val="001E27C9"/>
    <w:rsid w:val="001E28B8"/>
    <w:rsid w:val="001E2B8C"/>
    <w:rsid w:val="001E3245"/>
    <w:rsid w:val="001E3590"/>
    <w:rsid w:val="001E35A4"/>
    <w:rsid w:val="001E3960"/>
    <w:rsid w:val="001E3ABE"/>
    <w:rsid w:val="001E3AF2"/>
    <w:rsid w:val="001E3BC0"/>
    <w:rsid w:val="001E445C"/>
    <w:rsid w:val="001E4D9A"/>
    <w:rsid w:val="001E4FE6"/>
    <w:rsid w:val="001E559C"/>
    <w:rsid w:val="001E5703"/>
    <w:rsid w:val="001E5C82"/>
    <w:rsid w:val="001E5E31"/>
    <w:rsid w:val="001E6067"/>
    <w:rsid w:val="001E683D"/>
    <w:rsid w:val="001E6867"/>
    <w:rsid w:val="001E7407"/>
    <w:rsid w:val="001E7540"/>
    <w:rsid w:val="001E7587"/>
    <w:rsid w:val="001E7D89"/>
    <w:rsid w:val="001E7E4F"/>
    <w:rsid w:val="001E7EFB"/>
    <w:rsid w:val="001F0930"/>
    <w:rsid w:val="001F0B94"/>
    <w:rsid w:val="001F103A"/>
    <w:rsid w:val="001F117D"/>
    <w:rsid w:val="001F12F0"/>
    <w:rsid w:val="001F14C6"/>
    <w:rsid w:val="001F159D"/>
    <w:rsid w:val="001F1BDE"/>
    <w:rsid w:val="001F1EED"/>
    <w:rsid w:val="001F1F0B"/>
    <w:rsid w:val="001F20C8"/>
    <w:rsid w:val="001F269A"/>
    <w:rsid w:val="001F2A4C"/>
    <w:rsid w:val="001F2A85"/>
    <w:rsid w:val="001F2B57"/>
    <w:rsid w:val="001F311A"/>
    <w:rsid w:val="001F333D"/>
    <w:rsid w:val="001F344F"/>
    <w:rsid w:val="001F35A7"/>
    <w:rsid w:val="001F3815"/>
    <w:rsid w:val="001F3A59"/>
    <w:rsid w:val="001F3ABD"/>
    <w:rsid w:val="001F3E52"/>
    <w:rsid w:val="001F3F96"/>
    <w:rsid w:val="001F5289"/>
    <w:rsid w:val="001F5579"/>
    <w:rsid w:val="001F5649"/>
    <w:rsid w:val="001F5979"/>
    <w:rsid w:val="001F59B3"/>
    <w:rsid w:val="001F59BC"/>
    <w:rsid w:val="001F5D5C"/>
    <w:rsid w:val="001F5D5E"/>
    <w:rsid w:val="001F5E61"/>
    <w:rsid w:val="001F5E62"/>
    <w:rsid w:val="001F5E67"/>
    <w:rsid w:val="001F6219"/>
    <w:rsid w:val="001F68ED"/>
    <w:rsid w:val="001F6C3D"/>
    <w:rsid w:val="001F6CD4"/>
    <w:rsid w:val="001F6FDC"/>
    <w:rsid w:val="001F7238"/>
    <w:rsid w:val="001F78BF"/>
    <w:rsid w:val="001F7A49"/>
    <w:rsid w:val="001F7AF2"/>
    <w:rsid w:val="001F7D9B"/>
    <w:rsid w:val="002001A3"/>
    <w:rsid w:val="0020066B"/>
    <w:rsid w:val="0020092B"/>
    <w:rsid w:val="00200C37"/>
    <w:rsid w:val="00200F2E"/>
    <w:rsid w:val="00200FF9"/>
    <w:rsid w:val="00201272"/>
    <w:rsid w:val="0020203C"/>
    <w:rsid w:val="00202719"/>
    <w:rsid w:val="00202795"/>
    <w:rsid w:val="00202F70"/>
    <w:rsid w:val="002031CB"/>
    <w:rsid w:val="0020424A"/>
    <w:rsid w:val="00204303"/>
    <w:rsid w:val="002044A8"/>
    <w:rsid w:val="00205596"/>
    <w:rsid w:val="00205980"/>
    <w:rsid w:val="002060BB"/>
    <w:rsid w:val="002069FE"/>
    <w:rsid w:val="00206A82"/>
    <w:rsid w:val="00206C4D"/>
    <w:rsid w:val="0020728C"/>
    <w:rsid w:val="002073CE"/>
    <w:rsid w:val="0020760D"/>
    <w:rsid w:val="00207649"/>
    <w:rsid w:val="0020785A"/>
    <w:rsid w:val="0020795A"/>
    <w:rsid w:val="00207D26"/>
    <w:rsid w:val="00207D74"/>
    <w:rsid w:val="00207ED8"/>
    <w:rsid w:val="002101C2"/>
    <w:rsid w:val="00210294"/>
    <w:rsid w:val="002103C5"/>
    <w:rsid w:val="00210596"/>
    <w:rsid w:val="00210B44"/>
    <w:rsid w:val="00210D11"/>
    <w:rsid w:val="00211092"/>
    <w:rsid w:val="00211160"/>
    <w:rsid w:val="002112B0"/>
    <w:rsid w:val="00211594"/>
    <w:rsid w:val="0021167D"/>
    <w:rsid w:val="00211A38"/>
    <w:rsid w:val="00211A6D"/>
    <w:rsid w:val="00211C35"/>
    <w:rsid w:val="00211D0D"/>
    <w:rsid w:val="00211D0E"/>
    <w:rsid w:val="00212323"/>
    <w:rsid w:val="00212356"/>
    <w:rsid w:val="0021298F"/>
    <w:rsid w:val="00212CC8"/>
    <w:rsid w:val="00212D1A"/>
    <w:rsid w:val="0021331B"/>
    <w:rsid w:val="0021410C"/>
    <w:rsid w:val="00214980"/>
    <w:rsid w:val="00214B48"/>
    <w:rsid w:val="00215104"/>
    <w:rsid w:val="002151B2"/>
    <w:rsid w:val="002155A0"/>
    <w:rsid w:val="00215AF1"/>
    <w:rsid w:val="0021619A"/>
    <w:rsid w:val="002161F4"/>
    <w:rsid w:val="00216285"/>
    <w:rsid w:val="002167B8"/>
    <w:rsid w:val="00216B39"/>
    <w:rsid w:val="00216C26"/>
    <w:rsid w:val="00216D0F"/>
    <w:rsid w:val="00216F31"/>
    <w:rsid w:val="002171A4"/>
    <w:rsid w:val="002173BD"/>
    <w:rsid w:val="00217436"/>
    <w:rsid w:val="00217506"/>
    <w:rsid w:val="00217CAF"/>
    <w:rsid w:val="00217D7A"/>
    <w:rsid w:val="00217D9E"/>
    <w:rsid w:val="0022022D"/>
    <w:rsid w:val="00220C33"/>
    <w:rsid w:val="00220C3F"/>
    <w:rsid w:val="00221010"/>
    <w:rsid w:val="00221333"/>
    <w:rsid w:val="0022140D"/>
    <w:rsid w:val="00221553"/>
    <w:rsid w:val="002215CF"/>
    <w:rsid w:val="0022182A"/>
    <w:rsid w:val="002219AA"/>
    <w:rsid w:val="00221C2F"/>
    <w:rsid w:val="00221C72"/>
    <w:rsid w:val="00221D1A"/>
    <w:rsid w:val="00221D75"/>
    <w:rsid w:val="00221FE2"/>
    <w:rsid w:val="0022224A"/>
    <w:rsid w:val="00222743"/>
    <w:rsid w:val="00222B1E"/>
    <w:rsid w:val="00222E2E"/>
    <w:rsid w:val="00222E38"/>
    <w:rsid w:val="00222FCC"/>
    <w:rsid w:val="00223414"/>
    <w:rsid w:val="002236B9"/>
    <w:rsid w:val="0022416C"/>
    <w:rsid w:val="00224A2D"/>
    <w:rsid w:val="00224CE7"/>
    <w:rsid w:val="00224DCE"/>
    <w:rsid w:val="00224E0A"/>
    <w:rsid w:val="002251A3"/>
    <w:rsid w:val="002252F1"/>
    <w:rsid w:val="0022537A"/>
    <w:rsid w:val="00225432"/>
    <w:rsid w:val="00225545"/>
    <w:rsid w:val="00225A28"/>
    <w:rsid w:val="00225CA4"/>
    <w:rsid w:val="002262B9"/>
    <w:rsid w:val="002302DD"/>
    <w:rsid w:val="0023036E"/>
    <w:rsid w:val="00230426"/>
    <w:rsid w:val="002305DD"/>
    <w:rsid w:val="00230B99"/>
    <w:rsid w:val="00230C9B"/>
    <w:rsid w:val="00231FB4"/>
    <w:rsid w:val="002321E8"/>
    <w:rsid w:val="00232984"/>
    <w:rsid w:val="00232AE4"/>
    <w:rsid w:val="00232E32"/>
    <w:rsid w:val="002330B4"/>
    <w:rsid w:val="0023407B"/>
    <w:rsid w:val="002352F7"/>
    <w:rsid w:val="0023590D"/>
    <w:rsid w:val="00235AAE"/>
    <w:rsid w:val="00235E51"/>
    <w:rsid w:val="0023602C"/>
    <w:rsid w:val="002360DD"/>
    <w:rsid w:val="00236196"/>
    <w:rsid w:val="002361C6"/>
    <w:rsid w:val="00236581"/>
    <w:rsid w:val="002366D6"/>
    <w:rsid w:val="00236A9D"/>
    <w:rsid w:val="00236CA3"/>
    <w:rsid w:val="002372C7"/>
    <w:rsid w:val="0023731A"/>
    <w:rsid w:val="002373B6"/>
    <w:rsid w:val="00237777"/>
    <w:rsid w:val="00237905"/>
    <w:rsid w:val="00237EB8"/>
    <w:rsid w:val="0024010F"/>
    <w:rsid w:val="00240349"/>
    <w:rsid w:val="00240363"/>
    <w:rsid w:val="002403AE"/>
    <w:rsid w:val="0024067B"/>
    <w:rsid w:val="00240749"/>
    <w:rsid w:val="002408DD"/>
    <w:rsid w:val="002409CC"/>
    <w:rsid w:val="0024162E"/>
    <w:rsid w:val="00242104"/>
    <w:rsid w:val="00242663"/>
    <w:rsid w:val="00242924"/>
    <w:rsid w:val="00242B7B"/>
    <w:rsid w:val="00242CE2"/>
    <w:rsid w:val="00242F40"/>
    <w:rsid w:val="00242FB9"/>
    <w:rsid w:val="00242FF5"/>
    <w:rsid w:val="00242FF7"/>
    <w:rsid w:val="00243018"/>
    <w:rsid w:val="002434CA"/>
    <w:rsid w:val="0024357D"/>
    <w:rsid w:val="00243B2C"/>
    <w:rsid w:val="002445E3"/>
    <w:rsid w:val="002446B4"/>
    <w:rsid w:val="00244AF6"/>
    <w:rsid w:val="00245257"/>
    <w:rsid w:val="00245EED"/>
    <w:rsid w:val="00246275"/>
    <w:rsid w:val="0024647B"/>
    <w:rsid w:val="00246591"/>
    <w:rsid w:val="0024660A"/>
    <w:rsid w:val="00246676"/>
    <w:rsid w:val="00246E07"/>
    <w:rsid w:val="002474F7"/>
    <w:rsid w:val="002477B9"/>
    <w:rsid w:val="00247804"/>
    <w:rsid w:val="002500D1"/>
    <w:rsid w:val="002502BC"/>
    <w:rsid w:val="002502DE"/>
    <w:rsid w:val="00250430"/>
    <w:rsid w:val="002509B4"/>
    <w:rsid w:val="002509CC"/>
    <w:rsid w:val="00250B4B"/>
    <w:rsid w:val="0025160F"/>
    <w:rsid w:val="002517D6"/>
    <w:rsid w:val="00251B58"/>
    <w:rsid w:val="00251E52"/>
    <w:rsid w:val="00251E53"/>
    <w:rsid w:val="0025308C"/>
    <w:rsid w:val="002530A9"/>
    <w:rsid w:val="0025312A"/>
    <w:rsid w:val="00253265"/>
    <w:rsid w:val="00253471"/>
    <w:rsid w:val="00253770"/>
    <w:rsid w:val="00253B41"/>
    <w:rsid w:val="00253BED"/>
    <w:rsid w:val="002540E7"/>
    <w:rsid w:val="00254311"/>
    <w:rsid w:val="00254416"/>
    <w:rsid w:val="002544BC"/>
    <w:rsid w:val="002544DA"/>
    <w:rsid w:val="00254979"/>
    <w:rsid w:val="00254BA9"/>
    <w:rsid w:val="00254EFF"/>
    <w:rsid w:val="00254F1A"/>
    <w:rsid w:val="00255137"/>
    <w:rsid w:val="00255159"/>
    <w:rsid w:val="0025532F"/>
    <w:rsid w:val="00255408"/>
    <w:rsid w:val="00255566"/>
    <w:rsid w:val="0025578C"/>
    <w:rsid w:val="00255D01"/>
    <w:rsid w:val="002564A4"/>
    <w:rsid w:val="002564D1"/>
    <w:rsid w:val="002565CA"/>
    <w:rsid w:val="00256A06"/>
    <w:rsid w:val="00256C5F"/>
    <w:rsid w:val="00257036"/>
    <w:rsid w:val="0025748E"/>
    <w:rsid w:val="00257D8B"/>
    <w:rsid w:val="002600A5"/>
    <w:rsid w:val="002604A7"/>
    <w:rsid w:val="0026055F"/>
    <w:rsid w:val="00260A76"/>
    <w:rsid w:val="00260C8A"/>
    <w:rsid w:val="00260ECE"/>
    <w:rsid w:val="002611C3"/>
    <w:rsid w:val="002612AF"/>
    <w:rsid w:val="00261371"/>
    <w:rsid w:val="002615DC"/>
    <w:rsid w:val="00261F06"/>
    <w:rsid w:val="00262326"/>
    <w:rsid w:val="0026236C"/>
    <w:rsid w:val="00262793"/>
    <w:rsid w:val="0026286F"/>
    <w:rsid w:val="00262B2B"/>
    <w:rsid w:val="002634DD"/>
    <w:rsid w:val="002635C1"/>
    <w:rsid w:val="002635C6"/>
    <w:rsid w:val="002638B3"/>
    <w:rsid w:val="00263BAA"/>
    <w:rsid w:val="00264207"/>
    <w:rsid w:val="0026425C"/>
    <w:rsid w:val="0026431D"/>
    <w:rsid w:val="002648C4"/>
    <w:rsid w:val="00264A87"/>
    <w:rsid w:val="00265161"/>
    <w:rsid w:val="00265585"/>
    <w:rsid w:val="00265EFC"/>
    <w:rsid w:val="0026658B"/>
    <w:rsid w:val="00266644"/>
    <w:rsid w:val="0026673B"/>
    <w:rsid w:val="00266B86"/>
    <w:rsid w:val="00266CC5"/>
    <w:rsid w:val="0026722C"/>
    <w:rsid w:val="0026736C"/>
    <w:rsid w:val="0026741E"/>
    <w:rsid w:val="00267858"/>
    <w:rsid w:val="00267869"/>
    <w:rsid w:val="0026799A"/>
    <w:rsid w:val="00267C7C"/>
    <w:rsid w:val="002700B5"/>
    <w:rsid w:val="00270165"/>
    <w:rsid w:val="002703BC"/>
    <w:rsid w:val="002704CC"/>
    <w:rsid w:val="0027074E"/>
    <w:rsid w:val="00270E54"/>
    <w:rsid w:val="00270F08"/>
    <w:rsid w:val="00271148"/>
    <w:rsid w:val="00271668"/>
    <w:rsid w:val="002716E8"/>
    <w:rsid w:val="002718F9"/>
    <w:rsid w:val="00271A63"/>
    <w:rsid w:val="0027200B"/>
    <w:rsid w:val="002724BA"/>
    <w:rsid w:val="002726DC"/>
    <w:rsid w:val="00272FAB"/>
    <w:rsid w:val="002736B6"/>
    <w:rsid w:val="00273EA8"/>
    <w:rsid w:val="00273ECC"/>
    <w:rsid w:val="002742EC"/>
    <w:rsid w:val="0027433C"/>
    <w:rsid w:val="002748C2"/>
    <w:rsid w:val="00274BAF"/>
    <w:rsid w:val="00274C7A"/>
    <w:rsid w:val="00274F64"/>
    <w:rsid w:val="00274FE8"/>
    <w:rsid w:val="002756E4"/>
    <w:rsid w:val="002758C6"/>
    <w:rsid w:val="00275DC4"/>
    <w:rsid w:val="002764B5"/>
    <w:rsid w:val="002765D5"/>
    <w:rsid w:val="002766E7"/>
    <w:rsid w:val="00276AA7"/>
    <w:rsid w:val="00276C3E"/>
    <w:rsid w:val="00277660"/>
    <w:rsid w:val="0027768E"/>
    <w:rsid w:val="002776AF"/>
    <w:rsid w:val="00277DF4"/>
    <w:rsid w:val="00280382"/>
    <w:rsid w:val="002803AD"/>
    <w:rsid w:val="00280588"/>
    <w:rsid w:val="00280849"/>
    <w:rsid w:val="00280A7A"/>
    <w:rsid w:val="00280B84"/>
    <w:rsid w:val="00281001"/>
    <w:rsid w:val="00281308"/>
    <w:rsid w:val="002816DB"/>
    <w:rsid w:val="00281C28"/>
    <w:rsid w:val="002820A1"/>
    <w:rsid w:val="002821AF"/>
    <w:rsid w:val="00282894"/>
    <w:rsid w:val="00283023"/>
    <w:rsid w:val="00283106"/>
    <w:rsid w:val="00283AD4"/>
    <w:rsid w:val="00284109"/>
    <w:rsid w:val="002842B4"/>
    <w:rsid w:val="0028462A"/>
    <w:rsid w:val="00284719"/>
    <w:rsid w:val="00284D19"/>
    <w:rsid w:val="00285BFF"/>
    <w:rsid w:val="00285DA3"/>
    <w:rsid w:val="00285FD4"/>
    <w:rsid w:val="00286281"/>
    <w:rsid w:val="00286309"/>
    <w:rsid w:val="0028679F"/>
    <w:rsid w:val="00286AC1"/>
    <w:rsid w:val="00286ACF"/>
    <w:rsid w:val="002874D2"/>
    <w:rsid w:val="00287980"/>
    <w:rsid w:val="00290368"/>
    <w:rsid w:val="0029077D"/>
    <w:rsid w:val="0029097F"/>
    <w:rsid w:val="00290E13"/>
    <w:rsid w:val="00290E55"/>
    <w:rsid w:val="00290F64"/>
    <w:rsid w:val="002910AC"/>
    <w:rsid w:val="00291723"/>
    <w:rsid w:val="0029193C"/>
    <w:rsid w:val="00291A40"/>
    <w:rsid w:val="00291F73"/>
    <w:rsid w:val="0029229C"/>
    <w:rsid w:val="0029293B"/>
    <w:rsid w:val="0029298B"/>
    <w:rsid w:val="00292CA7"/>
    <w:rsid w:val="00292F3D"/>
    <w:rsid w:val="00293601"/>
    <w:rsid w:val="002936B4"/>
    <w:rsid w:val="00293CD1"/>
    <w:rsid w:val="0029435F"/>
    <w:rsid w:val="0029451B"/>
    <w:rsid w:val="0029467A"/>
    <w:rsid w:val="002947C5"/>
    <w:rsid w:val="0029486E"/>
    <w:rsid w:val="00294BA5"/>
    <w:rsid w:val="00295038"/>
    <w:rsid w:val="002951A5"/>
    <w:rsid w:val="002952A9"/>
    <w:rsid w:val="00295552"/>
    <w:rsid w:val="00295D9E"/>
    <w:rsid w:val="00295E1F"/>
    <w:rsid w:val="002961B2"/>
    <w:rsid w:val="0029625B"/>
    <w:rsid w:val="00296333"/>
    <w:rsid w:val="00296470"/>
    <w:rsid w:val="002965C9"/>
    <w:rsid w:val="002967BB"/>
    <w:rsid w:val="00296B5D"/>
    <w:rsid w:val="00296C9B"/>
    <w:rsid w:val="00297088"/>
    <w:rsid w:val="0029723C"/>
    <w:rsid w:val="00297ECB"/>
    <w:rsid w:val="00297FE5"/>
    <w:rsid w:val="002A0075"/>
    <w:rsid w:val="002A013A"/>
    <w:rsid w:val="002A0156"/>
    <w:rsid w:val="002A0D32"/>
    <w:rsid w:val="002A0E86"/>
    <w:rsid w:val="002A1460"/>
    <w:rsid w:val="002A1B31"/>
    <w:rsid w:val="002A1F19"/>
    <w:rsid w:val="002A204D"/>
    <w:rsid w:val="002A21E2"/>
    <w:rsid w:val="002A2C82"/>
    <w:rsid w:val="002A2CAE"/>
    <w:rsid w:val="002A2F6F"/>
    <w:rsid w:val="002A35C1"/>
    <w:rsid w:val="002A3F2E"/>
    <w:rsid w:val="002A4087"/>
    <w:rsid w:val="002A414C"/>
    <w:rsid w:val="002A45A2"/>
    <w:rsid w:val="002A46E0"/>
    <w:rsid w:val="002A5A6F"/>
    <w:rsid w:val="002A5DC7"/>
    <w:rsid w:val="002A6422"/>
    <w:rsid w:val="002A6CF1"/>
    <w:rsid w:val="002A70B7"/>
    <w:rsid w:val="002A781A"/>
    <w:rsid w:val="002A7A10"/>
    <w:rsid w:val="002A7AD2"/>
    <w:rsid w:val="002A7BCF"/>
    <w:rsid w:val="002A7D1E"/>
    <w:rsid w:val="002A7E72"/>
    <w:rsid w:val="002B0295"/>
    <w:rsid w:val="002B02CC"/>
    <w:rsid w:val="002B0595"/>
    <w:rsid w:val="002B0B56"/>
    <w:rsid w:val="002B1144"/>
    <w:rsid w:val="002B120D"/>
    <w:rsid w:val="002B14B3"/>
    <w:rsid w:val="002B173E"/>
    <w:rsid w:val="002B1E32"/>
    <w:rsid w:val="002B1F6C"/>
    <w:rsid w:val="002B25A2"/>
    <w:rsid w:val="002B25F4"/>
    <w:rsid w:val="002B2CA6"/>
    <w:rsid w:val="002B33D5"/>
    <w:rsid w:val="002B39AF"/>
    <w:rsid w:val="002B3A6F"/>
    <w:rsid w:val="002B4AC0"/>
    <w:rsid w:val="002B4B4C"/>
    <w:rsid w:val="002B5119"/>
    <w:rsid w:val="002B5A74"/>
    <w:rsid w:val="002B5A91"/>
    <w:rsid w:val="002B6E64"/>
    <w:rsid w:val="002B6EC2"/>
    <w:rsid w:val="002B724C"/>
    <w:rsid w:val="002B7525"/>
    <w:rsid w:val="002B76FA"/>
    <w:rsid w:val="002B79F0"/>
    <w:rsid w:val="002B7AAE"/>
    <w:rsid w:val="002C0779"/>
    <w:rsid w:val="002C09F3"/>
    <w:rsid w:val="002C0AD5"/>
    <w:rsid w:val="002C0E08"/>
    <w:rsid w:val="002C1110"/>
    <w:rsid w:val="002C196B"/>
    <w:rsid w:val="002C1EBA"/>
    <w:rsid w:val="002C23C2"/>
    <w:rsid w:val="002C261A"/>
    <w:rsid w:val="002C283B"/>
    <w:rsid w:val="002C2B54"/>
    <w:rsid w:val="002C2BE3"/>
    <w:rsid w:val="002C2F54"/>
    <w:rsid w:val="002C2F62"/>
    <w:rsid w:val="002C2FCE"/>
    <w:rsid w:val="002C31FA"/>
    <w:rsid w:val="002C3297"/>
    <w:rsid w:val="002C32C8"/>
    <w:rsid w:val="002C3483"/>
    <w:rsid w:val="002C34FA"/>
    <w:rsid w:val="002C3C4A"/>
    <w:rsid w:val="002C3FD1"/>
    <w:rsid w:val="002C4111"/>
    <w:rsid w:val="002C441E"/>
    <w:rsid w:val="002C46DF"/>
    <w:rsid w:val="002C49A4"/>
    <w:rsid w:val="002C4ADB"/>
    <w:rsid w:val="002C4F1C"/>
    <w:rsid w:val="002C5451"/>
    <w:rsid w:val="002C5812"/>
    <w:rsid w:val="002C58B2"/>
    <w:rsid w:val="002C58B6"/>
    <w:rsid w:val="002C5B29"/>
    <w:rsid w:val="002C5D42"/>
    <w:rsid w:val="002C5E90"/>
    <w:rsid w:val="002C6618"/>
    <w:rsid w:val="002C68B3"/>
    <w:rsid w:val="002C68D7"/>
    <w:rsid w:val="002C6E79"/>
    <w:rsid w:val="002C71EE"/>
    <w:rsid w:val="002C75BE"/>
    <w:rsid w:val="002C78AE"/>
    <w:rsid w:val="002C7AA0"/>
    <w:rsid w:val="002C7DAB"/>
    <w:rsid w:val="002D010F"/>
    <w:rsid w:val="002D043A"/>
    <w:rsid w:val="002D051D"/>
    <w:rsid w:val="002D0AEB"/>
    <w:rsid w:val="002D0F2F"/>
    <w:rsid w:val="002D1058"/>
    <w:rsid w:val="002D13EA"/>
    <w:rsid w:val="002D1680"/>
    <w:rsid w:val="002D1A2A"/>
    <w:rsid w:val="002D1BF1"/>
    <w:rsid w:val="002D21EE"/>
    <w:rsid w:val="002D266B"/>
    <w:rsid w:val="002D29FF"/>
    <w:rsid w:val="002D2EEC"/>
    <w:rsid w:val="002D3183"/>
    <w:rsid w:val="002D3298"/>
    <w:rsid w:val="002D352A"/>
    <w:rsid w:val="002D36B4"/>
    <w:rsid w:val="002D3886"/>
    <w:rsid w:val="002D3A67"/>
    <w:rsid w:val="002D3FCA"/>
    <w:rsid w:val="002D4723"/>
    <w:rsid w:val="002D4A2F"/>
    <w:rsid w:val="002D4E0B"/>
    <w:rsid w:val="002D4F23"/>
    <w:rsid w:val="002D506A"/>
    <w:rsid w:val="002D51A1"/>
    <w:rsid w:val="002D523D"/>
    <w:rsid w:val="002D528F"/>
    <w:rsid w:val="002D52BA"/>
    <w:rsid w:val="002D5C5B"/>
    <w:rsid w:val="002D5EFB"/>
    <w:rsid w:val="002D6224"/>
    <w:rsid w:val="002D6A4D"/>
    <w:rsid w:val="002D6FD2"/>
    <w:rsid w:val="002D7065"/>
    <w:rsid w:val="002D72CD"/>
    <w:rsid w:val="002D7374"/>
    <w:rsid w:val="002D75F1"/>
    <w:rsid w:val="002D7874"/>
    <w:rsid w:val="002D7C0A"/>
    <w:rsid w:val="002D7C31"/>
    <w:rsid w:val="002D7CE8"/>
    <w:rsid w:val="002D7D20"/>
    <w:rsid w:val="002E023C"/>
    <w:rsid w:val="002E0905"/>
    <w:rsid w:val="002E0E5B"/>
    <w:rsid w:val="002E1052"/>
    <w:rsid w:val="002E11F3"/>
    <w:rsid w:val="002E1363"/>
    <w:rsid w:val="002E153F"/>
    <w:rsid w:val="002E1562"/>
    <w:rsid w:val="002E1656"/>
    <w:rsid w:val="002E1744"/>
    <w:rsid w:val="002E1818"/>
    <w:rsid w:val="002E1C9A"/>
    <w:rsid w:val="002E1D02"/>
    <w:rsid w:val="002E2072"/>
    <w:rsid w:val="002E2401"/>
    <w:rsid w:val="002E2610"/>
    <w:rsid w:val="002E2724"/>
    <w:rsid w:val="002E2D2E"/>
    <w:rsid w:val="002E2E20"/>
    <w:rsid w:val="002E3635"/>
    <w:rsid w:val="002E38D5"/>
    <w:rsid w:val="002E39E3"/>
    <w:rsid w:val="002E3E16"/>
    <w:rsid w:val="002E3E9F"/>
    <w:rsid w:val="002E3FFD"/>
    <w:rsid w:val="002E4917"/>
    <w:rsid w:val="002E4C68"/>
    <w:rsid w:val="002E5772"/>
    <w:rsid w:val="002E5C56"/>
    <w:rsid w:val="002E60A5"/>
    <w:rsid w:val="002E6A17"/>
    <w:rsid w:val="002E6B27"/>
    <w:rsid w:val="002E6BE7"/>
    <w:rsid w:val="002E7573"/>
    <w:rsid w:val="002E79AF"/>
    <w:rsid w:val="002E7A58"/>
    <w:rsid w:val="002E7A71"/>
    <w:rsid w:val="002E7EED"/>
    <w:rsid w:val="002E7F4D"/>
    <w:rsid w:val="002F0161"/>
    <w:rsid w:val="002F085B"/>
    <w:rsid w:val="002F0926"/>
    <w:rsid w:val="002F0B72"/>
    <w:rsid w:val="002F0C7E"/>
    <w:rsid w:val="002F0FF8"/>
    <w:rsid w:val="002F128A"/>
    <w:rsid w:val="002F12FC"/>
    <w:rsid w:val="002F1B0D"/>
    <w:rsid w:val="002F1B0F"/>
    <w:rsid w:val="002F1C28"/>
    <w:rsid w:val="002F1DB8"/>
    <w:rsid w:val="002F2110"/>
    <w:rsid w:val="002F2507"/>
    <w:rsid w:val="002F268D"/>
    <w:rsid w:val="002F27D4"/>
    <w:rsid w:val="002F2E8E"/>
    <w:rsid w:val="002F2F97"/>
    <w:rsid w:val="002F2FB9"/>
    <w:rsid w:val="002F302F"/>
    <w:rsid w:val="002F3103"/>
    <w:rsid w:val="002F3698"/>
    <w:rsid w:val="002F3A4F"/>
    <w:rsid w:val="002F3A6B"/>
    <w:rsid w:val="002F3E06"/>
    <w:rsid w:val="002F423A"/>
    <w:rsid w:val="002F4A22"/>
    <w:rsid w:val="002F4E6F"/>
    <w:rsid w:val="002F5147"/>
    <w:rsid w:val="002F54F7"/>
    <w:rsid w:val="002F55FA"/>
    <w:rsid w:val="002F56FB"/>
    <w:rsid w:val="002F570D"/>
    <w:rsid w:val="002F63AE"/>
    <w:rsid w:val="002F6EB6"/>
    <w:rsid w:val="003000B4"/>
    <w:rsid w:val="00300194"/>
    <w:rsid w:val="00300F29"/>
    <w:rsid w:val="00301141"/>
    <w:rsid w:val="00301291"/>
    <w:rsid w:val="00301674"/>
    <w:rsid w:val="00301CE1"/>
    <w:rsid w:val="0030201A"/>
    <w:rsid w:val="003020A5"/>
    <w:rsid w:val="00302424"/>
    <w:rsid w:val="0030345A"/>
    <w:rsid w:val="00303990"/>
    <w:rsid w:val="003039C2"/>
    <w:rsid w:val="003039CD"/>
    <w:rsid w:val="00303C86"/>
    <w:rsid w:val="003041BA"/>
    <w:rsid w:val="003041C7"/>
    <w:rsid w:val="00304623"/>
    <w:rsid w:val="00304CE9"/>
    <w:rsid w:val="00304F8B"/>
    <w:rsid w:val="003054FA"/>
    <w:rsid w:val="00305637"/>
    <w:rsid w:val="00305C50"/>
    <w:rsid w:val="00305E64"/>
    <w:rsid w:val="0030621E"/>
    <w:rsid w:val="00306B9B"/>
    <w:rsid w:val="00306FEF"/>
    <w:rsid w:val="0030732C"/>
    <w:rsid w:val="00307784"/>
    <w:rsid w:val="00310BFB"/>
    <w:rsid w:val="003114E0"/>
    <w:rsid w:val="003115F4"/>
    <w:rsid w:val="00312239"/>
    <w:rsid w:val="0031291C"/>
    <w:rsid w:val="003129A8"/>
    <w:rsid w:val="00312F89"/>
    <w:rsid w:val="003131E1"/>
    <w:rsid w:val="00313603"/>
    <w:rsid w:val="00313743"/>
    <w:rsid w:val="00313758"/>
    <w:rsid w:val="003141F4"/>
    <w:rsid w:val="00314493"/>
    <w:rsid w:val="003145EA"/>
    <w:rsid w:val="00314A6A"/>
    <w:rsid w:val="0031509B"/>
    <w:rsid w:val="00315121"/>
    <w:rsid w:val="00315523"/>
    <w:rsid w:val="00315DCB"/>
    <w:rsid w:val="00315EB5"/>
    <w:rsid w:val="0031654F"/>
    <w:rsid w:val="003167ED"/>
    <w:rsid w:val="003168E6"/>
    <w:rsid w:val="00316D93"/>
    <w:rsid w:val="00316DEB"/>
    <w:rsid w:val="003170A8"/>
    <w:rsid w:val="00317214"/>
    <w:rsid w:val="00317A95"/>
    <w:rsid w:val="00317BD4"/>
    <w:rsid w:val="00317C2B"/>
    <w:rsid w:val="00320294"/>
    <w:rsid w:val="00320694"/>
    <w:rsid w:val="0032074B"/>
    <w:rsid w:val="003207D6"/>
    <w:rsid w:val="00321252"/>
    <w:rsid w:val="00321373"/>
    <w:rsid w:val="0032137E"/>
    <w:rsid w:val="0032151F"/>
    <w:rsid w:val="00321E64"/>
    <w:rsid w:val="003220DD"/>
    <w:rsid w:val="00322188"/>
    <w:rsid w:val="003223FF"/>
    <w:rsid w:val="003228B1"/>
    <w:rsid w:val="00323042"/>
    <w:rsid w:val="00323337"/>
    <w:rsid w:val="00323385"/>
    <w:rsid w:val="00323A9B"/>
    <w:rsid w:val="00323D98"/>
    <w:rsid w:val="003240AA"/>
    <w:rsid w:val="0032415A"/>
    <w:rsid w:val="003243BF"/>
    <w:rsid w:val="00324B9F"/>
    <w:rsid w:val="00324CAC"/>
    <w:rsid w:val="00324D32"/>
    <w:rsid w:val="00324D67"/>
    <w:rsid w:val="00324FB2"/>
    <w:rsid w:val="0032505D"/>
    <w:rsid w:val="003250A8"/>
    <w:rsid w:val="003250FB"/>
    <w:rsid w:val="00325DB2"/>
    <w:rsid w:val="00325F72"/>
    <w:rsid w:val="00326433"/>
    <w:rsid w:val="003267AB"/>
    <w:rsid w:val="00326CD3"/>
    <w:rsid w:val="0032708E"/>
    <w:rsid w:val="00327148"/>
    <w:rsid w:val="00327154"/>
    <w:rsid w:val="00327174"/>
    <w:rsid w:val="00327476"/>
    <w:rsid w:val="00327733"/>
    <w:rsid w:val="00327A16"/>
    <w:rsid w:val="00327C0B"/>
    <w:rsid w:val="00327C10"/>
    <w:rsid w:val="00327F63"/>
    <w:rsid w:val="00330130"/>
    <w:rsid w:val="003304D5"/>
    <w:rsid w:val="003305B6"/>
    <w:rsid w:val="00330A1F"/>
    <w:rsid w:val="00330E73"/>
    <w:rsid w:val="00330F5C"/>
    <w:rsid w:val="003311DD"/>
    <w:rsid w:val="003323EF"/>
    <w:rsid w:val="0033242B"/>
    <w:rsid w:val="003328AD"/>
    <w:rsid w:val="00332D83"/>
    <w:rsid w:val="00333162"/>
    <w:rsid w:val="0033380C"/>
    <w:rsid w:val="00333B21"/>
    <w:rsid w:val="00333BC6"/>
    <w:rsid w:val="00333C71"/>
    <w:rsid w:val="00333E36"/>
    <w:rsid w:val="00334784"/>
    <w:rsid w:val="003348D7"/>
    <w:rsid w:val="003353DE"/>
    <w:rsid w:val="003353E7"/>
    <w:rsid w:val="00335560"/>
    <w:rsid w:val="003358C0"/>
    <w:rsid w:val="00335A5D"/>
    <w:rsid w:val="00335BC6"/>
    <w:rsid w:val="00335DE9"/>
    <w:rsid w:val="00335EE5"/>
    <w:rsid w:val="003367E7"/>
    <w:rsid w:val="00336940"/>
    <w:rsid w:val="00336AE5"/>
    <w:rsid w:val="00336F3E"/>
    <w:rsid w:val="00336F9F"/>
    <w:rsid w:val="00336FEB"/>
    <w:rsid w:val="0033730D"/>
    <w:rsid w:val="003374A3"/>
    <w:rsid w:val="00337632"/>
    <w:rsid w:val="00337A14"/>
    <w:rsid w:val="003400D3"/>
    <w:rsid w:val="00340744"/>
    <w:rsid w:val="00340B78"/>
    <w:rsid w:val="003415D3"/>
    <w:rsid w:val="00341850"/>
    <w:rsid w:val="0034193D"/>
    <w:rsid w:val="00341A26"/>
    <w:rsid w:val="00341FF6"/>
    <w:rsid w:val="00342F02"/>
    <w:rsid w:val="003434B2"/>
    <w:rsid w:val="003434D5"/>
    <w:rsid w:val="0034359F"/>
    <w:rsid w:val="003436BE"/>
    <w:rsid w:val="0034383A"/>
    <w:rsid w:val="00344237"/>
    <w:rsid w:val="00344294"/>
    <w:rsid w:val="003442BD"/>
    <w:rsid w:val="00344338"/>
    <w:rsid w:val="00344701"/>
    <w:rsid w:val="00344716"/>
    <w:rsid w:val="0034500F"/>
    <w:rsid w:val="003454F4"/>
    <w:rsid w:val="00345D7F"/>
    <w:rsid w:val="00345FE5"/>
    <w:rsid w:val="00346026"/>
    <w:rsid w:val="003464F6"/>
    <w:rsid w:val="00346638"/>
    <w:rsid w:val="003468E6"/>
    <w:rsid w:val="0034699E"/>
    <w:rsid w:val="00346D62"/>
    <w:rsid w:val="00347475"/>
    <w:rsid w:val="003474AD"/>
    <w:rsid w:val="003478FC"/>
    <w:rsid w:val="00347E40"/>
    <w:rsid w:val="003501AC"/>
    <w:rsid w:val="0035049A"/>
    <w:rsid w:val="003506DD"/>
    <w:rsid w:val="003507D2"/>
    <w:rsid w:val="003508CA"/>
    <w:rsid w:val="00350945"/>
    <w:rsid w:val="00350E52"/>
    <w:rsid w:val="00350E92"/>
    <w:rsid w:val="00350F64"/>
    <w:rsid w:val="003510C9"/>
    <w:rsid w:val="003512AD"/>
    <w:rsid w:val="00351A86"/>
    <w:rsid w:val="00351B10"/>
    <w:rsid w:val="00352B0F"/>
    <w:rsid w:val="00352BB5"/>
    <w:rsid w:val="00352BC2"/>
    <w:rsid w:val="00353053"/>
    <w:rsid w:val="00353347"/>
    <w:rsid w:val="003538F2"/>
    <w:rsid w:val="00353D53"/>
    <w:rsid w:val="00353DBC"/>
    <w:rsid w:val="00353DF3"/>
    <w:rsid w:val="00354194"/>
    <w:rsid w:val="003542B6"/>
    <w:rsid w:val="003548C2"/>
    <w:rsid w:val="00354C4D"/>
    <w:rsid w:val="00354DAF"/>
    <w:rsid w:val="00354EDA"/>
    <w:rsid w:val="003557E5"/>
    <w:rsid w:val="00355AF7"/>
    <w:rsid w:val="00355CEF"/>
    <w:rsid w:val="00355E9A"/>
    <w:rsid w:val="003564EA"/>
    <w:rsid w:val="0035651C"/>
    <w:rsid w:val="003565D0"/>
    <w:rsid w:val="00356647"/>
    <w:rsid w:val="00356968"/>
    <w:rsid w:val="00356C39"/>
    <w:rsid w:val="00356D58"/>
    <w:rsid w:val="00356EFA"/>
    <w:rsid w:val="003570D1"/>
    <w:rsid w:val="0035726F"/>
    <w:rsid w:val="00357399"/>
    <w:rsid w:val="00357921"/>
    <w:rsid w:val="0035796D"/>
    <w:rsid w:val="003579A0"/>
    <w:rsid w:val="00360459"/>
    <w:rsid w:val="00360598"/>
    <w:rsid w:val="003606D1"/>
    <w:rsid w:val="00360E15"/>
    <w:rsid w:val="0036101B"/>
    <w:rsid w:val="00361530"/>
    <w:rsid w:val="00361782"/>
    <w:rsid w:val="00361AE4"/>
    <w:rsid w:val="00361C82"/>
    <w:rsid w:val="00361CA7"/>
    <w:rsid w:val="00361FBC"/>
    <w:rsid w:val="003622A8"/>
    <w:rsid w:val="00362321"/>
    <w:rsid w:val="00362954"/>
    <w:rsid w:val="00362B69"/>
    <w:rsid w:val="00362EBC"/>
    <w:rsid w:val="00363267"/>
    <w:rsid w:val="0036332C"/>
    <w:rsid w:val="00363576"/>
    <w:rsid w:val="00363581"/>
    <w:rsid w:val="003636C9"/>
    <w:rsid w:val="00363879"/>
    <w:rsid w:val="003638CD"/>
    <w:rsid w:val="00363CDE"/>
    <w:rsid w:val="0036404A"/>
    <w:rsid w:val="00364327"/>
    <w:rsid w:val="003645F8"/>
    <w:rsid w:val="0036470F"/>
    <w:rsid w:val="00364CE2"/>
    <w:rsid w:val="003650DF"/>
    <w:rsid w:val="0036516B"/>
    <w:rsid w:val="0036538F"/>
    <w:rsid w:val="003654BA"/>
    <w:rsid w:val="003658C0"/>
    <w:rsid w:val="00365F0A"/>
    <w:rsid w:val="00366349"/>
    <w:rsid w:val="00366774"/>
    <w:rsid w:val="00366BF5"/>
    <w:rsid w:val="00366D9A"/>
    <w:rsid w:val="00366F27"/>
    <w:rsid w:val="0036730F"/>
    <w:rsid w:val="003675FB"/>
    <w:rsid w:val="003676DC"/>
    <w:rsid w:val="003677EA"/>
    <w:rsid w:val="00367E93"/>
    <w:rsid w:val="00367E9F"/>
    <w:rsid w:val="00370AF8"/>
    <w:rsid w:val="0037116F"/>
    <w:rsid w:val="00371345"/>
    <w:rsid w:val="00371B44"/>
    <w:rsid w:val="00371DFF"/>
    <w:rsid w:val="00371FDB"/>
    <w:rsid w:val="003720A1"/>
    <w:rsid w:val="00372F38"/>
    <w:rsid w:val="00373293"/>
    <w:rsid w:val="00373CB5"/>
    <w:rsid w:val="00374378"/>
    <w:rsid w:val="003744B5"/>
    <w:rsid w:val="00374A16"/>
    <w:rsid w:val="00374AB9"/>
    <w:rsid w:val="00375587"/>
    <w:rsid w:val="003756B3"/>
    <w:rsid w:val="003758A6"/>
    <w:rsid w:val="00375B3D"/>
    <w:rsid w:val="00375C14"/>
    <w:rsid w:val="00376121"/>
    <w:rsid w:val="003766C1"/>
    <w:rsid w:val="0037678E"/>
    <w:rsid w:val="003768C0"/>
    <w:rsid w:val="00376EBE"/>
    <w:rsid w:val="003771BC"/>
    <w:rsid w:val="003772DE"/>
    <w:rsid w:val="0037740C"/>
    <w:rsid w:val="003777C4"/>
    <w:rsid w:val="00377A3B"/>
    <w:rsid w:val="003801D6"/>
    <w:rsid w:val="0038049F"/>
    <w:rsid w:val="0038098D"/>
    <w:rsid w:val="00380A06"/>
    <w:rsid w:val="00380AD3"/>
    <w:rsid w:val="003810ED"/>
    <w:rsid w:val="0038152F"/>
    <w:rsid w:val="003815F0"/>
    <w:rsid w:val="003818DC"/>
    <w:rsid w:val="003819BF"/>
    <w:rsid w:val="00381DA5"/>
    <w:rsid w:val="00381E60"/>
    <w:rsid w:val="00382014"/>
    <w:rsid w:val="00382242"/>
    <w:rsid w:val="00382610"/>
    <w:rsid w:val="003826BB"/>
    <w:rsid w:val="003827A5"/>
    <w:rsid w:val="00382861"/>
    <w:rsid w:val="003828D9"/>
    <w:rsid w:val="00382CF6"/>
    <w:rsid w:val="00382D63"/>
    <w:rsid w:val="00383177"/>
    <w:rsid w:val="00383568"/>
    <w:rsid w:val="003836A3"/>
    <w:rsid w:val="00383A3A"/>
    <w:rsid w:val="00383B5A"/>
    <w:rsid w:val="00383B9B"/>
    <w:rsid w:val="00384313"/>
    <w:rsid w:val="003843D8"/>
    <w:rsid w:val="00384406"/>
    <w:rsid w:val="003844C5"/>
    <w:rsid w:val="0038477E"/>
    <w:rsid w:val="0038480B"/>
    <w:rsid w:val="003851E1"/>
    <w:rsid w:val="003853DE"/>
    <w:rsid w:val="00385C7B"/>
    <w:rsid w:val="00385CA1"/>
    <w:rsid w:val="00386C4A"/>
    <w:rsid w:val="00386EAA"/>
    <w:rsid w:val="00386F99"/>
    <w:rsid w:val="003871A4"/>
    <w:rsid w:val="00387C70"/>
    <w:rsid w:val="00390072"/>
    <w:rsid w:val="003900E5"/>
    <w:rsid w:val="00390521"/>
    <w:rsid w:val="003905C5"/>
    <w:rsid w:val="003915DB"/>
    <w:rsid w:val="00391733"/>
    <w:rsid w:val="003917C3"/>
    <w:rsid w:val="00391FCF"/>
    <w:rsid w:val="00392294"/>
    <w:rsid w:val="00392616"/>
    <w:rsid w:val="00392804"/>
    <w:rsid w:val="00392DD1"/>
    <w:rsid w:val="00392E1A"/>
    <w:rsid w:val="00392F78"/>
    <w:rsid w:val="00393012"/>
    <w:rsid w:val="00393324"/>
    <w:rsid w:val="00393328"/>
    <w:rsid w:val="003936BE"/>
    <w:rsid w:val="003939CC"/>
    <w:rsid w:val="003939E1"/>
    <w:rsid w:val="00394674"/>
    <w:rsid w:val="00394BB4"/>
    <w:rsid w:val="00394DDE"/>
    <w:rsid w:val="003952EB"/>
    <w:rsid w:val="003954B3"/>
    <w:rsid w:val="003957F3"/>
    <w:rsid w:val="00395CD5"/>
    <w:rsid w:val="0039671A"/>
    <w:rsid w:val="00396AF3"/>
    <w:rsid w:val="00396CB9"/>
    <w:rsid w:val="003972C6"/>
    <w:rsid w:val="00397688"/>
    <w:rsid w:val="00397841"/>
    <w:rsid w:val="00397A2F"/>
    <w:rsid w:val="003A05DF"/>
    <w:rsid w:val="003A08EB"/>
    <w:rsid w:val="003A0C0A"/>
    <w:rsid w:val="003A0EC1"/>
    <w:rsid w:val="003A1093"/>
    <w:rsid w:val="003A11F6"/>
    <w:rsid w:val="003A1504"/>
    <w:rsid w:val="003A222D"/>
    <w:rsid w:val="003A23C5"/>
    <w:rsid w:val="003A3F71"/>
    <w:rsid w:val="003A43B9"/>
    <w:rsid w:val="003A4699"/>
    <w:rsid w:val="003A4701"/>
    <w:rsid w:val="003A4B3D"/>
    <w:rsid w:val="003A525A"/>
    <w:rsid w:val="003A537E"/>
    <w:rsid w:val="003A5579"/>
    <w:rsid w:val="003A5FD1"/>
    <w:rsid w:val="003A6A51"/>
    <w:rsid w:val="003A6F0C"/>
    <w:rsid w:val="003A6F15"/>
    <w:rsid w:val="003A700F"/>
    <w:rsid w:val="003A73CB"/>
    <w:rsid w:val="003A74FF"/>
    <w:rsid w:val="003A7615"/>
    <w:rsid w:val="003A7F2C"/>
    <w:rsid w:val="003A7FAE"/>
    <w:rsid w:val="003B0273"/>
    <w:rsid w:val="003B0469"/>
    <w:rsid w:val="003B04F8"/>
    <w:rsid w:val="003B05EF"/>
    <w:rsid w:val="003B091E"/>
    <w:rsid w:val="003B0BEC"/>
    <w:rsid w:val="003B0C25"/>
    <w:rsid w:val="003B0E45"/>
    <w:rsid w:val="003B2259"/>
    <w:rsid w:val="003B22BC"/>
    <w:rsid w:val="003B24BE"/>
    <w:rsid w:val="003B265B"/>
    <w:rsid w:val="003B2A75"/>
    <w:rsid w:val="003B2E90"/>
    <w:rsid w:val="003B30D6"/>
    <w:rsid w:val="003B342C"/>
    <w:rsid w:val="003B3573"/>
    <w:rsid w:val="003B3935"/>
    <w:rsid w:val="003B39DB"/>
    <w:rsid w:val="003B3C35"/>
    <w:rsid w:val="003B3EE0"/>
    <w:rsid w:val="003B45DC"/>
    <w:rsid w:val="003B493F"/>
    <w:rsid w:val="003B4CAA"/>
    <w:rsid w:val="003B4CCD"/>
    <w:rsid w:val="003B4F1E"/>
    <w:rsid w:val="003B5754"/>
    <w:rsid w:val="003B5D42"/>
    <w:rsid w:val="003B6305"/>
    <w:rsid w:val="003B689E"/>
    <w:rsid w:val="003B6D88"/>
    <w:rsid w:val="003B6E34"/>
    <w:rsid w:val="003B6F71"/>
    <w:rsid w:val="003B7230"/>
    <w:rsid w:val="003B768A"/>
    <w:rsid w:val="003B76BA"/>
    <w:rsid w:val="003B7759"/>
    <w:rsid w:val="003B7C39"/>
    <w:rsid w:val="003C02C7"/>
    <w:rsid w:val="003C03C8"/>
    <w:rsid w:val="003C0F29"/>
    <w:rsid w:val="003C1789"/>
    <w:rsid w:val="003C1851"/>
    <w:rsid w:val="003C1948"/>
    <w:rsid w:val="003C1C61"/>
    <w:rsid w:val="003C1F13"/>
    <w:rsid w:val="003C209D"/>
    <w:rsid w:val="003C23E8"/>
    <w:rsid w:val="003C24E4"/>
    <w:rsid w:val="003C26A2"/>
    <w:rsid w:val="003C29F2"/>
    <w:rsid w:val="003C31FD"/>
    <w:rsid w:val="003C33BD"/>
    <w:rsid w:val="003C36BF"/>
    <w:rsid w:val="003C38F7"/>
    <w:rsid w:val="003C3CF5"/>
    <w:rsid w:val="003C428B"/>
    <w:rsid w:val="003C44DB"/>
    <w:rsid w:val="003C45FD"/>
    <w:rsid w:val="003C4B24"/>
    <w:rsid w:val="003C4E39"/>
    <w:rsid w:val="003C4ED3"/>
    <w:rsid w:val="003C4FC3"/>
    <w:rsid w:val="003C502D"/>
    <w:rsid w:val="003C57D9"/>
    <w:rsid w:val="003C619D"/>
    <w:rsid w:val="003C6231"/>
    <w:rsid w:val="003C630B"/>
    <w:rsid w:val="003C66F7"/>
    <w:rsid w:val="003C69AB"/>
    <w:rsid w:val="003C6A74"/>
    <w:rsid w:val="003C745B"/>
    <w:rsid w:val="003C756F"/>
    <w:rsid w:val="003C773E"/>
    <w:rsid w:val="003C77FE"/>
    <w:rsid w:val="003C788B"/>
    <w:rsid w:val="003C7E71"/>
    <w:rsid w:val="003C7F4F"/>
    <w:rsid w:val="003D0028"/>
    <w:rsid w:val="003D0067"/>
    <w:rsid w:val="003D0220"/>
    <w:rsid w:val="003D06FF"/>
    <w:rsid w:val="003D07FF"/>
    <w:rsid w:val="003D0894"/>
    <w:rsid w:val="003D096A"/>
    <w:rsid w:val="003D0AD5"/>
    <w:rsid w:val="003D0BFE"/>
    <w:rsid w:val="003D14CD"/>
    <w:rsid w:val="003D1562"/>
    <w:rsid w:val="003D1731"/>
    <w:rsid w:val="003D1846"/>
    <w:rsid w:val="003D19D4"/>
    <w:rsid w:val="003D1B0C"/>
    <w:rsid w:val="003D1DB7"/>
    <w:rsid w:val="003D2134"/>
    <w:rsid w:val="003D219B"/>
    <w:rsid w:val="003D2443"/>
    <w:rsid w:val="003D24FC"/>
    <w:rsid w:val="003D2591"/>
    <w:rsid w:val="003D26E2"/>
    <w:rsid w:val="003D306B"/>
    <w:rsid w:val="003D3264"/>
    <w:rsid w:val="003D358C"/>
    <w:rsid w:val="003D3A31"/>
    <w:rsid w:val="003D3B81"/>
    <w:rsid w:val="003D3BEE"/>
    <w:rsid w:val="003D3E77"/>
    <w:rsid w:val="003D3EE2"/>
    <w:rsid w:val="003D3EEC"/>
    <w:rsid w:val="003D469E"/>
    <w:rsid w:val="003D49A1"/>
    <w:rsid w:val="003D4B3E"/>
    <w:rsid w:val="003D4D97"/>
    <w:rsid w:val="003D4F49"/>
    <w:rsid w:val="003D50B9"/>
    <w:rsid w:val="003D51A3"/>
    <w:rsid w:val="003D5408"/>
    <w:rsid w:val="003D5700"/>
    <w:rsid w:val="003D59BA"/>
    <w:rsid w:val="003D5B99"/>
    <w:rsid w:val="003D5D47"/>
    <w:rsid w:val="003D654D"/>
    <w:rsid w:val="003D65C1"/>
    <w:rsid w:val="003D6A63"/>
    <w:rsid w:val="003D6B74"/>
    <w:rsid w:val="003D6BC5"/>
    <w:rsid w:val="003D6F40"/>
    <w:rsid w:val="003D7572"/>
    <w:rsid w:val="003D77BE"/>
    <w:rsid w:val="003D79C2"/>
    <w:rsid w:val="003D7E2B"/>
    <w:rsid w:val="003E0ADB"/>
    <w:rsid w:val="003E0D58"/>
    <w:rsid w:val="003E11AE"/>
    <w:rsid w:val="003E1221"/>
    <w:rsid w:val="003E1519"/>
    <w:rsid w:val="003E1568"/>
    <w:rsid w:val="003E1778"/>
    <w:rsid w:val="003E177B"/>
    <w:rsid w:val="003E1B10"/>
    <w:rsid w:val="003E1DEC"/>
    <w:rsid w:val="003E1F45"/>
    <w:rsid w:val="003E1FD5"/>
    <w:rsid w:val="003E25E9"/>
    <w:rsid w:val="003E293C"/>
    <w:rsid w:val="003E2987"/>
    <w:rsid w:val="003E2B1C"/>
    <w:rsid w:val="003E2CA1"/>
    <w:rsid w:val="003E2D17"/>
    <w:rsid w:val="003E3073"/>
    <w:rsid w:val="003E341B"/>
    <w:rsid w:val="003E35D0"/>
    <w:rsid w:val="003E370A"/>
    <w:rsid w:val="003E383C"/>
    <w:rsid w:val="003E38C9"/>
    <w:rsid w:val="003E400D"/>
    <w:rsid w:val="003E44E8"/>
    <w:rsid w:val="003E4D00"/>
    <w:rsid w:val="003E4D60"/>
    <w:rsid w:val="003E4D95"/>
    <w:rsid w:val="003E531C"/>
    <w:rsid w:val="003E5523"/>
    <w:rsid w:val="003E5EB6"/>
    <w:rsid w:val="003E5EEB"/>
    <w:rsid w:val="003E5F20"/>
    <w:rsid w:val="003E5F87"/>
    <w:rsid w:val="003E6249"/>
    <w:rsid w:val="003E655A"/>
    <w:rsid w:val="003E657C"/>
    <w:rsid w:val="003E65D6"/>
    <w:rsid w:val="003E65FE"/>
    <w:rsid w:val="003E66DA"/>
    <w:rsid w:val="003E6730"/>
    <w:rsid w:val="003E6D89"/>
    <w:rsid w:val="003E704A"/>
    <w:rsid w:val="003E7092"/>
    <w:rsid w:val="003E722C"/>
    <w:rsid w:val="003E746B"/>
    <w:rsid w:val="003E7C28"/>
    <w:rsid w:val="003E7E1C"/>
    <w:rsid w:val="003E7E60"/>
    <w:rsid w:val="003E7EA0"/>
    <w:rsid w:val="003F0105"/>
    <w:rsid w:val="003F02B2"/>
    <w:rsid w:val="003F02CD"/>
    <w:rsid w:val="003F03C1"/>
    <w:rsid w:val="003F05E2"/>
    <w:rsid w:val="003F0A35"/>
    <w:rsid w:val="003F0B86"/>
    <w:rsid w:val="003F0D5E"/>
    <w:rsid w:val="003F0D6F"/>
    <w:rsid w:val="003F100C"/>
    <w:rsid w:val="003F120C"/>
    <w:rsid w:val="003F1879"/>
    <w:rsid w:val="003F1AE6"/>
    <w:rsid w:val="003F24CC"/>
    <w:rsid w:val="003F2612"/>
    <w:rsid w:val="003F265A"/>
    <w:rsid w:val="003F27A5"/>
    <w:rsid w:val="003F27C1"/>
    <w:rsid w:val="003F294C"/>
    <w:rsid w:val="003F2D74"/>
    <w:rsid w:val="003F2F57"/>
    <w:rsid w:val="003F329D"/>
    <w:rsid w:val="003F339C"/>
    <w:rsid w:val="003F3636"/>
    <w:rsid w:val="003F3913"/>
    <w:rsid w:val="003F3AC9"/>
    <w:rsid w:val="003F3C6E"/>
    <w:rsid w:val="003F3F7F"/>
    <w:rsid w:val="003F40A0"/>
    <w:rsid w:val="003F415F"/>
    <w:rsid w:val="003F41CE"/>
    <w:rsid w:val="003F43CD"/>
    <w:rsid w:val="003F43DC"/>
    <w:rsid w:val="003F45DE"/>
    <w:rsid w:val="003F4A17"/>
    <w:rsid w:val="003F4B1B"/>
    <w:rsid w:val="003F4EB5"/>
    <w:rsid w:val="003F50AF"/>
    <w:rsid w:val="003F5275"/>
    <w:rsid w:val="003F5BA4"/>
    <w:rsid w:val="003F6207"/>
    <w:rsid w:val="003F65C7"/>
    <w:rsid w:val="003F6B02"/>
    <w:rsid w:val="003F6F32"/>
    <w:rsid w:val="003F7360"/>
    <w:rsid w:val="003F7A43"/>
    <w:rsid w:val="003F7C61"/>
    <w:rsid w:val="003F7E0C"/>
    <w:rsid w:val="003F7F83"/>
    <w:rsid w:val="00400014"/>
    <w:rsid w:val="004005C6"/>
    <w:rsid w:val="004005F8"/>
    <w:rsid w:val="00400A89"/>
    <w:rsid w:val="00400ADF"/>
    <w:rsid w:val="0040104E"/>
    <w:rsid w:val="0040143D"/>
    <w:rsid w:val="004014DB"/>
    <w:rsid w:val="00401EFE"/>
    <w:rsid w:val="004022B6"/>
    <w:rsid w:val="00402322"/>
    <w:rsid w:val="00402408"/>
    <w:rsid w:val="004024C0"/>
    <w:rsid w:val="00402727"/>
    <w:rsid w:val="004028EF"/>
    <w:rsid w:val="00402E88"/>
    <w:rsid w:val="004030BF"/>
    <w:rsid w:val="00403993"/>
    <w:rsid w:val="004046C9"/>
    <w:rsid w:val="0040497B"/>
    <w:rsid w:val="00404AF5"/>
    <w:rsid w:val="00404CE9"/>
    <w:rsid w:val="00404DA8"/>
    <w:rsid w:val="00405081"/>
    <w:rsid w:val="00405212"/>
    <w:rsid w:val="004053D8"/>
    <w:rsid w:val="0040569C"/>
    <w:rsid w:val="00405A3F"/>
    <w:rsid w:val="00405C27"/>
    <w:rsid w:val="00406313"/>
    <w:rsid w:val="00406CB2"/>
    <w:rsid w:val="00406CB6"/>
    <w:rsid w:val="004073FF"/>
    <w:rsid w:val="00407CC7"/>
    <w:rsid w:val="00407D07"/>
    <w:rsid w:val="0041035F"/>
    <w:rsid w:val="00410810"/>
    <w:rsid w:val="004109DE"/>
    <w:rsid w:val="00410ED7"/>
    <w:rsid w:val="004112E8"/>
    <w:rsid w:val="00411668"/>
    <w:rsid w:val="004116CD"/>
    <w:rsid w:val="0041180D"/>
    <w:rsid w:val="00411974"/>
    <w:rsid w:val="00411E67"/>
    <w:rsid w:val="004120DF"/>
    <w:rsid w:val="004128ED"/>
    <w:rsid w:val="00412AE6"/>
    <w:rsid w:val="00412B9C"/>
    <w:rsid w:val="00412BBF"/>
    <w:rsid w:val="00412D63"/>
    <w:rsid w:val="00412EA6"/>
    <w:rsid w:val="00413641"/>
    <w:rsid w:val="004137B6"/>
    <w:rsid w:val="0041392A"/>
    <w:rsid w:val="00414186"/>
    <w:rsid w:val="00414406"/>
    <w:rsid w:val="0041459F"/>
    <w:rsid w:val="00414931"/>
    <w:rsid w:val="00414956"/>
    <w:rsid w:val="00414997"/>
    <w:rsid w:val="00414F4C"/>
    <w:rsid w:val="0041508D"/>
    <w:rsid w:val="004150C2"/>
    <w:rsid w:val="004152AE"/>
    <w:rsid w:val="0041531E"/>
    <w:rsid w:val="004157B8"/>
    <w:rsid w:val="00415B40"/>
    <w:rsid w:val="004161F0"/>
    <w:rsid w:val="0041633D"/>
    <w:rsid w:val="004166C9"/>
    <w:rsid w:val="004168E6"/>
    <w:rsid w:val="00416A57"/>
    <w:rsid w:val="00416E28"/>
    <w:rsid w:val="0041713C"/>
    <w:rsid w:val="004172FB"/>
    <w:rsid w:val="00417464"/>
    <w:rsid w:val="004174CF"/>
    <w:rsid w:val="004175FD"/>
    <w:rsid w:val="00417701"/>
    <w:rsid w:val="0041796B"/>
    <w:rsid w:val="00417CEA"/>
    <w:rsid w:val="00417EB9"/>
    <w:rsid w:val="004208C4"/>
    <w:rsid w:val="00420BF6"/>
    <w:rsid w:val="0042183F"/>
    <w:rsid w:val="00421B4B"/>
    <w:rsid w:val="00422A8E"/>
    <w:rsid w:val="00422DDC"/>
    <w:rsid w:val="00422E7A"/>
    <w:rsid w:val="00423337"/>
    <w:rsid w:val="0042350D"/>
    <w:rsid w:val="00423912"/>
    <w:rsid w:val="00423AB1"/>
    <w:rsid w:val="00423E86"/>
    <w:rsid w:val="0042419C"/>
    <w:rsid w:val="004242E1"/>
    <w:rsid w:val="00424755"/>
    <w:rsid w:val="0042497C"/>
    <w:rsid w:val="00424A3F"/>
    <w:rsid w:val="00424CA9"/>
    <w:rsid w:val="00425034"/>
    <w:rsid w:val="00425179"/>
    <w:rsid w:val="00425234"/>
    <w:rsid w:val="0042526F"/>
    <w:rsid w:val="004257D2"/>
    <w:rsid w:val="0042584C"/>
    <w:rsid w:val="00425D83"/>
    <w:rsid w:val="00426A03"/>
    <w:rsid w:val="00426A60"/>
    <w:rsid w:val="00426FB4"/>
    <w:rsid w:val="00427496"/>
    <w:rsid w:val="00427525"/>
    <w:rsid w:val="004275A5"/>
    <w:rsid w:val="004276DF"/>
    <w:rsid w:val="004276EB"/>
    <w:rsid w:val="004304CF"/>
    <w:rsid w:val="004311D1"/>
    <w:rsid w:val="00431DFF"/>
    <w:rsid w:val="00431E9B"/>
    <w:rsid w:val="00431F42"/>
    <w:rsid w:val="0043200C"/>
    <w:rsid w:val="00432386"/>
    <w:rsid w:val="004325F7"/>
    <w:rsid w:val="004326F6"/>
    <w:rsid w:val="004326F7"/>
    <w:rsid w:val="00432767"/>
    <w:rsid w:val="00432C5E"/>
    <w:rsid w:val="0043318F"/>
    <w:rsid w:val="0043319F"/>
    <w:rsid w:val="00433682"/>
    <w:rsid w:val="0043396A"/>
    <w:rsid w:val="00433D4E"/>
    <w:rsid w:val="00433F5F"/>
    <w:rsid w:val="00434627"/>
    <w:rsid w:val="0043475C"/>
    <w:rsid w:val="00434FA9"/>
    <w:rsid w:val="004350E6"/>
    <w:rsid w:val="004350FF"/>
    <w:rsid w:val="00435222"/>
    <w:rsid w:val="0043540A"/>
    <w:rsid w:val="004356EB"/>
    <w:rsid w:val="0043581B"/>
    <w:rsid w:val="00435823"/>
    <w:rsid w:val="00435917"/>
    <w:rsid w:val="00436116"/>
    <w:rsid w:val="0043657E"/>
    <w:rsid w:val="004366DE"/>
    <w:rsid w:val="00436BC9"/>
    <w:rsid w:val="00436DA6"/>
    <w:rsid w:val="004372C2"/>
    <w:rsid w:val="0043742F"/>
    <w:rsid w:val="00437733"/>
    <w:rsid w:val="004377CF"/>
    <w:rsid w:val="004379E3"/>
    <w:rsid w:val="00440042"/>
    <w:rsid w:val="00440150"/>
    <w:rsid w:val="0044015E"/>
    <w:rsid w:val="004401BA"/>
    <w:rsid w:val="004403DD"/>
    <w:rsid w:val="00440FB0"/>
    <w:rsid w:val="00441831"/>
    <w:rsid w:val="00441A9D"/>
    <w:rsid w:val="00441D0D"/>
    <w:rsid w:val="00442213"/>
    <w:rsid w:val="00442272"/>
    <w:rsid w:val="004423D6"/>
    <w:rsid w:val="00442448"/>
    <w:rsid w:val="0044291A"/>
    <w:rsid w:val="00442D21"/>
    <w:rsid w:val="004431A4"/>
    <w:rsid w:val="004432B6"/>
    <w:rsid w:val="004439B7"/>
    <w:rsid w:val="00443AB6"/>
    <w:rsid w:val="00443B9E"/>
    <w:rsid w:val="00443C08"/>
    <w:rsid w:val="00444BE5"/>
    <w:rsid w:val="00444D6A"/>
    <w:rsid w:val="00444FA6"/>
    <w:rsid w:val="00446337"/>
    <w:rsid w:val="004465E8"/>
    <w:rsid w:val="00446651"/>
    <w:rsid w:val="00446AA8"/>
    <w:rsid w:val="00446C4C"/>
    <w:rsid w:val="00446C9D"/>
    <w:rsid w:val="00446FE4"/>
    <w:rsid w:val="00447218"/>
    <w:rsid w:val="00447338"/>
    <w:rsid w:val="0044734A"/>
    <w:rsid w:val="004473B2"/>
    <w:rsid w:val="004473FD"/>
    <w:rsid w:val="00447487"/>
    <w:rsid w:val="00447748"/>
    <w:rsid w:val="00447C8D"/>
    <w:rsid w:val="00447CBA"/>
    <w:rsid w:val="00450147"/>
    <w:rsid w:val="004504CA"/>
    <w:rsid w:val="00451144"/>
    <w:rsid w:val="00451AAB"/>
    <w:rsid w:val="00451ADA"/>
    <w:rsid w:val="0045273C"/>
    <w:rsid w:val="00452921"/>
    <w:rsid w:val="0045294B"/>
    <w:rsid w:val="00453055"/>
    <w:rsid w:val="00453225"/>
    <w:rsid w:val="00453D38"/>
    <w:rsid w:val="00453ED5"/>
    <w:rsid w:val="00453FDE"/>
    <w:rsid w:val="0045439B"/>
    <w:rsid w:val="004547FC"/>
    <w:rsid w:val="00454DAC"/>
    <w:rsid w:val="00454E2E"/>
    <w:rsid w:val="004552AD"/>
    <w:rsid w:val="00455551"/>
    <w:rsid w:val="00455799"/>
    <w:rsid w:val="00455967"/>
    <w:rsid w:val="0045636C"/>
    <w:rsid w:val="0045669B"/>
    <w:rsid w:val="004567E6"/>
    <w:rsid w:val="00456B55"/>
    <w:rsid w:val="00456F04"/>
    <w:rsid w:val="00457133"/>
    <w:rsid w:val="004572A3"/>
    <w:rsid w:val="004572EF"/>
    <w:rsid w:val="00457B46"/>
    <w:rsid w:val="004601A2"/>
    <w:rsid w:val="004605C4"/>
    <w:rsid w:val="00460766"/>
    <w:rsid w:val="004608AE"/>
    <w:rsid w:val="00460931"/>
    <w:rsid w:val="00460B9C"/>
    <w:rsid w:val="00460F7D"/>
    <w:rsid w:val="004610FD"/>
    <w:rsid w:val="00461342"/>
    <w:rsid w:val="0046159C"/>
    <w:rsid w:val="004616A4"/>
    <w:rsid w:val="00461717"/>
    <w:rsid w:val="00461C65"/>
    <w:rsid w:val="00461D96"/>
    <w:rsid w:val="0046240C"/>
    <w:rsid w:val="004624AA"/>
    <w:rsid w:val="0046257E"/>
    <w:rsid w:val="004626A5"/>
    <w:rsid w:val="004626E2"/>
    <w:rsid w:val="00462A50"/>
    <w:rsid w:val="00462E47"/>
    <w:rsid w:val="0046327F"/>
    <w:rsid w:val="004636B4"/>
    <w:rsid w:val="004638F2"/>
    <w:rsid w:val="00463CB5"/>
    <w:rsid w:val="00463E45"/>
    <w:rsid w:val="004640E8"/>
    <w:rsid w:val="004643EE"/>
    <w:rsid w:val="004644C6"/>
    <w:rsid w:val="0046490B"/>
    <w:rsid w:val="00464C22"/>
    <w:rsid w:val="00464C41"/>
    <w:rsid w:val="00464C7B"/>
    <w:rsid w:val="00464E65"/>
    <w:rsid w:val="004653C5"/>
    <w:rsid w:val="00465A35"/>
    <w:rsid w:val="00465EB2"/>
    <w:rsid w:val="00466195"/>
    <w:rsid w:val="004664BF"/>
    <w:rsid w:val="00466A75"/>
    <w:rsid w:val="00466B41"/>
    <w:rsid w:val="00466CCE"/>
    <w:rsid w:val="0046721D"/>
    <w:rsid w:val="004672DE"/>
    <w:rsid w:val="00467402"/>
    <w:rsid w:val="00467603"/>
    <w:rsid w:val="00467606"/>
    <w:rsid w:val="00467661"/>
    <w:rsid w:val="004676DA"/>
    <w:rsid w:val="00467AB8"/>
    <w:rsid w:val="00467EE9"/>
    <w:rsid w:val="0047128B"/>
    <w:rsid w:val="00472862"/>
    <w:rsid w:val="00472AF7"/>
    <w:rsid w:val="00472B8B"/>
    <w:rsid w:val="00472DBE"/>
    <w:rsid w:val="00472F95"/>
    <w:rsid w:val="004733B8"/>
    <w:rsid w:val="00473425"/>
    <w:rsid w:val="00473599"/>
    <w:rsid w:val="00473DB9"/>
    <w:rsid w:val="0047473A"/>
    <w:rsid w:val="004748BA"/>
    <w:rsid w:val="00474A19"/>
    <w:rsid w:val="00474C2B"/>
    <w:rsid w:val="00474EBE"/>
    <w:rsid w:val="00475573"/>
    <w:rsid w:val="004755B4"/>
    <w:rsid w:val="00475631"/>
    <w:rsid w:val="00475D92"/>
    <w:rsid w:val="00475DFA"/>
    <w:rsid w:val="00475EBF"/>
    <w:rsid w:val="00476665"/>
    <w:rsid w:val="004772F6"/>
    <w:rsid w:val="0047743A"/>
    <w:rsid w:val="0047763D"/>
    <w:rsid w:val="00477830"/>
    <w:rsid w:val="00477ADC"/>
    <w:rsid w:val="00477BF5"/>
    <w:rsid w:val="00477CE3"/>
    <w:rsid w:val="00480DF1"/>
    <w:rsid w:val="00480F2B"/>
    <w:rsid w:val="00481126"/>
    <w:rsid w:val="00481C34"/>
    <w:rsid w:val="0048211D"/>
    <w:rsid w:val="004821EB"/>
    <w:rsid w:val="0048234E"/>
    <w:rsid w:val="00482653"/>
    <w:rsid w:val="00483647"/>
    <w:rsid w:val="00483673"/>
    <w:rsid w:val="00483A5E"/>
    <w:rsid w:val="00483E6A"/>
    <w:rsid w:val="00483EED"/>
    <w:rsid w:val="00484439"/>
    <w:rsid w:val="0048445A"/>
    <w:rsid w:val="0048491E"/>
    <w:rsid w:val="00484A69"/>
    <w:rsid w:val="00484A77"/>
    <w:rsid w:val="00484F46"/>
    <w:rsid w:val="004851DB"/>
    <w:rsid w:val="00485334"/>
    <w:rsid w:val="00485460"/>
    <w:rsid w:val="004854A4"/>
    <w:rsid w:val="00485582"/>
    <w:rsid w:val="004856C8"/>
    <w:rsid w:val="00485700"/>
    <w:rsid w:val="00485CD0"/>
    <w:rsid w:val="00485D64"/>
    <w:rsid w:val="004860FA"/>
    <w:rsid w:val="0048625A"/>
    <w:rsid w:val="00486445"/>
    <w:rsid w:val="0048691C"/>
    <w:rsid w:val="00486B60"/>
    <w:rsid w:val="00486B8E"/>
    <w:rsid w:val="0048700F"/>
    <w:rsid w:val="0048704A"/>
    <w:rsid w:val="00487249"/>
    <w:rsid w:val="0048761D"/>
    <w:rsid w:val="00487764"/>
    <w:rsid w:val="00487889"/>
    <w:rsid w:val="00487B09"/>
    <w:rsid w:val="00487CEA"/>
    <w:rsid w:val="0049024F"/>
    <w:rsid w:val="004902D5"/>
    <w:rsid w:val="004904A0"/>
    <w:rsid w:val="004905EC"/>
    <w:rsid w:val="00490E04"/>
    <w:rsid w:val="004912DE"/>
    <w:rsid w:val="00491358"/>
    <w:rsid w:val="00491481"/>
    <w:rsid w:val="0049158B"/>
    <w:rsid w:val="0049170F"/>
    <w:rsid w:val="0049172E"/>
    <w:rsid w:val="0049199D"/>
    <w:rsid w:val="00492173"/>
    <w:rsid w:val="00492235"/>
    <w:rsid w:val="004927E8"/>
    <w:rsid w:val="0049295F"/>
    <w:rsid w:val="00492C1B"/>
    <w:rsid w:val="00492D1F"/>
    <w:rsid w:val="00493126"/>
    <w:rsid w:val="00493332"/>
    <w:rsid w:val="004935D1"/>
    <w:rsid w:val="00493E3A"/>
    <w:rsid w:val="00493E45"/>
    <w:rsid w:val="00493F45"/>
    <w:rsid w:val="00494D32"/>
    <w:rsid w:val="00494F0B"/>
    <w:rsid w:val="00494FF9"/>
    <w:rsid w:val="004950D0"/>
    <w:rsid w:val="00495350"/>
    <w:rsid w:val="00495358"/>
    <w:rsid w:val="0049537B"/>
    <w:rsid w:val="004957A7"/>
    <w:rsid w:val="0049618A"/>
    <w:rsid w:val="004962C2"/>
    <w:rsid w:val="00496677"/>
    <w:rsid w:val="00496B41"/>
    <w:rsid w:val="00496F97"/>
    <w:rsid w:val="004973D2"/>
    <w:rsid w:val="00497605"/>
    <w:rsid w:val="00497AEC"/>
    <w:rsid w:val="004A02C8"/>
    <w:rsid w:val="004A07B5"/>
    <w:rsid w:val="004A0B7C"/>
    <w:rsid w:val="004A0BC0"/>
    <w:rsid w:val="004A0BE5"/>
    <w:rsid w:val="004A0CF6"/>
    <w:rsid w:val="004A0D8A"/>
    <w:rsid w:val="004A0E8C"/>
    <w:rsid w:val="004A1295"/>
    <w:rsid w:val="004A134E"/>
    <w:rsid w:val="004A1385"/>
    <w:rsid w:val="004A15A9"/>
    <w:rsid w:val="004A1DB8"/>
    <w:rsid w:val="004A1E03"/>
    <w:rsid w:val="004A1FA4"/>
    <w:rsid w:val="004A2097"/>
    <w:rsid w:val="004A2236"/>
    <w:rsid w:val="004A2AC8"/>
    <w:rsid w:val="004A344D"/>
    <w:rsid w:val="004A3627"/>
    <w:rsid w:val="004A387A"/>
    <w:rsid w:val="004A3CD8"/>
    <w:rsid w:val="004A46E0"/>
    <w:rsid w:val="004A47A7"/>
    <w:rsid w:val="004A4825"/>
    <w:rsid w:val="004A4C2C"/>
    <w:rsid w:val="004A4DF0"/>
    <w:rsid w:val="004A5201"/>
    <w:rsid w:val="004A5318"/>
    <w:rsid w:val="004A541C"/>
    <w:rsid w:val="004A5E23"/>
    <w:rsid w:val="004A624B"/>
    <w:rsid w:val="004A6252"/>
    <w:rsid w:val="004A63AA"/>
    <w:rsid w:val="004A66CC"/>
    <w:rsid w:val="004A6A3E"/>
    <w:rsid w:val="004A7385"/>
    <w:rsid w:val="004A7414"/>
    <w:rsid w:val="004A7525"/>
    <w:rsid w:val="004A7A8F"/>
    <w:rsid w:val="004A7CBD"/>
    <w:rsid w:val="004A7CD9"/>
    <w:rsid w:val="004B00B6"/>
    <w:rsid w:val="004B0CC1"/>
    <w:rsid w:val="004B10D8"/>
    <w:rsid w:val="004B1975"/>
    <w:rsid w:val="004B1AD6"/>
    <w:rsid w:val="004B1E31"/>
    <w:rsid w:val="004B22B4"/>
    <w:rsid w:val="004B25FC"/>
    <w:rsid w:val="004B2AD8"/>
    <w:rsid w:val="004B2EEC"/>
    <w:rsid w:val="004B2FB0"/>
    <w:rsid w:val="004B2FEF"/>
    <w:rsid w:val="004B3E64"/>
    <w:rsid w:val="004B3EA1"/>
    <w:rsid w:val="004B4478"/>
    <w:rsid w:val="004B4656"/>
    <w:rsid w:val="004B493C"/>
    <w:rsid w:val="004B51C5"/>
    <w:rsid w:val="004B5227"/>
    <w:rsid w:val="004B5321"/>
    <w:rsid w:val="004B54EC"/>
    <w:rsid w:val="004B5504"/>
    <w:rsid w:val="004B55E2"/>
    <w:rsid w:val="004B55E4"/>
    <w:rsid w:val="004B57DF"/>
    <w:rsid w:val="004B5A78"/>
    <w:rsid w:val="004B652C"/>
    <w:rsid w:val="004B65E7"/>
    <w:rsid w:val="004B6623"/>
    <w:rsid w:val="004B6A7C"/>
    <w:rsid w:val="004B6B7D"/>
    <w:rsid w:val="004B6C48"/>
    <w:rsid w:val="004B6CC0"/>
    <w:rsid w:val="004B707C"/>
    <w:rsid w:val="004B7085"/>
    <w:rsid w:val="004B74AB"/>
    <w:rsid w:val="004B761E"/>
    <w:rsid w:val="004C0749"/>
    <w:rsid w:val="004C08C8"/>
    <w:rsid w:val="004C08D6"/>
    <w:rsid w:val="004C0C13"/>
    <w:rsid w:val="004C0CF7"/>
    <w:rsid w:val="004C160C"/>
    <w:rsid w:val="004C1C69"/>
    <w:rsid w:val="004C1C9D"/>
    <w:rsid w:val="004C1D71"/>
    <w:rsid w:val="004C1E84"/>
    <w:rsid w:val="004C1FEE"/>
    <w:rsid w:val="004C23D9"/>
    <w:rsid w:val="004C25E5"/>
    <w:rsid w:val="004C305F"/>
    <w:rsid w:val="004C331A"/>
    <w:rsid w:val="004C339D"/>
    <w:rsid w:val="004C33E1"/>
    <w:rsid w:val="004C3453"/>
    <w:rsid w:val="004C36D3"/>
    <w:rsid w:val="004C3770"/>
    <w:rsid w:val="004C37C4"/>
    <w:rsid w:val="004C3D5E"/>
    <w:rsid w:val="004C42BE"/>
    <w:rsid w:val="004C4E59"/>
    <w:rsid w:val="004C52E6"/>
    <w:rsid w:val="004C54BB"/>
    <w:rsid w:val="004C552B"/>
    <w:rsid w:val="004C5758"/>
    <w:rsid w:val="004C59CC"/>
    <w:rsid w:val="004C59EE"/>
    <w:rsid w:val="004C5B9E"/>
    <w:rsid w:val="004C5EF8"/>
    <w:rsid w:val="004C641A"/>
    <w:rsid w:val="004C65B0"/>
    <w:rsid w:val="004C6809"/>
    <w:rsid w:val="004C6873"/>
    <w:rsid w:val="004C6CE4"/>
    <w:rsid w:val="004C6F4B"/>
    <w:rsid w:val="004C7086"/>
    <w:rsid w:val="004C7218"/>
    <w:rsid w:val="004C7892"/>
    <w:rsid w:val="004C7D80"/>
    <w:rsid w:val="004C7F3C"/>
    <w:rsid w:val="004D00F4"/>
    <w:rsid w:val="004D0449"/>
    <w:rsid w:val="004D0654"/>
    <w:rsid w:val="004D0DCB"/>
    <w:rsid w:val="004D11FD"/>
    <w:rsid w:val="004D1344"/>
    <w:rsid w:val="004D17DE"/>
    <w:rsid w:val="004D1977"/>
    <w:rsid w:val="004D19B7"/>
    <w:rsid w:val="004D1ABB"/>
    <w:rsid w:val="004D1BDC"/>
    <w:rsid w:val="004D1FEA"/>
    <w:rsid w:val="004D2047"/>
    <w:rsid w:val="004D2CAE"/>
    <w:rsid w:val="004D30CB"/>
    <w:rsid w:val="004D330F"/>
    <w:rsid w:val="004D349F"/>
    <w:rsid w:val="004D3BD9"/>
    <w:rsid w:val="004D3DA5"/>
    <w:rsid w:val="004D3DA6"/>
    <w:rsid w:val="004D4500"/>
    <w:rsid w:val="004D48AD"/>
    <w:rsid w:val="004D4B90"/>
    <w:rsid w:val="004D4C8E"/>
    <w:rsid w:val="004D4D1B"/>
    <w:rsid w:val="004D505B"/>
    <w:rsid w:val="004D5453"/>
    <w:rsid w:val="004D546D"/>
    <w:rsid w:val="004D58BF"/>
    <w:rsid w:val="004D6585"/>
    <w:rsid w:val="004D6867"/>
    <w:rsid w:val="004D6AC1"/>
    <w:rsid w:val="004D6CF4"/>
    <w:rsid w:val="004D6DC2"/>
    <w:rsid w:val="004D73CD"/>
    <w:rsid w:val="004D7471"/>
    <w:rsid w:val="004D753C"/>
    <w:rsid w:val="004D77A0"/>
    <w:rsid w:val="004D7812"/>
    <w:rsid w:val="004D7B3B"/>
    <w:rsid w:val="004D7E23"/>
    <w:rsid w:val="004D7EDF"/>
    <w:rsid w:val="004E01F4"/>
    <w:rsid w:val="004E063A"/>
    <w:rsid w:val="004E0713"/>
    <w:rsid w:val="004E0814"/>
    <w:rsid w:val="004E0FD2"/>
    <w:rsid w:val="004E11A8"/>
    <w:rsid w:val="004E1307"/>
    <w:rsid w:val="004E1365"/>
    <w:rsid w:val="004E1860"/>
    <w:rsid w:val="004E1A1E"/>
    <w:rsid w:val="004E1A5E"/>
    <w:rsid w:val="004E29B3"/>
    <w:rsid w:val="004E2A39"/>
    <w:rsid w:val="004E30A6"/>
    <w:rsid w:val="004E3335"/>
    <w:rsid w:val="004E33AA"/>
    <w:rsid w:val="004E36F9"/>
    <w:rsid w:val="004E374D"/>
    <w:rsid w:val="004E3F13"/>
    <w:rsid w:val="004E3FAD"/>
    <w:rsid w:val="004E4322"/>
    <w:rsid w:val="004E4915"/>
    <w:rsid w:val="004E4A69"/>
    <w:rsid w:val="004E4B19"/>
    <w:rsid w:val="004E4BA5"/>
    <w:rsid w:val="004E50DD"/>
    <w:rsid w:val="004E54F7"/>
    <w:rsid w:val="004E5CB9"/>
    <w:rsid w:val="004E6166"/>
    <w:rsid w:val="004E6179"/>
    <w:rsid w:val="004E62D1"/>
    <w:rsid w:val="004E6545"/>
    <w:rsid w:val="004E6882"/>
    <w:rsid w:val="004E6A1B"/>
    <w:rsid w:val="004E6B95"/>
    <w:rsid w:val="004E6C68"/>
    <w:rsid w:val="004E6CF4"/>
    <w:rsid w:val="004E6F1A"/>
    <w:rsid w:val="004E7217"/>
    <w:rsid w:val="004E72F1"/>
    <w:rsid w:val="004E74CB"/>
    <w:rsid w:val="004E7586"/>
    <w:rsid w:val="004E7740"/>
    <w:rsid w:val="004E7952"/>
    <w:rsid w:val="004E7BEC"/>
    <w:rsid w:val="004F0468"/>
    <w:rsid w:val="004F0485"/>
    <w:rsid w:val="004F07FD"/>
    <w:rsid w:val="004F1743"/>
    <w:rsid w:val="004F18DA"/>
    <w:rsid w:val="004F1A3D"/>
    <w:rsid w:val="004F1BE1"/>
    <w:rsid w:val="004F1E29"/>
    <w:rsid w:val="004F1F6F"/>
    <w:rsid w:val="004F2326"/>
    <w:rsid w:val="004F2365"/>
    <w:rsid w:val="004F261C"/>
    <w:rsid w:val="004F276A"/>
    <w:rsid w:val="004F2DB6"/>
    <w:rsid w:val="004F2EA4"/>
    <w:rsid w:val="004F31ED"/>
    <w:rsid w:val="004F3686"/>
    <w:rsid w:val="004F39A5"/>
    <w:rsid w:val="004F42E2"/>
    <w:rsid w:val="004F46BC"/>
    <w:rsid w:val="004F4B79"/>
    <w:rsid w:val="004F4C2C"/>
    <w:rsid w:val="004F5234"/>
    <w:rsid w:val="004F5C60"/>
    <w:rsid w:val="004F5CD1"/>
    <w:rsid w:val="004F5E33"/>
    <w:rsid w:val="004F6048"/>
    <w:rsid w:val="004F6BF2"/>
    <w:rsid w:val="004F7049"/>
    <w:rsid w:val="004F710B"/>
    <w:rsid w:val="004F7414"/>
    <w:rsid w:val="004F7422"/>
    <w:rsid w:val="004F7424"/>
    <w:rsid w:val="004F74F7"/>
    <w:rsid w:val="004F76AE"/>
    <w:rsid w:val="004F7B03"/>
    <w:rsid w:val="004F7B69"/>
    <w:rsid w:val="004F7CE3"/>
    <w:rsid w:val="005000EA"/>
    <w:rsid w:val="00500D7D"/>
    <w:rsid w:val="00500F34"/>
    <w:rsid w:val="00501CC2"/>
    <w:rsid w:val="00502045"/>
    <w:rsid w:val="00502520"/>
    <w:rsid w:val="00502C50"/>
    <w:rsid w:val="005032E9"/>
    <w:rsid w:val="00503BD8"/>
    <w:rsid w:val="00503EBD"/>
    <w:rsid w:val="00503FB5"/>
    <w:rsid w:val="00504912"/>
    <w:rsid w:val="00504A63"/>
    <w:rsid w:val="005053C8"/>
    <w:rsid w:val="00505D3D"/>
    <w:rsid w:val="00505D85"/>
    <w:rsid w:val="00506306"/>
    <w:rsid w:val="005063B7"/>
    <w:rsid w:val="005063C7"/>
    <w:rsid w:val="0050642A"/>
    <w:rsid w:val="0050674E"/>
    <w:rsid w:val="0050675F"/>
    <w:rsid w:val="005067FC"/>
    <w:rsid w:val="00506AF6"/>
    <w:rsid w:val="005073D5"/>
    <w:rsid w:val="00507685"/>
    <w:rsid w:val="0051093F"/>
    <w:rsid w:val="00510942"/>
    <w:rsid w:val="00510A35"/>
    <w:rsid w:val="00510B5C"/>
    <w:rsid w:val="00510ECC"/>
    <w:rsid w:val="0051133A"/>
    <w:rsid w:val="00511612"/>
    <w:rsid w:val="00511A15"/>
    <w:rsid w:val="00511A5C"/>
    <w:rsid w:val="00511FF3"/>
    <w:rsid w:val="005127B5"/>
    <w:rsid w:val="005131F9"/>
    <w:rsid w:val="00513317"/>
    <w:rsid w:val="00513DEE"/>
    <w:rsid w:val="00513E6D"/>
    <w:rsid w:val="00513EE7"/>
    <w:rsid w:val="00514050"/>
    <w:rsid w:val="005141F9"/>
    <w:rsid w:val="0051488D"/>
    <w:rsid w:val="00514F45"/>
    <w:rsid w:val="00515389"/>
    <w:rsid w:val="00515517"/>
    <w:rsid w:val="005155DB"/>
    <w:rsid w:val="005156AB"/>
    <w:rsid w:val="0051572E"/>
    <w:rsid w:val="00515976"/>
    <w:rsid w:val="00515EC4"/>
    <w:rsid w:val="005167F1"/>
    <w:rsid w:val="00516B8D"/>
    <w:rsid w:val="00516D5E"/>
    <w:rsid w:val="0051709B"/>
    <w:rsid w:val="0051740A"/>
    <w:rsid w:val="005175DF"/>
    <w:rsid w:val="00517E79"/>
    <w:rsid w:val="00520422"/>
    <w:rsid w:val="005207FC"/>
    <w:rsid w:val="005209D8"/>
    <w:rsid w:val="0052132D"/>
    <w:rsid w:val="0052158F"/>
    <w:rsid w:val="00521702"/>
    <w:rsid w:val="0052178B"/>
    <w:rsid w:val="0052181F"/>
    <w:rsid w:val="00521857"/>
    <w:rsid w:val="00521A69"/>
    <w:rsid w:val="00521D18"/>
    <w:rsid w:val="005225F8"/>
    <w:rsid w:val="0052267D"/>
    <w:rsid w:val="00522D92"/>
    <w:rsid w:val="00523132"/>
    <w:rsid w:val="005231E5"/>
    <w:rsid w:val="00523399"/>
    <w:rsid w:val="005233B0"/>
    <w:rsid w:val="005236C7"/>
    <w:rsid w:val="00523782"/>
    <w:rsid w:val="0052463E"/>
    <w:rsid w:val="00524C89"/>
    <w:rsid w:val="0052528D"/>
    <w:rsid w:val="00525407"/>
    <w:rsid w:val="00525618"/>
    <w:rsid w:val="00525B0E"/>
    <w:rsid w:val="00525BB9"/>
    <w:rsid w:val="00525EC7"/>
    <w:rsid w:val="005262A4"/>
    <w:rsid w:val="00526361"/>
    <w:rsid w:val="00526527"/>
    <w:rsid w:val="005267F7"/>
    <w:rsid w:val="00526B46"/>
    <w:rsid w:val="00526B95"/>
    <w:rsid w:val="00526E26"/>
    <w:rsid w:val="00526FE9"/>
    <w:rsid w:val="00527087"/>
    <w:rsid w:val="00527354"/>
    <w:rsid w:val="0052758A"/>
    <w:rsid w:val="00527707"/>
    <w:rsid w:val="00527914"/>
    <w:rsid w:val="00527AA1"/>
    <w:rsid w:val="00527B0A"/>
    <w:rsid w:val="00527B0F"/>
    <w:rsid w:val="00527F68"/>
    <w:rsid w:val="005303C8"/>
    <w:rsid w:val="00530859"/>
    <w:rsid w:val="005308DE"/>
    <w:rsid w:val="00530B97"/>
    <w:rsid w:val="00531268"/>
    <w:rsid w:val="005315FD"/>
    <w:rsid w:val="00531F07"/>
    <w:rsid w:val="00532455"/>
    <w:rsid w:val="00532581"/>
    <w:rsid w:val="00532BC8"/>
    <w:rsid w:val="00532DF6"/>
    <w:rsid w:val="00532F56"/>
    <w:rsid w:val="0053309B"/>
    <w:rsid w:val="00533533"/>
    <w:rsid w:val="0053384C"/>
    <w:rsid w:val="00533982"/>
    <w:rsid w:val="00533BB2"/>
    <w:rsid w:val="00533CA7"/>
    <w:rsid w:val="00533E3F"/>
    <w:rsid w:val="00534701"/>
    <w:rsid w:val="0053484C"/>
    <w:rsid w:val="00534914"/>
    <w:rsid w:val="00534F98"/>
    <w:rsid w:val="005359E5"/>
    <w:rsid w:val="00535A20"/>
    <w:rsid w:val="00536214"/>
    <w:rsid w:val="00536781"/>
    <w:rsid w:val="00536A51"/>
    <w:rsid w:val="00536AE9"/>
    <w:rsid w:val="00536BD0"/>
    <w:rsid w:val="00536D70"/>
    <w:rsid w:val="00537261"/>
    <w:rsid w:val="00537790"/>
    <w:rsid w:val="00537A41"/>
    <w:rsid w:val="00537B54"/>
    <w:rsid w:val="00537FBC"/>
    <w:rsid w:val="00537FFD"/>
    <w:rsid w:val="00540176"/>
    <w:rsid w:val="0054019A"/>
    <w:rsid w:val="0054043C"/>
    <w:rsid w:val="00540804"/>
    <w:rsid w:val="005408A5"/>
    <w:rsid w:val="0054095A"/>
    <w:rsid w:val="00540BEB"/>
    <w:rsid w:val="00540BFA"/>
    <w:rsid w:val="00540F1E"/>
    <w:rsid w:val="00541885"/>
    <w:rsid w:val="005418AA"/>
    <w:rsid w:val="005419C0"/>
    <w:rsid w:val="00541A80"/>
    <w:rsid w:val="00541BFC"/>
    <w:rsid w:val="00541E6E"/>
    <w:rsid w:val="005421FC"/>
    <w:rsid w:val="0054257A"/>
    <w:rsid w:val="005428A5"/>
    <w:rsid w:val="00542BB7"/>
    <w:rsid w:val="00542C7A"/>
    <w:rsid w:val="00542F8E"/>
    <w:rsid w:val="00543167"/>
    <w:rsid w:val="0054321A"/>
    <w:rsid w:val="00543890"/>
    <w:rsid w:val="0054393A"/>
    <w:rsid w:val="00543C8C"/>
    <w:rsid w:val="0054435C"/>
    <w:rsid w:val="00544A9A"/>
    <w:rsid w:val="00544BA7"/>
    <w:rsid w:val="005455FA"/>
    <w:rsid w:val="00545861"/>
    <w:rsid w:val="00545B72"/>
    <w:rsid w:val="00545C2E"/>
    <w:rsid w:val="00545CCD"/>
    <w:rsid w:val="00545DE5"/>
    <w:rsid w:val="00545E05"/>
    <w:rsid w:val="005463D0"/>
    <w:rsid w:val="0054643B"/>
    <w:rsid w:val="0054666F"/>
    <w:rsid w:val="00546D37"/>
    <w:rsid w:val="00546FC5"/>
    <w:rsid w:val="0054799D"/>
    <w:rsid w:val="00547A12"/>
    <w:rsid w:val="005504C2"/>
    <w:rsid w:val="00550513"/>
    <w:rsid w:val="005508BF"/>
    <w:rsid w:val="00550B93"/>
    <w:rsid w:val="00550CFF"/>
    <w:rsid w:val="005513AC"/>
    <w:rsid w:val="00551449"/>
    <w:rsid w:val="005514E8"/>
    <w:rsid w:val="00552645"/>
    <w:rsid w:val="00552FA2"/>
    <w:rsid w:val="00553264"/>
    <w:rsid w:val="0055338A"/>
    <w:rsid w:val="00553A58"/>
    <w:rsid w:val="00553AF3"/>
    <w:rsid w:val="00553B8D"/>
    <w:rsid w:val="00553D67"/>
    <w:rsid w:val="00554662"/>
    <w:rsid w:val="005546C3"/>
    <w:rsid w:val="00554826"/>
    <w:rsid w:val="00554919"/>
    <w:rsid w:val="00554A46"/>
    <w:rsid w:val="00554C6A"/>
    <w:rsid w:val="005553C6"/>
    <w:rsid w:val="005554C1"/>
    <w:rsid w:val="0055595E"/>
    <w:rsid w:val="00555C3D"/>
    <w:rsid w:val="005560A6"/>
    <w:rsid w:val="005561F7"/>
    <w:rsid w:val="00556477"/>
    <w:rsid w:val="005567EB"/>
    <w:rsid w:val="0055749F"/>
    <w:rsid w:val="005574F3"/>
    <w:rsid w:val="00557728"/>
    <w:rsid w:val="00557A19"/>
    <w:rsid w:val="005606F9"/>
    <w:rsid w:val="0056082D"/>
    <w:rsid w:val="00560979"/>
    <w:rsid w:val="00560B0D"/>
    <w:rsid w:val="00560D0B"/>
    <w:rsid w:val="00561352"/>
    <w:rsid w:val="00561AD9"/>
    <w:rsid w:val="00561C6A"/>
    <w:rsid w:val="00561C95"/>
    <w:rsid w:val="00561DDB"/>
    <w:rsid w:val="005620BB"/>
    <w:rsid w:val="005632EA"/>
    <w:rsid w:val="005632F6"/>
    <w:rsid w:val="005638B9"/>
    <w:rsid w:val="00563C1B"/>
    <w:rsid w:val="00563C94"/>
    <w:rsid w:val="00564065"/>
    <w:rsid w:val="0056526D"/>
    <w:rsid w:val="00566172"/>
    <w:rsid w:val="00566567"/>
    <w:rsid w:val="00566678"/>
    <w:rsid w:val="005669C2"/>
    <w:rsid w:val="00566DFB"/>
    <w:rsid w:val="005671CA"/>
    <w:rsid w:val="00567203"/>
    <w:rsid w:val="005672A4"/>
    <w:rsid w:val="00567383"/>
    <w:rsid w:val="005673A6"/>
    <w:rsid w:val="00567B51"/>
    <w:rsid w:val="00567E28"/>
    <w:rsid w:val="00567EA3"/>
    <w:rsid w:val="005701B8"/>
    <w:rsid w:val="00570264"/>
    <w:rsid w:val="005702F2"/>
    <w:rsid w:val="00570371"/>
    <w:rsid w:val="00570584"/>
    <w:rsid w:val="005705EF"/>
    <w:rsid w:val="00570C72"/>
    <w:rsid w:val="00571038"/>
    <w:rsid w:val="00571239"/>
    <w:rsid w:val="005714F6"/>
    <w:rsid w:val="00571C33"/>
    <w:rsid w:val="0057218F"/>
    <w:rsid w:val="005721FC"/>
    <w:rsid w:val="005725AD"/>
    <w:rsid w:val="005726DA"/>
    <w:rsid w:val="0057296B"/>
    <w:rsid w:val="00572A73"/>
    <w:rsid w:val="00573B06"/>
    <w:rsid w:val="00573E4C"/>
    <w:rsid w:val="00573E70"/>
    <w:rsid w:val="00574062"/>
    <w:rsid w:val="005746A2"/>
    <w:rsid w:val="00574974"/>
    <w:rsid w:val="00574B06"/>
    <w:rsid w:val="00574F39"/>
    <w:rsid w:val="00574FA6"/>
    <w:rsid w:val="005753D7"/>
    <w:rsid w:val="00575634"/>
    <w:rsid w:val="0057632C"/>
    <w:rsid w:val="00576559"/>
    <w:rsid w:val="00576669"/>
    <w:rsid w:val="00576790"/>
    <w:rsid w:val="0057681F"/>
    <w:rsid w:val="00576AE3"/>
    <w:rsid w:val="00576AE6"/>
    <w:rsid w:val="00576B9F"/>
    <w:rsid w:val="00576D8E"/>
    <w:rsid w:val="0057763E"/>
    <w:rsid w:val="005777E0"/>
    <w:rsid w:val="0057786C"/>
    <w:rsid w:val="005779F9"/>
    <w:rsid w:val="00577AE2"/>
    <w:rsid w:val="00577FA5"/>
    <w:rsid w:val="005805B4"/>
    <w:rsid w:val="005806DC"/>
    <w:rsid w:val="00581A65"/>
    <w:rsid w:val="00581B66"/>
    <w:rsid w:val="00581E87"/>
    <w:rsid w:val="00581ED2"/>
    <w:rsid w:val="005825F5"/>
    <w:rsid w:val="0058286F"/>
    <w:rsid w:val="00582884"/>
    <w:rsid w:val="00582B51"/>
    <w:rsid w:val="00583264"/>
    <w:rsid w:val="0058351D"/>
    <w:rsid w:val="0058397A"/>
    <w:rsid w:val="00583999"/>
    <w:rsid w:val="00583E53"/>
    <w:rsid w:val="00583F97"/>
    <w:rsid w:val="005844CB"/>
    <w:rsid w:val="00584811"/>
    <w:rsid w:val="00584877"/>
    <w:rsid w:val="005848BC"/>
    <w:rsid w:val="00584B85"/>
    <w:rsid w:val="00584CD3"/>
    <w:rsid w:val="00584F80"/>
    <w:rsid w:val="00584FE8"/>
    <w:rsid w:val="005850C1"/>
    <w:rsid w:val="005851C6"/>
    <w:rsid w:val="00585691"/>
    <w:rsid w:val="00585784"/>
    <w:rsid w:val="00585987"/>
    <w:rsid w:val="00585A16"/>
    <w:rsid w:val="00585A99"/>
    <w:rsid w:val="00585FB5"/>
    <w:rsid w:val="0058606B"/>
    <w:rsid w:val="005863FA"/>
    <w:rsid w:val="005868F1"/>
    <w:rsid w:val="00586994"/>
    <w:rsid w:val="00586C30"/>
    <w:rsid w:val="00586E7E"/>
    <w:rsid w:val="00587084"/>
    <w:rsid w:val="00587211"/>
    <w:rsid w:val="00587953"/>
    <w:rsid w:val="00587E57"/>
    <w:rsid w:val="00590494"/>
    <w:rsid w:val="00590616"/>
    <w:rsid w:val="00590763"/>
    <w:rsid w:val="00590878"/>
    <w:rsid w:val="00590C92"/>
    <w:rsid w:val="00590ED1"/>
    <w:rsid w:val="00591333"/>
    <w:rsid w:val="005913AC"/>
    <w:rsid w:val="0059169F"/>
    <w:rsid w:val="00591E01"/>
    <w:rsid w:val="00591EAC"/>
    <w:rsid w:val="005920B0"/>
    <w:rsid w:val="00592370"/>
    <w:rsid w:val="00592AC5"/>
    <w:rsid w:val="00592AF0"/>
    <w:rsid w:val="00592D02"/>
    <w:rsid w:val="00592D54"/>
    <w:rsid w:val="005931F6"/>
    <w:rsid w:val="00593277"/>
    <w:rsid w:val="00593325"/>
    <w:rsid w:val="00593767"/>
    <w:rsid w:val="00593A5E"/>
    <w:rsid w:val="00593AA6"/>
    <w:rsid w:val="00594161"/>
    <w:rsid w:val="0059451B"/>
    <w:rsid w:val="00594568"/>
    <w:rsid w:val="00594749"/>
    <w:rsid w:val="005947E5"/>
    <w:rsid w:val="00594843"/>
    <w:rsid w:val="005950B3"/>
    <w:rsid w:val="0059575F"/>
    <w:rsid w:val="00595E3D"/>
    <w:rsid w:val="00595ED5"/>
    <w:rsid w:val="00595F66"/>
    <w:rsid w:val="00596868"/>
    <w:rsid w:val="00596ABF"/>
    <w:rsid w:val="00596CEB"/>
    <w:rsid w:val="00596E28"/>
    <w:rsid w:val="00597704"/>
    <w:rsid w:val="00597E02"/>
    <w:rsid w:val="005A06F0"/>
    <w:rsid w:val="005A08D1"/>
    <w:rsid w:val="005A0F4C"/>
    <w:rsid w:val="005A0FF4"/>
    <w:rsid w:val="005A1140"/>
    <w:rsid w:val="005A12C0"/>
    <w:rsid w:val="005A162A"/>
    <w:rsid w:val="005A19E7"/>
    <w:rsid w:val="005A1CDD"/>
    <w:rsid w:val="005A221A"/>
    <w:rsid w:val="005A2405"/>
    <w:rsid w:val="005A2555"/>
    <w:rsid w:val="005A2802"/>
    <w:rsid w:val="005A2ADC"/>
    <w:rsid w:val="005A3572"/>
    <w:rsid w:val="005A42A9"/>
    <w:rsid w:val="005A4334"/>
    <w:rsid w:val="005A44AD"/>
    <w:rsid w:val="005A4B17"/>
    <w:rsid w:val="005A4E09"/>
    <w:rsid w:val="005A5492"/>
    <w:rsid w:val="005A553B"/>
    <w:rsid w:val="005A56B8"/>
    <w:rsid w:val="005A58A8"/>
    <w:rsid w:val="005A5A4B"/>
    <w:rsid w:val="005A5C4F"/>
    <w:rsid w:val="005A5F51"/>
    <w:rsid w:val="005A65D5"/>
    <w:rsid w:val="005A6815"/>
    <w:rsid w:val="005A6EC4"/>
    <w:rsid w:val="005A712F"/>
    <w:rsid w:val="005A7566"/>
    <w:rsid w:val="005A75E9"/>
    <w:rsid w:val="005A787B"/>
    <w:rsid w:val="005B0582"/>
    <w:rsid w:val="005B0B77"/>
    <w:rsid w:val="005B0C3A"/>
    <w:rsid w:val="005B0E84"/>
    <w:rsid w:val="005B14BC"/>
    <w:rsid w:val="005B19E4"/>
    <w:rsid w:val="005B1A91"/>
    <w:rsid w:val="005B1F0A"/>
    <w:rsid w:val="005B2024"/>
    <w:rsid w:val="005B2482"/>
    <w:rsid w:val="005B2652"/>
    <w:rsid w:val="005B27B0"/>
    <w:rsid w:val="005B2A50"/>
    <w:rsid w:val="005B2E62"/>
    <w:rsid w:val="005B3585"/>
    <w:rsid w:val="005B3ADF"/>
    <w:rsid w:val="005B3B84"/>
    <w:rsid w:val="005B3D91"/>
    <w:rsid w:val="005B4067"/>
    <w:rsid w:val="005B412F"/>
    <w:rsid w:val="005B4812"/>
    <w:rsid w:val="005B4A44"/>
    <w:rsid w:val="005B4C89"/>
    <w:rsid w:val="005B4C9E"/>
    <w:rsid w:val="005B50EE"/>
    <w:rsid w:val="005B50EF"/>
    <w:rsid w:val="005B51BA"/>
    <w:rsid w:val="005B547D"/>
    <w:rsid w:val="005B5D1B"/>
    <w:rsid w:val="005B6192"/>
    <w:rsid w:val="005B620F"/>
    <w:rsid w:val="005B677B"/>
    <w:rsid w:val="005B69A7"/>
    <w:rsid w:val="005B6CA9"/>
    <w:rsid w:val="005B6D10"/>
    <w:rsid w:val="005B6FAC"/>
    <w:rsid w:val="005B70D5"/>
    <w:rsid w:val="005B7980"/>
    <w:rsid w:val="005C015F"/>
    <w:rsid w:val="005C050D"/>
    <w:rsid w:val="005C05AC"/>
    <w:rsid w:val="005C08EC"/>
    <w:rsid w:val="005C0AA2"/>
    <w:rsid w:val="005C0DFF"/>
    <w:rsid w:val="005C0FEC"/>
    <w:rsid w:val="005C12D2"/>
    <w:rsid w:val="005C145A"/>
    <w:rsid w:val="005C1FD8"/>
    <w:rsid w:val="005C2347"/>
    <w:rsid w:val="005C2975"/>
    <w:rsid w:val="005C2A07"/>
    <w:rsid w:val="005C2F2E"/>
    <w:rsid w:val="005C316C"/>
    <w:rsid w:val="005C3D85"/>
    <w:rsid w:val="005C3F1F"/>
    <w:rsid w:val="005C3F41"/>
    <w:rsid w:val="005C40FA"/>
    <w:rsid w:val="005C45D3"/>
    <w:rsid w:val="005C480D"/>
    <w:rsid w:val="005C48F3"/>
    <w:rsid w:val="005C4CC0"/>
    <w:rsid w:val="005C512F"/>
    <w:rsid w:val="005C5145"/>
    <w:rsid w:val="005C54FC"/>
    <w:rsid w:val="005C5C4C"/>
    <w:rsid w:val="005C5EF8"/>
    <w:rsid w:val="005C6045"/>
    <w:rsid w:val="005C6167"/>
    <w:rsid w:val="005C6187"/>
    <w:rsid w:val="005C65D5"/>
    <w:rsid w:val="005C6BC2"/>
    <w:rsid w:val="005C711F"/>
    <w:rsid w:val="005C7286"/>
    <w:rsid w:val="005C747E"/>
    <w:rsid w:val="005C7493"/>
    <w:rsid w:val="005C79FA"/>
    <w:rsid w:val="005C7F1B"/>
    <w:rsid w:val="005D0943"/>
    <w:rsid w:val="005D0B2C"/>
    <w:rsid w:val="005D0CE1"/>
    <w:rsid w:val="005D1207"/>
    <w:rsid w:val="005D1254"/>
    <w:rsid w:val="005D13E8"/>
    <w:rsid w:val="005D140F"/>
    <w:rsid w:val="005D14D6"/>
    <w:rsid w:val="005D1577"/>
    <w:rsid w:val="005D1D92"/>
    <w:rsid w:val="005D1F98"/>
    <w:rsid w:val="005D2216"/>
    <w:rsid w:val="005D250C"/>
    <w:rsid w:val="005D2731"/>
    <w:rsid w:val="005D29D9"/>
    <w:rsid w:val="005D2D09"/>
    <w:rsid w:val="005D2D15"/>
    <w:rsid w:val="005D2F5D"/>
    <w:rsid w:val="005D30B8"/>
    <w:rsid w:val="005D325C"/>
    <w:rsid w:val="005D38AF"/>
    <w:rsid w:val="005D39B0"/>
    <w:rsid w:val="005D3AEA"/>
    <w:rsid w:val="005D3DB0"/>
    <w:rsid w:val="005D44C9"/>
    <w:rsid w:val="005D4B2F"/>
    <w:rsid w:val="005D4F54"/>
    <w:rsid w:val="005D4F8D"/>
    <w:rsid w:val="005D5030"/>
    <w:rsid w:val="005D5204"/>
    <w:rsid w:val="005D5278"/>
    <w:rsid w:val="005D5ACF"/>
    <w:rsid w:val="005D5D1A"/>
    <w:rsid w:val="005D5E64"/>
    <w:rsid w:val="005D5F69"/>
    <w:rsid w:val="005D67E1"/>
    <w:rsid w:val="005D6AA4"/>
    <w:rsid w:val="005D6E71"/>
    <w:rsid w:val="005D6F59"/>
    <w:rsid w:val="005D7011"/>
    <w:rsid w:val="005D728A"/>
    <w:rsid w:val="005D7520"/>
    <w:rsid w:val="005D7B7F"/>
    <w:rsid w:val="005D7BA2"/>
    <w:rsid w:val="005E00BD"/>
    <w:rsid w:val="005E02BE"/>
    <w:rsid w:val="005E068F"/>
    <w:rsid w:val="005E09C6"/>
    <w:rsid w:val="005E0FA8"/>
    <w:rsid w:val="005E0FB3"/>
    <w:rsid w:val="005E1011"/>
    <w:rsid w:val="005E115C"/>
    <w:rsid w:val="005E122D"/>
    <w:rsid w:val="005E1F70"/>
    <w:rsid w:val="005E2044"/>
    <w:rsid w:val="005E2558"/>
    <w:rsid w:val="005E28AC"/>
    <w:rsid w:val="005E2955"/>
    <w:rsid w:val="005E320D"/>
    <w:rsid w:val="005E3401"/>
    <w:rsid w:val="005E353E"/>
    <w:rsid w:val="005E3983"/>
    <w:rsid w:val="005E3A82"/>
    <w:rsid w:val="005E4790"/>
    <w:rsid w:val="005E47A3"/>
    <w:rsid w:val="005E4E0F"/>
    <w:rsid w:val="005E4E8F"/>
    <w:rsid w:val="005E5740"/>
    <w:rsid w:val="005E5801"/>
    <w:rsid w:val="005E5DFC"/>
    <w:rsid w:val="005E5EBF"/>
    <w:rsid w:val="005E5EEE"/>
    <w:rsid w:val="005E66E9"/>
    <w:rsid w:val="005E6D86"/>
    <w:rsid w:val="005E6F9E"/>
    <w:rsid w:val="005E6FF1"/>
    <w:rsid w:val="005E7026"/>
    <w:rsid w:val="005E7317"/>
    <w:rsid w:val="005E733A"/>
    <w:rsid w:val="005E7565"/>
    <w:rsid w:val="005F0585"/>
    <w:rsid w:val="005F05A4"/>
    <w:rsid w:val="005F0679"/>
    <w:rsid w:val="005F0692"/>
    <w:rsid w:val="005F06A7"/>
    <w:rsid w:val="005F0872"/>
    <w:rsid w:val="005F0BCD"/>
    <w:rsid w:val="005F0F76"/>
    <w:rsid w:val="005F0FEB"/>
    <w:rsid w:val="005F11D1"/>
    <w:rsid w:val="005F128E"/>
    <w:rsid w:val="005F1382"/>
    <w:rsid w:val="005F2987"/>
    <w:rsid w:val="005F3883"/>
    <w:rsid w:val="005F38FA"/>
    <w:rsid w:val="005F3B9E"/>
    <w:rsid w:val="005F3D40"/>
    <w:rsid w:val="005F3D90"/>
    <w:rsid w:val="005F41DA"/>
    <w:rsid w:val="005F42A1"/>
    <w:rsid w:val="005F46F3"/>
    <w:rsid w:val="005F497A"/>
    <w:rsid w:val="005F4EB0"/>
    <w:rsid w:val="005F5853"/>
    <w:rsid w:val="005F5C2B"/>
    <w:rsid w:val="005F5C46"/>
    <w:rsid w:val="005F5F4D"/>
    <w:rsid w:val="005F5FFA"/>
    <w:rsid w:val="005F62F6"/>
    <w:rsid w:val="005F6513"/>
    <w:rsid w:val="005F6704"/>
    <w:rsid w:val="005F6877"/>
    <w:rsid w:val="005F6A5A"/>
    <w:rsid w:val="005F76D4"/>
    <w:rsid w:val="005F7944"/>
    <w:rsid w:val="0060001B"/>
    <w:rsid w:val="0060007F"/>
    <w:rsid w:val="006001FA"/>
    <w:rsid w:val="00600219"/>
    <w:rsid w:val="00600B75"/>
    <w:rsid w:val="00601458"/>
    <w:rsid w:val="0060177C"/>
    <w:rsid w:val="0060195C"/>
    <w:rsid w:val="00601AF5"/>
    <w:rsid w:val="00601BDD"/>
    <w:rsid w:val="00602154"/>
    <w:rsid w:val="00602A8F"/>
    <w:rsid w:val="00602D8E"/>
    <w:rsid w:val="00602DC0"/>
    <w:rsid w:val="00602F6C"/>
    <w:rsid w:val="00603248"/>
    <w:rsid w:val="006032BF"/>
    <w:rsid w:val="00603CBF"/>
    <w:rsid w:val="00603F25"/>
    <w:rsid w:val="00604001"/>
    <w:rsid w:val="0060445C"/>
    <w:rsid w:val="00604679"/>
    <w:rsid w:val="006048F2"/>
    <w:rsid w:val="00604943"/>
    <w:rsid w:val="00604B8B"/>
    <w:rsid w:val="00604F2A"/>
    <w:rsid w:val="006054A9"/>
    <w:rsid w:val="006057CE"/>
    <w:rsid w:val="00605828"/>
    <w:rsid w:val="00605A5D"/>
    <w:rsid w:val="00605E3D"/>
    <w:rsid w:val="00605F00"/>
    <w:rsid w:val="006064F2"/>
    <w:rsid w:val="00606546"/>
    <w:rsid w:val="00606F17"/>
    <w:rsid w:val="006073F7"/>
    <w:rsid w:val="00607409"/>
    <w:rsid w:val="0060753B"/>
    <w:rsid w:val="00607DC3"/>
    <w:rsid w:val="00607F42"/>
    <w:rsid w:val="00610021"/>
    <w:rsid w:val="00610293"/>
    <w:rsid w:val="00610677"/>
    <w:rsid w:val="0061105D"/>
    <w:rsid w:val="00611097"/>
    <w:rsid w:val="00611100"/>
    <w:rsid w:val="00611109"/>
    <w:rsid w:val="00611122"/>
    <w:rsid w:val="00611434"/>
    <w:rsid w:val="0061156B"/>
    <w:rsid w:val="00611571"/>
    <w:rsid w:val="006116A7"/>
    <w:rsid w:val="00611810"/>
    <w:rsid w:val="00611835"/>
    <w:rsid w:val="00611D21"/>
    <w:rsid w:val="0061262A"/>
    <w:rsid w:val="0061272D"/>
    <w:rsid w:val="00612BB0"/>
    <w:rsid w:val="00612DF6"/>
    <w:rsid w:val="00612F5D"/>
    <w:rsid w:val="00613049"/>
    <w:rsid w:val="0061306A"/>
    <w:rsid w:val="006133C1"/>
    <w:rsid w:val="006133DD"/>
    <w:rsid w:val="00613EF4"/>
    <w:rsid w:val="00613F1F"/>
    <w:rsid w:val="00613FB7"/>
    <w:rsid w:val="0061439C"/>
    <w:rsid w:val="00614D05"/>
    <w:rsid w:val="00615305"/>
    <w:rsid w:val="006154FA"/>
    <w:rsid w:val="00615A3A"/>
    <w:rsid w:val="00615CF5"/>
    <w:rsid w:val="00615F3F"/>
    <w:rsid w:val="006168F2"/>
    <w:rsid w:val="00616CB2"/>
    <w:rsid w:val="00616CD6"/>
    <w:rsid w:val="00617161"/>
    <w:rsid w:val="00617494"/>
    <w:rsid w:val="00617641"/>
    <w:rsid w:val="006177DC"/>
    <w:rsid w:val="0061789B"/>
    <w:rsid w:val="006179F1"/>
    <w:rsid w:val="00617CBE"/>
    <w:rsid w:val="00620076"/>
    <w:rsid w:val="00620143"/>
    <w:rsid w:val="006202AD"/>
    <w:rsid w:val="006202C0"/>
    <w:rsid w:val="00620931"/>
    <w:rsid w:val="00622331"/>
    <w:rsid w:val="00622442"/>
    <w:rsid w:val="00622963"/>
    <w:rsid w:val="00622967"/>
    <w:rsid w:val="00622BC5"/>
    <w:rsid w:val="00622C68"/>
    <w:rsid w:val="00622D95"/>
    <w:rsid w:val="0062305C"/>
    <w:rsid w:val="006232D2"/>
    <w:rsid w:val="00623545"/>
    <w:rsid w:val="006237F6"/>
    <w:rsid w:val="0062405A"/>
    <w:rsid w:val="00624359"/>
    <w:rsid w:val="006245C5"/>
    <w:rsid w:val="0062470B"/>
    <w:rsid w:val="00624A10"/>
    <w:rsid w:val="00624B88"/>
    <w:rsid w:val="00624C46"/>
    <w:rsid w:val="00625A20"/>
    <w:rsid w:val="00625CEF"/>
    <w:rsid w:val="00625EAF"/>
    <w:rsid w:val="00626360"/>
    <w:rsid w:val="006268CA"/>
    <w:rsid w:val="006269B8"/>
    <w:rsid w:val="006269DD"/>
    <w:rsid w:val="00626CF9"/>
    <w:rsid w:val="006277D1"/>
    <w:rsid w:val="00627B20"/>
    <w:rsid w:val="00627BBF"/>
    <w:rsid w:val="00627E0A"/>
    <w:rsid w:val="00630CCE"/>
    <w:rsid w:val="00631B6D"/>
    <w:rsid w:val="00631FA0"/>
    <w:rsid w:val="0063227A"/>
    <w:rsid w:val="006325B0"/>
    <w:rsid w:val="006328F7"/>
    <w:rsid w:val="00632F38"/>
    <w:rsid w:val="00632FD3"/>
    <w:rsid w:val="0063395F"/>
    <w:rsid w:val="00633D39"/>
    <w:rsid w:val="00633F32"/>
    <w:rsid w:val="00634A19"/>
    <w:rsid w:val="00634A2B"/>
    <w:rsid w:val="00634B0C"/>
    <w:rsid w:val="00634C2B"/>
    <w:rsid w:val="00634CFD"/>
    <w:rsid w:val="00634E2B"/>
    <w:rsid w:val="00635130"/>
    <w:rsid w:val="006353A7"/>
    <w:rsid w:val="00635775"/>
    <w:rsid w:val="00635D2E"/>
    <w:rsid w:val="00636AAF"/>
    <w:rsid w:val="00636DED"/>
    <w:rsid w:val="006370DB"/>
    <w:rsid w:val="00637660"/>
    <w:rsid w:val="00637D26"/>
    <w:rsid w:val="00637F6C"/>
    <w:rsid w:val="00637FA0"/>
    <w:rsid w:val="006400CB"/>
    <w:rsid w:val="006406B8"/>
    <w:rsid w:val="00640C9A"/>
    <w:rsid w:val="006411AA"/>
    <w:rsid w:val="0064129D"/>
    <w:rsid w:val="00641354"/>
    <w:rsid w:val="00641373"/>
    <w:rsid w:val="0064143B"/>
    <w:rsid w:val="00641579"/>
    <w:rsid w:val="0064186C"/>
    <w:rsid w:val="00641A2B"/>
    <w:rsid w:val="00641B18"/>
    <w:rsid w:val="00641C2F"/>
    <w:rsid w:val="0064258E"/>
    <w:rsid w:val="00642599"/>
    <w:rsid w:val="006428CE"/>
    <w:rsid w:val="006439DC"/>
    <w:rsid w:val="00643B0C"/>
    <w:rsid w:val="00643CA9"/>
    <w:rsid w:val="006440EB"/>
    <w:rsid w:val="00644685"/>
    <w:rsid w:val="0064468A"/>
    <w:rsid w:val="00645533"/>
    <w:rsid w:val="0064555D"/>
    <w:rsid w:val="0064557B"/>
    <w:rsid w:val="00645780"/>
    <w:rsid w:val="006457CF"/>
    <w:rsid w:val="006459EF"/>
    <w:rsid w:val="00645C54"/>
    <w:rsid w:val="00645EDE"/>
    <w:rsid w:val="00645EFC"/>
    <w:rsid w:val="0064640C"/>
    <w:rsid w:val="006469F0"/>
    <w:rsid w:val="00646B83"/>
    <w:rsid w:val="00646E04"/>
    <w:rsid w:val="00646F98"/>
    <w:rsid w:val="006470C6"/>
    <w:rsid w:val="00647468"/>
    <w:rsid w:val="00647B86"/>
    <w:rsid w:val="00647CD4"/>
    <w:rsid w:val="006501A9"/>
    <w:rsid w:val="00650258"/>
    <w:rsid w:val="00650303"/>
    <w:rsid w:val="00650322"/>
    <w:rsid w:val="00650836"/>
    <w:rsid w:val="00650CC8"/>
    <w:rsid w:val="00650D27"/>
    <w:rsid w:val="00650E4E"/>
    <w:rsid w:val="006512A0"/>
    <w:rsid w:val="00651598"/>
    <w:rsid w:val="00651859"/>
    <w:rsid w:val="00651977"/>
    <w:rsid w:val="00651A6B"/>
    <w:rsid w:val="00651E0E"/>
    <w:rsid w:val="00651E77"/>
    <w:rsid w:val="00652327"/>
    <w:rsid w:val="006523AF"/>
    <w:rsid w:val="00652543"/>
    <w:rsid w:val="0065271F"/>
    <w:rsid w:val="006527A0"/>
    <w:rsid w:val="00652E95"/>
    <w:rsid w:val="0065338E"/>
    <w:rsid w:val="00653ED0"/>
    <w:rsid w:val="006542FF"/>
    <w:rsid w:val="00654450"/>
    <w:rsid w:val="006545D4"/>
    <w:rsid w:val="0065488B"/>
    <w:rsid w:val="00654A37"/>
    <w:rsid w:val="00654A4D"/>
    <w:rsid w:val="00654B19"/>
    <w:rsid w:val="00654DC9"/>
    <w:rsid w:val="00655194"/>
    <w:rsid w:val="006551E6"/>
    <w:rsid w:val="00655348"/>
    <w:rsid w:val="00655725"/>
    <w:rsid w:val="006559F6"/>
    <w:rsid w:val="00655B44"/>
    <w:rsid w:val="00656B60"/>
    <w:rsid w:val="00656FD1"/>
    <w:rsid w:val="00657015"/>
    <w:rsid w:val="0065726A"/>
    <w:rsid w:val="0065734A"/>
    <w:rsid w:val="00657409"/>
    <w:rsid w:val="0065745C"/>
    <w:rsid w:val="006574AE"/>
    <w:rsid w:val="006576EE"/>
    <w:rsid w:val="006577B0"/>
    <w:rsid w:val="00657865"/>
    <w:rsid w:val="00657BD6"/>
    <w:rsid w:val="00657EB1"/>
    <w:rsid w:val="00657FC0"/>
    <w:rsid w:val="00660292"/>
    <w:rsid w:val="006605F3"/>
    <w:rsid w:val="00660648"/>
    <w:rsid w:val="00660C22"/>
    <w:rsid w:val="00660EA9"/>
    <w:rsid w:val="006613DD"/>
    <w:rsid w:val="006615B8"/>
    <w:rsid w:val="00661642"/>
    <w:rsid w:val="00661647"/>
    <w:rsid w:val="006618C7"/>
    <w:rsid w:val="00661B1D"/>
    <w:rsid w:val="00661BD9"/>
    <w:rsid w:val="00661DA2"/>
    <w:rsid w:val="0066254D"/>
    <w:rsid w:val="0066261E"/>
    <w:rsid w:val="006627E7"/>
    <w:rsid w:val="0066289C"/>
    <w:rsid w:val="00662909"/>
    <w:rsid w:val="00662C00"/>
    <w:rsid w:val="00664D1B"/>
    <w:rsid w:val="00664FFE"/>
    <w:rsid w:val="006650B7"/>
    <w:rsid w:val="00665366"/>
    <w:rsid w:val="00665A4A"/>
    <w:rsid w:val="00665C3A"/>
    <w:rsid w:val="00666165"/>
    <w:rsid w:val="0066619D"/>
    <w:rsid w:val="0066622F"/>
    <w:rsid w:val="00666570"/>
    <w:rsid w:val="00666781"/>
    <w:rsid w:val="00666879"/>
    <w:rsid w:val="006668DC"/>
    <w:rsid w:val="00667055"/>
    <w:rsid w:val="0066709D"/>
    <w:rsid w:val="0066723C"/>
    <w:rsid w:val="006678B8"/>
    <w:rsid w:val="00667BF8"/>
    <w:rsid w:val="00667C80"/>
    <w:rsid w:val="00667D7E"/>
    <w:rsid w:val="006700ED"/>
    <w:rsid w:val="0067030C"/>
    <w:rsid w:val="0067067B"/>
    <w:rsid w:val="006707BE"/>
    <w:rsid w:val="00670A4A"/>
    <w:rsid w:val="00670B57"/>
    <w:rsid w:val="00670C72"/>
    <w:rsid w:val="00670EA1"/>
    <w:rsid w:val="00670EE8"/>
    <w:rsid w:val="006710FF"/>
    <w:rsid w:val="006713C7"/>
    <w:rsid w:val="00671464"/>
    <w:rsid w:val="0067196D"/>
    <w:rsid w:val="00671ABF"/>
    <w:rsid w:val="00672098"/>
    <w:rsid w:val="00672569"/>
    <w:rsid w:val="00672663"/>
    <w:rsid w:val="00672CCE"/>
    <w:rsid w:val="00672E97"/>
    <w:rsid w:val="0067300D"/>
    <w:rsid w:val="00673059"/>
    <w:rsid w:val="0067325E"/>
    <w:rsid w:val="006733A6"/>
    <w:rsid w:val="006738B1"/>
    <w:rsid w:val="00673DF3"/>
    <w:rsid w:val="00673E27"/>
    <w:rsid w:val="0067406D"/>
    <w:rsid w:val="006746C8"/>
    <w:rsid w:val="00674C29"/>
    <w:rsid w:val="00674F25"/>
    <w:rsid w:val="0067524B"/>
    <w:rsid w:val="00675371"/>
    <w:rsid w:val="00675414"/>
    <w:rsid w:val="006758CE"/>
    <w:rsid w:val="00675964"/>
    <w:rsid w:val="00675F61"/>
    <w:rsid w:val="00676577"/>
    <w:rsid w:val="006765B7"/>
    <w:rsid w:val="00676975"/>
    <w:rsid w:val="00677174"/>
    <w:rsid w:val="00677444"/>
    <w:rsid w:val="0067794E"/>
    <w:rsid w:val="00677A7A"/>
    <w:rsid w:val="00677B40"/>
    <w:rsid w:val="00677CC2"/>
    <w:rsid w:val="00677EE3"/>
    <w:rsid w:val="006800A2"/>
    <w:rsid w:val="00680165"/>
    <w:rsid w:val="006802B7"/>
    <w:rsid w:val="006806D8"/>
    <w:rsid w:val="0068085D"/>
    <w:rsid w:val="0068144D"/>
    <w:rsid w:val="00681654"/>
    <w:rsid w:val="00681986"/>
    <w:rsid w:val="00681C0D"/>
    <w:rsid w:val="00681C87"/>
    <w:rsid w:val="00681F3E"/>
    <w:rsid w:val="0068201F"/>
    <w:rsid w:val="00682087"/>
    <w:rsid w:val="00682377"/>
    <w:rsid w:val="0068241F"/>
    <w:rsid w:val="00682447"/>
    <w:rsid w:val="00682A8D"/>
    <w:rsid w:val="00682AB1"/>
    <w:rsid w:val="00682D57"/>
    <w:rsid w:val="00682DD6"/>
    <w:rsid w:val="006833E3"/>
    <w:rsid w:val="006839AF"/>
    <w:rsid w:val="00683E02"/>
    <w:rsid w:val="00683F64"/>
    <w:rsid w:val="006842D0"/>
    <w:rsid w:val="006854A6"/>
    <w:rsid w:val="00685666"/>
    <w:rsid w:val="00685849"/>
    <w:rsid w:val="00685B6B"/>
    <w:rsid w:val="00685CBC"/>
    <w:rsid w:val="00685E28"/>
    <w:rsid w:val="0068609F"/>
    <w:rsid w:val="006860E5"/>
    <w:rsid w:val="0068615D"/>
    <w:rsid w:val="006861A8"/>
    <w:rsid w:val="00686207"/>
    <w:rsid w:val="00686487"/>
    <w:rsid w:val="00686B6F"/>
    <w:rsid w:val="00687042"/>
    <w:rsid w:val="0068744B"/>
    <w:rsid w:val="00687705"/>
    <w:rsid w:val="006879C2"/>
    <w:rsid w:val="006905DE"/>
    <w:rsid w:val="0069064E"/>
    <w:rsid w:val="006906FF"/>
    <w:rsid w:val="00690A7C"/>
    <w:rsid w:val="00690E1C"/>
    <w:rsid w:val="00690E59"/>
    <w:rsid w:val="00690F9D"/>
    <w:rsid w:val="00691D93"/>
    <w:rsid w:val="0069207B"/>
    <w:rsid w:val="00692643"/>
    <w:rsid w:val="00692743"/>
    <w:rsid w:val="006936C2"/>
    <w:rsid w:val="00693CFD"/>
    <w:rsid w:val="00693E1C"/>
    <w:rsid w:val="006942A0"/>
    <w:rsid w:val="006942BB"/>
    <w:rsid w:val="006945F2"/>
    <w:rsid w:val="00695155"/>
    <w:rsid w:val="006951D4"/>
    <w:rsid w:val="006951D9"/>
    <w:rsid w:val="0069550F"/>
    <w:rsid w:val="006955D6"/>
    <w:rsid w:val="00696400"/>
    <w:rsid w:val="00696A1A"/>
    <w:rsid w:val="00696D32"/>
    <w:rsid w:val="006971AE"/>
    <w:rsid w:val="0069750A"/>
    <w:rsid w:val="00697797"/>
    <w:rsid w:val="0069799C"/>
    <w:rsid w:val="00697F3A"/>
    <w:rsid w:val="006A0200"/>
    <w:rsid w:val="006A05E4"/>
    <w:rsid w:val="006A0962"/>
    <w:rsid w:val="006A099A"/>
    <w:rsid w:val="006A0A91"/>
    <w:rsid w:val="006A154F"/>
    <w:rsid w:val="006A16A9"/>
    <w:rsid w:val="006A1869"/>
    <w:rsid w:val="006A19AF"/>
    <w:rsid w:val="006A1BB9"/>
    <w:rsid w:val="006A289A"/>
    <w:rsid w:val="006A2BE5"/>
    <w:rsid w:val="006A3878"/>
    <w:rsid w:val="006A3D50"/>
    <w:rsid w:val="006A437B"/>
    <w:rsid w:val="006A44C9"/>
    <w:rsid w:val="006A46A1"/>
    <w:rsid w:val="006A4999"/>
    <w:rsid w:val="006A49B7"/>
    <w:rsid w:val="006A4CCB"/>
    <w:rsid w:val="006A59D7"/>
    <w:rsid w:val="006A5C45"/>
    <w:rsid w:val="006A5F5A"/>
    <w:rsid w:val="006A66EB"/>
    <w:rsid w:val="006A67DC"/>
    <w:rsid w:val="006A6A4A"/>
    <w:rsid w:val="006A744D"/>
    <w:rsid w:val="006A7B7C"/>
    <w:rsid w:val="006B0374"/>
    <w:rsid w:val="006B0789"/>
    <w:rsid w:val="006B0BB6"/>
    <w:rsid w:val="006B1129"/>
    <w:rsid w:val="006B13B8"/>
    <w:rsid w:val="006B187A"/>
    <w:rsid w:val="006B208E"/>
    <w:rsid w:val="006B24A3"/>
    <w:rsid w:val="006B2983"/>
    <w:rsid w:val="006B29A1"/>
    <w:rsid w:val="006B2A2A"/>
    <w:rsid w:val="006B2BC8"/>
    <w:rsid w:val="006B3BAD"/>
    <w:rsid w:val="006B3DAD"/>
    <w:rsid w:val="006B3FFE"/>
    <w:rsid w:val="006B4528"/>
    <w:rsid w:val="006B4A33"/>
    <w:rsid w:val="006B4E2A"/>
    <w:rsid w:val="006B4E3A"/>
    <w:rsid w:val="006B4E41"/>
    <w:rsid w:val="006B4FA5"/>
    <w:rsid w:val="006B512E"/>
    <w:rsid w:val="006B5132"/>
    <w:rsid w:val="006B5200"/>
    <w:rsid w:val="006B5789"/>
    <w:rsid w:val="006B5A78"/>
    <w:rsid w:val="006B5A84"/>
    <w:rsid w:val="006B5CB5"/>
    <w:rsid w:val="006B5CD3"/>
    <w:rsid w:val="006B5D8D"/>
    <w:rsid w:val="006B6581"/>
    <w:rsid w:val="006B66CC"/>
    <w:rsid w:val="006B69A5"/>
    <w:rsid w:val="006B6A88"/>
    <w:rsid w:val="006B6C27"/>
    <w:rsid w:val="006B6D00"/>
    <w:rsid w:val="006B7330"/>
    <w:rsid w:val="006B73A5"/>
    <w:rsid w:val="006B741C"/>
    <w:rsid w:val="006B76D3"/>
    <w:rsid w:val="006B77BB"/>
    <w:rsid w:val="006B7DE4"/>
    <w:rsid w:val="006C0B87"/>
    <w:rsid w:val="006C1885"/>
    <w:rsid w:val="006C1E71"/>
    <w:rsid w:val="006C1E76"/>
    <w:rsid w:val="006C2048"/>
    <w:rsid w:val="006C20BC"/>
    <w:rsid w:val="006C2689"/>
    <w:rsid w:val="006C2A50"/>
    <w:rsid w:val="006C2BE3"/>
    <w:rsid w:val="006C30C5"/>
    <w:rsid w:val="006C36A0"/>
    <w:rsid w:val="006C40B4"/>
    <w:rsid w:val="006C41C9"/>
    <w:rsid w:val="006C4697"/>
    <w:rsid w:val="006C48DA"/>
    <w:rsid w:val="006C4B67"/>
    <w:rsid w:val="006C4E0F"/>
    <w:rsid w:val="006C525E"/>
    <w:rsid w:val="006C5392"/>
    <w:rsid w:val="006C565A"/>
    <w:rsid w:val="006C5838"/>
    <w:rsid w:val="006C5AA4"/>
    <w:rsid w:val="006C5F38"/>
    <w:rsid w:val="006C6120"/>
    <w:rsid w:val="006C6326"/>
    <w:rsid w:val="006C6486"/>
    <w:rsid w:val="006C6609"/>
    <w:rsid w:val="006C68E4"/>
    <w:rsid w:val="006C6AA4"/>
    <w:rsid w:val="006C6B6B"/>
    <w:rsid w:val="006C7364"/>
    <w:rsid w:val="006C7793"/>
    <w:rsid w:val="006C7AAF"/>
    <w:rsid w:val="006C7F23"/>
    <w:rsid w:val="006C7F8C"/>
    <w:rsid w:val="006D01E3"/>
    <w:rsid w:val="006D05E8"/>
    <w:rsid w:val="006D07E3"/>
    <w:rsid w:val="006D084F"/>
    <w:rsid w:val="006D089E"/>
    <w:rsid w:val="006D0D6A"/>
    <w:rsid w:val="006D0EE7"/>
    <w:rsid w:val="006D109B"/>
    <w:rsid w:val="006D19A7"/>
    <w:rsid w:val="006D1A17"/>
    <w:rsid w:val="006D1DEC"/>
    <w:rsid w:val="006D22A3"/>
    <w:rsid w:val="006D2309"/>
    <w:rsid w:val="006D2C58"/>
    <w:rsid w:val="006D30A9"/>
    <w:rsid w:val="006D3D1D"/>
    <w:rsid w:val="006D3E28"/>
    <w:rsid w:val="006D49D9"/>
    <w:rsid w:val="006D4A46"/>
    <w:rsid w:val="006D4D83"/>
    <w:rsid w:val="006D5C12"/>
    <w:rsid w:val="006D5CA7"/>
    <w:rsid w:val="006D5D81"/>
    <w:rsid w:val="006D66FF"/>
    <w:rsid w:val="006D67AC"/>
    <w:rsid w:val="006D67EF"/>
    <w:rsid w:val="006D698A"/>
    <w:rsid w:val="006D6B85"/>
    <w:rsid w:val="006D6BCC"/>
    <w:rsid w:val="006D6E93"/>
    <w:rsid w:val="006D70C3"/>
    <w:rsid w:val="006D70C4"/>
    <w:rsid w:val="006D74DC"/>
    <w:rsid w:val="006D7F5E"/>
    <w:rsid w:val="006E01E6"/>
    <w:rsid w:val="006E0653"/>
    <w:rsid w:val="006E0A0B"/>
    <w:rsid w:val="006E1089"/>
    <w:rsid w:val="006E1271"/>
    <w:rsid w:val="006E13A2"/>
    <w:rsid w:val="006E1771"/>
    <w:rsid w:val="006E1E73"/>
    <w:rsid w:val="006E2292"/>
    <w:rsid w:val="006E25D4"/>
    <w:rsid w:val="006E281F"/>
    <w:rsid w:val="006E2CF8"/>
    <w:rsid w:val="006E2D63"/>
    <w:rsid w:val="006E2E1C"/>
    <w:rsid w:val="006E3BF2"/>
    <w:rsid w:val="006E3FD0"/>
    <w:rsid w:val="006E43A2"/>
    <w:rsid w:val="006E43E3"/>
    <w:rsid w:val="006E489B"/>
    <w:rsid w:val="006E4909"/>
    <w:rsid w:val="006E4B99"/>
    <w:rsid w:val="006E55A2"/>
    <w:rsid w:val="006E5665"/>
    <w:rsid w:val="006E5B93"/>
    <w:rsid w:val="006E5F95"/>
    <w:rsid w:val="006E6044"/>
    <w:rsid w:val="006E6246"/>
    <w:rsid w:val="006E63EB"/>
    <w:rsid w:val="006E65B8"/>
    <w:rsid w:val="006E6668"/>
    <w:rsid w:val="006E66F0"/>
    <w:rsid w:val="006E69C2"/>
    <w:rsid w:val="006E6DCC"/>
    <w:rsid w:val="006E6E7F"/>
    <w:rsid w:val="006E6F98"/>
    <w:rsid w:val="006E725D"/>
    <w:rsid w:val="006E73DC"/>
    <w:rsid w:val="006E7445"/>
    <w:rsid w:val="006E759C"/>
    <w:rsid w:val="006E7B60"/>
    <w:rsid w:val="006E7CEB"/>
    <w:rsid w:val="006E7E08"/>
    <w:rsid w:val="006F00AD"/>
    <w:rsid w:val="006F02D5"/>
    <w:rsid w:val="006F0BFB"/>
    <w:rsid w:val="006F0D62"/>
    <w:rsid w:val="006F0D6C"/>
    <w:rsid w:val="006F0FA1"/>
    <w:rsid w:val="006F0FED"/>
    <w:rsid w:val="006F100D"/>
    <w:rsid w:val="006F158D"/>
    <w:rsid w:val="006F184B"/>
    <w:rsid w:val="006F1B0F"/>
    <w:rsid w:val="006F2496"/>
    <w:rsid w:val="006F283D"/>
    <w:rsid w:val="006F2C9A"/>
    <w:rsid w:val="006F2EC3"/>
    <w:rsid w:val="006F318F"/>
    <w:rsid w:val="006F3656"/>
    <w:rsid w:val="006F3DC7"/>
    <w:rsid w:val="006F4229"/>
    <w:rsid w:val="006F432E"/>
    <w:rsid w:val="006F43D1"/>
    <w:rsid w:val="006F4484"/>
    <w:rsid w:val="006F48E4"/>
    <w:rsid w:val="006F49BC"/>
    <w:rsid w:val="006F4A42"/>
    <w:rsid w:val="006F4AED"/>
    <w:rsid w:val="006F4B08"/>
    <w:rsid w:val="006F4D6D"/>
    <w:rsid w:val="006F57C5"/>
    <w:rsid w:val="006F634D"/>
    <w:rsid w:val="006F64C3"/>
    <w:rsid w:val="006F658F"/>
    <w:rsid w:val="006F6600"/>
    <w:rsid w:val="006F6A8E"/>
    <w:rsid w:val="006F6AFE"/>
    <w:rsid w:val="006F6BB0"/>
    <w:rsid w:val="006F6BEB"/>
    <w:rsid w:val="006F6F26"/>
    <w:rsid w:val="006F72A9"/>
    <w:rsid w:val="0070017E"/>
    <w:rsid w:val="0070053F"/>
    <w:rsid w:val="00700B2C"/>
    <w:rsid w:val="00701680"/>
    <w:rsid w:val="007016A9"/>
    <w:rsid w:val="00701E3F"/>
    <w:rsid w:val="0070205C"/>
    <w:rsid w:val="00702080"/>
    <w:rsid w:val="00702396"/>
    <w:rsid w:val="0070247B"/>
    <w:rsid w:val="007027F9"/>
    <w:rsid w:val="0070298F"/>
    <w:rsid w:val="00702B4C"/>
    <w:rsid w:val="00702C55"/>
    <w:rsid w:val="00703034"/>
    <w:rsid w:val="0070346B"/>
    <w:rsid w:val="007037B6"/>
    <w:rsid w:val="007037DF"/>
    <w:rsid w:val="0070405E"/>
    <w:rsid w:val="0070409C"/>
    <w:rsid w:val="007043F6"/>
    <w:rsid w:val="00704555"/>
    <w:rsid w:val="00704791"/>
    <w:rsid w:val="007050A2"/>
    <w:rsid w:val="00705165"/>
    <w:rsid w:val="0070538D"/>
    <w:rsid w:val="00705BCF"/>
    <w:rsid w:val="0070614F"/>
    <w:rsid w:val="00706292"/>
    <w:rsid w:val="007066D2"/>
    <w:rsid w:val="00706ACF"/>
    <w:rsid w:val="00706DF7"/>
    <w:rsid w:val="0070737B"/>
    <w:rsid w:val="007074CF"/>
    <w:rsid w:val="00707CB0"/>
    <w:rsid w:val="00707FC6"/>
    <w:rsid w:val="0071045B"/>
    <w:rsid w:val="00710BD4"/>
    <w:rsid w:val="00711041"/>
    <w:rsid w:val="007110DB"/>
    <w:rsid w:val="007111DB"/>
    <w:rsid w:val="00711312"/>
    <w:rsid w:val="00711409"/>
    <w:rsid w:val="007115C0"/>
    <w:rsid w:val="0071161D"/>
    <w:rsid w:val="00711989"/>
    <w:rsid w:val="00711D10"/>
    <w:rsid w:val="00712434"/>
    <w:rsid w:val="00712A9B"/>
    <w:rsid w:val="00713084"/>
    <w:rsid w:val="007133E0"/>
    <w:rsid w:val="007134C2"/>
    <w:rsid w:val="00713923"/>
    <w:rsid w:val="0071395B"/>
    <w:rsid w:val="00713ACE"/>
    <w:rsid w:val="00714089"/>
    <w:rsid w:val="007144E3"/>
    <w:rsid w:val="007149EB"/>
    <w:rsid w:val="00714F20"/>
    <w:rsid w:val="00715048"/>
    <w:rsid w:val="007157C6"/>
    <w:rsid w:val="0071590F"/>
    <w:rsid w:val="00715914"/>
    <w:rsid w:val="00715A6B"/>
    <w:rsid w:val="0071645B"/>
    <w:rsid w:val="00716DAE"/>
    <w:rsid w:val="007172DB"/>
    <w:rsid w:val="0071751C"/>
    <w:rsid w:val="00717E13"/>
    <w:rsid w:val="007203D0"/>
    <w:rsid w:val="007204B1"/>
    <w:rsid w:val="007206AB"/>
    <w:rsid w:val="007207F1"/>
    <w:rsid w:val="00720A35"/>
    <w:rsid w:val="00720B10"/>
    <w:rsid w:val="00720B63"/>
    <w:rsid w:val="00720BCB"/>
    <w:rsid w:val="00720D1C"/>
    <w:rsid w:val="00721201"/>
    <w:rsid w:val="00721227"/>
    <w:rsid w:val="00721327"/>
    <w:rsid w:val="0072147A"/>
    <w:rsid w:val="00721F5B"/>
    <w:rsid w:val="007220E6"/>
    <w:rsid w:val="007222DC"/>
    <w:rsid w:val="0072242E"/>
    <w:rsid w:val="00722649"/>
    <w:rsid w:val="00722E21"/>
    <w:rsid w:val="007230CD"/>
    <w:rsid w:val="00723791"/>
    <w:rsid w:val="00724397"/>
    <w:rsid w:val="0072468A"/>
    <w:rsid w:val="0072478C"/>
    <w:rsid w:val="00724945"/>
    <w:rsid w:val="00724981"/>
    <w:rsid w:val="00724A0E"/>
    <w:rsid w:val="00724A80"/>
    <w:rsid w:val="00724BEC"/>
    <w:rsid w:val="00724C80"/>
    <w:rsid w:val="00724C92"/>
    <w:rsid w:val="00724DBA"/>
    <w:rsid w:val="00724DD6"/>
    <w:rsid w:val="00724F9F"/>
    <w:rsid w:val="00725446"/>
    <w:rsid w:val="00725B78"/>
    <w:rsid w:val="00725B81"/>
    <w:rsid w:val="007267B8"/>
    <w:rsid w:val="00726E5F"/>
    <w:rsid w:val="007271AF"/>
    <w:rsid w:val="007276E5"/>
    <w:rsid w:val="00727B02"/>
    <w:rsid w:val="00727DFE"/>
    <w:rsid w:val="007300BF"/>
    <w:rsid w:val="007303FA"/>
    <w:rsid w:val="00730825"/>
    <w:rsid w:val="00730E44"/>
    <w:rsid w:val="00730E7C"/>
    <w:rsid w:val="00731040"/>
    <w:rsid w:val="007315B2"/>
    <w:rsid w:val="00731B7B"/>
    <w:rsid w:val="00731E00"/>
    <w:rsid w:val="00731E09"/>
    <w:rsid w:val="0073218F"/>
    <w:rsid w:val="007323C8"/>
    <w:rsid w:val="00732CFA"/>
    <w:rsid w:val="007330AF"/>
    <w:rsid w:val="0073349F"/>
    <w:rsid w:val="007335A8"/>
    <w:rsid w:val="00733B1E"/>
    <w:rsid w:val="00733FB8"/>
    <w:rsid w:val="00734166"/>
    <w:rsid w:val="00734611"/>
    <w:rsid w:val="007349D5"/>
    <w:rsid w:val="00734DE6"/>
    <w:rsid w:val="007352D7"/>
    <w:rsid w:val="00735881"/>
    <w:rsid w:val="00735D6E"/>
    <w:rsid w:val="00735DCA"/>
    <w:rsid w:val="00735FC9"/>
    <w:rsid w:val="0073600E"/>
    <w:rsid w:val="007360BE"/>
    <w:rsid w:val="0073623D"/>
    <w:rsid w:val="00736B2E"/>
    <w:rsid w:val="007377A0"/>
    <w:rsid w:val="00737B42"/>
    <w:rsid w:val="00737BB3"/>
    <w:rsid w:val="00737C4C"/>
    <w:rsid w:val="00737D70"/>
    <w:rsid w:val="0074088B"/>
    <w:rsid w:val="00741024"/>
    <w:rsid w:val="007415AF"/>
    <w:rsid w:val="00741B4B"/>
    <w:rsid w:val="00741C01"/>
    <w:rsid w:val="00741EF2"/>
    <w:rsid w:val="00742419"/>
    <w:rsid w:val="00742522"/>
    <w:rsid w:val="0074265B"/>
    <w:rsid w:val="007427BC"/>
    <w:rsid w:val="00742AEA"/>
    <w:rsid w:val="007432B2"/>
    <w:rsid w:val="007437DE"/>
    <w:rsid w:val="007439BF"/>
    <w:rsid w:val="00743B13"/>
    <w:rsid w:val="00743D73"/>
    <w:rsid w:val="00743F12"/>
    <w:rsid w:val="007440B7"/>
    <w:rsid w:val="0074443E"/>
    <w:rsid w:val="00744AF2"/>
    <w:rsid w:val="00744CFB"/>
    <w:rsid w:val="0074515C"/>
    <w:rsid w:val="007451A3"/>
    <w:rsid w:val="00745207"/>
    <w:rsid w:val="0074547F"/>
    <w:rsid w:val="00745560"/>
    <w:rsid w:val="007458FE"/>
    <w:rsid w:val="00745A67"/>
    <w:rsid w:val="00745DDB"/>
    <w:rsid w:val="00746078"/>
    <w:rsid w:val="007464B6"/>
    <w:rsid w:val="00746704"/>
    <w:rsid w:val="007467D0"/>
    <w:rsid w:val="0074701E"/>
    <w:rsid w:val="007473CE"/>
    <w:rsid w:val="007473E1"/>
    <w:rsid w:val="007478E9"/>
    <w:rsid w:val="00747BDB"/>
    <w:rsid w:val="007500C8"/>
    <w:rsid w:val="0075045C"/>
    <w:rsid w:val="007509ED"/>
    <w:rsid w:val="00750AF6"/>
    <w:rsid w:val="007513B0"/>
    <w:rsid w:val="00751616"/>
    <w:rsid w:val="00751A4A"/>
    <w:rsid w:val="0075243B"/>
    <w:rsid w:val="007524A7"/>
    <w:rsid w:val="007525A8"/>
    <w:rsid w:val="0075290C"/>
    <w:rsid w:val="007529DB"/>
    <w:rsid w:val="00752C56"/>
    <w:rsid w:val="0075340F"/>
    <w:rsid w:val="0075360E"/>
    <w:rsid w:val="00753734"/>
    <w:rsid w:val="00753B0E"/>
    <w:rsid w:val="00753CD7"/>
    <w:rsid w:val="00753E60"/>
    <w:rsid w:val="007540B3"/>
    <w:rsid w:val="00754995"/>
    <w:rsid w:val="00754D69"/>
    <w:rsid w:val="007553D8"/>
    <w:rsid w:val="007554EF"/>
    <w:rsid w:val="00755617"/>
    <w:rsid w:val="0075578A"/>
    <w:rsid w:val="007559A0"/>
    <w:rsid w:val="00756272"/>
    <w:rsid w:val="00756CD6"/>
    <w:rsid w:val="00756D94"/>
    <w:rsid w:val="00756FEC"/>
    <w:rsid w:val="0075707B"/>
    <w:rsid w:val="0075734A"/>
    <w:rsid w:val="007574EA"/>
    <w:rsid w:val="007579F8"/>
    <w:rsid w:val="00757BD1"/>
    <w:rsid w:val="00760725"/>
    <w:rsid w:val="00760855"/>
    <w:rsid w:val="0076093C"/>
    <w:rsid w:val="00760F44"/>
    <w:rsid w:val="007612A3"/>
    <w:rsid w:val="00761847"/>
    <w:rsid w:val="00761C3B"/>
    <w:rsid w:val="00761E3E"/>
    <w:rsid w:val="007620DA"/>
    <w:rsid w:val="007622E5"/>
    <w:rsid w:val="007628C4"/>
    <w:rsid w:val="00762D38"/>
    <w:rsid w:val="00763413"/>
    <w:rsid w:val="0076441D"/>
    <w:rsid w:val="00764454"/>
    <w:rsid w:val="00764A26"/>
    <w:rsid w:val="007653E8"/>
    <w:rsid w:val="00765632"/>
    <w:rsid w:val="00765D4C"/>
    <w:rsid w:val="007661BE"/>
    <w:rsid w:val="007663CE"/>
    <w:rsid w:val="0076657A"/>
    <w:rsid w:val="00766AD1"/>
    <w:rsid w:val="00766DF6"/>
    <w:rsid w:val="00767153"/>
    <w:rsid w:val="00767262"/>
    <w:rsid w:val="00767AED"/>
    <w:rsid w:val="00767BDB"/>
    <w:rsid w:val="00767BF0"/>
    <w:rsid w:val="00767F8D"/>
    <w:rsid w:val="0077000D"/>
    <w:rsid w:val="007700AB"/>
    <w:rsid w:val="00770142"/>
    <w:rsid w:val="00770174"/>
    <w:rsid w:val="007703C5"/>
    <w:rsid w:val="00770793"/>
    <w:rsid w:val="00770833"/>
    <w:rsid w:val="00770E66"/>
    <w:rsid w:val="0077123D"/>
    <w:rsid w:val="007715C9"/>
    <w:rsid w:val="00771613"/>
    <w:rsid w:val="00771909"/>
    <w:rsid w:val="00771FEA"/>
    <w:rsid w:val="00771FEB"/>
    <w:rsid w:val="007724FF"/>
    <w:rsid w:val="00773178"/>
    <w:rsid w:val="007735AD"/>
    <w:rsid w:val="00773999"/>
    <w:rsid w:val="00773B09"/>
    <w:rsid w:val="00773B4A"/>
    <w:rsid w:val="00773C0B"/>
    <w:rsid w:val="00773FE8"/>
    <w:rsid w:val="00774373"/>
    <w:rsid w:val="007744AA"/>
    <w:rsid w:val="007744B8"/>
    <w:rsid w:val="00774956"/>
    <w:rsid w:val="00774A0B"/>
    <w:rsid w:val="00774BBC"/>
    <w:rsid w:val="00774EDD"/>
    <w:rsid w:val="00774F40"/>
    <w:rsid w:val="007751B6"/>
    <w:rsid w:val="007751C4"/>
    <w:rsid w:val="0077524F"/>
    <w:rsid w:val="00775342"/>
    <w:rsid w:val="007756A1"/>
    <w:rsid w:val="007757EC"/>
    <w:rsid w:val="007758DB"/>
    <w:rsid w:val="007759E6"/>
    <w:rsid w:val="00775E3B"/>
    <w:rsid w:val="0077609A"/>
    <w:rsid w:val="007765A0"/>
    <w:rsid w:val="00776D98"/>
    <w:rsid w:val="0077736E"/>
    <w:rsid w:val="0077773C"/>
    <w:rsid w:val="00777850"/>
    <w:rsid w:val="00777905"/>
    <w:rsid w:val="0077796B"/>
    <w:rsid w:val="0077799B"/>
    <w:rsid w:val="00777A32"/>
    <w:rsid w:val="00777D69"/>
    <w:rsid w:val="00777FAF"/>
    <w:rsid w:val="007804FD"/>
    <w:rsid w:val="0078083F"/>
    <w:rsid w:val="00780B69"/>
    <w:rsid w:val="00780FDD"/>
    <w:rsid w:val="007810C6"/>
    <w:rsid w:val="00781358"/>
    <w:rsid w:val="00781B3C"/>
    <w:rsid w:val="00781D75"/>
    <w:rsid w:val="00782229"/>
    <w:rsid w:val="00782AF0"/>
    <w:rsid w:val="00782B96"/>
    <w:rsid w:val="007830D5"/>
    <w:rsid w:val="007831E2"/>
    <w:rsid w:val="00783228"/>
    <w:rsid w:val="007832F9"/>
    <w:rsid w:val="0078330A"/>
    <w:rsid w:val="00783416"/>
    <w:rsid w:val="00783E89"/>
    <w:rsid w:val="00783EEC"/>
    <w:rsid w:val="00784B06"/>
    <w:rsid w:val="00784B52"/>
    <w:rsid w:val="00784DBC"/>
    <w:rsid w:val="00784E7F"/>
    <w:rsid w:val="007850E2"/>
    <w:rsid w:val="007859DD"/>
    <w:rsid w:val="00785BE7"/>
    <w:rsid w:val="00785DF9"/>
    <w:rsid w:val="00785E8E"/>
    <w:rsid w:val="007860F3"/>
    <w:rsid w:val="007866A8"/>
    <w:rsid w:val="00786B97"/>
    <w:rsid w:val="00786DD2"/>
    <w:rsid w:val="00787380"/>
    <w:rsid w:val="00787619"/>
    <w:rsid w:val="007877E7"/>
    <w:rsid w:val="00787A1C"/>
    <w:rsid w:val="00787D5B"/>
    <w:rsid w:val="00790058"/>
    <w:rsid w:val="0079056B"/>
    <w:rsid w:val="0079072E"/>
    <w:rsid w:val="00790B08"/>
    <w:rsid w:val="00790DDC"/>
    <w:rsid w:val="00790E28"/>
    <w:rsid w:val="00790E2D"/>
    <w:rsid w:val="00790FE3"/>
    <w:rsid w:val="007912E9"/>
    <w:rsid w:val="007913C6"/>
    <w:rsid w:val="007915E6"/>
    <w:rsid w:val="007920A1"/>
    <w:rsid w:val="007920C0"/>
    <w:rsid w:val="007923AC"/>
    <w:rsid w:val="00792880"/>
    <w:rsid w:val="007928D0"/>
    <w:rsid w:val="00792CF8"/>
    <w:rsid w:val="0079340D"/>
    <w:rsid w:val="00793915"/>
    <w:rsid w:val="007939CA"/>
    <w:rsid w:val="00793C0E"/>
    <w:rsid w:val="00793C49"/>
    <w:rsid w:val="00793F13"/>
    <w:rsid w:val="0079405B"/>
    <w:rsid w:val="007941AE"/>
    <w:rsid w:val="00794226"/>
    <w:rsid w:val="007943E9"/>
    <w:rsid w:val="00794463"/>
    <w:rsid w:val="00794BC7"/>
    <w:rsid w:val="00795081"/>
    <w:rsid w:val="00795195"/>
    <w:rsid w:val="00795514"/>
    <w:rsid w:val="00795745"/>
    <w:rsid w:val="00795CFD"/>
    <w:rsid w:val="0079658F"/>
    <w:rsid w:val="00796690"/>
    <w:rsid w:val="007968A9"/>
    <w:rsid w:val="00796ADB"/>
    <w:rsid w:val="00796E79"/>
    <w:rsid w:val="007971AD"/>
    <w:rsid w:val="00797A68"/>
    <w:rsid w:val="00797BF9"/>
    <w:rsid w:val="007A00A8"/>
    <w:rsid w:val="007A0338"/>
    <w:rsid w:val="007A038D"/>
    <w:rsid w:val="007A05E0"/>
    <w:rsid w:val="007A06D4"/>
    <w:rsid w:val="007A098F"/>
    <w:rsid w:val="007A0C9F"/>
    <w:rsid w:val="007A13E2"/>
    <w:rsid w:val="007A16F9"/>
    <w:rsid w:val="007A1737"/>
    <w:rsid w:val="007A1DBB"/>
    <w:rsid w:val="007A2848"/>
    <w:rsid w:val="007A29F8"/>
    <w:rsid w:val="007A2A0C"/>
    <w:rsid w:val="007A2B16"/>
    <w:rsid w:val="007A2F5C"/>
    <w:rsid w:val="007A3260"/>
    <w:rsid w:val="007A3482"/>
    <w:rsid w:val="007A3BAD"/>
    <w:rsid w:val="007A3BC8"/>
    <w:rsid w:val="007A3CFC"/>
    <w:rsid w:val="007A3DE1"/>
    <w:rsid w:val="007A42A8"/>
    <w:rsid w:val="007A4646"/>
    <w:rsid w:val="007A4810"/>
    <w:rsid w:val="007A4BBB"/>
    <w:rsid w:val="007A56B7"/>
    <w:rsid w:val="007A574D"/>
    <w:rsid w:val="007A59A2"/>
    <w:rsid w:val="007A59AB"/>
    <w:rsid w:val="007A5B35"/>
    <w:rsid w:val="007A5CAA"/>
    <w:rsid w:val="007A5EA4"/>
    <w:rsid w:val="007A5F06"/>
    <w:rsid w:val="007A5F35"/>
    <w:rsid w:val="007A65F2"/>
    <w:rsid w:val="007A6921"/>
    <w:rsid w:val="007A6B87"/>
    <w:rsid w:val="007A6B95"/>
    <w:rsid w:val="007A6D5D"/>
    <w:rsid w:val="007A6D9E"/>
    <w:rsid w:val="007A6E63"/>
    <w:rsid w:val="007A6E9C"/>
    <w:rsid w:val="007A73A4"/>
    <w:rsid w:val="007A75FF"/>
    <w:rsid w:val="007B039A"/>
    <w:rsid w:val="007B04D7"/>
    <w:rsid w:val="007B0A69"/>
    <w:rsid w:val="007B0B29"/>
    <w:rsid w:val="007B0BF2"/>
    <w:rsid w:val="007B1239"/>
    <w:rsid w:val="007B1618"/>
    <w:rsid w:val="007B1930"/>
    <w:rsid w:val="007B1FFD"/>
    <w:rsid w:val="007B24AA"/>
    <w:rsid w:val="007B25CC"/>
    <w:rsid w:val="007B32F4"/>
    <w:rsid w:val="007B3359"/>
    <w:rsid w:val="007B3705"/>
    <w:rsid w:val="007B4550"/>
    <w:rsid w:val="007B483C"/>
    <w:rsid w:val="007B4BAC"/>
    <w:rsid w:val="007B5964"/>
    <w:rsid w:val="007B5B8E"/>
    <w:rsid w:val="007B5E50"/>
    <w:rsid w:val="007B5FF6"/>
    <w:rsid w:val="007B60E7"/>
    <w:rsid w:val="007B63BD"/>
    <w:rsid w:val="007B6A8E"/>
    <w:rsid w:val="007B7063"/>
    <w:rsid w:val="007B767D"/>
    <w:rsid w:val="007B7EB2"/>
    <w:rsid w:val="007C064E"/>
    <w:rsid w:val="007C067E"/>
    <w:rsid w:val="007C0AB5"/>
    <w:rsid w:val="007C0CF1"/>
    <w:rsid w:val="007C0F9A"/>
    <w:rsid w:val="007C12F4"/>
    <w:rsid w:val="007C182F"/>
    <w:rsid w:val="007C18B8"/>
    <w:rsid w:val="007C1909"/>
    <w:rsid w:val="007C1A28"/>
    <w:rsid w:val="007C20E3"/>
    <w:rsid w:val="007C2253"/>
    <w:rsid w:val="007C2C55"/>
    <w:rsid w:val="007C2E11"/>
    <w:rsid w:val="007C2E21"/>
    <w:rsid w:val="007C3419"/>
    <w:rsid w:val="007C366B"/>
    <w:rsid w:val="007C399C"/>
    <w:rsid w:val="007C39E2"/>
    <w:rsid w:val="007C3A49"/>
    <w:rsid w:val="007C3A88"/>
    <w:rsid w:val="007C3C51"/>
    <w:rsid w:val="007C3F5E"/>
    <w:rsid w:val="007C454B"/>
    <w:rsid w:val="007C51CB"/>
    <w:rsid w:val="007C538E"/>
    <w:rsid w:val="007C53A4"/>
    <w:rsid w:val="007C5478"/>
    <w:rsid w:val="007C55DA"/>
    <w:rsid w:val="007C56E9"/>
    <w:rsid w:val="007C597F"/>
    <w:rsid w:val="007C5EA4"/>
    <w:rsid w:val="007C64E6"/>
    <w:rsid w:val="007C6FA3"/>
    <w:rsid w:val="007C720F"/>
    <w:rsid w:val="007C7606"/>
    <w:rsid w:val="007C7E2B"/>
    <w:rsid w:val="007C7F24"/>
    <w:rsid w:val="007D00B6"/>
    <w:rsid w:val="007D0142"/>
    <w:rsid w:val="007D0835"/>
    <w:rsid w:val="007D0887"/>
    <w:rsid w:val="007D0ED4"/>
    <w:rsid w:val="007D104F"/>
    <w:rsid w:val="007D1D96"/>
    <w:rsid w:val="007D1E1C"/>
    <w:rsid w:val="007D1FD5"/>
    <w:rsid w:val="007D217E"/>
    <w:rsid w:val="007D23D4"/>
    <w:rsid w:val="007D2B0D"/>
    <w:rsid w:val="007D2B18"/>
    <w:rsid w:val="007D3054"/>
    <w:rsid w:val="007D318A"/>
    <w:rsid w:val="007D31D8"/>
    <w:rsid w:val="007D356E"/>
    <w:rsid w:val="007D38E7"/>
    <w:rsid w:val="007D3AD3"/>
    <w:rsid w:val="007D3C73"/>
    <w:rsid w:val="007D3DA9"/>
    <w:rsid w:val="007D3E70"/>
    <w:rsid w:val="007D3E9F"/>
    <w:rsid w:val="007D4365"/>
    <w:rsid w:val="007D4550"/>
    <w:rsid w:val="007D472A"/>
    <w:rsid w:val="007D4943"/>
    <w:rsid w:val="007D4EB4"/>
    <w:rsid w:val="007D52E6"/>
    <w:rsid w:val="007D619E"/>
    <w:rsid w:val="007D627B"/>
    <w:rsid w:val="007D67DE"/>
    <w:rsid w:val="007D6BD6"/>
    <w:rsid w:val="007D702E"/>
    <w:rsid w:val="007D7304"/>
    <w:rsid w:val="007D7691"/>
    <w:rsid w:val="007D7911"/>
    <w:rsid w:val="007D7D2A"/>
    <w:rsid w:val="007D7D68"/>
    <w:rsid w:val="007E00D8"/>
    <w:rsid w:val="007E01D1"/>
    <w:rsid w:val="007E0546"/>
    <w:rsid w:val="007E05DB"/>
    <w:rsid w:val="007E06D0"/>
    <w:rsid w:val="007E0700"/>
    <w:rsid w:val="007E078A"/>
    <w:rsid w:val="007E08B8"/>
    <w:rsid w:val="007E1269"/>
    <w:rsid w:val="007E133E"/>
    <w:rsid w:val="007E163D"/>
    <w:rsid w:val="007E1C1E"/>
    <w:rsid w:val="007E216A"/>
    <w:rsid w:val="007E2322"/>
    <w:rsid w:val="007E2593"/>
    <w:rsid w:val="007E2C13"/>
    <w:rsid w:val="007E2FF8"/>
    <w:rsid w:val="007E30D6"/>
    <w:rsid w:val="007E3974"/>
    <w:rsid w:val="007E39C0"/>
    <w:rsid w:val="007E3CF0"/>
    <w:rsid w:val="007E40B6"/>
    <w:rsid w:val="007E41AB"/>
    <w:rsid w:val="007E431E"/>
    <w:rsid w:val="007E4C21"/>
    <w:rsid w:val="007E4CC1"/>
    <w:rsid w:val="007E4E84"/>
    <w:rsid w:val="007E5005"/>
    <w:rsid w:val="007E5013"/>
    <w:rsid w:val="007E50A6"/>
    <w:rsid w:val="007E5358"/>
    <w:rsid w:val="007E5381"/>
    <w:rsid w:val="007E5623"/>
    <w:rsid w:val="007E56D3"/>
    <w:rsid w:val="007E5E00"/>
    <w:rsid w:val="007E63C4"/>
    <w:rsid w:val="007E667A"/>
    <w:rsid w:val="007E69B9"/>
    <w:rsid w:val="007E74E2"/>
    <w:rsid w:val="007E7687"/>
    <w:rsid w:val="007E7D1C"/>
    <w:rsid w:val="007E7D82"/>
    <w:rsid w:val="007E7FBF"/>
    <w:rsid w:val="007F0E09"/>
    <w:rsid w:val="007F1333"/>
    <w:rsid w:val="007F1A07"/>
    <w:rsid w:val="007F1EF8"/>
    <w:rsid w:val="007F1F01"/>
    <w:rsid w:val="007F228F"/>
    <w:rsid w:val="007F2856"/>
    <w:rsid w:val="007F28C9"/>
    <w:rsid w:val="007F308F"/>
    <w:rsid w:val="007F3929"/>
    <w:rsid w:val="007F3C0E"/>
    <w:rsid w:val="007F3E41"/>
    <w:rsid w:val="007F3E58"/>
    <w:rsid w:val="007F40BA"/>
    <w:rsid w:val="007F464E"/>
    <w:rsid w:val="007F51B2"/>
    <w:rsid w:val="007F52FD"/>
    <w:rsid w:val="007F5867"/>
    <w:rsid w:val="007F6715"/>
    <w:rsid w:val="007F6971"/>
    <w:rsid w:val="007F6BFB"/>
    <w:rsid w:val="007F6F3B"/>
    <w:rsid w:val="007F731E"/>
    <w:rsid w:val="007F7D75"/>
    <w:rsid w:val="00800029"/>
    <w:rsid w:val="00800833"/>
    <w:rsid w:val="008010F2"/>
    <w:rsid w:val="00801870"/>
    <w:rsid w:val="00801A67"/>
    <w:rsid w:val="0080218E"/>
    <w:rsid w:val="0080291B"/>
    <w:rsid w:val="00802E2A"/>
    <w:rsid w:val="00802F9D"/>
    <w:rsid w:val="008031EE"/>
    <w:rsid w:val="00803634"/>
    <w:rsid w:val="00803B1B"/>
    <w:rsid w:val="00803ECE"/>
    <w:rsid w:val="008040DD"/>
    <w:rsid w:val="0080445C"/>
    <w:rsid w:val="008044BB"/>
    <w:rsid w:val="008044EE"/>
    <w:rsid w:val="00804641"/>
    <w:rsid w:val="0080483B"/>
    <w:rsid w:val="0080484E"/>
    <w:rsid w:val="00804885"/>
    <w:rsid w:val="008048AE"/>
    <w:rsid w:val="00804BC6"/>
    <w:rsid w:val="00804EE5"/>
    <w:rsid w:val="00805371"/>
    <w:rsid w:val="0080586F"/>
    <w:rsid w:val="008060FB"/>
    <w:rsid w:val="00806989"/>
    <w:rsid w:val="00806A89"/>
    <w:rsid w:val="00806F36"/>
    <w:rsid w:val="008070E5"/>
    <w:rsid w:val="008071FC"/>
    <w:rsid w:val="0080725F"/>
    <w:rsid w:val="00807338"/>
    <w:rsid w:val="008074B7"/>
    <w:rsid w:val="00807780"/>
    <w:rsid w:val="008104CC"/>
    <w:rsid w:val="00810823"/>
    <w:rsid w:val="00810AAC"/>
    <w:rsid w:val="00810FD7"/>
    <w:rsid w:val="00811767"/>
    <w:rsid w:val="008117E9"/>
    <w:rsid w:val="00811B32"/>
    <w:rsid w:val="008121BC"/>
    <w:rsid w:val="00812487"/>
    <w:rsid w:val="00813256"/>
    <w:rsid w:val="008132B6"/>
    <w:rsid w:val="008132CE"/>
    <w:rsid w:val="00813976"/>
    <w:rsid w:val="00813B46"/>
    <w:rsid w:val="008141BF"/>
    <w:rsid w:val="008143E0"/>
    <w:rsid w:val="008144BE"/>
    <w:rsid w:val="00814B1D"/>
    <w:rsid w:val="00814D9B"/>
    <w:rsid w:val="00814F97"/>
    <w:rsid w:val="00815DE8"/>
    <w:rsid w:val="0081611B"/>
    <w:rsid w:val="008162B6"/>
    <w:rsid w:val="008163DF"/>
    <w:rsid w:val="00816599"/>
    <w:rsid w:val="00816610"/>
    <w:rsid w:val="00816641"/>
    <w:rsid w:val="008168F1"/>
    <w:rsid w:val="00816EDE"/>
    <w:rsid w:val="00817E76"/>
    <w:rsid w:val="008200B2"/>
    <w:rsid w:val="008200DA"/>
    <w:rsid w:val="008205D0"/>
    <w:rsid w:val="00820FBA"/>
    <w:rsid w:val="008212CE"/>
    <w:rsid w:val="008218A3"/>
    <w:rsid w:val="00821968"/>
    <w:rsid w:val="00821BD0"/>
    <w:rsid w:val="00821EF8"/>
    <w:rsid w:val="0082218B"/>
    <w:rsid w:val="00822257"/>
    <w:rsid w:val="00822384"/>
    <w:rsid w:val="0082238A"/>
    <w:rsid w:val="008223BD"/>
    <w:rsid w:val="00822540"/>
    <w:rsid w:val="00822BE7"/>
    <w:rsid w:val="00822D31"/>
    <w:rsid w:val="008232CD"/>
    <w:rsid w:val="00823362"/>
    <w:rsid w:val="0082342F"/>
    <w:rsid w:val="00823503"/>
    <w:rsid w:val="0082355A"/>
    <w:rsid w:val="00823AC8"/>
    <w:rsid w:val="00823C55"/>
    <w:rsid w:val="00823FAD"/>
    <w:rsid w:val="0082422B"/>
    <w:rsid w:val="008243D2"/>
    <w:rsid w:val="00824498"/>
    <w:rsid w:val="008244FE"/>
    <w:rsid w:val="0082460C"/>
    <w:rsid w:val="00824A81"/>
    <w:rsid w:val="00824B7C"/>
    <w:rsid w:val="00824F6B"/>
    <w:rsid w:val="00825A47"/>
    <w:rsid w:val="00825AEB"/>
    <w:rsid w:val="00825CD1"/>
    <w:rsid w:val="00825FB5"/>
    <w:rsid w:val="008260BC"/>
    <w:rsid w:val="0082667C"/>
    <w:rsid w:val="00826849"/>
    <w:rsid w:val="008268BD"/>
    <w:rsid w:val="008268FE"/>
    <w:rsid w:val="0082695E"/>
    <w:rsid w:val="008269BD"/>
    <w:rsid w:val="00826B39"/>
    <w:rsid w:val="00826BD1"/>
    <w:rsid w:val="00826EE4"/>
    <w:rsid w:val="00827264"/>
    <w:rsid w:val="00827636"/>
    <w:rsid w:val="008276E2"/>
    <w:rsid w:val="00827930"/>
    <w:rsid w:val="00827C3A"/>
    <w:rsid w:val="00827EF4"/>
    <w:rsid w:val="008301BB"/>
    <w:rsid w:val="0083032B"/>
    <w:rsid w:val="00830D59"/>
    <w:rsid w:val="00831015"/>
    <w:rsid w:val="00831514"/>
    <w:rsid w:val="0083154E"/>
    <w:rsid w:val="00831AF7"/>
    <w:rsid w:val="00831AFF"/>
    <w:rsid w:val="00831BCF"/>
    <w:rsid w:val="00832060"/>
    <w:rsid w:val="008322E5"/>
    <w:rsid w:val="00832865"/>
    <w:rsid w:val="008328FA"/>
    <w:rsid w:val="008329A8"/>
    <w:rsid w:val="00832F30"/>
    <w:rsid w:val="00833237"/>
    <w:rsid w:val="00833C5B"/>
    <w:rsid w:val="00833D25"/>
    <w:rsid w:val="0083411E"/>
    <w:rsid w:val="008341BA"/>
    <w:rsid w:val="008348BB"/>
    <w:rsid w:val="008348FC"/>
    <w:rsid w:val="008349C6"/>
    <w:rsid w:val="00834A6D"/>
    <w:rsid w:val="00834CB7"/>
    <w:rsid w:val="00834CD7"/>
    <w:rsid w:val="00834DB0"/>
    <w:rsid w:val="0083509D"/>
    <w:rsid w:val="008350C9"/>
    <w:rsid w:val="008351B0"/>
    <w:rsid w:val="008353E3"/>
    <w:rsid w:val="008356D6"/>
    <w:rsid w:val="008357C1"/>
    <w:rsid w:val="00836064"/>
    <w:rsid w:val="00836312"/>
    <w:rsid w:val="00836AC2"/>
    <w:rsid w:val="008373D3"/>
    <w:rsid w:val="008373FA"/>
    <w:rsid w:val="008378FE"/>
    <w:rsid w:val="00837E7E"/>
    <w:rsid w:val="00840A8D"/>
    <w:rsid w:val="0084143B"/>
    <w:rsid w:val="0084154D"/>
    <w:rsid w:val="008415FE"/>
    <w:rsid w:val="008416AB"/>
    <w:rsid w:val="00841CF7"/>
    <w:rsid w:val="00841E3E"/>
    <w:rsid w:val="00841EE3"/>
    <w:rsid w:val="00841F89"/>
    <w:rsid w:val="00842421"/>
    <w:rsid w:val="008424B7"/>
    <w:rsid w:val="00842630"/>
    <w:rsid w:val="00843489"/>
    <w:rsid w:val="008436BF"/>
    <w:rsid w:val="0084375A"/>
    <w:rsid w:val="00844572"/>
    <w:rsid w:val="00844648"/>
    <w:rsid w:val="00844AC2"/>
    <w:rsid w:val="00844C01"/>
    <w:rsid w:val="00844CD3"/>
    <w:rsid w:val="00844D16"/>
    <w:rsid w:val="00845A05"/>
    <w:rsid w:val="00845E54"/>
    <w:rsid w:val="008460C5"/>
    <w:rsid w:val="00846486"/>
    <w:rsid w:val="00846AF0"/>
    <w:rsid w:val="00846CE8"/>
    <w:rsid w:val="008472A6"/>
    <w:rsid w:val="00847580"/>
    <w:rsid w:val="0084758C"/>
    <w:rsid w:val="0085007E"/>
    <w:rsid w:val="008501D5"/>
    <w:rsid w:val="008505A3"/>
    <w:rsid w:val="008508C8"/>
    <w:rsid w:val="0085114C"/>
    <w:rsid w:val="00851463"/>
    <w:rsid w:val="008515E2"/>
    <w:rsid w:val="00851A58"/>
    <w:rsid w:val="00851BA9"/>
    <w:rsid w:val="00852505"/>
    <w:rsid w:val="008526E1"/>
    <w:rsid w:val="00852D0A"/>
    <w:rsid w:val="00852EE8"/>
    <w:rsid w:val="008530EB"/>
    <w:rsid w:val="0085342C"/>
    <w:rsid w:val="00853955"/>
    <w:rsid w:val="00853DA5"/>
    <w:rsid w:val="00853DAA"/>
    <w:rsid w:val="0085400E"/>
    <w:rsid w:val="00854316"/>
    <w:rsid w:val="00854A72"/>
    <w:rsid w:val="00854D0B"/>
    <w:rsid w:val="00854F39"/>
    <w:rsid w:val="00855030"/>
    <w:rsid w:val="008554E9"/>
    <w:rsid w:val="00855657"/>
    <w:rsid w:val="00855B0D"/>
    <w:rsid w:val="00855DEF"/>
    <w:rsid w:val="00856752"/>
    <w:rsid w:val="00856A1A"/>
    <w:rsid w:val="00856A31"/>
    <w:rsid w:val="00856A9E"/>
    <w:rsid w:val="00857082"/>
    <w:rsid w:val="00857700"/>
    <w:rsid w:val="00857B4F"/>
    <w:rsid w:val="00857C20"/>
    <w:rsid w:val="008605D9"/>
    <w:rsid w:val="00860B4E"/>
    <w:rsid w:val="00860C1F"/>
    <w:rsid w:val="00860F98"/>
    <w:rsid w:val="00861112"/>
    <w:rsid w:val="008613E9"/>
    <w:rsid w:val="00861A2B"/>
    <w:rsid w:val="00861DB2"/>
    <w:rsid w:val="00862BA8"/>
    <w:rsid w:val="00862C0A"/>
    <w:rsid w:val="00862E2D"/>
    <w:rsid w:val="008635C6"/>
    <w:rsid w:val="00863722"/>
    <w:rsid w:val="00863BD0"/>
    <w:rsid w:val="00864479"/>
    <w:rsid w:val="00864537"/>
    <w:rsid w:val="00864594"/>
    <w:rsid w:val="0086489E"/>
    <w:rsid w:val="00864EC7"/>
    <w:rsid w:val="00864EDF"/>
    <w:rsid w:val="00865319"/>
    <w:rsid w:val="0086536B"/>
    <w:rsid w:val="0086577F"/>
    <w:rsid w:val="00865B8D"/>
    <w:rsid w:val="00865BCB"/>
    <w:rsid w:val="00865C66"/>
    <w:rsid w:val="00865DB9"/>
    <w:rsid w:val="008661D1"/>
    <w:rsid w:val="0086624D"/>
    <w:rsid w:val="0086671F"/>
    <w:rsid w:val="00866755"/>
    <w:rsid w:val="00866ED2"/>
    <w:rsid w:val="00867637"/>
    <w:rsid w:val="0086784D"/>
    <w:rsid w:val="00867B37"/>
    <w:rsid w:val="00867FF5"/>
    <w:rsid w:val="0087060A"/>
    <w:rsid w:val="00870D71"/>
    <w:rsid w:val="00870E93"/>
    <w:rsid w:val="0087176B"/>
    <w:rsid w:val="00871F97"/>
    <w:rsid w:val="00872109"/>
    <w:rsid w:val="008721EE"/>
    <w:rsid w:val="008723B8"/>
    <w:rsid w:val="00872423"/>
    <w:rsid w:val="00872E46"/>
    <w:rsid w:val="00873412"/>
    <w:rsid w:val="0087349A"/>
    <w:rsid w:val="008734EF"/>
    <w:rsid w:val="0087352D"/>
    <w:rsid w:val="00874068"/>
    <w:rsid w:val="00874332"/>
    <w:rsid w:val="008744D0"/>
    <w:rsid w:val="008745D0"/>
    <w:rsid w:val="00874B47"/>
    <w:rsid w:val="00874C42"/>
    <w:rsid w:val="008750BA"/>
    <w:rsid w:val="008753E7"/>
    <w:rsid w:val="008754D0"/>
    <w:rsid w:val="0087563A"/>
    <w:rsid w:val="00875A11"/>
    <w:rsid w:val="00875A67"/>
    <w:rsid w:val="00875D13"/>
    <w:rsid w:val="00876012"/>
    <w:rsid w:val="00876112"/>
    <w:rsid w:val="0087611C"/>
    <w:rsid w:val="0087642D"/>
    <w:rsid w:val="008771C2"/>
    <w:rsid w:val="008775CB"/>
    <w:rsid w:val="00877704"/>
    <w:rsid w:val="00877ADB"/>
    <w:rsid w:val="00877B68"/>
    <w:rsid w:val="00877E6D"/>
    <w:rsid w:val="008802BB"/>
    <w:rsid w:val="00880B78"/>
    <w:rsid w:val="00880EE0"/>
    <w:rsid w:val="00880F77"/>
    <w:rsid w:val="0088110B"/>
    <w:rsid w:val="00881172"/>
    <w:rsid w:val="0088168F"/>
    <w:rsid w:val="0088215F"/>
    <w:rsid w:val="0088235F"/>
    <w:rsid w:val="008824C6"/>
    <w:rsid w:val="0088284A"/>
    <w:rsid w:val="00882907"/>
    <w:rsid w:val="00882CC6"/>
    <w:rsid w:val="00882D42"/>
    <w:rsid w:val="0088310A"/>
    <w:rsid w:val="00883424"/>
    <w:rsid w:val="0088347C"/>
    <w:rsid w:val="008836DA"/>
    <w:rsid w:val="0088370B"/>
    <w:rsid w:val="00883BB4"/>
    <w:rsid w:val="00883CE2"/>
    <w:rsid w:val="00883E94"/>
    <w:rsid w:val="00883F0E"/>
    <w:rsid w:val="00884121"/>
    <w:rsid w:val="008841E2"/>
    <w:rsid w:val="008848B7"/>
    <w:rsid w:val="008849EE"/>
    <w:rsid w:val="00884BAA"/>
    <w:rsid w:val="00884C33"/>
    <w:rsid w:val="00884D98"/>
    <w:rsid w:val="008855C9"/>
    <w:rsid w:val="0088589C"/>
    <w:rsid w:val="00886456"/>
    <w:rsid w:val="00886615"/>
    <w:rsid w:val="0088662B"/>
    <w:rsid w:val="00886873"/>
    <w:rsid w:val="00886F06"/>
    <w:rsid w:val="008870FD"/>
    <w:rsid w:val="008874DD"/>
    <w:rsid w:val="008874F8"/>
    <w:rsid w:val="00887A64"/>
    <w:rsid w:val="00887DF1"/>
    <w:rsid w:val="00887F35"/>
    <w:rsid w:val="00890136"/>
    <w:rsid w:val="00890388"/>
    <w:rsid w:val="0089049F"/>
    <w:rsid w:val="0089052E"/>
    <w:rsid w:val="00890702"/>
    <w:rsid w:val="00890B51"/>
    <w:rsid w:val="00890C82"/>
    <w:rsid w:val="00890E01"/>
    <w:rsid w:val="0089134B"/>
    <w:rsid w:val="00891680"/>
    <w:rsid w:val="00891846"/>
    <w:rsid w:val="00891D49"/>
    <w:rsid w:val="008920B5"/>
    <w:rsid w:val="00892CE1"/>
    <w:rsid w:val="00892FE1"/>
    <w:rsid w:val="00893D42"/>
    <w:rsid w:val="00893F40"/>
    <w:rsid w:val="00894067"/>
    <w:rsid w:val="00894179"/>
    <w:rsid w:val="008943B5"/>
    <w:rsid w:val="008946BC"/>
    <w:rsid w:val="00894AEC"/>
    <w:rsid w:val="00895166"/>
    <w:rsid w:val="008951CD"/>
    <w:rsid w:val="00895561"/>
    <w:rsid w:val="008955C1"/>
    <w:rsid w:val="00895D36"/>
    <w:rsid w:val="00895EA0"/>
    <w:rsid w:val="00896093"/>
    <w:rsid w:val="008960AB"/>
    <w:rsid w:val="00896176"/>
    <w:rsid w:val="00896204"/>
    <w:rsid w:val="008968BF"/>
    <w:rsid w:val="00896941"/>
    <w:rsid w:val="0089715E"/>
    <w:rsid w:val="008977B2"/>
    <w:rsid w:val="00897834"/>
    <w:rsid w:val="00897C96"/>
    <w:rsid w:val="008A020F"/>
    <w:rsid w:val="008A095F"/>
    <w:rsid w:val="008A0A2B"/>
    <w:rsid w:val="008A0CEA"/>
    <w:rsid w:val="008A0D0F"/>
    <w:rsid w:val="008A11D0"/>
    <w:rsid w:val="008A11E3"/>
    <w:rsid w:val="008A130A"/>
    <w:rsid w:val="008A1915"/>
    <w:rsid w:val="008A1928"/>
    <w:rsid w:val="008A1A38"/>
    <w:rsid w:val="008A1BD9"/>
    <w:rsid w:val="008A1BF8"/>
    <w:rsid w:val="008A1FC0"/>
    <w:rsid w:val="008A20B8"/>
    <w:rsid w:val="008A225F"/>
    <w:rsid w:val="008A2347"/>
    <w:rsid w:val="008A2A09"/>
    <w:rsid w:val="008A2DCC"/>
    <w:rsid w:val="008A2E17"/>
    <w:rsid w:val="008A3006"/>
    <w:rsid w:val="008A3261"/>
    <w:rsid w:val="008A3875"/>
    <w:rsid w:val="008A38E0"/>
    <w:rsid w:val="008A3ABE"/>
    <w:rsid w:val="008A46E1"/>
    <w:rsid w:val="008A4BA5"/>
    <w:rsid w:val="008A4F43"/>
    <w:rsid w:val="008A5643"/>
    <w:rsid w:val="008A5C6F"/>
    <w:rsid w:val="008A5DF5"/>
    <w:rsid w:val="008A629F"/>
    <w:rsid w:val="008A6396"/>
    <w:rsid w:val="008A6B61"/>
    <w:rsid w:val="008A6C38"/>
    <w:rsid w:val="008A6C8F"/>
    <w:rsid w:val="008A6DC6"/>
    <w:rsid w:val="008A6E86"/>
    <w:rsid w:val="008A7209"/>
    <w:rsid w:val="008A7592"/>
    <w:rsid w:val="008A7617"/>
    <w:rsid w:val="008A79CB"/>
    <w:rsid w:val="008A7BFF"/>
    <w:rsid w:val="008A7C7B"/>
    <w:rsid w:val="008A7CDB"/>
    <w:rsid w:val="008B052E"/>
    <w:rsid w:val="008B0571"/>
    <w:rsid w:val="008B07FD"/>
    <w:rsid w:val="008B0B1D"/>
    <w:rsid w:val="008B1329"/>
    <w:rsid w:val="008B1B8E"/>
    <w:rsid w:val="008B1BE1"/>
    <w:rsid w:val="008B215B"/>
    <w:rsid w:val="008B25EF"/>
    <w:rsid w:val="008B2706"/>
    <w:rsid w:val="008B34B9"/>
    <w:rsid w:val="008B34DF"/>
    <w:rsid w:val="008B3536"/>
    <w:rsid w:val="008B3686"/>
    <w:rsid w:val="008B38CF"/>
    <w:rsid w:val="008B398D"/>
    <w:rsid w:val="008B3C76"/>
    <w:rsid w:val="008B3DFC"/>
    <w:rsid w:val="008B3ED7"/>
    <w:rsid w:val="008B4132"/>
    <w:rsid w:val="008B414E"/>
    <w:rsid w:val="008B43A6"/>
    <w:rsid w:val="008B47ED"/>
    <w:rsid w:val="008B5C8D"/>
    <w:rsid w:val="008B5CE5"/>
    <w:rsid w:val="008B5D1D"/>
    <w:rsid w:val="008B5DCE"/>
    <w:rsid w:val="008B606B"/>
    <w:rsid w:val="008B615A"/>
    <w:rsid w:val="008B6203"/>
    <w:rsid w:val="008B70FD"/>
    <w:rsid w:val="008B739B"/>
    <w:rsid w:val="008B78F8"/>
    <w:rsid w:val="008B78FF"/>
    <w:rsid w:val="008B7A03"/>
    <w:rsid w:val="008B7EF8"/>
    <w:rsid w:val="008C00A3"/>
    <w:rsid w:val="008C00FA"/>
    <w:rsid w:val="008C0172"/>
    <w:rsid w:val="008C0604"/>
    <w:rsid w:val="008C0BFB"/>
    <w:rsid w:val="008C0C2E"/>
    <w:rsid w:val="008C1019"/>
    <w:rsid w:val="008C10CC"/>
    <w:rsid w:val="008C148F"/>
    <w:rsid w:val="008C150C"/>
    <w:rsid w:val="008C1838"/>
    <w:rsid w:val="008C1C71"/>
    <w:rsid w:val="008C23DF"/>
    <w:rsid w:val="008C2EAC"/>
    <w:rsid w:val="008C3101"/>
    <w:rsid w:val="008C333C"/>
    <w:rsid w:val="008C334B"/>
    <w:rsid w:val="008C3471"/>
    <w:rsid w:val="008C3840"/>
    <w:rsid w:val="008C3AAC"/>
    <w:rsid w:val="008C3C48"/>
    <w:rsid w:val="008C40CB"/>
    <w:rsid w:val="008C41FB"/>
    <w:rsid w:val="008C446A"/>
    <w:rsid w:val="008C509B"/>
    <w:rsid w:val="008C517B"/>
    <w:rsid w:val="008C55C9"/>
    <w:rsid w:val="008C577F"/>
    <w:rsid w:val="008C5A47"/>
    <w:rsid w:val="008C61FA"/>
    <w:rsid w:val="008C64AF"/>
    <w:rsid w:val="008C65E5"/>
    <w:rsid w:val="008C696B"/>
    <w:rsid w:val="008C7A0E"/>
    <w:rsid w:val="008C7F73"/>
    <w:rsid w:val="008C7F8B"/>
    <w:rsid w:val="008D03DE"/>
    <w:rsid w:val="008D07C8"/>
    <w:rsid w:val="008D0AE2"/>
    <w:rsid w:val="008D0B96"/>
    <w:rsid w:val="008D0EE0"/>
    <w:rsid w:val="008D1388"/>
    <w:rsid w:val="008D1824"/>
    <w:rsid w:val="008D185E"/>
    <w:rsid w:val="008D18C0"/>
    <w:rsid w:val="008D1B45"/>
    <w:rsid w:val="008D1B60"/>
    <w:rsid w:val="008D1B7B"/>
    <w:rsid w:val="008D1BC9"/>
    <w:rsid w:val="008D1E54"/>
    <w:rsid w:val="008D1FBF"/>
    <w:rsid w:val="008D23D1"/>
    <w:rsid w:val="008D2414"/>
    <w:rsid w:val="008D2568"/>
    <w:rsid w:val="008D25BF"/>
    <w:rsid w:val="008D26D0"/>
    <w:rsid w:val="008D27CE"/>
    <w:rsid w:val="008D2A16"/>
    <w:rsid w:val="008D2F7B"/>
    <w:rsid w:val="008D33B4"/>
    <w:rsid w:val="008D36F2"/>
    <w:rsid w:val="008D3DE3"/>
    <w:rsid w:val="008D3F35"/>
    <w:rsid w:val="008D4396"/>
    <w:rsid w:val="008D46C1"/>
    <w:rsid w:val="008D4C64"/>
    <w:rsid w:val="008D4D7F"/>
    <w:rsid w:val="008D5089"/>
    <w:rsid w:val="008D5199"/>
    <w:rsid w:val="008D5311"/>
    <w:rsid w:val="008D53C8"/>
    <w:rsid w:val="008D54E6"/>
    <w:rsid w:val="008D55EF"/>
    <w:rsid w:val="008D5F15"/>
    <w:rsid w:val="008D69B6"/>
    <w:rsid w:val="008D6A75"/>
    <w:rsid w:val="008D7101"/>
    <w:rsid w:val="008D7852"/>
    <w:rsid w:val="008D7EEF"/>
    <w:rsid w:val="008D7F13"/>
    <w:rsid w:val="008E0027"/>
    <w:rsid w:val="008E0044"/>
    <w:rsid w:val="008E0080"/>
    <w:rsid w:val="008E089E"/>
    <w:rsid w:val="008E0EA9"/>
    <w:rsid w:val="008E1349"/>
    <w:rsid w:val="008E1383"/>
    <w:rsid w:val="008E170B"/>
    <w:rsid w:val="008E1938"/>
    <w:rsid w:val="008E1A0B"/>
    <w:rsid w:val="008E1A0C"/>
    <w:rsid w:val="008E1B7F"/>
    <w:rsid w:val="008E1CC5"/>
    <w:rsid w:val="008E23E0"/>
    <w:rsid w:val="008E25A0"/>
    <w:rsid w:val="008E274D"/>
    <w:rsid w:val="008E29E3"/>
    <w:rsid w:val="008E2A89"/>
    <w:rsid w:val="008E2B8D"/>
    <w:rsid w:val="008E2E1F"/>
    <w:rsid w:val="008E32F4"/>
    <w:rsid w:val="008E354A"/>
    <w:rsid w:val="008E39EF"/>
    <w:rsid w:val="008E3D5E"/>
    <w:rsid w:val="008E40AA"/>
    <w:rsid w:val="008E428F"/>
    <w:rsid w:val="008E4483"/>
    <w:rsid w:val="008E45F8"/>
    <w:rsid w:val="008E4972"/>
    <w:rsid w:val="008E49B9"/>
    <w:rsid w:val="008E4F1B"/>
    <w:rsid w:val="008E523D"/>
    <w:rsid w:val="008E54D7"/>
    <w:rsid w:val="008E5FCC"/>
    <w:rsid w:val="008E6067"/>
    <w:rsid w:val="008E60DE"/>
    <w:rsid w:val="008E6BBD"/>
    <w:rsid w:val="008E6FA9"/>
    <w:rsid w:val="008E7363"/>
    <w:rsid w:val="008E7B25"/>
    <w:rsid w:val="008E7E8B"/>
    <w:rsid w:val="008E7F23"/>
    <w:rsid w:val="008F03C9"/>
    <w:rsid w:val="008F057B"/>
    <w:rsid w:val="008F0958"/>
    <w:rsid w:val="008F110A"/>
    <w:rsid w:val="008F1510"/>
    <w:rsid w:val="008F18B5"/>
    <w:rsid w:val="008F1CA1"/>
    <w:rsid w:val="008F2A3A"/>
    <w:rsid w:val="008F3273"/>
    <w:rsid w:val="008F32E9"/>
    <w:rsid w:val="008F3380"/>
    <w:rsid w:val="008F3F5E"/>
    <w:rsid w:val="008F3FB9"/>
    <w:rsid w:val="008F429B"/>
    <w:rsid w:val="008F495A"/>
    <w:rsid w:val="008F4D8B"/>
    <w:rsid w:val="008F5384"/>
    <w:rsid w:val="008F54E7"/>
    <w:rsid w:val="008F56D3"/>
    <w:rsid w:val="008F598B"/>
    <w:rsid w:val="008F59CB"/>
    <w:rsid w:val="008F5DB2"/>
    <w:rsid w:val="008F5FF2"/>
    <w:rsid w:val="008F61EF"/>
    <w:rsid w:val="008F6459"/>
    <w:rsid w:val="008F659E"/>
    <w:rsid w:val="008F6B0D"/>
    <w:rsid w:val="008F72D8"/>
    <w:rsid w:val="008F753D"/>
    <w:rsid w:val="008F7613"/>
    <w:rsid w:val="008F7618"/>
    <w:rsid w:val="008F77D7"/>
    <w:rsid w:val="008F7859"/>
    <w:rsid w:val="008F7B6E"/>
    <w:rsid w:val="009003AB"/>
    <w:rsid w:val="00900BB2"/>
    <w:rsid w:val="00900BD1"/>
    <w:rsid w:val="009010F2"/>
    <w:rsid w:val="00901609"/>
    <w:rsid w:val="00901E60"/>
    <w:rsid w:val="0090236A"/>
    <w:rsid w:val="009025F0"/>
    <w:rsid w:val="00902C83"/>
    <w:rsid w:val="0090338A"/>
    <w:rsid w:val="00903422"/>
    <w:rsid w:val="009035DA"/>
    <w:rsid w:val="009038D6"/>
    <w:rsid w:val="00903A28"/>
    <w:rsid w:val="00903AA3"/>
    <w:rsid w:val="00903E36"/>
    <w:rsid w:val="00903F98"/>
    <w:rsid w:val="00904007"/>
    <w:rsid w:val="009043B4"/>
    <w:rsid w:val="00904699"/>
    <w:rsid w:val="00904A21"/>
    <w:rsid w:val="00904A3B"/>
    <w:rsid w:val="00904D47"/>
    <w:rsid w:val="009053D9"/>
    <w:rsid w:val="00905E06"/>
    <w:rsid w:val="009064B3"/>
    <w:rsid w:val="009066F7"/>
    <w:rsid w:val="00906CD5"/>
    <w:rsid w:val="0090723C"/>
    <w:rsid w:val="00907C09"/>
    <w:rsid w:val="00907DBA"/>
    <w:rsid w:val="00907FF4"/>
    <w:rsid w:val="00910592"/>
    <w:rsid w:val="00910BDF"/>
    <w:rsid w:val="00911066"/>
    <w:rsid w:val="00911645"/>
    <w:rsid w:val="00911766"/>
    <w:rsid w:val="00911A83"/>
    <w:rsid w:val="00911B71"/>
    <w:rsid w:val="00911BDC"/>
    <w:rsid w:val="00911C1B"/>
    <w:rsid w:val="00911E5B"/>
    <w:rsid w:val="009121B1"/>
    <w:rsid w:val="009121E8"/>
    <w:rsid w:val="009122D8"/>
    <w:rsid w:val="00912451"/>
    <w:rsid w:val="009127BE"/>
    <w:rsid w:val="00912BA1"/>
    <w:rsid w:val="00913412"/>
    <w:rsid w:val="009139A8"/>
    <w:rsid w:val="00914366"/>
    <w:rsid w:val="0091480C"/>
    <w:rsid w:val="00914D8D"/>
    <w:rsid w:val="00914DA5"/>
    <w:rsid w:val="00914E83"/>
    <w:rsid w:val="00914ED5"/>
    <w:rsid w:val="00914EF7"/>
    <w:rsid w:val="00915191"/>
    <w:rsid w:val="009151AD"/>
    <w:rsid w:val="00915C0F"/>
    <w:rsid w:val="0091606B"/>
    <w:rsid w:val="0091618C"/>
    <w:rsid w:val="00916460"/>
    <w:rsid w:val="00916587"/>
    <w:rsid w:val="00916699"/>
    <w:rsid w:val="00916974"/>
    <w:rsid w:val="00916A66"/>
    <w:rsid w:val="00916CE4"/>
    <w:rsid w:val="009172D2"/>
    <w:rsid w:val="00917684"/>
    <w:rsid w:val="009177E4"/>
    <w:rsid w:val="009177F1"/>
    <w:rsid w:val="00920312"/>
    <w:rsid w:val="00920596"/>
    <w:rsid w:val="0092095E"/>
    <w:rsid w:val="00920A1D"/>
    <w:rsid w:val="00920E60"/>
    <w:rsid w:val="00921101"/>
    <w:rsid w:val="0092124C"/>
    <w:rsid w:val="00921FCC"/>
    <w:rsid w:val="00922837"/>
    <w:rsid w:val="00922A0B"/>
    <w:rsid w:val="00922A16"/>
    <w:rsid w:val="00922A7A"/>
    <w:rsid w:val="00923174"/>
    <w:rsid w:val="009231B7"/>
    <w:rsid w:val="009233D8"/>
    <w:rsid w:val="009234FB"/>
    <w:rsid w:val="00923898"/>
    <w:rsid w:val="00923BBB"/>
    <w:rsid w:val="00923CD0"/>
    <w:rsid w:val="00924062"/>
    <w:rsid w:val="00924652"/>
    <w:rsid w:val="00924CFE"/>
    <w:rsid w:val="00924D45"/>
    <w:rsid w:val="00924FEA"/>
    <w:rsid w:val="009254C3"/>
    <w:rsid w:val="0092560F"/>
    <w:rsid w:val="00925CBE"/>
    <w:rsid w:val="00925D00"/>
    <w:rsid w:val="00925D46"/>
    <w:rsid w:val="00925F57"/>
    <w:rsid w:val="009262FD"/>
    <w:rsid w:val="00926317"/>
    <w:rsid w:val="00926892"/>
    <w:rsid w:val="00926E47"/>
    <w:rsid w:val="00926E99"/>
    <w:rsid w:val="00926F58"/>
    <w:rsid w:val="00926FB7"/>
    <w:rsid w:val="00927035"/>
    <w:rsid w:val="00927A16"/>
    <w:rsid w:val="00927EBE"/>
    <w:rsid w:val="0093008B"/>
    <w:rsid w:val="00930E09"/>
    <w:rsid w:val="009312AD"/>
    <w:rsid w:val="0093187C"/>
    <w:rsid w:val="009319F2"/>
    <w:rsid w:val="0093233B"/>
    <w:rsid w:val="00932377"/>
    <w:rsid w:val="00932583"/>
    <w:rsid w:val="00932866"/>
    <w:rsid w:val="0093322B"/>
    <w:rsid w:val="009332FB"/>
    <w:rsid w:val="00933369"/>
    <w:rsid w:val="00933C2D"/>
    <w:rsid w:val="00933E03"/>
    <w:rsid w:val="0093414B"/>
    <w:rsid w:val="0093454E"/>
    <w:rsid w:val="009345E6"/>
    <w:rsid w:val="009346E5"/>
    <w:rsid w:val="009347A2"/>
    <w:rsid w:val="00934EB8"/>
    <w:rsid w:val="009350EF"/>
    <w:rsid w:val="0093513D"/>
    <w:rsid w:val="0093595F"/>
    <w:rsid w:val="009365DB"/>
    <w:rsid w:val="00936ACA"/>
    <w:rsid w:val="00936AE3"/>
    <w:rsid w:val="00937283"/>
    <w:rsid w:val="009375D1"/>
    <w:rsid w:val="00937767"/>
    <w:rsid w:val="009379DE"/>
    <w:rsid w:val="00937A90"/>
    <w:rsid w:val="00937FDA"/>
    <w:rsid w:val="0094022B"/>
    <w:rsid w:val="00940571"/>
    <w:rsid w:val="009407EC"/>
    <w:rsid w:val="00940B6E"/>
    <w:rsid w:val="00941236"/>
    <w:rsid w:val="009412EC"/>
    <w:rsid w:val="00941342"/>
    <w:rsid w:val="009415F6"/>
    <w:rsid w:val="0094186C"/>
    <w:rsid w:val="00941C94"/>
    <w:rsid w:val="009422AE"/>
    <w:rsid w:val="00942B11"/>
    <w:rsid w:val="009433A0"/>
    <w:rsid w:val="0094364A"/>
    <w:rsid w:val="0094379A"/>
    <w:rsid w:val="00943DCF"/>
    <w:rsid w:val="00943FD5"/>
    <w:rsid w:val="00944152"/>
    <w:rsid w:val="009444C5"/>
    <w:rsid w:val="00944A3D"/>
    <w:rsid w:val="00944ACC"/>
    <w:rsid w:val="00944CEA"/>
    <w:rsid w:val="00944F45"/>
    <w:rsid w:val="0094520C"/>
    <w:rsid w:val="00945282"/>
    <w:rsid w:val="00945627"/>
    <w:rsid w:val="00945F2F"/>
    <w:rsid w:val="0094628E"/>
    <w:rsid w:val="009465EE"/>
    <w:rsid w:val="009468C2"/>
    <w:rsid w:val="009469BB"/>
    <w:rsid w:val="00946DD8"/>
    <w:rsid w:val="009471D5"/>
    <w:rsid w:val="00947491"/>
    <w:rsid w:val="00947871"/>
    <w:rsid w:val="00947D49"/>
    <w:rsid w:val="00947D5A"/>
    <w:rsid w:val="009500AD"/>
    <w:rsid w:val="00950318"/>
    <w:rsid w:val="00950346"/>
    <w:rsid w:val="00950371"/>
    <w:rsid w:val="00950408"/>
    <w:rsid w:val="00950F44"/>
    <w:rsid w:val="00951124"/>
    <w:rsid w:val="0095138C"/>
    <w:rsid w:val="009514FA"/>
    <w:rsid w:val="009515DD"/>
    <w:rsid w:val="0095196B"/>
    <w:rsid w:val="00951AFB"/>
    <w:rsid w:val="00951E72"/>
    <w:rsid w:val="00952229"/>
    <w:rsid w:val="00952450"/>
    <w:rsid w:val="009524AE"/>
    <w:rsid w:val="00952572"/>
    <w:rsid w:val="00952833"/>
    <w:rsid w:val="009529EB"/>
    <w:rsid w:val="00952AC0"/>
    <w:rsid w:val="00952B5F"/>
    <w:rsid w:val="00952EF5"/>
    <w:rsid w:val="00952F7A"/>
    <w:rsid w:val="00953138"/>
    <w:rsid w:val="009532A5"/>
    <w:rsid w:val="00953799"/>
    <w:rsid w:val="009538CB"/>
    <w:rsid w:val="00953C1E"/>
    <w:rsid w:val="00953D23"/>
    <w:rsid w:val="00953D2D"/>
    <w:rsid w:val="00953FC1"/>
    <w:rsid w:val="00954462"/>
    <w:rsid w:val="00954470"/>
    <w:rsid w:val="009544D0"/>
    <w:rsid w:val="009545BD"/>
    <w:rsid w:val="00954CB0"/>
    <w:rsid w:val="00954FAF"/>
    <w:rsid w:val="0095502E"/>
    <w:rsid w:val="00955033"/>
    <w:rsid w:val="009552DF"/>
    <w:rsid w:val="009555D1"/>
    <w:rsid w:val="009556C6"/>
    <w:rsid w:val="00955C0C"/>
    <w:rsid w:val="009560B6"/>
    <w:rsid w:val="009560ED"/>
    <w:rsid w:val="0095639F"/>
    <w:rsid w:val="009564F6"/>
    <w:rsid w:val="009568DF"/>
    <w:rsid w:val="00956BE1"/>
    <w:rsid w:val="00956DE2"/>
    <w:rsid w:val="0095772B"/>
    <w:rsid w:val="0095782A"/>
    <w:rsid w:val="00957A1B"/>
    <w:rsid w:val="00957CC0"/>
    <w:rsid w:val="00957DCB"/>
    <w:rsid w:val="009604FE"/>
    <w:rsid w:val="00960E6F"/>
    <w:rsid w:val="00960EC5"/>
    <w:rsid w:val="00960F5B"/>
    <w:rsid w:val="0096103D"/>
    <w:rsid w:val="00961404"/>
    <w:rsid w:val="0096141F"/>
    <w:rsid w:val="00961618"/>
    <w:rsid w:val="00961D9B"/>
    <w:rsid w:val="00962586"/>
    <w:rsid w:val="009627BD"/>
    <w:rsid w:val="009629A6"/>
    <w:rsid w:val="00963295"/>
    <w:rsid w:val="00963A3A"/>
    <w:rsid w:val="00963BBD"/>
    <w:rsid w:val="00964409"/>
    <w:rsid w:val="009644C9"/>
    <w:rsid w:val="0096455F"/>
    <w:rsid w:val="00964574"/>
    <w:rsid w:val="00964771"/>
    <w:rsid w:val="00964ACC"/>
    <w:rsid w:val="00964B47"/>
    <w:rsid w:val="00964CF0"/>
    <w:rsid w:val="00964EDA"/>
    <w:rsid w:val="00965076"/>
    <w:rsid w:val="0096523C"/>
    <w:rsid w:val="009652A5"/>
    <w:rsid w:val="00965398"/>
    <w:rsid w:val="00965BC2"/>
    <w:rsid w:val="00965E16"/>
    <w:rsid w:val="00965EE7"/>
    <w:rsid w:val="009663E9"/>
    <w:rsid w:val="00966633"/>
    <w:rsid w:val="00967119"/>
    <w:rsid w:val="00967130"/>
    <w:rsid w:val="009679CE"/>
    <w:rsid w:val="00967A6C"/>
    <w:rsid w:val="00967AA0"/>
    <w:rsid w:val="00967E98"/>
    <w:rsid w:val="00967F91"/>
    <w:rsid w:val="00970156"/>
    <w:rsid w:val="00970236"/>
    <w:rsid w:val="00970A97"/>
    <w:rsid w:val="00970DA9"/>
    <w:rsid w:val="00971A27"/>
    <w:rsid w:val="00971B9B"/>
    <w:rsid w:val="00971CBC"/>
    <w:rsid w:val="00971CEC"/>
    <w:rsid w:val="00971F7C"/>
    <w:rsid w:val="00971F9B"/>
    <w:rsid w:val="00972079"/>
    <w:rsid w:val="00972C51"/>
    <w:rsid w:val="00972CFA"/>
    <w:rsid w:val="009730A4"/>
    <w:rsid w:val="0097314D"/>
    <w:rsid w:val="00973620"/>
    <w:rsid w:val="00973C78"/>
    <w:rsid w:val="009742C7"/>
    <w:rsid w:val="00974588"/>
    <w:rsid w:val="009746A8"/>
    <w:rsid w:val="0097491D"/>
    <w:rsid w:val="009749EC"/>
    <w:rsid w:val="00974EC4"/>
    <w:rsid w:val="00974ED4"/>
    <w:rsid w:val="009751DB"/>
    <w:rsid w:val="009752FA"/>
    <w:rsid w:val="0097565F"/>
    <w:rsid w:val="00975A89"/>
    <w:rsid w:val="00975B55"/>
    <w:rsid w:val="009760E8"/>
    <w:rsid w:val="00976207"/>
    <w:rsid w:val="0097627F"/>
    <w:rsid w:val="00976708"/>
    <w:rsid w:val="009769B2"/>
    <w:rsid w:val="00976E52"/>
    <w:rsid w:val="00976EEF"/>
    <w:rsid w:val="00977271"/>
    <w:rsid w:val="009773C9"/>
    <w:rsid w:val="009777CF"/>
    <w:rsid w:val="009777E9"/>
    <w:rsid w:val="00977806"/>
    <w:rsid w:val="00977C09"/>
    <w:rsid w:val="00977F95"/>
    <w:rsid w:val="009803BC"/>
    <w:rsid w:val="009805A5"/>
    <w:rsid w:val="0098092C"/>
    <w:rsid w:val="00980BED"/>
    <w:rsid w:val="00980DA9"/>
    <w:rsid w:val="00980E72"/>
    <w:rsid w:val="0098158E"/>
    <w:rsid w:val="009817E6"/>
    <w:rsid w:val="00982242"/>
    <w:rsid w:val="009823B3"/>
    <w:rsid w:val="009823B8"/>
    <w:rsid w:val="00982429"/>
    <w:rsid w:val="00982893"/>
    <w:rsid w:val="00982D94"/>
    <w:rsid w:val="00983BC1"/>
    <w:rsid w:val="0098426E"/>
    <w:rsid w:val="0098449E"/>
    <w:rsid w:val="0098487F"/>
    <w:rsid w:val="00984C6E"/>
    <w:rsid w:val="00985132"/>
    <w:rsid w:val="00985329"/>
    <w:rsid w:val="009853A9"/>
    <w:rsid w:val="00985682"/>
    <w:rsid w:val="0098576D"/>
    <w:rsid w:val="0098583E"/>
    <w:rsid w:val="009859F5"/>
    <w:rsid w:val="00985C20"/>
    <w:rsid w:val="00986247"/>
    <w:rsid w:val="0098634D"/>
    <w:rsid w:val="009868E9"/>
    <w:rsid w:val="0098693E"/>
    <w:rsid w:val="00986C81"/>
    <w:rsid w:val="00986D07"/>
    <w:rsid w:val="00987495"/>
    <w:rsid w:val="00987944"/>
    <w:rsid w:val="009879BB"/>
    <w:rsid w:val="00987D49"/>
    <w:rsid w:val="009900A3"/>
    <w:rsid w:val="00990156"/>
    <w:rsid w:val="0099039B"/>
    <w:rsid w:val="00990510"/>
    <w:rsid w:val="009905AD"/>
    <w:rsid w:val="00990F4E"/>
    <w:rsid w:val="009910E6"/>
    <w:rsid w:val="009914FB"/>
    <w:rsid w:val="00991971"/>
    <w:rsid w:val="00991BF8"/>
    <w:rsid w:val="00992247"/>
    <w:rsid w:val="009922C1"/>
    <w:rsid w:val="009928FA"/>
    <w:rsid w:val="00992939"/>
    <w:rsid w:val="00992961"/>
    <w:rsid w:val="00992D73"/>
    <w:rsid w:val="009931DC"/>
    <w:rsid w:val="0099349A"/>
    <w:rsid w:val="00993688"/>
    <w:rsid w:val="00993BBE"/>
    <w:rsid w:val="0099401B"/>
    <w:rsid w:val="009942CA"/>
    <w:rsid w:val="00994580"/>
    <w:rsid w:val="009948A2"/>
    <w:rsid w:val="00994C1B"/>
    <w:rsid w:val="00994D61"/>
    <w:rsid w:val="00994FA3"/>
    <w:rsid w:val="0099551A"/>
    <w:rsid w:val="009956B2"/>
    <w:rsid w:val="00995944"/>
    <w:rsid w:val="00995A9B"/>
    <w:rsid w:val="00995C37"/>
    <w:rsid w:val="00995E02"/>
    <w:rsid w:val="00996655"/>
    <w:rsid w:val="0099670B"/>
    <w:rsid w:val="00996C2E"/>
    <w:rsid w:val="00996E3E"/>
    <w:rsid w:val="00997081"/>
    <w:rsid w:val="0099738F"/>
    <w:rsid w:val="009974BD"/>
    <w:rsid w:val="00997866"/>
    <w:rsid w:val="00997A6D"/>
    <w:rsid w:val="00997B5E"/>
    <w:rsid w:val="00997EF6"/>
    <w:rsid w:val="009A079B"/>
    <w:rsid w:val="009A0E68"/>
    <w:rsid w:val="009A1994"/>
    <w:rsid w:val="009A1C62"/>
    <w:rsid w:val="009A2061"/>
    <w:rsid w:val="009A21CF"/>
    <w:rsid w:val="009A22A3"/>
    <w:rsid w:val="009A2684"/>
    <w:rsid w:val="009A2741"/>
    <w:rsid w:val="009A28F1"/>
    <w:rsid w:val="009A2D4C"/>
    <w:rsid w:val="009A2D8C"/>
    <w:rsid w:val="009A3331"/>
    <w:rsid w:val="009A343C"/>
    <w:rsid w:val="009A3B36"/>
    <w:rsid w:val="009A3C89"/>
    <w:rsid w:val="009A41BC"/>
    <w:rsid w:val="009A4658"/>
    <w:rsid w:val="009A46F7"/>
    <w:rsid w:val="009A4971"/>
    <w:rsid w:val="009A499A"/>
    <w:rsid w:val="009A49D1"/>
    <w:rsid w:val="009A4D53"/>
    <w:rsid w:val="009A51C6"/>
    <w:rsid w:val="009A5E86"/>
    <w:rsid w:val="009A5EF6"/>
    <w:rsid w:val="009A6052"/>
    <w:rsid w:val="009A615A"/>
    <w:rsid w:val="009A6229"/>
    <w:rsid w:val="009A6A4C"/>
    <w:rsid w:val="009A6D7C"/>
    <w:rsid w:val="009A6EF4"/>
    <w:rsid w:val="009A7597"/>
    <w:rsid w:val="009A7B30"/>
    <w:rsid w:val="009A7BB7"/>
    <w:rsid w:val="009A7C0B"/>
    <w:rsid w:val="009B01DB"/>
    <w:rsid w:val="009B042C"/>
    <w:rsid w:val="009B058A"/>
    <w:rsid w:val="009B0C46"/>
    <w:rsid w:val="009B0E7D"/>
    <w:rsid w:val="009B11A4"/>
    <w:rsid w:val="009B11BD"/>
    <w:rsid w:val="009B127B"/>
    <w:rsid w:val="009B168C"/>
    <w:rsid w:val="009B1718"/>
    <w:rsid w:val="009B1D38"/>
    <w:rsid w:val="009B1E9C"/>
    <w:rsid w:val="009B1F0A"/>
    <w:rsid w:val="009B215C"/>
    <w:rsid w:val="009B22DA"/>
    <w:rsid w:val="009B2523"/>
    <w:rsid w:val="009B252A"/>
    <w:rsid w:val="009B309E"/>
    <w:rsid w:val="009B3127"/>
    <w:rsid w:val="009B3131"/>
    <w:rsid w:val="009B32FB"/>
    <w:rsid w:val="009B3CD1"/>
    <w:rsid w:val="009B3D38"/>
    <w:rsid w:val="009B3D6A"/>
    <w:rsid w:val="009B4410"/>
    <w:rsid w:val="009B443F"/>
    <w:rsid w:val="009B5170"/>
    <w:rsid w:val="009B518F"/>
    <w:rsid w:val="009B5196"/>
    <w:rsid w:val="009B560D"/>
    <w:rsid w:val="009B56F2"/>
    <w:rsid w:val="009B5820"/>
    <w:rsid w:val="009B5A75"/>
    <w:rsid w:val="009B64AB"/>
    <w:rsid w:val="009B64F8"/>
    <w:rsid w:val="009B66AE"/>
    <w:rsid w:val="009B68A3"/>
    <w:rsid w:val="009B6AFD"/>
    <w:rsid w:val="009B72F9"/>
    <w:rsid w:val="009B7627"/>
    <w:rsid w:val="009B78C1"/>
    <w:rsid w:val="009B7A15"/>
    <w:rsid w:val="009B7D9B"/>
    <w:rsid w:val="009C0127"/>
    <w:rsid w:val="009C0366"/>
    <w:rsid w:val="009C0889"/>
    <w:rsid w:val="009C0BDE"/>
    <w:rsid w:val="009C0D5B"/>
    <w:rsid w:val="009C0F5A"/>
    <w:rsid w:val="009C0FC1"/>
    <w:rsid w:val="009C1061"/>
    <w:rsid w:val="009C1335"/>
    <w:rsid w:val="009C173A"/>
    <w:rsid w:val="009C1C7A"/>
    <w:rsid w:val="009C1CDB"/>
    <w:rsid w:val="009C222D"/>
    <w:rsid w:val="009C22B3"/>
    <w:rsid w:val="009C22EB"/>
    <w:rsid w:val="009C2453"/>
    <w:rsid w:val="009C271A"/>
    <w:rsid w:val="009C2CA4"/>
    <w:rsid w:val="009C3119"/>
    <w:rsid w:val="009C31D4"/>
    <w:rsid w:val="009C33D5"/>
    <w:rsid w:val="009C3413"/>
    <w:rsid w:val="009C39AC"/>
    <w:rsid w:val="009C3B77"/>
    <w:rsid w:val="009C3ECA"/>
    <w:rsid w:val="009C404C"/>
    <w:rsid w:val="009C4551"/>
    <w:rsid w:val="009C4B8C"/>
    <w:rsid w:val="009C5186"/>
    <w:rsid w:val="009C538E"/>
    <w:rsid w:val="009C5437"/>
    <w:rsid w:val="009C5579"/>
    <w:rsid w:val="009C5636"/>
    <w:rsid w:val="009C5AAC"/>
    <w:rsid w:val="009C5E41"/>
    <w:rsid w:val="009C5F7A"/>
    <w:rsid w:val="009C6029"/>
    <w:rsid w:val="009C61B9"/>
    <w:rsid w:val="009C66E6"/>
    <w:rsid w:val="009C67CE"/>
    <w:rsid w:val="009C6C2A"/>
    <w:rsid w:val="009C6CC7"/>
    <w:rsid w:val="009C6D9F"/>
    <w:rsid w:val="009C6E6B"/>
    <w:rsid w:val="009C6EA2"/>
    <w:rsid w:val="009C6F6E"/>
    <w:rsid w:val="009C7330"/>
    <w:rsid w:val="009C7376"/>
    <w:rsid w:val="009C73B4"/>
    <w:rsid w:val="009C78C9"/>
    <w:rsid w:val="009C79EC"/>
    <w:rsid w:val="009C7BA7"/>
    <w:rsid w:val="009C7C5D"/>
    <w:rsid w:val="009C7E87"/>
    <w:rsid w:val="009C7EE0"/>
    <w:rsid w:val="009D005E"/>
    <w:rsid w:val="009D00ED"/>
    <w:rsid w:val="009D0238"/>
    <w:rsid w:val="009D06B7"/>
    <w:rsid w:val="009D06C2"/>
    <w:rsid w:val="009D0AF9"/>
    <w:rsid w:val="009D0FDC"/>
    <w:rsid w:val="009D12C3"/>
    <w:rsid w:val="009D1487"/>
    <w:rsid w:val="009D178F"/>
    <w:rsid w:val="009D19AF"/>
    <w:rsid w:val="009D1BA6"/>
    <w:rsid w:val="009D1E6D"/>
    <w:rsid w:val="009D2031"/>
    <w:rsid w:val="009D24A8"/>
    <w:rsid w:val="009D290A"/>
    <w:rsid w:val="009D2E92"/>
    <w:rsid w:val="009D37E7"/>
    <w:rsid w:val="009D3A13"/>
    <w:rsid w:val="009D3D65"/>
    <w:rsid w:val="009D41D4"/>
    <w:rsid w:val="009D42F2"/>
    <w:rsid w:val="009D46EB"/>
    <w:rsid w:val="009D4A34"/>
    <w:rsid w:val="009D5040"/>
    <w:rsid w:val="009D52D6"/>
    <w:rsid w:val="009D540A"/>
    <w:rsid w:val="009D5585"/>
    <w:rsid w:val="009D59CD"/>
    <w:rsid w:val="009D6247"/>
    <w:rsid w:val="009D6488"/>
    <w:rsid w:val="009D6646"/>
    <w:rsid w:val="009D6EE6"/>
    <w:rsid w:val="009D6FE5"/>
    <w:rsid w:val="009D74BA"/>
    <w:rsid w:val="009D7675"/>
    <w:rsid w:val="009D76F1"/>
    <w:rsid w:val="009D7752"/>
    <w:rsid w:val="009D77C1"/>
    <w:rsid w:val="009D7896"/>
    <w:rsid w:val="009D7A47"/>
    <w:rsid w:val="009D7B33"/>
    <w:rsid w:val="009E0A22"/>
    <w:rsid w:val="009E0F8A"/>
    <w:rsid w:val="009E1274"/>
    <w:rsid w:val="009E15A8"/>
    <w:rsid w:val="009E1895"/>
    <w:rsid w:val="009E1EF4"/>
    <w:rsid w:val="009E2531"/>
    <w:rsid w:val="009E2949"/>
    <w:rsid w:val="009E2B1B"/>
    <w:rsid w:val="009E2D45"/>
    <w:rsid w:val="009E2EBE"/>
    <w:rsid w:val="009E3259"/>
    <w:rsid w:val="009E398E"/>
    <w:rsid w:val="009E3D28"/>
    <w:rsid w:val="009E3FED"/>
    <w:rsid w:val="009E407F"/>
    <w:rsid w:val="009E420D"/>
    <w:rsid w:val="009E4687"/>
    <w:rsid w:val="009E470B"/>
    <w:rsid w:val="009E47B1"/>
    <w:rsid w:val="009E4C22"/>
    <w:rsid w:val="009E564F"/>
    <w:rsid w:val="009E5D2C"/>
    <w:rsid w:val="009E5E9F"/>
    <w:rsid w:val="009E5F63"/>
    <w:rsid w:val="009E6909"/>
    <w:rsid w:val="009E6A03"/>
    <w:rsid w:val="009E6B95"/>
    <w:rsid w:val="009E6F18"/>
    <w:rsid w:val="009F0DCE"/>
    <w:rsid w:val="009F116A"/>
    <w:rsid w:val="009F1448"/>
    <w:rsid w:val="009F26D0"/>
    <w:rsid w:val="009F28D9"/>
    <w:rsid w:val="009F2B01"/>
    <w:rsid w:val="009F2D96"/>
    <w:rsid w:val="009F2F17"/>
    <w:rsid w:val="009F31AD"/>
    <w:rsid w:val="009F32EE"/>
    <w:rsid w:val="009F350A"/>
    <w:rsid w:val="009F3C95"/>
    <w:rsid w:val="009F3ED3"/>
    <w:rsid w:val="009F4308"/>
    <w:rsid w:val="009F4559"/>
    <w:rsid w:val="009F455B"/>
    <w:rsid w:val="009F4C96"/>
    <w:rsid w:val="009F4E98"/>
    <w:rsid w:val="009F504F"/>
    <w:rsid w:val="009F51EA"/>
    <w:rsid w:val="009F51EC"/>
    <w:rsid w:val="009F52BC"/>
    <w:rsid w:val="009F5532"/>
    <w:rsid w:val="009F5867"/>
    <w:rsid w:val="009F5946"/>
    <w:rsid w:val="009F5C9D"/>
    <w:rsid w:val="009F5FDC"/>
    <w:rsid w:val="009F676B"/>
    <w:rsid w:val="009F687E"/>
    <w:rsid w:val="009F6998"/>
    <w:rsid w:val="009F731C"/>
    <w:rsid w:val="009F7DC4"/>
    <w:rsid w:val="00A00465"/>
    <w:rsid w:val="00A0068D"/>
    <w:rsid w:val="00A00CAD"/>
    <w:rsid w:val="00A00DF6"/>
    <w:rsid w:val="00A0123A"/>
    <w:rsid w:val="00A017CF"/>
    <w:rsid w:val="00A01A04"/>
    <w:rsid w:val="00A01A25"/>
    <w:rsid w:val="00A021DB"/>
    <w:rsid w:val="00A0246D"/>
    <w:rsid w:val="00A02524"/>
    <w:rsid w:val="00A02798"/>
    <w:rsid w:val="00A02CC8"/>
    <w:rsid w:val="00A02D70"/>
    <w:rsid w:val="00A030D3"/>
    <w:rsid w:val="00A03855"/>
    <w:rsid w:val="00A039AE"/>
    <w:rsid w:val="00A03A47"/>
    <w:rsid w:val="00A03EEB"/>
    <w:rsid w:val="00A03F7E"/>
    <w:rsid w:val="00A043FB"/>
    <w:rsid w:val="00A0441E"/>
    <w:rsid w:val="00A0484C"/>
    <w:rsid w:val="00A04ACF"/>
    <w:rsid w:val="00A04BFC"/>
    <w:rsid w:val="00A04F23"/>
    <w:rsid w:val="00A05063"/>
    <w:rsid w:val="00A051B0"/>
    <w:rsid w:val="00A05BF5"/>
    <w:rsid w:val="00A0606C"/>
    <w:rsid w:val="00A0613C"/>
    <w:rsid w:val="00A06965"/>
    <w:rsid w:val="00A06B5B"/>
    <w:rsid w:val="00A06D3B"/>
    <w:rsid w:val="00A070AE"/>
    <w:rsid w:val="00A072C6"/>
    <w:rsid w:val="00A072F4"/>
    <w:rsid w:val="00A07492"/>
    <w:rsid w:val="00A074A3"/>
    <w:rsid w:val="00A0776E"/>
    <w:rsid w:val="00A07820"/>
    <w:rsid w:val="00A0789A"/>
    <w:rsid w:val="00A07969"/>
    <w:rsid w:val="00A07BDE"/>
    <w:rsid w:val="00A10182"/>
    <w:rsid w:val="00A1024C"/>
    <w:rsid w:val="00A10386"/>
    <w:rsid w:val="00A10603"/>
    <w:rsid w:val="00A10C92"/>
    <w:rsid w:val="00A11021"/>
    <w:rsid w:val="00A1106A"/>
    <w:rsid w:val="00A11547"/>
    <w:rsid w:val="00A1161A"/>
    <w:rsid w:val="00A11737"/>
    <w:rsid w:val="00A11AA6"/>
    <w:rsid w:val="00A11B30"/>
    <w:rsid w:val="00A11B5F"/>
    <w:rsid w:val="00A12128"/>
    <w:rsid w:val="00A123A1"/>
    <w:rsid w:val="00A124C0"/>
    <w:rsid w:val="00A12551"/>
    <w:rsid w:val="00A12A74"/>
    <w:rsid w:val="00A12EE9"/>
    <w:rsid w:val="00A12F28"/>
    <w:rsid w:val="00A1307F"/>
    <w:rsid w:val="00A13332"/>
    <w:rsid w:val="00A13847"/>
    <w:rsid w:val="00A13B79"/>
    <w:rsid w:val="00A13D8D"/>
    <w:rsid w:val="00A14285"/>
    <w:rsid w:val="00A1477D"/>
    <w:rsid w:val="00A148EE"/>
    <w:rsid w:val="00A149D6"/>
    <w:rsid w:val="00A14D88"/>
    <w:rsid w:val="00A15737"/>
    <w:rsid w:val="00A15C04"/>
    <w:rsid w:val="00A15C22"/>
    <w:rsid w:val="00A16248"/>
    <w:rsid w:val="00A162C3"/>
    <w:rsid w:val="00A16366"/>
    <w:rsid w:val="00A166B3"/>
    <w:rsid w:val="00A16723"/>
    <w:rsid w:val="00A16D55"/>
    <w:rsid w:val="00A16EFD"/>
    <w:rsid w:val="00A1704A"/>
    <w:rsid w:val="00A171A1"/>
    <w:rsid w:val="00A173D2"/>
    <w:rsid w:val="00A175D8"/>
    <w:rsid w:val="00A17B61"/>
    <w:rsid w:val="00A17C2E"/>
    <w:rsid w:val="00A17C2F"/>
    <w:rsid w:val="00A20048"/>
    <w:rsid w:val="00A2004B"/>
    <w:rsid w:val="00A2090C"/>
    <w:rsid w:val="00A20945"/>
    <w:rsid w:val="00A20BE7"/>
    <w:rsid w:val="00A20C63"/>
    <w:rsid w:val="00A213E1"/>
    <w:rsid w:val="00A215CA"/>
    <w:rsid w:val="00A216B5"/>
    <w:rsid w:val="00A21B77"/>
    <w:rsid w:val="00A21C80"/>
    <w:rsid w:val="00A221F0"/>
    <w:rsid w:val="00A227D9"/>
    <w:rsid w:val="00A2299F"/>
    <w:rsid w:val="00A22C98"/>
    <w:rsid w:val="00A22FFA"/>
    <w:rsid w:val="00A23141"/>
    <w:rsid w:val="00A231E2"/>
    <w:rsid w:val="00A23A86"/>
    <w:rsid w:val="00A23B55"/>
    <w:rsid w:val="00A23BC1"/>
    <w:rsid w:val="00A24072"/>
    <w:rsid w:val="00A241D4"/>
    <w:rsid w:val="00A2433D"/>
    <w:rsid w:val="00A243D1"/>
    <w:rsid w:val="00A24E34"/>
    <w:rsid w:val="00A25065"/>
    <w:rsid w:val="00A2506E"/>
    <w:rsid w:val="00A252DD"/>
    <w:rsid w:val="00A259B6"/>
    <w:rsid w:val="00A25C82"/>
    <w:rsid w:val="00A25E3A"/>
    <w:rsid w:val="00A25EDF"/>
    <w:rsid w:val="00A26059"/>
    <w:rsid w:val="00A26303"/>
    <w:rsid w:val="00A2636E"/>
    <w:rsid w:val="00A26920"/>
    <w:rsid w:val="00A26E6B"/>
    <w:rsid w:val="00A276A9"/>
    <w:rsid w:val="00A27877"/>
    <w:rsid w:val="00A27C72"/>
    <w:rsid w:val="00A27D3A"/>
    <w:rsid w:val="00A27E62"/>
    <w:rsid w:val="00A3049D"/>
    <w:rsid w:val="00A3078E"/>
    <w:rsid w:val="00A308F6"/>
    <w:rsid w:val="00A317F6"/>
    <w:rsid w:val="00A31933"/>
    <w:rsid w:val="00A31A35"/>
    <w:rsid w:val="00A32572"/>
    <w:rsid w:val="00A3268F"/>
    <w:rsid w:val="00A3271A"/>
    <w:rsid w:val="00A328E1"/>
    <w:rsid w:val="00A3323D"/>
    <w:rsid w:val="00A33356"/>
    <w:rsid w:val="00A334B6"/>
    <w:rsid w:val="00A33994"/>
    <w:rsid w:val="00A339D4"/>
    <w:rsid w:val="00A33AEB"/>
    <w:rsid w:val="00A33E43"/>
    <w:rsid w:val="00A34278"/>
    <w:rsid w:val="00A34533"/>
    <w:rsid w:val="00A34798"/>
    <w:rsid w:val="00A34A0C"/>
    <w:rsid w:val="00A34C1D"/>
    <w:rsid w:val="00A34DB8"/>
    <w:rsid w:val="00A3545B"/>
    <w:rsid w:val="00A355B9"/>
    <w:rsid w:val="00A35630"/>
    <w:rsid w:val="00A359CD"/>
    <w:rsid w:val="00A35A22"/>
    <w:rsid w:val="00A35D10"/>
    <w:rsid w:val="00A35F1A"/>
    <w:rsid w:val="00A362B4"/>
    <w:rsid w:val="00A36365"/>
    <w:rsid w:val="00A36429"/>
    <w:rsid w:val="00A36909"/>
    <w:rsid w:val="00A369E3"/>
    <w:rsid w:val="00A36DC4"/>
    <w:rsid w:val="00A36EBE"/>
    <w:rsid w:val="00A37409"/>
    <w:rsid w:val="00A374D1"/>
    <w:rsid w:val="00A37806"/>
    <w:rsid w:val="00A37ED0"/>
    <w:rsid w:val="00A40A96"/>
    <w:rsid w:val="00A40C92"/>
    <w:rsid w:val="00A40EBB"/>
    <w:rsid w:val="00A40FF9"/>
    <w:rsid w:val="00A4159C"/>
    <w:rsid w:val="00A417A2"/>
    <w:rsid w:val="00A41DC1"/>
    <w:rsid w:val="00A42303"/>
    <w:rsid w:val="00A42520"/>
    <w:rsid w:val="00A42F86"/>
    <w:rsid w:val="00A43280"/>
    <w:rsid w:val="00A432F4"/>
    <w:rsid w:val="00A43366"/>
    <w:rsid w:val="00A44090"/>
    <w:rsid w:val="00A440D3"/>
    <w:rsid w:val="00A44767"/>
    <w:rsid w:val="00A44928"/>
    <w:rsid w:val="00A45203"/>
    <w:rsid w:val="00A458A1"/>
    <w:rsid w:val="00A45C47"/>
    <w:rsid w:val="00A45C5E"/>
    <w:rsid w:val="00A45D02"/>
    <w:rsid w:val="00A45EAA"/>
    <w:rsid w:val="00A46233"/>
    <w:rsid w:val="00A46551"/>
    <w:rsid w:val="00A46581"/>
    <w:rsid w:val="00A46C18"/>
    <w:rsid w:val="00A46E9A"/>
    <w:rsid w:val="00A46ECF"/>
    <w:rsid w:val="00A471DB"/>
    <w:rsid w:val="00A471DF"/>
    <w:rsid w:val="00A47583"/>
    <w:rsid w:val="00A47971"/>
    <w:rsid w:val="00A47C69"/>
    <w:rsid w:val="00A47F09"/>
    <w:rsid w:val="00A47FB7"/>
    <w:rsid w:val="00A5023D"/>
    <w:rsid w:val="00A50C93"/>
    <w:rsid w:val="00A5132C"/>
    <w:rsid w:val="00A5150E"/>
    <w:rsid w:val="00A51832"/>
    <w:rsid w:val="00A51985"/>
    <w:rsid w:val="00A51AFC"/>
    <w:rsid w:val="00A51E88"/>
    <w:rsid w:val="00A523BF"/>
    <w:rsid w:val="00A52621"/>
    <w:rsid w:val="00A52B3E"/>
    <w:rsid w:val="00A5316D"/>
    <w:rsid w:val="00A531B6"/>
    <w:rsid w:val="00A53A9C"/>
    <w:rsid w:val="00A5416A"/>
    <w:rsid w:val="00A542AE"/>
    <w:rsid w:val="00A54607"/>
    <w:rsid w:val="00A55175"/>
    <w:rsid w:val="00A55849"/>
    <w:rsid w:val="00A5586C"/>
    <w:rsid w:val="00A559AF"/>
    <w:rsid w:val="00A56576"/>
    <w:rsid w:val="00A56660"/>
    <w:rsid w:val="00A567EA"/>
    <w:rsid w:val="00A56A2F"/>
    <w:rsid w:val="00A56F82"/>
    <w:rsid w:val="00A572C1"/>
    <w:rsid w:val="00A57443"/>
    <w:rsid w:val="00A57600"/>
    <w:rsid w:val="00A5764D"/>
    <w:rsid w:val="00A5787E"/>
    <w:rsid w:val="00A57A61"/>
    <w:rsid w:val="00A57DC2"/>
    <w:rsid w:val="00A57F5A"/>
    <w:rsid w:val="00A60072"/>
    <w:rsid w:val="00A605C3"/>
    <w:rsid w:val="00A60A80"/>
    <w:rsid w:val="00A60EB2"/>
    <w:rsid w:val="00A60F0D"/>
    <w:rsid w:val="00A61132"/>
    <w:rsid w:val="00A61BBE"/>
    <w:rsid w:val="00A62142"/>
    <w:rsid w:val="00A624F6"/>
    <w:rsid w:val="00A62757"/>
    <w:rsid w:val="00A62D2D"/>
    <w:rsid w:val="00A630D5"/>
    <w:rsid w:val="00A6349B"/>
    <w:rsid w:val="00A63669"/>
    <w:rsid w:val="00A63B54"/>
    <w:rsid w:val="00A63C96"/>
    <w:rsid w:val="00A63F89"/>
    <w:rsid w:val="00A640D2"/>
    <w:rsid w:val="00A64264"/>
    <w:rsid w:val="00A6439C"/>
    <w:rsid w:val="00A647F6"/>
    <w:rsid w:val="00A64912"/>
    <w:rsid w:val="00A64972"/>
    <w:rsid w:val="00A64A2E"/>
    <w:rsid w:val="00A64A33"/>
    <w:rsid w:val="00A64AFF"/>
    <w:rsid w:val="00A64E02"/>
    <w:rsid w:val="00A64F00"/>
    <w:rsid w:val="00A64F13"/>
    <w:rsid w:val="00A6512F"/>
    <w:rsid w:val="00A6523A"/>
    <w:rsid w:val="00A6529A"/>
    <w:rsid w:val="00A655CE"/>
    <w:rsid w:val="00A65A8E"/>
    <w:rsid w:val="00A65C1A"/>
    <w:rsid w:val="00A65DA0"/>
    <w:rsid w:val="00A65E67"/>
    <w:rsid w:val="00A65EE0"/>
    <w:rsid w:val="00A65FC8"/>
    <w:rsid w:val="00A65FEF"/>
    <w:rsid w:val="00A662A6"/>
    <w:rsid w:val="00A6687D"/>
    <w:rsid w:val="00A668B1"/>
    <w:rsid w:val="00A66F2F"/>
    <w:rsid w:val="00A67010"/>
    <w:rsid w:val="00A670EA"/>
    <w:rsid w:val="00A672B7"/>
    <w:rsid w:val="00A672BF"/>
    <w:rsid w:val="00A676F8"/>
    <w:rsid w:val="00A67D92"/>
    <w:rsid w:val="00A67DB6"/>
    <w:rsid w:val="00A67E0A"/>
    <w:rsid w:val="00A67F2C"/>
    <w:rsid w:val="00A7087D"/>
    <w:rsid w:val="00A70A74"/>
    <w:rsid w:val="00A71A72"/>
    <w:rsid w:val="00A71E2B"/>
    <w:rsid w:val="00A72125"/>
    <w:rsid w:val="00A72566"/>
    <w:rsid w:val="00A7279D"/>
    <w:rsid w:val="00A72C69"/>
    <w:rsid w:val="00A72C8A"/>
    <w:rsid w:val="00A734C6"/>
    <w:rsid w:val="00A73FEA"/>
    <w:rsid w:val="00A740E6"/>
    <w:rsid w:val="00A74898"/>
    <w:rsid w:val="00A75539"/>
    <w:rsid w:val="00A75727"/>
    <w:rsid w:val="00A75A8E"/>
    <w:rsid w:val="00A75C64"/>
    <w:rsid w:val="00A75E1B"/>
    <w:rsid w:val="00A75FD9"/>
    <w:rsid w:val="00A75FE9"/>
    <w:rsid w:val="00A76DB2"/>
    <w:rsid w:val="00A77228"/>
    <w:rsid w:val="00A77367"/>
    <w:rsid w:val="00A7743D"/>
    <w:rsid w:val="00A777FD"/>
    <w:rsid w:val="00A778A7"/>
    <w:rsid w:val="00A77B0C"/>
    <w:rsid w:val="00A77B94"/>
    <w:rsid w:val="00A800CE"/>
    <w:rsid w:val="00A80174"/>
    <w:rsid w:val="00A804A8"/>
    <w:rsid w:val="00A80591"/>
    <w:rsid w:val="00A806AF"/>
    <w:rsid w:val="00A808D3"/>
    <w:rsid w:val="00A80C5D"/>
    <w:rsid w:val="00A80D7B"/>
    <w:rsid w:val="00A81095"/>
    <w:rsid w:val="00A81512"/>
    <w:rsid w:val="00A8184C"/>
    <w:rsid w:val="00A818DA"/>
    <w:rsid w:val="00A81BE7"/>
    <w:rsid w:val="00A81C51"/>
    <w:rsid w:val="00A82183"/>
    <w:rsid w:val="00A82610"/>
    <w:rsid w:val="00A82631"/>
    <w:rsid w:val="00A82A16"/>
    <w:rsid w:val="00A82B48"/>
    <w:rsid w:val="00A82DC9"/>
    <w:rsid w:val="00A82F43"/>
    <w:rsid w:val="00A837F4"/>
    <w:rsid w:val="00A83988"/>
    <w:rsid w:val="00A83B15"/>
    <w:rsid w:val="00A83C48"/>
    <w:rsid w:val="00A8477E"/>
    <w:rsid w:val="00A84824"/>
    <w:rsid w:val="00A84CCE"/>
    <w:rsid w:val="00A84D48"/>
    <w:rsid w:val="00A85201"/>
    <w:rsid w:val="00A852C6"/>
    <w:rsid w:val="00A85E68"/>
    <w:rsid w:val="00A85E6C"/>
    <w:rsid w:val="00A86CA2"/>
    <w:rsid w:val="00A87099"/>
    <w:rsid w:val="00A87123"/>
    <w:rsid w:val="00A87705"/>
    <w:rsid w:val="00A90455"/>
    <w:rsid w:val="00A904F0"/>
    <w:rsid w:val="00A906CE"/>
    <w:rsid w:val="00A9083A"/>
    <w:rsid w:val="00A90A1A"/>
    <w:rsid w:val="00A90AB8"/>
    <w:rsid w:val="00A90B6B"/>
    <w:rsid w:val="00A90B93"/>
    <w:rsid w:val="00A90C37"/>
    <w:rsid w:val="00A90F0A"/>
    <w:rsid w:val="00A90FDD"/>
    <w:rsid w:val="00A91241"/>
    <w:rsid w:val="00A9134A"/>
    <w:rsid w:val="00A91C9C"/>
    <w:rsid w:val="00A925C3"/>
    <w:rsid w:val="00A9284B"/>
    <w:rsid w:val="00A92CC0"/>
    <w:rsid w:val="00A93119"/>
    <w:rsid w:val="00A931F6"/>
    <w:rsid w:val="00A934A5"/>
    <w:rsid w:val="00A935EB"/>
    <w:rsid w:val="00A9393B"/>
    <w:rsid w:val="00A93ADA"/>
    <w:rsid w:val="00A9547E"/>
    <w:rsid w:val="00A9581C"/>
    <w:rsid w:val="00A9582B"/>
    <w:rsid w:val="00A95FA2"/>
    <w:rsid w:val="00A963D2"/>
    <w:rsid w:val="00A96AF7"/>
    <w:rsid w:val="00A97623"/>
    <w:rsid w:val="00A9763A"/>
    <w:rsid w:val="00A97760"/>
    <w:rsid w:val="00A977A2"/>
    <w:rsid w:val="00A977AA"/>
    <w:rsid w:val="00A97847"/>
    <w:rsid w:val="00A978C9"/>
    <w:rsid w:val="00A979B3"/>
    <w:rsid w:val="00A97C3F"/>
    <w:rsid w:val="00A97D96"/>
    <w:rsid w:val="00A97DEB"/>
    <w:rsid w:val="00A97DFE"/>
    <w:rsid w:val="00AA0220"/>
    <w:rsid w:val="00AA0421"/>
    <w:rsid w:val="00AA0495"/>
    <w:rsid w:val="00AA0C71"/>
    <w:rsid w:val="00AA0D11"/>
    <w:rsid w:val="00AA11D2"/>
    <w:rsid w:val="00AA186F"/>
    <w:rsid w:val="00AA1983"/>
    <w:rsid w:val="00AA1DFB"/>
    <w:rsid w:val="00AA2297"/>
    <w:rsid w:val="00AA28C6"/>
    <w:rsid w:val="00AA297B"/>
    <w:rsid w:val="00AA3239"/>
    <w:rsid w:val="00AA356B"/>
    <w:rsid w:val="00AA3E43"/>
    <w:rsid w:val="00AA3EC8"/>
    <w:rsid w:val="00AA3F22"/>
    <w:rsid w:val="00AA3FC4"/>
    <w:rsid w:val="00AA42B3"/>
    <w:rsid w:val="00AA4328"/>
    <w:rsid w:val="00AA441C"/>
    <w:rsid w:val="00AA4A31"/>
    <w:rsid w:val="00AA57D4"/>
    <w:rsid w:val="00AA5CA7"/>
    <w:rsid w:val="00AA5F50"/>
    <w:rsid w:val="00AA6207"/>
    <w:rsid w:val="00AA6845"/>
    <w:rsid w:val="00AA68BE"/>
    <w:rsid w:val="00AA730A"/>
    <w:rsid w:val="00AA7377"/>
    <w:rsid w:val="00AA7511"/>
    <w:rsid w:val="00AA7706"/>
    <w:rsid w:val="00AA7E76"/>
    <w:rsid w:val="00AA7F0D"/>
    <w:rsid w:val="00AB0154"/>
    <w:rsid w:val="00AB0B6F"/>
    <w:rsid w:val="00AB0F42"/>
    <w:rsid w:val="00AB1664"/>
    <w:rsid w:val="00AB16B4"/>
    <w:rsid w:val="00AB19F6"/>
    <w:rsid w:val="00AB1F2C"/>
    <w:rsid w:val="00AB210C"/>
    <w:rsid w:val="00AB24A4"/>
    <w:rsid w:val="00AB2722"/>
    <w:rsid w:val="00AB29E9"/>
    <w:rsid w:val="00AB2BFA"/>
    <w:rsid w:val="00AB2CBC"/>
    <w:rsid w:val="00AB3070"/>
    <w:rsid w:val="00AB33C7"/>
    <w:rsid w:val="00AB34E7"/>
    <w:rsid w:val="00AB3C03"/>
    <w:rsid w:val="00AB3E8F"/>
    <w:rsid w:val="00AB3F46"/>
    <w:rsid w:val="00AB4370"/>
    <w:rsid w:val="00AB4913"/>
    <w:rsid w:val="00AB4C5F"/>
    <w:rsid w:val="00AB4E48"/>
    <w:rsid w:val="00AB5C42"/>
    <w:rsid w:val="00AB61AC"/>
    <w:rsid w:val="00AB62FF"/>
    <w:rsid w:val="00AB64D6"/>
    <w:rsid w:val="00AB6518"/>
    <w:rsid w:val="00AB6B24"/>
    <w:rsid w:val="00AB6D6E"/>
    <w:rsid w:val="00AB6E47"/>
    <w:rsid w:val="00AB7112"/>
    <w:rsid w:val="00AB73DF"/>
    <w:rsid w:val="00AB75C9"/>
    <w:rsid w:val="00AB79D0"/>
    <w:rsid w:val="00AB7B1C"/>
    <w:rsid w:val="00AB7B51"/>
    <w:rsid w:val="00AC03F7"/>
    <w:rsid w:val="00AC0E38"/>
    <w:rsid w:val="00AC0EF5"/>
    <w:rsid w:val="00AC10B5"/>
    <w:rsid w:val="00AC135F"/>
    <w:rsid w:val="00AC16F2"/>
    <w:rsid w:val="00AC18DE"/>
    <w:rsid w:val="00AC1909"/>
    <w:rsid w:val="00AC1A24"/>
    <w:rsid w:val="00AC1D85"/>
    <w:rsid w:val="00AC1D8E"/>
    <w:rsid w:val="00AC1F5F"/>
    <w:rsid w:val="00AC2568"/>
    <w:rsid w:val="00AC27DD"/>
    <w:rsid w:val="00AC2B82"/>
    <w:rsid w:val="00AC327F"/>
    <w:rsid w:val="00AC3315"/>
    <w:rsid w:val="00AC3582"/>
    <w:rsid w:val="00AC36C7"/>
    <w:rsid w:val="00AC3BA1"/>
    <w:rsid w:val="00AC3CC2"/>
    <w:rsid w:val="00AC3D83"/>
    <w:rsid w:val="00AC3E58"/>
    <w:rsid w:val="00AC3F45"/>
    <w:rsid w:val="00AC40D2"/>
    <w:rsid w:val="00AC44CA"/>
    <w:rsid w:val="00AC5196"/>
    <w:rsid w:val="00AC51A3"/>
    <w:rsid w:val="00AC5510"/>
    <w:rsid w:val="00AC597D"/>
    <w:rsid w:val="00AC5B1A"/>
    <w:rsid w:val="00AC5E15"/>
    <w:rsid w:val="00AC622B"/>
    <w:rsid w:val="00AC652D"/>
    <w:rsid w:val="00AC668D"/>
    <w:rsid w:val="00AC671F"/>
    <w:rsid w:val="00AC676F"/>
    <w:rsid w:val="00AC6FFF"/>
    <w:rsid w:val="00AC78BF"/>
    <w:rsid w:val="00AC7C1B"/>
    <w:rsid w:val="00AD0E7A"/>
    <w:rsid w:val="00AD0F31"/>
    <w:rsid w:val="00AD101A"/>
    <w:rsid w:val="00AD121E"/>
    <w:rsid w:val="00AD15DD"/>
    <w:rsid w:val="00AD1663"/>
    <w:rsid w:val="00AD1B9A"/>
    <w:rsid w:val="00AD1C5D"/>
    <w:rsid w:val="00AD2B57"/>
    <w:rsid w:val="00AD3411"/>
    <w:rsid w:val="00AD34D8"/>
    <w:rsid w:val="00AD3573"/>
    <w:rsid w:val="00AD3655"/>
    <w:rsid w:val="00AD372F"/>
    <w:rsid w:val="00AD3D2D"/>
    <w:rsid w:val="00AD3DD2"/>
    <w:rsid w:val="00AD3F8C"/>
    <w:rsid w:val="00AD44E7"/>
    <w:rsid w:val="00AD4564"/>
    <w:rsid w:val="00AD47A6"/>
    <w:rsid w:val="00AD53CC"/>
    <w:rsid w:val="00AD5641"/>
    <w:rsid w:val="00AD60FE"/>
    <w:rsid w:val="00AD6931"/>
    <w:rsid w:val="00AD6B71"/>
    <w:rsid w:val="00AD6F7A"/>
    <w:rsid w:val="00AD7055"/>
    <w:rsid w:val="00AD74B5"/>
    <w:rsid w:val="00AD7726"/>
    <w:rsid w:val="00AD7CFD"/>
    <w:rsid w:val="00AD7E38"/>
    <w:rsid w:val="00AD7F64"/>
    <w:rsid w:val="00AE0064"/>
    <w:rsid w:val="00AE0587"/>
    <w:rsid w:val="00AE059B"/>
    <w:rsid w:val="00AE065D"/>
    <w:rsid w:val="00AE080E"/>
    <w:rsid w:val="00AE0B73"/>
    <w:rsid w:val="00AE0D10"/>
    <w:rsid w:val="00AE103A"/>
    <w:rsid w:val="00AE10F5"/>
    <w:rsid w:val="00AE1644"/>
    <w:rsid w:val="00AE18B5"/>
    <w:rsid w:val="00AE19F2"/>
    <w:rsid w:val="00AE1DA2"/>
    <w:rsid w:val="00AE20EF"/>
    <w:rsid w:val="00AE22C3"/>
    <w:rsid w:val="00AE2378"/>
    <w:rsid w:val="00AE285A"/>
    <w:rsid w:val="00AE2964"/>
    <w:rsid w:val="00AE2B4A"/>
    <w:rsid w:val="00AE2ED1"/>
    <w:rsid w:val="00AE3192"/>
    <w:rsid w:val="00AE340A"/>
    <w:rsid w:val="00AE359A"/>
    <w:rsid w:val="00AE36C6"/>
    <w:rsid w:val="00AE3888"/>
    <w:rsid w:val="00AE39B0"/>
    <w:rsid w:val="00AE3ADA"/>
    <w:rsid w:val="00AE3C3E"/>
    <w:rsid w:val="00AE466A"/>
    <w:rsid w:val="00AE4E0C"/>
    <w:rsid w:val="00AE4F26"/>
    <w:rsid w:val="00AE55E8"/>
    <w:rsid w:val="00AE5822"/>
    <w:rsid w:val="00AE5B15"/>
    <w:rsid w:val="00AE5D83"/>
    <w:rsid w:val="00AE5DA0"/>
    <w:rsid w:val="00AE5FA6"/>
    <w:rsid w:val="00AE6163"/>
    <w:rsid w:val="00AE635D"/>
    <w:rsid w:val="00AE63AA"/>
    <w:rsid w:val="00AE65F8"/>
    <w:rsid w:val="00AE6703"/>
    <w:rsid w:val="00AE6801"/>
    <w:rsid w:val="00AE6E19"/>
    <w:rsid w:val="00AE748C"/>
    <w:rsid w:val="00AE76DD"/>
    <w:rsid w:val="00AE7CEC"/>
    <w:rsid w:val="00AE7E8D"/>
    <w:rsid w:val="00AF0293"/>
    <w:rsid w:val="00AF06CF"/>
    <w:rsid w:val="00AF127A"/>
    <w:rsid w:val="00AF1368"/>
    <w:rsid w:val="00AF136D"/>
    <w:rsid w:val="00AF177D"/>
    <w:rsid w:val="00AF1932"/>
    <w:rsid w:val="00AF1981"/>
    <w:rsid w:val="00AF1C14"/>
    <w:rsid w:val="00AF1D46"/>
    <w:rsid w:val="00AF2381"/>
    <w:rsid w:val="00AF239C"/>
    <w:rsid w:val="00AF2C4C"/>
    <w:rsid w:val="00AF2DC8"/>
    <w:rsid w:val="00AF356E"/>
    <w:rsid w:val="00AF3D4C"/>
    <w:rsid w:val="00AF3DDC"/>
    <w:rsid w:val="00AF4D1F"/>
    <w:rsid w:val="00AF5319"/>
    <w:rsid w:val="00AF53D1"/>
    <w:rsid w:val="00AF5810"/>
    <w:rsid w:val="00AF5F3F"/>
    <w:rsid w:val="00AF6068"/>
    <w:rsid w:val="00AF6292"/>
    <w:rsid w:val="00AF6697"/>
    <w:rsid w:val="00AF6A46"/>
    <w:rsid w:val="00AF6A8E"/>
    <w:rsid w:val="00AF6AAE"/>
    <w:rsid w:val="00AF6FDC"/>
    <w:rsid w:val="00AF740A"/>
    <w:rsid w:val="00AF75AB"/>
    <w:rsid w:val="00AF797C"/>
    <w:rsid w:val="00AF7B62"/>
    <w:rsid w:val="00AF7E21"/>
    <w:rsid w:val="00AF7FD1"/>
    <w:rsid w:val="00B00AC2"/>
    <w:rsid w:val="00B00AE1"/>
    <w:rsid w:val="00B00C60"/>
    <w:rsid w:val="00B00EA1"/>
    <w:rsid w:val="00B01024"/>
    <w:rsid w:val="00B01166"/>
    <w:rsid w:val="00B0117F"/>
    <w:rsid w:val="00B01548"/>
    <w:rsid w:val="00B01D61"/>
    <w:rsid w:val="00B01F58"/>
    <w:rsid w:val="00B020CC"/>
    <w:rsid w:val="00B023D4"/>
    <w:rsid w:val="00B028E8"/>
    <w:rsid w:val="00B02B4E"/>
    <w:rsid w:val="00B02D40"/>
    <w:rsid w:val="00B03168"/>
    <w:rsid w:val="00B03201"/>
    <w:rsid w:val="00B03354"/>
    <w:rsid w:val="00B033DC"/>
    <w:rsid w:val="00B035B8"/>
    <w:rsid w:val="00B036F2"/>
    <w:rsid w:val="00B03770"/>
    <w:rsid w:val="00B0395E"/>
    <w:rsid w:val="00B03A90"/>
    <w:rsid w:val="00B03B51"/>
    <w:rsid w:val="00B03B76"/>
    <w:rsid w:val="00B03DBD"/>
    <w:rsid w:val="00B03FB8"/>
    <w:rsid w:val="00B03FBF"/>
    <w:rsid w:val="00B04051"/>
    <w:rsid w:val="00B040C5"/>
    <w:rsid w:val="00B041E6"/>
    <w:rsid w:val="00B04341"/>
    <w:rsid w:val="00B043ED"/>
    <w:rsid w:val="00B0449E"/>
    <w:rsid w:val="00B04515"/>
    <w:rsid w:val="00B046EA"/>
    <w:rsid w:val="00B04910"/>
    <w:rsid w:val="00B04C66"/>
    <w:rsid w:val="00B04CA0"/>
    <w:rsid w:val="00B04E19"/>
    <w:rsid w:val="00B04E7E"/>
    <w:rsid w:val="00B04E97"/>
    <w:rsid w:val="00B04F55"/>
    <w:rsid w:val="00B0532C"/>
    <w:rsid w:val="00B057FB"/>
    <w:rsid w:val="00B058B2"/>
    <w:rsid w:val="00B05A42"/>
    <w:rsid w:val="00B05CE3"/>
    <w:rsid w:val="00B0657D"/>
    <w:rsid w:val="00B06759"/>
    <w:rsid w:val="00B06FAF"/>
    <w:rsid w:val="00B073E9"/>
    <w:rsid w:val="00B07428"/>
    <w:rsid w:val="00B07477"/>
    <w:rsid w:val="00B07602"/>
    <w:rsid w:val="00B07799"/>
    <w:rsid w:val="00B07BFD"/>
    <w:rsid w:val="00B07CDB"/>
    <w:rsid w:val="00B07D56"/>
    <w:rsid w:val="00B106B2"/>
    <w:rsid w:val="00B1080A"/>
    <w:rsid w:val="00B10ADE"/>
    <w:rsid w:val="00B10E12"/>
    <w:rsid w:val="00B10E88"/>
    <w:rsid w:val="00B10EDB"/>
    <w:rsid w:val="00B119C1"/>
    <w:rsid w:val="00B12144"/>
    <w:rsid w:val="00B12645"/>
    <w:rsid w:val="00B130FF"/>
    <w:rsid w:val="00B13343"/>
    <w:rsid w:val="00B1387B"/>
    <w:rsid w:val="00B139C0"/>
    <w:rsid w:val="00B13B48"/>
    <w:rsid w:val="00B13DEE"/>
    <w:rsid w:val="00B13EBC"/>
    <w:rsid w:val="00B13F8B"/>
    <w:rsid w:val="00B14313"/>
    <w:rsid w:val="00B1444C"/>
    <w:rsid w:val="00B144E4"/>
    <w:rsid w:val="00B146DA"/>
    <w:rsid w:val="00B1504D"/>
    <w:rsid w:val="00B15188"/>
    <w:rsid w:val="00B1545A"/>
    <w:rsid w:val="00B15523"/>
    <w:rsid w:val="00B155C2"/>
    <w:rsid w:val="00B155ED"/>
    <w:rsid w:val="00B157C8"/>
    <w:rsid w:val="00B16082"/>
    <w:rsid w:val="00B1639E"/>
    <w:rsid w:val="00B1675D"/>
    <w:rsid w:val="00B16A31"/>
    <w:rsid w:val="00B16C73"/>
    <w:rsid w:val="00B1733E"/>
    <w:rsid w:val="00B176C1"/>
    <w:rsid w:val="00B17A38"/>
    <w:rsid w:val="00B17DFD"/>
    <w:rsid w:val="00B2018F"/>
    <w:rsid w:val="00B20495"/>
    <w:rsid w:val="00B2049D"/>
    <w:rsid w:val="00B207FB"/>
    <w:rsid w:val="00B20DDD"/>
    <w:rsid w:val="00B21111"/>
    <w:rsid w:val="00B21696"/>
    <w:rsid w:val="00B21AE9"/>
    <w:rsid w:val="00B21DCB"/>
    <w:rsid w:val="00B2308F"/>
    <w:rsid w:val="00B2338C"/>
    <w:rsid w:val="00B233A4"/>
    <w:rsid w:val="00B2358A"/>
    <w:rsid w:val="00B23602"/>
    <w:rsid w:val="00B2387A"/>
    <w:rsid w:val="00B23C90"/>
    <w:rsid w:val="00B23D2C"/>
    <w:rsid w:val="00B23D38"/>
    <w:rsid w:val="00B23DFE"/>
    <w:rsid w:val="00B24395"/>
    <w:rsid w:val="00B24AA2"/>
    <w:rsid w:val="00B24AEB"/>
    <w:rsid w:val="00B24C52"/>
    <w:rsid w:val="00B24D84"/>
    <w:rsid w:val="00B24F75"/>
    <w:rsid w:val="00B24FE2"/>
    <w:rsid w:val="00B24FFF"/>
    <w:rsid w:val="00B25306"/>
    <w:rsid w:val="00B253AB"/>
    <w:rsid w:val="00B25BBF"/>
    <w:rsid w:val="00B26357"/>
    <w:rsid w:val="00B269EB"/>
    <w:rsid w:val="00B26AEA"/>
    <w:rsid w:val="00B26BD4"/>
    <w:rsid w:val="00B26BDB"/>
    <w:rsid w:val="00B27831"/>
    <w:rsid w:val="00B27A48"/>
    <w:rsid w:val="00B27D12"/>
    <w:rsid w:val="00B27F13"/>
    <w:rsid w:val="00B30010"/>
    <w:rsid w:val="00B30099"/>
    <w:rsid w:val="00B30263"/>
    <w:rsid w:val="00B308FE"/>
    <w:rsid w:val="00B31455"/>
    <w:rsid w:val="00B3169E"/>
    <w:rsid w:val="00B3173B"/>
    <w:rsid w:val="00B318E5"/>
    <w:rsid w:val="00B31D18"/>
    <w:rsid w:val="00B3209C"/>
    <w:rsid w:val="00B320CA"/>
    <w:rsid w:val="00B329F2"/>
    <w:rsid w:val="00B32AD6"/>
    <w:rsid w:val="00B32AE1"/>
    <w:rsid w:val="00B32B33"/>
    <w:rsid w:val="00B32DCF"/>
    <w:rsid w:val="00B33190"/>
    <w:rsid w:val="00B331F1"/>
    <w:rsid w:val="00B3357A"/>
    <w:rsid w:val="00B335C6"/>
    <w:rsid w:val="00B33709"/>
    <w:rsid w:val="00B339FE"/>
    <w:rsid w:val="00B33B3C"/>
    <w:rsid w:val="00B33CF2"/>
    <w:rsid w:val="00B33E64"/>
    <w:rsid w:val="00B34156"/>
    <w:rsid w:val="00B3482B"/>
    <w:rsid w:val="00B349EF"/>
    <w:rsid w:val="00B34A6E"/>
    <w:rsid w:val="00B35696"/>
    <w:rsid w:val="00B358DB"/>
    <w:rsid w:val="00B35B4D"/>
    <w:rsid w:val="00B35E80"/>
    <w:rsid w:val="00B36283"/>
    <w:rsid w:val="00B36392"/>
    <w:rsid w:val="00B367F7"/>
    <w:rsid w:val="00B36A8C"/>
    <w:rsid w:val="00B36E27"/>
    <w:rsid w:val="00B373C3"/>
    <w:rsid w:val="00B37417"/>
    <w:rsid w:val="00B37614"/>
    <w:rsid w:val="00B37628"/>
    <w:rsid w:val="00B376F2"/>
    <w:rsid w:val="00B37DD2"/>
    <w:rsid w:val="00B37F60"/>
    <w:rsid w:val="00B40043"/>
    <w:rsid w:val="00B40251"/>
    <w:rsid w:val="00B4087C"/>
    <w:rsid w:val="00B408DA"/>
    <w:rsid w:val="00B41001"/>
    <w:rsid w:val="00B411B6"/>
    <w:rsid w:val="00B415F2"/>
    <w:rsid w:val="00B41771"/>
    <w:rsid w:val="00B418CB"/>
    <w:rsid w:val="00B41CCF"/>
    <w:rsid w:val="00B41D5B"/>
    <w:rsid w:val="00B41E08"/>
    <w:rsid w:val="00B4207B"/>
    <w:rsid w:val="00B42151"/>
    <w:rsid w:val="00B426CC"/>
    <w:rsid w:val="00B42934"/>
    <w:rsid w:val="00B42D4C"/>
    <w:rsid w:val="00B435E0"/>
    <w:rsid w:val="00B43995"/>
    <w:rsid w:val="00B441DF"/>
    <w:rsid w:val="00B443D7"/>
    <w:rsid w:val="00B447B0"/>
    <w:rsid w:val="00B44C6C"/>
    <w:rsid w:val="00B44D17"/>
    <w:rsid w:val="00B44D58"/>
    <w:rsid w:val="00B44D6F"/>
    <w:rsid w:val="00B44F88"/>
    <w:rsid w:val="00B45138"/>
    <w:rsid w:val="00B455A1"/>
    <w:rsid w:val="00B45701"/>
    <w:rsid w:val="00B45A51"/>
    <w:rsid w:val="00B45D50"/>
    <w:rsid w:val="00B465BE"/>
    <w:rsid w:val="00B4671D"/>
    <w:rsid w:val="00B46A12"/>
    <w:rsid w:val="00B46BE8"/>
    <w:rsid w:val="00B46D20"/>
    <w:rsid w:val="00B46EAE"/>
    <w:rsid w:val="00B46EFB"/>
    <w:rsid w:val="00B472F2"/>
    <w:rsid w:val="00B47444"/>
    <w:rsid w:val="00B4772F"/>
    <w:rsid w:val="00B477C9"/>
    <w:rsid w:val="00B47C24"/>
    <w:rsid w:val="00B47C4B"/>
    <w:rsid w:val="00B506C8"/>
    <w:rsid w:val="00B508EA"/>
    <w:rsid w:val="00B50A3B"/>
    <w:rsid w:val="00B50ADC"/>
    <w:rsid w:val="00B50B69"/>
    <w:rsid w:val="00B50EC1"/>
    <w:rsid w:val="00B50F23"/>
    <w:rsid w:val="00B515A5"/>
    <w:rsid w:val="00B51750"/>
    <w:rsid w:val="00B51913"/>
    <w:rsid w:val="00B51B10"/>
    <w:rsid w:val="00B51B5C"/>
    <w:rsid w:val="00B51C3A"/>
    <w:rsid w:val="00B52FF0"/>
    <w:rsid w:val="00B53115"/>
    <w:rsid w:val="00B5312F"/>
    <w:rsid w:val="00B53183"/>
    <w:rsid w:val="00B5333C"/>
    <w:rsid w:val="00B53EDA"/>
    <w:rsid w:val="00B53F4D"/>
    <w:rsid w:val="00B54AD2"/>
    <w:rsid w:val="00B54B80"/>
    <w:rsid w:val="00B54E8C"/>
    <w:rsid w:val="00B54EEB"/>
    <w:rsid w:val="00B54F3C"/>
    <w:rsid w:val="00B55369"/>
    <w:rsid w:val="00B55A23"/>
    <w:rsid w:val="00B55BF6"/>
    <w:rsid w:val="00B55C4F"/>
    <w:rsid w:val="00B55CD5"/>
    <w:rsid w:val="00B563D7"/>
    <w:rsid w:val="00B566B1"/>
    <w:rsid w:val="00B5674F"/>
    <w:rsid w:val="00B56903"/>
    <w:rsid w:val="00B569CF"/>
    <w:rsid w:val="00B569FB"/>
    <w:rsid w:val="00B56AF4"/>
    <w:rsid w:val="00B5729E"/>
    <w:rsid w:val="00B57350"/>
    <w:rsid w:val="00B57674"/>
    <w:rsid w:val="00B577C2"/>
    <w:rsid w:val="00B57817"/>
    <w:rsid w:val="00B57973"/>
    <w:rsid w:val="00B57B1F"/>
    <w:rsid w:val="00B57C4A"/>
    <w:rsid w:val="00B60065"/>
    <w:rsid w:val="00B605D1"/>
    <w:rsid w:val="00B60869"/>
    <w:rsid w:val="00B609E4"/>
    <w:rsid w:val="00B60BCB"/>
    <w:rsid w:val="00B60D5A"/>
    <w:rsid w:val="00B60E1A"/>
    <w:rsid w:val="00B60F27"/>
    <w:rsid w:val="00B60F56"/>
    <w:rsid w:val="00B6118B"/>
    <w:rsid w:val="00B6126E"/>
    <w:rsid w:val="00B612A5"/>
    <w:rsid w:val="00B61320"/>
    <w:rsid w:val="00B614E4"/>
    <w:rsid w:val="00B61740"/>
    <w:rsid w:val="00B618D2"/>
    <w:rsid w:val="00B61FF4"/>
    <w:rsid w:val="00B621B7"/>
    <w:rsid w:val="00B62399"/>
    <w:rsid w:val="00B62842"/>
    <w:rsid w:val="00B630D0"/>
    <w:rsid w:val="00B63269"/>
    <w:rsid w:val="00B63415"/>
    <w:rsid w:val="00B636BD"/>
    <w:rsid w:val="00B63834"/>
    <w:rsid w:val="00B6392A"/>
    <w:rsid w:val="00B63ECA"/>
    <w:rsid w:val="00B64038"/>
    <w:rsid w:val="00B64077"/>
    <w:rsid w:val="00B6416E"/>
    <w:rsid w:val="00B6443E"/>
    <w:rsid w:val="00B6487E"/>
    <w:rsid w:val="00B64A49"/>
    <w:rsid w:val="00B64AB2"/>
    <w:rsid w:val="00B64AD7"/>
    <w:rsid w:val="00B64C34"/>
    <w:rsid w:val="00B64D06"/>
    <w:rsid w:val="00B651AB"/>
    <w:rsid w:val="00B65527"/>
    <w:rsid w:val="00B6554F"/>
    <w:rsid w:val="00B65867"/>
    <w:rsid w:val="00B659A4"/>
    <w:rsid w:val="00B65B9E"/>
    <w:rsid w:val="00B65E00"/>
    <w:rsid w:val="00B66267"/>
    <w:rsid w:val="00B662CA"/>
    <w:rsid w:val="00B6659F"/>
    <w:rsid w:val="00B667B5"/>
    <w:rsid w:val="00B66997"/>
    <w:rsid w:val="00B66A79"/>
    <w:rsid w:val="00B66BB4"/>
    <w:rsid w:val="00B66CC7"/>
    <w:rsid w:val="00B66E9D"/>
    <w:rsid w:val="00B6734E"/>
    <w:rsid w:val="00B673B0"/>
    <w:rsid w:val="00B6778E"/>
    <w:rsid w:val="00B67C14"/>
    <w:rsid w:val="00B67CEF"/>
    <w:rsid w:val="00B7075D"/>
    <w:rsid w:val="00B70790"/>
    <w:rsid w:val="00B70DB1"/>
    <w:rsid w:val="00B7140D"/>
    <w:rsid w:val="00B71881"/>
    <w:rsid w:val="00B71B1D"/>
    <w:rsid w:val="00B72877"/>
    <w:rsid w:val="00B72DC0"/>
    <w:rsid w:val="00B73266"/>
    <w:rsid w:val="00B733BA"/>
    <w:rsid w:val="00B7341D"/>
    <w:rsid w:val="00B73457"/>
    <w:rsid w:val="00B737DB"/>
    <w:rsid w:val="00B738B6"/>
    <w:rsid w:val="00B73F04"/>
    <w:rsid w:val="00B743DC"/>
    <w:rsid w:val="00B7462E"/>
    <w:rsid w:val="00B749C2"/>
    <w:rsid w:val="00B749E0"/>
    <w:rsid w:val="00B749FA"/>
    <w:rsid w:val="00B74A30"/>
    <w:rsid w:val="00B74BFC"/>
    <w:rsid w:val="00B74F2D"/>
    <w:rsid w:val="00B75297"/>
    <w:rsid w:val="00B752B8"/>
    <w:rsid w:val="00B755BB"/>
    <w:rsid w:val="00B7597D"/>
    <w:rsid w:val="00B75B4E"/>
    <w:rsid w:val="00B75D82"/>
    <w:rsid w:val="00B75D8F"/>
    <w:rsid w:val="00B75E02"/>
    <w:rsid w:val="00B75E7E"/>
    <w:rsid w:val="00B75FE7"/>
    <w:rsid w:val="00B76056"/>
    <w:rsid w:val="00B76722"/>
    <w:rsid w:val="00B769C5"/>
    <w:rsid w:val="00B76A3E"/>
    <w:rsid w:val="00B76B3A"/>
    <w:rsid w:val="00B76BFC"/>
    <w:rsid w:val="00B7729E"/>
    <w:rsid w:val="00B77AF2"/>
    <w:rsid w:val="00B80047"/>
    <w:rsid w:val="00B800A2"/>
    <w:rsid w:val="00B80199"/>
    <w:rsid w:val="00B804B3"/>
    <w:rsid w:val="00B80531"/>
    <w:rsid w:val="00B80696"/>
    <w:rsid w:val="00B80796"/>
    <w:rsid w:val="00B80874"/>
    <w:rsid w:val="00B809E9"/>
    <w:rsid w:val="00B8110F"/>
    <w:rsid w:val="00B811DA"/>
    <w:rsid w:val="00B8132D"/>
    <w:rsid w:val="00B81502"/>
    <w:rsid w:val="00B8156A"/>
    <w:rsid w:val="00B815F6"/>
    <w:rsid w:val="00B816F3"/>
    <w:rsid w:val="00B8182A"/>
    <w:rsid w:val="00B8192F"/>
    <w:rsid w:val="00B81A9A"/>
    <w:rsid w:val="00B82353"/>
    <w:rsid w:val="00B82440"/>
    <w:rsid w:val="00B827E7"/>
    <w:rsid w:val="00B82A8D"/>
    <w:rsid w:val="00B82AC5"/>
    <w:rsid w:val="00B83158"/>
    <w:rsid w:val="00B83204"/>
    <w:rsid w:val="00B8351C"/>
    <w:rsid w:val="00B8357C"/>
    <w:rsid w:val="00B83603"/>
    <w:rsid w:val="00B837CF"/>
    <w:rsid w:val="00B8380C"/>
    <w:rsid w:val="00B83ADC"/>
    <w:rsid w:val="00B83C34"/>
    <w:rsid w:val="00B83EF8"/>
    <w:rsid w:val="00B83FE3"/>
    <w:rsid w:val="00B84ECA"/>
    <w:rsid w:val="00B85223"/>
    <w:rsid w:val="00B85445"/>
    <w:rsid w:val="00B856BD"/>
    <w:rsid w:val="00B856E7"/>
    <w:rsid w:val="00B856FB"/>
    <w:rsid w:val="00B8575D"/>
    <w:rsid w:val="00B85948"/>
    <w:rsid w:val="00B85CB6"/>
    <w:rsid w:val="00B85F9E"/>
    <w:rsid w:val="00B86207"/>
    <w:rsid w:val="00B86340"/>
    <w:rsid w:val="00B868E9"/>
    <w:rsid w:val="00B8698C"/>
    <w:rsid w:val="00B86DB6"/>
    <w:rsid w:val="00B870F5"/>
    <w:rsid w:val="00B8771E"/>
    <w:rsid w:val="00B879EB"/>
    <w:rsid w:val="00B87A4D"/>
    <w:rsid w:val="00B87BC1"/>
    <w:rsid w:val="00B87EF7"/>
    <w:rsid w:val="00B87F4F"/>
    <w:rsid w:val="00B90833"/>
    <w:rsid w:val="00B9087C"/>
    <w:rsid w:val="00B90ABA"/>
    <w:rsid w:val="00B90EE2"/>
    <w:rsid w:val="00B9198D"/>
    <w:rsid w:val="00B92B39"/>
    <w:rsid w:val="00B92D3A"/>
    <w:rsid w:val="00B92E18"/>
    <w:rsid w:val="00B93ADE"/>
    <w:rsid w:val="00B93D2C"/>
    <w:rsid w:val="00B940ED"/>
    <w:rsid w:val="00B941D6"/>
    <w:rsid w:val="00B94490"/>
    <w:rsid w:val="00B946D5"/>
    <w:rsid w:val="00B947BB"/>
    <w:rsid w:val="00B94918"/>
    <w:rsid w:val="00B94A24"/>
    <w:rsid w:val="00B952D2"/>
    <w:rsid w:val="00B95983"/>
    <w:rsid w:val="00B95BDE"/>
    <w:rsid w:val="00B95BEF"/>
    <w:rsid w:val="00B95E27"/>
    <w:rsid w:val="00B96335"/>
    <w:rsid w:val="00B9654B"/>
    <w:rsid w:val="00B969BB"/>
    <w:rsid w:val="00B96BF2"/>
    <w:rsid w:val="00B96CC8"/>
    <w:rsid w:val="00B96FE7"/>
    <w:rsid w:val="00B97032"/>
    <w:rsid w:val="00B97D58"/>
    <w:rsid w:val="00BA0063"/>
    <w:rsid w:val="00BA018E"/>
    <w:rsid w:val="00BA036F"/>
    <w:rsid w:val="00BA083A"/>
    <w:rsid w:val="00BA0950"/>
    <w:rsid w:val="00BA0D7B"/>
    <w:rsid w:val="00BA0E5C"/>
    <w:rsid w:val="00BA10C5"/>
    <w:rsid w:val="00BA1329"/>
    <w:rsid w:val="00BA135A"/>
    <w:rsid w:val="00BA140D"/>
    <w:rsid w:val="00BA142F"/>
    <w:rsid w:val="00BA1753"/>
    <w:rsid w:val="00BA2177"/>
    <w:rsid w:val="00BA220B"/>
    <w:rsid w:val="00BA2667"/>
    <w:rsid w:val="00BA27EB"/>
    <w:rsid w:val="00BA2963"/>
    <w:rsid w:val="00BA29D6"/>
    <w:rsid w:val="00BA2B90"/>
    <w:rsid w:val="00BA2B9E"/>
    <w:rsid w:val="00BA335D"/>
    <w:rsid w:val="00BA3A57"/>
    <w:rsid w:val="00BA3D47"/>
    <w:rsid w:val="00BA3E13"/>
    <w:rsid w:val="00BA401C"/>
    <w:rsid w:val="00BA46F0"/>
    <w:rsid w:val="00BA4977"/>
    <w:rsid w:val="00BA5410"/>
    <w:rsid w:val="00BA54B5"/>
    <w:rsid w:val="00BA5754"/>
    <w:rsid w:val="00BA6347"/>
    <w:rsid w:val="00BA651C"/>
    <w:rsid w:val="00BA67FB"/>
    <w:rsid w:val="00BA6B9D"/>
    <w:rsid w:val="00BA6E1E"/>
    <w:rsid w:val="00BA7819"/>
    <w:rsid w:val="00BA781B"/>
    <w:rsid w:val="00BA7B02"/>
    <w:rsid w:val="00BA7B7D"/>
    <w:rsid w:val="00BA7E01"/>
    <w:rsid w:val="00BB10D3"/>
    <w:rsid w:val="00BB1533"/>
    <w:rsid w:val="00BB187E"/>
    <w:rsid w:val="00BB1903"/>
    <w:rsid w:val="00BB1A81"/>
    <w:rsid w:val="00BB1BC5"/>
    <w:rsid w:val="00BB1C7E"/>
    <w:rsid w:val="00BB1CAC"/>
    <w:rsid w:val="00BB28E4"/>
    <w:rsid w:val="00BB2EB9"/>
    <w:rsid w:val="00BB34FB"/>
    <w:rsid w:val="00BB36C9"/>
    <w:rsid w:val="00BB3AC6"/>
    <w:rsid w:val="00BB465E"/>
    <w:rsid w:val="00BB4660"/>
    <w:rsid w:val="00BB482B"/>
    <w:rsid w:val="00BB4A78"/>
    <w:rsid w:val="00BB4B9F"/>
    <w:rsid w:val="00BB4BD4"/>
    <w:rsid w:val="00BB4D4F"/>
    <w:rsid w:val="00BB4E1A"/>
    <w:rsid w:val="00BB4E39"/>
    <w:rsid w:val="00BB4EC6"/>
    <w:rsid w:val="00BB50D2"/>
    <w:rsid w:val="00BB514D"/>
    <w:rsid w:val="00BB539E"/>
    <w:rsid w:val="00BB53A9"/>
    <w:rsid w:val="00BB5788"/>
    <w:rsid w:val="00BB5993"/>
    <w:rsid w:val="00BB599C"/>
    <w:rsid w:val="00BB5F96"/>
    <w:rsid w:val="00BB60F5"/>
    <w:rsid w:val="00BB615D"/>
    <w:rsid w:val="00BB71FF"/>
    <w:rsid w:val="00BB7A68"/>
    <w:rsid w:val="00BB7AC8"/>
    <w:rsid w:val="00BB7BD1"/>
    <w:rsid w:val="00BB7F12"/>
    <w:rsid w:val="00BC015E"/>
    <w:rsid w:val="00BC0B43"/>
    <w:rsid w:val="00BC119D"/>
    <w:rsid w:val="00BC12B9"/>
    <w:rsid w:val="00BC131C"/>
    <w:rsid w:val="00BC156E"/>
    <w:rsid w:val="00BC15AE"/>
    <w:rsid w:val="00BC1ACB"/>
    <w:rsid w:val="00BC1E4D"/>
    <w:rsid w:val="00BC1E62"/>
    <w:rsid w:val="00BC2167"/>
    <w:rsid w:val="00BC238E"/>
    <w:rsid w:val="00BC26C6"/>
    <w:rsid w:val="00BC2BB2"/>
    <w:rsid w:val="00BC35C7"/>
    <w:rsid w:val="00BC3C2E"/>
    <w:rsid w:val="00BC3D80"/>
    <w:rsid w:val="00BC408B"/>
    <w:rsid w:val="00BC46D1"/>
    <w:rsid w:val="00BC50AD"/>
    <w:rsid w:val="00BC51C7"/>
    <w:rsid w:val="00BC521A"/>
    <w:rsid w:val="00BC5427"/>
    <w:rsid w:val="00BC5EA5"/>
    <w:rsid w:val="00BC6093"/>
    <w:rsid w:val="00BC64A4"/>
    <w:rsid w:val="00BC67B2"/>
    <w:rsid w:val="00BC74EA"/>
    <w:rsid w:val="00BC76AC"/>
    <w:rsid w:val="00BC78CF"/>
    <w:rsid w:val="00BC78F8"/>
    <w:rsid w:val="00BD0395"/>
    <w:rsid w:val="00BD0462"/>
    <w:rsid w:val="00BD097B"/>
    <w:rsid w:val="00BD0A9F"/>
    <w:rsid w:val="00BD0B4A"/>
    <w:rsid w:val="00BD0C21"/>
    <w:rsid w:val="00BD0DAD"/>
    <w:rsid w:val="00BD0ECB"/>
    <w:rsid w:val="00BD1187"/>
    <w:rsid w:val="00BD1239"/>
    <w:rsid w:val="00BD127F"/>
    <w:rsid w:val="00BD1770"/>
    <w:rsid w:val="00BD1DD6"/>
    <w:rsid w:val="00BD1E3E"/>
    <w:rsid w:val="00BD24AD"/>
    <w:rsid w:val="00BD29CA"/>
    <w:rsid w:val="00BD2AB7"/>
    <w:rsid w:val="00BD2AD1"/>
    <w:rsid w:val="00BD37F0"/>
    <w:rsid w:val="00BD3DCE"/>
    <w:rsid w:val="00BD402D"/>
    <w:rsid w:val="00BD46A3"/>
    <w:rsid w:val="00BD48A4"/>
    <w:rsid w:val="00BD4957"/>
    <w:rsid w:val="00BD4BD0"/>
    <w:rsid w:val="00BD4C2B"/>
    <w:rsid w:val="00BD53D2"/>
    <w:rsid w:val="00BD5412"/>
    <w:rsid w:val="00BD5418"/>
    <w:rsid w:val="00BD5BAA"/>
    <w:rsid w:val="00BD6035"/>
    <w:rsid w:val="00BD6060"/>
    <w:rsid w:val="00BD63EB"/>
    <w:rsid w:val="00BD65FD"/>
    <w:rsid w:val="00BD667F"/>
    <w:rsid w:val="00BD6991"/>
    <w:rsid w:val="00BD6A00"/>
    <w:rsid w:val="00BD77FE"/>
    <w:rsid w:val="00BD7B84"/>
    <w:rsid w:val="00BD7BCE"/>
    <w:rsid w:val="00BD7D50"/>
    <w:rsid w:val="00BE018F"/>
    <w:rsid w:val="00BE02C1"/>
    <w:rsid w:val="00BE0839"/>
    <w:rsid w:val="00BE0C7F"/>
    <w:rsid w:val="00BE101B"/>
    <w:rsid w:val="00BE182B"/>
    <w:rsid w:val="00BE1CB5"/>
    <w:rsid w:val="00BE1E81"/>
    <w:rsid w:val="00BE2155"/>
    <w:rsid w:val="00BE2511"/>
    <w:rsid w:val="00BE3025"/>
    <w:rsid w:val="00BE345A"/>
    <w:rsid w:val="00BE37E3"/>
    <w:rsid w:val="00BE3806"/>
    <w:rsid w:val="00BE3CC4"/>
    <w:rsid w:val="00BE444B"/>
    <w:rsid w:val="00BE4D5F"/>
    <w:rsid w:val="00BE50DE"/>
    <w:rsid w:val="00BE51CD"/>
    <w:rsid w:val="00BE54E6"/>
    <w:rsid w:val="00BE56C7"/>
    <w:rsid w:val="00BE5708"/>
    <w:rsid w:val="00BE5CF6"/>
    <w:rsid w:val="00BE5DFA"/>
    <w:rsid w:val="00BE5FB8"/>
    <w:rsid w:val="00BE6582"/>
    <w:rsid w:val="00BE6833"/>
    <w:rsid w:val="00BE6864"/>
    <w:rsid w:val="00BE68B5"/>
    <w:rsid w:val="00BE69FF"/>
    <w:rsid w:val="00BE6B52"/>
    <w:rsid w:val="00BE719A"/>
    <w:rsid w:val="00BE720A"/>
    <w:rsid w:val="00BE72EA"/>
    <w:rsid w:val="00BE774C"/>
    <w:rsid w:val="00BE7AD3"/>
    <w:rsid w:val="00BE7D57"/>
    <w:rsid w:val="00BF04A3"/>
    <w:rsid w:val="00BF05AB"/>
    <w:rsid w:val="00BF0705"/>
    <w:rsid w:val="00BF09DA"/>
    <w:rsid w:val="00BF0BA0"/>
    <w:rsid w:val="00BF0D73"/>
    <w:rsid w:val="00BF11E1"/>
    <w:rsid w:val="00BF1D32"/>
    <w:rsid w:val="00BF2199"/>
    <w:rsid w:val="00BF220E"/>
    <w:rsid w:val="00BF2465"/>
    <w:rsid w:val="00BF2ABC"/>
    <w:rsid w:val="00BF2B6D"/>
    <w:rsid w:val="00BF2BBC"/>
    <w:rsid w:val="00BF2F53"/>
    <w:rsid w:val="00BF30B3"/>
    <w:rsid w:val="00BF3A1C"/>
    <w:rsid w:val="00BF3B52"/>
    <w:rsid w:val="00BF3B85"/>
    <w:rsid w:val="00BF3CCB"/>
    <w:rsid w:val="00BF42ED"/>
    <w:rsid w:val="00BF4A48"/>
    <w:rsid w:val="00BF4BD5"/>
    <w:rsid w:val="00BF4C69"/>
    <w:rsid w:val="00BF50F5"/>
    <w:rsid w:val="00BF5922"/>
    <w:rsid w:val="00BF598A"/>
    <w:rsid w:val="00BF5A6E"/>
    <w:rsid w:val="00BF5B56"/>
    <w:rsid w:val="00BF5EE3"/>
    <w:rsid w:val="00BF5F55"/>
    <w:rsid w:val="00BF6BB9"/>
    <w:rsid w:val="00BF6D2F"/>
    <w:rsid w:val="00BF710C"/>
    <w:rsid w:val="00BF71BD"/>
    <w:rsid w:val="00BF737B"/>
    <w:rsid w:val="00BF75D6"/>
    <w:rsid w:val="00BF7740"/>
    <w:rsid w:val="00BF7797"/>
    <w:rsid w:val="00BF7D05"/>
    <w:rsid w:val="00BF7D6E"/>
    <w:rsid w:val="00BF7F4F"/>
    <w:rsid w:val="00C00026"/>
    <w:rsid w:val="00C00993"/>
    <w:rsid w:val="00C00CDC"/>
    <w:rsid w:val="00C00D68"/>
    <w:rsid w:val="00C00F3A"/>
    <w:rsid w:val="00C013DC"/>
    <w:rsid w:val="00C01604"/>
    <w:rsid w:val="00C01761"/>
    <w:rsid w:val="00C017BA"/>
    <w:rsid w:val="00C01A36"/>
    <w:rsid w:val="00C01E13"/>
    <w:rsid w:val="00C02000"/>
    <w:rsid w:val="00C02086"/>
    <w:rsid w:val="00C020DC"/>
    <w:rsid w:val="00C02B97"/>
    <w:rsid w:val="00C02DFA"/>
    <w:rsid w:val="00C03422"/>
    <w:rsid w:val="00C038DC"/>
    <w:rsid w:val="00C03DE6"/>
    <w:rsid w:val="00C0425F"/>
    <w:rsid w:val="00C04DCC"/>
    <w:rsid w:val="00C04EA9"/>
    <w:rsid w:val="00C051A0"/>
    <w:rsid w:val="00C05370"/>
    <w:rsid w:val="00C053A1"/>
    <w:rsid w:val="00C05EE9"/>
    <w:rsid w:val="00C06228"/>
    <w:rsid w:val="00C065F6"/>
    <w:rsid w:val="00C066EB"/>
    <w:rsid w:val="00C0692C"/>
    <w:rsid w:val="00C06A3E"/>
    <w:rsid w:val="00C06C50"/>
    <w:rsid w:val="00C070A2"/>
    <w:rsid w:val="00C0718F"/>
    <w:rsid w:val="00C0732A"/>
    <w:rsid w:val="00C0796D"/>
    <w:rsid w:val="00C10087"/>
    <w:rsid w:val="00C1021E"/>
    <w:rsid w:val="00C10446"/>
    <w:rsid w:val="00C105AD"/>
    <w:rsid w:val="00C1092E"/>
    <w:rsid w:val="00C10EB7"/>
    <w:rsid w:val="00C11116"/>
    <w:rsid w:val="00C1114C"/>
    <w:rsid w:val="00C111DF"/>
    <w:rsid w:val="00C119E5"/>
    <w:rsid w:val="00C11CF9"/>
    <w:rsid w:val="00C12200"/>
    <w:rsid w:val="00C1226B"/>
    <w:rsid w:val="00C12497"/>
    <w:rsid w:val="00C1252D"/>
    <w:rsid w:val="00C1296C"/>
    <w:rsid w:val="00C13073"/>
    <w:rsid w:val="00C131F7"/>
    <w:rsid w:val="00C133F8"/>
    <w:rsid w:val="00C1340C"/>
    <w:rsid w:val="00C135E7"/>
    <w:rsid w:val="00C13866"/>
    <w:rsid w:val="00C138AD"/>
    <w:rsid w:val="00C13AA4"/>
    <w:rsid w:val="00C14107"/>
    <w:rsid w:val="00C14123"/>
    <w:rsid w:val="00C144A3"/>
    <w:rsid w:val="00C1472D"/>
    <w:rsid w:val="00C15259"/>
    <w:rsid w:val="00C1549C"/>
    <w:rsid w:val="00C15AFF"/>
    <w:rsid w:val="00C15DAA"/>
    <w:rsid w:val="00C161B7"/>
    <w:rsid w:val="00C16619"/>
    <w:rsid w:val="00C16C5D"/>
    <w:rsid w:val="00C16D26"/>
    <w:rsid w:val="00C17015"/>
    <w:rsid w:val="00C17030"/>
    <w:rsid w:val="00C173FE"/>
    <w:rsid w:val="00C17464"/>
    <w:rsid w:val="00C17C17"/>
    <w:rsid w:val="00C17F1E"/>
    <w:rsid w:val="00C17FB0"/>
    <w:rsid w:val="00C204B2"/>
    <w:rsid w:val="00C204CD"/>
    <w:rsid w:val="00C204F9"/>
    <w:rsid w:val="00C20523"/>
    <w:rsid w:val="00C206BF"/>
    <w:rsid w:val="00C20738"/>
    <w:rsid w:val="00C207BA"/>
    <w:rsid w:val="00C20BDC"/>
    <w:rsid w:val="00C20DCA"/>
    <w:rsid w:val="00C20E85"/>
    <w:rsid w:val="00C20F88"/>
    <w:rsid w:val="00C211F1"/>
    <w:rsid w:val="00C21C13"/>
    <w:rsid w:val="00C21E07"/>
    <w:rsid w:val="00C21E63"/>
    <w:rsid w:val="00C221B4"/>
    <w:rsid w:val="00C22650"/>
    <w:rsid w:val="00C22929"/>
    <w:rsid w:val="00C22AAD"/>
    <w:rsid w:val="00C22C51"/>
    <w:rsid w:val="00C22D22"/>
    <w:rsid w:val="00C22D49"/>
    <w:rsid w:val="00C22E51"/>
    <w:rsid w:val="00C231D9"/>
    <w:rsid w:val="00C2369C"/>
    <w:rsid w:val="00C2482C"/>
    <w:rsid w:val="00C24AC2"/>
    <w:rsid w:val="00C24CDA"/>
    <w:rsid w:val="00C24FDB"/>
    <w:rsid w:val="00C25A50"/>
    <w:rsid w:val="00C25E41"/>
    <w:rsid w:val="00C25E49"/>
    <w:rsid w:val="00C25E7F"/>
    <w:rsid w:val="00C25F8B"/>
    <w:rsid w:val="00C26005"/>
    <w:rsid w:val="00C268E4"/>
    <w:rsid w:val="00C26B8E"/>
    <w:rsid w:val="00C26C6C"/>
    <w:rsid w:val="00C270A1"/>
    <w:rsid w:val="00C2746F"/>
    <w:rsid w:val="00C27CFA"/>
    <w:rsid w:val="00C3068C"/>
    <w:rsid w:val="00C30875"/>
    <w:rsid w:val="00C30880"/>
    <w:rsid w:val="00C30BD5"/>
    <w:rsid w:val="00C30BF6"/>
    <w:rsid w:val="00C3135B"/>
    <w:rsid w:val="00C31386"/>
    <w:rsid w:val="00C31632"/>
    <w:rsid w:val="00C31931"/>
    <w:rsid w:val="00C31B21"/>
    <w:rsid w:val="00C31BD6"/>
    <w:rsid w:val="00C31D67"/>
    <w:rsid w:val="00C31F4D"/>
    <w:rsid w:val="00C3237C"/>
    <w:rsid w:val="00C323D6"/>
    <w:rsid w:val="00C324A0"/>
    <w:rsid w:val="00C32679"/>
    <w:rsid w:val="00C3284C"/>
    <w:rsid w:val="00C32885"/>
    <w:rsid w:val="00C329F7"/>
    <w:rsid w:val="00C32CBC"/>
    <w:rsid w:val="00C32F7A"/>
    <w:rsid w:val="00C3303B"/>
    <w:rsid w:val="00C33058"/>
    <w:rsid w:val="00C33199"/>
    <w:rsid w:val="00C333D9"/>
    <w:rsid w:val="00C33E14"/>
    <w:rsid w:val="00C33F69"/>
    <w:rsid w:val="00C343B1"/>
    <w:rsid w:val="00C344FC"/>
    <w:rsid w:val="00C35226"/>
    <w:rsid w:val="00C3524B"/>
    <w:rsid w:val="00C3575F"/>
    <w:rsid w:val="00C3590C"/>
    <w:rsid w:val="00C35942"/>
    <w:rsid w:val="00C35DD7"/>
    <w:rsid w:val="00C36437"/>
    <w:rsid w:val="00C370DF"/>
    <w:rsid w:val="00C378D9"/>
    <w:rsid w:val="00C405EF"/>
    <w:rsid w:val="00C40849"/>
    <w:rsid w:val="00C40856"/>
    <w:rsid w:val="00C408ED"/>
    <w:rsid w:val="00C409C6"/>
    <w:rsid w:val="00C40A26"/>
    <w:rsid w:val="00C40E0E"/>
    <w:rsid w:val="00C40F28"/>
    <w:rsid w:val="00C4132D"/>
    <w:rsid w:val="00C4134C"/>
    <w:rsid w:val="00C42176"/>
    <w:rsid w:val="00C42853"/>
    <w:rsid w:val="00C42887"/>
    <w:rsid w:val="00C4297F"/>
    <w:rsid w:val="00C42B4A"/>
    <w:rsid w:val="00C42BF8"/>
    <w:rsid w:val="00C42DF9"/>
    <w:rsid w:val="00C43D61"/>
    <w:rsid w:val="00C43E75"/>
    <w:rsid w:val="00C43F71"/>
    <w:rsid w:val="00C443F5"/>
    <w:rsid w:val="00C4472C"/>
    <w:rsid w:val="00C44867"/>
    <w:rsid w:val="00C44CA4"/>
    <w:rsid w:val="00C453C7"/>
    <w:rsid w:val="00C456DD"/>
    <w:rsid w:val="00C45A4B"/>
    <w:rsid w:val="00C45A81"/>
    <w:rsid w:val="00C45F12"/>
    <w:rsid w:val="00C461F0"/>
    <w:rsid w:val="00C463D1"/>
    <w:rsid w:val="00C464F4"/>
    <w:rsid w:val="00C46511"/>
    <w:rsid w:val="00C46774"/>
    <w:rsid w:val="00C469DC"/>
    <w:rsid w:val="00C46ABF"/>
    <w:rsid w:val="00C46C74"/>
    <w:rsid w:val="00C46D2E"/>
    <w:rsid w:val="00C46D45"/>
    <w:rsid w:val="00C46D5A"/>
    <w:rsid w:val="00C46DFA"/>
    <w:rsid w:val="00C4707E"/>
    <w:rsid w:val="00C4730B"/>
    <w:rsid w:val="00C47323"/>
    <w:rsid w:val="00C47725"/>
    <w:rsid w:val="00C47A60"/>
    <w:rsid w:val="00C47D33"/>
    <w:rsid w:val="00C47DAA"/>
    <w:rsid w:val="00C47E09"/>
    <w:rsid w:val="00C47E4A"/>
    <w:rsid w:val="00C47EB0"/>
    <w:rsid w:val="00C50043"/>
    <w:rsid w:val="00C502F7"/>
    <w:rsid w:val="00C5066E"/>
    <w:rsid w:val="00C514DE"/>
    <w:rsid w:val="00C51D0C"/>
    <w:rsid w:val="00C51F8A"/>
    <w:rsid w:val="00C521A0"/>
    <w:rsid w:val="00C522E2"/>
    <w:rsid w:val="00C5236A"/>
    <w:rsid w:val="00C523B7"/>
    <w:rsid w:val="00C528CD"/>
    <w:rsid w:val="00C52C9A"/>
    <w:rsid w:val="00C53540"/>
    <w:rsid w:val="00C53705"/>
    <w:rsid w:val="00C53875"/>
    <w:rsid w:val="00C53AA5"/>
    <w:rsid w:val="00C53B46"/>
    <w:rsid w:val="00C53CE2"/>
    <w:rsid w:val="00C53D83"/>
    <w:rsid w:val="00C53FAA"/>
    <w:rsid w:val="00C5458F"/>
    <w:rsid w:val="00C5477E"/>
    <w:rsid w:val="00C548EC"/>
    <w:rsid w:val="00C54B18"/>
    <w:rsid w:val="00C54D9E"/>
    <w:rsid w:val="00C5519D"/>
    <w:rsid w:val="00C551F1"/>
    <w:rsid w:val="00C5582E"/>
    <w:rsid w:val="00C55992"/>
    <w:rsid w:val="00C559B3"/>
    <w:rsid w:val="00C55BE2"/>
    <w:rsid w:val="00C55D38"/>
    <w:rsid w:val="00C55DFC"/>
    <w:rsid w:val="00C55EF2"/>
    <w:rsid w:val="00C560DF"/>
    <w:rsid w:val="00C56401"/>
    <w:rsid w:val="00C56C81"/>
    <w:rsid w:val="00C5708A"/>
    <w:rsid w:val="00C57318"/>
    <w:rsid w:val="00C578E1"/>
    <w:rsid w:val="00C57BD9"/>
    <w:rsid w:val="00C57D0F"/>
    <w:rsid w:val="00C57F8D"/>
    <w:rsid w:val="00C604DF"/>
    <w:rsid w:val="00C60641"/>
    <w:rsid w:val="00C60B04"/>
    <w:rsid w:val="00C616B6"/>
    <w:rsid w:val="00C6261D"/>
    <w:rsid w:val="00C62C46"/>
    <w:rsid w:val="00C630DB"/>
    <w:rsid w:val="00C634D1"/>
    <w:rsid w:val="00C63844"/>
    <w:rsid w:val="00C63922"/>
    <w:rsid w:val="00C641DB"/>
    <w:rsid w:val="00C644EF"/>
    <w:rsid w:val="00C649C9"/>
    <w:rsid w:val="00C64B1A"/>
    <w:rsid w:val="00C64FF6"/>
    <w:rsid w:val="00C65161"/>
    <w:rsid w:val="00C651B6"/>
    <w:rsid w:val="00C65783"/>
    <w:rsid w:val="00C65794"/>
    <w:rsid w:val="00C65989"/>
    <w:rsid w:val="00C65ACE"/>
    <w:rsid w:val="00C65FEB"/>
    <w:rsid w:val="00C664AB"/>
    <w:rsid w:val="00C665E8"/>
    <w:rsid w:val="00C665FE"/>
    <w:rsid w:val="00C667D0"/>
    <w:rsid w:val="00C66A80"/>
    <w:rsid w:val="00C66C4F"/>
    <w:rsid w:val="00C66D15"/>
    <w:rsid w:val="00C67108"/>
    <w:rsid w:val="00C67491"/>
    <w:rsid w:val="00C675F0"/>
    <w:rsid w:val="00C6787D"/>
    <w:rsid w:val="00C67AA5"/>
    <w:rsid w:val="00C7017A"/>
    <w:rsid w:val="00C709C8"/>
    <w:rsid w:val="00C70A22"/>
    <w:rsid w:val="00C70D3F"/>
    <w:rsid w:val="00C711D7"/>
    <w:rsid w:val="00C713E7"/>
    <w:rsid w:val="00C71445"/>
    <w:rsid w:val="00C7158D"/>
    <w:rsid w:val="00C7175F"/>
    <w:rsid w:val="00C71835"/>
    <w:rsid w:val="00C71975"/>
    <w:rsid w:val="00C71AB8"/>
    <w:rsid w:val="00C71D2E"/>
    <w:rsid w:val="00C71FA3"/>
    <w:rsid w:val="00C720EF"/>
    <w:rsid w:val="00C7221F"/>
    <w:rsid w:val="00C72549"/>
    <w:rsid w:val="00C727C9"/>
    <w:rsid w:val="00C7287E"/>
    <w:rsid w:val="00C72C2A"/>
    <w:rsid w:val="00C72DCB"/>
    <w:rsid w:val="00C730BF"/>
    <w:rsid w:val="00C7378A"/>
    <w:rsid w:val="00C742DD"/>
    <w:rsid w:val="00C745C1"/>
    <w:rsid w:val="00C7460F"/>
    <w:rsid w:val="00C7476D"/>
    <w:rsid w:val="00C74B35"/>
    <w:rsid w:val="00C756A5"/>
    <w:rsid w:val="00C7573B"/>
    <w:rsid w:val="00C75BDC"/>
    <w:rsid w:val="00C75F96"/>
    <w:rsid w:val="00C7600D"/>
    <w:rsid w:val="00C761CE"/>
    <w:rsid w:val="00C76623"/>
    <w:rsid w:val="00C768B8"/>
    <w:rsid w:val="00C76A2B"/>
    <w:rsid w:val="00C7743F"/>
    <w:rsid w:val="00C776C2"/>
    <w:rsid w:val="00C778A8"/>
    <w:rsid w:val="00C77947"/>
    <w:rsid w:val="00C779CB"/>
    <w:rsid w:val="00C77D91"/>
    <w:rsid w:val="00C77DBB"/>
    <w:rsid w:val="00C77E71"/>
    <w:rsid w:val="00C77EB3"/>
    <w:rsid w:val="00C80064"/>
    <w:rsid w:val="00C80236"/>
    <w:rsid w:val="00C80D47"/>
    <w:rsid w:val="00C81173"/>
    <w:rsid w:val="00C81620"/>
    <w:rsid w:val="00C816A1"/>
    <w:rsid w:val="00C81B0F"/>
    <w:rsid w:val="00C82166"/>
    <w:rsid w:val="00C824BE"/>
    <w:rsid w:val="00C826C8"/>
    <w:rsid w:val="00C82AA8"/>
    <w:rsid w:val="00C82ACC"/>
    <w:rsid w:val="00C82B14"/>
    <w:rsid w:val="00C82B8C"/>
    <w:rsid w:val="00C82C65"/>
    <w:rsid w:val="00C82CAA"/>
    <w:rsid w:val="00C8338A"/>
    <w:rsid w:val="00C83A2E"/>
    <w:rsid w:val="00C84501"/>
    <w:rsid w:val="00C84683"/>
    <w:rsid w:val="00C84732"/>
    <w:rsid w:val="00C84A6F"/>
    <w:rsid w:val="00C85653"/>
    <w:rsid w:val="00C85888"/>
    <w:rsid w:val="00C85A0C"/>
    <w:rsid w:val="00C85D7E"/>
    <w:rsid w:val="00C85E43"/>
    <w:rsid w:val="00C85E48"/>
    <w:rsid w:val="00C85E7B"/>
    <w:rsid w:val="00C8658A"/>
    <w:rsid w:val="00C86A0E"/>
    <w:rsid w:val="00C86A0F"/>
    <w:rsid w:val="00C87219"/>
    <w:rsid w:val="00C875D3"/>
    <w:rsid w:val="00C8762E"/>
    <w:rsid w:val="00C87667"/>
    <w:rsid w:val="00C876CA"/>
    <w:rsid w:val="00C87763"/>
    <w:rsid w:val="00C87CE9"/>
    <w:rsid w:val="00C87D53"/>
    <w:rsid w:val="00C87E90"/>
    <w:rsid w:val="00C903BE"/>
    <w:rsid w:val="00C90873"/>
    <w:rsid w:val="00C90904"/>
    <w:rsid w:val="00C90ACD"/>
    <w:rsid w:val="00C90CF2"/>
    <w:rsid w:val="00C91011"/>
    <w:rsid w:val="00C91953"/>
    <w:rsid w:val="00C91BA1"/>
    <w:rsid w:val="00C91D1E"/>
    <w:rsid w:val="00C92124"/>
    <w:rsid w:val="00C92792"/>
    <w:rsid w:val="00C92804"/>
    <w:rsid w:val="00C92821"/>
    <w:rsid w:val="00C92946"/>
    <w:rsid w:val="00C92BD1"/>
    <w:rsid w:val="00C92EE3"/>
    <w:rsid w:val="00C936B0"/>
    <w:rsid w:val="00C9376F"/>
    <w:rsid w:val="00C9413D"/>
    <w:rsid w:val="00C94474"/>
    <w:rsid w:val="00C95275"/>
    <w:rsid w:val="00C954A9"/>
    <w:rsid w:val="00C95D4A"/>
    <w:rsid w:val="00C963E3"/>
    <w:rsid w:val="00C966FB"/>
    <w:rsid w:val="00C96F5C"/>
    <w:rsid w:val="00C96F63"/>
    <w:rsid w:val="00C978CA"/>
    <w:rsid w:val="00C97A43"/>
    <w:rsid w:val="00C97A54"/>
    <w:rsid w:val="00C97B3B"/>
    <w:rsid w:val="00C97DCF"/>
    <w:rsid w:val="00C97F65"/>
    <w:rsid w:val="00CA0371"/>
    <w:rsid w:val="00CA0456"/>
    <w:rsid w:val="00CA0814"/>
    <w:rsid w:val="00CA081E"/>
    <w:rsid w:val="00CA0BEA"/>
    <w:rsid w:val="00CA1961"/>
    <w:rsid w:val="00CA2102"/>
    <w:rsid w:val="00CA2C56"/>
    <w:rsid w:val="00CA2D63"/>
    <w:rsid w:val="00CA2DFA"/>
    <w:rsid w:val="00CA2FF3"/>
    <w:rsid w:val="00CA33D7"/>
    <w:rsid w:val="00CA34A6"/>
    <w:rsid w:val="00CA374B"/>
    <w:rsid w:val="00CA3789"/>
    <w:rsid w:val="00CA382A"/>
    <w:rsid w:val="00CA389F"/>
    <w:rsid w:val="00CA3D26"/>
    <w:rsid w:val="00CA424B"/>
    <w:rsid w:val="00CA45D6"/>
    <w:rsid w:val="00CA4EB7"/>
    <w:rsid w:val="00CA515A"/>
    <w:rsid w:val="00CA59AD"/>
    <w:rsid w:val="00CA59CF"/>
    <w:rsid w:val="00CA5ABD"/>
    <w:rsid w:val="00CA5B23"/>
    <w:rsid w:val="00CA5B3E"/>
    <w:rsid w:val="00CA646E"/>
    <w:rsid w:val="00CA6894"/>
    <w:rsid w:val="00CA68EB"/>
    <w:rsid w:val="00CA6C17"/>
    <w:rsid w:val="00CA6E3F"/>
    <w:rsid w:val="00CA72D1"/>
    <w:rsid w:val="00CA7872"/>
    <w:rsid w:val="00CA7889"/>
    <w:rsid w:val="00CA7CB4"/>
    <w:rsid w:val="00CA7CC0"/>
    <w:rsid w:val="00CB00EB"/>
    <w:rsid w:val="00CB0342"/>
    <w:rsid w:val="00CB0523"/>
    <w:rsid w:val="00CB0950"/>
    <w:rsid w:val="00CB0A42"/>
    <w:rsid w:val="00CB0A85"/>
    <w:rsid w:val="00CB0B9B"/>
    <w:rsid w:val="00CB0BF1"/>
    <w:rsid w:val="00CB0CFB"/>
    <w:rsid w:val="00CB13A6"/>
    <w:rsid w:val="00CB1965"/>
    <w:rsid w:val="00CB1ECD"/>
    <w:rsid w:val="00CB2198"/>
    <w:rsid w:val="00CB23DE"/>
    <w:rsid w:val="00CB249E"/>
    <w:rsid w:val="00CB3099"/>
    <w:rsid w:val="00CB33D9"/>
    <w:rsid w:val="00CB34F0"/>
    <w:rsid w:val="00CB393F"/>
    <w:rsid w:val="00CB3EDA"/>
    <w:rsid w:val="00CB3FD0"/>
    <w:rsid w:val="00CB40A3"/>
    <w:rsid w:val="00CB43B9"/>
    <w:rsid w:val="00CB4817"/>
    <w:rsid w:val="00CB49C4"/>
    <w:rsid w:val="00CB4A47"/>
    <w:rsid w:val="00CB4CDB"/>
    <w:rsid w:val="00CB4D4B"/>
    <w:rsid w:val="00CB4EF0"/>
    <w:rsid w:val="00CB55AA"/>
    <w:rsid w:val="00CB5D1F"/>
    <w:rsid w:val="00CB5D74"/>
    <w:rsid w:val="00CB5F86"/>
    <w:rsid w:val="00CB602E"/>
    <w:rsid w:val="00CB603B"/>
    <w:rsid w:val="00CB6170"/>
    <w:rsid w:val="00CB6C4D"/>
    <w:rsid w:val="00CB6E2F"/>
    <w:rsid w:val="00CB6FD2"/>
    <w:rsid w:val="00CB74FE"/>
    <w:rsid w:val="00CB7A41"/>
    <w:rsid w:val="00CB7E90"/>
    <w:rsid w:val="00CC03B2"/>
    <w:rsid w:val="00CC040B"/>
    <w:rsid w:val="00CC0F79"/>
    <w:rsid w:val="00CC1025"/>
    <w:rsid w:val="00CC139E"/>
    <w:rsid w:val="00CC161D"/>
    <w:rsid w:val="00CC197A"/>
    <w:rsid w:val="00CC198B"/>
    <w:rsid w:val="00CC1BE8"/>
    <w:rsid w:val="00CC1CF6"/>
    <w:rsid w:val="00CC1E35"/>
    <w:rsid w:val="00CC1F74"/>
    <w:rsid w:val="00CC1FED"/>
    <w:rsid w:val="00CC26C9"/>
    <w:rsid w:val="00CC28A8"/>
    <w:rsid w:val="00CC28BC"/>
    <w:rsid w:val="00CC3738"/>
    <w:rsid w:val="00CC3BD3"/>
    <w:rsid w:val="00CC3EA0"/>
    <w:rsid w:val="00CC44CA"/>
    <w:rsid w:val="00CC45A7"/>
    <w:rsid w:val="00CC48FF"/>
    <w:rsid w:val="00CC4A07"/>
    <w:rsid w:val="00CC4F7A"/>
    <w:rsid w:val="00CC51A4"/>
    <w:rsid w:val="00CC5A54"/>
    <w:rsid w:val="00CC5C9E"/>
    <w:rsid w:val="00CC62EC"/>
    <w:rsid w:val="00CC65F9"/>
    <w:rsid w:val="00CC6816"/>
    <w:rsid w:val="00CC6DB1"/>
    <w:rsid w:val="00CC6DB4"/>
    <w:rsid w:val="00CC6DBF"/>
    <w:rsid w:val="00CC7053"/>
    <w:rsid w:val="00CC714F"/>
    <w:rsid w:val="00CC77EC"/>
    <w:rsid w:val="00CC791E"/>
    <w:rsid w:val="00CC7D9A"/>
    <w:rsid w:val="00CC7FBB"/>
    <w:rsid w:val="00CD005C"/>
    <w:rsid w:val="00CD0365"/>
    <w:rsid w:val="00CD0823"/>
    <w:rsid w:val="00CD0D24"/>
    <w:rsid w:val="00CD0FA5"/>
    <w:rsid w:val="00CD1806"/>
    <w:rsid w:val="00CD19DA"/>
    <w:rsid w:val="00CD2228"/>
    <w:rsid w:val="00CD2863"/>
    <w:rsid w:val="00CD28EC"/>
    <w:rsid w:val="00CD290D"/>
    <w:rsid w:val="00CD2964"/>
    <w:rsid w:val="00CD2D06"/>
    <w:rsid w:val="00CD30F6"/>
    <w:rsid w:val="00CD32D1"/>
    <w:rsid w:val="00CD3AA2"/>
    <w:rsid w:val="00CD3E2D"/>
    <w:rsid w:val="00CD4D2E"/>
    <w:rsid w:val="00CD5066"/>
    <w:rsid w:val="00CD56F4"/>
    <w:rsid w:val="00CD58EB"/>
    <w:rsid w:val="00CD598A"/>
    <w:rsid w:val="00CD7169"/>
    <w:rsid w:val="00CD71DA"/>
    <w:rsid w:val="00CD760D"/>
    <w:rsid w:val="00CD767B"/>
    <w:rsid w:val="00CD7A23"/>
    <w:rsid w:val="00CD7B6D"/>
    <w:rsid w:val="00CE01BF"/>
    <w:rsid w:val="00CE02B3"/>
    <w:rsid w:val="00CE0370"/>
    <w:rsid w:val="00CE051D"/>
    <w:rsid w:val="00CE0600"/>
    <w:rsid w:val="00CE08DF"/>
    <w:rsid w:val="00CE08EE"/>
    <w:rsid w:val="00CE12C3"/>
    <w:rsid w:val="00CE1335"/>
    <w:rsid w:val="00CE17B7"/>
    <w:rsid w:val="00CE1806"/>
    <w:rsid w:val="00CE1AC1"/>
    <w:rsid w:val="00CE1B28"/>
    <w:rsid w:val="00CE1E42"/>
    <w:rsid w:val="00CE253F"/>
    <w:rsid w:val="00CE27F7"/>
    <w:rsid w:val="00CE2E71"/>
    <w:rsid w:val="00CE3159"/>
    <w:rsid w:val="00CE3850"/>
    <w:rsid w:val="00CE3CCF"/>
    <w:rsid w:val="00CE3D39"/>
    <w:rsid w:val="00CE4461"/>
    <w:rsid w:val="00CE4746"/>
    <w:rsid w:val="00CE493D"/>
    <w:rsid w:val="00CE4993"/>
    <w:rsid w:val="00CE4EB8"/>
    <w:rsid w:val="00CE5854"/>
    <w:rsid w:val="00CE5E3A"/>
    <w:rsid w:val="00CE5ECF"/>
    <w:rsid w:val="00CE60FF"/>
    <w:rsid w:val="00CE69BB"/>
    <w:rsid w:val="00CE6D09"/>
    <w:rsid w:val="00CE7034"/>
    <w:rsid w:val="00CE745B"/>
    <w:rsid w:val="00CE75EA"/>
    <w:rsid w:val="00CE794C"/>
    <w:rsid w:val="00CE7C8A"/>
    <w:rsid w:val="00CF03B5"/>
    <w:rsid w:val="00CF03D7"/>
    <w:rsid w:val="00CF0686"/>
    <w:rsid w:val="00CF06D6"/>
    <w:rsid w:val="00CF07F0"/>
    <w:rsid w:val="00CF07FA"/>
    <w:rsid w:val="00CF0AEE"/>
    <w:rsid w:val="00CF0BB2"/>
    <w:rsid w:val="00CF0C03"/>
    <w:rsid w:val="00CF0D0D"/>
    <w:rsid w:val="00CF0DF6"/>
    <w:rsid w:val="00CF0E3D"/>
    <w:rsid w:val="00CF113B"/>
    <w:rsid w:val="00CF14A5"/>
    <w:rsid w:val="00CF16EE"/>
    <w:rsid w:val="00CF192E"/>
    <w:rsid w:val="00CF1AFA"/>
    <w:rsid w:val="00CF1C3B"/>
    <w:rsid w:val="00CF21CC"/>
    <w:rsid w:val="00CF2268"/>
    <w:rsid w:val="00CF2DE6"/>
    <w:rsid w:val="00CF2F78"/>
    <w:rsid w:val="00CF319D"/>
    <w:rsid w:val="00CF31BB"/>
    <w:rsid w:val="00CF3435"/>
    <w:rsid w:val="00CF3691"/>
    <w:rsid w:val="00CF36F6"/>
    <w:rsid w:val="00CF38C0"/>
    <w:rsid w:val="00CF3E2E"/>
    <w:rsid w:val="00CF3EE8"/>
    <w:rsid w:val="00CF415E"/>
    <w:rsid w:val="00CF41B6"/>
    <w:rsid w:val="00CF41C8"/>
    <w:rsid w:val="00CF4414"/>
    <w:rsid w:val="00CF4727"/>
    <w:rsid w:val="00CF497C"/>
    <w:rsid w:val="00CF4CEC"/>
    <w:rsid w:val="00CF4D83"/>
    <w:rsid w:val="00CF5442"/>
    <w:rsid w:val="00CF56E2"/>
    <w:rsid w:val="00CF5BCD"/>
    <w:rsid w:val="00CF5ED4"/>
    <w:rsid w:val="00CF621A"/>
    <w:rsid w:val="00CF6325"/>
    <w:rsid w:val="00CF77B3"/>
    <w:rsid w:val="00CF77F7"/>
    <w:rsid w:val="00CF7ABC"/>
    <w:rsid w:val="00CF7E22"/>
    <w:rsid w:val="00D001AB"/>
    <w:rsid w:val="00D0035C"/>
    <w:rsid w:val="00D00A21"/>
    <w:rsid w:val="00D00BC2"/>
    <w:rsid w:val="00D00FB9"/>
    <w:rsid w:val="00D01737"/>
    <w:rsid w:val="00D01A04"/>
    <w:rsid w:val="00D02017"/>
    <w:rsid w:val="00D0281E"/>
    <w:rsid w:val="00D02BC8"/>
    <w:rsid w:val="00D02CA3"/>
    <w:rsid w:val="00D02CF9"/>
    <w:rsid w:val="00D02EDD"/>
    <w:rsid w:val="00D032A3"/>
    <w:rsid w:val="00D03466"/>
    <w:rsid w:val="00D03722"/>
    <w:rsid w:val="00D0379B"/>
    <w:rsid w:val="00D0380A"/>
    <w:rsid w:val="00D03871"/>
    <w:rsid w:val="00D03934"/>
    <w:rsid w:val="00D03D16"/>
    <w:rsid w:val="00D03F04"/>
    <w:rsid w:val="00D04033"/>
    <w:rsid w:val="00D041F9"/>
    <w:rsid w:val="00D04705"/>
    <w:rsid w:val="00D04766"/>
    <w:rsid w:val="00D04782"/>
    <w:rsid w:val="00D0488B"/>
    <w:rsid w:val="00D04908"/>
    <w:rsid w:val="00D0496C"/>
    <w:rsid w:val="00D04A37"/>
    <w:rsid w:val="00D04AAE"/>
    <w:rsid w:val="00D04BEF"/>
    <w:rsid w:val="00D04CD7"/>
    <w:rsid w:val="00D04D0E"/>
    <w:rsid w:val="00D04E96"/>
    <w:rsid w:val="00D04F61"/>
    <w:rsid w:val="00D05283"/>
    <w:rsid w:val="00D052A3"/>
    <w:rsid w:val="00D0543B"/>
    <w:rsid w:val="00D057CA"/>
    <w:rsid w:val="00D05D53"/>
    <w:rsid w:val="00D05FA1"/>
    <w:rsid w:val="00D06907"/>
    <w:rsid w:val="00D06A68"/>
    <w:rsid w:val="00D06E56"/>
    <w:rsid w:val="00D07413"/>
    <w:rsid w:val="00D07846"/>
    <w:rsid w:val="00D07B84"/>
    <w:rsid w:val="00D07E64"/>
    <w:rsid w:val="00D07EEE"/>
    <w:rsid w:val="00D07FEA"/>
    <w:rsid w:val="00D10712"/>
    <w:rsid w:val="00D10F51"/>
    <w:rsid w:val="00D1122C"/>
    <w:rsid w:val="00D112B6"/>
    <w:rsid w:val="00D1144E"/>
    <w:rsid w:val="00D11744"/>
    <w:rsid w:val="00D11785"/>
    <w:rsid w:val="00D11EB3"/>
    <w:rsid w:val="00D125A1"/>
    <w:rsid w:val="00D12B42"/>
    <w:rsid w:val="00D1341D"/>
    <w:rsid w:val="00D13441"/>
    <w:rsid w:val="00D134F2"/>
    <w:rsid w:val="00D13726"/>
    <w:rsid w:val="00D1380B"/>
    <w:rsid w:val="00D144FB"/>
    <w:rsid w:val="00D14CE0"/>
    <w:rsid w:val="00D14D72"/>
    <w:rsid w:val="00D14FBF"/>
    <w:rsid w:val="00D150E7"/>
    <w:rsid w:val="00D15185"/>
    <w:rsid w:val="00D16013"/>
    <w:rsid w:val="00D161AA"/>
    <w:rsid w:val="00D16213"/>
    <w:rsid w:val="00D16957"/>
    <w:rsid w:val="00D16BD4"/>
    <w:rsid w:val="00D16D85"/>
    <w:rsid w:val="00D16E30"/>
    <w:rsid w:val="00D17DE4"/>
    <w:rsid w:val="00D200A1"/>
    <w:rsid w:val="00D2013A"/>
    <w:rsid w:val="00D204EC"/>
    <w:rsid w:val="00D20B50"/>
    <w:rsid w:val="00D20C40"/>
    <w:rsid w:val="00D20EA3"/>
    <w:rsid w:val="00D212E4"/>
    <w:rsid w:val="00D21344"/>
    <w:rsid w:val="00D21768"/>
    <w:rsid w:val="00D21B52"/>
    <w:rsid w:val="00D21CE1"/>
    <w:rsid w:val="00D21D38"/>
    <w:rsid w:val="00D21FDC"/>
    <w:rsid w:val="00D22443"/>
    <w:rsid w:val="00D225D9"/>
    <w:rsid w:val="00D227C1"/>
    <w:rsid w:val="00D22883"/>
    <w:rsid w:val="00D22AB3"/>
    <w:rsid w:val="00D22C3C"/>
    <w:rsid w:val="00D22C7E"/>
    <w:rsid w:val="00D22E8B"/>
    <w:rsid w:val="00D23336"/>
    <w:rsid w:val="00D23568"/>
    <w:rsid w:val="00D23BDD"/>
    <w:rsid w:val="00D23C46"/>
    <w:rsid w:val="00D23DC1"/>
    <w:rsid w:val="00D23DFF"/>
    <w:rsid w:val="00D23F7B"/>
    <w:rsid w:val="00D24410"/>
    <w:rsid w:val="00D24420"/>
    <w:rsid w:val="00D251AD"/>
    <w:rsid w:val="00D25DBA"/>
    <w:rsid w:val="00D262A3"/>
    <w:rsid w:val="00D26714"/>
    <w:rsid w:val="00D26783"/>
    <w:rsid w:val="00D26797"/>
    <w:rsid w:val="00D26C2D"/>
    <w:rsid w:val="00D2745F"/>
    <w:rsid w:val="00D27478"/>
    <w:rsid w:val="00D274F3"/>
    <w:rsid w:val="00D27B75"/>
    <w:rsid w:val="00D27CE3"/>
    <w:rsid w:val="00D27DB8"/>
    <w:rsid w:val="00D27FFE"/>
    <w:rsid w:val="00D305A3"/>
    <w:rsid w:val="00D30926"/>
    <w:rsid w:val="00D309F7"/>
    <w:rsid w:val="00D30AC7"/>
    <w:rsid w:val="00D3117F"/>
    <w:rsid w:val="00D3132F"/>
    <w:rsid w:val="00D3168A"/>
    <w:rsid w:val="00D31987"/>
    <w:rsid w:val="00D325DD"/>
    <w:rsid w:val="00D32BD4"/>
    <w:rsid w:val="00D32F77"/>
    <w:rsid w:val="00D33305"/>
    <w:rsid w:val="00D334F0"/>
    <w:rsid w:val="00D337D1"/>
    <w:rsid w:val="00D338B0"/>
    <w:rsid w:val="00D33B3B"/>
    <w:rsid w:val="00D33D24"/>
    <w:rsid w:val="00D33FEB"/>
    <w:rsid w:val="00D34073"/>
    <w:rsid w:val="00D3444A"/>
    <w:rsid w:val="00D34637"/>
    <w:rsid w:val="00D346DE"/>
    <w:rsid w:val="00D34759"/>
    <w:rsid w:val="00D34980"/>
    <w:rsid w:val="00D35455"/>
    <w:rsid w:val="00D35638"/>
    <w:rsid w:val="00D35932"/>
    <w:rsid w:val="00D35949"/>
    <w:rsid w:val="00D359B1"/>
    <w:rsid w:val="00D35B63"/>
    <w:rsid w:val="00D35C90"/>
    <w:rsid w:val="00D3609B"/>
    <w:rsid w:val="00D361AF"/>
    <w:rsid w:val="00D3627B"/>
    <w:rsid w:val="00D362A9"/>
    <w:rsid w:val="00D362D9"/>
    <w:rsid w:val="00D3649B"/>
    <w:rsid w:val="00D36720"/>
    <w:rsid w:val="00D3706C"/>
    <w:rsid w:val="00D3734D"/>
    <w:rsid w:val="00D37468"/>
    <w:rsid w:val="00D37492"/>
    <w:rsid w:val="00D374E3"/>
    <w:rsid w:val="00D40460"/>
    <w:rsid w:val="00D405AA"/>
    <w:rsid w:val="00D406C0"/>
    <w:rsid w:val="00D407B0"/>
    <w:rsid w:val="00D40FE1"/>
    <w:rsid w:val="00D4136F"/>
    <w:rsid w:val="00D4198D"/>
    <w:rsid w:val="00D41A12"/>
    <w:rsid w:val="00D41F91"/>
    <w:rsid w:val="00D420F9"/>
    <w:rsid w:val="00D42214"/>
    <w:rsid w:val="00D422B6"/>
    <w:rsid w:val="00D42572"/>
    <w:rsid w:val="00D42AD9"/>
    <w:rsid w:val="00D43035"/>
    <w:rsid w:val="00D4315A"/>
    <w:rsid w:val="00D431BB"/>
    <w:rsid w:val="00D43250"/>
    <w:rsid w:val="00D43BCC"/>
    <w:rsid w:val="00D43F15"/>
    <w:rsid w:val="00D43FF3"/>
    <w:rsid w:val="00D4417E"/>
    <w:rsid w:val="00D44317"/>
    <w:rsid w:val="00D44847"/>
    <w:rsid w:val="00D44C46"/>
    <w:rsid w:val="00D44ED0"/>
    <w:rsid w:val="00D45185"/>
    <w:rsid w:val="00D451E3"/>
    <w:rsid w:val="00D455FC"/>
    <w:rsid w:val="00D456F6"/>
    <w:rsid w:val="00D45758"/>
    <w:rsid w:val="00D458B4"/>
    <w:rsid w:val="00D4590E"/>
    <w:rsid w:val="00D45F85"/>
    <w:rsid w:val="00D46189"/>
    <w:rsid w:val="00D46281"/>
    <w:rsid w:val="00D46432"/>
    <w:rsid w:val="00D466D1"/>
    <w:rsid w:val="00D468C0"/>
    <w:rsid w:val="00D46DFA"/>
    <w:rsid w:val="00D46FCA"/>
    <w:rsid w:val="00D46FD0"/>
    <w:rsid w:val="00D47038"/>
    <w:rsid w:val="00D470DC"/>
    <w:rsid w:val="00D472BD"/>
    <w:rsid w:val="00D473CE"/>
    <w:rsid w:val="00D475EB"/>
    <w:rsid w:val="00D476C3"/>
    <w:rsid w:val="00D47970"/>
    <w:rsid w:val="00D500EE"/>
    <w:rsid w:val="00D5022E"/>
    <w:rsid w:val="00D50452"/>
    <w:rsid w:val="00D505AD"/>
    <w:rsid w:val="00D50661"/>
    <w:rsid w:val="00D50930"/>
    <w:rsid w:val="00D50D9F"/>
    <w:rsid w:val="00D5122F"/>
    <w:rsid w:val="00D513D7"/>
    <w:rsid w:val="00D51B52"/>
    <w:rsid w:val="00D51CD7"/>
    <w:rsid w:val="00D51E34"/>
    <w:rsid w:val="00D51F64"/>
    <w:rsid w:val="00D5292E"/>
    <w:rsid w:val="00D52B0A"/>
    <w:rsid w:val="00D52DC2"/>
    <w:rsid w:val="00D52DD6"/>
    <w:rsid w:val="00D52DF7"/>
    <w:rsid w:val="00D53093"/>
    <w:rsid w:val="00D5328C"/>
    <w:rsid w:val="00D53387"/>
    <w:rsid w:val="00D535B7"/>
    <w:rsid w:val="00D53973"/>
    <w:rsid w:val="00D53BCC"/>
    <w:rsid w:val="00D54B68"/>
    <w:rsid w:val="00D54C9E"/>
    <w:rsid w:val="00D55453"/>
    <w:rsid w:val="00D554A2"/>
    <w:rsid w:val="00D55F08"/>
    <w:rsid w:val="00D56517"/>
    <w:rsid w:val="00D56AFB"/>
    <w:rsid w:val="00D56B09"/>
    <w:rsid w:val="00D56FAE"/>
    <w:rsid w:val="00D57023"/>
    <w:rsid w:val="00D57144"/>
    <w:rsid w:val="00D57B7A"/>
    <w:rsid w:val="00D60705"/>
    <w:rsid w:val="00D60816"/>
    <w:rsid w:val="00D6102E"/>
    <w:rsid w:val="00D6108B"/>
    <w:rsid w:val="00D610C6"/>
    <w:rsid w:val="00D61156"/>
    <w:rsid w:val="00D612D5"/>
    <w:rsid w:val="00D615EA"/>
    <w:rsid w:val="00D61EBA"/>
    <w:rsid w:val="00D6204B"/>
    <w:rsid w:val="00D6219F"/>
    <w:rsid w:val="00D62297"/>
    <w:rsid w:val="00D62587"/>
    <w:rsid w:val="00D62AEC"/>
    <w:rsid w:val="00D62C0B"/>
    <w:rsid w:val="00D633DD"/>
    <w:rsid w:val="00D63723"/>
    <w:rsid w:val="00D6394E"/>
    <w:rsid w:val="00D64034"/>
    <w:rsid w:val="00D64559"/>
    <w:rsid w:val="00D64568"/>
    <w:rsid w:val="00D64646"/>
    <w:rsid w:val="00D64786"/>
    <w:rsid w:val="00D64B45"/>
    <w:rsid w:val="00D64E08"/>
    <w:rsid w:val="00D64F65"/>
    <w:rsid w:val="00D6525A"/>
    <w:rsid w:val="00D6537E"/>
    <w:rsid w:val="00D65475"/>
    <w:rsid w:val="00D65982"/>
    <w:rsid w:val="00D65A8F"/>
    <w:rsid w:val="00D65DFC"/>
    <w:rsid w:val="00D667E0"/>
    <w:rsid w:val="00D66C0B"/>
    <w:rsid w:val="00D67BB9"/>
    <w:rsid w:val="00D67D8D"/>
    <w:rsid w:val="00D67DAF"/>
    <w:rsid w:val="00D67ED9"/>
    <w:rsid w:val="00D702A3"/>
    <w:rsid w:val="00D703E5"/>
    <w:rsid w:val="00D70CA1"/>
    <w:rsid w:val="00D70D24"/>
    <w:rsid w:val="00D70DFB"/>
    <w:rsid w:val="00D7115A"/>
    <w:rsid w:val="00D71326"/>
    <w:rsid w:val="00D714E6"/>
    <w:rsid w:val="00D71814"/>
    <w:rsid w:val="00D71D0E"/>
    <w:rsid w:val="00D71E7F"/>
    <w:rsid w:val="00D7219F"/>
    <w:rsid w:val="00D7232C"/>
    <w:rsid w:val="00D7245A"/>
    <w:rsid w:val="00D7283C"/>
    <w:rsid w:val="00D72865"/>
    <w:rsid w:val="00D72B50"/>
    <w:rsid w:val="00D72CB4"/>
    <w:rsid w:val="00D72DF3"/>
    <w:rsid w:val="00D7370E"/>
    <w:rsid w:val="00D737BA"/>
    <w:rsid w:val="00D737DD"/>
    <w:rsid w:val="00D73920"/>
    <w:rsid w:val="00D74143"/>
    <w:rsid w:val="00D74387"/>
    <w:rsid w:val="00D74467"/>
    <w:rsid w:val="00D748D7"/>
    <w:rsid w:val="00D74E08"/>
    <w:rsid w:val="00D750E9"/>
    <w:rsid w:val="00D75230"/>
    <w:rsid w:val="00D75394"/>
    <w:rsid w:val="00D75B1C"/>
    <w:rsid w:val="00D75D06"/>
    <w:rsid w:val="00D75FDB"/>
    <w:rsid w:val="00D76389"/>
    <w:rsid w:val="00D766DF"/>
    <w:rsid w:val="00D7673E"/>
    <w:rsid w:val="00D7679F"/>
    <w:rsid w:val="00D76D9A"/>
    <w:rsid w:val="00D76E37"/>
    <w:rsid w:val="00D76F4B"/>
    <w:rsid w:val="00D76FAF"/>
    <w:rsid w:val="00D7772E"/>
    <w:rsid w:val="00D77E21"/>
    <w:rsid w:val="00D806E9"/>
    <w:rsid w:val="00D807A8"/>
    <w:rsid w:val="00D8098E"/>
    <w:rsid w:val="00D809BB"/>
    <w:rsid w:val="00D80A64"/>
    <w:rsid w:val="00D80A89"/>
    <w:rsid w:val="00D81305"/>
    <w:rsid w:val="00D813F1"/>
    <w:rsid w:val="00D8155A"/>
    <w:rsid w:val="00D816C0"/>
    <w:rsid w:val="00D81718"/>
    <w:rsid w:val="00D81BCA"/>
    <w:rsid w:val="00D81C44"/>
    <w:rsid w:val="00D81C64"/>
    <w:rsid w:val="00D8206C"/>
    <w:rsid w:val="00D822FD"/>
    <w:rsid w:val="00D8267D"/>
    <w:rsid w:val="00D82814"/>
    <w:rsid w:val="00D82BD1"/>
    <w:rsid w:val="00D830B9"/>
    <w:rsid w:val="00D833EB"/>
    <w:rsid w:val="00D837FD"/>
    <w:rsid w:val="00D83884"/>
    <w:rsid w:val="00D83B7B"/>
    <w:rsid w:val="00D83C7A"/>
    <w:rsid w:val="00D83CA2"/>
    <w:rsid w:val="00D83E42"/>
    <w:rsid w:val="00D84275"/>
    <w:rsid w:val="00D8439B"/>
    <w:rsid w:val="00D8444F"/>
    <w:rsid w:val="00D85047"/>
    <w:rsid w:val="00D85534"/>
    <w:rsid w:val="00D85558"/>
    <w:rsid w:val="00D85612"/>
    <w:rsid w:val="00D85756"/>
    <w:rsid w:val="00D85B77"/>
    <w:rsid w:val="00D85D4B"/>
    <w:rsid w:val="00D861A1"/>
    <w:rsid w:val="00D86547"/>
    <w:rsid w:val="00D86778"/>
    <w:rsid w:val="00D8689D"/>
    <w:rsid w:val="00D868CB"/>
    <w:rsid w:val="00D86ADB"/>
    <w:rsid w:val="00D86D85"/>
    <w:rsid w:val="00D871E1"/>
    <w:rsid w:val="00D8726E"/>
    <w:rsid w:val="00D876FC"/>
    <w:rsid w:val="00D878F2"/>
    <w:rsid w:val="00D90046"/>
    <w:rsid w:val="00D90288"/>
    <w:rsid w:val="00D90436"/>
    <w:rsid w:val="00D90479"/>
    <w:rsid w:val="00D90788"/>
    <w:rsid w:val="00D9092B"/>
    <w:rsid w:val="00D90ED6"/>
    <w:rsid w:val="00D915F0"/>
    <w:rsid w:val="00D91F10"/>
    <w:rsid w:val="00D92372"/>
    <w:rsid w:val="00D925AD"/>
    <w:rsid w:val="00D927BB"/>
    <w:rsid w:val="00D927D6"/>
    <w:rsid w:val="00D92893"/>
    <w:rsid w:val="00D92927"/>
    <w:rsid w:val="00D92F54"/>
    <w:rsid w:val="00D9301C"/>
    <w:rsid w:val="00D930C0"/>
    <w:rsid w:val="00D93240"/>
    <w:rsid w:val="00D9332B"/>
    <w:rsid w:val="00D9357D"/>
    <w:rsid w:val="00D935A8"/>
    <w:rsid w:val="00D936FC"/>
    <w:rsid w:val="00D937A7"/>
    <w:rsid w:val="00D93AA3"/>
    <w:rsid w:val="00D93EA0"/>
    <w:rsid w:val="00D94094"/>
    <w:rsid w:val="00D940B5"/>
    <w:rsid w:val="00D9420F"/>
    <w:rsid w:val="00D94614"/>
    <w:rsid w:val="00D9479B"/>
    <w:rsid w:val="00D94CDD"/>
    <w:rsid w:val="00D94F46"/>
    <w:rsid w:val="00D950E8"/>
    <w:rsid w:val="00D953DD"/>
    <w:rsid w:val="00D95462"/>
    <w:rsid w:val="00D95F4B"/>
    <w:rsid w:val="00D960CB"/>
    <w:rsid w:val="00D960FB"/>
    <w:rsid w:val="00D96444"/>
    <w:rsid w:val="00D96AEB"/>
    <w:rsid w:val="00D973BA"/>
    <w:rsid w:val="00D97A99"/>
    <w:rsid w:val="00D97D08"/>
    <w:rsid w:val="00DA026D"/>
    <w:rsid w:val="00DA031E"/>
    <w:rsid w:val="00DA0709"/>
    <w:rsid w:val="00DA0DA7"/>
    <w:rsid w:val="00DA1666"/>
    <w:rsid w:val="00DA186E"/>
    <w:rsid w:val="00DA19C3"/>
    <w:rsid w:val="00DA1DA6"/>
    <w:rsid w:val="00DA21EA"/>
    <w:rsid w:val="00DA26FE"/>
    <w:rsid w:val="00DA3555"/>
    <w:rsid w:val="00DA4116"/>
    <w:rsid w:val="00DA41FA"/>
    <w:rsid w:val="00DA437C"/>
    <w:rsid w:val="00DA456B"/>
    <w:rsid w:val="00DA4694"/>
    <w:rsid w:val="00DA480D"/>
    <w:rsid w:val="00DA4BDF"/>
    <w:rsid w:val="00DA53C7"/>
    <w:rsid w:val="00DA54C7"/>
    <w:rsid w:val="00DA6003"/>
    <w:rsid w:val="00DA6357"/>
    <w:rsid w:val="00DA66A4"/>
    <w:rsid w:val="00DA6901"/>
    <w:rsid w:val="00DA6BB7"/>
    <w:rsid w:val="00DA6C54"/>
    <w:rsid w:val="00DA6D8D"/>
    <w:rsid w:val="00DA70CA"/>
    <w:rsid w:val="00DA73BF"/>
    <w:rsid w:val="00DA7546"/>
    <w:rsid w:val="00DA7552"/>
    <w:rsid w:val="00DA7564"/>
    <w:rsid w:val="00DA7724"/>
    <w:rsid w:val="00DA7922"/>
    <w:rsid w:val="00DA7C2A"/>
    <w:rsid w:val="00DA7CA5"/>
    <w:rsid w:val="00DA7E95"/>
    <w:rsid w:val="00DB0245"/>
    <w:rsid w:val="00DB0936"/>
    <w:rsid w:val="00DB0B69"/>
    <w:rsid w:val="00DB0D53"/>
    <w:rsid w:val="00DB1345"/>
    <w:rsid w:val="00DB1655"/>
    <w:rsid w:val="00DB1C72"/>
    <w:rsid w:val="00DB20ED"/>
    <w:rsid w:val="00DB251C"/>
    <w:rsid w:val="00DB2E8B"/>
    <w:rsid w:val="00DB31A1"/>
    <w:rsid w:val="00DB3BE9"/>
    <w:rsid w:val="00DB3ED8"/>
    <w:rsid w:val="00DB44A4"/>
    <w:rsid w:val="00DB4630"/>
    <w:rsid w:val="00DB487E"/>
    <w:rsid w:val="00DB4A76"/>
    <w:rsid w:val="00DB4C80"/>
    <w:rsid w:val="00DB4D03"/>
    <w:rsid w:val="00DB4F4B"/>
    <w:rsid w:val="00DB51BE"/>
    <w:rsid w:val="00DB588D"/>
    <w:rsid w:val="00DB5AC2"/>
    <w:rsid w:val="00DB5E7B"/>
    <w:rsid w:val="00DB5F2A"/>
    <w:rsid w:val="00DB694E"/>
    <w:rsid w:val="00DB6DA0"/>
    <w:rsid w:val="00DB6DCE"/>
    <w:rsid w:val="00DB6F8D"/>
    <w:rsid w:val="00DB74A8"/>
    <w:rsid w:val="00DB7AD3"/>
    <w:rsid w:val="00DB7B76"/>
    <w:rsid w:val="00DB7EF9"/>
    <w:rsid w:val="00DC012A"/>
    <w:rsid w:val="00DC06C7"/>
    <w:rsid w:val="00DC0A6B"/>
    <w:rsid w:val="00DC0A7D"/>
    <w:rsid w:val="00DC1071"/>
    <w:rsid w:val="00DC12B1"/>
    <w:rsid w:val="00DC13DA"/>
    <w:rsid w:val="00DC1C05"/>
    <w:rsid w:val="00DC1C65"/>
    <w:rsid w:val="00DC1D18"/>
    <w:rsid w:val="00DC1E98"/>
    <w:rsid w:val="00DC22D9"/>
    <w:rsid w:val="00DC31CB"/>
    <w:rsid w:val="00DC33AE"/>
    <w:rsid w:val="00DC3CC6"/>
    <w:rsid w:val="00DC3CFA"/>
    <w:rsid w:val="00DC4175"/>
    <w:rsid w:val="00DC41FE"/>
    <w:rsid w:val="00DC4240"/>
    <w:rsid w:val="00DC48DB"/>
    <w:rsid w:val="00DC4C8E"/>
    <w:rsid w:val="00DC4F88"/>
    <w:rsid w:val="00DC4F90"/>
    <w:rsid w:val="00DC5602"/>
    <w:rsid w:val="00DC59D6"/>
    <w:rsid w:val="00DC5BEF"/>
    <w:rsid w:val="00DC60E9"/>
    <w:rsid w:val="00DC6A02"/>
    <w:rsid w:val="00DC6CAE"/>
    <w:rsid w:val="00DC6D12"/>
    <w:rsid w:val="00DC6D44"/>
    <w:rsid w:val="00DC6E11"/>
    <w:rsid w:val="00DC786E"/>
    <w:rsid w:val="00DC7A92"/>
    <w:rsid w:val="00DC7E98"/>
    <w:rsid w:val="00DD049A"/>
    <w:rsid w:val="00DD0B38"/>
    <w:rsid w:val="00DD1187"/>
    <w:rsid w:val="00DD16AC"/>
    <w:rsid w:val="00DD1762"/>
    <w:rsid w:val="00DD1850"/>
    <w:rsid w:val="00DD196C"/>
    <w:rsid w:val="00DD1A6E"/>
    <w:rsid w:val="00DD2DCC"/>
    <w:rsid w:val="00DD30FB"/>
    <w:rsid w:val="00DD33C8"/>
    <w:rsid w:val="00DD3501"/>
    <w:rsid w:val="00DD3B38"/>
    <w:rsid w:val="00DD3DBA"/>
    <w:rsid w:val="00DD423B"/>
    <w:rsid w:val="00DD4CF2"/>
    <w:rsid w:val="00DD577B"/>
    <w:rsid w:val="00DD57CD"/>
    <w:rsid w:val="00DD5839"/>
    <w:rsid w:val="00DD68AD"/>
    <w:rsid w:val="00DD69CB"/>
    <w:rsid w:val="00DD6B28"/>
    <w:rsid w:val="00DD6BEE"/>
    <w:rsid w:val="00DD6C4B"/>
    <w:rsid w:val="00DD74CE"/>
    <w:rsid w:val="00DD75F2"/>
    <w:rsid w:val="00DD7CD3"/>
    <w:rsid w:val="00DD7D40"/>
    <w:rsid w:val="00DE01EE"/>
    <w:rsid w:val="00DE08DE"/>
    <w:rsid w:val="00DE0902"/>
    <w:rsid w:val="00DE0D64"/>
    <w:rsid w:val="00DE107C"/>
    <w:rsid w:val="00DE1082"/>
    <w:rsid w:val="00DE114E"/>
    <w:rsid w:val="00DE11EA"/>
    <w:rsid w:val="00DE1445"/>
    <w:rsid w:val="00DE147B"/>
    <w:rsid w:val="00DE18E7"/>
    <w:rsid w:val="00DE1B0A"/>
    <w:rsid w:val="00DE1DB0"/>
    <w:rsid w:val="00DE1E71"/>
    <w:rsid w:val="00DE1E80"/>
    <w:rsid w:val="00DE2574"/>
    <w:rsid w:val="00DE284D"/>
    <w:rsid w:val="00DE2944"/>
    <w:rsid w:val="00DE2B03"/>
    <w:rsid w:val="00DE2C29"/>
    <w:rsid w:val="00DE2C8C"/>
    <w:rsid w:val="00DE336A"/>
    <w:rsid w:val="00DE36EF"/>
    <w:rsid w:val="00DE36F8"/>
    <w:rsid w:val="00DE3743"/>
    <w:rsid w:val="00DE3970"/>
    <w:rsid w:val="00DE3B1A"/>
    <w:rsid w:val="00DE3D50"/>
    <w:rsid w:val="00DE3F1E"/>
    <w:rsid w:val="00DE3FE8"/>
    <w:rsid w:val="00DE4679"/>
    <w:rsid w:val="00DE5219"/>
    <w:rsid w:val="00DE5736"/>
    <w:rsid w:val="00DE57EB"/>
    <w:rsid w:val="00DE5CBB"/>
    <w:rsid w:val="00DE63D0"/>
    <w:rsid w:val="00DE6559"/>
    <w:rsid w:val="00DE7035"/>
    <w:rsid w:val="00DE78A9"/>
    <w:rsid w:val="00DE79F4"/>
    <w:rsid w:val="00DE7A77"/>
    <w:rsid w:val="00DF0228"/>
    <w:rsid w:val="00DF051F"/>
    <w:rsid w:val="00DF0976"/>
    <w:rsid w:val="00DF167A"/>
    <w:rsid w:val="00DF1F4E"/>
    <w:rsid w:val="00DF1F61"/>
    <w:rsid w:val="00DF2011"/>
    <w:rsid w:val="00DF2098"/>
    <w:rsid w:val="00DF21C2"/>
    <w:rsid w:val="00DF22DB"/>
    <w:rsid w:val="00DF2388"/>
    <w:rsid w:val="00DF271C"/>
    <w:rsid w:val="00DF28BD"/>
    <w:rsid w:val="00DF305F"/>
    <w:rsid w:val="00DF330D"/>
    <w:rsid w:val="00DF3F82"/>
    <w:rsid w:val="00DF3FBC"/>
    <w:rsid w:val="00DF402A"/>
    <w:rsid w:val="00DF425D"/>
    <w:rsid w:val="00DF45D7"/>
    <w:rsid w:val="00DF46E1"/>
    <w:rsid w:val="00DF5689"/>
    <w:rsid w:val="00DF5873"/>
    <w:rsid w:val="00DF5A41"/>
    <w:rsid w:val="00DF5F8F"/>
    <w:rsid w:val="00DF6507"/>
    <w:rsid w:val="00DF724F"/>
    <w:rsid w:val="00DF76B6"/>
    <w:rsid w:val="00E00005"/>
    <w:rsid w:val="00E00407"/>
    <w:rsid w:val="00E004A1"/>
    <w:rsid w:val="00E00BDC"/>
    <w:rsid w:val="00E0100E"/>
    <w:rsid w:val="00E01326"/>
    <w:rsid w:val="00E01845"/>
    <w:rsid w:val="00E019B5"/>
    <w:rsid w:val="00E02149"/>
    <w:rsid w:val="00E024DC"/>
    <w:rsid w:val="00E02E90"/>
    <w:rsid w:val="00E02FC5"/>
    <w:rsid w:val="00E03425"/>
    <w:rsid w:val="00E0356F"/>
    <w:rsid w:val="00E037F1"/>
    <w:rsid w:val="00E0384E"/>
    <w:rsid w:val="00E038F3"/>
    <w:rsid w:val="00E03ACB"/>
    <w:rsid w:val="00E03CC6"/>
    <w:rsid w:val="00E04044"/>
    <w:rsid w:val="00E042AE"/>
    <w:rsid w:val="00E042B7"/>
    <w:rsid w:val="00E044F8"/>
    <w:rsid w:val="00E049D6"/>
    <w:rsid w:val="00E04F56"/>
    <w:rsid w:val="00E0504A"/>
    <w:rsid w:val="00E050C4"/>
    <w:rsid w:val="00E0521A"/>
    <w:rsid w:val="00E05543"/>
    <w:rsid w:val="00E05644"/>
    <w:rsid w:val="00E05704"/>
    <w:rsid w:val="00E05E65"/>
    <w:rsid w:val="00E05F5E"/>
    <w:rsid w:val="00E063FF"/>
    <w:rsid w:val="00E06482"/>
    <w:rsid w:val="00E06656"/>
    <w:rsid w:val="00E06EA5"/>
    <w:rsid w:val="00E071BD"/>
    <w:rsid w:val="00E07263"/>
    <w:rsid w:val="00E077B0"/>
    <w:rsid w:val="00E07A25"/>
    <w:rsid w:val="00E07B6D"/>
    <w:rsid w:val="00E07BE4"/>
    <w:rsid w:val="00E07E36"/>
    <w:rsid w:val="00E10171"/>
    <w:rsid w:val="00E10D6E"/>
    <w:rsid w:val="00E1170A"/>
    <w:rsid w:val="00E1188C"/>
    <w:rsid w:val="00E11E5E"/>
    <w:rsid w:val="00E11E83"/>
    <w:rsid w:val="00E11F88"/>
    <w:rsid w:val="00E12295"/>
    <w:rsid w:val="00E124F3"/>
    <w:rsid w:val="00E1300D"/>
    <w:rsid w:val="00E13BBF"/>
    <w:rsid w:val="00E14159"/>
    <w:rsid w:val="00E1429F"/>
    <w:rsid w:val="00E14F19"/>
    <w:rsid w:val="00E1509E"/>
    <w:rsid w:val="00E1589C"/>
    <w:rsid w:val="00E16075"/>
    <w:rsid w:val="00E16104"/>
    <w:rsid w:val="00E161A3"/>
    <w:rsid w:val="00E165D1"/>
    <w:rsid w:val="00E168AD"/>
    <w:rsid w:val="00E16A82"/>
    <w:rsid w:val="00E179BE"/>
    <w:rsid w:val="00E17C5F"/>
    <w:rsid w:val="00E20637"/>
    <w:rsid w:val="00E206FA"/>
    <w:rsid w:val="00E20CE5"/>
    <w:rsid w:val="00E21344"/>
    <w:rsid w:val="00E21643"/>
    <w:rsid w:val="00E216B3"/>
    <w:rsid w:val="00E2175F"/>
    <w:rsid w:val="00E217C0"/>
    <w:rsid w:val="00E2180D"/>
    <w:rsid w:val="00E22207"/>
    <w:rsid w:val="00E22582"/>
    <w:rsid w:val="00E22881"/>
    <w:rsid w:val="00E22B5F"/>
    <w:rsid w:val="00E22B8A"/>
    <w:rsid w:val="00E22BD2"/>
    <w:rsid w:val="00E22D15"/>
    <w:rsid w:val="00E22EB5"/>
    <w:rsid w:val="00E22EC5"/>
    <w:rsid w:val="00E2351E"/>
    <w:rsid w:val="00E23BBA"/>
    <w:rsid w:val="00E2440E"/>
    <w:rsid w:val="00E24A47"/>
    <w:rsid w:val="00E24BA7"/>
    <w:rsid w:val="00E24C76"/>
    <w:rsid w:val="00E25131"/>
    <w:rsid w:val="00E2552F"/>
    <w:rsid w:val="00E256D5"/>
    <w:rsid w:val="00E25A07"/>
    <w:rsid w:val="00E260F8"/>
    <w:rsid w:val="00E2631D"/>
    <w:rsid w:val="00E263A9"/>
    <w:rsid w:val="00E26565"/>
    <w:rsid w:val="00E2666F"/>
    <w:rsid w:val="00E268E4"/>
    <w:rsid w:val="00E26DE2"/>
    <w:rsid w:val="00E2713A"/>
    <w:rsid w:val="00E2777B"/>
    <w:rsid w:val="00E27DA7"/>
    <w:rsid w:val="00E27E45"/>
    <w:rsid w:val="00E30049"/>
    <w:rsid w:val="00E308C7"/>
    <w:rsid w:val="00E308CC"/>
    <w:rsid w:val="00E30ED6"/>
    <w:rsid w:val="00E30ED9"/>
    <w:rsid w:val="00E30FDB"/>
    <w:rsid w:val="00E310A9"/>
    <w:rsid w:val="00E3110A"/>
    <w:rsid w:val="00E319B4"/>
    <w:rsid w:val="00E31AB4"/>
    <w:rsid w:val="00E31B91"/>
    <w:rsid w:val="00E31C09"/>
    <w:rsid w:val="00E31FFE"/>
    <w:rsid w:val="00E32183"/>
    <w:rsid w:val="00E32432"/>
    <w:rsid w:val="00E326BD"/>
    <w:rsid w:val="00E328EA"/>
    <w:rsid w:val="00E32A98"/>
    <w:rsid w:val="00E32B3B"/>
    <w:rsid w:val="00E32F38"/>
    <w:rsid w:val="00E32F91"/>
    <w:rsid w:val="00E3304B"/>
    <w:rsid w:val="00E33159"/>
    <w:rsid w:val="00E332B1"/>
    <w:rsid w:val="00E338EF"/>
    <w:rsid w:val="00E339C6"/>
    <w:rsid w:val="00E33E5B"/>
    <w:rsid w:val="00E343CE"/>
    <w:rsid w:val="00E346F5"/>
    <w:rsid w:val="00E34A01"/>
    <w:rsid w:val="00E34D4E"/>
    <w:rsid w:val="00E35783"/>
    <w:rsid w:val="00E35BF2"/>
    <w:rsid w:val="00E35C24"/>
    <w:rsid w:val="00E37CA7"/>
    <w:rsid w:val="00E400B2"/>
    <w:rsid w:val="00E401D6"/>
    <w:rsid w:val="00E40C30"/>
    <w:rsid w:val="00E40C33"/>
    <w:rsid w:val="00E40D35"/>
    <w:rsid w:val="00E40E6A"/>
    <w:rsid w:val="00E411F4"/>
    <w:rsid w:val="00E4193A"/>
    <w:rsid w:val="00E42349"/>
    <w:rsid w:val="00E4237A"/>
    <w:rsid w:val="00E42735"/>
    <w:rsid w:val="00E427A1"/>
    <w:rsid w:val="00E4280C"/>
    <w:rsid w:val="00E42B14"/>
    <w:rsid w:val="00E42F0F"/>
    <w:rsid w:val="00E4337E"/>
    <w:rsid w:val="00E4365D"/>
    <w:rsid w:val="00E436AD"/>
    <w:rsid w:val="00E436B5"/>
    <w:rsid w:val="00E43922"/>
    <w:rsid w:val="00E439F1"/>
    <w:rsid w:val="00E43D1F"/>
    <w:rsid w:val="00E43DA0"/>
    <w:rsid w:val="00E43E95"/>
    <w:rsid w:val="00E442C9"/>
    <w:rsid w:val="00E44737"/>
    <w:rsid w:val="00E44844"/>
    <w:rsid w:val="00E44AAC"/>
    <w:rsid w:val="00E4520A"/>
    <w:rsid w:val="00E456FD"/>
    <w:rsid w:val="00E45A10"/>
    <w:rsid w:val="00E45D57"/>
    <w:rsid w:val="00E466C1"/>
    <w:rsid w:val="00E469B8"/>
    <w:rsid w:val="00E46B57"/>
    <w:rsid w:val="00E46DDB"/>
    <w:rsid w:val="00E470DE"/>
    <w:rsid w:val="00E47994"/>
    <w:rsid w:val="00E47DC7"/>
    <w:rsid w:val="00E47DCB"/>
    <w:rsid w:val="00E5004F"/>
    <w:rsid w:val="00E5097A"/>
    <w:rsid w:val="00E50BA0"/>
    <w:rsid w:val="00E50C38"/>
    <w:rsid w:val="00E51421"/>
    <w:rsid w:val="00E51448"/>
    <w:rsid w:val="00E514BD"/>
    <w:rsid w:val="00E517AF"/>
    <w:rsid w:val="00E51B1F"/>
    <w:rsid w:val="00E51C94"/>
    <w:rsid w:val="00E51FE8"/>
    <w:rsid w:val="00E51FEA"/>
    <w:rsid w:val="00E52492"/>
    <w:rsid w:val="00E5366A"/>
    <w:rsid w:val="00E53912"/>
    <w:rsid w:val="00E53AA6"/>
    <w:rsid w:val="00E53C9F"/>
    <w:rsid w:val="00E54063"/>
    <w:rsid w:val="00E5433D"/>
    <w:rsid w:val="00E544BB"/>
    <w:rsid w:val="00E5495B"/>
    <w:rsid w:val="00E54C00"/>
    <w:rsid w:val="00E5514E"/>
    <w:rsid w:val="00E5519C"/>
    <w:rsid w:val="00E55F57"/>
    <w:rsid w:val="00E55FA3"/>
    <w:rsid w:val="00E565F7"/>
    <w:rsid w:val="00E5679C"/>
    <w:rsid w:val="00E56AB5"/>
    <w:rsid w:val="00E56B86"/>
    <w:rsid w:val="00E57461"/>
    <w:rsid w:val="00E574C3"/>
    <w:rsid w:val="00E576FC"/>
    <w:rsid w:val="00E57878"/>
    <w:rsid w:val="00E57AE9"/>
    <w:rsid w:val="00E57B4D"/>
    <w:rsid w:val="00E601E5"/>
    <w:rsid w:val="00E60248"/>
    <w:rsid w:val="00E60765"/>
    <w:rsid w:val="00E607D9"/>
    <w:rsid w:val="00E60994"/>
    <w:rsid w:val="00E60ABC"/>
    <w:rsid w:val="00E60F11"/>
    <w:rsid w:val="00E61BD4"/>
    <w:rsid w:val="00E61C4A"/>
    <w:rsid w:val="00E61F3C"/>
    <w:rsid w:val="00E62B80"/>
    <w:rsid w:val="00E62C76"/>
    <w:rsid w:val="00E62DAC"/>
    <w:rsid w:val="00E62ED9"/>
    <w:rsid w:val="00E63259"/>
    <w:rsid w:val="00E63379"/>
    <w:rsid w:val="00E639DA"/>
    <w:rsid w:val="00E63D70"/>
    <w:rsid w:val="00E6495C"/>
    <w:rsid w:val="00E64A41"/>
    <w:rsid w:val="00E65187"/>
    <w:rsid w:val="00E65309"/>
    <w:rsid w:val="00E65576"/>
    <w:rsid w:val="00E658DE"/>
    <w:rsid w:val="00E65D06"/>
    <w:rsid w:val="00E65E30"/>
    <w:rsid w:val="00E660B8"/>
    <w:rsid w:val="00E66500"/>
    <w:rsid w:val="00E6660A"/>
    <w:rsid w:val="00E667BE"/>
    <w:rsid w:val="00E668F9"/>
    <w:rsid w:val="00E66B35"/>
    <w:rsid w:val="00E66D13"/>
    <w:rsid w:val="00E66D79"/>
    <w:rsid w:val="00E66D7E"/>
    <w:rsid w:val="00E6721D"/>
    <w:rsid w:val="00E673EB"/>
    <w:rsid w:val="00E673FB"/>
    <w:rsid w:val="00E67AE3"/>
    <w:rsid w:val="00E709CC"/>
    <w:rsid w:val="00E709E4"/>
    <w:rsid w:val="00E70E3D"/>
    <w:rsid w:val="00E70E88"/>
    <w:rsid w:val="00E70FB0"/>
    <w:rsid w:val="00E710C8"/>
    <w:rsid w:val="00E710CB"/>
    <w:rsid w:val="00E71229"/>
    <w:rsid w:val="00E71279"/>
    <w:rsid w:val="00E714F2"/>
    <w:rsid w:val="00E716E2"/>
    <w:rsid w:val="00E718BB"/>
    <w:rsid w:val="00E71B33"/>
    <w:rsid w:val="00E71D17"/>
    <w:rsid w:val="00E72513"/>
    <w:rsid w:val="00E7262B"/>
    <w:rsid w:val="00E72ACF"/>
    <w:rsid w:val="00E72BB5"/>
    <w:rsid w:val="00E72E89"/>
    <w:rsid w:val="00E73129"/>
    <w:rsid w:val="00E731C1"/>
    <w:rsid w:val="00E73735"/>
    <w:rsid w:val="00E73863"/>
    <w:rsid w:val="00E73DED"/>
    <w:rsid w:val="00E743A8"/>
    <w:rsid w:val="00E744F7"/>
    <w:rsid w:val="00E74617"/>
    <w:rsid w:val="00E748F5"/>
    <w:rsid w:val="00E74A34"/>
    <w:rsid w:val="00E74DC7"/>
    <w:rsid w:val="00E74F99"/>
    <w:rsid w:val="00E75204"/>
    <w:rsid w:val="00E75627"/>
    <w:rsid w:val="00E75B4D"/>
    <w:rsid w:val="00E75CBE"/>
    <w:rsid w:val="00E764F2"/>
    <w:rsid w:val="00E7650C"/>
    <w:rsid w:val="00E76677"/>
    <w:rsid w:val="00E7675E"/>
    <w:rsid w:val="00E768AE"/>
    <w:rsid w:val="00E768CE"/>
    <w:rsid w:val="00E76C1A"/>
    <w:rsid w:val="00E77150"/>
    <w:rsid w:val="00E77152"/>
    <w:rsid w:val="00E773FD"/>
    <w:rsid w:val="00E7758E"/>
    <w:rsid w:val="00E7785F"/>
    <w:rsid w:val="00E77AAF"/>
    <w:rsid w:val="00E77F2D"/>
    <w:rsid w:val="00E77F42"/>
    <w:rsid w:val="00E801F1"/>
    <w:rsid w:val="00E8073F"/>
    <w:rsid w:val="00E8075A"/>
    <w:rsid w:val="00E807C7"/>
    <w:rsid w:val="00E80930"/>
    <w:rsid w:val="00E80C84"/>
    <w:rsid w:val="00E8139D"/>
    <w:rsid w:val="00E81533"/>
    <w:rsid w:val="00E815D0"/>
    <w:rsid w:val="00E816FD"/>
    <w:rsid w:val="00E81F94"/>
    <w:rsid w:val="00E82158"/>
    <w:rsid w:val="00E82EAC"/>
    <w:rsid w:val="00E8302B"/>
    <w:rsid w:val="00E8361D"/>
    <w:rsid w:val="00E83726"/>
    <w:rsid w:val="00E838B4"/>
    <w:rsid w:val="00E83B34"/>
    <w:rsid w:val="00E83CDF"/>
    <w:rsid w:val="00E83F94"/>
    <w:rsid w:val="00E84080"/>
    <w:rsid w:val="00E84391"/>
    <w:rsid w:val="00E844E4"/>
    <w:rsid w:val="00E846C0"/>
    <w:rsid w:val="00E84873"/>
    <w:rsid w:val="00E84940"/>
    <w:rsid w:val="00E85085"/>
    <w:rsid w:val="00E85439"/>
    <w:rsid w:val="00E8558A"/>
    <w:rsid w:val="00E85D43"/>
    <w:rsid w:val="00E85E27"/>
    <w:rsid w:val="00E86037"/>
    <w:rsid w:val="00E86520"/>
    <w:rsid w:val="00E8655B"/>
    <w:rsid w:val="00E8671B"/>
    <w:rsid w:val="00E868CA"/>
    <w:rsid w:val="00E86917"/>
    <w:rsid w:val="00E87343"/>
    <w:rsid w:val="00E87767"/>
    <w:rsid w:val="00E87B98"/>
    <w:rsid w:val="00E90063"/>
    <w:rsid w:val="00E9027C"/>
    <w:rsid w:val="00E90727"/>
    <w:rsid w:val="00E912C8"/>
    <w:rsid w:val="00E9189C"/>
    <w:rsid w:val="00E91E2F"/>
    <w:rsid w:val="00E91F16"/>
    <w:rsid w:val="00E922CE"/>
    <w:rsid w:val="00E92AD4"/>
    <w:rsid w:val="00E92EE0"/>
    <w:rsid w:val="00E933D4"/>
    <w:rsid w:val="00E93450"/>
    <w:rsid w:val="00E93A0D"/>
    <w:rsid w:val="00E93CA0"/>
    <w:rsid w:val="00E940D8"/>
    <w:rsid w:val="00E94530"/>
    <w:rsid w:val="00E94964"/>
    <w:rsid w:val="00E94967"/>
    <w:rsid w:val="00E94B99"/>
    <w:rsid w:val="00E94D5E"/>
    <w:rsid w:val="00E94DE2"/>
    <w:rsid w:val="00E94E0C"/>
    <w:rsid w:val="00E94F6D"/>
    <w:rsid w:val="00E95DD9"/>
    <w:rsid w:val="00E9608B"/>
    <w:rsid w:val="00E961F9"/>
    <w:rsid w:val="00E96437"/>
    <w:rsid w:val="00E96633"/>
    <w:rsid w:val="00E96CB2"/>
    <w:rsid w:val="00E96D01"/>
    <w:rsid w:val="00E9750A"/>
    <w:rsid w:val="00E975D9"/>
    <w:rsid w:val="00EA0189"/>
    <w:rsid w:val="00EA023A"/>
    <w:rsid w:val="00EA057C"/>
    <w:rsid w:val="00EA088B"/>
    <w:rsid w:val="00EA0B40"/>
    <w:rsid w:val="00EA1700"/>
    <w:rsid w:val="00EA17F6"/>
    <w:rsid w:val="00EA1E07"/>
    <w:rsid w:val="00EA20A4"/>
    <w:rsid w:val="00EA23AB"/>
    <w:rsid w:val="00EA2401"/>
    <w:rsid w:val="00EA26D5"/>
    <w:rsid w:val="00EA2AF2"/>
    <w:rsid w:val="00EA2ED7"/>
    <w:rsid w:val="00EA2EE6"/>
    <w:rsid w:val="00EA3354"/>
    <w:rsid w:val="00EA3510"/>
    <w:rsid w:val="00EA363C"/>
    <w:rsid w:val="00EA403F"/>
    <w:rsid w:val="00EA4D98"/>
    <w:rsid w:val="00EA4F44"/>
    <w:rsid w:val="00EA50B1"/>
    <w:rsid w:val="00EA5902"/>
    <w:rsid w:val="00EA59D2"/>
    <w:rsid w:val="00EA5D59"/>
    <w:rsid w:val="00EA6240"/>
    <w:rsid w:val="00EA63F7"/>
    <w:rsid w:val="00EA67BC"/>
    <w:rsid w:val="00EA6B5E"/>
    <w:rsid w:val="00EA6B6E"/>
    <w:rsid w:val="00EA6DB2"/>
    <w:rsid w:val="00EA6E50"/>
    <w:rsid w:val="00EA7100"/>
    <w:rsid w:val="00EA75C9"/>
    <w:rsid w:val="00EA78B7"/>
    <w:rsid w:val="00EA7982"/>
    <w:rsid w:val="00EA7A90"/>
    <w:rsid w:val="00EA7B35"/>
    <w:rsid w:val="00EA7B90"/>
    <w:rsid w:val="00EA7E75"/>
    <w:rsid w:val="00EA7F9F"/>
    <w:rsid w:val="00EB0307"/>
    <w:rsid w:val="00EB036D"/>
    <w:rsid w:val="00EB0914"/>
    <w:rsid w:val="00EB0CA8"/>
    <w:rsid w:val="00EB0E4E"/>
    <w:rsid w:val="00EB0EC8"/>
    <w:rsid w:val="00EB0F13"/>
    <w:rsid w:val="00EB0F59"/>
    <w:rsid w:val="00EB1274"/>
    <w:rsid w:val="00EB13C6"/>
    <w:rsid w:val="00EB18EE"/>
    <w:rsid w:val="00EB1F7C"/>
    <w:rsid w:val="00EB2113"/>
    <w:rsid w:val="00EB269F"/>
    <w:rsid w:val="00EB2A10"/>
    <w:rsid w:val="00EB2D57"/>
    <w:rsid w:val="00EB2D76"/>
    <w:rsid w:val="00EB38BE"/>
    <w:rsid w:val="00EB3B45"/>
    <w:rsid w:val="00EB3B83"/>
    <w:rsid w:val="00EB3BC5"/>
    <w:rsid w:val="00EB3C79"/>
    <w:rsid w:val="00EB4265"/>
    <w:rsid w:val="00EB4377"/>
    <w:rsid w:val="00EB59AF"/>
    <w:rsid w:val="00EB5E48"/>
    <w:rsid w:val="00EB6076"/>
    <w:rsid w:val="00EB60AE"/>
    <w:rsid w:val="00EB64E2"/>
    <w:rsid w:val="00EB687D"/>
    <w:rsid w:val="00EB69E1"/>
    <w:rsid w:val="00EB6D6A"/>
    <w:rsid w:val="00EB6E62"/>
    <w:rsid w:val="00EB7096"/>
    <w:rsid w:val="00EB70FD"/>
    <w:rsid w:val="00EB7436"/>
    <w:rsid w:val="00EB78B9"/>
    <w:rsid w:val="00EB7B02"/>
    <w:rsid w:val="00EB7BAA"/>
    <w:rsid w:val="00EB7BB3"/>
    <w:rsid w:val="00EB7D22"/>
    <w:rsid w:val="00EB7EC2"/>
    <w:rsid w:val="00EB7FAC"/>
    <w:rsid w:val="00EC007B"/>
    <w:rsid w:val="00EC0094"/>
    <w:rsid w:val="00EC00F7"/>
    <w:rsid w:val="00EC042B"/>
    <w:rsid w:val="00EC07E7"/>
    <w:rsid w:val="00EC0819"/>
    <w:rsid w:val="00EC0D84"/>
    <w:rsid w:val="00EC177D"/>
    <w:rsid w:val="00EC1939"/>
    <w:rsid w:val="00EC1E60"/>
    <w:rsid w:val="00EC200D"/>
    <w:rsid w:val="00EC208B"/>
    <w:rsid w:val="00EC2192"/>
    <w:rsid w:val="00EC2CC6"/>
    <w:rsid w:val="00EC2FFA"/>
    <w:rsid w:val="00EC30B0"/>
    <w:rsid w:val="00EC31EF"/>
    <w:rsid w:val="00EC3366"/>
    <w:rsid w:val="00EC3EB3"/>
    <w:rsid w:val="00EC3EF8"/>
    <w:rsid w:val="00EC4385"/>
    <w:rsid w:val="00EC45F4"/>
    <w:rsid w:val="00EC49FD"/>
    <w:rsid w:val="00EC4A79"/>
    <w:rsid w:val="00EC4E0C"/>
    <w:rsid w:val="00EC522F"/>
    <w:rsid w:val="00EC54B5"/>
    <w:rsid w:val="00EC578E"/>
    <w:rsid w:val="00EC5815"/>
    <w:rsid w:val="00EC5ACE"/>
    <w:rsid w:val="00EC5E2F"/>
    <w:rsid w:val="00EC61B8"/>
    <w:rsid w:val="00EC6845"/>
    <w:rsid w:val="00EC6C19"/>
    <w:rsid w:val="00EC6CC3"/>
    <w:rsid w:val="00EC7150"/>
    <w:rsid w:val="00EC7276"/>
    <w:rsid w:val="00EC78BA"/>
    <w:rsid w:val="00EC791B"/>
    <w:rsid w:val="00EC7A2C"/>
    <w:rsid w:val="00ED0317"/>
    <w:rsid w:val="00ED0A9B"/>
    <w:rsid w:val="00ED0B9C"/>
    <w:rsid w:val="00ED0D4D"/>
    <w:rsid w:val="00ED1140"/>
    <w:rsid w:val="00ED175E"/>
    <w:rsid w:val="00ED18F2"/>
    <w:rsid w:val="00ED1B3E"/>
    <w:rsid w:val="00ED1C0B"/>
    <w:rsid w:val="00ED1E66"/>
    <w:rsid w:val="00ED2025"/>
    <w:rsid w:val="00ED233D"/>
    <w:rsid w:val="00ED260C"/>
    <w:rsid w:val="00ED29BF"/>
    <w:rsid w:val="00ED2A5A"/>
    <w:rsid w:val="00ED2B27"/>
    <w:rsid w:val="00ED2BB6"/>
    <w:rsid w:val="00ED2E8D"/>
    <w:rsid w:val="00ED30DB"/>
    <w:rsid w:val="00ED34E1"/>
    <w:rsid w:val="00ED38C7"/>
    <w:rsid w:val="00ED3B8D"/>
    <w:rsid w:val="00ED3C15"/>
    <w:rsid w:val="00ED3D0C"/>
    <w:rsid w:val="00ED3E59"/>
    <w:rsid w:val="00ED3E9D"/>
    <w:rsid w:val="00ED41D8"/>
    <w:rsid w:val="00ED421E"/>
    <w:rsid w:val="00ED435D"/>
    <w:rsid w:val="00ED4582"/>
    <w:rsid w:val="00ED4707"/>
    <w:rsid w:val="00ED483B"/>
    <w:rsid w:val="00ED4B31"/>
    <w:rsid w:val="00ED4F0A"/>
    <w:rsid w:val="00ED4F4B"/>
    <w:rsid w:val="00ED4FDF"/>
    <w:rsid w:val="00ED511B"/>
    <w:rsid w:val="00ED52DE"/>
    <w:rsid w:val="00ED53FE"/>
    <w:rsid w:val="00ED5728"/>
    <w:rsid w:val="00ED5808"/>
    <w:rsid w:val="00ED58FB"/>
    <w:rsid w:val="00ED59F9"/>
    <w:rsid w:val="00ED5C55"/>
    <w:rsid w:val="00ED5D02"/>
    <w:rsid w:val="00ED5F11"/>
    <w:rsid w:val="00ED6489"/>
    <w:rsid w:val="00ED653A"/>
    <w:rsid w:val="00ED69EB"/>
    <w:rsid w:val="00ED6A8C"/>
    <w:rsid w:val="00ED6AA6"/>
    <w:rsid w:val="00ED6F68"/>
    <w:rsid w:val="00ED70A7"/>
    <w:rsid w:val="00ED724B"/>
    <w:rsid w:val="00ED749D"/>
    <w:rsid w:val="00ED75AF"/>
    <w:rsid w:val="00ED75FB"/>
    <w:rsid w:val="00ED79DB"/>
    <w:rsid w:val="00ED7BA5"/>
    <w:rsid w:val="00EE049C"/>
    <w:rsid w:val="00EE054C"/>
    <w:rsid w:val="00EE05AB"/>
    <w:rsid w:val="00EE0B5B"/>
    <w:rsid w:val="00EE0BA9"/>
    <w:rsid w:val="00EE0E54"/>
    <w:rsid w:val="00EE0F52"/>
    <w:rsid w:val="00EE11E5"/>
    <w:rsid w:val="00EE1226"/>
    <w:rsid w:val="00EE1685"/>
    <w:rsid w:val="00EE1B0A"/>
    <w:rsid w:val="00EE1D06"/>
    <w:rsid w:val="00EE1DB7"/>
    <w:rsid w:val="00EE2526"/>
    <w:rsid w:val="00EE28B9"/>
    <w:rsid w:val="00EE28C1"/>
    <w:rsid w:val="00EE29F1"/>
    <w:rsid w:val="00EE2B25"/>
    <w:rsid w:val="00EE2BFA"/>
    <w:rsid w:val="00EE2C46"/>
    <w:rsid w:val="00EE2EA1"/>
    <w:rsid w:val="00EE30E2"/>
    <w:rsid w:val="00EE33D7"/>
    <w:rsid w:val="00EE34EC"/>
    <w:rsid w:val="00EE387A"/>
    <w:rsid w:val="00EE3C0F"/>
    <w:rsid w:val="00EE3E56"/>
    <w:rsid w:val="00EE3F29"/>
    <w:rsid w:val="00EE4404"/>
    <w:rsid w:val="00EE45A9"/>
    <w:rsid w:val="00EE4A4A"/>
    <w:rsid w:val="00EE4DF7"/>
    <w:rsid w:val="00EE4E2B"/>
    <w:rsid w:val="00EE591A"/>
    <w:rsid w:val="00EE5E36"/>
    <w:rsid w:val="00EE60BC"/>
    <w:rsid w:val="00EE6255"/>
    <w:rsid w:val="00EE62B3"/>
    <w:rsid w:val="00EE6342"/>
    <w:rsid w:val="00EE6471"/>
    <w:rsid w:val="00EE66B2"/>
    <w:rsid w:val="00EE67DB"/>
    <w:rsid w:val="00EE6D5F"/>
    <w:rsid w:val="00EE6EEA"/>
    <w:rsid w:val="00EE7850"/>
    <w:rsid w:val="00EE78A9"/>
    <w:rsid w:val="00EE7C51"/>
    <w:rsid w:val="00EF000F"/>
    <w:rsid w:val="00EF0106"/>
    <w:rsid w:val="00EF03A2"/>
    <w:rsid w:val="00EF0E15"/>
    <w:rsid w:val="00EF1186"/>
    <w:rsid w:val="00EF1490"/>
    <w:rsid w:val="00EF14B0"/>
    <w:rsid w:val="00EF16D3"/>
    <w:rsid w:val="00EF1932"/>
    <w:rsid w:val="00EF1BC1"/>
    <w:rsid w:val="00EF1C18"/>
    <w:rsid w:val="00EF1C66"/>
    <w:rsid w:val="00EF1C99"/>
    <w:rsid w:val="00EF1EFA"/>
    <w:rsid w:val="00EF1F9D"/>
    <w:rsid w:val="00EF25DB"/>
    <w:rsid w:val="00EF2817"/>
    <w:rsid w:val="00EF28B0"/>
    <w:rsid w:val="00EF2C97"/>
    <w:rsid w:val="00EF2E3A"/>
    <w:rsid w:val="00EF2E3D"/>
    <w:rsid w:val="00EF32C4"/>
    <w:rsid w:val="00EF3347"/>
    <w:rsid w:val="00EF3D6D"/>
    <w:rsid w:val="00EF3DE4"/>
    <w:rsid w:val="00EF4783"/>
    <w:rsid w:val="00EF4810"/>
    <w:rsid w:val="00EF48F6"/>
    <w:rsid w:val="00EF4951"/>
    <w:rsid w:val="00EF4B92"/>
    <w:rsid w:val="00EF501E"/>
    <w:rsid w:val="00EF50B8"/>
    <w:rsid w:val="00EF55BA"/>
    <w:rsid w:val="00EF5DB4"/>
    <w:rsid w:val="00EF6100"/>
    <w:rsid w:val="00EF64EA"/>
    <w:rsid w:val="00EF6713"/>
    <w:rsid w:val="00EF6842"/>
    <w:rsid w:val="00EF6AF5"/>
    <w:rsid w:val="00EF75A2"/>
    <w:rsid w:val="00EF75E4"/>
    <w:rsid w:val="00EF7C07"/>
    <w:rsid w:val="00F000CC"/>
    <w:rsid w:val="00F0079D"/>
    <w:rsid w:val="00F00C96"/>
    <w:rsid w:val="00F0109E"/>
    <w:rsid w:val="00F015A2"/>
    <w:rsid w:val="00F01B0E"/>
    <w:rsid w:val="00F01EAC"/>
    <w:rsid w:val="00F0243F"/>
    <w:rsid w:val="00F02A09"/>
    <w:rsid w:val="00F02B76"/>
    <w:rsid w:val="00F02C7C"/>
    <w:rsid w:val="00F02FA2"/>
    <w:rsid w:val="00F02FF6"/>
    <w:rsid w:val="00F03636"/>
    <w:rsid w:val="00F036A4"/>
    <w:rsid w:val="00F03AAA"/>
    <w:rsid w:val="00F04053"/>
    <w:rsid w:val="00F04064"/>
    <w:rsid w:val="00F04085"/>
    <w:rsid w:val="00F0414A"/>
    <w:rsid w:val="00F04776"/>
    <w:rsid w:val="00F0519D"/>
    <w:rsid w:val="00F056A5"/>
    <w:rsid w:val="00F0580C"/>
    <w:rsid w:val="00F0596F"/>
    <w:rsid w:val="00F05A5E"/>
    <w:rsid w:val="00F05B86"/>
    <w:rsid w:val="00F05C00"/>
    <w:rsid w:val="00F05D11"/>
    <w:rsid w:val="00F05FF2"/>
    <w:rsid w:val="00F06236"/>
    <w:rsid w:val="00F06276"/>
    <w:rsid w:val="00F06573"/>
    <w:rsid w:val="00F069AC"/>
    <w:rsid w:val="00F06ABC"/>
    <w:rsid w:val="00F06E07"/>
    <w:rsid w:val="00F06FCD"/>
    <w:rsid w:val="00F072A7"/>
    <w:rsid w:val="00F072DC"/>
    <w:rsid w:val="00F0735F"/>
    <w:rsid w:val="00F07699"/>
    <w:rsid w:val="00F076AE"/>
    <w:rsid w:val="00F078DC"/>
    <w:rsid w:val="00F07B34"/>
    <w:rsid w:val="00F07C8E"/>
    <w:rsid w:val="00F07D4C"/>
    <w:rsid w:val="00F07E5B"/>
    <w:rsid w:val="00F07EF1"/>
    <w:rsid w:val="00F10E41"/>
    <w:rsid w:val="00F1106E"/>
    <w:rsid w:val="00F11327"/>
    <w:rsid w:val="00F11B88"/>
    <w:rsid w:val="00F11C62"/>
    <w:rsid w:val="00F11E97"/>
    <w:rsid w:val="00F11FCF"/>
    <w:rsid w:val="00F12229"/>
    <w:rsid w:val="00F1232E"/>
    <w:rsid w:val="00F12473"/>
    <w:rsid w:val="00F124D1"/>
    <w:rsid w:val="00F12A77"/>
    <w:rsid w:val="00F13038"/>
    <w:rsid w:val="00F133C1"/>
    <w:rsid w:val="00F134D6"/>
    <w:rsid w:val="00F1391F"/>
    <w:rsid w:val="00F14084"/>
    <w:rsid w:val="00F143F1"/>
    <w:rsid w:val="00F1452E"/>
    <w:rsid w:val="00F14687"/>
    <w:rsid w:val="00F14928"/>
    <w:rsid w:val="00F150E3"/>
    <w:rsid w:val="00F15218"/>
    <w:rsid w:val="00F15392"/>
    <w:rsid w:val="00F154DF"/>
    <w:rsid w:val="00F154E3"/>
    <w:rsid w:val="00F15790"/>
    <w:rsid w:val="00F1588B"/>
    <w:rsid w:val="00F15BF6"/>
    <w:rsid w:val="00F16754"/>
    <w:rsid w:val="00F16C01"/>
    <w:rsid w:val="00F1735C"/>
    <w:rsid w:val="00F176AD"/>
    <w:rsid w:val="00F1799A"/>
    <w:rsid w:val="00F17BA6"/>
    <w:rsid w:val="00F17BBB"/>
    <w:rsid w:val="00F17BC2"/>
    <w:rsid w:val="00F202AD"/>
    <w:rsid w:val="00F207F6"/>
    <w:rsid w:val="00F20ED8"/>
    <w:rsid w:val="00F21258"/>
    <w:rsid w:val="00F2129E"/>
    <w:rsid w:val="00F2278C"/>
    <w:rsid w:val="00F22885"/>
    <w:rsid w:val="00F2290A"/>
    <w:rsid w:val="00F22B17"/>
    <w:rsid w:val="00F230A8"/>
    <w:rsid w:val="00F23160"/>
    <w:rsid w:val="00F2318F"/>
    <w:rsid w:val="00F23435"/>
    <w:rsid w:val="00F238DF"/>
    <w:rsid w:val="00F23B96"/>
    <w:rsid w:val="00F23F5A"/>
    <w:rsid w:val="00F24205"/>
    <w:rsid w:val="00F2452A"/>
    <w:rsid w:val="00F2461F"/>
    <w:rsid w:val="00F24B70"/>
    <w:rsid w:val="00F24C3A"/>
    <w:rsid w:val="00F24D2C"/>
    <w:rsid w:val="00F24E72"/>
    <w:rsid w:val="00F24FAC"/>
    <w:rsid w:val="00F2522C"/>
    <w:rsid w:val="00F2527E"/>
    <w:rsid w:val="00F2537F"/>
    <w:rsid w:val="00F25587"/>
    <w:rsid w:val="00F25665"/>
    <w:rsid w:val="00F2577C"/>
    <w:rsid w:val="00F25A41"/>
    <w:rsid w:val="00F25C08"/>
    <w:rsid w:val="00F25C74"/>
    <w:rsid w:val="00F25CA4"/>
    <w:rsid w:val="00F26136"/>
    <w:rsid w:val="00F26429"/>
    <w:rsid w:val="00F26DEB"/>
    <w:rsid w:val="00F26E9F"/>
    <w:rsid w:val="00F27186"/>
    <w:rsid w:val="00F275B4"/>
    <w:rsid w:val="00F276F1"/>
    <w:rsid w:val="00F27730"/>
    <w:rsid w:val="00F27CC8"/>
    <w:rsid w:val="00F27E4B"/>
    <w:rsid w:val="00F302E8"/>
    <w:rsid w:val="00F303BE"/>
    <w:rsid w:val="00F3056C"/>
    <w:rsid w:val="00F3080A"/>
    <w:rsid w:val="00F30A09"/>
    <w:rsid w:val="00F30A9A"/>
    <w:rsid w:val="00F3104C"/>
    <w:rsid w:val="00F313B4"/>
    <w:rsid w:val="00F315A0"/>
    <w:rsid w:val="00F320C8"/>
    <w:rsid w:val="00F3293D"/>
    <w:rsid w:val="00F3295C"/>
    <w:rsid w:val="00F32BA8"/>
    <w:rsid w:val="00F32EE0"/>
    <w:rsid w:val="00F32F63"/>
    <w:rsid w:val="00F33216"/>
    <w:rsid w:val="00F332E7"/>
    <w:rsid w:val="00F33501"/>
    <w:rsid w:val="00F33B1C"/>
    <w:rsid w:val="00F33E8C"/>
    <w:rsid w:val="00F33EB1"/>
    <w:rsid w:val="00F33FB7"/>
    <w:rsid w:val="00F34448"/>
    <w:rsid w:val="00F349A7"/>
    <w:rsid w:val="00F349F1"/>
    <w:rsid w:val="00F34B46"/>
    <w:rsid w:val="00F3549A"/>
    <w:rsid w:val="00F356E4"/>
    <w:rsid w:val="00F35751"/>
    <w:rsid w:val="00F35AC7"/>
    <w:rsid w:val="00F35E9C"/>
    <w:rsid w:val="00F365ED"/>
    <w:rsid w:val="00F368A2"/>
    <w:rsid w:val="00F36C4B"/>
    <w:rsid w:val="00F36FAD"/>
    <w:rsid w:val="00F37017"/>
    <w:rsid w:val="00F37088"/>
    <w:rsid w:val="00F37106"/>
    <w:rsid w:val="00F3720A"/>
    <w:rsid w:val="00F37961"/>
    <w:rsid w:val="00F379FC"/>
    <w:rsid w:val="00F37CB3"/>
    <w:rsid w:val="00F37F2E"/>
    <w:rsid w:val="00F40F8C"/>
    <w:rsid w:val="00F41565"/>
    <w:rsid w:val="00F41634"/>
    <w:rsid w:val="00F417FA"/>
    <w:rsid w:val="00F41872"/>
    <w:rsid w:val="00F419AB"/>
    <w:rsid w:val="00F41A6F"/>
    <w:rsid w:val="00F41C20"/>
    <w:rsid w:val="00F41FB6"/>
    <w:rsid w:val="00F42A88"/>
    <w:rsid w:val="00F42A98"/>
    <w:rsid w:val="00F42BE3"/>
    <w:rsid w:val="00F42F98"/>
    <w:rsid w:val="00F433F8"/>
    <w:rsid w:val="00F43422"/>
    <w:rsid w:val="00F4350D"/>
    <w:rsid w:val="00F4405C"/>
    <w:rsid w:val="00F45AFF"/>
    <w:rsid w:val="00F463F7"/>
    <w:rsid w:val="00F46586"/>
    <w:rsid w:val="00F46765"/>
    <w:rsid w:val="00F46789"/>
    <w:rsid w:val="00F46B04"/>
    <w:rsid w:val="00F46B32"/>
    <w:rsid w:val="00F46C21"/>
    <w:rsid w:val="00F46D99"/>
    <w:rsid w:val="00F47078"/>
    <w:rsid w:val="00F473B6"/>
    <w:rsid w:val="00F4785C"/>
    <w:rsid w:val="00F479C4"/>
    <w:rsid w:val="00F50000"/>
    <w:rsid w:val="00F50151"/>
    <w:rsid w:val="00F5035A"/>
    <w:rsid w:val="00F504CC"/>
    <w:rsid w:val="00F5063D"/>
    <w:rsid w:val="00F5069E"/>
    <w:rsid w:val="00F5128B"/>
    <w:rsid w:val="00F514D9"/>
    <w:rsid w:val="00F51591"/>
    <w:rsid w:val="00F516D9"/>
    <w:rsid w:val="00F52205"/>
    <w:rsid w:val="00F52651"/>
    <w:rsid w:val="00F526D6"/>
    <w:rsid w:val="00F52C27"/>
    <w:rsid w:val="00F52EEB"/>
    <w:rsid w:val="00F5364A"/>
    <w:rsid w:val="00F5365F"/>
    <w:rsid w:val="00F544AE"/>
    <w:rsid w:val="00F54890"/>
    <w:rsid w:val="00F54A8A"/>
    <w:rsid w:val="00F54B3A"/>
    <w:rsid w:val="00F54C32"/>
    <w:rsid w:val="00F54D07"/>
    <w:rsid w:val="00F54DE5"/>
    <w:rsid w:val="00F55110"/>
    <w:rsid w:val="00F55641"/>
    <w:rsid w:val="00F55879"/>
    <w:rsid w:val="00F55B0C"/>
    <w:rsid w:val="00F55D7E"/>
    <w:rsid w:val="00F55F1C"/>
    <w:rsid w:val="00F56110"/>
    <w:rsid w:val="00F56148"/>
    <w:rsid w:val="00F561D5"/>
    <w:rsid w:val="00F5668E"/>
    <w:rsid w:val="00F567F7"/>
    <w:rsid w:val="00F5693B"/>
    <w:rsid w:val="00F56F38"/>
    <w:rsid w:val="00F56F93"/>
    <w:rsid w:val="00F56FBB"/>
    <w:rsid w:val="00F5712B"/>
    <w:rsid w:val="00F572C5"/>
    <w:rsid w:val="00F5734F"/>
    <w:rsid w:val="00F57497"/>
    <w:rsid w:val="00F57684"/>
    <w:rsid w:val="00F57832"/>
    <w:rsid w:val="00F5796A"/>
    <w:rsid w:val="00F57B02"/>
    <w:rsid w:val="00F57CE7"/>
    <w:rsid w:val="00F6029B"/>
    <w:rsid w:val="00F606AF"/>
    <w:rsid w:val="00F607C9"/>
    <w:rsid w:val="00F60DFC"/>
    <w:rsid w:val="00F60F26"/>
    <w:rsid w:val="00F61162"/>
    <w:rsid w:val="00F61A68"/>
    <w:rsid w:val="00F61BAB"/>
    <w:rsid w:val="00F623E3"/>
    <w:rsid w:val="00F6256A"/>
    <w:rsid w:val="00F625CE"/>
    <w:rsid w:val="00F625EF"/>
    <w:rsid w:val="00F62E4D"/>
    <w:rsid w:val="00F62FAE"/>
    <w:rsid w:val="00F634B8"/>
    <w:rsid w:val="00F636B0"/>
    <w:rsid w:val="00F63B22"/>
    <w:rsid w:val="00F6412C"/>
    <w:rsid w:val="00F64645"/>
    <w:rsid w:val="00F64769"/>
    <w:rsid w:val="00F648FC"/>
    <w:rsid w:val="00F64AAF"/>
    <w:rsid w:val="00F64C7A"/>
    <w:rsid w:val="00F64F99"/>
    <w:rsid w:val="00F6587E"/>
    <w:rsid w:val="00F65949"/>
    <w:rsid w:val="00F66124"/>
    <w:rsid w:val="00F662B0"/>
    <w:rsid w:val="00F6653E"/>
    <w:rsid w:val="00F6696E"/>
    <w:rsid w:val="00F66D51"/>
    <w:rsid w:val="00F67051"/>
    <w:rsid w:val="00F671F0"/>
    <w:rsid w:val="00F67401"/>
    <w:rsid w:val="00F67D3D"/>
    <w:rsid w:val="00F67F90"/>
    <w:rsid w:val="00F70543"/>
    <w:rsid w:val="00F706B0"/>
    <w:rsid w:val="00F709CE"/>
    <w:rsid w:val="00F70B7E"/>
    <w:rsid w:val="00F70DDB"/>
    <w:rsid w:val="00F70DFC"/>
    <w:rsid w:val="00F70FE3"/>
    <w:rsid w:val="00F7101F"/>
    <w:rsid w:val="00F71024"/>
    <w:rsid w:val="00F71171"/>
    <w:rsid w:val="00F711BA"/>
    <w:rsid w:val="00F712D1"/>
    <w:rsid w:val="00F71319"/>
    <w:rsid w:val="00F7186B"/>
    <w:rsid w:val="00F71D76"/>
    <w:rsid w:val="00F72122"/>
    <w:rsid w:val="00F72759"/>
    <w:rsid w:val="00F7298A"/>
    <w:rsid w:val="00F7303A"/>
    <w:rsid w:val="00F73169"/>
    <w:rsid w:val="00F7362C"/>
    <w:rsid w:val="00F73BD6"/>
    <w:rsid w:val="00F73C16"/>
    <w:rsid w:val="00F73C45"/>
    <w:rsid w:val="00F73C88"/>
    <w:rsid w:val="00F73DD2"/>
    <w:rsid w:val="00F73E70"/>
    <w:rsid w:val="00F73EBA"/>
    <w:rsid w:val="00F74141"/>
    <w:rsid w:val="00F74215"/>
    <w:rsid w:val="00F744EE"/>
    <w:rsid w:val="00F74AD6"/>
    <w:rsid w:val="00F75B3E"/>
    <w:rsid w:val="00F75E05"/>
    <w:rsid w:val="00F75E2F"/>
    <w:rsid w:val="00F75F17"/>
    <w:rsid w:val="00F76425"/>
    <w:rsid w:val="00F76485"/>
    <w:rsid w:val="00F76511"/>
    <w:rsid w:val="00F76E96"/>
    <w:rsid w:val="00F77681"/>
    <w:rsid w:val="00F77865"/>
    <w:rsid w:val="00F77952"/>
    <w:rsid w:val="00F77AF2"/>
    <w:rsid w:val="00F801C3"/>
    <w:rsid w:val="00F80435"/>
    <w:rsid w:val="00F812F2"/>
    <w:rsid w:val="00F813D7"/>
    <w:rsid w:val="00F81694"/>
    <w:rsid w:val="00F81B82"/>
    <w:rsid w:val="00F81C25"/>
    <w:rsid w:val="00F81DA8"/>
    <w:rsid w:val="00F81F5C"/>
    <w:rsid w:val="00F825A0"/>
    <w:rsid w:val="00F8273B"/>
    <w:rsid w:val="00F82B97"/>
    <w:rsid w:val="00F83398"/>
    <w:rsid w:val="00F83889"/>
    <w:rsid w:val="00F83989"/>
    <w:rsid w:val="00F83AD7"/>
    <w:rsid w:val="00F83CD0"/>
    <w:rsid w:val="00F83D49"/>
    <w:rsid w:val="00F83F50"/>
    <w:rsid w:val="00F83F89"/>
    <w:rsid w:val="00F83FE8"/>
    <w:rsid w:val="00F84263"/>
    <w:rsid w:val="00F84406"/>
    <w:rsid w:val="00F84ABB"/>
    <w:rsid w:val="00F84B82"/>
    <w:rsid w:val="00F84E36"/>
    <w:rsid w:val="00F8505E"/>
    <w:rsid w:val="00F85099"/>
    <w:rsid w:val="00F85274"/>
    <w:rsid w:val="00F8562D"/>
    <w:rsid w:val="00F856B7"/>
    <w:rsid w:val="00F8598B"/>
    <w:rsid w:val="00F85D60"/>
    <w:rsid w:val="00F85DD9"/>
    <w:rsid w:val="00F85F83"/>
    <w:rsid w:val="00F871D8"/>
    <w:rsid w:val="00F8737C"/>
    <w:rsid w:val="00F87420"/>
    <w:rsid w:val="00F875F7"/>
    <w:rsid w:val="00F8793E"/>
    <w:rsid w:val="00F87956"/>
    <w:rsid w:val="00F87C2B"/>
    <w:rsid w:val="00F87DD2"/>
    <w:rsid w:val="00F87F48"/>
    <w:rsid w:val="00F9012D"/>
    <w:rsid w:val="00F902E6"/>
    <w:rsid w:val="00F90432"/>
    <w:rsid w:val="00F90771"/>
    <w:rsid w:val="00F90A37"/>
    <w:rsid w:val="00F90AB6"/>
    <w:rsid w:val="00F90BFA"/>
    <w:rsid w:val="00F9131E"/>
    <w:rsid w:val="00F9151C"/>
    <w:rsid w:val="00F9164B"/>
    <w:rsid w:val="00F916E3"/>
    <w:rsid w:val="00F918A5"/>
    <w:rsid w:val="00F918B2"/>
    <w:rsid w:val="00F918FE"/>
    <w:rsid w:val="00F91A56"/>
    <w:rsid w:val="00F92064"/>
    <w:rsid w:val="00F921DE"/>
    <w:rsid w:val="00F924BA"/>
    <w:rsid w:val="00F92694"/>
    <w:rsid w:val="00F92C16"/>
    <w:rsid w:val="00F92EAF"/>
    <w:rsid w:val="00F9314C"/>
    <w:rsid w:val="00F9319D"/>
    <w:rsid w:val="00F9369D"/>
    <w:rsid w:val="00F9379C"/>
    <w:rsid w:val="00F93B47"/>
    <w:rsid w:val="00F93B61"/>
    <w:rsid w:val="00F94394"/>
    <w:rsid w:val="00F9449A"/>
    <w:rsid w:val="00F94875"/>
    <w:rsid w:val="00F949C1"/>
    <w:rsid w:val="00F94A47"/>
    <w:rsid w:val="00F94F6D"/>
    <w:rsid w:val="00F9504F"/>
    <w:rsid w:val="00F9537D"/>
    <w:rsid w:val="00F9569C"/>
    <w:rsid w:val="00F9632C"/>
    <w:rsid w:val="00F9694F"/>
    <w:rsid w:val="00F96BB3"/>
    <w:rsid w:val="00F96CA2"/>
    <w:rsid w:val="00F9705E"/>
    <w:rsid w:val="00F976CC"/>
    <w:rsid w:val="00F976E0"/>
    <w:rsid w:val="00F97B39"/>
    <w:rsid w:val="00F97BB6"/>
    <w:rsid w:val="00F97DB2"/>
    <w:rsid w:val="00F97EF5"/>
    <w:rsid w:val="00FA04D3"/>
    <w:rsid w:val="00FA04DA"/>
    <w:rsid w:val="00FA0591"/>
    <w:rsid w:val="00FA06B3"/>
    <w:rsid w:val="00FA0740"/>
    <w:rsid w:val="00FA0B6F"/>
    <w:rsid w:val="00FA0C0F"/>
    <w:rsid w:val="00FA0CFE"/>
    <w:rsid w:val="00FA0E9B"/>
    <w:rsid w:val="00FA13F0"/>
    <w:rsid w:val="00FA14C2"/>
    <w:rsid w:val="00FA14D0"/>
    <w:rsid w:val="00FA15B3"/>
    <w:rsid w:val="00FA18E6"/>
    <w:rsid w:val="00FA19F7"/>
    <w:rsid w:val="00FA1D27"/>
    <w:rsid w:val="00FA1E52"/>
    <w:rsid w:val="00FA1E76"/>
    <w:rsid w:val="00FA31C2"/>
    <w:rsid w:val="00FA32E6"/>
    <w:rsid w:val="00FA3A0C"/>
    <w:rsid w:val="00FA3AF1"/>
    <w:rsid w:val="00FA3BD3"/>
    <w:rsid w:val="00FA3C0C"/>
    <w:rsid w:val="00FA3F90"/>
    <w:rsid w:val="00FA42B2"/>
    <w:rsid w:val="00FA4465"/>
    <w:rsid w:val="00FA48EE"/>
    <w:rsid w:val="00FA4B55"/>
    <w:rsid w:val="00FA4BDC"/>
    <w:rsid w:val="00FA4F80"/>
    <w:rsid w:val="00FA5127"/>
    <w:rsid w:val="00FA5438"/>
    <w:rsid w:val="00FA54E5"/>
    <w:rsid w:val="00FA55C1"/>
    <w:rsid w:val="00FA5783"/>
    <w:rsid w:val="00FA5A74"/>
    <w:rsid w:val="00FA5E5F"/>
    <w:rsid w:val="00FA5F55"/>
    <w:rsid w:val="00FA6154"/>
    <w:rsid w:val="00FA65A7"/>
    <w:rsid w:val="00FA6A7B"/>
    <w:rsid w:val="00FA708A"/>
    <w:rsid w:val="00FA7337"/>
    <w:rsid w:val="00FA7771"/>
    <w:rsid w:val="00FA7ECE"/>
    <w:rsid w:val="00FA7FC9"/>
    <w:rsid w:val="00FB0612"/>
    <w:rsid w:val="00FB07C1"/>
    <w:rsid w:val="00FB07D5"/>
    <w:rsid w:val="00FB08A9"/>
    <w:rsid w:val="00FB08BF"/>
    <w:rsid w:val="00FB0908"/>
    <w:rsid w:val="00FB0A22"/>
    <w:rsid w:val="00FB0A2C"/>
    <w:rsid w:val="00FB0F3E"/>
    <w:rsid w:val="00FB0FA5"/>
    <w:rsid w:val="00FB12D3"/>
    <w:rsid w:val="00FB16E5"/>
    <w:rsid w:val="00FB1EDD"/>
    <w:rsid w:val="00FB2105"/>
    <w:rsid w:val="00FB2240"/>
    <w:rsid w:val="00FB2623"/>
    <w:rsid w:val="00FB2C76"/>
    <w:rsid w:val="00FB2C87"/>
    <w:rsid w:val="00FB2E2D"/>
    <w:rsid w:val="00FB442E"/>
    <w:rsid w:val="00FB4613"/>
    <w:rsid w:val="00FB491C"/>
    <w:rsid w:val="00FB49E3"/>
    <w:rsid w:val="00FB4B6A"/>
    <w:rsid w:val="00FB4D4A"/>
    <w:rsid w:val="00FB4FC5"/>
    <w:rsid w:val="00FB522A"/>
    <w:rsid w:val="00FB524C"/>
    <w:rsid w:val="00FB5A08"/>
    <w:rsid w:val="00FB5BBF"/>
    <w:rsid w:val="00FB5E6B"/>
    <w:rsid w:val="00FB61F3"/>
    <w:rsid w:val="00FB6550"/>
    <w:rsid w:val="00FB68A5"/>
    <w:rsid w:val="00FB6D4B"/>
    <w:rsid w:val="00FB7421"/>
    <w:rsid w:val="00FB74C3"/>
    <w:rsid w:val="00FB7600"/>
    <w:rsid w:val="00FB7D6C"/>
    <w:rsid w:val="00FC019C"/>
    <w:rsid w:val="00FC05A2"/>
    <w:rsid w:val="00FC0B51"/>
    <w:rsid w:val="00FC0C8A"/>
    <w:rsid w:val="00FC0D06"/>
    <w:rsid w:val="00FC0F09"/>
    <w:rsid w:val="00FC137B"/>
    <w:rsid w:val="00FC143C"/>
    <w:rsid w:val="00FC1462"/>
    <w:rsid w:val="00FC1985"/>
    <w:rsid w:val="00FC1A65"/>
    <w:rsid w:val="00FC1EA3"/>
    <w:rsid w:val="00FC20B5"/>
    <w:rsid w:val="00FC2474"/>
    <w:rsid w:val="00FC24A3"/>
    <w:rsid w:val="00FC24CB"/>
    <w:rsid w:val="00FC277D"/>
    <w:rsid w:val="00FC29A9"/>
    <w:rsid w:val="00FC2B54"/>
    <w:rsid w:val="00FC305F"/>
    <w:rsid w:val="00FC3214"/>
    <w:rsid w:val="00FC33C5"/>
    <w:rsid w:val="00FC394C"/>
    <w:rsid w:val="00FC3D10"/>
    <w:rsid w:val="00FC3E2A"/>
    <w:rsid w:val="00FC4044"/>
    <w:rsid w:val="00FC464B"/>
    <w:rsid w:val="00FC48FF"/>
    <w:rsid w:val="00FC4BD5"/>
    <w:rsid w:val="00FC4C61"/>
    <w:rsid w:val="00FC513C"/>
    <w:rsid w:val="00FC54E8"/>
    <w:rsid w:val="00FC56EA"/>
    <w:rsid w:val="00FC5A1D"/>
    <w:rsid w:val="00FC6250"/>
    <w:rsid w:val="00FC6938"/>
    <w:rsid w:val="00FC6A20"/>
    <w:rsid w:val="00FC6A80"/>
    <w:rsid w:val="00FC6B1C"/>
    <w:rsid w:val="00FC71E1"/>
    <w:rsid w:val="00FC726A"/>
    <w:rsid w:val="00FC734E"/>
    <w:rsid w:val="00FC7452"/>
    <w:rsid w:val="00FC74C8"/>
    <w:rsid w:val="00FC7CFC"/>
    <w:rsid w:val="00FD03FE"/>
    <w:rsid w:val="00FD065F"/>
    <w:rsid w:val="00FD0D3D"/>
    <w:rsid w:val="00FD1246"/>
    <w:rsid w:val="00FD134A"/>
    <w:rsid w:val="00FD1371"/>
    <w:rsid w:val="00FD141B"/>
    <w:rsid w:val="00FD1450"/>
    <w:rsid w:val="00FD1804"/>
    <w:rsid w:val="00FD18CE"/>
    <w:rsid w:val="00FD1A47"/>
    <w:rsid w:val="00FD1D01"/>
    <w:rsid w:val="00FD1DC7"/>
    <w:rsid w:val="00FD2027"/>
    <w:rsid w:val="00FD202A"/>
    <w:rsid w:val="00FD2176"/>
    <w:rsid w:val="00FD2210"/>
    <w:rsid w:val="00FD22FF"/>
    <w:rsid w:val="00FD28DE"/>
    <w:rsid w:val="00FD3D31"/>
    <w:rsid w:val="00FD46FD"/>
    <w:rsid w:val="00FD4A05"/>
    <w:rsid w:val="00FD5759"/>
    <w:rsid w:val="00FD5804"/>
    <w:rsid w:val="00FD5F73"/>
    <w:rsid w:val="00FD691B"/>
    <w:rsid w:val="00FD70CA"/>
    <w:rsid w:val="00FD70E0"/>
    <w:rsid w:val="00FD71A7"/>
    <w:rsid w:val="00FD73BB"/>
    <w:rsid w:val="00FD74E8"/>
    <w:rsid w:val="00FD7694"/>
    <w:rsid w:val="00FD7873"/>
    <w:rsid w:val="00FD7D4B"/>
    <w:rsid w:val="00FD7EE2"/>
    <w:rsid w:val="00FE0096"/>
    <w:rsid w:val="00FE057F"/>
    <w:rsid w:val="00FE075C"/>
    <w:rsid w:val="00FE0E1B"/>
    <w:rsid w:val="00FE0FD0"/>
    <w:rsid w:val="00FE1DF8"/>
    <w:rsid w:val="00FE20CA"/>
    <w:rsid w:val="00FE2205"/>
    <w:rsid w:val="00FE254F"/>
    <w:rsid w:val="00FE27D6"/>
    <w:rsid w:val="00FE30DA"/>
    <w:rsid w:val="00FE35E4"/>
    <w:rsid w:val="00FE39C1"/>
    <w:rsid w:val="00FE3D44"/>
    <w:rsid w:val="00FE3DD1"/>
    <w:rsid w:val="00FE42F8"/>
    <w:rsid w:val="00FE4688"/>
    <w:rsid w:val="00FE497A"/>
    <w:rsid w:val="00FE4A50"/>
    <w:rsid w:val="00FE4F8C"/>
    <w:rsid w:val="00FE5209"/>
    <w:rsid w:val="00FE569E"/>
    <w:rsid w:val="00FE59D3"/>
    <w:rsid w:val="00FE5BB7"/>
    <w:rsid w:val="00FE5E4D"/>
    <w:rsid w:val="00FE5F80"/>
    <w:rsid w:val="00FE61A5"/>
    <w:rsid w:val="00FE6317"/>
    <w:rsid w:val="00FE680D"/>
    <w:rsid w:val="00FE6A8A"/>
    <w:rsid w:val="00FE6F50"/>
    <w:rsid w:val="00FE7309"/>
    <w:rsid w:val="00FE7F23"/>
    <w:rsid w:val="00FF012E"/>
    <w:rsid w:val="00FF0B6D"/>
    <w:rsid w:val="00FF1569"/>
    <w:rsid w:val="00FF16E1"/>
    <w:rsid w:val="00FF1800"/>
    <w:rsid w:val="00FF1C6A"/>
    <w:rsid w:val="00FF1CBC"/>
    <w:rsid w:val="00FF1FEF"/>
    <w:rsid w:val="00FF205D"/>
    <w:rsid w:val="00FF2130"/>
    <w:rsid w:val="00FF2282"/>
    <w:rsid w:val="00FF228B"/>
    <w:rsid w:val="00FF2BB1"/>
    <w:rsid w:val="00FF2BE9"/>
    <w:rsid w:val="00FF2D32"/>
    <w:rsid w:val="00FF2F6B"/>
    <w:rsid w:val="00FF39A8"/>
    <w:rsid w:val="00FF409B"/>
    <w:rsid w:val="00FF46F9"/>
    <w:rsid w:val="00FF5239"/>
    <w:rsid w:val="00FF5539"/>
    <w:rsid w:val="00FF5704"/>
    <w:rsid w:val="00FF657B"/>
    <w:rsid w:val="00FF690A"/>
    <w:rsid w:val="00FF6D25"/>
    <w:rsid w:val="00FF71D2"/>
    <w:rsid w:val="00FF73B9"/>
    <w:rsid w:val="00FF73F8"/>
    <w:rsid w:val="00FF74E5"/>
    <w:rsid w:val="00FF75A8"/>
    <w:rsid w:val="00FF7626"/>
    <w:rsid w:val="00FF7D84"/>
    <w:rsid w:val="00FF7DFD"/>
    <w:rsid w:val="00FF7E57"/>
  </w:rsids>
  <m:mathPr>
    <m:mathFont m:val="Cambria Math"/>
    <m:brkBin m:val="before"/>
    <m:brkBinSub m:val="--"/>
    <m:smallFrac m:val="0"/>
    <m:dispDef/>
    <m:lMargin m:val="0"/>
    <m:rMargin m:val="0"/>
    <m:defJc m:val="left"/>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F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72569"/>
    <w:pPr>
      <w:spacing w:line="260" w:lineRule="atLeast"/>
    </w:pPr>
    <w:rPr>
      <w:sz w:val="22"/>
    </w:rPr>
  </w:style>
  <w:style w:type="paragraph" w:styleId="Heading1">
    <w:name w:val="heading 1"/>
    <w:aliases w:val="h1"/>
    <w:basedOn w:val="Normal"/>
    <w:next w:val="Normal"/>
    <w:link w:val="Heading1Char"/>
    <w:qFormat/>
    <w:rsid w:val="00152336"/>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152336"/>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nhideWhenUsed/>
    <w:qFormat/>
    <w:rsid w:val="00152336"/>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152336"/>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numPr>
        <w:ilvl w:val="5"/>
        <w:numId w:val="5"/>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uiPriority w:val="99"/>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autoRedefine/>
    <w:qFormat/>
    <w:rsid w:val="009A3331"/>
    <w:pPr>
      <w:keepNext/>
      <w:autoSpaceDE w:val="0"/>
      <w:autoSpaceDN w:val="0"/>
      <w:spacing w:before="360" w:line="240" w:lineRule="auto"/>
      <w:ind w:left="720" w:hanging="720"/>
      <w:outlineLvl w:val="0"/>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t_Subsub"/>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uiPriority w:val="99"/>
    <w:rsid w:val="00C7573B"/>
    <w:pPr>
      <w:keepNext/>
      <w:keepLines/>
      <w:spacing w:before="240" w:line="240" w:lineRule="auto"/>
      <w:ind w:left="1134"/>
    </w:pPr>
    <w:rPr>
      <w:i/>
    </w:rPr>
  </w:style>
  <w:style w:type="paragraph" w:customStyle="1" w:styleId="Tablea">
    <w:name w:val="Table(a)"/>
    <w:aliases w:val="ta"/>
    <w:basedOn w:val="OPCParaBase"/>
    <w:autoRedefine/>
    <w:rsid w:val="00041538"/>
    <w:pPr>
      <w:tabs>
        <w:tab w:val="right" w:pos="57"/>
      </w:tabs>
      <w:spacing w:before="60" w:line="240" w:lineRule="auto"/>
      <w:ind w:left="425" w:hanging="425"/>
    </w:pPr>
    <w:rPr>
      <w:sz w:val="20"/>
    </w:rPr>
  </w:style>
  <w:style w:type="paragraph" w:customStyle="1" w:styleId="TableAA">
    <w:name w:val="Table(AA)"/>
    <w:aliases w:val="taaa"/>
    <w:basedOn w:val="OPCParaBase"/>
    <w:autoRedefine/>
    <w:rsid w:val="005B0582"/>
    <w:pPr>
      <w:tabs>
        <w:tab w:val="right" w:pos="1418"/>
      </w:tabs>
      <w:spacing w:before="40" w:after="40" w:line="240" w:lineRule="exact"/>
      <w:ind w:left="1531" w:hanging="1531"/>
    </w:pPr>
    <w:rPr>
      <w:sz w:val="20"/>
    </w:rPr>
  </w:style>
  <w:style w:type="paragraph" w:customStyle="1" w:styleId="Tablei">
    <w:name w:val="Table(i)"/>
    <w:aliases w:val="taa"/>
    <w:basedOn w:val="OPCParaBase"/>
    <w:autoRedefine/>
    <w:rsid w:val="006A44C9"/>
    <w:pPr>
      <w:tabs>
        <w:tab w:val="right" w:pos="737"/>
      </w:tabs>
      <w:spacing w:line="240" w:lineRule="exact"/>
      <w:ind w:left="851" w:hanging="851"/>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4493"/>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1"/>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aliases w:val="h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314493"/>
  </w:style>
  <w:style w:type="paragraph" w:styleId="BlockText">
    <w:name w:val="Block Text"/>
    <w:basedOn w:val="Normal"/>
    <w:unhideWhenUsed/>
    <w:rsid w:val="003144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rsid w:val="00314493"/>
    <w:pPr>
      <w:spacing w:after="120"/>
    </w:pPr>
  </w:style>
  <w:style w:type="character" w:customStyle="1" w:styleId="BodyTextChar">
    <w:name w:val="Body Text Char"/>
    <w:basedOn w:val="DefaultParagraphFont"/>
    <w:link w:val="BodyText"/>
    <w:uiPriority w:val="99"/>
    <w:semiHidden/>
    <w:rsid w:val="00314493"/>
    <w:rPr>
      <w:sz w:val="22"/>
    </w:rPr>
  </w:style>
  <w:style w:type="paragraph" w:styleId="BodyText2">
    <w:name w:val="Body Text 2"/>
    <w:basedOn w:val="Normal"/>
    <w:link w:val="BodyText2Char"/>
    <w:unhideWhenUsed/>
    <w:rsid w:val="00314493"/>
    <w:pPr>
      <w:spacing w:after="120" w:line="480" w:lineRule="auto"/>
    </w:pPr>
  </w:style>
  <w:style w:type="character" w:customStyle="1" w:styleId="BodyText2Char">
    <w:name w:val="Body Text 2 Char"/>
    <w:basedOn w:val="DefaultParagraphFont"/>
    <w:link w:val="BodyText2"/>
    <w:uiPriority w:val="99"/>
    <w:semiHidden/>
    <w:rsid w:val="00314493"/>
    <w:rPr>
      <w:sz w:val="22"/>
    </w:rPr>
  </w:style>
  <w:style w:type="paragraph" w:styleId="BodyText3">
    <w:name w:val="Body Text 3"/>
    <w:basedOn w:val="Normal"/>
    <w:link w:val="BodyText3Char"/>
    <w:unhideWhenUsed/>
    <w:rsid w:val="00314493"/>
    <w:pPr>
      <w:spacing w:after="120"/>
    </w:pPr>
    <w:rPr>
      <w:sz w:val="16"/>
      <w:szCs w:val="16"/>
    </w:rPr>
  </w:style>
  <w:style w:type="character" w:customStyle="1" w:styleId="BodyText3Char">
    <w:name w:val="Body Text 3 Char"/>
    <w:basedOn w:val="DefaultParagraphFont"/>
    <w:link w:val="BodyText3"/>
    <w:uiPriority w:val="99"/>
    <w:semiHidden/>
    <w:rsid w:val="00314493"/>
    <w:rPr>
      <w:sz w:val="16"/>
      <w:szCs w:val="16"/>
    </w:rPr>
  </w:style>
  <w:style w:type="paragraph" w:styleId="BodyTextFirstIndent">
    <w:name w:val="Body Text First Indent"/>
    <w:basedOn w:val="BodyText"/>
    <w:link w:val="BodyTextFirstIndentChar"/>
    <w:unhideWhenUsed/>
    <w:rsid w:val="00314493"/>
    <w:pPr>
      <w:spacing w:after="0"/>
      <w:ind w:firstLine="360"/>
    </w:pPr>
  </w:style>
  <w:style w:type="character" w:customStyle="1" w:styleId="BodyTextFirstIndentChar">
    <w:name w:val="Body Text First Indent Char"/>
    <w:basedOn w:val="BodyTextChar"/>
    <w:link w:val="BodyTextFirstIndent"/>
    <w:uiPriority w:val="99"/>
    <w:semiHidden/>
    <w:rsid w:val="00314493"/>
    <w:rPr>
      <w:sz w:val="22"/>
    </w:rPr>
  </w:style>
  <w:style w:type="paragraph" w:styleId="BodyTextIndent">
    <w:name w:val="Body Text Indent"/>
    <w:basedOn w:val="Normal"/>
    <w:link w:val="BodyTextIndentChar"/>
    <w:unhideWhenUsed/>
    <w:rsid w:val="00314493"/>
    <w:pPr>
      <w:spacing w:after="120"/>
      <w:ind w:left="283"/>
    </w:pPr>
  </w:style>
  <w:style w:type="character" w:customStyle="1" w:styleId="BodyTextIndentChar">
    <w:name w:val="Body Text Indent Char"/>
    <w:basedOn w:val="DefaultParagraphFont"/>
    <w:link w:val="BodyTextIndent"/>
    <w:uiPriority w:val="99"/>
    <w:semiHidden/>
    <w:rsid w:val="00314493"/>
    <w:rPr>
      <w:sz w:val="22"/>
    </w:rPr>
  </w:style>
  <w:style w:type="paragraph" w:styleId="BodyTextFirstIndent2">
    <w:name w:val="Body Text First Indent 2"/>
    <w:basedOn w:val="BodyTextIndent"/>
    <w:link w:val="BodyTextFirstIndent2Char"/>
    <w:unhideWhenUsed/>
    <w:rsid w:val="003144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4493"/>
    <w:rPr>
      <w:sz w:val="22"/>
    </w:rPr>
  </w:style>
  <w:style w:type="paragraph" w:styleId="BodyTextIndent2">
    <w:name w:val="Body Text Indent 2"/>
    <w:basedOn w:val="Normal"/>
    <w:link w:val="BodyTextIndent2Char"/>
    <w:unhideWhenUsed/>
    <w:rsid w:val="00314493"/>
    <w:pPr>
      <w:spacing w:after="120" w:line="480" w:lineRule="auto"/>
      <w:ind w:left="283"/>
    </w:pPr>
  </w:style>
  <w:style w:type="character" w:customStyle="1" w:styleId="BodyTextIndent2Char">
    <w:name w:val="Body Text Indent 2 Char"/>
    <w:basedOn w:val="DefaultParagraphFont"/>
    <w:link w:val="BodyTextIndent2"/>
    <w:uiPriority w:val="99"/>
    <w:semiHidden/>
    <w:rsid w:val="00314493"/>
    <w:rPr>
      <w:sz w:val="22"/>
    </w:rPr>
  </w:style>
  <w:style w:type="paragraph" w:styleId="BodyTextIndent3">
    <w:name w:val="Body Text Indent 3"/>
    <w:basedOn w:val="Normal"/>
    <w:link w:val="BodyTextIndent3Char"/>
    <w:unhideWhenUsed/>
    <w:rsid w:val="003144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4493"/>
    <w:rPr>
      <w:sz w:val="16"/>
      <w:szCs w:val="16"/>
    </w:rPr>
  </w:style>
  <w:style w:type="paragraph" w:styleId="Caption">
    <w:name w:val="caption"/>
    <w:basedOn w:val="Normal"/>
    <w:next w:val="Normal"/>
    <w:unhideWhenUsed/>
    <w:qFormat/>
    <w:rsid w:val="00314493"/>
    <w:pPr>
      <w:spacing w:after="200" w:line="240" w:lineRule="auto"/>
    </w:pPr>
    <w:rPr>
      <w:i/>
      <w:iCs/>
      <w:color w:val="1F497D" w:themeColor="text2"/>
      <w:sz w:val="18"/>
      <w:szCs w:val="18"/>
    </w:rPr>
  </w:style>
  <w:style w:type="paragraph" w:styleId="Closing">
    <w:name w:val="Closing"/>
    <w:basedOn w:val="Normal"/>
    <w:link w:val="ClosingChar"/>
    <w:unhideWhenUsed/>
    <w:rsid w:val="00314493"/>
    <w:pPr>
      <w:spacing w:line="240" w:lineRule="auto"/>
      <w:ind w:left="4252"/>
    </w:pPr>
  </w:style>
  <w:style w:type="character" w:customStyle="1" w:styleId="ClosingChar">
    <w:name w:val="Closing Char"/>
    <w:basedOn w:val="DefaultParagraphFont"/>
    <w:link w:val="Closing"/>
    <w:uiPriority w:val="99"/>
    <w:semiHidden/>
    <w:rsid w:val="00314493"/>
    <w:rPr>
      <w:sz w:val="22"/>
    </w:rPr>
  </w:style>
  <w:style w:type="paragraph" w:styleId="CommentText">
    <w:name w:val="annotation text"/>
    <w:basedOn w:val="Normal"/>
    <w:link w:val="CommentTextChar"/>
    <w:unhideWhenUsed/>
    <w:rsid w:val="00314493"/>
    <w:pPr>
      <w:spacing w:line="240" w:lineRule="auto"/>
    </w:pPr>
    <w:rPr>
      <w:sz w:val="20"/>
    </w:rPr>
  </w:style>
  <w:style w:type="character" w:customStyle="1" w:styleId="CommentTextChar">
    <w:name w:val="Comment Text Char"/>
    <w:basedOn w:val="DefaultParagraphFont"/>
    <w:link w:val="CommentText"/>
    <w:uiPriority w:val="99"/>
    <w:rsid w:val="00314493"/>
  </w:style>
  <w:style w:type="paragraph" w:styleId="CommentSubject">
    <w:name w:val="annotation subject"/>
    <w:basedOn w:val="CommentText"/>
    <w:next w:val="CommentText"/>
    <w:link w:val="CommentSubjectChar"/>
    <w:unhideWhenUsed/>
    <w:rsid w:val="00314493"/>
    <w:rPr>
      <w:b/>
      <w:bCs/>
    </w:rPr>
  </w:style>
  <w:style w:type="character" w:customStyle="1" w:styleId="CommentSubjectChar">
    <w:name w:val="Comment Subject Char"/>
    <w:basedOn w:val="CommentTextChar"/>
    <w:link w:val="CommentSubject"/>
    <w:uiPriority w:val="99"/>
    <w:semiHidden/>
    <w:rsid w:val="00314493"/>
    <w:rPr>
      <w:b/>
      <w:bCs/>
    </w:rPr>
  </w:style>
  <w:style w:type="paragraph" w:styleId="Date">
    <w:name w:val="Date"/>
    <w:basedOn w:val="Normal"/>
    <w:next w:val="Normal"/>
    <w:link w:val="DateChar"/>
    <w:unhideWhenUsed/>
    <w:rsid w:val="00314493"/>
  </w:style>
  <w:style w:type="character" w:customStyle="1" w:styleId="DateChar">
    <w:name w:val="Date Char"/>
    <w:basedOn w:val="DefaultParagraphFont"/>
    <w:link w:val="Date"/>
    <w:uiPriority w:val="99"/>
    <w:semiHidden/>
    <w:rsid w:val="00314493"/>
    <w:rPr>
      <w:sz w:val="22"/>
    </w:rPr>
  </w:style>
  <w:style w:type="paragraph" w:styleId="DocumentMap">
    <w:name w:val="Document Map"/>
    <w:basedOn w:val="Normal"/>
    <w:link w:val="DocumentMapChar"/>
    <w:unhideWhenUsed/>
    <w:rsid w:val="0031449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4493"/>
    <w:rPr>
      <w:rFonts w:ascii="Segoe UI" w:hAnsi="Segoe UI" w:cs="Segoe UI"/>
      <w:sz w:val="16"/>
      <w:szCs w:val="16"/>
    </w:rPr>
  </w:style>
  <w:style w:type="paragraph" w:styleId="E-mailSignature">
    <w:name w:val="E-mail Signature"/>
    <w:basedOn w:val="Normal"/>
    <w:link w:val="E-mailSignatureChar"/>
    <w:unhideWhenUsed/>
    <w:rsid w:val="00314493"/>
    <w:pPr>
      <w:spacing w:line="240" w:lineRule="auto"/>
    </w:pPr>
  </w:style>
  <w:style w:type="character" w:customStyle="1" w:styleId="E-mailSignatureChar">
    <w:name w:val="E-mail Signature Char"/>
    <w:basedOn w:val="DefaultParagraphFont"/>
    <w:link w:val="E-mailSignature"/>
    <w:uiPriority w:val="99"/>
    <w:semiHidden/>
    <w:rsid w:val="00314493"/>
    <w:rPr>
      <w:sz w:val="22"/>
    </w:rPr>
  </w:style>
  <w:style w:type="paragraph" w:styleId="EndnoteText">
    <w:name w:val="endnote text"/>
    <w:basedOn w:val="Normal"/>
    <w:link w:val="EndnoteTextChar"/>
    <w:unhideWhenUsed/>
    <w:rsid w:val="00314493"/>
    <w:pPr>
      <w:spacing w:line="240" w:lineRule="auto"/>
    </w:pPr>
    <w:rPr>
      <w:sz w:val="20"/>
    </w:rPr>
  </w:style>
  <w:style w:type="character" w:customStyle="1" w:styleId="EndnoteTextChar">
    <w:name w:val="Endnote Text Char"/>
    <w:basedOn w:val="DefaultParagraphFont"/>
    <w:link w:val="EndnoteText"/>
    <w:uiPriority w:val="99"/>
    <w:semiHidden/>
    <w:rsid w:val="00314493"/>
  </w:style>
  <w:style w:type="paragraph" w:styleId="EnvelopeAddress">
    <w:name w:val="envelope address"/>
    <w:basedOn w:val="Normal"/>
    <w:unhideWhenUsed/>
    <w:rsid w:val="003144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1449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2"/>
    <w:unhideWhenUsed/>
    <w:rsid w:val="00314493"/>
    <w:pPr>
      <w:spacing w:line="240" w:lineRule="auto"/>
    </w:pPr>
    <w:rPr>
      <w:sz w:val="20"/>
    </w:rPr>
  </w:style>
  <w:style w:type="character" w:customStyle="1" w:styleId="FootnoteTextChar">
    <w:name w:val="Footnote Text Char"/>
    <w:basedOn w:val="DefaultParagraphFont"/>
    <w:link w:val="FootnoteText"/>
    <w:uiPriority w:val="2"/>
    <w:rsid w:val="00314493"/>
  </w:style>
  <w:style w:type="paragraph" w:styleId="HTMLAddress">
    <w:name w:val="HTML Address"/>
    <w:basedOn w:val="Normal"/>
    <w:link w:val="HTMLAddressChar"/>
    <w:unhideWhenUsed/>
    <w:rsid w:val="00314493"/>
    <w:pPr>
      <w:spacing w:line="240" w:lineRule="auto"/>
    </w:pPr>
    <w:rPr>
      <w:i/>
      <w:iCs/>
    </w:rPr>
  </w:style>
  <w:style w:type="character" w:customStyle="1" w:styleId="HTMLAddressChar">
    <w:name w:val="HTML Address Char"/>
    <w:basedOn w:val="DefaultParagraphFont"/>
    <w:link w:val="HTMLAddress"/>
    <w:uiPriority w:val="99"/>
    <w:semiHidden/>
    <w:rsid w:val="00314493"/>
    <w:rPr>
      <w:i/>
      <w:iCs/>
      <w:sz w:val="22"/>
    </w:rPr>
  </w:style>
  <w:style w:type="paragraph" w:styleId="HTMLPreformatted">
    <w:name w:val="HTML Preformatted"/>
    <w:basedOn w:val="Normal"/>
    <w:link w:val="HTMLPreformattedChar"/>
    <w:unhideWhenUsed/>
    <w:rsid w:val="0031449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14493"/>
    <w:rPr>
      <w:rFonts w:ascii="Consolas" w:hAnsi="Consolas" w:cs="Consolas"/>
    </w:rPr>
  </w:style>
  <w:style w:type="paragraph" w:styleId="Index1">
    <w:name w:val="index 1"/>
    <w:basedOn w:val="Normal"/>
    <w:next w:val="Normal"/>
    <w:autoRedefine/>
    <w:unhideWhenUsed/>
    <w:rsid w:val="00314493"/>
    <w:pPr>
      <w:spacing w:line="240" w:lineRule="auto"/>
      <w:ind w:left="220" w:hanging="220"/>
    </w:pPr>
  </w:style>
  <w:style w:type="paragraph" w:styleId="Index2">
    <w:name w:val="index 2"/>
    <w:basedOn w:val="Normal"/>
    <w:next w:val="Normal"/>
    <w:autoRedefine/>
    <w:unhideWhenUsed/>
    <w:rsid w:val="00314493"/>
    <w:pPr>
      <w:spacing w:line="240" w:lineRule="auto"/>
      <w:ind w:left="440" w:hanging="220"/>
    </w:pPr>
  </w:style>
  <w:style w:type="paragraph" w:styleId="Index3">
    <w:name w:val="index 3"/>
    <w:basedOn w:val="Normal"/>
    <w:next w:val="Normal"/>
    <w:autoRedefine/>
    <w:unhideWhenUsed/>
    <w:rsid w:val="00314493"/>
    <w:pPr>
      <w:spacing w:line="240" w:lineRule="auto"/>
      <w:ind w:left="660" w:hanging="220"/>
    </w:pPr>
  </w:style>
  <w:style w:type="paragraph" w:styleId="Index4">
    <w:name w:val="index 4"/>
    <w:basedOn w:val="Normal"/>
    <w:next w:val="Normal"/>
    <w:autoRedefine/>
    <w:unhideWhenUsed/>
    <w:rsid w:val="00314493"/>
    <w:pPr>
      <w:spacing w:line="240" w:lineRule="auto"/>
      <w:ind w:left="880" w:hanging="220"/>
    </w:pPr>
  </w:style>
  <w:style w:type="paragraph" w:styleId="Index5">
    <w:name w:val="index 5"/>
    <w:basedOn w:val="Normal"/>
    <w:next w:val="Normal"/>
    <w:autoRedefine/>
    <w:unhideWhenUsed/>
    <w:rsid w:val="00314493"/>
    <w:pPr>
      <w:spacing w:line="240" w:lineRule="auto"/>
      <w:ind w:left="1100" w:hanging="220"/>
    </w:pPr>
  </w:style>
  <w:style w:type="paragraph" w:styleId="Index6">
    <w:name w:val="index 6"/>
    <w:basedOn w:val="Normal"/>
    <w:next w:val="Normal"/>
    <w:autoRedefine/>
    <w:unhideWhenUsed/>
    <w:rsid w:val="00314493"/>
    <w:pPr>
      <w:spacing w:line="240" w:lineRule="auto"/>
      <w:ind w:left="1320" w:hanging="220"/>
    </w:pPr>
  </w:style>
  <w:style w:type="paragraph" w:styleId="Index7">
    <w:name w:val="index 7"/>
    <w:basedOn w:val="Normal"/>
    <w:next w:val="Normal"/>
    <w:autoRedefine/>
    <w:unhideWhenUsed/>
    <w:rsid w:val="00314493"/>
    <w:pPr>
      <w:spacing w:line="240" w:lineRule="auto"/>
      <w:ind w:left="1540" w:hanging="220"/>
    </w:pPr>
  </w:style>
  <w:style w:type="paragraph" w:styleId="Index8">
    <w:name w:val="index 8"/>
    <w:basedOn w:val="Normal"/>
    <w:next w:val="Normal"/>
    <w:autoRedefine/>
    <w:unhideWhenUsed/>
    <w:rsid w:val="00314493"/>
    <w:pPr>
      <w:spacing w:line="240" w:lineRule="auto"/>
      <w:ind w:left="1760" w:hanging="220"/>
    </w:pPr>
  </w:style>
  <w:style w:type="paragraph" w:styleId="Index9">
    <w:name w:val="index 9"/>
    <w:basedOn w:val="Normal"/>
    <w:next w:val="Normal"/>
    <w:autoRedefine/>
    <w:unhideWhenUsed/>
    <w:rsid w:val="00314493"/>
    <w:pPr>
      <w:spacing w:line="240" w:lineRule="auto"/>
      <w:ind w:left="1980" w:hanging="220"/>
    </w:pPr>
  </w:style>
  <w:style w:type="paragraph" w:styleId="IndexHeading">
    <w:name w:val="index heading"/>
    <w:basedOn w:val="Normal"/>
    <w:next w:val="Index1"/>
    <w:unhideWhenUsed/>
    <w:rsid w:val="003144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4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493"/>
    <w:rPr>
      <w:i/>
      <w:iCs/>
      <w:color w:val="4F81BD" w:themeColor="accent1"/>
      <w:sz w:val="22"/>
    </w:rPr>
  </w:style>
  <w:style w:type="paragraph" w:styleId="List">
    <w:name w:val="List"/>
    <w:basedOn w:val="Normal"/>
    <w:unhideWhenUsed/>
    <w:rsid w:val="00314493"/>
    <w:pPr>
      <w:ind w:left="283" w:hanging="283"/>
      <w:contextualSpacing/>
    </w:pPr>
  </w:style>
  <w:style w:type="paragraph" w:styleId="List2">
    <w:name w:val="List 2"/>
    <w:basedOn w:val="Normal"/>
    <w:unhideWhenUsed/>
    <w:rsid w:val="00314493"/>
    <w:pPr>
      <w:ind w:left="566" w:hanging="283"/>
      <w:contextualSpacing/>
    </w:pPr>
  </w:style>
  <w:style w:type="paragraph" w:styleId="List3">
    <w:name w:val="List 3"/>
    <w:basedOn w:val="Normal"/>
    <w:unhideWhenUsed/>
    <w:rsid w:val="00314493"/>
    <w:pPr>
      <w:ind w:left="849" w:hanging="283"/>
      <w:contextualSpacing/>
    </w:pPr>
  </w:style>
  <w:style w:type="paragraph" w:styleId="List4">
    <w:name w:val="List 4"/>
    <w:basedOn w:val="Normal"/>
    <w:unhideWhenUsed/>
    <w:rsid w:val="00314493"/>
    <w:pPr>
      <w:ind w:left="1132" w:hanging="283"/>
      <w:contextualSpacing/>
    </w:pPr>
  </w:style>
  <w:style w:type="paragraph" w:styleId="List5">
    <w:name w:val="List 5"/>
    <w:basedOn w:val="Normal"/>
    <w:unhideWhenUsed/>
    <w:rsid w:val="00314493"/>
    <w:pPr>
      <w:ind w:left="1415" w:hanging="283"/>
      <w:contextualSpacing/>
    </w:pPr>
  </w:style>
  <w:style w:type="paragraph" w:styleId="ListBullet">
    <w:name w:val="List Bullet"/>
    <w:basedOn w:val="Normal"/>
    <w:unhideWhenUsed/>
    <w:rsid w:val="00314493"/>
    <w:pPr>
      <w:contextualSpacing/>
    </w:pPr>
  </w:style>
  <w:style w:type="paragraph" w:styleId="ListBullet2">
    <w:name w:val="List Bullet 2"/>
    <w:basedOn w:val="Normal"/>
    <w:unhideWhenUsed/>
    <w:rsid w:val="00314493"/>
    <w:pPr>
      <w:contextualSpacing/>
    </w:pPr>
  </w:style>
  <w:style w:type="paragraph" w:styleId="ListBullet3">
    <w:name w:val="List Bullet 3"/>
    <w:basedOn w:val="Normal"/>
    <w:unhideWhenUsed/>
    <w:rsid w:val="00314493"/>
    <w:pPr>
      <w:contextualSpacing/>
    </w:pPr>
  </w:style>
  <w:style w:type="paragraph" w:styleId="ListBullet4">
    <w:name w:val="List Bullet 4"/>
    <w:basedOn w:val="Normal"/>
    <w:unhideWhenUsed/>
    <w:rsid w:val="00314493"/>
    <w:pPr>
      <w:contextualSpacing/>
    </w:pPr>
  </w:style>
  <w:style w:type="paragraph" w:styleId="ListBullet5">
    <w:name w:val="List Bullet 5"/>
    <w:basedOn w:val="Normal"/>
    <w:unhideWhenUsed/>
    <w:rsid w:val="00314493"/>
    <w:pPr>
      <w:contextualSpacing/>
    </w:pPr>
  </w:style>
  <w:style w:type="paragraph" w:styleId="ListContinue">
    <w:name w:val="List Continue"/>
    <w:basedOn w:val="Normal"/>
    <w:unhideWhenUsed/>
    <w:rsid w:val="00314493"/>
    <w:pPr>
      <w:spacing w:after="120"/>
      <w:ind w:left="283"/>
      <w:contextualSpacing/>
    </w:pPr>
  </w:style>
  <w:style w:type="paragraph" w:styleId="ListContinue2">
    <w:name w:val="List Continue 2"/>
    <w:basedOn w:val="Normal"/>
    <w:unhideWhenUsed/>
    <w:rsid w:val="00314493"/>
    <w:pPr>
      <w:spacing w:after="120"/>
      <w:ind w:left="566"/>
      <w:contextualSpacing/>
    </w:pPr>
  </w:style>
  <w:style w:type="paragraph" w:styleId="ListContinue3">
    <w:name w:val="List Continue 3"/>
    <w:basedOn w:val="Normal"/>
    <w:unhideWhenUsed/>
    <w:rsid w:val="00314493"/>
    <w:pPr>
      <w:spacing w:after="120"/>
      <w:ind w:left="849"/>
      <w:contextualSpacing/>
    </w:pPr>
  </w:style>
  <w:style w:type="paragraph" w:styleId="ListContinue4">
    <w:name w:val="List Continue 4"/>
    <w:basedOn w:val="Normal"/>
    <w:unhideWhenUsed/>
    <w:rsid w:val="00314493"/>
    <w:pPr>
      <w:spacing w:after="120"/>
      <w:ind w:left="1132"/>
      <w:contextualSpacing/>
    </w:pPr>
  </w:style>
  <w:style w:type="paragraph" w:styleId="ListContinue5">
    <w:name w:val="List Continue 5"/>
    <w:basedOn w:val="Normal"/>
    <w:unhideWhenUsed/>
    <w:rsid w:val="00314493"/>
    <w:pPr>
      <w:spacing w:after="120"/>
      <w:ind w:left="1415"/>
      <w:contextualSpacing/>
    </w:pPr>
  </w:style>
  <w:style w:type="paragraph" w:styleId="ListNumber">
    <w:name w:val="List Number"/>
    <w:basedOn w:val="Normal"/>
    <w:unhideWhenUsed/>
    <w:rsid w:val="00314493"/>
    <w:pPr>
      <w:contextualSpacing/>
    </w:pPr>
  </w:style>
  <w:style w:type="paragraph" w:styleId="ListNumber2">
    <w:name w:val="List Number 2"/>
    <w:basedOn w:val="Normal"/>
    <w:unhideWhenUsed/>
    <w:rsid w:val="00314493"/>
    <w:pPr>
      <w:contextualSpacing/>
    </w:pPr>
  </w:style>
  <w:style w:type="paragraph" w:styleId="ListNumber3">
    <w:name w:val="List Number 3"/>
    <w:basedOn w:val="Normal"/>
    <w:unhideWhenUsed/>
    <w:rsid w:val="00314493"/>
    <w:pPr>
      <w:contextualSpacing/>
    </w:pPr>
  </w:style>
  <w:style w:type="paragraph" w:styleId="ListNumber4">
    <w:name w:val="List Number 4"/>
    <w:basedOn w:val="Normal"/>
    <w:unhideWhenUsed/>
    <w:rsid w:val="00314493"/>
    <w:pPr>
      <w:contextualSpacing/>
    </w:pPr>
  </w:style>
  <w:style w:type="paragraph" w:styleId="ListNumber5">
    <w:name w:val="List Number 5"/>
    <w:basedOn w:val="Normal"/>
    <w:unhideWhenUsed/>
    <w:rsid w:val="00314493"/>
    <w:pPr>
      <w:contextualSpacing/>
    </w:pPr>
  </w:style>
  <w:style w:type="paragraph" w:styleId="ListParagraph">
    <w:name w:val="List Paragraph"/>
    <w:basedOn w:val="Normal"/>
    <w:uiPriority w:val="34"/>
    <w:qFormat/>
    <w:rsid w:val="00314493"/>
    <w:pPr>
      <w:ind w:left="720"/>
      <w:contextualSpacing/>
    </w:pPr>
  </w:style>
  <w:style w:type="paragraph" w:styleId="MacroText">
    <w:name w:val="macro"/>
    <w:link w:val="MacroTextChar"/>
    <w:unhideWhenUsed/>
    <w:rsid w:val="003144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314493"/>
    <w:rPr>
      <w:rFonts w:ascii="Consolas" w:hAnsi="Consolas" w:cs="Consolas"/>
    </w:rPr>
  </w:style>
  <w:style w:type="paragraph" w:styleId="MessageHeader">
    <w:name w:val="Message Header"/>
    <w:basedOn w:val="Normal"/>
    <w:link w:val="MessageHeaderChar"/>
    <w:unhideWhenUsed/>
    <w:rsid w:val="003144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493"/>
    <w:rPr>
      <w:rFonts w:asciiTheme="majorHAnsi" w:eastAsiaTheme="majorEastAsia" w:hAnsiTheme="majorHAnsi" w:cstheme="majorBidi"/>
      <w:sz w:val="24"/>
      <w:szCs w:val="24"/>
      <w:shd w:val="pct20" w:color="auto" w:fill="auto"/>
    </w:rPr>
  </w:style>
  <w:style w:type="paragraph" w:styleId="NoSpacing">
    <w:name w:val="No Spacing"/>
    <w:uiPriority w:val="1"/>
    <w:qFormat/>
    <w:rsid w:val="00314493"/>
    <w:rPr>
      <w:sz w:val="22"/>
    </w:rPr>
  </w:style>
  <w:style w:type="paragraph" w:styleId="NormalWeb">
    <w:name w:val="Normal (Web)"/>
    <w:basedOn w:val="Normal"/>
    <w:unhideWhenUsed/>
    <w:rsid w:val="00314493"/>
    <w:rPr>
      <w:rFonts w:cs="Times New Roman"/>
      <w:sz w:val="24"/>
      <w:szCs w:val="24"/>
    </w:rPr>
  </w:style>
  <w:style w:type="paragraph" w:styleId="NormalIndent">
    <w:name w:val="Normal Indent"/>
    <w:basedOn w:val="Normal"/>
    <w:unhideWhenUsed/>
    <w:rsid w:val="00314493"/>
    <w:pPr>
      <w:ind w:left="425"/>
    </w:pPr>
  </w:style>
  <w:style w:type="paragraph" w:styleId="NoteHeading">
    <w:name w:val="Note Heading"/>
    <w:basedOn w:val="Normal"/>
    <w:next w:val="Normal"/>
    <w:link w:val="NoteHeadingChar"/>
    <w:uiPriority w:val="99"/>
    <w:semiHidden/>
    <w:unhideWhenUsed/>
    <w:rsid w:val="00314493"/>
    <w:pPr>
      <w:spacing w:line="240" w:lineRule="auto"/>
    </w:pPr>
  </w:style>
  <w:style w:type="character" w:customStyle="1" w:styleId="NoteHeadingChar">
    <w:name w:val="Note Heading Char"/>
    <w:basedOn w:val="DefaultParagraphFont"/>
    <w:link w:val="NoteHeading"/>
    <w:uiPriority w:val="99"/>
    <w:semiHidden/>
    <w:rsid w:val="00314493"/>
    <w:rPr>
      <w:sz w:val="22"/>
    </w:rPr>
  </w:style>
  <w:style w:type="paragraph" w:styleId="PlainText">
    <w:name w:val="Plain Text"/>
    <w:basedOn w:val="Normal"/>
    <w:link w:val="PlainTextChar"/>
    <w:unhideWhenUsed/>
    <w:rsid w:val="0031449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4493"/>
    <w:rPr>
      <w:rFonts w:ascii="Consolas" w:hAnsi="Consolas" w:cs="Consolas"/>
      <w:sz w:val="21"/>
      <w:szCs w:val="21"/>
    </w:rPr>
  </w:style>
  <w:style w:type="paragraph" w:styleId="Quote">
    <w:name w:val="Quote"/>
    <w:basedOn w:val="Normal"/>
    <w:next w:val="Normal"/>
    <w:link w:val="QuoteChar"/>
    <w:uiPriority w:val="29"/>
    <w:qFormat/>
    <w:rsid w:val="003144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493"/>
    <w:rPr>
      <w:i/>
      <w:iCs/>
      <w:color w:val="404040" w:themeColor="text1" w:themeTint="BF"/>
      <w:sz w:val="22"/>
    </w:rPr>
  </w:style>
  <w:style w:type="paragraph" w:styleId="Salutation">
    <w:name w:val="Salutation"/>
    <w:basedOn w:val="Normal"/>
    <w:next w:val="Normal"/>
    <w:link w:val="SalutationChar"/>
    <w:unhideWhenUsed/>
    <w:rsid w:val="00314493"/>
  </w:style>
  <w:style w:type="character" w:customStyle="1" w:styleId="SalutationChar">
    <w:name w:val="Salutation Char"/>
    <w:basedOn w:val="DefaultParagraphFont"/>
    <w:link w:val="Salutation"/>
    <w:uiPriority w:val="99"/>
    <w:semiHidden/>
    <w:rsid w:val="00314493"/>
    <w:rPr>
      <w:sz w:val="22"/>
    </w:rPr>
  </w:style>
  <w:style w:type="paragraph" w:styleId="Signature">
    <w:name w:val="Signature"/>
    <w:basedOn w:val="Normal"/>
    <w:link w:val="SignatureChar"/>
    <w:unhideWhenUsed/>
    <w:rsid w:val="00314493"/>
    <w:pPr>
      <w:spacing w:line="240" w:lineRule="auto"/>
      <w:ind w:left="4252"/>
    </w:pPr>
  </w:style>
  <w:style w:type="character" w:customStyle="1" w:styleId="SignatureChar">
    <w:name w:val="Signature Char"/>
    <w:basedOn w:val="DefaultParagraphFont"/>
    <w:link w:val="Signature"/>
    <w:uiPriority w:val="99"/>
    <w:semiHidden/>
    <w:rsid w:val="00314493"/>
    <w:rPr>
      <w:sz w:val="22"/>
    </w:rPr>
  </w:style>
  <w:style w:type="paragraph" w:styleId="Subtitle">
    <w:name w:val="Subtitle"/>
    <w:basedOn w:val="Normal"/>
    <w:next w:val="Normal"/>
    <w:link w:val="SubtitleChar"/>
    <w:qFormat/>
    <w:rsid w:val="0031449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14493"/>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nhideWhenUsed/>
    <w:rsid w:val="00314493"/>
    <w:pPr>
      <w:ind w:left="220" w:hanging="220"/>
    </w:pPr>
  </w:style>
  <w:style w:type="paragraph" w:styleId="TableofFigures">
    <w:name w:val="table of figures"/>
    <w:basedOn w:val="Normal"/>
    <w:next w:val="Normal"/>
    <w:unhideWhenUsed/>
    <w:rsid w:val="00314493"/>
  </w:style>
  <w:style w:type="paragraph" w:styleId="Title">
    <w:name w:val="Title"/>
    <w:basedOn w:val="Normal"/>
    <w:next w:val="Normal"/>
    <w:link w:val="TitleChar"/>
    <w:qFormat/>
    <w:rsid w:val="003144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93"/>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rsid w:val="003144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14493"/>
    <w:pPr>
      <w:spacing w:before="240"/>
      <w:outlineLvl w:val="9"/>
    </w:pPr>
    <w:rPr>
      <w:b w:val="0"/>
      <w:bCs w:val="0"/>
      <w:sz w:val="32"/>
      <w:szCs w:val="32"/>
    </w:rPr>
  </w:style>
  <w:style w:type="paragraph" w:customStyle="1" w:styleId="ttExplainTemplate">
    <w:name w:val="tt_Explain_Template"/>
    <w:basedOn w:val="Normal"/>
    <w:qFormat/>
    <w:rsid w:val="00A57A61"/>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ShortT"/>
    <w:qFormat/>
    <w:rsid w:val="005B3ADF"/>
  </w:style>
  <w:style w:type="character" w:styleId="PlaceholderText">
    <w:name w:val="Placeholder Text"/>
    <w:basedOn w:val="DefaultParagraphFont"/>
    <w:uiPriority w:val="99"/>
    <w:semiHidden/>
    <w:rsid w:val="00746704"/>
    <w:rPr>
      <w:color w:val="808080"/>
    </w:rPr>
  </w:style>
  <w:style w:type="character" w:styleId="CommentReference">
    <w:name w:val="annotation reference"/>
    <w:basedOn w:val="DefaultParagraphFont"/>
    <w:unhideWhenUsed/>
    <w:rsid w:val="00FC6250"/>
    <w:rPr>
      <w:sz w:val="16"/>
      <w:szCs w:val="16"/>
    </w:rPr>
  </w:style>
  <w:style w:type="paragraph" w:customStyle="1" w:styleId="nDrafterComment">
    <w:name w:val="n_Drafter_Comment"/>
    <w:basedOn w:val="Normal"/>
    <w:link w:val="nDrafterCommentChar"/>
    <w:qFormat/>
    <w:rsid w:val="00AA0220"/>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rsid w:val="0068201F"/>
    <w:rPr>
      <w:rFonts w:eastAsia="Times New Roman" w:cs="Times New Roman"/>
      <w:sz w:val="22"/>
      <w:lang w:eastAsia="en-AU"/>
    </w:rPr>
  </w:style>
  <w:style w:type="table" w:customStyle="1" w:styleId="TableGrid1">
    <w:name w:val="Table Grid1"/>
    <w:basedOn w:val="TableNormal"/>
    <w:next w:val="TableGrid"/>
    <w:rsid w:val="00104CD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6A44C9"/>
    <w:pPr>
      <w:tabs>
        <w:tab w:val="clear" w:pos="1418"/>
        <w:tab w:val="right" w:pos="1701"/>
      </w:tabs>
      <w:ind w:left="1985" w:hanging="284"/>
    </w:pPr>
  </w:style>
  <w:style w:type="paragraph" w:customStyle="1" w:styleId="Plainpa">
    <w:name w:val="Plain pa"/>
    <w:basedOn w:val="nDrafterComment"/>
    <w:rsid w:val="00273EA8"/>
    <w:rPr>
      <w:color w:val="000000" w:themeColor="text1"/>
    </w:rPr>
  </w:style>
  <w:style w:type="paragraph" w:customStyle="1" w:styleId="definition0">
    <w:name w:val="definition"/>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subsection20">
    <w:name w:val="subsection_2"/>
    <w:basedOn w:val="subsection"/>
    <w:autoRedefine/>
    <w:rsid w:val="002D51A1"/>
    <w:pPr>
      <w:spacing w:before="40"/>
    </w:pPr>
  </w:style>
  <w:style w:type="character" w:styleId="Hyperlink">
    <w:name w:val="Hyperlink"/>
    <w:basedOn w:val="DefaultParagraphFont"/>
    <w:unhideWhenUsed/>
    <w:rsid w:val="00E30ED6"/>
    <w:rPr>
      <w:color w:val="0000FF" w:themeColor="hyperlink"/>
      <w:u w:val="single"/>
    </w:rPr>
  </w:style>
  <w:style w:type="paragraph" w:customStyle="1" w:styleId="acthead50">
    <w:name w:val="acthead5"/>
    <w:basedOn w:val="Normal"/>
    <w:rsid w:val="00497605"/>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497605"/>
  </w:style>
  <w:style w:type="paragraph" w:customStyle="1" w:styleId="notetext0">
    <w:name w:val="notetext"/>
    <w:basedOn w:val="Normal"/>
    <w:rsid w:val="00497605"/>
    <w:pPr>
      <w:spacing w:before="100" w:beforeAutospacing="1" w:after="100" w:afterAutospacing="1" w:line="240" w:lineRule="auto"/>
    </w:pPr>
    <w:rPr>
      <w:rFonts w:eastAsia="Times New Roman" w:cs="Times New Roman"/>
      <w:sz w:val="24"/>
      <w:szCs w:val="24"/>
      <w:lang w:eastAsia="en-AU"/>
    </w:rPr>
  </w:style>
  <w:style w:type="paragraph" w:customStyle="1" w:styleId="56">
    <w:name w:val="56"/>
    <w:basedOn w:val="subsection"/>
    <w:rsid w:val="008E4483"/>
  </w:style>
  <w:style w:type="paragraph" w:customStyle="1" w:styleId="Default">
    <w:name w:val="Default"/>
    <w:rsid w:val="0074701E"/>
    <w:pPr>
      <w:autoSpaceDE w:val="0"/>
      <w:autoSpaceDN w:val="0"/>
      <w:adjustRightInd w:val="0"/>
    </w:pPr>
    <w:rPr>
      <w:rFonts w:ascii="Arial" w:hAnsi="Arial" w:cs="Arial"/>
      <w:color w:val="000000"/>
      <w:sz w:val="24"/>
      <w:szCs w:val="24"/>
    </w:rPr>
  </w:style>
  <w:style w:type="paragraph" w:customStyle="1" w:styleId="SOSubpara">
    <w:name w:val="SO Subpara"/>
    <w:basedOn w:val="SOPara"/>
    <w:autoRedefine/>
    <w:qFormat/>
    <w:rsid w:val="006F6600"/>
    <w:pPr>
      <w:tabs>
        <w:tab w:val="clear" w:pos="1786"/>
        <w:tab w:val="right" w:pos="2353"/>
      </w:tabs>
      <w:ind w:left="2637" w:hanging="1503"/>
    </w:pPr>
    <w:rPr>
      <w:color w:val="008000"/>
    </w:rPr>
  </w:style>
  <w:style w:type="paragraph" w:customStyle="1" w:styleId="TextBoxtext">
    <w:name w:val="TextBox_text"/>
    <w:basedOn w:val="Normal"/>
    <w:qFormat/>
    <w:rsid w:val="007C5478"/>
    <w:rPr>
      <w:rFonts w:ascii="Arial" w:hAnsi="Arial"/>
    </w:rPr>
  </w:style>
  <w:style w:type="character" w:styleId="FootnoteReference">
    <w:name w:val="footnote reference"/>
    <w:basedOn w:val="DefaultParagraphFont"/>
    <w:uiPriority w:val="99"/>
    <w:unhideWhenUsed/>
    <w:rsid w:val="001C7B93"/>
    <w:rPr>
      <w:vertAlign w:val="superscript"/>
    </w:rPr>
  </w:style>
  <w:style w:type="paragraph" w:styleId="Revision">
    <w:name w:val="Revision"/>
    <w:hidden/>
    <w:uiPriority w:val="99"/>
    <w:semiHidden/>
    <w:rsid w:val="00743F12"/>
    <w:rPr>
      <w:sz w:val="22"/>
    </w:rPr>
  </w:style>
  <w:style w:type="paragraph" w:customStyle="1" w:styleId="Plainparagraph">
    <w:name w:val="Plain paragraph"/>
    <w:basedOn w:val="ActHead3"/>
    <w:rsid w:val="007735AD"/>
    <w:pPr>
      <w:pageBreakBefore/>
    </w:pPr>
    <w:rPr>
      <w:strike/>
      <w:color w:val="0000FF"/>
    </w:rPr>
  </w:style>
  <w:style w:type="character" w:customStyle="1" w:styleId="apple-tab-span">
    <w:name w:val="apple-tab-span"/>
    <w:basedOn w:val="DefaultParagraphFont"/>
    <w:rsid w:val="00376121"/>
  </w:style>
  <w:style w:type="character" w:customStyle="1" w:styleId="nDrafterCommentChar">
    <w:name w:val="n_Drafter_Comment Char"/>
    <w:basedOn w:val="DefaultParagraphFont"/>
    <w:link w:val="nDrafterComment"/>
    <w:locked/>
    <w:rsid w:val="0052132D"/>
    <w:rPr>
      <w:rFonts w:ascii="Arial" w:eastAsia="Calibri" w:hAnsi="Arial" w:cs="Times New Roman"/>
      <w:color w:val="7030A0"/>
      <w:sz w:val="22"/>
    </w:rPr>
  </w:style>
  <w:style w:type="paragraph" w:customStyle="1" w:styleId="NumberLevel1">
    <w:name w:val="Number Level 1"/>
    <w:aliases w:val="N1"/>
    <w:basedOn w:val="Normal"/>
    <w:uiPriority w:val="1"/>
    <w:qFormat/>
    <w:rsid w:val="00BC408B"/>
    <w:pPr>
      <w:numPr>
        <w:numId w:val="2"/>
      </w:num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BC408B"/>
    <w:pPr>
      <w:numPr>
        <w:ilvl w:val="1"/>
        <w:numId w:val="2"/>
      </w:num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BC408B"/>
    <w:pPr>
      <w:numPr>
        <w:ilvl w:val="2"/>
        <w:numId w:val="2"/>
      </w:num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BC408B"/>
    <w:pPr>
      <w:numPr>
        <w:ilvl w:val="3"/>
        <w:numId w:val="2"/>
      </w:numPr>
      <w:spacing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BC408B"/>
    <w:pPr>
      <w:numPr>
        <w:ilvl w:val="4"/>
        <w:numId w:val="2"/>
      </w:numPr>
      <w:spacing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BC408B"/>
    <w:pPr>
      <w:numPr>
        <w:ilvl w:val="5"/>
      </w:numPr>
    </w:pPr>
  </w:style>
  <w:style w:type="paragraph" w:customStyle="1" w:styleId="NumberLevel7">
    <w:name w:val="Number Level 7"/>
    <w:basedOn w:val="NumberLevel6"/>
    <w:uiPriority w:val="1"/>
    <w:semiHidden/>
    <w:rsid w:val="00BC408B"/>
    <w:pPr>
      <w:numPr>
        <w:ilvl w:val="6"/>
      </w:numPr>
    </w:pPr>
  </w:style>
  <w:style w:type="paragraph" w:customStyle="1" w:styleId="NumberLevel8">
    <w:name w:val="Number Level 8"/>
    <w:basedOn w:val="NumberLevel7"/>
    <w:uiPriority w:val="1"/>
    <w:semiHidden/>
    <w:rsid w:val="00BC408B"/>
    <w:pPr>
      <w:numPr>
        <w:ilvl w:val="7"/>
      </w:numPr>
    </w:pPr>
  </w:style>
  <w:style w:type="paragraph" w:customStyle="1" w:styleId="NumberLevel9">
    <w:name w:val="Number Level 9"/>
    <w:basedOn w:val="NumberLevel8"/>
    <w:uiPriority w:val="1"/>
    <w:semiHidden/>
    <w:rsid w:val="00BC408B"/>
    <w:pPr>
      <w:numPr>
        <w:ilvl w:val="8"/>
      </w:numPr>
    </w:pPr>
  </w:style>
  <w:style w:type="numbering" w:styleId="111111">
    <w:name w:val="Outline List 2"/>
    <w:basedOn w:val="NoList"/>
    <w:rsid w:val="00CF41B6"/>
    <w:pPr>
      <w:numPr>
        <w:numId w:val="3"/>
      </w:numPr>
    </w:pPr>
  </w:style>
  <w:style w:type="numbering" w:styleId="1ai">
    <w:name w:val="Outline List 1"/>
    <w:basedOn w:val="NoList"/>
    <w:rsid w:val="00CF41B6"/>
    <w:pPr>
      <w:numPr>
        <w:numId w:val="4"/>
      </w:numPr>
    </w:pPr>
  </w:style>
  <w:style w:type="numbering" w:styleId="ArticleSection">
    <w:name w:val="Outline List 3"/>
    <w:basedOn w:val="NoList"/>
    <w:rsid w:val="00CF41B6"/>
    <w:pPr>
      <w:numPr>
        <w:numId w:val="5"/>
      </w:numPr>
    </w:pPr>
  </w:style>
  <w:style w:type="character" w:styleId="Emphasis">
    <w:name w:val="Emphasis"/>
    <w:basedOn w:val="DefaultParagraphFont"/>
    <w:qFormat/>
    <w:rsid w:val="00CF41B6"/>
    <w:rPr>
      <w:i/>
      <w:iCs/>
    </w:rPr>
  </w:style>
  <w:style w:type="character" w:styleId="FollowedHyperlink">
    <w:name w:val="FollowedHyperlink"/>
    <w:basedOn w:val="DefaultParagraphFont"/>
    <w:rsid w:val="00CF41B6"/>
    <w:rPr>
      <w:color w:val="800080"/>
      <w:u w:val="single"/>
    </w:rPr>
  </w:style>
  <w:style w:type="character" w:styleId="HTMLAcronym">
    <w:name w:val="HTML Acronym"/>
    <w:basedOn w:val="DefaultParagraphFont"/>
    <w:rsid w:val="00CF41B6"/>
  </w:style>
  <w:style w:type="character" w:styleId="HTMLCite">
    <w:name w:val="HTML Cite"/>
    <w:basedOn w:val="DefaultParagraphFont"/>
    <w:rsid w:val="00CF41B6"/>
    <w:rPr>
      <w:i/>
      <w:iCs/>
    </w:rPr>
  </w:style>
  <w:style w:type="character" w:styleId="HTMLCode">
    <w:name w:val="HTML Code"/>
    <w:basedOn w:val="DefaultParagraphFont"/>
    <w:rsid w:val="00CF41B6"/>
    <w:rPr>
      <w:rFonts w:ascii="Courier New" w:hAnsi="Courier New" w:cs="Courier New"/>
      <w:sz w:val="20"/>
      <w:szCs w:val="20"/>
    </w:rPr>
  </w:style>
  <w:style w:type="character" w:styleId="HTMLDefinition">
    <w:name w:val="HTML Definition"/>
    <w:basedOn w:val="DefaultParagraphFont"/>
    <w:rsid w:val="00CF41B6"/>
    <w:rPr>
      <w:i/>
      <w:iCs/>
    </w:rPr>
  </w:style>
  <w:style w:type="character" w:styleId="HTMLKeyboard">
    <w:name w:val="HTML Keyboard"/>
    <w:basedOn w:val="DefaultParagraphFont"/>
    <w:rsid w:val="00CF41B6"/>
    <w:rPr>
      <w:rFonts w:ascii="Courier New" w:hAnsi="Courier New" w:cs="Courier New"/>
      <w:sz w:val="20"/>
      <w:szCs w:val="20"/>
    </w:rPr>
  </w:style>
  <w:style w:type="character" w:styleId="HTMLSample">
    <w:name w:val="HTML Sample"/>
    <w:basedOn w:val="DefaultParagraphFont"/>
    <w:rsid w:val="00CF41B6"/>
    <w:rPr>
      <w:rFonts w:ascii="Courier New" w:hAnsi="Courier New" w:cs="Courier New"/>
    </w:rPr>
  </w:style>
  <w:style w:type="character" w:styleId="HTMLTypewriter">
    <w:name w:val="HTML Typewriter"/>
    <w:basedOn w:val="DefaultParagraphFont"/>
    <w:rsid w:val="00CF41B6"/>
    <w:rPr>
      <w:rFonts w:ascii="Courier New" w:hAnsi="Courier New" w:cs="Courier New"/>
      <w:sz w:val="20"/>
      <w:szCs w:val="20"/>
    </w:rPr>
  </w:style>
  <w:style w:type="character" w:styleId="HTMLVariable">
    <w:name w:val="HTML Variable"/>
    <w:basedOn w:val="DefaultParagraphFont"/>
    <w:rsid w:val="00CF41B6"/>
    <w:rPr>
      <w:i/>
      <w:iCs/>
    </w:rPr>
  </w:style>
  <w:style w:type="character" w:styleId="PageNumber">
    <w:name w:val="page number"/>
    <w:basedOn w:val="DefaultParagraphFont"/>
    <w:rsid w:val="00CF41B6"/>
  </w:style>
  <w:style w:type="character" w:styleId="Strong">
    <w:name w:val="Strong"/>
    <w:basedOn w:val="DefaultParagraphFont"/>
    <w:qFormat/>
    <w:rsid w:val="00CF41B6"/>
    <w:rPr>
      <w:b/>
      <w:bCs/>
    </w:rPr>
  </w:style>
  <w:style w:type="table" w:styleId="Table3Deffects1">
    <w:name w:val="Table 3D effects 1"/>
    <w:basedOn w:val="TableNormal"/>
    <w:rsid w:val="00CF41B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1B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41B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1B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41B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41B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41B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41B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41B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41B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41B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41B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41B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41B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41B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41B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41B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41B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41B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41B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41B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41B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41B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41B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41B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41B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41B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41B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41B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41B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41B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41B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rsid w:val="00CF41B6"/>
    <w:rPr>
      <w:vertAlign w:val="superscript"/>
    </w:rPr>
  </w:style>
  <w:style w:type="paragraph" w:customStyle="1" w:styleId="Schedulereferenceleft">
    <w:name w:val="Schedule reference left"/>
    <w:basedOn w:val="Normal"/>
    <w:rsid w:val="00CF41B6"/>
    <w:pPr>
      <w:keepNext/>
      <w:keepLines/>
      <w:spacing w:before="60" w:line="200" w:lineRule="exact"/>
      <w:jc w:val="both"/>
    </w:pPr>
    <w:rPr>
      <w:rFonts w:ascii="Arial" w:hAnsi="Arial"/>
      <w:sz w:val="18"/>
    </w:rPr>
  </w:style>
  <w:style w:type="paragraph" w:customStyle="1" w:styleId="ActHead10">
    <w:name w:val="ActHead 10"/>
    <w:aliases w:val="sp"/>
    <w:basedOn w:val="OPCParaBase"/>
    <w:next w:val="ActHead3"/>
    <w:rsid w:val="00CF41B6"/>
    <w:pPr>
      <w:keepNext/>
      <w:spacing w:before="280" w:line="240" w:lineRule="auto"/>
      <w:outlineLvl w:val="1"/>
    </w:pPr>
    <w:rPr>
      <w:b/>
      <w:sz w:val="32"/>
      <w:szCs w:val="30"/>
    </w:rPr>
  </w:style>
  <w:style w:type="numbering" w:customStyle="1" w:styleId="1ai1">
    <w:name w:val="1 / a / i1"/>
    <w:basedOn w:val="NoList"/>
    <w:next w:val="1ai"/>
    <w:rsid w:val="00CF41B6"/>
  </w:style>
  <w:style w:type="paragraph" w:customStyle="1" w:styleId="Schedulepara">
    <w:name w:val="Schedule para"/>
    <w:basedOn w:val="Normal"/>
    <w:rsid w:val="00CF41B6"/>
    <w:pPr>
      <w:tabs>
        <w:tab w:val="right" w:pos="567"/>
      </w:tabs>
      <w:spacing w:before="180" w:line="260" w:lineRule="exact"/>
      <w:ind w:left="964" w:hanging="964"/>
      <w:jc w:val="both"/>
    </w:pPr>
    <w:rPr>
      <w:rFonts w:eastAsia="Times New Roman" w:cs="Times New Roman"/>
      <w:sz w:val="24"/>
      <w:szCs w:val="24"/>
    </w:rPr>
  </w:style>
  <w:style w:type="paragraph" w:customStyle="1" w:styleId="Schedulepart">
    <w:name w:val="Schedule part"/>
    <w:basedOn w:val="Normal"/>
    <w:rsid w:val="00CF41B6"/>
    <w:pPr>
      <w:keepNext/>
      <w:keepLines/>
      <w:spacing w:before="360" w:line="240" w:lineRule="auto"/>
      <w:ind w:left="1559" w:hanging="1559"/>
    </w:pPr>
    <w:rPr>
      <w:rFonts w:ascii="Arial" w:eastAsia="Times New Roman" w:hAnsi="Arial" w:cs="Times New Roman"/>
      <w:b/>
      <w:sz w:val="28"/>
      <w:szCs w:val="24"/>
    </w:rPr>
  </w:style>
  <w:style w:type="paragraph" w:customStyle="1" w:styleId="P1">
    <w:name w:val="P1"/>
    <w:aliases w:val="(a)"/>
    <w:basedOn w:val="Normal"/>
    <w:rsid w:val="00CF41B6"/>
    <w:pPr>
      <w:tabs>
        <w:tab w:val="right" w:pos="1191"/>
      </w:tabs>
      <w:spacing w:before="60" w:line="260" w:lineRule="exact"/>
      <w:ind w:left="1418" w:hanging="1418"/>
      <w:jc w:val="both"/>
    </w:pPr>
    <w:rPr>
      <w:rFonts w:eastAsia="Times New Roman" w:cs="Times New Roman"/>
      <w:sz w:val="24"/>
      <w:szCs w:val="24"/>
    </w:rPr>
  </w:style>
  <w:style w:type="character" w:customStyle="1" w:styleId="CharSchPTNo">
    <w:name w:val="CharSchPTNo"/>
    <w:basedOn w:val="DefaultParagraphFont"/>
    <w:rsid w:val="00CF41B6"/>
  </w:style>
  <w:style w:type="character" w:customStyle="1" w:styleId="CharSchPTText">
    <w:name w:val="CharSchPTText"/>
    <w:basedOn w:val="DefaultParagraphFont"/>
    <w:rsid w:val="00CF41B6"/>
  </w:style>
  <w:style w:type="paragraph" w:customStyle="1" w:styleId="Schedulereference">
    <w:name w:val="Schedule reference"/>
    <w:basedOn w:val="Normal"/>
    <w:next w:val="Schedulepart"/>
    <w:rsid w:val="00CF41B6"/>
    <w:pPr>
      <w:keepNext/>
      <w:keepLines/>
      <w:spacing w:before="60" w:line="200" w:lineRule="exact"/>
      <w:ind w:left="2410"/>
    </w:pPr>
    <w:rPr>
      <w:rFonts w:ascii="Arial" w:eastAsia="Times New Roman" w:hAnsi="Arial" w:cs="Times New Roman"/>
      <w:sz w:val="18"/>
      <w:szCs w:val="24"/>
    </w:rPr>
  </w:style>
  <w:style w:type="character" w:customStyle="1" w:styleId="CharENotesHeading">
    <w:name w:val="CharENotesHeading"/>
    <w:basedOn w:val="DefaultParagraphFont"/>
    <w:rsid w:val="00CF41B6"/>
  </w:style>
  <w:style w:type="character" w:customStyle="1" w:styleId="charCitation">
    <w:name w:val="charCitation"/>
    <w:basedOn w:val="DefaultParagraphFont"/>
    <w:rsid w:val="00CF41B6"/>
  </w:style>
  <w:style w:type="character" w:customStyle="1" w:styleId="CharSchNo">
    <w:name w:val="CharSchNo"/>
    <w:basedOn w:val="DefaultParagraphFont"/>
    <w:rsid w:val="00CF41B6"/>
  </w:style>
  <w:style w:type="character" w:customStyle="1" w:styleId="CharSchText">
    <w:name w:val="CharSchText"/>
    <w:basedOn w:val="DefaultParagraphFont"/>
    <w:rsid w:val="00CF41B6"/>
  </w:style>
  <w:style w:type="table" w:customStyle="1" w:styleId="TableGeneral">
    <w:name w:val="TableGeneral"/>
    <w:basedOn w:val="TableNormal"/>
    <w:semiHidden/>
    <w:rsid w:val="00CF41B6"/>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Text">
    <w:name w:val="CharAmSchPTText"/>
    <w:basedOn w:val="DefaultParagraphFont"/>
    <w:rsid w:val="00CF41B6"/>
  </w:style>
  <w:style w:type="character" w:customStyle="1" w:styleId="CharAmSchPTNo">
    <w:name w:val="CharAmSchPTNo"/>
    <w:basedOn w:val="DefaultParagraphFont"/>
    <w:rsid w:val="00CF41B6"/>
  </w:style>
  <w:style w:type="character" w:customStyle="1" w:styleId="ItemHeadChar">
    <w:name w:val="ItemHead Char"/>
    <w:aliases w:val="ih Char"/>
    <w:link w:val="ItemHead"/>
    <w:rsid w:val="00CF41B6"/>
    <w:rPr>
      <w:rFonts w:ascii="Arial" w:eastAsia="Times New Roman" w:hAnsi="Arial" w:cs="Times New Roman"/>
      <w:b/>
      <w:kern w:val="28"/>
      <w:sz w:val="24"/>
      <w:lang w:eastAsia="en-AU"/>
    </w:rPr>
  </w:style>
  <w:style w:type="paragraph" w:customStyle="1" w:styleId="TerritoryT">
    <w:name w:val="TerritoryT"/>
    <w:basedOn w:val="OPCParaBase"/>
    <w:next w:val="Normal"/>
    <w:rsid w:val="00CF41B6"/>
    <w:rPr>
      <w:b/>
      <w:sz w:val="32"/>
    </w:rPr>
  </w:style>
  <w:style w:type="character" w:customStyle="1" w:styleId="charlegsubtitle1">
    <w:name w:val="charlegsubtitle1"/>
    <w:basedOn w:val="DefaultParagraphFont"/>
    <w:rsid w:val="00CF41B6"/>
    <w:rPr>
      <w:rFonts w:ascii="Helvetica Neue" w:hAnsi="Helvetica Neue" w:hint="default"/>
      <w:b/>
      <w:bCs/>
      <w:sz w:val="28"/>
      <w:szCs w:val="28"/>
    </w:rPr>
  </w:style>
  <w:style w:type="paragraph" w:customStyle="1" w:styleId="EnStatement">
    <w:name w:val="EnStatement"/>
    <w:basedOn w:val="Normal"/>
    <w:rsid w:val="00CF41B6"/>
    <w:pPr>
      <w:numPr>
        <w:numId w:val="6"/>
      </w:numPr>
    </w:pPr>
    <w:rPr>
      <w:rFonts w:eastAsia="Times New Roman" w:cs="Times New Roman"/>
      <w:lang w:eastAsia="en-AU"/>
    </w:rPr>
  </w:style>
  <w:style w:type="paragraph" w:customStyle="1" w:styleId="EnStatementHeading">
    <w:name w:val="EnStatementHeading"/>
    <w:basedOn w:val="Normal"/>
    <w:rsid w:val="00CF41B6"/>
    <w:rPr>
      <w:rFonts w:eastAsia="Times New Roman" w:cs="Times New Roman"/>
      <w:b/>
      <w:lang w:eastAsia="en-AU"/>
    </w:rPr>
  </w:style>
  <w:style w:type="paragraph" w:customStyle="1" w:styleId="Transitional">
    <w:name w:val="Transitional"/>
    <w:aliases w:val="tr"/>
    <w:basedOn w:val="Normal"/>
    <w:next w:val="Normal"/>
    <w:rsid w:val="00CF41B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CF41B6"/>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CF41B6"/>
    <w:rPr>
      <w:rFonts w:eastAsia="Times New Roman" w:cs="Times New Roman"/>
      <w:lang w:eastAsia="en-AU"/>
    </w:rPr>
  </w:style>
  <w:style w:type="paragraph" w:customStyle="1" w:styleId="CommencementTable">
    <w:name w:val="CommencementTable"/>
    <w:basedOn w:val="Normal"/>
    <w:autoRedefine/>
    <w:qFormat/>
    <w:rsid w:val="00B04341"/>
    <w:pPr>
      <w:spacing w:line="240" w:lineRule="auto"/>
    </w:pPr>
    <w:rPr>
      <w:sz w:val="16"/>
    </w:rPr>
  </w:style>
  <w:style w:type="character" w:customStyle="1" w:styleId="apple-converted-space">
    <w:name w:val="apple-converted-space"/>
    <w:basedOn w:val="DefaultParagraphFont"/>
    <w:rsid w:val="00975B55"/>
  </w:style>
  <w:style w:type="table" w:styleId="LightGrid-Accent3">
    <w:name w:val="Light Grid Accent 3"/>
    <w:basedOn w:val="TableNormal"/>
    <w:uiPriority w:val="62"/>
    <w:rsid w:val="007B5FF6"/>
    <w:rPr>
      <w:rFonts w:asciiTheme="minorHAnsi" w:hAnsi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base-text-paragraph">
    <w:name w:val="base-text-paragraph"/>
    <w:rsid w:val="005231E5"/>
    <w:pPr>
      <w:numPr>
        <w:numId w:val="44"/>
      </w:numPr>
      <w:spacing w:before="120" w:after="120"/>
    </w:pPr>
    <w:rPr>
      <w:rFonts w:eastAsia="Times New Roman" w:cs="Times New Roman"/>
      <w:sz w:val="22"/>
      <w:lang w:eastAsia="en-AU"/>
    </w:rPr>
  </w:style>
  <w:style w:type="paragraph" w:customStyle="1" w:styleId="OutlineNumbered1">
    <w:name w:val="Outline Numbered 1"/>
    <w:basedOn w:val="Normal"/>
    <w:link w:val="OutlineNumbered1Char"/>
    <w:rsid w:val="00696A1A"/>
    <w:pPr>
      <w:numPr>
        <w:numId w:val="45"/>
      </w:numPr>
      <w:spacing w:after="160" w:line="259" w:lineRule="auto"/>
    </w:pPr>
    <w:rPr>
      <w:rFonts w:asciiTheme="minorHAnsi" w:hAnsiTheme="minorHAnsi"/>
      <w:iCs/>
      <w:color w:val="FF0000"/>
      <w:szCs w:val="22"/>
    </w:rPr>
  </w:style>
  <w:style w:type="character" w:customStyle="1" w:styleId="OutlineNumbered1Char">
    <w:name w:val="Outline Numbered 1 Char"/>
    <w:basedOn w:val="DefaultParagraphFont"/>
    <w:link w:val="OutlineNumbered1"/>
    <w:rsid w:val="00696A1A"/>
    <w:rPr>
      <w:rFonts w:asciiTheme="minorHAnsi" w:hAnsiTheme="minorHAnsi"/>
      <w:iCs/>
      <w:color w:val="FF0000"/>
      <w:sz w:val="22"/>
      <w:szCs w:val="22"/>
    </w:rPr>
  </w:style>
  <w:style w:type="paragraph" w:customStyle="1" w:styleId="OutlineNumbered2">
    <w:name w:val="Outline Numbered 2"/>
    <w:basedOn w:val="Normal"/>
    <w:rsid w:val="00696A1A"/>
    <w:pPr>
      <w:numPr>
        <w:ilvl w:val="1"/>
        <w:numId w:val="45"/>
      </w:numPr>
      <w:spacing w:after="160" w:line="259" w:lineRule="auto"/>
    </w:pPr>
    <w:rPr>
      <w:rFonts w:asciiTheme="minorHAnsi" w:hAnsiTheme="minorHAnsi"/>
      <w:iCs/>
      <w:color w:val="FF0000"/>
      <w:szCs w:val="22"/>
    </w:rPr>
  </w:style>
  <w:style w:type="paragraph" w:customStyle="1" w:styleId="OutlineNumbered3">
    <w:name w:val="Outline Numbered 3"/>
    <w:basedOn w:val="Normal"/>
    <w:rsid w:val="00696A1A"/>
    <w:pPr>
      <w:numPr>
        <w:ilvl w:val="2"/>
        <w:numId w:val="45"/>
      </w:numPr>
      <w:spacing w:after="160" w:line="259" w:lineRule="auto"/>
    </w:pPr>
    <w:rPr>
      <w:rFonts w:asciiTheme="minorHAnsi" w:hAnsiTheme="minorHAnsi"/>
      <w:iCs/>
      <w:color w:val="FF0000"/>
      <w:szCs w:val="22"/>
    </w:rPr>
  </w:style>
  <w:style w:type="paragraph" w:customStyle="1" w:styleId="subsectionhead0">
    <w:name w:val="subsectionhead"/>
    <w:basedOn w:val="Normal"/>
    <w:rsid w:val="005848BC"/>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40">
      <w:bodyDiv w:val="1"/>
      <w:marLeft w:val="0"/>
      <w:marRight w:val="0"/>
      <w:marTop w:val="0"/>
      <w:marBottom w:val="0"/>
      <w:divBdr>
        <w:top w:val="none" w:sz="0" w:space="0" w:color="auto"/>
        <w:left w:val="none" w:sz="0" w:space="0" w:color="auto"/>
        <w:bottom w:val="none" w:sz="0" w:space="0" w:color="auto"/>
        <w:right w:val="none" w:sz="0" w:space="0" w:color="auto"/>
      </w:divBdr>
    </w:div>
    <w:div w:id="38166597">
      <w:bodyDiv w:val="1"/>
      <w:marLeft w:val="0"/>
      <w:marRight w:val="0"/>
      <w:marTop w:val="0"/>
      <w:marBottom w:val="0"/>
      <w:divBdr>
        <w:top w:val="none" w:sz="0" w:space="0" w:color="auto"/>
        <w:left w:val="none" w:sz="0" w:space="0" w:color="auto"/>
        <w:bottom w:val="none" w:sz="0" w:space="0" w:color="auto"/>
        <w:right w:val="none" w:sz="0" w:space="0" w:color="auto"/>
      </w:divBdr>
    </w:div>
    <w:div w:id="74280056">
      <w:bodyDiv w:val="1"/>
      <w:marLeft w:val="0"/>
      <w:marRight w:val="0"/>
      <w:marTop w:val="0"/>
      <w:marBottom w:val="0"/>
      <w:divBdr>
        <w:top w:val="none" w:sz="0" w:space="0" w:color="auto"/>
        <w:left w:val="none" w:sz="0" w:space="0" w:color="auto"/>
        <w:bottom w:val="none" w:sz="0" w:space="0" w:color="auto"/>
        <w:right w:val="none" w:sz="0" w:space="0" w:color="auto"/>
      </w:divBdr>
    </w:div>
    <w:div w:id="83772438">
      <w:bodyDiv w:val="1"/>
      <w:marLeft w:val="0"/>
      <w:marRight w:val="0"/>
      <w:marTop w:val="0"/>
      <w:marBottom w:val="0"/>
      <w:divBdr>
        <w:top w:val="none" w:sz="0" w:space="0" w:color="auto"/>
        <w:left w:val="none" w:sz="0" w:space="0" w:color="auto"/>
        <w:bottom w:val="none" w:sz="0" w:space="0" w:color="auto"/>
        <w:right w:val="none" w:sz="0" w:space="0" w:color="auto"/>
      </w:divBdr>
    </w:div>
    <w:div w:id="117377113">
      <w:bodyDiv w:val="1"/>
      <w:marLeft w:val="0"/>
      <w:marRight w:val="0"/>
      <w:marTop w:val="0"/>
      <w:marBottom w:val="0"/>
      <w:divBdr>
        <w:top w:val="none" w:sz="0" w:space="0" w:color="auto"/>
        <w:left w:val="none" w:sz="0" w:space="0" w:color="auto"/>
        <w:bottom w:val="none" w:sz="0" w:space="0" w:color="auto"/>
        <w:right w:val="none" w:sz="0" w:space="0" w:color="auto"/>
      </w:divBdr>
    </w:div>
    <w:div w:id="140317479">
      <w:bodyDiv w:val="1"/>
      <w:marLeft w:val="0"/>
      <w:marRight w:val="0"/>
      <w:marTop w:val="0"/>
      <w:marBottom w:val="0"/>
      <w:divBdr>
        <w:top w:val="none" w:sz="0" w:space="0" w:color="auto"/>
        <w:left w:val="none" w:sz="0" w:space="0" w:color="auto"/>
        <w:bottom w:val="none" w:sz="0" w:space="0" w:color="auto"/>
        <w:right w:val="none" w:sz="0" w:space="0" w:color="auto"/>
      </w:divBdr>
    </w:div>
    <w:div w:id="141626139">
      <w:bodyDiv w:val="1"/>
      <w:marLeft w:val="0"/>
      <w:marRight w:val="0"/>
      <w:marTop w:val="0"/>
      <w:marBottom w:val="0"/>
      <w:divBdr>
        <w:top w:val="none" w:sz="0" w:space="0" w:color="auto"/>
        <w:left w:val="none" w:sz="0" w:space="0" w:color="auto"/>
        <w:bottom w:val="none" w:sz="0" w:space="0" w:color="auto"/>
        <w:right w:val="none" w:sz="0" w:space="0" w:color="auto"/>
      </w:divBdr>
    </w:div>
    <w:div w:id="147599108">
      <w:bodyDiv w:val="1"/>
      <w:marLeft w:val="0"/>
      <w:marRight w:val="0"/>
      <w:marTop w:val="0"/>
      <w:marBottom w:val="0"/>
      <w:divBdr>
        <w:top w:val="none" w:sz="0" w:space="0" w:color="auto"/>
        <w:left w:val="none" w:sz="0" w:space="0" w:color="auto"/>
        <w:bottom w:val="none" w:sz="0" w:space="0" w:color="auto"/>
        <w:right w:val="none" w:sz="0" w:space="0" w:color="auto"/>
      </w:divBdr>
    </w:div>
    <w:div w:id="156001363">
      <w:bodyDiv w:val="1"/>
      <w:marLeft w:val="0"/>
      <w:marRight w:val="0"/>
      <w:marTop w:val="0"/>
      <w:marBottom w:val="0"/>
      <w:divBdr>
        <w:top w:val="none" w:sz="0" w:space="0" w:color="auto"/>
        <w:left w:val="none" w:sz="0" w:space="0" w:color="auto"/>
        <w:bottom w:val="none" w:sz="0" w:space="0" w:color="auto"/>
        <w:right w:val="none" w:sz="0" w:space="0" w:color="auto"/>
      </w:divBdr>
    </w:div>
    <w:div w:id="184095459">
      <w:bodyDiv w:val="1"/>
      <w:marLeft w:val="0"/>
      <w:marRight w:val="0"/>
      <w:marTop w:val="0"/>
      <w:marBottom w:val="0"/>
      <w:divBdr>
        <w:top w:val="none" w:sz="0" w:space="0" w:color="auto"/>
        <w:left w:val="none" w:sz="0" w:space="0" w:color="auto"/>
        <w:bottom w:val="none" w:sz="0" w:space="0" w:color="auto"/>
        <w:right w:val="none" w:sz="0" w:space="0" w:color="auto"/>
      </w:divBdr>
    </w:div>
    <w:div w:id="199519147">
      <w:bodyDiv w:val="1"/>
      <w:marLeft w:val="0"/>
      <w:marRight w:val="0"/>
      <w:marTop w:val="0"/>
      <w:marBottom w:val="0"/>
      <w:divBdr>
        <w:top w:val="none" w:sz="0" w:space="0" w:color="auto"/>
        <w:left w:val="none" w:sz="0" w:space="0" w:color="auto"/>
        <w:bottom w:val="none" w:sz="0" w:space="0" w:color="auto"/>
        <w:right w:val="none" w:sz="0" w:space="0" w:color="auto"/>
      </w:divBdr>
    </w:div>
    <w:div w:id="217254297">
      <w:bodyDiv w:val="1"/>
      <w:marLeft w:val="0"/>
      <w:marRight w:val="0"/>
      <w:marTop w:val="0"/>
      <w:marBottom w:val="0"/>
      <w:divBdr>
        <w:top w:val="none" w:sz="0" w:space="0" w:color="auto"/>
        <w:left w:val="none" w:sz="0" w:space="0" w:color="auto"/>
        <w:bottom w:val="none" w:sz="0" w:space="0" w:color="auto"/>
        <w:right w:val="none" w:sz="0" w:space="0" w:color="auto"/>
      </w:divBdr>
    </w:div>
    <w:div w:id="217788690">
      <w:bodyDiv w:val="1"/>
      <w:marLeft w:val="0"/>
      <w:marRight w:val="0"/>
      <w:marTop w:val="0"/>
      <w:marBottom w:val="0"/>
      <w:divBdr>
        <w:top w:val="none" w:sz="0" w:space="0" w:color="auto"/>
        <w:left w:val="none" w:sz="0" w:space="0" w:color="auto"/>
        <w:bottom w:val="none" w:sz="0" w:space="0" w:color="auto"/>
        <w:right w:val="none" w:sz="0" w:space="0" w:color="auto"/>
      </w:divBdr>
    </w:div>
    <w:div w:id="226108543">
      <w:bodyDiv w:val="1"/>
      <w:marLeft w:val="0"/>
      <w:marRight w:val="0"/>
      <w:marTop w:val="0"/>
      <w:marBottom w:val="0"/>
      <w:divBdr>
        <w:top w:val="none" w:sz="0" w:space="0" w:color="auto"/>
        <w:left w:val="none" w:sz="0" w:space="0" w:color="auto"/>
        <w:bottom w:val="none" w:sz="0" w:space="0" w:color="auto"/>
        <w:right w:val="none" w:sz="0" w:space="0" w:color="auto"/>
      </w:divBdr>
    </w:div>
    <w:div w:id="233898957">
      <w:bodyDiv w:val="1"/>
      <w:marLeft w:val="0"/>
      <w:marRight w:val="0"/>
      <w:marTop w:val="0"/>
      <w:marBottom w:val="0"/>
      <w:divBdr>
        <w:top w:val="none" w:sz="0" w:space="0" w:color="auto"/>
        <w:left w:val="none" w:sz="0" w:space="0" w:color="auto"/>
        <w:bottom w:val="none" w:sz="0" w:space="0" w:color="auto"/>
        <w:right w:val="none" w:sz="0" w:space="0" w:color="auto"/>
      </w:divBdr>
    </w:div>
    <w:div w:id="239144316">
      <w:bodyDiv w:val="1"/>
      <w:marLeft w:val="0"/>
      <w:marRight w:val="0"/>
      <w:marTop w:val="0"/>
      <w:marBottom w:val="0"/>
      <w:divBdr>
        <w:top w:val="none" w:sz="0" w:space="0" w:color="auto"/>
        <w:left w:val="none" w:sz="0" w:space="0" w:color="auto"/>
        <w:bottom w:val="none" w:sz="0" w:space="0" w:color="auto"/>
        <w:right w:val="none" w:sz="0" w:space="0" w:color="auto"/>
      </w:divBdr>
    </w:div>
    <w:div w:id="266929675">
      <w:bodyDiv w:val="1"/>
      <w:marLeft w:val="0"/>
      <w:marRight w:val="0"/>
      <w:marTop w:val="0"/>
      <w:marBottom w:val="0"/>
      <w:divBdr>
        <w:top w:val="none" w:sz="0" w:space="0" w:color="auto"/>
        <w:left w:val="none" w:sz="0" w:space="0" w:color="auto"/>
        <w:bottom w:val="none" w:sz="0" w:space="0" w:color="auto"/>
        <w:right w:val="none" w:sz="0" w:space="0" w:color="auto"/>
      </w:divBdr>
    </w:div>
    <w:div w:id="304891298">
      <w:bodyDiv w:val="1"/>
      <w:marLeft w:val="0"/>
      <w:marRight w:val="0"/>
      <w:marTop w:val="0"/>
      <w:marBottom w:val="0"/>
      <w:divBdr>
        <w:top w:val="none" w:sz="0" w:space="0" w:color="auto"/>
        <w:left w:val="none" w:sz="0" w:space="0" w:color="auto"/>
        <w:bottom w:val="none" w:sz="0" w:space="0" w:color="auto"/>
        <w:right w:val="none" w:sz="0" w:space="0" w:color="auto"/>
      </w:divBdr>
    </w:div>
    <w:div w:id="310646957">
      <w:bodyDiv w:val="1"/>
      <w:marLeft w:val="0"/>
      <w:marRight w:val="0"/>
      <w:marTop w:val="0"/>
      <w:marBottom w:val="0"/>
      <w:divBdr>
        <w:top w:val="none" w:sz="0" w:space="0" w:color="auto"/>
        <w:left w:val="none" w:sz="0" w:space="0" w:color="auto"/>
        <w:bottom w:val="none" w:sz="0" w:space="0" w:color="auto"/>
        <w:right w:val="none" w:sz="0" w:space="0" w:color="auto"/>
      </w:divBdr>
    </w:div>
    <w:div w:id="330721291">
      <w:bodyDiv w:val="1"/>
      <w:marLeft w:val="0"/>
      <w:marRight w:val="0"/>
      <w:marTop w:val="0"/>
      <w:marBottom w:val="0"/>
      <w:divBdr>
        <w:top w:val="none" w:sz="0" w:space="0" w:color="auto"/>
        <w:left w:val="none" w:sz="0" w:space="0" w:color="auto"/>
        <w:bottom w:val="none" w:sz="0" w:space="0" w:color="auto"/>
        <w:right w:val="none" w:sz="0" w:space="0" w:color="auto"/>
      </w:divBdr>
    </w:div>
    <w:div w:id="341587510">
      <w:bodyDiv w:val="1"/>
      <w:marLeft w:val="0"/>
      <w:marRight w:val="0"/>
      <w:marTop w:val="0"/>
      <w:marBottom w:val="0"/>
      <w:divBdr>
        <w:top w:val="none" w:sz="0" w:space="0" w:color="auto"/>
        <w:left w:val="none" w:sz="0" w:space="0" w:color="auto"/>
        <w:bottom w:val="none" w:sz="0" w:space="0" w:color="auto"/>
        <w:right w:val="none" w:sz="0" w:space="0" w:color="auto"/>
      </w:divBdr>
    </w:div>
    <w:div w:id="375469721">
      <w:bodyDiv w:val="1"/>
      <w:marLeft w:val="0"/>
      <w:marRight w:val="0"/>
      <w:marTop w:val="0"/>
      <w:marBottom w:val="0"/>
      <w:divBdr>
        <w:top w:val="none" w:sz="0" w:space="0" w:color="auto"/>
        <w:left w:val="none" w:sz="0" w:space="0" w:color="auto"/>
        <w:bottom w:val="none" w:sz="0" w:space="0" w:color="auto"/>
        <w:right w:val="none" w:sz="0" w:space="0" w:color="auto"/>
      </w:divBdr>
    </w:div>
    <w:div w:id="385884415">
      <w:bodyDiv w:val="1"/>
      <w:marLeft w:val="0"/>
      <w:marRight w:val="0"/>
      <w:marTop w:val="0"/>
      <w:marBottom w:val="0"/>
      <w:divBdr>
        <w:top w:val="none" w:sz="0" w:space="0" w:color="auto"/>
        <w:left w:val="none" w:sz="0" w:space="0" w:color="auto"/>
        <w:bottom w:val="none" w:sz="0" w:space="0" w:color="auto"/>
        <w:right w:val="none" w:sz="0" w:space="0" w:color="auto"/>
      </w:divBdr>
    </w:div>
    <w:div w:id="389303647">
      <w:bodyDiv w:val="1"/>
      <w:marLeft w:val="0"/>
      <w:marRight w:val="0"/>
      <w:marTop w:val="0"/>
      <w:marBottom w:val="0"/>
      <w:divBdr>
        <w:top w:val="none" w:sz="0" w:space="0" w:color="auto"/>
        <w:left w:val="none" w:sz="0" w:space="0" w:color="auto"/>
        <w:bottom w:val="none" w:sz="0" w:space="0" w:color="auto"/>
        <w:right w:val="none" w:sz="0" w:space="0" w:color="auto"/>
      </w:divBdr>
    </w:div>
    <w:div w:id="404570062">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
    <w:div w:id="425662765">
      <w:bodyDiv w:val="1"/>
      <w:marLeft w:val="0"/>
      <w:marRight w:val="0"/>
      <w:marTop w:val="0"/>
      <w:marBottom w:val="0"/>
      <w:divBdr>
        <w:top w:val="none" w:sz="0" w:space="0" w:color="auto"/>
        <w:left w:val="none" w:sz="0" w:space="0" w:color="auto"/>
        <w:bottom w:val="none" w:sz="0" w:space="0" w:color="auto"/>
        <w:right w:val="none" w:sz="0" w:space="0" w:color="auto"/>
      </w:divBdr>
    </w:div>
    <w:div w:id="460342515">
      <w:bodyDiv w:val="1"/>
      <w:marLeft w:val="0"/>
      <w:marRight w:val="0"/>
      <w:marTop w:val="0"/>
      <w:marBottom w:val="0"/>
      <w:divBdr>
        <w:top w:val="none" w:sz="0" w:space="0" w:color="auto"/>
        <w:left w:val="none" w:sz="0" w:space="0" w:color="auto"/>
        <w:bottom w:val="none" w:sz="0" w:space="0" w:color="auto"/>
        <w:right w:val="none" w:sz="0" w:space="0" w:color="auto"/>
      </w:divBdr>
    </w:div>
    <w:div w:id="469833203">
      <w:bodyDiv w:val="1"/>
      <w:marLeft w:val="0"/>
      <w:marRight w:val="0"/>
      <w:marTop w:val="0"/>
      <w:marBottom w:val="0"/>
      <w:divBdr>
        <w:top w:val="none" w:sz="0" w:space="0" w:color="auto"/>
        <w:left w:val="none" w:sz="0" w:space="0" w:color="auto"/>
        <w:bottom w:val="none" w:sz="0" w:space="0" w:color="auto"/>
        <w:right w:val="none" w:sz="0" w:space="0" w:color="auto"/>
      </w:divBdr>
    </w:div>
    <w:div w:id="488400493">
      <w:bodyDiv w:val="1"/>
      <w:marLeft w:val="0"/>
      <w:marRight w:val="0"/>
      <w:marTop w:val="0"/>
      <w:marBottom w:val="0"/>
      <w:divBdr>
        <w:top w:val="none" w:sz="0" w:space="0" w:color="auto"/>
        <w:left w:val="none" w:sz="0" w:space="0" w:color="auto"/>
        <w:bottom w:val="none" w:sz="0" w:space="0" w:color="auto"/>
        <w:right w:val="none" w:sz="0" w:space="0" w:color="auto"/>
      </w:divBdr>
    </w:div>
    <w:div w:id="501435067">
      <w:bodyDiv w:val="1"/>
      <w:marLeft w:val="0"/>
      <w:marRight w:val="0"/>
      <w:marTop w:val="0"/>
      <w:marBottom w:val="0"/>
      <w:divBdr>
        <w:top w:val="none" w:sz="0" w:space="0" w:color="auto"/>
        <w:left w:val="none" w:sz="0" w:space="0" w:color="auto"/>
        <w:bottom w:val="none" w:sz="0" w:space="0" w:color="auto"/>
        <w:right w:val="none" w:sz="0" w:space="0" w:color="auto"/>
      </w:divBdr>
    </w:div>
    <w:div w:id="504328082">
      <w:bodyDiv w:val="1"/>
      <w:marLeft w:val="0"/>
      <w:marRight w:val="0"/>
      <w:marTop w:val="0"/>
      <w:marBottom w:val="0"/>
      <w:divBdr>
        <w:top w:val="none" w:sz="0" w:space="0" w:color="auto"/>
        <w:left w:val="none" w:sz="0" w:space="0" w:color="auto"/>
        <w:bottom w:val="none" w:sz="0" w:space="0" w:color="auto"/>
        <w:right w:val="none" w:sz="0" w:space="0" w:color="auto"/>
      </w:divBdr>
    </w:div>
    <w:div w:id="535431846">
      <w:bodyDiv w:val="1"/>
      <w:marLeft w:val="0"/>
      <w:marRight w:val="0"/>
      <w:marTop w:val="0"/>
      <w:marBottom w:val="0"/>
      <w:divBdr>
        <w:top w:val="none" w:sz="0" w:space="0" w:color="auto"/>
        <w:left w:val="none" w:sz="0" w:space="0" w:color="auto"/>
        <w:bottom w:val="none" w:sz="0" w:space="0" w:color="auto"/>
        <w:right w:val="none" w:sz="0" w:space="0" w:color="auto"/>
      </w:divBdr>
    </w:div>
    <w:div w:id="546532069">
      <w:bodyDiv w:val="1"/>
      <w:marLeft w:val="0"/>
      <w:marRight w:val="0"/>
      <w:marTop w:val="0"/>
      <w:marBottom w:val="0"/>
      <w:divBdr>
        <w:top w:val="none" w:sz="0" w:space="0" w:color="auto"/>
        <w:left w:val="none" w:sz="0" w:space="0" w:color="auto"/>
        <w:bottom w:val="none" w:sz="0" w:space="0" w:color="auto"/>
        <w:right w:val="none" w:sz="0" w:space="0" w:color="auto"/>
      </w:divBdr>
    </w:div>
    <w:div w:id="547686148">
      <w:bodyDiv w:val="1"/>
      <w:marLeft w:val="0"/>
      <w:marRight w:val="0"/>
      <w:marTop w:val="0"/>
      <w:marBottom w:val="0"/>
      <w:divBdr>
        <w:top w:val="none" w:sz="0" w:space="0" w:color="auto"/>
        <w:left w:val="none" w:sz="0" w:space="0" w:color="auto"/>
        <w:bottom w:val="none" w:sz="0" w:space="0" w:color="auto"/>
        <w:right w:val="none" w:sz="0" w:space="0" w:color="auto"/>
      </w:divBdr>
    </w:div>
    <w:div w:id="575018147">
      <w:bodyDiv w:val="1"/>
      <w:marLeft w:val="0"/>
      <w:marRight w:val="0"/>
      <w:marTop w:val="0"/>
      <w:marBottom w:val="0"/>
      <w:divBdr>
        <w:top w:val="none" w:sz="0" w:space="0" w:color="auto"/>
        <w:left w:val="none" w:sz="0" w:space="0" w:color="auto"/>
        <w:bottom w:val="none" w:sz="0" w:space="0" w:color="auto"/>
        <w:right w:val="none" w:sz="0" w:space="0" w:color="auto"/>
      </w:divBdr>
    </w:div>
    <w:div w:id="585727329">
      <w:bodyDiv w:val="1"/>
      <w:marLeft w:val="0"/>
      <w:marRight w:val="0"/>
      <w:marTop w:val="0"/>
      <w:marBottom w:val="0"/>
      <w:divBdr>
        <w:top w:val="none" w:sz="0" w:space="0" w:color="auto"/>
        <w:left w:val="none" w:sz="0" w:space="0" w:color="auto"/>
        <w:bottom w:val="none" w:sz="0" w:space="0" w:color="auto"/>
        <w:right w:val="none" w:sz="0" w:space="0" w:color="auto"/>
      </w:divBdr>
    </w:div>
    <w:div w:id="593559917">
      <w:bodyDiv w:val="1"/>
      <w:marLeft w:val="0"/>
      <w:marRight w:val="0"/>
      <w:marTop w:val="0"/>
      <w:marBottom w:val="0"/>
      <w:divBdr>
        <w:top w:val="none" w:sz="0" w:space="0" w:color="auto"/>
        <w:left w:val="none" w:sz="0" w:space="0" w:color="auto"/>
        <w:bottom w:val="none" w:sz="0" w:space="0" w:color="auto"/>
        <w:right w:val="none" w:sz="0" w:space="0" w:color="auto"/>
      </w:divBdr>
    </w:div>
    <w:div w:id="598027492">
      <w:bodyDiv w:val="1"/>
      <w:marLeft w:val="0"/>
      <w:marRight w:val="0"/>
      <w:marTop w:val="0"/>
      <w:marBottom w:val="0"/>
      <w:divBdr>
        <w:top w:val="none" w:sz="0" w:space="0" w:color="auto"/>
        <w:left w:val="none" w:sz="0" w:space="0" w:color="auto"/>
        <w:bottom w:val="none" w:sz="0" w:space="0" w:color="auto"/>
        <w:right w:val="none" w:sz="0" w:space="0" w:color="auto"/>
      </w:divBdr>
    </w:div>
    <w:div w:id="633024179">
      <w:bodyDiv w:val="1"/>
      <w:marLeft w:val="0"/>
      <w:marRight w:val="0"/>
      <w:marTop w:val="0"/>
      <w:marBottom w:val="0"/>
      <w:divBdr>
        <w:top w:val="none" w:sz="0" w:space="0" w:color="auto"/>
        <w:left w:val="none" w:sz="0" w:space="0" w:color="auto"/>
        <w:bottom w:val="none" w:sz="0" w:space="0" w:color="auto"/>
        <w:right w:val="none" w:sz="0" w:space="0" w:color="auto"/>
      </w:divBdr>
    </w:div>
    <w:div w:id="708995982">
      <w:bodyDiv w:val="1"/>
      <w:marLeft w:val="0"/>
      <w:marRight w:val="0"/>
      <w:marTop w:val="0"/>
      <w:marBottom w:val="0"/>
      <w:divBdr>
        <w:top w:val="none" w:sz="0" w:space="0" w:color="auto"/>
        <w:left w:val="none" w:sz="0" w:space="0" w:color="auto"/>
        <w:bottom w:val="none" w:sz="0" w:space="0" w:color="auto"/>
        <w:right w:val="none" w:sz="0" w:space="0" w:color="auto"/>
      </w:divBdr>
    </w:div>
    <w:div w:id="718867947">
      <w:bodyDiv w:val="1"/>
      <w:marLeft w:val="0"/>
      <w:marRight w:val="0"/>
      <w:marTop w:val="0"/>
      <w:marBottom w:val="0"/>
      <w:divBdr>
        <w:top w:val="none" w:sz="0" w:space="0" w:color="auto"/>
        <w:left w:val="none" w:sz="0" w:space="0" w:color="auto"/>
        <w:bottom w:val="none" w:sz="0" w:space="0" w:color="auto"/>
        <w:right w:val="none" w:sz="0" w:space="0" w:color="auto"/>
      </w:divBdr>
    </w:div>
    <w:div w:id="722825919">
      <w:bodyDiv w:val="1"/>
      <w:marLeft w:val="0"/>
      <w:marRight w:val="0"/>
      <w:marTop w:val="0"/>
      <w:marBottom w:val="0"/>
      <w:divBdr>
        <w:top w:val="none" w:sz="0" w:space="0" w:color="auto"/>
        <w:left w:val="none" w:sz="0" w:space="0" w:color="auto"/>
        <w:bottom w:val="none" w:sz="0" w:space="0" w:color="auto"/>
        <w:right w:val="none" w:sz="0" w:space="0" w:color="auto"/>
      </w:divBdr>
    </w:div>
    <w:div w:id="743796326">
      <w:bodyDiv w:val="1"/>
      <w:marLeft w:val="0"/>
      <w:marRight w:val="0"/>
      <w:marTop w:val="0"/>
      <w:marBottom w:val="0"/>
      <w:divBdr>
        <w:top w:val="none" w:sz="0" w:space="0" w:color="auto"/>
        <w:left w:val="none" w:sz="0" w:space="0" w:color="auto"/>
        <w:bottom w:val="none" w:sz="0" w:space="0" w:color="auto"/>
        <w:right w:val="none" w:sz="0" w:space="0" w:color="auto"/>
      </w:divBdr>
    </w:div>
    <w:div w:id="749424738">
      <w:bodyDiv w:val="1"/>
      <w:marLeft w:val="0"/>
      <w:marRight w:val="0"/>
      <w:marTop w:val="0"/>
      <w:marBottom w:val="0"/>
      <w:divBdr>
        <w:top w:val="none" w:sz="0" w:space="0" w:color="auto"/>
        <w:left w:val="none" w:sz="0" w:space="0" w:color="auto"/>
        <w:bottom w:val="none" w:sz="0" w:space="0" w:color="auto"/>
        <w:right w:val="none" w:sz="0" w:space="0" w:color="auto"/>
      </w:divBdr>
    </w:div>
    <w:div w:id="749887511">
      <w:bodyDiv w:val="1"/>
      <w:marLeft w:val="0"/>
      <w:marRight w:val="0"/>
      <w:marTop w:val="0"/>
      <w:marBottom w:val="0"/>
      <w:divBdr>
        <w:top w:val="none" w:sz="0" w:space="0" w:color="auto"/>
        <w:left w:val="none" w:sz="0" w:space="0" w:color="auto"/>
        <w:bottom w:val="none" w:sz="0" w:space="0" w:color="auto"/>
        <w:right w:val="none" w:sz="0" w:space="0" w:color="auto"/>
      </w:divBdr>
    </w:div>
    <w:div w:id="754981142">
      <w:bodyDiv w:val="1"/>
      <w:marLeft w:val="0"/>
      <w:marRight w:val="0"/>
      <w:marTop w:val="0"/>
      <w:marBottom w:val="0"/>
      <w:divBdr>
        <w:top w:val="none" w:sz="0" w:space="0" w:color="auto"/>
        <w:left w:val="none" w:sz="0" w:space="0" w:color="auto"/>
        <w:bottom w:val="none" w:sz="0" w:space="0" w:color="auto"/>
        <w:right w:val="none" w:sz="0" w:space="0" w:color="auto"/>
      </w:divBdr>
    </w:div>
    <w:div w:id="755128918">
      <w:bodyDiv w:val="1"/>
      <w:marLeft w:val="0"/>
      <w:marRight w:val="0"/>
      <w:marTop w:val="0"/>
      <w:marBottom w:val="0"/>
      <w:divBdr>
        <w:top w:val="none" w:sz="0" w:space="0" w:color="auto"/>
        <w:left w:val="none" w:sz="0" w:space="0" w:color="auto"/>
        <w:bottom w:val="none" w:sz="0" w:space="0" w:color="auto"/>
        <w:right w:val="none" w:sz="0" w:space="0" w:color="auto"/>
      </w:divBdr>
    </w:div>
    <w:div w:id="766850272">
      <w:bodyDiv w:val="1"/>
      <w:marLeft w:val="0"/>
      <w:marRight w:val="0"/>
      <w:marTop w:val="0"/>
      <w:marBottom w:val="0"/>
      <w:divBdr>
        <w:top w:val="none" w:sz="0" w:space="0" w:color="auto"/>
        <w:left w:val="none" w:sz="0" w:space="0" w:color="auto"/>
        <w:bottom w:val="none" w:sz="0" w:space="0" w:color="auto"/>
        <w:right w:val="none" w:sz="0" w:space="0" w:color="auto"/>
      </w:divBdr>
    </w:div>
    <w:div w:id="779302217">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sChild>
        <w:div w:id="1945767094">
          <w:marLeft w:val="0"/>
          <w:marRight w:val="0"/>
          <w:marTop w:val="0"/>
          <w:marBottom w:val="0"/>
          <w:divBdr>
            <w:top w:val="none" w:sz="0" w:space="0" w:color="auto"/>
            <w:left w:val="none" w:sz="0" w:space="0" w:color="auto"/>
            <w:bottom w:val="none" w:sz="0" w:space="0" w:color="auto"/>
            <w:right w:val="none" w:sz="0" w:space="0" w:color="auto"/>
          </w:divBdr>
          <w:divsChild>
            <w:div w:id="1971670905">
              <w:marLeft w:val="0"/>
              <w:marRight w:val="0"/>
              <w:marTop w:val="0"/>
              <w:marBottom w:val="0"/>
              <w:divBdr>
                <w:top w:val="none" w:sz="0" w:space="0" w:color="auto"/>
                <w:left w:val="none" w:sz="0" w:space="0" w:color="auto"/>
                <w:bottom w:val="none" w:sz="0" w:space="0" w:color="auto"/>
                <w:right w:val="none" w:sz="0" w:space="0" w:color="auto"/>
              </w:divBdr>
              <w:divsChild>
                <w:div w:id="1433429986">
                  <w:marLeft w:val="0"/>
                  <w:marRight w:val="0"/>
                  <w:marTop w:val="0"/>
                  <w:marBottom w:val="0"/>
                  <w:divBdr>
                    <w:top w:val="none" w:sz="0" w:space="0" w:color="auto"/>
                    <w:left w:val="none" w:sz="0" w:space="0" w:color="auto"/>
                    <w:bottom w:val="none" w:sz="0" w:space="0" w:color="auto"/>
                    <w:right w:val="none" w:sz="0" w:space="0" w:color="auto"/>
                  </w:divBdr>
                  <w:divsChild>
                    <w:div w:id="1242787336">
                      <w:marLeft w:val="0"/>
                      <w:marRight w:val="0"/>
                      <w:marTop w:val="0"/>
                      <w:marBottom w:val="0"/>
                      <w:divBdr>
                        <w:top w:val="none" w:sz="0" w:space="0" w:color="auto"/>
                        <w:left w:val="none" w:sz="0" w:space="0" w:color="auto"/>
                        <w:bottom w:val="none" w:sz="0" w:space="0" w:color="auto"/>
                        <w:right w:val="none" w:sz="0" w:space="0" w:color="auto"/>
                      </w:divBdr>
                      <w:divsChild>
                        <w:div w:id="1125467019">
                          <w:marLeft w:val="0"/>
                          <w:marRight w:val="0"/>
                          <w:marTop w:val="0"/>
                          <w:marBottom w:val="0"/>
                          <w:divBdr>
                            <w:top w:val="none" w:sz="0" w:space="0" w:color="auto"/>
                            <w:left w:val="none" w:sz="0" w:space="0" w:color="auto"/>
                            <w:bottom w:val="none" w:sz="0" w:space="0" w:color="auto"/>
                            <w:right w:val="none" w:sz="0" w:space="0" w:color="auto"/>
                          </w:divBdr>
                          <w:divsChild>
                            <w:div w:id="177888074">
                              <w:marLeft w:val="0"/>
                              <w:marRight w:val="0"/>
                              <w:marTop w:val="0"/>
                              <w:marBottom w:val="0"/>
                              <w:divBdr>
                                <w:top w:val="none" w:sz="0" w:space="0" w:color="auto"/>
                                <w:left w:val="none" w:sz="0" w:space="0" w:color="auto"/>
                                <w:bottom w:val="none" w:sz="0" w:space="0" w:color="auto"/>
                                <w:right w:val="none" w:sz="0" w:space="0" w:color="auto"/>
                              </w:divBdr>
                              <w:divsChild>
                                <w:div w:id="1199002733">
                                  <w:marLeft w:val="0"/>
                                  <w:marRight w:val="0"/>
                                  <w:marTop w:val="0"/>
                                  <w:marBottom w:val="0"/>
                                  <w:divBdr>
                                    <w:top w:val="none" w:sz="0" w:space="0" w:color="auto"/>
                                    <w:left w:val="none" w:sz="0" w:space="0" w:color="auto"/>
                                    <w:bottom w:val="none" w:sz="0" w:space="0" w:color="auto"/>
                                    <w:right w:val="none" w:sz="0" w:space="0" w:color="auto"/>
                                  </w:divBdr>
                                  <w:divsChild>
                                    <w:div w:id="543761245">
                                      <w:marLeft w:val="0"/>
                                      <w:marRight w:val="0"/>
                                      <w:marTop w:val="0"/>
                                      <w:marBottom w:val="0"/>
                                      <w:divBdr>
                                        <w:top w:val="none" w:sz="0" w:space="0" w:color="auto"/>
                                        <w:left w:val="none" w:sz="0" w:space="0" w:color="auto"/>
                                        <w:bottom w:val="none" w:sz="0" w:space="0" w:color="auto"/>
                                        <w:right w:val="none" w:sz="0" w:space="0" w:color="auto"/>
                                      </w:divBdr>
                                      <w:divsChild>
                                        <w:div w:id="2125810147">
                                          <w:marLeft w:val="0"/>
                                          <w:marRight w:val="0"/>
                                          <w:marTop w:val="0"/>
                                          <w:marBottom w:val="0"/>
                                          <w:divBdr>
                                            <w:top w:val="none" w:sz="0" w:space="0" w:color="auto"/>
                                            <w:left w:val="none" w:sz="0" w:space="0" w:color="auto"/>
                                            <w:bottom w:val="none" w:sz="0" w:space="0" w:color="auto"/>
                                            <w:right w:val="none" w:sz="0" w:space="0" w:color="auto"/>
                                          </w:divBdr>
                                          <w:divsChild>
                                            <w:div w:id="523901707">
                                              <w:marLeft w:val="0"/>
                                              <w:marRight w:val="0"/>
                                              <w:marTop w:val="0"/>
                                              <w:marBottom w:val="0"/>
                                              <w:divBdr>
                                                <w:top w:val="none" w:sz="0" w:space="0" w:color="auto"/>
                                                <w:left w:val="none" w:sz="0" w:space="0" w:color="auto"/>
                                                <w:bottom w:val="none" w:sz="0" w:space="0" w:color="auto"/>
                                                <w:right w:val="none" w:sz="0" w:space="0" w:color="auto"/>
                                              </w:divBdr>
                                              <w:divsChild>
                                                <w:div w:id="644505144">
                                                  <w:marLeft w:val="0"/>
                                                  <w:marRight w:val="0"/>
                                                  <w:marTop w:val="0"/>
                                                  <w:marBottom w:val="0"/>
                                                  <w:divBdr>
                                                    <w:top w:val="none" w:sz="0" w:space="0" w:color="auto"/>
                                                    <w:left w:val="none" w:sz="0" w:space="0" w:color="auto"/>
                                                    <w:bottom w:val="none" w:sz="0" w:space="0" w:color="auto"/>
                                                    <w:right w:val="none" w:sz="0" w:space="0" w:color="auto"/>
                                                  </w:divBdr>
                                                  <w:divsChild>
                                                    <w:div w:id="466748861">
                                                      <w:marLeft w:val="0"/>
                                                      <w:marRight w:val="0"/>
                                                      <w:marTop w:val="0"/>
                                                      <w:marBottom w:val="0"/>
                                                      <w:divBdr>
                                                        <w:top w:val="none" w:sz="0" w:space="0" w:color="auto"/>
                                                        <w:left w:val="none" w:sz="0" w:space="0" w:color="auto"/>
                                                        <w:bottom w:val="none" w:sz="0" w:space="0" w:color="auto"/>
                                                        <w:right w:val="none" w:sz="0" w:space="0" w:color="auto"/>
                                                      </w:divBdr>
                                                      <w:divsChild>
                                                        <w:div w:id="8915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9832567">
      <w:bodyDiv w:val="1"/>
      <w:marLeft w:val="0"/>
      <w:marRight w:val="0"/>
      <w:marTop w:val="0"/>
      <w:marBottom w:val="0"/>
      <w:divBdr>
        <w:top w:val="none" w:sz="0" w:space="0" w:color="auto"/>
        <w:left w:val="none" w:sz="0" w:space="0" w:color="auto"/>
        <w:bottom w:val="none" w:sz="0" w:space="0" w:color="auto"/>
        <w:right w:val="none" w:sz="0" w:space="0" w:color="auto"/>
      </w:divBdr>
    </w:div>
    <w:div w:id="844395323">
      <w:bodyDiv w:val="1"/>
      <w:marLeft w:val="0"/>
      <w:marRight w:val="0"/>
      <w:marTop w:val="0"/>
      <w:marBottom w:val="0"/>
      <w:divBdr>
        <w:top w:val="none" w:sz="0" w:space="0" w:color="auto"/>
        <w:left w:val="none" w:sz="0" w:space="0" w:color="auto"/>
        <w:bottom w:val="none" w:sz="0" w:space="0" w:color="auto"/>
        <w:right w:val="none" w:sz="0" w:space="0" w:color="auto"/>
      </w:divBdr>
    </w:div>
    <w:div w:id="862397244">
      <w:bodyDiv w:val="1"/>
      <w:marLeft w:val="0"/>
      <w:marRight w:val="0"/>
      <w:marTop w:val="0"/>
      <w:marBottom w:val="0"/>
      <w:divBdr>
        <w:top w:val="none" w:sz="0" w:space="0" w:color="auto"/>
        <w:left w:val="none" w:sz="0" w:space="0" w:color="auto"/>
        <w:bottom w:val="none" w:sz="0" w:space="0" w:color="auto"/>
        <w:right w:val="none" w:sz="0" w:space="0" w:color="auto"/>
      </w:divBdr>
    </w:div>
    <w:div w:id="874080212">
      <w:bodyDiv w:val="1"/>
      <w:marLeft w:val="0"/>
      <w:marRight w:val="0"/>
      <w:marTop w:val="0"/>
      <w:marBottom w:val="0"/>
      <w:divBdr>
        <w:top w:val="none" w:sz="0" w:space="0" w:color="auto"/>
        <w:left w:val="none" w:sz="0" w:space="0" w:color="auto"/>
        <w:bottom w:val="none" w:sz="0" w:space="0" w:color="auto"/>
        <w:right w:val="none" w:sz="0" w:space="0" w:color="auto"/>
      </w:divBdr>
    </w:div>
    <w:div w:id="878395990">
      <w:bodyDiv w:val="1"/>
      <w:marLeft w:val="0"/>
      <w:marRight w:val="0"/>
      <w:marTop w:val="0"/>
      <w:marBottom w:val="0"/>
      <w:divBdr>
        <w:top w:val="none" w:sz="0" w:space="0" w:color="auto"/>
        <w:left w:val="none" w:sz="0" w:space="0" w:color="auto"/>
        <w:bottom w:val="none" w:sz="0" w:space="0" w:color="auto"/>
        <w:right w:val="none" w:sz="0" w:space="0" w:color="auto"/>
      </w:divBdr>
    </w:div>
    <w:div w:id="884221955">
      <w:bodyDiv w:val="1"/>
      <w:marLeft w:val="0"/>
      <w:marRight w:val="0"/>
      <w:marTop w:val="0"/>
      <w:marBottom w:val="0"/>
      <w:divBdr>
        <w:top w:val="none" w:sz="0" w:space="0" w:color="auto"/>
        <w:left w:val="none" w:sz="0" w:space="0" w:color="auto"/>
        <w:bottom w:val="none" w:sz="0" w:space="0" w:color="auto"/>
        <w:right w:val="none" w:sz="0" w:space="0" w:color="auto"/>
      </w:divBdr>
    </w:div>
    <w:div w:id="888957715">
      <w:bodyDiv w:val="1"/>
      <w:marLeft w:val="0"/>
      <w:marRight w:val="0"/>
      <w:marTop w:val="0"/>
      <w:marBottom w:val="0"/>
      <w:divBdr>
        <w:top w:val="none" w:sz="0" w:space="0" w:color="auto"/>
        <w:left w:val="none" w:sz="0" w:space="0" w:color="auto"/>
        <w:bottom w:val="none" w:sz="0" w:space="0" w:color="auto"/>
        <w:right w:val="none" w:sz="0" w:space="0" w:color="auto"/>
      </w:divBdr>
    </w:div>
    <w:div w:id="91128149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9370975">
      <w:bodyDiv w:val="1"/>
      <w:marLeft w:val="0"/>
      <w:marRight w:val="0"/>
      <w:marTop w:val="0"/>
      <w:marBottom w:val="0"/>
      <w:divBdr>
        <w:top w:val="none" w:sz="0" w:space="0" w:color="auto"/>
        <w:left w:val="none" w:sz="0" w:space="0" w:color="auto"/>
        <w:bottom w:val="none" w:sz="0" w:space="0" w:color="auto"/>
        <w:right w:val="none" w:sz="0" w:space="0" w:color="auto"/>
      </w:divBdr>
    </w:div>
    <w:div w:id="925531414">
      <w:bodyDiv w:val="1"/>
      <w:marLeft w:val="0"/>
      <w:marRight w:val="0"/>
      <w:marTop w:val="0"/>
      <w:marBottom w:val="0"/>
      <w:divBdr>
        <w:top w:val="none" w:sz="0" w:space="0" w:color="auto"/>
        <w:left w:val="none" w:sz="0" w:space="0" w:color="auto"/>
        <w:bottom w:val="none" w:sz="0" w:space="0" w:color="auto"/>
        <w:right w:val="none" w:sz="0" w:space="0" w:color="auto"/>
      </w:divBdr>
    </w:div>
    <w:div w:id="934896911">
      <w:bodyDiv w:val="1"/>
      <w:marLeft w:val="0"/>
      <w:marRight w:val="0"/>
      <w:marTop w:val="0"/>
      <w:marBottom w:val="0"/>
      <w:divBdr>
        <w:top w:val="none" w:sz="0" w:space="0" w:color="auto"/>
        <w:left w:val="none" w:sz="0" w:space="0" w:color="auto"/>
        <w:bottom w:val="none" w:sz="0" w:space="0" w:color="auto"/>
        <w:right w:val="none" w:sz="0" w:space="0" w:color="auto"/>
      </w:divBdr>
    </w:div>
    <w:div w:id="954212714">
      <w:bodyDiv w:val="1"/>
      <w:marLeft w:val="0"/>
      <w:marRight w:val="0"/>
      <w:marTop w:val="0"/>
      <w:marBottom w:val="0"/>
      <w:divBdr>
        <w:top w:val="none" w:sz="0" w:space="0" w:color="auto"/>
        <w:left w:val="none" w:sz="0" w:space="0" w:color="auto"/>
        <w:bottom w:val="none" w:sz="0" w:space="0" w:color="auto"/>
        <w:right w:val="none" w:sz="0" w:space="0" w:color="auto"/>
      </w:divBdr>
    </w:div>
    <w:div w:id="981155405">
      <w:bodyDiv w:val="1"/>
      <w:marLeft w:val="0"/>
      <w:marRight w:val="0"/>
      <w:marTop w:val="0"/>
      <w:marBottom w:val="0"/>
      <w:divBdr>
        <w:top w:val="none" w:sz="0" w:space="0" w:color="auto"/>
        <w:left w:val="none" w:sz="0" w:space="0" w:color="auto"/>
        <w:bottom w:val="none" w:sz="0" w:space="0" w:color="auto"/>
        <w:right w:val="none" w:sz="0" w:space="0" w:color="auto"/>
      </w:divBdr>
    </w:div>
    <w:div w:id="983125262">
      <w:bodyDiv w:val="1"/>
      <w:marLeft w:val="0"/>
      <w:marRight w:val="0"/>
      <w:marTop w:val="0"/>
      <w:marBottom w:val="0"/>
      <w:divBdr>
        <w:top w:val="none" w:sz="0" w:space="0" w:color="auto"/>
        <w:left w:val="none" w:sz="0" w:space="0" w:color="auto"/>
        <w:bottom w:val="none" w:sz="0" w:space="0" w:color="auto"/>
        <w:right w:val="none" w:sz="0" w:space="0" w:color="auto"/>
      </w:divBdr>
    </w:div>
    <w:div w:id="1013845781">
      <w:bodyDiv w:val="1"/>
      <w:marLeft w:val="0"/>
      <w:marRight w:val="0"/>
      <w:marTop w:val="0"/>
      <w:marBottom w:val="0"/>
      <w:divBdr>
        <w:top w:val="none" w:sz="0" w:space="0" w:color="auto"/>
        <w:left w:val="none" w:sz="0" w:space="0" w:color="auto"/>
        <w:bottom w:val="none" w:sz="0" w:space="0" w:color="auto"/>
        <w:right w:val="none" w:sz="0" w:space="0" w:color="auto"/>
      </w:divBdr>
    </w:div>
    <w:div w:id="1044451265">
      <w:bodyDiv w:val="1"/>
      <w:marLeft w:val="0"/>
      <w:marRight w:val="0"/>
      <w:marTop w:val="0"/>
      <w:marBottom w:val="0"/>
      <w:divBdr>
        <w:top w:val="none" w:sz="0" w:space="0" w:color="auto"/>
        <w:left w:val="none" w:sz="0" w:space="0" w:color="auto"/>
        <w:bottom w:val="none" w:sz="0" w:space="0" w:color="auto"/>
        <w:right w:val="none" w:sz="0" w:space="0" w:color="auto"/>
      </w:divBdr>
    </w:div>
    <w:div w:id="1093238530">
      <w:bodyDiv w:val="1"/>
      <w:marLeft w:val="0"/>
      <w:marRight w:val="0"/>
      <w:marTop w:val="0"/>
      <w:marBottom w:val="0"/>
      <w:divBdr>
        <w:top w:val="none" w:sz="0" w:space="0" w:color="auto"/>
        <w:left w:val="none" w:sz="0" w:space="0" w:color="auto"/>
        <w:bottom w:val="none" w:sz="0" w:space="0" w:color="auto"/>
        <w:right w:val="none" w:sz="0" w:space="0" w:color="auto"/>
      </w:divBdr>
    </w:div>
    <w:div w:id="1097097509">
      <w:bodyDiv w:val="1"/>
      <w:marLeft w:val="0"/>
      <w:marRight w:val="0"/>
      <w:marTop w:val="0"/>
      <w:marBottom w:val="0"/>
      <w:divBdr>
        <w:top w:val="none" w:sz="0" w:space="0" w:color="auto"/>
        <w:left w:val="none" w:sz="0" w:space="0" w:color="auto"/>
        <w:bottom w:val="none" w:sz="0" w:space="0" w:color="auto"/>
        <w:right w:val="none" w:sz="0" w:space="0" w:color="auto"/>
      </w:divBdr>
    </w:div>
    <w:div w:id="1100024919">
      <w:bodyDiv w:val="1"/>
      <w:marLeft w:val="0"/>
      <w:marRight w:val="0"/>
      <w:marTop w:val="0"/>
      <w:marBottom w:val="0"/>
      <w:divBdr>
        <w:top w:val="none" w:sz="0" w:space="0" w:color="auto"/>
        <w:left w:val="none" w:sz="0" w:space="0" w:color="auto"/>
        <w:bottom w:val="none" w:sz="0" w:space="0" w:color="auto"/>
        <w:right w:val="none" w:sz="0" w:space="0" w:color="auto"/>
      </w:divBdr>
    </w:div>
    <w:div w:id="1115518192">
      <w:bodyDiv w:val="1"/>
      <w:marLeft w:val="0"/>
      <w:marRight w:val="0"/>
      <w:marTop w:val="0"/>
      <w:marBottom w:val="0"/>
      <w:divBdr>
        <w:top w:val="none" w:sz="0" w:space="0" w:color="auto"/>
        <w:left w:val="none" w:sz="0" w:space="0" w:color="auto"/>
        <w:bottom w:val="none" w:sz="0" w:space="0" w:color="auto"/>
        <w:right w:val="none" w:sz="0" w:space="0" w:color="auto"/>
      </w:divBdr>
    </w:div>
    <w:div w:id="1132289818">
      <w:bodyDiv w:val="1"/>
      <w:marLeft w:val="0"/>
      <w:marRight w:val="0"/>
      <w:marTop w:val="0"/>
      <w:marBottom w:val="0"/>
      <w:divBdr>
        <w:top w:val="none" w:sz="0" w:space="0" w:color="auto"/>
        <w:left w:val="none" w:sz="0" w:space="0" w:color="auto"/>
        <w:bottom w:val="none" w:sz="0" w:space="0" w:color="auto"/>
        <w:right w:val="none" w:sz="0" w:space="0" w:color="auto"/>
      </w:divBdr>
    </w:div>
    <w:div w:id="1134375401">
      <w:bodyDiv w:val="1"/>
      <w:marLeft w:val="0"/>
      <w:marRight w:val="0"/>
      <w:marTop w:val="0"/>
      <w:marBottom w:val="0"/>
      <w:divBdr>
        <w:top w:val="none" w:sz="0" w:space="0" w:color="auto"/>
        <w:left w:val="none" w:sz="0" w:space="0" w:color="auto"/>
        <w:bottom w:val="none" w:sz="0" w:space="0" w:color="auto"/>
        <w:right w:val="none" w:sz="0" w:space="0" w:color="auto"/>
      </w:divBdr>
    </w:div>
    <w:div w:id="1157258064">
      <w:bodyDiv w:val="1"/>
      <w:marLeft w:val="0"/>
      <w:marRight w:val="0"/>
      <w:marTop w:val="0"/>
      <w:marBottom w:val="0"/>
      <w:divBdr>
        <w:top w:val="none" w:sz="0" w:space="0" w:color="auto"/>
        <w:left w:val="none" w:sz="0" w:space="0" w:color="auto"/>
        <w:bottom w:val="none" w:sz="0" w:space="0" w:color="auto"/>
        <w:right w:val="none" w:sz="0" w:space="0" w:color="auto"/>
      </w:divBdr>
    </w:div>
    <w:div w:id="1187018786">
      <w:bodyDiv w:val="1"/>
      <w:marLeft w:val="0"/>
      <w:marRight w:val="0"/>
      <w:marTop w:val="0"/>
      <w:marBottom w:val="0"/>
      <w:divBdr>
        <w:top w:val="none" w:sz="0" w:space="0" w:color="auto"/>
        <w:left w:val="none" w:sz="0" w:space="0" w:color="auto"/>
        <w:bottom w:val="none" w:sz="0" w:space="0" w:color="auto"/>
        <w:right w:val="none" w:sz="0" w:space="0" w:color="auto"/>
      </w:divBdr>
    </w:div>
    <w:div w:id="1229269431">
      <w:bodyDiv w:val="1"/>
      <w:marLeft w:val="0"/>
      <w:marRight w:val="0"/>
      <w:marTop w:val="0"/>
      <w:marBottom w:val="0"/>
      <w:divBdr>
        <w:top w:val="none" w:sz="0" w:space="0" w:color="auto"/>
        <w:left w:val="none" w:sz="0" w:space="0" w:color="auto"/>
        <w:bottom w:val="none" w:sz="0" w:space="0" w:color="auto"/>
        <w:right w:val="none" w:sz="0" w:space="0" w:color="auto"/>
      </w:divBdr>
    </w:div>
    <w:div w:id="1259799773">
      <w:bodyDiv w:val="1"/>
      <w:marLeft w:val="0"/>
      <w:marRight w:val="0"/>
      <w:marTop w:val="0"/>
      <w:marBottom w:val="0"/>
      <w:divBdr>
        <w:top w:val="none" w:sz="0" w:space="0" w:color="auto"/>
        <w:left w:val="none" w:sz="0" w:space="0" w:color="auto"/>
        <w:bottom w:val="none" w:sz="0" w:space="0" w:color="auto"/>
        <w:right w:val="none" w:sz="0" w:space="0" w:color="auto"/>
      </w:divBdr>
    </w:div>
    <w:div w:id="1293484829">
      <w:bodyDiv w:val="1"/>
      <w:marLeft w:val="0"/>
      <w:marRight w:val="0"/>
      <w:marTop w:val="0"/>
      <w:marBottom w:val="0"/>
      <w:divBdr>
        <w:top w:val="none" w:sz="0" w:space="0" w:color="auto"/>
        <w:left w:val="none" w:sz="0" w:space="0" w:color="auto"/>
        <w:bottom w:val="none" w:sz="0" w:space="0" w:color="auto"/>
        <w:right w:val="none" w:sz="0" w:space="0" w:color="auto"/>
      </w:divBdr>
    </w:div>
    <w:div w:id="1310555575">
      <w:bodyDiv w:val="1"/>
      <w:marLeft w:val="0"/>
      <w:marRight w:val="0"/>
      <w:marTop w:val="0"/>
      <w:marBottom w:val="0"/>
      <w:divBdr>
        <w:top w:val="none" w:sz="0" w:space="0" w:color="auto"/>
        <w:left w:val="none" w:sz="0" w:space="0" w:color="auto"/>
        <w:bottom w:val="none" w:sz="0" w:space="0" w:color="auto"/>
        <w:right w:val="none" w:sz="0" w:space="0" w:color="auto"/>
      </w:divBdr>
    </w:div>
    <w:div w:id="1311790977">
      <w:bodyDiv w:val="1"/>
      <w:marLeft w:val="0"/>
      <w:marRight w:val="0"/>
      <w:marTop w:val="0"/>
      <w:marBottom w:val="0"/>
      <w:divBdr>
        <w:top w:val="none" w:sz="0" w:space="0" w:color="auto"/>
        <w:left w:val="none" w:sz="0" w:space="0" w:color="auto"/>
        <w:bottom w:val="none" w:sz="0" w:space="0" w:color="auto"/>
        <w:right w:val="none" w:sz="0" w:space="0" w:color="auto"/>
      </w:divBdr>
    </w:div>
    <w:div w:id="1316102886">
      <w:bodyDiv w:val="1"/>
      <w:marLeft w:val="0"/>
      <w:marRight w:val="0"/>
      <w:marTop w:val="0"/>
      <w:marBottom w:val="0"/>
      <w:divBdr>
        <w:top w:val="none" w:sz="0" w:space="0" w:color="auto"/>
        <w:left w:val="none" w:sz="0" w:space="0" w:color="auto"/>
        <w:bottom w:val="none" w:sz="0" w:space="0" w:color="auto"/>
        <w:right w:val="none" w:sz="0" w:space="0" w:color="auto"/>
      </w:divBdr>
    </w:div>
    <w:div w:id="1334340906">
      <w:bodyDiv w:val="1"/>
      <w:marLeft w:val="0"/>
      <w:marRight w:val="0"/>
      <w:marTop w:val="0"/>
      <w:marBottom w:val="0"/>
      <w:divBdr>
        <w:top w:val="none" w:sz="0" w:space="0" w:color="auto"/>
        <w:left w:val="none" w:sz="0" w:space="0" w:color="auto"/>
        <w:bottom w:val="none" w:sz="0" w:space="0" w:color="auto"/>
        <w:right w:val="none" w:sz="0" w:space="0" w:color="auto"/>
      </w:divBdr>
    </w:div>
    <w:div w:id="1339965209">
      <w:bodyDiv w:val="1"/>
      <w:marLeft w:val="0"/>
      <w:marRight w:val="0"/>
      <w:marTop w:val="0"/>
      <w:marBottom w:val="0"/>
      <w:divBdr>
        <w:top w:val="none" w:sz="0" w:space="0" w:color="auto"/>
        <w:left w:val="none" w:sz="0" w:space="0" w:color="auto"/>
        <w:bottom w:val="none" w:sz="0" w:space="0" w:color="auto"/>
        <w:right w:val="none" w:sz="0" w:space="0" w:color="auto"/>
      </w:divBdr>
    </w:div>
    <w:div w:id="1351565274">
      <w:bodyDiv w:val="1"/>
      <w:marLeft w:val="0"/>
      <w:marRight w:val="0"/>
      <w:marTop w:val="0"/>
      <w:marBottom w:val="0"/>
      <w:divBdr>
        <w:top w:val="none" w:sz="0" w:space="0" w:color="auto"/>
        <w:left w:val="none" w:sz="0" w:space="0" w:color="auto"/>
        <w:bottom w:val="none" w:sz="0" w:space="0" w:color="auto"/>
        <w:right w:val="none" w:sz="0" w:space="0" w:color="auto"/>
      </w:divBdr>
    </w:div>
    <w:div w:id="1360089419">
      <w:bodyDiv w:val="1"/>
      <w:marLeft w:val="0"/>
      <w:marRight w:val="0"/>
      <w:marTop w:val="0"/>
      <w:marBottom w:val="0"/>
      <w:divBdr>
        <w:top w:val="none" w:sz="0" w:space="0" w:color="auto"/>
        <w:left w:val="none" w:sz="0" w:space="0" w:color="auto"/>
        <w:bottom w:val="none" w:sz="0" w:space="0" w:color="auto"/>
        <w:right w:val="none" w:sz="0" w:space="0" w:color="auto"/>
      </w:divBdr>
    </w:div>
    <w:div w:id="1367758939">
      <w:bodyDiv w:val="1"/>
      <w:marLeft w:val="0"/>
      <w:marRight w:val="0"/>
      <w:marTop w:val="0"/>
      <w:marBottom w:val="0"/>
      <w:divBdr>
        <w:top w:val="none" w:sz="0" w:space="0" w:color="auto"/>
        <w:left w:val="none" w:sz="0" w:space="0" w:color="auto"/>
        <w:bottom w:val="none" w:sz="0" w:space="0" w:color="auto"/>
        <w:right w:val="none" w:sz="0" w:space="0" w:color="auto"/>
      </w:divBdr>
    </w:div>
    <w:div w:id="1373842619">
      <w:bodyDiv w:val="1"/>
      <w:marLeft w:val="0"/>
      <w:marRight w:val="0"/>
      <w:marTop w:val="0"/>
      <w:marBottom w:val="0"/>
      <w:divBdr>
        <w:top w:val="none" w:sz="0" w:space="0" w:color="auto"/>
        <w:left w:val="none" w:sz="0" w:space="0" w:color="auto"/>
        <w:bottom w:val="none" w:sz="0" w:space="0" w:color="auto"/>
        <w:right w:val="none" w:sz="0" w:space="0" w:color="auto"/>
      </w:divBdr>
    </w:div>
    <w:div w:id="1373922841">
      <w:bodyDiv w:val="1"/>
      <w:marLeft w:val="0"/>
      <w:marRight w:val="0"/>
      <w:marTop w:val="0"/>
      <w:marBottom w:val="0"/>
      <w:divBdr>
        <w:top w:val="none" w:sz="0" w:space="0" w:color="auto"/>
        <w:left w:val="none" w:sz="0" w:space="0" w:color="auto"/>
        <w:bottom w:val="none" w:sz="0" w:space="0" w:color="auto"/>
        <w:right w:val="none" w:sz="0" w:space="0" w:color="auto"/>
      </w:divBdr>
    </w:div>
    <w:div w:id="1425228556">
      <w:bodyDiv w:val="1"/>
      <w:marLeft w:val="0"/>
      <w:marRight w:val="0"/>
      <w:marTop w:val="0"/>
      <w:marBottom w:val="0"/>
      <w:divBdr>
        <w:top w:val="none" w:sz="0" w:space="0" w:color="auto"/>
        <w:left w:val="none" w:sz="0" w:space="0" w:color="auto"/>
        <w:bottom w:val="none" w:sz="0" w:space="0" w:color="auto"/>
        <w:right w:val="none" w:sz="0" w:space="0" w:color="auto"/>
      </w:divBdr>
    </w:div>
    <w:div w:id="1427119252">
      <w:bodyDiv w:val="1"/>
      <w:marLeft w:val="0"/>
      <w:marRight w:val="0"/>
      <w:marTop w:val="0"/>
      <w:marBottom w:val="0"/>
      <w:divBdr>
        <w:top w:val="none" w:sz="0" w:space="0" w:color="auto"/>
        <w:left w:val="none" w:sz="0" w:space="0" w:color="auto"/>
        <w:bottom w:val="none" w:sz="0" w:space="0" w:color="auto"/>
        <w:right w:val="none" w:sz="0" w:space="0" w:color="auto"/>
      </w:divBdr>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
    <w:div w:id="1453404714">
      <w:bodyDiv w:val="1"/>
      <w:marLeft w:val="0"/>
      <w:marRight w:val="0"/>
      <w:marTop w:val="0"/>
      <w:marBottom w:val="0"/>
      <w:divBdr>
        <w:top w:val="none" w:sz="0" w:space="0" w:color="auto"/>
        <w:left w:val="none" w:sz="0" w:space="0" w:color="auto"/>
        <w:bottom w:val="none" w:sz="0" w:space="0" w:color="auto"/>
        <w:right w:val="none" w:sz="0" w:space="0" w:color="auto"/>
      </w:divBdr>
    </w:div>
    <w:div w:id="1456755814">
      <w:bodyDiv w:val="1"/>
      <w:marLeft w:val="0"/>
      <w:marRight w:val="0"/>
      <w:marTop w:val="0"/>
      <w:marBottom w:val="0"/>
      <w:divBdr>
        <w:top w:val="none" w:sz="0" w:space="0" w:color="auto"/>
        <w:left w:val="none" w:sz="0" w:space="0" w:color="auto"/>
        <w:bottom w:val="none" w:sz="0" w:space="0" w:color="auto"/>
        <w:right w:val="none" w:sz="0" w:space="0" w:color="auto"/>
      </w:divBdr>
    </w:div>
    <w:div w:id="1522814527">
      <w:bodyDiv w:val="1"/>
      <w:marLeft w:val="0"/>
      <w:marRight w:val="0"/>
      <w:marTop w:val="0"/>
      <w:marBottom w:val="0"/>
      <w:divBdr>
        <w:top w:val="none" w:sz="0" w:space="0" w:color="auto"/>
        <w:left w:val="none" w:sz="0" w:space="0" w:color="auto"/>
        <w:bottom w:val="none" w:sz="0" w:space="0" w:color="auto"/>
        <w:right w:val="none" w:sz="0" w:space="0" w:color="auto"/>
      </w:divBdr>
    </w:div>
    <w:div w:id="1602374941">
      <w:bodyDiv w:val="1"/>
      <w:marLeft w:val="0"/>
      <w:marRight w:val="0"/>
      <w:marTop w:val="0"/>
      <w:marBottom w:val="0"/>
      <w:divBdr>
        <w:top w:val="none" w:sz="0" w:space="0" w:color="auto"/>
        <w:left w:val="none" w:sz="0" w:space="0" w:color="auto"/>
        <w:bottom w:val="none" w:sz="0" w:space="0" w:color="auto"/>
        <w:right w:val="none" w:sz="0" w:space="0" w:color="auto"/>
      </w:divBdr>
    </w:div>
    <w:div w:id="1604650892">
      <w:bodyDiv w:val="1"/>
      <w:marLeft w:val="0"/>
      <w:marRight w:val="0"/>
      <w:marTop w:val="0"/>
      <w:marBottom w:val="0"/>
      <w:divBdr>
        <w:top w:val="none" w:sz="0" w:space="0" w:color="auto"/>
        <w:left w:val="none" w:sz="0" w:space="0" w:color="auto"/>
        <w:bottom w:val="none" w:sz="0" w:space="0" w:color="auto"/>
        <w:right w:val="none" w:sz="0" w:space="0" w:color="auto"/>
      </w:divBdr>
    </w:div>
    <w:div w:id="1606378573">
      <w:bodyDiv w:val="1"/>
      <w:marLeft w:val="0"/>
      <w:marRight w:val="0"/>
      <w:marTop w:val="0"/>
      <w:marBottom w:val="0"/>
      <w:divBdr>
        <w:top w:val="none" w:sz="0" w:space="0" w:color="auto"/>
        <w:left w:val="none" w:sz="0" w:space="0" w:color="auto"/>
        <w:bottom w:val="none" w:sz="0" w:space="0" w:color="auto"/>
        <w:right w:val="none" w:sz="0" w:space="0" w:color="auto"/>
      </w:divBdr>
    </w:div>
    <w:div w:id="1618215140">
      <w:bodyDiv w:val="1"/>
      <w:marLeft w:val="0"/>
      <w:marRight w:val="0"/>
      <w:marTop w:val="0"/>
      <w:marBottom w:val="0"/>
      <w:divBdr>
        <w:top w:val="none" w:sz="0" w:space="0" w:color="auto"/>
        <w:left w:val="none" w:sz="0" w:space="0" w:color="auto"/>
        <w:bottom w:val="none" w:sz="0" w:space="0" w:color="auto"/>
        <w:right w:val="none" w:sz="0" w:space="0" w:color="auto"/>
      </w:divBdr>
    </w:div>
    <w:div w:id="1635745482">
      <w:bodyDiv w:val="1"/>
      <w:marLeft w:val="0"/>
      <w:marRight w:val="0"/>
      <w:marTop w:val="0"/>
      <w:marBottom w:val="0"/>
      <w:divBdr>
        <w:top w:val="none" w:sz="0" w:space="0" w:color="auto"/>
        <w:left w:val="none" w:sz="0" w:space="0" w:color="auto"/>
        <w:bottom w:val="none" w:sz="0" w:space="0" w:color="auto"/>
        <w:right w:val="none" w:sz="0" w:space="0" w:color="auto"/>
      </w:divBdr>
    </w:div>
    <w:div w:id="1646544127">
      <w:bodyDiv w:val="1"/>
      <w:marLeft w:val="0"/>
      <w:marRight w:val="0"/>
      <w:marTop w:val="0"/>
      <w:marBottom w:val="0"/>
      <w:divBdr>
        <w:top w:val="none" w:sz="0" w:space="0" w:color="auto"/>
        <w:left w:val="none" w:sz="0" w:space="0" w:color="auto"/>
        <w:bottom w:val="none" w:sz="0" w:space="0" w:color="auto"/>
        <w:right w:val="none" w:sz="0" w:space="0" w:color="auto"/>
      </w:divBdr>
    </w:div>
    <w:div w:id="1658681237">
      <w:bodyDiv w:val="1"/>
      <w:marLeft w:val="0"/>
      <w:marRight w:val="0"/>
      <w:marTop w:val="0"/>
      <w:marBottom w:val="0"/>
      <w:divBdr>
        <w:top w:val="none" w:sz="0" w:space="0" w:color="auto"/>
        <w:left w:val="none" w:sz="0" w:space="0" w:color="auto"/>
        <w:bottom w:val="none" w:sz="0" w:space="0" w:color="auto"/>
        <w:right w:val="none" w:sz="0" w:space="0" w:color="auto"/>
      </w:divBdr>
    </w:div>
    <w:div w:id="1667855221">
      <w:bodyDiv w:val="1"/>
      <w:marLeft w:val="0"/>
      <w:marRight w:val="0"/>
      <w:marTop w:val="0"/>
      <w:marBottom w:val="0"/>
      <w:divBdr>
        <w:top w:val="none" w:sz="0" w:space="0" w:color="auto"/>
        <w:left w:val="none" w:sz="0" w:space="0" w:color="auto"/>
        <w:bottom w:val="none" w:sz="0" w:space="0" w:color="auto"/>
        <w:right w:val="none" w:sz="0" w:space="0" w:color="auto"/>
      </w:divBdr>
    </w:div>
    <w:div w:id="1695691325">
      <w:bodyDiv w:val="1"/>
      <w:marLeft w:val="0"/>
      <w:marRight w:val="0"/>
      <w:marTop w:val="0"/>
      <w:marBottom w:val="0"/>
      <w:divBdr>
        <w:top w:val="none" w:sz="0" w:space="0" w:color="auto"/>
        <w:left w:val="none" w:sz="0" w:space="0" w:color="auto"/>
        <w:bottom w:val="none" w:sz="0" w:space="0" w:color="auto"/>
        <w:right w:val="none" w:sz="0" w:space="0" w:color="auto"/>
      </w:divBdr>
    </w:div>
    <w:div w:id="1708067260">
      <w:bodyDiv w:val="1"/>
      <w:marLeft w:val="0"/>
      <w:marRight w:val="0"/>
      <w:marTop w:val="0"/>
      <w:marBottom w:val="0"/>
      <w:divBdr>
        <w:top w:val="none" w:sz="0" w:space="0" w:color="auto"/>
        <w:left w:val="none" w:sz="0" w:space="0" w:color="auto"/>
        <w:bottom w:val="none" w:sz="0" w:space="0" w:color="auto"/>
        <w:right w:val="none" w:sz="0" w:space="0" w:color="auto"/>
      </w:divBdr>
    </w:div>
    <w:div w:id="1719819004">
      <w:bodyDiv w:val="1"/>
      <w:marLeft w:val="0"/>
      <w:marRight w:val="0"/>
      <w:marTop w:val="0"/>
      <w:marBottom w:val="0"/>
      <w:divBdr>
        <w:top w:val="none" w:sz="0" w:space="0" w:color="auto"/>
        <w:left w:val="none" w:sz="0" w:space="0" w:color="auto"/>
        <w:bottom w:val="none" w:sz="0" w:space="0" w:color="auto"/>
        <w:right w:val="none" w:sz="0" w:space="0" w:color="auto"/>
      </w:divBdr>
    </w:div>
    <w:div w:id="1724711772">
      <w:bodyDiv w:val="1"/>
      <w:marLeft w:val="0"/>
      <w:marRight w:val="0"/>
      <w:marTop w:val="0"/>
      <w:marBottom w:val="0"/>
      <w:divBdr>
        <w:top w:val="none" w:sz="0" w:space="0" w:color="auto"/>
        <w:left w:val="none" w:sz="0" w:space="0" w:color="auto"/>
        <w:bottom w:val="none" w:sz="0" w:space="0" w:color="auto"/>
        <w:right w:val="none" w:sz="0" w:space="0" w:color="auto"/>
      </w:divBdr>
    </w:div>
    <w:div w:id="1731463225">
      <w:bodyDiv w:val="1"/>
      <w:marLeft w:val="0"/>
      <w:marRight w:val="0"/>
      <w:marTop w:val="0"/>
      <w:marBottom w:val="0"/>
      <w:divBdr>
        <w:top w:val="none" w:sz="0" w:space="0" w:color="auto"/>
        <w:left w:val="none" w:sz="0" w:space="0" w:color="auto"/>
        <w:bottom w:val="none" w:sz="0" w:space="0" w:color="auto"/>
        <w:right w:val="none" w:sz="0" w:space="0" w:color="auto"/>
      </w:divBdr>
    </w:div>
    <w:div w:id="1744910564">
      <w:bodyDiv w:val="1"/>
      <w:marLeft w:val="0"/>
      <w:marRight w:val="0"/>
      <w:marTop w:val="0"/>
      <w:marBottom w:val="0"/>
      <w:divBdr>
        <w:top w:val="none" w:sz="0" w:space="0" w:color="auto"/>
        <w:left w:val="none" w:sz="0" w:space="0" w:color="auto"/>
        <w:bottom w:val="none" w:sz="0" w:space="0" w:color="auto"/>
        <w:right w:val="none" w:sz="0" w:space="0" w:color="auto"/>
      </w:divBdr>
    </w:div>
    <w:div w:id="1747531181">
      <w:bodyDiv w:val="1"/>
      <w:marLeft w:val="0"/>
      <w:marRight w:val="0"/>
      <w:marTop w:val="0"/>
      <w:marBottom w:val="0"/>
      <w:divBdr>
        <w:top w:val="none" w:sz="0" w:space="0" w:color="auto"/>
        <w:left w:val="none" w:sz="0" w:space="0" w:color="auto"/>
        <w:bottom w:val="none" w:sz="0" w:space="0" w:color="auto"/>
        <w:right w:val="none" w:sz="0" w:space="0" w:color="auto"/>
      </w:divBdr>
    </w:div>
    <w:div w:id="1752198821">
      <w:bodyDiv w:val="1"/>
      <w:marLeft w:val="0"/>
      <w:marRight w:val="0"/>
      <w:marTop w:val="0"/>
      <w:marBottom w:val="0"/>
      <w:divBdr>
        <w:top w:val="none" w:sz="0" w:space="0" w:color="auto"/>
        <w:left w:val="none" w:sz="0" w:space="0" w:color="auto"/>
        <w:bottom w:val="none" w:sz="0" w:space="0" w:color="auto"/>
        <w:right w:val="none" w:sz="0" w:space="0" w:color="auto"/>
      </w:divBdr>
    </w:div>
    <w:div w:id="1824270860">
      <w:bodyDiv w:val="1"/>
      <w:marLeft w:val="0"/>
      <w:marRight w:val="0"/>
      <w:marTop w:val="0"/>
      <w:marBottom w:val="0"/>
      <w:divBdr>
        <w:top w:val="none" w:sz="0" w:space="0" w:color="auto"/>
        <w:left w:val="none" w:sz="0" w:space="0" w:color="auto"/>
        <w:bottom w:val="none" w:sz="0" w:space="0" w:color="auto"/>
        <w:right w:val="none" w:sz="0" w:space="0" w:color="auto"/>
      </w:divBdr>
    </w:div>
    <w:div w:id="1869021545">
      <w:bodyDiv w:val="1"/>
      <w:marLeft w:val="0"/>
      <w:marRight w:val="0"/>
      <w:marTop w:val="0"/>
      <w:marBottom w:val="0"/>
      <w:divBdr>
        <w:top w:val="none" w:sz="0" w:space="0" w:color="auto"/>
        <w:left w:val="none" w:sz="0" w:space="0" w:color="auto"/>
        <w:bottom w:val="none" w:sz="0" w:space="0" w:color="auto"/>
        <w:right w:val="none" w:sz="0" w:space="0" w:color="auto"/>
      </w:divBdr>
    </w:div>
    <w:div w:id="1911765238">
      <w:bodyDiv w:val="1"/>
      <w:marLeft w:val="0"/>
      <w:marRight w:val="0"/>
      <w:marTop w:val="0"/>
      <w:marBottom w:val="0"/>
      <w:divBdr>
        <w:top w:val="none" w:sz="0" w:space="0" w:color="auto"/>
        <w:left w:val="none" w:sz="0" w:space="0" w:color="auto"/>
        <w:bottom w:val="none" w:sz="0" w:space="0" w:color="auto"/>
        <w:right w:val="none" w:sz="0" w:space="0" w:color="auto"/>
      </w:divBdr>
    </w:div>
    <w:div w:id="1938171561">
      <w:bodyDiv w:val="1"/>
      <w:marLeft w:val="0"/>
      <w:marRight w:val="0"/>
      <w:marTop w:val="0"/>
      <w:marBottom w:val="0"/>
      <w:divBdr>
        <w:top w:val="none" w:sz="0" w:space="0" w:color="auto"/>
        <w:left w:val="none" w:sz="0" w:space="0" w:color="auto"/>
        <w:bottom w:val="none" w:sz="0" w:space="0" w:color="auto"/>
        <w:right w:val="none" w:sz="0" w:space="0" w:color="auto"/>
      </w:divBdr>
    </w:div>
    <w:div w:id="1958682149">
      <w:bodyDiv w:val="1"/>
      <w:marLeft w:val="0"/>
      <w:marRight w:val="0"/>
      <w:marTop w:val="0"/>
      <w:marBottom w:val="0"/>
      <w:divBdr>
        <w:top w:val="none" w:sz="0" w:space="0" w:color="auto"/>
        <w:left w:val="none" w:sz="0" w:space="0" w:color="auto"/>
        <w:bottom w:val="none" w:sz="0" w:space="0" w:color="auto"/>
        <w:right w:val="none" w:sz="0" w:space="0" w:color="auto"/>
      </w:divBdr>
    </w:div>
    <w:div w:id="1969125961">
      <w:bodyDiv w:val="1"/>
      <w:marLeft w:val="0"/>
      <w:marRight w:val="0"/>
      <w:marTop w:val="0"/>
      <w:marBottom w:val="0"/>
      <w:divBdr>
        <w:top w:val="none" w:sz="0" w:space="0" w:color="auto"/>
        <w:left w:val="none" w:sz="0" w:space="0" w:color="auto"/>
        <w:bottom w:val="none" w:sz="0" w:space="0" w:color="auto"/>
        <w:right w:val="none" w:sz="0" w:space="0" w:color="auto"/>
      </w:divBdr>
    </w:div>
    <w:div w:id="1976131392">
      <w:bodyDiv w:val="1"/>
      <w:marLeft w:val="0"/>
      <w:marRight w:val="0"/>
      <w:marTop w:val="0"/>
      <w:marBottom w:val="0"/>
      <w:divBdr>
        <w:top w:val="none" w:sz="0" w:space="0" w:color="auto"/>
        <w:left w:val="none" w:sz="0" w:space="0" w:color="auto"/>
        <w:bottom w:val="none" w:sz="0" w:space="0" w:color="auto"/>
        <w:right w:val="none" w:sz="0" w:space="0" w:color="auto"/>
      </w:divBdr>
    </w:div>
    <w:div w:id="1977176605">
      <w:bodyDiv w:val="1"/>
      <w:marLeft w:val="0"/>
      <w:marRight w:val="0"/>
      <w:marTop w:val="0"/>
      <w:marBottom w:val="0"/>
      <w:divBdr>
        <w:top w:val="none" w:sz="0" w:space="0" w:color="auto"/>
        <w:left w:val="none" w:sz="0" w:space="0" w:color="auto"/>
        <w:bottom w:val="none" w:sz="0" w:space="0" w:color="auto"/>
        <w:right w:val="none" w:sz="0" w:space="0" w:color="auto"/>
      </w:divBdr>
    </w:div>
    <w:div w:id="1979146835">
      <w:bodyDiv w:val="1"/>
      <w:marLeft w:val="0"/>
      <w:marRight w:val="0"/>
      <w:marTop w:val="0"/>
      <w:marBottom w:val="0"/>
      <w:divBdr>
        <w:top w:val="none" w:sz="0" w:space="0" w:color="auto"/>
        <w:left w:val="none" w:sz="0" w:space="0" w:color="auto"/>
        <w:bottom w:val="none" w:sz="0" w:space="0" w:color="auto"/>
        <w:right w:val="none" w:sz="0" w:space="0" w:color="auto"/>
      </w:divBdr>
    </w:div>
    <w:div w:id="2028019253">
      <w:bodyDiv w:val="1"/>
      <w:marLeft w:val="0"/>
      <w:marRight w:val="0"/>
      <w:marTop w:val="0"/>
      <w:marBottom w:val="0"/>
      <w:divBdr>
        <w:top w:val="none" w:sz="0" w:space="0" w:color="auto"/>
        <w:left w:val="none" w:sz="0" w:space="0" w:color="auto"/>
        <w:bottom w:val="none" w:sz="0" w:space="0" w:color="auto"/>
        <w:right w:val="none" w:sz="0" w:space="0" w:color="auto"/>
      </w:divBdr>
    </w:div>
    <w:div w:id="2043554665">
      <w:bodyDiv w:val="1"/>
      <w:marLeft w:val="0"/>
      <w:marRight w:val="0"/>
      <w:marTop w:val="0"/>
      <w:marBottom w:val="0"/>
      <w:divBdr>
        <w:top w:val="none" w:sz="0" w:space="0" w:color="auto"/>
        <w:left w:val="none" w:sz="0" w:space="0" w:color="auto"/>
        <w:bottom w:val="none" w:sz="0" w:space="0" w:color="auto"/>
        <w:right w:val="none" w:sz="0" w:space="0" w:color="auto"/>
      </w:divBdr>
    </w:div>
    <w:div w:id="2049600441">
      <w:bodyDiv w:val="1"/>
      <w:marLeft w:val="0"/>
      <w:marRight w:val="0"/>
      <w:marTop w:val="0"/>
      <w:marBottom w:val="0"/>
      <w:divBdr>
        <w:top w:val="none" w:sz="0" w:space="0" w:color="auto"/>
        <w:left w:val="none" w:sz="0" w:space="0" w:color="auto"/>
        <w:bottom w:val="none" w:sz="0" w:space="0" w:color="auto"/>
        <w:right w:val="none" w:sz="0" w:space="0" w:color="auto"/>
      </w:divBdr>
    </w:div>
    <w:div w:id="2064476664">
      <w:bodyDiv w:val="1"/>
      <w:marLeft w:val="0"/>
      <w:marRight w:val="0"/>
      <w:marTop w:val="0"/>
      <w:marBottom w:val="0"/>
      <w:divBdr>
        <w:top w:val="none" w:sz="0" w:space="0" w:color="auto"/>
        <w:left w:val="none" w:sz="0" w:space="0" w:color="auto"/>
        <w:bottom w:val="none" w:sz="0" w:space="0" w:color="auto"/>
        <w:right w:val="none" w:sz="0" w:space="0" w:color="auto"/>
      </w:divBdr>
    </w:div>
    <w:div w:id="2134015605">
      <w:bodyDiv w:val="1"/>
      <w:marLeft w:val="0"/>
      <w:marRight w:val="0"/>
      <w:marTop w:val="0"/>
      <w:marBottom w:val="0"/>
      <w:divBdr>
        <w:top w:val="none" w:sz="0" w:space="0" w:color="auto"/>
        <w:left w:val="none" w:sz="0" w:space="0" w:color="auto"/>
        <w:bottom w:val="none" w:sz="0" w:space="0" w:color="auto"/>
        <w:right w:val="none" w:sz="0" w:space="0" w:color="auto"/>
      </w:divBdr>
    </w:div>
    <w:div w:id="21459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ja\Work%20Folders\My%20Documents\AGS%20drafting%20templates%20and%20macros\Macros%20for%20drafting%20in%20AG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148F-C8D7-43C1-8277-41D5A234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Macros for drafting in AGS.dotm</Template>
  <TotalTime>0</TotalTime>
  <Pages>2</Pages>
  <Words>53689</Words>
  <Characters>277038</Characters>
  <Application>Microsoft Office Word</Application>
  <DocSecurity>0</DocSecurity>
  <Lines>4947</Lines>
  <Paragraphs>2624</Paragraphs>
  <ScaleCrop>false</ScaleCrop>
  <HeadingPairs>
    <vt:vector size="2" baseType="variant">
      <vt:variant>
        <vt:lpstr>Title</vt:lpstr>
      </vt:variant>
      <vt:variant>
        <vt:i4>1</vt:i4>
      </vt:variant>
    </vt:vector>
  </HeadingPairs>
  <TitlesOfParts>
    <vt:vector size="1" baseType="lpstr">
      <vt:lpstr>Consumer Data Right Amendments - Exposure draft (Mark-up version)</vt:lpstr>
    </vt:vector>
  </TitlesOfParts>
  <Company/>
  <LinksUpToDate>false</LinksUpToDate>
  <CharactersWithSpaces>328103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Amendments - Exposure draft (Mark-up version)</dc:title>
  <dc:subject/>
  <dc:creator/>
  <cp:keywords/>
  <cp:lastModifiedBy/>
  <cp:revision>1</cp:revision>
  <dcterms:created xsi:type="dcterms:W3CDTF">2021-06-18T04:15:00Z</dcterms:created>
  <dcterms:modified xsi:type="dcterms:W3CDTF">2021-06-30T07:28:00Z</dcterms:modified>
</cp:coreProperties>
</file>