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33E3D" w14:textId="019E5D8F" w:rsidR="000E0B74" w:rsidRPr="006D0240" w:rsidRDefault="000E0B74" w:rsidP="008E6292"/>
    <w:p w14:paraId="65A78EC9" w14:textId="77777777" w:rsidR="000E0B74" w:rsidRPr="006D0240" w:rsidRDefault="000E0B74" w:rsidP="001D4EAA">
      <w:pPr>
        <w:pStyle w:val="Crest"/>
        <w:spacing w:after="1320"/>
        <w:jc w:val="left"/>
      </w:pPr>
    </w:p>
    <w:p w14:paraId="681DB30C" w14:textId="7E558F96" w:rsidR="000E0B74" w:rsidRPr="001D4EAA" w:rsidRDefault="00624B92" w:rsidP="001D4EAA">
      <w:pPr>
        <w:pStyle w:val="Title"/>
      </w:pPr>
      <w:r>
        <w:t>2021 Triennial Review of the Terrorism Insurance Act 2003</w:t>
      </w:r>
    </w:p>
    <w:p w14:paraId="566AC121" w14:textId="76861F57" w:rsidR="000E0B74" w:rsidRPr="001D4EAA" w:rsidRDefault="00D03789" w:rsidP="001D4EAA">
      <w:pPr>
        <w:pStyle w:val="Subtitle"/>
      </w:pPr>
      <w:r>
        <w:t>Consultation paper</w:t>
      </w:r>
    </w:p>
    <w:p w14:paraId="587FECCC" w14:textId="39A8A054" w:rsidR="00056880" w:rsidRDefault="0097328E" w:rsidP="001D4EAA">
      <w:pPr>
        <w:pStyle w:val="ReportDate"/>
        <w:rPr>
          <w:rFonts w:ascii="Rockwell" w:hAnsi="Rockwell"/>
          <w:sz w:val="24"/>
        </w:rPr>
      </w:pPr>
      <w:r>
        <w:rPr>
          <w:rStyle w:val="ReportDateChar"/>
        </w:rPr>
        <w:t>July</w:t>
      </w:r>
      <w:r w:rsidR="00642E40">
        <w:rPr>
          <w:rStyle w:val="ReportDateChar"/>
        </w:rPr>
        <w:t xml:space="preserve"> </w:t>
      </w:r>
      <w:r w:rsidR="00474182">
        <w:rPr>
          <w:rStyle w:val="ReportDateChar"/>
        </w:rPr>
        <w:t>2021</w:t>
      </w:r>
    </w:p>
    <w:p w14:paraId="3EAC37D5" w14:textId="77777777" w:rsidR="002F617F" w:rsidRPr="001D4EAA" w:rsidRDefault="002F617F" w:rsidP="001D4EAA">
      <w:pPr>
        <w:spacing w:after="6000"/>
      </w:pPr>
    </w:p>
    <w:p w14:paraId="6FE6CB88" w14:textId="77777777" w:rsidR="002F617F" w:rsidRDefault="002F617F"/>
    <w:p w14:paraId="0D333707" w14:textId="77777777" w:rsidR="000E0B74" w:rsidRDefault="000E0B74" w:rsidP="000E0B74">
      <w:pPr>
        <w:rPr>
          <w:rFonts w:cs="Calibri"/>
          <w:sz w:val="20"/>
        </w:rPr>
      </w:pPr>
    </w:p>
    <w:p w14:paraId="00D2CFEE" w14:textId="77777777" w:rsidR="000E0B74" w:rsidRDefault="000E0B74" w:rsidP="000E0B74">
      <w:pPr>
        <w:sectPr w:rsidR="000E0B74" w:rsidSect="00E1136B">
          <w:headerReference w:type="default" r:id="rId8"/>
          <w:pgSz w:w="11906" w:h="16838"/>
          <w:pgMar w:top="1418" w:right="1418" w:bottom="1418" w:left="1418" w:header="709" w:footer="709" w:gutter="0"/>
          <w:pgNumType w:fmt="lowerRoman" w:start="1"/>
          <w:cols w:space="720"/>
        </w:sectPr>
      </w:pPr>
    </w:p>
    <w:p w14:paraId="327F7C68" w14:textId="548235FA" w:rsidR="000E0B74" w:rsidRDefault="000E0B74" w:rsidP="000E0B74">
      <w:pPr>
        <w:spacing w:before="240"/>
      </w:pPr>
      <w:r w:rsidRPr="00661BF0">
        <w:lastRenderedPageBreak/>
        <w:t xml:space="preserve">© Commonwealth of </w:t>
      </w:r>
      <w:r w:rsidRPr="00D03789">
        <w:t>Australia 20</w:t>
      </w:r>
      <w:r w:rsidR="00EF2FBF" w:rsidRPr="00D03789">
        <w:t>2</w:t>
      </w:r>
      <w:r w:rsidR="00D03789" w:rsidRPr="00D03789">
        <w:t>1</w:t>
      </w:r>
    </w:p>
    <w:p w14:paraId="5FD47C4B" w14:textId="53D5C2D5"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9"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0"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75B13EC5" w14:textId="77777777" w:rsidR="000E0B74" w:rsidRDefault="000E0B74" w:rsidP="000E0B74">
      <w:pPr>
        <w:pStyle w:val="ChartGraphic"/>
        <w:jc w:val="left"/>
      </w:pPr>
      <w:r w:rsidRPr="00E56DFB">
        <w:rPr>
          <w:noProof/>
        </w:rPr>
        <w:drawing>
          <wp:inline distT="0" distB="0" distL="0" distR="0" wp14:anchorId="214EF63A" wp14:editId="6D48D07B">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BC1F4EB"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2"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4ADD9DD5"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32FCD2A4"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2829A463" w14:textId="759B21D5" w:rsidR="000E0B74" w:rsidRPr="00A13A11" w:rsidRDefault="000E0B74" w:rsidP="000E0B74">
      <w:pPr>
        <w:ind w:firstLine="720"/>
      </w:pPr>
      <w:r w:rsidRPr="002F1BC2">
        <w:rPr>
          <w:i/>
        </w:rPr>
        <w:t xml:space="preserve">Source: The </w:t>
      </w:r>
      <w:r w:rsidRPr="002F1BC2">
        <w:rPr>
          <w:i/>
          <w:iCs/>
        </w:rPr>
        <w:t>Australian Government the Treasury</w:t>
      </w:r>
      <w:r>
        <w:t>.</w:t>
      </w:r>
    </w:p>
    <w:p w14:paraId="60943664" w14:textId="77777777" w:rsidR="000E0B74" w:rsidRPr="006627B4" w:rsidRDefault="000E0B74" w:rsidP="000E0B74">
      <w:pPr>
        <w:spacing w:before="240"/>
      </w:pPr>
      <w:r w:rsidRPr="00CC63CC">
        <w:rPr>
          <w:b/>
        </w:rPr>
        <w:t>Derivative</w:t>
      </w:r>
      <w:r w:rsidRPr="006627B4">
        <w:t xml:space="preserve"> </w:t>
      </w:r>
      <w:r w:rsidRPr="00CC63CC">
        <w:rPr>
          <w:b/>
        </w:rPr>
        <w:t>material</w:t>
      </w:r>
    </w:p>
    <w:p w14:paraId="30F77EA9"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21C2D531" w14:textId="4CC93BE8" w:rsidR="000E0B74" w:rsidRPr="006627B4" w:rsidRDefault="000E0B74" w:rsidP="000E0B74">
      <w:pPr>
        <w:ind w:firstLine="720"/>
      </w:pPr>
      <w:r w:rsidRPr="002F1BC2">
        <w:rPr>
          <w:i/>
        </w:rPr>
        <w:t>Based on The Australian Government the Treasury data</w:t>
      </w:r>
      <w:r>
        <w:t>.</w:t>
      </w:r>
    </w:p>
    <w:p w14:paraId="4A796A54" w14:textId="77777777" w:rsidR="000E0B74" w:rsidRPr="006627B4" w:rsidRDefault="000E0B74" w:rsidP="000E0B74">
      <w:pPr>
        <w:spacing w:before="240"/>
        <w:rPr>
          <w:b/>
        </w:rPr>
      </w:pPr>
      <w:r w:rsidRPr="006627B4">
        <w:rPr>
          <w:b/>
        </w:rPr>
        <w:t>Use of the Coat of Arms</w:t>
      </w:r>
    </w:p>
    <w:p w14:paraId="2EF0F4D4" w14:textId="77777777"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13" w:history="1">
        <w:r w:rsidRPr="005A283B">
          <w:rPr>
            <w:rStyle w:val="Hyperlink"/>
          </w:rPr>
          <w:t>www.pmc.gov.au/government/commonwealth-coat-arm</w:t>
        </w:r>
      </w:hyperlink>
      <w:r w:rsidRPr="004A7BC2">
        <w:t>s).</w:t>
      </w:r>
    </w:p>
    <w:p w14:paraId="6CED3A76" w14:textId="77777777" w:rsidR="000E0B74" w:rsidRPr="006627B4" w:rsidRDefault="000E0B74" w:rsidP="000E0B74">
      <w:pPr>
        <w:spacing w:before="240"/>
        <w:rPr>
          <w:b/>
        </w:rPr>
      </w:pPr>
      <w:r>
        <w:rPr>
          <w:b/>
        </w:rPr>
        <w:t>Other u</w:t>
      </w:r>
      <w:r w:rsidRPr="006627B4">
        <w:rPr>
          <w:b/>
        </w:rPr>
        <w:t>ses</w:t>
      </w:r>
    </w:p>
    <w:p w14:paraId="63E8ABB7" w14:textId="77777777" w:rsidR="000E0B74" w:rsidRPr="006627B4" w:rsidRDefault="000E0B74" w:rsidP="000E0B74">
      <w:r>
        <w:t>E</w:t>
      </w:r>
      <w:r w:rsidRPr="006627B4">
        <w:t>nquiries regarding this licence and any other use of this document are welcome at:</w:t>
      </w:r>
    </w:p>
    <w:p w14:paraId="70106637" w14:textId="77777777" w:rsidR="000E0B74" w:rsidRPr="002F1BC2" w:rsidRDefault="000E0B74" w:rsidP="000E0B74">
      <w:pPr>
        <w:ind w:left="720"/>
        <w:rPr>
          <w:rStyle w:val="Hyperlink"/>
        </w:rPr>
      </w:pPr>
      <w:r w:rsidRPr="006627B4">
        <w:t>Manager</w:t>
      </w:r>
      <w:r w:rsidR="009A668A">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4" w:history="1">
        <w:r w:rsidR="004A077D" w:rsidRPr="000951A5">
          <w:rPr>
            <w:rStyle w:val="Hyperlink"/>
          </w:rPr>
          <w:t>media@treasury.gov.au</w:t>
        </w:r>
      </w:hyperlink>
      <w:r w:rsidR="004A077D">
        <w:t xml:space="preserve"> </w:t>
      </w:r>
    </w:p>
    <w:p w14:paraId="402E4AE9" w14:textId="77777777" w:rsidR="000E0B74" w:rsidRDefault="000E0B74" w:rsidP="000E0B74">
      <w:pPr>
        <w:pStyle w:val="SingleParagraph"/>
        <w:sectPr w:rsidR="000E0B74" w:rsidSect="00475B7B">
          <w:headerReference w:type="even" r:id="rId15"/>
          <w:headerReference w:type="default" r:id="rId16"/>
          <w:footerReference w:type="even" r:id="rId17"/>
          <w:pgSz w:w="11906" w:h="16838" w:code="9"/>
          <w:pgMar w:top="1418" w:right="1418" w:bottom="1418" w:left="1418" w:header="709" w:footer="709" w:gutter="0"/>
          <w:pgNumType w:fmt="lowerRoman"/>
          <w:cols w:space="708"/>
          <w:titlePg/>
          <w:docGrid w:linePitch="360"/>
        </w:sectPr>
      </w:pPr>
    </w:p>
    <w:p w14:paraId="4AFC9B18" w14:textId="77777777" w:rsidR="000E0B74" w:rsidRPr="00354FBB" w:rsidRDefault="000E0B74" w:rsidP="00354FBB">
      <w:pPr>
        <w:pStyle w:val="Heading1"/>
      </w:pPr>
      <w:bookmarkStart w:id="0" w:name="_Toc70089249"/>
      <w:bookmarkStart w:id="1" w:name="_Toc70094093"/>
      <w:bookmarkStart w:id="2" w:name="_Toc74317535"/>
      <w:r w:rsidRPr="00354FBB">
        <w:lastRenderedPageBreak/>
        <w:t>Contents</w:t>
      </w:r>
      <w:bookmarkEnd w:id="0"/>
      <w:bookmarkEnd w:id="1"/>
      <w:bookmarkEnd w:id="2"/>
    </w:p>
    <w:p w14:paraId="0B5A53FF" w14:textId="07CE2AA2" w:rsidR="00113F23" w:rsidRDefault="00257AEE">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74317535" w:history="1">
        <w:r w:rsidR="00113F23" w:rsidRPr="00764E70">
          <w:rPr>
            <w:rStyle w:val="Hyperlink"/>
          </w:rPr>
          <w:t>Contents</w:t>
        </w:r>
        <w:r w:rsidR="00113F23">
          <w:rPr>
            <w:webHidden/>
          </w:rPr>
          <w:tab/>
        </w:r>
        <w:r w:rsidR="00113F23">
          <w:rPr>
            <w:webHidden/>
          </w:rPr>
          <w:fldChar w:fldCharType="begin"/>
        </w:r>
        <w:r w:rsidR="00113F23">
          <w:rPr>
            <w:webHidden/>
          </w:rPr>
          <w:instrText xml:space="preserve"> PAGEREF _Toc74317535 \h </w:instrText>
        </w:r>
        <w:r w:rsidR="00113F23">
          <w:rPr>
            <w:webHidden/>
          </w:rPr>
        </w:r>
        <w:r w:rsidR="00113F23">
          <w:rPr>
            <w:webHidden/>
          </w:rPr>
          <w:fldChar w:fldCharType="separate"/>
        </w:r>
        <w:r w:rsidR="0022402C">
          <w:rPr>
            <w:webHidden/>
          </w:rPr>
          <w:t>iii</w:t>
        </w:r>
        <w:r w:rsidR="00113F23">
          <w:rPr>
            <w:webHidden/>
          </w:rPr>
          <w:fldChar w:fldCharType="end"/>
        </w:r>
      </w:hyperlink>
    </w:p>
    <w:p w14:paraId="2355129D" w14:textId="72D984EE" w:rsidR="00113F23" w:rsidRDefault="006260C9">
      <w:pPr>
        <w:pStyle w:val="TOC1"/>
        <w:rPr>
          <w:rFonts w:asciiTheme="minorHAnsi" w:eastAsiaTheme="minorEastAsia" w:hAnsiTheme="minorHAnsi" w:cstheme="minorBidi"/>
          <w:b w:val="0"/>
          <w:color w:val="auto"/>
        </w:rPr>
      </w:pPr>
      <w:hyperlink w:anchor="_Toc74317536" w:history="1">
        <w:r w:rsidR="00113F23" w:rsidRPr="00764E70">
          <w:rPr>
            <w:rStyle w:val="Hyperlink"/>
          </w:rPr>
          <w:t>Consultation Process</w:t>
        </w:r>
        <w:r w:rsidR="00113F23">
          <w:rPr>
            <w:webHidden/>
          </w:rPr>
          <w:tab/>
        </w:r>
        <w:r w:rsidR="00113F23">
          <w:rPr>
            <w:webHidden/>
          </w:rPr>
          <w:fldChar w:fldCharType="begin"/>
        </w:r>
        <w:r w:rsidR="00113F23">
          <w:rPr>
            <w:webHidden/>
          </w:rPr>
          <w:instrText xml:space="preserve"> PAGEREF _Toc74317536 \h </w:instrText>
        </w:r>
        <w:r w:rsidR="00113F23">
          <w:rPr>
            <w:webHidden/>
          </w:rPr>
        </w:r>
        <w:r w:rsidR="00113F23">
          <w:rPr>
            <w:webHidden/>
          </w:rPr>
          <w:fldChar w:fldCharType="separate"/>
        </w:r>
        <w:r w:rsidR="0022402C">
          <w:rPr>
            <w:webHidden/>
          </w:rPr>
          <w:t>1</w:t>
        </w:r>
        <w:r w:rsidR="00113F23">
          <w:rPr>
            <w:webHidden/>
          </w:rPr>
          <w:fldChar w:fldCharType="end"/>
        </w:r>
      </w:hyperlink>
    </w:p>
    <w:p w14:paraId="11B7D4A0" w14:textId="735B3C5D" w:rsidR="00113F23" w:rsidRDefault="006260C9">
      <w:pPr>
        <w:pStyle w:val="TOC2"/>
        <w:rPr>
          <w:rFonts w:asciiTheme="minorHAnsi" w:eastAsiaTheme="minorEastAsia" w:hAnsiTheme="minorHAnsi" w:cstheme="minorBidi"/>
          <w:color w:val="auto"/>
          <w:szCs w:val="22"/>
        </w:rPr>
      </w:pPr>
      <w:hyperlink w:anchor="_Toc74317537" w:history="1">
        <w:r w:rsidR="00113F23" w:rsidRPr="00764E70">
          <w:rPr>
            <w:rStyle w:val="Hyperlink"/>
          </w:rPr>
          <w:t>Request for feedback and comments</w:t>
        </w:r>
        <w:r w:rsidR="00113F23">
          <w:rPr>
            <w:webHidden/>
          </w:rPr>
          <w:tab/>
        </w:r>
        <w:r w:rsidR="00113F23">
          <w:rPr>
            <w:webHidden/>
          </w:rPr>
          <w:fldChar w:fldCharType="begin"/>
        </w:r>
        <w:r w:rsidR="00113F23">
          <w:rPr>
            <w:webHidden/>
          </w:rPr>
          <w:instrText xml:space="preserve"> PAGEREF _Toc74317537 \h </w:instrText>
        </w:r>
        <w:r w:rsidR="00113F23">
          <w:rPr>
            <w:webHidden/>
          </w:rPr>
        </w:r>
        <w:r w:rsidR="00113F23">
          <w:rPr>
            <w:webHidden/>
          </w:rPr>
          <w:fldChar w:fldCharType="separate"/>
        </w:r>
        <w:r w:rsidR="0022402C">
          <w:rPr>
            <w:webHidden/>
          </w:rPr>
          <w:t>1</w:t>
        </w:r>
        <w:r w:rsidR="00113F23">
          <w:rPr>
            <w:webHidden/>
          </w:rPr>
          <w:fldChar w:fldCharType="end"/>
        </w:r>
      </w:hyperlink>
    </w:p>
    <w:p w14:paraId="5464AB75" w14:textId="26803DEE" w:rsidR="00113F23" w:rsidRDefault="006260C9">
      <w:pPr>
        <w:pStyle w:val="TOC2"/>
        <w:rPr>
          <w:rFonts w:asciiTheme="minorHAnsi" w:eastAsiaTheme="minorEastAsia" w:hAnsiTheme="minorHAnsi" w:cstheme="minorBidi"/>
          <w:color w:val="auto"/>
          <w:szCs w:val="22"/>
        </w:rPr>
      </w:pPr>
      <w:hyperlink w:anchor="_Toc74317538" w:history="1">
        <w:r w:rsidR="00113F23" w:rsidRPr="00764E70">
          <w:rPr>
            <w:rStyle w:val="Hyperlink"/>
          </w:rPr>
          <w:t>Further consultation process</w:t>
        </w:r>
        <w:r w:rsidR="00113F23">
          <w:rPr>
            <w:webHidden/>
          </w:rPr>
          <w:tab/>
        </w:r>
        <w:r w:rsidR="00113F23">
          <w:rPr>
            <w:webHidden/>
          </w:rPr>
          <w:fldChar w:fldCharType="begin"/>
        </w:r>
        <w:r w:rsidR="00113F23">
          <w:rPr>
            <w:webHidden/>
          </w:rPr>
          <w:instrText xml:space="preserve"> PAGEREF _Toc74317538 \h </w:instrText>
        </w:r>
        <w:r w:rsidR="00113F23">
          <w:rPr>
            <w:webHidden/>
          </w:rPr>
        </w:r>
        <w:r w:rsidR="00113F23">
          <w:rPr>
            <w:webHidden/>
          </w:rPr>
          <w:fldChar w:fldCharType="separate"/>
        </w:r>
        <w:r w:rsidR="0022402C">
          <w:rPr>
            <w:webHidden/>
          </w:rPr>
          <w:t>1</w:t>
        </w:r>
        <w:r w:rsidR="00113F23">
          <w:rPr>
            <w:webHidden/>
          </w:rPr>
          <w:fldChar w:fldCharType="end"/>
        </w:r>
      </w:hyperlink>
    </w:p>
    <w:p w14:paraId="35127D39" w14:textId="18686766" w:rsidR="00113F23" w:rsidRDefault="006260C9">
      <w:pPr>
        <w:pStyle w:val="TOC1"/>
        <w:rPr>
          <w:rFonts w:asciiTheme="minorHAnsi" w:eastAsiaTheme="minorEastAsia" w:hAnsiTheme="minorHAnsi" w:cstheme="minorBidi"/>
          <w:b w:val="0"/>
          <w:color w:val="auto"/>
        </w:rPr>
      </w:pPr>
      <w:hyperlink w:anchor="_Toc74317539" w:history="1">
        <w:r w:rsidR="00113F23" w:rsidRPr="00764E70">
          <w:rPr>
            <w:rStyle w:val="Hyperlink"/>
          </w:rPr>
          <w:t>Introduction</w:t>
        </w:r>
        <w:r w:rsidR="00113F23">
          <w:rPr>
            <w:webHidden/>
          </w:rPr>
          <w:tab/>
        </w:r>
        <w:r w:rsidR="00113F23">
          <w:rPr>
            <w:webHidden/>
          </w:rPr>
          <w:fldChar w:fldCharType="begin"/>
        </w:r>
        <w:r w:rsidR="00113F23">
          <w:rPr>
            <w:webHidden/>
          </w:rPr>
          <w:instrText xml:space="preserve"> PAGEREF _Toc74317539 \h </w:instrText>
        </w:r>
        <w:r w:rsidR="00113F23">
          <w:rPr>
            <w:webHidden/>
          </w:rPr>
        </w:r>
        <w:r w:rsidR="00113F23">
          <w:rPr>
            <w:webHidden/>
          </w:rPr>
          <w:fldChar w:fldCharType="separate"/>
        </w:r>
        <w:r w:rsidR="0022402C">
          <w:rPr>
            <w:webHidden/>
          </w:rPr>
          <w:t>2</w:t>
        </w:r>
        <w:r w:rsidR="00113F23">
          <w:rPr>
            <w:webHidden/>
          </w:rPr>
          <w:fldChar w:fldCharType="end"/>
        </w:r>
      </w:hyperlink>
    </w:p>
    <w:p w14:paraId="215AC5C1" w14:textId="35F658B4" w:rsidR="00113F23" w:rsidRDefault="006260C9">
      <w:pPr>
        <w:pStyle w:val="TOC2"/>
        <w:rPr>
          <w:rFonts w:asciiTheme="minorHAnsi" w:eastAsiaTheme="minorEastAsia" w:hAnsiTheme="minorHAnsi" w:cstheme="minorBidi"/>
          <w:color w:val="auto"/>
          <w:szCs w:val="22"/>
        </w:rPr>
      </w:pPr>
      <w:hyperlink w:anchor="_Toc74317540" w:history="1">
        <w:r w:rsidR="00113F23" w:rsidRPr="00764E70">
          <w:rPr>
            <w:rStyle w:val="Hyperlink"/>
          </w:rPr>
          <w:t>Background</w:t>
        </w:r>
        <w:r w:rsidR="00113F23">
          <w:rPr>
            <w:webHidden/>
          </w:rPr>
          <w:tab/>
        </w:r>
        <w:r w:rsidR="00113F23">
          <w:rPr>
            <w:webHidden/>
          </w:rPr>
          <w:fldChar w:fldCharType="begin"/>
        </w:r>
        <w:r w:rsidR="00113F23">
          <w:rPr>
            <w:webHidden/>
          </w:rPr>
          <w:instrText xml:space="preserve"> PAGEREF _Toc74317540 \h </w:instrText>
        </w:r>
        <w:r w:rsidR="00113F23">
          <w:rPr>
            <w:webHidden/>
          </w:rPr>
        </w:r>
        <w:r w:rsidR="00113F23">
          <w:rPr>
            <w:webHidden/>
          </w:rPr>
          <w:fldChar w:fldCharType="separate"/>
        </w:r>
        <w:r w:rsidR="0022402C">
          <w:rPr>
            <w:webHidden/>
          </w:rPr>
          <w:t>2</w:t>
        </w:r>
        <w:r w:rsidR="00113F23">
          <w:rPr>
            <w:webHidden/>
          </w:rPr>
          <w:fldChar w:fldCharType="end"/>
        </w:r>
      </w:hyperlink>
    </w:p>
    <w:p w14:paraId="326152FB" w14:textId="46F1EBBA" w:rsidR="00113F23" w:rsidRDefault="006260C9">
      <w:pPr>
        <w:pStyle w:val="TOC3"/>
        <w:rPr>
          <w:rFonts w:asciiTheme="minorHAnsi" w:eastAsiaTheme="minorEastAsia" w:hAnsiTheme="minorHAnsi" w:cstheme="minorBidi"/>
          <w:color w:val="auto"/>
          <w:szCs w:val="22"/>
        </w:rPr>
      </w:pPr>
      <w:hyperlink w:anchor="_Toc74317541" w:history="1">
        <w:r w:rsidR="00113F23" w:rsidRPr="00764E70">
          <w:rPr>
            <w:rStyle w:val="Hyperlink"/>
          </w:rPr>
          <w:t>2018 Triennial Review</w:t>
        </w:r>
        <w:r w:rsidR="00113F23">
          <w:rPr>
            <w:webHidden/>
          </w:rPr>
          <w:tab/>
        </w:r>
        <w:r w:rsidR="00113F23">
          <w:rPr>
            <w:webHidden/>
          </w:rPr>
          <w:fldChar w:fldCharType="begin"/>
        </w:r>
        <w:r w:rsidR="00113F23">
          <w:rPr>
            <w:webHidden/>
          </w:rPr>
          <w:instrText xml:space="preserve"> PAGEREF _Toc74317541 \h </w:instrText>
        </w:r>
        <w:r w:rsidR="00113F23">
          <w:rPr>
            <w:webHidden/>
          </w:rPr>
        </w:r>
        <w:r w:rsidR="00113F23">
          <w:rPr>
            <w:webHidden/>
          </w:rPr>
          <w:fldChar w:fldCharType="separate"/>
        </w:r>
        <w:r w:rsidR="0022402C">
          <w:rPr>
            <w:webHidden/>
          </w:rPr>
          <w:t>2</w:t>
        </w:r>
        <w:r w:rsidR="00113F23">
          <w:rPr>
            <w:webHidden/>
          </w:rPr>
          <w:fldChar w:fldCharType="end"/>
        </w:r>
      </w:hyperlink>
    </w:p>
    <w:p w14:paraId="5AB9472A" w14:textId="27C88614" w:rsidR="00113F23" w:rsidRDefault="006260C9">
      <w:pPr>
        <w:pStyle w:val="TOC2"/>
        <w:rPr>
          <w:rFonts w:asciiTheme="minorHAnsi" w:eastAsiaTheme="minorEastAsia" w:hAnsiTheme="minorHAnsi" w:cstheme="minorBidi"/>
          <w:color w:val="auto"/>
          <w:szCs w:val="22"/>
        </w:rPr>
      </w:pPr>
      <w:hyperlink w:anchor="_Toc74317542" w:history="1">
        <w:r w:rsidR="00113F23" w:rsidRPr="00764E70">
          <w:rPr>
            <w:rStyle w:val="Hyperlink"/>
          </w:rPr>
          <w:t>Approach and next steps</w:t>
        </w:r>
        <w:r w:rsidR="00113F23">
          <w:rPr>
            <w:webHidden/>
          </w:rPr>
          <w:tab/>
        </w:r>
        <w:r w:rsidR="00113F23">
          <w:rPr>
            <w:webHidden/>
          </w:rPr>
          <w:fldChar w:fldCharType="begin"/>
        </w:r>
        <w:r w:rsidR="00113F23">
          <w:rPr>
            <w:webHidden/>
          </w:rPr>
          <w:instrText xml:space="preserve"> PAGEREF _Toc74317542 \h </w:instrText>
        </w:r>
        <w:r w:rsidR="00113F23">
          <w:rPr>
            <w:webHidden/>
          </w:rPr>
        </w:r>
        <w:r w:rsidR="00113F23">
          <w:rPr>
            <w:webHidden/>
          </w:rPr>
          <w:fldChar w:fldCharType="separate"/>
        </w:r>
        <w:r w:rsidR="0022402C">
          <w:rPr>
            <w:webHidden/>
          </w:rPr>
          <w:t>2</w:t>
        </w:r>
        <w:r w:rsidR="00113F23">
          <w:rPr>
            <w:webHidden/>
          </w:rPr>
          <w:fldChar w:fldCharType="end"/>
        </w:r>
      </w:hyperlink>
    </w:p>
    <w:p w14:paraId="10EC0A40" w14:textId="06D31D40" w:rsidR="00113F23" w:rsidRDefault="006260C9">
      <w:pPr>
        <w:pStyle w:val="TOC1"/>
        <w:rPr>
          <w:rFonts w:asciiTheme="minorHAnsi" w:eastAsiaTheme="minorEastAsia" w:hAnsiTheme="minorHAnsi" w:cstheme="minorBidi"/>
          <w:b w:val="0"/>
          <w:color w:val="auto"/>
        </w:rPr>
      </w:pPr>
      <w:hyperlink w:anchor="_Toc74317543" w:history="1">
        <w:r w:rsidR="00113F23" w:rsidRPr="00764E70">
          <w:rPr>
            <w:rStyle w:val="Hyperlink"/>
          </w:rPr>
          <w:t>Scope of the Review</w:t>
        </w:r>
        <w:r w:rsidR="00113F23">
          <w:rPr>
            <w:webHidden/>
          </w:rPr>
          <w:tab/>
        </w:r>
        <w:r w:rsidR="00113F23">
          <w:rPr>
            <w:webHidden/>
          </w:rPr>
          <w:fldChar w:fldCharType="begin"/>
        </w:r>
        <w:r w:rsidR="00113F23">
          <w:rPr>
            <w:webHidden/>
          </w:rPr>
          <w:instrText xml:space="preserve"> PAGEREF _Toc74317543 \h </w:instrText>
        </w:r>
        <w:r w:rsidR="00113F23">
          <w:rPr>
            <w:webHidden/>
          </w:rPr>
        </w:r>
        <w:r w:rsidR="00113F23">
          <w:rPr>
            <w:webHidden/>
          </w:rPr>
          <w:fldChar w:fldCharType="separate"/>
        </w:r>
        <w:r w:rsidR="0022402C">
          <w:rPr>
            <w:webHidden/>
          </w:rPr>
          <w:t>3</w:t>
        </w:r>
        <w:r w:rsidR="00113F23">
          <w:rPr>
            <w:webHidden/>
          </w:rPr>
          <w:fldChar w:fldCharType="end"/>
        </w:r>
      </w:hyperlink>
    </w:p>
    <w:p w14:paraId="4A51F39E" w14:textId="1B5A2467" w:rsidR="00113F23" w:rsidRDefault="006260C9">
      <w:pPr>
        <w:pStyle w:val="TOC2"/>
        <w:rPr>
          <w:rFonts w:asciiTheme="minorHAnsi" w:eastAsiaTheme="minorEastAsia" w:hAnsiTheme="minorHAnsi" w:cstheme="minorBidi"/>
          <w:color w:val="auto"/>
          <w:szCs w:val="22"/>
        </w:rPr>
      </w:pPr>
      <w:hyperlink w:anchor="_Toc74317544" w:history="1">
        <w:r w:rsidR="00113F23" w:rsidRPr="00764E70">
          <w:rPr>
            <w:rStyle w:val="Hyperlink"/>
          </w:rPr>
          <w:t>Terrorism reinsurance functions</w:t>
        </w:r>
        <w:r w:rsidR="00113F23">
          <w:rPr>
            <w:webHidden/>
          </w:rPr>
          <w:tab/>
        </w:r>
        <w:r w:rsidR="00113F23">
          <w:rPr>
            <w:webHidden/>
          </w:rPr>
          <w:fldChar w:fldCharType="begin"/>
        </w:r>
        <w:r w:rsidR="00113F23">
          <w:rPr>
            <w:webHidden/>
          </w:rPr>
          <w:instrText xml:space="preserve"> PAGEREF _Toc74317544 \h </w:instrText>
        </w:r>
        <w:r w:rsidR="00113F23">
          <w:rPr>
            <w:webHidden/>
          </w:rPr>
        </w:r>
        <w:r w:rsidR="00113F23">
          <w:rPr>
            <w:webHidden/>
          </w:rPr>
          <w:fldChar w:fldCharType="separate"/>
        </w:r>
        <w:r w:rsidR="0022402C">
          <w:rPr>
            <w:webHidden/>
          </w:rPr>
          <w:t>3</w:t>
        </w:r>
        <w:r w:rsidR="00113F23">
          <w:rPr>
            <w:webHidden/>
          </w:rPr>
          <w:fldChar w:fldCharType="end"/>
        </w:r>
      </w:hyperlink>
    </w:p>
    <w:p w14:paraId="44FBE158" w14:textId="044C3B2D" w:rsidR="00113F23" w:rsidRDefault="006260C9">
      <w:pPr>
        <w:pStyle w:val="TOC3"/>
        <w:rPr>
          <w:rFonts w:asciiTheme="minorHAnsi" w:eastAsiaTheme="minorEastAsia" w:hAnsiTheme="minorHAnsi" w:cstheme="minorBidi"/>
          <w:color w:val="auto"/>
          <w:szCs w:val="22"/>
        </w:rPr>
      </w:pPr>
      <w:hyperlink w:anchor="_Toc74317545" w:history="1">
        <w:r w:rsidR="00113F23" w:rsidRPr="00764E70">
          <w:rPr>
            <w:rStyle w:val="Hyperlink"/>
          </w:rPr>
          <w:t>Should the terrorism reinsurance scheme continue?</w:t>
        </w:r>
        <w:r w:rsidR="00113F23">
          <w:rPr>
            <w:webHidden/>
          </w:rPr>
          <w:tab/>
        </w:r>
        <w:r w:rsidR="00113F23">
          <w:rPr>
            <w:webHidden/>
          </w:rPr>
          <w:fldChar w:fldCharType="begin"/>
        </w:r>
        <w:r w:rsidR="00113F23">
          <w:rPr>
            <w:webHidden/>
          </w:rPr>
          <w:instrText xml:space="preserve"> PAGEREF _Toc74317545 \h </w:instrText>
        </w:r>
        <w:r w:rsidR="00113F23">
          <w:rPr>
            <w:webHidden/>
          </w:rPr>
        </w:r>
        <w:r w:rsidR="00113F23">
          <w:rPr>
            <w:webHidden/>
          </w:rPr>
          <w:fldChar w:fldCharType="separate"/>
        </w:r>
        <w:r w:rsidR="0022402C">
          <w:rPr>
            <w:webHidden/>
          </w:rPr>
          <w:t>3</w:t>
        </w:r>
        <w:r w:rsidR="00113F23">
          <w:rPr>
            <w:webHidden/>
          </w:rPr>
          <w:fldChar w:fldCharType="end"/>
        </w:r>
      </w:hyperlink>
    </w:p>
    <w:p w14:paraId="0E00CADB" w14:textId="01F2BEBD" w:rsidR="00113F23" w:rsidRDefault="006260C9">
      <w:pPr>
        <w:pStyle w:val="TOC2"/>
        <w:rPr>
          <w:rFonts w:asciiTheme="minorHAnsi" w:eastAsiaTheme="minorEastAsia" w:hAnsiTheme="minorHAnsi" w:cstheme="minorBidi"/>
          <w:color w:val="auto"/>
          <w:szCs w:val="22"/>
        </w:rPr>
      </w:pPr>
      <w:hyperlink w:anchor="_Toc74317546" w:history="1">
        <w:r w:rsidR="00113F23" w:rsidRPr="00764E70">
          <w:rPr>
            <w:rStyle w:val="Hyperlink"/>
          </w:rPr>
          <w:t>Cyber terrorism resulting in property damage</w:t>
        </w:r>
        <w:r w:rsidR="00113F23">
          <w:rPr>
            <w:webHidden/>
          </w:rPr>
          <w:tab/>
        </w:r>
        <w:r w:rsidR="00113F23">
          <w:rPr>
            <w:webHidden/>
          </w:rPr>
          <w:fldChar w:fldCharType="begin"/>
        </w:r>
        <w:r w:rsidR="00113F23">
          <w:rPr>
            <w:webHidden/>
          </w:rPr>
          <w:instrText xml:space="preserve"> PAGEREF _Toc74317546 \h </w:instrText>
        </w:r>
        <w:r w:rsidR="00113F23">
          <w:rPr>
            <w:webHidden/>
          </w:rPr>
        </w:r>
        <w:r w:rsidR="00113F23">
          <w:rPr>
            <w:webHidden/>
          </w:rPr>
          <w:fldChar w:fldCharType="separate"/>
        </w:r>
        <w:r w:rsidR="0022402C">
          <w:rPr>
            <w:webHidden/>
          </w:rPr>
          <w:t>3</w:t>
        </w:r>
        <w:r w:rsidR="00113F23">
          <w:rPr>
            <w:webHidden/>
          </w:rPr>
          <w:fldChar w:fldCharType="end"/>
        </w:r>
      </w:hyperlink>
    </w:p>
    <w:p w14:paraId="4F72FDE3" w14:textId="11EDD30B" w:rsidR="00113F23" w:rsidRDefault="006260C9">
      <w:pPr>
        <w:pStyle w:val="TOC3"/>
        <w:rPr>
          <w:rFonts w:asciiTheme="minorHAnsi" w:eastAsiaTheme="minorEastAsia" w:hAnsiTheme="minorHAnsi" w:cstheme="minorBidi"/>
          <w:color w:val="auto"/>
          <w:szCs w:val="22"/>
        </w:rPr>
      </w:pPr>
      <w:hyperlink w:anchor="_Toc74317547" w:history="1">
        <w:r w:rsidR="00113F23" w:rsidRPr="00764E70">
          <w:rPr>
            <w:rStyle w:val="Hyperlink"/>
          </w:rPr>
          <w:t>Should the Scheme be extended to include cyber terrorism causing physical property damage?</w:t>
        </w:r>
        <w:r w:rsidR="00113F23">
          <w:rPr>
            <w:webHidden/>
          </w:rPr>
          <w:tab/>
        </w:r>
        <w:r w:rsidR="00113F23">
          <w:rPr>
            <w:webHidden/>
          </w:rPr>
          <w:fldChar w:fldCharType="begin"/>
        </w:r>
        <w:r w:rsidR="00113F23">
          <w:rPr>
            <w:webHidden/>
          </w:rPr>
          <w:instrText xml:space="preserve"> PAGEREF _Toc74317547 \h </w:instrText>
        </w:r>
        <w:r w:rsidR="00113F23">
          <w:rPr>
            <w:webHidden/>
          </w:rPr>
        </w:r>
        <w:r w:rsidR="00113F23">
          <w:rPr>
            <w:webHidden/>
          </w:rPr>
          <w:fldChar w:fldCharType="separate"/>
        </w:r>
        <w:r w:rsidR="0022402C">
          <w:rPr>
            <w:webHidden/>
          </w:rPr>
          <w:t>4</w:t>
        </w:r>
        <w:r w:rsidR="00113F23">
          <w:rPr>
            <w:webHidden/>
          </w:rPr>
          <w:fldChar w:fldCharType="end"/>
        </w:r>
      </w:hyperlink>
    </w:p>
    <w:p w14:paraId="0982CE80" w14:textId="291DB053" w:rsidR="00113F23" w:rsidRDefault="006260C9">
      <w:pPr>
        <w:pStyle w:val="TOC2"/>
        <w:rPr>
          <w:rFonts w:asciiTheme="minorHAnsi" w:eastAsiaTheme="minorEastAsia" w:hAnsiTheme="minorHAnsi" w:cstheme="minorBidi"/>
          <w:color w:val="auto"/>
          <w:szCs w:val="22"/>
        </w:rPr>
      </w:pPr>
      <w:hyperlink w:anchor="_Toc74317548" w:history="1">
        <w:r w:rsidR="00113F23" w:rsidRPr="00764E70">
          <w:rPr>
            <w:rStyle w:val="Hyperlink"/>
          </w:rPr>
          <w:t>Cyclone and Related-Flooding Reinsurance Pool</w:t>
        </w:r>
        <w:r w:rsidR="00113F23">
          <w:rPr>
            <w:webHidden/>
          </w:rPr>
          <w:tab/>
        </w:r>
        <w:r w:rsidR="00113F23">
          <w:rPr>
            <w:webHidden/>
          </w:rPr>
          <w:fldChar w:fldCharType="begin"/>
        </w:r>
        <w:r w:rsidR="00113F23">
          <w:rPr>
            <w:webHidden/>
          </w:rPr>
          <w:instrText xml:space="preserve"> PAGEREF _Toc74317548 \h </w:instrText>
        </w:r>
        <w:r w:rsidR="00113F23">
          <w:rPr>
            <w:webHidden/>
          </w:rPr>
        </w:r>
        <w:r w:rsidR="00113F23">
          <w:rPr>
            <w:webHidden/>
          </w:rPr>
          <w:fldChar w:fldCharType="separate"/>
        </w:r>
        <w:r w:rsidR="0022402C">
          <w:rPr>
            <w:webHidden/>
          </w:rPr>
          <w:t>5</w:t>
        </w:r>
        <w:r w:rsidR="00113F23">
          <w:rPr>
            <w:webHidden/>
          </w:rPr>
          <w:fldChar w:fldCharType="end"/>
        </w:r>
      </w:hyperlink>
    </w:p>
    <w:p w14:paraId="7A38C097" w14:textId="35892D31" w:rsidR="00113F23" w:rsidRDefault="006260C9">
      <w:pPr>
        <w:pStyle w:val="TOC3"/>
        <w:rPr>
          <w:rFonts w:asciiTheme="minorHAnsi" w:eastAsiaTheme="minorEastAsia" w:hAnsiTheme="minorHAnsi" w:cstheme="minorBidi"/>
          <w:color w:val="auto"/>
          <w:szCs w:val="22"/>
        </w:rPr>
      </w:pPr>
      <w:hyperlink w:anchor="_Toc74317549" w:history="1">
        <w:r w:rsidR="00113F23" w:rsidRPr="00764E70">
          <w:rPr>
            <w:rStyle w:val="Hyperlink"/>
          </w:rPr>
          <w:t>How might the ARPC’s terrorism reinsurance pool functions interact with its new functions?</w:t>
        </w:r>
        <w:r w:rsidR="00113F23">
          <w:rPr>
            <w:webHidden/>
          </w:rPr>
          <w:tab/>
        </w:r>
        <w:r w:rsidR="00113F23">
          <w:rPr>
            <w:webHidden/>
          </w:rPr>
          <w:fldChar w:fldCharType="begin"/>
        </w:r>
        <w:r w:rsidR="00113F23">
          <w:rPr>
            <w:webHidden/>
          </w:rPr>
          <w:instrText xml:space="preserve"> PAGEREF _Toc74317549 \h </w:instrText>
        </w:r>
        <w:r w:rsidR="00113F23">
          <w:rPr>
            <w:webHidden/>
          </w:rPr>
        </w:r>
        <w:r w:rsidR="00113F23">
          <w:rPr>
            <w:webHidden/>
          </w:rPr>
          <w:fldChar w:fldCharType="separate"/>
        </w:r>
        <w:r w:rsidR="0022402C">
          <w:rPr>
            <w:webHidden/>
          </w:rPr>
          <w:t>5</w:t>
        </w:r>
        <w:r w:rsidR="00113F23">
          <w:rPr>
            <w:webHidden/>
          </w:rPr>
          <w:fldChar w:fldCharType="end"/>
        </w:r>
      </w:hyperlink>
    </w:p>
    <w:p w14:paraId="6E41549E" w14:textId="4FA0AA6D" w:rsidR="00113F23" w:rsidRDefault="006260C9">
      <w:pPr>
        <w:pStyle w:val="TOC1"/>
        <w:rPr>
          <w:rFonts w:asciiTheme="minorHAnsi" w:eastAsiaTheme="minorEastAsia" w:hAnsiTheme="minorHAnsi" w:cstheme="minorBidi"/>
          <w:b w:val="0"/>
          <w:color w:val="auto"/>
        </w:rPr>
      </w:pPr>
      <w:hyperlink w:anchor="_Toc74317550" w:history="1">
        <w:r w:rsidR="00113F23" w:rsidRPr="00764E70">
          <w:rPr>
            <w:rStyle w:val="Hyperlink"/>
          </w:rPr>
          <w:t>Attachment A</w:t>
        </w:r>
        <w:r w:rsidR="00113F23">
          <w:rPr>
            <w:webHidden/>
          </w:rPr>
          <w:tab/>
        </w:r>
        <w:r w:rsidR="00113F23">
          <w:rPr>
            <w:webHidden/>
          </w:rPr>
          <w:fldChar w:fldCharType="begin"/>
        </w:r>
        <w:r w:rsidR="00113F23">
          <w:rPr>
            <w:webHidden/>
          </w:rPr>
          <w:instrText xml:space="preserve"> PAGEREF _Toc74317550 \h </w:instrText>
        </w:r>
        <w:r w:rsidR="00113F23">
          <w:rPr>
            <w:webHidden/>
          </w:rPr>
        </w:r>
        <w:r w:rsidR="00113F23">
          <w:rPr>
            <w:webHidden/>
          </w:rPr>
          <w:fldChar w:fldCharType="separate"/>
        </w:r>
        <w:r w:rsidR="0022402C">
          <w:rPr>
            <w:webHidden/>
          </w:rPr>
          <w:t>6</w:t>
        </w:r>
        <w:r w:rsidR="00113F23">
          <w:rPr>
            <w:webHidden/>
          </w:rPr>
          <w:fldChar w:fldCharType="end"/>
        </w:r>
      </w:hyperlink>
    </w:p>
    <w:p w14:paraId="5B5823AA" w14:textId="4389D9A7" w:rsidR="00113F23" w:rsidRDefault="006260C9">
      <w:pPr>
        <w:pStyle w:val="TOC2"/>
        <w:rPr>
          <w:rFonts w:asciiTheme="minorHAnsi" w:eastAsiaTheme="minorEastAsia" w:hAnsiTheme="minorHAnsi" w:cstheme="minorBidi"/>
          <w:color w:val="auto"/>
          <w:szCs w:val="22"/>
        </w:rPr>
      </w:pPr>
      <w:hyperlink w:anchor="_Toc74317551" w:history="1">
        <w:r w:rsidR="00113F23" w:rsidRPr="00764E70">
          <w:rPr>
            <w:rStyle w:val="Hyperlink"/>
          </w:rPr>
          <w:t>Terms of Reference</w:t>
        </w:r>
        <w:r w:rsidR="00113F23">
          <w:rPr>
            <w:webHidden/>
          </w:rPr>
          <w:tab/>
        </w:r>
        <w:r w:rsidR="00113F23">
          <w:rPr>
            <w:webHidden/>
          </w:rPr>
          <w:fldChar w:fldCharType="begin"/>
        </w:r>
        <w:r w:rsidR="00113F23">
          <w:rPr>
            <w:webHidden/>
          </w:rPr>
          <w:instrText xml:space="preserve"> PAGEREF _Toc74317551 \h </w:instrText>
        </w:r>
        <w:r w:rsidR="00113F23">
          <w:rPr>
            <w:webHidden/>
          </w:rPr>
        </w:r>
        <w:r w:rsidR="00113F23">
          <w:rPr>
            <w:webHidden/>
          </w:rPr>
          <w:fldChar w:fldCharType="separate"/>
        </w:r>
        <w:r w:rsidR="0022402C">
          <w:rPr>
            <w:webHidden/>
          </w:rPr>
          <w:t>6</w:t>
        </w:r>
        <w:r w:rsidR="00113F23">
          <w:rPr>
            <w:webHidden/>
          </w:rPr>
          <w:fldChar w:fldCharType="end"/>
        </w:r>
      </w:hyperlink>
    </w:p>
    <w:p w14:paraId="315E8716" w14:textId="49AD1C82" w:rsidR="000E0B74" w:rsidRDefault="00257AEE" w:rsidP="00656356">
      <w:pPr>
        <w:pStyle w:val="SingleParagraph"/>
        <w:tabs>
          <w:tab w:val="right" w:leader="dot" w:pos="9072"/>
        </w:tabs>
        <w:ind w:right="-2"/>
        <w:sectPr w:rsidR="000E0B74" w:rsidSect="00475B7B">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127120BA" w14:textId="77777777" w:rsidR="000E0B74" w:rsidRDefault="000E0B74" w:rsidP="00354FBB">
      <w:pPr>
        <w:pStyle w:val="Heading1"/>
      </w:pPr>
      <w:bookmarkStart w:id="3" w:name="_Toc70089250"/>
      <w:bookmarkStart w:id="4" w:name="_Toc70094094"/>
      <w:bookmarkStart w:id="5" w:name="_Toc74317536"/>
      <w:bookmarkStart w:id="6" w:name="_Toc432067103"/>
      <w:r>
        <w:lastRenderedPageBreak/>
        <w:t>Consultation Process</w:t>
      </w:r>
      <w:bookmarkEnd w:id="3"/>
      <w:bookmarkEnd w:id="4"/>
      <w:bookmarkEnd w:id="5"/>
    </w:p>
    <w:p w14:paraId="1901345C" w14:textId="77777777" w:rsidR="000E0B74" w:rsidRDefault="000E0B74" w:rsidP="000E0B74">
      <w:pPr>
        <w:pStyle w:val="Heading2"/>
      </w:pPr>
      <w:bookmarkStart w:id="7" w:name="_Toc70089251"/>
      <w:bookmarkStart w:id="8" w:name="_Toc70094095"/>
      <w:bookmarkStart w:id="9" w:name="_Toc74317537"/>
      <w:r>
        <w:t>Request for feedback and comments</w:t>
      </w:r>
      <w:bookmarkEnd w:id="7"/>
      <w:bookmarkEnd w:id="8"/>
      <w:bookmarkEnd w:id="9"/>
    </w:p>
    <w:p w14:paraId="152AEEDB" w14:textId="0D2EF9EA" w:rsidR="00B90DB5" w:rsidRPr="0097328E" w:rsidRDefault="00B90DB5" w:rsidP="00BA7179">
      <w:pPr>
        <w:jc w:val="both"/>
      </w:pPr>
      <w:r>
        <w:t xml:space="preserve">Interested parties are invited to comment on the issues raised in this paper </w:t>
      </w:r>
      <w:r w:rsidRPr="0097328E">
        <w:t xml:space="preserve">by </w:t>
      </w:r>
      <w:r w:rsidR="0097328E" w:rsidRPr="0097328E">
        <w:t>30 July </w:t>
      </w:r>
      <w:r w:rsidR="0019419A" w:rsidRPr="0097328E">
        <w:t xml:space="preserve">2021. </w:t>
      </w:r>
    </w:p>
    <w:p w14:paraId="46448603" w14:textId="6FBBF134" w:rsidR="00620E62" w:rsidRPr="0097328E" w:rsidRDefault="00D03789" w:rsidP="00BA7179">
      <w:pPr>
        <w:jc w:val="both"/>
      </w:pPr>
      <w:r w:rsidRPr="0097328E">
        <w:t>The purpose of this consultation paper is to</w:t>
      </w:r>
      <w:r w:rsidR="001F59B7" w:rsidRPr="0097328E">
        <w:t xml:space="preserve"> seek comments </w:t>
      </w:r>
      <w:r w:rsidR="00927464" w:rsidRPr="0097328E">
        <w:t xml:space="preserve">on </w:t>
      </w:r>
      <w:r w:rsidR="00757677" w:rsidRPr="0097328E">
        <w:t>whether there continues to be market failure in the private sector supply of terrorism insuranc</w:t>
      </w:r>
      <w:r w:rsidR="00A7086C" w:rsidRPr="0097328E">
        <w:t>e</w:t>
      </w:r>
      <w:r w:rsidR="00757677" w:rsidRPr="0097328E">
        <w:t xml:space="preserve"> as well as </w:t>
      </w:r>
      <w:r w:rsidR="005A62F3" w:rsidRPr="0097328E">
        <w:t>whether other aspects of the</w:t>
      </w:r>
      <w:r w:rsidR="00757677" w:rsidRPr="0097328E">
        <w:t xml:space="preserve"> scheme </w:t>
      </w:r>
      <w:r w:rsidR="005A62F3" w:rsidRPr="0097328E">
        <w:t>remain appropriate in the current context</w:t>
      </w:r>
      <w:r w:rsidR="00757677" w:rsidRPr="0097328E">
        <w:t xml:space="preserve">. </w:t>
      </w:r>
    </w:p>
    <w:p w14:paraId="726BA70D" w14:textId="39E44CDC" w:rsidR="00B90DB5" w:rsidRPr="0097328E" w:rsidRDefault="00620E62" w:rsidP="00BA7179">
      <w:pPr>
        <w:jc w:val="both"/>
      </w:pPr>
      <w:r w:rsidRPr="0097328E">
        <w:t>While submissions may be lodged electronically or by post, electronic lodgement is preferred. For accessibility reasons, please submit responses sent via email in a Word or RTF format. An additional PDF version may also be submitted. All information (including name and address details) contained in submissions will be made available to the public on the Treasury website unless you indicate that you would like all or part of your submission to remain in confidence. Automatically generated confidentiality statements in emails are not sufficient for this purpose. If you would like only part of your submission to remain confidential, please provide this information clearly marked as such in a separate attachment.</w:t>
      </w:r>
    </w:p>
    <w:p w14:paraId="39861077" w14:textId="56AA49D4" w:rsidR="00B90DB5" w:rsidRPr="0097328E" w:rsidRDefault="00B90DB5" w:rsidP="00BA7179">
      <w:pPr>
        <w:jc w:val="both"/>
      </w:pPr>
      <w:r w:rsidRPr="0097328E">
        <w:t>Legal requirements, such as those imposed by the Freedom of Information Act 1982, may affect the confidentiality of your submission.</w:t>
      </w:r>
    </w:p>
    <w:p w14:paraId="6A5FB99A" w14:textId="60F6BDF7" w:rsidR="00B90DB5" w:rsidRPr="0097328E" w:rsidRDefault="00B90DB5" w:rsidP="00B90DB5">
      <w:pPr>
        <w:pStyle w:val="Heading2"/>
      </w:pPr>
      <w:bookmarkStart w:id="10" w:name="_Toc70089252"/>
      <w:bookmarkStart w:id="11" w:name="_Toc70094096"/>
      <w:bookmarkStart w:id="12" w:name="_Toc74317538"/>
      <w:r w:rsidRPr="0097328E">
        <w:t>Further consultation process</w:t>
      </w:r>
      <w:bookmarkEnd w:id="10"/>
      <w:bookmarkEnd w:id="11"/>
      <w:bookmarkEnd w:id="12"/>
    </w:p>
    <w:p w14:paraId="249C6EBE" w14:textId="66CEE7C5" w:rsidR="00B90DB5" w:rsidRPr="0097328E" w:rsidRDefault="00B90DB5" w:rsidP="00BA7179">
      <w:pPr>
        <w:jc w:val="both"/>
      </w:pPr>
      <w:r w:rsidRPr="0097328E">
        <w:t>The Treasury</w:t>
      </w:r>
      <w:r w:rsidR="005635B5" w:rsidRPr="0097328E">
        <w:t xml:space="preserve"> </w:t>
      </w:r>
      <w:r w:rsidRPr="0097328E">
        <w:t>will also consult broadly with industry</w:t>
      </w:r>
      <w:r w:rsidR="00CE2E69" w:rsidRPr="0097328E">
        <w:t>,</w:t>
      </w:r>
      <w:r w:rsidRPr="0097328E" w:rsidDel="00CE2E69">
        <w:t xml:space="preserve"> </w:t>
      </w:r>
      <w:r w:rsidR="00603FA5" w:rsidRPr="0097328E">
        <w:t xml:space="preserve">community </w:t>
      </w:r>
      <w:r w:rsidRPr="0097328E">
        <w:t xml:space="preserve">representatives and other interested parties on the topics discussed in this consultation paper. </w:t>
      </w:r>
    </w:p>
    <w:p w14:paraId="3639BA62" w14:textId="0F102477" w:rsidR="000E0B74" w:rsidRDefault="000E0B74" w:rsidP="00257AEE">
      <w:pPr>
        <w:pStyle w:val="Heading3noTOC"/>
      </w:pPr>
      <w:r w:rsidRPr="0097328E">
        <w:t xml:space="preserve">Closing date for submissions: </w:t>
      </w:r>
      <w:sdt>
        <w:sdtPr>
          <w:rPr>
            <w:rStyle w:val="Heading3Char"/>
          </w:rPr>
          <w:id w:val="1454836312"/>
          <w:placeholder>
            <w:docPart w:val="38AF191AA542417AAD3CE1AD351E649B"/>
          </w:placeholder>
          <w:date w:fullDate="2021-07-30T00:00:00Z">
            <w:dateFormat w:val="dd MMMM yyyy"/>
            <w:lid w:val="en-AU"/>
            <w:storeMappedDataAs w:val="dateTime"/>
            <w:calendar w:val="gregorian"/>
          </w:date>
        </w:sdtPr>
        <w:sdtEndPr>
          <w:rPr>
            <w:rStyle w:val="DefaultParagraphFont"/>
            <w:rFonts w:cs="Calibri"/>
          </w:rPr>
        </w:sdtEndPr>
        <w:sdtContent>
          <w:r w:rsidR="005A62F3" w:rsidRPr="0097328E">
            <w:rPr>
              <w:rStyle w:val="Heading3Char"/>
            </w:rPr>
            <w:t>30 July 2021</w:t>
          </w:r>
        </w:sdtContent>
      </w:sdt>
    </w:p>
    <w:tbl>
      <w:tblPr>
        <w:tblStyle w:val="TableGrid"/>
        <w:tblW w:w="0" w:type="auto"/>
        <w:tblLook w:val="04A0" w:firstRow="1" w:lastRow="0" w:firstColumn="1" w:lastColumn="0" w:noHBand="0" w:noVBand="1"/>
      </w:tblPr>
      <w:tblGrid>
        <w:gridCol w:w="1515"/>
        <w:gridCol w:w="7555"/>
      </w:tblGrid>
      <w:tr w:rsidR="000E0B74" w:rsidRPr="00B85F47" w14:paraId="4D3DCEEC" w14:textId="77777777" w:rsidTr="00B85F47">
        <w:tc>
          <w:tcPr>
            <w:tcW w:w="1526" w:type="dxa"/>
            <w:shd w:val="clear" w:color="auto" w:fill="auto"/>
          </w:tcPr>
          <w:p w14:paraId="5FB0166B" w14:textId="77777777" w:rsidR="000E0B74" w:rsidRPr="00B85F47" w:rsidRDefault="000E0B74" w:rsidP="0017089D">
            <w:pPr>
              <w:rPr>
                <w:sz w:val="22"/>
                <w:szCs w:val="22"/>
              </w:rPr>
            </w:pPr>
            <w:r w:rsidRPr="00B85F47">
              <w:rPr>
                <w:sz w:val="22"/>
                <w:szCs w:val="22"/>
              </w:rPr>
              <w:t>Email</w:t>
            </w:r>
          </w:p>
        </w:tc>
        <w:tc>
          <w:tcPr>
            <w:tcW w:w="7654" w:type="dxa"/>
            <w:shd w:val="clear" w:color="auto" w:fill="auto"/>
          </w:tcPr>
          <w:p w14:paraId="0158F864" w14:textId="6BAB1507" w:rsidR="000E0B74" w:rsidRPr="00D03789" w:rsidRDefault="008656CC" w:rsidP="00516785">
            <w:pPr>
              <w:rPr>
                <w:sz w:val="22"/>
                <w:szCs w:val="22"/>
                <w:highlight w:val="yellow"/>
              </w:rPr>
            </w:pPr>
            <w:r>
              <w:rPr>
                <w:rFonts w:cs="Arial"/>
                <w:sz w:val="22"/>
                <w:szCs w:val="24"/>
              </w:rPr>
              <w:t>FSD.TIAreview</w:t>
            </w:r>
            <w:r w:rsidR="00747947" w:rsidRPr="00224379">
              <w:rPr>
                <w:rFonts w:cs="Arial"/>
                <w:sz w:val="22"/>
                <w:szCs w:val="24"/>
              </w:rPr>
              <w:t>@treasury.gov.au</w:t>
            </w:r>
          </w:p>
        </w:tc>
      </w:tr>
      <w:tr w:rsidR="000E0B74" w:rsidRPr="00B85F47" w14:paraId="0D3485AB" w14:textId="77777777" w:rsidTr="00B85F47">
        <w:tc>
          <w:tcPr>
            <w:tcW w:w="1526" w:type="dxa"/>
            <w:shd w:val="clear" w:color="auto" w:fill="auto"/>
          </w:tcPr>
          <w:p w14:paraId="57380F39" w14:textId="77777777" w:rsidR="000E0B74" w:rsidRPr="00B85F47" w:rsidRDefault="000E0B74" w:rsidP="0017089D">
            <w:pPr>
              <w:rPr>
                <w:sz w:val="22"/>
                <w:szCs w:val="22"/>
              </w:rPr>
            </w:pPr>
            <w:r w:rsidRPr="00B85F47">
              <w:rPr>
                <w:sz w:val="22"/>
                <w:szCs w:val="22"/>
              </w:rPr>
              <w:t>Mail</w:t>
            </w:r>
          </w:p>
          <w:p w14:paraId="1CACDAB2" w14:textId="77777777" w:rsidR="008D7F38" w:rsidRPr="00B85F47" w:rsidRDefault="008D7F38" w:rsidP="0017089D">
            <w:pPr>
              <w:rPr>
                <w:sz w:val="22"/>
                <w:szCs w:val="22"/>
              </w:rPr>
            </w:pPr>
          </w:p>
          <w:p w14:paraId="2E4EA21A" w14:textId="77777777" w:rsidR="008D7F38" w:rsidRPr="00B85F47" w:rsidRDefault="008D7F38" w:rsidP="0017089D">
            <w:pPr>
              <w:rPr>
                <w:sz w:val="22"/>
                <w:szCs w:val="22"/>
              </w:rPr>
            </w:pPr>
          </w:p>
        </w:tc>
        <w:tc>
          <w:tcPr>
            <w:tcW w:w="7654" w:type="dxa"/>
            <w:shd w:val="clear" w:color="auto" w:fill="auto"/>
          </w:tcPr>
          <w:p w14:paraId="19AD8535" w14:textId="355AAAD4" w:rsidR="000E0B74" w:rsidRPr="00224379" w:rsidRDefault="00F829FC" w:rsidP="0017089D">
            <w:pPr>
              <w:pStyle w:val="SingleParagraph"/>
              <w:rPr>
                <w:rFonts w:cs="Arial"/>
                <w:sz w:val="24"/>
                <w:szCs w:val="24"/>
              </w:rPr>
            </w:pPr>
            <w:r>
              <w:rPr>
                <w:rFonts w:cs="Arial"/>
                <w:sz w:val="22"/>
                <w:szCs w:val="24"/>
              </w:rPr>
              <w:t>Manager</w:t>
            </w:r>
          </w:p>
          <w:p w14:paraId="30DBF9DA" w14:textId="5E54A023" w:rsidR="000E0B74" w:rsidRPr="00224379" w:rsidRDefault="00B36493" w:rsidP="0017089D">
            <w:pPr>
              <w:pStyle w:val="SingleParagraph"/>
              <w:rPr>
                <w:rFonts w:cs="Arial"/>
                <w:sz w:val="24"/>
                <w:szCs w:val="24"/>
              </w:rPr>
            </w:pPr>
            <w:r w:rsidRPr="00B36493">
              <w:rPr>
                <w:rFonts w:cs="Arial"/>
                <w:sz w:val="22"/>
                <w:szCs w:val="24"/>
              </w:rPr>
              <w:t>Insurance Unit</w:t>
            </w:r>
          </w:p>
          <w:p w14:paraId="020CF17F" w14:textId="77777777" w:rsidR="000E0B74" w:rsidRPr="00B85F47" w:rsidRDefault="000E0B74" w:rsidP="0017089D">
            <w:pPr>
              <w:pStyle w:val="SingleParagraph"/>
              <w:rPr>
                <w:rFonts w:cs="Arial"/>
                <w:sz w:val="22"/>
                <w:szCs w:val="22"/>
              </w:rPr>
            </w:pPr>
            <w:r w:rsidRPr="00B85F47">
              <w:rPr>
                <w:rFonts w:cs="Arial"/>
                <w:sz w:val="22"/>
                <w:szCs w:val="22"/>
              </w:rPr>
              <w:t>The Treasury</w:t>
            </w:r>
          </w:p>
          <w:p w14:paraId="45994BAF" w14:textId="77777777" w:rsidR="000E0B74" w:rsidRPr="00B85F47" w:rsidRDefault="000E0B74" w:rsidP="0017089D">
            <w:pPr>
              <w:pStyle w:val="SingleParagraph"/>
              <w:rPr>
                <w:rFonts w:cs="Arial"/>
                <w:sz w:val="22"/>
                <w:szCs w:val="22"/>
              </w:rPr>
            </w:pPr>
            <w:r w:rsidRPr="00B85F47">
              <w:rPr>
                <w:rFonts w:cs="Arial"/>
                <w:sz w:val="22"/>
                <w:szCs w:val="22"/>
              </w:rPr>
              <w:t>Langton Crescent</w:t>
            </w:r>
          </w:p>
          <w:p w14:paraId="24F95B69" w14:textId="77777777" w:rsidR="000E0B74" w:rsidRPr="00B85F47" w:rsidRDefault="000E0B74" w:rsidP="0017089D">
            <w:pPr>
              <w:pStyle w:val="SingleParagraph"/>
              <w:rPr>
                <w:sz w:val="22"/>
                <w:szCs w:val="22"/>
              </w:rPr>
            </w:pPr>
            <w:r w:rsidRPr="00B85F47">
              <w:rPr>
                <w:sz w:val="22"/>
                <w:szCs w:val="22"/>
              </w:rPr>
              <w:t>PARKES ACT 2600</w:t>
            </w:r>
          </w:p>
        </w:tc>
      </w:tr>
      <w:tr w:rsidR="000E0B74" w:rsidRPr="00B85F47" w14:paraId="22325FC5" w14:textId="77777777" w:rsidTr="00B85F47">
        <w:tc>
          <w:tcPr>
            <w:tcW w:w="1526" w:type="dxa"/>
            <w:shd w:val="clear" w:color="auto" w:fill="auto"/>
          </w:tcPr>
          <w:p w14:paraId="32F89F47" w14:textId="77777777" w:rsidR="000E0B74" w:rsidRPr="00B85F47" w:rsidRDefault="000E0B74" w:rsidP="0017089D">
            <w:pPr>
              <w:rPr>
                <w:sz w:val="22"/>
                <w:szCs w:val="22"/>
              </w:rPr>
            </w:pPr>
            <w:r w:rsidRPr="00B85F47">
              <w:rPr>
                <w:sz w:val="22"/>
                <w:szCs w:val="22"/>
              </w:rPr>
              <w:t>Enquiries</w:t>
            </w:r>
          </w:p>
        </w:tc>
        <w:tc>
          <w:tcPr>
            <w:tcW w:w="7654" w:type="dxa"/>
            <w:shd w:val="clear" w:color="auto" w:fill="auto"/>
          </w:tcPr>
          <w:p w14:paraId="07033C71" w14:textId="47F35061" w:rsidR="000E0B74" w:rsidRPr="00B85F47" w:rsidRDefault="000E0B74" w:rsidP="0017089D">
            <w:pPr>
              <w:rPr>
                <w:sz w:val="22"/>
                <w:szCs w:val="22"/>
              </w:rPr>
            </w:pPr>
            <w:r w:rsidRPr="00B85F47">
              <w:rPr>
                <w:rFonts w:cs="Arial"/>
                <w:sz w:val="22"/>
                <w:szCs w:val="22"/>
              </w:rPr>
              <w:t xml:space="preserve">Enquiries can be initially directed to </w:t>
            </w:r>
            <w:r w:rsidR="00C11228">
              <w:rPr>
                <w:rFonts w:cs="Arial"/>
                <w:sz w:val="22"/>
                <w:szCs w:val="22"/>
              </w:rPr>
              <w:t xml:space="preserve">the </w:t>
            </w:r>
            <w:r w:rsidR="00B02FD8">
              <w:rPr>
                <w:rFonts w:cs="Arial"/>
                <w:sz w:val="22"/>
                <w:szCs w:val="22"/>
              </w:rPr>
              <w:t>Insurance Markets Unit</w:t>
            </w:r>
            <w:r w:rsidR="00C11228">
              <w:rPr>
                <w:rFonts w:cs="Arial"/>
                <w:sz w:val="22"/>
                <w:szCs w:val="22"/>
              </w:rPr>
              <w:t xml:space="preserve"> manager</w:t>
            </w:r>
            <w:r w:rsidR="00CE2E69">
              <w:rPr>
                <w:rFonts w:cs="Arial"/>
                <w:sz w:val="22"/>
                <w:szCs w:val="22"/>
              </w:rPr>
              <w:t>.</w:t>
            </w:r>
          </w:p>
        </w:tc>
      </w:tr>
      <w:tr w:rsidR="000E0B74" w:rsidRPr="00B85F47" w14:paraId="4B0E244B" w14:textId="77777777" w:rsidTr="00B85F47">
        <w:tc>
          <w:tcPr>
            <w:tcW w:w="1526" w:type="dxa"/>
            <w:shd w:val="clear" w:color="auto" w:fill="auto"/>
          </w:tcPr>
          <w:p w14:paraId="0190BC32" w14:textId="77777777" w:rsidR="000E0B74" w:rsidRPr="00B85F47" w:rsidRDefault="000E0B74" w:rsidP="0017089D">
            <w:pPr>
              <w:rPr>
                <w:sz w:val="22"/>
                <w:szCs w:val="22"/>
              </w:rPr>
            </w:pPr>
            <w:r w:rsidRPr="00B85F47">
              <w:rPr>
                <w:sz w:val="22"/>
                <w:szCs w:val="22"/>
              </w:rPr>
              <w:t>Phone</w:t>
            </w:r>
          </w:p>
        </w:tc>
        <w:tc>
          <w:tcPr>
            <w:tcW w:w="7654" w:type="dxa"/>
            <w:shd w:val="clear" w:color="auto" w:fill="auto"/>
          </w:tcPr>
          <w:p w14:paraId="28908369" w14:textId="31CE9956" w:rsidR="000E0B74" w:rsidRPr="00B85F47" w:rsidRDefault="000E0B74" w:rsidP="0017089D">
            <w:pPr>
              <w:rPr>
                <w:sz w:val="22"/>
                <w:szCs w:val="22"/>
              </w:rPr>
            </w:pPr>
            <w:r w:rsidRPr="00B85F47">
              <w:rPr>
                <w:rFonts w:cs="Arial"/>
                <w:sz w:val="22"/>
                <w:szCs w:val="22"/>
              </w:rPr>
              <w:t xml:space="preserve">02 6263 </w:t>
            </w:r>
            <w:r w:rsidR="00B02FD8">
              <w:rPr>
                <w:rFonts w:cs="Arial"/>
                <w:sz w:val="22"/>
                <w:szCs w:val="22"/>
              </w:rPr>
              <w:t>2959</w:t>
            </w:r>
          </w:p>
        </w:tc>
      </w:tr>
      <w:bookmarkEnd w:id="6"/>
    </w:tbl>
    <w:p w14:paraId="78932BB8" w14:textId="77777777" w:rsidR="00E10D39" w:rsidRDefault="00E10D39" w:rsidP="0007102C"/>
    <w:p w14:paraId="5ABDB7CF" w14:textId="77777777" w:rsidR="00E10D39" w:rsidRDefault="00E10D39">
      <w:pPr>
        <w:spacing w:before="0" w:after="160" w:line="259" w:lineRule="auto"/>
        <w:rPr>
          <w:rFonts w:cs="Arial"/>
          <w:color w:val="004A7F"/>
          <w:kern w:val="32"/>
          <w:sz w:val="48"/>
          <w:szCs w:val="36"/>
        </w:rPr>
      </w:pPr>
      <w:r>
        <w:br w:type="page"/>
      </w:r>
    </w:p>
    <w:p w14:paraId="621A5ED6" w14:textId="7CC13EB6" w:rsidR="00A00922" w:rsidRDefault="00A00922" w:rsidP="00A00922">
      <w:pPr>
        <w:pStyle w:val="Heading1"/>
      </w:pPr>
      <w:bookmarkStart w:id="13" w:name="_Toc70089253"/>
      <w:bookmarkStart w:id="14" w:name="_Toc70094097"/>
      <w:bookmarkStart w:id="15" w:name="_Toc74317539"/>
      <w:r>
        <w:lastRenderedPageBreak/>
        <w:t>Introduction</w:t>
      </w:r>
      <w:bookmarkEnd w:id="13"/>
      <w:bookmarkEnd w:id="14"/>
      <w:bookmarkEnd w:id="15"/>
    </w:p>
    <w:p w14:paraId="5447CD64" w14:textId="4D697781" w:rsidR="000E0B74" w:rsidRDefault="00D03789" w:rsidP="000E0B74">
      <w:pPr>
        <w:pStyle w:val="Heading2"/>
      </w:pPr>
      <w:bookmarkStart w:id="16" w:name="_Toc70089254"/>
      <w:bookmarkStart w:id="17" w:name="_Toc70094098"/>
      <w:bookmarkStart w:id="18" w:name="_Toc74317540"/>
      <w:r>
        <w:t>Background</w:t>
      </w:r>
      <w:bookmarkEnd w:id="16"/>
      <w:bookmarkEnd w:id="17"/>
      <w:bookmarkEnd w:id="18"/>
    </w:p>
    <w:p w14:paraId="407B3918" w14:textId="01871123" w:rsidR="00F01044" w:rsidRDefault="00F01044" w:rsidP="00F01044">
      <w:pPr>
        <w:jc w:val="both"/>
        <w:rPr>
          <w:rFonts w:asciiTheme="minorHAnsi" w:hAnsiTheme="minorHAnsi" w:cstheme="minorHAnsi"/>
          <w:szCs w:val="22"/>
        </w:rPr>
      </w:pPr>
      <w:r w:rsidRPr="00F01044">
        <w:rPr>
          <w:rFonts w:asciiTheme="minorHAnsi" w:hAnsiTheme="minorHAnsi" w:cstheme="minorHAnsi"/>
          <w:szCs w:val="22"/>
        </w:rPr>
        <w:t>The Terrorism Insurance Act 2003 (the Act) established the Australian Reinsurance Pool Corporation (ARPC) as a statutory authority to administer the terrorism insurance scheme. Both the scheme and the ARPC began operations on 1 July 2003.</w:t>
      </w:r>
    </w:p>
    <w:p w14:paraId="1C920189" w14:textId="7BAF41C7" w:rsidR="00C60EC1" w:rsidRDefault="00C60EC1" w:rsidP="00C60EC1">
      <w:pPr>
        <w:jc w:val="both"/>
        <w:rPr>
          <w:rFonts w:asciiTheme="minorHAnsi" w:hAnsiTheme="minorHAnsi" w:cstheme="minorHAnsi"/>
          <w:szCs w:val="22"/>
        </w:rPr>
      </w:pPr>
      <w:r>
        <w:rPr>
          <w:rFonts w:asciiTheme="minorHAnsi" w:hAnsiTheme="minorHAnsi" w:cstheme="minorHAnsi"/>
          <w:szCs w:val="22"/>
        </w:rPr>
        <w:t>The</w:t>
      </w:r>
      <w:r w:rsidRPr="00C60EC1">
        <w:rPr>
          <w:rFonts w:asciiTheme="minorHAnsi" w:hAnsiTheme="minorHAnsi" w:cstheme="minorHAnsi"/>
          <w:szCs w:val="22"/>
        </w:rPr>
        <w:t xml:space="preserve"> Act</w:t>
      </w:r>
      <w:r>
        <w:rPr>
          <w:rFonts w:asciiTheme="minorHAnsi" w:hAnsiTheme="minorHAnsi" w:cstheme="minorHAnsi"/>
          <w:szCs w:val="22"/>
        </w:rPr>
        <w:t xml:space="preserve"> was introduced</w:t>
      </w:r>
      <w:r w:rsidRPr="00C60EC1">
        <w:rPr>
          <w:rFonts w:asciiTheme="minorHAnsi" w:hAnsiTheme="minorHAnsi" w:cstheme="minorHAnsi"/>
          <w:szCs w:val="22"/>
        </w:rPr>
        <w:t xml:space="preserve"> to correct a market failure</w:t>
      </w:r>
      <w:r w:rsidR="00076800">
        <w:rPr>
          <w:rFonts w:asciiTheme="minorHAnsi" w:hAnsiTheme="minorHAnsi" w:cstheme="minorHAnsi"/>
          <w:szCs w:val="22"/>
        </w:rPr>
        <w:t xml:space="preserve"> in </w:t>
      </w:r>
      <w:r w:rsidRPr="00C60EC1">
        <w:rPr>
          <w:rFonts w:asciiTheme="minorHAnsi" w:hAnsiTheme="minorHAnsi" w:cstheme="minorHAnsi"/>
          <w:szCs w:val="22"/>
        </w:rPr>
        <w:t xml:space="preserve">commercial property </w:t>
      </w:r>
      <w:r w:rsidR="00076800">
        <w:rPr>
          <w:rFonts w:asciiTheme="minorHAnsi" w:hAnsiTheme="minorHAnsi" w:cstheme="minorHAnsi"/>
          <w:szCs w:val="22"/>
        </w:rPr>
        <w:t>insurance, which occurred</w:t>
      </w:r>
      <w:r w:rsidRPr="00C60EC1">
        <w:rPr>
          <w:rFonts w:asciiTheme="minorHAnsi" w:hAnsiTheme="minorHAnsi" w:cstheme="minorHAnsi"/>
          <w:szCs w:val="22"/>
        </w:rPr>
        <w:t xml:space="preserve"> in the wake of the events</w:t>
      </w:r>
      <w:r>
        <w:rPr>
          <w:rFonts w:asciiTheme="minorHAnsi" w:hAnsiTheme="minorHAnsi" w:cstheme="minorHAnsi"/>
          <w:szCs w:val="22"/>
        </w:rPr>
        <w:t xml:space="preserve"> </w:t>
      </w:r>
      <w:r w:rsidRPr="00C60EC1">
        <w:rPr>
          <w:rFonts w:asciiTheme="minorHAnsi" w:hAnsiTheme="minorHAnsi" w:cstheme="minorHAnsi"/>
          <w:szCs w:val="22"/>
        </w:rPr>
        <w:t>of September 11, 2001. At the time, the inability of portfolio managers and building owners to obtain</w:t>
      </w:r>
      <w:r>
        <w:rPr>
          <w:rFonts w:asciiTheme="minorHAnsi" w:hAnsiTheme="minorHAnsi" w:cstheme="minorHAnsi"/>
          <w:szCs w:val="22"/>
        </w:rPr>
        <w:t xml:space="preserve"> </w:t>
      </w:r>
      <w:r w:rsidRPr="00C60EC1">
        <w:rPr>
          <w:rFonts w:asciiTheme="minorHAnsi" w:hAnsiTheme="minorHAnsi" w:cstheme="minorHAnsi"/>
          <w:szCs w:val="22"/>
        </w:rPr>
        <w:t>cover for high</w:t>
      </w:r>
      <w:r>
        <w:rPr>
          <w:rFonts w:asciiTheme="minorHAnsi" w:hAnsiTheme="minorHAnsi" w:cstheme="minorHAnsi"/>
          <w:szCs w:val="22"/>
        </w:rPr>
        <w:t>-</w:t>
      </w:r>
      <w:r w:rsidRPr="00C60EC1">
        <w:rPr>
          <w:rFonts w:asciiTheme="minorHAnsi" w:hAnsiTheme="minorHAnsi" w:cstheme="minorHAnsi"/>
          <w:szCs w:val="22"/>
        </w:rPr>
        <w:t xml:space="preserve">value properties because of terrorism, threatened to constrain commercial </w:t>
      </w:r>
      <w:r w:rsidR="008C68E8">
        <w:rPr>
          <w:rFonts w:asciiTheme="minorHAnsi" w:hAnsiTheme="minorHAnsi" w:cstheme="minorHAnsi"/>
          <w:szCs w:val="22"/>
        </w:rPr>
        <w:t>property</w:t>
      </w:r>
      <w:r w:rsidRPr="00C60EC1">
        <w:rPr>
          <w:rFonts w:asciiTheme="minorHAnsi" w:hAnsiTheme="minorHAnsi" w:cstheme="minorHAnsi"/>
          <w:szCs w:val="22"/>
        </w:rPr>
        <w:t xml:space="preserve"> and infrastructure </w:t>
      </w:r>
      <w:r w:rsidR="008C68E8" w:rsidRPr="00C60EC1">
        <w:rPr>
          <w:rFonts w:asciiTheme="minorHAnsi" w:hAnsiTheme="minorHAnsi" w:cstheme="minorHAnsi"/>
          <w:szCs w:val="22"/>
        </w:rPr>
        <w:t xml:space="preserve">development </w:t>
      </w:r>
      <w:r w:rsidRPr="00C60EC1">
        <w:rPr>
          <w:rFonts w:asciiTheme="minorHAnsi" w:hAnsiTheme="minorHAnsi" w:cstheme="minorHAnsi"/>
          <w:szCs w:val="22"/>
        </w:rPr>
        <w:t xml:space="preserve">and </w:t>
      </w:r>
      <w:r w:rsidR="008C68E8">
        <w:rPr>
          <w:rFonts w:asciiTheme="minorHAnsi" w:hAnsiTheme="minorHAnsi" w:cstheme="minorHAnsi"/>
          <w:szCs w:val="22"/>
        </w:rPr>
        <w:t>thus distorted</w:t>
      </w:r>
      <w:r w:rsidRPr="00C60EC1">
        <w:rPr>
          <w:rFonts w:asciiTheme="minorHAnsi" w:hAnsiTheme="minorHAnsi" w:cstheme="minorHAnsi"/>
          <w:szCs w:val="22"/>
        </w:rPr>
        <w:t xml:space="preserve"> investment and portfolio allocation</w:t>
      </w:r>
      <w:r>
        <w:rPr>
          <w:rFonts w:asciiTheme="minorHAnsi" w:hAnsiTheme="minorHAnsi" w:cstheme="minorHAnsi"/>
          <w:szCs w:val="22"/>
        </w:rPr>
        <w:t xml:space="preserve"> </w:t>
      </w:r>
      <w:r w:rsidRPr="00C60EC1">
        <w:rPr>
          <w:rFonts w:asciiTheme="minorHAnsi" w:hAnsiTheme="minorHAnsi" w:cstheme="minorHAnsi"/>
          <w:szCs w:val="22"/>
        </w:rPr>
        <w:t>decisions</w:t>
      </w:r>
      <w:r>
        <w:rPr>
          <w:rFonts w:asciiTheme="minorHAnsi" w:hAnsiTheme="minorHAnsi" w:cstheme="minorHAnsi"/>
          <w:szCs w:val="22"/>
        </w:rPr>
        <w:t>.</w:t>
      </w:r>
    </w:p>
    <w:p w14:paraId="524A2097" w14:textId="6DB8C8E6" w:rsidR="00F01044" w:rsidRPr="00F01044" w:rsidRDefault="008C68E8" w:rsidP="00C60EC1">
      <w:pPr>
        <w:jc w:val="both"/>
        <w:rPr>
          <w:rFonts w:asciiTheme="minorHAnsi" w:hAnsiTheme="minorHAnsi" w:cstheme="minorHAnsi"/>
          <w:szCs w:val="22"/>
        </w:rPr>
      </w:pPr>
      <w:r>
        <w:rPr>
          <w:rFonts w:asciiTheme="minorHAnsi" w:hAnsiTheme="minorHAnsi" w:cstheme="minorHAnsi"/>
          <w:szCs w:val="22"/>
        </w:rPr>
        <w:t xml:space="preserve">However, the Act was </w:t>
      </w:r>
      <w:r w:rsidRPr="008C68E8">
        <w:rPr>
          <w:rFonts w:asciiTheme="minorHAnsi" w:hAnsiTheme="minorHAnsi" w:cstheme="minorHAnsi"/>
          <w:szCs w:val="22"/>
        </w:rPr>
        <w:t>established as an interim measure</w:t>
      </w:r>
      <w:r>
        <w:rPr>
          <w:rFonts w:asciiTheme="minorHAnsi" w:hAnsiTheme="minorHAnsi" w:cstheme="minorHAnsi"/>
          <w:szCs w:val="22"/>
        </w:rPr>
        <w:t xml:space="preserve">, </w:t>
      </w:r>
      <w:r w:rsidRPr="008C68E8">
        <w:rPr>
          <w:rFonts w:asciiTheme="minorHAnsi" w:hAnsiTheme="minorHAnsi" w:cstheme="minorHAnsi"/>
          <w:szCs w:val="22"/>
        </w:rPr>
        <w:t xml:space="preserve">intended to operate only while terrorism insurance cover </w:t>
      </w:r>
      <w:r w:rsidR="00076800">
        <w:rPr>
          <w:rFonts w:asciiTheme="minorHAnsi" w:hAnsiTheme="minorHAnsi" w:cstheme="minorHAnsi"/>
          <w:szCs w:val="22"/>
        </w:rPr>
        <w:t>was</w:t>
      </w:r>
      <w:r w:rsidRPr="008C68E8">
        <w:rPr>
          <w:rFonts w:asciiTheme="minorHAnsi" w:hAnsiTheme="minorHAnsi" w:cstheme="minorHAnsi"/>
          <w:szCs w:val="22"/>
        </w:rPr>
        <w:t xml:space="preserve"> </w:t>
      </w:r>
      <w:r w:rsidR="00076800" w:rsidRPr="008C68E8">
        <w:rPr>
          <w:rFonts w:asciiTheme="minorHAnsi" w:hAnsiTheme="minorHAnsi" w:cstheme="minorHAnsi"/>
          <w:szCs w:val="22"/>
        </w:rPr>
        <w:t xml:space="preserve">commercially </w:t>
      </w:r>
      <w:r w:rsidRPr="008C68E8">
        <w:rPr>
          <w:rFonts w:asciiTheme="minorHAnsi" w:hAnsiTheme="minorHAnsi" w:cstheme="minorHAnsi"/>
          <w:szCs w:val="22"/>
        </w:rPr>
        <w:t xml:space="preserve">unavailable on reasonable terms. </w:t>
      </w:r>
      <w:r>
        <w:rPr>
          <w:rFonts w:asciiTheme="minorHAnsi" w:hAnsiTheme="minorHAnsi" w:cstheme="minorHAnsi"/>
          <w:szCs w:val="22"/>
        </w:rPr>
        <w:t>Accordingly, t</w:t>
      </w:r>
      <w:r w:rsidR="00F01044" w:rsidRPr="00F01044">
        <w:rPr>
          <w:rFonts w:asciiTheme="minorHAnsi" w:hAnsiTheme="minorHAnsi" w:cstheme="minorHAnsi"/>
          <w:szCs w:val="22"/>
        </w:rPr>
        <w:t xml:space="preserve">he Act requires that at least once every three years, the Minister must review the need for the Act to continue in operation. </w:t>
      </w:r>
      <w:r w:rsidR="00094826">
        <w:rPr>
          <w:rFonts w:asciiTheme="minorHAnsi" w:hAnsiTheme="minorHAnsi" w:cstheme="minorHAnsi"/>
          <w:szCs w:val="22"/>
        </w:rPr>
        <w:t>The Government has completed f</w:t>
      </w:r>
      <w:r w:rsidR="00076800">
        <w:rPr>
          <w:rFonts w:asciiTheme="minorHAnsi" w:hAnsiTheme="minorHAnsi" w:cstheme="minorHAnsi"/>
          <w:szCs w:val="22"/>
        </w:rPr>
        <w:t>ive r</w:t>
      </w:r>
      <w:r w:rsidR="00F01044" w:rsidRPr="00F01044">
        <w:rPr>
          <w:rFonts w:asciiTheme="minorHAnsi" w:hAnsiTheme="minorHAnsi" w:cstheme="minorHAnsi"/>
          <w:szCs w:val="22"/>
        </w:rPr>
        <w:t>eviews</w:t>
      </w:r>
      <w:r w:rsidR="00094826">
        <w:rPr>
          <w:rFonts w:asciiTheme="minorHAnsi" w:hAnsiTheme="minorHAnsi" w:cstheme="minorHAnsi"/>
          <w:szCs w:val="22"/>
        </w:rPr>
        <w:t xml:space="preserve"> of the Act </w:t>
      </w:r>
      <w:r w:rsidR="00076800">
        <w:rPr>
          <w:rFonts w:asciiTheme="minorHAnsi" w:hAnsiTheme="minorHAnsi" w:cstheme="minorHAnsi"/>
          <w:szCs w:val="22"/>
        </w:rPr>
        <w:t>between</w:t>
      </w:r>
      <w:r w:rsidR="00F01044" w:rsidRPr="00F01044">
        <w:rPr>
          <w:rFonts w:asciiTheme="minorHAnsi" w:hAnsiTheme="minorHAnsi" w:cstheme="minorHAnsi"/>
          <w:szCs w:val="22"/>
        </w:rPr>
        <w:t xml:space="preserve"> 2006</w:t>
      </w:r>
      <w:r w:rsidR="00076800">
        <w:rPr>
          <w:rFonts w:asciiTheme="minorHAnsi" w:hAnsiTheme="minorHAnsi" w:cstheme="minorHAnsi"/>
          <w:szCs w:val="22"/>
        </w:rPr>
        <w:t xml:space="preserve"> and 2018</w:t>
      </w:r>
      <w:r>
        <w:rPr>
          <w:rFonts w:asciiTheme="minorHAnsi" w:hAnsiTheme="minorHAnsi" w:cstheme="minorHAnsi"/>
          <w:szCs w:val="22"/>
        </w:rPr>
        <w:t xml:space="preserve">, </w:t>
      </w:r>
      <w:r w:rsidR="00094826">
        <w:rPr>
          <w:rFonts w:asciiTheme="minorHAnsi" w:hAnsiTheme="minorHAnsi" w:cstheme="minorHAnsi"/>
          <w:szCs w:val="22"/>
        </w:rPr>
        <w:t xml:space="preserve">with </w:t>
      </w:r>
      <w:r w:rsidR="00076800">
        <w:rPr>
          <w:rFonts w:asciiTheme="minorHAnsi" w:hAnsiTheme="minorHAnsi" w:cstheme="minorHAnsi"/>
          <w:szCs w:val="22"/>
        </w:rPr>
        <w:t xml:space="preserve">each </w:t>
      </w:r>
      <w:r>
        <w:rPr>
          <w:rFonts w:asciiTheme="minorHAnsi" w:hAnsiTheme="minorHAnsi" w:cstheme="minorHAnsi"/>
          <w:szCs w:val="22"/>
        </w:rPr>
        <w:t>recommend</w:t>
      </w:r>
      <w:r w:rsidR="00094826">
        <w:rPr>
          <w:rFonts w:asciiTheme="minorHAnsi" w:hAnsiTheme="minorHAnsi" w:cstheme="minorHAnsi"/>
          <w:szCs w:val="22"/>
        </w:rPr>
        <w:t>ing</w:t>
      </w:r>
      <w:r>
        <w:rPr>
          <w:rFonts w:asciiTheme="minorHAnsi" w:hAnsiTheme="minorHAnsi" w:cstheme="minorHAnsi"/>
          <w:szCs w:val="22"/>
        </w:rPr>
        <w:t xml:space="preserve"> </w:t>
      </w:r>
      <w:r w:rsidR="00076800">
        <w:rPr>
          <w:rFonts w:asciiTheme="minorHAnsi" w:hAnsiTheme="minorHAnsi" w:cstheme="minorHAnsi"/>
          <w:szCs w:val="22"/>
        </w:rPr>
        <w:t>the scheme</w:t>
      </w:r>
      <w:r w:rsidR="00A262A3">
        <w:rPr>
          <w:rFonts w:asciiTheme="minorHAnsi" w:hAnsiTheme="minorHAnsi" w:cstheme="minorHAnsi"/>
          <w:szCs w:val="22"/>
        </w:rPr>
        <w:t xml:space="preserve"> continue</w:t>
      </w:r>
      <w:r w:rsidR="00076800">
        <w:rPr>
          <w:rFonts w:asciiTheme="minorHAnsi" w:hAnsiTheme="minorHAnsi" w:cstheme="minorHAnsi"/>
          <w:szCs w:val="22"/>
        </w:rPr>
        <w:t xml:space="preserve">. </w:t>
      </w:r>
    </w:p>
    <w:p w14:paraId="20A5CCF4" w14:textId="3E70BAFA" w:rsidR="000870C3" w:rsidRDefault="005C09A8" w:rsidP="002A1F2B">
      <w:pPr>
        <w:pStyle w:val="Heading3"/>
      </w:pPr>
      <w:bookmarkStart w:id="19" w:name="_Toc74317541"/>
      <w:r>
        <w:t xml:space="preserve">Overview of </w:t>
      </w:r>
      <w:r w:rsidR="0010119C">
        <w:t>2018 Triennial Review</w:t>
      </w:r>
      <w:bookmarkEnd w:id="19"/>
    </w:p>
    <w:p w14:paraId="1C868B1D" w14:textId="3DC24C94" w:rsidR="001F2603" w:rsidRPr="0066597F" w:rsidRDefault="00B16B31" w:rsidP="0066597F">
      <w:pPr>
        <w:jc w:val="both"/>
        <w:rPr>
          <w:rFonts w:asciiTheme="minorHAnsi" w:hAnsiTheme="minorHAnsi" w:cstheme="minorHAnsi"/>
          <w:szCs w:val="22"/>
        </w:rPr>
      </w:pPr>
      <w:r w:rsidRPr="0066597F">
        <w:rPr>
          <w:rFonts w:asciiTheme="minorHAnsi" w:hAnsiTheme="minorHAnsi" w:cstheme="minorHAnsi"/>
          <w:szCs w:val="22"/>
        </w:rPr>
        <w:t xml:space="preserve">The </w:t>
      </w:r>
      <w:r w:rsidR="00C60EC1" w:rsidRPr="0066597F">
        <w:rPr>
          <w:rFonts w:asciiTheme="minorHAnsi" w:hAnsiTheme="minorHAnsi" w:cstheme="minorHAnsi"/>
          <w:szCs w:val="22"/>
        </w:rPr>
        <w:t xml:space="preserve">2018 Triennial </w:t>
      </w:r>
      <w:r w:rsidRPr="0066597F">
        <w:rPr>
          <w:rFonts w:asciiTheme="minorHAnsi" w:hAnsiTheme="minorHAnsi" w:cstheme="minorHAnsi"/>
          <w:szCs w:val="22"/>
        </w:rPr>
        <w:t xml:space="preserve">Review found </w:t>
      </w:r>
      <w:r w:rsidR="00C60EC1" w:rsidRPr="0066597F">
        <w:rPr>
          <w:rFonts w:asciiTheme="minorHAnsi" w:hAnsiTheme="minorHAnsi" w:cstheme="minorHAnsi"/>
          <w:szCs w:val="22"/>
        </w:rPr>
        <w:t xml:space="preserve">that </w:t>
      </w:r>
      <w:r w:rsidRPr="0066597F">
        <w:rPr>
          <w:rFonts w:asciiTheme="minorHAnsi" w:hAnsiTheme="minorHAnsi" w:cstheme="minorHAnsi"/>
          <w:szCs w:val="22"/>
        </w:rPr>
        <w:t>i</w:t>
      </w:r>
      <w:r w:rsidR="001F2603" w:rsidRPr="0066597F">
        <w:rPr>
          <w:rFonts w:asciiTheme="minorHAnsi" w:hAnsiTheme="minorHAnsi" w:cstheme="minorHAnsi"/>
          <w:szCs w:val="22"/>
        </w:rPr>
        <w:t>n the absence of the Act</w:t>
      </w:r>
      <w:r w:rsidRPr="0066597F">
        <w:rPr>
          <w:rFonts w:asciiTheme="minorHAnsi" w:hAnsiTheme="minorHAnsi" w:cstheme="minorHAnsi"/>
          <w:szCs w:val="22"/>
        </w:rPr>
        <w:t>,</w:t>
      </w:r>
      <w:r w:rsidR="001F2603" w:rsidRPr="0066597F">
        <w:rPr>
          <w:rFonts w:asciiTheme="minorHAnsi" w:hAnsiTheme="minorHAnsi" w:cstheme="minorHAnsi"/>
          <w:szCs w:val="22"/>
        </w:rPr>
        <w:t xml:space="preserve"> there would likely be a </w:t>
      </w:r>
      <w:r w:rsidR="008C68E8" w:rsidRPr="0066597F">
        <w:rPr>
          <w:rFonts w:asciiTheme="minorHAnsi" w:hAnsiTheme="minorHAnsi" w:cstheme="minorHAnsi"/>
          <w:szCs w:val="22"/>
        </w:rPr>
        <w:t xml:space="preserve">significant </w:t>
      </w:r>
      <w:r w:rsidR="001F2603" w:rsidRPr="0066597F">
        <w:rPr>
          <w:rFonts w:asciiTheme="minorHAnsi" w:hAnsiTheme="minorHAnsi" w:cstheme="minorHAnsi"/>
          <w:szCs w:val="22"/>
        </w:rPr>
        <w:t xml:space="preserve">market failure in the terrorism insurance market. The estimated global commercial market capacity available for Australian terrorism reinsurance </w:t>
      </w:r>
      <w:r w:rsidR="008C68E8" w:rsidRPr="0066597F">
        <w:rPr>
          <w:rFonts w:asciiTheme="minorHAnsi" w:hAnsiTheme="minorHAnsi" w:cstheme="minorHAnsi"/>
          <w:szCs w:val="22"/>
        </w:rPr>
        <w:t xml:space="preserve">was </w:t>
      </w:r>
      <w:r w:rsidR="001F2603" w:rsidRPr="0066597F">
        <w:rPr>
          <w:rFonts w:asciiTheme="minorHAnsi" w:hAnsiTheme="minorHAnsi" w:cstheme="minorHAnsi"/>
          <w:szCs w:val="22"/>
        </w:rPr>
        <w:t xml:space="preserve">considered </w:t>
      </w:r>
      <w:r w:rsidR="008C68E8" w:rsidRPr="0066597F">
        <w:rPr>
          <w:rFonts w:asciiTheme="minorHAnsi" w:hAnsiTheme="minorHAnsi" w:cstheme="minorHAnsi"/>
          <w:szCs w:val="22"/>
        </w:rPr>
        <w:t>insufficient</w:t>
      </w:r>
      <w:r w:rsidR="001F2603" w:rsidRPr="0066597F">
        <w:rPr>
          <w:rFonts w:asciiTheme="minorHAnsi" w:hAnsiTheme="minorHAnsi" w:cstheme="minorHAnsi"/>
          <w:szCs w:val="22"/>
        </w:rPr>
        <w:t xml:space="preserve"> to cover against large, but possible, terrorism incidents. Several reinsurers indicated they would find it difficult to participate in the Australian terrorism insurance market without a mechanism like the ARPC. </w:t>
      </w:r>
    </w:p>
    <w:p w14:paraId="7093A17D" w14:textId="03153B0B" w:rsidR="001F2603" w:rsidRPr="0066597F" w:rsidRDefault="001F2603" w:rsidP="0066597F">
      <w:pPr>
        <w:jc w:val="both"/>
        <w:rPr>
          <w:rFonts w:asciiTheme="minorHAnsi" w:hAnsiTheme="minorHAnsi" w:cstheme="minorHAnsi"/>
          <w:szCs w:val="22"/>
        </w:rPr>
      </w:pPr>
      <w:r w:rsidRPr="0066597F">
        <w:rPr>
          <w:rFonts w:asciiTheme="minorHAnsi" w:hAnsiTheme="minorHAnsi" w:cstheme="minorHAnsi"/>
          <w:szCs w:val="22"/>
        </w:rPr>
        <w:t>This review also considered the appropriate level of compensation the Government should receive from the ARPC for the financial benefits it provides—as the ARPC operates with the Government’s capital and</w:t>
      </w:r>
      <w:r w:rsidR="00987510">
        <w:rPr>
          <w:rFonts w:asciiTheme="minorHAnsi" w:hAnsiTheme="minorHAnsi" w:cstheme="minorHAnsi"/>
          <w:szCs w:val="22"/>
        </w:rPr>
        <w:t xml:space="preserve"> is</w:t>
      </w:r>
      <w:r w:rsidRPr="0066597F">
        <w:rPr>
          <w:rFonts w:asciiTheme="minorHAnsi" w:hAnsiTheme="minorHAnsi" w:cstheme="minorHAnsi"/>
          <w:szCs w:val="22"/>
        </w:rPr>
        <w:t xml:space="preserve"> backed by a $10 billion Commonwealth guarantee. Informed by the Australian Government Actuary’s report, this review recommend</w:t>
      </w:r>
      <w:r w:rsidR="00A7086C" w:rsidRPr="0066597F">
        <w:rPr>
          <w:rFonts w:asciiTheme="minorHAnsi" w:hAnsiTheme="minorHAnsi" w:cstheme="minorHAnsi"/>
          <w:szCs w:val="22"/>
        </w:rPr>
        <w:t>ed</w:t>
      </w:r>
      <w:r w:rsidRPr="0066597F">
        <w:rPr>
          <w:rFonts w:asciiTheme="minorHAnsi" w:hAnsiTheme="minorHAnsi" w:cstheme="minorHAnsi"/>
          <w:szCs w:val="22"/>
        </w:rPr>
        <w:t xml:space="preserve"> the ARPC pay the Government an additional temporary dividend of $10 million a year in 2018-19, 2019-20 and 2020-21. </w:t>
      </w:r>
    </w:p>
    <w:p w14:paraId="755E6D83" w14:textId="4C0D5F00" w:rsidR="005A1DF3" w:rsidRPr="0066597F" w:rsidRDefault="008C68E8" w:rsidP="001F2603">
      <w:pPr>
        <w:jc w:val="both"/>
        <w:rPr>
          <w:rFonts w:asciiTheme="minorHAnsi" w:hAnsiTheme="minorHAnsi" w:cstheme="minorHAnsi"/>
          <w:szCs w:val="22"/>
        </w:rPr>
      </w:pPr>
      <w:r w:rsidRPr="0066597F">
        <w:rPr>
          <w:rFonts w:asciiTheme="minorHAnsi" w:hAnsiTheme="minorHAnsi" w:cstheme="minorHAnsi"/>
          <w:szCs w:val="22"/>
        </w:rPr>
        <w:t xml:space="preserve">Lastly, the </w:t>
      </w:r>
      <w:r w:rsidR="001F2603" w:rsidRPr="0066597F">
        <w:rPr>
          <w:rFonts w:asciiTheme="minorHAnsi" w:hAnsiTheme="minorHAnsi" w:cstheme="minorHAnsi"/>
          <w:szCs w:val="22"/>
        </w:rPr>
        <w:t xml:space="preserve">review found that the current scope of the scheme, the approach to declaring a terrorism incident and the pricing of the scheme </w:t>
      </w:r>
      <w:r w:rsidR="00B679B1">
        <w:rPr>
          <w:rFonts w:asciiTheme="minorHAnsi" w:hAnsiTheme="minorHAnsi" w:cstheme="minorHAnsi"/>
          <w:szCs w:val="22"/>
        </w:rPr>
        <w:t>remain</w:t>
      </w:r>
      <w:r w:rsidR="001F2603" w:rsidRPr="0066597F">
        <w:rPr>
          <w:rFonts w:asciiTheme="minorHAnsi" w:hAnsiTheme="minorHAnsi" w:cstheme="minorHAnsi"/>
          <w:szCs w:val="22"/>
        </w:rPr>
        <w:t xml:space="preserve"> appropriate. </w:t>
      </w:r>
    </w:p>
    <w:p w14:paraId="568AEF44" w14:textId="4419FC10" w:rsidR="00A00922" w:rsidRDefault="00B679B1" w:rsidP="00A00922">
      <w:pPr>
        <w:pStyle w:val="Heading2"/>
      </w:pPr>
      <w:bookmarkStart w:id="20" w:name="_Toc70094103"/>
      <w:bookmarkStart w:id="21" w:name="_Toc74317542"/>
      <w:bookmarkStart w:id="22" w:name="_Toc70089259"/>
      <w:r>
        <w:t>Approach and n</w:t>
      </w:r>
      <w:r w:rsidR="00E3066C">
        <w:t>ext steps</w:t>
      </w:r>
      <w:bookmarkEnd w:id="20"/>
      <w:bookmarkEnd w:id="21"/>
    </w:p>
    <w:bookmarkEnd w:id="22"/>
    <w:p w14:paraId="65CDF6F9" w14:textId="1AD436EC" w:rsidR="00B679B1" w:rsidRDefault="00B679B1" w:rsidP="000174F5">
      <w:pPr>
        <w:jc w:val="both"/>
      </w:pPr>
      <w:r w:rsidRPr="00B679B1">
        <w:t>The Government is seeking your feedback on the questions outlined in this consultation</w:t>
      </w:r>
      <w:r>
        <w:t xml:space="preserve"> paper </w:t>
      </w:r>
      <w:r w:rsidR="001F59B7">
        <w:t xml:space="preserve">by </w:t>
      </w:r>
      <w:r w:rsidR="0097328E" w:rsidRPr="0097328E">
        <w:t>30</w:t>
      </w:r>
      <w:r w:rsidR="00987510" w:rsidRPr="0097328E">
        <w:t> </w:t>
      </w:r>
      <w:r w:rsidR="0097328E" w:rsidRPr="0097328E">
        <w:t>July </w:t>
      </w:r>
      <w:r w:rsidR="008636CD" w:rsidRPr="0097328E">
        <w:t>2021</w:t>
      </w:r>
      <w:r w:rsidR="001F59B7">
        <w:t xml:space="preserve"> </w:t>
      </w:r>
      <w:r w:rsidR="00960E5B">
        <w:t>When drafting your submission</w:t>
      </w:r>
      <w:r w:rsidR="002F799D">
        <w:t>,</w:t>
      </w:r>
      <w:r w:rsidR="00960E5B">
        <w:t xml:space="preserve"> please note that you may answer all the discussion questions raised or</w:t>
      </w:r>
      <w:r w:rsidR="002F799D">
        <w:t>,</w:t>
      </w:r>
      <w:r w:rsidR="00960E5B">
        <w:t xml:space="preserve"> alternatively</w:t>
      </w:r>
      <w:r w:rsidR="002F799D">
        <w:t>,</w:t>
      </w:r>
      <w:r w:rsidR="00960E5B">
        <w:t xml:space="preserve"> only the questions that are relevant to you. </w:t>
      </w:r>
      <w:r w:rsidRPr="00B679B1">
        <w:t>Treasury will</w:t>
      </w:r>
      <w:r>
        <w:t xml:space="preserve"> also</w:t>
      </w:r>
      <w:r w:rsidRPr="00B679B1">
        <w:t xml:space="preserve"> undertake targeted consultation with a range of stakeholders</w:t>
      </w:r>
      <w:r w:rsidR="00A503A2">
        <w:t>.</w:t>
      </w:r>
    </w:p>
    <w:p w14:paraId="0BAD398E" w14:textId="48ACAFF6" w:rsidR="00960E5B" w:rsidRDefault="00A503A2" w:rsidP="000174F5">
      <w:pPr>
        <w:jc w:val="both"/>
      </w:pPr>
      <w:r>
        <w:t>Following consultation</w:t>
      </w:r>
      <w:r w:rsidR="00960E5B">
        <w:t xml:space="preserve">, the </w:t>
      </w:r>
      <w:r w:rsidR="005A62F3">
        <w:t xml:space="preserve">Treasury </w:t>
      </w:r>
      <w:r w:rsidR="00960E5B">
        <w:t xml:space="preserve">will develop advice for Government consideration based on stakeholder feedback. </w:t>
      </w:r>
    </w:p>
    <w:p w14:paraId="1AA06F8A" w14:textId="4698ECCB" w:rsidR="00A00922" w:rsidRDefault="001F59B7" w:rsidP="005A62F3">
      <w:pPr>
        <w:jc w:val="both"/>
      </w:pPr>
      <w:r>
        <w:t xml:space="preserve">All submissions will be published on the Treasury website unless they have been marked as confidential. </w:t>
      </w:r>
    </w:p>
    <w:p w14:paraId="70AFF777" w14:textId="4697DF83" w:rsidR="00211251" w:rsidRDefault="00B679B1" w:rsidP="0066597F">
      <w:pPr>
        <w:jc w:val="both"/>
      </w:pPr>
      <w:r w:rsidRPr="00F01044">
        <w:rPr>
          <w:rFonts w:asciiTheme="minorHAnsi" w:hAnsiTheme="minorHAnsi" w:cstheme="minorHAnsi"/>
          <w:szCs w:val="22"/>
        </w:rPr>
        <w:t>Terms of Reference for the 202</w:t>
      </w:r>
      <w:r>
        <w:rPr>
          <w:rFonts w:asciiTheme="minorHAnsi" w:hAnsiTheme="minorHAnsi" w:cstheme="minorHAnsi"/>
          <w:szCs w:val="22"/>
        </w:rPr>
        <w:t>1</w:t>
      </w:r>
      <w:r w:rsidRPr="00F01044">
        <w:rPr>
          <w:rFonts w:asciiTheme="minorHAnsi" w:hAnsiTheme="minorHAnsi" w:cstheme="minorHAnsi"/>
          <w:szCs w:val="22"/>
        </w:rPr>
        <w:t xml:space="preserve"> Review </w:t>
      </w:r>
      <w:r>
        <w:rPr>
          <w:rFonts w:asciiTheme="minorHAnsi" w:hAnsiTheme="minorHAnsi" w:cstheme="minorHAnsi"/>
          <w:szCs w:val="22"/>
        </w:rPr>
        <w:t xml:space="preserve">can be found in </w:t>
      </w:r>
      <w:r>
        <w:rPr>
          <w:rFonts w:asciiTheme="minorHAnsi" w:hAnsiTheme="minorHAnsi" w:cstheme="minorHAnsi"/>
          <w:szCs w:val="22"/>
          <w:u w:val="single"/>
        </w:rPr>
        <w:t>A</w:t>
      </w:r>
      <w:r w:rsidRPr="00E14863">
        <w:rPr>
          <w:rFonts w:asciiTheme="minorHAnsi" w:hAnsiTheme="minorHAnsi" w:cstheme="minorHAnsi"/>
          <w:szCs w:val="22"/>
          <w:u w:val="single"/>
        </w:rPr>
        <w:t>ttachment A</w:t>
      </w:r>
      <w:r>
        <w:rPr>
          <w:rFonts w:asciiTheme="minorHAnsi" w:hAnsiTheme="minorHAnsi" w:cstheme="minorHAnsi"/>
          <w:szCs w:val="22"/>
        </w:rPr>
        <w:t>.</w:t>
      </w:r>
      <w:r w:rsidR="001F0062">
        <w:br w:type="page"/>
      </w:r>
    </w:p>
    <w:p w14:paraId="0A63C743" w14:textId="67625BF8" w:rsidR="00211251" w:rsidRDefault="00FA4635" w:rsidP="0066597F">
      <w:pPr>
        <w:pStyle w:val="Heading1"/>
      </w:pPr>
      <w:bookmarkStart w:id="23" w:name="_Toc74317543"/>
      <w:r>
        <w:lastRenderedPageBreak/>
        <w:t>Scope of the Review</w:t>
      </w:r>
      <w:bookmarkEnd w:id="23"/>
    </w:p>
    <w:p w14:paraId="33024F3B" w14:textId="2D82B4EE" w:rsidR="00BE009E" w:rsidRDefault="00D52C1B" w:rsidP="00BE009E">
      <w:pPr>
        <w:pStyle w:val="Heading2"/>
      </w:pPr>
      <w:bookmarkStart w:id="24" w:name="_Toc74317544"/>
      <w:r>
        <w:t>Terrorism reinsurance functions</w:t>
      </w:r>
      <w:bookmarkEnd w:id="24"/>
      <w:r>
        <w:t xml:space="preserve"> </w:t>
      </w:r>
    </w:p>
    <w:p w14:paraId="106141D3" w14:textId="7353296C" w:rsidR="00E22F49" w:rsidRDefault="00E22F49" w:rsidP="00E22F49">
      <w:pPr>
        <w:jc w:val="both"/>
        <w:rPr>
          <w:szCs w:val="22"/>
        </w:rPr>
      </w:pPr>
      <w:r w:rsidRPr="00D4200D">
        <w:t>Previous reviews completed in 2006, 2009, 2012, 2015 and 2018</w:t>
      </w:r>
      <w:r>
        <w:t xml:space="preserve"> have each</w:t>
      </w:r>
      <w:r w:rsidRPr="00D4200D">
        <w:t xml:space="preserve"> found there was insufficient terrorism insurance available on </w:t>
      </w:r>
      <w:r w:rsidR="00384BFD" w:rsidRPr="00D4200D">
        <w:t xml:space="preserve">commercially </w:t>
      </w:r>
      <w:r w:rsidRPr="00D4200D">
        <w:t>reasonable terms, and concluded that the Act should continue in operation, subject to further review in no more than three years</w:t>
      </w:r>
      <w:r>
        <w:rPr>
          <w:szCs w:val="22"/>
        </w:rPr>
        <w:t>.</w:t>
      </w:r>
    </w:p>
    <w:p w14:paraId="684CE7A7" w14:textId="4CF53DBE" w:rsidR="005C09A8" w:rsidRDefault="005C09A8" w:rsidP="005C09A8">
      <w:pPr>
        <w:jc w:val="both"/>
        <w:rPr>
          <w:szCs w:val="22"/>
        </w:rPr>
      </w:pPr>
      <w:r>
        <w:rPr>
          <w:szCs w:val="22"/>
        </w:rPr>
        <w:t>The 2018 Review noted that the</w:t>
      </w:r>
      <w:r w:rsidRPr="005C09A8">
        <w:rPr>
          <w:szCs w:val="22"/>
        </w:rPr>
        <w:t xml:space="preserve"> estimated global commercial market capacity available for Australian</w:t>
      </w:r>
      <w:r>
        <w:rPr>
          <w:szCs w:val="22"/>
        </w:rPr>
        <w:t xml:space="preserve"> </w:t>
      </w:r>
      <w:r w:rsidRPr="005C09A8">
        <w:rPr>
          <w:szCs w:val="22"/>
        </w:rPr>
        <w:t xml:space="preserve">terrorism insurance is in the order of $4 billion. </w:t>
      </w:r>
      <w:r w:rsidR="00AE28E9">
        <w:rPr>
          <w:szCs w:val="22"/>
        </w:rPr>
        <w:t>With t</w:t>
      </w:r>
      <w:r w:rsidRPr="005C09A8">
        <w:rPr>
          <w:szCs w:val="22"/>
        </w:rPr>
        <w:t xml:space="preserve">his capacity </w:t>
      </w:r>
      <w:r w:rsidR="00AE28E9">
        <w:rPr>
          <w:szCs w:val="22"/>
        </w:rPr>
        <w:t>p</w:t>
      </w:r>
      <w:r w:rsidR="00AE28E9" w:rsidRPr="005C09A8">
        <w:rPr>
          <w:szCs w:val="22"/>
        </w:rPr>
        <w:t xml:space="preserve">redominantly </w:t>
      </w:r>
      <w:r w:rsidRPr="005C09A8">
        <w:rPr>
          <w:szCs w:val="22"/>
        </w:rPr>
        <w:t>deployed into the Australian market</w:t>
      </w:r>
      <w:r>
        <w:rPr>
          <w:szCs w:val="22"/>
        </w:rPr>
        <w:t xml:space="preserve"> </w:t>
      </w:r>
      <w:r w:rsidRPr="005C09A8">
        <w:rPr>
          <w:szCs w:val="22"/>
        </w:rPr>
        <w:t>through the ARPC’s retrocession program.</w:t>
      </w:r>
    </w:p>
    <w:p w14:paraId="1013951F" w14:textId="36A435C5" w:rsidR="005C09A8" w:rsidRPr="009D6EF4" w:rsidRDefault="005C09A8" w:rsidP="005C09A8">
      <w:pPr>
        <w:jc w:val="both"/>
        <w:rPr>
          <w:szCs w:val="22"/>
        </w:rPr>
      </w:pPr>
      <w:r w:rsidRPr="009D6EF4">
        <w:rPr>
          <w:szCs w:val="22"/>
        </w:rPr>
        <w:t>The Review found that capacity remains well short of the level of cover required to protect against large, but possible, terrorism incidents. Modelling suggest</w:t>
      </w:r>
      <w:r w:rsidR="00AE28E9" w:rsidRPr="009D6EF4">
        <w:rPr>
          <w:szCs w:val="22"/>
        </w:rPr>
        <w:t>ed</w:t>
      </w:r>
      <w:r w:rsidRPr="009D6EF4">
        <w:rPr>
          <w:szCs w:val="22"/>
        </w:rPr>
        <w:t xml:space="preserve"> that this level of commercial capacity </w:t>
      </w:r>
      <w:r w:rsidR="00AE28E9" w:rsidRPr="009D6EF4">
        <w:rPr>
          <w:szCs w:val="22"/>
        </w:rPr>
        <w:t>was</w:t>
      </w:r>
      <w:r w:rsidRPr="009D6EF4">
        <w:rPr>
          <w:szCs w:val="22"/>
        </w:rPr>
        <w:t xml:space="preserve"> insufficient to cover against a maximum single event loss from a conventional blast—an event which the Act was designed to protect against.</w:t>
      </w:r>
      <w:r w:rsidR="00AE28E9" w:rsidRPr="009D6EF4">
        <w:rPr>
          <w:szCs w:val="22"/>
        </w:rPr>
        <w:t xml:space="preserve"> </w:t>
      </w:r>
      <w:r w:rsidR="00BE0875">
        <w:rPr>
          <w:szCs w:val="22"/>
        </w:rPr>
        <w:t>Th</w:t>
      </w:r>
      <w:r w:rsidR="009D6EF4" w:rsidRPr="009D6EF4">
        <w:rPr>
          <w:szCs w:val="22"/>
        </w:rPr>
        <w:t>e 2018 review</w:t>
      </w:r>
      <w:r w:rsidR="00AE28E9" w:rsidRPr="009D6EF4">
        <w:rPr>
          <w:szCs w:val="22"/>
        </w:rPr>
        <w:t xml:space="preserve"> also noted that broader market capacity would likely drop in the absence of the ARPC for reasons including: </w:t>
      </w:r>
    </w:p>
    <w:p w14:paraId="00D218D4" w14:textId="763B5BFA" w:rsidR="00AE28E9" w:rsidRDefault="00AE28E9" w:rsidP="00AE28E9">
      <w:pPr>
        <w:pStyle w:val="Bullet"/>
      </w:pPr>
      <w:r>
        <w:t>Terrorism risk is not easily understood by the market. Terrorism incidents are not random events. The likelihood and scale of loss events depend on the activity of terrorist groups and government counter-terrorism capabilities</w:t>
      </w:r>
      <w:r w:rsidR="00631D6B">
        <w:t>.</w:t>
      </w:r>
    </w:p>
    <w:p w14:paraId="18960202" w14:textId="5E5C0CB7" w:rsidR="00AE28E9" w:rsidRDefault="00AE28E9" w:rsidP="00AE28E9">
      <w:pPr>
        <w:pStyle w:val="Bullet"/>
      </w:pPr>
      <w:r>
        <w:t xml:space="preserve">There continues to be considerable uncertainty in determining what an actuarially sound price for terrorism risk would be. </w:t>
      </w:r>
      <w:r w:rsidR="00C12830">
        <w:t>Particularly as</w:t>
      </w:r>
      <w:r>
        <w:t xml:space="preserve"> there </w:t>
      </w:r>
      <w:r w:rsidR="00C12830">
        <w:t>is</w:t>
      </w:r>
      <w:r>
        <w:t xml:space="preserve"> a lack of depth in claims history.</w:t>
      </w:r>
    </w:p>
    <w:p w14:paraId="5D67FE2F" w14:textId="72F3DEDC" w:rsidR="00AE28E9" w:rsidRDefault="00AE28E9" w:rsidP="00AE28E9">
      <w:pPr>
        <w:pStyle w:val="Bullet"/>
      </w:pPr>
      <w:r>
        <w:t>The ARPC has been in a position to help the market gain insight into exposure and risk through the security agencies. As a ‘centre of expertise’, the ARPC has helped global reinsurers make better informed decisions and encourage them to bring commercial capacity to the Australian market through the APRC’s retrocession program.</w:t>
      </w:r>
    </w:p>
    <w:p w14:paraId="10B99283" w14:textId="1C2B1E61" w:rsidR="00AE28E9" w:rsidRPr="00CD5D54" w:rsidRDefault="00AE28E9" w:rsidP="00AE28E9">
      <w:pPr>
        <w:pStyle w:val="Bullet"/>
      </w:pPr>
      <w:r>
        <w:t>Several reinsurers indicated they would find it difficult to participate in the Australian terrorism insurance market without a mechanism like the ARPC. Some stakeholders were concerned that, while the largest insurers may be able to obtain reinsurance cover in the absence of the ARPC, most would not—or be only able to access limited cover that may not be cost effective.</w:t>
      </w:r>
    </w:p>
    <w:p w14:paraId="410A1073" w14:textId="364A6841" w:rsidR="00BE009E" w:rsidRDefault="00D4200D" w:rsidP="00BE009E">
      <w:pPr>
        <w:pStyle w:val="Heading3"/>
      </w:pPr>
      <w:bookmarkStart w:id="25" w:name="_Toc74317545"/>
      <w:bookmarkStart w:id="26" w:name="_Toc70089263"/>
      <w:bookmarkStart w:id="27" w:name="_Toc70094107"/>
      <w:r w:rsidRPr="00D4200D">
        <w:t>Should the terrorism reinsurance scheme continue</w:t>
      </w:r>
      <w:r w:rsidR="0033336A">
        <w:t>?</w:t>
      </w:r>
      <w:bookmarkEnd w:id="25"/>
      <w:r w:rsidR="00DC00B8">
        <w:t xml:space="preserve"> </w:t>
      </w:r>
      <w:bookmarkEnd w:id="26"/>
      <w:bookmarkEnd w:id="27"/>
    </w:p>
    <w:p w14:paraId="5F8E5915" w14:textId="37C919E2" w:rsidR="00E22F49" w:rsidRPr="00E22F49" w:rsidRDefault="002B2CAD" w:rsidP="00AE28E9">
      <w:r>
        <w:t xml:space="preserve">This Review seeks feedback into </w:t>
      </w:r>
      <w:r w:rsidRPr="002B2CAD">
        <w:t>whether private market capacity</w:t>
      </w:r>
      <w:r>
        <w:t xml:space="preserve"> and appetite for</w:t>
      </w:r>
      <w:r w:rsidRPr="002B2CAD">
        <w:t xml:space="preserve"> the provision of terrorism insurance </w:t>
      </w:r>
      <w:r>
        <w:t xml:space="preserve">has improved sufficiently in the </w:t>
      </w:r>
      <w:r w:rsidR="008075ED">
        <w:t xml:space="preserve">past </w:t>
      </w:r>
      <w:r>
        <w:t>three years to provide coverage</w:t>
      </w:r>
      <w:r w:rsidRPr="002B2CAD">
        <w:t xml:space="preserve"> at commercially affordable rates.</w:t>
      </w:r>
    </w:p>
    <w:p w14:paraId="6284C164" w14:textId="188F3701" w:rsidR="00FB4818" w:rsidRDefault="00FB4818" w:rsidP="00FB4818">
      <w:pPr>
        <w:pStyle w:val="Heading4"/>
      </w:pPr>
      <w:r>
        <w:t>Question</w:t>
      </w:r>
      <w:r w:rsidR="00113F23">
        <w:t>s</w:t>
      </w:r>
    </w:p>
    <w:p w14:paraId="19FC059A" w14:textId="35FD54D3" w:rsidR="00FB4818" w:rsidRDefault="00D4200D" w:rsidP="00FB4818">
      <w:pPr>
        <w:pStyle w:val="OutlineNumbered1"/>
        <w:jc w:val="both"/>
      </w:pPr>
      <w:bookmarkStart w:id="28" w:name="_Hlk72335864"/>
      <w:r w:rsidRPr="00D4200D">
        <w:t>To what extent, if any, is terrorism cover available in the private market on commercially reasonable terms</w:t>
      </w:r>
      <w:r w:rsidR="00FB4818">
        <w:t>?</w:t>
      </w:r>
    </w:p>
    <w:p w14:paraId="29BD25FF" w14:textId="087B8EE9" w:rsidR="00D4200D" w:rsidRDefault="00D4200D" w:rsidP="00FB4818">
      <w:pPr>
        <w:pStyle w:val="OutlineNumbered1"/>
        <w:jc w:val="both"/>
      </w:pPr>
      <w:r w:rsidRPr="00D4200D">
        <w:t>If there is insufficient private market capacity for terrorism insurance in Australia, what are the barriers to its provision and is the presence of the ARPC hindering the development of commercial terrorism insurance in Australia</w:t>
      </w:r>
      <w:r w:rsidR="00FC6944">
        <w:t>?</w:t>
      </w:r>
    </w:p>
    <w:p w14:paraId="6E904E92" w14:textId="4163D2D9" w:rsidR="00D52C1B" w:rsidRDefault="005A350D" w:rsidP="00D52C1B">
      <w:pPr>
        <w:pStyle w:val="Heading2"/>
      </w:pPr>
      <w:bookmarkStart w:id="29" w:name="_Toc74317546"/>
      <w:bookmarkEnd w:id="28"/>
      <w:r>
        <w:br w:type="column"/>
      </w:r>
      <w:r w:rsidR="00D52C1B">
        <w:lastRenderedPageBreak/>
        <w:t>Cyber</w:t>
      </w:r>
      <w:r w:rsidR="00211251">
        <w:t xml:space="preserve"> </w:t>
      </w:r>
      <w:r w:rsidR="00FC3C8B">
        <w:t>terrorism resulting in property damage</w:t>
      </w:r>
      <w:bookmarkEnd w:id="29"/>
    </w:p>
    <w:p w14:paraId="26B6D722" w14:textId="4AD07F0D" w:rsidR="002235F3" w:rsidRDefault="002235F3" w:rsidP="00637323">
      <w:pPr>
        <w:jc w:val="both"/>
      </w:pPr>
      <w:r>
        <w:t>Currently excluded causes of property damage under the Terrorism Insurance Act include,</w:t>
      </w:r>
      <w:r w:rsidRPr="002235F3">
        <w:t xml:space="preserve"> nuclear events, acts of war, radiological damage</w:t>
      </w:r>
      <w:r>
        <w:t xml:space="preserve"> and</w:t>
      </w:r>
      <w:r w:rsidRPr="002235F3">
        <w:t xml:space="preserve"> cyber-attack</w:t>
      </w:r>
      <w:r>
        <w:t xml:space="preserve">s. </w:t>
      </w:r>
    </w:p>
    <w:p w14:paraId="31232BA1" w14:textId="67B90E86" w:rsidR="00D52C1B" w:rsidRDefault="00974D79" w:rsidP="00637323">
      <w:pPr>
        <w:jc w:val="both"/>
        <w:rPr>
          <w:lang w:val="en"/>
        </w:rPr>
      </w:pPr>
      <w:r>
        <w:t>The</w:t>
      </w:r>
      <w:r w:rsidR="00CF4A30">
        <w:t xml:space="preserve"> 2018 Review</w:t>
      </w:r>
      <w:r>
        <w:t xml:space="preserve"> considered</w:t>
      </w:r>
      <w:r w:rsidR="00CF4A30">
        <w:t xml:space="preserve"> the issue of whether </w:t>
      </w:r>
      <w:r w:rsidR="00FC3C8B">
        <w:t xml:space="preserve">to include </w:t>
      </w:r>
      <w:r w:rsidR="00CF4A30">
        <w:t>cyber</w:t>
      </w:r>
      <w:r w:rsidR="00631D6B">
        <w:t xml:space="preserve"> terrorism</w:t>
      </w:r>
      <w:r w:rsidR="00CF4A30">
        <w:t xml:space="preserve"> causing damage to property in the scheme.</w:t>
      </w:r>
      <w:r w:rsidR="00D52C1B">
        <w:rPr>
          <w:lang w:val="en"/>
        </w:rPr>
        <w:t xml:space="preserve"> </w:t>
      </w:r>
      <w:r>
        <w:rPr>
          <w:lang w:val="en"/>
        </w:rPr>
        <w:t xml:space="preserve">At the time, it </w:t>
      </w:r>
      <w:r w:rsidR="0066597F" w:rsidRPr="0066597F">
        <w:rPr>
          <w:lang w:val="en"/>
        </w:rPr>
        <w:t>found that there was no evident market failure for cyber terrorism insurance in relation to physical property damage</w:t>
      </w:r>
      <w:r w:rsidR="00FC3C8B">
        <w:rPr>
          <w:lang w:val="en"/>
        </w:rPr>
        <w:t xml:space="preserve">. In </w:t>
      </w:r>
      <w:r>
        <w:rPr>
          <w:lang w:val="en"/>
        </w:rPr>
        <w:t>support of that</w:t>
      </w:r>
      <w:r w:rsidR="00FC3C8B">
        <w:rPr>
          <w:lang w:val="en"/>
        </w:rPr>
        <w:t xml:space="preserve"> finding, it found that: </w:t>
      </w:r>
    </w:p>
    <w:p w14:paraId="25872FA1" w14:textId="1407A2A4" w:rsidR="00FC3C8B" w:rsidRPr="00FC3C8B" w:rsidRDefault="00FC3C8B" w:rsidP="00C12830">
      <w:pPr>
        <w:pStyle w:val="Bullet"/>
        <w:jc w:val="both"/>
        <w:rPr>
          <w:lang w:val="en"/>
        </w:rPr>
      </w:pPr>
      <w:r>
        <w:rPr>
          <w:lang w:val="en"/>
        </w:rPr>
        <w:t>T</w:t>
      </w:r>
      <w:r w:rsidRPr="00FC3C8B">
        <w:rPr>
          <w:lang w:val="en"/>
        </w:rPr>
        <w:t>he underlying risk was considered low. The Australian Cyber Security Centre considered terrorist groups’ use of offensive cyber capabilities to be limited. Terrorist groups lack the technical sophistication to threaten Australia’s security using cyber means at this time.</w:t>
      </w:r>
    </w:p>
    <w:p w14:paraId="4E3AF114" w14:textId="44D41844" w:rsidR="00FC3C8B" w:rsidRPr="00FC3C8B" w:rsidRDefault="00FC3C8B" w:rsidP="00C12830">
      <w:pPr>
        <w:pStyle w:val="Bullet"/>
        <w:jc w:val="both"/>
        <w:rPr>
          <w:lang w:val="en"/>
        </w:rPr>
      </w:pPr>
      <w:r w:rsidRPr="00FC3C8B">
        <w:rPr>
          <w:lang w:val="en"/>
        </w:rPr>
        <w:t>A cyber insurance market was rapidly emerging. Cyber insurance was the fastest growing sector of the Australian commercial insurance market, with coverage increasingly incorporated into business insurance packages or sold as an individual product.</w:t>
      </w:r>
    </w:p>
    <w:p w14:paraId="2034D7D0" w14:textId="08962768" w:rsidR="00FC3C8B" w:rsidRDefault="009D4C07" w:rsidP="00C12830">
      <w:pPr>
        <w:pStyle w:val="Bullet"/>
        <w:jc w:val="both"/>
        <w:rPr>
          <w:lang w:val="en"/>
        </w:rPr>
      </w:pPr>
      <w:r>
        <w:rPr>
          <w:lang w:val="en"/>
        </w:rPr>
        <w:t xml:space="preserve">Market gaps may exist, but they do not necessarily represent a market failure. </w:t>
      </w:r>
      <w:r w:rsidR="00FC3C8B" w:rsidRPr="00FC3C8B">
        <w:rPr>
          <w:lang w:val="en"/>
        </w:rPr>
        <w:t>New risks not previously contemplated can fall between existing classes of commercial insurance products or may be reflective of a belief amongst consumers coverage does not demonstrate value. The 2018 Review noted industry had been proactive in seeking to underwrite the risk and exploring how it could fill market gaps.</w:t>
      </w:r>
    </w:p>
    <w:p w14:paraId="4B23C713" w14:textId="299E95B7" w:rsidR="00607ED5" w:rsidRPr="00CD5D54" w:rsidRDefault="00607ED5" w:rsidP="00C12830">
      <w:pPr>
        <w:pStyle w:val="Bullet"/>
        <w:numPr>
          <w:ilvl w:val="0"/>
          <w:numId w:val="0"/>
        </w:numPr>
        <w:jc w:val="both"/>
        <w:rPr>
          <w:szCs w:val="22"/>
        </w:rPr>
      </w:pPr>
      <w:r w:rsidRPr="00FC3C8B">
        <w:t xml:space="preserve">In March 2020, the ARPC released a research report on cyber terrorism causing physical property damage in Australia, which drew from work it commissioned from the </w:t>
      </w:r>
      <w:r w:rsidR="00A84A30">
        <w:t>Organisation for Economic Co</w:t>
      </w:r>
      <w:r w:rsidR="009D4C07">
        <w:noBreakHyphen/>
      </w:r>
      <w:r w:rsidR="00A84A30">
        <w:t>operation and Development</w:t>
      </w:r>
      <w:r w:rsidRPr="00FC3C8B">
        <w:t xml:space="preserve"> and Cambridge University’s Centre for Risk Studies. The report identified a market gap for cyber terrorism insurance where the attack results in physical damage to commercial property, and that this has the potential to cause substantial losses. </w:t>
      </w:r>
      <w:r>
        <w:t>However, it</w:t>
      </w:r>
      <w:r w:rsidRPr="00FC3C8B">
        <w:t xml:space="preserve"> also found that the probability of a cyber terrorism incident causing property damage </w:t>
      </w:r>
      <w:r>
        <w:t>remains</w:t>
      </w:r>
      <w:r w:rsidRPr="00FC3C8B">
        <w:t xml:space="preserve"> remote</w:t>
      </w:r>
      <w:r>
        <w:rPr>
          <w:szCs w:val="22"/>
        </w:rPr>
        <w:t>.</w:t>
      </w:r>
    </w:p>
    <w:p w14:paraId="2D4D8B3E" w14:textId="14831ECC" w:rsidR="00D52C1B" w:rsidRDefault="00D52C1B" w:rsidP="00D52C1B">
      <w:pPr>
        <w:pStyle w:val="Heading3"/>
      </w:pPr>
      <w:bookmarkStart w:id="30" w:name="_Toc74317547"/>
      <w:r w:rsidRPr="00D4200D">
        <w:t xml:space="preserve">Should the </w:t>
      </w:r>
      <w:r>
        <w:t xml:space="preserve">Scheme </w:t>
      </w:r>
      <w:r w:rsidR="00B679B1">
        <w:t xml:space="preserve">be extended to </w:t>
      </w:r>
      <w:r>
        <w:t>include cyber terrorism</w:t>
      </w:r>
      <w:r w:rsidR="00B679B1">
        <w:t xml:space="preserve"> causing physical property damage</w:t>
      </w:r>
      <w:r>
        <w:t>?</w:t>
      </w:r>
      <w:bookmarkEnd w:id="30"/>
      <w:r>
        <w:t xml:space="preserve"> </w:t>
      </w:r>
    </w:p>
    <w:p w14:paraId="7A58E21C" w14:textId="2A93BC67" w:rsidR="00607ED5" w:rsidRPr="008F053D" w:rsidRDefault="00563D8B" w:rsidP="00C12830">
      <w:pPr>
        <w:pStyle w:val="Bullet"/>
        <w:numPr>
          <w:ilvl w:val="0"/>
          <w:numId w:val="0"/>
        </w:numPr>
        <w:jc w:val="both"/>
      </w:pPr>
      <w:r>
        <w:t>Similar to the previous review, t</w:t>
      </w:r>
      <w:r w:rsidR="008F053D" w:rsidRPr="008F053D">
        <w:t>he 2021 Review</w:t>
      </w:r>
      <w:r w:rsidR="00607ED5" w:rsidRPr="008F053D">
        <w:t xml:space="preserve"> </w:t>
      </w:r>
      <w:r>
        <w:t>will</w:t>
      </w:r>
      <w:r w:rsidR="00607ED5" w:rsidRPr="008F053D">
        <w:t xml:space="preserve"> consider whether</w:t>
      </w:r>
      <w:r w:rsidR="008F053D" w:rsidRPr="008F053D">
        <w:t xml:space="preserve"> a sufficient rationale</w:t>
      </w:r>
      <w:r w:rsidR="004C2C1C">
        <w:t xml:space="preserve"> has emerged</w:t>
      </w:r>
      <w:r w:rsidR="008F053D" w:rsidRPr="008F053D">
        <w:t xml:space="preserve"> to include </w:t>
      </w:r>
      <w:r w:rsidR="004C2C1C">
        <w:t>c</w:t>
      </w:r>
      <w:r w:rsidR="008F053D" w:rsidRPr="008F053D">
        <w:t xml:space="preserve">yber terrorism causing </w:t>
      </w:r>
      <w:r w:rsidR="004B5CF5">
        <w:t>physical</w:t>
      </w:r>
      <w:r w:rsidR="008F053D" w:rsidRPr="008F053D">
        <w:t xml:space="preserve"> property </w:t>
      </w:r>
      <w:r w:rsidR="004B5CF5">
        <w:t xml:space="preserve">damage </w:t>
      </w:r>
      <w:r w:rsidR="007109D0">
        <w:t>within the Scheme</w:t>
      </w:r>
      <w:r w:rsidR="008F053D" w:rsidRPr="008F053D">
        <w:t xml:space="preserve">. In line with the original intention of the </w:t>
      </w:r>
      <w:r w:rsidR="007109D0">
        <w:t>S</w:t>
      </w:r>
      <w:r w:rsidR="008F053D" w:rsidRPr="008F053D">
        <w:t>cheme</w:t>
      </w:r>
      <w:r w:rsidR="007A442B">
        <w:t>,</w:t>
      </w:r>
      <w:r w:rsidR="009D4C07">
        <w:t xml:space="preserve"> which aimed to ameliorate a market failure</w:t>
      </w:r>
      <w:r w:rsidR="004B5CF5">
        <w:t xml:space="preserve">, </w:t>
      </w:r>
      <w:r w:rsidR="009D4C07">
        <w:t xml:space="preserve">the Review will </w:t>
      </w:r>
      <w:r w:rsidR="008F053D">
        <w:t>consider the inclusion of</w:t>
      </w:r>
      <w:r w:rsidR="007109D0">
        <w:t xml:space="preserve"> cyber </w:t>
      </w:r>
      <w:r w:rsidR="004B5CF5">
        <w:t>terrorist acts</w:t>
      </w:r>
      <w:r w:rsidR="007109D0">
        <w:t xml:space="preserve"> that results in</w:t>
      </w:r>
      <w:r w:rsidR="008F053D">
        <w:t xml:space="preserve"> </w:t>
      </w:r>
      <w:r w:rsidR="00B76FC3">
        <w:t xml:space="preserve">physical property damage, such as </w:t>
      </w:r>
      <w:r w:rsidR="008F053D">
        <w:t>damage to buildings</w:t>
      </w:r>
      <w:r w:rsidR="00B76FC3">
        <w:t xml:space="preserve"> or</w:t>
      </w:r>
      <w:r w:rsidR="008F053D">
        <w:t xml:space="preserve"> </w:t>
      </w:r>
      <w:r w:rsidR="005D12A8">
        <w:t xml:space="preserve">physical </w:t>
      </w:r>
      <w:r w:rsidR="008F053D">
        <w:t>infrastructure</w:t>
      </w:r>
      <w:r w:rsidR="004B5CF5">
        <w:t xml:space="preserve">. </w:t>
      </w:r>
    </w:p>
    <w:p w14:paraId="3CABF41F" w14:textId="26FF9183" w:rsidR="00D52C1B" w:rsidRDefault="00D52C1B" w:rsidP="00BC4B7F">
      <w:pPr>
        <w:pStyle w:val="Heading4"/>
        <w:tabs>
          <w:tab w:val="left" w:pos="3581"/>
        </w:tabs>
      </w:pPr>
      <w:r>
        <w:t>Question</w:t>
      </w:r>
      <w:r w:rsidR="00113F23">
        <w:t>s</w:t>
      </w:r>
      <w:r w:rsidR="00BC4B7F">
        <w:tab/>
      </w:r>
    </w:p>
    <w:p w14:paraId="2BC11EE8" w14:textId="28822B03" w:rsidR="00D52C1B" w:rsidRDefault="00D52C1B" w:rsidP="00D52C1B">
      <w:pPr>
        <w:pStyle w:val="OutlineNumbered1"/>
        <w:jc w:val="both"/>
      </w:pPr>
      <w:r w:rsidRPr="00D4200D">
        <w:t xml:space="preserve">To what extent, if any, is </w:t>
      </w:r>
      <w:r w:rsidR="00AF18EC">
        <w:t xml:space="preserve">cover for </w:t>
      </w:r>
      <w:r w:rsidR="00FC3C8B">
        <w:t xml:space="preserve">cyber </w:t>
      </w:r>
      <w:r w:rsidRPr="00D4200D">
        <w:t xml:space="preserve">terrorism </w:t>
      </w:r>
      <w:r w:rsidR="0053418A">
        <w:t xml:space="preserve">resulting in </w:t>
      </w:r>
      <w:r w:rsidR="00974D79">
        <w:t xml:space="preserve">physical property damage </w:t>
      </w:r>
      <w:r w:rsidRPr="00D4200D">
        <w:t xml:space="preserve">available in the private market on commercially reasonable </w:t>
      </w:r>
      <w:r w:rsidR="00FC3C8B" w:rsidRPr="00D4200D">
        <w:t>terms</w:t>
      </w:r>
      <w:r w:rsidR="00FC3C8B" w:rsidRPr="00D4200D" w:rsidDel="00D4200D">
        <w:t>?</w:t>
      </w:r>
    </w:p>
    <w:p w14:paraId="4C1C5125" w14:textId="001D3D66" w:rsidR="00E22F49" w:rsidRDefault="00D52C1B" w:rsidP="00D52C1B">
      <w:pPr>
        <w:pStyle w:val="OutlineNumbered1"/>
        <w:jc w:val="both"/>
      </w:pPr>
      <w:r w:rsidRPr="00D4200D">
        <w:t xml:space="preserve">If there is insufficient private market capacity for </w:t>
      </w:r>
      <w:r w:rsidR="00974D79" w:rsidRPr="00974D79">
        <w:t>cyber terrorism causing physical property damage</w:t>
      </w:r>
      <w:r w:rsidR="00974D79" w:rsidRPr="00974D79" w:rsidDel="00974D79">
        <w:t xml:space="preserve"> </w:t>
      </w:r>
      <w:r w:rsidRPr="00D4200D">
        <w:t>insurance in Australia</w:t>
      </w:r>
      <w:r w:rsidR="00E22F49">
        <w:t>:</w:t>
      </w:r>
    </w:p>
    <w:p w14:paraId="603CBF78" w14:textId="55CF0420" w:rsidR="00E22F49" w:rsidRDefault="00E22F49" w:rsidP="00E22F49">
      <w:pPr>
        <w:pStyle w:val="OutlineNumbered2"/>
      </w:pPr>
      <w:r>
        <w:t>What</w:t>
      </w:r>
      <w:r w:rsidRPr="00D4200D">
        <w:t xml:space="preserve"> </w:t>
      </w:r>
      <w:r w:rsidR="00D52C1B" w:rsidRPr="00D4200D">
        <w:t>are the barriers to its provision</w:t>
      </w:r>
      <w:r>
        <w:t xml:space="preserve">? </w:t>
      </w:r>
    </w:p>
    <w:p w14:paraId="2ACB755C" w14:textId="36CD17DE" w:rsidR="00D52C1B" w:rsidRDefault="00EB17FB" w:rsidP="00E22F49">
      <w:pPr>
        <w:pStyle w:val="OutlineNumbered2"/>
      </w:pPr>
      <w:r>
        <w:t>How would</w:t>
      </w:r>
      <w:r w:rsidR="00E22F49" w:rsidRPr="00D4200D">
        <w:t xml:space="preserve"> </w:t>
      </w:r>
      <w:r w:rsidR="00D52C1B" w:rsidRPr="00D4200D">
        <w:t xml:space="preserve">the presence of the ARPC </w:t>
      </w:r>
      <w:r>
        <w:t>impact</w:t>
      </w:r>
      <w:r w:rsidR="00D52C1B" w:rsidRPr="00D4200D">
        <w:t xml:space="preserve"> the development of commercial terrorism insurance in Australia</w:t>
      </w:r>
      <w:r w:rsidR="00E22F49">
        <w:t>?</w:t>
      </w:r>
    </w:p>
    <w:p w14:paraId="7E8591C5" w14:textId="7482D9FD" w:rsidR="00474B23" w:rsidRDefault="00474B23" w:rsidP="007E4CAA">
      <w:pPr>
        <w:pStyle w:val="OutlineNumbered2"/>
      </w:pPr>
      <w:r>
        <w:t>Are there international examples of</w:t>
      </w:r>
      <w:r w:rsidR="00BC5988">
        <w:t xml:space="preserve"> market or</w:t>
      </w:r>
      <w:r>
        <w:t xml:space="preserve"> policy responses </w:t>
      </w:r>
      <w:r w:rsidR="008923A8">
        <w:t>to</w:t>
      </w:r>
      <w:r>
        <w:t xml:space="preserve"> </w:t>
      </w:r>
      <w:r w:rsidRPr="00474B23">
        <w:t>cyber terrorism causing physical property</w:t>
      </w:r>
      <w:r>
        <w:t xml:space="preserve"> that are applicable to the Australian context? </w:t>
      </w:r>
    </w:p>
    <w:p w14:paraId="01FC5118" w14:textId="64A7589D" w:rsidR="005B73F3" w:rsidRDefault="00974D79" w:rsidP="005B73F3">
      <w:pPr>
        <w:pStyle w:val="Heading2"/>
      </w:pPr>
      <w:r>
        <w:br w:type="column"/>
      </w:r>
      <w:bookmarkStart w:id="31" w:name="_Toc74317548"/>
      <w:r w:rsidR="00996985">
        <w:lastRenderedPageBreak/>
        <w:t>Cyclone and Related-Flooding Reinsurance Pool</w:t>
      </w:r>
      <w:bookmarkEnd w:id="31"/>
    </w:p>
    <w:p w14:paraId="68946A1D" w14:textId="4C2EA6E5" w:rsidR="00B679B1" w:rsidRDefault="00B679B1" w:rsidP="007A442B">
      <w:pPr>
        <w:jc w:val="both"/>
      </w:pPr>
      <w:r>
        <w:t>On 4 May 2021, the Australian Government announced it</w:t>
      </w:r>
      <w:r w:rsidR="00EB17FB">
        <w:t>s</w:t>
      </w:r>
      <w:r>
        <w:t xml:space="preserve"> inten</w:t>
      </w:r>
      <w:r w:rsidR="00EB17FB">
        <w:t>tion</w:t>
      </w:r>
      <w:r>
        <w:t xml:space="preserve"> to establish a reinsurance pool covering the risk of property damage caused by cyclones and cyclone-related flood damage. The pool would seek to improve the accessibility and affordability of insurance for households and small businesses in cyclone-prone areas, which are mainly located in northern Australia.</w:t>
      </w:r>
    </w:p>
    <w:p w14:paraId="3B469969" w14:textId="5FA6F991" w:rsidR="00B679B1" w:rsidRDefault="00B679B1" w:rsidP="007A442B">
      <w:pPr>
        <w:jc w:val="both"/>
      </w:pPr>
      <w:r>
        <w:t xml:space="preserve">The ARPC would administer the pool, which would </w:t>
      </w:r>
      <w:r w:rsidRPr="0097328E">
        <w:t>operate from 1</w:t>
      </w:r>
      <w:r w:rsidR="0097328E" w:rsidRPr="0097328E">
        <w:t> </w:t>
      </w:r>
      <w:r w:rsidRPr="0097328E">
        <w:t>July</w:t>
      </w:r>
      <w:r w:rsidR="0097328E" w:rsidRPr="0097328E">
        <w:t> </w:t>
      </w:r>
      <w:r w:rsidRPr="0097328E">
        <w:t>2022</w:t>
      </w:r>
      <w:r>
        <w:t xml:space="preserve">. A Treasury Taskforce will consult with industry and community representatives to inform a decision on the reinsurance pool’s final design. </w:t>
      </w:r>
    </w:p>
    <w:p w14:paraId="1B119E9B" w14:textId="75E10A8E" w:rsidR="0004575D" w:rsidRDefault="0004575D" w:rsidP="003E4812">
      <w:pPr>
        <w:pStyle w:val="Heading3"/>
      </w:pPr>
      <w:bookmarkStart w:id="32" w:name="_Toc74317549"/>
      <w:r>
        <w:t>How might the ARPC’s terrorism reinsurance pool functions</w:t>
      </w:r>
      <w:r w:rsidR="00234445">
        <w:t xml:space="preserve"> </w:t>
      </w:r>
      <w:r>
        <w:t>interact with its new functions?</w:t>
      </w:r>
      <w:bookmarkEnd w:id="32"/>
    </w:p>
    <w:p w14:paraId="700C9760" w14:textId="4F40583D" w:rsidR="0004575D" w:rsidRPr="00C64A83" w:rsidRDefault="00384150" w:rsidP="007A442B">
      <w:pPr>
        <w:jc w:val="both"/>
        <w:rPr>
          <w:i/>
        </w:rPr>
      </w:pPr>
      <w:r>
        <w:t>The ARPC’s new role to operate a</w:t>
      </w:r>
      <w:r w:rsidR="00143CA4">
        <w:t xml:space="preserve"> </w:t>
      </w:r>
      <w:r w:rsidR="00F131B6">
        <w:t>cyclone and related</w:t>
      </w:r>
      <w:r w:rsidR="00251DE3">
        <w:t>-</w:t>
      </w:r>
      <w:r w:rsidR="00F131B6">
        <w:t xml:space="preserve">flood </w:t>
      </w:r>
      <w:r w:rsidR="00143CA4">
        <w:t xml:space="preserve">insurance </w:t>
      </w:r>
      <w:r w:rsidR="00F131B6">
        <w:t xml:space="preserve">pool may pose challenges and opportunities </w:t>
      </w:r>
      <w:r w:rsidR="00424D08">
        <w:t>for</w:t>
      </w:r>
      <w:r w:rsidR="00043861">
        <w:t xml:space="preserve"> its terrorism reinsurance functions.</w:t>
      </w:r>
      <w:r w:rsidR="00143CA4">
        <w:t xml:space="preserve"> As part of the Review, the </w:t>
      </w:r>
      <w:r>
        <w:t xml:space="preserve">Taskforce </w:t>
      </w:r>
      <w:r w:rsidR="00143CA4">
        <w:t xml:space="preserve">will </w:t>
      </w:r>
      <w:r w:rsidR="00043861">
        <w:t>closely consider</w:t>
      </w:r>
      <w:r w:rsidR="00CA183A">
        <w:t xml:space="preserve"> the</w:t>
      </w:r>
      <w:r w:rsidR="00143CA4">
        <w:t xml:space="preserve"> </w:t>
      </w:r>
      <w:r w:rsidR="00043861">
        <w:t>ARPC’s</w:t>
      </w:r>
      <w:r w:rsidR="00CA183A">
        <w:t xml:space="preserve"> strategic settings </w:t>
      </w:r>
      <w:r w:rsidR="00143CA4">
        <w:t xml:space="preserve">to ensure that they </w:t>
      </w:r>
      <w:r w:rsidR="00CA183A">
        <w:t>remain appropriate.</w:t>
      </w:r>
    </w:p>
    <w:p w14:paraId="1A2134FF" w14:textId="440DC4C5" w:rsidR="00847BF4" w:rsidRDefault="00847BF4" w:rsidP="00847BF4">
      <w:pPr>
        <w:pStyle w:val="Heading4"/>
      </w:pPr>
      <w:r>
        <w:t>Question</w:t>
      </w:r>
      <w:r w:rsidR="00113F23">
        <w:t>s</w:t>
      </w:r>
    </w:p>
    <w:p w14:paraId="34A2971C" w14:textId="46EF6ACA" w:rsidR="00E22F49" w:rsidRDefault="00EB17FB" w:rsidP="00113F23">
      <w:pPr>
        <w:pStyle w:val="OutlineNumbered1"/>
      </w:pPr>
      <w:r>
        <w:t xml:space="preserve">Are there any changes in the </w:t>
      </w:r>
      <w:r w:rsidR="006B241C" w:rsidRPr="00FF5336">
        <w:t xml:space="preserve">governance, administration and resourcing </w:t>
      </w:r>
      <w:r>
        <w:t xml:space="preserve">of the terrorism reinsurance pool or the Terrorism Insurance Act that should be amended in light of </w:t>
      </w:r>
      <w:r w:rsidR="00E30A72" w:rsidRPr="00E30A72">
        <w:t xml:space="preserve">potential interactions </w:t>
      </w:r>
      <w:r>
        <w:t xml:space="preserve">with </w:t>
      </w:r>
      <w:r w:rsidR="00E30A72">
        <w:t xml:space="preserve">the </w:t>
      </w:r>
      <w:r>
        <w:t xml:space="preserve">proposed </w:t>
      </w:r>
      <w:r w:rsidR="00E30A72">
        <w:t>cyclone and related</w:t>
      </w:r>
      <w:r w:rsidR="00AF18EC">
        <w:t>-</w:t>
      </w:r>
      <w:r w:rsidR="00E30A72">
        <w:t xml:space="preserve">flood </w:t>
      </w:r>
      <w:r w:rsidR="004070A3">
        <w:t xml:space="preserve">damage </w:t>
      </w:r>
      <w:r w:rsidR="00E30A72">
        <w:t xml:space="preserve">reinsurance pool? </w:t>
      </w:r>
    </w:p>
    <w:p w14:paraId="3576CF02" w14:textId="77777777" w:rsidR="00F44B60" w:rsidRPr="005A350D" w:rsidRDefault="00591C48" w:rsidP="00FF5336">
      <w:pPr>
        <w:pStyle w:val="Heading1"/>
        <w:rPr>
          <w:u w:val="single"/>
        </w:rPr>
      </w:pPr>
      <w:r>
        <w:br w:type="column"/>
      </w:r>
      <w:bookmarkStart w:id="33" w:name="_Toc74317550"/>
      <w:r w:rsidRPr="005A350D">
        <w:rPr>
          <w:u w:val="single"/>
        </w:rPr>
        <w:lastRenderedPageBreak/>
        <w:t>Attachment A</w:t>
      </w:r>
      <w:bookmarkEnd w:id="33"/>
      <w:r w:rsidRPr="005A350D">
        <w:rPr>
          <w:u w:val="single"/>
        </w:rPr>
        <w:t xml:space="preserve"> </w:t>
      </w:r>
    </w:p>
    <w:p w14:paraId="5D446341" w14:textId="1F5FB386" w:rsidR="00591C48" w:rsidRPr="00FF5336" w:rsidRDefault="00591C48" w:rsidP="00FF5336">
      <w:pPr>
        <w:pStyle w:val="Heading2"/>
      </w:pPr>
      <w:bookmarkStart w:id="34" w:name="_Toc74317551"/>
      <w:r>
        <w:t>Terms of Reference</w:t>
      </w:r>
      <w:bookmarkEnd w:id="34"/>
    </w:p>
    <w:p w14:paraId="0BFC7E52" w14:textId="77777777" w:rsidR="00591C48" w:rsidRPr="00FF5336" w:rsidRDefault="00591C48" w:rsidP="00FF5336">
      <w:pPr>
        <w:spacing w:before="240"/>
        <w:jc w:val="both"/>
        <w:rPr>
          <w:rFonts w:asciiTheme="minorHAnsi" w:hAnsiTheme="minorHAnsi" w:cstheme="minorHAnsi"/>
          <w:szCs w:val="22"/>
        </w:rPr>
      </w:pPr>
      <w:r w:rsidRPr="00FF5336">
        <w:rPr>
          <w:rFonts w:asciiTheme="minorHAnsi" w:hAnsiTheme="minorHAnsi" w:cstheme="minorHAnsi"/>
          <w:szCs w:val="22"/>
        </w:rPr>
        <w:t>The Terrorism Insurance Act 2003 (the Act) established a scheme for replacement terrorism insurance coverage for commercial property and associated business interruption. The Act also established the Australian Reinsurance Pool Corporation (ARPC) as a statutory authority to administer the scheme. Both the scheme and the ARPC began operations on 1 July 2003.</w:t>
      </w:r>
    </w:p>
    <w:p w14:paraId="7086BC98" w14:textId="634AC2CA" w:rsidR="00591C48" w:rsidRPr="00FF5336" w:rsidRDefault="00591C48" w:rsidP="00FF5336">
      <w:pPr>
        <w:jc w:val="both"/>
        <w:rPr>
          <w:rFonts w:asciiTheme="minorHAnsi" w:hAnsiTheme="minorHAnsi" w:cstheme="minorHAnsi"/>
          <w:szCs w:val="22"/>
        </w:rPr>
      </w:pPr>
      <w:r w:rsidRPr="00FF5336">
        <w:rPr>
          <w:rFonts w:asciiTheme="minorHAnsi" w:hAnsiTheme="minorHAnsi" w:cstheme="minorHAnsi"/>
          <w:szCs w:val="22"/>
        </w:rPr>
        <w:t xml:space="preserve">The scheme was established as an interim measure to address a specific market failure in the private provision of terrorism insurance. The scheme is intended to operate only while terrorism cover is unavailable commercially on reasonable terms. As a result, s. 41 of the Act requires that: “At least once every three years after the </w:t>
      </w:r>
      <w:r w:rsidR="00E22F49" w:rsidRPr="00FF5336">
        <w:rPr>
          <w:rFonts w:asciiTheme="minorHAnsi" w:hAnsiTheme="minorHAnsi" w:cstheme="minorHAnsi"/>
          <w:szCs w:val="22"/>
        </w:rPr>
        <w:t>start-up</w:t>
      </w:r>
      <w:r w:rsidRPr="00FF5336">
        <w:rPr>
          <w:rFonts w:asciiTheme="minorHAnsi" w:hAnsiTheme="minorHAnsi" w:cstheme="minorHAnsi"/>
          <w:szCs w:val="22"/>
        </w:rPr>
        <w:t xml:space="preserve"> time, the Minister must prepare a report that reviews the need for this Act to continue in operation.”</w:t>
      </w:r>
    </w:p>
    <w:p w14:paraId="7BFE04E2" w14:textId="77777777" w:rsidR="00591C48" w:rsidRPr="00FF5336" w:rsidRDefault="00591C48" w:rsidP="00FF5336">
      <w:pPr>
        <w:jc w:val="both"/>
        <w:rPr>
          <w:rFonts w:asciiTheme="minorHAnsi" w:hAnsiTheme="minorHAnsi" w:cstheme="minorHAnsi"/>
          <w:szCs w:val="22"/>
        </w:rPr>
      </w:pPr>
      <w:r w:rsidRPr="00FF5336">
        <w:rPr>
          <w:rFonts w:asciiTheme="minorHAnsi" w:hAnsiTheme="minorHAnsi" w:cstheme="minorHAnsi"/>
          <w:szCs w:val="22"/>
        </w:rPr>
        <w:t>Previous reviews were completed in 2006, 2009, 2012, 2015 and 2018. Each review concluded that the Act should continue in operation, subject to further review in no more than three years.</w:t>
      </w:r>
    </w:p>
    <w:p w14:paraId="5B0E4112" w14:textId="77777777" w:rsidR="00591C48" w:rsidRPr="00FF5336" w:rsidRDefault="00591C48" w:rsidP="00FF5336">
      <w:pPr>
        <w:jc w:val="both"/>
        <w:rPr>
          <w:rFonts w:asciiTheme="minorHAnsi" w:hAnsiTheme="minorHAnsi" w:cstheme="minorHAnsi"/>
          <w:szCs w:val="22"/>
        </w:rPr>
      </w:pPr>
      <w:r w:rsidRPr="00FF5336">
        <w:rPr>
          <w:rFonts w:asciiTheme="minorHAnsi" w:hAnsiTheme="minorHAnsi" w:cstheme="minorHAnsi"/>
          <w:szCs w:val="22"/>
        </w:rPr>
        <w:t>To allow for completion of the Review by 12 December 2021, Treasury will report to the Minister on:</w:t>
      </w:r>
    </w:p>
    <w:p w14:paraId="4CE329D4" w14:textId="178FAFE2" w:rsidR="00591C48" w:rsidRPr="00FF5336" w:rsidRDefault="00591C48" w:rsidP="00FF5336">
      <w:pPr>
        <w:pStyle w:val="Bullet"/>
        <w:spacing w:before="120"/>
        <w:ind w:left="284" w:hanging="284"/>
        <w:jc w:val="both"/>
      </w:pPr>
      <w:r w:rsidRPr="00FF5336">
        <w:t xml:space="preserve">whether there continues to be market failure in the private sector supply of terrorism insurance, and consequently whether there is a need for the Act to </w:t>
      </w:r>
      <w:proofErr w:type="gramStart"/>
      <w:r w:rsidRPr="00FF5336">
        <w:t>continue;</w:t>
      </w:r>
      <w:proofErr w:type="gramEnd"/>
    </w:p>
    <w:p w14:paraId="41C87F22" w14:textId="2A165539" w:rsidR="00591C48" w:rsidRPr="00FF5336" w:rsidRDefault="00591C48" w:rsidP="00FF5336">
      <w:pPr>
        <w:pStyle w:val="Bullet"/>
        <w:spacing w:before="120"/>
        <w:ind w:left="284" w:hanging="284"/>
        <w:jc w:val="both"/>
      </w:pPr>
      <w:r w:rsidRPr="00FF5336">
        <w:t>whether the governance, administration and resourcing of the scheme remain appropriate, including interactions between the Cyclone Reinsurance Pool and the Terrorism Reinsurance Pool; and</w:t>
      </w:r>
    </w:p>
    <w:p w14:paraId="7C79F566" w14:textId="6D07EFF1" w:rsidR="00C74337" w:rsidRPr="005A62F3" w:rsidRDefault="00591C48" w:rsidP="00FF5336">
      <w:pPr>
        <w:pStyle w:val="Bullet"/>
        <w:spacing w:before="120"/>
        <w:ind w:left="284" w:hanging="284"/>
        <w:jc w:val="both"/>
      </w:pPr>
      <w:r w:rsidRPr="00FF5336">
        <w:t>whether the risk of cyber terrorism causing physical property damage should be included in the scheme.</w:t>
      </w:r>
    </w:p>
    <w:sectPr w:rsidR="00C74337" w:rsidRPr="005A62F3" w:rsidSect="00E1136B">
      <w:headerReference w:type="even" r:id="rId18"/>
      <w:headerReference w:type="default" r:id="rId19"/>
      <w:footerReference w:type="even" r:id="rId20"/>
      <w:footerReference w:type="default" r:id="rId21"/>
      <w:headerReference w:type="first" r:id="rId22"/>
      <w:footerReference w:type="first" r:id="rId23"/>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CED97B" w14:textId="77777777" w:rsidR="006260C9" w:rsidRDefault="006260C9">
      <w:pPr>
        <w:spacing w:before="0" w:after="0"/>
      </w:pPr>
      <w:r>
        <w:separator/>
      </w:r>
    </w:p>
  </w:endnote>
  <w:endnote w:type="continuationSeparator" w:id="0">
    <w:p w14:paraId="2A087AAD" w14:textId="77777777" w:rsidR="006260C9" w:rsidRDefault="006260C9">
      <w:pPr>
        <w:spacing w:before="0" w:after="0"/>
      </w:pPr>
      <w:r>
        <w:continuationSeparator/>
      </w:r>
    </w:p>
  </w:endnote>
  <w:endnote w:type="continuationNotice" w:id="1">
    <w:p w14:paraId="02386B2A" w14:textId="77777777" w:rsidR="006260C9" w:rsidRDefault="006260C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0C67F" w14:textId="77777777" w:rsidR="00DE0AD5" w:rsidRPr="00E77C89" w:rsidRDefault="00DE0AD5"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3288B" w14:textId="77777777" w:rsidR="00DE0AD5" w:rsidRPr="00E77C89" w:rsidRDefault="00DE0AD5" w:rsidP="00170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99A4D" w14:textId="4E78816A" w:rsidR="00DE0AD5" w:rsidRPr="00E1136B" w:rsidRDefault="00DE0AD5" w:rsidP="00E1136B">
    <w:pPr>
      <w:pStyle w:val="Footer"/>
    </w:pPr>
    <w:r>
      <w:fldChar w:fldCharType="begin"/>
    </w:r>
    <w:r>
      <w:instrText xml:space="preserve"> PAGE   \* MERGEFORMAT </w:instrText>
    </w:r>
    <w:r>
      <w:fldChar w:fldCharType="separate"/>
    </w:r>
    <w:r>
      <w:rPr>
        <w:noProof/>
      </w:rPr>
      <w:t>8</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42644" w14:textId="77777777" w:rsidR="00DE0AD5" w:rsidRDefault="00DE0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0E2EA4" w14:textId="77777777" w:rsidR="006260C9" w:rsidRDefault="006260C9">
      <w:pPr>
        <w:spacing w:before="0" w:after="0"/>
      </w:pPr>
      <w:r>
        <w:separator/>
      </w:r>
    </w:p>
  </w:footnote>
  <w:footnote w:type="continuationSeparator" w:id="0">
    <w:p w14:paraId="4FEAD4D9" w14:textId="77777777" w:rsidR="006260C9" w:rsidRDefault="006260C9">
      <w:pPr>
        <w:spacing w:before="0" w:after="0"/>
      </w:pPr>
      <w:r>
        <w:continuationSeparator/>
      </w:r>
    </w:p>
  </w:footnote>
  <w:footnote w:type="continuationNotice" w:id="1">
    <w:p w14:paraId="0248FD57" w14:textId="77777777" w:rsidR="006260C9" w:rsidRDefault="006260C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F0377" w14:textId="77777777" w:rsidR="00DE0AD5" w:rsidRDefault="00DE0AD5">
    <w:pPr>
      <w:pStyle w:val="Header"/>
    </w:pPr>
    <w:r>
      <w:rPr>
        <w:noProof/>
      </w:rPr>
      <w:drawing>
        <wp:anchor distT="0" distB="0" distL="114300" distR="114300" simplePos="0" relativeHeight="251658240" behindDoc="1" locked="0" layoutInCell="1" allowOverlap="1" wp14:anchorId="2453001C" wp14:editId="1F38063E">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211C5" w14:textId="77777777" w:rsidR="00DE0AD5" w:rsidRPr="001F3912" w:rsidRDefault="00DE0AD5"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CB87B" w14:textId="77777777" w:rsidR="00DE0AD5" w:rsidRPr="001F3912" w:rsidRDefault="00DE0AD5" w:rsidP="001708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329A5" w14:textId="77777777" w:rsidR="00DE0AD5" w:rsidRPr="001F3912" w:rsidRDefault="00DE0AD5" w:rsidP="0017089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4D777" w14:textId="546E21E7" w:rsidR="00DE0AD5" w:rsidRPr="001F3912" w:rsidRDefault="00E159BD" w:rsidP="001606CF">
    <w:pPr>
      <w:pStyle w:val="Header"/>
    </w:pPr>
    <w:fldSimple w:instr=" STYLEREF  Title  \* MERGEFORMAT ">
      <w:r w:rsidR="00A64AD6">
        <w:rPr>
          <w:noProof/>
        </w:rPr>
        <w:t>2021 Triennial Review of the Terrorism Insurance Act 2003</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98B5A" w14:textId="77777777" w:rsidR="00DE0AD5" w:rsidRDefault="00DE0A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A7B52"/>
    <w:multiLevelType w:val="hybridMultilevel"/>
    <w:tmpl w:val="12966684"/>
    <w:lvl w:ilvl="0" w:tplc="C700D032">
      <w:numFmt w:val="bullet"/>
      <w:lvlText w:val="-"/>
      <w:lvlJc w:val="left"/>
      <w:pPr>
        <w:ind w:left="720" w:hanging="360"/>
      </w:pPr>
      <w:rPr>
        <w:rFonts w:ascii="Book Antiqua" w:eastAsia="Times New Roman" w:hAnsi="Book Antiqua" w:cs="Times New Roman" w:hint="default"/>
        <w:sz w:val="20"/>
        <w:szCs w:val="20"/>
      </w:rPr>
    </w:lvl>
    <w:lvl w:ilvl="1" w:tplc="C700D032">
      <w:numFmt w:val="bullet"/>
      <w:lvlText w:val="-"/>
      <w:lvlJc w:val="left"/>
      <w:pPr>
        <w:ind w:left="1440" w:hanging="360"/>
      </w:pPr>
      <w:rPr>
        <w:rFonts w:ascii="Book Antiqua" w:eastAsia="Times New Roman" w:hAnsi="Book Antiqua" w:cs="Times New Roman"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604098"/>
    <w:multiLevelType w:val="multilevel"/>
    <w:tmpl w:val="16868EFE"/>
    <w:name w:val="StandardBulletedList"/>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CC4E5D"/>
    <w:multiLevelType w:val="multilevel"/>
    <w:tmpl w:val="D10E9CF6"/>
    <w:numStyleLink w:val="OneLevelList"/>
  </w:abstractNum>
  <w:abstractNum w:abstractNumId="6"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8C270CF"/>
    <w:multiLevelType w:val="hybridMultilevel"/>
    <w:tmpl w:val="3B2A2320"/>
    <w:lvl w:ilvl="0" w:tplc="89C6F34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EFB3515"/>
    <w:multiLevelType w:val="hybridMultilevel"/>
    <w:tmpl w:val="4420040C"/>
    <w:lvl w:ilvl="0" w:tplc="B8DA214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681885"/>
    <w:multiLevelType w:val="hybridMultilevel"/>
    <w:tmpl w:val="2A44DE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9A00C69"/>
    <w:multiLevelType w:val="multilevel"/>
    <w:tmpl w:val="4DF4FA54"/>
    <w:name w:val="StandardNumberedList"/>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3" w15:restartNumberingAfterBreak="0">
    <w:nsid w:val="3238442C"/>
    <w:multiLevelType w:val="multilevel"/>
    <w:tmpl w:val="FEB87FB6"/>
    <w:styleLink w:val="ChartandTableFootnoteAlphaList"/>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A286030"/>
    <w:multiLevelType w:val="multilevel"/>
    <w:tmpl w:val="E8520F84"/>
    <w:lvl w:ilvl="0">
      <w:start w:val="1"/>
      <w:numFmt w:val="decimal"/>
      <w:lvlText w:val="%1."/>
      <w:lvlJc w:val="left"/>
      <w:pPr>
        <w:tabs>
          <w:tab w:val="num" w:pos="1134"/>
        </w:tabs>
        <w:ind w:left="1134" w:hanging="567"/>
      </w:pPr>
    </w:lvl>
    <w:lvl w:ilvl="1">
      <w:start w:val="1"/>
      <w:numFmt w:val="decimal"/>
      <w:lvlText w:val="%1.%2."/>
      <w:lvlJc w:val="left"/>
      <w:pPr>
        <w:tabs>
          <w:tab w:val="num" w:pos="1701"/>
        </w:tabs>
        <w:ind w:left="1701" w:hanging="567"/>
      </w:pPr>
    </w:lvl>
    <w:lvl w:ilvl="2">
      <w:start w:val="1"/>
      <w:numFmt w:val="decimal"/>
      <w:lvlText w:val="%1.%2.%3."/>
      <w:lvlJc w:val="left"/>
      <w:pPr>
        <w:tabs>
          <w:tab w:val="num" w:pos="2268"/>
        </w:tabs>
        <w:ind w:left="2268" w:hanging="567"/>
      </w:pPr>
    </w:lvl>
    <w:lvl w:ilvl="3">
      <w:start w:val="1"/>
      <w:numFmt w:val="decimal"/>
      <w:lvlText w:val="(%4)"/>
      <w:lvlJc w:val="left"/>
      <w:pPr>
        <w:ind w:left="2574" w:hanging="360"/>
      </w:pPr>
    </w:lvl>
    <w:lvl w:ilvl="4">
      <w:start w:val="1"/>
      <w:numFmt w:val="lowerLetter"/>
      <w:lvlText w:val="(%5)"/>
      <w:lvlJc w:val="left"/>
      <w:pPr>
        <w:ind w:left="2934" w:hanging="360"/>
      </w:pPr>
    </w:lvl>
    <w:lvl w:ilvl="5">
      <w:start w:val="1"/>
      <w:numFmt w:val="lowerRoman"/>
      <w:lvlText w:val="(%6)"/>
      <w:lvlJc w:val="left"/>
      <w:pPr>
        <w:ind w:left="3294" w:hanging="360"/>
      </w:pPr>
    </w:lvl>
    <w:lvl w:ilvl="6">
      <w:start w:val="1"/>
      <w:numFmt w:val="decimal"/>
      <w:lvlText w:val="%7."/>
      <w:lvlJc w:val="left"/>
      <w:pPr>
        <w:ind w:left="3654" w:hanging="360"/>
      </w:pPr>
    </w:lvl>
    <w:lvl w:ilvl="7">
      <w:start w:val="1"/>
      <w:numFmt w:val="lowerLetter"/>
      <w:lvlText w:val="%8."/>
      <w:lvlJc w:val="left"/>
      <w:pPr>
        <w:ind w:left="4014" w:hanging="360"/>
      </w:pPr>
    </w:lvl>
    <w:lvl w:ilvl="8">
      <w:start w:val="1"/>
      <w:numFmt w:val="lowerRoman"/>
      <w:lvlText w:val="%9."/>
      <w:lvlJc w:val="left"/>
      <w:pPr>
        <w:ind w:left="4374" w:hanging="360"/>
      </w:pPr>
    </w:lvl>
  </w:abstractNum>
  <w:abstractNum w:abstractNumId="16" w15:restartNumberingAfterBreak="0">
    <w:nsid w:val="43613042"/>
    <w:multiLevelType w:val="hybridMultilevel"/>
    <w:tmpl w:val="5A2EFC72"/>
    <w:lvl w:ilvl="0" w:tplc="00F65F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53D7A53"/>
    <w:multiLevelType w:val="hybridMultilevel"/>
    <w:tmpl w:val="02D023FA"/>
    <w:lvl w:ilvl="0" w:tplc="2884B1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B400F83"/>
    <w:multiLevelType w:val="multilevel"/>
    <w:tmpl w:val="DEB2CD4C"/>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10D2021"/>
    <w:multiLevelType w:val="multilevel"/>
    <w:tmpl w:val="0BBC7890"/>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12"/>
  </w:num>
  <w:num w:numId="2">
    <w:abstractNumId w:val="2"/>
  </w:num>
  <w:num w:numId="3">
    <w:abstractNumId w:val="14"/>
  </w:num>
  <w:num w:numId="4">
    <w:abstractNumId w:val="4"/>
  </w:num>
  <w:num w:numId="5">
    <w:abstractNumId w:val="5"/>
  </w:num>
  <w:num w:numId="6">
    <w:abstractNumId w:val="19"/>
  </w:num>
  <w:num w:numId="7">
    <w:abstractNumId w:val="13"/>
    <w:lvlOverride w:ilvl="0">
      <w:lvl w:ilvl="0">
        <w:start w:val="1"/>
        <w:numFmt w:val="lowerLetter"/>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6"/>
  </w:num>
  <w:num w:numId="9">
    <w:abstractNumId w:val="3"/>
  </w:num>
  <w:num w:numId="10">
    <w:abstractNumId w:val="10"/>
  </w:num>
  <w:num w:numId="11">
    <w:abstractNumId w:val="20"/>
  </w:num>
  <w:num w:numId="12">
    <w:abstractNumId w:val="19"/>
  </w:num>
  <w:num w:numId="13">
    <w:abstractNumId w:val="10"/>
  </w:num>
  <w:num w:numId="14">
    <w:abstractNumId w:val="13"/>
  </w:num>
  <w:num w:numId="15">
    <w:abstractNumId w:val="1"/>
  </w:num>
  <w:num w:numId="16">
    <w:abstractNumId w:val="1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8"/>
  </w:num>
  <w:num w:numId="22">
    <w:abstractNumId w:val="7"/>
  </w:num>
  <w:num w:numId="23">
    <w:abstractNumId w:val="16"/>
  </w:num>
  <w:num w:numId="24">
    <w:abstractNumId w:val="0"/>
  </w:num>
  <w:num w:numId="25">
    <w:abstractNumId w:val="18"/>
  </w:num>
  <w:num w:numId="26">
    <w:abstractNumId w:val="15"/>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2"/>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510"/>
    <w:rsid w:val="000019AD"/>
    <w:rsid w:val="00003A9A"/>
    <w:rsid w:val="00003C1F"/>
    <w:rsid w:val="00005210"/>
    <w:rsid w:val="00006337"/>
    <w:rsid w:val="00011725"/>
    <w:rsid w:val="00012C62"/>
    <w:rsid w:val="000132AD"/>
    <w:rsid w:val="00014710"/>
    <w:rsid w:val="00015016"/>
    <w:rsid w:val="000156E3"/>
    <w:rsid w:val="00016972"/>
    <w:rsid w:val="000174F5"/>
    <w:rsid w:val="000217B9"/>
    <w:rsid w:val="0002220C"/>
    <w:rsid w:val="000241AD"/>
    <w:rsid w:val="00024281"/>
    <w:rsid w:val="00024C7C"/>
    <w:rsid w:val="0002544D"/>
    <w:rsid w:val="00027CC3"/>
    <w:rsid w:val="00034936"/>
    <w:rsid w:val="00036A3F"/>
    <w:rsid w:val="00037AA2"/>
    <w:rsid w:val="00041329"/>
    <w:rsid w:val="00041A8B"/>
    <w:rsid w:val="00041B27"/>
    <w:rsid w:val="0004274D"/>
    <w:rsid w:val="00043861"/>
    <w:rsid w:val="00043FF2"/>
    <w:rsid w:val="00044C0A"/>
    <w:rsid w:val="00044E48"/>
    <w:rsid w:val="0004575D"/>
    <w:rsid w:val="00045FAC"/>
    <w:rsid w:val="000462EF"/>
    <w:rsid w:val="00046E2B"/>
    <w:rsid w:val="00050AA7"/>
    <w:rsid w:val="00052F23"/>
    <w:rsid w:val="000530B3"/>
    <w:rsid w:val="00053D1C"/>
    <w:rsid w:val="00054166"/>
    <w:rsid w:val="00054439"/>
    <w:rsid w:val="00056333"/>
    <w:rsid w:val="000565D9"/>
    <w:rsid w:val="00056880"/>
    <w:rsid w:val="00057741"/>
    <w:rsid w:val="00057B93"/>
    <w:rsid w:val="0006444F"/>
    <w:rsid w:val="000648A5"/>
    <w:rsid w:val="00064CAA"/>
    <w:rsid w:val="000657A8"/>
    <w:rsid w:val="00066871"/>
    <w:rsid w:val="000675D1"/>
    <w:rsid w:val="00067AB1"/>
    <w:rsid w:val="000700CD"/>
    <w:rsid w:val="0007102C"/>
    <w:rsid w:val="00072352"/>
    <w:rsid w:val="0007260A"/>
    <w:rsid w:val="00073521"/>
    <w:rsid w:val="00074234"/>
    <w:rsid w:val="000758ED"/>
    <w:rsid w:val="00076800"/>
    <w:rsid w:val="000768D9"/>
    <w:rsid w:val="000775DE"/>
    <w:rsid w:val="00081510"/>
    <w:rsid w:val="00081A92"/>
    <w:rsid w:val="00081B97"/>
    <w:rsid w:val="00082604"/>
    <w:rsid w:val="00082D90"/>
    <w:rsid w:val="00084610"/>
    <w:rsid w:val="0008482C"/>
    <w:rsid w:val="0008571D"/>
    <w:rsid w:val="000858F2"/>
    <w:rsid w:val="0008607E"/>
    <w:rsid w:val="00087019"/>
    <w:rsid w:val="000870C3"/>
    <w:rsid w:val="000876AF"/>
    <w:rsid w:val="00087FAF"/>
    <w:rsid w:val="0009147C"/>
    <w:rsid w:val="00093026"/>
    <w:rsid w:val="00094826"/>
    <w:rsid w:val="0009492D"/>
    <w:rsid w:val="00095DF5"/>
    <w:rsid w:val="000965F7"/>
    <w:rsid w:val="00096684"/>
    <w:rsid w:val="00097DEB"/>
    <w:rsid w:val="000A0A5D"/>
    <w:rsid w:val="000A141B"/>
    <w:rsid w:val="000A34C7"/>
    <w:rsid w:val="000A5902"/>
    <w:rsid w:val="000A7061"/>
    <w:rsid w:val="000B000C"/>
    <w:rsid w:val="000B0732"/>
    <w:rsid w:val="000B14E0"/>
    <w:rsid w:val="000B265F"/>
    <w:rsid w:val="000B2690"/>
    <w:rsid w:val="000B5547"/>
    <w:rsid w:val="000B6052"/>
    <w:rsid w:val="000B7921"/>
    <w:rsid w:val="000C1B2B"/>
    <w:rsid w:val="000C221B"/>
    <w:rsid w:val="000C2712"/>
    <w:rsid w:val="000C2B78"/>
    <w:rsid w:val="000C2D85"/>
    <w:rsid w:val="000C33E8"/>
    <w:rsid w:val="000C345F"/>
    <w:rsid w:val="000C3EFE"/>
    <w:rsid w:val="000C4A18"/>
    <w:rsid w:val="000C4DEF"/>
    <w:rsid w:val="000C5A73"/>
    <w:rsid w:val="000C5BD4"/>
    <w:rsid w:val="000C5F40"/>
    <w:rsid w:val="000C6058"/>
    <w:rsid w:val="000C7133"/>
    <w:rsid w:val="000C71C1"/>
    <w:rsid w:val="000C7802"/>
    <w:rsid w:val="000D0A6A"/>
    <w:rsid w:val="000D11A6"/>
    <w:rsid w:val="000D159F"/>
    <w:rsid w:val="000D222F"/>
    <w:rsid w:val="000D4C0C"/>
    <w:rsid w:val="000D5460"/>
    <w:rsid w:val="000D7D60"/>
    <w:rsid w:val="000E0229"/>
    <w:rsid w:val="000E079B"/>
    <w:rsid w:val="000E0B74"/>
    <w:rsid w:val="000E1DDE"/>
    <w:rsid w:val="000E42E2"/>
    <w:rsid w:val="000E4C71"/>
    <w:rsid w:val="000E79D0"/>
    <w:rsid w:val="000F092C"/>
    <w:rsid w:val="000F0BF8"/>
    <w:rsid w:val="000F2DDE"/>
    <w:rsid w:val="000F39A1"/>
    <w:rsid w:val="000F3C63"/>
    <w:rsid w:val="000F3DF0"/>
    <w:rsid w:val="000F41B4"/>
    <w:rsid w:val="000F4229"/>
    <w:rsid w:val="000F4E74"/>
    <w:rsid w:val="000F59BA"/>
    <w:rsid w:val="000F5ED2"/>
    <w:rsid w:val="000F6A6F"/>
    <w:rsid w:val="000F7517"/>
    <w:rsid w:val="00100510"/>
    <w:rsid w:val="0010119C"/>
    <w:rsid w:val="00101CE8"/>
    <w:rsid w:val="001022DC"/>
    <w:rsid w:val="00102D46"/>
    <w:rsid w:val="00106EE3"/>
    <w:rsid w:val="001078C7"/>
    <w:rsid w:val="00107E77"/>
    <w:rsid w:val="001100D7"/>
    <w:rsid w:val="00111445"/>
    <w:rsid w:val="001137E9"/>
    <w:rsid w:val="00113F23"/>
    <w:rsid w:val="00115DC2"/>
    <w:rsid w:val="00116E8D"/>
    <w:rsid w:val="00117F7D"/>
    <w:rsid w:val="0012076E"/>
    <w:rsid w:val="0012584A"/>
    <w:rsid w:val="0012792D"/>
    <w:rsid w:val="00127BF7"/>
    <w:rsid w:val="00127EDF"/>
    <w:rsid w:val="00130385"/>
    <w:rsid w:val="00131A59"/>
    <w:rsid w:val="001332F0"/>
    <w:rsid w:val="00133F0A"/>
    <w:rsid w:val="00134330"/>
    <w:rsid w:val="00134758"/>
    <w:rsid w:val="0013496C"/>
    <w:rsid w:val="001365B0"/>
    <w:rsid w:val="00137267"/>
    <w:rsid w:val="00140817"/>
    <w:rsid w:val="0014091C"/>
    <w:rsid w:val="00141061"/>
    <w:rsid w:val="0014132E"/>
    <w:rsid w:val="00141BBD"/>
    <w:rsid w:val="00141CEE"/>
    <w:rsid w:val="00142A33"/>
    <w:rsid w:val="00142ADE"/>
    <w:rsid w:val="00143CA4"/>
    <w:rsid w:val="00144EBC"/>
    <w:rsid w:val="00150103"/>
    <w:rsid w:val="00151904"/>
    <w:rsid w:val="00151ACD"/>
    <w:rsid w:val="00152751"/>
    <w:rsid w:val="001530C3"/>
    <w:rsid w:val="00153EAC"/>
    <w:rsid w:val="0015421C"/>
    <w:rsid w:val="00154EF9"/>
    <w:rsid w:val="00155496"/>
    <w:rsid w:val="001557CF"/>
    <w:rsid w:val="00155820"/>
    <w:rsid w:val="001575F9"/>
    <w:rsid w:val="001606CF"/>
    <w:rsid w:val="0016128D"/>
    <w:rsid w:val="00161DF4"/>
    <w:rsid w:val="001648C3"/>
    <w:rsid w:val="00165123"/>
    <w:rsid w:val="00166ECE"/>
    <w:rsid w:val="0017089D"/>
    <w:rsid w:val="00170B8C"/>
    <w:rsid w:val="00175D2D"/>
    <w:rsid w:val="00176269"/>
    <w:rsid w:val="00176DB4"/>
    <w:rsid w:val="001771E8"/>
    <w:rsid w:val="001772DC"/>
    <w:rsid w:val="00182248"/>
    <w:rsid w:val="0018273C"/>
    <w:rsid w:val="00183012"/>
    <w:rsid w:val="0018303B"/>
    <w:rsid w:val="00185BC3"/>
    <w:rsid w:val="00186C4E"/>
    <w:rsid w:val="00187305"/>
    <w:rsid w:val="001876CF"/>
    <w:rsid w:val="0019101A"/>
    <w:rsid w:val="0019419A"/>
    <w:rsid w:val="00194D9E"/>
    <w:rsid w:val="00195164"/>
    <w:rsid w:val="0019570F"/>
    <w:rsid w:val="00196456"/>
    <w:rsid w:val="0019796E"/>
    <w:rsid w:val="00197D0C"/>
    <w:rsid w:val="001A2B13"/>
    <w:rsid w:val="001A2DE9"/>
    <w:rsid w:val="001A3742"/>
    <w:rsid w:val="001A435E"/>
    <w:rsid w:val="001A655D"/>
    <w:rsid w:val="001B06A4"/>
    <w:rsid w:val="001B3912"/>
    <w:rsid w:val="001B40C7"/>
    <w:rsid w:val="001B4BD1"/>
    <w:rsid w:val="001B57D0"/>
    <w:rsid w:val="001B6A2C"/>
    <w:rsid w:val="001B7958"/>
    <w:rsid w:val="001C03C2"/>
    <w:rsid w:val="001C092B"/>
    <w:rsid w:val="001C0F53"/>
    <w:rsid w:val="001C223B"/>
    <w:rsid w:val="001C259A"/>
    <w:rsid w:val="001C358D"/>
    <w:rsid w:val="001C3A4C"/>
    <w:rsid w:val="001C46E9"/>
    <w:rsid w:val="001C5023"/>
    <w:rsid w:val="001C58E9"/>
    <w:rsid w:val="001C5D2B"/>
    <w:rsid w:val="001D0670"/>
    <w:rsid w:val="001D0888"/>
    <w:rsid w:val="001D0B3D"/>
    <w:rsid w:val="001D0E74"/>
    <w:rsid w:val="001D12E6"/>
    <w:rsid w:val="001D2000"/>
    <w:rsid w:val="001D2F39"/>
    <w:rsid w:val="001D3A14"/>
    <w:rsid w:val="001D48B0"/>
    <w:rsid w:val="001D4EAA"/>
    <w:rsid w:val="001D53E0"/>
    <w:rsid w:val="001D584A"/>
    <w:rsid w:val="001D72B7"/>
    <w:rsid w:val="001D7C2C"/>
    <w:rsid w:val="001E051F"/>
    <w:rsid w:val="001E212C"/>
    <w:rsid w:val="001E40F4"/>
    <w:rsid w:val="001E5657"/>
    <w:rsid w:val="001E5710"/>
    <w:rsid w:val="001E691E"/>
    <w:rsid w:val="001E7659"/>
    <w:rsid w:val="001F0062"/>
    <w:rsid w:val="001F1160"/>
    <w:rsid w:val="001F1C4D"/>
    <w:rsid w:val="001F2603"/>
    <w:rsid w:val="001F2A2B"/>
    <w:rsid w:val="001F5639"/>
    <w:rsid w:val="001F59B7"/>
    <w:rsid w:val="001F62EE"/>
    <w:rsid w:val="001F63C8"/>
    <w:rsid w:val="001F6A3F"/>
    <w:rsid w:val="001F75CF"/>
    <w:rsid w:val="001F7A62"/>
    <w:rsid w:val="001F7C9E"/>
    <w:rsid w:val="0020016A"/>
    <w:rsid w:val="00201A71"/>
    <w:rsid w:val="00202BF1"/>
    <w:rsid w:val="00203DA6"/>
    <w:rsid w:val="002051A7"/>
    <w:rsid w:val="00206FF9"/>
    <w:rsid w:val="00211251"/>
    <w:rsid w:val="00211298"/>
    <w:rsid w:val="00211457"/>
    <w:rsid w:val="0021150D"/>
    <w:rsid w:val="00211940"/>
    <w:rsid w:val="00212F52"/>
    <w:rsid w:val="002143FE"/>
    <w:rsid w:val="00214D31"/>
    <w:rsid w:val="00215B9E"/>
    <w:rsid w:val="00215E17"/>
    <w:rsid w:val="00215E7E"/>
    <w:rsid w:val="00217CEF"/>
    <w:rsid w:val="00220779"/>
    <w:rsid w:val="0022190E"/>
    <w:rsid w:val="00221F5B"/>
    <w:rsid w:val="00222882"/>
    <w:rsid w:val="002235F3"/>
    <w:rsid w:val="00223B75"/>
    <w:rsid w:val="0022402C"/>
    <w:rsid w:val="00224053"/>
    <w:rsid w:val="00224379"/>
    <w:rsid w:val="00224DC0"/>
    <w:rsid w:val="002279FC"/>
    <w:rsid w:val="00230101"/>
    <w:rsid w:val="002305AE"/>
    <w:rsid w:val="00231049"/>
    <w:rsid w:val="002314D2"/>
    <w:rsid w:val="00231F70"/>
    <w:rsid w:val="00234445"/>
    <w:rsid w:val="0023693C"/>
    <w:rsid w:val="002372A6"/>
    <w:rsid w:val="00237785"/>
    <w:rsid w:val="002400D1"/>
    <w:rsid w:val="002405CF"/>
    <w:rsid w:val="00241538"/>
    <w:rsid w:val="00241783"/>
    <w:rsid w:val="00242FDA"/>
    <w:rsid w:val="0024441C"/>
    <w:rsid w:val="002447A9"/>
    <w:rsid w:val="0024681E"/>
    <w:rsid w:val="00247C07"/>
    <w:rsid w:val="00251249"/>
    <w:rsid w:val="00251911"/>
    <w:rsid w:val="00251DE3"/>
    <w:rsid w:val="00252CDA"/>
    <w:rsid w:val="00253465"/>
    <w:rsid w:val="0025659B"/>
    <w:rsid w:val="00256BF9"/>
    <w:rsid w:val="00257AEE"/>
    <w:rsid w:val="00260939"/>
    <w:rsid w:val="00261171"/>
    <w:rsid w:val="002611A1"/>
    <w:rsid w:val="002616DF"/>
    <w:rsid w:val="00261E0E"/>
    <w:rsid w:val="00262D6D"/>
    <w:rsid w:val="0026314A"/>
    <w:rsid w:val="00263561"/>
    <w:rsid w:val="00263B6C"/>
    <w:rsid w:val="00264444"/>
    <w:rsid w:val="002653BE"/>
    <w:rsid w:val="00265944"/>
    <w:rsid w:val="00266E0B"/>
    <w:rsid w:val="002675D0"/>
    <w:rsid w:val="00267F54"/>
    <w:rsid w:val="0027047C"/>
    <w:rsid w:val="00271B2B"/>
    <w:rsid w:val="00271B3C"/>
    <w:rsid w:val="002724D2"/>
    <w:rsid w:val="0027272B"/>
    <w:rsid w:val="00272BF4"/>
    <w:rsid w:val="0027590B"/>
    <w:rsid w:val="002761EE"/>
    <w:rsid w:val="00276204"/>
    <w:rsid w:val="00277BD8"/>
    <w:rsid w:val="00281510"/>
    <w:rsid w:val="00282428"/>
    <w:rsid w:val="0028254E"/>
    <w:rsid w:val="002841CB"/>
    <w:rsid w:val="00285969"/>
    <w:rsid w:val="00285BD8"/>
    <w:rsid w:val="002862F3"/>
    <w:rsid w:val="0028742B"/>
    <w:rsid w:val="00287C20"/>
    <w:rsid w:val="00290B4F"/>
    <w:rsid w:val="00291CBE"/>
    <w:rsid w:val="0029280D"/>
    <w:rsid w:val="00292C52"/>
    <w:rsid w:val="0029369C"/>
    <w:rsid w:val="002939C7"/>
    <w:rsid w:val="002940EC"/>
    <w:rsid w:val="002951D4"/>
    <w:rsid w:val="00296607"/>
    <w:rsid w:val="00297D0C"/>
    <w:rsid w:val="00297EF7"/>
    <w:rsid w:val="002A1F2B"/>
    <w:rsid w:val="002A3C0A"/>
    <w:rsid w:val="002A406F"/>
    <w:rsid w:val="002A5516"/>
    <w:rsid w:val="002A58CE"/>
    <w:rsid w:val="002A6C6F"/>
    <w:rsid w:val="002A773C"/>
    <w:rsid w:val="002A7D02"/>
    <w:rsid w:val="002B0D0B"/>
    <w:rsid w:val="002B20CA"/>
    <w:rsid w:val="002B214C"/>
    <w:rsid w:val="002B2CAD"/>
    <w:rsid w:val="002B3158"/>
    <w:rsid w:val="002B3302"/>
    <w:rsid w:val="002B34B2"/>
    <w:rsid w:val="002B3829"/>
    <w:rsid w:val="002B4D4D"/>
    <w:rsid w:val="002B5B1D"/>
    <w:rsid w:val="002B5C2D"/>
    <w:rsid w:val="002B5C39"/>
    <w:rsid w:val="002B78AD"/>
    <w:rsid w:val="002B7973"/>
    <w:rsid w:val="002C04CE"/>
    <w:rsid w:val="002C226F"/>
    <w:rsid w:val="002C2E19"/>
    <w:rsid w:val="002C3F82"/>
    <w:rsid w:val="002D0D02"/>
    <w:rsid w:val="002D0DD5"/>
    <w:rsid w:val="002D2B9A"/>
    <w:rsid w:val="002D488F"/>
    <w:rsid w:val="002D6024"/>
    <w:rsid w:val="002D70B5"/>
    <w:rsid w:val="002E40C3"/>
    <w:rsid w:val="002E5B84"/>
    <w:rsid w:val="002E6626"/>
    <w:rsid w:val="002E66F0"/>
    <w:rsid w:val="002E6E5B"/>
    <w:rsid w:val="002E7F41"/>
    <w:rsid w:val="002F27B2"/>
    <w:rsid w:val="002F3031"/>
    <w:rsid w:val="002F3463"/>
    <w:rsid w:val="002F617F"/>
    <w:rsid w:val="002F6423"/>
    <w:rsid w:val="002F6465"/>
    <w:rsid w:val="002F7147"/>
    <w:rsid w:val="002F799D"/>
    <w:rsid w:val="002F7BEC"/>
    <w:rsid w:val="002F7FB6"/>
    <w:rsid w:val="00300D2B"/>
    <w:rsid w:val="003010E9"/>
    <w:rsid w:val="00301AE3"/>
    <w:rsid w:val="00302A86"/>
    <w:rsid w:val="0030358A"/>
    <w:rsid w:val="00304917"/>
    <w:rsid w:val="00304C48"/>
    <w:rsid w:val="00305587"/>
    <w:rsid w:val="00305DB1"/>
    <w:rsid w:val="003071E6"/>
    <w:rsid w:val="003122F4"/>
    <w:rsid w:val="0031336D"/>
    <w:rsid w:val="00313BFC"/>
    <w:rsid w:val="003151BD"/>
    <w:rsid w:val="00315F64"/>
    <w:rsid w:val="003174F8"/>
    <w:rsid w:val="00320373"/>
    <w:rsid w:val="00321CF2"/>
    <w:rsid w:val="00321E52"/>
    <w:rsid w:val="003257A2"/>
    <w:rsid w:val="003268D5"/>
    <w:rsid w:val="00326A15"/>
    <w:rsid w:val="003276B2"/>
    <w:rsid w:val="00331FCB"/>
    <w:rsid w:val="0033336A"/>
    <w:rsid w:val="00334928"/>
    <w:rsid w:val="00334AFA"/>
    <w:rsid w:val="00335559"/>
    <w:rsid w:val="00335F4A"/>
    <w:rsid w:val="00336695"/>
    <w:rsid w:val="003370A4"/>
    <w:rsid w:val="003375E5"/>
    <w:rsid w:val="00337C12"/>
    <w:rsid w:val="003434D4"/>
    <w:rsid w:val="00344779"/>
    <w:rsid w:val="00344B3E"/>
    <w:rsid w:val="00347474"/>
    <w:rsid w:val="00347803"/>
    <w:rsid w:val="00347A17"/>
    <w:rsid w:val="003504BE"/>
    <w:rsid w:val="003509B9"/>
    <w:rsid w:val="00351933"/>
    <w:rsid w:val="00353C0F"/>
    <w:rsid w:val="00353CD8"/>
    <w:rsid w:val="00354081"/>
    <w:rsid w:val="00354108"/>
    <w:rsid w:val="003548D4"/>
    <w:rsid w:val="00354D27"/>
    <w:rsid w:val="00354FBB"/>
    <w:rsid w:val="00355035"/>
    <w:rsid w:val="00356AE4"/>
    <w:rsid w:val="00357B76"/>
    <w:rsid w:val="0036023B"/>
    <w:rsid w:val="003605A2"/>
    <w:rsid w:val="00360B6A"/>
    <w:rsid w:val="00361A59"/>
    <w:rsid w:val="0036223E"/>
    <w:rsid w:val="003622B5"/>
    <w:rsid w:val="00362312"/>
    <w:rsid w:val="003625BC"/>
    <w:rsid w:val="003642DC"/>
    <w:rsid w:val="003649BE"/>
    <w:rsid w:val="00364AFE"/>
    <w:rsid w:val="003669AD"/>
    <w:rsid w:val="00367BBF"/>
    <w:rsid w:val="00367C3E"/>
    <w:rsid w:val="00370A3E"/>
    <w:rsid w:val="00371AF9"/>
    <w:rsid w:val="00373023"/>
    <w:rsid w:val="00374714"/>
    <w:rsid w:val="00375E6C"/>
    <w:rsid w:val="0037661D"/>
    <w:rsid w:val="00376D4F"/>
    <w:rsid w:val="003773E8"/>
    <w:rsid w:val="003779FA"/>
    <w:rsid w:val="00377E51"/>
    <w:rsid w:val="00381A53"/>
    <w:rsid w:val="00381C1C"/>
    <w:rsid w:val="003839F0"/>
    <w:rsid w:val="00384150"/>
    <w:rsid w:val="00384BFD"/>
    <w:rsid w:val="003858A6"/>
    <w:rsid w:val="00385DA8"/>
    <w:rsid w:val="00391617"/>
    <w:rsid w:val="003924B9"/>
    <w:rsid w:val="00392A36"/>
    <w:rsid w:val="00392DCC"/>
    <w:rsid w:val="00393006"/>
    <w:rsid w:val="003942F7"/>
    <w:rsid w:val="00395467"/>
    <w:rsid w:val="0039593A"/>
    <w:rsid w:val="0039671B"/>
    <w:rsid w:val="003A02F8"/>
    <w:rsid w:val="003A2047"/>
    <w:rsid w:val="003A4302"/>
    <w:rsid w:val="003A545C"/>
    <w:rsid w:val="003A621C"/>
    <w:rsid w:val="003A67DF"/>
    <w:rsid w:val="003A6C80"/>
    <w:rsid w:val="003A7D68"/>
    <w:rsid w:val="003B25DE"/>
    <w:rsid w:val="003B455B"/>
    <w:rsid w:val="003B50A2"/>
    <w:rsid w:val="003B69DF"/>
    <w:rsid w:val="003B6EAF"/>
    <w:rsid w:val="003C0AA8"/>
    <w:rsid w:val="003C0E73"/>
    <w:rsid w:val="003C31D8"/>
    <w:rsid w:val="003C4721"/>
    <w:rsid w:val="003C5602"/>
    <w:rsid w:val="003C60C7"/>
    <w:rsid w:val="003C7098"/>
    <w:rsid w:val="003D2FE8"/>
    <w:rsid w:val="003D3D9B"/>
    <w:rsid w:val="003D5555"/>
    <w:rsid w:val="003D66FC"/>
    <w:rsid w:val="003D6705"/>
    <w:rsid w:val="003D69A2"/>
    <w:rsid w:val="003D6E87"/>
    <w:rsid w:val="003D744E"/>
    <w:rsid w:val="003E294D"/>
    <w:rsid w:val="003E389D"/>
    <w:rsid w:val="003E38B0"/>
    <w:rsid w:val="003E4812"/>
    <w:rsid w:val="003E4D87"/>
    <w:rsid w:val="003E6911"/>
    <w:rsid w:val="003E757E"/>
    <w:rsid w:val="003F0573"/>
    <w:rsid w:val="003F0979"/>
    <w:rsid w:val="003F20D1"/>
    <w:rsid w:val="003F2D66"/>
    <w:rsid w:val="003F396A"/>
    <w:rsid w:val="003F71F2"/>
    <w:rsid w:val="003F76B4"/>
    <w:rsid w:val="003F76CC"/>
    <w:rsid w:val="004018A8"/>
    <w:rsid w:val="004024C0"/>
    <w:rsid w:val="004040DD"/>
    <w:rsid w:val="0040494F"/>
    <w:rsid w:val="004070A3"/>
    <w:rsid w:val="004101B7"/>
    <w:rsid w:val="00410BA5"/>
    <w:rsid w:val="00410CCA"/>
    <w:rsid w:val="00414B8F"/>
    <w:rsid w:val="004159EE"/>
    <w:rsid w:val="00415C46"/>
    <w:rsid w:val="004166FF"/>
    <w:rsid w:val="00416762"/>
    <w:rsid w:val="00416CD9"/>
    <w:rsid w:val="0041719D"/>
    <w:rsid w:val="004178C6"/>
    <w:rsid w:val="00420E95"/>
    <w:rsid w:val="00421351"/>
    <w:rsid w:val="00423C83"/>
    <w:rsid w:val="00424D08"/>
    <w:rsid w:val="00426DE6"/>
    <w:rsid w:val="004276F7"/>
    <w:rsid w:val="0043033B"/>
    <w:rsid w:val="00431EAF"/>
    <w:rsid w:val="0043412C"/>
    <w:rsid w:val="004350B7"/>
    <w:rsid w:val="00436CB5"/>
    <w:rsid w:val="00436FBB"/>
    <w:rsid w:val="0043712F"/>
    <w:rsid w:val="004374F7"/>
    <w:rsid w:val="00440BA9"/>
    <w:rsid w:val="00440EB8"/>
    <w:rsid w:val="00443395"/>
    <w:rsid w:val="0044383B"/>
    <w:rsid w:val="004445AE"/>
    <w:rsid w:val="00445265"/>
    <w:rsid w:val="00445338"/>
    <w:rsid w:val="004459A3"/>
    <w:rsid w:val="00446754"/>
    <w:rsid w:val="0045014F"/>
    <w:rsid w:val="0045054F"/>
    <w:rsid w:val="00450FEE"/>
    <w:rsid w:val="00451363"/>
    <w:rsid w:val="00451BF1"/>
    <w:rsid w:val="004523A6"/>
    <w:rsid w:val="004543D9"/>
    <w:rsid w:val="00454B10"/>
    <w:rsid w:val="00454F65"/>
    <w:rsid w:val="004559CE"/>
    <w:rsid w:val="00460611"/>
    <w:rsid w:val="00460E7E"/>
    <w:rsid w:val="004622FF"/>
    <w:rsid w:val="00466245"/>
    <w:rsid w:val="0047169F"/>
    <w:rsid w:val="004716A1"/>
    <w:rsid w:val="0047210D"/>
    <w:rsid w:val="00474182"/>
    <w:rsid w:val="00474B23"/>
    <w:rsid w:val="004750C3"/>
    <w:rsid w:val="00475B7B"/>
    <w:rsid w:val="00475DFE"/>
    <w:rsid w:val="00475F4D"/>
    <w:rsid w:val="004760DA"/>
    <w:rsid w:val="00476B79"/>
    <w:rsid w:val="00477889"/>
    <w:rsid w:val="00480554"/>
    <w:rsid w:val="00480886"/>
    <w:rsid w:val="00480997"/>
    <w:rsid w:val="00482AD1"/>
    <w:rsid w:val="00483049"/>
    <w:rsid w:val="004846B7"/>
    <w:rsid w:val="00486AA2"/>
    <w:rsid w:val="00486B77"/>
    <w:rsid w:val="004870C3"/>
    <w:rsid w:val="00490FCF"/>
    <w:rsid w:val="004910D0"/>
    <w:rsid w:val="00491A6C"/>
    <w:rsid w:val="00491EBB"/>
    <w:rsid w:val="00492FCB"/>
    <w:rsid w:val="004938D1"/>
    <w:rsid w:val="00493F15"/>
    <w:rsid w:val="00493FEB"/>
    <w:rsid w:val="00494876"/>
    <w:rsid w:val="004951A8"/>
    <w:rsid w:val="00495226"/>
    <w:rsid w:val="00495623"/>
    <w:rsid w:val="00497090"/>
    <w:rsid w:val="00497CD6"/>
    <w:rsid w:val="00497FC1"/>
    <w:rsid w:val="004A03A6"/>
    <w:rsid w:val="004A077D"/>
    <w:rsid w:val="004A1C0E"/>
    <w:rsid w:val="004A2E1D"/>
    <w:rsid w:val="004A3F7D"/>
    <w:rsid w:val="004A4725"/>
    <w:rsid w:val="004A4CEB"/>
    <w:rsid w:val="004A7BC2"/>
    <w:rsid w:val="004B0B6B"/>
    <w:rsid w:val="004B1AF3"/>
    <w:rsid w:val="004B5CF5"/>
    <w:rsid w:val="004B5D88"/>
    <w:rsid w:val="004B637D"/>
    <w:rsid w:val="004B793A"/>
    <w:rsid w:val="004B7E18"/>
    <w:rsid w:val="004C0055"/>
    <w:rsid w:val="004C093E"/>
    <w:rsid w:val="004C2C1C"/>
    <w:rsid w:val="004C387A"/>
    <w:rsid w:val="004C5F0E"/>
    <w:rsid w:val="004C6E11"/>
    <w:rsid w:val="004C7B6E"/>
    <w:rsid w:val="004C7EBF"/>
    <w:rsid w:val="004D0E6B"/>
    <w:rsid w:val="004D58AE"/>
    <w:rsid w:val="004D59DD"/>
    <w:rsid w:val="004D6357"/>
    <w:rsid w:val="004D695F"/>
    <w:rsid w:val="004D6F96"/>
    <w:rsid w:val="004E1461"/>
    <w:rsid w:val="004E14F9"/>
    <w:rsid w:val="004E515C"/>
    <w:rsid w:val="004E563F"/>
    <w:rsid w:val="004E72AF"/>
    <w:rsid w:val="004E756F"/>
    <w:rsid w:val="004F1164"/>
    <w:rsid w:val="004F1DB9"/>
    <w:rsid w:val="004F291A"/>
    <w:rsid w:val="004F405D"/>
    <w:rsid w:val="004F4077"/>
    <w:rsid w:val="004F4B1F"/>
    <w:rsid w:val="004F4C98"/>
    <w:rsid w:val="004F50AE"/>
    <w:rsid w:val="0050221E"/>
    <w:rsid w:val="00502C1B"/>
    <w:rsid w:val="00504FCD"/>
    <w:rsid w:val="005100E9"/>
    <w:rsid w:val="00511BB4"/>
    <w:rsid w:val="00512D7F"/>
    <w:rsid w:val="00514FBA"/>
    <w:rsid w:val="0051534A"/>
    <w:rsid w:val="00515E82"/>
    <w:rsid w:val="00515F98"/>
    <w:rsid w:val="0051663A"/>
    <w:rsid w:val="00516785"/>
    <w:rsid w:val="005200D0"/>
    <w:rsid w:val="00521851"/>
    <w:rsid w:val="00521B43"/>
    <w:rsid w:val="00522382"/>
    <w:rsid w:val="00522968"/>
    <w:rsid w:val="0052419D"/>
    <w:rsid w:val="00524D84"/>
    <w:rsid w:val="005250C0"/>
    <w:rsid w:val="00526353"/>
    <w:rsid w:val="00526647"/>
    <w:rsid w:val="00526A63"/>
    <w:rsid w:val="00526BE3"/>
    <w:rsid w:val="00526E08"/>
    <w:rsid w:val="00527CC6"/>
    <w:rsid w:val="005301F8"/>
    <w:rsid w:val="00530CAC"/>
    <w:rsid w:val="005312FC"/>
    <w:rsid w:val="005324CE"/>
    <w:rsid w:val="00533F42"/>
    <w:rsid w:val="0053418A"/>
    <w:rsid w:val="00534742"/>
    <w:rsid w:val="00534822"/>
    <w:rsid w:val="00534B5F"/>
    <w:rsid w:val="00535674"/>
    <w:rsid w:val="0053595C"/>
    <w:rsid w:val="0053603D"/>
    <w:rsid w:val="00537D5F"/>
    <w:rsid w:val="00540348"/>
    <w:rsid w:val="00540EC1"/>
    <w:rsid w:val="00541BD3"/>
    <w:rsid w:val="00541F2D"/>
    <w:rsid w:val="005422DC"/>
    <w:rsid w:val="005434F7"/>
    <w:rsid w:val="0054513C"/>
    <w:rsid w:val="005459F3"/>
    <w:rsid w:val="00550F25"/>
    <w:rsid w:val="00551010"/>
    <w:rsid w:val="00551F98"/>
    <w:rsid w:val="0055243A"/>
    <w:rsid w:val="00552F0E"/>
    <w:rsid w:val="005535A0"/>
    <w:rsid w:val="0055391C"/>
    <w:rsid w:val="00553C4E"/>
    <w:rsid w:val="00554FD1"/>
    <w:rsid w:val="0055512F"/>
    <w:rsid w:val="005561A2"/>
    <w:rsid w:val="0055705F"/>
    <w:rsid w:val="005571FF"/>
    <w:rsid w:val="0056217A"/>
    <w:rsid w:val="0056276C"/>
    <w:rsid w:val="005627C3"/>
    <w:rsid w:val="005635B5"/>
    <w:rsid w:val="00563D8B"/>
    <w:rsid w:val="0056528E"/>
    <w:rsid w:val="00566112"/>
    <w:rsid w:val="0056783E"/>
    <w:rsid w:val="00572927"/>
    <w:rsid w:val="005761E0"/>
    <w:rsid w:val="00576FF7"/>
    <w:rsid w:val="0057732E"/>
    <w:rsid w:val="005823F0"/>
    <w:rsid w:val="00583222"/>
    <w:rsid w:val="00584B91"/>
    <w:rsid w:val="005854A7"/>
    <w:rsid w:val="0058619D"/>
    <w:rsid w:val="00586625"/>
    <w:rsid w:val="005868DE"/>
    <w:rsid w:val="0059016E"/>
    <w:rsid w:val="00590B70"/>
    <w:rsid w:val="00591C45"/>
    <w:rsid w:val="00591C48"/>
    <w:rsid w:val="0059252E"/>
    <w:rsid w:val="00597248"/>
    <w:rsid w:val="00597B6B"/>
    <w:rsid w:val="005A18EB"/>
    <w:rsid w:val="005A1DF3"/>
    <w:rsid w:val="005A2143"/>
    <w:rsid w:val="005A2470"/>
    <w:rsid w:val="005A2553"/>
    <w:rsid w:val="005A2961"/>
    <w:rsid w:val="005A2C3E"/>
    <w:rsid w:val="005A3344"/>
    <w:rsid w:val="005A334E"/>
    <w:rsid w:val="005A34C7"/>
    <w:rsid w:val="005A350D"/>
    <w:rsid w:val="005A49B7"/>
    <w:rsid w:val="005A62F3"/>
    <w:rsid w:val="005B04F1"/>
    <w:rsid w:val="005B0671"/>
    <w:rsid w:val="005B234C"/>
    <w:rsid w:val="005B2F1E"/>
    <w:rsid w:val="005B3206"/>
    <w:rsid w:val="005B50A7"/>
    <w:rsid w:val="005B73F3"/>
    <w:rsid w:val="005B7FEE"/>
    <w:rsid w:val="005C0232"/>
    <w:rsid w:val="005C09A8"/>
    <w:rsid w:val="005C4301"/>
    <w:rsid w:val="005C5BEF"/>
    <w:rsid w:val="005C62E4"/>
    <w:rsid w:val="005C7072"/>
    <w:rsid w:val="005C70E8"/>
    <w:rsid w:val="005D0AA6"/>
    <w:rsid w:val="005D12A8"/>
    <w:rsid w:val="005D1CBB"/>
    <w:rsid w:val="005D223F"/>
    <w:rsid w:val="005D5152"/>
    <w:rsid w:val="005D5266"/>
    <w:rsid w:val="005D5CF8"/>
    <w:rsid w:val="005D6086"/>
    <w:rsid w:val="005D76E2"/>
    <w:rsid w:val="005D7DAA"/>
    <w:rsid w:val="005E092D"/>
    <w:rsid w:val="005E3777"/>
    <w:rsid w:val="005E5A93"/>
    <w:rsid w:val="005F029C"/>
    <w:rsid w:val="005F15E7"/>
    <w:rsid w:val="005F275E"/>
    <w:rsid w:val="005F2BF2"/>
    <w:rsid w:val="005F46CC"/>
    <w:rsid w:val="005F4C59"/>
    <w:rsid w:val="00600DC5"/>
    <w:rsid w:val="00602C8B"/>
    <w:rsid w:val="00603F3C"/>
    <w:rsid w:val="00603FA5"/>
    <w:rsid w:val="0060441D"/>
    <w:rsid w:val="00604676"/>
    <w:rsid w:val="0060595B"/>
    <w:rsid w:val="00605AFD"/>
    <w:rsid w:val="00605BC7"/>
    <w:rsid w:val="00606191"/>
    <w:rsid w:val="00607C7C"/>
    <w:rsid w:val="00607ED5"/>
    <w:rsid w:val="006123D4"/>
    <w:rsid w:val="00612A44"/>
    <w:rsid w:val="006134F3"/>
    <w:rsid w:val="00616138"/>
    <w:rsid w:val="006168F0"/>
    <w:rsid w:val="006177AC"/>
    <w:rsid w:val="00620994"/>
    <w:rsid w:val="00620E62"/>
    <w:rsid w:val="00621F11"/>
    <w:rsid w:val="0062256E"/>
    <w:rsid w:val="00622730"/>
    <w:rsid w:val="006247DE"/>
    <w:rsid w:val="00624B92"/>
    <w:rsid w:val="00625E58"/>
    <w:rsid w:val="006260C9"/>
    <w:rsid w:val="00626ADB"/>
    <w:rsid w:val="006277F9"/>
    <w:rsid w:val="00630306"/>
    <w:rsid w:val="00631D6B"/>
    <w:rsid w:val="00632658"/>
    <w:rsid w:val="0063399D"/>
    <w:rsid w:val="00633AB5"/>
    <w:rsid w:val="0063425D"/>
    <w:rsid w:val="00635E76"/>
    <w:rsid w:val="006362E9"/>
    <w:rsid w:val="00637323"/>
    <w:rsid w:val="00637C14"/>
    <w:rsid w:val="00640A1F"/>
    <w:rsid w:val="00641801"/>
    <w:rsid w:val="006419D0"/>
    <w:rsid w:val="00641E6D"/>
    <w:rsid w:val="00642299"/>
    <w:rsid w:val="006423DF"/>
    <w:rsid w:val="00642E40"/>
    <w:rsid w:val="00642F00"/>
    <w:rsid w:val="006431C4"/>
    <w:rsid w:val="00645530"/>
    <w:rsid w:val="006502C8"/>
    <w:rsid w:val="0065238E"/>
    <w:rsid w:val="00652585"/>
    <w:rsid w:val="0065285E"/>
    <w:rsid w:val="0065329D"/>
    <w:rsid w:val="00654098"/>
    <w:rsid w:val="00654282"/>
    <w:rsid w:val="006544BC"/>
    <w:rsid w:val="00654E9C"/>
    <w:rsid w:val="00656356"/>
    <w:rsid w:val="006564C7"/>
    <w:rsid w:val="006566C8"/>
    <w:rsid w:val="00656801"/>
    <w:rsid w:val="00660831"/>
    <w:rsid w:val="00660B01"/>
    <w:rsid w:val="00660ED3"/>
    <w:rsid w:val="00661064"/>
    <w:rsid w:val="00662D85"/>
    <w:rsid w:val="00664748"/>
    <w:rsid w:val="00664A08"/>
    <w:rsid w:val="00664BC2"/>
    <w:rsid w:val="00664F3D"/>
    <w:rsid w:val="0066597F"/>
    <w:rsid w:val="0066682B"/>
    <w:rsid w:val="00666BAB"/>
    <w:rsid w:val="00666BDB"/>
    <w:rsid w:val="0066754F"/>
    <w:rsid w:val="00667D91"/>
    <w:rsid w:val="0067097E"/>
    <w:rsid w:val="006710E0"/>
    <w:rsid w:val="006736EB"/>
    <w:rsid w:val="00673A59"/>
    <w:rsid w:val="00673C7C"/>
    <w:rsid w:val="006755BF"/>
    <w:rsid w:val="00675AC3"/>
    <w:rsid w:val="00676EC3"/>
    <w:rsid w:val="00677238"/>
    <w:rsid w:val="00677A30"/>
    <w:rsid w:val="00680C9F"/>
    <w:rsid w:val="006814B0"/>
    <w:rsid w:val="0068188D"/>
    <w:rsid w:val="00681D5F"/>
    <w:rsid w:val="00681FB9"/>
    <w:rsid w:val="0068332C"/>
    <w:rsid w:val="00684AB1"/>
    <w:rsid w:val="00686165"/>
    <w:rsid w:val="00687AD5"/>
    <w:rsid w:val="00687B28"/>
    <w:rsid w:val="00687FF4"/>
    <w:rsid w:val="0069147D"/>
    <w:rsid w:val="00691CB5"/>
    <w:rsid w:val="00692509"/>
    <w:rsid w:val="006932C0"/>
    <w:rsid w:val="00693E79"/>
    <w:rsid w:val="00694C08"/>
    <w:rsid w:val="00694C10"/>
    <w:rsid w:val="0069503D"/>
    <w:rsid w:val="006958D4"/>
    <w:rsid w:val="00697C56"/>
    <w:rsid w:val="006A02CF"/>
    <w:rsid w:val="006A071C"/>
    <w:rsid w:val="006A16BF"/>
    <w:rsid w:val="006A253C"/>
    <w:rsid w:val="006A4477"/>
    <w:rsid w:val="006A5862"/>
    <w:rsid w:val="006A6EE1"/>
    <w:rsid w:val="006A70D7"/>
    <w:rsid w:val="006B241C"/>
    <w:rsid w:val="006B300A"/>
    <w:rsid w:val="006B3461"/>
    <w:rsid w:val="006B43C5"/>
    <w:rsid w:val="006B5264"/>
    <w:rsid w:val="006B5E7C"/>
    <w:rsid w:val="006B7FD9"/>
    <w:rsid w:val="006C214B"/>
    <w:rsid w:val="006C5318"/>
    <w:rsid w:val="006C645D"/>
    <w:rsid w:val="006C6927"/>
    <w:rsid w:val="006C7394"/>
    <w:rsid w:val="006D1668"/>
    <w:rsid w:val="006D1CAB"/>
    <w:rsid w:val="006D42C7"/>
    <w:rsid w:val="006D6B75"/>
    <w:rsid w:val="006D7F73"/>
    <w:rsid w:val="006E09EA"/>
    <w:rsid w:val="006E1E2A"/>
    <w:rsid w:val="006E245A"/>
    <w:rsid w:val="006E3972"/>
    <w:rsid w:val="006E3CC3"/>
    <w:rsid w:val="006E4130"/>
    <w:rsid w:val="006E530C"/>
    <w:rsid w:val="006F38C6"/>
    <w:rsid w:val="006F40AA"/>
    <w:rsid w:val="006F5274"/>
    <w:rsid w:val="006F5551"/>
    <w:rsid w:val="006F656C"/>
    <w:rsid w:val="006F69CB"/>
    <w:rsid w:val="0070105C"/>
    <w:rsid w:val="0070106F"/>
    <w:rsid w:val="00703CE5"/>
    <w:rsid w:val="007053D1"/>
    <w:rsid w:val="007060E1"/>
    <w:rsid w:val="00706E39"/>
    <w:rsid w:val="00707014"/>
    <w:rsid w:val="007076B6"/>
    <w:rsid w:val="00707F66"/>
    <w:rsid w:val="007109D0"/>
    <w:rsid w:val="0071193B"/>
    <w:rsid w:val="0071209E"/>
    <w:rsid w:val="007132BA"/>
    <w:rsid w:val="00714B29"/>
    <w:rsid w:val="00714F0C"/>
    <w:rsid w:val="00716D3F"/>
    <w:rsid w:val="00717A08"/>
    <w:rsid w:val="0072152D"/>
    <w:rsid w:val="007225D3"/>
    <w:rsid w:val="0072283A"/>
    <w:rsid w:val="00722A5C"/>
    <w:rsid w:val="00722B7D"/>
    <w:rsid w:val="00727BA2"/>
    <w:rsid w:val="007308E0"/>
    <w:rsid w:val="00730B01"/>
    <w:rsid w:val="00730D3B"/>
    <w:rsid w:val="00731088"/>
    <w:rsid w:val="007344E3"/>
    <w:rsid w:val="00734DAF"/>
    <w:rsid w:val="007402A7"/>
    <w:rsid w:val="007403EB"/>
    <w:rsid w:val="00745809"/>
    <w:rsid w:val="00745A87"/>
    <w:rsid w:val="00747947"/>
    <w:rsid w:val="00747CBB"/>
    <w:rsid w:val="007500E4"/>
    <w:rsid w:val="007517D7"/>
    <w:rsid w:val="00751B05"/>
    <w:rsid w:val="007527D9"/>
    <w:rsid w:val="007536C8"/>
    <w:rsid w:val="007538AF"/>
    <w:rsid w:val="007547AD"/>
    <w:rsid w:val="00754C43"/>
    <w:rsid w:val="00755A8D"/>
    <w:rsid w:val="00756617"/>
    <w:rsid w:val="00756AC4"/>
    <w:rsid w:val="00757677"/>
    <w:rsid w:val="00757816"/>
    <w:rsid w:val="00761313"/>
    <w:rsid w:val="00762BA3"/>
    <w:rsid w:val="00763ECB"/>
    <w:rsid w:val="0076507D"/>
    <w:rsid w:val="007660FE"/>
    <w:rsid w:val="0076790F"/>
    <w:rsid w:val="00767D7B"/>
    <w:rsid w:val="0077119B"/>
    <w:rsid w:val="00772A24"/>
    <w:rsid w:val="00772F72"/>
    <w:rsid w:val="007739DC"/>
    <w:rsid w:val="00774596"/>
    <w:rsid w:val="00774E38"/>
    <w:rsid w:val="0077592A"/>
    <w:rsid w:val="00776CCC"/>
    <w:rsid w:val="00777504"/>
    <w:rsid w:val="0077796F"/>
    <w:rsid w:val="00781702"/>
    <w:rsid w:val="007834D9"/>
    <w:rsid w:val="00783F1F"/>
    <w:rsid w:val="0078509F"/>
    <w:rsid w:val="007905D0"/>
    <w:rsid w:val="007909A0"/>
    <w:rsid w:val="00791842"/>
    <w:rsid w:val="00794499"/>
    <w:rsid w:val="00794A16"/>
    <w:rsid w:val="0079514A"/>
    <w:rsid w:val="00795BA5"/>
    <w:rsid w:val="007A0444"/>
    <w:rsid w:val="007A0F8F"/>
    <w:rsid w:val="007A142B"/>
    <w:rsid w:val="007A15BB"/>
    <w:rsid w:val="007A39BE"/>
    <w:rsid w:val="007A4359"/>
    <w:rsid w:val="007A442B"/>
    <w:rsid w:val="007A6AB6"/>
    <w:rsid w:val="007A6AD8"/>
    <w:rsid w:val="007B01AA"/>
    <w:rsid w:val="007B0ACF"/>
    <w:rsid w:val="007B143F"/>
    <w:rsid w:val="007B2B44"/>
    <w:rsid w:val="007B32D0"/>
    <w:rsid w:val="007B423D"/>
    <w:rsid w:val="007C00B7"/>
    <w:rsid w:val="007C0853"/>
    <w:rsid w:val="007C374F"/>
    <w:rsid w:val="007C377B"/>
    <w:rsid w:val="007C3AE3"/>
    <w:rsid w:val="007C40D9"/>
    <w:rsid w:val="007C469A"/>
    <w:rsid w:val="007C4881"/>
    <w:rsid w:val="007C6694"/>
    <w:rsid w:val="007C75D8"/>
    <w:rsid w:val="007C7B0E"/>
    <w:rsid w:val="007D10C8"/>
    <w:rsid w:val="007D1EC8"/>
    <w:rsid w:val="007D2B3B"/>
    <w:rsid w:val="007D3C9D"/>
    <w:rsid w:val="007D3D37"/>
    <w:rsid w:val="007D4597"/>
    <w:rsid w:val="007D5AA6"/>
    <w:rsid w:val="007D5EC6"/>
    <w:rsid w:val="007D6435"/>
    <w:rsid w:val="007E18D4"/>
    <w:rsid w:val="007E2765"/>
    <w:rsid w:val="007E2A15"/>
    <w:rsid w:val="007E2AB9"/>
    <w:rsid w:val="007E2C67"/>
    <w:rsid w:val="007E4CAA"/>
    <w:rsid w:val="007E52A4"/>
    <w:rsid w:val="007E5BE4"/>
    <w:rsid w:val="007E6456"/>
    <w:rsid w:val="007E6F9B"/>
    <w:rsid w:val="007F02A4"/>
    <w:rsid w:val="007F061C"/>
    <w:rsid w:val="007F0B23"/>
    <w:rsid w:val="007F1CD4"/>
    <w:rsid w:val="007F3F0F"/>
    <w:rsid w:val="007F6793"/>
    <w:rsid w:val="00800321"/>
    <w:rsid w:val="0080125E"/>
    <w:rsid w:val="0080260B"/>
    <w:rsid w:val="00804423"/>
    <w:rsid w:val="008045DA"/>
    <w:rsid w:val="0080539B"/>
    <w:rsid w:val="00805503"/>
    <w:rsid w:val="0080582F"/>
    <w:rsid w:val="0080591D"/>
    <w:rsid w:val="00805BD4"/>
    <w:rsid w:val="008075ED"/>
    <w:rsid w:val="00807B45"/>
    <w:rsid w:val="00810812"/>
    <w:rsid w:val="0081119B"/>
    <w:rsid w:val="00814010"/>
    <w:rsid w:val="008140ED"/>
    <w:rsid w:val="00820B6F"/>
    <w:rsid w:val="00823696"/>
    <w:rsid w:val="00823B3E"/>
    <w:rsid w:val="0082417B"/>
    <w:rsid w:val="008265B5"/>
    <w:rsid w:val="00826997"/>
    <w:rsid w:val="00827A1D"/>
    <w:rsid w:val="00830391"/>
    <w:rsid w:val="00830439"/>
    <w:rsid w:val="00830B61"/>
    <w:rsid w:val="00830CBA"/>
    <w:rsid w:val="00830E67"/>
    <w:rsid w:val="00831548"/>
    <w:rsid w:val="00831D9C"/>
    <w:rsid w:val="0083301F"/>
    <w:rsid w:val="00833B2F"/>
    <w:rsid w:val="00834243"/>
    <w:rsid w:val="008357D2"/>
    <w:rsid w:val="008361B4"/>
    <w:rsid w:val="0083649B"/>
    <w:rsid w:val="008368E2"/>
    <w:rsid w:val="0084180A"/>
    <w:rsid w:val="0084283B"/>
    <w:rsid w:val="008436F1"/>
    <w:rsid w:val="00843FC9"/>
    <w:rsid w:val="00844831"/>
    <w:rsid w:val="008456EE"/>
    <w:rsid w:val="00845BAA"/>
    <w:rsid w:val="00846C10"/>
    <w:rsid w:val="008473AA"/>
    <w:rsid w:val="00847B35"/>
    <w:rsid w:val="00847BF4"/>
    <w:rsid w:val="008519E8"/>
    <w:rsid w:val="00852DE9"/>
    <w:rsid w:val="00854A5C"/>
    <w:rsid w:val="00855618"/>
    <w:rsid w:val="00857969"/>
    <w:rsid w:val="00861F4C"/>
    <w:rsid w:val="00862434"/>
    <w:rsid w:val="0086248B"/>
    <w:rsid w:val="008636CD"/>
    <w:rsid w:val="008642A3"/>
    <w:rsid w:val="0086433B"/>
    <w:rsid w:val="008647C5"/>
    <w:rsid w:val="00864B3D"/>
    <w:rsid w:val="008656CC"/>
    <w:rsid w:val="00867D0F"/>
    <w:rsid w:val="00871599"/>
    <w:rsid w:val="00871AA3"/>
    <w:rsid w:val="0087309A"/>
    <w:rsid w:val="0087457C"/>
    <w:rsid w:val="00874B80"/>
    <w:rsid w:val="00874C5B"/>
    <w:rsid w:val="00874C80"/>
    <w:rsid w:val="0087536D"/>
    <w:rsid w:val="008757A8"/>
    <w:rsid w:val="00876C12"/>
    <w:rsid w:val="0087748F"/>
    <w:rsid w:val="00880674"/>
    <w:rsid w:val="00881F39"/>
    <w:rsid w:val="00882D25"/>
    <w:rsid w:val="00882E60"/>
    <w:rsid w:val="0088381E"/>
    <w:rsid w:val="00883827"/>
    <w:rsid w:val="0088445C"/>
    <w:rsid w:val="0088467F"/>
    <w:rsid w:val="008849B4"/>
    <w:rsid w:val="00886A5E"/>
    <w:rsid w:val="00890399"/>
    <w:rsid w:val="00891D11"/>
    <w:rsid w:val="008921AE"/>
    <w:rsid w:val="008923A8"/>
    <w:rsid w:val="008943B5"/>
    <w:rsid w:val="008943DF"/>
    <w:rsid w:val="00894F00"/>
    <w:rsid w:val="0089504A"/>
    <w:rsid w:val="00895EEC"/>
    <w:rsid w:val="008A0986"/>
    <w:rsid w:val="008A0D6F"/>
    <w:rsid w:val="008A0DF3"/>
    <w:rsid w:val="008A1187"/>
    <w:rsid w:val="008A1BAC"/>
    <w:rsid w:val="008A29F4"/>
    <w:rsid w:val="008A330A"/>
    <w:rsid w:val="008A55E2"/>
    <w:rsid w:val="008A5AD7"/>
    <w:rsid w:val="008A61C1"/>
    <w:rsid w:val="008A6641"/>
    <w:rsid w:val="008B1499"/>
    <w:rsid w:val="008B2509"/>
    <w:rsid w:val="008B3BB2"/>
    <w:rsid w:val="008B4264"/>
    <w:rsid w:val="008B479F"/>
    <w:rsid w:val="008B5718"/>
    <w:rsid w:val="008B60E3"/>
    <w:rsid w:val="008B6F13"/>
    <w:rsid w:val="008C0CC8"/>
    <w:rsid w:val="008C142A"/>
    <w:rsid w:val="008C42B8"/>
    <w:rsid w:val="008C53D4"/>
    <w:rsid w:val="008C583C"/>
    <w:rsid w:val="008C65E0"/>
    <w:rsid w:val="008C6828"/>
    <w:rsid w:val="008C68E8"/>
    <w:rsid w:val="008D0F24"/>
    <w:rsid w:val="008D1696"/>
    <w:rsid w:val="008D1705"/>
    <w:rsid w:val="008D1FCB"/>
    <w:rsid w:val="008D26ED"/>
    <w:rsid w:val="008D339F"/>
    <w:rsid w:val="008D5DFF"/>
    <w:rsid w:val="008D7F38"/>
    <w:rsid w:val="008E107F"/>
    <w:rsid w:val="008E1EB7"/>
    <w:rsid w:val="008E24D7"/>
    <w:rsid w:val="008E274F"/>
    <w:rsid w:val="008E35BD"/>
    <w:rsid w:val="008E4597"/>
    <w:rsid w:val="008E4D95"/>
    <w:rsid w:val="008E51DC"/>
    <w:rsid w:val="008E6292"/>
    <w:rsid w:val="008E7771"/>
    <w:rsid w:val="008E7C6F"/>
    <w:rsid w:val="008F02DC"/>
    <w:rsid w:val="008F053D"/>
    <w:rsid w:val="008F38BD"/>
    <w:rsid w:val="008F5B62"/>
    <w:rsid w:val="008F5F84"/>
    <w:rsid w:val="008F67C1"/>
    <w:rsid w:val="008F7317"/>
    <w:rsid w:val="008F7D50"/>
    <w:rsid w:val="009030DA"/>
    <w:rsid w:val="00903CFC"/>
    <w:rsid w:val="00904706"/>
    <w:rsid w:val="00906634"/>
    <w:rsid w:val="0090672D"/>
    <w:rsid w:val="00910E43"/>
    <w:rsid w:val="00912DA1"/>
    <w:rsid w:val="009167D1"/>
    <w:rsid w:val="009170B8"/>
    <w:rsid w:val="0092042B"/>
    <w:rsid w:val="00921D98"/>
    <w:rsid w:val="00922FED"/>
    <w:rsid w:val="00925914"/>
    <w:rsid w:val="00925AA5"/>
    <w:rsid w:val="009269A8"/>
    <w:rsid w:val="009270BC"/>
    <w:rsid w:val="00927464"/>
    <w:rsid w:val="009319E9"/>
    <w:rsid w:val="00932FA4"/>
    <w:rsid w:val="00933E05"/>
    <w:rsid w:val="009340A4"/>
    <w:rsid w:val="00934AD6"/>
    <w:rsid w:val="00934AF8"/>
    <w:rsid w:val="009355F5"/>
    <w:rsid w:val="0094019D"/>
    <w:rsid w:val="009424DB"/>
    <w:rsid w:val="00942C11"/>
    <w:rsid w:val="00944311"/>
    <w:rsid w:val="0094449F"/>
    <w:rsid w:val="00945736"/>
    <w:rsid w:val="00945B3F"/>
    <w:rsid w:val="009470DD"/>
    <w:rsid w:val="009500A2"/>
    <w:rsid w:val="009508D4"/>
    <w:rsid w:val="00950E5B"/>
    <w:rsid w:val="00952185"/>
    <w:rsid w:val="00952D9E"/>
    <w:rsid w:val="0095332E"/>
    <w:rsid w:val="00953495"/>
    <w:rsid w:val="00953726"/>
    <w:rsid w:val="009551ED"/>
    <w:rsid w:val="0095563D"/>
    <w:rsid w:val="009559BB"/>
    <w:rsid w:val="009574B1"/>
    <w:rsid w:val="009606A6"/>
    <w:rsid w:val="00960E5B"/>
    <w:rsid w:val="00961263"/>
    <w:rsid w:val="00961484"/>
    <w:rsid w:val="00965459"/>
    <w:rsid w:val="0096693A"/>
    <w:rsid w:val="0097018B"/>
    <w:rsid w:val="00972632"/>
    <w:rsid w:val="00972E62"/>
    <w:rsid w:val="0097328E"/>
    <w:rsid w:val="009732EC"/>
    <w:rsid w:val="00973F88"/>
    <w:rsid w:val="00974D79"/>
    <w:rsid w:val="00974D88"/>
    <w:rsid w:val="00976475"/>
    <w:rsid w:val="009771BD"/>
    <w:rsid w:val="00980C2F"/>
    <w:rsid w:val="00980D95"/>
    <w:rsid w:val="009810F5"/>
    <w:rsid w:val="009821CE"/>
    <w:rsid w:val="00983510"/>
    <w:rsid w:val="00983F90"/>
    <w:rsid w:val="009852CF"/>
    <w:rsid w:val="009853C3"/>
    <w:rsid w:val="00985980"/>
    <w:rsid w:val="009874FF"/>
    <w:rsid w:val="00987510"/>
    <w:rsid w:val="00987514"/>
    <w:rsid w:val="0099011C"/>
    <w:rsid w:val="00991BC7"/>
    <w:rsid w:val="00992BB7"/>
    <w:rsid w:val="009935AE"/>
    <w:rsid w:val="00993915"/>
    <w:rsid w:val="00993AF0"/>
    <w:rsid w:val="00995563"/>
    <w:rsid w:val="0099606C"/>
    <w:rsid w:val="00996985"/>
    <w:rsid w:val="00997FA1"/>
    <w:rsid w:val="009A018F"/>
    <w:rsid w:val="009A0908"/>
    <w:rsid w:val="009A14ED"/>
    <w:rsid w:val="009A159C"/>
    <w:rsid w:val="009A188D"/>
    <w:rsid w:val="009A29E2"/>
    <w:rsid w:val="009A658F"/>
    <w:rsid w:val="009A668A"/>
    <w:rsid w:val="009A7419"/>
    <w:rsid w:val="009B192F"/>
    <w:rsid w:val="009B244F"/>
    <w:rsid w:val="009B24A3"/>
    <w:rsid w:val="009B3FD1"/>
    <w:rsid w:val="009B5563"/>
    <w:rsid w:val="009B5EE9"/>
    <w:rsid w:val="009B60F9"/>
    <w:rsid w:val="009C04CE"/>
    <w:rsid w:val="009C1086"/>
    <w:rsid w:val="009C4CF3"/>
    <w:rsid w:val="009C5B75"/>
    <w:rsid w:val="009C641F"/>
    <w:rsid w:val="009C66FB"/>
    <w:rsid w:val="009C76F2"/>
    <w:rsid w:val="009D06B0"/>
    <w:rsid w:val="009D0753"/>
    <w:rsid w:val="009D0BD3"/>
    <w:rsid w:val="009D0EBC"/>
    <w:rsid w:val="009D1499"/>
    <w:rsid w:val="009D4127"/>
    <w:rsid w:val="009D42D6"/>
    <w:rsid w:val="009D4C07"/>
    <w:rsid w:val="009D5384"/>
    <w:rsid w:val="009D6A9A"/>
    <w:rsid w:val="009D6AA5"/>
    <w:rsid w:val="009D6EF4"/>
    <w:rsid w:val="009D71CA"/>
    <w:rsid w:val="009D73EA"/>
    <w:rsid w:val="009E24AA"/>
    <w:rsid w:val="009E4948"/>
    <w:rsid w:val="009E5204"/>
    <w:rsid w:val="009E52AE"/>
    <w:rsid w:val="009E6598"/>
    <w:rsid w:val="009E6EC6"/>
    <w:rsid w:val="009F0079"/>
    <w:rsid w:val="009F21A3"/>
    <w:rsid w:val="009F291C"/>
    <w:rsid w:val="009F3100"/>
    <w:rsid w:val="009F4875"/>
    <w:rsid w:val="009F4D50"/>
    <w:rsid w:val="009F5123"/>
    <w:rsid w:val="00A00922"/>
    <w:rsid w:val="00A01E37"/>
    <w:rsid w:val="00A0302A"/>
    <w:rsid w:val="00A04110"/>
    <w:rsid w:val="00A062AC"/>
    <w:rsid w:val="00A117A6"/>
    <w:rsid w:val="00A1328B"/>
    <w:rsid w:val="00A13595"/>
    <w:rsid w:val="00A16E03"/>
    <w:rsid w:val="00A22F6F"/>
    <w:rsid w:val="00A237AF"/>
    <w:rsid w:val="00A25391"/>
    <w:rsid w:val="00A25573"/>
    <w:rsid w:val="00A260CD"/>
    <w:rsid w:val="00A262A3"/>
    <w:rsid w:val="00A307AB"/>
    <w:rsid w:val="00A31DC5"/>
    <w:rsid w:val="00A32AEE"/>
    <w:rsid w:val="00A333E9"/>
    <w:rsid w:val="00A34665"/>
    <w:rsid w:val="00A365E7"/>
    <w:rsid w:val="00A36911"/>
    <w:rsid w:val="00A3749B"/>
    <w:rsid w:val="00A41A73"/>
    <w:rsid w:val="00A41C0D"/>
    <w:rsid w:val="00A428A2"/>
    <w:rsid w:val="00A4333B"/>
    <w:rsid w:val="00A45B63"/>
    <w:rsid w:val="00A463E3"/>
    <w:rsid w:val="00A46481"/>
    <w:rsid w:val="00A472CB"/>
    <w:rsid w:val="00A503A2"/>
    <w:rsid w:val="00A522D8"/>
    <w:rsid w:val="00A52429"/>
    <w:rsid w:val="00A5331F"/>
    <w:rsid w:val="00A535DD"/>
    <w:rsid w:val="00A54944"/>
    <w:rsid w:val="00A54CF5"/>
    <w:rsid w:val="00A5558D"/>
    <w:rsid w:val="00A56182"/>
    <w:rsid w:val="00A57709"/>
    <w:rsid w:val="00A57BFB"/>
    <w:rsid w:val="00A6251F"/>
    <w:rsid w:val="00A62B89"/>
    <w:rsid w:val="00A62DF1"/>
    <w:rsid w:val="00A62E42"/>
    <w:rsid w:val="00A62FB6"/>
    <w:rsid w:val="00A636DB"/>
    <w:rsid w:val="00A64A71"/>
    <w:rsid w:val="00A64AD6"/>
    <w:rsid w:val="00A64FE7"/>
    <w:rsid w:val="00A65146"/>
    <w:rsid w:val="00A66FA7"/>
    <w:rsid w:val="00A7026F"/>
    <w:rsid w:val="00A7086C"/>
    <w:rsid w:val="00A723D2"/>
    <w:rsid w:val="00A76014"/>
    <w:rsid w:val="00A77EF2"/>
    <w:rsid w:val="00A801E9"/>
    <w:rsid w:val="00A81127"/>
    <w:rsid w:val="00A82375"/>
    <w:rsid w:val="00A83CE0"/>
    <w:rsid w:val="00A84A30"/>
    <w:rsid w:val="00A858A5"/>
    <w:rsid w:val="00A863AF"/>
    <w:rsid w:val="00A867C5"/>
    <w:rsid w:val="00A87CCD"/>
    <w:rsid w:val="00A90AD1"/>
    <w:rsid w:val="00A9205A"/>
    <w:rsid w:val="00A924B8"/>
    <w:rsid w:val="00A92544"/>
    <w:rsid w:val="00A9286A"/>
    <w:rsid w:val="00A92F4B"/>
    <w:rsid w:val="00A95095"/>
    <w:rsid w:val="00A95D34"/>
    <w:rsid w:val="00A9737C"/>
    <w:rsid w:val="00A974D9"/>
    <w:rsid w:val="00A97650"/>
    <w:rsid w:val="00A97BC9"/>
    <w:rsid w:val="00A97E78"/>
    <w:rsid w:val="00AA10A8"/>
    <w:rsid w:val="00AA1571"/>
    <w:rsid w:val="00AA23E9"/>
    <w:rsid w:val="00AA2E83"/>
    <w:rsid w:val="00AA4A90"/>
    <w:rsid w:val="00AA563D"/>
    <w:rsid w:val="00AA6071"/>
    <w:rsid w:val="00AA6B26"/>
    <w:rsid w:val="00AB165F"/>
    <w:rsid w:val="00AB4FE5"/>
    <w:rsid w:val="00AB5606"/>
    <w:rsid w:val="00AB62C2"/>
    <w:rsid w:val="00AB7378"/>
    <w:rsid w:val="00AC110F"/>
    <w:rsid w:val="00AC1D21"/>
    <w:rsid w:val="00AC3908"/>
    <w:rsid w:val="00AC49F5"/>
    <w:rsid w:val="00AC49FC"/>
    <w:rsid w:val="00AC4E0E"/>
    <w:rsid w:val="00AC5DC3"/>
    <w:rsid w:val="00AD03A5"/>
    <w:rsid w:val="00AD4A0D"/>
    <w:rsid w:val="00AD6BEF"/>
    <w:rsid w:val="00AD7696"/>
    <w:rsid w:val="00AD7779"/>
    <w:rsid w:val="00AD7816"/>
    <w:rsid w:val="00AE0F31"/>
    <w:rsid w:val="00AE10FF"/>
    <w:rsid w:val="00AE1899"/>
    <w:rsid w:val="00AE2222"/>
    <w:rsid w:val="00AE28E9"/>
    <w:rsid w:val="00AE2F90"/>
    <w:rsid w:val="00AE39D9"/>
    <w:rsid w:val="00AE3AFB"/>
    <w:rsid w:val="00AE4900"/>
    <w:rsid w:val="00AE4BE2"/>
    <w:rsid w:val="00AE503E"/>
    <w:rsid w:val="00AE7B98"/>
    <w:rsid w:val="00AF0601"/>
    <w:rsid w:val="00AF08F4"/>
    <w:rsid w:val="00AF10F0"/>
    <w:rsid w:val="00AF18EC"/>
    <w:rsid w:val="00AF2E4A"/>
    <w:rsid w:val="00AF3A9C"/>
    <w:rsid w:val="00AF5174"/>
    <w:rsid w:val="00AF584F"/>
    <w:rsid w:val="00AF5EDE"/>
    <w:rsid w:val="00AF603D"/>
    <w:rsid w:val="00AF721B"/>
    <w:rsid w:val="00AF796A"/>
    <w:rsid w:val="00B00E1A"/>
    <w:rsid w:val="00B02FD8"/>
    <w:rsid w:val="00B05190"/>
    <w:rsid w:val="00B06F29"/>
    <w:rsid w:val="00B07279"/>
    <w:rsid w:val="00B10A27"/>
    <w:rsid w:val="00B10FA9"/>
    <w:rsid w:val="00B119CE"/>
    <w:rsid w:val="00B13271"/>
    <w:rsid w:val="00B13F45"/>
    <w:rsid w:val="00B14FA7"/>
    <w:rsid w:val="00B16A03"/>
    <w:rsid w:val="00B16B31"/>
    <w:rsid w:val="00B17701"/>
    <w:rsid w:val="00B219F1"/>
    <w:rsid w:val="00B21BAD"/>
    <w:rsid w:val="00B27110"/>
    <w:rsid w:val="00B27FD6"/>
    <w:rsid w:val="00B303D8"/>
    <w:rsid w:val="00B305CA"/>
    <w:rsid w:val="00B31368"/>
    <w:rsid w:val="00B3149D"/>
    <w:rsid w:val="00B31C19"/>
    <w:rsid w:val="00B34E64"/>
    <w:rsid w:val="00B34E90"/>
    <w:rsid w:val="00B353A2"/>
    <w:rsid w:val="00B35607"/>
    <w:rsid w:val="00B36493"/>
    <w:rsid w:val="00B36D92"/>
    <w:rsid w:val="00B37459"/>
    <w:rsid w:val="00B37FFD"/>
    <w:rsid w:val="00B40819"/>
    <w:rsid w:val="00B410A4"/>
    <w:rsid w:val="00B42724"/>
    <w:rsid w:val="00B431D6"/>
    <w:rsid w:val="00B43699"/>
    <w:rsid w:val="00B449C4"/>
    <w:rsid w:val="00B453A5"/>
    <w:rsid w:val="00B459AF"/>
    <w:rsid w:val="00B46C65"/>
    <w:rsid w:val="00B511BE"/>
    <w:rsid w:val="00B513AB"/>
    <w:rsid w:val="00B51732"/>
    <w:rsid w:val="00B52BB8"/>
    <w:rsid w:val="00B5321A"/>
    <w:rsid w:val="00B5400D"/>
    <w:rsid w:val="00B54508"/>
    <w:rsid w:val="00B554C0"/>
    <w:rsid w:val="00B55B19"/>
    <w:rsid w:val="00B5773C"/>
    <w:rsid w:val="00B60FFD"/>
    <w:rsid w:val="00B640BF"/>
    <w:rsid w:val="00B65E2A"/>
    <w:rsid w:val="00B66EED"/>
    <w:rsid w:val="00B679B1"/>
    <w:rsid w:val="00B727AA"/>
    <w:rsid w:val="00B746ED"/>
    <w:rsid w:val="00B76FC3"/>
    <w:rsid w:val="00B770FF"/>
    <w:rsid w:val="00B77632"/>
    <w:rsid w:val="00B80B63"/>
    <w:rsid w:val="00B82764"/>
    <w:rsid w:val="00B82EF9"/>
    <w:rsid w:val="00B85F47"/>
    <w:rsid w:val="00B87927"/>
    <w:rsid w:val="00B90665"/>
    <w:rsid w:val="00B90DB5"/>
    <w:rsid w:val="00B91308"/>
    <w:rsid w:val="00B92619"/>
    <w:rsid w:val="00B92C0E"/>
    <w:rsid w:val="00B92CB2"/>
    <w:rsid w:val="00B9393A"/>
    <w:rsid w:val="00B9474C"/>
    <w:rsid w:val="00B95DA6"/>
    <w:rsid w:val="00B961E7"/>
    <w:rsid w:val="00B9624F"/>
    <w:rsid w:val="00BA0665"/>
    <w:rsid w:val="00BA103F"/>
    <w:rsid w:val="00BA1426"/>
    <w:rsid w:val="00BA23B2"/>
    <w:rsid w:val="00BA24E9"/>
    <w:rsid w:val="00BA2A02"/>
    <w:rsid w:val="00BA31E0"/>
    <w:rsid w:val="00BA5110"/>
    <w:rsid w:val="00BA570C"/>
    <w:rsid w:val="00BA588D"/>
    <w:rsid w:val="00BA6EC4"/>
    <w:rsid w:val="00BA6F39"/>
    <w:rsid w:val="00BA7179"/>
    <w:rsid w:val="00BB11BD"/>
    <w:rsid w:val="00BB33BF"/>
    <w:rsid w:val="00BB6301"/>
    <w:rsid w:val="00BB6D6F"/>
    <w:rsid w:val="00BC00AF"/>
    <w:rsid w:val="00BC01C2"/>
    <w:rsid w:val="00BC1716"/>
    <w:rsid w:val="00BC22B4"/>
    <w:rsid w:val="00BC4B7F"/>
    <w:rsid w:val="00BC5988"/>
    <w:rsid w:val="00BC69B6"/>
    <w:rsid w:val="00BC7F71"/>
    <w:rsid w:val="00BD07DB"/>
    <w:rsid w:val="00BD38C6"/>
    <w:rsid w:val="00BD3D60"/>
    <w:rsid w:val="00BD4F61"/>
    <w:rsid w:val="00BD5650"/>
    <w:rsid w:val="00BD61F4"/>
    <w:rsid w:val="00BD649B"/>
    <w:rsid w:val="00BD64E2"/>
    <w:rsid w:val="00BE009E"/>
    <w:rsid w:val="00BE0875"/>
    <w:rsid w:val="00BE1421"/>
    <w:rsid w:val="00BE3FCE"/>
    <w:rsid w:val="00BE5EB4"/>
    <w:rsid w:val="00BE6F35"/>
    <w:rsid w:val="00BE7A16"/>
    <w:rsid w:val="00BF0340"/>
    <w:rsid w:val="00BF0780"/>
    <w:rsid w:val="00BF0CCF"/>
    <w:rsid w:val="00BF17C9"/>
    <w:rsid w:val="00BF184D"/>
    <w:rsid w:val="00BF241B"/>
    <w:rsid w:val="00BF2532"/>
    <w:rsid w:val="00BF39EA"/>
    <w:rsid w:val="00BF3E41"/>
    <w:rsid w:val="00BF789A"/>
    <w:rsid w:val="00C0011D"/>
    <w:rsid w:val="00C00A34"/>
    <w:rsid w:val="00C010BC"/>
    <w:rsid w:val="00C029D3"/>
    <w:rsid w:val="00C02FBD"/>
    <w:rsid w:val="00C035AC"/>
    <w:rsid w:val="00C0511D"/>
    <w:rsid w:val="00C05A84"/>
    <w:rsid w:val="00C06AF1"/>
    <w:rsid w:val="00C11228"/>
    <w:rsid w:val="00C12830"/>
    <w:rsid w:val="00C12B2E"/>
    <w:rsid w:val="00C131AF"/>
    <w:rsid w:val="00C13671"/>
    <w:rsid w:val="00C14691"/>
    <w:rsid w:val="00C14A83"/>
    <w:rsid w:val="00C162B2"/>
    <w:rsid w:val="00C176DF"/>
    <w:rsid w:val="00C20A06"/>
    <w:rsid w:val="00C20FB0"/>
    <w:rsid w:val="00C22AAE"/>
    <w:rsid w:val="00C23FE7"/>
    <w:rsid w:val="00C241CF"/>
    <w:rsid w:val="00C251B6"/>
    <w:rsid w:val="00C256B4"/>
    <w:rsid w:val="00C25B37"/>
    <w:rsid w:val="00C262DE"/>
    <w:rsid w:val="00C27A58"/>
    <w:rsid w:val="00C27DAD"/>
    <w:rsid w:val="00C30297"/>
    <w:rsid w:val="00C305EC"/>
    <w:rsid w:val="00C30F9B"/>
    <w:rsid w:val="00C31041"/>
    <w:rsid w:val="00C3176E"/>
    <w:rsid w:val="00C31BCD"/>
    <w:rsid w:val="00C31F48"/>
    <w:rsid w:val="00C342D0"/>
    <w:rsid w:val="00C36565"/>
    <w:rsid w:val="00C3722E"/>
    <w:rsid w:val="00C42757"/>
    <w:rsid w:val="00C4353D"/>
    <w:rsid w:val="00C438D9"/>
    <w:rsid w:val="00C46279"/>
    <w:rsid w:val="00C46780"/>
    <w:rsid w:val="00C4691C"/>
    <w:rsid w:val="00C47435"/>
    <w:rsid w:val="00C474E3"/>
    <w:rsid w:val="00C476C2"/>
    <w:rsid w:val="00C4793C"/>
    <w:rsid w:val="00C5063B"/>
    <w:rsid w:val="00C50CD5"/>
    <w:rsid w:val="00C50EE8"/>
    <w:rsid w:val="00C5486A"/>
    <w:rsid w:val="00C54E4E"/>
    <w:rsid w:val="00C56E23"/>
    <w:rsid w:val="00C6012D"/>
    <w:rsid w:val="00C60EC1"/>
    <w:rsid w:val="00C60EE4"/>
    <w:rsid w:val="00C62F96"/>
    <w:rsid w:val="00C64085"/>
    <w:rsid w:val="00C65C9B"/>
    <w:rsid w:val="00C663AB"/>
    <w:rsid w:val="00C664CF"/>
    <w:rsid w:val="00C73FAE"/>
    <w:rsid w:val="00C74337"/>
    <w:rsid w:val="00C756A6"/>
    <w:rsid w:val="00C77929"/>
    <w:rsid w:val="00C77EA5"/>
    <w:rsid w:val="00C80108"/>
    <w:rsid w:val="00C8186A"/>
    <w:rsid w:val="00C82446"/>
    <w:rsid w:val="00C82A4D"/>
    <w:rsid w:val="00C834BD"/>
    <w:rsid w:val="00C83895"/>
    <w:rsid w:val="00C84992"/>
    <w:rsid w:val="00C84A8B"/>
    <w:rsid w:val="00C85314"/>
    <w:rsid w:val="00C8649E"/>
    <w:rsid w:val="00C87862"/>
    <w:rsid w:val="00C909E8"/>
    <w:rsid w:val="00C91250"/>
    <w:rsid w:val="00C92E3E"/>
    <w:rsid w:val="00C93094"/>
    <w:rsid w:val="00C93982"/>
    <w:rsid w:val="00C9437B"/>
    <w:rsid w:val="00C95472"/>
    <w:rsid w:val="00C95736"/>
    <w:rsid w:val="00C95DBC"/>
    <w:rsid w:val="00C968E6"/>
    <w:rsid w:val="00C97A8F"/>
    <w:rsid w:val="00C97E45"/>
    <w:rsid w:val="00CA00E6"/>
    <w:rsid w:val="00CA02E6"/>
    <w:rsid w:val="00CA0ABD"/>
    <w:rsid w:val="00CA183A"/>
    <w:rsid w:val="00CA2BE3"/>
    <w:rsid w:val="00CA3066"/>
    <w:rsid w:val="00CA46D6"/>
    <w:rsid w:val="00CA4BC0"/>
    <w:rsid w:val="00CA7491"/>
    <w:rsid w:val="00CB0440"/>
    <w:rsid w:val="00CB1E14"/>
    <w:rsid w:val="00CB23C1"/>
    <w:rsid w:val="00CB358C"/>
    <w:rsid w:val="00CB391A"/>
    <w:rsid w:val="00CB3BBF"/>
    <w:rsid w:val="00CB451F"/>
    <w:rsid w:val="00CB4543"/>
    <w:rsid w:val="00CB4987"/>
    <w:rsid w:val="00CB585F"/>
    <w:rsid w:val="00CC02B0"/>
    <w:rsid w:val="00CC062A"/>
    <w:rsid w:val="00CC21BA"/>
    <w:rsid w:val="00CC386F"/>
    <w:rsid w:val="00CC3C9C"/>
    <w:rsid w:val="00CC4008"/>
    <w:rsid w:val="00CC559D"/>
    <w:rsid w:val="00CC609B"/>
    <w:rsid w:val="00CC793A"/>
    <w:rsid w:val="00CD021A"/>
    <w:rsid w:val="00CD10CF"/>
    <w:rsid w:val="00CD249D"/>
    <w:rsid w:val="00CD3851"/>
    <w:rsid w:val="00CD3A0E"/>
    <w:rsid w:val="00CD4317"/>
    <w:rsid w:val="00CD4A94"/>
    <w:rsid w:val="00CD5378"/>
    <w:rsid w:val="00CD5D54"/>
    <w:rsid w:val="00CD654B"/>
    <w:rsid w:val="00CD6BD4"/>
    <w:rsid w:val="00CD735A"/>
    <w:rsid w:val="00CE144C"/>
    <w:rsid w:val="00CE223E"/>
    <w:rsid w:val="00CE23EA"/>
    <w:rsid w:val="00CE2877"/>
    <w:rsid w:val="00CE2E69"/>
    <w:rsid w:val="00CE3707"/>
    <w:rsid w:val="00CE51EA"/>
    <w:rsid w:val="00CE5275"/>
    <w:rsid w:val="00CE5B0C"/>
    <w:rsid w:val="00CE6C7E"/>
    <w:rsid w:val="00CE74E5"/>
    <w:rsid w:val="00CF02A9"/>
    <w:rsid w:val="00CF047A"/>
    <w:rsid w:val="00CF0B33"/>
    <w:rsid w:val="00CF0C54"/>
    <w:rsid w:val="00CF0EE3"/>
    <w:rsid w:val="00CF2386"/>
    <w:rsid w:val="00CF2B2E"/>
    <w:rsid w:val="00CF3146"/>
    <w:rsid w:val="00CF32AC"/>
    <w:rsid w:val="00CF3FC5"/>
    <w:rsid w:val="00CF4A30"/>
    <w:rsid w:val="00CF72E4"/>
    <w:rsid w:val="00D000D2"/>
    <w:rsid w:val="00D007D8"/>
    <w:rsid w:val="00D01957"/>
    <w:rsid w:val="00D0272F"/>
    <w:rsid w:val="00D03789"/>
    <w:rsid w:val="00D050DF"/>
    <w:rsid w:val="00D06691"/>
    <w:rsid w:val="00D071B0"/>
    <w:rsid w:val="00D106A4"/>
    <w:rsid w:val="00D10E1F"/>
    <w:rsid w:val="00D1189D"/>
    <w:rsid w:val="00D12912"/>
    <w:rsid w:val="00D12A7C"/>
    <w:rsid w:val="00D142C9"/>
    <w:rsid w:val="00D143AB"/>
    <w:rsid w:val="00D144F4"/>
    <w:rsid w:val="00D145F5"/>
    <w:rsid w:val="00D1466B"/>
    <w:rsid w:val="00D16D16"/>
    <w:rsid w:val="00D179B1"/>
    <w:rsid w:val="00D21C44"/>
    <w:rsid w:val="00D220FE"/>
    <w:rsid w:val="00D2365F"/>
    <w:rsid w:val="00D23EE0"/>
    <w:rsid w:val="00D25047"/>
    <w:rsid w:val="00D2510F"/>
    <w:rsid w:val="00D2521C"/>
    <w:rsid w:val="00D2604F"/>
    <w:rsid w:val="00D27E56"/>
    <w:rsid w:val="00D3058D"/>
    <w:rsid w:val="00D32085"/>
    <w:rsid w:val="00D33A1C"/>
    <w:rsid w:val="00D346E6"/>
    <w:rsid w:val="00D351F9"/>
    <w:rsid w:val="00D3526B"/>
    <w:rsid w:val="00D355F0"/>
    <w:rsid w:val="00D35D87"/>
    <w:rsid w:val="00D362C8"/>
    <w:rsid w:val="00D3660F"/>
    <w:rsid w:val="00D371D1"/>
    <w:rsid w:val="00D37434"/>
    <w:rsid w:val="00D4200D"/>
    <w:rsid w:val="00D4302C"/>
    <w:rsid w:val="00D4354F"/>
    <w:rsid w:val="00D43A5B"/>
    <w:rsid w:val="00D44655"/>
    <w:rsid w:val="00D450C3"/>
    <w:rsid w:val="00D45AF8"/>
    <w:rsid w:val="00D46F0B"/>
    <w:rsid w:val="00D50B6E"/>
    <w:rsid w:val="00D51423"/>
    <w:rsid w:val="00D518E2"/>
    <w:rsid w:val="00D51A9F"/>
    <w:rsid w:val="00D51C05"/>
    <w:rsid w:val="00D52609"/>
    <w:rsid w:val="00D52C1B"/>
    <w:rsid w:val="00D5510D"/>
    <w:rsid w:val="00D5665E"/>
    <w:rsid w:val="00D56D52"/>
    <w:rsid w:val="00D571C0"/>
    <w:rsid w:val="00D57642"/>
    <w:rsid w:val="00D6058C"/>
    <w:rsid w:val="00D60794"/>
    <w:rsid w:val="00D64E28"/>
    <w:rsid w:val="00D65749"/>
    <w:rsid w:val="00D6744D"/>
    <w:rsid w:val="00D67C1A"/>
    <w:rsid w:val="00D70B03"/>
    <w:rsid w:val="00D710C6"/>
    <w:rsid w:val="00D71362"/>
    <w:rsid w:val="00D775E2"/>
    <w:rsid w:val="00D8021D"/>
    <w:rsid w:val="00D806F3"/>
    <w:rsid w:val="00D82326"/>
    <w:rsid w:val="00D8394A"/>
    <w:rsid w:val="00D83BD9"/>
    <w:rsid w:val="00D84386"/>
    <w:rsid w:val="00D84F10"/>
    <w:rsid w:val="00D85C51"/>
    <w:rsid w:val="00D85ED5"/>
    <w:rsid w:val="00D87204"/>
    <w:rsid w:val="00D87A16"/>
    <w:rsid w:val="00D90184"/>
    <w:rsid w:val="00D911ED"/>
    <w:rsid w:val="00D932EC"/>
    <w:rsid w:val="00D93EE0"/>
    <w:rsid w:val="00D940E3"/>
    <w:rsid w:val="00D95745"/>
    <w:rsid w:val="00D95FB9"/>
    <w:rsid w:val="00D96C49"/>
    <w:rsid w:val="00D973BE"/>
    <w:rsid w:val="00D974EF"/>
    <w:rsid w:val="00DA0374"/>
    <w:rsid w:val="00DA1860"/>
    <w:rsid w:val="00DA2851"/>
    <w:rsid w:val="00DA2D06"/>
    <w:rsid w:val="00DA686B"/>
    <w:rsid w:val="00DA6DC5"/>
    <w:rsid w:val="00DA763B"/>
    <w:rsid w:val="00DB1A2F"/>
    <w:rsid w:val="00DB27DB"/>
    <w:rsid w:val="00DB2B69"/>
    <w:rsid w:val="00DB4C71"/>
    <w:rsid w:val="00DB5CE6"/>
    <w:rsid w:val="00DB6302"/>
    <w:rsid w:val="00DB6537"/>
    <w:rsid w:val="00DB6A28"/>
    <w:rsid w:val="00DB6CF6"/>
    <w:rsid w:val="00DB7049"/>
    <w:rsid w:val="00DB7F09"/>
    <w:rsid w:val="00DC00B8"/>
    <w:rsid w:val="00DC00E8"/>
    <w:rsid w:val="00DC0247"/>
    <w:rsid w:val="00DC0C6C"/>
    <w:rsid w:val="00DC1855"/>
    <w:rsid w:val="00DC1B2E"/>
    <w:rsid w:val="00DC1C50"/>
    <w:rsid w:val="00DC39CE"/>
    <w:rsid w:val="00DC3AA5"/>
    <w:rsid w:val="00DC5868"/>
    <w:rsid w:val="00DC5CA7"/>
    <w:rsid w:val="00DC62F9"/>
    <w:rsid w:val="00DC63CC"/>
    <w:rsid w:val="00DC6FFA"/>
    <w:rsid w:val="00DD19AB"/>
    <w:rsid w:val="00DD1D6D"/>
    <w:rsid w:val="00DD45A8"/>
    <w:rsid w:val="00DD5288"/>
    <w:rsid w:val="00DD64D7"/>
    <w:rsid w:val="00DD6AC9"/>
    <w:rsid w:val="00DD729C"/>
    <w:rsid w:val="00DE0AD5"/>
    <w:rsid w:val="00DE0AD8"/>
    <w:rsid w:val="00DE0B5B"/>
    <w:rsid w:val="00DE0E5E"/>
    <w:rsid w:val="00DE197B"/>
    <w:rsid w:val="00DE3E5A"/>
    <w:rsid w:val="00DE3E9E"/>
    <w:rsid w:val="00DE5538"/>
    <w:rsid w:val="00DE5D42"/>
    <w:rsid w:val="00DE658B"/>
    <w:rsid w:val="00DF2A13"/>
    <w:rsid w:val="00DF3A4C"/>
    <w:rsid w:val="00DF3B63"/>
    <w:rsid w:val="00DF4059"/>
    <w:rsid w:val="00DF406F"/>
    <w:rsid w:val="00DF41E3"/>
    <w:rsid w:val="00DF6DF8"/>
    <w:rsid w:val="00DF70BB"/>
    <w:rsid w:val="00DF7D35"/>
    <w:rsid w:val="00E01238"/>
    <w:rsid w:val="00E054CF"/>
    <w:rsid w:val="00E076D8"/>
    <w:rsid w:val="00E076F8"/>
    <w:rsid w:val="00E07EFC"/>
    <w:rsid w:val="00E10546"/>
    <w:rsid w:val="00E10D39"/>
    <w:rsid w:val="00E1136B"/>
    <w:rsid w:val="00E1253B"/>
    <w:rsid w:val="00E127FC"/>
    <w:rsid w:val="00E12B04"/>
    <w:rsid w:val="00E14DDA"/>
    <w:rsid w:val="00E151B9"/>
    <w:rsid w:val="00E159BD"/>
    <w:rsid w:val="00E16A08"/>
    <w:rsid w:val="00E16A7D"/>
    <w:rsid w:val="00E177CD"/>
    <w:rsid w:val="00E17A8E"/>
    <w:rsid w:val="00E17FA1"/>
    <w:rsid w:val="00E21565"/>
    <w:rsid w:val="00E22D51"/>
    <w:rsid w:val="00E22F49"/>
    <w:rsid w:val="00E230D8"/>
    <w:rsid w:val="00E23CBB"/>
    <w:rsid w:val="00E24C81"/>
    <w:rsid w:val="00E26863"/>
    <w:rsid w:val="00E26F2B"/>
    <w:rsid w:val="00E3009A"/>
    <w:rsid w:val="00E300DA"/>
    <w:rsid w:val="00E302C6"/>
    <w:rsid w:val="00E3066C"/>
    <w:rsid w:val="00E30A72"/>
    <w:rsid w:val="00E310C5"/>
    <w:rsid w:val="00E325B4"/>
    <w:rsid w:val="00E32B1B"/>
    <w:rsid w:val="00E33B1C"/>
    <w:rsid w:val="00E35FA1"/>
    <w:rsid w:val="00E36D74"/>
    <w:rsid w:val="00E37D8E"/>
    <w:rsid w:val="00E40B0B"/>
    <w:rsid w:val="00E41BB1"/>
    <w:rsid w:val="00E421B8"/>
    <w:rsid w:val="00E44A13"/>
    <w:rsid w:val="00E46092"/>
    <w:rsid w:val="00E4688A"/>
    <w:rsid w:val="00E47748"/>
    <w:rsid w:val="00E50E7C"/>
    <w:rsid w:val="00E5148B"/>
    <w:rsid w:val="00E51545"/>
    <w:rsid w:val="00E52AD8"/>
    <w:rsid w:val="00E55326"/>
    <w:rsid w:val="00E57CF9"/>
    <w:rsid w:val="00E617C3"/>
    <w:rsid w:val="00E626DB"/>
    <w:rsid w:val="00E63ABE"/>
    <w:rsid w:val="00E65985"/>
    <w:rsid w:val="00E661F5"/>
    <w:rsid w:val="00E703F3"/>
    <w:rsid w:val="00E7063E"/>
    <w:rsid w:val="00E70A54"/>
    <w:rsid w:val="00E711D7"/>
    <w:rsid w:val="00E7197D"/>
    <w:rsid w:val="00E72089"/>
    <w:rsid w:val="00E72516"/>
    <w:rsid w:val="00E72632"/>
    <w:rsid w:val="00E72692"/>
    <w:rsid w:val="00E72AE5"/>
    <w:rsid w:val="00E7310A"/>
    <w:rsid w:val="00E73309"/>
    <w:rsid w:val="00E76920"/>
    <w:rsid w:val="00E778DD"/>
    <w:rsid w:val="00E80AC8"/>
    <w:rsid w:val="00E835B4"/>
    <w:rsid w:val="00E83AF4"/>
    <w:rsid w:val="00E84095"/>
    <w:rsid w:val="00E84563"/>
    <w:rsid w:val="00E85E11"/>
    <w:rsid w:val="00E8670A"/>
    <w:rsid w:val="00E872A8"/>
    <w:rsid w:val="00E872DB"/>
    <w:rsid w:val="00E875DC"/>
    <w:rsid w:val="00E877BD"/>
    <w:rsid w:val="00E902B0"/>
    <w:rsid w:val="00E902E8"/>
    <w:rsid w:val="00E91D17"/>
    <w:rsid w:val="00E9285D"/>
    <w:rsid w:val="00E929B1"/>
    <w:rsid w:val="00E930B1"/>
    <w:rsid w:val="00E931C7"/>
    <w:rsid w:val="00E95F74"/>
    <w:rsid w:val="00E97A61"/>
    <w:rsid w:val="00EA0144"/>
    <w:rsid w:val="00EA146D"/>
    <w:rsid w:val="00EA27FC"/>
    <w:rsid w:val="00EA444B"/>
    <w:rsid w:val="00EA4845"/>
    <w:rsid w:val="00EA4C78"/>
    <w:rsid w:val="00EA786E"/>
    <w:rsid w:val="00EB017E"/>
    <w:rsid w:val="00EB030F"/>
    <w:rsid w:val="00EB06E3"/>
    <w:rsid w:val="00EB0F92"/>
    <w:rsid w:val="00EB1111"/>
    <w:rsid w:val="00EB17FB"/>
    <w:rsid w:val="00EB1CE3"/>
    <w:rsid w:val="00EB210F"/>
    <w:rsid w:val="00EB3642"/>
    <w:rsid w:val="00EB4395"/>
    <w:rsid w:val="00EB4F53"/>
    <w:rsid w:val="00EB555F"/>
    <w:rsid w:val="00EB61BB"/>
    <w:rsid w:val="00EB6FE2"/>
    <w:rsid w:val="00EB7414"/>
    <w:rsid w:val="00EB74DE"/>
    <w:rsid w:val="00EB7C5D"/>
    <w:rsid w:val="00EC01D6"/>
    <w:rsid w:val="00EC0789"/>
    <w:rsid w:val="00EC4A0A"/>
    <w:rsid w:val="00EC5DA3"/>
    <w:rsid w:val="00EC61B0"/>
    <w:rsid w:val="00EC6B16"/>
    <w:rsid w:val="00EC7C25"/>
    <w:rsid w:val="00ED0A03"/>
    <w:rsid w:val="00ED1DA6"/>
    <w:rsid w:val="00ED346B"/>
    <w:rsid w:val="00ED74B8"/>
    <w:rsid w:val="00ED76F4"/>
    <w:rsid w:val="00ED7DC3"/>
    <w:rsid w:val="00EE139C"/>
    <w:rsid w:val="00EE2B22"/>
    <w:rsid w:val="00EE443C"/>
    <w:rsid w:val="00EE4C14"/>
    <w:rsid w:val="00EE4E84"/>
    <w:rsid w:val="00EE56F8"/>
    <w:rsid w:val="00EE65E8"/>
    <w:rsid w:val="00EE677F"/>
    <w:rsid w:val="00EE791E"/>
    <w:rsid w:val="00EE7FDE"/>
    <w:rsid w:val="00EF0534"/>
    <w:rsid w:val="00EF0AF7"/>
    <w:rsid w:val="00EF1EB4"/>
    <w:rsid w:val="00EF2FBF"/>
    <w:rsid w:val="00EF36A5"/>
    <w:rsid w:val="00EF5B37"/>
    <w:rsid w:val="00EF60E0"/>
    <w:rsid w:val="00EF6EFB"/>
    <w:rsid w:val="00EF73C3"/>
    <w:rsid w:val="00EF7C2F"/>
    <w:rsid w:val="00EF7FF2"/>
    <w:rsid w:val="00F0082D"/>
    <w:rsid w:val="00F01024"/>
    <w:rsid w:val="00F01044"/>
    <w:rsid w:val="00F01333"/>
    <w:rsid w:val="00F0149F"/>
    <w:rsid w:val="00F01871"/>
    <w:rsid w:val="00F02C62"/>
    <w:rsid w:val="00F0476F"/>
    <w:rsid w:val="00F049AC"/>
    <w:rsid w:val="00F04AFB"/>
    <w:rsid w:val="00F04B52"/>
    <w:rsid w:val="00F060E2"/>
    <w:rsid w:val="00F061EC"/>
    <w:rsid w:val="00F067FC"/>
    <w:rsid w:val="00F068FF"/>
    <w:rsid w:val="00F07C90"/>
    <w:rsid w:val="00F07E0A"/>
    <w:rsid w:val="00F106A2"/>
    <w:rsid w:val="00F10ACA"/>
    <w:rsid w:val="00F10E29"/>
    <w:rsid w:val="00F1100D"/>
    <w:rsid w:val="00F131B6"/>
    <w:rsid w:val="00F13527"/>
    <w:rsid w:val="00F143A0"/>
    <w:rsid w:val="00F1552D"/>
    <w:rsid w:val="00F16772"/>
    <w:rsid w:val="00F17CE6"/>
    <w:rsid w:val="00F20469"/>
    <w:rsid w:val="00F20C40"/>
    <w:rsid w:val="00F215BC"/>
    <w:rsid w:val="00F24812"/>
    <w:rsid w:val="00F24B69"/>
    <w:rsid w:val="00F262AF"/>
    <w:rsid w:val="00F3055B"/>
    <w:rsid w:val="00F31A1B"/>
    <w:rsid w:val="00F324D3"/>
    <w:rsid w:val="00F33CA9"/>
    <w:rsid w:val="00F35B00"/>
    <w:rsid w:val="00F35DC5"/>
    <w:rsid w:val="00F362B2"/>
    <w:rsid w:val="00F37EFD"/>
    <w:rsid w:val="00F4040C"/>
    <w:rsid w:val="00F43397"/>
    <w:rsid w:val="00F43679"/>
    <w:rsid w:val="00F44B60"/>
    <w:rsid w:val="00F4533C"/>
    <w:rsid w:val="00F5048A"/>
    <w:rsid w:val="00F5060D"/>
    <w:rsid w:val="00F51B59"/>
    <w:rsid w:val="00F53A85"/>
    <w:rsid w:val="00F5466F"/>
    <w:rsid w:val="00F57E49"/>
    <w:rsid w:val="00F61F74"/>
    <w:rsid w:val="00F6207D"/>
    <w:rsid w:val="00F6237A"/>
    <w:rsid w:val="00F63BB4"/>
    <w:rsid w:val="00F64852"/>
    <w:rsid w:val="00F65C92"/>
    <w:rsid w:val="00F65DEC"/>
    <w:rsid w:val="00F6642E"/>
    <w:rsid w:val="00F66B9F"/>
    <w:rsid w:val="00F66EF9"/>
    <w:rsid w:val="00F67F49"/>
    <w:rsid w:val="00F67FA6"/>
    <w:rsid w:val="00F71A0E"/>
    <w:rsid w:val="00F72232"/>
    <w:rsid w:val="00F72956"/>
    <w:rsid w:val="00F737A2"/>
    <w:rsid w:val="00F74879"/>
    <w:rsid w:val="00F82894"/>
    <w:rsid w:val="00F829FC"/>
    <w:rsid w:val="00F858A1"/>
    <w:rsid w:val="00F85A6D"/>
    <w:rsid w:val="00F85E0D"/>
    <w:rsid w:val="00F86CEB"/>
    <w:rsid w:val="00F91190"/>
    <w:rsid w:val="00F912DF"/>
    <w:rsid w:val="00F9157F"/>
    <w:rsid w:val="00F91E1F"/>
    <w:rsid w:val="00F92279"/>
    <w:rsid w:val="00F9266F"/>
    <w:rsid w:val="00F9384B"/>
    <w:rsid w:val="00F944CE"/>
    <w:rsid w:val="00F976B3"/>
    <w:rsid w:val="00F977C5"/>
    <w:rsid w:val="00F97B60"/>
    <w:rsid w:val="00FA0508"/>
    <w:rsid w:val="00FA0BBD"/>
    <w:rsid w:val="00FA0F5A"/>
    <w:rsid w:val="00FA4635"/>
    <w:rsid w:val="00FA5AA9"/>
    <w:rsid w:val="00FA5E76"/>
    <w:rsid w:val="00FA62FD"/>
    <w:rsid w:val="00FA6494"/>
    <w:rsid w:val="00FA745B"/>
    <w:rsid w:val="00FA7FDE"/>
    <w:rsid w:val="00FB000D"/>
    <w:rsid w:val="00FB232A"/>
    <w:rsid w:val="00FB4818"/>
    <w:rsid w:val="00FB5443"/>
    <w:rsid w:val="00FB5E9B"/>
    <w:rsid w:val="00FB61FC"/>
    <w:rsid w:val="00FB64AA"/>
    <w:rsid w:val="00FC0271"/>
    <w:rsid w:val="00FC2ED3"/>
    <w:rsid w:val="00FC2FDB"/>
    <w:rsid w:val="00FC3C8B"/>
    <w:rsid w:val="00FC4DE4"/>
    <w:rsid w:val="00FC553A"/>
    <w:rsid w:val="00FC579C"/>
    <w:rsid w:val="00FC6944"/>
    <w:rsid w:val="00FC6ADA"/>
    <w:rsid w:val="00FC7885"/>
    <w:rsid w:val="00FC7BF9"/>
    <w:rsid w:val="00FD1F31"/>
    <w:rsid w:val="00FD3634"/>
    <w:rsid w:val="00FD370D"/>
    <w:rsid w:val="00FD390D"/>
    <w:rsid w:val="00FD4F0B"/>
    <w:rsid w:val="00FD54FE"/>
    <w:rsid w:val="00FD5D44"/>
    <w:rsid w:val="00FD733C"/>
    <w:rsid w:val="00FE1089"/>
    <w:rsid w:val="00FE3F5A"/>
    <w:rsid w:val="00FE3FE1"/>
    <w:rsid w:val="00FE4AEA"/>
    <w:rsid w:val="00FE7AA8"/>
    <w:rsid w:val="00FF1854"/>
    <w:rsid w:val="00FF1970"/>
    <w:rsid w:val="00FF459E"/>
    <w:rsid w:val="00FF5336"/>
    <w:rsid w:val="00FF64A3"/>
    <w:rsid w:val="00FF6AD5"/>
    <w:rsid w:val="00FF7EBB"/>
    <w:rsid w:val="3E112B2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35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spacing w:before="0"/>
      <w:ind w:left="720" w:hanging="360"/>
    </w:pPr>
  </w:style>
  <w:style w:type="paragraph" w:customStyle="1" w:styleId="BoxBullet">
    <w:name w:val="Box Bullet"/>
    <w:basedOn w:val="Normal"/>
    <w:rsid w:val="000E0B74"/>
    <w:pPr>
      <w:numPr>
        <w:numId w:val="2"/>
      </w:numPr>
      <w:spacing w:before="0"/>
    </w:pPr>
  </w:style>
  <w:style w:type="paragraph" w:customStyle="1" w:styleId="BoxDash">
    <w:name w:val="Box Dash"/>
    <w:basedOn w:val="Normal"/>
    <w:rsid w:val="000E0B74"/>
    <w:pPr>
      <w:tabs>
        <w:tab w:val="num" w:pos="567"/>
      </w:tabs>
      <w:spacing w:before="0"/>
      <w:ind w:left="568" w:hanging="284"/>
    </w:pPr>
  </w:style>
  <w:style w:type="paragraph" w:customStyle="1" w:styleId="BoxDoubleDot">
    <w:name w:val="Box Double Dot"/>
    <w:basedOn w:val="Normal"/>
    <w:rsid w:val="000E0B74"/>
    <w:pPr>
      <w:numPr>
        <w:ilvl w:val="2"/>
        <w:numId w:val="2"/>
      </w:numPr>
      <w:spacing w:before="0"/>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ody,b,b + line,b1,level 1,Bullet + line"/>
    <w:basedOn w:val="Normal"/>
    <w:link w:val="BulletChar"/>
    <w:qFormat/>
    <w:rsid w:val="000E0B74"/>
    <w:pPr>
      <w:numPr>
        <w:numId w:val="1"/>
      </w:numPr>
      <w:spacing w:before="0"/>
    </w:pPr>
  </w:style>
  <w:style w:type="paragraph" w:customStyle="1" w:styleId="ChartandTableFootnoteAlpha">
    <w:name w:val="Chart and Table Footnote Alpha"/>
    <w:rsid w:val="002D488F"/>
    <w:p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link w:val="DashChar"/>
    <w:qFormat/>
    <w:rsid w:val="000E0B74"/>
    <w:pPr>
      <w:numPr>
        <w:ilvl w:val="1"/>
        <w:numId w:val="1"/>
      </w:numPr>
      <w:spacing w:before="0"/>
      <w:ind w:left="568"/>
    </w:pPr>
  </w:style>
  <w:style w:type="paragraph" w:customStyle="1" w:styleId="DoubleDot">
    <w:name w:val="Double Dot"/>
    <w:basedOn w:val="Normal"/>
    <w:qFormat/>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10"/>
      </w:numPr>
      <w:tabs>
        <w:tab w:val="clear" w:pos="720"/>
        <w:tab w:val="left" w:pos="851"/>
      </w:tabs>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styleId="CommentReference">
    <w:name w:val="annotation reference"/>
    <w:basedOn w:val="DefaultParagraphFont"/>
    <w:unhideWhenUsed/>
    <w:rsid w:val="00A00922"/>
    <w:rPr>
      <w:sz w:val="16"/>
      <w:szCs w:val="16"/>
    </w:rPr>
  </w:style>
  <w:style w:type="paragraph" w:styleId="CommentText">
    <w:name w:val="annotation text"/>
    <w:basedOn w:val="Normal"/>
    <w:link w:val="CommentTextChar"/>
    <w:uiPriority w:val="99"/>
    <w:unhideWhenUsed/>
    <w:rsid w:val="00A00922"/>
    <w:rPr>
      <w:sz w:val="20"/>
    </w:rPr>
  </w:style>
  <w:style w:type="character" w:customStyle="1" w:styleId="CommentTextChar">
    <w:name w:val="Comment Text Char"/>
    <w:basedOn w:val="DefaultParagraphFont"/>
    <w:link w:val="CommentText"/>
    <w:uiPriority w:val="99"/>
    <w:rsid w:val="00A00922"/>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A00922"/>
    <w:rPr>
      <w:b/>
      <w:bCs/>
    </w:rPr>
  </w:style>
  <w:style w:type="character" w:customStyle="1" w:styleId="CommentSubjectChar">
    <w:name w:val="Comment Subject Char"/>
    <w:basedOn w:val="CommentTextChar"/>
    <w:link w:val="CommentSubject"/>
    <w:uiPriority w:val="99"/>
    <w:semiHidden/>
    <w:rsid w:val="00A00922"/>
    <w:rPr>
      <w:rFonts w:ascii="Calibri" w:eastAsia="Times New Roman" w:hAnsi="Calibri" w:cs="Times New Roman"/>
      <w:b/>
      <w:bCs/>
      <w:sz w:val="20"/>
      <w:szCs w:val="20"/>
      <w:lang w:eastAsia="en-AU"/>
    </w:rPr>
  </w:style>
  <w:style w:type="character" w:customStyle="1" w:styleId="normaltextrun">
    <w:name w:val="normaltextrun"/>
    <w:basedOn w:val="DefaultParagraphFont"/>
    <w:rsid w:val="00DD64D7"/>
  </w:style>
  <w:style w:type="paragraph" w:styleId="Revision">
    <w:name w:val="Revision"/>
    <w:hidden/>
    <w:uiPriority w:val="99"/>
    <w:semiHidden/>
    <w:rsid w:val="00C00A34"/>
    <w:pPr>
      <w:spacing w:after="0" w:line="240" w:lineRule="auto"/>
    </w:pPr>
    <w:rPr>
      <w:rFonts w:ascii="Calibri" w:eastAsia="Times New Roman" w:hAnsi="Calibri" w:cs="Times New Roman"/>
      <w:szCs w:val="20"/>
      <w:lang w:eastAsia="en-AU"/>
    </w:rPr>
  </w:style>
  <w:style w:type="character" w:customStyle="1" w:styleId="BulletChar">
    <w:name w:val="Bullet Char"/>
    <w:aliases w:val="b + line Char Char,b Char,b Char Char,Body Char,Bullet + line Char,Bullets Char,L Char,List Paragraph Char,List Paragraph1 Char,List Paragraph11 Char,List Paragraph2 Char,Number Char,Recommendation Char,b + line Char,b1 Char,level 1 Char"/>
    <w:basedOn w:val="CommentTextChar"/>
    <w:link w:val="Bullet"/>
    <w:qFormat/>
    <w:rsid w:val="00C95472"/>
    <w:rPr>
      <w:rFonts w:ascii="Calibri" w:eastAsia="Times New Roman" w:hAnsi="Calibri" w:cs="Times New Roman"/>
      <w:sz w:val="20"/>
      <w:szCs w:val="20"/>
      <w:lang w:eastAsia="en-AU"/>
    </w:rPr>
  </w:style>
  <w:style w:type="character" w:customStyle="1" w:styleId="UnresolvedMention1">
    <w:name w:val="Unresolved Mention1"/>
    <w:basedOn w:val="DefaultParagraphFont"/>
    <w:uiPriority w:val="99"/>
    <w:semiHidden/>
    <w:unhideWhenUsed/>
    <w:rsid w:val="00292C52"/>
    <w:rPr>
      <w:color w:val="605E5C"/>
      <w:shd w:val="clear" w:color="auto" w:fill="E1DFDD"/>
    </w:rPr>
  </w:style>
  <w:style w:type="paragraph" w:styleId="ListParagraph">
    <w:name w:val="List Paragraph"/>
    <w:basedOn w:val="Normal"/>
    <w:uiPriority w:val="34"/>
    <w:qFormat/>
    <w:rsid w:val="00292C52"/>
    <w:pPr>
      <w:ind w:left="720"/>
      <w:contextualSpacing/>
    </w:pPr>
  </w:style>
  <w:style w:type="paragraph" w:customStyle="1" w:styleId="TableTextCab">
    <w:name w:val="Table Text Cab"/>
    <w:basedOn w:val="BodyText"/>
    <w:uiPriority w:val="8"/>
    <w:qFormat/>
    <w:rsid w:val="00A81127"/>
    <w:pPr>
      <w:spacing w:before="50" w:after="50"/>
    </w:pPr>
    <w:rPr>
      <w:rFonts w:ascii="Arial" w:eastAsiaTheme="minorHAnsi" w:hAnsi="Arial" w:cstheme="minorBidi"/>
      <w:sz w:val="20"/>
      <w:lang w:eastAsia="en-US"/>
    </w:rPr>
  </w:style>
  <w:style w:type="paragraph" w:customStyle="1" w:styleId="CABBackGround">
    <w:name w:val="CABBackGround"/>
    <w:basedOn w:val="Normal"/>
    <w:link w:val="CABBackGroundChar1"/>
    <w:rsid w:val="00A81127"/>
    <w:pPr>
      <w:spacing w:before="0" w:after="0" w:line="360" w:lineRule="auto"/>
    </w:pPr>
    <w:rPr>
      <w:rFonts w:ascii="Times New Roman" w:hAnsi="Times New Roman"/>
      <w:sz w:val="24"/>
    </w:rPr>
  </w:style>
  <w:style w:type="character" w:customStyle="1" w:styleId="CABBackGroundChar1">
    <w:name w:val="CABBackGround Char1"/>
    <w:basedOn w:val="DefaultParagraphFont"/>
    <w:link w:val="CABBackGround"/>
    <w:rsid w:val="00A81127"/>
    <w:rPr>
      <w:rFonts w:ascii="Times New Roman" w:eastAsia="Times New Roman" w:hAnsi="Times New Roman" w:cs="Times New Roman"/>
      <w:sz w:val="24"/>
      <w:szCs w:val="20"/>
      <w:lang w:eastAsia="en-AU"/>
    </w:rPr>
  </w:style>
  <w:style w:type="paragraph" w:styleId="BodyText">
    <w:name w:val="Body Text"/>
    <w:basedOn w:val="Normal"/>
    <w:link w:val="BodyTextChar"/>
    <w:uiPriority w:val="99"/>
    <w:semiHidden/>
    <w:unhideWhenUsed/>
    <w:rsid w:val="00A81127"/>
  </w:style>
  <w:style w:type="character" w:customStyle="1" w:styleId="BodyTextChar">
    <w:name w:val="Body Text Char"/>
    <w:basedOn w:val="DefaultParagraphFont"/>
    <w:link w:val="BodyText"/>
    <w:uiPriority w:val="99"/>
    <w:semiHidden/>
    <w:rsid w:val="00A81127"/>
    <w:rPr>
      <w:rFonts w:ascii="Calibri" w:eastAsia="Times New Roman" w:hAnsi="Calibri" w:cs="Times New Roman"/>
      <w:szCs w:val="20"/>
      <w:lang w:eastAsia="en-AU"/>
    </w:rPr>
  </w:style>
  <w:style w:type="table" w:styleId="GridTable4-Accent2">
    <w:name w:val="Grid Table 4 Accent 2"/>
    <w:basedOn w:val="TableNormal"/>
    <w:uiPriority w:val="49"/>
    <w:rsid w:val="00A81127"/>
    <w:pPr>
      <w:spacing w:after="0" w:line="240" w:lineRule="auto"/>
    </w:pPr>
    <w:tblPr>
      <w:tblStyleRowBandSize w:val="1"/>
      <w:tblStyleColBandSize w:val="1"/>
      <w:tblBorders>
        <w:top w:val="single" w:sz="4" w:space="0" w:color="82A7D5" w:themeColor="accent2" w:themeTint="99"/>
        <w:left w:val="single" w:sz="4" w:space="0" w:color="82A7D5" w:themeColor="accent2" w:themeTint="99"/>
        <w:bottom w:val="single" w:sz="4" w:space="0" w:color="82A7D5" w:themeColor="accent2" w:themeTint="99"/>
        <w:right w:val="single" w:sz="4" w:space="0" w:color="82A7D5" w:themeColor="accent2" w:themeTint="99"/>
        <w:insideH w:val="single" w:sz="4" w:space="0" w:color="82A7D5" w:themeColor="accent2" w:themeTint="99"/>
        <w:insideV w:val="single" w:sz="4" w:space="0" w:color="82A7D5" w:themeColor="accent2" w:themeTint="99"/>
      </w:tblBorders>
    </w:tblPr>
    <w:tblStylePr w:type="firstRow">
      <w:rPr>
        <w:b/>
        <w:bCs/>
        <w:color w:val="FFFFFF" w:themeColor="background1"/>
      </w:rPr>
      <w:tblPr/>
      <w:tcPr>
        <w:tcBorders>
          <w:top w:val="single" w:sz="4" w:space="0" w:color="3A6FAF" w:themeColor="accent2"/>
          <w:left w:val="single" w:sz="4" w:space="0" w:color="3A6FAF" w:themeColor="accent2"/>
          <w:bottom w:val="single" w:sz="4" w:space="0" w:color="3A6FAF" w:themeColor="accent2"/>
          <w:right w:val="single" w:sz="4" w:space="0" w:color="3A6FAF" w:themeColor="accent2"/>
          <w:insideH w:val="nil"/>
          <w:insideV w:val="nil"/>
        </w:tcBorders>
        <w:shd w:val="clear" w:color="auto" w:fill="3A6FAF" w:themeFill="accent2"/>
      </w:tcPr>
    </w:tblStylePr>
    <w:tblStylePr w:type="lastRow">
      <w:rPr>
        <w:b/>
        <w:bCs/>
      </w:rPr>
      <w:tblPr/>
      <w:tcPr>
        <w:tcBorders>
          <w:top w:val="double" w:sz="4" w:space="0" w:color="3A6FAF" w:themeColor="accent2"/>
        </w:tcBorders>
      </w:tcPr>
    </w:tblStylePr>
    <w:tblStylePr w:type="firstCol">
      <w:rPr>
        <w:b/>
        <w:bCs/>
      </w:rPr>
    </w:tblStylePr>
    <w:tblStylePr w:type="lastCol">
      <w:rPr>
        <w:b/>
        <w:bCs/>
      </w:rPr>
    </w:tblStylePr>
    <w:tblStylePr w:type="band1Vert">
      <w:tblPr/>
      <w:tcPr>
        <w:shd w:val="clear" w:color="auto" w:fill="D5E1F1" w:themeFill="accent2" w:themeFillTint="33"/>
      </w:tcPr>
    </w:tblStylePr>
    <w:tblStylePr w:type="band1Horz">
      <w:tblPr/>
      <w:tcPr>
        <w:shd w:val="clear" w:color="auto" w:fill="D5E1F1" w:themeFill="accent2" w:themeFillTint="33"/>
      </w:tcPr>
    </w:tblStylePr>
  </w:style>
  <w:style w:type="character" w:styleId="FollowedHyperlink">
    <w:name w:val="FollowedHyperlink"/>
    <w:basedOn w:val="DefaultParagraphFont"/>
    <w:uiPriority w:val="99"/>
    <w:semiHidden/>
    <w:unhideWhenUsed/>
    <w:rsid w:val="00602C8B"/>
    <w:rPr>
      <w:color w:val="E61E26" w:themeColor="followedHyperlink"/>
      <w:u w:val="single"/>
    </w:rPr>
  </w:style>
  <w:style w:type="paragraph" w:customStyle="1" w:styleId="Default">
    <w:name w:val="Default"/>
    <w:rsid w:val="004A03A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ashChar">
    <w:name w:val="Dash Char"/>
    <w:basedOn w:val="DefaultParagraphFont"/>
    <w:link w:val="Dash"/>
    <w:rsid w:val="00B219F1"/>
    <w:rPr>
      <w:rFonts w:ascii="Calibri" w:eastAsia="Times New Roman" w:hAnsi="Calibri" w:cs="Times New Roman"/>
      <w:szCs w:val="20"/>
      <w:lang w:eastAsia="en-AU"/>
    </w:rPr>
  </w:style>
  <w:style w:type="character" w:customStyle="1" w:styleId="UnresolvedMention2">
    <w:name w:val="Unresolved Mention2"/>
    <w:basedOn w:val="DefaultParagraphFont"/>
    <w:uiPriority w:val="99"/>
    <w:semiHidden/>
    <w:unhideWhenUsed/>
    <w:rsid w:val="00326A15"/>
    <w:rPr>
      <w:color w:val="605E5C"/>
      <w:shd w:val="clear" w:color="auto" w:fill="E1DFDD"/>
    </w:rPr>
  </w:style>
  <w:style w:type="paragraph" w:customStyle="1" w:styleId="DLMSecurityHeader">
    <w:name w:val="DLM Security Header"/>
    <w:link w:val="DLMSecurityHeaderChar"/>
    <w:rsid w:val="00B219F1"/>
    <w:pPr>
      <w:spacing w:before="60" w:after="120" w:line="240" w:lineRule="auto"/>
      <w:jc w:val="center"/>
    </w:pPr>
    <w:rPr>
      <w:rFonts w:ascii="Times New Roman" w:eastAsia="Times New Roman" w:hAnsi="Times New Roman" w:cs="Times New Roman"/>
      <w:b/>
      <w:caps/>
      <w:color w:val="002C47" w:themeColor="accent1"/>
      <w:sz w:val="20"/>
      <w:szCs w:val="28"/>
      <w:lang w:eastAsia="en-AU"/>
    </w:rPr>
  </w:style>
  <w:style w:type="character" w:customStyle="1" w:styleId="DLMSecurityHeaderChar">
    <w:name w:val="DLM Security Header Char"/>
    <w:basedOn w:val="HeaderChar"/>
    <w:link w:val="DLMSecurityHeader"/>
    <w:rsid w:val="00B219F1"/>
    <w:rPr>
      <w:rFonts w:ascii="Times New Roman" w:eastAsia="Times New Roman" w:hAnsi="Times New Roman" w:cs="Times New Roman"/>
      <w:b/>
      <w:caps/>
      <w:color w:val="002C47" w:themeColor="accent1"/>
      <w:sz w:val="20"/>
      <w:szCs w:val="28"/>
      <w:lang w:eastAsia="en-AU"/>
    </w:rPr>
  </w:style>
  <w:style w:type="character" w:styleId="Emphasis">
    <w:name w:val="Emphasis"/>
    <w:basedOn w:val="DefaultParagraphFont"/>
    <w:uiPriority w:val="20"/>
    <w:qFormat/>
    <w:rsid w:val="00756AC4"/>
    <w:rPr>
      <w:i/>
      <w:iCs/>
    </w:rPr>
  </w:style>
  <w:style w:type="character" w:styleId="IntenseEmphasis">
    <w:name w:val="Intense Emphasis"/>
    <w:basedOn w:val="DefaultParagraphFont"/>
    <w:uiPriority w:val="21"/>
    <w:qFormat/>
    <w:rsid w:val="00756AC4"/>
    <w:rPr>
      <w:i/>
      <w:iCs/>
      <w:color w:val="002C47" w:themeColor="accent1"/>
    </w:rPr>
  </w:style>
  <w:style w:type="character" w:customStyle="1" w:styleId="UnresolvedMention3">
    <w:name w:val="Unresolved Mention3"/>
    <w:basedOn w:val="DefaultParagraphFont"/>
    <w:uiPriority w:val="99"/>
    <w:semiHidden/>
    <w:unhideWhenUsed/>
    <w:rsid w:val="00630306"/>
    <w:rPr>
      <w:color w:val="605E5C"/>
      <w:shd w:val="clear" w:color="auto" w:fill="E1DFDD"/>
    </w:rPr>
  </w:style>
  <w:style w:type="character" w:styleId="UnresolvedMention">
    <w:name w:val="Unresolved Mention"/>
    <w:basedOn w:val="DefaultParagraphFont"/>
    <w:uiPriority w:val="99"/>
    <w:semiHidden/>
    <w:unhideWhenUsed/>
    <w:rsid w:val="008647C5"/>
    <w:rPr>
      <w:color w:val="605E5C"/>
      <w:shd w:val="clear" w:color="auto" w:fill="E1DFDD"/>
    </w:rPr>
  </w:style>
  <w:style w:type="paragraph" w:styleId="NormalWeb">
    <w:name w:val="Normal (Web)"/>
    <w:basedOn w:val="Normal"/>
    <w:uiPriority w:val="99"/>
    <w:semiHidden/>
    <w:unhideWhenUsed/>
    <w:rsid w:val="00591C48"/>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7974615">
      <w:bodyDiv w:val="1"/>
      <w:marLeft w:val="0"/>
      <w:marRight w:val="0"/>
      <w:marTop w:val="0"/>
      <w:marBottom w:val="0"/>
      <w:divBdr>
        <w:top w:val="none" w:sz="0" w:space="0" w:color="auto"/>
        <w:left w:val="none" w:sz="0" w:space="0" w:color="auto"/>
        <w:bottom w:val="none" w:sz="0" w:space="0" w:color="auto"/>
        <w:right w:val="none" w:sz="0" w:space="0" w:color="auto"/>
      </w:divBdr>
    </w:div>
    <w:div w:id="1219823586">
      <w:bodyDiv w:val="1"/>
      <w:marLeft w:val="0"/>
      <w:marRight w:val="0"/>
      <w:marTop w:val="0"/>
      <w:marBottom w:val="0"/>
      <w:divBdr>
        <w:top w:val="none" w:sz="0" w:space="0" w:color="auto"/>
        <w:left w:val="none" w:sz="0" w:space="0" w:color="auto"/>
        <w:bottom w:val="none" w:sz="0" w:space="0" w:color="auto"/>
        <w:right w:val="none" w:sz="0" w:space="0" w:color="auto"/>
      </w:divBdr>
    </w:div>
    <w:div w:id="145439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mc.gov.au/government/commonwealth-coat-arm" TargetMode="Externa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creativecommons.org/licenses/by/3.0/au/deed.en" TargetMode="External"/><Relationship Id="rId17" Type="http://schemas.openxmlformats.org/officeDocument/2006/relationships/footer" Target="footer1.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hyperlink" Target="http://creativecommons.org/licenses/by/3.0/au/legalcode"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creativecommons.org/licenses/by/3.0/au/deed.en" TargetMode="External"/><Relationship Id="rId14" Type="http://schemas.openxmlformats.org/officeDocument/2006/relationships/hyperlink" Target="mailto:media@treasury.gov.au" TargetMode="Externa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8AF191AA542417AAD3CE1AD351E649B"/>
        <w:category>
          <w:name w:val="General"/>
          <w:gallery w:val="placeholder"/>
        </w:category>
        <w:types>
          <w:type w:val="bbPlcHdr"/>
        </w:types>
        <w:behaviors>
          <w:behavior w:val="content"/>
        </w:behaviors>
        <w:guid w:val="{534C47C8-7FF5-466D-ACCF-60304F38000F}"/>
      </w:docPartPr>
      <w:docPartBody>
        <w:p w:rsidR="00E87A0F" w:rsidRDefault="00DA089D">
          <w:pPr>
            <w:pStyle w:val="38AF191AA542417AAD3CE1AD351E649B"/>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89D"/>
    <w:rsid w:val="000325EF"/>
    <w:rsid w:val="000553EA"/>
    <w:rsid w:val="00086E5E"/>
    <w:rsid w:val="00112838"/>
    <w:rsid w:val="001A6228"/>
    <w:rsid w:val="001F2019"/>
    <w:rsid w:val="00202F55"/>
    <w:rsid w:val="00207B5A"/>
    <w:rsid w:val="002E047D"/>
    <w:rsid w:val="002E6D42"/>
    <w:rsid w:val="0030559F"/>
    <w:rsid w:val="003234AC"/>
    <w:rsid w:val="00497270"/>
    <w:rsid w:val="004C4F2F"/>
    <w:rsid w:val="004E7AD7"/>
    <w:rsid w:val="00555DEC"/>
    <w:rsid w:val="005C5F37"/>
    <w:rsid w:val="005D1449"/>
    <w:rsid w:val="006A1DA6"/>
    <w:rsid w:val="0071548F"/>
    <w:rsid w:val="00717139"/>
    <w:rsid w:val="00737EA5"/>
    <w:rsid w:val="00761F9B"/>
    <w:rsid w:val="007A5B9F"/>
    <w:rsid w:val="007A75F0"/>
    <w:rsid w:val="007C1D5A"/>
    <w:rsid w:val="007F189D"/>
    <w:rsid w:val="00943193"/>
    <w:rsid w:val="00953285"/>
    <w:rsid w:val="009F5D90"/>
    <w:rsid w:val="00A62E98"/>
    <w:rsid w:val="00BB368C"/>
    <w:rsid w:val="00CF1E16"/>
    <w:rsid w:val="00D64BCD"/>
    <w:rsid w:val="00DA089D"/>
    <w:rsid w:val="00E54C46"/>
    <w:rsid w:val="00E54EBF"/>
    <w:rsid w:val="00E55486"/>
    <w:rsid w:val="00E85E52"/>
    <w:rsid w:val="00E87A0F"/>
    <w:rsid w:val="00E95434"/>
    <w:rsid w:val="00EA333E"/>
    <w:rsid w:val="00EE47E5"/>
    <w:rsid w:val="00F3199B"/>
    <w:rsid w:val="00FE76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8AF191AA542417AAD3CE1AD351E649B">
    <w:name w:val="38AF191AA542417AAD3CE1AD351E64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19A02-B4F4-4183-8422-C3E3128DD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2677</Words>
  <Characters>14563</Characters>
  <Application>Microsoft Office Word</Application>
  <DocSecurity>0</DocSecurity>
  <Lines>323</Lines>
  <Paragraphs>93</Paragraphs>
  <ScaleCrop>false</ScaleCrop>
  <HeadingPairs>
    <vt:vector size="2" baseType="variant">
      <vt:variant>
        <vt:lpstr>Title</vt:lpstr>
      </vt:variant>
      <vt:variant>
        <vt:i4>1</vt:i4>
      </vt:variant>
    </vt:vector>
  </HeadingPairs>
  <TitlesOfParts>
    <vt:vector size="1" baseType="lpstr">
      <vt:lpstr>2021 Triennial Review of the Terrorism Insurance Act 2003</vt:lpstr>
    </vt:vector>
  </TitlesOfParts>
  <Company/>
  <LinksUpToDate>false</LinksUpToDate>
  <CharactersWithSpaces>17147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Triennial Review of the Terrorism Insurance Act 2003</dc:title>
  <dc:subject/>
  <dc:creator/>
  <cp:keywords/>
  <dc:description/>
  <cp:lastModifiedBy/>
  <cp:revision>1</cp:revision>
  <dcterms:created xsi:type="dcterms:W3CDTF">2021-06-30T02:56:00Z</dcterms:created>
  <dcterms:modified xsi:type="dcterms:W3CDTF">2021-06-30T03:10:00Z</dcterms:modified>
  <cp:category/>
</cp:coreProperties>
</file>