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99175" w14:textId="7FCB8937" w:rsidR="006F4933" w:rsidRPr="00C4352D" w:rsidRDefault="00C4352D" w:rsidP="00C4352D">
      <w:pPr>
        <w:pStyle w:val="Heading1"/>
        <w:rPr>
          <w:rFonts w:ascii="Arial Bold" w:hAnsi="Arial Bold"/>
          <w:smallCaps w:val="0"/>
          <w:sz w:val="36"/>
        </w:rPr>
      </w:pPr>
      <w:r w:rsidRPr="00C4352D">
        <w:rPr>
          <w:rFonts w:ascii="Arial Bold" w:hAnsi="Arial Bold"/>
          <w:smallCaps w:val="0"/>
          <w:sz w:val="36"/>
        </w:rPr>
        <w:t xml:space="preserve">Portfolio </w:t>
      </w:r>
      <w:r w:rsidR="00A609B4" w:rsidRPr="00C4352D">
        <w:rPr>
          <w:rFonts w:ascii="Arial Bold" w:hAnsi="Arial Bold"/>
          <w:smallCaps w:val="0"/>
          <w:sz w:val="36"/>
        </w:rPr>
        <w:t>G</w:t>
      </w:r>
      <w:r w:rsidR="006F4933" w:rsidRPr="00C4352D">
        <w:rPr>
          <w:rFonts w:ascii="Arial Bold" w:hAnsi="Arial Bold"/>
          <w:smallCaps w:val="0"/>
          <w:sz w:val="36"/>
        </w:rPr>
        <w:t>lossary</w:t>
      </w:r>
    </w:p>
    <w:tbl>
      <w:tblPr>
        <w:tblW w:w="0" w:type="auto"/>
        <w:tblInd w:w="108" w:type="dxa"/>
        <w:tblLook w:val="01E0" w:firstRow="1" w:lastRow="1" w:firstColumn="1" w:lastColumn="1" w:noHBand="0" w:noVBand="0"/>
      </w:tblPr>
      <w:tblGrid>
        <w:gridCol w:w="2781"/>
        <w:gridCol w:w="4615"/>
        <w:gridCol w:w="206"/>
      </w:tblGrid>
      <w:tr w:rsidR="006F4933" w14:paraId="41899178" w14:textId="77777777" w:rsidTr="00986CB7">
        <w:trPr>
          <w:tblHeader/>
        </w:trPr>
        <w:tc>
          <w:tcPr>
            <w:tcW w:w="2840" w:type="dxa"/>
            <w:hideMark/>
          </w:tcPr>
          <w:p w14:paraId="41899176" w14:textId="77777777" w:rsidR="006F4933" w:rsidRDefault="006F4933">
            <w:pPr>
              <w:pStyle w:val="TableColumnHeadingLeft"/>
              <w:spacing w:line="256" w:lineRule="auto"/>
              <w:rPr>
                <w:lang w:eastAsia="en-US"/>
              </w:rPr>
            </w:pPr>
            <w:r>
              <w:rPr>
                <w:lang w:eastAsia="en-US"/>
              </w:rPr>
              <w:t>Term</w:t>
            </w:r>
          </w:p>
        </w:tc>
        <w:tc>
          <w:tcPr>
            <w:tcW w:w="4978" w:type="dxa"/>
            <w:gridSpan w:val="2"/>
            <w:hideMark/>
          </w:tcPr>
          <w:p w14:paraId="41899177" w14:textId="77777777" w:rsidR="006F4933" w:rsidRDefault="006F4933">
            <w:pPr>
              <w:pStyle w:val="TableColumnHeadingLeft"/>
              <w:spacing w:line="256" w:lineRule="auto"/>
              <w:rPr>
                <w:lang w:eastAsia="en-US"/>
              </w:rPr>
            </w:pPr>
            <w:r>
              <w:rPr>
                <w:lang w:eastAsia="en-US"/>
              </w:rPr>
              <w:t>Meaning</w:t>
            </w:r>
          </w:p>
        </w:tc>
      </w:tr>
      <w:tr w:rsidR="006F4933" w14:paraId="4189917B" w14:textId="77777777" w:rsidTr="00986CB7">
        <w:tc>
          <w:tcPr>
            <w:tcW w:w="2840" w:type="dxa"/>
            <w:hideMark/>
          </w:tcPr>
          <w:p w14:paraId="4189917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Accumulated depreciation</w:t>
            </w:r>
          </w:p>
        </w:tc>
        <w:tc>
          <w:tcPr>
            <w:tcW w:w="4978" w:type="dxa"/>
            <w:gridSpan w:val="2"/>
            <w:hideMark/>
          </w:tcPr>
          <w:p w14:paraId="4189917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aggregate depreciation recorded for a particular depreciating asset.</w:t>
            </w:r>
          </w:p>
        </w:tc>
      </w:tr>
      <w:tr w:rsidR="00EE5210" w14:paraId="4189917E" w14:textId="77777777" w:rsidTr="00986CB7">
        <w:tc>
          <w:tcPr>
            <w:tcW w:w="2840" w:type="dxa"/>
            <w:hideMark/>
          </w:tcPr>
          <w:p w14:paraId="4189917C"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Administered item</w:t>
            </w:r>
          </w:p>
        </w:tc>
        <w:tc>
          <w:tcPr>
            <w:tcW w:w="4978" w:type="dxa"/>
            <w:gridSpan w:val="2"/>
            <w:hideMark/>
          </w:tcPr>
          <w:p w14:paraId="4189917D"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that consists 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w:t>
            </w:r>
            <w:proofErr w:type="gramStart"/>
            <w:r>
              <w:rPr>
                <w:rFonts w:ascii="Book Antiqua" w:hAnsi="Book Antiqua"/>
                <w:sz w:val="20"/>
                <w:lang w:eastAsia="en-US"/>
              </w:rPr>
              <w:t>program in its own right</w:t>
            </w:r>
            <w:proofErr w:type="gramEnd"/>
            <w:r>
              <w:rPr>
                <w:rFonts w:ascii="Book Antiqua" w:hAnsi="Book Antiqua"/>
                <w:sz w:val="20"/>
                <w:lang w:eastAsia="en-US"/>
              </w:rPr>
              <w:t>.</w:t>
            </w:r>
          </w:p>
        </w:tc>
      </w:tr>
      <w:tr w:rsidR="00EE5210" w14:paraId="41899181" w14:textId="77777777" w:rsidTr="00986CB7">
        <w:tc>
          <w:tcPr>
            <w:tcW w:w="2840" w:type="dxa"/>
            <w:hideMark/>
          </w:tcPr>
          <w:p w14:paraId="4189917F"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Appropriation</w:t>
            </w:r>
          </w:p>
        </w:tc>
        <w:tc>
          <w:tcPr>
            <w:tcW w:w="4978" w:type="dxa"/>
            <w:gridSpan w:val="2"/>
            <w:hideMark/>
          </w:tcPr>
          <w:p w14:paraId="41899180" w14:textId="0C646E4E" w:rsidR="00C12B75" w:rsidRDefault="00C12B75" w:rsidP="00C12B75">
            <w:pPr>
              <w:pStyle w:val="TableTextLeft"/>
              <w:spacing w:line="256" w:lineRule="auto"/>
              <w:rPr>
                <w:rFonts w:ascii="Book Antiqua" w:hAnsi="Book Antiqua"/>
                <w:sz w:val="20"/>
                <w:lang w:eastAsia="en-US"/>
              </w:rPr>
            </w:pPr>
            <w:r w:rsidRPr="00C12B75">
              <w:rPr>
                <w:rFonts w:ascii="Book Antiqua" w:hAnsi="Book Antiqua"/>
                <w:sz w:val="20"/>
                <w:lang w:eastAsia="en-US"/>
              </w:rPr>
              <w:t>A law of the Australian Parliament that provides authority for Commonwealth entities to spend money from the CRF for a particular purpose. Entities may not spend money without an appropriation authorising that expenditure and, where necessary, other legislation authorising the specified purpose.</w:t>
            </w:r>
          </w:p>
        </w:tc>
      </w:tr>
      <w:tr w:rsidR="00EE5210" w14:paraId="41899184" w14:textId="77777777" w:rsidTr="00986CB7">
        <w:tc>
          <w:tcPr>
            <w:tcW w:w="2840" w:type="dxa"/>
            <w:hideMark/>
          </w:tcPr>
          <w:p w14:paraId="41899182"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1)</w:t>
            </w:r>
          </w:p>
        </w:tc>
        <w:tc>
          <w:tcPr>
            <w:tcW w:w="4978" w:type="dxa"/>
            <w:gridSpan w:val="2"/>
            <w:hideMark/>
          </w:tcPr>
          <w:p w14:paraId="41899183"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the ordinary annual services of government. Bills proposing appropriations for ordinary annual services cannot be amended by the Senate under Section 53 of the Australian Constitution. Once the Bill is passed by Parliament and given Royal Assent, it becomes Appropriation Act (No. 1).</w:t>
            </w:r>
          </w:p>
        </w:tc>
      </w:tr>
      <w:tr w:rsidR="00EE5210" w14:paraId="41899187" w14:textId="77777777" w:rsidTr="00986CB7">
        <w:tc>
          <w:tcPr>
            <w:tcW w:w="2840" w:type="dxa"/>
            <w:hideMark/>
          </w:tcPr>
          <w:p w14:paraId="41899185"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2)</w:t>
            </w:r>
          </w:p>
        </w:tc>
        <w:tc>
          <w:tcPr>
            <w:tcW w:w="4978" w:type="dxa"/>
            <w:gridSpan w:val="2"/>
            <w:hideMark/>
          </w:tcPr>
          <w:p w14:paraId="504E61A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purposes other than the ordinary annual services of government. Under existing arrangements between the two Houses of Parliament, this Bill includes appropriation funding of administered expenses for new outcomes, for payments to the states and territories, and for departmental or administered capital. Funding for extensions to existing programs can be included in Appropriation Bill (No. 1). Once the Bill is passed by Parliament and given Royal Assent, it becomes Appropriation Act (No. 2).</w:t>
            </w:r>
          </w:p>
          <w:p w14:paraId="41899186" w14:textId="282FE419" w:rsidR="00B05A07" w:rsidRPr="00B05A07" w:rsidRDefault="00B05A07" w:rsidP="00B05A07">
            <w:pPr>
              <w:ind w:firstLine="720"/>
              <w:rPr>
                <w:lang w:eastAsia="en-US"/>
              </w:rPr>
            </w:pPr>
          </w:p>
        </w:tc>
      </w:tr>
      <w:tr w:rsidR="00EE5210" w14:paraId="4189918A" w14:textId="77777777" w:rsidTr="00986CB7">
        <w:tc>
          <w:tcPr>
            <w:tcW w:w="2840" w:type="dxa"/>
            <w:hideMark/>
          </w:tcPr>
          <w:p w14:paraId="41899188" w14:textId="77777777"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Appropriation Bills (Nos. 3 and 4)</w:t>
            </w:r>
          </w:p>
        </w:tc>
        <w:tc>
          <w:tcPr>
            <w:tcW w:w="4978" w:type="dxa"/>
            <w:gridSpan w:val="2"/>
            <w:hideMark/>
          </w:tcPr>
          <w:p w14:paraId="41899189" w14:textId="77777777"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If an amount provided in Appropriation Acts (Nos. 1 or 2) is not enough to meet approved expenditure in a financial year, supplementary appropriation may be sought in Appropriation Bills (Nos. 3 or 4). Once these Bills are passed by Parliament and given royal assent, they become the Appropriation Acts (Nos. 3 and 4). They are also commonly referred to as the Additional Estimates Bills.</w:t>
            </w:r>
          </w:p>
        </w:tc>
      </w:tr>
      <w:tr w:rsidR="00EE5210" w14:paraId="4189918D" w14:textId="77777777" w:rsidTr="00986CB7">
        <w:tc>
          <w:tcPr>
            <w:tcW w:w="2840" w:type="dxa"/>
            <w:hideMark/>
          </w:tcPr>
          <w:p w14:paraId="4189918B"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Assets</w:t>
            </w:r>
          </w:p>
        </w:tc>
        <w:tc>
          <w:tcPr>
            <w:tcW w:w="4978" w:type="dxa"/>
            <w:gridSpan w:val="2"/>
            <w:hideMark/>
          </w:tcPr>
          <w:p w14:paraId="4189918C"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Future economic benefits controlled by an entity </w:t>
            </w:r>
            <w:proofErr w:type="gramStart"/>
            <w:r>
              <w:rPr>
                <w:rFonts w:ascii="Book Antiqua" w:hAnsi="Book Antiqua"/>
                <w:sz w:val="20"/>
                <w:lang w:eastAsia="en-US"/>
              </w:rPr>
              <w:t>as a result of</w:t>
            </w:r>
            <w:proofErr w:type="gramEnd"/>
            <w:r>
              <w:rPr>
                <w:rFonts w:ascii="Book Antiqua" w:hAnsi="Book Antiqua"/>
                <w:sz w:val="20"/>
                <w:lang w:eastAsia="en-US"/>
              </w:rPr>
              <w:t xml:space="preserve"> past transactions or other past events.</w:t>
            </w:r>
          </w:p>
        </w:tc>
      </w:tr>
      <w:tr w:rsidR="00EE5210" w14:paraId="41899190" w14:textId="77777777" w:rsidTr="00986CB7">
        <w:tc>
          <w:tcPr>
            <w:tcW w:w="2840" w:type="dxa"/>
            <w:hideMark/>
          </w:tcPr>
          <w:p w14:paraId="4189918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Average staffing level</w:t>
            </w:r>
          </w:p>
        </w:tc>
        <w:tc>
          <w:tcPr>
            <w:tcW w:w="4978" w:type="dxa"/>
            <w:gridSpan w:val="2"/>
            <w:hideMark/>
          </w:tcPr>
          <w:p w14:paraId="4189918F"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The average number of employees receiving salary/wages (or compensation in lieu of salary/wages) over a financial year, with adjustments for casual and part-</w:t>
            </w:r>
            <w:r w:rsidR="006844A0">
              <w:rPr>
                <w:rFonts w:ascii="Book Antiqua" w:hAnsi="Book Antiqua"/>
                <w:sz w:val="20"/>
                <w:lang w:eastAsia="en-US"/>
              </w:rPr>
              <w:t>time employees to show the full</w:t>
            </w:r>
            <w:r w:rsidR="006844A0">
              <w:rPr>
                <w:rFonts w:ascii="Book Antiqua" w:hAnsi="Book Antiqua"/>
                <w:sz w:val="20"/>
                <w:lang w:eastAsia="en-US"/>
              </w:rPr>
              <w:noBreakHyphen/>
            </w:r>
            <w:r>
              <w:rPr>
                <w:rFonts w:ascii="Book Antiqua" w:hAnsi="Book Antiqua"/>
                <w:sz w:val="20"/>
                <w:lang w:eastAsia="en-US"/>
              </w:rPr>
              <w:t>time equivalent.</w:t>
            </w:r>
          </w:p>
        </w:tc>
      </w:tr>
      <w:tr w:rsidR="00EE5210" w14:paraId="41899193" w14:textId="77777777" w:rsidTr="00986CB7">
        <w:tc>
          <w:tcPr>
            <w:tcW w:w="2840" w:type="dxa"/>
            <w:hideMark/>
          </w:tcPr>
          <w:p w14:paraId="41899191"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1 (BP1)</w:t>
            </w:r>
          </w:p>
        </w:tc>
        <w:tc>
          <w:tcPr>
            <w:tcW w:w="4978" w:type="dxa"/>
            <w:gridSpan w:val="2"/>
            <w:hideMark/>
          </w:tcPr>
          <w:p w14:paraId="41899192"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Strategy and Outlook. Provides information and analysis on whole-of-government expenditure and revenue.</w:t>
            </w:r>
          </w:p>
        </w:tc>
      </w:tr>
      <w:tr w:rsidR="00EE5210" w14:paraId="41899196" w14:textId="77777777" w:rsidTr="00986CB7">
        <w:tc>
          <w:tcPr>
            <w:tcW w:w="2840" w:type="dxa"/>
            <w:hideMark/>
          </w:tcPr>
          <w:p w14:paraId="41899194"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2 (BP2)</w:t>
            </w:r>
          </w:p>
        </w:tc>
        <w:tc>
          <w:tcPr>
            <w:tcW w:w="4978" w:type="dxa"/>
            <w:gridSpan w:val="2"/>
            <w:hideMark/>
          </w:tcPr>
          <w:p w14:paraId="41899195"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Measures. Provides a description of each budget measure by portfolio.</w:t>
            </w:r>
          </w:p>
        </w:tc>
      </w:tr>
      <w:tr w:rsidR="00EE5210" w14:paraId="41899199" w14:textId="77777777" w:rsidTr="00986CB7">
        <w:tc>
          <w:tcPr>
            <w:tcW w:w="2840" w:type="dxa"/>
            <w:hideMark/>
          </w:tcPr>
          <w:p w14:paraId="41899197"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3 (BP3)</w:t>
            </w:r>
          </w:p>
        </w:tc>
        <w:tc>
          <w:tcPr>
            <w:tcW w:w="4978" w:type="dxa"/>
            <w:gridSpan w:val="2"/>
            <w:hideMark/>
          </w:tcPr>
          <w:p w14:paraId="41899198"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Australia’s Federal Relations. Provides information and analysis on federal funding provided to the states and territories.</w:t>
            </w:r>
          </w:p>
        </w:tc>
      </w:tr>
      <w:tr w:rsidR="00EE5210" w14:paraId="4189919C" w14:textId="77777777" w:rsidTr="00986CB7">
        <w:tc>
          <w:tcPr>
            <w:tcW w:w="2840" w:type="dxa"/>
            <w:hideMark/>
          </w:tcPr>
          <w:p w14:paraId="4189919A"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4 (BP4)</w:t>
            </w:r>
          </w:p>
        </w:tc>
        <w:tc>
          <w:tcPr>
            <w:tcW w:w="4978" w:type="dxa"/>
            <w:gridSpan w:val="2"/>
            <w:hideMark/>
          </w:tcPr>
          <w:p w14:paraId="4189919B"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Entity Resourcing. Details total resourcing available to agencies.</w:t>
            </w:r>
          </w:p>
        </w:tc>
      </w:tr>
      <w:tr w:rsidR="00EE5210" w14:paraId="4189919F" w14:textId="77777777" w:rsidTr="00986CB7">
        <w:tc>
          <w:tcPr>
            <w:tcW w:w="2840" w:type="dxa"/>
            <w:hideMark/>
          </w:tcPr>
          <w:p w14:paraId="4189919D" w14:textId="693BE15C" w:rsidR="00EE5210" w:rsidRDefault="00C12B75" w:rsidP="00986CB7">
            <w:pPr>
              <w:pStyle w:val="TableTextLeft"/>
              <w:spacing w:line="256" w:lineRule="auto"/>
              <w:rPr>
                <w:rFonts w:ascii="Book Antiqua" w:hAnsi="Book Antiqua"/>
                <w:sz w:val="20"/>
                <w:lang w:eastAsia="en-US"/>
              </w:rPr>
            </w:pPr>
            <w:r>
              <w:rPr>
                <w:rFonts w:ascii="Book Antiqua" w:hAnsi="Book Antiqua"/>
                <w:sz w:val="20"/>
                <w:lang w:eastAsia="en-US"/>
              </w:rPr>
              <w:t>Capital e</w:t>
            </w:r>
            <w:r w:rsidR="00EE5210">
              <w:rPr>
                <w:rFonts w:ascii="Book Antiqua" w:hAnsi="Book Antiqua"/>
                <w:sz w:val="20"/>
                <w:lang w:eastAsia="en-US"/>
              </w:rPr>
              <w:t>xpenditure</w:t>
            </w:r>
          </w:p>
        </w:tc>
        <w:tc>
          <w:tcPr>
            <w:tcW w:w="4978" w:type="dxa"/>
            <w:gridSpan w:val="2"/>
            <w:hideMark/>
          </w:tcPr>
          <w:p w14:paraId="4189919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Expenditure by an entity on capital projects; for example, purchasing a building.</w:t>
            </w:r>
          </w:p>
        </w:tc>
      </w:tr>
      <w:tr w:rsidR="00EE5210" w14:paraId="418991A2" w14:textId="77777777" w:rsidTr="00986CB7">
        <w:tc>
          <w:tcPr>
            <w:tcW w:w="2840" w:type="dxa"/>
            <w:hideMark/>
          </w:tcPr>
          <w:p w14:paraId="418991A0" w14:textId="4753D403" w:rsidR="00EE5210" w:rsidRDefault="00EE5210" w:rsidP="00C12B75">
            <w:pPr>
              <w:pStyle w:val="TableTextLeft"/>
              <w:keepNext/>
              <w:keepLines/>
              <w:spacing w:line="257" w:lineRule="auto"/>
              <w:rPr>
                <w:rFonts w:ascii="Book Antiqua" w:hAnsi="Book Antiqua"/>
                <w:sz w:val="20"/>
                <w:lang w:eastAsia="en-US"/>
              </w:rPr>
            </w:pPr>
            <w:r>
              <w:rPr>
                <w:rFonts w:ascii="Book Antiqua" w:hAnsi="Book Antiqua"/>
                <w:sz w:val="20"/>
                <w:lang w:eastAsia="en-US"/>
              </w:rPr>
              <w:t xml:space="preserve">Consolidated Revenue Fund </w:t>
            </w:r>
          </w:p>
        </w:tc>
        <w:tc>
          <w:tcPr>
            <w:tcW w:w="4978" w:type="dxa"/>
            <w:gridSpan w:val="2"/>
            <w:hideMark/>
          </w:tcPr>
          <w:p w14:paraId="418991A1" w14:textId="77777777"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 xml:space="preserve">The principal operating fund from which money is drawn to pay for the activities of the Government. Section 81 of the Australian Constitution provides that all revenue </w:t>
            </w:r>
            <w:proofErr w:type="gramStart"/>
            <w:r>
              <w:rPr>
                <w:rFonts w:ascii="Book Antiqua" w:hAnsi="Book Antiqua"/>
                <w:sz w:val="20"/>
                <w:lang w:eastAsia="en-US"/>
              </w:rPr>
              <w:t>raised</w:t>
            </w:r>
            <w:proofErr w:type="gramEnd"/>
            <w:r>
              <w:rPr>
                <w:rFonts w:ascii="Book Antiqua" w:hAnsi="Book Antiqua"/>
                <w:sz w:val="20"/>
                <w:lang w:eastAsia="en-US"/>
              </w:rPr>
              <w:t xml:space="preserve"> or monies received by the Executive Government forms one consolidated revenue fund from which appropriations are made for the purposes of the Australian Government.</w:t>
            </w:r>
          </w:p>
        </w:tc>
      </w:tr>
      <w:tr w:rsidR="006F4933" w14:paraId="418991A5" w14:textId="77777777" w:rsidTr="00986CB7">
        <w:trPr>
          <w:gridAfter w:val="1"/>
          <w:wAfter w:w="216" w:type="dxa"/>
        </w:trPr>
        <w:tc>
          <w:tcPr>
            <w:tcW w:w="2840" w:type="dxa"/>
            <w:hideMark/>
          </w:tcPr>
          <w:p w14:paraId="418991A3"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Departmental Capital Budget (DCB)</w:t>
            </w:r>
          </w:p>
        </w:tc>
        <w:tc>
          <w:tcPr>
            <w:tcW w:w="4762" w:type="dxa"/>
            <w:hideMark/>
          </w:tcPr>
          <w:p w14:paraId="418991A4"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6F4933" w14:paraId="418991A8" w14:textId="77777777" w:rsidTr="00986CB7">
        <w:trPr>
          <w:gridAfter w:val="1"/>
          <w:wAfter w:w="216" w:type="dxa"/>
        </w:trPr>
        <w:tc>
          <w:tcPr>
            <w:tcW w:w="2840" w:type="dxa"/>
            <w:hideMark/>
          </w:tcPr>
          <w:p w14:paraId="418991A6"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Departmental item</w:t>
            </w:r>
          </w:p>
        </w:tc>
        <w:tc>
          <w:tcPr>
            <w:tcW w:w="4762" w:type="dxa"/>
            <w:hideMark/>
          </w:tcPr>
          <w:p w14:paraId="418991A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Resources (assets, liabilities, </w:t>
            </w:r>
            <w:proofErr w:type="gramStart"/>
            <w:r>
              <w:rPr>
                <w:rFonts w:ascii="Book Antiqua" w:hAnsi="Book Antiqua"/>
                <w:sz w:val="20"/>
                <w:lang w:eastAsia="en-US"/>
              </w:rPr>
              <w:t>revenues</w:t>
            </w:r>
            <w:proofErr w:type="gramEnd"/>
            <w:r>
              <w:rPr>
                <w:rFonts w:ascii="Book Antiqua" w:hAnsi="Book Antiqua"/>
                <w:sz w:val="20"/>
                <w:lang w:eastAsia="en-US"/>
              </w:rPr>
              <w:t xml:space="preserve"> and expenses) that entity chief executive officers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6F4933" w14:paraId="418991AB" w14:textId="77777777" w:rsidTr="00986CB7">
        <w:trPr>
          <w:gridAfter w:val="1"/>
          <w:wAfter w:w="216" w:type="dxa"/>
        </w:trPr>
        <w:tc>
          <w:tcPr>
            <w:tcW w:w="2840" w:type="dxa"/>
            <w:hideMark/>
          </w:tcPr>
          <w:p w14:paraId="418991A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Depreciation</w:t>
            </w:r>
          </w:p>
        </w:tc>
        <w:tc>
          <w:tcPr>
            <w:tcW w:w="4762" w:type="dxa"/>
            <w:hideMark/>
          </w:tcPr>
          <w:p w14:paraId="418991A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Apportionment of an asset’s capital value as an expense over its estimated useful life to take account of normal usage, obsolescence, or the passage of time.</w:t>
            </w:r>
          </w:p>
        </w:tc>
      </w:tr>
      <w:tr w:rsidR="006F4933" w14:paraId="418991AE" w14:textId="77777777" w:rsidTr="00986CB7">
        <w:trPr>
          <w:gridAfter w:val="1"/>
          <w:wAfter w:w="216" w:type="dxa"/>
        </w:trPr>
        <w:tc>
          <w:tcPr>
            <w:tcW w:w="2840" w:type="dxa"/>
            <w:hideMark/>
          </w:tcPr>
          <w:p w14:paraId="418991AC"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Equity or net assets</w:t>
            </w:r>
          </w:p>
        </w:tc>
        <w:tc>
          <w:tcPr>
            <w:tcW w:w="4762" w:type="dxa"/>
            <w:hideMark/>
          </w:tcPr>
          <w:p w14:paraId="418991A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Residual interest in the assets of an entity after deduction of its liabilities.</w:t>
            </w:r>
          </w:p>
        </w:tc>
      </w:tr>
      <w:tr w:rsidR="006F4933" w14:paraId="418991B1" w14:textId="77777777" w:rsidTr="00986CB7">
        <w:trPr>
          <w:gridAfter w:val="1"/>
          <w:wAfter w:w="216" w:type="dxa"/>
        </w:trPr>
        <w:tc>
          <w:tcPr>
            <w:tcW w:w="2840" w:type="dxa"/>
            <w:hideMark/>
          </w:tcPr>
          <w:p w14:paraId="418991AF"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Entity</w:t>
            </w:r>
          </w:p>
        </w:tc>
        <w:tc>
          <w:tcPr>
            <w:tcW w:w="4762" w:type="dxa"/>
            <w:hideMark/>
          </w:tcPr>
          <w:p w14:paraId="418991B0"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 department, agency, company or authority under the </w:t>
            </w:r>
            <w:r>
              <w:rPr>
                <w:rFonts w:ascii="Book Antiqua" w:hAnsi="Book Antiqua"/>
                <w:i/>
                <w:sz w:val="20"/>
                <w:lang w:eastAsia="en-US"/>
              </w:rPr>
              <w:t>Public Governance, Performance and Accountability Act 2013</w:t>
            </w:r>
            <w:r>
              <w:rPr>
                <w:rFonts w:ascii="Book Antiqua" w:hAnsi="Book Antiqua"/>
                <w:sz w:val="20"/>
                <w:lang w:eastAsia="en-US"/>
              </w:rPr>
              <w:t xml:space="preserve"> (PGPA Act) or any other Commonwealth statutory authority.</w:t>
            </w:r>
          </w:p>
        </w:tc>
      </w:tr>
      <w:tr w:rsidR="006F4933" w14:paraId="418991B4" w14:textId="77777777" w:rsidTr="00986CB7">
        <w:trPr>
          <w:gridAfter w:val="1"/>
          <w:wAfter w:w="216" w:type="dxa"/>
        </w:trPr>
        <w:tc>
          <w:tcPr>
            <w:tcW w:w="2840" w:type="dxa"/>
            <w:hideMark/>
          </w:tcPr>
          <w:p w14:paraId="418991B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Estimated actual expenses</w:t>
            </w:r>
          </w:p>
        </w:tc>
        <w:tc>
          <w:tcPr>
            <w:tcW w:w="4762" w:type="dxa"/>
            <w:hideMark/>
          </w:tcPr>
          <w:p w14:paraId="418991B3"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Details of the current year’s estimated final figures as included in the Budget documentation. As the Budget is released in May each year, but the financial year does not close off until 30 June, the current year numbers that are used for comparison with Budget amounts can only be estimates.</w:t>
            </w:r>
          </w:p>
        </w:tc>
      </w:tr>
      <w:tr w:rsidR="006F4933" w14:paraId="418991B7" w14:textId="77777777" w:rsidTr="00986CB7">
        <w:trPr>
          <w:gridAfter w:val="1"/>
          <w:wAfter w:w="216" w:type="dxa"/>
        </w:trPr>
        <w:tc>
          <w:tcPr>
            <w:tcW w:w="2840" w:type="dxa"/>
            <w:hideMark/>
          </w:tcPr>
          <w:p w14:paraId="418991B5"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Expenditure</w:t>
            </w:r>
          </w:p>
        </w:tc>
        <w:tc>
          <w:tcPr>
            <w:tcW w:w="4762" w:type="dxa"/>
            <w:hideMark/>
          </w:tcPr>
          <w:p w14:paraId="418991B6"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Spending money from the Consolidated Revenue Fund or a notional payment to a PGPA entity.</w:t>
            </w:r>
          </w:p>
        </w:tc>
      </w:tr>
      <w:tr w:rsidR="006F4933" w14:paraId="418991BA" w14:textId="77777777" w:rsidTr="00986CB7">
        <w:trPr>
          <w:gridAfter w:val="1"/>
          <w:wAfter w:w="216" w:type="dxa"/>
        </w:trPr>
        <w:tc>
          <w:tcPr>
            <w:tcW w:w="2840" w:type="dxa"/>
            <w:hideMark/>
          </w:tcPr>
          <w:p w14:paraId="418991B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w:t>
            </w:r>
          </w:p>
        </w:tc>
        <w:tc>
          <w:tcPr>
            <w:tcW w:w="4762" w:type="dxa"/>
            <w:hideMark/>
          </w:tcPr>
          <w:p w14:paraId="418991B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Decreases in economic benefits in the form of outflows or depletions of assets or incurrence of liabilities that result in decreases in equity, other than those relating to distributions to equity participants.</w:t>
            </w:r>
          </w:p>
        </w:tc>
      </w:tr>
      <w:tr w:rsidR="006F4933" w14:paraId="418991BD" w14:textId="77777777" w:rsidTr="006F4933">
        <w:trPr>
          <w:gridAfter w:val="1"/>
          <w:wAfter w:w="216" w:type="dxa"/>
        </w:trPr>
        <w:tc>
          <w:tcPr>
            <w:tcW w:w="2840" w:type="dxa"/>
            <w:hideMark/>
          </w:tcPr>
          <w:p w14:paraId="418991B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requiring appropriation in the Budget year</w:t>
            </w:r>
          </w:p>
        </w:tc>
        <w:tc>
          <w:tcPr>
            <w:tcW w:w="4762" w:type="dxa"/>
            <w:hideMark/>
          </w:tcPr>
          <w:p w14:paraId="418991BC"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involving a cash flow impact are not included within the calculation of an appropriation. An example of such an event is goods or services received free of charge that are then expensed; for example, ANAO audit services. The ANAO does not charge for audit services; however, the expense must be recognised. Similarly, bad debts are recognised as an expense but are not recognised for the purpose of calculating appropriation amounts to be sought from Parliament.</w:t>
            </w:r>
          </w:p>
        </w:tc>
      </w:tr>
      <w:tr w:rsidR="006F4933" w14:paraId="418991C0" w14:textId="77777777" w:rsidTr="006F4933">
        <w:trPr>
          <w:gridAfter w:val="1"/>
          <w:wAfter w:w="216" w:type="dxa"/>
        </w:trPr>
        <w:tc>
          <w:tcPr>
            <w:tcW w:w="2840" w:type="dxa"/>
            <w:hideMark/>
          </w:tcPr>
          <w:p w14:paraId="418991B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Forward estimates period</w:t>
            </w:r>
          </w:p>
        </w:tc>
        <w:tc>
          <w:tcPr>
            <w:tcW w:w="4762" w:type="dxa"/>
            <w:hideMark/>
          </w:tcPr>
          <w:p w14:paraId="418991BF" w14:textId="6AEDDDBC" w:rsidR="006F4933" w:rsidRDefault="006F4933" w:rsidP="00C12B75">
            <w:pPr>
              <w:pStyle w:val="TableTextLeft"/>
              <w:spacing w:line="256" w:lineRule="auto"/>
              <w:rPr>
                <w:rFonts w:ascii="Book Antiqua" w:hAnsi="Book Antiqua"/>
                <w:sz w:val="20"/>
                <w:lang w:eastAsia="en-US"/>
              </w:rPr>
            </w:pPr>
            <w:r>
              <w:rPr>
                <w:rFonts w:ascii="Book Antiqua" w:hAnsi="Book Antiqua"/>
                <w:sz w:val="20"/>
                <w:lang w:eastAsia="en-US"/>
              </w:rPr>
              <w:t xml:space="preserve">The three years following the </w:t>
            </w:r>
            <w:r w:rsidR="00C12B75">
              <w:rPr>
                <w:rFonts w:ascii="Book Antiqua" w:hAnsi="Book Antiqua"/>
                <w:sz w:val="20"/>
                <w:lang w:eastAsia="en-US"/>
              </w:rPr>
              <w:t xml:space="preserve">Budget year. For </w:t>
            </w:r>
            <w:proofErr w:type="gramStart"/>
            <w:r w:rsidR="00C12B75">
              <w:rPr>
                <w:rFonts w:ascii="Book Antiqua" w:hAnsi="Book Antiqua"/>
                <w:sz w:val="20"/>
                <w:lang w:eastAsia="en-US"/>
              </w:rPr>
              <w:t>example</w:t>
            </w:r>
            <w:proofErr w:type="gramEnd"/>
            <w:r w:rsidR="00C12B75">
              <w:rPr>
                <w:rFonts w:ascii="Book Antiqua" w:hAnsi="Book Antiqua"/>
                <w:sz w:val="20"/>
                <w:lang w:eastAsia="en-US"/>
              </w:rPr>
              <w:t xml:space="preserve"> if 2020-21</w:t>
            </w:r>
            <w:r>
              <w:rPr>
                <w:rFonts w:ascii="Book Antiqua" w:hAnsi="Book Antiqua"/>
                <w:sz w:val="20"/>
                <w:lang w:eastAsia="en-US"/>
              </w:rPr>
              <w:t xml:space="preserve"> is the Budget ye</w:t>
            </w:r>
            <w:r w:rsidR="00C12B75">
              <w:rPr>
                <w:rFonts w:ascii="Book Antiqua" w:hAnsi="Book Antiqua"/>
                <w:sz w:val="20"/>
                <w:lang w:eastAsia="en-US"/>
              </w:rPr>
              <w:t>ar, 2021-22</w:t>
            </w:r>
            <w:r w:rsidR="006844A0">
              <w:rPr>
                <w:rFonts w:ascii="Book Antiqua" w:hAnsi="Book Antiqua"/>
                <w:sz w:val="20"/>
                <w:lang w:eastAsia="en-US"/>
              </w:rPr>
              <w:t xml:space="preserve"> is forward year 1, </w:t>
            </w:r>
            <w:r w:rsidR="00C12B75">
              <w:rPr>
                <w:rFonts w:ascii="Book Antiqua" w:hAnsi="Book Antiqua"/>
                <w:sz w:val="20"/>
                <w:lang w:eastAsia="en-US"/>
              </w:rPr>
              <w:t>2022-23 is forward year 2 and 2023</w:t>
            </w:r>
            <w:r w:rsidR="006844A0">
              <w:rPr>
                <w:rFonts w:ascii="Book Antiqua" w:hAnsi="Book Antiqua"/>
                <w:sz w:val="20"/>
                <w:lang w:eastAsia="en-US"/>
              </w:rPr>
              <w:noBreakHyphen/>
            </w:r>
            <w:r w:rsidR="00C12B75">
              <w:rPr>
                <w:rFonts w:ascii="Book Antiqua" w:hAnsi="Book Antiqua"/>
                <w:sz w:val="20"/>
                <w:lang w:eastAsia="en-US"/>
              </w:rPr>
              <w:t>24</w:t>
            </w:r>
            <w:r>
              <w:rPr>
                <w:rFonts w:ascii="Book Antiqua" w:hAnsi="Book Antiqua"/>
                <w:sz w:val="20"/>
                <w:lang w:eastAsia="en-US"/>
              </w:rPr>
              <w:t xml:space="preserve"> is forward year 3. </w:t>
            </w:r>
          </w:p>
        </w:tc>
      </w:tr>
      <w:tr w:rsidR="006F4933" w14:paraId="418991C3" w14:textId="77777777" w:rsidTr="006F4933">
        <w:trPr>
          <w:gridAfter w:val="1"/>
          <w:wAfter w:w="216" w:type="dxa"/>
        </w:trPr>
        <w:tc>
          <w:tcPr>
            <w:tcW w:w="2840" w:type="dxa"/>
            <w:hideMark/>
          </w:tcPr>
          <w:p w14:paraId="418991C1"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Funds</w:t>
            </w:r>
          </w:p>
        </w:tc>
        <w:tc>
          <w:tcPr>
            <w:tcW w:w="4762" w:type="dxa"/>
            <w:hideMark/>
          </w:tcPr>
          <w:p w14:paraId="418991C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Money that has been appropriated but not drawn from the Consolidated Revenue Fund.</w:t>
            </w:r>
          </w:p>
        </w:tc>
      </w:tr>
      <w:tr w:rsidR="006F4933" w14:paraId="418991C6" w14:textId="77777777" w:rsidTr="006F4933">
        <w:trPr>
          <w:gridAfter w:val="1"/>
          <w:wAfter w:w="216" w:type="dxa"/>
        </w:trPr>
        <w:tc>
          <w:tcPr>
            <w:tcW w:w="2840" w:type="dxa"/>
            <w:hideMark/>
          </w:tcPr>
          <w:p w14:paraId="418991C4"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Income</w:t>
            </w:r>
          </w:p>
        </w:tc>
        <w:tc>
          <w:tcPr>
            <w:tcW w:w="4762" w:type="dxa"/>
            <w:hideMark/>
          </w:tcPr>
          <w:p w14:paraId="418991C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Total value of resources earned or received to cover the production of goods and services.</w:t>
            </w:r>
          </w:p>
        </w:tc>
      </w:tr>
      <w:tr w:rsidR="006F4933" w14:paraId="418991C9" w14:textId="77777777" w:rsidTr="006F4933">
        <w:trPr>
          <w:gridAfter w:val="1"/>
          <w:wAfter w:w="216" w:type="dxa"/>
        </w:trPr>
        <w:tc>
          <w:tcPr>
            <w:tcW w:w="2840" w:type="dxa"/>
            <w:hideMark/>
          </w:tcPr>
          <w:p w14:paraId="418991C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w:t>
            </w:r>
          </w:p>
        </w:tc>
        <w:tc>
          <w:tcPr>
            <w:tcW w:w="4762" w:type="dxa"/>
            <w:hideMark/>
          </w:tcPr>
          <w:p w14:paraId="418991C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r w:rsidR="006F4933" w14:paraId="418991CC" w14:textId="77777777" w:rsidTr="00986CB7">
        <w:trPr>
          <w:gridAfter w:val="1"/>
          <w:wAfter w:w="216" w:type="dxa"/>
        </w:trPr>
        <w:tc>
          <w:tcPr>
            <w:tcW w:w="2840" w:type="dxa"/>
            <w:hideMark/>
          </w:tcPr>
          <w:p w14:paraId="418991CA"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Mid-Year Economic and Fiscal Outlook (MYEFO)</w:t>
            </w:r>
          </w:p>
        </w:tc>
        <w:tc>
          <w:tcPr>
            <w:tcW w:w="4762" w:type="dxa"/>
            <w:hideMark/>
          </w:tcPr>
          <w:p w14:paraId="418991CB"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The MYEFO provides an update of the government’s budget estimates by examining expenses and revenues in the year to date, as well as provisions for new decisions that have been taken since the Budget. The report provides updated information to allow the assessment of the government’s fiscal performance against the fiscal strategy set out in its current fiscal strategy statement.</w:t>
            </w:r>
          </w:p>
        </w:tc>
      </w:tr>
      <w:tr w:rsidR="006F4933" w14:paraId="418991CF" w14:textId="77777777" w:rsidTr="00986CB7">
        <w:trPr>
          <w:gridAfter w:val="1"/>
          <w:wAfter w:w="216" w:type="dxa"/>
        </w:trPr>
        <w:tc>
          <w:tcPr>
            <w:tcW w:w="2840" w:type="dxa"/>
            <w:hideMark/>
          </w:tcPr>
          <w:p w14:paraId="418991C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‘Movement of Funds’ between years</w:t>
            </w:r>
          </w:p>
        </w:tc>
        <w:tc>
          <w:tcPr>
            <w:tcW w:w="4762" w:type="dxa"/>
            <w:hideMark/>
          </w:tcPr>
          <w:p w14:paraId="418991C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 ‘movement of funds’ process is carried out twice each year in relation to un-expensed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6F4933" w14:paraId="418991D3" w14:textId="77777777" w:rsidTr="00986CB7">
        <w:trPr>
          <w:gridAfter w:val="1"/>
          <w:wAfter w:w="216" w:type="dxa"/>
        </w:trPr>
        <w:tc>
          <w:tcPr>
            <w:tcW w:w="2840" w:type="dxa"/>
            <w:hideMark/>
          </w:tcPr>
          <w:p w14:paraId="418991D0" w14:textId="77777777" w:rsidR="006F4933" w:rsidRDefault="006F4933" w:rsidP="00986CB7">
            <w:pPr>
              <w:pStyle w:val="TableTextLeft"/>
              <w:spacing w:line="256" w:lineRule="auto"/>
              <w:rPr>
                <w:rFonts w:ascii="Book Antiqua" w:hAnsi="Book Antiqua"/>
                <w:sz w:val="20"/>
                <w:lang w:eastAsia="en-US"/>
              </w:rPr>
            </w:pPr>
            <w:r w:rsidRPr="00EE5210">
              <w:rPr>
                <w:rFonts w:ascii="Book Antiqua" w:hAnsi="Book Antiqua"/>
                <w:sz w:val="20"/>
                <w:lang w:eastAsia="en-US"/>
              </w:rPr>
              <w:t xml:space="preserve">Net cash </w:t>
            </w:r>
            <w:r w:rsidR="00EE5210" w:rsidRPr="00EE5210">
              <w:rPr>
                <w:rFonts w:ascii="Book Antiqua" w:hAnsi="Book Antiqua"/>
                <w:sz w:val="20"/>
                <w:lang w:eastAsia="en-US"/>
              </w:rPr>
              <w:t>appropriation arrangements</w:t>
            </w:r>
          </w:p>
        </w:tc>
        <w:tc>
          <w:tcPr>
            <w:tcW w:w="4762" w:type="dxa"/>
            <w:hideMark/>
          </w:tcPr>
          <w:p w14:paraId="418991D1"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net cash framework, implemented from the 2010-11 Budget, replaces funding for depreciation and amortisation expenses with a departmental capital budget (DCB) and the funding of make good expenses will cease to be paid in advance.</w:t>
            </w:r>
          </w:p>
          <w:p w14:paraId="418991D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The net cash framework applies to general government sector entities that receive funding from annual appropriations directly or via a special account, </w:t>
            </w:r>
            <w:proofErr w:type="gramStart"/>
            <w:r>
              <w:rPr>
                <w:rFonts w:ascii="Book Antiqua" w:hAnsi="Book Antiqua"/>
                <w:sz w:val="20"/>
                <w:lang w:eastAsia="en-US"/>
              </w:rPr>
              <w:t>with the exception of</w:t>
            </w:r>
            <w:proofErr w:type="gramEnd"/>
            <w:r>
              <w:rPr>
                <w:rFonts w:ascii="Book Antiqua" w:hAnsi="Book Antiqua"/>
                <w:sz w:val="20"/>
                <w:lang w:eastAsia="en-US"/>
              </w:rPr>
              <w:t xml:space="preserve"> the Department of Defence.</w:t>
            </w:r>
          </w:p>
        </w:tc>
      </w:tr>
      <w:tr w:rsidR="006F4933" w14:paraId="418991D6" w14:textId="77777777" w:rsidTr="00986CB7">
        <w:trPr>
          <w:gridAfter w:val="1"/>
          <w:wAfter w:w="216" w:type="dxa"/>
        </w:trPr>
        <w:tc>
          <w:tcPr>
            <w:tcW w:w="2840" w:type="dxa"/>
            <w:hideMark/>
          </w:tcPr>
          <w:p w14:paraId="418991D4"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Non-operating</w:t>
            </w:r>
          </w:p>
        </w:tc>
        <w:tc>
          <w:tcPr>
            <w:tcW w:w="4762" w:type="dxa"/>
            <w:hideMark/>
          </w:tcPr>
          <w:p w14:paraId="418991D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Sometimes called ‘capital’ costs.</w:t>
            </w:r>
          </w:p>
        </w:tc>
      </w:tr>
      <w:tr w:rsidR="006F4933" w14:paraId="418991D9" w14:textId="77777777" w:rsidTr="00986CB7">
        <w:trPr>
          <w:gridAfter w:val="1"/>
          <w:wAfter w:w="216" w:type="dxa"/>
        </w:trPr>
        <w:tc>
          <w:tcPr>
            <w:tcW w:w="2840" w:type="dxa"/>
            <w:hideMark/>
          </w:tcPr>
          <w:p w14:paraId="418991D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Official Public Account (OPA)</w:t>
            </w:r>
          </w:p>
        </w:tc>
        <w:tc>
          <w:tcPr>
            <w:tcW w:w="4762" w:type="dxa"/>
            <w:hideMark/>
          </w:tcPr>
          <w:p w14:paraId="418991D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OPA is the Australian Government’s central bank account held within the Reserve Bank of Australia. The OPA reflects the operations of the Consolidated Revenue Fund.</w:t>
            </w:r>
          </w:p>
        </w:tc>
      </w:tr>
      <w:tr w:rsidR="006F4933" w14:paraId="418991DC" w14:textId="77777777" w:rsidTr="00986CB7">
        <w:trPr>
          <w:gridAfter w:val="1"/>
          <w:wAfter w:w="216" w:type="dxa"/>
        </w:trPr>
        <w:tc>
          <w:tcPr>
            <w:tcW w:w="2840" w:type="dxa"/>
            <w:hideMark/>
          </w:tcPr>
          <w:p w14:paraId="418991D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w:t>
            </w:r>
          </w:p>
        </w:tc>
        <w:tc>
          <w:tcPr>
            <w:tcW w:w="4762" w:type="dxa"/>
            <w:hideMark/>
          </w:tcPr>
          <w:p w14:paraId="418991D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Normally related to ongoing, or recurring expenses, such as paying salaries or making program payments.</w:t>
            </w:r>
          </w:p>
        </w:tc>
      </w:tr>
      <w:tr w:rsidR="006F4933" w14:paraId="418991DF" w14:textId="77777777" w:rsidTr="00986CB7">
        <w:trPr>
          <w:gridAfter w:val="1"/>
          <w:wAfter w:w="216" w:type="dxa"/>
        </w:trPr>
        <w:tc>
          <w:tcPr>
            <w:tcW w:w="2840" w:type="dxa"/>
            <w:hideMark/>
          </w:tcPr>
          <w:p w14:paraId="418991D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 result</w:t>
            </w:r>
          </w:p>
        </w:tc>
        <w:tc>
          <w:tcPr>
            <w:tcW w:w="4762" w:type="dxa"/>
            <w:hideMark/>
          </w:tcPr>
          <w:p w14:paraId="418991D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Equals income less expenses.</w:t>
            </w:r>
          </w:p>
        </w:tc>
      </w:tr>
      <w:tr w:rsidR="006F4933" w14:paraId="418991E2" w14:textId="77777777" w:rsidTr="00986CB7">
        <w:trPr>
          <w:gridAfter w:val="1"/>
          <w:wAfter w:w="216" w:type="dxa"/>
        </w:trPr>
        <w:tc>
          <w:tcPr>
            <w:tcW w:w="2840" w:type="dxa"/>
            <w:hideMark/>
          </w:tcPr>
          <w:p w14:paraId="418991E0"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Outcome</w:t>
            </w:r>
          </w:p>
        </w:tc>
        <w:tc>
          <w:tcPr>
            <w:tcW w:w="4762" w:type="dxa"/>
            <w:hideMark/>
          </w:tcPr>
          <w:p w14:paraId="418991E1"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 xml:space="preserve">An outcome is the intended result, </w:t>
            </w:r>
            <w:proofErr w:type="gramStart"/>
            <w:r>
              <w:rPr>
                <w:rFonts w:ascii="Book Antiqua" w:hAnsi="Book Antiqua"/>
                <w:sz w:val="20"/>
                <w:lang w:eastAsia="en-US"/>
              </w:rPr>
              <w:t>consequence</w:t>
            </w:r>
            <w:proofErr w:type="gramEnd"/>
            <w:r>
              <w:rPr>
                <w:rFonts w:ascii="Book Antiqua" w:hAnsi="Book Antiqua"/>
                <w:sz w:val="20"/>
                <w:lang w:eastAsia="en-US"/>
              </w:rPr>
              <w:t xml:space="preserve"> or impact of government actions on the Australian community.</w:t>
            </w:r>
          </w:p>
        </w:tc>
      </w:tr>
      <w:tr w:rsidR="006F4933" w14:paraId="418991E6" w14:textId="77777777" w:rsidTr="00986CB7">
        <w:trPr>
          <w:gridAfter w:val="1"/>
          <w:wAfter w:w="216" w:type="dxa"/>
        </w:trPr>
        <w:tc>
          <w:tcPr>
            <w:tcW w:w="2840" w:type="dxa"/>
            <w:hideMark/>
          </w:tcPr>
          <w:p w14:paraId="418991E4" w14:textId="143B8946" w:rsidR="006F4933" w:rsidRPr="00C12B75" w:rsidRDefault="006F4933" w:rsidP="00C12B75">
            <w:pPr>
              <w:pStyle w:val="TableTextLeft"/>
              <w:spacing w:line="256" w:lineRule="auto"/>
              <w:rPr>
                <w:rFonts w:ascii="Book Antiqua" w:hAnsi="Book Antiqua"/>
                <w:i/>
                <w:sz w:val="20"/>
                <w:lang w:eastAsia="en-US"/>
              </w:rPr>
            </w:pPr>
            <w:r w:rsidRPr="00C12B75">
              <w:rPr>
                <w:rFonts w:ascii="Book Antiqua" w:hAnsi="Book Antiqua"/>
                <w:i/>
                <w:sz w:val="20"/>
                <w:lang w:eastAsia="en-US"/>
              </w:rPr>
              <w:t>Public Governance, Performance and Accountability Act 2013</w:t>
            </w:r>
            <w:r>
              <w:rPr>
                <w:rFonts w:ascii="Book Antiqua" w:hAnsi="Book Antiqua"/>
                <w:sz w:val="20"/>
                <w:lang w:eastAsia="en-US"/>
              </w:rPr>
              <w:t xml:space="preserve"> </w:t>
            </w:r>
          </w:p>
        </w:tc>
        <w:tc>
          <w:tcPr>
            <w:tcW w:w="4762" w:type="dxa"/>
            <w:hideMark/>
          </w:tcPr>
          <w:p w14:paraId="418991E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The PGPA Act is the principal legislation concerning the governance, </w:t>
            </w:r>
            <w:proofErr w:type="gramStart"/>
            <w:r>
              <w:rPr>
                <w:rFonts w:ascii="Book Antiqua" w:hAnsi="Book Antiqua"/>
                <w:sz w:val="20"/>
                <w:lang w:eastAsia="en-US"/>
              </w:rPr>
              <w:t>performance</w:t>
            </w:r>
            <w:proofErr w:type="gramEnd"/>
            <w:r>
              <w:rPr>
                <w:rFonts w:ascii="Book Antiqua" w:hAnsi="Book Antiqua"/>
                <w:sz w:val="20"/>
                <w:lang w:eastAsia="en-US"/>
              </w:rPr>
              <w:t xml:space="preserve"> and accountability of, and the use and management of public resources by the Commonwealth.</w:t>
            </w:r>
          </w:p>
        </w:tc>
      </w:tr>
      <w:tr w:rsidR="006F4933" w14:paraId="418991E9" w14:textId="77777777" w:rsidTr="00986CB7">
        <w:trPr>
          <w:gridAfter w:val="1"/>
          <w:wAfter w:w="216" w:type="dxa"/>
        </w:trPr>
        <w:tc>
          <w:tcPr>
            <w:tcW w:w="2840" w:type="dxa"/>
            <w:hideMark/>
          </w:tcPr>
          <w:p w14:paraId="418991E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Portfolio Budget Statements</w:t>
            </w:r>
          </w:p>
        </w:tc>
        <w:tc>
          <w:tcPr>
            <w:tcW w:w="4762" w:type="dxa"/>
            <w:hideMark/>
          </w:tcPr>
          <w:p w14:paraId="418991E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Budget related paper detailing budget initiatives and explanations of appropriations specified by outcome and program by each entity within a portfolio.</w:t>
            </w:r>
          </w:p>
        </w:tc>
      </w:tr>
      <w:tr w:rsidR="006F4933" w14:paraId="418991EC" w14:textId="77777777" w:rsidTr="00986CB7">
        <w:trPr>
          <w:gridAfter w:val="1"/>
          <w:wAfter w:w="216" w:type="dxa"/>
        </w:trPr>
        <w:tc>
          <w:tcPr>
            <w:tcW w:w="2840" w:type="dxa"/>
            <w:hideMark/>
          </w:tcPr>
          <w:p w14:paraId="418991E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w:t>
            </w:r>
          </w:p>
        </w:tc>
        <w:tc>
          <w:tcPr>
            <w:tcW w:w="4762" w:type="dxa"/>
            <w:hideMark/>
          </w:tcPr>
          <w:p w14:paraId="418991E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Activity that delivers benefits, services or transfer payments to individuals, industry and/or the </w:t>
            </w:r>
            <w:proofErr w:type="gramStart"/>
            <w:r>
              <w:rPr>
                <w:rFonts w:ascii="Book Antiqua" w:hAnsi="Book Antiqua"/>
                <w:sz w:val="20"/>
                <w:lang w:eastAsia="en-US"/>
              </w:rPr>
              <w:t>community as a whole, with</w:t>
            </w:r>
            <w:proofErr w:type="gramEnd"/>
            <w:r>
              <w:rPr>
                <w:rFonts w:ascii="Book Antiqua" w:hAnsi="Book Antiqua"/>
                <w:sz w:val="20"/>
                <w:lang w:eastAsia="en-US"/>
              </w:rPr>
              <w:t xml:space="preserve"> the aim of achieving the intended result specified in an outcome statement.</w:t>
            </w:r>
          </w:p>
        </w:tc>
      </w:tr>
      <w:tr w:rsidR="006F4933" w14:paraId="418991EF" w14:textId="77777777" w:rsidTr="00986CB7">
        <w:trPr>
          <w:gridAfter w:val="1"/>
          <w:wAfter w:w="216" w:type="dxa"/>
        </w:trPr>
        <w:tc>
          <w:tcPr>
            <w:tcW w:w="2840" w:type="dxa"/>
            <w:hideMark/>
          </w:tcPr>
          <w:p w14:paraId="418991E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 support</w:t>
            </w:r>
          </w:p>
        </w:tc>
        <w:tc>
          <w:tcPr>
            <w:tcW w:w="4762" w:type="dxa"/>
            <w:hideMark/>
          </w:tcPr>
          <w:p w14:paraId="418991E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entity running costs allocated to a program. This is funded as part of the entity’s departmental appropriations.</w:t>
            </w:r>
          </w:p>
        </w:tc>
      </w:tr>
      <w:tr w:rsidR="006F4933" w14:paraId="418991F2" w14:textId="77777777" w:rsidTr="00986CB7">
        <w:trPr>
          <w:gridAfter w:val="1"/>
          <w:wAfter w:w="216" w:type="dxa"/>
        </w:trPr>
        <w:tc>
          <w:tcPr>
            <w:tcW w:w="2840" w:type="dxa"/>
            <w:hideMark/>
          </w:tcPr>
          <w:p w14:paraId="418991F0"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Special account</w:t>
            </w:r>
          </w:p>
        </w:tc>
        <w:tc>
          <w:tcPr>
            <w:tcW w:w="4762" w:type="dxa"/>
            <w:hideMark/>
          </w:tcPr>
          <w:p w14:paraId="418991F1"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Balances existing within the CRF that are supported by standing appropriations, PGPA Act s.78, s.79 and s.80). Special accounts allow money in the CRF to be acknowledged as set-aside (hypothecated) for a particular purpose. Amounts credited to a special account can only be spent for the purposes of the special account. Special accounts can only be established by a written determination of the Finance Minister (s. 78 of the PGPA Act) or through an Act of Parliament (referred to in s. 80 of the PGPA Act).</w:t>
            </w:r>
          </w:p>
        </w:tc>
      </w:tr>
      <w:tr w:rsidR="006F4933" w14:paraId="418991F6" w14:textId="77777777" w:rsidTr="00986CB7">
        <w:trPr>
          <w:gridAfter w:val="1"/>
          <w:wAfter w:w="216" w:type="dxa"/>
        </w:trPr>
        <w:tc>
          <w:tcPr>
            <w:tcW w:w="2840" w:type="dxa"/>
            <w:hideMark/>
          </w:tcPr>
          <w:p w14:paraId="418991F3"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Special appropriations (including standing appropriations)</w:t>
            </w:r>
          </w:p>
        </w:tc>
        <w:tc>
          <w:tcPr>
            <w:tcW w:w="4762" w:type="dxa"/>
            <w:hideMark/>
          </w:tcPr>
          <w:p w14:paraId="418991F4"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An amount of money appropriated by a particular Act of Parliament for a specific purpose and number of years. For special appropriations, the authority to withdraw funds from the CRF does not generally cease at the end of the financial year.</w:t>
            </w:r>
          </w:p>
          <w:p w14:paraId="418991F5" w14:textId="77777777" w:rsidR="006F4933" w:rsidRDefault="006F4933" w:rsidP="00C33C8B">
            <w:pPr>
              <w:pStyle w:val="TableTextLeft"/>
              <w:keepNext/>
              <w:keepLines/>
              <w:spacing w:line="257" w:lineRule="auto"/>
              <w:rPr>
                <w:rFonts w:ascii="Book Antiqua" w:hAnsi="Book Antiqua"/>
                <w:sz w:val="20"/>
                <w:lang w:eastAsia="en-US"/>
              </w:rPr>
            </w:pPr>
            <w:r>
              <w:rPr>
                <w:rFonts w:ascii="Book Antiqua" w:hAnsi="Book Antiqua"/>
                <w:sz w:val="20"/>
                <w:lang w:eastAsia="en-US"/>
              </w:rPr>
              <w:t>Standing appropriations are a subcategory consisting of ongoing special appropriations – the amount appropriated will depend on circumstances specified in the legislation</w:t>
            </w:r>
            <w:r w:rsidR="00C33C8B">
              <w:rPr>
                <w:rFonts w:ascii="Book Antiqua" w:hAnsi="Book Antiqua"/>
                <w:sz w:val="20"/>
                <w:lang w:eastAsia="en-US"/>
              </w:rPr>
              <w:t>.</w:t>
            </w:r>
          </w:p>
        </w:tc>
      </w:tr>
    </w:tbl>
    <w:p w14:paraId="40CFB993" w14:textId="77777777" w:rsidR="00FA7C34" w:rsidRDefault="00FA7C34" w:rsidP="00C33C8B">
      <w:pPr>
        <w:sectPr w:rsidR="00FA7C34" w:rsidSect="002A08A8">
          <w:headerReference w:type="even" r:id="rId10"/>
          <w:headerReference w:type="default" r:id="rId11"/>
          <w:footerReference w:type="even" r:id="rId12"/>
          <w:footerReference w:type="default" r:id="rId13"/>
          <w:footerReference w:type="first" r:id="rId14"/>
          <w:pgSz w:w="11906" w:h="16838" w:code="9"/>
          <w:pgMar w:top="2466" w:right="2098" w:bottom="2515" w:left="2098" w:header="1899" w:footer="1899" w:gutter="0"/>
          <w:pgNumType w:start="355"/>
          <w:cols w:space="708"/>
          <w:titlePg/>
          <w:docGrid w:linePitch="360"/>
        </w:sectPr>
      </w:pPr>
    </w:p>
    <w:p w14:paraId="035E5F44" w14:textId="30762E01" w:rsidR="00A71F94" w:rsidRPr="00C33C8B" w:rsidRDefault="00547890" w:rsidP="00C33C8B"/>
    <w:sectPr w:rsidR="00A71F94" w:rsidRPr="00C33C8B" w:rsidSect="00FA7C34">
      <w:footerReference w:type="first" r:id="rId15"/>
      <w:type w:val="oddPage"/>
      <w:pgSz w:w="11906" w:h="16838" w:code="9"/>
      <w:pgMar w:top="2466" w:right="2098" w:bottom="2515" w:left="2098" w:header="1899" w:footer="1899" w:gutter="0"/>
      <w:pgNumType w:start="3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991FA" w14:textId="77777777" w:rsidR="002852DC" w:rsidRDefault="002852DC" w:rsidP="002852DC">
      <w:pPr>
        <w:spacing w:after="0" w:line="240" w:lineRule="auto"/>
      </w:pPr>
      <w:r>
        <w:separator/>
      </w:r>
    </w:p>
  </w:endnote>
  <w:endnote w:type="continuationSeparator" w:id="0">
    <w:p w14:paraId="418991FB" w14:textId="77777777" w:rsidR="002852DC" w:rsidRDefault="002852DC" w:rsidP="0028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661677"/>
      <w:docPartObj>
        <w:docPartGallery w:val="Page Numbers (Bottom of Page)"/>
        <w:docPartUnique/>
      </w:docPartObj>
    </w:sdtPr>
    <w:sdtEndPr>
      <w:rPr>
        <w:rFonts w:ascii="Arial" w:hAnsi="Arial" w:cs="Arial"/>
        <w:noProof/>
      </w:rPr>
    </w:sdtEndPr>
    <w:sdtContent>
      <w:p w14:paraId="418991FE" w14:textId="08185366" w:rsidR="006C633E" w:rsidRPr="006C633E" w:rsidRDefault="006D1DEC" w:rsidP="009508CB">
        <w:pPr>
          <w:pStyle w:val="Footer"/>
          <w:jc w:val="center"/>
          <w:rPr>
            <w:rFonts w:ascii="Arial" w:hAnsi="Arial" w:cs="Arial"/>
          </w:rPr>
        </w:pPr>
        <w:r w:rsidRPr="006D1DEC">
          <w:rPr>
            <w:rFonts w:ascii="Arial" w:hAnsi="Arial" w:cs="Arial"/>
          </w:rPr>
          <w:fldChar w:fldCharType="begin"/>
        </w:r>
        <w:r w:rsidRPr="006D1DEC">
          <w:rPr>
            <w:rFonts w:ascii="Arial" w:hAnsi="Arial" w:cs="Arial"/>
          </w:rPr>
          <w:instrText xml:space="preserve"> PAGE   \* MERGEFORMAT </w:instrText>
        </w:r>
        <w:r w:rsidRPr="006D1DEC">
          <w:rPr>
            <w:rFonts w:ascii="Arial" w:hAnsi="Arial" w:cs="Arial"/>
          </w:rPr>
          <w:fldChar w:fldCharType="separate"/>
        </w:r>
        <w:r w:rsidR="00F079AF">
          <w:rPr>
            <w:rFonts w:ascii="Arial" w:hAnsi="Arial" w:cs="Arial"/>
            <w:noProof/>
          </w:rPr>
          <w:t>356</w:t>
        </w:r>
        <w:r w:rsidRPr="006D1DEC">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816187"/>
      <w:docPartObj>
        <w:docPartGallery w:val="Page Numbers (Bottom of Page)"/>
        <w:docPartUnique/>
      </w:docPartObj>
    </w:sdtPr>
    <w:sdtEndPr>
      <w:rPr>
        <w:rFonts w:ascii="Arial" w:hAnsi="Arial" w:cs="Arial"/>
        <w:noProof/>
      </w:rPr>
    </w:sdtEndPr>
    <w:sdtContent>
      <w:p w14:paraId="418991FF" w14:textId="5E2F9D23" w:rsidR="006C633E" w:rsidRPr="006C633E" w:rsidRDefault="006D1DEC" w:rsidP="009508CB">
        <w:pPr>
          <w:pStyle w:val="Footer"/>
          <w:jc w:val="center"/>
          <w:rPr>
            <w:rFonts w:ascii="Arial" w:hAnsi="Arial" w:cs="Arial"/>
          </w:rPr>
        </w:pPr>
        <w:r w:rsidRPr="006D1DEC">
          <w:rPr>
            <w:rFonts w:ascii="Arial" w:hAnsi="Arial" w:cs="Arial"/>
          </w:rPr>
          <w:fldChar w:fldCharType="begin"/>
        </w:r>
        <w:r w:rsidRPr="006D1DEC">
          <w:rPr>
            <w:rFonts w:ascii="Arial" w:hAnsi="Arial" w:cs="Arial"/>
          </w:rPr>
          <w:instrText xml:space="preserve"> PAGE   \* MERGEFORMAT </w:instrText>
        </w:r>
        <w:r w:rsidRPr="006D1DEC">
          <w:rPr>
            <w:rFonts w:ascii="Arial" w:hAnsi="Arial" w:cs="Arial"/>
          </w:rPr>
          <w:fldChar w:fldCharType="separate"/>
        </w:r>
        <w:r w:rsidR="00F079AF">
          <w:rPr>
            <w:rFonts w:ascii="Arial" w:hAnsi="Arial" w:cs="Arial"/>
            <w:noProof/>
          </w:rPr>
          <w:t>361</w:t>
        </w:r>
        <w:r w:rsidRPr="006D1DEC">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999982"/>
      <w:docPartObj>
        <w:docPartGallery w:val="Page Numbers (Bottom of Page)"/>
        <w:docPartUnique/>
      </w:docPartObj>
    </w:sdtPr>
    <w:sdtEndPr>
      <w:rPr>
        <w:rFonts w:ascii="Arial" w:hAnsi="Arial" w:cs="Arial"/>
        <w:noProof/>
      </w:rPr>
    </w:sdtEndPr>
    <w:sdtContent>
      <w:p w14:paraId="41899200" w14:textId="64A17B0B" w:rsidR="006C633E" w:rsidRPr="006C633E" w:rsidRDefault="006D1DEC" w:rsidP="009508CB">
        <w:pPr>
          <w:pStyle w:val="Footer"/>
          <w:jc w:val="center"/>
          <w:rPr>
            <w:rFonts w:ascii="Arial" w:hAnsi="Arial" w:cs="Arial"/>
          </w:rPr>
        </w:pPr>
        <w:r w:rsidRPr="006D1DEC">
          <w:rPr>
            <w:rFonts w:ascii="Arial" w:hAnsi="Arial" w:cs="Arial"/>
          </w:rPr>
          <w:fldChar w:fldCharType="begin"/>
        </w:r>
        <w:r w:rsidRPr="006D1DEC">
          <w:rPr>
            <w:rFonts w:ascii="Arial" w:hAnsi="Arial" w:cs="Arial"/>
          </w:rPr>
          <w:instrText xml:space="preserve"> PAGE   \* MERGEFORMAT </w:instrText>
        </w:r>
        <w:r w:rsidRPr="006D1DEC">
          <w:rPr>
            <w:rFonts w:ascii="Arial" w:hAnsi="Arial" w:cs="Arial"/>
          </w:rPr>
          <w:fldChar w:fldCharType="separate"/>
        </w:r>
        <w:r w:rsidR="00F079AF">
          <w:rPr>
            <w:rFonts w:ascii="Arial" w:hAnsi="Arial" w:cs="Arial"/>
            <w:noProof/>
          </w:rPr>
          <w:t>355</w:t>
        </w:r>
        <w:r w:rsidRPr="006D1DEC">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526269"/>
      <w:docPartObj>
        <w:docPartGallery w:val="Page Numbers (Bottom of Page)"/>
        <w:docPartUnique/>
      </w:docPartObj>
    </w:sdtPr>
    <w:sdtEndPr>
      <w:rPr>
        <w:rFonts w:ascii="Arial" w:hAnsi="Arial" w:cs="Arial"/>
        <w:noProof/>
      </w:rPr>
    </w:sdtEndPr>
    <w:sdtContent>
      <w:p w14:paraId="4F2FF088" w14:textId="21A05F6B" w:rsidR="00FA7C34" w:rsidRPr="006C633E" w:rsidRDefault="00547890" w:rsidP="006C633E">
        <w:pPr>
          <w:pStyle w:val="Footer"/>
          <w:jc w:val="center"/>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991F8" w14:textId="77777777" w:rsidR="002852DC" w:rsidRDefault="002852DC" w:rsidP="002852DC">
      <w:pPr>
        <w:spacing w:after="0" w:line="240" w:lineRule="auto"/>
      </w:pPr>
      <w:r>
        <w:separator/>
      </w:r>
    </w:p>
  </w:footnote>
  <w:footnote w:type="continuationSeparator" w:id="0">
    <w:p w14:paraId="418991F9" w14:textId="77777777" w:rsidR="002852DC" w:rsidRDefault="002852DC" w:rsidP="0028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91FC" w14:textId="77777777" w:rsidR="006C633E" w:rsidRPr="006C633E" w:rsidRDefault="006C633E">
    <w:pPr>
      <w:pStyle w:val="Header"/>
      <w:rPr>
        <w:i/>
      </w:rPr>
    </w:pPr>
    <w:r w:rsidRPr="006C633E">
      <w:rPr>
        <w:i/>
      </w:rPr>
      <w:t>Glossary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91FD" w14:textId="77777777" w:rsidR="006C633E" w:rsidRPr="006C633E" w:rsidRDefault="006C633E" w:rsidP="006C633E">
    <w:pPr>
      <w:pStyle w:val="Header"/>
      <w:jc w:val="right"/>
      <w:rPr>
        <w:i/>
      </w:rPr>
    </w:pPr>
    <w:r w:rsidRPr="006C633E">
      <w:rPr>
        <w:i/>
      </w:rPr>
      <w:t>Glossary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BA"/>
    <w:rsid w:val="00096BBA"/>
    <w:rsid w:val="00097F91"/>
    <w:rsid w:val="002852DC"/>
    <w:rsid w:val="002A08A8"/>
    <w:rsid w:val="00300DEE"/>
    <w:rsid w:val="00317CDB"/>
    <w:rsid w:val="00355807"/>
    <w:rsid w:val="00547890"/>
    <w:rsid w:val="00584CCC"/>
    <w:rsid w:val="006844A0"/>
    <w:rsid w:val="006C633E"/>
    <w:rsid w:val="006D1DEC"/>
    <w:rsid w:val="006F4727"/>
    <w:rsid w:val="006F4933"/>
    <w:rsid w:val="007D0EE0"/>
    <w:rsid w:val="009508CB"/>
    <w:rsid w:val="00986CB7"/>
    <w:rsid w:val="009C41D1"/>
    <w:rsid w:val="00A609B4"/>
    <w:rsid w:val="00A81EDD"/>
    <w:rsid w:val="00AF4558"/>
    <w:rsid w:val="00B05A07"/>
    <w:rsid w:val="00B4265C"/>
    <w:rsid w:val="00C119A6"/>
    <w:rsid w:val="00C12B75"/>
    <w:rsid w:val="00C33C8B"/>
    <w:rsid w:val="00C4352D"/>
    <w:rsid w:val="00CE2091"/>
    <w:rsid w:val="00EE5210"/>
    <w:rsid w:val="00F079AF"/>
    <w:rsid w:val="00FA615C"/>
    <w:rsid w:val="00FA7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899175"/>
  <w15:docId w15:val="{FE2E985E-BAE2-4F79-9C8B-CCD93818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33"/>
    <w:pPr>
      <w:spacing w:after="240" w:line="260" w:lineRule="exact"/>
      <w:jc w:val="both"/>
    </w:pPr>
    <w:rPr>
      <w:rFonts w:ascii="Book Antiqua" w:eastAsia="Times New Roman" w:hAnsi="Book Antiqua" w:cs="Times New Roman"/>
      <w:sz w:val="20"/>
      <w:szCs w:val="20"/>
      <w:lang w:eastAsia="en-AU"/>
    </w:rPr>
  </w:style>
  <w:style w:type="paragraph" w:styleId="Heading1">
    <w:name w:val="heading 1"/>
    <w:basedOn w:val="Normal"/>
    <w:next w:val="Normal"/>
    <w:link w:val="Heading1Char"/>
    <w:qFormat/>
    <w:rsid w:val="006F4933"/>
    <w:pPr>
      <w:keepNext/>
      <w:spacing w:after="360" w:line="240" w:lineRule="auto"/>
      <w:jc w:val="center"/>
      <w:outlineLvl w:val="0"/>
    </w:pPr>
    <w:rPr>
      <w:rFonts w:ascii="Arial" w:hAnsi="Arial"/>
      <w:b/>
      <w:smallCaps/>
      <w:kern w:val="28"/>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933"/>
    <w:rPr>
      <w:rFonts w:ascii="Arial" w:eastAsia="Times New Roman" w:hAnsi="Arial" w:cs="Times New Roman"/>
      <w:b/>
      <w:smallCaps/>
      <w:kern w:val="28"/>
      <w:sz w:val="34"/>
      <w:szCs w:val="20"/>
      <w:lang w:eastAsia="en-AU"/>
    </w:rPr>
  </w:style>
  <w:style w:type="character" w:customStyle="1" w:styleId="TableTextLeftChar">
    <w:name w:val="Table Text Left Char"/>
    <w:link w:val="TableTextLeft"/>
    <w:locked/>
    <w:rsid w:val="006F4933"/>
    <w:rPr>
      <w:rFonts w:ascii="Arial" w:eastAsia="Times New Roman" w:hAnsi="Arial" w:cs="Times New Roman"/>
      <w:sz w:val="18"/>
      <w:szCs w:val="20"/>
      <w:lang w:eastAsia="en-AU"/>
    </w:rPr>
  </w:style>
  <w:style w:type="paragraph" w:customStyle="1" w:styleId="TableTextLeft">
    <w:name w:val="Table Text Left"/>
    <w:basedOn w:val="Normal"/>
    <w:link w:val="TableTextLeftChar"/>
    <w:rsid w:val="006F4933"/>
    <w:pPr>
      <w:spacing w:before="60" w:after="60" w:line="240" w:lineRule="auto"/>
      <w:jc w:val="left"/>
    </w:pPr>
    <w:rPr>
      <w:rFonts w:ascii="Arial" w:hAnsi="Arial"/>
      <w:sz w:val="18"/>
    </w:rPr>
  </w:style>
  <w:style w:type="paragraph" w:customStyle="1" w:styleId="TableColumnHeadingLeft">
    <w:name w:val="Table Column Heading Left"/>
    <w:basedOn w:val="Normal"/>
    <w:next w:val="TableTextLeft"/>
    <w:rsid w:val="006F4933"/>
    <w:pPr>
      <w:spacing w:before="60" w:after="60" w:line="240" w:lineRule="auto"/>
      <w:jc w:val="left"/>
    </w:pPr>
    <w:rPr>
      <w:rFonts w:ascii="Arial" w:hAnsi="Arial"/>
      <w:b/>
    </w:rPr>
  </w:style>
  <w:style w:type="character" w:customStyle="1" w:styleId="endChar">
    <w:name w:val="end Char"/>
    <w:basedOn w:val="Heading1Char"/>
    <w:link w:val="end"/>
    <w:locked/>
    <w:rsid w:val="006F4933"/>
    <w:rPr>
      <w:rFonts w:ascii="Arial" w:eastAsia="Times New Roman" w:hAnsi="Arial" w:cs="Times New Roman"/>
      <w:b/>
      <w:smallCaps/>
      <w:kern w:val="28"/>
      <w:sz w:val="34"/>
      <w:szCs w:val="20"/>
      <w:lang w:eastAsia="en-AU"/>
    </w:rPr>
  </w:style>
  <w:style w:type="paragraph" w:customStyle="1" w:styleId="end">
    <w:name w:val="end"/>
    <w:basedOn w:val="Heading1"/>
    <w:link w:val="endChar"/>
    <w:qFormat/>
    <w:rsid w:val="006F4933"/>
    <w:pPr>
      <w:outlineLvl w:val="1"/>
    </w:pPr>
  </w:style>
  <w:style w:type="paragraph" w:styleId="Header">
    <w:name w:val="header"/>
    <w:basedOn w:val="Normal"/>
    <w:link w:val="HeaderChar"/>
    <w:uiPriority w:val="99"/>
    <w:unhideWhenUsed/>
    <w:rsid w:val="00285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DC"/>
    <w:rPr>
      <w:rFonts w:ascii="Book Antiqua" w:eastAsia="Times New Roman" w:hAnsi="Book Antiqua" w:cs="Times New Roman"/>
      <w:sz w:val="20"/>
      <w:szCs w:val="20"/>
      <w:lang w:eastAsia="en-AU"/>
    </w:rPr>
  </w:style>
  <w:style w:type="paragraph" w:styleId="Footer">
    <w:name w:val="footer"/>
    <w:basedOn w:val="Normal"/>
    <w:link w:val="FooterChar"/>
    <w:uiPriority w:val="99"/>
    <w:unhideWhenUsed/>
    <w:rsid w:val="00285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2DC"/>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79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2021CSSG-1276-21050</_dlc_DocId>
    <TaxCatchAll xmlns="0f563589-9cf9-4143-b1eb-fb0534803d38">
      <Value>78</Value>
    </TaxCatchAll>
    <_dlc_DocIdUrl xmlns="0f563589-9cf9-4143-b1eb-fb0534803d38">
      <Url>http://tweb/sites/cssg/ffmd/frbu/_layouts/15/DocIdRedir.aspx?ID=2021CSSG-1276-21050</Url>
      <Description>2021CSSG-1276-21050</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D061D09-CEEB-415D-873A-CC35E1AC2884}">
  <ds:schemaRefs>
    <ds:schemaRef ds:uri="http://schemas.microsoft.com/sharepoint/v3/contenttype/forms"/>
  </ds:schemaRefs>
</ds:datastoreItem>
</file>

<file path=customXml/itemProps2.xml><?xml version="1.0" encoding="utf-8"?>
<ds:datastoreItem xmlns:ds="http://schemas.openxmlformats.org/officeDocument/2006/customXml" ds:itemID="{0225C74B-3BE1-4027-86A5-24A65E612394}">
  <ds:schemaRef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eb47d8b7-fefc-4923-b53c-9685ba6b7210"/>
    <ds:schemaRef ds:uri="http://www.w3.org/XML/1998/namespace"/>
    <ds:schemaRef ds:uri="http://purl.org/dc/dcmitype/"/>
  </ds:schemaRefs>
</ds:datastoreItem>
</file>

<file path=customXml/itemProps3.xml><?xml version="1.0" encoding="utf-8"?>
<ds:datastoreItem xmlns:ds="http://schemas.openxmlformats.org/officeDocument/2006/customXml" ds:itemID="{8A55AF36-DEF8-4A91-9B14-23C087B38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208AC-549D-4801-972D-ED9054DED9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Australian Government - The Treasury</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Australian Government</dc:creator>
  <cp:keywords/>
  <dc:description/>
  <cp:lastModifiedBy>Smith, Matthew</cp:lastModifiedBy>
  <cp:revision>4</cp:revision>
  <cp:lastPrinted>2021-05-10T05:27:00Z</cp:lastPrinted>
  <dcterms:created xsi:type="dcterms:W3CDTF">2021-05-09T07:43:00Z</dcterms:created>
  <dcterms:modified xsi:type="dcterms:W3CDTF">2021-05-10T23:46:00Z</dcterms:modified>
</cp:coreProperties>
</file>