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17BDC" w14:textId="5865E8A5" w:rsidR="00602BF1" w:rsidRDefault="00FA2999" w:rsidP="00A0505E">
      <w:pPr>
        <w:spacing w:after="160"/>
        <w:contextualSpacing/>
        <w:rPr>
          <w:rFonts w:asciiTheme="majorHAnsi" w:eastAsiaTheme="majorEastAsia" w:hAnsiTheme="majorHAnsi" w:cstheme="majorBidi"/>
          <w:spacing w:val="-10"/>
          <w:kern w:val="28"/>
          <w:sz w:val="40"/>
          <w:szCs w:val="40"/>
        </w:rPr>
      </w:pPr>
      <w:r>
        <w:rPr>
          <w:noProof/>
          <w:lang w:eastAsia="en-AU"/>
        </w:rPr>
        <w:drawing>
          <wp:anchor distT="0" distB="0" distL="114300" distR="114300" simplePos="0" relativeHeight="251658241" behindDoc="1" locked="0" layoutInCell="1" allowOverlap="1" wp14:anchorId="589AEFB6" wp14:editId="59AADD17">
            <wp:simplePos x="0" y="0"/>
            <wp:positionH relativeFrom="page">
              <wp:align>center</wp:align>
            </wp:positionH>
            <wp:positionV relativeFrom="page">
              <wp:align>center</wp:align>
            </wp:positionV>
            <wp:extent cx="7560000" cy="10692000"/>
            <wp:effectExtent l="0" t="0" r="3175"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8"/>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602BF1">
        <w:rPr>
          <w:noProof/>
          <w:lang w:eastAsia="en-AU"/>
        </w:rPr>
        <mc:AlternateContent>
          <mc:Choice Requires="wps">
            <w:drawing>
              <wp:anchor distT="0" distB="0" distL="114300" distR="114300" simplePos="0" relativeHeight="251658240" behindDoc="0" locked="0" layoutInCell="1" allowOverlap="1" wp14:anchorId="015C985B" wp14:editId="47A8800D">
                <wp:simplePos x="0" y="0"/>
                <wp:positionH relativeFrom="margin">
                  <wp:align>center</wp:align>
                </wp:positionH>
                <wp:positionV relativeFrom="paragraph">
                  <wp:posOffset>2554605</wp:posOffset>
                </wp:positionV>
                <wp:extent cx="5751320" cy="2657742"/>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1320" cy="2657742"/>
                        </a:xfrm>
                        <a:prstGeom prst="rect">
                          <a:avLst/>
                        </a:prstGeom>
                        <a:noFill/>
                        <a:ln w="6350">
                          <a:noFill/>
                        </a:ln>
                      </wps:spPr>
                      <wps:txbx>
                        <w:txbxContent>
                          <w:p w14:paraId="24ED1C1D" w14:textId="77777777" w:rsidR="00CA615B" w:rsidRPr="0080285C" w:rsidRDefault="00CA615B" w:rsidP="00FA2999">
                            <w:pPr>
                              <w:rPr>
                                <w:rFonts w:cstheme="minorHAnsi"/>
                                <w:color w:val="FFFFFF" w:themeColor="background1"/>
                                <w:sz w:val="72"/>
                                <w:szCs w:val="72"/>
                              </w:rPr>
                            </w:pPr>
                            <w:r w:rsidRPr="0080285C">
                              <w:rPr>
                                <w:rFonts w:cstheme="minorHAnsi"/>
                                <w:color w:val="FFFFFF" w:themeColor="background1"/>
                                <w:sz w:val="72"/>
                                <w:szCs w:val="72"/>
                              </w:rPr>
                              <w:t>‘Opt-out’ joint account data sharing model</w:t>
                            </w:r>
                          </w:p>
                          <w:p w14:paraId="375C5695" w14:textId="2CCE8A65" w:rsidR="00CA615B" w:rsidRPr="0080285C" w:rsidRDefault="00CA615B" w:rsidP="00FA2999">
                            <w:pPr>
                              <w:spacing w:line="240" w:lineRule="auto"/>
                              <w:rPr>
                                <w:rFonts w:eastAsia="Times New Roman" w:cstheme="minorHAnsi"/>
                                <w:color w:val="FFFFFF" w:themeColor="background1"/>
                                <w:sz w:val="52"/>
                                <w:szCs w:val="52"/>
                                <w:lang w:eastAsia="en-GB"/>
                              </w:rPr>
                            </w:pPr>
                            <w:r>
                              <w:rPr>
                                <w:rFonts w:eastAsia="Times New Roman" w:cstheme="minorHAnsi"/>
                                <w:color w:val="FFFFFF" w:themeColor="background1"/>
                                <w:sz w:val="52"/>
                                <w:szCs w:val="52"/>
                                <w:lang w:eastAsia="en-GB"/>
                              </w:rPr>
                              <w:t>CDR rules and standards d</w:t>
                            </w:r>
                            <w:r w:rsidRPr="0080285C">
                              <w:rPr>
                                <w:rFonts w:eastAsia="Times New Roman" w:cstheme="minorHAnsi"/>
                                <w:color w:val="FFFFFF" w:themeColor="background1"/>
                                <w:sz w:val="52"/>
                                <w:szCs w:val="52"/>
                                <w:lang w:eastAsia="en-GB"/>
                              </w:rPr>
                              <w:t xml:space="preserve">esign </w:t>
                            </w:r>
                            <w:r>
                              <w:rPr>
                                <w:rFonts w:eastAsia="Times New Roman" w:cstheme="minorHAnsi"/>
                                <w:color w:val="FFFFFF" w:themeColor="background1"/>
                                <w:sz w:val="52"/>
                                <w:szCs w:val="52"/>
                                <w:lang w:eastAsia="en-GB"/>
                              </w:rPr>
                              <w:t>p</w:t>
                            </w:r>
                            <w:r w:rsidRPr="0080285C">
                              <w:rPr>
                                <w:rFonts w:eastAsia="Times New Roman" w:cstheme="minorHAnsi"/>
                                <w:color w:val="FFFFFF" w:themeColor="background1"/>
                                <w:sz w:val="52"/>
                                <w:szCs w:val="52"/>
                                <w:lang w:eastAsia="en-GB"/>
                              </w:rPr>
                              <w:t>aper</w:t>
                            </w:r>
                          </w:p>
                          <w:p w14:paraId="6C7267FF" w14:textId="77777777" w:rsidR="00CA615B" w:rsidRPr="0080285C" w:rsidRDefault="00CA615B" w:rsidP="00FA2999">
                            <w:pPr>
                              <w:rPr>
                                <w:rFonts w:cstheme="minorHAnsi"/>
                                <w:color w:val="FFFFFF" w:themeColor="background1"/>
                                <w:sz w:val="56"/>
                                <w:szCs w:val="56"/>
                              </w:rPr>
                            </w:pPr>
                          </w:p>
                          <w:p w14:paraId="21DB95B3" w14:textId="37CDF632" w:rsidR="00CA615B" w:rsidRPr="00602BF1" w:rsidRDefault="00156E7A">
                            <w:pPr>
                              <w:rPr>
                                <w:rFonts w:ascii="Times New Roman" w:hAnsi="Times New Roman" w:cs="Times New Roman"/>
                                <w:sz w:val="56"/>
                                <w:szCs w:val="56"/>
                              </w:rPr>
                            </w:pPr>
                            <w:r>
                              <w:rPr>
                                <w:rFonts w:cstheme="minorHAnsi"/>
                                <w:color w:val="FFFFFF" w:themeColor="background1"/>
                                <w:sz w:val="32"/>
                                <w:szCs w:val="32"/>
                              </w:rPr>
                              <w:t>30</w:t>
                            </w:r>
                            <w:r w:rsidR="00CA615B" w:rsidRPr="0080285C">
                              <w:rPr>
                                <w:rFonts w:cstheme="minorHAnsi"/>
                                <w:color w:val="FFFFFF" w:themeColor="background1"/>
                                <w:sz w:val="32"/>
                                <w:szCs w:val="32"/>
                              </w:rPr>
                              <w:t xml:space="preserve"> April 202</w:t>
                            </w:r>
                            <w:r w:rsidR="00CA615B">
                              <w:rPr>
                                <w:rFonts w:cstheme="minorHAnsi"/>
                                <w:color w:val="FFFFFF" w:themeColor="background1"/>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C985B" id="_x0000_t202" coordsize="21600,21600" o:spt="202" path="m,l,21600r21600,l21600,xe">
                <v:stroke joinstyle="miter"/>
                <v:path gradientshapeok="t" o:connecttype="rect"/>
              </v:shapetype>
              <v:shape id="Text Box 1" o:spid="_x0000_s1026" type="#_x0000_t202" style="position:absolute;margin-left:0;margin-top:201.15pt;width:452.85pt;height:209.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" filled="f" stroked="f" strokeweight=".5pt">
                <v:textbox>
                  <w:txbxContent>
                    <w:p w14:paraId="24ED1C1D" w14:textId="77777777" w:rsidR="00CA615B" w:rsidRPr="0080285C" w:rsidRDefault="00CA615B" w:rsidP="00FA2999">
                      <w:pPr>
                        <w:rPr>
                          <w:rFonts w:cstheme="minorHAnsi"/>
                          <w:color w:val="FFFFFF" w:themeColor="background1"/>
                          <w:sz w:val="72"/>
                          <w:szCs w:val="72"/>
                        </w:rPr>
                      </w:pPr>
                      <w:r w:rsidRPr="0080285C">
                        <w:rPr>
                          <w:rFonts w:cstheme="minorHAnsi"/>
                          <w:color w:val="FFFFFF" w:themeColor="background1"/>
                          <w:sz w:val="72"/>
                          <w:szCs w:val="72"/>
                        </w:rPr>
                        <w:t>‘Opt-out’ joint account data sharing model</w:t>
                      </w:r>
                    </w:p>
                    <w:p w14:paraId="375C5695" w14:textId="2CCE8A65" w:rsidR="00CA615B" w:rsidRPr="0080285C" w:rsidRDefault="00CA615B" w:rsidP="00FA2999">
                      <w:pPr>
                        <w:spacing w:line="240" w:lineRule="auto"/>
                        <w:rPr>
                          <w:rFonts w:eastAsia="Times New Roman" w:cstheme="minorHAnsi"/>
                          <w:color w:val="FFFFFF" w:themeColor="background1"/>
                          <w:sz w:val="52"/>
                          <w:szCs w:val="52"/>
                          <w:lang w:eastAsia="en-GB"/>
                        </w:rPr>
                      </w:pPr>
                      <w:r>
                        <w:rPr>
                          <w:rFonts w:eastAsia="Times New Roman" w:cstheme="minorHAnsi"/>
                          <w:color w:val="FFFFFF" w:themeColor="background1"/>
                          <w:sz w:val="52"/>
                          <w:szCs w:val="52"/>
                          <w:lang w:eastAsia="en-GB"/>
                        </w:rPr>
                        <w:t>CDR rules and standards d</w:t>
                      </w:r>
                      <w:r w:rsidRPr="0080285C">
                        <w:rPr>
                          <w:rFonts w:eastAsia="Times New Roman" w:cstheme="minorHAnsi"/>
                          <w:color w:val="FFFFFF" w:themeColor="background1"/>
                          <w:sz w:val="52"/>
                          <w:szCs w:val="52"/>
                          <w:lang w:eastAsia="en-GB"/>
                        </w:rPr>
                        <w:t xml:space="preserve">esign </w:t>
                      </w:r>
                      <w:r>
                        <w:rPr>
                          <w:rFonts w:eastAsia="Times New Roman" w:cstheme="minorHAnsi"/>
                          <w:color w:val="FFFFFF" w:themeColor="background1"/>
                          <w:sz w:val="52"/>
                          <w:szCs w:val="52"/>
                          <w:lang w:eastAsia="en-GB"/>
                        </w:rPr>
                        <w:t>p</w:t>
                      </w:r>
                      <w:r w:rsidRPr="0080285C">
                        <w:rPr>
                          <w:rFonts w:eastAsia="Times New Roman" w:cstheme="minorHAnsi"/>
                          <w:color w:val="FFFFFF" w:themeColor="background1"/>
                          <w:sz w:val="52"/>
                          <w:szCs w:val="52"/>
                          <w:lang w:eastAsia="en-GB"/>
                        </w:rPr>
                        <w:t>aper</w:t>
                      </w:r>
                    </w:p>
                    <w:p w14:paraId="6C7267FF" w14:textId="77777777" w:rsidR="00CA615B" w:rsidRPr="0080285C" w:rsidRDefault="00CA615B" w:rsidP="00FA2999">
                      <w:pPr>
                        <w:rPr>
                          <w:rFonts w:cstheme="minorHAnsi"/>
                          <w:color w:val="FFFFFF" w:themeColor="background1"/>
                          <w:sz w:val="56"/>
                          <w:szCs w:val="56"/>
                        </w:rPr>
                      </w:pPr>
                    </w:p>
                    <w:p w14:paraId="21DB95B3" w14:textId="37CDF632" w:rsidR="00CA615B" w:rsidRPr="00602BF1" w:rsidRDefault="00156E7A">
                      <w:pPr>
                        <w:rPr>
                          <w:rFonts w:ascii="Times New Roman" w:hAnsi="Times New Roman" w:cs="Times New Roman"/>
                          <w:sz w:val="56"/>
                          <w:szCs w:val="56"/>
                        </w:rPr>
                      </w:pPr>
                      <w:r>
                        <w:rPr>
                          <w:rFonts w:cstheme="minorHAnsi"/>
                          <w:color w:val="FFFFFF" w:themeColor="background1"/>
                          <w:sz w:val="32"/>
                          <w:szCs w:val="32"/>
                        </w:rPr>
                        <w:t>30</w:t>
                      </w:r>
                      <w:r w:rsidR="00CA615B" w:rsidRPr="0080285C">
                        <w:rPr>
                          <w:rFonts w:cstheme="minorHAnsi"/>
                          <w:color w:val="FFFFFF" w:themeColor="background1"/>
                          <w:sz w:val="32"/>
                          <w:szCs w:val="32"/>
                        </w:rPr>
                        <w:t xml:space="preserve"> April 202</w:t>
                      </w:r>
                      <w:r w:rsidR="00CA615B">
                        <w:rPr>
                          <w:rFonts w:cstheme="minorHAnsi"/>
                          <w:color w:val="FFFFFF" w:themeColor="background1"/>
                          <w:sz w:val="32"/>
                          <w:szCs w:val="32"/>
                        </w:rPr>
                        <w:t>1</w:t>
                      </w:r>
                    </w:p>
                  </w:txbxContent>
                </v:textbox>
                <w10:wrap anchorx="margin"/>
              </v:shape>
            </w:pict>
          </mc:Fallback>
        </mc:AlternateContent>
      </w:r>
      <w:r w:rsidR="00602BF1">
        <w:br w:type="page"/>
      </w:r>
    </w:p>
    <w:p w14:paraId="327C83D9" w14:textId="0351E1B2" w:rsidR="00602BF1" w:rsidRDefault="00602BF1" w:rsidP="009E313E">
      <w:pPr>
        <w:pStyle w:val="Title"/>
        <w:spacing w:before="120" w:after="240"/>
        <w:contextualSpacing w:val="0"/>
      </w:pPr>
      <w:r>
        <w:t>Opportunity to provide feedback</w:t>
      </w:r>
    </w:p>
    <w:p w14:paraId="4DCA482B" w14:textId="56D577C7" w:rsidR="00FC2EAD" w:rsidRDefault="00FC2EAD" w:rsidP="00C96E5F">
      <w:pPr>
        <w:spacing w:line="240" w:lineRule="auto"/>
      </w:pPr>
      <w:r>
        <w:t xml:space="preserve">This paper is designed to obtain feedback </w:t>
      </w:r>
      <w:proofErr w:type="gramStart"/>
      <w:r>
        <w:t>in order to</w:t>
      </w:r>
      <w:proofErr w:type="gramEnd"/>
      <w:r>
        <w:t xml:space="preserve"> develop draft CDR rules and standards. Draft CDR rules and standards will be the subject of formal consultation at a later stage, with the opportunity to make formal submissions.</w:t>
      </w:r>
    </w:p>
    <w:p w14:paraId="5661039B" w14:textId="77777777" w:rsidR="00C96E5F" w:rsidRDefault="00C96E5F" w:rsidP="00C96E5F">
      <w:pPr>
        <w:spacing w:line="240" w:lineRule="auto"/>
      </w:pPr>
    </w:p>
    <w:p w14:paraId="643F770E" w14:textId="4E4D68C8" w:rsidR="00FC2EAD" w:rsidRDefault="00FC2EAD" w:rsidP="00C96E5F">
      <w:pPr>
        <w:spacing w:line="240" w:lineRule="auto"/>
      </w:pPr>
      <w:r>
        <w:t xml:space="preserve">You are invited to provide informal feedback to the Treasury and Data Standards Body by </w:t>
      </w:r>
      <w:r w:rsidR="002D09BA">
        <w:rPr>
          <w:b/>
          <w:bCs/>
        </w:rPr>
        <w:t>26</w:t>
      </w:r>
      <w:r>
        <w:rPr>
          <w:b/>
          <w:bCs/>
        </w:rPr>
        <w:t xml:space="preserve"> May 2021</w:t>
      </w:r>
      <w:r>
        <w:t xml:space="preserve"> through either:</w:t>
      </w:r>
    </w:p>
    <w:p w14:paraId="7F714F05" w14:textId="77777777" w:rsidR="00C96E5F" w:rsidRDefault="00C96E5F" w:rsidP="00C96E5F">
      <w:pPr>
        <w:spacing w:line="240" w:lineRule="auto"/>
      </w:pPr>
    </w:p>
    <w:p w14:paraId="71C74154" w14:textId="488C5301" w:rsidR="00FC2EAD" w:rsidRPr="003827B7" w:rsidRDefault="00FC2EAD" w:rsidP="00C96E5F">
      <w:pPr>
        <w:pStyle w:val="Bullet"/>
        <w:numPr>
          <w:ilvl w:val="0"/>
          <w:numId w:val="86"/>
        </w:numPr>
        <w:spacing w:after="240" w:line="240" w:lineRule="auto"/>
        <w:rPr>
          <w:b w:val="0"/>
          <w:bCs w:val="0"/>
        </w:rPr>
      </w:pPr>
      <w:r w:rsidRPr="003827B7">
        <w:rPr>
          <w:b w:val="0"/>
          <w:bCs w:val="0"/>
        </w:rPr>
        <w:t xml:space="preserve">lodging comments on the public </w:t>
      </w:r>
      <w:hyperlink r:id="rId9" w:history="1">
        <w:r w:rsidRPr="00427859">
          <w:rPr>
            <w:rStyle w:val="Hyperlink"/>
            <w:b w:val="0"/>
            <w:bCs w:val="0"/>
          </w:rPr>
          <w:t>GitHub repository</w:t>
        </w:r>
      </w:hyperlink>
      <w:r w:rsidRPr="003827B7">
        <w:rPr>
          <w:b w:val="0"/>
          <w:bCs w:val="0"/>
        </w:rPr>
        <w:t xml:space="preserve"> maintained by the Data Standards Body; or </w:t>
      </w:r>
    </w:p>
    <w:p w14:paraId="04222D47" w14:textId="77777777" w:rsidR="00FC2EAD" w:rsidRPr="003827B7" w:rsidRDefault="00FC2EAD" w:rsidP="00C96E5F">
      <w:pPr>
        <w:pStyle w:val="Bullet"/>
        <w:numPr>
          <w:ilvl w:val="0"/>
          <w:numId w:val="86"/>
        </w:numPr>
        <w:spacing w:after="240" w:line="240" w:lineRule="auto"/>
        <w:rPr>
          <w:b w:val="0"/>
          <w:bCs w:val="0"/>
        </w:rPr>
      </w:pPr>
      <w:r w:rsidRPr="003827B7">
        <w:rPr>
          <w:b w:val="0"/>
          <w:bCs w:val="0"/>
        </w:rPr>
        <w:t xml:space="preserve">by email to Treasury at </w:t>
      </w:r>
      <w:hyperlink r:id="rId10" w:history="1">
        <w:r w:rsidRPr="003827B7">
          <w:rPr>
            <w:rStyle w:val="Hyperlink"/>
            <w:b w:val="0"/>
            <w:bCs w:val="0"/>
          </w:rPr>
          <w:t>data@treasury.gov.au</w:t>
        </w:r>
      </w:hyperlink>
      <w:r w:rsidRPr="003827B7">
        <w:rPr>
          <w:b w:val="0"/>
          <w:bCs w:val="0"/>
        </w:rPr>
        <w:t>. Respondents who would like to provide feedback on a confidential basis should ensure that this is clearly indicated.</w:t>
      </w:r>
    </w:p>
    <w:p w14:paraId="2E2FB6B7" w14:textId="38F15C51" w:rsidR="00FC2EAD" w:rsidRDefault="00FC2EAD" w:rsidP="00C96E5F">
      <w:pPr>
        <w:spacing w:line="240" w:lineRule="auto"/>
      </w:pPr>
      <w:r>
        <w:t xml:space="preserve">Feedback posted on GitHub is public by nature at the time of submission. Content posted on GitHub should be made according to the community engagement rules published by the Data Standards Body. </w:t>
      </w:r>
    </w:p>
    <w:p w14:paraId="1E6F5FAD" w14:textId="77777777" w:rsidR="00C96E5F" w:rsidRDefault="00C96E5F" w:rsidP="00C96E5F">
      <w:pPr>
        <w:spacing w:line="240" w:lineRule="auto"/>
      </w:pPr>
    </w:p>
    <w:p w14:paraId="77814D9D" w14:textId="77777777" w:rsidR="00FC2EAD" w:rsidRDefault="00FC2EAD" w:rsidP="00C96E5F">
      <w:pPr>
        <w:spacing w:line="240" w:lineRule="auto"/>
      </w:pPr>
      <w:r>
        <w:t xml:space="preserve">Treasury will also provide opportunities for discussion and feedback during May through various CDR forums and engagement mechanisms.  </w:t>
      </w:r>
    </w:p>
    <w:p w14:paraId="33EC7177" w14:textId="77777777" w:rsidR="008D01B6" w:rsidRDefault="008D01B6" w:rsidP="00C96E5F">
      <w:pPr>
        <w:spacing w:after="240" w:line="240" w:lineRule="auto"/>
        <w:contextualSpacing/>
        <w:rPr>
          <w:rFonts w:asciiTheme="majorHAnsi" w:eastAsiaTheme="majorEastAsia" w:hAnsiTheme="majorHAnsi" w:cstheme="majorBidi"/>
          <w:b/>
          <w:color w:val="2E74B5" w:themeColor="accent1" w:themeShade="BF"/>
          <w:sz w:val="32"/>
          <w:szCs w:val="32"/>
        </w:rPr>
      </w:pPr>
      <w:r>
        <w:br w:type="page"/>
      </w:r>
    </w:p>
    <w:p w14:paraId="1019BB72" w14:textId="35874F17" w:rsidR="008B6438" w:rsidRDefault="008B6438" w:rsidP="008B6438">
      <w:pPr>
        <w:pStyle w:val="Title"/>
        <w:spacing w:before="120" w:after="240"/>
      </w:pPr>
      <w:r>
        <w:t xml:space="preserve">Part A – </w:t>
      </w:r>
      <w:r w:rsidR="00A060F5">
        <w:t>Overview</w:t>
      </w:r>
    </w:p>
    <w:p w14:paraId="3725F402" w14:textId="229D5DAD" w:rsidR="00154C93" w:rsidRDefault="00154C93" w:rsidP="00281D67">
      <w:pPr>
        <w:pStyle w:val="Heading1"/>
        <w:numPr>
          <w:ilvl w:val="0"/>
          <w:numId w:val="43"/>
        </w:numPr>
        <w:contextualSpacing/>
      </w:pPr>
      <w:r>
        <w:t>Context</w:t>
      </w:r>
      <w:r w:rsidR="00A060F5">
        <w:t xml:space="preserve"> and purpose</w:t>
      </w:r>
    </w:p>
    <w:p w14:paraId="4BB920B4" w14:textId="26627D1F" w:rsidR="0053779F" w:rsidRDefault="0053779F" w:rsidP="00D736D1">
      <w:pPr>
        <w:pStyle w:val="ListParagraph"/>
        <w:numPr>
          <w:ilvl w:val="0"/>
          <w:numId w:val="78"/>
        </w:numPr>
        <w:spacing w:before="240" w:after="240"/>
        <w:contextualSpacing w:val="0"/>
      </w:pPr>
      <w:r>
        <w:t xml:space="preserve">While </w:t>
      </w:r>
      <w:r w:rsidR="00725D00">
        <w:t xml:space="preserve">rules for </w:t>
      </w:r>
      <w:r>
        <w:t xml:space="preserve">joint account </w:t>
      </w:r>
      <w:r w:rsidR="00725D00">
        <w:t>data sharing</w:t>
      </w:r>
      <w:r>
        <w:t xml:space="preserve"> have been settled for some time, current and prospective accredited data recipients (</w:t>
      </w:r>
      <w:r w:rsidRPr="00B11FE3">
        <w:rPr>
          <w:b/>
          <w:bCs/>
        </w:rPr>
        <w:t>ADRs</w:t>
      </w:r>
      <w:r>
        <w:t xml:space="preserve">) have raised concerns about the current approach as they begin implementation and integrating joint account data sharing into their use cases. </w:t>
      </w:r>
      <w:proofErr w:type="gramStart"/>
      <w:r w:rsidR="00710E9E">
        <w:t xml:space="preserve">In particular, </w:t>
      </w:r>
      <w:r>
        <w:t>concerns</w:t>
      </w:r>
      <w:proofErr w:type="gramEnd"/>
      <w:r>
        <w:t xml:space="preserve"> </w:t>
      </w:r>
      <w:r w:rsidR="00710E9E">
        <w:t xml:space="preserve">have been raised </w:t>
      </w:r>
      <w:r>
        <w:t xml:space="preserve">that the requirement for each joint account holder to ‘opt-in’ to sharing before joint account data can be shared will lead to poor consumer outcomes. </w:t>
      </w:r>
    </w:p>
    <w:p w14:paraId="56833F92" w14:textId="5D4E7D0E" w:rsidR="00754C9B" w:rsidRDefault="00754C9B" w:rsidP="00D736D1">
      <w:pPr>
        <w:pStyle w:val="ListParagraph"/>
        <w:numPr>
          <w:ilvl w:val="0"/>
          <w:numId w:val="78"/>
        </w:numPr>
        <w:spacing w:after="240"/>
        <w:ind w:left="357" w:hanging="357"/>
        <w:contextualSpacing w:val="0"/>
      </w:pPr>
      <w:r>
        <w:t xml:space="preserve">Given this, and the work that is concurrently progressing to extend the CDR to the energy sector, we </w:t>
      </w:r>
      <w:r w:rsidR="008D3833">
        <w:t>are considering</w:t>
      </w:r>
      <w:r>
        <w:t xml:space="preserve"> whether alternate joint accounts policy settings are appropriate, align to consumer preferences</w:t>
      </w:r>
      <w:r w:rsidR="00DA2D90">
        <w:t>,</w:t>
      </w:r>
      <w:r>
        <w:t xml:space="preserve"> and are extensible to the future directions and sectors of the CDR. </w:t>
      </w:r>
    </w:p>
    <w:p w14:paraId="30CA1503" w14:textId="1501D8C8" w:rsidR="003E2E84" w:rsidRDefault="003E2E84" w:rsidP="00D736D1">
      <w:pPr>
        <w:pStyle w:val="ListParagraph"/>
        <w:numPr>
          <w:ilvl w:val="0"/>
          <w:numId w:val="78"/>
        </w:numPr>
        <w:spacing w:after="240"/>
        <w:contextualSpacing w:val="0"/>
      </w:pPr>
      <w:r>
        <w:t xml:space="preserve">The current model is banking-sector specific (see Schedule 3, Part 4 of the rules). </w:t>
      </w:r>
      <w:r w:rsidR="009C510C">
        <w:t xml:space="preserve">The </w:t>
      </w:r>
      <w:r>
        <w:t xml:space="preserve">‘opt-in’ </w:t>
      </w:r>
      <w:r w:rsidR="009C510C">
        <w:t xml:space="preserve">requirement </w:t>
      </w:r>
      <w:r>
        <w:t xml:space="preserve">means that while one joint account holder may initiate a consent process with an ADR to share joint account data, the process will stall if any other joint account holders have not previously indicated that they wish to share data from the account. ADRs have raised concerns </w:t>
      </w:r>
      <w:r w:rsidR="00EA238A">
        <w:t>that the current approach</w:t>
      </w:r>
      <w:r>
        <w:t xml:space="preserve"> introduces excessive friction leading </w:t>
      </w:r>
      <w:r w:rsidR="00EA238A">
        <w:t xml:space="preserve">to </w:t>
      </w:r>
      <w:r>
        <w:t xml:space="preserve">unfulfilled data sharing requests, ultimately discouraging businesses from offering CDR-based services to consumers. </w:t>
      </w:r>
    </w:p>
    <w:p w14:paraId="5A7574A7" w14:textId="55D1E2AA" w:rsidR="003E2E84" w:rsidRPr="009809C2" w:rsidRDefault="003E2E84" w:rsidP="00D736D1">
      <w:pPr>
        <w:pStyle w:val="ListParagraph"/>
        <w:numPr>
          <w:ilvl w:val="0"/>
          <w:numId w:val="78"/>
        </w:numPr>
        <w:spacing w:after="240"/>
        <w:contextualSpacing w:val="0"/>
      </w:pPr>
      <w:r>
        <w:t xml:space="preserve">Amendments to the rules in December 2020 were designed to reduce friction by allowing the initiating joint account holder to make the ‘opt-in’ decision at the time of authorisation, with a notification then being sent to the other joint account holder(s) to prompt them to also ‘opt-in’. However, we have received feedback that this addition will be unlikely to sufficiently address </w:t>
      </w:r>
      <w:r w:rsidRPr="009809C2">
        <w:t xml:space="preserve">concerns about friction. </w:t>
      </w:r>
    </w:p>
    <w:p w14:paraId="5AE4AD12" w14:textId="5190D84B" w:rsidR="00754C9B" w:rsidRDefault="00754C9B" w:rsidP="00D736D1">
      <w:pPr>
        <w:pStyle w:val="ListParagraph"/>
        <w:numPr>
          <w:ilvl w:val="0"/>
          <w:numId w:val="78"/>
        </w:numPr>
        <w:spacing w:after="240"/>
        <w:contextualSpacing w:val="0"/>
      </w:pPr>
      <w:r>
        <w:t xml:space="preserve">This design paper sets out proposals from the Treasury and the Data Standards Body on options for how an ‘opt-out’ approach could be implemented in the rules and standards. </w:t>
      </w:r>
      <w:r w:rsidR="00D87982">
        <w:t xml:space="preserve">Our aim is to articulate a sector-agnostic data sharing model that </w:t>
      </w:r>
      <w:r w:rsidR="00A55479">
        <w:t>provides</w:t>
      </w:r>
      <w:r w:rsidR="00EA238A">
        <w:t xml:space="preserve"> an optimal </w:t>
      </w:r>
      <w:r w:rsidR="00A55479">
        <w:t xml:space="preserve">joint accounts data sharing </w:t>
      </w:r>
      <w:r w:rsidR="00EA238A">
        <w:t>consumer experience that reduces friction for consumers while also providing appropriate control and transparency.</w:t>
      </w:r>
    </w:p>
    <w:p w14:paraId="52168AD9" w14:textId="6A7AE335" w:rsidR="001E0C54" w:rsidRDefault="00537F19" w:rsidP="001E0C54">
      <w:pPr>
        <w:pStyle w:val="ListParagraph"/>
        <w:numPr>
          <w:ilvl w:val="0"/>
          <w:numId w:val="78"/>
        </w:numPr>
        <w:spacing w:after="240"/>
        <w:ind w:left="357" w:hanging="357"/>
        <w:contextualSpacing w:val="0"/>
      </w:pPr>
      <w:r>
        <w:t>This is not a banking</w:t>
      </w:r>
      <w:r w:rsidR="00900CC7">
        <w:t xml:space="preserve"> sector</w:t>
      </w:r>
      <w:r>
        <w:t>-specific consultation.</w:t>
      </w:r>
      <w:r w:rsidR="007346AD">
        <w:t xml:space="preserve"> Our intention is to develop a model that will be workable for data sharing on joint accounts across the economy. We therefore strongly encourage </w:t>
      </w:r>
      <w:r w:rsidR="000A17FC">
        <w:t xml:space="preserve">stakeholder feedback </w:t>
      </w:r>
      <w:r w:rsidR="00687BDD">
        <w:t>from all sectors and would particularly value feedback on whether the concepts</w:t>
      </w:r>
      <w:r w:rsidR="002B4703">
        <w:t xml:space="preserve"> and preferred options</w:t>
      </w:r>
      <w:r w:rsidR="00687BDD">
        <w:t xml:space="preserve"> raised in this paper are </w:t>
      </w:r>
      <w:r w:rsidR="002B4703">
        <w:t>feasible</w:t>
      </w:r>
      <w:r w:rsidR="00687BDD">
        <w:t xml:space="preserve"> from an economy-wide perspective</w:t>
      </w:r>
      <w:r w:rsidR="002D5FC1">
        <w:t xml:space="preserve">. </w:t>
      </w:r>
      <w:r w:rsidR="001E0C54">
        <w:t xml:space="preserve"> </w:t>
      </w:r>
    </w:p>
    <w:p w14:paraId="79BF014B" w14:textId="3A5E8F4E" w:rsidR="001E0C54" w:rsidRDefault="00710E9E" w:rsidP="001E0C54">
      <w:pPr>
        <w:pStyle w:val="ListParagraph"/>
        <w:numPr>
          <w:ilvl w:val="0"/>
          <w:numId w:val="78"/>
        </w:numPr>
        <w:spacing w:after="240"/>
        <w:contextualSpacing w:val="0"/>
      </w:pPr>
      <w:r>
        <w:t>T</w:t>
      </w:r>
      <w:r w:rsidR="001E0C54">
        <w:t xml:space="preserve">his consultation will impact those </w:t>
      </w:r>
      <w:r w:rsidR="00DA2D90">
        <w:t xml:space="preserve">currently </w:t>
      </w:r>
      <w:r w:rsidR="001E0C54">
        <w:t>implementing</w:t>
      </w:r>
      <w:r>
        <w:t xml:space="preserve"> the functionality to enable joint account sharing required from November 2021. We seek feedback on what extensions for compliance deadlines may be required </w:t>
      </w:r>
      <w:proofErr w:type="gramStart"/>
      <w:r>
        <w:t>in light of</w:t>
      </w:r>
      <w:proofErr w:type="gramEnd"/>
      <w:r>
        <w:t xml:space="preserve"> the options being proposed. </w:t>
      </w:r>
    </w:p>
    <w:p w14:paraId="68C21A18" w14:textId="1A374A59" w:rsidR="00866CB3" w:rsidRDefault="00A40E52" w:rsidP="00D736D1">
      <w:pPr>
        <w:pStyle w:val="ListParagraph"/>
        <w:numPr>
          <w:ilvl w:val="0"/>
          <w:numId w:val="78"/>
        </w:numPr>
        <w:spacing w:after="240"/>
        <w:ind w:left="357" w:hanging="357"/>
        <w:contextualSpacing w:val="0"/>
      </w:pPr>
      <w:r>
        <w:t>The</w:t>
      </w:r>
      <w:r w:rsidR="00866CB3">
        <w:t xml:space="preserve"> joint account rules</w:t>
      </w:r>
      <w:r w:rsidR="00866CB3" w:rsidDel="00AD2F5C">
        <w:t xml:space="preserve"> </w:t>
      </w:r>
      <w:r w:rsidR="00866CB3">
        <w:t xml:space="preserve">already in place for the banking sector will be used as the basis for considering </w:t>
      </w:r>
      <w:r w:rsidR="00E93EE7">
        <w:t>the exten</w:t>
      </w:r>
      <w:r w:rsidR="00E336FF">
        <w:t>t</w:t>
      </w:r>
      <w:r w:rsidR="00E93EE7">
        <w:t xml:space="preserve"> to which </w:t>
      </w:r>
      <w:r w:rsidR="00E336FF">
        <w:t>amendments are needed to accommodate a revised data sharing model</w:t>
      </w:r>
      <w:r w:rsidR="00866CB3">
        <w:t xml:space="preserve">. To facilitate participation in this consultation, </w:t>
      </w:r>
      <w:r w:rsidR="00E93EE7">
        <w:t>we encourage stakeholders to review the existing joint account rules at Schedule 3, Part 4 of the rules.</w:t>
      </w:r>
      <w:r w:rsidR="00866CB3">
        <w:t xml:space="preserve"> </w:t>
      </w:r>
      <w:r w:rsidR="00092AA3">
        <w:t xml:space="preserve">The </w:t>
      </w:r>
      <w:hyperlink r:id="rId11" w:history="1">
        <w:r w:rsidR="00092AA3" w:rsidRPr="00092AA3">
          <w:rPr>
            <w:rStyle w:val="Hyperlink"/>
          </w:rPr>
          <w:t>Joint account implementation guidance</w:t>
        </w:r>
      </w:hyperlink>
      <w:r w:rsidR="00092AA3">
        <w:t xml:space="preserve"> is also a useful reference</w:t>
      </w:r>
      <w:r w:rsidR="00AF3D2F">
        <w:t xml:space="preserve"> </w:t>
      </w:r>
      <w:r w:rsidR="009D60F5">
        <w:t>to aid understanding of</w:t>
      </w:r>
      <w:r w:rsidR="00AF3D2F">
        <w:t xml:space="preserve"> the rules</w:t>
      </w:r>
      <w:r w:rsidR="00092AA3">
        <w:t>.</w:t>
      </w:r>
    </w:p>
    <w:p w14:paraId="562C0A61" w14:textId="244D2AB7" w:rsidR="00B3498F" w:rsidRDefault="00B3498F" w:rsidP="00B3498F">
      <w:pPr>
        <w:pStyle w:val="ListParagraph"/>
        <w:numPr>
          <w:ilvl w:val="0"/>
          <w:numId w:val="78"/>
        </w:numPr>
        <w:spacing w:after="240"/>
        <w:contextualSpacing w:val="0"/>
      </w:pPr>
      <w:r>
        <w:t xml:space="preserve">Wireframes accompany this paper as visual aids. The full list of these wireframes can be found online </w:t>
      </w:r>
      <w:hyperlink r:id="rId12" w:history="1">
        <w:r>
          <w:rPr>
            <w:rStyle w:val="Hyperlink"/>
          </w:rPr>
          <w:t>here</w:t>
        </w:r>
      </w:hyperlink>
      <w:r>
        <w:t xml:space="preserve">, or via </w:t>
      </w:r>
      <w:hyperlink r:id="rId13" w:history="1">
        <w:r>
          <w:rPr>
            <w:rStyle w:val="Hyperlink"/>
          </w:rPr>
          <w:t>downloadable PDFs</w:t>
        </w:r>
      </w:hyperlink>
      <w:r>
        <w:t xml:space="preserve">. To provide feedback on the wireframes, or to refer to the wireframes in a submission, participants should specify the flow number and the numbered component. For example, referencing </w:t>
      </w:r>
      <w:r w:rsidRPr="003A4257">
        <w:rPr>
          <w:b/>
          <w:bCs/>
        </w:rPr>
        <w:t>1.1.3</w:t>
      </w:r>
      <w:r>
        <w:t xml:space="preserve"> would specify the point where the consumer selects which </w:t>
      </w:r>
      <w:proofErr w:type="gramStart"/>
      <w:r>
        <w:t>accounts</w:t>
      </w:r>
      <w:proofErr w:type="gramEnd"/>
      <w:r>
        <w:t xml:space="preserve"> they would like to share before the authorisation the disclosure of their data.</w:t>
      </w:r>
    </w:p>
    <w:p w14:paraId="52751132" w14:textId="0868F4E7" w:rsidR="005673D1" w:rsidRPr="001C05EF" w:rsidRDefault="00FD2A5B" w:rsidP="00D736D1">
      <w:pPr>
        <w:pStyle w:val="Heading1"/>
        <w:numPr>
          <w:ilvl w:val="0"/>
          <w:numId w:val="43"/>
        </w:numPr>
        <w:spacing w:before="240"/>
        <w:ind w:left="522" w:hanging="522"/>
        <w:contextualSpacing/>
      </w:pPr>
      <w:r>
        <w:t>Design considerations</w:t>
      </w:r>
    </w:p>
    <w:p w14:paraId="4554A0B6" w14:textId="7185029E" w:rsidR="00D84FF2" w:rsidRDefault="004B1B26" w:rsidP="00D736D1">
      <w:pPr>
        <w:pStyle w:val="ListParagraph"/>
        <w:numPr>
          <w:ilvl w:val="0"/>
          <w:numId w:val="78"/>
        </w:numPr>
        <w:spacing w:after="240"/>
        <w:contextualSpacing w:val="0"/>
      </w:pPr>
      <w:r>
        <w:t xml:space="preserve">In developing a </w:t>
      </w:r>
      <w:r w:rsidR="00D84FF2">
        <w:t xml:space="preserve">default ‘opt-out’ setting </w:t>
      </w:r>
      <w:r>
        <w:t>for joint account data sharing,</w:t>
      </w:r>
      <w:r w:rsidR="005B67EF">
        <w:t xml:space="preserve"> there is a need to </w:t>
      </w:r>
      <w:r w:rsidR="00E03990">
        <w:t>consider</w:t>
      </w:r>
      <w:r w:rsidR="005B67EF">
        <w:t xml:space="preserve"> and balance </w:t>
      </w:r>
      <w:r w:rsidR="00E03990">
        <w:t>several</w:t>
      </w:r>
      <w:r w:rsidR="005B67EF">
        <w:t xml:space="preserve"> relevant factors</w:t>
      </w:r>
      <w:r w:rsidR="00D84FF2">
        <w:t>:</w:t>
      </w:r>
    </w:p>
    <w:p w14:paraId="18495AA6" w14:textId="1D6E2B3B" w:rsidR="006F34F2" w:rsidRDefault="006F34F2" w:rsidP="00D84FF2">
      <w:pPr>
        <w:pStyle w:val="ListParagraph"/>
        <w:numPr>
          <w:ilvl w:val="0"/>
          <w:numId w:val="33"/>
        </w:numPr>
        <w:spacing w:after="240"/>
        <w:ind w:left="714" w:hanging="357"/>
      </w:pPr>
      <w:r>
        <w:t>extensibility to future sectors</w:t>
      </w:r>
    </w:p>
    <w:p w14:paraId="5AA64C2B" w14:textId="56DDDBE2" w:rsidR="00D84FF2" w:rsidRPr="00AD560B" w:rsidRDefault="00D84FF2" w:rsidP="00D84FF2">
      <w:pPr>
        <w:pStyle w:val="ListParagraph"/>
        <w:numPr>
          <w:ilvl w:val="0"/>
          <w:numId w:val="33"/>
        </w:numPr>
        <w:spacing w:after="240"/>
        <w:ind w:left="714" w:hanging="357"/>
      </w:pPr>
      <w:r w:rsidRPr="008B4669">
        <w:t xml:space="preserve">consumer </w:t>
      </w:r>
      <w:r w:rsidRPr="00AD560B">
        <w:t>control and oversight</w:t>
      </w:r>
    </w:p>
    <w:p w14:paraId="38C4F699" w14:textId="77777777" w:rsidR="00D84FF2" w:rsidRPr="00AD560B" w:rsidRDefault="00D84FF2" w:rsidP="00D84FF2">
      <w:pPr>
        <w:pStyle w:val="ListParagraph"/>
        <w:numPr>
          <w:ilvl w:val="0"/>
          <w:numId w:val="33"/>
        </w:numPr>
        <w:spacing w:after="240"/>
        <w:ind w:left="714" w:hanging="357"/>
      </w:pPr>
      <w:r w:rsidRPr="008B4669">
        <w:t>c</w:t>
      </w:r>
      <w:r w:rsidRPr="00AD560B">
        <w:t>onvenience for consumers, including limiting friction</w:t>
      </w:r>
    </w:p>
    <w:p w14:paraId="7735116A" w14:textId="6C5B4A39" w:rsidR="00D84FF2" w:rsidRPr="00AD560B" w:rsidRDefault="00D84FF2" w:rsidP="00D84FF2">
      <w:pPr>
        <w:pStyle w:val="ListParagraph"/>
        <w:numPr>
          <w:ilvl w:val="0"/>
          <w:numId w:val="33"/>
        </w:numPr>
        <w:spacing w:after="240"/>
        <w:ind w:left="714" w:hanging="357"/>
      </w:pPr>
      <w:r w:rsidRPr="008B4669">
        <w:t xml:space="preserve">encouraging </w:t>
      </w:r>
      <w:r w:rsidR="005B67EF">
        <w:t xml:space="preserve">new and </w:t>
      </w:r>
      <w:r w:rsidRPr="008B4669">
        <w:t xml:space="preserve">innovative CDR offerings and </w:t>
      </w:r>
      <w:r w:rsidR="005B67EF">
        <w:t>participation in the CDR by</w:t>
      </w:r>
      <w:r w:rsidRPr="00AD560B">
        <w:t xml:space="preserve"> </w:t>
      </w:r>
      <w:r w:rsidR="00AB2CE8">
        <w:t>ADRs</w:t>
      </w:r>
    </w:p>
    <w:p w14:paraId="7A3E6792" w14:textId="369AF2E5" w:rsidR="00F9039D" w:rsidRPr="006F34F2" w:rsidRDefault="00D84FF2" w:rsidP="006F34F2">
      <w:pPr>
        <w:pStyle w:val="ListParagraph"/>
        <w:numPr>
          <w:ilvl w:val="0"/>
          <w:numId w:val="33"/>
        </w:numPr>
        <w:spacing w:after="240"/>
        <w:ind w:left="714" w:hanging="357"/>
        <w:contextualSpacing w:val="0"/>
        <w:rPr>
          <w:b/>
          <w:bCs/>
        </w:rPr>
      </w:pPr>
      <w:r w:rsidRPr="008B4669">
        <w:t>regulatory costs</w:t>
      </w:r>
      <w:r>
        <w:t xml:space="preserve"> and implementation timelines, including leveraging </w:t>
      </w:r>
      <w:r w:rsidR="005B67EF">
        <w:t xml:space="preserve">the </w:t>
      </w:r>
      <w:r>
        <w:t>current implementation</w:t>
      </w:r>
      <w:r w:rsidR="005B67EF">
        <w:t xml:space="preserve">s for the joint account functionality </w:t>
      </w:r>
      <w:r w:rsidR="00D11CB2">
        <w:t>already</w:t>
      </w:r>
      <w:r w:rsidR="005B67EF">
        <w:t xml:space="preserve"> and </w:t>
      </w:r>
      <w:r w:rsidR="00D11CB2">
        <w:t>currently</w:t>
      </w:r>
      <w:r w:rsidR="005B67EF">
        <w:t xml:space="preserve"> being built by data holders</w:t>
      </w:r>
      <w:r w:rsidR="00F1715A">
        <w:t xml:space="preserve"> </w:t>
      </w:r>
      <w:r w:rsidR="003A4531">
        <w:t xml:space="preserve">and ensuring </w:t>
      </w:r>
      <w:r w:rsidR="006623B6">
        <w:t>joint account data</w:t>
      </w:r>
      <w:r w:rsidR="003A4531">
        <w:t xml:space="preserve"> is </w:t>
      </w:r>
      <w:r w:rsidR="006623B6">
        <w:t>sharable</w:t>
      </w:r>
      <w:r w:rsidR="003A4531">
        <w:t xml:space="preserve"> as soon as reasonably practicable</w:t>
      </w:r>
      <w:r w:rsidR="006F34F2">
        <w:t>.</w:t>
      </w:r>
    </w:p>
    <w:p w14:paraId="32FD9DA5" w14:textId="77777777" w:rsidR="00014E9B" w:rsidRDefault="009911DA" w:rsidP="00014E9B">
      <w:pPr>
        <w:pStyle w:val="ListParagraph"/>
        <w:numPr>
          <w:ilvl w:val="0"/>
          <w:numId w:val="78"/>
        </w:numPr>
        <w:spacing w:after="240"/>
        <w:contextualSpacing w:val="0"/>
      </w:pPr>
      <w:r>
        <w:t xml:space="preserve">The CDR aims to leverage and support </w:t>
      </w:r>
      <w:r w:rsidR="005B67EF">
        <w:t xml:space="preserve">the </w:t>
      </w:r>
      <w:r>
        <w:t>existing protections</w:t>
      </w:r>
      <w:r w:rsidR="005B67EF">
        <w:t xml:space="preserve"> for consumers</w:t>
      </w:r>
      <w:r>
        <w:t xml:space="preserve"> in the sectors it expands into. </w:t>
      </w:r>
      <w:r w:rsidR="003C2DE1">
        <w:t>The</w:t>
      </w:r>
      <w:r w:rsidR="005B67EF">
        <w:t>re are a range of</w:t>
      </w:r>
      <w:r w:rsidR="003C2DE1">
        <w:t xml:space="preserve"> existing protections</w:t>
      </w:r>
      <w:r w:rsidR="005B67EF">
        <w:t xml:space="preserve"> in the CDR rules to protect</w:t>
      </w:r>
      <w:r w:rsidR="003C2DE1" w:rsidDel="005B67EF">
        <w:t xml:space="preserve"> </w:t>
      </w:r>
      <w:r w:rsidR="003C2DE1">
        <w:t>v</w:t>
      </w:r>
      <w:r w:rsidR="0049409C">
        <w:t>ulnerable consumer</w:t>
      </w:r>
      <w:r w:rsidR="003C2DE1">
        <w:t>s</w:t>
      </w:r>
      <w:r w:rsidR="0049409C">
        <w:t xml:space="preserve"> </w:t>
      </w:r>
      <w:r w:rsidR="005B67EF">
        <w:t>which will remain unchanged</w:t>
      </w:r>
      <w:r w:rsidR="0049409C">
        <w:t>, regardless of other policy settings that are introduced or reconfigured for joint accounts.</w:t>
      </w:r>
      <w:r w:rsidR="00A060E6">
        <w:t xml:space="preserve"> </w:t>
      </w:r>
    </w:p>
    <w:p w14:paraId="336E04A6" w14:textId="2D2C769E" w:rsidR="00014E9B" w:rsidRPr="00014E9B" w:rsidRDefault="00014E9B" w:rsidP="001E0C54">
      <w:pPr>
        <w:pStyle w:val="ListParagraph"/>
        <w:numPr>
          <w:ilvl w:val="0"/>
          <w:numId w:val="33"/>
        </w:numPr>
        <w:spacing w:after="240"/>
        <w:ind w:left="714" w:hanging="357"/>
        <w:contextualSpacing w:val="0"/>
      </w:pPr>
      <w:r>
        <w:t xml:space="preserve">The current rules operate on the basis that data sharing is not required, or oversight of data sharing is not required (including multi-party approvals), where a data holder considers it necessary to prevent physical or financial harm or abuse. The rules also allow data holders to treat joint accounts as if they were held in the name of one person alone where a data holder considers it necessary to prevent physical or financial harm or abuse. </w:t>
      </w:r>
    </w:p>
    <w:p w14:paraId="097FE141" w14:textId="77777777" w:rsidR="00014E9B" w:rsidRPr="00014E9B" w:rsidRDefault="00DF6C87" w:rsidP="00014E9B">
      <w:pPr>
        <w:pStyle w:val="ListParagraph"/>
        <w:numPr>
          <w:ilvl w:val="0"/>
          <w:numId w:val="33"/>
        </w:numPr>
        <w:spacing w:after="240"/>
        <w:ind w:left="714" w:hanging="357"/>
        <w:contextualSpacing w:val="0"/>
        <w:rPr>
          <w:u w:val="single"/>
        </w:rPr>
      </w:pPr>
      <w:hyperlink r:id="rId14" w:history="1">
        <w:r w:rsidR="00A060E6">
          <w:rPr>
            <w:rStyle w:val="Hyperlink"/>
          </w:rPr>
          <w:t>Wireframe 1.3</w:t>
        </w:r>
      </w:hyperlink>
      <w:r w:rsidR="00A060E6">
        <w:t xml:space="preserve"> (</w:t>
      </w:r>
      <w:hyperlink r:id="rId15" w:history="1">
        <w:r w:rsidR="00A060E6">
          <w:rPr>
            <w:rStyle w:val="Hyperlink"/>
          </w:rPr>
          <w:t>PDF version</w:t>
        </w:r>
      </w:hyperlink>
      <w:r w:rsidR="00A060E6">
        <w:t xml:space="preserve">) demonstrates how joint account sharing could work where the data holder deems it necessary to treat the joint account like an individual account to mitigate physical or financial harm or abuse. </w:t>
      </w:r>
    </w:p>
    <w:p w14:paraId="7E48A591" w14:textId="68A4C7DC" w:rsidR="0049409C" w:rsidRPr="00014E9B" w:rsidRDefault="00014E9B" w:rsidP="00014E9B">
      <w:pPr>
        <w:pStyle w:val="ListParagraph"/>
        <w:numPr>
          <w:ilvl w:val="0"/>
          <w:numId w:val="78"/>
        </w:numPr>
        <w:spacing w:after="240"/>
        <w:contextualSpacing w:val="0"/>
      </w:pPr>
      <w:r>
        <w:t>We consider these protections, and the prohibition on sharing customer data of another person,</w:t>
      </w:r>
      <w:r>
        <w:rPr>
          <w:rStyle w:val="FootnoteReference"/>
        </w:rPr>
        <w:footnoteReference w:id="2"/>
      </w:r>
      <w:r>
        <w:t xml:space="preserve"> should be maintained to support the autonomy and wellbeing of consumers. </w:t>
      </w:r>
      <w:r w:rsidR="00A67F09">
        <w:t>However, we welcome feedback on whether additional protections for vulnerable consumers are appropriate if a shift</w:t>
      </w:r>
      <w:r w:rsidR="00EE1AE9">
        <w:t xml:space="preserve"> to ‘opt-out’ is supported.</w:t>
      </w:r>
      <w:r w:rsidR="00A060E6">
        <w:t xml:space="preserve"> </w:t>
      </w:r>
    </w:p>
    <w:p w14:paraId="75E708CD" w14:textId="210639ED" w:rsidR="00B153BE" w:rsidRDefault="005F409E" w:rsidP="00D736D1">
      <w:pPr>
        <w:pStyle w:val="Heading1"/>
        <w:numPr>
          <w:ilvl w:val="0"/>
          <w:numId w:val="43"/>
        </w:numPr>
        <w:spacing w:before="240"/>
        <w:ind w:left="522" w:hanging="522"/>
        <w:contextualSpacing/>
      </w:pPr>
      <w:r>
        <w:t xml:space="preserve">Structure of </w:t>
      </w:r>
      <w:r w:rsidR="00DA2D90">
        <w:t xml:space="preserve">this </w:t>
      </w:r>
      <w:r>
        <w:t>paper</w:t>
      </w:r>
    </w:p>
    <w:p w14:paraId="7D8FF691" w14:textId="2F007D69" w:rsidR="00F01C1A" w:rsidRDefault="00B3673E" w:rsidP="00D736D1">
      <w:pPr>
        <w:pStyle w:val="ListParagraph"/>
        <w:numPr>
          <w:ilvl w:val="0"/>
          <w:numId w:val="78"/>
        </w:numPr>
        <w:spacing w:after="240"/>
        <w:contextualSpacing w:val="0"/>
      </w:pPr>
      <w:r>
        <w:t>Th</w:t>
      </w:r>
      <w:r w:rsidR="00DA2D90">
        <w:t>is paper is structured as follow</w:t>
      </w:r>
      <w:r w:rsidR="006A4AC1">
        <w:t>s</w:t>
      </w:r>
      <w:r>
        <w:t xml:space="preserve">: </w:t>
      </w:r>
    </w:p>
    <w:p w14:paraId="2B7ADB9B" w14:textId="189FAED6" w:rsidR="00EC00C6" w:rsidRPr="00EC00C6" w:rsidRDefault="00EC00C6" w:rsidP="00A67024">
      <w:pPr>
        <w:pStyle w:val="ListParagraph"/>
        <w:numPr>
          <w:ilvl w:val="0"/>
          <w:numId w:val="42"/>
        </w:numPr>
        <w:spacing w:after="240"/>
        <w:contextualSpacing w:val="0"/>
      </w:pPr>
      <w:r w:rsidRPr="00EC00C6">
        <w:rPr>
          <w:b/>
          <w:bCs/>
        </w:rPr>
        <w:t>Joint a</w:t>
      </w:r>
      <w:bookmarkStart w:id="0" w:name="tempbookmark"/>
      <w:bookmarkEnd w:id="0"/>
      <w:r w:rsidRPr="00EC00C6">
        <w:rPr>
          <w:b/>
          <w:bCs/>
        </w:rPr>
        <w:t>ccounts in a cross-sectoral context:</w:t>
      </w:r>
      <w:r>
        <w:t xml:space="preserve"> we seek feedback on the extent to which the current </w:t>
      </w:r>
      <w:r w:rsidR="00942BDE">
        <w:t xml:space="preserve">concept of a joint account </w:t>
      </w:r>
      <w:r>
        <w:t xml:space="preserve">would be relevant </w:t>
      </w:r>
      <w:r w:rsidR="00942BDE">
        <w:t xml:space="preserve">to be applied </w:t>
      </w:r>
      <w:r>
        <w:t>on a cross-sectoral basis.</w:t>
      </w:r>
    </w:p>
    <w:p w14:paraId="2FBF06CF" w14:textId="0DDE7D55" w:rsidR="00A67024" w:rsidRPr="004A6873" w:rsidRDefault="00940624" w:rsidP="00A67024">
      <w:pPr>
        <w:pStyle w:val="ListParagraph"/>
        <w:numPr>
          <w:ilvl w:val="0"/>
          <w:numId w:val="42"/>
        </w:numPr>
        <w:spacing w:after="240"/>
        <w:contextualSpacing w:val="0"/>
      </w:pPr>
      <w:r w:rsidRPr="00940624">
        <w:rPr>
          <w:b/>
          <w:bCs/>
        </w:rPr>
        <w:t xml:space="preserve">Default </w:t>
      </w:r>
      <w:r w:rsidR="00CD2535" w:rsidRPr="00CD2535">
        <w:rPr>
          <w:b/>
          <w:bCs/>
        </w:rPr>
        <w:t xml:space="preserve">setting for an </w:t>
      </w:r>
      <w:r w:rsidRPr="00940624">
        <w:rPr>
          <w:b/>
          <w:bCs/>
        </w:rPr>
        <w:t>‘opt-</w:t>
      </w:r>
      <w:r w:rsidR="00CD2535" w:rsidRPr="00CD2535">
        <w:rPr>
          <w:b/>
          <w:bCs/>
        </w:rPr>
        <w:t>out’ approach</w:t>
      </w:r>
      <w:r w:rsidR="00DD5610" w:rsidRPr="00416427">
        <w:t>:</w:t>
      </w:r>
      <w:r w:rsidR="007569A5">
        <w:rPr>
          <w:b/>
          <w:bCs/>
        </w:rPr>
        <w:t xml:space="preserve"> </w:t>
      </w:r>
      <w:r w:rsidR="006233AA">
        <w:t>we seek</w:t>
      </w:r>
      <w:r w:rsidR="005F364F">
        <w:t xml:space="preserve"> feedback on joint accounts sharing settings being set to ‘on’, allowing each joint account holder to automatically share data on the joint account after providing a consent to the accredited person and an authorisation to the data holder.</w:t>
      </w:r>
    </w:p>
    <w:p w14:paraId="58652B6A" w14:textId="64CAAF1D" w:rsidR="00FB5F8C" w:rsidRPr="00D83C51" w:rsidRDefault="00777F20" w:rsidP="00D736D1">
      <w:pPr>
        <w:pStyle w:val="Dash"/>
        <w:numPr>
          <w:ilvl w:val="0"/>
          <w:numId w:val="42"/>
        </w:numPr>
        <w:spacing w:after="240"/>
        <w:rPr>
          <w:b w:val="0"/>
          <w:bCs w:val="0"/>
        </w:rPr>
      </w:pPr>
      <w:r>
        <w:t>Complex</w:t>
      </w:r>
      <w:r w:rsidR="00632D4B">
        <w:t xml:space="preserve"> joint accounts</w:t>
      </w:r>
      <w:r w:rsidR="005F364F" w:rsidRPr="00416427">
        <w:rPr>
          <w:b w:val="0"/>
          <w:bCs w:val="0"/>
        </w:rPr>
        <w:t>:</w:t>
      </w:r>
      <w:r w:rsidR="00416427" w:rsidRPr="00416427">
        <w:rPr>
          <w:b w:val="0"/>
          <w:bCs w:val="0"/>
        </w:rPr>
        <w:t xml:space="preserve"> where</w:t>
      </w:r>
      <w:r w:rsidR="002E7673" w:rsidRPr="00D83C51">
        <w:rPr>
          <w:b w:val="0"/>
          <w:bCs w:val="0"/>
        </w:rPr>
        <w:t xml:space="preserve"> a joint account </w:t>
      </w:r>
      <w:r w:rsidR="00311988">
        <w:rPr>
          <w:b w:val="0"/>
          <w:bCs w:val="0"/>
        </w:rPr>
        <w:t xml:space="preserve">has been set up by the account holders to </w:t>
      </w:r>
      <w:r w:rsidR="00D83C51" w:rsidRPr="00D83C51">
        <w:rPr>
          <w:b w:val="0"/>
          <w:bCs w:val="0"/>
        </w:rPr>
        <w:t>require multiple approvals before a transaction can occur</w:t>
      </w:r>
      <w:r w:rsidR="008D6CB2">
        <w:rPr>
          <w:b w:val="0"/>
          <w:bCs w:val="0"/>
        </w:rPr>
        <w:t xml:space="preserve"> (</w:t>
      </w:r>
      <w:r w:rsidR="008D6CB2" w:rsidRPr="00A62FC6">
        <w:t xml:space="preserve">complex </w:t>
      </w:r>
      <w:r w:rsidR="00573A4C">
        <w:t xml:space="preserve">joint </w:t>
      </w:r>
      <w:r w:rsidR="008D6CB2" w:rsidRPr="00A62FC6">
        <w:t>accounts</w:t>
      </w:r>
      <w:r w:rsidR="008D6CB2">
        <w:rPr>
          <w:b w:val="0"/>
          <w:bCs w:val="0"/>
        </w:rPr>
        <w:t>)</w:t>
      </w:r>
      <w:r w:rsidR="00D83C51" w:rsidRPr="00D83C51">
        <w:rPr>
          <w:b w:val="0"/>
          <w:bCs w:val="0"/>
        </w:rPr>
        <w:t xml:space="preserve">, </w:t>
      </w:r>
      <w:r w:rsidR="001F3D5B">
        <w:rPr>
          <w:b w:val="0"/>
          <w:bCs w:val="0"/>
        </w:rPr>
        <w:t>we</w:t>
      </w:r>
      <w:r w:rsidR="002E7673" w:rsidRPr="00D83C51">
        <w:rPr>
          <w:b w:val="0"/>
          <w:bCs w:val="0"/>
        </w:rPr>
        <w:t xml:space="preserve"> seek feedback on three </w:t>
      </w:r>
      <w:r w:rsidR="0004448E" w:rsidRPr="00D83C51">
        <w:rPr>
          <w:b w:val="0"/>
          <w:bCs w:val="0"/>
        </w:rPr>
        <w:t>o</w:t>
      </w:r>
      <w:r w:rsidR="002E7673" w:rsidRPr="00D83C51">
        <w:rPr>
          <w:b w:val="0"/>
          <w:bCs w:val="0"/>
        </w:rPr>
        <w:t>ptions</w:t>
      </w:r>
      <w:r w:rsidR="0004448E" w:rsidRPr="00D83C51">
        <w:rPr>
          <w:b w:val="0"/>
          <w:bCs w:val="0"/>
        </w:rPr>
        <w:t>:</w:t>
      </w:r>
    </w:p>
    <w:p w14:paraId="6CC89AAB" w14:textId="42328BAA" w:rsidR="0004448E" w:rsidRDefault="0004448E" w:rsidP="00913F19">
      <w:pPr>
        <w:pStyle w:val="Dash"/>
        <w:numPr>
          <w:ilvl w:val="2"/>
          <w:numId w:val="68"/>
        </w:numPr>
        <w:spacing w:after="240"/>
        <w:ind w:left="2268" w:hanging="283"/>
        <w:contextualSpacing/>
        <w:rPr>
          <w:b w:val="0"/>
          <w:bCs w:val="0"/>
        </w:rPr>
      </w:pPr>
      <w:r>
        <w:rPr>
          <w:b w:val="0"/>
          <w:bCs w:val="0"/>
        </w:rPr>
        <w:t>mirroring current authorities to transact on the account</w:t>
      </w:r>
    </w:p>
    <w:p w14:paraId="20EEF27B" w14:textId="1BBE5F72" w:rsidR="0004448E" w:rsidRDefault="0004448E" w:rsidP="00913F19">
      <w:pPr>
        <w:pStyle w:val="Dash"/>
        <w:numPr>
          <w:ilvl w:val="2"/>
          <w:numId w:val="68"/>
        </w:numPr>
        <w:spacing w:after="240"/>
        <w:ind w:left="2268" w:hanging="283"/>
        <w:contextualSpacing/>
        <w:rPr>
          <w:b w:val="0"/>
          <w:bCs w:val="0"/>
        </w:rPr>
      </w:pPr>
      <w:r>
        <w:rPr>
          <w:b w:val="0"/>
          <w:bCs w:val="0"/>
        </w:rPr>
        <w:t>requiring ‘opt-in’</w:t>
      </w:r>
      <w:r w:rsidR="00311988">
        <w:rPr>
          <w:b w:val="0"/>
          <w:bCs w:val="0"/>
        </w:rPr>
        <w:t xml:space="preserve"> to share data by each account holder</w:t>
      </w:r>
    </w:p>
    <w:p w14:paraId="334A8816" w14:textId="71B20F99" w:rsidR="0004448E" w:rsidRDefault="0004448E" w:rsidP="00913F19">
      <w:pPr>
        <w:pStyle w:val="Dash"/>
        <w:numPr>
          <w:ilvl w:val="2"/>
          <w:numId w:val="68"/>
        </w:numPr>
        <w:spacing w:after="240"/>
        <w:ind w:left="2268" w:hanging="283"/>
        <w:contextualSpacing/>
        <w:rPr>
          <w:b w:val="0"/>
          <w:bCs w:val="0"/>
        </w:rPr>
      </w:pPr>
      <w:r>
        <w:rPr>
          <w:b w:val="0"/>
          <w:bCs w:val="0"/>
        </w:rPr>
        <w:t>adopting the ‘opt-out’ approach</w:t>
      </w:r>
      <w:r w:rsidR="008D6CB2">
        <w:rPr>
          <w:b w:val="0"/>
          <w:bCs w:val="0"/>
        </w:rPr>
        <w:t xml:space="preserve"> regardless of the authorities to transact on the account</w:t>
      </w:r>
      <w:r>
        <w:rPr>
          <w:b w:val="0"/>
          <w:bCs w:val="0"/>
        </w:rPr>
        <w:t>.</w:t>
      </w:r>
    </w:p>
    <w:p w14:paraId="33A316A7" w14:textId="24570366" w:rsidR="008A53C0" w:rsidRPr="004B4502" w:rsidRDefault="00940624" w:rsidP="004B4502">
      <w:pPr>
        <w:pStyle w:val="ListParagraph"/>
        <w:numPr>
          <w:ilvl w:val="0"/>
          <w:numId w:val="42"/>
        </w:numPr>
        <w:spacing w:after="240"/>
        <w:contextualSpacing w:val="0"/>
      </w:pPr>
      <w:r>
        <w:rPr>
          <w:b/>
          <w:bCs/>
        </w:rPr>
        <w:t>‘</w:t>
      </w:r>
      <w:r w:rsidR="00E26AD6">
        <w:rPr>
          <w:b/>
          <w:bCs/>
        </w:rPr>
        <w:t>Opt</w:t>
      </w:r>
      <w:r w:rsidR="00D8436B">
        <w:rPr>
          <w:b/>
          <w:bCs/>
        </w:rPr>
        <w:t>-</w:t>
      </w:r>
      <w:r>
        <w:rPr>
          <w:b/>
          <w:bCs/>
        </w:rPr>
        <w:t>out’ settings</w:t>
      </w:r>
      <w:r w:rsidR="003A566F" w:rsidRPr="003A566F">
        <w:t>: this paper proposes joint account holders should be able to override the default setting and</w:t>
      </w:r>
      <w:r w:rsidR="004B4502">
        <w:t xml:space="preserve"> </w:t>
      </w:r>
      <w:r w:rsidR="009D19B8" w:rsidRPr="004B4502">
        <w:t>set data sharing to ‘off’</w:t>
      </w:r>
      <w:r w:rsidR="004B4502">
        <w:t>.</w:t>
      </w:r>
      <w:r w:rsidR="004B4502" w:rsidRPr="004B4502">
        <w:t xml:space="preserve"> </w:t>
      </w:r>
      <w:r w:rsidR="004B4502">
        <w:t>Consistent with the requirements in the current rules, t</w:t>
      </w:r>
      <w:r w:rsidR="004B4502" w:rsidRPr="004B4502">
        <w:t xml:space="preserve">his paper also proposes </w:t>
      </w:r>
      <w:r w:rsidR="004B4502">
        <w:t>joint account holders should have</w:t>
      </w:r>
      <w:r w:rsidR="004B4502" w:rsidRPr="004B4502">
        <w:t xml:space="preserve"> granular functionality to cease</w:t>
      </w:r>
      <w:r w:rsidR="004B4502">
        <w:t xml:space="preserve"> individual</w:t>
      </w:r>
      <w:r w:rsidR="004B4502" w:rsidRPr="004B4502">
        <w:t xml:space="preserve"> data sharing </w:t>
      </w:r>
      <w:r w:rsidR="004B4502">
        <w:t>arrangements, whether initiated by themselves or another account holder.</w:t>
      </w:r>
    </w:p>
    <w:p w14:paraId="626A5D26" w14:textId="0BF78A2B" w:rsidR="00940624" w:rsidRPr="00DA5C61" w:rsidRDefault="00940624" w:rsidP="00D736D1">
      <w:pPr>
        <w:pStyle w:val="ListParagraph"/>
        <w:numPr>
          <w:ilvl w:val="0"/>
          <w:numId w:val="42"/>
        </w:numPr>
        <w:spacing w:after="240"/>
        <w:ind w:left="714" w:hanging="357"/>
        <w:contextualSpacing w:val="0"/>
      </w:pPr>
      <w:r>
        <w:rPr>
          <w:b/>
          <w:bCs/>
        </w:rPr>
        <w:t>Notification requirements</w:t>
      </w:r>
      <w:r w:rsidR="003A566F">
        <w:rPr>
          <w:b/>
          <w:bCs/>
        </w:rPr>
        <w:t>:</w:t>
      </w:r>
      <w:r w:rsidR="003A566F" w:rsidRPr="003A566F">
        <w:t xml:space="preserve"> </w:t>
      </w:r>
      <w:r w:rsidR="003A566F">
        <w:t>t</w:t>
      </w:r>
      <w:r w:rsidR="003A566F" w:rsidRPr="003A566F">
        <w:t>his paper proposes maintaining the notification requirements in the current rules. That is, data holders must provide notifications to all joint account holders where an account holder gives or amends an authorisation, when an authorisation expires and when an account holder turns ‘off’ data sharing or indicates they want a different disclosure option to apply to the account.</w:t>
      </w:r>
    </w:p>
    <w:p w14:paraId="75D4EAB9" w14:textId="06E8FC9D" w:rsidR="00667CB7" w:rsidRPr="003A566F" w:rsidRDefault="000650F7" w:rsidP="00D736D1">
      <w:pPr>
        <w:pStyle w:val="Dash"/>
        <w:numPr>
          <w:ilvl w:val="0"/>
          <w:numId w:val="42"/>
        </w:numPr>
        <w:spacing w:after="240"/>
        <w:rPr>
          <w:b w:val="0"/>
          <w:bCs w:val="0"/>
        </w:rPr>
      </w:pPr>
      <w:r>
        <w:t xml:space="preserve">Implementation </w:t>
      </w:r>
      <w:r w:rsidR="00360169">
        <w:t>c</w:t>
      </w:r>
      <w:r>
        <w:t>onsiderations</w:t>
      </w:r>
      <w:r w:rsidR="003A566F">
        <w:t xml:space="preserve">: </w:t>
      </w:r>
      <w:r w:rsidR="003A566F">
        <w:rPr>
          <w:b w:val="0"/>
          <w:bCs w:val="0"/>
        </w:rPr>
        <w:t>t</w:t>
      </w:r>
      <w:r w:rsidR="00667CB7" w:rsidRPr="003A566F">
        <w:rPr>
          <w:b w:val="0"/>
          <w:bCs w:val="0"/>
        </w:rPr>
        <w:t>his paper proposes a shift to an ‘opt-out’ approach is unlikely to significantly interrupt implementation efforts to d</w:t>
      </w:r>
      <w:r w:rsidR="00B3498F">
        <w:rPr>
          <w:b w:val="0"/>
          <w:bCs w:val="0"/>
        </w:rPr>
        <w:t>ate, and therefore a short extension of</w:t>
      </w:r>
      <w:r w:rsidR="00667CB7" w:rsidRPr="003A566F">
        <w:rPr>
          <w:b w:val="0"/>
          <w:bCs w:val="0"/>
        </w:rPr>
        <w:t xml:space="preserve"> the timelines for implementation of joint accounts may be appropriate.</w:t>
      </w:r>
    </w:p>
    <w:p w14:paraId="3EDF1CE5" w14:textId="77777777" w:rsidR="000F33E9" w:rsidRDefault="000F33E9">
      <w:pPr>
        <w:spacing w:after="160"/>
        <w:rPr>
          <w:rFonts w:asciiTheme="majorHAnsi" w:eastAsiaTheme="majorEastAsia" w:hAnsiTheme="majorHAnsi" w:cstheme="majorBidi"/>
          <w:spacing w:val="-10"/>
          <w:kern w:val="28"/>
          <w:sz w:val="40"/>
          <w:szCs w:val="40"/>
        </w:rPr>
      </w:pPr>
      <w:r>
        <w:br w:type="page"/>
      </w:r>
    </w:p>
    <w:p w14:paraId="4CFB2FA5" w14:textId="77777777" w:rsidR="00DC2F4E" w:rsidRDefault="00DC2F4E" w:rsidP="00A0505E">
      <w:pPr>
        <w:pStyle w:val="Title"/>
        <w:spacing w:before="120" w:after="240"/>
      </w:pPr>
      <w:r>
        <w:t>Part B – Content for review and feedback</w:t>
      </w:r>
    </w:p>
    <w:p w14:paraId="734B0ED5" w14:textId="2FCDC1E5" w:rsidR="000D68A7" w:rsidRDefault="00171C21" w:rsidP="000D68A7">
      <w:pPr>
        <w:pStyle w:val="Heading1"/>
        <w:numPr>
          <w:ilvl w:val="0"/>
          <w:numId w:val="43"/>
        </w:numPr>
        <w:contextualSpacing/>
      </w:pPr>
      <w:bookmarkStart w:id="1" w:name="_Hlk69218929"/>
      <w:r>
        <w:t>J</w:t>
      </w:r>
      <w:r w:rsidR="000D68A7">
        <w:t>oint account</w:t>
      </w:r>
      <w:r>
        <w:t>s in a cross-sectoral context</w:t>
      </w:r>
    </w:p>
    <w:p w14:paraId="59B1758C" w14:textId="4C7B7229" w:rsidR="00DA5E44" w:rsidRPr="002972F5" w:rsidRDefault="00DA5E44" w:rsidP="00DC7D35">
      <w:pPr>
        <w:pStyle w:val="Heading2"/>
        <w:numPr>
          <w:ilvl w:val="1"/>
          <w:numId w:val="43"/>
        </w:numPr>
        <w:tabs>
          <w:tab w:val="clear" w:pos="1040"/>
        </w:tabs>
        <w:ind w:left="426" w:hanging="426"/>
        <w:contextualSpacing/>
      </w:pPr>
      <w:r>
        <w:t>Topic Overview</w:t>
      </w:r>
    </w:p>
    <w:p w14:paraId="2184EF73" w14:textId="6944B6A6" w:rsidR="000D68A7" w:rsidRDefault="000D68A7" w:rsidP="00D736D1">
      <w:pPr>
        <w:pStyle w:val="ListParagraph"/>
        <w:numPr>
          <w:ilvl w:val="0"/>
          <w:numId w:val="78"/>
        </w:numPr>
        <w:spacing w:after="240"/>
        <w:contextualSpacing w:val="0"/>
      </w:pPr>
      <w:r>
        <w:t>The concept of a joint account is well understood in the banking sector. Schedule 3, clause 1.2 of the rules define a joint account as:</w:t>
      </w:r>
    </w:p>
    <w:p w14:paraId="03E2E22D" w14:textId="2A70215C" w:rsidR="000D68A7" w:rsidRDefault="000D68A7" w:rsidP="000D68A7">
      <w:pPr>
        <w:pStyle w:val="ListParagraph"/>
        <w:numPr>
          <w:ilvl w:val="0"/>
          <w:numId w:val="40"/>
        </w:numPr>
        <w:spacing w:after="240"/>
      </w:pPr>
      <w:r>
        <w:t xml:space="preserve">a joint account with a data holder for which there are </w:t>
      </w:r>
      <w:r w:rsidR="00135693">
        <w:t>two</w:t>
      </w:r>
      <w:r>
        <w:t xml:space="preserve"> or more joint account holders, each of which is an individual who</w:t>
      </w:r>
      <w:r w:rsidR="0053130F">
        <w:t xml:space="preserve">, </w:t>
      </w:r>
      <w:r w:rsidR="0053130F" w:rsidRPr="00CA7872">
        <w:t>so far as the data holder is aware, is acting in their own capacity and not on behalf of another person; but</w:t>
      </w:r>
    </w:p>
    <w:p w14:paraId="320B9232" w14:textId="18A47641" w:rsidR="000D68A7" w:rsidRDefault="000D68A7" w:rsidP="000D68A7">
      <w:pPr>
        <w:spacing w:after="240"/>
        <w:ind w:left="720"/>
      </w:pPr>
      <w:r>
        <w:t>(b) does not include a partnership account with a data holder.</w:t>
      </w:r>
    </w:p>
    <w:p w14:paraId="36492032" w14:textId="74853C65" w:rsidR="0053130F" w:rsidRDefault="000D68A7" w:rsidP="00D736D1">
      <w:pPr>
        <w:pStyle w:val="ListParagraph"/>
        <w:numPr>
          <w:ilvl w:val="0"/>
          <w:numId w:val="78"/>
        </w:numPr>
        <w:spacing w:after="240"/>
        <w:contextualSpacing w:val="0"/>
      </w:pPr>
      <w:r>
        <w:t xml:space="preserve">We understand that accounts consistent with the above definition </w:t>
      </w:r>
      <w:r w:rsidR="008A1E81">
        <w:t>are common in the banking sector</w:t>
      </w:r>
      <w:r w:rsidR="00301AB5">
        <w:t xml:space="preserve"> but</w:t>
      </w:r>
      <w:r w:rsidR="008A1E81">
        <w:t xml:space="preserve"> are likely </w:t>
      </w:r>
      <w:r w:rsidR="00301AB5">
        <w:t>to be</w:t>
      </w:r>
      <w:r w:rsidR="008A1E81">
        <w:t xml:space="preserve"> less prevalent in other sectors, including </w:t>
      </w:r>
      <w:r>
        <w:t xml:space="preserve">the energy sector. However, it is </w:t>
      </w:r>
      <w:r w:rsidR="00301AB5">
        <w:t>also</w:t>
      </w:r>
      <w:r>
        <w:t xml:space="preserve"> probable that there will be terminology or account set-up differences between or within sectors. For example, the use of the term ‘joint account’ may not be prevalent in a sector, but it may be common for an account to have two or more account holders</w:t>
      </w:r>
      <w:r w:rsidR="005739EE">
        <w:t xml:space="preserve"> </w:t>
      </w:r>
      <w:r w:rsidR="006E7CCD">
        <w:t>and meet the definition set out in the rules</w:t>
      </w:r>
      <w:r>
        <w:t xml:space="preserve">. </w:t>
      </w:r>
    </w:p>
    <w:p w14:paraId="0D5AA8A4" w14:textId="77777777" w:rsidR="00281187" w:rsidRDefault="0053130F" w:rsidP="00D736D1">
      <w:pPr>
        <w:pStyle w:val="ListParagraph"/>
        <w:numPr>
          <w:ilvl w:val="0"/>
          <w:numId w:val="78"/>
        </w:numPr>
        <w:spacing w:after="240"/>
        <w:contextualSpacing w:val="0"/>
      </w:pPr>
      <w:r>
        <w:t xml:space="preserve">We also note that a joint account holder will generally hold financial responsibility for the account, together with one or more </w:t>
      </w:r>
      <w:r w:rsidR="00315714">
        <w:t>others</w:t>
      </w:r>
      <w:r>
        <w:t xml:space="preserve">. </w:t>
      </w:r>
      <w:r w:rsidR="00D8510F">
        <w:t xml:space="preserve">In considering the differences between sectors, </w:t>
      </w:r>
      <w:r w:rsidR="005A5E74">
        <w:t>the</w:t>
      </w:r>
      <w:r>
        <w:t xml:space="preserve"> concept of financial responsibility may have greater relevance when considering how joint accounts may be applied </w:t>
      </w:r>
      <w:r w:rsidR="00914363">
        <w:t>for sector-wide rules</w:t>
      </w:r>
      <w:r>
        <w:t>.</w:t>
      </w:r>
    </w:p>
    <w:p w14:paraId="73DE37F1" w14:textId="2A86B857" w:rsidR="00301AB5" w:rsidRDefault="00301AB5" w:rsidP="00D736D1">
      <w:pPr>
        <w:pStyle w:val="ListParagraph"/>
        <w:numPr>
          <w:ilvl w:val="0"/>
          <w:numId w:val="78"/>
        </w:numPr>
        <w:spacing w:after="240"/>
        <w:contextualSpacing w:val="0"/>
      </w:pPr>
      <w:r>
        <w:t xml:space="preserve">We welcome feedback on the extent to which the current </w:t>
      </w:r>
      <w:r w:rsidR="00D8510F">
        <w:t>rules</w:t>
      </w:r>
      <w:r>
        <w:t xml:space="preserve"> for joint accounts would be relevant on a cross-sectoral basis.</w:t>
      </w:r>
    </w:p>
    <w:p w14:paraId="10E36FF6" w14:textId="4691F6FC" w:rsidR="000D68A7" w:rsidRDefault="000D68A7" w:rsidP="00D736D1">
      <w:pPr>
        <w:pStyle w:val="ListParagraph"/>
        <w:numPr>
          <w:ilvl w:val="0"/>
          <w:numId w:val="78"/>
        </w:numPr>
        <w:spacing w:after="240"/>
        <w:contextualSpacing w:val="0"/>
      </w:pPr>
      <w:r>
        <w:t xml:space="preserve">Separately, the CDR rules include provisions for ‘secondary </w:t>
      </w:r>
      <w:proofErr w:type="gramStart"/>
      <w:r>
        <w:t>users’</w:t>
      </w:r>
      <w:proofErr w:type="gramEnd"/>
      <w:r>
        <w:t>. These rules allow</w:t>
      </w:r>
      <w:r w:rsidR="001F6280">
        <w:t xml:space="preserve"> an</w:t>
      </w:r>
      <w:r w:rsidR="00C96B17">
        <w:t xml:space="preserve"> account holder </w:t>
      </w:r>
      <w:r w:rsidR="001F6280">
        <w:t xml:space="preserve">to nominate an additional person to share data on the account. The secondary user is </w:t>
      </w:r>
      <w:r w:rsidR="00AB66A3">
        <w:t xml:space="preserve">subordinate to the </w:t>
      </w:r>
      <w:r w:rsidR="001F6280">
        <w:t xml:space="preserve">primary </w:t>
      </w:r>
      <w:r>
        <w:t>account holder</w:t>
      </w:r>
      <w:r w:rsidR="00AB66A3">
        <w:t>(s)</w:t>
      </w:r>
      <w:r>
        <w:t xml:space="preserve"> </w:t>
      </w:r>
      <w:r w:rsidR="00B32C5B">
        <w:t xml:space="preserve">and </w:t>
      </w:r>
      <w:r w:rsidR="009818D8">
        <w:t>is</w:t>
      </w:r>
      <w:r w:rsidR="00087520">
        <w:t xml:space="preserve"> not</w:t>
      </w:r>
      <w:r w:rsidR="00B32C5B">
        <w:t xml:space="preserve"> financially responsible for the account</w:t>
      </w:r>
      <w:r w:rsidR="00087520">
        <w:t xml:space="preserve"> in the sense of having a contractual relationship with the data holder</w:t>
      </w:r>
      <w:r>
        <w:t>.</w:t>
      </w:r>
      <w:r w:rsidR="00011DF4">
        <w:t xml:space="preserve"> </w:t>
      </w:r>
    </w:p>
    <w:p w14:paraId="59E68998" w14:textId="7BCA2B30" w:rsidR="00AF34EB" w:rsidRPr="0091290E" w:rsidRDefault="00D52081" w:rsidP="00D736D1">
      <w:pPr>
        <w:pStyle w:val="ListParagraph"/>
        <w:numPr>
          <w:ilvl w:val="0"/>
          <w:numId w:val="78"/>
        </w:numPr>
        <w:spacing w:after="240"/>
        <w:contextualSpacing w:val="0"/>
      </w:pPr>
      <w:r>
        <w:t xml:space="preserve">For the purposes of this paper, we propose to </w:t>
      </w:r>
      <w:r w:rsidR="00D41A52">
        <w:t xml:space="preserve">continue to treat ‘secondary users’ as </w:t>
      </w:r>
      <w:r w:rsidR="00A825D8">
        <w:t>subject to different policy settings</w:t>
      </w:r>
      <w:r w:rsidR="00AF34EB">
        <w:t>,</w:t>
      </w:r>
      <w:r w:rsidR="00A825D8">
        <w:t xml:space="preserve"> given</w:t>
      </w:r>
      <w:r w:rsidR="0091290E">
        <w:t xml:space="preserve"> </w:t>
      </w:r>
      <w:r w:rsidR="00A825D8" w:rsidRPr="0091290E">
        <w:t>their subordinate status to account holders</w:t>
      </w:r>
      <w:r w:rsidR="0091290E">
        <w:t>.</w:t>
      </w:r>
    </w:p>
    <w:tbl>
      <w:tblPr>
        <w:tblStyle w:val="TableGrid"/>
        <w:tblW w:w="0" w:type="auto"/>
        <w:tblLook w:val="04A0" w:firstRow="1" w:lastRow="0" w:firstColumn="1" w:lastColumn="0" w:noHBand="0" w:noVBand="1"/>
      </w:tblPr>
      <w:tblGrid>
        <w:gridCol w:w="9016"/>
      </w:tblGrid>
      <w:tr w:rsidR="000D68A7" w14:paraId="1E592A97" w14:textId="77777777" w:rsidTr="000D68A7">
        <w:tc>
          <w:tcPr>
            <w:tcW w:w="9016" w:type="dxa"/>
          </w:tcPr>
          <w:p w14:paraId="004AE8CB" w14:textId="2B0BCB31" w:rsidR="000D68A7" w:rsidRPr="00D75569" w:rsidRDefault="000D68A7" w:rsidP="000D68A7">
            <w:pPr>
              <w:pStyle w:val="OutlineNumbered1"/>
              <w:numPr>
                <w:ilvl w:val="0"/>
                <w:numId w:val="0"/>
              </w:numPr>
              <w:spacing w:after="240"/>
              <w:ind w:left="522" w:hanging="522"/>
              <w:rPr>
                <w:b/>
                <w:bCs/>
              </w:rPr>
            </w:pPr>
            <w:r w:rsidRPr="00D75569">
              <w:rPr>
                <w:b/>
                <w:bCs/>
              </w:rPr>
              <w:t>Questions</w:t>
            </w:r>
          </w:p>
          <w:p w14:paraId="54D15E9B" w14:textId="00222DDE" w:rsidR="000D68A7" w:rsidRDefault="000D68A7" w:rsidP="000D68A7">
            <w:pPr>
              <w:pStyle w:val="OutlineNumbered1"/>
              <w:numPr>
                <w:ilvl w:val="0"/>
                <w:numId w:val="32"/>
              </w:numPr>
              <w:spacing w:after="240"/>
              <w:ind w:left="522" w:hanging="522"/>
            </w:pPr>
            <w:r>
              <w:t xml:space="preserve">Do you </w:t>
            </w:r>
            <w:r w:rsidR="004753CF">
              <w:t>prefer the</w:t>
            </w:r>
            <w:r>
              <w:t xml:space="preserve"> </w:t>
            </w:r>
            <w:r w:rsidR="00824B01">
              <w:t xml:space="preserve">definition </w:t>
            </w:r>
            <w:r>
              <w:t xml:space="preserve">of joint </w:t>
            </w:r>
            <w:r w:rsidR="004753CF">
              <w:t>accounts in the rules, or</w:t>
            </w:r>
            <w:r w:rsidR="003A3F7A">
              <w:t xml:space="preserve"> would you prefer a</w:t>
            </w:r>
            <w:r w:rsidR="004753CF">
              <w:t xml:space="preserve"> sector-wide definition</w:t>
            </w:r>
            <w:r w:rsidR="003A3F7A">
              <w:t>, for example with a f</w:t>
            </w:r>
            <w:r w:rsidR="004753CF">
              <w:t>ocus on financial responsibility?</w:t>
            </w:r>
            <w:r>
              <w:t xml:space="preserve"> </w:t>
            </w:r>
            <w:r w:rsidR="00281187">
              <w:t>Are there</w:t>
            </w:r>
            <w:r>
              <w:t xml:space="preserve"> other factors should we consider?</w:t>
            </w:r>
          </w:p>
          <w:p w14:paraId="7F273640" w14:textId="456915A8" w:rsidR="000D68A7" w:rsidRDefault="000D68A7" w:rsidP="000D68A7">
            <w:pPr>
              <w:pStyle w:val="OutlineNumbered1"/>
              <w:numPr>
                <w:ilvl w:val="0"/>
                <w:numId w:val="32"/>
              </w:numPr>
              <w:spacing w:after="240"/>
              <w:ind w:left="522" w:hanging="522"/>
            </w:pPr>
            <w:r>
              <w:t xml:space="preserve">Is there variation to the operation of joint accounts in different sectors that should be considered when developing sector-wide rules? </w:t>
            </w:r>
          </w:p>
        </w:tc>
      </w:tr>
    </w:tbl>
    <w:p w14:paraId="09DD58A0" w14:textId="283E5025" w:rsidR="007A0636" w:rsidRDefault="007A0636" w:rsidP="00DD71CF">
      <w:pPr>
        <w:pStyle w:val="Heading1"/>
        <w:numPr>
          <w:ilvl w:val="0"/>
          <w:numId w:val="43"/>
        </w:numPr>
        <w:contextualSpacing/>
      </w:pPr>
      <w:r>
        <w:t>Default setting for an ‘opt-out’ approach</w:t>
      </w:r>
    </w:p>
    <w:bookmarkEnd w:id="1"/>
    <w:p w14:paraId="15F29DEE" w14:textId="69F0A14E" w:rsidR="002972F5" w:rsidRPr="002972F5" w:rsidRDefault="00DC2F4E" w:rsidP="00DA5E44">
      <w:pPr>
        <w:pStyle w:val="Heading2"/>
        <w:numPr>
          <w:ilvl w:val="1"/>
          <w:numId w:val="43"/>
        </w:numPr>
        <w:ind w:left="426" w:hanging="426"/>
        <w:contextualSpacing/>
      </w:pPr>
      <w:r>
        <w:t>Topic Overview</w:t>
      </w:r>
    </w:p>
    <w:p w14:paraId="5EAE34A5" w14:textId="3A2EA364" w:rsidR="00FE2299" w:rsidRDefault="00A04475" w:rsidP="00D736D1">
      <w:pPr>
        <w:pStyle w:val="ListParagraph"/>
        <w:numPr>
          <w:ilvl w:val="0"/>
          <w:numId w:val="78"/>
        </w:numPr>
        <w:spacing w:after="240"/>
        <w:contextualSpacing w:val="0"/>
      </w:pPr>
      <w:r>
        <w:t xml:space="preserve">The current rules </w:t>
      </w:r>
      <w:r w:rsidR="008C2307">
        <w:t xml:space="preserve">for the banking sector </w:t>
      </w:r>
      <w:r>
        <w:t xml:space="preserve">require both joint account holders to ‘opt-in’ to data sharing </w:t>
      </w:r>
      <w:r w:rsidR="00FE2299">
        <w:t xml:space="preserve">before data on the joint account is permitted to be shared. That is, data holders must not share data on a joint account unless both account holders have </w:t>
      </w:r>
      <w:r w:rsidR="001A3EEF">
        <w:t xml:space="preserve">proactively </w:t>
      </w:r>
      <w:r w:rsidR="00FE2299">
        <w:t xml:space="preserve">consented to </w:t>
      </w:r>
      <w:r w:rsidR="0054344C">
        <w:t>data</w:t>
      </w:r>
      <w:r w:rsidR="00FE2299">
        <w:t xml:space="preserve"> sharing on the account. </w:t>
      </w:r>
      <w:r w:rsidR="00B9070C">
        <w:t xml:space="preserve">While this </w:t>
      </w:r>
      <w:r w:rsidR="00AE6908">
        <w:t>provides a high level of</w:t>
      </w:r>
      <w:r w:rsidR="00B9070C">
        <w:t xml:space="preserve"> oversight and control, it may create an undue level of friction and</w:t>
      </w:r>
      <w:r w:rsidR="0001067E">
        <w:t xml:space="preserve"> lead to consumers </w:t>
      </w:r>
      <w:r w:rsidR="0044281F">
        <w:t>abandoning</w:t>
      </w:r>
      <w:r w:rsidR="001A3EEF">
        <w:t xml:space="preserve"> the data sharing process</w:t>
      </w:r>
      <w:r w:rsidR="0001067E">
        <w:t>.</w:t>
      </w:r>
      <w:r w:rsidR="008A6AD8">
        <w:t xml:space="preserve"> It also introduces technical implementation complexity </w:t>
      </w:r>
      <w:r w:rsidR="00242829">
        <w:t xml:space="preserve">for </w:t>
      </w:r>
      <w:r w:rsidR="00B968C4">
        <w:t>CDR participants</w:t>
      </w:r>
      <w:r w:rsidR="00242829">
        <w:t>, and may ultimately lead to longer implementation timeframes as the CDR expands across sectors.</w:t>
      </w:r>
    </w:p>
    <w:p w14:paraId="15154862" w14:textId="5DCB0DC1" w:rsidR="00F530BA" w:rsidRDefault="00242829" w:rsidP="00D736D1">
      <w:pPr>
        <w:pStyle w:val="ListParagraph"/>
        <w:numPr>
          <w:ilvl w:val="0"/>
          <w:numId w:val="78"/>
        </w:numPr>
        <w:spacing w:after="240"/>
        <w:contextualSpacing w:val="0"/>
      </w:pPr>
      <w:r>
        <w:t xml:space="preserve">This </w:t>
      </w:r>
      <w:r w:rsidR="00AB703E">
        <w:t>section</w:t>
      </w:r>
      <w:r>
        <w:t xml:space="preserve"> seeks feedback on whether an ‘opt-out’ approach is preferred as the default setting for data sharing. </w:t>
      </w:r>
      <w:r w:rsidR="00BF7DFA">
        <w:t>An ‘opt-out’</w:t>
      </w:r>
      <w:r>
        <w:t xml:space="preserve"> </w:t>
      </w:r>
      <w:r w:rsidR="00BF7DFA">
        <w:t>approach would</w:t>
      </w:r>
      <w:r w:rsidR="00B95BCE">
        <w:t xml:space="preserve"> automatically</w:t>
      </w:r>
      <w:r>
        <w:t xml:space="preserve"> allow </w:t>
      </w:r>
      <w:r w:rsidR="00976A51">
        <w:t xml:space="preserve">an individual </w:t>
      </w:r>
      <w:r>
        <w:t>joint account holder to independently share data on the joint accoun</w:t>
      </w:r>
      <w:r w:rsidR="00F21E2B">
        <w:t>t</w:t>
      </w:r>
      <w:r w:rsidR="005E525C">
        <w:t xml:space="preserve"> </w:t>
      </w:r>
      <w:r w:rsidR="00976A51">
        <w:t>by consent</w:t>
      </w:r>
      <w:r w:rsidR="00EC704E">
        <w:t>ing</w:t>
      </w:r>
      <w:r w:rsidR="00976A51">
        <w:t xml:space="preserve"> to </w:t>
      </w:r>
      <w:r w:rsidR="005E525C">
        <w:t>an accredited person</w:t>
      </w:r>
      <w:r w:rsidR="00EC704E" w:rsidRPr="00EC704E">
        <w:t xml:space="preserve"> </w:t>
      </w:r>
      <w:r w:rsidR="00EC704E">
        <w:t>collecting and using the data</w:t>
      </w:r>
      <w:r w:rsidR="008866C8">
        <w:t xml:space="preserve"> from a joint account</w:t>
      </w:r>
      <w:r w:rsidR="004D45A1">
        <w:t>, and authoris</w:t>
      </w:r>
      <w:r w:rsidR="00EC704E">
        <w:t>ing</w:t>
      </w:r>
      <w:r w:rsidR="004D45A1">
        <w:t xml:space="preserve"> </w:t>
      </w:r>
      <w:r w:rsidR="00EC704E">
        <w:t xml:space="preserve">the </w:t>
      </w:r>
      <w:r w:rsidR="004D45A1">
        <w:t>disclos</w:t>
      </w:r>
      <w:r w:rsidR="00EC704E">
        <w:t>ure of</w:t>
      </w:r>
      <w:r w:rsidR="004D45A1">
        <w:t xml:space="preserve"> th</w:t>
      </w:r>
      <w:r w:rsidR="008866C8">
        <w:t>at</w:t>
      </w:r>
      <w:r w:rsidR="004D45A1">
        <w:t xml:space="preserve"> data</w:t>
      </w:r>
      <w:r w:rsidR="005E525C">
        <w:t xml:space="preserve"> </w:t>
      </w:r>
      <w:r w:rsidR="005A2974" w:rsidRPr="003C3E48">
        <w:t xml:space="preserve">with </w:t>
      </w:r>
      <w:r w:rsidR="005E525C" w:rsidRPr="003C3E48">
        <w:t xml:space="preserve">a </w:t>
      </w:r>
      <w:r w:rsidR="005E525C">
        <w:t>data holder</w:t>
      </w:r>
      <w:r w:rsidR="005E525C" w:rsidRPr="003C3E48">
        <w:t>.</w:t>
      </w:r>
      <w:r w:rsidR="005E525C">
        <w:t xml:space="preserve"> </w:t>
      </w:r>
      <w:r w:rsidR="004D45A1">
        <w:t xml:space="preserve">Either joint </w:t>
      </w:r>
      <w:r w:rsidR="005E525C">
        <w:t xml:space="preserve">account </w:t>
      </w:r>
      <w:r w:rsidR="005E525C" w:rsidRPr="003C3E48">
        <w:t>holder</w:t>
      </w:r>
      <w:r w:rsidR="005E525C">
        <w:t xml:space="preserve"> would be able t</w:t>
      </w:r>
      <w:r w:rsidR="00BF7DFA">
        <w:t>o override th</w:t>
      </w:r>
      <w:r w:rsidR="005E525C">
        <w:t>is</w:t>
      </w:r>
      <w:r w:rsidR="00BF7DFA">
        <w:t xml:space="preserve"> default setting </w:t>
      </w:r>
      <w:r w:rsidR="008866C8">
        <w:t xml:space="preserve">at any time </w:t>
      </w:r>
      <w:r w:rsidR="00BF7DFA">
        <w:t>and change data sharing to</w:t>
      </w:r>
      <w:r w:rsidR="00B95BCE">
        <w:t xml:space="preserve"> ‘off’</w:t>
      </w:r>
      <w:r w:rsidR="00034AF8">
        <w:t xml:space="preserve"> if desired</w:t>
      </w:r>
      <w:r w:rsidR="00B95BCE">
        <w:t>.</w:t>
      </w:r>
      <w:r w:rsidR="00C57397">
        <w:t xml:space="preserve"> </w:t>
      </w:r>
      <w:r w:rsidR="00AB703E">
        <w:t xml:space="preserve">In the framing of the current </w:t>
      </w:r>
      <w:r w:rsidR="00976A51">
        <w:t xml:space="preserve">joint account </w:t>
      </w:r>
      <w:r w:rsidR="00AB703E">
        <w:t xml:space="preserve">rules, the proposal </w:t>
      </w:r>
      <w:r w:rsidR="00976A51">
        <w:t xml:space="preserve">would be equivalent </w:t>
      </w:r>
      <w:r w:rsidR="00AB703E">
        <w:t xml:space="preserve">to </w:t>
      </w:r>
      <w:r w:rsidR="004D45A1">
        <w:t xml:space="preserve">applying a default </w:t>
      </w:r>
      <w:r w:rsidR="00AB703E">
        <w:t>‘pre-approval’ disclosure option</w:t>
      </w:r>
      <w:r w:rsidR="005A2974">
        <w:t xml:space="preserve"> to joint accounts</w:t>
      </w:r>
      <w:r w:rsidR="00AB703E">
        <w:t xml:space="preserve">. </w:t>
      </w:r>
    </w:p>
    <w:p w14:paraId="6C2CFE9A" w14:textId="2C648955" w:rsidR="00BF7DFA" w:rsidRDefault="00C57397" w:rsidP="00D736D1">
      <w:pPr>
        <w:pStyle w:val="ListParagraph"/>
        <w:numPr>
          <w:ilvl w:val="0"/>
          <w:numId w:val="78"/>
        </w:numPr>
        <w:spacing w:after="240"/>
        <w:contextualSpacing w:val="0"/>
      </w:pPr>
      <w:r>
        <w:t xml:space="preserve">Joint account holders would continue, as per the current rules, to have </w:t>
      </w:r>
      <w:r w:rsidR="008866C8">
        <w:t xml:space="preserve">knowledge </w:t>
      </w:r>
      <w:r>
        <w:t>of other account holders</w:t>
      </w:r>
      <w:r w:rsidR="00003809">
        <w:t>’</w:t>
      </w:r>
      <w:r>
        <w:t xml:space="preserve"> sharing and would receive notifications of new sharing arrangements and the ability to stop particular sharing arrangements (see </w:t>
      </w:r>
      <w:r w:rsidR="00CE5DF6">
        <w:rPr>
          <w:b/>
          <w:bCs/>
        </w:rPr>
        <w:t>‘</w:t>
      </w:r>
      <w:r w:rsidRPr="00F530BA">
        <w:rPr>
          <w:b/>
          <w:bCs/>
        </w:rPr>
        <w:t>Opt-out’ settings</w:t>
      </w:r>
      <w:r>
        <w:t xml:space="preserve"> and </w:t>
      </w:r>
      <w:r w:rsidRPr="00F530BA">
        <w:rPr>
          <w:b/>
          <w:bCs/>
        </w:rPr>
        <w:t>Notification requirements</w:t>
      </w:r>
      <w:r>
        <w:t xml:space="preserve"> </w:t>
      </w:r>
      <w:r w:rsidR="00CE5DF6">
        <w:t>sections</w:t>
      </w:r>
      <w:r>
        <w:t xml:space="preserve"> later in this paper).</w:t>
      </w:r>
      <w:r w:rsidR="00BF7DFA">
        <w:t xml:space="preserve"> </w:t>
      </w:r>
    </w:p>
    <w:p w14:paraId="56F8E7B2" w14:textId="31066646" w:rsidR="00EA6524" w:rsidRDefault="00B40164" w:rsidP="00D736D1">
      <w:pPr>
        <w:pStyle w:val="ListParagraph"/>
        <w:numPr>
          <w:ilvl w:val="0"/>
          <w:numId w:val="78"/>
        </w:numPr>
        <w:spacing w:after="240"/>
        <w:contextualSpacing w:val="0"/>
      </w:pPr>
      <w:r>
        <w:t xml:space="preserve">An ‘opt-out’ approach would remove the need for </w:t>
      </w:r>
      <w:r w:rsidR="004D45A1">
        <w:t>all joint account holders to set</w:t>
      </w:r>
      <w:r>
        <w:t xml:space="preserve"> data sharing permissions before data sharing </w:t>
      </w:r>
      <w:r w:rsidR="0088488E">
        <w:t>could</w:t>
      </w:r>
      <w:r>
        <w:t xml:space="preserve"> </w:t>
      </w:r>
      <w:r w:rsidR="009A60B1">
        <w:t xml:space="preserve">be initiated by a joint account holder. </w:t>
      </w:r>
      <w:r>
        <w:t xml:space="preserve">However, we propose that data holders should be </w:t>
      </w:r>
      <w:r w:rsidR="000A6230">
        <w:t xml:space="preserve">encouraged </w:t>
      </w:r>
      <w:r>
        <w:t xml:space="preserve">(but </w:t>
      </w:r>
      <w:r w:rsidR="009C3C19">
        <w:t>should not be</w:t>
      </w:r>
      <w:r w:rsidR="009C3C19" w:rsidRPr="003A3F7A">
        <w:t xml:space="preserve"> required</w:t>
      </w:r>
      <w:r>
        <w:t>)</w:t>
      </w:r>
      <w:r w:rsidR="009C3C19">
        <w:t xml:space="preserve"> to notify consumers of</w:t>
      </w:r>
      <w:r w:rsidR="000A6230">
        <w:t xml:space="preserve"> default CDR </w:t>
      </w:r>
      <w:r w:rsidR="009A60B1">
        <w:t xml:space="preserve">data sharing </w:t>
      </w:r>
      <w:r w:rsidR="000A6230">
        <w:t xml:space="preserve">settings </w:t>
      </w:r>
      <w:r w:rsidR="009A60B1">
        <w:t>on their joint account. This could</w:t>
      </w:r>
      <w:r w:rsidR="000A6230">
        <w:t xml:space="preserve"> allow data holders to </w:t>
      </w:r>
      <w:r w:rsidR="00B234C5">
        <w:t xml:space="preserve">leverage </w:t>
      </w:r>
      <w:r w:rsidR="009A60B1">
        <w:t>notification</w:t>
      </w:r>
      <w:r w:rsidR="000A6230">
        <w:t>s</w:t>
      </w:r>
      <w:r w:rsidR="009A60B1">
        <w:t xml:space="preserve"> in their internet banking app</w:t>
      </w:r>
      <w:r w:rsidR="000A6230">
        <w:t>s</w:t>
      </w:r>
      <w:r w:rsidR="009A60B1">
        <w:t xml:space="preserve"> or email</w:t>
      </w:r>
      <w:r w:rsidR="000A6230">
        <w:t>s</w:t>
      </w:r>
      <w:r w:rsidR="00944C1F">
        <w:t xml:space="preserve"> informing </w:t>
      </w:r>
      <w:r w:rsidR="000A6230">
        <w:t>joint account holders</w:t>
      </w:r>
      <w:r w:rsidR="00944C1F">
        <w:t xml:space="preserve"> of default </w:t>
      </w:r>
      <w:r w:rsidR="00DB3C40">
        <w:t xml:space="preserve">CDR </w:t>
      </w:r>
      <w:r w:rsidR="00944C1F">
        <w:t>data sharing settings</w:t>
      </w:r>
      <w:r w:rsidR="009A60B1">
        <w:t>.</w:t>
      </w:r>
    </w:p>
    <w:p w14:paraId="0C6930B0" w14:textId="5778231F" w:rsidR="00B97185" w:rsidRDefault="003A3F7A" w:rsidP="00D736D1">
      <w:pPr>
        <w:pStyle w:val="ListParagraph"/>
        <w:numPr>
          <w:ilvl w:val="0"/>
          <w:numId w:val="78"/>
        </w:numPr>
        <w:spacing w:after="240"/>
        <w:contextualSpacing w:val="0"/>
      </w:pPr>
      <w:r>
        <w:t xml:space="preserve">In developing this </w:t>
      </w:r>
      <w:r w:rsidR="00B97185">
        <w:t>‘opt-out’</w:t>
      </w:r>
      <w:r>
        <w:t xml:space="preserve"> proposal, we have sought to</w:t>
      </w:r>
      <w:r w:rsidR="00B97185">
        <w:t xml:space="preserve"> balance the objectives outlined at </w:t>
      </w:r>
      <w:r w:rsidR="00A1596F">
        <w:t xml:space="preserve">paragraph </w:t>
      </w:r>
      <w:r w:rsidR="001F621C">
        <w:t>10</w:t>
      </w:r>
      <w:r w:rsidR="00B97185">
        <w:t>. We consider an ‘opt-out’ setting will be extensible to future sectors, as it is simple and clear, allowing both CDR participants and consumers to understand their regulatory obligations and data sharing rights. Together with the notifications and oversight requirements, we consider consumers will continue to have control and oversight of their data sharing arrangements and will be able to ‘opt-out’ of data sharing completely, as well as individual data sharing arrangements that are initiated by themselves or other joint account holders. The reduced friction in the data sharing process from an ‘opt-out’ setting is likely to increase consumer convenience as the data sharing process will not require re-direction or timely delays while awaiting a response from the other account holder(s).</w:t>
      </w:r>
    </w:p>
    <w:p w14:paraId="3A7D8CDB" w14:textId="4915E3B0" w:rsidR="00B97185" w:rsidRDefault="00B97185" w:rsidP="00D736D1">
      <w:pPr>
        <w:pStyle w:val="ListParagraph"/>
        <w:numPr>
          <w:ilvl w:val="0"/>
          <w:numId w:val="78"/>
        </w:numPr>
        <w:spacing w:after="240"/>
        <w:contextualSpacing w:val="0"/>
      </w:pPr>
      <w:r>
        <w:t>The reduction in technical complexities and friction is likely to encourag</w:t>
      </w:r>
      <w:r w:rsidR="00BB51A4">
        <w:t>e</w:t>
      </w:r>
      <w:r>
        <w:t xml:space="preserve"> greater participation in the CDR by prospective ADRs and increase the CDR-based service offerings for </w:t>
      </w:r>
      <w:r w:rsidDel="00FA428D">
        <w:t>consumers</w:t>
      </w:r>
      <w:r>
        <w:t>.</w:t>
      </w:r>
    </w:p>
    <w:p w14:paraId="3FFBD66B" w14:textId="6CF0A2BF" w:rsidR="00B97185" w:rsidRDefault="00B97185" w:rsidP="00B97185">
      <w:pPr>
        <w:pStyle w:val="ListParagraph"/>
        <w:numPr>
          <w:ilvl w:val="0"/>
          <w:numId w:val="78"/>
        </w:numPr>
        <w:spacing w:after="240"/>
        <w:contextualSpacing w:val="0"/>
      </w:pPr>
      <w:r>
        <w:t>The ‘opt-out’ setting largely leverages current regulatory and implementation requirements. This ensures implementation progressed to date remains relevant, reducing the impact on delivery timelines and enabling consumers to be able to share their data and receive the full benefit of CDR offerings with minimal delay.</w:t>
      </w:r>
    </w:p>
    <w:p w14:paraId="43DE3459" w14:textId="0BCA0EE5" w:rsidR="00B97185" w:rsidRDefault="00B97185" w:rsidP="00D736D1">
      <w:pPr>
        <w:pStyle w:val="Heading2"/>
        <w:numPr>
          <w:ilvl w:val="1"/>
          <w:numId w:val="80"/>
        </w:numPr>
        <w:contextualSpacing/>
      </w:pPr>
      <w:r>
        <w:t>Rules Considerations</w:t>
      </w:r>
    </w:p>
    <w:p w14:paraId="396162CE" w14:textId="5C27546F" w:rsidR="001E1D85" w:rsidRDefault="00B97185" w:rsidP="00D736D1">
      <w:pPr>
        <w:pStyle w:val="ListParagraph"/>
        <w:numPr>
          <w:ilvl w:val="0"/>
          <w:numId w:val="78"/>
        </w:numPr>
        <w:spacing w:after="240"/>
        <w:contextualSpacing w:val="0"/>
      </w:pPr>
      <w:r>
        <w:t xml:space="preserve"> </w:t>
      </w:r>
      <w:r w:rsidR="003A4F7E">
        <w:t xml:space="preserve">If an ‘opt-out’ approach is supported, </w:t>
      </w:r>
      <w:r w:rsidR="001E1D85">
        <w:t>we consider the joint account rules are likely to be extensible to future sectors, and could be moved from Part 4, Schedule 3</w:t>
      </w:r>
      <w:r w:rsidR="007C0EBA">
        <w:t xml:space="preserve"> (the banking-specific schedule)</w:t>
      </w:r>
      <w:r w:rsidR="001E1D85">
        <w:t>, into Part 1 of the rules</w:t>
      </w:r>
      <w:r w:rsidR="007C0EBA">
        <w:t xml:space="preserve"> (the main body of the rules)</w:t>
      </w:r>
      <w:r w:rsidR="001E1D85">
        <w:t xml:space="preserve">. We consider that the amended rules could form the default approach to joint accounts across sectors, </w:t>
      </w:r>
      <w:r w:rsidR="00590CC9">
        <w:t>with</w:t>
      </w:r>
      <w:r w:rsidR="001E1D85">
        <w:t xml:space="preserve"> sector-specific </w:t>
      </w:r>
      <w:r w:rsidR="00590CC9">
        <w:t xml:space="preserve">provisions (to the extent </w:t>
      </w:r>
      <w:r w:rsidR="00DB3C40">
        <w:t>required</w:t>
      </w:r>
      <w:r w:rsidR="00590CC9">
        <w:t xml:space="preserve">) being provided for </w:t>
      </w:r>
      <w:r w:rsidR="00DB3C40">
        <w:t xml:space="preserve">in </w:t>
      </w:r>
      <w:r w:rsidR="00590CC9">
        <w:t xml:space="preserve">the Schedules to the rules </w:t>
      </w:r>
      <w:r w:rsidR="001E1D85">
        <w:t xml:space="preserve">as the CDR expands into </w:t>
      </w:r>
      <w:r w:rsidR="007C0EBA">
        <w:t>new sectors.</w:t>
      </w:r>
    </w:p>
    <w:p w14:paraId="656A41BC" w14:textId="2AE3C714" w:rsidR="007F4B2B" w:rsidRPr="00B97185" w:rsidRDefault="007C0EBA" w:rsidP="00F256EB">
      <w:pPr>
        <w:pStyle w:val="ListParagraph"/>
        <w:numPr>
          <w:ilvl w:val="0"/>
          <w:numId w:val="78"/>
        </w:numPr>
        <w:spacing w:after="240"/>
        <w:contextualSpacing w:val="0"/>
      </w:pPr>
      <w:r>
        <w:t xml:space="preserve">We consider that </w:t>
      </w:r>
      <w:r w:rsidR="0009120A">
        <w:t xml:space="preserve">many of the provisions in the current </w:t>
      </w:r>
      <w:r w:rsidR="0062727B">
        <w:t xml:space="preserve">banking-related </w:t>
      </w:r>
      <w:r w:rsidR="0009120A">
        <w:t xml:space="preserve">rules </w:t>
      </w:r>
      <w:r w:rsidR="0062727B">
        <w:t xml:space="preserve">would </w:t>
      </w:r>
      <w:r w:rsidR="0009120A">
        <w:t>remain relevant</w:t>
      </w:r>
      <w:r w:rsidR="0062727B">
        <w:t xml:space="preserve"> </w:t>
      </w:r>
      <w:r w:rsidR="004B4502">
        <w:t>to</w:t>
      </w:r>
      <w:r w:rsidR="0062727B">
        <w:t xml:space="preserve"> universal rules. T</w:t>
      </w:r>
      <w:r w:rsidR="00BC5BCA">
        <w:t xml:space="preserve">he most significant amendments are likely to be </w:t>
      </w:r>
      <w:r w:rsidR="0062727B">
        <w:t xml:space="preserve">to current </w:t>
      </w:r>
      <w:r w:rsidR="00BC5BCA">
        <w:t xml:space="preserve">clause 4.5 to </w:t>
      </w:r>
      <w:r w:rsidR="0009120A">
        <w:t>reflect the default setting of ‘pre-approval’</w:t>
      </w:r>
      <w:r w:rsidR="0062727B">
        <w:t>. A</w:t>
      </w:r>
      <w:r w:rsidR="00376E71">
        <w:t>mendments</w:t>
      </w:r>
      <w:r w:rsidR="00BC5BCA">
        <w:t xml:space="preserve"> to support the approach t</w:t>
      </w:r>
      <w:r w:rsidR="0062727B">
        <w:t>aken for managing</w:t>
      </w:r>
      <w:r w:rsidR="00BC5BCA">
        <w:t xml:space="preserve"> </w:t>
      </w:r>
      <w:r w:rsidR="00376E71">
        <w:t>complex joint accounts</w:t>
      </w:r>
      <w:r w:rsidR="0062727B">
        <w:t xml:space="preserve"> will also be needed</w:t>
      </w:r>
      <w:r w:rsidR="00376E71">
        <w:t xml:space="preserve"> (discussed below at </w:t>
      </w:r>
      <w:r w:rsidR="004B3A18">
        <w:t xml:space="preserve">section </w:t>
      </w:r>
      <w:r w:rsidR="00376E71">
        <w:t>8.2)</w:t>
      </w:r>
      <w:r w:rsidR="0009120A">
        <w:t xml:space="preserve">. </w:t>
      </w:r>
    </w:p>
    <w:p w14:paraId="74937044" w14:textId="35262287" w:rsidR="008E415D" w:rsidRDefault="00D736D1" w:rsidP="008E415D">
      <w:pPr>
        <w:pStyle w:val="Heading2"/>
        <w:contextualSpacing/>
      </w:pPr>
      <w:r>
        <w:t>5</w:t>
      </w:r>
      <w:r w:rsidR="00B97185">
        <w:t>.</w:t>
      </w:r>
      <w:r w:rsidR="00414533">
        <w:t>3</w:t>
      </w:r>
      <w:r w:rsidR="00B97185">
        <w:t xml:space="preserve"> </w:t>
      </w:r>
      <w:r w:rsidR="008E415D">
        <w:t>Standards Considerations</w:t>
      </w:r>
    </w:p>
    <w:p w14:paraId="5746C781" w14:textId="336E64C0" w:rsidR="008E415D" w:rsidRDefault="008E415D" w:rsidP="00D736D1">
      <w:pPr>
        <w:pStyle w:val="ListParagraph"/>
        <w:numPr>
          <w:ilvl w:val="0"/>
          <w:numId w:val="78"/>
        </w:numPr>
        <w:spacing w:after="240"/>
        <w:ind w:left="357" w:hanging="357"/>
        <w:contextualSpacing w:val="0"/>
      </w:pPr>
      <w:r>
        <w:t xml:space="preserve">No </w:t>
      </w:r>
      <w:r w:rsidR="00F120FA">
        <w:rPr>
          <w:b/>
          <w:bCs/>
        </w:rPr>
        <w:t>register</w:t>
      </w:r>
      <w:r w:rsidRPr="0009120A">
        <w:rPr>
          <w:b/>
          <w:bCs/>
        </w:rPr>
        <w:t xml:space="preserve"> standards</w:t>
      </w:r>
      <w:r>
        <w:t xml:space="preserve"> impacts are anticipated to support the options outlined in section 7.1.</w:t>
      </w:r>
    </w:p>
    <w:p w14:paraId="25239D55" w14:textId="0BE930EB" w:rsidR="00B97185" w:rsidRDefault="008E415D" w:rsidP="00B97185">
      <w:pPr>
        <w:pStyle w:val="ListParagraph"/>
        <w:numPr>
          <w:ilvl w:val="0"/>
          <w:numId w:val="78"/>
        </w:numPr>
        <w:spacing w:after="240"/>
        <w:ind w:left="357" w:hanging="357"/>
        <w:contextualSpacing w:val="0"/>
      </w:pPr>
      <w:r>
        <w:t xml:space="preserve">No </w:t>
      </w:r>
      <w:r w:rsidRPr="0009120A">
        <w:rPr>
          <w:b/>
          <w:bCs/>
        </w:rPr>
        <w:t>technical standards</w:t>
      </w:r>
      <w:r>
        <w:t xml:space="preserve"> impacts are anticipated to support the options outlined in section 7.1.</w:t>
      </w:r>
    </w:p>
    <w:p w14:paraId="1D6CD260" w14:textId="66386FDE" w:rsidR="008E415D" w:rsidRDefault="008E415D" w:rsidP="00D736D1">
      <w:pPr>
        <w:pStyle w:val="ListParagraph"/>
        <w:numPr>
          <w:ilvl w:val="0"/>
          <w:numId w:val="78"/>
        </w:numPr>
        <w:spacing w:after="240"/>
        <w:ind w:left="357" w:hanging="357"/>
        <w:contextualSpacing w:val="0"/>
      </w:pPr>
      <w:r>
        <w:t xml:space="preserve">The anticipated joint account </w:t>
      </w:r>
      <w:r w:rsidRPr="0009120A">
        <w:rPr>
          <w:b/>
          <w:bCs/>
        </w:rPr>
        <w:t>CX standards</w:t>
      </w:r>
      <w:r>
        <w:t xml:space="preserve"> outlined in </w:t>
      </w:r>
      <w:hyperlink r:id="rId16" w:history="1">
        <w:r w:rsidRPr="004922F6">
          <w:rPr>
            <w:rStyle w:val="Hyperlink"/>
          </w:rPr>
          <w:t>Noting Paper 157</w:t>
        </w:r>
      </w:hyperlink>
      <w:r>
        <w:t xml:space="preserve"> will remain relevant. These are intended to include the following contextual notification standards for the authorisation flow where a joint account is being shared:</w:t>
      </w:r>
    </w:p>
    <w:p w14:paraId="72CF746E" w14:textId="77777777" w:rsidR="008E415D" w:rsidRDefault="008E415D" w:rsidP="00D736D1">
      <w:pPr>
        <w:pStyle w:val="ListParagraph"/>
        <w:numPr>
          <w:ilvl w:val="0"/>
          <w:numId w:val="37"/>
        </w:numPr>
        <w:spacing w:after="240" w:line="257" w:lineRule="auto"/>
        <w:ind w:left="714" w:hanging="357"/>
        <w:contextualSpacing w:val="0"/>
      </w:pPr>
      <w:r>
        <w:rPr>
          <w:b/>
          <w:bCs/>
        </w:rPr>
        <w:t xml:space="preserve">Sharing a joint account: </w:t>
      </w:r>
      <w:r>
        <w:t>When</w:t>
      </w:r>
      <w:r>
        <w:rPr>
          <w:b/>
          <w:bCs/>
        </w:rPr>
        <w:t xml:space="preserve"> </w:t>
      </w:r>
      <w:r>
        <w:t xml:space="preserve">a consumer goes to share data from a joint account, Data Holders </w:t>
      </w:r>
      <w:r>
        <w:rPr>
          <w:b/>
          <w:bCs/>
        </w:rPr>
        <w:t>MUST</w:t>
      </w:r>
      <w:r>
        <w:t xml:space="preserve"> provide a generic message in the authorisation flow to note that other joint account holders will be notified.</w:t>
      </w:r>
      <w:r w:rsidRPr="000B7E23">
        <w:t xml:space="preserve"> </w:t>
      </w:r>
      <w:r>
        <w:t xml:space="preserve">See 1.1.3 and 1.1.3a for examples </w:t>
      </w:r>
      <w:hyperlink r:id="rId17" w:history="1">
        <w:r>
          <w:rPr>
            <w:rStyle w:val="Hyperlink"/>
          </w:rPr>
          <w:t>here</w:t>
        </w:r>
      </w:hyperlink>
      <w:r>
        <w:t xml:space="preserve"> (</w:t>
      </w:r>
      <w:hyperlink r:id="rId18" w:history="1">
        <w:r>
          <w:rPr>
            <w:rStyle w:val="Hyperlink"/>
          </w:rPr>
          <w:t>PDF version</w:t>
        </w:r>
      </w:hyperlink>
      <w:r>
        <w:t>).</w:t>
      </w:r>
    </w:p>
    <w:p w14:paraId="1BB28BB6" w14:textId="77777777" w:rsidR="008E415D" w:rsidRDefault="008E415D" w:rsidP="00D736D1">
      <w:pPr>
        <w:pStyle w:val="ListParagraph"/>
        <w:numPr>
          <w:ilvl w:val="0"/>
          <w:numId w:val="37"/>
        </w:numPr>
        <w:spacing w:after="240" w:line="257" w:lineRule="auto"/>
        <w:ind w:left="714" w:hanging="357"/>
        <w:contextualSpacing w:val="0"/>
        <w:rPr>
          <w:b/>
          <w:bCs/>
        </w:rPr>
      </w:pPr>
      <w:r>
        <w:rPr>
          <w:b/>
          <w:bCs/>
        </w:rPr>
        <w:t xml:space="preserve">Account pending: </w:t>
      </w:r>
      <w:r>
        <w:t>Where</w:t>
      </w:r>
      <w:r>
        <w:rPr>
          <w:b/>
          <w:bCs/>
        </w:rPr>
        <w:t xml:space="preserve"> </w:t>
      </w:r>
      <w:r>
        <w:t xml:space="preserve">applicable, Data Holders </w:t>
      </w:r>
      <w:r>
        <w:rPr>
          <w:b/>
          <w:bCs/>
        </w:rPr>
        <w:t xml:space="preserve">SHOULD </w:t>
      </w:r>
      <w:r>
        <w:t xml:space="preserve">indicate that an account is pending further action in the authorisation flow. Data Holders </w:t>
      </w:r>
      <w:r>
        <w:rPr>
          <w:b/>
          <w:bCs/>
        </w:rPr>
        <w:t xml:space="preserve">SHOULD </w:t>
      </w:r>
      <w:r>
        <w:t xml:space="preserve">provide information to explain what this means. This functionality </w:t>
      </w:r>
      <w:r>
        <w:rPr>
          <w:b/>
          <w:bCs/>
        </w:rPr>
        <w:t xml:space="preserve">MAY </w:t>
      </w:r>
      <w:r>
        <w:t xml:space="preserve">be applied to accounts other than joint accounts where appropriate but </w:t>
      </w:r>
      <w:r>
        <w:rPr>
          <w:b/>
          <w:bCs/>
        </w:rPr>
        <w:t xml:space="preserve">MUST ONLY </w:t>
      </w:r>
      <w:r>
        <w:t>be applied for this purpose.</w:t>
      </w:r>
      <w:r w:rsidRPr="000B7E23">
        <w:t xml:space="preserve"> </w:t>
      </w:r>
      <w:r>
        <w:t xml:space="preserve">See 1.2.3 and 1.2.3a for examples </w:t>
      </w:r>
      <w:hyperlink r:id="rId19" w:history="1">
        <w:r>
          <w:rPr>
            <w:rStyle w:val="Hyperlink"/>
          </w:rPr>
          <w:t>here</w:t>
        </w:r>
      </w:hyperlink>
      <w:r>
        <w:t xml:space="preserve"> (</w:t>
      </w:r>
      <w:hyperlink r:id="rId20" w:history="1">
        <w:r>
          <w:rPr>
            <w:rStyle w:val="Hyperlink"/>
          </w:rPr>
          <w:t>PDF version</w:t>
        </w:r>
      </w:hyperlink>
      <w:r>
        <w:t>).</w:t>
      </w:r>
    </w:p>
    <w:p w14:paraId="2BA68063" w14:textId="3094C255" w:rsidR="008E415D" w:rsidRPr="00A47E23" w:rsidRDefault="008E415D" w:rsidP="00D736D1">
      <w:pPr>
        <w:pStyle w:val="ListParagraph"/>
        <w:numPr>
          <w:ilvl w:val="0"/>
          <w:numId w:val="37"/>
        </w:numPr>
        <w:spacing w:after="240" w:line="257" w:lineRule="auto"/>
        <w:ind w:left="714" w:hanging="357"/>
        <w:contextualSpacing w:val="0"/>
        <w:rPr>
          <w:b/>
          <w:bCs/>
        </w:rPr>
      </w:pPr>
      <w:r>
        <w:rPr>
          <w:b/>
          <w:bCs/>
        </w:rPr>
        <w:t xml:space="preserve">Harm and abuse exemptions: </w:t>
      </w:r>
      <w:r>
        <w:t>Where a Data Holder treats a joint account like an individual account to prevent physical or financial harm or abuse, Data Holders</w:t>
      </w:r>
      <w:r>
        <w:rPr>
          <w:b/>
          <w:bCs/>
        </w:rPr>
        <w:t xml:space="preserve"> SHOULD </w:t>
      </w:r>
      <w:r>
        <w:t xml:space="preserve">provide a notification in the authorisation flow to note that the other account holders will </w:t>
      </w:r>
      <w:r>
        <w:rPr>
          <w:b/>
          <w:bCs/>
        </w:rPr>
        <w:t xml:space="preserve">not </w:t>
      </w:r>
      <w:r>
        <w:t xml:space="preserve">be notified. Data Holders </w:t>
      </w:r>
      <w:r>
        <w:rPr>
          <w:b/>
          <w:bCs/>
        </w:rPr>
        <w:t xml:space="preserve">SHOULD </w:t>
      </w:r>
      <w:r>
        <w:t>provide information to explain what this means.</w:t>
      </w:r>
      <w:r w:rsidRPr="000B7E23">
        <w:t xml:space="preserve"> </w:t>
      </w:r>
      <w:r>
        <w:t xml:space="preserve">See 1.3.3 and 1.3.3a for examples </w:t>
      </w:r>
      <w:hyperlink r:id="rId21" w:history="1">
        <w:r>
          <w:rPr>
            <w:rStyle w:val="Hyperlink"/>
          </w:rPr>
          <w:t>here</w:t>
        </w:r>
      </w:hyperlink>
      <w:r>
        <w:t xml:space="preserve"> (</w:t>
      </w:r>
      <w:hyperlink r:id="rId22" w:history="1">
        <w:r>
          <w:rPr>
            <w:rStyle w:val="Hyperlink"/>
          </w:rPr>
          <w:t>PDF version</w:t>
        </w:r>
      </w:hyperlink>
      <w:r>
        <w:t>).</w:t>
      </w:r>
    </w:p>
    <w:tbl>
      <w:tblPr>
        <w:tblStyle w:val="TableGrid"/>
        <w:tblW w:w="0" w:type="auto"/>
        <w:tblLook w:val="04A0" w:firstRow="1" w:lastRow="0" w:firstColumn="1" w:lastColumn="0" w:noHBand="0" w:noVBand="1"/>
      </w:tblPr>
      <w:tblGrid>
        <w:gridCol w:w="9016"/>
      </w:tblGrid>
      <w:tr w:rsidR="008E415D" w14:paraId="1AECEBA9" w14:textId="77777777" w:rsidTr="00B97185">
        <w:tc>
          <w:tcPr>
            <w:tcW w:w="9016" w:type="dxa"/>
          </w:tcPr>
          <w:p w14:paraId="2D982371" w14:textId="77777777" w:rsidR="008E415D" w:rsidRPr="00D75569" w:rsidRDefault="008E415D" w:rsidP="00B97185">
            <w:pPr>
              <w:pStyle w:val="OutlineNumbered1"/>
              <w:numPr>
                <w:ilvl w:val="0"/>
                <w:numId w:val="0"/>
              </w:numPr>
              <w:spacing w:after="240"/>
              <w:ind w:left="522" w:hanging="522"/>
              <w:rPr>
                <w:b/>
                <w:bCs/>
              </w:rPr>
            </w:pPr>
            <w:r w:rsidRPr="00D75569">
              <w:rPr>
                <w:b/>
                <w:bCs/>
              </w:rPr>
              <w:t>Questions</w:t>
            </w:r>
          </w:p>
          <w:p w14:paraId="3A86F408" w14:textId="271FA152" w:rsidR="00F256EB" w:rsidRDefault="00F256EB" w:rsidP="00D736D1">
            <w:pPr>
              <w:pStyle w:val="OutlineNumbered1"/>
              <w:numPr>
                <w:ilvl w:val="0"/>
                <w:numId w:val="75"/>
              </w:numPr>
              <w:spacing w:after="240"/>
              <w:ind w:left="522" w:hanging="522"/>
            </w:pPr>
            <w:r>
              <w:t>Do you agree that an ‘opt-out’ approach is preferred over the current ‘opt-in’ approach?</w:t>
            </w:r>
          </w:p>
          <w:p w14:paraId="037C8210" w14:textId="75612E07" w:rsidR="00F256EB" w:rsidRDefault="00F256EB" w:rsidP="00D736D1">
            <w:pPr>
              <w:pStyle w:val="OutlineNumbered1"/>
              <w:numPr>
                <w:ilvl w:val="0"/>
                <w:numId w:val="75"/>
              </w:numPr>
              <w:spacing w:after="240"/>
              <w:ind w:left="522" w:hanging="522"/>
            </w:pPr>
            <w:r>
              <w:t>Do you agree with the assessment of rules considerations? Why/why not?</w:t>
            </w:r>
          </w:p>
          <w:p w14:paraId="2C2FB423" w14:textId="5E00B528" w:rsidR="00F256EB" w:rsidRDefault="00F256EB" w:rsidP="00D736D1">
            <w:pPr>
              <w:pStyle w:val="OutlineNumbered1"/>
              <w:numPr>
                <w:ilvl w:val="0"/>
                <w:numId w:val="75"/>
              </w:numPr>
              <w:spacing w:after="240"/>
              <w:ind w:left="522" w:hanging="522"/>
            </w:pPr>
            <w:r>
              <w:t xml:space="preserve">Do you agree with the assessment </w:t>
            </w:r>
            <w:r w:rsidRPr="006D7987">
              <w:t>of technical and register standards</w:t>
            </w:r>
            <w:r>
              <w:t xml:space="preserve"> impacts? Why/why not?</w:t>
            </w:r>
          </w:p>
          <w:p w14:paraId="409478D9" w14:textId="231011C8" w:rsidR="008E415D" w:rsidRDefault="008E415D" w:rsidP="00D736D1">
            <w:pPr>
              <w:pStyle w:val="OutlineNumbered1"/>
              <w:numPr>
                <w:ilvl w:val="0"/>
                <w:numId w:val="75"/>
              </w:numPr>
              <w:spacing w:after="240"/>
              <w:ind w:left="522" w:hanging="522"/>
            </w:pPr>
            <w:r>
              <w:t xml:space="preserve">Do you agree with </w:t>
            </w:r>
            <w:r w:rsidR="00F256EB">
              <w:t xml:space="preserve">the </w:t>
            </w:r>
            <w:r w:rsidR="00F256EB" w:rsidRPr="006D7987">
              <w:t>CX standards</w:t>
            </w:r>
            <w:r>
              <w:t xml:space="preserve"> proposals? Why/why not?</w:t>
            </w:r>
          </w:p>
        </w:tc>
      </w:tr>
    </w:tbl>
    <w:p w14:paraId="4DFA6545" w14:textId="50A0EAB2" w:rsidR="00DF5577" w:rsidRPr="00DF5577" w:rsidRDefault="00DF5577" w:rsidP="00D736D1">
      <w:pPr>
        <w:pStyle w:val="Heading1"/>
        <w:numPr>
          <w:ilvl w:val="0"/>
          <w:numId w:val="81"/>
        </w:numPr>
      </w:pPr>
      <w:bookmarkStart w:id="2" w:name="_Hlk69980101"/>
      <w:r>
        <w:t xml:space="preserve">Complex </w:t>
      </w:r>
      <w:r w:rsidR="000E6137">
        <w:t xml:space="preserve">joint </w:t>
      </w:r>
      <w:r>
        <w:t>accounts</w:t>
      </w:r>
      <w:bookmarkEnd w:id="2"/>
    </w:p>
    <w:p w14:paraId="4A7F5AEF" w14:textId="7930082D" w:rsidR="0098621F" w:rsidRPr="002972F5" w:rsidRDefault="0098621F" w:rsidP="00D736D1">
      <w:pPr>
        <w:pStyle w:val="Heading2"/>
        <w:numPr>
          <w:ilvl w:val="1"/>
          <w:numId w:val="82"/>
        </w:numPr>
        <w:contextualSpacing/>
      </w:pPr>
      <w:r>
        <w:t>Topic Overview</w:t>
      </w:r>
    </w:p>
    <w:p w14:paraId="36779DD2" w14:textId="15A24AA7" w:rsidR="00A929C3" w:rsidRDefault="00581E79" w:rsidP="00D736D1">
      <w:pPr>
        <w:pStyle w:val="ListParagraph"/>
        <w:numPr>
          <w:ilvl w:val="0"/>
          <w:numId w:val="78"/>
        </w:numPr>
        <w:spacing w:after="240"/>
        <w:contextualSpacing w:val="0"/>
      </w:pPr>
      <w:r>
        <w:t xml:space="preserve">We understand </w:t>
      </w:r>
      <w:proofErr w:type="gramStart"/>
      <w:r w:rsidR="00A929C3">
        <w:t>the majority of</w:t>
      </w:r>
      <w:proofErr w:type="gramEnd"/>
      <w:r w:rsidR="00A929C3">
        <w:t xml:space="preserve"> </w:t>
      </w:r>
      <w:r>
        <w:t xml:space="preserve">joint accounts </w:t>
      </w:r>
      <w:r w:rsidR="00411968">
        <w:t xml:space="preserve">are set up to </w:t>
      </w:r>
      <w:r>
        <w:t>a</w:t>
      </w:r>
      <w:r w:rsidR="00A929C3">
        <w:t>llow joint account holders to independently ‘transact’</w:t>
      </w:r>
      <w:r w:rsidR="007F6B85">
        <w:rPr>
          <w:rStyle w:val="FootnoteReference"/>
        </w:rPr>
        <w:footnoteReference w:id="3"/>
      </w:r>
      <w:r w:rsidR="00A929C3">
        <w:t xml:space="preserve"> on the account. For example:</w:t>
      </w:r>
    </w:p>
    <w:p w14:paraId="0D46A12E" w14:textId="28C4583A" w:rsidR="00A929C3" w:rsidRPr="00A929C3" w:rsidRDefault="001075D6" w:rsidP="00A929C3">
      <w:pPr>
        <w:pStyle w:val="Bullet"/>
      </w:pPr>
      <w:r>
        <w:rPr>
          <w:b w:val="0"/>
          <w:bCs w:val="0"/>
        </w:rPr>
        <w:t>i</w:t>
      </w:r>
      <w:r w:rsidR="00A929C3">
        <w:rPr>
          <w:b w:val="0"/>
          <w:bCs w:val="0"/>
        </w:rPr>
        <w:t xml:space="preserve">n the banking sector, most joint account holders may independently transfer </w:t>
      </w:r>
      <w:r w:rsidR="009B39EE">
        <w:rPr>
          <w:b w:val="0"/>
          <w:bCs w:val="0"/>
        </w:rPr>
        <w:t>funds on the account without additional approval from the other account holder(s)</w:t>
      </w:r>
    </w:p>
    <w:p w14:paraId="6FF7F18E" w14:textId="37E7AC5A" w:rsidR="00A929C3" w:rsidRDefault="001075D6" w:rsidP="00A929C3">
      <w:pPr>
        <w:pStyle w:val="Bullet"/>
      </w:pPr>
      <w:r>
        <w:rPr>
          <w:b w:val="0"/>
          <w:bCs w:val="0"/>
        </w:rPr>
        <w:t>i</w:t>
      </w:r>
      <w:r w:rsidR="00A929C3">
        <w:rPr>
          <w:b w:val="0"/>
          <w:bCs w:val="0"/>
        </w:rPr>
        <w:t xml:space="preserve">n the energy sector, </w:t>
      </w:r>
      <w:r w:rsidR="009B39EE">
        <w:rPr>
          <w:b w:val="0"/>
          <w:bCs w:val="0"/>
        </w:rPr>
        <w:t>most joint account holders may independently add permissions for an additional person without approval from the other account holder(s).</w:t>
      </w:r>
      <w:r w:rsidR="00995D60">
        <w:rPr>
          <w:b w:val="0"/>
          <w:bCs w:val="0"/>
        </w:rPr>
        <w:br/>
      </w:r>
    </w:p>
    <w:p w14:paraId="7A32F0C3" w14:textId="7BB9A15B" w:rsidR="00944C1F" w:rsidRDefault="009B39EE" w:rsidP="00D736D1">
      <w:pPr>
        <w:pStyle w:val="ListParagraph"/>
        <w:numPr>
          <w:ilvl w:val="0"/>
          <w:numId w:val="78"/>
        </w:numPr>
        <w:spacing w:after="240"/>
        <w:contextualSpacing w:val="0"/>
      </w:pPr>
      <w:r>
        <w:t xml:space="preserve">However, we understand </w:t>
      </w:r>
      <w:r w:rsidR="002F7C9F">
        <w:t>some</w:t>
      </w:r>
      <w:r>
        <w:t xml:space="preserve"> </w:t>
      </w:r>
      <w:r w:rsidR="0093051B">
        <w:t xml:space="preserve">joint accounts </w:t>
      </w:r>
      <w:r>
        <w:t>may allow authorities to be set</w:t>
      </w:r>
      <w:r w:rsidR="00CC4F18">
        <w:t xml:space="preserve"> </w:t>
      </w:r>
      <w:r>
        <w:t>up so that approvals are required from all</w:t>
      </w:r>
      <w:r w:rsidR="00341C27">
        <w:t>/multiple</w:t>
      </w:r>
      <w:r>
        <w:t xml:space="preserve"> account holders before transactions can occur.</w:t>
      </w:r>
      <w:r w:rsidR="00B46B79">
        <w:rPr>
          <w:rStyle w:val="FootnoteReference"/>
        </w:rPr>
        <w:footnoteReference w:id="4"/>
      </w:r>
      <w:r>
        <w:t xml:space="preserve"> </w:t>
      </w:r>
      <w:r w:rsidR="00D31382">
        <w:t>W</w:t>
      </w:r>
      <w:r w:rsidR="00411968">
        <w:t>e</w:t>
      </w:r>
      <w:r>
        <w:t xml:space="preserve"> understand </w:t>
      </w:r>
      <w:r w:rsidR="00026FB0">
        <w:t>a small</w:t>
      </w:r>
      <w:r>
        <w:t xml:space="preserve"> </w:t>
      </w:r>
      <w:r w:rsidR="00411968">
        <w:t xml:space="preserve">segment </w:t>
      </w:r>
      <w:r>
        <w:t xml:space="preserve">of </w:t>
      </w:r>
      <w:r w:rsidR="0093051B">
        <w:t xml:space="preserve">joint accounts </w:t>
      </w:r>
      <w:r w:rsidR="00D31382">
        <w:t xml:space="preserve">actually </w:t>
      </w:r>
      <w:r w:rsidR="00026FB0">
        <w:t>h</w:t>
      </w:r>
      <w:r w:rsidR="00C7373C">
        <w:t xml:space="preserve">ave </w:t>
      </w:r>
      <w:r w:rsidR="0005521F">
        <w:t xml:space="preserve">authorities </w:t>
      </w:r>
      <w:r w:rsidR="00C7373C">
        <w:t xml:space="preserve">set up in this </w:t>
      </w:r>
      <w:r w:rsidR="001476DC">
        <w:t>way</w:t>
      </w:r>
      <w:r w:rsidR="00026FB0">
        <w:t>.</w:t>
      </w:r>
    </w:p>
    <w:p w14:paraId="0A365E0B" w14:textId="66F70580" w:rsidR="00341C27" w:rsidRDefault="00095A60" w:rsidP="00D736D1">
      <w:pPr>
        <w:pStyle w:val="ListParagraph"/>
        <w:numPr>
          <w:ilvl w:val="0"/>
          <w:numId w:val="78"/>
        </w:numPr>
        <w:spacing w:after="240"/>
        <w:contextualSpacing w:val="0"/>
      </w:pPr>
      <w:r>
        <w:t xml:space="preserve">This introduces an additional policy consideration of whether it is </w:t>
      </w:r>
      <w:r w:rsidR="005A2974">
        <w:t>preferable</w:t>
      </w:r>
      <w:r>
        <w:t xml:space="preserve"> to depart from the </w:t>
      </w:r>
      <w:r w:rsidR="00E94EC9">
        <w:t xml:space="preserve">proposed </w:t>
      </w:r>
      <w:r>
        <w:t>default ‘opt-</w:t>
      </w:r>
      <w:r w:rsidR="005A2974">
        <w:t>out’</w:t>
      </w:r>
      <w:r>
        <w:t xml:space="preserve"> </w:t>
      </w:r>
      <w:r w:rsidR="00E94EC9">
        <w:t xml:space="preserve">setting </w:t>
      </w:r>
      <w:r>
        <w:t>for joint accounts that currently require multiple approvals before a transaction can occur</w:t>
      </w:r>
      <w:r w:rsidR="00116602">
        <w:t xml:space="preserve"> (</w:t>
      </w:r>
      <w:r w:rsidR="00116602">
        <w:rPr>
          <w:b/>
          <w:bCs/>
        </w:rPr>
        <w:t xml:space="preserve">complex </w:t>
      </w:r>
      <w:r w:rsidR="00573A4C">
        <w:rPr>
          <w:b/>
          <w:bCs/>
        </w:rPr>
        <w:t xml:space="preserve">joint </w:t>
      </w:r>
      <w:r w:rsidR="00116602">
        <w:rPr>
          <w:b/>
          <w:bCs/>
        </w:rPr>
        <w:t>accounts</w:t>
      </w:r>
      <w:r w:rsidR="00116602">
        <w:t>)</w:t>
      </w:r>
      <w:r>
        <w:t>.</w:t>
      </w:r>
      <w:r w:rsidR="00E94EC9">
        <w:t xml:space="preserve"> </w:t>
      </w:r>
      <w:bookmarkStart w:id="3" w:name="_Hlk69984501"/>
      <w:r w:rsidR="00341C27">
        <w:t xml:space="preserve">We consider </w:t>
      </w:r>
      <w:proofErr w:type="gramStart"/>
      <w:r w:rsidR="00341C27">
        <w:t>a number of</w:t>
      </w:r>
      <w:proofErr w:type="gramEnd"/>
      <w:r w:rsidR="00341C27">
        <w:t xml:space="preserve"> options exist for the default setting on </w:t>
      </w:r>
      <w:r w:rsidR="00116602">
        <w:t xml:space="preserve">complex </w:t>
      </w:r>
      <w:r w:rsidR="00E64596">
        <w:t xml:space="preserve">joint </w:t>
      </w:r>
      <w:r w:rsidR="00341C27">
        <w:t>accounts</w:t>
      </w:r>
      <w:bookmarkEnd w:id="3"/>
      <w:r w:rsidR="00341C27">
        <w:t>:</w:t>
      </w:r>
    </w:p>
    <w:p w14:paraId="17C5E448" w14:textId="1EECD3B9" w:rsidR="00485439" w:rsidRDefault="00073EDE" w:rsidP="00075280">
      <w:pPr>
        <w:pStyle w:val="ListParagraph"/>
        <w:numPr>
          <w:ilvl w:val="0"/>
          <w:numId w:val="33"/>
        </w:numPr>
        <w:spacing w:after="240"/>
        <w:ind w:left="714" w:hanging="357"/>
      </w:pPr>
      <w:r w:rsidRPr="00A40FBF">
        <w:rPr>
          <w:b/>
          <w:bCs/>
        </w:rPr>
        <w:t xml:space="preserve">Option </w:t>
      </w:r>
      <w:r w:rsidR="00A40223">
        <w:rPr>
          <w:b/>
          <w:bCs/>
        </w:rPr>
        <w:t>1</w:t>
      </w:r>
      <w:r w:rsidRPr="00A40FBF">
        <w:rPr>
          <w:b/>
          <w:bCs/>
        </w:rPr>
        <w:t>:</w:t>
      </w:r>
      <w:r w:rsidR="00EE69E0" w:rsidRPr="00A40FBF">
        <w:rPr>
          <w:b/>
          <w:bCs/>
        </w:rPr>
        <w:t xml:space="preserve"> mirror current </w:t>
      </w:r>
      <w:r w:rsidR="00BC5F94">
        <w:rPr>
          <w:b/>
          <w:bCs/>
        </w:rPr>
        <w:t>authorities</w:t>
      </w:r>
      <w:r w:rsidR="00C82404" w:rsidRPr="00A40FBF">
        <w:rPr>
          <w:b/>
          <w:bCs/>
        </w:rPr>
        <w:t xml:space="preserve"> to transact on </w:t>
      </w:r>
      <w:r w:rsidR="00D23109">
        <w:rPr>
          <w:b/>
          <w:bCs/>
        </w:rPr>
        <w:t>complex</w:t>
      </w:r>
      <w:r w:rsidR="00C82404" w:rsidRPr="00A40FBF">
        <w:rPr>
          <w:b/>
          <w:bCs/>
        </w:rPr>
        <w:t xml:space="preserve"> </w:t>
      </w:r>
      <w:r w:rsidR="00E64596">
        <w:rPr>
          <w:b/>
          <w:bCs/>
        </w:rPr>
        <w:t xml:space="preserve">joint </w:t>
      </w:r>
      <w:r w:rsidR="00C82404" w:rsidRPr="00A40FBF">
        <w:rPr>
          <w:b/>
          <w:bCs/>
        </w:rPr>
        <w:t>account</w:t>
      </w:r>
      <w:r w:rsidR="00D23109">
        <w:rPr>
          <w:b/>
          <w:bCs/>
        </w:rPr>
        <w:t>s</w:t>
      </w:r>
      <w:r w:rsidR="00EE69E0" w:rsidRPr="00A40FBF">
        <w:rPr>
          <w:b/>
          <w:bCs/>
        </w:rPr>
        <w:t>.</w:t>
      </w:r>
      <w:r>
        <w:t xml:space="preserve"> </w:t>
      </w:r>
      <w:r w:rsidR="00BE28F6" w:rsidRPr="007D7B92">
        <w:t xml:space="preserve">If an account holder requires approval </w:t>
      </w:r>
      <w:r w:rsidR="00485439" w:rsidRPr="007D7B92">
        <w:t>from</w:t>
      </w:r>
      <w:r w:rsidR="00BE28F6" w:rsidRPr="007D7B92">
        <w:t xml:space="preserve"> the other account holder</w:t>
      </w:r>
      <w:r w:rsidR="00EE69E0" w:rsidRPr="007D7B92">
        <w:t>(</w:t>
      </w:r>
      <w:r w:rsidR="00BE28F6" w:rsidRPr="007D7B92">
        <w:t>s</w:t>
      </w:r>
      <w:r w:rsidR="00EE69E0" w:rsidRPr="007D7B92">
        <w:t>)</w:t>
      </w:r>
      <w:r w:rsidR="00BE28F6" w:rsidRPr="007D7B92">
        <w:t xml:space="preserve"> before a transaction can occur, then by default they will require approval from the </w:t>
      </w:r>
      <w:r w:rsidR="00411968">
        <w:t>same</w:t>
      </w:r>
      <w:r w:rsidR="00BE28F6" w:rsidRPr="007D7B92">
        <w:t xml:space="preserve"> account holders before they</w:t>
      </w:r>
      <w:r w:rsidR="00485439" w:rsidRPr="007D7B92">
        <w:t xml:space="preserve"> may share data on the account.</w:t>
      </w:r>
      <w:r w:rsidR="00485439">
        <w:rPr>
          <w:b/>
          <w:bCs/>
        </w:rPr>
        <w:t xml:space="preserve"> </w:t>
      </w:r>
      <w:r w:rsidR="00FD3BE0">
        <w:t xml:space="preserve">This would require the implementation of ‘co-approval’ which has, to date, been </w:t>
      </w:r>
      <w:r w:rsidR="004D2BD8">
        <w:t xml:space="preserve">an </w:t>
      </w:r>
      <w:r w:rsidR="00FD3BE0">
        <w:t xml:space="preserve">optional implementation for data holders. </w:t>
      </w:r>
      <w:r w:rsidR="00E36D16">
        <w:t xml:space="preserve">For illustrative purposes, we have provided wireframes for Option 1; see flow 1.1 online </w:t>
      </w:r>
      <w:hyperlink r:id="rId23" w:history="1">
        <w:r w:rsidR="00E36D16">
          <w:rPr>
            <w:rStyle w:val="Hyperlink"/>
          </w:rPr>
          <w:t>here</w:t>
        </w:r>
      </w:hyperlink>
      <w:r w:rsidR="00E36D16">
        <w:t xml:space="preserve"> (</w:t>
      </w:r>
      <w:hyperlink r:id="rId24" w:history="1">
        <w:r w:rsidR="00E36D16">
          <w:rPr>
            <w:rStyle w:val="Hyperlink"/>
          </w:rPr>
          <w:t>PDF version</w:t>
        </w:r>
      </w:hyperlink>
      <w:r w:rsidR="00E36D16">
        <w:t xml:space="preserve">), which demonstrates joint account sharing where no additional approval is required. See flow 1.2 online </w:t>
      </w:r>
      <w:hyperlink r:id="rId25" w:history="1">
        <w:r w:rsidR="00E36D16">
          <w:rPr>
            <w:rStyle w:val="Hyperlink"/>
          </w:rPr>
          <w:t>here</w:t>
        </w:r>
      </w:hyperlink>
      <w:r w:rsidR="00E36D16">
        <w:t xml:space="preserve"> (</w:t>
      </w:r>
      <w:hyperlink r:id="rId26" w:history="1">
        <w:r w:rsidR="00E36D16">
          <w:rPr>
            <w:rStyle w:val="Hyperlink"/>
          </w:rPr>
          <w:t>PDF version</w:t>
        </w:r>
      </w:hyperlink>
      <w:r w:rsidR="00E36D16">
        <w:t>), which demonstrates joint account sharing where additional approvals are required.</w:t>
      </w:r>
    </w:p>
    <w:p w14:paraId="68F22380" w14:textId="77777777" w:rsidR="00075280" w:rsidRPr="00485439" w:rsidRDefault="00075280" w:rsidP="00075280">
      <w:pPr>
        <w:pStyle w:val="ListParagraph"/>
        <w:spacing w:after="240"/>
        <w:ind w:left="714"/>
      </w:pPr>
    </w:p>
    <w:p w14:paraId="5831AA04" w14:textId="73914A98" w:rsidR="00FD1C8F" w:rsidRDefault="00D415F1" w:rsidP="00106988">
      <w:pPr>
        <w:pStyle w:val="ListParagraph"/>
        <w:numPr>
          <w:ilvl w:val="0"/>
          <w:numId w:val="33"/>
        </w:numPr>
        <w:spacing w:after="240"/>
        <w:ind w:left="714" w:hanging="357"/>
        <w:contextualSpacing w:val="0"/>
      </w:pPr>
      <w:r w:rsidRPr="00A40FBF">
        <w:rPr>
          <w:b/>
          <w:bCs/>
        </w:rPr>
        <w:t xml:space="preserve">Option </w:t>
      </w:r>
      <w:r w:rsidR="00A40223">
        <w:rPr>
          <w:b/>
          <w:bCs/>
        </w:rPr>
        <w:t>2</w:t>
      </w:r>
      <w:r w:rsidRPr="00A40FBF">
        <w:rPr>
          <w:b/>
          <w:bCs/>
        </w:rPr>
        <w:t>:</w:t>
      </w:r>
      <w:r w:rsidR="00485439" w:rsidRPr="00A40FBF">
        <w:rPr>
          <w:b/>
          <w:bCs/>
        </w:rPr>
        <w:t xml:space="preserve"> </w:t>
      </w:r>
      <w:r w:rsidR="00EE69E0" w:rsidRPr="00A40FBF">
        <w:rPr>
          <w:b/>
          <w:bCs/>
        </w:rPr>
        <w:t>require ‘opt-in’</w:t>
      </w:r>
      <w:r w:rsidR="0004448E">
        <w:rPr>
          <w:b/>
          <w:bCs/>
        </w:rPr>
        <w:t xml:space="preserve"> for complex </w:t>
      </w:r>
      <w:r w:rsidR="00573A4C">
        <w:rPr>
          <w:b/>
          <w:bCs/>
        </w:rPr>
        <w:t xml:space="preserve">joint </w:t>
      </w:r>
      <w:r w:rsidR="0004448E">
        <w:rPr>
          <w:b/>
          <w:bCs/>
        </w:rPr>
        <w:t>accounts</w:t>
      </w:r>
      <w:r w:rsidR="00EE69E0" w:rsidRPr="00A40FBF">
        <w:rPr>
          <w:b/>
          <w:bCs/>
        </w:rPr>
        <w:t>.</w:t>
      </w:r>
      <w:r w:rsidR="00EE69E0">
        <w:t xml:space="preserve"> </w:t>
      </w:r>
      <w:r w:rsidR="00EE69E0" w:rsidRPr="007D7B92">
        <w:t xml:space="preserve">If an account holder requires approval </w:t>
      </w:r>
      <w:r w:rsidR="00C82404" w:rsidRPr="007D7B92">
        <w:t>from</w:t>
      </w:r>
      <w:r w:rsidR="00EE69E0" w:rsidRPr="007D7B92">
        <w:t xml:space="preserve"> the other account holder(s)</w:t>
      </w:r>
      <w:r w:rsidR="00C82404" w:rsidRPr="007D7B92">
        <w:t xml:space="preserve"> before a transaction can occur, then</w:t>
      </w:r>
      <w:r w:rsidR="00411968">
        <w:t xml:space="preserve"> </w:t>
      </w:r>
      <w:r w:rsidR="00106988">
        <w:t>by default the</w:t>
      </w:r>
      <w:r w:rsidR="00411968">
        <w:t xml:space="preserve"> data sharing </w:t>
      </w:r>
      <w:r w:rsidR="00106988">
        <w:t xml:space="preserve">will </w:t>
      </w:r>
      <w:r w:rsidR="00C82404" w:rsidRPr="007D7B92">
        <w:t xml:space="preserve">require both account holders to ‘opt-in’ to be able to independently share data on the account before it is permitted to be shared. This would result in </w:t>
      </w:r>
      <w:r w:rsidR="000E0B99">
        <w:t>‘co-approval’ not be</w:t>
      </w:r>
      <w:r w:rsidR="00116602">
        <w:t>ing</w:t>
      </w:r>
      <w:r w:rsidR="000E0B99">
        <w:t xml:space="preserve"> required implementation, however,</w:t>
      </w:r>
      <w:r w:rsidR="00FD3BE0">
        <w:t xml:space="preserve"> data holders </w:t>
      </w:r>
      <w:r w:rsidR="000E0B99">
        <w:t xml:space="preserve">would be required </w:t>
      </w:r>
      <w:r w:rsidR="00FD3BE0">
        <w:t xml:space="preserve">to implement both ‘opt-out’ and ‘opt-in’ </w:t>
      </w:r>
      <w:r w:rsidR="00116602">
        <w:t>policy settings</w:t>
      </w:r>
      <w:r w:rsidR="00151F57">
        <w:t>.</w:t>
      </w:r>
      <w:r w:rsidR="00C82404" w:rsidRPr="007D7B92">
        <w:t xml:space="preserve"> </w:t>
      </w:r>
    </w:p>
    <w:p w14:paraId="6157DAF6" w14:textId="1D2BB728" w:rsidR="009756D4" w:rsidRDefault="00E2722A" w:rsidP="00DC7D35">
      <w:pPr>
        <w:pStyle w:val="ListParagraph"/>
        <w:numPr>
          <w:ilvl w:val="0"/>
          <w:numId w:val="33"/>
        </w:numPr>
        <w:spacing w:after="240"/>
        <w:ind w:left="714" w:hanging="357"/>
        <w:contextualSpacing w:val="0"/>
      </w:pPr>
      <w:r w:rsidRPr="00312DD2">
        <w:rPr>
          <w:b/>
          <w:bCs/>
        </w:rPr>
        <w:t>Option 3:</w:t>
      </w:r>
      <w:r w:rsidR="00D973C1" w:rsidRPr="00312DD2">
        <w:rPr>
          <w:b/>
          <w:bCs/>
        </w:rPr>
        <w:t xml:space="preserve"> </w:t>
      </w:r>
      <w:r w:rsidR="00652770" w:rsidRPr="00312DD2">
        <w:rPr>
          <w:b/>
          <w:bCs/>
        </w:rPr>
        <w:t xml:space="preserve">apply the </w:t>
      </w:r>
      <w:r w:rsidR="00FD3BE0" w:rsidRPr="00312DD2">
        <w:rPr>
          <w:b/>
          <w:bCs/>
        </w:rPr>
        <w:t xml:space="preserve">‘opt-out’ setting </w:t>
      </w:r>
      <w:r w:rsidR="00652770" w:rsidRPr="00312DD2">
        <w:rPr>
          <w:b/>
          <w:bCs/>
        </w:rPr>
        <w:t xml:space="preserve">to </w:t>
      </w:r>
      <w:r w:rsidR="0004448E">
        <w:rPr>
          <w:b/>
          <w:bCs/>
        </w:rPr>
        <w:t xml:space="preserve">complex </w:t>
      </w:r>
      <w:r w:rsidR="008E62D7">
        <w:rPr>
          <w:b/>
          <w:bCs/>
        </w:rPr>
        <w:t xml:space="preserve">joint </w:t>
      </w:r>
      <w:r w:rsidR="0004448E">
        <w:rPr>
          <w:b/>
          <w:bCs/>
        </w:rPr>
        <w:t>accounts</w:t>
      </w:r>
      <w:r w:rsidR="00652770" w:rsidRPr="00312DD2">
        <w:rPr>
          <w:b/>
          <w:bCs/>
        </w:rPr>
        <w:t>.</w:t>
      </w:r>
      <w:r w:rsidR="00FD3BE0">
        <w:t xml:space="preserve"> </w:t>
      </w:r>
      <w:bookmarkStart w:id="4" w:name="_Hlk69912312"/>
      <w:r w:rsidR="00554A70">
        <w:t>C</w:t>
      </w:r>
      <w:r w:rsidR="00554A70" w:rsidRPr="00312DD2">
        <w:t>onsistent</w:t>
      </w:r>
      <w:r w:rsidR="00554A70">
        <w:t xml:space="preserve"> with the</w:t>
      </w:r>
      <w:r w:rsidR="00554A70" w:rsidRPr="00312DD2">
        <w:t xml:space="preserve"> </w:t>
      </w:r>
      <w:r w:rsidR="00554A70">
        <w:t xml:space="preserve">general </w:t>
      </w:r>
      <w:r w:rsidR="00652770" w:rsidRPr="00312DD2">
        <w:t>approach to joint account</w:t>
      </w:r>
      <w:r w:rsidR="00554A70">
        <w:t>s, an individual account holder may share CDR data</w:t>
      </w:r>
      <w:r w:rsidR="00652770" w:rsidRPr="00312DD2" w:rsidDel="00554A70">
        <w:t xml:space="preserve"> </w:t>
      </w:r>
      <w:r w:rsidR="00652770" w:rsidRPr="00312DD2">
        <w:t xml:space="preserve">regardless of the transaction authorities on the joint account. </w:t>
      </w:r>
      <w:r w:rsidR="00312DD2" w:rsidRPr="007D7B92">
        <w:t xml:space="preserve">This would result in </w:t>
      </w:r>
      <w:r w:rsidR="00312DD2">
        <w:t>‘co-approval’ not be</w:t>
      </w:r>
      <w:r w:rsidR="00D348E9">
        <w:t>ing</w:t>
      </w:r>
      <w:r w:rsidR="00312DD2">
        <w:t xml:space="preserve"> </w:t>
      </w:r>
      <w:r w:rsidR="004D2BD8">
        <w:t>mandatory to implement</w:t>
      </w:r>
      <w:r w:rsidR="00312DD2">
        <w:t xml:space="preserve"> and data holders </w:t>
      </w:r>
      <w:r w:rsidR="00D83C51">
        <w:t>implementing</w:t>
      </w:r>
      <w:r w:rsidR="00312DD2">
        <w:t xml:space="preserve"> an ‘opt-out’ approach</w:t>
      </w:r>
      <w:r w:rsidR="00A01790">
        <w:t xml:space="preserve"> across all joint accounts</w:t>
      </w:r>
      <w:r w:rsidR="00312DD2">
        <w:t>.</w:t>
      </w:r>
      <w:r w:rsidR="00312DD2" w:rsidRPr="007D7B92">
        <w:t xml:space="preserve"> </w:t>
      </w:r>
      <w:r w:rsidR="00312DD2">
        <w:t>This option reflects that transaction authorities may not be analogous to data sharing authorities, and an</w:t>
      </w:r>
      <w:r w:rsidR="00CE2D09">
        <w:t xml:space="preserve"> alternative approach for data sharing settings</w:t>
      </w:r>
      <w:r w:rsidR="00A67920">
        <w:t xml:space="preserve"> </w:t>
      </w:r>
      <w:r w:rsidR="00CE2D09">
        <w:t>may be appropriate.</w:t>
      </w:r>
      <w:bookmarkEnd w:id="4"/>
    </w:p>
    <w:p w14:paraId="185DB9BD" w14:textId="5FDF27BE" w:rsidR="004E69C6" w:rsidRDefault="004E69C6" w:rsidP="00D736D1">
      <w:pPr>
        <w:pStyle w:val="ListParagraph"/>
        <w:numPr>
          <w:ilvl w:val="0"/>
          <w:numId w:val="78"/>
        </w:numPr>
        <w:spacing w:after="240"/>
        <w:contextualSpacing w:val="0"/>
      </w:pPr>
      <w:r w:rsidRPr="002377A8">
        <w:t xml:space="preserve">The policy </w:t>
      </w:r>
      <w:r>
        <w:t xml:space="preserve">considerations for managing complex joint accounts </w:t>
      </w:r>
      <w:r w:rsidRPr="002377A8">
        <w:t>are option dependent</w:t>
      </w:r>
      <w:r>
        <w:t>.</w:t>
      </w:r>
      <w:r w:rsidRPr="002377A8">
        <w:t xml:space="preserve"> </w:t>
      </w:r>
      <w:r>
        <w:t>A</w:t>
      </w:r>
      <w:r w:rsidRPr="002377A8">
        <w:t>n overview of the impacts is outlined in Table 1.</w:t>
      </w:r>
      <w:r>
        <w:t xml:space="preserve"> If Option 1 or 2 are supported, we consider that this may also impact implementation timeframes for complex joint accounts so that efficiencies can be created by considering the ‘co-approval’ settings from an action-initiation perspective concurrently.</w:t>
      </w:r>
    </w:p>
    <w:p w14:paraId="19437152" w14:textId="0FFE069E" w:rsidR="0098621F" w:rsidRPr="0098621F" w:rsidRDefault="0098621F" w:rsidP="00B00ECA">
      <w:pPr>
        <w:keepNext/>
        <w:spacing w:after="240"/>
        <w:rPr>
          <w:b/>
          <w:bCs/>
        </w:rPr>
      </w:pPr>
      <w:r>
        <w:rPr>
          <w:b/>
          <w:bCs/>
        </w:rPr>
        <w:t xml:space="preserve">Table 1: </w:t>
      </w:r>
      <w:r w:rsidR="00EB0481">
        <w:rPr>
          <w:b/>
          <w:bCs/>
        </w:rPr>
        <w:t>Complex joint accounts o</w:t>
      </w:r>
      <w:r>
        <w:rPr>
          <w:b/>
          <w:bCs/>
        </w:rPr>
        <w:t>ptions comparison</w:t>
      </w:r>
    </w:p>
    <w:tbl>
      <w:tblPr>
        <w:tblStyle w:val="TableGrid"/>
        <w:tblW w:w="9826" w:type="dxa"/>
        <w:tblInd w:w="-5" w:type="dxa"/>
        <w:tblLook w:val="04A0" w:firstRow="1" w:lastRow="0" w:firstColumn="1" w:lastColumn="0" w:noHBand="0" w:noVBand="1"/>
      </w:tblPr>
      <w:tblGrid>
        <w:gridCol w:w="1738"/>
        <w:gridCol w:w="2696"/>
        <w:gridCol w:w="2696"/>
        <w:gridCol w:w="2696"/>
      </w:tblGrid>
      <w:tr w:rsidR="00BA7BB1" w14:paraId="5C36D255" w14:textId="77777777" w:rsidTr="00DB3C40">
        <w:trPr>
          <w:trHeight w:val="932"/>
          <w:tblHeader/>
        </w:trPr>
        <w:tc>
          <w:tcPr>
            <w:tcW w:w="1738" w:type="dxa"/>
            <w:tcBorders>
              <w:top w:val="single" w:sz="4" w:space="0" w:color="auto"/>
            </w:tcBorders>
          </w:tcPr>
          <w:p w14:paraId="4695F051" w14:textId="77777777" w:rsidR="00BA7BB1" w:rsidRPr="00BA7BB1" w:rsidRDefault="00BA7BB1" w:rsidP="00B00ECA">
            <w:pPr>
              <w:keepNext/>
              <w:spacing w:after="240"/>
              <w:contextualSpacing/>
              <w:rPr>
                <w:b/>
                <w:bCs/>
              </w:rPr>
            </w:pPr>
            <w:r w:rsidRPr="00BA7BB1">
              <w:rPr>
                <w:b/>
                <w:bCs/>
              </w:rPr>
              <w:t xml:space="preserve">Management of complex </w:t>
            </w:r>
            <w:r>
              <w:rPr>
                <w:b/>
                <w:bCs/>
              </w:rPr>
              <w:t xml:space="preserve">joint </w:t>
            </w:r>
            <w:r w:rsidRPr="00BA7BB1">
              <w:rPr>
                <w:b/>
                <w:bCs/>
              </w:rPr>
              <w:t>accounts</w:t>
            </w:r>
          </w:p>
        </w:tc>
        <w:tc>
          <w:tcPr>
            <w:tcW w:w="2696" w:type="dxa"/>
            <w:tcBorders>
              <w:top w:val="single" w:sz="4" w:space="0" w:color="auto"/>
            </w:tcBorders>
          </w:tcPr>
          <w:p w14:paraId="0131367C" w14:textId="77777777" w:rsidR="00BA7BB1" w:rsidRPr="00D5352A" w:rsidRDefault="00BA7BB1" w:rsidP="00B00ECA">
            <w:pPr>
              <w:keepNext/>
              <w:spacing w:after="240"/>
              <w:contextualSpacing/>
              <w:rPr>
                <w:b/>
                <w:sz w:val="20"/>
                <w:szCs w:val="20"/>
              </w:rPr>
            </w:pPr>
            <w:r w:rsidRPr="00A40FBF">
              <w:rPr>
                <w:b/>
              </w:rPr>
              <w:t xml:space="preserve">Option </w:t>
            </w:r>
            <w:r>
              <w:rPr>
                <w:b/>
              </w:rPr>
              <w:t>1</w:t>
            </w:r>
            <w:r w:rsidRPr="00A40FBF">
              <w:rPr>
                <w:b/>
              </w:rPr>
              <w:t xml:space="preserve">: mirror current </w:t>
            </w:r>
            <w:r>
              <w:rPr>
                <w:b/>
                <w:bCs/>
              </w:rPr>
              <w:t>authorities</w:t>
            </w:r>
            <w:r w:rsidRPr="00A40FBF">
              <w:rPr>
                <w:b/>
              </w:rPr>
              <w:t xml:space="preserve"> to transact on </w:t>
            </w:r>
            <w:r>
              <w:rPr>
                <w:b/>
                <w:bCs/>
              </w:rPr>
              <w:t>complex</w:t>
            </w:r>
            <w:r w:rsidRPr="00A40FBF">
              <w:rPr>
                <w:b/>
                <w:bCs/>
              </w:rPr>
              <w:t xml:space="preserve"> </w:t>
            </w:r>
            <w:r>
              <w:rPr>
                <w:b/>
                <w:bCs/>
              </w:rPr>
              <w:t xml:space="preserve">joint </w:t>
            </w:r>
            <w:r w:rsidRPr="00A40FBF">
              <w:rPr>
                <w:b/>
                <w:bCs/>
              </w:rPr>
              <w:t>account</w:t>
            </w:r>
            <w:r>
              <w:rPr>
                <w:b/>
                <w:bCs/>
              </w:rPr>
              <w:t>s</w:t>
            </w:r>
          </w:p>
        </w:tc>
        <w:tc>
          <w:tcPr>
            <w:tcW w:w="2696" w:type="dxa"/>
            <w:tcBorders>
              <w:top w:val="single" w:sz="4" w:space="0" w:color="auto"/>
            </w:tcBorders>
          </w:tcPr>
          <w:p w14:paraId="5803EB77" w14:textId="77777777" w:rsidR="00BA7BB1" w:rsidRPr="00D5352A" w:rsidRDefault="00BA7BB1" w:rsidP="00B00ECA">
            <w:pPr>
              <w:keepNext/>
              <w:spacing w:after="240"/>
              <w:contextualSpacing/>
              <w:rPr>
                <w:b/>
                <w:sz w:val="20"/>
                <w:szCs w:val="20"/>
              </w:rPr>
            </w:pPr>
            <w:r w:rsidRPr="00A40FBF">
              <w:rPr>
                <w:b/>
                <w:bCs/>
              </w:rPr>
              <w:t xml:space="preserve">Option </w:t>
            </w:r>
            <w:r>
              <w:rPr>
                <w:b/>
                <w:bCs/>
              </w:rPr>
              <w:t>2</w:t>
            </w:r>
            <w:r w:rsidRPr="00A40FBF">
              <w:rPr>
                <w:b/>
                <w:bCs/>
              </w:rPr>
              <w:t>: require ‘opt-in’</w:t>
            </w:r>
            <w:r>
              <w:rPr>
                <w:b/>
                <w:bCs/>
              </w:rPr>
              <w:t xml:space="preserve"> for complex joint accounts</w:t>
            </w:r>
          </w:p>
        </w:tc>
        <w:tc>
          <w:tcPr>
            <w:tcW w:w="2696" w:type="dxa"/>
            <w:tcBorders>
              <w:top w:val="single" w:sz="4" w:space="0" w:color="auto"/>
            </w:tcBorders>
          </w:tcPr>
          <w:p w14:paraId="296D2BD2" w14:textId="77777777" w:rsidR="00BA7BB1" w:rsidRDefault="00BA7BB1" w:rsidP="00B00ECA">
            <w:pPr>
              <w:keepNext/>
              <w:spacing w:after="240"/>
              <w:contextualSpacing/>
              <w:rPr>
                <w:b/>
                <w:sz w:val="20"/>
                <w:szCs w:val="20"/>
              </w:rPr>
            </w:pPr>
            <w:r w:rsidRPr="00312DD2">
              <w:rPr>
                <w:b/>
                <w:bCs/>
              </w:rPr>
              <w:t xml:space="preserve">Option 3: apply the ‘opt-out’ setting to </w:t>
            </w:r>
            <w:r>
              <w:rPr>
                <w:b/>
                <w:bCs/>
              </w:rPr>
              <w:t>complex joint accounts</w:t>
            </w:r>
          </w:p>
        </w:tc>
      </w:tr>
      <w:tr w:rsidR="00BA7BB1" w14:paraId="2F7BA298" w14:textId="77777777" w:rsidTr="00DB3C40">
        <w:trPr>
          <w:trHeight w:val="614"/>
        </w:trPr>
        <w:tc>
          <w:tcPr>
            <w:tcW w:w="1738" w:type="dxa"/>
          </w:tcPr>
          <w:p w14:paraId="3E2FE5D0" w14:textId="51429102" w:rsidR="00BA7BB1" w:rsidRPr="00A26519" w:rsidRDefault="00BA7BB1" w:rsidP="00BA7BB1">
            <w:pPr>
              <w:spacing w:after="240"/>
              <w:contextualSpacing/>
              <w:rPr>
                <w:b/>
                <w:sz w:val="20"/>
                <w:szCs w:val="20"/>
              </w:rPr>
            </w:pPr>
            <w:r w:rsidRPr="00A26519">
              <w:rPr>
                <w:b/>
                <w:sz w:val="20"/>
                <w:szCs w:val="20"/>
              </w:rPr>
              <w:t>What is the impact on consumer</w:t>
            </w:r>
            <w:r>
              <w:rPr>
                <w:b/>
                <w:sz w:val="20"/>
                <w:szCs w:val="20"/>
              </w:rPr>
              <w:t xml:space="preserve"> experience</w:t>
            </w:r>
            <w:r w:rsidRPr="00A26519">
              <w:rPr>
                <w:b/>
                <w:sz w:val="20"/>
                <w:szCs w:val="20"/>
              </w:rPr>
              <w:t>?</w:t>
            </w:r>
          </w:p>
        </w:tc>
        <w:tc>
          <w:tcPr>
            <w:tcW w:w="2696" w:type="dxa"/>
          </w:tcPr>
          <w:p w14:paraId="4E903BB9" w14:textId="5CB4BF80" w:rsidR="00BA7BB1" w:rsidRDefault="00BA7BB1" w:rsidP="00BA7BB1">
            <w:pPr>
              <w:spacing w:after="240"/>
              <w:contextualSpacing/>
              <w:rPr>
                <w:sz w:val="20"/>
                <w:szCs w:val="20"/>
              </w:rPr>
            </w:pPr>
            <w:r>
              <w:rPr>
                <w:sz w:val="20"/>
                <w:szCs w:val="20"/>
              </w:rPr>
              <w:t xml:space="preserve">This option would introduce friction and delays into the data sharing process. However, it may align with consumer expectations to have additional control and oversight of activities on a complex </w:t>
            </w:r>
            <w:r w:rsidR="004C4EED">
              <w:rPr>
                <w:sz w:val="20"/>
                <w:szCs w:val="20"/>
              </w:rPr>
              <w:t xml:space="preserve">joint </w:t>
            </w:r>
            <w:r>
              <w:rPr>
                <w:sz w:val="20"/>
                <w:szCs w:val="20"/>
              </w:rPr>
              <w:t xml:space="preserve">account.  </w:t>
            </w:r>
          </w:p>
          <w:p w14:paraId="0E4FF5E9" w14:textId="77777777" w:rsidR="00BA7BB1" w:rsidRDefault="00BA7BB1" w:rsidP="00BA7BB1">
            <w:pPr>
              <w:spacing w:after="240"/>
              <w:contextualSpacing/>
              <w:rPr>
                <w:sz w:val="20"/>
                <w:szCs w:val="20"/>
              </w:rPr>
            </w:pPr>
          </w:p>
          <w:p w14:paraId="2C99ACFC" w14:textId="77777777" w:rsidR="00BA7BB1" w:rsidRPr="00D5352A" w:rsidRDefault="00BA7BB1" w:rsidP="00BA7BB1">
            <w:pPr>
              <w:spacing w:after="240"/>
              <w:contextualSpacing/>
              <w:rPr>
                <w:sz w:val="20"/>
                <w:szCs w:val="20"/>
              </w:rPr>
            </w:pPr>
            <w:r>
              <w:rPr>
                <w:sz w:val="20"/>
                <w:szCs w:val="20"/>
              </w:rPr>
              <w:t>Option 1 may create confusion where consumers have multiple joint accounts with different authorisation structures.</w:t>
            </w:r>
          </w:p>
        </w:tc>
        <w:tc>
          <w:tcPr>
            <w:tcW w:w="2696" w:type="dxa"/>
          </w:tcPr>
          <w:p w14:paraId="1E8E0203" w14:textId="6D1D0DE2" w:rsidR="00BA7BB1" w:rsidRPr="00D5352A" w:rsidRDefault="00BA7BB1" w:rsidP="00BA7BB1">
            <w:pPr>
              <w:spacing w:after="240"/>
              <w:contextualSpacing/>
              <w:rPr>
                <w:sz w:val="20"/>
                <w:szCs w:val="20"/>
              </w:rPr>
            </w:pPr>
            <w:r>
              <w:rPr>
                <w:sz w:val="20"/>
                <w:szCs w:val="20"/>
              </w:rPr>
              <w:t xml:space="preserve">This option would introduce friction and delays into the data sharing process. However, it may align with consumer expectations to have additional control and oversight of activities on a complex </w:t>
            </w:r>
            <w:r w:rsidR="004C4EED">
              <w:rPr>
                <w:sz w:val="20"/>
                <w:szCs w:val="20"/>
              </w:rPr>
              <w:t xml:space="preserve">joint </w:t>
            </w:r>
            <w:r>
              <w:rPr>
                <w:sz w:val="20"/>
                <w:szCs w:val="20"/>
              </w:rPr>
              <w:t xml:space="preserve">account.  </w:t>
            </w:r>
          </w:p>
          <w:p w14:paraId="48EFE4FC" w14:textId="77777777" w:rsidR="00BA7BB1" w:rsidRPr="00D5352A" w:rsidRDefault="00BA7BB1" w:rsidP="00BA7BB1">
            <w:pPr>
              <w:spacing w:after="240"/>
              <w:contextualSpacing/>
              <w:rPr>
                <w:sz w:val="20"/>
                <w:szCs w:val="20"/>
              </w:rPr>
            </w:pPr>
          </w:p>
          <w:p w14:paraId="363084B8" w14:textId="77777777" w:rsidR="00BA7BB1" w:rsidRPr="00D5352A" w:rsidRDefault="00BA7BB1" w:rsidP="00BA7BB1">
            <w:pPr>
              <w:spacing w:after="240"/>
              <w:contextualSpacing/>
              <w:rPr>
                <w:sz w:val="20"/>
                <w:szCs w:val="20"/>
              </w:rPr>
            </w:pPr>
            <w:r>
              <w:rPr>
                <w:sz w:val="20"/>
                <w:szCs w:val="20"/>
              </w:rPr>
              <w:t>Option 2 may create confusion where consumers have multiple joint accounts with different authorisation structures.</w:t>
            </w:r>
          </w:p>
        </w:tc>
        <w:tc>
          <w:tcPr>
            <w:tcW w:w="2696" w:type="dxa"/>
          </w:tcPr>
          <w:p w14:paraId="7E605344" w14:textId="77777777" w:rsidR="00BA7BB1" w:rsidRDefault="00BA7BB1" w:rsidP="00BA7BB1">
            <w:pPr>
              <w:spacing w:after="240"/>
              <w:contextualSpacing/>
              <w:rPr>
                <w:sz w:val="20"/>
                <w:szCs w:val="20"/>
              </w:rPr>
            </w:pPr>
            <w:r>
              <w:rPr>
                <w:sz w:val="20"/>
                <w:szCs w:val="20"/>
              </w:rPr>
              <w:t xml:space="preserve">This option is likely to reduce friction and delays in the data sharing process, increasing convenience for consumers. It will also ensure a consistent approach to joint accounts is taken, which may facilitate simple messaging and education activities. </w:t>
            </w:r>
          </w:p>
          <w:p w14:paraId="50676265" w14:textId="77777777" w:rsidR="00BA7BB1" w:rsidRDefault="00BA7BB1" w:rsidP="00BA7BB1">
            <w:pPr>
              <w:spacing w:after="240"/>
              <w:contextualSpacing/>
              <w:rPr>
                <w:sz w:val="20"/>
                <w:szCs w:val="20"/>
              </w:rPr>
            </w:pPr>
          </w:p>
          <w:p w14:paraId="29369EED" w14:textId="77777777" w:rsidR="00BA7BB1" w:rsidRPr="00D5352A" w:rsidRDefault="00BA7BB1" w:rsidP="00BA7BB1">
            <w:pPr>
              <w:spacing w:after="240"/>
              <w:contextualSpacing/>
              <w:rPr>
                <w:sz w:val="20"/>
                <w:szCs w:val="20"/>
              </w:rPr>
            </w:pPr>
            <w:r>
              <w:rPr>
                <w:sz w:val="20"/>
                <w:szCs w:val="20"/>
              </w:rPr>
              <w:t xml:space="preserve">However, Option 3 may not align with consumer expectations to have additional control and oversight on complex joint accounts. </w:t>
            </w:r>
          </w:p>
        </w:tc>
      </w:tr>
      <w:tr w:rsidR="00BA7BB1" w14:paraId="7A324CF9" w14:textId="77777777" w:rsidTr="00BA7BB1">
        <w:trPr>
          <w:trHeight w:val="1754"/>
        </w:trPr>
        <w:tc>
          <w:tcPr>
            <w:tcW w:w="1738" w:type="dxa"/>
          </w:tcPr>
          <w:p w14:paraId="35197969" w14:textId="77777777" w:rsidR="00BA7BB1" w:rsidRPr="00A26519" w:rsidRDefault="00BA7BB1" w:rsidP="00BA7BB1">
            <w:pPr>
              <w:spacing w:after="240"/>
              <w:contextualSpacing/>
              <w:rPr>
                <w:b/>
                <w:sz w:val="20"/>
                <w:szCs w:val="20"/>
              </w:rPr>
            </w:pPr>
            <w:r w:rsidRPr="00A26519">
              <w:rPr>
                <w:b/>
                <w:sz w:val="20"/>
                <w:szCs w:val="20"/>
              </w:rPr>
              <w:t>What is the impact on accredited persons?</w:t>
            </w:r>
          </w:p>
        </w:tc>
        <w:tc>
          <w:tcPr>
            <w:tcW w:w="2696" w:type="dxa"/>
          </w:tcPr>
          <w:p w14:paraId="2D5382F8" w14:textId="77777777" w:rsidR="00BA7BB1" w:rsidRPr="00CC74D3" w:rsidRDefault="00BA7BB1" w:rsidP="00BA7BB1">
            <w:pPr>
              <w:spacing w:after="240"/>
              <w:contextualSpacing/>
              <w:rPr>
                <w:sz w:val="20"/>
                <w:szCs w:val="20"/>
              </w:rPr>
            </w:pPr>
            <w:r w:rsidRPr="00CC74D3">
              <w:rPr>
                <w:sz w:val="20"/>
                <w:szCs w:val="20"/>
              </w:rPr>
              <w:t xml:space="preserve">Under this option accredited persons are likely to face some technical implementation complexity and delays in receiving data. This is further outlined in the </w:t>
            </w:r>
            <w:r w:rsidRPr="00CC74D3">
              <w:rPr>
                <w:b/>
                <w:sz w:val="20"/>
                <w:szCs w:val="20"/>
              </w:rPr>
              <w:t xml:space="preserve">Implementation </w:t>
            </w:r>
            <w:r w:rsidRPr="00CC74D3">
              <w:rPr>
                <w:b/>
                <w:bCs/>
                <w:sz w:val="20"/>
                <w:szCs w:val="20"/>
              </w:rPr>
              <w:t>Considerations</w:t>
            </w:r>
            <w:r w:rsidRPr="00CC74D3">
              <w:rPr>
                <w:sz w:val="20"/>
                <w:szCs w:val="20"/>
              </w:rPr>
              <w:t xml:space="preserve"> section.</w:t>
            </w:r>
          </w:p>
        </w:tc>
        <w:tc>
          <w:tcPr>
            <w:tcW w:w="2696" w:type="dxa"/>
          </w:tcPr>
          <w:p w14:paraId="77D4250E" w14:textId="77777777" w:rsidR="00BA7BB1" w:rsidRPr="00CC74D3" w:rsidRDefault="00BA7BB1" w:rsidP="00BA7BB1">
            <w:pPr>
              <w:spacing w:after="240"/>
              <w:contextualSpacing/>
              <w:rPr>
                <w:sz w:val="20"/>
                <w:szCs w:val="20"/>
              </w:rPr>
            </w:pPr>
            <w:r w:rsidRPr="00CC74D3">
              <w:rPr>
                <w:sz w:val="20"/>
                <w:szCs w:val="20"/>
              </w:rPr>
              <w:t xml:space="preserve">Under this option accredited persons are likely to face some technical implementation complexity and delays in receiving data. This is further outlined in the </w:t>
            </w:r>
            <w:r w:rsidRPr="00CC74D3">
              <w:rPr>
                <w:b/>
                <w:bCs/>
                <w:sz w:val="20"/>
                <w:szCs w:val="20"/>
              </w:rPr>
              <w:t>Implementation Considerations</w:t>
            </w:r>
            <w:r w:rsidRPr="00CC74D3">
              <w:rPr>
                <w:sz w:val="20"/>
                <w:szCs w:val="20"/>
              </w:rPr>
              <w:t xml:space="preserve"> section.</w:t>
            </w:r>
          </w:p>
        </w:tc>
        <w:tc>
          <w:tcPr>
            <w:tcW w:w="2696" w:type="dxa"/>
          </w:tcPr>
          <w:p w14:paraId="209E766F" w14:textId="77777777" w:rsidR="00BA7BB1" w:rsidRPr="00D5352A" w:rsidRDefault="00BA7BB1" w:rsidP="00BA7BB1">
            <w:pPr>
              <w:spacing w:after="240"/>
              <w:contextualSpacing/>
              <w:rPr>
                <w:sz w:val="20"/>
                <w:szCs w:val="20"/>
              </w:rPr>
            </w:pPr>
            <w:r>
              <w:rPr>
                <w:sz w:val="20"/>
                <w:szCs w:val="20"/>
              </w:rPr>
              <w:t>Option 3 limits barriers to sharing and implementation complexity for accredited persons.</w:t>
            </w:r>
          </w:p>
        </w:tc>
      </w:tr>
      <w:tr w:rsidR="00BA7BB1" w14:paraId="194D50A7" w14:textId="77777777" w:rsidTr="00BA7BB1">
        <w:trPr>
          <w:trHeight w:val="1650"/>
        </w:trPr>
        <w:tc>
          <w:tcPr>
            <w:tcW w:w="1738" w:type="dxa"/>
          </w:tcPr>
          <w:p w14:paraId="76BFE5B0" w14:textId="77777777" w:rsidR="00BA7BB1" w:rsidRPr="00A26519" w:rsidRDefault="00BA7BB1" w:rsidP="00BA7BB1">
            <w:pPr>
              <w:spacing w:after="240"/>
              <w:contextualSpacing/>
              <w:rPr>
                <w:b/>
                <w:sz w:val="20"/>
                <w:szCs w:val="20"/>
              </w:rPr>
            </w:pPr>
            <w:r w:rsidRPr="00A26519">
              <w:rPr>
                <w:b/>
                <w:sz w:val="20"/>
                <w:szCs w:val="20"/>
              </w:rPr>
              <w:t>What is the impact on data holders?</w:t>
            </w:r>
          </w:p>
        </w:tc>
        <w:tc>
          <w:tcPr>
            <w:tcW w:w="2696" w:type="dxa"/>
          </w:tcPr>
          <w:p w14:paraId="3ADB8D3F" w14:textId="77777777" w:rsidR="00BA7BB1" w:rsidRPr="00CC74D3" w:rsidRDefault="00BA7BB1" w:rsidP="00BA7BB1">
            <w:pPr>
              <w:spacing w:after="240"/>
              <w:contextualSpacing/>
              <w:rPr>
                <w:sz w:val="20"/>
                <w:szCs w:val="20"/>
              </w:rPr>
            </w:pPr>
            <w:r w:rsidRPr="00CC74D3">
              <w:rPr>
                <w:sz w:val="20"/>
                <w:szCs w:val="20"/>
              </w:rPr>
              <w:t xml:space="preserve">Option 1 would require data holders to implement ‘co-approval’ solutions that are currently optional under the rules. This is further outlined in the </w:t>
            </w:r>
            <w:r w:rsidRPr="00CC74D3">
              <w:rPr>
                <w:b/>
                <w:sz w:val="20"/>
                <w:szCs w:val="20"/>
              </w:rPr>
              <w:t xml:space="preserve">Implementation </w:t>
            </w:r>
            <w:r w:rsidRPr="00CC74D3">
              <w:rPr>
                <w:b/>
                <w:bCs/>
                <w:sz w:val="20"/>
                <w:szCs w:val="20"/>
              </w:rPr>
              <w:t>Considerations</w:t>
            </w:r>
            <w:r w:rsidRPr="00CC74D3">
              <w:rPr>
                <w:sz w:val="20"/>
                <w:szCs w:val="20"/>
              </w:rPr>
              <w:t xml:space="preserve"> section.</w:t>
            </w:r>
          </w:p>
        </w:tc>
        <w:tc>
          <w:tcPr>
            <w:tcW w:w="2696" w:type="dxa"/>
          </w:tcPr>
          <w:p w14:paraId="13C66A8E" w14:textId="77777777" w:rsidR="00BA7BB1" w:rsidRPr="00CC74D3" w:rsidRDefault="00BA7BB1" w:rsidP="00BA7BB1">
            <w:pPr>
              <w:spacing w:after="240"/>
              <w:contextualSpacing/>
              <w:rPr>
                <w:sz w:val="20"/>
                <w:szCs w:val="20"/>
              </w:rPr>
            </w:pPr>
            <w:r w:rsidRPr="00CC74D3">
              <w:rPr>
                <w:sz w:val="20"/>
                <w:szCs w:val="20"/>
              </w:rPr>
              <w:t xml:space="preserve">Option 2 requires data holders to implement both ‘opt out’ and ‘opt in’ settings, however the technical implementation is considered materially less complex and costly than Option 1. This is further outlined in the </w:t>
            </w:r>
            <w:r w:rsidRPr="00CC74D3">
              <w:rPr>
                <w:b/>
                <w:bCs/>
                <w:sz w:val="20"/>
                <w:szCs w:val="20"/>
              </w:rPr>
              <w:t>Implementation Considerations</w:t>
            </w:r>
            <w:r w:rsidRPr="00CC74D3">
              <w:rPr>
                <w:sz w:val="20"/>
                <w:szCs w:val="20"/>
              </w:rPr>
              <w:t xml:space="preserve"> section.</w:t>
            </w:r>
          </w:p>
        </w:tc>
        <w:tc>
          <w:tcPr>
            <w:tcW w:w="2696" w:type="dxa"/>
          </w:tcPr>
          <w:p w14:paraId="3DF273B2" w14:textId="101FD89B" w:rsidR="00BA7BB1" w:rsidRPr="0042303C" w:rsidRDefault="00BA7BB1" w:rsidP="00BA7BB1">
            <w:pPr>
              <w:spacing w:after="240"/>
              <w:contextualSpacing/>
              <w:rPr>
                <w:sz w:val="20"/>
                <w:szCs w:val="20"/>
              </w:rPr>
            </w:pPr>
            <w:r>
              <w:rPr>
                <w:sz w:val="20"/>
                <w:szCs w:val="20"/>
              </w:rPr>
              <w:t xml:space="preserve">Option 3 requires data holders to implement one technical solution, reducing cost and complexity in comparison to Options 1 and 2. A ‘co-approval’ solution </w:t>
            </w:r>
            <w:r w:rsidR="002712F8">
              <w:rPr>
                <w:sz w:val="20"/>
                <w:szCs w:val="20"/>
              </w:rPr>
              <w:t>could</w:t>
            </w:r>
            <w:r>
              <w:rPr>
                <w:sz w:val="20"/>
                <w:szCs w:val="20"/>
              </w:rPr>
              <w:t xml:space="preserve"> remain optional implementation. </w:t>
            </w:r>
          </w:p>
        </w:tc>
      </w:tr>
      <w:tr w:rsidR="00BA7BB1" w14:paraId="5E4C6B80" w14:textId="77777777" w:rsidTr="00BA7BB1">
        <w:trPr>
          <w:trHeight w:val="1821"/>
        </w:trPr>
        <w:tc>
          <w:tcPr>
            <w:tcW w:w="1738" w:type="dxa"/>
          </w:tcPr>
          <w:p w14:paraId="461BDA1A" w14:textId="77777777" w:rsidR="00BA7BB1" w:rsidRPr="00A26519" w:rsidRDefault="00BA7BB1" w:rsidP="00BA7BB1">
            <w:pPr>
              <w:spacing w:after="240"/>
              <w:contextualSpacing/>
              <w:rPr>
                <w:b/>
                <w:sz w:val="20"/>
                <w:szCs w:val="20"/>
              </w:rPr>
            </w:pPr>
            <w:r w:rsidRPr="00A26519">
              <w:rPr>
                <w:b/>
                <w:sz w:val="20"/>
                <w:szCs w:val="20"/>
              </w:rPr>
              <w:t>How extensible is the option to support the expected future direction of the CDR, including across sectors and action initiation?</w:t>
            </w:r>
          </w:p>
        </w:tc>
        <w:tc>
          <w:tcPr>
            <w:tcW w:w="2696" w:type="dxa"/>
          </w:tcPr>
          <w:p w14:paraId="358B0391" w14:textId="7968FE21" w:rsidR="00BA7BB1" w:rsidRPr="00D5352A" w:rsidRDefault="00BA7BB1" w:rsidP="00BA7BB1">
            <w:pPr>
              <w:spacing w:after="240"/>
              <w:contextualSpacing/>
              <w:rPr>
                <w:sz w:val="20"/>
                <w:szCs w:val="20"/>
              </w:rPr>
            </w:pPr>
            <w:r>
              <w:rPr>
                <w:sz w:val="20"/>
                <w:szCs w:val="20"/>
              </w:rPr>
              <w:t>Option 1 w</w:t>
            </w:r>
            <w:r w:rsidRPr="00D5352A">
              <w:rPr>
                <w:sz w:val="20"/>
                <w:szCs w:val="20"/>
              </w:rPr>
              <w:t xml:space="preserve">ill reduce divergence with current authorities, </w:t>
            </w:r>
            <w:r>
              <w:rPr>
                <w:sz w:val="20"/>
                <w:szCs w:val="20"/>
              </w:rPr>
              <w:t>creating a potential pathway for extensibility across sectors and action initiation. That is, Option 1 allows for the possibility that the CDR mirrors all current authorities, creating a digital overlay of existing authorities.</w:t>
            </w:r>
          </w:p>
        </w:tc>
        <w:tc>
          <w:tcPr>
            <w:tcW w:w="2696" w:type="dxa"/>
          </w:tcPr>
          <w:p w14:paraId="3114AFA3" w14:textId="77777777" w:rsidR="00BA7BB1" w:rsidRPr="00D5352A" w:rsidRDefault="00BA7BB1" w:rsidP="00BA7BB1">
            <w:pPr>
              <w:spacing w:after="240"/>
              <w:contextualSpacing/>
              <w:rPr>
                <w:sz w:val="20"/>
                <w:szCs w:val="20"/>
              </w:rPr>
            </w:pPr>
            <w:r>
              <w:rPr>
                <w:sz w:val="20"/>
                <w:szCs w:val="20"/>
              </w:rPr>
              <w:t>Option 2 has similar potential to Option 1, although builds in flexibility where current authorities may unduly increase implementation complexity and cost.</w:t>
            </w:r>
          </w:p>
        </w:tc>
        <w:tc>
          <w:tcPr>
            <w:tcW w:w="2696" w:type="dxa"/>
          </w:tcPr>
          <w:p w14:paraId="01A2D184" w14:textId="5E8618F0" w:rsidR="00BA7BB1" w:rsidRDefault="00BA7BB1" w:rsidP="00BA7BB1">
            <w:pPr>
              <w:spacing w:after="240"/>
              <w:contextualSpacing/>
              <w:rPr>
                <w:sz w:val="20"/>
                <w:szCs w:val="20"/>
              </w:rPr>
            </w:pPr>
            <w:r>
              <w:rPr>
                <w:sz w:val="20"/>
                <w:szCs w:val="20"/>
              </w:rPr>
              <w:t xml:space="preserve">By creating a new CDR-specific authority for data sharing, Option 3 will be extensible across sectors. It would also not preclude extension to support future CDR functionality, including action initiation. </w:t>
            </w:r>
          </w:p>
        </w:tc>
      </w:tr>
    </w:tbl>
    <w:p w14:paraId="19B037CC" w14:textId="743008AE" w:rsidR="003F75DD" w:rsidRDefault="003F75DD" w:rsidP="001075D6">
      <w:pPr>
        <w:spacing w:after="240"/>
      </w:pPr>
    </w:p>
    <w:p w14:paraId="0762AB5E" w14:textId="77777777" w:rsidR="004E69C6" w:rsidRPr="007F304D" w:rsidRDefault="004E69C6" w:rsidP="004E69C6">
      <w:pPr>
        <w:spacing w:after="240"/>
        <w:rPr>
          <w:rFonts w:asciiTheme="majorHAnsi" w:eastAsiaTheme="majorEastAsia" w:hAnsiTheme="majorHAnsi" w:cstheme="majorBidi"/>
          <w:color w:val="1F4D78" w:themeColor="accent1" w:themeShade="7F"/>
          <w:sz w:val="24"/>
          <w:szCs w:val="24"/>
        </w:rPr>
      </w:pPr>
      <w:r w:rsidRPr="007F304D">
        <w:rPr>
          <w:rFonts w:asciiTheme="majorHAnsi" w:eastAsiaTheme="majorEastAsia" w:hAnsiTheme="majorHAnsi" w:cstheme="majorBidi"/>
          <w:color w:val="1F4D78" w:themeColor="accent1" w:themeShade="7F"/>
          <w:sz w:val="24"/>
          <w:szCs w:val="24"/>
        </w:rPr>
        <w:t>In flow election</w:t>
      </w:r>
    </w:p>
    <w:p w14:paraId="6F54EAA5" w14:textId="77777777" w:rsidR="004E69C6" w:rsidRDefault="004E69C6" w:rsidP="00D736D1">
      <w:pPr>
        <w:pStyle w:val="ListParagraph"/>
        <w:numPr>
          <w:ilvl w:val="0"/>
          <w:numId w:val="78"/>
        </w:numPr>
        <w:spacing w:after="240"/>
        <w:contextualSpacing w:val="0"/>
      </w:pPr>
      <w:r>
        <w:t>In the banking sector, where a joint account holder begins the data sharing process, but has not previously set up their data sharing settings, the current rules require data holders to enable the consumer to make this settings selection as part of the authorisation process.</w:t>
      </w:r>
      <w:r>
        <w:rPr>
          <w:rStyle w:val="FootnoteReference"/>
        </w:rPr>
        <w:footnoteReference w:id="5"/>
      </w:r>
      <w:r>
        <w:t xml:space="preserve"> This is commonly called the ‘in flow election’. </w:t>
      </w:r>
    </w:p>
    <w:p w14:paraId="27BAB04F" w14:textId="77777777" w:rsidR="004E69C6" w:rsidRDefault="004E69C6" w:rsidP="00D736D1">
      <w:pPr>
        <w:pStyle w:val="ListParagraph"/>
        <w:numPr>
          <w:ilvl w:val="0"/>
          <w:numId w:val="78"/>
        </w:numPr>
        <w:spacing w:after="240"/>
        <w:contextualSpacing w:val="0"/>
      </w:pPr>
      <w:r>
        <w:t>We propose that if an ‘opt-out’ setting is supported, the requirement for data holders to offer the ‘in flow election’ should be removed from the rules.</w:t>
      </w:r>
    </w:p>
    <w:p w14:paraId="400A7D9F" w14:textId="077B1185" w:rsidR="004E69C6" w:rsidRDefault="004E69C6" w:rsidP="00D736D1">
      <w:pPr>
        <w:pStyle w:val="ListParagraph"/>
        <w:numPr>
          <w:ilvl w:val="0"/>
          <w:numId w:val="78"/>
        </w:numPr>
        <w:spacing w:after="240"/>
        <w:contextualSpacing w:val="0"/>
      </w:pPr>
      <w:r>
        <w:t xml:space="preserve">While the ‘in flow election’ may still be potentially relevant for complex joint accounts if Option 2 is supported, we consider the costs associated with implementing this requirement, relative to the small number of consumers with complex </w:t>
      </w:r>
      <w:r w:rsidR="004C4EED">
        <w:t xml:space="preserve">joint </w:t>
      </w:r>
      <w:r>
        <w:t xml:space="preserve">account settings, is not practical. Given the goal of introducing a sector-wide approach to joint accounts, requiring data holders in future sectors to offer the ‘in flow election’ may be particularly untenable. For example, a sector where joint accounts are rare, and complex joint accounts are even more limited again, the cost of delivering ‘in flow </w:t>
      </w:r>
      <w:proofErr w:type="gramStart"/>
      <w:r>
        <w:t>elections’</w:t>
      </w:r>
      <w:proofErr w:type="gramEnd"/>
      <w:r>
        <w:t xml:space="preserve"> may introduce significant implementation costs for a limited benefit. </w:t>
      </w:r>
    </w:p>
    <w:p w14:paraId="0FE40768" w14:textId="51D57F45" w:rsidR="00376E71" w:rsidRDefault="00376E71" w:rsidP="004E69C6">
      <w:pPr>
        <w:spacing w:after="240"/>
        <w:rPr>
          <w:rFonts w:asciiTheme="majorHAnsi" w:eastAsiaTheme="majorEastAsia" w:hAnsiTheme="majorHAnsi" w:cstheme="majorBidi"/>
          <w:color w:val="1F4D78" w:themeColor="accent1" w:themeShade="7F"/>
          <w:sz w:val="24"/>
          <w:szCs w:val="24"/>
        </w:rPr>
      </w:pPr>
      <w:r w:rsidRPr="00376E71">
        <w:rPr>
          <w:rFonts w:asciiTheme="majorHAnsi" w:eastAsiaTheme="majorEastAsia" w:hAnsiTheme="majorHAnsi" w:cstheme="majorBidi"/>
          <w:color w:val="1F4D78" w:themeColor="accent1" w:themeShade="7F"/>
          <w:sz w:val="24"/>
          <w:szCs w:val="24"/>
        </w:rPr>
        <w:t>Co-approval</w:t>
      </w:r>
    </w:p>
    <w:p w14:paraId="2C673163" w14:textId="77777777" w:rsidR="00EC00C6" w:rsidRDefault="0076065C" w:rsidP="00D736D1">
      <w:pPr>
        <w:pStyle w:val="ListParagraph"/>
        <w:numPr>
          <w:ilvl w:val="0"/>
          <w:numId w:val="78"/>
        </w:numPr>
        <w:spacing w:after="240"/>
        <w:ind w:left="357" w:hanging="357"/>
        <w:contextualSpacing w:val="0"/>
        <w:rPr>
          <w:bCs/>
        </w:rPr>
      </w:pPr>
      <w:r>
        <w:rPr>
          <w:bCs/>
        </w:rPr>
        <w:t xml:space="preserve">If Option 1 is supported for complex joint accounts, we propose maintaining the current flexibility in the rules and allowing data holders to offer consumers a ‘co-approval’ disclosure option, as well as ‘pre-approval’. This would enable consumers who have automatically been opted into ‘pre-approval’ to change their joint account settings to ‘co-approval’, and the reverse (consumers who have automatically been opted in to ‘co-approval’ to change their joint account setting to ‘pre-approval’). Under Option 1, existing accredited persons will have likely deployed technical implementation solutions to accommodate ‘co-approval’ settings, so the impact for existing accredited persons is likely to be minimal. </w:t>
      </w:r>
    </w:p>
    <w:p w14:paraId="6FDBA646" w14:textId="5A05D271" w:rsidR="0076065C" w:rsidRDefault="0076065C" w:rsidP="00D736D1">
      <w:pPr>
        <w:pStyle w:val="ListParagraph"/>
        <w:numPr>
          <w:ilvl w:val="0"/>
          <w:numId w:val="78"/>
        </w:numPr>
        <w:spacing w:after="240"/>
        <w:ind w:left="357" w:hanging="357"/>
        <w:contextualSpacing w:val="0"/>
        <w:rPr>
          <w:bCs/>
        </w:rPr>
      </w:pPr>
      <w:r>
        <w:rPr>
          <w:bCs/>
        </w:rPr>
        <w:t>Given offering a ‘co-approval’ is a more restrictive data sharing setting, we propose that overriding the default setting should not require input from both account holders. That is, where an account holder indicates a preference for a ‘co-approval’ disclosure option, this should automatically be applied to the account without any additional input from the other account holder. This is a departure from the current rules which require all account holders to agree to a disclosure option before it applies to the account. Account holders would be required to all agree to change back to a ‘pre-approval’ disclosure option before it applies, as it is a less restrictive data sharing option than ‘co-approval’.</w:t>
      </w:r>
    </w:p>
    <w:p w14:paraId="72291B80" w14:textId="47E8E8F5" w:rsidR="00C06588" w:rsidRPr="00CA615B" w:rsidRDefault="0076065C" w:rsidP="00C06588">
      <w:pPr>
        <w:pStyle w:val="ListParagraph"/>
        <w:numPr>
          <w:ilvl w:val="0"/>
          <w:numId w:val="78"/>
        </w:numPr>
        <w:spacing w:after="240"/>
        <w:ind w:left="357" w:hanging="357"/>
        <w:contextualSpacing w:val="0"/>
        <w:rPr>
          <w:bCs/>
        </w:rPr>
      </w:pPr>
      <w:r>
        <w:rPr>
          <w:bCs/>
        </w:rPr>
        <w:t xml:space="preserve">If Options 2 or 3 are supported for complex </w:t>
      </w:r>
      <w:r>
        <w:t>joint</w:t>
      </w:r>
      <w:r>
        <w:rPr>
          <w:bCs/>
        </w:rPr>
        <w:t xml:space="preserve"> accounts, we are interested in feedback on whether ‘co-approval’ settings should be prohibited for data sharing, so that this functionality can be considered in the context of future enhancements to the CDR like action initiation. While Option 1 would require accredited persons to have technical implementation solutions in place to accommodate ‘co-approval’ settings, the same is not true for Options 2 and 3. Allowing data holders to optionally implement ‘co-approval’ may result in data holders introducing ‘co-approval’ solutions that do not consider the flow-on technical impacts for accredited persons. </w:t>
      </w:r>
    </w:p>
    <w:p w14:paraId="295497FE" w14:textId="6A4A9524" w:rsidR="00414533" w:rsidRDefault="00414533" w:rsidP="00D736D1">
      <w:pPr>
        <w:pStyle w:val="Heading2"/>
        <w:numPr>
          <w:ilvl w:val="1"/>
          <w:numId w:val="82"/>
        </w:numPr>
        <w:contextualSpacing/>
      </w:pPr>
      <w:r>
        <w:t>Rules Considerations</w:t>
      </w:r>
    </w:p>
    <w:p w14:paraId="1E75D40C" w14:textId="3232743A" w:rsidR="00414533" w:rsidRDefault="00B00ECA" w:rsidP="00D736D1">
      <w:pPr>
        <w:pStyle w:val="ListParagraph"/>
        <w:numPr>
          <w:ilvl w:val="0"/>
          <w:numId w:val="78"/>
        </w:numPr>
        <w:spacing w:after="240"/>
        <w:ind w:left="357" w:hanging="357"/>
        <w:contextualSpacing w:val="0"/>
      </w:pPr>
      <w:r>
        <w:t xml:space="preserve">If Option 1 is supported, as well as introducing sector-wide joint account provisions into the main body of the rules, sector-specific rules would be required to accommodate an appropriate definition of ‘transact’ in each sector. </w:t>
      </w:r>
    </w:p>
    <w:p w14:paraId="59B84DAA" w14:textId="07DD2F5B" w:rsidR="007F3EF8" w:rsidRDefault="007F3EF8" w:rsidP="00D736D1">
      <w:pPr>
        <w:pStyle w:val="ListParagraph"/>
        <w:numPr>
          <w:ilvl w:val="0"/>
          <w:numId w:val="78"/>
        </w:numPr>
        <w:spacing w:after="240"/>
        <w:ind w:left="357" w:hanging="357"/>
        <w:contextualSpacing w:val="0"/>
      </w:pPr>
      <w:r>
        <w:t xml:space="preserve">Option 2 </w:t>
      </w:r>
      <w:r w:rsidR="00E41F4F">
        <w:t>largely reflects the requirements for all joint accounts (not just complex joint accounts) in the current rules. Therefore</w:t>
      </w:r>
      <w:r w:rsidR="009A4F97">
        <w:t>,</w:t>
      </w:r>
      <w:r w:rsidR="00E41F4F">
        <w:t xml:space="preserve"> if Option 2 is</w:t>
      </w:r>
      <w:r>
        <w:t xml:space="preserve"> supported, the current rules are likely to provide a</w:t>
      </w:r>
      <w:r w:rsidR="00E41F4F">
        <w:t xml:space="preserve">n appropriate </w:t>
      </w:r>
      <w:r w:rsidR="009A4F97">
        <w:t>example of what provisions that deal with complex accounts may</w:t>
      </w:r>
      <w:r w:rsidR="00E41F4F">
        <w:t xml:space="preserve"> look like.</w:t>
      </w:r>
      <w:r w:rsidR="001D0A8E">
        <w:t xml:space="preserve"> Option 2 would require the introduction of rules to accommodate both an ‘opt-in’ and an ‘opt-out’ approach, so consequentially may be </w:t>
      </w:r>
      <w:proofErr w:type="gramStart"/>
      <w:r w:rsidR="001D0A8E">
        <w:t>more complex and lengthy</w:t>
      </w:r>
      <w:proofErr w:type="gramEnd"/>
      <w:r w:rsidR="001D0A8E">
        <w:t xml:space="preserve"> than Options 1 and 3.</w:t>
      </w:r>
    </w:p>
    <w:p w14:paraId="00C2B664" w14:textId="035A11AF" w:rsidR="00E41F4F" w:rsidRDefault="00E41F4F" w:rsidP="00D736D1">
      <w:pPr>
        <w:pStyle w:val="ListParagraph"/>
        <w:numPr>
          <w:ilvl w:val="0"/>
          <w:numId w:val="78"/>
        </w:numPr>
        <w:spacing w:after="240"/>
        <w:ind w:left="357" w:hanging="357"/>
        <w:contextualSpacing w:val="0"/>
      </w:pPr>
      <w:r>
        <w:t xml:space="preserve">Option </w:t>
      </w:r>
      <w:r w:rsidR="009A4F97">
        <w:t xml:space="preserve">3 </w:t>
      </w:r>
      <w:r w:rsidR="004B4705">
        <w:t xml:space="preserve">is unlikely to result in </w:t>
      </w:r>
      <w:r w:rsidR="009A4F97">
        <w:t xml:space="preserve">additional rule amendments </w:t>
      </w:r>
      <w:r w:rsidR="004B4705">
        <w:t>(</w:t>
      </w:r>
      <w:r w:rsidR="009A4F97">
        <w:t xml:space="preserve">outside of the </w:t>
      </w:r>
      <w:r w:rsidR="004B4705">
        <w:t xml:space="preserve">amendments to accommodate the default ‘opt-out’ approach discussed </w:t>
      </w:r>
      <w:r w:rsidR="004B4705" w:rsidRPr="00E71B83">
        <w:t xml:space="preserve">at </w:t>
      </w:r>
      <w:r w:rsidR="00E71B83" w:rsidRPr="00E71B83">
        <w:t>5</w:t>
      </w:r>
      <w:r w:rsidR="009A4F97" w:rsidRPr="00E71B83">
        <w:t>.2</w:t>
      </w:r>
      <w:r w:rsidR="004B4705" w:rsidRPr="00E71B83">
        <w:t>).</w:t>
      </w:r>
    </w:p>
    <w:p w14:paraId="22259B86" w14:textId="3DC1950F" w:rsidR="00B00ECA" w:rsidRDefault="00A86E78" w:rsidP="00B00ECA">
      <w:pPr>
        <w:pStyle w:val="ListParagraph"/>
        <w:numPr>
          <w:ilvl w:val="0"/>
          <w:numId w:val="78"/>
        </w:numPr>
        <w:spacing w:after="240"/>
        <w:ind w:left="357" w:hanging="357"/>
        <w:contextualSpacing w:val="0"/>
      </w:pPr>
      <w:r>
        <w:t xml:space="preserve">Additional amendments would be required to </w:t>
      </w:r>
      <w:r w:rsidR="00A85788">
        <w:t>repeal</w:t>
      </w:r>
      <w:r>
        <w:t xml:space="preserve"> the ‘in-flow election’ requirements outlined in clause 4.10 of Schedule 3, </w:t>
      </w:r>
      <w:r w:rsidR="00A85788">
        <w:t>and</w:t>
      </w:r>
      <w:r>
        <w:t xml:space="preserve"> the ability for data holders to offer ‘co-approval</w:t>
      </w:r>
      <w:proofErr w:type="gramStart"/>
      <w:r>
        <w:t>’, if</w:t>
      </w:r>
      <w:proofErr w:type="gramEnd"/>
      <w:r>
        <w:t xml:space="preserve"> these proposals are supported.</w:t>
      </w:r>
      <w:r w:rsidR="00AA3C15">
        <w:t xml:space="preserve"> </w:t>
      </w:r>
    </w:p>
    <w:p w14:paraId="20E540CB" w14:textId="3D6CD7B5" w:rsidR="00DC2F4E" w:rsidRDefault="00D736D1" w:rsidP="00D9050C">
      <w:pPr>
        <w:pStyle w:val="Heading2"/>
        <w:contextualSpacing/>
      </w:pPr>
      <w:r>
        <w:t>6.</w:t>
      </w:r>
      <w:r w:rsidR="00BF6E17">
        <w:t xml:space="preserve">3 </w:t>
      </w:r>
      <w:r w:rsidR="00DC2F4E">
        <w:t>Standards Considerations</w:t>
      </w:r>
    </w:p>
    <w:p w14:paraId="7118D3EC" w14:textId="0E340044" w:rsidR="00916535" w:rsidRDefault="00916535" w:rsidP="00D736D1">
      <w:pPr>
        <w:pStyle w:val="ListParagraph"/>
        <w:numPr>
          <w:ilvl w:val="0"/>
          <w:numId w:val="78"/>
        </w:numPr>
        <w:spacing w:after="240"/>
        <w:ind w:left="357" w:hanging="357"/>
        <w:contextualSpacing w:val="0"/>
      </w:pPr>
      <w:r>
        <w:t>No</w:t>
      </w:r>
      <w:r w:rsidRPr="00021F0C">
        <w:rPr>
          <w:b/>
        </w:rPr>
        <w:t xml:space="preserve"> </w:t>
      </w:r>
      <w:r w:rsidR="00021F0C">
        <w:rPr>
          <w:b/>
          <w:bCs/>
        </w:rPr>
        <w:t>r</w:t>
      </w:r>
      <w:r w:rsidRPr="00021F0C">
        <w:rPr>
          <w:b/>
          <w:bCs/>
        </w:rPr>
        <w:t>egister</w:t>
      </w:r>
      <w:r w:rsidRPr="00021F0C">
        <w:rPr>
          <w:b/>
        </w:rPr>
        <w:t xml:space="preserve"> standards </w:t>
      </w:r>
      <w:r>
        <w:t xml:space="preserve">impacts are anticipated </w:t>
      </w:r>
      <w:r w:rsidR="00EE3B40">
        <w:t>to support</w:t>
      </w:r>
      <w:r>
        <w:t xml:space="preserve"> the options</w:t>
      </w:r>
      <w:r w:rsidR="00EE3B40">
        <w:t xml:space="preserve"> outlined in section </w:t>
      </w:r>
      <w:r w:rsidR="00E71B83">
        <w:t>6</w:t>
      </w:r>
      <w:r w:rsidR="00EE3B40">
        <w:t>.1</w:t>
      </w:r>
      <w:r>
        <w:t>.</w:t>
      </w:r>
    </w:p>
    <w:p w14:paraId="7396B625" w14:textId="633308D4" w:rsidR="00EE3B40" w:rsidRDefault="00EE3B40" w:rsidP="00D736D1">
      <w:pPr>
        <w:pStyle w:val="ListParagraph"/>
        <w:numPr>
          <w:ilvl w:val="0"/>
          <w:numId w:val="78"/>
        </w:numPr>
        <w:spacing w:after="240"/>
        <w:ind w:left="357" w:hanging="357"/>
        <w:contextualSpacing w:val="0"/>
      </w:pPr>
      <w:r>
        <w:t xml:space="preserve">No </w:t>
      </w:r>
      <w:r w:rsidRPr="00021F0C">
        <w:rPr>
          <w:b/>
        </w:rPr>
        <w:t>technical standards</w:t>
      </w:r>
      <w:r>
        <w:t xml:space="preserve"> impacts are anticipated to support the options outlined in section </w:t>
      </w:r>
      <w:r w:rsidR="00E71B83">
        <w:t>6</w:t>
      </w:r>
      <w:r>
        <w:t>.1.</w:t>
      </w:r>
    </w:p>
    <w:p w14:paraId="5552A65B" w14:textId="37E6A1D4" w:rsidR="007A0636" w:rsidRDefault="00F120FA" w:rsidP="00D736D1">
      <w:pPr>
        <w:pStyle w:val="ListParagraph"/>
        <w:numPr>
          <w:ilvl w:val="0"/>
          <w:numId w:val="78"/>
        </w:numPr>
        <w:spacing w:after="240"/>
        <w:ind w:left="357" w:hanging="357"/>
        <w:contextualSpacing w:val="0"/>
      </w:pPr>
      <w:r>
        <w:t xml:space="preserve">For all </w:t>
      </w:r>
      <w:r w:rsidR="007A0636">
        <w:t>options</w:t>
      </w:r>
      <w:r>
        <w:t>, t</w:t>
      </w:r>
      <w:r w:rsidR="007A0636">
        <w:t xml:space="preserve">he anticipated joint account </w:t>
      </w:r>
      <w:r w:rsidR="007A0636" w:rsidRPr="00021F0C">
        <w:rPr>
          <w:b/>
        </w:rPr>
        <w:t>CX standards</w:t>
      </w:r>
      <w:r w:rsidR="007A0636">
        <w:t xml:space="preserve"> outlined in </w:t>
      </w:r>
      <w:hyperlink r:id="rId27" w:history="1">
        <w:r w:rsidR="007A0636" w:rsidRPr="004922F6">
          <w:rPr>
            <w:rStyle w:val="Hyperlink"/>
          </w:rPr>
          <w:t>Noting Paper 157</w:t>
        </w:r>
      </w:hyperlink>
      <w:r w:rsidR="007A0636">
        <w:t xml:space="preserve"> will remain relevant for all of the options outlined in this </w:t>
      </w:r>
      <w:r w:rsidR="004B70F6">
        <w:t>design</w:t>
      </w:r>
      <w:r w:rsidR="007A0636">
        <w:t xml:space="preserve"> paper. These are intended to include the following contextual notification standards for the authorisation flow where a joint account is being shared:</w:t>
      </w:r>
    </w:p>
    <w:p w14:paraId="5EC4CFEB" w14:textId="23D99450" w:rsidR="007A0636" w:rsidRDefault="007A0636" w:rsidP="00D736D1">
      <w:pPr>
        <w:pStyle w:val="ListParagraph"/>
        <w:numPr>
          <w:ilvl w:val="0"/>
          <w:numId w:val="79"/>
        </w:numPr>
        <w:spacing w:after="240" w:line="257" w:lineRule="auto"/>
        <w:contextualSpacing w:val="0"/>
      </w:pPr>
      <w:r>
        <w:rPr>
          <w:b/>
          <w:bCs/>
        </w:rPr>
        <w:t xml:space="preserve">Sharing a joint account: </w:t>
      </w:r>
      <w:r>
        <w:t>When</w:t>
      </w:r>
      <w:r>
        <w:rPr>
          <w:b/>
          <w:bCs/>
        </w:rPr>
        <w:t xml:space="preserve"> </w:t>
      </w:r>
      <w:r>
        <w:t xml:space="preserve">a consumer goes to share data from a joint account, Data Holders </w:t>
      </w:r>
      <w:r>
        <w:rPr>
          <w:b/>
          <w:bCs/>
        </w:rPr>
        <w:t>MUST</w:t>
      </w:r>
      <w:r>
        <w:t xml:space="preserve"> provide a generic message in the authorisation flow to note that other joint account holders will be notified.</w:t>
      </w:r>
      <w:r w:rsidR="000B7E23" w:rsidRPr="000B7E23">
        <w:t xml:space="preserve"> </w:t>
      </w:r>
      <w:r w:rsidR="000B7E23">
        <w:t xml:space="preserve">See 1.1.3 and 1.1.3a for examples </w:t>
      </w:r>
      <w:hyperlink r:id="rId28" w:history="1">
        <w:r w:rsidR="000B7E23">
          <w:rPr>
            <w:rStyle w:val="Hyperlink"/>
          </w:rPr>
          <w:t>here</w:t>
        </w:r>
      </w:hyperlink>
      <w:r w:rsidR="000B7E23">
        <w:t xml:space="preserve"> (</w:t>
      </w:r>
      <w:hyperlink r:id="rId29" w:history="1">
        <w:r w:rsidR="000B7E23">
          <w:rPr>
            <w:rStyle w:val="Hyperlink"/>
          </w:rPr>
          <w:t>PDF version</w:t>
        </w:r>
      </w:hyperlink>
      <w:r w:rsidR="000B7E23">
        <w:t>).</w:t>
      </w:r>
    </w:p>
    <w:p w14:paraId="3F694290" w14:textId="428C839B" w:rsidR="007A0636" w:rsidRDefault="007A0636" w:rsidP="00D736D1">
      <w:pPr>
        <w:pStyle w:val="ListParagraph"/>
        <w:numPr>
          <w:ilvl w:val="0"/>
          <w:numId w:val="79"/>
        </w:numPr>
        <w:spacing w:after="240" w:line="257" w:lineRule="auto"/>
        <w:ind w:left="714" w:hanging="357"/>
        <w:contextualSpacing w:val="0"/>
        <w:rPr>
          <w:b/>
          <w:bCs/>
        </w:rPr>
      </w:pPr>
      <w:r>
        <w:rPr>
          <w:b/>
          <w:bCs/>
        </w:rPr>
        <w:t xml:space="preserve">Account pending: </w:t>
      </w:r>
      <w:r>
        <w:t>Where</w:t>
      </w:r>
      <w:r>
        <w:rPr>
          <w:b/>
          <w:bCs/>
        </w:rPr>
        <w:t xml:space="preserve"> </w:t>
      </w:r>
      <w:r>
        <w:t xml:space="preserve">applicable, Data Holders </w:t>
      </w:r>
      <w:r>
        <w:rPr>
          <w:b/>
          <w:bCs/>
        </w:rPr>
        <w:t xml:space="preserve">SHOULD </w:t>
      </w:r>
      <w:r>
        <w:t xml:space="preserve">indicate that an account is pending further action in the authorisation flow. Data Holders </w:t>
      </w:r>
      <w:r>
        <w:rPr>
          <w:b/>
          <w:bCs/>
        </w:rPr>
        <w:t xml:space="preserve">SHOULD </w:t>
      </w:r>
      <w:r>
        <w:t xml:space="preserve">provide information to explain what this means. This functionality </w:t>
      </w:r>
      <w:r>
        <w:rPr>
          <w:b/>
          <w:bCs/>
        </w:rPr>
        <w:t xml:space="preserve">MAY </w:t>
      </w:r>
      <w:r>
        <w:t xml:space="preserve">be applied to accounts other than joint accounts where appropriate but </w:t>
      </w:r>
      <w:r>
        <w:rPr>
          <w:b/>
          <w:bCs/>
        </w:rPr>
        <w:t xml:space="preserve">MUST ONLY </w:t>
      </w:r>
      <w:r>
        <w:t>be applied for this purpose.</w:t>
      </w:r>
      <w:r w:rsidR="000B7E23" w:rsidRPr="000B7E23">
        <w:t xml:space="preserve"> </w:t>
      </w:r>
      <w:r w:rsidR="000B7E23">
        <w:t xml:space="preserve">See 1.2.3 and 1.2.3a for examples </w:t>
      </w:r>
      <w:hyperlink r:id="rId30" w:history="1">
        <w:r w:rsidR="000B7E23">
          <w:rPr>
            <w:rStyle w:val="Hyperlink"/>
          </w:rPr>
          <w:t>here</w:t>
        </w:r>
      </w:hyperlink>
      <w:r w:rsidR="000B7E23">
        <w:t xml:space="preserve"> (</w:t>
      </w:r>
      <w:hyperlink r:id="rId31" w:history="1">
        <w:r w:rsidR="000B7E23">
          <w:rPr>
            <w:rStyle w:val="Hyperlink"/>
          </w:rPr>
          <w:t>PDF version</w:t>
        </w:r>
      </w:hyperlink>
      <w:r w:rsidR="000B7E23">
        <w:t>).</w:t>
      </w:r>
    </w:p>
    <w:p w14:paraId="442B6022" w14:textId="232BA576" w:rsidR="007A0636" w:rsidRPr="00A47E23" w:rsidRDefault="007A0636" w:rsidP="00D736D1">
      <w:pPr>
        <w:pStyle w:val="ListParagraph"/>
        <w:numPr>
          <w:ilvl w:val="0"/>
          <w:numId w:val="79"/>
        </w:numPr>
        <w:spacing w:after="240" w:line="257" w:lineRule="auto"/>
        <w:ind w:left="714" w:hanging="357"/>
        <w:contextualSpacing w:val="0"/>
        <w:rPr>
          <w:b/>
          <w:bCs/>
        </w:rPr>
      </w:pPr>
      <w:r>
        <w:rPr>
          <w:b/>
          <w:bCs/>
        </w:rPr>
        <w:t xml:space="preserve">Harm and abuse exemptions: </w:t>
      </w:r>
      <w:r>
        <w:t>Where a Data Holder treats a joint account like an individual account to prevent physical or financial harm or abuse, Data Holders</w:t>
      </w:r>
      <w:r>
        <w:rPr>
          <w:b/>
          <w:bCs/>
        </w:rPr>
        <w:t xml:space="preserve"> SHOULD </w:t>
      </w:r>
      <w:r>
        <w:t xml:space="preserve">provide a notification in the authorisation flow to note that the other account holders will </w:t>
      </w:r>
      <w:r>
        <w:rPr>
          <w:b/>
          <w:bCs/>
        </w:rPr>
        <w:t xml:space="preserve">not </w:t>
      </w:r>
      <w:r>
        <w:t xml:space="preserve">be notified. Data Holders </w:t>
      </w:r>
      <w:r>
        <w:rPr>
          <w:b/>
          <w:bCs/>
        </w:rPr>
        <w:t xml:space="preserve">SHOULD </w:t>
      </w:r>
      <w:r>
        <w:t>provide information to explain what this means.</w:t>
      </w:r>
      <w:r w:rsidR="000B7E23" w:rsidRPr="000B7E23">
        <w:t xml:space="preserve"> </w:t>
      </w:r>
      <w:r w:rsidR="000B7E23">
        <w:t xml:space="preserve">See 1.3.3 and 1.3.3a for examples </w:t>
      </w:r>
      <w:hyperlink r:id="rId32" w:history="1">
        <w:r w:rsidR="000B7E23">
          <w:rPr>
            <w:rStyle w:val="Hyperlink"/>
          </w:rPr>
          <w:t>here</w:t>
        </w:r>
      </w:hyperlink>
      <w:r w:rsidR="000B7E23">
        <w:t xml:space="preserve"> (</w:t>
      </w:r>
      <w:hyperlink r:id="rId33" w:history="1">
        <w:r w:rsidR="000B7E23">
          <w:rPr>
            <w:rStyle w:val="Hyperlink"/>
          </w:rPr>
          <w:t>PDF version</w:t>
        </w:r>
      </w:hyperlink>
      <w:r w:rsidR="000B7E23">
        <w:t>).</w:t>
      </w:r>
    </w:p>
    <w:tbl>
      <w:tblPr>
        <w:tblStyle w:val="TableGrid"/>
        <w:tblpPr w:leftFromText="180" w:rightFromText="180" w:vertAnchor="page" w:horzAnchor="margin" w:tblpY="7085"/>
        <w:tblOverlap w:val="never"/>
        <w:tblW w:w="4875" w:type="pct"/>
        <w:tblLook w:val="04A0" w:firstRow="1" w:lastRow="0" w:firstColumn="1" w:lastColumn="0" w:noHBand="0" w:noVBand="1"/>
      </w:tblPr>
      <w:tblGrid>
        <w:gridCol w:w="8791"/>
      </w:tblGrid>
      <w:tr w:rsidR="00785D51" w14:paraId="10781EAE" w14:textId="77777777" w:rsidTr="00E52237">
        <w:tc>
          <w:tcPr>
            <w:tcW w:w="8791" w:type="dxa"/>
          </w:tcPr>
          <w:p w14:paraId="7EA4C918" w14:textId="77777777" w:rsidR="00785D51" w:rsidRPr="00D75569" w:rsidRDefault="00785D51" w:rsidP="00E52237">
            <w:pPr>
              <w:pStyle w:val="OutlineNumbered1"/>
              <w:numPr>
                <w:ilvl w:val="0"/>
                <w:numId w:val="0"/>
              </w:numPr>
              <w:spacing w:after="240"/>
              <w:ind w:left="522" w:hanging="522"/>
              <w:rPr>
                <w:b/>
                <w:bCs/>
              </w:rPr>
            </w:pPr>
            <w:r w:rsidRPr="00D75569">
              <w:rPr>
                <w:b/>
                <w:bCs/>
              </w:rPr>
              <w:t>Questions</w:t>
            </w:r>
          </w:p>
          <w:p w14:paraId="12C38ECA" w14:textId="77777777" w:rsidR="00785D51" w:rsidRDefault="00785D51" w:rsidP="00E52237">
            <w:pPr>
              <w:pStyle w:val="OutlineNumbered1"/>
              <w:numPr>
                <w:ilvl w:val="0"/>
                <w:numId w:val="75"/>
              </w:numPr>
              <w:spacing w:after="240"/>
            </w:pPr>
            <w:r>
              <w:t>Which option do you support for complex joint accounts and why?</w:t>
            </w:r>
          </w:p>
          <w:p w14:paraId="7349929A" w14:textId="77777777" w:rsidR="00785D51" w:rsidRDefault="00785D51" w:rsidP="00E52237">
            <w:pPr>
              <w:pStyle w:val="OutlineNumbered1"/>
              <w:numPr>
                <w:ilvl w:val="0"/>
                <w:numId w:val="75"/>
              </w:numPr>
              <w:spacing w:after="240"/>
            </w:pPr>
            <w:r>
              <w:t>Do you agree with the proposal to remove ‘in flow election’ requirements? Why/why not?</w:t>
            </w:r>
          </w:p>
          <w:p w14:paraId="688A1920" w14:textId="77777777" w:rsidR="00785D51" w:rsidRDefault="00785D51" w:rsidP="00E52237">
            <w:pPr>
              <w:pStyle w:val="OutlineNumbered1"/>
              <w:numPr>
                <w:ilvl w:val="0"/>
                <w:numId w:val="75"/>
              </w:numPr>
              <w:spacing w:after="240"/>
            </w:pPr>
            <w:r>
              <w:t xml:space="preserve">Do you agree with the proposal that where ‘co-approval’ settings continue to be optional </w:t>
            </w:r>
            <w:proofErr w:type="gramStart"/>
            <w:r>
              <w:t>implementation,</w:t>
            </w:r>
            <w:proofErr w:type="gramEnd"/>
            <w:r>
              <w:t xml:space="preserve"> joint account holders should be able to independently switch to a ‘co-approval’ setting without additional input from the other account holder(s)?</w:t>
            </w:r>
          </w:p>
          <w:p w14:paraId="14F2D225" w14:textId="77777777" w:rsidR="00785D51" w:rsidRDefault="00785D51" w:rsidP="00E52237">
            <w:pPr>
              <w:pStyle w:val="OutlineNumbered1"/>
              <w:numPr>
                <w:ilvl w:val="0"/>
                <w:numId w:val="75"/>
              </w:numPr>
              <w:spacing w:after="240"/>
            </w:pPr>
            <w:r>
              <w:t>Do you agree with the proposal that ‘co-approval’ should only be a permissible implementation where Option 1 is supported?</w:t>
            </w:r>
          </w:p>
          <w:p w14:paraId="42749009" w14:textId="77777777" w:rsidR="00785D51" w:rsidRDefault="00785D51" w:rsidP="00E52237">
            <w:pPr>
              <w:pStyle w:val="OutlineNumbered1"/>
              <w:numPr>
                <w:ilvl w:val="0"/>
                <w:numId w:val="75"/>
              </w:numPr>
              <w:spacing w:after="240"/>
            </w:pPr>
            <w:r>
              <w:t>Do you agree with the assessment of rules considerations? Why/why not?</w:t>
            </w:r>
          </w:p>
          <w:p w14:paraId="0CC684C3" w14:textId="77777777" w:rsidR="00785D51" w:rsidRDefault="00785D51" w:rsidP="00E52237">
            <w:pPr>
              <w:pStyle w:val="OutlineNumbered1"/>
              <w:numPr>
                <w:ilvl w:val="0"/>
                <w:numId w:val="75"/>
              </w:numPr>
              <w:spacing w:after="240"/>
            </w:pPr>
            <w:r>
              <w:t>Do you agree with this assessment of standards considerations? Why/why not?</w:t>
            </w:r>
          </w:p>
          <w:p w14:paraId="551E8F9B" w14:textId="4203450B" w:rsidR="00785D51" w:rsidRDefault="00785D51" w:rsidP="00E52237">
            <w:pPr>
              <w:pStyle w:val="OutlineNumbered1"/>
              <w:numPr>
                <w:ilvl w:val="0"/>
                <w:numId w:val="75"/>
              </w:numPr>
              <w:spacing w:after="240"/>
              <w:ind w:left="522" w:hanging="522"/>
            </w:pPr>
            <w:r>
              <w:t>Do you agree with the CX Standards proposals? Why/why not?</w:t>
            </w:r>
          </w:p>
        </w:tc>
      </w:tr>
    </w:tbl>
    <w:p w14:paraId="79B7D007" w14:textId="7BC78557" w:rsidR="005C2881" w:rsidRDefault="005C2881" w:rsidP="00C3054B">
      <w:pPr>
        <w:spacing w:after="240"/>
      </w:pPr>
    </w:p>
    <w:p w14:paraId="305364ED" w14:textId="77777777" w:rsidR="00785D51" w:rsidRDefault="00785D51" w:rsidP="00C3054B">
      <w:pPr>
        <w:spacing w:after="240"/>
      </w:pPr>
    </w:p>
    <w:tbl>
      <w:tblPr>
        <w:tblStyle w:val="TableGrid"/>
        <w:tblW w:w="0" w:type="auto"/>
        <w:tblLook w:val="04A0" w:firstRow="1" w:lastRow="0" w:firstColumn="1" w:lastColumn="0" w:noHBand="0" w:noVBand="1"/>
      </w:tblPr>
      <w:tblGrid>
        <w:gridCol w:w="9016"/>
      </w:tblGrid>
      <w:tr w:rsidR="00453EE7" w14:paraId="1C5A67C8" w14:textId="77777777" w:rsidTr="00453EE7">
        <w:tc>
          <w:tcPr>
            <w:tcW w:w="9016" w:type="dxa"/>
          </w:tcPr>
          <w:p w14:paraId="4B13255D" w14:textId="77777777" w:rsidR="00E33F8D" w:rsidRDefault="00E33F8D" w:rsidP="00E33F8D">
            <w:pPr>
              <w:pStyle w:val="Heading3"/>
              <w:spacing w:before="240" w:after="240"/>
              <w:outlineLvl w:val="2"/>
            </w:pPr>
            <w:r>
              <w:t>Issue: Joint Account Disclosure Delays and Denials</w:t>
            </w:r>
          </w:p>
          <w:p w14:paraId="388D43EB" w14:textId="4A9C3F43" w:rsidR="00E33F8D" w:rsidRDefault="00E33F8D" w:rsidP="00405FE3">
            <w:pPr>
              <w:spacing w:after="240" w:line="256" w:lineRule="auto"/>
            </w:pPr>
            <w:proofErr w:type="gramStart"/>
            <w:r>
              <w:t>All of</w:t>
            </w:r>
            <w:proofErr w:type="gramEnd"/>
            <w:r>
              <w:t xml:space="preserve"> the options in this paper </w:t>
            </w:r>
            <w:r w:rsidR="00CC74D3">
              <w:t xml:space="preserve">for managing complex joint accounts </w:t>
            </w:r>
            <w:r>
              <w:t xml:space="preserve">will result in joint account disclosure being delayed or denied in some </w:t>
            </w:r>
            <w:r w:rsidR="00160A78">
              <w:t>form</w:t>
            </w:r>
            <w:r>
              <w:t xml:space="preserve">. </w:t>
            </w:r>
          </w:p>
          <w:p w14:paraId="1E734DC3" w14:textId="77777777" w:rsidR="00E33F8D" w:rsidRDefault="00E33F8D" w:rsidP="00405FE3">
            <w:pPr>
              <w:spacing w:after="240" w:line="256" w:lineRule="auto"/>
            </w:pPr>
            <w:r>
              <w:t xml:space="preserve">Any option that requires or permits ‘co-approval’ functionality will result in authorisations being established relating to joint accounts, but the relevant joint account data only being disclosed when or if the other account holder(s) provide their approval. </w:t>
            </w:r>
          </w:p>
          <w:p w14:paraId="487AFEF1" w14:textId="49A93328" w:rsidR="00E33F8D" w:rsidRDefault="00E33F8D" w:rsidP="00405FE3">
            <w:pPr>
              <w:spacing w:after="240" w:line="256" w:lineRule="auto"/>
            </w:pPr>
            <w:r>
              <w:t xml:space="preserve">The ‘opt-out’ settings discussed </w:t>
            </w:r>
            <w:r w:rsidRPr="00160A78">
              <w:t xml:space="preserve">in section </w:t>
            </w:r>
            <w:r w:rsidR="00160A78" w:rsidRPr="00160A78">
              <w:t>5</w:t>
            </w:r>
            <w:r w:rsidRPr="00160A78">
              <w:t xml:space="preserve"> would mean that joint account sharing can cease at any time, including where the joint account data is being disclosed as part of an active authorisation. This would occur for </w:t>
            </w:r>
            <w:proofErr w:type="gramStart"/>
            <w:r w:rsidRPr="00160A78">
              <w:t>all of</w:t>
            </w:r>
            <w:proofErr w:type="gramEnd"/>
            <w:r w:rsidRPr="00160A78">
              <w:t xml:space="preserve"> the default ‘opt-out’ settings discussion in section </w:t>
            </w:r>
            <w:r w:rsidR="00C60C68" w:rsidRPr="00160A78">
              <w:t>5</w:t>
            </w:r>
            <w:r w:rsidRPr="00160A78">
              <w:t>.</w:t>
            </w:r>
          </w:p>
          <w:p w14:paraId="3812EF71" w14:textId="315CE04A" w:rsidR="00E33F8D" w:rsidRDefault="00E33F8D" w:rsidP="00405FE3">
            <w:pPr>
              <w:spacing w:before="240" w:after="240" w:line="256" w:lineRule="auto"/>
            </w:pPr>
            <w:r>
              <w:t xml:space="preserve">As noted </w:t>
            </w:r>
            <w:r w:rsidRPr="00D37961">
              <w:t xml:space="preserve">in section </w:t>
            </w:r>
            <w:r w:rsidR="00D37961" w:rsidRPr="00D37961">
              <w:t>6.1</w:t>
            </w:r>
            <w:r w:rsidRPr="00D37961">
              <w:t xml:space="preserve"> </w:t>
            </w:r>
            <w:r w:rsidR="0007721E">
              <w:t xml:space="preserve">and section 9, </w:t>
            </w:r>
            <w:r w:rsidR="0007721E">
              <w:rPr>
                <w:b/>
                <w:bCs/>
              </w:rPr>
              <w:t>Implementation Considerations</w:t>
            </w:r>
            <w:r w:rsidR="0007721E">
              <w:t>,</w:t>
            </w:r>
            <w:r w:rsidR="0007721E">
              <w:rPr>
                <w:b/>
                <w:bCs/>
              </w:rPr>
              <w:t xml:space="preserve"> </w:t>
            </w:r>
            <w:r w:rsidRPr="00D37961">
              <w:t xml:space="preserve">co-approval-type </w:t>
            </w:r>
            <w:proofErr w:type="gramStart"/>
            <w:r w:rsidRPr="00D37961">
              <w:t>solutions</w:t>
            </w:r>
            <w:proofErr w:type="gramEnd"/>
            <w:r w:rsidRPr="00D37961">
              <w:t xml:space="preserve"> and preferences may need to be accommodated</w:t>
            </w:r>
            <w:r>
              <w:t xml:space="preserve"> in other CDR contexts, regardless of the position taken on joint accounts. Data sharing delays may therefore be a common occurrence in the CDR regime and joint account implementation solutions may create efficiencies as the CDR expands to additional accounts and functionalities.</w:t>
            </w:r>
          </w:p>
          <w:p w14:paraId="07E19A99" w14:textId="21BBAE1A" w:rsidR="00453EE7" w:rsidRPr="0081305F" w:rsidRDefault="00453EE7" w:rsidP="00453EE7">
            <w:pPr>
              <w:pStyle w:val="Heading3"/>
              <w:spacing w:before="240" w:after="240"/>
              <w:outlineLvl w:val="2"/>
            </w:pPr>
            <w:r w:rsidRPr="0081305F">
              <w:t>Concept: Enhanced</w:t>
            </w:r>
            <w:r>
              <w:t xml:space="preserve"> CDR Participant</w:t>
            </w:r>
            <w:r w:rsidRPr="0081305F">
              <w:t xml:space="preserve"> Communication</w:t>
            </w:r>
          </w:p>
          <w:p w14:paraId="74F49527" w14:textId="1DDE552B" w:rsidR="00453EE7" w:rsidRDefault="00E33F8D" w:rsidP="00405FE3">
            <w:pPr>
              <w:spacing w:after="240"/>
            </w:pPr>
            <w:r>
              <w:t>Community feedback has suggested that issues relating to disclosure delays and denials can be mitigated with e</w:t>
            </w:r>
            <w:r w:rsidR="00453EE7">
              <w:t>nhanced communication between DHs and ADRs</w:t>
            </w:r>
            <w:r>
              <w:t>.</w:t>
            </w:r>
            <w:r w:rsidR="00453EE7">
              <w:t xml:space="preserve"> Enhanced communication and ‘status </w:t>
            </w:r>
            <w:proofErr w:type="gramStart"/>
            <w:r w:rsidR="00453EE7">
              <w:t>updates’</w:t>
            </w:r>
            <w:proofErr w:type="gramEnd"/>
            <w:r w:rsidR="00453EE7">
              <w:t xml:space="preserve"> may allow an ADR to understand</w:t>
            </w:r>
            <w:r>
              <w:t xml:space="preserve"> when the disclosure of data from an account</w:t>
            </w:r>
            <w:r w:rsidR="00453EE7">
              <w:t>:</w:t>
            </w:r>
          </w:p>
          <w:p w14:paraId="660AF47F" w14:textId="4D8B138B" w:rsidR="00453EE7" w:rsidRPr="004904A7" w:rsidRDefault="00453EE7" w:rsidP="00FF6686">
            <w:pPr>
              <w:pStyle w:val="Dash"/>
              <w:spacing w:after="240"/>
              <w:ind w:left="1044" w:hanging="522"/>
              <w:contextualSpacing/>
            </w:pPr>
            <w:r>
              <w:rPr>
                <w:b w:val="0"/>
                <w:bCs w:val="0"/>
              </w:rPr>
              <w:t xml:space="preserve">is </w:t>
            </w:r>
            <w:r w:rsidR="00E33F8D">
              <w:rPr>
                <w:b w:val="0"/>
                <w:bCs w:val="0"/>
              </w:rPr>
              <w:t xml:space="preserve">awaiting additional approval </w:t>
            </w:r>
          </w:p>
          <w:p w14:paraId="4D52ABBD" w14:textId="329F3333" w:rsidR="00453EE7" w:rsidRPr="00EA444C" w:rsidRDefault="00453EE7" w:rsidP="00FF6686">
            <w:pPr>
              <w:pStyle w:val="Dash"/>
              <w:spacing w:after="240"/>
              <w:ind w:left="1044" w:hanging="522"/>
              <w:contextualSpacing/>
            </w:pPr>
            <w:r>
              <w:rPr>
                <w:b w:val="0"/>
                <w:bCs w:val="0"/>
              </w:rPr>
              <w:t>has been successfully approved</w:t>
            </w:r>
          </w:p>
          <w:p w14:paraId="0FA500F4" w14:textId="77777777" w:rsidR="001F3722" w:rsidRPr="0059763F" w:rsidRDefault="001F3722" w:rsidP="001F3722">
            <w:pPr>
              <w:pStyle w:val="Dash"/>
              <w:spacing w:after="240"/>
              <w:ind w:left="1044" w:hanging="522"/>
              <w:contextualSpacing/>
            </w:pPr>
            <w:r>
              <w:rPr>
                <w:b w:val="0"/>
                <w:bCs w:val="0"/>
              </w:rPr>
              <w:t>has not been approved</w:t>
            </w:r>
          </w:p>
          <w:p w14:paraId="48225427" w14:textId="77777777" w:rsidR="001F3722" w:rsidRDefault="001F3722" w:rsidP="001F3722">
            <w:pPr>
              <w:pStyle w:val="Dash"/>
              <w:spacing w:after="240"/>
              <w:ind w:left="1044" w:hanging="522"/>
              <w:contextualSpacing/>
              <w:rPr>
                <w:b w:val="0"/>
                <w:bCs w:val="0"/>
              </w:rPr>
            </w:pPr>
            <w:r>
              <w:rPr>
                <w:b w:val="0"/>
                <w:bCs w:val="0"/>
              </w:rPr>
              <w:t xml:space="preserve">has been set to ‘off’ (when a consumer </w:t>
            </w:r>
            <w:r w:rsidRPr="0059763F">
              <w:rPr>
                <w:b w:val="0"/>
                <w:bCs w:val="0"/>
              </w:rPr>
              <w:t>opt</w:t>
            </w:r>
            <w:r>
              <w:rPr>
                <w:b w:val="0"/>
                <w:bCs w:val="0"/>
              </w:rPr>
              <w:t xml:space="preserve">s </w:t>
            </w:r>
            <w:r w:rsidRPr="0059763F">
              <w:rPr>
                <w:b w:val="0"/>
                <w:bCs w:val="0"/>
              </w:rPr>
              <w:t>out of data sharing on the joint account entirely</w:t>
            </w:r>
            <w:r>
              <w:rPr>
                <w:b w:val="0"/>
                <w:bCs w:val="0"/>
              </w:rPr>
              <w:t>)</w:t>
            </w:r>
          </w:p>
          <w:p w14:paraId="508075BE" w14:textId="2B83CED9" w:rsidR="001F3722" w:rsidRPr="001F3722" w:rsidRDefault="001F3722" w:rsidP="001F3722">
            <w:pPr>
              <w:pStyle w:val="Dash"/>
              <w:spacing w:after="240"/>
              <w:ind w:left="1044" w:hanging="522"/>
              <w:contextualSpacing/>
              <w:rPr>
                <w:b w:val="0"/>
                <w:bCs w:val="0"/>
              </w:rPr>
            </w:pPr>
            <w:r>
              <w:rPr>
                <w:b w:val="0"/>
                <w:bCs w:val="0"/>
              </w:rPr>
              <w:t xml:space="preserve">has been stopped for a specific </w:t>
            </w:r>
            <w:r w:rsidRPr="0059763F">
              <w:rPr>
                <w:b w:val="0"/>
                <w:bCs w:val="0"/>
              </w:rPr>
              <w:t>data sharing arrangement (</w:t>
            </w:r>
            <w:r>
              <w:rPr>
                <w:b w:val="0"/>
                <w:bCs w:val="0"/>
              </w:rPr>
              <w:t xml:space="preserve">when a consumer removes </w:t>
            </w:r>
            <w:r w:rsidRPr="0059763F">
              <w:rPr>
                <w:b w:val="0"/>
                <w:bCs w:val="0"/>
              </w:rPr>
              <w:t xml:space="preserve">an </w:t>
            </w:r>
            <w:r w:rsidR="00D37961">
              <w:rPr>
                <w:b w:val="0"/>
                <w:bCs w:val="0"/>
              </w:rPr>
              <w:t>‘</w:t>
            </w:r>
            <w:r w:rsidRPr="0059763F">
              <w:rPr>
                <w:b w:val="0"/>
                <w:bCs w:val="0"/>
              </w:rPr>
              <w:t>approval</w:t>
            </w:r>
            <w:r w:rsidR="00D37961">
              <w:rPr>
                <w:b w:val="0"/>
                <w:bCs w:val="0"/>
              </w:rPr>
              <w:t>’</w:t>
            </w:r>
            <w:r w:rsidRPr="0059763F">
              <w:rPr>
                <w:b w:val="0"/>
                <w:bCs w:val="0"/>
              </w:rPr>
              <w:t>)</w:t>
            </w:r>
          </w:p>
          <w:p w14:paraId="6AAFC90E" w14:textId="6980CB9C" w:rsidR="00453EE7" w:rsidRPr="00405FE3" w:rsidRDefault="00453EE7" w:rsidP="00405FE3">
            <w:pPr>
              <w:spacing w:after="240"/>
              <w:rPr>
                <w:b/>
              </w:rPr>
            </w:pPr>
            <w:r>
              <w:t xml:space="preserve">This is expected to assist ADRs in deciding </w:t>
            </w:r>
            <w:r w:rsidR="00E33F8D">
              <w:t>when</w:t>
            </w:r>
            <w:r>
              <w:t xml:space="preserve"> to </w:t>
            </w:r>
            <w:r w:rsidR="00FD5320">
              <w:t xml:space="preserve">proceed with </w:t>
            </w:r>
            <w:r>
              <w:t>collect</w:t>
            </w:r>
            <w:r w:rsidR="00FD5320">
              <w:t>ing</w:t>
            </w:r>
            <w:r>
              <w:t xml:space="preserve"> data based on the information provided in this status update. This concept is also expected to support ADRs to manage consent lifecycles where account-related changes may impact data access or ADR use cases.</w:t>
            </w:r>
          </w:p>
          <w:p w14:paraId="42539A7C" w14:textId="3BDF7096" w:rsidR="00453EE7" w:rsidRDefault="00453EE7" w:rsidP="00C60C68">
            <w:pPr>
              <w:spacing w:after="240"/>
            </w:pPr>
            <w:r>
              <w:t xml:space="preserve">How ADRs discover statuses </w:t>
            </w:r>
            <w:r w:rsidR="00D37961">
              <w:t>should</w:t>
            </w:r>
            <w:r>
              <w:t xml:space="preserve"> be subject to consultation</w:t>
            </w:r>
            <w:r w:rsidR="00D37961">
              <w:t>,</w:t>
            </w:r>
            <w:r>
              <w:t xml:space="preserve"> but may include a variety of non-mutually exclusive mechanisms, based on existing patterns used in the technical standards that allow ADRs to pull information to discover a status and/or DHs to push that information when a status has changed. For the purposes of this paper, we are interested in the appropriateness of this concept and the possible technical mechanisms that would be of value to both ADRs and DHs for its operation.</w:t>
            </w:r>
          </w:p>
        </w:tc>
      </w:tr>
    </w:tbl>
    <w:tbl>
      <w:tblPr>
        <w:tblStyle w:val="TableGrid"/>
        <w:tblpPr w:leftFromText="180" w:rightFromText="180" w:vertAnchor="page" w:horzAnchor="margin" w:tblpY="1216"/>
        <w:tblOverlap w:val="never"/>
        <w:tblW w:w="4875" w:type="pct"/>
        <w:tblLook w:val="04A0" w:firstRow="1" w:lastRow="0" w:firstColumn="1" w:lastColumn="0" w:noHBand="0" w:noVBand="1"/>
      </w:tblPr>
      <w:tblGrid>
        <w:gridCol w:w="8791"/>
      </w:tblGrid>
      <w:tr w:rsidR="00405FE3" w14:paraId="5FDDBC9E" w14:textId="77777777" w:rsidTr="00405FE3">
        <w:tc>
          <w:tcPr>
            <w:tcW w:w="8791" w:type="dxa"/>
          </w:tcPr>
          <w:p w14:paraId="6862B716" w14:textId="77777777" w:rsidR="00405FE3" w:rsidRPr="00D75569" w:rsidRDefault="00405FE3" w:rsidP="00405FE3">
            <w:pPr>
              <w:pStyle w:val="OutlineNumbered1"/>
              <w:numPr>
                <w:ilvl w:val="0"/>
                <w:numId w:val="0"/>
              </w:numPr>
              <w:spacing w:after="240"/>
              <w:ind w:left="522" w:hanging="522"/>
              <w:rPr>
                <w:b/>
                <w:bCs/>
              </w:rPr>
            </w:pPr>
            <w:r w:rsidRPr="00D75569">
              <w:rPr>
                <w:b/>
                <w:bCs/>
              </w:rPr>
              <w:t>Questions</w:t>
            </w:r>
          </w:p>
          <w:p w14:paraId="2E16B19E" w14:textId="77777777" w:rsidR="00405FE3" w:rsidRDefault="00405FE3" w:rsidP="00D736D1">
            <w:pPr>
              <w:pStyle w:val="OutlineNumbered1"/>
              <w:numPr>
                <w:ilvl w:val="0"/>
                <w:numId w:val="75"/>
              </w:numPr>
              <w:spacing w:after="240"/>
              <w:ind w:left="522" w:hanging="522"/>
            </w:pPr>
            <w:r>
              <w:t xml:space="preserve">Do you see value in the </w:t>
            </w:r>
            <w:r>
              <w:rPr>
                <w:b/>
                <w:bCs/>
              </w:rPr>
              <w:t>Enhanced CDR Participant Communication</w:t>
            </w:r>
            <w:r>
              <w:t xml:space="preserve"> concept? Why/why not?</w:t>
            </w:r>
          </w:p>
          <w:p w14:paraId="37A8C015" w14:textId="4157A83E" w:rsidR="00405FE3" w:rsidRDefault="00405FE3" w:rsidP="00D736D1">
            <w:pPr>
              <w:pStyle w:val="OutlineNumbered1"/>
              <w:numPr>
                <w:ilvl w:val="0"/>
                <w:numId w:val="75"/>
              </w:numPr>
              <w:spacing w:after="240"/>
              <w:ind w:left="522" w:hanging="522"/>
            </w:pPr>
            <w:r>
              <w:t xml:space="preserve">If supported, how could existing technical mechanisms be leveraged to implement </w:t>
            </w:r>
            <w:r w:rsidR="00CA615B">
              <w:t>Enhanced CDR Participant Communication</w:t>
            </w:r>
            <w:r>
              <w:t>?</w:t>
            </w:r>
          </w:p>
        </w:tc>
      </w:tr>
    </w:tbl>
    <w:p w14:paraId="66CB5A43" w14:textId="64FD0654" w:rsidR="003F75DD" w:rsidRDefault="00D736D1" w:rsidP="005775BA">
      <w:pPr>
        <w:pStyle w:val="Heading1"/>
        <w:contextualSpacing/>
      </w:pPr>
      <w:r>
        <w:t>7</w:t>
      </w:r>
      <w:r w:rsidR="005775BA">
        <w:t xml:space="preserve">. </w:t>
      </w:r>
      <w:r w:rsidR="0045271F">
        <w:t>‘</w:t>
      </w:r>
      <w:r w:rsidR="003F75DD">
        <w:t>Opt-out’ settings</w:t>
      </w:r>
    </w:p>
    <w:p w14:paraId="71A0EA52" w14:textId="1621918E" w:rsidR="009E41F3" w:rsidRPr="009E41F3" w:rsidRDefault="00D736D1" w:rsidP="00D9050C">
      <w:pPr>
        <w:pStyle w:val="Heading2"/>
        <w:contextualSpacing/>
      </w:pPr>
      <w:r>
        <w:t>7</w:t>
      </w:r>
      <w:r w:rsidR="00D9050C">
        <w:t xml:space="preserve">.1. </w:t>
      </w:r>
      <w:r w:rsidR="00073595">
        <w:t xml:space="preserve">Topic </w:t>
      </w:r>
      <w:r w:rsidR="003F75DD">
        <w:t>Overvie</w:t>
      </w:r>
      <w:r w:rsidR="009E41F3">
        <w:t>w</w:t>
      </w:r>
    </w:p>
    <w:p w14:paraId="02445B48" w14:textId="20CB570D" w:rsidR="00272706" w:rsidRDefault="00FD5320" w:rsidP="00880658">
      <w:pPr>
        <w:pStyle w:val="ListParagraph"/>
        <w:numPr>
          <w:ilvl w:val="0"/>
          <w:numId w:val="78"/>
        </w:numPr>
        <w:spacing w:after="240"/>
        <w:contextualSpacing w:val="0"/>
      </w:pPr>
      <w:r>
        <w:t>Shifting</w:t>
      </w:r>
      <w:r w:rsidR="00272706">
        <w:t xml:space="preserve"> to </w:t>
      </w:r>
      <w:r w:rsidR="00343C6A">
        <w:t>default ‘on’</w:t>
      </w:r>
      <w:r w:rsidR="00272706">
        <w:t xml:space="preserve"> setting </w:t>
      </w:r>
      <w:r w:rsidR="00AA6FE6">
        <w:t xml:space="preserve">should not come at the cost of diminishing </w:t>
      </w:r>
      <w:r w:rsidR="00620016">
        <w:t>the</w:t>
      </w:r>
      <w:r w:rsidR="00272706">
        <w:t xml:space="preserve"> controls</w:t>
      </w:r>
      <w:r w:rsidR="00AA6FE6">
        <w:t xml:space="preserve"> or </w:t>
      </w:r>
      <w:r>
        <w:t>notification of data</w:t>
      </w:r>
      <w:r w:rsidR="005A2E10">
        <w:t xml:space="preserve"> sharing for joint account holders </w:t>
      </w:r>
      <w:r w:rsidR="00620016">
        <w:t xml:space="preserve">provided </w:t>
      </w:r>
      <w:r w:rsidR="00A02DA5">
        <w:t xml:space="preserve">for </w:t>
      </w:r>
      <w:r w:rsidR="00620016">
        <w:t>in the current rules</w:t>
      </w:r>
      <w:r w:rsidR="00272706">
        <w:t>.</w:t>
      </w:r>
    </w:p>
    <w:p w14:paraId="7DBC7A18" w14:textId="567C694A" w:rsidR="004F0D7A" w:rsidRDefault="005072D0" w:rsidP="00880658">
      <w:pPr>
        <w:pStyle w:val="ListParagraph"/>
        <w:numPr>
          <w:ilvl w:val="0"/>
          <w:numId w:val="78"/>
        </w:numPr>
        <w:spacing w:after="240"/>
        <w:contextualSpacing w:val="0"/>
      </w:pPr>
      <w:r>
        <w:t xml:space="preserve">We </w:t>
      </w:r>
      <w:r w:rsidR="003F75DD">
        <w:t xml:space="preserve">propose </w:t>
      </w:r>
      <w:r>
        <w:t>joint account holders would be able to ‘opt-out’ by</w:t>
      </w:r>
      <w:r w:rsidR="004F0D7A">
        <w:t>:</w:t>
      </w:r>
    </w:p>
    <w:p w14:paraId="7AF0E102" w14:textId="20C7DB7C" w:rsidR="004F0D7A" w:rsidRPr="003C46C0" w:rsidRDefault="001763CE" w:rsidP="00D736D1">
      <w:pPr>
        <w:pStyle w:val="ListParagraph"/>
        <w:numPr>
          <w:ilvl w:val="0"/>
          <w:numId w:val="33"/>
        </w:numPr>
        <w:spacing w:after="240"/>
        <w:ind w:left="714" w:hanging="357"/>
        <w:contextualSpacing w:val="0"/>
      </w:pPr>
      <w:r w:rsidRPr="00C2346D">
        <w:t>overrid</w:t>
      </w:r>
      <w:r w:rsidR="005072D0">
        <w:t>ing</w:t>
      </w:r>
      <w:r w:rsidRPr="00C2346D">
        <w:t xml:space="preserve"> the </w:t>
      </w:r>
      <w:r w:rsidRPr="003C46C0">
        <w:t>default setting</w:t>
      </w:r>
      <w:r w:rsidR="004F0D7A" w:rsidRPr="003C46C0">
        <w:t xml:space="preserve"> and </w:t>
      </w:r>
      <w:proofErr w:type="gramStart"/>
      <w:r w:rsidR="004F0D7A" w:rsidRPr="00C2346D">
        <w:t>opt</w:t>
      </w:r>
      <w:r w:rsidR="00E4072C">
        <w:t>ing</w:t>
      </w:r>
      <w:r w:rsidR="004F0D7A" w:rsidRPr="00C2346D">
        <w:t>-out</w:t>
      </w:r>
      <w:proofErr w:type="gramEnd"/>
      <w:r w:rsidR="004F0D7A" w:rsidRPr="00C2346D">
        <w:t xml:space="preserve"> of data sharing on the </w:t>
      </w:r>
      <w:r w:rsidR="005D1E99" w:rsidRPr="003C46C0">
        <w:t xml:space="preserve">joint </w:t>
      </w:r>
      <w:r w:rsidR="004F0D7A" w:rsidRPr="003C46C0">
        <w:t>account</w:t>
      </w:r>
      <w:r w:rsidR="00AA6FE6" w:rsidRPr="003C46C0">
        <w:t xml:space="preserve"> </w:t>
      </w:r>
      <w:r w:rsidR="00C51E61">
        <w:t>entirely</w:t>
      </w:r>
      <w:r w:rsidR="00CD4163">
        <w:t xml:space="preserve"> (</w:t>
      </w:r>
      <w:r w:rsidR="00C51E61">
        <w:t>set</w:t>
      </w:r>
      <w:r w:rsidR="00E4072C">
        <w:t>ting</w:t>
      </w:r>
      <w:r w:rsidR="00C51E61">
        <w:t xml:space="preserve"> data sharing to ‘off’</w:t>
      </w:r>
      <w:r w:rsidR="00CD4163">
        <w:t>)</w:t>
      </w:r>
      <w:r w:rsidR="005072D0">
        <w:t>, and</w:t>
      </w:r>
    </w:p>
    <w:p w14:paraId="3A3AC259" w14:textId="4C76D6EF" w:rsidR="004F0D7A" w:rsidRPr="003C46C0" w:rsidRDefault="00B345AE" w:rsidP="00A93D2D">
      <w:pPr>
        <w:pStyle w:val="ListParagraph"/>
        <w:numPr>
          <w:ilvl w:val="0"/>
          <w:numId w:val="33"/>
        </w:numPr>
        <w:spacing w:after="240"/>
        <w:ind w:left="714" w:hanging="357"/>
        <w:contextualSpacing w:val="0"/>
      </w:pPr>
      <w:r>
        <w:t>stop</w:t>
      </w:r>
      <w:r w:rsidR="00343C6A">
        <w:t>ping</w:t>
      </w:r>
      <w:r w:rsidR="005D1E99" w:rsidRPr="00C2346D">
        <w:t xml:space="preserve"> </w:t>
      </w:r>
      <w:r w:rsidR="00A23DFE" w:rsidRPr="003C46C0">
        <w:t xml:space="preserve">data sharing </w:t>
      </w:r>
      <w:r w:rsidR="00C51E61">
        <w:t>arrangements</w:t>
      </w:r>
      <w:r w:rsidR="00AF3E75">
        <w:t xml:space="preserve">, whether </w:t>
      </w:r>
      <w:r w:rsidR="00A23DFE" w:rsidRPr="003C46C0">
        <w:t xml:space="preserve">initiated by </w:t>
      </w:r>
      <w:r w:rsidR="00AF3E75">
        <w:t>themselves or another</w:t>
      </w:r>
      <w:r w:rsidR="00A23DFE" w:rsidRPr="003C46C0">
        <w:t xml:space="preserve"> joint account holder</w:t>
      </w:r>
      <w:r w:rsidR="00AF3E75">
        <w:t>(</w:t>
      </w:r>
      <w:r w:rsidR="00A23DFE" w:rsidRPr="003C46C0">
        <w:t>s</w:t>
      </w:r>
      <w:r w:rsidR="00AF3E75">
        <w:t>)</w:t>
      </w:r>
      <w:r w:rsidR="00CD4163">
        <w:t xml:space="preserve"> (removing </w:t>
      </w:r>
      <w:r w:rsidR="00AF3E75">
        <w:t>‘</w:t>
      </w:r>
      <w:r w:rsidR="00CD4163">
        <w:t>approval</w:t>
      </w:r>
      <w:r w:rsidR="00E4072C">
        <w:t>s</w:t>
      </w:r>
      <w:r w:rsidR="00AF3E75">
        <w:t>’</w:t>
      </w:r>
      <w:r w:rsidR="00CD4163">
        <w:t>)</w:t>
      </w:r>
      <w:r w:rsidR="00A90004" w:rsidRPr="003C46C0">
        <w:t xml:space="preserve">. </w:t>
      </w:r>
    </w:p>
    <w:p w14:paraId="43C4435D" w14:textId="2EAB8F7E" w:rsidR="001562EE" w:rsidRDefault="001562EE" w:rsidP="00880658">
      <w:pPr>
        <w:pStyle w:val="ListParagraph"/>
        <w:numPr>
          <w:ilvl w:val="0"/>
          <w:numId w:val="78"/>
        </w:numPr>
        <w:spacing w:after="240"/>
        <w:contextualSpacing w:val="0"/>
        <w:rPr>
          <w:bCs/>
        </w:rPr>
      </w:pPr>
      <w:r>
        <w:rPr>
          <w:bCs/>
        </w:rPr>
        <w:t xml:space="preserve">As outlined </w:t>
      </w:r>
      <w:r w:rsidR="008843C6">
        <w:rPr>
          <w:bCs/>
        </w:rPr>
        <w:t>in</w:t>
      </w:r>
      <w:r>
        <w:rPr>
          <w:bCs/>
        </w:rPr>
        <w:t xml:space="preserve"> </w:t>
      </w:r>
      <w:r w:rsidR="00E4072C">
        <w:rPr>
          <w:bCs/>
        </w:rPr>
        <w:t>paragraph 23</w:t>
      </w:r>
      <w:r>
        <w:rPr>
          <w:bCs/>
        </w:rPr>
        <w:t xml:space="preserve">, we also propose that data holders could choose to notify joint account holders </w:t>
      </w:r>
      <w:r w:rsidR="00026003">
        <w:rPr>
          <w:bCs/>
        </w:rPr>
        <w:t>about</w:t>
      </w:r>
      <w:r>
        <w:rPr>
          <w:bCs/>
        </w:rPr>
        <w:t xml:space="preserve"> how CDR data sharing on the</w:t>
      </w:r>
      <w:r w:rsidR="00026003">
        <w:rPr>
          <w:bCs/>
        </w:rPr>
        <w:t>ir</w:t>
      </w:r>
      <w:r>
        <w:rPr>
          <w:bCs/>
        </w:rPr>
        <w:t xml:space="preserve"> joint account operates. </w:t>
      </w:r>
    </w:p>
    <w:p w14:paraId="3A07D9AF" w14:textId="611F244A" w:rsidR="00924BF4" w:rsidRDefault="00A93D2D" w:rsidP="00880658">
      <w:pPr>
        <w:pStyle w:val="ListParagraph"/>
        <w:numPr>
          <w:ilvl w:val="0"/>
          <w:numId w:val="78"/>
        </w:numPr>
        <w:spacing w:after="240"/>
        <w:contextualSpacing w:val="0"/>
        <w:rPr>
          <w:bCs/>
        </w:rPr>
      </w:pPr>
      <w:r>
        <w:rPr>
          <w:bCs/>
        </w:rPr>
        <w:t>For illustrative purposes, we have provided</w:t>
      </w:r>
      <w:r w:rsidR="00924BF4">
        <w:rPr>
          <w:bCs/>
        </w:rPr>
        <w:t xml:space="preserve"> the following</w:t>
      </w:r>
      <w:r>
        <w:rPr>
          <w:bCs/>
        </w:rPr>
        <w:t xml:space="preserve"> wireframes</w:t>
      </w:r>
      <w:r w:rsidR="00924BF4">
        <w:rPr>
          <w:bCs/>
        </w:rPr>
        <w:t>:</w:t>
      </w:r>
    </w:p>
    <w:p w14:paraId="4B5E5A3C" w14:textId="77777777" w:rsidR="00924BF4" w:rsidRDefault="00DF6C87" w:rsidP="00D736D1">
      <w:pPr>
        <w:pStyle w:val="Normal-Numberedparagraphs"/>
        <w:numPr>
          <w:ilvl w:val="1"/>
          <w:numId w:val="78"/>
        </w:numPr>
        <w:spacing w:line="254" w:lineRule="auto"/>
      </w:pPr>
      <w:hyperlink r:id="rId34" w:history="1">
        <w:r w:rsidR="00924BF4">
          <w:rPr>
            <w:rStyle w:val="Hyperlink"/>
          </w:rPr>
          <w:t>Wireframe 1.4</w:t>
        </w:r>
      </w:hyperlink>
      <w:r w:rsidR="00924BF4">
        <w:t xml:space="preserve"> (</w:t>
      </w:r>
      <w:hyperlink r:id="rId35" w:history="1">
        <w:r w:rsidR="00924BF4">
          <w:rPr>
            <w:rStyle w:val="Hyperlink"/>
          </w:rPr>
          <w:t>PDF version</w:t>
        </w:r>
      </w:hyperlink>
      <w:r w:rsidR="00924BF4">
        <w:t>), which demonstrates how a consumer could cease data sharing with individual accredited persons (‘removing an approval’)</w:t>
      </w:r>
    </w:p>
    <w:p w14:paraId="389FE037" w14:textId="77777777" w:rsidR="00924BF4" w:rsidRDefault="00DF6C87" w:rsidP="00D736D1">
      <w:pPr>
        <w:pStyle w:val="Normal-Numberedparagraphs"/>
        <w:numPr>
          <w:ilvl w:val="1"/>
          <w:numId w:val="78"/>
        </w:numPr>
        <w:spacing w:line="254" w:lineRule="auto"/>
      </w:pPr>
      <w:hyperlink r:id="rId36" w:history="1">
        <w:r w:rsidR="00924BF4">
          <w:rPr>
            <w:rStyle w:val="Hyperlink"/>
          </w:rPr>
          <w:t>Wireframe 1.5a</w:t>
        </w:r>
      </w:hyperlink>
      <w:r w:rsidR="00924BF4">
        <w:t xml:space="preserve"> (</w:t>
      </w:r>
      <w:hyperlink r:id="rId37" w:history="1">
        <w:r w:rsidR="00924BF4">
          <w:rPr>
            <w:rStyle w:val="Hyperlink"/>
          </w:rPr>
          <w:t>PDF version</w:t>
        </w:r>
      </w:hyperlink>
      <w:r w:rsidR="00924BF4">
        <w:t>), which demonstrates how a consumer could change their joint account data sharing settings (‘co-approval’ and ‘pre-approval’)</w:t>
      </w:r>
    </w:p>
    <w:p w14:paraId="02C005ED" w14:textId="6CA77AAC" w:rsidR="00924BF4" w:rsidRPr="00924BF4" w:rsidRDefault="00DF6C87" w:rsidP="00D736D1">
      <w:pPr>
        <w:pStyle w:val="Normal-Numberedparagraphs"/>
        <w:numPr>
          <w:ilvl w:val="1"/>
          <w:numId w:val="78"/>
        </w:numPr>
        <w:spacing w:line="254" w:lineRule="auto"/>
      </w:pPr>
      <w:hyperlink r:id="rId38" w:history="1">
        <w:r w:rsidR="00924BF4">
          <w:rPr>
            <w:rStyle w:val="Hyperlink"/>
          </w:rPr>
          <w:t>Wireframe 1.5b</w:t>
        </w:r>
      </w:hyperlink>
      <w:r w:rsidR="00924BF4">
        <w:t xml:space="preserve"> (</w:t>
      </w:r>
      <w:hyperlink r:id="rId39" w:history="1">
        <w:r w:rsidR="00924BF4">
          <w:rPr>
            <w:rStyle w:val="Hyperlink"/>
          </w:rPr>
          <w:t>PDF version</w:t>
        </w:r>
      </w:hyperlink>
      <w:r w:rsidR="00924BF4">
        <w:t>), which demonstrates how a consumer could turn their joint account data sharing to ‘off’ (‘removing a disclosure option’</w:t>
      </w:r>
      <w:r w:rsidR="001B5B59">
        <w:t>).</w:t>
      </w:r>
    </w:p>
    <w:p w14:paraId="4CD8FB92" w14:textId="5CA0767D" w:rsidR="003F75DD" w:rsidRDefault="00D736D1" w:rsidP="004D253C">
      <w:pPr>
        <w:pStyle w:val="Heading2"/>
        <w:contextualSpacing/>
      </w:pPr>
      <w:r>
        <w:t>7</w:t>
      </w:r>
      <w:r w:rsidR="004D253C">
        <w:t xml:space="preserve">.2. </w:t>
      </w:r>
      <w:r w:rsidR="00414533">
        <w:t xml:space="preserve">Rules Considerations </w:t>
      </w:r>
    </w:p>
    <w:p w14:paraId="5D8AEF5C" w14:textId="35B03EDD" w:rsidR="00391EA1" w:rsidRDefault="00391EA1" w:rsidP="00391EA1">
      <w:pPr>
        <w:pStyle w:val="ListParagraph"/>
        <w:numPr>
          <w:ilvl w:val="0"/>
          <w:numId w:val="78"/>
        </w:numPr>
        <w:spacing w:after="240"/>
        <w:contextualSpacing w:val="0"/>
      </w:pPr>
      <w:r>
        <w:t>T</w:t>
      </w:r>
      <w:r w:rsidR="00DF0C52">
        <w:t xml:space="preserve">he suggested controls are already supported by the current rules, so amendments </w:t>
      </w:r>
      <w:r>
        <w:t xml:space="preserve">beyond those discussed at </w:t>
      </w:r>
      <w:r w:rsidR="00E71B83" w:rsidRPr="00E71B83">
        <w:t>5.2</w:t>
      </w:r>
      <w:r w:rsidR="00DF0C52">
        <w:t xml:space="preserve"> are likely to be consequential in nature only.</w:t>
      </w:r>
      <w:r w:rsidR="00B363BB" w:rsidRPr="00B363BB">
        <w:t xml:space="preserve"> </w:t>
      </w:r>
    </w:p>
    <w:p w14:paraId="204B5EC0" w14:textId="60695430" w:rsidR="003F75DD" w:rsidRDefault="00D736D1" w:rsidP="004D253C">
      <w:pPr>
        <w:pStyle w:val="Heading2"/>
        <w:contextualSpacing/>
      </w:pPr>
      <w:r>
        <w:t>7</w:t>
      </w:r>
      <w:r w:rsidR="004D253C">
        <w:t xml:space="preserve">.3. </w:t>
      </w:r>
      <w:r w:rsidR="003F75DD">
        <w:t>Standards Considerations</w:t>
      </w:r>
    </w:p>
    <w:p w14:paraId="767EB5FF" w14:textId="77777777" w:rsidR="006C5477" w:rsidRDefault="006C5477" w:rsidP="00880658">
      <w:pPr>
        <w:pStyle w:val="ListParagraph"/>
        <w:numPr>
          <w:ilvl w:val="0"/>
          <w:numId w:val="78"/>
        </w:numPr>
        <w:spacing w:after="240"/>
        <w:contextualSpacing w:val="0"/>
      </w:pPr>
      <w:r>
        <w:t xml:space="preserve">No </w:t>
      </w:r>
      <w:r w:rsidRPr="00021F0C">
        <w:rPr>
          <w:b/>
        </w:rPr>
        <w:t xml:space="preserve">technical or </w:t>
      </w:r>
      <w:r>
        <w:rPr>
          <w:b/>
          <w:bCs/>
        </w:rPr>
        <w:t>r</w:t>
      </w:r>
      <w:r w:rsidRPr="00021F0C">
        <w:rPr>
          <w:b/>
          <w:bCs/>
        </w:rPr>
        <w:t>egister</w:t>
      </w:r>
      <w:r w:rsidRPr="00021F0C">
        <w:rPr>
          <w:b/>
        </w:rPr>
        <w:t xml:space="preserve"> standards</w:t>
      </w:r>
      <w:r>
        <w:t xml:space="preserve"> impacts are anticipated to support the proposed ‘opt-out’ settings.</w:t>
      </w:r>
    </w:p>
    <w:p w14:paraId="6C46EE62" w14:textId="2946B774" w:rsidR="009E5509" w:rsidRDefault="001322E2" w:rsidP="006C5477">
      <w:pPr>
        <w:pStyle w:val="ListParagraph"/>
        <w:numPr>
          <w:ilvl w:val="0"/>
          <w:numId w:val="78"/>
        </w:numPr>
        <w:spacing w:after="240"/>
        <w:contextualSpacing w:val="0"/>
      </w:pPr>
      <w:r w:rsidRPr="00021F0C">
        <w:rPr>
          <w:b/>
          <w:bCs/>
        </w:rPr>
        <w:t>Consumer experience standards</w:t>
      </w:r>
      <w:r>
        <w:t xml:space="preserve"> may be warranted to notify a consumer of the implications of choosing to opt out of joint account data sharing. This would achieve consistency with the withdrawal standards requirements for authorisation withdrawal and the removal of a secondary user instruction.</w:t>
      </w:r>
    </w:p>
    <w:tbl>
      <w:tblPr>
        <w:tblStyle w:val="TableGrid"/>
        <w:tblW w:w="0" w:type="auto"/>
        <w:tblLook w:val="04A0" w:firstRow="1" w:lastRow="0" w:firstColumn="1" w:lastColumn="0" w:noHBand="0" w:noVBand="1"/>
      </w:tblPr>
      <w:tblGrid>
        <w:gridCol w:w="9016"/>
      </w:tblGrid>
      <w:tr w:rsidR="009E5509" w14:paraId="217FEB6B" w14:textId="77777777" w:rsidTr="009E5509">
        <w:tc>
          <w:tcPr>
            <w:tcW w:w="9016" w:type="dxa"/>
            <w:tcBorders>
              <w:top w:val="single" w:sz="4" w:space="0" w:color="auto"/>
              <w:left w:val="single" w:sz="4" w:space="0" w:color="auto"/>
              <w:bottom w:val="single" w:sz="4" w:space="0" w:color="auto"/>
              <w:right w:val="single" w:sz="4" w:space="0" w:color="auto"/>
            </w:tcBorders>
            <w:hideMark/>
          </w:tcPr>
          <w:p w14:paraId="140E0E0B" w14:textId="77777777" w:rsidR="009E5509" w:rsidRDefault="009E5509">
            <w:pPr>
              <w:pStyle w:val="OutlineNumbered1"/>
              <w:numPr>
                <w:ilvl w:val="0"/>
                <w:numId w:val="0"/>
              </w:numPr>
              <w:tabs>
                <w:tab w:val="left" w:pos="720"/>
              </w:tabs>
              <w:spacing w:after="240"/>
              <w:ind w:left="522" w:hanging="522"/>
              <w:rPr>
                <w:b/>
                <w:bCs/>
              </w:rPr>
            </w:pPr>
            <w:bookmarkStart w:id="5" w:name="_Hlk69980662"/>
            <w:r>
              <w:rPr>
                <w:b/>
                <w:bCs/>
              </w:rPr>
              <w:t>Questions</w:t>
            </w:r>
          </w:p>
          <w:p w14:paraId="3B83271B" w14:textId="0480A9C2" w:rsidR="00FF6887" w:rsidRDefault="00FF6887" w:rsidP="00682972">
            <w:pPr>
              <w:pStyle w:val="OutlineNumbered1"/>
              <w:numPr>
                <w:ilvl w:val="0"/>
                <w:numId w:val="75"/>
              </w:numPr>
              <w:spacing w:after="240"/>
            </w:pPr>
            <w:r>
              <w:t>Do you agree with the assessment of rules considerations? Why/why not?</w:t>
            </w:r>
          </w:p>
          <w:p w14:paraId="7A3D6CB2" w14:textId="56815ABF" w:rsidR="009E5509" w:rsidRDefault="009E5509" w:rsidP="00682972">
            <w:pPr>
              <w:pStyle w:val="OutlineNumbered1"/>
              <w:numPr>
                <w:ilvl w:val="0"/>
                <w:numId w:val="75"/>
              </w:numPr>
              <w:spacing w:after="240"/>
            </w:pPr>
            <w:r>
              <w:t>Do you agree with this assessment of standards considerations? Why/why not?</w:t>
            </w:r>
          </w:p>
        </w:tc>
      </w:tr>
    </w:tbl>
    <w:bookmarkEnd w:id="5"/>
    <w:p w14:paraId="55D8A964" w14:textId="300B1732" w:rsidR="00D2711B" w:rsidRDefault="00D01F22" w:rsidP="00D01F22">
      <w:pPr>
        <w:pStyle w:val="Heading1"/>
        <w:contextualSpacing/>
      </w:pPr>
      <w:r>
        <w:t xml:space="preserve">8. </w:t>
      </w:r>
      <w:r w:rsidR="00D2711B">
        <w:t>Notification requirements</w:t>
      </w:r>
    </w:p>
    <w:p w14:paraId="74AD997C" w14:textId="05653F3E" w:rsidR="00AA336E" w:rsidRPr="00AA336E" w:rsidRDefault="00D736D1" w:rsidP="00A973D5">
      <w:pPr>
        <w:pStyle w:val="Heading2"/>
        <w:contextualSpacing/>
      </w:pPr>
      <w:r>
        <w:t>8</w:t>
      </w:r>
      <w:r w:rsidR="00A973D5">
        <w:t xml:space="preserve">.1. </w:t>
      </w:r>
      <w:r w:rsidR="009E41F3">
        <w:t>Topic Overview</w:t>
      </w:r>
    </w:p>
    <w:p w14:paraId="3CB9090D" w14:textId="49918819" w:rsidR="00083A90" w:rsidRDefault="00083A90" w:rsidP="00880658">
      <w:pPr>
        <w:pStyle w:val="ListParagraph"/>
        <w:numPr>
          <w:ilvl w:val="0"/>
          <w:numId w:val="78"/>
        </w:numPr>
        <w:spacing w:after="240"/>
        <w:contextualSpacing w:val="0"/>
      </w:pPr>
      <w:r>
        <w:t>The current rules</w:t>
      </w:r>
      <w:r w:rsidR="00AC02F7">
        <w:t xml:space="preserve"> (Schedule 3, clauses 4.7 and 4.16)</w:t>
      </w:r>
      <w:r>
        <w:t xml:space="preserve"> include requirements </w:t>
      </w:r>
      <w:r w:rsidR="004141E9">
        <w:t>for</w:t>
      </w:r>
      <w:r>
        <w:t xml:space="preserve"> data holders to </w:t>
      </w:r>
      <w:r w:rsidR="00D42297">
        <w:t>provide</w:t>
      </w:r>
      <w:r w:rsidR="00193910">
        <w:t xml:space="preserve"> certain </w:t>
      </w:r>
      <w:r w:rsidR="00D42297">
        <w:t>notifications to</w:t>
      </w:r>
      <w:r w:rsidR="006B1F12">
        <w:t xml:space="preserve"> joint account holders </w:t>
      </w:r>
      <w:r>
        <w:t xml:space="preserve">if </w:t>
      </w:r>
      <w:r w:rsidR="008223F2">
        <w:t>a</w:t>
      </w:r>
      <w:r>
        <w:t xml:space="preserve"> joint account holder performs certain data sharing activities. </w:t>
      </w:r>
    </w:p>
    <w:p w14:paraId="0EDC5732" w14:textId="6639E2FB" w:rsidR="00083A90" w:rsidRDefault="00282F73" w:rsidP="00880658">
      <w:pPr>
        <w:pStyle w:val="ListParagraph"/>
        <w:numPr>
          <w:ilvl w:val="0"/>
          <w:numId w:val="78"/>
        </w:numPr>
        <w:spacing w:after="240"/>
        <w:contextualSpacing w:val="0"/>
      </w:pPr>
      <w:r>
        <w:t xml:space="preserve">A data holder is </w:t>
      </w:r>
      <w:r w:rsidR="004141E9">
        <w:t>required to notify the other joint account holders if a joint account holder:</w:t>
      </w:r>
    </w:p>
    <w:p w14:paraId="4D5EF768" w14:textId="0FAFED45" w:rsidR="00003336" w:rsidRDefault="009462DA" w:rsidP="0071690C">
      <w:pPr>
        <w:pStyle w:val="ListParagraph"/>
        <w:numPr>
          <w:ilvl w:val="0"/>
          <w:numId w:val="33"/>
        </w:numPr>
        <w:spacing w:after="240"/>
        <w:ind w:left="714" w:hanging="357"/>
      </w:pPr>
      <w:r>
        <w:t xml:space="preserve">gives, </w:t>
      </w:r>
      <w:proofErr w:type="gramStart"/>
      <w:r>
        <w:t>amends</w:t>
      </w:r>
      <w:proofErr w:type="gramEnd"/>
      <w:r>
        <w:t xml:space="preserve"> </w:t>
      </w:r>
      <w:r w:rsidR="00003336">
        <w:t xml:space="preserve">or withdraws an </w:t>
      </w:r>
      <w:r w:rsidR="00003336" w:rsidRPr="009D2324">
        <w:rPr>
          <w:i/>
          <w:iCs/>
        </w:rPr>
        <w:t>authorisation</w:t>
      </w:r>
      <w:r w:rsidR="00003336">
        <w:t xml:space="preserve"> </w:t>
      </w:r>
      <w:r w:rsidR="0052727E">
        <w:t xml:space="preserve">for a data holder </w:t>
      </w:r>
      <w:r w:rsidR="00003336">
        <w:t>to share</w:t>
      </w:r>
      <w:r w:rsidR="00B00474">
        <w:t xml:space="preserve"> joint account data</w:t>
      </w:r>
      <w:r w:rsidR="0052727E">
        <w:t xml:space="preserve"> with an ADR</w:t>
      </w:r>
      <w:r w:rsidR="008223F2">
        <w:t>, and</w:t>
      </w:r>
    </w:p>
    <w:p w14:paraId="7D6B0F01" w14:textId="64E1994F" w:rsidR="00DD0283" w:rsidRDefault="00DD0283" w:rsidP="0071690C">
      <w:pPr>
        <w:pStyle w:val="ListParagraph"/>
        <w:numPr>
          <w:ilvl w:val="0"/>
          <w:numId w:val="33"/>
        </w:numPr>
        <w:spacing w:after="240"/>
        <w:ind w:left="714" w:hanging="357"/>
      </w:pPr>
      <w:r>
        <w:t xml:space="preserve">gives or removes an </w:t>
      </w:r>
      <w:r w:rsidRPr="009D2324">
        <w:rPr>
          <w:i/>
          <w:iCs/>
        </w:rPr>
        <w:t>approval</w:t>
      </w:r>
      <w:r>
        <w:t xml:space="preserve"> </w:t>
      </w:r>
      <w:r w:rsidR="0052727E">
        <w:t xml:space="preserve">for a data holder </w:t>
      </w:r>
      <w:r>
        <w:t>to share joint account data</w:t>
      </w:r>
      <w:r w:rsidR="00B00474">
        <w:t xml:space="preserve"> with an ADR</w:t>
      </w:r>
      <w:r w:rsidR="006F5501">
        <w:t>.</w:t>
      </w:r>
    </w:p>
    <w:p w14:paraId="07FA4A9B" w14:textId="0F85AA02" w:rsidR="006F5501" w:rsidRDefault="00282F73" w:rsidP="006F5501">
      <w:pPr>
        <w:spacing w:after="240"/>
        <w:ind w:left="357"/>
      </w:pPr>
      <w:r>
        <w:t xml:space="preserve">A data holder is </w:t>
      </w:r>
      <w:r w:rsidR="00BF0530">
        <w:t>also required to notify all joint account holders if an existing authorisation to share</w:t>
      </w:r>
      <w:r w:rsidR="00AD0E56">
        <w:t xml:space="preserve"> </w:t>
      </w:r>
      <w:r w:rsidR="00BF0530">
        <w:t>joint account data expires.</w:t>
      </w:r>
      <w:r w:rsidR="006F5501" w:rsidRPr="006F5501">
        <w:t xml:space="preserve"> </w:t>
      </w:r>
      <w:r w:rsidR="008560FD">
        <w:t>A data holder</w:t>
      </w:r>
      <w:r w:rsidR="007E040D">
        <w:t xml:space="preserve"> is not </w:t>
      </w:r>
      <w:r w:rsidR="00AD0E56">
        <w:t xml:space="preserve">required to notify relevant joint account holders if it considers it necessary to prevent physical </w:t>
      </w:r>
      <w:r w:rsidR="008827C9">
        <w:t>or financial</w:t>
      </w:r>
      <w:r w:rsidR="00AD0E56">
        <w:t xml:space="preserve"> harm or abuse.</w:t>
      </w:r>
      <w:r w:rsidR="006F5501" w:rsidRPr="006F5501">
        <w:t xml:space="preserve"> </w:t>
      </w:r>
    </w:p>
    <w:p w14:paraId="549619DF" w14:textId="36BABB4F" w:rsidR="00AD0E56" w:rsidRDefault="0078369E" w:rsidP="00880658">
      <w:pPr>
        <w:pStyle w:val="ListParagraph"/>
        <w:numPr>
          <w:ilvl w:val="0"/>
          <w:numId w:val="78"/>
        </w:numPr>
        <w:spacing w:after="240"/>
        <w:contextualSpacing w:val="0"/>
      </w:pPr>
      <w:r>
        <w:t xml:space="preserve">A data holder must also notify the other joint account holders if a joint account holder changes their </w:t>
      </w:r>
      <w:r w:rsidR="006F36A7">
        <w:t>data sharing setting</w:t>
      </w:r>
      <w:r w:rsidR="00E9727B">
        <w:t xml:space="preserve"> (shifts between ‘pre-approval’</w:t>
      </w:r>
      <w:r>
        <w:t xml:space="preserve"> or </w:t>
      </w:r>
      <w:r w:rsidR="00E9727B">
        <w:t>‘co-approval’</w:t>
      </w:r>
      <w:r w:rsidR="0083474C">
        <w:t>, where the latter is offered by a data holder</w:t>
      </w:r>
      <w:r w:rsidR="00E9727B">
        <w:t>)</w:t>
      </w:r>
      <w:r>
        <w:t xml:space="preserve"> or </w:t>
      </w:r>
      <w:r w:rsidR="00E9727B">
        <w:t>sets their data</w:t>
      </w:r>
      <w:r>
        <w:t xml:space="preserve"> sharing </w:t>
      </w:r>
      <w:r w:rsidR="00E9727B">
        <w:t>to ‘off’</w:t>
      </w:r>
      <w:r w:rsidR="006F5501">
        <w:t>.</w:t>
      </w:r>
    </w:p>
    <w:p w14:paraId="21EF2999" w14:textId="72581A87" w:rsidR="00574826" w:rsidRDefault="00366826" w:rsidP="00574826">
      <w:pPr>
        <w:pStyle w:val="ListParagraph"/>
        <w:numPr>
          <w:ilvl w:val="0"/>
          <w:numId w:val="78"/>
        </w:numPr>
        <w:spacing w:after="240"/>
        <w:contextualSpacing w:val="0"/>
      </w:pPr>
      <w:r>
        <w:t>W</w:t>
      </w:r>
      <w:r w:rsidR="00CA6F76">
        <w:t>e propose maintaining the notification requirements in the current rules as</w:t>
      </w:r>
      <w:r w:rsidR="0000135C">
        <w:t xml:space="preserve"> we consider they provide</w:t>
      </w:r>
      <w:r w:rsidR="00CA6F76">
        <w:t xml:space="preserve"> an appropriate level of transparency over the actions of other joint account holders. However</w:t>
      </w:r>
      <w:r w:rsidR="007269C5">
        <w:t>,</w:t>
      </w:r>
      <w:r w:rsidR="00CA6F76">
        <w:t xml:space="preserve"> we welcome views on</w:t>
      </w:r>
      <w:r w:rsidR="0000135C">
        <w:t xml:space="preserve"> </w:t>
      </w:r>
      <w:r w:rsidR="00AC02F7">
        <w:t>w</w:t>
      </w:r>
      <w:r w:rsidR="00CA6F76">
        <w:t xml:space="preserve">hether </w:t>
      </w:r>
      <w:r w:rsidR="00AC02F7">
        <w:t>fewer or different notifications</w:t>
      </w:r>
      <w:r w:rsidR="0000135C">
        <w:t xml:space="preserve"> are preferable, and whether any amendments to the content of notifications should </w:t>
      </w:r>
      <w:r w:rsidR="001B0A8E">
        <w:t xml:space="preserve">be </w:t>
      </w:r>
      <w:r w:rsidR="0000135C">
        <w:t xml:space="preserve">considered. </w:t>
      </w:r>
    </w:p>
    <w:p w14:paraId="4F558F8B" w14:textId="313B8022" w:rsidR="00F0009C" w:rsidRDefault="00D736D1" w:rsidP="00A973D5">
      <w:pPr>
        <w:pStyle w:val="Heading2"/>
        <w:contextualSpacing/>
      </w:pPr>
      <w:r>
        <w:t>8</w:t>
      </w:r>
      <w:r w:rsidR="00A973D5">
        <w:t>.</w:t>
      </w:r>
      <w:r w:rsidR="00F0009C">
        <w:t>2 Rules Considerations</w:t>
      </w:r>
    </w:p>
    <w:p w14:paraId="56E1EA7A" w14:textId="4197633E" w:rsidR="00945482" w:rsidRDefault="00945482" w:rsidP="00880658">
      <w:pPr>
        <w:pStyle w:val="ListParagraph"/>
        <w:numPr>
          <w:ilvl w:val="0"/>
          <w:numId w:val="78"/>
        </w:numPr>
        <w:spacing w:after="240"/>
        <w:contextualSpacing w:val="0"/>
      </w:pPr>
      <w:r>
        <w:t xml:space="preserve">The suggested notification requirements are already supported by the current rules, so amendments beyond those discussed at </w:t>
      </w:r>
      <w:r w:rsidR="00E71B83" w:rsidRPr="00E71B83">
        <w:t>5.2</w:t>
      </w:r>
      <w:r>
        <w:t xml:space="preserve"> are likely to be consequential in nature only.</w:t>
      </w:r>
      <w:r w:rsidRPr="00B363BB">
        <w:t xml:space="preserve"> </w:t>
      </w:r>
    </w:p>
    <w:p w14:paraId="6BA55E1E" w14:textId="2CCE553A" w:rsidR="00D2711B" w:rsidRDefault="00D736D1" w:rsidP="00A973D5">
      <w:pPr>
        <w:pStyle w:val="Heading2"/>
        <w:contextualSpacing/>
      </w:pPr>
      <w:r>
        <w:t>8</w:t>
      </w:r>
      <w:r w:rsidR="00A973D5">
        <w:t xml:space="preserve">.3 </w:t>
      </w:r>
      <w:r w:rsidR="00D2711B">
        <w:t>Standards Considerations</w:t>
      </w:r>
    </w:p>
    <w:p w14:paraId="661DFD0F" w14:textId="5E1DC807" w:rsidR="00A9020A" w:rsidRPr="006F4064" w:rsidRDefault="00A9020A" w:rsidP="00880658">
      <w:pPr>
        <w:pStyle w:val="ListParagraph"/>
        <w:numPr>
          <w:ilvl w:val="0"/>
          <w:numId w:val="78"/>
        </w:numPr>
        <w:spacing w:after="240"/>
        <w:contextualSpacing w:val="0"/>
        <w:rPr>
          <w:b/>
          <w:bCs/>
        </w:rPr>
      </w:pPr>
      <w:r>
        <w:t xml:space="preserve">No </w:t>
      </w:r>
      <w:r w:rsidR="002E79BF" w:rsidRPr="007269C5">
        <w:rPr>
          <w:b/>
          <w:bCs/>
        </w:rPr>
        <w:t>technical</w:t>
      </w:r>
      <w:r w:rsidR="002E79BF">
        <w:t xml:space="preserve"> or </w:t>
      </w:r>
      <w:r w:rsidR="002E79BF" w:rsidRPr="007269C5">
        <w:rPr>
          <w:b/>
          <w:bCs/>
        </w:rPr>
        <w:t>consumer experience</w:t>
      </w:r>
      <w:r>
        <w:t xml:space="preserve"> standards changes are anticipated to support this topic beyond those outlined </w:t>
      </w:r>
      <w:r w:rsidRPr="007269C5">
        <w:t xml:space="preserve">in </w:t>
      </w:r>
      <w:r w:rsidR="007269C5" w:rsidRPr="007269C5">
        <w:t>section 9,</w:t>
      </w:r>
      <w:r w:rsidR="007269C5">
        <w:rPr>
          <w:b/>
          <w:bCs/>
        </w:rPr>
        <w:t xml:space="preserve"> Implementation Considerations</w:t>
      </w:r>
      <w:r w:rsidR="007269C5">
        <w:t>.</w:t>
      </w:r>
    </w:p>
    <w:p w14:paraId="51FCE5D6" w14:textId="13AFE0BA" w:rsidR="00B16017" w:rsidRDefault="00B16017" w:rsidP="00880658">
      <w:pPr>
        <w:pStyle w:val="ListParagraph"/>
        <w:numPr>
          <w:ilvl w:val="0"/>
          <w:numId w:val="78"/>
        </w:numPr>
        <w:spacing w:after="240"/>
        <w:contextualSpacing w:val="0"/>
      </w:pPr>
      <w:r>
        <w:t xml:space="preserve">No </w:t>
      </w:r>
      <w:r w:rsidR="007269C5" w:rsidRPr="007269C5">
        <w:rPr>
          <w:b/>
          <w:bCs/>
        </w:rPr>
        <w:t>r</w:t>
      </w:r>
      <w:r w:rsidRPr="007269C5">
        <w:rPr>
          <w:b/>
          <w:bCs/>
        </w:rPr>
        <w:t>egister standards</w:t>
      </w:r>
      <w:r>
        <w:t xml:space="preserve"> impacts are anticipated</w:t>
      </w:r>
      <w:r w:rsidR="005A2F23">
        <w:t xml:space="preserve"> to support the proposed notification requirements</w:t>
      </w:r>
      <w:r>
        <w:t>.</w:t>
      </w:r>
    </w:p>
    <w:tbl>
      <w:tblPr>
        <w:tblStyle w:val="TableGrid"/>
        <w:tblW w:w="0" w:type="auto"/>
        <w:tblLook w:val="04A0" w:firstRow="1" w:lastRow="0" w:firstColumn="1" w:lastColumn="0" w:noHBand="0" w:noVBand="1"/>
      </w:tblPr>
      <w:tblGrid>
        <w:gridCol w:w="9016"/>
      </w:tblGrid>
      <w:tr w:rsidR="00B16017" w14:paraId="4F457DBD" w14:textId="77777777" w:rsidTr="00B16017">
        <w:tc>
          <w:tcPr>
            <w:tcW w:w="9016" w:type="dxa"/>
            <w:tcBorders>
              <w:top w:val="single" w:sz="4" w:space="0" w:color="auto"/>
              <w:left w:val="single" w:sz="4" w:space="0" w:color="auto"/>
              <w:bottom w:val="single" w:sz="4" w:space="0" w:color="auto"/>
              <w:right w:val="single" w:sz="4" w:space="0" w:color="auto"/>
            </w:tcBorders>
            <w:hideMark/>
          </w:tcPr>
          <w:p w14:paraId="6E0A26FE" w14:textId="77777777" w:rsidR="00B16017" w:rsidRDefault="00B16017">
            <w:pPr>
              <w:pStyle w:val="OutlineNumbered1"/>
              <w:numPr>
                <w:ilvl w:val="0"/>
                <w:numId w:val="0"/>
              </w:numPr>
              <w:tabs>
                <w:tab w:val="left" w:pos="720"/>
              </w:tabs>
              <w:spacing w:after="240"/>
              <w:ind w:left="522" w:hanging="522"/>
              <w:rPr>
                <w:b/>
                <w:bCs/>
              </w:rPr>
            </w:pPr>
            <w:r>
              <w:rPr>
                <w:b/>
                <w:bCs/>
              </w:rPr>
              <w:t>Questions</w:t>
            </w:r>
          </w:p>
          <w:p w14:paraId="37862DB8" w14:textId="5A0DEFC9" w:rsidR="00225A9F" w:rsidRDefault="00225A9F" w:rsidP="00682972">
            <w:pPr>
              <w:pStyle w:val="OutlineNumbered1"/>
              <w:numPr>
                <w:ilvl w:val="0"/>
                <w:numId w:val="75"/>
              </w:numPr>
              <w:spacing w:after="240"/>
            </w:pPr>
            <w:r>
              <w:t>Do you agree with the proposal to retain current notification requirements? Why/why not?</w:t>
            </w:r>
          </w:p>
          <w:p w14:paraId="31CCEF21" w14:textId="07ECB9B9" w:rsidR="00225A9F" w:rsidRDefault="00225A9F" w:rsidP="00682972">
            <w:pPr>
              <w:pStyle w:val="OutlineNumbered1"/>
              <w:numPr>
                <w:ilvl w:val="0"/>
                <w:numId w:val="75"/>
              </w:numPr>
              <w:spacing w:after="240"/>
            </w:pPr>
            <w:r>
              <w:t>Do you agree with the assessment of rules considerations? Why/why not?</w:t>
            </w:r>
          </w:p>
          <w:p w14:paraId="1686DFD4" w14:textId="2198D34F" w:rsidR="00B16017" w:rsidRDefault="00B16017" w:rsidP="00682972">
            <w:pPr>
              <w:pStyle w:val="OutlineNumbered1"/>
              <w:numPr>
                <w:ilvl w:val="0"/>
                <w:numId w:val="75"/>
              </w:numPr>
              <w:spacing w:after="240"/>
            </w:pPr>
            <w:r>
              <w:t>Do you agree with this assessment of standards considerations? Why/why not?</w:t>
            </w:r>
          </w:p>
        </w:tc>
      </w:tr>
    </w:tbl>
    <w:p w14:paraId="16CF5494" w14:textId="7FB088C9" w:rsidR="00DC284D" w:rsidRDefault="00F0009C" w:rsidP="00D736D1">
      <w:pPr>
        <w:pStyle w:val="Heading1"/>
        <w:numPr>
          <w:ilvl w:val="0"/>
          <w:numId w:val="83"/>
        </w:numPr>
        <w:contextualSpacing/>
      </w:pPr>
      <w:r>
        <w:t xml:space="preserve">Implementation Considerations </w:t>
      </w:r>
    </w:p>
    <w:p w14:paraId="5557875B" w14:textId="77777777" w:rsidR="008701CE" w:rsidRDefault="008701CE" w:rsidP="00880658">
      <w:pPr>
        <w:pStyle w:val="ListParagraph"/>
        <w:numPr>
          <w:ilvl w:val="0"/>
          <w:numId w:val="78"/>
        </w:numPr>
        <w:spacing w:after="240"/>
        <w:contextualSpacing w:val="0"/>
      </w:pPr>
      <w:r>
        <w:t>We consider that the implementation requirements for an ‘opt-out’ approach are relatively consistent with the current ‘opt-in’ approach. That is, implementation undertaken to date by data holders remains appropriate, however the initial default setting would reflect ‘on’ and ‘pre-approval’ under the framing of the current rules. We consider this to be an input amendment, rather than a major implementation shift.</w:t>
      </w:r>
    </w:p>
    <w:p w14:paraId="17CBEAB9" w14:textId="466C444C" w:rsidR="00E75E3E" w:rsidRDefault="00E75E3E" w:rsidP="00880658">
      <w:pPr>
        <w:pStyle w:val="ListParagraph"/>
        <w:numPr>
          <w:ilvl w:val="0"/>
          <w:numId w:val="78"/>
        </w:numPr>
        <w:spacing w:after="240"/>
        <w:contextualSpacing w:val="0"/>
      </w:pPr>
      <w:r>
        <w:t>Additionally, the implementation requirements for allowing consumers to change the</w:t>
      </w:r>
      <w:r w:rsidR="00D31382">
        <w:t>ir</w:t>
      </w:r>
      <w:r>
        <w:t xml:space="preserve"> settings for </w:t>
      </w:r>
      <w:r w:rsidR="00D31382">
        <w:t>joint account sharing, and notification requirements discussed in this paper</w:t>
      </w:r>
      <w:r>
        <w:t xml:space="preserve"> largely align with the requirements in the current rules.</w:t>
      </w:r>
    </w:p>
    <w:p w14:paraId="19F09550" w14:textId="22924ABA" w:rsidR="008701CE" w:rsidRDefault="008701CE" w:rsidP="00880658">
      <w:pPr>
        <w:pStyle w:val="ListParagraph"/>
        <w:numPr>
          <w:ilvl w:val="0"/>
          <w:numId w:val="78"/>
        </w:numPr>
        <w:spacing w:after="240"/>
        <w:contextualSpacing w:val="0"/>
      </w:pPr>
      <w:r>
        <w:t xml:space="preserve">Given any shift to an ‘opt-out’ approach is unlikely to significantly interrupt implementation efforts to date, we would propose a short delay to the timelines for implementation of joint accounts from the current </w:t>
      </w:r>
      <w:r>
        <w:rPr>
          <w:b/>
          <w:bCs/>
        </w:rPr>
        <w:t>1 November 2021</w:t>
      </w:r>
      <w:r>
        <w:t xml:space="preserve"> to a date within the first quarter of 2022. This will ensure CDR roll-out continues as an appropriate pace to support uptake and value for prospective </w:t>
      </w:r>
      <w:r w:rsidR="0007721E">
        <w:t>ADRs</w:t>
      </w:r>
      <w:r>
        <w:t>. We would welcome feedback on the earliest feasible implementation timeframes.</w:t>
      </w:r>
    </w:p>
    <w:p w14:paraId="3D9CDD14" w14:textId="196EE5F4" w:rsidR="008701CE" w:rsidRDefault="008701CE" w:rsidP="00880658">
      <w:pPr>
        <w:pStyle w:val="ListParagraph"/>
        <w:numPr>
          <w:ilvl w:val="0"/>
          <w:numId w:val="78"/>
        </w:numPr>
        <w:spacing w:after="240"/>
        <w:contextualSpacing w:val="0"/>
      </w:pPr>
      <w:r>
        <w:t xml:space="preserve">The implementation considerations and </w:t>
      </w:r>
      <w:r w:rsidRPr="0007721E">
        <w:t>timeframes may also depend on the default setting chosen for complex joint accounts</w:t>
      </w:r>
      <w:r w:rsidR="002C079B" w:rsidRPr="0007721E">
        <w:t xml:space="preserve"> (as discussed in </w:t>
      </w:r>
      <w:r w:rsidR="00E75E3E" w:rsidRPr="0007721E">
        <w:t xml:space="preserve">section </w:t>
      </w:r>
      <w:r w:rsidR="00EF5BDF" w:rsidRPr="0007721E">
        <w:t>6</w:t>
      </w:r>
      <w:r w:rsidR="00E75E3E" w:rsidRPr="0007721E">
        <w:t>)</w:t>
      </w:r>
      <w:r w:rsidRPr="0007721E">
        <w:t>.</w:t>
      </w:r>
    </w:p>
    <w:p w14:paraId="45DA18E3" w14:textId="77777777" w:rsidR="008701CE" w:rsidRPr="00F27BC7" w:rsidRDefault="008701CE" w:rsidP="008701CE">
      <w:pPr>
        <w:pStyle w:val="Heading3"/>
        <w:spacing w:before="0" w:after="240"/>
      </w:pPr>
      <w:r w:rsidRPr="00F27BC7">
        <w:t xml:space="preserve">Option </w:t>
      </w:r>
      <w:r>
        <w:t>1</w:t>
      </w:r>
      <w:r w:rsidRPr="00F27BC7">
        <w:t xml:space="preserve">: mirror current authorisations to transact on the account </w:t>
      </w:r>
    </w:p>
    <w:p w14:paraId="5AF9A763" w14:textId="77777777" w:rsidR="008701CE" w:rsidRDefault="008701CE" w:rsidP="00880658">
      <w:pPr>
        <w:pStyle w:val="ListParagraph"/>
        <w:numPr>
          <w:ilvl w:val="0"/>
          <w:numId w:val="78"/>
        </w:numPr>
        <w:spacing w:after="240"/>
        <w:contextualSpacing w:val="0"/>
      </w:pPr>
      <w:r w:rsidRPr="0072465C">
        <w:t>In</w:t>
      </w:r>
      <w:r>
        <w:t>itial analysis suggests that a change to Option 1 will be a new initial input as opposed to a build change. DHs with active joint account implementations would need to ensure that data sharing ability is ‘on’ by default and follows existing authorisations for transactions.</w:t>
      </w:r>
    </w:p>
    <w:p w14:paraId="36976286" w14:textId="77777777" w:rsidR="008701CE" w:rsidRDefault="008701CE" w:rsidP="00880658">
      <w:pPr>
        <w:pStyle w:val="ListParagraph"/>
        <w:numPr>
          <w:ilvl w:val="0"/>
          <w:numId w:val="78"/>
        </w:numPr>
        <w:spacing w:after="240"/>
        <w:contextualSpacing w:val="0"/>
      </w:pPr>
      <w:r>
        <w:t>For joint accounts that are already enabled as part of live implementations, analysis would need to occur to understand if any change resulted in:</w:t>
      </w:r>
    </w:p>
    <w:p w14:paraId="68AB752F" w14:textId="77777777" w:rsidR="008701CE" w:rsidRDefault="008701CE" w:rsidP="00D736D1">
      <w:pPr>
        <w:pStyle w:val="ListParagraph"/>
        <w:numPr>
          <w:ilvl w:val="0"/>
          <w:numId w:val="76"/>
        </w:numPr>
        <w:spacing w:after="240"/>
        <w:contextualSpacing w:val="0"/>
      </w:pPr>
      <w:r>
        <w:t>The introduction of co-approval for already enabled joint accounts with multiple approval authorisations, or</w:t>
      </w:r>
    </w:p>
    <w:p w14:paraId="14BB895B" w14:textId="77777777" w:rsidR="008701CE" w:rsidRDefault="008701CE" w:rsidP="00D736D1">
      <w:pPr>
        <w:pStyle w:val="ListParagraph"/>
        <w:numPr>
          <w:ilvl w:val="0"/>
          <w:numId w:val="76"/>
        </w:numPr>
        <w:spacing w:after="240"/>
        <w:contextualSpacing w:val="0"/>
      </w:pPr>
      <w:r>
        <w:t>A distinction between sharing settings for newly enabled joint accounts with multiple approval settings, and existing pre-approval settings for joint accounts that have already been enabled as per v1 rules,</w:t>
      </w:r>
    </w:p>
    <w:p w14:paraId="79913681" w14:textId="77777777" w:rsidR="008701CE" w:rsidRDefault="008701CE" w:rsidP="00D736D1">
      <w:pPr>
        <w:pStyle w:val="ListParagraph"/>
        <w:numPr>
          <w:ilvl w:val="0"/>
          <w:numId w:val="76"/>
        </w:numPr>
        <w:spacing w:after="240"/>
        <w:contextualSpacing w:val="0"/>
      </w:pPr>
      <w:r>
        <w:t>Any appropriate consumer messaging to highlight a transition between sharing models.</w:t>
      </w:r>
    </w:p>
    <w:p w14:paraId="52E4F9E2" w14:textId="77777777" w:rsidR="008701CE" w:rsidRDefault="008701CE" w:rsidP="00880658">
      <w:pPr>
        <w:pStyle w:val="ListParagraph"/>
        <w:numPr>
          <w:ilvl w:val="0"/>
          <w:numId w:val="78"/>
        </w:numPr>
        <w:spacing w:after="240"/>
        <w:contextualSpacing w:val="0"/>
      </w:pPr>
      <w:r>
        <w:t>Option 1 will require data holders to implement co-approval, a requirement currently optional under the rules and standards. One consequence of requiring co-approval is that it will result in delays in ADRs receiving the full set of available data. That is, it will not be possible for data sharing to be instantaneous under a co-approval disclosure option as ‘approval’ will be required from multiple parties before joint account data may be shared. Seeking approval from multiple parties will inevitably introduce timing delays to the data sharing process.</w:t>
      </w:r>
    </w:p>
    <w:p w14:paraId="3553393B" w14:textId="0FB11037" w:rsidR="008701CE" w:rsidRDefault="008701CE" w:rsidP="00880658">
      <w:pPr>
        <w:pStyle w:val="ListParagraph"/>
        <w:numPr>
          <w:ilvl w:val="0"/>
          <w:numId w:val="78"/>
        </w:numPr>
        <w:spacing w:after="240"/>
        <w:contextualSpacing w:val="0"/>
      </w:pPr>
      <w:r>
        <w:t xml:space="preserve">However, co-approval-type solutions and preferences may need to be accommodated in other CDR contexts, regardless of the position taken on joint accounts. For example, </w:t>
      </w:r>
      <w:r w:rsidR="00E75E3E">
        <w:t xml:space="preserve">future </w:t>
      </w:r>
      <w:r>
        <w:t xml:space="preserve">action-initiation use cases </w:t>
      </w:r>
      <w:r w:rsidR="00E75E3E">
        <w:t xml:space="preserve">such as payments </w:t>
      </w:r>
      <w:r>
        <w:t xml:space="preserve">may </w:t>
      </w:r>
      <w:r w:rsidR="00E75E3E">
        <w:t xml:space="preserve">still </w:t>
      </w:r>
      <w:r>
        <w:t>require co-approval solutions. Data sharing delays may therefore be a common occurrence in the CDR regime and joint account implementation solutions may create efficiencies as the CDR expands.</w:t>
      </w:r>
    </w:p>
    <w:p w14:paraId="54C75603" w14:textId="77777777" w:rsidR="008701CE" w:rsidRPr="00F27BC7" w:rsidRDefault="008701CE" w:rsidP="008701CE">
      <w:pPr>
        <w:pStyle w:val="Heading3"/>
        <w:spacing w:before="0" w:after="240"/>
      </w:pPr>
      <w:r w:rsidRPr="00F27BC7">
        <w:t xml:space="preserve">Option </w:t>
      </w:r>
      <w:r>
        <w:t>2</w:t>
      </w:r>
      <w:r w:rsidRPr="00F27BC7">
        <w:t>: require ‘opt-in’</w:t>
      </w:r>
      <w:r>
        <w:t xml:space="preserve"> for complex joint accounts</w:t>
      </w:r>
    </w:p>
    <w:p w14:paraId="7E3B9929" w14:textId="77777777" w:rsidR="008701CE" w:rsidRPr="00FE6B98" w:rsidRDefault="008701CE" w:rsidP="00880658">
      <w:pPr>
        <w:pStyle w:val="ListParagraph"/>
        <w:numPr>
          <w:ilvl w:val="0"/>
          <w:numId w:val="78"/>
        </w:numPr>
        <w:spacing w:after="240"/>
        <w:contextualSpacing w:val="0"/>
      </w:pPr>
      <w:r>
        <w:t>Option 2 would result in implementation requirements considered analogous to the existing opt-in model for joint accounts, though in Option 2 these requirements would only apply for consumers with complex joint accounts.</w:t>
      </w:r>
    </w:p>
    <w:p w14:paraId="4F6FC58F" w14:textId="77777777" w:rsidR="008701CE" w:rsidRDefault="008701CE" w:rsidP="00880658">
      <w:pPr>
        <w:pStyle w:val="ListParagraph"/>
        <w:numPr>
          <w:ilvl w:val="0"/>
          <w:numId w:val="78"/>
        </w:numPr>
        <w:spacing w:after="240"/>
        <w:contextualSpacing w:val="0"/>
      </w:pPr>
      <w:r>
        <w:t>While Option 2 would require opt-in functionality for complex joint accounts, it would not require co-approval and as such is considered to result in lower implementation time and cost when compared with Option 1.</w:t>
      </w:r>
    </w:p>
    <w:p w14:paraId="0DFAEEF8" w14:textId="77777777" w:rsidR="008701CE" w:rsidRPr="00FE6B98" w:rsidRDefault="008701CE" w:rsidP="00880658">
      <w:pPr>
        <w:pStyle w:val="ListParagraph"/>
        <w:numPr>
          <w:ilvl w:val="0"/>
          <w:numId w:val="78"/>
        </w:numPr>
        <w:spacing w:after="240"/>
        <w:contextualSpacing w:val="0"/>
      </w:pPr>
      <w:proofErr w:type="gramStart"/>
      <w:r>
        <w:t>Similar to</w:t>
      </w:r>
      <w:proofErr w:type="gramEnd"/>
      <w:r>
        <w:t xml:space="preserve"> Option 1, analysis for live implementations would need to occur to determine how already enabled joint accounts are dealt with as part of this transition.</w:t>
      </w:r>
    </w:p>
    <w:p w14:paraId="6EAE68C6" w14:textId="77777777" w:rsidR="008701CE" w:rsidRPr="00F27BC7" w:rsidRDefault="008701CE" w:rsidP="008701CE">
      <w:pPr>
        <w:pStyle w:val="Heading3"/>
        <w:spacing w:before="0" w:after="240"/>
      </w:pPr>
      <w:r w:rsidRPr="00F27BC7">
        <w:t xml:space="preserve">Option </w:t>
      </w:r>
      <w:r>
        <w:t>3</w:t>
      </w:r>
      <w:r w:rsidRPr="00F27BC7">
        <w:t>:</w:t>
      </w:r>
      <w:r w:rsidRPr="00C60B60">
        <w:t xml:space="preserve"> </w:t>
      </w:r>
      <w:r>
        <w:t>apply the ‘opt-out’ setting to complex joint accounts</w:t>
      </w:r>
    </w:p>
    <w:p w14:paraId="33F6551D" w14:textId="5ED92156" w:rsidR="003D68A9" w:rsidRDefault="008701CE" w:rsidP="00880658">
      <w:pPr>
        <w:pStyle w:val="ListParagraph"/>
        <w:numPr>
          <w:ilvl w:val="0"/>
          <w:numId w:val="78"/>
        </w:numPr>
        <w:spacing w:after="240"/>
        <w:contextualSpacing w:val="0"/>
      </w:pPr>
      <w:proofErr w:type="gramStart"/>
      <w:r>
        <w:t>Similar to</w:t>
      </w:r>
      <w:proofErr w:type="gramEnd"/>
      <w:r>
        <w:t xml:space="preserve"> Option 1, Option 3 is considered to be an input amendment as opposed to a build change. However, Option 3 is considered to result in lower implementation time and cost as it would not require co-approval or opt-in functionality to be implemented for joint accounts. </w:t>
      </w:r>
    </w:p>
    <w:p w14:paraId="7FCA1F2F" w14:textId="0C2C03A5" w:rsidR="008701CE" w:rsidRDefault="008701CE" w:rsidP="00880658">
      <w:pPr>
        <w:pStyle w:val="ListParagraph"/>
        <w:numPr>
          <w:ilvl w:val="0"/>
          <w:numId w:val="78"/>
        </w:numPr>
        <w:spacing w:after="240"/>
        <w:contextualSpacing w:val="0"/>
      </w:pPr>
      <w:r>
        <w:t>Option 3 is not expected to result in the same extent of transition measures for live implementations with already enabled joint accounts.</w:t>
      </w:r>
    </w:p>
    <w:p w14:paraId="205E95AB" w14:textId="28E958F1" w:rsidR="00E75E3E" w:rsidRDefault="00E75E3E" w:rsidP="008701CE"/>
    <w:tbl>
      <w:tblPr>
        <w:tblStyle w:val="TableGrid"/>
        <w:tblW w:w="0" w:type="auto"/>
        <w:tblLook w:val="04A0" w:firstRow="1" w:lastRow="0" w:firstColumn="1" w:lastColumn="0" w:noHBand="0" w:noVBand="1"/>
      </w:tblPr>
      <w:tblGrid>
        <w:gridCol w:w="9016"/>
      </w:tblGrid>
      <w:tr w:rsidR="00E75E3E" w14:paraId="11E97821" w14:textId="77777777" w:rsidTr="00D31382">
        <w:tc>
          <w:tcPr>
            <w:tcW w:w="9016" w:type="dxa"/>
            <w:tcBorders>
              <w:top w:val="single" w:sz="4" w:space="0" w:color="auto"/>
              <w:left w:val="single" w:sz="4" w:space="0" w:color="auto"/>
              <w:bottom w:val="single" w:sz="4" w:space="0" w:color="auto"/>
              <w:right w:val="single" w:sz="4" w:space="0" w:color="auto"/>
            </w:tcBorders>
            <w:hideMark/>
          </w:tcPr>
          <w:p w14:paraId="5B4FAE54" w14:textId="77777777" w:rsidR="00E75E3E" w:rsidRDefault="00E75E3E" w:rsidP="00D31382">
            <w:pPr>
              <w:pStyle w:val="OutlineNumbered1"/>
              <w:numPr>
                <w:ilvl w:val="0"/>
                <w:numId w:val="0"/>
              </w:numPr>
              <w:tabs>
                <w:tab w:val="left" w:pos="720"/>
              </w:tabs>
              <w:spacing w:after="240"/>
              <w:ind w:left="522" w:hanging="522"/>
              <w:rPr>
                <w:b/>
                <w:bCs/>
              </w:rPr>
            </w:pPr>
            <w:r>
              <w:rPr>
                <w:b/>
                <w:bCs/>
              </w:rPr>
              <w:t>Questions</w:t>
            </w:r>
          </w:p>
          <w:p w14:paraId="1ADFAC80" w14:textId="2670B3A5" w:rsidR="00E75E3E" w:rsidRDefault="00E75E3E" w:rsidP="00D736D1">
            <w:pPr>
              <w:pStyle w:val="OutlineNumbered1"/>
              <w:numPr>
                <w:ilvl w:val="0"/>
                <w:numId w:val="75"/>
              </w:numPr>
              <w:spacing w:after="240"/>
            </w:pPr>
            <w:r>
              <w:t>Do you agree with this assessment of the implementation considerations? Why/why not?</w:t>
            </w:r>
          </w:p>
        </w:tc>
      </w:tr>
    </w:tbl>
    <w:p w14:paraId="3F20DBDA" w14:textId="17F73074" w:rsidR="00DC284D" w:rsidRPr="007C7AA1" w:rsidRDefault="00DC284D" w:rsidP="00423314">
      <w:pPr>
        <w:spacing w:after="160"/>
      </w:pPr>
    </w:p>
    <w:sectPr w:rsidR="00DC284D" w:rsidRPr="007C7AA1" w:rsidSect="00926044">
      <w:footerReference w:type="default" r:id="rId4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D56F8" w14:textId="77777777" w:rsidR="00E3002F" w:rsidRDefault="00E3002F" w:rsidP="009C6A3E">
      <w:pPr>
        <w:spacing w:line="240" w:lineRule="auto"/>
      </w:pPr>
      <w:r>
        <w:separator/>
      </w:r>
    </w:p>
  </w:endnote>
  <w:endnote w:type="continuationSeparator" w:id="0">
    <w:p w14:paraId="6810D8D8" w14:textId="77777777" w:rsidR="00E3002F" w:rsidRDefault="00E3002F" w:rsidP="009C6A3E">
      <w:pPr>
        <w:spacing w:line="240" w:lineRule="auto"/>
      </w:pPr>
      <w:r>
        <w:continuationSeparator/>
      </w:r>
    </w:p>
  </w:endnote>
  <w:endnote w:type="continuationNotice" w:id="1">
    <w:p w14:paraId="7DC6D586" w14:textId="77777777" w:rsidR="00E3002F" w:rsidRDefault="00E300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085185"/>
      <w:docPartObj>
        <w:docPartGallery w:val="Page Numbers (Bottom of Page)"/>
        <w:docPartUnique/>
      </w:docPartObj>
    </w:sdtPr>
    <w:sdtEndPr>
      <w:rPr>
        <w:color w:val="7F7F7F" w:themeColor="background1" w:themeShade="7F"/>
        <w:spacing w:val="60"/>
        <w:sz w:val="16"/>
        <w:szCs w:val="16"/>
      </w:rPr>
    </w:sdtEndPr>
    <w:sdtContent>
      <w:p w14:paraId="71BC885F" w14:textId="0783D25D" w:rsidR="00CA615B" w:rsidRPr="00F9605F" w:rsidRDefault="00CA615B" w:rsidP="00F9605F">
        <w:pPr>
          <w:pStyle w:val="Footer"/>
          <w:pBdr>
            <w:top w:val="single" w:sz="4" w:space="1" w:color="D9D9D9" w:themeColor="background1" w:themeShade="D9"/>
          </w:pBdr>
          <w:jc w:val="right"/>
          <w:rPr>
            <w:sz w:val="16"/>
            <w:szCs w:val="16"/>
          </w:rPr>
        </w:pPr>
        <w:r w:rsidRPr="009A5E56">
          <w:rPr>
            <w:sz w:val="16"/>
            <w:szCs w:val="16"/>
          </w:rPr>
          <w:fldChar w:fldCharType="begin"/>
        </w:r>
        <w:r w:rsidRPr="009A5E56">
          <w:rPr>
            <w:sz w:val="16"/>
            <w:szCs w:val="16"/>
          </w:rPr>
          <w:instrText xml:space="preserve"> PAGE   \* MERGEFORMAT </w:instrText>
        </w:r>
        <w:r w:rsidRPr="009A5E56">
          <w:rPr>
            <w:sz w:val="16"/>
            <w:szCs w:val="16"/>
          </w:rPr>
          <w:fldChar w:fldCharType="separate"/>
        </w:r>
        <w:r>
          <w:rPr>
            <w:noProof/>
            <w:sz w:val="16"/>
            <w:szCs w:val="16"/>
          </w:rPr>
          <w:t>19</w:t>
        </w:r>
        <w:r w:rsidRPr="009A5E56">
          <w:rPr>
            <w:noProof/>
            <w:sz w:val="16"/>
            <w:szCs w:val="16"/>
          </w:rPr>
          <w:fldChar w:fldCharType="end"/>
        </w:r>
        <w:r w:rsidRPr="009A5E56">
          <w:rPr>
            <w:sz w:val="16"/>
            <w:szCs w:val="16"/>
          </w:rPr>
          <w:t xml:space="preserve"> | </w:t>
        </w:r>
        <w:r w:rsidRPr="009A5E56">
          <w:rPr>
            <w:color w:val="7F7F7F" w:themeColor="background1" w:themeShade="7F"/>
            <w:spacing w:val="60"/>
            <w:sz w:val="16"/>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955E7" w14:textId="77777777" w:rsidR="00E3002F" w:rsidRDefault="00E3002F" w:rsidP="009C6A3E">
      <w:pPr>
        <w:spacing w:line="240" w:lineRule="auto"/>
      </w:pPr>
      <w:r>
        <w:separator/>
      </w:r>
    </w:p>
  </w:footnote>
  <w:footnote w:type="continuationSeparator" w:id="0">
    <w:p w14:paraId="4E51564E" w14:textId="77777777" w:rsidR="00E3002F" w:rsidRDefault="00E3002F" w:rsidP="009C6A3E">
      <w:pPr>
        <w:spacing w:line="240" w:lineRule="auto"/>
      </w:pPr>
      <w:r>
        <w:continuationSeparator/>
      </w:r>
    </w:p>
  </w:footnote>
  <w:footnote w:type="continuationNotice" w:id="1">
    <w:p w14:paraId="49C06FF2" w14:textId="77777777" w:rsidR="00E3002F" w:rsidRDefault="00E3002F">
      <w:pPr>
        <w:spacing w:line="240" w:lineRule="auto"/>
      </w:pPr>
    </w:p>
  </w:footnote>
  <w:footnote w:id="2">
    <w:p w14:paraId="366E4B32" w14:textId="77777777" w:rsidR="00CA615B" w:rsidRDefault="00CA615B" w:rsidP="00014E9B">
      <w:pPr>
        <w:pStyle w:val="FootnoteText"/>
      </w:pPr>
      <w:r>
        <w:rPr>
          <w:rStyle w:val="FootnoteReference"/>
        </w:rPr>
        <w:footnoteRef/>
      </w:r>
      <w:r>
        <w:t xml:space="preserve"> The rules</w:t>
      </w:r>
      <w:r w:rsidDel="00573A4C">
        <w:t xml:space="preserve"> </w:t>
      </w:r>
      <w:r>
        <w:t>provide that a consumer can only ever share their own customer data; customer data of the other account holder(s) is never sharable data (clause 3.2(3)(b)). An exception to this prohibition is where a person is acting under a power of attorney on behalf of a CDR consumer.</w:t>
      </w:r>
    </w:p>
  </w:footnote>
  <w:footnote w:id="3">
    <w:p w14:paraId="69F76D81" w14:textId="4B2758E8" w:rsidR="00CA615B" w:rsidRDefault="00CA615B">
      <w:pPr>
        <w:pStyle w:val="FootnoteText"/>
      </w:pPr>
      <w:r>
        <w:rPr>
          <w:rStyle w:val="FootnoteReference"/>
        </w:rPr>
        <w:footnoteRef/>
      </w:r>
      <w:r>
        <w:t xml:space="preserve"> The term ‘transact’ requires sector-specific interpretation. Defining ‘transact’ in a sector would form part of normal sector-introduction consultation processes if required.</w:t>
      </w:r>
    </w:p>
  </w:footnote>
  <w:footnote w:id="4">
    <w:p w14:paraId="70367EDD" w14:textId="5349CD3C" w:rsidR="00CA615B" w:rsidRDefault="00CA615B">
      <w:pPr>
        <w:pStyle w:val="FootnoteText"/>
      </w:pPr>
      <w:r>
        <w:rPr>
          <w:rStyle w:val="FootnoteReference"/>
        </w:rPr>
        <w:footnoteRef/>
      </w:r>
      <w:r>
        <w:t xml:space="preserve"> Including Joint Accounts where the account holders can make withdrawals. See the Australian Banking Association Banking Code of Practice, 1 March 2020, paragraphs 138-140.</w:t>
      </w:r>
    </w:p>
  </w:footnote>
  <w:footnote w:id="5">
    <w:p w14:paraId="41048C41" w14:textId="77777777" w:rsidR="00CA615B" w:rsidRDefault="00CA615B" w:rsidP="004E69C6">
      <w:pPr>
        <w:pStyle w:val="FootnoteText"/>
      </w:pPr>
      <w:r>
        <w:rPr>
          <w:rStyle w:val="FootnoteReference"/>
        </w:rPr>
        <w:footnoteRef/>
      </w:r>
      <w:r>
        <w:t xml:space="preserve"> See clause 4.10 of Schedule 3 of the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3C69"/>
    <w:multiLevelType w:val="multilevel"/>
    <w:tmpl w:val="6D280304"/>
    <w:lvl w:ilvl="0">
      <w:start w:val="9"/>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F4130"/>
    <w:multiLevelType w:val="multilevel"/>
    <w:tmpl w:val="C794F274"/>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4A6FDB"/>
    <w:multiLevelType w:val="hybridMultilevel"/>
    <w:tmpl w:val="E77E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35A2C"/>
    <w:multiLevelType w:val="multilevel"/>
    <w:tmpl w:val="CE7046CA"/>
    <w:lvl w:ilvl="0">
      <w:start w:val="3"/>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032034"/>
    <w:multiLevelType w:val="hybridMultilevel"/>
    <w:tmpl w:val="3F4E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AF4C2E"/>
    <w:multiLevelType w:val="multilevel"/>
    <w:tmpl w:val="EE70D86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0CC22DFE"/>
    <w:multiLevelType w:val="multilevel"/>
    <w:tmpl w:val="4A40DD0E"/>
    <w:lvl w:ilvl="0">
      <w:start w:val="3"/>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46B13"/>
    <w:multiLevelType w:val="hybridMultilevel"/>
    <w:tmpl w:val="A2EA85DC"/>
    <w:lvl w:ilvl="0" w:tplc="0C090001">
      <w:start w:val="1"/>
      <w:numFmt w:val="bullet"/>
      <w:lvlText w:val=""/>
      <w:lvlJc w:val="left"/>
      <w:pPr>
        <w:ind w:left="720" w:hanging="360"/>
      </w:pPr>
      <w:rPr>
        <w:rFonts w:ascii="Symbol" w:hAnsi="Symbol"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C03933"/>
    <w:multiLevelType w:val="hybridMultilevel"/>
    <w:tmpl w:val="4482C68E"/>
    <w:lvl w:ilvl="0" w:tplc="B88697B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AB4809"/>
    <w:multiLevelType w:val="multilevel"/>
    <w:tmpl w:val="A8C0827E"/>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924702"/>
    <w:multiLevelType w:val="multilevel"/>
    <w:tmpl w:val="BFAEF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1B7CB7"/>
    <w:multiLevelType w:val="hybridMultilevel"/>
    <w:tmpl w:val="A3A6A80E"/>
    <w:lvl w:ilvl="0" w:tplc="946A444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4F3655C"/>
    <w:multiLevelType w:val="hybridMultilevel"/>
    <w:tmpl w:val="CA827C6C"/>
    <w:lvl w:ilvl="0" w:tplc="D3142ED8">
      <w:start w:val="1"/>
      <w:numFmt w:val="lowerLetter"/>
      <w:lvlText w:val="%1."/>
      <w:lvlJc w:val="right"/>
      <w:pPr>
        <w:ind w:left="2339" w:hanging="360"/>
      </w:pPr>
      <w:rPr>
        <w:rFonts w:asciiTheme="minorHAnsi" w:eastAsiaTheme="minorHAnsi" w:hAnsiTheme="minorHAnsi" w:cstheme="minorBidi"/>
      </w:rPr>
    </w:lvl>
    <w:lvl w:ilvl="1" w:tplc="0C090019" w:tentative="1">
      <w:start w:val="1"/>
      <w:numFmt w:val="lowerLetter"/>
      <w:lvlText w:val="%2."/>
      <w:lvlJc w:val="left"/>
      <w:pPr>
        <w:ind w:left="3059" w:hanging="360"/>
      </w:pPr>
    </w:lvl>
    <w:lvl w:ilvl="2" w:tplc="0C09001B" w:tentative="1">
      <w:start w:val="1"/>
      <w:numFmt w:val="lowerRoman"/>
      <w:lvlText w:val="%3."/>
      <w:lvlJc w:val="right"/>
      <w:pPr>
        <w:ind w:left="3779" w:hanging="180"/>
      </w:pPr>
    </w:lvl>
    <w:lvl w:ilvl="3" w:tplc="0C09000F" w:tentative="1">
      <w:start w:val="1"/>
      <w:numFmt w:val="decimal"/>
      <w:lvlText w:val="%4."/>
      <w:lvlJc w:val="left"/>
      <w:pPr>
        <w:ind w:left="4499" w:hanging="360"/>
      </w:pPr>
    </w:lvl>
    <w:lvl w:ilvl="4" w:tplc="0C090019" w:tentative="1">
      <w:start w:val="1"/>
      <w:numFmt w:val="lowerLetter"/>
      <w:lvlText w:val="%5."/>
      <w:lvlJc w:val="left"/>
      <w:pPr>
        <w:ind w:left="5219" w:hanging="360"/>
      </w:pPr>
    </w:lvl>
    <w:lvl w:ilvl="5" w:tplc="0C09001B" w:tentative="1">
      <w:start w:val="1"/>
      <w:numFmt w:val="lowerRoman"/>
      <w:lvlText w:val="%6."/>
      <w:lvlJc w:val="right"/>
      <w:pPr>
        <w:ind w:left="5939" w:hanging="180"/>
      </w:pPr>
    </w:lvl>
    <w:lvl w:ilvl="6" w:tplc="0C09000F" w:tentative="1">
      <w:start w:val="1"/>
      <w:numFmt w:val="decimal"/>
      <w:lvlText w:val="%7."/>
      <w:lvlJc w:val="left"/>
      <w:pPr>
        <w:ind w:left="6659" w:hanging="360"/>
      </w:pPr>
    </w:lvl>
    <w:lvl w:ilvl="7" w:tplc="0C090019" w:tentative="1">
      <w:start w:val="1"/>
      <w:numFmt w:val="lowerLetter"/>
      <w:lvlText w:val="%8."/>
      <w:lvlJc w:val="left"/>
      <w:pPr>
        <w:ind w:left="7379" w:hanging="360"/>
      </w:pPr>
    </w:lvl>
    <w:lvl w:ilvl="8" w:tplc="0C09001B" w:tentative="1">
      <w:start w:val="1"/>
      <w:numFmt w:val="lowerRoman"/>
      <w:lvlText w:val="%9."/>
      <w:lvlJc w:val="right"/>
      <w:pPr>
        <w:ind w:left="8099" w:hanging="180"/>
      </w:pPr>
    </w:lvl>
  </w:abstractNum>
  <w:abstractNum w:abstractNumId="13" w15:restartNumberingAfterBreak="0">
    <w:nsid w:val="17571ABC"/>
    <w:multiLevelType w:val="hybridMultilevel"/>
    <w:tmpl w:val="95D6A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30141B"/>
    <w:multiLevelType w:val="multilevel"/>
    <w:tmpl w:val="0C5CA6A6"/>
    <w:lvl w:ilvl="0">
      <w:start w:val="1"/>
      <w:numFmt w:val="bullet"/>
      <w:lvlText w:val=""/>
      <w:lvlJc w:val="left"/>
      <w:pPr>
        <w:tabs>
          <w:tab w:val="num" w:pos="877"/>
        </w:tabs>
        <w:ind w:left="877" w:hanging="520"/>
      </w:pPr>
      <w:rPr>
        <w:rFonts w:ascii="Symbol" w:hAnsi="Symbol" w:hint="default"/>
      </w:rPr>
    </w:lvl>
    <w:lvl w:ilvl="1">
      <w:start w:val="1"/>
      <w:numFmt w:val="bullet"/>
      <w:lvlText w:val="–"/>
      <w:lvlJc w:val="left"/>
      <w:pPr>
        <w:tabs>
          <w:tab w:val="num" w:pos="1397"/>
        </w:tabs>
        <w:ind w:left="1397" w:hanging="520"/>
      </w:pPr>
      <w:rPr>
        <w:rFonts w:ascii="Times New Roman" w:hAnsi="Times New Roman" w:cs="Times New Roman" w:hint="default"/>
      </w:rPr>
    </w:lvl>
    <w:lvl w:ilvl="2">
      <w:start w:val="1"/>
      <w:numFmt w:val="bullet"/>
      <w:lvlText w:val=":"/>
      <w:lvlJc w:val="left"/>
      <w:pPr>
        <w:tabs>
          <w:tab w:val="num" w:pos="1917"/>
        </w:tabs>
        <w:ind w:left="1917" w:hanging="520"/>
      </w:pPr>
      <w:rPr>
        <w:rFonts w:ascii="Times New Roman" w:hAnsi="Times New Roman" w:cs="Times New Roman"/>
      </w:rPr>
    </w:lvl>
    <w:lvl w:ilvl="3">
      <w:start w:val="1"/>
      <w:numFmt w:val="decimal"/>
      <w:lvlText w:val="(%4)"/>
      <w:lvlJc w:val="left"/>
      <w:pPr>
        <w:ind w:left="3954" w:hanging="360"/>
      </w:pPr>
    </w:lvl>
    <w:lvl w:ilvl="4">
      <w:start w:val="1"/>
      <w:numFmt w:val="lowerLetter"/>
      <w:lvlText w:val="(%5)"/>
      <w:lvlJc w:val="left"/>
      <w:pPr>
        <w:ind w:left="4314" w:hanging="360"/>
      </w:pPr>
    </w:lvl>
    <w:lvl w:ilvl="5">
      <w:start w:val="1"/>
      <w:numFmt w:val="lowerRoman"/>
      <w:lvlText w:val="(%6)"/>
      <w:lvlJc w:val="left"/>
      <w:pPr>
        <w:ind w:left="4674" w:hanging="360"/>
      </w:pPr>
    </w:lvl>
    <w:lvl w:ilvl="6">
      <w:start w:val="1"/>
      <w:numFmt w:val="decimal"/>
      <w:lvlText w:val="%7."/>
      <w:lvlJc w:val="left"/>
      <w:pPr>
        <w:ind w:left="5034" w:hanging="360"/>
      </w:pPr>
    </w:lvl>
    <w:lvl w:ilvl="7">
      <w:start w:val="1"/>
      <w:numFmt w:val="lowerLetter"/>
      <w:lvlText w:val="%8."/>
      <w:lvlJc w:val="left"/>
      <w:pPr>
        <w:ind w:left="5394" w:hanging="360"/>
      </w:pPr>
    </w:lvl>
    <w:lvl w:ilvl="8">
      <w:start w:val="1"/>
      <w:numFmt w:val="lowerRoman"/>
      <w:lvlText w:val="%9."/>
      <w:lvlJc w:val="left"/>
      <w:pPr>
        <w:ind w:left="5754" w:hanging="360"/>
      </w:pPr>
    </w:lvl>
  </w:abstractNum>
  <w:abstractNum w:abstractNumId="15" w15:restartNumberingAfterBreak="0">
    <w:nsid w:val="18DB48DC"/>
    <w:multiLevelType w:val="hybridMultilevel"/>
    <w:tmpl w:val="15223104"/>
    <w:lvl w:ilvl="0" w:tplc="4FB66C1A">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1A4F6F46"/>
    <w:multiLevelType w:val="hybridMultilevel"/>
    <w:tmpl w:val="2FD08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4D7A1A"/>
    <w:multiLevelType w:val="hybridMultilevel"/>
    <w:tmpl w:val="00540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A92FDE"/>
    <w:multiLevelType w:val="hybridMultilevel"/>
    <w:tmpl w:val="2C92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197A81"/>
    <w:multiLevelType w:val="hybridMultilevel"/>
    <w:tmpl w:val="FBA47838"/>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0" w15:restartNumberingAfterBreak="0">
    <w:nsid w:val="1D9E78F0"/>
    <w:multiLevelType w:val="multilevel"/>
    <w:tmpl w:val="B16AA3C8"/>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FF79AF"/>
    <w:multiLevelType w:val="hybridMultilevel"/>
    <w:tmpl w:val="E1E6C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945DD3"/>
    <w:multiLevelType w:val="hybridMultilevel"/>
    <w:tmpl w:val="9006CE1E"/>
    <w:lvl w:ilvl="0" w:tplc="EE0A781A">
      <w:start w:val="1"/>
      <w:numFmt w:val="decimal"/>
      <w:pStyle w:val="Normal-Numberedparagraphs"/>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9A275E9"/>
    <w:multiLevelType w:val="multilevel"/>
    <w:tmpl w:val="9134229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9449E7"/>
    <w:multiLevelType w:val="multilevel"/>
    <w:tmpl w:val="BFCA27F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C94318"/>
    <w:multiLevelType w:val="hybridMultilevel"/>
    <w:tmpl w:val="A3A6A80E"/>
    <w:lvl w:ilvl="0" w:tplc="946A444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31F7057"/>
    <w:multiLevelType w:val="multilevel"/>
    <w:tmpl w:val="43B4BC96"/>
    <w:lvl w:ilvl="0">
      <w:start w:val="6"/>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052D9"/>
    <w:multiLevelType w:val="multilevel"/>
    <w:tmpl w:val="06C04B30"/>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350C55A1"/>
    <w:multiLevelType w:val="multilevel"/>
    <w:tmpl w:val="ED02EB04"/>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97C02E2"/>
    <w:multiLevelType w:val="hybridMultilevel"/>
    <w:tmpl w:val="7DE66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C9219B"/>
    <w:multiLevelType w:val="multilevel"/>
    <w:tmpl w:val="7BF28BC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Symbol" w:hAnsi="Symbol" w:hint="default"/>
        <w:b w:val="0"/>
        <w:bCs w:val="0"/>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3237" w:hanging="360"/>
      </w:pPr>
    </w:lvl>
    <w:lvl w:ilvl="4">
      <w:start w:val="1"/>
      <w:numFmt w:val="lowerLetter"/>
      <w:lvlText w:val="(%5)"/>
      <w:lvlJc w:val="left"/>
      <w:pPr>
        <w:ind w:left="3597" w:hanging="360"/>
      </w:pPr>
    </w:lvl>
    <w:lvl w:ilvl="5">
      <w:start w:val="1"/>
      <w:numFmt w:val="lowerRoman"/>
      <w:lvlText w:val="(%6)"/>
      <w:lvlJc w:val="left"/>
      <w:pPr>
        <w:ind w:left="3957" w:hanging="360"/>
      </w:pPr>
    </w:lvl>
    <w:lvl w:ilvl="6">
      <w:start w:val="1"/>
      <w:numFmt w:val="decimal"/>
      <w:lvlText w:val="%7."/>
      <w:lvlJc w:val="left"/>
      <w:pPr>
        <w:ind w:left="4317" w:hanging="360"/>
      </w:pPr>
    </w:lvl>
    <w:lvl w:ilvl="7">
      <w:start w:val="1"/>
      <w:numFmt w:val="lowerLetter"/>
      <w:lvlText w:val="%8."/>
      <w:lvlJc w:val="left"/>
      <w:pPr>
        <w:ind w:left="4677" w:hanging="360"/>
      </w:pPr>
    </w:lvl>
    <w:lvl w:ilvl="8">
      <w:start w:val="1"/>
      <w:numFmt w:val="lowerRoman"/>
      <w:lvlText w:val="%9."/>
      <w:lvlJc w:val="left"/>
      <w:pPr>
        <w:ind w:left="5037" w:hanging="360"/>
      </w:pPr>
    </w:lvl>
  </w:abstractNum>
  <w:abstractNum w:abstractNumId="31" w15:restartNumberingAfterBreak="0">
    <w:nsid w:val="3EB3119D"/>
    <w:multiLevelType w:val="hybridMultilevel"/>
    <w:tmpl w:val="D4CAC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834F3F"/>
    <w:multiLevelType w:val="hybridMultilevel"/>
    <w:tmpl w:val="DAB4ED1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FA56C21"/>
    <w:multiLevelType w:val="hybridMultilevel"/>
    <w:tmpl w:val="B9B6EF00"/>
    <w:lvl w:ilvl="0" w:tplc="45B6EC7E">
      <w:start w:val="1"/>
      <w:numFmt w:val="decimal"/>
      <w:lvlText w:val="%1."/>
      <w:lvlJc w:val="left"/>
      <w:pPr>
        <w:ind w:left="360" w:hanging="360"/>
      </w:pPr>
      <w:rPr>
        <w:b w:val="0"/>
        <w:bCs w:val="0"/>
      </w:rPr>
    </w:lvl>
    <w:lvl w:ilvl="1" w:tplc="0C090019">
      <w:start w:val="1"/>
      <w:numFmt w:val="lowerLetter"/>
      <w:lvlText w:val="%2."/>
      <w:lvlJc w:val="left"/>
      <w:pPr>
        <w:ind w:left="1156" w:hanging="360"/>
      </w:pPr>
    </w:lvl>
    <w:lvl w:ilvl="2" w:tplc="0C09001B">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4" w15:restartNumberingAfterBreak="0">
    <w:nsid w:val="40E54FCF"/>
    <w:multiLevelType w:val="multilevel"/>
    <w:tmpl w:val="C7FCCAEE"/>
    <w:lvl w:ilvl="0">
      <w:start w:val="1"/>
      <w:numFmt w:val="bullet"/>
      <w:lvlText w:val="•"/>
      <w:lvlJc w:val="left"/>
      <w:pPr>
        <w:tabs>
          <w:tab w:val="num" w:pos="880"/>
        </w:tabs>
        <w:ind w:left="880" w:hanging="520"/>
      </w:pPr>
      <w:rPr>
        <w:rFonts w:ascii="Times New Roman" w:hAnsi="Times New Roman" w:cs="Times New Roman"/>
      </w:rPr>
    </w:lvl>
    <w:lvl w:ilvl="1">
      <w:start w:val="1"/>
      <w:numFmt w:val="bullet"/>
      <w:lvlText w:val=""/>
      <w:lvlJc w:val="left"/>
      <w:pPr>
        <w:tabs>
          <w:tab w:val="num" w:pos="1400"/>
        </w:tabs>
        <w:ind w:left="1400" w:hanging="520"/>
      </w:pPr>
      <w:rPr>
        <w:rFonts w:ascii="Symbol" w:hAnsi="Symbol" w:hint="default"/>
      </w:rPr>
    </w:lvl>
    <w:lvl w:ilvl="2">
      <w:start w:val="1"/>
      <w:numFmt w:val="lowerRoman"/>
      <w:lvlText w:val="%3."/>
      <w:lvlJc w:val="right"/>
      <w:pPr>
        <w:tabs>
          <w:tab w:val="num" w:pos="1920"/>
        </w:tabs>
        <w:ind w:left="1920" w:hanging="520"/>
      </w:pPr>
      <w:rPr>
        <w:rFonts w:hint="default"/>
      </w:rPr>
    </w:lvl>
    <w:lvl w:ilvl="3">
      <w:start w:val="1"/>
      <w:numFmt w:val="decimal"/>
      <w:lvlText w:val="(%4)"/>
      <w:lvlJc w:val="left"/>
      <w:pPr>
        <w:ind w:left="3597" w:hanging="360"/>
      </w:pPr>
    </w:lvl>
    <w:lvl w:ilvl="4">
      <w:start w:val="1"/>
      <w:numFmt w:val="lowerLetter"/>
      <w:lvlText w:val="(%5)"/>
      <w:lvlJc w:val="left"/>
      <w:pPr>
        <w:ind w:left="3957" w:hanging="360"/>
      </w:pPr>
    </w:lvl>
    <w:lvl w:ilvl="5">
      <w:start w:val="1"/>
      <w:numFmt w:val="lowerRoman"/>
      <w:lvlText w:val="(%6)"/>
      <w:lvlJc w:val="left"/>
      <w:pPr>
        <w:ind w:left="4317" w:hanging="360"/>
      </w:pPr>
    </w:lvl>
    <w:lvl w:ilvl="6">
      <w:start w:val="1"/>
      <w:numFmt w:val="decimal"/>
      <w:lvlText w:val="%7."/>
      <w:lvlJc w:val="left"/>
      <w:pPr>
        <w:ind w:left="4677" w:hanging="360"/>
      </w:pPr>
    </w:lvl>
    <w:lvl w:ilvl="7">
      <w:start w:val="1"/>
      <w:numFmt w:val="lowerLetter"/>
      <w:lvlText w:val="%8."/>
      <w:lvlJc w:val="left"/>
      <w:pPr>
        <w:ind w:left="5037" w:hanging="360"/>
      </w:pPr>
    </w:lvl>
    <w:lvl w:ilvl="8">
      <w:start w:val="1"/>
      <w:numFmt w:val="lowerRoman"/>
      <w:lvlText w:val="%9."/>
      <w:lvlJc w:val="left"/>
      <w:pPr>
        <w:ind w:left="5397" w:hanging="360"/>
      </w:pPr>
    </w:lvl>
  </w:abstractNum>
  <w:abstractNum w:abstractNumId="35" w15:restartNumberingAfterBreak="0">
    <w:nsid w:val="42B673F9"/>
    <w:multiLevelType w:val="multilevel"/>
    <w:tmpl w:val="F5AED3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2C544C"/>
    <w:multiLevelType w:val="hybridMultilevel"/>
    <w:tmpl w:val="654EB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7E1EB8"/>
    <w:multiLevelType w:val="hybridMultilevel"/>
    <w:tmpl w:val="626C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0F1C20"/>
    <w:multiLevelType w:val="hybridMultilevel"/>
    <w:tmpl w:val="4DF05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B913591"/>
    <w:multiLevelType w:val="hybridMultilevel"/>
    <w:tmpl w:val="8E6071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F47C81"/>
    <w:multiLevelType w:val="hybridMultilevel"/>
    <w:tmpl w:val="B30A21EA"/>
    <w:lvl w:ilvl="0" w:tplc="8D520F7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BF0BA9"/>
    <w:multiLevelType w:val="hybridMultilevel"/>
    <w:tmpl w:val="810C3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662956"/>
    <w:multiLevelType w:val="hybridMultilevel"/>
    <w:tmpl w:val="E6A4A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6605A5"/>
    <w:multiLevelType w:val="hybridMultilevel"/>
    <w:tmpl w:val="BEDCA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523546"/>
    <w:multiLevelType w:val="hybridMultilevel"/>
    <w:tmpl w:val="078CE24C"/>
    <w:lvl w:ilvl="0" w:tplc="0C090001">
      <w:start w:val="1"/>
      <w:numFmt w:val="bullet"/>
      <w:lvlText w:val=""/>
      <w:lvlJc w:val="left"/>
      <w:pPr>
        <w:ind w:left="-354" w:hanging="360"/>
      </w:pPr>
      <w:rPr>
        <w:rFonts w:ascii="Symbol" w:hAnsi="Symbol" w:hint="default"/>
      </w:rPr>
    </w:lvl>
    <w:lvl w:ilvl="1" w:tplc="0C090003">
      <w:start w:val="1"/>
      <w:numFmt w:val="bullet"/>
      <w:lvlText w:val="o"/>
      <w:lvlJc w:val="left"/>
      <w:pPr>
        <w:ind w:left="366" w:hanging="360"/>
      </w:pPr>
      <w:rPr>
        <w:rFonts w:ascii="Courier New" w:hAnsi="Courier New" w:cs="Courier New" w:hint="default"/>
      </w:rPr>
    </w:lvl>
    <w:lvl w:ilvl="2" w:tplc="0C090005" w:tentative="1">
      <w:start w:val="1"/>
      <w:numFmt w:val="bullet"/>
      <w:lvlText w:val=""/>
      <w:lvlJc w:val="left"/>
      <w:pPr>
        <w:ind w:left="1086" w:hanging="360"/>
      </w:pPr>
      <w:rPr>
        <w:rFonts w:ascii="Wingdings" w:hAnsi="Wingdings" w:hint="default"/>
      </w:rPr>
    </w:lvl>
    <w:lvl w:ilvl="3" w:tplc="0C090001" w:tentative="1">
      <w:start w:val="1"/>
      <w:numFmt w:val="bullet"/>
      <w:lvlText w:val=""/>
      <w:lvlJc w:val="left"/>
      <w:pPr>
        <w:ind w:left="1806" w:hanging="360"/>
      </w:pPr>
      <w:rPr>
        <w:rFonts w:ascii="Symbol" w:hAnsi="Symbol" w:hint="default"/>
      </w:rPr>
    </w:lvl>
    <w:lvl w:ilvl="4" w:tplc="0C090003" w:tentative="1">
      <w:start w:val="1"/>
      <w:numFmt w:val="bullet"/>
      <w:lvlText w:val="o"/>
      <w:lvlJc w:val="left"/>
      <w:pPr>
        <w:ind w:left="2526" w:hanging="360"/>
      </w:pPr>
      <w:rPr>
        <w:rFonts w:ascii="Courier New" w:hAnsi="Courier New" w:cs="Courier New" w:hint="default"/>
      </w:rPr>
    </w:lvl>
    <w:lvl w:ilvl="5" w:tplc="0C090005" w:tentative="1">
      <w:start w:val="1"/>
      <w:numFmt w:val="bullet"/>
      <w:lvlText w:val=""/>
      <w:lvlJc w:val="left"/>
      <w:pPr>
        <w:ind w:left="3246" w:hanging="360"/>
      </w:pPr>
      <w:rPr>
        <w:rFonts w:ascii="Wingdings" w:hAnsi="Wingdings" w:hint="default"/>
      </w:rPr>
    </w:lvl>
    <w:lvl w:ilvl="6" w:tplc="0C090001" w:tentative="1">
      <w:start w:val="1"/>
      <w:numFmt w:val="bullet"/>
      <w:lvlText w:val=""/>
      <w:lvlJc w:val="left"/>
      <w:pPr>
        <w:ind w:left="3966" w:hanging="360"/>
      </w:pPr>
      <w:rPr>
        <w:rFonts w:ascii="Symbol" w:hAnsi="Symbol" w:hint="default"/>
      </w:rPr>
    </w:lvl>
    <w:lvl w:ilvl="7" w:tplc="0C090003" w:tentative="1">
      <w:start w:val="1"/>
      <w:numFmt w:val="bullet"/>
      <w:lvlText w:val="o"/>
      <w:lvlJc w:val="left"/>
      <w:pPr>
        <w:ind w:left="4686" w:hanging="360"/>
      </w:pPr>
      <w:rPr>
        <w:rFonts w:ascii="Courier New" w:hAnsi="Courier New" w:cs="Courier New" w:hint="default"/>
      </w:rPr>
    </w:lvl>
    <w:lvl w:ilvl="8" w:tplc="0C090005" w:tentative="1">
      <w:start w:val="1"/>
      <w:numFmt w:val="bullet"/>
      <w:lvlText w:val=""/>
      <w:lvlJc w:val="left"/>
      <w:pPr>
        <w:ind w:left="5406" w:hanging="360"/>
      </w:pPr>
      <w:rPr>
        <w:rFonts w:ascii="Wingdings" w:hAnsi="Wingdings" w:hint="default"/>
      </w:rPr>
    </w:lvl>
  </w:abstractNum>
  <w:abstractNum w:abstractNumId="45" w15:restartNumberingAfterBreak="0">
    <w:nsid w:val="5522509B"/>
    <w:multiLevelType w:val="hybridMultilevel"/>
    <w:tmpl w:val="0FF45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63F64F4"/>
    <w:multiLevelType w:val="hybridMultilevel"/>
    <w:tmpl w:val="EDD463DA"/>
    <w:lvl w:ilvl="0" w:tplc="45B6EC7E">
      <w:start w:val="1"/>
      <w:numFmt w:val="decimal"/>
      <w:lvlText w:val="%1."/>
      <w:lvlJc w:val="left"/>
      <w:pPr>
        <w:ind w:left="644"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80636A4"/>
    <w:multiLevelType w:val="multilevel"/>
    <w:tmpl w:val="BAFE36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9614D3"/>
    <w:multiLevelType w:val="multilevel"/>
    <w:tmpl w:val="3090694C"/>
    <w:lvl w:ilvl="0">
      <w:start w:val="5"/>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E937047"/>
    <w:multiLevelType w:val="hybridMultilevel"/>
    <w:tmpl w:val="4EA4703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0" w15:restartNumberingAfterBreak="0">
    <w:nsid w:val="5F9D449C"/>
    <w:multiLevelType w:val="hybridMultilevel"/>
    <w:tmpl w:val="A5647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946A5E"/>
    <w:multiLevelType w:val="multilevel"/>
    <w:tmpl w:val="BA84067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1611825"/>
    <w:multiLevelType w:val="multilevel"/>
    <w:tmpl w:val="08087914"/>
    <w:lvl w:ilvl="0">
      <w:start w:val="7"/>
      <w:numFmt w:val="decimal"/>
      <w:lvlText w:val="%1."/>
      <w:lvlJc w:val="left"/>
      <w:pPr>
        <w:ind w:left="380" w:hanging="380"/>
      </w:pPr>
      <w:rPr>
        <w:rFonts w:hint="default"/>
      </w:rPr>
    </w:lvl>
    <w:lvl w:ilvl="1">
      <w:start w:val="2"/>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53" w15:restartNumberingAfterBreak="0">
    <w:nsid w:val="61A953BC"/>
    <w:multiLevelType w:val="multilevel"/>
    <w:tmpl w:val="281886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34A69FE"/>
    <w:multiLevelType w:val="hybridMultilevel"/>
    <w:tmpl w:val="F4446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3E74E78"/>
    <w:multiLevelType w:val="hybridMultilevel"/>
    <w:tmpl w:val="28D4C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4BF42BB"/>
    <w:multiLevelType w:val="hybridMultilevel"/>
    <w:tmpl w:val="699CF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6EF3BA1"/>
    <w:multiLevelType w:val="multilevel"/>
    <w:tmpl w:val="BFF21E38"/>
    <w:lvl w:ilvl="0">
      <w:start w:val="2"/>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71F594F"/>
    <w:multiLevelType w:val="hybridMultilevel"/>
    <w:tmpl w:val="F2A66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9ED72E4"/>
    <w:multiLevelType w:val="hybridMultilevel"/>
    <w:tmpl w:val="4EDCA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D6B5F48"/>
    <w:multiLevelType w:val="hybridMultilevel"/>
    <w:tmpl w:val="216A2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E23801"/>
    <w:multiLevelType w:val="hybridMultilevel"/>
    <w:tmpl w:val="96C46B88"/>
    <w:lvl w:ilvl="0" w:tplc="6912762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6ED77A9C"/>
    <w:multiLevelType w:val="hybridMultilevel"/>
    <w:tmpl w:val="CA827C6C"/>
    <w:lvl w:ilvl="0" w:tplc="D3142ED8">
      <w:start w:val="1"/>
      <w:numFmt w:val="lowerLetter"/>
      <w:lvlText w:val="%1."/>
      <w:lvlJc w:val="right"/>
      <w:pPr>
        <w:ind w:left="2339" w:hanging="360"/>
      </w:pPr>
      <w:rPr>
        <w:rFonts w:asciiTheme="minorHAnsi" w:eastAsiaTheme="minorHAnsi" w:hAnsiTheme="minorHAnsi" w:cstheme="minorBidi"/>
      </w:rPr>
    </w:lvl>
    <w:lvl w:ilvl="1" w:tplc="0C090019" w:tentative="1">
      <w:start w:val="1"/>
      <w:numFmt w:val="lowerLetter"/>
      <w:lvlText w:val="%2."/>
      <w:lvlJc w:val="left"/>
      <w:pPr>
        <w:ind w:left="3059" w:hanging="360"/>
      </w:pPr>
    </w:lvl>
    <w:lvl w:ilvl="2" w:tplc="0C09001B" w:tentative="1">
      <w:start w:val="1"/>
      <w:numFmt w:val="lowerRoman"/>
      <w:lvlText w:val="%3."/>
      <w:lvlJc w:val="right"/>
      <w:pPr>
        <w:ind w:left="3779" w:hanging="180"/>
      </w:pPr>
    </w:lvl>
    <w:lvl w:ilvl="3" w:tplc="0C09000F" w:tentative="1">
      <w:start w:val="1"/>
      <w:numFmt w:val="decimal"/>
      <w:lvlText w:val="%4."/>
      <w:lvlJc w:val="left"/>
      <w:pPr>
        <w:ind w:left="4499" w:hanging="360"/>
      </w:pPr>
    </w:lvl>
    <w:lvl w:ilvl="4" w:tplc="0C090019" w:tentative="1">
      <w:start w:val="1"/>
      <w:numFmt w:val="lowerLetter"/>
      <w:lvlText w:val="%5."/>
      <w:lvlJc w:val="left"/>
      <w:pPr>
        <w:ind w:left="5219" w:hanging="360"/>
      </w:pPr>
    </w:lvl>
    <w:lvl w:ilvl="5" w:tplc="0C09001B" w:tentative="1">
      <w:start w:val="1"/>
      <w:numFmt w:val="lowerRoman"/>
      <w:lvlText w:val="%6."/>
      <w:lvlJc w:val="right"/>
      <w:pPr>
        <w:ind w:left="5939" w:hanging="180"/>
      </w:pPr>
    </w:lvl>
    <w:lvl w:ilvl="6" w:tplc="0C09000F" w:tentative="1">
      <w:start w:val="1"/>
      <w:numFmt w:val="decimal"/>
      <w:lvlText w:val="%7."/>
      <w:lvlJc w:val="left"/>
      <w:pPr>
        <w:ind w:left="6659" w:hanging="360"/>
      </w:pPr>
    </w:lvl>
    <w:lvl w:ilvl="7" w:tplc="0C090019" w:tentative="1">
      <w:start w:val="1"/>
      <w:numFmt w:val="lowerLetter"/>
      <w:lvlText w:val="%8."/>
      <w:lvlJc w:val="left"/>
      <w:pPr>
        <w:ind w:left="7379" w:hanging="360"/>
      </w:pPr>
    </w:lvl>
    <w:lvl w:ilvl="8" w:tplc="0C09001B" w:tentative="1">
      <w:start w:val="1"/>
      <w:numFmt w:val="lowerRoman"/>
      <w:lvlText w:val="%9."/>
      <w:lvlJc w:val="right"/>
      <w:pPr>
        <w:ind w:left="8099" w:hanging="180"/>
      </w:pPr>
    </w:lvl>
  </w:abstractNum>
  <w:abstractNum w:abstractNumId="63" w15:restartNumberingAfterBreak="0">
    <w:nsid w:val="74F53E50"/>
    <w:multiLevelType w:val="hybridMultilevel"/>
    <w:tmpl w:val="50484E00"/>
    <w:lvl w:ilvl="0" w:tplc="C12EB4B0">
      <w:start w:val="1"/>
      <w:numFmt w:val="lowerLetter"/>
      <w:lvlText w:val="%1."/>
      <w:lvlJc w:val="left"/>
      <w:pPr>
        <w:ind w:left="1080" w:hanging="360"/>
      </w:pPr>
      <w:rPr>
        <w:rFonts w:asciiTheme="minorHAnsi" w:eastAsiaTheme="minorHAnsi" w:hAnsiTheme="minorHAnsi" w:cstheme="minorBidi"/>
      </w:rPr>
    </w:lvl>
    <w:lvl w:ilvl="1" w:tplc="0C090019">
      <w:start w:val="1"/>
      <w:numFmt w:val="lowerLetter"/>
      <w:lvlText w:val="%2."/>
      <w:lvlJc w:val="left"/>
      <w:pPr>
        <w:ind w:left="1800" w:hanging="360"/>
      </w:pPr>
    </w:lvl>
    <w:lvl w:ilvl="2" w:tplc="18143626">
      <w:start w:val="1"/>
      <w:numFmt w:val="lowerLetter"/>
      <w:lvlText w:val="%3."/>
      <w:lvlJc w:val="right"/>
      <w:pPr>
        <w:ind w:left="2520" w:hanging="180"/>
      </w:pPr>
      <w:rPr>
        <w:rFonts w:asciiTheme="minorHAnsi" w:eastAsiaTheme="minorHAnsi" w:hAnsiTheme="minorHAnsi" w:cstheme="minorBidi"/>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75395053"/>
    <w:multiLevelType w:val="multilevel"/>
    <w:tmpl w:val="847E3EF0"/>
    <w:lvl w:ilvl="0">
      <w:start w:val="7"/>
      <w:numFmt w:val="decimal"/>
      <w:lvlText w:val="%1"/>
      <w:lvlJc w:val="left"/>
      <w:pPr>
        <w:ind w:left="360" w:hanging="360"/>
      </w:pPr>
      <w:rPr>
        <w:rFonts w:hint="default"/>
      </w:rPr>
    </w:lvl>
    <w:lvl w:ilvl="1">
      <w:start w:val="2"/>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65" w15:restartNumberingAfterBreak="0">
    <w:nsid w:val="75BF78DD"/>
    <w:multiLevelType w:val="hybridMultilevel"/>
    <w:tmpl w:val="2F6E0BA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66" w15:restartNumberingAfterBreak="0">
    <w:nsid w:val="765B4388"/>
    <w:multiLevelType w:val="multilevel"/>
    <w:tmpl w:val="ED02EB04"/>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7DA2F37"/>
    <w:multiLevelType w:val="multilevel"/>
    <w:tmpl w:val="035AE6AC"/>
    <w:lvl w:ilvl="0">
      <w:start w:val="5"/>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C7330E"/>
    <w:multiLevelType w:val="multilevel"/>
    <w:tmpl w:val="81D69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B92583D"/>
    <w:multiLevelType w:val="multilevel"/>
    <w:tmpl w:val="229C3984"/>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317" w:hanging="360"/>
      </w:pPr>
    </w:lvl>
    <w:lvl w:ilvl="4">
      <w:start w:val="1"/>
      <w:numFmt w:val="lowerLetter"/>
      <w:lvlText w:val="(%5)"/>
      <w:lvlJc w:val="left"/>
      <w:pPr>
        <w:ind w:left="4677" w:hanging="360"/>
      </w:pPr>
    </w:lvl>
    <w:lvl w:ilvl="5">
      <w:start w:val="1"/>
      <w:numFmt w:val="lowerRoman"/>
      <w:lvlText w:val="(%6)"/>
      <w:lvlJc w:val="left"/>
      <w:pPr>
        <w:ind w:left="5037" w:hanging="360"/>
      </w:pPr>
    </w:lvl>
    <w:lvl w:ilvl="6">
      <w:start w:val="1"/>
      <w:numFmt w:val="decimal"/>
      <w:lvlText w:val="%7."/>
      <w:lvlJc w:val="left"/>
      <w:pPr>
        <w:ind w:left="5397" w:hanging="360"/>
      </w:pPr>
    </w:lvl>
    <w:lvl w:ilvl="7">
      <w:start w:val="1"/>
      <w:numFmt w:val="lowerLetter"/>
      <w:lvlText w:val="%8."/>
      <w:lvlJc w:val="left"/>
      <w:pPr>
        <w:ind w:left="5757" w:hanging="360"/>
      </w:pPr>
    </w:lvl>
    <w:lvl w:ilvl="8">
      <w:start w:val="1"/>
      <w:numFmt w:val="lowerRoman"/>
      <w:lvlText w:val="%9."/>
      <w:lvlJc w:val="left"/>
      <w:pPr>
        <w:ind w:left="6117" w:hanging="360"/>
      </w:pPr>
    </w:lvl>
  </w:abstractNum>
  <w:abstractNum w:abstractNumId="70" w15:restartNumberingAfterBreak="0">
    <w:nsid w:val="7C134266"/>
    <w:multiLevelType w:val="hybridMultilevel"/>
    <w:tmpl w:val="08D66E5E"/>
    <w:lvl w:ilvl="0" w:tplc="DF9CFE44">
      <w:start w:val="8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D044A6C"/>
    <w:multiLevelType w:val="hybridMultilevel"/>
    <w:tmpl w:val="E0C0B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DDF32D2"/>
    <w:multiLevelType w:val="hybridMultilevel"/>
    <w:tmpl w:val="371EDA0C"/>
    <w:lvl w:ilvl="0" w:tplc="44A265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4"/>
  </w:num>
  <w:num w:numId="2">
    <w:abstractNumId w:val="49"/>
  </w:num>
  <w:num w:numId="3">
    <w:abstractNumId w:val="56"/>
  </w:num>
  <w:num w:numId="4">
    <w:abstractNumId w:val="13"/>
  </w:num>
  <w:num w:numId="5">
    <w:abstractNumId w:val="31"/>
  </w:num>
  <w:num w:numId="6">
    <w:abstractNumId w:val="50"/>
  </w:num>
  <w:num w:numId="7">
    <w:abstractNumId w:val="18"/>
  </w:num>
  <w:num w:numId="8">
    <w:abstractNumId w:val="59"/>
  </w:num>
  <w:num w:numId="9">
    <w:abstractNumId w:val="43"/>
  </w:num>
  <w:num w:numId="10">
    <w:abstractNumId w:val="16"/>
  </w:num>
  <w:num w:numId="11">
    <w:abstractNumId w:val="29"/>
  </w:num>
  <w:num w:numId="12">
    <w:abstractNumId w:val="21"/>
  </w:num>
  <w:num w:numId="13">
    <w:abstractNumId w:val="58"/>
  </w:num>
  <w:num w:numId="14">
    <w:abstractNumId w:val="4"/>
  </w:num>
  <w:num w:numId="15">
    <w:abstractNumId w:val="38"/>
  </w:num>
  <w:num w:numId="16">
    <w:abstractNumId w:val="71"/>
  </w:num>
  <w:num w:numId="17">
    <w:abstractNumId w:val="65"/>
  </w:num>
  <w:num w:numId="18">
    <w:abstractNumId w:val="37"/>
  </w:num>
  <w:num w:numId="19">
    <w:abstractNumId w:val="41"/>
  </w:num>
  <w:num w:numId="20">
    <w:abstractNumId w:val="45"/>
  </w:num>
  <w:num w:numId="21">
    <w:abstractNumId w:val="55"/>
  </w:num>
  <w:num w:numId="22">
    <w:abstractNumId w:val="42"/>
  </w:num>
  <w:num w:numId="23">
    <w:abstractNumId w:val="36"/>
  </w:num>
  <w:num w:numId="24">
    <w:abstractNumId w:val="2"/>
  </w:num>
  <w:num w:numId="25">
    <w:abstractNumId w:val="60"/>
  </w:num>
  <w:num w:numId="26">
    <w:abstractNumId w:val="8"/>
  </w:num>
  <w:num w:numId="27">
    <w:abstractNumId w:val="32"/>
  </w:num>
  <w:num w:numId="28">
    <w:abstractNumId w:val="69"/>
  </w:num>
  <w:num w:numId="29">
    <w:abstractNumId w:val="46"/>
  </w:num>
  <w:num w:numId="30">
    <w:abstractNumId w:val="1"/>
  </w:num>
  <w:num w:numId="31">
    <w:abstractNumId w:val="22"/>
  </w:num>
  <w:num w:numId="32">
    <w:abstractNumId w:val="66"/>
  </w:num>
  <w:num w:numId="33">
    <w:abstractNumId w:val="44"/>
  </w:num>
  <w:num w:numId="34">
    <w:abstractNumId w:val="51"/>
  </w:num>
  <w:num w:numId="35">
    <w:abstractNumId w:val="23"/>
  </w:num>
  <w:num w:numId="36">
    <w:abstractNumId w:val="39"/>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num>
  <w:num w:numId="41">
    <w:abstractNumId w:val="15"/>
  </w:num>
  <w:num w:numId="42">
    <w:abstractNumId w:val="7"/>
  </w:num>
  <w:num w:numId="43">
    <w:abstractNumId w:val="28"/>
  </w:num>
  <w:num w:numId="44">
    <w:abstractNumId w:val="25"/>
  </w:num>
  <w:num w:numId="45">
    <w:abstractNumId w:val="57"/>
  </w:num>
  <w:num w:numId="46">
    <w:abstractNumId w:val="69"/>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num>
  <w:num w:numId="51">
    <w:abstractNumId w:val="72"/>
  </w:num>
  <w:num w:numId="52">
    <w:abstractNumId w:val="3"/>
  </w:num>
  <w:num w:numId="53">
    <w:abstractNumId w:val="10"/>
  </w:num>
  <w:num w:numId="54">
    <w:abstractNumId w:val="24"/>
  </w:num>
  <w:num w:numId="55">
    <w:abstractNumId w:val="6"/>
  </w:num>
  <w:num w:numId="56">
    <w:abstractNumId w:val="67"/>
  </w:num>
  <w:num w:numId="57">
    <w:abstractNumId w:val="48"/>
  </w:num>
  <w:num w:numId="58">
    <w:abstractNumId w:val="47"/>
  </w:num>
  <w:num w:numId="59">
    <w:abstractNumId w:val="9"/>
  </w:num>
  <w:num w:numId="60">
    <w:abstractNumId w:val="20"/>
  </w:num>
  <w:num w:numId="61">
    <w:abstractNumId w:val="70"/>
  </w:num>
  <w:num w:numId="62">
    <w:abstractNumId w:val="69"/>
  </w:num>
  <w:num w:numId="63">
    <w:abstractNumId w:val="30"/>
  </w:num>
  <w:num w:numId="64">
    <w:abstractNumId w:val="69"/>
  </w:num>
  <w:num w:numId="65">
    <w:abstractNumId w:val="34"/>
  </w:num>
  <w:num w:numId="66">
    <w:abstractNumId w:val="69"/>
  </w:num>
  <w:num w:numId="67">
    <w:abstractNumId w:val="14"/>
  </w:num>
  <w:num w:numId="68">
    <w:abstractNumId w:val="63"/>
  </w:num>
  <w:num w:numId="69">
    <w:abstractNumId w:val="69"/>
  </w:num>
  <w:num w:numId="70">
    <w:abstractNumId w:val="62"/>
  </w:num>
  <w:num w:numId="71">
    <w:abstractNumId w:val="69"/>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52"/>
  </w:num>
  <w:num w:numId="76">
    <w:abstractNumId w:val="19"/>
  </w:num>
  <w:num w:numId="77">
    <w:abstractNumId w:val="17"/>
  </w:num>
  <w:num w:numId="78">
    <w:abstractNumId w:val="33"/>
  </w:num>
  <w:num w:numId="79">
    <w:abstractNumId w:val="11"/>
  </w:num>
  <w:num w:numId="80">
    <w:abstractNumId w:val="53"/>
  </w:num>
  <w:num w:numId="81">
    <w:abstractNumId w:val="26"/>
  </w:num>
  <w:num w:numId="82">
    <w:abstractNumId w:val="35"/>
  </w:num>
  <w:num w:numId="83">
    <w:abstractNumId w:val="0"/>
  </w:num>
  <w:num w:numId="84">
    <w:abstractNumId w:val="12"/>
  </w:num>
  <w:num w:numId="8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A2"/>
    <w:rsid w:val="0000078A"/>
    <w:rsid w:val="0000135C"/>
    <w:rsid w:val="00002399"/>
    <w:rsid w:val="00003336"/>
    <w:rsid w:val="00003809"/>
    <w:rsid w:val="00003DDB"/>
    <w:rsid w:val="00003E07"/>
    <w:rsid w:val="00005AF0"/>
    <w:rsid w:val="00006041"/>
    <w:rsid w:val="00006154"/>
    <w:rsid w:val="00007EA2"/>
    <w:rsid w:val="000101CE"/>
    <w:rsid w:val="0001067E"/>
    <w:rsid w:val="00010F5D"/>
    <w:rsid w:val="00011DF4"/>
    <w:rsid w:val="00012546"/>
    <w:rsid w:val="00013C87"/>
    <w:rsid w:val="000140F6"/>
    <w:rsid w:val="00014E9B"/>
    <w:rsid w:val="00016AE3"/>
    <w:rsid w:val="00016CA4"/>
    <w:rsid w:val="00017513"/>
    <w:rsid w:val="0001754E"/>
    <w:rsid w:val="0002084E"/>
    <w:rsid w:val="00020CFA"/>
    <w:rsid w:val="00021F0C"/>
    <w:rsid w:val="00022677"/>
    <w:rsid w:val="000226C5"/>
    <w:rsid w:val="0002402D"/>
    <w:rsid w:val="000243BC"/>
    <w:rsid w:val="00025279"/>
    <w:rsid w:val="00025961"/>
    <w:rsid w:val="00026003"/>
    <w:rsid w:val="000264EE"/>
    <w:rsid w:val="00026FB0"/>
    <w:rsid w:val="00027924"/>
    <w:rsid w:val="00027F49"/>
    <w:rsid w:val="000304C9"/>
    <w:rsid w:val="00031DF5"/>
    <w:rsid w:val="00032C10"/>
    <w:rsid w:val="00033975"/>
    <w:rsid w:val="00033CC5"/>
    <w:rsid w:val="00034AF8"/>
    <w:rsid w:val="00034D28"/>
    <w:rsid w:val="00035DE5"/>
    <w:rsid w:val="000362EB"/>
    <w:rsid w:val="00036790"/>
    <w:rsid w:val="00036ED4"/>
    <w:rsid w:val="000402DD"/>
    <w:rsid w:val="00042FC5"/>
    <w:rsid w:val="00043D12"/>
    <w:rsid w:val="0004448E"/>
    <w:rsid w:val="00044DD5"/>
    <w:rsid w:val="00045E3D"/>
    <w:rsid w:val="00046EC9"/>
    <w:rsid w:val="0004766A"/>
    <w:rsid w:val="00050E93"/>
    <w:rsid w:val="000511C2"/>
    <w:rsid w:val="00051858"/>
    <w:rsid w:val="00052690"/>
    <w:rsid w:val="0005521F"/>
    <w:rsid w:val="0005533A"/>
    <w:rsid w:val="00055617"/>
    <w:rsid w:val="00056313"/>
    <w:rsid w:val="00060422"/>
    <w:rsid w:val="0006213C"/>
    <w:rsid w:val="00062BDC"/>
    <w:rsid w:val="00063AEB"/>
    <w:rsid w:val="00063DC1"/>
    <w:rsid w:val="00064229"/>
    <w:rsid w:val="000650F7"/>
    <w:rsid w:val="0006569B"/>
    <w:rsid w:val="00065BE5"/>
    <w:rsid w:val="00065CEB"/>
    <w:rsid w:val="00066421"/>
    <w:rsid w:val="00071F5C"/>
    <w:rsid w:val="00073595"/>
    <w:rsid w:val="00073EDE"/>
    <w:rsid w:val="00075280"/>
    <w:rsid w:val="00075F81"/>
    <w:rsid w:val="0007637D"/>
    <w:rsid w:val="0007721E"/>
    <w:rsid w:val="00083A90"/>
    <w:rsid w:val="00085175"/>
    <w:rsid w:val="00085FA8"/>
    <w:rsid w:val="00087263"/>
    <w:rsid w:val="000874AF"/>
    <w:rsid w:val="00087520"/>
    <w:rsid w:val="00087722"/>
    <w:rsid w:val="0009120A"/>
    <w:rsid w:val="00091EF4"/>
    <w:rsid w:val="00092AA3"/>
    <w:rsid w:val="00094500"/>
    <w:rsid w:val="00095A60"/>
    <w:rsid w:val="00095CA7"/>
    <w:rsid w:val="00096F5C"/>
    <w:rsid w:val="00096F84"/>
    <w:rsid w:val="000A17FC"/>
    <w:rsid w:val="000A1923"/>
    <w:rsid w:val="000A3276"/>
    <w:rsid w:val="000A3287"/>
    <w:rsid w:val="000A3810"/>
    <w:rsid w:val="000A494C"/>
    <w:rsid w:val="000A4A87"/>
    <w:rsid w:val="000A6230"/>
    <w:rsid w:val="000B1FB2"/>
    <w:rsid w:val="000B2BA0"/>
    <w:rsid w:val="000B307E"/>
    <w:rsid w:val="000B33CF"/>
    <w:rsid w:val="000B3D9D"/>
    <w:rsid w:val="000B469F"/>
    <w:rsid w:val="000B679A"/>
    <w:rsid w:val="000B6C97"/>
    <w:rsid w:val="000B745E"/>
    <w:rsid w:val="000B7E23"/>
    <w:rsid w:val="000C2243"/>
    <w:rsid w:val="000C276E"/>
    <w:rsid w:val="000C2BF3"/>
    <w:rsid w:val="000C31D0"/>
    <w:rsid w:val="000C3475"/>
    <w:rsid w:val="000C50B4"/>
    <w:rsid w:val="000C57B6"/>
    <w:rsid w:val="000C70E1"/>
    <w:rsid w:val="000D1206"/>
    <w:rsid w:val="000D2F5E"/>
    <w:rsid w:val="000D324D"/>
    <w:rsid w:val="000D51FD"/>
    <w:rsid w:val="000D6485"/>
    <w:rsid w:val="000D68A7"/>
    <w:rsid w:val="000D7BA3"/>
    <w:rsid w:val="000E0B99"/>
    <w:rsid w:val="000E1C91"/>
    <w:rsid w:val="000E21CC"/>
    <w:rsid w:val="000E258E"/>
    <w:rsid w:val="000E2DF2"/>
    <w:rsid w:val="000E37B6"/>
    <w:rsid w:val="000E3E8F"/>
    <w:rsid w:val="000E426B"/>
    <w:rsid w:val="000E4E98"/>
    <w:rsid w:val="000E4EAC"/>
    <w:rsid w:val="000E52D5"/>
    <w:rsid w:val="000E6137"/>
    <w:rsid w:val="000E7447"/>
    <w:rsid w:val="000F0331"/>
    <w:rsid w:val="000F077B"/>
    <w:rsid w:val="000F169E"/>
    <w:rsid w:val="000F2A8A"/>
    <w:rsid w:val="000F303A"/>
    <w:rsid w:val="000F33E9"/>
    <w:rsid w:val="000F3545"/>
    <w:rsid w:val="000F5630"/>
    <w:rsid w:val="000F58CA"/>
    <w:rsid w:val="000F606F"/>
    <w:rsid w:val="000F6248"/>
    <w:rsid w:val="00104F3E"/>
    <w:rsid w:val="0010563E"/>
    <w:rsid w:val="0010626D"/>
    <w:rsid w:val="001065CC"/>
    <w:rsid w:val="00106988"/>
    <w:rsid w:val="00107517"/>
    <w:rsid w:val="001075D6"/>
    <w:rsid w:val="0010767F"/>
    <w:rsid w:val="00107B3B"/>
    <w:rsid w:val="00107FF4"/>
    <w:rsid w:val="001100D8"/>
    <w:rsid w:val="001101C7"/>
    <w:rsid w:val="001105D9"/>
    <w:rsid w:val="00111CB9"/>
    <w:rsid w:val="00112203"/>
    <w:rsid w:val="0011231B"/>
    <w:rsid w:val="00112323"/>
    <w:rsid w:val="00112C01"/>
    <w:rsid w:val="0011551C"/>
    <w:rsid w:val="001163EC"/>
    <w:rsid w:val="00116602"/>
    <w:rsid w:val="00121519"/>
    <w:rsid w:val="00121CDD"/>
    <w:rsid w:val="001235B3"/>
    <w:rsid w:val="00125AF2"/>
    <w:rsid w:val="001261AC"/>
    <w:rsid w:val="001264C9"/>
    <w:rsid w:val="00126869"/>
    <w:rsid w:val="00126C45"/>
    <w:rsid w:val="00131C7C"/>
    <w:rsid w:val="001322E2"/>
    <w:rsid w:val="001336CB"/>
    <w:rsid w:val="00133EC2"/>
    <w:rsid w:val="0013406F"/>
    <w:rsid w:val="001352DD"/>
    <w:rsid w:val="00135693"/>
    <w:rsid w:val="00136BE7"/>
    <w:rsid w:val="00137978"/>
    <w:rsid w:val="00137E3A"/>
    <w:rsid w:val="00142375"/>
    <w:rsid w:val="00142632"/>
    <w:rsid w:val="00143BE9"/>
    <w:rsid w:val="001447FF"/>
    <w:rsid w:val="00145061"/>
    <w:rsid w:val="0014510B"/>
    <w:rsid w:val="0014568D"/>
    <w:rsid w:val="001456A7"/>
    <w:rsid w:val="00145851"/>
    <w:rsid w:val="0014646F"/>
    <w:rsid w:val="001476DC"/>
    <w:rsid w:val="00151EEC"/>
    <w:rsid w:val="00151F57"/>
    <w:rsid w:val="00153C20"/>
    <w:rsid w:val="00153E22"/>
    <w:rsid w:val="00153F87"/>
    <w:rsid w:val="0015498A"/>
    <w:rsid w:val="00154C93"/>
    <w:rsid w:val="00155D84"/>
    <w:rsid w:val="001562EE"/>
    <w:rsid w:val="00156683"/>
    <w:rsid w:val="00156E7A"/>
    <w:rsid w:val="00157338"/>
    <w:rsid w:val="001607DD"/>
    <w:rsid w:val="00160A78"/>
    <w:rsid w:val="001613D3"/>
    <w:rsid w:val="001628B2"/>
    <w:rsid w:val="00164060"/>
    <w:rsid w:val="00164D47"/>
    <w:rsid w:val="00170995"/>
    <w:rsid w:val="00171C21"/>
    <w:rsid w:val="0017605B"/>
    <w:rsid w:val="001763CE"/>
    <w:rsid w:val="00183132"/>
    <w:rsid w:val="001833F0"/>
    <w:rsid w:val="00185CAB"/>
    <w:rsid w:val="001867F0"/>
    <w:rsid w:val="00187A35"/>
    <w:rsid w:val="00192F8E"/>
    <w:rsid w:val="00193910"/>
    <w:rsid w:val="00194C2C"/>
    <w:rsid w:val="00196088"/>
    <w:rsid w:val="00196215"/>
    <w:rsid w:val="001974DF"/>
    <w:rsid w:val="001A0346"/>
    <w:rsid w:val="001A06B2"/>
    <w:rsid w:val="001A1867"/>
    <w:rsid w:val="001A1D75"/>
    <w:rsid w:val="001A2845"/>
    <w:rsid w:val="001A365C"/>
    <w:rsid w:val="001A3EEF"/>
    <w:rsid w:val="001A4A6F"/>
    <w:rsid w:val="001A5090"/>
    <w:rsid w:val="001A686A"/>
    <w:rsid w:val="001A7051"/>
    <w:rsid w:val="001B0A8E"/>
    <w:rsid w:val="001B0F16"/>
    <w:rsid w:val="001B15BB"/>
    <w:rsid w:val="001B1A06"/>
    <w:rsid w:val="001B1C56"/>
    <w:rsid w:val="001B2ACA"/>
    <w:rsid w:val="001B2DDD"/>
    <w:rsid w:val="001B38E0"/>
    <w:rsid w:val="001B3953"/>
    <w:rsid w:val="001B49BA"/>
    <w:rsid w:val="001B4D9A"/>
    <w:rsid w:val="001B5B59"/>
    <w:rsid w:val="001C05EF"/>
    <w:rsid w:val="001C070E"/>
    <w:rsid w:val="001C17A1"/>
    <w:rsid w:val="001C1D45"/>
    <w:rsid w:val="001C3734"/>
    <w:rsid w:val="001D0104"/>
    <w:rsid w:val="001D0852"/>
    <w:rsid w:val="001D0A8E"/>
    <w:rsid w:val="001D1166"/>
    <w:rsid w:val="001D15A8"/>
    <w:rsid w:val="001D2307"/>
    <w:rsid w:val="001D4D83"/>
    <w:rsid w:val="001D4DD2"/>
    <w:rsid w:val="001D5C72"/>
    <w:rsid w:val="001D5F05"/>
    <w:rsid w:val="001D6713"/>
    <w:rsid w:val="001E0B63"/>
    <w:rsid w:val="001E0C54"/>
    <w:rsid w:val="001E0DB6"/>
    <w:rsid w:val="001E1203"/>
    <w:rsid w:val="001E136C"/>
    <w:rsid w:val="001E1A94"/>
    <w:rsid w:val="001E1BC9"/>
    <w:rsid w:val="001E1D85"/>
    <w:rsid w:val="001E3789"/>
    <w:rsid w:val="001E556D"/>
    <w:rsid w:val="001E61BD"/>
    <w:rsid w:val="001E7417"/>
    <w:rsid w:val="001E7A52"/>
    <w:rsid w:val="001E7D62"/>
    <w:rsid w:val="001F1160"/>
    <w:rsid w:val="001F1199"/>
    <w:rsid w:val="001F30AC"/>
    <w:rsid w:val="001F3557"/>
    <w:rsid w:val="001F36B5"/>
    <w:rsid w:val="001F3722"/>
    <w:rsid w:val="001F3A91"/>
    <w:rsid w:val="001F3D5B"/>
    <w:rsid w:val="001F4364"/>
    <w:rsid w:val="001F4379"/>
    <w:rsid w:val="001F621C"/>
    <w:rsid w:val="001F6280"/>
    <w:rsid w:val="001F7118"/>
    <w:rsid w:val="001F7989"/>
    <w:rsid w:val="001F7C88"/>
    <w:rsid w:val="001F7EF0"/>
    <w:rsid w:val="0020048B"/>
    <w:rsid w:val="00200970"/>
    <w:rsid w:val="0020196C"/>
    <w:rsid w:val="002020D1"/>
    <w:rsid w:val="00202624"/>
    <w:rsid w:val="00202EC8"/>
    <w:rsid w:val="002035A2"/>
    <w:rsid w:val="00203DD9"/>
    <w:rsid w:val="002041B7"/>
    <w:rsid w:val="00204D33"/>
    <w:rsid w:val="00205CE1"/>
    <w:rsid w:val="00210464"/>
    <w:rsid w:val="00211B54"/>
    <w:rsid w:val="00213A98"/>
    <w:rsid w:val="0021497A"/>
    <w:rsid w:val="002152B3"/>
    <w:rsid w:val="002161A8"/>
    <w:rsid w:val="0021755D"/>
    <w:rsid w:val="00217839"/>
    <w:rsid w:val="00217968"/>
    <w:rsid w:val="00220084"/>
    <w:rsid w:val="002206A8"/>
    <w:rsid w:val="00220FC7"/>
    <w:rsid w:val="0022180C"/>
    <w:rsid w:val="00221FB8"/>
    <w:rsid w:val="0022364E"/>
    <w:rsid w:val="002238E0"/>
    <w:rsid w:val="00223AEF"/>
    <w:rsid w:val="0022535E"/>
    <w:rsid w:val="00225A2A"/>
    <w:rsid w:val="00225A9F"/>
    <w:rsid w:val="00226B75"/>
    <w:rsid w:val="00226D8F"/>
    <w:rsid w:val="00227962"/>
    <w:rsid w:val="00227A70"/>
    <w:rsid w:val="00230DA5"/>
    <w:rsid w:val="00231D94"/>
    <w:rsid w:val="00232C22"/>
    <w:rsid w:val="002366FC"/>
    <w:rsid w:val="0023718C"/>
    <w:rsid w:val="002377A8"/>
    <w:rsid w:val="00240420"/>
    <w:rsid w:val="00242570"/>
    <w:rsid w:val="00242829"/>
    <w:rsid w:val="00243A80"/>
    <w:rsid w:val="00243E56"/>
    <w:rsid w:val="00244636"/>
    <w:rsid w:val="00244744"/>
    <w:rsid w:val="00244EA6"/>
    <w:rsid w:val="00245736"/>
    <w:rsid w:val="00247031"/>
    <w:rsid w:val="00252283"/>
    <w:rsid w:val="002531C0"/>
    <w:rsid w:val="002533E0"/>
    <w:rsid w:val="00253B67"/>
    <w:rsid w:val="00254848"/>
    <w:rsid w:val="00255248"/>
    <w:rsid w:val="002559AC"/>
    <w:rsid w:val="002560B5"/>
    <w:rsid w:val="0025735E"/>
    <w:rsid w:val="00261485"/>
    <w:rsid w:val="002628C4"/>
    <w:rsid w:val="0026310D"/>
    <w:rsid w:val="00263D8A"/>
    <w:rsid w:val="00265AB4"/>
    <w:rsid w:val="00265B4D"/>
    <w:rsid w:val="0026751F"/>
    <w:rsid w:val="00270613"/>
    <w:rsid w:val="002706D4"/>
    <w:rsid w:val="002712F8"/>
    <w:rsid w:val="00271593"/>
    <w:rsid w:val="00271847"/>
    <w:rsid w:val="0027214A"/>
    <w:rsid w:val="00272706"/>
    <w:rsid w:val="0027308E"/>
    <w:rsid w:val="002744A1"/>
    <w:rsid w:val="00274AE8"/>
    <w:rsid w:val="00274C7D"/>
    <w:rsid w:val="002777A6"/>
    <w:rsid w:val="002778D4"/>
    <w:rsid w:val="00277A4A"/>
    <w:rsid w:val="00277F5B"/>
    <w:rsid w:val="00281187"/>
    <w:rsid w:val="0028182A"/>
    <w:rsid w:val="00281CFE"/>
    <w:rsid w:val="00281D67"/>
    <w:rsid w:val="00281E3B"/>
    <w:rsid w:val="002825B4"/>
    <w:rsid w:val="0028296B"/>
    <w:rsid w:val="00282F73"/>
    <w:rsid w:val="002836C8"/>
    <w:rsid w:val="00283F89"/>
    <w:rsid w:val="00284021"/>
    <w:rsid w:val="002906BE"/>
    <w:rsid w:val="00290F25"/>
    <w:rsid w:val="0029126C"/>
    <w:rsid w:val="00292769"/>
    <w:rsid w:val="00293BFE"/>
    <w:rsid w:val="00293C0F"/>
    <w:rsid w:val="00293D3B"/>
    <w:rsid w:val="00293DAD"/>
    <w:rsid w:val="00294624"/>
    <w:rsid w:val="002946A7"/>
    <w:rsid w:val="002964C6"/>
    <w:rsid w:val="002970CA"/>
    <w:rsid w:val="002972F5"/>
    <w:rsid w:val="00297C41"/>
    <w:rsid w:val="002A0327"/>
    <w:rsid w:val="002A0A78"/>
    <w:rsid w:val="002A10C9"/>
    <w:rsid w:val="002A14F1"/>
    <w:rsid w:val="002A2594"/>
    <w:rsid w:val="002A389D"/>
    <w:rsid w:val="002A465D"/>
    <w:rsid w:val="002A56F6"/>
    <w:rsid w:val="002A5BA3"/>
    <w:rsid w:val="002A6BC6"/>
    <w:rsid w:val="002A72E3"/>
    <w:rsid w:val="002A7D49"/>
    <w:rsid w:val="002B1613"/>
    <w:rsid w:val="002B1A2D"/>
    <w:rsid w:val="002B2371"/>
    <w:rsid w:val="002B23FB"/>
    <w:rsid w:val="002B44AA"/>
    <w:rsid w:val="002B4632"/>
    <w:rsid w:val="002B4703"/>
    <w:rsid w:val="002B5506"/>
    <w:rsid w:val="002B573B"/>
    <w:rsid w:val="002B71D8"/>
    <w:rsid w:val="002B7972"/>
    <w:rsid w:val="002C079B"/>
    <w:rsid w:val="002C0A0E"/>
    <w:rsid w:val="002C1E6E"/>
    <w:rsid w:val="002C20E3"/>
    <w:rsid w:val="002C2741"/>
    <w:rsid w:val="002C451D"/>
    <w:rsid w:val="002C4C2B"/>
    <w:rsid w:val="002C4EBB"/>
    <w:rsid w:val="002C5C82"/>
    <w:rsid w:val="002C663D"/>
    <w:rsid w:val="002C7DAF"/>
    <w:rsid w:val="002D025B"/>
    <w:rsid w:val="002D09BA"/>
    <w:rsid w:val="002D25CE"/>
    <w:rsid w:val="002D38B3"/>
    <w:rsid w:val="002D53F8"/>
    <w:rsid w:val="002D5B51"/>
    <w:rsid w:val="002D5FC1"/>
    <w:rsid w:val="002D6641"/>
    <w:rsid w:val="002D666E"/>
    <w:rsid w:val="002D73A3"/>
    <w:rsid w:val="002D7A47"/>
    <w:rsid w:val="002E0722"/>
    <w:rsid w:val="002E1CAD"/>
    <w:rsid w:val="002E29FB"/>
    <w:rsid w:val="002E4292"/>
    <w:rsid w:val="002E4CA3"/>
    <w:rsid w:val="002E62C8"/>
    <w:rsid w:val="002E63C7"/>
    <w:rsid w:val="002E7673"/>
    <w:rsid w:val="002E79BF"/>
    <w:rsid w:val="002F03EB"/>
    <w:rsid w:val="002F083D"/>
    <w:rsid w:val="002F2E27"/>
    <w:rsid w:val="002F3CEB"/>
    <w:rsid w:val="002F48DB"/>
    <w:rsid w:val="002F53F4"/>
    <w:rsid w:val="002F75CF"/>
    <w:rsid w:val="002F7C9F"/>
    <w:rsid w:val="00300CEF"/>
    <w:rsid w:val="00300D1E"/>
    <w:rsid w:val="00301AB5"/>
    <w:rsid w:val="003034D4"/>
    <w:rsid w:val="00303AB8"/>
    <w:rsid w:val="0030404D"/>
    <w:rsid w:val="0030439B"/>
    <w:rsid w:val="00304575"/>
    <w:rsid w:val="00305081"/>
    <w:rsid w:val="00306853"/>
    <w:rsid w:val="00307609"/>
    <w:rsid w:val="0031039B"/>
    <w:rsid w:val="00311988"/>
    <w:rsid w:val="00312DD2"/>
    <w:rsid w:val="00314C85"/>
    <w:rsid w:val="003151E5"/>
    <w:rsid w:val="00315714"/>
    <w:rsid w:val="0031582B"/>
    <w:rsid w:val="00315982"/>
    <w:rsid w:val="00316553"/>
    <w:rsid w:val="003170DE"/>
    <w:rsid w:val="003208E1"/>
    <w:rsid w:val="0032136D"/>
    <w:rsid w:val="00323049"/>
    <w:rsid w:val="00324314"/>
    <w:rsid w:val="00324C9E"/>
    <w:rsid w:val="00326725"/>
    <w:rsid w:val="00326A04"/>
    <w:rsid w:val="00330C91"/>
    <w:rsid w:val="00331298"/>
    <w:rsid w:val="003314AD"/>
    <w:rsid w:val="003329CC"/>
    <w:rsid w:val="00332E84"/>
    <w:rsid w:val="00332F9B"/>
    <w:rsid w:val="003342CF"/>
    <w:rsid w:val="003350BD"/>
    <w:rsid w:val="0033743F"/>
    <w:rsid w:val="003400B7"/>
    <w:rsid w:val="003414E6"/>
    <w:rsid w:val="00341C27"/>
    <w:rsid w:val="00342A82"/>
    <w:rsid w:val="00343C6A"/>
    <w:rsid w:val="0034415B"/>
    <w:rsid w:val="00345D25"/>
    <w:rsid w:val="00347FD0"/>
    <w:rsid w:val="00350874"/>
    <w:rsid w:val="003513B5"/>
    <w:rsid w:val="00351C7B"/>
    <w:rsid w:val="00353EE8"/>
    <w:rsid w:val="0035484D"/>
    <w:rsid w:val="003556AC"/>
    <w:rsid w:val="00355ACC"/>
    <w:rsid w:val="00355D49"/>
    <w:rsid w:val="00356208"/>
    <w:rsid w:val="0035643F"/>
    <w:rsid w:val="003566D7"/>
    <w:rsid w:val="003579B2"/>
    <w:rsid w:val="00357E9E"/>
    <w:rsid w:val="00360169"/>
    <w:rsid w:val="003621A6"/>
    <w:rsid w:val="003642EB"/>
    <w:rsid w:val="0036468A"/>
    <w:rsid w:val="0036621D"/>
    <w:rsid w:val="00366826"/>
    <w:rsid w:val="00367620"/>
    <w:rsid w:val="00373224"/>
    <w:rsid w:val="00376A7A"/>
    <w:rsid w:val="00376BDF"/>
    <w:rsid w:val="00376E71"/>
    <w:rsid w:val="00377FA4"/>
    <w:rsid w:val="003809DE"/>
    <w:rsid w:val="003827B7"/>
    <w:rsid w:val="00384700"/>
    <w:rsid w:val="00385C66"/>
    <w:rsid w:val="00386453"/>
    <w:rsid w:val="00386BE8"/>
    <w:rsid w:val="00386F95"/>
    <w:rsid w:val="0038721E"/>
    <w:rsid w:val="00387623"/>
    <w:rsid w:val="0039017A"/>
    <w:rsid w:val="0039161B"/>
    <w:rsid w:val="00391EA1"/>
    <w:rsid w:val="00392FD8"/>
    <w:rsid w:val="0039477B"/>
    <w:rsid w:val="00396925"/>
    <w:rsid w:val="003973BF"/>
    <w:rsid w:val="0039775B"/>
    <w:rsid w:val="003A0143"/>
    <w:rsid w:val="003A0BAF"/>
    <w:rsid w:val="003A196C"/>
    <w:rsid w:val="003A24B9"/>
    <w:rsid w:val="003A284C"/>
    <w:rsid w:val="003A3E4F"/>
    <w:rsid w:val="003A3F7A"/>
    <w:rsid w:val="003A4257"/>
    <w:rsid w:val="003A4531"/>
    <w:rsid w:val="003A4F7E"/>
    <w:rsid w:val="003A566F"/>
    <w:rsid w:val="003A6A0B"/>
    <w:rsid w:val="003A798F"/>
    <w:rsid w:val="003A7FA7"/>
    <w:rsid w:val="003B04F3"/>
    <w:rsid w:val="003B0967"/>
    <w:rsid w:val="003B0989"/>
    <w:rsid w:val="003B2145"/>
    <w:rsid w:val="003B2D4C"/>
    <w:rsid w:val="003B2F47"/>
    <w:rsid w:val="003B34BF"/>
    <w:rsid w:val="003B71A9"/>
    <w:rsid w:val="003B7CC6"/>
    <w:rsid w:val="003C1354"/>
    <w:rsid w:val="003C2DE1"/>
    <w:rsid w:val="003C2EF8"/>
    <w:rsid w:val="003C336E"/>
    <w:rsid w:val="003C36D7"/>
    <w:rsid w:val="003C38CC"/>
    <w:rsid w:val="003C3E48"/>
    <w:rsid w:val="003C45F0"/>
    <w:rsid w:val="003C46C0"/>
    <w:rsid w:val="003C688C"/>
    <w:rsid w:val="003C6DDC"/>
    <w:rsid w:val="003D1E4B"/>
    <w:rsid w:val="003D27A3"/>
    <w:rsid w:val="003D2936"/>
    <w:rsid w:val="003D2FA2"/>
    <w:rsid w:val="003D45B9"/>
    <w:rsid w:val="003D4D3C"/>
    <w:rsid w:val="003D62A7"/>
    <w:rsid w:val="003D68A9"/>
    <w:rsid w:val="003D6D57"/>
    <w:rsid w:val="003E025B"/>
    <w:rsid w:val="003E0441"/>
    <w:rsid w:val="003E0B96"/>
    <w:rsid w:val="003E1325"/>
    <w:rsid w:val="003E1842"/>
    <w:rsid w:val="003E18CA"/>
    <w:rsid w:val="003E2E84"/>
    <w:rsid w:val="003E3844"/>
    <w:rsid w:val="003E4133"/>
    <w:rsid w:val="003E48A2"/>
    <w:rsid w:val="003E655F"/>
    <w:rsid w:val="003F2559"/>
    <w:rsid w:val="003F4D98"/>
    <w:rsid w:val="003F6D65"/>
    <w:rsid w:val="003F7516"/>
    <w:rsid w:val="003F75DD"/>
    <w:rsid w:val="004004CB"/>
    <w:rsid w:val="00400D44"/>
    <w:rsid w:val="004021E2"/>
    <w:rsid w:val="0040518D"/>
    <w:rsid w:val="00405319"/>
    <w:rsid w:val="00405411"/>
    <w:rsid w:val="00405FE3"/>
    <w:rsid w:val="00406161"/>
    <w:rsid w:val="00406F6D"/>
    <w:rsid w:val="004104B3"/>
    <w:rsid w:val="0041066E"/>
    <w:rsid w:val="00410AF9"/>
    <w:rsid w:val="00411968"/>
    <w:rsid w:val="004123E1"/>
    <w:rsid w:val="004141E9"/>
    <w:rsid w:val="0041425F"/>
    <w:rsid w:val="00414533"/>
    <w:rsid w:val="00416427"/>
    <w:rsid w:val="0042009A"/>
    <w:rsid w:val="00421F23"/>
    <w:rsid w:val="0042303C"/>
    <w:rsid w:val="00423314"/>
    <w:rsid w:val="004239C5"/>
    <w:rsid w:val="00425460"/>
    <w:rsid w:val="0042556B"/>
    <w:rsid w:val="00426F44"/>
    <w:rsid w:val="00427859"/>
    <w:rsid w:val="00427ED2"/>
    <w:rsid w:val="004302BA"/>
    <w:rsid w:val="00431B00"/>
    <w:rsid w:val="00432B66"/>
    <w:rsid w:val="00432C64"/>
    <w:rsid w:val="00433D5E"/>
    <w:rsid w:val="00434789"/>
    <w:rsid w:val="00436CF9"/>
    <w:rsid w:val="00437727"/>
    <w:rsid w:val="004377F9"/>
    <w:rsid w:val="0044281F"/>
    <w:rsid w:val="00442CC8"/>
    <w:rsid w:val="00442DA4"/>
    <w:rsid w:val="004448B9"/>
    <w:rsid w:val="00444F9E"/>
    <w:rsid w:val="00445F38"/>
    <w:rsid w:val="0044619F"/>
    <w:rsid w:val="0044648F"/>
    <w:rsid w:val="0045006D"/>
    <w:rsid w:val="004501C2"/>
    <w:rsid w:val="00450208"/>
    <w:rsid w:val="00450F4E"/>
    <w:rsid w:val="0045271F"/>
    <w:rsid w:val="00453122"/>
    <w:rsid w:val="004533E4"/>
    <w:rsid w:val="00453EE7"/>
    <w:rsid w:val="0045466E"/>
    <w:rsid w:val="004603B3"/>
    <w:rsid w:val="004605F7"/>
    <w:rsid w:val="0046116E"/>
    <w:rsid w:val="004614EB"/>
    <w:rsid w:val="00461C1B"/>
    <w:rsid w:val="0046260E"/>
    <w:rsid w:val="00462B75"/>
    <w:rsid w:val="00463A5D"/>
    <w:rsid w:val="00463B37"/>
    <w:rsid w:val="00463B7E"/>
    <w:rsid w:val="00463D8D"/>
    <w:rsid w:val="004648E7"/>
    <w:rsid w:val="0047080F"/>
    <w:rsid w:val="00470DCE"/>
    <w:rsid w:val="00471D8C"/>
    <w:rsid w:val="00471F82"/>
    <w:rsid w:val="004725B2"/>
    <w:rsid w:val="00472AD5"/>
    <w:rsid w:val="00472CD3"/>
    <w:rsid w:val="00472DE7"/>
    <w:rsid w:val="0047361E"/>
    <w:rsid w:val="004753CF"/>
    <w:rsid w:val="00477B07"/>
    <w:rsid w:val="00477F0A"/>
    <w:rsid w:val="00480318"/>
    <w:rsid w:val="00480659"/>
    <w:rsid w:val="00480EA4"/>
    <w:rsid w:val="00480EE9"/>
    <w:rsid w:val="004818AD"/>
    <w:rsid w:val="004824F7"/>
    <w:rsid w:val="00483747"/>
    <w:rsid w:val="004838FA"/>
    <w:rsid w:val="00483BA3"/>
    <w:rsid w:val="00483D1B"/>
    <w:rsid w:val="00485439"/>
    <w:rsid w:val="004870F2"/>
    <w:rsid w:val="0049034C"/>
    <w:rsid w:val="004904A7"/>
    <w:rsid w:val="004904E8"/>
    <w:rsid w:val="00490D43"/>
    <w:rsid w:val="0049198B"/>
    <w:rsid w:val="004919DE"/>
    <w:rsid w:val="0049209A"/>
    <w:rsid w:val="004922F6"/>
    <w:rsid w:val="0049317A"/>
    <w:rsid w:val="00493EBC"/>
    <w:rsid w:val="0049409C"/>
    <w:rsid w:val="004944DF"/>
    <w:rsid w:val="00494E23"/>
    <w:rsid w:val="0049531A"/>
    <w:rsid w:val="0049583C"/>
    <w:rsid w:val="00495E3E"/>
    <w:rsid w:val="004971F2"/>
    <w:rsid w:val="00497AAF"/>
    <w:rsid w:val="00497CB5"/>
    <w:rsid w:val="004A10FD"/>
    <w:rsid w:val="004A11A4"/>
    <w:rsid w:val="004A13B6"/>
    <w:rsid w:val="004A28C5"/>
    <w:rsid w:val="004A2C28"/>
    <w:rsid w:val="004A44F8"/>
    <w:rsid w:val="004A4B2C"/>
    <w:rsid w:val="004A6873"/>
    <w:rsid w:val="004A721A"/>
    <w:rsid w:val="004B1B26"/>
    <w:rsid w:val="004B213D"/>
    <w:rsid w:val="004B3A18"/>
    <w:rsid w:val="004B4502"/>
    <w:rsid w:val="004B4705"/>
    <w:rsid w:val="004B6153"/>
    <w:rsid w:val="004B70F6"/>
    <w:rsid w:val="004B75CF"/>
    <w:rsid w:val="004B792E"/>
    <w:rsid w:val="004B7994"/>
    <w:rsid w:val="004C03B3"/>
    <w:rsid w:val="004C1732"/>
    <w:rsid w:val="004C19F8"/>
    <w:rsid w:val="004C236B"/>
    <w:rsid w:val="004C3A08"/>
    <w:rsid w:val="004C42C0"/>
    <w:rsid w:val="004C47B5"/>
    <w:rsid w:val="004C4EED"/>
    <w:rsid w:val="004C65EC"/>
    <w:rsid w:val="004C7463"/>
    <w:rsid w:val="004C767E"/>
    <w:rsid w:val="004D01D7"/>
    <w:rsid w:val="004D1ABC"/>
    <w:rsid w:val="004D253C"/>
    <w:rsid w:val="004D287D"/>
    <w:rsid w:val="004D2B2F"/>
    <w:rsid w:val="004D2BD8"/>
    <w:rsid w:val="004D2C76"/>
    <w:rsid w:val="004D45A1"/>
    <w:rsid w:val="004D4947"/>
    <w:rsid w:val="004D4DCE"/>
    <w:rsid w:val="004D4EFD"/>
    <w:rsid w:val="004D524A"/>
    <w:rsid w:val="004D67E4"/>
    <w:rsid w:val="004D7642"/>
    <w:rsid w:val="004D7959"/>
    <w:rsid w:val="004E091A"/>
    <w:rsid w:val="004E24AB"/>
    <w:rsid w:val="004E3253"/>
    <w:rsid w:val="004E3C02"/>
    <w:rsid w:val="004E4582"/>
    <w:rsid w:val="004E66B8"/>
    <w:rsid w:val="004E69C6"/>
    <w:rsid w:val="004E69E5"/>
    <w:rsid w:val="004E6E54"/>
    <w:rsid w:val="004E770D"/>
    <w:rsid w:val="004E7E96"/>
    <w:rsid w:val="004F08CC"/>
    <w:rsid w:val="004F0D7A"/>
    <w:rsid w:val="004F4591"/>
    <w:rsid w:val="004F4E75"/>
    <w:rsid w:val="004F5B15"/>
    <w:rsid w:val="004F5FD3"/>
    <w:rsid w:val="004F702F"/>
    <w:rsid w:val="004F7A9C"/>
    <w:rsid w:val="00500472"/>
    <w:rsid w:val="00500DBC"/>
    <w:rsid w:val="00500DD1"/>
    <w:rsid w:val="00502453"/>
    <w:rsid w:val="00502564"/>
    <w:rsid w:val="0050371E"/>
    <w:rsid w:val="00503AF3"/>
    <w:rsid w:val="00503BFD"/>
    <w:rsid w:val="0050456C"/>
    <w:rsid w:val="00505C2F"/>
    <w:rsid w:val="00506859"/>
    <w:rsid w:val="00506BB2"/>
    <w:rsid w:val="005072D0"/>
    <w:rsid w:val="005075CC"/>
    <w:rsid w:val="0051002D"/>
    <w:rsid w:val="00510644"/>
    <w:rsid w:val="0051277E"/>
    <w:rsid w:val="00512997"/>
    <w:rsid w:val="00513333"/>
    <w:rsid w:val="00513A49"/>
    <w:rsid w:val="005155AE"/>
    <w:rsid w:val="005166F2"/>
    <w:rsid w:val="00516972"/>
    <w:rsid w:val="00517AE6"/>
    <w:rsid w:val="00521713"/>
    <w:rsid w:val="00524833"/>
    <w:rsid w:val="00524D5F"/>
    <w:rsid w:val="00526720"/>
    <w:rsid w:val="0052727E"/>
    <w:rsid w:val="005309CC"/>
    <w:rsid w:val="0053130F"/>
    <w:rsid w:val="00531ED5"/>
    <w:rsid w:val="005323F4"/>
    <w:rsid w:val="005325BE"/>
    <w:rsid w:val="0053462C"/>
    <w:rsid w:val="005355CF"/>
    <w:rsid w:val="00535C85"/>
    <w:rsid w:val="00535FD5"/>
    <w:rsid w:val="005373F0"/>
    <w:rsid w:val="0053779F"/>
    <w:rsid w:val="00537F19"/>
    <w:rsid w:val="00540763"/>
    <w:rsid w:val="00541DF6"/>
    <w:rsid w:val="00542DA4"/>
    <w:rsid w:val="0054344C"/>
    <w:rsid w:val="00544D7A"/>
    <w:rsid w:val="00545901"/>
    <w:rsid w:val="0054727D"/>
    <w:rsid w:val="00551BF9"/>
    <w:rsid w:val="0055400D"/>
    <w:rsid w:val="00554A70"/>
    <w:rsid w:val="00557EB9"/>
    <w:rsid w:val="00560D15"/>
    <w:rsid w:val="00560EC4"/>
    <w:rsid w:val="00561237"/>
    <w:rsid w:val="00561571"/>
    <w:rsid w:val="00562604"/>
    <w:rsid w:val="00562EF4"/>
    <w:rsid w:val="00565954"/>
    <w:rsid w:val="00566333"/>
    <w:rsid w:val="00566E1C"/>
    <w:rsid w:val="005673D1"/>
    <w:rsid w:val="00570312"/>
    <w:rsid w:val="00572CDC"/>
    <w:rsid w:val="00572DD3"/>
    <w:rsid w:val="005738D7"/>
    <w:rsid w:val="005739EE"/>
    <w:rsid w:val="00573A4C"/>
    <w:rsid w:val="00574159"/>
    <w:rsid w:val="00574826"/>
    <w:rsid w:val="00574C20"/>
    <w:rsid w:val="00574F2C"/>
    <w:rsid w:val="00575127"/>
    <w:rsid w:val="0057563D"/>
    <w:rsid w:val="005775BA"/>
    <w:rsid w:val="00577AF4"/>
    <w:rsid w:val="005803CF"/>
    <w:rsid w:val="00580B12"/>
    <w:rsid w:val="0058150A"/>
    <w:rsid w:val="00581DF5"/>
    <w:rsid w:val="00581E79"/>
    <w:rsid w:val="0058203D"/>
    <w:rsid w:val="00582FD3"/>
    <w:rsid w:val="0058357B"/>
    <w:rsid w:val="0058371E"/>
    <w:rsid w:val="0058411E"/>
    <w:rsid w:val="005850F4"/>
    <w:rsid w:val="005876CD"/>
    <w:rsid w:val="00587A81"/>
    <w:rsid w:val="00587F41"/>
    <w:rsid w:val="00590CC9"/>
    <w:rsid w:val="00591738"/>
    <w:rsid w:val="005920CC"/>
    <w:rsid w:val="005924B5"/>
    <w:rsid w:val="00592AD6"/>
    <w:rsid w:val="00592AE1"/>
    <w:rsid w:val="00592C4F"/>
    <w:rsid w:val="005932C2"/>
    <w:rsid w:val="00594DB7"/>
    <w:rsid w:val="00595F69"/>
    <w:rsid w:val="00597C93"/>
    <w:rsid w:val="005A105B"/>
    <w:rsid w:val="005A121D"/>
    <w:rsid w:val="005A166B"/>
    <w:rsid w:val="005A1F72"/>
    <w:rsid w:val="005A2305"/>
    <w:rsid w:val="005A27B3"/>
    <w:rsid w:val="005A2974"/>
    <w:rsid w:val="005A2E10"/>
    <w:rsid w:val="005A2F23"/>
    <w:rsid w:val="005A3188"/>
    <w:rsid w:val="005A4AB1"/>
    <w:rsid w:val="005A4E23"/>
    <w:rsid w:val="005A5E74"/>
    <w:rsid w:val="005A6036"/>
    <w:rsid w:val="005A7951"/>
    <w:rsid w:val="005A79FB"/>
    <w:rsid w:val="005B27C5"/>
    <w:rsid w:val="005B67EF"/>
    <w:rsid w:val="005B7D44"/>
    <w:rsid w:val="005C0788"/>
    <w:rsid w:val="005C1D5B"/>
    <w:rsid w:val="005C22A1"/>
    <w:rsid w:val="005C27D3"/>
    <w:rsid w:val="005C2881"/>
    <w:rsid w:val="005C2CBA"/>
    <w:rsid w:val="005C3EFA"/>
    <w:rsid w:val="005C4F8F"/>
    <w:rsid w:val="005C5898"/>
    <w:rsid w:val="005C5DE2"/>
    <w:rsid w:val="005C74CC"/>
    <w:rsid w:val="005C77D5"/>
    <w:rsid w:val="005D1E99"/>
    <w:rsid w:val="005D3E13"/>
    <w:rsid w:val="005D6EEF"/>
    <w:rsid w:val="005D7739"/>
    <w:rsid w:val="005D7EE9"/>
    <w:rsid w:val="005E1D54"/>
    <w:rsid w:val="005E2DC6"/>
    <w:rsid w:val="005E2EFF"/>
    <w:rsid w:val="005E4D46"/>
    <w:rsid w:val="005E4DD1"/>
    <w:rsid w:val="005E525A"/>
    <w:rsid w:val="005E525C"/>
    <w:rsid w:val="005E53E0"/>
    <w:rsid w:val="005E5AD2"/>
    <w:rsid w:val="005E5D62"/>
    <w:rsid w:val="005E6380"/>
    <w:rsid w:val="005E71C6"/>
    <w:rsid w:val="005E7D0B"/>
    <w:rsid w:val="005F03B0"/>
    <w:rsid w:val="005F0A64"/>
    <w:rsid w:val="005F0B17"/>
    <w:rsid w:val="005F1659"/>
    <w:rsid w:val="005F2786"/>
    <w:rsid w:val="005F2BC1"/>
    <w:rsid w:val="005F2DF9"/>
    <w:rsid w:val="005F31C4"/>
    <w:rsid w:val="005F364F"/>
    <w:rsid w:val="005F3681"/>
    <w:rsid w:val="005F409E"/>
    <w:rsid w:val="005F4E9D"/>
    <w:rsid w:val="005F7003"/>
    <w:rsid w:val="005F7069"/>
    <w:rsid w:val="005F70C6"/>
    <w:rsid w:val="006002F0"/>
    <w:rsid w:val="006008B1"/>
    <w:rsid w:val="00600BC2"/>
    <w:rsid w:val="00600FAC"/>
    <w:rsid w:val="00601044"/>
    <w:rsid w:val="00602BF1"/>
    <w:rsid w:val="0060437D"/>
    <w:rsid w:val="00604EB0"/>
    <w:rsid w:val="0060604C"/>
    <w:rsid w:val="006078A2"/>
    <w:rsid w:val="006103D8"/>
    <w:rsid w:val="00610488"/>
    <w:rsid w:val="00610942"/>
    <w:rsid w:val="006123B0"/>
    <w:rsid w:val="006127A3"/>
    <w:rsid w:val="006138D9"/>
    <w:rsid w:val="00615685"/>
    <w:rsid w:val="00616693"/>
    <w:rsid w:val="0061758D"/>
    <w:rsid w:val="00617E59"/>
    <w:rsid w:val="00620016"/>
    <w:rsid w:val="00622B88"/>
    <w:rsid w:val="00622D5E"/>
    <w:rsid w:val="00623075"/>
    <w:rsid w:val="006233AA"/>
    <w:rsid w:val="00623804"/>
    <w:rsid w:val="0062599A"/>
    <w:rsid w:val="00625A3D"/>
    <w:rsid w:val="00626411"/>
    <w:rsid w:val="006270E6"/>
    <w:rsid w:val="0062727B"/>
    <w:rsid w:val="006272C1"/>
    <w:rsid w:val="00630711"/>
    <w:rsid w:val="00632D4B"/>
    <w:rsid w:val="006332CF"/>
    <w:rsid w:val="00633984"/>
    <w:rsid w:val="00634407"/>
    <w:rsid w:val="00634A9B"/>
    <w:rsid w:val="00634F94"/>
    <w:rsid w:val="00641143"/>
    <w:rsid w:val="00641277"/>
    <w:rsid w:val="00641348"/>
    <w:rsid w:val="006416F6"/>
    <w:rsid w:val="00642928"/>
    <w:rsid w:val="00642E31"/>
    <w:rsid w:val="00643608"/>
    <w:rsid w:val="00643ACC"/>
    <w:rsid w:val="00644612"/>
    <w:rsid w:val="006453C7"/>
    <w:rsid w:val="00645601"/>
    <w:rsid w:val="006457D1"/>
    <w:rsid w:val="00646A85"/>
    <w:rsid w:val="00647A8C"/>
    <w:rsid w:val="00647AAA"/>
    <w:rsid w:val="00652743"/>
    <w:rsid w:val="00652770"/>
    <w:rsid w:val="0065350A"/>
    <w:rsid w:val="00653745"/>
    <w:rsid w:val="006540EA"/>
    <w:rsid w:val="00661168"/>
    <w:rsid w:val="006623B6"/>
    <w:rsid w:val="006626BD"/>
    <w:rsid w:val="006631D8"/>
    <w:rsid w:val="006636C1"/>
    <w:rsid w:val="00664C28"/>
    <w:rsid w:val="0066664B"/>
    <w:rsid w:val="00666986"/>
    <w:rsid w:val="00667CB7"/>
    <w:rsid w:val="00670ABE"/>
    <w:rsid w:val="00673AB3"/>
    <w:rsid w:val="006748A4"/>
    <w:rsid w:val="00675518"/>
    <w:rsid w:val="00675C52"/>
    <w:rsid w:val="00675E6C"/>
    <w:rsid w:val="0068031A"/>
    <w:rsid w:val="006803E4"/>
    <w:rsid w:val="00680400"/>
    <w:rsid w:val="006806C5"/>
    <w:rsid w:val="00682972"/>
    <w:rsid w:val="00682AEC"/>
    <w:rsid w:val="00682B55"/>
    <w:rsid w:val="00682E1E"/>
    <w:rsid w:val="006859DC"/>
    <w:rsid w:val="00685B7C"/>
    <w:rsid w:val="00686C0A"/>
    <w:rsid w:val="00686EBE"/>
    <w:rsid w:val="00687A23"/>
    <w:rsid w:val="00687BDD"/>
    <w:rsid w:val="00687CFD"/>
    <w:rsid w:val="00691F2A"/>
    <w:rsid w:val="0069252B"/>
    <w:rsid w:val="00692642"/>
    <w:rsid w:val="00692E41"/>
    <w:rsid w:val="00693C7D"/>
    <w:rsid w:val="006969C6"/>
    <w:rsid w:val="00697B51"/>
    <w:rsid w:val="006A03D6"/>
    <w:rsid w:val="006A1E4F"/>
    <w:rsid w:val="006A3563"/>
    <w:rsid w:val="006A4AC1"/>
    <w:rsid w:val="006A5AF9"/>
    <w:rsid w:val="006A5F10"/>
    <w:rsid w:val="006B1F12"/>
    <w:rsid w:val="006B215E"/>
    <w:rsid w:val="006B38BC"/>
    <w:rsid w:val="006B3FE7"/>
    <w:rsid w:val="006B64DE"/>
    <w:rsid w:val="006B695A"/>
    <w:rsid w:val="006B7DA5"/>
    <w:rsid w:val="006C0CAA"/>
    <w:rsid w:val="006C0E59"/>
    <w:rsid w:val="006C1140"/>
    <w:rsid w:val="006C2641"/>
    <w:rsid w:val="006C2CA0"/>
    <w:rsid w:val="006C4AE7"/>
    <w:rsid w:val="006C5477"/>
    <w:rsid w:val="006C57EE"/>
    <w:rsid w:val="006C5F66"/>
    <w:rsid w:val="006C6AD6"/>
    <w:rsid w:val="006C6BAD"/>
    <w:rsid w:val="006D1D1B"/>
    <w:rsid w:val="006D30D6"/>
    <w:rsid w:val="006D3112"/>
    <w:rsid w:val="006D379D"/>
    <w:rsid w:val="006D3E33"/>
    <w:rsid w:val="006D4B29"/>
    <w:rsid w:val="006D526B"/>
    <w:rsid w:val="006D5FF3"/>
    <w:rsid w:val="006D6859"/>
    <w:rsid w:val="006D7655"/>
    <w:rsid w:val="006D7987"/>
    <w:rsid w:val="006E010A"/>
    <w:rsid w:val="006E0C6C"/>
    <w:rsid w:val="006E10B5"/>
    <w:rsid w:val="006E13EA"/>
    <w:rsid w:val="006E6465"/>
    <w:rsid w:val="006E660F"/>
    <w:rsid w:val="006E7CCD"/>
    <w:rsid w:val="006F2384"/>
    <w:rsid w:val="006F2B89"/>
    <w:rsid w:val="006F34F2"/>
    <w:rsid w:val="006F36A7"/>
    <w:rsid w:val="006F5501"/>
    <w:rsid w:val="006F61D8"/>
    <w:rsid w:val="00700460"/>
    <w:rsid w:val="00700C20"/>
    <w:rsid w:val="007022CB"/>
    <w:rsid w:val="0070396F"/>
    <w:rsid w:val="0070560C"/>
    <w:rsid w:val="007067D3"/>
    <w:rsid w:val="00706965"/>
    <w:rsid w:val="007070F0"/>
    <w:rsid w:val="007072A5"/>
    <w:rsid w:val="007077DC"/>
    <w:rsid w:val="00707A2C"/>
    <w:rsid w:val="00710BA8"/>
    <w:rsid w:val="00710E9E"/>
    <w:rsid w:val="00713735"/>
    <w:rsid w:val="00713D2A"/>
    <w:rsid w:val="007147C8"/>
    <w:rsid w:val="00714CA2"/>
    <w:rsid w:val="0071690C"/>
    <w:rsid w:val="00717307"/>
    <w:rsid w:val="00720C29"/>
    <w:rsid w:val="00720D27"/>
    <w:rsid w:val="00722C8E"/>
    <w:rsid w:val="00723448"/>
    <w:rsid w:val="0072436B"/>
    <w:rsid w:val="00724CC7"/>
    <w:rsid w:val="007259D2"/>
    <w:rsid w:val="00725D00"/>
    <w:rsid w:val="007269C5"/>
    <w:rsid w:val="00726AC2"/>
    <w:rsid w:val="00730C90"/>
    <w:rsid w:val="00731DCA"/>
    <w:rsid w:val="007346AD"/>
    <w:rsid w:val="00734DC3"/>
    <w:rsid w:val="00735F31"/>
    <w:rsid w:val="0073718C"/>
    <w:rsid w:val="00737F58"/>
    <w:rsid w:val="00737F74"/>
    <w:rsid w:val="00745408"/>
    <w:rsid w:val="0074784D"/>
    <w:rsid w:val="00747DBC"/>
    <w:rsid w:val="007508B9"/>
    <w:rsid w:val="007508EA"/>
    <w:rsid w:val="00750A04"/>
    <w:rsid w:val="00751062"/>
    <w:rsid w:val="00752007"/>
    <w:rsid w:val="00754C9B"/>
    <w:rsid w:val="007567D3"/>
    <w:rsid w:val="007569A5"/>
    <w:rsid w:val="0076065C"/>
    <w:rsid w:val="00760EA6"/>
    <w:rsid w:val="007622EB"/>
    <w:rsid w:val="00762DBD"/>
    <w:rsid w:val="00762F94"/>
    <w:rsid w:val="007633D9"/>
    <w:rsid w:val="00765AC5"/>
    <w:rsid w:val="0077032B"/>
    <w:rsid w:val="00770C1A"/>
    <w:rsid w:val="0077107C"/>
    <w:rsid w:val="00771366"/>
    <w:rsid w:val="0077187E"/>
    <w:rsid w:val="0077199F"/>
    <w:rsid w:val="00771E5E"/>
    <w:rsid w:val="00772054"/>
    <w:rsid w:val="00772A38"/>
    <w:rsid w:val="007734D1"/>
    <w:rsid w:val="00773B0E"/>
    <w:rsid w:val="00774634"/>
    <w:rsid w:val="00775945"/>
    <w:rsid w:val="00776F26"/>
    <w:rsid w:val="00777271"/>
    <w:rsid w:val="00777F20"/>
    <w:rsid w:val="007805AE"/>
    <w:rsid w:val="00780EA8"/>
    <w:rsid w:val="0078131D"/>
    <w:rsid w:val="00782ADF"/>
    <w:rsid w:val="00783353"/>
    <w:rsid w:val="0078369E"/>
    <w:rsid w:val="00785200"/>
    <w:rsid w:val="00785B5C"/>
    <w:rsid w:val="00785D51"/>
    <w:rsid w:val="00787279"/>
    <w:rsid w:val="00787537"/>
    <w:rsid w:val="00791EC1"/>
    <w:rsid w:val="00794ECE"/>
    <w:rsid w:val="00795170"/>
    <w:rsid w:val="00795D09"/>
    <w:rsid w:val="00796C81"/>
    <w:rsid w:val="00796F62"/>
    <w:rsid w:val="00797607"/>
    <w:rsid w:val="00797FAA"/>
    <w:rsid w:val="007A0636"/>
    <w:rsid w:val="007A1AA7"/>
    <w:rsid w:val="007A4CF7"/>
    <w:rsid w:val="007A703F"/>
    <w:rsid w:val="007B32C3"/>
    <w:rsid w:val="007B3AE8"/>
    <w:rsid w:val="007B41F2"/>
    <w:rsid w:val="007B42F7"/>
    <w:rsid w:val="007B4BF6"/>
    <w:rsid w:val="007B583E"/>
    <w:rsid w:val="007B6158"/>
    <w:rsid w:val="007B61D6"/>
    <w:rsid w:val="007B69A5"/>
    <w:rsid w:val="007C0686"/>
    <w:rsid w:val="007C0978"/>
    <w:rsid w:val="007C0EBA"/>
    <w:rsid w:val="007C0ECB"/>
    <w:rsid w:val="007C2712"/>
    <w:rsid w:val="007C45E8"/>
    <w:rsid w:val="007C4891"/>
    <w:rsid w:val="007C4A66"/>
    <w:rsid w:val="007C4A8A"/>
    <w:rsid w:val="007C6EAB"/>
    <w:rsid w:val="007C7166"/>
    <w:rsid w:val="007C7316"/>
    <w:rsid w:val="007C7AA1"/>
    <w:rsid w:val="007D001B"/>
    <w:rsid w:val="007D2014"/>
    <w:rsid w:val="007D23F8"/>
    <w:rsid w:val="007D283F"/>
    <w:rsid w:val="007D304B"/>
    <w:rsid w:val="007D45CD"/>
    <w:rsid w:val="007D4C69"/>
    <w:rsid w:val="007D6679"/>
    <w:rsid w:val="007D6894"/>
    <w:rsid w:val="007D7B92"/>
    <w:rsid w:val="007E040D"/>
    <w:rsid w:val="007E06EE"/>
    <w:rsid w:val="007E087A"/>
    <w:rsid w:val="007E0C08"/>
    <w:rsid w:val="007E1138"/>
    <w:rsid w:val="007E2804"/>
    <w:rsid w:val="007E50E9"/>
    <w:rsid w:val="007E5295"/>
    <w:rsid w:val="007E6FAA"/>
    <w:rsid w:val="007F01F2"/>
    <w:rsid w:val="007F1190"/>
    <w:rsid w:val="007F1760"/>
    <w:rsid w:val="007F1954"/>
    <w:rsid w:val="007F19E4"/>
    <w:rsid w:val="007F1CC0"/>
    <w:rsid w:val="007F304D"/>
    <w:rsid w:val="007F3AB6"/>
    <w:rsid w:val="007F3EF8"/>
    <w:rsid w:val="007F4B2B"/>
    <w:rsid w:val="007F53B2"/>
    <w:rsid w:val="007F5CCD"/>
    <w:rsid w:val="007F5F5B"/>
    <w:rsid w:val="007F60FD"/>
    <w:rsid w:val="007F6408"/>
    <w:rsid w:val="007F6B85"/>
    <w:rsid w:val="007F7330"/>
    <w:rsid w:val="007F7B0D"/>
    <w:rsid w:val="008003E6"/>
    <w:rsid w:val="008021D3"/>
    <w:rsid w:val="00802940"/>
    <w:rsid w:val="00802B27"/>
    <w:rsid w:val="0080338E"/>
    <w:rsid w:val="008038BD"/>
    <w:rsid w:val="00804081"/>
    <w:rsid w:val="00804D6C"/>
    <w:rsid w:val="008051FE"/>
    <w:rsid w:val="00811DDC"/>
    <w:rsid w:val="0081222C"/>
    <w:rsid w:val="00812260"/>
    <w:rsid w:val="0081305F"/>
    <w:rsid w:val="00814E68"/>
    <w:rsid w:val="00814E7D"/>
    <w:rsid w:val="008162CE"/>
    <w:rsid w:val="00816356"/>
    <w:rsid w:val="0081643D"/>
    <w:rsid w:val="008174A5"/>
    <w:rsid w:val="008205BA"/>
    <w:rsid w:val="00821FFD"/>
    <w:rsid w:val="008223F2"/>
    <w:rsid w:val="008227DF"/>
    <w:rsid w:val="008235BC"/>
    <w:rsid w:val="008245D0"/>
    <w:rsid w:val="0082492A"/>
    <w:rsid w:val="00824B01"/>
    <w:rsid w:val="0082528F"/>
    <w:rsid w:val="008261D7"/>
    <w:rsid w:val="00827A56"/>
    <w:rsid w:val="00827BEA"/>
    <w:rsid w:val="00830EF0"/>
    <w:rsid w:val="00831E5F"/>
    <w:rsid w:val="00833B59"/>
    <w:rsid w:val="0083474C"/>
    <w:rsid w:val="008349FB"/>
    <w:rsid w:val="00834F2C"/>
    <w:rsid w:val="008355AE"/>
    <w:rsid w:val="0083569F"/>
    <w:rsid w:val="00835DEF"/>
    <w:rsid w:val="00836EC1"/>
    <w:rsid w:val="00837A3A"/>
    <w:rsid w:val="00840D36"/>
    <w:rsid w:val="00840F5C"/>
    <w:rsid w:val="00841182"/>
    <w:rsid w:val="00842BD4"/>
    <w:rsid w:val="00843922"/>
    <w:rsid w:val="00844297"/>
    <w:rsid w:val="0084448B"/>
    <w:rsid w:val="0084463A"/>
    <w:rsid w:val="0084531E"/>
    <w:rsid w:val="0084649C"/>
    <w:rsid w:val="00847E4B"/>
    <w:rsid w:val="008526F5"/>
    <w:rsid w:val="00852B0A"/>
    <w:rsid w:val="00852DD2"/>
    <w:rsid w:val="00853121"/>
    <w:rsid w:val="00855016"/>
    <w:rsid w:val="008560FD"/>
    <w:rsid w:val="00860F32"/>
    <w:rsid w:val="00862665"/>
    <w:rsid w:val="00862742"/>
    <w:rsid w:val="00862970"/>
    <w:rsid w:val="00863621"/>
    <w:rsid w:val="00863C34"/>
    <w:rsid w:val="008651D0"/>
    <w:rsid w:val="00865CE8"/>
    <w:rsid w:val="00865E15"/>
    <w:rsid w:val="00866CB3"/>
    <w:rsid w:val="00867D0B"/>
    <w:rsid w:val="008701CE"/>
    <w:rsid w:val="0087081F"/>
    <w:rsid w:val="00870850"/>
    <w:rsid w:val="00871145"/>
    <w:rsid w:val="00872226"/>
    <w:rsid w:val="00873252"/>
    <w:rsid w:val="00874847"/>
    <w:rsid w:val="00875401"/>
    <w:rsid w:val="00875A6B"/>
    <w:rsid w:val="00876704"/>
    <w:rsid w:val="00880658"/>
    <w:rsid w:val="00880DD5"/>
    <w:rsid w:val="00881319"/>
    <w:rsid w:val="00881876"/>
    <w:rsid w:val="0088220E"/>
    <w:rsid w:val="008827C9"/>
    <w:rsid w:val="00883BAB"/>
    <w:rsid w:val="008843C6"/>
    <w:rsid w:val="0088488E"/>
    <w:rsid w:val="00885395"/>
    <w:rsid w:val="008858CB"/>
    <w:rsid w:val="008866C8"/>
    <w:rsid w:val="00886775"/>
    <w:rsid w:val="00886B1F"/>
    <w:rsid w:val="0088746C"/>
    <w:rsid w:val="00887B02"/>
    <w:rsid w:val="00887C47"/>
    <w:rsid w:val="00890C08"/>
    <w:rsid w:val="00892177"/>
    <w:rsid w:val="00892639"/>
    <w:rsid w:val="008938C3"/>
    <w:rsid w:val="00893FDE"/>
    <w:rsid w:val="00895A00"/>
    <w:rsid w:val="00895B39"/>
    <w:rsid w:val="00897931"/>
    <w:rsid w:val="008979F0"/>
    <w:rsid w:val="00897B32"/>
    <w:rsid w:val="00897C22"/>
    <w:rsid w:val="008A1E81"/>
    <w:rsid w:val="008A2751"/>
    <w:rsid w:val="008A53C0"/>
    <w:rsid w:val="008A5B49"/>
    <w:rsid w:val="008A682A"/>
    <w:rsid w:val="008A6AD8"/>
    <w:rsid w:val="008A706E"/>
    <w:rsid w:val="008A758D"/>
    <w:rsid w:val="008A79F7"/>
    <w:rsid w:val="008B0094"/>
    <w:rsid w:val="008B34A0"/>
    <w:rsid w:val="008B3E2F"/>
    <w:rsid w:val="008B427B"/>
    <w:rsid w:val="008B4669"/>
    <w:rsid w:val="008B58D8"/>
    <w:rsid w:val="008B5DDC"/>
    <w:rsid w:val="008B6438"/>
    <w:rsid w:val="008B73FD"/>
    <w:rsid w:val="008C123E"/>
    <w:rsid w:val="008C1987"/>
    <w:rsid w:val="008C2307"/>
    <w:rsid w:val="008C3110"/>
    <w:rsid w:val="008C511A"/>
    <w:rsid w:val="008C5310"/>
    <w:rsid w:val="008C58E5"/>
    <w:rsid w:val="008C643E"/>
    <w:rsid w:val="008D01B6"/>
    <w:rsid w:val="008D08F5"/>
    <w:rsid w:val="008D0C21"/>
    <w:rsid w:val="008D1B4E"/>
    <w:rsid w:val="008D24A8"/>
    <w:rsid w:val="008D2E0F"/>
    <w:rsid w:val="008D3833"/>
    <w:rsid w:val="008D3FCA"/>
    <w:rsid w:val="008D479E"/>
    <w:rsid w:val="008D565F"/>
    <w:rsid w:val="008D6308"/>
    <w:rsid w:val="008D6CB2"/>
    <w:rsid w:val="008D6CBA"/>
    <w:rsid w:val="008D6CDF"/>
    <w:rsid w:val="008D7AC1"/>
    <w:rsid w:val="008E0C77"/>
    <w:rsid w:val="008E0D6A"/>
    <w:rsid w:val="008E0E49"/>
    <w:rsid w:val="008E1A36"/>
    <w:rsid w:val="008E1B8A"/>
    <w:rsid w:val="008E1C71"/>
    <w:rsid w:val="008E1DEB"/>
    <w:rsid w:val="008E2285"/>
    <w:rsid w:val="008E33EC"/>
    <w:rsid w:val="008E3883"/>
    <w:rsid w:val="008E415D"/>
    <w:rsid w:val="008E4836"/>
    <w:rsid w:val="008E62D7"/>
    <w:rsid w:val="008E683D"/>
    <w:rsid w:val="008E6C9E"/>
    <w:rsid w:val="008E7E9F"/>
    <w:rsid w:val="008F38F2"/>
    <w:rsid w:val="008F4518"/>
    <w:rsid w:val="008F58E5"/>
    <w:rsid w:val="009000D6"/>
    <w:rsid w:val="00900906"/>
    <w:rsid w:val="00900A4E"/>
    <w:rsid w:val="00900CC7"/>
    <w:rsid w:val="00903487"/>
    <w:rsid w:val="009036B8"/>
    <w:rsid w:val="00903E72"/>
    <w:rsid w:val="0090463A"/>
    <w:rsid w:val="009051DB"/>
    <w:rsid w:val="00910FDB"/>
    <w:rsid w:val="0091290E"/>
    <w:rsid w:val="009130D1"/>
    <w:rsid w:val="00913A92"/>
    <w:rsid w:val="00913F19"/>
    <w:rsid w:val="00914363"/>
    <w:rsid w:val="00914452"/>
    <w:rsid w:val="00915197"/>
    <w:rsid w:val="00915A90"/>
    <w:rsid w:val="00915B4C"/>
    <w:rsid w:val="00915C2D"/>
    <w:rsid w:val="00916109"/>
    <w:rsid w:val="00916535"/>
    <w:rsid w:val="00916AA7"/>
    <w:rsid w:val="00917012"/>
    <w:rsid w:val="009202C7"/>
    <w:rsid w:val="00922315"/>
    <w:rsid w:val="00924553"/>
    <w:rsid w:val="00924BF4"/>
    <w:rsid w:val="009256A4"/>
    <w:rsid w:val="00925BFD"/>
    <w:rsid w:val="00926044"/>
    <w:rsid w:val="00926786"/>
    <w:rsid w:val="00926DED"/>
    <w:rsid w:val="00927AD9"/>
    <w:rsid w:val="00927DC0"/>
    <w:rsid w:val="00930060"/>
    <w:rsid w:val="0093051B"/>
    <w:rsid w:val="009308A6"/>
    <w:rsid w:val="00931FA9"/>
    <w:rsid w:val="009321D1"/>
    <w:rsid w:val="009323DB"/>
    <w:rsid w:val="00933992"/>
    <w:rsid w:val="00933EE3"/>
    <w:rsid w:val="009352BF"/>
    <w:rsid w:val="0093558D"/>
    <w:rsid w:val="0093629B"/>
    <w:rsid w:val="00940624"/>
    <w:rsid w:val="0094163E"/>
    <w:rsid w:val="009417FC"/>
    <w:rsid w:val="00942367"/>
    <w:rsid w:val="00942BDE"/>
    <w:rsid w:val="00942F92"/>
    <w:rsid w:val="0094308B"/>
    <w:rsid w:val="00943B13"/>
    <w:rsid w:val="0094419F"/>
    <w:rsid w:val="00944C1F"/>
    <w:rsid w:val="00945482"/>
    <w:rsid w:val="009462DA"/>
    <w:rsid w:val="00946695"/>
    <w:rsid w:val="00950D39"/>
    <w:rsid w:val="00951233"/>
    <w:rsid w:val="00953B24"/>
    <w:rsid w:val="00953E13"/>
    <w:rsid w:val="009555DF"/>
    <w:rsid w:val="009564A7"/>
    <w:rsid w:val="009566D1"/>
    <w:rsid w:val="00956749"/>
    <w:rsid w:val="00960204"/>
    <w:rsid w:val="0096395B"/>
    <w:rsid w:val="00963A9D"/>
    <w:rsid w:val="009647B2"/>
    <w:rsid w:val="009650DD"/>
    <w:rsid w:val="0096583B"/>
    <w:rsid w:val="009707E4"/>
    <w:rsid w:val="009753F0"/>
    <w:rsid w:val="009756D4"/>
    <w:rsid w:val="0097570D"/>
    <w:rsid w:val="00976A51"/>
    <w:rsid w:val="009773C3"/>
    <w:rsid w:val="009809C2"/>
    <w:rsid w:val="00980E85"/>
    <w:rsid w:val="009818D8"/>
    <w:rsid w:val="00981AF0"/>
    <w:rsid w:val="00982266"/>
    <w:rsid w:val="00983D58"/>
    <w:rsid w:val="0098511F"/>
    <w:rsid w:val="0098621F"/>
    <w:rsid w:val="00986EEC"/>
    <w:rsid w:val="00987B00"/>
    <w:rsid w:val="009908AB"/>
    <w:rsid w:val="00990976"/>
    <w:rsid w:val="009911DA"/>
    <w:rsid w:val="00991735"/>
    <w:rsid w:val="00992AB2"/>
    <w:rsid w:val="00992EB8"/>
    <w:rsid w:val="0099490A"/>
    <w:rsid w:val="00995D60"/>
    <w:rsid w:val="009965C4"/>
    <w:rsid w:val="009971F0"/>
    <w:rsid w:val="0099722D"/>
    <w:rsid w:val="009A02B6"/>
    <w:rsid w:val="009A152F"/>
    <w:rsid w:val="009A2257"/>
    <w:rsid w:val="009A486C"/>
    <w:rsid w:val="009A4F97"/>
    <w:rsid w:val="009A565A"/>
    <w:rsid w:val="009A5E56"/>
    <w:rsid w:val="009A6084"/>
    <w:rsid w:val="009A60B1"/>
    <w:rsid w:val="009A6EA8"/>
    <w:rsid w:val="009A7A6B"/>
    <w:rsid w:val="009A7CAF"/>
    <w:rsid w:val="009B1FED"/>
    <w:rsid w:val="009B319A"/>
    <w:rsid w:val="009B3645"/>
    <w:rsid w:val="009B39EE"/>
    <w:rsid w:val="009B4837"/>
    <w:rsid w:val="009B4A95"/>
    <w:rsid w:val="009C0B57"/>
    <w:rsid w:val="009C137A"/>
    <w:rsid w:val="009C3C19"/>
    <w:rsid w:val="009C430C"/>
    <w:rsid w:val="009C510C"/>
    <w:rsid w:val="009C5410"/>
    <w:rsid w:val="009C5596"/>
    <w:rsid w:val="009C5A88"/>
    <w:rsid w:val="009C6A3E"/>
    <w:rsid w:val="009D14EB"/>
    <w:rsid w:val="009D19B8"/>
    <w:rsid w:val="009D2324"/>
    <w:rsid w:val="009D2377"/>
    <w:rsid w:val="009D3E50"/>
    <w:rsid w:val="009D5C43"/>
    <w:rsid w:val="009D60F5"/>
    <w:rsid w:val="009D6A8A"/>
    <w:rsid w:val="009D7DF1"/>
    <w:rsid w:val="009D7E2D"/>
    <w:rsid w:val="009E03AF"/>
    <w:rsid w:val="009E0626"/>
    <w:rsid w:val="009E0AD0"/>
    <w:rsid w:val="009E2D06"/>
    <w:rsid w:val="009E2D1F"/>
    <w:rsid w:val="009E313E"/>
    <w:rsid w:val="009E3191"/>
    <w:rsid w:val="009E3D26"/>
    <w:rsid w:val="009E40F9"/>
    <w:rsid w:val="009E41F3"/>
    <w:rsid w:val="009E5509"/>
    <w:rsid w:val="009E6F96"/>
    <w:rsid w:val="009E77F4"/>
    <w:rsid w:val="009F04FE"/>
    <w:rsid w:val="009F0651"/>
    <w:rsid w:val="009F0E3F"/>
    <w:rsid w:val="009F445F"/>
    <w:rsid w:val="009F4485"/>
    <w:rsid w:val="009F6E9B"/>
    <w:rsid w:val="009F70B1"/>
    <w:rsid w:val="00A00289"/>
    <w:rsid w:val="00A01790"/>
    <w:rsid w:val="00A02DA5"/>
    <w:rsid w:val="00A03753"/>
    <w:rsid w:val="00A04475"/>
    <w:rsid w:val="00A0505E"/>
    <w:rsid w:val="00A05655"/>
    <w:rsid w:val="00A059A7"/>
    <w:rsid w:val="00A05A67"/>
    <w:rsid w:val="00A060E6"/>
    <w:rsid w:val="00A060F5"/>
    <w:rsid w:val="00A06106"/>
    <w:rsid w:val="00A10A0C"/>
    <w:rsid w:val="00A12650"/>
    <w:rsid w:val="00A12ED3"/>
    <w:rsid w:val="00A15652"/>
    <w:rsid w:val="00A157DA"/>
    <w:rsid w:val="00A1591E"/>
    <w:rsid w:val="00A1596F"/>
    <w:rsid w:val="00A1621B"/>
    <w:rsid w:val="00A16FEB"/>
    <w:rsid w:val="00A2012B"/>
    <w:rsid w:val="00A209F7"/>
    <w:rsid w:val="00A216BE"/>
    <w:rsid w:val="00A21727"/>
    <w:rsid w:val="00A235DA"/>
    <w:rsid w:val="00A23DFE"/>
    <w:rsid w:val="00A24F88"/>
    <w:rsid w:val="00A25421"/>
    <w:rsid w:val="00A25728"/>
    <w:rsid w:val="00A26519"/>
    <w:rsid w:val="00A27334"/>
    <w:rsid w:val="00A2796E"/>
    <w:rsid w:val="00A27DB7"/>
    <w:rsid w:val="00A31CB6"/>
    <w:rsid w:val="00A3212F"/>
    <w:rsid w:val="00A32874"/>
    <w:rsid w:val="00A32F5A"/>
    <w:rsid w:val="00A337C2"/>
    <w:rsid w:val="00A377BF"/>
    <w:rsid w:val="00A37C46"/>
    <w:rsid w:val="00A40223"/>
    <w:rsid w:val="00A402D8"/>
    <w:rsid w:val="00A40E52"/>
    <w:rsid w:val="00A40FBF"/>
    <w:rsid w:val="00A413F6"/>
    <w:rsid w:val="00A42CBF"/>
    <w:rsid w:val="00A435B1"/>
    <w:rsid w:val="00A43E15"/>
    <w:rsid w:val="00A44027"/>
    <w:rsid w:val="00A4433A"/>
    <w:rsid w:val="00A47222"/>
    <w:rsid w:val="00A505A6"/>
    <w:rsid w:val="00A510C8"/>
    <w:rsid w:val="00A5115A"/>
    <w:rsid w:val="00A511E6"/>
    <w:rsid w:val="00A531C4"/>
    <w:rsid w:val="00A54CBF"/>
    <w:rsid w:val="00A55198"/>
    <w:rsid w:val="00A55479"/>
    <w:rsid w:val="00A56171"/>
    <w:rsid w:val="00A60D11"/>
    <w:rsid w:val="00A613A4"/>
    <w:rsid w:val="00A62C25"/>
    <w:rsid w:val="00A62FC6"/>
    <w:rsid w:val="00A63624"/>
    <w:rsid w:val="00A63EF8"/>
    <w:rsid w:val="00A642EF"/>
    <w:rsid w:val="00A644EB"/>
    <w:rsid w:val="00A64887"/>
    <w:rsid w:val="00A649EF"/>
    <w:rsid w:val="00A655A5"/>
    <w:rsid w:val="00A67024"/>
    <w:rsid w:val="00A671C4"/>
    <w:rsid w:val="00A67920"/>
    <w:rsid w:val="00A67F09"/>
    <w:rsid w:val="00A721C1"/>
    <w:rsid w:val="00A724CE"/>
    <w:rsid w:val="00A73562"/>
    <w:rsid w:val="00A744EA"/>
    <w:rsid w:val="00A74C4A"/>
    <w:rsid w:val="00A75487"/>
    <w:rsid w:val="00A75BBC"/>
    <w:rsid w:val="00A76530"/>
    <w:rsid w:val="00A77289"/>
    <w:rsid w:val="00A7733D"/>
    <w:rsid w:val="00A77C16"/>
    <w:rsid w:val="00A825D8"/>
    <w:rsid w:val="00A82689"/>
    <w:rsid w:val="00A830AF"/>
    <w:rsid w:val="00A849E2"/>
    <w:rsid w:val="00A84C79"/>
    <w:rsid w:val="00A84F5C"/>
    <w:rsid w:val="00A85788"/>
    <w:rsid w:val="00A86515"/>
    <w:rsid w:val="00A86762"/>
    <w:rsid w:val="00A86E78"/>
    <w:rsid w:val="00A90004"/>
    <w:rsid w:val="00A9020A"/>
    <w:rsid w:val="00A929C3"/>
    <w:rsid w:val="00A93738"/>
    <w:rsid w:val="00A93D2D"/>
    <w:rsid w:val="00A95194"/>
    <w:rsid w:val="00A965AF"/>
    <w:rsid w:val="00A97306"/>
    <w:rsid w:val="00A973D5"/>
    <w:rsid w:val="00AA0B37"/>
    <w:rsid w:val="00AA0B51"/>
    <w:rsid w:val="00AA1FA3"/>
    <w:rsid w:val="00AA2497"/>
    <w:rsid w:val="00AA3037"/>
    <w:rsid w:val="00AA336E"/>
    <w:rsid w:val="00AA3C15"/>
    <w:rsid w:val="00AA4246"/>
    <w:rsid w:val="00AA45E3"/>
    <w:rsid w:val="00AA5098"/>
    <w:rsid w:val="00AA55FD"/>
    <w:rsid w:val="00AA59AB"/>
    <w:rsid w:val="00AA6FE6"/>
    <w:rsid w:val="00AA7529"/>
    <w:rsid w:val="00AA7D65"/>
    <w:rsid w:val="00AB18C7"/>
    <w:rsid w:val="00AB1EBB"/>
    <w:rsid w:val="00AB2CE8"/>
    <w:rsid w:val="00AB4B28"/>
    <w:rsid w:val="00AB5781"/>
    <w:rsid w:val="00AB61E5"/>
    <w:rsid w:val="00AB66A3"/>
    <w:rsid w:val="00AB703E"/>
    <w:rsid w:val="00AB71E7"/>
    <w:rsid w:val="00AB7500"/>
    <w:rsid w:val="00AC02F7"/>
    <w:rsid w:val="00AC0A32"/>
    <w:rsid w:val="00AC2806"/>
    <w:rsid w:val="00AC2AC1"/>
    <w:rsid w:val="00AC2FAB"/>
    <w:rsid w:val="00AC330E"/>
    <w:rsid w:val="00AC4257"/>
    <w:rsid w:val="00AC44F2"/>
    <w:rsid w:val="00AC4654"/>
    <w:rsid w:val="00AC50F9"/>
    <w:rsid w:val="00AC5294"/>
    <w:rsid w:val="00AC596C"/>
    <w:rsid w:val="00AC76D6"/>
    <w:rsid w:val="00AC7DE9"/>
    <w:rsid w:val="00AD0E56"/>
    <w:rsid w:val="00AD1BC0"/>
    <w:rsid w:val="00AD222E"/>
    <w:rsid w:val="00AD2F5C"/>
    <w:rsid w:val="00AD312A"/>
    <w:rsid w:val="00AD3DD5"/>
    <w:rsid w:val="00AD4760"/>
    <w:rsid w:val="00AD4CB8"/>
    <w:rsid w:val="00AD560B"/>
    <w:rsid w:val="00AD7078"/>
    <w:rsid w:val="00AD77CC"/>
    <w:rsid w:val="00AE0820"/>
    <w:rsid w:val="00AE1449"/>
    <w:rsid w:val="00AE2A57"/>
    <w:rsid w:val="00AE2E74"/>
    <w:rsid w:val="00AE2E83"/>
    <w:rsid w:val="00AE2F6A"/>
    <w:rsid w:val="00AE34E0"/>
    <w:rsid w:val="00AE3794"/>
    <w:rsid w:val="00AE437B"/>
    <w:rsid w:val="00AE643E"/>
    <w:rsid w:val="00AE653B"/>
    <w:rsid w:val="00AE6908"/>
    <w:rsid w:val="00AE7F0B"/>
    <w:rsid w:val="00AF0C11"/>
    <w:rsid w:val="00AF131F"/>
    <w:rsid w:val="00AF1803"/>
    <w:rsid w:val="00AF210B"/>
    <w:rsid w:val="00AF2C08"/>
    <w:rsid w:val="00AF34EB"/>
    <w:rsid w:val="00AF3D2F"/>
    <w:rsid w:val="00AF3E75"/>
    <w:rsid w:val="00AF40F7"/>
    <w:rsid w:val="00AF47F9"/>
    <w:rsid w:val="00AF4B46"/>
    <w:rsid w:val="00AF4E51"/>
    <w:rsid w:val="00AF5DF4"/>
    <w:rsid w:val="00AF6416"/>
    <w:rsid w:val="00AF6E52"/>
    <w:rsid w:val="00AF7360"/>
    <w:rsid w:val="00AF7E61"/>
    <w:rsid w:val="00B00474"/>
    <w:rsid w:val="00B00E98"/>
    <w:rsid w:val="00B00ECA"/>
    <w:rsid w:val="00B016A2"/>
    <w:rsid w:val="00B020FD"/>
    <w:rsid w:val="00B02A86"/>
    <w:rsid w:val="00B02D17"/>
    <w:rsid w:val="00B02E45"/>
    <w:rsid w:val="00B03DE1"/>
    <w:rsid w:val="00B0447D"/>
    <w:rsid w:val="00B06B99"/>
    <w:rsid w:val="00B06D3D"/>
    <w:rsid w:val="00B06FD5"/>
    <w:rsid w:val="00B07113"/>
    <w:rsid w:val="00B118C2"/>
    <w:rsid w:val="00B11FE3"/>
    <w:rsid w:val="00B130FF"/>
    <w:rsid w:val="00B141AA"/>
    <w:rsid w:val="00B1534D"/>
    <w:rsid w:val="00B153BE"/>
    <w:rsid w:val="00B16017"/>
    <w:rsid w:val="00B165E6"/>
    <w:rsid w:val="00B16DF4"/>
    <w:rsid w:val="00B172AB"/>
    <w:rsid w:val="00B17F69"/>
    <w:rsid w:val="00B201AD"/>
    <w:rsid w:val="00B2163D"/>
    <w:rsid w:val="00B21D0C"/>
    <w:rsid w:val="00B22077"/>
    <w:rsid w:val="00B22BA8"/>
    <w:rsid w:val="00B23225"/>
    <w:rsid w:val="00B234C5"/>
    <w:rsid w:val="00B23B44"/>
    <w:rsid w:val="00B23EDA"/>
    <w:rsid w:val="00B24C35"/>
    <w:rsid w:val="00B2531B"/>
    <w:rsid w:val="00B26027"/>
    <w:rsid w:val="00B2624D"/>
    <w:rsid w:val="00B2724E"/>
    <w:rsid w:val="00B277A8"/>
    <w:rsid w:val="00B278B4"/>
    <w:rsid w:val="00B3104C"/>
    <w:rsid w:val="00B3157C"/>
    <w:rsid w:val="00B319F1"/>
    <w:rsid w:val="00B32C5B"/>
    <w:rsid w:val="00B33FC5"/>
    <w:rsid w:val="00B342EF"/>
    <w:rsid w:val="00B345AE"/>
    <w:rsid w:val="00B3498F"/>
    <w:rsid w:val="00B35349"/>
    <w:rsid w:val="00B35757"/>
    <w:rsid w:val="00B363BB"/>
    <w:rsid w:val="00B3673E"/>
    <w:rsid w:val="00B372D8"/>
    <w:rsid w:val="00B40164"/>
    <w:rsid w:val="00B40BD9"/>
    <w:rsid w:val="00B42A75"/>
    <w:rsid w:val="00B42FED"/>
    <w:rsid w:val="00B43259"/>
    <w:rsid w:val="00B446C7"/>
    <w:rsid w:val="00B46B79"/>
    <w:rsid w:val="00B46CCD"/>
    <w:rsid w:val="00B52526"/>
    <w:rsid w:val="00B53A29"/>
    <w:rsid w:val="00B55048"/>
    <w:rsid w:val="00B605BE"/>
    <w:rsid w:val="00B60A7E"/>
    <w:rsid w:val="00B61649"/>
    <w:rsid w:val="00B622B9"/>
    <w:rsid w:val="00B627A3"/>
    <w:rsid w:val="00B63423"/>
    <w:rsid w:val="00B63ECE"/>
    <w:rsid w:val="00B64A6B"/>
    <w:rsid w:val="00B64C0E"/>
    <w:rsid w:val="00B67DEB"/>
    <w:rsid w:val="00B70336"/>
    <w:rsid w:val="00B714F9"/>
    <w:rsid w:val="00B75160"/>
    <w:rsid w:val="00B7534B"/>
    <w:rsid w:val="00B757D3"/>
    <w:rsid w:val="00B75981"/>
    <w:rsid w:val="00B75F19"/>
    <w:rsid w:val="00B76689"/>
    <w:rsid w:val="00B80826"/>
    <w:rsid w:val="00B810C3"/>
    <w:rsid w:val="00B82F37"/>
    <w:rsid w:val="00B82F45"/>
    <w:rsid w:val="00B8421D"/>
    <w:rsid w:val="00B85056"/>
    <w:rsid w:val="00B87456"/>
    <w:rsid w:val="00B875AA"/>
    <w:rsid w:val="00B9008F"/>
    <w:rsid w:val="00B900BF"/>
    <w:rsid w:val="00B9070C"/>
    <w:rsid w:val="00B90972"/>
    <w:rsid w:val="00B9187A"/>
    <w:rsid w:val="00B9312C"/>
    <w:rsid w:val="00B935C6"/>
    <w:rsid w:val="00B95BCE"/>
    <w:rsid w:val="00B968C4"/>
    <w:rsid w:val="00B97185"/>
    <w:rsid w:val="00BA0ECE"/>
    <w:rsid w:val="00BA16AC"/>
    <w:rsid w:val="00BA253E"/>
    <w:rsid w:val="00BA3644"/>
    <w:rsid w:val="00BA3EC1"/>
    <w:rsid w:val="00BA58ED"/>
    <w:rsid w:val="00BA61CB"/>
    <w:rsid w:val="00BA6923"/>
    <w:rsid w:val="00BA6F89"/>
    <w:rsid w:val="00BA7AF1"/>
    <w:rsid w:val="00BA7BB1"/>
    <w:rsid w:val="00BB0020"/>
    <w:rsid w:val="00BB22BA"/>
    <w:rsid w:val="00BB4E32"/>
    <w:rsid w:val="00BB4FC2"/>
    <w:rsid w:val="00BB51A4"/>
    <w:rsid w:val="00BB601B"/>
    <w:rsid w:val="00BB6453"/>
    <w:rsid w:val="00BC14FC"/>
    <w:rsid w:val="00BC1FA5"/>
    <w:rsid w:val="00BC22F4"/>
    <w:rsid w:val="00BC26E8"/>
    <w:rsid w:val="00BC35DE"/>
    <w:rsid w:val="00BC4B97"/>
    <w:rsid w:val="00BC5BCA"/>
    <w:rsid w:val="00BC5D2C"/>
    <w:rsid w:val="00BC5F2C"/>
    <w:rsid w:val="00BC5F94"/>
    <w:rsid w:val="00BC61D0"/>
    <w:rsid w:val="00BC7958"/>
    <w:rsid w:val="00BD0333"/>
    <w:rsid w:val="00BD08F2"/>
    <w:rsid w:val="00BD0CD1"/>
    <w:rsid w:val="00BD1835"/>
    <w:rsid w:val="00BD3346"/>
    <w:rsid w:val="00BD3FAA"/>
    <w:rsid w:val="00BD4F94"/>
    <w:rsid w:val="00BD5680"/>
    <w:rsid w:val="00BE24C1"/>
    <w:rsid w:val="00BE28F6"/>
    <w:rsid w:val="00BE3D0E"/>
    <w:rsid w:val="00BE4231"/>
    <w:rsid w:val="00BE4BCC"/>
    <w:rsid w:val="00BE6274"/>
    <w:rsid w:val="00BF0530"/>
    <w:rsid w:val="00BF0A8A"/>
    <w:rsid w:val="00BF3F4D"/>
    <w:rsid w:val="00BF417F"/>
    <w:rsid w:val="00BF6351"/>
    <w:rsid w:val="00BF6E17"/>
    <w:rsid w:val="00BF7BCD"/>
    <w:rsid w:val="00BF7DFA"/>
    <w:rsid w:val="00C00C87"/>
    <w:rsid w:val="00C02740"/>
    <w:rsid w:val="00C03431"/>
    <w:rsid w:val="00C03B20"/>
    <w:rsid w:val="00C05BC0"/>
    <w:rsid w:val="00C06588"/>
    <w:rsid w:val="00C0707D"/>
    <w:rsid w:val="00C0754C"/>
    <w:rsid w:val="00C07AB0"/>
    <w:rsid w:val="00C10341"/>
    <w:rsid w:val="00C10532"/>
    <w:rsid w:val="00C12893"/>
    <w:rsid w:val="00C15251"/>
    <w:rsid w:val="00C16F2D"/>
    <w:rsid w:val="00C170D0"/>
    <w:rsid w:val="00C222B5"/>
    <w:rsid w:val="00C2346D"/>
    <w:rsid w:val="00C238C1"/>
    <w:rsid w:val="00C24ED7"/>
    <w:rsid w:val="00C25BDC"/>
    <w:rsid w:val="00C2653E"/>
    <w:rsid w:val="00C26E58"/>
    <w:rsid w:val="00C3054B"/>
    <w:rsid w:val="00C30A36"/>
    <w:rsid w:val="00C31386"/>
    <w:rsid w:val="00C318D1"/>
    <w:rsid w:val="00C347AA"/>
    <w:rsid w:val="00C35E05"/>
    <w:rsid w:val="00C36F48"/>
    <w:rsid w:val="00C40B35"/>
    <w:rsid w:val="00C41241"/>
    <w:rsid w:val="00C41C70"/>
    <w:rsid w:val="00C41F8B"/>
    <w:rsid w:val="00C42062"/>
    <w:rsid w:val="00C428D8"/>
    <w:rsid w:val="00C42B76"/>
    <w:rsid w:val="00C43463"/>
    <w:rsid w:val="00C43676"/>
    <w:rsid w:val="00C44350"/>
    <w:rsid w:val="00C44B50"/>
    <w:rsid w:val="00C4693E"/>
    <w:rsid w:val="00C5017F"/>
    <w:rsid w:val="00C509D9"/>
    <w:rsid w:val="00C51E61"/>
    <w:rsid w:val="00C52094"/>
    <w:rsid w:val="00C527B9"/>
    <w:rsid w:val="00C52C2B"/>
    <w:rsid w:val="00C53AAE"/>
    <w:rsid w:val="00C56683"/>
    <w:rsid w:val="00C56AE9"/>
    <w:rsid w:val="00C57397"/>
    <w:rsid w:val="00C576F6"/>
    <w:rsid w:val="00C60B60"/>
    <w:rsid w:val="00C60C68"/>
    <w:rsid w:val="00C623BB"/>
    <w:rsid w:val="00C62ABB"/>
    <w:rsid w:val="00C63C98"/>
    <w:rsid w:val="00C63F94"/>
    <w:rsid w:val="00C64E8C"/>
    <w:rsid w:val="00C65715"/>
    <w:rsid w:val="00C720C6"/>
    <w:rsid w:val="00C72284"/>
    <w:rsid w:val="00C727D0"/>
    <w:rsid w:val="00C729E8"/>
    <w:rsid w:val="00C72BDF"/>
    <w:rsid w:val="00C7373C"/>
    <w:rsid w:val="00C75A7A"/>
    <w:rsid w:val="00C75EDE"/>
    <w:rsid w:val="00C76C56"/>
    <w:rsid w:val="00C80177"/>
    <w:rsid w:val="00C808A1"/>
    <w:rsid w:val="00C811AF"/>
    <w:rsid w:val="00C817BD"/>
    <w:rsid w:val="00C82404"/>
    <w:rsid w:val="00C82C8B"/>
    <w:rsid w:val="00C837DE"/>
    <w:rsid w:val="00C847DC"/>
    <w:rsid w:val="00C84985"/>
    <w:rsid w:val="00C8582F"/>
    <w:rsid w:val="00C86D5D"/>
    <w:rsid w:val="00C873A4"/>
    <w:rsid w:val="00C873E1"/>
    <w:rsid w:val="00C90118"/>
    <w:rsid w:val="00C91A77"/>
    <w:rsid w:val="00C91AE6"/>
    <w:rsid w:val="00C9339E"/>
    <w:rsid w:val="00C96B17"/>
    <w:rsid w:val="00C96E5F"/>
    <w:rsid w:val="00C96E82"/>
    <w:rsid w:val="00C9728F"/>
    <w:rsid w:val="00C97D84"/>
    <w:rsid w:val="00CA217C"/>
    <w:rsid w:val="00CA2E0F"/>
    <w:rsid w:val="00CA3F2B"/>
    <w:rsid w:val="00CA56C6"/>
    <w:rsid w:val="00CA615B"/>
    <w:rsid w:val="00CA6F76"/>
    <w:rsid w:val="00CA7FBD"/>
    <w:rsid w:val="00CB2C16"/>
    <w:rsid w:val="00CB3D7E"/>
    <w:rsid w:val="00CB514A"/>
    <w:rsid w:val="00CB54FD"/>
    <w:rsid w:val="00CB5746"/>
    <w:rsid w:val="00CB5799"/>
    <w:rsid w:val="00CB73E0"/>
    <w:rsid w:val="00CB7814"/>
    <w:rsid w:val="00CC1449"/>
    <w:rsid w:val="00CC2667"/>
    <w:rsid w:val="00CC2EB1"/>
    <w:rsid w:val="00CC3194"/>
    <w:rsid w:val="00CC358A"/>
    <w:rsid w:val="00CC37D7"/>
    <w:rsid w:val="00CC4C30"/>
    <w:rsid w:val="00CC4F18"/>
    <w:rsid w:val="00CC52D3"/>
    <w:rsid w:val="00CC52FE"/>
    <w:rsid w:val="00CC5D34"/>
    <w:rsid w:val="00CC6991"/>
    <w:rsid w:val="00CC74D3"/>
    <w:rsid w:val="00CD05F2"/>
    <w:rsid w:val="00CD0D5E"/>
    <w:rsid w:val="00CD2535"/>
    <w:rsid w:val="00CD4163"/>
    <w:rsid w:val="00CD432E"/>
    <w:rsid w:val="00CD4856"/>
    <w:rsid w:val="00CD4B7C"/>
    <w:rsid w:val="00CD5D0F"/>
    <w:rsid w:val="00CE05E3"/>
    <w:rsid w:val="00CE07B4"/>
    <w:rsid w:val="00CE186C"/>
    <w:rsid w:val="00CE2D09"/>
    <w:rsid w:val="00CE3E2B"/>
    <w:rsid w:val="00CE4D42"/>
    <w:rsid w:val="00CE5CF5"/>
    <w:rsid w:val="00CE5DF6"/>
    <w:rsid w:val="00CE6B9F"/>
    <w:rsid w:val="00CE6CD0"/>
    <w:rsid w:val="00CF2181"/>
    <w:rsid w:val="00CF2E4D"/>
    <w:rsid w:val="00CF3113"/>
    <w:rsid w:val="00CF36BF"/>
    <w:rsid w:val="00CF3F02"/>
    <w:rsid w:val="00CF4967"/>
    <w:rsid w:val="00CF4D57"/>
    <w:rsid w:val="00CF7366"/>
    <w:rsid w:val="00CF7DB6"/>
    <w:rsid w:val="00D00852"/>
    <w:rsid w:val="00D00867"/>
    <w:rsid w:val="00D00A7A"/>
    <w:rsid w:val="00D01F22"/>
    <w:rsid w:val="00D0216F"/>
    <w:rsid w:val="00D0226F"/>
    <w:rsid w:val="00D0233D"/>
    <w:rsid w:val="00D03589"/>
    <w:rsid w:val="00D038EB"/>
    <w:rsid w:val="00D040E9"/>
    <w:rsid w:val="00D066AB"/>
    <w:rsid w:val="00D06C52"/>
    <w:rsid w:val="00D07128"/>
    <w:rsid w:val="00D07E77"/>
    <w:rsid w:val="00D11CB2"/>
    <w:rsid w:val="00D13A82"/>
    <w:rsid w:val="00D14475"/>
    <w:rsid w:val="00D147B5"/>
    <w:rsid w:val="00D16CF7"/>
    <w:rsid w:val="00D17B55"/>
    <w:rsid w:val="00D206AC"/>
    <w:rsid w:val="00D21711"/>
    <w:rsid w:val="00D21805"/>
    <w:rsid w:val="00D21DDF"/>
    <w:rsid w:val="00D23109"/>
    <w:rsid w:val="00D23C79"/>
    <w:rsid w:val="00D23E0C"/>
    <w:rsid w:val="00D2483C"/>
    <w:rsid w:val="00D24959"/>
    <w:rsid w:val="00D26CEB"/>
    <w:rsid w:val="00D2711B"/>
    <w:rsid w:val="00D27338"/>
    <w:rsid w:val="00D3025B"/>
    <w:rsid w:val="00D3042D"/>
    <w:rsid w:val="00D31382"/>
    <w:rsid w:val="00D31691"/>
    <w:rsid w:val="00D32431"/>
    <w:rsid w:val="00D33621"/>
    <w:rsid w:val="00D33806"/>
    <w:rsid w:val="00D348E9"/>
    <w:rsid w:val="00D3752D"/>
    <w:rsid w:val="00D375C7"/>
    <w:rsid w:val="00D376E4"/>
    <w:rsid w:val="00D37961"/>
    <w:rsid w:val="00D40B1A"/>
    <w:rsid w:val="00D41319"/>
    <w:rsid w:val="00D415F1"/>
    <w:rsid w:val="00D41A52"/>
    <w:rsid w:val="00D42297"/>
    <w:rsid w:val="00D42BAB"/>
    <w:rsid w:val="00D42C75"/>
    <w:rsid w:val="00D4405C"/>
    <w:rsid w:val="00D44ADD"/>
    <w:rsid w:val="00D45D9B"/>
    <w:rsid w:val="00D45EE8"/>
    <w:rsid w:val="00D47134"/>
    <w:rsid w:val="00D479C7"/>
    <w:rsid w:val="00D47F62"/>
    <w:rsid w:val="00D50669"/>
    <w:rsid w:val="00D51BBC"/>
    <w:rsid w:val="00D51CD6"/>
    <w:rsid w:val="00D51ED0"/>
    <w:rsid w:val="00D52081"/>
    <w:rsid w:val="00D529B6"/>
    <w:rsid w:val="00D52CBD"/>
    <w:rsid w:val="00D533B7"/>
    <w:rsid w:val="00D5352A"/>
    <w:rsid w:val="00D5500F"/>
    <w:rsid w:val="00D560B5"/>
    <w:rsid w:val="00D57506"/>
    <w:rsid w:val="00D5775D"/>
    <w:rsid w:val="00D623F9"/>
    <w:rsid w:val="00D64C94"/>
    <w:rsid w:val="00D65414"/>
    <w:rsid w:val="00D66192"/>
    <w:rsid w:val="00D6666D"/>
    <w:rsid w:val="00D66693"/>
    <w:rsid w:val="00D67E4E"/>
    <w:rsid w:val="00D736D1"/>
    <w:rsid w:val="00D73758"/>
    <w:rsid w:val="00D73824"/>
    <w:rsid w:val="00D73829"/>
    <w:rsid w:val="00D74E51"/>
    <w:rsid w:val="00D74EA4"/>
    <w:rsid w:val="00D753A4"/>
    <w:rsid w:val="00D76022"/>
    <w:rsid w:val="00D7679D"/>
    <w:rsid w:val="00D77851"/>
    <w:rsid w:val="00D77ACE"/>
    <w:rsid w:val="00D77F3A"/>
    <w:rsid w:val="00D800B0"/>
    <w:rsid w:val="00D82C40"/>
    <w:rsid w:val="00D838D4"/>
    <w:rsid w:val="00D83C51"/>
    <w:rsid w:val="00D84260"/>
    <w:rsid w:val="00D8436B"/>
    <w:rsid w:val="00D84FF2"/>
    <w:rsid w:val="00D8510F"/>
    <w:rsid w:val="00D869CF"/>
    <w:rsid w:val="00D87667"/>
    <w:rsid w:val="00D87982"/>
    <w:rsid w:val="00D87E51"/>
    <w:rsid w:val="00D9037C"/>
    <w:rsid w:val="00D90488"/>
    <w:rsid w:val="00D9050C"/>
    <w:rsid w:val="00D9131D"/>
    <w:rsid w:val="00D91579"/>
    <w:rsid w:val="00D91880"/>
    <w:rsid w:val="00D92AF6"/>
    <w:rsid w:val="00D92B26"/>
    <w:rsid w:val="00D93060"/>
    <w:rsid w:val="00D959C2"/>
    <w:rsid w:val="00D973C1"/>
    <w:rsid w:val="00D97BFD"/>
    <w:rsid w:val="00D97E81"/>
    <w:rsid w:val="00DA0BAB"/>
    <w:rsid w:val="00DA1FDB"/>
    <w:rsid w:val="00DA2D90"/>
    <w:rsid w:val="00DA42E7"/>
    <w:rsid w:val="00DA487B"/>
    <w:rsid w:val="00DA4EF5"/>
    <w:rsid w:val="00DA5C61"/>
    <w:rsid w:val="00DA5E44"/>
    <w:rsid w:val="00DA6507"/>
    <w:rsid w:val="00DA6A9E"/>
    <w:rsid w:val="00DA728B"/>
    <w:rsid w:val="00DB2276"/>
    <w:rsid w:val="00DB24E0"/>
    <w:rsid w:val="00DB2785"/>
    <w:rsid w:val="00DB27D7"/>
    <w:rsid w:val="00DB2957"/>
    <w:rsid w:val="00DB3435"/>
    <w:rsid w:val="00DB3535"/>
    <w:rsid w:val="00DB37FB"/>
    <w:rsid w:val="00DB3C40"/>
    <w:rsid w:val="00DB4365"/>
    <w:rsid w:val="00DB4BAD"/>
    <w:rsid w:val="00DB6883"/>
    <w:rsid w:val="00DB773F"/>
    <w:rsid w:val="00DB7DF1"/>
    <w:rsid w:val="00DB7F10"/>
    <w:rsid w:val="00DC0A95"/>
    <w:rsid w:val="00DC2052"/>
    <w:rsid w:val="00DC284D"/>
    <w:rsid w:val="00DC2F4E"/>
    <w:rsid w:val="00DC3515"/>
    <w:rsid w:val="00DC3777"/>
    <w:rsid w:val="00DC4FBE"/>
    <w:rsid w:val="00DC5AAE"/>
    <w:rsid w:val="00DC7D35"/>
    <w:rsid w:val="00DD0283"/>
    <w:rsid w:val="00DD0ADB"/>
    <w:rsid w:val="00DD17FF"/>
    <w:rsid w:val="00DD1A43"/>
    <w:rsid w:val="00DD200E"/>
    <w:rsid w:val="00DD212B"/>
    <w:rsid w:val="00DD2E7C"/>
    <w:rsid w:val="00DD5610"/>
    <w:rsid w:val="00DD71CF"/>
    <w:rsid w:val="00DE06F8"/>
    <w:rsid w:val="00DE1E7A"/>
    <w:rsid w:val="00DE211E"/>
    <w:rsid w:val="00DE21F7"/>
    <w:rsid w:val="00DE337C"/>
    <w:rsid w:val="00DE3AA0"/>
    <w:rsid w:val="00DF02EA"/>
    <w:rsid w:val="00DF0C52"/>
    <w:rsid w:val="00DF2463"/>
    <w:rsid w:val="00DF276E"/>
    <w:rsid w:val="00DF4125"/>
    <w:rsid w:val="00DF4542"/>
    <w:rsid w:val="00DF4EC9"/>
    <w:rsid w:val="00DF5577"/>
    <w:rsid w:val="00DF6C87"/>
    <w:rsid w:val="00DF7337"/>
    <w:rsid w:val="00E000BC"/>
    <w:rsid w:val="00E0022D"/>
    <w:rsid w:val="00E002CD"/>
    <w:rsid w:val="00E00B3C"/>
    <w:rsid w:val="00E011D2"/>
    <w:rsid w:val="00E02787"/>
    <w:rsid w:val="00E02DF6"/>
    <w:rsid w:val="00E0328E"/>
    <w:rsid w:val="00E03990"/>
    <w:rsid w:val="00E039CF"/>
    <w:rsid w:val="00E04ABF"/>
    <w:rsid w:val="00E05264"/>
    <w:rsid w:val="00E05487"/>
    <w:rsid w:val="00E05821"/>
    <w:rsid w:val="00E06835"/>
    <w:rsid w:val="00E06ED1"/>
    <w:rsid w:val="00E07604"/>
    <w:rsid w:val="00E10095"/>
    <w:rsid w:val="00E10438"/>
    <w:rsid w:val="00E13027"/>
    <w:rsid w:val="00E1447C"/>
    <w:rsid w:val="00E15A32"/>
    <w:rsid w:val="00E16F43"/>
    <w:rsid w:val="00E172BB"/>
    <w:rsid w:val="00E17AA3"/>
    <w:rsid w:val="00E21AC3"/>
    <w:rsid w:val="00E22275"/>
    <w:rsid w:val="00E24894"/>
    <w:rsid w:val="00E24C14"/>
    <w:rsid w:val="00E2663F"/>
    <w:rsid w:val="00E26AD6"/>
    <w:rsid w:val="00E2722A"/>
    <w:rsid w:val="00E2751D"/>
    <w:rsid w:val="00E3002F"/>
    <w:rsid w:val="00E316B5"/>
    <w:rsid w:val="00E317AD"/>
    <w:rsid w:val="00E32132"/>
    <w:rsid w:val="00E336FF"/>
    <w:rsid w:val="00E33F2E"/>
    <w:rsid w:val="00E33F8D"/>
    <w:rsid w:val="00E34529"/>
    <w:rsid w:val="00E36D16"/>
    <w:rsid w:val="00E40478"/>
    <w:rsid w:val="00E4072C"/>
    <w:rsid w:val="00E41F4F"/>
    <w:rsid w:val="00E434F9"/>
    <w:rsid w:val="00E447DF"/>
    <w:rsid w:val="00E44A28"/>
    <w:rsid w:val="00E44AFD"/>
    <w:rsid w:val="00E44F94"/>
    <w:rsid w:val="00E46587"/>
    <w:rsid w:val="00E4670B"/>
    <w:rsid w:val="00E51FC3"/>
    <w:rsid w:val="00E52237"/>
    <w:rsid w:val="00E52BBD"/>
    <w:rsid w:val="00E54D73"/>
    <w:rsid w:val="00E556FB"/>
    <w:rsid w:val="00E55B09"/>
    <w:rsid w:val="00E55E8D"/>
    <w:rsid w:val="00E56119"/>
    <w:rsid w:val="00E576C6"/>
    <w:rsid w:val="00E60B90"/>
    <w:rsid w:val="00E62144"/>
    <w:rsid w:val="00E638D9"/>
    <w:rsid w:val="00E63C11"/>
    <w:rsid w:val="00E64167"/>
    <w:rsid w:val="00E6451E"/>
    <w:rsid w:val="00E64596"/>
    <w:rsid w:val="00E6476B"/>
    <w:rsid w:val="00E6517C"/>
    <w:rsid w:val="00E665EB"/>
    <w:rsid w:val="00E679FC"/>
    <w:rsid w:val="00E67B3B"/>
    <w:rsid w:val="00E7003E"/>
    <w:rsid w:val="00E7047A"/>
    <w:rsid w:val="00E71B83"/>
    <w:rsid w:val="00E72664"/>
    <w:rsid w:val="00E749A8"/>
    <w:rsid w:val="00E75D3B"/>
    <w:rsid w:val="00E75E3E"/>
    <w:rsid w:val="00E7792E"/>
    <w:rsid w:val="00E80249"/>
    <w:rsid w:val="00E809FE"/>
    <w:rsid w:val="00E80F91"/>
    <w:rsid w:val="00E8274D"/>
    <w:rsid w:val="00E84D8E"/>
    <w:rsid w:val="00E90DC0"/>
    <w:rsid w:val="00E91A2C"/>
    <w:rsid w:val="00E934FD"/>
    <w:rsid w:val="00E93EE7"/>
    <w:rsid w:val="00E94EC9"/>
    <w:rsid w:val="00E96397"/>
    <w:rsid w:val="00E9727B"/>
    <w:rsid w:val="00E97D9C"/>
    <w:rsid w:val="00EA0013"/>
    <w:rsid w:val="00EA06FF"/>
    <w:rsid w:val="00EA238A"/>
    <w:rsid w:val="00EA23A3"/>
    <w:rsid w:val="00EA3FD0"/>
    <w:rsid w:val="00EA4392"/>
    <w:rsid w:val="00EA444C"/>
    <w:rsid w:val="00EA4C17"/>
    <w:rsid w:val="00EA5BAF"/>
    <w:rsid w:val="00EA6017"/>
    <w:rsid w:val="00EA6219"/>
    <w:rsid w:val="00EA6524"/>
    <w:rsid w:val="00EA6B03"/>
    <w:rsid w:val="00EA7819"/>
    <w:rsid w:val="00EA7953"/>
    <w:rsid w:val="00EA7EFB"/>
    <w:rsid w:val="00EB0481"/>
    <w:rsid w:val="00EB1592"/>
    <w:rsid w:val="00EB2A5F"/>
    <w:rsid w:val="00EB3055"/>
    <w:rsid w:val="00EB346D"/>
    <w:rsid w:val="00EB3D8C"/>
    <w:rsid w:val="00EB4BF4"/>
    <w:rsid w:val="00EB5CB7"/>
    <w:rsid w:val="00EB70A7"/>
    <w:rsid w:val="00EC00C6"/>
    <w:rsid w:val="00EC0296"/>
    <w:rsid w:val="00EC09BC"/>
    <w:rsid w:val="00EC0E61"/>
    <w:rsid w:val="00EC12FE"/>
    <w:rsid w:val="00EC1F84"/>
    <w:rsid w:val="00EC2948"/>
    <w:rsid w:val="00EC2A7D"/>
    <w:rsid w:val="00EC3404"/>
    <w:rsid w:val="00EC43FC"/>
    <w:rsid w:val="00EC44AC"/>
    <w:rsid w:val="00EC5AC9"/>
    <w:rsid w:val="00EC5BF5"/>
    <w:rsid w:val="00EC5D07"/>
    <w:rsid w:val="00EC6238"/>
    <w:rsid w:val="00EC64B1"/>
    <w:rsid w:val="00EC674C"/>
    <w:rsid w:val="00EC676B"/>
    <w:rsid w:val="00EC704E"/>
    <w:rsid w:val="00ED00A8"/>
    <w:rsid w:val="00ED3568"/>
    <w:rsid w:val="00ED3A12"/>
    <w:rsid w:val="00ED4647"/>
    <w:rsid w:val="00ED512A"/>
    <w:rsid w:val="00ED6518"/>
    <w:rsid w:val="00ED677A"/>
    <w:rsid w:val="00ED7F85"/>
    <w:rsid w:val="00EE0727"/>
    <w:rsid w:val="00EE1AE9"/>
    <w:rsid w:val="00EE1BF6"/>
    <w:rsid w:val="00EE2025"/>
    <w:rsid w:val="00EE3B40"/>
    <w:rsid w:val="00EE4DC6"/>
    <w:rsid w:val="00EE5B09"/>
    <w:rsid w:val="00EE62B3"/>
    <w:rsid w:val="00EE69E0"/>
    <w:rsid w:val="00EF04DD"/>
    <w:rsid w:val="00EF0963"/>
    <w:rsid w:val="00EF0E6D"/>
    <w:rsid w:val="00EF3031"/>
    <w:rsid w:val="00EF3749"/>
    <w:rsid w:val="00EF3E79"/>
    <w:rsid w:val="00EF5546"/>
    <w:rsid w:val="00EF5BDF"/>
    <w:rsid w:val="00EF604D"/>
    <w:rsid w:val="00EF683E"/>
    <w:rsid w:val="00F0009C"/>
    <w:rsid w:val="00F00CF1"/>
    <w:rsid w:val="00F01C1A"/>
    <w:rsid w:val="00F02DDB"/>
    <w:rsid w:val="00F03236"/>
    <w:rsid w:val="00F0412E"/>
    <w:rsid w:val="00F04875"/>
    <w:rsid w:val="00F04F3A"/>
    <w:rsid w:val="00F0617C"/>
    <w:rsid w:val="00F10008"/>
    <w:rsid w:val="00F11E1B"/>
    <w:rsid w:val="00F120FA"/>
    <w:rsid w:val="00F1290A"/>
    <w:rsid w:val="00F12C04"/>
    <w:rsid w:val="00F13ECF"/>
    <w:rsid w:val="00F14176"/>
    <w:rsid w:val="00F15000"/>
    <w:rsid w:val="00F15DFC"/>
    <w:rsid w:val="00F15ED5"/>
    <w:rsid w:val="00F16995"/>
    <w:rsid w:val="00F16B36"/>
    <w:rsid w:val="00F1715A"/>
    <w:rsid w:val="00F171A9"/>
    <w:rsid w:val="00F174E5"/>
    <w:rsid w:val="00F21E2B"/>
    <w:rsid w:val="00F22257"/>
    <w:rsid w:val="00F226DB"/>
    <w:rsid w:val="00F226E5"/>
    <w:rsid w:val="00F22915"/>
    <w:rsid w:val="00F239B4"/>
    <w:rsid w:val="00F25061"/>
    <w:rsid w:val="00F250D9"/>
    <w:rsid w:val="00F255C0"/>
    <w:rsid w:val="00F256EB"/>
    <w:rsid w:val="00F269F6"/>
    <w:rsid w:val="00F26DFD"/>
    <w:rsid w:val="00F27144"/>
    <w:rsid w:val="00F27BC7"/>
    <w:rsid w:val="00F303AE"/>
    <w:rsid w:val="00F30926"/>
    <w:rsid w:val="00F30F87"/>
    <w:rsid w:val="00F3223E"/>
    <w:rsid w:val="00F32DD2"/>
    <w:rsid w:val="00F33785"/>
    <w:rsid w:val="00F34980"/>
    <w:rsid w:val="00F37081"/>
    <w:rsid w:val="00F37C1A"/>
    <w:rsid w:val="00F406A6"/>
    <w:rsid w:val="00F407C3"/>
    <w:rsid w:val="00F431D0"/>
    <w:rsid w:val="00F45883"/>
    <w:rsid w:val="00F4603A"/>
    <w:rsid w:val="00F47AF3"/>
    <w:rsid w:val="00F47B83"/>
    <w:rsid w:val="00F47E54"/>
    <w:rsid w:val="00F51858"/>
    <w:rsid w:val="00F51CCA"/>
    <w:rsid w:val="00F520C7"/>
    <w:rsid w:val="00F52B65"/>
    <w:rsid w:val="00F530BA"/>
    <w:rsid w:val="00F53379"/>
    <w:rsid w:val="00F548E7"/>
    <w:rsid w:val="00F554D4"/>
    <w:rsid w:val="00F55892"/>
    <w:rsid w:val="00F577A7"/>
    <w:rsid w:val="00F60C5F"/>
    <w:rsid w:val="00F60FD1"/>
    <w:rsid w:val="00F61125"/>
    <w:rsid w:val="00F61843"/>
    <w:rsid w:val="00F66071"/>
    <w:rsid w:val="00F66564"/>
    <w:rsid w:val="00F7086D"/>
    <w:rsid w:val="00F70EFA"/>
    <w:rsid w:val="00F71080"/>
    <w:rsid w:val="00F71EC0"/>
    <w:rsid w:val="00F722E4"/>
    <w:rsid w:val="00F72D7F"/>
    <w:rsid w:val="00F75B9E"/>
    <w:rsid w:val="00F771BE"/>
    <w:rsid w:val="00F77DCF"/>
    <w:rsid w:val="00F80354"/>
    <w:rsid w:val="00F80E5A"/>
    <w:rsid w:val="00F81303"/>
    <w:rsid w:val="00F81990"/>
    <w:rsid w:val="00F82890"/>
    <w:rsid w:val="00F835BF"/>
    <w:rsid w:val="00F83BF1"/>
    <w:rsid w:val="00F85505"/>
    <w:rsid w:val="00F86289"/>
    <w:rsid w:val="00F87035"/>
    <w:rsid w:val="00F87309"/>
    <w:rsid w:val="00F877A8"/>
    <w:rsid w:val="00F877B5"/>
    <w:rsid w:val="00F87AE6"/>
    <w:rsid w:val="00F9039D"/>
    <w:rsid w:val="00F90E82"/>
    <w:rsid w:val="00F9324F"/>
    <w:rsid w:val="00F94089"/>
    <w:rsid w:val="00F9494E"/>
    <w:rsid w:val="00F95279"/>
    <w:rsid w:val="00F953CA"/>
    <w:rsid w:val="00F95C66"/>
    <w:rsid w:val="00F9605F"/>
    <w:rsid w:val="00F97821"/>
    <w:rsid w:val="00FA10BE"/>
    <w:rsid w:val="00FA1436"/>
    <w:rsid w:val="00FA171F"/>
    <w:rsid w:val="00FA19CB"/>
    <w:rsid w:val="00FA2999"/>
    <w:rsid w:val="00FA428D"/>
    <w:rsid w:val="00FA4C74"/>
    <w:rsid w:val="00FA58CF"/>
    <w:rsid w:val="00FA6F6D"/>
    <w:rsid w:val="00FB23DF"/>
    <w:rsid w:val="00FB27B8"/>
    <w:rsid w:val="00FB3662"/>
    <w:rsid w:val="00FB40A8"/>
    <w:rsid w:val="00FB4687"/>
    <w:rsid w:val="00FB5F8C"/>
    <w:rsid w:val="00FB6A11"/>
    <w:rsid w:val="00FB6B24"/>
    <w:rsid w:val="00FB6BB1"/>
    <w:rsid w:val="00FB726B"/>
    <w:rsid w:val="00FC01C9"/>
    <w:rsid w:val="00FC0A57"/>
    <w:rsid w:val="00FC1085"/>
    <w:rsid w:val="00FC1D12"/>
    <w:rsid w:val="00FC2056"/>
    <w:rsid w:val="00FC2EAD"/>
    <w:rsid w:val="00FC30C7"/>
    <w:rsid w:val="00FC3710"/>
    <w:rsid w:val="00FC6529"/>
    <w:rsid w:val="00FC71B1"/>
    <w:rsid w:val="00FC721A"/>
    <w:rsid w:val="00FC7393"/>
    <w:rsid w:val="00FD029A"/>
    <w:rsid w:val="00FD09F0"/>
    <w:rsid w:val="00FD1C8F"/>
    <w:rsid w:val="00FD2A5B"/>
    <w:rsid w:val="00FD3A95"/>
    <w:rsid w:val="00FD3BE0"/>
    <w:rsid w:val="00FD5320"/>
    <w:rsid w:val="00FD5504"/>
    <w:rsid w:val="00FD5C6D"/>
    <w:rsid w:val="00FD6DA3"/>
    <w:rsid w:val="00FD6F03"/>
    <w:rsid w:val="00FD7D03"/>
    <w:rsid w:val="00FE2299"/>
    <w:rsid w:val="00FE34AF"/>
    <w:rsid w:val="00FE3534"/>
    <w:rsid w:val="00FE4910"/>
    <w:rsid w:val="00FE5E41"/>
    <w:rsid w:val="00FE5FE6"/>
    <w:rsid w:val="00FE6644"/>
    <w:rsid w:val="00FE6B98"/>
    <w:rsid w:val="00FE70E3"/>
    <w:rsid w:val="00FE7B2E"/>
    <w:rsid w:val="00FE7E08"/>
    <w:rsid w:val="00FF05C2"/>
    <w:rsid w:val="00FF34FA"/>
    <w:rsid w:val="00FF410F"/>
    <w:rsid w:val="00FF595E"/>
    <w:rsid w:val="00FF5E2E"/>
    <w:rsid w:val="00FF6686"/>
    <w:rsid w:val="00FF6887"/>
    <w:rsid w:val="00FF6D5D"/>
    <w:rsid w:val="00FF7C3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385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D4"/>
    <w:pPr>
      <w:spacing w:after="0"/>
    </w:pPr>
  </w:style>
  <w:style w:type="paragraph" w:styleId="Heading1">
    <w:name w:val="heading 1"/>
    <w:basedOn w:val="Normal"/>
    <w:next w:val="Normal"/>
    <w:link w:val="Heading1Char"/>
    <w:uiPriority w:val="9"/>
    <w:qFormat/>
    <w:rsid w:val="00AF6416"/>
    <w:pPr>
      <w:keepNext/>
      <w:keepLines/>
      <w:spacing w:before="480" w:after="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CC358A"/>
    <w:pPr>
      <w:keepNext/>
      <w:keepLines/>
      <w:pBdr>
        <w:bottom w:val="single" w:sz="4" w:space="1" w:color="2E74B5"/>
      </w:pBdr>
      <w:spacing w:before="360" w:after="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76C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F557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unhideWhenUsed/>
    <w:qFormat/>
    <w:rsid w:val="00D13A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416"/>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CC358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B61E5"/>
    <w:pPr>
      <w:spacing w:line="240" w:lineRule="auto"/>
      <w:contextualSpacing/>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uiPriority w:val="10"/>
    <w:rsid w:val="00AB61E5"/>
    <w:rPr>
      <w:rFonts w:asciiTheme="majorHAnsi" w:eastAsiaTheme="majorEastAsia" w:hAnsiTheme="majorHAnsi" w:cstheme="majorBidi"/>
      <w:spacing w:val="-10"/>
      <w:kern w:val="28"/>
      <w:sz w:val="40"/>
      <w:szCs w:val="40"/>
    </w:rPr>
  </w:style>
  <w:style w:type="paragraph" w:styleId="Subtitle">
    <w:name w:val="Subtitle"/>
    <w:basedOn w:val="Normal"/>
    <w:next w:val="Normal"/>
    <w:link w:val="SubtitleChar"/>
    <w:uiPriority w:val="11"/>
    <w:qFormat/>
    <w:rsid w:val="00AB61E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61E5"/>
    <w:rPr>
      <w:rFonts w:eastAsiaTheme="minorEastAsia"/>
      <w:color w:val="5A5A5A" w:themeColor="text1" w:themeTint="A5"/>
      <w:spacing w:val="15"/>
    </w:rPr>
  </w:style>
  <w:style w:type="character" w:styleId="SubtleEmphasis">
    <w:name w:val="Subtle Emphasis"/>
    <w:basedOn w:val="DefaultParagraphFont"/>
    <w:uiPriority w:val="19"/>
    <w:qFormat/>
    <w:rsid w:val="00AB61E5"/>
    <w:rPr>
      <w:i/>
      <w:iCs/>
      <w:color w:val="404040" w:themeColor="text1" w:themeTint="BF"/>
    </w:rPr>
  </w:style>
  <w:style w:type="paragraph" w:styleId="TOCHeading">
    <w:name w:val="TOC Heading"/>
    <w:basedOn w:val="Heading1"/>
    <w:next w:val="Normal"/>
    <w:uiPriority w:val="39"/>
    <w:unhideWhenUsed/>
    <w:qFormat/>
    <w:rsid w:val="001336CB"/>
    <w:pPr>
      <w:spacing w:after="0"/>
      <w:outlineLvl w:val="9"/>
    </w:pPr>
    <w:rPr>
      <w:b w:val="0"/>
      <w:lang w:val="en-US"/>
    </w:rPr>
  </w:style>
  <w:style w:type="paragraph" w:styleId="TOC1">
    <w:name w:val="toc 1"/>
    <w:basedOn w:val="Normal"/>
    <w:next w:val="Normal"/>
    <w:autoRedefine/>
    <w:uiPriority w:val="39"/>
    <w:unhideWhenUsed/>
    <w:rsid w:val="001336CB"/>
    <w:pPr>
      <w:spacing w:after="100"/>
    </w:pPr>
  </w:style>
  <w:style w:type="paragraph" w:styleId="TOC2">
    <w:name w:val="toc 2"/>
    <w:basedOn w:val="Normal"/>
    <w:next w:val="Normal"/>
    <w:autoRedefine/>
    <w:uiPriority w:val="39"/>
    <w:unhideWhenUsed/>
    <w:rsid w:val="001336CB"/>
    <w:pPr>
      <w:spacing w:after="100"/>
      <w:ind w:left="220"/>
    </w:pPr>
  </w:style>
  <w:style w:type="character" w:styleId="Hyperlink">
    <w:name w:val="Hyperlink"/>
    <w:basedOn w:val="DefaultParagraphFont"/>
    <w:uiPriority w:val="99"/>
    <w:unhideWhenUsed/>
    <w:rsid w:val="001336CB"/>
    <w:rPr>
      <w:color w:val="0563C1" w:themeColor="hyperlink"/>
      <w:u w:val="single"/>
    </w:rPr>
  </w:style>
  <w:style w:type="character" w:styleId="CommentReference">
    <w:name w:val="annotation reference"/>
    <w:basedOn w:val="DefaultParagraphFont"/>
    <w:uiPriority w:val="99"/>
    <w:semiHidden/>
    <w:unhideWhenUsed/>
    <w:rsid w:val="00713735"/>
    <w:rPr>
      <w:sz w:val="16"/>
      <w:szCs w:val="16"/>
    </w:rPr>
  </w:style>
  <w:style w:type="paragraph" w:styleId="CommentText">
    <w:name w:val="annotation text"/>
    <w:basedOn w:val="Normal"/>
    <w:link w:val="CommentTextChar"/>
    <w:uiPriority w:val="99"/>
    <w:unhideWhenUsed/>
    <w:rsid w:val="00713735"/>
    <w:pPr>
      <w:spacing w:line="240" w:lineRule="auto"/>
    </w:pPr>
    <w:rPr>
      <w:sz w:val="20"/>
      <w:szCs w:val="20"/>
    </w:rPr>
  </w:style>
  <w:style w:type="character" w:customStyle="1" w:styleId="CommentTextChar">
    <w:name w:val="Comment Text Char"/>
    <w:basedOn w:val="DefaultParagraphFont"/>
    <w:link w:val="CommentText"/>
    <w:uiPriority w:val="99"/>
    <w:rsid w:val="00713735"/>
    <w:rPr>
      <w:sz w:val="20"/>
      <w:szCs w:val="20"/>
    </w:rPr>
  </w:style>
  <w:style w:type="paragraph" w:styleId="CommentSubject">
    <w:name w:val="annotation subject"/>
    <w:basedOn w:val="CommentText"/>
    <w:next w:val="CommentText"/>
    <w:link w:val="CommentSubjectChar"/>
    <w:uiPriority w:val="99"/>
    <w:semiHidden/>
    <w:unhideWhenUsed/>
    <w:rsid w:val="00713735"/>
    <w:rPr>
      <w:b/>
      <w:bCs/>
    </w:rPr>
  </w:style>
  <w:style w:type="character" w:customStyle="1" w:styleId="CommentSubjectChar">
    <w:name w:val="Comment Subject Char"/>
    <w:basedOn w:val="CommentTextChar"/>
    <w:link w:val="CommentSubject"/>
    <w:uiPriority w:val="99"/>
    <w:semiHidden/>
    <w:rsid w:val="00713735"/>
    <w:rPr>
      <w:b/>
      <w:bCs/>
      <w:sz w:val="20"/>
      <w:szCs w:val="20"/>
    </w:rPr>
  </w:style>
  <w:style w:type="paragraph" w:styleId="BalloonText">
    <w:name w:val="Balloon Text"/>
    <w:basedOn w:val="Normal"/>
    <w:link w:val="BalloonTextChar"/>
    <w:uiPriority w:val="99"/>
    <w:semiHidden/>
    <w:unhideWhenUsed/>
    <w:rsid w:val="007137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35"/>
    <w:rPr>
      <w:rFonts w:ascii="Segoe UI" w:hAnsi="Segoe UI" w:cs="Segoe UI"/>
      <w:sz w:val="18"/>
      <w:szCs w:val="18"/>
    </w:rPr>
  </w:style>
  <w:style w:type="character" w:customStyle="1" w:styleId="Heading3Char">
    <w:name w:val="Heading 3 Char"/>
    <w:basedOn w:val="DefaultParagraphFont"/>
    <w:link w:val="Heading3"/>
    <w:uiPriority w:val="9"/>
    <w:rsid w:val="005876C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BC7958"/>
    <w:pPr>
      <w:ind w:left="720"/>
      <w:contextualSpacing/>
    </w:pPr>
  </w:style>
  <w:style w:type="paragraph" w:styleId="Header">
    <w:name w:val="header"/>
    <w:basedOn w:val="Normal"/>
    <w:link w:val="HeaderChar"/>
    <w:uiPriority w:val="99"/>
    <w:unhideWhenUsed/>
    <w:rsid w:val="009C6A3E"/>
    <w:pPr>
      <w:tabs>
        <w:tab w:val="center" w:pos="4513"/>
        <w:tab w:val="right" w:pos="9026"/>
      </w:tabs>
      <w:spacing w:line="240" w:lineRule="auto"/>
    </w:pPr>
  </w:style>
  <w:style w:type="character" w:customStyle="1" w:styleId="HeaderChar">
    <w:name w:val="Header Char"/>
    <w:basedOn w:val="DefaultParagraphFont"/>
    <w:link w:val="Header"/>
    <w:uiPriority w:val="99"/>
    <w:rsid w:val="009C6A3E"/>
  </w:style>
  <w:style w:type="paragraph" w:styleId="Footer">
    <w:name w:val="footer"/>
    <w:basedOn w:val="Normal"/>
    <w:link w:val="FooterChar"/>
    <w:uiPriority w:val="99"/>
    <w:unhideWhenUsed/>
    <w:rsid w:val="009C6A3E"/>
    <w:pPr>
      <w:tabs>
        <w:tab w:val="center" w:pos="4513"/>
        <w:tab w:val="right" w:pos="9026"/>
      </w:tabs>
      <w:spacing w:line="240" w:lineRule="auto"/>
    </w:pPr>
  </w:style>
  <w:style w:type="character" w:customStyle="1" w:styleId="FooterChar">
    <w:name w:val="Footer Char"/>
    <w:basedOn w:val="DefaultParagraphFont"/>
    <w:link w:val="Footer"/>
    <w:uiPriority w:val="99"/>
    <w:rsid w:val="009C6A3E"/>
  </w:style>
  <w:style w:type="character" w:customStyle="1" w:styleId="UnresolvedMention1">
    <w:name w:val="Unresolved Mention1"/>
    <w:basedOn w:val="DefaultParagraphFont"/>
    <w:uiPriority w:val="99"/>
    <w:semiHidden/>
    <w:unhideWhenUsed/>
    <w:rsid w:val="00602BF1"/>
    <w:rPr>
      <w:color w:val="605E5C"/>
      <w:shd w:val="clear" w:color="auto" w:fill="E1DFDD"/>
    </w:rPr>
  </w:style>
  <w:style w:type="paragraph" w:customStyle="1" w:styleId="Bullet">
    <w:name w:val="Bullet"/>
    <w:basedOn w:val="Normal"/>
    <w:link w:val="BulletChar"/>
    <w:rsid w:val="00073EDE"/>
    <w:pPr>
      <w:numPr>
        <w:numId w:val="28"/>
      </w:numPr>
    </w:pPr>
    <w:rPr>
      <w:b/>
      <w:bCs/>
    </w:rPr>
  </w:style>
  <w:style w:type="character" w:customStyle="1" w:styleId="BulletChar">
    <w:name w:val="Bullet Char"/>
    <w:basedOn w:val="DefaultParagraphFont"/>
    <w:link w:val="Bullet"/>
    <w:rsid w:val="00073EDE"/>
    <w:rPr>
      <w:b/>
      <w:bCs/>
    </w:rPr>
  </w:style>
  <w:style w:type="paragraph" w:customStyle="1" w:styleId="Dash">
    <w:name w:val="Dash"/>
    <w:basedOn w:val="Normal"/>
    <w:link w:val="DashChar"/>
    <w:rsid w:val="00073EDE"/>
    <w:pPr>
      <w:numPr>
        <w:ilvl w:val="1"/>
        <w:numId w:val="28"/>
      </w:numPr>
    </w:pPr>
    <w:rPr>
      <w:b/>
      <w:bCs/>
    </w:rPr>
  </w:style>
  <w:style w:type="character" w:customStyle="1" w:styleId="DashChar">
    <w:name w:val="Dash Char"/>
    <w:basedOn w:val="DefaultParagraphFont"/>
    <w:link w:val="Dash"/>
    <w:rsid w:val="00073EDE"/>
    <w:rPr>
      <w:b/>
      <w:bCs/>
    </w:rPr>
  </w:style>
  <w:style w:type="paragraph" w:customStyle="1" w:styleId="DoubleDot">
    <w:name w:val="Double Dot"/>
    <w:basedOn w:val="Normal"/>
    <w:link w:val="DoubleDotChar"/>
    <w:rsid w:val="00073EDE"/>
    <w:pPr>
      <w:numPr>
        <w:ilvl w:val="2"/>
        <w:numId w:val="28"/>
      </w:numPr>
    </w:pPr>
    <w:rPr>
      <w:b/>
      <w:bCs/>
    </w:rPr>
  </w:style>
  <w:style w:type="character" w:customStyle="1" w:styleId="DoubleDotChar">
    <w:name w:val="Double Dot Char"/>
    <w:basedOn w:val="DefaultParagraphFont"/>
    <w:link w:val="DoubleDot"/>
    <w:rsid w:val="00073EDE"/>
    <w:rPr>
      <w:b/>
      <w:bCs/>
    </w:rPr>
  </w:style>
  <w:style w:type="table" w:styleId="TableGrid">
    <w:name w:val="Table Grid"/>
    <w:basedOn w:val="TableNormal"/>
    <w:uiPriority w:val="39"/>
    <w:rsid w:val="002C7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A0505E"/>
    <w:pPr>
      <w:numPr>
        <w:numId w:val="30"/>
      </w:numPr>
    </w:pPr>
  </w:style>
  <w:style w:type="character" w:customStyle="1" w:styleId="ListParagraphChar">
    <w:name w:val="List Paragraph Char"/>
    <w:basedOn w:val="DefaultParagraphFont"/>
    <w:link w:val="ListParagraph"/>
    <w:uiPriority w:val="34"/>
    <w:rsid w:val="00A0505E"/>
  </w:style>
  <w:style w:type="character" w:customStyle="1" w:styleId="OutlineNumbered1Char">
    <w:name w:val="Outline Numbered 1 Char"/>
    <w:basedOn w:val="ListParagraphChar"/>
    <w:link w:val="OutlineNumbered1"/>
    <w:rsid w:val="00A0505E"/>
  </w:style>
  <w:style w:type="paragraph" w:customStyle="1" w:styleId="OutlineNumbered2">
    <w:name w:val="Outline Numbered 2"/>
    <w:basedOn w:val="Normal"/>
    <w:link w:val="OutlineNumbered2Char"/>
    <w:rsid w:val="00A0505E"/>
    <w:pPr>
      <w:numPr>
        <w:ilvl w:val="1"/>
        <w:numId w:val="30"/>
      </w:numPr>
      <w:tabs>
        <w:tab w:val="clear" w:pos="1040"/>
        <w:tab w:val="num" w:pos="360"/>
      </w:tabs>
      <w:ind w:left="0" w:firstLine="0"/>
    </w:pPr>
  </w:style>
  <w:style w:type="character" w:customStyle="1" w:styleId="OutlineNumbered2Char">
    <w:name w:val="Outline Numbered 2 Char"/>
    <w:basedOn w:val="ListParagraphChar"/>
    <w:link w:val="OutlineNumbered2"/>
    <w:rsid w:val="00A0505E"/>
  </w:style>
  <w:style w:type="paragraph" w:customStyle="1" w:styleId="OutlineNumbered3">
    <w:name w:val="Outline Numbered 3"/>
    <w:basedOn w:val="Normal"/>
    <w:link w:val="OutlineNumbered3Char"/>
    <w:rsid w:val="00A0505E"/>
    <w:pPr>
      <w:numPr>
        <w:ilvl w:val="2"/>
        <w:numId w:val="30"/>
      </w:numPr>
      <w:tabs>
        <w:tab w:val="clear" w:pos="1560"/>
        <w:tab w:val="num" w:pos="360"/>
      </w:tabs>
      <w:ind w:left="0" w:firstLine="0"/>
    </w:pPr>
  </w:style>
  <w:style w:type="character" w:customStyle="1" w:styleId="OutlineNumbered3Char">
    <w:name w:val="Outline Numbered 3 Char"/>
    <w:basedOn w:val="ListParagraphChar"/>
    <w:link w:val="OutlineNumbered3"/>
    <w:rsid w:val="00A0505E"/>
  </w:style>
  <w:style w:type="paragraph" w:customStyle="1" w:styleId="Normal-Numberedparagraphs">
    <w:name w:val="Normal - Numbered paragraphs"/>
    <w:basedOn w:val="Normal"/>
    <w:link w:val="Normal-NumberedparagraphsChar"/>
    <w:qFormat/>
    <w:rsid w:val="006636C1"/>
    <w:pPr>
      <w:numPr>
        <w:numId w:val="31"/>
      </w:numPr>
      <w:spacing w:after="240"/>
      <w:ind w:left="357" w:hanging="357"/>
    </w:pPr>
  </w:style>
  <w:style w:type="character" w:customStyle="1" w:styleId="Normal-NumberedparagraphsChar">
    <w:name w:val="Normal - Numbered paragraphs Char"/>
    <w:basedOn w:val="DefaultParagraphFont"/>
    <w:link w:val="Normal-Numberedparagraphs"/>
    <w:rsid w:val="006636C1"/>
  </w:style>
  <w:style w:type="character" w:customStyle="1" w:styleId="Heading9Char">
    <w:name w:val="Heading 9 Char"/>
    <w:basedOn w:val="DefaultParagraphFont"/>
    <w:link w:val="Heading9"/>
    <w:uiPriority w:val="9"/>
    <w:rsid w:val="00D13A82"/>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096F84"/>
    <w:pPr>
      <w:spacing w:line="240" w:lineRule="auto"/>
    </w:pPr>
    <w:rPr>
      <w:sz w:val="20"/>
      <w:szCs w:val="20"/>
    </w:rPr>
  </w:style>
  <w:style w:type="character" w:customStyle="1" w:styleId="FootnoteTextChar">
    <w:name w:val="Footnote Text Char"/>
    <w:basedOn w:val="DefaultParagraphFont"/>
    <w:link w:val="FootnoteText"/>
    <w:uiPriority w:val="99"/>
    <w:semiHidden/>
    <w:rsid w:val="00096F84"/>
    <w:rPr>
      <w:sz w:val="20"/>
      <w:szCs w:val="20"/>
    </w:rPr>
  </w:style>
  <w:style w:type="character" w:styleId="FootnoteReference">
    <w:name w:val="footnote reference"/>
    <w:basedOn w:val="DefaultParagraphFont"/>
    <w:uiPriority w:val="99"/>
    <w:semiHidden/>
    <w:unhideWhenUsed/>
    <w:rsid w:val="00096F84"/>
    <w:rPr>
      <w:vertAlign w:val="superscript"/>
    </w:rPr>
  </w:style>
  <w:style w:type="paragraph" w:customStyle="1" w:styleId="paragraph">
    <w:name w:val="paragraph"/>
    <w:aliases w:val="a,t_Para"/>
    <w:basedOn w:val="Normal"/>
    <w:link w:val="paragraphChar"/>
    <w:rsid w:val="0093629B"/>
    <w:pPr>
      <w:tabs>
        <w:tab w:val="right" w:pos="1531"/>
      </w:tabs>
      <w:spacing w:before="4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93629B"/>
    <w:rPr>
      <w:rFonts w:ascii="Times New Roman" w:eastAsia="Times New Roman" w:hAnsi="Times New Roman" w:cs="Times New Roman"/>
      <w:szCs w:val="20"/>
      <w:lang w:eastAsia="en-AU"/>
    </w:rPr>
  </w:style>
  <w:style w:type="paragraph" w:styleId="Revision">
    <w:name w:val="Revision"/>
    <w:hidden/>
    <w:uiPriority w:val="99"/>
    <w:semiHidden/>
    <w:rsid w:val="00183132"/>
    <w:pPr>
      <w:spacing w:after="0" w:line="240" w:lineRule="auto"/>
    </w:pPr>
  </w:style>
  <w:style w:type="character" w:styleId="FollowedHyperlink">
    <w:name w:val="FollowedHyperlink"/>
    <w:basedOn w:val="DefaultParagraphFont"/>
    <w:uiPriority w:val="99"/>
    <w:semiHidden/>
    <w:unhideWhenUsed/>
    <w:rsid w:val="00D31691"/>
    <w:rPr>
      <w:color w:val="954F72" w:themeColor="followedHyperlink"/>
      <w:u w:val="single"/>
    </w:rPr>
  </w:style>
  <w:style w:type="paragraph" w:customStyle="1" w:styleId="Definition">
    <w:name w:val="Definition"/>
    <w:aliases w:val="dd,t_Defn"/>
    <w:basedOn w:val="Normal"/>
    <w:uiPriority w:val="99"/>
    <w:rsid w:val="00915197"/>
    <w:pPr>
      <w:spacing w:before="180" w:line="240" w:lineRule="auto"/>
      <w:ind w:left="1134"/>
    </w:pPr>
    <w:rPr>
      <w:rFonts w:ascii="Times New Roman" w:eastAsia="Times New Roman" w:hAnsi="Times New Roman" w:cs="Times New Roman"/>
      <w:szCs w:val="20"/>
      <w:lang w:eastAsia="en-AU"/>
    </w:rPr>
  </w:style>
  <w:style w:type="character" w:customStyle="1" w:styleId="Heading4Char">
    <w:name w:val="Heading 4 Char"/>
    <w:basedOn w:val="DefaultParagraphFont"/>
    <w:link w:val="Heading4"/>
    <w:uiPriority w:val="9"/>
    <w:rsid w:val="00DF5577"/>
    <w:rPr>
      <w:rFonts w:asciiTheme="majorHAnsi" w:eastAsiaTheme="majorEastAsia" w:hAnsiTheme="majorHAnsi" w:cstheme="majorBidi"/>
      <w:i/>
      <w:iCs/>
      <w:color w:val="2E74B5" w:themeColor="accent1" w:themeShade="BF"/>
    </w:rPr>
  </w:style>
  <w:style w:type="character" w:customStyle="1" w:styleId="SecurityClassificationHeaderChar">
    <w:name w:val="Security Classification Header Char"/>
    <w:basedOn w:val="DefaultParagraphFont"/>
    <w:link w:val="SecurityClassificationHeader"/>
    <w:locked/>
    <w:rsid w:val="00926044"/>
    <w:rPr>
      <w:rFonts w:ascii="Calibri" w:hAnsi="Calibri" w:cs="Calibri"/>
      <w:b/>
      <w:caps/>
      <w:sz w:val="24"/>
    </w:rPr>
  </w:style>
  <w:style w:type="paragraph" w:customStyle="1" w:styleId="SecurityClassificationHeader">
    <w:name w:val="Security Classification Header"/>
    <w:link w:val="SecurityClassificationHeaderChar"/>
    <w:rsid w:val="00926044"/>
    <w:pPr>
      <w:spacing w:before="240" w:after="60" w:line="256" w:lineRule="auto"/>
      <w:jc w:val="center"/>
    </w:pPr>
    <w:rPr>
      <w:rFonts w:ascii="Calibri" w:hAnsi="Calibri" w:cs="Calibri"/>
      <w:b/>
      <w:caps/>
      <w:sz w:val="24"/>
    </w:rPr>
  </w:style>
  <w:style w:type="character" w:styleId="UnresolvedMention">
    <w:name w:val="Unresolved Mention"/>
    <w:basedOn w:val="DefaultParagraphFont"/>
    <w:uiPriority w:val="99"/>
    <w:semiHidden/>
    <w:unhideWhenUsed/>
    <w:rsid w:val="0042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6317">
      <w:bodyDiv w:val="1"/>
      <w:marLeft w:val="0"/>
      <w:marRight w:val="0"/>
      <w:marTop w:val="0"/>
      <w:marBottom w:val="0"/>
      <w:divBdr>
        <w:top w:val="none" w:sz="0" w:space="0" w:color="auto"/>
        <w:left w:val="none" w:sz="0" w:space="0" w:color="auto"/>
        <w:bottom w:val="none" w:sz="0" w:space="0" w:color="auto"/>
        <w:right w:val="none" w:sz="0" w:space="0" w:color="auto"/>
      </w:divBdr>
    </w:div>
    <w:div w:id="200292664">
      <w:bodyDiv w:val="1"/>
      <w:marLeft w:val="0"/>
      <w:marRight w:val="0"/>
      <w:marTop w:val="0"/>
      <w:marBottom w:val="0"/>
      <w:divBdr>
        <w:top w:val="none" w:sz="0" w:space="0" w:color="auto"/>
        <w:left w:val="none" w:sz="0" w:space="0" w:color="auto"/>
        <w:bottom w:val="none" w:sz="0" w:space="0" w:color="auto"/>
        <w:right w:val="none" w:sz="0" w:space="0" w:color="auto"/>
      </w:divBdr>
    </w:div>
    <w:div w:id="252514302">
      <w:bodyDiv w:val="1"/>
      <w:marLeft w:val="0"/>
      <w:marRight w:val="0"/>
      <w:marTop w:val="0"/>
      <w:marBottom w:val="0"/>
      <w:divBdr>
        <w:top w:val="none" w:sz="0" w:space="0" w:color="auto"/>
        <w:left w:val="none" w:sz="0" w:space="0" w:color="auto"/>
        <w:bottom w:val="none" w:sz="0" w:space="0" w:color="auto"/>
        <w:right w:val="none" w:sz="0" w:space="0" w:color="auto"/>
      </w:divBdr>
    </w:div>
    <w:div w:id="488180871">
      <w:bodyDiv w:val="1"/>
      <w:marLeft w:val="0"/>
      <w:marRight w:val="0"/>
      <w:marTop w:val="0"/>
      <w:marBottom w:val="0"/>
      <w:divBdr>
        <w:top w:val="none" w:sz="0" w:space="0" w:color="auto"/>
        <w:left w:val="none" w:sz="0" w:space="0" w:color="auto"/>
        <w:bottom w:val="none" w:sz="0" w:space="0" w:color="auto"/>
        <w:right w:val="none" w:sz="0" w:space="0" w:color="auto"/>
      </w:divBdr>
    </w:div>
    <w:div w:id="489952317">
      <w:bodyDiv w:val="1"/>
      <w:marLeft w:val="0"/>
      <w:marRight w:val="0"/>
      <w:marTop w:val="0"/>
      <w:marBottom w:val="0"/>
      <w:divBdr>
        <w:top w:val="none" w:sz="0" w:space="0" w:color="auto"/>
        <w:left w:val="none" w:sz="0" w:space="0" w:color="auto"/>
        <w:bottom w:val="none" w:sz="0" w:space="0" w:color="auto"/>
        <w:right w:val="none" w:sz="0" w:space="0" w:color="auto"/>
      </w:divBdr>
    </w:div>
    <w:div w:id="513350302">
      <w:bodyDiv w:val="1"/>
      <w:marLeft w:val="0"/>
      <w:marRight w:val="0"/>
      <w:marTop w:val="0"/>
      <w:marBottom w:val="0"/>
      <w:divBdr>
        <w:top w:val="none" w:sz="0" w:space="0" w:color="auto"/>
        <w:left w:val="none" w:sz="0" w:space="0" w:color="auto"/>
        <w:bottom w:val="none" w:sz="0" w:space="0" w:color="auto"/>
        <w:right w:val="none" w:sz="0" w:space="0" w:color="auto"/>
      </w:divBdr>
    </w:div>
    <w:div w:id="544174784">
      <w:bodyDiv w:val="1"/>
      <w:marLeft w:val="0"/>
      <w:marRight w:val="0"/>
      <w:marTop w:val="0"/>
      <w:marBottom w:val="0"/>
      <w:divBdr>
        <w:top w:val="none" w:sz="0" w:space="0" w:color="auto"/>
        <w:left w:val="none" w:sz="0" w:space="0" w:color="auto"/>
        <w:bottom w:val="none" w:sz="0" w:space="0" w:color="auto"/>
        <w:right w:val="none" w:sz="0" w:space="0" w:color="auto"/>
      </w:divBdr>
    </w:div>
    <w:div w:id="596133461">
      <w:bodyDiv w:val="1"/>
      <w:marLeft w:val="0"/>
      <w:marRight w:val="0"/>
      <w:marTop w:val="0"/>
      <w:marBottom w:val="0"/>
      <w:divBdr>
        <w:top w:val="none" w:sz="0" w:space="0" w:color="auto"/>
        <w:left w:val="none" w:sz="0" w:space="0" w:color="auto"/>
        <w:bottom w:val="none" w:sz="0" w:space="0" w:color="auto"/>
        <w:right w:val="none" w:sz="0" w:space="0" w:color="auto"/>
      </w:divBdr>
    </w:div>
    <w:div w:id="739327078">
      <w:bodyDiv w:val="1"/>
      <w:marLeft w:val="0"/>
      <w:marRight w:val="0"/>
      <w:marTop w:val="0"/>
      <w:marBottom w:val="0"/>
      <w:divBdr>
        <w:top w:val="none" w:sz="0" w:space="0" w:color="auto"/>
        <w:left w:val="none" w:sz="0" w:space="0" w:color="auto"/>
        <w:bottom w:val="none" w:sz="0" w:space="0" w:color="auto"/>
        <w:right w:val="none" w:sz="0" w:space="0" w:color="auto"/>
      </w:divBdr>
    </w:div>
    <w:div w:id="779954482">
      <w:bodyDiv w:val="1"/>
      <w:marLeft w:val="0"/>
      <w:marRight w:val="0"/>
      <w:marTop w:val="0"/>
      <w:marBottom w:val="0"/>
      <w:divBdr>
        <w:top w:val="none" w:sz="0" w:space="0" w:color="auto"/>
        <w:left w:val="none" w:sz="0" w:space="0" w:color="auto"/>
        <w:bottom w:val="none" w:sz="0" w:space="0" w:color="auto"/>
        <w:right w:val="none" w:sz="0" w:space="0" w:color="auto"/>
      </w:divBdr>
    </w:div>
    <w:div w:id="809131760">
      <w:bodyDiv w:val="1"/>
      <w:marLeft w:val="0"/>
      <w:marRight w:val="0"/>
      <w:marTop w:val="0"/>
      <w:marBottom w:val="0"/>
      <w:divBdr>
        <w:top w:val="none" w:sz="0" w:space="0" w:color="auto"/>
        <w:left w:val="none" w:sz="0" w:space="0" w:color="auto"/>
        <w:bottom w:val="none" w:sz="0" w:space="0" w:color="auto"/>
        <w:right w:val="none" w:sz="0" w:space="0" w:color="auto"/>
      </w:divBdr>
    </w:div>
    <w:div w:id="823132371">
      <w:bodyDiv w:val="1"/>
      <w:marLeft w:val="0"/>
      <w:marRight w:val="0"/>
      <w:marTop w:val="0"/>
      <w:marBottom w:val="0"/>
      <w:divBdr>
        <w:top w:val="none" w:sz="0" w:space="0" w:color="auto"/>
        <w:left w:val="none" w:sz="0" w:space="0" w:color="auto"/>
        <w:bottom w:val="none" w:sz="0" w:space="0" w:color="auto"/>
        <w:right w:val="none" w:sz="0" w:space="0" w:color="auto"/>
      </w:divBdr>
    </w:div>
    <w:div w:id="877930405">
      <w:bodyDiv w:val="1"/>
      <w:marLeft w:val="0"/>
      <w:marRight w:val="0"/>
      <w:marTop w:val="0"/>
      <w:marBottom w:val="0"/>
      <w:divBdr>
        <w:top w:val="none" w:sz="0" w:space="0" w:color="auto"/>
        <w:left w:val="none" w:sz="0" w:space="0" w:color="auto"/>
        <w:bottom w:val="none" w:sz="0" w:space="0" w:color="auto"/>
        <w:right w:val="none" w:sz="0" w:space="0" w:color="auto"/>
      </w:divBdr>
    </w:div>
    <w:div w:id="1041787457">
      <w:bodyDiv w:val="1"/>
      <w:marLeft w:val="0"/>
      <w:marRight w:val="0"/>
      <w:marTop w:val="0"/>
      <w:marBottom w:val="0"/>
      <w:divBdr>
        <w:top w:val="none" w:sz="0" w:space="0" w:color="auto"/>
        <w:left w:val="none" w:sz="0" w:space="0" w:color="auto"/>
        <w:bottom w:val="none" w:sz="0" w:space="0" w:color="auto"/>
        <w:right w:val="none" w:sz="0" w:space="0" w:color="auto"/>
      </w:divBdr>
    </w:div>
    <w:div w:id="1070885278">
      <w:bodyDiv w:val="1"/>
      <w:marLeft w:val="0"/>
      <w:marRight w:val="0"/>
      <w:marTop w:val="0"/>
      <w:marBottom w:val="0"/>
      <w:divBdr>
        <w:top w:val="none" w:sz="0" w:space="0" w:color="auto"/>
        <w:left w:val="none" w:sz="0" w:space="0" w:color="auto"/>
        <w:bottom w:val="none" w:sz="0" w:space="0" w:color="auto"/>
        <w:right w:val="none" w:sz="0" w:space="0" w:color="auto"/>
      </w:divBdr>
    </w:div>
    <w:div w:id="1091776664">
      <w:bodyDiv w:val="1"/>
      <w:marLeft w:val="0"/>
      <w:marRight w:val="0"/>
      <w:marTop w:val="0"/>
      <w:marBottom w:val="0"/>
      <w:divBdr>
        <w:top w:val="none" w:sz="0" w:space="0" w:color="auto"/>
        <w:left w:val="none" w:sz="0" w:space="0" w:color="auto"/>
        <w:bottom w:val="none" w:sz="0" w:space="0" w:color="auto"/>
        <w:right w:val="none" w:sz="0" w:space="0" w:color="auto"/>
      </w:divBdr>
    </w:div>
    <w:div w:id="1206329633">
      <w:bodyDiv w:val="1"/>
      <w:marLeft w:val="0"/>
      <w:marRight w:val="0"/>
      <w:marTop w:val="0"/>
      <w:marBottom w:val="0"/>
      <w:divBdr>
        <w:top w:val="none" w:sz="0" w:space="0" w:color="auto"/>
        <w:left w:val="none" w:sz="0" w:space="0" w:color="auto"/>
        <w:bottom w:val="none" w:sz="0" w:space="0" w:color="auto"/>
        <w:right w:val="none" w:sz="0" w:space="0" w:color="auto"/>
      </w:divBdr>
    </w:div>
    <w:div w:id="1233471052">
      <w:bodyDiv w:val="1"/>
      <w:marLeft w:val="0"/>
      <w:marRight w:val="0"/>
      <w:marTop w:val="0"/>
      <w:marBottom w:val="0"/>
      <w:divBdr>
        <w:top w:val="none" w:sz="0" w:space="0" w:color="auto"/>
        <w:left w:val="none" w:sz="0" w:space="0" w:color="auto"/>
        <w:bottom w:val="none" w:sz="0" w:space="0" w:color="auto"/>
        <w:right w:val="none" w:sz="0" w:space="0" w:color="auto"/>
      </w:divBdr>
    </w:div>
    <w:div w:id="1253274298">
      <w:bodyDiv w:val="1"/>
      <w:marLeft w:val="0"/>
      <w:marRight w:val="0"/>
      <w:marTop w:val="0"/>
      <w:marBottom w:val="0"/>
      <w:divBdr>
        <w:top w:val="none" w:sz="0" w:space="0" w:color="auto"/>
        <w:left w:val="none" w:sz="0" w:space="0" w:color="auto"/>
        <w:bottom w:val="none" w:sz="0" w:space="0" w:color="auto"/>
        <w:right w:val="none" w:sz="0" w:space="0" w:color="auto"/>
      </w:divBdr>
    </w:div>
    <w:div w:id="1350450938">
      <w:bodyDiv w:val="1"/>
      <w:marLeft w:val="0"/>
      <w:marRight w:val="0"/>
      <w:marTop w:val="0"/>
      <w:marBottom w:val="0"/>
      <w:divBdr>
        <w:top w:val="none" w:sz="0" w:space="0" w:color="auto"/>
        <w:left w:val="none" w:sz="0" w:space="0" w:color="auto"/>
        <w:bottom w:val="none" w:sz="0" w:space="0" w:color="auto"/>
        <w:right w:val="none" w:sz="0" w:space="0" w:color="auto"/>
      </w:divBdr>
    </w:div>
    <w:div w:id="1495490567">
      <w:bodyDiv w:val="1"/>
      <w:marLeft w:val="0"/>
      <w:marRight w:val="0"/>
      <w:marTop w:val="0"/>
      <w:marBottom w:val="0"/>
      <w:divBdr>
        <w:top w:val="none" w:sz="0" w:space="0" w:color="auto"/>
        <w:left w:val="none" w:sz="0" w:space="0" w:color="auto"/>
        <w:bottom w:val="none" w:sz="0" w:space="0" w:color="auto"/>
        <w:right w:val="none" w:sz="0" w:space="0" w:color="auto"/>
      </w:divBdr>
    </w:div>
    <w:div w:id="1626422460">
      <w:bodyDiv w:val="1"/>
      <w:marLeft w:val="0"/>
      <w:marRight w:val="0"/>
      <w:marTop w:val="0"/>
      <w:marBottom w:val="0"/>
      <w:divBdr>
        <w:top w:val="none" w:sz="0" w:space="0" w:color="auto"/>
        <w:left w:val="none" w:sz="0" w:space="0" w:color="auto"/>
        <w:bottom w:val="none" w:sz="0" w:space="0" w:color="auto"/>
        <w:right w:val="none" w:sz="0" w:space="0" w:color="auto"/>
      </w:divBdr>
    </w:div>
    <w:div w:id="1712341870">
      <w:bodyDiv w:val="1"/>
      <w:marLeft w:val="0"/>
      <w:marRight w:val="0"/>
      <w:marTop w:val="0"/>
      <w:marBottom w:val="0"/>
      <w:divBdr>
        <w:top w:val="none" w:sz="0" w:space="0" w:color="auto"/>
        <w:left w:val="none" w:sz="0" w:space="0" w:color="auto"/>
        <w:bottom w:val="none" w:sz="0" w:space="0" w:color="auto"/>
        <w:right w:val="none" w:sz="0" w:space="0" w:color="auto"/>
      </w:divBdr>
    </w:div>
    <w:div w:id="1715885443">
      <w:bodyDiv w:val="1"/>
      <w:marLeft w:val="0"/>
      <w:marRight w:val="0"/>
      <w:marTop w:val="0"/>
      <w:marBottom w:val="0"/>
      <w:divBdr>
        <w:top w:val="none" w:sz="0" w:space="0" w:color="auto"/>
        <w:left w:val="none" w:sz="0" w:space="0" w:color="auto"/>
        <w:bottom w:val="none" w:sz="0" w:space="0" w:color="auto"/>
        <w:right w:val="none" w:sz="0" w:space="0" w:color="auto"/>
      </w:divBdr>
    </w:div>
    <w:div w:id="1741244381">
      <w:bodyDiv w:val="1"/>
      <w:marLeft w:val="0"/>
      <w:marRight w:val="0"/>
      <w:marTop w:val="0"/>
      <w:marBottom w:val="0"/>
      <w:divBdr>
        <w:top w:val="none" w:sz="0" w:space="0" w:color="auto"/>
        <w:left w:val="none" w:sz="0" w:space="0" w:color="auto"/>
        <w:bottom w:val="none" w:sz="0" w:space="0" w:color="auto"/>
        <w:right w:val="none" w:sz="0" w:space="0" w:color="auto"/>
      </w:divBdr>
    </w:div>
    <w:div w:id="1747916094">
      <w:bodyDiv w:val="1"/>
      <w:marLeft w:val="0"/>
      <w:marRight w:val="0"/>
      <w:marTop w:val="0"/>
      <w:marBottom w:val="0"/>
      <w:divBdr>
        <w:top w:val="none" w:sz="0" w:space="0" w:color="auto"/>
        <w:left w:val="none" w:sz="0" w:space="0" w:color="auto"/>
        <w:bottom w:val="none" w:sz="0" w:space="0" w:color="auto"/>
        <w:right w:val="none" w:sz="0" w:space="0" w:color="auto"/>
      </w:divBdr>
    </w:div>
    <w:div w:id="1807163767">
      <w:bodyDiv w:val="1"/>
      <w:marLeft w:val="0"/>
      <w:marRight w:val="0"/>
      <w:marTop w:val="0"/>
      <w:marBottom w:val="0"/>
      <w:divBdr>
        <w:top w:val="none" w:sz="0" w:space="0" w:color="auto"/>
        <w:left w:val="none" w:sz="0" w:space="0" w:color="auto"/>
        <w:bottom w:val="none" w:sz="0" w:space="0" w:color="auto"/>
        <w:right w:val="none" w:sz="0" w:space="0" w:color="auto"/>
      </w:divBdr>
    </w:div>
    <w:div w:id="1815633385">
      <w:bodyDiv w:val="1"/>
      <w:marLeft w:val="0"/>
      <w:marRight w:val="0"/>
      <w:marTop w:val="0"/>
      <w:marBottom w:val="0"/>
      <w:divBdr>
        <w:top w:val="none" w:sz="0" w:space="0" w:color="auto"/>
        <w:left w:val="none" w:sz="0" w:space="0" w:color="auto"/>
        <w:bottom w:val="none" w:sz="0" w:space="0" w:color="auto"/>
        <w:right w:val="none" w:sz="0" w:space="0" w:color="auto"/>
      </w:divBdr>
    </w:div>
    <w:div w:id="1850484049">
      <w:bodyDiv w:val="1"/>
      <w:marLeft w:val="0"/>
      <w:marRight w:val="0"/>
      <w:marTop w:val="0"/>
      <w:marBottom w:val="0"/>
      <w:divBdr>
        <w:top w:val="none" w:sz="0" w:space="0" w:color="auto"/>
        <w:left w:val="none" w:sz="0" w:space="0" w:color="auto"/>
        <w:bottom w:val="none" w:sz="0" w:space="0" w:color="auto"/>
        <w:right w:val="none" w:sz="0" w:space="0" w:color="auto"/>
      </w:divBdr>
    </w:div>
    <w:div w:id="1998797573">
      <w:bodyDiv w:val="1"/>
      <w:marLeft w:val="0"/>
      <w:marRight w:val="0"/>
      <w:marTop w:val="0"/>
      <w:marBottom w:val="0"/>
      <w:divBdr>
        <w:top w:val="none" w:sz="0" w:space="0" w:color="auto"/>
        <w:left w:val="none" w:sz="0" w:space="0" w:color="auto"/>
        <w:bottom w:val="none" w:sz="0" w:space="0" w:color="auto"/>
        <w:right w:val="none" w:sz="0" w:space="0" w:color="auto"/>
      </w:divBdr>
    </w:div>
    <w:div w:id="2042318558">
      <w:bodyDiv w:val="1"/>
      <w:marLeft w:val="0"/>
      <w:marRight w:val="0"/>
      <w:marTop w:val="0"/>
      <w:marBottom w:val="0"/>
      <w:divBdr>
        <w:top w:val="none" w:sz="0" w:space="0" w:color="auto"/>
        <w:left w:val="none" w:sz="0" w:space="0" w:color="auto"/>
        <w:bottom w:val="none" w:sz="0" w:space="0" w:color="auto"/>
        <w:right w:val="none" w:sz="0" w:space="0" w:color="auto"/>
      </w:divBdr>
    </w:div>
    <w:div w:id="2045404537">
      <w:bodyDiv w:val="1"/>
      <w:marLeft w:val="0"/>
      <w:marRight w:val="0"/>
      <w:marTop w:val="0"/>
      <w:marBottom w:val="0"/>
      <w:divBdr>
        <w:top w:val="none" w:sz="0" w:space="0" w:color="auto"/>
        <w:left w:val="none" w:sz="0" w:space="0" w:color="auto"/>
        <w:bottom w:val="none" w:sz="0" w:space="0" w:color="auto"/>
        <w:right w:val="none" w:sz="0" w:space="0" w:color="auto"/>
      </w:divBdr>
    </w:div>
    <w:div w:id="20775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nsumerdatastandards.gov.au/relevant-artefacts/" TargetMode="External"/><Relationship Id="rId18" Type="http://schemas.openxmlformats.org/officeDocument/2006/relationships/hyperlink" Target="https://consumerdatastandards.gov.au/wp-content/uploads/2021/04/1.1-Joint-Accounts_Pre-approval.pdf" TargetMode="External"/><Relationship Id="rId26" Type="http://schemas.openxmlformats.org/officeDocument/2006/relationships/hyperlink" Target="https://consumerdatastandards.gov.au/wp-content/uploads/2021/04/1.2-Joint-Accounts_Co-approval.pdf" TargetMode="External"/><Relationship Id="rId39" Type="http://schemas.openxmlformats.org/officeDocument/2006/relationships/hyperlink" Target="https://consumerdatastandards.gov.au/wp-content/uploads/2021/04/1.5b-Joint-Accounts-_Remove-Disclosure-Option.pdf" TargetMode="External"/><Relationship Id="rId3" Type="http://schemas.openxmlformats.org/officeDocument/2006/relationships/styles" Target="styles.xml"/><Relationship Id="rId21" Type="http://schemas.openxmlformats.org/officeDocument/2006/relationships/hyperlink" Target="https://miro.com/app/board/o9J_lLcXSL0=/?moveToWidget=3074457357589880862&amp;cot=14" TargetMode="External"/><Relationship Id="rId34" Type="http://schemas.openxmlformats.org/officeDocument/2006/relationships/hyperlink" Target="https://miro.com/app/board/o9J_lLcXSL0=/?moveToWidget=3074457357589880950&amp;cot=1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ro.com/app/board/o9J_lLcXSL0=/?moveToWidget=3074457356981090147&amp;cot=14" TargetMode="External"/><Relationship Id="rId17" Type="http://schemas.openxmlformats.org/officeDocument/2006/relationships/hyperlink" Target="https://miro.com/app/board/o9J_lLcXSL0=/?moveToWidget=3074457357589783592&amp;cot=14" TargetMode="External"/><Relationship Id="rId25" Type="http://schemas.openxmlformats.org/officeDocument/2006/relationships/hyperlink" Target="https://miro.com/app/board/o9J_lLcXSL0=/?moveToWidget=3074457357589880747&amp;cot=14" TargetMode="External"/><Relationship Id="rId33" Type="http://schemas.openxmlformats.org/officeDocument/2006/relationships/hyperlink" Target="https://consumerdatastandards.gov.au/wp-content/uploads/2021/04/1.3-Joint-Accounts-_JA-as-individual-account.pdf" TargetMode="External"/><Relationship Id="rId38" Type="http://schemas.openxmlformats.org/officeDocument/2006/relationships/hyperlink" Target="https://miro.com/app/board/o9J_lLcXSL0=/?moveToWidget=3074457357589881319&amp;cot=14" TargetMode="External"/><Relationship Id="rId2" Type="http://schemas.openxmlformats.org/officeDocument/2006/relationships/numbering" Target="numbering.xml"/><Relationship Id="rId16" Type="http://schemas.openxmlformats.org/officeDocument/2006/relationships/hyperlink" Target="https://github.com/ConsumerDataStandardsAustralia/standards/files/5891719/Noting.Paper.157.-.CX.Standards.Arising.from.V2.Rules.pdf" TargetMode="External"/><Relationship Id="rId20" Type="http://schemas.openxmlformats.org/officeDocument/2006/relationships/hyperlink" Target="https://consumerdatastandards.gov.au/wp-content/uploads/2021/04/1.2-Joint-Accounts_Co-approval.pdf" TargetMode="External"/><Relationship Id="rId29" Type="http://schemas.openxmlformats.org/officeDocument/2006/relationships/hyperlink" Target="https://consumerdatastandards.gov.au/wp-content/uploads/2021/04/1.1-Joint-Accounts_Pre-approval.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r-support.zendesk.com/hc/en-us/article_attachments/360006851135/CDR_-_Rules_-_finalised_joint_account_guidance.pdf" TargetMode="External"/><Relationship Id="rId24" Type="http://schemas.openxmlformats.org/officeDocument/2006/relationships/hyperlink" Target="https://consumerdatastandards.gov.au/wp-content/uploads/2021/04/1.1-Joint-Accounts_Pre-approval.pdf" TargetMode="External"/><Relationship Id="rId32" Type="http://schemas.openxmlformats.org/officeDocument/2006/relationships/hyperlink" Target="https://miro.com/app/board/o9J_lLcXSL0=/?moveToWidget=3074457357589880862&amp;cot=14" TargetMode="External"/><Relationship Id="rId37" Type="http://schemas.openxmlformats.org/officeDocument/2006/relationships/hyperlink" Target="https://consumerdatastandards.gov.au/wp-content/uploads/2021/04/1.5a-Joint-Accounts_Change-Disclosure-Option.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sumerdatastandards.gov.au/wp-content/uploads/2021/04/1.3-Joint-Accounts-_JA-as-individual-account.pdf" TargetMode="External"/><Relationship Id="rId23" Type="http://schemas.openxmlformats.org/officeDocument/2006/relationships/hyperlink" Target="https://miro.com/app/board/o9J_lLcXSL0=/?moveToWidget=3074457357589783592&amp;cot=14" TargetMode="External"/><Relationship Id="rId28" Type="http://schemas.openxmlformats.org/officeDocument/2006/relationships/hyperlink" Target="https://miro.com/app/board/o9J_lLcXSL0=/?moveToWidget=3074457357589783592&amp;cot=14" TargetMode="External"/><Relationship Id="rId36" Type="http://schemas.openxmlformats.org/officeDocument/2006/relationships/hyperlink" Target="https://miro.com/app/board/o9J_lLcXSL0=/?moveToWidget=3074457357589881186&amp;cot=14" TargetMode="External"/><Relationship Id="rId10" Type="http://schemas.openxmlformats.org/officeDocument/2006/relationships/hyperlink" Target="mailto:data@treasury.gov.au" TargetMode="External"/><Relationship Id="rId19" Type="http://schemas.openxmlformats.org/officeDocument/2006/relationships/hyperlink" Target="https://miro.com/app/board/o9J_lLcXSL0=/?moveToWidget=3074457357589880747&amp;cot=14" TargetMode="External"/><Relationship Id="rId31" Type="http://schemas.openxmlformats.org/officeDocument/2006/relationships/hyperlink" Target="https://consumerdatastandards.gov.au/wp-content/uploads/2021/04/1.2-Joint-Accounts_Co-approval.pdf" TargetMode="External"/><Relationship Id="rId4" Type="http://schemas.openxmlformats.org/officeDocument/2006/relationships/settings" Target="settings.xml"/><Relationship Id="rId9" Type="http://schemas.openxmlformats.org/officeDocument/2006/relationships/hyperlink" Target="https://github.com/ConsumerDataStandardsAustralia/standards/issues/176" TargetMode="External"/><Relationship Id="rId14" Type="http://schemas.openxmlformats.org/officeDocument/2006/relationships/hyperlink" Target="https://miro.com/app/board/o9J_lLcXSL0=/?moveToWidget=3074457357589880862&amp;cot=14" TargetMode="External"/><Relationship Id="rId22" Type="http://schemas.openxmlformats.org/officeDocument/2006/relationships/hyperlink" Target="https://consumerdatastandards.gov.au/wp-content/uploads/2021/04/1.3-Joint-Accounts-_JA-as-individual-account.pdf" TargetMode="External"/><Relationship Id="rId27" Type="http://schemas.openxmlformats.org/officeDocument/2006/relationships/hyperlink" Target="https://github.com/ConsumerDataStandardsAustralia/standards/files/5891719/Noting.Paper.157.-.CX.Standards.Arising.from.V2.Rules.pdf" TargetMode="External"/><Relationship Id="rId30" Type="http://schemas.openxmlformats.org/officeDocument/2006/relationships/hyperlink" Target="https://miro.com/app/board/o9J_lLcXSL0=/?moveToWidget=3074457357589880747&amp;cot=14" TargetMode="External"/><Relationship Id="rId35" Type="http://schemas.openxmlformats.org/officeDocument/2006/relationships/hyperlink" Target="https://consumerdatastandards.gov.au/wp-content/uploads/2021/04/1.4-Joint-Accounts_Remove-Approv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3BE5-45FC-4FC5-AD61-DFE21721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6526</Words>
  <Characters>35917</Characters>
  <Application>Microsoft Office Word</Application>
  <DocSecurity>0</DocSecurity>
  <Lines>666</Lines>
  <Paragraphs>217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2021-05-04T03:09:00Z</dcterms:created>
  <dcterms:modified xsi:type="dcterms:W3CDTF">2021-05-04T03:10:00Z</dcterms:modified>
  <cp:category/>
</cp:coreProperties>
</file>