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0996B" w14:textId="77777777" w:rsidR="00007607" w:rsidRDefault="00C413B8" w:rsidP="00007607">
      <w:pPr>
        <w:pStyle w:val="Title"/>
        <w:spacing w:after="2000"/>
        <w:rPr>
          <w:color w:val="004B8D"/>
        </w:rPr>
      </w:pPr>
      <w:bookmarkStart w:id="0" w:name="Cover"/>
      <w:r>
        <w:rPr>
          <w:noProof/>
          <w:lang w:eastAsia="en-AU"/>
        </w:rPr>
        <w:drawing>
          <wp:inline distT="0" distB="0" distL="0" distR="0" wp14:anchorId="24E85A00" wp14:editId="00D18600">
            <wp:extent cx="920750" cy="1363568"/>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2020_silver_letterheadlogo_RGB_600dpi_02.png"/>
                    <pic:cNvPicPr/>
                  </pic:nvPicPr>
                  <pic:blipFill>
                    <a:blip r:embed="rId14"/>
                    <a:stretch>
                      <a:fillRect/>
                    </a:stretch>
                  </pic:blipFill>
                  <pic:spPr>
                    <a:xfrm>
                      <a:off x="0" y="0"/>
                      <a:ext cx="923491" cy="1367628"/>
                    </a:xfrm>
                    <a:prstGeom prst="rect">
                      <a:avLst/>
                    </a:prstGeom>
                  </pic:spPr>
                </pic:pic>
              </a:graphicData>
            </a:graphic>
          </wp:inline>
        </w:drawing>
      </w:r>
    </w:p>
    <w:p w14:paraId="7E9A5C95" w14:textId="11921E59" w:rsidR="00007607" w:rsidRPr="00007607" w:rsidRDefault="00DF7D13" w:rsidP="00007607">
      <w:pPr>
        <w:pStyle w:val="Title"/>
        <w:jc w:val="left"/>
      </w:pPr>
      <w:r>
        <w:t>202</w:t>
      </w:r>
      <w:r w:rsidR="0036450A">
        <w:t>1</w:t>
      </w:r>
      <w:r>
        <w:t>-2</w:t>
      </w:r>
      <w:r w:rsidR="0036450A">
        <w:t>2</w:t>
      </w:r>
      <w:r>
        <w:t xml:space="preserve"> Pre-Budget Submission</w:t>
      </w:r>
    </w:p>
    <w:p w14:paraId="02DEC19C" w14:textId="77777777" w:rsidR="00086FF3" w:rsidRDefault="00086FF3" w:rsidP="00086FF3">
      <w:pPr>
        <w:pStyle w:val="Subtitle"/>
        <w:jc w:val="left"/>
        <w:rPr>
          <w:sz w:val="44"/>
          <w:szCs w:val="44"/>
        </w:rPr>
      </w:pPr>
      <w:r>
        <w:rPr>
          <w:sz w:val="44"/>
          <w:szCs w:val="44"/>
        </w:rPr>
        <w:t>January 2021</w:t>
      </w:r>
    </w:p>
    <w:p w14:paraId="05D058C2" w14:textId="74781B24" w:rsidR="00706376" w:rsidRPr="006C3975" w:rsidRDefault="006759F6" w:rsidP="00CC2714">
      <w:pPr>
        <w:pStyle w:val="Subtitle"/>
        <w:jc w:val="left"/>
        <w:rPr>
          <w:color w:val="FFFFFF" w:themeColor="background1"/>
        </w:rPr>
      </w:pPr>
      <w:r w:rsidRPr="006C3975">
        <w:rPr>
          <w:color w:val="FFFFFF" w:themeColor="background1"/>
        </w:rPr>
        <w:t>[Subtitle]</w:t>
      </w:r>
    </w:p>
    <w:p w14:paraId="24E9CFB6" w14:textId="77777777" w:rsidR="00706376" w:rsidRPr="006759F6" w:rsidRDefault="006759F6" w:rsidP="00EC3CE8">
      <w:pPr>
        <w:pStyle w:val="Subtitle"/>
        <w:rPr>
          <w:color w:val="FFFFFF" w:themeColor="background1"/>
        </w:rPr>
      </w:pPr>
      <w:r w:rsidRPr="006759F6">
        <w:rPr>
          <w:color w:val="FFFFFF" w:themeColor="background1"/>
        </w:rPr>
        <w:t>[Date]</w:t>
      </w:r>
    </w:p>
    <w:bookmarkEnd w:id="0"/>
    <w:p w14:paraId="38D24CAA" w14:textId="77777777" w:rsidR="002A590E" w:rsidRPr="003A754B" w:rsidRDefault="002A590E" w:rsidP="003A754B">
      <w:pPr>
        <w:pStyle w:val="Footer"/>
        <w:ind w:left="-113" w:right="-113"/>
        <w:rPr>
          <w:sz w:val="28"/>
          <w:szCs w:val="24"/>
        </w:rPr>
      </w:pPr>
    </w:p>
    <w:p w14:paraId="76D3DD89" w14:textId="77777777" w:rsidR="00007607" w:rsidRDefault="00007607" w:rsidP="00817D6F">
      <w:pPr>
        <w:pStyle w:val="BodyText"/>
        <w:sectPr w:rsidR="00007607" w:rsidSect="00007607">
          <w:footerReference w:type="first" r:id="rId15"/>
          <w:pgSz w:w="11906" w:h="16838" w:code="9"/>
          <w:pgMar w:top="567" w:right="1134" w:bottom="425" w:left="1134" w:header="369" w:footer="635" w:gutter="0"/>
          <w:pgNumType w:start="0"/>
          <w:cols w:space="708"/>
          <w:titlePg/>
          <w:docGrid w:linePitch="360"/>
        </w:sectPr>
      </w:pPr>
    </w:p>
    <w:p w14:paraId="38E6D16C" w14:textId="77777777" w:rsidR="009E3BCF" w:rsidRDefault="009E3BCF" w:rsidP="009E3BCF">
      <w:pPr>
        <w:pStyle w:val="TOCHeading"/>
      </w:pPr>
      <w:r>
        <w:lastRenderedPageBreak/>
        <w:t>Contents</w:t>
      </w:r>
    </w:p>
    <w:p w14:paraId="1748F6EC" w14:textId="57A0EE52" w:rsidR="00A7274B" w:rsidRDefault="00AA7024">
      <w:pPr>
        <w:pStyle w:val="TOC1"/>
        <w:rPr>
          <w:rFonts w:eastAsiaTheme="minorEastAsia"/>
          <w:b w:val="0"/>
          <w:sz w:val="22"/>
          <w:lang w:eastAsia="en-AU"/>
        </w:rPr>
      </w:pPr>
      <w:r>
        <w:rPr>
          <w:lang w:eastAsia="en-AU"/>
        </w:rPr>
        <w:fldChar w:fldCharType="begin"/>
      </w:r>
      <w:r>
        <w:rPr>
          <w:lang w:eastAsia="en-AU"/>
        </w:rPr>
        <w:instrText xml:space="preserve"> TOC \h \z \t "Heading 1,1,Heading 2,2,Nbr Heading 1,4,Nbr Heading 2,5" </w:instrText>
      </w:r>
      <w:r>
        <w:rPr>
          <w:lang w:eastAsia="en-AU"/>
        </w:rPr>
        <w:fldChar w:fldCharType="separate"/>
      </w:r>
      <w:hyperlink w:anchor="_Toc62811549" w:history="1">
        <w:r w:rsidR="00A7274B" w:rsidRPr="00D00410">
          <w:rPr>
            <w:rStyle w:val="Hyperlink"/>
          </w:rPr>
          <w:t>About Vision 2020 Australia</w:t>
        </w:r>
        <w:r w:rsidR="00A7274B">
          <w:rPr>
            <w:webHidden/>
          </w:rPr>
          <w:tab/>
        </w:r>
        <w:r w:rsidR="00A7274B">
          <w:rPr>
            <w:webHidden/>
          </w:rPr>
          <w:fldChar w:fldCharType="begin"/>
        </w:r>
        <w:r w:rsidR="00A7274B">
          <w:rPr>
            <w:webHidden/>
          </w:rPr>
          <w:instrText xml:space="preserve"> PAGEREF _Toc62811549 \h </w:instrText>
        </w:r>
        <w:r w:rsidR="00A7274B">
          <w:rPr>
            <w:webHidden/>
          </w:rPr>
        </w:r>
        <w:r w:rsidR="00A7274B">
          <w:rPr>
            <w:webHidden/>
          </w:rPr>
          <w:fldChar w:fldCharType="separate"/>
        </w:r>
        <w:r w:rsidR="00AE4105">
          <w:rPr>
            <w:webHidden/>
          </w:rPr>
          <w:t>2</w:t>
        </w:r>
        <w:r w:rsidR="00A7274B">
          <w:rPr>
            <w:webHidden/>
          </w:rPr>
          <w:fldChar w:fldCharType="end"/>
        </w:r>
      </w:hyperlink>
    </w:p>
    <w:p w14:paraId="65356E3C" w14:textId="2D5EC484" w:rsidR="00A7274B" w:rsidRDefault="00CD6448">
      <w:pPr>
        <w:pStyle w:val="TOC1"/>
        <w:rPr>
          <w:rFonts w:eastAsiaTheme="minorEastAsia"/>
          <w:b w:val="0"/>
          <w:sz w:val="22"/>
          <w:lang w:eastAsia="en-AU"/>
        </w:rPr>
      </w:pPr>
      <w:hyperlink w:anchor="_Toc62811550" w:history="1">
        <w:r w:rsidR="00A7274B" w:rsidRPr="00D00410">
          <w:rPr>
            <w:rStyle w:val="Hyperlink"/>
          </w:rPr>
          <w:t>Executive Summary</w:t>
        </w:r>
        <w:r w:rsidR="00A7274B">
          <w:rPr>
            <w:webHidden/>
          </w:rPr>
          <w:tab/>
        </w:r>
        <w:r w:rsidR="00A7274B">
          <w:rPr>
            <w:webHidden/>
          </w:rPr>
          <w:fldChar w:fldCharType="begin"/>
        </w:r>
        <w:r w:rsidR="00A7274B">
          <w:rPr>
            <w:webHidden/>
          </w:rPr>
          <w:instrText xml:space="preserve"> PAGEREF _Toc62811550 \h </w:instrText>
        </w:r>
        <w:r w:rsidR="00A7274B">
          <w:rPr>
            <w:webHidden/>
          </w:rPr>
        </w:r>
        <w:r w:rsidR="00A7274B">
          <w:rPr>
            <w:webHidden/>
          </w:rPr>
          <w:fldChar w:fldCharType="separate"/>
        </w:r>
        <w:r w:rsidR="00AE4105">
          <w:rPr>
            <w:webHidden/>
          </w:rPr>
          <w:t>3</w:t>
        </w:r>
        <w:r w:rsidR="00A7274B">
          <w:rPr>
            <w:webHidden/>
          </w:rPr>
          <w:fldChar w:fldCharType="end"/>
        </w:r>
      </w:hyperlink>
    </w:p>
    <w:p w14:paraId="4DD2DDF8" w14:textId="1D3BDE9F" w:rsidR="00A7274B" w:rsidRDefault="00CD6448">
      <w:pPr>
        <w:pStyle w:val="TOC2"/>
        <w:rPr>
          <w:rFonts w:eastAsiaTheme="minorEastAsia"/>
          <w:sz w:val="22"/>
          <w:lang w:eastAsia="en-AU"/>
        </w:rPr>
      </w:pPr>
      <w:hyperlink w:anchor="_Toc62811551" w:history="1">
        <w:r w:rsidR="00A7274B" w:rsidRPr="00D00410">
          <w:rPr>
            <w:rStyle w:val="Hyperlink"/>
          </w:rPr>
          <w:t>Summary of 2021-22 budget proposals</w:t>
        </w:r>
        <w:r w:rsidR="00A7274B">
          <w:rPr>
            <w:webHidden/>
          </w:rPr>
          <w:tab/>
        </w:r>
        <w:r w:rsidR="00A7274B">
          <w:rPr>
            <w:webHidden/>
          </w:rPr>
          <w:fldChar w:fldCharType="begin"/>
        </w:r>
        <w:r w:rsidR="00A7274B">
          <w:rPr>
            <w:webHidden/>
          </w:rPr>
          <w:instrText xml:space="preserve"> PAGEREF _Toc62811551 \h </w:instrText>
        </w:r>
        <w:r w:rsidR="00A7274B">
          <w:rPr>
            <w:webHidden/>
          </w:rPr>
        </w:r>
        <w:r w:rsidR="00A7274B">
          <w:rPr>
            <w:webHidden/>
          </w:rPr>
          <w:fldChar w:fldCharType="separate"/>
        </w:r>
        <w:r w:rsidR="00AE4105">
          <w:rPr>
            <w:webHidden/>
          </w:rPr>
          <w:t>5</w:t>
        </w:r>
        <w:r w:rsidR="00A7274B">
          <w:rPr>
            <w:webHidden/>
          </w:rPr>
          <w:fldChar w:fldCharType="end"/>
        </w:r>
      </w:hyperlink>
    </w:p>
    <w:p w14:paraId="2D9A5BB2" w14:textId="3087FE14" w:rsidR="00A7274B" w:rsidRDefault="00CD6448">
      <w:pPr>
        <w:pStyle w:val="TOC1"/>
        <w:rPr>
          <w:rFonts w:eastAsiaTheme="minorEastAsia"/>
          <w:b w:val="0"/>
          <w:sz w:val="22"/>
          <w:lang w:eastAsia="en-AU"/>
        </w:rPr>
      </w:pPr>
      <w:hyperlink w:anchor="_Toc62811552" w:history="1">
        <w:r w:rsidR="00A7274B" w:rsidRPr="00D00410">
          <w:rPr>
            <w:rStyle w:val="Hyperlink"/>
          </w:rPr>
          <w:t>Budget priorities for 2021-22</w:t>
        </w:r>
        <w:r w:rsidR="00A7274B">
          <w:rPr>
            <w:webHidden/>
          </w:rPr>
          <w:tab/>
        </w:r>
        <w:r w:rsidR="00A7274B">
          <w:rPr>
            <w:webHidden/>
          </w:rPr>
          <w:fldChar w:fldCharType="begin"/>
        </w:r>
        <w:r w:rsidR="00A7274B">
          <w:rPr>
            <w:webHidden/>
          </w:rPr>
          <w:instrText xml:space="preserve"> PAGEREF _Toc62811552 \h </w:instrText>
        </w:r>
        <w:r w:rsidR="00A7274B">
          <w:rPr>
            <w:webHidden/>
          </w:rPr>
        </w:r>
        <w:r w:rsidR="00A7274B">
          <w:rPr>
            <w:webHidden/>
          </w:rPr>
          <w:fldChar w:fldCharType="separate"/>
        </w:r>
        <w:r w:rsidR="00AE4105">
          <w:rPr>
            <w:webHidden/>
          </w:rPr>
          <w:t>6</w:t>
        </w:r>
        <w:r w:rsidR="00A7274B">
          <w:rPr>
            <w:webHidden/>
          </w:rPr>
          <w:fldChar w:fldCharType="end"/>
        </w:r>
      </w:hyperlink>
    </w:p>
    <w:p w14:paraId="15BC8506" w14:textId="4A66E23C" w:rsidR="00A7274B" w:rsidRDefault="00CD6448">
      <w:pPr>
        <w:pStyle w:val="TOC2"/>
        <w:rPr>
          <w:rFonts w:eastAsiaTheme="minorEastAsia"/>
          <w:sz w:val="22"/>
          <w:lang w:eastAsia="en-AU"/>
        </w:rPr>
      </w:pPr>
      <w:hyperlink w:anchor="_Toc62811553" w:history="1">
        <w:r w:rsidR="00A7274B" w:rsidRPr="00D00410">
          <w:rPr>
            <w:rStyle w:val="Hyperlink"/>
          </w:rPr>
          <w:t>Enhancing local eye care for Aboriginal and Torres Strait Islander communities</w:t>
        </w:r>
        <w:r w:rsidR="00A7274B">
          <w:rPr>
            <w:webHidden/>
          </w:rPr>
          <w:tab/>
        </w:r>
        <w:r w:rsidR="00A7274B">
          <w:rPr>
            <w:webHidden/>
          </w:rPr>
          <w:fldChar w:fldCharType="begin"/>
        </w:r>
        <w:r w:rsidR="00A7274B">
          <w:rPr>
            <w:webHidden/>
          </w:rPr>
          <w:instrText xml:space="preserve"> PAGEREF _Toc62811553 \h </w:instrText>
        </w:r>
        <w:r w:rsidR="00A7274B">
          <w:rPr>
            <w:webHidden/>
          </w:rPr>
        </w:r>
        <w:r w:rsidR="00A7274B">
          <w:rPr>
            <w:webHidden/>
          </w:rPr>
          <w:fldChar w:fldCharType="separate"/>
        </w:r>
        <w:r w:rsidR="00AE4105">
          <w:rPr>
            <w:webHidden/>
          </w:rPr>
          <w:t>6</w:t>
        </w:r>
        <w:r w:rsidR="00A7274B">
          <w:rPr>
            <w:webHidden/>
          </w:rPr>
          <w:fldChar w:fldCharType="end"/>
        </w:r>
      </w:hyperlink>
    </w:p>
    <w:p w14:paraId="7C47E3FC" w14:textId="2DC80A14" w:rsidR="00A7274B" w:rsidRDefault="00CD6448">
      <w:pPr>
        <w:pStyle w:val="TOC2"/>
        <w:rPr>
          <w:rFonts w:eastAsiaTheme="minorEastAsia"/>
          <w:sz w:val="22"/>
          <w:lang w:eastAsia="en-AU"/>
        </w:rPr>
      </w:pPr>
      <w:hyperlink w:anchor="_Toc62811554" w:history="1">
        <w:r w:rsidR="00A7274B" w:rsidRPr="00D00410">
          <w:rPr>
            <w:rStyle w:val="Hyperlink"/>
          </w:rPr>
          <w:t>Gaining sight: a three-point plan to tackle blindness in Papua New Guinea</w:t>
        </w:r>
        <w:r w:rsidR="00A7274B">
          <w:rPr>
            <w:webHidden/>
          </w:rPr>
          <w:tab/>
        </w:r>
        <w:r w:rsidR="00A7274B">
          <w:rPr>
            <w:webHidden/>
          </w:rPr>
          <w:fldChar w:fldCharType="begin"/>
        </w:r>
        <w:r w:rsidR="00A7274B">
          <w:rPr>
            <w:webHidden/>
          </w:rPr>
          <w:instrText xml:space="preserve"> PAGEREF _Toc62811554 \h </w:instrText>
        </w:r>
        <w:r w:rsidR="00A7274B">
          <w:rPr>
            <w:webHidden/>
          </w:rPr>
        </w:r>
        <w:r w:rsidR="00A7274B">
          <w:rPr>
            <w:webHidden/>
          </w:rPr>
          <w:fldChar w:fldCharType="separate"/>
        </w:r>
        <w:r w:rsidR="00AE4105">
          <w:rPr>
            <w:webHidden/>
          </w:rPr>
          <w:t>8</w:t>
        </w:r>
        <w:r w:rsidR="00A7274B">
          <w:rPr>
            <w:webHidden/>
          </w:rPr>
          <w:fldChar w:fldCharType="end"/>
        </w:r>
      </w:hyperlink>
    </w:p>
    <w:p w14:paraId="6D022C36" w14:textId="5E83AE9F" w:rsidR="00A7274B" w:rsidRDefault="00CD6448">
      <w:pPr>
        <w:pStyle w:val="TOC2"/>
        <w:rPr>
          <w:rFonts w:eastAsiaTheme="minorEastAsia"/>
          <w:sz w:val="22"/>
          <w:lang w:eastAsia="en-AU"/>
        </w:rPr>
      </w:pPr>
      <w:hyperlink w:anchor="_Toc62811555" w:history="1">
        <w:r w:rsidR="00A7274B" w:rsidRPr="00D00410">
          <w:rPr>
            <w:rStyle w:val="Hyperlink"/>
          </w:rPr>
          <w:t>Connected and independent – enhancing support for older Australians with vision loss</w:t>
        </w:r>
        <w:r w:rsidR="00A7274B">
          <w:rPr>
            <w:webHidden/>
          </w:rPr>
          <w:tab/>
        </w:r>
        <w:r w:rsidR="00A7274B">
          <w:rPr>
            <w:webHidden/>
          </w:rPr>
          <w:fldChar w:fldCharType="begin"/>
        </w:r>
        <w:r w:rsidR="00A7274B">
          <w:rPr>
            <w:webHidden/>
          </w:rPr>
          <w:instrText xml:space="preserve"> PAGEREF _Toc62811555 \h </w:instrText>
        </w:r>
        <w:r w:rsidR="00A7274B">
          <w:rPr>
            <w:webHidden/>
          </w:rPr>
        </w:r>
        <w:r w:rsidR="00A7274B">
          <w:rPr>
            <w:webHidden/>
          </w:rPr>
          <w:fldChar w:fldCharType="separate"/>
        </w:r>
        <w:r w:rsidR="00AE4105">
          <w:rPr>
            <w:webHidden/>
          </w:rPr>
          <w:t>11</w:t>
        </w:r>
        <w:r w:rsidR="00A7274B">
          <w:rPr>
            <w:webHidden/>
          </w:rPr>
          <w:fldChar w:fldCharType="end"/>
        </w:r>
      </w:hyperlink>
    </w:p>
    <w:p w14:paraId="07670297" w14:textId="2A03C557" w:rsidR="00A7274B" w:rsidRDefault="00CD6448">
      <w:pPr>
        <w:pStyle w:val="TOC2"/>
        <w:rPr>
          <w:rFonts w:eastAsiaTheme="minorEastAsia"/>
          <w:sz w:val="22"/>
          <w:lang w:eastAsia="en-AU"/>
        </w:rPr>
      </w:pPr>
      <w:hyperlink w:anchor="_Toc62811556" w:history="1">
        <w:r w:rsidR="00A7274B" w:rsidRPr="00D00410">
          <w:rPr>
            <w:rStyle w:val="Hyperlink"/>
          </w:rPr>
          <w:t>Eyes on Call – an innovative approach to enhancing aged care workforce capability in eye health and vision</w:t>
        </w:r>
        <w:r w:rsidR="00A7274B">
          <w:rPr>
            <w:webHidden/>
          </w:rPr>
          <w:tab/>
        </w:r>
        <w:r w:rsidR="00A7274B">
          <w:rPr>
            <w:webHidden/>
          </w:rPr>
          <w:fldChar w:fldCharType="begin"/>
        </w:r>
        <w:r w:rsidR="00A7274B">
          <w:rPr>
            <w:webHidden/>
          </w:rPr>
          <w:instrText xml:space="preserve"> PAGEREF _Toc62811556 \h </w:instrText>
        </w:r>
        <w:r w:rsidR="00A7274B">
          <w:rPr>
            <w:webHidden/>
          </w:rPr>
        </w:r>
        <w:r w:rsidR="00A7274B">
          <w:rPr>
            <w:webHidden/>
          </w:rPr>
          <w:fldChar w:fldCharType="separate"/>
        </w:r>
        <w:r w:rsidR="00AE4105">
          <w:rPr>
            <w:webHidden/>
          </w:rPr>
          <w:t>14</w:t>
        </w:r>
        <w:r w:rsidR="00A7274B">
          <w:rPr>
            <w:webHidden/>
          </w:rPr>
          <w:fldChar w:fldCharType="end"/>
        </w:r>
      </w:hyperlink>
    </w:p>
    <w:p w14:paraId="15DB0EC9" w14:textId="09A421DA" w:rsidR="00A7274B" w:rsidRDefault="00CD6448">
      <w:pPr>
        <w:pStyle w:val="TOC2"/>
        <w:rPr>
          <w:rFonts w:eastAsiaTheme="minorEastAsia"/>
          <w:sz w:val="22"/>
          <w:lang w:eastAsia="en-AU"/>
        </w:rPr>
      </w:pPr>
      <w:hyperlink w:anchor="_Toc62811557" w:history="1">
        <w:r w:rsidR="00A7274B" w:rsidRPr="00D00410">
          <w:rPr>
            <w:rStyle w:val="Hyperlink"/>
          </w:rPr>
          <w:t>Innovative and sustainable access to sight-saving cataract surgery</w:t>
        </w:r>
        <w:r w:rsidR="00A7274B">
          <w:rPr>
            <w:webHidden/>
          </w:rPr>
          <w:tab/>
        </w:r>
        <w:r w:rsidR="00A7274B">
          <w:rPr>
            <w:webHidden/>
          </w:rPr>
          <w:fldChar w:fldCharType="begin"/>
        </w:r>
        <w:r w:rsidR="00A7274B">
          <w:rPr>
            <w:webHidden/>
          </w:rPr>
          <w:instrText xml:space="preserve"> PAGEREF _Toc62811557 \h </w:instrText>
        </w:r>
        <w:r w:rsidR="00A7274B">
          <w:rPr>
            <w:webHidden/>
          </w:rPr>
        </w:r>
        <w:r w:rsidR="00A7274B">
          <w:rPr>
            <w:webHidden/>
          </w:rPr>
          <w:fldChar w:fldCharType="separate"/>
        </w:r>
        <w:r w:rsidR="00AE4105">
          <w:rPr>
            <w:webHidden/>
          </w:rPr>
          <w:t>16</w:t>
        </w:r>
        <w:r w:rsidR="00A7274B">
          <w:rPr>
            <w:webHidden/>
          </w:rPr>
          <w:fldChar w:fldCharType="end"/>
        </w:r>
      </w:hyperlink>
    </w:p>
    <w:p w14:paraId="0FD2E3C7" w14:textId="133B2DE2" w:rsidR="00A7274B" w:rsidRDefault="00CD6448">
      <w:pPr>
        <w:pStyle w:val="TOC1"/>
        <w:rPr>
          <w:rFonts w:eastAsiaTheme="minorEastAsia"/>
          <w:b w:val="0"/>
          <w:sz w:val="22"/>
          <w:lang w:eastAsia="en-AU"/>
        </w:rPr>
      </w:pPr>
      <w:hyperlink w:anchor="_Toc62811558" w:history="1">
        <w:r w:rsidR="00A7274B" w:rsidRPr="00D00410">
          <w:rPr>
            <w:rStyle w:val="Hyperlink"/>
          </w:rPr>
          <w:t>Summary budget</w:t>
        </w:r>
        <w:r w:rsidR="00A7274B">
          <w:rPr>
            <w:webHidden/>
          </w:rPr>
          <w:tab/>
        </w:r>
        <w:r w:rsidR="00A7274B">
          <w:rPr>
            <w:webHidden/>
          </w:rPr>
          <w:fldChar w:fldCharType="begin"/>
        </w:r>
        <w:r w:rsidR="00A7274B">
          <w:rPr>
            <w:webHidden/>
          </w:rPr>
          <w:instrText xml:space="preserve"> PAGEREF _Toc62811558 \h </w:instrText>
        </w:r>
        <w:r w:rsidR="00A7274B">
          <w:rPr>
            <w:webHidden/>
          </w:rPr>
        </w:r>
        <w:r w:rsidR="00A7274B">
          <w:rPr>
            <w:webHidden/>
          </w:rPr>
          <w:fldChar w:fldCharType="separate"/>
        </w:r>
        <w:r w:rsidR="00AE4105">
          <w:rPr>
            <w:webHidden/>
          </w:rPr>
          <w:t>19</w:t>
        </w:r>
        <w:r w:rsidR="00A7274B">
          <w:rPr>
            <w:webHidden/>
          </w:rPr>
          <w:fldChar w:fldCharType="end"/>
        </w:r>
      </w:hyperlink>
    </w:p>
    <w:p w14:paraId="287909F5" w14:textId="4495DB28" w:rsidR="00A7274B" w:rsidRDefault="00CD6448">
      <w:pPr>
        <w:pStyle w:val="TOC1"/>
        <w:rPr>
          <w:rFonts w:eastAsiaTheme="minorEastAsia"/>
          <w:b w:val="0"/>
          <w:sz w:val="22"/>
          <w:lang w:eastAsia="en-AU"/>
        </w:rPr>
      </w:pPr>
      <w:hyperlink w:anchor="_Toc62811559" w:history="1">
        <w:r w:rsidR="00A7274B" w:rsidRPr="00D00410">
          <w:rPr>
            <w:rStyle w:val="Hyperlink"/>
          </w:rPr>
          <w:t>Attachment A: Priority equipment for inclusion in aged care aids and equipment listing</w:t>
        </w:r>
        <w:r w:rsidR="00A7274B">
          <w:rPr>
            <w:webHidden/>
          </w:rPr>
          <w:tab/>
        </w:r>
        <w:r w:rsidR="00A7274B">
          <w:rPr>
            <w:webHidden/>
          </w:rPr>
          <w:fldChar w:fldCharType="begin"/>
        </w:r>
        <w:r w:rsidR="00A7274B">
          <w:rPr>
            <w:webHidden/>
          </w:rPr>
          <w:instrText xml:space="preserve"> PAGEREF _Toc62811559 \h </w:instrText>
        </w:r>
        <w:r w:rsidR="00A7274B">
          <w:rPr>
            <w:webHidden/>
          </w:rPr>
        </w:r>
        <w:r w:rsidR="00A7274B">
          <w:rPr>
            <w:webHidden/>
          </w:rPr>
          <w:fldChar w:fldCharType="separate"/>
        </w:r>
        <w:r w:rsidR="00AE4105">
          <w:rPr>
            <w:webHidden/>
          </w:rPr>
          <w:t>20</w:t>
        </w:r>
        <w:r w:rsidR="00A7274B">
          <w:rPr>
            <w:webHidden/>
          </w:rPr>
          <w:fldChar w:fldCharType="end"/>
        </w:r>
      </w:hyperlink>
    </w:p>
    <w:p w14:paraId="23BE08AE" w14:textId="77777777" w:rsidR="009E3BCF" w:rsidRPr="006759F6" w:rsidRDefault="00AA7024" w:rsidP="006759F6">
      <w:r>
        <w:rPr>
          <w:noProof/>
          <w:lang w:eastAsia="en-AU"/>
        </w:rPr>
        <w:fldChar w:fldCharType="end"/>
      </w:r>
    </w:p>
    <w:p w14:paraId="4C5FAFBC" w14:textId="77777777" w:rsidR="00DF7D13" w:rsidRDefault="00DF7D13">
      <w:pPr>
        <w:spacing w:before="80" w:after="80"/>
        <w:rPr>
          <w:rFonts w:asciiTheme="majorHAnsi" w:eastAsia="Times New Roman" w:hAnsiTheme="majorHAnsi" w:cs="Arial"/>
          <w:bCs/>
          <w:color w:val="004B8D" w:themeColor="accent1"/>
          <w:kern w:val="32"/>
          <w:sz w:val="36"/>
          <w:szCs w:val="32"/>
          <w:lang w:eastAsia="en-AU"/>
        </w:rPr>
      </w:pPr>
      <w:r>
        <w:br w:type="page"/>
      </w:r>
    </w:p>
    <w:p w14:paraId="0DE5A5CD" w14:textId="77777777" w:rsidR="00DF7D13" w:rsidRDefault="00DF7D13" w:rsidP="00F85E41">
      <w:pPr>
        <w:pStyle w:val="Heading1"/>
      </w:pPr>
      <w:bookmarkStart w:id="1" w:name="_Toc62811549"/>
      <w:r>
        <w:lastRenderedPageBreak/>
        <w:t>About Vision 2020 Australia</w:t>
      </w:r>
      <w:bookmarkEnd w:id="1"/>
    </w:p>
    <w:p w14:paraId="3E166F88" w14:textId="77777777" w:rsidR="00DF7D13" w:rsidRDefault="00DF7D13" w:rsidP="00DF7D13">
      <w:pPr>
        <w:pStyle w:val="BodyText"/>
      </w:pPr>
      <w:r>
        <w:t>Vision 2020 Australia is the national peak body for the eye health and vision care sector.</w:t>
      </w:r>
    </w:p>
    <w:p w14:paraId="7DC187DF" w14:textId="77777777" w:rsidR="00DF7D13" w:rsidRDefault="00701F42" w:rsidP="00DF7D13">
      <w:pPr>
        <w:pStyle w:val="BodyText"/>
      </w:pPr>
      <w:r>
        <w:t>It</w:t>
      </w:r>
      <w:r w:rsidR="00DF7D13">
        <w:t xml:space="preserve"> represents almost 50 member organisations involved in local and global eye health and vision care, health promotion, low vision support, vision rehabilitation, eye research, professional assistance and community support.</w:t>
      </w:r>
      <w:r w:rsidR="00CE73B8">
        <w:t xml:space="preserve"> </w:t>
      </w:r>
    </w:p>
    <w:p w14:paraId="0486838E" w14:textId="77777777" w:rsidR="00DF7D13" w:rsidRDefault="00DF7D13" w:rsidP="00DF7D13">
      <w:pPr>
        <w:pStyle w:val="BodyText"/>
      </w:pPr>
      <w:r>
        <w:t xml:space="preserve">A range of Vision 2020 Australia members are making submissions to the annual budget process. Vision 2020 Australia supports these and the efforts of all members to reduce preventable blindness and improve opportunities for participation of people who are blind or vision impaired. </w:t>
      </w:r>
    </w:p>
    <w:p w14:paraId="377196B5" w14:textId="77777777" w:rsidR="00DF7D13" w:rsidRDefault="00DF7D13" w:rsidP="00DF7D13">
      <w:pPr>
        <w:pStyle w:val="BodyText"/>
      </w:pPr>
      <w:r>
        <w:t>The proposals in this Vision 2020 Australia submission have been developed to complement those being proposed by individual members.</w:t>
      </w:r>
    </w:p>
    <w:p w14:paraId="1BAF7978" w14:textId="77777777" w:rsidR="00DF7D13" w:rsidRDefault="00DF7D13" w:rsidP="00DF7D13">
      <w:pPr>
        <w:pStyle w:val="BodyText"/>
      </w:pPr>
    </w:p>
    <w:p w14:paraId="35D3B0A9" w14:textId="77777777" w:rsidR="00DF7D13" w:rsidRDefault="00DF7D13" w:rsidP="00DF7D13">
      <w:pPr>
        <w:pStyle w:val="Heading3"/>
      </w:pPr>
      <w:r>
        <w:t>For further information regarding this submission:</w:t>
      </w:r>
    </w:p>
    <w:p w14:paraId="152D027D" w14:textId="77777777" w:rsidR="00DF7D13" w:rsidRPr="00DF7D13" w:rsidRDefault="00DF7D13" w:rsidP="00DF7D13">
      <w:pPr>
        <w:pStyle w:val="BodyText"/>
      </w:pPr>
      <w:r>
        <w:t>Ms Judith Abbott</w:t>
      </w:r>
      <w:r>
        <w:br/>
        <w:t>Chief Executive Officer</w:t>
      </w:r>
      <w:r>
        <w:br/>
        <w:t>Vision 2020 Australia</w:t>
      </w:r>
      <w:r>
        <w:br/>
        <w:t>T: 0</w:t>
      </w:r>
      <w:r w:rsidR="00CE73B8">
        <w:t>3 9656 2020</w:t>
      </w:r>
      <w:r>
        <w:br/>
        <w:t>E: ceo@vision2020australia.org.au</w:t>
      </w:r>
    </w:p>
    <w:p w14:paraId="7AC526A3" w14:textId="77777777" w:rsidR="00F85E41" w:rsidRDefault="00F85E41" w:rsidP="00F85E41">
      <w:pPr>
        <w:pStyle w:val="Heading1"/>
      </w:pPr>
      <w:bookmarkStart w:id="2" w:name="_Toc62811550"/>
      <w:r>
        <w:t>Executive Summary</w:t>
      </w:r>
      <w:bookmarkEnd w:id="2"/>
    </w:p>
    <w:p w14:paraId="78682203" w14:textId="053E2728" w:rsidR="002D7958" w:rsidRDefault="007A3650" w:rsidP="00DF7D13">
      <w:pPr>
        <w:pStyle w:val="BodyText"/>
      </w:pPr>
      <w:r>
        <w:t xml:space="preserve">Recent modelling by Vision 2020 Australia suggests that around 840,000 </w:t>
      </w:r>
      <w:r w:rsidR="00701F42">
        <w:t xml:space="preserve">Australians </w:t>
      </w:r>
      <w:r>
        <w:t xml:space="preserve">are currently </w:t>
      </w:r>
      <w:r w:rsidR="00701F42">
        <w:t>living with vision loss</w:t>
      </w:r>
      <w:r w:rsidR="008A3E99">
        <w:t>,</w:t>
      </w:r>
      <w:r>
        <w:rPr>
          <w:rStyle w:val="FootnoteReference"/>
        </w:rPr>
        <w:footnoteReference w:id="1"/>
      </w:r>
      <w:r w:rsidR="00701F42">
        <w:t xml:space="preserve"> and </w:t>
      </w:r>
      <w:r>
        <w:t xml:space="preserve">that by 2030 this could exceed 1.04 million. </w:t>
      </w:r>
    </w:p>
    <w:p w14:paraId="4DEDD562" w14:textId="77777777" w:rsidR="00DF7D13" w:rsidRDefault="002D7958" w:rsidP="00DF7D13">
      <w:pPr>
        <w:pStyle w:val="BodyText"/>
      </w:pPr>
      <w:r>
        <w:t>Some of the key challenges we face as a nation are:</w:t>
      </w:r>
    </w:p>
    <w:p w14:paraId="381FFA07" w14:textId="514B825B" w:rsidR="00DF7D13" w:rsidRPr="005147D7" w:rsidRDefault="00DF7D13" w:rsidP="00DF7D13">
      <w:pPr>
        <w:pStyle w:val="ListBullet0"/>
        <w:rPr>
          <w:sz w:val="22"/>
          <w:szCs w:val="22"/>
        </w:rPr>
      </w:pPr>
      <w:r w:rsidRPr="005147D7">
        <w:rPr>
          <w:sz w:val="22"/>
          <w:szCs w:val="22"/>
        </w:rPr>
        <w:t xml:space="preserve">Aboriginal and Torres Strait Islander </w:t>
      </w:r>
      <w:r w:rsidR="001F7F02">
        <w:rPr>
          <w:sz w:val="22"/>
          <w:szCs w:val="22"/>
        </w:rPr>
        <w:t>P</w:t>
      </w:r>
      <w:r w:rsidR="002D7958">
        <w:rPr>
          <w:sz w:val="22"/>
          <w:szCs w:val="22"/>
        </w:rPr>
        <w:t>eople</w:t>
      </w:r>
      <w:r w:rsidR="001F7F02">
        <w:rPr>
          <w:sz w:val="22"/>
          <w:szCs w:val="22"/>
        </w:rPr>
        <w:t>s</w:t>
      </w:r>
      <w:r w:rsidR="002D7958">
        <w:rPr>
          <w:sz w:val="22"/>
          <w:szCs w:val="22"/>
        </w:rPr>
        <w:t xml:space="preserve"> </w:t>
      </w:r>
      <w:r w:rsidRPr="005147D7">
        <w:rPr>
          <w:sz w:val="22"/>
          <w:szCs w:val="22"/>
        </w:rPr>
        <w:t>experience vision loss at three times the rate of non-Indigenous Australians</w:t>
      </w:r>
      <w:r w:rsidR="0074017F">
        <w:rPr>
          <w:sz w:val="22"/>
          <w:szCs w:val="22"/>
        </w:rPr>
        <w:t>.</w:t>
      </w:r>
    </w:p>
    <w:p w14:paraId="3DC7A7D3" w14:textId="7516395B" w:rsidR="00DF7D13" w:rsidRPr="005147D7" w:rsidRDefault="002B1226" w:rsidP="00DF7D13">
      <w:pPr>
        <w:pStyle w:val="ListBullet0"/>
        <w:rPr>
          <w:sz w:val="22"/>
          <w:szCs w:val="22"/>
        </w:rPr>
      </w:pPr>
      <w:r>
        <w:rPr>
          <w:sz w:val="22"/>
          <w:szCs w:val="22"/>
        </w:rPr>
        <w:t>Many Australians continue to experience avoidable vision loss due to conditions such as cataract, that can be effectively treated by surgery.</w:t>
      </w:r>
    </w:p>
    <w:p w14:paraId="2F7E15DB" w14:textId="495A2247" w:rsidR="00DF7D13" w:rsidRPr="005147D7" w:rsidRDefault="002B1226" w:rsidP="00DF7D13">
      <w:pPr>
        <w:pStyle w:val="ListBullet0"/>
        <w:rPr>
          <w:sz w:val="22"/>
          <w:szCs w:val="22"/>
        </w:rPr>
      </w:pPr>
      <w:r>
        <w:rPr>
          <w:sz w:val="22"/>
          <w:szCs w:val="22"/>
        </w:rPr>
        <w:t>Australians</w:t>
      </w:r>
      <w:r w:rsidRPr="005147D7">
        <w:rPr>
          <w:sz w:val="22"/>
          <w:szCs w:val="22"/>
        </w:rPr>
        <w:t xml:space="preserve"> </w:t>
      </w:r>
      <w:r>
        <w:rPr>
          <w:sz w:val="22"/>
          <w:szCs w:val="22"/>
        </w:rPr>
        <w:t xml:space="preserve">who are blind or have low vision </w:t>
      </w:r>
      <w:r w:rsidR="00DF7D13" w:rsidRPr="005147D7">
        <w:rPr>
          <w:sz w:val="22"/>
          <w:szCs w:val="22"/>
        </w:rPr>
        <w:t>experience barriers when accessing the services and supports they need, including timely access to appropriate assistive technology</w:t>
      </w:r>
      <w:r>
        <w:rPr>
          <w:sz w:val="22"/>
          <w:szCs w:val="22"/>
        </w:rPr>
        <w:t>.</w:t>
      </w:r>
    </w:p>
    <w:p w14:paraId="131941FC" w14:textId="21E1E62C" w:rsidR="008B10F9" w:rsidRDefault="008B10F9" w:rsidP="005147D7">
      <w:pPr>
        <w:pStyle w:val="ListBullet0"/>
        <w:numPr>
          <w:ilvl w:val="0"/>
          <w:numId w:val="0"/>
        </w:numPr>
      </w:pPr>
      <w:r w:rsidRPr="005147D7">
        <w:rPr>
          <w:sz w:val="22"/>
        </w:rPr>
        <w:t>High rates of vision loss also continue to be reported across parts of the broader Indo-Pacific</w:t>
      </w:r>
      <w:r w:rsidR="008A3E99">
        <w:rPr>
          <w:sz w:val="22"/>
        </w:rPr>
        <w:t>,</w:t>
      </w:r>
      <w:r w:rsidRPr="005147D7">
        <w:rPr>
          <w:sz w:val="22"/>
          <w:vertAlign w:val="superscript"/>
        </w:rPr>
        <w:footnoteReference w:id="2"/>
      </w:r>
      <w:r w:rsidRPr="005147D7">
        <w:rPr>
          <w:sz w:val="22"/>
        </w:rPr>
        <w:t xml:space="preserve"> with one of Australia’s closest neighbours, Papua New Guinea, experiencing some </w:t>
      </w:r>
      <w:r>
        <w:rPr>
          <w:sz w:val="22"/>
        </w:rPr>
        <w:t xml:space="preserve">of </w:t>
      </w:r>
      <w:r w:rsidRPr="005147D7">
        <w:rPr>
          <w:sz w:val="22"/>
        </w:rPr>
        <w:t>the highest rates of bl</w:t>
      </w:r>
      <w:r>
        <w:rPr>
          <w:sz w:val="22"/>
        </w:rPr>
        <w:t>i</w:t>
      </w:r>
      <w:r w:rsidRPr="005147D7">
        <w:rPr>
          <w:sz w:val="22"/>
        </w:rPr>
        <w:t>ndness in the world</w:t>
      </w:r>
      <w:r>
        <w:t xml:space="preserve">. </w:t>
      </w:r>
    </w:p>
    <w:p w14:paraId="1FF75829" w14:textId="7247DA6E" w:rsidR="002D7958" w:rsidRDefault="005346C3" w:rsidP="005147D7">
      <w:pPr>
        <w:pStyle w:val="ListBullet0"/>
        <w:numPr>
          <w:ilvl w:val="0"/>
          <w:numId w:val="0"/>
        </w:numPr>
        <w:rPr>
          <w:sz w:val="22"/>
        </w:rPr>
      </w:pPr>
      <w:r w:rsidRPr="005147D7">
        <w:rPr>
          <w:sz w:val="22"/>
        </w:rPr>
        <w:t>The</w:t>
      </w:r>
      <w:r w:rsidR="002D7958">
        <w:rPr>
          <w:sz w:val="22"/>
        </w:rPr>
        <w:t>re are significant social and economic costs associated with vision loss. For example, the</w:t>
      </w:r>
      <w:r w:rsidRPr="005147D7">
        <w:rPr>
          <w:sz w:val="22"/>
        </w:rPr>
        <w:t xml:space="preserve"> total annual economic cost of vision loss in Australia is estimated to be $16.6 billion or $28,905 per person with vision loss aged over 40</w:t>
      </w:r>
      <w:r>
        <w:t>.</w:t>
      </w:r>
      <w:r>
        <w:rPr>
          <w:rStyle w:val="FootnoteReference"/>
        </w:rPr>
        <w:footnoteReference w:id="3"/>
      </w:r>
      <w:r>
        <w:t xml:space="preserve"> </w:t>
      </w:r>
      <w:r w:rsidRPr="005147D7">
        <w:rPr>
          <w:sz w:val="22"/>
        </w:rPr>
        <w:t>The good news is that</w:t>
      </w:r>
      <w:r w:rsidR="002D7958">
        <w:rPr>
          <w:sz w:val="22"/>
        </w:rPr>
        <w:t>:</w:t>
      </w:r>
    </w:p>
    <w:p w14:paraId="6EFDDD68" w14:textId="77777777" w:rsidR="002D7958" w:rsidRPr="00455158" w:rsidRDefault="005346C3" w:rsidP="00455158">
      <w:pPr>
        <w:pStyle w:val="ListBullet0"/>
        <w:rPr>
          <w:sz w:val="22"/>
          <w:szCs w:val="22"/>
        </w:rPr>
      </w:pPr>
      <w:r w:rsidRPr="00455158">
        <w:rPr>
          <w:sz w:val="22"/>
          <w:szCs w:val="22"/>
        </w:rPr>
        <w:t>some 90 per cent of vision loss can be prevented through early identification and treatment</w:t>
      </w:r>
      <w:r w:rsidR="002D7958" w:rsidRPr="00455158">
        <w:rPr>
          <w:sz w:val="22"/>
          <w:szCs w:val="22"/>
        </w:rPr>
        <w:t>, and</w:t>
      </w:r>
    </w:p>
    <w:p w14:paraId="1C23C7AF" w14:textId="77777777" w:rsidR="005346C3" w:rsidRPr="00455158" w:rsidRDefault="002D7958" w:rsidP="00455158">
      <w:pPr>
        <w:pStyle w:val="ListBullet0"/>
        <w:rPr>
          <w:sz w:val="22"/>
          <w:szCs w:val="22"/>
        </w:rPr>
      </w:pPr>
      <w:r w:rsidRPr="00455158">
        <w:rPr>
          <w:sz w:val="22"/>
          <w:szCs w:val="22"/>
        </w:rPr>
        <w:t>f</w:t>
      </w:r>
      <w:r w:rsidR="005346C3" w:rsidRPr="00455158">
        <w:rPr>
          <w:sz w:val="22"/>
          <w:szCs w:val="22"/>
        </w:rPr>
        <w:t xml:space="preserve">or people who have permanent vision loss, there is a range of equipment, training and advice </w:t>
      </w:r>
      <w:r w:rsidR="0074017F" w:rsidRPr="00455158">
        <w:rPr>
          <w:sz w:val="22"/>
          <w:szCs w:val="22"/>
        </w:rPr>
        <w:t>which</w:t>
      </w:r>
      <w:r w:rsidR="005346C3" w:rsidRPr="00455158">
        <w:rPr>
          <w:sz w:val="22"/>
          <w:szCs w:val="22"/>
        </w:rPr>
        <w:t xml:space="preserve"> can support them to remain independent and involved in the workforce and the community. </w:t>
      </w:r>
    </w:p>
    <w:p w14:paraId="23B04371" w14:textId="06DB5504" w:rsidR="00DF7D13" w:rsidRPr="002D7958" w:rsidRDefault="00B351D9" w:rsidP="002D7958">
      <w:pPr>
        <w:pStyle w:val="BodyText"/>
      </w:pPr>
      <w:r w:rsidRPr="002D7958">
        <w:t xml:space="preserve">The COVID-19 pandemic has had substantial impacts for Australia’s health </w:t>
      </w:r>
      <w:r w:rsidR="00350232">
        <w:t xml:space="preserve">system </w:t>
      </w:r>
      <w:r w:rsidRPr="002D7958">
        <w:t>and economy that wil</w:t>
      </w:r>
      <w:r w:rsidR="00DC6C5E" w:rsidRPr="002D7958">
        <w:t>l</w:t>
      </w:r>
      <w:r w:rsidRPr="002D7958">
        <w:t xml:space="preserve"> likely be experienced for many years to come. This submission proposes investment in a small number of high priority</w:t>
      </w:r>
      <w:r w:rsidR="00DC6C5E" w:rsidRPr="002D7958">
        <w:t>, high impact</w:t>
      </w:r>
      <w:r w:rsidRPr="002D7958">
        <w:t xml:space="preserve"> initiatives that will help address some of those challenges</w:t>
      </w:r>
      <w:r w:rsidR="00DC6C5E" w:rsidRPr="002D7958">
        <w:t xml:space="preserve">. These are </w:t>
      </w:r>
      <w:r w:rsidRPr="002D7958">
        <w:t xml:space="preserve">targeted to areas where expanded capacity is needed to both address short term COVID-19 impacts and achieve a more sustainable </w:t>
      </w:r>
      <w:r w:rsidR="0055270C" w:rsidRPr="002D7958">
        <w:t>longer-term</w:t>
      </w:r>
      <w:r w:rsidRPr="002D7958">
        <w:t xml:space="preserve"> health system</w:t>
      </w:r>
      <w:r w:rsidR="00213FFC" w:rsidRPr="002D7958">
        <w:t xml:space="preserve">, </w:t>
      </w:r>
      <w:r w:rsidR="00DC6C5E" w:rsidRPr="002D7958">
        <w:t>by:</w:t>
      </w:r>
    </w:p>
    <w:p w14:paraId="3C1808BD" w14:textId="77777777" w:rsidR="00DF7D13" w:rsidRPr="005147D7" w:rsidRDefault="00640418">
      <w:pPr>
        <w:pStyle w:val="ListBullet0"/>
        <w:rPr>
          <w:sz w:val="22"/>
          <w:szCs w:val="22"/>
        </w:rPr>
      </w:pPr>
      <w:r>
        <w:rPr>
          <w:sz w:val="22"/>
          <w:szCs w:val="22"/>
        </w:rPr>
        <w:t>Enhancing local eye care for Aboriginal and Torres Strait Islander people</w:t>
      </w:r>
      <w:r w:rsidR="0074017F">
        <w:rPr>
          <w:sz w:val="22"/>
          <w:szCs w:val="22"/>
        </w:rPr>
        <w:t>.</w:t>
      </w:r>
    </w:p>
    <w:p w14:paraId="01140777" w14:textId="77777777" w:rsidR="0021652A" w:rsidRPr="005147D7" w:rsidRDefault="0021652A" w:rsidP="0021652A">
      <w:pPr>
        <w:pStyle w:val="ListBullet0"/>
        <w:rPr>
          <w:sz w:val="22"/>
          <w:szCs w:val="22"/>
        </w:rPr>
      </w:pPr>
      <w:r>
        <w:rPr>
          <w:sz w:val="22"/>
          <w:szCs w:val="22"/>
        </w:rPr>
        <w:t>Tackling blindness in Papua New Guinea.</w:t>
      </w:r>
    </w:p>
    <w:p w14:paraId="786F1AAC" w14:textId="77777777" w:rsidR="00DF7D13" w:rsidRPr="005147D7" w:rsidRDefault="00640418">
      <w:pPr>
        <w:pStyle w:val="ListBullet0"/>
        <w:rPr>
          <w:sz w:val="22"/>
          <w:szCs w:val="22"/>
        </w:rPr>
      </w:pPr>
      <w:r>
        <w:rPr>
          <w:sz w:val="22"/>
          <w:szCs w:val="22"/>
        </w:rPr>
        <w:t>Strengthen</w:t>
      </w:r>
      <w:r w:rsidR="00F209A6">
        <w:rPr>
          <w:sz w:val="22"/>
          <w:szCs w:val="22"/>
        </w:rPr>
        <w:t>ing</w:t>
      </w:r>
      <w:r>
        <w:rPr>
          <w:sz w:val="22"/>
          <w:szCs w:val="22"/>
        </w:rPr>
        <w:t xml:space="preserve"> aged care responses for people who are blind or have low vision</w:t>
      </w:r>
      <w:r w:rsidR="00E34EB6">
        <w:rPr>
          <w:sz w:val="22"/>
          <w:szCs w:val="22"/>
        </w:rPr>
        <w:t>.</w:t>
      </w:r>
      <w:r>
        <w:rPr>
          <w:sz w:val="22"/>
          <w:szCs w:val="22"/>
        </w:rPr>
        <w:t xml:space="preserve"> </w:t>
      </w:r>
    </w:p>
    <w:p w14:paraId="595F2C66" w14:textId="77777777" w:rsidR="00F85E41" w:rsidRPr="00DC6C5E" w:rsidRDefault="00DC6C5E" w:rsidP="00271CE8">
      <w:pPr>
        <w:pStyle w:val="ListBullet0"/>
      </w:pPr>
      <w:r w:rsidRPr="00DC6C5E">
        <w:rPr>
          <w:sz w:val="22"/>
          <w:szCs w:val="22"/>
        </w:rPr>
        <w:t xml:space="preserve">Supporting innovation </w:t>
      </w:r>
      <w:r w:rsidR="00813961">
        <w:rPr>
          <w:sz w:val="22"/>
          <w:szCs w:val="22"/>
        </w:rPr>
        <w:t>and improving access to sight-saving cataract surgery.</w:t>
      </w:r>
      <w:r w:rsidR="00640418">
        <w:rPr>
          <w:sz w:val="22"/>
          <w:szCs w:val="22"/>
        </w:rPr>
        <w:t xml:space="preserve"> </w:t>
      </w:r>
    </w:p>
    <w:p w14:paraId="33372A6F" w14:textId="5E72D31D" w:rsidR="00D64719" w:rsidRPr="00D64719" w:rsidRDefault="00D64719" w:rsidP="00CC2714">
      <w:pPr>
        <w:pStyle w:val="BodyText"/>
      </w:pPr>
      <w:r>
        <w:t>A number of</w:t>
      </w:r>
      <w:r w:rsidRPr="00D64719">
        <w:t xml:space="preserve"> Vision 2020 Australia members have also made separate submission</w:t>
      </w:r>
      <w:r>
        <w:t>s</w:t>
      </w:r>
      <w:r w:rsidR="004C4DCA">
        <w:t xml:space="preserve"> </w:t>
      </w:r>
      <w:r w:rsidR="002F3EEB">
        <w:t xml:space="preserve">requesting </w:t>
      </w:r>
      <w:r w:rsidR="004C4DCA">
        <w:t xml:space="preserve">support in </w:t>
      </w:r>
      <w:r w:rsidR="002F3EEB">
        <w:t xml:space="preserve">other </w:t>
      </w:r>
      <w:r w:rsidR="004C4DCA">
        <w:t>areas such as</w:t>
      </w:r>
      <w:r w:rsidR="002F3EEB">
        <w:t xml:space="preserve"> an</w:t>
      </w:r>
      <w:r w:rsidR="004C4DCA">
        <w:t xml:space="preserve"> </w:t>
      </w:r>
      <w:r w:rsidRPr="00CC2714">
        <w:t>increas</w:t>
      </w:r>
      <w:r w:rsidR="002F3EEB">
        <w:t>e in</w:t>
      </w:r>
      <w:r w:rsidRPr="00CC2714">
        <w:t xml:space="preserve"> the Department of Foreign Affairs and Trade’s central disability allocation to $14m in </w:t>
      </w:r>
      <w:r w:rsidR="00D10D33">
        <w:t>20</w:t>
      </w:r>
      <w:r w:rsidRPr="00CC2714">
        <w:t>21-</w:t>
      </w:r>
      <w:r w:rsidR="00D10D33">
        <w:t>20</w:t>
      </w:r>
      <w:r w:rsidRPr="00CC2714">
        <w:t xml:space="preserve">22 and </w:t>
      </w:r>
      <w:r w:rsidR="00D10D33">
        <w:t>20</w:t>
      </w:r>
      <w:r w:rsidRPr="00CC2714">
        <w:t>22-</w:t>
      </w:r>
      <w:r w:rsidR="00D10D33">
        <w:t>20</w:t>
      </w:r>
      <w:r w:rsidRPr="00CC2714">
        <w:t>23</w:t>
      </w:r>
      <w:r w:rsidR="002F3EEB">
        <w:t xml:space="preserve"> and addressing</w:t>
      </w:r>
      <w:r w:rsidR="002F3EEB" w:rsidRPr="00D64719">
        <w:t xml:space="preserve"> barriers to access</w:t>
      </w:r>
      <w:r w:rsidR="002F3EEB">
        <w:t>ing i</w:t>
      </w:r>
      <w:r w:rsidR="002F3EEB" w:rsidRPr="00D64719">
        <w:t>ntravitreal injections, an important sight saving treatmen</w:t>
      </w:r>
      <w:r w:rsidR="002F3EEB">
        <w:t>t</w:t>
      </w:r>
      <w:r w:rsidRPr="00D64719">
        <w:t xml:space="preserve">. Vision 2020 Australia </w:t>
      </w:r>
      <w:r w:rsidR="002F3EEB">
        <w:t>supports</w:t>
      </w:r>
      <w:r w:rsidRPr="00D64719">
        <w:t xml:space="preserve"> </w:t>
      </w:r>
      <w:r w:rsidR="00F27974">
        <w:t xml:space="preserve">further investment in these </w:t>
      </w:r>
      <w:r w:rsidRPr="00D64719">
        <w:t>areas, which have been identified as priorities by the broader Vision 2020 Australia membership</w:t>
      </w:r>
      <w:r w:rsidR="006204F8">
        <w:t>.</w:t>
      </w:r>
    </w:p>
    <w:p w14:paraId="6663B4F2" w14:textId="77777777" w:rsidR="00C56BF7" w:rsidRDefault="00A65F18" w:rsidP="00DC259C">
      <w:pPr>
        <w:pStyle w:val="ListBullet0"/>
        <w:numPr>
          <w:ilvl w:val="0"/>
          <w:numId w:val="0"/>
        </w:numPr>
        <w:tabs>
          <w:tab w:val="left" w:pos="2280"/>
        </w:tabs>
        <w:rPr>
          <w:sz w:val="22"/>
          <w:szCs w:val="22"/>
        </w:rPr>
      </w:pPr>
      <w:r>
        <w:rPr>
          <w:sz w:val="22"/>
          <w:szCs w:val="22"/>
        </w:rPr>
        <w:tab/>
      </w:r>
    </w:p>
    <w:p w14:paraId="1A2192D7" w14:textId="77777777" w:rsidR="00271CE8" w:rsidRDefault="00271CE8" w:rsidP="00640418">
      <w:pPr>
        <w:pStyle w:val="ListBullet0"/>
        <w:numPr>
          <w:ilvl w:val="0"/>
          <w:numId w:val="0"/>
        </w:numPr>
        <w:rPr>
          <w:sz w:val="22"/>
          <w:szCs w:val="22"/>
        </w:rPr>
        <w:sectPr w:rsidR="00271CE8" w:rsidSect="00E62EA0">
          <w:headerReference w:type="default" r:id="rId16"/>
          <w:footerReference w:type="default" r:id="rId17"/>
          <w:pgSz w:w="11906" w:h="16838" w:code="9"/>
          <w:pgMar w:top="2268" w:right="1134" w:bottom="1135" w:left="1134" w:header="567" w:footer="567" w:gutter="0"/>
          <w:cols w:space="708"/>
          <w:docGrid w:linePitch="360"/>
        </w:sectPr>
      </w:pPr>
    </w:p>
    <w:tbl>
      <w:tblPr>
        <w:tblStyle w:val="TableGridLight"/>
        <w:tblpPr w:leftFromText="180" w:rightFromText="180" w:horzAnchor="margin" w:tblpY="4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807"/>
        <w:gridCol w:w="1567"/>
        <w:gridCol w:w="3254"/>
      </w:tblGrid>
      <w:tr w:rsidR="006721B8" w:rsidRPr="00271CE8" w14:paraId="743DFA99" w14:textId="77777777" w:rsidTr="000B122A">
        <w:tc>
          <w:tcPr>
            <w:tcW w:w="3310" w:type="pct"/>
            <w:gridSpan w:val="2"/>
            <w:shd w:val="clear" w:color="auto" w:fill="32619D" w:themeFill="accent3"/>
          </w:tcPr>
          <w:p w14:paraId="150AFD4D" w14:textId="77777777" w:rsidR="006721B8" w:rsidRPr="00271CE8" w:rsidDel="002B1C4E" w:rsidRDefault="006721B8" w:rsidP="003F64C0">
            <w:pPr>
              <w:pStyle w:val="TableHeading"/>
              <w:rPr>
                <w:sz w:val="22"/>
              </w:rPr>
            </w:pPr>
            <w:r w:rsidRPr="00271CE8">
              <w:rPr>
                <w:sz w:val="22"/>
              </w:rPr>
              <w:t>Priority area</w:t>
            </w:r>
          </w:p>
        </w:tc>
        <w:tc>
          <w:tcPr>
            <w:tcW w:w="1690" w:type="pct"/>
            <w:shd w:val="clear" w:color="auto" w:fill="32619D" w:themeFill="accent3"/>
          </w:tcPr>
          <w:p w14:paraId="61A4397A" w14:textId="77777777" w:rsidR="006721B8" w:rsidRPr="00271CE8" w:rsidRDefault="006721B8" w:rsidP="003F64C0">
            <w:pPr>
              <w:pStyle w:val="TableHeading"/>
              <w:rPr>
                <w:sz w:val="22"/>
              </w:rPr>
            </w:pPr>
            <w:r w:rsidRPr="00271CE8">
              <w:rPr>
                <w:sz w:val="22"/>
              </w:rPr>
              <w:t>Alignment to government commitments</w:t>
            </w:r>
            <w:r w:rsidR="008436A9" w:rsidRPr="00271CE8">
              <w:rPr>
                <w:sz w:val="22"/>
              </w:rPr>
              <w:t xml:space="preserve"> &amp; priorities</w:t>
            </w:r>
          </w:p>
        </w:tc>
      </w:tr>
      <w:tr w:rsidR="008B10F9" w:rsidRPr="00271CE8" w14:paraId="56EC676C" w14:textId="77777777" w:rsidTr="003F64C0">
        <w:tc>
          <w:tcPr>
            <w:tcW w:w="5000" w:type="pct"/>
            <w:gridSpan w:val="3"/>
            <w:shd w:val="clear" w:color="auto" w:fill="000000" w:themeFill="text1"/>
          </w:tcPr>
          <w:p w14:paraId="08C3B466" w14:textId="77777777" w:rsidR="008B10F9" w:rsidRPr="00271CE8" w:rsidDel="002B1C4E" w:rsidRDefault="00640418" w:rsidP="003F64C0">
            <w:pPr>
              <w:pStyle w:val="TableHeading"/>
              <w:rPr>
                <w:color w:val="auto"/>
                <w:sz w:val="22"/>
              </w:rPr>
            </w:pPr>
            <w:bookmarkStart w:id="3" w:name="_Hlk26534227"/>
            <w:bookmarkStart w:id="4" w:name="_Hlk26534247"/>
            <w:r w:rsidRPr="00271CE8">
              <w:rPr>
                <w:color w:val="auto"/>
                <w:sz w:val="22"/>
              </w:rPr>
              <w:t>Enhancing local eye care for Aboriginal and Torres Strait Islander communities</w:t>
            </w:r>
            <w:r w:rsidR="00DC6C5E" w:rsidRPr="00271CE8">
              <w:rPr>
                <w:color w:val="auto"/>
                <w:sz w:val="22"/>
              </w:rPr>
              <w:t xml:space="preserve"> </w:t>
            </w:r>
          </w:p>
        </w:tc>
      </w:tr>
      <w:bookmarkEnd w:id="3"/>
      <w:tr w:rsidR="006721B8" w:rsidRPr="00271CE8" w14:paraId="52D0CF5B" w14:textId="77777777" w:rsidTr="000B122A">
        <w:tc>
          <w:tcPr>
            <w:tcW w:w="2496" w:type="pct"/>
          </w:tcPr>
          <w:p w14:paraId="4648872E" w14:textId="77777777" w:rsidR="006721B8" w:rsidRPr="00271CE8" w:rsidRDefault="00214A1F" w:rsidP="003F64C0">
            <w:pPr>
              <w:pStyle w:val="BodyText"/>
              <w:spacing w:before="0" w:after="0"/>
            </w:pPr>
            <w:r w:rsidRPr="00271CE8">
              <w:t>Fund national roll out of local support roles to build eye health and vision capacity and expertise at a local level, building off the ACCHO platform</w:t>
            </w:r>
            <w:r w:rsidR="005231DE">
              <w:t>.</w:t>
            </w:r>
            <w:r w:rsidRPr="00271CE8">
              <w:t xml:space="preserve"> </w:t>
            </w:r>
          </w:p>
          <w:p w14:paraId="6776CD98" w14:textId="77777777" w:rsidR="00640418" w:rsidRPr="00271CE8" w:rsidRDefault="00640418" w:rsidP="003F64C0">
            <w:pPr>
              <w:pStyle w:val="BodyText"/>
              <w:spacing w:before="0" w:after="0"/>
            </w:pPr>
            <w:r w:rsidRPr="00271CE8">
              <w:t>Develop and implement community led models of eye care, alongside eye health education and training ACCHO staff</w:t>
            </w:r>
            <w:r w:rsidR="005231DE">
              <w:t>.</w:t>
            </w:r>
          </w:p>
        </w:tc>
        <w:tc>
          <w:tcPr>
            <w:tcW w:w="814" w:type="pct"/>
          </w:tcPr>
          <w:p w14:paraId="53BA30E9" w14:textId="77777777" w:rsidR="006721B8" w:rsidRPr="00271CE8" w:rsidRDefault="006721B8" w:rsidP="003F64C0">
            <w:pPr>
              <w:pStyle w:val="BodyText"/>
              <w:spacing w:before="0" w:after="0"/>
            </w:pPr>
            <w:r w:rsidRPr="00271CE8">
              <w:t>$</w:t>
            </w:r>
            <w:r w:rsidR="000173AC" w:rsidRPr="00271CE8">
              <w:t>27.8</w:t>
            </w:r>
            <w:r w:rsidR="00DC259C">
              <w:t>1</w:t>
            </w:r>
            <w:r w:rsidRPr="00271CE8">
              <w:t xml:space="preserve"> million over </w:t>
            </w:r>
            <w:r w:rsidR="00214A1F" w:rsidRPr="00271CE8">
              <w:t>4</w:t>
            </w:r>
            <w:r w:rsidR="00C945E3" w:rsidRPr="00271CE8">
              <w:t xml:space="preserve"> </w:t>
            </w:r>
            <w:r w:rsidRPr="00271CE8">
              <w:t>years</w:t>
            </w:r>
          </w:p>
          <w:p w14:paraId="28F33BAE" w14:textId="77777777" w:rsidR="00301CC3" w:rsidRPr="00271CE8" w:rsidRDefault="00301CC3" w:rsidP="003F64C0">
            <w:pPr>
              <w:pStyle w:val="BodyText"/>
              <w:spacing w:before="0" w:after="0"/>
            </w:pPr>
          </w:p>
        </w:tc>
        <w:tc>
          <w:tcPr>
            <w:tcW w:w="1690" w:type="pct"/>
          </w:tcPr>
          <w:p w14:paraId="16453E4E" w14:textId="77777777" w:rsidR="00214A1F" w:rsidRPr="00271CE8" w:rsidRDefault="00E91CC3" w:rsidP="003F64C0">
            <w:pPr>
              <w:pStyle w:val="BodyText"/>
              <w:spacing w:before="0" w:after="0"/>
              <w:rPr>
                <w:i/>
              </w:rPr>
            </w:pPr>
            <w:r w:rsidRPr="00271CE8">
              <w:rPr>
                <w:i/>
              </w:rPr>
              <w:t xml:space="preserve">National Agreement on </w:t>
            </w:r>
            <w:r w:rsidR="00214A1F" w:rsidRPr="00271CE8">
              <w:rPr>
                <w:i/>
              </w:rPr>
              <w:t>Clos</w:t>
            </w:r>
            <w:r w:rsidRPr="00271CE8">
              <w:rPr>
                <w:i/>
              </w:rPr>
              <w:t>ing</w:t>
            </w:r>
            <w:r w:rsidR="00214A1F" w:rsidRPr="00271CE8">
              <w:rPr>
                <w:i/>
              </w:rPr>
              <w:t xml:space="preserve"> the Gap </w:t>
            </w:r>
          </w:p>
          <w:p w14:paraId="797403BC" w14:textId="77777777" w:rsidR="006721B8" w:rsidRDefault="006721B8" w:rsidP="003F64C0">
            <w:pPr>
              <w:pStyle w:val="BodyText"/>
              <w:spacing w:before="0" w:after="0"/>
            </w:pPr>
            <w:r w:rsidRPr="00271CE8">
              <w:rPr>
                <w:i/>
              </w:rPr>
              <w:t xml:space="preserve">Long Term </w:t>
            </w:r>
            <w:r w:rsidR="0074017F" w:rsidRPr="00271CE8">
              <w:rPr>
                <w:i/>
              </w:rPr>
              <w:t xml:space="preserve">National </w:t>
            </w:r>
            <w:r w:rsidRPr="00271CE8">
              <w:rPr>
                <w:i/>
              </w:rPr>
              <w:t>Health Plan</w:t>
            </w:r>
            <w:r w:rsidRPr="00271CE8">
              <w:t xml:space="preserve"> – end avoidable blindness in Aboriginal and Torres Strait Isl</w:t>
            </w:r>
            <w:r w:rsidR="008B10F9" w:rsidRPr="00271CE8">
              <w:t>a</w:t>
            </w:r>
            <w:r w:rsidRPr="00271CE8">
              <w:t>nder Communities</w:t>
            </w:r>
          </w:p>
          <w:p w14:paraId="72C0357C" w14:textId="08BAB031" w:rsidR="00813961" w:rsidRPr="00813961" w:rsidRDefault="00813961" w:rsidP="003F64C0">
            <w:pPr>
              <w:pStyle w:val="BodyText"/>
              <w:spacing w:before="0" w:after="0"/>
              <w:rPr>
                <w:i/>
              </w:rPr>
            </w:pPr>
            <w:r w:rsidRPr="00813961">
              <w:rPr>
                <w:i/>
              </w:rPr>
              <w:t>Strong Eyes, Strong Communities</w:t>
            </w:r>
            <w:r w:rsidR="001F7F02">
              <w:rPr>
                <w:i/>
              </w:rPr>
              <w:t>.</w:t>
            </w:r>
          </w:p>
        </w:tc>
      </w:tr>
      <w:tr w:rsidR="002D7958" w:rsidRPr="00271CE8" w:rsidDel="00BA30CE" w14:paraId="026ED70F" w14:textId="77777777" w:rsidTr="00F209A6">
        <w:tc>
          <w:tcPr>
            <w:tcW w:w="5000" w:type="pct"/>
            <w:gridSpan w:val="3"/>
            <w:shd w:val="clear" w:color="auto" w:fill="000000" w:themeFill="text1"/>
          </w:tcPr>
          <w:p w14:paraId="2FAFB2E5" w14:textId="77777777" w:rsidR="002D7958" w:rsidRPr="00271CE8" w:rsidDel="00BA30CE" w:rsidRDefault="002D7958" w:rsidP="002D7958">
            <w:pPr>
              <w:pStyle w:val="TableHeading"/>
              <w:rPr>
                <w:color w:val="auto"/>
                <w:sz w:val="22"/>
              </w:rPr>
            </w:pPr>
            <w:r>
              <w:rPr>
                <w:color w:val="auto"/>
                <w:sz w:val="22"/>
              </w:rPr>
              <w:t xml:space="preserve">Gaining Sight </w:t>
            </w:r>
            <w:r w:rsidR="00A041AD" w:rsidRPr="003F64C0">
              <w:t>–</w:t>
            </w:r>
            <w:r>
              <w:rPr>
                <w:color w:val="auto"/>
                <w:sz w:val="22"/>
              </w:rPr>
              <w:t xml:space="preserve"> t</w:t>
            </w:r>
            <w:r w:rsidRPr="00271CE8">
              <w:rPr>
                <w:color w:val="auto"/>
                <w:sz w:val="22"/>
              </w:rPr>
              <w:t>ackling blindness in Papua New Guinea</w:t>
            </w:r>
          </w:p>
        </w:tc>
      </w:tr>
      <w:tr w:rsidR="002D7958" w:rsidRPr="00271CE8" w14:paraId="70EF79A2" w14:textId="77777777" w:rsidTr="000B122A">
        <w:tc>
          <w:tcPr>
            <w:tcW w:w="2496" w:type="pct"/>
          </w:tcPr>
          <w:p w14:paraId="713D0215" w14:textId="24F1895B" w:rsidR="002D7958" w:rsidRPr="00271CE8" w:rsidRDefault="002D7958" w:rsidP="002D7958">
            <w:pPr>
              <w:pStyle w:val="BodyText"/>
              <w:spacing w:before="0" w:after="0"/>
            </w:pPr>
            <w:r w:rsidRPr="00271CE8">
              <w:t>Fund targeted program of workforce, infrastructure and outreach services to reduce high levels of blindness in P</w:t>
            </w:r>
            <w:r w:rsidR="00C06254">
              <w:t xml:space="preserve">apua </w:t>
            </w:r>
            <w:r w:rsidRPr="00271CE8">
              <w:t>N</w:t>
            </w:r>
            <w:r w:rsidR="00C06254">
              <w:t xml:space="preserve">ew </w:t>
            </w:r>
            <w:r w:rsidRPr="00271CE8">
              <w:t>G</w:t>
            </w:r>
            <w:r w:rsidR="00C06254">
              <w:t>uinea</w:t>
            </w:r>
            <w:r w:rsidRPr="00271CE8">
              <w:t xml:space="preserve">. </w:t>
            </w:r>
          </w:p>
        </w:tc>
        <w:tc>
          <w:tcPr>
            <w:tcW w:w="814" w:type="pct"/>
          </w:tcPr>
          <w:p w14:paraId="4C85E334" w14:textId="77777777" w:rsidR="002D7958" w:rsidRPr="00271CE8" w:rsidRDefault="002D7958" w:rsidP="002D7958">
            <w:pPr>
              <w:pStyle w:val="BodyText"/>
              <w:spacing w:before="0" w:after="0"/>
            </w:pPr>
            <w:r w:rsidRPr="00271CE8">
              <w:t>$26.19 million over 4 years</w:t>
            </w:r>
          </w:p>
        </w:tc>
        <w:tc>
          <w:tcPr>
            <w:tcW w:w="1690" w:type="pct"/>
          </w:tcPr>
          <w:p w14:paraId="476A314F" w14:textId="77777777" w:rsidR="002D7958" w:rsidRPr="00271CE8" w:rsidRDefault="002D7958" w:rsidP="002D7958">
            <w:pPr>
              <w:pStyle w:val="BodyText"/>
              <w:spacing w:before="0" w:after="0"/>
            </w:pPr>
            <w:r w:rsidRPr="00271CE8">
              <w:t>Pacific Step-up</w:t>
            </w:r>
          </w:p>
          <w:p w14:paraId="4FF2815C" w14:textId="77777777" w:rsidR="002D7958" w:rsidRPr="00271CE8" w:rsidRDefault="002D7958" w:rsidP="002D7958">
            <w:pPr>
              <w:pStyle w:val="BodyText"/>
              <w:spacing w:before="0" w:after="0"/>
            </w:pPr>
            <w:r w:rsidRPr="00271CE8">
              <w:t>PNG-Australia Comprehensive Strategic &amp; Economic Partnership</w:t>
            </w:r>
          </w:p>
          <w:p w14:paraId="25598236" w14:textId="77777777" w:rsidR="002D7958" w:rsidRPr="00271CE8" w:rsidRDefault="002D7958" w:rsidP="002D7958">
            <w:pPr>
              <w:pStyle w:val="BodyText"/>
              <w:spacing w:before="0" w:after="0"/>
            </w:pPr>
            <w:r w:rsidRPr="00271CE8">
              <w:t>Partnership for Recovery</w:t>
            </w:r>
          </w:p>
          <w:p w14:paraId="75E518A5" w14:textId="6774D921" w:rsidR="002D7958" w:rsidRPr="00271CE8" w:rsidRDefault="002D7958" w:rsidP="002D7958">
            <w:pPr>
              <w:pStyle w:val="BodyText"/>
              <w:spacing w:before="0" w:after="0"/>
            </w:pPr>
            <w:r w:rsidRPr="00271CE8">
              <w:t>PNG COVID-19 Development Response Plan</w:t>
            </w:r>
            <w:r w:rsidR="001F7F02">
              <w:t>.</w:t>
            </w:r>
          </w:p>
        </w:tc>
      </w:tr>
      <w:bookmarkEnd w:id="4"/>
      <w:tr w:rsidR="008B10F9" w:rsidRPr="00271CE8" w14:paraId="3F39B9F0" w14:textId="77777777" w:rsidTr="003F64C0">
        <w:tc>
          <w:tcPr>
            <w:tcW w:w="5000" w:type="pct"/>
            <w:gridSpan w:val="3"/>
            <w:shd w:val="clear" w:color="auto" w:fill="000000" w:themeFill="text1"/>
          </w:tcPr>
          <w:p w14:paraId="2E1A3A42" w14:textId="77777777" w:rsidR="008B10F9" w:rsidRPr="00271CE8" w:rsidRDefault="00124214" w:rsidP="003F64C0">
            <w:pPr>
              <w:pStyle w:val="TableHeading"/>
              <w:rPr>
                <w:color w:val="auto"/>
                <w:sz w:val="22"/>
              </w:rPr>
            </w:pPr>
            <w:r w:rsidRPr="00271CE8">
              <w:rPr>
                <w:color w:val="auto"/>
                <w:sz w:val="22"/>
              </w:rPr>
              <w:t>More aids and equipment to manage the impacts of vision loss in older Australians</w:t>
            </w:r>
          </w:p>
        </w:tc>
      </w:tr>
      <w:tr w:rsidR="00DC6C5E" w:rsidRPr="00271CE8" w14:paraId="74AE6EEC" w14:textId="77777777" w:rsidTr="000B122A">
        <w:tc>
          <w:tcPr>
            <w:tcW w:w="2496" w:type="pct"/>
          </w:tcPr>
          <w:p w14:paraId="249EFC5D" w14:textId="77777777" w:rsidR="00640418" w:rsidRPr="00271CE8" w:rsidRDefault="00DC6C5E" w:rsidP="003F64C0">
            <w:pPr>
              <w:pStyle w:val="BodyText"/>
            </w:pPr>
            <w:r w:rsidRPr="00271CE8">
              <w:t>Expanding the list of aids and equipment that older Australians who are blind or have low vision can access through the aged care system</w:t>
            </w:r>
            <w:r w:rsidR="00DC0E96" w:rsidRPr="00271CE8">
              <w:t>.</w:t>
            </w:r>
            <w:r w:rsidRPr="00271CE8">
              <w:t xml:space="preserve"> </w:t>
            </w:r>
          </w:p>
        </w:tc>
        <w:tc>
          <w:tcPr>
            <w:tcW w:w="814" w:type="pct"/>
          </w:tcPr>
          <w:p w14:paraId="02443CE7" w14:textId="77777777" w:rsidR="00DC6C5E" w:rsidRPr="00271CE8" w:rsidRDefault="00B02BF5" w:rsidP="003F64C0">
            <w:pPr>
              <w:pStyle w:val="BodyText"/>
            </w:pPr>
            <w:r>
              <w:t>$31.98</w:t>
            </w:r>
            <w:r w:rsidR="00DC6C5E" w:rsidRPr="00271CE8">
              <w:t xml:space="preserve"> million over 4 years</w:t>
            </w:r>
          </w:p>
          <w:p w14:paraId="0EE1177A" w14:textId="77777777" w:rsidR="00DC6C5E" w:rsidRPr="00271CE8" w:rsidRDefault="00DC6C5E" w:rsidP="003F64C0">
            <w:pPr>
              <w:pStyle w:val="BodyText"/>
            </w:pPr>
          </w:p>
        </w:tc>
        <w:tc>
          <w:tcPr>
            <w:tcW w:w="1690" w:type="pct"/>
          </w:tcPr>
          <w:p w14:paraId="6C4E6794" w14:textId="77777777" w:rsidR="00640418" w:rsidRDefault="00000528" w:rsidP="003F64C0">
            <w:pPr>
              <w:pStyle w:val="BodyText"/>
            </w:pPr>
            <w:r>
              <w:t>Legislated Aged Care Review 2017, Recommendation 29</w:t>
            </w:r>
          </w:p>
          <w:p w14:paraId="16E89BD1" w14:textId="6665B8F1" w:rsidR="00BC6C91" w:rsidRPr="00271CE8" w:rsidDel="00BA30CE" w:rsidRDefault="00BC6C91" w:rsidP="003F64C0">
            <w:pPr>
              <w:pStyle w:val="BodyText"/>
            </w:pPr>
            <w:r>
              <w:t>Counsel Assisting Royal Commission into Aged Care Quality and Safety, Recommendation 60</w:t>
            </w:r>
            <w:r w:rsidR="001F7F02">
              <w:t>.</w:t>
            </w:r>
          </w:p>
        </w:tc>
      </w:tr>
      <w:tr w:rsidR="00124214" w:rsidRPr="00271CE8" w14:paraId="203C4A0B" w14:textId="77777777" w:rsidTr="003F64C0">
        <w:tc>
          <w:tcPr>
            <w:tcW w:w="5000" w:type="pct"/>
            <w:gridSpan w:val="3"/>
            <w:shd w:val="clear" w:color="auto" w:fill="000000" w:themeFill="text1"/>
          </w:tcPr>
          <w:p w14:paraId="62E2574F" w14:textId="77777777" w:rsidR="00124214" w:rsidRPr="00271CE8" w:rsidRDefault="00124214" w:rsidP="003F64C0">
            <w:pPr>
              <w:pStyle w:val="TableHeading"/>
              <w:rPr>
                <w:color w:val="auto"/>
                <w:sz w:val="22"/>
              </w:rPr>
            </w:pPr>
            <w:r w:rsidRPr="00271CE8">
              <w:rPr>
                <w:color w:val="auto"/>
                <w:sz w:val="22"/>
              </w:rPr>
              <w:t>Eyes on Call</w:t>
            </w:r>
            <w:r w:rsidR="00A041AD">
              <w:rPr>
                <w:color w:val="auto"/>
                <w:sz w:val="22"/>
              </w:rPr>
              <w:t xml:space="preserve"> </w:t>
            </w:r>
            <w:r w:rsidR="00A041AD" w:rsidRPr="003F64C0">
              <w:t>–</w:t>
            </w:r>
            <w:r w:rsidRPr="00271CE8">
              <w:rPr>
                <w:color w:val="auto"/>
                <w:sz w:val="22"/>
              </w:rPr>
              <w:t xml:space="preserve"> an innovative model to build aged care workforce knowledge of eye health and vision </w:t>
            </w:r>
          </w:p>
        </w:tc>
      </w:tr>
      <w:tr w:rsidR="00A65F18" w:rsidRPr="00271CE8" w14:paraId="682985A1" w14:textId="77777777" w:rsidTr="000B122A">
        <w:tc>
          <w:tcPr>
            <w:tcW w:w="2496" w:type="pct"/>
          </w:tcPr>
          <w:p w14:paraId="43F14164" w14:textId="77777777" w:rsidR="00A65F18" w:rsidRPr="00271CE8" w:rsidRDefault="00124214" w:rsidP="003F64C0">
            <w:pPr>
              <w:pStyle w:val="BodyText"/>
            </w:pPr>
            <w:r w:rsidRPr="00271CE8">
              <w:t>Establish expert online/phone</w:t>
            </w:r>
            <w:r w:rsidR="003F64C0">
              <w:t>-</w:t>
            </w:r>
            <w:r w:rsidRPr="00271CE8">
              <w:t>based coaching and support for aged care assessors and staff to enhance their capacity to identify and respond to eye health and vision issues.</w:t>
            </w:r>
          </w:p>
        </w:tc>
        <w:tc>
          <w:tcPr>
            <w:tcW w:w="814" w:type="pct"/>
          </w:tcPr>
          <w:p w14:paraId="1966786A" w14:textId="77777777" w:rsidR="00124214" w:rsidRPr="00271CE8" w:rsidRDefault="00124214" w:rsidP="003F64C0">
            <w:pPr>
              <w:pStyle w:val="BodyText"/>
            </w:pPr>
            <w:r w:rsidRPr="00271CE8">
              <w:t>$</w:t>
            </w:r>
            <w:r w:rsidR="005E5D91">
              <w:t>5.39</w:t>
            </w:r>
            <w:r w:rsidRPr="00271CE8">
              <w:t xml:space="preserve"> million over 4 years</w:t>
            </w:r>
          </w:p>
          <w:p w14:paraId="0B26413E" w14:textId="77777777" w:rsidR="00A65F18" w:rsidRPr="00271CE8" w:rsidRDefault="00A65F18" w:rsidP="003F64C0">
            <w:pPr>
              <w:pStyle w:val="BodyText"/>
            </w:pPr>
          </w:p>
        </w:tc>
        <w:tc>
          <w:tcPr>
            <w:tcW w:w="1690" w:type="pct"/>
          </w:tcPr>
          <w:p w14:paraId="55A1ACFB" w14:textId="540D6C6D" w:rsidR="00124214" w:rsidRPr="00271CE8" w:rsidRDefault="00124214" w:rsidP="003F64C0">
            <w:pPr>
              <w:pStyle w:val="BodyText"/>
            </w:pPr>
            <w:r w:rsidRPr="00271CE8">
              <w:rPr>
                <w:i/>
              </w:rPr>
              <w:t>Aged Care Workforce Strategy Report (2018)</w:t>
            </w:r>
            <w:r w:rsidRPr="00271CE8">
              <w:t xml:space="preserve"> – Strategic Action</w:t>
            </w:r>
            <w:r w:rsidR="00BC6C91">
              <w:t>s</w:t>
            </w:r>
            <w:r w:rsidRPr="00271CE8">
              <w:t xml:space="preserve"> 3</w:t>
            </w:r>
            <w:r w:rsidR="00BC6C91">
              <w:t>,</w:t>
            </w:r>
            <w:r w:rsidR="001F7F02">
              <w:t xml:space="preserve"> </w:t>
            </w:r>
            <w:r w:rsidR="00BC6C91">
              <w:t>10</w:t>
            </w:r>
            <w:r w:rsidR="001F7F02">
              <w:t>.</w:t>
            </w:r>
          </w:p>
          <w:p w14:paraId="367601A2" w14:textId="77777777" w:rsidR="00A65F18" w:rsidRPr="00271CE8" w:rsidRDefault="00A65F18" w:rsidP="003F64C0">
            <w:pPr>
              <w:pStyle w:val="BodyText"/>
              <w:rPr>
                <w:i/>
              </w:rPr>
            </w:pPr>
          </w:p>
        </w:tc>
      </w:tr>
      <w:tr w:rsidR="00DC6C5E" w:rsidRPr="00271CE8" w14:paraId="256AC242" w14:textId="77777777" w:rsidTr="003F64C0">
        <w:tc>
          <w:tcPr>
            <w:tcW w:w="5000" w:type="pct"/>
            <w:gridSpan w:val="3"/>
            <w:shd w:val="clear" w:color="auto" w:fill="000000" w:themeFill="text1"/>
          </w:tcPr>
          <w:p w14:paraId="1BF87344" w14:textId="77777777" w:rsidR="00DC6C5E" w:rsidRPr="00271CE8" w:rsidRDefault="00DC6C5E" w:rsidP="003F64C0">
            <w:pPr>
              <w:pStyle w:val="TableHeading"/>
              <w:rPr>
                <w:color w:val="auto"/>
                <w:sz w:val="22"/>
              </w:rPr>
            </w:pPr>
            <w:r w:rsidRPr="00271CE8">
              <w:rPr>
                <w:color w:val="auto"/>
                <w:sz w:val="22"/>
              </w:rPr>
              <w:t xml:space="preserve">Innovative and sustainable </w:t>
            </w:r>
            <w:r w:rsidR="00640418" w:rsidRPr="00271CE8">
              <w:rPr>
                <w:color w:val="auto"/>
                <w:sz w:val="22"/>
              </w:rPr>
              <w:t xml:space="preserve">public </w:t>
            </w:r>
            <w:r w:rsidRPr="00271CE8">
              <w:rPr>
                <w:color w:val="auto"/>
                <w:sz w:val="22"/>
              </w:rPr>
              <w:t xml:space="preserve">access to </w:t>
            </w:r>
            <w:r w:rsidR="00640418" w:rsidRPr="00271CE8">
              <w:rPr>
                <w:color w:val="auto"/>
                <w:sz w:val="22"/>
              </w:rPr>
              <w:t>sight saving treatments</w:t>
            </w:r>
            <w:r w:rsidRPr="00271CE8">
              <w:rPr>
                <w:color w:val="auto"/>
                <w:sz w:val="22"/>
              </w:rPr>
              <w:t xml:space="preserve"> </w:t>
            </w:r>
          </w:p>
        </w:tc>
      </w:tr>
      <w:tr w:rsidR="00DC6C5E" w:rsidRPr="003F64C0" w14:paraId="791EB5C5" w14:textId="77777777" w:rsidTr="000B122A">
        <w:tc>
          <w:tcPr>
            <w:tcW w:w="2496" w:type="pct"/>
          </w:tcPr>
          <w:p w14:paraId="0BAB2D8E" w14:textId="45AF7115" w:rsidR="000778B2" w:rsidRPr="003F64C0" w:rsidRDefault="003F64C0" w:rsidP="003F64C0">
            <w:pPr>
              <w:pStyle w:val="BodyText"/>
              <w:spacing w:before="0" w:after="0"/>
            </w:pPr>
            <w:r w:rsidRPr="003F64C0">
              <w:t xml:space="preserve">Expand delivery of public cataract surgery, support the development and roll out of innovative and sustainable service models, build national protocols to support enhanced access to surgery for Aboriginal and Torres Strait Islander </w:t>
            </w:r>
            <w:r w:rsidR="001F7F02">
              <w:t>P</w:t>
            </w:r>
            <w:r w:rsidRPr="003F64C0">
              <w:t>eople</w:t>
            </w:r>
            <w:r w:rsidR="001F7F02">
              <w:t>s</w:t>
            </w:r>
            <w:r w:rsidR="005231DE">
              <w:t>.</w:t>
            </w:r>
          </w:p>
        </w:tc>
        <w:tc>
          <w:tcPr>
            <w:tcW w:w="814" w:type="pct"/>
          </w:tcPr>
          <w:p w14:paraId="40FF5051" w14:textId="77777777" w:rsidR="00DC6C5E" w:rsidRPr="003F64C0" w:rsidRDefault="00DC6C5E" w:rsidP="003F64C0">
            <w:pPr>
              <w:pStyle w:val="BodyText"/>
              <w:spacing w:before="0" w:after="0"/>
            </w:pPr>
            <w:r w:rsidRPr="003F64C0">
              <w:t>$</w:t>
            </w:r>
            <w:r w:rsidR="00DF5265">
              <w:t>320.18</w:t>
            </w:r>
            <w:r w:rsidR="000173AC" w:rsidRPr="003F64C0">
              <w:t xml:space="preserve"> million</w:t>
            </w:r>
            <w:r w:rsidRPr="003F64C0">
              <w:t xml:space="preserve"> over 4 years</w:t>
            </w:r>
          </w:p>
        </w:tc>
        <w:tc>
          <w:tcPr>
            <w:tcW w:w="1690" w:type="pct"/>
          </w:tcPr>
          <w:p w14:paraId="1DB901F4" w14:textId="77777777" w:rsidR="001B5779" w:rsidRPr="003F64C0" w:rsidRDefault="001B5779" w:rsidP="003F64C0">
            <w:pPr>
              <w:pStyle w:val="BodyText"/>
              <w:spacing w:before="0" w:after="0"/>
              <w:rPr>
                <w:i/>
                <w:lang w:val="en-US"/>
              </w:rPr>
            </w:pPr>
            <w:r w:rsidRPr="003F64C0">
              <w:rPr>
                <w:i/>
              </w:rPr>
              <w:t>Long Term National Health Plan</w:t>
            </w:r>
          </w:p>
          <w:p w14:paraId="5D8CAEE7" w14:textId="6C1710B3" w:rsidR="00DC6C5E" w:rsidRPr="003F64C0" w:rsidRDefault="00416344" w:rsidP="003F64C0">
            <w:pPr>
              <w:pStyle w:val="BodyText"/>
              <w:spacing w:before="0" w:after="0"/>
              <w:rPr>
                <w:highlight w:val="yellow"/>
              </w:rPr>
            </w:pPr>
            <w:r w:rsidRPr="003F64C0">
              <w:rPr>
                <w:i/>
              </w:rPr>
              <w:t>Strong Eyes, Strong Communities</w:t>
            </w:r>
            <w:r w:rsidRPr="003F64C0">
              <w:t xml:space="preserve"> – </w:t>
            </w:r>
            <w:r w:rsidRPr="003F64C0">
              <w:rPr>
                <w:i/>
              </w:rPr>
              <w:t xml:space="preserve">the </w:t>
            </w:r>
            <w:r w:rsidR="00C06254" w:rsidRPr="003F64C0">
              <w:rPr>
                <w:i/>
              </w:rPr>
              <w:t>Five-Year</w:t>
            </w:r>
            <w:r w:rsidRPr="003F64C0">
              <w:rPr>
                <w:i/>
              </w:rPr>
              <w:t xml:space="preserve"> Plan for Aboriginal and Torres Strait Islander eye health and vision</w:t>
            </w:r>
            <w:r w:rsidR="001F7F02">
              <w:rPr>
                <w:i/>
              </w:rPr>
              <w:t>.</w:t>
            </w:r>
          </w:p>
        </w:tc>
      </w:tr>
    </w:tbl>
    <w:p w14:paraId="2A304F50" w14:textId="77777777" w:rsidR="002D7958" w:rsidRDefault="002D7958" w:rsidP="002D7958">
      <w:pPr>
        <w:pStyle w:val="Heading2"/>
      </w:pPr>
      <w:bookmarkStart w:id="5" w:name="_Toc62811551"/>
      <w:r>
        <w:t>Summary of 2021-22</w:t>
      </w:r>
      <w:r w:rsidR="00813961">
        <w:t xml:space="preserve"> budget proposals</w:t>
      </w:r>
      <w:bookmarkEnd w:id="5"/>
    </w:p>
    <w:p w14:paraId="1A5F7693" w14:textId="6B726BE1" w:rsidR="009E3BCF" w:rsidRPr="006759F6" w:rsidRDefault="00AA5D9C" w:rsidP="00B129AB">
      <w:pPr>
        <w:pStyle w:val="Heading1"/>
      </w:pPr>
      <w:bookmarkStart w:id="6" w:name="_Toc62811552"/>
      <w:r>
        <w:t xml:space="preserve">Budget priorities for </w:t>
      </w:r>
      <w:r w:rsidR="00D373D1">
        <w:t>2021-22</w:t>
      </w:r>
      <w:bookmarkEnd w:id="6"/>
    </w:p>
    <w:p w14:paraId="5B5495F4" w14:textId="77777777" w:rsidR="006C2FF4" w:rsidRDefault="006C2FF4" w:rsidP="00A56C43">
      <w:pPr>
        <w:pStyle w:val="Heading2"/>
      </w:pPr>
      <w:bookmarkStart w:id="7" w:name="_Toc62811553"/>
      <w:r>
        <w:t>Enhancing local eye care for Aboriginal and Torres Strait Islander communities</w:t>
      </w:r>
      <w:bookmarkEnd w:id="7"/>
    </w:p>
    <w:p w14:paraId="5709A674" w14:textId="10E9DE30" w:rsidR="006C2FF4" w:rsidRDefault="006C2FF4" w:rsidP="00F54BDA">
      <w:pPr>
        <w:pStyle w:val="BodyText"/>
        <w:rPr>
          <w:i/>
        </w:rPr>
      </w:pPr>
      <w:r>
        <w:t xml:space="preserve">Aboriginal and Torres Strait Islander people still experience blindness and vision loss at three times the rate of other Australians and wait significantly longer for common sight saving treatments. A coordinated range of actions is required to fix this, and give all Aboriginal and Torres Strait Islander </w:t>
      </w:r>
      <w:r w:rsidR="000B4F01">
        <w:t>P</w:t>
      </w:r>
      <w:r>
        <w:t>eople</w:t>
      </w:r>
      <w:r w:rsidR="000B4F01">
        <w:t>s</w:t>
      </w:r>
      <w:r>
        <w:t xml:space="preserve"> the sight they deserve. </w:t>
      </w:r>
      <w:r>
        <w:rPr>
          <w:i/>
        </w:rPr>
        <w:t xml:space="preserve"> </w:t>
      </w:r>
    </w:p>
    <w:p w14:paraId="284390CD" w14:textId="3501D4AB" w:rsidR="006C2FF4" w:rsidRDefault="006C2FF4" w:rsidP="00F54BDA">
      <w:pPr>
        <w:pStyle w:val="BodyText"/>
      </w:pPr>
      <w:r>
        <w:rPr>
          <w:i/>
        </w:rPr>
        <w:t xml:space="preserve">Strong Eyes, Strong Communities – a </w:t>
      </w:r>
      <w:r w:rsidR="00C06254">
        <w:rPr>
          <w:i/>
        </w:rPr>
        <w:t>five-year</w:t>
      </w:r>
      <w:r>
        <w:rPr>
          <w:i/>
        </w:rPr>
        <w:t xml:space="preserve"> plan for Aboriginal and Torres Strait Islander Eye Health and Vision 2019-2024 </w:t>
      </w:r>
      <w:r>
        <w:t xml:space="preserve">describes how this can be achieved. </w:t>
      </w:r>
    </w:p>
    <w:p w14:paraId="4316C816" w14:textId="77777777" w:rsidR="006C2FF4" w:rsidRDefault="006C2FF4" w:rsidP="00F54BDA">
      <w:pPr>
        <w:pStyle w:val="BodyText"/>
      </w:pPr>
      <w:r>
        <w:t>It is a plan that will help achieve the Morrison Government’s commitment to end avoidable blindness in Aboriginal and Torres Strait Islander communities by 2025</w:t>
      </w:r>
      <w:r w:rsidR="00C37BB3">
        <w:t>.</w:t>
      </w:r>
      <w:r>
        <w:rPr>
          <w:vertAlign w:val="superscript"/>
        </w:rPr>
        <w:footnoteReference w:id="4"/>
      </w:r>
      <w:r>
        <w:t xml:space="preserve"> Critically, the plan’s actions and approach also align strongly to the principles and directions set out in the </w:t>
      </w:r>
      <w:r>
        <w:rPr>
          <w:i/>
        </w:rPr>
        <w:t>National Partnership Agreement on Closing the Gap 2020</w:t>
      </w:r>
      <w:r>
        <w:t xml:space="preserve">. </w:t>
      </w:r>
    </w:p>
    <w:p w14:paraId="5C06D5FF" w14:textId="6775D40B" w:rsidR="006C2FF4" w:rsidRDefault="006C2FF4" w:rsidP="00F54BDA">
      <w:pPr>
        <w:pStyle w:val="BodyText"/>
      </w:pPr>
      <w:r>
        <w:t xml:space="preserve">Overall, </w:t>
      </w:r>
      <w:r>
        <w:rPr>
          <w:i/>
        </w:rPr>
        <w:t>Strong Eyes, Strong Communities</w:t>
      </w:r>
      <w:r>
        <w:t xml:space="preserve"> calls for investment of $85.5 million over 5 years to achieve this critical goal</w:t>
      </w:r>
      <w:r w:rsidR="00AE5A9A">
        <w:t>.</w:t>
      </w:r>
      <w:r>
        <w:rPr>
          <w:vertAlign w:val="superscript"/>
        </w:rPr>
        <w:footnoteReference w:id="5"/>
      </w:r>
      <w:r>
        <w:t xml:space="preserve"> Of this, funding of $3.92 </w:t>
      </w:r>
      <w:r w:rsidR="005B57A6">
        <w:t xml:space="preserve">million </w:t>
      </w:r>
      <w:r>
        <w:t xml:space="preserve">in 2021-22 ($27.81 </w:t>
      </w:r>
      <w:r w:rsidR="005B57A6">
        <w:t xml:space="preserve">million </w:t>
      </w:r>
      <w:r>
        <w:t>over 4 years) is being sought in the 2021-22 Federal Budget to enhance local eye care delivery and support in Aboriginal Community</w:t>
      </w:r>
      <w:r w:rsidR="005B57A6">
        <w:t>-</w:t>
      </w:r>
      <w:r>
        <w:t>Controlled Health Organisations</w:t>
      </w:r>
      <w:r w:rsidR="006522F7">
        <w:t xml:space="preserve"> (ACCHOs)</w:t>
      </w:r>
      <w:r>
        <w:t xml:space="preserve">. </w:t>
      </w:r>
    </w:p>
    <w:p w14:paraId="0D4C87F5" w14:textId="77777777" w:rsidR="006C2FF4" w:rsidRDefault="006C2FF4" w:rsidP="00F54BDA">
      <w:pPr>
        <w:pStyle w:val="BodyText"/>
      </w:pPr>
      <w:r>
        <w:t>This investment will not only enhance local health capacity and outcomes, but will also provide local employment opportunities in community</w:t>
      </w:r>
      <w:r w:rsidR="00886A38">
        <w:t>-</w:t>
      </w:r>
      <w:r>
        <w:t xml:space="preserve">controlled health organisations. </w:t>
      </w:r>
    </w:p>
    <w:p w14:paraId="4C088032" w14:textId="77777777" w:rsidR="006C2FF4" w:rsidRDefault="006C2FF4" w:rsidP="00A56C43">
      <w:pPr>
        <w:pStyle w:val="Heading3"/>
      </w:pPr>
      <w:r>
        <w:t>Priorities for 2021-22 budget investment</w:t>
      </w:r>
    </w:p>
    <w:p w14:paraId="7D2ACEDC" w14:textId="77777777" w:rsidR="006C2FF4" w:rsidRDefault="006C2FF4" w:rsidP="006C2FF4">
      <w:pPr>
        <w:spacing w:before="120" w:after="120" w:line="264" w:lineRule="auto"/>
        <w:rPr>
          <w:b/>
          <w:sz w:val="22"/>
        </w:rPr>
      </w:pPr>
      <w:r>
        <w:rPr>
          <w:b/>
          <w:sz w:val="22"/>
        </w:rPr>
        <w:t>Local case management and support</w:t>
      </w:r>
    </w:p>
    <w:p w14:paraId="6E4EBFCF" w14:textId="77777777" w:rsidR="006C2FF4" w:rsidRDefault="006C2FF4" w:rsidP="00F54BDA">
      <w:pPr>
        <w:pStyle w:val="BodyText"/>
      </w:pPr>
      <w:r>
        <w:t xml:space="preserve">Many organisations and individual health workers consulted during development of </w:t>
      </w:r>
      <w:r>
        <w:rPr>
          <w:i/>
        </w:rPr>
        <w:t xml:space="preserve">Strong Eyes, Strong Communities </w:t>
      </w:r>
      <w:r>
        <w:t xml:space="preserve">identified the absence of local support workers as a barrier to maximising system efficiency and keeping Aboriginal and Torres Strait Islander people engaged in eye care from diagnosis through to treatment. </w:t>
      </w:r>
    </w:p>
    <w:p w14:paraId="5E216BFF" w14:textId="21E88B33" w:rsidR="006C2FF4" w:rsidRDefault="00EA1127" w:rsidP="00F54BDA">
      <w:pPr>
        <w:pStyle w:val="BodyText"/>
      </w:pPr>
      <w:r>
        <w:t xml:space="preserve">Establishing local case management and support roles in ACCHOs will build local knowledge of eye health and vision and help integrate this into broader health care, helping ensure that at risk community members are identified. These </w:t>
      </w:r>
      <w:r w:rsidR="005B57A6">
        <w:t xml:space="preserve">important </w:t>
      </w:r>
      <w:r>
        <w:t xml:space="preserve">roles will </w:t>
      </w:r>
      <w:r w:rsidR="00C06254">
        <w:t>also facilitate</w:t>
      </w:r>
      <w:r>
        <w:t xml:space="preserve"> access to services where local eye care provision is not available, including supporting the uptake of service innovations such as telehealth over the longer term. </w:t>
      </w:r>
    </w:p>
    <w:p w14:paraId="433902F5" w14:textId="4BDA14E4" w:rsidR="006C2FF4" w:rsidRDefault="00EA1127" w:rsidP="00F54BDA">
      <w:pPr>
        <w:pStyle w:val="BodyText"/>
      </w:pPr>
      <w:r>
        <w:t>Current modelling suggests that up to 68</w:t>
      </w:r>
      <w:r w:rsidR="005B57A6">
        <w:t xml:space="preserve"> full time equivalent </w:t>
      </w:r>
      <w:r w:rsidR="006522F7">
        <w:t xml:space="preserve">staff </w:t>
      </w:r>
      <w:r w:rsidR="005B57A6">
        <w:t>(</w:t>
      </w:r>
      <w:r>
        <w:t>FTE</w:t>
      </w:r>
      <w:r w:rsidR="005B57A6">
        <w:t>)</w:t>
      </w:r>
      <w:r>
        <w:t xml:space="preserve"> are required to meet the population need, with these rolled out across Australia in a phased process. B</w:t>
      </w:r>
      <w:r w:rsidR="006C2FF4">
        <w:t xml:space="preserve">ased in community-controlled health organisations, </w:t>
      </w:r>
      <w:r>
        <w:t xml:space="preserve">these roles will both </w:t>
      </w:r>
      <w:r w:rsidR="006C2FF4">
        <w:t>drive stronger connections to local services</w:t>
      </w:r>
      <w:r>
        <w:t xml:space="preserve"> and</w:t>
      </w:r>
      <w:r w:rsidR="006C2FF4">
        <w:t xml:space="preserve"> increase the overall effectiveness of outreach and other visiting eye care services. </w:t>
      </w:r>
    </w:p>
    <w:p w14:paraId="7D334B5D" w14:textId="77777777" w:rsidR="006C2FF4" w:rsidRDefault="006C2FF4" w:rsidP="00F54BDA">
      <w:pPr>
        <w:pStyle w:val="BodyText"/>
      </w:pPr>
      <w:r>
        <w:t xml:space="preserve">Funding of $20.12 million over 4 years ($5.93M recurrently) is required to roll these out. </w:t>
      </w:r>
    </w:p>
    <w:p w14:paraId="33DF313D" w14:textId="77777777" w:rsidR="006C2FF4" w:rsidRDefault="006C2FF4" w:rsidP="006C2FF4">
      <w:pPr>
        <w:spacing w:before="120" w:after="120" w:line="264" w:lineRule="auto"/>
        <w:rPr>
          <w:b/>
          <w:sz w:val="22"/>
        </w:rPr>
      </w:pPr>
      <w:r>
        <w:rPr>
          <w:b/>
          <w:sz w:val="22"/>
        </w:rPr>
        <w:t xml:space="preserve">More ACCHO led eye care models and staff training </w:t>
      </w:r>
    </w:p>
    <w:p w14:paraId="1470ADC8" w14:textId="77777777" w:rsidR="006C2FF4" w:rsidRDefault="006C2FF4" w:rsidP="00F54BDA">
      <w:pPr>
        <w:pStyle w:val="BodyText"/>
      </w:pPr>
      <w:r>
        <w:t>The National Agreement on Closing the Gap 2020 recognises that “when Aboriginal and Torres Strait Islander people have a genuine say in the design and delivery of services that affect them, better life outcomes are achieved” and commits to shared decision making.</w:t>
      </w:r>
    </w:p>
    <w:p w14:paraId="41C7831C" w14:textId="77777777" w:rsidR="006C2FF4" w:rsidRDefault="006C2FF4" w:rsidP="00F54BDA">
      <w:pPr>
        <w:pStyle w:val="BodyText"/>
      </w:pPr>
      <w:r>
        <w:t xml:space="preserve">This commitment to increased community leadership and ownership is reflected in </w:t>
      </w:r>
      <w:r w:rsidRPr="00CC2714">
        <w:rPr>
          <w:i/>
        </w:rPr>
        <w:t>Strong Eyes, Strong Communities</w:t>
      </w:r>
      <w:r>
        <w:t xml:space="preserve">, which emphasises that community led models of eye care, and building the eye health knowledge of ACCHO workforces, are essential to achieving effective and sustainable improvements in the eye health and vision of communities across the nation. </w:t>
      </w:r>
    </w:p>
    <w:p w14:paraId="1DFD9E85" w14:textId="1328141A" w:rsidR="006C2FF4" w:rsidRDefault="006C2FF4" w:rsidP="00F54BDA">
      <w:pPr>
        <w:pStyle w:val="BodyText"/>
      </w:pPr>
      <w:r>
        <w:t xml:space="preserve">To address this, funding is sought in </w:t>
      </w:r>
      <w:r w:rsidR="00D373D1">
        <w:t>2021-22</w:t>
      </w:r>
      <w:r w:rsidR="00094707">
        <w:t xml:space="preserve"> </w:t>
      </w:r>
      <w:r>
        <w:t xml:space="preserve">to: </w:t>
      </w:r>
    </w:p>
    <w:p w14:paraId="25B70386" w14:textId="52AB15FF" w:rsidR="006C2FF4" w:rsidRDefault="006C2FF4" w:rsidP="00455158">
      <w:pPr>
        <w:pStyle w:val="BodyText"/>
        <w:numPr>
          <w:ilvl w:val="0"/>
          <w:numId w:val="18"/>
        </w:numPr>
      </w:pPr>
      <w:r>
        <w:t xml:space="preserve">Fund eye health training for staff in each ACCHO across Australia, to enhance their knowledge of common conditions and both </w:t>
      </w:r>
      <w:r w:rsidR="00284F6E">
        <w:t xml:space="preserve">the </w:t>
      </w:r>
      <w:r>
        <w:t>risk factors and treatment pathways for these.</w:t>
      </w:r>
    </w:p>
    <w:p w14:paraId="790EEFC9" w14:textId="609A14AA" w:rsidR="006C2FF4" w:rsidRDefault="006C2FF4" w:rsidP="00455158">
      <w:pPr>
        <w:pStyle w:val="BodyText"/>
        <w:numPr>
          <w:ilvl w:val="0"/>
          <w:numId w:val="18"/>
        </w:numPr>
      </w:pPr>
      <w:r>
        <w:t>Develop and implement three locally designed and ACCHO led models of eye health care to continue to improve practice and provide an evidence base for what works.</w:t>
      </w:r>
    </w:p>
    <w:p w14:paraId="4D11F67E" w14:textId="77777777" w:rsidR="006C2FF4" w:rsidRPr="00724060" w:rsidRDefault="006C2FF4" w:rsidP="00F54BDA">
      <w:pPr>
        <w:pStyle w:val="BodyText"/>
      </w:pPr>
      <w:r>
        <w:t xml:space="preserve">This will support earlier identification of people at risk of vision loss and provide more local, ongoing support for people who are being monitored or treated for those conditions. Importantly, it will also support the embedding of eye health into broader models of primary care, supporting </w:t>
      </w:r>
      <w:r w:rsidRPr="00724060">
        <w:t xml:space="preserve">integration at a local level. </w:t>
      </w:r>
    </w:p>
    <w:p w14:paraId="452A1F02" w14:textId="7408C15A" w:rsidR="006C2FF4" w:rsidRDefault="006C2FF4" w:rsidP="00F54BDA">
      <w:pPr>
        <w:pStyle w:val="BodyText"/>
      </w:pPr>
      <w:r w:rsidRPr="00724060">
        <w:t>Funding of $</w:t>
      </w:r>
      <w:r w:rsidR="002D29D2" w:rsidRPr="00724060">
        <w:t>2</w:t>
      </w:r>
      <w:r w:rsidRPr="00724060">
        <w:t>7.</w:t>
      </w:r>
      <w:r w:rsidR="00724060" w:rsidRPr="00724060">
        <w:t>81</w:t>
      </w:r>
      <w:r w:rsidR="00C46C60">
        <w:t xml:space="preserve"> </w:t>
      </w:r>
      <w:r w:rsidRPr="00724060">
        <w:t>million over 4 years is required to roll these out</w:t>
      </w:r>
      <w:r w:rsidR="00334590" w:rsidRPr="00724060">
        <w:t>, with $</w:t>
      </w:r>
      <w:r w:rsidR="002072CB" w:rsidRPr="00724060">
        <w:t>5.93</w:t>
      </w:r>
      <w:r w:rsidR="00C06254" w:rsidRPr="00724060">
        <w:t xml:space="preserve"> </w:t>
      </w:r>
      <w:r w:rsidR="00334590" w:rsidRPr="00724060">
        <w:t>million recurrently required to sustain the local coordination</w:t>
      </w:r>
      <w:r w:rsidR="00334590">
        <w:t xml:space="preserve"> and case management function. </w:t>
      </w:r>
    </w:p>
    <w:p w14:paraId="7BF46464" w14:textId="77777777" w:rsidR="006C2FF4" w:rsidRDefault="006C2FF4" w:rsidP="006C2FF4">
      <w:pPr>
        <w:keepNext/>
        <w:keepLines/>
        <w:spacing w:before="240" w:after="120"/>
        <w:rPr>
          <w:b/>
          <w:color w:val="004B8D"/>
        </w:rPr>
      </w:pPr>
      <w:r>
        <w:rPr>
          <w:b/>
          <w:color w:val="004B8D"/>
        </w:rPr>
        <w:t>Budget</w:t>
      </w:r>
    </w:p>
    <w:tbl>
      <w:tblPr>
        <w:tblW w:w="5000" w:type="pct"/>
        <w:tblLook w:val="0400" w:firstRow="0" w:lastRow="0" w:firstColumn="0" w:lastColumn="0" w:noHBand="0" w:noVBand="1"/>
      </w:tblPr>
      <w:tblGrid>
        <w:gridCol w:w="2409"/>
        <w:gridCol w:w="1445"/>
        <w:gridCol w:w="1286"/>
        <w:gridCol w:w="1286"/>
        <w:gridCol w:w="1286"/>
        <w:gridCol w:w="1926"/>
      </w:tblGrid>
      <w:tr w:rsidR="00A249DC" w:rsidRPr="00271CE8" w14:paraId="2FBD7E23" w14:textId="77777777" w:rsidTr="00A249DC">
        <w:trPr>
          <w:trHeight w:val="480"/>
        </w:trPr>
        <w:tc>
          <w:tcPr>
            <w:tcW w:w="1250" w:type="pct"/>
            <w:shd w:val="clear" w:color="auto" w:fill="000000"/>
            <w:vAlign w:val="bottom"/>
          </w:tcPr>
          <w:p w14:paraId="69BC5A45" w14:textId="77777777" w:rsidR="00A249DC" w:rsidRPr="00271CE8" w:rsidRDefault="00A249DC" w:rsidP="00271CE8">
            <w:pPr>
              <w:rPr>
                <w:color w:val="000000"/>
                <w:sz w:val="22"/>
              </w:rPr>
            </w:pPr>
            <w:r w:rsidRPr="00271CE8">
              <w:rPr>
                <w:color w:val="000000"/>
                <w:sz w:val="22"/>
              </w:rPr>
              <w:t> </w:t>
            </w:r>
          </w:p>
        </w:tc>
        <w:tc>
          <w:tcPr>
            <w:tcW w:w="750" w:type="pct"/>
            <w:shd w:val="clear" w:color="auto" w:fill="000000"/>
            <w:vAlign w:val="bottom"/>
          </w:tcPr>
          <w:p w14:paraId="79DFF256" w14:textId="77777777" w:rsidR="00A249DC" w:rsidRDefault="00A249DC" w:rsidP="006136F9">
            <w:pPr>
              <w:jc w:val="center"/>
              <w:rPr>
                <w:color w:val="FFFFFF"/>
                <w:sz w:val="22"/>
              </w:rPr>
            </w:pPr>
            <w:r w:rsidRPr="00271CE8">
              <w:rPr>
                <w:color w:val="FFFFFF"/>
                <w:sz w:val="22"/>
              </w:rPr>
              <w:t>2021-22</w:t>
            </w:r>
          </w:p>
          <w:p w14:paraId="1F60D550" w14:textId="77777777" w:rsidR="00A249DC" w:rsidRPr="00271CE8" w:rsidRDefault="00A249DC" w:rsidP="006136F9">
            <w:pPr>
              <w:jc w:val="center"/>
              <w:rPr>
                <w:color w:val="FFFFFF"/>
                <w:sz w:val="22"/>
              </w:rPr>
            </w:pPr>
            <w:r w:rsidRPr="00615241">
              <w:rPr>
                <w:rFonts w:eastAsia="Times New Roman" w:cs="Arial"/>
                <w:color w:val="FFFFFF"/>
                <w:sz w:val="22"/>
                <w:lang w:val="en-US"/>
              </w:rPr>
              <w:t>($, m)</w:t>
            </w:r>
          </w:p>
        </w:tc>
        <w:tc>
          <w:tcPr>
            <w:tcW w:w="667" w:type="pct"/>
            <w:shd w:val="clear" w:color="auto" w:fill="000000"/>
            <w:vAlign w:val="bottom"/>
          </w:tcPr>
          <w:p w14:paraId="60E43281" w14:textId="77777777" w:rsidR="00A249DC" w:rsidRDefault="00A249DC" w:rsidP="006136F9">
            <w:pPr>
              <w:jc w:val="center"/>
              <w:rPr>
                <w:color w:val="FFFFFF"/>
                <w:sz w:val="22"/>
              </w:rPr>
            </w:pPr>
            <w:r w:rsidRPr="00271CE8">
              <w:rPr>
                <w:color w:val="FFFFFF"/>
                <w:sz w:val="22"/>
              </w:rPr>
              <w:t>2022-23</w:t>
            </w:r>
          </w:p>
          <w:p w14:paraId="2D7273E7" w14:textId="77777777" w:rsidR="00A249DC" w:rsidRPr="00271CE8" w:rsidRDefault="00A249DC" w:rsidP="006136F9">
            <w:pPr>
              <w:jc w:val="center"/>
              <w:rPr>
                <w:color w:val="FFFFFF"/>
                <w:sz w:val="22"/>
              </w:rPr>
            </w:pPr>
            <w:r w:rsidRPr="00615241">
              <w:rPr>
                <w:rFonts w:eastAsia="Times New Roman" w:cs="Arial"/>
                <w:color w:val="FFFFFF"/>
                <w:sz w:val="22"/>
                <w:lang w:val="en-US"/>
              </w:rPr>
              <w:t>($, m)</w:t>
            </w:r>
          </w:p>
        </w:tc>
        <w:tc>
          <w:tcPr>
            <w:tcW w:w="667" w:type="pct"/>
            <w:shd w:val="clear" w:color="auto" w:fill="000000"/>
            <w:vAlign w:val="bottom"/>
          </w:tcPr>
          <w:p w14:paraId="1AD5341F" w14:textId="77777777" w:rsidR="00A249DC" w:rsidRDefault="00A249DC" w:rsidP="006136F9">
            <w:pPr>
              <w:jc w:val="center"/>
              <w:rPr>
                <w:color w:val="FFFFFF"/>
                <w:sz w:val="22"/>
              </w:rPr>
            </w:pPr>
            <w:r w:rsidRPr="00271CE8">
              <w:rPr>
                <w:color w:val="FFFFFF"/>
                <w:sz w:val="22"/>
              </w:rPr>
              <w:t>2023-24</w:t>
            </w:r>
          </w:p>
          <w:p w14:paraId="003D3C84" w14:textId="77777777" w:rsidR="00A249DC" w:rsidRPr="00271CE8" w:rsidRDefault="00A249DC" w:rsidP="006136F9">
            <w:pPr>
              <w:jc w:val="center"/>
              <w:rPr>
                <w:color w:val="FFFFFF"/>
                <w:sz w:val="22"/>
              </w:rPr>
            </w:pPr>
            <w:r w:rsidRPr="00615241">
              <w:rPr>
                <w:rFonts w:eastAsia="Times New Roman" w:cs="Arial"/>
                <w:color w:val="FFFFFF"/>
                <w:sz w:val="22"/>
                <w:lang w:val="en-US"/>
              </w:rPr>
              <w:t>($, m)</w:t>
            </w:r>
          </w:p>
        </w:tc>
        <w:tc>
          <w:tcPr>
            <w:tcW w:w="667" w:type="pct"/>
            <w:shd w:val="clear" w:color="auto" w:fill="000000"/>
            <w:vAlign w:val="bottom"/>
          </w:tcPr>
          <w:p w14:paraId="484750B8" w14:textId="77777777" w:rsidR="00A249DC" w:rsidRDefault="00A249DC" w:rsidP="006136F9">
            <w:pPr>
              <w:jc w:val="center"/>
              <w:rPr>
                <w:color w:val="FFFFFF"/>
                <w:sz w:val="22"/>
              </w:rPr>
            </w:pPr>
            <w:r w:rsidRPr="00271CE8">
              <w:rPr>
                <w:color w:val="FFFFFF"/>
                <w:sz w:val="22"/>
              </w:rPr>
              <w:t>2024-25</w:t>
            </w:r>
          </w:p>
          <w:p w14:paraId="72F08898" w14:textId="77777777" w:rsidR="00A249DC" w:rsidRPr="00271CE8" w:rsidRDefault="00A249DC" w:rsidP="006136F9">
            <w:pPr>
              <w:jc w:val="center"/>
              <w:rPr>
                <w:color w:val="FFFFFF"/>
                <w:sz w:val="22"/>
              </w:rPr>
            </w:pPr>
            <w:r w:rsidRPr="00615241">
              <w:rPr>
                <w:rFonts w:eastAsia="Times New Roman" w:cs="Arial"/>
                <w:color w:val="FFFFFF"/>
                <w:sz w:val="22"/>
                <w:lang w:val="en-US"/>
              </w:rPr>
              <w:t>($, m)</w:t>
            </w:r>
          </w:p>
        </w:tc>
        <w:tc>
          <w:tcPr>
            <w:tcW w:w="1000" w:type="pct"/>
            <w:tcBorders>
              <w:top w:val="single" w:sz="8" w:space="0" w:color="000000"/>
              <w:left w:val="single" w:sz="4" w:space="0" w:color="000000"/>
              <w:bottom w:val="nil"/>
              <w:right w:val="nil"/>
            </w:tcBorders>
            <w:shd w:val="clear" w:color="auto" w:fill="000000"/>
            <w:vAlign w:val="bottom"/>
          </w:tcPr>
          <w:p w14:paraId="10B53113" w14:textId="77777777" w:rsidR="00A249DC" w:rsidRDefault="00A249DC" w:rsidP="006136F9">
            <w:pPr>
              <w:jc w:val="center"/>
              <w:rPr>
                <w:color w:val="FFFFFF"/>
                <w:sz w:val="22"/>
              </w:rPr>
            </w:pPr>
            <w:r w:rsidRPr="00C90F69">
              <w:rPr>
                <w:color w:val="FFFFFF"/>
                <w:sz w:val="22"/>
              </w:rPr>
              <w:t>Total over</w:t>
            </w:r>
            <w:r>
              <w:rPr>
                <w:color w:val="FFFFFF"/>
                <w:sz w:val="22"/>
              </w:rPr>
              <w:t xml:space="preserve"> </w:t>
            </w:r>
            <w:r w:rsidRPr="00C90F69">
              <w:rPr>
                <w:color w:val="FFFFFF"/>
                <w:sz w:val="22"/>
              </w:rPr>
              <w:t>4yrs</w:t>
            </w:r>
          </w:p>
          <w:p w14:paraId="12285124" w14:textId="77777777" w:rsidR="00A249DC" w:rsidRPr="00271CE8" w:rsidRDefault="00A249DC" w:rsidP="006136F9">
            <w:pPr>
              <w:jc w:val="center"/>
              <w:rPr>
                <w:b/>
                <w:color w:val="FFFFFF"/>
                <w:sz w:val="22"/>
              </w:rPr>
            </w:pPr>
            <w:r w:rsidRPr="00615241">
              <w:rPr>
                <w:rFonts w:eastAsia="Times New Roman" w:cs="Arial"/>
                <w:color w:val="FFFFFF"/>
                <w:sz w:val="22"/>
                <w:lang w:val="en-US"/>
              </w:rPr>
              <w:t>($, m)</w:t>
            </w:r>
          </w:p>
        </w:tc>
      </w:tr>
      <w:tr w:rsidR="00A249DC" w:rsidRPr="00271CE8" w14:paraId="7D141119" w14:textId="77777777" w:rsidTr="00A249DC">
        <w:trPr>
          <w:trHeight w:val="290"/>
        </w:trPr>
        <w:tc>
          <w:tcPr>
            <w:tcW w:w="1250"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39CD710" w14:textId="77777777" w:rsidR="00A249DC" w:rsidRPr="00271CE8" w:rsidRDefault="00A249DC" w:rsidP="00DC259C">
            <w:pPr>
              <w:pStyle w:val="BodyText"/>
              <w:spacing w:before="0" w:after="0"/>
            </w:pPr>
            <w:r w:rsidRPr="00271CE8">
              <w:t>Local coordination &amp; case mx</w:t>
            </w:r>
          </w:p>
        </w:tc>
        <w:tc>
          <w:tcPr>
            <w:tcW w:w="750" w:type="pct"/>
            <w:tcBorders>
              <w:top w:val="single" w:sz="4" w:space="0" w:color="000000"/>
              <w:left w:val="nil"/>
              <w:bottom w:val="single" w:sz="4" w:space="0" w:color="000000"/>
              <w:right w:val="single" w:sz="4" w:space="0" w:color="000000"/>
            </w:tcBorders>
            <w:vAlign w:val="bottom"/>
          </w:tcPr>
          <w:p w14:paraId="02F34C32" w14:textId="77777777" w:rsidR="00A249DC" w:rsidRPr="00271CE8" w:rsidRDefault="00A249DC" w:rsidP="006136F9">
            <w:pPr>
              <w:pStyle w:val="BodyText"/>
              <w:spacing w:before="0" w:after="0"/>
              <w:jc w:val="center"/>
            </w:pPr>
            <w:r w:rsidRPr="00271CE8">
              <w:t>2.755</w:t>
            </w:r>
          </w:p>
        </w:tc>
        <w:tc>
          <w:tcPr>
            <w:tcW w:w="667" w:type="pct"/>
            <w:tcBorders>
              <w:top w:val="single" w:sz="4" w:space="0" w:color="000000"/>
              <w:left w:val="nil"/>
              <w:bottom w:val="single" w:sz="4" w:space="0" w:color="000000"/>
              <w:right w:val="single" w:sz="4" w:space="0" w:color="000000"/>
            </w:tcBorders>
            <w:vAlign w:val="bottom"/>
          </w:tcPr>
          <w:p w14:paraId="4ABEC34D" w14:textId="77777777" w:rsidR="00A249DC" w:rsidRPr="00271CE8" w:rsidRDefault="00A249DC" w:rsidP="006136F9">
            <w:pPr>
              <w:pStyle w:val="BodyText"/>
              <w:spacing w:before="0" w:after="0"/>
              <w:jc w:val="center"/>
            </w:pPr>
            <w:r w:rsidRPr="00271CE8">
              <w:t>5.647</w:t>
            </w:r>
          </w:p>
        </w:tc>
        <w:tc>
          <w:tcPr>
            <w:tcW w:w="667" w:type="pct"/>
            <w:tcBorders>
              <w:top w:val="single" w:sz="4" w:space="0" w:color="000000"/>
              <w:left w:val="nil"/>
              <w:bottom w:val="single" w:sz="4" w:space="0" w:color="000000"/>
              <w:right w:val="single" w:sz="4" w:space="0" w:color="000000"/>
            </w:tcBorders>
            <w:vAlign w:val="bottom"/>
          </w:tcPr>
          <w:p w14:paraId="1357301A" w14:textId="77777777" w:rsidR="00A249DC" w:rsidRPr="00271CE8" w:rsidRDefault="00A249DC" w:rsidP="006136F9">
            <w:pPr>
              <w:pStyle w:val="BodyText"/>
              <w:spacing w:before="0" w:after="0"/>
              <w:jc w:val="center"/>
            </w:pPr>
            <w:r w:rsidRPr="00271CE8">
              <w:t>5.788</w:t>
            </w:r>
          </w:p>
        </w:tc>
        <w:tc>
          <w:tcPr>
            <w:tcW w:w="667" w:type="pct"/>
            <w:tcBorders>
              <w:top w:val="single" w:sz="4" w:space="0" w:color="000000"/>
              <w:left w:val="nil"/>
              <w:bottom w:val="single" w:sz="4" w:space="0" w:color="000000"/>
              <w:right w:val="single" w:sz="4" w:space="0" w:color="000000"/>
            </w:tcBorders>
            <w:vAlign w:val="bottom"/>
          </w:tcPr>
          <w:p w14:paraId="12DD18BC" w14:textId="77777777" w:rsidR="00A249DC" w:rsidRPr="00271CE8" w:rsidRDefault="00A249DC" w:rsidP="006136F9">
            <w:pPr>
              <w:pStyle w:val="BodyText"/>
              <w:spacing w:before="0" w:after="0"/>
              <w:jc w:val="center"/>
            </w:pPr>
            <w:r w:rsidRPr="00271CE8">
              <w:t>5.933</w:t>
            </w:r>
          </w:p>
        </w:tc>
        <w:tc>
          <w:tcPr>
            <w:tcW w:w="1000" w:type="pct"/>
            <w:tcBorders>
              <w:top w:val="single" w:sz="4" w:space="0" w:color="000000"/>
              <w:left w:val="nil"/>
              <w:bottom w:val="single" w:sz="4" w:space="0" w:color="000000"/>
              <w:right w:val="single" w:sz="4" w:space="0" w:color="000000"/>
            </w:tcBorders>
            <w:vAlign w:val="bottom"/>
          </w:tcPr>
          <w:p w14:paraId="470A9C1E" w14:textId="77777777" w:rsidR="00A249DC" w:rsidRPr="00271CE8" w:rsidRDefault="00A249DC" w:rsidP="006136F9">
            <w:pPr>
              <w:pStyle w:val="BodyText"/>
              <w:spacing w:before="0" w:after="0"/>
              <w:jc w:val="center"/>
              <w:rPr>
                <w:b/>
              </w:rPr>
            </w:pPr>
            <w:r w:rsidRPr="00271CE8">
              <w:rPr>
                <w:b/>
              </w:rPr>
              <w:t>20.123</w:t>
            </w:r>
          </w:p>
        </w:tc>
      </w:tr>
      <w:tr w:rsidR="00A249DC" w:rsidRPr="00271CE8" w14:paraId="170B9B22" w14:textId="77777777" w:rsidTr="00A249DC">
        <w:trPr>
          <w:trHeight w:val="290"/>
        </w:trPr>
        <w:tc>
          <w:tcPr>
            <w:tcW w:w="1250" w:type="pct"/>
            <w:tcBorders>
              <w:top w:val="nil"/>
              <w:left w:val="single" w:sz="4" w:space="0" w:color="000000"/>
              <w:bottom w:val="single" w:sz="4" w:space="0" w:color="000000"/>
              <w:right w:val="single" w:sz="4" w:space="0" w:color="000000"/>
            </w:tcBorders>
            <w:vAlign w:val="bottom"/>
          </w:tcPr>
          <w:p w14:paraId="05E0E2FF" w14:textId="77777777" w:rsidR="00A249DC" w:rsidRPr="00271CE8" w:rsidRDefault="00A249DC" w:rsidP="00DC259C">
            <w:pPr>
              <w:pStyle w:val="BodyText"/>
              <w:spacing w:before="0" w:after="0"/>
            </w:pPr>
            <w:r w:rsidRPr="00271CE8">
              <w:t>Enhanced local ACCHO eye care models &amp; staff training</w:t>
            </w:r>
          </w:p>
        </w:tc>
        <w:tc>
          <w:tcPr>
            <w:tcW w:w="750" w:type="pct"/>
            <w:tcBorders>
              <w:top w:val="nil"/>
              <w:left w:val="nil"/>
              <w:bottom w:val="single" w:sz="4" w:space="0" w:color="000000"/>
              <w:right w:val="single" w:sz="4" w:space="0" w:color="000000"/>
            </w:tcBorders>
            <w:vAlign w:val="bottom"/>
          </w:tcPr>
          <w:p w14:paraId="1F710E4E" w14:textId="77777777" w:rsidR="00A249DC" w:rsidRPr="00271CE8" w:rsidRDefault="00A249DC" w:rsidP="006136F9">
            <w:pPr>
              <w:pStyle w:val="BodyText"/>
              <w:spacing w:before="0" w:after="0"/>
              <w:jc w:val="center"/>
            </w:pPr>
            <w:r w:rsidRPr="00271CE8">
              <w:t>1.168</w:t>
            </w:r>
          </w:p>
        </w:tc>
        <w:tc>
          <w:tcPr>
            <w:tcW w:w="667" w:type="pct"/>
            <w:tcBorders>
              <w:top w:val="nil"/>
              <w:left w:val="nil"/>
              <w:bottom w:val="single" w:sz="4" w:space="0" w:color="000000"/>
              <w:right w:val="single" w:sz="4" w:space="0" w:color="000000"/>
            </w:tcBorders>
            <w:vAlign w:val="bottom"/>
          </w:tcPr>
          <w:p w14:paraId="4F3E8C9E" w14:textId="77777777" w:rsidR="00A249DC" w:rsidRPr="00271CE8" w:rsidRDefault="00A249DC" w:rsidP="006136F9">
            <w:pPr>
              <w:pStyle w:val="BodyText"/>
              <w:spacing w:before="0" w:after="0"/>
              <w:jc w:val="center"/>
            </w:pPr>
            <w:r w:rsidRPr="00271CE8">
              <w:t>2.106</w:t>
            </w:r>
          </w:p>
        </w:tc>
        <w:tc>
          <w:tcPr>
            <w:tcW w:w="667" w:type="pct"/>
            <w:tcBorders>
              <w:top w:val="nil"/>
              <w:left w:val="nil"/>
              <w:bottom w:val="single" w:sz="4" w:space="0" w:color="000000"/>
              <w:right w:val="single" w:sz="4" w:space="0" w:color="000000"/>
            </w:tcBorders>
            <w:vAlign w:val="bottom"/>
          </w:tcPr>
          <w:p w14:paraId="2DA571C6" w14:textId="77777777" w:rsidR="00A249DC" w:rsidRPr="00271CE8" w:rsidRDefault="00A249DC" w:rsidP="006136F9">
            <w:pPr>
              <w:pStyle w:val="BodyText"/>
              <w:spacing w:before="0" w:after="0"/>
              <w:jc w:val="center"/>
            </w:pPr>
            <w:r w:rsidRPr="00271CE8">
              <w:t>2.228</w:t>
            </w:r>
          </w:p>
        </w:tc>
        <w:tc>
          <w:tcPr>
            <w:tcW w:w="667" w:type="pct"/>
            <w:tcBorders>
              <w:top w:val="nil"/>
              <w:left w:val="nil"/>
              <w:bottom w:val="single" w:sz="4" w:space="0" w:color="000000"/>
              <w:right w:val="single" w:sz="4" w:space="0" w:color="000000"/>
            </w:tcBorders>
            <w:vAlign w:val="bottom"/>
          </w:tcPr>
          <w:p w14:paraId="3F0A93BE" w14:textId="77777777" w:rsidR="00A249DC" w:rsidRPr="00271CE8" w:rsidRDefault="00A249DC" w:rsidP="006136F9">
            <w:pPr>
              <w:pStyle w:val="BodyText"/>
              <w:spacing w:before="0" w:after="0"/>
              <w:jc w:val="center"/>
            </w:pPr>
            <w:r w:rsidRPr="00271CE8">
              <w:t>2.181</w:t>
            </w:r>
          </w:p>
        </w:tc>
        <w:tc>
          <w:tcPr>
            <w:tcW w:w="1000" w:type="pct"/>
            <w:tcBorders>
              <w:top w:val="nil"/>
              <w:left w:val="nil"/>
              <w:bottom w:val="single" w:sz="4" w:space="0" w:color="000000"/>
              <w:right w:val="single" w:sz="4" w:space="0" w:color="000000"/>
            </w:tcBorders>
            <w:vAlign w:val="bottom"/>
          </w:tcPr>
          <w:p w14:paraId="13D2BF8F" w14:textId="77777777" w:rsidR="00A249DC" w:rsidRPr="00271CE8" w:rsidRDefault="00A249DC" w:rsidP="006136F9">
            <w:pPr>
              <w:pStyle w:val="BodyText"/>
              <w:spacing w:before="0" w:after="0"/>
              <w:jc w:val="center"/>
              <w:rPr>
                <w:b/>
              </w:rPr>
            </w:pPr>
            <w:r w:rsidRPr="00271CE8">
              <w:rPr>
                <w:b/>
              </w:rPr>
              <w:t>7.683</w:t>
            </w:r>
          </w:p>
        </w:tc>
      </w:tr>
      <w:tr w:rsidR="00A249DC" w:rsidRPr="00271CE8" w14:paraId="2B5A2CD5" w14:textId="77777777" w:rsidTr="00A249DC">
        <w:trPr>
          <w:trHeight w:val="290"/>
        </w:trPr>
        <w:tc>
          <w:tcPr>
            <w:tcW w:w="1250" w:type="pct"/>
            <w:tcBorders>
              <w:top w:val="nil"/>
              <w:left w:val="single" w:sz="4" w:space="0" w:color="000000"/>
              <w:bottom w:val="single" w:sz="4" w:space="0" w:color="000000"/>
              <w:right w:val="single" w:sz="4" w:space="0" w:color="000000"/>
            </w:tcBorders>
            <w:vAlign w:val="bottom"/>
          </w:tcPr>
          <w:p w14:paraId="334B1416" w14:textId="77777777" w:rsidR="00A249DC" w:rsidRPr="00271CE8" w:rsidRDefault="00A249DC" w:rsidP="00DC259C">
            <w:pPr>
              <w:pStyle w:val="BodyText"/>
              <w:spacing w:before="0" w:after="0"/>
              <w:rPr>
                <w:b/>
                <w:i/>
              </w:rPr>
            </w:pPr>
            <w:r w:rsidRPr="00271CE8">
              <w:rPr>
                <w:b/>
                <w:i/>
              </w:rPr>
              <w:t>Total</w:t>
            </w:r>
            <w:r w:rsidR="006136F9">
              <w:rPr>
                <w:b/>
                <w:i/>
              </w:rPr>
              <w:t>s</w:t>
            </w:r>
          </w:p>
        </w:tc>
        <w:tc>
          <w:tcPr>
            <w:tcW w:w="750" w:type="pct"/>
            <w:tcBorders>
              <w:top w:val="nil"/>
              <w:left w:val="nil"/>
              <w:bottom w:val="single" w:sz="4" w:space="0" w:color="000000"/>
              <w:right w:val="single" w:sz="4" w:space="0" w:color="000000"/>
            </w:tcBorders>
            <w:vAlign w:val="bottom"/>
          </w:tcPr>
          <w:p w14:paraId="624E5453" w14:textId="77777777" w:rsidR="00A249DC" w:rsidRPr="005D4590" w:rsidRDefault="00A249DC" w:rsidP="006136F9">
            <w:pPr>
              <w:pStyle w:val="BodyText"/>
              <w:spacing w:before="0" w:after="0"/>
              <w:jc w:val="center"/>
              <w:rPr>
                <w:b/>
              </w:rPr>
            </w:pPr>
            <w:r w:rsidRPr="005D4590">
              <w:rPr>
                <w:b/>
              </w:rPr>
              <w:t>3.922</w:t>
            </w:r>
          </w:p>
        </w:tc>
        <w:tc>
          <w:tcPr>
            <w:tcW w:w="667" w:type="pct"/>
            <w:tcBorders>
              <w:top w:val="nil"/>
              <w:left w:val="nil"/>
              <w:bottom w:val="single" w:sz="4" w:space="0" w:color="000000"/>
              <w:right w:val="single" w:sz="4" w:space="0" w:color="000000"/>
            </w:tcBorders>
            <w:vAlign w:val="bottom"/>
          </w:tcPr>
          <w:p w14:paraId="7205E72A" w14:textId="77777777" w:rsidR="00A249DC" w:rsidRPr="005D4590" w:rsidRDefault="00A249DC" w:rsidP="006136F9">
            <w:pPr>
              <w:pStyle w:val="BodyText"/>
              <w:spacing w:before="0" w:after="0"/>
              <w:jc w:val="center"/>
              <w:rPr>
                <w:b/>
              </w:rPr>
            </w:pPr>
            <w:r w:rsidRPr="005D4590">
              <w:rPr>
                <w:b/>
              </w:rPr>
              <w:t>7.753</w:t>
            </w:r>
          </w:p>
        </w:tc>
        <w:tc>
          <w:tcPr>
            <w:tcW w:w="667" w:type="pct"/>
            <w:tcBorders>
              <w:top w:val="nil"/>
              <w:left w:val="nil"/>
              <w:bottom w:val="single" w:sz="4" w:space="0" w:color="000000"/>
              <w:right w:val="single" w:sz="4" w:space="0" w:color="000000"/>
            </w:tcBorders>
            <w:vAlign w:val="bottom"/>
          </w:tcPr>
          <w:p w14:paraId="67822F7D" w14:textId="77777777" w:rsidR="00A249DC" w:rsidRPr="005D4590" w:rsidRDefault="00A249DC" w:rsidP="006136F9">
            <w:pPr>
              <w:pStyle w:val="BodyText"/>
              <w:spacing w:before="0" w:after="0"/>
              <w:jc w:val="center"/>
              <w:rPr>
                <w:b/>
              </w:rPr>
            </w:pPr>
            <w:r w:rsidRPr="005D4590">
              <w:rPr>
                <w:b/>
              </w:rPr>
              <w:t>8.016</w:t>
            </w:r>
          </w:p>
        </w:tc>
        <w:tc>
          <w:tcPr>
            <w:tcW w:w="667" w:type="pct"/>
            <w:tcBorders>
              <w:top w:val="nil"/>
              <w:left w:val="nil"/>
              <w:bottom w:val="single" w:sz="4" w:space="0" w:color="000000"/>
              <w:right w:val="single" w:sz="4" w:space="0" w:color="000000"/>
            </w:tcBorders>
            <w:vAlign w:val="bottom"/>
          </w:tcPr>
          <w:p w14:paraId="0864CAB8" w14:textId="77777777" w:rsidR="00A249DC" w:rsidRPr="005D4590" w:rsidRDefault="00A249DC" w:rsidP="006136F9">
            <w:pPr>
              <w:pStyle w:val="BodyText"/>
              <w:spacing w:before="0" w:after="0"/>
              <w:jc w:val="center"/>
              <w:rPr>
                <w:b/>
              </w:rPr>
            </w:pPr>
            <w:r w:rsidRPr="005D4590">
              <w:rPr>
                <w:b/>
              </w:rPr>
              <w:t>8.114</w:t>
            </w:r>
          </w:p>
        </w:tc>
        <w:tc>
          <w:tcPr>
            <w:tcW w:w="1000" w:type="pct"/>
            <w:tcBorders>
              <w:top w:val="nil"/>
              <w:left w:val="nil"/>
              <w:bottom w:val="single" w:sz="4" w:space="0" w:color="000000"/>
              <w:right w:val="single" w:sz="4" w:space="0" w:color="000000"/>
            </w:tcBorders>
            <w:vAlign w:val="bottom"/>
          </w:tcPr>
          <w:p w14:paraId="1DC1B56F" w14:textId="77777777" w:rsidR="00A249DC" w:rsidRPr="00271CE8" w:rsidRDefault="00A249DC" w:rsidP="006136F9">
            <w:pPr>
              <w:pStyle w:val="BodyText"/>
              <w:spacing w:before="0" w:after="0"/>
              <w:jc w:val="center"/>
              <w:rPr>
                <w:b/>
              </w:rPr>
            </w:pPr>
            <w:r w:rsidRPr="00271CE8">
              <w:rPr>
                <w:b/>
              </w:rPr>
              <w:t>27.806</w:t>
            </w:r>
          </w:p>
        </w:tc>
      </w:tr>
    </w:tbl>
    <w:p w14:paraId="3D76A220" w14:textId="77777777" w:rsidR="006C2FF4" w:rsidRDefault="006C2FF4" w:rsidP="00AA5D9C">
      <w:pPr>
        <w:pStyle w:val="Heading2"/>
      </w:pPr>
    </w:p>
    <w:p w14:paraId="0B3668B0" w14:textId="77777777" w:rsidR="006C2FF4" w:rsidRDefault="006C2FF4">
      <w:pPr>
        <w:spacing w:before="80" w:after="80"/>
        <w:rPr>
          <w:rFonts w:asciiTheme="majorHAnsi" w:eastAsia="Times New Roman" w:hAnsiTheme="majorHAnsi" w:cs="Arial"/>
          <w:bCs/>
          <w:iCs/>
          <w:color w:val="004B8D" w:themeColor="accent1"/>
          <w:sz w:val="32"/>
          <w:szCs w:val="28"/>
          <w:lang w:eastAsia="en-AU"/>
        </w:rPr>
      </w:pPr>
      <w:r>
        <w:br w:type="page"/>
      </w:r>
    </w:p>
    <w:p w14:paraId="415AF138" w14:textId="77777777" w:rsidR="002D7958" w:rsidRPr="00A65F18" w:rsidRDefault="002D7958" w:rsidP="002D7958">
      <w:pPr>
        <w:pStyle w:val="Heading2"/>
      </w:pPr>
      <w:bookmarkStart w:id="8" w:name="_Toc62811554"/>
      <w:r w:rsidRPr="00A65F18">
        <w:t>Gaining sight: a three-point plan to tackle blindness in Papua New Guinea</w:t>
      </w:r>
      <w:bookmarkEnd w:id="8"/>
    </w:p>
    <w:p w14:paraId="58E4BD8B" w14:textId="77777777" w:rsidR="002D7958" w:rsidRDefault="002D7958" w:rsidP="002D7958">
      <w:pPr>
        <w:pStyle w:val="BodyText"/>
      </w:pPr>
      <w:r>
        <w:t xml:space="preserve">Papua New Guinea (PNG) has an eye care crisis. The prevalence of blindness in PNG is one of the highest in the world. Over 5.6% of the population over the age of 50 are blind, compared to 0.12% of non-Indigenous and 0.36% of Indigenous Australians. </w:t>
      </w:r>
    </w:p>
    <w:p w14:paraId="5A487348" w14:textId="77777777" w:rsidR="00D373D1" w:rsidRDefault="002D7958" w:rsidP="002D7958">
      <w:pPr>
        <w:pStyle w:val="BodyText"/>
      </w:pPr>
      <w:r>
        <w:t>Over 90% of blindness in PNG is avoidable. The main cause is untreated cataract and uncorrected refractive error. Around the world, many people with cataracts receive low cost, sight saving surgery, but to date, there has been little access to this surgery in PNG and surgical quality of those performed has varied.</w:t>
      </w:r>
    </w:p>
    <w:p w14:paraId="287B7FAD" w14:textId="39E5743B" w:rsidR="002D7958" w:rsidRDefault="002D7958" w:rsidP="002D7958">
      <w:pPr>
        <w:pStyle w:val="BodyText"/>
      </w:pPr>
      <w:r>
        <w:t>Both the PNG Government and the World Health Organisation have identified the high levels of cataract related blindness as a priority for action within our region.</w:t>
      </w:r>
    </w:p>
    <w:p w14:paraId="24DDE69E" w14:textId="77777777" w:rsidR="002D7958" w:rsidRDefault="002D7958" w:rsidP="002D7958">
      <w:pPr>
        <w:pStyle w:val="BodyText"/>
      </w:pPr>
      <w:r>
        <w:t xml:space="preserve">Refractive error can be corrected with a simple pair of glasses, but two out of every three people with refractive error in PNG do not have access to the correct glasses. </w:t>
      </w:r>
    </w:p>
    <w:p w14:paraId="6FE4FBE9" w14:textId="5AFFA5C5" w:rsidR="002D7958" w:rsidRDefault="000268FB" w:rsidP="002D7958">
      <w:pPr>
        <w:pStyle w:val="BodyText"/>
      </w:pPr>
      <w:r>
        <w:t xml:space="preserve">Of all those in </w:t>
      </w:r>
      <w:r w:rsidR="00D373D1">
        <w:t xml:space="preserve">PNG </w:t>
      </w:r>
      <w:r>
        <w:t>who are blind or have low vision, 61% are w</w:t>
      </w:r>
      <w:r w:rsidR="002D7958">
        <w:t>omen</w:t>
      </w:r>
      <w:r>
        <w:t>. A</w:t>
      </w:r>
      <w:r w:rsidR="002D7958">
        <w:t xml:space="preserve">lthough they experience higher rates of cataract blindness than men, </w:t>
      </w:r>
      <w:r w:rsidR="002D7958" w:rsidRPr="00F55289">
        <w:t>less than half as many women receive surgery</w:t>
      </w:r>
      <w:r w:rsidR="002D7958">
        <w:t xml:space="preserve">. </w:t>
      </w:r>
    </w:p>
    <w:p w14:paraId="3EA1028B" w14:textId="686C6F43" w:rsidR="002D7958" w:rsidRDefault="002D7958" w:rsidP="002D7958">
      <w:pPr>
        <w:pStyle w:val="BodyText"/>
      </w:pPr>
      <w:r w:rsidRPr="007E2EFC">
        <w:t xml:space="preserve">Cataract surgery is </w:t>
      </w:r>
      <w:r w:rsidRPr="00A65F18">
        <w:t xml:space="preserve">a cost-effective intervention, with a direct and immediate impact on disability.  However, human resources for eye care in PNG are limited. Currently there are few eye care professionals and </w:t>
      </w:r>
      <w:r w:rsidR="008B3DEB" w:rsidRPr="00A65F18">
        <w:t>only seven</w:t>
      </w:r>
      <w:r w:rsidR="000268FB">
        <w:t xml:space="preserve"> </w:t>
      </w:r>
      <w:r w:rsidRPr="00A65F18">
        <w:t>ophthalmologists</w:t>
      </w:r>
      <w:r w:rsidRPr="002D342D">
        <w:t xml:space="preserve"> performing surgery for a population of</w:t>
      </w:r>
      <w:r>
        <w:t xml:space="preserve"> 8.5 million</w:t>
      </w:r>
      <w:r w:rsidRPr="002D342D">
        <w:t xml:space="preserve">, </w:t>
      </w:r>
      <w:r>
        <w:t xml:space="preserve">with variable access to the necessary equipment and consumables. The impacts of the COVID-19 pandemic have the potential to exacerbate the situation as resources are diverted to other priorities. </w:t>
      </w:r>
    </w:p>
    <w:p w14:paraId="41EB73B9" w14:textId="77777777" w:rsidR="002D7958" w:rsidRDefault="002D7958" w:rsidP="002D7958">
      <w:pPr>
        <w:pStyle w:val="BodyText"/>
      </w:pPr>
      <w:r>
        <w:t xml:space="preserve">This proposal provides the </w:t>
      </w:r>
      <w:r w:rsidRPr="009B6069">
        <w:t>Australian</w:t>
      </w:r>
      <w:r>
        <w:t xml:space="preserve"> Government with a strategic opportunity to help the PNG Government reduce blindness by expanding local infrastructure and expertise and funding outreach surgeries.  </w:t>
      </w:r>
    </w:p>
    <w:p w14:paraId="00C36943" w14:textId="0877C21D" w:rsidR="002D7958" w:rsidRDefault="002D7958" w:rsidP="002D7958">
      <w:pPr>
        <w:pStyle w:val="BodyText"/>
      </w:pPr>
      <w:r>
        <w:rPr>
          <w:rFonts w:ascii="Arial" w:hAnsi="Arial" w:cs="Arial"/>
        </w:rPr>
        <w:t>It will also directly contribute to Australian Government priorities in PNG, as it closely aligns to the PNG COVID-19 Development Response Plan, the Partnerships for Recovery strategy and pillars 1,</w:t>
      </w:r>
      <w:r w:rsidR="00284F6E">
        <w:rPr>
          <w:rFonts w:ascii="Arial" w:hAnsi="Arial" w:cs="Arial"/>
        </w:rPr>
        <w:t xml:space="preserve"> </w:t>
      </w:r>
      <w:r>
        <w:rPr>
          <w:rFonts w:ascii="Arial" w:hAnsi="Arial" w:cs="Arial"/>
        </w:rPr>
        <w:t>3 and 5 of the PNG-</w:t>
      </w:r>
      <w:r w:rsidRPr="00B71335">
        <w:t>Australia Comprehensive Strategic &amp; Economic Partnershi</w:t>
      </w:r>
      <w:r>
        <w:t>p</w:t>
      </w:r>
      <w:r w:rsidR="00AD00DB">
        <w:t>.</w:t>
      </w:r>
      <w:r w:rsidR="00D02BFA">
        <w:t xml:space="preserve"> </w:t>
      </w:r>
    </w:p>
    <w:p w14:paraId="63A9D5C7" w14:textId="77777777" w:rsidR="002D7958" w:rsidRPr="00A30526" w:rsidRDefault="002D7958" w:rsidP="002D7958">
      <w:pPr>
        <w:pStyle w:val="Heading3"/>
      </w:pPr>
      <w:r w:rsidRPr="00A30526">
        <w:t xml:space="preserve">The solution </w:t>
      </w:r>
    </w:p>
    <w:p w14:paraId="057B141B" w14:textId="77777777" w:rsidR="002D7958" w:rsidRDefault="002D7958" w:rsidP="002D7958">
      <w:pPr>
        <w:pStyle w:val="BodyText"/>
      </w:pPr>
      <w:r w:rsidRPr="00431AE0">
        <w:t>There are three key</w:t>
      </w:r>
      <w:r>
        <w:t xml:space="preserve"> areas recognised by PNG’s National Department of Health where investment is needed to tackle the immediate crisis, strengthen the health system and build more accessible, sustainable, local eye care. Total funding of </w:t>
      </w:r>
      <w:r w:rsidRPr="00CB295F">
        <w:t>$2</w:t>
      </w:r>
      <w:r>
        <w:t>6.19</w:t>
      </w:r>
      <w:r w:rsidRPr="00CB295F">
        <w:t xml:space="preserve"> million</w:t>
      </w:r>
      <w:r w:rsidRPr="00D72DFF">
        <w:t xml:space="preserve"> over </w:t>
      </w:r>
      <w:r>
        <w:t>4</w:t>
      </w:r>
      <w:r w:rsidRPr="00D72DFF">
        <w:t xml:space="preserve"> years is needed to:</w:t>
      </w:r>
    </w:p>
    <w:p w14:paraId="5DBF0275" w14:textId="77777777" w:rsidR="002D7958" w:rsidRPr="00892ADC" w:rsidRDefault="002D7958" w:rsidP="00455158">
      <w:pPr>
        <w:pStyle w:val="BodyText"/>
        <w:numPr>
          <w:ilvl w:val="0"/>
          <w:numId w:val="19"/>
        </w:numPr>
      </w:pPr>
      <w:r w:rsidRPr="008A198E">
        <w:rPr>
          <w:b/>
        </w:rPr>
        <w:t>Expand and upskill the local Ophthalmology workforce and deliver high quality eye care</w:t>
      </w:r>
      <w:r>
        <w:t xml:space="preserve">, through the establishment of a National Department of Health endorsed, purpose-built Centre of Excellence in Ophthalmology and associated comprehensive training program, in partnership with the New Zealand Government </w:t>
      </w:r>
      <w:r w:rsidRPr="00497CD6">
        <w:t>($15.75</w:t>
      </w:r>
      <w:r w:rsidR="000268FB">
        <w:t xml:space="preserve"> </w:t>
      </w:r>
      <w:r w:rsidRPr="00497CD6">
        <w:t>m</w:t>
      </w:r>
      <w:r w:rsidR="000268FB">
        <w:t>illion</w:t>
      </w:r>
      <w:r w:rsidRPr="00892ADC">
        <w:t>).</w:t>
      </w:r>
      <w:r>
        <w:t xml:space="preserve"> </w:t>
      </w:r>
    </w:p>
    <w:p w14:paraId="03CE3A9E" w14:textId="77777777" w:rsidR="002D7958" w:rsidRPr="002C7980" w:rsidRDefault="002D7958" w:rsidP="00455158">
      <w:pPr>
        <w:pStyle w:val="BodyText"/>
        <w:numPr>
          <w:ilvl w:val="0"/>
          <w:numId w:val="19"/>
        </w:numPr>
      </w:pPr>
      <w:r w:rsidRPr="009B6069">
        <w:t xml:space="preserve">Build and </w:t>
      </w:r>
      <w:r w:rsidRPr="00D72DFF">
        <w:rPr>
          <w:b/>
        </w:rPr>
        <w:t>upskill the local Optometry workforce</w:t>
      </w:r>
      <w:r>
        <w:t xml:space="preserve"> </w:t>
      </w:r>
      <w:r w:rsidRPr="009B6069">
        <w:t>to expand access to high quality day to day eye care</w:t>
      </w:r>
      <w:r w:rsidRPr="00D72DFF">
        <w:t xml:space="preserve"> ($</w:t>
      </w:r>
      <w:r>
        <w:t>3.15</w:t>
      </w:r>
      <w:r w:rsidR="000268FB">
        <w:t xml:space="preserve"> </w:t>
      </w:r>
      <w:r w:rsidRPr="00497CD6">
        <w:t>m</w:t>
      </w:r>
      <w:r w:rsidR="000268FB">
        <w:t>illion</w:t>
      </w:r>
      <w:r w:rsidRPr="00D72DFF">
        <w:t>)</w:t>
      </w:r>
      <w:r>
        <w:t>.</w:t>
      </w:r>
    </w:p>
    <w:p w14:paraId="19AB7965" w14:textId="65148550" w:rsidR="002D7958" w:rsidRDefault="002D7958" w:rsidP="00455158">
      <w:pPr>
        <w:pStyle w:val="BodyText"/>
        <w:numPr>
          <w:ilvl w:val="0"/>
          <w:numId w:val="19"/>
        </w:numPr>
      </w:pPr>
      <w:r w:rsidRPr="007D181C">
        <w:rPr>
          <w:b/>
        </w:rPr>
        <w:t>Increase cataract surgery</w:t>
      </w:r>
      <w:r>
        <w:t xml:space="preserve">, deliver up to 24 outreach workshops per year </w:t>
      </w:r>
      <w:r w:rsidRPr="004E4A71">
        <w:t xml:space="preserve">in 6 locations </w:t>
      </w:r>
      <w:r>
        <w:t>across</w:t>
      </w:r>
      <w:r w:rsidRPr="004E4A71">
        <w:t xml:space="preserve"> PNG</w:t>
      </w:r>
      <w:r>
        <w:t xml:space="preserve">, restoring sight to thousands of people living with cataract blindness </w:t>
      </w:r>
      <w:r w:rsidRPr="00497CD6">
        <w:t>($7.29</w:t>
      </w:r>
      <w:r w:rsidR="000268FB">
        <w:t xml:space="preserve"> </w:t>
      </w:r>
      <w:r w:rsidRPr="00497CD6">
        <w:t>m</w:t>
      </w:r>
      <w:r w:rsidR="000268FB">
        <w:t>illion</w:t>
      </w:r>
      <w:r>
        <w:t xml:space="preserve">). </w:t>
      </w:r>
    </w:p>
    <w:p w14:paraId="625CE1CB" w14:textId="77777777" w:rsidR="002D7958" w:rsidRPr="009A3280" w:rsidRDefault="002D7958" w:rsidP="002D7958">
      <w:pPr>
        <w:pStyle w:val="BodyText"/>
      </w:pPr>
      <w:r w:rsidRPr="009A3280">
        <w:t>With Australian Government funding, this three</w:t>
      </w:r>
      <w:r>
        <w:t>-</w:t>
      </w:r>
      <w:r w:rsidRPr="009A3280">
        <w:t xml:space="preserve">point plan can change the future </w:t>
      </w:r>
      <w:r>
        <w:t>of</w:t>
      </w:r>
      <w:r w:rsidRPr="009A3280">
        <w:t xml:space="preserve"> PNG, delivering social</w:t>
      </w:r>
      <w:r>
        <w:t xml:space="preserve"> and </w:t>
      </w:r>
      <w:r w:rsidRPr="009A3280">
        <w:t xml:space="preserve">economic benefits to Australia’s closest </w:t>
      </w:r>
      <w:r>
        <w:t xml:space="preserve">strategic </w:t>
      </w:r>
      <w:r w:rsidRPr="009A3280">
        <w:t xml:space="preserve">neighbour. </w:t>
      </w:r>
    </w:p>
    <w:p w14:paraId="204F1B3D" w14:textId="77777777" w:rsidR="002D7958" w:rsidRPr="00A65F18" w:rsidRDefault="002D7958" w:rsidP="002D7958">
      <w:pPr>
        <w:pStyle w:val="BodyText"/>
        <w:rPr>
          <w:b/>
        </w:rPr>
      </w:pPr>
      <w:r w:rsidRPr="00A65F18">
        <w:rPr>
          <w:b/>
        </w:rPr>
        <w:t>A strong, cross sector partnership for delivery</w:t>
      </w:r>
    </w:p>
    <w:p w14:paraId="15D4BB9E" w14:textId="77777777" w:rsidR="002D7958" w:rsidRPr="00A96213" w:rsidRDefault="002D7958" w:rsidP="00F54BDA">
      <w:pPr>
        <w:pStyle w:val="BodyText"/>
      </w:pPr>
      <w:r w:rsidRPr="00A96213">
        <w:t xml:space="preserve">Working with PNG to help restore sight is a powerful demonstration of Australian leadership and will strengthen the possibility of Australia becoming an Indo-Pacific ‘partner of choice’. </w:t>
      </w:r>
    </w:p>
    <w:p w14:paraId="1D2E68AE" w14:textId="77777777" w:rsidR="002D7958" w:rsidRPr="00A96213" w:rsidRDefault="002D7958" w:rsidP="00F54BDA">
      <w:pPr>
        <w:pStyle w:val="BodyText"/>
      </w:pPr>
      <w:r w:rsidRPr="00A96213">
        <w:t xml:space="preserve">Through Vision 2020 Australia, the Australian eye sector stands united and willing to assist the Australian Government to promote national interests in PNG by addressing avoidable blindness and uncorrected vision impairment. </w:t>
      </w:r>
    </w:p>
    <w:p w14:paraId="18728B3E" w14:textId="77777777" w:rsidR="002D7958" w:rsidRPr="00A96213" w:rsidRDefault="002D7958" w:rsidP="00F54BDA">
      <w:pPr>
        <w:pStyle w:val="BodyText"/>
      </w:pPr>
      <w:r w:rsidRPr="00A96213">
        <w:t xml:space="preserve">The sector can deliver the initiatives through a collaborative cross-sectorial partnership that brings together a breadth of experience and expertise. Organisations such as The Fred Hollows Foundation, </w:t>
      </w:r>
      <w:r>
        <w:t xml:space="preserve">the </w:t>
      </w:r>
      <w:r w:rsidRPr="00A96213">
        <w:t>Brien Holden Foundation</w:t>
      </w:r>
      <w:r>
        <w:t>, The International Agency for the Prevention of Blindness</w:t>
      </w:r>
      <w:r w:rsidRPr="00A96213">
        <w:t xml:space="preserve"> and the Royal Australasian College of Surgeons have developed </w:t>
      </w:r>
      <w:r>
        <w:t xml:space="preserve">this proposal, drawing on their local knowledge and connections. </w:t>
      </w:r>
    </w:p>
    <w:p w14:paraId="7D548D8E" w14:textId="77777777" w:rsidR="002D7958" w:rsidRPr="00A96213" w:rsidRDefault="002D7958" w:rsidP="00F54BDA">
      <w:pPr>
        <w:pStyle w:val="BodyText"/>
      </w:pPr>
      <w:r w:rsidRPr="00A96213">
        <w:t>A range of other Vision 2020 Australia member organisations including CBM</w:t>
      </w:r>
      <w:r w:rsidR="00121EB2">
        <w:t xml:space="preserve"> Australia</w:t>
      </w:r>
      <w:r w:rsidRPr="00A96213">
        <w:t xml:space="preserve">, </w:t>
      </w:r>
      <w:r>
        <w:t xml:space="preserve">Orthoptics Australia, the Lions Eye Institute </w:t>
      </w:r>
      <w:r w:rsidRPr="00A96213">
        <w:t>and others involved in training and international programs have also signalled interest in participation.</w:t>
      </w:r>
    </w:p>
    <w:p w14:paraId="2FC77E18" w14:textId="77777777" w:rsidR="002D7958" w:rsidRDefault="002D7958" w:rsidP="00F54BDA">
      <w:pPr>
        <w:pStyle w:val="BodyText"/>
      </w:pPr>
      <w:r>
        <w:t xml:space="preserve">Through their past and current involvement, the collective efforts of many Vision 2020 Australia members have laid the foundations for progressing the priorities identified in this proposal. Strong bilateral relations with PNG, extensive sector knowledge and experience, coupled with reliable data about the current challenges, sets the eye sector apart from a range of other areas, as we know where the gaps are and have some of the key underpinnings for success </w:t>
      </w:r>
      <w:r w:rsidRPr="009B6069">
        <w:t xml:space="preserve">ready to take the next steps. </w:t>
      </w:r>
    </w:p>
    <w:p w14:paraId="133D1BCA" w14:textId="77777777" w:rsidR="002D7958" w:rsidRDefault="002D7958" w:rsidP="002D7958">
      <w:pPr>
        <w:pStyle w:val="Heading3"/>
      </w:pPr>
      <w:r>
        <w:t>Priorities for 2021-22 budget investment</w:t>
      </w:r>
    </w:p>
    <w:p w14:paraId="2A5FC949" w14:textId="77777777" w:rsidR="002D7958" w:rsidRPr="00A65F18" w:rsidRDefault="002D7958" w:rsidP="002D7958">
      <w:pPr>
        <w:pStyle w:val="BodyText"/>
        <w:rPr>
          <w:color w:val="32619D" w:themeColor="accent3"/>
        </w:rPr>
      </w:pPr>
      <w:r w:rsidRPr="00A65F18">
        <w:rPr>
          <w:color w:val="32619D" w:themeColor="accent3"/>
        </w:rPr>
        <w:t>1.Centre of Excellence - Invest in a purpose-built hub for training, service delivery and workforce development ($15.75</w:t>
      </w:r>
      <w:r w:rsidR="007F3814">
        <w:rPr>
          <w:color w:val="32619D" w:themeColor="accent3"/>
        </w:rPr>
        <w:t xml:space="preserve"> </w:t>
      </w:r>
      <w:r w:rsidRPr="00A65F18">
        <w:rPr>
          <w:color w:val="32619D" w:themeColor="accent3"/>
        </w:rPr>
        <w:t>m</w:t>
      </w:r>
      <w:r w:rsidR="007F3814">
        <w:rPr>
          <w:color w:val="32619D" w:themeColor="accent3"/>
        </w:rPr>
        <w:t>illion</w:t>
      </w:r>
      <w:r w:rsidRPr="00A65F18">
        <w:rPr>
          <w:color w:val="32619D" w:themeColor="accent3"/>
        </w:rPr>
        <w:t xml:space="preserve"> over 4 y</w:t>
      </w:r>
      <w:r w:rsidR="007F3814">
        <w:rPr>
          <w:color w:val="32619D" w:themeColor="accent3"/>
        </w:rPr>
        <w:t>ea</w:t>
      </w:r>
      <w:r w:rsidRPr="00A65F18">
        <w:rPr>
          <w:color w:val="32619D" w:themeColor="accent3"/>
        </w:rPr>
        <w:t>rs)</w:t>
      </w:r>
    </w:p>
    <w:p w14:paraId="37B9B223" w14:textId="77777777" w:rsidR="002D7958" w:rsidRPr="003E44A4" w:rsidRDefault="002D7958" w:rsidP="002D7958">
      <w:pPr>
        <w:pStyle w:val="BodyText"/>
      </w:pPr>
      <w:r w:rsidRPr="003E44A4">
        <w:t xml:space="preserve">To develop long-term solutions to the shortage of </w:t>
      </w:r>
      <w:r w:rsidR="007F3814">
        <w:t xml:space="preserve">eye </w:t>
      </w:r>
      <w:r w:rsidRPr="003E44A4">
        <w:t xml:space="preserve">health workforce, there needs to be investment in a facility that provides </w:t>
      </w:r>
      <w:r>
        <w:t xml:space="preserve">a </w:t>
      </w:r>
      <w:r w:rsidRPr="003E44A4">
        <w:t>fit for purpose training infrastructure</w:t>
      </w:r>
      <w:r>
        <w:t xml:space="preserve"> and program.</w:t>
      </w:r>
    </w:p>
    <w:p w14:paraId="69F3C087" w14:textId="77777777" w:rsidR="002D7958" w:rsidRDefault="002D7958" w:rsidP="002D7958">
      <w:pPr>
        <w:pStyle w:val="BodyText"/>
      </w:pPr>
      <w:r w:rsidRPr="003E44A4">
        <w:t xml:space="preserve">A Centre of Excellence for Ophthalmology in PNG will </w:t>
      </w:r>
      <w:r>
        <w:t xml:space="preserve">increase capacity to train new ophthalmologists and ophthalmic clinicians, and </w:t>
      </w:r>
      <w:r w:rsidRPr="00086675">
        <w:t xml:space="preserve">upskill </w:t>
      </w:r>
      <w:r>
        <w:t xml:space="preserve">existing </w:t>
      </w:r>
      <w:r w:rsidRPr="00086675">
        <w:t>local ophthalmologists</w:t>
      </w:r>
      <w:r w:rsidRPr="009B6069">
        <w:t xml:space="preserve">, </w:t>
      </w:r>
      <w:r>
        <w:t xml:space="preserve">addressing </w:t>
      </w:r>
      <w:r w:rsidRPr="009B6069">
        <w:t xml:space="preserve">the fundamental local undersupply of qualified and skilled medical specialists. </w:t>
      </w:r>
      <w:r>
        <w:t>This will include support for advanced training in sub-specialities; skills enhancement to support and develop local trainers for supervision of future trainees; alongside other strategies to both expand the workforce and enhance surgical and other skills.</w:t>
      </w:r>
    </w:p>
    <w:p w14:paraId="472DF6C0" w14:textId="77777777" w:rsidR="002D7958" w:rsidRDefault="002D7958" w:rsidP="002D7958">
      <w:pPr>
        <w:pStyle w:val="BodyText"/>
      </w:pPr>
      <w:r w:rsidRPr="003E44A4">
        <w:t xml:space="preserve">The Centre of Excellence will increase clinical service provision in PNG </w:t>
      </w:r>
      <w:r>
        <w:t xml:space="preserve">both in the short term, with the provision of infrastructure and equipment, and the long-term with comprehensive training programs provided in partnership with the National Department of Health, University of Papua New Guinea (UPNG), Port Moresby General Hospital and other local stakeholders. The Centre will be located on the shared site of the UPNG’s Medical School and Port Moresby General Hospital and will operate in partnership with regional centres nationwide. </w:t>
      </w:r>
    </w:p>
    <w:p w14:paraId="495FF951" w14:textId="77777777" w:rsidR="002D7958" w:rsidRDefault="002D7958" w:rsidP="002D7958">
      <w:pPr>
        <w:pStyle w:val="BodyText"/>
      </w:pPr>
      <w:r>
        <w:t>The New Zealand Government has already committed substantial funding to support the delivery of the Centre of Excellence. This proposal provides a strategic opportunity for the Australian Government to partner with the New Zealand Government to strengthen health systems and health security in support of our nearest neighbour</w:t>
      </w:r>
      <w:r w:rsidR="007F3814">
        <w:t>, strategic partner</w:t>
      </w:r>
      <w:r>
        <w:t xml:space="preserve"> and a key member of our Pacific family.   </w:t>
      </w:r>
    </w:p>
    <w:p w14:paraId="01EC82E7" w14:textId="77777777" w:rsidR="002D7958" w:rsidRPr="00A65F18" w:rsidRDefault="002D7958" w:rsidP="002D7958">
      <w:pPr>
        <w:pStyle w:val="BodyText"/>
        <w:rPr>
          <w:rFonts w:eastAsiaTheme="minorHAnsi"/>
          <w:bCs/>
          <w:iCs/>
          <w:color w:val="32619D" w:themeColor="accent3"/>
        </w:rPr>
      </w:pPr>
      <w:r w:rsidRPr="00A65F18">
        <w:rPr>
          <w:rFonts w:eastAsiaTheme="minorHAnsi"/>
          <w:color w:val="32619D" w:themeColor="accent3"/>
        </w:rPr>
        <w:t xml:space="preserve"> 2. Build the optometry workforce ($3.15</w:t>
      </w:r>
      <w:r w:rsidR="007F3814">
        <w:rPr>
          <w:rFonts w:eastAsiaTheme="minorHAnsi"/>
          <w:color w:val="32619D" w:themeColor="accent3"/>
        </w:rPr>
        <w:t xml:space="preserve"> </w:t>
      </w:r>
      <w:r w:rsidRPr="00A65F18">
        <w:rPr>
          <w:rFonts w:eastAsiaTheme="minorHAnsi"/>
          <w:color w:val="32619D" w:themeColor="accent3"/>
        </w:rPr>
        <w:t>m</w:t>
      </w:r>
      <w:r w:rsidR="007F3814">
        <w:rPr>
          <w:rFonts w:eastAsiaTheme="minorHAnsi"/>
          <w:color w:val="32619D" w:themeColor="accent3"/>
        </w:rPr>
        <w:t>illion</w:t>
      </w:r>
      <w:r w:rsidRPr="00A65F18">
        <w:rPr>
          <w:rFonts w:eastAsiaTheme="minorHAnsi"/>
          <w:color w:val="32619D" w:themeColor="accent3"/>
        </w:rPr>
        <w:t xml:space="preserve"> over 4 y</w:t>
      </w:r>
      <w:r w:rsidR="007F3814">
        <w:rPr>
          <w:rFonts w:eastAsiaTheme="minorHAnsi"/>
          <w:color w:val="32619D" w:themeColor="accent3"/>
        </w:rPr>
        <w:t>ea</w:t>
      </w:r>
      <w:r w:rsidRPr="00A65F18">
        <w:rPr>
          <w:rFonts w:eastAsiaTheme="minorHAnsi"/>
          <w:color w:val="32619D" w:themeColor="accent3"/>
        </w:rPr>
        <w:t xml:space="preserve">rs) </w:t>
      </w:r>
    </w:p>
    <w:p w14:paraId="69668FAA" w14:textId="77777777" w:rsidR="002D7958" w:rsidRDefault="002D7958" w:rsidP="002D7958">
      <w:pPr>
        <w:pStyle w:val="BodyText"/>
      </w:pPr>
      <w:r>
        <w:t>Establish</w:t>
      </w:r>
      <w:r w:rsidRPr="009B6069">
        <w:t xml:space="preserve"> a new optometry workforce in PNG to expand access to high quality day to day eye care as part of a stronger, sustainable future eye care system</w:t>
      </w:r>
      <w:r>
        <w:t xml:space="preserve">. </w:t>
      </w:r>
      <w:r w:rsidRPr="009B6069">
        <w:t>This funding will develop local faculty and a new course in partnership with local stakeholders, as well as developing local optometry services through existing vision centres.</w:t>
      </w:r>
    </w:p>
    <w:p w14:paraId="1EA24BFF" w14:textId="77777777" w:rsidR="002D7958" w:rsidRPr="00A65F18" w:rsidRDefault="002D7958" w:rsidP="002D7958">
      <w:pPr>
        <w:pStyle w:val="BodyText"/>
        <w:rPr>
          <w:color w:val="32619D" w:themeColor="accent3"/>
        </w:rPr>
      </w:pPr>
      <w:r w:rsidRPr="00A65F18">
        <w:rPr>
          <w:color w:val="32619D" w:themeColor="accent3"/>
        </w:rPr>
        <w:t>3. Expand service delivery ($7.29</w:t>
      </w:r>
      <w:r w:rsidR="007F3814">
        <w:rPr>
          <w:color w:val="32619D" w:themeColor="accent3"/>
        </w:rPr>
        <w:t xml:space="preserve"> </w:t>
      </w:r>
      <w:r w:rsidRPr="00A65F18">
        <w:rPr>
          <w:color w:val="32619D" w:themeColor="accent3"/>
        </w:rPr>
        <w:t>m</w:t>
      </w:r>
      <w:r w:rsidR="007F3814">
        <w:rPr>
          <w:color w:val="32619D" w:themeColor="accent3"/>
        </w:rPr>
        <w:t>illion</w:t>
      </w:r>
      <w:r w:rsidRPr="00A65F18">
        <w:rPr>
          <w:color w:val="32619D" w:themeColor="accent3"/>
        </w:rPr>
        <w:t xml:space="preserve"> over 4 y</w:t>
      </w:r>
      <w:r w:rsidR="007F3814">
        <w:rPr>
          <w:color w:val="32619D" w:themeColor="accent3"/>
        </w:rPr>
        <w:t>ea</w:t>
      </w:r>
      <w:r w:rsidRPr="00A65F18">
        <w:rPr>
          <w:color w:val="32619D" w:themeColor="accent3"/>
        </w:rPr>
        <w:t>rs)</w:t>
      </w:r>
    </w:p>
    <w:p w14:paraId="534A3AF2" w14:textId="77777777" w:rsidR="002D7958" w:rsidRDefault="002D7958" w:rsidP="002D7958">
      <w:pPr>
        <w:pStyle w:val="BodyText"/>
      </w:pPr>
      <w:r>
        <w:t xml:space="preserve">The cataract </w:t>
      </w:r>
      <w:r w:rsidR="007F3814">
        <w:t xml:space="preserve">surgery </w:t>
      </w:r>
      <w:r>
        <w:t xml:space="preserve">backlog in PNG is substantial. </w:t>
      </w:r>
      <w:r w:rsidRPr="00086675">
        <w:t xml:space="preserve">Scaling up </w:t>
      </w:r>
      <w:r>
        <w:t xml:space="preserve">service delivery will address the current estimated bilaterally blind cataract prevalence and provide sight-saving treatment in rural and remote communities throughout the country. Services will focus on addressing current disparities in accessing treatment, and ensuring stronger connections to support those identified as having permanent vision loss, in line with the broader focus on disability, gender equity and ensuring no-one is left behind. </w:t>
      </w:r>
    </w:p>
    <w:p w14:paraId="61C4306D" w14:textId="77777777" w:rsidR="002D7958" w:rsidRDefault="002D7958" w:rsidP="002D7958">
      <w:pPr>
        <w:pStyle w:val="BodyText"/>
      </w:pPr>
      <w:r>
        <w:t xml:space="preserve">While the primary focus will be on cataract surgeries, this work will also provide an opportunity to build workforce skills and test models for future provision of eye care services and supporting systems. </w:t>
      </w:r>
    </w:p>
    <w:p w14:paraId="3E82AF9F" w14:textId="77777777" w:rsidR="002D7958" w:rsidRPr="00A65F18" w:rsidRDefault="002D7958" w:rsidP="002D7958">
      <w:pPr>
        <w:pStyle w:val="Heading3"/>
      </w:pPr>
      <w:r w:rsidRPr="00A65F18">
        <w:t>Budget</w:t>
      </w:r>
    </w:p>
    <w:tbl>
      <w:tblPr>
        <w:tblW w:w="5000" w:type="pct"/>
        <w:tblLook w:val="04A0" w:firstRow="1" w:lastRow="0" w:firstColumn="1" w:lastColumn="0" w:noHBand="0" w:noVBand="1"/>
      </w:tblPr>
      <w:tblGrid>
        <w:gridCol w:w="3206"/>
        <w:gridCol w:w="1143"/>
        <w:gridCol w:w="1143"/>
        <w:gridCol w:w="1143"/>
        <w:gridCol w:w="1143"/>
        <w:gridCol w:w="1860"/>
      </w:tblGrid>
      <w:tr w:rsidR="002D7958" w:rsidRPr="00E62EA0" w14:paraId="6700B668" w14:textId="77777777" w:rsidTr="00CC2714">
        <w:trPr>
          <w:trHeight w:val="300"/>
        </w:trPr>
        <w:tc>
          <w:tcPr>
            <w:tcW w:w="1663" w:type="pct"/>
            <w:tcBorders>
              <w:top w:val="nil"/>
              <w:left w:val="nil"/>
              <w:bottom w:val="nil"/>
              <w:right w:val="nil"/>
            </w:tcBorders>
            <w:shd w:val="clear" w:color="000000" w:fill="000000"/>
            <w:vAlign w:val="bottom"/>
            <w:hideMark/>
          </w:tcPr>
          <w:p w14:paraId="3698416D" w14:textId="77777777" w:rsidR="002D7958" w:rsidRPr="007B1A96" w:rsidRDefault="002D7958" w:rsidP="007F387C">
            <w:pPr>
              <w:jc w:val="center"/>
              <w:rPr>
                <w:rFonts w:eastAsia="Times New Roman" w:cstheme="minorHAnsi"/>
                <w:color w:val="FFFFFF"/>
                <w:sz w:val="22"/>
                <w:lang w:eastAsia="en-AU"/>
              </w:rPr>
            </w:pPr>
          </w:p>
        </w:tc>
        <w:tc>
          <w:tcPr>
            <w:tcW w:w="593" w:type="pct"/>
            <w:tcBorders>
              <w:top w:val="nil"/>
              <w:left w:val="nil"/>
              <w:bottom w:val="nil"/>
              <w:right w:val="nil"/>
            </w:tcBorders>
            <w:shd w:val="clear" w:color="000000" w:fill="000000"/>
            <w:noWrap/>
            <w:vAlign w:val="bottom"/>
            <w:hideMark/>
          </w:tcPr>
          <w:p w14:paraId="0A12C433" w14:textId="77777777" w:rsidR="007F387C" w:rsidRDefault="002D7958" w:rsidP="007F387C">
            <w:pPr>
              <w:jc w:val="center"/>
              <w:rPr>
                <w:rFonts w:eastAsia="Times New Roman" w:cstheme="minorHAnsi"/>
                <w:color w:val="FFFFFF"/>
                <w:sz w:val="22"/>
                <w:lang w:eastAsia="en-AU"/>
              </w:rPr>
            </w:pPr>
            <w:r w:rsidRPr="007B1A96">
              <w:rPr>
                <w:rFonts w:eastAsia="Times New Roman" w:cstheme="minorHAnsi"/>
                <w:color w:val="FFFFFF"/>
                <w:sz w:val="22"/>
                <w:lang w:eastAsia="en-AU"/>
              </w:rPr>
              <w:t>202</w:t>
            </w:r>
            <w:r>
              <w:rPr>
                <w:rFonts w:eastAsia="Times New Roman" w:cstheme="minorHAnsi"/>
                <w:color w:val="FFFFFF"/>
                <w:sz w:val="22"/>
                <w:lang w:eastAsia="en-AU"/>
              </w:rPr>
              <w:t>1</w:t>
            </w:r>
            <w:r w:rsidRPr="007B1A96">
              <w:rPr>
                <w:rFonts w:eastAsia="Times New Roman" w:cstheme="minorHAnsi"/>
                <w:color w:val="FFFFFF"/>
                <w:sz w:val="22"/>
                <w:lang w:eastAsia="en-AU"/>
              </w:rPr>
              <w:t>-2</w:t>
            </w:r>
            <w:r>
              <w:rPr>
                <w:rFonts w:eastAsia="Times New Roman" w:cstheme="minorHAnsi"/>
                <w:color w:val="FFFFFF"/>
                <w:sz w:val="22"/>
                <w:lang w:eastAsia="en-AU"/>
              </w:rPr>
              <w:t>2</w:t>
            </w:r>
          </w:p>
          <w:p w14:paraId="0CFD8497" w14:textId="77777777" w:rsidR="002D7958" w:rsidRPr="007B1A96" w:rsidRDefault="007F387C" w:rsidP="007F387C">
            <w:pPr>
              <w:jc w:val="center"/>
              <w:rPr>
                <w:rFonts w:eastAsia="Times New Roman" w:cstheme="minorHAnsi"/>
                <w:color w:val="FFFFFF"/>
                <w:sz w:val="22"/>
                <w:lang w:eastAsia="en-AU"/>
              </w:rPr>
            </w:pPr>
            <w:r w:rsidRPr="00615241">
              <w:rPr>
                <w:rFonts w:eastAsia="Times New Roman" w:cs="Arial"/>
                <w:color w:val="FFFFFF"/>
                <w:sz w:val="22"/>
                <w:lang w:val="en-US"/>
              </w:rPr>
              <w:t>($, m)</w:t>
            </w:r>
          </w:p>
        </w:tc>
        <w:tc>
          <w:tcPr>
            <w:tcW w:w="593" w:type="pct"/>
            <w:tcBorders>
              <w:top w:val="nil"/>
              <w:left w:val="nil"/>
              <w:bottom w:val="nil"/>
              <w:right w:val="nil"/>
            </w:tcBorders>
            <w:shd w:val="clear" w:color="000000" w:fill="000000"/>
            <w:noWrap/>
            <w:vAlign w:val="bottom"/>
            <w:hideMark/>
          </w:tcPr>
          <w:p w14:paraId="74D440D6" w14:textId="77777777" w:rsidR="002D7958" w:rsidRDefault="002D7958" w:rsidP="007F387C">
            <w:pPr>
              <w:jc w:val="center"/>
              <w:rPr>
                <w:rFonts w:eastAsia="Times New Roman" w:cstheme="minorHAnsi"/>
                <w:color w:val="FFFFFF"/>
                <w:sz w:val="22"/>
                <w:lang w:eastAsia="en-AU"/>
              </w:rPr>
            </w:pPr>
            <w:r w:rsidRPr="007B1A96">
              <w:rPr>
                <w:rFonts w:eastAsia="Times New Roman" w:cstheme="minorHAnsi"/>
                <w:color w:val="FFFFFF"/>
                <w:sz w:val="22"/>
                <w:lang w:eastAsia="en-AU"/>
              </w:rPr>
              <w:t>202</w:t>
            </w:r>
            <w:r>
              <w:rPr>
                <w:rFonts w:eastAsia="Times New Roman" w:cstheme="minorHAnsi"/>
                <w:color w:val="FFFFFF"/>
                <w:sz w:val="22"/>
                <w:lang w:eastAsia="en-AU"/>
              </w:rPr>
              <w:t>2</w:t>
            </w:r>
            <w:r w:rsidRPr="007B1A96">
              <w:rPr>
                <w:rFonts w:eastAsia="Times New Roman" w:cstheme="minorHAnsi"/>
                <w:color w:val="FFFFFF"/>
                <w:sz w:val="22"/>
                <w:lang w:eastAsia="en-AU"/>
              </w:rPr>
              <w:t>-2</w:t>
            </w:r>
            <w:r>
              <w:rPr>
                <w:rFonts w:eastAsia="Times New Roman" w:cstheme="minorHAnsi"/>
                <w:color w:val="FFFFFF"/>
                <w:sz w:val="22"/>
                <w:lang w:eastAsia="en-AU"/>
              </w:rPr>
              <w:t>3</w:t>
            </w:r>
          </w:p>
          <w:p w14:paraId="0DC8437D" w14:textId="77777777" w:rsidR="007F387C" w:rsidRPr="007B1A96" w:rsidRDefault="007F387C" w:rsidP="007F387C">
            <w:pPr>
              <w:jc w:val="center"/>
              <w:rPr>
                <w:rFonts w:eastAsia="Times New Roman" w:cstheme="minorHAnsi"/>
                <w:color w:val="FFFFFF"/>
                <w:sz w:val="22"/>
                <w:lang w:eastAsia="en-AU"/>
              </w:rPr>
            </w:pPr>
            <w:r w:rsidRPr="00615241">
              <w:rPr>
                <w:rFonts w:eastAsia="Times New Roman" w:cs="Arial"/>
                <w:color w:val="FFFFFF"/>
                <w:sz w:val="22"/>
                <w:lang w:val="en-US"/>
              </w:rPr>
              <w:t>($, m)</w:t>
            </w:r>
          </w:p>
        </w:tc>
        <w:tc>
          <w:tcPr>
            <w:tcW w:w="593" w:type="pct"/>
            <w:tcBorders>
              <w:top w:val="nil"/>
              <w:left w:val="nil"/>
              <w:bottom w:val="nil"/>
              <w:right w:val="nil"/>
            </w:tcBorders>
            <w:shd w:val="clear" w:color="000000" w:fill="000000"/>
            <w:noWrap/>
            <w:vAlign w:val="bottom"/>
            <w:hideMark/>
          </w:tcPr>
          <w:p w14:paraId="56D1BBB2" w14:textId="77777777" w:rsidR="002D7958" w:rsidRDefault="002D7958" w:rsidP="007F387C">
            <w:pPr>
              <w:jc w:val="center"/>
              <w:rPr>
                <w:rFonts w:eastAsia="Times New Roman" w:cstheme="minorHAnsi"/>
                <w:color w:val="FFFFFF"/>
                <w:sz w:val="22"/>
                <w:lang w:eastAsia="en-AU"/>
              </w:rPr>
            </w:pPr>
            <w:r w:rsidRPr="007B1A96">
              <w:rPr>
                <w:rFonts w:eastAsia="Times New Roman" w:cstheme="minorHAnsi"/>
                <w:color w:val="FFFFFF"/>
                <w:sz w:val="22"/>
                <w:lang w:eastAsia="en-AU"/>
              </w:rPr>
              <w:t>202</w:t>
            </w:r>
            <w:r>
              <w:rPr>
                <w:rFonts w:eastAsia="Times New Roman" w:cstheme="minorHAnsi"/>
                <w:color w:val="FFFFFF"/>
                <w:sz w:val="22"/>
                <w:lang w:eastAsia="en-AU"/>
              </w:rPr>
              <w:t>3</w:t>
            </w:r>
            <w:r w:rsidRPr="007B1A96">
              <w:rPr>
                <w:rFonts w:eastAsia="Times New Roman" w:cstheme="minorHAnsi"/>
                <w:color w:val="FFFFFF"/>
                <w:sz w:val="22"/>
                <w:lang w:eastAsia="en-AU"/>
              </w:rPr>
              <w:t>-2</w:t>
            </w:r>
            <w:r>
              <w:rPr>
                <w:rFonts w:eastAsia="Times New Roman" w:cstheme="minorHAnsi"/>
                <w:color w:val="FFFFFF"/>
                <w:sz w:val="22"/>
                <w:lang w:eastAsia="en-AU"/>
              </w:rPr>
              <w:t>4</w:t>
            </w:r>
          </w:p>
          <w:p w14:paraId="471A78BA" w14:textId="77777777" w:rsidR="007F387C" w:rsidRPr="007B1A96" w:rsidRDefault="007F387C" w:rsidP="007F387C">
            <w:pPr>
              <w:jc w:val="center"/>
              <w:rPr>
                <w:rFonts w:eastAsia="Times New Roman" w:cstheme="minorHAnsi"/>
                <w:color w:val="FFFFFF"/>
                <w:sz w:val="22"/>
                <w:lang w:eastAsia="en-AU"/>
              </w:rPr>
            </w:pPr>
            <w:r w:rsidRPr="00615241">
              <w:rPr>
                <w:rFonts w:eastAsia="Times New Roman" w:cs="Arial"/>
                <w:color w:val="FFFFFF"/>
                <w:sz w:val="22"/>
                <w:lang w:val="en-US"/>
              </w:rPr>
              <w:t>($, m)</w:t>
            </w:r>
          </w:p>
        </w:tc>
        <w:tc>
          <w:tcPr>
            <w:tcW w:w="593" w:type="pct"/>
            <w:tcBorders>
              <w:top w:val="nil"/>
              <w:left w:val="nil"/>
              <w:bottom w:val="nil"/>
              <w:right w:val="nil"/>
            </w:tcBorders>
            <w:shd w:val="clear" w:color="000000" w:fill="000000"/>
            <w:noWrap/>
            <w:vAlign w:val="bottom"/>
            <w:hideMark/>
          </w:tcPr>
          <w:p w14:paraId="5D9641F9" w14:textId="77777777" w:rsidR="002D7958" w:rsidRDefault="002D7958" w:rsidP="007F387C">
            <w:pPr>
              <w:jc w:val="center"/>
              <w:rPr>
                <w:rFonts w:eastAsia="Times New Roman" w:cstheme="minorHAnsi"/>
                <w:color w:val="FFFFFF"/>
                <w:sz w:val="22"/>
                <w:lang w:eastAsia="en-AU"/>
              </w:rPr>
            </w:pPr>
            <w:r w:rsidRPr="007B1A96">
              <w:rPr>
                <w:rFonts w:eastAsia="Times New Roman" w:cstheme="minorHAnsi"/>
                <w:color w:val="FFFFFF"/>
                <w:sz w:val="22"/>
                <w:lang w:eastAsia="en-AU"/>
              </w:rPr>
              <w:t>20</w:t>
            </w:r>
            <w:r>
              <w:rPr>
                <w:rFonts w:eastAsia="Times New Roman" w:cstheme="minorHAnsi"/>
                <w:color w:val="FFFFFF"/>
                <w:sz w:val="22"/>
                <w:lang w:eastAsia="en-AU"/>
              </w:rPr>
              <w:t>24</w:t>
            </w:r>
            <w:r w:rsidRPr="007B1A96">
              <w:rPr>
                <w:rFonts w:eastAsia="Times New Roman" w:cstheme="minorHAnsi"/>
                <w:color w:val="FFFFFF"/>
                <w:sz w:val="22"/>
                <w:lang w:eastAsia="en-AU"/>
              </w:rPr>
              <w:t>-2</w:t>
            </w:r>
            <w:r>
              <w:rPr>
                <w:rFonts w:eastAsia="Times New Roman" w:cstheme="minorHAnsi"/>
                <w:color w:val="FFFFFF"/>
                <w:sz w:val="22"/>
                <w:lang w:eastAsia="en-AU"/>
              </w:rPr>
              <w:t>5</w:t>
            </w:r>
          </w:p>
          <w:p w14:paraId="686DD575" w14:textId="77777777" w:rsidR="007F387C" w:rsidRPr="007B1A96" w:rsidRDefault="007F387C" w:rsidP="007F387C">
            <w:pPr>
              <w:jc w:val="center"/>
              <w:rPr>
                <w:rFonts w:eastAsia="Times New Roman" w:cstheme="minorHAnsi"/>
                <w:color w:val="FFFFFF"/>
                <w:sz w:val="22"/>
                <w:lang w:eastAsia="en-AU"/>
              </w:rPr>
            </w:pPr>
            <w:r w:rsidRPr="00615241">
              <w:rPr>
                <w:rFonts w:eastAsia="Times New Roman" w:cs="Arial"/>
                <w:color w:val="FFFFFF"/>
                <w:sz w:val="22"/>
                <w:lang w:val="en-US"/>
              </w:rPr>
              <w:t>($, m)</w:t>
            </w:r>
          </w:p>
        </w:tc>
        <w:tc>
          <w:tcPr>
            <w:tcW w:w="967" w:type="pct"/>
            <w:tcBorders>
              <w:top w:val="nil"/>
              <w:left w:val="nil"/>
              <w:bottom w:val="nil"/>
              <w:right w:val="nil"/>
            </w:tcBorders>
            <w:shd w:val="clear" w:color="000000" w:fill="000000"/>
            <w:noWrap/>
            <w:vAlign w:val="bottom"/>
            <w:hideMark/>
          </w:tcPr>
          <w:p w14:paraId="58A2C7D6" w14:textId="77777777" w:rsidR="002D7958" w:rsidRDefault="002D7958" w:rsidP="007F387C">
            <w:pPr>
              <w:jc w:val="center"/>
              <w:rPr>
                <w:rFonts w:eastAsia="Times New Roman" w:cstheme="minorHAnsi"/>
                <w:color w:val="FFFFFF"/>
                <w:sz w:val="22"/>
                <w:lang w:eastAsia="en-AU"/>
              </w:rPr>
            </w:pPr>
            <w:r>
              <w:rPr>
                <w:rFonts w:eastAsia="Times New Roman" w:cstheme="minorHAnsi"/>
                <w:color w:val="FFFFFF"/>
                <w:sz w:val="22"/>
                <w:lang w:eastAsia="en-AU"/>
              </w:rPr>
              <w:t>Total</w:t>
            </w:r>
            <w:r w:rsidR="00AB7DFB">
              <w:rPr>
                <w:rFonts w:eastAsia="Times New Roman" w:cstheme="minorHAnsi"/>
                <w:color w:val="FFFFFF"/>
                <w:sz w:val="22"/>
                <w:lang w:eastAsia="en-AU"/>
              </w:rPr>
              <w:t xml:space="preserve"> over 4yrs</w:t>
            </w:r>
          </w:p>
          <w:p w14:paraId="77D950E1" w14:textId="77777777" w:rsidR="007F387C" w:rsidRPr="007B1A96" w:rsidRDefault="007F387C" w:rsidP="007F387C">
            <w:pPr>
              <w:jc w:val="center"/>
              <w:rPr>
                <w:rFonts w:eastAsia="Times New Roman" w:cstheme="minorHAnsi"/>
                <w:color w:val="FFFFFF"/>
                <w:sz w:val="22"/>
                <w:lang w:eastAsia="en-AU"/>
              </w:rPr>
            </w:pPr>
            <w:r w:rsidRPr="00615241">
              <w:rPr>
                <w:rFonts w:eastAsia="Times New Roman" w:cs="Arial"/>
                <w:color w:val="FFFFFF"/>
                <w:sz w:val="22"/>
                <w:lang w:val="en-US"/>
              </w:rPr>
              <w:t>($, m)</w:t>
            </w:r>
          </w:p>
        </w:tc>
      </w:tr>
      <w:tr w:rsidR="002D7958" w:rsidRPr="0079747F" w14:paraId="5781771B" w14:textId="77777777" w:rsidTr="00CC2714">
        <w:trPr>
          <w:trHeight w:val="300"/>
        </w:trPr>
        <w:tc>
          <w:tcPr>
            <w:tcW w:w="1663" w:type="pct"/>
            <w:tcBorders>
              <w:top w:val="nil"/>
              <w:left w:val="single" w:sz="4" w:space="0" w:color="auto"/>
              <w:bottom w:val="single" w:sz="4" w:space="0" w:color="auto"/>
              <w:right w:val="single" w:sz="4" w:space="0" w:color="auto"/>
            </w:tcBorders>
            <w:shd w:val="clear" w:color="auto" w:fill="auto"/>
            <w:vAlign w:val="bottom"/>
            <w:hideMark/>
          </w:tcPr>
          <w:p w14:paraId="21629890" w14:textId="77777777" w:rsidR="002D7958" w:rsidRPr="007B1A96" w:rsidRDefault="002D7958" w:rsidP="00F209A6">
            <w:pPr>
              <w:rPr>
                <w:rFonts w:eastAsia="Times New Roman" w:cstheme="minorHAnsi"/>
                <w:color w:val="000000"/>
                <w:sz w:val="22"/>
                <w:lang w:eastAsia="en-AU"/>
              </w:rPr>
            </w:pPr>
            <w:r>
              <w:rPr>
                <w:rFonts w:eastAsia="Times New Roman" w:cstheme="minorHAnsi"/>
                <w:color w:val="000000"/>
                <w:sz w:val="22"/>
                <w:lang w:eastAsia="en-AU"/>
              </w:rPr>
              <w:t>Centre of Excellence to build local infrastructure and capability</w:t>
            </w:r>
          </w:p>
        </w:tc>
        <w:tc>
          <w:tcPr>
            <w:tcW w:w="593" w:type="pct"/>
            <w:tcBorders>
              <w:top w:val="nil"/>
              <w:left w:val="nil"/>
              <w:bottom w:val="single" w:sz="4" w:space="0" w:color="auto"/>
              <w:right w:val="single" w:sz="4" w:space="0" w:color="auto"/>
            </w:tcBorders>
            <w:shd w:val="clear" w:color="auto" w:fill="auto"/>
            <w:vAlign w:val="bottom"/>
            <w:hideMark/>
          </w:tcPr>
          <w:p w14:paraId="5E838B8D" w14:textId="77777777" w:rsidR="002D7958" w:rsidRPr="00B01F76" w:rsidRDefault="002D7958" w:rsidP="005D4590">
            <w:pPr>
              <w:jc w:val="center"/>
              <w:rPr>
                <w:rFonts w:eastAsia="Times New Roman" w:cstheme="minorHAnsi"/>
                <w:color w:val="000000"/>
                <w:sz w:val="22"/>
                <w:lang w:eastAsia="en-AU"/>
              </w:rPr>
            </w:pPr>
            <w:r w:rsidRPr="00B01F76">
              <w:rPr>
                <w:rFonts w:eastAsia="Times New Roman" w:cstheme="minorHAnsi"/>
                <w:color w:val="000000"/>
                <w:sz w:val="22"/>
                <w:lang w:eastAsia="en-AU"/>
              </w:rPr>
              <w:t>1.</w:t>
            </w:r>
            <w:r>
              <w:rPr>
                <w:rFonts w:eastAsia="Times New Roman" w:cstheme="minorHAnsi"/>
                <w:color w:val="000000"/>
                <w:sz w:val="22"/>
                <w:lang w:eastAsia="en-AU"/>
              </w:rPr>
              <w:t>6</w:t>
            </w:r>
            <w:r w:rsidRPr="00B01F76">
              <w:rPr>
                <w:rFonts w:eastAsia="Times New Roman" w:cstheme="minorHAnsi"/>
                <w:color w:val="000000"/>
                <w:sz w:val="22"/>
                <w:lang w:eastAsia="en-AU"/>
              </w:rPr>
              <w:t>5</w:t>
            </w:r>
            <w:r w:rsidR="00813961">
              <w:rPr>
                <w:rFonts w:eastAsia="Times New Roman" w:cstheme="minorHAnsi"/>
                <w:color w:val="000000"/>
                <w:sz w:val="22"/>
                <w:lang w:eastAsia="en-AU"/>
              </w:rPr>
              <w:t>0</w:t>
            </w:r>
          </w:p>
        </w:tc>
        <w:tc>
          <w:tcPr>
            <w:tcW w:w="593" w:type="pct"/>
            <w:tcBorders>
              <w:top w:val="nil"/>
              <w:left w:val="nil"/>
              <w:bottom w:val="single" w:sz="4" w:space="0" w:color="auto"/>
              <w:right w:val="single" w:sz="4" w:space="0" w:color="auto"/>
            </w:tcBorders>
            <w:shd w:val="clear" w:color="auto" w:fill="auto"/>
            <w:vAlign w:val="bottom"/>
            <w:hideMark/>
          </w:tcPr>
          <w:p w14:paraId="778D85BF" w14:textId="77777777" w:rsidR="002D7958" w:rsidRPr="00B01F76" w:rsidRDefault="002D7958" w:rsidP="005D4590">
            <w:pPr>
              <w:jc w:val="center"/>
              <w:rPr>
                <w:rFonts w:eastAsia="Times New Roman" w:cstheme="minorHAnsi"/>
                <w:color w:val="000000"/>
                <w:sz w:val="22"/>
                <w:lang w:eastAsia="en-AU"/>
              </w:rPr>
            </w:pPr>
            <w:r>
              <w:rPr>
                <w:rFonts w:eastAsia="Times New Roman" w:cstheme="minorHAnsi"/>
                <w:color w:val="000000"/>
                <w:sz w:val="22"/>
                <w:lang w:eastAsia="en-AU"/>
              </w:rPr>
              <w:t>8</w:t>
            </w:r>
            <w:r w:rsidRPr="00B01F76">
              <w:rPr>
                <w:rFonts w:eastAsia="Times New Roman" w:cstheme="minorHAnsi"/>
                <w:color w:val="000000"/>
                <w:sz w:val="22"/>
                <w:lang w:eastAsia="en-AU"/>
              </w:rPr>
              <w:t>.</w:t>
            </w:r>
            <w:r>
              <w:rPr>
                <w:rFonts w:eastAsia="Times New Roman" w:cstheme="minorHAnsi"/>
                <w:color w:val="000000"/>
                <w:sz w:val="22"/>
                <w:lang w:eastAsia="en-AU"/>
              </w:rPr>
              <w:t>9</w:t>
            </w:r>
            <w:r w:rsidRPr="00B01F76">
              <w:rPr>
                <w:rFonts w:eastAsia="Times New Roman" w:cstheme="minorHAnsi"/>
                <w:color w:val="000000"/>
                <w:sz w:val="22"/>
                <w:lang w:eastAsia="en-AU"/>
              </w:rPr>
              <w:t>0</w:t>
            </w:r>
            <w:r w:rsidR="00813961">
              <w:rPr>
                <w:rFonts w:eastAsia="Times New Roman" w:cstheme="minorHAnsi"/>
                <w:color w:val="000000"/>
                <w:sz w:val="22"/>
                <w:lang w:eastAsia="en-AU"/>
              </w:rPr>
              <w:t>0</w:t>
            </w:r>
          </w:p>
        </w:tc>
        <w:tc>
          <w:tcPr>
            <w:tcW w:w="593" w:type="pct"/>
            <w:tcBorders>
              <w:top w:val="nil"/>
              <w:left w:val="nil"/>
              <w:bottom w:val="single" w:sz="4" w:space="0" w:color="auto"/>
              <w:right w:val="single" w:sz="4" w:space="0" w:color="auto"/>
            </w:tcBorders>
            <w:shd w:val="clear" w:color="auto" w:fill="auto"/>
            <w:vAlign w:val="bottom"/>
            <w:hideMark/>
          </w:tcPr>
          <w:p w14:paraId="0B50F550" w14:textId="77777777" w:rsidR="002D7958" w:rsidRPr="00B01F76" w:rsidRDefault="002D7958" w:rsidP="005D4590">
            <w:pPr>
              <w:jc w:val="center"/>
              <w:rPr>
                <w:rFonts w:eastAsia="Times New Roman" w:cstheme="minorHAnsi"/>
                <w:color w:val="000000"/>
                <w:sz w:val="22"/>
                <w:lang w:eastAsia="en-AU"/>
              </w:rPr>
            </w:pPr>
            <w:r w:rsidRPr="00B01F76">
              <w:rPr>
                <w:rFonts w:eastAsia="Times New Roman" w:cstheme="minorHAnsi"/>
                <w:color w:val="000000"/>
                <w:sz w:val="22"/>
                <w:lang w:eastAsia="en-AU"/>
              </w:rPr>
              <w:t>3.</w:t>
            </w:r>
            <w:r>
              <w:rPr>
                <w:rFonts w:eastAsia="Times New Roman" w:cstheme="minorHAnsi"/>
                <w:color w:val="000000"/>
                <w:sz w:val="22"/>
                <w:lang w:eastAsia="en-AU"/>
              </w:rPr>
              <w:t>4</w:t>
            </w:r>
            <w:r w:rsidR="00813961">
              <w:rPr>
                <w:rFonts w:eastAsia="Times New Roman" w:cstheme="minorHAnsi"/>
                <w:color w:val="000000"/>
                <w:sz w:val="22"/>
                <w:lang w:eastAsia="en-AU"/>
              </w:rPr>
              <w:t>0</w:t>
            </w:r>
            <w:r w:rsidRPr="00B01F76">
              <w:rPr>
                <w:rFonts w:eastAsia="Times New Roman" w:cstheme="minorHAnsi"/>
                <w:color w:val="000000"/>
                <w:sz w:val="22"/>
                <w:lang w:eastAsia="en-AU"/>
              </w:rPr>
              <w:t>0</w:t>
            </w:r>
          </w:p>
        </w:tc>
        <w:tc>
          <w:tcPr>
            <w:tcW w:w="593" w:type="pct"/>
            <w:tcBorders>
              <w:top w:val="nil"/>
              <w:left w:val="nil"/>
              <w:bottom w:val="single" w:sz="4" w:space="0" w:color="auto"/>
              <w:right w:val="single" w:sz="4" w:space="0" w:color="auto"/>
            </w:tcBorders>
            <w:shd w:val="clear" w:color="auto" w:fill="auto"/>
            <w:vAlign w:val="bottom"/>
            <w:hideMark/>
          </w:tcPr>
          <w:p w14:paraId="3BDFBA88" w14:textId="77777777" w:rsidR="002D7958" w:rsidRPr="00B01F76" w:rsidRDefault="002D7958" w:rsidP="005D4590">
            <w:pPr>
              <w:jc w:val="center"/>
              <w:rPr>
                <w:rFonts w:eastAsia="Times New Roman" w:cstheme="minorHAnsi"/>
                <w:color w:val="000000"/>
                <w:sz w:val="22"/>
                <w:lang w:eastAsia="en-AU"/>
              </w:rPr>
            </w:pPr>
            <w:r w:rsidRPr="00B01F76">
              <w:rPr>
                <w:rFonts w:eastAsia="Times New Roman" w:cstheme="minorHAnsi"/>
                <w:color w:val="000000"/>
                <w:sz w:val="22"/>
                <w:lang w:eastAsia="en-AU"/>
              </w:rPr>
              <w:t>1.</w:t>
            </w:r>
            <w:r>
              <w:rPr>
                <w:rFonts w:eastAsia="Times New Roman" w:cstheme="minorHAnsi"/>
                <w:color w:val="000000"/>
                <w:sz w:val="22"/>
                <w:lang w:eastAsia="en-AU"/>
              </w:rPr>
              <w:t>8</w:t>
            </w:r>
            <w:r w:rsidRPr="00B01F76">
              <w:rPr>
                <w:rFonts w:eastAsia="Times New Roman" w:cstheme="minorHAnsi"/>
                <w:color w:val="000000"/>
                <w:sz w:val="22"/>
                <w:lang w:eastAsia="en-AU"/>
              </w:rPr>
              <w:t>0</w:t>
            </w:r>
            <w:r w:rsidR="00813961">
              <w:rPr>
                <w:rFonts w:eastAsia="Times New Roman" w:cstheme="minorHAnsi"/>
                <w:color w:val="000000"/>
                <w:sz w:val="22"/>
                <w:lang w:eastAsia="en-AU"/>
              </w:rPr>
              <w:t>0</w:t>
            </w:r>
          </w:p>
        </w:tc>
        <w:tc>
          <w:tcPr>
            <w:tcW w:w="967" w:type="pct"/>
            <w:tcBorders>
              <w:top w:val="nil"/>
              <w:left w:val="nil"/>
              <w:bottom w:val="single" w:sz="4" w:space="0" w:color="auto"/>
              <w:right w:val="single" w:sz="4" w:space="0" w:color="auto"/>
            </w:tcBorders>
            <w:shd w:val="clear" w:color="auto" w:fill="auto"/>
            <w:vAlign w:val="bottom"/>
            <w:hideMark/>
          </w:tcPr>
          <w:p w14:paraId="1103BD4A" w14:textId="77777777" w:rsidR="002D7958" w:rsidRPr="00522909" w:rsidRDefault="002D7958" w:rsidP="005D4590">
            <w:pPr>
              <w:jc w:val="center"/>
              <w:rPr>
                <w:rFonts w:eastAsia="Times New Roman" w:cstheme="minorHAnsi"/>
                <w:b/>
                <w:color w:val="000000"/>
                <w:sz w:val="22"/>
                <w:lang w:eastAsia="en-AU"/>
              </w:rPr>
            </w:pPr>
            <w:r w:rsidRPr="00522909">
              <w:rPr>
                <w:rFonts w:eastAsia="Times New Roman" w:cstheme="minorHAnsi"/>
                <w:b/>
                <w:color w:val="000000"/>
                <w:sz w:val="22"/>
                <w:lang w:eastAsia="en-AU"/>
              </w:rPr>
              <w:t>15.75</w:t>
            </w:r>
            <w:r w:rsidR="00813961">
              <w:rPr>
                <w:rFonts w:eastAsia="Times New Roman" w:cstheme="minorHAnsi"/>
                <w:b/>
                <w:color w:val="000000"/>
                <w:sz w:val="22"/>
                <w:lang w:eastAsia="en-AU"/>
              </w:rPr>
              <w:t>0</w:t>
            </w:r>
          </w:p>
        </w:tc>
      </w:tr>
      <w:tr w:rsidR="002D7958" w:rsidRPr="0079747F" w14:paraId="0D37CE1C" w14:textId="77777777" w:rsidTr="00CC2714">
        <w:trPr>
          <w:trHeight w:val="300"/>
        </w:trPr>
        <w:tc>
          <w:tcPr>
            <w:tcW w:w="1663" w:type="pct"/>
            <w:tcBorders>
              <w:top w:val="nil"/>
              <w:left w:val="single" w:sz="4" w:space="0" w:color="auto"/>
              <w:bottom w:val="single" w:sz="4" w:space="0" w:color="auto"/>
              <w:right w:val="single" w:sz="4" w:space="0" w:color="auto"/>
            </w:tcBorders>
            <w:shd w:val="clear" w:color="auto" w:fill="auto"/>
            <w:vAlign w:val="bottom"/>
            <w:hideMark/>
          </w:tcPr>
          <w:p w14:paraId="1CC31BA1" w14:textId="77777777" w:rsidR="002D7958" w:rsidRPr="007B1A96" w:rsidRDefault="002D7958" w:rsidP="00F209A6">
            <w:pPr>
              <w:rPr>
                <w:rFonts w:eastAsia="Times New Roman" w:cstheme="minorHAnsi"/>
                <w:color w:val="000000"/>
                <w:sz w:val="22"/>
                <w:lang w:eastAsia="en-AU"/>
              </w:rPr>
            </w:pPr>
            <w:r>
              <w:rPr>
                <w:rFonts w:eastAsia="Times New Roman" w:cstheme="minorHAnsi"/>
                <w:color w:val="000000"/>
                <w:sz w:val="22"/>
                <w:lang w:eastAsia="en-AU"/>
              </w:rPr>
              <w:t xml:space="preserve">Build </w:t>
            </w:r>
            <w:r w:rsidR="00FA2C6A">
              <w:rPr>
                <w:rFonts w:eastAsia="Times New Roman" w:cstheme="minorHAnsi"/>
                <w:color w:val="000000"/>
                <w:sz w:val="22"/>
                <w:lang w:eastAsia="en-AU"/>
              </w:rPr>
              <w:t xml:space="preserve">the </w:t>
            </w:r>
            <w:r>
              <w:rPr>
                <w:rFonts w:eastAsia="Times New Roman" w:cstheme="minorHAnsi"/>
                <w:color w:val="000000"/>
                <w:sz w:val="22"/>
                <w:lang w:eastAsia="en-AU"/>
              </w:rPr>
              <w:t>optometry workforce</w:t>
            </w:r>
          </w:p>
        </w:tc>
        <w:tc>
          <w:tcPr>
            <w:tcW w:w="593" w:type="pct"/>
            <w:tcBorders>
              <w:top w:val="nil"/>
              <w:left w:val="nil"/>
              <w:bottom w:val="single" w:sz="4" w:space="0" w:color="auto"/>
              <w:right w:val="single" w:sz="4" w:space="0" w:color="auto"/>
            </w:tcBorders>
            <w:shd w:val="clear" w:color="auto" w:fill="auto"/>
            <w:vAlign w:val="bottom"/>
            <w:hideMark/>
          </w:tcPr>
          <w:p w14:paraId="0407BAA5" w14:textId="77777777" w:rsidR="002D7958" w:rsidRPr="00AB3961" w:rsidRDefault="002D7958" w:rsidP="005D4590">
            <w:pPr>
              <w:jc w:val="center"/>
              <w:rPr>
                <w:rFonts w:eastAsia="Times New Roman" w:cstheme="minorHAnsi"/>
                <w:color w:val="000000"/>
                <w:sz w:val="22"/>
                <w:lang w:eastAsia="en-AU"/>
              </w:rPr>
            </w:pPr>
            <w:r>
              <w:rPr>
                <w:rFonts w:eastAsia="Times New Roman" w:cstheme="minorHAnsi"/>
                <w:color w:val="000000"/>
                <w:sz w:val="22"/>
                <w:lang w:eastAsia="en-AU"/>
              </w:rPr>
              <w:t>0.</w:t>
            </w:r>
            <w:r w:rsidRPr="00AB3961">
              <w:rPr>
                <w:rFonts w:eastAsia="Times New Roman" w:cstheme="minorHAnsi"/>
                <w:color w:val="000000"/>
                <w:sz w:val="22"/>
                <w:lang w:eastAsia="en-AU"/>
              </w:rPr>
              <w:t>46</w:t>
            </w:r>
            <w:r w:rsidR="00813961">
              <w:rPr>
                <w:rFonts w:eastAsia="Times New Roman" w:cstheme="minorHAnsi"/>
                <w:color w:val="000000"/>
                <w:sz w:val="22"/>
                <w:lang w:eastAsia="en-AU"/>
              </w:rPr>
              <w:t>0</w:t>
            </w:r>
          </w:p>
        </w:tc>
        <w:tc>
          <w:tcPr>
            <w:tcW w:w="593" w:type="pct"/>
            <w:tcBorders>
              <w:top w:val="nil"/>
              <w:left w:val="nil"/>
              <w:bottom w:val="single" w:sz="4" w:space="0" w:color="auto"/>
              <w:right w:val="single" w:sz="4" w:space="0" w:color="auto"/>
            </w:tcBorders>
            <w:shd w:val="clear" w:color="auto" w:fill="auto"/>
            <w:vAlign w:val="bottom"/>
            <w:hideMark/>
          </w:tcPr>
          <w:p w14:paraId="37900689" w14:textId="77777777" w:rsidR="002D7958" w:rsidRPr="00AB3961" w:rsidRDefault="002D7958" w:rsidP="005D4590">
            <w:pPr>
              <w:jc w:val="center"/>
              <w:rPr>
                <w:rFonts w:eastAsia="Times New Roman" w:cstheme="minorHAnsi"/>
                <w:color w:val="000000"/>
                <w:sz w:val="22"/>
                <w:lang w:eastAsia="en-AU"/>
              </w:rPr>
            </w:pPr>
            <w:r>
              <w:rPr>
                <w:rFonts w:eastAsia="Times New Roman" w:cstheme="minorHAnsi"/>
                <w:color w:val="000000"/>
                <w:sz w:val="22"/>
                <w:lang w:eastAsia="en-AU"/>
              </w:rPr>
              <w:t>0.50</w:t>
            </w:r>
            <w:r w:rsidR="00813961">
              <w:rPr>
                <w:rFonts w:eastAsia="Times New Roman" w:cstheme="minorHAnsi"/>
                <w:color w:val="000000"/>
                <w:sz w:val="22"/>
                <w:lang w:eastAsia="en-AU"/>
              </w:rPr>
              <w:t>0</w:t>
            </w:r>
          </w:p>
        </w:tc>
        <w:tc>
          <w:tcPr>
            <w:tcW w:w="593" w:type="pct"/>
            <w:tcBorders>
              <w:top w:val="nil"/>
              <w:left w:val="nil"/>
              <w:bottom w:val="single" w:sz="4" w:space="0" w:color="auto"/>
              <w:right w:val="single" w:sz="4" w:space="0" w:color="auto"/>
            </w:tcBorders>
            <w:shd w:val="clear" w:color="auto" w:fill="auto"/>
            <w:vAlign w:val="bottom"/>
            <w:hideMark/>
          </w:tcPr>
          <w:p w14:paraId="2B579142" w14:textId="77777777" w:rsidR="002D7958" w:rsidRPr="00AB3961" w:rsidRDefault="002D7958" w:rsidP="005D4590">
            <w:pPr>
              <w:jc w:val="center"/>
              <w:rPr>
                <w:rFonts w:eastAsia="Times New Roman" w:cstheme="minorHAnsi"/>
                <w:color w:val="000000"/>
                <w:sz w:val="22"/>
                <w:lang w:eastAsia="en-AU"/>
              </w:rPr>
            </w:pPr>
            <w:r w:rsidRPr="00AB3961">
              <w:rPr>
                <w:rFonts w:eastAsia="Times New Roman" w:cstheme="minorHAnsi"/>
                <w:color w:val="000000"/>
                <w:sz w:val="22"/>
                <w:lang w:eastAsia="en-AU"/>
              </w:rPr>
              <w:t>1.19</w:t>
            </w:r>
            <w:r w:rsidR="00813961">
              <w:rPr>
                <w:rFonts w:eastAsia="Times New Roman" w:cstheme="minorHAnsi"/>
                <w:color w:val="000000"/>
                <w:sz w:val="22"/>
                <w:lang w:eastAsia="en-AU"/>
              </w:rPr>
              <w:t>0</w:t>
            </w:r>
          </w:p>
        </w:tc>
        <w:tc>
          <w:tcPr>
            <w:tcW w:w="593" w:type="pct"/>
            <w:tcBorders>
              <w:top w:val="nil"/>
              <w:left w:val="nil"/>
              <w:bottom w:val="single" w:sz="4" w:space="0" w:color="auto"/>
              <w:right w:val="single" w:sz="4" w:space="0" w:color="auto"/>
            </w:tcBorders>
            <w:shd w:val="clear" w:color="auto" w:fill="auto"/>
            <w:vAlign w:val="bottom"/>
            <w:hideMark/>
          </w:tcPr>
          <w:p w14:paraId="596C627F" w14:textId="77777777" w:rsidR="002D7958" w:rsidRPr="00AB3961" w:rsidRDefault="002D7958" w:rsidP="005D4590">
            <w:pPr>
              <w:jc w:val="center"/>
              <w:rPr>
                <w:rFonts w:eastAsia="Times New Roman" w:cstheme="minorHAnsi"/>
                <w:color w:val="000000"/>
                <w:sz w:val="22"/>
                <w:lang w:eastAsia="en-AU"/>
              </w:rPr>
            </w:pPr>
            <w:r w:rsidRPr="00AB3961">
              <w:rPr>
                <w:rFonts w:eastAsia="Times New Roman" w:cstheme="minorHAnsi"/>
                <w:color w:val="000000"/>
                <w:sz w:val="22"/>
                <w:lang w:eastAsia="en-AU"/>
              </w:rPr>
              <w:t>1.00</w:t>
            </w:r>
            <w:r w:rsidR="00813961">
              <w:rPr>
                <w:rFonts w:eastAsia="Times New Roman" w:cstheme="minorHAnsi"/>
                <w:color w:val="000000"/>
                <w:sz w:val="22"/>
                <w:lang w:eastAsia="en-AU"/>
              </w:rPr>
              <w:t>0</w:t>
            </w:r>
          </w:p>
        </w:tc>
        <w:tc>
          <w:tcPr>
            <w:tcW w:w="967" w:type="pct"/>
            <w:tcBorders>
              <w:top w:val="nil"/>
              <w:left w:val="nil"/>
              <w:bottom w:val="single" w:sz="4" w:space="0" w:color="auto"/>
              <w:right w:val="single" w:sz="4" w:space="0" w:color="auto"/>
            </w:tcBorders>
            <w:shd w:val="clear" w:color="auto" w:fill="auto"/>
            <w:vAlign w:val="bottom"/>
            <w:hideMark/>
          </w:tcPr>
          <w:p w14:paraId="2E0B93F4" w14:textId="77777777" w:rsidR="002D7958" w:rsidRPr="00522909" w:rsidRDefault="002D7958" w:rsidP="005D4590">
            <w:pPr>
              <w:jc w:val="center"/>
              <w:rPr>
                <w:rFonts w:eastAsia="Times New Roman" w:cstheme="minorHAnsi"/>
                <w:b/>
                <w:color w:val="000000"/>
                <w:sz w:val="22"/>
                <w:lang w:eastAsia="en-AU"/>
              </w:rPr>
            </w:pPr>
            <w:r w:rsidRPr="00522909">
              <w:rPr>
                <w:rFonts w:eastAsia="Times New Roman" w:cstheme="minorHAnsi"/>
                <w:b/>
                <w:color w:val="000000"/>
                <w:sz w:val="22"/>
                <w:lang w:eastAsia="en-AU"/>
              </w:rPr>
              <w:t>3.15</w:t>
            </w:r>
            <w:r w:rsidR="00813961">
              <w:rPr>
                <w:rFonts w:eastAsia="Times New Roman" w:cstheme="minorHAnsi"/>
                <w:b/>
                <w:color w:val="000000"/>
                <w:sz w:val="22"/>
                <w:lang w:eastAsia="en-AU"/>
              </w:rPr>
              <w:t>0</w:t>
            </w:r>
          </w:p>
        </w:tc>
      </w:tr>
      <w:tr w:rsidR="002D7958" w:rsidRPr="0079747F" w14:paraId="67E7EBF4" w14:textId="77777777" w:rsidTr="00CC2714">
        <w:trPr>
          <w:trHeight w:val="300"/>
        </w:trPr>
        <w:tc>
          <w:tcPr>
            <w:tcW w:w="1663" w:type="pct"/>
            <w:tcBorders>
              <w:top w:val="nil"/>
              <w:left w:val="single" w:sz="4" w:space="0" w:color="auto"/>
              <w:bottom w:val="single" w:sz="4" w:space="0" w:color="auto"/>
              <w:right w:val="single" w:sz="4" w:space="0" w:color="auto"/>
            </w:tcBorders>
            <w:shd w:val="clear" w:color="auto" w:fill="auto"/>
            <w:vAlign w:val="bottom"/>
            <w:hideMark/>
          </w:tcPr>
          <w:p w14:paraId="30EAD32D" w14:textId="77777777" w:rsidR="002D7958" w:rsidRPr="007B1A96" w:rsidRDefault="002D7958" w:rsidP="00F209A6">
            <w:pPr>
              <w:rPr>
                <w:rFonts w:eastAsia="Times New Roman" w:cstheme="minorHAnsi"/>
                <w:color w:val="000000"/>
                <w:sz w:val="22"/>
                <w:lang w:eastAsia="en-AU"/>
              </w:rPr>
            </w:pPr>
            <w:r>
              <w:rPr>
                <w:rFonts w:eastAsia="Times New Roman" w:cstheme="minorHAnsi"/>
                <w:color w:val="000000"/>
                <w:sz w:val="22"/>
                <w:lang w:eastAsia="en-AU"/>
              </w:rPr>
              <w:t>Expand service delivery through outreach</w:t>
            </w:r>
          </w:p>
        </w:tc>
        <w:tc>
          <w:tcPr>
            <w:tcW w:w="593" w:type="pct"/>
            <w:tcBorders>
              <w:top w:val="nil"/>
              <w:left w:val="nil"/>
              <w:bottom w:val="single" w:sz="4" w:space="0" w:color="auto"/>
              <w:right w:val="single" w:sz="4" w:space="0" w:color="auto"/>
            </w:tcBorders>
            <w:shd w:val="clear" w:color="auto" w:fill="auto"/>
            <w:vAlign w:val="bottom"/>
            <w:hideMark/>
          </w:tcPr>
          <w:p w14:paraId="3BB4385E" w14:textId="77777777" w:rsidR="002D7958" w:rsidRPr="00B21702" w:rsidRDefault="002D7958" w:rsidP="005D4590">
            <w:pPr>
              <w:jc w:val="center"/>
              <w:rPr>
                <w:rFonts w:eastAsia="Times New Roman" w:cstheme="minorHAnsi"/>
                <w:color w:val="000000"/>
                <w:sz w:val="22"/>
                <w:lang w:eastAsia="en-AU"/>
              </w:rPr>
            </w:pPr>
            <w:r w:rsidRPr="00B21702">
              <w:rPr>
                <w:rFonts w:eastAsia="Times New Roman" w:cstheme="minorHAnsi"/>
                <w:color w:val="000000"/>
                <w:sz w:val="22"/>
                <w:lang w:eastAsia="en-AU"/>
              </w:rPr>
              <w:t>1.</w:t>
            </w:r>
            <w:r>
              <w:rPr>
                <w:rFonts w:eastAsia="Times New Roman" w:cstheme="minorHAnsi"/>
                <w:color w:val="000000"/>
                <w:sz w:val="22"/>
                <w:lang w:eastAsia="en-AU"/>
              </w:rPr>
              <w:t>5</w:t>
            </w:r>
            <w:r w:rsidRPr="00B21702">
              <w:rPr>
                <w:rFonts w:eastAsia="Times New Roman" w:cstheme="minorHAnsi"/>
                <w:color w:val="000000"/>
                <w:sz w:val="22"/>
                <w:lang w:eastAsia="en-AU"/>
              </w:rPr>
              <w:t>3</w:t>
            </w:r>
            <w:r w:rsidR="00813961">
              <w:rPr>
                <w:rFonts w:eastAsia="Times New Roman" w:cstheme="minorHAnsi"/>
                <w:color w:val="000000"/>
                <w:sz w:val="22"/>
                <w:lang w:eastAsia="en-AU"/>
              </w:rPr>
              <w:t>0</w:t>
            </w:r>
          </w:p>
        </w:tc>
        <w:tc>
          <w:tcPr>
            <w:tcW w:w="593" w:type="pct"/>
            <w:tcBorders>
              <w:top w:val="nil"/>
              <w:left w:val="nil"/>
              <w:bottom w:val="single" w:sz="4" w:space="0" w:color="auto"/>
              <w:right w:val="single" w:sz="4" w:space="0" w:color="auto"/>
            </w:tcBorders>
            <w:shd w:val="clear" w:color="auto" w:fill="auto"/>
            <w:vAlign w:val="bottom"/>
            <w:hideMark/>
          </w:tcPr>
          <w:p w14:paraId="0BE351E2" w14:textId="77777777" w:rsidR="002D7958" w:rsidRPr="00B21702" w:rsidRDefault="002D7958" w:rsidP="005D4590">
            <w:pPr>
              <w:jc w:val="center"/>
              <w:rPr>
                <w:rFonts w:eastAsia="Times New Roman" w:cstheme="minorHAnsi"/>
                <w:color w:val="000000"/>
                <w:sz w:val="22"/>
                <w:lang w:eastAsia="en-AU"/>
              </w:rPr>
            </w:pPr>
            <w:r w:rsidRPr="00B21702">
              <w:rPr>
                <w:rFonts w:eastAsia="Times New Roman" w:cstheme="minorHAnsi"/>
                <w:color w:val="000000"/>
                <w:sz w:val="22"/>
                <w:lang w:eastAsia="en-AU"/>
              </w:rPr>
              <w:t>1.</w:t>
            </w:r>
            <w:r>
              <w:rPr>
                <w:rFonts w:eastAsia="Times New Roman" w:cstheme="minorHAnsi"/>
                <w:color w:val="000000"/>
                <w:sz w:val="22"/>
                <w:lang w:eastAsia="en-AU"/>
              </w:rPr>
              <w:t>78</w:t>
            </w:r>
            <w:r w:rsidR="00813961">
              <w:rPr>
                <w:rFonts w:eastAsia="Times New Roman" w:cstheme="minorHAnsi"/>
                <w:color w:val="000000"/>
                <w:sz w:val="22"/>
                <w:lang w:eastAsia="en-AU"/>
              </w:rPr>
              <w:t>0</w:t>
            </w:r>
          </w:p>
        </w:tc>
        <w:tc>
          <w:tcPr>
            <w:tcW w:w="593" w:type="pct"/>
            <w:tcBorders>
              <w:top w:val="nil"/>
              <w:left w:val="nil"/>
              <w:bottom w:val="single" w:sz="4" w:space="0" w:color="auto"/>
              <w:right w:val="single" w:sz="4" w:space="0" w:color="auto"/>
            </w:tcBorders>
            <w:shd w:val="clear" w:color="auto" w:fill="auto"/>
            <w:vAlign w:val="bottom"/>
            <w:hideMark/>
          </w:tcPr>
          <w:p w14:paraId="2AC8F583" w14:textId="77777777" w:rsidR="002D7958" w:rsidRPr="00B21702" w:rsidRDefault="002D7958" w:rsidP="005D4590">
            <w:pPr>
              <w:jc w:val="center"/>
              <w:rPr>
                <w:rFonts w:eastAsia="Times New Roman" w:cstheme="minorHAnsi"/>
                <w:color w:val="000000"/>
                <w:sz w:val="22"/>
                <w:lang w:eastAsia="en-AU"/>
              </w:rPr>
            </w:pPr>
            <w:r w:rsidRPr="00B21702">
              <w:rPr>
                <w:rFonts w:eastAsia="Times New Roman" w:cstheme="minorHAnsi"/>
                <w:color w:val="000000"/>
                <w:sz w:val="22"/>
                <w:lang w:eastAsia="en-AU"/>
              </w:rPr>
              <w:t>1.99</w:t>
            </w:r>
            <w:r w:rsidR="00813961">
              <w:rPr>
                <w:rFonts w:eastAsia="Times New Roman" w:cstheme="minorHAnsi"/>
                <w:color w:val="000000"/>
                <w:sz w:val="22"/>
                <w:lang w:eastAsia="en-AU"/>
              </w:rPr>
              <w:t>0</w:t>
            </w:r>
          </w:p>
        </w:tc>
        <w:tc>
          <w:tcPr>
            <w:tcW w:w="593" w:type="pct"/>
            <w:tcBorders>
              <w:top w:val="nil"/>
              <w:left w:val="nil"/>
              <w:bottom w:val="single" w:sz="4" w:space="0" w:color="auto"/>
              <w:right w:val="single" w:sz="4" w:space="0" w:color="auto"/>
            </w:tcBorders>
            <w:shd w:val="clear" w:color="auto" w:fill="auto"/>
            <w:vAlign w:val="bottom"/>
            <w:hideMark/>
          </w:tcPr>
          <w:p w14:paraId="7A7F7515" w14:textId="77777777" w:rsidR="002D7958" w:rsidRPr="00B21702" w:rsidRDefault="002D7958" w:rsidP="005D4590">
            <w:pPr>
              <w:jc w:val="center"/>
              <w:rPr>
                <w:rFonts w:eastAsia="Times New Roman" w:cstheme="minorHAnsi"/>
                <w:color w:val="000000"/>
                <w:sz w:val="22"/>
                <w:lang w:eastAsia="en-AU"/>
              </w:rPr>
            </w:pPr>
            <w:r w:rsidRPr="00B21702">
              <w:rPr>
                <w:rFonts w:eastAsia="Times New Roman" w:cstheme="minorHAnsi"/>
                <w:color w:val="000000"/>
                <w:sz w:val="22"/>
                <w:lang w:eastAsia="en-AU"/>
              </w:rPr>
              <w:t>1.99</w:t>
            </w:r>
            <w:r w:rsidR="00813961">
              <w:rPr>
                <w:rFonts w:eastAsia="Times New Roman" w:cstheme="minorHAnsi"/>
                <w:color w:val="000000"/>
                <w:sz w:val="22"/>
                <w:lang w:eastAsia="en-AU"/>
              </w:rPr>
              <w:t>0</w:t>
            </w:r>
          </w:p>
        </w:tc>
        <w:tc>
          <w:tcPr>
            <w:tcW w:w="967" w:type="pct"/>
            <w:tcBorders>
              <w:top w:val="nil"/>
              <w:left w:val="nil"/>
              <w:bottom w:val="single" w:sz="4" w:space="0" w:color="auto"/>
              <w:right w:val="single" w:sz="4" w:space="0" w:color="auto"/>
            </w:tcBorders>
            <w:shd w:val="clear" w:color="auto" w:fill="auto"/>
            <w:vAlign w:val="bottom"/>
            <w:hideMark/>
          </w:tcPr>
          <w:p w14:paraId="06BBA64F" w14:textId="77777777" w:rsidR="002D7958" w:rsidRPr="00522909" w:rsidRDefault="002D7958" w:rsidP="005D4590">
            <w:pPr>
              <w:jc w:val="center"/>
              <w:rPr>
                <w:rFonts w:eastAsia="Times New Roman" w:cstheme="minorHAnsi"/>
                <w:b/>
                <w:color w:val="000000"/>
                <w:sz w:val="22"/>
                <w:lang w:eastAsia="en-AU"/>
              </w:rPr>
            </w:pPr>
            <w:r w:rsidRPr="00522909">
              <w:rPr>
                <w:rFonts w:eastAsia="Times New Roman" w:cstheme="minorHAnsi"/>
                <w:b/>
                <w:color w:val="000000"/>
                <w:sz w:val="22"/>
                <w:lang w:eastAsia="en-AU"/>
              </w:rPr>
              <w:t>7.29</w:t>
            </w:r>
            <w:r w:rsidR="00813961">
              <w:rPr>
                <w:rFonts w:eastAsia="Times New Roman" w:cstheme="minorHAnsi"/>
                <w:b/>
                <w:color w:val="000000"/>
                <w:sz w:val="22"/>
                <w:lang w:eastAsia="en-AU"/>
              </w:rPr>
              <w:t>0</w:t>
            </w:r>
          </w:p>
        </w:tc>
      </w:tr>
      <w:tr w:rsidR="002D7958" w:rsidRPr="0079747F" w14:paraId="1F551FCD" w14:textId="77777777" w:rsidTr="00CC2714">
        <w:trPr>
          <w:trHeight w:val="300"/>
        </w:trPr>
        <w:tc>
          <w:tcPr>
            <w:tcW w:w="1663" w:type="pct"/>
            <w:tcBorders>
              <w:top w:val="nil"/>
              <w:left w:val="single" w:sz="4" w:space="0" w:color="auto"/>
              <w:bottom w:val="single" w:sz="4" w:space="0" w:color="auto"/>
              <w:right w:val="single" w:sz="4" w:space="0" w:color="auto"/>
            </w:tcBorders>
            <w:shd w:val="clear" w:color="auto" w:fill="auto"/>
            <w:vAlign w:val="bottom"/>
            <w:hideMark/>
          </w:tcPr>
          <w:p w14:paraId="4753E5E1" w14:textId="77777777" w:rsidR="002D7958" w:rsidRPr="007B1A96" w:rsidRDefault="002D7958" w:rsidP="00F209A6">
            <w:pPr>
              <w:rPr>
                <w:rFonts w:eastAsia="Times New Roman" w:cstheme="minorHAnsi"/>
                <w:b/>
                <w:bCs/>
                <w:i/>
                <w:iCs/>
                <w:color w:val="000000"/>
                <w:sz w:val="22"/>
                <w:lang w:eastAsia="en-AU"/>
              </w:rPr>
            </w:pPr>
            <w:r w:rsidRPr="007B1A96">
              <w:rPr>
                <w:rFonts w:eastAsia="Times New Roman" w:cstheme="minorHAnsi"/>
                <w:b/>
                <w:bCs/>
                <w:i/>
                <w:iCs/>
                <w:color w:val="000000"/>
                <w:sz w:val="22"/>
                <w:lang w:eastAsia="en-AU"/>
              </w:rPr>
              <w:t>Totals</w:t>
            </w:r>
          </w:p>
        </w:tc>
        <w:tc>
          <w:tcPr>
            <w:tcW w:w="593" w:type="pct"/>
            <w:tcBorders>
              <w:top w:val="nil"/>
              <w:left w:val="nil"/>
              <w:bottom w:val="single" w:sz="4" w:space="0" w:color="auto"/>
              <w:right w:val="single" w:sz="4" w:space="0" w:color="auto"/>
            </w:tcBorders>
            <w:shd w:val="clear" w:color="auto" w:fill="auto"/>
            <w:noWrap/>
            <w:vAlign w:val="bottom"/>
            <w:hideMark/>
          </w:tcPr>
          <w:p w14:paraId="78A6B456" w14:textId="77777777" w:rsidR="002D7958" w:rsidRPr="00953410" w:rsidRDefault="002D7958" w:rsidP="005D4590">
            <w:pPr>
              <w:jc w:val="center"/>
              <w:rPr>
                <w:rFonts w:eastAsia="Times New Roman" w:cstheme="minorHAnsi"/>
                <w:b/>
                <w:color w:val="000000"/>
                <w:sz w:val="22"/>
                <w:lang w:eastAsia="en-AU"/>
              </w:rPr>
            </w:pPr>
            <w:r w:rsidRPr="00953410">
              <w:rPr>
                <w:rFonts w:eastAsia="Times New Roman" w:cstheme="minorHAnsi"/>
                <w:b/>
                <w:color w:val="000000"/>
                <w:sz w:val="22"/>
                <w:lang w:eastAsia="en-AU"/>
              </w:rPr>
              <w:t>3.</w:t>
            </w:r>
            <w:r>
              <w:rPr>
                <w:rFonts w:eastAsia="Times New Roman" w:cstheme="minorHAnsi"/>
                <w:b/>
                <w:color w:val="000000"/>
                <w:sz w:val="22"/>
                <w:lang w:eastAsia="en-AU"/>
              </w:rPr>
              <w:t>6</w:t>
            </w:r>
            <w:r w:rsidRPr="00953410">
              <w:rPr>
                <w:rFonts w:eastAsia="Times New Roman" w:cstheme="minorHAnsi"/>
                <w:b/>
                <w:color w:val="000000"/>
                <w:sz w:val="22"/>
                <w:lang w:eastAsia="en-AU"/>
              </w:rPr>
              <w:t>4</w:t>
            </w:r>
            <w:r w:rsidR="00813961">
              <w:rPr>
                <w:rFonts w:eastAsia="Times New Roman" w:cstheme="minorHAnsi"/>
                <w:b/>
                <w:color w:val="000000"/>
                <w:sz w:val="22"/>
                <w:lang w:eastAsia="en-AU"/>
              </w:rPr>
              <w:t>0</w:t>
            </w:r>
          </w:p>
        </w:tc>
        <w:tc>
          <w:tcPr>
            <w:tcW w:w="593" w:type="pct"/>
            <w:tcBorders>
              <w:top w:val="nil"/>
              <w:left w:val="nil"/>
              <w:bottom w:val="single" w:sz="4" w:space="0" w:color="auto"/>
              <w:right w:val="single" w:sz="4" w:space="0" w:color="auto"/>
            </w:tcBorders>
            <w:shd w:val="clear" w:color="auto" w:fill="auto"/>
            <w:noWrap/>
            <w:vAlign w:val="bottom"/>
            <w:hideMark/>
          </w:tcPr>
          <w:p w14:paraId="2E615203" w14:textId="77777777" w:rsidR="002D7958" w:rsidRPr="00953410" w:rsidRDefault="002D7958" w:rsidP="005D4590">
            <w:pPr>
              <w:jc w:val="center"/>
              <w:rPr>
                <w:rFonts w:eastAsia="Times New Roman" w:cstheme="minorHAnsi"/>
                <w:b/>
                <w:color w:val="000000"/>
                <w:sz w:val="22"/>
                <w:lang w:eastAsia="en-AU"/>
              </w:rPr>
            </w:pPr>
            <w:r w:rsidRPr="00953410">
              <w:rPr>
                <w:rFonts w:eastAsia="Times New Roman" w:cstheme="minorHAnsi"/>
                <w:b/>
                <w:color w:val="000000"/>
                <w:sz w:val="22"/>
                <w:lang w:eastAsia="en-AU"/>
              </w:rPr>
              <w:t>1</w:t>
            </w:r>
            <w:r>
              <w:rPr>
                <w:rFonts w:eastAsia="Times New Roman" w:cstheme="minorHAnsi"/>
                <w:b/>
                <w:color w:val="000000"/>
                <w:sz w:val="22"/>
                <w:lang w:eastAsia="en-AU"/>
              </w:rPr>
              <w:t>1</w:t>
            </w:r>
            <w:r w:rsidRPr="00953410">
              <w:rPr>
                <w:rFonts w:eastAsia="Times New Roman" w:cstheme="minorHAnsi"/>
                <w:b/>
                <w:color w:val="000000"/>
                <w:sz w:val="22"/>
                <w:lang w:eastAsia="en-AU"/>
              </w:rPr>
              <w:t>.</w:t>
            </w:r>
            <w:r>
              <w:rPr>
                <w:rFonts w:eastAsia="Times New Roman" w:cstheme="minorHAnsi"/>
                <w:b/>
                <w:color w:val="000000"/>
                <w:sz w:val="22"/>
                <w:lang w:eastAsia="en-AU"/>
              </w:rPr>
              <w:t>18</w:t>
            </w:r>
            <w:r w:rsidR="00813961">
              <w:rPr>
                <w:rFonts w:eastAsia="Times New Roman" w:cstheme="minorHAnsi"/>
                <w:b/>
                <w:color w:val="000000"/>
                <w:sz w:val="22"/>
                <w:lang w:eastAsia="en-AU"/>
              </w:rPr>
              <w:t>0</w:t>
            </w:r>
          </w:p>
        </w:tc>
        <w:tc>
          <w:tcPr>
            <w:tcW w:w="593" w:type="pct"/>
            <w:tcBorders>
              <w:top w:val="nil"/>
              <w:left w:val="nil"/>
              <w:bottom w:val="single" w:sz="4" w:space="0" w:color="auto"/>
              <w:right w:val="single" w:sz="4" w:space="0" w:color="auto"/>
            </w:tcBorders>
            <w:shd w:val="clear" w:color="auto" w:fill="auto"/>
            <w:noWrap/>
            <w:vAlign w:val="bottom"/>
            <w:hideMark/>
          </w:tcPr>
          <w:p w14:paraId="6693FFD9" w14:textId="77777777" w:rsidR="002D7958" w:rsidRPr="00953410" w:rsidRDefault="002D7958" w:rsidP="005D4590">
            <w:pPr>
              <w:jc w:val="center"/>
              <w:rPr>
                <w:rFonts w:eastAsia="Times New Roman" w:cstheme="minorHAnsi"/>
                <w:b/>
                <w:color w:val="000000"/>
                <w:sz w:val="22"/>
                <w:lang w:eastAsia="en-AU"/>
              </w:rPr>
            </w:pPr>
            <w:r w:rsidRPr="00953410">
              <w:rPr>
                <w:rFonts w:eastAsia="Times New Roman" w:cstheme="minorHAnsi"/>
                <w:b/>
                <w:color w:val="000000"/>
                <w:sz w:val="22"/>
                <w:lang w:eastAsia="en-AU"/>
              </w:rPr>
              <w:t>6.58</w:t>
            </w:r>
            <w:r w:rsidR="00813961">
              <w:rPr>
                <w:rFonts w:eastAsia="Times New Roman" w:cstheme="minorHAnsi"/>
                <w:b/>
                <w:color w:val="000000"/>
                <w:sz w:val="22"/>
                <w:lang w:eastAsia="en-AU"/>
              </w:rPr>
              <w:t>0</w:t>
            </w:r>
          </w:p>
        </w:tc>
        <w:tc>
          <w:tcPr>
            <w:tcW w:w="593" w:type="pct"/>
            <w:tcBorders>
              <w:top w:val="nil"/>
              <w:left w:val="nil"/>
              <w:bottom w:val="single" w:sz="4" w:space="0" w:color="auto"/>
              <w:right w:val="single" w:sz="4" w:space="0" w:color="auto"/>
            </w:tcBorders>
            <w:shd w:val="clear" w:color="auto" w:fill="auto"/>
            <w:noWrap/>
            <w:vAlign w:val="bottom"/>
            <w:hideMark/>
          </w:tcPr>
          <w:p w14:paraId="56CB21F7" w14:textId="77777777" w:rsidR="002D7958" w:rsidRPr="00953410" w:rsidRDefault="002D7958" w:rsidP="005D4590">
            <w:pPr>
              <w:jc w:val="center"/>
              <w:rPr>
                <w:rFonts w:eastAsia="Times New Roman" w:cstheme="minorHAnsi"/>
                <w:b/>
                <w:color w:val="000000"/>
                <w:sz w:val="22"/>
                <w:lang w:eastAsia="en-AU"/>
              </w:rPr>
            </w:pPr>
            <w:r w:rsidRPr="00953410">
              <w:rPr>
                <w:rFonts w:eastAsia="Times New Roman" w:cstheme="minorHAnsi"/>
                <w:b/>
                <w:color w:val="000000"/>
                <w:sz w:val="22"/>
                <w:lang w:eastAsia="en-AU"/>
              </w:rPr>
              <w:t>4.79</w:t>
            </w:r>
            <w:r w:rsidR="00813961">
              <w:rPr>
                <w:rFonts w:eastAsia="Times New Roman" w:cstheme="minorHAnsi"/>
                <w:b/>
                <w:color w:val="000000"/>
                <w:sz w:val="22"/>
                <w:lang w:eastAsia="en-AU"/>
              </w:rPr>
              <w:t>0</w:t>
            </w:r>
          </w:p>
        </w:tc>
        <w:tc>
          <w:tcPr>
            <w:tcW w:w="967" w:type="pct"/>
            <w:tcBorders>
              <w:top w:val="nil"/>
              <w:left w:val="nil"/>
              <w:bottom w:val="single" w:sz="4" w:space="0" w:color="auto"/>
              <w:right w:val="single" w:sz="4" w:space="0" w:color="auto"/>
            </w:tcBorders>
            <w:shd w:val="clear" w:color="auto" w:fill="auto"/>
            <w:noWrap/>
            <w:vAlign w:val="bottom"/>
            <w:hideMark/>
          </w:tcPr>
          <w:p w14:paraId="49E2DD6B" w14:textId="77777777" w:rsidR="002D7958" w:rsidRPr="00522909" w:rsidRDefault="002D7958" w:rsidP="005D4590">
            <w:pPr>
              <w:jc w:val="center"/>
              <w:rPr>
                <w:rFonts w:eastAsia="Times New Roman" w:cstheme="minorHAnsi"/>
                <w:b/>
                <w:color w:val="000000"/>
                <w:sz w:val="22"/>
                <w:lang w:eastAsia="en-AU"/>
              </w:rPr>
            </w:pPr>
            <w:r w:rsidRPr="00522909">
              <w:rPr>
                <w:rFonts w:eastAsia="Times New Roman" w:cstheme="minorHAnsi"/>
                <w:b/>
                <w:color w:val="000000"/>
                <w:sz w:val="22"/>
                <w:lang w:eastAsia="en-AU"/>
              </w:rPr>
              <w:t>26.19</w:t>
            </w:r>
            <w:r w:rsidR="00813961">
              <w:rPr>
                <w:rFonts w:eastAsia="Times New Roman" w:cstheme="minorHAnsi"/>
                <w:b/>
                <w:color w:val="000000"/>
                <w:sz w:val="22"/>
                <w:lang w:eastAsia="en-AU"/>
              </w:rPr>
              <w:t>0</w:t>
            </w:r>
          </w:p>
        </w:tc>
      </w:tr>
    </w:tbl>
    <w:p w14:paraId="1FB1AB5B" w14:textId="77777777" w:rsidR="002D7958" w:rsidRDefault="002D7958" w:rsidP="00271CE8">
      <w:pPr>
        <w:pStyle w:val="Heading2"/>
        <w:rPr>
          <w:szCs w:val="32"/>
        </w:rPr>
        <w:sectPr w:rsidR="002D7958" w:rsidSect="00E62EA0">
          <w:pgSz w:w="11906" w:h="16838" w:code="9"/>
          <w:pgMar w:top="2268" w:right="1134" w:bottom="1135" w:left="1134" w:header="567" w:footer="567" w:gutter="0"/>
          <w:cols w:space="708"/>
          <w:docGrid w:linePitch="360"/>
        </w:sectPr>
      </w:pPr>
    </w:p>
    <w:p w14:paraId="7F9975E9" w14:textId="77777777" w:rsidR="00160558" w:rsidRPr="00CC7ED2" w:rsidRDefault="00160558" w:rsidP="00160558">
      <w:pPr>
        <w:pStyle w:val="Heading2"/>
        <w:spacing w:before="0" w:after="0"/>
        <w:rPr>
          <w:szCs w:val="32"/>
        </w:rPr>
      </w:pPr>
      <w:bookmarkStart w:id="9" w:name="_Toc62811555"/>
      <w:r>
        <w:rPr>
          <w:szCs w:val="32"/>
        </w:rPr>
        <w:t>Connected and independent – enhancing support for older Australians with vision loss</w:t>
      </w:r>
      <w:bookmarkEnd w:id="9"/>
    </w:p>
    <w:p w14:paraId="3D4D74B0" w14:textId="77777777" w:rsidR="00160558" w:rsidRDefault="00160558" w:rsidP="00F54BDA">
      <w:pPr>
        <w:pStyle w:val="Heading3"/>
      </w:pPr>
      <w:r>
        <w:t>The problem</w:t>
      </w:r>
    </w:p>
    <w:p w14:paraId="5F826651" w14:textId="77777777" w:rsidR="00160558" w:rsidRDefault="00160558" w:rsidP="00F54BDA">
      <w:pPr>
        <w:pStyle w:val="BodyText"/>
      </w:pPr>
      <w:r>
        <w:t xml:space="preserve">The majority of vision loss occurs in later life, with conditions such as age-related macular degeneration, diabetic retinopathy and glaucoma often causing progressive and irreversible vision loss. Modelling done by Vision 2020 Australia suggests that there are currently some 588,000 older Australians living with vision loss </w:t>
      </w:r>
      <w:r w:rsidR="00813961">
        <w:t>or</w:t>
      </w:r>
      <w:r>
        <w:t xml:space="preserve"> blindness, approximately 347,000 of whom are aged care clients. </w:t>
      </w:r>
    </w:p>
    <w:p w14:paraId="289C1E39" w14:textId="051C6515" w:rsidR="00160558" w:rsidRDefault="00160558" w:rsidP="00F54BDA">
      <w:pPr>
        <w:pStyle w:val="BodyText"/>
      </w:pPr>
      <w:r>
        <w:t xml:space="preserve">Continuing improvements in both the reach and availability of technology, as well as client proficiency and confidence in usage, means </w:t>
      </w:r>
      <w:r w:rsidR="008B3DEB">
        <w:t>that solutions</w:t>
      </w:r>
      <w:r>
        <w:t xml:space="preserve"> </w:t>
      </w:r>
      <w:r w:rsidR="00A30DE7">
        <w:t xml:space="preserve">are available that </w:t>
      </w:r>
      <w:r>
        <w:t xml:space="preserve">can minimise the impact of vision loss and keep older Australians connected to their families and communities. </w:t>
      </w:r>
    </w:p>
    <w:p w14:paraId="084040A9" w14:textId="651220E9" w:rsidR="00160558" w:rsidRDefault="00160558" w:rsidP="00F54BDA">
      <w:pPr>
        <w:pStyle w:val="BodyText"/>
      </w:pPr>
      <w:r>
        <w:t xml:space="preserve">Ready access to appropriate aids and equipment and the associated assessments and training can </w:t>
      </w:r>
      <w:r w:rsidR="00A30DE7">
        <w:t xml:space="preserve">help </w:t>
      </w:r>
      <w:r>
        <w:t xml:space="preserve">older Australians who develop vision loss </w:t>
      </w:r>
      <w:r w:rsidR="008B3DEB">
        <w:t xml:space="preserve">to </w:t>
      </w:r>
      <w:r>
        <w:t>liv</w:t>
      </w:r>
      <w:r w:rsidR="00A30DE7">
        <w:t>e</w:t>
      </w:r>
      <w:r>
        <w:t xml:space="preserve"> independently in their own homes with minimal need for government funded support. Given that many more Australians are working beyond 65 and/or volunteering, there is also a broader economic argument for supporting improved access to these low vision services. </w:t>
      </w:r>
    </w:p>
    <w:p w14:paraId="23FD3F9B" w14:textId="125C81F5" w:rsidR="00160558" w:rsidRDefault="00160558" w:rsidP="00F54BDA">
      <w:pPr>
        <w:pStyle w:val="BodyText"/>
      </w:pPr>
      <w:r>
        <w:t xml:space="preserve">The large majority of older Australians who receive aged care services participate in the Commonwealth Home Support Program (CHSP). Unfortunately, current funding caps on aids and equipment within that program prevent </w:t>
      </w:r>
      <w:r w:rsidR="007917D6">
        <w:t>some</w:t>
      </w:r>
      <w:r>
        <w:t xml:space="preserve"> older Australians from being able to access the equipment they need, </w:t>
      </w:r>
      <w:r w:rsidR="00AF2E74">
        <w:t>while inequitable distribution of this funding means many people cannot access any equipment at all</w:t>
      </w:r>
      <w:r>
        <w:t xml:space="preserve">. There are also significant challenges reported in residential aged care. </w:t>
      </w:r>
    </w:p>
    <w:p w14:paraId="457DD73A" w14:textId="77777777" w:rsidR="00160558" w:rsidRDefault="00160558" w:rsidP="00F54BDA">
      <w:pPr>
        <w:pStyle w:val="BodyText"/>
      </w:pPr>
      <w:r>
        <w:t>Delaying or preventing affordable access to these kinds of supports often results in higher costs to both individuals and government, by leaving older Australians with vision loss at greater risk of falls, poor mental health, early entry to residential care, and other adverse and costly outcomes.</w:t>
      </w:r>
      <w:r>
        <w:rPr>
          <w:rStyle w:val="FootnoteReference"/>
        </w:rPr>
        <w:footnoteReference w:id="6"/>
      </w:r>
    </w:p>
    <w:p w14:paraId="07B6B593" w14:textId="77777777" w:rsidR="00160558" w:rsidRPr="008B15AB" w:rsidRDefault="00160558" w:rsidP="004B4F4D">
      <w:pPr>
        <w:pStyle w:val="Heading3"/>
      </w:pPr>
      <w:r w:rsidRPr="008B15AB">
        <w:t>The solution</w:t>
      </w:r>
    </w:p>
    <w:p w14:paraId="0760724B" w14:textId="77777777" w:rsidR="00160558" w:rsidRDefault="00160558" w:rsidP="00160558">
      <w:pPr>
        <w:spacing w:before="120" w:after="120"/>
        <w:rPr>
          <w:b/>
        </w:rPr>
      </w:pPr>
      <w:r w:rsidRPr="00EF7AD5">
        <w:rPr>
          <w:b/>
        </w:rPr>
        <w:t>Amend current funding arrangements for commonly needed low vision aids and equipment</w:t>
      </w:r>
    </w:p>
    <w:p w14:paraId="1A0D48F7" w14:textId="0872BE3C" w:rsidR="00160558" w:rsidRDefault="00160558" w:rsidP="009D7723">
      <w:pPr>
        <w:pStyle w:val="BodyText"/>
      </w:pPr>
      <w:r>
        <w:t>Changes to current arrangements to aged care funding that expand the range of aids and equipment that people with vision loss can access and increas</w:t>
      </w:r>
      <w:r w:rsidR="006B1D46">
        <w:t>ing</w:t>
      </w:r>
      <w:r>
        <w:t xml:space="preserve"> funding for these will result in significant benefits to individuals, their communities, and governments</w:t>
      </w:r>
      <w:r w:rsidR="00A30DE7">
        <w:t>.</w:t>
      </w:r>
      <w:r>
        <w:rPr>
          <w:rStyle w:val="FootnoteReference"/>
        </w:rPr>
        <w:footnoteReference w:id="7"/>
      </w:r>
      <w:r>
        <w:t xml:space="preserve">  </w:t>
      </w:r>
    </w:p>
    <w:p w14:paraId="0AB4FB88" w14:textId="3EE48698" w:rsidR="00160558" w:rsidRDefault="00160558" w:rsidP="009D7723">
      <w:pPr>
        <w:pStyle w:val="BodyText"/>
      </w:pPr>
      <w:r>
        <w:t xml:space="preserve">Vision 2020 Australia member organisations with expertise in blindness and low vision services have worked together to identify some of the priority equipment which needs to be funded through the aged care system, summarised at </w:t>
      </w:r>
      <w:hyperlink w:anchor="_Attachment__B:" w:history="1">
        <w:r w:rsidRPr="00621AA4">
          <w:rPr>
            <w:rStyle w:val="Hyperlink"/>
          </w:rPr>
          <w:t xml:space="preserve">Attachment </w:t>
        </w:r>
        <w:r w:rsidR="00AD00DB">
          <w:rPr>
            <w:rStyle w:val="Hyperlink"/>
          </w:rPr>
          <w:t>A</w:t>
        </w:r>
      </w:hyperlink>
      <w:r w:rsidR="00541FA9" w:rsidRPr="00541FA9">
        <w:rPr>
          <w:rStyle w:val="Hyperlink"/>
          <w:u w:val="none"/>
        </w:rPr>
        <w:t>.</w:t>
      </w:r>
      <w:r>
        <w:rPr>
          <w:rStyle w:val="FootnoteReference"/>
        </w:rPr>
        <w:footnoteReference w:id="8"/>
      </w:r>
      <w:r>
        <w:t xml:space="preserve"> </w:t>
      </w:r>
    </w:p>
    <w:p w14:paraId="5C22550A" w14:textId="77777777" w:rsidR="00160558" w:rsidRDefault="00160558" w:rsidP="009D7723">
      <w:pPr>
        <w:pStyle w:val="BodyText"/>
      </w:pPr>
      <w:r>
        <w:t xml:space="preserve">While a range of these products are significantly below the current $500 cap, the majority of people, even with minimal loss of vision, will require a combination of products to meet their needs, the cost of which will cumulatively exceed the CHSP cap. Others may require one or more products whose cost exceeds the cap.  </w:t>
      </w:r>
    </w:p>
    <w:p w14:paraId="2C254929" w14:textId="77777777" w:rsidR="00160558" w:rsidRDefault="00160558" w:rsidP="009D7723">
      <w:pPr>
        <w:pStyle w:val="BodyText"/>
      </w:pPr>
      <w:r>
        <w:t xml:space="preserve">The nature of what is required will vary depending on an individual’s visual status, functional needs and environment, although sometimes the cost of providing the appropriate services and supports can be inversely related to their level of vision as people with newly developed conditions often need more support and equipment to set them up effectively. </w:t>
      </w:r>
    </w:p>
    <w:p w14:paraId="2D746C48" w14:textId="77777777" w:rsidR="00160558" w:rsidRDefault="00160558" w:rsidP="009D7723">
      <w:pPr>
        <w:pStyle w:val="BodyText"/>
      </w:pPr>
      <w:r>
        <w:t xml:space="preserve">For mild vision loss, relatively low-cost optical magnifiers can allow people to, for example, read medication labels, food expiry dates, and essential correspondence independently. </w:t>
      </w:r>
    </w:p>
    <w:p w14:paraId="666ADD72" w14:textId="77777777" w:rsidR="00160558" w:rsidRDefault="00160558" w:rsidP="009D7723">
      <w:pPr>
        <w:pStyle w:val="BodyText"/>
      </w:pPr>
      <w:r>
        <w:t xml:space="preserve">For more significant vision loss, use of specialised software to read screens, portable equipment that speaks printed materials, and mobility aids can enable people who are blind or have low vision to safely leave their homes. </w:t>
      </w:r>
    </w:p>
    <w:p w14:paraId="2CBE4FB5" w14:textId="77777777" w:rsidR="00160558" w:rsidRDefault="00160558" w:rsidP="009D7723">
      <w:pPr>
        <w:pStyle w:val="BodyText"/>
      </w:pPr>
      <w:r>
        <w:t>Rather than an exhaustive list of products used by this cohort, the items identified indicate the kinds of products which would be provided more quickly and reliably through this scheme, and the impacts they will have on a person’s independence. Alongside these, some older Australians may require other products or supports such as guide dogs, which are less commonly provided, but entirely critical for some clients.</w:t>
      </w:r>
    </w:p>
    <w:p w14:paraId="1C049ECF" w14:textId="77777777" w:rsidR="00160558" w:rsidRPr="004D2E97" w:rsidRDefault="00160558" w:rsidP="00160558">
      <w:pPr>
        <w:spacing w:before="120" w:after="120"/>
        <w:rPr>
          <w:b/>
        </w:rPr>
      </w:pPr>
      <w:r w:rsidRPr="004D2E97">
        <w:rPr>
          <w:b/>
        </w:rPr>
        <w:t xml:space="preserve">Research project – exploring potential models for aids and equipment libraries </w:t>
      </w:r>
    </w:p>
    <w:p w14:paraId="784D2CAF" w14:textId="3298A925" w:rsidR="00160558" w:rsidRDefault="00160558" w:rsidP="009D7723">
      <w:pPr>
        <w:pStyle w:val="BodyText"/>
      </w:pPr>
      <w:r>
        <w:t xml:space="preserve">There has been increasing policy interest in whether </w:t>
      </w:r>
      <w:r w:rsidR="00A30DE7">
        <w:t xml:space="preserve">lending </w:t>
      </w:r>
      <w:r>
        <w:t xml:space="preserve">library arrangements for visual aids and equipment could provide improved access to a wider range of devices, particularly for those people living with progressive visual conditions into the future. </w:t>
      </w:r>
    </w:p>
    <w:p w14:paraId="43B82C56" w14:textId="77777777" w:rsidR="00160558" w:rsidRDefault="00160558" w:rsidP="009D7723">
      <w:pPr>
        <w:pStyle w:val="BodyText"/>
      </w:pPr>
      <w:r>
        <w:t xml:space="preserve">Vision 2020 Australia members have experience in the establishment and operation of such services, and the sector overall would be able to provide a wealth of practical advice and guidance regarding how such a model could be established, operated and maintained, from a range of perspectives including those of consumer, service provider, and health professionals who work with people with vision loss. </w:t>
      </w:r>
    </w:p>
    <w:p w14:paraId="0B89B557" w14:textId="77777777" w:rsidR="00160558" w:rsidRDefault="00160558" w:rsidP="009D7723">
      <w:pPr>
        <w:pStyle w:val="BodyText"/>
      </w:pPr>
      <w:r>
        <w:t>It is proposed that the Department of Health fund an 18-month research project to draw together this expertise and develop advice and options regarding potential library models, with a view towards implementing this model from 2023-24.</w:t>
      </w:r>
    </w:p>
    <w:p w14:paraId="3CFE72C4" w14:textId="01F24A8E" w:rsidR="00160558" w:rsidRDefault="00160558" w:rsidP="009D7723">
      <w:pPr>
        <w:pStyle w:val="BodyText"/>
      </w:pPr>
      <w:r>
        <w:t>Vision 2020 Australia provides a strong, established platform for this diverse, cross</w:t>
      </w:r>
      <w:r w:rsidR="00A30DE7">
        <w:t>-</w:t>
      </w:r>
      <w:r>
        <w:t>sector and profession</w:t>
      </w:r>
      <w:r w:rsidR="006B1D46">
        <w:t>al</w:t>
      </w:r>
      <w:r>
        <w:t xml:space="preserve"> collaboration, enabling high quality, strategic advice to be developed in a timely manner. This established collaboration means that the blindness and low vision sector provides an </w:t>
      </w:r>
      <w:r w:rsidR="00D36315">
        <w:t xml:space="preserve">appropriate site </w:t>
      </w:r>
      <w:r>
        <w:t>for exploring the practicalities of</w:t>
      </w:r>
      <w:r w:rsidR="00D36315">
        <w:t xml:space="preserve"> the proposed</w:t>
      </w:r>
      <w:r>
        <w:t xml:space="preserve"> approach and developing a model that would have much wider applicability in the future. </w:t>
      </w:r>
    </w:p>
    <w:p w14:paraId="0885B0D5" w14:textId="77777777" w:rsidR="00160558" w:rsidRDefault="00160558" w:rsidP="00C44A8F">
      <w:pPr>
        <w:pStyle w:val="Heading3"/>
      </w:pPr>
      <w:bookmarkStart w:id="10" w:name="_Budget"/>
      <w:bookmarkEnd w:id="10"/>
      <w:r>
        <w:t>Budget</w:t>
      </w:r>
    </w:p>
    <w:p w14:paraId="0BDD96E0" w14:textId="77777777" w:rsidR="00160558" w:rsidRDefault="00160558" w:rsidP="00C44A8F">
      <w:pPr>
        <w:pStyle w:val="BodyText"/>
      </w:pPr>
      <w:r>
        <w:t xml:space="preserve">The costs of expanding access to blindness and low vision aids and equipment will vary according to the nature of vision loss across the older population. </w:t>
      </w:r>
    </w:p>
    <w:p w14:paraId="4EF1CB64" w14:textId="4C968CC7" w:rsidR="00160558" w:rsidRDefault="00160558" w:rsidP="00C44A8F">
      <w:pPr>
        <w:pStyle w:val="BodyText"/>
      </w:pPr>
      <w:r>
        <w:t xml:space="preserve">Some initial models developed by Vision 2020 Australia suggest that for those older Australians with mild to moderate vision loss, average expenditure of around $1700 per person would better meet their needs. For those with more marked vision loss, more costly equipment that provides electronic magnification and other support </w:t>
      </w:r>
      <w:r w:rsidR="00D36315">
        <w:t xml:space="preserve">may </w:t>
      </w:r>
      <w:r>
        <w:t>be required</w:t>
      </w:r>
      <w:r w:rsidR="00D36315">
        <w:t xml:space="preserve">, equating to </w:t>
      </w:r>
      <w:r>
        <w:t xml:space="preserve">average expenditure of </w:t>
      </w:r>
      <w:r w:rsidR="00D36315">
        <w:t xml:space="preserve">approximately </w:t>
      </w:r>
      <w:r>
        <w:t>$4900</w:t>
      </w:r>
      <w:r w:rsidR="006B1D46">
        <w:t xml:space="preserve"> per person</w:t>
      </w:r>
      <w:r w:rsidR="00D36315">
        <w:t>.</w:t>
      </w:r>
      <w:r>
        <w:t xml:space="preserve"> </w:t>
      </w:r>
    </w:p>
    <w:p w14:paraId="2D14A820" w14:textId="6B8C1A76" w:rsidR="00160558" w:rsidRDefault="00160558" w:rsidP="00C44A8F">
      <w:pPr>
        <w:pStyle w:val="BodyText"/>
      </w:pPr>
      <w:r>
        <w:t xml:space="preserve">Improving access to this equipment is </w:t>
      </w:r>
      <w:r w:rsidR="00D36315">
        <w:t xml:space="preserve">a highly </w:t>
      </w:r>
      <w:r w:rsidR="006B1D46">
        <w:t>cost-effective</w:t>
      </w:r>
      <w:r w:rsidR="00D36315">
        <w:t xml:space="preserve"> up-front investment that delivers benefits for both the affected individuals and funders </w:t>
      </w:r>
      <w:r w:rsidR="006B1D46">
        <w:t xml:space="preserve">and </w:t>
      </w:r>
      <w:r w:rsidR="003A5C85">
        <w:t xml:space="preserve">is </w:t>
      </w:r>
      <w:r>
        <w:t xml:space="preserve">likely to reduce the need for more intensive and/or ongoing services. </w:t>
      </w:r>
    </w:p>
    <w:p w14:paraId="0C82A394" w14:textId="70F125E7" w:rsidR="00160558" w:rsidRDefault="00160558" w:rsidP="00C44A8F">
      <w:pPr>
        <w:pStyle w:val="BodyText"/>
      </w:pPr>
      <w:r>
        <w:t xml:space="preserve">Considering the </w:t>
      </w:r>
      <w:r w:rsidRPr="00F21AC3">
        <w:t xml:space="preserve">overall number of older Australians estimated to be living with moderate to severe vision loss, and utilising the above per capita estimates, initial modelling suggests that approximately $7.6 million per annum </w:t>
      </w:r>
      <w:r w:rsidR="00D2165F">
        <w:t xml:space="preserve">is required </w:t>
      </w:r>
      <w:r w:rsidRPr="00F21AC3">
        <w:t>to meet the</w:t>
      </w:r>
      <w:r>
        <w:t xml:space="preserve"> needs of older Australians living with moderate vision loss, assuming that between 10-25% of this group require aids or equipment each year</w:t>
      </w:r>
      <w:r w:rsidR="00D36315">
        <w:t>.</w:t>
      </w:r>
      <w:r>
        <w:rPr>
          <w:rStyle w:val="FootnoteReference"/>
        </w:rPr>
        <w:footnoteReference w:id="9"/>
      </w:r>
      <w:r>
        <w:t xml:space="preserve"> </w:t>
      </w:r>
    </w:p>
    <w:p w14:paraId="0ACA10FA" w14:textId="77777777" w:rsidR="00160558" w:rsidRPr="00CC7ED2" w:rsidRDefault="00160558" w:rsidP="00C44A8F">
      <w:pPr>
        <w:pStyle w:val="BodyText"/>
      </w:pPr>
      <w:r>
        <w:t xml:space="preserve">This investment is sought from 2021-22 to supply a wider range of low vision aids to some 4,190 older Australians with moderate vision loss each year, providing those who develop significant and permanent vision loss with access to the equipment they need to remain independent as well as supplementing equipment for existing CHSP clients whose current funded aids and equipment is insufficient. </w:t>
      </w:r>
    </w:p>
    <w:p w14:paraId="04FA00BE" w14:textId="77777777" w:rsidR="00160558" w:rsidRDefault="00160558" w:rsidP="00C44A8F">
      <w:pPr>
        <w:pStyle w:val="BodyText"/>
      </w:pPr>
      <w:r>
        <w:t xml:space="preserve">It is important to note that sufficient provision for assessment, home modifications and training by an appropriate qualified specialist would be required to support the effective use of this equipment. Estimates of these are not included in the budget below. </w:t>
      </w:r>
    </w:p>
    <w:p w14:paraId="05FB3C2A" w14:textId="68551648" w:rsidR="00160558" w:rsidRDefault="00160558" w:rsidP="00C44A8F">
      <w:pPr>
        <w:pStyle w:val="BodyText"/>
      </w:pPr>
      <w:r>
        <w:t xml:space="preserve">Alongside this, funding is sought for </w:t>
      </w:r>
      <w:r w:rsidR="00D2165F">
        <w:t>an</w:t>
      </w:r>
      <w:r>
        <w:t xml:space="preserve"> </w:t>
      </w:r>
      <w:r w:rsidR="006B1D46">
        <w:t>18 month</w:t>
      </w:r>
      <w:r>
        <w:t xml:space="preserve"> research project to develop a lending library concept. </w:t>
      </w:r>
    </w:p>
    <w:tbl>
      <w:tblPr>
        <w:tblW w:w="5000" w:type="pct"/>
        <w:tblLook w:val="04A0" w:firstRow="1" w:lastRow="0" w:firstColumn="1" w:lastColumn="0" w:noHBand="0" w:noVBand="1"/>
      </w:tblPr>
      <w:tblGrid>
        <w:gridCol w:w="2326"/>
        <w:gridCol w:w="1400"/>
        <w:gridCol w:w="1342"/>
        <w:gridCol w:w="1342"/>
        <w:gridCol w:w="1215"/>
        <w:gridCol w:w="2003"/>
      </w:tblGrid>
      <w:tr w:rsidR="00F21AC3" w:rsidRPr="00615241" w14:paraId="7AE55CBE" w14:textId="77777777" w:rsidTr="00F21AC3">
        <w:trPr>
          <w:trHeight w:val="585"/>
        </w:trPr>
        <w:tc>
          <w:tcPr>
            <w:tcW w:w="1208" w:type="pct"/>
            <w:tcBorders>
              <w:top w:val="single" w:sz="4" w:space="0" w:color="auto"/>
              <w:left w:val="single" w:sz="4" w:space="0" w:color="auto"/>
              <w:bottom w:val="single" w:sz="4" w:space="0" w:color="auto"/>
              <w:right w:val="single" w:sz="4" w:space="0" w:color="auto"/>
            </w:tcBorders>
            <w:shd w:val="clear" w:color="000000" w:fill="000000"/>
            <w:vAlign w:val="bottom"/>
            <w:hideMark/>
          </w:tcPr>
          <w:p w14:paraId="123FC125" w14:textId="77777777" w:rsidR="00F21AC3" w:rsidRDefault="00F21AC3" w:rsidP="00F54BDA">
            <w:pPr>
              <w:rPr>
                <w:rFonts w:eastAsia="Times New Roman" w:cs="Arial"/>
                <w:color w:val="FFFFFF"/>
                <w:sz w:val="22"/>
                <w:lang w:val="en-US"/>
              </w:rPr>
            </w:pPr>
          </w:p>
          <w:p w14:paraId="32E17086" w14:textId="77777777" w:rsidR="00F21AC3" w:rsidRPr="00615241" w:rsidRDefault="00F21AC3" w:rsidP="00F54BDA">
            <w:pPr>
              <w:rPr>
                <w:rFonts w:eastAsia="Times New Roman" w:cs="Arial"/>
                <w:color w:val="FFFFFF"/>
                <w:sz w:val="22"/>
                <w:lang w:val="en-US"/>
              </w:rPr>
            </w:pPr>
          </w:p>
        </w:tc>
        <w:tc>
          <w:tcPr>
            <w:tcW w:w="727" w:type="pct"/>
            <w:tcBorders>
              <w:top w:val="single" w:sz="4" w:space="0" w:color="auto"/>
              <w:left w:val="nil"/>
              <w:bottom w:val="single" w:sz="4" w:space="0" w:color="auto"/>
              <w:right w:val="single" w:sz="4" w:space="0" w:color="auto"/>
            </w:tcBorders>
            <w:shd w:val="clear" w:color="000000" w:fill="000000"/>
            <w:vAlign w:val="bottom"/>
            <w:hideMark/>
          </w:tcPr>
          <w:p w14:paraId="1ECD59DB" w14:textId="77777777" w:rsidR="006B1D46" w:rsidRDefault="00F21AC3" w:rsidP="00F54BDA">
            <w:pPr>
              <w:jc w:val="center"/>
              <w:rPr>
                <w:rFonts w:eastAsia="Times New Roman" w:cs="Arial"/>
                <w:color w:val="FFFFFF"/>
                <w:sz w:val="22"/>
                <w:lang w:val="en-US"/>
              </w:rPr>
            </w:pPr>
            <w:r w:rsidRPr="00615241">
              <w:rPr>
                <w:rFonts w:eastAsia="Times New Roman" w:cs="Arial"/>
                <w:color w:val="FFFFFF"/>
                <w:sz w:val="22"/>
                <w:lang w:val="en-US"/>
              </w:rPr>
              <w:t xml:space="preserve">2021-22 </w:t>
            </w:r>
          </w:p>
          <w:p w14:paraId="0DA6947B" w14:textId="2344BB2C" w:rsidR="00F21AC3" w:rsidRPr="00615241" w:rsidRDefault="00F21AC3" w:rsidP="00F54BDA">
            <w:pPr>
              <w:jc w:val="center"/>
              <w:rPr>
                <w:rFonts w:eastAsia="Times New Roman" w:cs="Arial"/>
                <w:color w:val="FFFFFF"/>
                <w:sz w:val="22"/>
                <w:lang w:val="en-US"/>
              </w:rPr>
            </w:pPr>
            <w:r w:rsidRPr="00615241">
              <w:rPr>
                <w:rFonts w:eastAsia="Times New Roman" w:cs="Arial"/>
                <w:color w:val="FFFFFF"/>
                <w:sz w:val="22"/>
                <w:lang w:val="en-US"/>
              </w:rPr>
              <w:t>($, m)</w:t>
            </w:r>
          </w:p>
        </w:tc>
        <w:tc>
          <w:tcPr>
            <w:tcW w:w="697" w:type="pct"/>
            <w:tcBorders>
              <w:top w:val="single" w:sz="4" w:space="0" w:color="auto"/>
              <w:left w:val="nil"/>
              <w:bottom w:val="single" w:sz="4" w:space="0" w:color="auto"/>
              <w:right w:val="single" w:sz="4" w:space="0" w:color="auto"/>
            </w:tcBorders>
            <w:shd w:val="clear" w:color="000000" w:fill="000000"/>
            <w:vAlign w:val="bottom"/>
            <w:hideMark/>
          </w:tcPr>
          <w:p w14:paraId="7269E1B5" w14:textId="77777777" w:rsidR="006B1D46" w:rsidRDefault="00F21AC3" w:rsidP="00F54BDA">
            <w:pPr>
              <w:jc w:val="center"/>
              <w:rPr>
                <w:rFonts w:eastAsia="Times New Roman" w:cs="Arial"/>
                <w:color w:val="FFFFFF"/>
                <w:sz w:val="22"/>
                <w:lang w:val="en-US"/>
              </w:rPr>
            </w:pPr>
            <w:r w:rsidRPr="00615241">
              <w:rPr>
                <w:rFonts w:eastAsia="Times New Roman" w:cs="Arial"/>
                <w:color w:val="FFFFFF"/>
                <w:sz w:val="22"/>
                <w:lang w:val="en-US"/>
              </w:rPr>
              <w:t xml:space="preserve">2022-23 </w:t>
            </w:r>
          </w:p>
          <w:p w14:paraId="4A9AF751" w14:textId="46FCFC5A" w:rsidR="00F21AC3" w:rsidRPr="00615241" w:rsidRDefault="00F21AC3" w:rsidP="00F54BDA">
            <w:pPr>
              <w:jc w:val="center"/>
              <w:rPr>
                <w:rFonts w:eastAsia="Times New Roman" w:cs="Arial"/>
                <w:color w:val="FFFFFF"/>
                <w:sz w:val="22"/>
                <w:lang w:val="en-US"/>
              </w:rPr>
            </w:pPr>
            <w:r w:rsidRPr="00615241">
              <w:rPr>
                <w:rFonts w:eastAsia="Times New Roman" w:cs="Arial"/>
                <w:color w:val="FFFFFF"/>
                <w:sz w:val="22"/>
                <w:lang w:val="en-US"/>
              </w:rPr>
              <w:t>($, m)</w:t>
            </w:r>
          </w:p>
        </w:tc>
        <w:tc>
          <w:tcPr>
            <w:tcW w:w="697" w:type="pct"/>
            <w:tcBorders>
              <w:top w:val="single" w:sz="4" w:space="0" w:color="auto"/>
              <w:left w:val="nil"/>
              <w:bottom w:val="single" w:sz="4" w:space="0" w:color="auto"/>
              <w:right w:val="single" w:sz="4" w:space="0" w:color="auto"/>
            </w:tcBorders>
            <w:shd w:val="clear" w:color="000000" w:fill="000000"/>
            <w:vAlign w:val="bottom"/>
            <w:hideMark/>
          </w:tcPr>
          <w:p w14:paraId="4B6702B8" w14:textId="77777777" w:rsidR="006B1D46" w:rsidRDefault="00F21AC3" w:rsidP="00F54BDA">
            <w:pPr>
              <w:jc w:val="center"/>
              <w:rPr>
                <w:rFonts w:eastAsia="Times New Roman" w:cs="Arial"/>
                <w:color w:val="FFFFFF"/>
                <w:sz w:val="22"/>
                <w:lang w:val="en-US"/>
              </w:rPr>
            </w:pPr>
            <w:r w:rsidRPr="00615241">
              <w:rPr>
                <w:rFonts w:eastAsia="Times New Roman" w:cs="Arial"/>
                <w:color w:val="FFFFFF"/>
                <w:sz w:val="22"/>
                <w:lang w:val="en-US"/>
              </w:rPr>
              <w:t xml:space="preserve">2023-24 </w:t>
            </w:r>
          </w:p>
          <w:p w14:paraId="360EC6F4" w14:textId="6304D4DD" w:rsidR="00F21AC3" w:rsidRPr="00615241" w:rsidRDefault="00F21AC3" w:rsidP="00F54BDA">
            <w:pPr>
              <w:jc w:val="center"/>
              <w:rPr>
                <w:rFonts w:eastAsia="Times New Roman" w:cs="Arial"/>
                <w:color w:val="FFFFFF"/>
                <w:sz w:val="22"/>
                <w:lang w:val="en-US"/>
              </w:rPr>
            </w:pPr>
            <w:r w:rsidRPr="00615241">
              <w:rPr>
                <w:rFonts w:eastAsia="Times New Roman" w:cs="Arial"/>
                <w:color w:val="FFFFFF"/>
                <w:sz w:val="22"/>
                <w:lang w:val="en-US"/>
              </w:rPr>
              <w:t>($, m)</w:t>
            </w:r>
          </w:p>
        </w:tc>
        <w:tc>
          <w:tcPr>
            <w:tcW w:w="631" w:type="pct"/>
            <w:tcBorders>
              <w:top w:val="single" w:sz="4" w:space="0" w:color="auto"/>
              <w:left w:val="nil"/>
              <w:bottom w:val="single" w:sz="4" w:space="0" w:color="auto"/>
              <w:right w:val="single" w:sz="4" w:space="0" w:color="auto"/>
            </w:tcBorders>
            <w:shd w:val="clear" w:color="000000" w:fill="000000"/>
            <w:vAlign w:val="bottom"/>
            <w:hideMark/>
          </w:tcPr>
          <w:p w14:paraId="6FF34106" w14:textId="77777777" w:rsidR="00F21AC3" w:rsidRPr="00615241" w:rsidRDefault="00F21AC3" w:rsidP="00F54BDA">
            <w:pPr>
              <w:jc w:val="center"/>
              <w:rPr>
                <w:rFonts w:eastAsia="Times New Roman" w:cs="Arial"/>
                <w:color w:val="FFFFFF"/>
                <w:sz w:val="22"/>
                <w:lang w:val="en-US"/>
              </w:rPr>
            </w:pPr>
            <w:r w:rsidRPr="00615241">
              <w:rPr>
                <w:rFonts w:eastAsia="Times New Roman" w:cs="Arial"/>
                <w:color w:val="FFFFFF"/>
                <w:sz w:val="22"/>
                <w:lang w:val="en-US"/>
              </w:rPr>
              <w:t>2024-25 ($, m)</w:t>
            </w:r>
          </w:p>
        </w:tc>
        <w:tc>
          <w:tcPr>
            <w:tcW w:w="1040" w:type="pct"/>
            <w:tcBorders>
              <w:top w:val="single" w:sz="4" w:space="0" w:color="auto"/>
              <w:left w:val="nil"/>
              <w:bottom w:val="single" w:sz="4" w:space="0" w:color="auto"/>
              <w:right w:val="single" w:sz="4" w:space="0" w:color="auto"/>
            </w:tcBorders>
            <w:shd w:val="clear" w:color="000000" w:fill="000000"/>
            <w:vAlign w:val="bottom"/>
            <w:hideMark/>
          </w:tcPr>
          <w:p w14:paraId="621280D5" w14:textId="77777777" w:rsidR="00F21AC3" w:rsidRPr="00615241" w:rsidRDefault="00F21AC3" w:rsidP="00F54BDA">
            <w:pPr>
              <w:jc w:val="center"/>
              <w:rPr>
                <w:rFonts w:eastAsia="Times New Roman" w:cs="Arial"/>
                <w:color w:val="FFFFFF"/>
                <w:sz w:val="22"/>
                <w:lang w:val="en-US"/>
              </w:rPr>
            </w:pPr>
            <w:r w:rsidRPr="00615241">
              <w:rPr>
                <w:rFonts w:eastAsia="Times New Roman" w:cs="Arial"/>
                <w:color w:val="FFFFFF"/>
                <w:sz w:val="22"/>
                <w:lang w:val="en-US"/>
              </w:rPr>
              <w:t xml:space="preserve">Total over 4 </w:t>
            </w:r>
            <w:r>
              <w:rPr>
                <w:rFonts w:eastAsia="Times New Roman" w:cs="Arial"/>
                <w:color w:val="FFFFFF"/>
                <w:sz w:val="22"/>
                <w:lang w:val="en-US"/>
              </w:rPr>
              <w:t>yrs</w:t>
            </w:r>
            <w:r w:rsidRPr="00615241">
              <w:rPr>
                <w:rFonts w:eastAsia="Times New Roman" w:cs="Arial"/>
                <w:color w:val="FFFFFF"/>
                <w:sz w:val="22"/>
                <w:lang w:val="en-US"/>
              </w:rPr>
              <w:t xml:space="preserve"> ($, m)</w:t>
            </w:r>
          </w:p>
        </w:tc>
      </w:tr>
      <w:tr w:rsidR="00F21AC3" w:rsidRPr="00615241" w14:paraId="54553CDA" w14:textId="77777777" w:rsidTr="00F21AC3">
        <w:trPr>
          <w:trHeight w:val="870"/>
        </w:trPr>
        <w:tc>
          <w:tcPr>
            <w:tcW w:w="1208" w:type="pct"/>
            <w:tcBorders>
              <w:top w:val="nil"/>
              <w:left w:val="single" w:sz="4" w:space="0" w:color="auto"/>
              <w:bottom w:val="single" w:sz="4" w:space="0" w:color="auto"/>
              <w:right w:val="single" w:sz="4" w:space="0" w:color="auto"/>
            </w:tcBorders>
            <w:shd w:val="clear" w:color="auto" w:fill="auto"/>
            <w:vAlign w:val="bottom"/>
            <w:hideMark/>
          </w:tcPr>
          <w:p w14:paraId="4C23DE68" w14:textId="77777777" w:rsidR="00F21AC3" w:rsidRPr="00615241" w:rsidRDefault="00F21AC3" w:rsidP="00F54BDA">
            <w:pPr>
              <w:rPr>
                <w:rFonts w:eastAsia="Times New Roman" w:cs="Arial"/>
                <w:color w:val="000000"/>
                <w:sz w:val="22"/>
                <w:lang w:val="en-US"/>
              </w:rPr>
            </w:pPr>
            <w:r w:rsidRPr="00615241">
              <w:rPr>
                <w:rFonts w:eastAsia="Times New Roman" w:cs="Arial"/>
                <w:color w:val="000000"/>
                <w:sz w:val="22"/>
                <w:lang w:val="en-US"/>
              </w:rPr>
              <w:t>Aids and equipment for older Australians with low vision</w:t>
            </w:r>
          </w:p>
        </w:tc>
        <w:tc>
          <w:tcPr>
            <w:tcW w:w="727" w:type="pct"/>
            <w:tcBorders>
              <w:top w:val="nil"/>
              <w:left w:val="nil"/>
              <w:bottom w:val="single" w:sz="4" w:space="0" w:color="auto"/>
              <w:right w:val="single" w:sz="4" w:space="0" w:color="auto"/>
            </w:tcBorders>
            <w:shd w:val="clear" w:color="auto" w:fill="auto"/>
            <w:vAlign w:val="bottom"/>
            <w:hideMark/>
          </w:tcPr>
          <w:p w14:paraId="17181F83" w14:textId="77777777" w:rsidR="00F21AC3" w:rsidRPr="00615241" w:rsidRDefault="00F21AC3" w:rsidP="00F54BDA">
            <w:pPr>
              <w:jc w:val="center"/>
              <w:rPr>
                <w:rFonts w:eastAsia="Times New Roman" w:cs="Arial"/>
                <w:color w:val="000000"/>
                <w:sz w:val="22"/>
                <w:lang w:val="en-US"/>
              </w:rPr>
            </w:pPr>
            <w:r w:rsidRPr="00615241">
              <w:rPr>
                <w:rFonts w:eastAsia="Times New Roman" w:cs="Arial"/>
                <w:color w:val="000000"/>
                <w:sz w:val="22"/>
                <w:lang w:val="en-US"/>
              </w:rPr>
              <w:t>7.642</w:t>
            </w:r>
          </w:p>
        </w:tc>
        <w:tc>
          <w:tcPr>
            <w:tcW w:w="697" w:type="pct"/>
            <w:tcBorders>
              <w:top w:val="nil"/>
              <w:left w:val="nil"/>
              <w:bottom w:val="single" w:sz="4" w:space="0" w:color="auto"/>
              <w:right w:val="single" w:sz="4" w:space="0" w:color="auto"/>
            </w:tcBorders>
            <w:shd w:val="clear" w:color="auto" w:fill="auto"/>
            <w:vAlign w:val="bottom"/>
            <w:hideMark/>
          </w:tcPr>
          <w:p w14:paraId="137DB55E" w14:textId="77777777" w:rsidR="00F21AC3" w:rsidRPr="00615241" w:rsidRDefault="00F21AC3" w:rsidP="00F54BDA">
            <w:pPr>
              <w:jc w:val="center"/>
              <w:rPr>
                <w:rFonts w:eastAsia="Times New Roman" w:cs="Arial"/>
                <w:color w:val="000000"/>
                <w:sz w:val="22"/>
                <w:lang w:val="en-US"/>
              </w:rPr>
            </w:pPr>
            <w:r w:rsidRPr="00615241">
              <w:rPr>
                <w:rFonts w:eastAsia="Times New Roman" w:cs="Arial"/>
                <w:color w:val="000000"/>
                <w:sz w:val="22"/>
                <w:lang w:val="en-US"/>
              </w:rPr>
              <w:t>7.833</w:t>
            </w:r>
          </w:p>
        </w:tc>
        <w:tc>
          <w:tcPr>
            <w:tcW w:w="697" w:type="pct"/>
            <w:tcBorders>
              <w:top w:val="nil"/>
              <w:left w:val="nil"/>
              <w:bottom w:val="single" w:sz="4" w:space="0" w:color="auto"/>
              <w:right w:val="single" w:sz="4" w:space="0" w:color="auto"/>
            </w:tcBorders>
            <w:shd w:val="clear" w:color="auto" w:fill="auto"/>
            <w:vAlign w:val="bottom"/>
            <w:hideMark/>
          </w:tcPr>
          <w:p w14:paraId="58A38348" w14:textId="77777777" w:rsidR="00F21AC3" w:rsidRPr="00615241" w:rsidRDefault="00F21AC3" w:rsidP="00F54BDA">
            <w:pPr>
              <w:jc w:val="center"/>
              <w:rPr>
                <w:rFonts w:eastAsia="Times New Roman" w:cs="Arial"/>
                <w:color w:val="000000"/>
                <w:sz w:val="22"/>
                <w:lang w:val="en-US"/>
              </w:rPr>
            </w:pPr>
            <w:r w:rsidRPr="00615241">
              <w:rPr>
                <w:rFonts w:eastAsia="Times New Roman" w:cs="Arial"/>
                <w:color w:val="000000"/>
                <w:sz w:val="22"/>
                <w:lang w:val="en-US"/>
              </w:rPr>
              <w:t>8.028</w:t>
            </w:r>
          </w:p>
        </w:tc>
        <w:tc>
          <w:tcPr>
            <w:tcW w:w="631" w:type="pct"/>
            <w:tcBorders>
              <w:top w:val="nil"/>
              <w:left w:val="nil"/>
              <w:bottom w:val="single" w:sz="4" w:space="0" w:color="auto"/>
              <w:right w:val="single" w:sz="4" w:space="0" w:color="auto"/>
            </w:tcBorders>
            <w:shd w:val="clear" w:color="auto" w:fill="auto"/>
            <w:vAlign w:val="bottom"/>
            <w:hideMark/>
          </w:tcPr>
          <w:p w14:paraId="13F03A79" w14:textId="77777777" w:rsidR="00F21AC3" w:rsidRPr="00615241" w:rsidRDefault="00F21AC3" w:rsidP="00F54BDA">
            <w:pPr>
              <w:jc w:val="center"/>
              <w:rPr>
                <w:rFonts w:eastAsia="Times New Roman" w:cs="Arial"/>
                <w:color w:val="000000"/>
                <w:sz w:val="22"/>
                <w:lang w:val="en-US"/>
              </w:rPr>
            </w:pPr>
            <w:r w:rsidRPr="00615241">
              <w:rPr>
                <w:rFonts w:eastAsia="Times New Roman" w:cs="Arial"/>
                <w:color w:val="000000"/>
                <w:sz w:val="22"/>
                <w:lang w:val="en-US"/>
              </w:rPr>
              <w:t>8.229</w:t>
            </w:r>
          </w:p>
        </w:tc>
        <w:tc>
          <w:tcPr>
            <w:tcW w:w="1040" w:type="pct"/>
            <w:tcBorders>
              <w:top w:val="nil"/>
              <w:left w:val="nil"/>
              <w:bottom w:val="single" w:sz="4" w:space="0" w:color="auto"/>
              <w:right w:val="single" w:sz="4" w:space="0" w:color="auto"/>
            </w:tcBorders>
            <w:shd w:val="clear" w:color="auto" w:fill="auto"/>
            <w:vAlign w:val="bottom"/>
            <w:hideMark/>
          </w:tcPr>
          <w:p w14:paraId="01FFFB38" w14:textId="77777777" w:rsidR="00F21AC3" w:rsidRPr="00522909" w:rsidRDefault="00F21AC3" w:rsidP="00F54BDA">
            <w:pPr>
              <w:jc w:val="center"/>
              <w:rPr>
                <w:rFonts w:eastAsia="Times New Roman" w:cs="Arial"/>
                <w:b/>
                <w:color w:val="000000"/>
                <w:sz w:val="22"/>
                <w:lang w:val="en-US"/>
              </w:rPr>
            </w:pPr>
            <w:r w:rsidRPr="00522909">
              <w:rPr>
                <w:rFonts w:eastAsia="Times New Roman" w:cs="Arial"/>
                <w:b/>
                <w:color w:val="000000"/>
                <w:sz w:val="22"/>
                <w:lang w:val="en-US"/>
              </w:rPr>
              <w:t>31.732</w:t>
            </w:r>
          </w:p>
        </w:tc>
      </w:tr>
      <w:tr w:rsidR="00F21AC3" w:rsidRPr="00615241" w14:paraId="74473022" w14:textId="77777777" w:rsidTr="00F21AC3">
        <w:trPr>
          <w:trHeight w:val="1440"/>
        </w:trPr>
        <w:tc>
          <w:tcPr>
            <w:tcW w:w="1208" w:type="pct"/>
            <w:tcBorders>
              <w:top w:val="nil"/>
              <w:left w:val="single" w:sz="4" w:space="0" w:color="auto"/>
              <w:bottom w:val="single" w:sz="4" w:space="0" w:color="auto"/>
              <w:right w:val="single" w:sz="4" w:space="0" w:color="auto"/>
            </w:tcBorders>
            <w:shd w:val="clear" w:color="auto" w:fill="auto"/>
            <w:vAlign w:val="bottom"/>
            <w:hideMark/>
          </w:tcPr>
          <w:p w14:paraId="650C6929" w14:textId="77777777" w:rsidR="00F21AC3" w:rsidRPr="00615241" w:rsidRDefault="00F21AC3" w:rsidP="00F54BDA">
            <w:pPr>
              <w:rPr>
                <w:rFonts w:eastAsia="Times New Roman" w:cs="Arial"/>
                <w:color w:val="000000"/>
                <w:sz w:val="22"/>
                <w:lang w:val="en-US"/>
              </w:rPr>
            </w:pPr>
            <w:r w:rsidRPr="00615241">
              <w:rPr>
                <w:rFonts w:eastAsia="Times New Roman" w:cs="Arial"/>
                <w:color w:val="000000"/>
                <w:sz w:val="22"/>
                <w:lang w:val="en-US"/>
              </w:rPr>
              <w:t>Research project - establishing A&amp;E library for older Australians with vision loss</w:t>
            </w:r>
          </w:p>
        </w:tc>
        <w:tc>
          <w:tcPr>
            <w:tcW w:w="727" w:type="pct"/>
            <w:tcBorders>
              <w:top w:val="nil"/>
              <w:left w:val="nil"/>
              <w:bottom w:val="single" w:sz="4" w:space="0" w:color="auto"/>
              <w:right w:val="single" w:sz="4" w:space="0" w:color="auto"/>
            </w:tcBorders>
            <w:shd w:val="clear" w:color="auto" w:fill="auto"/>
            <w:vAlign w:val="bottom"/>
            <w:hideMark/>
          </w:tcPr>
          <w:p w14:paraId="282B454E" w14:textId="77777777" w:rsidR="00F21AC3" w:rsidRPr="00615241" w:rsidRDefault="00F21AC3" w:rsidP="00F54BDA">
            <w:pPr>
              <w:jc w:val="center"/>
              <w:rPr>
                <w:rFonts w:eastAsia="Times New Roman" w:cs="Arial"/>
                <w:color w:val="000000"/>
                <w:sz w:val="22"/>
                <w:lang w:val="en-US"/>
              </w:rPr>
            </w:pPr>
            <w:r w:rsidRPr="00615241">
              <w:rPr>
                <w:rFonts w:eastAsia="Times New Roman" w:cs="Arial"/>
                <w:color w:val="000000"/>
                <w:sz w:val="22"/>
                <w:lang w:val="en-US"/>
              </w:rPr>
              <w:t>0.156</w:t>
            </w:r>
          </w:p>
        </w:tc>
        <w:tc>
          <w:tcPr>
            <w:tcW w:w="697" w:type="pct"/>
            <w:tcBorders>
              <w:top w:val="nil"/>
              <w:left w:val="nil"/>
              <w:bottom w:val="single" w:sz="4" w:space="0" w:color="auto"/>
              <w:right w:val="single" w:sz="4" w:space="0" w:color="auto"/>
            </w:tcBorders>
            <w:shd w:val="clear" w:color="auto" w:fill="auto"/>
            <w:vAlign w:val="bottom"/>
            <w:hideMark/>
          </w:tcPr>
          <w:p w14:paraId="1F0E7B08" w14:textId="77777777" w:rsidR="00F21AC3" w:rsidRPr="00615241" w:rsidRDefault="00F21AC3" w:rsidP="00F54BDA">
            <w:pPr>
              <w:jc w:val="center"/>
              <w:rPr>
                <w:rFonts w:eastAsia="Times New Roman" w:cs="Arial"/>
                <w:color w:val="000000"/>
                <w:sz w:val="22"/>
                <w:lang w:val="en-US"/>
              </w:rPr>
            </w:pPr>
            <w:r w:rsidRPr="00615241">
              <w:rPr>
                <w:rFonts w:eastAsia="Times New Roman" w:cs="Arial"/>
                <w:color w:val="000000"/>
                <w:sz w:val="22"/>
                <w:lang w:val="en-US"/>
              </w:rPr>
              <w:t>0.090</w:t>
            </w:r>
          </w:p>
        </w:tc>
        <w:tc>
          <w:tcPr>
            <w:tcW w:w="697" w:type="pct"/>
            <w:tcBorders>
              <w:top w:val="nil"/>
              <w:left w:val="nil"/>
              <w:bottom w:val="single" w:sz="4" w:space="0" w:color="auto"/>
              <w:right w:val="single" w:sz="4" w:space="0" w:color="auto"/>
            </w:tcBorders>
            <w:shd w:val="clear" w:color="auto" w:fill="auto"/>
            <w:vAlign w:val="bottom"/>
            <w:hideMark/>
          </w:tcPr>
          <w:p w14:paraId="0992B681" w14:textId="77777777" w:rsidR="00F21AC3" w:rsidRPr="00615241" w:rsidRDefault="00F21AC3" w:rsidP="00F54BDA">
            <w:pPr>
              <w:jc w:val="center"/>
              <w:rPr>
                <w:rFonts w:eastAsia="Times New Roman" w:cs="Arial"/>
                <w:color w:val="000000"/>
                <w:sz w:val="22"/>
                <w:lang w:val="en-US"/>
              </w:rPr>
            </w:pPr>
            <w:r w:rsidRPr="00615241">
              <w:rPr>
                <w:rFonts w:eastAsia="Times New Roman" w:cs="Arial"/>
                <w:color w:val="000000"/>
                <w:sz w:val="22"/>
                <w:lang w:val="en-US"/>
              </w:rPr>
              <w:t>-</w:t>
            </w:r>
          </w:p>
        </w:tc>
        <w:tc>
          <w:tcPr>
            <w:tcW w:w="631" w:type="pct"/>
            <w:tcBorders>
              <w:top w:val="nil"/>
              <w:left w:val="nil"/>
              <w:bottom w:val="single" w:sz="4" w:space="0" w:color="auto"/>
              <w:right w:val="single" w:sz="4" w:space="0" w:color="auto"/>
            </w:tcBorders>
            <w:shd w:val="clear" w:color="auto" w:fill="auto"/>
            <w:vAlign w:val="bottom"/>
            <w:hideMark/>
          </w:tcPr>
          <w:p w14:paraId="5C70291C" w14:textId="77777777" w:rsidR="00F21AC3" w:rsidRPr="00615241" w:rsidRDefault="00F21AC3" w:rsidP="00F54BDA">
            <w:pPr>
              <w:jc w:val="center"/>
              <w:rPr>
                <w:rFonts w:eastAsia="Times New Roman" w:cs="Arial"/>
                <w:color w:val="000000"/>
                <w:sz w:val="22"/>
                <w:lang w:val="en-US"/>
              </w:rPr>
            </w:pPr>
            <w:r w:rsidRPr="00615241">
              <w:rPr>
                <w:rFonts w:eastAsia="Times New Roman" w:cs="Arial"/>
                <w:color w:val="000000"/>
                <w:sz w:val="22"/>
                <w:lang w:val="en-US"/>
              </w:rPr>
              <w:t>-</w:t>
            </w:r>
          </w:p>
        </w:tc>
        <w:tc>
          <w:tcPr>
            <w:tcW w:w="1040" w:type="pct"/>
            <w:tcBorders>
              <w:top w:val="nil"/>
              <w:left w:val="nil"/>
              <w:bottom w:val="single" w:sz="4" w:space="0" w:color="auto"/>
              <w:right w:val="single" w:sz="4" w:space="0" w:color="auto"/>
            </w:tcBorders>
            <w:shd w:val="clear" w:color="auto" w:fill="auto"/>
            <w:vAlign w:val="bottom"/>
            <w:hideMark/>
          </w:tcPr>
          <w:p w14:paraId="55E6047E" w14:textId="77777777" w:rsidR="00F21AC3" w:rsidRPr="00522909" w:rsidRDefault="00F21AC3" w:rsidP="00F54BDA">
            <w:pPr>
              <w:jc w:val="center"/>
              <w:rPr>
                <w:rFonts w:eastAsia="Times New Roman" w:cs="Arial"/>
                <w:b/>
                <w:color w:val="000000"/>
                <w:sz w:val="22"/>
                <w:lang w:val="en-US"/>
              </w:rPr>
            </w:pPr>
            <w:r w:rsidRPr="00522909">
              <w:rPr>
                <w:rFonts w:eastAsia="Times New Roman" w:cs="Arial"/>
                <w:b/>
                <w:color w:val="000000"/>
                <w:sz w:val="22"/>
                <w:lang w:val="en-US"/>
              </w:rPr>
              <w:t>0.247</w:t>
            </w:r>
          </w:p>
        </w:tc>
      </w:tr>
      <w:tr w:rsidR="00F21AC3" w:rsidRPr="00C04DAB" w14:paraId="24CC85A8" w14:textId="77777777" w:rsidTr="00F21AC3">
        <w:trPr>
          <w:trHeight w:val="300"/>
        </w:trPr>
        <w:tc>
          <w:tcPr>
            <w:tcW w:w="1208" w:type="pct"/>
            <w:tcBorders>
              <w:top w:val="nil"/>
              <w:left w:val="single" w:sz="4" w:space="0" w:color="auto"/>
              <w:bottom w:val="single" w:sz="4" w:space="0" w:color="auto"/>
              <w:right w:val="single" w:sz="4" w:space="0" w:color="auto"/>
            </w:tcBorders>
            <w:shd w:val="clear" w:color="auto" w:fill="auto"/>
            <w:vAlign w:val="bottom"/>
            <w:hideMark/>
          </w:tcPr>
          <w:p w14:paraId="6A0E8ACD" w14:textId="77777777" w:rsidR="00F21AC3" w:rsidRPr="00C04DAB" w:rsidRDefault="00F21AC3" w:rsidP="00F54BDA">
            <w:pPr>
              <w:rPr>
                <w:rFonts w:eastAsia="Times New Roman" w:cs="Arial"/>
                <w:b/>
                <w:i/>
                <w:color w:val="000000"/>
                <w:sz w:val="22"/>
                <w:lang w:val="en-US"/>
              </w:rPr>
            </w:pPr>
            <w:r w:rsidRPr="006136F9">
              <w:rPr>
                <w:rFonts w:eastAsia="Times New Roman" w:cs="Arial"/>
                <w:b/>
                <w:i/>
                <w:color w:val="000000"/>
                <w:sz w:val="22"/>
                <w:lang w:val="en-US"/>
              </w:rPr>
              <w:t>Totals</w:t>
            </w:r>
          </w:p>
        </w:tc>
        <w:tc>
          <w:tcPr>
            <w:tcW w:w="727" w:type="pct"/>
            <w:tcBorders>
              <w:top w:val="nil"/>
              <w:left w:val="nil"/>
              <w:bottom w:val="single" w:sz="4" w:space="0" w:color="auto"/>
              <w:right w:val="single" w:sz="4" w:space="0" w:color="auto"/>
            </w:tcBorders>
            <w:shd w:val="clear" w:color="auto" w:fill="auto"/>
            <w:vAlign w:val="bottom"/>
            <w:hideMark/>
          </w:tcPr>
          <w:p w14:paraId="4AEFBD74" w14:textId="77777777" w:rsidR="00F21AC3" w:rsidRPr="005D4590" w:rsidRDefault="00F21AC3" w:rsidP="00F54BDA">
            <w:pPr>
              <w:jc w:val="center"/>
              <w:rPr>
                <w:rFonts w:eastAsia="Times New Roman" w:cs="Arial"/>
                <w:b/>
                <w:color w:val="000000"/>
                <w:sz w:val="22"/>
                <w:lang w:val="en-US"/>
              </w:rPr>
            </w:pPr>
            <w:r w:rsidRPr="005D4590">
              <w:rPr>
                <w:rFonts w:eastAsia="Times New Roman" w:cs="Arial"/>
                <w:b/>
                <w:color w:val="000000"/>
                <w:sz w:val="22"/>
                <w:lang w:val="en-US"/>
              </w:rPr>
              <w:t>7.798</w:t>
            </w:r>
          </w:p>
        </w:tc>
        <w:tc>
          <w:tcPr>
            <w:tcW w:w="697" w:type="pct"/>
            <w:tcBorders>
              <w:top w:val="nil"/>
              <w:left w:val="nil"/>
              <w:bottom w:val="single" w:sz="4" w:space="0" w:color="auto"/>
              <w:right w:val="single" w:sz="4" w:space="0" w:color="auto"/>
            </w:tcBorders>
            <w:shd w:val="clear" w:color="auto" w:fill="auto"/>
            <w:vAlign w:val="bottom"/>
            <w:hideMark/>
          </w:tcPr>
          <w:p w14:paraId="6A43E2F4" w14:textId="77777777" w:rsidR="00F21AC3" w:rsidRPr="005D4590" w:rsidRDefault="00F21AC3" w:rsidP="00F54BDA">
            <w:pPr>
              <w:jc w:val="center"/>
              <w:rPr>
                <w:rFonts w:eastAsia="Times New Roman" w:cs="Arial"/>
                <w:b/>
                <w:color w:val="000000"/>
                <w:sz w:val="22"/>
                <w:lang w:val="en-US"/>
              </w:rPr>
            </w:pPr>
            <w:r w:rsidRPr="005D4590">
              <w:rPr>
                <w:rFonts w:eastAsia="Times New Roman" w:cs="Arial"/>
                <w:b/>
                <w:color w:val="000000"/>
                <w:sz w:val="22"/>
                <w:lang w:val="en-US"/>
              </w:rPr>
              <w:t>7.923</w:t>
            </w:r>
          </w:p>
        </w:tc>
        <w:tc>
          <w:tcPr>
            <w:tcW w:w="697" w:type="pct"/>
            <w:tcBorders>
              <w:top w:val="nil"/>
              <w:left w:val="nil"/>
              <w:bottom w:val="single" w:sz="4" w:space="0" w:color="auto"/>
              <w:right w:val="single" w:sz="4" w:space="0" w:color="auto"/>
            </w:tcBorders>
            <w:shd w:val="clear" w:color="auto" w:fill="auto"/>
            <w:vAlign w:val="bottom"/>
            <w:hideMark/>
          </w:tcPr>
          <w:p w14:paraId="4966A659" w14:textId="77777777" w:rsidR="00F21AC3" w:rsidRPr="005D4590" w:rsidRDefault="00F21AC3" w:rsidP="00F54BDA">
            <w:pPr>
              <w:jc w:val="center"/>
              <w:rPr>
                <w:rFonts w:eastAsia="Times New Roman" w:cs="Arial"/>
                <w:b/>
                <w:color w:val="000000"/>
                <w:sz w:val="22"/>
                <w:lang w:val="en-US"/>
              </w:rPr>
            </w:pPr>
            <w:r w:rsidRPr="005D4590">
              <w:rPr>
                <w:rFonts w:eastAsia="Times New Roman" w:cs="Arial"/>
                <w:b/>
                <w:color w:val="000000"/>
                <w:sz w:val="22"/>
                <w:lang w:val="en-US"/>
              </w:rPr>
              <w:t>8.028</w:t>
            </w:r>
          </w:p>
        </w:tc>
        <w:tc>
          <w:tcPr>
            <w:tcW w:w="631" w:type="pct"/>
            <w:tcBorders>
              <w:top w:val="nil"/>
              <w:left w:val="nil"/>
              <w:bottom w:val="single" w:sz="4" w:space="0" w:color="auto"/>
              <w:right w:val="single" w:sz="4" w:space="0" w:color="auto"/>
            </w:tcBorders>
            <w:shd w:val="clear" w:color="auto" w:fill="auto"/>
            <w:vAlign w:val="bottom"/>
            <w:hideMark/>
          </w:tcPr>
          <w:p w14:paraId="020879E7" w14:textId="77777777" w:rsidR="00F21AC3" w:rsidRPr="005D4590" w:rsidRDefault="00F21AC3" w:rsidP="00F54BDA">
            <w:pPr>
              <w:jc w:val="center"/>
              <w:rPr>
                <w:rFonts w:eastAsia="Times New Roman" w:cs="Arial"/>
                <w:b/>
                <w:color w:val="000000"/>
                <w:sz w:val="22"/>
                <w:lang w:val="en-US"/>
              </w:rPr>
            </w:pPr>
            <w:r w:rsidRPr="005D4590">
              <w:rPr>
                <w:rFonts w:eastAsia="Times New Roman" w:cs="Arial"/>
                <w:b/>
                <w:color w:val="000000"/>
                <w:sz w:val="22"/>
                <w:lang w:val="en-US"/>
              </w:rPr>
              <w:t>8.229</w:t>
            </w:r>
          </w:p>
        </w:tc>
        <w:tc>
          <w:tcPr>
            <w:tcW w:w="1040" w:type="pct"/>
            <w:tcBorders>
              <w:top w:val="nil"/>
              <w:left w:val="nil"/>
              <w:bottom w:val="single" w:sz="4" w:space="0" w:color="auto"/>
              <w:right w:val="single" w:sz="4" w:space="0" w:color="auto"/>
            </w:tcBorders>
            <w:shd w:val="clear" w:color="auto" w:fill="auto"/>
            <w:vAlign w:val="bottom"/>
            <w:hideMark/>
          </w:tcPr>
          <w:p w14:paraId="1A395708" w14:textId="77777777" w:rsidR="00F21AC3" w:rsidRPr="005D4590" w:rsidRDefault="00F21AC3" w:rsidP="00F54BDA">
            <w:pPr>
              <w:jc w:val="center"/>
              <w:rPr>
                <w:rFonts w:eastAsia="Times New Roman" w:cs="Arial"/>
                <w:b/>
                <w:color w:val="000000"/>
                <w:sz w:val="22"/>
                <w:lang w:val="en-US"/>
              </w:rPr>
            </w:pPr>
            <w:r w:rsidRPr="005D4590">
              <w:rPr>
                <w:rFonts w:eastAsia="Times New Roman" w:cs="Arial"/>
                <w:b/>
                <w:color w:val="000000"/>
                <w:sz w:val="22"/>
                <w:lang w:val="en-US"/>
              </w:rPr>
              <w:t>31.978</w:t>
            </w:r>
          </w:p>
        </w:tc>
      </w:tr>
    </w:tbl>
    <w:p w14:paraId="55304DE7" w14:textId="77777777" w:rsidR="00160558" w:rsidRDefault="00160558" w:rsidP="00160558"/>
    <w:p w14:paraId="1262F1C6" w14:textId="6F43FED0" w:rsidR="00271CE8" w:rsidRDefault="00271CE8" w:rsidP="00852405">
      <w:pPr>
        <w:pStyle w:val="BodyText"/>
      </w:pPr>
    </w:p>
    <w:p w14:paraId="78E1E9EE" w14:textId="77777777" w:rsidR="00271CE8" w:rsidRDefault="00271CE8" w:rsidP="00861FB6">
      <w:pPr>
        <w:pStyle w:val="BodyText"/>
        <w:sectPr w:rsidR="00271CE8" w:rsidSect="00E62EA0">
          <w:pgSz w:w="11906" w:h="16838" w:code="9"/>
          <w:pgMar w:top="2268" w:right="1134" w:bottom="1135" w:left="1134" w:header="567" w:footer="567" w:gutter="0"/>
          <w:cols w:space="708"/>
          <w:docGrid w:linePitch="360"/>
        </w:sectPr>
      </w:pPr>
    </w:p>
    <w:p w14:paraId="0DD847B9" w14:textId="77777777" w:rsidR="00C44A8F" w:rsidRDefault="00C44A8F" w:rsidP="00FF2D65">
      <w:pPr>
        <w:pStyle w:val="Heading2"/>
      </w:pPr>
      <w:bookmarkStart w:id="11" w:name="_Toc62811556"/>
      <w:r>
        <w:t>Eyes on Call – an innovative approach to enhancing aged care workforce capability in eye health and vision</w:t>
      </w:r>
      <w:bookmarkEnd w:id="11"/>
    </w:p>
    <w:p w14:paraId="3D444C37" w14:textId="77777777" w:rsidR="00C44A8F" w:rsidRDefault="00C44A8F" w:rsidP="00C44A8F">
      <w:pPr>
        <w:pStyle w:val="Heading3"/>
      </w:pPr>
      <w:r>
        <w:t>The challenge</w:t>
      </w:r>
    </w:p>
    <w:p w14:paraId="002CA2D1" w14:textId="77777777" w:rsidR="00C44A8F" w:rsidRPr="009D7723" w:rsidRDefault="00C44A8F" w:rsidP="009D7723">
      <w:pPr>
        <w:pStyle w:val="BodyText"/>
      </w:pPr>
      <w:r w:rsidRPr="009D7723">
        <w:t xml:space="preserve">The prevalence of vision loss doubles in each decade over the age of 40 years, with many older Australians developing age related vision loss. </w:t>
      </w:r>
    </w:p>
    <w:p w14:paraId="4B6ECE51" w14:textId="77777777" w:rsidR="00C44A8F" w:rsidRPr="009D7723" w:rsidRDefault="00C44A8F" w:rsidP="009D7723">
      <w:pPr>
        <w:pStyle w:val="BodyText"/>
      </w:pPr>
      <w:r w:rsidRPr="009D7723">
        <w:t xml:space="preserve">Fortunately, a significant proportion of this can be prevented if risk factors are identified and treated. For those who experience irreversible vision loss, practical strategies, services and supports can help maximise their independence and quality of life. </w:t>
      </w:r>
    </w:p>
    <w:p w14:paraId="74EDE193" w14:textId="5D797CC4" w:rsidR="00C44A8F" w:rsidRPr="009D7723" w:rsidRDefault="00C44A8F" w:rsidP="009D7723">
      <w:pPr>
        <w:pStyle w:val="BodyText"/>
      </w:pPr>
      <w:r w:rsidRPr="009D7723">
        <w:t xml:space="preserve">But maximising available vision, and preventing </w:t>
      </w:r>
      <w:r w:rsidR="00CA1E2F">
        <w:t xml:space="preserve">further </w:t>
      </w:r>
      <w:r w:rsidRPr="009D7723">
        <w:t>vision loss where possible, relies on older Australians and the people who care for them identifying potential risks and/or responding appropriately.</w:t>
      </w:r>
    </w:p>
    <w:p w14:paraId="64F3BF0F" w14:textId="77777777" w:rsidR="00C44A8F" w:rsidRPr="009D7723" w:rsidRDefault="00C44A8F" w:rsidP="009D7723">
      <w:pPr>
        <w:pStyle w:val="BodyText"/>
      </w:pPr>
      <w:r w:rsidRPr="009D7723">
        <w:t xml:space="preserve">Aged care workers in both residential and community settings are uniquely positioned to do this. They see older people regularly, and can thus observe changes in behaviour. They are involved in supporting activities of daily living, and with the right skills and expertise, can help ensure that any emerging visual issues are identified, or that those older Australians living with vision loss have the support they need to remain safe and independent. </w:t>
      </w:r>
    </w:p>
    <w:p w14:paraId="75F5899F" w14:textId="77777777" w:rsidR="00C44A8F" w:rsidRPr="009D7723" w:rsidRDefault="00C44A8F" w:rsidP="009D7723">
      <w:pPr>
        <w:pStyle w:val="BodyText"/>
      </w:pPr>
      <w:r w:rsidRPr="009D7723">
        <w:t xml:space="preserve">The full extent of vision loss amongst current aged care clients is not well understood. Recent analysis by Vision 2020 Australia, drawing on 2018-19 aged care data and prevalence data for the most common eye conditions suggests that over 347,000 existing aged care clients will have vision loss or be blind (Table One). </w:t>
      </w:r>
    </w:p>
    <w:p w14:paraId="67AD9D88" w14:textId="77777777" w:rsidR="00C44A8F" w:rsidRPr="00067467" w:rsidRDefault="00C44A8F" w:rsidP="00C44A8F">
      <w:pPr>
        <w:pStyle w:val="BodyText"/>
        <w:rPr>
          <w:b/>
          <w:sz w:val="20"/>
          <w:szCs w:val="20"/>
        </w:rPr>
      </w:pPr>
      <w:r w:rsidRPr="00067467">
        <w:rPr>
          <w:b/>
          <w:sz w:val="20"/>
          <w:szCs w:val="20"/>
        </w:rPr>
        <w:t>Table One: Estimated number of current aged care clients living with vision loss or blindness</w:t>
      </w:r>
    </w:p>
    <w:tbl>
      <w:tblPr>
        <w:tblW w:w="9100" w:type="dxa"/>
        <w:tblLook w:val="04A0" w:firstRow="1" w:lastRow="0" w:firstColumn="1" w:lastColumn="0" w:noHBand="0" w:noVBand="1"/>
      </w:tblPr>
      <w:tblGrid>
        <w:gridCol w:w="2425"/>
        <w:gridCol w:w="1855"/>
        <w:gridCol w:w="2140"/>
        <w:gridCol w:w="2680"/>
      </w:tblGrid>
      <w:tr w:rsidR="00C44A8F" w:rsidRPr="009D7723" w14:paraId="44A7E6F7" w14:textId="77777777" w:rsidTr="00F54BDA">
        <w:trPr>
          <w:trHeight w:val="855"/>
        </w:trPr>
        <w:tc>
          <w:tcPr>
            <w:tcW w:w="242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A816584" w14:textId="77777777" w:rsidR="00C44A8F" w:rsidRPr="009D7723" w:rsidRDefault="00C44A8F" w:rsidP="00F54BDA">
            <w:pPr>
              <w:jc w:val="center"/>
              <w:rPr>
                <w:rFonts w:ascii="Arial" w:eastAsia="Times New Roman" w:hAnsi="Arial" w:cs="Arial"/>
                <w:color w:val="FFFFFF"/>
                <w:sz w:val="22"/>
                <w:lang w:val="en-US"/>
              </w:rPr>
            </w:pPr>
          </w:p>
        </w:tc>
        <w:tc>
          <w:tcPr>
            <w:tcW w:w="1855" w:type="dxa"/>
            <w:tcBorders>
              <w:top w:val="single" w:sz="4" w:space="0" w:color="auto"/>
              <w:left w:val="nil"/>
              <w:bottom w:val="single" w:sz="4" w:space="0" w:color="auto"/>
              <w:right w:val="single" w:sz="4" w:space="0" w:color="auto"/>
            </w:tcBorders>
            <w:shd w:val="clear" w:color="000000" w:fill="000000"/>
            <w:vAlign w:val="center"/>
            <w:hideMark/>
          </w:tcPr>
          <w:p w14:paraId="21203D24" w14:textId="77777777" w:rsidR="00C44A8F" w:rsidRPr="009D7723" w:rsidRDefault="00C44A8F" w:rsidP="00F54BDA">
            <w:pPr>
              <w:jc w:val="center"/>
              <w:rPr>
                <w:rFonts w:ascii="Arial" w:eastAsia="Times New Roman" w:hAnsi="Arial" w:cs="Arial"/>
                <w:color w:val="FFFFFF"/>
                <w:sz w:val="22"/>
                <w:lang w:val="en-US"/>
              </w:rPr>
            </w:pPr>
            <w:r w:rsidRPr="009D7723">
              <w:rPr>
                <w:rFonts w:ascii="Arial" w:eastAsia="Times New Roman" w:hAnsi="Arial" w:cs="Arial"/>
                <w:color w:val="FFFFFF"/>
                <w:sz w:val="22"/>
                <w:lang w:val="en-US"/>
              </w:rPr>
              <w:t>estimated number with vision loss</w:t>
            </w:r>
          </w:p>
        </w:tc>
        <w:tc>
          <w:tcPr>
            <w:tcW w:w="2140" w:type="dxa"/>
            <w:tcBorders>
              <w:top w:val="single" w:sz="4" w:space="0" w:color="auto"/>
              <w:left w:val="nil"/>
              <w:bottom w:val="single" w:sz="4" w:space="0" w:color="auto"/>
              <w:right w:val="single" w:sz="4" w:space="0" w:color="auto"/>
            </w:tcBorders>
            <w:shd w:val="clear" w:color="000000" w:fill="000000"/>
            <w:vAlign w:val="center"/>
            <w:hideMark/>
          </w:tcPr>
          <w:p w14:paraId="6CD64CCA" w14:textId="77777777" w:rsidR="00C44A8F" w:rsidRPr="009D7723" w:rsidRDefault="00C44A8F" w:rsidP="00F54BDA">
            <w:pPr>
              <w:jc w:val="center"/>
              <w:rPr>
                <w:rFonts w:ascii="Arial" w:eastAsia="Times New Roman" w:hAnsi="Arial" w:cs="Arial"/>
                <w:color w:val="FFFFFF"/>
                <w:sz w:val="22"/>
                <w:lang w:val="en-US"/>
              </w:rPr>
            </w:pPr>
            <w:r w:rsidRPr="009D7723">
              <w:rPr>
                <w:rFonts w:ascii="Arial" w:eastAsia="Times New Roman" w:hAnsi="Arial" w:cs="Arial"/>
                <w:color w:val="FFFFFF"/>
                <w:sz w:val="22"/>
                <w:lang w:val="en-US"/>
              </w:rPr>
              <w:t>estimated number with blindness</w:t>
            </w:r>
          </w:p>
        </w:tc>
        <w:tc>
          <w:tcPr>
            <w:tcW w:w="2680" w:type="dxa"/>
            <w:tcBorders>
              <w:top w:val="single" w:sz="4" w:space="0" w:color="auto"/>
              <w:left w:val="nil"/>
              <w:bottom w:val="single" w:sz="4" w:space="0" w:color="auto"/>
              <w:right w:val="single" w:sz="4" w:space="0" w:color="auto"/>
            </w:tcBorders>
            <w:shd w:val="clear" w:color="000000" w:fill="000000"/>
            <w:vAlign w:val="center"/>
            <w:hideMark/>
          </w:tcPr>
          <w:p w14:paraId="744CE2DB" w14:textId="77777777" w:rsidR="00C44A8F" w:rsidRPr="009D7723" w:rsidRDefault="00C44A8F" w:rsidP="00F54BDA">
            <w:pPr>
              <w:jc w:val="center"/>
              <w:rPr>
                <w:rFonts w:ascii="Arial" w:eastAsia="Times New Roman" w:hAnsi="Arial" w:cs="Arial"/>
                <w:color w:val="FFFFFF"/>
                <w:sz w:val="22"/>
                <w:lang w:val="en-US"/>
              </w:rPr>
            </w:pPr>
            <w:r w:rsidRPr="009D7723">
              <w:rPr>
                <w:rFonts w:ascii="Arial" w:eastAsia="Times New Roman" w:hAnsi="Arial" w:cs="Arial"/>
                <w:color w:val="FFFFFF"/>
                <w:sz w:val="22"/>
                <w:lang w:val="en-US"/>
              </w:rPr>
              <w:t>total number with significant vision conditions</w:t>
            </w:r>
          </w:p>
        </w:tc>
      </w:tr>
      <w:tr w:rsidR="00C44A8F" w:rsidRPr="009D7723" w14:paraId="491B5DD2" w14:textId="77777777" w:rsidTr="00F54BDA">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785471DC" w14:textId="77777777" w:rsidR="00C44A8F" w:rsidRPr="009D7723" w:rsidRDefault="00C44A8F" w:rsidP="00F54BDA">
            <w:pPr>
              <w:rPr>
                <w:rFonts w:ascii="Arial" w:eastAsia="Times New Roman" w:hAnsi="Arial" w:cs="Arial"/>
                <w:sz w:val="22"/>
                <w:lang w:val="en-US"/>
              </w:rPr>
            </w:pPr>
            <w:r w:rsidRPr="009D7723">
              <w:rPr>
                <w:rFonts w:ascii="Arial" w:eastAsia="Times New Roman" w:hAnsi="Arial" w:cs="Arial"/>
                <w:sz w:val="22"/>
                <w:lang w:val="en-US"/>
              </w:rPr>
              <w:t>Residential aged care</w:t>
            </w:r>
          </w:p>
        </w:tc>
        <w:tc>
          <w:tcPr>
            <w:tcW w:w="1855" w:type="dxa"/>
            <w:tcBorders>
              <w:top w:val="nil"/>
              <w:left w:val="nil"/>
              <w:bottom w:val="single" w:sz="4" w:space="0" w:color="auto"/>
              <w:right w:val="single" w:sz="4" w:space="0" w:color="auto"/>
            </w:tcBorders>
            <w:shd w:val="clear" w:color="auto" w:fill="auto"/>
            <w:noWrap/>
            <w:vAlign w:val="center"/>
            <w:hideMark/>
          </w:tcPr>
          <w:p w14:paraId="5AA106D9" w14:textId="77777777" w:rsidR="00C44A8F" w:rsidRPr="009D7723" w:rsidRDefault="00C44A8F" w:rsidP="00F54BDA">
            <w:pPr>
              <w:jc w:val="center"/>
              <w:rPr>
                <w:rFonts w:ascii="Arial" w:eastAsia="Times New Roman" w:hAnsi="Arial" w:cs="Arial"/>
                <w:sz w:val="22"/>
                <w:lang w:val="en-US"/>
              </w:rPr>
            </w:pPr>
            <w:r w:rsidRPr="009D7723">
              <w:rPr>
                <w:rFonts w:ascii="Arial" w:eastAsia="Times New Roman" w:hAnsi="Arial" w:cs="Arial"/>
                <w:sz w:val="22"/>
                <w:lang w:val="en-US"/>
              </w:rPr>
              <w:t>73,171</w:t>
            </w:r>
          </w:p>
        </w:tc>
        <w:tc>
          <w:tcPr>
            <w:tcW w:w="2140" w:type="dxa"/>
            <w:tcBorders>
              <w:top w:val="nil"/>
              <w:left w:val="nil"/>
              <w:bottom w:val="single" w:sz="4" w:space="0" w:color="auto"/>
              <w:right w:val="single" w:sz="4" w:space="0" w:color="auto"/>
            </w:tcBorders>
            <w:shd w:val="clear" w:color="auto" w:fill="auto"/>
            <w:noWrap/>
            <w:vAlign w:val="center"/>
            <w:hideMark/>
          </w:tcPr>
          <w:p w14:paraId="6E908B78" w14:textId="77777777" w:rsidR="00C44A8F" w:rsidRPr="009D7723" w:rsidRDefault="00C44A8F" w:rsidP="00F54BDA">
            <w:pPr>
              <w:jc w:val="center"/>
              <w:rPr>
                <w:rFonts w:ascii="Arial" w:eastAsia="Times New Roman" w:hAnsi="Arial" w:cs="Arial"/>
                <w:sz w:val="22"/>
                <w:lang w:val="en-US"/>
              </w:rPr>
            </w:pPr>
            <w:r w:rsidRPr="009D7723">
              <w:rPr>
                <w:rFonts w:ascii="Arial" w:eastAsia="Times New Roman" w:hAnsi="Arial" w:cs="Arial"/>
                <w:sz w:val="22"/>
                <w:lang w:val="en-US"/>
              </w:rPr>
              <w:t>19,582</w:t>
            </w:r>
          </w:p>
        </w:tc>
        <w:tc>
          <w:tcPr>
            <w:tcW w:w="2680" w:type="dxa"/>
            <w:tcBorders>
              <w:top w:val="nil"/>
              <w:left w:val="nil"/>
              <w:bottom w:val="single" w:sz="4" w:space="0" w:color="auto"/>
              <w:right w:val="single" w:sz="4" w:space="0" w:color="auto"/>
            </w:tcBorders>
            <w:shd w:val="clear" w:color="auto" w:fill="auto"/>
            <w:noWrap/>
            <w:vAlign w:val="center"/>
            <w:hideMark/>
          </w:tcPr>
          <w:p w14:paraId="3A43763A" w14:textId="77777777" w:rsidR="00C44A8F" w:rsidRPr="009D7723" w:rsidRDefault="00C44A8F" w:rsidP="00F54BDA">
            <w:pPr>
              <w:jc w:val="center"/>
              <w:rPr>
                <w:rFonts w:ascii="Arial" w:eastAsia="Times New Roman" w:hAnsi="Arial" w:cs="Arial"/>
                <w:sz w:val="22"/>
                <w:lang w:val="en-US"/>
              </w:rPr>
            </w:pPr>
            <w:r w:rsidRPr="009D7723">
              <w:rPr>
                <w:rFonts w:ascii="Arial" w:eastAsia="Times New Roman" w:hAnsi="Arial" w:cs="Arial"/>
                <w:sz w:val="22"/>
                <w:lang w:val="en-US"/>
              </w:rPr>
              <w:t>92,753</w:t>
            </w:r>
          </w:p>
        </w:tc>
      </w:tr>
      <w:tr w:rsidR="00C44A8F" w:rsidRPr="009D7723" w14:paraId="4906828F" w14:textId="77777777" w:rsidTr="00F54BDA">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39EB1775" w14:textId="77777777" w:rsidR="00C44A8F" w:rsidRPr="009D7723" w:rsidRDefault="00C44A8F" w:rsidP="00F54BDA">
            <w:pPr>
              <w:rPr>
                <w:rFonts w:ascii="Arial" w:eastAsia="Times New Roman" w:hAnsi="Arial" w:cs="Arial"/>
                <w:sz w:val="22"/>
                <w:lang w:val="en-US"/>
              </w:rPr>
            </w:pPr>
            <w:r w:rsidRPr="009D7723">
              <w:rPr>
                <w:rFonts w:ascii="Arial" w:eastAsia="Times New Roman" w:hAnsi="Arial" w:cs="Arial"/>
                <w:sz w:val="22"/>
                <w:lang w:val="en-US"/>
              </w:rPr>
              <w:t xml:space="preserve">Home care </w:t>
            </w:r>
            <w:r w:rsidRPr="00813961">
              <w:rPr>
                <w:rFonts w:ascii="Arial" w:eastAsia="Times New Roman" w:hAnsi="Arial" w:cs="Arial"/>
                <w:sz w:val="20"/>
                <w:szCs w:val="20"/>
                <w:lang w:val="en-US"/>
              </w:rPr>
              <w:t>(levels 1-4)</w:t>
            </w:r>
          </w:p>
        </w:tc>
        <w:tc>
          <w:tcPr>
            <w:tcW w:w="1855" w:type="dxa"/>
            <w:tcBorders>
              <w:top w:val="nil"/>
              <w:left w:val="nil"/>
              <w:bottom w:val="single" w:sz="4" w:space="0" w:color="auto"/>
              <w:right w:val="single" w:sz="4" w:space="0" w:color="auto"/>
            </w:tcBorders>
            <w:shd w:val="clear" w:color="auto" w:fill="auto"/>
            <w:noWrap/>
            <w:vAlign w:val="center"/>
            <w:hideMark/>
          </w:tcPr>
          <w:p w14:paraId="0AEFB900" w14:textId="77777777" w:rsidR="00C44A8F" w:rsidRPr="009D7723" w:rsidRDefault="00C44A8F" w:rsidP="00F54BDA">
            <w:pPr>
              <w:jc w:val="center"/>
              <w:rPr>
                <w:rFonts w:ascii="Arial" w:eastAsia="Times New Roman" w:hAnsi="Arial" w:cs="Arial"/>
                <w:sz w:val="22"/>
                <w:lang w:val="en-US"/>
              </w:rPr>
            </w:pPr>
            <w:r w:rsidRPr="009D7723">
              <w:rPr>
                <w:rFonts w:ascii="Arial" w:eastAsia="Times New Roman" w:hAnsi="Arial" w:cs="Arial"/>
                <w:sz w:val="22"/>
                <w:lang w:val="en-US"/>
              </w:rPr>
              <w:t>34,309</w:t>
            </w:r>
          </w:p>
        </w:tc>
        <w:tc>
          <w:tcPr>
            <w:tcW w:w="2140" w:type="dxa"/>
            <w:tcBorders>
              <w:top w:val="nil"/>
              <w:left w:val="nil"/>
              <w:bottom w:val="single" w:sz="4" w:space="0" w:color="auto"/>
              <w:right w:val="single" w:sz="4" w:space="0" w:color="auto"/>
            </w:tcBorders>
            <w:shd w:val="clear" w:color="auto" w:fill="auto"/>
            <w:noWrap/>
            <w:vAlign w:val="center"/>
            <w:hideMark/>
          </w:tcPr>
          <w:p w14:paraId="2998F225" w14:textId="77777777" w:rsidR="00C44A8F" w:rsidRPr="009D7723" w:rsidRDefault="00C44A8F" w:rsidP="00F54BDA">
            <w:pPr>
              <w:jc w:val="center"/>
              <w:rPr>
                <w:rFonts w:ascii="Arial" w:eastAsia="Times New Roman" w:hAnsi="Arial" w:cs="Arial"/>
                <w:sz w:val="22"/>
                <w:lang w:val="en-US"/>
              </w:rPr>
            </w:pPr>
            <w:r w:rsidRPr="009D7723">
              <w:rPr>
                <w:rFonts w:ascii="Arial" w:eastAsia="Times New Roman" w:hAnsi="Arial" w:cs="Arial"/>
                <w:sz w:val="22"/>
                <w:lang w:val="en-US"/>
              </w:rPr>
              <w:t>7,529</w:t>
            </w:r>
          </w:p>
        </w:tc>
        <w:tc>
          <w:tcPr>
            <w:tcW w:w="2680" w:type="dxa"/>
            <w:tcBorders>
              <w:top w:val="nil"/>
              <w:left w:val="nil"/>
              <w:bottom w:val="single" w:sz="4" w:space="0" w:color="auto"/>
              <w:right w:val="single" w:sz="4" w:space="0" w:color="auto"/>
            </w:tcBorders>
            <w:shd w:val="clear" w:color="auto" w:fill="auto"/>
            <w:noWrap/>
            <w:vAlign w:val="center"/>
            <w:hideMark/>
          </w:tcPr>
          <w:p w14:paraId="6B8E314F" w14:textId="77777777" w:rsidR="00C44A8F" w:rsidRPr="009D7723" w:rsidRDefault="00C44A8F" w:rsidP="00F54BDA">
            <w:pPr>
              <w:jc w:val="center"/>
              <w:rPr>
                <w:rFonts w:ascii="Arial" w:eastAsia="Times New Roman" w:hAnsi="Arial" w:cs="Arial"/>
                <w:sz w:val="22"/>
                <w:lang w:val="en-US"/>
              </w:rPr>
            </w:pPr>
            <w:r w:rsidRPr="009D7723">
              <w:rPr>
                <w:rFonts w:ascii="Arial" w:eastAsia="Times New Roman" w:hAnsi="Arial" w:cs="Arial"/>
                <w:sz w:val="22"/>
                <w:lang w:val="en-US"/>
              </w:rPr>
              <w:t>41,839</w:t>
            </w:r>
          </w:p>
        </w:tc>
      </w:tr>
      <w:tr w:rsidR="00C44A8F" w:rsidRPr="009D7723" w14:paraId="1A60B73C" w14:textId="77777777" w:rsidTr="00F54BDA">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19CB804B" w14:textId="77777777" w:rsidR="00C44A8F" w:rsidRPr="009D7723" w:rsidRDefault="00C44A8F" w:rsidP="00F54BDA">
            <w:pPr>
              <w:rPr>
                <w:rFonts w:ascii="Arial" w:eastAsia="Times New Roman" w:hAnsi="Arial" w:cs="Arial"/>
                <w:sz w:val="22"/>
                <w:lang w:val="en-US"/>
              </w:rPr>
            </w:pPr>
            <w:r w:rsidRPr="009D7723">
              <w:rPr>
                <w:rFonts w:ascii="Arial" w:eastAsia="Times New Roman" w:hAnsi="Arial" w:cs="Arial"/>
                <w:sz w:val="22"/>
                <w:lang w:val="en-US"/>
              </w:rPr>
              <w:t>CHSP</w:t>
            </w:r>
          </w:p>
        </w:tc>
        <w:tc>
          <w:tcPr>
            <w:tcW w:w="1855" w:type="dxa"/>
            <w:tcBorders>
              <w:top w:val="nil"/>
              <w:left w:val="nil"/>
              <w:bottom w:val="single" w:sz="4" w:space="0" w:color="auto"/>
              <w:right w:val="single" w:sz="4" w:space="0" w:color="auto"/>
            </w:tcBorders>
            <w:shd w:val="clear" w:color="auto" w:fill="auto"/>
            <w:noWrap/>
            <w:vAlign w:val="center"/>
            <w:hideMark/>
          </w:tcPr>
          <w:p w14:paraId="2F0576A4" w14:textId="77777777" w:rsidR="00C44A8F" w:rsidRPr="009D7723" w:rsidRDefault="00C44A8F" w:rsidP="00F54BDA">
            <w:pPr>
              <w:jc w:val="center"/>
              <w:rPr>
                <w:rFonts w:ascii="Arial" w:eastAsia="Times New Roman" w:hAnsi="Arial" w:cs="Arial"/>
                <w:sz w:val="22"/>
                <w:lang w:val="en-US"/>
              </w:rPr>
            </w:pPr>
            <w:r w:rsidRPr="009D7723">
              <w:rPr>
                <w:rFonts w:ascii="Arial" w:eastAsia="Times New Roman" w:hAnsi="Arial" w:cs="Arial"/>
                <w:sz w:val="22"/>
                <w:lang w:val="en-US"/>
              </w:rPr>
              <w:t>179,286</w:t>
            </w:r>
          </w:p>
        </w:tc>
        <w:tc>
          <w:tcPr>
            <w:tcW w:w="2140" w:type="dxa"/>
            <w:tcBorders>
              <w:top w:val="nil"/>
              <w:left w:val="nil"/>
              <w:bottom w:val="single" w:sz="4" w:space="0" w:color="auto"/>
              <w:right w:val="single" w:sz="4" w:space="0" w:color="auto"/>
            </w:tcBorders>
            <w:shd w:val="clear" w:color="auto" w:fill="auto"/>
            <w:noWrap/>
            <w:vAlign w:val="center"/>
            <w:hideMark/>
          </w:tcPr>
          <w:p w14:paraId="7FA550A9" w14:textId="77777777" w:rsidR="00C44A8F" w:rsidRPr="009D7723" w:rsidRDefault="00C44A8F" w:rsidP="00F54BDA">
            <w:pPr>
              <w:jc w:val="center"/>
              <w:rPr>
                <w:rFonts w:ascii="Arial" w:eastAsia="Times New Roman" w:hAnsi="Arial" w:cs="Arial"/>
                <w:sz w:val="22"/>
                <w:lang w:val="en-US"/>
              </w:rPr>
            </w:pPr>
            <w:r w:rsidRPr="009D7723">
              <w:rPr>
                <w:rFonts w:ascii="Arial" w:eastAsia="Times New Roman" w:hAnsi="Arial" w:cs="Arial"/>
                <w:sz w:val="22"/>
                <w:lang w:val="en-US"/>
              </w:rPr>
              <w:t>33,411</w:t>
            </w:r>
          </w:p>
        </w:tc>
        <w:tc>
          <w:tcPr>
            <w:tcW w:w="2680" w:type="dxa"/>
            <w:tcBorders>
              <w:top w:val="nil"/>
              <w:left w:val="nil"/>
              <w:bottom w:val="single" w:sz="4" w:space="0" w:color="auto"/>
              <w:right w:val="single" w:sz="4" w:space="0" w:color="auto"/>
            </w:tcBorders>
            <w:shd w:val="clear" w:color="auto" w:fill="auto"/>
            <w:noWrap/>
            <w:vAlign w:val="center"/>
            <w:hideMark/>
          </w:tcPr>
          <w:p w14:paraId="0414507E" w14:textId="77777777" w:rsidR="00C44A8F" w:rsidRPr="009D7723" w:rsidRDefault="00C44A8F" w:rsidP="00F54BDA">
            <w:pPr>
              <w:jc w:val="center"/>
              <w:rPr>
                <w:rFonts w:ascii="Arial" w:eastAsia="Times New Roman" w:hAnsi="Arial" w:cs="Arial"/>
                <w:sz w:val="22"/>
                <w:lang w:val="en-US"/>
              </w:rPr>
            </w:pPr>
            <w:r w:rsidRPr="009D7723">
              <w:rPr>
                <w:rFonts w:ascii="Arial" w:eastAsia="Times New Roman" w:hAnsi="Arial" w:cs="Arial"/>
                <w:sz w:val="22"/>
                <w:lang w:val="en-US"/>
              </w:rPr>
              <w:t>212,697</w:t>
            </w:r>
          </w:p>
        </w:tc>
      </w:tr>
      <w:tr w:rsidR="00C44A8F" w:rsidRPr="009D7723" w14:paraId="338EAACD" w14:textId="77777777" w:rsidTr="00F54BDA">
        <w:trPr>
          <w:trHeight w:val="285"/>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0B623AE3" w14:textId="77777777" w:rsidR="00C44A8F" w:rsidRPr="009D7723" w:rsidRDefault="00C44A8F" w:rsidP="00F54BDA">
            <w:pPr>
              <w:rPr>
                <w:rFonts w:ascii="Arial" w:eastAsia="Times New Roman" w:hAnsi="Arial" w:cs="Arial"/>
                <w:b/>
                <w:sz w:val="22"/>
                <w:lang w:val="en-US"/>
              </w:rPr>
            </w:pPr>
            <w:r w:rsidRPr="009D7723">
              <w:rPr>
                <w:rFonts w:ascii="Arial" w:eastAsia="Times New Roman" w:hAnsi="Arial" w:cs="Arial"/>
                <w:b/>
                <w:sz w:val="22"/>
                <w:lang w:val="en-US"/>
              </w:rPr>
              <w:t>Totals</w:t>
            </w:r>
          </w:p>
        </w:tc>
        <w:tc>
          <w:tcPr>
            <w:tcW w:w="1855" w:type="dxa"/>
            <w:tcBorders>
              <w:top w:val="nil"/>
              <w:left w:val="nil"/>
              <w:bottom w:val="single" w:sz="4" w:space="0" w:color="auto"/>
              <w:right w:val="single" w:sz="4" w:space="0" w:color="auto"/>
            </w:tcBorders>
            <w:shd w:val="clear" w:color="auto" w:fill="auto"/>
            <w:noWrap/>
            <w:vAlign w:val="center"/>
            <w:hideMark/>
          </w:tcPr>
          <w:p w14:paraId="5279D1E2" w14:textId="77777777" w:rsidR="00C44A8F" w:rsidRPr="009D7723" w:rsidRDefault="00C44A8F" w:rsidP="00F54BDA">
            <w:pPr>
              <w:jc w:val="center"/>
              <w:rPr>
                <w:rFonts w:ascii="Arial" w:eastAsia="Times New Roman" w:hAnsi="Arial" w:cs="Arial"/>
                <w:b/>
                <w:iCs/>
                <w:sz w:val="22"/>
                <w:lang w:val="en-US"/>
              </w:rPr>
            </w:pPr>
            <w:r w:rsidRPr="009D7723">
              <w:rPr>
                <w:rFonts w:ascii="Arial" w:eastAsia="Times New Roman" w:hAnsi="Arial" w:cs="Arial"/>
                <w:b/>
                <w:iCs/>
                <w:sz w:val="22"/>
                <w:lang w:val="en-US"/>
              </w:rPr>
              <w:t>286,767</w:t>
            </w:r>
          </w:p>
        </w:tc>
        <w:tc>
          <w:tcPr>
            <w:tcW w:w="2140" w:type="dxa"/>
            <w:tcBorders>
              <w:top w:val="nil"/>
              <w:left w:val="nil"/>
              <w:bottom w:val="single" w:sz="4" w:space="0" w:color="auto"/>
              <w:right w:val="single" w:sz="4" w:space="0" w:color="auto"/>
            </w:tcBorders>
            <w:shd w:val="clear" w:color="auto" w:fill="auto"/>
            <w:noWrap/>
            <w:vAlign w:val="center"/>
            <w:hideMark/>
          </w:tcPr>
          <w:p w14:paraId="2675A684" w14:textId="77777777" w:rsidR="00C44A8F" w:rsidRPr="009D7723" w:rsidRDefault="00C44A8F" w:rsidP="00F54BDA">
            <w:pPr>
              <w:jc w:val="center"/>
              <w:rPr>
                <w:rFonts w:ascii="Arial" w:eastAsia="Times New Roman" w:hAnsi="Arial" w:cs="Arial"/>
                <w:b/>
                <w:iCs/>
                <w:sz w:val="22"/>
                <w:lang w:val="en-US"/>
              </w:rPr>
            </w:pPr>
            <w:r w:rsidRPr="009D7723">
              <w:rPr>
                <w:rFonts w:ascii="Arial" w:eastAsia="Times New Roman" w:hAnsi="Arial" w:cs="Arial"/>
                <w:b/>
                <w:iCs/>
                <w:sz w:val="22"/>
                <w:lang w:val="en-US"/>
              </w:rPr>
              <w:t>60,523</w:t>
            </w:r>
          </w:p>
        </w:tc>
        <w:tc>
          <w:tcPr>
            <w:tcW w:w="2680" w:type="dxa"/>
            <w:tcBorders>
              <w:top w:val="nil"/>
              <w:left w:val="nil"/>
              <w:bottom w:val="single" w:sz="4" w:space="0" w:color="auto"/>
              <w:right w:val="single" w:sz="4" w:space="0" w:color="auto"/>
            </w:tcBorders>
            <w:shd w:val="clear" w:color="auto" w:fill="auto"/>
            <w:noWrap/>
            <w:vAlign w:val="center"/>
            <w:hideMark/>
          </w:tcPr>
          <w:p w14:paraId="0A81E083" w14:textId="77777777" w:rsidR="00C44A8F" w:rsidRPr="009D7723" w:rsidRDefault="00C44A8F" w:rsidP="00F54BDA">
            <w:pPr>
              <w:jc w:val="center"/>
              <w:rPr>
                <w:rFonts w:ascii="Arial" w:eastAsia="Times New Roman" w:hAnsi="Arial" w:cs="Arial"/>
                <w:b/>
                <w:iCs/>
                <w:sz w:val="22"/>
                <w:lang w:val="en-US"/>
              </w:rPr>
            </w:pPr>
            <w:r w:rsidRPr="009D7723">
              <w:rPr>
                <w:rFonts w:ascii="Arial" w:eastAsia="Times New Roman" w:hAnsi="Arial" w:cs="Arial"/>
                <w:b/>
                <w:iCs/>
                <w:sz w:val="22"/>
                <w:lang w:val="en-US"/>
              </w:rPr>
              <w:t>347,289</w:t>
            </w:r>
          </w:p>
        </w:tc>
      </w:tr>
    </w:tbl>
    <w:p w14:paraId="033B5092" w14:textId="77777777" w:rsidR="00C44A8F" w:rsidRDefault="00C44A8F" w:rsidP="00C44A8F">
      <w:pPr>
        <w:pStyle w:val="BodyText"/>
      </w:pPr>
      <w:r>
        <w:t xml:space="preserve">Unfortunately, much of the aged care workforce has little knowledge or understanding of common eye conditions, their management and/or their impact. The Royal Commission </w:t>
      </w:r>
      <w:r w:rsidR="00AD00DB">
        <w:t xml:space="preserve">into Aged Care Quality and Safety </w:t>
      </w:r>
      <w:r>
        <w:t xml:space="preserve">has highlighted limitations to current workforce knowledge across many domains, and the eye sector reports that vision and eye health is another of these. </w:t>
      </w:r>
    </w:p>
    <w:p w14:paraId="158E9934" w14:textId="77777777" w:rsidR="00C44A8F" w:rsidRDefault="00C44A8F" w:rsidP="00C44A8F">
      <w:pPr>
        <w:pStyle w:val="Heading3"/>
      </w:pPr>
      <w:r>
        <w:t>The solution</w:t>
      </w:r>
    </w:p>
    <w:p w14:paraId="1A982128" w14:textId="77777777" w:rsidR="00C44A8F" w:rsidRDefault="00C44A8F" w:rsidP="00C44A8F">
      <w:pPr>
        <w:pStyle w:val="BodyText"/>
      </w:pPr>
      <w:r>
        <w:t xml:space="preserve">Training aged care workers to respond to the full range of conditions that may present in older age, and keeping that knowledge current over time across a rapidly growing workforce is challenging. </w:t>
      </w:r>
    </w:p>
    <w:p w14:paraId="593CCE07" w14:textId="77777777" w:rsidR="00C44A8F" w:rsidRDefault="00C44A8F" w:rsidP="00C44A8F">
      <w:pPr>
        <w:pStyle w:val="BodyText"/>
      </w:pPr>
      <w:r>
        <w:t>This is particularly so given the breadth of the knowledge the aged care workforce needs to draw upon to meet the varied needs of aged care clients and the constant developments in technology, knowledge and treatment in areas such as eye care.</w:t>
      </w:r>
    </w:p>
    <w:p w14:paraId="0CB8BBDC" w14:textId="364691C0" w:rsidR="00C44A8F" w:rsidRDefault="002D29D2" w:rsidP="00C44A8F">
      <w:pPr>
        <w:pStyle w:val="BodyText"/>
      </w:pPr>
      <w:r>
        <w:t xml:space="preserve">Alongside existing resources and workforce training strategies, </w:t>
      </w:r>
      <w:r w:rsidR="00C44A8F">
        <w:t xml:space="preserve">Vision 2020 Australia proposes a </w:t>
      </w:r>
      <w:r w:rsidR="00AD00DB">
        <w:t>complementary</w:t>
      </w:r>
      <w:r w:rsidR="00C44A8F">
        <w:t>, ‘just-in-time’ response: Eyes on Call, an innovative, on-call eye health and vision coaching and support service for aged care workers.</w:t>
      </w:r>
    </w:p>
    <w:p w14:paraId="260BAE2E" w14:textId="77777777" w:rsidR="00C44A8F" w:rsidRDefault="00C44A8F" w:rsidP="00C44A8F">
      <w:pPr>
        <w:pStyle w:val="BodyText"/>
      </w:pPr>
      <w:r>
        <w:t xml:space="preserve">This will be a free service for aged care staff, designed to enhance their care of patients, who may be at risk of losing their vision or living with vision loss. </w:t>
      </w:r>
    </w:p>
    <w:p w14:paraId="2925EA96" w14:textId="4C52330A" w:rsidR="00334590" w:rsidRDefault="00C44A8F" w:rsidP="00334590">
      <w:pPr>
        <w:pStyle w:val="BodyText"/>
      </w:pPr>
      <w:r>
        <w:t xml:space="preserve">This service will provide phone and/or video call-based information and </w:t>
      </w:r>
      <w:r w:rsidR="002D29D2">
        <w:t xml:space="preserve">connect them to existing </w:t>
      </w:r>
      <w:r>
        <w:t>resources</w:t>
      </w:r>
      <w:r w:rsidR="002D29D2">
        <w:t xml:space="preserve"> and training available across the Vision 2020 Australia membership</w:t>
      </w:r>
      <w:r w:rsidR="00AD00DB">
        <w:t>,</w:t>
      </w:r>
      <w:r w:rsidR="002D29D2">
        <w:t xml:space="preserve"> with this information and advice</w:t>
      </w:r>
      <w:r>
        <w:t xml:space="preserve"> tailored to the specifics of the worker’s query or patient</w:t>
      </w:r>
      <w:r w:rsidR="002D29D2">
        <w:t xml:space="preserve">. </w:t>
      </w:r>
    </w:p>
    <w:p w14:paraId="3CCC24FC" w14:textId="29EBFE11" w:rsidR="00C44A8F" w:rsidRPr="00936B47" w:rsidRDefault="002D29D2" w:rsidP="00CC2714">
      <w:pPr>
        <w:pStyle w:val="BodyText"/>
      </w:pPr>
      <w:r>
        <w:t xml:space="preserve">It would </w:t>
      </w:r>
      <w:r w:rsidR="00C44A8F">
        <w:t>span</w:t>
      </w:r>
      <w:r>
        <w:t xml:space="preserve"> </w:t>
      </w:r>
      <w:r w:rsidR="00C44A8F">
        <w:t>areas such as</w:t>
      </w:r>
      <w:r>
        <w:t xml:space="preserve"> </w:t>
      </w:r>
      <w:r w:rsidR="00C44A8F" w:rsidRPr="00936B47">
        <w:t>common eye conditions, their signs and symptoms, and how to minimise their impact</w:t>
      </w:r>
      <w:r>
        <w:t xml:space="preserve">; </w:t>
      </w:r>
      <w:r w:rsidR="00C44A8F" w:rsidRPr="00936B47">
        <w:t>referral and management options</w:t>
      </w:r>
      <w:r>
        <w:t xml:space="preserve">; </w:t>
      </w:r>
      <w:r w:rsidR="00C44A8F" w:rsidRPr="00936B47">
        <w:t>available online and other training and development or information resources that may help them enhance their patient care</w:t>
      </w:r>
      <w:r>
        <w:t xml:space="preserve">; and </w:t>
      </w:r>
      <w:r w:rsidR="00C44A8F" w:rsidRPr="00936B47">
        <w:t>consumer and/or carer supports available for various conditions</w:t>
      </w:r>
      <w:r w:rsidR="00C44A8F">
        <w:t>.</w:t>
      </w:r>
      <w:r w:rsidR="00C44A8F" w:rsidRPr="00936B47">
        <w:t xml:space="preserve"> </w:t>
      </w:r>
    </w:p>
    <w:p w14:paraId="4CDFE933" w14:textId="77777777" w:rsidR="00C44A8F" w:rsidRDefault="00C44A8F" w:rsidP="00C44A8F">
      <w:pPr>
        <w:pStyle w:val="BodyText"/>
      </w:pPr>
      <w:r>
        <w:t>Under this proposal, Vision 2020 Australia will facilitate establishment of:</w:t>
      </w:r>
    </w:p>
    <w:p w14:paraId="45022610" w14:textId="77777777" w:rsidR="00C44A8F" w:rsidRPr="00936B47" w:rsidRDefault="00C44A8F" w:rsidP="00A249DC">
      <w:pPr>
        <w:pStyle w:val="BodyText"/>
        <w:numPr>
          <w:ilvl w:val="0"/>
          <w:numId w:val="23"/>
        </w:numPr>
      </w:pPr>
      <w:r w:rsidRPr="00936B47">
        <w:t>Eyes on Call, a phone-based hotline that any aged care worker could contact during standard business hours across Australia</w:t>
      </w:r>
    </w:p>
    <w:p w14:paraId="7E7B1A29" w14:textId="77777777" w:rsidR="00C44A8F" w:rsidRPr="00936B47" w:rsidRDefault="00C44A8F" w:rsidP="00A249DC">
      <w:pPr>
        <w:pStyle w:val="BodyText"/>
        <w:numPr>
          <w:ilvl w:val="0"/>
          <w:numId w:val="23"/>
        </w:numPr>
      </w:pPr>
      <w:r w:rsidRPr="00936B47">
        <w:t xml:space="preserve">Referral of queries to eye sector organisations with specific expertise relevant to the worker’s queries and/or location </w:t>
      </w:r>
    </w:p>
    <w:p w14:paraId="53A79BBE" w14:textId="77777777" w:rsidR="00C44A8F" w:rsidRPr="00936B47" w:rsidRDefault="00C44A8F" w:rsidP="00A249DC">
      <w:pPr>
        <w:pStyle w:val="BodyText"/>
        <w:numPr>
          <w:ilvl w:val="0"/>
          <w:numId w:val="23"/>
        </w:numPr>
      </w:pPr>
      <w:r w:rsidRPr="00936B47">
        <w:t>A follow up service for each call, to provide additional assistance and/or guidance and encourage skills enhancement in this important area</w:t>
      </w:r>
    </w:p>
    <w:p w14:paraId="600EA3CF" w14:textId="77777777" w:rsidR="00C44A8F" w:rsidRPr="00936B47" w:rsidRDefault="00C44A8F" w:rsidP="00A249DC">
      <w:pPr>
        <w:pStyle w:val="BodyText"/>
        <w:numPr>
          <w:ilvl w:val="0"/>
          <w:numId w:val="23"/>
        </w:numPr>
      </w:pPr>
      <w:r w:rsidRPr="00936B47">
        <w:t>Provision of information and other resources as relevant to the worker (and if provided, their employer) regarding common eye conditions, key information relevant to the aged care context and contacts for sourcing local eye care services</w:t>
      </w:r>
    </w:p>
    <w:p w14:paraId="56DB8D8D" w14:textId="13BFA0E6" w:rsidR="002D29D2" w:rsidRDefault="00C44A8F" w:rsidP="00A249DC">
      <w:pPr>
        <w:pStyle w:val="BodyText"/>
        <w:numPr>
          <w:ilvl w:val="0"/>
          <w:numId w:val="23"/>
        </w:numPr>
      </w:pPr>
      <w:r w:rsidRPr="00936B47">
        <w:t xml:space="preserve">An evaluation project, to quantify reach and impacts of the service.   </w:t>
      </w:r>
    </w:p>
    <w:p w14:paraId="3FD23230" w14:textId="77777777" w:rsidR="00C6639A" w:rsidRDefault="002D29D2" w:rsidP="00CC2714">
      <w:pPr>
        <w:pStyle w:val="BodyText"/>
      </w:pPr>
      <w:r>
        <w:t xml:space="preserve">Vision 2020 Australia members have deep expertise in the provision of such advice, and a consortium approach whereby all interested and qualified members participated in the delivery of the service would be pursued, allowing the service to complement the existing system and leverage/build upon available resources and training. </w:t>
      </w:r>
    </w:p>
    <w:p w14:paraId="7DDC3EB7" w14:textId="77777777" w:rsidR="00C44A8F" w:rsidRPr="008858EE" w:rsidRDefault="00C44A8F" w:rsidP="00C44A8F">
      <w:pPr>
        <w:pStyle w:val="Heading3"/>
      </w:pPr>
      <w:r w:rsidRPr="008858EE">
        <w:t>Budget</w:t>
      </w:r>
    </w:p>
    <w:p w14:paraId="055EE62C" w14:textId="0057D288" w:rsidR="00C44A8F" w:rsidRDefault="00C44A8F" w:rsidP="00C44A8F">
      <w:pPr>
        <w:pStyle w:val="BodyText"/>
      </w:pPr>
      <w:r>
        <w:t>Given the estimated need for this service and the need to operate i</w:t>
      </w:r>
      <w:r w:rsidR="00726E61">
        <w:t>n</w:t>
      </w:r>
      <w:r>
        <w:t xml:space="preserve"> </w:t>
      </w:r>
      <w:r w:rsidRPr="00984C43">
        <w:t xml:space="preserve">multiple time zones across Australia, it is estimated that funding of </w:t>
      </w:r>
      <w:r>
        <w:t>$5.4</w:t>
      </w:r>
      <w:r w:rsidR="002A7805">
        <w:t xml:space="preserve"> million</w:t>
      </w:r>
      <w:r w:rsidRPr="00984C43">
        <w:t xml:space="preserve"> over 4 years </w:t>
      </w:r>
      <w:r>
        <w:t>($1.2</w:t>
      </w:r>
      <w:r w:rsidR="002A7805">
        <w:t xml:space="preserve"> million annually</w:t>
      </w:r>
      <w:r>
        <w:t>, post establishment)</w:t>
      </w:r>
      <w:r w:rsidRPr="00984C43">
        <w:t xml:space="preserve"> would be required to establish, operate and evaluate this innovative model.</w:t>
      </w:r>
      <w:r>
        <w:t xml:space="preserve"> </w:t>
      </w:r>
    </w:p>
    <w:tbl>
      <w:tblPr>
        <w:tblW w:w="5000" w:type="pct"/>
        <w:tblLook w:val="04A0" w:firstRow="1" w:lastRow="0" w:firstColumn="1" w:lastColumn="0" w:noHBand="0" w:noVBand="1"/>
      </w:tblPr>
      <w:tblGrid>
        <w:gridCol w:w="2871"/>
        <w:gridCol w:w="1431"/>
        <w:gridCol w:w="1430"/>
        <w:gridCol w:w="1239"/>
        <w:gridCol w:w="1239"/>
        <w:gridCol w:w="1428"/>
      </w:tblGrid>
      <w:tr w:rsidR="00A249DC" w:rsidRPr="00F21AC3" w14:paraId="7EE72878" w14:textId="77777777" w:rsidTr="00A249DC">
        <w:trPr>
          <w:trHeight w:val="570"/>
        </w:trPr>
        <w:tc>
          <w:tcPr>
            <w:tcW w:w="1489" w:type="pct"/>
            <w:tcBorders>
              <w:top w:val="nil"/>
              <w:left w:val="nil"/>
              <w:bottom w:val="nil"/>
              <w:right w:val="nil"/>
            </w:tcBorders>
            <w:shd w:val="clear" w:color="auto" w:fill="000000" w:themeFill="text1"/>
            <w:vAlign w:val="bottom"/>
            <w:hideMark/>
          </w:tcPr>
          <w:p w14:paraId="24B0EAD8" w14:textId="77777777" w:rsidR="00F21AC3" w:rsidRPr="00F21AC3" w:rsidRDefault="00F21AC3" w:rsidP="00F21AC3">
            <w:pPr>
              <w:rPr>
                <w:rFonts w:ascii="Arial" w:eastAsia="Times New Roman" w:hAnsi="Arial" w:cs="Arial"/>
                <w:color w:val="FFFFFF"/>
                <w:sz w:val="22"/>
                <w:lang w:val="en-US"/>
              </w:rPr>
            </w:pPr>
            <w:r w:rsidRPr="00F21AC3">
              <w:rPr>
                <w:rFonts w:ascii="Arial" w:eastAsia="Times New Roman" w:hAnsi="Arial" w:cs="Arial"/>
                <w:color w:val="FFFFFF"/>
                <w:sz w:val="22"/>
                <w:lang w:val="en-US"/>
              </w:rPr>
              <w:t> </w:t>
            </w:r>
          </w:p>
        </w:tc>
        <w:tc>
          <w:tcPr>
            <w:tcW w:w="742" w:type="pct"/>
            <w:tcBorders>
              <w:top w:val="nil"/>
              <w:left w:val="nil"/>
              <w:bottom w:val="nil"/>
              <w:right w:val="nil"/>
            </w:tcBorders>
            <w:shd w:val="clear" w:color="auto" w:fill="000000" w:themeFill="text1"/>
            <w:vAlign w:val="bottom"/>
            <w:hideMark/>
          </w:tcPr>
          <w:p w14:paraId="322E3789" w14:textId="77777777" w:rsidR="00F21AC3" w:rsidRPr="00F21AC3" w:rsidRDefault="00F21AC3" w:rsidP="006136F9">
            <w:pPr>
              <w:jc w:val="center"/>
              <w:rPr>
                <w:rFonts w:ascii="Arial" w:eastAsia="Times New Roman" w:hAnsi="Arial" w:cs="Arial"/>
                <w:color w:val="FFFFFF"/>
                <w:sz w:val="22"/>
                <w:lang w:val="en-US"/>
              </w:rPr>
            </w:pPr>
            <w:r w:rsidRPr="00F21AC3">
              <w:rPr>
                <w:rFonts w:ascii="Arial" w:eastAsia="Times New Roman" w:hAnsi="Arial" w:cs="Arial"/>
                <w:color w:val="FFFFFF"/>
                <w:sz w:val="22"/>
                <w:lang w:val="en-US"/>
              </w:rPr>
              <w:t>2021-22</w:t>
            </w:r>
          </w:p>
        </w:tc>
        <w:tc>
          <w:tcPr>
            <w:tcW w:w="742" w:type="pct"/>
            <w:tcBorders>
              <w:top w:val="nil"/>
              <w:left w:val="nil"/>
              <w:bottom w:val="nil"/>
              <w:right w:val="nil"/>
            </w:tcBorders>
            <w:shd w:val="clear" w:color="auto" w:fill="000000" w:themeFill="text1"/>
            <w:vAlign w:val="bottom"/>
            <w:hideMark/>
          </w:tcPr>
          <w:p w14:paraId="32155F28" w14:textId="77777777" w:rsidR="00F21AC3" w:rsidRPr="00F21AC3" w:rsidRDefault="00F21AC3" w:rsidP="006136F9">
            <w:pPr>
              <w:jc w:val="center"/>
              <w:rPr>
                <w:rFonts w:ascii="Arial" w:eastAsia="Times New Roman" w:hAnsi="Arial" w:cs="Arial"/>
                <w:color w:val="FFFFFF"/>
                <w:sz w:val="22"/>
                <w:lang w:val="en-US"/>
              </w:rPr>
            </w:pPr>
            <w:r w:rsidRPr="00F21AC3">
              <w:rPr>
                <w:rFonts w:ascii="Arial" w:eastAsia="Times New Roman" w:hAnsi="Arial" w:cs="Arial"/>
                <w:color w:val="FFFFFF"/>
                <w:sz w:val="22"/>
                <w:lang w:val="en-US"/>
              </w:rPr>
              <w:t>2022-23</w:t>
            </w:r>
          </w:p>
        </w:tc>
        <w:tc>
          <w:tcPr>
            <w:tcW w:w="643" w:type="pct"/>
            <w:tcBorders>
              <w:top w:val="nil"/>
              <w:left w:val="nil"/>
              <w:bottom w:val="nil"/>
              <w:right w:val="nil"/>
            </w:tcBorders>
            <w:shd w:val="clear" w:color="auto" w:fill="000000" w:themeFill="text1"/>
            <w:vAlign w:val="bottom"/>
            <w:hideMark/>
          </w:tcPr>
          <w:p w14:paraId="78F059F2" w14:textId="77777777" w:rsidR="00F21AC3" w:rsidRPr="00F21AC3" w:rsidRDefault="00F21AC3" w:rsidP="006136F9">
            <w:pPr>
              <w:jc w:val="center"/>
              <w:rPr>
                <w:rFonts w:ascii="Arial" w:eastAsia="Times New Roman" w:hAnsi="Arial" w:cs="Arial"/>
                <w:color w:val="FFFFFF"/>
                <w:sz w:val="22"/>
                <w:lang w:val="en-US"/>
              </w:rPr>
            </w:pPr>
            <w:r w:rsidRPr="00F21AC3">
              <w:rPr>
                <w:rFonts w:ascii="Arial" w:eastAsia="Times New Roman" w:hAnsi="Arial" w:cs="Arial"/>
                <w:color w:val="FFFFFF"/>
                <w:sz w:val="22"/>
                <w:lang w:val="en-US"/>
              </w:rPr>
              <w:t>2023-24</w:t>
            </w:r>
          </w:p>
        </w:tc>
        <w:tc>
          <w:tcPr>
            <w:tcW w:w="643" w:type="pct"/>
            <w:tcBorders>
              <w:top w:val="nil"/>
              <w:left w:val="nil"/>
              <w:bottom w:val="nil"/>
              <w:right w:val="nil"/>
            </w:tcBorders>
            <w:shd w:val="clear" w:color="auto" w:fill="000000" w:themeFill="text1"/>
            <w:vAlign w:val="bottom"/>
            <w:hideMark/>
          </w:tcPr>
          <w:p w14:paraId="37B77FA4" w14:textId="77777777" w:rsidR="00F21AC3" w:rsidRPr="00F21AC3" w:rsidRDefault="00F21AC3" w:rsidP="006136F9">
            <w:pPr>
              <w:jc w:val="center"/>
              <w:rPr>
                <w:rFonts w:ascii="Arial" w:eastAsia="Times New Roman" w:hAnsi="Arial" w:cs="Arial"/>
                <w:color w:val="FFFFFF"/>
                <w:sz w:val="22"/>
                <w:lang w:val="en-US"/>
              </w:rPr>
            </w:pPr>
            <w:r w:rsidRPr="00F21AC3">
              <w:rPr>
                <w:rFonts w:ascii="Arial" w:eastAsia="Times New Roman" w:hAnsi="Arial" w:cs="Arial"/>
                <w:color w:val="FFFFFF"/>
                <w:sz w:val="22"/>
                <w:lang w:val="en-US"/>
              </w:rPr>
              <w:t>2024-25</w:t>
            </w:r>
          </w:p>
        </w:tc>
        <w:tc>
          <w:tcPr>
            <w:tcW w:w="742" w:type="pct"/>
            <w:tcBorders>
              <w:top w:val="nil"/>
              <w:left w:val="nil"/>
              <w:bottom w:val="nil"/>
              <w:right w:val="nil"/>
            </w:tcBorders>
            <w:shd w:val="clear" w:color="auto" w:fill="000000" w:themeFill="text1"/>
            <w:vAlign w:val="bottom"/>
            <w:hideMark/>
          </w:tcPr>
          <w:p w14:paraId="15A8919E" w14:textId="77777777" w:rsidR="00F21AC3" w:rsidRPr="00F21AC3" w:rsidRDefault="00F21AC3" w:rsidP="006136F9">
            <w:pPr>
              <w:jc w:val="center"/>
              <w:rPr>
                <w:rFonts w:ascii="Arial" w:eastAsia="Times New Roman" w:hAnsi="Arial" w:cs="Arial"/>
                <w:color w:val="FFFFFF"/>
                <w:sz w:val="22"/>
                <w:lang w:val="en-US"/>
              </w:rPr>
            </w:pPr>
            <w:r w:rsidRPr="00F21AC3">
              <w:rPr>
                <w:rFonts w:ascii="Arial" w:eastAsia="Times New Roman" w:hAnsi="Arial" w:cs="Arial"/>
                <w:color w:val="FFFFFF"/>
                <w:sz w:val="22"/>
                <w:lang w:val="en-US"/>
              </w:rPr>
              <w:t>Total over 4 years</w:t>
            </w:r>
          </w:p>
        </w:tc>
      </w:tr>
      <w:tr w:rsidR="00F21AC3" w:rsidRPr="00F21AC3" w14:paraId="3F553F21" w14:textId="77777777" w:rsidTr="00A249DC">
        <w:trPr>
          <w:trHeight w:val="285"/>
        </w:trPr>
        <w:tc>
          <w:tcPr>
            <w:tcW w:w="148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5088E24" w14:textId="77777777" w:rsidR="00F21AC3" w:rsidRPr="00F21AC3" w:rsidRDefault="00F21AC3" w:rsidP="00F21AC3">
            <w:pPr>
              <w:rPr>
                <w:rFonts w:ascii="Arial" w:eastAsia="Times New Roman" w:hAnsi="Arial" w:cs="Arial"/>
                <w:color w:val="000000"/>
                <w:sz w:val="22"/>
                <w:lang w:val="en-US"/>
              </w:rPr>
            </w:pPr>
            <w:r w:rsidRPr="00F21AC3">
              <w:rPr>
                <w:rFonts w:ascii="Arial" w:eastAsia="Times New Roman" w:hAnsi="Arial" w:cs="Arial"/>
                <w:color w:val="000000"/>
                <w:sz w:val="22"/>
                <w:lang w:val="en-US"/>
              </w:rPr>
              <w:t xml:space="preserve"> Staffing costs </w:t>
            </w:r>
          </w:p>
        </w:tc>
        <w:tc>
          <w:tcPr>
            <w:tcW w:w="742" w:type="pct"/>
            <w:tcBorders>
              <w:top w:val="single" w:sz="4" w:space="0" w:color="auto"/>
              <w:left w:val="nil"/>
              <w:bottom w:val="single" w:sz="4" w:space="0" w:color="auto"/>
              <w:right w:val="single" w:sz="4" w:space="0" w:color="auto"/>
            </w:tcBorders>
            <w:shd w:val="clear" w:color="auto" w:fill="auto"/>
            <w:vAlign w:val="bottom"/>
            <w:hideMark/>
          </w:tcPr>
          <w:p w14:paraId="3441A903" w14:textId="77777777" w:rsidR="00F21AC3" w:rsidRPr="00F21AC3" w:rsidRDefault="00F21AC3" w:rsidP="006136F9">
            <w:pPr>
              <w:jc w:val="center"/>
              <w:rPr>
                <w:rFonts w:ascii="Arial" w:eastAsia="Times New Roman" w:hAnsi="Arial" w:cs="Arial"/>
                <w:color w:val="000000"/>
                <w:sz w:val="22"/>
                <w:lang w:val="en-US"/>
              </w:rPr>
            </w:pPr>
            <w:r w:rsidRPr="00F21AC3">
              <w:rPr>
                <w:rFonts w:ascii="Arial" w:eastAsia="Times New Roman" w:hAnsi="Arial" w:cs="Arial"/>
                <w:color w:val="000000"/>
                <w:sz w:val="22"/>
                <w:lang w:val="en-US"/>
              </w:rPr>
              <w:t>1.30</w:t>
            </w:r>
          </w:p>
        </w:tc>
        <w:tc>
          <w:tcPr>
            <w:tcW w:w="742" w:type="pct"/>
            <w:tcBorders>
              <w:top w:val="single" w:sz="4" w:space="0" w:color="auto"/>
              <w:left w:val="nil"/>
              <w:bottom w:val="single" w:sz="4" w:space="0" w:color="auto"/>
              <w:right w:val="single" w:sz="4" w:space="0" w:color="auto"/>
            </w:tcBorders>
            <w:shd w:val="clear" w:color="auto" w:fill="auto"/>
            <w:vAlign w:val="bottom"/>
            <w:hideMark/>
          </w:tcPr>
          <w:p w14:paraId="55FD98D4" w14:textId="77777777" w:rsidR="00F21AC3" w:rsidRPr="00F21AC3" w:rsidRDefault="00F21AC3" w:rsidP="006136F9">
            <w:pPr>
              <w:jc w:val="center"/>
              <w:rPr>
                <w:rFonts w:ascii="Arial" w:eastAsia="Times New Roman" w:hAnsi="Arial" w:cs="Arial"/>
                <w:color w:val="000000"/>
                <w:sz w:val="22"/>
                <w:lang w:val="en-US"/>
              </w:rPr>
            </w:pPr>
            <w:r w:rsidRPr="00F21AC3">
              <w:rPr>
                <w:rFonts w:ascii="Arial" w:eastAsia="Times New Roman" w:hAnsi="Arial" w:cs="Arial"/>
                <w:color w:val="000000"/>
                <w:sz w:val="22"/>
                <w:lang w:val="en-US"/>
              </w:rPr>
              <w:t>1.30</w:t>
            </w:r>
          </w:p>
        </w:tc>
        <w:tc>
          <w:tcPr>
            <w:tcW w:w="643" w:type="pct"/>
            <w:tcBorders>
              <w:top w:val="single" w:sz="4" w:space="0" w:color="auto"/>
              <w:left w:val="nil"/>
              <w:bottom w:val="single" w:sz="4" w:space="0" w:color="auto"/>
              <w:right w:val="single" w:sz="4" w:space="0" w:color="auto"/>
            </w:tcBorders>
            <w:shd w:val="clear" w:color="auto" w:fill="auto"/>
            <w:vAlign w:val="bottom"/>
            <w:hideMark/>
          </w:tcPr>
          <w:p w14:paraId="7CDCD474" w14:textId="77777777" w:rsidR="00F21AC3" w:rsidRPr="00F21AC3" w:rsidRDefault="00F21AC3" w:rsidP="006136F9">
            <w:pPr>
              <w:jc w:val="center"/>
              <w:rPr>
                <w:rFonts w:ascii="Arial" w:eastAsia="Times New Roman" w:hAnsi="Arial" w:cs="Arial"/>
                <w:color w:val="000000"/>
                <w:sz w:val="22"/>
                <w:lang w:val="en-US"/>
              </w:rPr>
            </w:pPr>
            <w:r w:rsidRPr="00F21AC3">
              <w:rPr>
                <w:rFonts w:ascii="Arial" w:eastAsia="Times New Roman" w:hAnsi="Arial" w:cs="Arial"/>
                <w:color w:val="000000"/>
                <w:sz w:val="22"/>
                <w:lang w:val="en-US"/>
              </w:rPr>
              <w:t>1.09</w:t>
            </w:r>
          </w:p>
        </w:tc>
        <w:tc>
          <w:tcPr>
            <w:tcW w:w="643" w:type="pct"/>
            <w:tcBorders>
              <w:top w:val="single" w:sz="4" w:space="0" w:color="auto"/>
              <w:left w:val="nil"/>
              <w:bottom w:val="single" w:sz="4" w:space="0" w:color="auto"/>
              <w:right w:val="single" w:sz="4" w:space="0" w:color="auto"/>
            </w:tcBorders>
            <w:shd w:val="clear" w:color="auto" w:fill="auto"/>
            <w:vAlign w:val="bottom"/>
            <w:hideMark/>
          </w:tcPr>
          <w:p w14:paraId="3ECF655F" w14:textId="77777777" w:rsidR="00F21AC3" w:rsidRPr="00F21AC3" w:rsidRDefault="00F21AC3" w:rsidP="006136F9">
            <w:pPr>
              <w:jc w:val="center"/>
              <w:rPr>
                <w:rFonts w:ascii="Arial" w:eastAsia="Times New Roman" w:hAnsi="Arial" w:cs="Arial"/>
                <w:color w:val="000000"/>
                <w:sz w:val="22"/>
                <w:lang w:val="en-US"/>
              </w:rPr>
            </w:pPr>
            <w:r w:rsidRPr="00F21AC3">
              <w:rPr>
                <w:rFonts w:ascii="Arial" w:eastAsia="Times New Roman" w:hAnsi="Arial" w:cs="Arial"/>
                <w:color w:val="000000"/>
                <w:sz w:val="22"/>
                <w:lang w:val="en-US"/>
              </w:rPr>
              <w:t>1.09</w:t>
            </w:r>
          </w:p>
        </w:tc>
        <w:tc>
          <w:tcPr>
            <w:tcW w:w="742" w:type="pct"/>
            <w:tcBorders>
              <w:top w:val="single" w:sz="4" w:space="0" w:color="auto"/>
              <w:left w:val="nil"/>
              <w:bottom w:val="single" w:sz="4" w:space="0" w:color="auto"/>
              <w:right w:val="single" w:sz="4" w:space="0" w:color="auto"/>
            </w:tcBorders>
            <w:shd w:val="clear" w:color="auto" w:fill="auto"/>
            <w:vAlign w:val="bottom"/>
            <w:hideMark/>
          </w:tcPr>
          <w:p w14:paraId="3570B179" w14:textId="77777777" w:rsidR="00F21AC3" w:rsidRPr="006136F9" w:rsidRDefault="00F21AC3" w:rsidP="006136F9">
            <w:pPr>
              <w:jc w:val="center"/>
              <w:rPr>
                <w:rFonts w:ascii="Arial" w:eastAsia="Times New Roman" w:hAnsi="Arial" w:cs="Arial"/>
                <w:b/>
                <w:color w:val="000000"/>
                <w:sz w:val="22"/>
                <w:lang w:val="en-US"/>
              </w:rPr>
            </w:pPr>
            <w:r w:rsidRPr="006136F9">
              <w:rPr>
                <w:rFonts w:ascii="Arial" w:eastAsia="Times New Roman" w:hAnsi="Arial" w:cs="Arial"/>
                <w:b/>
                <w:color w:val="000000"/>
                <w:sz w:val="22"/>
                <w:lang w:val="en-US"/>
              </w:rPr>
              <w:t>4.77</w:t>
            </w:r>
          </w:p>
        </w:tc>
      </w:tr>
      <w:tr w:rsidR="00F21AC3" w:rsidRPr="00F21AC3" w14:paraId="1C82D702" w14:textId="77777777" w:rsidTr="00A249DC">
        <w:trPr>
          <w:trHeight w:val="285"/>
        </w:trPr>
        <w:tc>
          <w:tcPr>
            <w:tcW w:w="1489" w:type="pct"/>
            <w:tcBorders>
              <w:top w:val="nil"/>
              <w:left w:val="single" w:sz="4" w:space="0" w:color="auto"/>
              <w:bottom w:val="single" w:sz="4" w:space="0" w:color="auto"/>
              <w:right w:val="single" w:sz="4" w:space="0" w:color="auto"/>
            </w:tcBorders>
            <w:shd w:val="clear" w:color="auto" w:fill="auto"/>
            <w:vAlign w:val="bottom"/>
            <w:hideMark/>
          </w:tcPr>
          <w:p w14:paraId="4463BC77" w14:textId="77777777" w:rsidR="00F21AC3" w:rsidRPr="00F21AC3" w:rsidRDefault="00F21AC3" w:rsidP="00F21AC3">
            <w:pPr>
              <w:rPr>
                <w:rFonts w:ascii="Arial" w:eastAsia="Times New Roman" w:hAnsi="Arial" w:cs="Arial"/>
                <w:color w:val="000000"/>
                <w:sz w:val="22"/>
                <w:lang w:val="en-US"/>
              </w:rPr>
            </w:pPr>
            <w:r w:rsidRPr="00F21AC3">
              <w:rPr>
                <w:rFonts w:ascii="Arial" w:eastAsia="Times New Roman" w:hAnsi="Arial" w:cs="Arial"/>
                <w:color w:val="000000"/>
                <w:sz w:val="22"/>
                <w:lang w:val="en-US"/>
              </w:rPr>
              <w:t xml:space="preserve"> Infrastructure and operating </w:t>
            </w:r>
          </w:p>
        </w:tc>
        <w:tc>
          <w:tcPr>
            <w:tcW w:w="742" w:type="pct"/>
            <w:tcBorders>
              <w:top w:val="nil"/>
              <w:left w:val="nil"/>
              <w:bottom w:val="single" w:sz="4" w:space="0" w:color="auto"/>
              <w:right w:val="single" w:sz="4" w:space="0" w:color="auto"/>
            </w:tcBorders>
            <w:shd w:val="clear" w:color="auto" w:fill="auto"/>
            <w:vAlign w:val="bottom"/>
            <w:hideMark/>
          </w:tcPr>
          <w:p w14:paraId="4141F527" w14:textId="77777777" w:rsidR="00F21AC3" w:rsidRPr="00F21AC3" w:rsidRDefault="00F21AC3" w:rsidP="006136F9">
            <w:pPr>
              <w:jc w:val="center"/>
              <w:rPr>
                <w:rFonts w:ascii="Arial" w:eastAsia="Times New Roman" w:hAnsi="Arial" w:cs="Arial"/>
                <w:color w:val="000000"/>
                <w:sz w:val="22"/>
                <w:lang w:val="en-US"/>
              </w:rPr>
            </w:pPr>
            <w:r w:rsidRPr="00F21AC3">
              <w:rPr>
                <w:rFonts w:ascii="Arial" w:eastAsia="Times New Roman" w:hAnsi="Arial" w:cs="Arial"/>
                <w:color w:val="000000"/>
                <w:sz w:val="22"/>
                <w:lang w:val="en-US"/>
              </w:rPr>
              <w:t>0.15</w:t>
            </w:r>
          </w:p>
        </w:tc>
        <w:tc>
          <w:tcPr>
            <w:tcW w:w="742" w:type="pct"/>
            <w:tcBorders>
              <w:top w:val="nil"/>
              <w:left w:val="nil"/>
              <w:bottom w:val="single" w:sz="4" w:space="0" w:color="auto"/>
              <w:right w:val="single" w:sz="4" w:space="0" w:color="auto"/>
            </w:tcBorders>
            <w:shd w:val="clear" w:color="auto" w:fill="auto"/>
            <w:vAlign w:val="bottom"/>
            <w:hideMark/>
          </w:tcPr>
          <w:p w14:paraId="1A669D6E" w14:textId="77777777" w:rsidR="00F21AC3" w:rsidRPr="00F21AC3" w:rsidRDefault="00F21AC3" w:rsidP="006136F9">
            <w:pPr>
              <w:jc w:val="center"/>
              <w:rPr>
                <w:rFonts w:ascii="Arial" w:eastAsia="Times New Roman" w:hAnsi="Arial" w:cs="Arial"/>
                <w:color w:val="000000"/>
                <w:sz w:val="22"/>
                <w:lang w:val="en-US"/>
              </w:rPr>
            </w:pPr>
            <w:r w:rsidRPr="00F21AC3">
              <w:rPr>
                <w:rFonts w:ascii="Arial" w:eastAsia="Times New Roman" w:hAnsi="Arial" w:cs="Arial"/>
                <w:color w:val="000000"/>
                <w:sz w:val="22"/>
                <w:lang w:val="en-US"/>
              </w:rPr>
              <w:t>0.12</w:t>
            </w:r>
          </w:p>
        </w:tc>
        <w:tc>
          <w:tcPr>
            <w:tcW w:w="643" w:type="pct"/>
            <w:tcBorders>
              <w:top w:val="nil"/>
              <w:left w:val="nil"/>
              <w:bottom w:val="single" w:sz="4" w:space="0" w:color="auto"/>
              <w:right w:val="single" w:sz="4" w:space="0" w:color="auto"/>
            </w:tcBorders>
            <w:shd w:val="clear" w:color="auto" w:fill="auto"/>
            <w:vAlign w:val="bottom"/>
            <w:hideMark/>
          </w:tcPr>
          <w:p w14:paraId="6DB24AA4" w14:textId="77777777" w:rsidR="00F21AC3" w:rsidRPr="00F21AC3" w:rsidRDefault="00F21AC3" w:rsidP="006136F9">
            <w:pPr>
              <w:jc w:val="center"/>
              <w:rPr>
                <w:rFonts w:ascii="Arial" w:eastAsia="Times New Roman" w:hAnsi="Arial" w:cs="Arial"/>
                <w:color w:val="000000"/>
                <w:sz w:val="22"/>
                <w:lang w:val="en-US"/>
              </w:rPr>
            </w:pPr>
            <w:r w:rsidRPr="00F21AC3">
              <w:rPr>
                <w:rFonts w:ascii="Arial" w:eastAsia="Times New Roman" w:hAnsi="Arial" w:cs="Arial"/>
                <w:color w:val="000000"/>
                <w:sz w:val="22"/>
                <w:lang w:val="en-US"/>
              </w:rPr>
              <w:t>0.12</w:t>
            </w:r>
          </w:p>
        </w:tc>
        <w:tc>
          <w:tcPr>
            <w:tcW w:w="643" w:type="pct"/>
            <w:tcBorders>
              <w:top w:val="nil"/>
              <w:left w:val="nil"/>
              <w:bottom w:val="single" w:sz="4" w:space="0" w:color="auto"/>
              <w:right w:val="single" w:sz="4" w:space="0" w:color="auto"/>
            </w:tcBorders>
            <w:shd w:val="clear" w:color="auto" w:fill="auto"/>
            <w:vAlign w:val="bottom"/>
            <w:hideMark/>
          </w:tcPr>
          <w:p w14:paraId="6BE672EE" w14:textId="77777777" w:rsidR="00F21AC3" w:rsidRPr="00F21AC3" w:rsidRDefault="00F21AC3" w:rsidP="006136F9">
            <w:pPr>
              <w:jc w:val="center"/>
              <w:rPr>
                <w:rFonts w:ascii="Arial" w:eastAsia="Times New Roman" w:hAnsi="Arial" w:cs="Arial"/>
                <w:color w:val="000000"/>
                <w:sz w:val="22"/>
                <w:lang w:val="en-US"/>
              </w:rPr>
            </w:pPr>
            <w:r w:rsidRPr="00F21AC3">
              <w:rPr>
                <w:rFonts w:ascii="Arial" w:eastAsia="Times New Roman" w:hAnsi="Arial" w:cs="Arial"/>
                <w:color w:val="000000"/>
                <w:sz w:val="22"/>
                <w:lang w:val="en-US"/>
              </w:rPr>
              <w:t>0.12</w:t>
            </w:r>
          </w:p>
        </w:tc>
        <w:tc>
          <w:tcPr>
            <w:tcW w:w="742" w:type="pct"/>
            <w:tcBorders>
              <w:top w:val="nil"/>
              <w:left w:val="nil"/>
              <w:bottom w:val="single" w:sz="4" w:space="0" w:color="auto"/>
              <w:right w:val="single" w:sz="4" w:space="0" w:color="auto"/>
            </w:tcBorders>
            <w:shd w:val="clear" w:color="auto" w:fill="auto"/>
            <w:vAlign w:val="bottom"/>
            <w:hideMark/>
          </w:tcPr>
          <w:p w14:paraId="02D41052" w14:textId="77777777" w:rsidR="00F21AC3" w:rsidRPr="006136F9" w:rsidRDefault="00F21AC3" w:rsidP="006136F9">
            <w:pPr>
              <w:jc w:val="center"/>
              <w:rPr>
                <w:rFonts w:ascii="Arial" w:eastAsia="Times New Roman" w:hAnsi="Arial" w:cs="Arial"/>
                <w:b/>
                <w:color w:val="000000"/>
                <w:sz w:val="22"/>
                <w:lang w:val="en-US"/>
              </w:rPr>
            </w:pPr>
            <w:r w:rsidRPr="006136F9">
              <w:rPr>
                <w:rFonts w:ascii="Arial" w:eastAsia="Times New Roman" w:hAnsi="Arial" w:cs="Arial"/>
                <w:b/>
                <w:color w:val="000000"/>
                <w:sz w:val="22"/>
                <w:lang w:val="en-US"/>
              </w:rPr>
              <w:t>0.51</w:t>
            </w:r>
          </w:p>
        </w:tc>
      </w:tr>
      <w:tr w:rsidR="00F21AC3" w:rsidRPr="00F21AC3" w14:paraId="049B0C45" w14:textId="77777777" w:rsidTr="00A249DC">
        <w:trPr>
          <w:trHeight w:val="285"/>
        </w:trPr>
        <w:tc>
          <w:tcPr>
            <w:tcW w:w="1489" w:type="pct"/>
            <w:tcBorders>
              <w:top w:val="nil"/>
              <w:left w:val="single" w:sz="4" w:space="0" w:color="auto"/>
              <w:bottom w:val="single" w:sz="4" w:space="0" w:color="auto"/>
              <w:right w:val="single" w:sz="4" w:space="0" w:color="auto"/>
            </w:tcBorders>
            <w:shd w:val="clear" w:color="auto" w:fill="auto"/>
            <w:vAlign w:val="bottom"/>
            <w:hideMark/>
          </w:tcPr>
          <w:p w14:paraId="627F2A90" w14:textId="77777777" w:rsidR="00F21AC3" w:rsidRPr="00F21AC3" w:rsidRDefault="00F21AC3" w:rsidP="00F21AC3">
            <w:pPr>
              <w:rPr>
                <w:rFonts w:ascii="Arial" w:eastAsia="Times New Roman" w:hAnsi="Arial" w:cs="Arial"/>
                <w:color w:val="000000"/>
                <w:sz w:val="22"/>
                <w:lang w:val="en-US"/>
              </w:rPr>
            </w:pPr>
            <w:r w:rsidRPr="00F21AC3">
              <w:rPr>
                <w:rFonts w:ascii="Arial" w:eastAsia="Times New Roman" w:hAnsi="Arial" w:cs="Arial"/>
                <w:color w:val="000000"/>
                <w:sz w:val="22"/>
                <w:lang w:val="en-US"/>
              </w:rPr>
              <w:t xml:space="preserve"> Evaluation </w:t>
            </w:r>
          </w:p>
        </w:tc>
        <w:tc>
          <w:tcPr>
            <w:tcW w:w="742" w:type="pct"/>
            <w:tcBorders>
              <w:top w:val="nil"/>
              <w:left w:val="nil"/>
              <w:bottom w:val="single" w:sz="4" w:space="0" w:color="auto"/>
              <w:right w:val="single" w:sz="4" w:space="0" w:color="auto"/>
            </w:tcBorders>
            <w:shd w:val="clear" w:color="auto" w:fill="auto"/>
            <w:vAlign w:val="bottom"/>
            <w:hideMark/>
          </w:tcPr>
          <w:p w14:paraId="4390C80E" w14:textId="77777777" w:rsidR="00F21AC3" w:rsidRPr="00F21AC3" w:rsidRDefault="00F21AC3" w:rsidP="006136F9">
            <w:pPr>
              <w:jc w:val="center"/>
              <w:rPr>
                <w:rFonts w:ascii="Arial" w:eastAsia="Times New Roman" w:hAnsi="Arial" w:cs="Arial"/>
                <w:color w:val="000000"/>
                <w:sz w:val="22"/>
                <w:lang w:val="en-US"/>
              </w:rPr>
            </w:pPr>
            <w:r w:rsidRPr="00F21AC3">
              <w:rPr>
                <w:rFonts w:ascii="Arial" w:eastAsia="Times New Roman" w:hAnsi="Arial" w:cs="Arial"/>
                <w:color w:val="000000"/>
                <w:sz w:val="22"/>
                <w:lang w:val="en-US"/>
              </w:rPr>
              <w:t>0.04</w:t>
            </w:r>
          </w:p>
        </w:tc>
        <w:tc>
          <w:tcPr>
            <w:tcW w:w="742" w:type="pct"/>
            <w:tcBorders>
              <w:top w:val="nil"/>
              <w:left w:val="nil"/>
              <w:bottom w:val="single" w:sz="4" w:space="0" w:color="auto"/>
              <w:right w:val="single" w:sz="4" w:space="0" w:color="auto"/>
            </w:tcBorders>
            <w:shd w:val="clear" w:color="auto" w:fill="auto"/>
            <w:vAlign w:val="bottom"/>
            <w:hideMark/>
          </w:tcPr>
          <w:p w14:paraId="24579096" w14:textId="77777777" w:rsidR="00F21AC3" w:rsidRPr="00F21AC3" w:rsidRDefault="00F21AC3" w:rsidP="006136F9">
            <w:pPr>
              <w:jc w:val="center"/>
              <w:rPr>
                <w:rFonts w:ascii="Arial" w:eastAsia="Times New Roman" w:hAnsi="Arial" w:cs="Arial"/>
                <w:color w:val="000000"/>
                <w:sz w:val="22"/>
                <w:lang w:val="en-US"/>
              </w:rPr>
            </w:pPr>
            <w:r w:rsidRPr="00F21AC3">
              <w:rPr>
                <w:rFonts w:ascii="Arial" w:eastAsia="Times New Roman" w:hAnsi="Arial" w:cs="Arial"/>
                <w:color w:val="000000"/>
                <w:sz w:val="22"/>
                <w:lang w:val="en-US"/>
              </w:rPr>
              <w:t>0.02</w:t>
            </w:r>
          </w:p>
        </w:tc>
        <w:tc>
          <w:tcPr>
            <w:tcW w:w="643" w:type="pct"/>
            <w:tcBorders>
              <w:top w:val="nil"/>
              <w:left w:val="nil"/>
              <w:bottom w:val="single" w:sz="4" w:space="0" w:color="auto"/>
              <w:right w:val="single" w:sz="4" w:space="0" w:color="auto"/>
            </w:tcBorders>
            <w:shd w:val="clear" w:color="auto" w:fill="auto"/>
            <w:vAlign w:val="bottom"/>
            <w:hideMark/>
          </w:tcPr>
          <w:p w14:paraId="4E52999E" w14:textId="77777777" w:rsidR="00F21AC3" w:rsidRPr="00F21AC3" w:rsidRDefault="00F21AC3" w:rsidP="006136F9">
            <w:pPr>
              <w:jc w:val="center"/>
              <w:rPr>
                <w:rFonts w:ascii="Arial" w:eastAsia="Times New Roman" w:hAnsi="Arial" w:cs="Arial"/>
                <w:color w:val="000000"/>
                <w:sz w:val="22"/>
                <w:lang w:val="en-US"/>
              </w:rPr>
            </w:pPr>
            <w:r w:rsidRPr="00F21AC3">
              <w:rPr>
                <w:rFonts w:ascii="Arial" w:eastAsia="Times New Roman" w:hAnsi="Arial" w:cs="Arial"/>
                <w:color w:val="000000"/>
                <w:sz w:val="22"/>
                <w:lang w:val="en-US"/>
              </w:rPr>
              <w:t>0.05</w:t>
            </w:r>
          </w:p>
        </w:tc>
        <w:tc>
          <w:tcPr>
            <w:tcW w:w="643" w:type="pct"/>
            <w:tcBorders>
              <w:top w:val="nil"/>
              <w:left w:val="nil"/>
              <w:bottom w:val="single" w:sz="4" w:space="0" w:color="auto"/>
              <w:right w:val="single" w:sz="4" w:space="0" w:color="auto"/>
            </w:tcBorders>
            <w:shd w:val="clear" w:color="auto" w:fill="auto"/>
            <w:vAlign w:val="bottom"/>
            <w:hideMark/>
          </w:tcPr>
          <w:p w14:paraId="51DC150B" w14:textId="77777777" w:rsidR="00F21AC3" w:rsidRPr="00F21AC3" w:rsidRDefault="00F21AC3" w:rsidP="006136F9">
            <w:pPr>
              <w:jc w:val="center"/>
              <w:rPr>
                <w:rFonts w:ascii="Arial" w:eastAsia="Times New Roman" w:hAnsi="Arial" w:cs="Arial"/>
                <w:color w:val="000000"/>
                <w:sz w:val="22"/>
                <w:lang w:val="en-US"/>
              </w:rPr>
            </w:pPr>
            <w:r w:rsidRPr="00F21AC3">
              <w:rPr>
                <w:rFonts w:ascii="Arial" w:eastAsia="Times New Roman" w:hAnsi="Arial" w:cs="Arial"/>
                <w:color w:val="000000"/>
                <w:sz w:val="22"/>
                <w:lang w:val="en-US"/>
              </w:rPr>
              <w:t>0.01</w:t>
            </w:r>
          </w:p>
        </w:tc>
        <w:tc>
          <w:tcPr>
            <w:tcW w:w="742" w:type="pct"/>
            <w:tcBorders>
              <w:top w:val="nil"/>
              <w:left w:val="nil"/>
              <w:bottom w:val="single" w:sz="4" w:space="0" w:color="auto"/>
              <w:right w:val="single" w:sz="4" w:space="0" w:color="auto"/>
            </w:tcBorders>
            <w:shd w:val="clear" w:color="auto" w:fill="auto"/>
            <w:vAlign w:val="bottom"/>
            <w:hideMark/>
          </w:tcPr>
          <w:p w14:paraId="03202E40" w14:textId="77777777" w:rsidR="00F21AC3" w:rsidRPr="006136F9" w:rsidRDefault="00F21AC3" w:rsidP="006136F9">
            <w:pPr>
              <w:jc w:val="center"/>
              <w:rPr>
                <w:rFonts w:ascii="Arial" w:eastAsia="Times New Roman" w:hAnsi="Arial" w:cs="Arial"/>
                <w:b/>
                <w:color w:val="000000"/>
                <w:sz w:val="22"/>
                <w:lang w:val="en-US"/>
              </w:rPr>
            </w:pPr>
            <w:r w:rsidRPr="006136F9">
              <w:rPr>
                <w:rFonts w:ascii="Arial" w:eastAsia="Times New Roman" w:hAnsi="Arial" w:cs="Arial"/>
                <w:b/>
                <w:color w:val="000000"/>
                <w:sz w:val="22"/>
                <w:lang w:val="en-US"/>
              </w:rPr>
              <w:t>0.11</w:t>
            </w:r>
          </w:p>
        </w:tc>
      </w:tr>
      <w:tr w:rsidR="00F21AC3" w:rsidRPr="00F21AC3" w14:paraId="6567CBF8" w14:textId="77777777" w:rsidTr="00A249DC">
        <w:trPr>
          <w:trHeight w:val="570"/>
        </w:trPr>
        <w:tc>
          <w:tcPr>
            <w:tcW w:w="1489" w:type="pct"/>
            <w:tcBorders>
              <w:top w:val="nil"/>
              <w:left w:val="single" w:sz="4" w:space="0" w:color="auto"/>
              <w:bottom w:val="single" w:sz="4" w:space="0" w:color="auto"/>
              <w:right w:val="single" w:sz="4" w:space="0" w:color="auto"/>
            </w:tcBorders>
            <w:shd w:val="clear" w:color="auto" w:fill="auto"/>
            <w:vAlign w:val="bottom"/>
            <w:hideMark/>
          </w:tcPr>
          <w:p w14:paraId="4B325D54" w14:textId="77777777" w:rsidR="00F21AC3" w:rsidRPr="006136F9" w:rsidRDefault="00F21AC3" w:rsidP="00F21AC3">
            <w:pPr>
              <w:rPr>
                <w:rFonts w:ascii="Arial" w:eastAsia="Times New Roman" w:hAnsi="Arial" w:cs="Arial"/>
                <w:b/>
                <w:color w:val="000000"/>
                <w:sz w:val="22"/>
                <w:lang w:val="en-US"/>
              </w:rPr>
            </w:pPr>
            <w:r w:rsidRPr="006136F9">
              <w:rPr>
                <w:rFonts w:ascii="Arial" w:eastAsia="Times New Roman" w:hAnsi="Arial" w:cs="Arial"/>
                <w:b/>
                <w:i/>
                <w:color w:val="000000"/>
                <w:sz w:val="22"/>
                <w:lang w:val="en-US"/>
              </w:rPr>
              <w:t>Total</w:t>
            </w:r>
            <w:r w:rsidR="006136F9" w:rsidRPr="006136F9">
              <w:rPr>
                <w:rFonts w:ascii="Arial" w:eastAsia="Times New Roman" w:hAnsi="Arial" w:cs="Arial"/>
                <w:b/>
                <w:i/>
                <w:color w:val="000000"/>
                <w:sz w:val="22"/>
                <w:lang w:val="en-US"/>
              </w:rPr>
              <w:t>s</w:t>
            </w:r>
          </w:p>
        </w:tc>
        <w:tc>
          <w:tcPr>
            <w:tcW w:w="742" w:type="pct"/>
            <w:tcBorders>
              <w:top w:val="nil"/>
              <w:left w:val="nil"/>
              <w:bottom w:val="single" w:sz="4" w:space="0" w:color="auto"/>
              <w:right w:val="single" w:sz="4" w:space="0" w:color="auto"/>
            </w:tcBorders>
            <w:shd w:val="clear" w:color="auto" w:fill="auto"/>
            <w:vAlign w:val="bottom"/>
            <w:hideMark/>
          </w:tcPr>
          <w:p w14:paraId="66333B11" w14:textId="77777777" w:rsidR="00F21AC3" w:rsidRPr="006136F9" w:rsidRDefault="00F21AC3" w:rsidP="006136F9">
            <w:pPr>
              <w:jc w:val="center"/>
              <w:rPr>
                <w:rFonts w:ascii="Arial" w:eastAsia="Times New Roman" w:hAnsi="Arial" w:cs="Arial"/>
                <w:b/>
                <w:color w:val="000000"/>
                <w:sz w:val="22"/>
                <w:lang w:val="en-US"/>
              </w:rPr>
            </w:pPr>
            <w:r w:rsidRPr="006136F9">
              <w:rPr>
                <w:rFonts w:ascii="Arial" w:eastAsia="Times New Roman" w:hAnsi="Arial" w:cs="Arial"/>
                <w:b/>
                <w:color w:val="000000"/>
                <w:sz w:val="22"/>
                <w:lang w:val="en-US"/>
              </w:rPr>
              <w:t>1.49</w:t>
            </w:r>
          </w:p>
        </w:tc>
        <w:tc>
          <w:tcPr>
            <w:tcW w:w="742" w:type="pct"/>
            <w:tcBorders>
              <w:top w:val="nil"/>
              <w:left w:val="nil"/>
              <w:bottom w:val="single" w:sz="4" w:space="0" w:color="auto"/>
              <w:right w:val="single" w:sz="4" w:space="0" w:color="auto"/>
            </w:tcBorders>
            <w:shd w:val="clear" w:color="auto" w:fill="auto"/>
            <w:vAlign w:val="bottom"/>
            <w:hideMark/>
          </w:tcPr>
          <w:p w14:paraId="566DEABE" w14:textId="77777777" w:rsidR="00F21AC3" w:rsidRPr="006136F9" w:rsidRDefault="00F21AC3" w:rsidP="006136F9">
            <w:pPr>
              <w:jc w:val="center"/>
              <w:rPr>
                <w:rFonts w:ascii="Arial" w:eastAsia="Times New Roman" w:hAnsi="Arial" w:cs="Arial"/>
                <w:b/>
                <w:color w:val="000000"/>
                <w:sz w:val="22"/>
                <w:lang w:val="en-US"/>
              </w:rPr>
            </w:pPr>
            <w:r w:rsidRPr="006136F9">
              <w:rPr>
                <w:rFonts w:ascii="Arial" w:eastAsia="Times New Roman" w:hAnsi="Arial" w:cs="Arial"/>
                <w:b/>
                <w:color w:val="000000"/>
                <w:sz w:val="22"/>
                <w:lang w:val="en-US"/>
              </w:rPr>
              <w:t>1.44</w:t>
            </w:r>
          </w:p>
        </w:tc>
        <w:tc>
          <w:tcPr>
            <w:tcW w:w="643" w:type="pct"/>
            <w:tcBorders>
              <w:top w:val="nil"/>
              <w:left w:val="nil"/>
              <w:bottom w:val="single" w:sz="4" w:space="0" w:color="auto"/>
              <w:right w:val="single" w:sz="4" w:space="0" w:color="auto"/>
            </w:tcBorders>
            <w:shd w:val="clear" w:color="auto" w:fill="auto"/>
            <w:vAlign w:val="bottom"/>
            <w:hideMark/>
          </w:tcPr>
          <w:p w14:paraId="51D3669F" w14:textId="77777777" w:rsidR="00F21AC3" w:rsidRPr="006136F9" w:rsidRDefault="00F21AC3" w:rsidP="006136F9">
            <w:pPr>
              <w:jc w:val="center"/>
              <w:rPr>
                <w:rFonts w:ascii="Arial" w:eastAsia="Times New Roman" w:hAnsi="Arial" w:cs="Arial"/>
                <w:b/>
                <w:color w:val="000000"/>
                <w:sz w:val="22"/>
                <w:lang w:val="en-US"/>
              </w:rPr>
            </w:pPr>
            <w:r w:rsidRPr="006136F9">
              <w:rPr>
                <w:rFonts w:ascii="Arial" w:eastAsia="Times New Roman" w:hAnsi="Arial" w:cs="Arial"/>
                <w:b/>
                <w:color w:val="000000"/>
                <w:sz w:val="22"/>
                <w:lang w:val="en-US"/>
              </w:rPr>
              <w:t>1.25</w:t>
            </w:r>
          </w:p>
        </w:tc>
        <w:tc>
          <w:tcPr>
            <w:tcW w:w="643" w:type="pct"/>
            <w:tcBorders>
              <w:top w:val="nil"/>
              <w:left w:val="nil"/>
              <w:bottom w:val="single" w:sz="4" w:space="0" w:color="auto"/>
              <w:right w:val="single" w:sz="4" w:space="0" w:color="auto"/>
            </w:tcBorders>
            <w:shd w:val="clear" w:color="auto" w:fill="auto"/>
            <w:vAlign w:val="bottom"/>
            <w:hideMark/>
          </w:tcPr>
          <w:p w14:paraId="3614B54F" w14:textId="77777777" w:rsidR="00F21AC3" w:rsidRPr="006136F9" w:rsidRDefault="00F21AC3" w:rsidP="006136F9">
            <w:pPr>
              <w:jc w:val="center"/>
              <w:rPr>
                <w:rFonts w:ascii="Arial" w:eastAsia="Times New Roman" w:hAnsi="Arial" w:cs="Arial"/>
                <w:b/>
                <w:color w:val="000000"/>
                <w:sz w:val="22"/>
                <w:lang w:val="en-US"/>
              </w:rPr>
            </w:pPr>
            <w:r w:rsidRPr="006136F9">
              <w:rPr>
                <w:rFonts w:ascii="Arial" w:eastAsia="Times New Roman" w:hAnsi="Arial" w:cs="Arial"/>
                <w:b/>
                <w:color w:val="000000"/>
                <w:sz w:val="22"/>
                <w:lang w:val="en-US"/>
              </w:rPr>
              <w:t>1.22</w:t>
            </w:r>
          </w:p>
        </w:tc>
        <w:tc>
          <w:tcPr>
            <w:tcW w:w="742" w:type="pct"/>
            <w:tcBorders>
              <w:top w:val="nil"/>
              <w:left w:val="nil"/>
              <w:bottom w:val="single" w:sz="4" w:space="0" w:color="auto"/>
              <w:right w:val="single" w:sz="4" w:space="0" w:color="auto"/>
            </w:tcBorders>
            <w:shd w:val="clear" w:color="auto" w:fill="auto"/>
            <w:vAlign w:val="bottom"/>
            <w:hideMark/>
          </w:tcPr>
          <w:p w14:paraId="537C5F7B" w14:textId="77777777" w:rsidR="00F21AC3" w:rsidRPr="006136F9" w:rsidRDefault="00F21AC3" w:rsidP="006136F9">
            <w:pPr>
              <w:jc w:val="center"/>
              <w:rPr>
                <w:rFonts w:ascii="Arial" w:eastAsia="Times New Roman" w:hAnsi="Arial" w:cs="Arial"/>
                <w:b/>
                <w:color w:val="000000"/>
                <w:sz w:val="22"/>
                <w:lang w:val="en-US"/>
              </w:rPr>
            </w:pPr>
            <w:r w:rsidRPr="006136F9">
              <w:rPr>
                <w:rFonts w:ascii="Arial" w:eastAsia="Times New Roman" w:hAnsi="Arial" w:cs="Arial"/>
                <w:b/>
                <w:color w:val="000000"/>
                <w:sz w:val="22"/>
                <w:lang w:val="en-US"/>
              </w:rPr>
              <w:t>5.40</w:t>
            </w:r>
          </w:p>
        </w:tc>
      </w:tr>
    </w:tbl>
    <w:p w14:paraId="5A08E493" w14:textId="77777777" w:rsidR="00271CE8" w:rsidRDefault="00271CE8" w:rsidP="00861FB6">
      <w:pPr>
        <w:pStyle w:val="BodyText"/>
        <w:sectPr w:rsidR="00271CE8" w:rsidSect="00E62EA0">
          <w:pgSz w:w="11906" w:h="16838" w:code="9"/>
          <w:pgMar w:top="2268" w:right="1134" w:bottom="1135" w:left="1134" w:header="567" w:footer="567" w:gutter="0"/>
          <w:cols w:space="708"/>
          <w:docGrid w:linePitch="360"/>
        </w:sectPr>
      </w:pPr>
    </w:p>
    <w:p w14:paraId="2235C26E" w14:textId="77777777" w:rsidR="00773154" w:rsidRDefault="00773154" w:rsidP="00773154">
      <w:pPr>
        <w:pStyle w:val="Heading2"/>
      </w:pPr>
      <w:bookmarkStart w:id="12" w:name="_Toc62811557"/>
      <w:bookmarkStart w:id="13" w:name="_Hlk52898120"/>
      <w:r>
        <w:t>Innovative and sustainable access to sight-saving cataract surgery</w:t>
      </w:r>
      <w:bookmarkEnd w:id="12"/>
    </w:p>
    <w:p w14:paraId="0370C670" w14:textId="77777777" w:rsidR="00773154" w:rsidRDefault="00773154" w:rsidP="00773154">
      <w:pPr>
        <w:pStyle w:val="BodyText"/>
      </w:pPr>
      <w:r>
        <w:t xml:space="preserve">The social, economic and health system costs of vision loss are significant, but </w:t>
      </w:r>
      <w:r w:rsidRPr="00187CB4">
        <w:t>approximately</w:t>
      </w:r>
      <w:r>
        <w:t xml:space="preserve"> 90% of vision loss can be prevented through early identification and treatment. </w:t>
      </w:r>
    </w:p>
    <w:p w14:paraId="18796D50" w14:textId="77777777" w:rsidR="00773154" w:rsidRDefault="00773154" w:rsidP="00773154">
      <w:pPr>
        <w:pStyle w:val="BodyText"/>
      </w:pPr>
      <w:r>
        <w:t>Cataract is one of the leading causes of avoidable vision loss in Australia</w:t>
      </w:r>
      <w:r>
        <w:rPr>
          <w:rStyle w:val="FootnoteReference"/>
        </w:rPr>
        <w:footnoteReference w:id="10"/>
      </w:r>
      <w:r>
        <w:t xml:space="preserve"> but fortunately, surgical treatment for cataract is highly cost effective. </w:t>
      </w:r>
    </w:p>
    <w:p w14:paraId="05635980" w14:textId="62CCE58A" w:rsidR="00773154" w:rsidRDefault="00773154" w:rsidP="00773154">
      <w:pPr>
        <w:pStyle w:val="BodyText"/>
      </w:pPr>
      <w:r>
        <w:t xml:space="preserve">The public hospital system provides an important role in this area, delivering around 30% of all cataract surgeries in Australia. This includes some 80% of cataract surgeries performed on Aboriginal and Torres Strait Islander </w:t>
      </w:r>
      <w:r w:rsidR="00D17DFA">
        <w:t>P</w:t>
      </w:r>
      <w:r>
        <w:t>eople</w:t>
      </w:r>
      <w:r w:rsidR="00D17DFA">
        <w:t>s</w:t>
      </w:r>
      <w:r>
        <w:t>, as well as surgeries for population groups unable to access this essential care.</w:t>
      </w:r>
    </w:p>
    <w:p w14:paraId="4F6D4942" w14:textId="698EBD04" w:rsidR="00773154" w:rsidRDefault="00773154" w:rsidP="00773154">
      <w:pPr>
        <w:pStyle w:val="BodyText"/>
      </w:pPr>
      <w:r>
        <w:t>Despite these factors, in 2019-20, an estimated 74,150 additional public cataract surgeries were required to clear backlogs for public cataract surgery, including some 8,500 surgeries for Aboriginal and Torres Strait Islander people</w:t>
      </w:r>
      <w:r w:rsidR="002A7805">
        <w:t>.</w:t>
      </w:r>
      <w:r>
        <w:rPr>
          <w:rStyle w:val="FootnoteReference"/>
        </w:rPr>
        <w:footnoteReference w:id="11"/>
      </w:r>
      <w:r>
        <w:t xml:space="preserve"> With the Australian population ageing, the prevalence of cataracts will grow significantly unless action is taken now to clear public backlogs and support more sustainable models of public delivery into the future. </w:t>
      </w:r>
    </w:p>
    <w:p w14:paraId="2EA046F0" w14:textId="77777777" w:rsidR="00773154" w:rsidRDefault="00773154" w:rsidP="00773154">
      <w:pPr>
        <w:pStyle w:val="BodyText"/>
      </w:pPr>
      <w:r>
        <w:t>There are also significant inequities in access to public cataract surgery that need to be addressed. For example:</w:t>
      </w:r>
    </w:p>
    <w:p w14:paraId="55CE367C" w14:textId="77777777" w:rsidR="00773154" w:rsidRDefault="00773154" w:rsidP="00455158">
      <w:pPr>
        <w:pStyle w:val="BodyText"/>
        <w:numPr>
          <w:ilvl w:val="0"/>
          <w:numId w:val="21"/>
        </w:numPr>
        <w:spacing w:before="0"/>
      </w:pPr>
      <w:r>
        <w:t>Aboriginal and Torres Strait Islander communities wait some 57% longer for cataract surgery than other Australians</w:t>
      </w:r>
      <w:r>
        <w:rPr>
          <w:rStyle w:val="FootnoteReference"/>
        </w:rPr>
        <w:footnoteReference w:id="12"/>
      </w:r>
      <w:r>
        <w:t xml:space="preserve"> and in some jurisdictions, there are reports of people waiting years for their surgery.</w:t>
      </w:r>
      <w:r>
        <w:rPr>
          <w:rStyle w:val="FootnoteReference"/>
        </w:rPr>
        <w:footnoteReference w:id="13"/>
      </w:r>
      <w:r>
        <w:t xml:space="preserve">  </w:t>
      </w:r>
    </w:p>
    <w:p w14:paraId="630D0FF5" w14:textId="77777777" w:rsidR="00773154" w:rsidRDefault="00773154" w:rsidP="00455158">
      <w:pPr>
        <w:pStyle w:val="BodyText"/>
        <w:numPr>
          <w:ilvl w:val="0"/>
          <w:numId w:val="21"/>
        </w:numPr>
        <w:spacing w:before="0"/>
      </w:pPr>
      <w:r>
        <w:t xml:space="preserve">The rates of cataract are between 3 and 15 times higher in nursing homes than in the general population, despite evidence showing that performing cataract surgery on nursing home residents leads to significant improvements in their mental health, social interaction and reading, alongside their general vision. </w:t>
      </w:r>
    </w:p>
    <w:p w14:paraId="072A0CD7" w14:textId="3714F379" w:rsidR="00773154" w:rsidRDefault="00773154" w:rsidP="00773154">
      <w:pPr>
        <w:pStyle w:val="BodyText"/>
      </w:pPr>
      <w:r>
        <w:t xml:space="preserve">Developing tailored models of care with pathways that meet the needs of groups such as these is essential to ensure that all Australians can benefit from this sight saving surgery. For Aboriginal and Torres Strait Islander </w:t>
      </w:r>
      <w:r w:rsidR="00D17DFA">
        <w:t>P</w:t>
      </w:r>
      <w:r>
        <w:t>eople</w:t>
      </w:r>
      <w:r w:rsidR="00D17DFA">
        <w:t>s</w:t>
      </w:r>
      <w:r>
        <w:t xml:space="preserve">, those models need to be shaped by and where possible led by community itself. </w:t>
      </w:r>
    </w:p>
    <w:p w14:paraId="733B379E" w14:textId="77777777" w:rsidR="00773154" w:rsidRDefault="00773154" w:rsidP="00773154">
      <w:pPr>
        <w:pStyle w:val="BodyText"/>
      </w:pPr>
      <w:r>
        <w:t xml:space="preserve">Acting now to clear cataract waiting lists also delivers economic benefits. Cataract surgery has been identified as one of the most cost-effective surgical procedures, while delaying surgery results in additional costs due to higher rates of falls, motor vehicle accidents and other injuries among those waiting for surgery. </w:t>
      </w:r>
    </w:p>
    <w:p w14:paraId="41D1AC59" w14:textId="77777777" w:rsidR="00773154" w:rsidRDefault="00773154" w:rsidP="00773154">
      <w:pPr>
        <w:keepNext/>
        <w:keepLines/>
        <w:spacing w:before="240" w:after="120"/>
        <w:outlineLvl w:val="2"/>
        <w:rPr>
          <w:rFonts w:asciiTheme="majorHAnsi" w:eastAsia="Times New Roman" w:hAnsiTheme="majorHAnsi" w:cs="Times New Roman"/>
          <w:b/>
          <w:bCs/>
          <w:color w:val="004B8D" w:themeColor="accent1"/>
          <w:szCs w:val="24"/>
          <w:lang w:eastAsia="en-AU"/>
        </w:rPr>
      </w:pPr>
      <w:r>
        <w:rPr>
          <w:rFonts w:asciiTheme="majorHAnsi" w:eastAsia="Times New Roman" w:hAnsiTheme="majorHAnsi" w:cs="Times New Roman"/>
          <w:b/>
          <w:bCs/>
          <w:color w:val="004B8D" w:themeColor="accent1"/>
          <w:szCs w:val="24"/>
          <w:lang w:eastAsia="en-AU"/>
        </w:rPr>
        <w:t>Priorities for 2021-22 budget investment</w:t>
      </w:r>
    </w:p>
    <w:p w14:paraId="23CDA73A" w14:textId="77777777" w:rsidR="00773154" w:rsidRDefault="00773154" w:rsidP="00773154">
      <w:pPr>
        <w:pStyle w:val="BodyText"/>
      </w:pPr>
      <w:r w:rsidRPr="00834F07">
        <w:t>The eye sector stands ready to provide its system</w:t>
      </w:r>
      <w:r>
        <w:t>-</w:t>
      </w:r>
      <w:r w:rsidRPr="00834F07">
        <w:t>wide expertise to help the health system access and implement models of best practi</w:t>
      </w:r>
      <w:r>
        <w:t>c</w:t>
      </w:r>
      <w:r w:rsidRPr="00834F07">
        <w:t>e through changes to local and jurisdictional protocols, practises and pathways</w:t>
      </w:r>
      <w:r>
        <w:t xml:space="preserve"> to care</w:t>
      </w:r>
      <w:r w:rsidRPr="00834F07">
        <w:t>.</w:t>
      </w:r>
    </w:p>
    <w:p w14:paraId="23952E32" w14:textId="1DC37FE0" w:rsidR="00773154" w:rsidRPr="00B34058" w:rsidRDefault="00773154" w:rsidP="009D7723">
      <w:pPr>
        <w:pStyle w:val="BodyText"/>
      </w:pPr>
      <w:r>
        <w:t>A partnership between the eye sector, Aboriginal Community Controlled Health Organisations, government and other relevant partners is proposed to achieve a sustainable public system that reduces the prevalence and costs of avoidable vision loss caused by cataract into the future</w:t>
      </w:r>
      <w:r w:rsidR="00CA1E2F">
        <w:t xml:space="preserve"> -</w:t>
      </w:r>
      <w:r>
        <w:t xml:space="preserve"> in ways that are culturally safe and address current inequities in access. </w:t>
      </w:r>
    </w:p>
    <w:p w14:paraId="2D19EAA3" w14:textId="77777777" w:rsidR="00773154" w:rsidRDefault="00773154" w:rsidP="00773154">
      <w:pPr>
        <w:pStyle w:val="BodyText"/>
      </w:pPr>
      <w:r>
        <w:t xml:space="preserve">Funding for the following three-point plan is sought to end cataract related vision loss in Australia: </w:t>
      </w:r>
    </w:p>
    <w:p w14:paraId="564B4B13" w14:textId="39CD4B6A" w:rsidR="00773154" w:rsidRPr="00A249DC" w:rsidRDefault="00773154" w:rsidP="00A249DC">
      <w:pPr>
        <w:pStyle w:val="BodyText"/>
        <w:numPr>
          <w:ilvl w:val="0"/>
          <w:numId w:val="24"/>
        </w:numPr>
        <w:rPr>
          <w:b/>
        </w:rPr>
      </w:pPr>
      <w:r w:rsidRPr="00A249DC">
        <w:rPr>
          <w:b/>
        </w:rPr>
        <w:t>Support sustainable innovation in mainstream delivery ($1.2</w:t>
      </w:r>
      <w:r w:rsidR="002A7805">
        <w:rPr>
          <w:b/>
        </w:rPr>
        <w:t xml:space="preserve"> million</w:t>
      </w:r>
      <w:r w:rsidRPr="00A249DC">
        <w:rPr>
          <w:b/>
        </w:rPr>
        <w:t xml:space="preserve"> in 2021-22)</w:t>
      </w:r>
    </w:p>
    <w:p w14:paraId="218C0C45" w14:textId="77777777" w:rsidR="00773154" w:rsidRDefault="00773154" w:rsidP="00A249DC">
      <w:pPr>
        <w:pStyle w:val="BodyText"/>
        <w:ind w:left="360"/>
      </w:pPr>
      <w:r w:rsidRPr="00392446">
        <w:t>This investment will s</w:t>
      </w:r>
      <w:r w:rsidRPr="003252B1">
        <w:t>upport</w:t>
      </w:r>
      <w:r>
        <w:t xml:space="preserve"> the design and implementation of new models for delivery of cataract care which:</w:t>
      </w:r>
    </w:p>
    <w:p w14:paraId="14BF69EB" w14:textId="77777777" w:rsidR="00773154" w:rsidRDefault="00773154" w:rsidP="00A249DC">
      <w:pPr>
        <w:pStyle w:val="BodyText"/>
        <w:numPr>
          <w:ilvl w:val="0"/>
          <w:numId w:val="20"/>
        </w:numPr>
        <w:spacing w:before="0" w:after="60"/>
      </w:pPr>
      <w:r>
        <w:t>Optimises use of all available workforces, drawing on local models and pathways that have enhanced access while maintaining quality</w:t>
      </w:r>
    </w:p>
    <w:p w14:paraId="0E4F0E5A" w14:textId="77777777" w:rsidR="00773154" w:rsidRDefault="00773154" w:rsidP="00A249DC">
      <w:pPr>
        <w:pStyle w:val="BodyText"/>
        <w:numPr>
          <w:ilvl w:val="0"/>
          <w:numId w:val="20"/>
        </w:numPr>
        <w:spacing w:before="0" w:after="60"/>
      </w:pPr>
      <w:r>
        <w:t>Accommodates the specific needs of groups such as older people living in residential aged care, so that they can enjoy the improvements to quality of life that cataract surgery delivers</w:t>
      </w:r>
    </w:p>
    <w:p w14:paraId="09E64C18" w14:textId="77777777" w:rsidR="00773154" w:rsidRDefault="00773154" w:rsidP="00A249DC">
      <w:pPr>
        <w:pStyle w:val="BodyText"/>
        <w:numPr>
          <w:ilvl w:val="0"/>
          <w:numId w:val="20"/>
        </w:numPr>
        <w:spacing w:before="0" w:after="60"/>
      </w:pPr>
      <w:r>
        <w:t>Explores opportunities for use of telehealth and/or other innovative strategies to support high quality, timely cataract care.</w:t>
      </w:r>
    </w:p>
    <w:p w14:paraId="6301ED70" w14:textId="13D2EEE9" w:rsidR="00A249DC" w:rsidRPr="00A249DC" w:rsidRDefault="00773154" w:rsidP="00A249DC">
      <w:pPr>
        <w:pStyle w:val="BodyText"/>
        <w:numPr>
          <w:ilvl w:val="0"/>
          <w:numId w:val="24"/>
        </w:numPr>
        <w:rPr>
          <w:b/>
        </w:rPr>
      </w:pPr>
      <w:r w:rsidRPr="00A249DC">
        <w:rPr>
          <w:b/>
        </w:rPr>
        <w:t>Deliver over 66,000</w:t>
      </w:r>
      <w:r w:rsidR="009C63CC">
        <w:rPr>
          <w:b/>
        </w:rPr>
        <w:t xml:space="preserve"> additional</w:t>
      </w:r>
      <w:r w:rsidRPr="00A249DC">
        <w:rPr>
          <w:b/>
        </w:rPr>
        <w:t xml:space="preserve"> cataract surgeries to help clear the backlog ($67.5</w:t>
      </w:r>
      <w:r w:rsidR="002A7805">
        <w:rPr>
          <w:b/>
        </w:rPr>
        <w:t xml:space="preserve"> million</w:t>
      </w:r>
      <w:r w:rsidRPr="00A249DC">
        <w:rPr>
          <w:b/>
        </w:rPr>
        <w:t xml:space="preserve"> in 2021-22) </w:t>
      </w:r>
    </w:p>
    <w:p w14:paraId="5BFECEC8" w14:textId="634C111A" w:rsidR="00773154" w:rsidRPr="00A249DC" w:rsidRDefault="00FC5F90" w:rsidP="00A249DC">
      <w:pPr>
        <w:pStyle w:val="BodyText"/>
        <w:ind w:left="360"/>
      </w:pPr>
      <w:r>
        <w:t>A</w:t>
      </w:r>
      <w:r w:rsidR="00773154" w:rsidRPr="00A249DC">
        <w:t xml:space="preserve">dditional </w:t>
      </w:r>
      <w:r>
        <w:t xml:space="preserve">cataract </w:t>
      </w:r>
      <w:r w:rsidR="00773154" w:rsidRPr="00A249DC">
        <w:t>surg</w:t>
      </w:r>
      <w:r>
        <w:t>er</w:t>
      </w:r>
      <w:r w:rsidR="00773154" w:rsidRPr="00A249DC">
        <w:t>i</w:t>
      </w:r>
      <w:r>
        <w:t>es</w:t>
      </w:r>
      <w:r w:rsidR="00773154" w:rsidRPr="00A249DC">
        <w:t xml:space="preserve"> will help end significant waiting times</w:t>
      </w:r>
      <w:r>
        <w:t xml:space="preserve">, </w:t>
      </w:r>
      <w:r w:rsidR="00773154" w:rsidRPr="00A249DC">
        <w:t xml:space="preserve">providing an opportunity to implement innovative models and embed the cataract standard developed by the Australian Commission for Quality and Safety in Health Care. </w:t>
      </w:r>
    </w:p>
    <w:p w14:paraId="594FBA7A" w14:textId="6CCAF0E6" w:rsidR="00773154" w:rsidRPr="00A249DC" w:rsidRDefault="00773154" w:rsidP="00A249DC">
      <w:pPr>
        <w:pStyle w:val="BodyText"/>
        <w:numPr>
          <w:ilvl w:val="0"/>
          <w:numId w:val="24"/>
        </w:numPr>
        <w:rPr>
          <w:b/>
        </w:rPr>
      </w:pPr>
      <w:r w:rsidRPr="00A249DC">
        <w:rPr>
          <w:b/>
        </w:rPr>
        <w:t>Develop tailored, community led cataract models for Aboriginal and Torres Strait People ($9.</w:t>
      </w:r>
      <w:r w:rsidR="00A249DC" w:rsidRPr="00A249DC">
        <w:rPr>
          <w:b/>
        </w:rPr>
        <w:t>6</w:t>
      </w:r>
      <w:r w:rsidR="002A7805">
        <w:rPr>
          <w:b/>
        </w:rPr>
        <w:t xml:space="preserve"> million</w:t>
      </w:r>
      <w:r w:rsidRPr="00A249DC">
        <w:rPr>
          <w:b/>
        </w:rPr>
        <w:t xml:space="preserve"> in 2021-22)</w:t>
      </w:r>
    </w:p>
    <w:p w14:paraId="62B1C2C5" w14:textId="77777777" w:rsidR="00773154" w:rsidRDefault="00773154" w:rsidP="00773154">
      <w:pPr>
        <w:pStyle w:val="BodyText"/>
        <w:spacing w:after="60"/>
        <w:ind w:left="360"/>
      </w:pPr>
      <w:r>
        <w:t>This investment will:</w:t>
      </w:r>
    </w:p>
    <w:p w14:paraId="5889E159" w14:textId="77777777" w:rsidR="00773154" w:rsidRDefault="00773154" w:rsidP="00A249DC">
      <w:pPr>
        <w:pStyle w:val="BodyText"/>
        <w:numPr>
          <w:ilvl w:val="0"/>
          <w:numId w:val="20"/>
        </w:numPr>
        <w:spacing w:before="0" w:after="60"/>
      </w:pPr>
      <w:r>
        <w:t>Support the development and broader implementation of community designed and led models of cataract care, drawing upon successful examples of collaboration between the eye care and community led sectors</w:t>
      </w:r>
    </w:p>
    <w:p w14:paraId="3C96EEBF" w14:textId="77777777" w:rsidR="00773154" w:rsidRDefault="00773154" w:rsidP="00A249DC">
      <w:pPr>
        <w:pStyle w:val="BodyText"/>
        <w:numPr>
          <w:ilvl w:val="0"/>
          <w:numId w:val="20"/>
        </w:numPr>
        <w:spacing w:before="0" w:after="60"/>
      </w:pPr>
      <w:r>
        <w:t>Deliver the 8,500+</w:t>
      </w:r>
      <w:r w:rsidR="009C63CC">
        <w:t xml:space="preserve"> additional</w:t>
      </w:r>
      <w:r>
        <w:t xml:space="preserve"> cataract surgeries required to clear existing backlogs</w:t>
      </w:r>
    </w:p>
    <w:p w14:paraId="0551DFF2" w14:textId="5608AA41" w:rsidR="00773154" w:rsidRDefault="00773154" w:rsidP="00A249DC">
      <w:pPr>
        <w:pStyle w:val="BodyText"/>
        <w:numPr>
          <w:ilvl w:val="0"/>
          <w:numId w:val="20"/>
        </w:numPr>
        <w:spacing w:before="0" w:after="60"/>
      </w:pPr>
      <w:r>
        <w:t xml:space="preserve">Roll out strategies to support surgical prioritisation of Aboriginal and Torres Strait Islander </w:t>
      </w:r>
      <w:r w:rsidR="00D17DFA">
        <w:t>P</w:t>
      </w:r>
      <w:r>
        <w:t>eople</w:t>
      </w:r>
      <w:r w:rsidR="00D17DFA">
        <w:t>s</w:t>
      </w:r>
      <w:r>
        <w:t xml:space="preserve"> in mainstream services and culturally safe delivery models.</w:t>
      </w:r>
    </w:p>
    <w:p w14:paraId="3108F020" w14:textId="77777777" w:rsidR="00773154" w:rsidRDefault="00773154" w:rsidP="00773154">
      <w:pPr>
        <w:pStyle w:val="BodyText"/>
        <w:spacing w:after="60"/>
      </w:pPr>
      <w:r>
        <w:t>Along with delivering significant social and economic benefits to individuals, the economy and government, this proposal will help:</w:t>
      </w:r>
    </w:p>
    <w:p w14:paraId="3EF0D1B8" w14:textId="77777777" w:rsidR="00773154" w:rsidRDefault="00773154" w:rsidP="00455158">
      <w:pPr>
        <w:pStyle w:val="BodyText"/>
        <w:numPr>
          <w:ilvl w:val="0"/>
          <w:numId w:val="20"/>
        </w:numPr>
        <w:spacing w:before="0" w:after="60"/>
        <w:ind w:left="360"/>
      </w:pPr>
      <w:r>
        <w:t xml:space="preserve">embed the national cataract standard developed by the Australian Commission for Quality and Safety in Health Care </w:t>
      </w:r>
    </w:p>
    <w:p w14:paraId="37AA4E5F" w14:textId="77777777" w:rsidR="00773154" w:rsidRDefault="00773154" w:rsidP="00455158">
      <w:pPr>
        <w:pStyle w:val="BodyText"/>
        <w:numPr>
          <w:ilvl w:val="0"/>
          <w:numId w:val="20"/>
        </w:numPr>
        <w:spacing w:before="0" w:after="60"/>
        <w:ind w:left="360"/>
      </w:pPr>
      <w:r>
        <w:t>support proposed growth in ophthalmology training numbers by providing additional opportunities to gain surgical experience, and</w:t>
      </w:r>
    </w:p>
    <w:p w14:paraId="1B8D53C7" w14:textId="77777777" w:rsidR="00773154" w:rsidRDefault="00773154" w:rsidP="00455158">
      <w:pPr>
        <w:pStyle w:val="BodyText"/>
        <w:numPr>
          <w:ilvl w:val="0"/>
          <w:numId w:val="20"/>
        </w:numPr>
        <w:spacing w:before="0" w:after="60"/>
        <w:ind w:left="360"/>
      </w:pPr>
      <w:r>
        <w:t xml:space="preserve">deliver on priorities identified in both </w:t>
      </w:r>
      <w:r w:rsidRPr="00392446">
        <w:rPr>
          <w:i/>
        </w:rPr>
        <w:t>Australia’s Long-Term National Health Plan</w:t>
      </w:r>
      <w:r>
        <w:t xml:space="preserve"> and </w:t>
      </w:r>
      <w:r w:rsidRPr="00392446">
        <w:rPr>
          <w:i/>
        </w:rPr>
        <w:t>Strong Eyes, Strong Communities – the Five-Year Plan for Aboriginal and Torres Strait Islander eye health and vision</w:t>
      </w:r>
      <w:r w:rsidRPr="00C90F8A">
        <w:t>.</w:t>
      </w:r>
    </w:p>
    <w:p w14:paraId="17D3B4CA" w14:textId="77777777" w:rsidR="001E1F40" w:rsidRDefault="001E1F40" w:rsidP="00A56C43">
      <w:pPr>
        <w:pStyle w:val="Heading3"/>
      </w:pPr>
      <w:r>
        <w:t>Indicative budget</w:t>
      </w:r>
    </w:p>
    <w:tbl>
      <w:tblPr>
        <w:tblW w:w="5092" w:type="pct"/>
        <w:tblLook w:val="04A0" w:firstRow="1" w:lastRow="0" w:firstColumn="1" w:lastColumn="0" w:noHBand="0" w:noVBand="1"/>
      </w:tblPr>
      <w:tblGrid>
        <w:gridCol w:w="4045"/>
        <w:gridCol w:w="969"/>
        <w:gridCol w:w="990"/>
        <w:gridCol w:w="1079"/>
        <w:gridCol w:w="992"/>
        <w:gridCol w:w="1730"/>
      </w:tblGrid>
      <w:tr w:rsidR="00773154" w:rsidRPr="00615241" w14:paraId="6FAE4B35" w14:textId="77777777" w:rsidTr="004913D8">
        <w:trPr>
          <w:trHeight w:val="510"/>
        </w:trPr>
        <w:tc>
          <w:tcPr>
            <w:tcW w:w="2063" w:type="pct"/>
            <w:tcBorders>
              <w:top w:val="single" w:sz="4" w:space="0" w:color="auto"/>
              <w:left w:val="single" w:sz="4" w:space="0" w:color="auto"/>
              <w:bottom w:val="single" w:sz="4" w:space="0" w:color="auto"/>
              <w:right w:val="single" w:sz="4" w:space="0" w:color="auto"/>
            </w:tcBorders>
            <w:shd w:val="clear" w:color="000000" w:fill="000000"/>
            <w:vAlign w:val="bottom"/>
            <w:hideMark/>
          </w:tcPr>
          <w:bookmarkEnd w:id="13"/>
          <w:p w14:paraId="2FCB6567" w14:textId="77777777" w:rsidR="00773154" w:rsidRPr="00615241" w:rsidRDefault="00773154" w:rsidP="00F54BDA">
            <w:pPr>
              <w:jc w:val="center"/>
              <w:rPr>
                <w:rFonts w:ascii="Arial" w:eastAsia="Times New Roman" w:hAnsi="Arial" w:cs="Arial"/>
                <w:color w:val="FFFFFF"/>
                <w:sz w:val="22"/>
                <w:lang w:val="en-US"/>
              </w:rPr>
            </w:pPr>
            <w:r w:rsidRPr="00615241">
              <w:rPr>
                <w:rFonts w:ascii="Arial" w:eastAsia="Times New Roman" w:hAnsi="Arial" w:cs="Arial"/>
                <w:color w:val="FFFFFF"/>
                <w:sz w:val="22"/>
                <w:lang w:val="en-US"/>
              </w:rPr>
              <w:t> </w:t>
            </w:r>
          </w:p>
        </w:tc>
        <w:tc>
          <w:tcPr>
            <w:tcW w:w="494" w:type="pct"/>
            <w:tcBorders>
              <w:top w:val="single" w:sz="4" w:space="0" w:color="auto"/>
              <w:left w:val="nil"/>
              <w:bottom w:val="single" w:sz="4" w:space="0" w:color="auto"/>
              <w:right w:val="single" w:sz="4" w:space="0" w:color="auto"/>
            </w:tcBorders>
            <w:shd w:val="clear" w:color="000000" w:fill="000000"/>
            <w:vAlign w:val="bottom"/>
            <w:hideMark/>
          </w:tcPr>
          <w:p w14:paraId="28FDE6DA" w14:textId="77777777" w:rsidR="00773154" w:rsidRPr="00615241" w:rsidRDefault="00773154" w:rsidP="00F54BDA">
            <w:pPr>
              <w:jc w:val="center"/>
              <w:rPr>
                <w:rFonts w:ascii="Arial" w:eastAsia="Times New Roman" w:hAnsi="Arial" w:cs="Arial"/>
                <w:color w:val="FFFFFF"/>
                <w:sz w:val="22"/>
                <w:lang w:val="en-US"/>
              </w:rPr>
            </w:pPr>
            <w:r w:rsidRPr="00615241">
              <w:rPr>
                <w:rFonts w:ascii="Arial" w:eastAsia="Times New Roman" w:hAnsi="Arial" w:cs="Arial"/>
                <w:color w:val="FFFFFF"/>
                <w:sz w:val="22"/>
                <w:lang w:val="en-US"/>
              </w:rPr>
              <w:t>2021-22 ($,m)</w:t>
            </w:r>
          </w:p>
        </w:tc>
        <w:tc>
          <w:tcPr>
            <w:tcW w:w="505" w:type="pct"/>
            <w:tcBorders>
              <w:top w:val="single" w:sz="4" w:space="0" w:color="auto"/>
              <w:left w:val="nil"/>
              <w:bottom w:val="single" w:sz="4" w:space="0" w:color="auto"/>
              <w:right w:val="single" w:sz="4" w:space="0" w:color="auto"/>
            </w:tcBorders>
            <w:shd w:val="clear" w:color="000000" w:fill="000000"/>
            <w:vAlign w:val="bottom"/>
            <w:hideMark/>
          </w:tcPr>
          <w:p w14:paraId="2F8E0925" w14:textId="77777777" w:rsidR="00773154" w:rsidRPr="00615241" w:rsidRDefault="00773154" w:rsidP="00F54BDA">
            <w:pPr>
              <w:jc w:val="center"/>
              <w:rPr>
                <w:rFonts w:ascii="Arial" w:eastAsia="Times New Roman" w:hAnsi="Arial" w:cs="Arial"/>
                <w:color w:val="FFFFFF"/>
                <w:sz w:val="22"/>
                <w:lang w:val="en-US"/>
              </w:rPr>
            </w:pPr>
            <w:r w:rsidRPr="00615241">
              <w:rPr>
                <w:rFonts w:ascii="Arial" w:eastAsia="Times New Roman" w:hAnsi="Arial" w:cs="Arial"/>
                <w:color w:val="FFFFFF"/>
                <w:sz w:val="22"/>
                <w:lang w:val="en-US"/>
              </w:rPr>
              <w:t>2022-23 ($,m)</w:t>
            </w:r>
          </w:p>
        </w:tc>
        <w:tc>
          <w:tcPr>
            <w:tcW w:w="550" w:type="pct"/>
            <w:tcBorders>
              <w:top w:val="single" w:sz="4" w:space="0" w:color="auto"/>
              <w:left w:val="nil"/>
              <w:bottom w:val="single" w:sz="4" w:space="0" w:color="auto"/>
              <w:right w:val="single" w:sz="4" w:space="0" w:color="auto"/>
            </w:tcBorders>
            <w:shd w:val="clear" w:color="000000" w:fill="000000"/>
            <w:vAlign w:val="bottom"/>
            <w:hideMark/>
          </w:tcPr>
          <w:p w14:paraId="7701A302" w14:textId="77777777" w:rsidR="00773154" w:rsidRPr="00615241" w:rsidRDefault="00773154" w:rsidP="00F54BDA">
            <w:pPr>
              <w:jc w:val="center"/>
              <w:rPr>
                <w:rFonts w:ascii="Arial" w:eastAsia="Times New Roman" w:hAnsi="Arial" w:cs="Arial"/>
                <w:color w:val="FFFFFF"/>
                <w:sz w:val="22"/>
                <w:lang w:val="en-US"/>
              </w:rPr>
            </w:pPr>
            <w:r w:rsidRPr="00615241">
              <w:rPr>
                <w:rFonts w:ascii="Arial" w:eastAsia="Times New Roman" w:hAnsi="Arial" w:cs="Arial"/>
                <w:color w:val="FFFFFF"/>
                <w:sz w:val="22"/>
                <w:lang w:val="en-US"/>
              </w:rPr>
              <w:t>2023-24 ($,m)</w:t>
            </w:r>
          </w:p>
        </w:tc>
        <w:tc>
          <w:tcPr>
            <w:tcW w:w="506" w:type="pct"/>
            <w:tcBorders>
              <w:top w:val="single" w:sz="4" w:space="0" w:color="auto"/>
              <w:left w:val="nil"/>
              <w:bottom w:val="single" w:sz="4" w:space="0" w:color="auto"/>
              <w:right w:val="single" w:sz="4" w:space="0" w:color="auto"/>
            </w:tcBorders>
            <w:shd w:val="clear" w:color="000000" w:fill="000000"/>
            <w:vAlign w:val="bottom"/>
            <w:hideMark/>
          </w:tcPr>
          <w:p w14:paraId="14D78A60" w14:textId="77777777" w:rsidR="00773154" w:rsidRPr="00615241" w:rsidRDefault="00773154" w:rsidP="00F54BDA">
            <w:pPr>
              <w:jc w:val="center"/>
              <w:rPr>
                <w:rFonts w:ascii="Arial" w:eastAsia="Times New Roman" w:hAnsi="Arial" w:cs="Arial"/>
                <w:color w:val="FFFFFF"/>
                <w:sz w:val="22"/>
                <w:lang w:val="en-US"/>
              </w:rPr>
            </w:pPr>
            <w:r w:rsidRPr="00615241">
              <w:rPr>
                <w:rFonts w:ascii="Arial" w:eastAsia="Times New Roman" w:hAnsi="Arial" w:cs="Arial"/>
                <w:color w:val="FFFFFF"/>
                <w:sz w:val="22"/>
                <w:lang w:val="en-US"/>
              </w:rPr>
              <w:t>2024-25 ($,m)</w:t>
            </w:r>
          </w:p>
        </w:tc>
        <w:tc>
          <w:tcPr>
            <w:tcW w:w="882" w:type="pct"/>
            <w:tcBorders>
              <w:top w:val="single" w:sz="4" w:space="0" w:color="auto"/>
              <w:left w:val="nil"/>
              <w:bottom w:val="single" w:sz="4" w:space="0" w:color="auto"/>
              <w:right w:val="single" w:sz="4" w:space="0" w:color="auto"/>
            </w:tcBorders>
            <w:shd w:val="clear" w:color="000000" w:fill="000000"/>
            <w:vAlign w:val="bottom"/>
            <w:hideMark/>
          </w:tcPr>
          <w:p w14:paraId="2BE44816" w14:textId="77777777" w:rsidR="00773154" w:rsidRPr="00615241" w:rsidRDefault="00773154" w:rsidP="00F54BDA">
            <w:pPr>
              <w:jc w:val="center"/>
              <w:rPr>
                <w:rFonts w:ascii="Arial" w:eastAsia="Times New Roman" w:hAnsi="Arial" w:cs="Arial"/>
                <w:color w:val="FFFFFF"/>
                <w:sz w:val="22"/>
                <w:lang w:val="en-US"/>
              </w:rPr>
            </w:pPr>
            <w:r w:rsidRPr="00615241">
              <w:rPr>
                <w:rFonts w:ascii="Arial" w:eastAsia="Times New Roman" w:hAnsi="Arial" w:cs="Arial"/>
                <w:color w:val="FFFFFF"/>
                <w:sz w:val="22"/>
                <w:lang w:val="en-US"/>
              </w:rPr>
              <w:t xml:space="preserve">Total over 4 </w:t>
            </w:r>
            <w:r w:rsidR="004913D8" w:rsidRPr="00615241">
              <w:rPr>
                <w:rFonts w:ascii="Arial" w:eastAsia="Times New Roman" w:hAnsi="Arial" w:cs="Arial"/>
                <w:color w:val="FFFFFF"/>
                <w:sz w:val="22"/>
                <w:lang w:val="en-US"/>
              </w:rPr>
              <w:t>yrs</w:t>
            </w:r>
            <w:r w:rsidRPr="00615241">
              <w:rPr>
                <w:rFonts w:ascii="Arial" w:eastAsia="Times New Roman" w:hAnsi="Arial" w:cs="Arial"/>
                <w:color w:val="FFFFFF"/>
                <w:sz w:val="22"/>
                <w:lang w:val="en-US"/>
              </w:rPr>
              <w:t xml:space="preserve"> ($,m)</w:t>
            </w:r>
          </w:p>
        </w:tc>
      </w:tr>
      <w:tr w:rsidR="00773154" w:rsidRPr="00615241" w14:paraId="5A02E97A" w14:textId="77777777" w:rsidTr="004913D8">
        <w:trPr>
          <w:trHeight w:val="510"/>
        </w:trPr>
        <w:tc>
          <w:tcPr>
            <w:tcW w:w="2063" w:type="pct"/>
            <w:tcBorders>
              <w:top w:val="nil"/>
              <w:left w:val="single" w:sz="4" w:space="0" w:color="auto"/>
              <w:bottom w:val="single" w:sz="4" w:space="0" w:color="auto"/>
              <w:right w:val="single" w:sz="4" w:space="0" w:color="auto"/>
            </w:tcBorders>
            <w:shd w:val="clear" w:color="auto" w:fill="auto"/>
            <w:vAlign w:val="bottom"/>
            <w:hideMark/>
          </w:tcPr>
          <w:p w14:paraId="0C881A95" w14:textId="77777777" w:rsidR="00773154" w:rsidRPr="00615241" w:rsidRDefault="00773154" w:rsidP="00F54BDA">
            <w:pPr>
              <w:rPr>
                <w:rFonts w:ascii="Arial" w:eastAsia="Times New Roman" w:hAnsi="Arial" w:cs="Arial"/>
                <w:color w:val="000000"/>
                <w:sz w:val="22"/>
                <w:lang w:val="en-US"/>
              </w:rPr>
            </w:pPr>
            <w:r w:rsidRPr="00615241">
              <w:rPr>
                <w:rFonts w:ascii="Arial" w:eastAsia="Times New Roman" w:hAnsi="Arial" w:cs="Arial"/>
                <w:color w:val="000000"/>
                <w:sz w:val="22"/>
                <w:lang w:val="en-US"/>
              </w:rPr>
              <w:t>Innovative and sustainable mainstream service delivery</w:t>
            </w:r>
          </w:p>
        </w:tc>
        <w:tc>
          <w:tcPr>
            <w:tcW w:w="494" w:type="pct"/>
            <w:tcBorders>
              <w:top w:val="nil"/>
              <w:left w:val="nil"/>
              <w:bottom w:val="single" w:sz="4" w:space="0" w:color="auto"/>
              <w:right w:val="single" w:sz="4" w:space="0" w:color="auto"/>
            </w:tcBorders>
            <w:shd w:val="clear" w:color="auto" w:fill="auto"/>
            <w:vAlign w:val="bottom"/>
            <w:hideMark/>
          </w:tcPr>
          <w:p w14:paraId="5C707003" w14:textId="77777777" w:rsidR="00773154" w:rsidRPr="00615241" w:rsidRDefault="00773154" w:rsidP="00F54BDA">
            <w:pPr>
              <w:jc w:val="right"/>
              <w:rPr>
                <w:rFonts w:ascii="Arial" w:eastAsia="Times New Roman" w:hAnsi="Arial" w:cs="Arial"/>
                <w:color w:val="000000"/>
                <w:sz w:val="22"/>
                <w:lang w:val="en-US"/>
              </w:rPr>
            </w:pPr>
            <w:r w:rsidRPr="00615241">
              <w:rPr>
                <w:rFonts w:ascii="Arial" w:eastAsia="Times New Roman" w:hAnsi="Arial" w:cs="Arial"/>
                <w:color w:val="000000"/>
                <w:sz w:val="22"/>
                <w:lang w:val="en-US"/>
              </w:rPr>
              <w:t>1.200</w:t>
            </w:r>
          </w:p>
        </w:tc>
        <w:tc>
          <w:tcPr>
            <w:tcW w:w="505" w:type="pct"/>
            <w:tcBorders>
              <w:top w:val="nil"/>
              <w:left w:val="nil"/>
              <w:bottom w:val="single" w:sz="4" w:space="0" w:color="auto"/>
              <w:right w:val="single" w:sz="4" w:space="0" w:color="auto"/>
            </w:tcBorders>
            <w:shd w:val="clear" w:color="auto" w:fill="auto"/>
            <w:vAlign w:val="bottom"/>
            <w:hideMark/>
          </w:tcPr>
          <w:p w14:paraId="60861188" w14:textId="77777777" w:rsidR="00773154" w:rsidRPr="00615241" w:rsidRDefault="00773154" w:rsidP="00F54BDA">
            <w:pPr>
              <w:jc w:val="right"/>
              <w:rPr>
                <w:rFonts w:ascii="Arial" w:eastAsia="Times New Roman" w:hAnsi="Arial" w:cs="Arial"/>
                <w:color w:val="000000"/>
                <w:sz w:val="22"/>
                <w:lang w:val="en-US"/>
              </w:rPr>
            </w:pPr>
            <w:r w:rsidRPr="00615241">
              <w:rPr>
                <w:rFonts w:ascii="Arial" w:eastAsia="Times New Roman" w:hAnsi="Arial" w:cs="Arial"/>
                <w:color w:val="000000"/>
                <w:sz w:val="22"/>
                <w:lang w:val="en-US"/>
              </w:rPr>
              <w:t>1.200</w:t>
            </w:r>
          </w:p>
        </w:tc>
        <w:tc>
          <w:tcPr>
            <w:tcW w:w="550" w:type="pct"/>
            <w:tcBorders>
              <w:top w:val="nil"/>
              <w:left w:val="nil"/>
              <w:bottom w:val="single" w:sz="4" w:space="0" w:color="auto"/>
              <w:right w:val="single" w:sz="4" w:space="0" w:color="auto"/>
            </w:tcBorders>
            <w:shd w:val="clear" w:color="auto" w:fill="auto"/>
            <w:vAlign w:val="bottom"/>
            <w:hideMark/>
          </w:tcPr>
          <w:p w14:paraId="125B8492" w14:textId="77777777" w:rsidR="00773154" w:rsidRPr="00615241" w:rsidRDefault="00773154" w:rsidP="00F54BDA">
            <w:pPr>
              <w:jc w:val="right"/>
              <w:rPr>
                <w:rFonts w:ascii="Arial" w:eastAsia="Times New Roman" w:hAnsi="Arial" w:cs="Arial"/>
                <w:color w:val="000000"/>
                <w:sz w:val="22"/>
                <w:lang w:val="en-US"/>
              </w:rPr>
            </w:pPr>
            <w:r w:rsidRPr="00615241">
              <w:rPr>
                <w:rFonts w:ascii="Arial" w:eastAsia="Times New Roman" w:hAnsi="Arial" w:cs="Arial"/>
                <w:color w:val="000000"/>
                <w:sz w:val="22"/>
                <w:lang w:val="en-US"/>
              </w:rPr>
              <w:t>0.000</w:t>
            </w:r>
          </w:p>
        </w:tc>
        <w:tc>
          <w:tcPr>
            <w:tcW w:w="506" w:type="pct"/>
            <w:tcBorders>
              <w:top w:val="nil"/>
              <w:left w:val="nil"/>
              <w:bottom w:val="single" w:sz="4" w:space="0" w:color="auto"/>
              <w:right w:val="single" w:sz="4" w:space="0" w:color="auto"/>
            </w:tcBorders>
            <w:shd w:val="clear" w:color="auto" w:fill="auto"/>
            <w:vAlign w:val="bottom"/>
            <w:hideMark/>
          </w:tcPr>
          <w:p w14:paraId="5BF999AC" w14:textId="77777777" w:rsidR="00773154" w:rsidRPr="00615241" w:rsidRDefault="00773154" w:rsidP="00F54BDA">
            <w:pPr>
              <w:jc w:val="right"/>
              <w:rPr>
                <w:rFonts w:ascii="Arial" w:eastAsia="Times New Roman" w:hAnsi="Arial" w:cs="Arial"/>
                <w:color w:val="000000"/>
                <w:sz w:val="22"/>
                <w:lang w:val="en-US"/>
              </w:rPr>
            </w:pPr>
            <w:r w:rsidRPr="00615241">
              <w:rPr>
                <w:rFonts w:ascii="Arial" w:eastAsia="Times New Roman" w:hAnsi="Arial" w:cs="Arial"/>
                <w:color w:val="000000"/>
                <w:sz w:val="22"/>
                <w:lang w:val="en-US"/>
              </w:rPr>
              <w:t>0.000</w:t>
            </w:r>
          </w:p>
        </w:tc>
        <w:tc>
          <w:tcPr>
            <w:tcW w:w="882" w:type="pct"/>
            <w:tcBorders>
              <w:top w:val="nil"/>
              <w:left w:val="nil"/>
              <w:bottom w:val="single" w:sz="4" w:space="0" w:color="auto"/>
              <w:right w:val="single" w:sz="4" w:space="0" w:color="auto"/>
            </w:tcBorders>
            <w:shd w:val="clear" w:color="auto" w:fill="auto"/>
            <w:vAlign w:val="bottom"/>
            <w:hideMark/>
          </w:tcPr>
          <w:p w14:paraId="11894403" w14:textId="77777777" w:rsidR="00773154" w:rsidRPr="00522909" w:rsidRDefault="00773154" w:rsidP="00522909">
            <w:pPr>
              <w:jc w:val="center"/>
              <w:rPr>
                <w:rFonts w:ascii="Arial" w:eastAsia="Times New Roman" w:hAnsi="Arial" w:cs="Arial"/>
                <w:b/>
                <w:color w:val="000000"/>
                <w:sz w:val="22"/>
                <w:lang w:val="en-US"/>
              </w:rPr>
            </w:pPr>
            <w:r w:rsidRPr="00522909">
              <w:rPr>
                <w:rFonts w:ascii="Arial" w:eastAsia="Times New Roman" w:hAnsi="Arial" w:cs="Arial"/>
                <w:b/>
                <w:color w:val="000000"/>
                <w:sz w:val="22"/>
                <w:lang w:val="en-US"/>
              </w:rPr>
              <w:t>2.400</w:t>
            </w:r>
          </w:p>
        </w:tc>
      </w:tr>
      <w:tr w:rsidR="00773154" w:rsidRPr="00615241" w14:paraId="784E45FF" w14:textId="77777777" w:rsidTr="004913D8">
        <w:trPr>
          <w:trHeight w:val="765"/>
        </w:trPr>
        <w:tc>
          <w:tcPr>
            <w:tcW w:w="2063" w:type="pct"/>
            <w:tcBorders>
              <w:top w:val="nil"/>
              <w:left w:val="single" w:sz="4" w:space="0" w:color="auto"/>
              <w:bottom w:val="single" w:sz="4" w:space="0" w:color="auto"/>
              <w:right w:val="single" w:sz="4" w:space="0" w:color="auto"/>
            </w:tcBorders>
            <w:shd w:val="clear" w:color="auto" w:fill="auto"/>
            <w:vAlign w:val="bottom"/>
            <w:hideMark/>
          </w:tcPr>
          <w:p w14:paraId="3CC3C49D" w14:textId="77777777" w:rsidR="00773154" w:rsidRPr="00615241" w:rsidRDefault="00773154" w:rsidP="00F54BDA">
            <w:pPr>
              <w:rPr>
                <w:rFonts w:ascii="Arial" w:eastAsia="Times New Roman" w:hAnsi="Arial" w:cs="Arial"/>
                <w:color w:val="000000"/>
                <w:sz w:val="22"/>
                <w:lang w:val="en-US"/>
              </w:rPr>
            </w:pPr>
            <w:r w:rsidRPr="00615241">
              <w:rPr>
                <w:rFonts w:ascii="Arial" w:eastAsia="Times New Roman" w:hAnsi="Arial" w:cs="Arial"/>
                <w:color w:val="000000"/>
                <w:sz w:val="22"/>
                <w:lang w:val="en-US"/>
              </w:rPr>
              <w:t>More surgeries and innovation in service models for</w:t>
            </w:r>
            <w:r w:rsidR="005B0B36">
              <w:rPr>
                <w:rFonts w:ascii="Arial" w:eastAsia="Times New Roman" w:hAnsi="Arial" w:cs="Arial"/>
                <w:color w:val="000000"/>
                <w:sz w:val="22"/>
                <w:lang w:val="en-US"/>
              </w:rPr>
              <w:t xml:space="preserve"> Aboriginal and</w:t>
            </w:r>
            <w:r w:rsidRPr="00615241">
              <w:rPr>
                <w:rFonts w:ascii="Arial" w:eastAsia="Times New Roman" w:hAnsi="Arial" w:cs="Arial"/>
                <w:color w:val="000000"/>
                <w:sz w:val="22"/>
                <w:lang w:val="en-US"/>
              </w:rPr>
              <w:t xml:space="preserve"> Torres Strait Islander communities</w:t>
            </w:r>
          </w:p>
        </w:tc>
        <w:tc>
          <w:tcPr>
            <w:tcW w:w="494" w:type="pct"/>
            <w:tcBorders>
              <w:top w:val="nil"/>
              <w:left w:val="nil"/>
              <w:bottom w:val="single" w:sz="4" w:space="0" w:color="auto"/>
              <w:right w:val="single" w:sz="4" w:space="0" w:color="auto"/>
            </w:tcBorders>
            <w:shd w:val="clear" w:color="auto" w:fill="auto"/>
            <w:vAlign w:val="bottom"/>
            <w:hideMark/>
          </w:tcPr>
          <w:p w14:paraId="3D5A85F7" w14:textId="77777777" w:rsidR="00773154" w:rsidRPr="00615241" w:rsidRDefault="00773154" w:rsidP="00F54BDA">
            <w:pPr>
              <w:jc w:val="right"/>
              <w:rPr>
                <w:rFonts w:ascii="Arial" w:eastAsia="Times New Roman" w:hAnsi="Arial" w:cs="Arial"/>
                <w:color w:val="000000"/>
                <w:sz w:val="22"/>
                <w:lang w:val="en-US"/>
              </w:rPr>
            </w:pPr>
            <w:r w:rsidRPr="00615241">
              <w:rPr>
                <w:rFonts w:ascii="Arial" w:eastAsia="Times New Roman" w:hAnsi="Arial" w:cs="Arial"/>
                <w:color w:val="000000"/>
                <w:sz w:val="22"/>
                <w:lang w:val="en-US"/>
              </w:rPr>
              <w:t>9.591</w:t>
            </w:r>
          </w:p>
        </w:tc>
        <w:tc>
          <w:tcPr>
            <w:tcW w:w="505" w:type="pct"/>
            <w:tcBorders>
              <w:top w:val="nil"/>
              <w:left w:val="nil"/>
              <w:bottom w:val="single" w:sz="4" w:space="0" w:color="auto"/>
              <w:right w:val="single" w:sz="4" w:space="0" w:color="auto"/>
            </w:tcBorders>
            <w:shd w:val="clear" w:color="auto" w:fill="auto"/>
            <w:vAlign w:val="bottom"/>
            <w:hideMark/>
          </w:tcPr>
          <w:p w14:paraId="54D220C8" w14:textId="77777777" w:rsidR="00773154" w:rsidRPr="00615241" w:rsidRDefault="00773154" w:rsidP="00F54BDA">
            <w:pPr>
              <w:jc w:val="right"/>
              <w:rPr>
                <w:rFonts w:ascii="Arial" w:eastAsia="Times New Roman" w:hAnsi="Arial" w:cs="Arial"/>
                <w:color w:val="000000"/>
                <w:sz w:val="22"/>
                <w:lang w:val="en-US"/>
              </w:rPr>
            </w:pPr>
            <w:r w:rsidRPr="00615241">
              <w:rPr>
                <w:rFonts w:ascii="Arial" w:eastAsia="Times New Roman" w:hAnsi="Arial" w:cs="Arial"/>
                <w:color w:val="000000"/>
                <w:sz w:val="22"/>
                <w:lang w:val="en-US"/>
              </w:rPr>
              <w:t>9.779</w:t>
            </w:r>
          </w:p>
        </w:tc>
        <w:tc>
          <w:tcPr>
            <w:tcW w:w="550" w:type="pct"/>
            <w:tcBorders>
              <w:top w:val="nil"/>
              <w:left w:val="nil"/>
              <w:bottom w:val="single" w:sz="4" w:space="0" w:color="auto"/>
              <w:right w:val="single" w:sz="4" w:space="0" w:color="auto"/>
            </w:tcBorders>
            <w:shd w:val="clear" w:color="auto" w:fill="auto"/>
            <w:vAlign w:val="bottom"/>
            <w:hideMark/>
          </w:tcPr>
          <w:p w14:paraId="1C408082" w14:textId="77777777" w:rsidR="00773154" w:rsidRPr="00615241" w:rsidRDefault="00773154" w:rsidP="00F54BDA">
            <w:pPr>
              <w:jc w:val="right"/>
              <w:rPr>
                <w:rFonts w:ascii="Arial" w:eastAsia="Times New Roman" w:hAnsi="Arial" w:cs="Arial"/>
                <w:color w:val="000000"/>
                <w:sz w:val="22"/>
                <w:lang w:val="en-US"/>
              </w:rPr>
            </w:pPr>
            <w:r w:rsidRPr="00615241">
              <w:rPr>
                <w:rFonts w:ascii="Arial" w:eastAsia="Times New Roman" w:hAnsi="Arial" w:cs="Arial"/>
                <w:color w:val="000000"/>
                <w:sz w:val="22"/>
                <w:lang w:val="en-US"/>
              </w:rPr>
              <w:t>9.323</w:t>
            </w:r>
          </w:p>
        </w:tc>
        <w:tc>
          <w:tcPr>
            <w:tcW w:w="506" w:type="pct"/>
            <w:tcBorders>
              <w:top w:val="nil"/>
              <w:left w:val="nil"/>
              <w:bottom w:val="single" w:sz="4" w:space="0" w:color="auto"/>
              <w:right w:val="single" w:sz="4" w:space="0" w:color="auto"/>
            </w:tcBorders>
            <w:shd w:val="clear" w:color="auto" w:fill="auto"/>
            <w:vAlign w:val="bottom"/>
            <w:hideMark/>
          </w:tcPr>
          <w:p w14:paraId="718ECB9F" w14:textId="77777777" w:rsidR="00773154" w:rsidRPr="00615241" w:rsidRDefault="00773154" w:rsidP="00F54BDA">
            <w:pPr>
              <w:jc w:val="right"/>
              <w:rPr>
                <w:rFonts w:ascii="Arial" w:eastAsia="Times New Roman" w:hAnsi="Arial" w:cs="Arial"/>
                <w:color w:val="000000"/>
                <w:sz w:val="22"/>
                <w:lang w:val="en-US"/>
              </w:rPr>
            </w:pPr>
            <w:r w:rsidRPr="00615241">
              <w:rPr>
                <w:rFonts w:ascii="Arial" w:eastAsia="Times New Roman" w:hAnsi="Arial" w:cs="Arial"/>
                <w:color w:val="000000"/>
                <w:sz w:val="22"/>
                <w:lang w:val="en-US"/>
              </w:rPr>
              <w:t>9.392</w:t>
            </w:r>
          </w:p>
        </w:tc>
        <w:tc>
          <w:tcPr>
            <w:tcW w:w="882" w:type="pct"/>
            <w:tcBorders>
              <w:top w:val="nil"/>
              <w:left w:val="nil"/>
              <w:bottom w:val="single" w:sz="4" w:space="0" w:color="auto"/>
              <w:right w:val="single" w:sz="4" w:space="0" w:color="auto"/>
            </w:tcBorders>
            <w:shd w:val="clear" w:color="auto" w:fill="auto"/>
            <w:vAlign w:val="bottom"/>
            <w:hideMark/>
          </w:tcPr>
          <w:p w14:paraId="0E268F25" w14:textId="77777777" w:rsidR="00773154" w:rsidRPr="00522909" w:rsidRDefault="00773154" w:rsidP="00522909">
            <w:pPr>
              <w:jc w:val="center"/>
              <w:rPr>
                <w:rFonts w:ascii="Arial" w:eastAsia="Times New Roman" w:hAnsi="Arial" w:cs="Arial"/>
                <w:b/>
                <w:color w:val="000000"/>
                <w:sz w:val="22"/>
                <w:lang w:val="en-US"/>
              </w:rPr>
            </w:pPr>
            <w:r w:rsidRPr="00522909">
              <w:rPr>
                <w:rFonts w:ascii="Arial" w:eastAsia="Times New Roman" w:hAnsi="Arial" w:cs="Arial"/>
                <w:b/>
                <w:color w:val="000000"/>
                <w:sz w:val="22"/>
                <w:lang w:val="en-US"/>
              </w:rPr>
              <w:t>38.084</w:t>
            </w:r>
          </w:p>
        </w:tc>
      </w:tr>
      <w:tr w:rsidR="00773154" w:rsidRPr="00615241" w14:paraId="1E182F43" w14:textId="77777777" w:rsidTr="004913D8">
        <w:trPr>
          <w:trHeight w:val="510"/>
        </w:trPr>
        <w:tc>
          <w:tcPr>
            <w:tcW w:w="2063" w:type="pct"/>
            <w:tcBorders>
              <w:top w:val="nil"/>
              <w:left w:val="single" w:sz="4" w:space="0" w:color="auto"/>
              <w:bottom w:val="single" w:sz="4" w:space="0" w:color="auto"/>
              <w:right w:val="single" w:sz="4" w:space="0" w:color="auto"/>
            </w:tcBorders>
            <w:shd w:val="clear" w:color="auto" w:fill="auto"/>
            <w:vAlign w:val="bottom"/>
            <w:hideMark/>
          </w:tcPr>
          <w:p w14:paraId="6DE03362" w14:textId="77777777" w:rsidR="00773154" w:rsidRPr="00615241" w:rsidRDefault="00773154" w:rsidP="00F54BDA">
            <w:pPr>
              <w:rPr>
                <w:rFonts w:ascii="Arial" w:eastAsia="Times New Roman" w:hAnsi="Arial" w:cs="Arial"/>
                <w:color w:val="000000"/>
                <w:sz w:val="22"/>
                <w:lang w:val="en-US"/>
              </w:rPr>
            </w:pPr>
            <w:r w:rsidRPr="00615241">
              <w:rPr>
                <w:rFonts w:ascii="Arial" w:eastAsia="Times New Roman" w:hAnsi="Arial" w:cs="Arial"/>
                <w:color w:val="000000"/>
                <w:sz w:val="22"/>
                <w:lang w:val="en-US"/>
              </w:rPr>
              <w:t xml:space="preserve">More public cataract surgeries for older Australians </w:t>
            </w:r>
          </w:p>
        </w:tc>
        <w:tc>
          <w:tcPr>
            <w:tcW w:w="494" w:type="pct"/>
            <w:tcBorders>
              <w:top w:val="nil"/>
              <w:left w:val="nil"/>
              <w:bottom w:val="single" w:sz="4" w:space="0" w:color="auto"/>
              <w:right w:val="single" w:sz="4" w:space="0" w:color="auto"/>
            </w:tcBorders>
            <w:shd w:val="clear" w:color="auto" w:fill="auto"/>
            <w:vAlign w:val="bottom"/>
            <w:hideMark/>
          </w:tcPr>
          <w:p w14:paraId="4D20183C" w14:textId="77777777" w:rsidR="00773154" w:rsidRPr="00615241" w:rsidRDefault="00773154" w:rsidP="00F54BDA">
            <w:pPr>
              <w:jc w:val="right"/>
              <w:rPr>
                <w:rFonts w:ascii="Arial" w:eastAsia="Times New Roman" w:hAnsi="Arial" w:cs="Arial"/>
                <w:color w:val="000000"/>
                <w:sz w:val="22"/>
                <w:lang w:val="en-US"/>
              </w:rPr>
            </w:pPr>
            <w:r w:rsidRPr="00615241">
              <w:rPr>
                <w:rFonts w:ascii="Arial" w:eastAsia="Times New Roman" w:hAnsi="Arial" w:cs="Arial"/>
                <w:color w:val="000000"/>
                <w:sz w:val="22"/>
                <w:lang w:val="en-US"/>
              </w:rPr>
              <w:t>67.357</w:t>
            </w:r>
          </w:p>
        </w:tc>
        <w:tc>
          <w:tcPr>
            <w:tcW w:w="505" w:type="pct"/>
            <w:tcBorders>
              <w:top w:val="nil"/>
              <w:left w:val="nil"/>
              <w:bottom w:val="single" w:sz="4" w:space="0" w:color="auto"/>
              <w:right w:val="single" w:sz="4" w:space="0" w:color="auto"/>
            </w:tcBorders>
            <w:shd w:val="clear" w:color="auto" w:fill="auto"/>
            <w:vAlign w:val="bottom"/>
            <w:hideMark/>
          </w:tcPr>
          <w:p w14:paraId="634E8359" w14:textId="77777777" w:rsidR="00773154" w:rsidRPr="00615241" w:rsidRDefault="00773154" w:rsidP="00F54BDA">
            <w:pPr>
              <w:jc w:val="right"/>
              <w:rPr>
                <w:rFonts w:ascii="Arial" w:eastAsia="Times New Roman" w:hAnsi="Arial" w:cs="Arial"/>
                <w:color w:val="000000"/>
                <w:sz w:val="22"/>
                <w:lang w:val="en-US"/>
              </w:rPr>
            </w:pPr>
            <w:r w:rsidRPr="00615241">
              <w:rPr>
                <w:rFonts w:ascii="Arial" w:eastAsia="Times New Roman" w:hAnsi="Arial" w:cs="Arial"/>
                <w:color w:val="000000"/>
                <w:sz w:val="22"/>
                <w:lang w:val="en-US"/>
              </w:rPr>
              <w:t>69.041</w:t>
            </w:r>
          </w:p>
        </w:tc>
        <w:tc>
          <w:tcPr>
            <w:tcW w:w="550" w:type="pct"/>
            <w:tcBorders>
              <w:top w:val="nil"/>
              <w:left w:val="nil"/>
              <w:bottom w:val="single" w:sz="4" w:space="0" w:color="auto"/>
              <w:right w:val="single" w:sz="4" w:space="0" w:color="auto"/>
            </w:tcBorders>
            <w:shd w:val="clear" w:color="auto" w:fill="auto"/>
            <w:vAlign w:val="bottom"/>
            <w:hideMark/>
          </w:tcPr>
          <w:p w14:paraId="5611C718" w14:textId="77777777" w:rsidR="00773154" w:rsidRPr="00615241" w:rsidRDefault="00773154" w:rsidP="00F54BDA">
            <w:pPr>
              <w:jc w:val="right"/>
              <w:rPr>
                <w:rFonts w:ascii="Arial" w:eastAsia="Times New Roman" w:hAnsi="Arial" w:cs="Arial"/>
                <w:color w:val="000000"/>
                <w:sz w:val="22"/>
                <w:lang w:val="en-US"/>
              </w:rPr>
            </w:pPr>
            <w:r w:rsidRPr="00615241">
              <w:rPr>
                <w:rFonts w:ascii="Arial" w:eastAsia="Times New Roman" w:hAnsi="Arial" w:cs="Arial"/>
                <w:color w:val="000000"/>
                <w:sz w:val="22"/>
                <w:lang w:val="en-US"/>
              </w:rPr>
              <w:t>70.767</w:t>
            </w:r>
          </w:p>
        </w:tc>
        <w:tc>
          <w:tcPr>
            <w:tcW w:w="506" w:type="pct"/>
            <w:tcBorders>
              <w:top w:val="nil"/>
              <w:left w:val="nil"/>
              <w:bottom w:val="single" w:sz="4" w:space="0" w:color="auto"/>
              <w:right w:val="single" w:sz="4" w:space="0" w:color="auto"/>
            </w:tcBorders>
            <w:shd w:val="clear" w:color="auto" w:fill="auto"/>
            <w:vAlign w:val="bottom"/>
            <w:hideMark/>
          </w:tcPr>
          <w:p w14:paraId="030FD4CA" w14:textId="77777777" w:rsidR="00773154" w:rsidRPr="00615241" w:rsidRDefault="00773154" w:rsidP="00F54BDA">
            <w:pPr>
              <w:jc w:val="right"/>
              <w:rPr>
                <w:rFonts w:ascii="Arial" w:eastAsia="Times New Roman" w:hAnsi="Arial" w:cs="Arial"/>
                <w:color w:val="000000"/>
                <w:sz w:val="22"/>
                <w:lang w:val="en-US"/>
              </w:rPr>
            </w:pPr>
            <w:r w:rsidRPr="00615241">
              <w:rPr>
                <w:rFonts w:ascii="Arial" w:eastAsia="Times New Roman" w:hAnsi="Arial" w:cs="Arial"/>
                <w:color w:val="000000"/>
                <w:sz w:val="22"/>
                <w:lang w:val="en-US"/>
              </w:rPr>
              <w:t>72.536</w:t>
            </w:r>
          </w:p>
        </w:tc>
        <w:tc>
          <w:tcPr>
            <w:tcW w:w="882" w:type="pct"/>
            <w:tcBorders>
              <w:top w:val="nil"/>
              <w:left w:val="nil"/>
              <w:bottom w:val="single" w:sz="4" w:space="0" w:color="auto"/>
              <w:right w:val="single" w:sz="4" w:space="0" w:color="auto"/>
            </w:tcBorders>
            <w:shd w:val="clear" w:color="auto" w:fill="auto"/>
            <w:vAlign w:val="bottom"/>
            <w:hideMark/>
          </w:tcPr>
          <w:p w14:paraId="11630089" w14:textId="77777777" w:rsidR="00773154" w:rsidRPr="00522909" w:rsidRDefault="00773154" w:rsidP="00522909">
            <w:pPr>
              <w:jc w:val="center"/>
              <w:rPr>
                <w:rFonts w:ascii="Arial" w:eastAsia="Times New Roman" w:hAnsi="Arial" w:cs="Arial"/>
                <w:b/>
                <w:color w:val="000000"/>
                <w:sz w:val="22"/>
                <w:lang w:val="en-US"/>
              </w:rPr>
            </w:pPr>
            <w:r w:rsidRPr="00522909">
              <w:rPr>
                <w:rFonts w:ascii="Arial" w:eastAsia="Times New Roman" w:hAnsi="Arial" w:cs="Arial"/>
                <w:b/>
                <w:color w:val="000000"/>
                <w:sz w:val="22"/>
                <w:lang w:val="en-US"/>
              </w:rPr>
              <w:t>279.701</w:t>
            </w:r>
          </w:p>
        </w:tc>
      </w:tr>
      <w:tr w:rsidR="00773154" w:rsidRPr="00615241" w14:paraId="32CBD64C" w14:textId="77777777" w:rsidTr="004913D8">
        <w:trPr>
          <w:trHeight w:val="255"/>
        </w:trPr>
        <w:tc>
          <w:tcPr>
            <w:tcW w:w="2063" w:type="pct"/>
            <w:tcBorders>
              <w:top w:val="nil"/>
              <w:left w:val="single" w:sz="4" w:space="0" w:color="auto"/>
              <w:bottom w:val="single" w:sz="4" w:space="0" w:color="auto"/>
              <w:right w:val="single" w:sz="4" w:space="0" w:color="auto"/>
            </w:tcBorders>
            <w:shd w:val="clear" w:color="auto" w:fill="auto"/>
            <w:vAlign w:val="bottom"/>
            <w:hideMark/>
          </w:tcPr>
          <w:p w14:paraId="20D9DD42" w14:textId="77777777" w:rsidR="00773154" w:rsidRPr="00615241" w:rsidRDefault="00773154" w:rsidP="00F54BDA">
            <w:pPr>
              <w:rPr>
                <w:rFonts w:ascii="Arial" w:eastAsia="Times New Roman" w:hAnsi="Arial" w:cs="Arial"/>
                <w:b/>
                <w:bCs/>
                <w:color w:val="000000"/>
                <w:sz w:val="22"/>
                <w:lang w:val="en-US"/>
              </w:rPr>
            </w:pPr>
            <w:r w:rsidRPr="00CD56BA">
              <w:rPr>
                <w:rFonts w:ascii="Arial" w:eastAsia="Times New Roman" w:hAnsi="Arial" w:cs="Arial"/>
                <w:b/>
                <w:bCs/>
                <w:i/>
                <w:color w:val="000000"/>
                <w:sz w:val="22"/>
                <w:lang w:val="en-US"/>
              </w:rPr>
              <w:t>Total</w:t>
            </w:r>
            <w:r w:rsidR="00CD56BA" w:rsidRPr="00CD56BA">
              <w:rPr>
                <w:rFonts w:ascii="Arial" w:eastAsia="Times New Roman" w:hAnsi="Arial" w:cs="Arial"/>
                <w:b/>
                <w:bCs/>
                <w:i/>
                <w:color w:val="000000"/>
                <w:sz w:val="22"/>
                <w:lang w:val="en-US"/>
              </w:rPr>
              <w:t>s</w:t>
            </w:r>
          </w:p>
        </w:tc>
        <w:tc>
          <w:tcPr>
            <w:tcW w:w="494" w:type="pct"/>
            <w:tcBorders>
              <w:top w:val="nil"/>
              <w:left w:val="nil"/>
              <w:bottom w:val="single" w:sz="4" w:space="0" w:color="auto"/>
              <w:right w:val="single" w:sz="4" w:space="0" w:color="auto"/>
            </w:tcBorders>
            <w:shd w:val="clear" w:color="auto" w:fill="auto"/>
            <w:vAlign w:val="bottom"/>
            <w:hideMark/>
          </w:tcPr>
          <w:p w14:paraId="6109DE21" w14:textId="77777777" w:rsidR="00773154" w:rsidRPr="00615241" w:rsidRDefault="00773154" w:rsidP="00F54BDA">
            <w:pPr>
              <w:jc w:val="right"/>
              <w:rPr>
                <w:rFonts w:ascii="Arial" w:eastAsia="Times New Roman" w:hAnsi="Arial" w:cs="Arial"/>
                <w:b/>
                <w:bCs/>
                <w:color w:val="000000"/>
                <w:sz w:val="22"/>
                <w:lang w:val="en-US"/>
              </w:rPr>
            </w:pPr>
            <w:r w:rsidRPr="00615241">
              <w:rPr>
                <w:rFonts w:ascii="Arial" w:eastAsia="Times New Roman" w:hAnsi="Arial" w:cs="Arial"/>
                <w:b/>
                <w:bCs/>
                <w:color w:val="000000"/>
                <w:sz w:val="22"/>
                <w:lang w:val="en-US"/>
              </w:rPr>
              <w:t>78.148</w:t>
            </w:r>
          </w:p>
        </w:tc>
        <w:tc>
          <w:tcPr>
            <w:tcW w:w="505" w:type="pct"/>
            <w:tcBorders>
              <w:top w:val="nil"/>
              <w:left w:val="nil"/>
              <w:bottom w:val="single" w:sz="4" w:space="0" w:color="auto"/>
              <w:right w:val="single" w:sz="4" w:space="0" w:color="auto"/>
            </w:tcBorders>
            <w:shd w:val="clear" w:color="auto" w:fill="auto"/>
            <w:vAlign w:val="bottom"/>
            <w:hideMark/>
          </w:tcPr>
          <w:p w14:paraId="529B77D2" w14:textId="77777777" w:rsidR="00773154" w:rsidRPr="00615241" w:rsidRDefault="00773154" w:rsidP="00F54BDA">
            <w:pPr>
              <w:jc w:val="right"/>
              <w:rPr>
                <w:rFonts w:ascii="Arial" w:eastAsia="Times New Roman" w:hAnsi="Arial" w:cs="Arial"/>
                <w:b/>
                <w:bCs/>
                <w:color w:val="000000"/>
                <w:sz w:val="22"/>
                <w:lang w:val="en-US"/>
              </w:rPr>
            </w:pPr>
            <w:r w:rsidRPr="00615241">
              <w:rPr>
                <w:rFonts w:ascii="Arial" w:eastAsia="Times New Roman" w:hAnsi="Arial" w:cs="Arial"/>
                <w:b/>
                <w:bCs/>
                <w:color w:val="000000"/>
                <w:sz w:val="22"/>
                <w:lang w:val="en-US"/>
              </w:rPr>
              <w:t>80.020</w:t>
            </w:r>
          </w:p>
        </w:tc>
        <w:tc>
          <w:tcPr>
            <w:tcW w:w="550" w:type="pct"/>
            <w:tcBorders>
              <w:top w:val="nil"/>
              <w:left w:val="nil"/>
              <w:bottom w:val="single" w:sz="4" w:space="0" w:color="auto"/>
              <w:right w:val="single" w:sz="4" w:space="0" w:color="auto"/>
            </w:tcBorders>
            <w:shd w:val="clear" w:color="auto" w:fill="auto"/>
            <w:vAlign w:val="bottom"/>
            <w:hideMark/>
          </w:tcPr>
          <w:p w14:paraId="31509958" w14:textId="77777777" w:rsidR="00773154" w:rsidRPr="00615241" w:rsidRDefault="00773154" w:rsidP="00F54BDA">
            <w:pPr>
              <w:jc w:val="right"/>
              <w:rPr>
                <w:rFonts w:ascii="Arial" w:eastAsia="Times New Roman" w:hAnsi="Arial" w:cs="Arial"/>
                <w:b/>
                <w:bCs/>
                <w:color w:val="000000"/>
                <w:sz w:val="22"/>
                <w:lang w:val="en-US"/>
              </w:rPr>
            </w:pPr>
            <w:r w:rsidRPr="00615241">
              <w:rPr>
                <w:rFonts w:ascii="Arial" w:eastAsia="Times New Roman" w:hAnsi="Arial" w:cs="Arial"/>
                <w:b/>
                <w:bCs/>
                <w:color w:val="000000"/>
                <w:sz w:val="22"/>
                <w:lang w:val="en-US"/>
              </w:rPr>
              <w:t>80.089</w:t>
            </w:r>
          </w:p>
        </w:tc>
        <w:tc>
          <w:tcPr>
            <w:tcW w:w="506" w:type="pct"/>
            <w:tcBorders>
              <w:top w:val="nil"/>
              <w:left w:val="nil"/>
              <w:bottom w:val="single" w:sz="4" w:space="0" w:color="auto"/>
              <w:right w:val="single" w:sz="4" w:space="0" w:color="auto"/>
            </w:tcBorders>
            <w:shd w:val="clear" w:color="auto" w:fill="auto"/>
            <w:vAlign w:val="bottom"/>
            <w:hideMark/>
          </w:tcPr>
          <w:p w14:paraId="7C178794" w14:textId="77777777" w:rsidR="00773154" w:rsidRPr="00615241" w:rsidRDefault="00773154" w:rsidP="00F54BDA">
            <w:pPr>
              <w:jc w:val="right"/>
              <w:rPr>
                <w:rFonts w:ascii="Arial" w:eastAsia="Times New Roman" w:hAnsi="Arial" w:cs="Arial"/>
                <w:b/>
                <w:bCs/>
                <w:color w:val="000000"/>
                <w:sz w:val="22"/>
                <w:lang w:val="en-US"/>
              </w:rPr>
            </w:pPr>
            <w:r w:rsidRPr="00615241">
              <w:rPr>
                <w:rFonts w:ascii="Arial" w:eastAsia="Times New Roman" w:hAnsi="Arial" w:cs="Arial"/>
                <w:b/>
                <w:bCs/>
                <w:color w:val="000000"/>
                <w:sz w:val="22"/>
                <w:lang w:val="en-US"/>
              </w:rPr>
              <w:t>81.928</w:t>
            </w:r>
          </w:p>
        </w:tc>
        <w:tc>
          <w:tcPr>
            <w:tcW w:w="882" w:type="pct"/>
            <w:tcBorders>
              <w:top w:val="nil"/>
              <w:left w:val="nil"/>
              <w:bottom w:val="single" w:sz="4" w:space="0" w:color="auto"/>
              <w:right w:val="single" w:sz="4" w:space="0" w:color="auto"/>
            </w:tcBorders>
            <w:shd w:val="clear" w:color="auto" w:fill="auto"/>
            <w:vAlign w:val="bottom"/>
            <w:hideMark/>
          </w:tcPr>
          <w:p w14:paraId="2DB924F7" w14:textId="77777777" w:rsidR="00773154" w:rsidRPr="00615241" w:rsidRDefault="00773154" w:rsidP="00522909">
            <w:pPr>
              <w:jc w:val="center"/>
              <w:rPr>
                <w:rFonts w:ascii="Arial" w:eastAsia="Times New Roman" w:hAnsi="Arial" w:cs="Arial"/>
                <w:b/>
                <w:bCs/>
                <w:color w:val="000000"/>
                <w:sz w:val="22"/>
                <w:lang w:val="en-US"/>
              </w:rPr>
            </w:pPr>
            <w:r w:rsidRPr="00615241">
              <w:rPr>
                <w:rFonts w:ascii="Arial" w:eastAsia="Times New Roman" w:hAnsi="Arial" w:cs="Arial"/>
                <w:b/>
                <w:bCs/>
                <w:color w:val="000000"/>
                <w:sz w:val="22"/>
                <w:lang w:val="en-US"/>
              </w:rPr>
              <w:t>320.185</w:t>
            </w:r>
          </w:p>
        </w:tc>
      </w:tr>
    </w:tbl>
    <w:p w14:paraId="3553C995" w14:textId="07BB8FB8" w:rsidR="00182330" w:rsidRDefault="00797652" w:rsidP="00182330">
      <w:pPr>
        <w:pStyle w:val="Heading1"/>
      </w:pPr>
      <w:bookmarkStart w:id="14" w:name="_Toc62811558"/>
      <w:r>
        <w:t>Summary budget</w:t>
      </w:r>
      <w:bookmarkEnd w:id="14"/>
    </w:p>
    <w:tbl>
      <w:tblPr>
        <w:tblpPr w:leftFromText="180" w:rightFromText="180" w:vertAnchor="page" w:horzAnchor="margin" w:tblpY="3131"/>
        <w:tblW w:w="4553" w:type="pct"/>
        <w:tblLook w:val="04A0" w:firstRow="1" w:lastRow="0" w:firstColumn="1" w:lastColumn="0" w:noHBand="0" w:noVBand="1"/>
      </w:tblPr>
      <w:tblGrid>
        <w:gridCol w:w="3000"/>
        <w:gridCol w:w="1024"/>
        <w:gridCol w:w="1024"/>
        <w:gridCol w:w="1024"/>
        <w:gridCol w:w="1024"/>
        <w:gridCol w:w="1671"/>
      </w:tblGrid>
      <w:tr w:rsidR="00182330" w:rsidRPr="00615241" w14:paraId="192D07D7" w14:textId="77777777" w:rsidTr="00182330">
        <w:trPr>
          <w:trHeight w:val="300"/>
        </w:trPr>
        <w:tc>
          <w:tcPr>
            <w:tcW w:w="1711" w:type="pct"/>
            <w:tcBorders>
              <w:top w:val="single" w:sz="4" w:space="0" w:color="auto"/>
              <w:left w:val="single" w:sz="4" w:space="0" w:color="auto"/>
              <w:bottom w:val="single" w:sz="4" w:space="0" w:color="auto"/>
              <w:right w:val="single" w:sz="4" w:space="0" w:color="auto"/>
            </w:tcBorders>
            <w:shd w:val="clear" w:color="000000" w:fill="000000"/>
            <w:vAlign w:val="bottom"/>
            <w:hideMark/>
          </w:tcPr>
          <w:p w14:paraId="739B14B6" w14:textId="77777777" w:rsidR="00182330" w:rsidRPr="00615241" w:rsidRDefault="00182330" w:rsidP="00182330">
            <w:pPr>
              <w:rPr>
                <w:rFonts w:asciiTheme="majorHAnsi" w:eastAsia="Times New Roman" w:hAnsiTheme="majorHAnsi" w:cstheme="majorHAnsi"/>
                <w:color w:val="FFFFFF"/>
                <w:sz w:val="22"/>
                <w:lang w:eastAsia="en-AU"/>
              </w:rPr>
            </w:pPr>
            <w:r w:rsidRPr="00615241">
              <w:rPr>
                <w:rFonts w:asciiTheme="majorHAnsi" w:eastAsia="Times New Roman" w:hAnsiTheme="majorHAnsi" w:cstheme="majorHAnsi"/>
                <w:color w:val="FFFFFF"/>
                <w:sz w:val="22"/>
                <w:lang w:eastAsia="en-AU"/>
              </w:rPr>
              <w:t> </w:t>
            </w:r>
          </w:p>
        </w:tc>
        <w:tc>
          <w:tcPr>
            <w:tcW w:w="584" w:type="pct"/>
            <w:tcBorders>
              <w:top w:val="single" w:sz="4" w:space="0" w:color="auto"/>
              <w:left w:val="nil"/>
              <w:bottom w:val="single" w:sz="4" w:space="0" w:color="auto"/>
              <w:right w:val="single" w:sz="4" w:space="0" w:color="auto"/>
            </w:tcBorders>
            <w:shd w:val="clear" w:color="000000" w:fill="000000"/>
            <w:noWrap/>
            <w:vAlign w:val="bottom"/>
            <w:hideMark/>
          </w:tcPr>
          <w:p w14:paraId="1F767E1C" w14:textId="77777777" w:rsidR="00182330" w:rsidRPr="00615241" w:rsidRDefault="00182330" w:rsidP="00182330">
            <w:pPr>
              <w:jc w:val="center"/>
              <w:rPr>
                <w:rFonts w:asciiTheme="majorHAnsi" w:eastAsia="Times New Roman" w:hAnsiTheme="majorHAnsi" w:cstheme="majorHAnsi"/>
                <w:color w:val="FFFFFF"/>
                <w:sz w:val="22"/>
                <w:lang w:eastAsia="en-AU"/>
              </w:rPr>
            </w:pPr>
            <w:r w:rsidRPr="00615241">
              <w:rPr>
                <w:rFonts w:asciiTheme="majorHAnsi" w:eastAsia="Times New Roman" w:hAnsiTheme="majorHAnsi" w:cstheme="majorHAnsi"/>
                <w:color w:val="FFFFFF"/>
                <w:sz w:val="22"/>
                <w:lang w:eastAsia="en-AU"/>
              </w:rPr>
              <w:t>2021-22</w:t>
            </w:r>
          </w:p>
          <w:p w14:paraId="1FD0B28B" w14:textId="77777777" w:rsidR="00182330" w:rsidRPr="00615241" w:rsidRDefault="00182330" w:rsidP="00182330">
            <w:pPr>
              <w:jc w:val="center"/>
              <w:rPr>
                <w:rFonts w:asciiTheme="majorHAnsi" w:eastAsia="Times New Roman" w:hAnsiTheme="majorHAnsi" w:cstheme="majorHAnsi"/>
                <w:color w:val="FFFFFF"/>
                <w:sz w:val="22"/>
                <w:lang w:eastAsia="en-AU"/>
              </w:rPr>
            </w:pPr>
            <w:r w:rsidRPr="00615241">
              <w:rPr>
                <w:rFonts w:asciiTheme="majorHAnsi" w:eastAsia="Times New Roman" w:hAnsiTheme="majorHAnsi" w:cstheme="majorHAnsi"/>
                <w:color w:val="FFFFFF"/>
                <w:sz w:val="22"/>
                <w:lang w:val="en-US"/>
              </w:rPr>
              <w:t>($,m)</w:t>
            </w:r>
          </w:p>
        </w:tc>
        <w:tc>
          <w:tcPr>
            <w:tcW w:w="584" w:type="pct"/>
            <w:tcBorders>
              <w:top w:val="single" w:sz="4" w:space="0" w:color="auto"/>
              <w:left w:val="nil"/>
              <w:bottom w:val="single" w:sz="4" w:space="0" w:color="auto"/>
              <w:right w:val="single" w:sz="4" w:space="0" w:color="auto"/>
            </w:tcBorders>
            <w:shd w:val="clear" w:color="000000" w:fill="000000"/>
            <w:noWrap/>
            <w:vAlign w:val="bottom"/>
            <w:hideMark/>
          </w:tcPr>
          <w:p w14:paraId="245E4515" w14:textId="77777777" w:rsidR="00182330" w:rsidRPr="00615241" w:rsidRDefault="00182330" w:rsidP="00182330">
            <w:pPr>
              <w:jc w:val="center"/>
              <w:rPr>
                <w:rFonts w:asciiTheme="majorHAnsi" w:eastAsia="Times New Roman" w:hAnsiTheme="majorHAnsi" w:cstheme="majorHAnsi"/>
                <w:color w:val="FFFFFF"/>
                <w:sz w:val="22"/>
                <w:lang w:eastAsia="en-AU"/>
              </w:rPr>
            </w:pPr>
            <w:r w:rsidRPr="00615241">
              <w:rPr>
                <w:rFonts w:asciiTheme="majorHAnsi" w:eastAsia="Times New Roman" w:hAnsiTheme="majorHAnsi" w:cstheme="majorHAnsi"/>
                <w:color w:val="FFFFFF"/>
                <w:sz w:val="22"/>
                <w:lang w:eastAsia="en-AU"/>
              </w:rPr>
              <w:t>2022-23</w:t>
            </w:r>
          </w:p>
          <w:p w14:paraId="4F8CEE26" w14:textId="77777777" w:rsidR="00182330" w:rsidRPr="00615241" w:rsidRDefault="00182330" w:rsidP="00182330">
            <w:pPr>
              <w:jc w:val="center"/>
              <w:rPr>
                <w:rFonts w:asciiTheme="majorHAnsi" w:eastAsia="Times New Roman" w:hAnsiTheme="majorHAnsi" w:cstheme="majorHAnsi"/>
                <w:color w:val="FFFFFF"/>
                <w:sz w:val="22"/>
                <w:lang w:eastAsia="en-AU"/>
              </w:rPr>
            </w:pPr>
            <w:r w:rsidRPr="00615241">
              <w:rPr>
                <w:rFonts w:asciiTheme="majorHAnsi" w:eastAsia="Times New Roman" w:hAnsiTheme="majorHAnsi" w:cstheme="majorHAnsi"/>
                <w:color w:val="FFFFFF"/>
                <w:sz w:val="22"/>
                <w:lang w:val="en-US"/>
              </w:rPr>
              <w:t>($,m)</w:t>
            </w:r>
          </w:p>
        </w:tc>
        <w:tc>
          <w:tcPr>
            <w:tcW w:w="584" w:type="pct"/>
            <w:tcBorders>
              <w:top w:val="single" w:sz="4" w:space="0" w:color="auto"/>
              <w:left w:val="nil"/>
              <w:bottom w:val="single" w:sz="4" w:space="0" w:color="auto"/>
              <w:right w:val="single" w:sz="4" w:space="0" w:color="auto"/>
            </w:tcBorders>
            <w:shd w:val="clear" w:color="000000" w:fill="000000"/>
            <w:noWrap/>
            <w:vAlign w:val="bottom"/>
            <w:hideMark/>
          </w:tcPr>
          <w:p w14:paraId="6C99187F" w14:textId="77777777" w:rsidR="00182330" w:rsidRPr="00615241" w:rsidRDefault="00182330" w:rsidP="00182330">
            <w:pPr>
              <w:jc w:val="center"/>
              <w:rPr>
                <w:rFonts w:asciiTheme="majorHAnsi" w:eastAsia="Times New Roman" w:hAnsiTheme="majorHAnsi" w:cstheme="majorHAnsi"/>
                <w:color w:val="FFFFFF"/>
                <w:sz w:val="22"/>
                <w:lang w:eastAsia="en-AU"/>
              </w:rPr>
            </w:pPr>
            <w:r w:rsidRPr="00615241">
              <w:rPr>
                <w:rFonts w:asciiTheme="majorHAnsi" w:eastAsia="Times New Roman" w:hAnsiTheme="majorHAnsi" w:cstheme="majorHAnsi"/>
                <w:color w:val="FFFFFF"/>
                <w:sz w:val="22"/>
                <w:lang w:eastAsia="en-AU"/>
              </w:rPr>
              <w:t>2023-24</w:t>
            </w:r>
          </w:p>
          <w:p w14:paraId="484DA12B" w14:textId="77777777" w:rsidR="00182330" w:rsidRPr="00615241" w:rsidRDefault="00182330" w:rsidP="00182330">
            <w:pPr>
              <w:jc w:val="center"/>
              <w:rPr>
                <w:rFonts w:asciiTheme="majorHAnsi" w:eastAsia="Times New Roman" w:hAnsiTheme="majorHAnsi" w:cstheme="majorHAnsi"/>
                <w:color w:val="FFFFFF"/>
                <w:sz w:val="22"/>
                <w:lang w:eastAsia="en-AU"/>
              </w:rPr>
            </w:pPr>
            <w:r w:rsidRPr="00615241">
              <w:rPr>
                <w:rFonts w:asciiTheme="majorHAnsi" w:eastAsia="Times New Roman" w:hAnsiTheme="majorHAnsi" w:cstheme="majorHAnsi"/>
                <w:color w:val="FFFFFF"/>
                <w:sz w:val="22"/>
                <w:lang w:val="en-US"/>
              </w:rPr>
              <w:t>($,m)</w:t>
            </w:r>
          </w:p>
        </w:tc>
        <w:tc>
          <w:tcPr>
            <w:tcW w:w="584" w:type="pct"/>
            <w:tcBorders>
              <w:top w:val="single" w:sz="4" w:space="0" w:color="auto"/>
              <w:left w:val="nil"/>
              <w:bottom w:val="single" w:sz="4" w:space="0" w:color="auto"/>
              <w:right w:val="single" w:sz="4" w:space="0" w:color="auto"/>
            </w:tcBorders>
            <w:shd w:val="clear" w:color="000000" w:fill="000000"/>
            <w:noWrap/>
            <w:vAlign w:val="bottom"/>
            <w:hideMark/>
          </w:tcPr>
          <w:p w14:paraId="652CD126" w14:textId="77777777" w:rsidR="00182330" w:rsidRPr="00615241" w:rsidRDefault="00182330" w:rsidP="00182330">
            <w:pPr>
              <w:jc w:val="center"/>
              <w:rPr>
                <w:rFonts w:asciiTheme="majorHAnsi" w:eastAsia="Times New Roman" w:hAnsiTheme="majorHAnsi" w:cstheme="majorHAnsi"/>
                <w:color w:val="FFFFFF"/>
                <w:sz w:val="22"/>
                <w:lang w:eastAsia="en-AU"/>
              </w:rPr>
            </w:pPr>
            <w:r w:rsidRPr="00615241">
              <w:rPr>
                <w:rFonts w:asciiTheme="majorHAnsi" w:eastAsia="Times New Roman" w:hAnsiTheme="majorHAnsi" w:cstheme="majorHAnsi"/>
                <w:color w:val="FFFFFF"/>
                <w:sz w:val="22"/>
                <w:lang w:eastAsia="en-AU"/>
              </w:rPr>
              <w:t>2024-25</w:t>
            </w:r>
          </w:p>
          <w:p w14:paraId="0360998B" w14:textId="77777777" w:rsidR="00182330" w:rsidRPr="00615241" w:rsidRDefault="00182330" w:rsidP="00182330">
            <w:pPr>
              <w:jc w:val="center"/>
              <w:rPr>
                <w:rFonts w:asciiTheme="majorHAnsi" w:eastAsia="Times New Roman" w:hAnsiTheme="majorHAnsi" w:cstheme="majorHAnsi"/>
                <w:color w:val="FFFFFF"/>
                <w:sz w:val="22"/>
                <w:lang w:eastAsia="en-AU"/>
              </w:rPr>
            </w:pPr>
            <w:r w:rsidRPr="00615241">
              <w:rPr>
                <w:rFonts w:asciiTheme="majorHAnsi" w:eastAsia="Times New Roman" w:hAnsiTheme="majorHAnsi" w:cstheme="majorHAnsi"/>
                <w:color w:val="FFFFFF"/>
                <w:sz w:val="22"/>
                <w:lang w:val="en-US"/>
              </w:rPr>
              <w:t>($,m)</w:t>
            </w:r>
          </w:p>
        </w:tc>
        <w:tc>
          <w:tcPr>
            <w:tcW w:w="953" w:type="pct"/>
            <w:tcBorders>
              <w:top w:val="single" w:sz="4" w:space="0" w:color="auto"/>
              <w:left w:val="nil"/>
              <w:bottom w:val="single" w:sz="4" w:space="0" w:color="auto"/>
              <w:right w:val="single" w:sz="4" w:space="0" w:color="auto"/>
            </w:tcBorders>
            <w:shd w:val="clear" w:color="000000" w:fill="000000"/>
            <w:noWrap/>
            <w:vAlign w:val="bottom"/>
            <w:hideMark/>
          </w:tcPr>
          <w:p w14:paraId="2BEF0AD7" w14:textId="77777777" w:rsidR="00182330" w:rsidRPr="00615241" w:rsidRDefault="00182330" w:rsidP="00182330">
            <w:pPr>
              <w:jc w:val="center"/>
              <w:rPr>
                <w:rFonts w:asciiTheme="majorHAnsi" w:eastAsia="Times New Roman" w:hAnsiTheme="majorHAnsi" w:cstheme="majorHAnsi"/>
                <w:color w:val="FFFFFF"/>
                <w:sz w:val="22"/>
                <w:lang w:eastAsia="en-AU"/>
              </w:rPr>
            </w:pPr>
            <w:r w:rsidRPr="00615241">
              <w:rPr>
                <w:rFonts w:asciiTheme="majorHAnsi" w:eastAsia="Times New Roman" w:hAnsiTheme="majorHAnsi" w:cstheme="majorHAnsi"/>
                <w:color w:val="FFFFFF"/>
                <w:sz w:val="22"/>
                <w:lang w:eastAsia="en-AU"/>
              </w:rPr>
              <w:t>Total over 4yrs</w:t>
            </w:r>
          </w:p>
          <w:p w14:paraId="0C7FAD6E" w14:textId="77777777" w:rsidR="00182330" w:rsidRPr="00615241" w:rsidRDefault="00182330" w:rsidP="00182330">
            <w:pPr>
              <w:jc w:val="center"/>
              <w:rPr>
                <w:rFonts w:asciiTheme="majorHAnsi" w:eastAsia="Times New Roman" w:hAnsiTheme="majorHAnsi" w:cstheme="majorHAnsi"/>
                <w:color w:val="FFFFFF"/>
                <w:sz w:val="22"/>
                <w:lang w:eastAsia="en-AU"/>
              </w:rPr>
            </w:pPr>
            <w:r w:rsidRPr="00615241">
              <w:rPr>
                <w:rFonts w:asciiTheme="majorHAnsi" w:eastAsia="Times New Roman" w:hAnsiTheme="majorHAnsi" w:cstheme="majorHAnsi"/>
                <w:color w:val="FFFFFF"/>
                <w:sz w:val="22"/>
                <w:lang w:val="en-US"/>
              </w:rPr>
              <w:t>($,m)</w:t>
            </w:r>
          </w:p>
        </w:tc>
      </w:tr>
      <w:tr w:rsidR="00182330" w:rsidRPr="00615241" w14:paraId="265FDE94" w14:textId="77777777" w:rsidTr="00182330">
        <w:trPr>
          <w:trHeight w:val="600"/>
        </w:trPr>
        <w:tc>
          <w:tcPr>
            <w:tcW w:w="1711" w:type="pct"/>
            <w:tcBorders>
              <w:top w:val="nil"/>
              <w:left w:val="single" w:sz="4" w:space="0" w:color="auto"/>
              <w:bottom w:val="single" w:sz="4" w:space="0" w:color="auto"/>
              <w:right w:val="single" w:sz="4" w:space="0" w:color="auto"/>
            </w:tcBorders>
            <w:shd w:val="clear" w:color="auto" w:fill="auto"/>
            <w:vAlign w:val="bottom"/>
            <w:hideMark/>
          </w:tcPr>
          <w:p w14:paraId="6F928364" w14:textId="77777777" w:rsidR="00182330" w:rsidRPr="00615241" w:rsidRDefault="00182330" w:rsidP="00182330">
            <w:pPr>
              <w:rPr>
                <w:rFonts w:asciiTheme="majorHAnsi" w:eastAsia="Times New Roman" w:hAnsiTheme="majorHAnsi" w:cstheme="majorHAnsi"/>
                <w:color w:val="000000"/>
                <w:sz w:val="22"/>
                <w:lang w:eastAsia="en-AU"/>
              </w:rPr>
            </w:pPr>
            <w:r w:rsidRPr="00615241">
              <w:rPr>
                <w:rFonts w:asciiTheme="majorHAnsi" w:eastAsia="Times New Roman" w:hAnsiTheme="majorHAnsi" w:cstheme="majorHAnsi"/>
                <w:color w:val="000000"/>
                <w:sz w:val="22"/>
                <w:lang w:eastAsia="en-AU"/>
              </w:rPr>
              <w:t>Enhancing local eye care in Aboriginal and Torres Strait Islander communities</w:t>
            </w:r>
          </w:p>
        </w:tc>
        <w:tc>
          <w:tcPr>
            <w:tcW w:w="584" w:type="pct"/>
            <w:tcBorders>
              <w:top w:val="nil"/>
              <w:left w:val="nil"/>
              <w:bottom w:val="single" w:sz="4" w:space="0" w:color="auto"/>
              <w:right w:val="single" w:sz="4" w:space="0" w:color="auto"/>
            </w:tcBorders>
            <w:shd w:val="clear" w:color="auto" w:fill="auto"/>
            <w:noWrap/>
            <w:vAlign w:val="bottom"/>
          </w:tcPr>
          <w:p w14:paraId="62C78DAF" w14:textId="77777777" w:rsidR="00182330" w:rsidRPr="00C04DAB" w:rsidRDefault="00182330" w:rsidP="00182330">
            <w:pPr>
              <w:jc w:val="center"/>
              <w:rPr>
                <w:rFonts w:asciiTheme="majorHAnsi" w:eastAsia="Times New Roman" w:hAnsiTheme="majorHAnsi" w:cstheme="majorHAnsi"/>
                <w:color w:val="000000"/>
                <w:sz w:val="22"/>
                <w:lang w:eastAsia="en-AU"/>
              </w:rPr>
            </w:pPr>
            <w:r w:rsidRPr="00271CE8">
              <w:rPr>
                <w:color w:val="000000"/>
                <w:sz w:val="22"/>
              </w:rPr>
              <w:t>3.922</w:t>
            </w:r>
          </w:p>
        </w:tc>
        <w:tc>
          <w:tcPr>
            <w:tcW w:w="584" w:type="pct"/>
            <w:tcBorders>
              <w:top w:val="nil"/>
              <w:left w:val="nil"/>
              <w:bottom w:val="single" w:sz="4" w:space="0" w:color="auto"/>
              <w:right w:val="single" w:sz="4" w:space="0" w:color="auto"/>
            </w:tcBorders>
            <w:shd w:val="clear" w:color="auto" w:fill="auto"/>
            <w:noWrap/>
            <w:vAlign w:val="bottom"/>
          </w:tcPr>
          <w:p w14:paraId="1C93643E" w14:textId="77777777" w:rsidR="00182330" w:rsidRPr="00C04DAB" w:rsidRDefault="00182330" w:rsidP="00182330">
            <w:pPr>
              <w:jc w:val="center"/>
              <w:rPr>
                <w:rFonts w:asciiTheme="majorHAnsi" w:eastAsia="Times New Roman" w:hAnsiTheme="majorHAnsi" w:cstheme="majorHAnsi"/>
                <w:color w:val="000000"/>
                <w:sz w:val="22"/>
                <w:lang w:eastAsia="en-AU"/>
              </w:rPr>
            </w:pPr>
            <w:r w:rsidRPr="00271CE8">
              <w:rPr>
                <w:color w:val="000000"/>
                <w:sz w:val="22"/>
              </w:rPr>
              <w:t>7.753</w:t>
            </w:r>
          </w:p>
        </w:tc>
        <w:tc>
          <w:tcPr>
            <w:tcW w:w="584" w:type="pct"/>
            <w:tcBorders>
              <w:top w:val="nil"/>
              <w:left w:val="nil"/>
              <w:bottom w:val="single" w:sz="4" w:space="0" w:color="auto"/>
              <w:right w:val="single" w:sz="4" w:space="0" w:color="auto"/>
            </w:tcBorders>
            <w:shd w:val="clear" w:color="auto" w:fill="auto"/>
            <w:noWrap/>
            <w:vAlign w:val="bottom"/>
          </w:tcPr>
          <w:p w14:paraId="5D79670D" w14:textId="77777777" w:rsidR="00182330" w:rsidRPr="00C04DAB" w:rsidRDefault="00182330" w:rsidP="00182330">
            <w:pPr>
              <w:jc w:val="center"/>
              <w:rPr>
                <w:rFonts w:asciiTheme="majorHAnsi" w:eastAsia="Times New Roman" w:hAnsiTheme="majorHAnsi" w:cstheme="majorHAnsi"/>
                <w:color w:val="000000"/>
                <w:sz w:val="22"/>
                <w:lang w:eastAsia="en-AU"/>
              </w:rPr>
            </w:pPr>
            <w:r w:rsidRPr="00271CE8">
              <w:rPr>
                <w:color w:val="000000"/>
                <w:sz w:val="22"/>
              </w:rPr>
              <w:t>8.016</w:t>
            </w:r>
          </w:p>
        </w:tc>
        <w:tc>
          <w:tcPr>
            <w:tcW w:w="584" w:type="pct"/>
            <w:tcBorders>
              <w:top w:val="nil"/>
              <w:left w:val="nil"/>
              <w:bottom w:val="single" w:sz="4" w:space="0" w:color="auto"/>
              <w:right w:val="single" w:sz="4" w:space="0" w:color="auto"/>
            </w:tcBorders>
            <w:shd w:val="clear" w:color="auto" w:fill="auto"/>
            <w:noWrap/>
            <w:vAlign w:val="bottom"/>
          </w:tcPr>
          <w:p w14:paraId="15735756" w14:textId="77777777" w:rsidR="00182330" w:rsidRPr="00C04DAB" w:rsidRDefault="00182330" w:rsidP="00182330">
            <w:pPr>
              <w:jc w:val="center"/>
              <w:rPr>
                <w:rFonts w:asciiTheme="majorHAnsi" w:eastAsia="Times New Roman" w:hAnsiTheme="majorHAnsi" w:cstheme="majorHAnsi"/>
                <w:color w:val="000000"/>
                <w:sz w:val="22"/>
                <w:lang w:eastAsia="en-AU"/>
              </w:rPr>
            </w:pPr>
            <w:r w:rsidRPr="00271CE8">
              <w:rPr>
                <w:color w:val="000000"/>
                <w:sz w:val="22"/>
              </w:rPr>
              <w:t>8.114</w:t>
            </w:r>
          </w:p>
        </w:tc>
        <w:tc>
          <w:tcPr>
            <w:tcW w:w="953" w:type="pct"/>
            <w:tcBorders>
              <w:top w:val="nil"/>
              <w:left w:val="nil"/>
              <w:bottom w:val="single" w:sz="4" w:space="0" w:color="auto"/>
              <w:right w:val="single" w:sz="4" w:space="0" w:color="auto"/>
            </w:tcBorders>
            <w:shd w:val="clear" w:color="auto" w:fill="auto"/>
            <w:noWrap/>
            <w:vAlign w:val="bottom"/>
          </w:tcPr>
          <w:p w14:paraId="04EA2A27" w14:textId="77777777" w:rsidR="00182330" w:rsidRPr="00564317" w:rsidRDefault="00182330" w:rsidP="00182330">
            <w:pPr>
              <w:jc w:val="center"/>
              <w:rPr>
                <w:rFonts w:asciiTheme="majorHAnsi" w:eastAsia="Times New Roman" w:hAnsiTheme="majorHAnsi" w:cstheme="majorHAnsi"/>
                <w:b/>
                <w:color w:val="000000"/>
                <w:sz w:val="22"/>
                <w:lang w:eastAsia="en-AU"/>
              </w:rPr>
            </w:pPr>
            <w:r w:rsidRPr="00564317">
              <w:rPr>
                <w:b/>
                <w:color w:val="000000"/>
                <w:sz w:val="22"/>
              </w:rPr>
              <w:t>27.806</w:t>
            </w:r>
          </w:p>
        </w:tc>
      </w:tr>
      <w:tr w:rsidR="00182330" w:rsidRPr="00615241" w14:paraId="13989F91" w14:textId="77777777" w:rsidTr="00182330">
        <w:trPr>
          <w:trHeight w:val="351"/>
        </w:trPr>
        <w:tc>
          <w:tcPr>
            <w:tcW w:w="1711" w:type="pct"/>
            <w:tcBorders>
              <w:top w:val="nil"/>
              <w:left w:val="single" w:sz="4" w:space="0" w:color="auto"/>
              <w:bottom w:val="single" w:sz="4" w:space="0" w:color="auto"/>
              <w:right w:val="single" w:sz="4" w:space="0" w:color="auto"/>
            </w:tcBorders>
            <w:shd w:val="clear" w:color="auto" w:fill="auto"/>
            <w:vAlign w:val="bottom"/>
          </w:tcPr>
          <w:p w14:paraId="46EAA763" w14:textId="77777777" w:rsidR="00182330" w:rsidRPr="00615241" w:rsidRDefault="00182330" w:rsidP="00182330">
            <w:pPr>
              <w:rPr>
                <w:rFonts w:asciiTheme="majorHAnsi" w:eastAsia="Times New Roman" w:hAnsiTheme="majorHAnsi" w:cstheme="majorHAnsi"/>
                <w:color w:val="000000"/>
                <w:sz w:val="22"/>
                <w:lang w:eastAsia="en-AU"/>
              </w:rPr>
            </w:pPr>
            <w:r w:rsidRPr="00615241">
              <w:rPr>
                <w:rFonts w:asciiTheme="majorHAnsi" w:hAnsiTheme="majorHAnsi" w:cstheme="majorHAnsi"/>
                <w:sz w:val="22"/>
              </w:rPr>
              <w:t>Gaining Sight – tackling blindness in Papua New Guinea</w:t>
            </w:r>
          </w:p>
        </w:tc>
        <w:tc>
          <w:tcPr>
            <w:tcW w:w="584" w:type="pct"/>
            <w:tcBorders>
              <w:top w:val="nil"/>
              <w:left w:val="nil"/>
              <w:bottom w:val="single" w:sz="4" w:space="0" w:color="auto"/>
              <w:right w:val="single" w:sz="4" w:space="0" w:color="auto"/>
            </w:tcBorders>
            <w:shd w:val="clear" w:color="auto" w:fill="auto"/>
            <w:noWrap/>
            <w:vAlign w:val="bottom"/>
          </w:tcPr>
          <w:p w14:paraId="33244FB7" w14:textId="77777777" w:rsidR="00182330" w:rsidRPr="00C85D17" w:rsidRDefault="00182330" w:rsidP="00182330">
            <w:pPr>
              <w:jc w:val="center"/>
              <w:rPr>
                <w:rFonts w:asciiTheme="majorHAnsi" w:eastAsia="Times New Roman" w:hAnsiTheme="majorHAnsi" w:cstheme="majorHAnsi"/>
                <w:color w:val="000000"/>
                <w:sz w:val="22"/>
                <w:lang w:eastAsia="en-AU"/>
              </w:rPr>
            </w:pPr>
            <w:r w:rsidRPr="00C85D17">
              <w:rPr>
                <w:rFonts w:eastAsia="Times New Roman" w:cstheme="minorHAnsi"/>
                <w:color w:val="000000"/>
                <w:sz w:val="22"/>
                <w:lang w:eastAsia="en-AU"/>
              </w:rPr>
              <w:t>3.64</w:t>
            </w:r>
            <w:r>
              <w:rPr>
                <w:rFonts w:eastAsia="Times New Roman" w:cstheme="minorHAnsi"/>
                <w:color w:val="000000"/>
                <w:sz w:val="22"/>
                <w:lang w:eastAsia="en-AU"/>
              </w:rPr>
              <w:t>0</w:t>
            </w:r>
          </w:p>
        </w:tc>
        <w:tc>
          <w:tcPr>
            <w:tcW w:w="584" w:type="pct"/>
            <w:tcBorders>
              <w:top w:val="nil"/>
              <w:left w:val="nil"/>
              <w:bottom w:val="single" w:sz="4" w:space="0" w:color="auto"/>
              <w:right w:val="single" w:sz="4" w:space="0" w:color="auto"/>
            </w:tcBorders>
            <w:shd w:val="clear" w:color="auto" w:fill="auto"/>
            <w:noWrap/>
            <w:vAlign w:val="bottom"/>
          </w:tcPr>
          <w:p w14:paraId="1312F5A7" w14:textId="77777777" w:rsidR="00182330" w:rsidRPr="00C85D17" w:rsidRDefault="00182330" w:rsidP="00182330">
            <w:pPr>
              <w:jc w:val="center"/>
              <w:rPr>
                <w:rFonts w:asciiTheme="majorHAnsi" w:eastAsia="Times New Roman" w:hAnsiTheme="majorHAnsi" w:cstheme="majorHAnsi"/>
                <w:color w:val="000000"/>
                <w:sz w:val="22"/>
                <w:lang w:eastAsia="en-AU"/>
              </w:rPr>
            </w:pPr>
            <w:r w:rsidRPr="00C85D17">
              <w:rPr>
                <w:rFonts w:eastAsia="Times New Roman" w:cstheme="minorHAnsi"/>
                <w:color w:val="000000"/>
                <w:sz w:val="22"/>
                <w:lang w:eastAsia="en-AU"/>
              </w:rPr>
              <w:t>11.18</w:t>
            </w:r>
            <w:r>
              <w:rPr>
                <w:rFonts w:eastAsia="Times New Roman" w:cstheme="minorHAnsi"/>
                <w:color w:val="000000"/>
                <w:sz w:val="22"/>
                <w:lang w:eastAsia="en-AU"/>
              </w:rPr>
              <w:t>0</w:t>
            </w:r>
          </w:p>
        </w:tc>
        <w:tc>
          <w:tcPr>
            <w:tcW w:w="584" w:type="pct"/>
            <w:tcBorders>
              <w:top w:val="nil"/>
              <w:left w:val="nil"/>
              <w:bottom w:val="single" w:sz="4" w:space="0" w:color="auto"/>
              <w:right w:val="single" w:sz="4" w:space="0" w:color="auto"/>
            </w:tcBorders>
            <w:shd w:val="clear" w:color="auto" w:fill="auto"/>
            <w:noWrap/>
            <w:vAlign w:val="bottom"/>
          </w:tcPr>
          <w:p w14:paraId="5966B6CC" w14:textId="77777777" w:rsidR="00182330" w:rsidRPr="00C85D17" w:rsidRDefault="00182330" w:rsidP="00182330">
            <w:pPr>
              <w:jc w:val="center"/>
              <w:rPr>
                <w:rFonts w:asciiTheme="majorHAnsi" w:eastAsia="Times New Roman" w:hAnsiTheme="majorHAnsi" w:cstheme="majorHAnsi"/>
                <w:color w:val="000000"/>
                <w:sz w:val="22"/>
                <w:lang w:eastAsia="en-AU"/>
              </w:rPr>
            </w:pPr>
            <w:r w:rsidRPr="00C85D17">
              <w:rPr>
                <w:rFonts w:eastAsia="Times New Roman" w:cstheme="minorHAnsi"/>
                <w:color w:val="000000"/>
                <w:sz w:val="22"/>
                <w:lang w:eastAsia="en-AU"/>
              </w:rPr>
              <w:t>6.58</w:t>
            </w:r>
            <w:r>
              <w:rPr>
                <w:rFonts w:eastAsia="Times New Roman" w:cstheme="minorHAnsi"/>
                <w:color w:val="000000"/>
                <w:sz w:val="22"/>
                <w:lang w:eastAsia="en-AU"/>
              </w:rPr>
              <w:t>0</w:t>
            </w:r>
          </w:p>
        </w:tc>
        <w:tc>
          <w:tcPr>
            <w:tcW w:w="584" w:type="pct"/>
            <w:tcBorders>
              <w:top w:val="nil"/>
              <w:left w:val="nil"/>
              <w:bottom w:val="single" w:sz="4" w:space="0" w:color="auto"/>
              <w:right w:val="single" w:sz="4" w:space="0" w:color="auto"/>
            </w:tcBorders>
            <w:shd w:val="clear" w:color="auto" w:fill="auto"/>
            <w:noWrap/>
            <w:vAlign w:val="bottom"/>
          </w:tcPr>
          <w:p w14:paraId="547F939D" w14:textId="77777777" w:rsidR="00182330" w:rsidRPr="00C85D17" w:rsidRDefault="00182330" w:rsidP="00182330">
            <w:pPr>
              <w:jc w:val="center"/>
              <w:rPr>
                <w:rFonts w:asciiTheme="majorHAnsi" w:eastAsia="Times New Roman" w:hAnsiTheme="majorHAnsi" w:cstheme="majorHAnsi"/>
                <w:color w:val="000000"/>
                <w:sz w:val="22"/>
                <w:lang w:eastAsia="en-AU"/>
              </w:rPr>
            </w:pPr>
            <w:r w:rsidRPr="00C85D17">
              <w:rPr>
                <w:rFonts w:eastAsia="Times New Roman" w:cstheme="minorHAnsi"/>
                <w:color w:val="000000"/>
                <w:sz w:val="22"/>
                <w:lang w:eastAsia="en-AU"/>
              </w:rPr>
              <w:t>4.79</w:t>
            </w:r>
            <w:r>
              <w:rPr>
                <w:rFonts w:eastAsia="Times New Roman" w:cstheme="minorHAnsi"/>
                <w:color w:val="000000"/>
                <w:sz w:val="22"/>
                <w:lang w:eastAsia="en-AU"/>
              </w:rPr>
              <w:t>0</w:t>
            </w:r>
          </w:p>
        </w:tc>
        <w:tc>
          <w:tcPr>
            <w:tcW w:w="953" w:type="pct"/>
            <w:tcBorders>
              <w:top w:val="nil"/>
              <w:left w:val="nil"/>
              <w:bottom w:val="single" w:sz="4" w:space="0" w:color="auto"/>
              <w:right w:val="single" w:sz="4" w:space="0" w:color="auto"/>
            </w:tcBorders>
            <w:shd w:val="clear" w:color="auto" w:fill="auto"/>
            <w:noWrap/>
            <w:vAlign w:val="bottom"/>
          </w:tcPr>
          <w:p w14:paraId="3D4ED044" w14:textId="77777777" w:rsidR="00182330" w:rsidRPr="00564317" w:rsidRDefault="00182330" w:rsidP="00182330">
            <w:pPr>
              <w:jc w:val="center"/>
              <w:rPr>
                <w:rFonts w:asciiTheme="majorHAnsi" w:eastAsia="Times New Roman" w:hAnsiTheme="majorHAnsi" w:cstheme="majorHAnsi"/>
                <w:b/>
                <w:color w:val="000000"/>
                <w:sz w:val="22"/>
                <w:lang w:eastAsia="en-AU"/>
              </w:rPr>
            </w:pPr>
            <w:r w:rsidRPr="00564317">
              <w:rPr>
                <w:rFonts w:asciiTheme="majorHAnsi" w:eastAsia="Times New Roman" w:hAnsiTheme="majorHAnsi" w:cstheme="majorHAnsi"/>
                <w:b/>
                <w:color w:val="000000"/>
                <w:sz w:val="22"/>
                <w:lang w:eastAsia="en-AU"/>
              </w:rPr>
              <w:t>26.19</w:t>
            </w:r>
            <w:r>
              <w:rPr>
                <w:rFonts w:asciiTheme="majorHAnsi" w:eastAsia="Times New Roman" w:hAnsiTheme="majorHAnsi" w:cstheme="majorHAnsi"/>
                <w:b/>
                <w:color w:val="000000"/>
                <w:sz w:val="22"/>
                <w:lang w:eastAsia="en-AU"/>
              </w:rPr>
              <w:t>0</w:t>
            </w:r>
          </w:p>
        </w:tc>
      </w:tr>
      <w:tr w:rsidR="00182330" w:rsidRPr="00615241" w14:paraId="3AC001A8" w14:textId="77777777" w:rsidTr="00182330">
        <w:trPr>
          <w:trHeight w:val="515"/>
        </w:trPr>
        <w:tc>
          <w:tcPr>
            <w:tcW w:w="1711" w:type="pct"/>
            <w:tcBorders>
              <w:top w:val="nil"/>
              <w:left w:val="single" w:sz="4" w:space="0" w:color="auto"/>
              <w:bottom w:val="single" w:sz="4" w:space="0" w:color="auto"/>
              <w:right w:val="single" w:sz="4" w:space="0" w:color="auto"/>
            </w:tcBorders>
            <w:shd w:val="clear" w:color="auto" w:fill="auto"/>
            <w:vAlign w:val="bottom"/>
            <w:hideMark/>
          </w:tcPr>
          <w:p w14:paraId="612E2F80" w14:textId="77777777" w:rsidR="00182330" w:rsidRPr="00615241" w:rsidRDefault="00182330" w:rsidP="00182330">
            <w:pPr>
              <w:rPr>
                <w:rFonts w:asciiTheme="majorHAnsi" w:eastAsia="Times New Roman" w:hAnsiTheme="majorHAnsi" w:cstheme="majorHAnsi"/>
                <w:color w:val="000000"/>
                <w:sz w:val="22"/>
                <w:lang w:eastAsia="en-AU"/>
              </w:rPr>
            </w:pPr>
            <w:r w:rsidRPr="00615241">
              <w:rPr>
                <w:rFonts w:asciiTheme="majorHAnsi" w:hAnsiTheme="majorHAnsi" w:cstheme="majorHAnsi"/>
                <w:sz w:val="22"/>
              </w:rPr>
              <w:t>More aids and equipment to manage the impacts of vision loss in older Australians</w:t>
            </w:r>
          </w:p>
        </w:tc>
        <w:tc>
          <w:tcPr>
            <w:tcW w:w="584" w:type="pct"/>
            <w:tcBorders>
              <w:top w:val="nil"/>
              <w:left w:val="nil"/>
              <w:bottom w:val="single" w:sz="4" w:space="0" w:color="auto"/>
              <w:right w:val="single" w:sz="4" w:space="0" w:color="auto"/>
            </w:tcBorders>
            <w:shd w:val="clear" w:color="auto" w:fill="auto"/>
            <w:noWrap/>
            <w:vAlign w:val="bottom"/>
          </w:tcPr>
          <w:p w14:paraId="43E139AF" w14:textId="77777777" w:rsidR="00182330" w:rsidRPr="00C04DAB" w:rsidRDefault="00182330" w:rsidP="00182330">
            <w:pPr>
              <w:jc w:val="center"/>
              <w:rPr>
                <w:rFonts w:asciiTheme="majorHAnsi" w:eastAsia="Times New Roman" w:hAnsiTheme="majorHAnsi" w:cstheme="majorHAnsi"/>
                <w:color w:val="000000"/>
                <w:sz w:val="22"/>
                <w:lang w:eastAsia="en-AU"/>
              </w:rPr>
            </w:pPr>
            <w:r w:rsidRPr="00C04DAB">
              <w:rPr>
                <w:rFonts w:eastAsia="Times New Roman" w:cs="Arial"/>
                <w:color w:val="000000"/>
                <w:sz w:val="22"/>
                <w:lang w:val="en-US"/>
              </w:rPr>
              <w:t>7.798</w:t>
            </w:r>
          </w:p>
        </w:tc>
        <w:tc>
          <w:tcPr>
            <w:tcW w:w="584" w:type="pct"/>
            <w:tcBorders>
              <w:top w:val="nil"/>
              <w:left w:val="nil"/>
              <w:bottom w:val="single" w:sz="4" w:space="0" w:color="auto"/>
              <w:right w:val="single" w:sz="4" w:space="0" w:color="auto"/>
            </w:tcBorders>
            <w:shd w:val="clear" w:color="auto" w:fill="auto"/>
            <w:noWrap/>
            <w:vAlign w:val="bottom"/>
          </w:tcPr>
          <w:p w14:paraId="326ED5E7" w14:textId="77777777" w:rsidR="00182330" w:rsidRPr="00C04DAB" w:rsidRDefault="00182330" w:rsidP="00182330">
            <w:pPr>
              <w:jc w:val="center"/>
              <w:rPr>
                <w:rFonts w:asciiTheme="majorHAnsi" w:eastAsia="Times New Roman" w:hAnsiTheme="majorHAnsi" w:cstheme="majorHAnsi"/>
                <w:color w:val="000000"/>
                <w:sz w:val="22"/>
                <w:lang w:eastAsia="en-AU"/>
              </w:rPr>
            </w:pPr>
            <w:r w:rsidRPr="00C04DAB">
              <w:rPr>
                <w:rFonts w:eastAsia="Times New Roman" w:cs="Arial"/>
                <w:i/>
                <w:color w:val="000000"/>
                <w:sz w:val="22"/>
                <w:lang w:val="en-US"/>
              </w:rPr>
              <w:t>7.923</w:t>
            </w:r>
          </w:p>
        </w:tc>
        <w:tc>
          <w:tcPr>
            <w:tcW w:w="584" w:type="pct"/>
            <w:tcBorders>
              <w:top w:val="nil"/>
              <w:left w:val="nil"/>
              <w:bottom w:val="single" w:sz="4" w:space="0" w:color="auto"/>
              <w:right w:val="single" w:sz="4" w:space="0" w:color="auto"/>
            </w:tcBorders>
            <w:shd w:val="clear" w:color="auto" w:fill="auto"/>
            <w:noWrap/>
            <w:vAlign w:val="bottom"/>
          </w:tcPr>
          <w:p w14:paraId="6110C4E6" w14:textId="77777777" w:rsidR="00182330" w:rsidRPr="00334590" w:rsidRDefault="00182330" w:rsidP="00182330">
            <w:pPr>
              <w:jc w:val="center"/>
              <w:rPr>
                <w:rFonts w:asciiTheme="majorHAnsi" w:eastAsia="Times New Roman" w:hAnsiTheme="majorHAnsi" w:cstheme="majorHAnsi"/>
                <w:color w:val="000000"/>
                <w:sz w:val="22"/>
                <w:lang w:eastAsia="en-AU"/>
              </w:rPr>
            </w:pPr>
            <w:r w:rsidRPr="00B50DBC">
              <w:rPr>
                <w:rFonts w:eastAsia="Times New Roman" w:cs="Arial"/>
                <w:color w:val="000000"/>
                <w:sz w:val="22"/>
                <w:lang w:val="en-US"/>
              </w:rPr>
              <w:t>8.028</w:t>
            </w:r>
          </w:p>
        </w:tc>
        <w:tc>
          <w:tcPr>
            <w:tcW w:w="584" w:type="pct"/>
            <w:tcBorders>
              <w:top w:val="nil"/>
              <w:left w:val="nil"/>
              <w:bottom w:val="single" w:sz="4" w:space="0" w:color="auto"/>
              <w:right w:val="single" w:sz="4" w:space="0" w:color="auto"/>
            </w:tcBorders>
            <w:shd w:val="clear" w:color="auto" w:fill="auto"/>
            <w:noWrap/>
            <w:vAlign w:val="bottom"/>
          </w:tcPr>
          <w:p w14:paraId="5B5E9E6B" w14:textId="77777777" w:rsidR="00182330" w:rsidRPr="00334590" w:rsidRDefault="00182330" w:rsidP="00182330">
            <w:pPr>
              <w:jc w:val="center"/>
              <w:rPr>
                <w:rFonts w:asciiTheme="majorHAnsi" w:eastAsia="Times New Roman" w:hAnsiTheme="majorHAnsi" w:cstheme="majorHAnsi"/>
                <w:color w:val="000000"/>
                <w:sz w:val="22"/>
                <w:lang w:eastAsia="en-AU"/>
              </w:rPr>
            </w:pPr>
            <w:r w:rsidRPr="00B50DBC">
              <w:rPr>
                <w:rFonts w:eastAsia="Times New Roman" w:cs="Arial"/>
                <w:color w:val="000000"/>
                <w:sz w:val="22"/>
                <w:lang w:val="en-US"/>
              </w:rPr>
              <w:t>8.229</w:t>
            </w:r>
          </w:p>
        </w:tc>
        <w:tc>
          <w:tcPr>
            <w:tcW w:w="953" w:type="pct"/>
            <w:tcBorders>
              <w:top w:val="nil"/>
              <w:left w:val="nil"/>
              <w:bottom w:val="single" w:sz="4" w:space="0" w:color="auto"/>
              <w:right w:val="single" w:sz="4" w:space="0" w:color="auto"/>
            </w:tcBorders>
            <w:shd w:val="clear" w:color="auto" w:fill="auto"/>
            <w:noWrap/>
            <w:vAlign w:val="bottom"/>
          </w:tcPr>
          <w:p w14:paraId="57F05A2B" w14:textId="77777777" w:rsidR="00182330" w:rsidRPr="00334590" w:rsidRDefault="00182330" w:rsidP="00182330">
            <w:pPr>
              <w:jc w:val="center"/>
              <w:rPr>
                <w:rFonts w:asciiTheme="majorHAnsi" w:eastAsia="Times New Roman" w:hAnsiTheme="majorHAnsi" w:cstheme="majorHAnsi"/>
                <w:b/>
                <w:color w:val="000000"/>
                <w:sz w:val="22"/>
                <w:lang w:eastAsia="en-AU"/>
              </w:rPr>
            </w:pPr>
            <w:r w:rsidRPr="00B50DBC">
              <w:rPr>
                <w:rFonts w:eastAsia="Times New Roman" w:cs="Arial"/>
                <w:b/>
                <w:color w:val="000000"/>
                <w:sz w:val="22"/>
                <w:lang w:val="en-US"/>
              </w:rPr>
              <w:t>31.978</w:t>
            </w:r>
          </w:p>
        </w:tc>
      </w:tr>
      <w:tr w:rsidR="00182330" w:rsidRPr="00615241" w14:paraId="7DF60D25" w14:textId="77777777" w:rsidTr="00182330">
        <w:trPr>
          <w:trHeight w:val="300"/>
        </w:trPr>
        <w:tc>
          <w:tcPr>
            <w:tcW w:w="1711" w:type="pct"/>
            <w:tcBorders>
              <w:top w:val="nil"/>
              <w:left w:val="single" w:sz="4" w:space="0" w:color="auto"/>
              <w:bottom w:val="single" w:sz="4" w:space="0" w:color="auto"/>
              <w:right w:val="single" w:sz="4" w:space="0" w:color="auto"/>
            </w:tcBorders>
            <w:shd w:val="clear" w:color="auto" w:fill="auto"/>
            <w:vAlign w:val="bottom"/>
            <w:hideMark/>
          </w:tcPr>
          <w:p w14:paraId="730C624B" w14:textId="77777777" w:rsidR="00182330" w:rsidRPr="00615241" w:rsidRDefault="00182330" w:rsidP="00182330">
            <w:pPr>
              <w:rPr>
                <w:rFonts w:asciiTheme="majorHAnsi" w:eastAsia="Times New Roman" w:hAnsiTheme="majorHAnsi" w:cstheme="majorHAnsi"/>
                <w:color w:val="000000"/>
                <w:sz w:val="22"/>
                <w:lang w:eastAsia="en-AU"/>
              </w:rPr>
            </w:pPr>
            <w:r w:rsidRPr="00615241">
              <w:rPr>
                <w:rFonts w:asciiTheme="majorHAnsi" w:hAnsiTheme="majorHAnsi" w:cstheme="majorHAnsi"/>
                <w:sz w:val="22"/>
              </w:rPr>
              <w:t>Eyes on Call – an innovative model to build aged care workforce knowledge of eye health and vision</w:t>
            </w:r>
          </w:p>
        </w:tc>
        <w:tc>
          <w:tcPr>
            <w:tcW w:w="584" w:type="pct"/>
            <w:tcBorders>
              <w:top w:val="nil"/>
              <w:left w:val="nil"/>
              <w:bottom w:val="single" w:sz="4" w:space="0" w:color="auto"/>
              <w:right w:val="single" w:sz="4" w:space="0" w:color="auto"/>
            </w:tcBorders>
            <w:shd w:val="clear" w:color="auto" w:fill="auto"/>
            <w:noWrap/>
            <w:vAlign w:val="bottom"/>
          </w:tcPr>
          <w:p w14:paraId="3D23D666" w14:textId="77777777" w:rsidR="00182330" w:rsidRPr="00C04DAB" w:rsidRDefault="00182330" w:rsidP="00182330">
            <w:pPr>
              <w:jc w:val="center"/>
              <w:rPr>
                <w:rFonts w:asciiTheme="majorHAnsi" w:eastAsia="Times New Roman" w:hAnsiTheme="majorHAnsi" w:cstheme="majorHAnsi"/>
                <w:color w:val="000000"/>
                <w:sz w:val="22"/>
                <w:lang w:eastAsia="en-AU"/>
              </w:rPr>
            </w:pPr>
            <w:r w:rsidRPr="00C04DAB">
              <w:rPr>
                <w:rFonts w:asciiTheme="majorHAnsi" w:eastAsia="Times New Roman" w:hAnsiTheme="majorHAnsi" w:cstheme="majorHAnsi"/>
                <w:color w:val="000000"/>
                <w:sz w:val="22"/>
                <w:lang w:val="en-US"/>
              </w:rPr>
              <w:t>1.493</w:t>
            </w:r>
          </w:p>
        </w:tc>
        <w:tc>
          <w:tcPr>
            <w:tcW w:w="584" w:type="pct"/>
            <w:tcBorders>
              <w:top w:val="nil"/>
              <w:left w:val="nil"/>
              <w:bottom w:val="single" w:sz="4" w:space="0" w:color="auto"/>
              <w:right w:val="single" w:sz="4" w:space="0" w:color="auto"/>
            </w:tcBorders>
            <w:shd w:val="clear" w:color="auto" w:fill="auto"/>
            <w:noWrap/>
            <w:vAlign w:val="bottom"/>
          </w:tcPr>
          <w:p w14:paraId="22E4EA56" w14:textId="77777777" w:rsidR="00182330" w:rsidRPr="00C04DAB" w:rsidRDefault="00182330" w:rsidP="00182330">
            <w:pPr>
              <w:jc w:val="center"/>
              <w:rPr>
                <w:rFonts w:asciiTheme="majorHAnsi" w:eastAsia="Times New Roman" w:hAnsiTheme="majorHAnsi" w:cstheme="majorHAnsi"/>
                <w:color w:val="000000"/>
                <w:sz w:val="22"/>
                <w:lang w:eastAsia="en-AU"/>
              </w:rPr>
            </w:pPr>
            <w:r w:rsidRPr="00C04DAB">
              <w:rPr>
                <w:rFonts w:asciiTheme="majorHAnsi" w:eastAsia="Times New Roman" w:hAnsiTheme="majorHAnsi" w:cstheme="majorHAnsi"/>
                <w:color w:val="000000"/>
                <w:sz w:val="22"/>
                <w:lang w:val="en-US"/>
              </w:rPr>
              <w:t>1.436</w:t>
            </w:r>
          </w:p>
        </w:tc>
        <w:tc>
          <w:tcPr>
            <w:tcW w:w="584" w:type="pct"/>
            <w:tcBorders>
              <w:top w:val="nil"/>
              <w:left w:val="nil"/>
              <w:bottom w:val="single" w:sz="4" w:space="0" w:color="auto"/>
              <w:right w:val="single" w:sz="4" w:space="0" w:color="auto"/>
            </w:tcBorders>
            <w:shd w:val="clear" w:color="auto" w:fill="auto"/>
            <w:noWrap/>
            <w:vAlign w:val="bottom"/>
          </w:tcPr>
          <w:p w14:paraId="42FEB291" w14:textId="77777777" w:rsidR="00182330" w:rsidRPr="00C04DAB" w:rsidRDefault="00182330" w:rsidP="00182330">
            <w:pPr>
              <w:jc w:val="center"/>
              <w:rPr>
                <w:rFonts w:asciiTheme="majorHAnsi" w:eastAsia="Times New Roman" w:hAnsiTheme="majorHAnsi" w:cstheme="majorHAnsi"/>
                <w:color w:val="000000"/>
                <w:sz w:val="22"/>
                <w:lang w:eastAsia="en-AU"/>
              </w:rPr>
            </w:pPr>
            <w:r w:rsidRPr="00C04DAB">
              <w:rPr>
                <w:rFonts w:asciiTheme="majorHAnsi" w:eastAsia="Times New Roman" w:hAnsiTheme="majorHAnsi" w:cstheme="majorHAnsi"/>
                <w:color w:val="000000"/>
                <w:sz w:val="22"/>
                <w:lang w:val="en-US"/>
              </w:rPr>
              <w:t>1.252</w:t>
            </w:r>
          </w:p>
        </w:tc>
        <w:tc>
          <w:tcPr>
            <w:tcW w:w="584" w:type="pct"/>
            <w:tcBorders>
              <w:top w:val="nil"/>
              <w:left w:val="nil"/>
              <w:bottom w:val="single" w:sz="4" w:space="0" w:color="auto"/>
              <w:right w:val="single" w:sz="4" w:space="0" w:color="auto"/>
            </w:tcBorders>
            <w:shd w:val="clear" w:color="auto" w:fill="auto"/>
            <w:noWrap/>
            <w:vAlign w:val="bottom"/>
          </w:tcPr>
          <w:p w14:paraId="40154FE6" w14:textId="77777777" w:rsidR="00182330" w:rsidRPr="00C04DAB" w:rsidRDefault="00182330" w:rsidP="00182330">
            <w:pPr>
              <w:jc w:val="center"/>
              <w:rPr>
                <w:rFonts w:asciiTheme="majorHAnsi" w:eastAsia="Times New Roman" w:hAnsiTheme="majorHAnsi" w:cstheme="majorHAnsi"/>
                <w:color w:val="000000"/>
                <w:sz w:val="22"/>
                <w:lang w:eastAsia="en-AU"/>
              </w:rPr>
            </w:pPr>
            <w:r w:rsidRPr="00C04DAB">
              <w:rPr>
                <w:rFonts w:asciiTheme="majorHAnsi" w:eastAsia="Times New Roman" w:hAnsiTheme="majorHAnsi" w:cstheme="majorHAnsi"/>
                <w:color w:val="000000"/>
                <w:sz w:val="22"/>
                <w:lang w:val="en-US"/>
              </w:rPr>
              <w:t>1.216</w:t>
            </w:r>
          </w:p>
        </w:tc>
        <w:tc>
          <w:tcPr>
            <w:tcW w:w="953" w:type="pct"/>
            <w:tcBorders>
              <w:top w:val="nil"/>
              <w:left w:val="nil"/>
              <w:bottom w:val="single" w:sz="4" w:space="0" w:color="auto"/>
              <w:right w:val="single" w:sz="4" w:space="0" w:color="auto"/>
            </w:tcBorders>
            <w:shd w:val="clear" w:color="auto" w:fill="auto"/>
            <w:noWrap/>
            <w:vAlign w:val="bottom"/>
          </w:tcPr>
          <w:p w14:paraId="0CA701A0" w14:textId="77777777" w:rsidR="00182330" w:rsidRPr="00564317" w:rsidRDefault="00182330" w:rsidP="00182330">
            <w:pPr>
              <w:jc w:val="center"/>
              <w:rPr>
                <w:rFonts w:asciiTheme="majorHAnsi" w:eastAsia="Times New Roman" w:hAnsiTheme="majorHAnsi" w:cstheme="majorHAnsi"/>
                <w:b/>
                <w:color w:val="000000"/>
                <w:sz w:val="22"/>
                <w:lang w:eastAsia="en-AU"/>
              </w:rPr>
            </w:pPr>
            <w:r w:rsidRPr="00564317">
              <w:rPr>
                <w:rFonts w:asciiTheme="majorHAnsi" w:eastAsia="Times New Roman" w:hAnsiTheme="majorHAnsi" w:cstheme="majorHAnsi"/>
                <w:b/>
                <w:color w:val="000000"/>
                <w:sz w:val="22"/>
                <w:lang w:val="en-US"/>
              </w:rPr>
              <w:t>5.397</w:t>
            </w:r>
          </w:p>
        </w:tc>
      </w:tr>
      <w:tr w:rsidR="00182330" w:rsidRPr="00615241" w14:paraId="121229D5" w14:textId="77777777" w:rsidTr="00182330">
        <w:trPr>
          <w:trHeight w:val="320"/>
        </w:trPr>
        <w:tc>
          <w:tcPr>
            <w:tcW w:w="1711" w:type="pct"/>
            <w:tcBorders>
              <w:top w:val="nil"/>
              <w:left w:val="single" w:sz="4" w:space="0" w:color="auto"/>
              <w:bottom w:val="single" w:sz="4" w:space="0" w:color="auto"/>
              <w:right w:val="single" w:sz="4" w:space="0" w:color="auto"/>
            </w:tcBorders>
            <w:shd w:val="clear" w:color="auto" w:fill="auto"/>
            <w:vAlign w:val="bottom"/>
            <w:hideMark/>
          </w:tcPr>
          <w:p w14:paraId="63634338" w14:textId="77777777" w:rsidR="00182330" w:rsidRPr="00615241" w:rsidRDefault="00182330" w:rsidP="00182330">
            <w:pPr>
              <w:rPr>
                <w:rFonts w:asciiTheme="majorHAnsi" w:eastAsia="Times New Roman" w:hAnsiTheme="majorHAnsi" w:cstheme="majorHAnsi"/>
                <w:color w:val="000000"/>
                <w:sz w:val="22"/>
                <w:lang w:eastAsia="en-AU"/>
              </w:rPr>
            </w:pPr>
            <w:r w:rsidRPr="00615241">
              <w:rPr>
                <w:rFonts w:asciiTheme="majorHAnsi" w:eastAsia="Times New Roman" w:hAnsiTheme="majorHAnsi" w:cstheme="majorHAnsi"/>
                <w:color w:val="000000"/>
                <w:sz w:val="22"/>
                <w:lang w:eastAsia="en-AU"/>
              </w:rPr>
              <w:t>Innovative and sustainable access to sight-saving treatments</w:t>
            </w:r>
          </w:p>
        </w:tc>
        <w:tc>
          <w:tcPr>
            <w:tcW w:w="584" w:type="pct"/>
            <w:tcBorders>
              <w:top w:val="nil"/>
              <w:left w:val="nil"/>
              <w:bottom w:val="single" w:sz="4" w:space="0" w:color="auto"/>
              <w:right w:val="single" w:sz="4" w:space="0" w:color="auto"/>
            </w:tcBorders>
            <w:shd w:val="clear" w:color="auto" w:fill="auto"/>
            <w:noWrap/>
            <w:vAlign w:val="bottom"/>
          </w:tcPr>
          <w:p w14:paraId="7216A211" w14:textId="77777777" w:rsidR="00182330" w:rsidRPr="00C04DAB" w:rsidRDefault="00182330" w:rsidP="00182330">
            <w:pPr>
              <w:jc w:val="center"/>
              <w:rPr>
                <w:rFonts w:asciiTheme="majorHAnsi" w:eastAsia="Times New Roman" w:hAnsiTheme="majorHAnsi" w:cstheme="majorHAnsi"/>
                <w:color w:val="000000"/>
                <w:sz w:val="22"/>
                <w:lang w:eastAsia="en-AU"/>
              </w:rPr>
            </w:pPr>
            <w:r w:rsidRPr="00C04DAB">
              <w:rPr>
                <w:rFonts w:asciiTheme="majorHAnsi" w:eastAsia="Times New Roman" w:hAnsiTheme="majorHAnsi" w:cstheme="majorHAnsi"/>
                <w:bCs/>
                <w:color w:val="000000"/>
                <w:sz w:val="22"/>
                <w:lang w:val="en-US"/>
              </w:rPr>
              <w:t>78.148</w:t>
            </w:r>
          </w:p>
        </w:tc>
        <w:tc>
          <w:tcPr>
            <w:tcW w:w="584" w:type="pct"/>
            <w:tcBorders>
              <w:top w:val="nil"/>
              <w:left w:val="nil"/>
              <w:bottom w:val="single" w:sz="4" w:space="0" w:color="auto"/>
              <w:right w:val="single" w:sz="4" w:space="0" w:color="auto"/>
            </w:tcBorders>
            <w:shd w:val="clear" w:color="auto" w:fill="auto"/>
            <w:noWrap/>
            <w:vAlign w:val="bottom"/>
          </w:tcPr>
          <w:p w14:paraId="69546780" w14:textId="77777777" w:rsidR="00182330" w:rsidRPr="00C04DAB" w:rsidRDefault="00182330" w:rsidP="00182330">
            <w:pPr>
              <w:jc w:val="center"/>
              <w:rPr>
                <w:rFonts w:asciiTheme="majorHAnsi" w:eastAsia="Times New Roman" w:hAnsiTheme="majorHAnsi" w:cstheme="majorHAnsi"/>
                <w:color w:val="000000"/>
                <w:sz w:val="22"/>
                <w:lang w:eastAsia="en-AU"/>
              </w:rPr>
            </w:pPr>
            <w:r w:rsidRPr="00C04DAB">
              <w:rPr>
                <w:rFonts w:asciiTheme="majorHAnsi" w:eastAsia="Times New Roman" w:hAnsiTheme="majorHAnsi" w:cstheme="majorHAnsi"/>
                <w:bCs/>
                <w:color w:val="000000"/>
                <w:sz w:val="22"/>
                <w:lang w:val="en-US"/>
              </w:rPr>
              <w:t>80.020</w:t>
            </w:r>
          </w:p>
        </w:tc>
        <w:tc>
          <w:tcPr>
            <w:tcW w:w="584" w:type="pct"/>
            <w:tcBorders>
              <w:top w:val="nil"/>
              <w:left w:val="nil"/>
              <w:bottom w:val="single" w:sz="4" w:space="0" w:color="auto"/>
              <w:right w:val="single" w:sz="4" w:space="0" w:color="auto"/>
            </w:tcBorders>
            <w:shd w:val="clear" w:color="auto" w:fill="auto"/>
            <w:noWrap/>
            <w:vAlign w:val="bottom"/>
          </w:tcPr>
          <w:p w14:paraId="6613871E" w14:textId="77777777" w:rsidR="00182330" w:rsidRPr="00C04DAB" w:rsidRDefault="00182330" w:rsidP="00182330">
            <w:pPr>
              <w:jc w:val="center"/>
              <w:rPr>
                <w:rFonts w:asciiTheme="majorHAnsi" w:eastAsia="Times New Roman" w:hAnsiTheme="majorHAnsi" w:cstheme="majorHAnsi"/>
                <w:color w:val="000000"/>
                <w:sz w:val="22"/>
                <w:lang w:eastAsia="en-AU"/>
              </w:rPr>
            </w:pPr>
            <w:r w:rsidRPr="00C04DAB">
              <w:rPr>
                <w:rFonts w:asciiTheme="majorHAnsi" w:eastAsia="Times New Roman" w:hAnsiTheme="majorHAnsi" w:cstheme="majorHAnsi"/>
                <w:bCs/>
                <w:color w:val="000000"/>
                <w:sz w:val="22"/>
                <w:lang w:val="en-US"/>
              </w:rPr>
              <w:t>80.089</w:t>
            </w:r>
          </w:p>
        </w:tc>
        <w:tc>
          <w:tcPr>
            <w:tcW w:w="584" w:type="pct"/>
            <w:tcBorders>
              <w:top w:val="nil"/>
              <w:left w:val="nil"/>
              <w:bottom w:val="single" w:sz="4" w:space="0" w:color="auto"/>
              <w:right w:val="single" w:sz="4" w:space="0" w:color="auto"/>
            </w:tcBorders>
            <w:shd w:val="clear" w:color="auto" w:fill="auto"/>
            <w:noWrap/>
            <w:vAlign w:val="bottom"/>
          </w:tcPr>
          <w:p w14:paraId="16338023" w14:textId="77777777" w:rsidR="00182330" w:rsidRPr="00C04DAB" w:rsidRDefault="00182330" w:rsidP="00182330">
            <w:pPr>
              <w:jc w:val="center"/>
              <w:rPr>
                <w:rFonts w:asciiTheme="majorHAnsi" w:eastAsia="Times New Roman" w:hAnsiTheme="majorHAnsi" w:cstheme="majorHAnsi"/>
                <w:color w:val="000000"/>
                <w:sz w:val="22"/>
                <w:lang w:eastAsia="en-AU"/>
              </w:rPr>
            </w:pPr>
            <w:r w:rsidRPr="00C04DAB">
              <w:rPr>
                <w:rFonts w:asciiTheme="majorHAnsi" w:eastAsia="Times New Roman" w:hAnsiTheme="majorHAnsi" w:cstheme="majorHAnsi"/>
                <w:bCs/>
                <w:color w:val="000000"/>
                <w:sz w:val="22"/>
                <w:lang w:val="en-US"/>
              </w:rPr>
              <w:t>81.928</w:t>
            </w:r>
          </w:p>
        </w:tc>
        <w:tc>
          <w:tcPr>
            <w:tcW w:w="953" w:type="pct"/>
            <w:tcBorders>
              <w:top w:val="nil"/>
              <w:left w:val="nil"/>
              <w:bottom w:val="single" w:sz="4" w:space="0" w:color="auto"/>
              <w:right w:val="single" w:sz="4" w:space="0" w:color="auto"/>
            </w:tcBorders>
            <w:shd w:val="clear" w:color="auto" w:fill="auto"/>
            <w:noWrap/>
            <w:vAlign w:val="bottom"/>
          </w:tcPr>
          <w:p w14:paraId="50C78A51" w14:textId="77777777" w:rsidR="00182330" w:rsidRPr="00564317" w:rsidRDefault="00182330" w:rsidP="00182330">
            <w:pPr>
              <w:jc w:val="center"/>
              <w:rPr>
                <w:rFonts w:asciiTheme="majorHAnsi" w:eastAsia="Times New Roman" w:hAnsiTheme="majorHAnsi" w:cstheme="majorHAnsi"/>
                <w:b/>
                <w:color w:val="000000"/>
                <w:sz w:val="22"/>
                <w:lang w:eastAsia="en-AU"/>
              </w:rPr>
            </w:pPr>
            <w:r w:rsidRPr="00564317">
              <w:rPr>
                <w:rFonts w:asciiTheme="majorHAnsi" w:eastAsia="Times New Roman" w:hAnsiTheme="majorHAnsi" w:cstheme="majorHAnsi"/>
                <w:b/>
                <w:bCs/>
                <w:color w:val="000000"/>
                <w:sz w:val="22"/>
                <w:lang w:val="en-US"/>
              </w:rPr>
              <w:t>320.185</w:t>
            </w:r>
          </w:p>
        </w:tc>
      </w:tr>
    </w:tbl>
    <w:p w14:paraId="7B66AF4C" w14:textId="4A86ED8B" w:rsidR="00182330" w:rsidRPr="00182330" w:rsidRDefault="00182330" w:rsidP="00182330">
      <w:pPr>
        <w:pStyle w:val="BodyText"/>
        <w:sectPr w:rsidR="00182330" w:rsidRPr="00182330" w:rsidSect="00E62EA0">
          <w:headerReference w:type="even" r:id="rId18"/>
          <w:headerReference w:type="default" r:id="rId19"/>
          <w:footerReference w:type="default" r:id="rId20"/>
          <w:headerReference w:type="first" r:id="rId21"/>
          <w:footerReference w:type="first" r:id="rId22"/>
          <w:pgSz w:w="11906" w:h="16838" w:code="9"/>
          <w:pgMar w:top="2268" w:right="1134" w:bottom="1135" w:left="1134" w:header="567" w:footer="567" w:gutter="0"/>
          <w:cols w:space="708"/>
          <w:docGrid w:linePitch="360"/>
        </w:sectPr>
      </w:pPr>
    </w:p>
    <w:p w14:paraId="7DFD681C" w14:textId="01D1C2ED" w:rsidR="001E42F7" w:rsidRPr="00FE49A8" w:rsidRDefault="001E42F7" w:rsidP="00CC2714">
      <w:pPr>
        <w:pStyle w:val="Heading1"/>
      </w:pPr>
      <w:bookmarkStart w:id="15" w:name="_Attachment_A:_Tackling"/>
      <w:bookmarkStart w:id="16" w:name="_Attachment__B:"/>
      <w:bookmarkStart w:id="17" w:name="_Toc62811559"/>
      <w:bookmarkEnd w:id="15"/>
      <w:bookmarkEnd w:id="16"/>
      <w:r w:rsidRPr="00FE49A8">
        <w:t xml:space="preserve">Attachment </w:t>
      </w:r>
      <w:r w:rsidR="00AD00DB">
        <w:t>A</w:t>
      </w:r>
      <w:r w:rsidRPr="00FE49A8">
        <w:t>: Priority equipment for inclusion in aged care aids and equipment listing</w:t>
      </w:r>
      <w:bookmarkEnd w:id="17"/>
    </w:p>
    <w:tbl>
      <w:tblPr>
        <w:tblStyle w:val="TableGrid"/>
        <w:tblW w:w="9393" w:type="dxa"/>
        <w:tblLook w:val="04A0" w:firstRow="1" w:lastRow="0" w:firstColumn="1" w:lastColumn="0" w:noHBand="0" w:noVBand="1"/>
      </w:tblPr>
      <w:tblGrid>
        <w:gridCol w:w="4099"/>
        <w:gridCol w:w="4099"/>
        <w:gridCol w:w="1195"/>
      </w:tblGrid>
      <w:tr w:rsidR="001E42F7" w:rsidRPr="00FB69AC" w14:paraId="12717C70" w14:textId="77777777" w:rsidTr="00F27974">
        <w:trPr>
          <w:trHeight w:val="315"/>
          <w:tblHeader/>
        </w:trPr>
        <w:tc>
          <w:tcPr>
            <w:tcW w:w="4099" w:type="dxa"/>
            <w:shd w:val="clear" w:color="auto" w:fill="000000" w:themeFill="text1"/>
          </w:tcPr>
          <w:p w14:paraId="7D8FF7E6" w14:textId="77777777" w:rsidR="001E42F7" w:rsidRPr="00FB69AC" w:rsidRDefault="001E42F7" w:rsidP="00F27974">
            <w:pPr>
              <w:rPr>
                <w:b/>
                <w:bCs/>
                <w:color w:val="FFFFFF" w:themeColor="background1"/>
                <w:sz w:val="20"/>
                <w:szCs w:val="20"/>
              </w:rPr>
            </w:pPr>
            <w:r w:rsidRPr="00FB69AC">
              <w:rPr>
                <w:b/>
                <w:bCs/>
                <w:color w:val="FFFFFF" w:themeColor="background1"/>
                <w:sz w:val="20"/>
                <w:szCs w:val="20"/>
              </w:rPr>
              <w:t>Purpose/Description</w:t>
            </w:r>
          </w:p>
        </w:tc>
        <w:tc>
          <w:tcPr>
            <w:tcW w:w="4099" w:type="dxa"/>
            <w:shd w:val="clear" w:color="auto" w:fill="000000" w:themeFill="text1"/>
            <w:noWrap/>
            <w:hideMark/>
          </w:tcPr>
          <w:p w14:paraId="17262AF8" w14:textId="77777777" w:rsidR="001E42F7" w:rsidRPr="00FB69AC" w:rsidRDefault="001E42F7" w:rsidP="00F27974">
            <w:pPr>
              <w:rPr>
                <w:b/>
                <w:bCs/>
                <w:color w:val="FFFFFF" w:themeColor="background1"/>
                <w:sz w:val="20"/>
                <w:szCs w:val="20"/>
              </w:rPr>
            </w:pPr>
            <w:r w:rsidRPr="00FB69AC">
              <w:rPr>
                <w:b/>
                <w:bCs/>
                <w:color w:val="FFFFFF" w:themeColor="background1"/>
                <w:sz w:val="20"/>
                <w:szCs w:val="20"/>
              </w:rPr>
              <w:t>Example product</w:t>
            </w:r>
          </w:p>
        </w:tc>
        <w:tc>
          <w:tcPr>
            <w:tcW w:w="1195" w:type="dxa"/>
            <w:shd w:val="clear" w:color="auto" w:fill="000000" w:themeFill="text1"/>
            <w:noWrap/>
            <w:hideMark/>
          </w:tcPr>
          <w:p w14:paraId="2E4B1BAD" w14:textId="77777777" w:rsidR="001E42F7" w:rsidRPr="00FB69AC" w:rsidRDefault="001E42F7" w:rsidP="00F27974">
            <w:pPr>
              <w:rPr>
                <w:b/>
                <w:bCs/>
                <w:color w:val="FFFFFF" w:themeColor="background1"/>
                <w:sz w:val="20"/>
                <w:szCs w:val="20"/>
              </w:rPr>
            </w:pPr>
            <w:r>
              <w:rPr>
                <w:b/>
                <w:bCs/>
                <w:color w:val="FFFFFF" w:themeColor="background1"/>
                <w:sz w:val="20"/>
                <w:szCs w:val="20"/>
              </w:rPr>
              <w:t>Indicative p</w:t>
            </w:r>
            <w:r w:rsidRPr="00FB69AC">
              <w:rPr>
                <w:b/>
                <w:bCs/>
                <w:color w:val="FFFFFF" w:themeColor="background1"/>
                <w:sz w:val="20"/>
                <w:szCs w:val="20"/>
              </w:rPr>
              <w:t>rice</w:t>
            </w:r>
          </w:p>
        </w:tc>
      </w:tr>
      <w:tr w:rsidR="001E42F7" w:rsidRPr="00FB69AC" w14:paraId="368DD009" w14:textId="77777777" w:rsidTr="00F27974">
        <w:trPr>
          <w:trHeight w:val="315"/>
        </w:trPr>
        <w:tc>
          <w:tcPr>
            <w:tcW w:w="4099" w:type="dxa"/>
            <w:shd w:val="clear" w:color="auto" w:fill="FFFFFF" w:themeFill="background1"/>
          </w:tcPr>
          <w:p w14:paraId="26BF9E32" w14:textId="77777777" w:rsidR="001E42F7" w:rsidRPr="00DE74D2" w:rsidRDefault="001E42F7" w:rsidP="00F27974">
            <w:pPr>
              <w:rPr>
                <w:bCs/>
                <w:sz w:val="20"/>
                <w:szCs w:val="20"/>
              </w:rPr>
            </w:pPr>
            <w:r w:rsidRPr="00DE74D2">
              <w:rPr>
                <w:bCs/>
                <w:sz w:val="20"/>
                <w:szCs w:val="20"/>
              </w:rPr>
              <w:t>Handheld LED Magnifier</w:t>
            </w:r>
          </w:p>
        </w:tc>
        <w:tc>
          <w:tcPr>
            <w:tcW w:w="4099" w:type="dxa"/>
            <w:shd w:val="clear" w:color="auto" w:fill="FFFFFF" w:themeFill="background1"/>
            <w:noWrap/>
          </w:tcPr>
          <w:p w14:paraId="20249EE9" w14:textId="77777777" w:rsidR="001E42F7" w:rsidRPr="00DE74D2" w:rsidRDefault="001E42F7" w:rsidP="00F27974">
            <w:pPr>
              <w:rPr>
                <w:bCs/>
                <w:sz w:val="20"/>
                <w:szCs w:val="20"/>
              </w:rPr>
            </w:pPr>
            <w:r w:rsidRPr="00DE74D2">
              <w:rPr>
                <w:bCs/>
                <w:sz w:val="20"/>
                <w:szCs w:val="20"/>
              </w:rPr>
              <w:t>Eschenbach Mobilux 3.5X</w:t>
            </w:r>
          </w:p>
        </w:tc>
        <w:tc>
          <w:tcPr>
            <w:tcW w:w="1195" w:type="dxa"/>
            <w:shd w:val="clear" w:color="auto" w:fill="FFFFFF" w:themeFill="background1"/>
            <w:noWrap/>
          </w:tcPr>
          <w:p w14:paraId="37F113B5" w14:textId="77777777" w:rsidR="001E42F7" w:rsidRPr="00DE74D2" w:rsidRDefault="001E42F7" w:rsidP="00F27974">
            <w:pPr>
              <w:rPr>
                <w:bCs/>
                <w:sz w:val="20"/>
                <w:szCs w:val="20"/>
              </w:rPr>
            </w:pPr>
            <w:r w:rsidRPr="00DE74D2">
              <w:rPr>
                <w:bCs/>
                <w:sz w:val="20"/>
                <w:szCs w:val="20"/>
              </w:rPr>
              <w:t>$172.00</w:t>
            </w:r>
          </w:p>
        </w:tc>
      </w:tr>
      <w:tr w:rsidR="001E42F7" w:rsidRPr="00FB69AC" w14:paraId="25ABE63F" w14:textId="77777777" w:rsidTr="00F27974">
        <w:trPr>
          <w:trHeight w:val="315"/>
        </w:trPr>
        <w:tc>
          <w:tcPr>
            <w:tcW w:w="4099" w:type="dxa"/>
            <w:shd w:val="clear" w:color="auto" w:fill="FFFFFF" w:themeFill="background1"/>
          </w:tcPr>
          <w:p w14:paraId="7972B578" w14:textId="77777777" w:rsidR="001E42F7" w:rsidRPr="00DE74D2" w:rsidRDefault="001E42F7" w:rsidP="00F27974">
            <w:pPr>
              <w:rPr>
                <w:bCs/>
                <w:sz w:val="20"/>
                <w:szCs w:val="20"/>
              </w:rPr>
            </w:pPr>
            <w:r w:rsidRPr="00DE74D2">
              <w:rPr>
                <w:bCs/>
                <w:sz w:val="20"/>
                <w:szCs w:val="20"/>
              </w:rPr>
              <w:t xml:space="preserve">Table lamp (variable lighting levels) </w:t>
            </w:r>
          </w:p>
        </w:tc>
        <w:tc>
          <w:tcPr>
            <w:tcW w:w="4099" w:type="dxa"/>
            <w:shd w:val="clear" w:color="auto" w:fill="FFFFFF" w:themeFill="background1"/>
            <w:noWrap/>
          </w:tcPr>
          <w:p w14:paraId="40A8B262" w14:textId="77777777" w:rsidR="001E42F7" w:rsidRPr="00DE74D2" w:rsidRDefault="001E42F7" w:rsidP="00F27974">
            <w:pPr>
              <w:rPr>
                <w:bCs/>
                <w:sz w:val="20"/>
                <w:szCs w:val="20"/>
              </w:rPr>
            </w:pPr>
            <w:r w:rsidRPr="00DE74D2">
              <w:rPr>
                <w:bCs/>
                <w:sz w:val="20"/>
                <w:szCs w:val="20"/>
              </w:rPr>
              <w:t>Dimmable LED desk lamp</w:t>
            </w:r>
          </w:p>
        </w:tc>
        <w:tc>
          <w:tcPr>
            <w:tcW w:w="1195" w:type="dxa"/>
            <w:shd w:val="clear" w:color="auto" w:fill="FFFFFF" w:themeFill="background1"/>
            <w:noWrap/>
          </w:tcPr>
          <w:p w14:paraId="22D021C2" w14:textId="77777777" w:rsidR="001E42F7" w:rsidRPr="00DE74D2" w:rsidRDefault="001E42F7" w:rsidP="00F27974">
            <w:pPr>
              <w:rPr>
                <w:bCs/>
                <w:sz w:val="20"/>
                <w:szCs w:val="20"/>
              </w:rPr>
            </w:pPr>
            <w:r w:rsidRPr="00DE74D2">
              <w:rPr>
                <w:bCs/>
                <w:sz w:val="20"/>
                <w:szCs w:val="20"/>
              </w:rPr>
              <w:t>$145.00</w:t>
            </w:r>
          </w:p>
        </w:tc>
      </w:tr>
      <w:tr w:rsidR="001E42F7" w:rsidRPr="00AD42F1" w14:paraId="676AE2B2" w14:textId="77777777" w:rsidTr="00F27974">
        <w:trPr>
          <w:trHeight w:val="315"/>
        </w:trPr>
        <w:tc>
          <w:tcPr>
            <w:tcW w:w="4099" w:type="dxa"/>
          </w:tcPr>
          <w:p w14:paraId="4EACBF66" w14:textId="77777777" w:rsidR="001E42F7" w:rsidRPr="00AD42F1" w:rsidRDefault="001E42F7" w:rsidP="00F27974">
            <w:pPr>
              <w:rPr>
                <w:sz w:val="20"/>
                <w:szCs w:val="20"/>
              </w:rPr>
            </w:pPr>
            <w:r w:rsidRPr="00AD42F1">
              <w:rPr>
                <w:sz w:val="20"/>
                <w:szCs w:val="20"/>
              </w:rPr>
              <w:t>Magnifying Lamp ≤2x</w:t>
            </w:r>
          </w:p>
        </w:tc>
        <w:tc>
          <w:tcPr>
            <w:tcW w:w="4099" w:type="dxa"/>
            <w:noWrap/>
            <w:hideMark/>
          </w:tcPr>
          <w:p w14:paraId="543794F4" w14:textId="77777777" w:rsidR="001E42F7" w:rsidRPr="00AD42F1" w:rsidRDefault="001E42F7" w:rsidP="00F27974">
            <w:pPr>
              <w:rPr>
                <w:sz w:val="20"/>
                <w:szCs w:val="20"/>
              </w:rPr>
            </w:pPr>
            <w:r w:rsidRPr="00AD42F1">
              <w:rPr>
                <w:sz w:val="20"/>
                <w:szCs w:val="20"/>
              </w:rPr>
              <w:t>LED Floor Stand Mag 2X</w:t>
            </w:r>
          </w:p>
        </w:tc>
        <w:tc>
          <w:tcPr>
            <w:tcW w:w="1195" w:type="dxa"/>
            <w:noWrap/>
            <w:hideMark/>
          </w:tcPr>
          <w:p w14:paraId="735A39DE" w14:textId="77777777" w:rsidR="001E42F7" w:rsidRPr="00AD42F1" w:rsidRDefault="001E42F7" w:rsidP="00F27974">
            <w:pPr>
              <w:rPr>
                <w:sz w:val="20"/>
                <w:szCs w:val="20"/>
              </w:rPr>
            </w:pPr>
            <w:r w:rsidRPr="00AD42F1">
              <w:rPr>
                <w:sz w:val="20"/>
                <w:szCs w:val="20"/>
              </w:rPr>
              <w:t>$62.00</w:t>
            </w:r>
          </w:p>
        </w:tc>
      </w:tr>
      <w:tr w:rsidR="001E42F7" w:rsidRPr="00AD42F1" w14:paraId="37E5AB10" w14:textId="77777777" w:rsidTr="00F27974">
        <w:trPr>
          <w:trHeight w:val="315"/>
        </w:trPr>
        <w:tc>
          <w:tcPr>
            <w:tcW w:w="4099" w:type="dxa"/>
          </w:tcPr>
          <w:p w14:paraId="0A87B9FB" w14:textId="77777777" w:rsidR="001E42F7" w:rsidRPr="00AD42F1" w:rsidRDefault="001E42F7" w:rsidP="00F27974">
            <w:pPr>
              <w:rPr>
                <w:sz w:val="20"/>
                <w:szCs w:val="20"/>
              </w:rPr>
            </w:pPr>
            <w:r w:rsidRPr="00AD42F1">
              <w:rPr>
                <w:sz w:val="20"/>
                <w:szCs w:val="20"/>
              </w:rPr>
              <w:t>Portable Handheld Magnifier ≤3.5-6x</w:t>
            </w:r>
          </w:p>
        </w:tc>
        <w:tc>
          <w:tcPr>
            <w:tcW w:w="4099" w:type="dxa"/>
            <w:noWrap/>
            <w:hideMark/>
          </w:tcPr>
          <w:p w14:paraId="13F69A91" w14:textId="77777777" w:rsidR="001E42F7" w:rsidRPr="00AD42F1" w:rsidRDefault="001E42F7" w:rsidP="00F27974">
            <w:pPr>
              <w:rPr>
                <w:sz w:val="20"/>
                <w:szCs w:val="20"/>
              </w:rPr>
            </w:pPr>
            <w:r w:rsidRPr="00AD42F1">
              <w:rPr>
                <w:sz w:val="20"/>
                <w:szCs w:val="20"/>
              </w:rPr>
              <w:t>Schweizer Okolux Mobile Plus</w:t>
            </w:r>
          </w:p>
        </w:tc>
        <w:tc>
          <w:tcPr>
            <w:tcW w:w="1195" w:type="dxa"/>
            <w:noWrap/>
            <w:hideMark/>
          </w:tcPr>
          <w:p w14:paraId="769471FB" w14:textId="77777777" w:rsidR="001E42F7" w:rsidRPr="00AD42F1" w:rsidRDefault="001E42F7" w:rsidP="00F27974">
            <w:pPr>
              <w:rPr>
                <w:sz w:val="20"/>
                <w:szCs w:val="20"/>
              </w:rPr>
            </w:pPr>
            <w:r w:rsidRPr="00AD42F1">
              <w:rPr>
                <w:sz w:val="20"/>
                <w:szCs w:val="20"/>
              </w:rPr>
              <w:t>$57.00</w:t>
            </w:r>
          </w:p>
        </w:tc>
      </w:tr>
      <w:tr w:rsidR="001E42F7" w:rsidRPr="00AD42F1" w14:paraId="2BE9DC4F" w14:textId="77777777" w:rsidTr="00F27974">
        <w:trPr>
          <w:trHeight w:val="315"/>
        </w:trPr>
        <w:tc>
          <w:tcPr>
            <w:tcW w:w="4099" w:type="dxa"/>
          </w:tcPr>
          <w:p w14:paraId="00E0487A" w14:textId="77777777" w:rsidR="001E42F7" w:rsidRPr="00AD42F1" w:rsidRDefault="001E42F7" w:rsidP="00F27974">
            <w:pPr>
              <w:rPr>
                <w:sz w:val="20"/>
                <w:szCs w:val="20"/>
              </w:rPr>
            </w:pPr>
            <w:r w:rsidRPr="00AD42F1">
              <w:rPr>
                <w:sz w:val="20"/>
                <w:szCs w:val="20"/>
              </w:rPr>
              <w:t>Assistance Safely Pouring Liquid</w:t>
            </w:r>
          </w:p>
        </w:tc>
        <w:tc>
          <w:tcPr>
            <w:tcW w:w="4099" w:type="dxa"/>
            <w:noWrap/>
            <w:hideMark/>
          </w:tcPr>
          <w:p w14:paraId="3749249F" w14:textId="77777777" w:rsidR="001E42F7" w:rsidRPr="00AD42F1" w:rsidRDefault="001E42F7" w:rsidP="00F27974">
            <w:pPr>
              <w:rPr>
                <w:sz w:val="20"/>
                <w:szCs w:val="20"/>
              </w:rPr>
            </w:pPr>
            <w:r w:rsidRPr="00AD42F1">
              <w:rPr>
                <w:sz w:val="20"/>
                <w:szCs w:val="20"/>
              </w:rPr>
              <w:t>Liquid Level Finder - Dual</w:t>
            </w:r>
          </w:p>
        </w:tc>
        <w:tc>
          <w:tcPr>
            <w:tcW w:w="1195" w:type="dxa"/>
            <w:noWrap/>
            <w:hideMark/>
          </w:tcPr>
          <w:p w14:paraId="0C0EB95D" w14:textId="77777777" w:rsidR="001E42F7" w:rsidRPr="00AD42F1" w:rsidRDefault="001E42F7" w:rsidP="00F27974">
            <w:pPr>
              <w:rPr>
                <w:sz w:val="20"/>
                <w:szCs w:val="20"/>
              </w:rPr>
            </w:pPr>
            <w:r w:rsidRPr="00AD42F1">
              <w:rPr>
                <w:sz w:val="20"/>
                <w:szCs w:val="20"/>
              </w:rPr>
              <w:t>$35.00</w:t>
            </w:r>
          </w:p>
        </w:tc>
      </w:tr>
      <w:tr w:rsidR="001E42F7" w:rsidRPr="00AD42F1" w14:paraId="680E4052" w14:textId="77777777" w:rsidTr="00F27974">
        <w:trPr>
          <w:trHeight w:val="315"/>
        </w:trPr>
        <w:tc>
          <w:tcPr>
            <w:tcW w:w="4099" w:type="dxa"/>
          </w:tcPr>
          <w:p w14:paraId="45B58D07" w14:textId="77777777" w:rsidR="001E42F7" w:rsidRPr="00AD42F1" w:rsidRDefault="001E42F7" w:rsidP="00F27974">
            <w:pPr>
              <w:rPr>
                <w:sz w:val="20"/>
                <w:szCs w:val="20"/>
              </w:rPr>
            </w:pPr>
            <w:r>
              <w:rPr>
                <w:sz w:val="20"/>
                <w:szCs w:val="20"/>
              </w:rPr>
              <w:t xml:space="preserve">Fluorescent desk lamp with clamp </w:t>
            </w:r>
          </w:p>
        </w:tc>
        <w:tc>
          <w:tcPr>
            <w:tcW w:w="4099" w:type="dxa"/>
            <w:noWrap/>
          </w:tcPr>
          <w:p w14:paraId="60F02693" w14:textId="77777777" w:rsidR="001E42F7" w:rsidRPr="00AD42F1" w:rsidRDefault="001E42F7" w:rsidP="00F27974">
            <w:pPr>
              <w:rPr>
                <w:sz w:val="20"/>
                <w:szCs w:val="20"/>
              </w:rPr>
            </w:pPr>
            <w:r>
              <w:rPr>
                <w:sz w:val="20"/>
                <w:szCs w:val="20"/>
              </w:rPr>
              <w:t>Daylight PL</w:t>
            </w:r>
          </w:p>
        </w:tc>
        <w:tc>
          <w:tcPr>
            <w:tcW w:w="1195" w:type="dxa"/>
            <w:noWrap/>
          </w:tcPr>
          <w:p w14:paraId="7804B7DB" w14:textId="77777777" w:rsidR="001E42F7" w:rsidRPr="00AD42F1" w:rsidRDefault="001E42F7" w:rsidP="00F27974">
            <w:pPr>
              <w:rPr>
                <w:sz w:val="20"/>
                <w:szCs w:val="20"/>
              </w:rPr>
            </w:pPr>
            <w:r>
              <w:rPr>
                <w:sz w:val="20"/>
                <w:szCs w:val="20"/>
              </w:rPr>
              <w:t>$105.00</w:t>
            </w:r>
          </w:p>
        </w:tc>
      </w:tr>
      <w:tr w:rsidR="001E42F7" w:rsidRPr="00AD42F1" w14:paraId="4DC417D9" w14:textId="77777777" w:rsidTr="00F27974">
        <w:trPr>
          <w:trHeight w:val="315"/>
        </w:trPr>
        <w:tc>
          <w:tcPr>
            <w:tcW w:w="4099" w:type="dxa"/>
          </w:tcPr>
          <w:p w14:paraId="05C67C0F" w14:textId="77777777" w:rsidR="001E42F7" w:rsidRDefault="001E42F7" w:rsidP="00F27974">
            <w:pPr>
              <w:rPr>
                <w:sz w:val="20"/>
                <w:szCs w:val="20"/>
              </w:rPr>
            </w:pPr>
            <w:r>
              <w:rPr>
                <w:sz w:val="20"/>
                <w:szCs w:val="20"/>
              </w:rPr>
              <w:t>Stand for handheld magnifiers</w:t>
            </w:r>
          </w:p>
        </w:tc>
        <w:tc>
          <w:tcPr>
            <w:tcW w:w="4099" w:type="dxa"/>
            <w:noWrap/>
          </w:tcPr>
          <w:p w14:paraId="2A91FF00" w14:textId="77777777" w:rsidR="001E42F7" w:rsidRDefault="001E42F7" w:rsidP="00F27974">
            <w:pPr>
              <w:rPr>
                <w:sz w:val="20"/>
                <w:szCs w:val="20"/>
              </w:rPr>
            </w:pPr>
            <w:r>
              <w:rPr>
                <w:sz w:val="20"/>
                <w:szCs w:val="20"/>
              </w:rPr>
              <w:t xml:space="preserve">Eschenbach Mobase </w:t>
            </w:r>
          </w:p>
        </w:tc>
        <w:tc>
          <w:tcPr>
            <w:tcW w:w="1195" w:type="dxa"/>
            <w:noWrap/>
          </w:tcPr>
          <w:p w14:paraId="3DF07BA4" w14:textId="77777777" w:rsidR="001E42F7" w:rsidRDefault="001E42F7" w:rsidP="00F27974">
            <w:pPr>
              <w:rPr>
                <w:sz w:val="20"/>
                <w:szCs w:val="20"/>
              </w:rPr>
            </w:pPr>
            <w:r>
              <w:rPr>
                <w:sz w:val="20"/>
                <w:szCs w:val="20"/>
              </w:rPr>
              <w:t>$31.00</w:t>
            </w:r>
          </w:p>
        </w:tc>
      </w:tr>
      <w:tr w:rsidR="001E42F7" w:rsidRPr="00AD42F1" w14:paraId="3B6B3D8C" w14:textId="77777777" w:rsidTr="00F27974">
        <w:trPr>
          <w:trHeight w:val="315"/>
        </w:trPr>
        <w:tc>
          <w:tcPr>
            <w:tcW w:w="4099" w:type="dxa"/>
          </w:tcPr>
          <w:p w14:paraId="76D3AE6E" w14:textId="77777777" w:rsidR="001E42F7" w:rsidRDefault="001E42F7" w:rsidP="00F27974">
            <w:pPr>
              <w:rPr>
                <w:sz w:val="20"/>
                <w:szCs w:val="20"/>
              </w:rPr>
            </w:pPr>
            <w:r>
              <w:rPr>
                <w:sz w:val="20"/>
                <w:szCs w:val="20"/>
              </w:rPr>
              <w:t>75 CM Floor Stand (converts table lamps to floor lamps)</w:t>
            </w:r>
          </w:p>
        </w:tc>
        <w:tc>
          <w:tcPr>
            <w:tcW w:w="4099" w:type="dxa"/>
            <w:noWrap/>
          </w:tcPr>
          <w:p w14:paraId="31D7A08E" w14:textId="77777777" w:rsidR="001E42F7" w:rsidRDefault="001E42F7" w:rsidP="00F27974">
            <w:pPr>
              <w:rPr>
                <w:sz w:val="20"/>
                <w:szCs w:val="20"/>
              </w:rPr>
            </w:pPr>
            <w:r>
              <w:rPr>
                <w:sz w:val="20"/>
                <w:szCs w:val="20"/>
              </w:rPr>
              <w:t>LS 9</w:t>
            </w:r>
          </w:p>
        </w:tc>
        <w:tc>
          <w:tcPr>
            <w:tcW w:w="1195" w:type="dxa"/>
            <w:noWrap/>
          </w:tcPr>
          <w:p w14:paraId="38374552" w14:textId="77777777" w:rsidR="001E42F7" w:rsidRDefault="001E42F7" w:rsidP="00F27974">
            <w:pPr>
              <w:rPr>
                <w:sz w:val="20"/>
                <w:szCs w:val="20"/>
              </w:rPr>
            </w:pPr>
            <w:r>
              <w:rPr>
                <w:sz w:val="20"/>
                <w:szCs w:val="20"/>
              </w:rPr>
              <w:t>$132.00</w:t>
            </w:r>
          </w:p>
        </w:tc>
      </w:tr>
      <w:tr w:rsidR="001E42F7" w:rsidRPr="00AD42F1" w14:paraId="566B2A0C" w14:textId="77777777" w:rsidTr="00F27974">
        <w:trPr>
          <w:trHeight w:val="315"/>
        </w:trPr>
        <w:tc>
          <w:tcPr>
            <w:tcW w:w="4099" w:type="dxa"/>
          </w:tcPr>
          <w:p w14:paraId="1C24E6C6" w14:textId="77777777" w:rsidR="001E42F7" w:rsidRPr="00AD42F1" w:rsidRDefault="001E42F7" w:rsidP="00F27974">
            <w:pPr>
              <w:rPr>
                <w:sz w:val="20"/>
                <w:szCs w:val="20"/>
              </w:rPr>
            </w:pPr>
            <w:r w:rsidRPr="00AD42F1">
              <w:rPr>
                <w:sz w:val="20"/>
                <w:szCs w:val="20"/>
              </w:rPr>
              <w:t>Talking Clock</w:t>
            </w:r>
          </w:p>
        </w:tc>
        <w:tc>
          <w:tcPr>
            <w:tcW w:w="4099" w:type="dxa"/>
            <w:noWrap/>
            <w:hideMark/>
          </w:tcPr>
          <w:p w14:paraId="4EB5F546" w14:textId="77777777" w:rsidR="001E42F7" w:rsidRPr="00AD42F1" w:rsidRDefault="001E42F7" w:rsidP="00F27974">
            <w:pPr>
              <w:rPr>
                <w:sz w:val="20"/>
                <w:szCs w:val="20"/>
              </w:rPr>
            </w:pPr>
            <w:r w:rsidRPr="00AD42F1">
              <w:rPr>
                <w:sz w:val="20"/>
                <w:szCs w:val="20"/>
              </w:rPr>
              <w:t>Clock - Cube Talking</w:t>
            </w:r>
          </w:p>
        </w:tc>
        <w:tc>
          <w:tcPr>
            <w:tcW w:w="1195" w:type="dxa"/>
            <w:noWrap/>
            <w:hideMark/>
          </w:tcPr>
          <w:p w14:paraId="358F52E0" w14:textId="77777777" w:rsidR="001E42F7" w:rsidRPr="00AD42F1" w:rsidRDefault="001E42F7" w:rsidP="00F27974">
            <w:pPr>
              <w:rPr>
                <w:sz w:val="20"/>
                <w:szCs w:val="20"/>
              </w:rPr>
            </w:pPr>
            <w:r w:rsidRPr="00AD42F1">
              <w:rPr>
                <w:sz w:val="20"/>
                <w:szCs w:val="20"/>
              </w:rPr>
              <w:t>$93.00</w:t>
            </w:r>
          </w:p>
        </w:tc>
      </w:tr>
      <w:tr w:rsidR="001E42F7" w:rsidRPr="00AD42F1" w14:paraId="5F0687B1" w14:textId="77777777" w:rsidTr="00F27974">
        <w:trPr>
          <w:trHeight w:val="315"/>
        </w:trPr>
        <w:tc>
          <w:tcPr>
            <w:tcW w:w="4099" w:type="dxa"/>
          </w:tcPr>
          <w:p w14:paraId="683903EB" w14:textId="77777777" w:rsidR="001E42F7" w:rsidRPr="00AD42F1" w:rsidRDefault="001E42F7" w:rsidP="00F27974">
            <w:pPr>
              <w:rPr>
                <w:sz w:val="20"/>
                <w:szCs w:val="20"/>
              </w:rPr>
            </w:pPr>
            <w:r w:rsidRPr="00AD42F1">
              <w:rPr>
                <w:sz w:val="20"/>
                <w:szCs w:val="20"/>
              </w:rPr>
              <w:t>Portable Magnification Lamp ≤2x</w:t>
            </w:r>
          </w:p>
        </w:tc>
        <w:tc>
          <w:tcPr>
            <w:tcW w:w="4099" w:type="dxa"/>
            <w:noWrap/>
            <w:hideMark/>
          </w:tcPr>
          <w:p w14:paraId="6E584E59" w14:textId="77777777" w:rsidR="001E42F7" w:rsidRPr="00AD42F1" w:rsidRDefault="001E42F7" w:rsidP="00F27974">
            <w:pPr>
              <w:rPr>
                <w:sz w:val="20"/>
                <w:szCs w:val="20"/>
              </w:rPr>
            </w:pPr>
            <w:r w:rsidRPr="00AD42F1">
              <w:rPr>
                <w:sz w:val="20"/>
                <w:szCs w:val="20"/>
              </w:rPr>
              <w:t>Portable Desk-Top 2X Mag Lamp</w:t>
            </w:r>
          </w:p>
        </w:tc>
        <w:tc>
          <w:tcPr>
            <w:tcW w:w="1195" w:type="dxa"/>
            <w:noWrap/>
            <w:hideMark/>
          </w:tcPr>
          <w:p w14:paraId="4CC28F76" w14:textId="77777777" w:rsidR="001E42F7" w:rsidRPr="00AD42F1" w:rsidRDefault="001E42F7" w:rsidP="00F27974">
            <w:pPr>
              <w:rPr>
                <w:sz w:val="20"/>
                <w:szCs w:val="20"/>
              </w:rPr>
            </w:pPr>
            <w:r w:rsidRPr="00AD42F1">
              <w:rPr>
                <w:sz w:val="20"/>
                <w:szCs w:val="20"/>
              </w:rPr>
              <w:t>$42.00</w:t>
            </w:r>
          </w:p>
        </w:tc>
      </w:tr>
      <w:tr w:rsidR="001E42F7" w:rsidRPr="00AD42F1" w14:paraId="3E0BBB82" w14:textId="77777777" w:rsidTr="00F27974">
        <w:trPr>
          <w:trHeight w:val="315"/>
        </w:trPr>
        <w:tc>
          <w:tcPr>
            <w:tcW w:w="4099" w:type="dxa"/>
          </w:tcPr>
          <w:p w14:paraId="18908BBD" w14:textId="77777777" w:rsidR="001E42F7" w:rsidRPr="00AD42F1" w:rsidRDefault="001E42F7" w:rsidP="00F27974">
            <w:pPr>
              <w:rPr>
                <w:sz w:val="20"/>
                <w:szCs w:val="20"/>
              </w:rPr>
            </w:pPr>
            <w:r>
              <w:rPr>
                <w:sz w:val="20"/>
                <w:szCs w:val="20"/>
              </w:rPr>
              <w:t>Illuminated Stand Magnifiers</w:t>
            </w:r>
          </w:p>
        </w:tc>
        <w:tc>
          <w:tcPr>
            <w:tcW w:w="4099" w:type="dxa"/>
            <w:noWrap/>
          </w:tcPr>
          <w:p w14:paraId="7C4D7D7D" w14:textId="77777777" w:rsidR="001E42F7" w:rsidRPr="00AD42F1" w:rsidRDefault="001E42F7" w:rsidP="00F27974">
            <w:pPr>
              <w:rPr>
                <w:sz w:val="20"/>
                <w:szCs w:val="20"/>
              </w:rPr>
            </w:pPr>
            <w:r>
              <w:rPr>
                <w:sz w:val="20"/>
                <w:szCs w:val="20"/>
              </w:rPr>
              <w:t>Eschenbach Makrolux Brightfield 2</w:t>
            </w:r>
          </w:p>
        </w:tc>
        <w:tc>
          <w:tcPr>
            <w:tcW w:w="1195" w:type="dxa"/>
            <w:noWrap/>
          </w:tcPr>
          <w:p w14:paraId="43D42E94" w14:textId="77777777" w:rsidR="001E42F7" w:rsidRPr="00AD42F1" w:rsidRDefault="001E42F7" w:rsidP="00F27974">
            <w:pPr>
              <w:rPr>
                <w:sz w:val="20"/>
                <w:szCs w:val="20"/>
              </w:rPr>
            </w:pPr>
            <w:r>
              <w:rPr>
                <w:sz w:val="20"/>
                <w:szCs w:val="20"/>
              </w:rPr>
              <w:t>$200.000</w:t>
            </w:r>
          </w:p>
        </w:tc>
      </w:tr>
      <w:tr w:rsidR="001E42F7" w:rsidRPr="00AD42F1" w14:paraId="507BE8E9" w14:textId="77777777" w:rsidTr="00F27974">
        <w:trPr>
          <w:trHeight w:val="315"/>
        </w:trPr>
        <w:tc>
          <w:tcPr>
            <w:tcW w:w="4099" w:type="dxa"/>
          </w:tcPr>
          <w:p w14:paraId="6325389A" w14:textId="77777777" w:rsidR="001E42F7" w:rsidRPr="00AD42F1" w:rsidRDefault="001E42F7" w:rsidP="00F27974">
            <w:pPr>
              <w:rPr>
                <w:sz w:val="20"/>
                <w:szCs w:val="20"/>
              </w:rPr>
            </w:pPr>
            <w:r w:rsidRPr="00AD42F1">
              <w:rPr>
                <w:sz w:val="20"/>
                <w:szCs w:val="20"/>
              </w:rPr>
              <w:t>Portable Personal Alarm for Falls/Emergencies</w:t>
            </w:r>
          </w:p>
        </w:tc>
        <w:tc>
          <w:tcPr>
            <w:tcW w:w="4099" w:type="dxa"/>
            <w:noWrap/>
            <w:hideMark/>
          </w:tcPr>
          <w:p w14:paraId="25F945A3" w14:textId="77777777" w:rsidR="001E42F7" w:rsidRPr="00AD42F1" w:rsidRDefault="001E42F7" w:rsidP="00F27974">
            <w:pPr>
              <w:rPr>
                <w:sz w:val="20"/>
                <w:szCs w:val="20"/>
              </w:rPr>
            </w:pPr>
            <w:r w:rsidRPr="00AD42F1">
              <w:rPr>
                <w:sz w:val="20"/>
                <w:szCs w:val="20"/>
              </w:rPr>
              <w:t>Live Life 4GX Mobile Medical Alert</w:t>
            </w:r>
          </w:p>
        </w:tc>
        <w:tc>
          <w:tcPr>
            <w:tcW w:w="1195" w:type="dxa"/>
            <w:noWrap/>
            <w:hideMark/>
          </w:tcPr>
          <w:p w14:paraId="66F141F3" w14:textId="77777777" w:rsidR="001E42F7" w:rsidRPr="00AD42F1" w:rsidRDefault="001E42F7" w:rsidP="00F27974">
            <w:pPr>
              <w:rPr>
                <w:sz w:val="20"/>
                <w:szCs w:val="20"/>
              </w:rPr>
            </w:pPr>
            <w:r w:rsidRPr="00AD42F1">
              <w:rPr>
                <w:sz w:val="20"/>
                <w:szCs w:val="20"/>
              </w:rPr>
              <w:t>$527.00</w:t>
            </w:r>
          </w:p>
        </w:tc>
      </w:tr>
      <w:tr w:rsidR="001E42F7" w:rsidRPr="00AD42F1" w14:paraId="6121A890" w14:textId="77777777" w:rsidTr="00F27974">
        <w:trPr>
          <w:trHeight w:val="315"/>
        </w:trPr>
        <w:tc>
          <w:tcPr>
            <w:tcW w:w="4099" w:type="dxa"/>
          </w:tcPr>
          <w:p w14:paraId="3CA3001F" w14:textId="77777777" w:rsidR="001E42F7" w:rsidRPr="00AD42F1" w:rsidRDefault="001E42F7" w:rsidP="00F27974">
            <w:pPr>
              <w:rPr>
                <w:sz w:val="20"/>
                <w:szCs w:val="20"/>
              </w:rPr>
            </w:pPr>
            <w:r w:rsidRPr="00AD42F1">
              <w:rPr>
                <w:sz w:val="20"/>
                <w:szCs w:val="20"/>
              </w:rPr>
              <w:t>Handheld Video Magnifier ≤30x</w:t>
            </w:r>
          </w:p>
        </w:tc>
        <w:tc>
          <w:tcPr>
            <w:tcW w:w="4099" w:type="dxa"/>
            <w:noWrap/>
            <w:hideMark/>
          </w:tcPr>
          <w:p w14:paraId="5448780E" w14:textId="77777777" w:rsidR="001E42F7" w:rsidRPr="00AD42F1" w:rsidRDefault="001E42F7" w:rsidP="00F27974">
            <w:pPr>
              <w:rPr>
                <w:sz w:val="20"/>
                <w:szCs w:val="20"/>
              </w:rPr>
            </w:pPr>
            <w:r w:rsidRPr="00AD42F1">
              <w:rPr>
                <w:sz w:val="20"/>
                <w:szCs w:val="20"/>
              </w:rPr>
              <w:t>Explore 8, Electronic Handheld Mag</w:t>
            </w:r>
          </w:p>
        </w:tc>
        <w:tc>
          <w:tcPr>
            <w:tcW w:w="1195" w:type="dxa"/>
            <w:noWrap/>
            <w:hideMark/>
          </w:tcPr>
          <w:p w14:paraId="7B32A645" w14:textId="77777777" w:rsidR="001E42F7" w:rsidRPr="00AD42F1" w:rsidRDefault="001E42F7" w:rsidP="00F27974">
            <w:pPr>
              <w:rPr>
                <w:sz w:val="20"/>
                <w:szCs w:val="20"/>
              </w:rPr>
            </w:pPr>
            <w:r w:rsidRPr="00AD42F1">
              <w:rPr>
                <w:sz w:val="20"/>
                <w:szCs w:val="20"/>
              </w:rPr>
              <w:t>$1,467.00</w:t>
            </w:r>
          </w:p>
        </w:tc>
      </w:tr>
      <w:tr w:rsidR="001E42F7" w:rsidRPr="00AD42F1" w14:paraId="605C5377" w14:textId="77777777" w:rsidTr="00F27974">
        <w:trPr>
          <w:trHeight w:val="315"/>
        </w:trPr>
        <w:tc>
          <w:tcPr>
            <w:tcW w:w="4099" w:type="dxa"/>
          </w:tcPr>
          <w:p w14:paraId="634C941F" w14:textId="77777777" w:rsidR="001E42F7" w:rsidRPr="00AD42F1" w:rsidRDefault="001E42F7" w:rsidP="00F27974">
            <w:pPr>
              <w:rPr>
                <w:sz w:val="20"/>
                <w:szCs w:val="20"/>
              </w:rPr>
            </w:pPr>
            <w:r w:rsidRPr="00AD42F1">
              <w:rPr>
                <w:sz w:val="20"/>
                <w:szCs w:val="20"/>
              </w:rPr>
              <w:t>Accessible Landline Telephone</w:t>
            </w:r>
          </w:p>
        </w:tc>
        <w:tc>
          <w:tcPr>
            <w:tcW w:w="4099" w:type="dxa"/>
            <w:noWrap/>
            <w:hideMark/>
          </w:tcPr>
          <w:p w14:paraId="0BDB541D" w14:textId="77777777" w:rsidR="001E42F7" w:rsidRPr="00AD42F1" w:rsidRDefault="001E42F7" w:rsidP="00F27974">
            <w:pPr>
              <w:rPr>
                <w:sz w:val="20"/>
                <w:szCs w:val="20"/>
              </w:rPr>
            </w:pPr>
            <w:r w:rsidRPr="00AD42F1">
              <w:rPr>
                <w:sz w:val="20"/>
                <w:szCs w:val="20"/>
              </w:rPr>
              <w:t>Telephone Oricom Amplified Combo with Answer Machine</w:t>
            </w:r>
          </w:p>
        </w:tc>
        <w:tc>
          <w:tcPr>
            <w:tcW w:w="1195" w:type="dxa"/>
            <w:noWrap/>
            <w:hideMark/>
          </w:tcPr>
          <w:p w14:paraId="783690C2" w14:textId="77777777" w:rsidR="001E42F7" w:rsidRPr="00AD42F1" w:rsidRDefault="001E42F7" w:rsidP="00F27974">
            <w:pPr>
              <w:rPr>
                <w:sz w:val="20"/>
                <w:szCs w:val="20"/>
              </w:rPr>
            </w:pPr>
            <w:r w:rsidRPr="00AD42F1">
              <w:rPr>
                <w:sz w:val="20"/>
                <w:szCs w:val="20"/>
              </w:rPr>
              <w:t>$229.00</w:t>
            </w:r>
          </w:p>
        </w:tc>
      </w:tr>
      <w:tr w:rsidR="001E42F7" w:rsidRPr="00AD42F1" w14:paraId="32AA18D9" w14:textId="77777777" w:rsidTr="00F27974">
        <w:trPr>
          <w:trHeight w:val="315"/>
        </w:trPr>
        <w:tc>
          <w:tcPr>
            <w:tcW w:w="4099" w:type="dxa"/>
          </w:tcPr>
          <w:p w14:paraId="50FAF923" w14:textId="77777777" w:rsidR="001E42F7" w:rsidRPr="00AD42F1" w:rsidRDefault="001E42F7" w:rsidP="00F27974">
            <w:pPr>
              <w:rPr>
                <w:sz w:val="20"/>
                <w:szCs w:val="20"/>
              </w:rPr>
            </w:pPr>
            <w:r w:rsidRPr="00AD42F1">
              <w:rPr>
                <w:sz w:val="20"/>
                <w:szCs w:val="20"/>
              </w:rPr>
              <w:t>Magnification Glasses for TV Use ≤2.1x</w:t>
            </w:r>
          </w:p>
        </w:tc>
        <w:tc>
          <w:tcPr>
            <w:tcW w:w="4099" w:type="dxa"/>
            <w:noWrap/>
            <w:hideMark/>
          </w:tcPr>
          <w:p w14:paraId="473485B0" w14:textId="77777777" w:rsidR="001E42F7" w:rsidRPr="00AD42F1" w:rsidRDefault="001E42F7" w:rsidP="00F27974">
            <w:pPr>
              <w:rPr>
                <w:sz w:val="20"/>
                <w:szCs w:val="20"/>
              </w:rPr>
            </w:pPr>
            <w:r w:rsidRPr="00AD42F1">
              <w:rPr>
                <w:sz w:val="20"/>
                <w:szCs w:val="20"/>
              </w:rPr>
              <w:t>Eschenbach - Max TV</w:t>
            </w:r>
          </w:p>
        </w:tc>
        <w:tc>
          <w:tcPr>
            <w:tcW w:w="1195" w:type="dxa"/>
            <w:noWrap/>
            <w:hideMark/>
          </w:tcPr>
          <w:p w14:paraId="44F97FD6" w14:textId="77777777" w:rsidR="001E42F7" w:rsidRPr="00AD42F1" w:rsidRDefault="001E42F7" w:rsidP="00F27974">
            <w:pPr>
              <w:rPr>
                <w:sz w:val="20"/>
                <w:szCs w:val="20"/>
              </w:rPr>
            </w:pPr>
            <w:r w:rsidRPr="00AD42F1">
              <w:rPr>
                <w:sz w:val="20"/>
                <w:szCs w:val="20"/>
              </w:rPr>
              <w:t>$141.00</w:t>
            </w:r>
          </w:p>
        </w:tc>
      </w:tr>
      <w:tr w:rsidR="001E42F7" w:rsidRPr="00AD42F1" w14:paraId="0A3B6AF9" w14:textId="77777777" w:rsidTr="00F27974">
        <w:trPr>
          <w:trHeight w:val="315"/>
        </w:trPr>
        <w:tc>
          <w:tcPr>
            <w:tcW w:w="4099" w:type="dxa"/>
          </w:tcPr>
          <w:p w14:paraId="42880A15" w14:textId="77777777" w:rsidR="001E42F7" w:rsidRPr="00AD42F1" w:rsidRDefault="001E42F7" w:rsidP="00F27974">
            <w:pPr>
              <w:rPr>
                <w:sz w:val="20"/>
                <w:szCs w:val="20"/>
              </w:rPr>
            </w:pPr>
            <w:r w:rsidRPr="00AD42F1">
              <w:rPr>
                <w:sz w:val="20"/>
                <w:szCs w:val="20"/>
              </w:rPr>
              <w:t>Talking Clock and Calendar</w:t>
            </w:r>
          </w:p>
        </w:tc>
        <w:tc>
          <w:tcPr>
            <w:tcW w:w="4099" w:type="dxa"/>
            <w:noWrap/>
            <w:hideMark/>
          </w:tcPr>
          <w:p w14:paraId="77F7ABE1" w14:textId="77777777" w:rsidR="001E42F7" w:rsidRPr="00AD42F1" w:rsidRDefault="001E42F7" w:rsidP="00F27974">
            <w:pPr>
              <w:rPr>
                <w:sz w:val="20"/>
                <w:szCs w:val="20"/>
              </w:rPr>
            </w:pPr>
            <w:r w:rsidRPr="00AD42F1">
              <w:rPr>
                <w:sz w:val="20"/>
                <w:szCs w:val="20"/>
              </w:rPr>
              <w:t>Clock - Red Calendar Alarm</w:t>
            </w:r>
          </w:p>
        </w:tc>
        <w:tc>
          <w:tcPr>
            <w:tcW w:w="1195" w:type="dxa"/>
            <w:noWrap/>
            <w:hideMark/>
          </w:tcPr>
          <w:p w14:paraId="7389D849" w14:textId="77777777" w:rsidR="001E42F7" w:rsidRPr="00AD42F1" w:rsidRDefault="001E42F7" w:rsidP="00F27974">
            <w:pPr>
              <w:rPr>
                <w:sz w:val="20"/>
                <w:szCs w:val="20"/>
              </w:rPr>
            </w:pPr>
            <w:r w:rsidRPr="00AD42F1">
              <w:rPr>
                <w:sz w:val="20"/>
                <w:szCs w:val="20"/>
              </w:rPr>
              <w:t>$124.00</w:t>
            </w:r>
          </w:p>
        </w:tc>
      </w:tr>
      <w:tr w:rsidR="001E42F7" w:rsidRPr="00AD42F1" w14:paraId="77BCCA01" w14:textId="77777777" w:rsidTr="00F27974">
        <w:trPr>
          <w:trHeight w:val="315"/>
        </w:trPr>
        <w:tc>
          <w:tcPr>
            <w:tcW w:w="4099" w:type="dxa"/>
          </w:tcPr>
          <w:p w14:paraId="24838F13" w14:textId="77777777" w:rsidR="001E42F7" w:rsidRPr="00AD42F1" w:rsidRDefault="001E42F7" w:rsidP="00F27974">
            <w:pPr>
              <w:rPr>
                <w:sz w:val="20"/>
                <w:szCs w:val="20"/>
              </w:rPr>
            </w:pPr>
            <w:r w:rsidRPr="00AD42F1">
              <w:rPr>
                <w:sz w:val="20"/>
                <w:szCs w:val="20"/>
              </w:rPr>
              <w:t>Handheld Video Magnifier ≤22x</w:t>
            </w:r>
          </w:p>
        </w:tc>
        <w:tc>
          <w:tcPr>
            <w:tcW w:w="4099" w:type="dxa"/>
            <w:noWrap/>
            <w:hideMark/>
          </w:tcPr>
          <w:p w14:paraId="6614A3B7" w14:textId="77777777" w:rsidR="001E42F7" w:rsidRPr="00AD42F1" w:rsidRDefault="001E42F7" w:rsidP="00F27974">
            <w:pPr>
              <w:rPr>
                <w:sz w:val="20"/>
                <w:szCs w:val="20"/>
              </w:rPr>
            </w:pPr>
            <w:r w:rsidRPr="00AD42F1">
              <w:rPr>
                <w:sz w:val="20"/>
                <w:szCs w:val="20"/>
              </w:rPr>
              <w:t>Explore 5. Electronic Handheld Mag</w:t>
            </w:r>
          </w:p>
        </w:tc>
        <w:tc>
          <w:tcPr>
            <w:tcW w:w="1195" w:type="dxa"/>
            <w:noWrap/>
            <w:hideMark/>
          </w:tcPr>
          <w:p w14:paraId="40D99F30" w14:textId="77777777" w:rsidR="001E42F7" w:rsidRPr="00AD42F1" w:rsidRDefault="001E42F7" w:rsidP="00F27974">
            <w:pPr>
              <w:rPr>
                <w:sz w:val="20"/>
                <w:szCs w:val="20"/>
              </w:rPr>
            </w:pPr>
            <w:r w:rsidRPr="00AD42F1">
              <w:rPr>
                <w:sz w:val="20"/>
                <w:szCs w:val="20"/>
              </w:rPr>
              <w:t>$1,015.00</w:t>
            </w:r>
          </w:p>
        </w:tc>
      </w:tr>
      <w:tr w:rsidR="001E42F7" w:rsidRPr="00AD42F1" w14:paraId="614DBD85" w14:textId="77777777" w:rsidTr="00F27974">
        <w:trPr>
          <w:trHeight w:val="315"/>
        </w:trPr>
        <w:tc>
          <w:tcPr>
            <w:tcW w:w="4099" w:type="dxa"/>
          </w:tcPr>
          <w:p w14:paraId="209E72D7" w14:textId="77777777" w:rsidR="001E42F7" w:rsidRPr="00AD42F1" w:rsidRDefault="001E42F7" w:rsidP="00F27974">
            <w:pPr>
              <w:rPr>
                <w:sz w:val="20"/>
                <w:szCs w:val="20"/>
              </w:rPr>
            </w:pPr>
            <w:r>
              <w:rPr>
                <w:sz w:val="20"/>
                <w:szCs w:val="20"/>
              </w:rPr>
              <w:t>Internet enabled v</w:t>
            </w:r>
            <w:r w:rsidRPr="00AD42F1">
              <w:rPr>
                <w:sz w:val="20"/>
                <w:szCs w:val="20"/>
              </w:rPr>
              <w:t xml:space="preserve">oice </w:t>
            </w:r>
            <w:r>
              <w:rPr>
                <w:sz w:val="20"/>
                <w:szCs w:val="20"/>
              </w:rPr>
              <w:t>c</w:t>
            </w:r>
            <w:r w:rsidRPr="00AD42F1">
              <w:rPr>
                <w:sz w:val="20"/>
                <w:szCs w:val="20"/>
              </w:rPr>
              <w:t xml:space="preserve">ommand </w:t>
            </w:r>
            <w:r>
              <w:rPr>
                <w:sz w:val="20"/>
                <w:szCs w:val="20"/>
              </w:rPr>
              <w:t>a</w:t>
            </w:r>
            <w:r w:rsidRPr="00AD42F1">
              <w:rPr>
                <w:sz w:val="20"/>
                <w:szCs w:val="20"/>
              </w:rPr>
              <w:t xml:space="preserve">ssistant </w:t>
            </w:r>
          </w:p>
        </w:tc>
        <w:tc>
          <w:tcPr>
            <w:tcW w:w="4099" w:type="dxa"/>
            <w:noWrap/>
            <w:hideMark/>
          </w:tcPr>
          <w:p w14:paraId="79A859ED" w14:textId="77777777" w:rsidR="001E42F7" w:rsidRPr="00AD42F1" w:rsidRDefault="001E42F7" w:rsidP="00F27974">
            <w:pPr>
              <w:rPr>
                <w:sz w:val="20"/>
                <w:szCs w:val="20"/>
              </w:rPr>
            </w:pPr>
            <w:r w:rsidRPr="00AD42F1">
              <w:rPr>
                <w:sz w:val="20"/>
                <w:szCs w:val="20"/>
              </w:rPr>
              <w:t>Google Nest Mini</w:t>
            </w:r>
          </w:p>
        </w:tc>
        <w:tc>
          <w:tcPr>
            <w:tcW w:w="1195" w:type="dxa"/>
            <w:noWrap/>
            <w:hideMark/>
          </w:tcPr>
          <w:p w14:paraId="4A8EBF4D" w14:textId="77777777" w:rsidR="001E42F7" w:rsidRPr="00AD42F1" w:rsidRDefault="001E42F7" w:rsidP="00F27974">
            <w:pPr>
              <w:rPr>
                <w:sz w:val="20"/>
                <w:szCs w:val="20"/>
              </w:rPr>
            </w:pPr>
            <w:r w:rsidRPr="00AD42F1">
              <w:rPr>
                <w:sz w:val="20"/>
                <w:szCs w:val="20"/>
              </w:rPr>
              <w:t>$79.00</w:t>
            </w:r>
          </w:p>
        </w:tc>
      </w:tr>
      <w:tr w:rsidR="001E42F7" w:rsidRPr="00AD42F1" w14:paraId="67EBDCA0" w14:textId="77777777" w:rsidTr="00F27974">
        <w:trPr>
          <w:trHeight w:val="315"/>
        </w:trPr>
        <w:tc>
          <w:tcPr>
            <w:tcW w:w="4099" w:type="dxa"/>
          </w:tcPr>
          <w:p w14:paraId="7E6C7B44" w14:textId="77777777" w:rsidR="001E42F7" w:rsidRPr="00AD42F1" w:rsidRDefault="001E42F7" w:rsidP="00F27974">
            <w:pPr>
              <w:rPr>
                <w:sz w:val="20"/>
                <w:szCs w:val="20"/>
              </w:rPr>
            </w:pPr>
            <w:r>
              <w:rPr>
                <w:sz w:val="20"/>
                <w:szCs w:val="20"/>
              </w:rPr>
              <w:t xml:space="preserve">10 inch </w:t>
            </w:r>
            <w:r w:rsidRPr="00AD42F1">
              <w:rPr>
                <w:sz w:val="20"/>
                <w:szCs w:val="20"/>
              </w:rPr>
              <w:t>Video Magnifier ≤24x</w:t>
            </w:r>
          </w:p>
        </w:tc>
        <w:tc>
          <w:tcPr>
            <w:tcW w:w="4099" w:type="dxa"/>
            <w:noWrap/>
            <w:hideMark/>
          </w:tcPr>
          <w:p w14:paraId="22C1EBBF" w14:textId="77777777" w:rsidR="001E42F7" w:rsidRPr="00AD42F1" w:rsidRDefault="001E42F7" w:rsidP="00F27974">
            <w:pPr>
              <w:rPr>
                <w:sz w:val="20"/>
                <w:szCs w:val="20"/>
              </w:rPr>
            </w:pPr>
            <w:r w:rsidRPr="00AD42F1">
              <w:rPr>
                <w:sz w:val="20"/>
                <w:szCs w:val="20"/>
              </w:rPr>
              <w:t>Clover 10 HD Magnifier</w:t>
            </w:r>
          </w:p>
        </w:tc>
        <w:tc>
          <w:tcPr>
            <w:tcW w:w="1195" w:type="dxa"/>
            <w:noWrap/>
            <w:hideMark/>
          </w:tcPr>
          <w:p w14:paraId="047DC499" w14:textId="77777777" w:rsidR="001E42F7" w:rsidRPr="00AD42F1" w:rsidRDefault="001E42F7" w:rsidP="00F27974">
            <w:pPr>
              <w:rPr>
                <w:sz w:val="20"/>
                <w:szCs w:val="20"/>
              </w:rPr>
            </w:pPr>
            <w:r w:rsidRPr="00AD42F1">
              <w:rPr>
                <w:sz w:val="20"/>
                <w:szCs w:val="20"/>
              </w:rPr>
              <w:t>$2,100.00</w:t>
            </w:r>
          </w:p>
        </w:tc>
      </w:tr>
      <w:tr w:rsidR="001E42F7" w:rsidRPr="00AD42F1" w14:paraId="096B4137" w14:textId="77777777" w:rsidTr="00F27974">
        <w:trPr>
          <w:trHeight w:val="315"/>
        </w:trPr>
        <w:tc>
          <w:tcPr>
            <w:tcW w:w="4099" w:type="dxa"/>
          </w:tcPr>
          <w:p w14:paraId="5E7BC50F" w14:textId="77777777" w:rsidR="001E42F7" w:rsidRPr="00AD42F1" w:rsidRDefault="001E42F7" w:rsidP="00F27974">
            <w:pPr>
              <w:rPr>
                <w:sz w:val="20"/>
                <w:szCs w:val="20"/>
              </w:rPr>
            </w:pPr>
            <w:r w:rsidRPr="00AD42F1">
              <w:rPr>
                <w:sz w:val="20"/>
                <w:szCs w:val="20"/>
              </w:rPr>
              <w:t>Desktop Talking Book Player with Speech</w:t>
            </w:r>
          </w:p>
        </w:tc>
        <w:tc>
          <w:tcPr>
            <w:tcW w:w="4099" w:type="dxa"/>
            <w:noWrap/>
            <w:hideMark/>
          </w:tcPr>
          <w:p w14:paraId="4D43AF9C" w14:textId="77777777" w:rsidR="001E42F7" w:rsidRPr="00AD42F1" w:rsidRDefault="001E42F7" w:rsidP="00F27974">
            <w:pPr>
              <w:rPr>
                <w:sz w:val="20"/>
                <w:szCs w:val="20"/>
              </w:rPr>
            </w:pPr>
            <w:r w:rsidRPr="00AD42F1">
              <w:rPr>
                <w:sz w:val="20"/>
                <w:szCs w:val="20"/>
              </w:rPr>
              <w:t>Victor Reader Stratus</w:t>
            </w:r>
          </w:p>
        </w:tc>
        <w:tc>
          <w:tcPr>
            <w:tcW w:w="1195" w:type="dxa"/>
            <w:noWrap/>
            <w:hideMark/>
          </w:tcPr>
          <w:p w14:paraId="38B4C160" w14:textId="77777777" w:rsidR="001E42F7" w:rsidRPr="00AD42F1" w:rsidRDefault="001E42F7" w:rsidP="00F27974">
            <w:pPr>
              <w:rPr>
                <w:sz w:val="20"/>
                <w:szCs w:val="20"/>
              </w:rPr>
            </w:pPr>
            <w:r w:rsidRPr="00AD42F1">
              <w:rPr>
                <w:sz w:val="20"/>
                <w:szCs w:val="20"/>
              </w:rPr>
              <w:t>$603.00</w:t>
            </w:r>
          </w:p>
        </w:tc>
      </w:tr>
      <w:tr w:rsidR="001E42F7" w:rsidRPr="00AD42F1" w14:paraId="4503D42E" w14:textId="77777777" w:rsidTr="00F27974">
        <w:trPr>
          <w:trHeight w:val="315"/>
        </w:trPr>
        <w:tc>
          <w:tcPr>
            <w:tcW w:w="4099" w:type="dxa"/>
          </w:tcPr>
          <w:p w14:paraId="72B19D70" w14:textId="77777777" w:rsidR="001E42F7" w:rsidRPr="00AD42F1" w:rsidRDefault="001E42F7" w:rsidP="00F27974">
            <w:pPr>
              <w:rPr>
                <w:sz w:val="20"/>
                <w:szCs w:val="20"/>
              </w:rPr>
            </w:pPr>
            <w:r w:rsidRPr="00AD42F1">
              <w:rPr>
                <w:sz w:val="20"/>
                <w:szCs w:val="20"/>
              </w:rPr>
              <w:t>Speaks Printed Materials Instantly</w:t>
            </w:r>
          </w:p>
        </w:tc>
        <w:tc>
          <w:tcPr>
            <w:tcW w:w="4099" w:type="dxa"/>
            <w:noWrap/>
            <w:hideMark/>
          </w:tcPr>
          <w:p w14:paraId="22F1D650" w14:textId="77777777" w:rsidR="001E42F7" w:rsidRPr="00AD42F1" w:rsidRDefault="001E42F7" w:rsidP="00F27974">
            <w:pPr>
              <w:rPr>
                <w:sz w:val="20"/>
                <w:szCs w:val="20"/>
              </w:rPr>
            </w:pPr>
            <w:r w:rsidRPr="00AD42F1">
              <w:rPr>
                <w:sz w:val="20"/>
                <w:szCs w:val="20"/>
              </w:rPr>
              <w:t>Optelec Clear Reader</w:t>
            </w:r>
          </w:p>
        </w:tc>
        <w:tc>
          <w:tcPr>
            <w:tcW w:w="1195" w:type="dxa"/>
            <w:noWrap/>
            <w:hideMark/>
          </w:tcPr>
          <w:p w14:paraId="32B78205" w14:textId="77777777" w:rsidR="001E42F7" w:rsidRPr="00AD42F1" w:rsidRDefault="001E42F7" w:rsidP="00F27974">
            <w:pPr>
              <w:rPr>
                <w:sz w:val="20"/>
                <w:szCs w:val="20"/>
              </w:rPr>
            </w:pPr>
            <w:r w:rsidRPr="00AD42F1">
              <w:rPr>
                <w:sz w:val="20"/>
                <w:szCs w:val="20"/>
              </w:rPr>
              <w:t>$4,010.00</w:t>
            </w:r>
          </w:p>
        </w:tc>
      </w:tr>
      <w:tr w:rsidR="001E42F7" w:rsidRPr="00AD42F1" w14:paraId="3A029670" w14:textId="77777777" w:rsidTr="00F27974">
        <w:trPr>
          <w:trHeight w:val="315"/>
        </w:trPr>
        <w:tc>
          <w:tcPr>
            <w:tcW w:w="4099" w:type="dxa"/>
            <w:shd w:val="clear" w:color="auto" w:fill="auto"/>
          </w:tcPr>
          <w:p w14:paraId="3EEFC4CC" w14:textId="77777777" w:rsidR="001E42F7" w:rsidRPr="00AD42F1" w:rsidRDefault="001E42F7" w:rsidP="00F27974">
            <w:pPr>
              <w:rPr>
                <w:sz w:val="20"/>
                <w:szCs w:val="20"/>
              </w:rPr>
            </w:pPr>
            <w:r>
              <w:rPr>
                <w:sz w:val="20"/>
                <w:szCs w:val="20"/>
              </w:rPr>
              <w:t>Reduces exposure to ultraviolet light</w:t>
            </w:r>
          </w:p>
        </w:tc>
        <w:tc>
          <w:tcPr>
            <w:tcW w:w="4099" w:type="dxa"/>
            <w:shd w:val="clear" w:color="auto" w:fill="auto"/>
            <w:noWrap/>
          </w:tcPr>
          <w:p w14:paraId="0F5DA905" w14:textId="77777777" w:rsidR="001E42F7" w:rsidRPr="00AD42F1" w:rsidRDefault="001E42F7" w:rsidP="00F27974">
            <w:pPr>
              <w:rPr>
                <w:sz w:val="20"/>
                <w:szCs w:val="20"/>
              </w:rPr>
            </w:pPr>
            <w:r>
              <w:rPr>
                <w:sz w:val="20"/>
                <w:szCs w:val="20"/>
              </w:rPr>
              <w:t>Clear UV Shield Fit Over (standard)</w:t>
            </w:r>
          </w:p>
        </w:tc>
        <w:tc>
          <w:tcPr>
            <w:tcW w:w="1195" w:type="dxa"/>
            <w:shd w:val="clear" w:color="auto" w:fill="auto"/>
            <w:noWrap/>
          </w:tcPr>
          <w:p w14:paraId="1729CF4E" w14:textId="77777777" w:rsidR="001E42F7" w:rsidRPr="00AD42F1" w:rsidRDefault="001E42F7" w:rsidP="00F27974">
            <w:pPr>
              <w:rPr>
                <w:sz w:val="20"/>
                <w:szCs w:val="20"/>
              </w:rPr>
            </w:pPr>
            <w:r>
              <w:rPr>
                <w:sz w:val="20"/>
                <w:szCs w:val="20"/>
              </w:rPr>
              <w:t>$55.00</w:t>
            </w:r>
          </w:p>
        </w:tc>
      </w:tr>
      <w:tr w:rsidR="001E42F7" w:rsidRPr="00AD42F1" w14:paraId="27FAE9AB" w14:textId="77777777" w:rsidTr="00F27974">
        <w:trPr>
          <w:trHeight w:val="315"/>
        </w:trPr>
        <w:tc>
          <w:tcPr>
            <w:tcW w:w="4099" w:type="dxa"/>
            <w:shd w:val="clear" w:color="auto" w:fill="auto"/>
          </w:tcPr>
          <w:p w14:paraId="10521BE2" w14:textId="77777777" w:rsidR="001E42F7" w:rsidRPr="00AD42F1" w:rsidRDefault="001E42F7" w:rsidP="00F27974">
            <w:pPr>
              <w:rPr>
                <w:sz w:val="20"/>
                <w:szCs w:val="20"/>
              </w:rPr>
            </w:pPr>
            <w:r w:rsidRPr="00AD42F1">
              <w:rPr>
                <w:sz w:val="20"/>
                <w:szCs w:val="20"/>
              </w:rPr>
              <w:t>Indicates Low Vision to Public</w:t>
            </w:r>
          </w:p>
        </w:tc>
        <w:tc>
          <w:tcPr>
            <w:tcW w:w="4099" w:type="dxa"/>
            <w:shd w:val="clear" w:color="auto" w:fill="auto"/>
            <w:noWrap/>
            <w:hideMark/>
          </w:tcPr>
          <w:p w14:paraId="390474BC" w14:textId="77777777" w:rsidR="001E42F7" w:rsidRPr="00AD42F1" w:rsidRDefault="001E42F7" w:rsidP="00F27974">
            <w:pPr>
              <w:rPr>
                <w:sz w:val="20"/>
                <w:szCs w:val="20"/>
              </w:rPr>
            </w:pPr>
            <w:r w:rsidRPr="00AD42F1">
              <w:rPr>
                <w:sz w:val="20"/>
                <w:szCs w:val="20"/>
              </w:rPr>
              <w:t xml:space="preserve">ID Symbol Cane </w:t>
            </w:r>
            <w:r>
              <w:rPr>
                <w:sz w:val="20"/>
                <w:szCs w:val="20"/>
              </w:rPr>
              <w:t>or Support Cane</w:t>
            </w:r>
          </w:p>
        </w:tc>
        <w:tc>
          <w:tcPr>
            <w:tcW w:w="1195" w:type="dxa"/>
            <w:shd w:val="clear" w:color="auto" w:fill="auto"/>
            <w:noWrap/>
            <w:hideMark/>
          </w:tcPr>
          <w:p w14:paraId="7AFF1CA5" w14:textId="77777777" w:rsidR="001E42F7" w:rsidRPr="00AD42F1" w:rsidRDefault="001E42F7" w:rsidP="00F27974">
            <w:pPr>
              <w:rPr>
                <w:sz w:val="20"/>
                <w:szCs w:val="20"/>
              </w:rPr>
            </w:pPr>
            <w:r w:rsidRPr="00AD42F1">
              <w:rPr>
                <w:sz w:val="20"/>
                <w:szCs w:val="20"/>
              </w:rPr>
              <w:t>$32.00</w:t>
            </w:r>
          </w:p>
        </w:tc>
      </w:tr>
      <w:tr w:rsidR="001E42F7" w:rsidRPr="00AD42F1" w14:paraId="440340A7" w14:textId="77777777" w:rsidTr="00F27974">
        <w:trPr>
          <w:trHeight w:val="315"/>
        </w:trPr>
        <w:tc>
          <w:tcPr>
            <w:tcW w:w="4099" w:type="dxa"/>
            <w:shd w:val="clear" w:color="auto" w:fill="auto"/>
          </w:tcPr>
          <w:p w14:paraId="5FE3052F" w14:textId="77777777" w:rsidR="001E42F7" w:rsidRPr="00AD42F1" w:rsidRDefault="001E42F7" w:rsidP="00F27974">
            <w:pPr>
              <w:rPr>
                <w:sz w:val="20"/>
                <w:szCs w:val="20"/>
              </w:rPr>
            </w:pPr>
            <w:r>
              <w:rPr>
                <w:sz w:val="20"/>
                <w:szCs w:val="20"/>
              </w:rPr>
              <w:t>Enable independent travel in the community</w:t>
            </w:r>
          </w:p>
        </w:tc>
        <w:tc>
          <w:tcPr>
            <w:tcW w:w="4099" w:type="dxa"/>
            <w:shd w:val="clear" w:color="auto" w:fill="auto"/>
            <w:noWrap/>
          </w:tcPr>
          <w:p w14:paraId="234AC187" w14:textId="77777777" w:rsidR="001E42F7" w:rsidRPr="00AD42F1" w:rsidRDefault="001E42F7" w:rsidP="00F27974">
            <w:pPr>
              <w:rPr>
                <w:sz w:val="20"/>
                <w:szCs w:val="20"/>
              </w:rPr>
            </w:pPr>
            <w:r>
              <w:rPr>
                <w:sz w:val="20"/>
                <w:szCs w:val="20"/>
              </w:rPr>
              <w:t>Long cane white cane</w:t>
            </w:r>
          </w:p>
        </w:tc>
        <w:tc>
          <w:tcPr>
            <w:tcW w:w="1195" w:type="dxa"/>
            <w:shd w:val="clear" w:color="auto" w:fill="auto"/>
            <w:noWrap/>
          </w:tcPr>
          <w:p w14:paraId="05EF2FA3" w14:textId="77777777" w:rsidR="001E42F7" w:rsidRPr="00AD42F1" w:rsidRDefault="001E42F7" w:rsidP="00F27974">
            <w:pPr>
              <w:rPr>
                <w:sz w:val="20"/>
                <w:szCs w:val="20"/>
              </w:rPr>
            </w:pPr>
            <w:r>
              <w:rPr>
                <w:sz w:val="20"/>
                <w:szCs w:val="20"/>
              </w:rPr>
              <w:t>$65.00</w:t>
            </w:r>
          </w:p>
        </w:tc>
      </w:tr>
      <w:tr w:rsidR="001E42F7" w:rsidRPr="00AD42F1" w14:paraId="520F440A" w14:textId="77777777" w:rsidTr="00F27974">
        <w:trPr>
          <w:trHeight w:val="315"/>
        </w:trPr>
        <w:tc>
          <w:tcPr>
            <w:tcW w:w="4099" w:type="dxa"/>
            <w:shd w:val="clear" w:color="auto" w:fill="auto"/>
          </w:tcPr>
          <w:p w14:paraId="4BD42899" w14:textId="77777777" w:rsidR="001E42F7" w:rsidRDefault="001E42F7" w:rsidP="00F27974">
            <w:pPr>
              <w:rPr>
                <w:sz w:val="20"/>
                <w:szCs w:val="20"/>
              </w:rPr>
            </w:pPr>
            <w:r>
              <w:rPr>
                <w:sz w:val="20"/>
                <w:szCs w:val="20"/>
              </w:rPr>
              <w:t>Monocular telescope</w:t>
            </w:r>
          </w:p>
        </w:tc>
        <w:tc>
          <w:tcPr>
            <w:tcW w:w="4099" w:type="dxa"/>
            <w:shd w:val="clear" w:color="auto" w:fill="auto"/>
            <w:noWrap/>
          </w:tcPr>
          <w:p w14:paraId="25265EEF" w14:textId="77777777" w:rsidR="001E42F7" w:rsidRDefault="001E42F7" w:rsidP="00F27974">
            <w:pPr>
              <w:rPr>
                <w:sz w:val="20"/>
                <w:szCs w:val="20"/>
              </w:rPr>
            </w:pPr>
            <w:r>
              <w:rPr>
                <w:sz w:val="20"/>
                <w:szCs w:val="20"/>
              </w:rPr>
              <w:t>Close Focus Monocular</w:t>
            </w:r>
          </w:p>
        </w:tc>
        <w:tc>
          <w:tcPr>
            <w:tcW w:w="1195" w:type="dxa"/>
            <w:shd w:val="clear" w:color="auto" w:fill="auto"/>
            <w:noWrap/>
          </w:tcPr>
          <w:p w14:paraId="4C14B923" w14:textId="77777777" w:rsidR="001E42F7" w:rsidRDefault="001E42F7" w:rsidP="00F27974">
            <w:pPr>
              <w:rPr>
                <w:sz w:val="20"/>
                <w:szCs w:val="20"/>
              </w:rPr>
            </w:pPr>
            <w:r>
              <w:rPr>
                <w:sz w:val="20"/>
                <w:szCs w:val="20"/>
              </w:rPr>
              <w:t>$68.00</w:t>
            </w:r>
          </w:p>
        </w:tc>
      </w:tr>
      <w:tr w:rsidR="001E42F7" w:rsidRPr="00AD42F1" w14:paraId="45FBE9D7" w14:textId="77777777" w:rsidTr="00F27974">
        <w:trPr>
          <w:trHeight w:val="315"/>
        </w:trPr>
        <w:tc>
          <w:tcPr>
            <w:tcW w:w="4099" w:type="dxa"/>
            <w:shd w:val="clear" w:color="auto" w:fill="auto"/>
          </w:tcPr>
          <w:p w14:paraId="2EB202AF" w14:textId="77777777" w:rsidR="001E42F7" w:rsidRDefault="001E42F7" w:rsidP="00F27974">
            <w:pPr>
              <w:rPr>
                <w:sz w:val="20"/>
                <w:szCs w:val="20"/>
              </w:rPr>
            </w:pPr>
            <w:r>
              <w:rPr>
                <w:sz w:val="20"/>
                <w:szCs w:val="20"/>
              </w:rPr>
              <w:t>24 inch Desktop video magnifier (AKA CCTV)</w:t>
            </w:r>
          </w:p>
        </w:tc>
        <w:tc>
          <w:tcPr>
            <w:tcW w:w="4099" w:type="dxa"/>
            <w:shd w:val="clear" w:color="auto" w:fill="auto"/>
            <w:noWrap/>
          </w:tcPr>
          <w:p w14:paraId="7E1DBF40" w14:textId="77777777" w:rsidR="001E42F7" w:rsidRDefault="001E42F7" w:rsidP="00F27974">
            <w:pPr>
              <w:rPr>
                <w:sz w:val="20"/>
                <w:szCs w:val="20"/>
              </w:rPr>
            </w:pPr>
            <w:r>
              <w:rPr>
                <w:sz w:val="20"/>
                <w:szCs w:val="20"/>
              </w:rPr>
              <w:t>ClearView C24 Wide View</w:t>
            </w:r>
          </w:p>
        </w:tc>
        <w:tc>
          <w:tcPr>
            <w:tcW w:w="1195" w:type="dxa"/>
            <w:shd w:val="clear" w:color="auto" w:fill="auto"/>
            <w:noWrap/>
          </w:tcPr>
          <w:p w14:paraId="563EE59F" w14:textId="77777777" w:rsidR="001E42F7" w:rsidRDefault="001E42F7" w:rsidP="00F27974">
            <w:pPr>
              <w:rPr>
                <w:sz w:val="20"/>
                <w:szCs w:val="20"/>
              </w:rPr>
            </w:pPr>
            <w:r>
              <w:rPr>
                <w:sz w:val="20"/>
                <w:szCs w:val="20"/>
              </w:rPr>
              <w:t>$5,600.00</w:t>
            </w:r>
          </w:p>
        </w:tc>
      </w:tr>
      <w:tr w:rsidR="001E42F7" w:rsidRPr="00AD42F1" w14:paraId="0C0611B9" w14:textId="77777777" w:rsidTr="00F27974">
        <w:trPr>
          <w:trHeight w:val="315"/>
        </w:trPr>
        <w:tc>
          <w:tcPr>
            <w:tcW w:w="4099" w:type="dxa"/>
            <w:shd w:val="clear" w:color="auto" w:fill="auto"/>
          </w:tcPr>
          <w:p w14:paraId="6C46B837" w14:textId="77777777" w:rsidR="001E42F7" w:rsidRDefault="001E42F7" w:rsidP="00F27974">
            <w:pPr>
              <w:rPr>
                <w:sz w:val="20"/>
                <w:szCs w:val="20"/>
              </w:rPr>
            </w:pPr>
            <w:r>
              <w:rPr>
                <w:sz w:val="20"/>
                <w:szCs w:val="20"/>
              </w:rPr>
              <w:t>12 inch portable magnifier with speech</w:t>
            </w:r>
          </w:p>
        </w:tc>
        <w:tc>
          <w:tcPr>
            <w:tcW w:w="4099" w:type="dxa"/>
            <w:shd w:val="clear" w:color="auto" w:fill="auto"/>
            <w:noWrap/>
          </w:tcPr>
          <w:p w14:paraId="70161162" w14:textId="77777777" w:rsidR="001E42F7" w:rsidRDefault="001E42F7" w:rsidP="00F27974">
            <w:pPr>
              <w:rPr>
                <w:sz w:val="20"/>
                <w:szCs w:val="20"/>
              </w:rPr>
            </w:pPr>
            <w:r>
              <w:rPr>
                <w:sz w:val="20"/>
                <w:szCs w:val="20"/>
              </w:rPr>
              <w:t>Zoomax Snow 12</w:t>
            </w:r>
          </w:p>
        </w:tc>
        <w:tc>
          <w:tcPr>
            <w:tcW w:w="1195" w:type="dxa"/>
            <w:shd w:val="clear" w:color="auto" w:fill="auto"/>
            <w:noWrap/>
          </w:tcPr>
          <w:p w14:paraId="19A5E31A" w14:textId="77777777" w:rsidR="001E42F7" w:rsidRDefault="001E42F7" w:rsidP="00F27974">
            <w:pPr>
              <w:rPr>
                <w:sz w:val="20"/>
                <w:szCs w:val="20"/>
              </w:rPr>
            </w:pPr>
            <w:r>
              <w:rPr>
                <w:sz w:val="20"/>
                <w:szCs w:val="20"/>
              </w:rPr>
              <w:t>$2,499.00</w:t>
            </w:r>
          </w:p>
        </w:tc>
      </w:tr>
      <w:tr w:rsidR="001E42F7" w:rsidRPr="00AD42F1" w14:paraId="1443733B" w14:textId="77777777" w:rsidTr="00F27974">
        <w:trPr>
          <w:trHeight w:val="315"/>
        </w:trPr>
        <w:tc>
          <w:tcPr>
            <w:tcW w:w="4099" w:type="dxa"/>
          </w:tcPr>
          <w:p w14:paraId="5FE29F4D" w14:textId="77777777" w:rsidR="001E42F7" w:rsidRPr="00AD42F1" w:rsidRDefault="001E42F7" w:rsidP="00F27974">
            <w:pPr>
              <w:rPr>
                <w:sz w:val="20"/>
                <w:szCs w:val="20"/>
              </w:rPr>
            </w:pPr>
            <w:r w:rsidRPr="00AD42F1">
              <w:rPr>
                <w:sz w:val="20"/>
                <w:szCs w:val="20"/>
              </w:rPr>
              <w:t>PC Magnification Software with Speech</w:t>
            </w:r>
          </w:p>
        </w:tc>
        <w:tc>
          <w:tcPr>
            <w:tcW w:w="4099" w:type="dxa"/>
            <w:noWrap/>
            <w:hideMark/>
          </w:tcPr>
          <w:p w14:paraId="1406368D" w14:textId="77777777" w:rsidR="001E42F7" w:rsidRPr="00AD42F1" w:rsidRDefault="001E42F7" w:rsidP="00F27974">
            <w:pPr>
              <w:rPr>
                <w:sz w:val="20"/>
                <w:szCs w:val="20"/>
              </w:rPr>
            </w:pPr>
            <w:r w:rsidRPr="00AD42F1">
              <w:rPr>
                <w:sz w:val="20"/>
                <w:szCs w:val="20"/>
              </w:rPr>
              <w:t>ZoomText Magnifier/Screen Reader</w:t>
            </w:r>
          </w:p>
        </w:tc>
        <w:tc>
          <w:tcPr>
            <w:tcW w:w="1195" w:type="dxa"/>
            <w:noWrap/>
            <w:hideMark/>
          </w:tcPr>
          <w:p w14:paraId="4D677013" w14:textId="77777777" w:rsidR="001E42F7" w:rsidRPr="00AD42F1" w:rsidRDefault="001E42F7" w:rsidP="00F27974">
            <w:pPr>
              <w:rPr>
                <w:sz w:val="20"/>
                <w:szCs w:val="20"/>
              </w:rPr>
            </w:pPr>
            <w:r w:rsidRPr="00AD42F1">
              <w:rPr>
                <w:sz w:val="20"/>
                <w:szCs w:val="20"/>
              </w:rPr>
              <w:t>$1,165.00</w:t>
            </w:r>
          </w:p>
        </w:tc>
      </w:tr>
    </w:tbl>
    <w:p w14:paraId="7AA8483E" w14:textId="77777777" w:rsidR="008B0A35" w:rsidRPr="00A65F18" w:rsidRDefault="008B0A35" w:rsidP="00A65F18">
      <w:pPr>
        <w:tabs>
          <w:tab w:val="left" w:pos="1425"/>
        </w:tabs>
        <w:rPr>
          <w:rFonts w:eastAsia="Times New Roman" w:cs="Times New Roman"/>
          <w:szCs w:val="24"/>
          <w:lang w:eastAsia="en-AU"/>
        </w:rPr>
      </w:pPr>
    </w:p>
    <w:sectPr w:rsidR="008B0A35" w:rsidRPr="00A65F18" w:rsidSect="00A65F18">
      <w:pgSz w:w="11906" w:h="16838" w:code="9"/>
      <w:pgMar w:top="2268"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44197" w14:textId="77777777" w:rsidR="00350232" w:rsidRDefault="00350232" w:rsidP="00185154">
      <w:r>
        <w:separator/>
      </w:r>
    </w:p>
    <w:p w14:paraId="60F5149F" w14:textId="77777777" w:rsidR="00350232" w:rsidRDefault="00350232"/>
  </w:endnote>
  <w:endnote w:type="continuationSeparator" w:id="0">
    <w:p w14:paraId="67499C1D" w14:textId="77777777" w:rsidR="00350232" w:rsidRDefault="00350232" w:rsidP="00185154">
      <w:r>
        <w:continuationSeparator/>
      </w:r>
    </w:p>
    <w:p w14:paraId="0DF6E9C4" w14:textId="77777777" w:rsidR="00350232" w:rsidRDefault="00350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315EA" w14:textId="77777777" w:rsidR="00350232" w:rsidRDefault="00350232" w:rsidP="003A754B">
    <w:pPr>
      <w:pStyle w:val="Footer"/>
      <w:ind w:left="-113" w:right="-113"/>
    </w:pPr>
    <w:r w:rsidRPr="003A754B">
      <w:rPr>
        <w:rFonts w:ascii="Arial" w:hAnsi="Arial" w:cs="Arial"/>
        <w:color w:val="004B8D" w:themeColor="accent1"/>
        <w:szCs w:val="24"/>
        <w:lang w:eastAsia="en-AU"/>
      </w:rPr>
      <w:t>National body working in partnership to prevent avoidable blindness and improve vision care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Caption w:val="Footer table"/>
    </w:tblPr>
    <w:tblGrid>
      <w:gridCol w:w="9071"/>
      <w:gridCol w:w="567"/>
    </w:tblGrid>
    <w:tr w:rsidR="00350232" w:rsidRPr="00007607" w14:paraId="28861C32" w14:textId="77777777" w:rsidTr="00875F0D">
      <w:trPr>
        <w:tblHeader/>
      </w:trPr>
      <w:tc>
        <w:tcPr>
          <w:tcW w:w="0" w:type="auto"/>
        </w:tcPr>
        <w:p w14:paraId="130AC08E" w14:textId="603B30D6" w:rsidR="00350232" w:rsidRPr="003C20B8" w:rsidRDefault="00350232" w:rsidP="00DC1BCD">
          <w:pPr>
            <w:pStyle w:val="Footer"/>
            <w:tabs>
              <w:tab w:val="clear" w:pos="567"/>
              <w:tab w:val="clear" w:pos="9639"/>
            </w:tabs>
          </w:pPr>
          <w:r>
            <w:t>2021-22 Pre-Budget Submission</w:t>
          </w:r>
          <w:r w:rsidRPr="003C20B8">
            <w:t xml:space="preserve"> </w:t>
          </w:r>
        </w:p>
      </w:tc>
      <w:tc>
        <w:tcPr>
          <w:tcW w:w="567" w:type="dxa"/>
        </w:tcPr>
        <w:p w14:paraId="1E89D391" w14:textId="34ED8534" w:rsidR="00350232" w:rsidRPr="00007607" w:rsidRDefault="00350232" w:rsidP="003C20B8">
          <w:pPr>
            <w:pStyle w:val="Footer"/>
            <w:tabs>
              <w:tab w:val="clear" w:pos="567"/>
              <w:tab w:val="clear" w:pos="9639"/>
            </w:tabs>
            <w:jc w:val="right"/>
            <w:rPr>
              <w:iCs/>
            </w:rPr>
          </w:pPr>
          <w:r w:rsidRPr="003C20B8">
            <w:rPr>
              <w:noProof w:val="0"/>
            </w:rPr>
            <w:fldChar w:fldCharType="begin"/>
          </w:r>
          <w:r w:rsidRPr="003C20B8">
            <w:instrText xml:space="preserve"> PAGE   \* MERGEFORMAT </w:instrText>
          </w:r>
          <w:r w:rsidRPr="003C20B8">
            <w:rPr>
              <w:noProof w:val="0"/>
            </w:rPr>
            <w:fldChar w:fldCharType="separate"/>
          </w:r>
          <w:r w:rsidR="00DB73E0">
            <w:t>1</w:t>
          </w:r>
          <w:r w:rsidRPr="003C20B8">
            <w:fldChar w:fldCharType="end"/>
          </w:r>
        </w:p>
      </w:tc>
    </w:tr>
  </w:tbl>
  <w:p w14:paraId="3BF47EAF" w14:textId="77777777" w:rsidR="00350232" w:rsidRPr="003C20B8" w:rsidRDefault="00350232" w:rsidP="003C20B8">
    <w:pPr>
      <w:pStyle w:val="Footer"/>
      <w:rPr>
        <w:iCs/>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Caption w:val="Footer table"/>
    </w:tblPr>
    <w:tblGrid>
      <w:gridCol w:w="180"/>
      <w:gridCol w:w="8901"/>
      <w:gridCol w:w="557"/>
    </w:tblGrid>
    <w:tr w:rsidR="00350232" w:rsidRPr="002D7958" w14:paraId="16BB8B49" w14:textId="77777777" w:rsidTr="00541FA9">
      <w:tc>
        <w:tcPr>
          <w:tcW w:w="180" w:type="dxa"/>
        </w:tcPr>
        <w:p w14:paraId="6FB87160" w14:textId="77777777" w:rsidR="00350232" w:rsidRPr="002D7958" w:rsidRDefault="00350232" w:rsidP="00541FA9">
          <w:pPr>
            <w:pStyle w:val="Footer"/>
            <w:tabs>
              <w:tab w:val="clear" w:pos="567"/>
              <w:tab w:val="clear" w:pos="9639"/>
            </w:tabs>
            <w:rPr>
              <w:sz w:val="18"/>
              <w:szCs w:val="18"/>
            </w:rPr>
          </w:pPr>
        </w:p>
      </w:tc>
      <w:tc>
        <w:tcPr>
          <w:tcW w:w="8901" w:type="dxa"/>
        </w:tcPr>
        <w:p w14:paraId="11E25AF3" w14:textId="38BA7838" w:rsidR="00350232" w:rsidRPr="002D7958" w:rsidRDefault="00350232" w:rsidP="00271CE8">
          <w:pPr>
            <w:pStyle w:val="Footer"/>
            <w:tabs>
              <w:tab w:val="clear" w:pos="567"/>
              <w:tab w:val="clear" w:pos="9639"/>
            </w:tabs>
            <w:rPr>
              <w:sz w:val="18"/>
              <w:szCs w:val="18"/>
            </w:rPr>
          </w:pPr>
          <w:r w:rsidRPr="00541FA9">
            <w:rPr>
              <w:rFonts w:eastAsia="Times New Roman" w:cs="Times New Roman"/>
              <w:szCs w:val="18"/>
              <w:lang w:eastAsia="en-AU"/>
            </w:rPr>
            <w:t>2021-22 Pre-Budget Submission</w:t>
          </w:r>
        </w:p>
      </w:tc>
      <w:tc>
        <w:tcPr>
          <w:tcW w:w="557" w:type="dxa"/>
        </w:tcPr>
        <w:p w14:paraId="33C7E57C" w14:textId="35F8031D" w:rsidR="00350232" w:rsidRPr="002D7958" w:rsidRDefault="00350232" w:rsidP="00271CE8">
          <w:pPr>
            <w:pStyle w:val="Footer"/>
            <w:tabs>
              <w:tab w:val="clear" w:pos="567"/>
              <w:tab w:val="clear" w:pos="9639"/>
            </w:tabs>
            <w:jc w:val="right"/>
            <w:rPr>
              <w:sz w:val="18"/>
              <w:szCs w:val="18"/>
            </w:rPr>
          </w:pPr>
          <w:r w:rsidRPr="002D7958">
            <w:rPr>
              <w:noProof w:val="0"/>
              <w:sz w:val="18"/>
              <w:szCs w:val="18"/>
            </w:rPr>
            <w:fldChar w:fldCharType="begin"/>
          </w:r>
          <w:r w:rsidRPr="002D7958">
            <w:rPr>
              <w:sz w:val="18"/>
              <w:szCs w:val="18"/>
            </w:rPr>
            <w:instrText xml:space="preserve"> PAGE   \* MERGEFORMAT </w:instrText>
          </w:r>
          <w:r w:rsidRPr="002D7958">
            <w:rPr>
              <w:noProof w:val="0"/>
              <w:sz w:val="18"/>
              <w:szCs w:val="18"/>
            </w:rPr>
            <w:fldChar w:fldCharType="separate"/>
          </w:r>
          <w:r w:rsidR="00DB73E0">
            <w:rPr>
              <w:sz w:val="18"/>
              <w:szCs w:val="18"/>
            </w:rPr>
            <w:t>20</w:t>
          </w:r>
          <w:r w:rsidRPr="002D7958">
            <w:rPr>
              <w:sz w:val="18"/>
              <w:szCs w:val="18"/>
            </w:rPr>
            <w:fldChar w:fldCharType="end"/>
          </w:r>
        </w:p>
      </w:tc>
    </w:tr>
  </w:tbl>
  <w:p w14:paraId="33DB1CB4" w14:textId="77777777" w:rsidR="00350232" w:rsidRPr="002D7958" w:rsidRDefault="00350232" w:rsidP="00271CE8">
    <w:pPr>
      <w:pStyle w:val="Footer"/>
      <w:tabs>
        <w:tab w:val="clear" w:pos="567"/>
        <w:tab w:val="clear" w:pos="9639"/>
        <w:tab w:val="left" w:pos="1418"/>
      </w:tabs>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5437"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Caption w:val="Footer table"/>
    </w:tblPr>
    <w:tblGrid>
      <w:gridCol w:w="9923"/>
      <w:gridCol w:w="557"/>
    </w:tblGrid>
    <w:tr w:rsidR="00350232" w:rsidRPr="002F2F7A" w14:paraId="4BA0E660" w14:textId="77777777" w:rsidTr="00271CE8">
      <w:tc>
        <w:tcPr>
          <w:tcW w:w="9923" w:type="dxa"/>
        </w:tcPr>
        <w:p w14:paraId="3BECAEC2" w14:textId="77777777" w:rsidR="00350232" w:rsidRDefault="00350232" w:rsidP="00271CE8">
          <w:pPr>
            <w:ind w:left="-284" w:firstLine="284"/>
          </w:pPr>
          <w:r w:rsidRPr="00087832">
            <w:rPr>
              <w:color w:val="004B8D" w:themeColor="accent1"/>
              <w:lang w:eastAsia="en-AU"/>
            </w:rPr>
            <w:t>National body working in partnership to prevent avoidable blindness and improve vision care</w:t>
          </w:r>
        </w:p>
      </w:tc>
      <w:tc>
        <w:tcPr>
          <w:tcW w:w="557" w:type="dxa"/>
        </w:tcPr>
        <w:p w14:paraId="01F914D5" w14:textId="77777777" w:rsidR="00350232" w:rsidRPr="002F2F7A" w:rsidRDefault="00350232" w:rsidP="00271CE8">
          <w:pPr>
            <w:pStyle w:val="Footer"/>
            <w:tabs>
              <w:tab w:val="clear" w:pos="567"/>
              <w:tab w:val="clear" w:pos="9639"/>
            </w:tabs>
            <w:jc w:val="right"/>
          </w:pPr>
          <w:r>
            <w:rPr>
              <w:noProof w:val="0"/>
            </w:rPr>
            <w:fldChar w:fldCharType="begin"/>
          </w:r>
          <w:r>
            <w:instrText xml:space="preserve"> PAGE   \* MERGEFORMAT </w:instrText>
          </w:r>
          <w:r>
            <w:rPr>
              <w:noProof w:val="0"/>
            </w:rPr>
            <w:fldChar w:fldCharType="separate"/>
          </w:r>
          <w:r>
            <w:t>1</w:t>
          </w:r>
          <w:r>
            <w:fldChar w:fldCharType="end"/>
          </w:r>
        </w:p>
      </w:tc>
    </w:tr>
  </w:tbl>
  <w:p w14:paraId="76B2D727" w14:textId="77777777" w:rsidR="00350232" w:rsidRPr="00E61FE7" w:rsidRDefault="00350232" w:rsidP="00271CE8">
    <w:pPr>
      <w:pStyle w:val="Footer"/>
      <w:tabs>
        <w:tab w:val="clear" w:pos="567"/>
        <w:tab w:val="clear" w:pos="9639"/>
        <w:tab w:val="left" w:pos="1418"/>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3C3CD" w14:textId="77777777" w:rsidR="00350232" w:rsidRDefault="00350232" w:rsidP="00185154">
      <w:r>
        <w:separator/>
      </w:r>
    </w:p>
    <w:p w14:paraId="01BB73A8" w14:textId="77777777" w:rsidR="00350232" w:rsidRDefault="00350232"/>
  </w:footnote>
  <w:footnote w:type="continuationSeparator" w:id="0">
    <w:p w14:paraId="235F619A" w14:textId="77777777" w:rsidR="00350232" w:rsidRDefault="00350232" w:rsidP="00185154">
      <w:r>
        <w:continuationSeparator/>
      </w:r>
    </w:p>
    <w:p w14:paraId="1D301D26" w14:textId="77777777" w:rsidR="00350232" w:rsidRDefault="00350232"/>
  </w:footnote>
  <w:footnote w:id="1">
    <w:p w14:paraId="359FFD61" w14:textId="77777777" w:rsidR="00350232" w:rsidRDefault="00350232">
      <w:pPr>
        <w:pStyle w:val="FootnoteText"/>
      </w:pPr>
      <w:r>
        <w:rPr>
          <w:rStyle w:val="FootnoteReference"/>
        </w:rPr>
        <w:footnoteRef/>
      </w:r>
      <w:r>
        <w:t xml:space="preserve"> </w:t>
      </w:r>
      <w:r w:rsidRPr="00DC259C">
        <w:rPr>
          <w:sz w:val="16"/>
          <w:szCs w:val="16"/>
        </w:rPr>
        <w:t>This estimate is based on the prevalence of the 5 most common causes of vision loss (cataract, uncorrected refractive error, diabetic retinopathy, aged related macular disease and glaucoma).</w:t>
      </w:r>
      <w:r>
        <w:t xml:space="preserve"> </w:t>
      </w:r>
    </w:p>
  </w:footnote>
  <w:footnote w:id="2">
    <w:p w14:paraId="55C83167" w14:textId="359D34D1" w:rsidR="00350232" w:rsidRDefault="00350232" w:rsidP="008B10F9">
      <w:pPr>
        <w:pStyle w:val="FootnoteText"/>
      </w:pPr>
      <w:r>
        <w:rPr>
          <w:rStyle w:val="FootnoteReference"/>
        </w:rPr>
        <w:footnoteRef/>
      </w:r>
      <w:r w:rsidRPr="009B5120">
        <w:t xml:space="preserve"> </w:t>
      </w:r>
      <w:r w:rsidRPr="00DC6C5E">
        <w:rPr>
          <w:sz w:val="16"/>
          <w:szCs w:val="16"/>
        </w:rPr>
        <w:t xml:space="preserve">Bourne, R, Flaxman, S, Braithwaite, T et al. Magnitude, </w:t>
      </w:r>
      <w:r w:rsidR="00E75529">
        <w:rPr>
          <w:sz w:val="16"/>
          <w:szCs w:val="16"/>
        </w:rPr>
        <w:t>“</w:t>
      </w:r>
      <w:r w:rsidRPr="00DC6C5E">
        <w:rPr>
          <w:sz w:val="16"/>
          <w:szCs w:val="16"/>
        </w:rPr>
        <w:t>Temporal Trends, and Projections of the Global Prevalence of Blindness and Distance and Near Vision Impairment: A Systematic Review and Meta-Analysis</w:t>
      </w:r>
      <w:r w:rsidR="00E75529">
        <w:rPr>
          <w:sz w:val="16"/>
          <w:szCs w:val="16"/>
        </w:rPr>
        <w:t>”</w:t>
      </w:r>
      <w:r w:rsidRPr="00DC6C5E">
        <w:rPr>
          <w:sz w:val="16"/>
          <w:szCs w:val="16"/>
        </w:rPr>
        <w:t>, The Lancet Global Health 2017, 5(9): 888-897.</w:t>
      </w:r>
    </w:p>
  </w:footnote>
  <w:footnote w:id="3">
    <w:p w14:paraId="7C1C2670" w14:textId="77777777" w:rsidR="00350232" w:rsidRDefault="00350232" w:rsidP="005346C3">
      <w:pPr>
        <w:pStyle w:val="FootnoteText"/>
      </w:pPr>
      <w:r>
        <w:rPr>
          <w:rStyle w:val="FootnoteReference"/>
        </w:rPr>
        <w:footnoteRef/>
      </w:r>
      <w:r>
        <w:t xml:space="preserve"> </w:t>
      </w:r>
      <w:r w:rsidRPr="00DC6C5E">
        <w:rPr>
          <w:sz w:val="16"/>
          <w:szCs w:val="16"/>
        </w:rPr>
        <w:t>Access Economics, 2010</w:t>
      </w:r>
      <w:r w:rsidRPr="00E75529">
        <w:rPr>
          <w:i/>
          <w:sz w:val="16"/>
          <w:szCs w:val="16"/>
        </w:rPr>
        <w:t>, Clear Focus: The Economic Impact of Vision Loss in Australia in 2009: A Report prepared for Vision 2020 Australia</w:t>
      </w:r>
      <w:r w:rsidRPr="00DC6C5E">
        <w:rPr>
          <w:sz w:val="16"/>
          <w:szCs w:val="16"/>
        </w:rPr>
        <w:t>, Melbourne</w:t>
      </w:r>
    </w:p>
  </w:footnote>
  <w:footnote w:id="4">
    <w:p w14:paraId="5EFB97B6" w14:textId="77777777" w:rsidR="00350232" w:rsidRDefault="00350232" w:rsidP="006C2FF4">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color w:val="000000"/>
          <w:sz w:val="18"/>
          <w:szCs w:val="18"/>
        </w:rPr>
        <w:t xml:space="preserve">Department of Health (2019) Australia’s </w:t>
      </w:r>
      <w:r>
        <w:rPr>
          <w:i/>
          <w:color w:val="000000"/>
          <w:sz w:val="18"/>
          <w:szCs w:val="18"/>
        </w:rPr>
        <w:t>National Long Term National Health Plan</w:t>
      </w:r>
      <w:r>
        <w:rPr>
          <w:color w:val="000000"/>
          <w:sz w:val="18"/>
          <w:szCs w:val="18"/>
        </w:rPr>
        <w:t xml:space="preserve"> p7</w:t>
      </w:r>
    </w:p>
  </w:footnote>
  <w:footnote w:id="5">
    <w:p w14:paraId="74F81939" w14:textId="77777777" w:rsidR="00350232" w:rsidRDefault="00350232" w:rsidP="006C2FF4">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color w:val="000000"/>
          <w:sz w:val="18"/>
          <w:szCs w:val="18"/>
        </w:rPr>
        <w:t xml:space="preserve">To date, funding for the Second National Eye Health Survey (budgeted at approx. $4m) and one off funds of $1.5M to extend the NSSS project and $1.6M  for equipment (slit lamps and retinal cameras) have been allocated </w:t>
      </w:r>
    </w:p>
  </w:footnote>
  <w:footnote w:id="6">
    <w:p w14:paraId="4DB99437" w14:textId="77777777" w:rsidR="00350232" w:rsidRDefault="00350232" w:rsidP="00160558">
      <w:pPr>
        <w:pStyle w:val="FootnoteText"/>
      </w:pPr>
      <w:r>
        <w:rPr>
          <w:rStyle w:val="FootnoteReference"/>
        </w:rPr>
        <w:footnoteRef/>
      </w:r>
      <w:r>
        <w:t xml:space="preserve"> </w:t>
      </w:r>
      <w:r w:rsidRPr="00646A5A">
        <w:rPr>
          <w:rFonts w:cs="Arial"/>
          <w:color w:val="000000"/>
          <w:sz w:val="18"/>
          <w:szCs w:val="18"/>
        </w:rPr>
        <w:t>Access Economic</w:t>
      </w:r>
      <w:r>
        <w:rPr>
          <w:rFonts w:cs="Arial"/>
          <w:color w:val="000000"/>
          <w:sz w:val="18"/>
          <w:szCs w:val="18"/>
        </w:rPr>
        <w:t>s (2010)</w:t>
      </w:r>
      <w:r w:rsidRPr="00646A5A">
        <w:rPr>
          <w:rFonts w:cs="Arial"/>
          <w:color w:val="000000"/>
          <w:sz w:val="18"/>
          <w:szCs w:val="18"/>
        </w:rPr>
        <w:t xml:space="preserve"> “</w:t>
      </w:r>
      <w:r w:rsidRPr="001B6734">
        <w:rPr>
          <w:rFonts w:cs="Arial"/>
          <w:i/>
          <w:color w:val="000000"/>
          <w:sz w:val="18"/>
          <w:szCs w:val="18"/>
        </w:rPr>
        <w:t>Clear Focus: The Economic Impact of Vision Loss in Australia in 2009</w:t>
      </w:r>
      <w:r w:rsidRPr="00646A5A">
        <w:rPr>
          <w:rFonts w:cs="Arial"/>
          <w:color w:val="000000"/>
          <w:sz w:val="18"/>
          <w:szCs w:val="18"/>
        </w:rPr>
        <w:t>”</w:t>
      </w:r>
    </w:p>
  </w:footnote>
  <w:footnote w:id="7">
    <w:p w14:paraId="6377DC1E" w14:textId="77777777" w:rsidR="00350232" w:rsidRDefault="00350232" w:rsidP="00160558">
      <w:r>
        <w:rPr>
          <w:rStyle w:val="FootnoteReference"/>
        </w:rPr>
        <w:footnoteRef/>
      </w:r>
      <w:r>
        <w:t xml:space="preserve"> </w:t>
      </w:r>
      <w:r w:rsidRPr="008B15AB">
        <w:rPr>
          <w:sz w:val="18"/>
          <w:szCs w:val="18"/>
        </w:rPr>
        <w:t xml:space="preserve">The National Aged Care Alliance published analysis in 2018 noting that while investing in an assistive technology bundle for moderate functional impairment, vision loss and joint conditions involved a higher initial outlay, after one </w:t>
      </w:r>
      <w:r>
        <w:rPr>
          <w:sz w:val="18"/>
          <w:szCs w:val="18"/>
        </w:rPr>
        <w:t xml:space="preserve">year </w:t>
      </w:r>
      <w:r w:rsidRPr="008B15AB">
        <w:rPr>
          <w:sz w:val="18"/>
          <w:szCs w:val="18"/>
        </w:rPr>
        <w:t>the federal government would save $2.93 for every dollar spent with this increasing to $11.44 after five years, due to avoidance of GP visits and admissions.</w:t>
      </w:r>
    </w:p>
  </w:footnote>
  <w:footnote w:id="8">
    <w:p w14:paraId="08445873" w14:textId="77777777" w:rsidR="00350232" w:rsidRDefault="00350232" w:rsidP="00160558">
      <w:r w:rsidRPr="006B1D46">
        <w:rPr>
          <w:rStyle w:val="FootnoteReference"/>
          <w:sz w:val="18"/>
          <w:szCs w:val="18"/>
        </w:rPr>
        <w:footnoteRef/>
      </w:r>
      <w:r>
        <w:t xml:space="preserve"> </w:t>
      </w:r>
      <w:r>
        <w:rPr>
          <w:sz w:val="18"/>
          <w:szCs w:val="18"/>
        </w:rPr>
        <w:t>This</w:t>
      </w:r>
      <w:r w:rsidRPr="00FB69AC">
        <w:rPr>
          <w:sz w:val="18"/>
          <w:szCs w:val="18"/>
        </w:rPr>
        <w:t xml:space="preserve"> represents a combination of products which members have identified as being the most critical, and the most frequently used, by people who are blind or have low vision over the age of 65. Prices, wherever possible, have been drawn from catalogues from existing providers delivering these services under the DVA scheme.</w:t>
      </w:r>
    </w:p>
  </w:footnote>
  <w:footnote w:id="9">
    <w:p w14:paraId="4101D652" w14:textId="77777777" w:rsidR="00350232" w:rsidRDefault="00350232" w:rsidP="00160558">
      <w:pPr>
        <w:pStyle w:val="FootnoteText"/>
      </w:pPr>
      <w:r>
        <w:rPr>
          <w:rStyle w:val="FootnoteReference"/>
        </w:rPr>
        <w:footnoteRef/>
      </w:r>
      <w:r>
        <w:t xml:space="preserve"> These percentages have been struck to accommodate new clients, those whose vision has changed, and those who need to replace equipment. </w:t>
      </w:r>
    </w:p>
  </w:footnote>
  <w:footnote w:id="10">
    <w:p w14:paraId="7E87D782" w14:textId="77777777" w:rsidR="00350232" w:rsidRPr="002E5415" w:rsidRDefault="00350232" w:rsidP="00773154">
      <w:pPr>
        <w:pStyle w:val="FootnoteText"/>
        <w:rPr>
          <w:lang w:val="en-US"/>
        </w:rPr>
      </w:pPr>
      <w:r>
        <w:rPr>
          <w:rStyle w:val="FootnoteReference"/>
        </w:rPr>
        <w:footnoteRef/>
      </w:r>
      <w:r>
        <w:t xml:space="preserve"> Cataract causes</w:t>
      </w:r>
      <w:r w:rsidRPr="00F12FAE">
        <w:t xml:space="preserve"> </w:t>
      </w:r>
      <w:r>
        <w:t>bilateral vision impairment in 20% of Aboriginal and Torres Strait Islander people aged 40 years and over and 14% of other Australians aged 50 years and older.</w:t>
      </w:r>
    </w:p>
  </w:footnote>
  <w:footnote w:id="11">
    <w:p w14:paraId="3C63A09F" w14:textId="77777777" w:rsidR="00350232" w:rsidRDefault="00350232" w:rsidP="00773154">
      <w:pPr>
        <w:pStyle w:val="FootnoteText"/>
        <w:rPr>
          <w:lang w:val="en-US"/>
        </w:rPr>
      </w:pPr>
      <w:r>
        <w:rPr>
          <w:rStyle w:val="FootnoteReference"/>
        </w:rPr>
        <w:footnoteRef/>
      </w:r>
      <w:r>
        <w:t xml:space="preserve"> </w:t>
      </w:r>
      <w:r>
        <w:rPr>
          <w:lang w:val="en-US"/>
        </w:rPr>
        <w:t>UNSW (2020) ”Access to Public Cataract Services in Australia” report, p20</w:t>
      </w:r>
    </w:p>
  </w:footnote>
  <w:footnote w:id="12">
    <w:p w14:paraId="5515BA1E" w14:textId="4F09E049" w:rsidR="00350232" w:rsidRDefault="00350232" w:rsidP="00773154">
      <w:pPr>
        <w:pStyle w:val="FootnoteText"/>
        <w:rPr>
          <w:lang w:val="en-US"/>
        </w:rPr>
      </w:pPr>
      <w:r>
        <w:rPr>
          <w:rStyle w:val="FootnoteReference"/>
        </w:rPr>
        <w:footnoteRef/>
      </w:r>
      <w:r>
        <w:t xml:space="preserve"> Australian Institute of Health and Welfare </w:t>
      </w:r>
      <w:r w:rsidR="00CA1E2F">
        <w:t>(</w:t>
      </w:r>
      <w:r>
        <w:t>2020</w:t>
      </w:r>
      <w:r w:rsidR="00CA1E2F">
        <w:t>)</w:t>
      </w:r>
      <w:r>
        <w:t xml:space="preserve"> </w:t>
      </w:r>
      <w:r w:rsidRPr="00CA1E2F">
        <w:rPr>
          <w:i/>
        </w:rPr>
        <w:t>Indigenous eye health measures 2020</w:t>
      </w:r>
      <w:r>
        <w:t>, p33</w:t>
      </w:r>
    </w:p>
  </w:footnote>
  <w:footnote w:id="13">
    <w:p w14:paraId="3D92003E" w14:textId="2236BF61" w:rsidR="00350232" w:rsidRDefault="00350232" w:rsidP="00773154">
      <w:pPr>
        <w:pStyle w:val="ListBullet0"/>
        <w:numPr>
          <w:ilvl w:val="0"/>
          <w:numId w:val="0"/>
        </w:numPr>
        <w:spacing w:before="0"/>
      </w:pPr>
      <w:r>
        <w:rPr>
          <w:rStyle w:val="FootnoteReference"/>
        </w:rPr>
        <w:footnoteRef/>
      </w:r>
      <w:r>
        <w:t xml:space="preserve"> </w:t>
      </w:r>
      <w:r w:rsidRPr="002E5415">
        <w:rPr>
          <w:rFonts w:eastAsiaTheme="minorHAnsi" w:cstheme="minorBidi"/>
          <w:sz w:val="20"/>
          <w:szCs w:val="20"/>
          <w:lang w:eastAsia="en-US"/>
        </w:rPr>
        <w:t>The National Eye Health Survey (2016) found that almost 40</w:t>
      </w:r>
      <w:r w:rsidR="00CA1E2F">
        <w:rPr>
          <w:rFonts w:eastAsiaTheme="minorHAnsi" w:cstheme="minorBidi"/>
          <w:sz w:val="20"/>
          <w:szCs w:val="20"/>
          <w:lang w:eastAsia="en-US"/>
        </w:rPr>
        <w:t>%</w:t>
      </w:r>
      <w:r w:rsidRPr="002E5415">
        <w:rPr>
          <w:rFonts w:eastAsiaTheme="minorHAnsi" w:cstheme="minorBidi"/>
          <w:sz w:val="20"/>
          <w:szCs w:val="20"/>
          <w:lang w:eastAsia="en-US"/>
        </w:rPr>
        <w:t xml:space="preserve"> of Indigenous Australians and 13</w:t>
      </w:r>
      <w:r w:rsidR="00CA1E2F">
        <w:rPr>
          <w:rFonts w:eastAsiaTheme="minorHAnsi" w:cstheme="minorBidi"/>
          <w:sz w:val="20"/>
          <w:szCs w:val="20"/>
          <w:lang w:eastAsia="en-US"/>
        </w:rPr>
        <w:t>%</w:t>
      </w:r>
      <w:r w:rsidRPr="002E5415">
        <w:rPr>
          <w:rFonts w:eastAsiaTheme="minorHAnsi" w:cstheme="minorBidi"/>
          <w:sz w:val="20"/>
          <w:szCs w:val="20"/>
          <w:lang w:eastAsia="en-US"/>
        </w:rPr>
        <w:t xml:space="preserve"> of non-Indigenous Australians who need cataract surgery have not accessed specialist treatment services.</w:t>
      </w:r>
    </w:p>
    <w:p w14:paraId="25202138" w14:textId="77777777" w:rsidR="00350232" w:rsidRPr="002E5415" w:rsidRDefault="00350232" w:rsidP="00773154">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44164" w14:textId="77777777" w:rsidR="00350232" w:rsidRPr="00F27974" w:rsidRDefault="00350232" w:rsidP="00F27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C906C" w14:textId="77777777" w:rsidR="00350232" w:rsidRDefault="00350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4BF51" w14:textId="77777777" w:rsidR="00350232" w:rsidRDefault="003502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F8B46" w14:textId="77777777" w:rsidR="00350232" w:rsidRDefault="00350232" w:rsidP="00271CE8">
    <w:pPr>
      <w:pStyle w:val="Header"/>
      <w:tabs>
        <w:tab w:val="left" w:pos="615"/>
        <w:tab w:val="right" w:pos="9638"/>
      </w:tabs>
    </w:pPr>
    <w:r>
      <w:tab/>
    </w:r>
    <w:r>
      <w:tab/>
    </w:r>
    <w:r>
      <w:rPr>
        <w:noProof/>
        <w:lang w:eastAsia="en-AU"/>
      </w:rPr>
      <w:drawing>
        <wp:inline distT="0" distB="0" distL="0" distR="0" wp14:anchorId="60CF0723" wp14:editId="0151AE7F">
          <wp:extent cx="763235"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2020_silver_letterheadlogo_RGB_600dpi_02.png"/>
                  <pic:cNvPicPr/>
                </pic:nvPicPr>
                <pic:blipFill>
                  <a:blip r:embed="rId1"/>
                  <a:stretch>
                    <a:fillRect/>
                  </a:stretch>
                </pic:blipFill>
                <pic:spPr>
                  <a:xfrm>
                    <a:off x="0" y="0"/>
                    <a:ext cx="769076" cy="1138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2F50E6E"/>
    <w:multiLevelType w:val="multilevel"/>
    <w:tmpl w:val="846EE978"/>
    <w:lvl w:ilvl="0">
      <w:start w:val="1"/>
      <w:numFmt w:val="bullet"/>
      <w:lvlText w:val="●"/>
      <w:lvlJc w:val="left"/>
      <w:pPr>
        <w:ind w:left="720" w:hanging="72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7284AE9"/>
    <w:multiLevelType w:val="multilevel"/>
    <w:tmpl w:val="6706DB1E"/>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sz w:val="24"/>
      </w:rPr>
    </w:lvl>
    <w:lvl w:ilvl="1">
      <w:start w:val="1"/>
      <w:numFmt w:val="lowerRoman"/>
      <w:pStyle w:val="ListAlpha2"/>
      <w:lvlText w:val="%2."/>
      <w:lvlJc w:val="left"/>
      <w:pPr>
        <w:tabs>
          <w:tab w:val="num" w:pos="850"/>
        </w:tabs>
        <w:ind w:left="850" w:hanging="425"/>
      </w:pPr>
      <w:rPr>
        <w:rFonts w:asciiTheme="minorHAnsi" w:hAnsiTheme="minorHAnsi" w:hint="default"/>
        <w:color w:val="auto"/>
        <w:sz w:val="24"/>
      </w:rPr>
    </w:lvl>
    <w:lvl w:ilvl="2">
      <w:start w:val="1"/>
      <w:numFmt w:val="decimal"/>
      <w:pStyle w:val="ListAlpha3"/>
      <w:lvlText w:val="%3."/>
      <w:lvlJc w:val="left"/>
      <w:pPr>
        <w:tabs>
          <w:tab w:val="num" w:pos="1275"/>
        </w:tabs>
        <w:ind w:left="1275" w:hanging="425"/>
      </w:pPr>
      <w:rPr>
        <w:rFonts w:asciiTheme="minorHAnsi" w:hAnsiTheme="minorHAnsi" w:hint="default"/>
        <w:color w:val="auto"/>
        <w:sz w:val="24"/>
      </w:rPr>
    </w:lvl>
    <w:lvl w:ilvl="3">
      <w:start w:val="1"/>
      <w:numFmt w:val="upperLetter"/>
      <w:pStyle w:val="ListAlpha4"/>
      <w:lvlText w:val="%4."/>
      <w:lvlJc w:val="left"/>
      <w:pPr>
        <w:tabs>
          <w:tab w:val="num" w:pos="1700"/>
        </w:tabs>
        <w:ind w:left="1700" w:hanging="425"/>
      </w:pPr>
      <w:rPr>
        <w:rFonts w:asciiTheme="minorHAnsi" w:hAnsiTheme="minorHAnsi" w:hint="default"/>
        <w:color w:val="auto"/>
        <w:sz w:val="24"/>
      </w:rPr>
    </w:lvl>
    <w:lvl w:ilvl="4">
      <w:start w:val="1"/>
      <w:numFmt w:val="upperRoman"/>
      <w:lvlText w:val="%5."/>
      <w:lvlJc w:val="left"/>
      <w:pPr>
        <w:tabs>
          <w:tab w:val="num" w:pos="2125"/>
        </w:tabs>
        <w:ind w:left="2125" w:hanging="425"/>
      </w:pPr>
      <w:rPr>
        <w:rFonts w:asciiTheme="minorHAnsi" w:hAnsiTheme="minorHAnsi" w:hint="default"/>
        <w:color w:val="auto"/>
        <w:sz w:val="24"/>
      </w:rPr>
    </w:lvl>
    <w:lvl w:ilvl="5">
      <w:start w:val="1"/>
      <w:numFmt w:val="decimal"/>
      <w:pStyle w:val="ListAlpha6"/>
      <w:lvlText w:val="%6."/>
      <w:lvlJc w:val="left"/>
      <w:pPr>
        <w:tabs>
          <w:tab w:val="num" w:pos="2550"/>
        </w:tabs>
        <w:ind w:left="2550" w:hanging="425"/>
      </w:pPr>
      <w:rPr>
        <w:rFonts w:asciiTheme="minorHAnsi" w:hAnsiTheme="minorHAnsi" w:hint="default"/>
        <w:color w:val="auto"/>
        <w:sz w:val="22"/>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3" w15:restartNumberingAfterBreak="0">
    <w:nsid w:val="0CB82EF8"/>
    <w:multiLevelType w:val="multilevel"/>
    <w:tmpl w:val="1556E92C"/>
    <w:styleLink w:val="ListAttachment"/>
    <w:lvl w:ilvl="0">
      <w:start w:val="1"/>
      <w:numFmt w:val="upperLetter"/>
      <w:lvlRestart w:val="0"/>
      <w:pStyle w:val="AttachmentH1"/>
      <w:lvlText w:val="Attachment %1"/>
      <w:lvlJc w:val="left"/>
      <w:pPr>
        <w:tabs>
          <w:tab w:val="num" w:pos="2552"/>
        </w:tabs>
        <w:ind w:left="2552" w:hanging="2552"/>
      </w:pPr>
      <w:rPr>
        <w:rFonts w:ascii="Arial" w:hAnsi="Arial" w:hint="default"/>
        <w:color w:val="auto"/>
        <w:sz w:val="36"/>
        <w:szCs w:val="32"/>
      </w:rPr>
    </w:lvl>
    <w:lvl w:ilvl="1">
      <w:start w:val="1"/>
      <w:numFmt w:val="decimal"/>
      <w:pStyle w:val="AttachmentH2"/>
      <w:lvlText w:val="%1-%2"/>
      <w:lvlJc w:val="left"/>
      <w:pPr>
        <w:tabs>
          <w:tab w:val="num" w:pos="851"/>
        </w:tabs>
        <w:ind w:left="851" w:hanging="851"/>
      </w:pPr>
      <w:rPr>
        <w:rFonts w:hint="default"/>
      </w:rPr>
    </w:lvl>
    <w:lvl w:ilvl="2">
      <w:start w:val="1"/>
      <w:numFmt w:val="decimal"/>
      <w:pStyle w:val="AttachmentH3"/>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 w15:restartNumberingAfterBreak="0">
    <w:nsid w:val="0CCD4DAA"/>
    <w:multiLevelType w:val="multilevel"/>
    <w:tmpl w:val="626C565E"/>
    <w:styleLink w:val="ListTableBullet"/>
    <w:lvl w:ilvl="0">
      <w:start w:val="1"/>
      <w:numFmt w:val="bullet"/>
      <w:pStyle w:val="TableBullet"/>
      <w:lvlText w:val="•"/>
      <w:lvlJc w:val="left"/>
      <w:pPr>
        <w:tabs>
          <w:tab w:val="num" w:pos="284"/>
        </w:tabs>
        <w:ind w:left="284" w:hanging="284"/>
      </w:pPr>
      <w:rPr>
        <w:rFonts w:ascii="Arial" w:hAnsi="Arial" w:hint="default"/>
        <w:color w:val="auto"/>
        <w:sz w:val="24"/>
      </w:rPr>
    </w:lvl>
    <w:lvl w:ilvl="1">
      <w:start w:val="1"/>
      <w:numFmt w:val="bullet"/>
      <w:pStyle w:val="TableBullet2"/>
      <w:lvlText w:val="-"/>
      <w:lvlJc w:val="left"/>
      <w:pPr>
        <w:tabs>
          <w:tab w:val="num" w:pos="567"/>
        </w:tabs>
        <w:ind w:left="567" w:hanging="283"/>
      </w:pPr>
      <w:rPr>
        <w:rFonts w:ascii="Arial" w:hAnsi="Arial" w:hint="default"/>
        <w:color w:val="auto"/>
        <w:sz w:val="24"/>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0F0906F8"/>
    <w:multiLevelType w:val="hybridMultilevel"/>
    <w:tmpl w:val="0910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63E16"/>
    <w:multiLevelType w:val="multilevel"/>
    <w:tmpl w:val="4B0434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ListAlpha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4741D40"/>
    <w:multiLevelType w:val="multilevel"/>
    <w:tmpl w:val="2FAA1644"/>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1"/>
        </w:tabs>
        <w:ind w:left="850" w:hanging="425"/>
      </w:pPr>
      <w:rPr>
        <w:rFonts w:asciiTheme="minorHAnsi" w:hAnsiTheme="minorHAnsi" w:hint="default"/>
        <w:b w:val="0"/>
        <w:i w:val="0"/>
        <w:color w:val="auto"/>
        <w:sz w:val="24"/>
      </w:rPr>
    </w:lvl>
    <w:lvl w:ilvl="2">
      <w:start w:val="1"/>
      <w:numFmt w:val="lowerRoman"/>
      <w:pStyle w:val="ListNumber3"/>
      <w:lvlText w:val="%3."/>
      <w:lvlJc w:val="left"/>
      <w:pPr>
        <w:tabs>
          <w:tab w:val="num" w:pos="1276"/>
        </w:tabs>
        <w:ind w:left="1275" w:hanging="425"/>
      </w:pPr>
      <w:rPr>
        <w:rFonts w:asciiTheme="minorHAnsi" w:hAnsiTheme="minorHAnsi" w:hint="default"/>
        <w:b w:val="0"/>
        <w:i w:val="0"/>
        <w:color w:val="auto"/>
        <w:sz w:val="24"/>
      </w:rPr>
    </w:lvl>
    <w:lvl w:ilvl="3">
      <w:start w:val="1"/>
      <w:numFmt w:val="upperLetter"/>
      <w:pStyle w:val="ListNumber4"/>
      <w:lvlText w:val="%4."/>
      <w:lvlJc w:val="left"/>
      <w:pPr>
        <w:tabs>
          <w:tab w:val="num" w:pos="1701"/>
        </w:tabs>
        <w:ind w:left="1700" w:hanging="425"/>
      </w:pPr>
      <w:rPr>
        <w:rFonts w:asciiTheme="minorHAnsi" w:hAnsiTheme="minorHAnsi" w:hint="default"/>
        <w:b w:val="0"/>
        <w:i w:val="0"/>
        <w:color w:val="auto"/>
        <w:sz w:val="24"/>
      </w:rPr>
    </w:lvl>
    <w:lvl w:ilvl="4">
      <w:start w:val="1"/>
      <w:numFmt w:val="upperRoman"/>
      <w:pStyle w:val="ListNumber5"/>
      <w:lvlText w:val="%5."/>
      <w:lvlJc w:val="left"/>
      <w:pPr>
        <w:tabs>
          <w:tab w:val="num" w:pos="2126"/>
        </w:tabs>
        <w:ind w:left="2125" w:hanging="425"/>
      </w:pPr>
      <w:rPr>
        <w:rFonts w:asciiTheme="minorHAnsi" w:hAnsiTheme="minorHAnsi" w:hint="default"/>
        <w:b w:val="0"/>
        <w:i w:val="0"/>
        <w:color w:val="auto"/>
        <w:sz w:val="24"/>
      </w:rPr>
    </w:lvl>
    <w:lvl w:ilvl="5">
      <w:start w:val="1"/>
      <w:numFmt w:val="decimal"/>
      <w:pStyle w:val="ListNumber6"/>
      <w:lvlText w:val="%6."/>
      <w:lvlJc w:val="left"/>
      <w:pPr>
        <w:tabs>
          <w:tab w:val="num" w:pos="2552"/>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8" w15:restartNumberingAfterBreak="0">
    <w:nsid w:val="2EB05619"/>
    <w:multiLevelType w:val="hybridMultilevel"/>
    <w:tmpl w:val="6D8286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B91D49"/>
    <w:multiLevelType w:val="hybridMultilevel"/>
    <w:tmpl w:val="4412FC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3912ED"/>
    <w:multiLevelType w:val="multilevel"/>
    <w:tmpl w:val="279CF11E"/>
    <w:styleLink w:val="ListBullet"/>
    <w:lvl w:ilvl="0">
      <w:start w:val="1"/>
      <w:numFmt w:val="bullet"/>
      <w:pStyle w:val="ListBullet0"/>
      <w:lvlText w:val="•"/>
      <w:lvlJc w:val="left"/>
      <w:pPr>
        <w:tabs>
          <w:tab w:val="num" w:pos="425"/>
        </w:tabs>
        <w:ind w:left="425" w:hanging="425"/>
      </w:pPr>
      <w:rPr>
        <w:rFonts w:ascii="Arial" w:hAnsi="Arial" w:hint="default"/>
        <w:b w:val="0"/>
        <w:i w:val="0"/>
        <w:color w:val="auto"/>
        <w:sz w:val="24"/>
        <w:szCs w:val="20"/>
      </w:rPr>
    </w:lvl>
    <w:lvl w:ilvl="1">
      <w:start w:val="1"/>
      <w:numFmt w:val="bullet"/>
      <w:pStyle w:val="ListBullet2"/>
      <w:lvlText w:val="-"/>
      <w:lvlJc w:val="left"/>
      <w:pPr>
        <w:tabs>
          <w:tab w:val="num" w:pos="851"/>
        </w:tabs>
        <w:ind w:left="851" w:hanging="426"/>
      </w:pPr>
      <w:rPr>
        <w:rFonts w:ascii="Arial" w:hAnsi="Arial" w:hint="default"/>
        <w:caps w:val="0"/>
        <w:strike w:val="0"/>
        <w:dstrike w:val="0"/>
        <w:vanish w:val="0"/>
        <w:color w:val="auto"/>
        <w:sz w:val="24"/>
        <w:u w:val="none"/>
        <w:vertAlign w:val="baseline"/>
      </w:rPr>
    </w:lvl>
    <w:lvl w:ilvl="2">
      <w:start w:val="1"/>
      <w:numFmt w:val="bullet"/>
      <w:pStyle w:val="ListBullet3"/>
      <w:lvlText w:val="•"/>
      <w:lvlJc w:val="left"/>
      <w:pPr>
        <w:tabs>
          <w:tab w:val="num" w:pos="1276"/>
        </w:tabs>
        <w:ind w:left="1276" w:hanging="425"/>
      </w:pPr>
      <w:rPr>
        <w:rFonts w:ascii="Arial" w:hAnsi="Arial" w:hint="default"/>
        <w:color w:val="auto"/>
        <w:sz w:val="24"/>
      </w:rPr>
    </w:lvl>
    <w:lvl w:ilvl="3">
      <w:start w:val="1"/>
      <w:numFmt w:val="bullet"/>
      <w:pStyle w:val="ListBullet4"/>
      <w:lvlText w:val="-"/>
      <w:lvlJc w:val="left"/>
      <w:pPr>
        <w:tabs>
          <w:tab w:val="num" w:pos="1701"/>
        </w:tabs>
        <w:ind w:left="1701" w:hanging="425"/>
      </w:pPr>
      <w:rPr>
        <w:rFonts w:ascii="Arial" w:hAnsi="Arial" w:hint="default"/>
        <w:caps w:val="0"/>
        <w:strike w:val="0"/>
        <w:dstrike w:val="0"/>
        <w:vanish w:val="0"/>
        <w:color w:val="auto"/>
        <w:sz w:val="24"/>
        <w:u w:val="none"/>
        <w:vertAlign w:val="baseline"/>
      </w:rPr>
    </w:lvl>
    <w:lvl w:ilvl="4">
      <w:start w:val="1"/>
      <w:numFmt w:val="bullet"/>
      <w:pStyle w:val="ListBullet5"/>
      <w:lvlText w:val="•"/>
      <w:lvlJc w:val="left"/>
      <w:pPr>
        <w:tabs>
          <w:tab w:val="num" w:pos="2126"/>
        </w:tabs>
        <w:ind w:left="2126" w:hanging="425"/>
      </w:pPr>
      <w:rPr>
        <w:rFonts w:ascii="Arial" w:hAnsi="Arial" w:hint="default"/>
        <w:color w:val="auto"/>
        <w:sz w:val="24"/>
      </w:rPr>
    </w:lvl>
    <w:lvl w:ilvl="5">
      <w:start w:val="1"/>
      <w:numFmt w:val="bullet"/>
      <w:pStyle w:val="ListBullet6"/>
      <w:lvlText w:val="-"/>
      <w:lvlJc w:val="left"/>
      <w:pPr>
        <w:tabs>
          <w:tab w:val="num" w:pos="2552"/>
        </w:tabs>
        <w:ind w:left="2552" w:hanging="426"/>
      </w:pPr>
      <w:rPr>
        <w:rFonts w:ascii="Arial" w:hAnsi="Arial" w:hint="default"/>
        <w:caps w:val="0"/>
        <w:strike w:val="0"/>
        <w:dstrike w:val="0"/>
        <w:vanish w:val="0"/>
        <w:color w:val="auto"/>
        <w:sz w:val="24"/>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1" w15:restartNumberingAfterBreak="0">
    <w:nsid w:val="40071FAE"/>
    <w:multiLevelType w:val="multilevel"/>
    <w:tmpl w:val="9D625AA6"/>
    <w:styleLink w:val="ListNumberedHeadings"/>
    <w:lvl w:ilvl="0">
      <w:start w:val="1"/>
      <w:numFmt w:val="decimal"/>
      <w:pStyle w:val="NbrHeading1"/>
      <w:lvlText w:val="%1"/>
      <w:lvlJc w:val="left"/>
      <w:pPr>
        <w:tabs>
          <w:tab w:val="num" w:pos="1134"/>
        </w:tabs>
        <w:ind w:left="1134" w:hanging="1134"/>
      </w:pPr>
      <w:rPr>
        <w:rFonts w:asciiTheme="majorHAnsi" w:hAnsiTheme="majorHAnsi" w:hint="default"/>
        <w:color w:val="004B8D" w:themeColor="accent1"/>
        <w:sz w:val="36"/>
      </w:rPr>
    </w:lvl>
    <w:lvl w:ilvl="1">
      <w:start w:val="1"/>
      <w:numFmt w:val="decimal"/>
      <w:pStyle w:val="NbrHeading2"/>
      <w:lvlText w:val="%1.%2"/>
      <w:lvlJc w:val="left"/>
      <w:pPr>
        <w:tabs>
          <w:tab w:val="num" w:pos="1134"/>
        </w:tabs>
        <w:ind w:left="1134" w:hanging="1134"/>
      </w:pPr>
      <w:rPr>
        <w:rFonts w:asciiTheme="majorHAnsi" w:hAnsiTheme="majorHAnsi" w:hint="default"/>
        <w:color w:val="004B8D" w:themeColor="accent1"/>
        <w:sz w:val="32"/>
      </w:rPr>
    </w:lvl>
    <w:lvl w:ilvl="2">
      <w:start w:val="1"/>
      <w:numFmt w:val="decimal"/>
      <w:pStyle w:val="NbrHeading3"/>
      <w:lvlText w:val="%1.%2.%3"/>
      <w:lvlJc w:val="left"/>
      <w:pPr>
        <w:tabs>
          <w:tab w:val="num" w:pos="1134"/>
        </w:tabs>
        <w:ind w:left="1134" w:hanging="1134"/>
      </w:pPr>
      <w:rPr>
        <w:rFonts w:asciiTheme="majorHAnsi" w:hAnsiTheme="majorHAnsi" w:hint="default"/>
        <w:b w:val="0"/>
        <w:color w:val="004B8D" w:themeColor="accent1"/>
        <w:sz w:val="28"/>
      </w:rPr>
    </w:lvl>
    <w:lvl w:ilvl="3">
      <w:start w:val="1"/>
      <w:numFmt w:val="decimal"/>
      <w:pStyle w:val="NbrHeading4"/>
      <w:lvlText w:val="%1.%2.%3.%4"/>
      <w:lvlJc w:val="left"/>
      <w:pPr>
        <w:tabs>
          <w:tab w:val="num" w:pos="1134"/>
        </w:tabs>
        <w:ind w:left="1134" w:hanging="1134"/>
      </w:pPr>
      <w:rPr>
        <w:rFonts w:asciiTheme="majorHAnsi" w:hAnsiTheme="majorHAnsi" w:hint="default"/>
        <w:color w:val="004B8D" w:themeColor="accent1"/>
        <w:sz w:val="22"/>
      </w:rPr>
    </w:lvl>
    <w:lvl w:ilvl="4">
      <w:start w:val="1"/>
      <w:numFmt w:val="decimal"/>
      <w:pStyle w:val="NbrHeading5"/>
      <w:lvlText w:val="%1.%2.%3.%4.%5"/>
      <w:lvlJc w:val="left"/>
      <w:pPr>
        <w:tabs>
          <w:tab w:val="num" w:pos="1134"/>
        </w:tabs>
        <w:ind w:left="1134" w:hanging="1134"/>
      </w:pPr>
      <w:rPr>
        <w:rFonts w:asciiTheme="majorHAnsi" w:hAnsiTheme="majorHAnsi" w:hint="default"/>
        <w:color w:val="004B8D" w:themeColor="accent1"/>
        <w:sz w:val="22"/>
        <w:u w:val="none"/>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2" w15:restartNumberingAfterBreak="0">
    <w:nsid w:val="575F1871"/>
    <w:multiLevelType w:val="multilevel"/>
    <w:tmpl w:val="9D625AA6"/>
    <w:numStyleLink w:val="ListNumberedHeadings"/>
  </w:abstractNum>
  <w:abstractNum w:abstractNumId="13" w15:restartNumberingAfterBreak="0">
    <w:nsid w:val="5DB0627A"/>
    <w:multiLevelType w:val="multilevel"/>
    <w:tmpl w:val="626C565E"/>
    <w:numStyleLink w:val="ListTableBullet"/>
  </w:abstractNum>
  <w:abstractNum w:abstractNumId="14" w15:restartNumberingAfterBreak="0">
    <w:nsid w:val="5EAE74B1"/>
    <w:multiLevelType w:val="hybridMultilevel"/>
    <w:tmpl w:val="DE445072"/>
    <w:lvl w:ilvl="0" w:tplc="3F04E878">
      <w:numFmt w:val="bullet"/>
      <w:lvlText w:val=""/>
      <w:lvlJc w:val="left"/>
      <w:pPr>
        <w:ind w:left="360" w:hanging="360"/>
      </w:pPr>
      <w:rPr>
        <w:rFonts w:ascii="Symbol" w:eastAsia="Calibr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5FBD15B1"/>
    <w:multiLevelType w:val="hybridMultilevel"/>
    <w:tmpl w:val="B8984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792BC7"/>
    <w:multiLevelType w:val="multilevel"/>
    <w:tmpl w:val="BDFC207A"/>
    <w:numStyleLink w:val="ListTableNumber"/>
  </w:abstractNum>
  <w:abstractNum w:abstractNumId="17"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7139706E"/>
    <w:multiLevelType w:val="multilevel"/>
    <w:tmpl w:val="11C64328"/>
    <w:numStyleLink w:val="ListParagraph"/>
  </w:abstractNum>
  <w:abstractNum w:abstractNumId="19" w15:restartNumberingAfterBreak="0">
    <w:nsid w:val="75CD0845"/>
    <w:multiLevelType w:val="hybridMultilevel"/>
    <w:tmpl w:val="FDB26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35A18"/>
    <w:multiLevelType w:val="hybridMultilevel"/>
    <w:tmpl w:val="3A7860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1A461F"/>
    <w:multiLevelType w:val="multilevel"/>
    <w:tmpl w:val="1556E92C"/>
    <w:numStyleLink w:val="ListAttachment"/>
  </w:abstractNum>
  <w:abstractNum w:abstractNumId="22"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2"/>
  </w:num>
  <w:num w:numId="2">
    <w:abstractNumId w:val="22"/>
  </w:num>
  <w:num w:numId="3">
    <w:abstractNumId w:val="7"/>
  </w:num>
  <w:num w:numId="4">
    <w:abstractNumId w:val="11"/>
  </w:num>
  <w:num w:numId="5">
    <w:abstractNumId w:val="0"/>
  </w:num>
  <w:num w:numId="6">
    <w:abstractNumId w:val="17"/>
  </w:num>
  <w:num w:numId="7">
    <w:abstractNumId w:val="18"/>
  </w:num>
  <w:num w:numId="8">
    <w:abstractNumId w:val="2"/>
  </w:num>
  <w:num w:numId="9">
    <w:abstractNumId w:val="7"/>
  </w:num>
  <w:num w:numId="10">
    <w:abstractNumId w:val="6"/>
  </w:num>
  <w:num w:numId="11">
    <w:abstractNumId w:val="16"/>
  </w:num>
  <w:num w:numId="12">
    <w:abstractNumId w:val="12"/>
    <w:lvlOverride w:ilvl="1">
      <w:lvl w:ilvl="1">
        <w:start w:val="1"/>
        <w:numFmt w:val="decimal"/>
        <w:pStyle w:val="NbrHeading2"/>
        <w:lvlText w:val="%1.%2"/>
        <w:lvlJc w:val="left"/>
        <w:pPr>
          <w:tabs>
            <w:tab w:val="num" w:pos="1134"/>
          </w:tabs>
          <w:ind w:left="1134" w:hanging="1134"/>
        </w:pPr>
        <w:rPr>
          <w:rFonts w:asciiTheme="majorHAnsi" w:hAnsiTheme="majorHAnsi" w:hint="default"/>
          <w:color w:val="004B8D" w:themeColor="accent1"/>
          <w:sz w:val="32"/>
        </w:rPr>
      </w:lvl>
    </w:lvlOverride>
  </w:num>
  <w:num w:numId="13">
    <w:abstractNumId w:val="10"/>
  </w:num>
  <w:num w:numId="14">
    <w:abstractNumId w:val="4"/>
  </w:num>
  <w:num w:numId="15">
    <w:abstractNumId w:val="13"/>
  </w:num>
  <w:num w:numId="16">
    <w:abstractNumId w:val="3"/>
  </w:num>
  <w:num w:numId="17">
    <w:abstractNumId w:val="21"/>
  </w:num>
  <w:num w:numId="18">
    <w:abstractNumId w:val="1"/>
  </w:num>
  <w:num w:numId="19">
    <w:abstractNumId w:val="15"/>
  </w:num>
  <w:num w:numId="20">
    <w:abstractNumId w:val="19"/>
  </w:num>
  <w:num w:numId="21">
    <w:abstractNumId w:val="5"/>
  </w:num>
  <w:num w:numId="22">
    <w:abstractNumId w:val="8"/>
  </w:num>
  <w:num w:numId="23">
    <w:abstractNumId w:val="20"/>
  </w:num>
  <w:num w:numId="24">
    <w:abstractNumId w:val="9"/>
  </w:num>
  <w:num w:numId="2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isplayBackgroundShape/>
  <w:activeWritingStyle w:appName="MSWord" w:lang="fr-FR" w:vendorID="64" w:dllVersion="6" w:nlCheck="1" w:checkStyle="0"/>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13"/>
    <w:rsid w:val="00000528"/>
    <w:rsid w:val="00006100"/>
    <w:rsid w:val="00007607"/>
    <w:rsid w:val="00012CE2"/>
    <w:rsid w:val="000173AC"/>
    <w:rsid w:val="000268FB"/>
    <w:rsid w:val="000274AB"/>
    <w:rsid w:val="00035779"/>
    <w:rsid w:val="000358CA"/>
    <w:rsid w:val="00036DC1"/>
    <w:rsid w:val="000427B8"/>
    <w:rsid w:val="00043A15"/>
    <w:rsid w:val="00044033"/>
    <w:rsid w:val="00047448"/>
    <w:rsid w:val="00057D8C"/>
    <w:rsid w:val="00062B3B"/>
    <w:rsid w:val="000652F5"/>
    <w:rsid w:val="00065E72"/>
    <w:rsid w:val="00066509"/>
    <w:rsid w:val="00071C7D"/>
    <w:rsid w:val="000735B4"/>
    <w:rsid w:val="00075FA8"/>
    <w:rsid w:val="00076F97"/>
    <w:rsid w:val="000771B8"/>
    <w:rsid w:val="000778B2"/>
    <w:rsid w:val="00082A12"/>
    <w:rsid w:val="0008604B"/>
    <w:rsid w:val="00086226"/>
    <w:rsid w:val="00086FF3"/>
    <w:rsid w:val="000870BB"/>
    <w:rsid w:val="00087D93"/>
    <w:rsid w:val="00093B51"/>
    <w:rsid w:val="00094707"/>
    <w:rsid w:val="00094C73"/>
    <w:rsid w:val="000A201A"/>
    <w:rsid w:val="000A457E"/>
    <w:rsid w:val="000B122A"/>
    <w:rsid w:val="000B32F4"/>
    <w:rsid w:val="000B3EBE"/>
    <w:rsid w:val="000B4F01"/>
    <w:rsid w:val="000B6FA1"/>
    <w:rsid w:val="000C0C22"/>
    <w:rsid w:val="000C1D1E"/>
    <w:rsid w:val="000C5684"/>
    <w:rsid w:val="000C5AA9"/>
    <w:rsid w:val="000C6408"/>
    <w:rsid w:val="000D1BBC"/>
    <w:rsid w:val="000E6735"/>
    <w:rsid w:val="000F319C"/>
    <w:rsid w:val="000F4A35"/>
    <w:rsid w:val="00101E1D"/>
    <w:rsid w:val="001063C6"/>
    <w:rsid w:val="00121EB2"/>
    <w:rsid w:val="00124214"/>
    <w:rsid w:val="0013218E"/>
    <w:rsid w:val="00135B51"/>
    <w:rsid w:val="00140E8B"/>
    <w:rsid w:val="00145CCD"/>
    <w:rsid w:val="0014705D"/>
    <w:rsid w:val="001474A2"/>
    <w:rsid w:val="001505D8"/>
    <w:rsid w:val="00152CCD"/>
    <w:rsid w:val="00154790"/>
    <w:rsid w:val="00156423"/>
    <w:rsid w:val="001600E5"/>
    <w:rsid w:val="00160558"/>
    <w:rsid w:val="00161138"/>
    <w:rsid w:val="00162854"/>
    <w:rsid w:val="00175B12"/>
    <w:rsid w:val="001808A2"/>
    <w:rsid w:val="00181BA7"/>
    <w:rsid w:val="00182330"/>
    <w:rsid w:val="001829A7"/>
    <w:rsid w:val="00185154"/>
    <w:rsid w:val="00186E49"/>
    <w:rsid w:val="0019114D"/>
    <w:rsid w:val="001A0843"/>
    <w:rsid w:val="001A104D"/>
    <w:rsid w:val="001A6E60"/>
    <w:rsid w:val="001B5779"/>
    <w:rsid w:val="001C0033"/>
    <w:rsid w:val="001C00EC"/>
    <w:rsid w:val="001C04A2"/>
    <w:rsid w:val="001C05DC"/>
    <w:rsid w:val="001C4658"/>
    <w:rsid w:val="001C6A5C"/>
    <w:rsid w:val="001D1C25"/>
    <w:rsid w:val="001D695A"/>
    <w:rsid w:val="001E1F40"/>
    <w:rsid w:val="001E42F7"/>
    <w:rsid w:val="001F16CA"/>
    <w:rsid w:val="001F2F20"/>
    <w:rsid w:val="001F7F02"/>
    <w:rsid w:val="0020582A"/>
    <w:rsid w:val="002072CB"/>
    <w:rsid w:val="002078C1"/>
    <w:rsid w:val="002106C4"/>
    <w:rsid w:val="00210DEF"/>
    <w:rsid w:val="00213FFC"/>
    <w:rsid w:val="00214A1F"/>
    <w:rsid w:val="0021652A"/>
    <w:rsid w:val="00222215"/>
    <w:rsid w:val="00224CCB"/>
    <w:rsid w:val="00227131"/>
    <w:rsid w:val="00227F33"/>
    <w:rsid w:val="002447C1"/>
    <w:rsid w:val="0025119D"/>
    <w:rsid w:val="00252201"/>
    <w:rsid w:val="00254DD8"/>
    <w:rsid w:val="00270CE7"/>
    <w:rsid w:val="002718F9"/>
    <w:rsid w:val="00271CE8"/>
    <w:rsid w:val="00271ECA"/>
    <w:rsid w:val="00272A42"/>
    <w:rsid w:val="00284F6E"/>
    <w:rsid w:val="0029117E"/>
    <w:rsid w:val="002966E5"/>
    <w:rsid w:val="002A590E"/>
    <w:rsid w:val="002A7805"/>
    <w:rsid w:val="002B1226"/>
    <w:rsid w:val="002B1C4E"/>
    <w:rsid w:val="002B4003"/>
    <w:rsid w:val="002C5B1C"/>
    <w:rsid w:val="002D008C"/>
    <w:rsid w:val="002D0339"/>
    <w:rsid w:val="002D29D2"/>
    <w:rsid w:val="002D2A2C"/>
    <w:rsid w:val="002D4254"/>
    <w:rsid w:val="002D4E6E"/>
    <w:rsid w:val="002D7958"/>
    <w:rsid w:val="002E62B5"/>
    <w:rsid w:val="002F2F7A"/>
    <w:rsid w:val="002F3EEB"/>
    <w:rsid w:val="002F4862"/>
    <w:rsid w:val="00301893"/>
    <w:rsid w:val="00301966"/>
    <w:rsid w:val="00301CC3"/>
    <w:rsid w:val="00304890"/>
    <w:rsid w:val="00322A8A"/>
    <w:rsid w:val="00334590"/>
    <w:rsid w:val="00336ECE"/>
    <w:rsid w:val="003411DD"/>
    <w:rsid w:val="00350232"/>
    <w:rsid w:val="00352278"/>
    <w:rsid w:val="00354EF7"/>
    <w:rsid w:val="00355D34"/>
    <w:rsid w:val="0036450A"/>
    <w:rsid w:val="00373501"/>
    <w:rsid w:val="0037398C"/>
    <w:rsid w:val="0037618F"/>
    <w:rsid w:val="003853C1"/>
    <w:rsid w:val="003A04C1"/>
    <w:rsid w:val="003A08A5"/>
    <w:rsid w:val="003A5C85"/>
    <w:rsid w:val="003A67C1"/>
    <w:rsid w:val="003A754B"/>
    <w:rsid w:val="003B0945"/>
    <w:rsid w:val="003B097F"/>
    <w:rsid w:val="003B126F"/>
    <w:rsid w:val="003B442C"/>
    <w:rsid w:val="003B4DCF"/>
    <w:rsid w:val="003C09FD"/>
    <w:rsid w:val="003C20B8"/>
    <w:rsid w:val="003D09FE"/>
    <w:rsid w:val="003D3B71"/>
    <w:rsid w:val="003D3BBC"/>
    <w:rsid w:val="003D56AF"/>
    <w:rsid w:val="003D71B3"/>
    <w:rsid w:val="003E1EF3"/>
    <w:rsid w:val="003E269E"/>
    <w:rsid w:val="003E2E43"/>
    <w:rsid w:val="003E440F"/>
    <w:rsid w:val="003E5319"/>
    <w:rsid w:val="003F5584"/>
    <w:rsid w:val="003F64C0"/>
    <w:rsid w:val="00404615"/>
    <w:rsid w:val="00407776"/>
    <w:rsid w:val="00416344"/>
    <w:rsid w:val="00420049"/>
    <w:rsid w:val="004254BC"/>
    <w:rsid w:val="00427353"/>
    <w:rsid w:val="00431E66"/>
    <w:rsid w:val="0043564D"/>
    <w:rsid w:val="0043628A"/>
    <w:rsid w:val="0044289A"/>
    <w:rsid w:val="00444AE6"/>
    <w:rsid w:val="004478FD"/>
    <w:rsid w:val="004517DE"/>
    <w:rsid w:val="00453B09"/>
    <w:rsid w:val="00455158"/>
    <w:rsid w:val="0046677B"/>
    <w:rsid w:val="004700B3"/>
    <w:rsid w:val="00483945"/>
    <w:rsid w:val="004846EB"/>
    <w:rsid w:val="004913D8"/>
    <w:rsid w:val="00491C59"/>
    <w:rsid w:val="00497CD6"/>
    <w:rsid w:val="004A2F39"/>
    <w:rsid w:val="004B3B63"/>
    <w:rsid w:val="004B4F4D"/>
    <w:rsid w:val="004B7DAE"/>
    <w:rsid w:val="004C4DCA"/>
    <w:rsid w:val="004E79A4"/>
    <w:rsid w:val="004F1E63"/>
    <w:rsid w:val="004F2A3C"/>
    <w:rsid w:val="004F3D6F"/>
    <w:rsid w:val="004F5432"/>
    <w:rsid w:val="0051056D"/>
    <w:rsid w:val="005147D7"/>
    <w:rsid w:val="00522909"/>
    <w:rsid w:val="005231DE"/>
    <w:rsid w:val="005331C9"/>
    <w:rsid w:val="005346C3"/>
    <w:rsid w:val="005362EE"/>
    <w:rsid w:val="00540372"/>
    <w:rsid w:val="00541FA9"/>
    <w:rsid w:val="00547377"/>
    <w:rsid w:val="0055219D"/>
    <w:rsid w:val="0055270C"/>
    <w:rsid w:val="0055353F"/>
    <w:rsid w:val="00564317"/>
    <w:rsid w:val="0056633F"/>
    <w:rsid w:val="005713E5"/>
    <w:rsid w:val="00573556"/>
    <w:rsid w:val="00595FFE"/>
    <w:rsid w:val="005A435A"/>
    <w:rsid w:val="005A72A8"/>
    <w:rsid w:val="005B0B36"/>
    <w:rsid w:val="005B0C40"/>
    <w:rsid w:val="005B2A1E"/>
    <w:rsid w:val="005B57A6"/>
    <w:rsid w:val="005C2310"/>
    <w:rsid w:val="005D15BB"/>
    <w:rsid w:val="005D19B3"/>
    <w:rsid w:val="005D4590"/>
    <w:rsid w:val="005D620B"/>
    <w:rsid w:val="005E259B"/>
    <w:rsid w:val="005E5D91"/>
    <w:rsid w:val="005F1022"/>
    <w:rsid w:val="006020FA"/>
    <w:rsid w:val="006025ED"/>
    <w:rsid w:val="0060488B"/>
    <w:rsid w:val="006051D7"/>
    <w:rsid w:val="00610492"/>
    <w:rsid w:val="0061078A"/>
    <w:rsid w:val="0061089F"/>
    <w:rsid w:val="006136F9"/>
    <w:rsid w:val="00615241"/>
    <w:rsid w:val="00617B29"/>
    <w:rsid w:val="006204F8"/>
    <w:rsid w:val="00621AA4"/>
    <w:rsid w:val="00623181"/>
    <w:rsid w:val="006262B0"/>
    <w:rsid w:val="00630061"/>
    <w:rsid w:val="00633235"/>
    <w:rsid w:val="006366A1"/>
    <w:rsid w:val="00640418"/>
    <w:rsid w:val="0065051E"/>
    <w:rsid w:val="006522F7"/>
    <w:rsid w:val="0065325A"/>
    <w:rsid w:val="00666E94"/>
    <w:rsid w:val="006721B8"/>
    <w:rsid w:val="00674316"/>
    <w:rsid w:val="006759F6"/>
    <w:rsid w:val="006775E4"/>
    <w:rsid w:val="0068166F"/>
    <w:rsid w:val="00684E74"/>
    <w:rsid w:val="0068640E"/>
    <w:rsid w:val="00697C48"/>
    <w:rsid w:val="006A1801"/>
    <w:rsid w:val="006A78D3"/>
    <w:rsid w:val="006B06E5"/>
    <w:rsid w:val="006B1D46"/>
    <w:rsid w:val="006B2C5C"/>
    <w:rsid w:val="006B6D9B"/>
    <w:rsid w:val="006C2FF4"/>
    <w:rsid w:val="006C3975"/>
    <w:rsid w:val="006C457A"/>
    <w:rsid w:val="006C783C"/>
    <w:rsid w:val="006D22C5"/>
    <w:rsid w:val="006D53B0"/>
    <w:rsid w:val="006E1ED5"/>
    <w:rsid w:val="006F293B"/>
    <w:rsid w:val="00701F42"/>
    <w:rsid w:val="00702753"/>
    <w:rsid w:val="00706376"/>
    <w:rsid w:val="00710186"/>
    <w:rsid w:val="00724060"/>
    <w:rsid w:val="00726E61"/>
    <w:rsid w:val="00727D91"/>
    <w:rsid w:val="00732FCD"/>
    <w:rsid w:val="007365B7"/>
    <w:rsid w:val="007371B3"/>
    <w:rsid w:val="0074017F"/>
    <w:rsid w:val="00752184"/>
    <w:rsid w:val="00755A0F"/>
    <w:rsid w:val="00755BD0"/>
    <w:rsid w:val="00756B55"/>
    <w:rsid w:val="00757A95"/>
    <w:rsid w:val="00762625"/>
    <w:rsid w:val="0076681B"/>
    <w:rsid w:val="00770BF1"/>
    <w:rsid w:val="00773154"/>
    <w:rsid w:val="00774E81"/>
    <w:rsid w:val="00775CD0"/>
    <w:rsid w:val="007760BC"/>
    <w:rsid w:val="0077688C"/>
    <w:rsid w:val="007803AD"/>
    <w:rsid w:val="007826EE"/>
    <w:rsid w:val="00784EF4"/>
    <w:rsid w:val="0078781A"/>
    <w:rsid w:val="007917D6"/>
    <w:rsid w:val="0079747F"/>
    <w:rsid w:val="00797652"/>
    <w:rsid w:val="007A0F4F"/>
    <w:rsid w:val="007A0FD1"/>
    <w:rsid w:val="007A3650"/>
    <w:rsid w:val="007A3DE6"/>
    <w:rsid w:val="007A5346"/>
    <w:rsid w:val="007B1A96"/>
    <w:rsid w:val="007B1B14"/>
    <w:rsid w:val="007B1E80"/>
    <w:rsid w:val="007C00E3"/>
    <w:rsid w:val="007C57F5"/>
    <w:rsid w:val="007C69D6"/>
    <w:rsid w:val="007D38A0"/>
    <w:rsid w:val="007D3B9A"/>
    <w:rsid w:val="007D4B14"/>
    <w:rsid w:val="007F3814"/>
    <w:rsid w:val="007F387C"/>
    <w:rsid w:val="007F3BDD"/>
    <w:rsid w:val="00813961"/>
    <w:rsid w:val="00813B02"/>
    <w:rsid w:val="00817D6F"/>
    <w:rsid w:val="00822503"/>
    <w:rsid w:val="00834404"/>
    <w:rsid w:val="00840472"/>
    <w:rsid w:val="00842156"/>
    <w:rsid w:val="008436A9"/>
    <w:rsid w:val="00845732"/>
    <w:rsid w:val="00852405"/>
    <w:rsid w:val="008539CC"/>
    <w:rsid w:val="008572D9"/>
    <w:rsid w:val="00861E13"/>
    <w:rsid w:val="00861FB6"/>
    <w:rsid w:val="00870677"/>
    <w:rsid w:val="008758EA"/>
    <w:rsid w:val="00875F0D"/>
    <w:rsid w:val="0087692E"/>
    <w:rsid w:val="00883392"/>
    <w:rsid w:val="00886A38"/>
    <w:rsid w:val="00892496"/>
    <w:rsid w:val="008A3DAF"/>
    <w:rsid w:val="008A3E99"/>
    <w:rsid w:val="008A4DE8"/>
    <w:rsid w:val="008A6F22"/>
    <w:rsid w:val="008B0A35"/>
    <w:rsid w:val="008B10F9"/>
    <w:rsid w:val="008B17B1"/>
    <w:rsid w:val="008B3DEB"/>
    <w:rsid w:val="008B5D8F"/>
    <w:rsid w:val="008D0363"/>
    <w:rsid w:val="008D0497"/>
    <w:rsid w:val="008E6057"/>
    <w:rsid w:val="008F4BAD"/>
    <w:rsid w:val="008F4E0B"/>
    <w:rsid w:val="008F6AA1"/>
    <w:rsid w:val="0090000E"/>
    <w:rsid w:val="009006FE"/>
    <w:rsid w:val="00907866"/>
    <w:rsid w:val="00924249"/>
    <w:rsid w:val="009253D1"/>
    <w:rsid w:val="0092776C"/>
    <w:rsid w:val="009453E1"/>
    <w:rsid w:val="00946441"/>
    <w:rsid w:val="00953410"/>
    <w:rsid w:val="0095655B"/>
    <w:rsid w:val="009571D7"/>
    <w:rsid w:val="00964091"/>
    <w:rsid w:val="00964287"/>
    <w:rsid w:val="00975082"/>
    <w:rsid w:val="00976E0F"/>
    <w:rsid w:val="009A199C"/>
    <w:rsid w:val="009A1E0A"/>
    <w:rsid w:val="009B2F01"/>
    <w:rsid w:val="009B5120"/>
    <w:rsid w:val="009C0F73"/>
    <w:rsid w:val="009C5027"/>
    <w:rsid w:val="009C63CC"/>
    <w:rsid w:val="009D40C7"/>
    <w:rsid w:val="009D7723"/>
    <w:rsid w:val="009E20C7"/>
    <w:rsid w:val="009E2E70"/>
    <w:rsid w:val="009E34FB"/>
    <w:rsid w:val="009E3BCF"/>
    <w:rsid w:val="009F6CE7"/>
    <w:rsid w:val="00A041AD"/>
    <w:rsid w:val="00A07960"/>
    <w:rsid w:val="00A101B8"/>
    <w:rsid w:val="00A249DC"/>
    <w:rsid w:val="00A30DE7"/>
    <w:rsid w:val="00A33C86"/>
    <w:rsid w:val="00A37DBD"/>
    <w:rsid w:val="00A41250"/>
    <w:rsid w:val="00A41D4E"/>
    <w:rsid w:val="00A52A8F"/>
    <w:rsid w:val="00A56C43"/>
    <w:rsid w:val="00A63844"/>
    <w:rsid w:val="00A640FF"/>
    <w:rsid w:val="00A65F18"/>
    <w:rsid w:val="00A67275"/>
    <w:rsid w:val="00A7274B"/>
    <w:rsid w:val="00A83B38"/>
    <w:rsid w:val="00A8609F"/>
    <w:rsid w:val="00A9139E"/>
    <w:rsid w:val="00A9457A"/>
    <w:rsid w:val="00AA1E0E"/>
    <w:rsid w:val="00AA4028"/>
    <w:rsid w:val="00AA4966"/>
    <w:rsid w:val="00AA5D9C"/>
    <w:rsid w:val="00AA6010"/>
    <w:rsid w:val="00AA7024"/>
    <w:rsid w:val="00AB3961"/>
    <w:rsid w:val="00AB7DFB"/>
    <w:rsid w:val="00AD00DB"/>
    <w:rsid w:val="00AD6EC2"/>
    <w:rsid w:val="00AE2BD4"/>
    <w:rsid w:val="00AE4105"/>
    <w:rsid w:val="00AE4C26"/>
    <w:rsid w:val="00AE5A9A"/>
    <w:rsid w:val="00AF096C"/>
    <w:rsid w:val="00AF1BE3"/>
    <w:rsid w:val="00AF2204"/>
    <w:rsid w:val="00AF2E74"/>
    <w:rsid w:val="00B012F3"/>
    <w:rsid w:val="00B01F76"/>
    <w:rsid w:val="00B02BF5"/>
    <w:rsid w:val="00B02E39"/>
    <w:rsid w:val="00B1273F"/>
    <w:rsid w:val="00B129AB"/>
    <w:rsid w:val="00B172FD"/>
    <w:rsid w:val="00B20A20"/>
    <w:rsid w:val="00B21702"/>
    <w:rsid w:val="00B2193F"/>
    <w:rsid w:val="00B351D9"/>
    <w:rsid w:val="00B352A0"/>
    <w:rsid w:val="00B40C79"/>
    <w:rsid w:val="00B53493"/>
    <w:rsid w:val="00B55D18"/>
    <w:rsid w:val="00B56CC8"/>
    <w:rsid w:val="00B61F49"/>
    <w:rsid w:val="00B65281"/>
    <w:rsid w:val="00B668FB"/>
    <w:rsid w:val="00B707D0"/>
    <w:rsid w:val="00B76B8E"/>
    <w:rsid w:val="00B8347A"/>
    <w:rsid w:val="00B95055"/>
    <w:rsid w:val="00BA30CE"/>
    <w:rsid w:val="00BA45AE"/>
    <w:rsid w:val="00BA4F4A"/>
    <w:rsid w:val="00BA66AD"/>
    <w:rsid w:val="00BB49AA"/>
    <w:rsid w:val="00BB5E26"/>
    <w:rsid w:val="00BB6906"/>
    <w:rsid w:val="00BC1F83"/>
    <w:rsid w:val="00BC2DD3"/>
    <w:rsid w:val="00BC4B0F"/>
    <w:rsid w:val="00BC54E0"/>
    <w:rsid w:val="00BC67B1"/>
    <w:rsid w:val="00BC6C91"/>
    <w:rsid w:val="00BD5F70"/>
    <w:rsid w:val="00BD7CF3"/>
    <w:rsid w:val="00BE04F1"/>
    <w:rsid w:val="00BE16D4"/>
    <w:rsid w:val="00BE7855"/>
    <w:rsid w:val="00BF10E6"/>
    <w:rsid w:val="00BF15C1"/>
    <w:rsid w:val="00BF2C53"/>
    <w:rsid w:val="00BF502F"/>
    <w:rsid w:val="00BF5ACD"/>
    <w:rsid w:val="00C000C3"/>
    <w:rsid w:val="00C02E60"/>
    <w:rsid w:val="00C04DAB"/>
    <w:rsid w:val="00C05B82"/>
    <w:rsid w:val="00C06254"/>
    <w:rsid w:val="00C10095"/>
    <w:rsid w:val="00C1690A"/>
    <w:rsid w:val="00C240FD"/>
    <w:rsid w:val="00C24374"/>
    <w:rsid w:val="00C302EF"/>
    <w:rsid w:val="00C37BB3"/>
    <w:rsid w:val="00C413B8"/>
    <w:rsid w:val="00C441A1"/>
    <w:rsid w:val="00C44A8F"/>
    <w:rsid w:val="00C46C60"/>
    <w:rsid w:val="00C56BF7"/>
    <w:rsid w:val="00C57915"/>
    <w:rsid w:val="00C6235F"/>
    <w:rsid w:val="00C6639A"/>
    <w:rsid w:val="00C748BE"/>
    <w:rsid w:val="00C74C53"/>
    <w:rsid w:val="00C8039E"/>
    <w:rsid w:val="00C85D17"/>
    <w:rsid w:val="00C86A35"/>
    <w:rsid w:val="00C90F69"/>
    <w:rsid w:val="00C945E3"/>
    <w:rsid w:val="00C958F1"/>
    <w:rsid w:val="00C97431"/>
    <w:rsid w:val="00CA10B0"/>
    <w:rsid w:val="00CA1E2F"/>
    <w:rsid w:val="00CB2423"/>
    <w:rsid w:val="00CB295F"/>
    <w:rsid w:val="00CB6FF1"/>
    <w:rsid w:val="00CC2714"/>
    <w:rsid w:val="00CC6157"/>
    <w:rsid w:val="00CD56BA"/>
    <w:rsid w:val="00CD6448"/>
    <w:rsid w:val="00CD7CBE"/>
    <w:rsid w:val="00CE73B8"/>
    <w:rsid w:val="00CF013D"/>
    <w:rsid w:val="00CF1174"/>
    <w:rsid w:val="00CF4851"/>
    <w:rsid w:val="00CF575D"/>
    <w:rsid w:val="00CF5E97"/>
    <w:rsid w:val="00D02BFA"/>
    <w:rsid w:val="00D075E5"/>
    <w:rsid w:val="00D10D33"/>
    <w:rsid w:val="00D17DFA"/>
    <w:rsid w:val="00D2165F"/>
    <w:rsid w:val="00D241D3"/>
    <w:rsid w:val="00D24EC3"/>
    <w:rsid w:val="00D253E1"/>
    <w:rsid w:val="00D279C9"/>
    <w:rsid w:val="00D27FA8"/>
    <w:rsid w:val="00D36315"/>
    <w:rsid w:val="00D365D3"/>
    <w:rsid w:val="00D373D1"/>
    <w:rsid w:val="00D374E7"/>
    <w:rsid w:val="00D42F7B"/>
    <w:rsid w:val="00D44172"/>
    <w:rsid w:val="00D55089"/>
    <w:rsid w:val="00D55DB6"/>
    <w:rsid w:val="00D56EEE"/>
    <w:rsid w:val="00D614D5"/>
    <w:rsid w:val="00D64719"/>
    <w:rsid w:val="00D65684"/>
    <w:rsid w:val="00D65C41"/>
    <w:rsid w:val="00D65E0E"/>
    <w:rsid w:val="00D75051"/>
    <w:rsid w:val="00DA1B56"/>
    <w:rsid w:val="00DA2552"/>
    <w:rsid w:val="00DA446F"/>
    <w:rsid w:val="00DA76FA"/>
    <w:rsid w:val="00DB1FB1"/>
    <w:rsid w:val="00DB2B49"/>
    <w:rsid w:val="00DB73E0"/>
    <w:rsid w:val="00DC0527"/>
    <w:rsid w:val="00DC0E96"/>
    <w:rsid w:val="00DC1BCD"/>
    <w:rsid w:val="00DC259C"/>
    <w:rsid w:val="00DC28FE"/>
    <w:rsid w:val="00DC290C"/>
    <w:rsid w:val="00DC33B4"/>
    <w:rsid w:val="00DC5F84"/>
    <w:rsid w:val="00DC6C5E"/>
    <w:rsid w:val="00DD4656"/>
    <w:rsid w:val="00DF01DF"/>
    <w:rsid w:val="00DF0F02"/>
    <w:rsid w:val="00DF5265"/>
    <w:rsid w:val="00DF7D13"/>
    <w:rsid w:val="00E018FB"/>
    <w:rsid w:val="00E135C8"/>
    <w:rsid w:val="00E17257"/>
    <w:rsid w:val="00E17A3B"/>
    <w:rsid w:val="00E21DC0"/>
    <w:rsid w:val="00E27FD9"/>
    <w:rsid w:val="00E30B9D"/>
    <w:rsid w:val="00E323B3"/>
    <w:rsid w:val="00E34EB6"/>
    <w:rsid w:val="00E4248F"/>
    <w:rsid w:val="00E47228"/>
    <w:rsid w:val="00E50F1E"/>
    <w:rsid w:val="00E62EA0"/>
    <w:rsid w:val="00E6763B"/>
    <w:rsid w:val="00E75529"/>
    <w:rsid w:val="00E8358B"/>
    <w:rsid w:val="00E85F87"/>
    <w:rsid w:val="00E866F3"/>
    <w:rsid w:val="00E873F9"/>
    <w:rsid w:val="00E91CC3"/>
    <w:rsid w:val="00EA1127"/>
    <w:rsid w:val="00EA1214"/>
    <w:rsid w:val="00EA4BCE"/>
    <w:rsid w:val="00EB58BD"/>
    <w:rsid w:val="00EB6D30"/>
    <w:rsid w:val="00EB7132"/>
    <w:rsid w:val="00EC0FFC"/>
    <w:rsid w:val="00EC3CE8"/>
    <w:rsid w:val="00ED1425"/>
    <w:rsid w:val="00ED2A08"/>
    <w:rsid w:val="00ED2E33"/>
    <w:rsid w:val="00ED3024"/>
    <w:rsid w:val="00ED3E03"/>
    <w:rsid w:val="00ED71B6"/>
    <w:rsid w:val="00EE0161"/>
    <w:rsid w:val="00EE5474"/>
    <w:rsid w:val="00EF075F"/>
    <w:rsid w:val="00EF0E10"/>
    <w:rsid w:val="00EF2076"/>
    <w:rsid w:val="00EF2AFB"/>
    <w:rsid w:val="00EF41A2"/>
    <w:rsid w:val="00F04A8E"/>
    <w:rsid w:val="00F209A6"/>
    <w:rsid w:val="00F21AC3"/>
    <w:rsid w:val="00F27974"/>
    <w:rsid w:val="00F33D5C"/>
    <w:rsid w:val="00F431FB"/>
    <w:rsid w:val="00F46A4B"/>
    <w:rsid w:val="00F5010F"/>
    <w:rsid w:val="00F53ACB"/>
    <w:rsid w:val="00F54BDA"/>
    <w:rsid w:val="00F60E46"/>
    <w:rsid w:val="00F6184E"/>
    <w:rsid w:val="00F6532F"/>
    <w:rsid w:val="00F7234E"/>
    <w:rsid w:val="00F767EC"/>
    <w:rsid w:val="00F8007E"/>
    <w:rsid w:val="00F81C8A"/>
    <w:rsid w:val="00F82594"/>
    <w:rsid w:val="00F84805"/>
    <w:rsid w:val="00F85E41"/>
    <w:rsid w:val="00F978A9"/>
    <w:rsid w:val="00FA2176"/>
    <w:rsid w:val="00FA2B02"/>
    <w:rsid w:val="00FA2C6A"/>
    <w:rsid w:val="00FA3A09"/>
    <w:rsid w:val="00FA43CE"/>
    <w:rsid w:val="00FA4882"/>
    <w:rsid w:val="00FB08C2"/>
    <w:rsid w:val="00FB1115"/>
    <w:rsid w:val="00FB4AE4"/>
    <w:rsid w:val="00FB5D8C"/>
    <w:rsid w:val="00FC27D4"/>
    <w:rsid w:val="00FC3658"/>
    <w:rsid w:val="00FC5F90"/>
    <w:rsid w:val="00FD5739"/>
    <w:rsid w:val="00FE4963"/>
    <w:rsid w:val="00FE5CDD"/>
    <w:rsid w:val="00FE7A02"/>
    <w:rsid w:val="00FF2D65"/>
    <w:rsid w:val="00FF78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A40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6E5"/>
    <w:pPr>
      <w:spacing w:before="0" w:after="0"/>
    </w:pPr>
    <w:rPr>
      <w:sz w:val="24"/>
    </w:rPr>
  </w:style>
  <w:style w:type="paragraph" w:styleId="Heading1">
    <w:name w:val="heading 1"/>
    <w:basedOn w:val="Normal"/>
    <w:next w:val="BodyText"/>
    <w:link w:val="Heading1Char"/>
    <w:qFormat/>
    <w:rsid w:val="00B129AB"/>
    <w:pPr>
      <w:keepNext/>
      <w:keepLines/>
      <w:pageBreakBefore/>
      <w:widowControl w:val="0"/>
      <w:spacing w:before="240" w:after="240"/>
      <w:outlineLvl w:val="0"/>
    </w:pPr>
    <w:rPr>
      <w:rFonts w:asciiTheme="majorHAnsi" w:eastAsia="Times New Roman" w:hAnsiTheme="majorHAnsi" w:cs="Arial"/>
      <w:bCs/>
      <w:color w:val="004B8D" w:themeColor="accent1"/>
      <w:kern w:val="32"/>
      <w:sz w:val="36"/>
      <w:szCs w:val="32"/>
      <w:lang w:eastAsia="en-AU"/>
    </w:rPr>
  </w:style>
  <w:style w:type="paragraph" w:styleId="Heading2">
    <w:name w:val="heading 2"/>
    <w:basedOn w:val="Normal"/>
    <w:next w:val="BodyText"/>
    <w:link w:val="Heading2Char"/>
    <w:qFormat/>
    <w:rsid w:val="00B129AB"/>
    <w:pPr>
      <w:keepNext/>
      <w:keepLines/>
      <w:spacing w:before="240" w:after="240"/>
      <w:outlineLvl w:val="1"/>
    </w:pPr>
    <w:rPr>
      <w:rFonts w:asciiTheme="majorHAnsi" w:eastAsia="Times New Roman" w:hAnsiTheme="majorHAnsi" w:cs="Arial"/>
      <w:bCs/>
      <w:iCs/>
      <w:color w:val="004B8D" w:themeColor="accent1"/>
      <w:sz w:val="32"/>
      <w:szCs w:val="28"/>
      <w:lang w:eastAsia="en-AU"/>
    </w:rPr>
  </w:style>
  <w:style w:type="paragraph" w:styleId="Heading3">
    <w:name w:val="heading 3"/>
    <w:basedOn w:val="Normal"/>
    <w:next w:val="BodyText"/>
    <w:link w:val="Heading3Char"/>
    <w:qFormat/>
    <w:rsid w:val="00E62EA0"/>
    <w:pPr>
      <w:keepNext/>
      <w:keepLines/>
      <w:spacing w:before="240" w:after="120"/>
      <w:outlineLvl w:val="2"/>
    </w:pPr>
    <w:rPr>
      <w:rFonts w:asciiTheme="majorHAnsi" w:eastAsia="Times New Roman" w:hAnsiTheme="majorHAnsi" w:cs="Times New Roman"/>
      <w:b/>
      <w:bCs/>
      <w:color w:val="004B8D" w:themeColor="accent1"/>
      <w:szCs w:val="24"/>
      <w:lang w:eastAsia="en-AU"/>
    </w:rPr>
  </w:style>
  <w:style w:type="paragraph" w:styleId="Heading4">
    <w:name w:val="heading 4"/>
    <w:basedOn w:val="Normal"/>
    <w:next w:val="BodyText"/>
    <w:link w:val="Heading4Char"/>
    <w:semiHidden/>
    <w:qFormat/>
    <w:rsid w:val="009E3BCF"/>
    <w:pPr>
      <w:keepNext/>
      <w:keepLines/>
      <w:spacing w:before="180" w:after="120"/>
      <w:outlineLvl w:val="3"/>
    </w:pPr>
    <w:rPr>
      <w:rFonts w:asciiTheme="majorHAnsi" w:eastAsia="Times New Roman" w:hAnsiTheme="majorHAnsi" w:cs="Times New Roman"/>
      <w:bCs/>
      <w:i/>
      <w:color w:val="004B8D" w:themeColor="accent1"/>
      <w:lang w:eastAsia="en-AU"/>
    </w:rPr>
  </w:style>
  <w:style w:type="paragraph" w:styleId="Heading5">
    <w:name w:val="heading 5"/>
    <w:basedOn w:val="Normal"/>
    <w:next w:val="BodyText"/>
    <w:link w:val="Heading5Char"/>
    <w:semiHidden/>
    <w:qFormat/>
    <w:rsid w:val="009E3BCF"/>
    <w:pPr>
      <w:keepNext/>
      <w:keepLines/>
      <w:spacing w:before="120" w:after="120"/>
      <w:outlineLvl w:val="4"/>
    </w:pPr>
    <w:rPr>
      <w:rFonts w:asciiTheme="majorHAnsi" w:eastAsia="Times New Roman" w:hAnsiTheme="majorHAnsi" w:cs="Times New Roman"/>
      <w:bCs/>
      <w:iCs/>
      <w:color w:val="004B8D" w:themeColor="accent1"/>
      <w:szCs w:val="26"/>
      <w:u w:val="single"/>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30B9D"/>
    <w:pPr>
      <w:spacing w:before="120" w:after="120" w:line="264" w:lineRule="auto"/>
    </w:pPr>
    <w:rPr>
      <w:rFonts w:eastAsia="Times New Roman" w:cs="Times New Roman"/>
      <w:sz w:val="22"/>
      <w:szCs w:val="24"/>
      <w:lang w:eastAsia="en-AU"/>
    </w:rPr>
  </w:style>
  <w:style w:type="character" w:customStyle="1" w:styleId="BodyTextChar">
    <w:name w:val="Body Text Char"/>
    <w:basedOn w:val="DefaultParagraphFont"/>
    <w:link w:val="BodyText"/>
    <w:rsid w:val="00E30B9D"/>
    <w:rPr>
      <w:rFonts w:eastAsia="Times New Roman" w:cs="Times New Roman"/>
      <w:szCs w:val="24"/>
      <w:lang w:eastAsia="en-AU"/>
    </w:rPr>
  </w:style>
  <w:style w:type="character" w:customStyle="1" w:styleId="Heading1Char">
    <w:name w:val="Heading 1 Char"/>
    <w:basedOn w:val="DefaultParagraphFont"/>
    <w:link w:val="Heading1"/>
    <w:rsid w:val="00B129AB"/>
    <w:rPr>
      <w:rFonts w:asciiTheme="majorHAnsi" w:eastAsia="Times New Roman" w:hAnsiTheme="majorHAnsi" w:cs="Arial"/>
      <w:bCs/>
      <w:color w:val="004B8D" w:themeColor="accent1"/>
      <w:kern w:val="32"/>
      <w:sz w:val="36"/>
      <w:szCs w:val="32"/>
      <w:lang w:eastAsia="en-AU"/>
    </w:rPr>
  </w:style>
  <w:style w:type="character" w:customStyle="1" w:styleId="Heading2Char">
    <w:name w:val="Heading 2 Char"/>
    <w:basedOn w:val="DefaultParagraphFont"/>
    <w:link w:val="Heading2"/>
    <w:rsid w:val="00B129AB"/>
    <w:rPr>
      <w:rFonts w:asciiTheme="majorHAnsi" w:eastAsia="Times New Roman" w:hAnsiTheme="majorHAnsi" w:cs="Arial"/>
      <w:bCs/>
      <w:iCs/>
      <w:color w:val="004B8D" w:themeColor="accent1"/>
      <w:sz w:val="32"/>
      <w:szCs w:val="28"/>
      <w:lang w:eastAsia="en-AU"/>
    </w:rPr>
  </w:style>
  <w:style w:type="character" w:customStyle="1" w:styleId="Heading3Char">
    <w:name w:val="Heading 3 Char"/>
    <w:basedOn w:val="DefaultParagraphFont"/>
    <w:link w:val="Heading3"/>
    <w:rsid w:val="00E62EA0"/>
    <w:rPr>
      <w:rFonts w:asciiTheme="majorHAnsi" w:eastAsia="Times New Roman" w:hAnsiTheme="majorHAnsi" w:cs="Times New Roman"/>
      <w:b/>
      <w:bCs/>
      <w:color w:val="004B8D" w:themeColor="accent1"/>
      <w:sz w:val="24"/>
      <w:szCs w:val="24"/>
      <w:lang w:eastAsia="en-AU"/>
    </w:rPr>
  </w:style>
  <w:style w:type="character" w:customStyle="1" w:styleId="Heading4Char">
    <w:name w:val="Heading 4 Char"/>
    <w:basedOn w:val="DefaultParagraphFont"/>
    <w:link w:val="Heading4"/>
    <w:semiHidden/>
    <w:rsid w:val="00A9139E"/>
    <w:rPr>
      <w:rFonts w:asciiTheme="majorHAnsi" w:eastAsia="Times New Roman" w:hAnsiTheme="majorHAnsi" w:cs="Times New Roman"/>
      <w:bCs/>
      <w:i/>
      <w:color w:val="004B8D" w:themeColor="accent1"/>
      <w:lang w:eastAsia="en-AU"/>
    </w:rPr>
  </w:style>
  <w:style w:type="paragraph" w:customStyle="1" w:styleId="NbrHeading1">
    <w:name w:val="Nbr Heading 1"/>
    <w:basedOn w:val="Heading1"/>
    <w:next w:val="BodyText"/>
    <w:qFormat/>
    <w:rsid w:val="003A08A5"/>
    <w:pPr>
      <w:numPr>
        <w:numId w:val="12"/>
      </w:numPr>
    </w:pPr>
    <w:rPr>
      <w:bCs w:val="0"/>
    </w:rPr>
  </w:style>
  <w:style w:type="paragraph" w:customStyle="1" w:styleId="NbrHeading2">
    <w:name w:val="Nbr Heading 2"/>
    <w:basedOn w:val="Heading2"/>
    <w:next w:val="BodyText"/>
    <w:qFormat/>
    <w:rsid w:val="003A08A5"/>
    <w:pPr>
      <w:numPr>
        <w:ilvl w:val="1"/>
        <w:numId w:val="12"/>
      </w:numPr>
    </w:pPr>
  </w:style>
  <w:style w:type="paragraph" w:customStyle="1" w:styleId="NbrHeading3">
    <w:name w:val="Nbr Heading 3"/>
    <w:basedOn w:val="Heading3"/>
    <w:next w:val="BodyText"/>
    <w:qFormat/>
    <w:rsid w:val="00822503"/>
    <w:pPr>
      <w:numPr>
        <w:ilvl w:val="2"/>
        <w:numId w:val="12"/>
      </w:numPr>
    </w:pPr>
  </w:style>
  <w:style w:type="paragraph" w:customStyle="1" w:styleId="NbrHeading4">
    <w:name w:val="Nbr Heading 4"/>
    <w:basedOn w:val="Heading4"/>
    <w:next w:val="BodyText"/>
    <w:semiHidden/>
    <w:qFormat/>
    <w:rsid w:val="003A08A5"/>
    <w:pPr>
      <w:numPr>
        <w:ilvl w:val="3"/>
        <w:numId w:val="12"/>
      </w:numPr>
    </w:pPr>
  </w:style>
  <w:style w:type="paragraph" w:styleId="Title">
    <w:name w:val="Title"/>
    <w:basedOn w:val="Normal"/>
    <w:next w:val="BodyText"/>
    <w:link w:val="TitleChar"/>
    <w:uiPriority w:val="9"/>
    <w:rsid w:val="002A590E"/>
    <w:pPr>
      <w:spacing w:before="360" w:after="360"/>
      <w:jc w:val="right"/>
    </w:pPr>
    <w:rPr>
      <w:rFonts w:asciiTheme="majorHAnsi" w:eastAsiaTheme="majorEastAsia" w:hAnsiTheme="majorHAnsi" w:cstheme="majorBidi"/>
      <w:color w:val="004B8D" w:themeColor="accent1"/>
      <w:sz w:val="70"/>
      <w:szCs w:val="52"/>
    </w:rPr>
  </w:style>
  <w:style w:type="character" w:customStyle="1" w:styleId="TitleChar">
    <w:name w:val="Title Char"/>
    <w:basedOn w:val="DefaultParagraphFont"/>
    <w:link w:val="Title"/>
    <w:uiPriority w:val="9"/>
    <w:rsid w:val="002A590E"/>
    <w:rPr>
      <w:rFonts w:asciiTheme="majorHAnsi" w:eastAsiaTheme="majorEastAsia" w:hAnsiTheme="majorHAnsi" w:cstheme="majorBidi"/>
      <w:color w:val="004B8D" w:themeColor="accent1"/>
      <w:sz w:val="70"/>
      <w:szCs w:val="52"/>
    </w:rPr>
  </w:style>
  <w:style w:type="paragraph" w:styleId="Subtitle">
    <w:name w:val="Subtitle"/>
    <w:basedOn w:val="Normal"/>
    <w:next w:val="BodyText"/>
    <w:link w:val="SubtitleChar"/>
    <w:uiPriority w:val="10"/>
    <w:qFormat/>
    <w:rsid w:val="00EC3CE8"/>
    <w:pPr>
      <w:numPr>
        <w:ilvl w:val="1"/>
      </w:numPr>
      <w:spacing w:before="280" w:after="280"/>
      <w:jc w:val="right"/>
    </w:pPr>
    <w:rPr>
      <w:rFonts w:asciiTheme="majorHAnsi" w:eastAsiaTheme="majorEastAsia" w:hAnsiTheme="majorHAnsi" w:cstheme="majorBidi"/>
      <w:iCs/>
      <w:color w:val="004B8D" w:themeColor="accent1"/>
      <w:sz w:val="28"/>
      <w:szCs w:val="24"/>
    </w:rPr>
  </w:style>
  <w:style w:type="character" w:customStyle="1" w:styleId="SubtitleChar">
    <w:name w:val="Subtitle Char"/>
    <w:basedOn w:val="DefaultParagraphFont"/>
    <w:link w:val="Subtitle"/>
    <w:uiPriority w:val="10"/>
    <w:rsid w:val="00EC3CE8"/>
    <w:rPr>
      <w:rFonts w:asciiTheme="majorHAnsi" w:eastAsiaTheme="majorEastAsia" w:hAnsiTheme="majorHAnsi" w:cstheme="majorBidi"/>
      <w:iCs/>
      <w:color w:val="004B8D" w:themeColor="accent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D15BB"/>
    <w:rPr>
      <w:rFonts w:eastAsia="Times New Roman" w:cs="Times New Roman"/>
      <w:szCs w:val="24"/>
      <w:lang w:eastAsia="en-AU"/>
    </w:rPr>
  </w:style>
  <w:style w:type="paragraph" w:styleId="Header">
    <w:name w:val="header"/>
    <w:basedOn w:val="Normal"/>
    <w:link w:val="HeaderChar"/>
    <w:uiPriority w:val="99"/>
    <w:semiHidden/>
    <w:rsid w:val="002A590E"/>
    <w:rPr>
      <w:sz w:val="17"/>
    </w:rPr>
  </w:style>
  <w:style w:type="character" w:customStyle="1" w:styleId="HeaderChar">
    <w:name w:val="Header Char"/>
    <w:basedOn w:val="DefaultParagraphFont"/>
    <w:link w:val="Header"/>
    <w:uiPriority w:val="99"/>
    <w:semiHidden/>
    <w:rsid w:val="005D15BB"/>
    <w:rPr>
      <w:sz w:val="17"/>
    </w:rPr>
  </w:style>
  <w:style w:type="paragraph" w:styleId="Footer">
    <w:name w:val="footer"/>
    <w:basedOn w:val="Normal"/>
    <w:link w:val="FooterChar"/>
    <w:uiPriority w:val="99"/>
    <w:rsid w:val="00FC27D4"/>
    <w:pPr>
      <w:tabs>
        <w:tab w:val="left" w:pos="567"/>
        <w:tab w:val="right" w:pos="9639"/>
      </w:tabs>
    </w:pPr>
    <w:rPr>
      <w:noProof/>
    </w:rPr>
  </w:style>
  <w:style w:type="character" w:customStyle="1" w:styleId="FooterChar">
    <w:name w:val="Footer Char"/>
    <w:basedOn w:val="DefaultParagraphFont"/>
    <w:link w:val="Footer"/>
    <w:uiPriority w:val="99"/>
    <w:rsid w:val="00FC27D4"/>
    <w:rPr>
      <w:noProof/>
      <w:sz w:val="24"/>
    </w:rPr>
  </w:style>
  <w:style w:type="paragraph" w:styleId="ListNumber0">
    <w:name w:val="List Number"/>
    <w:basedOn w:val="Normal"/>
    <w:uiPriority w:val="1"/>
    <w:qFormat/>
    <w:rsid w:val="00CA10B0"/>
    <w:pPr>
      <w:numPr>
        <w:numId w:val="9"/>
      </w:numPr>
      <w:spacing w:before="120" w:line="264" w:lineRule="auto"/>
    </w:pPr>
    <w:rPr>
      <w:rFonts w:eastAsia="Times New Roman" w:cs="Times New Roman"/>
      <w:szCs w:val="24"/>
      <w:lang w:eastAsia="en-AU"/>
    </w:rPr>
  </w:style>
  <w:style w:type="paragraph" w:styleId="ListBullet0">
    <w:name w:val="List Bullet"/>
    <w:basedOn w:val="Normal"/>
    <w:uiPriority w:val="1"/>
    <w:qFormat/>
    <w:rsid w:val="00875F0D"/>
    <w:pPr>
      <w:numPr>
        <w:numId w:val="13"/>
      </w:numPr>
      <w:spacing w:before="120" w:line="264" w:lineRule="auto"/>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E17257"/>
    <w:rPr>
      <w:color w:val="004B8D" w:themeColor="accent1"/>
      <w:u w:val="single"/>
    </w:rPr>
  </w:style>
  <w:style w:type="paragraph" w:styleId="TOC1">
    <w:name w:val="toc 1"/>
    <w:basedOn w:val="Normal"/>
    <w:next w:val="Normal"/>
    <w:uiPriority w:val="39"/>
    <w:rsid w:val="00E4248F"/>
    <w:pPr>
      <w:keepNext/>
      <w:tabs>
        <w:tab w:val="right" w:pos="7371"/>
      </w:tabs>
      <w:spacing w:before="240" w:after="60"/>
      <w:ind w:right="2552"/>
    </w:pPr>
    <w:rPr>
      <w:b/>
      <w:noProof/>
    </w:rPr>
  </w:style>
  <w:style w:type="paragraph" w:styleId="TOC2">
    <w:name w:val="toc 2"/>
    <w:basedOn w:val="Normal"/>
    <w:next w:val="Normal"/>
    <w:uiPriority w:val="39"/>
    <w:rsid w:val="00E4248F"/>
    <w:pPr>
      <w:tabs>
        <w:tab w:val="right" w:pos="7371"/>
      </w:tabs>
      <w:spacing w:before="60" w:after="60"/>
      <w:ind w:left="567" w:right="2552"/>
    </w:pPr>
    <w:rPr>
      <w:noProof/>
    </w:rPr>
  </w:style>
  <w:style w:type="paragraph" w:styleId="TOC3">
    <w:name w:val="toc 3"/>
    <w:basedOn w:val="Normal"/>
    <w:next w:val="Normal"/>
    <w:uiPriority w:val="39"/>
    <w:rsid w:val="00DF01DF"/>
    <w:pPr>
      <w:tabs>
        <w:tab w:val="right" w:pos="9639"/>
      </w:tabs>
      <w:spacing w:after="60"/>
      <w:ind w:right="567"/>
    </w:pPr>
    <w:rPr>
      <w:sz w:val="18"/>
    </w:rPr>
  </w:style>
  <w:style w:type="table" w:styleId="TableGrid">
    <w:name w:val="Table Grid"/>
    <w:basedOn w:val="TableNormal"/>
    <w:uiPriority w:val="3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2"/>
    <w:qFormat/>
    <w:rsid w:val="00CA10B0"/>
    <w:pPr>
      <w:spacing w:before="60" w:after="60"/>
    </w:pPr>
    <w:rPr>
      <w:b/>
      <w:color w:val="FFFFFF" w:themeColor="background1"/>
    </w:rPr>
  </w:style>
  <w:style w:type="paragraph" w:customStyle="1" w:styleId="TableBody">
    <w:name w:val="Table Body"/>
    <w:basedOn w:val="Normal"/>
    <w:uiPriority w:val="3"/>
    <w:qFormat/>
    <w:rsid w:val="006C3975"/>
    <w:pPr>
      <w:spacing w:before="60" w:after="60"/>
    </w:pPr>
  </w:style>
  <w:style w:type="paragraph" w:customStyle="1" w:styleId="TableBullet">
    <w:name w:val="Table Bullet"/>
    <w:basedOn w:val="Normal"/>
    <w:uiPriority w:val="4"/>
    <w:qFormat/>
    <w:rsid w:val="00875F0D"/>
    <w:pPr>
      <w:numPr>
        <w:numId w:val="15"/>
      </w:numPr>
      <w:spacing w:before="60" w:after="60"/>
    </w:pPr>
    <w:rPr>
      <w:rFonts w:eastAsia="Times New Roman" w:cs="Times New Roman"/>
      <w:szCs w:val="24"/>
      <w:lang w:eastAsia="en-AU"/>
    </w:rPr>
  </w:style>
  <w:style w:type="paragraph" w:customStyle="1" w:styleId="TableNumber">
    <w:name w:val="Table Number"/>
    <w:basedOn w:val="TableBody"/>
    <w:uiPriority w:val="4"/>
    <w:qFormat/>
    <w:rsid w:val="003A08A5"/>
    <w:pPr>
      <w:numPr>
        <w:numId w:val="11"/>
      </w:numPr>
    </w:pPr>
  </w:style>
  <w:style w:type="character" w:customStyle="1" w:styleId="Heading5Char">
    <w:name w:val="Heading 5 Char"/>
    <w:basedOn w:val="DefaultParagraphFont"/>
    <w:link w:val="Heading5"/>
    <w:semiHidden/>
    <w:rsid w:val="00A9139E"/>
    <w:rPr>
      <w:rFonts w:asciiTheme="majorHAnsi" w:eastAsia="Times New Roman" w:hAnsiTheme="majorHAnsi" w:cs="Times New Roman"/>
      <w:bCs/>
      <w:iCs/>
      <w:color w:val="004B8D" w:themeColor="accent1"/>
      <w:szCs w:val="26"/>
      <w:u w:val="single"/>
      <w:lang w:eastAsia="en-AU"/>
    </w:rPr>
  </w:style>
  <w:style w:type="character" w:customStyle="1" w:styleId="Heading6Char">
    <w:name w:val="Heading 6 Char"/>
    <w:basedOn w:val="DefaultParagraphFont"/>
    <w:link w:val="Heading6"/>
    <w:uiPriority w:val="99"/>
    <w:semiHidden/>
    <w:rsid w:val="005D15BB"/>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D15BB"/>
    <w:rPr>
      <w:rFonts w:eastAsia="Times New Roman" w:cs="Times New Roman"/>
      <w:szCs w:val="16"/>
      <w:lang w:eastAsia="en-AU"/>
    </w:rPr>
  </w:style>
  <w:style w:type="paragraph" w:styleId="ListParagraph0">
    <w:name w:val="List Paragraph"/>
    <w:basedOn w:val="ListBullet0"/>
    <w:uiPriority w:val="34"/>
    <w:qFormat/>
    <w:rsid w:val="003A08A5"/>
    <w:pPr>
      <w:numPr>
        <w:numId w:val="7"/>
      </w:numPr>
    </w:pPr>
  </w:style>
  <w:style w:type="paragraph" w:styleId="TOC4">
    <w:name w:val="toc 4"/>
    <w:basedOn w:val="TOC1"/>
    <w:next w:val="Normal"/>
    <w:uiPriority w:val="39"/>
    <w:rsid w:val="00E4248F"/>
    <w:pPr>
      <w:tabs>
        <w:tab w:val="left" w:pos="567"/>
      </w:tabs>
      <w:ind w:left="567" w:hanging="567"/>
    </w:pPr>
  </w:style>
  <w:style w:type="paragraph" w:customStyle="1" w:styleId="NbrHeading5">
    <w:name w:val="Nbr Heading 5"/>
    <w:basedOn w:val="Heading5"/>
    <w:next w:val="BodyText"/>
    <w:semiHidden/>
    <w:qFormat/>
    <w:rsid w:val="003A08A5"/>
    <w:pPr>
      <w:numPr>
        <w:ilvl w:val="4"/>
        <w:numId w:val="12"/>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F5010F"/>
    <w:rPr>
      <w:i/>
      <w:iCs/>
      <w:color w:val="000000" w:themeColor="text1"/>
    </w:rPr>
  </w:style>
  <w:style w:type="paragraph" w:customStyle="1" w:styleId="FigureCaption">
    <w:name w:val="Figure Caption"/>
    <w:basedOn w:val="Normal"/>
    <w:next w:val="BodyText"/>
    <w:uiPriority w:val="6"/>
    <w:semiHidden/>
    <w:qFormat/>
    <w:rsid w:val="002F2F7A"/>
    <w:pPr>
      <w:tabs>
        <w:tab w:val="left" w:pos="1134"/>
      </w:tabs>
      <w:spacing w:before="120" w:after="240"/>
      <w:ind w:left="1134" w:hanging="1134"/>
      <w:jc w:val="center"/>
    </w:pPr>
    <w:rPr>
      <w:b/>
      <w:color w:val="004B8D" w:themeColor="accent1"/>
    </w:rPr>
  </w:style>
  <w:style w:type="paragraph" w:customStyle="1" w:styleId="TableTitle">
    <w:name w:val="Table Title"/>
    <w:basedOn w:val="Caption"/>
    <w:uiPriority w:val="6"/>
    <w:qFormat/>
    <w:rsid w:val="009E3BCF"/>
    <w:pPr>
      <w:keepNext/>
    </w:pPr>
    <w:rPr>
      <w:color w:val="004B8D" w:themeColor="accent1"/>
    </w:rPr>
  </w:style>
  <w:style w:type="paragraph" w:customStyle="1" w:styleId="FigureStyle">
    <w:name w:val="Figure Style"/>
    <w:basedOn w:val="BodyText"/>
    <w:uiPriority w:val="6"/>
    <w:semiHidden/>
    <w:qFormat/>
    <w:rsid w:val="00FE7A02"/>
    <w:pPr>
      <w:keepNext/>
      <w:spacing w:before="240" w:line="240" w:lineRule="auto"/>
      <w:jc w:val="center"/>
    </w:pPr>
  </w:style>
  <w:style w:type="paragraph" w:styleId="TOC5">
    <w:name w:val="toc 5"/>
    <w:basedOn w:val="TOC2"/>
    <w:next w:val="Normal"/>
    <w:uiPriority w:val="39"/>
    <w:rsid w:val="00E4248F"/>
    <w:pPr>
      <w:tabs>
        <w:tab w:val="left" w:pos="1134"/>
      </w:tabs>
      <w:ind w:left="1134" w:hanging="567"/>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CA10B0"/>
    <w:pPr>
      <w:numPr>
        <w:numId w:val="3"/>
      </w:numPr>
    </w:pPr>
  </w:style>
  <w:style w:type="numbering" w:customStyle="1" w:styleId="ListParagraph">
    <w:name w:val="List_Paragraph"/>
    <w:uiPriority w:val="99"/>
    <w:rsid w:val="003A08A5"/>
    <w:pPr>
      <w:numPr>
        <w:numId w:val="5"/>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1"/>
    <w:qFormat/>
    <w:rsid w:val="00CA10B0"/>
    <w:pPr>
      <w:numPr>
        <w:numId w:val="8"/>
      </w:numPr>
    </w:pPr>
  </w:style>
  <w:style w:type="numbering" w:customStyle="1" w:styleId="ListAlpha">
    <w:name w:val="List_Alpha"/>
    <w:uiPriority w:val="99"/>
    <w:rsid w:val="00CA10B0"/>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rsid w:val="00140E8B"/>
    <w:pPr>
      <w:tabs>
        <w:tab w:val="left" w:pos="1134"/>
        <w:tab w:val="left" w:pos="1559"/>
      </w:tabs>
      <w:spacing w:after="120" w:line="264" w:lineRule="auto"/>
    </w:pPr>
    <w:rPr>
      <w:noProof/>
      <w:sz w:val="24"/>
    </w:rPr>
  </w:style>
  <w:style w:type="paragraph" w:customStyle="1" w:styleId="TableTotal">
    <w:name w:val="Table Total"/>
    <w:basedOn w:val="TableBody"/>
    <w:uiPriority w:val="5"/>
    <w:qFormat/>
    <w:rsid w:val="007B1B14"/>
    <w:rPr>
      <w:b/>
    </w:rPr>
  </w:style>
  <w:style w:type="character" w:styleId="FollowedHyperlink">
    <w:name w:val="FollowedHyperlink"/>
    <w:basedOn w:val="DefaultParagraphFont"/>
    <w:uiPriority w:val="99"/>
    <w:semiHidden/>
    <w:rsid w:val="000B6FA1"/>
    <w:rPr>
      <w:color w:val="7F7F7F" w:themeColor="text2"/>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CA10B0"/>
    <w:pPr>
      <w:numPr>
        <w:ilvl w:val="1"/>
      </w:numPr>
    </w:pPr>
  </w:style>
  <w:style w:type="paragraph" w:customStyle="1" w:styleId="ListAlpha3">
    <w:name w:val="List Alpha 3"/>
    <w:basedOn w:val="ListAlpha2"/>
    <w:uiPriority w:val="19"/>
    <w:rsid w:val="00CA10B0"/>
    <w:pPr>
      <w:numPr>
        <w:ilvl w:val="2"/>
      </w:numPr>
    </w:pPr>
  </w:style>
  <w:style w:type="paragraph" w:customStyle="1" w:styleId="ListAlpha4">
    <w:name w:val="List Alpha 4"/>
    <w:basedOn w:val="ListAlpha3"/>
    <w:uiPriority w:val="19"/>
    <w:rsid w:val="00CA10B0"/>
    <w:pPr>
      <w:numPr>
        <w:ilvl w:val="3"/>
      </w:numPr>
    </w:pPr>
  </w:style>
  <w:style w:type="paragraph" w:customStyle="1" w:styleId="ListAlpha6">
    <w:name w:val="List Alpha 6"/>
    <w:basedOn w:val="ListAlpha4"/>
    <w:uiPriority w:val="19"/>
    <w:rsid w:val="00CA10B0"/>
    <w:pPr>
      <w:numPr>
        <w:ilvl w:val="5"/>
      </w:numPr>
    </w:pPr>
  </w:style>
  <w:style w:type="paragraph" w:customStyle="1" w:styleId="ListAlpha5">
    <w:name w:val="List Alpha 5"/>
    <w:basedOn w:val="ListAlpha6"/>
    <w:uiPriority w:val="19"/>
    <w:rsid w:val="00CA10B0"/>
    <w:pPr>
      <w:numPr>
        <w:ilvl w:val="4"/>
        <w:numId w:val="10"/>
      </w:numPr>
    </w:pPr>
  </w:style>
  <w:style w:type="paragraph" w:styleId="ListBullet2">
    <w:name w:val="List Bullet 2"/>
    <w:basedOn w:val="ListBullet0"/>
    <w:uiPriority w:val="19"/>
    <w:rsid w:val="00875F0D"/>
    <w:pPr>
      <w:numPr>
        <w:ilvl w:val="1"/>
      </w:numPr>
      <w:spacing w:after="120"/>
    </w:pPr>
  </w:style>
  <w:style w:type="paragraph" w:styleId="ListBullet3">
    <w:name w:val="List Bullet 3"/>
    <w:basedOn w:val="ListBullet0"/>
    <w:uiPriority w:val="19"/>
    <w:rsid w:val="00875F0D"/>
    <w:pPr>
      <w:numPr>
        <w:ilvl w:val="2"/>
      </w:numPr>
      <w:spacing w:after="120"/>
    </w:pPr>
  </w:style>
  <w:style w:type="paragraph" w:styleId="ListBullet4">
    <w:name w:val="List Bullet 4"/>
    <w:basedOn w:val="ListBullet0"/>
    <w:uiPriority w:val="19"/>
    <w:rsid w:val="00875F0D"/>
    <w:pPr>
      <w:numPr>
        <w:ilvl w:val="3"/>
      </w:numPr>
      <w:spacing w:after="120"/>
    </w:pPr>
  </w:style>
  <w:style w:type="paragraph" w:styleId="ListBullet5">
    <w:name w:val="List Bullet 5"/>
    <w:basedOn w:val="ListBullet0"/>
    <w:uiPriority w:val="19"/>
    <w:rsid w:val="00875F0D"/>
    <w:pPr>
      <w:numPr>
        <w:ilvl w:val="4"/>
      </w:numPr>
      <w:spacing w:after="120"/>
    </w:pPr>
  </w:style>
  <w:style w:type="paragraph" w:customStyle="1" w:styleId="ListBullet6">
    <w:name w:val="List Bullet 6"/>
    <w:basedOn w:val="ListBullet0"/>
    <w:uiPriority w:val="19"/>
    <w:rsid w:val="00875F0D"/>
    <w:pPr>
      <w:numPr>
        <w:ilvl w:val="5"/>
      </w:numPr>
      <w:spacing w:after="120"/>
    </w:pPr>
  </w:style>
  <w:style w:type="paragraph" w:styleId="ListNumber2">
    <w:name w:val="List Number 2"/>
    <w:basedOn w:val="ListNumber0"/>
    <w:uiPriority w:val="19"/>
    <w:rsid w:val="002E62B5"/>
    <w:pPr>
      <w:numPr>
        <w:ilvl w:val="1"/>
      </w:numPr>
      <w:spacing w:after="120"/>
    </w:pPr>
  </w:style>
  <w:style w:type="paragraph" w:styleId="ListNumber3">
    <w:name w:val="List Number 3"/>
    <w:basedOn w:val="ListNumber0"/>
    <w:uiPriority w:val="19"/>
    <w:rsid w:val="002E62B5"/>
    <w:pPr>
      <w:numPr>
        <w:ilvl w:val="2"/>
      </w:numPr>
      <w:spacing w:after="120"/>
      <w:ind w:left="1276"/>
    </w:pPr>
  </w:style>
  <w:style w:type="paragraph" w:styleId="ListNumber4">
    <w:name w:val="List Number 4"/>
    <w:basedOn w:val="ListNumber0"/>
    <w:uiPriority w:val="19"/>
    <w:rsid w:val="002E62B5"/>
    <w:pPr>
      <w:numPr>
        <w:ilvl w:val="3"/>
      </w:numPr>
      <w:spacing w:after="120"/>
      <w:ind w:left="1701"/>
    </w:pPr>
  </w:style>
  <w:style w:type="paragraph" w:styleId="ListNumber5">
    <w:name w:val="List Number 5"/>
    <w:basedOn w:val="ListNumber0"/>
    <w:uiPriority w:val="19"/>
    <w:rsid w:val="002E62B5"/>
    <w:pPr>
      <w:numPr>
        <w:ilvl w:val="4"/>
      </w:numPr>
      <w:spacing w:after="120"/>
      <w:ind w:left="2126"/>
    </w:pPr>
  </w:style>
  <w:style w:type="paragraph" w:customStyle="1" w:styleId="ListNumber6">
    <w:name w:val="List Number 6"/>
    <w:basedOn w:val="ListNumber0"/>
    <w:uiPriority w:val="19"/>
    <w:rsid w:val="002E62B5"/>
    <w:pPr>
      <w:numPr>
        <w:ilvl w:val="5"/>
      </w:numPr>
      <w:spacing w:after="120"/>
      <w:ind w:left="2551"/>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875F0D"/>
    <w:pPr>
      <w:numPr>
        <w:numId w:val="13"/>
      </w:numPr>
    </w:pPr>
  </w:style>
  <w:style w:type="numbering" w:customStyle="1" w:styleId="ListNumberedHeadings">
    <w:name w:val="List_NumberedHeadings"/>
    <w:uiPriority w:val="99"/>
    <w:rsid w:val="003A08A5"/>
    <w:pPr>
      <w:numPr>
        <w:numId w:val="4"/>
      </w:numPr>
    </w:pPr>
  </w:style>
  <w:style w:type="numbering" w:customStyle="1" w:styleId="ListTableBullet">
    <w:name w:val="List_TableBullet"/>
    <w:uiPriority w:val="99"/>
    <w:rsid w:val="00875F0D"/>
    <w:pPr>
      <w:numPr>
        <w:numId w:val="14"/>
      </w:numPr>
    </w:pPr>
  </w:style>
  <w:style w:type="numbering" w:customStyle="1" w:styleId="ListTableNumber">
    <w:name w:val="List_TableNumber"/>
    <w:uiPriority w:val="99"/>
    <w:rsid w:val="003A08A5"/>
    <w:pPr>
      <w:numPr>
        <w:numId w:val="6"/>
      </w:numPr>
    </w:pPr>
  </w:style>
  <w:style w:type="paragraph" w:customStyle="1" w:styleId="TableBullet2">
    <w:name w:val="Table Bullet 2"/>
    <w:basedOn w:val="TableBullet"/>
    <w:uiPriority w:val="19"/>
    <w:rsid w:val="00875F0D"/>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TableSubtitle">
    <w:name w:val="Table Subtitle"/>
    <w:basedOn w:val="TableHeading"/>
    <w:uiPriority w:val="3"/>
    <w:qFormat/>
    <w:rsid w:val="006C3975"/>
    <w:rPr>
      <w:b w:val="0"/>
      <w:i/>
    </w:rPr>
  </w:style>
  <w:style w:type="table" w:customStyle="1" w:styleId="V2020Table">
    <w:name w:val="V2020 Table"/>
    <w:basedOn w:val="TableNormal"/>
    <w:uiPriority w:val="99"/>
    <w:rsid w:val="00E17257"/>
    <w:pPr>
      <w:spacing w:before="0"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shd w:val="clear" w:color="auto" w:fill="auto"/>
    </w:tcPr>
    <w:tblStylePr w:type="firstRow">
      <w:rPr>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4B8D" w:themeFill="accent1"/>
      </w:tcPr>
    </w:tblStylePr>
    <w:tblStylePr w:type="lastRow">
      <w:rPr>
        <w:b/>
      </w:rPr>
    </w:tblStylePr>
    <w:tblStylePr w:type="firstCol">
      <w:rPr>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4B8D" w:themeFill="accent1"/>
      </w:tcPr>
    </w:tblStylePr>
  </w:style>
  <w:style w:type="paragraph" w:customStyle="1" w:styleId="Indented">
    <w:name w:val="Indented"/>
    <w:basedOn w:val="BodyText"/>
    <w:uiPriority w:val="2"/>
    <w:qFormat/>
    <w:rsid w:val="007B1B14"/>
    <w:pPr>
      <w:ind w:left="567"/>
    </w:pPr>
  </w:style>
  <w:style w:type="paragraph" w:customStyle="1" w:styleId="MinutesACTION">
    <w:name w:val="Minutes ACTION"/>
    <w:basedOn w:val="Normal"/>
    <w:rsid w:val="00D44172"/>
    <w:pPr>
      <w:widowControl w:val="0"/>
      <w:pBdr>
        <w:top w:val="single" w:sz="48" w:space="1" w:color="D2D2D2"/>
        <w:bottom w:val="single" w:sz="48" w:space="0" w:color="D2D2D2"/>
      </w:pBdr>
      <w:shd w:val="clear" w:color="auto" w:fill="D2D2D2"/>
      <w:tabs>
        <w:tab w:val="left" w:pos="210"/>
        <w:tab w:val="left" w:pos="1985"/>
      </w:tabs>
      <w:spacing w:before="120" w:after="480"/>
      <w:ind w:left="1985" w:hanging="1985"/>
    </w:pPr>
    <w:rPr>
      <w:rFonts w:eastAsia="Times New Roman" w:cs="Times New Roman"/>
      <w:color w:val="000000"/>
      <w:spacing w:val="2"/>
      <w:szCs w:val="18"/>
    </w:rPr>
  </w:style>
  <w:style w:type="paragraph" w:customStyle="1" w:styleId="MinutesResolution">
    <w:name w:val="Minutes Resolution"/>
    <w:basedOn w:val="Normal"/>
    <w:rsid w:val="00D44172"/>
    <w:pPr>
      <w:widowControl w:val="0"/>
      <w:pBdr>
        <w:top w:val="single" w:sz="48" w:space="1" w:color="E6E6E6"/>
        <w:bottom w:val="single" w:sz="48" w:space="0" w:color="E6E6E6"/>
      </w:pBdr>
      <w:shd w:val="clear" w:color="auto" w:fill="E6E6E6"/>
      <w:tabs>
        <w:tab w:val="left" w:pos="196"/>
        <w:tab w:val="left" w:pos="1985"/>
        <w:tab w:val="left" w:pos="3850"/>
        <w:tab w:val="left" w:pos="5040"/>
        <w:tab w:val="left" w:pos="6901"/>
      </w:tabs>
      <w:spacing w:before="360" w:after="120"/>
      <w:ind w:left="1985" w:right="6" w:hanging="1985"/>
    </w:pPr>
    <w:rPr>
      <w:rFonts w:eastAsia="Times New Roman" w:cs="Times New Roman"/>
      <w:color w:val="000000"/>
      <w:spacing w:val="2"/>
      <w:position w:val="4"/>
      <w:szCs w:val="20"/>
    </w:rPr>
  </w:style>
  <w:style w:type="paragraph" w:customStyle="1" w:styleId="MinutesMOVEDBY">
    <w:name w:val="Minutes MOVED BY"/>
    <w:basedOn w:val="MinutesResolution"/>
    <w:rsid w:val="00D44172"/>
    <w:pPr>
      <w:pBdr>
        <w:top w:val="none" w:sz="0" w:space="0" w:color="auto"/>
        <w:bottom w:val="none" w:sz="0" w:space="0" w:color="auto"/>
      </w:pBdr>
      <w:shd w:val="clear" w:color="auto" w:fill="auto"/>
      <w:tabs>
        <w:tab w:val="clear" w:pos="196"/>
        <w:tab w:val="clear" w:pos="3850"/>
        <w:tab w:val="clear" w:pos="5040"/>
        <w:tab w:val="clear" w:pos="6901"/>
        <w:tab w:val="left" w:pos="210"/>
        <w:tab w:val="left" w:pos="3230"/>
        <w:tab w:val="left" w:pos="6460"/>
      </w:tabs>
      <w:spacing w:before="120" w:after="480"/>
      <w:ind w:left="1077" w:hanging="1077"/>
    </w:pPr>
    <w:rPr>
      <w:szCs w:val="18"/>
    </w:rPr>
  </w:style>
  <w:style w:type="paragraph" w:customStyle="1" w:styleId="Recommendation">
    <w:name w:val="Recommendation"/>
    <w:basedOn w:val="TableHeading"/>
    <w:uiPriority w:val="99"/>
    <w:qFormat/>
    <w:rsid w:val="00D44172"/>
    <w:rPr>
      <w:lang w:eastAsia="en-AU"/>
    </w:rPr>
  </w:style>
  <w:style w:type="table" w:styleId="TableGridLight">
    <w:name w:val="Grid Table Light"/>
    <w:basedOn w:val="TableNormal"/>
    <w:uiPriority w:val="40"/>
    <w:rsid w:val="003C20B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DF7D13"/>
    <w:rPr>
      <w:sz w:val="20"/>
      <w:szCs w:val="20"/>
    </w:rPr>
  </w:style>
  <w:style w:type="character" w:customStyle="1" w:styleId="FootnoteTextChar">
    <w:name w:val="Footnote Text Char"/>
    <w:basedOn w:val="DefaultParagraphFont"/>
    <w:link w:val="FootnoteText"/>
    <w:uiPriority w:val="99"/>
    <w:semiHidden/>
    <w:rsid w:val="00DF7D13"/>
    <w:rPr>
      <w:sz w:val="20"/>
      <w:szCs w:val="20"/>
    </w:rPr>
  </w:style>
  <w:style w:type="character" w:styleId="FootnoteReference">
    <w:name w:val="footnote reference"/>
    <w:aliases w:val="fr,ftref,16 Point,Superscript 6 Point,(NECG) Footnote Reference,Ref,de nota al pie,Normal + Font:9 Point,Superscript 3 Point Times,BVI fnr,BVI fnr Car Car,BVI fnr Car,BVI fnr Car Car Car Car,BVI fnr Car Car Car Car Char"/>
    <w:basedOn w:val="DefaultParagraphFont"/>
    <w:uiPriority w:val="99"/>
    <w:unhideWhenUsed/>
    <w:rsid w:val="00DF7D13"/>
    <w:rPr>
      <w:vertAlign w:val="superscript"/>
    </w:rPr>
  </w:style>
  <w:style w:type="character" w:styleId="CommentReference">
    <w:name w:val="annotation reference"/>
    <w:basedOn w:val="DefaultParagraphFont"/>
    <w:uiPriority w:val="99"/>
    <w:semiHidden/>
    <w:unhideWhenUsed/>
    <w:rsid w:val="00BC1F83"/>
    <w:rPr>
      <w:sz w:val="16"/>
      <w:szCs w:val="16"/>
    </w:rPr>
  </w:style>
  <w:style w:type="paragraph" w:styleId="CommentText">
    <w:name w:val="annotation text"/>
    <w:basedOn w:val="Normal"/>
    <w:link w:val="CommentTextChar"/>
    <w:uiPriority w:val="99"/>
    <w:semiHidden/>
    <w:unhideWhenUsed/>
    <w:rsid w:val="00BC1F83"/>
    <w:rPr>
      <w:sz w:val="20"/>
      <w:szCs w:val="20"/>
    </w:rPr>
  </w:style>
  <w:style w:type="character" w:customStyle="1" w:styleId="CommentTextChar">
    <w:name w:val="Comment Text Char"/>
    <w:basedOn w:val="DefaultParagraphFont"/>
    <w:link w:val="CommentText"/>
    <w:uiPriority w:val="99"/>
    <w:semiHidden/>
    <w:rsid w:val="00BC1F83"/>
    <w:rPr>
      <w:sz w:val="20"/>
      <w:szCs w:val="20"/>
    </w:rPr>
  </w:style>
  <w:style w:type="paragraph" w:styleId="CommentSubject">
    <w:name w:val="annotation subject"/>
    <w:basedOn w:val="CommentText"/>
    <w:next w:val="CommentText"/>
    <w:link w:val="CommentSubjectChar"/>
    <w:uiPriority w:val="99"/>
    <w:semiHidden/>
    <w:unhideWhenUsed/>
    <w:rsid w:val="00BC1F83"/>
    <w:rPr>
      <w:b/>
      <w:bCs/>
    </w:rPr>
  </w:style>
  <w:style w:type="character" w:customStyle="1" w:styleId="CommentSubjectChar">
    <w:name w:val="Comment Subject Char"/>
    <w:basedOn w:val="CommentTextChar"/>
    <w:link w:val="CommentSubject"/>
    <w:uiPriority w:val="99"/>
    <w:semiHidden/>
    <w:rsid w:val="00BC1F83"/>
    <w:rPr>
      <w:b/>
      <w:bCs/>
      <w:sz w:val="20"/>
      <w:szCs w:val="20"/>
    </w:rPr>
  </w:style>
  <w:style w:type="paragraph" w:customStyle="1" w:styleId="AttachmentH1">
    <w:name w:val="Attachment H1"/>
    <w:basedOn w:val="Normal"/>
    <w:next w:val="BodyText"/>
    <w:uiPriority w:val="99"/>
    <w:qFormat/>
    <w:rsid w:val="007826EE"/>
    <w:pPr>
      <w:pageBreakBefore/>
      <w:numPr>
        <w:numId w:val="17"/>
      </w:numPr>
      <w:tabs>
        <w:tab w:val="left" w:pos="567"/>
      </w:tabs>
      <w:spacing w:before="240" w:after="120"/>
    </w:pPr>
    <w:rPr>
      <w:rFonts w:eastAsia="Times New Roman" w:cs="Times New Roman"/>
      <w:b/>
      <w:sz w:val="36"/>
      <w:szCs w:val="24"/>
      <w:lang w:eastAsia="en-AU"/>
    </w:rPr>
  </w:style>
  <w:style w:type="paragraph" w:customStyle="1" w:styleId="AttachmentH2">
    <w:name w:val="Attachment H2"/>
    <w:basedOn w:val="Heading2"/>
    <w:next w:val="BodyText"/>
    <w:uiPriority w:val="99"/>
    <w:qFormat/>
    <w:rsid w:val="007826EE"/>
    <w:pPr>
      <w:numPr>
        <w:ilvl w:val="1"/>
        <w:numId w:val="17"/>
      </w:numPr>
      <w:tabs>
        <w:tab w:val="left" w:pos="851"/>
      </w:tabs>
      <w:spacing w:after="120"/>
    </w:pPr>
    <w:rPr>
      <w:b/>
      <w:iCs w:val="0"/>
      <w:sz w:val="24"/>
    </w:rPr>
  </w:style>
  <w:style w:type="paragraph" w:customStyle="1" w:styleId="AttachmentH3">
    <w:name w:val="Attachment H3"/>
    <w:basedOn w:val="Heading3"/>
    <w:next w:val="BodyText"/>
    <w:uiPriority w:val="99"/>
    <w:qFormat/>
    <w:rsid w:val="007826EE"/>
    <w:pPr>
      <w:numPr>
        <w:ilvl w:val="2"/>
        <w:numId w:val="17"/>
      </w:numPr>
      <w:tabs>
        <w:tab w:val="left" w:pos="851"/>
      </w:tabs>
    </w:pPr>
    <w:rPr>
      <w:color w:val="auto"/>
      <w:sz w:val="22"/>
    </w:rPr>
  </w:style>
  <w:style w:type="numbering" w:customStyle="1" w:styleId="ListAttachment">
    <w:name w:val="List_Attachment"/>
    <w:uiPriority w:val="99"/>
    <w:rsid w:val="007826EE"/>
    <w:pPr>
      <w:numPr>
        <w:numId w:val="16"/>
      </w:numPr>
    </w:pPr>
  </w:style>
  <w:style w:type="character" w:customStyle="1" w:styleId="UnresolvedMention1">
    <w:name w:val="Unresolved Mention1"/>
    <w:basedOn w:val="DefaultParagraphFont"/>
    <w:uiPriority w:val="99"/>
    <w:semiHidden/>
    <w:unhideWhenUsed/>
    <w:rsid w:val="00043A15"/>
    <w:rPr>
      <w:color w:val="605E5C"/>
      <w:shd w:val="clear" w:color="auto" w:fill="E1DFDD"/>
    </w:rPr>
  </w:style>
  <w:style w:type="character" w:customStyle="1" w:styleId="DocTitle">
    <w:name w:val="DocTitle"/>
    <w:basedOn w:val="DefaultParagraphFont"/>
    <w:uiPriority w:val="10"/>
    <w:rsid w:val="00CC6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830475">
      <w:bodyDiv w:val="1"/>
      <w:marLeft w:val="0"/>
      <w:marRight w:val="0"/>
      <w:marTop w:val="0"/>
      <w:marBottom w:val="0"/>
      <w:divBdr>
        <w:top w:val="none" w:sz="0" w:space="0" w:color="auto"/>
        <w:left w:val="none" w:sz="0" w:space="0" w:color="auto"/>
        <w:bottom w:val="none" w:sz="0" w:space="0" w:color="auto"/>
        <w:right w:val="none" w:sz="0" w:space="0" w:color="auto"/>
      </w:divBdr>
    </w:div>
    <w:div w:id="674379644">
      <w:bodyDiv w:val="1"/>
      <w:marLeft w:val="0"/>
      <w:marRight w:val="0"/>
      <w:marTop w:val="0"/>
      <w:marBottom w:val="0"/>
      <w:divBdr>
        <w:top w:val="none" w:sz="0" w:space="0" w:color="auto"/>
        <w:left w:val="none" w:sz="0" w:space="0" w:color="auto"/>
        <w:bottom w:val="none" w:sz="0" w:space="0" w:color="auto"/>
        <w:right w:val="none" w:sz="0" w:space="0" w:color="auto"/>
      </w:divBdr>
    </w:div>
    <w:div w:id="1000044484">
      <w:bodyDiv w:val="1"/>
      <w:marLeft w:val="0"/>
      <w:marRight w:val="0"/>
      <w:marTop w:val="0"/>
      <w:marBottom w:val="0"/>
      <w:divBdr>
        <w:top w:val="none" w:sz="0" w:space="0" w:color="auto"/>
        <w:left w:val="none" w:sz="0" w:space="0" w:color="auto"/>
        <w:bottom w:val="none" w:sz="0" w:space="0" w:color="auto"/>
        <w:right w:val="none" w:sz="0" w:space="0" w:color="auto"/>
      </w:divBdr>
    </w:div>
    <w:div w:id="1148934110">
      <w:bodyDiv w:val="1"/>
      <w:marLeft w:val="0"/>
      <w:marRight w:val="0"/>
      <w:marTop w:val="0"/>
      <w:marBottom w:val="0"/>
      <w:divBdr>
        <w:top w:val="none" w:sz="0" w:space="0" w:color="auto"/>
        <w:left w:val="none" w:sz="0" w:space="0" w:color="auto"/>
        <w:bottom w:val="none" w:sz="0" w:space="0" w:color="auto"/>
        <w:right w:val="none" w:sz="0" w:space="0" w:color="auto"/>
      </w:divBdr>
    </w:div>
    <w:div w:id="1268082787">
      <w:bodyDiv w:val="1"/>
      <w:marLeft w:val="0"/>
      <w:marRight w:val="0"/>
      <w:marTop w:val="0"/>
      <w:marBottom w:val="0"/>
      <w:divBdr>
        <w:top w:val="none" w:sz="0" w:space="0" w:color="auto"/>
        <w:left w:val="none" w:sz="0" w:space="0" w:color="auto"/>
        <w:bottom w:val="none" w:sz="0" w:space="0" w:color="auto"/>
        <w:right w:val="none" w:sz="0" w:space="0" w:color="auto"/>
      </w:divBdr>
    </w:div>
    <w:div w:id="1438602150">
      <w:bodyDiv w:val="1"/>
      <w:marLeft w:val="0"/>
      <w:marRight w:val="0"/>
      <w:marTop w:val="0"/>
      <w:marBottom w:val="0"/>
      <w:divBdr>
        <w:top w:val="none" w:sz="0" w:space="0" w:color="auto"/>
        <w:left w:val="none" w:sz="0" w:space="0" w:color="auto"/>
        <w:bottom w:val="none" w:sz="0" w:space="0" w:color="auto"/>
        <w:right w:val="none" w:sz="0" w:space="0" w:color="auto"/>
      </w:divBdr>
    </w:div>
    <w:div w:id="1591311617">
      <w:bodyDiv w:val="1"/>
      <w:marLeft w:val="0"/>
      <w:marRight w:val="0"/>
      <w:marTop w:val="0"/>
      <w:marBottom w:val="0"/>
      <w:divBdr>
        <w:top w:val="none" w:sz="0" w:space="0" w:color="auto"/>
        <w:left w:val="none" w:sz="0" w:space="0" w:color="auto"/>
        <w:bottom w:val="none" w:sz="0" w:space="0" w:color="auto"/>
        <w:right w:val="none" w:sz="0" w:space="0" w:color="auto"/>
      </w:divBdr>
    </w:div>
    <w:div w:id="1596094260">
      <w:bodyDiv w:val="1"/>
      <w:marLeft w:val="0"/>
      <w:marRight w:val="0"/>
      <w:marTop w:val="0"/>
      <w:marBottom w:val="0"/>
      <w:divBdr>
        <w:top w:val="none" w:sz="0" w:space="0" w:color="auto"/>
        <w:left w:val="none" w:sz="0" w:space="0" w:color="auto"/>
        <w:bottom w:val="none" w:sz="0" w:space="0" w:color="auto"/>
        <w:right w:val="none" w:sz="0" w:space="0" w:color="auto"/>
      </w:divBdr>
    </w:div>
    <w:div w:id="1839343220">
      <w:bodyDiv w:val="1"/>
      <w:marLeft w:val="0"/>
      <w:marRight w:val="0"/>
      <w:marTop w:val="0"/>
      <w:marBottom w:val="0"/>
      <w:divBdr>
        <w:top w:val="none" w:sz="0" w:space="0" w:color="auto"/>
        <w:left w:val="none" w:sz="0" w:space="0" w:color="auto"/>
        <w:bottom w:val="none" w:sz="0" w:space="0" w:color="auto"/>
        <w:right w:val="none" w:sz="0" w:space="0" w:color="auto"/>
      </w:divBdr>
    </w:div>
    <w:div w:id="1977222813">
      <w:bodyDiv w:val="1"/>
      <w:marLeft w:val="0"/>
      <w:marRight w:val="0"/>
      <w:marTop w:val="0"/>
      <w:marBottom w:val="0"/>
      <w:divBdr>
        <w:top w:val="none" w:sz="0" w:space="0" w:color="auto"/>
        <w:left w:val="none" w:sz="0" w:space="0" w:color="auto"/>
        <w:bottom w:val="none" w:sz="0" w:space="0" w:color="auto"/>
        <w:right w:val="none" w:sz="0" w:space="0" w:color="auto"/>
      </w:divBdr>
    </w:div>
    <w:div w:id="2036998930">
      <w:bodyDiv w:val="1"/>
      <w:marLeft w:val="0"/>
      <w:marRight w:val="0"/>
      <w:marTop w:val="0"/>
      <w:marBottom w:val="0"/>
      <w:divBdr>
        <w:top w:val="none" w:sz="0" w:space="0" w:color="auto"/>
        <w:left w:val="none" w:sz="0" w:space="0" w:color="auto"/>
        <w:bottom w:val="none" w:sz="0" w:space="0" w:color="auto"/>
        <w:right w:val="none" w:sz="0" w:space="0" w:color="auto"/>
      </w:divBdr>
    </w:div>
    <w:div w:id="204801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ockley\AppData\Roaming\Microsoft\Word\STARTUP\Vision2020%20Ribbon.dotm" TargetMode="External"/></Relationships>
</file>

<file path=word/theme/theme1.xml><?xml version="1.0" encoding="utf-8"?>
<a:theme xmlns:a="http://schemas.openxmlformats.org/drawingml/2006/main" name="Office Theme">
  <a:themeElements>
    <a:clrScheme name="Vision 2020">
      <a:dk1>
        <a:sysClr val="windowText" lastClr="000000"/>
      </a:dk1>
      <a:lt1>
        <a:sysClr val="window" lastClr="FFFFFF"/>
      </a:lt1>
      <a:dk2>
        <a:srgbClr val="7F7F7F"/>
      </a:dk2>
      <a:lt2>
        <a:srgbClr val="FFFFFF"/>
      </a:lt2>
      <a:accent1>
        <a:srgbClr val="004B8D"/>
      </a:accent1>
      <a:accent2>
        <a:srgbClr val="FFE384"/>
      </a:accent2>
      <a:accent3>
        <a:srgbClr val="32619D"/>
      </a:accent3>
      <a:accent4>
        <a:srgbClr val="FFECB3"/>
      </a:accent4>
      <a:accent5>
        <a:srgbClr val="BDC6DF"/>
      </a:accent5>
      <a:accent6>
        <a:srgbClr val="FFF7E2"/>
      </a:accent6>
      <a:hlink>
        <a:srgbClr val="004B8D"/>
      </a:hlink>
      <a:folHlink>
        <a:srgbClr val="004B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2021FG-108-9977</_dlc_DocId>
    <_dlc_DocIdUrl xmlns="0f563589-9cf9-4143-b1eb-fb0534803d38">
      <Url>http://tweb/sites/fg/bpd/_layouts/15/DocIdRedir.aspx?ID=2021FG-108-9977</Url>
      <Description>2021FG-108-9977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FCFAB306-0983-42C6-A54B-8161EC2D3EF9}">
  <ds:schemaRefs>
    <ds:schemaRef ds:uri="http://schemas.microsoft.com/sharepoint/events"/>
  </ds:schemaRefs>
</ds:datastoreItem>
</file>

<file path=customXml/itemProps2.xml><?xml version="1.0" encoding="utf-8"?>
<ds:datastoreItem xmlns:ds="http://schemas.openxmlformats.org/officeDocument/2006/customXml" ds:itemID="{F50EECE7-DBD8-435E-9330-439EA8F09F7B}">
  <ds:schemaRefs>
    <ds:schemaRef ds:uri="http://schemas.openxmlformats.org/officeDocument/2006/bibliography"/>
  </ds:schemaRefs>
</ds:datastoreItem>
</file>

<file path=customXml/itemProps3.xml><?xml version="1.0" encoding="utf-8"?>
<ds:datastoreItem xmlns:ds="http://schemas.openxmlformats.org/officeDocument/2006/customXml" ds:itemID="{2770F1EE-C0D1-41D7-B1F9-2232676B474B}">
  <ds:schemaRefs>
    <ds:schemaRef ds:uri="Microsoft.SharePoint.Taxonomy.ContentTypeSync"/>
  </ds:schemaRefs>
</ds:datastoreItem>
</file>

<file path=customXml/itemProps4.xml><?xml version="1.0" encoding="utf-8"?>
<ds:datastoreItem xmlns:ds="http://schemas.openxmlformats.org/officeDocument/2006/customXml" ds:itemID="{4AFC63F2-51C6-4C4E-88F6-EB94014A7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9FFEAC-92C9-4CD6-ACCB-8D0DAA2BFE4A}">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5C519D2D-FACE-4953-84A7-5F499ABA910D}">
  <ds:schemaRefs>
    <ds:schemaRef ds:uri="http://schemas.microsoft.com/sharepoint/v3/contenttype/forms"/>
  </ds:schemaRefs>
</ds:datastoreItem>
</file>

<file path=customXml/itemProps7.xml><?xml version="1.0" encoding="utf-8"?>
<ds:datastoreItem xmlns:ds="http://schemas.openxmlformats.org/officeDocument/2006/customXml" ds:itemID="{52DB60CE-31D3-4BE5-A92F-6F45558B237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Vision2020 Ribbon.dotm</Template>
  <TotalTime>0</TotalTime>
  <Pages>3</Pages>
  <Words>6142</Words>
  <Characters>34678</Characters>
  <Application>Microsoft Office Word</Application>
  <DocSecurity>0</DocSecurity>
  <Lines>915</Lines>
  <Paragraphs>504</Paragraphs>
  <ScaleCrop>false</ScaleCrop>
  <Company/>
  <LinksUpToDate>false</LinksUpToDate>
  <CharactersWithSpaces>40467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2020 Australia - 2021-22 Pre-Budget Submissions</dc:title>
  <dc:subject/>
  <dc:creator/>
  <cp:lastModifiedBy/>
  <cp:revision>1</cp:revision>
  <dcterms:created xsi:type="dcterms:W3CDTF">2021-05-06T00:45:00Z</dcterms:created>
  <dcterms:modified xsi:type="dcterms:W3CDTF">2021-05-06T00:45:00Z</dcterms:modified>
  <dc:language>English</dc:language>
</cp:coreProperties>
</file>