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90137570"/>
        <w:docPartObj>
          <w:docPartGallery w:val="Cover Pages"/>
          <w:docPartUnique/>
        </w:docPartObj>
      </w:sdtPr>
      <w:sdtEndPr>
        <w:rPr>
          <w:rFonts w:ascii="Arial" w:hAnsi="Arial" w:cs="Arial"/>
          <w:b/>
          <w:bCs/>
          <w:sz w:val="20"/>
          <w:szCs w:val="20"/>
        </w:rPr>
      </w:sdtEndPr>
      <w:sdtContent>
        <w:p w14:paraId="484A0C7D" w14:textId="392FBC61" w:rsidR="000F4CBE" w:rsidRDefault="000F4CBE"/>
        <w:tbl>
          <w:tblPr>
            <w:tblpPr w:leftFromText="187" w:rightFromText="187" w:horzAnchor="margin" w:tblpXSpec="center" w:tblpY="2881"/>
            <w:tblW w:w="4000" w:type="pct"/>
            <w:tblBorders>
              <w:left w:val="single" w:sz="12" w:space="0" w:color="AD84C6" w:themeColor="accent1"/>
            </w:tblBorders>
            <w:tblCellMar>
              <w:left w:w="144" w:type="dxa"/>
              <w:right w:w="115" w:type="dxa"/>
            </w:tblCellMar>
            <w:tblLook w:val="04A0" w:firstRow="1" w:lastRow="0" w:firstColumn="1" w:lastColumn="0" w:noHBand="0" w:noVBand="1"/>
          </w:tblPr>
          <w:tblGrid>
            <w:gridCol w:w="7209"/>
          </w:tblGrid>
          <w:tr w:rsidR="000F4CBE" w14:paraId="04992DDA" w14:textId="77777777">
            <w:tc>
              <w:tcPr>
                <w:tcW w:w="7672" w:type="dxa"/>
                <w:tcMar>
                  <w:top w:w="216" w:type="dxa"/>
                  <w:left w:w="115" w:type="dxa"/>
                  <w:bottom w:w="216" w:type="dxa"/>
                  <w:right w:w="115" w:type="dxa"/>
                </w:tcMar>
              </w:tcPr>
              <w:p w14:paraId="5BCDE363" w14:textId="2D2BA2C6" w:rsidR="000F4CBE" w:rsidRDefault="000F4CBE">
                <w:pPr>
                  <w:pStyle w:val="NoSpacing"/>
                  <w:rPr>
                    <w:color w:val="864EA8" w:themeColor="accent1" w:themeShade="BF"/>
                  </w:rPr>
                </w:pPr>
                <w:r>
                  <w:rPr>
                    <w:color w:val="864EA8" w:themeColor="accent1" w:themeShade="BF"/>
                  </w:rPr>
                  <w:t>National Tertiary Education Union</w:t>
                </w:r>
              </w:p>
            </w:tc>
          </w:tr>
          <w:tr w:rsidR="000F4CBE" w14:paraId="7B46FC56" w14:textId="77777777">
            <w:tc>
              <w:tcPr>
                <w:tcW w:w="7672" w:type="dxa"/>
              </w:tcPr>
              <w:p w14:paraId="0380B25B" w14:textId="5AE0C9B5" w:rsidR="000F4CBE" w:rsidRDefault="000F4CBE">
                <w:pPr>
                  <w:pStyle w:val="NoSpacing"/>
                  <w:spacing w:line="216" w:lineRule="auto"/>
                  <w:rPr>
                    <w:rFonts w:asciiTheme="majorHAnsi" w:eastAsiaTheme="majorEastAsia" w:hAnsiTheme="majorHAnsi" w:cstheme="majorBidi"/>
                    <w:color w:val="AD84C6" w:themeColor="accent1"/>
                    <w:sz w:val="88"/>
                    <w:szCs w:val="88"/>
                  </w:rPr>
                </w:pPr>
                <w:r>
                  <w:rPr>
                    <w:rFonts w:asciiTheme="majorHAnsi" w:eastAsiaTheme="majorEastAsia" w:hAnsiTheme="majorHAnsi" w:cstheme="majorBidi"/>
                    <w:color w:val="AD84C6" w:themeColor="accent1"/>
                    <w:sz w:val="88"/>
                    <w:szCs w:val="88"/>
                  </w:rPr>
                  <w:t>2021-2022 Budget Submission</w:t>
                </w:r>
              </w:p>
            </w:tc>
          </w:tr>
          <w:tr w:rsidR="000F4CBE" w14:paraId="7FC8F3B6" w14:textId="77777777">
            <w:tc>
              <w:tcPr>
                <w:tcW w:w="7672" w:type="dxa"/>
                <w:tcMar>
                  <w:top w:w="216" w:type="dxa"/>
                  <w:left w:w="115" w:type="dxa"/>
                  <w:bottom w:w="216" w:type="dxa"/>
                  <w:right w:w="115" w:type="dxa"/>
                </w:tcMar>
              </w:tcPr>
              <w:p w14:paraId="6D4B60AE" w14:textId="541B2F68" w:rsidR="000F4CBE" w:rsidRDefault="000F4CBE">
                <w:pPr>
                  <w:pStyle w:val="NoSpacing"/>
                  <w:rPr>
                    <w:color w:val="864EA8" w:themeColor="accent1" w:themeShade="BF"/>
                  </w:rPr>
                </w:pPr>
                <w:r>
                  <w:rPr>
                    <w:color w:val="864EA8" w:themeColor="accent1" w:themeShade="BF"/>
                  </w:rPr>
                  <w:t>A Time of Reckoning and Rethinking for Australian Higher Education Policy</w:t>
                </w:r>
              </w:p>
            </w:tc>
          </w:tr>
        </w:tbl>
        <w:tbl>
          <w:tblPr>
            <w:tblpPr w:leftFromText="187" w:rightFromText="187" w:horzAnchor="margin" w:tblpXSpec="center" w:tblpYSpec="bottom"/>
            <w:tblW w:w="3857" w:type="pct"/>
            <w:tblLook w:val="04A0" w:firstRow="1" w:lastRow="0" w:firstColumn="1" w:lastColumn="0" w:noHBand="0" w:noVBand="1"/>
          </w:tblPr>
          <w:tblGrid>
            <w:gridCol w:w="6963"/>
          </w:tblGrid>
          <w:tr w:rsidR="000F4CBE" w14:paraId="6BA8C5F4" w14:textId="77777777">
            <w:tc>
              <w:tcPr>
                <w:tcW w:w="7221" w:type="dxa"/>
                <w:tcMar>
                  <w:top w:w="216" w:type="dxa"/>
                  <w:left w:w="115" w:type="dxa"/>
                  <w:bottom w:w="216" w:type="dxa"/>
                  <w:right w:w="115" w:type="dxa"/>
                </w:tcMar>
              </w:tcPr>
              <w:p w14:paraId="5B3A7ABC" w14:textId="4CA3AE76" w:rsidR="000F4CBE" w:rsidRDefault="000F4CBE">
                <w:pPr>
                  <w:pStyle w:val="NoSpacing"/>
                  <w:rPr>
                    <w:color w:val="AD84C6" w:themeColor="accent1"/>
                    <w:sz w:val="28"/>
                    <w:szCs w:val="28"/>
                  </w:rPr>
                </w:pPr>
                <w:r>
                  <w:rPr>
                    <w:color w:val="AD84C6" w:themeColor="accent1"/>
                    <w:sz w:val="28"/>
                    <w:szCs w:val="28"/>
                  </w:rPr>
                  <w:t>Dr Alison Barnes</w:t>
                </w:r>
                <w:r w:rsidR="008F1E38">
                  <w:rPr>
                    <w:color w:val="AD84C6" w:themeColor="accent1"/>
                    <w:sz w:val="28"/>
                    <w:szCs w:val="28"/>
                  </w:rPr>
                  <w:t xml:space="preserve">, </w:t>
                </w:r>
                <w:r>
                  <w:rPr>
                    <w:color w:val="AD84C6" w:themeColor="accent1"/>
                    <w:sz w:val="28"/>
                    <w:szCs w:val="28"/>
                  </w:rPr>
                  <w:t xml:space="preserve"> NTEU President                                           Paul Kniest</w:t>
                </w:r>
                <w:r w:rsidR="008F1E38">
                  <w:rPr>
                    <w:color w:val="AD84C6" w:themeColor="accent1"/>
                    <w:sz w:val="28"/>
                    <w:szCs w:val="28"/>
                  </w:rPr>
                  <w:t xml:space="preserve">, </w:t>
                </w:r>
                <w:r>
                  <w:rPr>
                    <w:color w:val="AD84C6" w:themeColor="accent1"/>
                    <w:sz w:val="28"/>
                    <w:szCs w:val="28"/>
                  </w:rPr>
                  <w:t xml:space="preserve"> NTEU Policy and Research</w:t>
                </w:r>
                <w:r w:rsidR="008F1E38">
                  <w:rPr>
                    <w:color w:val="AD84C6" w:themeColor="accent1"/>
                    <w:sz w:val="28"/>
                    <w:szCs w:val="28"/>
                  </w:rPr>
                  <w:t xml:space="preserve"> Unit</w:t>
                </w:r>
              </w:p>
              <w:p w14:paraId="6D83749B" w14:textId="50AD8E7C" w:rsidR="000F4CBE" w:rsidRPr="008F1E38" w:rsidRDefault="000F4CBE">
                <w:pPr>
                  <w:pStyle w:val="NoSpacing"/>
                  <w:rPr>
                    <w:color w:val="FFFFFF" w:themeColor="background1"/>
                    <w:sz w:val="28"/>
                    <w:szCs w:val="28"/>
                  </w:rPr>
                </w:pPr>
                <w:r w:rsidRPr="008F1E38">
                  <w:rPr>
                    <w:color w:val="FFFFFF" w:themeColor="background1"/>
                    <w:sz w:val="28"/>
                    <w:szCs w:val="28"/>
                    <w:lang w:val="en-US"/>
                  </w:rPr>
                  <w:t>2-4-2021</w:t>
                </w:r>
              </w:p>
              <w:p w14:paraId="671D573E" w14:textId="77777777" w:rsidR="000F4CBE" w:rsidRDefault="000F4CBE">
                <w:pPr>
                  <w:pStyle w:val="NoSpacing"/>
                  <w:rPr>
                    <w:color w:val="AD84C6" w:themeColor="accent1"/>
                  </w:rPr>
                </w:pPr>
              </w:p>
            </w:tc>
          </w:tr>
        </w:tbl>
        <w:p w14:paraId="5783FA5C" w14:textId="77777777" w:rsidR="000F4CBE" w:rsidRDefault="000F4CBE">
          <w:pPr>
            <w:rPr>
              <w:rFonts w:ascii="Arial" w:hAnsi="Arial" w:cs="Arial"/>
              <w:b/>
              <w:bCs/>
              <w:sz w:val="20"/>
              <w:szCs w:val="20"/>
            </w:rPr>
          </w:pPr>
          <w:r>
            <w:rPr>
              <w:rFonts w:ascii="Arial" w:hAnsi="Arial" w:cs="Arial"/>
              <w:b/>
              <w:bCs/>
              <w:sz w:val="20"/>
              <w:szCs w:val="20"/>
            </w:rPr>
            <w:br w:type="page"/>
          </w:r>
        </w:p>
      </w:sdtContent>
    </w:sdt>
    <w:p w14:paraId="460FAB9F" w14:textId="17E7A93F" w:rsidR="005324C6" w:rsidRDefault="005324C6" w:rsidP="00BA0663">
      <w:pPr>
        <w:spacing w:line="360" w:lineRule="auto"/>
        <w:rPr>
          <w:rFonts w:ascii="Arial" w:hAnsi="Arial" w:cs="Arial"/>
          <w:b/>
          <w:bCs/>
          <w:sz w:val="20"/>
          <w:szCs w:val="20"/>
        </w:rPr>
      </w:pPr>
      <w:r>
        <w:rPr>
          <w:rFonts w:ascii="Arial" w:hAnsi="Arial" w:cs="Arial"/>
          <w:b/>
          <w:bCs/>
          <w:sz w:val="20"/>
          <w:szCs w:val="20"/>
        </w:rPr>
        <w:lastRenderedPageBreak/>
        <w:t xml:space="preserve">National </w:t>
      </w:r>
      <w:r w:rsidR="00E47CA3">
        <w:rPr>
          <w:rFonts w:ascii="Arial" w:hAnsi="Arial" w:cs="Arial"/>
          <w:b/>
          <w:bCs/>
          <w:sz w:val="20"/>
          <w:szCs w:val="20"/>
        </w:rPr>
        <w:t>Tertiary</w:t>
      </w:r>
      <w:r>
        <w:rPr>
          <w:rFonts w:ascii="Arial" w:hAnsi="Arial" w:cs="Arial"/>
          <w:b/>
          <w:bCs/>
          <w:sz w:val="20"/>
          <w:szCs w:val="20"/>
        </w:rPr>
        <w:t xml:space="preserve"> Education Union – NTEU </w:t>
      </w:r>
    </w:p>
    <w:p w14:paraId="2A8A9BB4" w14:textId="7D7582F6" w:rsidR="005324C6" w:rsidRDefault="005324C6" w:rsidP="00BA0663">
      <w:pPr>
        <w:spacing w:line="360" w:lineRule="auto"/>
        <w:rPr>
          <w:rFonts w:ascii="Arial" w:hAnsi="Arial" w:cs="Arial"/>
          <w:b/>
          <w:bCs/>
          <w:sz w:val="20"/>
          <w:szCs w:val="20"/>
        </w:rPr>
      </w:pPr>
      <w:r>
        <w:rPr>
          <w:rFonts w:ascii="Arial" w:hAnsi="Arial" w:cs="Arial"/>
          <w:b/>
          <w:bCs/>
          <w:sz w:val="20"/>
          <w:szCs w:val="20"/>
        </w:rPr>
        <w:t>2021-22 Budget Submission</w:t>
      </w:r>
    </w:p>
    <w:p w14:paraId="66F99689" w14:textId="77777777" w:rsidR="005324C6" w:rsidRPr="00C022D1" w:rsidRDefault="005324C6" w:rsidP="005324C6">
      <w:pPr>
        <w:spacing w:line="360" w:lineRule="auto"/>
        <w:rPr>
          <w:rFonts w:ascii="Arial" w:hAnsi="Arial" w:cs="Arial"/>
          <w:b/>
          <w:bCs/>
          <w:sz w:val="20"/>
          <w:szCs w:val="20"/>
        </w:rPr>
      </w:pPr>
      <w:r>
        <w:rPr>
          <w:rFonts w:ascii="Arial" w:hAnsi="Arial" w:cs="Arial"/>
          <w:b/>
          <w:bCs/>
          <w:sz w:val="20"/>
          <w:szCs w:val="20"/>
        </w:rPr>
        <w:t>(</w:t>
      </w:r>
      <w:r w:rsidRPr="00E37F97">
        <w:rPr>
          <w:rFonts w:ascii="Arial" w:hAnsi="Arial" w:cs="Arial"/>
          <w:b/>
          <w:bCs/>
          <w:sz w:val="20"/>
          <w:szCs w:val="20"/>
        </w:rPr>
        <w:t>prebudgetsubs@treasury.gov.au</w:t>
      </w:r>
      <w:r>
        <w:rPr>
          <w:rFonts w:ascii="Arial" w:hAnsi="Arial" w:cs="Arial"/>
          <w:b/>
          <w:bCs/>
          <w:sz w:val="20"/>
          <w:szCs w:val="20"/>
        </w:rPr>
        <w:t>)</w:t>
      </w:r>
    </w:p>
    <w:p w14:paraId="0F04E066" w14:textId="77777777" w:rsidR="005324C6" w:rsidRDefault="005324C6" w:rsidP="00BA0663">
      <w:pPr>
        <w:spacing w:line="360" w:lineRule="auto"/>
        <w:rPr>
          <w:rFonts w:ascii="Arial" w:hAnsi="Arial" w:cs="Arial"/>
          <w:b/>
          <w:bCs/>
          <w:sz w:val="20"/>
          <w:szCs w:val="20"/>
        </w:rPr>
      </w:pPr>
    </w:p>
    <w:p w14:paraId="27829EA1" w14:textId="77777777" w:rsidR="00BF1C42" w:rsidRDefault="00B64286" w:rsidP="00BF1C42">
      <w:pPr>
        <w:spacing w:line="360" w:lineRule="auto"/>
        <w:jc w:val="center"/>
        <w:rPr>
          <w:rFonts w:ascii="Arial" w:hAnsi="Arial" w:cs="Arial"/>
          <w:b/>
          <w:bCs/>
          <w:sz w:val="28"/>
          <w:szCs w:val="28"/>
        </w:rPr>
      </w:pPr>
      <w:r w:rsidRPr="00BF1C42">
        <w:rPr>
          <w:rFonts w:ascii="Arial" w:hAnsi="Arial" w:cs="Arial"/>
          <w:b/>
          <w:bCs/>
          <w:sz w:val="28"/>
          <w:szCs w:val="28"/>
        </w:rPr>
        <w:t xml:space="preserve">A Time of Reckoning and Rethinking for </w:t>
      </w:r>
    </w:p>
    <w:p w14:paraId="2EB55DCD" w14:textId="6130C857" w:rsidR="00B64286" w:rsidRPr="00BF1C42" w:rsidRDefault="00B64286" w:rsidP="00BF1C42">
      <w:pPr>
        <w:spacing w:line="360" w:lineRule="auto"/>
        <w:jc w:val="center"/>
        <w:rPr>
          <w:rFonts w:ascii="Arial" w:hAnsi="Arial" w:cs="Arial"/>
          <w:b/>
          <w:bCs/>
          <w:sz w:val="28"/>
          <w:szCs w:val="28"/>
        </w:rPr>
      </w:pPr>
      <w:r w:rsidRPr="00BF1C42">
        <w:rPr>
          <w:rFonts w:ascii="Arial" w:hAnsi="Arial" w:cs="Arial"/>
          <w:b/>
          <w:bCs/>
          <w:sz w:val="28"/>
          <w:szCs w:val="28"/>
        </w:rPr>
        <w:t>Australian Higher Education Policy</w:t>
      </w:r>
    </w:p>
    <w:p w14:paraId="665A4139" w14:textId="4C447DAE" w:rsidR="00B64286" w:rsidRDefault="00B64286" w:rsidP="00BA0663">
      <w:pPr>
        <w:spacing w:line="360" w:lineRule="auto"/>
        <w:rPr>
          <w:rFonts w:ascii="Arial" w:hAnsi="Arial" w:cs="Arial"/>
          <w:b/>
          <w:bCs/>
          <w:sz w:val="20"/>
          <w:szCs w:val="20"/>
        </w:rPr>
      </w:pPr>
    </w:p>
    <w:p w14:paraId="12575350" w14:textId="77777777" w:rsidR="00BF1C42" w:rsidRDefault="00BF1C42" w:rsidP="00510CA0">
      <w:pPr>
        <w:spacing w:line="360" w:lineRule="auto"/>
        <w:jc w:val="both"/>
        <w:rPr>
          <w:rFonts w:ascii="Arial" w:hAnsi="Arial" w:cs="Arial"/>
          <w:b/>
          <w:bCs/>
          <w:sz w:val="20"/>
          <w:szCs w:val="20"/>
        </w:rPr>
      </w:pPr>
    </w:p>
    <w:p w14:paraId="7A964EDB" w14:textId="6B5AB825" w:rsidR="005324C6" w:rsidRDefault="00BA61C2" w:rsidP="00510CA0">
      <w:pPr>
        <w:spacing w:line="360" w:lineRule="auto"/>
        <w:jc w:val="both"/>
        <w:rPr>
          <w:rFonts w:ascii="Arial" w:hAnsi="Arial" w:cs="Arial"/>
          <w:b/>
          <w:bCs/>
          <w:sz w:val="20"/>
          <w:szCs w:val="20"/>
        </w:rPr>
      </w:pPr>
      <w:r>
        <w:rPr>
          <w:rFonts w:ascii="Arial" w:hAnsi="Arial" w:cs="Arial"/>
          <w:b/>
          <w:bCs/>
          <w:sz w:val="20"/>
          <w:szCs w:val="20"/>
        </w:rPr>
        <w:t>OVERVIEW</w:t>
      </w:r>
    </w:p>
    <w:p w14:paraId="7EBB6C46" w14:textId="77777777" w:rsidR="00BA61C2" w:rsidRDefault="00BA61C2" w:rsidP="00510CA0">
      <w:pPr>
        <w:spacing w:line="360" w:lineRule="auto"/>
        <w:jc w:val="both"/>
        <w:rPr>
          <w:rFonts w:ascii="Arial" w:hAnsi="Arial" w:cs="Arial"/>
          <w:b/>
          <w:bCs/>
          <w:sz w:val="20"/>
          <w:szCs w:val="20"/>
        </w:rPr>
      </w:pPr>
    </w:p>
    <w:p w14:paraId="14078AFD" w14:textId="3AC118BE" w:rsidR="005324C6" w:rsidRPr="005324C6" w:rsidRDefault="005324C6" w:rsidP="00510CA0">
      <w:pPr>
        <w:spacing w:line="360" w:lineRule="auto"/>
        <w:jc w:val="both"/>
        <w:rPr>
          <w:rFonts w:ascii="Arial" w:hAnsi="Arial" w:cs="Arial"/>
          <w:sz w:val="20"/>
          <w:szCs w:val="20"/>
        </w:rPr>
      </w:pPr>
      <w:r w:rsidRPr="005324C6">
        <w:rPr>
          <w:rFonts w:ascii="Arial" w:hAnsi="Arial" w:cs="Arial"/>
          <w:sz w:val="20"/>
          <w:szCs w:val="20"/>
        </w:rPr>
        <w:t xml:space="preserve">The National Tertiary Education Union (NTEU) </w:t>
      </w:r>
      <w:r>
        <w:rPr>
          <w:rFonts w:ascii="Arial" w:hAnsi="Arial" w:cs="Arial"/>
          <w:sz w:val="20"/>
          <w:szCs w:val="20"/>
        </w:rPr>
        <w:t xml:space="preserve">represents the industrial and professional rights of </w:t>
      </w:r>
      <w:r w:rsidR="00FD04ED">
        <w:rPr>
          <w:rFonts w:ascii="Arial" w:hAnsi="Arial" w:cs="Arial"/>
          <w:sz w:val="20"/>
          <w:szCs w:val="20"/>
        </w:rPr>
        <w:t>around</w:t>
      </w:r>
      <w:r>
        <w:rPr>
          <w:rFonts w:ascii="Arial" w:hAnsi="Arial" w:cs="Arial"/>
          <w:sz w:val="20"/>
          <w:szCs w:val="20"/>
        </w:rPr>
        <w:t xml:space="preserve"> 30,000 members working in Australian higher education and research.</w:t>
      </w:r>
      <w:r w:rsidRPr="005324C6">
        <w:rPr>
          <w:rFonts w:ascii="Arial" w:hAnsi="Arial" w:cs="Arial"/>
          <w:sz w:val="20"/>
          <w:szCs w:val="20"/>
        </w:rPr>
        <w:t xml:space="preserve"> </w:t>
      </w:r>
    </w:p>
    <w:p w14:paraId="74B51A71" w14:textId="2EB860FA" w:rsidR="005324C6" w:rsidRDefault="005324C6" w:rsidP="00510CA0">
      <w:pPr>
        <w:spacing w:line="360" w:lineRule="auto"/>
        <w:jc w:val="both"/>
        <w:rPr>
          <w:rFonts w:ascii="Arial" w:hAnsi="Arial" w:cs="Arial"/>
          <w:b/>
          <w:bCs/>
          <w:sz w:val="20"/>
          <w:szCs w:val="20"/>
        </w:rPr>
      </w:pPr>
    </w:p>
    <w:p w14:paraId="726D2BF0" w14:textId="5D60789E" w:rsidR="005324C6" w:rsidRDefault="005324C6" w:rsidP="00510CA0">
      <w:pPr>
        <w:spacing w:line="360" w:lineRule="auto"/>
        <w:jc w:val="both"/>
        <w:rPr>
          <w:rFonts w:ascii="Arial" w:hAnsi="Arial" w:cs="Arial"/>
          <w:b/>
          <w:bCs/>
          <w:sz w:val="20"/>
          <w:szCs w:val="20"/>
        </w:rPr>
      </w:pPr>
      <w:r>
        <w:rPr>
          <w:rFonts w:ascii="Arial" w:hAnsi="Arial" w:cs="Arial"/>
          <w:b/>
          <w:bCs/>
          <w:sz w:val="20"/>
          <w:szCs w:val="20"/>
        </w:rPr>
        <w:t>Time of reckoning for higher education policy</w:t>
      </w:r>
    </w:p>
    <w:p w14:paraId="590031E5" w14:textId="3D3E3ED4" w:rsidR="00F24976" w:rsidRPr="00741CCF" w:rsidRDefault="00F24976" w:rsidP="00510CA0">
      <w:pPr>
        <w:spacing w:line="360" w:lineRule="auto"/>
        <w:jc w:val="both"/>
        <w:rPr>
          <w:rFonts w:ascii="Arial" w:hAnsi="Arial" w:cs="Arial"/>
          <w:sz w:val="20"/>
          <w:szCs w:val="20"/>
        </w:rPr>
      </w:pPr>
      <w:r w:rsidRPr="00741CCF">
        <w:rPr>
          <w:rFonts w:ascii="Arial" w:hAnsi="Arial" w:cs="Arial"/>
          <w:sz w:val="20"/>
          <w:szCs w:val="20"/>
        </w:rPr>
        <w:t xml:space="preserve">The onset of COVID19 was an existential crisis for our universities.  </w:t>
      </w:r>
      <w:r w:rsidR="00296B55">
        <w:rPr>
          <w:rFonts w:ascii="Arial" w:hAnsi="Arial" w:cs="Arial"/>
          <w:sz w:val="20"/>
          <w:szCs w:val="20"/>
        </w:rPr>
        <w:t xml:space="preserve">According to the latest </w:t>
      </w:r>
      <w:r w:rsidR="00741CCF">
        <w:rPr>
          <w:rFonts w:ascii="Arial" w:hAnsi="Arial" w:cs="Arial"/>
          <w:sz w:val="20"/>
          <w:szCs w:val="20"/>
        </w:rPr>
        <w:t xml:space="preserve">Universities </w:t>
      </w:r>
      <w:r w:rsidR="00296B55">
        <w:rPr>
          <w:rFonts w:ascii="Arial" w:hAnsi="Arial" w:cs="Arial"/>
          <w:sz w:val="20"/>
          <w:szCs w:val="20"/>
        </w:rPr>
        <w:t>Australia estimates</w:t>
      </w:r>
      <w:r w:rsidR="00296B55">
        <w:rPr>
          <w:rStyle w:val="FootnoteReference"/>
          <w:rFonts w:ascii="Arial" w:hAnsi="Arial" w:cs="Arial"/>
          <w:sz w:val="20"/>
          <w:szCs w:val="20"/>
        </w:rPr>
        <w:footnoteReference w:id="2"/>
      </w:r>
      <w:r w:rsidR="00296B55">
        <w:rPr>
          <w:rFonts w:ascii="Arial" w:hAnsi="Arial" w:cs="Arial"/>
          <w:sz w:val="20"/>
          <w:szCs w:val="20"/>
        </w:rPr>
        <w:t xml:space="preserve"> released on 3 February 2021, Australian universities l</w:t>
      </w:r>
      <w:r w:rsidR="00741CCF">
        <w:rPr>
          <w:rFonts w:ascii="Arial" w:hAnsi="Arial" w:cs="Arial"/>
          <w:sz w:val="20"/>
          <w:szCs w:val="20"/>
        </w:rPr>
        <w:t xml:space="preserve">ost </w:t>
      </w:r>
      <w:r w:rsidR="00296B55">
        <w:rPr>
          <w:rFonts w:ascii="Arial" w:hAnsi="Arial" w:cs="Arial"/>
          <w:sz w:val="20"/>
          <w:szCs w:val="20"/>
        </w:rPr>
        <w:t xml:space="preserve">$1.8billion in 2020 compared to 2019 </w:t>
      </w:r>
      <w:r w:rsidR="00741CCF" w:rsidRPr="00741CCF">
        <w:rPr>
          <w:rFonts w:ascii="Arial" w:hAnsi="Arial" w:cs="Arial"/>
          <w:sz w:val="20"/>
          <w:szCs w:val="20"/>
        </w:rPr>
        <w:t>and</w:t>
      </w:r>
      <w:r w:rsidR="00741CCF">
        <w:rPr>
          <w:rFonts w:ascii="Arial" w:hAnsi="Arial" w:cs="Arial"/>
          <w:sz w:val="20"/>
          <w:szCs w:val="20"/>
        </w:rPr>
        <w:t xml:space="preserve"> </w:t>
      </w:r>
      <w:r w:rsidR="00B5287D">
        <w:rPr>
          <w:rFonts w:ascii="Arial" w:hAnsi="Arial" w:cs="Arial"/>
          <w:sz w:val="20"/>
          <w:szCs w:val="20"/>
        </w:rPr>
        <w:t xml:space="preserve">at least </w:t>
      </w:r>
      <w:r w:rsidR="00296B55">
        <w:rPr>
          <w:rFonts w:ascii="Arial" w:hAnsi="Arial" w:cs="Arial"/>
          <w:sz w:val="20"/>
          <w:szCs w:val="20"/>
        </w:rPr>
        <w:t>17,300 jobs</w:t>
      </w:r>
      <w:r w:rsidR="00C27A77">
        <w:rPr>
          <w:rFonts w:ascii="Arial" w:hAnsi="Arial" w:cs="Arial"/>
          <w:sz w:val="20"/>
          <w:szCs w:val="20"/>
        </w:rPr>
        <w:t>,</w:t>
      </w:r>
      <w:r w:rsidR="00296B55">
        <w:rPr>
          <w:rFonts w:ascii="Arial" w:hAnsi="Arial" w:cs="Arial"/>
          <w:sz w:val="20"/>
          <w:szCs w:val="20"/>
        </w:rPr>
        <w:t xml:space="preserve"> including permanent, limited term and casual employees</w:t>
      </w:r>
      <w:r w:rsidR="00741CCF" w:rsidRPr="00741CCF">
        <w:rPr>
          <w:rFonts w:ascii="Arial" w:hAnsi="Arial" w:cs="Arial"/>
          <w:sz w:val="20"/>
          <w:szCs w:val="20"/>
        </w:rPr>
        <w:t xml:space="preserve">.  </w:t>
      </w:r>
      <w:r w:rsidR="00296B55">
        <w:rPr>
          <w:rFonts w:ascii="Arial" w:hAnsi="Arial" w:cs="Arial"/>
          <w:sz w:val="20"/>
          <w:szCs w:val="20"/>
        </w:rPr>
        <w:t xml:space="preserve">Those employees that retained their jobs in 2020 </w:t>
      </w:r>
      <w:r w:rsidR="00741CCF" w:rsidRPr="00741CCF">
        <w:rPr>
          <w:rFonts w:ascii="Arial" w:hAnsi="Arial" w:cs="Arial"/>
          <w:sz w:val="20"/>
          <w:szCs w:val="20"/>
        </w:rPr>
        <w:t xml:space="preserve">were required to devote enormous amounts of time and energy to </w:t>
      </w:r>
      <w:r w:rsidR="001F2296">
        <w:rPr>
          <w:rFonts w:ascii="Arial" w:hAnsi="Arial" w:cs="Arial"/>
          <w:sz w:val="20"/>
          <w:szCs w:val="20"/>
        </w:rPr>
        <w:t xml:space="preserve">transition to online </w:t>
      </w:r>
      <w:r w:rsidR="00741CCF" w:rsidRPr="00741CCF">
        <w:rPr>
          <w:rFonts w:ascii="Arial" w:hAnsi="Arial" w:cs="Arial"/>
          <w:sz w:val="20"/>
          <w:szCs w:val="20"/>
        </w:rPr>
        <w:t>deliver</w:t>
      </w:r>
      <w:r w:rsidR="001F2296">
        <w:rPr>
          <w:rFonts w:ascii="Arial" w:hAnsi="Arial" w:cs="Arial"/>
          <w:sz w:val="20"/>
          <w:szCs w:val="20"/>
        </w:rPr>
        <w:t>y of classes</w:t>
      </w:r>
      <w:r w:rsidR="00741CCF" w:rsidRPr="00741CCF">
        <w:rPr>
          <w:rFonts w:ascii="Arial" w:hAnsi="Arial" w:cs="Arial"/>
          <w:sz w:val="20"/>
          <w:szCs w:val="20"/>
        </w:rPr>
        <w:t xml:space="preserve">. </w:t>
      </w:r>
    </w:p>
    <w:p w14:paraId="46595760" w14:textId="6C79E486" w:rsidR="00F24976" w:rsidRDefault="00F24976" w:rsidP="00510CA0">
      <w:pPr>
        <w:spacing w:line="360" w:lineRule="auto"/>
        <w:jc w:val="both"/>
        <w:rPr>
          <w:rFonts w:ascii="Arial" w:hAnsi="Arial" w:cs="Arial"/>
          <w:sz w:val="20"/>
          <w:szCs w:val="20"/>
        </w:rPr>
      </w:pPr>
    </w:p>
    <w:p w14:paraId="64410EAC" w14:textId="11BFE995" w:rsidR="00F24976" w:rsidRDefault="00F24976" w:rsidP="00510CA0">
      <w:pPr>
        <w:spacing w:line="360" w:lineRule="auto"/>
        <w:jc w:val="both"/>
        <w:rPr>
          <w:rFonts w:ascii="Arial" w:hAnsi="Arial" w:cs="Arial"/>
          <w:sz w:val="20"/>
          <w:szCs w:val="20"/>
        </w:rPr>
      </w:pPr>
      <w:r>
        <w:rPr>
          <w:rFonts w:ascii="Arial" w:hAnsi="Arial" w:cs="Arial"/>
          <w:sz w:val="20"/>
          <w:szCs w:val="20"/>
        </w:rPr>
        <w:t>While the government spent hundreds of billions of dollars supporting business</w:t>
      </w:r>
      <w:r w:rsidR="001F2296">
        <w:rPr>
          <w:rFonts w:ascii="Arial" w:hAnsi="Arial" w:cs="Arial"/>
          <w:sz w:val="20"/>
          <w:szCs w:val="20"/>
        </w:rPr>
        <w:t>es</w:t>
      </w:r>
      <w:r>
        <w:rPr>
          <w:rFonts w:ascii="Arial" w:hAnsi="Arial" w:cs="Arial"/>
          <w:sz w:val="20"/>
          <w:szCs w:val="20"/>
        </w:rPr>
        <w:t xml:space="preserve"> and their employees in </w:t>
      </w:r>
      <w:r w:rsidR="00741CCF">
        <w:rPr>
          <w:rFonts w:ascii="Arial" w:hAnsi="Arial" w:cs="Arial"/>
          <w:sz w:val="20"/>
          <w:szCs w:val="20"/>
        </w:rPr>
        <w:t xml:space="preserve">response to </w:t>
      </w:r>
      <w:r>
        <w:rPr>
          <w:rFonts w:ascii="Arial" w:hAnsi="Arial" w:cs="Arial"/>
          <w:sz w:val="20"/>
          <w:szCs w:val="20"/>
        </w:rPr>
        <w:t>COVID19</w:t>
      </w:r>
      <w:r w:rsidR="00741CCF">
        <w:rPr>
          <w:rFonts w:ascii="Arial" w:hAnsi="Arial" w:cs="Arial"/>
          <w:sz w:val="20"/>
          <w:szCs w:val="20"/>
        </w:rPr>
        <w:t xml:space="preserve">, </w:t>
      </w:r>
      <w:r>
        <w:rPr>
          <w:rFonts w:ascii="Arial" w:hAnsi="Arial" w:cs="Arial"/>
          <w:sz w:val="20"/>
          <w:szCs w:val="20"/>
        </w:rPr>
        <w:t xml:space="preserve">it abandoned our universities.  The direct funding available </w:t>
      </w:r>
      <w:r w:rsidR="001F2296">
        <w:rPr>
          <w:rFonts w:ascii="Arial" w:hAnsi="Arial" w:cs="Arial"/>
          <w:sz w:val="20"/>
          <w:szCs w:val="20"/>
        </w:rPr>
        <w:t xml:space="preserve">to universities in its </w:t>
      </w:r>
      <w:r>
        <w:rPr>
          <w:rFonts w:ascii="Arial" w:hAnsi="Arial" w:cs="Arial"/>
          <w:sz w:val="20"/>
          <w:szCs w:val="20"/>
        </w:rPr>
        <w:t>COVID</w:t>
      </w:r>
      <w:r w:rsidR="001F2296">
        <w:rPr>
          <w:rFonts w:ascii="Arial" w:hAnsi="Arial" w:cs="Arial"/>
          <w:sz w:val="20"/>
          <w:szCs w:val="20"/>
        </w:rPr>
        <w:t>19</w:t>
      </w:r>
      <w:r>
        <w:rPr>
          <w:rFonts w:ascii="Arial" w:hAnsi="Arial" w:cs="Arial"/>
          <w:sz w:val="20"/>
          <w:szCs w:val="20"/>
        </w:rPr>
        <w:t xml:space="preserve"> rescue </w:t>
      </w:r>
      <w:r w:rsidR="001F2296">
        <w:rPr>
          <w:rFonts w:ascii="Arial" w:hAnsi="Arial" w:cs="Arial"/>
          <w:sz w:val="20"/>
          <w:szCs w:val="20"/>
        </w:rPr>
        <w:t xml:space="preserve">package amounted to </w:t>
      </w:r>
      <w:r w:rsidR="006E6D04">
        <w:rPr>
          <w:rFonts w:ascii="Arial" w:hAnsi="Arial" w:cs="Arial"/>
          <w:sz w:val="20"/>
          <w:szCs w:val="20"/>
        </w:rPr>
        <w:t xml:space="preserve">an average of just over </w:t>
      </w:r>
      <w:r>
        <w:rPr>
          <w:rFonts w:ascii="Arial" w:hAnsi="Arial" w:cs="Arial"/>
          <w:sz w:val="20"/>
          <w:szCs w:val="20"/>
        </w:rPr>
        <w:t xml:space="preserve">$1m per university.  The eligibility rules for JobKeeper were explicitly changed to exclude </w:t>
      </w:r>
      <w:r w:rsidR="006E6D04">
        <w:rPr>
          <w:rFonts w:ascii="Arial" w:hAnsi="Arial" w:cs="Arial"/>
          <w:sz w:val="20"/>
          <w:szCs w:val="20"/>
        </w:rPr>
        <w:t xml:space="preserve">public </w:t>
      </w:r>
      <w:r>
        <w:rPr>
          <w:rFonts w:ascii="Arial" w:hAnsi="Arial" w:cs="Arial"/>
          <w:sz w:val="20"/>
          <w:szCs w:val="20"/>
        </w:rPr>
        <w:t>universities</w:t>
      </w:r>
      <w:r w:rsidR="001C6C1E">
        <w:rPr>
          <w:rFonts w:ascii="Arial" w:hAnsi="Arial" w:cs="Arial"/>
          <w:sz w:val="20"/>
          <w:szCs w:val="20"/>
        </w:rPr>
        <w:t xml:space="preserve"> and their employees.</w:t>
      </w:r>
    </w:p>
    <w:p w14:paraId="45EA9D67" w14:textId="54A54FDC" w:rsidR="001F2296" w:rsidRDefault="001F2296" w:rsidP="00510CA0">
      <w:pPr>
        <w:spacing w:line="360" w:lineRule="auto"/>
        <w:jc w:val="both"/>
        <w:rPr>
          <w:rFonts w:ascii="Arial" w:hAnsi="Arial" w:cs="Arial"/>
          <w:sz w:val="20"/>
          <w:szCs w:val="20"/>
        </w:rPr>
      </w:pPr>
    </w:p>
    <w:p w14:paraId="04C709D8" w14:textId="3D850CD6" w:rsidR="001C6C1E" w:rsidRDefault="001C6C1E" w:rsidP="00510CA0">
      <w:pPr>
        <w:spacing w:line="360" w:lineRule="auto"/>
        <w:jc w:val="both"/>
        <w:rPr>
          <w:rFonts w:ascii="Arial" w:hAnsi="Arial" w:cs="Arial"/>
          <w:sz w:val="20"/>
          <w:szCs w:val="20"/>
        </w:rPr>
      </w:pPr>
      <w:r>
        <w:rPr>
          <w:rFonts w:ascii="Arial" w:hAnsi="Arial" w:cs="Arial"/>
          <w:sz w:val="20"/>
          <w:szCs w:val="20"/>
        </w:rPr>
        <w:t xml:space="preserve">The true nature of the government’s hostile attitude to our universities was made </w:t>
      </w:r>
      <w:r w:rsidR="006E6D04">
        <w:rPr>
          <w:rFonts w:ascii="Arial" w:hAnsi="Arial" w:cs="Arial"/>
          <w:sz w:val="20"/>
          <w:szCs w:val="20"/>
        </w:rPr>
        <w:t xml:space="preserve">even </w:t>
      </w:r>
      <w:r>
        <w:rPr>
          <w:rFonts w:ascii="Arial" w:hAnsi="Arial" w:cs="Arial"/>
          <w:sz w:val="20"/>
          <w:szCs w:val="20"/>
        </w:rPr>
        <w:t>clear</w:t>
      </w:r>
      <w:r w:rsidR="006E6D04">
        <w:rPr>
          <w:rFonts w:ascii="Arial" w:hAnsi="Arial" w:cs="Arial"/>
          <w:sz w:val="20"/>
          <w:szCs w:val="20"/>
        </w:rPr>
        <w:t>er</w:t>
      </w:r>
      <w:r>
        <w:rPr>
          <w:rFonts w:ascii="Arial" w:hAnsi="Arial" w:cs="Arial"/>
          <w:sz w:val="20"/>
          <w:szCs w:val="20"/>
        </w:rPr>
        <w:t xml:space="preserve"> with the introduction of its incoherent, unbalanced, unfair and unsustainable Jobs-Ready Graduate (JRG) policies</w:t>
      </w:r>
      <w:r w:rsidR="006E6D04">
        <w:rPr>
          <w:rFonts w:ascii="Arial" w:hAnsi="Arial" w:cs="Arial"/>
          <w:sz w:val="20"/>
          <w:szCs w:val="20"/>
        </w:rPr>
        <w:t xml:space="preserve">, </w:t>
      </w:r>
      <w:r>
        <w:rPr>
          <w:rFonts w:ascii="Arial" w:hAnsi="Arial" w:cs="Arial"/>
          <w:sz w:val="20"/>
          <w:szCs w:val="20"/>
        </w:rPr>
        <w:t xml:space="preserve">which slashed the average level of public investment per student and increased average student fees. </w:t>
      </w:r>
    </w:p>
    <w:p w14:paraId="1506E7D2" w14:textId="77777777" w:rsidR="001C6C1E" w:rsidRDefault="001C6C1E" w:rsidP="00510CA0">
      <w:pPr>
        <w:spacing w:line="360" w:lineRule="auto"/>
        <w:jc w:val="both"/>
        <w:rPr>
          <w:rFonts w:ascii="Arial" w:hAnsi="Arial" w:cs="Arial"/>
          <w:sz w:val="20"/>
          <w:szCs w:val="20"/>
        </w:rPr>
      </w:pPr>
    </w:p>
    <w:p w14:paraId="1B40E30A" w14:textId="4CFFEB6C" w:rsidR="00F24976" w:rsidRPr="00F24976" w:rsidRDefault="001C6C1E" w:rsidP="00510CA0">
      <w:pPr>
        <w:spacing w:line="360" w:lineRule="auto"/>
        <w:jc w:val="both"/>
        <w:rPr>
          <w:rFonts w:ascii="Arial" w:hAnsi="Arial" w:cs="Arial"/>
          <w:sz w:val="20"/>
          <w:szCs w:val="20"/>
        </w:rPr>
      </w:pPr>
      <w:r>
        <w:rPr>
          <w:rFonts w:ascii="Arial" w:hAnsi="Arial" w:cs="Arial"/>
          <w:sz w:val="20"/>
          <w:szCs w:val="20"/>
        </w:rPr>
        <w:t xml:space="preserve">From the NTEU’s perspective the whole policy approach and regulation and funding of higher education and our universities is fundamentally broken and unsustainable.  </w:t>
      </w:r>
      <w:r w:rsidR="006E6D04">
        <w:rPr>
          <w:rFonts w:ascii="Arial" w:hAnsi="Arial" w:cs="Arial"/>
          <w:sz w:val="20"/>
          <w:szCs w:val="20"/>
        </w:rPr>
        <w:t xml:space="preserve">The increasing reliance on casual and </w:t>
      </w:r>
      <w:r w:rsidR="003C6FF7">
        <w:rPr>
          <w:rFonts w:ascii="Arial" w:hAnsi="Arial" w:cs="Arial"/>
          <w:sz w:val="20"/>
          <w:szCs w:val="20"/>
        </w:rPr>
        <w:t>short-term</w:t>
      </w:r>
      <w:r w:rsidR="006E6D04">
        <w:rPr>
          <w:rFonts w:ascii="Arial" w:hAnsi="Arial" w:cs="Arial"/>
          <w:sz w:val="20"/>
          <w:szCs w:val="20"/>
        </w:rPr>
        <w:t xml:space="preserve"> contract employees by our universities is evidence of this flawed policy framework and the NTEU </w:t>
      </w:r>
      <w:r w:rsidR="007A2A5E">
        <w:rPr>
          <w:rFonts w:ascii="Arial" w:hAnsi="Arial" w:cs="Arial"/>
          <w:sz w:val="20"/>
          <w:szCs w:val="20"/>
        </w:rPr>
        <w:t xml:space="preserve">believes </w:t>
      </w:r>
      <w:r w:rsidR="006E6D04">
        <w:rPr>
          <w:rFonts w:ascii="Arial" w:hAnsi="Arial" w:cs="Arial"/>
          <w:sz w:val="20"/>
          <w:szCs w:val="20"/>
        </w:rPr>
        <w:t>it</w:t>
      </w:r>
      <w:r w:rsidR="00AF08EA">
        <w:rPr>
          <w:rFonts w:ascii="Arial" w:hAnsi="Arial" w:cs="Arial"/>
          <w:sz w:val="20"/>
          <w:szCs w:val="20"/>
        </w:rPr>
        <w:t xml:space="preserve"> requires a major re-think.</w:t>
      </w:r>
    </w:p>
    <w:p w14:paraId="524CEEF5" w14:textId="6C781DD8" w:rsidR="005324C6" w:rsidRDefault="005324C6" w:rsidP="00510CA0">
      <w:pPr>
        <w:spacing w:line="360" w:lineRule="auto"/>
        <w:jc w:val="both"/>
        <w:rPr>
          <w:rFonts w:ascii="Arial" w:hAnsi="Arial" w:cs="Arial"/>
          <w:b/>
          <w:bCs/>
          <w:sz w:val="20"/>
          <w:szCs w:val="20"/>
        </w:rPr>
      </w:pPr>
    </w:p>
    <w:p w14:paraId="46BF1764" w14:textId="77777777" w:rsidR="00BF1C42" w:rsidRDefault="00BF1C42" w:rsidP="00510CA0">
      <w:pPr>
        <w:spacing w:line="360" w:lineRule="auto"/>
        <w:jc w:val="both"/>
        <w:rPr>
          <w:rFonts w:ascii="Arial" w:hAnsi="Arial" w:cs="Arial"/>
          <w:b/>
          <w:bCs/>
          <w:sz w:val="20"/>
          <w:szCs w:val="20"/>
        </w:rPr>
      </w:pPr>
    </w:p>
    <w:p w14:paraId="77D96DEB" w14:textId="77777777" w:rsidR="00BF1C42" w:rsidRDefault="00BF1C42" w:rsidP="00510CA0">
      <w:pPr>
        <w:spacing w:line="360" w:lineRule="auto"/>
        <w:jc w:val="both"/>
        <w:rPr>
          <w:rFonts w:ascii="Arial" w:hAnsi="Arial" w:cs="Arial"/>
          <w:b/>
          <w:bCs/>
          <w:sz w:val="20"/>
          <w:szCs w:val="20"/>
        </w:rPr>
      </w:pPr>
    </w:p>
    <w:p w14:paraId="571DD670" w14:textId="6F5DAD97" w:rsidR="005324C6" w:rsidRDefault="005324C6" w:rsidP="00510CA0">
      <w:pPr>
        <w:spacing w:line="360" w:lineRule="auto"/>
        <w:jc w:val="both"/>
        <w:rPr>
          <w:rFonts w:ascii="Arial" w:hAnsi="Arial" w:cs="Arial"/>
          <w:b/>
          <w:bCs/>
          <w:sz w:val="20"/>
          <w:szCs w:val="20"/>
        </w:rPr>
      </w:pPr>
      <w:r>
        <w:rPr>
          <w:rFonts w:ascii="Arial" w:hAnsi="Arial" w:cs="Arial"/>
          <w:b/>
          <w:bCs/>
          <w:sz w:val="20"/>
          <w:szCs w:val="20"/>
        </w:rPr>
        <w:lastRenderedPageBreak/>
        <w:t>Time to rethink higher education policy</w:t>
      </w:r>
    </w:p>
    <w:p w14:paraId="4D9FBC7B" w14:textId="0B62C42F" w:rsidR="00BA61C2" w:rsidRDefault="006E6D04" w:rsidP="00510CA0">
      <w:pPr>
        <w:spacing w:line="360" w:lineRule="auto"/>
        <w:jc w:val="both"/>
        <w:rPr>
          <w:rFonts w:ascii="Arial" w:hAnsi="Arial" w:cs="Arial"/>
          <w:sz w:val="20"/>
          <w:szCs w:val="20"/>
        </w:rPr>
      </w:pPr>
      <w:r>
        <w:rPr>
          <w:rFonts w:ascii="Arial" w:hAnsi="Arial" w:cs="Arial"/>
          <w:sz w:val="20"/>
          <w:szCs w:val="20"/>
        </w:rPr>
        <w:t xml:space="preserve">From the NTEU’s perspective a major </w:t>
      </w:r>
      <w:r w:rsidR="00AF08EA">
        <w:rPr>
          <w:rFonts w:ascii="Arial" w:hAnsi="Arial" w:cs="Arial"/>
          <w:sz w:val="20"/>
          <w:szCs w:val="20"/>
        </w:rPr>
        <w:t xml:space="preserve">re-think of higher education policy </w:t>
      </w:r>
      <w:r w:rsidR="00BA61C2">
        <w:rPr>
          <w:rFonts w:ascii="Arial" w:hAnsi="Arial" w:cs="Arial"/>
          <w:sz w:val="20"/>
          <w:szCs w:val="20"/>
        </w:rPr>
        <w:t>needs to:</w:t>
      </w:r>
    </w:p>
    <w:p w14:paraId="39C3157F" w14:textId="03C17D67" w:rsidR="00AF08EA" w:rsidRPr="00BA61C2" w:rsidRDefault="00AF08EA" w:rsidP="00510CA0">
      <w:pPr>
        <w:pStyle w:val="ListParagraph"/>
        <w:numPr>
          <w:ilvl w:val="0"/>
          <w:numId w:val="3"/>
        </w:numPr>
        <w:spacing w:line="360" w:lineRule="auto"/>
        <w:jc w:val="both"/>
        <w:rPr>
          <w:rFonts w:ascii="Arial" w:hAnsi="Arial" w:cs="Arial"/>
          <w:sz w:val="20"/>
          <w:szCs w:val="20"/>
        </w:rPr>
      </w:pPr>
      <w:r w:rsidRPr="00BA61C2">
        <w:rPr>
          <w:rFonts w:ascii="Arial" w:hAnsi="Arial" w:cs="Arial"/>
          <w:sz w:val="20"/>
          <w:szCs w:val="20"/>
        </w:rPr>
        <w:t>acknowledge the important and unique role of our public universities</w:t>
      </w:r>
      <w:r w:rsidR="00BA61C2" w:rsidRPr="00BA61C2">
        <w:rPr>
          <w:rFonts w:ascii="Arial" w:hAnsi="Arial" w:cs="Arial"/>
          <w:sz w:val="20"/>
          <w:szCs w:val="20"/>
        </w:rPr>
        <w:t xml:space="preserve"> and promote and protect </w:t>
      </w:r>
      <w:r w:rsidR="00BA61C2" w:rsidRPr="00BA61C2">
        <w:rPr>
          <w:rFonts w:ascii="Arial" w:hAnsi="Arial" w:cs="Arial"/>
          <w:b/>
          <w:bCs/>
          <w:sz w:val="20"/>
          <w:szCs w:val="20"/>
        </w:rPr>
        <w:t>institutional autonomy and academic freedom</w:t>
      </w:r>
      <w:r w:rsidR="00510CA0" w:rsidRPr="00510CA0">
        <w:rPr>
          <w:rFonts w:ascii="Arial" w:hAnsi="Arial" w:cs="Arial"/>
          <w:bCs/>
          <w:sz w:val="20"/>
          <w:szCs w:val="20"/>
        </w:rPr>
        <w:t>;</w:t>
      </w:r>
    </w:p>
    <w:p w14:paraId="73B5D976" w14:textId="4163BF51" w:rsidR="00BA61C2" w:rsidRDefault="00BA61C2" w:rsidP="00510CA0">
      <w:pPr>
        <w:pStyle w:val="ListParagraph"/>
        <w:numPr>
          <w:ilvl w:val="0"/>
          <w:numId w:val="3"/>
        </w:numPr>
        <w:spacing w:line="360" w:lineRule="auto"/>
        <w:jc w:val="both"/>
        <w:rPr>
          <w:rFonts w:ascii="Arial" w:hAnsi="Arial" w:cs="Arial"/>
          <w:sz w:val="20"/>
          <w:szCs w:val="20"/>
        </w:rPr>
      </w:pPr>
      <w:r>
        <w:rPr>
          <w:rFonts w:ascii="Arial" w:hAnsi="Arial" w:cs="Arial"/>
          <w:sz w:val="20"/>
          <w:szCs w:val="20"/>
        </w:rPr>
        <w:t xml:space="preserve">establish an </w:t>
      </w:r>
      <w:r w:rsidRPr="00BA61C2">
        <w:rPr>
          <w:rFonts w:ascii="Arial" w:hAnsi="Arial" w:cs="Arial"/>
          <w:b/>
          <w:bCs/>
          <w:sz w:val="20"/>
          <w:szCs w:val="20"/>
        </w:rPr>
        <w:t>independent higher education agency</w:t>
      </w:r>
      <w:r>
        <w:rPr>
          <w:rFonts w:ascii="Arial" w:hAnsi="Arial" w:cs="Arial"/>
          <w:sz w:val="20"/>
          <w:szCs w:val="20"/>
        </w:rPr>
        <w:t xml:space="preserve"> with funding and regulatory powers  </w:t>
      </w:r>
    </w:p>
    <w:p w14:paraId="36F974EB" w14:textId="17FD1F2A" w:rsidR="00BA61C2" w:rsidRPr="00510CA0" w:rsidRDefault="00BA61C2" w:rsidP="00510CA0">
      <w:pPr>
        <w:pStyle w:val="ListParagraph"/>
        <w:numPr>
          <w:ilvl w:val="0"/>
          <w:numId w:val="3"/>
        </w:numPr>
        <w:spacing w:line="360" w:lineRule="auto"/>
        <w:jc w:val="both"/>
        <w:rPr>
          <w:rFonts w:ascii="Arial" w:hAnsi="Arial" w:cs="Arial"/>
          <w:sz w:val="20"/>
          <w:szCs w:val="20"/>
        </w:rPr>
      </w:pPr>
      <w:r>
        <w:rPr>
          <w:rFonts w:ascii="Arial" w:hAnsi="Arial" w:cs="Arial"/>
          <w:sz w:val="20"/>
          <w:szCs w:val="20"/>
        </w:rPr>
        <w:t xml:space="preserve">raise the </w:t>
      </w:r>
      <w:r w:rsidR="00AF08EA">
        <w:rPr>
          <w:rFonts w:ascii="Arial" w:hAnsi="Arial" w:cs="Arial"/>
          <w:sz w:val="20"/>
          <w:szCs w:val="20"/>
        </w:rPr>
        <w:t xml:space="preserve">level of </w:t>
      </w:r>
      <w:r w:rsidR="00AF08EA" w:rsidRPr="00AF08EA">
        <w:rPr>
          <w:rFonts w:ascii="Arial" w:hAnsi="Arial" w:cs="Arial"/>
          <w:b/>
          <w:bCs/>
          <w:sz w:val="20"/>
          <w:szCs w:val="20"/>
        </w:rPr>
        <w:t>public investment</w:t>
      </w:r>
      <w:r w:rsidR="00AF08EA">
        <w:rPr>
          <w:rFonts w:ascii="Arial" w:hAnsi="Arial" w:cs="Arial"/>
          <w:sz w:val="20"/>
          <w:szCs w:val="20"/>
        </w:rPr>
        <w:t xml:space="preserve"> in our universities to 1% of GDP </w:t>
      </w:r>
      <w:r w:rsidR="00E77652">
        <w:rPr>
          <w:rFonts w:ascii="Arial" w:hAnsi="Arial" w:cs="Arial"/>
          <w:sz w:val="20"/>
          <w:szCs w:val="20"/>
        </w:rPr>
        <w:t>while</w:t>
      </w:r>
      <w:r w:rsidR="00AF08EA">
        <w:rPr>
          <w:rFonts w:ascii="Arial" w:hAnsi="Arial" w:cs="Arial"/>
          <w:sz w:val="20"/>
          <w:szCs w:val="20"/>
        </w:rPr>
        <w:t xml:space="preserve"> phasing out tuition fees for government supported students</w:t>
      </w:r>
      <w:r w:rsidR="00510CA0">
        <w:rPr>
          <w:rFonts w:ascii="Arial" w:hAnsi="Arial" w:cs="Arial"/>
          <w:sz w:val="20"/>
          <w:szCs w:val="20"/>
        </w:rPr>
        <w:t>;</w:t>
      </w:r>
    </w:p>
    <w:p w14:paraId="3C160B49" w14:textId="7139C6E9" w:rsidR="00AF08EA" w:rsidRDefault="00AF08EA" w:rsidP="00510CA0">
      <w:pPr>
        <w:pStyle w:val="ListParagraph"/>
        <w:numPr>
          <w:ilvl w:val="0"/>
          <w:numId w:val="3"/>
        </w:numPr>
        <w:spacing w:line="360" w:lineRule="auto"/>
        <w:jc w:val="both"/>
        <w:rPr>
          <w:rFonts w:ascii="Arial" w:hAnsi="Arial" w:cs="Arial"/>
          <w:sz w:val="20"/>
          <w:szCs w:val="20"/>
        </w:rPr>
      </w:pPr>
      <w:r>
        <w:rPr>
          <w:rFonts w:ascii="Arial" w:hAnsi="Arial" w:cs="Arial"/>
          <w:sz w:val="20"/>
          <w:szCs w:val="20"/>
        </w:rPr>
        <w:t>us</w:t>
      </w:r>
      <w:r w:rsidR="00BA61C2">
        <w:rPr>
          <w:rFonts w:ascii="Arial" w:hAnsi="Arial" w:cs="Arial"/>
          <w:sz w:val="20"/>
          <w:szCs w:val="20"/>
        </w:rPr>
        <w:t xml:space="preserve">e </w:t>
      </w:r>
      <w:r w:rsidRPr="00AF08EA">
        <w:rPr>
          <w:rFonts w:ascii="Arial" w:hAnsi="Arial" w:cs="Arial"/>
          <w:b/>
          <w:bCs/>
          <w:sz w:val="20"/>
          <w:szCs w:val="20"/>
        </w:rPr>
        <w:t>Public Accountability Agreements (PAA’s</w:t>
      </w:r>
      <w:r>
        <w:rPr>
          <w:rFonts w:ascii="Arial" w:hAnsi="Arial" w:cs="Arial"/>
          <w:sz w:val="20"/>
          <w:szCs w:val="20"/>
        </w:rPr>
        <w:t xml:space="preserve">) as </w:t>
      </w:r>
      <w:r w:rsidR="00B23294">
        <w:rPr>
          <w:rFonts w:ascii="Arial" w:hAnsi="Arial" w:cs="Arial"/>
          <w:sz w:val="20"/>
          <w:szCs w:val="20"/>
        </w:rPr>
        <w:t xml:space="preserve">a </w:t>
      </w:r>
      <w:r>
        <w:rPr>
          <w:rFonts w:ascii="Arial" w:hAnsi="Arial" w:cs="Arial"/>
          <w:sz w:val="20"/>
          <w:szCs w:val="20"/>
        </w:rPr>
        <w:t xml:space="preserve">planning, accountability and funding framework </w:t>
      </w:r>
      <w:r w:rsidR="007D6450">
        <w:rPr>
          <w:rFonts w:ascii="Arial" w:hAnsi="Arial" w:cs="Arial"/>
          <w:sz w:val="20"/>
          <w:szCs w:val="20"/>
        </w:rPr>
        <w:t>that is</w:t>
      </w:r>
      <w:r>
        <w:rPr>
          <w:rFonts w:ascii="Arial" w:hAnsi="Arial" w:cs="Arial"/>
          <w:sz w:val="20"/>
          <w:szCs w:val="20"/>
        </w:rPr>
        <w:t xml:space="preserve"> a flexible yet managed way of allocating public funding to individual universities</w:t>
      </w:r>
      <w:r w:rsidR="00510CA0">
        <w:rPr>
          <w:rFonts w:ascii="Arial" w:hAnsi="Arial" w:cs="Arial"/>
          <w:sz w:val="20"/>
          <w:szCs w:val="20"/>
        </w:rPr>
        <w:t>;</w:t>
      </w:r>
    </w:p>
    <w:p w14:paraId="0FAC819D" w14:textId="30FAA221" w:rsidR="00037BAD" w:rsidRDefault="00AF08EA" w:rsidP="00510CA0">
      <w:pPr>
        <w:pStyle w:val="ListParagraph"/>
        <w:numPr>
          <w:ilvl w:val="0"/>
          <w:numId w:val="3"/>
        </w:numPr>
        <w:spacing w:line="360" w:lineRule="auto"/>
        <w:jc w:val="both"/>
        <w:rPr>
          <w:rFonts w:ascii="Arial" w:hAnsi="Arial" w:cs="Arial"/>
          <w:sz w:val="20"/>
          <w:szCs w:val="20"/>
        </w:rPr>
      </w:pPr>
      <w:r>
        <w:rPr>
          <w:rFonts w:ascii="Arial" w:hAnsi="Arial" w:cs="Arial"/>
          <w:sz w:val="20"/>
          <w:szCs w:val="20"/>
        </w:rPr>
        <w:t>reduc</w:t>
      </w:r>
      <w:r w:rsidR="00BA61C2">
        <w:rPr>
          <w:rFonts w:ascii="Arial" w:hAnsi="Arial" w:cs="Arial"/>
          <w:sz w:val="20"/>
          <w:szCs w:val="20"/>
        </w:rPr>
        <w:t>e</w:t>
      </w:r>
      <w:r w:rsidR="006E6D04">
        <w:rPr>
          <w:rFonts w:ascii="Arial" w:hAnsi="Arial" w:cs="Arial"/>
          <w:sz w:val="20"/>
          <w:szCs w:val="20"/>
        </w:rPr>
        <w:t xml:space="preserve"> </w:t>
      </w:r>
      <w:r>
        <w:rPr>
          <w:rFonts w:ascii="Arial" w:hAnsi="Arial" w:cs="Arial"/>
          <w:sz w:val="20"/>
          <w:szCs w:val="20"/>
        </w:rPr>
        <w:t xml:space="preserve">the influence of corporate governance and </w:t>
      </w:r>
      <w:r w:rsidR="00037BAD">
        <w:rPr>
          <w:rFonts w:ascii="Arial" w:hAnsi="Arial" w:cs="Arial"/>
          <w:sz w:val="20"/>
          <w:szCs w:val="20"/>
        </w:rPr>
        <w:t xml:space="preserve">executive power in our universities by reverting to a more </w:t>
      </w:r>
      <w:r w:rsidR="00037BAD" w:rsidRPr="00BA61C2">
        <w:rPr>
          <w:rFonts w:ascii="Arial" w:hAnsi="Arial" w:cs="Arial"/>
          <w:b/>
          <w:bCs/>
          <w:sz w:val="20"/>
          <w:szCs w:val="20"/>
        </w:rPr>
        <w:t>collegial model of governance</w:t>
      </w:r>
      <w:r w:rsidR="00510CA0" w:rsidRPr="00510CA0">
        <w:rPr>
          <w:rFonts w:ascii="Arial" w:hAnsi="Arial" w:cs="Arial"/>
          <w:bCs/>
          <w:sz w:val="20"/>
          <w:szCs w:val="20"/>
        </w:rPr>
        <w:t>;</w:t>
      </w:r>
    </w:p>
    <w:p w14:paraId="24D7CCB2" w14:textId="686D10C3" w:rsidR="00AF08EA" w:rsidRDefault="00BA61C2" w:rsidP="00510CA0">
      <w:pPr>
        <w:pStyle w:val="ListParagraph"/>
        <w:numPr>
          <w:ilvl w:val="0"/>
          <w:numId w:val="3"/>
        </w:numPr>
        <w:spacing w:line="360" w:lineRule="auto"/>
        <w:jc w:val="both"/>
        <w:rPr>
          <w:rFonts w:ascii="Arial" w:hAnsi="Arial" w:cs="Arial"/>
          <w:sz w:val="20"/>
          <w:szCs w:val="20"/>
        </w:rPr>
      </w:pPr>
      <w:r>
        <w:rPr>
          <w:rFonts w:ascii="Arial" w:hAnsi="Arial" w:cs="Arial"/>
          <w:sz w:val="20"/>
          <w:szCs w:val="20"/>
        </w:rPr>
        <w:t>reduce</w:t>
      </w:r>
      <w:r w:rsidR="006E6D04">
        <w:rPr>
          <w:rFonts w:ascii="Arial" w:hAnsi="Arial" w:cs="Arial"/>
          <w:sz w:val="20"/>
          <w:szCs w:val="20"/>
        </w:rPr>
        <w:t xml:space="preserve"> </w:t>
      </w:r>
      <w:r>
        <w:rPr>
          <w:rFonts w:ascii="Arial" w:hAnsi="Arial" w:cs="Arial"/>
          <w:sz w:val="20"/>
          <w:szCs w:val="20"/>
        </w:rPr>
        <w:t xml:space="preserve">the level of </w:t>
      </w:r>
      <w:r w:rsidRPr="00BA61C2">
        <w:rPr>
          <w:rFonts w:ascii="Arial" w:hAnsi="Arial" w:cs="Arial"/>
          <w:b/>
          <w:bCs/>
          <w:sz w:val="20"/>
          <w:szCs w:val="20"/>
        </w:rPr>
        <w:t>insecure employment</w:t>
      </w:r>
      <w:r>
        <w:rPr>
          <w:rFonts w:ascii="Arial" w:hAnsi="Arial" w:cs="Arial"/>
          <w:sz w:val="20"/>
          <w:szCs w:val="20"/>
        </w:rPr>
        <w:t xml:space="preserve"> at our universities which is a direct threat to the to the quality of teaching and research and academic freedom</w:t>
      </w:r>
      <w:r w:rsidR="00AF08EA">
        <w:rPr>
          <w:rFonts w:ascii="Arial" w:hAnsi="Arial" w:cs="Arial"/>
          <w:sz w:val="20"/>
          <w:szCs w:val="20"/>
        </w:rPr>
        <w:t>.</w:t>
      </w:r>
    </w:p>
    <w:p w14:paraId="05D49DB6" w14:textId="77777777" w:rsidR="00AF08EA" w:rsidRDefault="00AF08EA" w:rsidP="00510CA0">
      <w:pPr>
        <w:spacing w:line="360" w:lineRule="auto"/>
        <w:jc w:val="both"/>
        <w:rPr>
          <w:rFonts w:ascii="Arial" w:hAnsi="Arial" w:cs="Arial"/>
          <w:sz w:val="20"/>
          <w:szCs w:val="20"/>
        </w:rPr>
      </w:pPr>
    </w:p>
    <w:p w14:paraId="3E46B60E" w14:textId="32377449" w:rsidR="00AF08EA" w:rsidRPr="006E4DAD" w:rsidRDefault="00BA61C2" w:rsidP="00510CA0">
      <w:pPr>
        <w:spacing w:line="360" w:lineRule="auto"/>
        <w:jc w:val="both"/>
        <w:rPr>
          <w:rFonts w:ascii="Arial" w:hAnsi="Arial" w:cs="Arial"/>
          <w:sz w:val="20"/>
          <w:szCs w:val="20"/>
        </w:rPr>
      </w:pPr>
      <w:r w:rsidRPr="006E4DAD">
        <w:rPr>
          <w:rFonts w:ascii="Arial" w:hAnsi="Arial" w:cs="Arial"/>
          <w:sz w:val="20"/>
          <w:szCs w:val="20"/>
        </w:rPr>
        <w:t>The rational</w:t>
      </w:r>
      <w:r w:rsidR="00681C93">
        <w:rPr>
          <w:rFonts w:ascii="Arial" w:hAnsi="Arial" w:cs="Arial"/>
          <w:sz w:val="20"/>
          <w:szCs w:val="20"/>
        </w:rPr>
        <w:t>e</w:t>
      </w:r>
      <w:r w:rsidRPr="006E4DAD">
        <w:rPr>
          <w:rFonts w:ascii="Arial" w:hAnsi="Arial" w:cs="Arial"/>
          <w:sz w:val="20"/>
          <w:szCs w:val="20"/>
        </w:rPr>
        <w:t xml:space="preserve"> for our position in relation to each of these is outlined below.</w:t>
      </w:r>
    </w:p>
    <w:p w14:paraId="65F26479" w14:textId="1F05702B" w:rsidR="00BA61C2" w:rsidRDefault="00BA61C2" w:rsidP="00510CA0">
      <w:pPr>
        <w:spacing w:line="360" w:lineRule="auto"/>
        <w:jc w:val="both"/>
        <w:rPr>
          <w:rFonts w:ascii="Arial" w:hAnsi="Arial" w:cs="Arial"/>
          <w:b/>
          <w:bCs/>
          <w:sz w:val="20"/>
          <w:szCs w:val="20"/>
        </w:rPr>
      </w:pPr>
    </w:p>
    <w:p w14:paraId="2EACDEEA" w14:textId="7554E479" w:rsidR="00BA61C2" w:rsidRPr="006E4DAD" w:rsidRDefault="00BA61C2" w:rsidP="00510CA0">
      <w:pPr>
        <w:spacing w:line="360" w:lineRule="auto"/>
        <w:jc w:val="both"/>
        <w:rPr>
          <w:rFonts w:ascii="Arial" w:hAnsi="Arial" w:cs="Arial"/>
          <w:sz w:val="20"/>
          <w:szCs w:val="20"/>
        </w:rPr>
      </w:pPr>
      <w:r w:rsidRPr="006E4DAD">
        <w:rPr>
          <w:rFonts w:ascii="Arial" w:hAnsi="Arial" w:cs="Arial"/>
          <w:sz w:val="20"/>
          <w:szCs w:val="20"/>
        </w:rPr>
        <w:t>For further information please contact:</w:t>
      </w:r>
    </w:p>
    <w:p w14:paraId="54CDEB98" w14:textId="7AD406F3" w:rsidR="00BA61C2" w:rsidRPr="006E4DAD" w:rsidRDefault="00BA61C2" w:rsidP="00510CA0">
      <w:pPr>
        <w:spacing w:line="360" w:lineRule="auto"/>
        <w:jc w:val="both"/>
        <w:rPr>
          <w:rFonts w:ascii="Arial" w:hAnsi="Arial" w:cs="Arial"/>
          <w:sz w:val="20"/>
          <w:szCs w:val="20"/>
        </w:rPr>
      </w:pPr>
    </w:p>
    <w:p w14:paraId="331B8539" w14:textId="6E27E4A4" w:rsidR="00BA61C2" w:rsidRPr="006E4DAD" w:rsidRDefault="00BA61C2" w:rsidP="00510CA0">
      <w:pPr>
        <w:spacing w:line="360" w:lineRule="auto"/>
        <w:jc w:val="both"/>
        <w:rPr>
          <w:rFonts w:ascii="Arial" w:hAnsi="Arial" w:cs="Arial"/>
          <w:sz w:val="20"/>
          <w:szCs w:val="20"/>
        </w:rPr>
      </w:pPr>
      <w:r w:rsidRPr="006E4DAD">
        <w:rPr>
          <w:rFonts w:ascii="Arial" w:hAnsi="Arial" w:cs="Arial"/>
          <w:sz w:val="20"/>
          <w:szCs w:val="20"/>
        </w:rPr>
        <w:t>Dr Alison B</w:t>
      </w:r>
      <w:r w:rsidR="00E56BE1">
        <w:rPr>
          <w:rFonts w:ascii="Arial" w:hAnsi="Arial" w:cs="Arial"/>
          <w:sz w:val="20"/>
          <w:szCs w:val="20"/>
        </w:rPr>
        <w:t>ar</w:t>
      </w:r>
      <w:r w:rsidRPr="006E4DAD">
        <w:rPr>
          <w:rFonts w:ascii="Arial" w:hAnsi="Arial" w:cs="Arial"/>
          <w:sz w:val="20"/>
          <w:szCs w:val="20"/>
        </w:rPr>
        <w:t>nes, National President (</w:t>
      </w:r>
      <w:hyperlink r:id="rId15" w:history="1">
        <w:r w:rsidRPr="006E4DAD">
          <w:rPr>
            <w:rStyle w:val="Hyperlink"/>
            <w:rFonts w:ascii="Arial" w:hAnsi="Arial" w:cs="Arial"/>
            <w:sz w:val="20"/>
            <w:szCs w:val="20"/>
          </w:rPr>
          <w:t>abarnes@nteu.org.au</w:t>
        </w:r>
      </w:hyperlink>
      <w:r w:rsidRPr="006E4DAD">
        <w:rPr>
          <w:rFonts w:ascii="Arial" w:hAnsi="Arial" w:cs="Arial"/>
          <w:sz w:val="20"/>
          <w:szCs w:val="20"/>
        </w:rPr>
        <w:t>)</w:t>
      </w:r>
    </w:p>
    <w:p w14:paraId="2C28AA14" w14:textId="271B73DF" w:rsidR="00BA61C2" w:rsidRPr="006E4DAD" w:rsidRDefault="00BA61C2" w:rsidP="00510CA0">
      <w:pPr>
        <w:spacing w:line="360" w:lineRule="auto"/>
        <w:jc w:val="both"/>
        <w:rPr>
          <w:rFonts w:ascii="Arial" w:hAnsi="Arial" w:cs="Arial"/>
          <w:sz w:val="20"/>
          <w:szCs w:val="20"/>
        </w:rPr>
      </w:pPr>
      <w:r w:rsidRPr="006E4DAD">
        <w:rPr>
          <w:rFonts w:ascii="Arial" w:hAnsi="Arial" w:cs="Arial"/>
          <w:sz w:val="20"/>
          <w:szCs w:val="20"/>
        </w:rPr>
        <w:t xml:space="preserve">Paul Kniest, Director (Policy and Research) </w:t>
      </w:r>
      <w:r w:rsidR="006E4DAD" w:rsidRPr="006E4DAD">
        <w:rPr>
          <w:rFonts w:ascii="Arial" w:hAnsi="Arial" w:cs="Arial"/>
          <w:sz w:val="20"/>
          <w:szCs w:val="20"/>
        </w:rPr>
        <w:t>(</w:t>
      </w:r>
      <w:hyperlink r:id="rId16" w:history="1">
        <w:r w:rsidR="006E4DAD" w:rsidRPr="006E4DAD">
          <w:rPr>
            <w:rStyle w:val="Hyperlink"/>
            <w:rFonts w:ascii="Arial" w:hAnsi="Arial" w:cs="Arial"/>
            <w:sz w:val="20"/>
            <w:szCs w:val="20"/>
          </w:rPr>
          <w:t>pkniest@nteu.org.au</w:t>
        </w:r>
      </w:hyperlink>
      <w:r w:rsidR="006E4DAD" w:rsidRPr="006E4DAD">
        <w:rPr>
          <w:rFonts w:ascii="Arial" w:hAnsi="Arial" w:cs="Arial"/>
          <w:sz w:val="20"/>
          <w:szCs w:val="20"/>
        </w:rPr>
        <w:t>)</w:t>
      </w:r>
    </w:p>
    <w:p w14:paraId="3B7231AF" w14:textId="77777777" w:rsidR="006E4DAD" w:rsidRPr="006E4DAD" w:rsidRDefault="006E4DAD" w:rsidP="00510CA0">
      <w:pPr>
        <w:spacing w:line="360" w:lineRule="auto"/>
        <w:jc w:val="both"/>
        <w:rPr>
          <w:rFonts w:ascii="Arial" w:hAnsi="Arial" w:cs="Arial"/>
          <w:sz w:val="20"/>
          <w:szCs w:val="20"/>
        </w:rPr>
      </w:pPr>
    </w:p>
    <w:p w14:paraId="20C8A3E6" w14:textId="77777777" w:rsidR="005324C6" w:rsidRPr="00C022D1" w:rsidRDefault="005324C6" w:rsidP="00510CA0">
      <w:pPr>
        <w:spacing w:line="360" w:lineRule="auto"/>
        <w:jc w:val="both"/>
        <w:rPr>
          <w:rFonts w:ascii="Arial" w:hAnsi="Arial" w:cs="Arial"/>
          <w:b/>
          <w:bCs/>
          <w:sz w:val="20"/>
          <w:szCs w:val="20"/>
        </w:rPr>
      </w:pPr>
    </w:p>
    <w:p w14:paraId="6905F886" w14:textId="77777777" w:rsidR="00741CCF" w:rsidRDefault="00741CCF" w:rsidP="00510CA0">
      <w:pPr>
        <w:jc w:val="both"/>
        <w:rPr>
          <w:rFonts w:ascii="Arial" w:hAnsi="Arial" w:cs="Arial"/>
          <w:b/>
          <w:bCs/>
          <w:sz w:val="20"/>
          <w:szCs w:val="20"/>
        </w:rPr>
      </w:pPr>
      <w:r>
        <w:rPr>
          <w:rFonts w:ascii="Arial" w:hAnsi="Arial" w:cs="Arial"/>
          <w:b/>
          <w:bCs/>
          <w:sz w:val="20"/>
          <w:szCs w:val="20"/>
        </w:rPr>
        <w:br w:type="page"/>
      </w:r>
    </w:p>
    <w:p w14:paraId="7FAA70AA" w14:textId="41DC7521" w:rsidR="00BA0663" w:rsidRPr="00C022D1" w:rsidRDefault="006E4DAD" w:rsidP="00510CA0">
      <w:pPr>
        <w:spacing w:line="360" w:lineRule="auto"/>
        <w:jc w:val="both"/>
        <w:rPr>
          <w:rFonts w:ascii="Arial" w:hAnsi="Arial" w:cs="Arial"/>
          <w:b/>
          <w:bCs/>
          <w:sz w:val="20"/>
          <w:szCs w:val="20"/>
        </w:rPr>
      </w:pPr>
      <w:r>
        <w:rPr>
          <w:rFonts w:ascii="Arial" w:hAnsi="Arial" w:cs="Arial"/>
          <w:b/>
          <w:bCs/>
          <w:sz w:val="20"/>
          <w:szCs w:val="20"/>
        </w:rPr>
        <w:t>COVID19</w:t>
      </w:r>
    </w:p>
    <w:p w14:paraId="1A456655" w14:textId="3FEA8EDD" w:rsidR="00BA0663" w:rsidRPr="00BA0663" w:rsidRDefault="00BA0663" w:rsidP="00510CA0">
      <w:pPr>
        <w:spacing w:line="360" w:lineRule="auto"/>
        <w:jc w:val="both"/>
        <w:rPr>
          <w:rFonts w:ascii="Arial" w:hAnsi="Arial" w:cs="Arial"/>
          <w:sz w:val="20"/>
          <w:szCs w:val="20"/>
        </w:rPr>
      </w:pPr>
      <w:r w:rsidRPr="00BA0663">
        <w:rPr>
          <w:rFonts w:ascii="Arial" w:hAnsi="Arial" w:cs="Arial"/>
          <w:sz w:val="20"/>
          <w:szCs w:val="20"/>
        </w:rPr>
        <w:t>Australia’s higher education system</w:t>
      </w:r>
      <w:r w:rsidR="00C022D1">
        <w:rPr>
          <w:rFonts w:ascii="Arial" w:hAnsi="Arial" w:cs="Arial"/>
          <w:sz w:val="20"/>
          <w:szCs w:val="20"/>
        </w:rPr>
        <w:t>, predominantly made up of public universities,</w:t>
      </w:r>
      <w:r w:rsidRPr="00BA0663">
        <w:rPr>
          <w:rFonts w:ascii="Arial" w:hAnsi="Arial" w:cs="Arial"/>
          <w:sz w:val="20"/>
          <w:szCs w:val="20"/>
        </w:rPr>
        <w:t xml:space="preserve"> makes an enormous contribution to Australia’s economic, social and cultural prosperity.   It educates more than 1.6million </w:t>
      </w:r>
      <w:r w:rsidR="00C23FBC">
        <w:rPr>
          <w:rFonts w:ascii="Arial" w:hAnsi="Arial" w:cs="Arial"/>
          <w:sz w:val="20"/>
          <w:szCs w:val="20"/>
        </w:rPr>
        <w:t>students</w:t>
      </w:r>
      <w:r w:rsidR="00BC4BE9">
        <w:rPr>
          <w:rFonts w:ascii="Arial" w:hAnsi="Arial" w:cs="Arial"/>
          <w:sz w:val="20"/>
          <w:szCs w:val="20"/>
        </w:rPr>
        <w:t>,</w:t>
      </w:r>
      <w:r w:rsidR="00C23FBC">
        <w:rPr>
          <w:rFonts w:ascii="Arial" w:hAnsi="Arial" w:cs="Arial"/>
          <w:sz w:val="20"/>
          <w:szCs w:val="20"/>
        </w:rPr>
        <w:t xml:space="preserve"> </w:t>
      </w:r>
      <w:r w:rsidRPr="00BA0663">
        <w:rPr>
          <w:rFonts w:ascii="Arial" w:hAnsi="Arial" w:cs="Arial"/>
          <w:sz w:val="20"/>
          <w:szCs w:val="20"/>
        </w:rPr>
        <w:t xml:space="preserve">one </w:t>
      </w:r>
      <w:r w:rsidR="00BC4BE9">
        <w:rPr>
          <w:rFonts w:ascii="Arial" w:hAnsi="Arial" w:cs="Arial"/>
          <w:sz w:val="20"/>
          <w:szCs w:val="20"/>
        </w:rPr>
        <w:t>in</w:t>
      </w:r>
      <w:r w:rsidRPr="00BA0663">
        <w:rPr>
          <w:rFonts w:ascii="Arial" w:hAnsi="Arial" w:cs="Arial"/>
          <w:sz w:val="20"/>
          <w:szCs w:val="20"/>
        </w:rPr>
        <w:t xml:space="preserve"> three from over</w:t>
      </w:r>
      <w:r w:rsidR="00BC4BE9">
        <w:rPr>
          <w:rFonts w:ascii="Arial" w:hAnsi="Arial" w:cs="Arial"/>
          <w:sz w:val="20"/>
          <w:szCs w:val="20"/>
        </w:rPr>
        <w:t>seas,</w:t>
      </w:r>
      <w:r w:rsidRPr="00BA0663">
        <w:rPr>
          <w:rFonts w:ascii="Arial" w:hAnsi="Arial" w:cs="Arial"/>
          <w:sz w:val="20"/>
          <w:szCs w:val="20"/>
        </w:rPr>
        <w:t xml:space="preserve"> and employs more than 2</w:t>
      </w:r>
      <w:r w:rsidR="00C23FBC">
        <w:rPr>
          <w:rFonts w:ascii="Arial" w:hAnsi="Arial" w:cs="Arial"/>
          <w:sz w:val="20"/>
          <w:szCs w:val="20"/>
        </w:rPr>
        <w:t>00</w:t>
      </w:r>
      <w:r w:rsidRPr="00BA0663">
        <w:rPr>
          <w:rFonts w:ascii="Arial" w:hAnsi="Arial" w:cs="Arial"/>
          <w:sz w:val="20"/>
          <w:szCs w:val="20"/>
        </w:rPr>
        <w:t>,000 workers.  Higher education generates more than $30billion in total revenue and pays in excess of $17</w:t>
      </w:r>
      <w:r w:rsidR="006C6E21">
        <w:rPr>
          <w:rFonts w:ascii="Arial" w:hAnsi="Arial" w:cs="Arial"/>
          <w:sz w:val="20"/>
          <w:szCs w:val="20"/>
        </w:rPr>
        <w:t>b</w:t>
      </w:r>
      <w:r w:rsidRPr="00BA0663">
        <w:rPr>
          <w:rFonts w:ascii="Arial" w:hAnsi="Arial" w:cs="Arial"/>
          <w:sz w:val="20"/>
          <w:szCs w:val="20"/>
        </w:rPr>
        <w:t>illion in employee benefits.  Education is Australia’s fourth largest export industry</w:t>
      </w:r>
      <w:r w:rsidR="00B5287D">
        <w:rPr>
          <w:rFonts w:ascii="Arial" w:hAnsi="Arial" w:cs="Arial"/>
          <w:sz w:val="20"/>
          <w:szCs w:val="20"/>
        </w:rPr>
        <w:t xml:space="preserve">, </w:t>
      </w:r>
      <w:r w:rsidRPr="00BA0663">
        <w:rPr>
          <w:rFonts w:ascii="Arial" w:hAnsi="Arial" w:cs="Arial"/>
          <w:sz w:val="20"/>
          <w:szCs w:val="20"/>
        </w:rPr>
        <w:t>only behind iron ore</w:t>
      </w:r>
      <w:r>
        <w:rPr>
          <w:rFonts w:ascii="Arial" w:hAnsi="Arial" w:cs="Arial"/>
          <w:sz w:val="20"/>
          <w:szCs w:val="20"/>
        </w:rPr>
        <w:t>,</w:t>
      </w:r>
      <w:r w:rsidRPr="00BA0663">
        <w:rPr>
          <w:rFonts w:ascii="Arial" w:hAnsi="Arial" w:cs="Arial"/>
          <w:sz w:val="20"/>
          <w:szCs w:val="20"/>
        </w:rPr>
        <w:t xml:space="preserve"> coal</w:t>
      </w:r>
      <w:r w:rsidR="006C6E21">
        <w:rPr>
          <w:rFonts w:ascii="Arial" w:hAnsi="Arial" w:cs="Arial"/>
          <w:sz w:val="20"/>
          <w:szCs w:val="20"/>
        </w:rPr>
        <w:t xml:space="preserve">, </w:t>
      </w:r>
      <w:r w:rsidRPr="00BA0663">
        <w:rPr>
          <w:rFonts w:ascii="Arial" w:hAnsi="Arial" w:cs="Arial"/>
          <w:sz w:val="20"/>
          <w:szCs w:val="20"/>
        </w:rPr>
        <w:t xml:space="preserve">and natural gas.  </w:t>
      </w:r>
    </w:p>
    <w:p w14:paraId="32FEA2E3" w14:textId="77777777" w:rsidR="00B64286" w:rsidRPr="00BA0663" w:rsidRDefault="00B64286" w:rsidP="00510CA0">
      <w:pPr>
        <w:spacing w:line="360" w:lineRule="auto"/>
        <w:jc w:val="both"/>
        <w:rPr>
          <w:rFonts w:ascii="Arial" w:hAnsi="Arial" w:cs="Arial"/>
          <w:sz w:val="20"/>
          <w:szCs w:val="20"/>
        </w:rPr>
      </w:pPr>
    </w:p>
    <w:p w14:paraId="21EA216D" w14:textId="1949BC23" w:rsidR="00C022D1" w:rsidRDefault="00B64286" w:rsidP="00510CA0">
      <w:pPr>
        <w:spacing w:line="360" w:lineRule="auto"/>
        <w:jc w:val="both"/>
        <w:rPr>
          <w:rFonts w:ascii="Arial" w:hAnsi="Arial" w:cs="Arial"/>
          <w:sz w:val="20"/>
          <w:szCs w:val="20"/>
        </w:rPr>
      </w:pPr>
      <w:r w:rsidRPr="00BA0663">
        <w:rPr>
          <w:rFonts w:ascii="Arial" w:hAnsi="Arial" w:cs="Arial"/>
          <w:sz w:val="20"/>
          <w:szCs w:val="20"/>
        </w:rPr>
        <w:t>Australia</w:t>
      </w:r>
      <w:r w:rsidR="00C022D1">
        <w:rPr>
          <w:rFonts w:ascii="Arial" w:hAnsi="Arial" w:cs="Arial"/>
          <w:sz w:val="20"/>
          <w:szCs w:val="20"/>
        </w:rPr>
        <w:t xml:space="preserve"> </w:t>
      </w:r>
      <w:r w:rsidRPr="00BA0663">
        <w:rPr>
          <w:rFonts w:ascii="Arial" w:hAnsi="Arial" w:cs="Arial"/>
          <w:sz w:val="20"/>
          <w:szCs w:val="20"/>
        </w:rPr>
        <w:t xml:space="preserve">is widely acknowledged as having one the strongest higher education systems in the world.   Not only are Australian universities </w:t>
      </w:r>
      <w:r w:rsidR="00C022D1">
        <w:rPr>
          <w:rFonts w:ascii="Arial" w:hAnsi="Arial" w:cs="Arial"/>
          <w:sz w:val="20"/>
          <w:szCs w:val="20"/>
        </w:rPr>
        <w:t>highly visible</w:t>
      </w:r>
      <w:r w:rsidRPr="00BA0663">
        <w:rPr>
          <w:rFonts w:ascii="Arial" w:hAnsi="Arial" w:cs="Arial"/>
          <w:sz w:val="20"/>
          <w:szCs w:val="20"/>
        </w:rPr>
        <w:t xml:space="preserve"> in various </w:t>
      </w:r>
      <w:r w:rsidR="00C022D1">
        <w:rPr>
          <w:rFonts w:ascii="Arial" w:hAnsi="Arial" w:cs="Arial"/>
          <w:sz w:val="20"/>
          <w:szCs w:val="20"/>
        </w:rPr>
        <w:t xml:space="preserve">world </w:t>
      </w:r>
      <w:r w:rsidRPr="00BA0663">
        <w:rPr>
          <w:rFonts w:ascii="Arial" w:hAnsi="Arial" w:cs="Arial"/>
          <w:sz w:val="20"/>
          <w:szCs w:val="20"/>
        </w:rPr>
        <w:t xml:space="preserve">university </w:t>
      </w:r>
      <w:r w:rsidR="00C022D1">
        <w:rPr>
          <w:rFonts w:ascii="Arial" w:hAnsi="Arial" w:cs="Arial"/>
          <w:sz w:val="20"/>
          <w:szCs w:val="20"/>
        </w:rPr>
        <w:t>league tables</w:t>
      </w:r>
      <w:r w:rsidRPr="00BA0663">
        <w:rPr>
          <w:rFonts w:ascii="Arial" w:hAnsi="Arial" w:cs="Arial"/>
          <w:sz w:val="20"/>
          <w:szCs w:val="20"/>
        </w:rPr>
        <w:t xml:space="preserve">, Australia’s researchers punch well above their weight </w:t>
      </w:r>
      <w:r w:rsidR="00BA0663" w:rsidRPr="00BA0663">
        <w:rPr>
          <w:rFonts w:ascii="Arial" w:hAnsi="Arial" w:cs="Arial"/>
          <w:sz w:val="20"/>
          <w:szCs w:val="20"/>
        </w:rPr>
        <w:t>in terms of research publications and impact. O</w:t>
      </w:r>
      <w:r w:rsidRPr="00BA0663">
        <w:rPr>
          <w:rFonts w:ascii="Arial" w:hAnsi="Arial" w:cs="Arial"/>
          <w:sz w:val="20"/>
          <w:szCs w:val="20"/>
        </w:rPr>
        <w:t>n a per</w:t>
      </w:r>
      <w:r w:rsidR="00BA0663" w:rsidRPr="00BA0663">
        <w:rPr>
          <w:rFonts w:ascii="Arial" w:hAnsi="Arial" w:cs="Arial"/>
          <w:sz w:val="20"/>
          <w:szCs w:val="20"/>
        </w:rPr>
        <w:t>-</w:t>
      </w:r>
      <w:r w:rsidRPr="00BA0663">
        <w:rPr>
          <w:rFonts w:ascii="Arial" w:hAnsi="Arial" w:cs="Arial"/>
          <w:sz w:val="20"/>
          <w:szCs w:val="20"/>
        </w:rPr>
        <w:t>capita basis</w:t>
      </w:r>
      <w:r w:rsidR="00C022D1">
        <w:rPr>
          <w:rFonts w:ascii="Arial" w:hAnsi="Arial" w:cs="Arial"/>
          <w:sz w:val="20"/>
          <w:szCs w:val="20"/>
        </w:rPr>
        <w:t xml:space="preserve">, </w:t>
      </w:r>
      <w:r w:rsidRPr="00BA0663">
        <w:rPr>
          <w:rFonts w:ascii="Arial" w:hAnsi="Arial" w:cs="Arial"/>
          <w:sz w:val="20"/>
          <w:szCs w:val="20"/>
        </w:rPr>
        <w:t>Australia</w:t>
      </w:r>
      <w:r w:rsidR="00BA0663" w:rsidRPr="00BA0663">
        <w:rPr>
          <w:rFonts w:ascii="Arial" w:hAnsi="Arial" w:cs="Arial"/>
          <w:sz w:val="20"/>
          <w:szCs w:val="20"/>
        </w:rPr>
        <w:t>’s</w:t>
      </w:r>
      <w:r w:rsidRPr="00BA0663">
        <w:rPr>
          <w:rFonts w:ascii="Arial" w:hAnsi="Arial" w:cs="Arial"/>
          <w:sz w:val="20"/>
          <w:szCs w:val="20"/>
        </w:rPr>
        <w:t xml:space="preserve"> </w:t>
      </w:r>
      <w:r w:rsidR="00BA0663" w:rsidRPr="00BA0663">
        <w:rPr>
          <w:rFonts w:ascii="Arial" w:hAnsi="Arial" w:cs="Arial"/>
          <w:sz w:val="20"/>
          <w:szCs w:val="20"/>
        </w:rPr>
        <w:t>universities attract the most overseas students in the world.</w:t>
      </w:r>
    </w:p>
    <w:p w14:paraId="609E1BFE" w14:textId="77777777" w:rsidR="00C022D1" w:rsidRDefault="00C022D1" w:rsidP="00510CA0">
      <w:pPr>
        <w:spacing w:line="360" w:lineRule="auto"/>
        <w:jc w:val="both"/>
        <w:rPr>
          <w:rFonts w:ascii="Arial" w:hAnsi="Arial" w:cs="Arial"/>
          <w:sz w:val="20"/>
          <w:szCs w:val="20"/>
        </w:rPr>
      </w:pPr>
    </w:p>
    <w:p w14:paraId="1CC5302C" w14:textId="5C9ED085" w:rsidR="006E4DAD" w:rsidRDefault="00C022D1" w:rsidP="00510CA0">
      <w:pPr>
        <w:spacing w:line="360" w:lineRule="auto"/>
        <w:jc w:val="both"/>
        <w:rPr>
          <w:rFonts w:ascii="Arial" w:hAnsi="Arial" w:cs="Arial"/>
          <w:sz w:val="20"/>
          <w:szCs w:val="20"/>
        </w:rPr>
      </w:pPr>
      <w:r>
        <w:rPr>
          <w:rFonts w:ascii="Arial" w:hAnsi="Arial" w:cs="Arial"/>
          <w:sz w:val="20"/>
          <w:szCs w:val="20"/>
        </w:rPr>
        <w:t>All evidence shows that Australia’s globalised higher education sector has</w:t>
      </w:r>
      <w:r w:rsidR="00C23FBC">
        <w:rPr>
          <w:rFonts w:ascii="Arial" w:hAnsi="Arial" w:cs="Arial"/>
          <w:sz w:val="20"/>
          <w:szCs w:val="20"/>
        </w:rPr>
        <w:t xml:space="preserve">, on any measure, </w:t>
      </w:r>
      <w:r>
        <w:rPr>
          <w:rFonts w:ascii="Arial" w:hAnsi="Arial" w:cs="Arial"/>
          <w:sz w:val="20"/>
          <w:szCs w:val="20"/>
        </w:rPr>
        <w:t xml:space="preserve">been highly successful.  </w:t>
      </w:r>
      <w:r w:rsidR="00C23FBC">
        <w:rPr>
          <w:rFonts w:ascii="Arial" w:hAnsi="Arial" w:cs="Arial"/>
          <w:sz w:val="20"/>
          <w:szCs w:val="20"/>
        </w:rPr>
        <w:t>T</w:t>
      </w:r>
      <w:r>
        <w:rPr>
          <w:rFonts w:ascii="Arial" w:hAnsi="Arial" w:cs="Arial"/>
          <w:sz w:val="20"/>
          <w:szCs w:val="20"/>
        </w:rPr>
        <w:t>h</w:t>
      </w:r>
      <w:r w:rsidR="00C23FBC">
        <w:rPr>
          <w:rFonts w:ascii="Arial" w:hAnsi="Arial" w:cs="Arial"/>
          <w:sz w:val="20"/>
          <w:szCs w:val="20"/>
        </w:rPr>
        <w:t xml:space="preserve">e </w:t>
      </w:r>
      <w:r>
        <w:rPr>
          <w:rFonts w:ascii="Arial" w:hAnsi="Arial" w:cs="Arial"/>
          <w:sz w:val="20"/>
          <w:szCs w:val="20"/>
        </w:rPr>
        <w:t xml:space="preserve">level of global interdependence </w:t>
      </w:r>
      <w:r w:rsidR="00C23FBC">
        <w:rPr>
          <w:rFonts w:ascii="Arial" w:hAnsi="Arial" w:cs="Arial"/>
          <w:sz w:val="20"/>
          <w:szCs w:val="20"/>
        </w:rPr>
        <w:t>however, means our higher education sector, like many other industries,</w:t>
      </w:r>
      <w:r>
        <w:rPr>
          <w:rFonts w:ascii="Arial" w:hAnsi="Arial" w:cs="Arial"/>
          <w:sz w:val="20"/>
          <w:szCs w:val="20"/>
        </w:rPr>
        <w:t xml:space="preserve"> </w:t>
      </w:r>
      <w:r w:rsidR="00C23FBC">
        <w:rPr>
          <w:rFonts w:ascii="Arial" w:hAnsi="Arial" w:cs="Arial"/>
          <w:sz w:val="20"/>
          <w:szCs w:val="20"/>
        </w:rPr>
        <w:t xml:space="preserve">is </w:t>
      </w:r>
      <w:r>
        <w:rPr>
          <w:rFonts w:ascii="Arial" w:hAnsi="Arial" w:cs="Arial"/>
          <w:sz w:val="20"/>
          <w:szCs w:val="20"/>
        </w:rPr>
        <w:t>vulnerable to</w:t>
      </w:r>
      <w:r w:rsidR="00C23FBC">
        <w:rPr>
          <w:rFonts w:ascii="Arial" w:hAnsi="Arial" w:cs="Arial"/>
          <w:sz w:val="20"/>
          <w:szCs w:val="20"/>
        </w:rPr>
        <w:t xml:space="preserve"> unanticipated external shocks such as COVID19. </w:t>
      </w:r>
      <w:r w:rsidR="00AF3330">
        <w:rPr>
          <w:rFonts w:ascii="Arial" w:hAnsi="Arial" w:cs="Arial"/>
          <w:sz w:val="20"/>
          <w:szCs w:val="20"/>
        </w:rPr>
        <w:t xml:space="preserve"> </w:t>
      </w:r>
      <w:r w:rsidR="006E4DAD">
        <w:rPr>
          <w:rFonts w:ascii="Arial" w:hAnsi="Arial" w:cs="Arial"/>
          <w:sz w:val="20"/>
          <w:szCs w:val="20"/>
        </w:rPr>
        <w:t xml:space="preserve"> The direct impact o</w:t>
      </w:r>
      <w:r w:rsidR="009B106D">
        <w:rPr>
          <w:rFonts w:ascii="Arial" w:hAnsi="Arial" w:cs="Arial"/>
          <w:sz w:val="20"/>
          <w:szCs w:val="20"/>
        </w:rPr>
        <w:t xml:space="preserve">n </w:t>
      </w:r>
      <w:r w:rsidR="006E4DAD">
        <w:rPr>
          <w:rFonts w:ascii="Arial" w:hAnsi="Arial" w:cs="Arial"/>
          <w:sz w:val="20"/>
          <w:szCs w:val="20"/>
        </w:rPr>
        <w:t xml:space="preserve">universities was profound with Universities Australia estimating that there was </w:t>
      </w:r>
      <w:r w:rsidR="00B5287D">
        <w:rPr>
          <w:rFonts w:ascii="Arial" w:hAnsi="Arial" w:cs="Arial"/>
          <w:sz w:val="20"/>
          <w:szCs w:val="20"/>
        </w:rPr>
        <w:t>a loss of $1.8billion in revenue and at least 17,300 jobs in 2020.</w:t>
      </w:r>
    </w:p>
    <w:p w14:paraId="1F54FD84" w14:textId="77777777" w:rsidR="006E4DAD" w:rsidRDefault="006E4DAD" w:rsidP="00510CA0">
      <w:pPr>
        <w:spacing w:line="360" w:lineRule="auto"/>
        <w:jc w:val="both"/>
        <w:rPr>
          <w:rFonts w:ascii="Arial" w:hAnsi="Arial" w:cs="Arial"/>
          <w:sz w:val="20"/>
          <w:szCs w:val="20"/>
        </w:rPr>
      </w:pPr>
    </w:p>
    <w:p w14:paraId="3BF239C8" w14:textId="5D479CBE" w:rsidR="00C23FBC" w:rsidRDefault="00AF3330" w:rsidP="00510CA0">
      <w:pPr>
        <w:spacing w:line="360" w:lineRule="auto"/>
        <w:jc w:val="both"/>
        <w:rPr>
          <w:rFonts w:ascii="Arial" w:hAnsi="Arial" w:cs="Arial"/>
          <w:sz w:val="20"/>
          <w:szCs w:val="20"/>
        </w:rPr>
      </w:pPr>
      <w:r>
        <w:rPr>
          <w:rFonts w:ascii="Arial" w:hAnsi="Arial" w:cs="Arial"/>
          <w:sz w:val="20"/>
          <w:szCs w:val="20"/>
        </w:rPr>
        <w:t xml:space="preserve">This unanticipated external shock required an unprecedented public policy response. </w:t>
      </w:r>
    </w:p>
    <w:p w14:paraId="411B04F0" w14:textId="77777777" w:rsidR="00C23FBC" w:rsidRDefault="00C23FBC" w:rsidP="00510CA0">
      <w:pPr>
        <w:spacing w:line="360" w:lineRule="auto"/>
        <w:jc w:val="both"/>
        <w:rPr>
          <w:rFonts w:ascii="Arial" w:hAnsi="Arial" w:cs="Arial"/>
          <w:sz w:val="20"/>
          <w:szCs w:val="20"/>
        </w:rPr>
      </w:pPr>
    </w:p>
    <w:p w14:paraId="3DCB71DA" w14:textId="05E2768E" w:rsidR="0079122B" w:rsidRDefault="00C23FBC" w:rsidP="00510CA0">
      <w:pPr>
        <w:spacing w:line="360" w:lineRule="auto"/>
        <w:jc w:val="both"/>
        <w:rPr>
          <w:rFonts w:ascii="Arial" w:hAnsi="Arial" w:cs="Arial"/>
          <w:sz w:val="20"/>
          <w:szCs w:val="20"/>
        </w:rPr>
      </w:pPr>
      <w:r>
        <w:rPr>
          <w:rFonts w:ascii="Arial" w:hAnsi="Arial" w:cs="Arial"/>
          <w:sz w:val="20"/>
          <w:szCs w:val="20"/>
        </w:rPr>
        <w:t xml:space="preserve">The public health response to COVID19 was to close our international border and to shutdown much </w:t>
      </w:r>
      <w:r w:rsidR="00EA4D9E">
        <w:rPr>
          <w:rFonts w:ascii="Arial" w:hAnsi="Arial" w:cs="Arial"/>
          <w:sz w:val="20"/>
          <w:szCs w:val="20"/>
        </w:rPr>
        <w:t xml:space="preserve">of our </w:t>
      </w:r>
      <w:r>
        <w:rPr>
          <w:rFonts w:ascii="Arial" w:hAnsi="Arial" w:cs="Arial"/>
          <w:sz w:val="20"/>
          <w:szCs w:val="20"/>
        </w:rPr>
        <w:t xml:space="preserve">domestic economic, social and cultural activity. </w:t>
      </w:r>
      <w:r w:rsidR="00AF3330">
        <w:rPr>
          <w:rFonts w:ascii="Arial" w:hAnsi="Arial" w:cs="Arial"/>
          <w:sz w:val="20"/>
          <w:szCs w:val="20"/>
        </w:rPr>
        <w:t xml:space="preserve"> The economic response was record levels of public expenditure </w:t>
      </w:r>
      <w:r w:rsidR="00EA4D9E">
        <w:rPr>
          <w:rFonts w:ascii="Arial" w:hAnsi="Arial" w:cs="Arial"/>
          <w:sz w:val="20"/>
          <w:szCs w:val="20"/>
        </w:rPr>
        <w:t>to</w:t>
      </w:r>
      <w:r w:rsidR="00AF3330">
        <w:rPr>
          <w:rFonts w:ascii="Arial" w:hAnsi="Arial" w:cs="Arial"/>
          <w:sz w:val="20"/>
          <w:szCs w:val="20"/>
        </w:rPr>
        <w:t xml:space="preserve"> suppor</w:t>
      </w:r>
      <w:r w:rsidR="00EA4D9E">
        <w:rPr>
          <w:rFonts w:ascii="Arial" w:hAnsi="Arial" w:cs="Arial"/>
          <w:sz w:val="20"/>
          <w:szCs w:val="20"/>
        </w:rPr>
        <w:t>t</w:t>
      </w:r>
      <w:r w:rsidR="00AF3330">
        <w:rPr>
          <w:rFonts w:ascii="Arial" w:hAnsi="Arial" w:cs="Arial"/>
          <w:sz w:val="20"/>
          <w:szCs w:val="20"/>
        </w:rPr>
        <w:t xml:space="preserve"> affected businesses and their employees. The government spent well over $200billion on programs </w:t>
      </w:r>
      <w:r w:rsidR="0079122B">
        <w:rPr>
          <w:rFonts w:ascii="Arial" w:hAnsi="Arial" w:cs="Arial"/>
          <w:sz w:val="20"/>
          <w:szCs w:val="20"/>
        </w:rPr>
        <w:t xml:space="preserve">including generous </w:t>
      </w:r>
      <w:r w:rsidR="00AF3330">
        <w:rPr>
          <w:rFonts w:ascii="Arial" w:hAnsi="Arial" w:cs="Arial"/>
          <w:sz w:val="20"/>
          <w:szCs w:val="20"/>
        </w:rPr>
        <w:t>wage subsidies (JobKeeper)</w:t>
      </w:r>
      <w:r w:rsidR="0079122B">
        <w:rPr>
          <w:rFonts w:ascii="Arial" w:hAnsi="Arial" w:cs="Arial"/>
          <w:sz w:val="20"/>
          <w:szCs w:val="20"/>
        </w:rPr>
        <w:t>, boosting</w:t>
      </w:r>
      <w:r w:rsidR="00EA4D9E">
        <w:rPr>
          <w:rFonts w:ascii="Arial" w:hAnsi="Arial" w:cs="Arial"/>
          <w:sz w:val="20"/>
          <w:szCs w:val="20"/>
        </w:rPr>
        <w:t xml:space="preserve"> the</w:t>
      </w:r>
      <w:r w:rsidR="0079122B">
        <w:rPr>
          <w:rFonts w:ascii="Arial" w:hAnsi="Arial" w:cs="Arial"/>
          <w:sz w:val="20"/>
          <w:szCs w:val="20"/>
        </w:rPr>
        <w:t xml:space="preserve"> </w:t>
      </w:r>
      <w:r w:rsidR="00AF3330">
        <w:rPr>
          <w:rFonts w:ascii="Arial" w:hAnsi="Arial" w:cs="Arial"/>
          <w:sz w:val="20"/>
          <w:szCs w:val="20"/>
        </w:rPr>
        <w:t xml:space="preserve">below poverty </w:t>
      </w:r>
      <w:r w:rsidR="0079122B">
        <w:rPr>
          <w:rFonts w:ascii="Arial" w:hAnsi="Arial" w:cs="Arial"/>
          <w:sz w:val="20"/>
          <w:szCs w:val="20"/>
        </w:rPr>
        <w:t xml:space="preserve">line </w:t>
      </w:r>
      <w:r w:rsidR="00AF3330">
        <w:rPr>
          <w:rFonts w:ascii="Arial" w:hAnsi="Arial" w:cs="Arial"/>
          <w:sz w:val="20"/>
          <w:szCs w:val="20"/>
        </w:rPr>
        <w:t xml:space="preserve">levels of unemployment benefits (JobSeeker supplement), business cash flow and investment subsidies and accelerated investment in infrastructure projects. </w:t>
      </w:r>
    </w:p>
    <w:p w14:paraId="07CB64CE" w14:textId="20E6E1AB" w:rsidR="006E4DAD" w:rsidRDefault="006E4DAD" w:rsidP="00510CA0">
      <w:pPr>
        <w:spacing w:line="360" w:lineRule="auto"/>
        <w:jc w:val="both"/>
        <w:rPr>
          <w:rFonts w:ascii="Arial" w:hAnsi="Arial" w:cs="Arial"/>
          <w:sz w:val="20"/>
          <w:szCs w:val="20"/>
        </w:rPr>
      </w:pPr>
    </w:p>
    <w:p w14:paraId="546C24C0" w14:textId="38E94858" w:rsidR="006E4DAD" w:rsidRDefault="006E4DAD" w:rsidP="00510CA0">
      <w:pPr>
        <w:spacing w:line="360" w:lineRule="auto"/>
        <w:jc w:val="both"/>
        <w:rPr>
          <w:rFonts w:ascii="Arial" w:hAnsi="Arial" w:cs="Arial"/>
          <w:sz w:val="20"/>
          <w:szCs w:val="20"/>
        </w:rPr>
      </w:pPr>
      <w:r>
        <w:rPr>
          <w:rFonts w:ascii="Arial" w:hAnsi="Arial" w:cs="Arial"/>
          <w:sz w:val="20"/>
          <w:szCs w:val="20"/>
        </w:rPr>
        <w:t>As outlined below, our public universities were largely excluded from this assistance.</w:t>
      </w:r>
    </w:p>
    <w:p w14:paraId="416D213A" w14:textId="77777777" w:rsidR="0079122B" w:rsidRDefault="0079122B" w:rsidP="00510CA0">
      <w:pPr>
        <w:spacing w:line="360" w:lineRule="auto"/>
        <w:jc w:val="both"/>
        <w:rPr>
          <w:rFonts w:ascii="Arial" w:hAnsi="Arial" w:cs="Arial"/>
          <w:sz w:val="20"/>
          <w:szCs w:val="20"/>
        </w:rPr>
      </w:pPr>
    </w:p>
    <w:p w14:paraId="6EADED62" w14:textId="77777777" w:rsidR="006E4DAD" w:rsidRDefault="006E4DAD" w:rsidP="00510CA0">
      <w:pPr>
        <w:jc w:val="both"/>
        <w:rPr>
          <w:rFonts w:ascii="Arial" w:hAnsi="Arial" w:cs="Arial"/>
          <w:b/>
          <w:bCs/>
          <w:sz w:val="20"/>
          <w:szCs w:val="20"/>
        </w:rPr>
      </w:pPr>
      <w:r>
        <w:rPr>
          <w:rFonts w:ascii="Arial" w:hAnsi="Arial" w:cs="Arial"/>
          <w:b/>
          <w:bCs/>
          <w:sz w:val="20"/>
          <w:szCs w:val="20"/>
        </w:rPr>
        <w:br w:type="page"/>
      </w:r>
    </w:p>
    <w:p w14:paraId="6FB07522" w14:textId="67903513" w:rsidR="00DA580F" w:rsidRPr="00DA580F" w:rsidRDefault="006E799B" w:rsidP="00510CA0">
      <w:pPr>
        <w:spacing w:line="360" w:lineRule="auto"/>
        <w:jc w:val="both"/>
        <w:rPr>
          <w:rFonts w:ascii="Arial" w:hAnsi="Arial" w:cs="Arial"/>
          <w:b/>
          <w:bCs/>
          <w:sz w:val="20"/>
          <w:szCs w:val="20"/>
        </w:rPr>
      </w:pPr>
      <w:r>
        <w:rPr>
          <w:rFonts w:ascii="Arial" w:hAnsi="Arial" w:cs="Arial"/>
          <w:b/>
          <w:bCs/>
          <w:sz w:val="20"/>
          <w:szCs w:val="20"/>
        </w:rPr>
        <w:t>2020 a year of r</w:t>
      </w:r>
      <w:r w:rsidR="00DA580F" w:rsidRPr="00DA580F">
        <w:rPr>
          <w:rFonts w:ascii="Arial" w:hAnsi="Arial" w:cs="Arial"/>
          <w:b/>
          <w:bCs/>
          <w:sz w:val="20"/>
          <w:szCs w:val="20"/>
        </w:rPr>
        <w:t xml:space="preserve">eckoning </w:t>
      </w:r>
      <w:r>
        <w:rPr>
          <w:rFonts w:ascii="Arial" w:hAnsi="Arial" w:cs="Arial"/>
          <w:b/>
          <w:bCs/>
          <w:sz w:val="20"/>
          <w:szCs w:val="20"/>
        </w:rPr>
        <w:t>for higher education policy</w:t>
      </w:r>
    </w:p>
    <w:p w14:paraId="4E775211" w14:textId="440A5DF9" w:rsidR="005162E6" w:rsidRDefault="006E4DAD" w:rsidP="00510CA0">
      <w:pPr>
        <w:spacing w:line="360" w:lineRule="auto"/>
        <w:jc w:val="both"/>
        <w:rPr>
          <w:rFonts w:ascii="Arial" w:hAnsi="Arial" w:cs="Arial"/>
          <w:sz w:val="20"/>
          <w:szCs w:val="20"/>
        </w:rPr>
      </w:pPr>
      <w:r>
        <w:rPr>
          <w:rFonts w:ascii="Arial" w:hAnsi="Arial" w:cs="Arial"/>
          <w:sz w:val="20"/>
          <w:szCs w:val="20"/>
        </w:rPr>
        <w:t xml:space="preserve">Despite the </w:t>
      </w:r>
      <w:r w:rsidR="00B5287D">
        <w:rPr>
          <w:rFonts w:ascii="Arial" w:hAnsi="Arial" w:cs="Arial"/>
          <w:sz w:val="20"/>
          <w:szCs w:val="20"/>
        </w:rPr>
        <w:t xml:space="preserve">severe </w:t>
      </w:r>
      <w:r>
        <w:rPr>
          <w:rFonts w:ascii="Arial" w:hAnsi="Arial" w:cs="Arial"/>
          <w:sz w:val="20"/>
          <w:szCs w:val="20"/>
        </w:rPr>
        <w:t xml:space="preserve">negative impact of COVID19, </w:t>
      </w:r>
      <w:r w:rsidR="0079122B">
        <w:rPr>
          <w:rFonts w:ascii="Arial" w:hAnsi="Arial" w:cs="Arial"/>
          <w:sz w:val="20"/>
          <w:szCs w:val="20"/>
        </w:rPr>
        <w:t>our public universities were larg</w:t>
      </w:r>
      <w:r w:rsidR="005162E6">
        <w:rPr>
          <w:rFonts w:ascii="Arial" w:hAnsi="Arial" w:cs="Arial"/>
          <w:sz w:val="20"/>
          <w:szCs w:val="20"/>
        </w:rPr>
        <w:t>ely</w:t>
      </w:r>
      <w:r w:rsidR="0079122B">
        <w:rPr>
          <w:rFonts w:ascii="Arial" w:hAnsi="Arial" w:cs="Arial"/>
          <w:sz w:val="20"/>
          <w:szCs w:val="20"/>
        </w:rPr>
        <w:t xml:space="preserve"> abandoned by the </w:t>
      </w:r>
      <w:r w:rsidR="00DA580F">
        <w:rPr>
          <w:rFonts w:ascii="Arial" w:hAnsi="Arial" w:cs="Arial"/>
          <w:sz w:val="20"/>
          <w:szCs w:val="20"/>
        </w:rPr>
        <w:t xml:space="preserve">Australian </w:t>
      </w:r>
      <w:r w:rsidR="0079122B">
        <w:rPr>
          <w:rFonts w:ascii="Arial" w:hAnsi="Arial" w:cs="Arial"/>
          <w:sz w:val="20"/>
          <w:szCs w:val="20"/>
        </w:rPr>
        <w:t>governm</w:t>
      </w:r>
      <w:r w:rsidR="005162E6">
        <w:rPr>
          <w:rFonts w:ascii="Arial" w:hAnsi="Arial" w:cs="Arial"/>
          <w:sz w:val="20"/>
          <w:szCs w:val="20"/>
        </w:rPr>
        <w:t>ent</w:t>
      </w:r>
      <w:r w:rsidR="0079122B">
        <w:rPr>
          <w:rFonts w:ascii="Arial" w:hAnsi="Arial" w:cs="Arial"/>
          <w:sz w:val="20"/>
          <w:szCs w:val="20"/>
        </w:rPr>
        <w:t xml:space="preserve">.  </w:t>
      </w:r>
      <w:r w:rsidR="00DA580F">
        <w:rPr>
          <w:rFonts w:ascii="Arial" w:hAnsi="Arial" w:cs="Arial"/>
          <w:sz w:val="20"/>
          <w:szCs w:val="20"/>
        </w:rPr>
        <w:t>T</w:t>
      </w:r>
      <w:r w:rsidR="0079122B">
        <w:rPr>
          <w:rFonts w:ascii="Arial" w:hAnsi="Arial" w:cs="Arial"/>
          <w:sz w:val="20"/>
          <w:szCs w:val="20"/>
        </w:rPr>
        <w:t>he</w:t>
      </w:r>
      <w:r w:rsidR="005162E6">
        <w:rPr>
          <w:rFonts w:ascii="Arial" w:hAnsi="Arial" w:cs="Arial"/>
          <w:sz w:val="20"/>
          <w:szCs w:val="20"/>
        </w:rPr>
        <w:t xml:space="preserve"> very</w:t>
      </w:r>
      <w:r w:rsidR="0079122B">
        <w:rPr>
          <w:rFonts w:ascii="Arial" w:hAnsi="Arial" w:cs="Arial"/>
          <w:sz w:val="20"/>
          <w:szCs w:val="20"/>
        </w:rPr>
        <w:t xml:space="preserve"> modest ($80million) higher education COVID </w:t>
      </w:r>
      <w:r w:rsidR="00DA580F">
        <w:rPr>
          <w:rFonts w:ascii="Arial" w:hAnsi="Arial" w:cs="Arial"/>
          <w:sz w:val="20"/>
          <w:szCs w:val="20"/>
        </w:rPr>
        <w:t xml:space="preserve">rescue </w:t>
      </w:r>
      <w:r w:rsidR="0079122B">
        <w:rPr>
          <w:rFonts w:ascii="Arial" w:hAnsi="Arial" w:cs="Arial"/>
          <w:sz w:val="20"/>
          <w:szCs w:val="20"/>
        </w:rPr>
        <w:t xml:space="preserve">package </w:t>
      </w:r>
      <w:r w:rsidR="00DA580F">
        <w:rPr>
          <w:rFonts w:ascii="Arial" w:hAnsi="Arial" w:cs="Arial"/>
          <w:sz w:val="20"/>
          <w:szCs w:val="20"/>
        </w:rPr>
        <w:t>released in April</w:t>
      </w:r>
      <w:r w:rsidR="005162E6">
        <w:rPr>
          <w:rFonts w:ascii="Arial" w:hAnsi="Arial" w:cs="Arial"/>
          <w:sz w:val="20"/>
          <w:szCs w:val="20"/>
        </w:rPr>
        <w:t xml:space="preserve"> </w:t>
      </w:r>
      <w:r w:rsidR="0079122B">
        <w:rPr>
          <w:rFonts w:ascii="Arial" w:hAnsi="Arial" w:cs="Arial"/>
          <w:sz w:val="20"/>
          <w:szCs w:val="20"/>
        </w:rPr>
        <w:t>targeted assist</w:t>
      </w:r>
      <w:r w:rsidR="00DA580F">
        <w:rPr>
          <w:rFonts w:ascii="Arial" w:hAnsi="Arial" w:cs="Arial"/>
          <w:sz w:val="20"/>
          <w:szCs w:val="20"/>
        </w:rPr>
        <w:t xml:space="preserve">ance to </w:t>
      </w:r>
      <w:r w:rsidR="0079122B">
        <w:rPr>
          <w:rFonts w:ascii="Arial" w:hAnsi="Arial" w:cs="Arial"/>
          <w:sz w:val="20"/>
          <w:szCs w:val="20"/>
        </w:rPr>
        <w:t>private providers,</w:t>
      </w:r>
      <w:r w:rsidR="00DA580F">
        <w:rPr>
          <w:rFonts w:ascii="Arial" w:hAnsi="Arial" w:cs="Arial"/>
          <w:sz w:val="20"/>
          <w:szCs w:val="20"/>
        </w:rPr>
        <w:t xml:space="preserve"> largely through fee relief and funding of additional short courses.  This package delivered on average less than $1million per public university.</w:t>
      </w:r>
      <w:r w:rsidR="005162E6">
        <w:rPr>
          <w:rFonts w:ascii="Arial" w:hAnsi="Arial" w:cs="Arial"/>
          <w:sz w:val="20"/>
          <w:szCs w:val="20"/>
        </w:rPr>
        <w:t xml:space="preserve">  It has to be noted that the eligibility rules for JobKeeper were rewritten on more than one occasion to effectively exclude our public universities from qualifying, while private </w:t>
      </w:r>
      <w:r w:rsidR="001F715F">
        <w:rPr>
          <w:rFonts w:ascii="Arial" w:hAnsi="Arial" w:cs="Arial"/>
          <w:sz w:val="20"/>
          <w:szCs w:val="20"/>
        </w:rPr>
        <w:t>for-profit</w:t>
      </w:r>
      <w:r w:rsidR="005162E6">
        <w:rPr>
          <w:rFonts w:ascii="Arial" w:hAnsi="Arial" w:cs="Arial"/>
          <w:sz w:val="20"/>
          <w:szCs w:val="20"/>
        </w:rPr>
        <w:t xml:space="preserve"> providers, including a number of international universit</w:t>
      </w:r>
      <w:r w:rsidR="001F715F">
        <w:rPr>
          <w:rFonts w:ascii="Arial" w:hAnsi="Arial" w:cs="Arial"/>
          <w:sz w:val="20"/>
          <w:szCs w:val="20"/>
        </w:rPr>
        <w:t>ies</w:t>
      </w:r>
      <w:r w:rsidR="005162E6">
        <w:rPr>
          <w:rFonts w:ascii="Arial" w:hAnsi="Arial" w:cs="Arial"/>
          <w:sz w:val="20"/>
          <w:szCs w:val="20"/>
        </w:rPr>
        <w:t xml:space="preserve">, received millions in </w:t>
      </w:r>
      <w:r w:rsidR="001F715F">
        <w:rPr>
          <w:rFonts w:ascii="Arial" w:hAnsi="Arial" w:cs="Arial"/>
          <w:sz w:val="20"/>
          <w:szCs w:val="20"/>
        </w:rPr>
        <w:t xml:space="preserve">wage </w:t>
      </w:r>
      <w:r w:rsidR="005162E6">
        <w:rPr>
          <w:rFonts w:ascii="Arial" w:hAnsi="Arial" w:cs="Arial"/>
          <w:sz w:val="20"/>
          <w:szCs w:val="20"/>
        </w:rPr>
        <w:t xml:space="preserve">subsidies.  </w:t>
      </w:r>
    </w:p>
    <w:p w14:paraId="0693E0ED" w14:textId="77777777" w:rsidR="00DA580F" w:rsidRDefault="00DA580F" w:rsidP="00510CA0">
      <w:pPr>
        <w:spacing w:line="360" w:lineRule="auto"/>
        <w:jc w:val="both"/>
        <w:rPr>
          <w:rFonts w:ascii="Arial" w:hAnsi="Arial" w:cs="Arial"/>
          <w:sz w:val="20"/>
          <w:szCs w:val="20"/>
        </w:rPr>
      </w:pPr>
    </w:p>
    <w:p w14:paraId="1710B812" w14:textId="5BEAC73A" w:rsidR="00DA580F" w:rsidRDefault="00DA580F" w:rsidP="00510CA0">
      <w:pPr>
        <w:spacing w:line="360" w:lineRule="auto"/>
        <w:jc w:val="both"/>
        <w:rPr>
          <w:rFonts w:ascii="Arial" w:hAnsi="Arial" w:cs="Arial"/>
          <w:sz w:val="20"/>
          <w:szCs w:val="20"/>
        </w:rPr>
      </w:pPr>
      <w:r>
        <w:rPr>
          <w:rFonts w:ascii="Arial" w:hAnsi="Arial" w:cs="Arial"/>
          <w:sz w:val="20"/>
          <w:szCs w:val="20"/>
        </w:rPr>
        <w:t xml:space="preserve">In 2020 </w:t>
      </w:r>
      <w:r w:rsidR="0079122B">
        <w:rPr>
          <w:rFonts w:ascii="Arial" w:hAnsi="Arial" w:cs="Arial"/>
          <w:sz w:val="20"/>
          <w:szCs w:val="20"/>
        </w:rPr>
        <w:t xml:space="preserve">the government </w:t>
      </w:r>
      <w:r w:rsidR="00031551">
        <w:rPr>
          <w:rFonts w:ascii="Arial" w:hAnsi="Arial" w:cs="Arial"/>
          <w:sz w:val="20"/>
          <w:szCs w:val="20"/>
        </w:rPr>
        <w:t xml:space="preserve">policy went beyond abandonment in </w:t>
      </w:r>
      <w:r w:rsidR="00823D10">
        <w:rPr>
          <w:rFonts w:ascii="Arial" w:hAnsi="Arial" w:cs="Arial"/>
          <w:sz w:val="20"/>
          <w:szCs w:val="20"/>
        </w:rPr>
        <w:t xml:space="preserve">the </w:t>
      </w:r>
      <w:r w:rsidR="00031551">
        <w:rPr>
          <w:rFonts w:ascii="Arial" w:hAnsi="Arial" w:cs="Arial"/>
          <w:sz w:val="20"/>
          <w:szCs w:val="20"/>
        </w:rPr>
        <w:t xml:space="preserve">wake of COVID19 and became more aggressive and hostile with the government </w:t>
      </w:r>
      <w:r w:rsidR="0079122B">
        <w:rPr>
          <w:rFonts w:ascii="Arial" w:hAnsi="Arial" w:cs="Arial"/>
          <w:sz w:val="20"/>
          <w:szCs w:val="20"/>
        </w:rPr>
        <w:t>push</w:t>
      </w:r>
      <w:r w:rsidR="00031551">
        <w:rPr>
          <w:rFonts w:ascii="Arial" w:hAnsi="Arial" w:cs="Arial"/>
          <w:sz w:val="20"/>
          <w:szCs w:val="20"/>
        </w:rPr>
        <w:t>ing</w:t>
      </w:r>
      <w:r w:rsidR="0079122B">
        <w:rPr>
          <w:rFonts w:ascii="Arial" w:hAnsi="Arial" w:cs="Arial"/>
          <w:sz w:val="20"/>
          <w:szCs w:val="20"/>
        </w:rPr>
        <w:t xml:space="preserve"> ahead with its Jobs-Ready Graduate</w:t>
      </w:r>
      <w:r w:rsidR="009C18EC">
        <w:rPr>
          <w:rFonts w:ascii="Arial" w:hAnsi="Arial" w:cs="Arial"/>
          <w:sz w:val="20"/>
          <w:szCs w:val="20"/>
        </w:rPr>
        <w:t xml:space="preserve"> Package</w:t>
      </w:r>
      <w:r w:rsidR="0079122B">
        <w:rPr>
          <w:rFonts w:ascii="Arial" w:hAnsi="Arial" w:cs="Arial"/>
          <w:sz w:val="20"/>
          <w:szCs w:val="20"/>
        </w:rPr>
        <w:t xml:space="preserve"> (JRG</w:t>
      </w:r>
      <w:r w:rsidR="009C18EC">
        <w:rPr>
          <w:rFonts w:ascii="Arial" w:hAnsi="Arial" w:cs="Arial"/>
          <w:sz w:val="20"/>
          <w:szCs w:val="20"/>
        </w:rPr>
        <w:t>P</w:t>
      </w:r>
      <w:r w:rsidR="0079122B">
        <w:rPr>
          <w:rFonts w:ascii="Arial" w:hAnsi="Arial" w:cs="Arial"/>
          <w:sz w:val="20"/>
          <w:szCs w:val="20"/>
        </w:rPr>
        <w:t xml:space="preserve">) policies which, all other things being equal, slashed public investment in higher education by $1billion and increased average student fees, with fees in some humanities courses more than doubling.  </w:t>
      </w:r>
      <w:r w:rsidR="008621FF">
        <w:rPr>
          <w:rFonts w:ascii="Arial" w:hAnsi="Arial" w:cs="Arial"/>
          <w:sz w:val="20"/>
          <w:szCs w:val="20"/>
        </w:rPr>
        <w:t>The JRG</w:t>
      </w:r>
      <w:r w:rsidR="009C18EC">
        <w:rPr>
          <w:rFonts w:ascii="Arial" w:hAnsi="Arial" w:cs="Arial"/>
          <w:sz w:val="20"/>
          <w:szCs w:val="20"/>
        </w:rPr>
        <w:t>P</w:t>
      </w:r>
      <w:r w:rsidR="008621FF">
        <w:rPr>
          <w:rFonts w:ascii="Arial" w:hAnsi="Arial" w:cs="Arial"/>
          <w:sz w:val="20"/>
          <w:szCs w:val="20"/>
        </w:rPr>
        <w:t xml:space="preserve"> was not only highly unfair and unbalanced with some fees more than doubling and other</w:t>
      </w:r>
      <w:r w:rsidR="00C27294">
        <w:rPr>
          <w:rFonts w:ascii="Arial" w:hAnsi="Arial" w:cs="Arial"/>
          <w:sz w:val="20"/>
          <w:szCs w:val="20"/>
        </w:rPr>
        <w:t>s</w:t>
      </w:r>
      <w:r w:rsidR="008621FF">
        <w:rPr>
          <w:rFonts w:ascii="Arial" w:hAnsi="Arial" w:cs="Arial"/>
          <w:sz w:val="20"/>
          <w:szCs w:val="20"/>
        </w:rPr>
        <w:t xml:space="preserve"> falling</w:t>
      </w:r>
      <w:r w:rsidR="00EA4D9E">
        <w:rPr>
          <w:rFonts w:ascii="Arial" w:hAnsi="Arial" w:cs="Arial"/>
          <w:sz w:val="20"/>
          <w:szCs w:val="20"/>
        </w:rPr>
        <w:t>,</w:t>
      </w:r>
      <w:r w:rsidR="008621FF">
        <w:rPr>
          <w:rFonts w:ascii="Arial" w:hAnsi="Arial" w:cs="Arial"/>
          <w:sz w:val="20"/>
          <w:szCs w:val="20"/>
        </w:rPr>
        <w:t xml:space="preserve"> it was also highly incoherent with some so-called jobs ready disciplines</w:t>
      </w:r>
      <w:r w:rsidR="00C27294">
        <w:rPr>
          <w:rFonts w:ascii="Arial" w:hAnsi="Arial" w:cs="Arial"/>
          <w:sz w:val="20"/>
          <w:szCs w:val="20"/>
        </w:rPr>
        <w:t xml:space="preserve"> also</w:t>
      </w:r>
      <w:r w:rsidR="008621FF">
        <w:rPr>
          <w:rFonts w:ascii="Arial" w:hAnsi="Arial" w:cs="Arial"/>
          <w:sz w:val="20"/>
          <w:szCs w:val="20"/>
        </w:rPr>
        <w:t xml:space="preserve"> suffering a cut in funding.  The JRG</w:t>
      </w:r>
      <w:r w:rsidR="009C18EC">
        <w:rPr>
          <w:rFonts w:ascii="Arial" w:hAnsi="Arial" w:cs="Arial"/>
          <w:sz w:val="20"/>
          <w:szCs w:val="20"/>
        </w:rPr>
        <w:t>P</w:t>
      </w:r>
      <w:r w:rsidR="008621FF">
        <w:rPr>
          <w:rFonts w:ascii="Arial" w:hAnsi="Arial" w:cs="Arial"/>
          <w:sz w:val="20"/>
          <w:szCs w:val="20"/>
        </w:rPr>
        <w:t xml:space="preserve"> is also unsustainable because </w:t>
      </w:r>
      <w:r w:rsidR="0079122B">
        <w:rPr>
          <w:rFonts w:ascii="Arial" w:hAnsi="Arial" w:cs="Arial"/>
          <w:sz w:val="20"/>
          <w:szCs w:val="20"/>
        </w:rPr>
        <w:t>even though</w:t>
      </w:r>
      <w:r w:rsidR="008621FF">
        <w:rPr>
          <w:rFonts w:ascii="Arial" w:hAnsi="Arial" w:cs="Arial"/>
          <w:sz w:val="20"/>
          <w:szCs w:val="20"/>
        </w:rPr>
        <w:t xml:space="preserve"> on average</w:t>
      </w:r>
      <w:r w:rsidR="0079122B">
        <w:rPr>
          <w:rFonts w:ascii="Arial" w:hAnsi="Arial" w:cs="Arial"/>
          <w:sz w:val="20"/>
          <w:szCs w:val="20"/>
        </w:rPr>
        <w:t xml:space="preserve"> student</w:t>
      </w:r>
      <w:r w:rsidR="008621FF">
        <w:rPr>
          <w:rFonts w:ascii="Arial" w:hAnsi="Arial" w:cs="Arial"/>
          <w:sz w:val="20"/>
          <w:szCs w:val="20"/>
        </w:rPr>
        <w:t>s</w:t>
      </w:r>
      <w:r w:rsidR="0079122B">
        <w:rPr>
          <w:rFonts w:ascii="Arial" w:hAnsi="Arial" w:cs="Arial"/>
          <w:sz w:val="20"/>
          <w:szCs w:val="20"/>
        </w:rPr>
        <w:t xml:space="preserve"> </w:t>
      </w:r>
      <w:r w:rsidR="008621FF">
        <w:rPr>
          <w:rFonts w:ascii="Arial" w:hAnsi="Arial" w:cs="Arial"/>
          <w:sz w:val="20"/>
          <w:szCs w:val="20"/>
        </w:rPr>
        <w:t xml:space="preserve">will </w:t>
      </w:r>
      <w:r w:rsidR="0079122B">
        <w:rPr>
          <w:rFonts w:ascii="Arial" w:hAnsi="Arial" w:cs="Arial"/>
          <w:sz w:val="20"/>
          <w:szCs w:val="20"/>
        </w:rPr>
        <w:t xml:space="preserve">pay more, universities </w:t>
      </w:r>
      <w:r w:rsidR="009C18EC">
        <w:rPr>
          <w:rFonts w:ascii="Arial" w:hAnsi="Arial" w:cs="Arial"/>
          <w:sz w:val="20"/>
          <w:szCs w:val="20"/>
        </w:rPr>
        <w:t xml:space="preserve">will </w:t>
      </w:r>
      <w:r w:rsidR="008621FF">
        <w:rPr>
          <w:rFonts w:ascii="Arial" w:hAnsi="Arial" w:cs="Arial"/>
          <w:sz w:val="20"/>
          <w:szCs w:val="20"/>
        </w:rPr>
        <w:t xml:space="preserve">on average </w:t>
      </w:r>
      <w:r w:rsidR="0079122B">
        <w:rPr>
          <w:rFonts w:ascii="Arial" w:hAnsi="Arial" w:cs="Arial"/>
          <w:sz w:val="20"/>
          <w:szCs w:val="20"/>
        </w:rPr>
        <w:t xml:space="preserve">receive less to educate them.  </w:t>
      </w:r>
    </w:p>
    <w:p w14:paraId="7523ACBA" w14:textId="77777777" w:rsidR="00DA580F" w:rsidRDefault="00DA580F" w:rsidP="00510CA0">
      <w:pPr>
        <w:spacing w:line="360" w:lineRule="auto"/>
        <w:jc w:val="both"/>
        <w:rPr>
          <w:rFonts w:ascii="Arial" w:hAnsi="Arial" w:cs="Arial"/>
          <w:sz w:val="20"/>
          <w:szCs w:val="20"/>
        </w:rPr>
      </w:pPr>
    </w:p>
    <w:p w14:paraId="2A6E78E2" w14:textId="5E1A3EE7" w:rsidR="00DA580F" w:rsidRDefault="00DA580F" w:rsidP="00510CA0">
      <w:pPr>
        <w:spacing w:line="360" w:lineRule="auto"/>
        <w:jc w:val="both"/>
        <w:rPr>
          <w:rFonts w:ascii="Arial" w:hAnsi="Arial" w:cs="Arial"/>
          <w:sz w:val="20"/>
          <w:szCs w:val="20"/>
        </w:rPr>
      </w:pPr>
      <w:r w:rsidRPr="00031551">
        <w:rPr>
          <w:rFonts w:ascii="Arial" w:hAnsi="Arial" w:cs="Arial"/>
          <w:sz w:val="20"/>
          <w:szCs w:val="20"/>
        </w:rPr>
        <w:t xml:space="preserve">The </w:t>
      </w:r>
      <w:r w:rsidR="00031551" w:rsidRPr="00031551">
        <w:rPr>
          <w:rFonts w:ascii="Arial" w:hAnsi="Arial" w:cs="Arial"/>
          <w:sz w:val="20"/>
          <w:szCs w:val="20"/>
        </w:rPr>
        <w:t>government’s hostility toward the sector was reinforced with more direct intervention and interference into universities</w:t>
      </w:r>
      <w:r w:rsidR="00B65F63">
        <w:rPr>
          <w:rFonts w:ascii="Arial" w:hAnsi="Arial" w:cs="Arial"/>
          <w:sz w:val="20"/>
          <w:szCs w:val="20"/>
        </w:rPr>
        <w:t>’</w:t>
      </w:r>
      <w:r w:rsidR="00031551" w:rsidRPr="00031551">
        <w:rPr>
          <w:rFonts w:ascii="Arial" w:hAnsi="Arial" w:cs="Arial"/>
          <w:sz w:val="20"/>
          <w:szCs w:val="20"/>
        </w:rPr>
        <w:t xml:space="preserve"> day to day operations. </w:t>
      </w:r>
      <w:r w:rsidR="00E47CA3">
        <w:rPr>
          <w:rFonts w:ascii="Arial" w:hAnsi="Arial" w:cs="Arial"/>
          <w:sz w:val="20"/>
          <w:szCs w:val="20"/>
        </w:rPr>
        <w:t xml:space="preserve"> </w:t>
      </w:r>
      <w:r w:rsidR="00C20C9B">
        <w:rPr>
          <w:rFonts w:ascii="Arial" w:hAnsi="Arial" w:cs="Arial"/>
          <w:sz w:val="20"/>
          <w:szCs w:val="20"/>
        </w:rPr>
        <w:t>More troubling is the new</w:t>
      </w:r>
      <w:r>
        <w:rPr>
          <w:rFonts w:ascii="Arial" w:hAnsi="Arial" w:cs="Arial"/>
          <w:sz w:val="20"/>
          <w:szCs w:val="20"/>
        </w:rPr>
        <w:t xml:space="preserve"> foreign </w:t>
      </w:r>
      <w:r w:rsidR="00C20C9B">
        <w:rPr>
          <w:rFonts w:ascii="Arial" w:hAnsi="Arial" w:cs="Arial"/>
          <w:sz w:val="20"/>
          <w:szCs w:val="20"/>
        </w:rPr>
        <w:t>relations legislation</w:t>
      </w:r>
      <w:r w:rsidR="00926690">
        <w:rPr>
          <w:rFonts w:ascii="Arial" w:hAnsi="Arial" w:cs="Arial"/>
          <w:sz w:val="20"/>
          <w:szCs w:val="20"/>
        </w:rPr>
        <w:t>,</w:t>
      </w:r>
      <w:r w:rsidR="00C20C9B">
        <w:rPr>
          <w:rFonts w:ascii="Arial" w:hAnsi="Arial" w:cs="Arial"/>
          <w:sz w:val="20"/>
          <w:szCs w:val="20"/>
        </w:rPr>
        <w:t xml:space="preserve"> </w:t>
      </w:r>
      <w:r>
        <w:rPr>
          <w:rFonts w:ascii="Arial" w:hAnsi="Arial" w:cs="Arial"/>
          <w:sz w:val="20"/>
          <w:szCs w:val="20"/>
        </w:rPr>
        <w:t xml:space="preserve">which treats universities </w:t>
      </w:r>
      <w:r w:rsidR="00C20C9B">
        <w:rPr>
          <w:rFonts w:ascii="Arial" w:hAnsi="Arial" w:cs="Arial"/>
          <w:sz w:val="20"/>
          <w:szCs w:val="20"/>
        </w:rPr>
        <w:t>in the same vein</w:t>
      </w:r>
      <w:r>
        <w:rPr>
          <w:rFonts w:ascii="Arial" w:hAnsi="Arial" w:cs="Arial"/>
          <w:sz w:val="20"/>
          <w:szCs w:val="20"/>
        </w:rPr>
        <w:t xml:space="preserve"> </w:t>
      </w:r>
      <w:r w:rsidR="00926690">
        <w:rPr>
          <w:rFonts w:ascii="Arial" w:hAnsi="Arial" w:cs="Arial"/>
          <w:sz w:val="20"/>
          <w:szCs w:val="20"/>
        </w:rPr>
        <w:t xml:space="preserve">as </w:t>
      </w:r>
      <w:r>
        <w:rPr>
          <w:rFonts w:ascii="Arial" w:hAnsi="Arial" w:cs="Arial"/>
          <w:sz w:val="20"/>
          <w:szCs w:val="20"/>
        </w:rPr>
        <w:t>an arm of government</w:t>
      </w:r>
      <w:r w:rsidR="00C20C9B">
        <w:rPr>
          <w:rFonts w:ascii="Arial" w:hAnsi="Arial" w:cs="Arial"/>
          <w:sz w:val="20"/>
          <w:szCs w:val="20"/>
        </w:rPr>
        <w:t xml:space="preserve"> in terms of arrangements (undefined) with oversea entities having to comply with the government’s (undefined) foreign policy. </w:t>
      </w:r>
      <w:r>
        <w:rPr>
          <w:rFonts w:ascii="Arial" w:hAnsi="Arial" w:cs="Arial"/>
          <w:sz w:val="20"/>
          <w:szCs w:val="20"/>
        </w:rPr>
        <w:t xml:space="preserve"> </w:t>
      </w:r>
      <w:r w:rsidR="001E687F">
        <w:rPr>
          <w:rFonts w:ascii="Arial" w:hAnsi="Arial" w:cs="Arial"/>
          <w:sz w:val="20"/>
          <w:szCs w:val="20"/>
        </w:rPr>
        <w:t>T</w:t>
      </w:r>
      <w:r w:rsidR="008621FF">
        <w:rPr>
          <w:rFonts w:ascii="Arial" w:hAnsi="Arial" w:cs="Arial"/>
          <w:sz w:val="20"/>
          <w:szCs w:val="20"/>
        </w:rPr>
        <w:t xml:space="preserve">he government </w:t>
      </w:r>
      <w:r w:rsidR="00926690">
        <w:rPr>
          <w:rFonts w:ascii="Arial" w:hAnsi="Arial" w:cs="Arial"/>
          <w:sz w:val="20"/>
          <w:szCs w:val="20"/>
        </w:rPr>
        <w:t>is also</w:t>
      </w:r>
      <w:r w:rsidR="008621FF">
        <w:rPr>
          <w:rFonts w:ascii="Arial" w:hAnsi="Arial" w:cs="Arial"/>
          <w:sz w:val="20"/>
          <w:szCs w:val="20"/>
        </w:rPr>
        <w:t xml:space="preserve"> </w:t>
      </w:r>
      <w:r w:rsidR="001E687F">
        <w:rPr>
          <w:rFonts w:ascii="Arial" w:hAnsi="Arial" w:cs="Arial"/>
          <w:sz w:val="20"/>
          <w:szCs w:val="20"/>
        </w:rPr>
        <w:t>assertively</w:t>
      </w:r>
      <w:r w:rsidR="008621FF">
        <w:rPr>
          <w:rFonts w:ascii="Arial" w:hAnsi="Arial" w:cs="Arial"/>
          <w:sz w:val="20"/>
          <w:szCs w:val="20"/>
        </w:rPr>
        <w:t xml:space="preserve"> pushing ahead with </w:t>
      </w:r>
      <w:r w:rsidR="001E687F">
        <w:rPr>
          <w:rFonts w:ascii="Arial" w:hAnsi="Arial" w:cs="Arial"/>
          <w:sz w:val="20"/>
          <w:szCs w:val="20"/>
        </w:rPr>
        <w:t>its</w:t>
      </w:r>
      <w:r w:rsidR="008621FF">
        <w:rPr>
          <w:rFonts w:ascii="Arial" w:hAnsi="Arial" w:cs="Arial"/>
          <w:sz w:val="20"/>
          <w:szCs w:val="20"/>
        </w:rPr>
        <w:t xml:space="preserve"> </w:t>
      </w:r>
      <w:r w:rsidR="00926690">
        <w:rPr>
          <w:rFonts w:ascii="Arial" w:hAnsi="Arial" w:cs="Arial"/>
          <w:sz w:val="20"/>
          <w:szCs w:val="20"/>
        </w:rPr>
        <w:t>‘</w:t>
      </w:r>
      <w:r w:rsidR="008621FF">
        <w:rPr>
          <w:rFonts w:ascii="Arial" w:hAnsi="Arial" w:cs="Arial"/>
          <w:sz w:val="20"/>
          <w:szCs w:val="20"/>
        </w:rPr>
        <w:t>free speech</w:t>
      </w:r>
      <w:r w:rsidR="00926690">
        <w:rPr>
          <w:rFonts w:ascii="Arial" w:hAnsi="Arial" w:cs="Arial"/>
          <w:sz w:val="20"/>
          <w:szCs w:val="20"/>
        </w:rPr>
        <w:t>’</w:t>
      </w:r>
      <w:r w:rsidR="008621FF">
        <w:rPr>
          <w:rFonts w:ascii="Arial" w:hAnsi="Arial" w:cs="Arial"/>
          <w:sz w:val="20"/>
          <w:szCs w:val="20"/>
        </w:rPr>
        <w:t xml:space="preserve"> agenda</w:t>
      </w:r>
      <w:r w:rsidR="00926690">
        <w:rPr>
          <w:rFonts w:ascii="Arial" w:hAnsi="Arial" w:cs="Arial"/>
          <w:sz w:val="20"/>
          <w:szCs w:val="20"/>
        </w:rPr>
        <w:t>, most recently</w:t>
      </w:r>
      <w:r w:rsidR="008621FF">
        <w:rPr>
          <w:rFonts w:ascii="Arial" w:hAnsi="Arial" w:cs="Arial"/>
          <w:sz w:val="20"/>
          <w:szCs w:val="20"/>
        </w:rPr>
        <w:t xml:space="preserve"> appointing Emeritus Professor Sally Walker to </w:t>
      </w:r>
      <w:r w:rsidR="001E687F">
        <w:rPr>
          <w:rFonts w:ascii="Arial" w:hAnsi="Arial" w:cs="Arial"/>
          <w:sz w:val="20"/>
          <w:szCs w:val="20"/>
        </w:rPr>
        <w:t xml:space="preserve">undertake a very detailed </w:t>
      </w:r>
      <w:r w:rsidR="008621FF">
        <w:rPr>
          <w:rFonts w:ascii="Arial" w:hAnsi="Arial" w:cs="Arial"/>
          <w:sz w:val="20"/>
          <w:szCs w:val="20"/>
        </w:rPr>
        <w:t xml:space="preserve">review </w:t>
      </w:r>
      <w:r w:rsidR="001E687F">
        <w:rPr>
          <w:rFonts w:ascii="Arial" w:hAnsi="Arial" w:cs="Arial"/>
          <w:sz w:val="20"/>
          <w:szCs w:val="20"/>
        </w:rPr>
        <w:t xml:space="preserve">of </w:t>
      </w:r>
      <w:r w:rsidR="008621FF">
        <w:rPr>
          <w:rFonts w:ascii="Arial" w:hAnsi="Arial" w:cs="Arial"/>
          <w:sz w:val="20"/>
          <w:szCs w:val="20"/>
        </w:rPr>
        <w:t>universit</w:t>
      </w:r>
      <w:r w:rsidR="001E687F">
        <w:rPr>
          <w:rFonts w:ascii="Arial" w:hAnsi="Arial" w:cs="Arial"/>
          <w:sz w:val="20"/>
          <w:szCs w:val="20"/>
        </w:rPr>
        <w:t>ies</w:t>
      </w:r>
      <w:r w:rsidR="008621FF">
        <w:rPr>
          <w:rFonts w:ascii="Arial" w:hAnsi="Arial" w:cs="Arial"/>
          <w:sz w:val="20"/>
          <w:szCs w:val="20"/>
        </w:rPr>
        <w:t xml:space="preserve"> implementation of the </w:t>
      </w:r>
      <w:r w:rsidR="001E687F">
        <w:rPr>
          <w:rFonts w:ascii="Arial" w:hAnsi="Arial" w:cs="Arial"/>
          <w:sz w:val="20"/>
          <w:szCs w:val="20"/>
        </w:rPr>
        <w:t xml:space="preserve">(voluntary) </w:t>
      </w:r>
      <w:r w:rsidR="008621FF">
        <w:rPr>
          <w:rFonts w:ascii="Arial" w:hAnsi="Arial" w:cs="Arial"/>
          <w:sz w:val="20"/>
          <w:szCs w:val="20"/>
        </w:rPr>
        <w:t>French code</w:t>
      </w:r>
      <w:r w:rsidR="001E687F">
        <w:rPr>
          <w:rFonts w:ascii="Arial" w:hAnsi="Arial" w:cs="Arial"/>
          <w:sz w:val="20"/>
          <w:szCs w:val="20"/>
        </w:rPr>
        <w:t xml:space="preserve"> of free speech and academic freedom.  </w:t>
      </w:r>
      <w:r w:rsidR="00BE23FF">
        <w:rPr>
          <w:rFonts w:ascii="Arial" w:hAnsi="Arial" w:cs="Arial"/>
          <w:sz w:val="20"/>
          <w:szCs w:val="20"/>
        </w:rPr>
        <w:t xml:space="preserve"> </w:t>
      </w:r>
      <w:r w:rsidR="00926690">
        <w:rPr>
          <w:rFonts w:ascii="Arial" w:hAnsi="Arial" w:cs="Arial"/>
          <w:sz w:val="20"/>
          <w:szCs w:val="20"/>
        </w:rPr>
        <w:t>We also note that ‘free speech’ legislation is currently before Parliament. However, while the NTEU supports legislative strengthening on academic freedom, the measures proposed by the government will not be effective in ensuring that academic freedom is protected, and the convolution of academic freedom with ‘free speech’ will only serve to weaken the former.</w:t>
      </w:r>
    </w:p>
    <w:p w14:paraId="4EDEC24B" w14:textId="77777777" w:rsidR="00DA580F" w:rsidRDefault="00DA580F" w:rsidP="00510CA0">
      <w:pPr>
        <w:spacing w:line="360" w:lineRule="auto"/>
        <w:jc w:val="both"/>
        <w:rPr>
          <w:rFonts w:ascii="Arial" w:hAnsi="Arial" w:cs="Arial"/>
          <w:sz w:val="20"/>
          <w:szCs w:val="20"/>
        </w:rPr>
      </w:pPr>
    </w:p>
    <w:p w14:paraId="13A3048D" w14:textId="78B2E93D" w:rsidR="007B227D" w:rsidRDefault="00BE23FF" w:rsidP="00510CA0">
      <w:pPr>
        <w:spacing w:line="360" w:lineRule="auto"/>
        <w:jc w:val="both"/>
        <w:rPr>
          <w:rFonts w:ascii="Arial" w:hAnsi="Arial" w:cs="Arial"/>
          <w:sz w:val="20"/>
          <w:szCs w:val="20"/>
        </w:rPr>
      </w:pPr>
      <w:r>
        <w:rPr>
          <w:rFonts w:ascii="Arial" w:hAnsi="Arial" w:cs="Arial"/>
          <w:sz w:val="20"/>
          <w:szCs w:val="20"/>
        </w:rPr>
        <w:t xml:space="preserve">In reckoning the government’s higher education policy responses during 2020, </w:t>
      </w:r>
      <w:r w:rsidR="001E687F">
        <w:rPr>
          <w:rFonts w:ascii="Arial" w:hAnsi="Arial" w:cs="Arial"/>
          <w:sz w:val="20"/>
          <w:szCs w:val="20"/>
        </w:rPr>
        <w:t>it is difficult to conclude that it went beyond simply abandonment or neglect</w:t>
      </w:r>
      <w:r w:rsidR="00926690">
        <w:rPr>
          <w:rFonts w:ascii="Arial" w:hAnsi="Arial" w:cs="Arial"/>
          <w:sz w:val="20"/>
          <w:szCs w:val="20"/>
        </w:rPr>
        <w:t>,</w:t>
      </w:r>
      <w:r w:rsidR="001E687F">
        <w:rPr>
          <w:rFonts w:ascii="Arial" w:hAnsi="Arial" w:cs="Arial"/>
          <w:sz w:val="20"/>
          <w:szCs w:val="20"/>
        </w:rPr>
        <w:t xml:space="preserve"> but was </w:t>
      </w:r>
      <w:r w:rsidR="00926690">
        <w:rPr>
          <w:rFonts w:ascii="Arial" w:hAnsi="Arial" w:cs="Arial"/>
          <w:sz w:val="20"/>
          <w:szCs w:val="20"/>
        </w:rPr>
        <w:t>purposefully</w:t>
      </w:r>
      <w:r w:rsidR="001E687F">
        <w:rPr>
          <w:rFonts w:ascii="Arial" w:hAnsi="Arial" w:cs="Arial"/>
          <w:sz w:val="20"/>
          <w:szCs w:val="20"/>
        </w:rPr>
        <w:t xml:space="preserve"> </w:t>
      </w:r>
      <w:r w:rsidR="00926690">
        <w:rPr>
          <w:rFonts w:ascii="Arial" w:hAnsi="Arial" w:cs="Arial"/>
          <w:sz w:val="20"/>
          <w:szCs w:val="20"/>
        </w:rPr>
        <w:t>antagonistic</w:t>
      </w:r>
      <w:r w:rsidR="001E687F">
        <w:rPr>
          <w:rFonts w:ascii="Arial" w:hAnsi="Arial" w:cs="Arial"/>
          <w:sz w:val="20"/>
          <w:szCs w:val="20"/>
        </w:rPr>
        <w:t xml:space="preserve"> and </w:t>
      </w:r>
      <w:r w:rsidR="00A37821">
        <w:rPr>
          <w:rFonts w:ascii="Arial" w:hAnsi="Arial" w:cs="Arial"/>
          <w:sz w:val="20"/>
          <w:szCs w:val="20"/>
        </w:rPr>
        <w:t xml:space="preserve">even </w:t>
      </w:r>
      <w:r w:rsidR="001E687F">
        <w:rPr>
          <w:rFonts w:ascii="Arial" w:hAnsi="Arial" w:cs="Arial"/>
          <w:sz w:val="20"/>
          <w:szCs w:val="20"/>
        </w:rPr>
        <w:t>hostile.   The NTEU is concerned that the continuation of such an approach has the very real danger of undermining and dama</w:t>
      </w:r>
      <w:r w:rsidR="007B227D">
        <w:rPr>
          <w:rFonts w:ascii="Arial" w:hAnsi="Arial" w:cs="Arial"/>
          <w:sz w:val="20"/>
          <w:szCs w:val="20"/>
        </w:rPr>
        <w:t>ging our highly successful higher education system and public universities.</w:t>
      </w:r>
    </w:p>
    <w:p w14:paraId="3C5A7285" w14:textId="706FEB9C" w:rsidR="007B227D" w:rsidRDefault="007B227D" w:rsidP="00510CA0">
      <w:pPr>
        <w:spacing w:line="360" w:lineRule="auto"/>
        <w:jc w:val="both"/>
        <w:rPr>
          <w:rFonts w:ascii="Arial" w:hAnsi="Arial" w:cs="Arial"/>
          <w:sz w:val="20"/>
          <w:szCs w:val="20"/>
        </w:rPr>
      </w:pPr>
    </w:p>
    <w:p w14:paraId="10AEADE5" w14:textId="1851E52A" w:rsidR="00866D8C" w:rsidRDefault="00866D8C" w:rsidP="00510CA0">
      <w:pPr>
        <w:spacing w:line="360" w:lineRule="auto"/>
        <w:jc w:val="both"/>
        <w:rPr>
          <w:rFonts w:ascii="Arial" w:hAnsi="Arial" w:cs="Arial"/>
          <w:sz w:val="20"/>
          <w:szCs w:val="20"/>
        </w:rPr>
      </w:pPr>
    </w:p>
    <w:p w14:paraId="18D12DDD" w14:textId="2BD93434" w:rsidR="00866D8C" w:rsidRDefault="00866D8C" w:rsidP="00510CA0">
      <w:pPr>
        <w:spacing w:line="360" w:lineRule="auto"/>
        <w:jc w:val="both"/>
        <w:rPr>
          <w:rFonts w:ascii="Arial" w:hAnsi="Arial" w:cs="Arial"/>
          <w:sz w:val="20"/>
          <w:szCs w:val="20"/>
        </w:rPr>
      </w:pPr>
    </w:p>
    <w:p w14:paraId="46B47C37" w14:textId="150E3535" w:rsidR="00866D8C" w:rsidRDefault="00866D8C" w:rsidP="00510CA0">
      <w:pPr>
        <w:spacing w:line="360" w:lineRule="auto"/>
        <w:jc w:val="both"/>
        <w:rPr>
          <w:rFonts w:ascii="Arial" w:hAnsi="Arial" w:cs="Arial"/>
          <w:sz w:val="20"/>
          <w:szCs w:val="20"/>
        </w:rPr>
      </w:pPr>
    </w:p>
    <w:p w14:paraId="5D1BE2F5" w14:textId="77777777" w:rsidR="00866D8C" w:rsidRDefault="00866D8C" w:rsidP="00510CA0">
      <w:pPr>
        <w:spacing w:line="360" w:lineRule="auto"/>
        <w:jc w:val="both"/>
        <w:rPr>
          <w:rFonts w:ascii="Arial" w:hAnsi="Arial" w:cs="Arial"/>
          <w:sz w:val="20"/>
          <w:szCs w:val="20"/>
        </w:rPr>
      </w:pPr>
    </w:p>
    <w:p w14:paraId="017F9DCF" w14:textId="62CD06F4" w:rsidR="007B227D" w:rsidRDefault="007B227D" w:rsidP="00510CA0">
      <w:pPr>
        <w:spacing w:line="360" w:lineRule="auto"/>
        <w:jc w:val="both"/>
        <w:rPr>
          <w:rFonts w:ascii="Arial" w:hAnsi="Arial" w:cs="Arial"/>
          <w:sz w:val="20"/>
          <w:szCs w:val="20"/>
        </w:rPr>
      </w:pPr>
      <w:r>
        <w:rPr>
          <w:rFonts w:ascii="Arial" w:hAnsi="Arial" w:cs="Arial"/>
          <w:sz w:val="20"/>
          <w:szCs w:val="20"/>
        </w:rPr>
        <w:t xml:space="preserve">The NTEU is calling for a major re-think of the government approach to higher education policy which </w:t>
      </w:r>
      <w:r w:rsidR="00EE16F9">
        <w:rPr>
          <w:rFonts w:ascii="Arial" w:hAnsi="Arial" w:cs="Arial"/>
          <w:sz w:val="20"/>
          <w:szCs w:val="20"/>
        </w:rPr>
        <w:t>needs to cover</w:t>
      </w:r>
      <w:r>
        <w:rPr>
          <w:rFonts w:ascii="Arial" w:hAnsi="Arial" w:cs="Arial"/>
          <w:sz w:val="20"/>
          <w:szCs w:val="20"/>
        </w:rPr>
        <w:t>:</w:t>
      </w:r>
    </w:p>
    <w:p w14:paraId="6ECF20B6" w14:textId="63CD978F" w:rsidR="00EE16F9" w:rsidRDefault="006E4DAD" w:rsidP="00510CA0">
      <w:pPr>
        <w:pStyle w:val="ListParagraph"/>
        <w:numPr>
          <w:ilvl w:val="0"/>
          <w:numId w:val="3"/>
        </w:numPr>
        <w:spacing w:line="360" w:lineRule="auto"/>
        <w:jc w:val="both"/>
        <w:rPr>
          <w:rFonts w:ascii="Arial" w:hAnsi="Arial" w:cs="Arial"/>
          <w:sz w:val="20"/>
          <w:szCs w:val="20"/>
        </w:rPr>
      </w:pPr>
      <w:r>
        <w:rPr>
          <w:rFonts w:ascii="Arial" w:hAnsi="Arial" w:cs="Arial"/>
          <w:sz w:val="20"/>
          <w:szCs w:val="20"/>
        </w:rPr>
        <w:t>regulation:</w:t>
      </w:r>
    </w:p>
    <w:p w14:paraId="613C3FEF" w14:textId="5BE1B056" w:rsidR="006E4DAD" w:rsidRDefault="006E4DAD" w:rsidP="00510CA0">
      <w:pPr>
        <w:pStyle w:val="ListParagraph"/>
        <w:numPr>
          <w:ilvl w:val="0"/>
          <w:numId w:val="3"/>
        </w:numPr>
        <w:spacing w:line="360" w:lineRule="auto"/>
        <w:jc w:val="both"/>
        <w:rPr>
          <w:rFonts w:ascii="Arial" w:hAnsi="Arial" w:cs="Arial"/>
          <w:sz w:val="20"/>
          <w:szCs w:val="20"/>
        </w:rPr>
      </w:pPr>
      <w:r>
        <w:rPr>
          <w:rFonts w:ascii="Arial" w:hAnsi="Arial" w:cs="Arial"/>
          <w:sz w:val="20"/>
          <w:szCs w:val="20"/>
        </w:rPr>
        <w:t>funding;</w:t>
      </w:r>
    </w:p>
    <w:p w14:paraId="3854FE06" w14:textId="73161EC8" w:rsidR="006E4DAD" w:rsidRDefault="006E4DAD" w:rsidP="00510CA0">
      <w:pPr>
        <w:pStyle w:val="ListParagraph"/>
        <w:numPr>
          <w:ilvl w:val="0"/>
          <w:numId w:val="3"/>
        </w:numPr>
        <w:spacing w:line="360" w:lineRule="auto"/>
        <w:jc w:val="both"/>
        <w:rPr>
          <w:rFonts w:ascii="Arial" w:hAnsi="Arial" w:cs="Arial"/>
          <w:sz w:val="20"/>
          <w:szCs w:val="20"/>
        </w:rPr>
      </w:pPr>
      <w:r>
        <w:rPr>
          <w:rFonts w:ascii="Arial" w:hAnsi="Arial" w:cs="Arial"/>
          <w:sz w:val="20"/>
          <w:szCs w:val="20"/>
        </w:rPr>
        <w:t xml:space="preserve">governance; and </w:t>
      </w:r>
    </w:p>
    <w:p w14:paraId="7C36B4A5" w14:textId="12CC07D4" w:rsidR="006E4DAD" w:rsidRDefault="006E4DAD" w:rsidP="00510CA0">
      <w:pPr>
        <w:pStyle w:val="ListParagraph"/>
        <w:numPr>
          <w:ilvl w:val="0"/>
          <w:numId w:val="3"/>
        </w:numPr>
        <w:spacing w:line="360" w:lineRule="auto"/>
        <w:jc w:val="both"/>
        <w:rPr>
          <w:rFonts w:ascii="Arial" w:hAnsi="Arial" w:cs="Arial"/>
          <w:sz w:val="20"/>
          <w:szCs w:val="20"/>
        </w:rPr>
      </w:pPr>
      <w:r>
        <w:rPr>
          <w:rFonts w:ascii="Arial" w:hAnsi="Arial" w:cs="Arial"/>
          <w:sz w:val="20"/>
          <w:szCs w:val="20"/>
        </w:rPr>
        <w:t xml:space="preserve">employment </w:t>
      </w:r>
    </w:p>
    <w:p w14:paraId="420E3E57" w14:textId="377A61F4" w:rsidR="00F51B57" w:rsidRDefault="00F51B57" w:rsidP="00510CA0">
      <w:pPr>
        <w:spacing w:line="360" w:lineRule="auto"/>
        <w:jc w:val="both"/>
        <w:rPr>
          <w:rFonts w:ascii="Arial" w:hAnsi="Arial" w:cs="Arial"/>
          <w:sz w:val="20"/>
          <w:szCs w:val="20"/>
        </w:rPr>
      </w:pPr>
    </w:p>
    <w:p w14:paraId="6D0C9904" w14:textId="32254D52" w:rsidR="00F51B57" w:rsidRPr="006E799B" w:rsidRDefault="00F51B57" w:rsidP="00510CA0">
      <w:pPr>
        <w:spacing w:line="360" w:lineRule="auto"/>
        <w:jc w:val="both"/>
        <w:rPr>
          <w:rFonts w:ascii="Arial" w:hAnsi="Arial" w:cs="Arial"/>
          <w:b/>
          <w:bCs/>
        </w:rPr>
      </w:pPr>
      <w:r w:rsidRPr="006E799B">
        <w:rPr>
          <w:rFonts w:ascii="Arial" w:hAnsi="Arial" w:cs="Arial"/>
          <w:b/>
          <w:bCs/>
        </w:rPr>
        <w:t>Regulation</w:t>
      </w:r>
    </w:p>
    <w:p w14:paraId="5F3605CD" w14:textId="29347FA8" w:rsidR="004E1DC8" w:rsidRDefault="00F51B57" w:rsidP="00510CA0">
      <w:pPr>
        <w:spacing w:line="360" w:lineRule="auto"/>
        <w:jc w:val="both"/>
        <w:rPr>
          <w:rFonts w:ascii="Arial" w:hAnsi="Arial" w:cs="Arial"/>
          <w:sz w:val="20"/>
          <w:szCs w:val="20"/>
        </w:rPr>
      </w:pPr>
      <w:r w:rsidRPr="00F51B57">
        <w:rPr>
          <w:rFonts w:ascii="Arial" w:hAnsi="Arial" w:cs="Arial"/>
          <w:sz w:val="20"/>
          <w:szCs w:val="20"/>
        </w:rPr>
        <w:t xml:space="preserve">The NTEU supports the view that there needs to be a consistent and coherent </w:t>
      </w:r>
      <w:r>
        <w:rPr>
          <w:rFonts w:ascii="Arial" w:hAnsi="Arial" w:cs="Arial"/>
          <w:sz w:val="20"/>
          <w:szCs w:val="20"/>
        </w:rPr>
        <w:t xml:space="preserve">regulatory and funding framework which </w:t>
      </w:r>
      <w:r w:rsidR="00A8283A">
        <w:rPr>
          <w:rFonts w:ascii="Arial" w:hAnsi="Arial" w:cs="Arial"/>
          <w:sz w:val="20"/>
          <w:szCs w:val="20"/>
        </w:rPr>
        <w:t>covers</w:t>
      </w:r>
      <w:r>
        <w:rPr>
          <w:rFonts w:ascii="Arial" w:hAnsi="Arial" w:cs="Arial"/>
          <w:sz w:val="20"/>
          <w:szCs w:val="20"/>
        </w:rPr>
        <w:t xml:space="preserve"> both </w:t>
      </w:r>
      <w:r w:rsidR="00A8283A">
        <w:rPr>
          <w:rFonts w:ascii="Arial" w:hAnsi="Arial" w:cs="Arial"/>
          <w:sz w:val="20"/>
          <w:szCs w:val="20"/>
        </w:rPr>
        <w:t xml:space="preserve">HE and VET.  This regulatory framework however </w:t>
      </w:r>
      <w:r w:rsidR="004E1DC8">
        <w:rPr>
          <w:rFonts w:ascii="Arial" w:hAnsi="Arial" w:cs="Arial"/>
          <w:sz w:val="20"/>
          <w:szCs w:val="20"/>
        </w:rPr>
        <w:t xml:space="preserve">must </w:t>
      </w:r>
      <w:r w:rsidR="00A8283A">
        <w:rPr>
          <w:rFonts w:ascii="Arial" w:hAnsi="Arial" w:cs="Arial"/>
          <w:sz w:val="20"/>
          <w:szCs w:val="20"/>
        </w:rPr>
        <w:t xml:space="preserve">acknowledge the purposes, structures and different </w:t>
      </w:r>
      <w:r w:rsidR="00A37821">
        <w:rPr>
          <w:rFonts w:ascii="Arial" w:hAnsi="Arial" w:cs="Arial"/>
          <w:sz w:val="20"/>
          <w:szCs w:val="20"/>
        </w:rPr>
        <w:t>pedagogical</w:t>
      </w:r>
      <w:r w:rsidR="00A8283A">
        <w:rPr>
          <w:rFonts w:ascii="Arial" w:hAnsi="Arial" w:cs="Arial"/>
          <w:sz w:val="20"/>
          <w:szCs w:val="20"/>
        </w:rPr>
        <w:t xml:space="preserve"> approaches adopted in VET and HE.  </w:t>
      </w:r>
      <w:r w:rsidR="004E1DC8">
        <w:rPr>
          <w:rFonts w:ascii="Arial" w:hAnsi="Arial" w:cs="Arial"/>
          <w:sz w:val="20"/>
          <w:szCs w:val="20"/>
        </w:rPr>
        <w:t xml:space="preserve">The reasons why the NTEU believes that Australia should continue to operate a ‘tracked’ rather than unified tertiary education system is outlined in great detail in our submission to </w:t>
      </w:r>
      <w:r w:rsidR="003266E1">
        <w:rPr>
          <w:rFonts w:ascii="Arial" w:hAnsi="Arial" w:cs="Arial"/>
          <w:sz w:val="20"/>
          <w:szCs w:val="20"/>
        </w:rPr>
        <w:t xml:space="preserve">the </w:t>
      </w:r>
      <w:r w:rsidR="004E1DC8">
        <w:rPr>
          <w:rFonts w:ascii="Arial" w:hAnsi="Arial" w:cs="Arial"/>
          <w:sz w:val="20"/>
          <w:szCs w:val="20"/>
        </w:rPr>
        <w:t>Joyce Review of VET</w:t>
      </w:r>
      <w:r w:rsidR="000C7F72">
        <w:rPr>
          <w:rStyle w:val="FootnoteReference"/>
          <w:rFonts w:ascii="Arial" w:hAnsi="Arial" w:cs="Arial"/>
          <w:sz w:val="20"/>
          <w:szCs w:val="20"/>
        </w:rPr>
        <w:footnoteReference w:id="3"/>
      </w:r>
      <w:r w:rsidR="000C7F72">
        <w:rPr>
          <w:rFonts w:ascii="Arial" w:hAnsi="Arial" w:cs="Arial"/>
          <w:sz w:val="20"/>
          <w:szCs w:val="20"/>
        </w:rPr>
        <w:t xml:space="preserve">) </w:t>
      </w:r>
      <w:r w:rsidR="004E1DC8">
        <w:rPr>
          <w:rFonts w:ascii="Arial" w:hAnsi="Arial" w:cs="Arial"/>
          <w:sz w:val="20"/>
          <w:szCs w:val="20"/>
        </w:rPr>
        <w:t xml:space="preserve"> but comes down to:</w:t>
      </w:r>
    </w:p>
    <w:p w14:paraId="28582D7A" w14:textId="2A18B564" w:rsidR="004E1DC8" w:rsidRDefault="004E1DC8" w:rsidP="00510CA0">
      <w:pPr>
        <w:pStyle w:val="ListParagraph"/>
        <w:numPr>
          <w:ilvl w:val="0"/>
          <w:numId w:val="27"/>
        </w:numPr>
        <w:spacing w:line="360" w:lineRule="auto"/>
        <w:jc w:val="both"/>
        <w:rPr>
          <w:rFonts w:ascii="Arial" w:hAnsi="Arial" w:cs="Arial"/>
          <w:sz w:val="20"/>
          <w:szCs w:val="20"/>
        </w:rPr>
      </w:pPr>
      <w:r>
        <w:rPr>
          <w:rFonts w:ascii="Arial" w:hAnsi="Arial" w:cs="Arial"/>
          <w:sz w:val="20"/>
          <w:szCs w:val="20"/>
        </w:rPr>
        <w:t>the political reality that VET policy and funding is very much in the State/Territory jurisdiction while HE policy and funding is effectively (if not constitutionally) in the Commonwealth government’s jurisdiction</w:t>
      </w:r>
    </w:p>
    <w:p w14:paraId="200F1343" w14:textId="5E121D81" w:rsidR="001F391A" w:rsidRDefault="004E1DC8" w:rsidP="00510CA0">
      <w:pPr>
        <w:pStyle w:val="ListParagraph"/>
        <w:numPr>
          <w:ilvl w:val="0"/>
          <w:numId w:val="27"/>
        </w:numPr>
        <w:spacing w:line="360" w:lineRule="auto"/>
        <w:jc w:val="both"/>
        <w:rPr>
          <w:rFonts w:ascii="Arial" w:hAnsi="Arial" w:cs="Arial"/>
          <w:sz w:val="20"/>
          <w:szCs w:val="20"/>
        </w:rPr>
      </w:pPr>
      <w:r>
        <w:rPr>
          <w:rFonts w:ascii="Arial" w:hAnsi="Arial" w:cs="Arial"/>
          <w:sz w:val="20"/>
          <w:szCs w:val="20"/>
        </w:rPr>
        <w:t>the very different structural make-up of the two sector</w:t>
      </w:r>
      <w:r w:rsidR="000C7F72">
        <w:rPr>
          <w:rFonts w:ascii="Arial" w:hAnsi="Arial" w:cs="Arial"/>
          <w:sz w:val="20"/>
          <w:szCs w:val="20"/>
        </w:rPr>
        <w:t xml:space="preserve">s </w:t>
      </w:r>
      <w:r>
        <w:rPr>
          <w:rFonts w:ascii="Arial" w:hAnsi="Arial" w:cs="Arial"/>
          <w:sz w:val="20"/>
          <w:szCs w:val="20"/>
        </w:rPr>
        <w:t>with some 70% of the 4.2million student</w:t>
      </w:r>
      <w:r w:rsidR="000C3E48">
        <w:rPr>
          <w:rFonts w:ascii="Arial" w:hAnsi="Arial" w:cs="Arial"/>
          <w:sz w:val="20"/>
          <w:szCs w:val="20"/>
        </w:rPr>
        <w:t>s</w:t>
      </w:r>
      <w:r>
        <w:rPr>
          <w:rFonts w:ascii="Arial" w:hAnsi="Arial" w:cs="Arial"/>
          <w:sz w:val="20"/>
          <w:szCs w:val="20"/>
        </w:rPr>
        <w:t xml:space="preserve"> in VET enrolled in one of more than 3,000 private providers</w:t>
      </w:r>
      <w:r w:rsidR="00A37821">
        <w:rPr>
          <w:rFonts w:ascii="Arial" w:hAnsi="Arial" w:cs="Arial"/>
          <w:sz w:val="20"/>
          <w:szCs w:val="20"/>
        </w:rPr>
        <w:t>,</w:t>
      </w:r>
      <w:r>
        <w:rPr>
          <w:rFonts w:ascii="Arial" w:hAnsi="Arial" w:cs="Arial"/>
          <w:sz w:val="20"/>
          <w:szCs w:val="20"/>
        </w:rPr>
        <w:t xml:space="preserve"> whereas </w:t>
      </w:r>
      <w:r w:rsidR="001F391A">
        <w:rPr>
          <w:rFonts w:ascii="Arial" w:hAnsi="Arial" w:cs="Arial"/>
          <w:sz w:val="20"/>
          <w:szCs w:val="20"/>
        </w:rPr>
        <w:t xml:space="preserve">90% of the more than 1.5million higher education student are enrolled at one of 43 </w:t>
      </w:r>
      <w:r w:rsidR="000C7F72">
        <w:rPr>
          <w:rFonts w:ascii="Arial" w:hAnsi="Arial" w:cs="Arial"/>
          <w:sz w:val="20"/>
          <w:szCs w:val="20"/>
        </w:rPr>
        <w:t xml:space="preserve">(predominantly public) </w:t>
      </w:r>
      <w:r w:rsidR="001F391A">
        <w:rPr>
          <w:rFonts w:ascii="Arial" w:hAnsi="Arial" w:cs="Arial"/>
          <w:sz w:val="20"/>
          <w:szCs w:val="20"/>
        </w:rPr>
        <w:t xml:space="preserve">universities </w:t>
      </w:r>
      <w:r w:rsidR="00497B6B">
        <w:rPr>
          <w:rFonts w:ascii="Arial" w:hAnsi="Arial" w:cs="Arial"/>
          <w:sz w:val="20"/>
          <w:szCs w:val="20"/>
        </w:rPr>
        <w:t>(See Table 1)</w:t>
      </w:r>
    </w:p>
    <w:p w14:paraId="0E5F8F93" w14:textId="26AEADBF" w:rsidR="001F391A" w:rsidRDefault="001F391A" w:rsidP="00510CA0">
      <w:pPr>
        <w:pStyle w:val="ListParagraph"/>
        <w:numPr>
          <w:ilvl w:val="0"/>
          <w:numId w:val="27"/>
        </w:numPr>
        <w:spacing w:line="360" w:lineRule="auto"/>
        <w:jc w:val="both"/>
        <w:rPr>
          <w:rFonts w:ascii="Arial" w:hAnsi="Arial" w:cs="Arial"/>
          <w:sz w:val="20"/>
          <w:szCs w:val="20"/>
        </w:rPr>
      </w:pPr>
      <w:r>
        <w:rPr>
          <w:rFonts w:ascii="Arial" w:hAnsi="Arial" w:cs="Arial"/>
          <w:sz w:val="20"/>
          <w:szCs w:val="20"/>
        </w:rPr>
        <w:t xml:space="preserve">the very different educational philosophies and approaches with VET adopting narrowly defined and industry focused </w:t>
      </w:r>
      <w:r w:rsidR="000C7F72">
        <w:rPr>
          <w:rFonts w:ascii="Arial" w:hAnsi="Arial" w:cs="Arial"/>
          <w:sz w:val="20"/>
          <w:szCs w:val="20"/>
        </w:rPr>
        <w:t>competency-based</w:t>
      </w:r>
      <w:r>
        <w:rPr>
          <w:rFonts w:ascii="Arial" w:hAnsi="Arial" w:cs="Arial"/>
          <w:sz w:val="20"/>
          <w:szCs w:val="20"/>
        </w:rPr>
        <w:t xml:space="preserve"> training compared to HE which focuses o</w:t>
      </w:r>
      <w:r w:rsidR="00866D8C">
        <w:rPr>
          <w:rFonts w:ascii="Arial" w:hAnsi="Arial" w:cs="Arial"/>
          <w:sz w:val="20"/>
          <w:szCs w:val="20"/>
        </w:rPr>
        <w:t>n</w:t>
      </w:r>
      <w:r>
        <w:rPr>
          <w:rFonts w:ascii="Arial" w:hAnsi="Arial" w:cs="Arial"/>
          <w:sz w:val="20"/>
          <w:szCs w:val="20"/>
        </w:rPr>
        <w:t xml:space="preserve"> student’s capabilities many of which are generic and transferable skills. </w:t>
      </w:r>
    </w:p>
    <w:p w14:paraId="7399CBF6" w14:textId="77777777" w:rsidR="00497B6B" w:rsidRDefault="00497B6B" w:rsidP="00510CA0">
      <w:pPr>
        <w:pStyle w:val="ListParagraph"/>
        <w:spacing w:line="360" w:lineRule="auto"/>
        <w:ind w:left="833"/>
        <w:jc w:val="both"/>
        <w:rPr>
          <w:rFonts w:ascii="Arial" w:hAnsi="Arial" w:cs="Arial"/>
          <w:sz w:val="20"/>
          <w:szCs w:val="20"/>
        </w:rPr>
      </w:pPr>
    </w:p>
    <w:p w14:paraId="2B007DE4" w14:textId="69CDF2C4" w:rsidR="00497B6B" w:rsidRDefault="00497B6B" w:rsidP="00510CA0">
      <w:pPr>
        <w:pStyle w:val="Caption"/>
        <w:keepNext/>
        <w:jc w:val="both"/>
      </w:pPr>
      <w:r>
        <w:t xml:space="preserve">Table </w:t>
      </w:r>
      <w:r w:rsidR="00127AF5">
        <w:fldChar w:fldCharType="begin"/>
      </w:r>
      <w:r w:rsidR="00127AF5">
        <w:instrText xml:space="preserve"> SEQ Table \* ARABIC </w:instrText>
      </w:r>
      <w:r w:rsidR="00127AF5">
        <w:fldChar w:fldCharType="separate"/>
      </w:r>
      <w:r>
        <w:rPr>
          <w:noProof/>
        </w:rPr>
        <w:t>1</w:t>
      </w:r>
      <w:r w:rsidR="00127AF5">
        <w:rPr>
          <w:noProof/>
        </w:rPr>
        <w:fldChar w:fldCharType="end"/>
      </w:r>
    </w:p>
    <w:p w14:paraId="44EF71DD" w14:textId="7691F0C2" w:rsidR="001F391A" w:rsidRDefault="00497B6B" w:rsidP="00510CA0">
      <w:pPr>
        <w:spacing w:line="360" w:lineRule="auto"/>
        <w:jc w:val="both"/>
        <w:rPr>
          <w:rFonts w:ascii="Arial" w:hAnsi="Arial" w:cs="Arial"/>
          <w:sz w:val="20"/>
          <w:szCs w:val="20"/>
        </w:rPr>
      </w:pPr>
      <w:r w:rsidRPr="006B48C7">
        <w:rPr>
          <w:rFonts w:ascii="Arial" w:hAnsi="Arial" w:cs="Arial"/>
          <w:b/>
          <w:bCs/>
          <w:noProof/>
          <w:color w:val="000000"/>
          <w:sz w:val="22"/>
          <w:szCs w:val="22"/>
          <w:shd w:val="clear" w:color="auto" w:fill="FFFFFF"/>
        </w:rPr>
        <w:drawing>
          <wp:inline distT="0" distB="0" distL="0" distR="0" wp14:anchorId="57CE3CAF" wp14:editId="7BEA2D7E">
            <wp:extent cx="5304790" cy="3213671"/>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20387" cy="3223120"/>
                    </a:xfrm>
                    <a:prstGeom prst="rect">
                      <a:avLst/>
                    </a:prstGeom>
                  </pic:spPr>
                </pic:pic>
              </a:graphicData>
            </a:graphic>
          </wp:inline>
        </w:drawing>
      </w:r>
    </w:p>
    <w:p w14:paraId="44D56D26" w14:textId="17042B42" w:rsidR="00A8283A" w:rsidRDefault="00A8283A" w:rsidP="00510CA0">
      <w:pPr>
        <w:spacing w:line="360" w:lineRule="auto"/>
        <w:jc w:val="both"/>
        <w:rPr>
          <w:rFonts w:ascii="Arial" w:hAnsi="Arial" w:cs="Arial"/>
          <w:sz w:val="20"/>
          <w:szCs w:val="20"/>
        </w:rPr>
      </w:pPr>
      <w:r w:rsidRPr="001F391A">
        <w:rPr>
          <w:rFonts w:ascii="Arial" w:hAnsi="Arial" w:cs="Arial"/>
          <w:sz w:val="20"/>
          <w:szCs w:val="20"/>
        </w:rPr>
        <w:t xml:space="preserve">From the NTEU’s perspective it would be a mistake to </w:t>
      </w:r>
      <w:r w:rsidR="005B7C5F" w:rsidRPr="001F391A">
        <w:rPr>
          <w:rFonts w:ascii="Arial" w:hAnsi="Arial" w:cs="Arial"/>
          <w:sz w:val="20"/>
          <w:szCs w:val="20"/>
        </w:rPr>
        <w:t>continu</w:t>
      </w:r>
      <w:r w:rsidR="00A37821">
        <w:rPr>
          <w:rFonts w:ascii="Arial" w:hAnsi="Arial" w:cs="Arial"/>
          <w:sz w:val="20"/>
          <w:szCs w:val="20"/>
        </w:rPr>
        <w:t xml:space="preserve">e </w:t>
      </w:r>
      <w:r w:rsidRPr="001F391A">
        <w:rPr>
          <w:rFonts w:ascii="Arial" w:hAnsi="Arial" w:cs="Arial"/>
          <w:sz w:val="20"/>
          <w:szCs w:val="20"/>
        </w:rPr>
        <w:t>push</w:t>
      </w:r>
      <w:r w:rsidR="005B7C5F" w:rsidRPr="001F391A">
        <w:rPr>
          <w:rFonts w:ascii="Arial" w:hAnsi="Arial" w:cs="Arial"/>
          <w:sz w:val="20"/>
          <w:szCs w:val="20"/>
        </w:rPr>
        <w:t>ing</w:t>
      </w:r>
      <w:r w:rsidRPr="001F391A">
        <w:rPr>
          <w:rFonts w:ascii="Arial" w:hAnsi="Arial" w:cs="Arial"/>
          <w:sz w:val="20"/>
          <w:szCs w:val="20"/>
        </w:rPr>
        <w:t xml:space="preserve"> higher education towards a </w:t>
      </w:r>
      <w:r w:rsidR="005B7C5F" w:rsidRPr="001F391A">
        <w:rPr>
          <w:rFonts w:ascii="Arial" w:hAnsi="Arial" w:cs="Arial"/>
          <w:sz w:val="20"/>
          <w:szCs w:val="20"/>
        </w:rPr>
        <w:t xml:space="preserve">more </w:t>
      </w:r>
      <w:r w:rsidRPr="001F391A">
        <w:rPr>
          <w:rFonts w:ascii="Arial" w:hAnsi="Arial" w:cs="Arial"/>
          <w:sz w:val="20"/>
          <w:szCs w:val="20"/>
        </w:rPr>
        <w:t xml:space="preserve">standardised </w:t>
      </w:r>
      <w:r w:rsidR="00412D14" w:rsidRPr="001F391A">
        <w:rPr>
          <w:rFonts w:ascii="Arial" w:hAnsi="Arial" w:cs="Arial"/>
          <w:sz w:val="20"/>
          <w:szCs w:val="20"/>
        </w:rPr>
        <w:t>competency-based</w:t>
      </w:r>
      <w:r w:rsidRPr="001F391A">
        <w:rPr>
          <w:rFonts w:ascii="Arial" w:hAnsi="Arial" w:cs="Arial"/>
          <w:sz w:val="20"/>
          <w:szCs w:val="20"/>
        </w:rPr>
        <w:t xml:space="preserve"> approach to education</w:t>
      </w:r>
      <w:r w:rsidR="00A37821">
        <w:rPr>
          <w:rFonts w:ascii="Arial" w:hAnsi="Arial" w:cs="Arial"/>
          <w:sz w:val="20"/>
          <w:szCs w:val="20"/>
        </w:rPr>
        <w:t>,</w:t>
      </w:r>
      <w:r w:rsidRPr="001F391A">
        <w:rPr>
          <w:rFonts w:ascii="Arial" w:hAnsi="Arial" w:cs="Arial"/>
          <w:sz w:val="20"/>
          <w:szCs w:val="20"/>
        </w:rPr>
        <w:t xml:space="preserve"> which </w:t>
      </w:r>
      <w:r w:rsidR="005B7C5F" w:rsidRPr="001F391A">
        <w:rPr>
          <w:rFonts w:ascii="Arial" w:hAnsi="Arial" w:cs="Arial"/>
          <w:sz w:val="20"/>
          <w:szCs w:val="20"/>
        </w:rPr>
        <w:t>is like</w:t>
      </w:r>
      <w:r w:rsidR="00A37821">
        <w:rPr>
          <w:rFonts w:ascii="Arial" w:hAnsi="Arial" w:cs="Arial"/>
          <w:sz w:val="20"/>
          <w:szCs w:val="20"/>
        </w:rPr>
        <w:t>ly</w:t>
      </w:r>
      <w:r w:rsidR="005B7C5F" w:rsidRPr="001F391A">
        <w:rPr>
          <w:rFonts w:ascii="Arial" w:hAnsi="Arial" w:cs="Arial"/>
          <w:sz w:val="20"/>
          <w:szCs w:val="20"/>
        </w:rPr>
        <w:t xml:space="preserve"> to be a result of </w:t>
      </w:r>
      <w:r w:rsidRPr="001F391A">
        <w:rPr>
          <w:rFonts w:ascii="Arial" w:hAnsi="Arial" w:cs="Arial"/>
          <w:sz w:val="20"/>
          <w:szCs w:val="20"/>
        </w:rPr>
        <w:t xml:space="preserve">recent policy initiatives aimed at </w:t>
      </w:r>
      <w:r w:rsidR="00412D14" w:rsidRPr="001F391A">
        <w:rPr>
          <w:rFonts w:ascii="Arial" w:hAnsi="Arial" w:cs="Arial"/>
          <w:sz w:val="20"/>
          <w:szCs w:val="20"/>
        </w:rPr>
        <w:t xml:space="preserve">officially </w:t>
      </w:r>
      <w:r w:rsidRPr="001F391A">
        <w:rPr>
          <w:rFonts w:ascii="Arial" w:hAnsi="Arial" w:cs="Arial"/>
          <w:sz w:val="20"/>
          <w:szCs w:val="20"/>
        </w:rPr>
        <w:t>recognising and funding</w:t>
      </w:r>
      <w:r w:rsidR="005B7C5F" w:rsidRPr="001F391A">
        <w:rPr>
          <w:rFonts w:ascii="Arial" w:hAnsi="Arial" w:cs="Arial"/>
          <w:sz w:val="20"/>
          <w:szCs w:val="20"/>
        </w:rPr>
        <w:t xml:space="preserve"> micro-credentials </w:t>
      </w:r>
      <w:r w:rsidR="00412D14" w:rsidRPr="001F391A">
        <w:rPr>
          <w:rFonts w:ascii="Arial" w:hAnsi="Arial" w:cs="Arial"/>
          <w:sz w:val="20"/>
          <w:szCs w:val="20"/>
        </w:rPr>
        <w:t xml:space="preserve">and </w:t>
      </w:r>
      <w:r w:rsidRPr="001F391A">
        <w:rPr>
          <w:rFonts w:ascii="Arial" w:hAnsi="Arial" w:cs="Arial"/>
          <w:sz w:val="20"/>
          <w:szCs w:val="20"/>
        </w:rPr>
        <w:t>short courses</w:t>
      </w:r>
      <w:r w:rsidR="005B7C5F" w:rsidRPr="001F391A">
        <w:rPr>
          <w:rFonts w:ascii="Arial" w:hAnsi="Arial" w:cs="Arial"/>
          <w:sz w:val="20"/>
          <w:szCs w:val="20"/>
        </w:rPr>
        <w:t>.</w:t>
      </w:r>
    </w:p>
    <w:p w14:paraId="11332688" w14:textId="164C38C1" w:rsidR="00D74DE4" w:rsidRDefault="00A8283A" w:rsidP="00510CA0">
      <w:pPr>
        <w:pStyle w:val="subsection"/>
        <w:spacing w:before="180" w:beforeAutospacing="0" w:after="0" w:afterAutospacing="0" w:line="360" w:lineRule="auto"/>
        <w:jc w:val="both"/>
        <w:rPr>
          <w:rFonts w:ascii="Arial" w:hAnsi="Arial" w:cs="Arial"/>
          <w:color w:val="000000"/>
          <w:sz w:val="20"/>
          <w:szCs w:val="20"/>
        </w:rPr>
      </w:pPr>
      <w:r>
        <w:rPr>
          <w:rFonts w:ascii="Arial" w:hAnsi="Arial" w:cs="Arial"/>
          <w:sz w:val="20"/>
          <w:szCs w:val="20"/>
        </w:rPr>
        <w:t xml:space="preserve">It is also essential that the regulatory framework specifically acknowledges and accounts for the </w:t>
      </w:r>
      <w:r w:rsidR="00AD7674">
        <w:rPr>
          <w:rFonts w:ascii="Arial" w:hAnsi="Arial" w:cs="Arial"/>
          <w:sz w:val="20"/>
          <w:szCs w:val="20"/>
        </w:rPr>
        <w:t xml:space="preserve">particular </w:t>
      </w:r>
      <w:r>
        <w:rPr>
          <w:rFonts w:ascii="Arial" w:hAnsi="Arial" w:cs="Arial"/>
          <w:sz w:val="20"/>
          <w:szCs w:val="20"/>
        </w:rPr>
        <w:t xml:space="preserve">role of universities within the higher education </w:t>
      </w:r>
      <w:r w:rsidR="00AD7674">
        <w:rPr>
          <w:rFonts w:ascii="Arial" w:hAnsi="Arial" w:cs="Arial"/>
          <w:sz w:val="20"/>
          <w:szCs w:val="20"/>
        </w:rPr>
        <w:t xml:space="preserve">sector </w:t>
      </w:r>
      <w:r>
        <w:rPr>
          <w:rFonts w:ascii="Arial" w:hAnsi="Arial" w:cs="Arial"/>
          <w:sz w:val="20"/>
          <w:szCs w:val="20"/>
        </w:rPr>
        <w:t>and</w:t>
      </w:r>
      <w:r w:rsidR="00AD7674">
        <w:rPr>
          <w:rFonts w:ascii="Arial" w:hAnsi="Arial" w:cs="Arial"/>
          <w:sz w:val="20"/>
          <w:szCs w:val="20"/>
        </w:rPr>
        <w:t>,</w:t>
      </w:r>
      <w:r>
        <w:rPr>
          <w:rFonts w:ascii="Arial" w:hAnsi="Arial" w:cs="Arial"/>
          <w:sz w:val="20"/>
          <w:szCs w:val="20"/>
        </w:rPr>
        <w:t xml:space="preserve"> in particular</w:t>
      </w:r>
      <w:r w:rsidR="00AD7674">
        <w:rPr>
          <w:rFonts w:ascii="Arial" w:hAnsi="Arial" w:cs="Arial"/>
          <w:sz w:val="20"/>
          <w:szCs w:val="20"/>
        </w:rPr>
        <w:t>,</w:t>
      </w:r>
      <w:r>
        <w:rPr>
          <w:rFonts w:ascii="Arial" w:hAnsi="Arial" w:cs="Arial"/>
          <w:sz w:val="20"/>
          <w:szCs w:val="20"/>
        </w:rPr>
        <w:t xml:space="preserve"> the need for universities to engage in teaching, research</w:t>
      </w:r>
      <w:r w:rsidR="00866D8C">
        <w:rPr>
          <w:rFonts w:ascii="Arial" w:hAnsi="Arial" w:cs="Arial"/>
          <w:sz w:val="20"/>
          <w:szCs w:val="20"/>
        </w:rPr>
        <w:t>,</w:t>
      </w:r>
      <w:r>
        <w:rPr>
          <w:rFonts w:ascii="Arial" w:hAnsi="Arial" w:cs="Arial"/>
          <w:sz w:val="20"/>
          <w:szCs w:val="20"/>
        </w:rPr>
        <w:t xml:space="preserve"> and community service</w:t>
      </w:r>
      <w:r w:rsidR="00AD7674">
        <w:rPr>
          <w:rFonts w:ascii="Arial" w:hAnsi="Arial" w:cs="Arial"/>
          <w:sz w:val="20"/>
          <w:szCs w:val="20"/>
        </w:rPr>
        <w:t>.  Also paramount is</w:t>
      </w:r>
      <w:r>
        <w:rPr>
          <w:rFonts w:ascii="Arial" w:hAnsi="Arial" w:cs="Arial"/>
          <w:sz w:val="20"/>
          <w:szCs w:val="20"/>
        </w:rPr>
        <w:t xml:space="preserve"> the necessity </w:t>
      </w:r>
      <w:r w:rsidR="00AD7674">
        <w:rPr>
          <w:rFonts w:ascii="Arial" w:hAnsi="Arial" w:cs="Arial"/>
          <w:sz w:val="20"/>
          <w:szCs w:val="20"/>
        </w:rPr>
        <w:t>for</w:t>
      </w:r>
      <w:r>
        <w:rPr>
          <w:rFonts w:ascii="Arial" w:hAnsi="Arial" w:cs="Arial"/>
          <w:sz w:val="20"/>
          <w:szCs w:val="20"/>
        </w:rPr>
        <w:t xml:space="preserve"> institutional auto</w:t>
      </w:r>
      <w:r w:rsidR="00D601DD">
        <w:rPr>
          <w:rFonts w:ascii="Arial" w:hAnsi="Arial" w:cs="Arial"/>
          <w:sz w:val="20"/>
          <w:szCs w:val="20"/>
        </w:rPr>
        <w:t xml:space="preserve">nomy and academic freedom </w:t>
      </w:r>
      <w:r w:rsidR="00AD7674">
        <w:rPr>
          <w:rFonts w:ascii="Arial" w:hAnsi="Arial" w:cs="Arial"/>
          <w:sz w:val="20"/>
          <w:szCs w:val="20"/>
        </w:rPr>
        <w:t>to be both</w:t>
      </w:r>
      <w:r w:rsidR="00D601DD">
        <w:rPr>
          <w:rFonts w:ascii="Arial" w:hAnsi="Arial" w:cs="Arial"/>
          <w:sz w:val="20"/>
          <w:szCs w:val="20"/>
        </w:rPr>
        <w:t xml:space="preserve"> protected and promoted</w:t>
      </w:r>
      <w:r w:rsidR="00AD7674">
        <w:rPr>
          <w:rFonts w:ascii="Arial" w:hAnsi="Arial" w:cs="Arial"/>
          <w:sz w:val="20"/>
          <w:szCs w:val="20"/>
        </w:rPr>
        <w:t>,</w:t>
      </w:r>
      <w:r w:rsidR="00D74DE4">
        <w:rPr>
          <w:rFonts w:ascii="Arial" w:hAnsi="Arial" w:cs="Arial"/>
          <w:sz w:val="20"/>
          <w:szCs w:val="20"/>
        </w:rPr>
        <w:t xml:space="preserve"> so that </w:t>
      </w:r>
      <w:r w:rsidR="00AD7674">
        <w:rPr>
          <w:rFonts w:ascii="Arial" w:hAnsi="Arial" w:cs="Arial"/>
          <w:sz w:val="20"/>
          <w:szCs w:val="20"/>
        </w:rPr>
        <w:t>universities as institutions of public good</w:t>
      </w:r>
      <w:r w:rsidR="00D74DE4">
        <w:rPr>
          <w:rFonts w:ascii="Arial" w:hAnsi="Arial" w:cs="Arial"/>
          <w:sz w:val="20"/>
          <w:szCs w:val="20"/>
        </w:rPr>
        <w:t xml:space="preserve"> are able to fulfill their obligation</w:t>
      </w:r>
      <w:r w:rsidR="00A54588">
        <w:rPr>
          <w:rFonts w:ascii="Arial" w:hAnsi="Arial" w:cs="Arial"/>
          <w:sz w:val="20"/>
          <w:szCs w:val="20"/>
        </w:rPr>
        <w:t xml:space="preserve">s as specified in the Objects of the </w:t>
      </w:r>
      <w:r w:rsidR="00A54588" w:rsidRPr="00A54588">
        <w:rPr>
          <w:rFonts w:ascii="Arial" w:hAnsi="Arial" w:cs="Arial"/>
          <w:i/>
          <w:iCs/>
          <w:sz w:val="20"/>
          <w:szCs w:val="20"/>
        </w:rPr>
        <w:t>Higher Education Support Act 2003</w:t>
      </w:r>
      <w:r w:rsidR="00AD7674">
        <w:rPr>
          <w:rFonts w:ascii="Arial" w:hAnsi="Arial" w:cs="Arial"/>
          <w:i/>
          <w:iCs/>
          <w:sz w:val="20"/>
          <w:szCs w:val="20"/>
        </w:rPr>
        <w:t xml:space="preserve">. </w:t>
      </w:r>
      <w:r w:rsidR="00AD7674">
        <w:rPr>
          <w:rFonts w:ascii="Arial" w:hAnsi="Arial" w:cs="Arial"/>
          <w:sz w:val="20"/>
          <w:szCs w:val="20"/>
        </w:rPr>
        <w:t xml:space="preserve"> This includes the </w:t>
      </w:r>
      <w:r w:rsidR="00AD7674" w:rsidRPr="00AD7674">
        <w:rPr>
          <w:rFonts w:ascii="Arial" w:hAnsi="Arial" w:cs="Arial"/>
          <w:sz w:val="20"/>
          <w:szCs w:val="20"/>
        </w:rPr>
        <w:t>requirement</w:t>
      </w:r>
      <w:r w:rsidR="00AD7674">
        <w:rPr>
          <w:rFonts w:ascii="Arial" w:hAnsi="Arial" w:cs="Arial"/>
          <w:sz w:val="20"/>
          <w:szCs w:val="20"/>
        </w:rPr>
        <w:t>s</w:t>
      </w:r>
      <w:r w:rsidR="00AD7674" w:rsidRPr="00AD7674">
        <w:rPr>
          <w:rFonts w:ascii="Arial" w:hAnsi="Arial" w:cs="Arial"/>
          <w:sz w:val="20"/>
          <w:szCs w:val="20"/>
        </w:rPr>
        <w:t xml:space="preserve"> for our universities</w:t>
      </w:r>
      <w:r w:rsidR="00A54588">
        <w:rPr>
          <w:rFonts w:ascii="Arial" w:hAnsi="Arial" w:cs="Arial"/>
          <w:sz w:val="20"/>
          <w:szCs w:val="20"/>
        </w:rPr>
        <w:t xml:space="preserve"> </w:t>
      </w:r>
      <w:r w:rsidR="00D74DE4">
        <w:rPr>
          <w:rFonts w:ascii="Arial" w:hAnsi="Arial" w:cs="Arial"/>
          <w:sz w:val="20"/>
          <w:szCs w:val="20"/>
        </w:rPr>
        <w:t xml:space="preserve">to </w:t>
      </w:r>
      <w:r w:rsidR="00D74DE4">
        <w:rPr>
          <w:rFonts w:ascii="Arial" w:hAnsi="Arial" w:cs="Arial"/>
          <w:color w:val="000000"/>
          <w:sz w:val="20"/>
          <w:szCs w:val="20"/>
        </w:rPr>
        <w:t xml:space="preserve">contribute to the intellectual, cultural, economic and social life </w:t>
      </w:r>
      <w:r w:rsidR="002522EC">
        <w:rPr>
          <w:rFonts w:ascii="Arial" w:hAnsi="Arial" w:cs="Arial"/>
          <w:color w:val="000000"/>
          <w:sz w:val="20"/>
          <w:szCs w:val="20"/>
        </w:rPr>
        <w:t xml:space="preserve">of </w:t>
      </w:r>
      <w:r w:rsidR="00D74DE4">
        <w:rPr>
          <w:rFonts w:ascii="Arial" w:hAnsi="Arial" w:cs="Arial"/>
          <w:color w:val="000000"/>
          <w:sz w:val="20"/>
          <w:szCs w:val="20"/>
        </w:rPr>
        <w:t>Australia</w:t>
      </w:r>
      <w:r w:rsidR="00AD7674">
        <w:rPr>
          <w:rFonts w:ascii="Arial" w:hAnsi="Arial" w:cs="Arial"/>
          <w:color w:val="000000"/>
          <w:sz w:val="20"/>
          <w:szCs w:val="20"/>
        </w:rPr>
        <w:t>,</w:t>
      </w:r>
      <w:r w:rsidR="002522EC">
        <w:rPr>
          <w:rFonts w:ascii="Arial" w:hAnsi="Arial" w:cs="Arial"/>
          <w:color w:val="000000"/>
          <w:sz w:val="20"/>
          <w:szCs w:val="20"/>
        </w:rPr>
        <w:t xml:space="preserve"> </w:t>
      </w:r>
      <w:r w:rsidR="00AD7674">
        <w:rPr>
          <w:rFonts w:ascii="Arial" w:hAnsi="Arial" w:cs="Arial"/>
          <w:color w:val="000000"/>
          <w:sz w:val="20"/>
          <w:szCs w:val="20"/>
        </w:rPr>
        <w:t xml:space="preserve">and </w:t>
      </w:r>
      <w:r w:rsidR="00D74DE4">
        <w:rPr>
          <w:rFonts w:ascii="Arial" w:hAnsi="Arial" w:cs="Arial"/>
          <w:color w:val="000000"/>
          <w:sz w:val="20"/>
          <w:szCs w:val="20"/>
        </w:rPr>
        <w:t xml:space="preserve">to create and advance knowledge and to apply that for the better of communities in Australia and overseas. </w:t>
      </w:r>
    </w:p>
    <w:p w14:paraId="1728E995" w14:textId="247099E6" w:rsidR="00917C1E" w:rsidRPr="00CB6A4D" w:rsidRDefault="00CB6A4D" w:rsidP="00510CA0">
      <w:pPr>
        <w:pStyle w:val="subsection"/>
        <w:spacing w:before="180" w:beforeAutospacing="0" w:after="0" w:afterAutospacing="0" w:line="360" w:lineRule="auto"/>
        <w:jc w:val="both"/>
        <w:rPr>
          <w:color w:val="000000" w:themeColor="text1"/>
          <w:sz w:val="20"/>
          <w:szCs w:val="20"/>
        </w:rPr>
      </w:pPr>
      <w:r w:rsidRPr="00CB6A4D">
        <w:rPr>
          <w:rFonts w:ascii="Arial" w:hAnsi="Arial" w:cs="Arial"/>
          <w:color w:val="000000" w:themeColor="text1"/>
          <w:sz w:val="20"/>
          <w:szCs w:val="20"/>
        </w:rPr>
        <w:t>Institutional</w:t>
      </w:r>
      <w:r w:rsidR="006E6D04" w:rsidRPr="00CB6A4D">
        <w:rPr>
          <w:rFonts w:ascii="Arial" w:hAnsi="Arial" w:cs="Arial"/>
          <w:color w:val="000000" w:themeColor="text1"/>
          <w:sz w:val="20"/>
          <w:szCs w:val="20"/>
        </w:rPr>
        <w:t xml:space="preserve"> autonomy and academic freedom are essential if our universities are to fulfill their obligations to create new knowledge and contribute to the intellectual life of Australia.  </w:t>
      </w:r>
      <w:r w:rsidRPr="00CB6A4D">
        <w:rPr>
          <w:rFonts w:ascii="Arial" w:hAnsi="Arial" w:cs="Arial"/>
          <w:color w:val="000000" w:themeColor="text1"/>
          <w:sz w:val="20"/>
          <w:szCs w:val="20"/>
        </w:rPr>
        <w:t>As is shown in the final section of this submission</w:t>
      </w:r>
      <w:r w:rsidR="00AD7674">
        <w:rPr>
          <w:rFonts w:ascii="Arial" w:hAnsi="Arial" w:cs="Arial"/>
          <w:color w:val="000000" w:themeColor="text1"/>
          <w:sz w:val="20"/>
          <w:szCs w:val="20"/>
        </w:rPr>
        <w:t>,</w:t>
      </w:r>
      <w:r w:rsidRPr="00CB6A4D">
        <w:rPr>
          <w:rFonts w:ascii="Arial" w:hAnsi="Arial" w:cs="Arial"/>
          <w:color w:val="000000" w:themeColor="text1"/>
          <w:sz w:val="20"/>
          <w:szCs w:val="20"/>
        </w:rPr>
        <w:t xml:space="preserve"> only one in three university employees now enjoys ongoing secure work, which is a major threat to academic freedom.</w:t>
      </w:r>
    </w:p>
    <w:p w14:paraId="1DFD0D68" w14:textId="0FF815F7" w:rsidR="00882536" w:rsidRDefault="00882536" w:rsidP="00510CA0">
      <w:pPr>
        <w:spacing w:line="360" w:lineRule="auto"/>
        <w:jc w:val="both"/>
        <w:rPr>
          <w:rFonts w:ascii="Arial" w:hAnsi="Arial" w:cs="Arial"/>
          <w:sz w:val="20"/>
          <w:szCs w:val="20"/>
        </w:rPr>
      </w:pPr>
    </w:p>
    <w:p w14:paraId="3B6F6DA3" w14:textId="338D1547" w:rsidR="00882536" w:rsidRPr="005B7C5F" w:rsidRDefault="00882536" w:rsidP="00510CA0">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rPr>
      </w:pPr>
      <w:r w:rsidRPr="005B7C5F">
        <w:rPr>
          <w:rFonts w:ascii="Arial" w:hAnsi="Arial" w:cs="Arial"/>
          <w:b/>
          <w:bCs/>
          <w:sz w:val="20"/>
          <w:szCs w:val="20"/>
        </w:rPr>
        <w:t>RECOMMENDATION 1</w:t>
      </w:r>
    </w:p>
    <w:p w14:paraId="4C840B31" w14:textId="0FC044BA" w:rsidR="00D601DD" w:rsidRPr="005B7C5F" w:rsidRDefault="00882536" w:rsidP="00510CA0">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rPr>
      </w:pPr>
      <w:r w:rsidRPr="005B7C5F">
        <w:rPr>
          <w:rFonts w:ascii="Arial" w:hAnsi="Arial" w:cs="Arial"/>
          <w:b/>
          <w:bCs/>
          <w:sz w:val="20"/>
          <w:szCs w:val="20"/>
        </w:rPr>
        <w:t xml:space="preserve">The </w:t>
      </w:r>
      <w:r w:rsidR="00412D14" w:rsidRPr="005B7C5F">
        <w:rPr>
          <w:rFonts w:ascii="Arial" w:hAnsi="Arial" w:cs="Arial"/>
          <w:b/>
          <w:bCs/>
          <w:sz w:val="20"/>
          <w:szCs w:val="20"/>
        </w:rPr>
        <w:t xml:space="preserve">tertiary education </w:t>
      </w:r>
      <w:r w:rsidRPr="005B7C5F">
        <w:rPr>
          <w:rFonts w:ascii="Arial" w:hAnsi="Arial" w:cs="Arial"/>
          <w:b/>
          <w:bCs/>
          <w:sz w:val="20"/>
          <w:szCs w:val="20"/>
        </w:rPr>
        <w:t xml:space="preserve">regulatory framework </w:t>
      </w:r>
      <w:r w:rsidR="00412D14" w:rsidRPr="005B7C5F">
        <w:rPr>
          <w:rFonts w:ascii="Arial" w:hAnsi="Arial" w:cs="Arial"/>
          <w:b/>
          <w:bCs/>
          <w:sz w:val="20"/>
          <w:szCs w:val="20"/>
        </w:rPr>
        <w:t xml:space="preserve">should continue </w:t>
      </w:r>
      <w:r w:rsidRPr="005B7C5F">
        <w:rPr>
          <w:rFonts w:ascii="Arial" w:hAnsi="Arial" w:cs="Arial"/>
          <w:b/>
          <w:bCs/>
          <w:sz w:val="20"/>
          <w:szCs w:val="20"/>
        </w:rPr>
        <w:t>to recognise the distinction between HE an</w:t>
      </w:r>
      <w:r w:rsidR="00412D14" w:rsidRPr="005B7C5F">
        <w:rPr>
          <w:rFonts w:ascii="Arial" w:hAnsi="Arial" w:cs="Arial"/>
          <w:b/>
          <w:bCs/>
          <w:sz w:val="20"/>
          <w:szCs w:val="20"/>
        </w:rPr>
        <w:t>d VET but also the important and unique role played by our public universities including the need to promote and protect academic freedom and institutional autonomy.</w:t>
      </w:r>
    </w:p>
    <w:p w14:paraId="1EC11E91" w14:textId="77777777" w:rsidR="00412D14" w:rsidRDefault="00412D14" w:rsidP="00510CA0">
      <w:pPr>
        <w:spacing w:line="360" w:lineRule="auto"/>
        <w:jc w:val="both"/>
        <w:rPr>
          <w:rFonts w:ascii="Arial" w:hAnsi="Arial" w:cs="Arial"/>
          <w:sz w:val="20"/>
          <w:szCs w:val="20"/>
        </w:rPr>
      </w:pPr>
    </w:p>
    <w:p w14:paraId="64DACBEE" w14:textId="77777777" w:rsidR="00AD7674" w:rsidRDefault="00AD7674" w:rsidP="00510CA0">
      <w:pPr>
        <w:spacing w:line="360" w:lineRule="auto"/>
        <w:jc w:val="both"/>
        <w:rPr>
          <w:rFonts w:ascii="Arial" w:hAnsi="Arial" w:cs="Arial"/>
          <w:b/>
          <w:bCs/>
        </w:rPr>
      </w:pPr>
    </w:p>
    <w:p w14:paraId="34846126" w14:textId="0ECCE0DA" w:rsidR="00D601DD" w:rsidRPr="006E799B" w:rsidRDefault="00D601DD" w:rsidP="00510CA0">
      <w:pPr>
        <w:spacing w:line="360" w:lineRule="auto"/>
        <w:jc w:val="both"/>
        <w:rPr>
          <w:rFonts w:ascii="Arial" w:hAnsi="Arial" w:cs="Arial"/>
          <w:b/>
          <w:bCs/>
        </w:rPr>
      </w:pPr>
      <w:r w:rsidRPr="006E799B">
        <w:rPr>
          <w:rFonts w:ascii="Arial" w:hAnsi="Arial" w:cs="Arial"/>
          <w:b/>
          <w:bCs/>
        </w:rPr>
        <w:t>Funding</w:t>
      </w:r>
    </w:p>
    <w:p w14:paraId="0F2D2D90" w14:textId="27A7847C" w:rsidR="00882536" w:rsidRDefault="006E4DAD" w:rsidP="00510CA0">
      <w:pPr>
        <w:spacing w:line="360" w:lineRule="auto"/>
        <w:jc w:val="both"/>
        <w:rPr>
          <w:rFonts w:ascii="Arial" w:hAnsi="Arial" w:cs="Arial"/>
          <w:sz w:val="20"/>
          <w:szCs w:val="20"/>
          <w:lang w:val="en-GB"/>
        </w:rPr>
      </w:pPr>
      <w:r>
        <w:rPr>
          <w:rFonts w:ascii="Arial" w:hAnsi="Arial" w:cs="Arial"/>
          <w:sz w:val="20"/>
          <w:szCs w:val="20"/>
        </w:rPr>
        <w:t>The funding of higher education</w:t>
      </w:r>
      <w:r w:rsidR="002D1106">
        <w:rPr>
          <w:rFonts w:ascii="Arial" w:hAnsi="Arial" w:cs="Arial"/>
          <w:sz w:val="20"/>
          <w:szCs w:val="20"/>
        </w:rPr>
        <w:t xml:space="preserve"> has become a political football.  Since the introduction of the Demand Driven System (DDS) by the Rudd/Gillard government, both sides of politics have tried to achieve substantial budgetary savings </w:t>
      </w:r>
      <w:r w:rsidR="00865DBC">
        <w:rPr>
          <w:rFonts w:ascii="Arial" w:hAnsi="Arial" w:cs="Arial"/>
          <w:sz w:val="20"/>
          <w:szCs w:val="20"/>
        </w:rPr>
        <w:t>by</w:t>
      </w:r>
      <w:r w:rsidR="002D1106">
        <w:rPr>
          <w:rFonts w:ascii="Arial" w:hAnsi="Arial" w:cs="Arial"/>
          <w:sz w:val="20"/>
          <w:szCs w:val="20"/>
        </w:rPr>
        <w:t xml:space="preserve"> </w:t>
      </w:r>
      <w:r w:rsidR="00865DBC">
        <w:rPr>
          <w:rFonts w:ascii="Arial" w:hAnsi="Arial" w:cs="Arial"/>
          <w:sz w:val="20"/>
          <w:szCs w:val="20"/>
        </w:rPr>
        <w:t xml:space="preserve">targeting </w:t>
      </w:r>
      <w:r w:rsidR="002D1106">
        <w:rPr>
          <w:rFonts w:ascii="Arial" w:hAnsi="Arial" w:cs="Arial"/>
          <w:sz w:val="20"/>
          <w:szCs w:val="20"/>
        </w:rPr>
        <w:t xml:space="preserve">higher education. </w:t>
      </w:r>
      <w:r w:rsidR="002D1106" w:rsidRPr="002D1106">
        <w:rPr>
          <w:rFonts w:ascii="Arial" w:hAnsi="Arial" w:cs="Arial"/>
          <w:sz w:val="20"/>
          <w:szCs w:val="20"/>
          <w:lang w:val="en-GB"/>
        </w:rPr>
        <w:t xml:space="preserve">In 2013 (only one year after DDS was fully implemented) the ALP introduced an efficiency dividend on university teaching grants – </w:t>
      </w:r>
      <w:r w:rsidR="00EA167C">
        <w:rPr>
          <w:rFonts w:ascii="Arial" w:hAnsi="Arial" w:cs="Arial"/>
          <w:sz w:val="20"/>
          <w:szCs w:val="20"/>
          <w:lang w:val="en-GB"/>
        </w:rPr>
        <w:t>recla</w:t>
      </w:r>
      <w:r w:rsidR="00865DBC">
        <w:rPr>
          <w:rFonts w:ascii="Arial" w:hAnsi="Arial" w:cs="Arial"/>
          <w:sz w:val="20"/>
          <w:szCs w:val="20"/>
          <w:lang w:val="en-GB"/>
        </w:rPr>
        <w:t>i</w:t>
      </w:r>
      <w:r w:rsidR="00EA167C">
        <w:rPr>
          <w:rFonts w:ascii="Arial" w:hAnsi="Arial" w:cs="Arial"/>
          <w:sz w:val="20"/>
          <w:szCs w:val="20"/>
          <w:lang w:val="en-GB"/>
        </w:rPr>
        <w:t>ming</w:t>
      </w:r>
      <w:r w:rsidR="002D1106" w:rsidRPr="002D1106">
        <w:rPr>
          <w:rFonts w:ascii="Arial" w:hAnsi="Arial" w:cs="Arial"/>
          <w:sz w:val="20"/>
          <w:szCs w:val="20"/>
          <w:lang w:val="en-GB"/>
        </w:rPr>
        <w:t xml:space="preserve"> over $900m. The Coalition failed twice under </w:t>
      </w:r>
      <w:r w:rsidR="00865DBC">
        <w:rPr>
          <w:rFonts w:ascii="Arial" w:hAnsi="Arial" w:cs="Arial"/>
          <w:sz w:val="20"/>
          <w:szCs w:val="20"/>
          <w:lang w:val="en-GB"/>
        </w:rPr>
        <w:t xml:space="preserve">former Education Minister </w:t>
      </w:r>
      <w:r w:rsidR="002D1106" w:rsidRPr="002D1106">
        <w:rPr>
          <w:rFonts w:ascii="Arial" w:hAnsi="Arial" w:cs="Arial"/>
          <w:sz w:val="20"/>
          <w:szCs w:val="20"/>
          <w:lang w:val="en-GB"/>
        </w:rPr>
        <w:t xml:space="preserve">Pyne in 2014 to save $5billion by slashing funding per student by 20% and allowing universities to charge students anything they liked (in excess of $100,000 in some cases) for a degree. </w:t>
      </w:r>
      <w:r w:rsidR="00865DBC">
        <w:rPr>
          <w:rFonts w:ascii="Arial" w:hAnsi="Arial" w:cs="Arial"/>
          <w:sz w:val="20"/>
          <w:szCs w:val="20"/>
          <w:lang w:val="en-GB"/>
        </w:rPr>
        <w:t xml:space="preserve"> Former Education Minister</w:t>
      </w:r>
      <w:r w:rsidR="002D1106" w:rsidRPr="002D1106">
        <w:rPr>
          <w:rFonts w:ascii="Arial" w:hAnsi="Arial" w:cs="Arial"/>
          <w:sz w:val="20"/>
          <w:szCs w:val="20"/>
          <w:lang w:val="en-GB"/>
        </w:rPr>
        <w:t xml:space="preserve"> Birmingham also failed in 2017 when he attempted to save $2.8billion by imposing an efficiency dividend on university grants and slowly ratcheting up student fees.   Having failed on three occasion</w:t>
      </w:r>
      <w:r w:rsidR="004E38A7">
        <w:rPr>
          <w:rFonts w:ascii="Arial" w:hAnsi="Arial" w:cs="Arial"/>
          <w:sz w:val="20"/>
          <w:szCs w:val="20"/>
          <w:lang w:val="en-GB"/>
        </w:rPr>
        <w:t>s</w:t>
      </w:r>
      <w:r w:rsidR="002D1106" w:rsidRPr="002D1106">
        <w:rPr>
          <w:rFonts w:ascii="Arial" w:hAnsi="Arial" w:cs="Arial"/>
          <w:sz w:val="20"/>
          <w:szCs w:val="20"/>
          <w:lang w:val="en-GB"/>
        </w:rPr>
        <w:t xml:space="preserve"> to get support for its attempts to slash public funding to higher education through the Parliament</w:t>
      </w:r>
      <w:r w:rsidR="00865DBC">
        <w:rPr>
          <w:rFonts w:ascii="Arial" w:hAnsi="Arial" w:cs="Arial"/>
          <w:sz w:val="20"/>
          <w:szCs w:val="20"/>
          <w:lang w:val="en-GB"/>
        </w:rPr>
        <w:t>,</w:t>
      </w:r>
      <w:r w:rsidR="002D1106" w:rsidRPr="002D1106">
        <w:rPr>
          <w:rFonts w:ascii="Arial" w:hAnsi="Arial" w:cs="Arial"/>
          <w:sz w:val="20"/>
          <w:szCs w:val="20"/>
          <w:lang w:val="en-GB"/>
        </w:rPr>
        <w:t xml:space="preserve"> the Coalition in December 2017 finally used what was meant to be a safety-net provision in the Higher Education Support Act to freeze the level of funding each university would receive for the education of CSPs at 2017 levels.  This was estimated to save about $2billion.  </w:t>
      </w:r>
      <w:r w:rsidR="00865DBC">
        <w:rPr>
          <w:rFonts w:ascii="Arial" w:hAnsi="Arial" w:cs="Arial"/>
          <w:sz w:val="20"/>
          <w:szCs w:val="20"/>
          <w:lang w:val="en-GB"/>
        </w:rPr>
        <w:t>However, i</w:t>
      </w:r>
      <w:r w:rsidR="00882536">
        <w:rPr>
          <w:rFonts w:ascii="Arial" w:hAnsi="Arial" w:cs="Arial"/>
          <w:sz w:val="20"/>
          <w:szCs w:val="20"/>
          <w:lang w:val="en-GB"/>
        </w:rPr>
        <w:t xml:space="preserve">n 2020, </w:t>
      </w:r>
      <w:r w:rsidR="00865DBC">
        <w:rPr>
          <w:rFonts w:ascii="Arial" w:hAnsi="Arial" w:cs="Arial"/>
          <w:sz w:val="20"/>
          <w:szCs w:val="20"/>
          <w:lang w:val="en-GB"/>
        </w:rPr>
        <w:t xml:space="preserve">(another former) Education </w:t>
      </w:r>
      <w:r w:rsidR="00882536">
        <w:rPr>
          <w:rFonts w:ascii="Arial" w:hAnsi="Arial" w:cs="Arial"/>
          <w:sz w:val="20"/>
          <w:szCs w:val="20"/>
          <w:lang w:val="en-GB"/>
        </w:rPr>
        <w:t xml:space="preserve">Minister Tehan introduced the </w:t>
      </w:r>
      <w:r w:rsidR="002D0BE9">
        <w:rPr>
          <w:rFonts w:ascii="Arial" w:hAnsi="Arial" w:cs="Arial"/>
          <w:sz w:val="20"/>
          <w:szCs w:val="20"/>
          <w:lang w:val="en-GB"/>
        </w:rPr>
        <w:t xml:space="preserve">Jobs-Ready Graduate (JRG) package </w:t>
      </w:r>
      <w:r w:rsidR="00882536">
        <w:rPr>
          <w:rFonts w:ascii="Arial" w:hAnsi="Arial" w:cs="Arial"/>
          <w:sz w:val="20"/>
          <w:szCs w:val="20"/>
          <w:lang w:val="en-GB"/>
        </w:rPr>
        <w:t>which again involves a substantial cut in public investment</w:t>
      </w:r>
      <w:r w:rsidR="00865DBC">
        <w:rPr>
          <w:rFonts w:ascii="Arial" w:hAnsi="Arial" w:cs="Arial"/>
          <w:sz w:val="20"/>
          <w:szCs w:val="20"/>
          <w:lang w:val="en-GB"/>
        </w:rPr>
        <w:t xml:space="preserve"> - only this time, the ‘savings’ are on top of record funding losses in the sector (</w:t>
      </w:r>
      <w:r w:rsidR="002D0BE9">
        <w:rPr>
          <w:rFonts w:ascii="Arial" w:hAnsi="Arial" w:cs="Arial"/>
          <w:sz w:val="20"/>
          <w:szCs w:val="20"/>
          <w:lang w:val="en-GB"/>
        </w:rPr>
        <w:t xml:space="preserve">according to Universities Australia, </w:t>
      </w:r>
      <w:r w:rsidR="00865DBC">
        <w:rPr>
          <w:rFonts w:ascii="Arial" w:hAnsi="Arial" w:cs="Arial"/>
          <w:sz w:val="20"/>
          <w:szCs w:val="20"/>
          <w:lang w:val="en-GB"/>
        </w:rPr>
        <w:t xml:space="preserve">around </w:t>
      </w:r>
      <w:r w:rsidR="006A2503">
        <w:rPr>
          <w:rFonts w:ascii="Arial" w:hAnsi="Arial" w:cs="Arial"/>
          <w:sz w:val="20"/>
          <w:szCs w:val="20"/>
          <w:lang w:val="en-GB"/>
        </w:rPr>
        <w:t xml:space="preserve">$1.8 billion loss </w:t>
      </w:r>
      <w:r w:rsidR="002D0BE9">
        <w:rPr>
          <w:rFonts w:ascii="Arial" w:hAnsi="Arial" w:cs="Arial"/>
          <w:sz w:val="20"/>
          <w:szCs w:val="20"/>
          <w:lang w:val="en-GB"/>
        </w:rPr>
        <w:t>for that year</w:t>
      </w:r>
      <w:r w:rsidR="006A2503">
        <w:rPr>
          <w:rFonts w:ascii="Arial" w:hAnsi="Arial" w:cs="Arial"/>
          <w:sz w:val="20"/>
          <w:szCs w:val="20"/>
          <w:lang w:val="en-GB"/>
        </w:rPr>
        <w:t xml:space="preserve">), primarily driven by </w:t>
      </w:r>
      <w:r w:rsidR="00865DBC">
        <w:rPr>
          <w:rFonts w:ascii="Arial" w:hAnsi="Arial" w:cs="Arial"/>
          <w:sz w:val="20"/>
          <w:szCs w:val="20"/>
          <w:lang w:val="en-GB"/>
        </w:rPr>
        <w:t xml:space="preserve">the </w:t>
      </w:r>
      <w:r w:rsidR="006A2503">
        <w:rPr>
          <w:rFonts w:ascii="Arial" w:hAnsi="Arial" w:cs="Arial"/>
          <w:sz w:val="20"/>
          <w:szCs w:val="20"/>
          <w:lang w:val="en-GB"/>
        </w:rPr>
        <w:t xml:space="preserve">collapse of international education following the </w:t>
      </w:r>
      <w:r w:rsidR="00865DBC">
        <w:rPr>
          <w:rFonts w:ascii="Arial" w:hAnsi="Arial" w:cs="Arial"/>
          <w:sz w:val="20"/>
          <w:szCs w:val="20"/>
          <w:lang w:val="en-GB"/>
        </w:rPr>
        <w:t>clos</w:t>
      </w:r>
      <w:r w:rsidR="006A2503">
        <w:rPr>
          <w:rFonts w:ascii="Arial" w:hAnsi="Arial" w:cs="Arial"/>
          <w:sz w:val="20"/>
          <w:szCs w:val="20"/>
          <w:lang w:val="en-GB"/>
        </w:rPr>
        <w:t>ure</w:t>
      </w:r>
      <w:r w:rsidR="00865DBC">
        <w:rPr>
          <w:rFonts w:ascii="Arial" w:hAnsi="Arial" w:cs="Arial"/>
          <w:sz w:val="20"/>
          <w:szCs w:val="20"/>
          <w:lang w:val="en-GB"/>
        </w:rPr>
        <w:t xml:space="preserve"> of</w:t>
      </w:r>
      <w:r w:rsidR="006A2503">
        <w:rPr>
          <w:rFonts w:ascii="Arial" w:hAnsi="Arial" w:cs="Arial"/>
          <w:sz w:val="20"/>
          <w:szCs w:val="20"/>
          <w:lang w:val="en-GB"/>
        </w:rPr>
        <w:t xml:space="preserve"> </w:t>
      </w:r>
      <w:r w:rsidR="00865DBC">
        <w:rPr>
          <w:rFonts w:ascii="Arial" w:hAnsi="Arial" w:cs="Arial"/>
          <w:sz w:val="20"/>
          <w:szCs w:val="20"/>
          <w:lang w:val="en-GB"/>
        </w:rPr>
        <w:t>international borders</w:t>
      </w:r>
      <w:r w:rsidR="006A2503">
        <w:rPr>
          <w:rFonts w:ascii="Arial" w:hAnsi="Arial" w:cs="Arial"/>
          <w:sz w:val="20"/>
          <w:szCs w:val="20"/>
          <w:lang w:val="en-GB"/>
        </w:rPr>
        <w:t xml:space="preserve"> due to COVID-19</w:t>
      </w:r>
      <w:r w:rsidR="00865DBC">
        <w:rPr>
          <w:rFonts w:ascii="Arial" w:hAnsi="Arial" w:cs="Arial"/>
          <w:sz w:val="20"/>
          <w:szCs w:val="20"/>
          <w:lang w:val="en-GB"/>
        </w:rPr>
        <w:t xml:space="preserve">. </w:t>
      </w:r>
      <w:r w:rsidR="00882536">
        <w:rPr>
          <w:rFonts w:ascii="Arial" w:hAnsi="Arial" w:cs="Arial"/>
          <w:sz w:val="20"/>
          <w:szCs w:val="20"/>
          <w:lang w:val="en-GB"/>
        </w:rPr>
        <w:t xml:space="preserve">  </w:t>
      </w:r>
      <w:r w:rsidR="006A2503">
        <w:rPr>
          <w:rFonts w:ascii="Arial" w:hAnsi="Arial" w:cs="Arial"/>
          <w:sz w:val="20"/>
          <w:szCs w:val="20"/>
          <w:lang w:val="en-GB"/>
        </w:rPr>
        <w:t xml:space="preserve">However, it’s important to note that this is part of a </w:t>
      </w:r>
      <w:r w:rsidR="002D0BE9">
        <w:rPr>
          <w:rFonts w:ascii="Arial" w:hAnsi="Arial" w:cs="Arial"/>
          <w:sz w:val="20"/>
          <w:szCs w:val="20"/>
          <w:lang w:val="en-GB"/>
        </w:rPr>
        <w:t xml:space="preserve">long term, </w:t>
      </w:r>
      <w:r w:rsidR="006A2503">
        <w:rPr>
          <w:rFonts w:ascii="Arial" w:hAnsi="Arial" w:cs="Arial"/>
          <w:sz w:val="20"/>
          <w:szCs w:val="20"/>
          <w:lang w:val="en-GB"/>
        </w:rPr>
        <w:t>ongoing pattern, whereby</w:t>
      </w:r>
      <w:r w:rsidR="00882536">
        <w:rPr>
          <w:rFonts w:ascii="Arial" w:hAnsi="Arial" w:cs="Arial"/>
          <w:sz w:val="20"/>
          <w:szCs w:val="20"/>
          <w:lang w:val="en-GB"/>
        </w:rPr>
        <w:t xml:space="preserve"> </w:t>
      </w:r>
      <w:r w:rsidR="006A2503">
        <w:rPr>
          <w:rFonts w:ascii="Arial" w:hAnsi="Arial" w:cs="Arial"/>
          <w:sz w:val="20"/>
          <w:szCs w:val="20"/>
          <w:lang w:val="en-GB"/>
        </w:rPr>
        <w:t xml:space="preserve">successive </w:t>
      </w:r>
      <w:r w:rsidR="00882536">
        <w:rPr>
          <w:rFonts w:ascii="Arial" w:hAnsi="Arial" w:cs="Arial"/>
          <w:sz w:val="20"/>
          <w:szCs w:val="20"/>
          <w:lang w:val="en-GB"/>
        </w:rPr>
        <w:t>government</w:t>
      </w:r>
      <w:r w:rsidR="006A2503">
        <w:rPr>
          <w:rFonts w:ascii="Arial" w:hAnsi="Arial" w:cs="Arial"/>
          <w:sz w:val="20"/>
          <w:szCs w:val="20"/>
          <w:lang w:val="en-GB"/>
        </w:rPr>
        <w:t>s over time have</w:t>
      </w:r>
      <w:r w:rsidR="00882536">
        <w:rPr>
          <w:rFonts w:ascii="Arial" w:hAnsi="Arial" w:cs="Arial"/>
          <w:sz w:val="20"/>
          <w:szCs w:val="20"/>
          <w:lang w:val="en-GB"/>
        </w:rPr>
        <w:t xml:space="preserve"> cut public funding </w:t>
      </w:r>
      <w:r w:rsidR="006A2503">
        <w:rPr>
          <w:rFonts w:ascii="Arial" w:hAnsi="Arial" w:cs="Arial"/>
          <w:sz w:val="20"/>
          <w:szCs w:val="20"/>
          <w:lang w:val="en-GB"/>
        </w:rPr>
        <w:t>in</w:t>
      </w:r>
      <w:r w:rsidR="00882536">
        <w:rPr>
          <w:rFonts w:ascii="Arial" w:hAnsi="Arial" w:cs="Arial"/>
          <w:sz w:val="20"/>
          <w:szCs w:val="20"/>
          <w:lang w:val="en-GB"/>
        </w:rPr>
        <w:t xml:space="preserve"> repeated and persistent attempts to </w:t>
      </w:r>
      <w:r w:rsidR="002D0BE9">
        <w:rPr>
          <w:rFonts w:ascii="Arial" w:hAnsi="Arial" w:cs="Arial"/>
          <w:sz w:val="20"/>
          <w:szCs w:val="20"/>
          <w:lang w:val="en-GB"/>
        </w:rPr>
        <w:t xml:space="preserve">supposedly </w:t>
      </w:r>
      <w:r w:rsidR="00882536">
        <w:rPr>
          <w:rFonts w:ascii="Arial" w:hAnsi="Arial" w:cs="Arial"/>
          <w:sz w:val="20"/>
          <w:szCs w:val="20"/>
          <w:lang w:val="en-GB"/>
        </w:rPr>
        <w:t>“reform” higher education</w:t>
      </w:r>
      <w:r w:rsidR="006A2503">
        <w:rPr>
          <w:rFonts w:ascii="Arial" w:hAnsi="Arial" w:cs="Arial"/>
          <w:sz w:val="20"/>
          <w:szCs w:val="20"/>
          <w:lang w:val="en-GB"/>
        </w:rPr>
        <w:t xml:space="preserve">, but in </w:t>
      </w:r>
      <w:r w:rsidR="00B5287D">
        <w:rPr>
          <w:rFonts w:ascii="Arial" w:hAnsi="Arial" w:cs="Arial"/>
          <w:sz w:val="20"/>
          <w:szCs w:val="20"/>
          <w:lang w:val="en-GB"/>
        </w:rPr>
        <w:t>reality,</w:t>
      </w:r>
      <w:r w:rsidR="002D0BE9">
        <w:rPr>
          <w:rFonts w:ascii="Arial" w:hAnsi="Arial" w:cs="Arial"/>
          <w:sz w:val="20"/>
          <w:szCs w:val="20"/>
          <w:lang w:val="en-GB"/>
        </w:rPr>
        <w:t xml:space="preserve"> </w:t>
      </w:r>
      <w:r w:rsidR="00E47CA3">
        <w:rPr>
          <w:rFonts w:ascii="Arial" w:hAnsi="Arial" w:cs="Arial"/>
          <w:sz w:val="20"/>
          <w:szCs w:val="20"/>
          <w:lang w:val="en-GB"/>
        </w:rPr>
        <w:t xml:space="preserve">a </w:t>
      </w:r>
      <w:r w:rsidR="00B5287D">
        <w:rPr>
          <w:rFonts w:ascii="Arial" w:hAnsi="Arial" w:cs="Arial"/>
          <w:sz w:val="20"/>
          <w:szCs w:val="20"/>
          <w:lang w:val="en-GB"/>
        </w:rPr>
        <w:t xml:space="preserve">more a </w:t>
      </w:r>
      <w:r w:rsidR="00E47CA3">
        <w:rPr>
          <w:rFonts w:ascii="Arial" w:hAnsi="Arial" w:cs="Arial"/>
          <w:sz w:val="20"/>
          <w:szCs w:val="20"/>
          <w:lang w:val="en-GB"/>
        </w:rPr>
        <w:t>gr</w:t>
      </w:r>
      <w:r w:rsidR="00B5287D">
        <w:rPr>
          <w:rFonts w:ascii="Arial" w:hAnsi="Arial" w:cs="Arial"/>
          <w:sz w:val="20"/>
          <w:szCs w:val="20"/>
          <w:lang w:val="en-GB"/>
        </w:rPr>
        <w:t>a</w:t>
      </w:r>
      <w:r w:rsidR="00E47CA3">
        <w:rPr>
          <w:rFonts w:ascii="Arial" w:hAnsi="Arial" w:cs="Arial"/>
          <w:sz w:val="20"/>
          <w:szCs w:val="20"/>
          <w:lang w:val="en-GB"/>
        </w:rPr>
        <w:t xml:space="preserve">b </w:t>
      </w:r>
      <w:r w:rsidR="002D0BE9">
        <w:rPr>
          <w:rFonts w:ascii="Arial" w:hAnsi="Arial" w:cs="Arial"/>
          <w:sz w:val="20"/>
          <w:szCs w:val="20"/>
          <w:lang w:val="en-GB"/>
        </w:rPr>
        <w:t xml:space="preserve">for ‘savings’.  The effect of this approach is that higher education is now hamstrung by a </w:t>
      </w:r>
      <w:r w:rsidR="00882536">
        <w:rPr>
          <w:rFonts w:ascii="Arial" w:hAnsi="Arial" w:cs="Arial"/>
          <w:sz w:val="20"/>
          <w:szCs w:val="20"/>
          <w:lang w:val="en-GB"/>
        </w:rPr>
        <w:t>high degree of uncertainty</w:t>
      </w:r>
      <w:r w:rsidR="002D0BE9">
        <w:rPr>
          <w:rFonts w:ascii="Arial" w:hAnsi="Arial" w:cs="Arial"/>
          <w:sz w:val="20"/>
          <w:szCs w:val="20"/>
          <w:lang w:val="en-GB"/>
        </w:rPr>
        <w:t>,</w:t>
      </w:r>
      <w:r w:rsidR="006A2503">
        <w:rPr>
          <w:rFonts w:ascii="Arial" w:hAnsi="Arial" w:cs="Arial"/>
          <w:sz w:val="20"/>
          <w:szCs w:val="20"/>
          <w:lang w:val="en-GB"/>
        </w:rPr>
        <w:t xml:space="preserve"> </w:t>
      </w:r>
      <w:r w:rsidR="002D0BE9">
        <w:rPr>
          <w:rFonts w:ascii="Arial" w:hAnsi="Arial" w:cs="Arial"/>
          <w:sz w:val="20"/>
          <w:szCs w:val="20"/>
          <w:lang w:val="en-GB"/>
        </w:rPr>
        <w:t>for</w:t>
      </w:r>
      <w:r w:rsidR="006A2503">
        <w:rPr>
          <w:rFonts w:ascii="Arial" w:hAnsi="Arial" w:cs="Arial"/>
          <w:sz w:val="20"/>
          <w:szCs w:val="20"/>
          <w:lang w:val="en-GB"/>
        </w:rPr>
        <w:t xml:space="preserve"> both funding and regulation</w:t>
      </w:r>
      <w:r w:rsidR="00882536">
        <w:rPr>
          <w:rFonts w:ascii="Arial" w:hAnsi="Arial" w:cs="Arial"/>
          <w:sz w:val="20"/>
          <w:szCs w:val="20"/>
          <w:lang w:val="en-GB"/>
        </w:rPr>
        <w:t xml:space="preserve">. </w:t>
      </w:r>
    </w:p>
    <w:p w14:paraId="79D20610" w14:textId="093F8A5A" w:rsidR="00882536" w:rsidRDefault="00882536" w:rsidP="00510CA0">
      <w:pPr>
        <w:spacing w:line="360" w:lineRule="auto"/>
        <w:jc w:val="both"/>
        <w:rPr>
          <w:rFonts w:ascii="Arial" w:hAnsi="Arial" w:cs="Arial"/>
          <w:sz w:val="20"/>
          <w:szCs w:val="20"/>
          <w:lang w:val="en-GB"/>
        </w:rPr>
      </w:pPr>
    </w:p>
    <w:p w14:paraId="65AB5FF5" w14:textId="14F64A07" w:rsidR="00882536" w:rsidRDefault="00882536" w:rsidP="00510CA0">
      <w:pPr>
        <w:spacing w:line="360" w:lineRule="auto"/>
        <w:jc w:val="both"/>
        <w:rPr>
          <w:rFonts w:ascii="Arial" w:hAnsi="Arial" w:cs="Arial"/>
          <w:sz w:val="20"/>
          <w:szCs w:val="20"/>
          <w:lang w:val="en-GB"/>
        </w:rPr>
      </w:pPr>
      <w:r>
        <w:rPr>
          <w:rFonts w:ascii="Arial" w:hAnsi="Arial" w:cs="Arial"/>
          <w:sz w:val="20"/>
          <w:szCs w:val="20"/>
          <w:lang w:val="en-GB"/>
        </w:rPr>
        <w:t>In order to depoliticise higher education funding the NTEU is not only calling for a long</w:t>
      </w:r>
      <w:r w:rsidR="00412D14">
        <w:rPr>
          <w:rFonts w:ascii="Arial" w:hAnsi="Arial" w:cs="Arial"/>
          <w:sz w:val="20"/>
          <w:szCs w:val="20"/>
          <w:lang w:val="en-GB"/>
        </w:rPr>
        <w:t>-</w:t>
      </w:r>
      <w:r>
        <w:rPr>
          <w:rFonts w:ascii="Arial" w:hAnsi="Arial" w:cs="Arial"/>
          <w:sz w:val="20"/>
          <w:szCs w:val="20"/>
          <w:lang w:val="en-GB"/>
        </w:rPr>
        <w:t>term commitment by both sides of government to set the level of public expenditure at 1% of GDP (see below) but also to establish an independent higher education agency or commission which would have both regulatory and funding powers</w:t>
      </w:r>
      <w:r w:rsidR="000C7F72">
        <w:rPr>
          <w:rFonts w:ascii="Arial" w:hAnsi="Arial" w:cs="Arial"/>
          <w:sz w:val="20"/>
          <w:szCs w:val="20"/>
          <w:lang w:val="en-GB"/>
        </w:rPr>
        <w:t>.</w:t>
      </w:r>
    </w:p>
    <w:p w14:paraId="1460C415" w14:textId="77777777" w:rsidR="000C7F72" w:rsidRDefault="000C7F72" w:rsidP="00510CA0">
      <w:pPr>
        <w:spacing w:line="360" w:lineRule="auto"/>
        <w:jc w:val="both"/>
        <w:rPr>
          <w:rFonts w:ascii="Arial" w:hAnsi="Arial" w:cs="Arial"/>
          <w:sz w:val="20"/>
          <w:szCs w:val="20"/>
          <w:lang w:val="en-GB"/>
        </w:rPr>
      </w:pPr>
    </w:p>
    <w:p w14:paraId="01619009" w14:textId="696B4F6B" w:rsidR="00412D14" w:rsidRDefault="00412D14" w:rsidP="00510CA0">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lang w:val="en-GB"/>
        </w:rPr>
      </w:pPr>
      <w:r w:rsidRPr="00412D14">
        <w:rPr>
          <w:rFonts w:ascii="Arial" w:hAnsi="Arial" w:cs="Arial"/>
          <w:b/>
          <w:bCs/>
          <w:sz w:val="20"/>
          <w:szCs w:val="20"/>
          <w:lang w:val="en-GB"/>
        </w:rPr>
        <w:t>RECOMMENDATION 2</w:t>
      </w:r>
    </w:p>
    <w:p w14:paraId="54D2BA20" w14:textId="1F63E9DA" w:rsidR="00412D14" w:rsidRPr="00412D14" w:rsidRDefault="00412D14" w:rsidP="00510CA0">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lang w:val="en-GB"/>
        </w:rPr>
      </w:pPr>
      <w:r>
        <w:rPr>
          <w:rFonts w:ascii="Arial" w:hAnsi="Arial" w:cs="Arial"/>
          <w:b/>
          <w:bCs/>
          <w:sz w:val="20"/>
          <w:szCs w:val="20"/>
          <w:lang w:val="en-GB"/>
        </w:rPr>
        <w:t xml:space="preserve">Establish an independent higher education agency or commission with regulatory and funding responsibilities.  </w:t>
      </w:r>
    </w:p>
    <w:p w14:paraId="4CC85E51" w14:textId="77777777" w:rsidR="006E4DAD" w:rsidRDefault="006E4DAD" w:rsidP="00510CA0">
      <w:pPr>
        <w:spacing w:line="360" w:lineRule="auto"/>
        <w:jc w:val="both"/>
        <w:rPr>
          <w:rFonts w:ascii="Arial" w:hAnsi="Arial" w:cs="Arial"/>
          <w:b/>
          <w:bCs/>
          <w:i/>
          <w:iCs/>
          <w:sz w:val="20"/>
          <w:szCs w:val="20"/>
        </w:rPr>
      </w:pPr>
    </w:p>
    <w:p w14:paraId="39143A0C" w14:textId="2B1E845B" w:rsidR="00D601DD" w:rsidRPr="007617CF" w:rsidRDefault="00D601DD" w:rsidP="00510CA0">
      <w:pPr>
        <w:spacing w:line="360" w:lineRule="auto"/>
        <w:jc w:val="both"/>
        <w:rPr>
          <w:rFonts w:ascii="Arial" w:hAnsi="Arial" w:cs="Arial"/>
          <w:b/>
          <w:bCs/>
          <w:i/>
          <w:iCs/>
          <w:sz w:val="20"/>
          <w:szCs w:val="20"/>
        </w:rPr>
      </w:pPr>
      <w:r w:rsidRPr="007617CF">
        <w:rPr>
          <w:rFonts w:ascii="Arial" w:hAnsi="Arial" w:cs="Arial"/>
          <w:b/>
          <w:bCs/>
          <w:i/>
          <w:iCs/>
          <w:sz w:val="20"/>
          <w:szCs w:val="20"/>
        </w:rPr>
        <w:t>Aggregate</w:t>
      </w:r>
      <w:r w:rsidR="007617CF" w:rsidRPr="007617CF">
        <w:rPr>
          <w:rFonts w:ascii="Arial" w:hAnsi="Arial" w:cs="Arial"/>
          <w:b/>
          <w:bCs/>
          <w:i/>
          <w:iCs/>
          <w:sz w:val="20"/>
          <w:szCs w:val="20"/>
        </w:rPr>
        <w:t xml:space="preserve"> funding </w:t>
      </w:r>
    </w:p>
    <w:p w14:paraId="47060147" w14:textId="769976BD" w:rsidR="00D615AE" w:rsidRDefault="00D601DD" w:rsidP="00510CA0">
      <w:pPr>
        <w:spacing w:line="360" w:lineRule="auto"/>
        <w:jc w:val="both"/>
        <w:rPr>
          <w:rFonts w:ascii="Arial" w:hAnsi="Arial" w:cs="Arial"/>
          <w:sz w:val="20"/>
          <w:szCs w:val="20"/>
        </w:rPr>
      </w:pPr>
      <w:r w:rsidRPr="00D601DD">
        <w:rPr>
          <w:rFonts w:ascii="Arial" w:hAnsi="Arial" w:cs="Arial"/>
          <w:sz w:val="20"/>
          <w:szCs w:val="20"/>
        </w:rPr>
        <w:t>Australia has one of the lowest level</w:t>
      </w:r>
      <w:r>
        <w:rPr>
          <w:rFonts w:ascii="Arial" w:hAnsi="Arial" w:cs="Arial"/>
          <w:sz w:val="20"/>
          <w:szCs w:val="20"/>
        </w:rPr>
        <w:t>s</w:t>
      </w:r>
      <w:r w:rsidRPr="00D601DD">
        <w:rPr>
          <w:rFonts w:ascii="Arial" w:hAnsi="Arial" w:cs="Arial"/>
          <w:sz w:val="20"/>
          <w:szCs w:val="20"/>
        </w:rPr>
        <w:t xml:space="preserve"> of public investment in tertiary education in the world and </w:t>
      </w:r>
      <w:r>
        <w:rPr>
          <w:rFonts w:ascii="Arial" w:hAnsi="Arial" w:cs="Arial"/>
          <w:sz w:val="20"/>
          <w:szCs w:val="20"/>
        </w:rPr>
        <w:t>student</w:t>
      </w:r>
      <w:r w:rsidR="00ED0FBC">
        <w:rPr>
          <w:rFonts w:ascii="Arial" w:hAnsi="Arial" w:cs="Arial"/>
          <w:sz w:val="20"/>
          <w:szCs w:val="20"/>
        </w:rPr>
        <w:t>s</w:t>
      </w:r>
      <w:r>
        <w:rPr>
          <w:rFonts w:ascii="Arial" w:hAnsi="Arial" w:cs="Arial"/>
          <w:sz w:val="20"/>
          <w:szCs w:val="20"/>
        </w:rPr>
        <w:t xml:space="preserve"> attending public universities pay amongst the highest fees in the world</w:t>
      </w:r>
      <w:r w:rsidR="002D0BE9">
        <w:rPr>
          <w:rFonts w:ascii="Arial" w:hAnsi="Arial" w:cs="Arial"/>
          <w:sz w:val="20"/>
          <w:szCs w:val="20"/>
        </w:rPr>
        <w:t>.</w:t>
      </w:r>
      <w:r w:rsidR="00D615AE">
        <w:rPr>
          <w:rFonts w:ascii="Arial" w:hAnsi="Arial" w:cs="Arial"/>
          <w:sz w:val="20"/>
          <w:szCs w:val="20"/>
        </w:rPr>
        <w:t xml:space="preserve"> </w:t>
      </w:r>
      <w:r w:rsidR="002D0BE9">
        <w:rPr>
          <w:rFonts w:ascii="Arial" w:hAnsi="Arial" w:cs="Arial"/>
          <w:sz w:val="20"/>
          <w:szCs w:val="20"/>
        </w:rPr>
        <w:t>A</w:t>
      </w:r>
      <w:r w:rsidR="00D615AE">
        <w:rPr>
          <w:rFonts w:ascii="Arial" w:hAnsi="Arial" w:cs="Arial"/>
          <w:sz w:val="20"/>
          <w:szCs w:val="20"/>
        </w:rPr>
        <w:t>s a consequence</w:t>
      </w:r>
      <w:r w:rsidR="002D0BE9">
        <w:rPr>
          <w:rFonts w:ascii="Arial" w:hAnsi="Arial" w:cs="Arial"/>
          <w:sz w:val="20"/>
          <w:szCs w:val="20"/>
        </w:rPr>
        <w:t>,</w:t>
      </w:r>
      <w:r w:rsidR="00D615AE">
        <w:rPr>
          <w:rFonts w:ascii="Arial" w:hAnsi="Arial" w:cs="Arial"/>
          <w:sz w:val="20"/>
          <w:szCs w:val="20"/>
        </w:rPr>
        <w:t xml:space="preserve"> Australia’s share public investment is amongst the lowest in the OECD. </w:t>
      </w:r>
      <w:r w:rsidR="00412D14">
        <w:rPr>
          <w:rFonts w:ascii="Arial" w:hAnsi="Arial" w:cs="Arial"/>
          <w:sz w:val="20"/>
          <w:szCs w:val="20"/>
        </w:rPr>
        <w:t>(</w:t>
      </w:r>
      <w:r w:rsidR="00B84203">
        <w:rPr>
          <w:rFonts w:ascii="Arial" w:hAnsi="Arial" w:cs="Arial"/>
          <w:sz w:val="20"/>
          <w:szCs w:val="20"/>
        </w:rPr>
        <w:t>s</w:t>
      </w:r>
      <w:r w:rsidR="00412D14">
        <w:rPr>
          <w:rFonts w:ascii="Arial" w:hAnsi="Arial" w:cs="Arial"/>
          <w:sz w:val="20"/>
          <w:szCs w:val="20"/>
        </w:rPr>
        <w:t xml:space="preserve">ee Attachment 1 Figures A1 </w:t>
      </w:r>
      <w:r w:rsidR="00D615AE">
        <w:rPr>
          <w:rFonts w:ascii="Arial" w:hAnsi="Arial" w:cs="Arial"/>
          <w:sz w:val="20"/>
          <w:szCs w:val="20"/>
        </w:rPr>
        <w:t>– A3</w:t>
      </w:r>
      <w:r w:rsidR="00412D14">
        <w:rPr>
          <w:rFonts w:ascii="Arial" w:hAnsi="Arial" w:cs="Arial"/>
          <w:sz w:val="20"/>
          <w:szCs w:val="20"/>
        </w:rPr>
        <w:t>)</w:t>
      </w:r>
      <w:r>
        <w:rPr>
          <w:rFonts w:ascii="Arial" w:hAnsi="Arial" w:cs="Arial"/>
          <w:sz w:val="20"/>
          <w:szCs w:val="20"/>
        </w:rPr>
        <w:t xml:space="preserve">.  </w:t>
      </w:r>
    </w:p>
    <w:p w14:paraId="1F09B80A" w14:textId="77777777" w:rsidR="00D615AE" w:rsidRDefault="00D615AE" w:rsidP="00510CA0">
      <w:pPr>
        <w:spacing w:line="360" w:lineRule="auto"/>
        <w:jc w:val="both"/>
        <w:rPr>
          <w:rFonts w:ascii="Arial" w:hAnsi="Arial" w:cs="Arial"/>
          <w:sz w:val="20"/>
          <w:szCs w:val="20"/>
        </w:rPr>
      </w:pPr>
    </w:p>
    <w:p w14:paraId="59CFF489" w14:textId="6B85E5F2" w:rsidR="00D601DD" w:rsidRDefault="00B84203" w:rsidP="00510CA0">
      <w:pPr>
        <w:spacing w:line="360" w:lineRule="auto"/>
        <w:jc w:val="both"/>
        <w:rPr>
          <w:rFonts w:ascii="Arial" w:hAnsi="Arial" w:cs="Arial"/>
          <w:sz w:val="20"/>
          <w:szCs w:val="20"/>
        </w:rPr>
      </w:pPr>
      <w:r>
        <w:rPr>
          <w:rFonts w:ascii="Arial" w:hAnsi="Arial" w:cs="Arial"/>
          <w:sz w:val="20"/>
          <w:szCs w:val="20"/>
        </w:rPr>
        <w:t xml:space="preserve">The </w:t>
      </w:r>
      <w:r w:rsidR="00D615AE">
        <w:rPr>
          <w:rFonts w:ascii="Arial" w:hAnsi="Arial" w:cs="Arial"/>
          <w:sz w:val="20"/>
          <w:szCs w:val="20"/>
        </w:rPr>
        <w:t xml:space="preserve">recently passed </w:t>
      </w:r>
      <w:r w:rsidR="00D601DD">
        <w:rPr>
          <w:rFonts w:ascii="Arial" w:hAnsi="Arial" w:cs="Arial"/>
          <w:sz w:val="20"/>
          <w:szCs w:val="20"/>
        </w:rPr>
        <w:t xml:space="preserve">Jobs-Ready Graduate </w:t>
      </w:r>
      <w:r w:rsidR="00B16987">
        <w:rPr>
          <w:rFonts w:ascii="Arial" w:hAnsi="Arial" w:cs="Arial"/>
          <w:sz w:val="20"/>
          <w:szCs w:val="20"/>
        </w:rPr>
        <w:t xml:space="preserve">(JRG) </w:t>
      </w:r>
      <w:r w:rsidR="00D601DD">
        <w:rPr>
          <w:rFonts w:ascii="Arial" w:hAnsi="Arial" w:cs="Arial"/>
          <w:sz w:val="20"/>
          <w:szCs w:val="20"/>
        </w:rPr>
        <w:t>p</w:t>
      </w:r>
      <w:r w:rsidR="00D615AE">
        <w:rPr>
          <w:rFonts w:ascii="Arial" w:hAnsi="Arial" w:cs="Arial"/>
          <w:sz w:val="20"/>
          <w:szCs w:val="20"/>
        </w:rPr>
        <w:t xml:space="preserve">olicy </w:t>
      </w:r>
      <w:r w:rsidR="00D601DD">
        <w:rPr>
          <w:rFonts w:ascii="Arial" w:hAnsi="Arial" w:cs="Arial"/>
          <w:sz w:val="20"/>
          <w:szCs w:val="20"/>
        </w:rPr>
        <w:t>slashes public investment per government-supported student</w:t>
      </w:r>
      <w:r w:rsidR="00ED4E59">
        <w:rPr>
          <w:rFonts w:ascii="Arial" w:hAnsi="Arial" w:cs="Arial"/>
          <w:sz w:val="20"/>
          <w:szCs w:val="20"/>
        </w:rPr>
        <w:t>s</w:t>
      </w:r>
      <w:r w:rsidR="00D601DD">
        <w:rPr>
          <w:rFonts w:ascii="Arial" w:hAnsi="Arial" w:cs="Arial"/>
          <w:sz w:val="20"/>
          <w:szCs w:val="20"/>
        </w:rPr>
        <w:t xml:space="preserve"> </w:t>
      </w:r>
      <w:r w:rsidR="00924BE7">
        <w:rPr>
          <w:rFonts w:ascii="Arial" w:hAnsi="Arial" w:cs="Arial"/>
          <w:sz w:val="20"/>
          <w:szCs w:val="20"/>
        </w:rPr>
        <w:t xml:space="preserve">by 14% </w:t>
      </w:r>
      <w:r w:rsidR="00D601DD">
        <w:rPr>
          <w:rFonts w:ascii="Arial" w:hAnsi="Arial" w:cs="Arial"/>
          <w:sz w:val="20"/>
          <w:szCs w:val="20"/>
        </w:rPr>
        <w:t>and increase</w:t>
      </w:r>
      <w:r w:rsidR="00924BE7">
        <w:rPr>
          <w:rFonts w:ascii="Arial" w:hAnsi="Arial" w:cs="Arial"/>
          <w:sz w:val="20"/>
          <w:szCs w:val="20"/>
        </w:rPr>
        <w:t>s</w:t>
      </w:r>
      <w:r w:rsidR="00D601DD">
        <w:rPr>
          <w:rFonts w:ascii="Arial" w:hAnsi="Arial" w:cs="Arial"/>
          <w:sz w:val="20"/>
          <w:szCs w:val="20"/>
        </w:rPr>
        <w:t xml:space="preserve"> average tuition fees</w:t>
      </w:r>
      <w:r w:rsidR="00412D14">
        <w:rPr>
          <w:rFonts w:ascii="Arial" w:hAnsi="Arial" w:cs="Arial"/>
          <w:sz w:val="20"/>
          <w:szCs w:val="20"/>
        </w:rPr>
        <w:t xml:space="preserve"> </w:t>
      </w:r>
      <w:r w:rsidR="00924BE7">
        <w:rPr>
          <w:rFonts w:ascii="Arial" w:hAnsi="Arial" w:cs="Arial"/>
          <w:sz w:val="20"/>
          <w:szCs w:val="20"/>
        </w:rPr>
        <w:t xml:space="preserve">by about 8% </w:t>
      </w:r>
      <w:r>
        <w:rPr>
          <w:rFonts w:ascii="Arial" w:hAnsi="Arial" w:cs="Arial"/>
          <w:sz w:val="20"/>
          <w:szCs w:val="20"/>
        </w:rPr>
        <w:t>(see Attachment 1 Figures A</w:t>
      </w:r>
      <w:r w:rsidR="00AB3B19">
        <w:rPr>
          <w:rFonts w:ascii="Arial" w:hAnsi="Arial" w:cs="Arial"/>
          <w:sz w:val="20"/>
          <w:szCs w:val="20"/>
        </w:rPr>
        <w:t>4</w:t>
      </w:r>
      <w:r>
        <w:rPr>
          <w:rFonts w:ascii="Arial" w:hAnsi="Arial" w:cs="Arial"/>
          <w:sz w:val="20"/>
          <w:szCs w:val="20"/>
        </w:rPr>
        <w:t xml:space="preserve"> – A</w:t>
      </w:r>
      <w:r w:rsidR="00D228A4">
        <w:rPr>
          <w:rFonts w:ascii="Arial" w:hAnsi="Arial" w:cs="Arial"/>
          <w:sz w:val="20"/>
          <w:szCs w:val="20"/>
        </w:rPr>
        <w:t>6</w:t>
      </w:r>
      <w:r>
        <w:rPr>
          <w:rFonts w:ascii="Arial" w:hAnsi="Arial" w:cs="Arial"/>
          <w:sz w:val="20"/>
          <w:szCs w:val="20"/>
        </w:rPr>
        <w:t>)</w:t>
      </w:r>
      <w:r w:rsidR="00924BE7">
        <w:rPr>
          <w:rFonts w:ascii="Arial" w:hAnsi="Arial" w:cs="Arial"/>
          <w:sz w:val="20"/>
          <w:szCs w:val="20"/>
        </w:rPr>
        <w:t xml:space="preserve">. </w:t>
      </w:r>
      <w:r w:rsidR="00D615AE">
        <w:rPr>
          <w:rFonts w:ascii="Arial" w:hAnsi="Arial" w:cs="Arial"/>
          <w:sz w:val="20"/>
          <w:szCs w:val="20"/>
        </w:rPr>
        <w:t xml:space="preserve"> </w:t>
      </w:r>
    </w:p>
    <w:p w14:paraId="2D8D7F73" w14:textId="285F359F" w:rsidR="00B16987" w:rsidRDefault="00B16987" w:rsidP="00510CA0">
      <w:pPr>
        <w:spacing w:line="360" w:lineRule="auto"/>
        <w:jc w:val="both"/>
        <w:rPr>
          <w:rFonts w:ascii="Arial" w:hAnsi="Arial" w:cs="Arial"/>
          <w:sz w:val="20"/>
          <w:szCs w:val="20"/>
        </w:rPr>
      </w:pPr>
    </w:p>
    <w:p w14:paraId="273380F3" w14:textId="6F023800" w:rsidR="00DD44B7" w:rsidRDefault="00B84203" w:rsidP="00510CA0">
      <w:pPr>
        <w:spacing w:line="360" w:lineRule="auto"/>
        <w:jc w:val="both"/>
        <w:rPr>
          <w:rFonts w:ascii="Arial" w:hAnsi="Arial" w:cs="Arial"/>
          <w:sz w:val="20"/>
          <w:szCs w:val="20"/>
        </w:rPr>
      </w:pPr>
      <w:r>
        <w:rPr>
          <w:rFonts w:ascii="Arial" w:hAnsi="Arial" w:cs="Arial"/>
          <w:sz w:val="20"/>
          <w:szCs w:val="20"/>
        </w:rPr>
        <w:t xml:space="preserve">The medium-term </w:t>
      </w:r>
      <w:r w:rsidR="00924BE7">
        <w:rPr>
          <w:rFonts w:ascii="Arial" w:hAnsi="Arial" w:cs="Arial"/>
          <w:sz w:val="20"/>
          <w:szCs w:val="20"/>
        </w:rPr>
        <w:t xml:space="preserve">outlook is no better. </w:t>
      </w:r>
      <w:r>
        <w:rPr>
          <w:rFonts w:ascii="Arial" w:hAnsi="Arial" w:cs="Arial"/>
          <w:sz w:val="20"/>
          <w:szCs w:val="20"/>
        </w:rPr>
        <w:t xml:space="preserve">Figure 1 shows the Parliamentary Budget Office’s (PBO) estimates of the value of </w:t>
      </w:r>
      <w:r w:rsidR="00B16987">
        <w:rPr>
          <w:rFonts w:ascii="Arial" w:hAnsi="Arial" w:cs="Arial"/>
          <w:sz w:val="20"/>
          <w:szCs w:val="20"/>
        </w:rPr>
        <w:t xml:space="preserve">the Commonwealth Grants Scheme (CGS) </w:t>
      </w:r>
      <w:r>
        <w:rPr>
          <w:rFonts w:ascii="Arial" w:hAnsi="Arial" w:cs="Arial"/>
          <w:sz w:val="20"/>
          <w:szCs w:val="20"/>
        </w:rPr>
        <w:t xml:space="preserve">expressed </w:t>
      </w:r>
      <w:r w:rsidR="00B16987">
        <w:rPr>
          <w:rFonts w:ascii="Arial" w:hAnsi="Arial" w:cs="Arial"/>
          <w:sz w:val="20"/>
          <w:szCs w:val="20"/>
        </w:rPr>
        <w:t>as share of GDP</w:t>
      </w:r>
      <w:r w:rsidR="005B7C5F">
        <w:rPr>
          <w:rFonts w:ascii="Arial" w:hAnsi="Arial" w:cs="Arial"/>
          <w:sz w:val="20"/>
          <w:szCs w:val="20"/>
        </w:rPr>
        <w:t xml:space="preserve"> to 2030-31</w:t>
      </w:r>
      <w:r w:rsidR="00B16987">
        <w:rPr>
          <w:rFonts w:ascii="Arial" w:hAnsi="Arial" w:cs="Arial"/>
          <w:sz w:val="20"/>
          <w:szCs w:val="20"/>
        </w:rPr>
        <w:t>.  The short</w:t>
      </w:r>
      <w:r w:rsidR="00C6626B">
        <w:rPr>
          <w:rFonts w:ascii="Arial" w:hAnsi="Arial" w:cs="Arial"/>
          <w:sz w:val="20"/>
          <w:szCs w:val="20"/>
        </w:rPr>
        <w:t>-</w:t>
      </w:r>
      <w:r w:rsidR="00B16987">
        <w:rPr>
          <w:rFonts w:ascii="Arial" w:hAnsi="Arial" w:cs="Arial"/>
          <w:sz w:val="20"/>
          <w:szCs w:val="20"/>
        </w:rPr>
        <w:t xml:space="preserve">term </w:t>
      </w:r>
      <w:r w:rsidR="00C6626B">
        <w:rPr>
          <w:rFonts w:ascii="Arial" w:hAnsi="Arial" w:cs="Arial"/>
          <w:sz w:val="20"/>
          <w:szCs w:val="20"/>
        </w:rPr>
        <w:t xml:space="preserve">and short-lived </w:t>
      </w:r>
      <w:r w:rsidR="00B16987">
        <w:rPr>
          <w:rFonts w:ascii="Arial" w:hAnsi="Arial" w:cs="Arial"/>
          <w:sz w:val="20"/>
          <w:szCs w:val="20"/>
        </w:rPr>
        <w:t xml:space="preserve">increase </w:t>
      </w:r>
      <w:r w:rsidR="005B7C5F">
        <w:rPr>
          <w:rFonts w:ascii="Arial" w:hAnsi="Arial" w:cs="Arial"/>
          <w:sz w:val="20"/>
          <w:szCs w:val="20"/>
        </w:rPr>
        <w:t>shown in Figure</w:t>
      </w:r>
      <w:r w:rsidR="00924BE7">
        <w:rPr>
          <w:rFonts w:ascii="Arial" w:hAnsi="Arial" w:cs="Arial"/>
          <w:sz w:val="20"/>
          <w:szCs w:val="20"/>
        </w:rPr>
        <w:t xml:space="preserve"> 1 is a</w:t>
      </w:r>
      <w:r w:rsidR="005B7C5F">
        <w:rPr>
          <w:rFonts w:ascii="Arial" w:hAnsi="Arial" w:cs="Arial"/>
          <w:sz w:val="20"/>
          <w:szCs w:val="20"/>
        </w:rPr>
        <w:t xml:space="preserve"> </w:t>
      </w:r>
      <w:r w:rsidR="00924BE7">
        <w:rPr>
          <w:rFonts w:ascii="Arial" w:hAnsi="Arial" w:cs="Arial"/>
          <w:sz w:val="20"/>
          <w:szCs w:val="20"/>
        </w:rPr>
        <w:t>r</w:t>
      </w:r>
      <w:r w:rsidR="00B16987">
        <w:rPr>
          <w:rFonts w:ascii="Arial" w:hAnsi="Arial" w:cs="Arial"/>
          <w:sz w:val="20"/>
          <w:szCs w:val="20"/>
        </w:rPr>
        <w:t>esult of the COVID19 induced recession</w:t>
      </w:r>
      <w:r w:rsidR="00E47CA3">
        <w:rPr>
          <w:rFonts w:ascii="Arial" w:hAnsi="Arial" w:cs="Arial"/>
          <w:sz w:val="20"/>
          <w:szCs w:val="20"/>
        </w:rPr>
        <w:t xml:space="preserve">.  </w:t>
      </w:r>
      <w:r w:rsidR="005B7C5F">
        <w:rPr>
          <w:rFonts w:ascii="Arial" w:hAnsi="Arial" w:cs="Arial"/>
          <w:sz w:val="20"/>
          <w:szCs w:val="20"/>
        </w:rPr>
        <w:t xml:space="preserve">  Despite the government’s continual protestations about spending record levels of money on higher education, </w:t>
      </w:r>
      <w:r w:rsidR="00B16987">
        <w:rPr>
          <w:rFonts w:ascii="Arial" w:hAnsi="Arial" w:cs="Arial"/>
          <w:sz w:val="20"/>
          <w:szCs w:val="20"/>
        </w:rPr>
        <w:t xml:space="preserve">Figure </w:t>
      </w:r>
      <w:r>
        <w:rPr>
          <w:rFonts w:ascii="Arial" w:hAnsi="Arial" w:cs="Arial"/>
          <w:sz w:val="20"/>
          <w:szCs w:val="20"/>
        </w:rPr>
        <w:t xml:space="preserve">1 </w:t>
      </w:r>
      <w:r w:rsidR="00B16987">
        <w:rPr>
          <w:rFonts w:ascii="Arial" w:hAnsi="Arial" w:cs="Arial"/>
          <w:sz w:val="20"/>
          <w:szCs w:val="20"/>
        </w:rPr>
        <w:t xml:space="preserve">clearly shows public investment </w:t>
      </w:r>
      <w:r w:rsidR="005B7C5F">
        <w:rPr>
          <w:rFonts w:ascii="Arial" w:hAnsi="Arial" w:cs="Arial"/>
          <w:sz w:val="20"/>
          <w:szCs w:val="20"/>
        </w:rPr>
        <w:t xml:space="preserve">in the education of government supported students as a share of national income (GDP) </w:t>
      </w:r>
      <w:r w:rsidR="00B16987">
        <w:rPr>
          <w:rFonts w:ascii="Arial" w:hAnsi="Arial" w:cs="Arial"/>
          <w:sz w:val="20"/>
          <w:szCs w:val="20"/>
        </w:rPr>
        <w:t xml:space="preserve">is </w:t>
      </w:r>
      <w:r>
        <w:rPr>
          <w:rFonts w:ascii="Arial" w:hAnsi="Arial" w:cs="Arial"/>
          <w:sz w:val="20"/>
          <w:szCs w:val="20"/>
        </w:rPr>
        <w:t xml:space="preserve">projected to </w:t>
      </w:r>
      <w:r w:rsidR="005B7C5F">
        <w:rPr>
          <w:rFonts w:ascii="Arial" w:hAnsi="Arial" w:cs="Arial"/>
          <w:sz w:val="20"/>
          <w:szCs w:val="20"/>
        </w:rPr>
        <w:t xml:space="preserve">decline </w:t>
      </w:r>
      <w:r>
        <w:rPr>
          <w:rFonts w:ascii="Arial" w:hAnsi="Arial" w:cs="Arial"/>
          <w:sz w:val="20"/>
          <w:szCs w:val="20"/>
        </w:rPr>
        <w:t>steadily over the medium term</w:t>
      </w:r>
      <w:r w:rsidR="00B16987">
        <w:rPr>
          <w:rFonts w:ascii="Arial" w:hAnsi="Arial" w:cs="Arial"/>
          <w:sz w:val="20"/>
          <w:szCs w:val="20"/>
        </w:rPr>
        <w:t xml:space="preserve">. </w:t>
      </w:r>
      <w:r w:rsidR="00C53884">
        <w:rPr>
          <w:rFonts w:ascii="Arial" w:hAnsi="Arial" w:cs="Arial"/>
          <w:sz w:val="20"/>
          <w:szCs w:val="20"/>
        </w:rPr>
        <w:t xml:space="preserve">  </w:t>
      </w:r>
      <w:r w:rsidR="00924BE7">
        <w:rPr>
          <w:rFonts w:ascii="Arial" w:hAnsi="Arial" w:cs="Arial"/>
          <w:sz w:val="20"/>
          <w:szCs w:val="20"/>
        </w:rPr>
        <w:t xml:space="preserve">Before we are accused of using data selectively, it should noted that the PBO’s projections also show that when expressed as share of total government spending, the CGS will decline from 1.5% to 1.1% over the same period. </w:t>
      </w:r>
    </w:p>
    <w:p w14:paraId="359B59CF" w14:textId="77777777" w:rsidR="00DD44B7" w:rsidRDefault="00DD44B7" w:rsidP="00510CA0">
      <w:pPr>
        <w:spacing w:line="360" w:lineRule="auto"/>
        <w:jc w:val="both"/>
        <w:rPr>
          <w:rFonts w:ascii="Arial" w:hAnsi="Arial" w:cs="Arial"/>
          <w:sz w:val="20"/>
          <w:szCs w:val="20"/>
        </w:rPr>
      </w:pPr>
    </w:p>
    <w:p w14:paraId="17151747" w14:textId="77777777" w:rsidR="00E47CA3" w:rsidRDefault="00430F2C" w:rsidP="00510CA0">
      <w:pPr>
        <w:spacing w:line="360" w:lineRule="auto"/>
        <w:jc w:val="both"/>
        <w:rPr>
          <w:rFonts w:ascii="Arial" w:hAnsi="Arial" w:cs="Arial"/>
          <w:sz w:val="20"/>
          <w:szCs w:val="20"/>
        </w:rPr>
      </w:pPr>
      <w:r>
        <w:rPr>
          <w:rFonts w:ascii="Arial" w:hAnsi="Arial" w:cs="Arial"/>
          <w:sz w:val="20"/>
          <w:szCs w:val="20"/>
        </w:rPr>
        <w:t xml:space="preserve">Figure 1 only includes expenditure on the CGS.  If all government expenditure on higher education </w:t>
      </w:r>
      <w:r w:rsidR="00782590">
        <w:rPr>
          <w:rFonts w:ascii="Arial" w:hAnsi="Arial" w:cs="Arial"/>
          <w:sz w:val="20"/>
          <w:szCs w:val="20"/>
        </w:rPr>
        <w:t xml:space="preserve">is included, </w:t>
      </w:r>
      <w:r>
        <w:rPr>
          <w:rFonts w:ascii="Arial" w:hAnsi="Arial" w:cs="Arial"/>
          <w:sz w:val="20"/>
          <w:szCs w:val="20"/>
        </w:rPr>
        <w:t xml:space="preserve">including expenditure on R&amp;D, in 2019-20 the total value of public investment adds to just over $13billion which is equal to 0.66% of GDP.  </w:t>
      </w:r>
      <w:r w:rsidR="00E47CA3">
        <w:rPr>
          <w:rFonts w:ascii="Arial" w:hAnsi="Arial" w:cs="Arial"/>
          <w:sz w:val="20"/>
          <w:szCs w:val="20"/>
        </w:rPr>
        <w:t>The latest available comparative data (see Figure 1A) shows that the average level of public expenditure on tertiary education institutions for all OECD was 1% of GDP.</w:t>
      </w:r>
    </w:p>
    <w:p w14:paraId="43FA5341" w14:textId="77777777" w:rsidR="00E47CA3" w:rsidRDefault="00E47CA3" w:rsidP="00510CA0">
      <w:pPr>
        <w:spacing w:line="360" w:lineRule="auto"/>
        <w:jc w:val="both"/>
        <w:rPr>
          <w:rFonts w:ascii="Arial" w:hAnsi="Arial" w:cs="Arial"/>
          <w:sz w:val="20"/>
          <w:szCs w:val="20"/>
        </w:rPr>
      </w:pPr>
    </w:p>
    <w:p w14:paraId="30B60A9B" w14:textId="5589D882" w:rsidR="00E47CA3" w:rsidRDefault="00E47CA3" w:rsidP="00510CA0">
      <w:pPr>
        <w:spacing w:line="360" w:lineRule="auto"/>
        <w:jc w:val="both"/>
        <w:rPr>
          <w:rFonts w:ascii="Arial" w:hAnsi="Arial" w:cs="Arial"/>
          <w:sz w:val="20"/>
          <w:szCs w:val="20"/>
        </w:rPr>
      </w:pPr>
      <w:r>
        <w:rPr>
          <w:rFonts w:ascii="Arial" w:hAnsi="Arial" w:cs="Arial"/>
          <w:sz w:val="20"/>
          <w:szCs w:val="20"/>
        </w:rPr>
        <w:t xml:space="preserve"> While the NTEU acknowledges the $1billion increase in research support funding for 2021 (see Figure A4), it must be noted that this one-off payment does not address the longer-term trend of declining public investment in our universities.</w:t>
      </w:r>
    </w:p>
    <w:p w14:paraId="0F156C3A" w14:textId="7558CE7C" w:rsidR="00C6626B" w:rsidRDefault="00E47CA3" w:rsidP="00510CA0">
      <w:pPr>
        <w:spacing w:line="360" w:lineRule="auto"/>
        <w:jc w:val="both"/>
        <w:rPr>
          <w:rFonts w:ascii="Arial" w:hAnsi="Arial" w:cs="Arial"/>
          <w:sz w:val="20"/>
          <w:szCs w:val="20"/>
        </w:rPr>
      </w:pPr>
      <w:r>
        <w:rPr>
          <w:rFonts w:ascii="Arial" w:hAnsi="Arial" w:cs="Arial"/>
          <w:sz w:val="20"/>
          <w:szCs w:val="20"/>
        </w:rPr>
        <w:t xml:space="preserve"> </w:t>
      </w:r>
    </w:p>
    <w:p w14:paraId="55E4591C" w14:textId="4C7C0EAC" w:rsidR="00924BE7" w:rsidRDefault="00924BE7" w:rsidP="00510CA0">
      <w:pPr>
        <w:spacing w:line="360" w:lineRule="auto"/>
        <w:jc w:val="both"/>
        <w:rPr>
          <w:rFonts w:ascii="Arial" w:hAnsi="Arial" w:cs="Arial"/>
          <w:sz w:val="20"/>
          <w:szCs w:val="20"/>
        </w:rPr>
      </w:pPr>
      <w:r>
        <w:rPr>
          <w:rFonts w:ascii="Arial" w:hAnsi="Arial" w:cs="Arial"/>
          <w:sz w:val="20"/>
          <w:szCs w:val="20"/>
        </w:rPr>
        <w:t xml:space="preserve">The JRG will also increase average student contribution to almost 50% which is two and half times higher than the original 20% contribution rate when the Higher Education Contribution Scheme (HECSS) was first introduced in 1989. </w:t>
      </w:r>
    </w:p>
    <w:p w14:paraId="4E4BB6FF" w14:textId="49B83EA9" w:rsidR="00924BE7" w:rsidRDefault="00924BE7" w:rsidP="00510CA0">
      <w:pPr>
        <w:spacing w:line="360" w:lineRule="auto"/>
        <w:jc w:val="both"/>
        <w:rPr>
          <w:rFonts w:ascii="Arial" w:hAnsi="Arial" w:cs="Arial"/>
          <w:sz w:val="20"/>
          <w:szCs w:val="20"/>
        </w:rPr>
      </w:pPr>
    </w:p>
    <w:p w14:paraId="3C48B40F" w14:textId="53EB66E5" w:rsidR="00924BE7" w:rsidRDefault="00924BE7" w:rsidP="00510CA0">
      <w:pPr>
        <w:spacing w:line="360" w:lineRule="auto"/>
        <w:jc w:val="both"/>
        <w:rPr>
          <w:rFonts w:ascii="Arial" w:hAnsi="Arial" w:cs="Arial"/>
          <w:sz w:val="20"/>
          <w:szCs w:val="20"/>
        </w:rPr>
      </w:pPr>
      <w:r>
        <w:rPr>
          <w:rFonts w:ascii="Arial" w:hAnsi="Arial" w:cs="Arial"/>
          <w:sz w:val="20"/>
          <w:szCs w:val="20"/>
        </w:rPr>
        <w:t xml:space="preserve">Therefore, the </w:t>
      </w:r>
      <w:r w:rsidR="00C47A06">
        <w:rPr>
          <w:rFonts w:ascii="Arial" w:hAnsi="Arial" w:cs="Arial"/>
          <w:sz w:val="20"/>
          <w:szCs w:val="20"/>
        </w:rPr>
        <w:t>medium-term</w:t>
      </w:r>
      <w:r>
        <w:rPr>
          <w:rFonts w:ascii="Arial" w:hAnsi="Arial" w:cs="Arial"/>
          <w:sz w:val="20"/>
          <w:szCs w:val="20"/>
        </w:rPr>
        <w:t xml:space="preserve"> outlook for Australian higher education will put Australia in an even worse position when compared to other industrialised economies</w:t>
      </w:r>
      <w:r w:rsidR="00C47A06">
        <w:rPr>
          <w:rFonts w:ascii="Arial" w:hAnsi="Arial" w:cs="Arial"/>
          <w:sz w:val="20"/>
          <w:szCs w:val="20"/>
        </w:rPr>
        <w:t xml:space="preserve"> in the OECD.</w:t>
      </w:r>
    </w:p>
    <w:p w14:paraId="24792099" w14:textId="5B2020A0" w:rsidR="00924BE7" w:rsidRDefault="00924BE7" w:rsidP="00510CA0">
      <w:pPr>
        <w:spacing w:line="360" w:lineRule="auto"/>
        <w:jc w:val="both"/>
        <w:rPr>
          <w:rFonts w:ascii="Arial" w:hAnsi="Arial" w:cs="Arial"/>
          <w:sz w:val="20"/>
          <w:szCs w:val="20"/>
        </w:rPr>
      </w:pPr>
    </w:p>
    <w:p w14:paraId="2DF4020D" w14:textId="2064D256" w:rsidR="00C47A06" w:rsidRDefault="00924BE7" w:rsidP="00510CA0">
      <w:pPr>
        <w:spacing w:line="360" w:lineRule="auto"/>
        <w:jc w:val="both"/>
        <w:rPr>
          <w:rFonts w:ascii="Arial" w:hAnsi="Arial" w:cs="Arial"/>
          <w:sz w:val="20"/>
          <w:szCs w:val="20"/>
        </w:rPr>
      </w:pPr>
      <w:r>
        <w:rPr>
          <w:rFonts w:ascii="Arial" w:hAnsi="Arial" w:cs="Arial"/>
          <w:sz w:val="20"/>
          <w:szCs w:val="20"/>
        </w:rPr>
        <w:t>The</w:t>
      </w:r>
      <w:r w:rsidR="00C47A06">
        <w:rPr>
          <w:rFonts w:ascii="Arial" w:hAnsi="Arial" w:cs="Arial"/>
          <w:sz w:val="20"/>
          <w:szCs w:val="20"/>
        </w:rPr>
        <w:t>se</w:t>
      </w:r>
      <w:r>
        <w:rPr>
          <w:rFonts w:ascii="Arial" w:hAnsi="Arial" w:cs="Arial"/>
          <w:sz w:val="20"/>
          <w:szCs w:val="20"/>
        </w:rPr>
        <w:t xml:space="preserve"> declining levels of public investment in higher education are unsustainable. </w:t>
      </w:r>
      <w:r w:rsidR="00C47A06">
        <w:rPr>
          <w:rFonts w:ascii="Arial" w:hAnsi="Arial" w:cs="Arial"/>
          <w:sz w:val="20"/>
          <w:szCs w:val="20"/>
        </w:rPr>
        <w:t xml:space="preserve"> What is required is a long-term commitment to public investment in higher education. The NTEU believes that level of investment should be equal to 1% of GDP</w:t>
      </w:r>
      <w:r w:rsidR="00A50D81">
        <w:rPr>
          <w:rFonts w:ascii="Arial" w:hAnsi="Arial" w:cs="Arial"/>
          <w:sz w:val="20"/>
          <w:szCs w:val="20"/>
        </w:rPr>
        <w:t>, which would</w:t>
      </w:r>
      <w:r w:rsidR="00C47A06">
        <w:rPr>
          <w:rFonts w:ascii="Arial" w:hAnsi="Arial" w:cs="Arial"/>
          <w:sz w:val="20"/>
          <w:szCs w:val="20"/>
        </w:rPr>
        <w:t xml:space="preserve"> put Australia in line with that of the rest of the OECD.  As was shown in some detail in our </w:t>
      </w:r>
      <w:r w:rsidRPr="00C47A06">
        <w:rPr>
          <w:rFonts w:ascii="Arial" w:hAnsi="Arial" w:cs="Arial"/>
          <w:sz w:val="20"/>
          <w:szCs w:val="20"/>
        </w:rPr>
        <w:t>2020-21 Pre-Budget submission</w:t>
      </w:r>
      <w:r w:rsidR="00A50D81">
        <w:rPr>
          <w:rFonts w:ascii="Arial" w:hAnsi="Arial" w:cs="Arial"/>
          <w:sz w:val="20"/>
          <w:szCs w:val="20"/>
        </w:rPr>
        <w:t>,</w:t>
      </w:r>
      <w:r w:rsidRPr="00C47A06">
        <w:rPr>
          <w:rFonts w:ascii="Arial" w:hAnsi="Arial" w:cs="Arial"/>
          <w:sz w:val="20"/>
          <w:szCs w:val="20"/>
        </w:rPr>
        <w:t xml:space="preserve"> th</w:t>
      </w:r>
      <w:r w:rsidR="00C47A06">
        <w:rPr>
          <w:rFonts w:ascii="Arial" w:hAnsi="Arial" w:cs="Arial"/>
          <w:sz w:val="20"/>
          <w:szCs w:val="20"/>
        </w:rPr>
        <w:t xml:space="preserve">is level of public investment would allow universities to be funded for the cost of educating government-supported students, increase investment in research support and training and </w:t>
      </w:r>
      <w:r w:rsidR="00A50D81">
        <w:rPr>
          <w:rFonts w:ascii="Arial" w:hAnsi="Arial" w:cs="Arial"/>
          <w:sz w:val="20"/>
          <w:szCs w:val="20"/>
        </w:rPr>
        <w:t xml:space="preserve">the </w:t>
      </w:r>
      <w:r w:rsidR="00C47A06">
        <w:rPr>
          <w:rFonts w:ascii="Arial" w:hAnsi="Arial" w:cs="Arial"/>
          <w:sz w:val="20"/>
          <w:szCs w:val="20"/>
        </w:rPr>
        <w:t>phas</w:t>
      </w:r>
      <w:r w:rsidR="00A50D81">
        <w:rPr>
          <w:rFonts w:ascii="Arial" w:hAnsi="Arial" w:cs="Arial"/>
          <w:sz w:val="20"/>
          <w:szCs w:val="20"/>
        </w:rPr>
        <w:t>ing</w:t>
      </w:r>
      <w:r w:rsidR="00C47A06">
        <w:rPr>
          <w:rFonts w:ascii="Arial" w:hAnsi="Arial" w:cs="Arial"/>
          <w:sz w:val="20"/>
          <w:szCs w:val="20"/>
        </w:rPr>
        <w:t xml:space="preserve"> out</w:t>
      </w:r>
      <w:r w:rsidR="00A50D81">
        <w:rPr>
          <w:rFonts w:ascii="Arial" w:hAnsi="Arial" w:cs="Arial"/>
          <w:sz w:val="20"/>
          <w:szCs w:val="20"/>
        </w:rPr>
        <w:t xml:space="preserve"> of</w:t>
      </w:r>
      <w:r w:rsidR="00C47A06">
        <w:rPr>
          <w:rFonts w:ascii="Arial" w:hAnsi="Arial" w:cs="Arial"/>
          <w:sz w:val="20"/>
          <w:szCs w:val="20"/>
        </w:rPr>
        <w:t xml:space="preserve"> tuition fees for government supported students. </w:t>
      </w:r>
    </w:p>
    <w:p w14:paraId="7A908844" w14:textId="77777777" w:rsidR="00924BE7" w:rsidRDefault="00924BE7" w:rsidP="00510CA0">
      <w:pPr>
        <w:spacing w:line="360" w:lineRule="auto"/>
        <w:jc w:val="both"/>
        <w:rPr>
          <w:rFonts w:ascii="Arial" w:hAnsi="Arial" w:cs="Arial"/>
          <w:sz w:val="20"/>
          <w:szCs w:val="20"/>
        </w:rPr>
      </w:pPr>
    </w:p>
    <w:p w14:paraId="42F3AA03" w14:textId="3ADBFF77" w:rsidR="00C6626B" w:rsidRDefault="00C6626B" w:rsidP="00510CA0">
      <w:pPr>
        <w:pStyle w:val="Caption"/>
        <w:keepNext/>
        <w:jc w:val="both"/>
      </w:pPr>
      <w:r>
        <w:t xml:space="preserve">Figure </w:t>
      </w:r>
      <w:r w:rsidR="00127AF5">
        <w:fldChar w:fldCharType="begin"/>
      </w:r>
      <w:r w:rsidR="00127AF5">
        <w:instrText xml:space="preserve"> SEQ Figure \* ARABIC </w:instrText>
      </w:r>
      <w:r w:rsidR="00127AF5">
        <w:fldChar w:fldCharType="separate"/>
      </w:r>
      <w:r w:rsidR="00D228A4">
        <w:rPr>
          <w:noProof/>
        </w:rPr>
        <w:t>1</w:t>
      </w:r>
      <w:r w:rsidR="00127AF5">
        <w:rPr>
          <w:noProof/>
        </w:rPr>
        <w:fldChar w:fldCharType="end"/>
      </w:r>
    </w:p>
    <w:p w14:paraId="585691F4" w14:textId="66AD6BCF" w:rsidR="00B16987" w:rsidRDefault="00B16987" w:rsidP="00510CA0">
      <w:pPr>
        <w:spacing w:line="360" w:lineRule="auto"/>
        <w:jc w:val="both"/>
        <w:rPr>
          <w:rFonts w:ascii="Arial" w:hAnsi="Arial" w:cs="Arial"/>
          <w:sz w:val="20"/>
          <w:szCs w:val="20"/>
        </w:rPr>
      </w:pPr>
      <w:r>
        <w:rPr>
          <w:noProof/>
        </w:rPr>
        <w:drawing>
          <wp:inline distT="0" distB="0" distL="0" distR="0" wp14:anchorId="2007932C" wp14:editId="6C0900B5">
            <wp:extent cx="5768062" cy="3764004"/>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8062" cy="3764004"/>
                    </a:xfrm>
                    <a:prstGeom prst="rect">
                      <a:avLst/>
                    </a:prstGeom>
                  </pic:spPr>
                </pic:pic>
              </a:graphicData>
            </a:graphic>
          </wp:inline>
        </w:drawing>
      </w:r>
    </w:p>
    <w:p w14:paraId="34AFDDDE" w14:textId="44C49B0A" w:rsidR="00B84203" w:rsidRDefault="00B84203" w:rsidP="00510CA0">
      <w:pPr>
        <w:spacing w:line="360" w:lineRule="auto"/>
        <w:jc w:val="both"/>
        <w:rPr>
          <w:rFonts w:ascii="Arial" w:hAnsi="Arial" w:cs="Arial"/>
          <w:sz w:val="20"/>
          <w:szCs w:val="20"/>
        </w:rPr>
      </w:pPr>
      <w:r>
        <w:rPr>
          <w:rFonts w:ascii="Arial" w:hAnsi="Arial" w:cs="Arial"/>
          <w:sz w:val="20"/>
          <w:szCs w:val="20"/>
        </w:rPr>
        <w:t xml:space="preserve"> </w:t>
      </w:r>
    </w:p>
    <w:p w14:paraId="52D80856" w14:textId="56E5E6DC" w:rsidR="00D615AE" w:rsidRDefault="00D615AE" w:rsidP="00510CA0">
      <w:pPr>
        <w:spacing w:line="360" w:lineRule="auto"/>
        <w:jc w:val="both"/>
        <w:rPr>
          <w:rFonts w:ascii="Arial" w:hAnsi="Arial" w:cs="Arial"/>
          <w:sz w:val="20"/>
          <w:szCs w:val="20"/>
        </w:rPr>
      </w:pPr>
      <w:r>
        <w:rPr>
          <w:rFonts w:ascii="Arial" w:hAnsi="Arial" w:cs="Arial"/>
          <w:sz w:val="20"/>
          <w:szCs w:val="20"/>
        </w:rPr>
        <w:t>As discussed in the final section of this submission (Insecure employment), declining public investment has been one of the main drivers of our universities</w:t>
      </w:r>
      <w:r w:rsidR="00A50D81">
        <w:rPr>
          <w:rFonts w:ascii="Arial" w:hAnsi="Arial" w:cs="Arial"/>
          <w:sz w:val="20"/>
          <w:szCs w:val="20"/>
        </w:rPr>
        <w:t>,</w:t>
      </w:r>
      <w:r>
        <w:rPr>
          <w:rFonts w:ascii="Arial" w:hAnsi="Arial" w:cs="Arial"/>
          <w:sz w:val="20"/>
          <w:szCs w:val="20"/>
        </w:rPr>
        <w:t xml:space="preserve"> increasing reliance of on the use of insecure employment.   </w:t>
      </w:r>
    </w:p>
    <w:p w14:paraId="7D9452FE" w14:textId="77777777" w:rsidR="001D6B3D" w:rsidRDefault="001D6B3D" w:rsidP="00510CA0">
      <w:pPr>
        <w:spacing w:line="360" w:lineRule="auto"/>
        <w:jc w:val="both"/>
        <w:rPr>
          <w:rFonts w:ascii="Arial" w:hAnsi="Arial" w:cs="Arial"/>
          <w:sz w:val="20"/>
          <w:szCs w:val="20"/>
        </w:rPr>
      </w:pPr>
    </w:p>
    <w:p w14:paraId="04C0DA2E" w14:textId="77777777" w:rsidR="004E1DC8" w:rsidRPr="00C47A06" w:rsidRDefault="004E1DC8" w:rsidP="00510CA0">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rPr>
      </w:pPr>
      <w:r w:rsidRPr="00C47A06">
        <w:rPr>
          <w:rFonts w:ascii="Arial" w:hAnsi="Arial" w:cs="Arial"/>
          <w:b/>
          <w:bCs/>
          <w:sz w:val="20"/>
          <w:szCs w:val="20"/>
        </w:rPr>
        <w:t>RECOMMENDATION 3</w:t>
      </w:r>
    </w:p>
    <w:p w14:paraId="5DAA5186" w14:textId="1693AD08" w:rsidR="00E47CA3" w:rsidRPr="00E47CA3" w:rsidRDefault="004E1DC8" w:rsidP="00510CA0">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rPr>
      </w:pPr>
      <w:r w:rsidRPr="00C47A06">
        <w:rPr>
          <w:rFonts w:ascii="Arial" w:hAnsi="Arial" w:cs="Arial"/>
          <w:b/>
          <w:bCs/>
          <w:sz w:val="20"/>
          <w:szCs w:val="20"/>
        </w:rPr>
        <w:t>The level of public investment on Australian universities be increased to 1% of GDP and that tuition fees for government supported student be eliminated.</w:t>
      </w:r>
      <w:r w:rsidR="007F28A0" w:rsidRPr="007F28A0">
        <w:rPr>
          <w:rFonts w:ascii="Arial" w:hAnsi="Arial" w:cs="Arial"/>
          <w:b/>
          <w:bCs/>
          <w:sz w:val="20"/>
          <w:szCs w:val="20"/>
        </w:rPr>
        <w:br w:type="page"/>
      </w:r>
    </w:p>
    <w:p w14:paraId="4C1D91AC" w14:textId="630E672A" w:rsidR="007F28A0" w:rsidRDefault="007F28A0" w:rsidP="00510CA0">
      <w:pPr>
        <w:jc w:val="both"/>
        <w:rPr>
          <w:rFonts w:ascii="Arial" w:hAnsi="Arial" w:cs="Arial"/>
          <w:b/>
          <w:bCs/>
          <w:i/>
          <w:iCs/>
          <w:sz w:val="20"/>
          <w:szCs w:val="20"/>
        </w:rPr>
      </w:pPr>
      <w:r w:rsidRPr="007F28A0">
        <w:rPr>
          <w:rFonts w:ascii="Arial" w:hAnsi="Arial" w:cs="Arial"/>
          <w:b/>
          <w:bCs/>
          <w:i/>
          <w:iCs/>
          <w:sz w:val="20"/>
          <w:szCs w:val="20"/>
        </w:rPr>
        <w:t>Over reliance o</w:t>
      </w:r>
      <w:r w:rsidR="00E47CA3">
        <w:rPr>
          <w:rFonts w:ascii="Arial" w:hAnsi="Arial" w:cs="Arial"/>
          <w:b/>
          <w:bCs/>
          <w:i/>
          <w:iCs/>
          <w:sz w:val="20"/>
          <w:szCs w:val="20"/>
        </w:rPr>
        <w:t>n</w:t>
      </w:r>
      <w:r w:rsidRPr="007F28A0">
        <w:rPr>
          <w:rFonts w:ascii="Arial" w:hAnsi="Arial" w:cs="Arial"/>
          <w:b/>
          <w:bCs/>
          <w:i/>
          <w:iCs/>
          <w:sz w:val="20"/>
          <w:szCs w:val="20"/>
        </w:rPr>
        <w:t xml:space="preserve"> private funding</w:t>
      </w:r>
    </w:p>
    <w:p w14:paraId="34617493" w14:textId="19C20B2A" w:rsidR="007F28A0" w:rsidRDefault="007F28A0" w:rsidP="00510CA0">
      <w:pPr>
        <w:jc w:val="both"/>
        <w:rPr>
          <w:rFonts w:ascii="Arial" w:hAnsi="Arial" w:cs="Arial"/>
          <w:b/>
          <w:bCs/>
          <w:i/>
          <w:iCs/>
          <w:sz w:val="20"/>
          <w:szCs w:val="20"/>
        </w:rPr>
      </w:pPr>
    </w:p>
    <w:p w14:paraId="443302FB" w14:textId="2093C533" w:rsidR="007F28A0" w:rsidRDefault="007F28A0" w:rsidP="00510CA0">
      <w:pPr>
        <w:spacing w:line="360" w:lineRule="auto"/>
        <w:jc w:val="both"/>
        <w:rPr>
          <w:rFonts w:ascii="Arial" w:hAnsi="Arial" w:cs="Arial"/>
          <w:sz w:val="20"/>
          <w:szCs w:val="20"/>
        </w:rPr>
      </w:pPr>
      <w:r w:rsidRPr="007F28A0">
        <w:rPr>
          <w:rFonts w:ascii="Arial" w:hAnsi="Arial" w:cs="Arial"/>
          <w:sz w:val="20"/>
          <w:szCs w:val="20"/>
        </w:rPr>
        <w:t>COVID</w:t>
      </w:r>
      <w:r w:rsidR="00A50D81">
        <w:rPr>
          <w:rFonts w:ascii="Arial" w:hAnsi="Arial" w:cs="Arial"/>
          <w:sz w:val="20"/>
          <w:szCs w:val="20"/>
        </w:rPr>
        <w:t>-</w:t>
      </w:r>
      <w:r w:rsidRPr="007F28A0">
        <w:rPr>
          <w:rFonts w:ascii="Arial" w:hAnsi="Arial" w:cs="Arial"/>
          <w:sz w:val="20"/>
          <w:szCs w:val="20"/>
        </w:rPr>
        <w:t xml:space="preserve">19 </w:t>
      </w:r>
      <w:r>
        <w:rPr>
          <w:rFonts w:ascii="Arial" w:hAnsi="Arial" w:cs="Arial"/>
          <w:sz w:val="20"/>
          <w:szCs w:val="20"/>
        </w:rPr>
        <w:t>revealed how reliant and vulnerable Australian universities are to private funding and</w:t>
      </w:r>
      <w:r w:rsidR="00A50D81">
        <w:rPr>
          <w:rFonts w:ascii="Arial" w:hAnsi="Arial" w:cs="Arial"/>
          <w:sz w:val="20"/>
          <w:szCs w:val="20"/>
        </w:rPr>
        <w:t>,</w:t>
      </w:r>
      <w:r>
        <w:rPr>
          <w:rFonts w:ascii="Arial" w:hAnsi="Arial" w:cs="Arial"/>
          <w:sz w:val="20"/>
          <w:szCs w:val="20"/>
        </w:rPr>
        <w:t xml:space="preserve"> in particular unexpected external shocks.  As discussed above th</w:t>
      </w:r>
      <w:r w:rsidR="00B72510">
        <w:rPr>
          <w:rFonts w:ascii="Arial" w:hAnsi="Arial" w:cs="Arial"/>
          <w:sz w:val="20"/>
          <w:szCs w:val="20"/>
        </w:rPr>
        <w:t>e public health response to COVID</w:t>
      </w:r>
      <w:r w:rsidR="00A50D81">
        <w:rPr>
          <w:rFonts w:ascii="Arial" w:hAnsi="Arial" w:cs="Arial"/>
          <w:sz w:val="20"/>
          <w:szCs w:val="20"/>
        </w:rPr>
        <w:t>-</w:t>
      </w:r>
      <w:r w:rsidR="00B72510">
        <w:rPr>
          <w:rFonts w:ascii="Arial" w:hAnsi="Arial" w:cs="Arial"/>
          <w:sz w:val="20"/>
          <w:szCs w:val="20"/>
        </w:rPr>
        <w:t>19 which</w:t>
      </w:r>
      <w:r w:rsidR="00AD4FF0">
        <w:rPr>
          <w:rFonts w:ascii="Arial" w:hAnsi="Arial" w:cs="Arial"/>
          <w:sz w:val="20"/>
          <w:szCs w:val="20"/>
        </w:rPr>
        <w:t xml:space="preserve"> included</w:t>
      </w:r>
      <w:r w:rsidR="00B72510">
        <w:rPr>
          <w:rFonts w:ascii="Arial" w:hAnsi="Arial" w:cs="Arial"/>
          <w:sz w:val="20"/>
          <w:szCs w:val="20"/>
        </w:rPr>
        <w:t xml:space="preserve"> international border closures and shutdown domestic activity had direct and serious consequences for university revenue and staff.  </w:t>
      </w:r>
    </w:p>
    <w:p w14:paraId="30CD43EE" w14:textId="4DB3C9B1" w:rsidR="00BF7F74" w:rsidRDefault="00BF7F74" w:rsidP="00510CA0">
      <w:pPr>
        <w:spacing w:line="360" w:lineRule="auto"/>
        <w:jc w:val="both"/>
        <w:rPr>
          <w:rFonts w:ascii="Arial" w:hAnsi="Arial" w:cs="Arial"/>
          <w:sz w:val="20"/>
          <w:szCs w:val="20"/>
        </w:rPr>
      </w:pPr>
    </w:p>
    <w:p w14:paraId="054D690A" w14:textId="108D5640" w:rsidR="00BF7F74" w:rsidRDefault="00BF7F74" w:rsidP="00510CA0">
      <w:pPr>
        <w:spacing w:line="360" w:lineRule="auto"/>
        <w:jc w:val="both"/>
        <w:rPr>
          <w:rFonts w:ascii="Arial" w:hAnsi="Arial" w:cs="Arial"/>
          <w:sz w:val="20"/>
          <w:szCs w:val="20"/>
        </w:rPr>
      </w:pPr>
      <w:r>
        <w:rPr>
          <w:rFonts w:ascii="Arial" w:hAnsi="Arial" w:cs="Arial"/>
          <w:sz w:val="20"/>
          <w:szCs w:val="20"/>
        </w:rPr>
        <w:t>As Figure 2 clearly shows, in 2019 Australia’s universities earned close to $10billion in overseas student fee income</w:t>
      </w:r>
      <w:r w:rsidR="00A50D81">
        <w:rPr>
          <w:rFonts w:ascii="Arial" w:hAnsi="Arial" w:cs="Arial"/>
          <w:sz w:val="20"/>
          <w:szCs w:val="20"/>
        </w:rPr>
        <w:t>,</w:t>
      </w:r>
      <w:r>
        <w:rPr>
          <w:rFonts w:ascii="Arial" w:hAnsi="Arial" w:cs="Arial"/>
          <w:sz w:val="20"/>
          <w:szCs w:val="20"/>
        </w:rPr>
        <w:t xml:space="preserve"> compared to about $7.5billioin in CGS funding.  The NTEU contends that reductions in public investment in effect forced Australia’s universities to seek alternative sources of private income</w:t>
      </w:r>
      <w:r w:rsidR="00A50D81">
        <w:rPr>
          <w:rFonts w:ascii="Arial" w:hAnsi="Arial" w:cs="Arial"/>
          <w:sz w:val="20"/>
          <w:szCs w:val="20"/>
        </w:rPr>
        <w:t>,</w:t>
      </w:r>
      <w:r>
        <w:rPr>
          <w:rFonts w:ascii="Arial" w:hAnsi="Arial" w:cs="Arial"/>
          <w:sz w:val="20"/>
          <w:szCs w:val="20"/>
        </w:rPr>
        <w:t xml:space="preserve"> of which overseas student fee income </w:t>
      </w:r>
      <w:r w:rsidR="00A50D81">
        <w:rPr>
          <w:rFonts w:ascii="Arial" w:hAnsi="Arial" w:cs="Arial"/>
          <w:sz w:val="20"/>
          <w:szCs w:val="20"/>
        </w:rPr>
        <w:t>was by</w:t>
      </w:r>
      <w:r>
        <w:rPr>
          <w:rFonts w:ascii="Arial" w:hAnsi="Arial" w:cs="Arial"/>
          <w:sz w:val="20"/>
          <w:szCs w:val="20"/>
        </w:rPr>
        <w:t xml:space="preserve"> far the most important.  </w:t>
      </w:r>
      <w:r w:rsidR="0016554D">
        <w:rPr>
          <w:rFonts w:ascii="Arial" w:hAnsi="Arial" w:cs="Arial"/>
          <w:sz w:val="20"/>
          <w:szCs w:val="20"/>
        </w:rPr>
        <w:t xml:space="preserve">Whether the government is prepared to admit it or not, this reliance on overseas fee income is an unofficial part of the government’s funding policy for our universities.   The best way to reduce this vulnerability is to substantially increase public investment.  </w:t>
      </w:r>
    </w:p>
    <w:p w14:paraId="38D75F73" w14:textId="77777777" w:rsidR="00B72510" w:rsidRDefault="00B72510" w:rsidP="00510CA0">
      <w:pPr>
        <w:spacing w:line="360" w:lineRule="auto"/>
        <w:jc w:val="both"/>
        <w:rPr>
          <w:rFonts w:ascii="Arial" w:hAnsi="Arial" w:cs="Arial"/>
          <w:sz w:val="20"/>
          <w:szCs w:val="20"/>
        </w:rPr>
      </w:pPr>
    </w:p>
    <w:p w14:paraId="3898E9D3" w14:textId="3039424E" w:rsidR="00B72510" w:rsidRDefault="00B72510" w:rsidP="00510CA0">
      <w:pPr>
        <w:pStyle w:val="Caption"/>
        <w:keepNext/>
        <w:jc w:val="both"/>
      </w:pPr>
      <w:r>
        <w:t xml:space="preserve">Figure </w:t>
      </w:r>
      <w:r w:rsidR="00127AF5">
        <w:fldChar w:fldCharType="begin"/>
      </w:r>
      <w:r w:rsidR="00127AF5">
        <w:instrText xml:space="preserve"> SEQ Figure \* ARABIC </w:instrText>
      </w:r>
      <w:r w:rsidR="00127AF5">
        <w:fldChar w:fldCharType="separate"/>
      </w:r>
      <w:r w:rsidR="00D228A4">
        <w:rPr>
          <w:noProof/>
        </w:rPr>
        <w:t>2</w:t>
      </w:r>
      <w:r w:rsidR="00127AF5">
        <w:rPr>
          <w:noProof/>
        </w:rPr>
        <w:fldChar w:fldCharType="end"/>
      </w:r>
    </w:p>
    <w:p w14:paraId="7B0B307A" w14:textId="384D355F" w:rsidR="007F28A0" w:rsidRPr="001D6B3D" w:rsidRDefault="00B72510" w:rsidP="00510CA0">
      <w:pPr>
        <w:spacing w:line="360" w:lineRule="auto"/>
        <w:jc w:val="both"/>
        <w:rPr>
          <w:rFonts w:ascii="Arial" w:hAnsi="Arial" w:cs="Arial"/>
          <w:sz w:val="20"/>
          <w:szCs w:val="20"/>
        </w:rPr>
      </w:pPr>
      <w:r>
        <w:rPr>
          <w:noProof/>
        </w:rPr>
        <w:drawing>
          <wp:inline distT="0" distB="0" distL="0" distR="0" wp14:anchorId="252FB719" wp14:editId="03F09D18">
            <wp:extent cx="5731510" cy="3740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740150"/>
                    </a:xfrm>
                    <a:prstGeom prst="rect">
                      <a:avLst/>
                    </a:prstGeom>
                  </pic:spPr>
                </pic:pic>
              </a:graphicData>
            </a:graphic>
          </wp:inline>
        </w:drawing>
      </w:r>
    </w:p>
    <w:p w14:paraId="6E8ADCE0" w14:textId="77777777" w:rsidR="00497B6B" w:rsidRDefault="00497B6B" w:rsidP="00510CA0">
      <w:pPr>
        <w:spacing w:line="360" w:lineRule="auto"/>
        <w:jc w:val="both"/>
        <w:rPr>
          <w:rFonts w:ascii="Arial" w:hAnsi="Arial" w:cs="Arial"/>
          <w:b/>
          <w:bCs/>
          <w:i/>
          <w:iCs/>
          <w:sz w:val="20"/>
          <w:szCs w:val="20"/>
        </w:rPr>
      </w:pPr>
    </w:p>
    <w:p w14:paraId="5547DF16" w14:textId="5E1C255D" w:rsidR="007617CF" w:rsidRDefault="007617CF" w:rsidP="00510CA0">
      <w:pPr>
        <w:spacing w:line="360" w:lineRule="auto"/>
        <w:jc w:val="both"/>
        <w:rPr>
          <w:rFonts w:ascii="Arial" w:hAnsi="Arial" w:cs="Arial"/>
          <w:b/>
          <w:bCs/>
          <w:i/>
          <w:iCs/>
          <w:sz w:val="20"/>
          <w:szCs w:val="20"/>
        </w:rPr>
      </w:pPr>
      <w:r w:rsidRPr="007617CF">
        <w:rPr>
          <w:rFonts w:ascii="Arial" w:hAnsi="Arial" w:cs="Arial"/>
          <w:b/>
          <w:bCs/>
          <w:i/>
          <w:iCs/>
          <w:sz w:val="20"/>
          <w:szCs w:val="20"/>
        </w:rPr>
        <w:t>Funding of individual universities</w:t>
      </w:r>
    </w:p>
    <w:p w14:paraId="0AE56B5A" w14:textId="7652F32D" w:rsidR="00CB6A4D" w:rsidRDefault="007617CF" w:rsidP="00510CA0">
      <w:pPr>
        <w:spacing w:line="360" w:lineRule="auto"/>
        <w:jc w:val="both"/>
        <w:rPr>
          <w:rFonts w:ascii="Arial" w:hAnsi="Arial" w:cs="Arial"/>
          <w:sz w:val="20"/>
          <w:szCs w:val="20"/>
        </w:rPr>
      </w:pPr>
      <w:r>
        <w:rPr>
          <w:rFonts w:ascii="Arial" w:hAnsi="Arial" w:cs="Arial"/>
          <w:sz w:val="20"/>
          <w:szCs w:val="20"/>
        </w:rPr>
        <w:t xml:space="preserve">In order to exert greater control and influence over the way in which universities spend ever declining levels of public funding, the government has not only tied an increasing proportion (up 7.5%) of university funding to </w:t>
      </w:r>
      <w:r w:rsidR="00A50D81">
        <w:rPr>
          <w:rFonts w:ascii="Arial" w:hAnsi="Arial" w:cs="Arial"/>
          <w:sz w:val="20"/>
          <w:szCs w:val="20"/>
        </w:rPr>
        <w:t xml:space="preserve">the </w:t>
      </w:r>
      <w:r>
        <w:rPr>
          <w:rFonts w:ascii="Arial" w:hAnsi="Arial" w:cs="Arial"/>
          <w:sz w:val="20"/>
          <w:szCs w:val="20"/>
        </w:rPr>
        <w:t xml:space="preserve">achievement of pre-determined sector wide performance criteria but also has engaged in a repeated </w:t>
      </w:r>
      <w:r w:rsidRPr="007617CF">
        <w:rPr>
          <w:rFonts w:ascii="Arial" w:hAnsi="Arial" w:cs="Arial"/>
          <w:sz w:val="20"/>
          <w:szCs w:val="20"/>
        </w:rPr>
        <w:t>unbundled and re-pack</w:t>
      </w:r>
      <w:r>
        <w:rPr>
          <w:rFonts w:ascii="Arial" w:hAnsi="Arial" w:cs="Arial"/>
          <w:sz w:val="20"/>
          <w:szCs w:val="20"/>
        </w:rPr>
        <w:t xml:space="preserve">ing of core funding with specific eligibility criteria.  </w:t>
      </w:r>
    </w:p>
    <w:p w14:paraId="1BC5466A" w14:textId="77777777" w:rsidR="00CB6A4D" w:rsidRDefault="00CB6A4D" w:rsidP="00510CA0">
      <w:pPr>
        <w:spacing w:line="360" w:lineRule="auto"/>
        <w:jc w:val="both"/>
        <w:rPr>
          <w:rFonts w:ascii="Arial" w:hAnsi="Arial" w:cs="Arial"/>
          <w:sz w:val="20"/>
          <w:szCs w:val="20"/>
        </w:rPr>
      </w:pPr>
    </w:p>
    <w:p w14:paraId="485B3CEA" w14:textId="7B665B6D" w:rsidR="007C0553" w:rsidRDefault="00CB6A4D" w:rsidP="00510CA0">
      <w:pPr>
        <w:spacing w:line="360" w:lineRule="auto"/>
        <w:jc w:val="both"/>
        <w:rPr>
          <w:rFonts w:ascii="Arial" w:hAnsi="Arial" w:cs="Arial"/>
          <w:sz w:val="20"/>
          <w:szCs w:val="20"/>
        </w:rPr>
      </w:pPr>
      <w:r>
        <w:rPr>
          <w:rFonts w:ascii="Arial" w:hAnsi="Arial" w:cs="Arial"/>
          <w:sz w:val="20"/>
          <w:szCs w:val="20"/>
        </w:rPr>
        <w:t>In the recognition that the Demand Driven System (DDS) of funding for government-supported students was unlikely to be politically and fiscally sustainable f</w:t>
      </w:r>
      <w:r w:rsidR="00AB03B8">
        <w:rPr>
          <w:rFonts w:ascii="Arial" w:hAnsi="Arial" w:cs="Arial"/>
          <w:sz w:val="20"/>
          <w:szCs w:val="20"/>
        </w:rPr>
        <w:t xml:space="preserve">or </w:t>
      </w:r>
      <w:r>
        <w:rPr>
          <w:rFonts w:ascii="Arial" w:hAnsi="Arial" w:cs="Arial"/>
          <w:sz w:val="20"/>
          <w:szCs w:val="20"/>
        </w:rPr>
        <w:t>the Commonwealth government (of both political persuasion</w:t>
      </w:r>
      <w:r w:rsidR="00AB03B8">
        <w:rPr>
          <w:rFonts w:ascii="Arial" w:hAnsi="Arial" w:cs="Arial"/>
          <w:sz w:val="20"/>
          <w:szCs w:val="20"/>
        </w:rPr>
        <w:t>s</w:t>
      </w:r>
      <w:r>
        <w:rPr>
          <w:rFonts w:ascii="Arial" w:hAnsi="Arial" w:cs="Arial"/>
          <w:sz w:val="20"/>
          <w:szCs w:val="20"/>
        </w:rPr>
        <w:t>)</w:t>
      </w:r>
      <w:r w:rsidR="00A50D81">
        <w:rPr>
          <w:rFonts w:ascii="Arial" w:hAnsi="Arial" w:cs="Arial"/>
          <w:sz w:val="20"/>
          <w:szCs w:val="20"/>
        </w:rPr>
        <w:t>,</w:t>
      </w:r>
      <w:r>
        <w:rPr>
          <w:rFonts w:ascii="Arial" w:hAnsi="Arial" w:cs="Arial"/>
          <w:sz w:val="20"/>
          <w:szCs w:val="20"/>
        </w:rPr>
        <w:t xml:space="preserve"> the NTEU first outlined in our 2015 Budget Submission</w:t>
      </w:r>
      <w:r>
        <w:rPr>
          <w:rStyle w:val="FootnoteReference"/>
          <w:rFonts w:ascii="Arial" w:hAnsi="Arial" w:cs="Arial"/>
          <w:sz w:val="20"/>
          <w:szCs w:val="20"/>
        </w:rPr>
        <w:footnoteReference w:id="4"/>
      </w:r>
      <w:r>
        <w:rPr>
          <w:rFonts w:ascii="Arial" w:hAnsi="Arial" w:cs="Arial"/>
          <w:sz w:val="20"/>
          <w:szCs w:val="20"/>
        </w:rPr>
        <w:t xml:space="preserve"> </w:t>
      </w:r>
      <w:r w:rsidR="00AB03B8">
        <w:rPr>
          <w:rFonts w:ascii="Arial" w:hAnsi="Arial" w:cs="Arial"/>
          <w:sz w:val="20"/>
          <w:szCs w:val="20"/>
        </w:rPr>
        <w:t xml:space="preserve">a </w:t>
      </w:r>
      <w:r>
        <w:rPr>
          <w:rFonts w:ascii="Arial" w:hAnsi="Arial" w:cs="Arial"/>
          <w:sz w:val="20"/>
          <w:szCs w:val="20"/>
        </w:rPr>
        <w:t>proposal for a sustainable regulatory and funding framework</w:t>
      </w:r>
      <w:r w:rsidR="00A50D81">
        <w:rPr>
          <w:rFonts w:ascii="Arial" w:hAnsi="Arial" w:cs="Arial"/>
          <w:sz w:val="20"/>
          <w:szCs w:val="20"/>
        </w:rPr>
        <w:t>,</w:t>
      </w:r>
      <w:r>
        <w:rPr>
          <w:rFonts w:ascii="Arial" w:hAnsi="Arial" w:cs="Arial"/>
          <w:sz w:val="20"/>
          <w:szCs w:val="20"/>
        </w:rPr>
        <w:t xml:space="preserve"> administered through</w:t>
      </w:r>
      <w:r w:rsidR="00A50D81">
        <w:rPr>
          <w:rFonts w:ascii="Arial" w:hAnsi="Arial" w:cs="Arial"/>
          <w:sz w:val="20"/>
          <w:szCs w:val="20"/>
        </w:rPr>
        <w:t xml:space="preserve"> the </w:t>
      </w:r>
      <w:r>
        <w:rPr>
          <w:rFonts w:ascii="Arial" w:hAnsi="Arial" w:cs="Arial"/>
          <w:sz w:val="20"/>
          <w:szCs w:val="20"/>
        </w:rPr>
        <w:t>introduction of Public Accountability</w:t>
      </w:r>
      <w:r w:rsidR="0036356C">
        <w:rPr>
          <w:rFonts w:ascii="Arial" w:hAnsi="Arial" w:cs="Arial"/>
          <w:sz w:val="20"/>
          <w:szCs w:val="20"/>
        </w:rPr>
        <w:t xml:space="preserve"> Agreements</w:t>
      </w:r>
      <w:r>
        <w:rPr>
          <w:rFonts w:ascii="Arial" w:hAnsi="Arial" w:cs="Arial"/>
          <w:sz w:val="20"/>
          <w:szCs w:val="20"/>
        </w:rPr>
        <w:t xml:space="preserve"> (PAA).  </w:t>
      </w:r>
      <w:r w:rsidR="00AB03B8">
        <w:rPr>
          <w:rFonts w:ascii="Arial" w:hAnsi="Arial" w:cs="Arial"/>
          <w:sz w:val="20"/>
          <w:szCs w:val="20"/>
        </w:rPr>
        <w:t xml:space="preserve"> The PAA framework was seen </w:t>
      </w:r>
      <w:r w:rsidR="00A50D81">
        <w:rPr>
          <w:rFonts w:ascii="Arial" w:hAnsi="Arial" w:cs="Arial"/>
          <w:sz w:val="20"/>
          <w:szCs w:val="20"/>
        </w:rPr>
        <w:t xml:space="preserve">as </w:t>
      </w:r>
      <w:r w:rsidR="00AB03B8">
        <w:rPr>
          <w:rFonts w:ascii="Arial" w:hAnsi="Arial" w:cs="Arial"/>
          <w:sz w:val="20"/>
          <w:szCs w:val="20"/>
        </w:rPr>
        <w:t xml:space="preserve">a way of having a well-planned and managed distribution of government-supported places while giving individual universities the flexibility to pursue their own missions.  Rather than being a demand driven model, it might be described as </w:t>
      </w:r>
      <w:r w:rsidR="00A50D81">
        <w:rPr>
          <w:rFonts w:ascii="Arial" w:hAnsi="Arial" w:cs="Arial"/>
          <w:sz w:val="20"/>
          <w:szCs w:val="20"/>
        </w:rPr>
        <w:t xml:space="preserve">a more </w:t>
      </w:r>
      <w:r w:rsidR="00AB03B8">
        <w:rPr>
          <w:rFonts w:ascii="Arial" w:hAnsi="Arial" w:cs="Arial"/>
          <w:sz w:val="20"/>
          <w:szCs w:val="20"/>
        </w:rPr>
        <w:t>managed</w:t>
      </w:r>
      <w:r w:rsidR="00A50D81">
        <w:rPr>
          <w:rFonts w:ascii="Arial" w:hAnsi="Arial" w:cs="Arial"/>
          <w:sz w:val="20"/>
          <w:szCs w:val="20"/>
        </w:rPr>
        <w:t xml:space="preserve"> (and constrained)</w:t>
      </w:r>
      <w:r w:rsidR="00AB03B8">
        <w:rPr>
          <w:rFonts w:ascii="Arial" w:hAnsi="Arial" w:cs="Arial"/>
          <w:sz w:val="20"/>
          <w:szCs w:val="20"/>
        </w:rPr>
        <w:t xml:space="preserve"> </w:t>
      </w:r>
      <w:r w:rsidR="00A50D81">
        <w:rPr>
          <w:rFonts w:ascii="Arial" w:hAnsi="Arial" w:cs="Arial"/>
          <w:sz w:val="20"/>
          <w:szCs w:val="20"/>
        </w:rPr>
        <w:t xml:space="preserve">version of the </w:t>
      </w:r>
      <w:r w:rsidR="00AB03B8">
        <w:rPr>
          <w:rFonts w:ascii="Arial" w:hAnsi="Arial" w:cs="Arial"/>
          <w:sz w:val="20"/>
          <w:szCs w:val="20"/>
        </w:rPr>
        <w:t xml:space="preserve">demand </w:t>
      </w:r>
      <w:r w:rsidR="00A50D81">
        <w:rPr>
          <w:rFonts w:ascii="Arial" w:hAnsi="Arial" w:cs="Arial"/>
          <w:sz w:val="20"/>
          <w:szCs w:val="20"/>
        </w:rPr>
        <w:t xml:space="preserve">driven </w:t>
      </w:r>
      <w:r w:rsidR="00AB03B8">
        <w:rPr>
          <w:rFonts w:ascii="Arial" w:hAnsi="Arial" w:cs="Arial"/>
          <w:sz w:val="20"/>
          <w:szCs w:val="20"/>
        </w:rPr>
        <w:t>system</w:t>
      </w:r>
      <w:r w:rsidR="00A50D81">
        <w:rPr>
          <w:rFonts w:ascii="Arial" w:hAnsi="Arial" w:cs="Arial"/>
          <w:sz w:val="20"/>
          <w:szCs w:val="20"/>
        </w:rPr>
        <w:t>,</w:t>
      </w:r>
      <w:r w:rsidR="00AB03B8">
        <w:rPr>
          <w:rFonts w:ascii="Arial" w:hAnsi="Arial" w:cs="Arial"/>
          <w:sz w:val="20"/>
          <w:szCs w:val="20"/>
        </w:rPr>
        <w:t xml:space="preserve"> which incorporates funding and accountability mechanises. </w:t>
      </w:r>
    </w:p>
    <w:p w14:paraId="0A3660C0" w14:textId="77777777" w:rsidR="007C0553" w:rsidRDefault="007C0553" w:rsidP="00510CA0">
      <w:pPr>
        <w:spacing w:line="360" w:lineRule="auto"/>
        <w:jc w:val="both"/>
        <w:rPr>
          <w:rFonts w:ascii="Arial" w:hAnsi="Arial" w:cs="Arial"/>
          <w:sz w:val="20"/>
          <w:szCs w:val="20"/>
        </w:rPr>
      </w:pPr>
    </w:p>
    <w:p w14:paraId="3469E4FB" w14:textId="5C1AE2E2" w:rsidR="009E34D4" w:rsidRDefault="007E5C89" w:rsidP="00510CA0">
      <w:pPr>
        <w:spacing w:line="360" w:lineRule="auto"/>
        <w:jc w:val="both"/>
        <w:rPr>
          <w:rFonts w:ascii="Arial" w:hAnsi="Arial" w:cs="Arial"/>
          <w:sz w:val="20"/>
          <w:szCs w:val="20"/>
        </w:rPr>
      </w:pPr>
      <w:r>
        <w:rPr>
          <w:rFonts w:ascii="Arial" w:hAnsi="Arial" w:cs="Arial"/>
          <w:sz w:val="20"/>
          <w:szCs w:val="20"/>
        </w:rPr>
        <w:t xml:space="preserve">A </w:t>
      </w:r>
      <w:r w:rsidR="007C0553">
        <w:rPr>
          <w:rFonts w:ascii="Arial" w:hAnsi="Arial" w:cs="Arial"/>
          <w:sz w:val="20"/>
          <w:szCs w:val="20"/>
        </w:rPr>
        <w:t xml:space="preserve">PAA would be </w:t>
      </w:r>
      <w:r w:rsidR="00497E97">
        <w:rPr>
          <w:rFonts w:ascii="Arial" w:hAnsi="Arial" w:cs="Arial"/>
          <w:sz w:val="20"/>
          <w:szCs w:val="20"/>
        </w:rPr>
        <w:t xml:space="preserve">a </w:t>
      </w:r>
      <w:r>
        <w:rPr>
          <w:rFonts w:ascii="Arial" w:hAnsi="Arial" w:cs="Arial"/>
          <w:sz w:val="20"/>
          <w:szCs w:val="20"/>
        </w:rPr>
        <w:t xml:space="preserve">comprehensive </w:t>
      </w:r>
      <w:r w:rsidR="007C0553">
        <w:rPr>
          <w:rFonts w:ascii="Arial" w:hAnsi="Arial" w:cs="Arial"/>
          <w:sz w:val="20"/>
          <w:szCs w:val="20"/>
        </w:rPr>
        <w:t>individual (rolling 3-year) agreement between each university and (a yet to be established) independent higher education commissio</w:t>
      </w:r>
      <w:r w:rsidR="009E34D4">
        <w:rPr>
          <w:rFonts w:ascii="Arial" w:hAnsi="Arial" w:cs="Arial"/>
          <w:sz w:val="20"/>
          <w:szCs w:val="20"/>
        </w:rPr>
        <w:t xml:space="preserve">n. Each PAA would include a </w:t>
      </w:r>
      <w:r w:rsidR="00A50D81">
        <w:rPr>
          <w:rFonts w:ascii="Arial" w:hAnsi="Arial" w:cs="Arial"/>
          <w:sz w:val="20"/>
          <w:szCs w:val="20"/>
        </w:rPr>
        <w:t>university’s</w:t>
      </w:r>
      <w:r w:rsidR="009E34D4">
        <w:rPr>
          <w:rFonts w:ascii="Arial" w:hAnsi="Arial" w:cs="Arial"/>
          <w:sz w:val="20"/>
          <w:szCs w:val="20"/>
        </w:rPr>
        <w:t xml:space="preserve"> (negotiated/moderated) plans, a funding agreement as well as accountability/performance criteria</w:t>
      </w:r>
      <w:r w:rsidR="00A50D81">
        <w:rPr>
          <w:rFonts w:ascii="Arial" w:hAnsi="Arial" w:cs="Arial"/>
          <w:sz w:val="20"/>
          <w:szCs w:val="20"/>
        </w:rPr>
        <w:t>,</w:t>
      </w:r>
      <w:r w:rsidR="009E34D4">
        <w:rPr>
          <w:rFonts w:ascii="Arial" w:hAnsi="Arial" w:cs="Arial"/>
          <w:sz w:val="20"/>
          <w:szCs w:val="20"/>
        </w:rPr>
        <w:t xml:space="preserve"> against which the negotiation of subsequent PAAs would be informed.  PAAs would not increase overall compliance costs because they would replace a number of existing arrangements including institutional strategic plans, funding agreements, mission-based compacts, and institutional performance portfolios. </w:t>
      </w:r>
    </w:p>
    <w:p w14:paraId="19F8E402" w14:textId="7C4FECED" w:rsidR="005748C1" w:rsidRDefault="005748C1" w:rsidP="00510CA0">
      <w:pPr>
        <w:spacing w:line="360" w:lineRule="auto"/>
        <w:jc w:val="both"/>
        <w:rPr>
          <w:rFonts w:ascii="Arial" w:hAnsi="Arial" w:cs="Arial"/>
          <w:sz w:val="20"/>
          <w:szCs w:val="20"/>
        </w:rPr>
      </w:pPr>
    </w:p>
    <w:p w14:paraId="5DBD0D9F" w14:textId="0E7EE833" w:rsidR="005748C1" w:rsidRDefault="005748C1" w:rsidP="00510CA0">
      <w:pPr>
        <w:spacing w:line="360" w:lineRule="auto"/>
        <w:jc w:val="both"/>
        <w:rPr>
          <w:rFonts w:ascii="Arial" w:hAnsi="Arial" w:cs="Arial"/>
          <w:sz w:val="20"/>
          <w:szCs w:val="20"/>
        </w:rPr>
      </w:pPr>
      <w:r w:rsidRPr="00AB03B8">
        <w:rPr>
          <w:rFonts w:ascii="Arial" w:hAnsi="Arial" w:cs="Arial"/>
          <w:sz w:val="20"/>
          <w:szCs w:val="20"/>
        </w:rPr>
        <w:t xml:space="preserve">The PAA framework is not unlike that which is being proposed in relation to the National Priorities Industry Linkage Fund (NPILF) </w:t>
      </w:r>
      <w:hyperlink r:id="rId20" w:history="1">
        <w:r w:rsidRPr="00AB03B8">
          <w:rPr>
            <w:rStyle w:val="Hyperlink"/>
            <w:rFonts w:ascii="Arial" w:hAnsi="Arial" w:cs="Arial"/>
            <w:sz w:val="20"/>
            <w:szCs w:val="20"/>
          </w:rPr>
          <w:t>Consultation Paper</w:t>
        </w:r>
      </w:hyperlink>
      <w:r w:rsidRPr="00AB03B8">
        <w:rPr>
          <w:rFonts w:ascii="Arial" w:hAnsi="Arial" w:cs="Arial"/>
          <w:sz w:val="20"/>
          <w:szCs w:val="20"/>
        </w:rPr>
        <w:t>. While the NTEU did not support the proposed model in relation to the NPLIF given the high costs relative to modest ($220m per year) funding and its highly targeted objectives, we believe such as framework would have some merit in relation to whole of institutional funding.</w:t>
      </w:r>
    </w:p>
    <w:p w14:paraId="38C06388" w14:textId="77777777" w:rsidR="005748C1" w:rsidRDefault="005748C1" w:rsidP="00510CA0">
      <w:pPr>
        <w:spacing w:line="360" w:lineRule="auto"/>
        <w:jc w:val="both"/>
        <w:rPr>
          <w:rFonts w:ascii="Arial" w:hAnsi="Arial" w:cs="Arial"/>
          <w:sz w:val="20"/>
          <w:szCs w:val="20"/>
        </w:rPr>
      </w:pPr>
    </w:p>
    <w:p w14:paraId="47B718EB" w14:textId="30132609" w:rsidR="005748C1" w:rsidRDefault="005748C1" w:rsidP="00510CA0">
      <w:pPr>
        <w:spacing w:line="360" w:lineRule="auto"/>
        <w:jc w:val="both"/>
        <w:rPr>
          <w:rFonts w:ascii="Arial" w:hAnsi="Arial" w:cs="Arial"/>
          <w:sz w:val="20"/>
          <w:szCs w:val="20"/>
        </w:rPr>
      </w:pPr>
      <w:r w:rsidRPr="00240854">
        <w:rPr>
          <w:rFonts w:ascii="Arial" w:hAnsi="Arial" w:cs="Arial"/>
          <w:sz w:val="20"/>
          <w:szCs w:val="20"/>
        </w:rPr>
        <w:t>Like the proposed NPILF framework</w:t>
      </w:r>
      <w:r w:rsidR="00A50D81">
        <w:rPr>
          <w:rFonts w:ascii="Arial" w:hAnsi="Arial" w:cs="Arial"/>
          <w:sz w:val="20"/>
          <w:szCs w:val="20"/>
        </w:rPr>
        <w:t>,</w:t>
      </w:r>
      <w:r w:rsidRPr="00240854">
        <w:rPr>
          <w:rFonts w:ascii="Arial" w:hAnsi="Arial" w:cs="Arial"/>
          <w:sz w:val="20"/>
          <w:szCs w:val="20"/>
        </w:rPr>
        <w:t xml:space="preserve"> the NTEU anticipates that the proposed accountability / performance criteria would not be restricted to a pre-determined set of industry wide indicators (one-size-fits-all model) </w:t>
      </w:r>
      <w:r>
        <w:rPr>
          <w:rFonts w:ascii="Arial" w:hAnsi="Arial" w:cs="Arial"/>
          <w:sz w:val="20"/>
          <w:szCs w:val="20"/>
        </w:rPr>
        <w:t xml:space="preserve">such as that </w:t>
      </w:r>
      <w:r w:rsidR="00A50D81">
        <w:rPr>
          <w:rFonts w:ascii="Arial" w:hAnsi="Arial" w:cs="Arial"/>
          <w:sz w:val="20"/>
          <w:szCs w:val="20"/>
        </w:rPr>
        <w:t xml:space="preserve">which </w:t>
      </w:r>
      <w:r w:rsidR="00E86CC7">
        <w:rPr>
          <w:rFonts w:ascii="Arial" w:hAnsi="Arial" w:cs="Arial"/>
          <w:sz w:val="20"/>
          <w:szCs w:val="20"/>
        </w:rPr>
        <w:t xml:space="preserve">is </w:t>
      </w:r>
      <w:r>
        <w:rPr>
          <w:rFonts w:ascii="Arial" w:hAnsi="Arial" w:cs="Arial"/>
          <w:sz w:val="20"/>
          <w:szCs w:val="20"/>
        </w:rPr>
        <w:t xml:space="preserve">typically used in performance based funding framework, but </w:t>
      </w:r>
      <w:r w:rsidR="00072EC2">
        <w:rPr>
          <w:rFonts w:ascii="Arial" w:hAnsi="Arial" w:cs="Arial"/>
          <w:sz w:val="20"/>
          <w:szCs w:val="20"/>
        </w:rPr>
        <w:t xml:space="preserve">instead </w:t>
      </w:r>
      <w:r>
        <w:rPr>
          <w:rFonts w:ascii="Arial" w:hAnsi="Arial" w:cs="Arial"/>
          <w:sz w:val="20"/>
          <w:szCs w:val="20"/>
        </w:rPr>
        <w:t xml:space="preserve">provide a framework that </w:t>
      </w:r>
      <w:r w:rsidRPr="00240854">
        <w:rPr>
          <w:rFonts w:ascii="Arial" w:hAnsi="Arial" w:cs="Arial"/>
          <w:sz w:val="20"/>
          <w:szCs w:val="20"/>
        </w:rPr>
        <w:t>give</w:t>
      </w:r>
      <w:r>
        <w:rPr>
          <w:rFonts w:ascii="Arial" w:hAnsi="Arial" w:cs="Arial"/>
          <w:sz w:val="20"/>
          <w:szCs w:val="20"/>
        </w:rPr>
        <w:t>s</w:t>
      </w:r>
      <w:r w:rsidRPr="00240854">
        <w:rPr>
          <w:rFonts w:ascii="Arial" w:hAnsi="Arial" w:cs="Arial"/>
          <w:sz w:val="20"/>
          <w:szCs w:val="20"/>
        </w:rPr>
        <w:t xml:space="preserve"> each university the capacity </w:t>
      </w:r>
      <w:r>
        <w:rPr>
          <w:rFonts w:ascii="Arial" w:hAnsi="Arial" w:cs="Arial"/>
          <w:sz w:val="20"/>
          <w:szCs w:val="20"/>
        </w:rPr>
        <w:t xml:space="preserve">to </w:t>
      </w:r>
      <w:r w:rsidRPr="00240854">
        <w:rPr>
          <w:rFonts w:ascii="Arial" w:hAnsi="Arial" w:cs="Arial"/>
          <w:sz w:val="20"/>
          <w:szCs w:val="20"/>
        </w:rPr>
        <w:t xml:space="preserve">negotiate a set of criteria that aligns with its own objectives.  These might include </w:t>
      </w:r>
      <w:r>
        <w:rPr>
          <w:rFonts w:ascii="Arial" w:hAnsi="Arial" w:cs="Arial"/>
          <w:sz w:val="20"/>
          <w:szCs w:val="20"/>
        </w:rPr>
        <w:t xml:space="preserve">(as NPILF proposal outlines) </w:t>
      </w:r>
      <w:r w:rsidRPr="00240854">
        <w:rPr>
          <w:rFonts w:ascii="Arial" w:hAnsi="Arial" w:cs="Arial"/>
          <w:sz w:val="20"/>
          <w:szCs w:val="20"/>
        </w:rPr>
        <w:t>a variety</w:t>
      </w:r>
      <w:r>
        <w:rPr>
          <w:rFonts w:ascii="Arial" w:hAnsi="Arial" w:cs="Arial"/>
          <w:sz w:val="20"/>
          <w:szCs w:val="20"/>
        </w:rPr>
        <w:t>/mix</w:t>
      </w:r>
      <w:r w:rsidRPr="00240854">
        <w:rPr>
          <w:rFonts w:ascii="Arial" w:hAnsi="Arial" w:cs="Arial"/>
          <w:sz w:val="20"/>
          <w:szCs w:val="20"/>
        </w:rPr>
        <w:t xml:space="preserve"> of:</w:t>
      </w:r>
    </w:p>
    <w:p w14:paraId="5643D845" w14:textId="77777777" w:rsidR="005748C1" w:rsidRDefault="005748C1" w:rsidP="00510CA0">
      <w:pPr>
        <w:pStyle w:val="ListParagraph"/>
        <w:numPr>
          <w:ilvl w:val="0"/>
          <w:numId w:val="31"/>
        </w:numPr>
        <w:spacing w:line="360" w:lineRule="auto"/>
        <w:jc w:val="both"/>
        <w:rPr>
          <w:rFonts w:ascii="Arial" w:hAnsi="Arial" w:cs="Arial"/>
          <w:sz w:val="20"/>
          <w:szCs w:val="20"/>
        </w:rPr>
      </w:pPr>
      <w:r w:rsidRPr="00240854">
        <w:rPr>
          <w:rFonts w:ascii="Arial" w:hAnsi="Arial" w:cs="Arial"/>
          <w:sz w:val="20"/>
          <w:szCs w:val="20"/>
        </w:rPr>
        <w:t>sector wide metrics</w:t>
      </w:r>
      <w:r>
        <w:rPr>
          <w:rFonts w:ascii="Arial" w:hAnsi="Arial" w:cs="Arial"/>
          <w:sz w:val="20"/>
          <w:szCs w:val="20"/>
        </w:rPr>
        <w:t>;</w:t>
      </w:r>
      <w:r w:rsidRPr="00240854">
        <w:rPr>
          <w:rFonts w:ascii="Arial" w:hAnsi="Arial" w:cs="Arial"/>
          <w:sz w:val="20"/>
          <w:szCs w:val="20"/>
        </w:rPr>
        <w:t xml:space="preserve"> </w:t>
      </w:r>
    </w:p>
    <w:p w14:paraId="03CCB44C" w14:textId="77777777" w:rsidR="005748C1" w:rsidRDefault="005748C1" w:rsidP="00510CA0">
      <w:pPr>
        <w:pStyle w:val="ListParagraph"/>
        <w:numPr>
          <w:ilvl w:val="0"/>
          <w:numId w:val="31"/>
        </w:numPr>
        <w:spacing w:line="360" w:lineRule="auto"/>
        <w:jc w:val="both"/>
        <w:rPr>
          <w:rFonts w:ascii="Arial" w:hAnsi="Arial" w:cs="Arial"/>
          <w:sz w:val="20"/>
          <w:szCs w:val="20"/>
        </w:rPr>
      </w:pPr>
      <w:r w:rsidRPr="00240854">
        <w:rPr>
          <w:rFonts w:ascii="Arial" w:hAnsi="Arial" w:cs="Arial"/>
          <w:sz w:val="20"/>
          <w:szCs w:val="20"/>
        </w:rPr>
        <w:t xml:space="preserve">university specific qualitative or </w:t>
      </w:r>
      <w:r>
        <w:rPr>
          <w:rFonts w:ascii="Arial" w:hAnsi="Arial" w:cs="Arial"/>
          <w:sz w:val="20"/>
          <w:szCs w:val="20"/>
        </w:rPr>
        <w:t>quantitative information; and</w:t>
      </w:r>
    </w:p>
    <w:p w14:paraId="5F2D8A4B" w14:textId="77777777" w:rsidR="005748C1" w:rsidRDefault="005748C1" w:rsidP="00510CA0">
      <w:pPr>
        <w:pStyle w:val="ListParagraph"/>
        <w:numPr>
          <w:ilvl w:val="0"/>
          <w:numId w:val="31"/>
        </w:numPr>
        <w:spacing w:line="360" w:lineRule="auto"/>
        <w:jc w:val="both"/>
        <w:rPr>
          <w:rFonts w:ascii="Arial" w:hAnsi="Arial" w:cs="Arial"/>
          <w:sz w:val="20"/>
          <w:szCs w:val="20"/>
        </w:rPr>
      </w:pPr>
      <w:r>
        <w:rPr>
          <w:rFonts w:ascii="Arial" w:hAnsi="Arial" w:cs="Arial"/>
          <w:sz w:val="20"/>
          <w:szCs w:val="20"/>
        </w:rPr>
        <w:t>new commitments or innovative plans.</w:t>
      </w:r>
    </w:p>
    <w:p w14:paraId="6B766BFC" w14:textId="77777777" w:rsidR="009E34D4" w:rsidRDefault="009E34D4" w:rsidP="00510CA0">
      <w:pPr>
        <w:spacing w:line="360" w:lineRule="auto"/>
        <w:jc w:val="both"/>
        <w:rPr>
          <w:rFonts w:ascii="Arial" w:hAnsi="Arial" w:cs="Arial"/>
          <w:sz w:val="20"/>
          <w:szCs w:val="20"/>
        </w:rPr>
      </w:pPr>
    </w:p>
    <w:p w14:paraId="5BBDDA7F" w14:textId="5B3A92A3" w:rsidR="005748C1" w:rsidRDefault="009E34D4" w:rsidP="00510CA0">
      <w:pPr>
        <w:spacing w:line="360" w:lineRule="auto"/>
        <w:jc w:val="both"/>
        <w:rPr>
          <w:rFonts w:ascii="Arial" w:hAnsi="Arial" w:cs="Arial"/>
          <w:sz w:val="20"/>
          <w:szCs w:val="20"/>
        </w:rPr>
      </w:pPr>
      <w:r>
        <w:rPr>
          <w:rFonts w:ascii="Arial" w:hAnsi="Arial" w:cs="Arial"/>
          <w:sz w:val="20"/>
          <w:szCs w:val="20"/>
        </w:rPr>
        <w:t>From the NTEU perspective PAA should not only cover each universit</w:t>
      </w:r>
      <w:r w:rsidR="00072EC2">
        <w:rPr>
          <w:rFonts w:ascii="Arial" w:hAnsi="Arial" w:cs="Arial"/>
          <w:sz w:val="20"/>
          <w:szCs w:val="20"/>
        </w:rPr>
        <w:t>y’s</w:t>
      </w:r>
      <w:r>
        <w:rPr>
          <w:rFonts w:ascii="Arial" w:hAnsi="Arial" w:cs="Arial"/>
          <w:sz w:val="20"/>
          <w:szCs w:val="20"/>
        </w:rPr>
        <w:t xml:space="preserve"> core teaching / research / community service obligations but would act </w:t>
      </w:r>
      <w:r w:rsidR="00072EC2">
        <w:rPr>
          <w:rFonts w:ascii="Arial" w:hAnsi="Arial" w:cs="Arial"/>
          <w:sz w:val="20"/>
          <w:szCs w:val="20"/>
        </w:rPr>
        <w:t xml:space="preserve">as </w:t>
      </w:r>
      <w:r>
        <w:rPr>
          <w:rFonts w:ascii="Arial" w:hAnsi="Arial" w:cs="Arial"/>
          <w:sz w:val="20"/>
          <w:szCs w:val="20"/>
        </w:rPr>
        <w:t xml:space="preserve">the primary mechanism to administer the </w:t>
      </w:r>
      <w:r w:rsidRPr="009E34D4">
        <w:rPr>
          <w:rFonts w:ascii="Arial" w:hAnsi="Arial" w:cs="Arial"/>
          <w:sz w:val="20"/>
          <w:szCs w:val="20"/>
        </w:rPr>
        <w:t>allocation of government</w:t>
      </w:r>
      <w:r>
        <w:rPr>
          <w:rFonts w:ascii="Arial" w:hAnsi="Arial" w:cs="Arial"/>
          <w:sz w:val="20"/>
          <w:szCs w:val="20"/>
        </w:rPr>
        <w:t>-</w:t>
      </w:r>
      <w:r w:rsidRPr="009E34D4">
        <w:rPr>
          <w:rFonts w:ascii="Arial" w:hAnsi="Arial" w:cs="Arial"/>
          <w:sz w:val="20"/>
          <w:szCs w:val="20"/>
        </w:rPr>
        <w:t xml:space="preserve">supported </w:t>
      </w:r>
      <w:r>
        <w:rPr>
          <w:rFonts w:ascii="Arial" w:hAnsi="Arial" w:cs="Arial"/>
          <w:sz w:val="20"/>
          <w:szCs w:val="20"/>
        </w:rPr>
        <w:t xml:space="preserve">student </w:t>
      </w:r>
      <w:r w:rsidRPr="009E34D4">
        <w:rPr>
          <w:rFonts w:ascii="Arial" w:hAnsi="Arial" w:cs="Arial"/>
          <w:sz w:val="20"/>
          <w:szCs w:val="20"/>
        </w:rPr>
        <w:t>places</w:t>
      </w:r>
      <w:r>
        <w:rPr>
          <w:rFonts w:ascii="Arial" w:hAnsi="Arial" w:cs="Arial"/>
          <w:sz w:val="20"/>
          <w:szCs w:val="20"/>
        </w:rPr>
        <w:t xml:space="preserve">.  For example, </w:t>
      </w:r>
      <w:r w:rsidRPr="009E34D4">
        <w:rPr>
          <w:rFonts w:ascii="Arial" w:hAnsi="Arial" w:cs="Arial"/>
          <w:sz w:val="20"/>
          <w:szCs w:val="20"/>
        </w:rPr>
        <w:t>where a university is seeking a substantia</w:t>
      </w:r>
      <w:r w:rsidR="00662EEA">
        <w:rPr>
          <w:rFonts w:ascii="Arial" w:hAnsi="Arial" w:cs="Arial"/>
          <w:sz w:val="20"/>
          <w:szCs w:val="20"/>
        </w:rPr>
        <w:t>l</w:t>
      </w:r>
      <w:r>
        <w:rPr>
          <w:rFonts w:ascii="Arial" w:hAnsi="Arial" w:cs="Arial"/>
          <w:sz w:val="20"/>
          <w:szCs w:val="20"/>
        </w:rPr>
        <w:t xml:space="preserve"> </w:t>
      </w:r>
      <w:r w:rsidRPr="009E34D4">
        <w:rPr>
          <w:rFonts w:ascii="Arial" w:hAnsi="Arial" w:cs="Arial"/>
          <w:sz w:val="20"/>
          <w:szCs w:val="20"/>
        </w:rPr>
        <w:t xml:space="preserve">increase </w:t>
      </w:r>
      <w:r>
        <w:rPr>
          <w:rFonts w:ascii="Arial" w:hAnsi="Arial" w:cs="Arial"/>
          <w:sz w:val="20"/>
          <w:szCs w:val="20"/>
        </w:rPr>
        <w:t xml:space="preserve">in </w:t>
      </w:r>
      <w:r w:rsidRPr="009E34D4">
        <w:rPr>
          <w:rFonts w:ascii="Arial" w:hAnsi="Arial" w:cs="Arial"/>
          <w:sz w:val="20"/>
          <w:szCs w:val="20"/>
        </w:rPr>
        <w:t>enrolments</w:t>
      </w:r>
      <w:r>
        <w:rPr>
          <w:rFonts w:ascii="Arial" w:hAnsi="Arial" w:cs="Arial"/>
          <w:sz w:val="20"/>
          <w:szCs w:val="20"/>
        </w:rPr>
        <w:t>, the PAA</w:t>
      </w:r>
      <w:r w:rsidRPr="009E34D4">
        <w:rPr>
          <w:rFonts w:ascii="Arial" w:hAnsi="Arial" w:cs="Arial"/>
          <w:sz w:val="20"/>
          <w:szCs w:val="20"/>
        </w:rPr>
        <w:t xml:space="preserve"> would importantly require the university </w:t>
      </w:r>
      <w:r>
        <w:rPr>
          <w:rFonts w:ascii="Arial" w:hAnsi="Arial" w:cs="Arial"/>
          <w:sz w:val="20"/>
          <w:szCs w:val="20"/>
        </w:rPr>
        <w:t xml:space="preserve">to </w:t>
      </w:r>
      <w:r w:rsidRPr="009E34D4">
        <w:rPr>
          <w:rFonts w:ascii="Arial" w:hAnsi="Arial" w:cs="Arial"/>
          <w:sz w:val="20"/>
          <w:szCs w:val="20"/>
        </w:rPr>
        <w:t xml:space="preserve">demonstrate it has the necessary physical and staffing resources to ensure each student </w:t>
      </w:r>
      <w:r>
        <w:rPr>
          <w:rFonts w:ascii="Arial" w:hAnsi="Arial" w:cs="Arial"/>
          <w:sz w:val="20"/>
          <w:szCs w:val="20"/>
        </w:rPr>
        <w:t xml:space="preserve">it intends to enrol </w:t>
      </w:r>
      <w:r w:rsidRPr="009E34D4">
        <w:rPr>
          <w:rFonts w:ascii="Arial" w:hAnsi="Arial" w:cs="Arial"/>
          <w:sz w:val="20"/>
          <w:szCs w:val="20"/>
        </w:rPr>
        <w:t>has a genuine opportunity to successfully complete their studies</w:t>
      </w:r>
      <w:r>
        <w:rPr>
          <w:rFonts w:ascii="Arial" w:hAnsi="Arial" w:cs="Arial"/>
          <w:sz w:val="20"/>
          <w:szCs w:val="20"/>
        </w:rPr>
        <w:t xml:space="preserve">.  The independent higher education Commission could also use the information it collects from all universities to better manage the total number of enrolments in particular disciplines.  It </w:t>
      </w:r>
      <w:r w:rsidR="005748C1">
        <w:rPr>
          <w:rFonts w:ascii="Arial" w:hAnsi="Arial" w:cs="Arial"/>
          <w:sz w:val="20"/>
          <w:szCs w:val="20"/>
        </w:rPr>
        <w:t xml:space="preserve">could negotiate/moderate individual university plans or encourage cooperation between universities if it believes there to many or too few enrolments in certain areas. </w:t>
      </w:r>
    </w:p>
    <w:p w14:paraId="0CC1465F" w14:textId="77777777" w:rsidR="005748C1" w:rsidRDefault="005748C1" w:rsidP="00510CA0">
      <w:pPr>
        <w:spacing w:line="360" w:lineRule="auto"/>
        <w:jc w:val="both"/>
        <w:rPr>
          <w:rFonts w:ascii="Arial" w:hAnsi="Arial" w:cs="Arial"/>
          <w:sz w:val="20"/>
          <w:szCs w:val="20"/>
        </w:rPr>
      </w:pPr>
    </w:p>
    <w:p w14:paraId="66DBE197" w14:textId="67B0343B" w:rsidR="005748C1" w:rsidRDefault="005748C1" w:rsidP="00510CA0">
      <w:pPr>
        <w:spacing w:line="360" w:lineRule="auto"/>
        <w:jc w:val="both"/>
        <w:rPr>
          <w:rFonts w:ascii="Arial" w:hAnsi="Arial" w:cs="Arial"/>
          <w:sz w:val="20"/>
          <w:szCs w:val="20"/>
        </w:rPr>
      </w:pPr>
      <w:r>
        <w:rPr>
          <w:rFonts w:ascii="Arial" w:hAnsi="Arial" w:cs="Arial"/>
          <w:sz w:val="20"/>
          <w:szCs w:val="20"/>
        </w:rPr>
        <w:t xml:space="preserve">Other than these core areas the NTEU is also suggesting that PAAs could be used to help address two of the other issues (discussed below) that need to be addressed in relation to higher, namely: </w:t>
      </w:r>
    </w:p>
    <w:p w14:paraId="49B71700" w14:textId="7802B7D8" w:rsidR="005748C1" w:rsidRPr="005748C1" w:rsidRDefault="005748C1" w:rsidP="00510CA0">
      <w:pPr>
        <w:pStyle w:val="ListParagraph"/>
        <w:numPr>
          <w:ilvl w:val="0"/>
          <w:numId w:val="32"/>
        </w:numPr>
        <w:spacing w:line="360" w:lineRule="auto"/>
        <w:jc w:val="both"/>
        <w:rPr>
          <w:rFonts w:ascii="Arial" w:hAnsi="Arial" w:cs="Arial"/>
          <w:color w:val="000000" w:themeColor="text1"/>
          <w:sz w:val="20"/>
          <w:szCs w:val="20"/>
        </w:rPr>
      </w:pPr>
      <w:r w:rsidRPr="005748C1">
        <w:rPr>
          <w:rFonts w:ascii="Arial" w:hAnsi="Arial" w:cs="Arial"/>
          <w:color w:val="000000" w:themeColor="text1"/>
          <w:sz w:val="20"/>
          <w:szCs w:val="20"/>
        </w:rPr>
        <w:t>university governance; and</w:t>
      </w:r>
    </w:p>
    <w:p w14:paraId="6BBF3244" w14:textId="2BACDDEB" w:rsidR="00AB03B8" w:rsidRPr="005748C1" w:rsidRDefault="009E34D4" w:rsidP="00510CA0">
      <w:pPr>
        <w:pStyle w:val="ListParagraph"/>
        <w:numPr>
          <w:ilvl w:val="0"/>
          <w:numId w:val="30"/>
        </w:numPr>
        <w:spacing w:line="360" w:lineRule="auto"/>
        <w:jc w:val="both"/>
        <w:rPr>
          <w:rFonts w:ascii="Arial" w:hAnsi="Arial" w:cs="Arial"/>
          <w:sz w:val="20"/>
          <w:szCs w:val="20"/>
        </w:rPr>
      </w:pPr>
      <w:r w:rsidRPr="005748C1">
        <w:rPr>
          <w:rFonts w:ascii="Arial" w:hAnsi="Arial" w:cs="Arial"/>
          <w:color w:val="000000" w:themeColor="text1"/>
          <w:sz w:val="20"/>
          <w:szCs w:val="20"/>
        </w:rPr>
        <w:t>employment</w:t>
      </w:r>
      <w:r w:rsidR="005748C1" w:rsidRPr="005748C1">
        <w:rPr>
          <w:rFonts w:ascii="Arial" w:hAnsi="Arial" w:cs="Arial"/>
          <w:color w:val="000000" w:themeColor="text1"/>
          <w:sz w:val="20"/>
          <w:szCs w:val="20"/>
        </w:rPr>
        <w:t xml:space="preserve"> security.</w:t>
      </w:r>
      <w:r w:rsidRPr="005748C1">
        <w:rPr>
          <w:rFonts w:ascii="Arial" w:hAnsi="Arial" w:cs="Arial"/>
          <w:color w:val="000000" w:themeColor="text1"/>
          <w:sz w:val="20"/>
          <w:szCs w:val="20"/>
        </w:rPr>
        <w:t xml:space="preserve"> </w:t>
      </w:r>
    </w:p>
    <w:p w14:paraId="21CA5498" w14:textId="38DB7770" w:rsidR="005748C1" w:rsidRDefault="005748C1" w:rsidP="00510CA0">
      <w:pPr>
        <w:spacing w:line="360" w:lineRule="auto"/>
        <w:jc w:val="both"/>
        <w:rPr>
          <w:rFonts w:ascii="Arial" w:hAnsi="Arial" w:cs="Arial"/>
          <w:sz w:val="20"/>
          <w:szCs w:val="20"/>
        </w:rPr>
      </w:pPr>
    </w:p>
    <w:p w14:paraId="5681D0C0" w14:textId="2750D672" w:rsidR="005748C1" w:rsidRPr="00BC4A0E" w:rsidRDefault="005748C1" w:rsidP="00510CA0">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rPr>
      </w:pPr>
      <w:r w:rsidRPr="00BC4A0E">
        <w:rPr>
          <w:rFonts w:ascii="Arial" w:hAnsi="Arial" w:cs="Arial"/>
          <w:b/>
          <w:bCs/>
          <w:sz w:val="20"/>
          <w:szCs w:val="20"/>
        </w:rPr>
        <w:t>RECOMMENDATION 4</w:t>
      </w:r>
    </w:p>
    <w:p w14:paraId="633FAD2D" w14:textId="2366E7F4" w:rsidR="005748C1" w:rsidRDefault="005748C1" w:rsidP="00510CA0">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BC4A0E">
        <w:rPr>
          <w:rFonts w:ascii="Arial" w:hAnsi="Arial" w:cs="Arial"/>
          <w:b/>
          <w:bCs/>
          <w:sz w:val="20"/>
          <w:szCs w:val="20"/>
        </w:rPr>
        <w:t>That the government introduce a</w:t>
      </w:r>
      <w:r w:rsidR="00BC4A0E" w:rsidRPr="00BC4A0E">
        <w:rPr>
          <w:rFonts w:ascii="Arial" w:hAnsi="Arial" w:cs="Arial"/>
          <w:b/>
          <w:bCs/>
          <w:sz w:val="20"/>
          <w:szCs w:val="20"/>
        </w:rPr>
        <w:t xml:space="preserve"> Public Accountability Agreement (PAA) framework as the primary or the planning/funding/accountability framework to replace existing strategic plans, funding and</w:t>
      </w:r>
      <w:r w:rsidR="00BC4A0E">
        <w:rPr>
          <w:rFonts w:ascii="Arial" w:hAnsi="Arial" w:cs="Arial"/>
          <w:sz w:val="20"/>
          <w:szCs w:val="20"/>
        </w:rPr>
        <w:t xml:space="preserve"> </w:t>
      </w:r>
      <w:r w:rsidR="00BC4A0E" w:rsidRPr="00072EC2">
        <w:rPr>
          <w:rFonts w:ascii="Arial" w:hAnsi="Arial" w:cs="Arial"/>
          <w:b/>
          <w:bCs/>
          <w:sz w:val="20"/>
          <w:szCs w:val="20"/>
        </w:rPr>
        <w:t>performance mechanisms.</w:t>
      </w:r>
    </w:p>
    <w:p w14:paraId="1B2D1073" w14:textId="77777777" w:rsidR="005748C1" w:rsidRPr="005748C1" w:rsidRDefault="005748C1" w:rsidP="00510CA0">
      <w:pPr>
        <w:spacing w:line="360" w:lineRule="auto"/>
        <w:jc w:val="both"/>
        <w:rPr>
          <w:rFonts w:ascii="Arial" w:hAnsi="Arial" w:cs="Arial"/>
          <w:sz w:val="20"/>
          <w:szCs w:val="20"/>
        </w:rPr>
      </w:pPr>
    </w:p>
    <w:p w14:paraId="50AA6C90" w14:textId="77777777" w:rsidR="00072EC2" w:rsidRDefault="00072EC2" w:rsidP="00510CA0">
      <w:pPr>
        <w:spacing w:line="360" w:lineRule="auto"/>
        <w:jc w:val="both"/>
        <w:rPr>
          <w:rFonts w:ascii="Arial" w:hAnsi="Arial" w:cs="Arial"/>
          <w:b/>
          <w:bCs/>
        </w:rPr>
      </w:pPr>
    </w:p>
    <w:p w14:paraId="5060171A" w14:textId="71186A14" w:rsidR="001011E6" w:rsidRDefault="004A239E" w:rsidP="00510CA0">
      <w:pPr>
        <w:spacing w:line="360" w:lineRule="auto"/>
        <w:jc w:val="both"/>
        <w:rPr>
          <w:rFonts w:ascii="Arial" w:hAnsi="Arial" w:cs="Arial"/>
          <w:b/>
          <w:bCs/>
        </w:rPr>
      </w:pPr>
      <w:r w:rsidRPr="00497B6B">
        <w:rPr>
          <w:rFonts w:ascii="Arial" w:hAnsi="Arial" w:cs="Arial"/>
          <w:b/>
          <w:bCs/>
        </w:rPr>
        <w:t>Governance</w:t>
      </w:r>
    </w:p>
    <w:p w14:paraId="1A471E5C" w14:textId="357DCC82" w:rsidR="00C66E7E" w:rsidRDefault="00C66E7E" w:rsidP="00510CA0">
      <w:pPr>
        <w:spacing w:before="120" w:after="120" w:line="360" w:lineRule="auto"/>
        <w:jc w:val="both"/>
        <w:rPr>
          <w:rFonts w:ascii="Arial" w:hAnsi="Arial" w:cs="Arial"/>
          <w:sz w:val="20"/>
          <w:szCs w:val="20"/>
        </w:rPr>
      </w:pPr>
      <w:r>
        <w:rPr>
          <w:rFonts w:ascii="Arial" w:hAnsi="Arial" w:cs="Arial"/>
          <w:sz w:val="20"/>
          <w:szCs w:val="20"/>
        </w:rPr>
        <w:t xml:space="preserve">Before </w:t>
      </w:r>
      <w:r w:rsidR="00E56BE1">
        <w:rPr>
          <w:rFonts w:ascii="Arial" w:hAnsi="Arial" w:cs="Arial"/>
          <w:sz w:val="20"/>
          <w:szCs w:val="20"/>
        </w:rPr>
        <w:t>proposing</w:t>
      </w:r>
      <w:r>
        <w:rPr>
          <w:rFonts w:ascii="Arial" w:hAnsi="Arial" w:cs="Arial"/>
          <w:sz w:val="20"/>
          <w:szCs w:val="20"/>
        </w:rPr>
        <w:t xml:space="preserve"> the appropriate governance arrangements for Australia’s public universities, we must first come to an understanding </w:t>
      </w:r>
      <w:r w:rsidR="00072EC2">
        <w:rPr>
          <w:rFonts w:ascii="Arial" w:hAnsi="Arial" w:cs="Arial"/>
          <w:sz w:val="20"/>
          <w:szCs w:val="20"/>
        </w:rPr>
        <w:t xml:space="preserve">of </w:t>
      </w:r>
      <w:r>
        <w:rPr>
          <w:rFonts w:ascii="Arial" w:hAnsi="Arial" w:cs="Arial"/>
          <w:sz w:val="20"/>
          <w:szCs w:val="20"/>
        </w:rPr>
        <w:t xml:space="preserve">what the role of universities in the Australian society </w:t>
      </w:r>
      <w:r w:rsidR="00072EC2">
        <w:rPr>
          <w:rFonts w:ascii="Arial" w:hAnsi="Arial" w:cs="Arial"/>
          <w:sz w:val="20"/>
          <w:szCs w:val="20"/>
        </w:rPr>
        <w:t>should</w:t>
      </w:r>
      <w:r>
        <w:rPr>
          <w:rFonts w:ascii="Arial" w:hAnsi="Arial" w:cs="Arial"/>
          <w:sz w:val="20"/>
          <w:szCs w:val="20"/>
        </w:rPr>
        <w:t xml:space="preserve"> be. </w:t>
      </w:r>
    </w:p>
    <w:p w14:paraId="4B481788" w14:textId="0B6E1C7A" w:rsidR="00F71DAA" w:rsidRDefault="009D4AFA" w:rsidP="00510CA0">
      <w:pPr>
        <w:spacing w:before="120" w:after="120" w:line="360" w:lineRule="auto"/>
        <w:jc w:val="both"/>
        <w:rPr>
          <w:rFonts w:ascii="Arial" w:hAnsi="Arial" w:cs="Arial"/>
          <w:sz w:val="20"/>
          <w:szCs w:val="20"/>
        </w:rPr>
      </w:pPr>
      <w:r w:rsidRPr="00F71DAA">
        <w:rPr>
          <w:rFonts w:ascii="Arial" w:hAnsi="Arial" w:cs="Arial"/>
          <w:sz w:val="20"/>
          <w:szCs w:val="20"/>
        </w:rPr>
        <w:t xml:space="preserve">According to the </w:t>
      </w:r>
      <w:r w:rsidRPr="00F71DAA">
        <w:rPr>
          <w:rFonts w:ascii="Arial" w:eastAsiaTheme="majorEastAsia" w:hAnsi="Arial" w:cs="Arial"/>
          <w:sz w:val="20"/>
          <w:szCs w:val="20"/>
        </w:rPr>
        <w:t>Australian Higher Education Standards Framework (</w:t>
      </w:r>
      <w:r w:rsidRPr="00F71DAA">
        <w:rPr>
          <w:rFonts w:ascii="Arial" w:hAnsi="Arial" w:cs="Arial"/>
          <w:sz w:val="20"/>
          <w:szCs w:val="20"/>
        </w:rPr>
        <w:t>Part B: Criteria for Higher Education Providers) in order to be registered as an Australian university a provider must</w:t>
      </w:r>
      <w:r w:rsidR="00F71DAA">
        <w:rPr>
          <w:rFonts w:ascii="Arial" w:hAnsi="Arial" w:cs="Arial"/>
          <w:sz w:val="20"/>
          <w:szCs w:val="20"/>
        </w:rPr>
        <w:t>:</w:t>
      </w:r>
    </w:p>
    <w:p w14:paraId="60F2EF17" w14:textId="77777777" w:rsidR="00F71DAA" w:rsidRDefault="009D4AFA" w:rsidP="00510CA0">
      <w:pPr>
        <w:pStyle w:val="ListParagraph"/>
        <w:numPr>
          <w:ilvl w:val="0"/>
          <w:numId w:val="29"/>
        </w:numPr>
        <w:spacing w:before="120" w:after="120" w:line="360" w:lineRule="auto"/>
        <w:jc w:val="both"/>
        <w:rPr>
          <w:rFonts w:ascii="Arial" w:eastAsia="Calibri" w:hAnsi="Arial" w:cs="Arial"/>
          <w:sz w:val="20"/>
          <w:szCs w:val="20"/>
        </w:rPr>
      </w:pPr>
      <w:r w:rsidRPr="00F71DAA">
        <w:rPr>
          <w:rFonts w:ascii="Arial" w:eastAsia="Calibri" w:hAnsi="Arial" w:cs="Arial"/>
          <w:sz w:val="20"/>
          <w:szCs w:val="20"/>
        </w:rPr>
        <w:t xml:space="preserve">be authorised to self-accredit its courses; </w:t>
      </w:r>
    </w:p>
    <w:p w14:paraId="2C21D285" w14:textId="77777777" w:rsidR="00F71DAA" w:rsidRDefault="009D4AFA" w:rsidP="00510CA0">
      <w:pPr>
        <w:pStyle w:val="ListParagraph"/>
        <w:numPr>
          <w:ilvl w:val="0"/>
          <w:numId w:val="29"/>
        </w:numPr>
        <w:spacing w:before="120" w:after="120" w:line="360" w:lineRule="auto"/>
        <w:jc w:val="both"/>
        <w:rPr>
          <w:rFonts w:ascii="Arial" w:eastAsia="Calibri" w:hAnsi="Arial" w:cs="Arial"/>
          <w:sz w:val="20"/>
          <w:szCs w:val="20"/>
        </w:rPr>
      </w:pPr>
      <w:r w:rsidRPr="00F71DAA">
        <w:rPr>
          <w:rFonts w:ascii="Arial" w:eastAsia="Calibri" w:hAnsi="Arial" w:cs="Arial"/>
          <w:sz w:val="20"/>
          <w:szCs w:val="20"/>
        </w:rPr>
        <w:t>deliver undergraduate, postgraduate and doctoral (research) qualifications</w:t>
      </w:r>
      <w:r w:rsidR="00F71DAA">
        <w:rPr>
          <w:rFonts w:ascii="Arial" w:eastAsia="Calibri" w:hAnsi="Arial" w:cs="Arial"/>
          <w:sz w:val="20"/>
          <w:szCs w:val="20"/>
        </w:rPr>
        <w:t>;</w:t>
      </w:r>
    </w:p>
    <w:p w14:paraId="1D385D41" w14:textId="77777777" w:rsidR="00F71DAA" w:rsidRDefault="009D4AFA" w:rsidP="00510CA0">
      <w:pPr>
        <w:pStyle w:val="ListParagraph"/>
        <w:numPr>
          <w:ilvl w:val="0"/>
          <w:numId w:val="29"/>
        </w:numPr>
        <w:spacing w:before="120" w:after="120" w:line="360" w:lineRule="auto"/>
        <w:jc w:val="both"/>
        <w:rPr>
          <w:rFonts w:ascii="Arial" w:eastAsia="Calibri" w:hAnsi="Arial" w:cs="Arial"/>
          <w:sz w:val="20"/>
          <w:szCs w:val="20"/>
        </w:rPr>
      </w:pPr>
      <w:r w:rsidRPr="00F71DAA">
        <w:rPr>
          <w:rFonts w:ascii="Arial" w:eastAsia="Calibri" w:hAnsi="Arial" w:cs="Arial"/>
          <w:sz w:val="20"/>
          <w:szCs w:val="20"/>
        </w:rPr>
        <w:t xml:space="preserve">undertake research; </w:t>
      </w:r>
    </w:p>
    <w:p w14:paraId="3879EF6F" w14:textId="77777777" w:rsidR="00F71DAA" w:rsidRDefault="009D4AFA" w:rsidP="00510CA0">
      <w:pPr>
        <w:pStyle w:val="ListParagraph"/>
        <w:numPr>
          <w:ilvl w:val="0"/>
          <w:numId w:val="29"/>
        </w:numPr>
        <w:spacing w:before="120" w:after="120" w:line="360" w:lineRule="auto"/>
        <w:jc w:val="both"/>
        <w:rPr>
          <w:rFonts w:ascii="Arial" w:eastAsia="Calibri" w:hAnsi="Arial" w:cs="Arial"/>
          <w:sz w:val="20"/>
          <w:szCs w:val="20"/>
        </w:rPr>
      </w:pPr>
      <w:r w:rsidRPr="00F71DAA">
        <w:rPr>
          <w:rFonts w:ascii="Arial" w:eastAsia="Calibri" w:hAnsi="Arial" w:cs="Arial"/>
          <w:sz w:val="20"/>
          <w:szCs w:val="20"/>
        </w:rPr>
        <w:t xml:space="preserve">demonstrate a commitment to the systematic advancement and dissemination of knowledge; </w:t>
      </w:r>
    </w:p>
    <w:p w14:paraId="008F5065" w14:textId="77777777" w:rsidR="00F71DAA" w:rsidRDefault="009D4AFA" w:rsidP="00510CA0">
      <w:pPr>
        <w:pStyle w:val="ListParagraph"/>
        <w:numPr>
          <w:ilvl w:val="0"/>
          <w:numId w:val="29"/>
        </w:numPr>
        <w:spacing w:before="120" w:after="120" w:line="360" w:lineRule="auto"/>
        <w:jc w:val="both"/>
        <w:rPr>
          <w:rFonts w:ascii="Arial" w:eastAsia="Calibri" w:hAnsi="Arial" w:cs="Arial"/>
          <w:sz w:val="20"/>
          <w:szCs w:val="20"/>
        </w:rPr>
      </w:pPr>
      <w:r w:rsidRPr="00F71DAA">
        <w:rPr>
          <w:rFonts w:ascii="Arial" w:eastAsia="Calibri" w:hAnsi="Arial" w:cs="Arial"/>
          <w:sz w:val="20"/>
          <w:szCs w:val="20"/>
        </w:rPr>
        <w:t xml:space="preserve">identify and implement good practices in student teaching which is informed by sustained scholarship; </w:t>
      </w:r>
    </w:p>
    <w:p w14:paraId="7FDDE241" w14:textId="77777777" w:rsidR="00F71DAA" w:rsidRDefault="00F71DAA" w:rsidP="00510CA0">
      <w:pPr>
        <w:pStyle w:val="ListParagraph"/>
        <w:numPr>
          <w:ilvl w:val="0"/>
          <w:numId w:val="29"/>
        </w:numPr>
        <w:spacing w:before="120" w:after="120" w:line="360" w:lineRule="auto"/>
        <w:jc w:val="both"/>
        <w:rPr>
          <w:rFonts w:ascii="Arial" w:eastAsia="Calibri" w:hAnsi="Arial" w:cs="Arial"/>
          <w:sz w:val="20"/>
          <w:szCs w:val="20"/>
        </w:rPr>
      </w:pPr>
      <w:r w:rsidRPr="00F71DAA">
        <w:rPr>
          <w:rFonts w:ascii="Arial" w:eastAsia="Calibri" w:hAnsi="Arial" w:cs="Arial"/>
          <w:sz w:val="20"/>
          <w:szCs w:val="20"/>
        </w:rPr>
        <w:t xml:space="preserve">offer a wide range of student services; </w:t>
      </w:r>
    </w:p>
    <w:p w14:paraId="0EB031FB" w14:textId="77777777" w:rsidR="00F71DAA" w:rsidRDefault="009D4AFA" w:rsidP="00510CA0">
      <w:pPr>
        <w:pStyle w:val="ListParagraph"/>
        <w:numPr>
          <w:ilvl w:val="0"/>
          <w:numId w:val="29"/>
        </w:numPr>
        <w:spacing w:before="120" w:after="120" w:line="360" w:lineRule="auto"/>
        <w:jc w:val="both"/>
        <w:rPr>
          <w:rFonts w:ascii="Arial" w:eastAsia="Calibri" w:hAnsi="Arial" w:cs="Arial"/>
          <w:sz w:val="20"/>
          <w:szCs w:val="20"/>
        </w:rPr>
      </w:pPr>
      <w:r w:rsidRPr="00F71DAA">
        <w:rPr>
          <w:rFonts w:ascii="Arial" w:eastAsia="Calibri" w:hAnsi="Arial" w:cs="Arial"/>
          <w:sz w:val="20"/>
          <w:szCs w:val="20"/>
        </w:rPr>
        <w:t>have systematic processes for quality assurance and the maintenance of academic standards and academic integrity</w:t>
      </w:r>
      <w:r w:rsidR="00F71DAA">
        <w:rPr>
          <w:rFonts w:ascii="Arial" w:eastAsia="Calibri" w:hAnsi="Arial" w:cs="Arial"/>
          <w:sz w:val="20"/>
          <w:szCs w:val="20"/>
        </w:rPr>
        <w:t>;</w:t>
      </w:r>
      <w:r w:rsidRPr="00F71DAA">
        <w:rPr>
          <w:rFonts w:ascii="Arial" w:eastAsia="Calibri" w:hAnsi="Arial" w:cs="Arial"/>
          <w:sz w:val="20"/>
          <w:szCs w:val="20"/>
        </w:rPr>
        <w:t xml:space="preserve"> and </w:t>
      </w:r>
    </w:p>
    <w:p w14:paraId="5C067CF3" w14:textId="6B1053DB" w:rsidR="009D4AFA" w:rsidRPr="00F71DAA" w:rsidRDefault="009D4AFA" w:rsidP="00510CA0">
      <w:pPr>
        <w:pStyle w:val="ListParagraph"/>
        <w:numPr>
          <w:ilvl w:val="0"/>
          <w:numId w:val="29"/>
        </w:numPr>
        <w:spacing w:before="120" w:after="120" w:line="360" w:lineRule="auto"/>
        <w:jc w:val="both"/>
        <w:rPr>
          <w:rFonts w:ascii="Arial" w:eastAsia="Calibri" w:hAnsi="Arial" w:cs="Arial"/>
          <w:sz w:val="20"/>
          <w:szCs w:val="20"/>
        </w:rPr>
      </w:pPr>
      <w:r w:rsidRPr="00F71DAA">
        <w:rPr>
          <w:rFonts w:ascii="Arial" w:eastAsia="Calibri" w:hAnsi="Arial" w:cs="Arial"/>
          <w:sz w:val="20"/>
          <w:szCs w:val="20"/>
        </w:rPr>
        <w:t>demonstrate engagement with its local and regional communities</w:t>
      </w:r>
      <w:r w:rsidR="00F71DAA" w:rsidRPr="00F71DAA">
        <w:rPr>
          <w:rFonts w:ascii="Arial" w:eastAsia="Calibri" w:hAnsi="Arial" w:cs="Arial"/>
          <w:sz w:val="20"/>
          <w:szCs w:val="20"/>
        </w:rPr>
        <w:t xml:space="preserve"> </w:t>
      </w:r>
      <w:r w:rsidRPr="00F71DAA">
        <w:rPr>
          <w:rFonts w:ascii="Arial" w:eastAsia="Calibri" w:hAnsi="Arial" w:cs="Arial"/>
          <w:sz w:val="20"/>
          <w:szCs w:val="20"/>
        </w:rPr>
        <w:t>and social responsibility in its activities</w:t>
      </w:r>
      <w:r w:rsidR="00F71DAA">
        <w:rPr>
          <w:rFonts w:ascii="Arial" w:eastAsia="Calibri" w:hAnsi="Arial" w:cs="Arial"/>
          <w:sz w:val="20"/>
          <w:szCs w:val="20"/>
        </w:rPr>
        <w:t>.</w:t>
      </w:r>
      <w:r w:rsidRPr="00F71DAA">
        <w:rPr>
          <w:rFonts w:ascii="Arial" w:eastAsia="Calibri" w:hAnsi="Arial" w:cs="Arial"/>
          <w:sz w:val="20"/>
          <w:szCs w:val="20"/>
        </w:rPr>
        <w:t xml:space="preserve"> </w:t>
      </w:r>
    </w:p>
    <w:p w14:paraId="4D190A16" w14:textId="5CAE44CB" w:rsidR="00F71DAA" w:rsidRDefault="00F71DAA" w:rsidP="00510CA0">
      <w:pPr>
        <w:spacing w:line="360" w:lineRule="auto"/>
        <w:jc w:val="both"/>
        <w:rPr>
          <w:rFonts w:ascii="Arial" w:hAnsi="Arial" w:cs="Arial"/>
          <w:color w:val="000000"/>
          <w:sz w:val="20"/>
          <w:szCs w:val="20"/>
        </w:rPr>
      </w:pPr>
      <w:r>
        <w:rPr>
          <w:rFonts w:ascii="Arial" w:hAnsi="Arial" w:cs="Arial"/>
          <w:sz w:val="20"/>
          <w:szCs w:val="20"/>
        </w:rPr>
        <w:t xml:space="preserve">The Objects of Higher Education Support Act (HESA) 2003 elaborate on this and make it clear that universities are expected to </w:t>
      </w:r>
      <w:r>
        <w:rPr>
          <w:rFonts w:ascii="Arial" w:hAnsi="Arial" w:cs="Arial"/>
          <w:color w:val="000000"/>
          <w:sz w:val="20"/>
          <w:szCs w:val="20"/>
        </w:rPr>
        <w:t xml:space="preserve">contribute to the intellectual, cultural, economic and social life of Australia and to create and advance knowledge and to apply that for the betterment of communities in Australia and overseas.   </w:t>
      </w:r>
    </w:p>
    <w:p w14:paraId="526A72D7" w14:textId="24921190" w:rsidR="00F71DAA" w:rsidRDefault="00F71DAA" w:rsidP="00510CA0">
      <w:pPr>
        <w:spacing w:line="360" w:lineRule="auto"/>
        <w:jc w:val="both"/>
        <w:rPr>
          <w:rFonts w:ascii="Arial" w:hAnsi="Arial" w:cs="Arial"/>
          <w:color w:val="000000"/>
          <w:sz w:val="20"/>
          <w:szCs w:val="20"/>
        </w:rPr>
      </w:pPr>
    </w:p>
    <w:p w14:paraId="2EA5C717" w14:textId="4A843BA9" w:rsidR="009D4AFA" w:rsidRPr="00C66E7E" w:rsidRDefault="00F71DAA" w:rsidP="00510CA0">
      <w:pPr>
        <w:spacing w:line="360" w:lineRule="auto"/>
        <w:jc w:val="both"/>
        <w:rPr>
          <w:rFonts w:ascii="Arial" w:hAnsi="Arial" w:cs="Arial"/>
          <w:color w:val="000000"/>
          <w:sz w:val="20"/>
          <w:szCs w:val="20"/>
        </w:rPr>
      </w:pPr>
      <w:r>
        <w:rPr>
          <w:rFonts w:ascii="Arial" w:hAnsi="Arial" w:cs="Arial"/>
          <w:color w:val="000000"/>
          <w:sz w:val="20"/>
          <w:szCs w:val="20"/>
        </w:rPr>
        <w:t xml:space="preserve">That is universities are expected to more than efficiently educate jobs-ready graduates or produce commercially variable research as has been the focus of much government policy </w:t>
      </w:r>
      <w:r w:rsidR="00C66E7E">
        <w:rPr>
          <w:rFonts w:ascii="Arial" w:hAnsi="Arial" w:cs="Arial"/>
          <w:color w:val="000000"/>
          <w:sz w:val="20"/>
          <w:szCs w:val="20"/>
        </w:rPr>
        <w:t xml:space="preserve">in recent years but they </w:t>
      </w:r>
      <w:r>
        <w:rPr>
          <w:rFonts w:ascii="Arial" w:hAnsi="Arial" w:cs="Arial"/>
          <w:color w:val="000000"/>
          <w:sz w:val="20"/>
          <w:szCs w:val="20"/>
        </w:rPr>
        <w:t>are expected to act in and for the broader public benefit</w:t>
      </w:r>
      <w:r w:rsidR="00C66E7E">
        <w:rPr>
          <w:rFonts w:ascii="Arial" w:hAnsi="Arial" w:cs="Arial"/>
          <w:color w:val="000000"/>
          <w:sz w:val="20"/>
          <w:szCs w:val="20"/>
        </w:rPr>
        <w:t xml:space="preserve">.  </w:t>
      </w:r>
    </w:p>
    <w:p w14:paraId="416D9B8E" w14:textId="77777777" w:rsidR="00C66E7E" w:rsidRDefault="00C66E7E" w:rsidP="00510CA0">
      <w:pPr>
        <w:spacing w:line="360" w:lineRule="auto"/>
        <w:jc w:val="both"/>
        <w:rPr>
          <w:rFonts w:ascii="Arial" w:hAnsi="Arial" w:cs="Arial"/>
          <w:sz w:val="20"/>
          <w:szCs w:val="20"/>
        </w:rPr>
      </w:pPr>
    </w:p>
    <w:p w14:paraId="44339F2B" w14:textId="08963233" w:rsidR="00C66E7E" w:rsidRDefault="00C66E7E" w:rsidP="00510CA0">
      <w:pPr>
        <w:spacing w:line="360" w:lineRule="auto"/>
        <w:jc w:val="both"/>
        <w:rPr>
          <w:rFonts w:ascii="Arial" w:hAnsi="Arial" w:cs="Arial"/>
          <w:sz w:val="20"/>
          <w:szCs w:val="20"/>
        </w:rPr>
      </w:pPr>
      <w:r w:rsidRPr="006E38AD">
        <w:rPr>
          <w:rFonts w:ascii="Arial" w:hAnsi="Arial" w:cs="Arial"/>
          <w:sz w:val="20"/>
          <w:szCs w:val="20"/>
        </w:rPr>
        <w:t xml:space="preserve">While the NTEU </w:t>
      </w:r>
      <w:r>
        <w:rPr>
          <w:rFonts w:ascii="Arial" w:hAnsi="Arial" w:cs="Arial"/>
          <w:sz w:val="20"/>
          <w:szCs w:val="20"/>
        </w:rPr>
        <w:t xml:space="preserve">has outlined why we believe the current government’s policy stance is not </w:t>
      </w:r>
      <w:r w:rsidR="00E56BE1">
        <w:rPr>
          <w:rFonts w:ascii="Arial" w:hAnsi="Arial" w:cs="Arial"/>
          <w:sz w:val="20"/>
          <w:szCs w:val="20"/>
        </w:rPr>
        <w:t>consistent</w:t>
      </w:r>
      <w:r>
        <w:rPr>
          <w:rFonts w:ascii="Arial" w:hAnsi="Arial" w:cs="Arial"/>
          <w:sz w:val="20"/>
          <w:szCs w:val="20"/>
        </w:rPr>
        <w:t xml:space="preserve"> with its own legislation’s objects or regulatory requirements, </w:t>
      </w:r>
      <w:r w:rsidRPr="006E38AD">
        <w:rPr>
          <w:rFonts w:ascii="Arial" w:hAnsi="Arial" w:cs="Arial"/>
          <w:sz w:val="20"/>
          <w:szCs w:val="20"/>
        </w:rPr>
        <w:t xml:space="preserve">we are equally critical of </w:t>
      </w:r>
      <w:r w:rsidR="008972DF">
        <w:rPr>
          <w:rFonts w:ascii="Arial" w:hAnsi="Arial" w:cs="Arial"/>
          <w:sz w:val="20"/>
          <w:szCs w:val="20"/>
        </w:rPr>
        <w:t>the</w:t>
      </w:r>
      <w:r w:rsidRPr="006E38AD">
        <w:rPr>
          <w:rFonts w:ascii="Arial" w:hAnsi="Arial" w:cs="Arial"/>
          <w:sz w:val="20"/>
          <w:szCs w:val="20"/>
        </w:rPr>
        <w:t xml:space="preserve"> way in which </w:t>
      </w:r>
      <w:r>
        <w:rPr>
          <w:rFonts w:ascii="Arial" w:hAnsi="Arial" w:cs="Arial"/>
          <w:sz w:val="20"/>
          <w:szCs w:val="20"/>
        </w:rPr>
        <w:t xml:space="preserve">Australia’s public universities </w:t>
      </w:r>
      <w:r w:rsidRPr="006E38AD">
        <w:rPr>
          <w:rFonts w:ascii="Arial" w:hAnsi="Arial" w:cs="Arial"/>
          <w:sz w:val="20"/>
          <w:szCs w:val="20"/>
        </w:rPr>
        <w:t xml:space="preserve">are </w:t>
      </w:r>
      <w:r w:rsidR="00E56BE1">
        <w:rPr>
          <w:rFonts w:ascii="Arial" w:hAnsi="Arial" w:cs="Arial"/>
          <w:sz w:val="20"/>
          <w:szCs w:val="20"/>
        </w:rPr>
        <w:t>governed</w:t>
      </w:r>
      <w:r>
        <w:rPr>
          <w:rFonts w:ascii="Arial" w:hAnsi="Arial" w:cs="Arial"/>
          <w:sz w:val="20"/>
          <w:szCs w:val="20"/>
        </w:rPr>
        <w:t xml:space="preserve">. </w:t>
      </w:r>
    </w:p>
    <w:p w14:paraId="14A31901" w14:textId="77777777" w:rsidR="009D4AFA" w:rsidRDefault="009D4AFA" w:rsidP="00510CA0">
      <w:pPr>
        <w:spacing w:line="360" w:lineRule="auto"/>
        <w:jc w:val="both"/>
        <w:rPr>
          <w:rFonts w:ascii="Arial" w:hAnsi="Arial" w:cs="Arial"/>
          <w:sz w:val="20"/>
          <w:szCs w:val="20"/>
        </w:rPr>
      </w:pPr>
    </w:p>
    <w:p w14:paraId="0D0ABBEB" w14:textId="6CAED571" w:rsidR="00E77C0F" w:rsidRDefault="006E38AD" w:rsidP="00510CA0">
      <w:pPr>
        <w:spacing w:line="360" w:lineRule="auto"/>
        <w:jc w:val="both"/>
        <w:rPr>
          <w:rFonts w:ascii="Arial" w:hAnsi="Arial" w:cs="Arial"/>
          <w:sz w:val="20"/>
          <w:szCs w:val="20"/>
        </w:rPr>
      </w:pPr>
      <w:r w:rsidRPr="006E38AD">
        <w:rPr>
          <w:rFonts w:ascii="Arial" w:hAnsi="Arial" w:cs="Arial"/>
          <w:sz w:val="20"/>
          <w:szCs w:val="20"/>
        </w:rPr>
        <w:t>In recent decades we have seen the emergence of the ‘enterprise university’</w:t>
      </w:r>
      <w:r>
        <w:rPr>
          <w:rFonts w:ascii="Arial" w:hAnsi="Arial" w:cs="Arial"/>
          <w:sz w:val="20"/>
          <w:szCs w:val="20"/>
        </w:rPr>
        <w:t xml:space="preserve"> </w:t>
      </w:r>
      <w:r w:rsidRPr="006E38AD">
        <w:rPr>
          <w:rFonts w:ascii="Arial" w:hAnsi="Arial" w:cs="Arial"/>
          <w:sz w:val="20"/>
          <w:szCs w:val="20"/>
        </w:rPr>
        <w:t>which Marginson and Considine (2000)</w:t>
      </w:r>
      <w:r>
        <w:rPr>
          <w:rStyle w:val="FootnoteReference"/>
          <w:rFonts w:ascii="Arial" w:hAnsi="Arial" w:cs="Arial"/>
          <w:sz w:val="20"/>
          <w:szCs w:val="20"/>
        </w:rPr>
        <w:footnoteReference w:id="5"/>
      </w:r>
      <w:r w:rsidRPr="006E38AD">
        <w:rPr>
          <w:rFonts w:ascii="Arial" w:hAnsi="Arial" w:cs="Arial"/>
          <w:sz w:val="20"/>
          <w:szCs w:val="20"/>
        </w:rPr>
        <w:t xml:space="preserve"> </w:t>
      </w:r>
      <w:r>
        <w:rPr>
          <w:rFonts w:ascii="Arial" w:hAnsi="Arial" w:cs="Arial"/>
          <w:sz w:val="20"/>
          <w:szCs w:val="20"/>
        </w:rPr>
        <w:t xml:space="preserve">described as </w:t>
      </w:r>
      <w:r w:rsidR="009F27F9">
        <w:rPr>
          <w:rFonts w:ascii="Arial" w:hAnsi="Arial" w:cs="Arial"/>
          <w:sz w:val="20"/>
          <w:szCs w:val="20"/>
        </w:rPr>
        <w:t>universities</w:t>
      </w:r>
      <w:r w:rsidR="002C27B2">
        <w:rPr>
          <w:rFonts w:ascii="Arial" w:hAnsi="Arial" w:cs="Arial"/>
          <w:sz w:val="20"/>
          <w:szCs w:val="20"/>
        </w:rPr>
        <w:t xml:space="preserve"> trying to (and indeed be</w:t>
      </w:r>
      <w:r w:rsidR="007D164B">
        <w:rPr>
          <w:rFonts w:ascii="Arial" w:hAnsi="Arial" w:cs="Arial"/>
          <w:sz w:val="20"/>
          <w:szCs w:val="20"/>
        </w:rPr>
        <w:t>ing</w:t>
      </w:r>
      <w:r w:rsidR="002C27B2">
        <w:rPr>
          <w:rFonts w:ascii="Arial" w:hAnsi="Arial" w:cs="Arial"/>
          <w:sz w:val="20"/>
          <w:szCs w:val="20"/>
        </w:rPr>
        <w:t xml:space="preserve"> encouraged to by funding cuts and changes in government policy</w:t>
      </w:r>
      <w:r w:rsidR="009F27F9">
        <w:rPr>
          <w:rFonts w:ascii="Arial" w:hAnsi="Arial" w:cs="Arial"/>
          <w:sz w:val="20"/>
          <w:szCs w:val="20"/>
        </w:rPr>
        <w:t xml:space="preserve"> such the 2005 National Governance Protocols</w:t>
      </w:r>
      <w:r w:rsidR="002C27B2">
        <w:rPr>
          <w:rFonts w:ascii="Arial" w:hAnsi="Arial" w:cs="Arial"/>
          <w:sz w:val="20"/>
          <w:szCs w:val="20"/>
        </w:rPr>
        <w:t xml:space="preserve">) </w:t>
      </w:r>
      <w:r w:rsidR="009F27F9">
        <w:rPr>
          <w:rFonts w:ascii="Arial" w:hAnsi="Arial" w:cs="Arial"/>
          <w:sz w:val="20"/>
          <w:szCs w:val="20"/>
        </w:rPr>
        <w:t>to imitate corporate governance structures</w:t>
      </w:r>
      <w:r w:rsidR="00E56BE1">
        <w:rPr>
          <w:rFonts w:ascii="Arial" w:hAnsi="Arial" w:cs="Arial"/>
          <w:sz w:val="20"/>
          <w:szCs w:val="20"/>
        </w:rPr>
        <w:t>. These</w:t>
      </w:r>
      <w:r w:rsidR="009F27F9">
        <w:rPr>
          <w:rFonts w:ascii="Arial" w:hAnsi="Arial" w:cs="Arial"/>
          <w:sz w:val="20"/>
          <w:szCs w:val="20"/>
        </w:rPr>
        <w:t xml:space="preserve"> are </w:t>
      </w:r>
      <w:r w:rsidRPr="006E38AD">
        <w:rPr>
          <w:rFonts w:ascii="Arial" w:hAnsi="Arial" w:cs="Arial"/>
          <w:sz w:val="20"/>
          <w:szCs w:val="20"/>
        </w:rPr>
        <w:t>characterised</w:t>
      </w:r>
      <w:r w:rsidR="006E487E">
        <w:rPr>
          <w:rFonts w:ascii="Arial" w:hAnsi="Arial" w:cs="Arial"/>
          <w:sz w:val="20"/>
          <w:szCs w:val="20"/>
        </w:rPr>
        <w:t xml:space="preserve"> by</w:t>
      </w:r>
      <w:r w:rsidR="00E56BE1">
        <w:rPr>
          <w:rFonts w:ascii="Arial" w:hAnsi="Arial" w:cs="Arial"/>
          <w:sz w:val="20"/>
          <w:szCs w:val="20"/>
        </w:rPr>
        <w:t xml:space="preserve"> </w:t>
      </w:r>
      <w:r w:rsidRPr="006E38AD">
        <w:rPr>
          <w:rFonts w:ascii="Arial" w:hAnsi="Arial" w:cs="Arial"/>
          <w:sz w:val="20"/>
          <w:szCs w:val="20"/>
        </w:rPr>
        <w:t>strong executive control</w:t>
      </w:r>
      <w:r>
        <w:rPr>
          <w:rFonts w:ascii="Arial" w:hAnsi="Arial" w:cs="Arial"/>
          <w:sz w:val="20"/>
          <w:szCs w:val="20"/>
        </w:rPr>
        <w:t xml:space="preserve"> and the</w:t>
      </w:r>
      <w:r w:rsidRPr="006E38AD">
        <w:rPr>
          <w:rFonts w:ascii="Arial" w:hAnsi="Arial" w:cs="Arial"/>
          <w:sz w:val="20"/>
          <w:szCs w:val="20"/>
        </w:rPr>
        <w:t xml:space="preserve"> diminution of the roles of important academic functions through Senates, Councils and Academic Boards</w:t>
      </w:r>
      <w:r w:rsidR="00E56BE1">
        <w:rPr>
          <w:rFonts w:ascii="Arial" w:hAnsi="Arial" w:cs="Arial"/>
          <w:sz w:val="20"/>
          <w:szCs w:val="20"/>
        </w:rPr>
        <w:t xml:space="preserve">, which had previously been </w:t>
      </w:r>
      <w:r w:rsidR="000C57CE">
        <w:rPr>
          <w:rFonts w:ascii="Arial" w:hAnsi="Arial" w:cs="Arial"/>
          <w:sz w:val="20"/>
          <w:szCs w:val="20"/>
        </w:rPr>
        <w:t xml:space="preserve">more </w:t>
      </w:r>
      <w:r w:rsidR="00E56BE1">
        <w:rPr>
          <w:rFonts w:ascii="Arial" w:hAnsi="Arial" w:cs="Arial"/>
          <w:sz w:val="20"/>
          <w:szCs w:val="20"/>
        </w:rPr>
        <w:t>collegial.</w:t>
      </w:r>
      <w:r w:rsidR="009F27F9">
        <w:rPr>
          <w:rFonts w:ascii="Arial" w:hAnsi="Arial" w:cs="Arial"/>
          <w:sz w:val="20"/>
          <w:szCs w:val="20"/>
        </w:rPr>
        <w:t xml:space="preserve"> </w:t>
      </w:r>
    </w:p>
    <w:p w14:paraId="4D35AA29" w14:textId="28AE48AD" w:rsidR="004C2421" w:rsidRDefault="00E77C0F" w:rsidP="00510CA0">
      <w:pPr>
        <w:pStyle w:val="subsection"/>
        <w:spacing w:before="180" w:beforeAutospacing="0" w:after="0" w:afterAutospacing="0" w:line="360" w:lineRule="auto"/>
        <w:jc w:val="both"/>
        <w:rPr>
          <w:rFonts w:ascii="Arial" w:hAnsi="Arial" w:cs="Arial"/>
          <w:color w:val="000000"/>
          <w:sz w:val="20"/>
          <w:szCs w:val="20"/>
        </w:rPr>
      </w:pPr>
      <w:r>
        <w:rPr>
          <w:rFonts w:ascii="Arial" w:hAnsi="Arial" w:cs="Arial"/>
          <w:sz w:val="20"/>
          <w:szCs w:val="20"/>
        </w:rPr>
        <w:t>The NTEU questions whether a corporate governance, where the decision</w:t>
      </w:r>
      <w:r w:rsidR="000C57CE">
        <w:rPr>
          <w:rFonts w:ascii="Arial" w:hAnsi="Arial" w:cs="Arial"/>
          <w:sz w:val="20"/>
          <w:szCs w:val="20"/>
        </w:rPr>
        <w:t xml:space="preserve"> </w:t>
      </w:r>
      <w:r>
        <w:rPr>
          <w:rFonts w:ascii="Arial" w:hAnsi="Arial" w:cs="Arial"/>
          <w:sz w:val="20"/>
          <w:szCs w:val="20"/>
        </w:rPr>
        <w:t>making power is concentrated in hands of a limited number of (highly paid) senior executives, is fit for purpose for a contemporary Australian university</w:t>
      </w:r>
      <w:r w:rsidR="000C57CE">
        <w:rPr>
          <w:rFonts w:ascii="Arial" w:hAnsi="Arial" w:cs="Arial"/>
          <w:sz w:val="20"/>
          <w:szCs w:val="20"/>
        </w:rPr>
        <w:t xml:space="preserve">. </w:t>
      </w:r>
      <w:r>
        <w:rPr>
          <w:rFonts w:ascii="Arial" w:hAnsi="Arial" w:cs="Arial"/>
          <w:sz w:val="20"/>
          <w:szCs w:val="20"/>
        </w:rPr>
        <w:t xml:space="preserve"> </w:t>
      </w:r>
      <w:r w:rsidR="000C57CE">
        <w:rPr>
          <w:rFonts w:ascii="Arial" w:hAnsi="Arial" w:cs="Arial"/>
          <w:sz w:val="20"/>
          <w:szCs w:val="20"/>
        </w:rPr>
        <w:t>We note that, in</w:t>
      </w:r>
      <w:r>
        <w:rPr>
          <w:rFonts w:ascii="Arial" w:hAnsi="Arial" w:cs="Arial"/>
          <w:sz w:val="20"/>
          <w:szCs w:val="20"/>
        </w:rPr>
        <w:t xml:space="preserve"> addition to educating </w:t>
      </w:r>
      <w:r w:rsidR="00072EC2">
        <w:rPr>
          <w:rFonts w:ascii="Arial" w:hAnsi="Arial" w:cs="Arial"/>
          <w:sz w:val="20"/>
          <w:szCs w:val="20"/>
        </w:rPr>
        <w:t>“</w:t>
      </w:r>
      <w:r>
        <w:rPr>
          <w:rFonts w:ascii="Arial" w:hAnsi="Arial" w:cs="Arial"/>
          <w:sz w:val="20"/>
          <w:szCs w:val="20"/>
        </w:rPr>
        <w:t>jobs-ready graduates</w:t>
      </w:r>
      <w:r w:rsidR="00072EC2">
        <w:rPr>
          <w:rFonts w:ascii="Arial" w:hAnsi="Arial" w:cs="Arial"/>
          <w:sz w:val="20"/>
          <w:szCs w:val="20"/>
        </w:rPr>
        <w:t>”,</w:t>
      </w:r>
      <w:r>
        <w:rPr>
          <w:rFonts w:ascii="Arial" w:hAnsi="Arial" w:cs="Arial"/>
          <w:sz w:val="20"/>
          <w:szCs w:val="20"/>
        </w:rPr>
        <w:t xml:space="preserve"> </w:t>
      </w:r>
      <w:r w:rsidR="000C57CE">
        <w:rPr>
          <w:rFonts w:ascii="Arial" w:hAnsi="Arial" w:cs="Arial"/>
          <w:sz w:val="20"/>
          <w:szCs w:val="20"/>
        </w:rPr>
        <w:t xml:space="preserve">universities are </w:t>
      </w:r>
      <w:r>
        <w:rPr>
          <w:rFonts w:ascii="Arial" w:hAnsi="Arial" w:cs="Arial"/>
          <w:sz w:val="20"/>
          <w:szCs w:val="20"/>
        </w:rPr>
        <w:t xml:space="preserve">also expected to </w:t>
      </w:r>
      <w:r w:rsidR="000C57CE">
        <w:rPr>
          <w:rFonts w:ascii="Arial" w:hAnsi="Arial" w:cs="Arial"/>
          <w:sz w:val="20"/>
          <w:szCs w:val="20"/>
        </w:rPr>
        <w:t xml:space="preserve">educate students and produce research that </w:t>
      </w:r>
      <w:r>
        <w:rPr>
          <w:rFonts w:ascii="Arial" w:hAnsi="Arial" w:cs="Arial"/>
          <w:color w:val="000000"/>
          <w:sz w:val="20"/>
          <w:szCs w:val="20"/>
        </w:rPr>
        <w:t>contribute</w:t>
      </w:r>
      <w:r w:rsidR="000C57CE">
        <w:rPr>
          <w:rFonts w:ascii="Arial" w:hAnsi="Arial" w:cs="Arial"/>
          <w:color w:val="000000"/>
          <w:sz w:val="20"/>
          <w:szCs w:val="20"/>
        </w:rPr>
        <w:t>s</w:t>
      </w:r>
      <w:r>
        <w:rPr>
          <w:rFonts w:ascii="Arial" w:hAnsi="Arial" w:cs="Arial"/>
          <w:color w:val="000000"/>
          <w:sz w:val="20"/>
          <w:szCs w:val="20"/>
        </w:rPr>
        <w:t xml:space="preserve"> to the intellectual, cultural, economic and social life of Australia</w:t>
      </w:r>
      <w:r w:rsidR="000C57CE">
        <w:rPr>
          <w:rFonts w:ascii="Arial" w:hAnsi="Arial" w:cs="Arial"/>
          <w:color w:val="000000"/>
          <w:sz w:val="20"/>
          <w:szCs w:val="20"/>
        </w:rPr>
        <w:t>,</w:t>
      </w:r>
      <w:r>
        <w:rPr>
          <w:rFonts w:ascii="Arial" w:hAnsi="Arial" w:cs="Arial"/>
          <w:color w:val="000000"/>
          <w:sz w:val="20"/>
          <w:szCs w:val="20"/>
        </w:rPr>
        <w:t xml:space="preserve"> to create and advance knowledge</w:t>
      </w:r>
      <w:r w:rsidR="00072EC2">
        <w:rPr>
          <w:rFonts w:ascii="Arial" w:hAnsi="Arial" w:cs="Arial"/>
          <w:color w:val="000000"/>
          <w:sz w:val="20"/>
          <w:szCs w:val="20"/>
        </w:rPr>
        <w:t>,</w:t>
      </w:r>
      <w:r>
        <w:rPr>
          <w:rFonts w:ascii="Arial" w:hAnsi="Arial" w:cs="Arial"/>
          <w:color w:val="000000"/>
          <w:sz w:val="20"/>
          <w:szCs w:val="20"/>
        </w:rPr>
        <w:t xml:space="preserve"> and to </w:t>
      </w:r>
      <w:r w:rsidR="000C57CE">
        <w:rPr>
          <w:rFonts w:ascii="Arial" w:hAnsi="Arial" w:cs="Arial"/>
          <w:color w:val="000000"/>
          <w:sz w:val="20"/>
          <w:szCs w:val="20"/>
        </w:rPr>
        <w:t>help improve</w:t>
      </w:r>
      <w:r>
        <w:rPr>
          <w:rFonts w:ascii="Arial" w:hAnsi="Arial" w:cs="Arial"/>
          <w:color w:val="000000"/>
          <w:sz w:val="20"/>
          <w:szCs w:val="20"/>
        </w:rPr>
        <w:t xml:space="preserve"> communities</w:t>
      </w:r>
      <w:r w:rsidR="000C57CE">
        <w:rPr>
          <w:rFonts w:ascii="Arial" w:hAnsi="Arial" w:cs="Arial"/>
          <w:color w:val="000000"/>
          <w:sz w:val="20"/>
          <w:szCs w:val="20"/>
        </w:rPr>
        <w:t>, both</w:t>
      </w:r>
      <w:r>
        <w:rPr>
          <w:rFonts w:ascii="Arial" w:hAnsi="Arial" w:cs="Arial"/>
          <w:color w:val="000000"/>
          <w:sz w:val="20"/>
          <w:szCs w:val="20"/>
        </w:rPr>
        <w:t xml:space="preserve"> in Australia and overseas.   In other words, </w:t>
      </w:r>
      <w:r w:rsidR="00A6789B">
        <w:rPr>
          <w:rFonts w:ascii="Arial" w:hAnsi="Arial" w:cs="Arial"/>
          <w:color w:val="000000"/>
          <w:sz w:val="20"/>
          <w:szCs w:val="20"/>
        </w:rPr>
        <w:t xml:space="preserve">can a </w:t>
      </w:r>
      <w:r>
        <w:rPr>
          <w:rFonts w:ascii="Arial" w:hAnsi="Arial" w:cs="Arial"/>
          <w:color w:val="000000"/>
          <w:sz w:val="20"/>
          <w:szCs w:val="20"/>
        </w:rPr>
        <w:t>universit</w:t>
      </w:r>
      <w:r w:rsidR="00A6789B">
        <w:rPr>
          <w:rFonts w:ascii="Arial" w:hAnsi="Arial" w:cs="Arial"/>
          <w:color w:val="000000"/>
          <w:sz w:val="20"/>
          <w:szCs w:val="20"/>
        </w:rPr>
        <w:t>y</w:t>
      </w:r>
      <w:r>
        <w:rPr>
          <w:rFonts w:ascii="Arial" w:hAnsi="Arial" w:cs="Arial"/>
          <w:color w:val="000000"/>
          <w:sz w:val="20"/>
          <w:szCs w:val="20"/>
        </w:rPr>
        <w:t xml:space="preserve"> </w:t>
      </w:r>
      <w:r w:rsidR="00072EC2">
        <w:rPr>
          <w:rFonts w:ascii="Arial" w:hAnsi="Arial" w:cs="Arial"/>
          <w:color w:val="000000"/>
          <w:sz w:val="20"/>
          <w:szCs w:val="20"/>
        </w:rPr>
        <w:t>be</w:t>
      </w:r>
      <w:r>
        <w:rPr>
          <w:rFonts w:ascii="Arial" w:hAnsi="Arial" w:cs="Arial"/>
          <w:color w:val="000000"/>
          <w:sz w:val="20"/>
          <w:szCs w:val="20"/>
        </w:rPr>
        <w:t xml:space="preserve"> expected to act in and for the broader public benefit</w:t>
      </w:r>
      <w:r w:rsidR="00072EC2">
        <w:rPr>
          <w:rFonts w:ascii="Arial" w:hAnsi="Arial" w:cs="Arial"/>
          <w:color w:val="000000"/>
          <w:sz w:val="20"/>
          <w:szCs w:val="20"/>
        </w:rPr>
        <w:t>,</w:t>
      </w:r>
      <w:r w:rsidR="000C57CE">
        <w:rPr>
          <w:rFonts w:ascii="Arial" w:hAnsi="Arial" w:cs="Arial"/>
          <w:color w:val="000000"/>
          <w:sz w:val="20"/>
          <w:szCs w:val="20"/>
        </w:rPr>
        <w:t xml:space="preserve"> while</w:t>
      </w:r>
      <w:r w:rsidR="00072EC2">
        <w:rPr>
          <w:rFonts w:ascii="Arial" w:hAnsi="Arial" w:cs="Arial"/>
          <w:color w:val="000000"/>
          <w:sz w:val="20"/>
          <w:szCs w:val="20"/>
        </w:rPr>
        <w:t xml:space="preserve"> also</w:t>
      </w:r>
      <w:r w:rsidR="00A6789B">
        <w:rPr>
          <w:rFonts w:ascii="Arial" w:hAnsi="Arial" w:cs="Arial"/>
          <w:color w:val="000000"/>
          <w:sz w:val="20"/>
          <w:szCs w:val="20"/>
        </w:rPr>
        <w:t xml:space="preserve"> be run like a for-profit corporation</w:t>
      </w:r>
      <w:r w:rsidR="000C57CE">
        <w:rPr>
          <w:rFonts w:ascii="Arial" w:hAnsi="Arial" w:cs="Arial"/>
          <w:color w:val="000000"/>
          <w:sz w:val="20"/>
          <w:szCs w:val="20"/>
        </w:rPr>
        <w:t>?</w:t>
      </w:r>
    </w:p>
    <w:p w14:paraId="29CC2E59" w14:textId="25E542E8" w:rsidR="00C14BB3" w:rsidRDefault="000A1E3D" w:rsidP="00510CA0">
      <w:pPr>
        <w:pStyle w:val="subsection"/>
        <w:spacing w:before="18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It is essential that if universities are</w:t>
      </w:r>
      <w:r w:rsidR="007D164B">
        <w:rPr>
          <w:rFonts w:ascii="Arial" w:hAnsi="Arial" w:cs="Arial"/>
          <w:color w:val="000000"/>
          <w:sz w:val="20"/>
          <w:szCs w:val="20"/>
        </w:rPr>
        <w:t xml:space="preserve"> to</w:t>
      </w:r>
      <w:r>
        <w:rPr>
          <w:rFonts w:ascii="Arial" w:hAnsi="Arial" w:cs="Arial"/>
          <w:color w:val="000000"/>
          <w:sz w:val="20"/>
          <w:szCs w:val="20"/>
        </w:rPr>
        <w:t xml:space="preserve"> meet their obligations</w:t>
      </w:r>
      <w:r w:rsidR="00072EC2">
        <w:rPr>
          <w:rFonts w:ascii="Arial" w:hAnsi="Arial" w:cs="Arial"/>
          <w:color w:val="000000"/>
          <w:sz w:val="20"/>
          <w:szCs w:val="20"/>
        </w:rPr>
        <w:t>,</w:t>
      </w:r>
      <w:r>
        <w:rPr>
          <w:rFonts w:ascii="Arial" w:hAnsi="Arial" w:cs="Arial"/>
          <w:color w:val="000000"/>
          <w:sz w:val="20"/>
          <w:szCs w:val="20"/>
        </w:rPr>
        <w:t xml:space="preserve"> </w:t>
      </w:r>
      <w:r w:rsidR="00072EC2">
        <w:rPr>
          <w:rFonts w:ascii="Arial" w:hAnsi="Arial" w:cs="Arial"/>
          <w:color w:val="000000"/>
          <w:sz w:val="20"/>
          <w:szCs w:val="20"/>
        </w:rPr>
        <w:t>t</w:t>
      </w:r>
      <w:r>
        <w:rPr>
          <w:rFonts w:ascii="Arial" w:hAnsi="Arial" w:cs="Arial"/>
          <w:color w:val="000000"/>
          <w:sz w:val="20"/>
          <w:szCs w:val="20"/>
        </w:rPr>
        <w:t xml:space="preserve">hat they must engage staff, students and communities in their decision-making processes. </w:t>
      </w:r>
      <w:r w:rsidR="00072EC2">
        <w:rPr>
          <w:rFonts w:ascii="Arial" w:hAnsi="Arial" w:cs="Arial"/>
          <w:color w:val="000000"/>
          <w:sz w:val="20"/>
          <w:szCs w:val="20"/>
        </w:rPr>
        <w:t xml:space="preserve">Yet, this does not occur in any meaningful way; </w:t>
      </w:r>
      <w:r w:rsidR="00F23691">
        <w:rPr>
          <w:rFonts w:ascii="Arial" w:hAnsi="Arial" w:cs="Arial"/>
          <w:color w:val="000000"/>
          <w:sz w:val="20"/>
          <w:szCs w:val="20"/>
        </w:rPr>
        <w:t>instead,</w:t>
      </w:r>
      <w:r w:rsidR="00072EC2">
        <w:rPr>
          <w:rFonts w:ascii="Arial" w:hAnsi="Arial" w:cs="Arial"/>
          <w:color w:val="000000"/>
          <w:sz w:val="20"/>
          <w:szCs w:val="20"/>
        </w:rPr>
        <w:t xml:space="preserve"> many universit</w:t>
      </w:r>
      <w:r w:rsidR="00F23691">
        <w:rPr>
          <w:rFonts w:ascii="Arial" w:hAnsi="Arial" w:cs="Arial"/>
          <w:color w:val="000000"/>
          <w:sz w:val="20"/>
          <w:szCs w:val="20"/>
        </w:rPr>
        <w:t xml:space="preserve">ies </w:t>
      </w:r>
      <w:r w:rsidR="00072EC2">
        <w:rPr>
          <w:rFonts w:ascii="Arial" w:hAnsi="Arial" w:cs="Arial"/>
          <w:color w:val="000000"/>
          <w:sz w:val="20"/>
          <w:szCs w:val="20"/>
        </w:rPr>
        <w:t>have actively and purposefully diminished or attempted to remove staff, student and alumni representatives</w:t>
      </w:r>
      <w:r w:rsidR="00F23691">
        <w:rPr>
          <w:rFonts w:ascii="Arial" w:hAnsi="Arial" w:cs="Arial"/>
          <w:color w:val="000000"/>
          <w:sz w:val="20"/>
          <w:szCs w:val="20"/>
        </w:rPr>
        <w:t xml:space="preserve"> from their governance structures and limited stakeholder input</w:t>
      </w:r>
      <w:r w:rsidR="00072EC2">
        <w:rPr>
          <w:rFonts w:ascii="Arial" w:hAnsi="Arial" w:cs="Arial"/>
          <w:color w:val="000000"/>
          <w:sz w:val="20"/>
          <w:szCs w:val="20"/>
        </w:rPr>
        <w:t>.</w:t>
      </w:r>
      <w:r w:rsidR="000C57CE">
        <w:rPr>
          <w:rFonts w:ascii="Arial" w:hAnsi="Arial" w:cs="Arial"/>
          <w:color w:val="000000"/>
          <w:sz w:val="20"/>
          <w:szCs w:val="20"/>
        </w:rPr>
        <w:t xml:space="preserve"> </w:t>
      </w:r>
    </w:p>
    <w:p w14:paraId="015C384F" w14:textId="1AF19910" w:rsidR="006D4DCC" w:rsidRDefault="000C57CE" w:rsidP="00510CA0">
      <w:pPr>
        <w:pStyle w:val="subsection"/>
        <w:spacing w:before="180" w:beforeAutospacing="0" w:after="0" w:afterAutospacing="0" w:line="360" w:lineRule="auto"/>
        <w:jc w:val="both"/>
        <w:rPr>
          <w:rFonts w:ascii="Arial" w:hAnsi="Arial" w:cs="Arial"/>
          <w:color w:val="000000"/>
          <w:sz w:val="20"/>
          <w:szCs w:val="20"/>
        </w:rPr>
      </w:pPr>
      <w:r>
        <w:rPr>
          <w:rFonts w:ascii="Arial" w:hAnsi="Arial" w:cs="Arial"/>
          <w:color w:val="000000"/>
          <w:sz w:val="20"/>
          <w:szCs w:val="20"/>
        </w:rPr>
        <w:t>The shift to a more corporate, managerial approach has been also assisted through successive government policies and a push for the sector to be ‘profitable’</w:t>
      </w:r>
      <w:r w:rsidR="00DC0DA1">
        <w:rPr>
          <w:rFonts w:ascii="Arial" w:hAnsi="Arial" w:cs="Arial"/>
          <w:color w:val="000000"/>
          <w:sz w:val="20"/>
          <w:szCs w:val="20"/>
        </w:rPr>
        <w:t>. W</w:t>
      </w:r>
      <w:r>
        <w:rPr>
          <w:rFonts w:ascii="Arial" w:hAnsi="Arial" w:cs="Arial"/>
          <w:color w:val="000000"/>
          <w:sz w:val="20"/>
          <w:szCs w:val="20"/>
        </w:rPr>
        <w:t xml:space="preserve">ith decreasing proportions of </w:t>
      </w:r>
      <w:r w:rsidR="00DC0DA1">
        <w:rPr>
          <w:rFonts w:ascii="Arial" w:hAnsi="Arial" w:cs="Arial"/>
          <w:color w:val="000000"/>
          <w:sz w:val="20"/>
          <w:szCs w:val="20"/>
        </w:rPr>
        <w:t>government</w:t>
      </w:r>
      <w:r>
        <w:rPr>
          <w:rFonts w:ascii="Arial" w:hAnsi="Arial" w:cs="Arial"/>
          <w:color w:val="000000"/>
          <w:sz w:val="20"/>
          <w:szCs w:val="20"/>
        </w:rPr>
        <w:t xml:space="preserve"> funding, universities</w:t>
      </w:r>
      <w:r w:rsidR="00DC0DA1">
        <w:rPr>
          <w:rFonts w:ascii="Arial" w:hAnsi="Arial" w:cs="Arial"/>
          <w:color w:val="000000"/>
          <w:sz w:val="20"/>
          <w:szCs w:val="20"/>
        </w:rPr>
        <w:t xml:space="preserve"> have shifted in a way that has seen them</w:t>
      </w:r>
      <w:r>
        <w:rPr>
          <w:rFonts w:ascii="Arial" w:hAnsi="Arial" w:cs="Arial"/>
          <w:color w:val="000000"/>
          <w:sz w:val="20"/>
          <w:szCs w:val="20"/>
        </w:rPr>
        <w:t xml:space="preserve"> act more like large corporations</w:t>
      </w:r>
      <w:r w:rsidR="00C14BB3">
        <w:rPr>
          <w:rFonts w:ascii="Arial" w:hAnsi="Arial" w:cs="Arial"/>
          <w:color w:val="000000"/>
          <w:sz w:val="20"/>
          <w:szCs w:val="20"/>
        </w:rPr>
        <w:t>, acting aggressively to compete for</w:t>
      </w:r>
      <w:r>
        <w:rPr>
          <w:rFonts w:ascii="Arial" w:hAnsi="Arial" w:cs="Arial"/>
          <w:color w:val="000000"/>
          <w:sz w:val="20"/>
          <w:szCs w:val="20"/>
        </w:rPr>
        <w:t xml:space="preserve"> advantag</w:t>
      </w:r>
      <w:r w:rsidR="00DC0DA1">
        <w:rPr>
          <w:rFonts w:ascii="Arial" w:hAnsi="Arial" w:cs="Arial"/>
          <w:color w:val="000000"/>
          <w:sz w:val="20"/>
          <w:szCs w:val="20"/>
        </w:rPr>
        <w:t>e</w:t>
      </w:r>
      <w:r>
        <w:rPr>
          <w:rFonts w:ascii="Arial" w:hAnsi="Arial" w:cs="Arial"/>
          <w:color w:val="000000"/>
          <w:sz w:val="20"/>
          <w:szCs w:val="20"/>
        </w:rPr>
        <w:t xml:space="preserve"> in the </w:t>
      </w:r>
      <w:r w:rsidR="00C14BB3">
        <w:rPr>
          <w:rFonts w:ascii="Arial" w:hAnsi="Arial" w:cs="Arial"/>
          <w:color w:val="000000"/>
          <w:sz w:val="20"/>
          <w:szCs w:val="20"/>
        </w:rPr>
        <w:t xml:space="preserve">domestic and international </w:t>
      </w:r>
      <w:r>
        <w:rPr>
          <w:rFonts w:ascii="Arial" w:hAnsi="Arial" w:cs="Arial"/>
          <w:color w:val="000000"/>
          <w:sz w:val="20"/>
          <w:szCs w:val="20"/>
        </w:rPr>
        <w:t xml:space="preserve">education market, </w:t>
      </w:r>
      <w:r w:rsidR="00C14BB3">
        <w:rPr>
          <w:rFonts w:ascii="Arial" w:hAnsi="Arial" w:cs="Arial"/>
          <w:color w:val="000000"/>
          <w:sz w:val="20"/>
          <w:szCs w:val="20"/>
        </w:rPr>
        <w:t>spending millions on marketing, recruitment and</w:t>
      </w:r>
      <w:r>
        <w:rPr>
          <w:rFonts w:ascii="Arial" w:hAnsi="Arial" w:cs="Arial"/>
          <w:color w:val="000000"/>
          <w:sz w:val="20"/>
          <w:szCs w:val="20"/>
        </w:rPr>
        <w:t xml:space="preserve"> brand image</w:t>
      </w:r>
      <w:r w:rsidR="00C14BB3">
        <w:rPr>
          <w:rFonts w:ascii="Arial" w:hAnsi="Arial" w:cs="Arial"/>
          <w:color w:val="000000"/>
          <w:sz w:val="20"/>
          <w:szCs w:val="20"/>
        </w:rPr>
        <w:t xml:space="preserve">, </w:t>
      </w:r>
      <w:r>
        <w:rPr>
          <w:rFonts w:ascii="Arial" w:hAnsi="Arial" w:cs="Arial"/>
          <w:color w:val="000000"/>
          <w:sz w:val="20"/>
          <w:szCs w:val="20"/>
        </w:rPr>
        <w:t xml:space="preserve">and </w:t>
      </w:r>
      <w:r w:rsidR="00C14BB3">
        <w:rPr>
          <w:rFonts w:ascii="Arial" w:hAnsi="Arial" w:cs="Arial"/>
          <w:color w:val="000000"/>
          <w:sz w:val="20"/>
          <w:szCs w:val="20"/>
        </w:rPr>
        <w:t xml:space="preserve">looking to grow their profitability to fund </w:t>
      </w:r>
      <w:r w:rsidR="00791A51">
        <w:rPr>
          <w:rFonts w:ascii="Arial" w:hAnsi="Arial" w:cs="Arial"/>
          <w:color w:val="000000"/>
          <w:sz w:val="20"/>
          <w:szCs w:val="20"/>
        </w:rPr>
        <w:t>expansion</w:t>
      </w:r>
      <w:r w:rsidR="00C14BB3">
        <w:rPr>
          <w:rFonts w:ascii="Arial" w:hAnsi="Arial" w:cs="Arial"/>
          <w:color w:val="000000"/>
          <w:sz w:val="20"/>
          <w:szCs w:val="20"/>
        </w:rPr>
        <w:t xml:space="preserve">. At the same time, universities have sought to reduce </w:t>
      </w:r>
      <w:r w:rsidR="00791A51">
        <w:rPr>
          <w:rFonts w:ascii="Arial" w:hAnsi="Arial" w:cs="Arial"/>
          <w:color w:val="000000"/>
          <w:sz w:val="20"/>
          <w:szCs w:val="20"/>
        </w:rPr>
        <w:t>ongoing expenditure,</w:t>
      </w:r>
      <w:r w:rsidR="00C14BB3">
        <w:rPr>
          <w:rFonts w:ascii="Arial" w:hAnsi="Arial" w:cs="Arial"/>
          <w:color w:val="000000"/>
          <w:sz w:val="20"/>
          <w:szCs w:val="20"/>
        </w:rPr>
        <w:t xml:space="preserve"> </w:t>
      </w:r>
      <w:r w:rsidR="00791A51">
        <w:rPr>
          <w:rFonts w:ascii="Arial" w:hAnsi="Arial" w:cs="Arial"/>
          <w:color w:val="000000"/>
          <w:sz w:val="20"/>
          <w:szCs w:val="20"/>
        </w:rPr>
        <w:t xml:space="preserve">the most significant being employment costs. </w:t>
      </w:r>
      <w:r w:rsidR="00C14BB3">
        <w:rPr>
          <w:rFonts w:ascii="Arial" w:hAnsi="Arial" w:cs="Arial"/>
          <w:color w:val="000000"/>
          <w:sz w:val="20"/>
          <w:szCs w:val="20"/>
        </w:rPr>
        <w:t xml:space="preserve">It is not a coincidence that the spread of managerialism and corporatisation in university governance has occurred at the same time as </w:t>
      </w:r>
      <w:r w:rsidR="00DC0DA1">
        <w:rPr>
          <w:rFonts w:ascii="Arial" w:hAnsi="Arial" w:cs="Arial"/>
          <w:color w:val="000000"/>
          <w:sz w:val="20"/>
          <w:szCs w:val="20"/>
        </w:rPr>
        <w:t>the</w:t>
      </w:r>
      <w:r w:rsidR="00C14BB3">
        <w:rPr>
          <w:rFonts w:ascii="Arial" w:hAnsi="Arial" w:cs="Arial"/>
          <w:color w:val="000000"/>
          <w:sz w:val="20"/>
          <w:szCs w:val="20"/>
        </w:rPr>
        <w:t xml:space="preserve"> leve</w:t>
      </w:r>
      <w:r w:rsidR="00DC0DA1">
        <w:rPr>
          <w:rFonts w:ascii="Arial" w:hAnsi="Arial" w:cs="Arial"/>
          <w:color w:val="000000"/>
          <w:sz w:val="20"/>
          <w:szCs w:val="20"/>
        </w:rPr>
        <w:t>l</w:t>
      </w:r>
      <w:r w:rsidR="00C14BB3">
        <w:rPr>
          <w:rFonts w:ascii="Arial" w:hAnsi="Arial" w:cs="Arial"/>
          <w:color w:val="000000"/>
          <w:sz w:val="20"/>
          <w:szCs w:val="20"/>
        </w:rPr>
        <w:t xml:space="preserve"> of insecure employment</w:t>
      </w:r>
      <w:r w:rsidR="00DC0DA1">
        <w:rPr>
          <w:rFonts w:ascii="Arial" w:hAnsi="Arial" w:cs="Arial"/>
          <w:color w:val="000000"/>
          <w:sz w:val="20"/>
          <w:szCs w:val="20"/>
        </w:rPr>
        <w:t xml:space="preserve"> has increased.</w:t>
      </w:r>
      <w:r w:rsidR="00C14BB3">
        <w:rPr>
          <w:rFonts w:ascii="Arial" w:hAnsi="Arial" w:cs="Arial"/>
          <w:color w:val="000000"/>
          <w:sz w:val="20"/>
          <w:szCs w:val="20"/>
        </w:rPr>
        <w:t xml:space="preserve">  </w:t>
      </w:r>
    </w:p>
    <w:p w14:paraId="452DF317" w14:textId="77777777" w:rsidR="00C14BB3" w:rsidRDefault="00C14BB3" w:rsidP="00510CA0">
      <w:pPr>
        <w:spacing w:line="360" w:lineRule="auto"/>
        <w:jc w:val="both"/>
        <w:rPr>
          <w:rFonts w:ascii="Arial" w:hAnsi="Arial" w:cs="Arial"/>
          <w:color w:val="000000"/>
          <w:sz w:val="20"/>
          <w:szCs w:val="20"/>
        </w:rPr>
      </w:pPr>
    </w:p>
    <w:p w14:paraId="70B60B76" w14:textId="3A4C30A2" w:rsidR="004C2421" w:rsidRDefault="00BC4A0E" w:rsidP="00510CA0">
      <w:pPr>
        <w:spacing w:line="360" w:lineRule="auto"/>
        <w:jc w:val="both"/>
        <w:rPr>
          <w:rFonts w:ascii="Arial" w:hAnsi="Arial" w:cs="Arial"/>
          <w:color w:val="000000" w:themeColor="text1"/>
          <w:kern w:val="36"/>
          <w:sz w:val="20"/>
          <w:szCs w:val="20"/>
        </w:rPr>
      </w:pPr>
      <w:r w:rsidRPr="00B00D29">
        <w:rPr>
          <w:rFonts w:ascii="Arial" w:hAnsi="Arial" w:cs="Arial"/>
          <w:color w:val="000000"/>
          <w:sz w:val="20"/>
          <w:szCs w:val="20"/>
        </w:rPr>
        <w:t>The NTEU shares</w:t>
      </w:r>
      <w:r w:rsidR="00A6789B" w:rsidRPr="00B00D29">
        <w:rPr>
          <w:rFonts w:ascii="Arial" w:hAnsi="Arial" w:cs="Arial"/>
          <w:color w:val="000000"/>
          <w:sz w:val="20"/>
          <w:szCs w:val="20"/>
        </w:rPr>
        <w:t xml:space="preserve"> M</w:t>
      </w:r>
      <w:r w:rsidRPr="00B00D29">
        <w:rPr>
          <w:rFonts w:ascii="Arial" w:hAnsi="Arial" w:cs="Arial"/>
          <w:color w:val="000000"/>
          <w:sz w:val="20"/>
          <w:szCs w:val="20"/>
        </w:rPr>
        <w:t xml:space="preserve">arginson and </w:t>
      </w:r>
      <w:r w:rsidR="00A6789B" w:rsidRPr="00B00D29">
        <w:rPr>
          <w:rFonts w:ascii="Arial" w:hAnsi="Arial" w:cs="Arial"/>
          <w:color w:val="000000"/>
          <w:sz w:val="20"/>
          <w:szCs w:val="20"/>
        </w:rPr>
        <w:t>Considine</w:t>
      </w:r>
      <w:r w:rsidRPr="00B00D29">
        <w:rPr>
          <w:rFonts w:ascii="Arial" w:hAnsi="Arial" w:cs="Arial"/>
          <w:color w:val="000000"/>
          <w:sz w:val="20"/>
          <w:szCs w:val="20"/>
        </w:rPr>
        <w:t>’s</w:t>
      </w:r>
      <w:r w:rsidR="00C14BB3">
        <w:rPr>
          <w:rFonts w:ascii="Arial" w:hAnsi="Arial" w:cs="Arial"/>
          <w:color w:val="000000"/>
          <w:sz w:val="20"/>
          <w:szCs w:val="20"/>
        </w:rPr>
        <w:t xml:space="preserve"> (2004)</w:t>
      </w:r>
      <w:r w:rsidRPr="00B00D29">
        <w:rPr>
          <w:rFonts w:ascii="Arial" w:hAnsi="Arial" w:cs="Arial"/>
          <w:color w:val="000000"/>
          <w:sz w:val="20"/>
          <w:szCs w:val="20"/>
        </w:rPr>
        <w:t xml:space="preserve"> view that</w:t>
      </w:r>
      <w:r w:rsidR="0017069E" w:rsidRPr="00B00D29">
        <w:rPr>
          <w:rFonts w:ascii="Arial" w:hAnsi="Arial" w:cs="Arial"/>
          <w:color w:val="000000"/>
          <w:sz w:val="20"/>
          <w:szCs w:val="20"/>
        </w:rPr>
        <w:t xml:space="preserve"> in the enterprise university </w:t>
      </w:r>
      <w:r w:rsidR="0017069E" w:rsidRPr="00B00D29">
        <w:rPr>
          <w:rFonts w:ascii="Arial" w:hAnsi="Arial" w:cs="Arial"/>
          <w:i/>
          <w:iCs/>
          <w:color w:val="000000"/>
          <w:sz w:val="20"/>
          <w:szCs w:val="20"/>
        </w:rPr>
        <w:t>“money is the key objective</w:t>
      </w:r>
      <w:r w:rsidR="0017069E" w:rsidRPr="00B00D29">
        <w:rPr>
          <w:rFonts w:ascii="Arial" w:hAnsi="Arial" w:cs="Arial"/>
          <w:color w:val="000000"/>
          <w:sz w:val="20"/>
          <w:szCs w:val="20"/>
        </w:rPr>
        <w:t>” and in the search for greater institutional prestige and competitiveness</w:t>
      </w:r>
      <w:r w:rsidR="00F23691">
        <w:rPr>
          <w:rFonts w:ascii="Arial" w:hAnsi="Arial" w:cs="Arial"/>
          <w:color w:val="000000"/>
          <w:sz w:val="20"/>
          <w:szCs w:val="20"/>
        </w:rPr>
        <w:t xml:space="preserve">, </w:t>
      </w:r>
      <w:r w:rsidR="0017069E" w:rsidRPr="00B00D29">
        <w:rPr>
          <w:rFonts w:ascii="Arial" w:hAnsi="Arial" w:cs="Arial"/>
          <w:i/>
          <w:iCs/>
          <w:color w:val="000000"/>
          <w:sz w:val="20"/>
          <w:szCs w:val="20"/>
        </w:rPr>
        <w:t xml:space="preserve">academic identities are .. </w:t>
      </w:r>
      <w:r w:rsidR="0017069E" w:rsidRPr="00B00D29">
        <w:rPr>
          <w:rFonts w:ascii="Arial" w:hAnsi="Arial" w:cs="Arial"/>
          <w:i/>
          <w:iCs/>
          <w:sz w:val="20"/>
          <w:szCs w:val="20"/>
        </w:rPr>
        <w:t>subordinated to the mission, marketing and strategic development of the institution and its leader.</w:t>
      </w:r>
      <w:r w:rsidRPr="00B00D29">
        <w:rPr>
          <w:rFonts w:ascii="Arial" w:hAnsi="Arial" w:cs="Arial"/>
          <w:i/>
          <w:iCs/>
          <w:sz w:val="20"/>
          <w:szCs w:val="20"/>
        </w:rPr>
        <w:t xml:space="preserve">  </w:t>
      </w:r>
      <w:r w:rsidRPr="00B00D29">
        <w:rPr>
          <w:rFonts w:ascii="Arial" w:hAnsi="Arial" w:cs="Arial"/>
          <w:sz w:val="20"/>
          <w:szCs w:val="20"/>
        </w:rPr>
        <w:t xml:space="preserve">This issue was explored in a </w:t>
      </w:r>
      <w:r w:rsidRPr="00B00D29">
        <w:rPr>
          <w:rFonts w:ascii="Arial" w:hAnsi="Arial" w:cs="Arial"/>
          <w:color w:val="000000" w:themeColor="text1"/>
          <w:sz w:val="20"/>
          <w:szCs w:val="20"/>
        </w:rPr>
        <w:t xml:space="preserve">recent article in the Times Higher Education (THE) (January 21 2021) titled </w:t>
      </w:r>
      <w:r w:rsidRPr="00B00D29">
        <w:rPr>
          <w:rFonts w:ascii="Arial" w:eastAsia="Times New Roman" w:hAnsi="Arial" w:cs="Arial"/>
          <w:i/>
          <w:iCs/>
          <w:color w:val="000000" w:themeColor="text1"/>
          <w:kern w:val="36"/>
          <w:sz w:val="20"/>
          <w:szCs w:val="20"/>
          <w:lang w:eastAsia="en-GB"/>
        </w:rPr>
        <w:t>Only academics can run universities effectively</w:t>
      </w:r>
      <w:r w:rsidR="00F23691" w:rsidRPr="00F23691">
        <w:rPr>
          <w:rFonts w:ascii="Arial" w:hAnsi="Arial" w:cs="Arial"/>
          <w:color w:val="000000" w:themeColor="text1"/>
          <w:kern w:val="36"/>
          <w:sz w:val="20"/>
          <w:szCs w:val="20"/>
        </w:rPr>
        <w:t>, in which</w:t>
      </w:r>
      <w:r w:rsidR="00F23691">
        <w:rPr>
          <w:rFonts w:ascii="Arial" w:hAnsi="Arial" w:cs="Arial"/>
          <w:i/>
          <w:iCs/>
          <w:color w:val="000000" w:themeColor="text1"/>
          <w:kern w:val="36"/>
          <w:sz w:val="20"/>
          <w:szCs w:val="20"/>
        </w:rPr>
        <w:t xml:space="preserve"> </w:t>
      </w:r>
      <w:r w:rsidRPr="00B00D29">
        <w:rPr>
          <w:rFonts w:ascii="Arial" w:hAnsi="Arial" w:cs="Arial"/>
          <w:color w:val="000000" w:themeColor="text1"/>
          <w:kern w:val="36"/>
          <w:sz w:val="20"/>
          <w:szCs w:val="20"/>
        </w:rPr>
        <w:t>Terence</w:t>
      </w:r>
      <w:r w:rsidRPr="00B00D29">
        <w:rPr>
          <w:rFonts w:ascii="Arial" w:hAnsi="Arial" w:cs="Arial"/>
          <w:i/>
          <w:iCs/>
          <w:color w:val="000000" w:themeColor="text1"/>
          <w:kern w:val="36"/>
          <w:sz w:val="20"/>
          <w:szCs w:val="20"/>
        </w:rPr>
        <w:t xml:space="preserve"> </w:t>
      </w:r>
      <w:r w:rsidRPr="00B00D29">
        <w:rPr>
          <w:rFonts w:ascii="Arial" w:hAnsi="Arial" w:cs="Arial"/>
          <w:color w:val="000000" w:themeColor="text1"/>
          <w:kern w:val="36"/>
          <w:sz w:val="20"/>
          <w:szCs w:val="20"/>
        </w:rPr>
        <w:t xml:space="preserve">Kealey chronicles the plight of various universities under </w:t>
      </w:r>
      <w:r w:rsidR="00B00D29" w:rsidRPr="00B00D29">
        <w:rPr>
          <w:rFonts w:ascii="Arial" w:hAnsi="Arial" w:cs="Arial"/>
          <w:color w:val="000000" w:themeColor="text1"/>
          <w:kern w:val="36"/>
          <w:sz w:val="20"/>
          <w:szCs w:val="20"/>
        </w:rPr>
        <w:t>what he refers to as senate (academically dominated) or collegial</w:t>
      </w:r>
      <w:r w:rsidR="00F23691">
        <w:rPr>
          <w:rFonts w:ascii="Arial" w:hAnsi="Arial" w:cs="Arial"/>
          <w:color w:val="000000" w:themeColor="text1"/>
          <w:kern w:val="36"/>
          <w:sz w:val="20"/>
          <w:szCs w:val="20"/>
        </w:rPr>
        <w:t>,</w:t>
      </w:r>
      <w:r w:rsidR="00B00D29" w:rsidRPr="00B00D29">
        <w:rPr>
          <w:rFonts w:ascii="Arial" w:hAnsi="Arial" w:cs="Arial"/>
          <w:color w:val="000000" w:themeColor="text1"/>
          <w:kern w:val="36"/>
          <w:sz w:val="20"/>
          <w:szCs w:val="20"/>
        </w:rPr>
        <w:t xml:space="preserve"> as opposed to council (external expert controlled) or corporate governance structures.   He drew a number of conclusions including that under a council dominated (corporate governance</w:t>
      </w:r>
      <w:r w:rsidR="00F23691">
        <w:rPr>
          <w:rFonts w:ascii="Arial" w:hAnsi="Arial" w:cs="Arial"/>
          <w:color w:val="000000" w:themeColor="text1"/>
          <w:kern w:val="36"/>
          <w:sz w:val="20"/>
          <w:szCs w:val="20"/>
        </w:rPr>
        <w:t>)</w:t>
      </w:r>
      <w:r w:rsidR="00B00D29" w:rsidRPr="00B00D29">
        <w:rPr>
          <w:rFonts w:ascii="Arial" w:hAnsi="Arial" w:cs="Arial"/>
          <w:color w:val="000000" w:themeColor="text1"/>
          <w:kern w:val="36"/>
          <w:sz w:val="20"/>
          <w:szCs w:val="20"/>
        </w:rPr>
        <w:t xml:space="preserve"> Kealey concluded that senate (collegially governed) universities did better on a number of indicators than those governed in the corporate tradition. </w:t>
      </w:r>
      <w:r w:rsidR="00B00D29">
        <w:rPr>
          <w:rFonts w:ascii="Arial" w:hAnsi="Arial" w:cs="Arial"/>
          <w:color w:val="000000" w:themeColor="text1"/>
          <w:kern w:val="36"/>
          <w:sz w:val="20"/>
          <w:szCs w:val="20"/>
        </w:rPr>
        <w:t xml:space="preserve"> </w:t>
      </w:r>
    </w:p>
    <w:p w14:paraId="1BBB8B9E" w14:textId="77777777" w:rsidR="004C2421" w:rsidRDefault="004C2421" w:rsidP="00510CA0">
      <w:pPr>
        <w:spacing w:line="360" w:lineRule="auto"/>
        <w:jc w:val="both"/>
        <w:rPr>
          <w:rFonts w:ascii="Arial" w:hAnsi="Arial" w:cs="Arial"/>
          <w:color w:val="000000" w:themeColor="text1"/>
          <w:kern w:val="36"/>
          <w:sz w:val="20"/>
          <w:szCs w:val="20"/>
        </w:rPr>
      </w:pPr>
    </w:p>
    <w:p w14:paraId="6930FDA2" w14:textId="3B3A7E05" w:rsidR="00B00D29" w:rsidRPr="00B00D29" w:rsidRDefault="004C2421" w:rsidP="00510CA0">
      <w:pPr>
        <w:spacing w:line="360" w:lineRule="auto"/>
        <w:jc w:val="both"/>
        <w:rPr>
          <w:rFonts w:ascii="Arial" w:hAnsi="Arial" w:cs="Arial"/>
          <w:color w:val="000000" w:themeColor="text1"/>
          <w:kern w:val="36"/>
          <w:sz w:val="20"/>
          <w:szCs w:val="20"/>
        </w:rPr>
      </w:pPr>
      <w:r>
        <w:rPr>
          <w:rFonts w:ascii="Arial" w:hAnsi="Arial" w:cs="Arial"/>
          <w:color w:val="000000" w:themeColor="text1"/>
          <w:kern w:val="36"/>
          <w:sz w:val="20"/>
          <w:szCs w:val="20"/>
        </w:rPr>
        <w:t>The following passage from Kealey will ring true for many of the NTEU members working at Australia</w:t>
      </w:r>
      <w:r w:rsidR="00F23691">
        <w:rPr>
          <w:rFonts w:ascii="Arial" w:hAnsi="Arial" w:cs="Arial"/>
          <w:color w:val="000000" w:themeColor="text1"/>
          <w:kern w:val="36"/>
          <w:sz w:val="20"/>
          <w:szCs w:val="20"/>
        </w:rPr>
        <w:t>’s</w:t>
      </w:r>
      <w:r>
        <w:rPr>
          <w:rFonts w:ascii="Arial" w:hAnsi="Arial" w:cs="Arial"/>
          <w:color w:val="000000" w:themeColor="text1"/>
          <w:kern w:val="36"/>
          <w:sz w:val="20"/>
          <w:szCs w:val="20"/>
        </w:rPr>
        <w:t xml:space="preserve"> ever increasingly corporatized universities:  </w:t>
      </w:r>
    </w:p>
    <w:p w14:paraId="4546B393" w14:textId="77777777" w:rsidR="00B00D29" w:rsidRPr="00B00D29" w:rsidRDefault="00B00D29" w:rsidP="00510CA0">
      <w:pPr>
        <w:spacing w:line="276" w:lineRule="auto"/>
        <w:ind w:left="720"/>
        <w:jc w:val="both"/>
        <w:rPr>
          <w:rFonts w:ascii="Arial" w:eastAsia="Times New Roman" w:hAnsi="Arial" w:cs="Arial"/>
          <w:i/>
          <w:iCs/>
          <w:sz w:val="20"/>
          <w:szCs w:val="20"/>
          <w:lang w:eastAsia="en-GB"/>
        </w:rPr>
      </w:pPr>
      <w:r w:rsidRPr="00B00D29">
        <w:rPr>
          <w:rFonts w:ascii="Arial" w:eastAsia="Times New Roman" w:hAnsi="Arial" w:cs="Arial"/>
          <w:i/>
          <w:iCs/>
          <w:color w:val="494343"/>
          <w:sz w:val="20"/>
          <w:szCs w:val="20"/>
          <w:shd w:val="clear" w:color="auto" w:fill="FFFFFF"/>
          <w:lang w:eastAsia="en-GB"/>
        </w:rPr>
        <w:t>So whereas employees in industry and commerce really are employees, personnel in universities are working largely for personal fulfilment. If they are treated by a council as employees, they will lose their motivation. Bonuses are particularly damaging of collegiality.</w:t>
      </w:r>
    </w:p>
    <w:p w14:paraId="04CB019E" w14:textId="77777777" w:rsidR="00B00D29" w:rsidRPr="00B00D29" w:rsidRDefault="00B00D29" w:rsidP="00510CA0">
      <w:pPr>
        <w:spacing w:line="360" w:lineRule="auto"/>
        <w:jc w:val="both"/>
        <w:rPr>
          <w:rFonts w:ascii="Arial" w:hAnsi="Arial" w:cs="Arial"/>
          <w:color w:val="000000" w:themeColor="text1"/>
          <w:kern w:val="36"/>
          <w:sz w:val="20"/>
          <w:szCs w:val="20"/>
        </w:rPr>
      </w:pPr>
    </w:p>
    <w:p w14:paraId="3C068154" w14:textId="4E014B93" w:rsidR="00A6789B" w:rsidRPr="004C2421" w:rsidRDefault="00911EF8" w:rsidP="00510CA0">
      <w:pPr>
        <w:spacing w:line="360" w:lineRule="auto"/>
        <w:jc w:val="both"/>
        <w:rPr>
          <w:rFonts w:ascii="Arial" w:hAnsi="Arial" w:cs="Arial"/>
          <w:sz w:val="20"/>
          <w:szCs w:val="20"/>
        </w:rPr>
      </w:pPr>
      <w:r w:rsidRPr="004C2421">
        <w:rPr>
          <w:rFonts w:ascii="Arial" w:hAnsi="Arial" w:cs="Arial"/>
          <w:sz w:val="20"/>
          <w:szCs w:val="20"/>
        </w:rPr>
        <w:t xml:space="preserve">The </w:t>
      </w:r>
      <w:r w:rsidR="004C2421">
        <w:rPr>
          <w:rFonts w:ascii="Arial" w:hAnsi="Arial" w:cs="Arial"/>
          <w:sz w:val="20"/>
          <w:szCs w:val="20"/>
        </w:rPr>
        <w:t xml:space="preserve">issue around money, bonusses and increasing executive power </w:t>
      </w:r>
      <w:r w:rsidRPr="004C2421">
        <w:rPr>
          <w:rFonts w:ascii="Arial" w:hAnsi="Arial" w:cs="Arial"/>
          <w:sz w:val="20"/>
          <w:szCs w:val="20"/>
        </w:rPr>
        <w:t xml:space="preserve">at the heart of the enterprise university may be one factor explaining the rapid increase in vice-chancellor (remuneration in recent years. </w:t>
      </w:r>
      <w:r w:rsidR="009E1930" w:rsidRPr="004C2421">
        <w:rPr>
          <w:rFonts w:ascii="Arial" w:hAnsi="Arial" w:cs="Arial"/>
          <w:sz w:val="20"/>
          <w:szCs w:val="20"/>
        </w:rPr>
        <w:t>Australia’s vice-chancellors are amongst the best paid in the world</w:t>
      </w:r>
      <w:r w:rsidR="00F23691">
        <w:rPr>
          <w:rFonts w:ascii="Arial" w:hAnsi="Arial" w:cs="Arial"/>
          <w:sz w:val="20"/>
          <w:szCs w:val="20"/>
        </w:rPr>
        <w:t>,</w:t>
      </w:r>
      <w:r w:rsidR="009E1930" w:rsidRPr="004C2421">
        <w:rPr>
          <w:rFonts w:ascii="Arial" w:hAnsi="Arial" w:cs="Arial"/>
          <w:sz w:val="20"/>
          <w:szCs w:val="20"/>
        </w:rPr>
        <w:t xml:space="preserve"> with a</w:t>
      </w:r>
      <w:r w:rsidRPr="004C2421">
        <w:rPr>
          <w:rFonts w:ascii="Arial" w:hAnsi="Arial" w:cs="Arial"/>
          <w:sz w:val="20"/>
          <w:szCs w:val="20"/>
        </w:rPr>
        <w:t xml:space="preserve">verage </w:t>
      </w:r>
      <w:r w:rsidR="009E1930" w:rsidRPr="004C2421">
        <w:rPr>
          <w:rFonts w:ascii="Arial" w:hAnsi="Arial" w:cs="Arial"/>
          <w:sz w:val="20"/>
          <w:szCs w:val="20"/>
        </w:rPr>
        <w:t xml:space="preserve">remuneration in 2019 being almost $1million. </w:t>
      </w:r>
      <w:r w:rsidR="00A6789B" w:rsidRPr="004C2421">
        <w:rPr>
          <w:rFonts w:ascii="Arial" w:hAnsi="Arial" w:cs="Arial"/>
          <w:sz w:val="20"/>
          <w:szCs w:val="20"/>
        </w:rPr>
        <w:t xml:space="preserve"> (See Attachment Figures A</w:t>
      </w:r>
      <w:r w:rsidR="00D228A4">
        <w:rPr>
          <w:rFonts w:ascii="Arial" w:hAnsi="Arial" w:cs="Arial"/>
          <w:sz w:val="20"/>
          <w:szCs w:val="20"/>
        </w:rPr>
        <w:t>7 and A8</w:t>
      </w:r>
      <w:r w:rsidR="00A6789B" w:rsidRPr="004C2421">
        <w:rPr>
          <w:rFonts w:ascii="Arial" w:hAnsi="Arial" w:cs="Arial"/>
          <w:sz w:val="20"/>
          <w:szCs w:val="20"/>
        </w:rPr>
        <w:t>).</w:t>
      </w:r>
    </w:p>
    <w:p w14:paraId="64FD6880" w14:textId="77777777" w:rsidR="00A6789B" w:rsidRPr="004C2421" w:rsidRDefault="00A6789B" w:rsidP="00510CA0">
      <w:pPr>
        <w:spacing w:line="360" w:lineRule="auto"/>
        <w:jc w:val="both"/>
        <w:rPr>
          <w:rFonts w:ascii="Arial" w:hAnsi="Arial" w:cs="Arial"/>
          <w:sz w:val="20"/>
          <w:szCs w:val="20"/>
        </w:rPr>
      </w:pPr>
    </w:p>
    <w:p w14:paraId="45EEC734" w14:textId="459B89BD" w:rsidR="009E1930" w:rsidRDefault="009E1930" w:rsidP="00510CA0">
      <w:pPr>
        <w:spacing w:line="360" w:lineRule="auto"/>
        <w:jc w:val="both"/>
        <w:rPr>
          <w:rFonts w:ascii="Arial" w:hAnsi="Arial" w:cs="Arial"/>
          <w:sz w:val="20"/>
          <w:szCs w:val="20"/>
        </w:rPr>
      </w:pPr>
      <w:r w:rsidRPr="004C2421">
        <w:rPr>
          <w:rFonts w:ascii="Arial" w:hAnsi="Arial" w:cs="Arial"/>
          <w:sz w:val="20"/>
          <w:szCs w:val="20"/>
        </w:rPr>
        <w:t xml:space="preserve">A </w:t>
      </w:r>
      <w:r w:rsidR="00911EF8" w:rsidRPr="004C2421">
        <w:rPr>
          <w:rFonts w:ascii="Arial" w:hAnsi="Arial" w:cs="Arial"/>
          <w:sz w:val="20"/>
          <w:szCs w:val="20"/>
        </w:rPr>
        <w:t xml:space="preserve">NSW Legislative Council Portfolio Committee No.3 </w:t>
      </w:r>
      <w:r w:rsidRPr="004C2421">
        <w:rPr>
          <w:rFonts w:ascii="Arial" w:hAnsi="Arial" w:cs="Arial"/>
          <w:sz w:val="20"/>
          <w:szCs w:val="20"/>
        </w:rPr>
        <w:t>report (</w:t>
      </w:r>
      <w:r w:rsidR="00911EF8" w:rsidRPr="004C2421">
        <w:rPr>
          <w:rFonts w:ascii="Arial" w:hAnsi="Arial" w:cs="Arial"/>
          <w:i/>
          <w:iCs/>
          <w:sz w:val="20"/>
          <w:szCs w:val="20"/>
        </w:rPr>
        <w:t>Future development of the NSW tertiary education</w:t>
      </w:r>
      <w:r w:rsidRPr="004C2421">
        <w:rPr>
          <w:rFonts w:ascii="Arial" w:hAnsi="Arial" w:cs="Arial"/>
          <w:sz w:val="20"/>
          <w:szCs w:val="20"/>
        </w:rPr>
        <w:t xml:space="preserve">) </w:t>
      </w:r>
      <w:r w:rsidR="002060F6" w:rsidRPr="004C2421">
        <w:rPr>
          <w:rFonts w:ascii="Arial" w:hAnsi="Arial" w:cs="Arial"/>
          <w:sz w:val="20"/>
          <w:szCs w:val="20"/>
        </w:rPr>
        <w:t>released on 25 January 202</w:t>
      </w:r>
      <w:r w:rsidR="00C14BB3">
        <w:rPr>
          <w:rFonts w:ascii="Arial" w:hAnsi="Arial" w:cs="Arial"/>
          <w:sz w:val="20"/>
          <w:szCs w:val="20"/>
        </w:rPr>
        <w:t>1</w:t>
      </w:r>
      <w:r w:rsidR="002060F6" w:rsidRPr="004C2421">
        <w:rPr>
          <w:rFonts w:ascii="Arial" w:hAnsi="Arial" w:cs="Arial"/>
          <w:sz w:val="20"/>
          <w:szCs w:val="20"/>
        </w:rPr>
        <w:t xml:space="preserve"> </w:t>
      </w:r>
      <w:r w:rsidRPr="004C2421">
        <w:rPr>
          <w:rFonts w:ascii="Arial" w:hAnsi="Arial" w:cs="Arial"/>
          <w:sz w:val="20"/>
          <w:szCs w:val="20"/>
        </w:rPr>
        <w:t xml:space="preserve">was </w:t>
      </w:r>
      <w:r w:rsidR="002060F6" w:rsidRPr="004C2421">
        <w:rPr>
          <w:rFonts w:ascii="Arial" w:hAnsi="Arial" w:cs="Arial"/>
          <w:sz w:val="20"/>
          <w:szCs w:val="20"/>
        </w:rPr>
        <w:t>so c</w:t>
      </w:r>
      <w:r w:rsidRPr="004C2421">
        <w:rPr>
          <w:rFonts w:ascii="Arial" w:hAnsi="Arial" w:cs="Arial"/>
          <w:sz w:val="20"/>
          <w:szCs w:val="20"/>
        </w:rPr>
        <w:t xml:space="preserve">oncerned about </w:t>
      </w:r>
      <w:r w:rsidR="002060F6" w:rsidRPr="004C2421">
        <w:rPr>
          <w:rFonts w:ascii="Arial" w:hAnsi="Arial" w:cs="Arial"/>
          <w:sz w:val="20"/>
          <w:szCs w:val="20"/>
        </w:rPr>
        <w:t xml:space="preserve">university hiring practices and </w:t>
      </w:r>
      <w:r w:rsidRPr="004C2421">
        <w:rPr>
          <w:rFonts w:ascii="Arial" w:hAnsi="Arial" w:cs="Arial"/>
          <w:sz w:val="20"/>
          <w:szCs w:val="20"/>
        </w:rPr>
        <w:t xml:space="preserve">the remuneration of vice-chancellors that </w:t>
      </w:r>
      <w:r w:rsidR="007D164B">
        <w:rPr>
          <w:rFonts w:ascii="Arial" w:hAnsi="Arial" w:cs="Arial"/>
          <w:sz w:val="20"/>
          <w:szCs w:val="20"/>
        </w:rPr>
        <w:t xml:space="preserve">it </w:t>
      </w:r>
      <w:r w:rsidRPr="004C2421">
        <w:rPr>
          <w:rFonts w:ascii="Arial" w:hAnsi="Arial" w:cs="Arial"/>
          <w:sz w:val="20"/>
          <w:szCs w:val="20"/>
        </w:rPr>
        <w:t>recommend</w:t>
      </w:r>
      <w:r w:rsidR="0017069E" w:rsidRPr="004C2421">
        <w:rPr>
          <w:rFonts w:ascii="Arial" w:hAnsi="Arial" w:cs="Arial"/>
          <w:sz w:val="20"/>
          <w:szCs w:val="20"/>
        </w:rPr>
        <w:t>ed that the NSW Auditor-General be give</w:t>
      </w:r>
      <w:r w:rsidR="007D164B">
        <w:rPr>
          <w:rFonts w:ascii="Arial" w:hAnsi="Arial" w:cs="Arial"/>
          <w:sz w:val="20"/>
          <w:szCs w:val="20"/>
        </w:rPr>
        <w:t>n</w:t>
      </w:r>
      <w:r w:rsidR="0017069E" w:rsidRPr="004C2421">
        <w:rPr>
          <w:rFonts w:ascii="Arial" w:hAnsi="Arial" w:cs="Arial"/>
          <w:sz w:val="20"/>
          <w:szCs w:val="20"/>
        </w:rPr>
        <w:t xml:space="preserve"> the</w:t>
      </w:r>
      <w:r w:rsidR="00F23691">
        <w:rPr>
          <w:rFonts w:ascii="Arial" w:hAnsi="Arial" w:cs="Arial"/>
          <w:sz w:val="20"/>
          <w:szCs w:val="20"/>
        </w:rPr>
        <w:t xml:space="preserve"> power to</w:t>
      </w:r>
      <w:r w:rsidR="0017069E" w:rsidRPr="004C2421">
        <w:rPr>
          <w:rFonts w:ascii="Arial" w:hAnsi="Arial" w:cs="Arial"/>
          <w:sz w:val="20"/>
          <w:szCs w:val="20"/>
        </w:rPr>
        <w:t xml:space="preserve"> examine staffing management and </w:t>
      </w:r>
      <w:r w:rsidR="0017069E" w:rsidRPr="004C2421">
        <w:rPr>
          <w:rFonts w:ascii="Arial" w:hAnsi="Arial" w:cs="Arial"/>
          <w:i/>
          <w:iCs/>
          <w:sz w:val="20"/>
          <w:szCs w:val="20"/>
        </w:rPr>
        <w:t>the salaries paid to Vic</w:t>
      </w:r>
      <w:r w:rsidR="002060F6" w:rsidRPr="004C2421">
        <w:rPr>
          <w:rFonts w:ascii="Arial" w:hAnsi="Arial" w:cs="Arial"/>
          <w:i/>
          <w:iCs/>
          <w:sz w:val="20"/>
          <w:szCs w:val="20"/>
        </w:rPr>
        <w:t>e</w:t>
      </w:r>
      <w:r w:rsidR="0017069E" w:rsidRPr="004C2421">
        <w:rPr>
          <w:rFonts w:ascii="Arial" w:hAnsi="Arial" w:cs="Arial"/>
          <w:i/>
          <w:iCs/>
          <w:sz w:val="20"/>
          <w:szCs w:val="20"/>
        </w:rPr>
        <w:t xml:space="preserve">-Chancellors and </w:t>
      </w:r>
      <w:r w:rsidR="002060F6" w:rsidRPr="004C2421">
        <w:rPr>
          <w:rFonts w:ascii="Arial" w:hAnsi="Arial" w:cs="Arial"/>
          <w:i/>
          <w:iCs/>
          <w:sz w:val="20"/>
          <w:szCs w:val="20"/>
        </w:rPr>
        <w:t>senior university executives</w:t>
      </w:r>
      <w:r w:rsidR="002060F6" w:rsidRPr="004C2421">
        <w:rPr>
          <w:rFonts w:ascii="Arial" w:hAnsi="Arial" w:cs="Arial"/>
          <w:sz w:val="20"/>
          <w:szCs w:val="20"/>
        </w:rPr>
        <w:t xml:space="preserve"> [Recommendation 3].</w:t>
      </w:r>
    </w:p>
    <w:p w14:paraId="5441956B" w14:textId="1ECDD3EB" w:rsidR="004C2421" w:rsidRDefault="004C2421" w:rsidP="00510CA0">
      <w:pPr>
        <w:spacing w:line="360" w:lineRule="auto"/>
        <w:jc w:val="both"/>
        <w:rPr>
          <w:rFonts w:ascii="Arial" w:hAnsi="Arial" w:cs="Arial"/>
          <w:sz w:val="20"/>
          <w:szCs w:val="20"/>
        </w:rPr>
      </w:pPr>
    </w:p>
    <w:p w14:paraId="59479CDC" w14:textId="454219B9" w:rsidR="004C2421" w:rsidRDefault="00A72E71" w:rsidP="00510CA0">
      <w:pPr>
        <w:spacing w:line="360" w:lineRule="auto"/>
        <w:jc w:val="both"/>
        <w:rPr>
          <w:rFonts w:ascii="Arial" w:hAnsi="Arial" w:cs="Arial"/>
          <w:sz w:val="20"/>
          <w:szCs w:val="20"/>
        </w:rPr>
      </w:pPr>
      <w:r>
        <w:rPr>
          <w:rFonts w:ascii="Arial" w:hAnsi="Arial" w:cs="Arial"/>
          <w:sz w:val="20"/>
          <w:szCs w:val="20"/>
        </w:rPr>
        <w:t>T</w:t>
      </w:r>
      <w:r w:rsidR="004C2421" w:rsidRPr="00A72E71">
        <w:rPr>
          <w:rFonts w:ascii="Arial" w:hAnsi="Arial" w:cs="Arial"/>
          <w:sz w:val="20"/>
          <w:szCs w:val="20"/>
        </w:rPr>
        <w:t>he NTEU</w:t>
      </w:r>
      <w:r>
        <w:rPr>
          <w:rFonts w:ascii="Arial" w:hAnsi="Arial" w:cs="Arial"/>
          <w:sz w:val="20"/>
          <w:szCs w:val="20"/>
        </w:rPr>
        <w:t xml:space="preserve"> believes that </w:t>
      </w:r>
      <w:r w:rsidR="004C2421" w:rsidRPr="00A72E71">
        <w:rPr>
          <w:rFonts w:ascii="Arial" w:hAnsi="Arial" w:cs="Arial"/>
          <w:sz w:val="20"/>
          <w:szCs w:val="20"/>
        </w:rPr>
        <w:t>the evolution of the enterprise or corporati</w:t>
      </w:r>
      <w:r w:rsidR="0016554D" w:rsidRPr="00A72E71">
        <w:rPr>
          <w:rFonts w:ascii="Arial" w:hAnsi="Arial" w:cs="Arial"/>
          <w:sz w:val="20"/>
          <w:szCs w:val="20"/>
        </w:rPr>
        <w:t>s</w:t>
      </w:r>
      <w:r w:rsidR="004C2421" w:rsidRPr="00A72E71">
        <w:rPr>
          <w:rFonts w:ascii="Arial" w:hAnsi="Arial" w:cs="Arial"/>
          <w:sz w:val="20"/>
          <w:szCs w:val="20"/>
        </w:rPr>
        <w:t xml:space="preserve">ed university </w:t>
      </w:r>
      <w:r>
        <w:rPr>
          <w:rFonts w:ascii="Arial" w:hAnsi="Arial" w:cs="Arial"/>
          <w:sz w:val="20"/>
          <w:szCs w:val="20"/>
        </w:rPr>
        <w:t xml:space="preserve">is not </w:t>
      </w:r>
      <w:r w:rsidR="00DC0DA1">
        <w:rPr>
          <w:rFonts w:ascii="Arial" w:hAnsi="Arial" w:cs="Arial"/>
          <w:sz w:val="20"/>
          <w:szCs w:val="20"/>
        </w:rPr>
        <w:t>suited to the role public universities need to play</w:t>
      </w:r>
      <w:r>
        <w:rPr>
          <w:rFonts w:ascii="Arial" w:hAnsi="Arial" w:cs="Arial"/>
          <w:sz w:val="20"/>
          <w:szCs w:val="20"/>
        </w:rPr>
        <w:t>.  Not only has it suppressed staff, student and community role in our public universities’ decision-making processes, the elevation of financial objectives</w:t>
      </w:r>
      <w:r w:rsidR="00DC0DA1">
        <w:rPr>
          <w:rFonts w:ascii="Arial" w:hAnsi="Arial" w:cs="Arial"/>
          <w:sz w:val="20"/>
          <w:szCs w:val="20"/>
        </w:rPr>
        <w:t>,</w:t>
      </w:r>
      <w:r>
        <w:rPr>
          <w:rFonts w:ascii="Arial" w:hAnsi="Arial" w:cs="Arial"/>
          <w:sz w:val="20"/>
          <w:szCs w:val="20"/>
        </w:rPr>
        <w:t xml:space="preserve"> including a drive for efficient (low cost) delivery of teaching and research</w:t>
      </w:r>
      <w:r w:rsidR="00DC0DA1">
        <w:rPr>
          <w:rFonts w:ascii="Arial" w:hAnsi="Arial" w:cs="Arial"/>
          <w:sz w:val="20"/>
          <w:szCs w:val="20"/>
        </w:rPr>
        <w:t>,</w:t>
      </w:r>
      <w:r>
        <w:rPr>
          <w:rFonts w:ascii="Arial" w:hAnsi="Arial" w:cs="Arial"/>
          <w:sz w:val="20"/>
          <w:szCs w:val="20"/>
        </w:rPr>
        <w:t xml:space="preserve"> has not only resulted in a greater reliance on insecurely employed staff, it also severely compromises our public universities to act in and for the public good.  </w:t>
      </w:r>
    </w:p>
    <w:p w14:paraId="1F08D9B5" w14:textId="0A074F4B" w:rsidR="008A2920" w:rsidRDefault="000A1E3D" w:rsidP="00510CA0">
      <w:pPr>
        <w:jc w:val="both"/>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58240" behindDoc="0" locked="0" layoutInCell="1" allowOverlap="1" wp14:anchorId="5579B494" wp14:editId="671C7BD3">
                <wp:simplePos x="0" y="0"/>
                <wp:positionH relativeFrom="column">
                  <wp:posOffset>-188422</wp:posOffset>
                </wp:positionH>
                <wp:positionV relativeFrom="paragraph">
                  <wp:posOffset>536748</wp:posOffset>
                </wp:positionV>
                <wp:extent cx="6012873" cy="1584960"/>
                <wp:effectExtent l="0" t="0" r="6985" b="15240"/>
                <wp:wrapNone/>
                <wp:docPr id="6" name="Text Box 6"/>
                <wp:cNvGraphicFramePr/>
                <a:graphic xmlns:a="http://schemas.openxmlformats.org/drawingml/2006/main">
                  <a:graphicData uri="http://schemas.microsoft.com/office/word/2010/wordprocessingShape">
                    <wps:wsp>
                      <wps:cNvSpPr txBox="1"/>
                      <wps:spPr>
                        <a:xfrm>
                          <a:off x="0" y="0"/>
                          <a:ext cx="6012873" cy="1584960"/>
                        </a:xfrm>
                        <a:prstGeom prst="rect">
                          <a:avLst/>
                        </a:prstGeom>
                        <a:solidFill>
                          <a:schemeClr val="lt1"/>
                        </a:solidFill>
                        <a:ln w="6350">
                          <a:solidFill>
                            <a:prstClr val="black"/>
                          </a:solidFill>
                        </a:ln>
                      </wps:spPr>
                      <wps:txbx>
                        <w:txbxContent>
                          <w:p w14:paraId="0F7860C4" w14:textId="77777777" w:rsidR="000A1E3D" w:rsidRDefault="000A1E3D" w:rsidP="000A1E3D">
                            <w:pPr>
                              <w:spacing w:line="360" w:lineRule="auto"/>
                              <w:rPr>
                                <w:rFonts w:ascii="Arial" w:hAnsi="Arial" w:cs="Arial"/>
                                <w:b/>
                                <w:bCs/>
                                <w:sz w:val="20"/>
                                <w:szCs w:val="20"/>
                              </w:rPr>
                            </w:pPr>
                            <w:r w:rsidRPr="004C2421">
                              <w:rPr>
                                <w:rFonts w:ascii="Arial" w:hAnsi="Arial" w:cs="Arial"/>
                                <w:b/>
                                <w:bCs/>
                                <w:sz w:val="20"/>
                                <w:szCs w:val="20"/>
                              </w:rPr>
                              <w:t>RECOMMENDATION 5</w:t>
                            </w:r>
                          </w:p>
                          <w:p w14:paraId="1824F262" w14:textId="77777777" w:rsidR="000A1E3D" w:rsidRDefault="000A1E3D" w:rsidP="000A1E3D">
                            <w:pPr>
                              <w:spacing w:line="360" w:lineRule="auto"/>
                              <w:rPr>
                                <w:rFonts w:ascii="Arial" w:hAnsi="Arial" w:cs="Arial"/>
                                <w:sz w:val="20"/>
                                <w:szCs w:val="20"/>
                              </w:rPr>
                            </w:pPr>
                            <w:r w:rsidRPr="00CC4183">
                              <w:rPr>
                                <w:rFonts w:ascii="Arial" w:hAnsi="Arial" w:cs="Arial"/>
                                <w:sz w:val="20"/>
                                <w:szCs w:val="20"/>
                              </w:rPr>
                              <w:t>Government should use their funding and regulatory powers to ensure</w:t>
                            </w:r>
                            <w:r>
                              <w:rPr>
                                <w:rFonts w:ascii="Arial" w:hAnsi="Arial" w:cs="Arial"/>
                                <w:sz w:val="20"/>
                                <w:szCs w:val="20"/>
                              </w:rPr>
                              <w:t xml:space="preserve"> that universities and other higher education providers:</w:t>
                            </w:r>
                          </w:p>
                          <w:p w14:paraId="701FBF86" w14:textId="2ABD142E" w:rsidR="000A1E3D" w:rsidRDefault="000A1E3D" w:rsidP="00A9707B">
                            <w:pPr>
                              <w:pStyle w:val="ListParagraph"/>
                              <w:numPr>
                                <w:ilvl w:val="0"/>
                                <w:numId w:val="36"/>
                              </w:numPr>
                              <w:spacing w:line="360" w:lineRule="auto"/>
                            </w:pPr>
                            <w:r w:rsidRPr="008768B9">
                              <w:rPr>
                                <w:rFonts w:ascii="Arial" w:hAnsi="Arial" w:cs="Arial"/>
                                <w:sz w:val="20"/>
                                <w:szCs w:val="20"/>
                              </w:rPr>
                              <w:t>develop open and transparent mechanisms and structures that incorporate staff, students and local communities into their decision-making processes, and</w:t>
                            </w:r>
                            <w:r w:rsidR="008768B9">
                              <w:rPr>
                                <w:rFonts w:ascii="Arial" w:hAnsi="Arial" w:cs="Arial"/>
                                <w:sz w:val="20"/>
                                <w:szCs w:val="20"/>
                              </w:rPr>
                              <w:t xml:space="preserve"> </w:t>
                            </w:r>
                            <w:r w:rsidRPr="008768B9">
                              <w:rPr>
                                <w:rFonts w:ascii="Arial" w:hAnsi="Arial" w:cs="Arial"/>
                                <w:sz w:val="20"/>
                                <w:szCs w:val="20"/>
                              </w:rPr>
                              <w:t xml:space="preserve">transparently report the level of total remuneration received by vice-chancellors and other members of the senior </w:t>
                            </w:r>
                            <w:r w:rsidR="008768B9">
                              <w:rPr>
                                <w:rFonts w:ascii="Arial" w:hAnsi="Arial" w:cs="Arial"/>
                                <w:sz w:val="20"/>
                                <w:szCs w:val="20"/>
                              </w:rPr>
                              <w:t xml:space="preserve">executive </w:t>
                            </w:r>
                            <w:r w:rsidRPr="008768B9">
                              <w:rPr>
                                <w:rFonts w:ascii="Arial" w:hAnsi="Arial" w:cs="Arial"/>
                                <w:sz w:val="20"/>
                                <w:szCs w:val="20"/>
                              </w:rPr>
                              <w:t>as well as the key performance indicators attached to those positions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79B494" id="_x0000_t202" coordsize="21600,21600" o:spt="202" path="m,l,21600r21600,l21600,xe">
                <v:stroke joinstyle="miter"/>
                <v:path gradientshapeok="t" o:connecttype="rect"/>
              </v:shapetype>
              <v:shape id="Text Box 6" o:spid="_x0000_s1026" type="#_x0000_t202" style="position:absolute;left:0;text-align:left;margin-left:-14.85pt;margin-top:42.25pt;width:473.45pt;height:124.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" fillcolor="white [3201]" strokeweight=".5pt">
                <v:textbox>
                  <w:txbxContent>
                    <w:p w14:paraId="0F7860C4" w14:textId="77777777" w:rsidR="000A1E3D" w:rsidRDefault="000A1E3D" w:rsidP="000A1E3D">
                      <w:pPr>
                        <w:spacing w:line="360" w:lineRule="auto"/>
                        <w:rPr>
                          <w:rFonts w:ascii="Arial" w:hAnsi="Arial" w:cs="Arial"/>
                          <w:b/>
                          <w:bCs/>
                          <w:sz w:val="20"/>
                          <w:szCs w:val="20"/>
                        </w:rPr>
                      </w:pPr>
                      <w:r w:rsidRPr="004C2421">
                        <w:rPr>
                          <w:rFonts w:ascii="Arial" w:hAnsi="Arial" w:cs="Arial"/>
                          <w:b/>
                          <w:bCs/>
                          <w:sz w:val="20"/>
                          <w:szCs w:val="20"/>
                        </w:rPr>
                        <w:t>RECOMMENDATION 5</w:t>
                      </w:r>
                    </w:p>
                    <w:p w14:paraId="1824F262" w14:textId="77777777" w:rsidR="000A1E3D" w:rsidRDefault="000A1E3D" w:rsidP="000A1E3D">
                      <w:pPr>
                        <w:spacing w:line="360" w:lineRule="auto"/>
                        <w:rPr>
                          <w:rFonts w:ascii="Arial" w:hAnsi="Arial" w:cs="Arial"/>
                          <w:sz w:val="20"/>
                          <w:szCs w:val="20"/>
                        </w:rPr>
                      </w:pPr>
                      <w:r w:rsidRPr="00CC4183">
                        <w:rPr>
                          <w:rFonts w:ascii="Arial" w:hAnsi="Arial" w:cs="Arial"/>
                          <w:sz w:val="20"/>
                          <w:szCs w:val="20"/>
                        </w:rPr>
                        <w:t>Government should use their funding and regulatory powers to ensure</w:t>
                      </w:r>
                      <w:r>
                        <w:rPr>
                          <w:rFonts w:ascii="Arial" w:hAnsi="Arial" w:cs="Arial"/>
                          <w:sz w:val="20"/>
                          <w:szCs w:val="20"/>
                        </w:rPr>
                        <w:t xml:space="preserve"> that universities and other higher education providers:</w:t>
                      </w:r>
                    </w:p>
                    <w:p w14:paraId="701FBF86" w14:textId="2ABD142E" w:rsidR="000A1E3D" w:rsidRDefault="000A1E3D" w:rsidP="00A9707B">
                      <w:pPr>
                        <w:pStyle w:val="ListParagraph"/>
                        <w:numPr>
                          <w:ilvl w:val="0"/>
                          <w:numId w:val="36"/>
                        </w:numPr>
                        <w:spacing w:line="360" w:lineRule="auto"/>
                      </w:pPr>
                      <w:r w:rsidRPr="008768B9">
                        <w:rPr>
                          <w:rFonts w:ascii="Arial" w:hAnsi="Arial" w:cs="Arial"/>
                          <w:sz w:val="20"/>
                          <w:szCs w:val="20"/>
                        </w:rPr>
                        <w:t>develop open and transparent mechanisms and structures that incorporate staff, students and local communities into their decision-making processes, and</w:t>
                      </w:r>
                      <w:r w:rsidR="008768B9">
                        <w:rPr>
                          <w:rFonts w:ascii="Arial" w:hAnsi="Arial" w:cs="Arial"/>
                          <w:sz w:val="20"/>
                          <w:szCs w:val="20"/>
                        </w:rPr>
                        <w:t xml:space="preserve"> </w:t>
                      </w:r>
                      <w:r w:rsidRPr="008768B9">
                        <w:rPr>
                          <w:rFonts w:ascii="Arial" w:hAnsi="Arial" w:cs="Arial"/>
                          <w:sz w:val="20"/>
                          <w:szCs w:val="20"/>
                        </w:rPr>
                        <w:t xml:space="preserve">transparently report the level of total remuneration received by vice-chancellors and other members of the senior </w:t>
                      </w:r>
                      <w:r w:rsidR="008768B9">
                        <w:rPr>
                          <w:rFonts w:ascii="Arial" w:hAnsi="Arial" w:cs="Arial"/>
                          <w:sz w:val="20"/>
                          <w:szCs w:val="20"/>
                        </w:rPr>
                        <w:t xml:space="preserve">executive </w:t>
                      </w:r>
                      <w:r w:rsidRPr="008768B9">
                        <w:rPr>
                          <w:rFonts w:ascii="Arial" w:hAnsi="Arial" w:cs="Arial"/>
                          <w:sz w:val="20"/>
                          <w:szCs w:val="20"/>
                        </w:rPr>
                        <w:t>as well as the key performance indicators attached to those positions</w:t>
                      </w:r>
                    </w:p>
                  </w:txbxContent>
                </v:textbox>
              </v:shape>
            </w:pict>
          </mc:Fallback>
        </mc:AlternateContent>
      </w:r>
      <w:r w:rsidR="008A2920">
        <w:rPr>
          <w:rFonts w:ascii="Arial" w:hAnsi="Arial" w:cs="Arial"/>
          <w:b/>
          <w:bCs/>
          <w:sz w:val="22"/>
          <w:szCs w:val="22"/>
        </w:rPr>
        <w:br w:type="page"/>
      </w:r>
    </w:p>
    <w:p w14:paraId="3BF54F46" w14:textId="3194B09F" w:rsidR="009E1930" w:rsidRDefault="00584EE5" w:rsidP="00510CA0">
      <w:pPr>
        <w:spacing w:line="360" w:lineRule="auto"/>
        <w:jc w:val="both"/>
        <w:rPr>
          <w:rFonts w:ascii="Arial" w:hAnsi="Arial" w:cs="Arial"/>
          <w:b/>
          <w:bCs/>
          <w:sz w:val="22"/>
          <w:szCs w:val="22"/>
        </w:rPr>
      </w:pPr>
      <w:r w:rsidRPr="00584EE5">
        <w:rPr>
          <w:rFonts w:ascii="Arial" w:hAnsi="Arial" w:cs="Arial"/>
          <w:b/>
          <w:bCs/>
          <w:sz w:val="22"/>
          <w:szCs w:val="22"/>
        </w:rPr>
        <w:t xml:space="preserve">Employment </w:t>
      </w:r>
    </w:p>
    <w:p w14:paraId="431186F4" w14:textId="06D05A5D" w:rsidR="005757DC" w:rsidRPr="000A1E3D" w:rsidRDefault="00C21DA6" w:rsidP="00510CA0">
      <w:pPr>
        <w:spacing w:line="360" w:lineRule="auto"/>
        <w:jc w:val="both"/>
        <w:rPr>
          <w:rFonts w:ascii="Arial" w:hAnsi="Arial" w:cs="Arial"/>
          <w:sz w:val="20"/>
          <w:szCs w:val="20"/>
        </w:rPr>
      </w:pPr>
      <w:r w:rsidRPr="0016554D">
        <w:rPr>
          <w:rFonts w:ascii="Arial" w:hAnsi="Arial" w:cs="Arial"/>
          <w:sz w:val="20"/>
          <w:szCs w:val="20"/>
        </w:rPr>
        <w:t>In order to be able to fulfill two of their core obligations</w:t>
      </w:r>
      <w:r w:rsidR="00F23691">
        <w:rPr>
          <w:rFonts w:ascii="Arial" w:hAnsi="Arial" w:cs="Arial"/>
          <w:sz w:val="20"/>
          <w:szCs w:val="20"/>
        </w:rPr>
        <w:t xml:space="preserve"> – </w:t>
      </w:r>
      <w:r w:rsidR="00DC0DA1">
        <w:rPr>
          <w:rFonts w:ascii="Arial" w:hAnsi="Arial" w:cs="Arial"/>
          <w:sz w:val="20"/>
          <w:szCs w:val="20"/>
        </w:rPr>
        <w:t>that being the provision of</w:t>
      </w:r>
      <w:r w:rsidRPr="0016554D">
        <w:rPr>
          <w:rFonts w:ascii="Arial" w:hAnsi="Arial" w:cs="Arial"/>
          <w:sz w:val="20"/>
          <w:szCs w:val="20"/>
        </w:rPr>
        <w:t xml:space="preserve"> high</w:t>
      </w:r>
      <w:r w:rsidR="00F23691">
        <w:rPr>
          <w:rFonts w:ascii="Arial" w:hAnsi="Arial" w:cs="Arial"/>
          <w:sz w:val="20"/>
          <w:szCs w:val="20"/>
        </w:rPr>
        <w:t xml:space="preserve"> </w:t>
      </w:r>
      <w:r w:rsidRPr="0016554D">
        <w:rPr>
          <w:rFonts w:ascii="Arial" w:hAnsi="Arial" w:cs="Arial"/>
          <w:sz w:val="20"/>
          <w:szCs w:val="20"/>
        </w:rPr>
        <w:t>quality teaching and learning informed by scholarship</w:t>
      </w:r>
      <w:r w:rsidR="00DC0DA1">
        <w:rPr>
          <w:rFonts w:ascii="Arial" w:hAnsi="Arial" w:cs="Arial"/>
          <w:sz w:val="20"/>
          <w:szCs w:val="20"/>
        </w:rPr>
        <w:t>,</w:t>
      </w:r>
      <w:r w:rsidRPr="0016554D">
        <w:rPr>
          <w:rFonts w:ascii="Arial" w:hAnsi="Arial" w:cs="Arial"/>
          <w:sz w:val="20"/>
          <w:szCs w:val="20"/>
        </w:rPr>
        <w:t xml:space="preserve"> and research that leads to </w:t>
      </w:r>
      <w:r w:rsidR="0009016B">
        <w:rPr>
          <w:rFonts w:ascii="Arial" w:hAnsi="Arial" w:cs="Arial"/>
          <w:sz w:val="20"/>
          <w:szCs w:val="20"/>
        </w:rPr>
        <w:t xml:space="preserve">the </w:t>
      </w:r>
      <w:r w:rsidRPr="0016554D">
        <w:rPr>
          <w:rFonts w:ascii="Arial" w:hAnsi="Arial" w:cs="Arial"/>
          <w:sz w:val="20"/>
          <w:szCs w:val="20"/>
        </w:rPr>
        <w:t>creation and dissemination of new knowledge</w:t>
      </w:r>
      <w:r w:rsidR="00F23691">
        <w:rPr>
          <w:rFonts w:ascii="Arial" w:hAnsi="Arial" w:cs="Arial"/>
          <w:sz w:val="20"/>
          <w:szCs w:val="20"/>
        </w:rPr>
        <w:t>,</w:t>
      </w:r>
      <w:r w:rsidRPr="0016554D">
        <w:rPr>
          <w:rFonts w:ascii="Arial" w:hAnsi="Arial" w:cs="Arial"/>
          <w:sz w:val="20"/>
          <w:szCs w:val="20"/>
        </w:rPr>
        <w:t xml:space="preserve"> our universities require highly qualified staff</w:t>
      </w:r>
      <w:r w:rsidR="00DC0DA1">
        <w:rPr>
          <w:rFonts w:ascii="Arial" w:hAnsi="Arial" w:cs="Arial"/>
          <w:sz w:val="20"/>
          <w:szCs w:val="20"/>
        </w:rPr>
        <w:t>,</w:t>
      </w:r>
      <w:r w:rsidRPr="0016554D">
        <w:rPr>
          <w:rFonts w:ascii="Arial" w:hAnsi="Arial" w:cs="Arial"/>
          <w:sz w:val="20"/>
          <w:szCs w:val="20"/>
        </w:rPr>
        <w:t xml:space="preserve"> whose employment is </w:t>
      </w:r>
      <w:r w:rsidR="00DC0DA1">
        <w:rPr>
          <w:rFonts w:ascii="Arial" w:hAnsi="Arial" w:cs="Arial"/>
          <w:sz w:val="20"/>
          <w:szCs w:val="20"/>
        </w:rPr>
        <w:t>secure</w:t>
      </w:r>
      <w:r w:rsidR="00F23691">
        <w:rPr>
          <w:rFonts w:ascii="Arial" w:hAnsi="Arial" w:cs="Arial"/>
          <w:sz w:val="20"/>
          <w:szCs w:val="20"/>
        </w:rPr>
        <w:t>.  This is particularly so</w:t>
      </w:r>
      <w:r w:rsidRPr="0016554D">
        <w:rPr>
          <w:rFonts w:ascii="Arial" w:hAnsi="Arial" w:cs="Arial"/>
          <w:sz w:val="20"/>
          <w:szCs w:val="20"/>
        </w:rPr>
        <w:t xml:space="preserve"> if</w:t>
      </w:r>
      <w:r w:rsidR="00F23691">
        <w:rPr>
          <w:rFonts w:ascii="Arial" w:hAnsi="Arial" w:cs="Arial"/>
          <w:sz w:val="20"/>
          <w:szCs w:val="20"/>
        </w:rPr>
        <w:t xml:space="preserve"> or when</w:t>
      </w:r>
      <w:r w:rsidRPr="0016554D">
        <w:rPr>
          <w:rFonts w:ascii="Arial" w:hAnsi="Arial" w:cs="Arial"/>
          <w:sz w:val="20"/>
          <w:szCs w:val="20"/>
        </w:rPr>
        <w:t xml:space="preserve"> they express views that either their university or funding body (government or private) does not </w:t>
      </w:r>
      <w:r w:rsidR="00752B41">
        <w:rPr>
          <w:rFonts w:ascii="Arial" w:hAnsi="Arial" w:cs="Arial"/>
          <w:sz w:val="20"/>
          <w:szCs w:val="20"/>
        </w:rPr>
        <w:t>find to be in their interests</w:t>
      </w:r>
      <w:r w:rsidRPr="0016554D">
        <w:rPr>
          <w:rFonts w:ascii="Arial" w:hAnsi="Arial" w:cs="Arial"/>
          <w:sz w:val="20"/>
          <w:szCs w:val="20"/>
        </w:rPr>
        <w:t xml:space="preserve">.  </w:t>
      </w:r>
      <w:r w:rsidR="00F23691">
        <w:rPr>
          <w:rFonts w:ascii="Arial" w:hAnsi="Arial" w:cs="Arial"/>
          <w:sz w:val="20"/>
          <w:szCs w:val="20"/>
        </w:rPr>
        <w:t>W</w:t>
      </w:r>
      <w:r w:rsidR="0032211D">
        <w:rPr>
          <w:rFonts w:ascii="Arial" w:hAnsi="Arial" w:cs="Arial"/>
          <w:sz w:val="20"/>
          <w:szCs w:val="20"/>
        </w:rPr>
        <w:t>hile w</w:t>
      </w:r>
      <w:r w:rsidR="00F23691">
        <w:rPr>
          <w:rFonts w:ascii="Arial" w:hAnsi="Arial" w:cs="Arial"/>
          <w:sz w:val="20"/>
          <w:szCs w:val="20"/>
        </w:rPr>
        <w:t xml:space="preserve">e have already outlined the importance of academic freedom as a cornerstone </w:t>
      </w:r>
      <w:r w:rsidR="0032211D">
        <w:rPr>
          <w:rFonts w:ascii="Arial" w:hAnsi="Arial" w:cs="Arial"/>
          <w:sz w:val="20"/>
          <w:szCs w:val="20"/>
        </w:rPr>
        <w:t>in</w:t>
      </w:r>
      <w:r w:rsidR="00F23691">
        <w:rPr>
          <w:rFonts w:ascii="Arial" w:hAnsi="Arial" w:cs="Arial"/>
          <w:sz w:val="20"/>
          <w:szCs w:val="20"/>
        </w:rPr>
        <w:t xml:space="preserve"> a world class higher education system</w:t>
      </w:r>
      <w:r w:rsidR="0032211D">
        <w:rPr>
          <w:rFonts w:ascii="Arial" w:hAnsi="Arial" w:cs="Arial"/>
          <w:sz w:val="20"/>
          <w:szCs w:val="20"/>
        </w:rPr>
        <w:t xml:space="preserve">, </w:t>
      </w:r>
      <w:r w:rsidRPr="0016554D">
        <w:rPr>
          <w:rFonts w:ascii="Arial" w:hAnsi="Arial" w:cs="Arial"/>
          <w:sz w:val="20"/>
          <w:szCs w:val="20"/>
        </w:rPr>
        <w:t xml:space="preserve">employment security is key to </w:t>
      </w:r>
      <w:r w:rsidR="00F23691">
        <w:rPr>
          <w:rFonts w:ascii="Arial" w:hAnsi="Arial" w:cs="Arial"/>
          <w:sz w:val="20"/>
          <w:szCs w:val="20"/>
        </w:rPr>
        <w:t>its</w:t>
      </w:r>
      <w:r w:rsidRPr="0016554D">
        <w:rPr>
          <w:rFonts w:ascii="Arial" w:hAnsi="Arial" w:cs="Arial"/>
          <w:sz w:val="20"/>
          <w:szCs w:val="20"/>
        </w:rPr>
        <w:t xml:space="preserve"> sustainability.  </w:t>
      </w:r>
    </w:p>
    <w:p w14:paraId="18C4E902" w14:textId="6C5AC12D" w:rsidR="005757DC" w:rsidRPr="005757DC" w:rsidRDefault="005757DC" w:rsidP="00510CA0">
      <w:pPr>
        <w:pStyle w:val="NormalWeb"/>
        <w:spacing w:line="276" w:lineRule="auto"/>
        <w:jc w:val="both"/>
        <w:rPr>
          <w:rFonts w:ascii="Arial" w:hAnsi="Arial" w:cs="Arial"/>
          <w:b/>
          <w:bCs/>
          <w:i/>
          <w:iCs/>
          <w:color w:val="000000"/>
          <w:sz w:val="20"/>
          <w:szCs w:val="20"/>
        </w:rPr>
      </w:pPr>
      <w:r w:rsidRPr="005757DC">
        <w:rPr>
          <w:rFonts w:ascii="Arial" w:hAnsi="Arial" w:cs="Arial"/>
          <w:b/>
          <w:bCs/>
          <w:i/>
          <w:iCs/>
          <w:color w:val="000000"/>
          <w:sz w:val="20"/>
          <w:szCs w:val="20"/>
        </w:rPr>
        <w:t>University Employees</w:t>
      </w:r>
    </w:p>
    <w:p w14:paraId="022213A7" w14:textId="6338A37D" w:rsidR="00037D1A" w:rsidRDefault="005757DC" w:rsidP="00510CA0">
      <w:pPr>
        <w:spacing w:line="360" w:lineRule="auto"/>
        <w:jc w:val="both"/>
      </w:pPr>
      <w:r w:rsidRPr="00037D1A">
        <w:rPr>
          <w:rFonts w:ascii="Arial" w:hAnsi="Arial" w:cs="Arial"/>
          <w:color w:val="000000"/>
          <w:sz w:val="20"/>
          <w:szCs w:val="20"/>
        </w:rPr>
        <w:t>Figure 3 shows that in 2019 there were some 221,780 people (headcount</w:t>
      </w:r>
      <w:r w:rsidRPr="00037D1A">
        <w:rPr>
          <w:rStyle w:val="FootnoteReference"/>
          <w:rFonts w:ascii="Arial" w:hAnsi="Arial" w:cs="Arial"/>
          <w:color w:val="000000"/>
          <w:sz w:val="20"/>
          <w:szCs w:val="20"/>
        </w:rPr>
        <w:footnoteReference w:id="6"/>
      </w:r>
      <w:r w:rsidRPr="00037D1A">
        <w:rPr>
          <w:rFonts w:ascii="Arial" w:hAnsi="Arial" w:cs="Arial"/>
          <w:color w:val="000000"/>
          <w:sz w:val="20"/>
          <w:szCs w:val="20"/>
        </w:rPr>
        <w:t>) employed at Australia’s universities</w:t>
      </w:r>
      <w:r w:rsidR="0032211D">
        <w:rPr>
          <w:rFonts w:ascii="Arial" w:hAnsi="Arial" w:cs="Arial"/>
          <w:color w:val="000000"/>
          <w:sz w:val="20"/>
          <w:szCs w:val="20"/>
        </w:rPr>
        <w:t>,</w:t>
      </w:r>
      <w:r w:rsidRPr="00037D1A">
        <w:rPr>
          <w:rFonts w:ascii="Arial" w:hAnsi="Arial" w:cs="Arial"/>
          <w:color w:val="000000"/>
          <w:sz w:val="20"/>
          <w:szCs w:val="20"/>
        </w:rPr>
        <w:t xml:space="preserve"> of which only about one-in-three (76,713 </w:t>
      </w:r>
      <w:r w:rsidR="00037D1A" w:rsidRPr="00037D1A">
        <w:rPr>
          <w:rFonts w:ascii="Arial" w:hAnsi="Arial" w:cs="Arial"/>
          <w:color w:val="000000"/>
          <w:sz w:val="20"/>
          <w:szCs w:val="20"/>
        </w:rPr>
        <w:t>o</w:t>
      </w:r>
      <w:r w:rsidRPr="00037D1A">
        <w:rPr>
          <w:rFonts w:ascii="Arial" w:hAnsi="Arial" w:cs="Arial"/>
          <w:color w:val="000000"/>
          <w:sz w:val="20"/>
          <w:szCs w:val="20"/>
        </w:rPr>
        <w:t>r 35%) of whom enjoyed permanent or ongoing employment.  Almost one-in-two university employees (</w:t>
      </w:r>
      <w:r w:rsidR="00037D1A" w:rsidRPr="00037D1A">
        <w:rPr>
          <w:rFonts w:ascii="Arial" w:hAnsi="Arial" w:cs="Arial"/>
          <w:color w:val="000000"/>
          <w:sz w:val="20"/>
          <w:szCs w:val="20"/>
        </w:rPr>
        <w:t xml:space="preserve">99,492 or 45%) were engaged as casuals and one-in-five (45,575 or 20%) employed on limited term contracts.  The </w:t>
      </w:r>
      <w:r w:rsidR="00037D1A" w:rsidRPr="00037D1A">
        <w:rPr>
          <w:rFonts w:ascii="Arial" w:hAnsi="Arial" w:cs="Arial"/>
          <w:sz w:val="20"/>
          <w:szCs w:val="20"/>
        </w:rPr>
        <w:t>proportion of insecurely employed staff as share of the total employees has increased from 60% in 2000 to 65% in 201</w:t>
      </w:r>
      <w:r w:rsidR="00037D1A">
        <w:rPr>
          <w:rFonts w:ascii="Arial" w:hAnsi="Arial" w:cs="Arial"/>
          <w:sz w:val="20"/>
          <w:szCs w:val="20"/>
        </w:rPr>
        <w:t xml:space="preserve">9, </w:t>
      </w:r>
      <w:r w:rsidR="00037D1A" w:rsidRPr="00037D1A">
        <w:rPr>
          <w:rFonts w:ascii="Arial" w:hAnsi="Arial" w:cs="Arial"/>
          <w:sz w:val="20"/>
          <w:szCs w:val="20"/>
        </w:rPr>
        <w:t>with casuals increasing from 40% to 45%</w:t>
      </w:r>
      <w:r w:rsidR="00037D1A">
        <w:rPr>
          <w:rFonts w:ascii="Arial" w:hAnsi="Arial" w:cs="Arial"/>
          <w:sz w:val="20"/>
          <w:szCs w:val="20"/>
        </w:rPr>
        <w:t xml:space="preserve"> over that period.</w:t>
      </w:r>
      <w:r w:rsidR="00037D1A" w:rsidRPr="00037D1A">
        <w:rPr>
          <w:rFonts w:ascii="Arial" w:hAnsi="Arial" w:cs="Arial"/>
          <w:sz w:val="20"/>
          <w:szCs w:val="20"/>
        </w:rPr>
        <w:t xml:space="preserve"> </w:t>
      </w:r>
      <w:r w:rsidR="00037D1A">
        <w:rPr>
          <w:rFonts w:ascii="Arial" w:hAnsi="Arial" w:cs="Arial"/>
          <w:sz w:val="20"/>
          <w:szCs w:val="20"/>
        </w:rPr>
        <w:t xml:space="preserve"> </w:t>
      </w:r>
    </w:p>
    <w:p w14:paraId="7360A4D1" w14:textId="77777777" w:rsidR="000A150C" w:rsidRDefault="000A150C" w:rsidP="00510CA0">
      <w:pPr>
        <w:pStyle w:val="Caption"/>
        <w:keepNext/>
        <w:spacing w:line="276" w:lineRule="auto"/>
        <w:jc w:val="both"/>
      </w:pPr>
    </w:p>
    <w:p w14:paraId="552BAF18" w14:textId="464C2CD4" w:rsidR="005757DC" w:rsidRDefault="005757DC" w:rsidP="00510CA0">
      <w:pPr>
        <w:pStyle w:val="Caption"/>
        <w:keepNext/>
        <w:spacing w:line="276" w:lineRule="auto"/>
        <w:jc w:val="both"/>
      </w:pPr>
      <w:r>
        <w:t>Figure 3</w:t>
      </w:r>
    </w:p>
    <w:p w14:paraId="07E8FC7F" w14:textId="77777777" w:rsidR="005757DC" w:rsidRDefault="005757DC" w:rsidP="00510CA0">
      <w:pPr>
        <w:spacing w:line="276" w:lineRule="auto"/>
        <w:jc w:val="both"/>
        <w:rPr>
          <w:rFonts w:ascii="Arial" w:hAnsi="Arial" w:cs="Arial"/>
          <w:b/>
          <w:bCs/>
          <w:sz w:val="22"/>
          <w:szCs w:val="22"/>
        </w:rPr>
      </w:pPr>
      <w:r>
        <w:rPr>
          <w:noProof/>
        </w:rPr>
        <w:drawing>
          <wp:inline distT="0" distB="0" distL="0" distR="0" wp14:anchorId="102B4046" wp14:editId="664D7061">
            <wp:extent cx="5731510" cy="3735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3735070"/>
                    </a:xfrm>
                    <a:prstGeom prst="rect">
                      <a:avLst/>
                    </a:prstGeom>
                  </pic:spPr>
                </pic:pic>
              </a:graphicData>
            </a:graphic>
          </wp:inline>
        </w:drawing>
      </w:r>
    </w:p>
    <w:p w14:paraId="0B61B001" w14:textId="7058A4F6" w:rsidR="005757DC" w:rsidRPr="007B660B" w:rsidRDefault="005757DC" w:rsidP="00510CA0">
      <w:pPr>
        <w:spacing w:line="276" w:lineRule="auto"/>
        <w:jc w:val="both"/>
        <w:rPr>
          <w:rFonts w:ascii="Arial" w:hAnsi="Arial" w:cs="Arial"/>
          <w:b/>
          <w:bCs/>
          <w:sz w:val="22"/>
          <w:szCs w:val="22"/>
        </w:rPr>
      </w:pPr>
    </w:p>
    <w:p w14:paraId="3B0E3344" w14:textId="38EAC96D" w:rsidR="005757DC" w:rsidRDefault="00037D1A" w:rsidP="00510CA0">
      <w:pPr>
        <w:spacing w:line="360" w:lineRule="auto"/>
        <w:jc w:val="both"/>
        <w:rPr>
          <w:rFonts w:ascii="Arial" w:hAnsi="Arial" w:cs="Arial"/>
          <w:sz w:val="20"/>
          <w:szCs w:val="20"/>
        </w:rPr>
      </w:pPr>
      <w:r>
        <w:rPr>
          <w:rFonts w:ascii="Arial" w:hAnsi="Arial" w:cs="Arial"/>
          <w:sz w:val="20"/>
          <w:szCs w:val="20"/>
        </w:rPr>
        <w:t xml:space="preserve">As was shown in a </w:t>
      </w:r>
      <w:r w:rsidR="005757DC" w:rsidRPr="005757DC">
        <w:rPr>
          <w:rFonts w:ascii="Arial" w:hAnsi="Arial" w:cs="Arial"/>
          <w:sz w:val="20"/>
          <w:szCs w:val="20"/>
        </w:rPr>
        <w:t xml:space="preserve">2018 NTEU </w:t>
      </w:r>
      <w:r>
        <w:rPr>
          <w:rFonts w:ascii="Arial" w:hAnsi="Arial" w:cs="Arial"/>
          <w:sz w:val="20"/>
          <w:szCs w:val="20"/>
        </w:rPr>
        <w:t xml:space="preserve">report called </w:t>
      </w:r>
      <w:r w:rsidR="005757DC" w:rsidRPr="005757DC">
        <w:rPr>
          <w:rFonts w:ascii="Arial" w:hAnsi="Arial" w:cs="Arial"/>
          <w:i/>
          <w:iCs/>
          <w:sz w:val="20"/>
          <w:szCs w:val="20"/>
        </w:rPr>
        <w:t>The Flood of Insecure Employment at Australian Universities</w:t>
      </w:r>
      <w:r>
        <w:rPr>
          <w:rStyle w:val="FootnoteReference"/>
          <w:rFonts w:ascii="Arial" w:hAnsi="Arial" w:cs="Arial"/>
          <w:i/>
          <w:iCs/>
          <w:sz w:val="20"/>
          <w:szCs w:val="20"/>
        </w:rPr>
        <w:footnoteReference w:id="7"/>
      </w:r>
      <w:r w:rsidR="005757DC" w:rsidRPr="005757DC">
        <w:rPr>
          <w:rFonts w:ascii="Arial" w:hAnsi="Arial" w:cs="Arial"/>
          <w:sz w:val="20"/>
          <w:szCs w:val="20"/>
        </w:rPr>
        <w:t xml:space="preserve"> </w:t>
      </w:r>
      <w:r w:rsidR="0032211D">
        <w:rPr>
          <w:rFonts w:ascii="Arial" w:hAnsi="Arial" w:cs="Arial"/>
          <w:sz w:val="20"/>
          <w:szCs w:val="20"/>
        </w:rPr>
        <w:t>,</w:t>
      </w:r>
      <w:r>
        <w:rPr>
          <w:rFonts w:ascii="Arial" w:hAnsi="Arial" w:cs="Arial"/>
          <w:sz w:val="20"/>
          <w:szCs w:val="20"/>
        </w:rPr>
        <w:t xml:space="preserve"> in addition to increasing reliance on insecure jobs, university employment was also </w:t>
      </w:r>
      <w:r w:rsidR="005757DC" w:rsidRPr="005757DC">
        <w:rPr>
          <w:rFonts w:ascii="Arial" w:hAnsi="Arial" w:cs="Arial"/>
          <w:sz w:val="20"/>
          <w:szCs w:val="20"/>
        </w:rPr>
        <w:t xml:space="preserve">more specialised amongst academic staff.  </w:t>
      </w:r>
      <w:r>
        <w:rPr>
          <w:rFonts w:ascii="Arial" w:hAnsi="Arial" w:cs="Arial"/>
          <w:sz w:val="20"/>
          <w:szCs w:val="20"/>
        </w:rPr>
        <w:t xml:space="preserve"> The increasing use of </w:t>
      </w:r>
      <w:r w:rsidR="00843DFE">
        <w:rPr>
          <w:rFonts w:ascii="Arial" w:hAnsi="Arial" w:cs="Arial"/>
          <w:sz w:val="20"/>
          <w:szCs w:val="20"/>
        </w:rPr>
        <w:t xml:space="preserve">specialist </w:t>
      </w:r>
      <w:r>
        <w:rPr>
          <w:rFonts w:ascii="Arial" w:hAnsi="Arial" w:cs="Arial"/>
          <w:sz w:val="20"/>
          <w:szCs w:val="20"/>
        </w:rPr>
        <w:t>academic staff</w:t>
      </w:r>
      <w:r w:rsidR="00843DFE">
        <w:rPr>
          <w:rFonts w:ascii="Arial" w:hAnsi="Arial" w:cs="Arial"/>
          <w:sz w:val="20"/>
          <w:szCs w:val="20"/>
        </w:rPr>
        <w:t>, that is</w:t>
      </w:r>
      <w:r w:rsidR="0032211D">
        <w:rPr>
          <w:rFonts w:ascii="Arial" w:hAnsi="Arial" w:cs="Arial"/>
          <w:sz w:val="20"/>
          <w:szCs w:val="20"/>
        </w:rPr>
        <w:t>,</w:t>
      </w:r>
      <w:r w:rsidR="00843DFE">
        <w:rPr>
          <w:rFonts w:ascii="Arial" w:hAnsi="Arial" w:cs="Arial"/>
          <w:sz w:val="20"/>
          <w:szCs w:val="20"/>
        </w:rPr>
        <w:t xml:space="preserve"> those classified</w:t>
      </w:r>
      <w:r>
        <w:rPr>
          <w:rFonts w:ascii="Arial" w:hAnsi="Arial" w:cs="Arial"/>
          <w:sz w:val="20"/>
          <w:szCs w:val="20"/>
        </w:rPr>
        <w:t xml:space="preserve"> as either teaching-only</w:t>
      </w:r>
      <w:r w:rsidR="00A72E71">
        <w:rPr>
          <w:rFonts w:ascii="Arial" w:hAnsi="Arial" w:cs="Arial"/>
          <w:sz w:val="20"/>
          <w:szCs w:val="20"/>
        </w:rPr>
        <w:t xml:space="preserve"> </w:t>
      </w:r>
      <w:r w:rsidR="00843DFE">
        <w:rPr>
          <w:rFonts w:ascii="Arial" w:hAnsi="Arial" w:cs="Arial"/>
          <w:sz w:val="20"/>
          <w:szCs w:val="20"/>
        </w:rPr>
        <w:t xml:space="preserve">(T-O) </w:t>
      </w:r>
      <w:r>
        <w:rPr>
          <w:rFonts w:ascii="Arial" w:hAnsi="Arial" w:cs="Arial"/>
          <w:sz w:val="20"/>
          <w:szCs w:val="20"/>
        </w:rPr>
        <w:t>or research-only</w:t>
      </w:r>
      <w:r w:rsidR="00A72E71">
        <w:rPr>
          <w:rFonts w:ascii="Arial" w:hAnsi="Arial" w:cs="Arial"/>
          <w:sz w:val="20"/>
          <w:szCs w:val="20"/>
        </w:rPr>
        <w:t xml:space="preserve"> </w:t>
      </w:r>
      <w:r w:rsidR="00843DFE">
        <w:rPr>
          <w:rFonts w:ascii="Arial" w:hAnsi="Arial" w:cs="Arial"/>
          <w:sz w:val="20"/>
          <w:szCs w:val="20"/>
        </w:rPr>
        <w:t xml:space="preserve">(R-O), </w:t>
      </w:r>
      <w:r>
        <w:rPr>
          <w:rFonts w:ascii="Arial" w:hAnsi="Arial" w:cs="Arial"/>
          <w:sz w:val="20"/>
          <w:szCs w:val="20"/>
        </w:rPr>
        <w:t>as opposed to more traditional teaching</w:t>
      </w:r>
      <w:r w:rsidR="00843DFE">
        <w:rPr>
          <w:rFonts w:ascii="Arial" w:hAnsi="Arial" w:cs="Arial"/>
          <w:sz w:val="20"/>
          <w:szCs w:val="20"/>
        </w:rPr>
        <w:t xml:space="preserve"> and research (T&amp;R) academics as shown in Figure 4</w:t>
      </w:r>
      <w:r w:rsidR="0032211D">
        <w:rPr>
          <w:rFonts w:ascii="Arial" w:hAnsi="Arial" w:cs="Arial"/>
          <w:sz w:val="20"/>
          <w:szCs w:val="20"/>
        </w:rPr>
        <w:t>,</w:t>
      </w:r>
      <w:r w:rsidR="00843DFE">
        <w:rPr>
          <w:rFonts w:ascii="Arial" w:hAnsi="Arial" w:cs="Arial"/>
          <w:sz w:val="20"/>
          <w:szCs w:val="20"/>
        </w:rPr>
        <w:t xml:space="preserve"> is also associated with an increasing reliance on insecure forms of work.  As the data in Figure 5 shows</w:t>
      </w:r>
      <w:r w:rsidR="0032211D">
        <w:rPr>
          <w:rFonts w:ascii="Arial" w:hAnsi="Arial" w:cs="Arial"/>
          <w:sz w:val="20"/>
          <w:szCs w:val="20"/>
        </w:rPr>
        <w:t>,</w:t>
      </w:r>
      <w:r w:rsidR="00843DFE">
        <w:rPr>
          <w:rFonts w:ascii="Arial" w:hAnsi="Arial" w:cs="Arial"/>
          <w:sz w:val="20"/>
          <w:szCs w:val="20"/>
        </w:rPr>
        <w:t xml:space="preserve"> in 2018 only about 15% of FTE staff employed as T-O or R-O academic staff enjoyed secure employment.  Three-quarters (73.8%) of T-O FTE academics were employed as casuals and eight out of ten (79.1%) R-O FTE academics were on limited term contracts. </w:t>
      </w:r>
    </w:p>
    <w:p w14:paraId="3D8F81D1" w14:textId="4574126E" w:rsidR="00843DFE" w:rsidRDefault="00843DFE" w:rsidP="00510CA0">
      <w:pPr>
        <w:spacing w:line="360" w:lineRule="auto"/>
        <w:jc w:val="both"/>
        <w:rPr>
          <w:rFonts w:ascii="Arial" w:hAnsi="Arial" w:cs="Arial"/>
          <w:sz w:val="20"/>
          <w:szCs w:val="20"/>
        </w:rPr>
      </w:pPr>
    </w:p>
    <w:p w14:paraId="10F3E832" w14:textId="5EDE423D" w:rsidR="00843DFE" w:rsidRDefault="00843DFE" w:rsidP="00510CA0">
      <w:pPr>
        <w:spacing w:line="360" w:lineRule="auto"/>
        <w:jc w:val="both"/>
        <w:rPr>
          <w:rFonts w:ascii="Arial" w:hAnsi="Arial" w:cs="Arial"/>
          <w:sz w:val="20"/>
          <w:szCs w:val="20"/>
        </w:rPr>
      </w:pPr>
      <w:r>
        <w:rPr>
          <w:rFonts w:ascii="Arial" w:hAnsi="Arial" w:cs="Arial"/>
          <w:sz w:val="20"/>
          <w:szCs w:val="20"/>
        </w:rPr>
        <w:t xml:space="preserve">The NTEU believes that increasing reliance on specialist academic staff without </w:t>
      </w:r>
      <w:r w:rsidR="000A150C">
        <w:rPr>
          <w:rFonts w:ascii="Arial" w:hAnsi="Arial" w:cs="Arial"/>
          <w:sz w:val="20"/>
          <w:szCs w:val="20"/>
        </w:rPr>
        <w:t xml:space="preserve">secure employment is an existential threat the quality and sustainability of </w:t>
      </w:r>
      <w:r w:rsidR="00FA2A2D">
        <w:rPr>
          <w:rFonts w:ascii="Arial" w:hAnsi="Arial" w:cs="Arial"/>
          <w:sz w:val="20"/>
          <w:szCs w:val="20"/>
        </w:rPr>
        <w:t xml:space="preserve">our </w:t>
      </w:r>
      <w:r w:rsidR="000A150C">
        <w:rPr>
          <w:rFonts w:ascii="Arial" w:hAnsi="Arial" w:cs="Arial"/>
          <w:sz w:val="20"/>
          <w:szCs w:val="20"/>
        </w:rPr>
        <w:t xml:space="preserve">university sector.  It is estimated at least half of all teaching is delivered by casual employees.  Much of the research is undertaken researchers on limited term contracts.  While the NTEU is not questioning the qualifications or motives of the individual involved, we are questioning whether </w:t>
      </w:r>
      <w:r w:rsidR="008E1730">
        <w:rPr>
          <w:rFonts w:ascii="Arial" w:hAnsi="Arial" w:cs="Arial"/>
          <w:sz w:val="20"/>
          <w:szCs w:val="20"/>
        </w:rPr>
        <w:t xml:space="preserve">it </w:t>
      </w:r>
      <w:r w:rsidR="000A150C">
        <w:rPr>
          <w:rFonts w:ascii="Arial" w:hAnsi="Arial" w:cs="Arial"/>
          <w:sz w:val="20"/>
          <w:szCs w:val="20"/>
        </w:rPr>
        <w:t>is an employment model which ensures our universities are attracting the very best people to pursue a university career</w:t>
      </w:r>
      <w:r w:rsidR="00B7676E">
        <w:rPr>
          <w:rFonts w:ascii="Arial" w:hAnsi="Arial" w:cs="Arial"/>
          <w:sz w:val="20"/>
          <w:szCs w:val="20"/>
        </w:rPr>
        <w:t>.</w:t>
      </w:r>
    </w:p>
    <w:p w14:paraId="5B7580E3" w14:textId="45DE6C04" w:rsidR="00843DFE" w:rsidRDefault="00843DFE" w:rsidP="00510CA0">
      <w:pPr>
        <w:spacing w:line="360" w:lineRule="auto"/>
        <w:jc w:val="both"/>
        <w:rPr>
          <w:rFonts w:ascii="Arial" w:hAnsi="Arial" w:cs="Arial"/>
          <w:sz w:val="20"/>
          <w:szCs w:val="20"/>
        </w:rPr>
      </w:pPr>
    </w:p>
    <w:p w14:paraId="00E2B058" w14:textId="77777777" w:rsidR="00843DFE" w:rsidRDefault="00843DFE" w:rsidP="00510CA0">
      <w:pPr>
        <w:spacing w:line="360" w:lineRule="auto"/>
        <w:jc w:val="both"/>
        <w:rPr>
          <w:rFonts w:ascii="Arial" w:hAnsi="Arial" w:cs="Arial"/>
          <w:sz w:val="20"/>
          <w:szCs w:val="20"/>
        </w:rPr>
      </w:pPr>
    </w:p>
    <w:p w14:paraId="34602983" w14:textId="576B543D" w:rsidR="000A150C" w:rsidRDefault="000A150C" w:rsidP="00510CA0">
      <w:pPr>
        <w:pStyle w:val="Caption"/>
        <w:keepNext/>
        <w:jc w:val="both"/>
      </w:pPr>
      <w:r>
        <w:t>Figure 4</w:t>
      </w:r>
    </w:p>
    <w:p w14:paraId="26D7AEF7" w14:textId="4F07713F" w:rsidR="00843DFE" w:rsidRDefault="00843DFE" w:rsidP="00510CA0">
      <w:pPr>
        <w:spacing w:line="360" w:lineRule="auto"/>
        <w:jc w:val="both"/>
        <w:rPr>
          <w:rFonts w:ascii="Arial" w:hAnsi="Arial" w:cs="Arial"/>
          <w:sz w:val="20"/>
          <w:szCs w:val="20"/>
        </w:rPr>
      </w:pPr>
      <w:r>
        <w:rPr>
          <w:noProof/>
        </w:rPr>
        <w:drawing>
          <wp:inline distT="0" distB="0" distL="0" distR="0" wp14:anchorId="6A863723" wp14:editId="43C5FC0F">
            <wp:extent cx="5731510" cy="3735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3735070"/>
                    </a:xfrm>
                    <a:prstGeom prst="rect">
                      <a:avLst/>
                    </a:prstGeom>
                  </pic:spPr>
                </pic:pic>
              </a:graphicData>
            </a:graphic>
          </wp:inline>
        </w:drawing>
      </w:r>
    </w:p>
    <w:p w14:paraId="6B904E95" w14:textId="20112089" w:rsidR="00843DFE" w:rsidRDefault="00843DFE" w:rsidP="00510CA0">
      <w:pPr>
        <w:spacing w:line="360" w:lineRule="auto"/>
        <w:jc w:val="both"/>
        <w:rPr>
          <w:rFonts w:ascii="Arial" w:hAnsi="Arial" w:cs="Arial"/>
          <w:sz w:val="20"/>
          <w:szCs w:val="20"/>
        </w:rPr>
      </w:pPr>
    </w:p>
    <w:p w14:paraId="191A7BEA" w14:textId="001C96AC" w:rsidR="000A150C" w:rsidRDefault="000A150C" w:rsidP="00510CA0">
      <w:pPr>
        <w:pStyle w:val="Caption"/>
        <w:keepNext/>
        <w:jc w:val="both"/>
      </w:pPr>
      <w:r>
        <w:t>Figure 5</w:t>
      </w:r>
    </w:p>
    <w:p w14:paraId="60D1764E" w14:textId="59C25510" w:rsidR="005757DC" w:rsidRPr="00F91CF0" w:rsidRDefault="00843DFE" w:rsidP="00510CA0">
      <w:pPr>
        <w:spacing w:line="360" w:lineRule="auto"/>
        <w:jc w:val="both"/>
        <w:rPr>
          <w:rFonts w:ascii="Arial" w:hAnsi="Arial" w:cs="Arial"/>
          <w:sz w:val="20"/>
          <w:szCs w:val="20"/>
        </w:rPr>
      </w:pPr>
      <w:r>
        <w:rPr>
          <w:noProof/>
        </w:rPr>
        <w:drawing>
          <wp:inline distT="0" distB="0" distL="0" distR="0" wp14:anchorId="19615D0C" wp14:editId="0C0A1BDD">
            <wp:extent cx="5731510" cy="399669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3996690"/>
                    </a:xfrm>
                    <a:prstGeom prst="rect">
                      <a:avLst/>
                    </a:prstGeom>
                  </pic:spPr>
                </pic:pic>
              </a:graphicData>
            </a:graphic>
          </wp:inline>
        </w:drawing>
      </w:r>
    </w:p>
    <w:p w14:paraId="5C5E20AF" w14:textId="30B346A9" w:rsidR="00C21DA6" w:rsidRDefault="00C21DA6" w:rsidP="00510CA0">
      <w:pPr>
        <w:spacing w:line="360" w:lineRule="auto"/>
        <w:jc w:val="both"/>
        <w:rPr>
          <w:rFonts w:ascii="Arial" w:hAnsi="Arial" w:cs="Arial"/>
          <w:sz w:val="22"/>
          <w:szCs w:val="22"/>
        </w:rPr>
      </w:pPr>
    </w:p>
    <w:p w14:paraId="68AA8AE6" w14:textId="020C13F3" w:rsidR="00CC4183" w:rsidRPr="000A1E3D" w:rsidRDefault="000A1E3D" w:rsidP="00510CA0">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rPr>
      </w:pPr>
      <w:r w:rsidRPr="000A1E3D">
        <w:rPr>
          <w:rFonts w:ascii="Arial" w:hAnsi="Arial" w:cs="Arial"/>
          <w:b/>
          <w:bCs/>
          <w:sz w:val="20"/>
          <w:szCs w:val="20"/>
        </w:rPr>
        <w:t>RECOMMENDATION 6</w:t>
      </w:r>
    </w:p>
    <w:p w14:paraId="246612FE" w14:textId="74A29C8F" w:rsidR="000A1E3D" w:rsidRPr="000A1E3D" w:rsidRDefault="000A1E3D" w:rsidP="00510CA0">
      <w:pPr>
        <w:pBdr>
          <w:top w:val="single" w:sz="4" w:space="1" w:color="auto"/>
          <w:left w:val="single" w:sz="4" w:space="4" w:color="auto"/>
          <w:bottom w:val="single" w:sz="4" w:space="1" w:color="auto"/>
          <w:right w:val="single" w:sz="4" w:space="4" w:color="auto"/>
        </w:pBdr>
        <w:spacing w:line="360" w:lineRule="auto"/>
        <w:jc w:val="both"/>
        <w:rPr>
          <w:rFonts w:ascii="Arial" w:hAnsi="Arial" w:cs="Arial"/>
          <w:b/>
          <w:bCs/>
          <w:sz w:val="20"/>
          <w:szCs w:val="20"/>
        </w:rPr>
      </w:pPr>
      <w:r w:rsidRPr="000A1E3D">
        <w:rPr>
          <w:rFonts w:ascii="Arial" w:hAnsi="Arial" w:cs="Arial"/>
          <w:b/>
          <w:bCs/>
          <w:sz w:val="20"/>
          <w:szCs w:val="20"/>
        </w:rPr>
        <w:t xml:space="preserve">Government should </w:t>
      </w:r>
      <w:r>
        <w:rPr>
          <w:rFonts w:ascii="Arial" w:hAnsi="Arial" w:cs="Arial"/>
          <w:b/>
          <w:bCs/>
          <w:sz w:val="20"/>
          <w:szCs w:val="20"/>
        </w:rPr>
        <w:t xml:space="preserve">use </w:t>
      </w:r>
      <w:r w:rsidRPr="000A1E3D">
        <w:rPr>
          <w:rFonts w:ascii="Arial" w:hAnsi="Arial" w:cs="Arial"/>
          <w:b/>
          <w:bCs/>
          <w:sz w:val="20"/>
          <w:szCs w:val="20"/>
        </w:rPr>
        <w:t>its hi</w:t>
      </w:r>
      <w:r w:rsidR="005B7B2C">
        <w:rPr>
          <w:rFonts w:ascii="Arial" w:hAnsi="Arial" w:cs="Arial"/>
          <w:b/>
          <w:bCs/>
          <w:sz w:val="20"/>
          <w:szCs w:val="20"/>
        </w:rPr>
        <w:t>gh</w:t>
      </w:r>
      <w:r w:rsidRPr="000A1E3D">
        <w:rPr>
          <w:rFonts w:ascii="Arial" w:hAnsi="Arial" w:cs="Arial"/>
          <w:b/>
          <w:bCs/>
          <w:sz w:val="20"/>
          <w:szCs w:val="20"/>
        </w:rPr>
        <w:t xml:space="preserve"> regulatory and funding powers to encourage universities to reduce their reliance on insecurely employed .</w:t>
      </w:r>
    </w:p>
    <w:p w14:paraId="0E318ED2" w14:textId="77777777" w:rsidR="00CC4183" w:rsidRDefault="00CC4183" w:rsidP="00510CA0">
      <w:pPr>
        <w:spacing w:line="360" w:lineRule="auto"/>
        <w:jc w:val="both"/>
        <w:rPr>
          <w:rFonts w:ascii="Arial" w:hAnsi="Arial" w:cs="Arial"/>
          <w:sz w:val="22"/>
          <w:szCs w:val="22"/>
        </w:rPr>
      </w:pPr>
    </w:p>
    <w:p w14:paraId="1A3F6013" w14:textId="77777777" w:rsidR="007F28A0" w:rsidRDefault="007F28A0" w:rsidP="00510CA0">
      <w:pPr>
        <w:spacing w:line="360" w:lineRule="auto"/>
        <w:jc w:val="both"/>
        <w:rPr>
          <w:rFonts w:ascii="Arial" w:hAnsi="Arial" w:cs="Arial"/>
          <w:sz w:val="22"/>
          <w:szCs w:val="22"/>
        </w:rPr>
      </w:pPr>
    </w:p>
    <w:p w14:paraId="43CF9B0C" w14:textId="2F78A0F9" w:rsidR="007F28A0" w:rsidRPr="007F28A0" w:rsidRDefault="007F28A0" w:rsidP="00510CA0">
      <w:pPr>
        <w:spacing w:line="360" w:lineRule="auto"/>
        <w:jc w:val="both"/>
        <w:rPr>
          <w:rFonts w:ascii="Arial" w:hAnsi="Arial" w:cs="Arial"/>
          <w:b/>
          <w:bCs/>
          <w:sz w:val="22"/>
          <w:szCs w:val="22"/>
        </w:rPr>
      </w:pPr>
      <w:r w:rsidRPr="007F28A0">
        <w:rPr>
          <w:rFonts w:ascii="Arial" w:hAnsi="Arial" w:cs="Arial"/>
          <w:b/>
          <w:bCs/>
          <w:sz w:val="22"/>
          <w:szCs w:val="22"/>
        </w:rPr>
        <w:t>CONCLUSION</w:t>
      </w:r>
    </w:p>
    <w:p w14:paraId="1B9B7504" w14:textId="2420DA69" w:rsidR="00F91CF0" w:rsidRDefault="00F91CF0" w:rsidP="00510CA0">
      <w:pPr>
        <w:spacing w:line="360" w:lineRule="auto"/>
        <w:jc w:val="both"/>
        <w:rPr>
          <w:rFonts w:ascii="Arial" w:hAnsi="Arial" w:cs="Arial"/>
          <w:sz w:val="20"/>
          <w:szCs w:val="20"/>
        </w:rPr>
      </w:pPr>
      <w:r>
        <w:rPr>
          <w:rFonts w:ascii="Arial" w:hAnsi="Arial" w:cs="Arial"/>
          <w:sz w:val="20"/>
          <w:szCs w:val="20"/>
        </w:rPr>
        <w:t>Australia’s</w:t>
      </w:r>
      <w:r w:rsidR="007F28A0" w:rsidRPr="0016554D">
        <w:rPr>
          <w:rFonts w:ascii="Arial" w:hAnsi="Arial" w:cs="Arial"/>
          <w:sz w:val="20"/>
          <w:szCs w:val="20"/>
        </w:rPr>
        <w:t xml:space="preserve"> world class </w:t>
      </w:r>
      <w:r>
        <w:rPr>
          <w:rFonts w:ascii="Arial" w:hAnsi="Arial" w:cs="Arial"/>
          <w:sz w:val="20"/>
          <w:szCs w:val="20"/>
        </w:rPr>
        <w:t xml:space="preserve">public </w:t>
      </w:r>
      <w:r w:rsidR="007F28A0" w:rsidRPr="0016554D">
        <w:rPr>
          <w:rFonts w:ascii="Arial" w:hAnsi="Arial" w:cs="Arial"/>
          <w:sz w:val="20"/>
          <w:szCs w:val="20"/>
        </w:rPr>
        <w:t xml:space="preserve">university system </w:t>
      </w:r>
      <w:r>
        <w:rPr>
          <w:rFonts w:ascii="Arial" w:hAnsi="Arial" w:cs="Arial"/>
          <w:sz w:val="20"/>
          <w:szCs w:val="20"/>
        </w:rPr>
        <w:t>must be underpinned by:</w:t>
      </w:r>
    </w:p>
    <w:p w14:paraId="5E3BCF15" w14:textId="77777777" w:rsidR="00F91CF0" w:rsidRDefault="007F28A0" w:rsidP="00510CA0">
      <w:pPr>
        <w:pStyle w:val="ListParagraph"/>
        <w:numPr>
          <w:ilvl w:val="0"/>
          <w:numId w:val="35"/>
        </w:numPr>
        <w:spacing w:line="360" w:lineRule="auto"/>
        <w:jc w:val="both"/>
        <w:rPr>
          <w:rFonts w:ascii="Arial" w:hAnsi="Arial" w:cs="Arial"/>
          <w:sz w:val="20"/>
          <w:szCs w:val="20"/>
        </w:rPr>
      </w:pPr>
      <w:r w:rsidRPr="00F91CF0">
        <w:rPr>
          <w:rFonts w:ascii="Arial" w:hAnsi="Arial" w:cs="Arial"/>
          <w:sz w:val="20"/>
          <w:szCs w:val="20"/>
        </w:rPr>
        <w:t>secure employment</w:t>
      </w:r>
      <w:r w:rsidR="00F91CF0" w:rsidRPr="00F91CF0">
        <w:rPr>
          <w:rFonts w:ascii="Arial" w:hAnsi="Arial" w:cs="Arial"/>
          <w:sz w:val="20"/>
          <w:szCs w:val="20"/>
        </w:rPr>
        <w:t xml:space="preserve">, </w:t>
      </w:r>
    </w:p>
    <w:p w14:paraId="5E123DA0" w14:textId="77777777" w:rsidR="00F91CF0" w:rsidRDefault="00F91CF0" w:rsidP="00510CA0">
      <w:pPr>
        <w:pStyle w:val="ListParagraph"/>
        <w:numPr>
          <w:ilvl w:val="0"/>
          <w:numId w:val="35"/>
        </w:numPr>
        <w:spacing w:line="360" w:lineRule="auto"/>
        <w:jc w:val="both"/>
        <w:rPr>
          <w:rFonts w:ascii="Arial" w:hAnsi="Arial" w:cs="Arial"/>
          <w:sz w:val="20"/>
          <w:szCs w:val="20"/>
        </w:rPr>
      </w:pPr>
      <w:r>
        <w:rPr>
          <w:rFonts w:ascii="Arial" w:hAnsi="Arial" w:cs="Arial"/>
          <w:sz w:val="20"/>
          <w:szCs w:val="20"/>
        </w:rPr>
        <w:t xml:space="preserve">a level of public investment that expose of public universities to unexpected external shocks, and </w:t>
      </w:r>
    </w:p>
    <w:p w14:paraId="0FB1E111" w14:textId="77777777" w:rsidR="000A1E3D" w:rsidRDefault="00F91CF0" w:rsidP="00510CA0">
      <w:pPr>
        <w:pStyle w:val="ListParagraph"/>
        <w:numPr>
          <w:ilvl w:val="0"/>
          <w:numId w:val="35"/>
        </w:numPr>
        <w:spacing w:line="360" w:lineRule="auto"/>
        <w:jc w:val="both"/>
        <w:rPr>
          <w:rFonts w:ascii="Arial" w:hAnsi="Arial" w:cs="Arial"/>
          <w:sz w:val="20"/>
          <w:szCs w:val="20"/>
        </w:rPr>
      </w:pPr>
      <w:r w:rsidRPr="00F91CF0">
        <w:rPr>
          <w:rFonts w:ascii="Arial" w:hAnsi="Arial" w:cs="Arial"/>
          <w:sz w:val="20"/>
          <w:szCs w:val="20"/>
        </w:rPr>
        <w:t xml:space="preserve">appropriate regulatory and governance frameworks. </w:t>
      </w:r>
    </w:p>
    <w:p w14:paraId="56004ECD" w14:textId="651B37CC" w:rsidR="00F91CF0" w:rsidRDefault="00F91CF0" w:rsidP="00510CA0">
      <w:pPr>
        <w:spacing w:line="360" w:lineRule="auto"/>
        <w:jc w:val="both"/>
        <w:rPr>
          <w:rFonts w:ascii="Arial" w:hAnsi="Arial" w:cs="Arial"/>
          <w:sz w:val="20"/>
          <w:szCs w:val="20"/>
        </w:rPr>
      </w:pPr>
    </w:p>
    <w:p w14:paraId="307621E7" w14:textId="621AFBF4" w:rsidR="000A1E3D" w:rsidRDefault="00F91CF0" w:rsidP="00510CA0">
      <w:pPr>
        <w:spacing w:line="360" w:lineRule="auto"/>
        <w:jc w:val="both"/>
        <w:rPr>
          <w:rFonts w:ascii="Arial" w:hAnsi="Arial" w:cs="Arial"/>
          <w:sz w:val="20"/>
          <w:szCs w:val="20"/>
        </w:rPr>
      </w:pPr>
      <w:r>
        <w:rPr>
          <w:rFonts w:ascii="Arial" w:hAnsi="Arial" w:cs="Arial"/>
          <w:sz w:val="20"/>
          <w:szCs w:val="20"/>
        </w:rPr>
        <w:t xml:space="preserve">At present Australia fails on all of these elements and therefore the NTEU believes it is now time to take </w:t>
      </w:r>
      <w:r w:rsidR="00CC4183">
        <w:rPr>
          <w:rFonts w:ascii="Arial" w:hAnsi="Arial" w:cs="Arial"/>
          <w:sz w:val="20"/>
          <w:szCs w:val="20"/>
        </w:rPr>
        <w:t>stock</w:t>
      </w:r>
      <w:r>
        <w:rPr>
          <w:rFonts w:ascii="Arial" w:hAnsi="Arial" w:cs="Arial"/>
          <w:sz w:val="20"/>
          <w:szCs w:val="20"/>
        </w:rPr>
        <w:t xml:space="preserve"> and re</w:t>
      </w:r>
      <w:r w:rsidR="00CC4183">
        <w:rPr>
          <w:rFonts w:ascii="Arial" w:hAnsi="Arial" w:cs="Arial"/>
          <w:sz w:val="20"/>
          <w:szCs w:val="20"/>
        </w:rPr>
        <w:t>think each of these aspects of Australia’s approach to higher education higher education policy.</w:t>
      </w:r>
      <w:r w:rsidR="000A1E3D">
        <w:rPr>
          <w:rFonts w:ascii="Arial" w:hAnsi="Arial" w:cs="Arial"/>
          <w:sz w:val="20"/>
          <w:szCs w:val="20"/>
        </w:rPr>
        <w:t xml:space="preserve">  In rethinking higher education policy</w:t>
      </w:r>
      <w:r w:rsidR="0032211D">
        <w:rPr>
          <w:rFonts w:ascii="Arial" w:hAnsi="Arial" w:cs="Arial"/>
          <w:sz w:val="20"/>
          <w:szCs w:val="20"/>
        </w:rPr>
        <w:t>,</w:t>
      </w:r>
      <w:r w:rsidR="000A1E3D">
        <w:rPr>
          <w:rFonts w:ascii="Arial" w:hAnsi="Arial" w:cs="Arial"/>
          <w:sz w:val="20"/>
          <w:szCs w:val="20"/>
        </w:rPr>
        <w:t xml:space="preserve"> the NTEU is recommending that:</w:t>
      </w:r>
    </w:p>
    <w:p w14:paraId="27DA01D5" w14:textId="223E3FFB" w:rsidR="000A1E3D" w:rsidRPr="000A1E3D" w:rsidRDefault="001D6B3D" w:rsidP="00510CA0">
      <w:pPr>
        <w:pStyle w:val="ListParagraph"/>
        <w:numPr>
          <w:ilvl w:val="0"/>
          <w:numId w:val="37"/>
        </w:numPr>
        <w:spacing w:line="360" w:lineRule="auto"/>
        <w:jc w:val="both"/>
        <w:rPr>
          <w:rFonts w:ascii="Arial" w:hAnsi="Arial" w:cs="Arial"/>
          <w:sz w:val="20"/>
          <w:szCs w:val="20"/>
        </w:rPr>
      </w:pPr>
      <w:r>
        <w:rPr>
          <w:rFonts w:ascii="Arial" w:hAnsi="Arial" w:cs="Arial"/>
          <w:sz w:val="20"/>
          <w:szCs w:val="20"/>
        </w:rPr>
        <w:t>t</w:t>
      </w:r>
      <w:r w:rsidR="000A1E3D" w:rsidRPr="000A1E3D">
        <w:rPr>
          <w:rFonts w:ascii="Arial" w:hAnsi="Arial" w:cs="Arial"/>
          <w:sz w:val="20"/>
          <w:szCs w:val="20"/>
        </w:rPr>
        <w:t>he tertiary education regulatory framework should continue to recognise the distinction between HE and VET but also the important and unique role played by our public universities</w:t>
      </w:r>
      <w:r w:rsidR="00DC0DA1">
        <w:rPr>
          <w:rFonts w:ascii="Arial" w:hAnsi="Arial" w:cs="Arial"/>
          <w:sz w:val="20"/>
          <w:szCs w:val="20"/>
        </w:rPr>
        <w:t>,</w:t>
      </w:r>
      <w:r w:rsidR="000A1E3D" w:rsidRPr="000A1E3D">
        <w:rPr>
          <w:rFonts w:ascii="Arial" w:hAnsi="Arial" w:cs="Arial"/>
          <w:sz w:val="20"/>
          <w:szCs w:val="20"/>
        </w:rPr>
        <w:t xml:space="preserve"> including the need to promote and protect academic freedom and institutional</w:t>
      </w:r>
      <w:r>
        <w:rPr>
          <w:rFonts w:ascii="Arial" w:hAnsi="Arial" w:cs="Arial"/>
          <w:sz w:val="20"/>
          <w:szCs w:val="20"/>
        </w:rPr>
        <w:t xml:space="preserve"> autonomy.</w:t>
      </w:r>
    </w:p>
    <w:p w14:paraId="19E38283" w14:textId="5A20D30B" w:rsidR="000A1E3D" w:rsidRPr="001D6B3D" w:rsidRDefault="000A1E3D" w:rsidP="00510CA0">
      <w:pPr>
        <w:pStyle w:val="ListParagraph"/>
        <w:numPr>
          <w:ilvl w:val="0"/>
          <w:numId w:val="37"/>
        </w:numPr>
        <w:spacing w:line="360" w:lineRule="auto"/>
        <w:jc w:val="both"/>
        <w:rPr>
          <w:rFonts w:ascii="Arial" w:hAnsi="Arial" w:cs="Arial"/>
          <w:sz w:val="20"/>
          <w:szCs w:val="20"/>
          <w:lang w:val="en-GB"/>
        </w:rPr>
      </w:pPr>
      <w:r w:rsidRPr="000A1E3D">
        <w:rPr>
          <w:rFonts w:ascii="Arial" w:hAnsi="Arial" w:cs="Arial"/>
          <w:sz w:val="20"/>
          <w:szCs w:val="20"/>
          <w:lang w:val="en-GB"/>
        </w:rPr>
        <w:t xml:space="preserve">An independent higher education agency or commission with regulatory and funding responsibilities be established.  </w:t>
      </w:r>
    </w:p>
    <w:p w14:paraId="29AA6DC0" w14:textId="1D978D9F" w:rsidR="000A1E3D" w:rsidRPr="001D6B3D" w:rsidRDefault="000A1E3D" w:rsidP="00510CA0">
      <w:pPr>
        <w:pStyle w:val="ListParagraph"/>
        <w:numPr>
          <w:ilvl w:val="0"/>
          <w:numId w:val="37"/>
        </w:numPr>
        <w:spacing w:line="360" w:lineRule="auto"/>
        <w:jc w:val="both"/>
        <w:rPr>
          <w:rFonts w:ascii="Arial" w:hAnsi="Arial" w:cs="Arial"/>
          <w:sz w:val="20"/>
          <w:szCs w:val="20"/>
        </w:rPr>
      </w:pPr>
      <w:r w:rsidRPr="000A1E3D">
        <w:rPr>
          <w:rFonts w:ascii="Arial" w:hAnsi="Arial" w:cs="Arial"/>
          <w:sz w:val="20"/>
          <w:szCs w:val="20"/>
        </w:rPr>
        <w:t>The level of public investment on Australian universities be increased to 1% of GDP and that tuition fees for government supported student be eliminated.</w:t>
      </w:r>
    </w:p>
    <w:p w14:paraId="0A411753" w14:textId="77777777" w:rsidR="000A1E3D" w:rsidRPr="000A1E3D" w:rsidRDefault="000A1E3D" w:rsidP="00510CA0">
      <w:pPr>
        <w:pStyle w:val="ListParagraph"/>
        <w:numPr>
          <w:ilvl w:val="0"/>
          <w:numId w:val="37"/>
        </w:numPr>
        <w:spacing w:line="360" w:lineRule="auto"/>
        <w:jc w:val="both"/>
        <w:rPr>
          <w:rFonts w:ascii="Arial" w:hAnsi="Arial" w:cs="Arial"/>
          <w:sz w:val="20"/>
          <w:szCs w:val="20"/>
        </w:rPr>
      </w:pPr>
      <w:r w:rsidRPr="000A1E3D">
        <w:rPr>
          <w:rFonts w:ascii="Arial" w:hAnsi="Arial" w:cs="Arial"/>
          <w:sz w:val="20"/>
          <w:szCs w:val="20"/>
        </w:rPr>
        <w:t>That the government introduce a Public Accountability Agreement (PAA) framework as the primary or the planning/funding/accountability framework to replace existing strategic plans, funding and performance mechanisms.</w:t>
      </w:r>
    </w:p>
    <w:p w14:paraId="1E41AF3F" w14:textId="77777777" w:rsidR="001D6B3D" w:rsidRDefault="000A1E3D" w:rsidP="00510CA0">
      <w:pPr>
        <w:pStyle w:val="ListParagraph"/>
        <w:numPr>
          <w:ilvl w:val="0"/>
          <w:numId w:val="37"/>
        </w:numPr>
        <w:spacing w:line="360" w:lineRule="auto"/>
        <w:jc w:val="both"/>
        <w:rPr>
          <w:rFonts w:ascii="Arial" w:hAnsi="Arial" w:cs="Arial"/>
          <w:sz w:val="20"/>
          <w:szCs w:val="20"/>
        </w:rPr>
      </w:pPr>
      <w:r w:rsidRPr="001D6B3D">
        <w:rPr>
          <w:rFonts w:ascii="Arial" w:hAnsi="Arial" w:cs="Arial"/>
          <w:sz w:val="20"/>
          <w:szCs w:val="20"/>
        </w:rPr>
        <w:t>Government should use their funding and regulatory powers to ensure that universities and other higher education providers:</w:t>
      </w:r>
    </w:p>
    <w:p w14:paraId="70E907F4" w14:textId="77777777" w:rsidR="001D6B3D" w:rsidRPr="001D6B3D" w:rsidRDefault="000A1E3D" w:rsidP="00510CA0">
      <w:pPr>
        <w:pStyle w:val="ListParagraph"/>
        <w:numPr>
          <w:ilvl w:val="1"/>
          <w:numId w:val="37"/>
        </w:numPr>
        <w:spacing w:line="360" w:lineRule="auto"/>
        <w:jc w:val="both"/>
        <w:rPr>
          <w:rFonts w:ascii="Arial" w:hAnsi="Arial" w:cs="Arial"/>
          <w:sz w:val="20"/>
          <w:szCs w:val="20"/>
        </w:rPr>
      </w:pPr>
      <w:r w:rsidRPr="001D6B3D">
        <w:rPr>
          <w:rFonts w:ascii="Arial" w:hAnsi="Arial" w:cs="Arial"/>
          <w:sz w:val="20"/>
          <w:szCs w:val="20"/>
        </w:rPr>
        <w:t>develop open and transparent mechanisms and structures that incorporate staff, students and local communities into their decision-making processes, and</w:t>
      </w:r>
    </w:p>
    <w:p w14:paraId="00219415" w14:textId="77777777" w:rsidR="001D6B3D" w:rsidRPr="001D6B3D" w:rsidRDefault="000A1E3D" w:rsidP="00510CA0">
      <w:pPr>
        <w:pStyle w:val="ListParagraph"/>
        <w:numPr>
          <w:ilvl w:val="1"/>
          <w:numId w:val="37"/>
        </w:numPr>
        <w:spacing w:line="360" w:lineRule="auto"/>
        <w:jc w:val="both"/>
        <w:rPr>
          <w:rFonts w:ascii="Arial" w:hAnsi="Arial" w:cs="Arial"/>
          <w:sz w:val="20"/>
          <w:szCs w:val="20"/>
        </w:rPr>
      </w:pPr>
      <w:r w:rsidRPr="001D6B3D">
        <w:rPr>
          <w:rFonts w:ascii="Arial" w:hAnsi="Arial" w:cs="Arial"/>
          <w:sz w:val="20"/>
          <w:szCs w:val="20"/>
        </w:rPr>
        <w:t>transparently report the level of total remuneration received by vice-chancellors and other members of the senior as well as the key performance indicators attached to those positions</w:t>
      </w:r>
    </w:p>
    <w:p w14:paraId="12D0BFC2" w14:textId="7EA2106C" w:rsidR="000A1E3D" w:rsidRPr="001D6B3D" w:rsidRDefault="000A1E3D" w:rsidP="00510CA0">
      <w:pPr>
        <w:pStyle w:val="ListParagraph"/>
        <w:numPr>
          <w:ilvl w:val="1"/>
          <w:numId w:val="37"/>
        </w:numPr>
        <w:spacing w:line="360" w:lineRule="auto"/>
        <w:jc w:val="both"/>
        <w:rPr>
          <w:rFonts w:ascii="Arial" w:hAnsi="Arial" w:cs="Arial"/>
          <w:sz w:val="20"/>
          <w:szCs w:val="20"/>
        </w:rPr>
      </w:pPr>
      <w:r w:rsidRPr="001D6B3D">
        <w:rPr>
          <w:rFonts w:ascii="Arial" w:hAnsi="Arial" w:cs="Arial"/>
          <w:sz w:val="20"/>
          <w:szCs w:val="20"/>
        </w:rPr>
        <w:t xml:space="preserve">reduce their reliance on insecurely employed </w:t>
      </w:r>
      <w:r w:rsidR="001D6B3D" w:rsidRPr="001D6B3D">
        <w:rPr>
          <w:rFonts w:ascii="Arial" w:hAnsi="Arial" w:cs="Arial"/>
          <w:sz w:val="20"/>
          <w:szCs w:val="20"/>
        </w:rPr>
        <w:t>staff</w:t>
      </w:r>
      <w:r w:rsidRPr="001D6B3D">
        <w:rPr>
          <w:rFonts w:ascii="Arial" w:hAnsi="Arial" w:cs="Arial"/>
          <w:sz w:val="20"/>
          <w:szCs w:val="20"/>
        </w:rPr>
        <w:t>.</w:t>
      </w:r>
    </w:p>
    <w:p w14:paraId="26AF03E9" w14:textId="77777777" w:rsidR="000A1E3D" w:rsidRDefault="000A1E3D" w:rsidP="001D6B3D">
      <w:pPr>
        <w:spacing w:line="360" w:lineRule="auto"/>
        <w:rPr>
          <w:rFonts w:ascii="Arial" w:hAnsi="Arial" w:cs="Arial"/>
          <w:sz w:val="20"/>
          <w:szCs w:val="20"/>
        </w:rPr>
      </w:pPr>
    </w:p>
    <w:p w14:paraId="4F86B376" w14:textId="4A5A2B9A" w:rsidR="00AB3B19" w:rsidRDefault="00AB3B19">
      <w:pPr>
        <w:rPr>
          <w:rFonts w:ascii="Arial" w:hAnsi="Arial" w:cs="Arial"/>
          <w:b/>
          <w:bCs/>
          <w:sz w:val="22"/>
          <w:szCs w:val="22"/>
        </w:rPr>
      </w:pPr>
      <w:r>
        <w:rPr>
          <w:rFonts w:ascii="Arial" w:hAnsi="Arial" w:cs="Arial"/>
          <w:b/>
          <w:bCs/>
          <w:sz w:val="22"/>
          <w:szCs w:val="22"/>
        </w:rPr>
        <w:br w:type="page"/>
      </w:r>
    </w:p>
    <w:p w14:paraId="3E924556" w14:textId="6C9E5D05" w:rsidR="00AB3B19" w:rsidRDefault="00AB3B19" w:rsidP="00AB3B19">
      <w:pPr>
        <w:spacing w:line="360" w:lineRule="auto"/>
        <w:jc w:val="center"/>
        <w:rPr>
          <w:rFonts w:ascii="Arial" w:hAnsi="Arial" w:cs="Arial"/>
          <w:b/>
          <w:bCs/>
          <w:sz w:val="22"/>
          <w:szCs w:val="22"/>
        </w:rPr>
      </w:pPr>
      <w:r>
        <w:rPr>
          <w:rFonts w:ascii="Arial" w:hAnsi="Arial" w:cs="Arial"/>
          <w:b/>
          <w:bCs/>
          <w:sz w:val="22"/>
          <w:szCs w:val="22"/>
        </w:rPr>
        <w:t>ATTACHMENT 1</w:t>
      </w:r>
    </w:p>
    <w:p w14:paraId="5C324B65" w14:textId="3C6943BE" w:rsidR="00D228A4" w:rsidRDefault="00D228A4" w:rsidP="00D228A4">
      <w:pPr>
        <w:pStyle w:val="Caption"/>
        <w:keepNext/>
      </w:pPr>
      <w:r>
        <w:t>Figure A1</w:t>
      </w:r>
    </w:p>
    <w:p w14:paraId="5BC869C0" w14:textId="09297309" w:rsidR="00AB3B19" w:rsidRDefault="00AB3B19" w:rsidP="00AB3B19">
      <w:pPr>
        <w:spacing w:line="360" w:lineRule="auto"/>
        <w:rPr>
          <w:rFonts w:ascii="Arial" w:hAnsi="Arial" w:cs="Arial"/>
          <w:b/>
          <w:bCs/>
          <w:sz w:val="22"/>
          <w:szCs w:val="22"/>
        </w:rPr>
      </w:pPr>
      <w:r>
        <w:rPr>
          <w:noProof/>
        </w:rPr>
        <w:drawing>
          <wp:inline distT="0" distB="0" distL="0" distR="0" wp14:anchorId="328DDC6B" wp14:editId="074DBD68">
            <wp:extent cx="5731510" cy="3740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3740150"/>
                    </a:xfrm>
                    <a:prstGeom prst="rect">
                      <a:avLst/>
                    </a:prstGeom>
                  </pic:spPr>
                </pic:pic>
              </a:graphicData>
            </a:graphic>
          </wp:inline>
        </w:drawing>
      </w:r>
    </w:p>
    <w:p w14:paraId="7AB5FBF7" w14:textId="02D89597" w:rsidR="00D228A4" w:rsidRDefault="00D228A4" w:rsidP="00D228A4">
      <w:pPr>
        <w:pStyle w:val="Caption"/>
        <w:keepNext/>
      </w:pPr>
      <w:r>
        <w:t>Figure A2</w:t>
      </w:r>
    </w:p>
    <w:p w14:paraId="4D8AC9C4" w14:textId="1E1F8102" w:rsidR="00AB3B19" w:rsidRDefault="00AB3B19" w:rsidP="00AB3B19">
      <w:pPr>
        <w:spacing w:line="360" w:lineRule="auto"/>
        <w:rPr>
          <w:rFonts w:ascii="Arial" w:hAnsi="Arial" w:cs="Arial"/>
          <w:b/>
          <w:bCs/>
          <w:sz w:val="22"/>
          <w:szCs w:val="22"/>
        </w:rPr>
      </w:pPr>
      <w:r>
        <w:rPr>
          <w:noProof/>
        </w:rPr>
        <w:drawing>
          <wp:inline distT="0" distB="0" distL="0" distR="0" wp14:anchorId="428B08FE" wp14:editId="37F491A6">
            <wp:extent cx="5731510" cy="3740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3740150"/>
                    </a:xfrm>
                    <a:prstGeom prst="rect">
                      <a:avLst/>
                    </a:prstGeom>
                  </pic:spPr>
                </pic:pic>
              </a:graphicData>
            </a:graphic>
          </wp:inline>
        </w:drawing>
      </w:r>
    </w:p>
    <w:p w14:paraId="39A4DDBA" w14:textId="7A3C2367" w:rsidR="00AB3B19" w:rsidRDefault="00AB3B19" w:rsidP="00AB3B19">
      <w:pPr>
        <w:spacing w:line="360" w:lineRule="auto"/>
        <w:rPr>
          <w:rFonts w:ascii="Arial" w:hAnsi="Arial" w:cs="Arial"/>
          <w:b/>
          <w:bCs/>
          <w:sz w:val="22"/>
          <w:szCs w:val="22"/>
        </w:rPr>
      </w:pPr>
    </w:p>
    <w:p w14:paraId="61AE0320" w14:textId="77777777" w:rsidR="00AB3B19" w:rsidRDefault="00AB3B19">
      <w:pPr>
        <w:rPr>
          <w:rFonts w:ascii="Arial" w:hAnsi="Arial" w:cs="Arial"/>
          <w:b/>
          <w:bCs/>
          <w:sz w:val="22"/>
          <w:szCs w:val="22"/>
        </w:rPr>
      </w:pPr>
      <w:r>
        <w:rPr>
          <w:rFonts w:ascii="Arial" w:hAnsi="Arial" w:cs="Arial"/>
          <w:b/>
          <w:bCs/>
          <w:sz w:val="22"/>
          <w:szCs w:val="22"/>
        </w:rPr>
        <w:br w:type="page"/>
      </w:r>
    </w:p>
    <w:p w14:paraId="4DEAB44B" w14:textId="79E44E57" w:rsidR="00D228A4" w:rsidRDefault="00D228A4" w:rsidP="00D228A4">
      <w:pPr>
        <w:pStyle w:val="Caption"/>
        <w:keepNext/>
      </w:pPr>
      <w:r>
        <w:t>Figure A</w:t>
      </w:r>
      <w:r w:rsidR="00127AF5">
        <w:fldChar w:fldCharType="begin"/>
      </w:r>
      <w:r w:rsidR="00127AF5">
        <w:instrText xml:space="preserve"> SEQ Figure \* ARABIC </w:instrText>
      </w:r>
      <w:r w:rsidR="00127AF5">
        <w:fldChar w:fldCharType="separate"/>
      </w:r>
      <w:r>
        <w:rPr>
          <w:noProof/>
        </w:rPr>
        <w:t>3</w:t>
      </w:r>
      <w:r w:rsidR="00127AF5">
        <w:rPr>
          <w:noProof/>
        </w:rPr>
        <w:fldChar w:fldCharType="end"/>
      </w:r>
    </w:p>
    <w:p w14:paraId="3D75F3A0" w14:textId="6BBAD124" w:rsidR="00AB3B19" w:rsidRDefault="00AB3B19" w:rsidP="00AB3B19">
      <w:pPr>
        <w:spacing w:line="360" w:lineRule="auto"/>
        <w:rPr>
          <w:rFonts w:ascii="Arial" w:hAnsi="Arial" w:cs="Arial"/>
          <w:b/>
          <w:bCs/>
          <w:sz w:val="22"/>
          <w:szCs w:val="22"/>
        </w:rPr>
      </w:pPr>
      <w:r>
        <w:rPr>
          <w:noProof/>
        </w:rPr>
        <w:drawing>
          <wp:inline distT="0" distB="0" distL="0" distR="0" wp14:anchorId="7C561CB4" wp14:editId="4B4DF7D5">
            <wp:extent cx="5731510" cy="3740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3740150"/>
                    </a:xfrm>
                    <a:prstGeom prst="rect">
                      <a:avLst/>
                    </a:prstGeom>
                  </pic:spPr>
                </pic:pic>
              </a:graphicData>
            </a:graphic>
          </wp:inline>
        </w:drawing>
      </w:r>
    </w:p>
    <w:p w14:paraId="78F64F35" w14:textId="77777777" w:rsidR="00AB3B19" w:rsidRDefault="00AB3B19" w:rsidP="00AB3B19">
      <w:pPr>
        <w:spacing w:line="360" w:lineRule="auto"/>
        <w:rPr>
          <w:rFonts w:ascii="Arial" w:hAnsi="Arial" w:cs="Arial"/>
          <w:b/>
          <w:bCs/>
          <w:sz w:val="22"/>
          <w:szCs w:val="22"/>
        </w:rPr>
      </w:pPr>
    </w:p>
    <w:p w14:paraId="0A6097DB" w14:textId="683DF122" w:rsidR="00D228A4" w:rsidRDefault="00D228A4" w:rsidP="00D228A4">
      <w:pPr>
        <w:pStyle w:val="Caption"/>
        <w:keepNext/>
      </w:pPr>
      <w:r>
        <w:t>Figure A4</w:t>
      </w:r>
    </w:p>
    <w:p w14:paraId="6DB11C29" w14:textId="482AC34E" w:rsidR="00AB3B19" w:rsidRDefault="00AB3B19" w:rsidP="00C55EF8">
      <w:pPr>
        <w:spacing w:line="360" w:lineRule="auto"/>
        <w:rPr>
          <w:rFonts w:ascii="Arial" w:hAnsi="Arial" w:cs="Arial"/>
          <w:b/>
          <w:bCs/>
          <w:sz w:val="22"/>
          <w:szCs w:val="22"/>
        </w:rPr>
      </w:pPr>
      <w:r>
        <w:rPr>
          <w:noProof/>
        </w:rPr>
        <w:drawing>
          <wp:inline distT="0" distB="0" distL="0" distR="0" wp14:anchorId="3A9CAD5E" wp14:editId="66B459BD">
            <wp:extent cx="5731510" cy="3740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31510" cy="3740150"/>
                    </a:xfrm>
                    <a:prstGeom prst="rect">
                      <a:avLst/>
                    </a:prstGeom>
                  </pic:spPr>
                </pic:pic>
              </a:graphicData>
            </a:graphic>
          </wp:inline>
        </w:drawing>
      </w:r>
    </w:p>
    <w:p w14:paraId="674768C9" w14:textId="163B0400" w:rsidR="00D228A4" w:rsidRDefault="00D228A4" w:rsidP="00D228A4">
      <w:pPr>
        <w:pStyle w:val="Caption"/>
        <w:keepNext/>
      </w:pPr>
      <w:r>
        <w:t>Figure A5</w:t>
      </w:r>
    </w:p>
    <w:p w14:paraId="2B937482" w14:textId="6069F3C3" w:rsidR="00AB3B19" w:rsidRDefault="00AB3B19" w:rsidP="00C55EF8">
      <w:pPr>
        <w:spacing w:line="360" w:lineRule="auto"/>
        <w:rPr>
          <w:rFonts w:ascii="Arial" w:hAnsi="Arial" w:cs="Arial"/>
          <w:b/>
          <w:bCs/>
          <w:sz w:val="22"/>
          <w:szCs w:val="22"/>
        </w:rPr>
      </w:pPr>
      <w:r>
        <w:rPr>
          <w:noProof/>
        </w:rPr>
        <w:drawing>
          <wp:inline distT="0" distB="0" distL="0" distR="0" wp14:anchorId="5B0A4BA4" wp14:editId="1CE6E19D">
            <wp:extent cx="5731510" cy="3740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31510" cy="3740150"/>
                    </a:xfrm>
                    <a:prstGeom prst="rect">
                      <a:avLst/>
                    </a:prstGeom>
                  </pic:spPr>
                </pic:pic>
              </a:graphicData>
            </a:graphic>
          </wp:inline>
        </w:drawing>
      </w:r>
    </w:p>
    <w:p w14:paraId="589B122F" w14:textId="39011B9E" w:rsidR="00D228A4" w:rsidRDefault="00D228A4" w:rsidP="00D228A4">
      <w:pPr>
        <w:pStyle w:val="Caption"/>
        <w:keepNext/>
      </w:pPr>
      <w:r>
        <w:t>Figure A6</w:t>
      </w:r>
    </w:p>
    <w:p w14:paraId="5BB974BA" w14:textId="6CE474AA" w:rsidR="00AB3B19" w:rsidRDefault="00AB3B19" w:rsidP="00C55EF8">
      <w:pPr>
        <w:spacing w:line="360" w:lineRule="auto"/>
        <w:rPr>
          <w:rFonts w:ascii="Arial" w:hAnsi="Arial" w:cs="Arial"/>
          <w:b/>
          <w:bCs/>
          <w:sz w:val="22"/>
          <w:szCs w:val="22"/>
        </w:rPr>
      </w:pPr>
      <w:r>
        <w:rPr>
          <w:noProof/>
        </w:rPr>
        <w:drawing>
          <wp:inline distT="0" distB="0" distL="0" distR="0" wp14:anchorId="4EF78687" wp14:editId="1BDD0D04">
            <wp:extent cx="5731510" cy="3740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31510" cy="3740150"/>
                    </a:xfrm>
                    <a:prstGeom prst="rect">
                      <a:avLst/>
                    </a:prstGeom>
                  </pic:spPr>
                </pic:pic>
              </a:graphicData>
            </a:graphic>
          </wp:inline>
        </w:drawing>
      </w:r>
    </w:p>
    <w:p w14:paraId="135C966F" w14:textId="03F84A1C" w:rsidR="00AB3B19" w:rsidRDefault="00AB3B19" w:rsidP="00C55EF8">
      <w:pPr>
        <w:spacing w:line="360" w:lineRule="auto"/>
        <w:rPr>
          <w:rFonts w:ascii="Arial" w:hAnsi="Arial" w:cs="Arial"/>
          <w:b/>
          <w:bCs/>
          <w:sz w:val="22"/>
          <w:szCs w:val="22"/>
        </w:rPr>
      </w:pPr>
    </w:p>
    <w:p w14:paraId="46F2908A" w14:textId="2166BAC0" w:rsidR="00D228A4" w:rsidRDefault="00D228A4" w:rsidP="00D228A4">
      <w:pPr>
        <w:pStyle w:val="Caption"/>
        <w:keepNext/>
      </w:pPr>
      <w:r>
        <w:t>Figure A7</w:t>
      </w:r>
    </w:p>
    <w:p w14:paraId="673FCA0B" w14:textId="57A54BFA" w:rsidR="00AB3B19" w:rsidRDefault="00AB3B19" w:rsidP="00C55EF8">
      <w:pPr>
        <w:spacing w:line="360" w:lineRule="auto"/>
        <w:rPr>
          <w:rFonts w:ascii="Arial" w:hAnsi="Arial" w:cs="Arial"/>
          <w:b/>
          <w:bCs/>
          <w:sz w:val="22"/>
          <w:szCs w:val="22"/>
        </w:rPr>
      </w:pPr>
      <w:r>
        <w:rPr>
          <w:noProof/>
        </w:rPr>
        <w:drawing>
          <wp:inline distT="0" distB="0" distL="0" distR="0" wp14:anchorId="7B609460" wp14:editId="4C8380D9">
            <wp:extent cx="5731510" cy="37401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31510" cy="3740150"/>
                    </a:xfrm>
                    <a:prstGeom prst="rect">
                      <a:avLst/>
                    </a:prstGeom>
                  </pic:spPr>
                </pic:pic>
              </a:graphicData>
            </a:graphic>
          </wp:inline>
        </w:drawing>
      </w:r>
    </w:p>
    <w:p w14:paraId="72F5E880" w14:textId="53142AC8" w:rsidR="00D228A4" w:rsidRDefault="00D228A4" w:rsidP="00D228A4">
      <w:pPr>
        <w:pStyle w:val="Caption"/>
        <w:keepNext/>
      </w:pPr>
      <w:r>
        <w:t>Figure A8</w:t>
      </w:r>
    </w:p>
    <w:p w14:paraId="31272E19" w14:textId="4032FB24" w:rsidR="00AB3B19" w:rsidRPr="00584EE5" w:rsidRDefault="00AB3B19" w:rsidP="00C55EF8">
      <w:pPr>
        <w:spacing w:line="360" w:lineRule="auto"/>
        <w:rPr>
          <w:rFonts w:ascii="Arial" w:hAnsi="Arial" w:cs="Arial"/>
          <w:b/>
          <w:bCs/>
          <w:sz w:val="22"/>
          <w:szCs w:val="22"/>
        </w:rPr>
      </w:pPr>
      <w:r>
        <w:rPr>
          <w:noProof/>
        </w:rPr>
        <w:drawing>
          <wp:inline distT="0" distB="0" distL="0" distR="0" wp14:anchorId="7ED97CD4" wp14:editId="1A849F6A">
            <wp:extent cx="5731510" cy="3740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3740150"/>
                    </a:xfrm>
                    <a:prstGeom prst="rect">
                      <a:avLst/>
                    </a:prstGeom>
                  </pic:spPr>
                </pic:pic>
              </a:graphicData>
            </a:graphic>
          </wp:inline>
        </w:drawing>
      </w:r>
    </w:p>
    <w:sectPr w:rsidR="00AB3B19" w:rsidRPr="00584EE5" w:rsidSect="000F4CBE">
      <w:headerReference w:type="default" r:id="rId32"/>
      <w:footerReference w:type="default" r:id="rId33"/>
      <w:headerReference w:type="first" r:id="rId3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102F5" w14:textId="77777777" w:rsidR="00D37FA1" w:rsidRDefault="00D37FA1" w:rsidP="00247B22">
      <w:r>
        <w:separator/>
      </w:r>
    </w:p>
  </w:endnote>
  <w:endnote w:type="continuationSeparator" w:id="0">
    <w:p w14:paraId="684FD6FF" w14:textId="77777777" w:rsidR="00D37FA1" w:rsidRDefault="00D37FA1" w:rsidP="00247B22">
      <w:r>
        <w:continuationSeparator/>
      </w:r>
    </w:p>
  </w:endnote>
  <w:endnote w:type="continuationNotice" w:id="1">
    <w:p w14:paraId="16312809" w14:textId="77777777" w:rsidR="00D37FA1" w:rsidRDefault="00D37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0625656"/>
      <w:docPartObj>
        <w:docPartGallery w:val="Page Numbers (Bottom of Page)"/>
        <w:docPartUnique/>
      </w:docPartObj>
    </w:sdtPr>
    <w:sdtEndPr/>
    <w:sdtContent>
      <w:sdt>
        <w:sdtPr>
          <w:id w:val="-1769616900"/>
          <w:docPartObj>
            <w:docPartGallery w:val="Page Numbers (Top of Page)"/>
            <w:docPartUnique/>
          </w:docPartObj>
        </w:sdtPr>
        <w:sdtEndPr/>
        <w:sdtContent>
          <w:p w14:paraId="54C3FAF9" w14:textId="38411426" w:rsidR="00BF1C42" w:rsidRDefault="00BF1C42">
            <w:pPr>
              <w:pStyle w:val="Footer"/>
              <w:jc w:val="right"/>
            </w:pPr>
            <w:r>
              <w:t xml:space="preserve"> NTEU 2021-2022 Budget Submission   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32CACBF" w14:textId="77777777" w:rsidR="00BF1C42" w:rsidRDefault="00BF1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387AF" w14:textId="77777777" w:rsidR="00D37FA1" w:rsidRDefault="00D37FA1" w:rsidP="00247B22">
      <w:r>
        <w:separator/>
      </w:r>
    </w:p>
  </w:footnote>
  <w:footnote w:type="continuationSeparator" w:id="0">
    <w:p w14:paraId="70B0CBD7" w14:textId="77777777" w:rsidR="00D37FA1" w:rsidRDefault="00D37FA1" w:rsidP="00247B22">
      <w:r>
        <w:continuationSeparator/>
      </w:r>
    </w:p>
  </w:footnote>
  <w:footnote w:type="continuationNotice" w:id="1">
    <w:p w14:paraId="222355E3" w14:textId="77777777" w:rsidR="00D37FA1" w:rsidRDefault="00D37FA1"/>
  </w:footnote>
  <w:footnote w:id="2">
    <w:p w14:paraId="46CC1CE3" w14:textId="75D22D40" w:rsidR="00296B55" w:rsidRDefault="00296B55">
      <w:pPr>
        <w:pStyle w:val="FootnoteText"/>
        <w:rPr>
          <w:rFonts w:ascii="Arial" w:hAnsi="Arial" w:cs="Arial"/>
          <w:sz w:val="18"/>
          <w:szCs w:val="18"/>
        </w:rPr>
      </w:pPr>
      <w:r w:rsidRPr="00296B55">
        <w:rPr>
          <w:rStyle w:val="FootnoteReference"/>
          <w:rFonts w:ascii="Arial" w:hAnsi="Arial" w:cs="Arial"/>
          <w:sz w:val="18"/>
          <w:szCs w:val="18"/>
        </w:rPr>
        <w:footnoteRef/>
      </w:r>
      <w:r w:rsidRPr="00296B55">
        <w:rPr>
          <w:rFonts w:ascii="Arial" w:hAnsi="Arial" w:cs="Arial"/>
          <w:sz w:val="18"/>
          <w:szCs w:val="18"/>
        </w:rPr>
        <w:t xml:space="preserve"> Universities Australia Media Release 3 February 2021 </w:t>
      </w:r>
      <w:r w:rsidRPr="00296B55">
        <w:rPr>
          <w:rFonts w:ascii="Arial" w:hAnsi="Arial" w:cs="Arial"/>
          <w:i/>
          <w:iCs/>
          <w:sz w:val="18"/>
          <w:szCs w:val="18"/>
        </w:rPr>
        <w:t>17,000 UNI JOBS LOST TO COVID-19</w:t>
      </w:r>
      <w:r w:rsidRPr="00296B55">
        <w:rPr>
          <w:rFonts w:ascii="Arial" w:hAnsi="Arial" w:cs="Arial"/>
          <w:sz w:val="18"/>
          <w:szCs w:val="18"/>
        </w:rPr>
        <w:t xml:space="preserve"> (</w:t>
      </w:r>
      <w:hyperlink r:id="rId1" w:history="1">
        <w:r w:rsidRPr="004B1741">
          <w:rPr>
            <w:rStyle w:val="Hyperlink"/>
            <w:rFonts w:ascii="Arial" w:hAnsi="Arial" w:cs="Arial"/>
            <w:sz w:val="18"/>
            <w:szCs w:val="18"/>
          </w:rPr>
          <w:t>https://www.universitiesaustralia.edu.au/media-item/17000-uni-jobs-lost-to-covid-19/</w:t>
        </w:r>
      </w:hyperlink>
      <w:r>
        <w:rPr>
          <w:rFonts w:ascii="Arial" w:hAnsi="Arial" w:cs="Arial"/>
          <w:sz w:val="18"/>
          <w:szCs w:val="18"/>
        </w:rPr>
        <w:t>)</w:t>
      </w:r>
    </w:p>
    <w:p w14:paraId="61BFF5F4" w14:textId="77777777" w:rsidR="00296B55" w:rsidRPr="00296B55" w:rsidRDefault="00296B55">
      <w:pPr>
        <w:pStyle w:val="FootnoteText"/>
        <w:rPr>
          <w:rFonts w:ascii="Arial" w:hAnsi="Arial" w:cs="Arial"/>
          <w:sz w:val="18"/>
          <w:szCs w:val="18"/>
        </w:rPr>
      </w:pPr>
    </w:p>
  </w:footnote>
  <w:footnote w:id="3">
    <w:p w14:paraId="5F33F08C" w14:textId="6B0CFC31" w:rsidR="00843DFE" w:rsidRPr="000C7F72" w:rsidRDefault="00843DFE">
      <w:pPr>
        <w:pStyle w:val="FootnoteText"/>
        <w:rPr>
          <w:sz w:val="18"/>
          <w:szCs w:val="18"/>
        </w:rPr>
      </w:pPr>
      <w:r w:rsidRPr="000C7F72">
        <w:rPr>
          <w:rStyle w:val="FootnoteReference"/>
          <w:sz w:val="18"/>
          <w:szCs w:val="18"/>
        </w:rPr>
        <w:footnoteRef/>
      </w:r>
      <w:r w:rsidRPr="000C7F72">
        <w:rPr>
          <w:sz w:val="18"/>
          <w:szCs w:val="18"/>
        </w:rPr>
        <w:t xml:space="preserve"> </w:t>
      </w:r>
      <w:hyperlink r:id="rId2" w:history="1">
        <w:r w:rsidRPr="000C7F72">
          <w:rPr>
            <w:rStyle w:val="Hyperlink"/>
            <w:rFonts w:ascii="Arial" w:hAnsi="Arial" w:cs="Arial"/>
            <w:sz w:val="18"/>
            <w:szCs w:val="18"/>
          </w:rPr>
          <w:t>https://pmc.gov.au/domestic-policy/vocational-education-and-training-review/vocational-education-and-training-review-submissions/national-tertiary-education-union</w:t>
        </w:r>
      </w:hyperlink>
    </w:p>
  </w:footnote>
  <w:footnote w:id="4">
    <w:p w14:paraId="4FD2F2E0" w14:textId="17EB1D21" w:rsidR="00843DFE" w:rsidRDefault="00843DFE">
      <w:pPr>
        <w:pStyle w:val="FootnoteText"/>
      </w:pPr>
      <w:r>
        <w:rPr>
          <w:rStyle w:val="FootnoteReference"/>
        </w:rPr>
        <w:footnoteRef/>
      </w:r>
      <w:r>
        <w:t xml:space="preserve"> </w:t>
      </w:r>
      <w:r w:rsidRPr="00CB6A4D">
        <w:t>http://www.nteu.org.au/library/view/id/5939</w:t>
      </w:r>
    </w:p>
  </w:footnote>
  <w:footnote w:id="5">
    <w:p w14:paraId="4FF79D70" w14:textId="015100CB" w:rsidR="00843DFE" w:rsidRPr="00A6789B" w:rsidRDefault="00843DFE">
      <w:pPr>
        <w:pStyle w:val="FootnoteText"/>
        <w:rPr>
          <w:sz w:val="18"/>
          <w:szCs w:val="18"/>
        </w:rPr>
      </w:pPr>
      <w:r w:rsidRPr="00A6789B">
        <w:rPr>
          <w:rStyle w:val="FootnoteReference"/>
          <w:sz w:val="18"/>
          <w:szCs w:val="18"/>
        </w:rPr>
        <w:footnoteRef/>
      </w:r>
      <w:r w:rsidRPr="00A6789B">
        <w:rPr>
          <w:sz w:val="18"/>
          <w:szCs w:val="18"/>
        </w:rPr>
        <w:t xml:space="preserve"> </w:t>
      </w:r>
      <w:r w:rsidRPr="00A6789B">
        <w:rPr>
          <w:rFonts w:ascii="Arial" w:hAnsi="Arial" w:cs="Arial"/>
          <w:i/>
          <w:iCs/>
          <w:sz w:val="18"/>
          <w:szCs w:val="18"/>
        </w:rPr>
        <w:t>The Enterprise University: Governance and re-invention in Australian higher education</w:t>
      </w:r>
      <w:r>
        <w:rPr>
          <w:rFonts w:ascii="Arial" w:hAnsi="Arial" w:cs="Arial"/>
          <w:i/>
          <w:iCs/>
          <w:sz w:val="18"/>
          <w:szCs w:val="18"/>
        </w:rPr>
        <w:t xml:space="preserve"> </w:t>
      </w:r>
    </w:p>
  </w:footnote>
  <w:footnote w:id="6">
    <w:p w14:paraId="22C7B832" w14:textId="678CBD7E" w:rsidR="00843DFE" w:rsidRPr="005757DC" w:rsidRDefault="00843DFE">
      <w:pPr>
        <w:pStyle w:val="FootnoteText"/>
        <w:rPr>
          <w:rFonts w:ascii="Arial" w:hAnsi="Arial" w:cs="Arial"/>
          <w:sz w:val="18"/>
          <w:szCs w:val="18"/>
        </w:rPr>
      </w:pPr>
      <w:r w:rsidRPr="005757DC">
        <w:rPr>
          <w:rStyle w:val="FootnoteReference"/>
          <w:rFonts w:ascii="Arial" w:hAnsi="Arial" w:cs="Arial"/>
          <w:sz w:val="18"/>
          <w:szCs w:val="18"/>
        </w:rPr>
        <w:footnoteRef/>
      </w:r>
      <w:r w:rsidRPr="005757DC">
        <w:rPr>
          <w:rFonts w:ascii="Arial" w:hAnsi="Arial" w:cs="Arial"/>
          <w:sz w:val="18"/>
          <w:szCs w:val="18"/>
        </w:rPr>
        <w:t xml:space="preserve"> DESE does not publish data on the number (headcount) of casual employees employed by staff which the NTEU estimates to be the Full Time Equivalent (FTE) casual published data multiplied by 4</w:t>
      </w:r>
    </w:p>
  </w:footnote>
  <w:footnote w:id="7">
    <w:p w14:paraId="32A283E7" w14:textId="276911F1" w:rsidR="00843DFE" w:rsidRDefault="00843DFE">
      <w:pPr>
        <w:pStyle w:val="FootnoteText"/>
      </w:pPr>
      <w:r>
        <w:rPr>
          <w:rStyle w:val="FootnoteReference"/>
        </w:rPr>
        <w:footnoteRef/>
      </w:r>
      <w:r>
        <w:t xml:space="preserve"> </w:t>
      </w:r>
      <w:hyperlink r:id="rId3" w:history="1">
        <w:r w:rsidRPr="009F64B4">
          <w:rPr>
            <w:rStyle w:val="Hyperlink"/>
            <w:rFonts w:ascii="Arial" w:hAnsi="Arial" w:cs="Arial"/>
            <w:sz w:val="18"/>
            <w:szCs w:val="18"/>
          </w:rPr>
          <w:t>https://www.nteu.org.au/library/view/id/8988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790C4" w14:textId="72A5FD81" w:rsidR="000F4CBE" w:rsidRDefault="000F4CBE" w:rsidP="000F4CBE">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3C273" w14:textId="7AA92C4D" w:rsidR="000F4CBE" w:rsidRDefault="000F4CBE">
    <w:pPr>
      <w:pStyle w:val="Header"/>
    </w:pPr>
    <w:r>
      <w:rPr>
        <w:noProof/>
      </w:rPr>
      <w:drawing>
        <wp:inline distT="0" distB="0" distL="0" distR="0" wp14:anchorId="447709D2" wp14:editId="72A9E453">
          <wp:extent cx="6151245" cy="1176655"/>
          <wp:effectExtent l="0" t="0" r="190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1245" cy="11766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6EEE"/>
    <w:multiLevelType w:val="hybridMultilevel"/>
    <w:tmpl w:val="EB2C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A0705"/>
    <w:multiLevelType w:val="hybridMultilevel"/>
    <w:tmpl w:val="FBEA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20378"/>
    <w:multiLevelType w:val="hybridMultilevel"/>
    <w:tmpl w:val="877C3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F389E"/>
    <w:multiLevelType w:val="hybridMultilevel"/>
    <w:tmpl w:val="125C9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C57E5"/>
    <w:multiLevelType w:val="hybridMultilevel"/>
    <w:tmpl w:val="6C54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D64CD"/>
    <w:multiLevelType w:val="hybridMultilevel"/>
    <w:tmpl w:val="A71A0ED6"/>
    <w:lvl w:ilvl="0" w:tplc="7DF209D6">
      <w:start w:val="1"/>
      <w:numFmt w:val="bullet"/>
      <w:lvlText w:val="•"/>
      <w:lvlJc w:val="left"/>
      <w:pPr>
        <w:tabs>
          <w:tab w:val="num" w:pos="720"/>
        </w:tabs>
        <w:ind w:left="720" w:hanging="360"/>
      </w:pPr>
      <w:rPr>
        <w:rFonts w:ascii="Times New Roman" w:hAnsi="Times New Roman" w:hint="default"/>
      </w:rPr>
    </w:lvl>
    <w:lvl w:ilvl="1" w:tplc="B32E83FC" w:tentative="1">
      <w:start w:val="1"/>
      <w:numFmt w:val="bullet"/>
      <w:lvlText w:val="•"/>
      <w:lvlJc w:val="left"/>
      <w:pPr>
        <w:tabs>
          <w:tab w:val="num" w:pos="1440"/>
        </w:tabs>
        <w:ind w:left="1440" w:hanging="360"/>
      </w:pPr>
      <w:rPr>
        <w:rFonts w:ascii="Times New Roman" w:hAnsi="Times New Roman" w:hint="default"/>
      </w:rPr>
    </w:lvl>
    <w:lvl w:ilvl="2" w:tplc="BC663FE0" w:tentative="1">
      <w:start w:val="1"/>
      <w:numFmt w:val="bullet"/>
      <w:lvlText w:val="•"/>
      <w:lvlJc w:val="left"/>
      <w:pPr>
        <w:tabs>
          <w:tab w:val="num" w:pos="2160"/>
        </w:tabs>
        <w:ind w:left="2160" w:hanging="360"/>
      </w:pPr>
      <w:rPr>
        <w:rFonts w:ascii="Times New Roman" w:hAnsi="Times New Roman" w:hint="default"/>
      </w:rPr>
    </w:lvl>
    <w:lvl w:ilvl="3" w:tplc="E6F4BEC8" w:tentative="1">
      <w:start w:val="1"/>
      <w:numFmt w:val="bullet"/>
      <w:lvlText w:val="•"/>
      <w:lvlJc w:val="left"/>
      <w:pPr>
        <w:tabs>
          <w:tab w:val="num" w:pos="2880"/>
        </w:tabs>
        <w:ind w:left="2880" w:hanging="360"/>
      </w:pPr>
      <w:rPr>
        <w:rFonts w:ascii="Times New Roman" w:hAnsi="Times New Roman" w:hint="default"/>
      </w:rPr>
    </w:lvl>
    <w:lvl w:ilvl="4" w:tplc="A1E44EFC" w:tentative="1">
      <w:start w:val="1"/>
      <w:numFmt w:val="bullet"/>
      <w:lvlText w:val="•"/>
      <w:lvlJc w:val="left"/>
      <w:pPr>
        <w:tabs>
          <w:tab w:val="num" w:pos="3600"/>
        </w:tabs>
        <w:ind w:left="3600" w:hanging="360"/>
      </w:pPr>
      <w:rPr>
        <w:rFonts w:ascii="Times New Roman" w:hAnsi="Times New Roman" w:hint="default"/>
      </w:rPr>
    </w:lvl>
    <w:lvl w:ilvl="5" w:tplc="6DA6D0C0" w:tentative="1">
      <w:start w:val="1"/>
      <w:numFmt w:val="bullet"/>
      <w:lvlText w:val="•"/>
      <w:lvlJc w:val="left"/>
      <w:pPr>
        <w:tabs>
          <w:tab w:val="num" w:pos="4320"/>
        </w:tabs>
        <w:ind w:left="4320" w:hanging="360"/>
      </w:pPr>
      <w:rPr>
        <w:rFonts w:ascii="Times New Roman" w:hAnsi="Times New Roman" w:hint="default"/>
      </w:rPr>
    </w:lvl>
    <w:lvl w:ilvl="6" w:tplc="020CE530" w:tentative="1">
      <w:start w:val="1"/>
      <w:numFmt w:val="bullet"/>
      <w:lvlText w:val="•"/>
      <w:lvlJc w:val="left"/>
      <w:pPr>
        <w:tabs>
          <w:tab w:val="num" w:pos="5040"/>
        </w:tabs>
        <w:ind w:left="5040" w:hanging="360"/>
      </w:pPr>
      <w:rPr>
        <w:rFonts w:ascii="Times New Roman" w:hAnsi="Times New Roman" w:hint="default"/>
      </w:rPr>
    </w:lvl>
    <w:lvl w:ilvl="7" w:tplc="0124202A" w:tentative="1">
      <w:start w:val="1"/>
      <w:numFmt w:val="bullet"/>
      <w:lvlText w:val="•"/>
      <w:lvlJc w:val="left"/>
      <w:pPr>
        <w:tabs>
          <w:tab w:val="num" w:pos="5760"/>
        </w:tabs>
        <w:ind w:left="5760" w:hanging="360"/>
      </w:pPr>
      <w:rPr>
        <w:rFonts w:ascii="Times New Roman" w:hAnsi="Times New Roman" w:hint="default"/>
      </w:rPr>
    </w:lvl>
    <w:lvl w:ilvl="8" w:tplc="409E4B0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17D29A8"/>
    <w:multiLevelType w:val="hybridMultilevel"/>
    <w:tmpl w:val="A4024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1B4BDC"/>
    <w:multiLevelType w:val="hybridMultilevel"/>
    <w:tmpl w:val="E084C394"/>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1CF10B1D"/>
    <w:multiLevelType w:val="hybridMultilevel"/>
    <w:tmpl w:val="136C97DE"/>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23EF45BC"/>
    <w:multiLevelType w:val="hybridMultilevel"/>
    <w:tmpl w:val="E50E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E23CD"/>
    <w:multiLevelType w:val="hybridMultilevel"/>
    <w:tmpl w:val="7334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B6096"/>
    <w:multiLevelType w:val="hybridMultilevel"/>
    <w:tmpl w:val="3E9086E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2" w15:restartNumberingAfterBreak="0">
    <w:nsid w:val="2BAA4786"/>
    <w:multiLevelType w:val="hybridMultilevel"/>
    <w:tmpl w:val="081C7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C731CA"/>
    <w:multiLevelType w:val="hybridMultilevel"/>
    <w:tmpl w:val="F390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A390E"/>
    <w:multiLevelType w:val="hybridMultilevel"/>
    <w:tmpl w:val="CBFAEF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E42510"/>
    <w:multiLevelType w:val="hybridMultilevel"/>
    <w:tmpl w:val="0928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9534A"/>
    <w:multiLevelType w:val="hybridMultilevel"/>
    <w:tmpl w:val="2D72ED8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7" w15:restartNumberingAfterBreak="0">
    <w:nsid w:val="37D0570A"/>
    <w:multiLevelType w:val="hybridMultilevel"/>
    <w:tmpl w:val="A43C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1095D"/>
    <w:multiLevelType w:val="hybridMultilevel"/>
    <w:tmpl w:val="A72A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E6488"/>
    <w:multiLevelType w:val="hybridMultilevel"/>
    <w:tmpl w:val="1D747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37786"/>
    <w:multiLevelType w:val="hybridMultilevel"/>
    <w:tmpl w:val="56F8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C3C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4F47B2"/>
    <w:multiLevelType w:val="hybridMultilevel"/>
    <w:tmpl w:val="8C0C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7D7819"/>
    <w:multiLevelType w:val="hybridMultilevel"/>
    <w:tmpl w:val="7782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23F1E"/>
    <w:multiLevelType w:val="hybridMultilevel"/>
    <w:tmpl w:val="A9AE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7D354B"/>
    <w:multiLevelType w:val="hybridMultilevel"/>
    <w:tmpl w:val="80F6C9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48E23E5"/>
    <w:multiLevelType w:val="hybridMultilevel"/>
    <w:tmpl w:val="A208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103AB"/>
    <w:multiLevelType w:val="hybridMultilevel"/>
    <w:tmpl w:val="1FA8D9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702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C751D87"/>
    <w:multiLevelType w:val="hybridMultilevel"/>
    <w:tmpl w:val="E0D4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7039C3"/>
    <w:multiLevelType w:val="hybridMultilevel"/>
    <w:tmpl w:val="77CC2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E7C32"/>
    <w:multiLevelType w:val="hybridMultilevel"/>
    <w:tmpl w:val="A862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A02CBF"/>
    <w:multiLevelType w:val="hybridMultilevel"/>
    <w:tmpl w:val="BE5C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D6097"/>
    <w:multiLevelType w:val="hybridMultilevel"/>
    <w:tmpl w:val="7A84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FC50AA"/>
    <w:multiLevelType w:val="hybridMultilevel"/>
    <w:tmpl w:val="7FE056BE"/>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5" w15:restartNumberingAfterBreak="0">
    <w:nsid w:val="7CA76542"/>
    <w:multiLevelType w:val="hybridMultilevel"/>
    <w:tmpl w:val="E00CD552"/>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6" w15:restartNumberingAfterBreak="0">
    <w:nsid w:val="7E3D36C5"/>
    <w:multiLevelType w:val="hybridMultilevel"/>
    <w:tmpl w:val="B520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
  </w:num>
  <w:num w:numId="3">
    <w:abstractNumId w:val="12"/>
  </w:num>
  <w:num w:numId="4">
    <w:abstractNumId w:val="18"/>
  </w:num>
  <w:num w:numId="5">
    <w:abstractNumId w:val="33"/>
  </w:num>
  <w:num w:numId="6">
    <w:abstractNumId w:val="24"/>
  </w:num>
  <w:num w:numId="7">
    <w:abstractNumId w:val="13"/>
  </w:num>
  <w:num w:numId="8">
    <w:abstractNumId w:val="29"/>
  </w:num>
  <w:num w:numId="9">
    <w:abstractNumId w:val="5"/>
  </w:num>
  <w:num w:numId="10">
    <w:abstractNumId w:val="25"/>
  </w:num>
  <w:num w:numId="11">
    <w:abstractNumId w:val="4"/>
  </w:num>
  <w:num w:numId="12">
    <w:abstractNumId w:val="6"/>
  </w:num>
  <w:num w:numId="13">
    <w:abstractNumId w:val="35"/>
  </w:num>
  <w:num w:numId="14">
    <w:abstractNumId w:val="34"/>
  </w:num>
  <w:num w:numId="15">
    <w:abstractNumId w:val="2"/>
  </w:num>
  <w:num w:numId="16">
    <w:abstractNumId w:val="9"/>
  </w:num>
  <w:num w:numId="17">
    <w:abstractNumId w:val="22"/>
  </w:num>
  <w:num w:numId="18">
    <w:abstractNumId w:val="8"/>
  </w:num>
  <w:num w:numId="19">
    <w:abstractNumId w:val="0"/>
  </w:num>
  <w:num w:numId="20">
    <w:abstractNumId w:val="17"/>
  </w:num>
  <w:num w:numId="21">
    <w:abstractNumId w:val="32"/>
  </w:num>
  <w:num w:numId="22">
    <w:abstractNumId w:val="7"/>
  </w:num>
  <w:num w:numId="23">
    <w:abstractNumId w:val="28"/>
  </w:num>
  <w:num w:numId="24">
    <w:abstractNumId w:val="21"/>
  </w:num>
  <w:num w:numId="25">
    <w:abstractNumId w:val="23"/>
  </w:num>
  <w:num w:numId="26">
    <w:abstractNumId w:val="27"/>
  </w:num>
  <w:num w:numId="27">
    <w:abstractNumId w:val="16"/>
  </w:num>
  <w:num w:numId="28">
    <w:abstractNumId w:val="20"/>
  </w:num>
  <w:num w:numId="29">
    <w:abstractNumId w:val="11"/>
  </w:num>
  <w:num w:numId="30">
    <w:abstractNumId w:val="3"/>
  </w:num>
  <w:num w:numId="31">
    <w:abstractNumId w:val="10"/>
  </w:num>
  <w:num w:numId="32">
    <w:abstractNumId w:val="26"/>
  </w:num>
  <w:num w:numId="33">
    <w:abstractNumId w:val="30"/>
  </w:num>
  <w:num w:numId="34">
    <w:abstractNumId w:val="31"/>
  </w:num>
  <w:num w:numId="35">
    <w:abstractNumId w:val="15"/>
  </w:num>
  <w:num w:numId="36">
    <w:abstractNumId w:val="1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MjYyNzA1NTM3sTBW0lEKTi0uzszPAykwrgUARg231SwAAAA="/>
  </w:docVars>
  <w:rsids>
    <w:rsidRoot w:val="00B64286"/>
    <w:rsid w:val="00002D0F"/>
    <w:rsid w:val="00025F0B"/>
    <w:rsid w:val="00031551"/>
    <w:rsid w:val="00037BAD"/>
    <w:rsid w:val="00037D1A"/>
    <w:rsid w:val="000518DD"/>
    <w:rsid w:val="00054F2B"/>
    <w:rsid w:val="00056EDB"/>
    <w:rsid w:val="00072EC2"/>
    <w:rsid w:val="00073AAD"/>
    <w:rsid w:val="0009016B"/>
    <w:rsid w:val="00090456"/>
    <w:rsid w:val="000A150C"/>
    <w:rsid w:val="000A1E3D"/>
    <w:rsid w:val="000C3E48"/>
    <w:rsid w:val="000C57CE"/>
    <w:rsid w:val="000C7F72"/>
    <w:rsid w:val="000F4CBE"/>
    <w:rsid w:val="001011E6"/>
    <w:rsid w:val="00112BA4"/>
    <w:rsid w:val="00113B47"/>
    <w:rsid w:val="001212A9"/>
    <w:rsid w:val="00127AF5"/>
    <w:rsid w:val="00146994"/>
    <w:rsid w:val="001621B9"/>
    <w:rsid w:val="0016554D"/>
    <w:rsid w:val="0017069E"/>
    <w:rsid w:val="00177765"/>
    <w:rsid w:val="001B212B"/>
    <w:rsid w:val="001B7F75"/>
    <w:rsid w:val="001C6C1E"/>
    <w:rsid w:val="001D5A9B"/>
    <w:rsid w:val="001D6B3D"/>
    <w:rsid w:val="001E687F"/>
    <w:rsid w:val="001F2296"/>
    <w:rsid w:val="001F391A"/>
    <w:rsid w:val="001F715F"/>
    <w:rsid w:val="002060F6"/>
    <w:rsid w:val="0020660E"/>
    <w:rsid w:val="00230531"/>
    <w:rsid w:val="00240854"/>
    <w:rsid w:val="00245388"/>
    <w:rsid w:val="00247B22"/>
    <w:rsid w:val="00251D64"/>
    <w:rsid w:val="002522EC"/>
    <w:rsid w:val="00285C05"/>
    <w:rsid w:val="002919BA"/>
    <w:rsid w:val="00291DFC"/>
    <w:rsid w:val="00296B55"/>
    <w:rsid w:val="002C0AC3"/>
    <w:rsid w:val="002C27B2"/>
    <w:rsid w:val="002D0BE9"/>
    <w:rsid w:val="002D1106"/>
    <w:rsid w:val="00306531"/>
    <w:rsid w:val="00313928"/>
    <w:rsid w:val="0032156B"/>
    <w:rsid w:val="0032211D"/>
    <w:rsid w:val="003266E1"/>
    <w:rsid w:val="00344CE9"/>
    <w:rsid w:val="00346F46"/>
    <w:rsid w:val="0036356C"/>
    <w:rsid w:val="0037329D"/>
    <w:rsid w:val="00381BA9"/>
    <w:rsid w:val="00384719"/>
    <w:rsid w:val="00392E10"/>
    <w:rsid w:val="003967A8"/>
    <w:rsid w:val="003C6FF7"/>
    <w:rsid w:val="00412D14"/>
    <w:rsid w:val="00430F2C"/>
    <w:rsid w:val="00436449"/>
    <w:rsid w:val="00450E4C"/>
    <w:rsid w:val="00490417"/>
    <w:rsid w:val="00497B6B"/>
    <w:rsid w:val="00497E97"/>
    <w:rsid w:val="004A239E"/>
    <w:rsid w:val="004C2421"/>
    <w:rsid w:val="004C4473"/>
    <w:rsid w:val="004D74E6"/>
    <w:rsid w:val="004E1DC8"/>
    <w:rsid w:val="004E38A7"/>
    <w:rsid w:val="004F1946"/>
    <w:rsid w:val="00510CA0"/>
    <w:rsid w:val="005162E6"/>
    <w:rsid w:val="005324C6"/>
    <w:rsid w:val="00536D8B"/>
    <w:rsid w:val="005748C1"/>
    <w:rsid w:val="005757DC"/>
    <w:rsid w:val="0057696C"/>
    <w:rsid w:val="00584EE5"/>
    <w:rsid w:val="005B7B2C"/>
    <w:rsid w:val="005B7C5F"/>
    <w:rsid w:val="005C3823"/>
    <w:rsid w:val="005C38D4"/>
    <w:rsid w:val="005E7F57"/>
    <w:rsid w:val="006162CC"/>
    <w:rsid w:val="00646441"/>
    <w:rsid w:val="00656A63"/>
    <w:rsid w:val="00662EEA"/>
    <w:rsid w:val="00663086"/>
    <w:rsid w:val="00672A9C"/>
    <w:rsid w:val="00674450"/>
    <w:rsid w:val="00681423"/>
    <w:rsid w:val="00681C93"/>
    <w:rsid w:val="00696675"/>
    <w:rsid w:val="006A2503"/>
    <w:rsid w:val="006B225F"/>
    <w:rsid w:val="006C6E21"/>
    <w:rsid w:val="006D132D"/>
    <w:rsid w:val="006D4DCC"/>
    <w:rsid w:val="006D6686"/>
    <w:rsid w:val="006E210D"/>
    <w:rsid w:val="006E38AD"/>
    <w:rsid w:val="006E487E"/>
    <w:rsid w:val="006E4DAD"/>
    <w:rsid w:val="006E6D04"/>
    <w:rsid w:val="006E799B"/>
    <w:rsid w:val="0070194D"/>
    <w:rsid w:val="00713C32"/>
    <w:rsid w:val="007205C9"/>
    <w:rsid w:val="00720992"/>
    <w:rsid w:val="00741CCF"/>
    <w:rsid w:val="00751E29"/>
    <w:rsid w:val="00752B41"/>
    <w:rsid w:val="0076003D"/>
    <w:rsid w:val="007617CF"/>
    <w:rsid w:val="00765E40"/>
    <w:rsid w:val="00782590"/>
    <w:rsid w:val="0079122B"/>
    <w:rsid w:val="00791A51"/>
    <w:rsid w:val="007A2A5E"/>
    <w:rsid w:val="007B227D"/>
    <w:rsid w:val="007B3132"/>
    <w:rsid w:val="007C0553"/>
    <w:rsid w:val="007C6CE8"/>
    <w:rsid w:val="007D164B"/>
    <w:rsid w:val="007D6450"/>
    <w:rsid w:val="007E5C89"/>
    <w:rsid w:val="007F28A0"/>
    <w:rsid w:val="0082347B"/>
    <w:rsid w:val="00823D10"/>
    <w:rsid w:val="00843DFE"/>
    <w:rsid w:val="00855A44"/>
    <w:rsid w:val="008621FF"/>
    <w:rsid w:val="00865DBC"/>
    <w:rsid w:val="00866D8C"/>
    <w:rsid w:val="008768B9"/>
    <w:rsid w:val="00882536"/>
    <w:rsid w:val="008972DF"/>
    <w:rsid w:val="008A2920"/>
    <w:rsid w:val="008A6766"/>
    <w:rsid w:val="008E1730"/>
    <w:rsid w:val="008F1E38"/>
    <w:rsid w:val="00911EF8"/>
    <w:rsid w:val="00917C1E"/>
    <w:rsid w:val="00921F86"/>
    <w:rsid w:val="00924BE7"/>
    <w:rsid w:val="00926690"/>
    <w:rsid w:val="00927C28"/>
    <w:rsid w:val="00960955"/>
    <w:rsid w:val="00986DFC"/>
    <w:rsid w:val="009A3025"/>
    <w:rsid w:val="009B106D"/>
    <w:rsid w:val="009B6C82"/>
    <w:rsid w:val="009B6D2C"/>
    <w:rsid w:val="009C18EC"/>
    <w:rsid w:val="009C3413"/>
    <w:rsid w:val="009C3991"/>
    <w:rsid w:val="009D4AFA"/>
    <w:rsid w:val="009E1930"/>
    <w:rsid w:val="009E34D4"/>
    <w:rsid w:val="009F27F9"/>
    <w:rsid w:val="00A26C47"/>
    <w:rsid w:val="00A32E48"/>
    <w:rsid w:val="00A362E6"/>
    <w:rsid w:val="00A37821"/>
    <w:rsid w:val="00A5065B"/>
    <w:rsid w:val="00A50D81"/>
    <w:rsid w:val="00A54588"/>
    <w:rsid w:val="00A622CE"/>
    <w:rsid w:val="00A6789B"/>
    <w:rsid w:val="00A72E71"/>
    <w:rsid w:val="00A8283A"/>
    <w:rsid w:val="00A9707B"/>
    <w:rsid w:val="00A97ACF"/>
    <w:rsid w:val="00AB03B8"/>
    <w:rsid w:val="00AB3B19"/>
    <w:rsid w:val="00AC3256"/>
    <w:rsid w:val="00AD4FF0"/>
    <w:rsid w:val="00AD7674"/>
    <w:rsid w:val="00AF08EA"/>
    <w:rsid w:val="00AF3330"/>
    <w:rsid w:val="00B00D29"/>
    <w:rsid w:val="00B03E82"/>
    <w:rsid w:val="00B16987"/>
    <w:rsid w:val="00B23294"/>
    <w:rsid w:val="00B23A0B"/>
    <w:rsid w:val="00B246F2"/>
    <w:rsid w:val="00B24E2B"/>
    <w:rsid w:val="00B31A59"/>
    <w:rsid w:val="00B32615"/>
    <w:rsid w:val="00B41534"/>
    <w:rsid w:val="00B5287D"/>
    <w:rsid w:val="00B64286"/>
    <w:rsid w:val="00B64396"/>
    <w:rsid w:val="00B65F63"/>
    <w:rsid w:val="00B67AB8"/>
    <w:rsid w:val="00B7009D"/>
    <w:rsid w:val="00B72510"/>
    <w:rsid w:val="00B7676E"/>
    <w:rsid w:val="00B774FF"/>
    <w:rsid w:val="00B84203"/>
    <w:rsid w:val="00B91783"/>
    <w:rsid w:val="00BA0663"/>
    <w:rsid w:val="00BA61C2"/>
    <w:rsid w:val="00BB6279"/>
    <w:rsid w:val="00BC4A0E"/>
    <w:rsid w:val="00BC4BE9"/>
    <w:rsid w:val="00BD6DCD"/>
    <w:rsid w:val="00BE23FF"/>
    <w:rsid w:val="00BE6EE7"/>
    <w:rsid w:val="00BF1C42"/>
    <w:rsid w:val="00BF433C"/>
    <w:rsid w:val="00BF7F74"/>
    <w:rsid w:val="00C022D1"/>
    <w:rsid w:val="00C11668"/>
    <w:rsid w:val="00C14BB3"/>
    <w:rsid w:val="00C15AB3"/>
    <w:rsid w:val="00C20C9B"/>
    <w:rsid w:val="00C21DA6"/>
    <w:rsid w:val="00C23FBC"/>
    <w:rsid w:val="00C27294"/>
    <w:rsid w:val="00C27A77"/>
    <w:rsid w:val="00C447F9"/>
    <w:rsid w:val="00C47A06"/>
    <w:rsid w:val="00C51346"/>
    <w:rsid w:val="00C53884"/>
    <w:rsid w:val="00C5404B"/>
    <w:rsid w:val="00C55EF8"/>
    <w:rsid w:val="00C571C4"/>
    <w:rsid w:val="00C6626B"/>
    <w:rsid w:val="00C66E7E"/>
    <w:rsid w:val="00CB41B4"/>
    <w:rsid w:val="00CB6A4D"/>
    <w:rsid w:val="00CC4183"/>
    <w:rsid w:val="00CC734F"/>
    <w:rsid w:val="00CD57DD"/>
    <w:rsid w:val="00CE6593"/>
    <w:rsid w:val="00CE7BBA"/>
    <w:rsid w:val="00D1419D"/>
    <w:rsid w:val="00D228A4"/>
    <w:rsid w:val="00D3757B"/>
    <w:rsid w:val="00D37FA1"/>
    <w:rsid w:val="00D42F21"/>
    <w:rsid w:val="00D601DD"/>
    <w:rsid w:val="00D615AE"/>
    <w:rsid w:val="00D74DE4"/>
    <w:rsid w:val="00D75370"/>
    <w:rsid w:val="00DA580F"/>
    <w:rsid w:val="00DC0DA1"/>
    <w:rsid w:val="00DD44B7"/>
    <w:rsid w:val="00DE28E4"/>
    <w:rsid w:val="00DF3C65"/>
    <w:rsid w:val="00E05683"/>
    <w:rsid w:val="00E37F97"/>
    <w:rsid w:val="00E47CA3"/>
    <w:rsid w:val="00E56BE1"/>
    <w:rsid w:val="00E711B5"/>
    <w:rsid w:val="00E77652"/>
    <w:rsid w:val="00E77C0F"/>
    <w:rsid w:val="00E86CC7"/>
    <w:rsid w:val="00EA167C"/>
    <w:rsid w:val="00EA4D9E"/>
    <w:rsid w:val="00ED0FBC"/>
    <w:rsid w:val="00ED4E59"/>
    <w:rsid w:val="00EE16F9"/>
    <w:rsid w:val="00EE2009"/>
    <w:rsid w:val="00F000C3"/>
    <w:rsid w:val="00F23691"/>
    <w:rsid w:val="00F24976"/>
    <w:rsid w:val="00F46216"/>
    <w:rsid w:val="00F51B57"/>
    <w:rsid w:val="00F6115E"/>
    <w:rsid w:val="00F71DAA"/>
    <w:rsid w:val="00F73144"/>
    <w:rsid w:val="00F8777C"/>
    <w:rsid w:val="00F91CF0"/>
    <w:rsid w:val="00FA2A2D"/>
    <w:rsid w:val="00FD04ED"/>
    <w:rsid w:val="00FE3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2EE6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1B9"/>
    <w:pPr>
      <w:keepNext/>
      <w:keepLines/>
      <w:spacing w:before="240"/>
      <w:outlineLvl w:val="0"/>
    </w:pPr>
    <w:rPr>
      <w:rFonts w:asciiTheme="majorHAnsi" w:eastAsiaTheme="majorEastAsia" w:hAnsiTheme="majorHAnsi" w:cstheme="majorBidi"/>
      <w:color w:val="864EA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UL">
    <w:name w:val="PAUL"/>
    <w:basedOn w:val="NoSpacing"/>
    <w:link w:val="PAULChar"/>
    <w:qFormat/>
    <w:rsid w:val="001621B9"/>
    <w:rPr>
      <w:rFonts w:ascii="Arial" w:hAnsi="Arial"/>
      <w:sz w:val="22"/>
    </w:rPr>
  </w:style>
  <w:style w:type="character" w:customStyle="1" w:styleId="PAULChar">
    <w:name w:val="PAUL Char"/>
    <w:basedOn w:val="DefaultParagraphFont"/>
    <w:link w:val="PAUL"/>
    <w:rsid w:val="001621B9"/>
    <w:rPr>
      <w:rFonts w:ascii="Arial" w:hAnsi="Arial"/>
      <w:sz w:val="22"/>
    </w:rPr>
  </w:style>
  <w:style w:type="paragraph" w:styleId="NoSpacing">
    <w:name w:val="No Spacing"/>
    <w:link w:val="NoSpacingChar"/>
    <w:uiPriority w:val="1"/>
    <w:qFormat/>
    <w:rsid w:val="001621B9"/>
  </w:style>
  <w:style w:type="paragraph" w:customStyle="1" w:styleId="Style4">
    <w:name w:val="Style4"/>
    <w:basedOn w:val="Heading1"/>
    <w:qFormat/>
    <w:rsid w:val="001621B9"/>
    <w:rPr>
      <w:rFonts w:ascii="Arial" w:hAnsi="Arial"/>
      <w:b/>
      <w:color w:val="000000" w:themeColor="text1"/>
      <w:sz w:val="24"/>
    </w:rPr>
  </w:style>
  <w:style w:type="character" w:customStyle="1" w:styleId="Heading1Char">
    <w:name w:val="Heading 1 Char"/>
    <w:basedOn w:val="DefaultParagraphFont"/>
    <w:link w:val="Heading1"/>
    <w:uiPriority w:val="9"/>
    <w:rsid w:val="001621B9"/>
    <w:rPr>
      <w:rFonts w:asciiTheme="majorHAnsi" w:eastAsiaTheme="majorEastAsia" w:hAnsiTheme="majorHAnsi" w:cstheme="majorBidi"/>
      <w:color w:val="864EA8" w:themeColor="accent1" w:themeShade="BF"/>
      <w:sz w:val="32"/>
      <w:szCs w:val="32"/>
    </w:rPr>
  </w:style>
  <w:style w:type="paragraph" w:styleId="ListParagraph">
    <w:name w:val="List Paragraph"/>
    <w:basedOn w:val="Normal"/>
    <w:link w:val="ListParagraphChar"/>
    <w:uiPriority w:val="34"/>
    <w:qFormat/>
    <w:rsid w:val="007B227D"/>
    <w:pPr>
      <w:ind w:left="720"/>
      <w:contextualSpacing/>
    </w:pPr>
  </w:style>
  <w:style w:type="paragraph" w:styleId="FootnoteText">
    <w:name w:val="footnote text"/>
    <w:basedOn w:val="Normal"/>
    <w:link w:val="FootnoteTextChar"/>
    <w:uiPriority w:val="99"/>
    <w:semiHidden/>
    <w:unhideWhenUsed/>
    <w:rsid w:val="00247B22"/>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247B22"/>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47B22"/>
    <w:rPr>
      <w:vertAlign w:val="superscript"/>
    </w:rPr>
  </w:style>
  <w:style w:type="table" w:styleId="TableGrid">
    <w:name w:val="Table Grid"/>
    <w:basedOn w:val="TableNormal"/>
    <w:uiPriority w:val="39"/>
    <w:rsid w:val="007C6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C3413"/>
  </w:style>
  <w:style w:type="character" w:styleId="Hyperlink">
    <w:name w:val="Hyperlink"/>
    <w:basedOn w:val="DefaultParagraphFont"/>
    <w:uiPriority w:val="99"/>
    <w:unhideWhenUsed/>
    <w:rsid w:val="00450E4C"/>
    <w:rPr>
      <w:color w:val="0000FF"/>
      <w:u w:val="single"/>
    </w:rPr>
  </w:style>
  <w:style w:type="character" w:styleId="UnresolvedMention">
    <w:name w:val="Unresolved Mention"/>
    <w:basedOn w:val="DefaultParagraphFont"/>
    <w:uiPriority w:val="99"/>
    <w:semiHidden/>
    <w:unhideWhenUsed/>
    <w:rsid w:val="00D75370"/>
    <w:rPr>
      <w:color w:val="605E5C"/>
      <w:shd w:val="clear" w:color="auto" w:fill="E1DFDD"/>
    </w:rPr>
  </w:style>
  <w:style w:type="paragraph" w:styleId="Caption">
    <w:name w:val="caption"/>
    <w:basedOn w:val="Normal"/>
    <w:next w:val="Normal"/>
    <w:uiPriority w:val="35"/>
    <w:semiHidden/>
    <w:unhideWhenUsed/>
    <w:qFormat/>
    <w:rsid w:val="00C6626B"/>
    <w:pPr>
      <w:spacing w:after="200"/>
    </w:pPr>
    <w:rPr>
      <w:i/>
      <w:iCs/>
      <w:color w:val="373545" w:themeColor="text2"/>
      <w:sz w:val="18"/>
      <w:szCs w:val="18"/>
    </w:rPr>
  </w:style>
  <w:style w:type="character" w:styleId="FollowedHyperlink">
    <w:name w:val="FollowedHyperlink"/>
    <w:basedOn w:val="DefaultParagraphFont"/>
    <w:uiPriority w:val="99"/>
    <w:semiHidden/>
    <w:unhideWhenUsed/>
    <w:rsid w:val="000C7F72"/>
    <w:rPr>
      <w:color w:val="8C8C8C" w:themeColor="followedHyperlink"/>
      <w:u w:val="single"/>
    </w:rPr>
  </w:style>
  <w:style w:type="paragraph" w:customStyle="1" w:styleId="acthead5">
    <w:name w:val="acthead5"/>
    <w:basedOn w:val="Normal"/>
    <w:rsid w:val="00497B6B"/>
    <w:pPr>
      <w:spacing w:before="100" w:beforeAutospacing="1" w:after="100" w:afterAutospacing="1"/>
    </w:pPr>
    <w:rPr>
      <w:rFonts w:ascii="Times New Roman" w:eastAsia="Times New Roman" w:hAnsi="Times New Roman" w:cs="Times New Roman"/>
      <w:lang w:eastAsia="en-GB"/>
    </w:rPr>
  </w:style>
  <w:style w:type="character" w:customStyle="1" w:styleId="charsectno">
    <w:name w:val="charsectno"/>
    <w:basedOn w:val="DefaultParagraphFont"/>
    <w:rsid w:val="00497B6B"/>
  </w:style>
  <w:style w:type="paragraph" w:customStyle="1" w:styleId="subsection">
    <w:name w:val="subsection"/>
    <w:basedOn w:val="Normal"/>
    <w:rsid w:val="00497B6B"/>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497B6B"/>
    <w:pPr>
      <w:spacing w:before="100" w:beforeAutospacing="1" w:after="100" w:afterAutospacing="1"/>
    </w:pPr>
    <w:rPr>
      <w:rFonts w:ascii="Times New Roman" w:eastAsia="Times New Roman" w:hAnsi="Times New Roman" w:cs="Times New Roman"/>
      <w:lang w:eastAsia="en-GB"/>
    </w:rPr>
  </w:style>
  <w:style w:type="paragraph" w:customStyle="1" w:styleId="paragraphsub">
    <w:name w:val="paragraphsub"/>
    <w:basedOn w:val="Normal"/>
    <w:rsid w:val="00497B6B"/>
    <w:pPr>
      <w:spacing w:before="100" w:beforeAutospacing="1" w:after="100" w:afterAutospacing="1"/>
    </w:pPr>
    <w:rPr>
      <w:rFonts w:ascii="Times New Roman" w:eastAsia="Times New Roman" w:hAnsi="Times New Roman" w:cs="Times New Roman"/>
      <w:lang w:eastAsia="en-GB"/>
    </w:rPr>
  </w:style>
  <w:style w:type="paragraph" w:customStyle="1" w:styleId="Subheading">
    <w:name w:val="Subheading"/>
    <w:basedOn w:val="Normal"/>
    <w:link w:val="SubheadingChar"/>
    <w:qFormat/>
    <w:rsid w:val="004D74E6"/>
    <w:pPr>
      <w:jc w:val="both"/>
    </w:pPr>
    <w:rPr>
      <w:rFonts w:ascii="Arial" w:eastAsia="Times New Roman" w:hAnsi="Arial" w:cs="Arial"/>
      <w:b/>
      <w:lang w:val="en-GB" w:eastAsia="en-GB"/>
    </w:rPr>
  </w:style>
  <w:style w:type="character" w:customStyle="1" w:styleId="SubheadingChar">
    <w:name w:val="Subheading Char"/>
    <w:basedOn w:val="DefaultParagraphFont"/>
    <w:link w:val="Subheading"/>
    <w:rsid w:val="004D74E6"/>
    <w:rPr>
      <w:rFonts w:ascii="Arial" w:eastAsia="Times New Roman" w:hAnsi="Arial" w:cs="Arial"/>
      <w:b/>
      <w:lang w:val="en-GB" w:eastAsia="en-GB"/>
    </w:rPr>
  </w:style>
  <w:style w:type="paragraph" w:styleId="NormalWeb">
    <w:name w:val="Normal (Web)"/>
    <w:basedOn w:val="Normal"/>
    <w:uiPriority w:val="99"/>
    <w:unhideWhenUsed/>
    <w:rsid w:val="005757DC"/>
    <w:pPr>
      <w:spacing w:before="100" w:beforeAutospacing="1" w:after="100" w:afterAutospacing="1"/>
    </w:pPr>
    <w:rPr>
      <w:rFonts w:ascii="Times New Roman" w:eastAsia="Times New Roman" w:hAnsi="Times New Roman" w:cs="Times New Roman"/>
      <w:lang w:eastAsia="en-GB"/>
    </w:rPr>
  </w:style>
  <w:style w:type="paragraph" w:styleId="EndnoteText">
    <w:name w:val="endnote text"/>
    <w:basedOn w:val="Normal"/>
    <w:link w:val="EndnoteTextChar"/>
    <w:uiPriority w:val="99"/>
    <w:semiHidden/>
    <w:unhideWhenUsed/>
    <w:rsid w:val="005757DC"/>
    <w:rPr>
      <w:sz w:val="20"/>
      <w:szCs w:val="20"/>
    </w:rPr>
  </w:style>
  <w:style w:type="character" w:customStyle="1" w:styleId="EndnoteTextChar">
    <w:name w:val="Endnote Text Char"/>
    <w:basedOn w:val="DefaultParagraphFont"/>
    <w:link w:val="EndnoteText"/>
    <w:uiPriority w:val="99"/>
    <w:semiHidden/>
    <w:rsid w:val="005757DC"/>
    <w:rPr>
      <w:sz w:val="20"/>
      <w:szCs w:val="20"/>
    </w:rPr>
  </w:style>
  <w:style w:type="character" w:styleId="EndnoteReference">
    <w:name w:val="endnote reference"/>
    <w:basedOn w:val="DefaultParagraphFont"/>
    <w:uiPriority w:val="99"/>
    <w:semiHidden/>
    <w:unhideWhenUsed/>
    <w:rsid w:val="005757DC"/>
    <w:rPr>
      <w:vertAlign w:val="superscript"/>
    </w:rPr>
  </w:style>
  <w:style w:type="character" w:styleId="CommentReference">
    <w:name w:val="annotation reference"/>
    <w:basedOn w:val="DefaultParagraphFont"/>
    <w:uiPriority w:val="99"/>
    <w:semiHidden/>
    <w:unhideWhenUsed/>
    <w:rsid w:val="00926690"/>
    <w:rPr>
      <w:sz w:val="16"/>
      <w:szCs w:val="16"/>
    </w:rPr>
  </w:style>
  <w:style w:type="paragraph" w:styleId="CommentText">
    <w:name w:val="annotation text"/>
    <w:basedOn w:val="Normal"/>
    <w:link w:val="CommentTextChar"/>
    <w:uiPriority w:val="99"/>
    <w:semiHidden/>
    <w:unhideWhenUsed/>
    <w:rsid w:val="00926690"/>
    <w:rPr>
      <w:sz w:val="20"/>
      <w:szCs w:val="20"/>
    </w:rPr>
  </w:style>
  <w:style w:type="character" w:customStyle="1" w:styleId="CommentTextChar">
    <w:name w:val="Comment Text Char"/>
    <w:basedOn w:val="DefaultParagraphFont"/>
    <w:link w:val="CommentText"/>
    <w:uiPriority w:val="99"/>
    <w:semiHidden/>
    <w:rsid w:val="00926690"/>
    <w:rPr>
      <w:sz w:val="20"/>
      <w:szCs w:val="20"/>
    </w:rPr>
  </w:style>
  <w:style w:type="paragraph" w:styleId="CommentSubject">
    <w:name w:val="annotation subject"/>
    <w:basedOn w:val="CommentText"/>
    <w:next w:val="CommentText"/>
    <w:link w:val="CommentSubjectChar"/>
    <w:uiPriority w:val="99"/>
    <w:semiHidden/>
    <w:unhideWhenUsed/>
    <w:rsid w:val="00926690"/>
    <w:rPr>
      <w:b/>
      <w:bCs/>
    </w:rPr>
  </w:style>
  <w:style w:type="character" w:customStyle="1" w:styleId="CommentSubjectChar">
    <w:name w:val="Comment Subject Char"/>
    <w:basedOn w:val="CommentTextChar"/>
    <w:link w:val="CommentSubject"/>
    <w:uiPriority w:val="99"/>
    <w:semiHidden/>
    <w:rsid w:val="00926690"/>
    <w:rPr>
      <w:b/>
      <w:bCs/>
      <w:sz w:val="20"/>
      <w:szCs w:val="20"/>
    </w:rPr>
  </w:style>
  <w:style w:type="paragraph" w:styleId="BalloonText">
    <w:name w:val="Balloon Text"/>
    <w:basedOn w:val="Normal"/>
    <w:link w:val="BalloonTextChar"/>
    <w:uiPriority w:val="99"/>
    <w:semiHidden/>
    <w:unhideWhenUsed/>
    <w:rsid w:val="00E711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1B5"/>
    <w:rPr>
      <w:rFonts w:ascii="Segoe UI" w:hAnsi="Segoe UI" w:cs="Segoe UI"/>
      <w:sz w:val="18"/>
      <w:szCs w:val="18"/>
    </w:rPr>
  </w:style>
  <w:style w:type="character" w:customStyle="1" w:styleId="NoSpacingChar">
    <w:name w:val="No Spacing Char"/>
    <w:basedOn w:val="DefaultParagraphFont"/>
    <w:link w:val="NoSpacing"/>
    <w:uiPriority w:val="1"/>
    <w:rsid w:val="000F4CBE"/>
  </w:style>
  <w:style w:type="paragraph" w:styleId="Header">
    <w:name w:val="header"/>
    <w:basedOn w:val="Normal"/>
    <w:link w:val="HeaderChar"/>
    <w:uiPriority w:val="99"/>
    <w:unhideWhenUsed/>
    <w:rsid w:val="000F4CBE"/>
    <w:pPr>
      <w:tabs>
        <w:tab w:val="center" w:pos="4513"/>
        <w:tab w:val="right" w:pos="9026"/>
      </w:tabs>
    </w:pPr>
  </w:style>
  <w:style w:type="character" w:customStyle="1" w:styleId="HeaderChar">
    <w:name w:val="Header Char"/>
    <w:basedOn w:val="DefaultParagraphFont"/>
    <w:link w:val="Header"/>
    <w:uiPriority w:val="99"/>
    <w:rsid w:val="000F4CBE"/>
  </w:style>
  <w:style w:type="paragraph" w:styleId="Footer">
    <w:name w:val="footer"/>
    <w:basedOn w:val="Normal"/>
    <w:link w:val="FooterChar"/>
    <w:uiPriority w:val="99"/>
    <w:unhideWhenUsed/>
    <w:rsid w:val="000F4CBE"/>
    <w:pPr>
      <w:tabs>
        <w:tab w:val="center" w:pos="4513"/>
        <w:tab w:val="right" w:pos="9026"/>
      </w:tabs>
    </w:pPr>
  </w:style>
  <w:style w:type="character" w:customStyle="1" w:styleId="FooterChar">
    <w:name w:val="Footer Char"/>
    <w:basedOn w:val="DefaultParagraphFont"/>
    <w:link w:val="Footer"/>
    <w:uiPriority w:val="99"/>
    <w:rsid w:val="000F4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53920">
      <w:bodyDiv w:val="1"/>
      <w:marLeft w:val="0"/>
      <w:marRight w:val="0"/>
      <w:marTop w:val="0"/>
      <w:marBottom w:val="0"/>
      <w:divBdr>
        <w:top w:val="none" w:sz="0" w:space="0" w:color="auto"/>
        <w:left w:val="none" w:sz="0" w:space="0" w:color="auto"/>
        <w:bottom w:val="none" w:sz="0" w:space="0" w:color="auto"/>
        <w:right w:val="none" w:sz="0" w:space="0" w:color="auto"/>
      </w:divBdr>
      <w:divsChild>
        <w:div w:id="1506941789">
          <w:marLeft w:val="547"/>
          <w:marRight w:val="0"/>
          <w:marTop w:val="0"/>
          <w:marBottom w:val="0"/>
          <w:divBdr>
            <w:top w:val="none" w:sz="0" w:space="0" w:color="auto"/>
            <w:left w:val="none" w:sz="0" w:space="0" w:color="auto"/>
            <w:bottom w:val="none" w:sz="0" w:space="0" w:color="auto"/>
            <w:right w:val="none" w:sz="0" w:space="0" w:color="auto"/>
          </w:divBdr>
        </w:div>
        <w:div w:id="2050448157">
          <w:marLeft w:val="547"/>
          <w:marRight w:val="0"/>
          <w:marTop w:val="0"/>
          <w:marBottom w:val="0"/>
          <w:divBdr>
            <w:top w:val="none" w:sz="0" w:space="0" w:color="auto"/>
            <w:left w:val="none" w:sz="0" w:space="0" w:color="auto"/>
            <w:bottom w:val="none" w:sz="0" w:space="0" w:color="auto"/>
            <w:right w:val="none" w:sz="0" w:space="0" w:color="auto"/>
          </w:divBdr>
        </w:div>
      </w:divsChild>
    </w:div>
    <w:div w:id="850605587">
      <w:bodyDiv w:val="1"/>
      <w:marLeft w:val="0"/>
      <w:marRight w:val="0"/>
      <w:marTop w:val="0"/>
      <w:marBottom w:val="0"/>
      <w:divBdr>
        <w:top w:val="none" w:sz="0" w:space="0" w:color="auto"/>
        <w:left w:val="none" w:sz="0" w:space="0" w:color="auto"/>
        <w:bottom w:val="none" w:sz="0" w:space="0" w:color="auto"/>
        <w:right w:val="none" w:sz="0" w:space="0" w:color="auto"/>
      </w:divBdr>
    </w:div>
    <w:div w:id="1962033089">
      <w:bodyDiv w:val="1"/>
      <w:marLeft w:val="0"/>
      <w:marRight w:val="0"/>
      <w:marTop w:val="0"/>
      <w:marBottom w:val="0"/>
      <w:divBdr>
        <w:top w:val="none" w:sz="0" w:space="0" w:color="auto"/>
        <w:left w:val="none" w:sz="0" w:space="0" w:color="auto"/>
        <w:bottom w:val="none" w:sz="0" w:space="0" w:color="auto"/>
        <w:right w:val="none" w:sz="0" w:space="0" w:color="auto"/>
      </w:divBdr>
    </w:div>
    <w:div w:id="202205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2.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emf"/><Relationship Id="rId25" Type="http://schemas.openxmlformats.org/officeDocument/2006/relationships/image" Target="media/image8.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kniest@nteu.org.au" TargetMode="External"/><Relationship Id="rId20" Type="http://schemas.openxmlformats.org/officeDocument/2006/relationships/hyperlink" Target="https://www.dese.gov.au/job-ready/resources/npilf-consultation-paper" TargetMode="Externa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7.emf"/><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abarnes@nteu.org.au"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teu.org.au/library/view/id/8988" TargetMode="External"/><Relationship Id="rId2" Type="http://schemas.openxmlformats.org/officeDocument/2006/relationships/hyperlink" Target="https://pmc.gov.au/domestic-policy/vocational-education-and-training-review/vocational-education-and-training-review-submissions/national-tertiary-education-union" TargetMode="External"/><Relationship Id="rId1" Type="http://schemas.openxmlformats.org/officeDocument/2006/relationships/hyperlink" Target="https://www.universitiesaustralia.edu.au/media-item/17000-uni-jobs-lost-to-covid-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2021FG-108-10701</_dlc_DocId>
    <_dlc_DocIdUrl xmlns="0f563589-9cf9-4143-b1eb-fb0534803d38">
      <Url>http://tweb/sites/fg/bpd/_layouts/15/DocIdRedir.aspx?ID=2021FG-108-10701</Url>
      <Description>2021FG-108-10701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AE8197-8C42-4EB7-AA9F-34F5B90A7C36}">
  <ds:schemaRefs>
    <ds:schemaRef ds:uri="http://schemas.microsoft.com/office/2006/metadata/properties"/>
    <ds:schemaRef ds:uri="http://schemas.microsoft.com/office/infopath/2007/PartnerControls"/>
    <ds:schemaRef ds:uri="6af403a3-0885-4fc0-bb3d-819d2811811b"/>
    <ds:schemaRef ds:uri="http://schemas.microsoft.com/sharepoint/v3"/>
    <ds:schemaRef ds:uri="http://schemas.microsoft.com/sharepoint/v4"/>
    <ds:schemaRef ds:uri="0f563589-9cf9-4143-b1eb-fb0534803d38"/>
    <ds:schemaRef ds:uri="e544e5cc-ab70-42e1-849e-1a0f8bb1f4ef"/>
  </ds:schemaRefs>
</ds:datastoreItem>
</file>

<file path=customXml/itemProps3.xml><?xml version="1.0" encoding="utf-8"?>
<ds:datastoreItem xmlns:ds="http://schemas.openxmlformats.org/officeDocument/2006/customXml" ds:itemID="{0B879669-7DFE-46B2-8EBB-2871954534A0}">
  <ds:schemaRefs>
    <ds:schemaRef ds:uri="http://schemas.microsoft.com/sharepoint/v3/contenttype/forms"/>
  </ds:schemaRefs>
</ds:datastoreItem>
</file>

<file path=customXml/itemProps4.xml><?xml version="1.0" encoding="utf-8"?>
<ds:datastoreItem xmlns:ds="http://schemas.openxmlformats.org/officeDocument/2006/customXml" ds:itemID="{A5D83AFC-7480-4242-8FDA-371A535E39FB}">
  <ds:schemaRefs>
    <ds:schemaRef ds:uri="office.server.policy"/>
  </ds:schemaRefs>
</ds:datastoreItem>
</file>

<file path=customXml/itemProps5.xml><?xml version="1.0" encoding="utf-8"?>
<ds:datastoreItem xmlns:ds="http://schemas.openxmlformats.org/officeDocument/2006/customXml" ds:itemID="{756E63FA-F165-42EB-A67A-4FA5F69379DC}">
  <ds:schemaRefs>
    <ds:schemaRef ds:uri="http://schemas.openxmlformats.org/officeDocument/2006/bibliography"/>
  </ds:schemaRefs>
</ds:datastoreItem>
</file>

<file path=customXml/itemProps6.xml><?xml version="1.0" encoding="utf-8"?>
<ds:datastoreItem xmlns:ds="http://schemas.openxmlformats.org/officeDocument/2006/customXml" ds:itemID="{3DED3B19-1094-4325-9AD5-7601F9316883}">
  <ds:schemaRefs>
    <ds:schemaRef ds:uri="http://schemas.microsoft.com/sharepoint/events"/>
  </ds:schemaRefs>
</ds:datastoreItem>
</file>

<file path=customXml/itemProps7.xml><?xml version="1.0" encoding="utf-8"?>
<ds:datastoreItem xmlns:ds="http://schemas.openxmlformats.org/officeDocument/2006/customXml" ds:itemID="{E1CD2E6A-87A7-4767-A9D9-95299AD5C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9A1EC35-5BCD-464C-9DC9-81F8C496920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5107</Words>
  <Characters>29363</Characters>
  <Application>Microsoft Office Word</Application>
  <DocSecurity>0</DocSecurity>
  <Lines>543</Lines>
  <Paragraphs>152</Paragraphs>
  <ScaleCrop>false</ScaleCrop>
  <Company/>
  <LinksUpToDate>false</LinksUpToDate>
  <CharactersWithSpaces>34566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Tertiary Education Union - 2021-22 Pre-Budget Submissions</dc:title>
  <dc:subject/>
  <dc:creator/>
  <cp:keywords/>
  <dc:description/>
  <cp:lastModifiedBy/>
  <cp:revision>1</cp:revision>
  <dcterms:created xsi:type="dcterms:W3CDTF">2021-05-06T00:45:00Z</dcterms:created>
  <dcterms:modified xsi:type="dcterms:W3CDTF">2021-05-06T00:45:00Z</dcterms:modified>
  <dc:language>English</dc:language>
</cp:coreProperties>
</file>